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5.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2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2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2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31.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35.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36.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37.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38.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39.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40.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41.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42.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43.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44.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45.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46.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47.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48.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49.xml" ContentType="application/vnd.openxmlformats-officedocument.drawingml.chart+xml"/>
  <Override PartName="/word/charts/style35.xml" ContentType="application/vnd.ms-office.chartstyle+xml"/>
  <Override PartName="/word/charts/colors3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8648D" w14:textId="77777777" w:rsidR="0092561C" w:rsidRDefault="0092561C" w:rsidP="002B19B1">
      <w:pPr>
        <w:jc w:val="both"/>
        <w:rPr>
          <w:rFonts w:asciiTheme="minorHAnsi" w:hAnsiTheme="minorHAnsi" w:cstheme="minorHAnsi"/>
          <w:b/>
          <w:bCs/>
          <w:color w:val="4472C4" w:themeColor="accent1"/>
          <w:szCs w:val="24"/>
        </w:rPr>
      </w:pPr>
    </w:p>
    <w:p w14:paraId="60F4EDCB" w14:textId="77777777" w:rsidR="0092561C" w:rsidRDefault="0092561C" w:rsidP="002B19B1">
      <w:pPr>
        <w:jc w:val="both"/>
        <w:rPr>
          <w:rFonts w:asciiTheme="minorHAnsi" w:hAnsiTheme="minorHAnsi" w:cstheme="minorHAnsi"/>
          <w:b/>
          <w:bCs/>
          <w:color w:val="4472C4" w:themeColor="accent1"/>
          <w:szCs w:val="24"/>
        </w:rPr>
      </w:pPr>
    </w:p>
    <w:p w14:paraId="2EA7F7EA" w14:textId="77777777" w:rsidR="0092561C" w:rsidRDefault="0092561C" w:rsidP="002B19B1">
      <w:pPr>
        <w:jc w:val="both"/>
        <w:rPr>
          <w:rFonts w:asciiTheme="minorHAnsi" w:hAnsiTheme="minorHAnsi" w:cstheme="minorHAnsi"/>
          <w:b/>
          <w:bCs/>
          <w:color w:val="4472C4" w:themeColor="accent1"/>
          <w:szCs w:val="24"/>
        </w:rPr>
      </w:pPr>
    </w:p>
    <w:p w14:paraId="7FD8DDB0" w14:textId="77777777" w:rsidR="0092561C" w:rsidRDefault="0092561C" w:rsidP="002B19B1">
      <w:pPr>
        <w:jc w:val="both"/>
        <w:rPr>
          <w:rFonts w:asciiTheme="minorHAnsi" w:hAnsiTheme="minorHAnsi" w:cstheme="minorHAnsi"/>
          <w:b/>
          <w:bCs/>
          <w:color w:val="4472C4" w:themeColor="accent1"/>
          <w:szCs w:val="24"/>
        </w:rPr>
      </w:pPr>
    </w:p>
    <w:p w14:paraId="300E9BD4" w14:textId="77777777" w:rsidR="0092561C" w:rsidRDefault="0092561C" w:rsidP="002B19B1">
      <w:pPr>
        <w:jc w:val="both"/>
        <w:rPr>
          <w:rFonts w:asciiTheme="minorHAnsi" w:hAnsiTheme="minorHAnsi" w:cstheme="minorHAnsi"/>
          <w:b/>
          <w:bCs/>
          <w:color w:val="4472C4" w:themeColor="accent1"/>
          <w:szCs w:val="24"/>
        </w:rPr>
      </w:pPr>
    </w:p>
    <w:p w14:paraId="3DF81332" w14:textId="77777777" w:rsidR="0092561C" w:rsidRDefault="0092561C" w:rsidP="002B19B1">
      <w:pPr>
        <w:jc w:val="both"/>
        <w:rPr>
          <w:rFonts w:asciiTheme="minorHAnsi" w:hAnsiTheme="minorHAnsi" w:cstheme="minorHAnsi"/>
          <w:b/>
          <w:bCs/>
          <w:color w:val="4472C4" w:themeColor="accent1"/>
          <w:szCs w:val="24"/>
        </w:rPr>
      </w:pPr>
    </w:p>
    <w:p w14:paraId="6F40D2B3" w14:textId="77777777" w:rsidR="0092561C" w:rsidRDefault="0092561C" w:rsidP="002B19B1">
      <w:pPr>
        <w:jc w:val="both"/>
        <w:rPr>
          <w:rFonts w:asciiTheme="minorHAnsi" w:hAnsiTheme="minorHAnsi" w:cstheme="minorHAnsi"/>
          <w:b/>
          <w:bCs/>
          <w:color w:val="4472C4" w:themeColor="accent1"/>
          <w:szCs w:val="24"/>
        </w:rPr>
      </w:pPr>
    </w:p>
    <w:p w14:paraId="42C8C976" w14:textId="77777777" w:rsidR="0092561C" w:rsidRDefault="0092561C" w:rsidP="002B19B1">
      <w:pPr>
        <w:jc w:val="both"/>
        <w:rPr>
          <w:rFonts w:asciiTheme="minorHAnsi" w:hAnsiTheme="minorHAnsi" w:cstheme="minorHAnsi"/>
          <w:b/>
          <w:bCs/>
          <w:color w:val="4472C4" w:themeColor="accent1"/>
          <w:szCs w:val="24"/>
        </w:rPr>
      </w:pPr>
    </w:p>
    <w:p w14:paraId="1DA2EB26" w14:textId="77777777" w:rsidR="0092561C" w:rsidRDefault="0092561C" w:rsidP="002B19B1">
      <w:pPr>
        <w:jc w:val="both"/>
        <w:rPr>
          <w:rFonts w:asciiTheme="minorHAnsi" w:hAnsiTheme="minorHAnsi" w:cstheme="minorHAnsi"/>
          <w:b/>
          <w:bCs/>
          <w:color w:val="4472C4" w:themeColor="accent1"/>
          <w:szCs w:val="24"/>
        </w:rPr>
      </w:pPr>
    </w:p>
    <w:p w14:paraId="0E2224D7" w14:textId="77777777" w:rsidR="0092561C" w:rsidRDefault="0092561C" w:rsidP="002B19B1">
      <w:pPr>
        <w:jc w:val="both"/>
        <w:rPr>
          <w:rFonts w:asciiTheme="minorHAnsi" w:hAnsiTheme="minorHAnsi" w:cstheme="minorHAnsi"/>
          <w:b/>
          <w:bCs/>
          <w:color w:val="4472C4" w:themeColor="accent1"/>
          <w:szCs w:val="24"/>
        </w:rPr>
      </w:pPr>
    </w:p>
    <w:p w14:paraId="4DE6F23E" w14:textId="77777777" w:rsidR="0092561C" w:rsidRDefault="0092561C" w:rsidP="002B19B1">
      <w:pPr>
        <w:jc w:val="both"/>
        <w:rPr>
          <w:rFonts w:asciiTheme="minorHAnsi" w:hAnsiTheme="minorHAnsi" w:cstheme="minorHAnsi"/>
          <w:b/>
          <w:bCs/>
          <w:color w:val="4472C4" w:themeColor="accent1"/>
          <w:szCs w:val="24"/>
        </w:rPr>
      </w:pPr>
    </w:p>
    <w:p w14:paraId="7381C2B5" w14:textId="77777777" w:rsidR="0092561C" w:rsidRDefault="0092561C" w:rsidP="002B19B1">
      <w:pPr>
        <w:jc w:val="both"/>
        <w:rPr>
          <w:rFonts w:asciiTheme="minorHAnsi" w:hAnsiTheme="minorHAnsi" w:cstheme="minorHAnsi"/>
          <w:b/>
          <w:bCs/>
          <w:color w:val="4472C4" w:themeColor="accent1"/>
          <w:szCs w:val="24"/>
        </w:rPr>
      </w:pPr>
    </w:p>
    <w:p w14:paraId="24A5E9ED" w14:textId="77777777" w:rsidR="0092561C" w:rsidRDefault="0092561C" w:rsidP="002B19B1">
      <w:pPr>
        <w:jc w:val="both"/>
        <w:rPr>
          <w:rFonts w:asciiTheme="minorHAnsi" w:hAnsiTheme="minorHAnsi" w:cstheme="minorHAnsi"/>
          <w:b/>
          <w:bCs/>
          <w:color w:val="4472C4" w:themeColor="accent1"/>
          <w:szCs w:val="24"/>
        </w:rPr>
      </w:pPr>
    </w:p>
    <w:p w14:paraId="43BFA406" w14:textId="77777777" w:rsidR="0092561C" w:rsidRDefault="0092561C" w:rsidP="002B19B1">
      <w:pPr>
        <w:jc w:val="both"/>
        <w:rPr>
          <w:rFonts w:asciiTheme="minorHAnsi" w:hAnsiTheme="minorHAnsi" w:cstheme="minorHAnsi"/>
          <w:b/>
          <w:bCs/>
          <w:color w:val="4472C4" w:themeColor="accent1"/>
          <w:szCs w:val="24"/>
        </w:rPr>
      </w:pPr>
    </w:p>
    <w:p w14:paraId="02D5F878" w14:textId="77777777" w:rsidR="0092561C" w:rsidRDefault="0092561C" w:rsidP="002B19B1">
      <w:pPr>
        <w:jc w:val="both"/>
        <w:rPr>
          <w:rFonts w:asciiTheme="minorHAnsi" w:hAnsiTheme="minorHAnsi" w:cstheme="minorHAnsi"/>
          <w:b/>
          <w:bCs/>
          <w:color w:val="4472C4" w:themeColor="accent1"/>
          <w:szCs w:val="24"/>
        </w:rPr>
      </w:pPr>
    </w:p>
    <w:p w14:paraId="3A2A930A" w14:textId="77777777" w:rsidR="0092561C" w:rsidRDefault="0092561C" w:rsidP="002B19B1">
      <w:pPr>
        <w:jc w:val="both"/>
        <w:rPr>
          <w:rFonts w:asciiTheme="minorHAnsi" w:hAnsiTheme="minorHAnsi" w:cstheme="minorHAnsi"/>
          <w:b/>
          <w:bCs/>
          <w:color w:val="4472C4" w:themeColor="accent1"/>
          <w:szCs w:val="24"/>
        </w:rPr>
      </w:pPr>
    </w:p>
    <w:p w14:paraId="53B9DF15" w14:textId="3F976FEB" w:rsidR="0092561C" w:rsidRPr="00C86111" w:rsidRDefault="0092561C" w:rsidP="0092561C">
      <w:pPr>
        <w:jc w:val="right"/>
        <w:rPr>
          <w:rFonts w:asciiTheme="minorHAnsi" w:hAnsiTheme="minorHAnsi" w:cstheme="minorHAnsi"/>
          <w:b/>
          <w:bCs/>
          <w:color w:val="auto"/>
          <w:sz w:val="36"/>
          <w:szCs w:val="36"/>
        </w:rPr>
      </w:pPr>
      <w:r w:rsidRPr="00C86111">
        <w:rPr>
          <w:rFonts w:asciiTheme="minorHAnsi" w:hAnsiTheme="minorHAnsi" w:cstheme="minorHAnsi"/>
          <w:b/>
          <w:bCs/>
          <w:color w:val="auto"/>
          <w:sz w:val="36"/>
          <w:szCs w:val="36"/>
        </w:rPr>
        <w:t>Predlog</w:t>
      </w:r>
    </w:p>
    <w:p w14:paraId="27D441D6" w14:textId="77777777" w:rsidR="0092561C" w:rsidRPr="00C86111" w:rsidRDefault="0092561C" w:rsidP="002B19B1">
      <w:pPr>
        <w:jc w:val="both"/>
        <w:rPr>
          <w:rFonts w:asciiTheme="minorHAnsi" w:hAnsiTheme="minorHAnsi" w:cstheme="minorHAnsi"/>
          <w:b/>
          <w:bCs/>
          <w:color w:val="4472C4" w:themeColor="accent1"/>
          <w:szCs w:val="24"/>
        </w:rPr>
      </w:pPr>
    </w:p>
    <w:p w14:paraId="1AF83076" w14:textId="77777777" w:rsidR="0092561C" w:rsidRPr="00C86111" w:rsidRDefault="0092561C" w:rsidP="002B19B1">
      <w:pPr>
        <w:jc w:val="both"/>
        <w:rPr>
          <w:rFonts w:asciiTheme="minorHAnsi" w:hAnsiTheme="minorHAnsi" w:cstheme="minorHAnsi"/>
          <w:b/>
          <w:bCs/>
          <w:color w:val="4472C4" w:themeColor="accent1"/>
          <w:szCs w:val="24"/>
        </w:rPr>
      </w:pPr>
    </w:p>
    <w:p w14:paraId="3475582C" w14:textId="77777777" w:rsidR="0092561C" w:rsidRPr="00C86111" w:rsidRDefault="0092561C" w:rsidP="0092561C">
      <w:pPr>
        <w:jc w:val="center"/>
        <w:rPr>
          <w:rFonts w:asciiTheme="minorHAnsi" w:hAnsiTheme="minorHAnsi" w:cstheme="minorHAnsi"/>
          <w:b/>
          <w:bCs/>
          <w:color w:val="4472C4" w:themeColor="accent1"/>
          <w:sz w:val="36"/>
          <w:szCs w:val="36"/>
        </w:rPr>
      </w:pPr>
    </w:p>
    <w:p w14:paraId="562AF886" w14:textId="77777777" w:rsidR="00A12257" w:rsidRPr="00C86111" w:rsidRDefault="0092561C" w:rsidP="0092561C">
      <w:pPr>
        <w:jc w:val="center"/>
        <w:rPr>
          <w:rFonts w:asciiTheme="minorHAnsi" w:hAnsiTheme="minorHAnsi" w:cstheme="minorHAnsi"/>
          <w:b/>
          <w:bCs/>
          <w:color w:val="4472C4" w:themeColor="accent1"/>
          <w:sz w:val="36"/>
          <w:szCs w:val="36"/>
        </w:rPr>
      </w:pPr>
      <w:r w:rsidRPr="00C86111">
        <w:rPr>
          <w:rFonts w:asciiTheme="minorHAnsi" w:hAnsiTheme="minorHAnsi" w:cstheme="minorHAnsi"/>
          <w:b/>
          <w:bCs/>
          <w:color w:val="4472C4" w:themeColor="accent1"/>
          <w:sz w:val="36"/>
          <w:szCs w:val="36"/>
        </w:rPr>
        <w:t xml:space="preserve">NACIONALNI PLAN ZA IMPLEMENTACIJU </w:t>
      </w:r>
    </w:p>
    <w:p w14:paraId="4A804F7D" w14:textId="60FC9D4A" w:rsidR="0092561C" w:rsidRPr="00C86111" w:rsidRDefault="0092561C" w:rsidP="0092561C">
      <w:pPr>
        <w:jc w:val="center"/>
        <w:rPr>
          <w:rFonts w:asciiTheme="minorHAnsi" w:hAnsiTheme="minorHAnsi" w:cstheme="minorHAnsi"/>
          <w:b/>
          <w:bCs/>
          <w:color w:val="4472C4" w:themeColor="accent1"/>
          <w:sz w:val="36"/>
          <w:szCs w:val="36"/>
        </w:rPr>
      </w:pPr>
      <w:r w:rsidRPr="00C86111">
        <w:rPr>
          <w:rFonts w:asciiTheme="minorHAnsi" w:hAnsiTheme="minorHAnsi" w:cstheme="minorHAnsi"/>
          <w:b/>
          <w:bCs/>
          <w:color w:val="4472C4" w:themeColor="accent1"/>
          <w:sz w:val="36"/>
          <w:szCs w:val="36"/>
        </w:rPr>
        <w:t>STOKHOLMSKE KONVENCIJE</w:t>
      </w:r>
    </w:p>
    <w:p w14:paraId="49B5C805" w14:textId="15835F86" w:rsidR="0092561C" w:rsidRPr="00C86111" w:rsidRDefault="0092561C" w:rsidP="0092561C">
      <w:pPr>
        <w:jc w:val="center"/>
        <w:rPr>
          <w:rFonts w:asciiTheme="minorHAnsi" w:hAnsiTheme="minorHAnsi" w:cstheme="minorHAnsi"/>
          <w:b/>
          <w:bCs/>
          <w:color w:val="4472C4" w:themeColor="accent1"/>
          <w:sz w:val="36"/>
          <w:szCs w:val="36"/>
          <w:lang w:val="sr-Latn-RS"/>
        </w:rPr>
      </w:pPr>
      <w:r w:rsidRPr="00C86111">
        <w:rPr>
          <w:rFonts w:asciiTheme="minorHAnsi" w:hAnsiTheme="minorHAnsi" w:cstheme="minorHAnsi"/>
          <w:b/>
          <w:bCs/>
          <w:color w:val="4472C4" w:themeColor="accent1"/>
          <w:sz w:val="36"/>
          <w:szCs w:val="36"/>
        </w:rPr>
        <w:t>ZA PERIOD 202</w:t>
      </w:r>
      <w:r w:rsidR="00301CC2">
        <w:rPr>
          <w:rFonts w:asciiTheme="minorHAnsi" w:hAnsiTheme="minorHAnsi" w:cstheme="minorHAnsi"/>
          <w:b/>
          <w:bCs/>
          <w:color w:val="4472C4" w:themeColor="accent1"/>
          <w:sz w:val="36"/>
          <w:szCs w:val="36"/>
        </w:rPr>
        <w:t>6</w:t>
      </w:r>
      <w:r w:rsidRPr="00C86111">
        <w:rPr>
          <w:rFonts w:asciiTheme="minorHAnsi" w:hAnsiTheme="minorHAnsi" w:cstheme="minorHAnsi"/>
          <w:b/>
          <w:bCs/>
          <w:color w:val="4472C4" w:themeColor="accent1"/>
          <w:sz w:val="36"/>
          <w:szCs w:val="36"/>
        </w:rPr>
        <w:t>-2027</w:t>
      </w:r>
    </w:p>
    <w:p w14:paraId="40BE553D" w14:textId="77777777" w:rsidR="0092561C" w:rsidRPr="00C86111" w:rsidRDefault="0092561C" w:rsidP="0092561C">
      <w:pPr>
        <w:jc w:val="center"/>
        <w:rPr>
          <w:rFonts w:asciiTheme="minorHAnsi" w:hAnsiTheme="minorHAnsi" w:cstheme="minorHAnsi"/>
          <w:b/>
          <w:bCs/>
          <w:color w:val="4472C4" w:themeColor="accent1"/>
          <w:sz w:val="36"/>
          <w:szCs w:val="36"/>
        </w:rPr>
      </w:pPr>
    </w:p>
    <w:p w14:paraId="78BC6E04" w14:textId="77777777" w:rsidR="0092561C" w:rsidRPr="00C86111" w:rsidRDefault="0092561C" w:rsidP="002B19B1">
      <w:pPr>
        <w:jc w:val="both"/>
        <w:rPr>
          <w:rFonts w:asciiTheme="minorHAnsi" w:hAnsiTheme="minorHAnsi" w:cstheme="minorHAnsi"/>
          <w:b/>
          <w:bCs/>
          <w:color w:val="4472C4" w:themeColor="accent1"/>
          <w:szCs w:val="24"/>
        </w:rPr>
      </w:pPr>
    </w:p>
    <w:p w14:paraId="6F342EEE" w14:textId="77777777" w:rsidR="0092561C" w:rsidRPr="00C86111" w:rsidRDefault="0092561C" w:rsidP="002B19B1">
      <w:pPr>
        <w:jc w:val="both"/>
        <w:rPr>
          <w:rFonts w:asciiTheme="minorHAnsi" w:hAnsiTheme="minorHAnsi" w:cstheme="minorHAnsi"/>
          <w:b/>
          <w:bCs/>
          <w:color w:val="4472C4" w:themeColor="accent1"/>
          <w:szCs w:val="24"/>
        </w:rPr>
      </w:pPr>
    </w:p>
    <w:p w14:paraId="5BE4782D" w14:textId="77777777" w:rsidR="0092561C" w:rsidRPr="00C86111" w:rsidRDefault="0092561C" w:rsidP="002B19B1">
      <w:pPr>
        <w:jc w:val="both"/>
        <w:rPr>
          <w:rFonts w:asciiTheme="minorHAnsi" w:hAnsiTheme="minorHAnsi" w:cstheme="minorHAnsi"/>
          <w:b/>
          <w:bCs/>
          <w:color w:val="4472C4" w:themeColor="accent1"/>
          <w:szCs w:val="24"/>
        </w:rPr>
      </w:pPr>
    </w:p>
    <w:p w14:paraId="38BEA4F1" w14:textId="77777777" w:rsidR="0092561C" w:rsidRPr="00C86111" w:rsidRDefault="0092561C" w:rsidP="002B19B1">
      <w:pPr>
        <w:jc w:val="both"/>
        <w:rPr>
          <w:rFonts w:asciiTheme="minorHAnsi" w:hAnsiTheme="minorHAnsi" w:cstheme="minorHAnsi"/>
          <w:b/>
          <w:bCs/>
          <w:color w:val="4472C4" w:themeColor="accent1"/>
          <w:szCs w:val="24"/>
        </w:rPr>
      </w:pPr>
    </w:p>
    <w:p w14:paraId="673E84EC" w14:textId="77777777" w:rsidR="0092561C" w:rsidRPr="00C86111" w:rsidRDefault="0092561C" w:rsidP="002B19B1">
      <w:pPr>
        <w:jc w:val="both"/>
        <w:rPr>
          <w:rFonts w:asciiTheme="minorHAnsi" w:hAnsiTheme="minorHAnsi" w:cstheme="minorHAnsi"/>
          <w:b/>
          <w:bCs/>
          <w:color w:val="4472C4" w:themeColor="accent1"/>
          <w:szCs w:val="24"/>
        </w:rPr>
      </w:pPr>
    </w:p>
    <w:p w14:paraId="5C4E1F0A" w14:textId="77777777" w:rsidR="0092561C" w:rsidRPr="00C86111" w:rsidRDefault="0092561C" w:rsidP="002B19B1">
      <w:pPr>
        <w:jc w:val="both"/>
        <w:rPr>
          <w:rFonts w:asciiTheme="minorHAnsi" w:hAnsiTheme="minorHAnsi" w:cstheme="minorHAnsi"/>
          <w:b/>
          <w:bCs/>
          <w:color w:val="4472C4" w:themeColor="accent1"/>
          <w:szCs w:val="24"/>
        </w:rPr>
      </w:pPr>
    </w:p>
    <w:p w14:paraId="5B4E16E4" w14:textId="77777777" w:rsidR="0092561C" w:rsidRPr="00C86111" w:rsidRDefault="0092561C" w:rsidP="002B19B1">
      <w:pPr>
        <w:jc w:val="both"/>
        <w:rPr>
          <w:rFonts w:asciiTheme="minorHAnsi" w:hAnsiTheme="minorHAnsi" w:cstheme="minorHAnsi"/>
          <w:b/>
          <w:bCs/>
          <w:color w:val="4472C4" w:themeColor="accent1"/>
          <w:szCs w:val="24"/>
        </w:rPr>
      </w:pPr>
    </w:p>
    <w:p w14:paraId="373D81D6" w14:textId="77777777" w:rsidR="0092561C" w:rsidRPr="00C86111" w:rsidRDefault="0092561C" w:rsidP="002B19B1">
      <w:pPr>
        <w:jc w:val="both"/>
        <w:rPr>
          <w:rFonts w:asciiTheme="minorHAnsi" w:hAnsiTheme="minorHAnsi" w:cstheme="minorHAnsi"/>
          <w:b/>
          <w:bCs/>
          <w:color w:val="4472C4" w:themeColor="accent1"/>
          <w:szCs w:val="24"/>
        </w:rPr>
      </w:pPr>
    </w:p>
    <w:p w14:paraId="2A3D008E" w14:textId="77777777" w:rsidR="0092561C" w:rsidRPr="00C86111" w:rsidRDefault="0092561C" w:rsidP="002B19B1">
      <w:pPr>
        <w:jc w:val="both"/>
        <w:rPr>
          <w:rFonts w:asciiTheme="minorHAnsi" w:hAnsiTheme="minorHAnsi" w:cstheme="minorHAnsi"/>
          <w:b/>
          <w:bCs/>
          <w:color w:val="4472C4" w:themeColor="accent1"/>
          <w:szCs w:val="24"/>
        </w:rPr>
      </w:pPr>
    </w:p>
    <w:p w14:paraId="37CD211C" w14:textId="77777777" w:rsidR="0092561C" w:rsidRPr="00C86111" w:rsidRDefault="0092561C" w:rsidP="002B19B1">
      <w:pPr>
        <w:jc w:val="both"/>
        <w:rPr>
          <w:rFonts w:asciiTheme="minorHAnsi" w:hAnsiTheme="minorHAnsi" w:cstheme="minorHAnsi"/>
          <w:b/>
          <w:bCs/>
          <w:color w:val="4472C4" w:themeColor="accent1"/>
          <w:szCs w:val="24"/>
        </w:rPr>
      </w:pPr>
    </w:p>
    <w:p w14:paraId="581F38FA" w14:textId="77777777" w:rsidR="0092561C" w:rsidRPr="00C86111" w:rsidRDefault="0092561C" w:rsidP="002B19B1">
      <w:pPr>
        <w:jc w:val="both"/>
        <w:rPr>
          <w:rFonts w:asciiTheme="minorHAnsi" w:hAnsiTheme="minorHAnsi" w:cstheme="minorHAnsi"/>
          <w:b/>
          <w:bCs/>
          <w:color w:val="4472C4" w:themeColor="accent1"/>
          <w:szCs w:val="24"/>
        </w:rPr>
      </w:pPr>
    </w:p>
    <w:p w14:paraId="788CF40C" w14:textId="77777777" w:rsidR="0092561C" w:rsidRPr="00C86111" w:rsidRDefault="0092561C" w:rsidP="002B19B1">
      <w:pPr>
        <w:jc w:val="both"/>
        <w:rPr>
          <w:rFonts w:asciiTheme="minorHAnsi" w:hAnsiTheme="minorHAnsi" w:cstheme="minorHAnsi"/>
          <w:b/>
          <w:bCs/>
          <w:color w:val="4472C4" w:themeColor="accent1"/>
          <w:szCs w:val="24"/>
        </w:rPr>
      </w:pPr>
    </w:p>
    <w:p w14:paraId="6363A406" w14:textId="77777777" w:rsidR="0092561C" w:rsidRPr="00C86111" w:rsidRDefault="0092561C" w:rsidP="002B19B1">
      <w:pPr>
        <w:jc w:val="both"/>
        <w:rPr>
          <w:rFonts w:asciiTheme="minorHAnsi" w:hAnsiTheme="minorHAnsi" w:cstheme="minorHAnsi"/>
          <w:b/>
          <w:bCs/>
          <w:color w:val="4472C4" w:themeColor="accent1"/>
          <w:szCs w:val="24"/>
        </w:rPr>
      </w:pPr>
    </w:p>
    <w:p w14:paraId="734B8267" w14:textId="77777777" w:rsidR="0092561C" w:rsidRPr="00C86111" w:rsidRDefault="0092561C" w:rsidP="002B19B1">
      <w:pPr>
        <w:jc w:val="both"/>
        <w:rPr>
          <w:rFonts w:asciiTheme="minorHAnsi" w:hAnsiTheme="minorHAnsi" w:cstheme="minorHAnsi"/>
          <w:b/>
          <w:bCs/>
          <w:color w:val="4472C4" w:themeColor="accent1"/>
          <w:szCs w:val="24"/>
        </w:rPr>
      </w:pPr>
    </w:p>
    <w:p w14:paraId="6DA99354" w14:textId="77777777" w:rsidR="0092561C" w:rsidRPr="00C86111" w:rsidRDefault="0092561C" w:rsidP="002B19B1">
      <w:pPr>
        <w:jc w:val="both"/>
        <w:rPr>
          <w:rFonts w:asciiTheme="minorHAnsi" w:hAnsiTheme="minorHAnsi" w:cstheme="minorHAnsi"/>
          <w:b/>
          <w:bCs/>
          <w:color w:val="4472C4" w:themeColor="accent1"/>
          <w:szCs w:val="24"/>
        </w:rPr>
      </w:pPr>
    </w:p>
    <w:p w14:paraId="34A058D7" w14:textId="77777777" w:rsidR="0092561C" w:rsidRPr="00C86111" w:rsidRDefault="0092561C" w:rsidP="002B19B1">
      <w:pPr>
        <w:jc w:val="both"/>
        <w:rPr>
          <w:rFonts w:asciiTheme="minorHAnsi" w:hAnsiTheme="minorHAnsi" w:cstheme="minorHAnsi"/>
          <w:b/>
          <w:bCs/>
          <w:color w:val="4472C4" w:themeColor="accent1"/>
          <w:szCs w:val="24"/>
        </w:rPr>
      </w:pPr>
    </w:p>
    <w:p w14:paraId="05CDFC45" w14:textId="77777777" w:rsidR="0092561C" w:rsidRPr="00C86111" w:rsidRDefault="0092561C" w:rsidP="002B19B1">
      <w:pPr>
        <w:jc w:val="both"/>
        <w:rPr>
          <w:rFonts w:asciiTheme="minorHAnsi" w:hAnsiTheme="minorHAnsi" w:cstheme="minorHAnsi"/>
          <w:b/>
          <w:bCs/>
          <w:color w:val="4472C4" w:themeColor="accent1"/>
          <w:szCs w:val="24"/>
        </w:rPr>
      </w:pPr>
    </w:p>
    <w:bookmarkStart w:id="0" w:name="_Toc220541835" w:displacedByCustomXml="next"/>
    <w:sdt>
      <w:sdtPr>
        <w:rPr>
          <w:rFonts w:ascii="Calibri" w:eastAsiaTheme="minorHAnsi" w:hAnsi="Calibri" w:cstheme="minorBidi"/>
          <w:b w:val="0"/>
          <w:color w:val="000000" w:themeColor="text1"/>
          <w:sz w:val="24"/>
          <w:szCs w:val="22"/>
        </w:rPr>
        <w:id w:val="1575242766"/>
        <w:docPartObj>
          <w:docPartGallery w:val="Table of Contents"/>
          <w:docPartUnique/>
        </w:docPartObj>
      </w:sdtPr>
      <w:sdtEndPr>
        <w:rPr>
          <w:bCs/>
          <w:noProof/>
        </w:rPr>
      </w:sdtEndPr>
      <w:sdtContent>
        <w:p w14:paraId="5C7F5363" w14:textId="4E3277F7" w:rsidR="00974D2C" w:rsidRPr="00605352" w:rsidRDefault="00974D2C" w:rsidP="00912C4C">
          <w:pPr>
            <w:pStyle w:val="Heading1"/>
            <w:rPr>
              <w:rFonts w:asciiTheme="minorHAnsi" w:hAnsiTheme="minorHAnsi" w:cstheme="minorHAnsi"/>
            </w:rPr>
          </w:pPr>
          <w:r w:rsidRPr="00605352">
            <w:rPr>
              <w:rFonts w:asciiTheme="minorHAnsi" w:hAnsiTheme="minorHAnsi" w:cstheme="minorHAnsi"/>
            </w:rPr>
            <w:t>Sadržaj</w:t>
          </w:r>
          <w:bookmarkEnd w:id="0"/>
        </w:p>
        <w:p w14:paraId="2D892438" w14:textId="68F18378" w:rsidR="00605352" w:rsidRPr="00605352" w:rsidRDefault="00974D2C">
          <w:pPr>
            <w:pStyle w:val="TOC1"/>
            <w:tabs>
              <w:tab w:val="left" w:pos="400"/>
              <w:tab w:val="right" w:leader="dot" w:pos="9350"/>
            </w:tabs>
            <w:rPr>
              <w:rFonts w:cstheme="minorHAnsi"/>
              <w:b w:val="0"/>
              <w:bCs w:val="0"/>
              <w:caps w:val="0"/>
              <w:noProof/>
              <w:color w:val="002060"/>
              <w:kern w:val="2"/>
              <w:sz w:val="24"/>
              <w:szCs w:val="24"/>
              <w:lang w:val="en-US" w:eastAsia="en-US"/>
              <w14:ligatures w14:val="standardContextual"/>
            </w:rPr>
          </w:pPr>
          <w:r w:rsidRPr="00605352">
            <w:rPr>
              <w:rFonts w:cstheme="minorHAnsi"/>
              <w:color w:val="002060"/>
              <w:sz w:val="24"/>
              <w:szCs w:val="24"/>
            </w:rPr>
            <w:fldChar w:fldCharType="begin"/>
          </w:r>
          <w:r w:rsidRPr="00605352">
            <w:rPr>
              <w:rFonts w:cstheme="minorHAnsi"/>
              <w:color w:val="002060"/>
              <w:sz w:val="24"/>
              <w:szCs w:val="24"/>
            </w:rPr>
            <w:instrText xml:space="preserve"> TOC \o "1-3" \h \z \u </w:instrText>
          </w:r>
          <w:r w:rsidRPr="00605352">
            <w:rPr>
              <w:rFonts w:cstheme="minorHAnsi"/>
              <w:color w:val="002060"/>
              <w:sz w:val="24"/>
              <w:szCs w:val="24"/>
            </w:rPr>
            <w:fldChar w:fldCharType="separate"/>
          </w:r>
          <w:hyperlink w:anchor="_Toc220541835" w:history="1">
            <w:r w:rsidR="00605352" w:rsidRPr="00605352">
              <w:rPr>
                <w:rStyle w:val="Hyperlink"/>
                <w:rFonts w:cstheme="minorHAnsi"/>
                <w:noProof/>
                <w:color w:val="002060"/>
              </w:rPr>
              <w:t>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Sadržaj</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_Toc220541835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w:t>
            </w:r>
            <w:r w:rsidR="00605352" w:rsidRPr="00605352">
              <w:rPr>
                <w:rFonts w:cstheme="minorHAnsi"/>
                <w:noProof/>
                <w:webHidden/>
                <w:color w:val="002060"/>
              </w:rPr>
              <w:fldChar w:fldCharType="end"/>
            </w:r>
          </w:hyperlink>
        </w:p>
        <w:p w14:paraId="013F3544" w14:textId="7DD1DB9E" w:rsidR="00605352" w:rsidRPr="00605352" w:rsidRDefault="009756DA">
          <w:pPr>
            <w:pStyle w:val="TOC1"/>
            <w:tabs>
              <w:tab w:val="left" w:pos="400"/>
              <w:tab w:val="right" w:leader="dot" w:pos="9350"/>
            </w:tabs>
            <w:rPr>
              <w:rFonts w:cstheme="minorHAnsi"/>
              <w:b w:val="0"/>
              <w:bCs w:val="0"/>
              <w:caps w:val="0"/>
              <w:noProof/>
              <w:color w:val="002060"/>
              <w:kern w:val="2"/>
              <w:sz w:val="24"/>
              <w:szCs w:val="24"/>
              <w:lang w:val="en-US" w:eastAsia="en-US"/>
              <w14:ligatures w14:val="standardContextual"/>
            </w:rPr>
          </w:pPr>
          <w:hyperlink w:anchor="_Toc220541836" w:history="1">
            <w:r w:rsidR="00605352" w:rsidRPr="00605352">
              <w:rPr>
                <w:rStyle w:val="Hyperlink"/>
                <w:rFonts w:cstheme="minorHAnsi"/>
                <w:noProof/>
                <w:color w:val="002060"/>
              </w:rPr>
              <w:t>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_Toc220541836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16</w:t>
            </w:r>
            <w:r w:rsidR="00605352" w:rsidRPr="00605352">
              <w:rPr>
                <w:rFonts w:cstheme="minorHAnsi"/>
                <w:noProof/>
                <w:webHidden/>
                <w:color w:val="002060"/>
              </w:rPr>
              <w:fldChar w:fldCharType="end"/>
            </w:r>
          </w:hyperlink>
        </w:p>
        <w:p w14:paraId="70EB18AA" w14:textId="039EF40B"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37" w:history="1">
            <w:r w:rsidR="00605352" w:rsidRPr="00605352">
              <w:rPr>
                <w:rStyle w:val="Hyperlink"/>
                <w:rFonts w:cstheme="minorHAnsi"/>
                <w:noProof/>
                <w:color w:val="002060"/>
              </w:rPr>
              <w:t>1.1.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Međunarodni kontekst Stokholmske konvencije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_Toc220541837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w:t>
            </w:r>
            <w:r w:rsidR="00605352" w:rsidRPr="00605352">
              <w:rPr>
                <w:rFonts w:cstheme="minorHAnsi"/>
                <w:noProof/>
                <w:webHidden/>
                <w:color w:val="002060"/>
              </w:rPr>
              <w:fldChar w:fldCharType="end"/>
            </w:r>
          </w:hyperlink>
        </w:p>
        <w:p w14:paraId="061E1CFC" w14:textId="4D746887"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38" w:history="1">
            <w:r w:rsidR="00605352" w:rsidRPr="00605352">
              <w:rPr>
                <w:rStyle w:val="Hyperlink"/>
                <w:rFonts w:cstheme="minorHAnsi"/>
                <w:noProof/>
                <w:color w:val="002060"/>
              </w:rPr>
              <w:t>1.2.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EU kontekst Stokholmske konvencije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_Toc220541838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22</w:t>
            </w:r>
            <w:r w:rsidR="00605352" w:rsidRPr="00605352">
              <w:rPr>
                <w:rFonts w:cstheme="minorHAnsi"/>
                <w:noProof/>
                <w:webHidden/>
                <w:color w:val="002060"/>
              </w:rPr>
              <w:fldChar w:fldCharType="end"/>
            </w:r>
          </w:hyperlink>
        </w:p>
        <w:p w14:paraId="4C4AABDD" w14:textId="379AE44F"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39" w:history="1">
            <w:r w:rsidR="00605352" w:rsidRPr="00605352">
              <w:rPr>
                <w:rStyle w:val="Hyperlink"/>
                <w:rFonts w:cstheme="minorHAnsi"/>
                <w:noProof/>
                <w:color w:val="002060"/>
              </w:rPr>
              <w:t>1.3.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Nacionalni kontekst primjene Stokholmske konvencije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_Toc220541839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23</w:t>
            </w:r>
            <w:r w:rsidR="00605352" w:rsidRPr="00605352">
              <w:rPr>
                <w:rFonts w:cstheme="minorHAnsi"/>
                <w:noProof/>
                <w:webHidden/>
                <w:color w:val="002060"/>
              </w:rPr>
              <w:fldChar w:fldCharType="end"/>
            </w:r>
          </w:hyperlink>
        </w:p>
        <w:p w14:paraId="67B01F97" w14:textId="3C9D6EA2" w:rsidR="00605352" w:rsidRPr="00605352" w:rsidRDefault="009756DA">
          <w:pPr>
            <w:pStyle w:val="TOC1"/>
            <w:tabs>
              <w:tab w:val="left" w:pos="400"/>
              <w:tab w:val="right" w:leader="dot" w:pos="9350"/>
            </w:tabs>
            <w:rPr>
              <w:rFonts w:cstheme="minorHAnsi"/>
              <w:b w:val="0"/>
              <w:bCs w:val="0"/>
              <w:caps w:val="0"/>
              <w:noProof/>
              <w:color w:val="002060"/>
              <w:kern w:val="2"/>
              <w:sz w:val="24"/>
              <w:szCs w:val="24"/>
              <w:lang w:val="en-US" w:eastAsia="en-US"/>
              <w14:ligatures w14:val="standardContextual"/>
            </w:rPr>
          </w:pPr>
          <w:hyperlink w:anchor="_Toc220541840" w:history="1">
            <w:r w:rsidR="00605352" w:rsidRPr="00605352">
              <w:rPr>
                <w:rStyle w:val="Hyperlink"/>
                <w:rFonts w:cstheme="minorHAnsi"/>
                <w:noProof/>
                <w:color w:val="002060"/>
              </w:rPr>
              <w:t>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METODOLOGIJA I SADRŽINA NACIONALNOG IMPLEMENTACIONOG PLANA (NIP)</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_Toc220541840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24</w:t>
            </w:r>
            <w:r w:rsidR="00605352" w:rsidRPr="00605352">
              <w:rPr>
                <w:rFonts w:cstheme="minorHAnsi"/>
                <w:noProof/>
                <w:webHidden/>
                <w:color w:val="002060"/>
              </w:rPr>
              <w:fldChar w:fldCharType="end"/>
            </w:r>
          </w:hyperlink>
        </w:p>
        <w:p w14:paraId="6AB8C9AE" w14:textId="5C6F2A68"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41" w:history="1">
            <w:r w:rsidR="00605352" w:rsidRPr="00605352">
              <w:rPr>
                <w:rStyle w:val="Hyperlink"/>
                <w:rFonts w:cstheme="minorHAnsi"/>
                <w:noProof/>
                <w:color w:val="002060"/>
              </w:rPr>
              <w:t>2.1.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Međunarodni metodološki okvir</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_Toc220541841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24</w:t>
            </w:r>
            <w:r w:rsidR="00605352" w:rsidRPr="00605352">
              <w:rPr>
                <w:rFonts w:cstheme="minorHAnsi"/>
                <w:noProof/>
                <w:webHidden/>
                <w:color w:val="002060"/>
              </w:rPr>
              <w:fldChar w:fldCharType="end"/>
            </w:r>
          </w:hyperlink>
        </w:p>
        <w:p w14:paraId="4E1E12A5" w14:textId="28037506"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42" w:history="1">
            <w:r w:rsidR="00605352" w:rsidRPr="00605352">
              <w:rPr>
                <w:rStyle w:val="Hyperlink"/>
                <w:rFonts w:cstheme="minorHAnsi"/>
                <w:noProof/>
                <w:color w:val="002060"/>
              </w:rPr>
              <w:t>2.2.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Nacionalni pravni i strateški okvir</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_Toc220541842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25</w:t>
            </w:r>
            <w:r w:rsidR="00605352" w:rsidRPr="00605352">
              <w:rPr>
                <w:rFonts w:cstheme="minorHAnsi"/>
                <w:noProof/>
                <w:webHidden/>
                <w:color w:val="002060"/>
              </w:rPr>
              <w:fldChar w:fldCharType="end"/>
            </w:r>
          </w:hyperlink>
        </w:p>
        <w:p w14:paraId="72BE1623" w14:textId="37ADA7A7"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43" w:history="1">
            <w:r w:rsidR="00605352" w:rsidRPr="00605352">
              <w:rPr>
                <w:rStyle w:val="Hyperlink"/>
                <w:rFonts w:cstheme="minorHAnsi"/>
                <w:noProof/>
                <w:color w:val="002060"/>
              </w:rPr>
              <w:t>Primjena metodološkog okvira u izradi NIP-a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_Toc220541843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25</w:t>
            </w:r>
            <w:r w:rsidR="00605352" w:rsidRPr="00605352">
              <w:rPr>
                <w:rFonts w:cstheme="minorHAnsi"/>
                <w:noProof/>
                <w:webHidden/>
                <w:color w:val="002060"/>
              </w:rPr>
              <w:fldChar w:fldCharType="end"/>
            </w:r>
          </w:hyperlink>
        </w:p>
        <w:p w14:paraId="01642086" w14:textId="18B7EF14"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44" w:history="1">
            <w:r w:rsidR="00605352" w:rsidRPr="00605352">
              <w:rPr>
                <w:rStyle w:val="Hyperlink"/>
                <w:rFonts w:cstheme="minorHAnsi"/>
                <w:noProof/>
                <w:color w:val="002060"/>
              </w:rPr>
              <w:t>2.3.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Struktura sadržaja NIP-a i njena metodološka osnova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_Toc220541844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26</w:t>
            </w:r>
            <w:r w:rsidR="00605352" w:rsidRPr="00605352">
              <w:rPr>
                <w:rFonts w:cstheme="minorHAnsi"/>
                <w:noProof/>
                <w:webHidden/>
                <w:color w:val="002060"/>
              </w:rPr>
              <w:fldChar w:fldCharType="end"/>
            </w:r>
          </w:hyperlink>
        </w:p>
        <w:p w14:paraId="7940660E" w14:textId="4A574DFD"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45" w:history="1">
            <w:r w:rsidR="00605352" w:rsidRPr="00605352">
              <w:rPr>
                <w:rStyle w:val="Hyperlink"/>
                <w:rFonts w:cstheme="minorHAnsi"/>
                <w:noProof/>
                <w:color w:val="002060"/>
              </w:rPr>
              <w:t>2.4.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Usklađenost sa postojećim finansijskim okvirom</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_Toc220541845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26</w:t>
            </w:r>
            <w:r w:rsidR="00605352" w:rsidRPr="00605352">
              <w:rPr>
                <w:rFonts w:cstheme="minorHAnsi"/>
                <w:noProof/>
                <w:webHidden/>
                <w:color w:val="002060"/>
              </w:rPr>
              <w:fldChar w:fldCharType="end"/>
            </w:r>
          </w:hyperlink>
        </w:p>
        <w:p w14:paraId="36981BD4" w14:textId="48A67DCE"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46" w:history="1">
            <w:r w:rsidR="00605352" w:rsidRPr="00605352">
              <w:rPr>
                <w:rStyle w:val="Hyperlink"/>
                <w:rFonts w:cstheme="minorHAnsi"/>
                <w:noProof/>
                <w:color w:val="002060"/>
              </w:rPr>
              <w:t>2.5.</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Usklađenost sa postojećim strateškim okvirom</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_Toc220541846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27</w:t>
            </w:r>
            <w:r w:rsidR="00605352" w:rsidRPr="00605352">
              <w:rPr>
                <w:rFonts w:cstheme="minorHAnsi"/>
                <w:noProof/>
                <w:webHidden/>
                <w:color w:val="002060"/>
              </w:rPr>
              <w:fldChar w:fldCharType="end"/>
            </w:r>
          </w:hyperlink>
        </w:p>
        <w:p w14:paraId="047052E2" w14:textId="2ECA01FD"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847" w:history="1">
            <w:r w:rsidR="00605352" w:rsidRPr="00605352">
              <w:rPr>
                <w:rStyle w:val="Hyperlink"/>
                <w:rFonts w:cstheme="minorHAnsi"/>
                <w:noProof/>
                <w:color w:val="002060"/>
              </w:rPr>
              <w:t>2.5.1.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Međunarodni okvir:</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_Toc220541847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27</w:t>
            </w:r>
            <w:r w:rsidR="00605352" w:rsidRPr="00605352">
              <w:rPr>
                <w:rFonts w:cstheme="minorHAnsi"/>
                <w:noProof/>
                <w:webHidden/>
                <w:color w:val="002060"/>
              </w:rPr>
              <w:fldChar w:fldCharType="end"/>
            </w:r>
          </w:hyperlink>
        </w:p>
        <w:p w14:paraId="64286AC9" w14:textId="203561D8"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848" w:history="1">
            <w:r w:rsidR="00605352" w:rsidRPr="00605352">
              <w:rPr>
                <w:rStyle w:val="Hyperlink"/>
                <w:rFonts w:cstheme="minorHAnsi"/>
                <w:noProof/>
                <w:color w:val="002060"/>
              </w:rPr>
              <w:t>2.5.2.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Nacionalni okvir:</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_Toc220541848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28</w:t>
            </w:r>
            <w:r w:rsidR="00605352" w:rsidRPr="00605352">
              <w:rPr>
                <w:rFonts w:cstheme="minorHAnsi"/>
                <w:noProof/>
                <w:webHidden/>
                <w:color w:val="002060"/>
              </w:rPr>
              <w:fldChar w:fldCharType="end"/>
            </w:r>
          </w:hyperlink>
        </w:p>
        <w:p w14:paraId="7D95942E" w14:textId="3DE41CD8" w:rsidR="00605352" w:rsidRPr="00605352" w:rsidRDefault="009756DA">
          <w:pPr>
            <w:pStyle w:val="TOC1"/>
            <w:tabs>
              <w:tab w:val="left" w:pos="400"/>
              <w:tab w:val="right" w:leader="dot" w:pos="9350"/>
            </w:tabs>
            <w:rPr>
              <w:rFonts w:cstheme="minorHAnsi"/>
              <w:b w:val="0"/>
              <w:bCs w:val="0"/>
              <w:caps w:val="0"/>
              <w:noProof/>
              <w:color w:val="002060"/>
              <w:kern w:val="2"/>
              <w:sz w:val="24"/>
              <w:szCs w:val="24"/>
              <w:lang w:val="en-US" w:eastAsia="en-US"/>
              <w14:ligatures w14:val="standardContextual"/>
            </w:rPr>
          </w:pPr>
          <w:hyperlink w:anchor="_Toc220541849" w:history="1">
            <w:r w:rsidR="00605352" w:rsidRPr="00605352">
              <w:rPr>
                <w:rStyle w:val="Hyperlink"/>
                <w:rFonts w:cstheme="minorHAnsi"/>
                <w:noProof/>
                <w:color w:val="002060"/>
              </w:rPr>
              <w:t>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OPŠTE INFORMACIJE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_Toc220541849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31</w:t>
            </w:r>
            <w:r w:rsidR="00605352" w:rsidRPr="00605352">
              <w:rPr>
                <w:rFonts w:cstheme="minorHAnsi"/>
                <w:noProof/>
                <w:webHidden/>
                <w:color w:val="002060"/>
              </w:rPr>
              <w:fldChar w:fldCharType="end"/>
            </w:r>
          </w:hyperlink>
        </w:p>
        <w:p w14:paraId="6E62AFE1" w14:textId="14208D72"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50" w:history="1">
            <w:r w:rsidR="00605352" w:rsidRPr="00605352">
              <w:rPr>
                <w:rStyle w:val="Hyperlink"/>
                <w:rFonts w:cstheme="minorHAnsi"/>
                <w:noProof/>
                <w:color w:val="002060"/>
              </w:rPr>
              <w:t>3.1.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Prirodno-geografske, demografske i društveno-političke karakteristike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_Toc220541850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31</w:t>
            </w:r>
            <w:r w:rsidR="00605352" w:rsidRPr="00605352">
              <w:rPr>
                <w:rFonts w:cstheme="minorHAnsi"/>
                <w:noProof/>
                <w:webHidden/>
                <w:color w:val="002060"/>
              </w:rPr>
              <w:fldChar w:fldCharType="end"/>
            </w:r>
          </w:hyperlink>
        </w:p>
        <w:p w14:paraId="5B023EA7" w14:textId="6A554E1E"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51" w:history="1">
            <w:r w:rsidR="00605352" w:rsidRPr="00605352">
              <w:rPr>
                <w:rStyle w:val="Hyperlink"/>
                <w:rFonts w:cstheme="minorHAnsi"/>
                <w:noProof/>
                <w:color w:val="002060"/>
              </w:rPr>
              <w:t>3.2.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Uvod u ekonomski (privredni) kontekst Crne Gore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_Toc220541851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32</w:t>
            </w:r>
            <w:r w:rsidR="00605352" w:rsidRPr="00605352">
              <w:rPr>
                <w:rFonts w:cstheme="minorHAnsi"/>
                <w:noProof/>
                <w:webHidden/>
                <w:color w:val="002060"/>
              </w:rPr>
              <w:fldChar w:fldCharType="end"/>
            </w:r>
          </w:hyperlink>
        </w:p>
        <w:p w14:paraId="002A6683" w14:textId="3029F6E6" w:rsidR="00605352" w:rsidRPr="00605352" w:rsidRDefault="009756DA">
          <w:pPr>
            <w:pStyle w:val="TOC1"/>
            <w:tabs>
              <w:tab w:val="left" w:pos="400"/>
              <w:tab w:val="right" w:leader="dot" w:pos="9350"/>
            </w:tabs>
            <w:rPr>
              <w:rFonts w:cstheme="minorHAnsi"/>
              <w:b w:val="0"/>
              <w:bCs w:val="0"/>
              <w:caps w:val="0"/>
              <w:noProof/>
              <w:color w:val="002060"/>
              <w:kern w:val="2"/>
              <w:sz w:val="24"/>
              <w:szCs w:val="24"/>
              <w:lang w:val="en-US" w:eastAsia="en-US"/>
              <w14:ligatures w14:val="standardContextual"/>
            </w:rPr>
          </w:pPr>
          <w:hyperlink w:anchor="_Toc220541852" w:history="1">
            <w:r w:rsidR="00605352" w:rsidRPr="00605352">
              <w:rPr>
                <w:rStyle w:val="Hyperlink"/>
                <w:rFonts w:cstheme="minorHAnsi"/>
                <w:noProof/>
                <w:color w:val="002060"/>
              </w:rPr>
              <w:t>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INVENTARIZACIJA POPs</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_Toc220541852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37</w:t>
            </w:r>
            <w:r w:rsidR="00605352" w:rsidRPr="00605352">
              <w:rPr>
                <w:rFonts w:cstheme="minorHAnsi"/>
                <w:noProof/>
                <w:webHidden/>
                <w:color w:val="002060"/>
              </w:rPr>
              <w:fldChar w:fldCharType="end"/>
            </w:r>
          </w:hyperlink>
        </w:p>
        <w:p w14:paraId="75AB5AE5" w14:textId="545324D9"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53" w:history="1">
            <w:r w:rsidR="00605352" w:rsidRPr="00605352">
              <w:rPr>
                <w:rStyle w:val="Hyperlink"/>
                <w:rFonts w:cstheme="minorHAnsi"/>
                <w:noProof/>
                <w:color w:val="002060"/>
              </w:rPr>
              <w:t>4.1.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POPs PESTICIDI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_Toc220541853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37</w:t>
            </w:r>
            <w:r w:rsidR="00605352" w:rsidRPr="00605352">
              <w:rPr>
                <w:rFonts w:cstheme="minorHAnsi"/>
                <w:noProof/>
                <w:webHidden/>
                <w:color w:val="002060"/>
              </w:rPr>
              <w:fldChar w:fldCharType="end"/>
            </w:r>
          </w:hyperlink>
        </w:p>
        <w:p w14:paraId="49CB02F2" w14:textId="2C342258"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54"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_Toc220541854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37</w:t>
            </w:r>
            <w:r w:rsidR="00605352" w:rsidRPr="00605352">
              <w:rPr>
                <w:rFonts w:cstheme="minorHAnsi"/>
                <w:noProof/>
                <w:webHidden/>
                <w:color w:val="002060"/>
              </w:rPr>
              <w:fldChar w:fldCharType="end"/>
            </w:r>
          </w:hyperlink>
        </w:p>
        <w:p w14:paraId="0C3CDA9B" w14:textId="5E7BEAD7"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55" w:history="1">
            <w:r w:rsidR="00605352" w:rsidRPr="00605352">
              <w:rPr>
                <w:rStyle w:val="Hyperlink"/>
                <w:rFonts w:cstheme="minorHAnsi"/>
                <w:noProof/>
                <w:color w:val="002060"/>
              </w:rPr>
              <w:t>4.2.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Zakonodavni okvir</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_Toc220541855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37</w:t>
            </w:r>
            <w:r w:rsidR="00605352" w:rsidRPr="00605352">
              <w:rPr>
                <w:rFonts w:cstheme="minorHAnsi"/>
                <w:noProof/>
                <w:webHidden/>
                <w:color w:val="002060"/>
              </w:rPr>
              <w:fldChar w:fldCharType="end"/>
            </w:r>
          </w:hyperlink>
        </w:p>
        <w:p w14:paraId="159B13E0" w14:textId="6C6DB939"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56" w:history="1">
            <w:r w:rsidR="00605352" w:rsidRPr="00605352">
              <w:rPr>
                <w:rStyle w:val="Hyperlink"/>
                <w:rFonts w:cstheme="minorHAnsi"/>
                <w:noProof/>
                <w:color w:val="002060"/>
              </w:rPr>
              <w:t>4.3.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Proizvodnja pesticida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_Toc220541856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38</w:t>
            </w:r>
            <w:r w:rsidR="00605352" w:rsidRPr="00605352">
              <w:rPr>
                <w:rFonts w:cstheme="minorHAnsi"/>
                <w:noProof/>
                <w:webHidden/>
                <w:color w:val="002060"/>
              </w:rPr>
              <w:fldChar w:fldCharType="end"/>
            </w:r>
          </w:hyperlink>
        </w:p>
        <w:p w14:paraId="79562840" w14:textId="4A99D4AC"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57" w:history="1">
            <w:r w:rsidR="00605352" w:rsidRPr="00605352">
              <w:rPr>
                <w:rStyle w:val="Hyperlink"/>
                <w:rFonts w:cstheme="minorHAnsi"/>
                <w:noProof/>
                <w:color w:val="002060"/>
              </w:rPr>
              <w:t>4.4.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Istorija upotrebe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_Toc220541857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38</w:t>
            </w:r>
            <w:r w:rsidR="00605352" w:rsidRPr="00605352">
              <w:rPr>
                <w:rFonts w:cstheme="minorHAnsi"/>
                <w:noProof/>
                <w:webHidden/>
                <w:color w:val="002060"/>
              </w:rPr>
              <w:fldChar w:fldCharType="end"/>
            </w:r>
          </w:hyperlink>
        </w:p>
        <w:p w14:paraId="79532212" w14:textId="06A25981"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58" w:history="1">
            <w:r w:rsidR="00605352" w:rsidRPr="00605352">
              <w:rPr>
                <w:rStyle w:val="Hyperlink"/>
                <w:rFonts w:cstheme="minorHAnsi"/>
                <w:noProof/>
                <w:color w:val="002060"/>
              </w:rPr>
              <w:t>4.5.</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Izvoz pesticida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_Toc220541858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38</w:t>
            </w:r>
            <w:r w:rsidR="00605352" w:rsidRPr="00605352">
              <w:rPr>
                <w:rFonts w:cstheme="minorHAnsi"/>
                <w:noProof/>
                <w:webHidden/>
                <w:color w:val="002060"/>
              </w:rPr>
              <w:fldChar w:fldCharType="end"/>
            </w:r>
          </w:hyperlink>
        </w:p>
        <w:p w14:paraId="054F1271" w14:textId="31C2E5A1"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59" w:history="1">
            <w:r w:rsidR="00605352" w:rsidRPr="00605352">
              <w:rPr>
                <w:rStyle w:val="Hyperlink"/>
                <w:rFonts w:cstheme="minorHAnsi"/>
                <w:noProof/>
                <w:color w:val="002060"/>
              </w:rPr>
              <w:t>4.6.</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Uvoz pesticida u Crnu Goru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_Toc220541859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38</w:t>
            </w:r>
            <w:r w:rsidR="00605352" w:rsidRPr="00605352">
              <w:rPr>
                <w:rFonts w:cstheme="minorHAnsi"/>
                <w:noProof/>
                <w:webHidden/>
                <w:color w:val="002060"/>
              </w:rPr>
              <w:fldChar w:fldCharType="end"/>
            </w:r>
          </w:hyperlink>
        </w:p>
        <w:p w14:paraId="45831CF1" w14:textId="4206465B"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60" w:history="1">
            <w:r w:rsidR="00605352" w:rsidRPr="00605352">
              <w:rPr>
                <w:rStyle w:val="Hyperlink"/>
                <w:rFonts w:cstheme="minorHAnsi"/>
                <w:noProof/>
                <w:color w:val="002060"/>
              </w:rPr>
              <w:t>4.7.</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Evaluacija nalaza inventara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_Toc220541860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45</w:t>
            </w:r>
            <w:r w:rsidR="00605352" w:rsidRPr="00605352">
              <w:rPr>
                <w:rFonts w:cstheme="minorHAnsi"/>
                <w:noProof/>
                <w:webHidden/>
                <w:color w:val="002060"/>
              </w:rPr>
              <w:fldChar w:fldCharType="end"/>
            </w:r>
          </w:hyperlink>
        </w:p>
        <w:p w14:paraId="51FA239D" w14:textId="141C3361"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61" w:history="1">
            <w:r w:rsidR="00605352" w:rsidRPr="00605352">
              <w:rPr>
                <w:rStyle w:val="Hyperlink"/>
                <w:rFonts w:cstheme="minorHAnsi"/>
                <w:noProof/>
                <w:color w:val="002060"/>
              </w:rPr>
              <w:t>4.8.</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Monitoring ostataka pesticida u hrani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_Toc220541861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46</w:t>
            </w:r>
            <w:r w:rsidR="00605352" w:rsidRPr="00605352">
              <w:rPr>
                <w:rFonts w:cstheme="minorHAnsi"/>
                <w:noProof/>
                <w:webHidden/>
                <w:color w:val="002060"/>
              </w:rPr>
              <w:fldChar w:fldCharType="end"/>
            </w:r>
          </w:hyperlink>
        </w:p>
        <w:p w14:paraId="0435249E" w14:textId="2658C552"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62" w:history="1">
            <w:r w:rsidR="00605352" w:rsidRPr="00605352">
              <w:rPr>
                <w:rStyle w:val="Hyperlink"/>
                <w:rFonts w:cstheme="minorHAnsi"/>
                <w:noProof/>
                <w:color w:val="002060"/>
              </w:rPr>
              <w:t>4.9.</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Opšti zaključak</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_Toc220541862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47</w:t>
            </w:r>
            <w:r w:rsidR="00605352" w:rsidRPr="00605352">
              <w:rPr>
                <w:rFonts w:cstheme="minorHAnsi"/>
                <w:noProof/>
                <w:webHidden/>
                <w:color w:val="002060"/>
              </w:rPr>
              <w:fldChar w:fldCharType="end"/>
            </w:r>
          </w:hyperlink>
        </w:p>
        <w:p w14:paraId="05CA6811" w14:textId="4B40DCD4"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863" w:history="1">
            <w:r w:rsidR="00605352" w:rsidRPr="00605352">
              <w:rPr>
                <w:rStyle w:val="Hyperlink"/>
                <w:rFonts w:cstheme="minorHAnsi"/>
                <w:noProof/>
                <w:color w:val="002060"/>
              </w:rPr>
              <w:t>4.10.</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Preporučene mjere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_Toc220541863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48</w:t>
            </w:r>
            <w:r w:rsidR="00605352" w:rsidRPr="00605352">
              <w:rPr>
                <w:rFonts w:cstheme="minorHAnsi"/>
                <w:noProof/>
                <w:webHidden/>
                <w:color w:val="002060"/>
              </w:rPr>
              <w:fldChar w:fldCharType="end"/>
            </w:r>
          </w:hyperlink>
        </w:p>
        <w:p w14:paraId="4106FD29" w14:textId="36CDDE1E" w:rsidR="00605352" w:rsidRPr="00605352" w:rsidRDefault="009756DA">
          <w:pPr>
            <w:pStyle w:val="TOC1"/>
            <w:tabs>
              <w:tab w:val="left" w:pos="400"/>
              <w:tab w:val="right" w:leader="dot" w:pos="9350"/>
            </w:tabs>
            <w:rPr>
              <w:rFonts w:cstheme="minorHAnsi"/>
              <w:b w:val="0"/>
              <w:bCs w:val="0"/>
              <w:caps w:val="0"/>
              <w:noProof/>
              <w:color w:val="002060"/>
              <w:kern w:val="2"/>
              <w:sz w:val="24"/>
              <w:szCs w:val="24"/>
              <w:lang w:val="en-US" w:eastAsia="en-US"/>
              <w14:ligatures w14:val="standardContextual"/>
            </w:rPr>
          </w:pPr>
          <w:hyperlink w:anchor="_Toc220541864" w:history="1">
            <w:r w:rsidR="00605352" w:rsidRPr="00605352">
              <w:rPr>
                <w:rStyle w:val="Hyperlink"/>
                <w:rFonts w:cstheme="minorHAnsi"/>
                <w:noProof/>
                <w:color w:val="002060"/>
              </w:rPr>
              <w:t>5.</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POLIHLOROVANI BIFENILI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_Toc220541864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48</w:t>
            </w:r>
            <w:r w:rsidR="00605352" w:rsidRPr="00605352">
              <w:rPr>
                <w:rFonts w:cstheme="minorHAnsi"/>
                <w:noProof/>
                <w:webHidden/>
                <w:color w:val="002060"/>
              </w:rPr>
              <w:fldChar w:fldCharType="end"/>
            </w:r>
          </w:hyperlink>
        </w:p>
        <w:p w14:paraId="442AF572" w14:textId="2A854508" w:rsidR="00605352" w:rsidRPr="00605352" w:rsidRDefault="009756DA">
          <w:pPr>
            <w:pStyle w:val="TOC2"/>
            <w:tabs>
              <w:tab w:val="right" w:leader="dot" w:pos="9350"/>
            </w:tabs>
            <w:rPr>
              <w:rFonts w:cstheme="minorHAnsi"/>
              <w:smallCaps w:val="0"/>
              <w:noProof/>
              <w:color w:val="002060"/>
              <w:kern w:val="2"/>
              <w:sz w:val="24"/>
              <w:szCs w:val="24"/>
              <w:lang w:val="en-US" w:eastAsia="en-US"/>
              <w14:ligatures w14:val="standardContextual"/>
            </w:rPr>
          </w:pPr>
          <w:hyperlink w:anchor="_Toc220541865"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_Toc220541865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48</w:t>
            </w:r>
            <w:r w:rsidR="00605352" w:rsidRPr="00605352">
              <w:rPr>
                <w:rFonts w:cstheme="minorHAnsi"/>
                <w:noProof/>
                <w:webHidden/>
                <w:color w:val="002060"/>
              </w:rPr>
              <w:fldChar w:fldCharType="end"/>
            </w:r>
          </w:hyperlink>
        </w:p>
        <w:p w14:paraId="3F16F14D" w14:textId="443BB59B"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66" w:history="1">
            <w:r w:rsidR="00605352" w:rsidRPr="00605352">
              <w:rPr>
                <w:rStyle w:val="Hyperlink"/>
                <w:rFonts w:cstheme="minorHAnsi"/>
                <w:noProof/>
                <w:color w:val="002060"/>
              </w:rPr>
              <w:t>5.1.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Poređenje sa prethodnim NIP-ovima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_Toc220541866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49</w:t>
            </w:r>
            <w:r w:rsidR="00605352" w:rsidRPr="00605352">
              <w:rPr>
                <w:rFonts w:cstheme="minorHAnsi"/>
                <w:noProof/>
                <w:webHidden/>
                <w:color w:val="002060"/>
              </w:rPr>
              <w:fldChar w:fldCharType="end"/>
            </w:r>
          </w:hyperlink>
        </w:p>
        <w:p w14:paraId="6E33FD79" w14:textId="03E74D25"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67" w:history="1">
            <w:r w:rsidR="00605352" w:rsidRPr="00605352">
              <w:rPr>
                <w:rStyle w:val="Hyperlink"/>
                <w:rFonts w:cstheme="minorHAnsi"/>
                <w:noProof/>
                <w:color w:val="002060"/>
              </w:rPr>
              <w:t>5.2.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Stanje implementacije planova aktivnosti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_Toc220541867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50</w:t>
            </w:r>
            <w:r w:rsidR="00605352" w:rsidRPr="00605352">
              <w:rPr>
                <w:rFonts w:cstheme="minorHAnsi"/>
                <w:noProof/>
                <w:webHidden/>
                <w:color w:val="002060"/>
              </w:rPr>
              <w:fldChar w:fldCharType="end"/>
            </w:r>
          </w:hyperlink>
        </w:p>
        <w:p w14:paraId="5B8FF760" w14:textId="6E8A17C1"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68" w:history="1">
            <w:r w:rsidR="00605352" w:rsidRPr="00605352">
              <w:rPr>
                <w:rStyle w:val="Hyperlink"/>
                <w:rFonts w:cstheme="minorHAnsi"/>
                <w:noProof/>
                <w:color w:val="002060"/>
              </w:rPr>
              <w:t>5.3.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Proces inventarizacije polihlorovanih bifenila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_Toc220541868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50</w:t>
            </w:r>
            <w:r w:rsidR="00605352" w:rsidRPr="00605352">
              <w:rPr>
                <w:rFonts w:cstheme="minorHAnsi"/>
                <w:noProof/>
                <w:webHidden/>
                <w:color w:val="002060"/>
              </w:rPr>
              <w:fldChar w:fldCharType="end"/>
            </w:r>
          </w:hyperlink>
        </w:p>
        <w:p w14:paraId="3D1217C9" w14:textId="1783AE75"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69" w:history="1">
            <w:r w:rsidR="00605352" w:rsidRPr="00605352">
              <w:rPr>
                <w:rStyle w:val="Hyperlink"/>
                <w:rFonts w:cstheme="minorHAnsi"/>
                <w:noProof/>
                <w:color w:val="002060"/>
              </w:rPr>
              <w:t>Rezultati projekta „Sveobuhvatno ekološki prihvatljivo upravljanje PCB-ovima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_Toc220541869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52</w:t>
            </w:r>
            <w:r w:rsidR="00605352" w:rsidRPr="00605352">
              <w:rPr>
                <w:rFonts w:cstheme="minorHAnsi"/>
                <w:noProof/>
                <w:webHidden/>
                <w:color w:val="002060"/>
              </w:rPr>
              <w:fldChar w:fldCharType="end"/>
            </w:r>
          </w:hyperlink>
        </w:p>
        <w:p w14:paraId="7A2741CC" w14:textId="714821AC"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70" w:history="1">
            <w:r w:rsidR="00605352" w:rsidRPr="00605352">
              <w:rPr>
                <w:rStyle w:val="Hyperlink"/>
                <w:rFonts w:cstheme="minorHAnsi"/>
                <w:noProof/>
                <w:color w:val="002060"/>
              </w:rPr>
              <w:t>5.4.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ZAKLJUČAK</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_Toc220541870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55</w:t>
            </w:r>
            <w:r w:rsidR="00605352" w:rsidRPr="00605352">
              <w:rPr>
                <w:rFonts w:cstheme="minorHAnsi"/>
                <w:noProof/>
                <w:webHidden/>
                <w:color w:val="002060"/>
              </w:rPr>
              <w:fldChar w:fldCharType="end"/>
            </w:r>
          </w:hyperlink>
        </w:p>
        <w:p w14:paraId="4F142FC3" w14:textId="099A7462" w:rsidR="00605352" w:rsidRPr="00605352" w:rsidRDefault="009756DA">
          <w:pPr>
            <w:pStyle w:val="TOC1"/>
            <w:tabs>
              <w:tab w:val="left" w:pos="400"/>
              <w:tab w:val="right" w:leader="dot" w:pos="9350"/>
            </w:tabs>
            <w:rPr>
              <w:rFonts w:cstheme="minorHAnsi"/>
              <w:b w:val="0"/>
              <w:bCs w:val="0"/>
              <w:caps w:val="0"/>
              <w:noProof/>
              <w:color w:val="002060"/>
              <w:kern w:val="2"/>
              <w:sz w:val="24"/>
              <w:szCs w:val="24"/>
              <w:lang w:val="en-US" w:eastAsia="en-US"/>
              <w14:ligatures w14:val="standardContextual"/>
            </w:rPr>
          </w:pPr>
          <w:hyperlink w:anchor="_Toc220541871" w:history="1">
            <w:r w:rsidR="00605352" w:rsidRPr="00605352">
              <w:rPr>
                <w:rStyle w:val="Hyperlink"/>
                <w:rFonts w:cstheme="minorHAnsi"/>
                <w:noProof/>
                <w:color w:val="002060"/>
              </w:rPr>
              <w:t>6.</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NENAMJERNO PROIZVEDENI POP‘s</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_Toc220541871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55</w:t>
            </w:r>
            <w:r w:rsidR="00605352" w:rsidRPr="00605352">
              <w:rPr>
                <w:rFonts w:cstheme="minorHAnsi"/>
                <w:noProof/>
                <w:webHidden/>
                <w:color w:val="002060"/>
              </w:rPr>
              <w:fldChar w:fldCharType="end"/>
            </w:r>
          </w:hyperlink>
        </w:p>
        <w:p w14:paraId="54792108" w14:textId="2144EB75"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72" w:history="1">
            <w:r w:rsidR="00605352" w:rsidRPr="00605352">
              <w:rPr>
                <w:rStyle w:val="Hyperlink"/>
                <w:rFonts w:cstheme="minorHAnsi"/>
                <w:noProof/>
                <w:color w:val="002060"/>
                <w:lang w:val="sr-Latn-RS"/>
              </w:rPr>
              <w:t>6.1.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lang w:val="sr-Latn-RS"/>
              </w:rPr>
              <w:t>Procjena nenamjerno proizvedenih POP’s iz Aneksa C (PCDD/PCDF, HCB i PCB) Stokholmske konvencije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_Toc220541872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56</w:t>
            </w:r>
            <w:r w:rsidR="00605352" w:rsidRPr="00605352">
              <w:rPr>
                <w:rFonts w:cstheme="minorHAnsi"/>
                <w:noProof/>
                <w:webHidden/>
                <w:color w:val="002060"/>
              </w:rPr>
              <w:fldChar w:fldCharType="end"/>
            </w:r>
          </w:hyperlink>
        </w:p>
        <w:p w14:paraId="45F51DE7" w14:textId="4C98E6A9"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73" w:history="1">
            <w:r w:rsidR="00605352" w:rsidRPr="00605352">
              <w:rPr>
                <w:rStyle w:val="Hyperlink"/>
                <w:rFonts w:cstheme="minorHAnsi"/>
                <w:noProof/>
                <w:color w:val="002060"/>
              </w:rPr>
              <w:t>Procjena nenamjerno proizvedenih POP's (PCDD/PCDF, HCB i PCB) za period 2006-2022.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_Toc220541873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58</w:t>
            </w:r>
            <w:r w:rsidR="00605352" w:rsidRPr="00605352">
              <w:rPr>
                <w:rFonts w:cstheme="minorHAnsi"/>
                <w:noProof/>
                <w:webHidden/>
                <w:color w:val="002060"/>
              </w:rPr>
              <w:fldChar w:fldCharType="end"/>
            </w:r>
          </w:hyperlink>
        </w:p>
        <w:p w14:paraId="6788F345" w14:textId="407755BF"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74" w:history="1">
            <w:r w:rsidR="00605352" w:rsidRPr="00605352">
              <w:rPr>
                <w:rStyle w:val="Hyperlink"/>
                <w:rFonts w:cstheme="minorHAnsi"/>
                <w:noProof/>
                <w:color w:val="002060"/>
              </w:rPr>
              <w:t>Ukupne procijenjene emisije nenamjerno proizvedenih POP’s (PCDD/PCDF) za period 2006 -2022.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_Toc220541874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59</w:t>
            </w:r>
            <w:r w:rsidR="00605352" w:rsidRPr="00605352">
              <w:rPr>
                <w:rFonts w:cstheme="minorHAnsi"/>
                <w:noProof/>
                <w:webHidden/>
                <w:color w:val="002060"/>
              </w:rPr>
              <w:fldChar w:fldCharType="end"/>
            </w:r>
          </w:hyperlink>
        </w:p>
        <w:p w14:paraId="0BE97B6E" w14:textId="456C5F46"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75" w:history="1">
            <w:r w:rsidR="00605352" w:rsidRPr="00605352">
              <w:rPr>
                <w:rStyle w:val="Hyperlink"/>
                <w:rFonts w:cstheme="minorHAnsi"/>
                <w:noProof/>
                <w:color w:val="002060"/>
              </w:rPr>
              <w:t>Procjene emisije nenamjerno proizvedenih POP‘s (PCDD/PCDF) u vazduh za period 2006 -2022.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_Toc220541875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60</w:t>
            </w:r>
            <w:r w:rsidR="00605352" w:rsidRPr="00605352">
              <w:rPr>
                <w:rFonts w:cstheme="minorHAnsi"/>
                <w:noProof/>
                <w:webHidden/>
                <w:color w:val="002060"/>
              </w:rPr>
              <w:fldChar w:fldCharType="end"/>
            </w:r>
          </w:hyperlink>
        </w:p>
        <w:p w14:paraId="1730EAE1" w14:textId="4F9B5064"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76" w:history="1">
            <w:r w:rsidR="00605352" w:rsidRPr="00605352">
              <w:rPr>
                <w:rStyle w:val="Hyperlink"/>
                <w:rFonts w:cstheme="minorHAnsi"/>
                <w:noProof/>
                <w:color w:val="002060"/>
              </w:rPr>
              <w:t>Procjene emisije nenamjerno proizvedenih POP‘s (PCDD/PCDF) u zemljište za period 2006 -2022.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_Toc220541876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61</w:t>
            </w:r>
            <w:r w:rsidR="00605352" w:rsidRPr="00605352">
              <w:rPr>
                <w:rFonts w:cstheme="minorHAnsi"/>
                <w:noProof/>
                <w:webHidden/>
                <w:color w:val="002060"/>
              </w:rPr>
              <w:fldChar w:fldCharType="end"/>
            </w:r>
          </w:hyperlink>
        </w:p>
        <w:p w14:paraId="4AAF6AE4" w14:textId="733A772B"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77" w:history="1">
            <w:r w:rsidR="00605352" w:rsidRPr="00605352">
              <w:rPr>
                <w:rStyle w:val="Hyperlink"/>
                <w:rFonts w:cstheme="minorHAnsi"/>
                <w:noProof/>
                <w:color w:val="002060"/>
              </w:rPr>
              <w:t>Procjene emisije nenamjerno proizvedenih POP‘s (PCDD/PCDF) koje su dospjele u proizvode za period 2006 -2022.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_Toc220541877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62</w:t>
            </w:r>
            <w:r w:rsidR="00605352" w:rsidRPr="00605352">
              <w:rPr>
                <w:rFonts w:cstheme="minorHAnsi"/>
                <w:noProof/>
                <w:webHidden/>
                <w:color w:val="002060"/>
              </w:rPr>
              <w:fldChar w:fldCharType="end"/>
            </w:r>
          </w:hyperlink>
        </w:p>
        <w:p w14:paraId="46A48CA9" w14:textId="3BAE9B79"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78" w:history="1">
            <w:r w:rsidR="00605352" w:rsidRPr="00605352">
              <w:rPr>
                <w:rStyle w:val="Hyperlink"/>
                <w:rFonts w:cstheme="minorHAnsi"/>
                <w:noProof/>
                <w:color w:val="002060"/>
              </w:rPr>
              <w:t>Procjene emisije nenamjerno proizvedenih POP‘s (PCDD/PCDF) koje su dospjele u ostatke iz procesa proizvodnje za period 2006 -2022.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_Toc220541878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62</w:t>
            </w:r>
            <w:r w:rsidR="00605352" w:rsidRPr="00605352">
              <w:rPr>
                <w:rFonts w:cstheme="minorHAnsi"/>
                <w:noProof/>
                <w:webHidden/>
                <w:color w:val="002060"/>
              </w:rPr>
              <w:fldChar w:fldCharType="end"/>
            </w:r>
          </w:hyperlink>
        </w:p>
        <w:p w14:paraId="31B51573" w14:textId="79C4D3CD"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79" w:history="1">
            <w:r w:rsidR="00605352" w:rsidRPr="00605352">
              <w:rPr>
                <w:rStyle w:val="Hyperlink"/>
                <w:rFonts w:cstheme="minorHAnsi"/>
                <w:noProof/>
                <w:color w:val="002060"/>
              </w:rPr>
              <w:t>Procjena emisija nenamjerno proizvedenih POP's (PCDD/PCDF) po glavnim grupama za period 2006 -2022.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_Toc220541879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63</w:t>
            </w:r>
            <w:r w:rsidR="00605352" w:rsidRPr="00605352">
              <w:rPr>
                <w:rFonts w:cstheme="minorHAnsi"/>
                <w:noProof/>
                <w:webHidden/>
                <w:color w:val="002060"/>
              </w:rPr>
              <w:fldChar w:fldCharType="end"/>
            </w:r>
          </w:hyperlink>
        </w:p>
        <w:p w14:paraId="0B049F64" w14:textId="4FFC9DC5"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80" w:history="1">
            <w:r w:rsidR="00605352" w:rsidRPr="00605352">
              <w:rPr>
                <w:rStyle w:val="Hyperlink"/>
                <w:rFonts w:cstheme="minorHAnsi"/>
                <w:noProof/>
                <w:color w:val="002060"/>
              </w:rPr>
              <w:t>Inventar nenamjerno emitovanih POP’s (HCBD, PecB, PCN) za period 2015 -2022.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_Toc220541880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79</w:t>
            </w:r>
            <w:r w:rsidR="00605352" w:rsidRPr="00605352">
              <w:rPr>
                <w:rFonts w:cstheme="minorHAnsi"/>
                <w:noProof/>
                <w:webHidden/>
                <w:color w:val="002060"/>
              </w:rPr>
              <w:fldChar w:fldCharType="end"/>
            </w:r>
          </w:hyperlink>
        </w:p>
        <w:p w14:paraId="4B638529" w14:textId="332057DC"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81" w:history="1">
            <w:r w:rsidR="00605352" w:rsidRPr="00605352">
              <w:rPr>
                <w:rStyle w:val="Hyperlink"/>
                <w:rFonts w:cstheme="minorHAnsi"/>
                <w:noProof/>
                <w:color w:val="002060"/>
              </w:rPr>
              <w:t>Preporuke/elementi za akcioni plan</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_Toc220541881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80</w:t>
            </w:r>
            <w:r w:rsidR="00605352" w:rsidRPr="00605352">
              <w:rPr>
                <w:rFonts w:cstheme="minorHAnsi"/>
                <w:noProof/>
                <w:webHidden/>
                <w:color w:val="002060"/>
              </w:rPr>
              <w:fldChar w:fldCharType="end"/>
            </w:r>
          </w:hyperlink>
        </w:p>
        <w:p w14:paraId="43F85AD3" w14:textId="35492874" w:rsidR="00605352" w:rsidRPr="00605352" w:rsidRDefault="009756DA">
          <w:pPr>
            <w:pStyle w:val="TOC1"/>
            <w:tabs>
              <w:tab w:val="left" w:pos="400"/>
              <w:tab w:val="right" w:leader="dot" w:pos="9350"/>
            </w:tabs>
            <w:rPr>
              <w:rFonts w:cstheme="minorHAnsi"/>
              <w:b w:val="0"/>
              <w:bCs w:val="0"/>
              <w:caps w:val="0"/>
              <w:noProof/>
              <w:color w:val="002060"/>
              <w:kern w:val="2"/>
              <w:sz w:val="24"/>
              <w:szCs w:val="24"/>
              <w:lang w:val="en-US" w:eastAsia="en-US"/>
              <w14:ligatures w14:val="standardContextual"/>
            </w:rPr>
          </w:pPr>
          <w:hyperlink w:anchor="_Toc220541882" w:history="1">
            <w:r w:rsidR="00605352" w:rsidRPr="00605352">
              <w:rPr>
                <w:rStyle w:val="Hyperlink"/>
                <w:rFonts w:cstheme="minorHAnsi"/>
                <w:noProof/>
                <w:color w:val="002060"/>
              </w:rPr>
              <w:t>7.</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INVENTAR POLIBROMOVANIH DIFENIL ETARA (PBDE) I HEKSABROMODIFENILA (HBB)</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_Toc220541882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81</w:t>
            </w:r>
            <w:r w:rsidR="00605352" w:rsidRPr="00605352">
              <w:rPr>
                <w:rFonts w:cstheme="minorHAnsi"/>
                <w:noProof/>
                <w:webHidden/>
                <w:color w:val="002060"/>
              </w:rPr>
              <w:fldChar w:fldCharType="end"/>
            </w:r>
          </w:hyperlink>
        </w:p>
        <w:p w14:paraId="29C11DD5" w14:textId="209DE03D"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83" w:history="1">
            <w:r w:rsidR="00605352" w:rsidRPr="00605352">
              <w:rPr>
                <w:rStyle w:val="Hyperlink"/>
                <w:rFonts w:cstheme="minorHAnsi"/>
                <w:noProof/>
                <w:color w:val="002060"/>
              </w:rPr>
              <w:t>Uvod u PBDE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_Toc220541883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81</w:t>
            </w:r>
            <w:r w:rsidR="00605352" w:rsidRPr="00605352">
              <w:rPr>
                <w:rFonts w:cstheme="minorHAnsi"/>
                <w:noProof/>
                <w:webHidden/>
                <w:color w:val="002060"/>
              </w:rPr>
              <w:fldChar w:fldCharType="end"/>
            </w:r>
          </w:hyperlink>
        </w:p>
        <w:p w14:paraId="70A22B4C" w14:textId="7F833E22"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84" w:history="1">
            <w:r w:rsidR="00605352" w:rsidRPr="00605352">
              <w:rPr>
                <w:rStyle w:val="Hyperlink"/>
                <w:rFonts w:cstheme="minorHAnsi"/>
                <w:noProof/>
                <w:color w:val="002060"/>
              </w:rPr>
              <w:t>7.1.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POP-PBDE i HBB prema Stokholmskoj konvenciji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_Toc220541884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82</w:t>
            </w:r>
            <w:r w:rsidR="00605352" w:rsidRPr="00605352">
              <w:rPr>
                <w:rFonts w:cstheme="minorHAnsi"/>
                <w:noProof/>
                <w:webHidden/>
                <w:color w:val="002060"/>
              </w:rPr>
              <w:fldChar w:fldCharType="end"/>
            </w:r>
          </w:hyperlink>
        </w:p>
        <w:p w14:paraId="18640849" w14:textId="67276789"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85" w:history="1">
            <w:r w:rsidR="00605352" w:rsidRPr="00605352">
              <w:rPr>
                <w:rStyle w:val="Hyperlink"/>
                <w:rFonts w:cstheme="minorHAnsi"/>
                <w:noProof/>
                <w:color w:val="002060"/>
              </w:rPr>
              <w:t>7.2.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Prošla i sadašnja upotreba POP-PBDE i HBB</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_Toc220541885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83</w:t>
            </w:r>
            <w:r w:rsidR="00605352" w:rsidRPr="00605352">
              <w:rPr>
                <w:rFonts w:cstheme="minorHAnsi"/>
                <w:noProof/>
                <w:webHidden/>
                <w:color w:val="002060"/>
              </w:rPr>
              <w:fldChar w:fldCharType="end"/>
            </w:r>
          </w:hyperlink>
        </w:p>
        <w:p w14:paraId="509E8DCB" w14:textId="5AF85392"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86" w:history="1">
            <w:r w:rsidR="00605352" w:rsidRPr="00605352">
              <w:rPr>
                <w:rStyle w:val="Hyperlink"/>
                <w:rFonts w:cstheme="minorHAnsi"/>
                <w:noProof/>
                <w:color w:val="002060"/>
              </w:rPr>
              <w:t>Prošla i sadašnja upotreba POP-PBDE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_Toc220541886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83</w:t>
            </w:r>
            <w:r w:rsidR="00605352" w:rsidRPr="00605352">
              <w:rPr>
                <w:rFonts w:cstheme="minorHAnsi"/>
                <w:noProof/>
                <w:webHidden/>
                <w:color w:val="002060"/>
              </w:rPr>
              <w:fldChar w:fldCharType="end"/>
            </w:r>
          </w:hyperlink>
        </w:p>
        <w:p w14:paraId="6DB28434" w14:textId="51FDD47D"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87" w:history="1">
            <w:r w:rsidR="00605352" w:rsidRPr="00605352">
              <w:rPr>
                <w:rStyle w:val="Hyperlink"/>
                <w:rFonts w:cstheme="minorHAnsi"/>
                <w:noProof/>
                <w:color w:val="002060"/>
              </w:rPr>
              <w:t>Upotreba HBB-a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_Toc220541887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85</w:t>
            </w:r>
            <w:r w:rsidR="00605352" w:rsidRPr="00605352">
              <w:rPr>
                <w:rFonts w:cstheme="minorHAnsi"/>
                <w:noProof/>
                <w:webHidden/>
                <w:color w:val="002060"/>
              </w:rPr>
              <w:fldChar w:fldCharType="end"/>
            </w:r>
          </w:hyperlink>
        </w:p>
        <w:p w14:paraId="7486A876" w14:textId="1A7F5B44"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88" w:history="1">
            <w:r w:rsidR="00605352" w:rsidRPr="00605352">
              <w:rPr>
                <w:rStyle w:val="Hyperlink"/>
                <w:rFonts w:cstheme="minorHAnsi"/>
                <w:noProof/>
                <w:color w:val="002060"/>
              </w:rPr>
              <w:t>Proizvodnja PBDE-a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_Toc220541888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86</w:t>
            </w:r>
            <w:r w:rsidR="00605352" w:rsidRPr="00605352">
              <w:rPr>
                <w:rFonts w:cstheme="minorHAnsi"/>
                <w:noProof/>
                <w:webHidden/>
                <w:color w:val="002060"/>
              </w:rPr>
              <w:fldChar w:fldCharType="end"/>
            </w:r>
          </w:hyperlink>
        </w:p>
        <w:p w14:paraId="6CF9B485" w14:textId="128F3032"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89" w:history="1">
            <w:r w:rsidR="00605352" w:rsidRPr="00605352">
              <w:rPr>
                <w:rStyle w:val="Hyperlink"/>
                <w:rFonts w:cstheme="minorHAnsi"/>
                <w:noProof/>
                <w:color w:val="002060"/>
              </w:rPr>
              <w:t>Proizvodnja  HBB-a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_Toc220541889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87</w:t>
            </w:r>
            <w:r w:rsidR="00605352" w:rsidRPr="00605352">
              <w:rPr>
                <w:rFonts w:cstheme="minorHAnsi"/>
                <w:noProof/>
                <w:webHidden/>
                <w:color w:val="002060"/>
              </w:rPr>
              <w:fldChar w:fldCharType="end"/>
            </w:r>
          </w:hyperlink>
        </w:p>
        <w:p w14:paraId="428F43AF" w14:textId="09CBE02F"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90" w:history="1">
            <w:r w:rsidR="00605352" w:rsidRPr="00605352">
              <w:rPr>
                <w:rStyle w:val="Hyperlink"/>
                <w:rFonts w:cstheme="minorHAnsi"/>
                <w:noProof/>
                <w:color w:val="002060"/>
              </w:rPr>
              <w:t>7.3.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Proizvodnja i prethodna upotreba HBB-a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_Toc220541890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87</w:t>
            </w:r>
            <w:r w:rsidR="00605352" w:rsidRPr="00605352">
              <w:rPr>
                <w:rFonts w:cstheme="minorHAnsi"/>
                <w:noProof/>
                <w:webHidden/>
                <w:color w:val="002060"/>
              </w:rPr>
              <w:fldChar w:fldCharType="end"/>
            </w:r>
          </w:hyperlink>
        </w:p>
        <w:p w14:paraId="0D2463AC" w14:textId="3681870C" w:rsidR="00605352" w:rsidRPr="00605352" w:rsidRDefault="009756DA">
          <w:pPr>
            <w:pStyle w:val="TOC2"/>
            <w:tabs>
              <w:tab w:val="right" w:leader="dot" w:pos="9350"/>
            </w:tabs>
            <w:rPr>
              <w:rFonts w:cstheme="minorHAnsi"/>
              <w:smallCaps w:val="0"/>
              <w:noProof/>
              <w:color w:val="002060"/>
              <w:kern w:val="2"/>
              <w:sz w:val="24"/>
              <w:szCs w:val="24"/>
              <w:lang w:val="en-US" w:eastAsia="en-US"/>
              <w14:ligatures w14:val="standardContextual"/>
            </w:rPr>
          </w:pPr>
          <w:hyperlink w:anchor="_Toc220541891" w:history="1">
            <w:r w:rsidR="00605352" w:rsidRPr="00605352">
              <w:rPr>
                <w:rStyle w:val="Hyperlink"/>
                <w:rFonts w:cstheme="minorHAnsi"/>
                <w:noProof/>
                <w:color w:val="002060"/>
              </w:rPr>
              <w:t>Tokovi POP-PBDE: uvoz i izvoz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_Toc220541891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87</w:t>
            </w:r>
            <w:r w:rsidR="00605352" w:rsidRPr="00605352">
              <w:rPr>
                <w:rFonts w:cstheme="minorHAnsi"/>
                <w:noProof/>
                <w:webHidden/>
                <w:color w:val="002060"/>
              </w:rPr>
              <w:fldChar w:fldCharType="end"/>
            </w:r>
          </w:hyperlink>
        </w:p>
        <w:p w14:paraId="481081D2" w14:textId="425A3856"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92" w:history="1">
            <w:r w:rsidR="00605352" w:rsidRPr="00605352">
              <w:rPr>
                <w:rStyle w:val="Hyperlink"/>
                <w:rFonts w:cstheme="minorHAnsi"/>
                <w:noProof/>
                <w:color w:val="002060"/>
              </w:rPr>
              <w:t>7.4.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Proces inventarizacije POP-PBDE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_Toc220541892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88</w:t>
            </w:r>
            <w:r w:rsidR="00605352" w:rsidRPr="00605352">
              <w:rPr>
                <w:rFonts w:cstheme="minorHAnsi"/>
                <w:noProof/>
                <w:webHidden/>
                <w:color w:val="002060"/>
              </w:rPr>
              <w:fldChar w:fldCharType="end"/>
            </w:r>
          </w:hyperlink>
        </w:p>
        <w:p w14:paraId="3C5121F1" w14:textId="4171DAA1"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93" w:history="1">
            <w:r w:rsidR="00605352" w:rsidRPr="00605352">
              <w:rPr>
                <w:rStyle w:val="Hyperlink"/>
                <w:rFonts w:cstheme="minorHAnsi"/>
                <w:noProof/>
                <w:color w:val="002060"/>
              </w:rPr>
              <w:t>Višestepeni pristup i nivoi inventara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_Toc220541893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88</w:t>
            </w:r>
            <w:r w:rsidR="00605352" w:rsidRPr="00605352">
              <w:rPr>
                <w:rFonts w:cstheme="minorHAnsi"/>
                <w:noProof/>
                <w:webHidden/>
                <w:color w:val="002060"/>
              </w:rPr>
              <w:fldChar w:fldCharType="end"/>
            </w:r>
          </w:hyperlink>
        </w:p>
        <w:p w14:paraId="0F8FED6D" w14:textId="0A87695D"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94" w:history="1">
            <w:r w:rsidR="00605352" w:rsidRPr="00605352">
              <w:rPr>
                <w:rStyle w:val="Hyperlink"/>
                <w:rFonts w:cstheme="minorHAnsi"/>
                <w:noProof/>
                <w:color w:val="002060"/>
              </w:rPr>
              <w:t>Prilagođavanje crnogorskim uslovima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_Toc220541894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89</w:t>
            </w:r>
            <w:r w:rsidR="00605352" w:rsidRPr="00605352">
              <w:rPr>
                <w:rFonts w:cstheme="minorHAnsi"/>
                <w:noProof/>
                <w:webHidden/>
                <w:color w:val="002060"/>
              </w:rPr>
              <w:fldChar w:fldCharType="end"/>
            </w:r>
          </w:hyperlink>
        </w:p>
        <w:p w14:paraId="1F941E08" w14:textId="7D703120"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95" w:history="1">
            <w:r w:rsidR="00605352" w:rsidRPr="00605352">
              <w:rPr>
                <w:rStyle w:val="Hyperlink"/>
                <w:rFonts w:cstheme="minorHAnsi"/>
                <w:noProof/>
                <w:color w:val="002060"/>
              </w:rPr>
              <w:t>7.5.</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SEKTOR EEE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_Toc220541895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90</w:t>
            </w:r>
            <w:r w:rsidR="00605352" w:rsidRPr="00605352">
              <w:rPr>
                <w:rFonts w:cstheme="minorHAnsi"/>
                <w:noProof/>
                <w:webHidden/>
                <w:color w:val="002060"/>
              </w:rPr>
              <w:fldChar w:fldCharType="end"/>
            </w:r>
          </w:hyperlink>
        </w:p>
        <w:p w14:paraId="1050CB90" w14:textId="76C93A96"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96" w:history="1">
            <w:r w:rsidR="00605352" w:rsidRPr="00605352">
              <w:rPr>
                <w:rStyle w:val="Hyperlink"/>
                <w:rFonts w:cstheme="minorHAnsi"/>
                <w:noProof/>
                <w:color w:val="002060"/>
              </w:rPr>
              <w:t>Inventar POP-PBDE u električnoj i elektronskoj opremi (EEE) i povezanim otpadom (WEEE)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_Toc220541896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90</w:t>
            </w:r>
            <w:r w:rsidR="00605352" w:rsidRPr="00605352">
              <w:rPr>
                <w:rFonts w:cstheme="minorHAnsi"/>
                <w:noProof/>
                <w:webHidden/>
                <w:color w:val="002060"/>
              </w:rPr>
              <w:fldChar w:fldCharType="end"/>
            </w:r>
          </w:hyperlink>
        </w:p>
        <w:p w14:paraId="069DFEB3" w14:textId="51962169"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97" w:history="1">
            <w:r w:rsidR="00605352" w:rsidRPr="00605352">
              <w:rPr>
                <w:rStyle w:val="Hyperlink"/>
                <w:rFonts w:cstheme="minorHAnsi"/>
                <w:noProof/>
                <w:color w:val="002060"/>
              </w:rPr>
              <w:t>Definisanje obima inventara POP-PBDE u EEE/WEEE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_Toc220541897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90</w:t>
            </w:r>
            <w:r w:rsidR="00605352" w:rsidRPr="00605352">
              <w:rPr>
                <w:rFonts w:cstheme="minorHAnsi"/>
                <w:noProof/>
                <w:webHidden/>
                <w:color w:val="002060"/>
              </w:rPr>
              <w:fldChar w:fldCharType="end"/>
            </w:r>
          </w:hyperlink>
        </w:p>
        <w:p w14:paraId="7640D305" w14:textId="3AE091D3"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898" w:history="1">
            <w:r w:rsidR="00605352" w:rsidRPr="00605352">
              <w:rPr>
                <w:rStyle w:val="Hyperlink"/>
                <w:rFonts w:cstheme="minorHAnsi"/>
                <w:noProof/>
                <w:color w:val="002060"/>
              </w:rPr>
              <w:t>7.6.</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PBDE U SEKTORU EEE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_Toc220541898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91</w:t>
            </w:r>
            <w:r w:rsidR="00605352" w:rsidRPr="00605352">
              <w:rPr>
                <w:rFonts w:cstheme="minorHAnsi"/>
                <w:noProof/>
                <w:webHidden/>
                <w:color w:val="002060"/>
              </w:rPr>
              <w:fldChar w:fldCharType="end"/>
            </w:r>
          </w:hyperlink>
        </w:p>
        <w:p w14:paraId="2FEC5749" w14:textId="4A16F1B1"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899" w:history="1">
            <w:r w:rsidR="00605352" w:rsidRPr="00605352">
              <w:rPr>
                <w:rStyle w:val="Hyperlink"/>
                <w:rFonts w:cstheme="minorHAnsi"/>
                <w:noProof/>
                <w:color w:val="002060"/>
              </w:rPr>
              <w:t>EEE u upotrebi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_Toc220541899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91</w:t>
            </w:r>
            <w:r w:rsidR="00605352" w:rsidRPr="00605352">
              <w:rPr>
                <w:rFonts w:cstheme="minorHAnsi"/>
                <w:noProof/>
                <w:webHidden/>
                <w:color w:val="002060"/>
              </w:rPr>
              <w:fldChar w:fldCharType="end"/>
            </w:r>
          </w:hyperlink>
        </w:p>
        <w:p w14:paraId="18DD57B9" w14:textId="3DEED476"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00" w:history="1">
            <w:r w:rsidR="00605352" w:rsidRPr="00605352">
              <w:rPr>
                <w:rStyle w:val="Hyperlink"/>
                <w:rFonts w:cstheme="minorHAnsi"/>
                <w:noProof/>
                <w:color w:val="002060"/>
              </w:rPr>
              <w:t>Uvoz električne i elektronske opreme (EEE)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_Toc220541900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93</w:t>
            </w:r>
            <w:r w:rsidR="00605352" w:rsidRPr="00605352">
              <w:rPr>
                <w:rFonts w:cstheme="minorHAnsi"/>
                <w:noProof/>
                <w:webHidden/>
                <w:color w:val="002060"/>
              </w:rPr>
              <w:fldChar w:fldCharType="end"/>
            </w:r>
          </w:hyperlink>
        </w:p>
        <w:p w14:paraId="7E7B23A1" w14:textId="1E54F7F6"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01" w:history="1">
            <w:r w:rsidR="00605352" w:rsidRPr="00605352">
              <w:rPr>
                <w:rStyle w:val="Hyperlink"/>
                <w:rFonts w:cstheme="minorHAnsi"/>
                <w:noProof/>
                <w:color w:val="002060"/>
              </w:rPr>
              <w:t>Otpad od električne i elektronske opreme (EEE)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_Toc220541901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94</w:t>
            </w:r>
            <w:r w:rsidR="00605352" w:rsidRPr="00605352">
              <w:rPr>
                <w:rFonts w:cstheme="minorHAnsi"/>
                <w:noProof/>
                <w:webHidden/>
                <w:color w:val="002060"/>
              </w:rPr>
              <w:fldChar w:fldCharType="end"/>
            </w:r>
          </w:hyperlink>
        </w:p>
        <w:p w14:paraId="5512C602" w14:textId="2C8564CC"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02" w:history="1">
            <w:r w:rsidR="00605352" w:rsidRPr="00605352">
              <w:rPr>
                <w:rStyle w:val="Hyperlink"/>
                <w:rFonts w:cstheme="minorHAnsi"/>
                <w:noProof/>
                <w:color w:val="002060"/>
              </w:rPr>
              <w:t>7.7.</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TRANSPORTNI SEKTOR</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_Toc220541902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97</w:t>
            </w:r>
            <w:r w:rsidR="00605352" w:rsidRPr="00605352">
              <w:rPr>
                <w:rFonts w:cstheme="minorHAnsi"/>
                <w:noProof/>
                <w:webHidden/>
                <w:color w:val="002060"/>
              </w:rPr>
              <w:fldChar w:fldCharType="end"/>
            </w:r>
          </w:hyperlink>
        </w:p>
        <w:p w14:paraId="4C431191" w14:textId="73ED870A"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03" w:history="1">
            <w:r w:rsidR="00605352" w:rsidRPr="00605352">
              <w:rPr>
                <w:rStyle w:val="Hyperlink"/>
                <w:rFonts w:cstheme="minorHAnsi"/>
                <w:noProof/>
                <w:color w:val="002060"/>
              </w:rPr>
              <w:t>Upotreba PBDE u vozilima: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_Toc220541903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98</w:t>
            </w:r>
            <w:r w:rsidR="00605352" w:rsidRPr="00605352">
              <w:rPr>
                <w:rFonts w:cstheme="minorHAnsi"/>
                <w:noProof/>
                <w:webHidden/>
                <w:color w:val="002060"/>
              </w:rPr>
              <w:fldChar w:fldCharType="end"/>
            </w:r>
          </w:hyperlink>
        </w:p>
        <w:p w14:paraId="4405D585" w14:textId="2D5EB491"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04" w:history="1">
            <w:r w:rsidR="00605352" w:rsidRPr="00605352">
              <w:rPr>
                <w:rStyle w:val="Hyperlink"/>
                <w:rFonts w:cstheme="minorHAnsi"/>
                <w:noProof/>
                <w:color w:val="002060"/>
              </w:rPr>
              <w:t>7.8.</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PROCES INVENTARIZACIJE TRANSPORTNOG SEKTORA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_Toc220541904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98</w:t>
            </w:r>
            <w:r w:rsidR="00605352" w:rsidRPr="00605352">
              <w:rPr>
                <w:rFonts w:cstheme="minorHAnsi"/>
                <w:noProof/>
                <w:webHidden/>
                <w:color w:val="002060"/>
              </w:rPr>
              <w:fldChar w:fldCharType="end"/>
            </w:r>
          </w:hyperlink>
        </w:p>
        <w:p w14:paraId="2EDD3419" w14:textId="6ABA61BB"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05" w:history="1">
            <w:r w:rsidR="00605352" w:rsidRPr="00605352">
              <w:rPr>
                <w:rStyle w:val="Hyperlink"/>
                <w:rFonts w:cstheme="minorHAnsi"/>
                <w:noProof/>
                <w:color w:val="002060"/>
              </w:rPr>
              <w:t>7.9.</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PBDE U TRANSPORTNOM SEKTORU CRNE GORE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_Toc220541905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99</w:t>
            </w:r>
            <w:r w:rsidR="00605352" w:rsidRPr="00605352">
              <w:rPr>
                <w:rFonts w:cstheme="minorHAnsi"/>
                <w:noProof/>
                <w:webHidden/>
                <w:color w:val="002060"/>
              </w:rPr>
              <w:fldChar w:fldCharType="end"/>
            </w:r>
          </w:hyperlink>
        </w:p>
        <w:p w14:paraId="77246252" w14:textId="5485AAC0"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06" w:history="1">
            <w:r w:rsidR="00605352" w:rsidRPr="00605352">
              <w:rPr>
                <w:rStyle w:val="Hyperlink"/>
                <w:rFonts w:cstheme="minorHAnsi"/>
                <w:noProof/>
                <w:color w:val="002060"/>
              </w:rPr>
              <w:t>Vozila u upotrebi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_Toc220541906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99</w:t>
            </w:r>
            <w:r w:rsidR="00605352" w:rsidRPr="00605352">
              <w:rPr>
                <w:rFonts w:cstheme="minorHAnsi"/>
                <w:noProof/>
                <w:webHidden/>
                <w:color w:val="002060"/>
              </w:rPr>
              <w:fldChar w:fldCharType="end"/>
            </w:r>
          </w:hyperlink>
        </w:p>
        <w:p w14:paraId="49DCC951" w14:textId="070EBE04"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07" w:history="1">
            <w:r w:rsidR="00605352" w:rsidRPr="00605352">
              <w:rPr>
                <w:rStyle w:val="Hyperlink"/>
                <w:rFonts w:cstheme="minorHAnsi"/>
                <w:noProof/>
                <w:color w:val="002060"/>
              </w:rPr>
              <w:t>Uvezena vozila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_Toc220541907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103</w:t>
            </w:r>
            <w:r w:rsidR="00605352" w:rsidRPr="00605352">
              <w:rPr>
                <w:rFonts w:cstheme="minorHAnsi"/>
                <w:noProof/>
                <w:webHidden/>
                <w:color w:val="002060"/>
              </w:rPr>
              <w:fldChar w:fldCharType="end"/>
            </w:r>
          </w:hyperlink>
        </w:p>
        <w:p w14:paraId="36240710" w14:textId="174304D8"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08" w:history="1">
            <w:r w:rsidR="00605352" w:rsidRPr="00605352">
              <w:rPr>
                <w:rStyle w:val="Hyperlink"/>
                <w:rFonts w:cstheme="minorHAnsi"/>
                <w:noProof/>
                <w:color w:val="002060"/>
              </w:rPr>
              <w:t>Otpad od vozila na kraju životnog vijeka (ELV)</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_Toc220541908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106</w:t>
            </w:r>
            <w:r w:rsidR="00605352" w:rsidRPr="00605352">
              <w:rPr>
                <w:rFonts w:cstheme="minorHAnsi"/>
                <w:noProof/>
                <w:webHidden/>
                <w:color w:val="002060"/>
              </w:rPr>
              <w:fldChar w:fldCharType="end"/>
            </w:r>
          </w:hyperlink>
        </w:p>
        <w:p w14:paraId="1F2FB41A" w14:textId="6429EC46"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09" w:history="1">
            <w:r w:rsidR="00605352" w:rsidRPr="00605352">
              <w:rPr>
                <w:rStyle w:val="Hyperlink"/>
                <w:rFonts w:cstheme="minorHAnsi"/>
                <w:noProof/>
                <w:color w:val="002060"/>
              </w:rPr>
              <w:t>Upravljanje otpadom u Crnoj Gori i rizici izloženosti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_Toc220541909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108</w:t>
            </w:r>
            <w:r w:rsidR="00605352" w:rsidRPr="00605352">
              <w:rPr>
                <w:rFonts w:cstheme="minorHAnsi"/>
                <w:noProof/>
                <w:webHidden/>
                <w:color w:val="002060"/>
              </w:rPr>
              <w:fldChar w:fldCharType="end"/>
            </w:r>
          </w:hyperlink>
        </w:p>
        <w:p w14:paraId="041D0145" w14:textId="19BE2BDF"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10" w:history="1">
            <w:r w:rsidR="00605352" w:rsidRPr="00605352">
              <w:rPr>
                <w:rStyle w:val="Hyperlink"/>
                <w:rFonts w:cstheme="minorHAnsi"/>
                <w:noProof/>
                <w:color w:val="002060"/>
              </w:rPr>
              <w:t>7.10.</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Zaključci i elementi za djelovanje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_Toc220541910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109</w:t>
            </w:r>
            <w:r w:rsidR="00605352" w:rsidRPr="00605352">
              <w:rPr>
                <w:rFonts w:cstheme="minorHAnsi"/>
                <w:noProof/>
                <w:webHidden/>
                <w:color w:val="002060"/>
              </w:rPr>
              <w:fldChar w:fldCharType="end"/>
            </w:r>
          </w:hyperlink>
        </w:p>
        <w:p w14:paraId="67C673E7" w14:textId="070C7770"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11" w:history="1">
            <w:r w:rsidR="00605352" w:rsidRPr="00605352">
              <w:rPr>
                <w:rStyle w:val="Hyperlink"/>
                <w:rFonts w:cstheme="minorHAnsi"/>
                <w:noProof/>
                <w:color w:val="002060"/>
              </w:rPr>
              <w:t>7.11.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Preporučene aktivnosti: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_Toc220541911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109</w:t>
            </w:r>
            <w:r w:rsidR="00605352" w:rsidRPr="00605352">
              <w:rPr>
                <w:rFonts w:cstheme="minorHAnsi"/>
                <w:noProof/>
                <w:webHidden/>
                <w:color w:val="002060"/>
              </w:rPr>
              <w:fldChar w:fldCharType="end"/>
            </w:r>
          </w:hyperlink>
        </w:p>
        <w:p w14:paraId="43595BD4" w14:textId="5820D719"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12" w:history="1">
            <w:r w:rsidR="00605352" w:rsidRPr="00605352">
              <w:rPr>
                <w:rStyle w:val="Hyperlink"/>
                <w:rFonts w:cstheme="minorHAnsi"/>
                <w:noProof/>
                <w:color w:val="002060"/>
              </w:rPr>
              <w:t>7.12.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Implementacija planiranih aktivnosti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_Toc220541912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110</w:t>
            </w:r>
            <w:r w:rsidR="00605352" w:rsidRPr="00605352">
              <w:rPr>
                <w:rFonts w:cstheme="minorHAnsi"/>
                <w:noProof/>
                <w:webHidden/>
                <w:color w:val="002060"/>
              </w:rPr>
              <w:fldChar w:fldCharType="end"/>
            </w:r>
          </w:hyperlink>
        </w:p>
        <w:p w14:paraId="5624B7F8" w14:textId="3F961E8E" w:rsidR="00605352" w:rsidRPr="00605352" w:rsidRDefault="009756DA">
          <w:pPr>
            <w:pStyle w:val="TOC1"/>
            <w:tabs>
              <w:tab w:val="left" w:pos="400"/>
              <w:tab w:val="right" w:leader="dot" w:pos="9350"/>
            </w:tabs>
            <w:rPr>
              <w:rFonts w:cstheme="minorHAnsi"/>
              <w:b w:val="0"/>
              <w:bCs w:val="0"/>
              <w:caps w:val="0"/>
              <w:noProof/>
              <w:color w:val="002060"/>
              <w:kern w:val="2"/>
              <w:sz w:val="24"/>
              <w:szCs w:val="24"/>
              <w:lang w:val="en-US" w:eastAsia="en-US"/>
              <w14:ligatures w14:val="standardContextual"/>
            </w:rPr>
          </w:pPr>
          <w:hyperlink w:anchor="_Toc220541913" w:history="1">
            <w:r w:rsidR="00605352" w:rsidRPr="00605352">
              <w:rPr>
                <w:rStyle w:val="Hyperlink"/>
                <w:rFonts w:cstheme="minorHAnsi"/>
                <w:noProof/>
                <w:color w:val="002060"/>
                <w:lang w:val="sr-Latn-ME"/>
              </w:rPr>
              <w:t>8.</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lang w:val="sr-Latn-ME"/>
              </w:rPr>
              <w:t>INVENTARIZACIJA HEKSABROMOCIKLODODEKANA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_Toc220541913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110</w:t>
            </w:r>
            <w:r w:rsidR="00605352" w:rsidRPr="00605352">
              <w:rPr>
                <w:rFonts w:cstheme="minorHAnsi"/>
                <w:noProof/>
                <w:webHidden/>
                <w:color w:val="002060"/>
              </w:rPr>
              <w:fldChar w:fldCharType="end"/>
            </w:r>
          </w:hyperlink>
        </w:p>
        <w:p w14:paraId="59B28AC5" w14:textId="2908424F"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14"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_Toc220541914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110</w:t>
            </w:r>
            <w:r w:rsidR="00605352" w:rsidRPr="00605352">
              <w:rPr>
                <w:rFonts w:cstheme="minorHAnsi"/>
                <w:noProof/>
                <w:webHidden/>
                <w:color w:val="002060"/>
              </w:rPr>
              <w:fldChar w:fldCharType="end"/>
            </w:r>
          </w:hyperlink>
        </w:p>
        <w:p w14:paraId="31829410" w14:textId="277B6F54"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15" w:history="1">
            <w:r w:rsidR="00605352" w:rsidRPr="00605352">
              <w:rPr>
                <w:rStyle w:val="Hyperlink"/>
                <w:rFonts w:cstheme="minorHAnsi"/>
                <w:noProof/>
                <w:color w:val="002060"/>
              </w:rPr>
              <w:t>8.1.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METODOLOGIJA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_Toc220541915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112</w:t>
            </w:r>
            <w:r w:rsidR="00605352" w:rsidRPr="00605352">
              <w:rPr>
                <w:rFonts w:cstheme="minorHAnsi"/>
                <w:noProof/>
                <w:webHidden/>
                <w:color w:val="002060"/>
              </w:rPr>
              <w:fldChar w:fldCharType="end"/>
            </w:r>
          </w:hyperlink>
        </w:p>
        <w:p w14:paraId="7977043F" w14:textId="2AB018EC"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16" w:history="1">
            <w:r w:rsidR="00605352" w:rsidRPr="00605352">
              <w:rPr>
                <w:rStyle w:val="Hyperlink"/>
                <w:rFonts w:cstheme="minorHAnsi"/>
                <w:noProof/>
                <w:color w:val="002060"/>
              </w:rPr>
              <w:t>Izvori i prikupljanje podataka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_Toc220541916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112</w:t>
            </w:r>
            <w:r w:rsidR="00605352" w:rsidRPr="00605352">
              <w:rPr>
                <w:rFonts w:cstheme="minorHAnsi"/>
                <w:noProof/>
                <w:webHidden/>
                <w:color w:val="002060"/>
              </w:rPr>
              <w:fldChar w:fldCharType="end"/>
            </w:r>
          </w:hyperlink>
        </w:p>
        <w:p w14:paraId="65EAEE4E" w14:textId="117B2FB3"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17" w:history="1">
            <w:r w:rsidR="00605352" w:rsidRPr="00605352">
              <w:rPr>
                <w:rStyle w:val="Hyperlink"/>
                <w:rFonts w:cstheme="minorHAnsi"/>
                <w:noProof/>
                <w:color w:val="002060"/>
              </w:rPr>
              <w:t>Izbor sektora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_Toc220541917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112</w:t>
            </w:r>
            <w:r w:rsidR="00605352" w:rsidRPr="00605352">
              <w:rPr>
                <w:rFonts w:cstheme="minorHAnsi"/>
                <w:noProof/>
                <w:webHidden/>
                <w:color w:val="002060"/>
              </w:rPr>
              <w:fldChar w:fldCharType="end"/>
            </w:r>
          </w:hyperlink>
        </w:p>
        <w:p w14:paraId="00C50546" w14:textId="12C4FBCC"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18" w:history="1">
            <w:r w:rsidR="00605352" w:rsidRPr="00605352">
              <w:rPr>
                <w:rStyle w:val="Hyperlink"/>
                <w:rFonts w:cstheme="minorHAnsi"/>
                <w:noProof/>
                <w:color w:val="002060"/>
              </w:rPr>
              <w:t>Analiza uvoza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_Toc220541918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112</w:t>
            </w:r>
            <w:r w:rsidR="00605352" w:rsidRPr="00605352">
              <w:rPr>
                <w:rFonts w:cstheme="minorHAnsi"/>
                <w:noProof/>
                <w:webHidden/>
                <w:color w:val="002060"/>
              </w:rPr>
              <w:fldChar w:fldCharType="end"/>
            </w:r>
          </w:hyperlink>
        </w:p>
        <w:p w14:paraId="2168073A" w14:textId="563C62B7"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19" w:history="1">
            <w:r w:rsidR="00605352" w:rsidRPr="00605352">
              <w:rPr>
                <w:rStyle w:val="Hyperlink"/>
                <w:rFonts w:cstheme="minorHAnsi"/>
                <w:noProof/>
                <w:color w:val="002060"/>
              </w:rPr>
              <w:t>Procjena upotrebe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_Toc220541919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112</w:t>
            </w:r>
            <w:r w:rsidR="00605352" w:rsidRPr="00605352">
              <w:rPr>
                <w:rFonts w:cstheme="minorHAnsi"/>
                <w:noProof/>
                <w:webHidden/>
                <w:color w:val="002060"/>
              </w:rPr>
              <w:fldChar w:fldCharType="end"/>
            </w:r>
          </w:hyperlink>
        </w:p>
        <w:p w14:paraId="2EEA09C6" w14:textId="59D3479E"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20" w:history="1">
            <w:r w:rsidR="00605352" w:rsidRPr="00605352">
              <w:rPr>
                <w:rStyle w:val="Hyperlink"/>
                <w:rFonts w:cstheme="minorHAnsi"/>
                <w:noProof/>
                <w:color w:val="002060"/>
              </w:rPr>
              <w:t>Procjena otpada i kontaminiranih lokacija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_Toc220541920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113</w:t>
            </w:r>
            <w:r w:rsidR="00605352" w:rsidRPr="00605352">
              <w:rPr>
                <w:rFonts w:cstheme="minorHAnsi"/>
                <w:noProof/>
                <w:webHidden/>
                <w:color w:val="002060"/>
              </w:rPr>
              <w:fldChar w:fldCharType="end"/>
            </w:r>
          </w:hyperlink>
        </w:p>
        <w:p w14:paraId="6385BDC4" w14:textId="5F313A24"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21" w:history="1">
            <w:r w:rsidR="00605352" w:rsidRPr="00605352">
              <w:rPr>
                <w:rStyle w:val="Hyperlink"/>
                <w:rFonts w:cstheme="minorHAnsi"/>
                <w:noProof/>
                <w:color w:val="002060"/>
              </w:rPr>
              <w:t>Osiguranje kvaliteta i ograničenja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_Toc220541921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113</w:t>
            </w:r>
            <w:r w:rsidR="00605352" w:rsidRPr="00605352">
              <w:rPr>
                <w:rFonts w:cstheme="minorHAnsi"/>
                <w:noProof/>
                <w:webHidden/>
                <w:color w:val="002060"/>
              </w:rPr>
              <w:fldChar w:fldCharType="end"/>
            </w:r>
          </w:hyperlink>
        </w:p>
        <w:p w14:paraId="1CCDFFAE" w14:textId="02FE47B8"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22" w:history="1">
            <w:r w:rsidR="00605352" w:rsidRPr="00605352">
              <w:rPr>
                <w:rStyle w:val="Hyperlink"/>
                <w:rFonts w:cstheme="minorHAnsi"/>
                <w:noProof/>
                <w:color w:val="002060"/>
              </w:rPr>
              <w:t>8.2.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INVENTAR HBCD U CRNOJ GORI ZA PERIOD 2017-2023.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_Toc220541922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113</w:t>
            </w:r>
            <w:r w:rsidR="00605352" w:rsidRPr="00605352">
              <w:rPr>
                <w:rFonts w:cstheme="minorHAnsi"/>
                <w:noProof/>
                <w:webHidden/>
                <w:color w:val="002060"/>
              </w:rPr>
              <w:fldChar w:fldCharType="end"/>
            </w:r>
          </w:hyperlink>
        </w:p>
        <w:p w14:paraId="25D66E8F" w14:textId="7DD9635C"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23" w:history="1">
            <w:r w:rsidR="00605352" w:rsidRPr="00605352">
              <w:rPr>
                <w:rStyle w:val="Hyperlink"/>
                <w:rFonts w:cstheme="minorHAnsi"/>
                <w:noProof/>
                <w:color w:val="002060"/>
              </w:rPr>
              <w:t>Proizvodi koji potencijalno sadrže HBCD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_Toc220541923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113</w:t>
            </w:r>
            <w:r w:rsidR="00605352" w:rsidRPr="00605352">
              <w:rPr>
                <w:rFonts w:cstheme="minorHAnsi"/>
                <w:noProof/>
                <w:webHidden/>
                <w:color w:val="002060"/>
              </w:rPr>
              <w:fldChar w:fldCharType="end"/>
            </w:r>
          </w:hyperlink>
        </w:p>
        <w:p w14:paraId="2E5C2E34" w14:textId="1819D046"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24" w:history="1">
            <w:r w:rsidR="00605352" w:rsidRPr="00605352">
              <w:rPr>
                <w:rStyle w:val="Hyperlink"/>
                <w:rFonts w:cstheme="minorHAnsi"/>
                <w:noProof/>
                <w:color w:val="002060"/>
              </w:rPr>
              <w:t>Uvoz granulata ekspandiranog polistirena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_Toc220541924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114</w:t>
            </w:r>
            <w:r w:rsidR="00605352" w:rsidRPr="00605352">
              <w:rPr>
                <w:rFonts w:cstheme="minorHAnsi"/>
                <w:noProof/>
                <w:webHidden/>
                <w:color w:val="002060"/>
              </w:rPr>
              <w:fldChar w:fldCharType="end"/>
            </w:r>
          </w:hyperlink>
        </w:p>
        <w:p w14:paraId="21655AF5" w14:textId="0D8AC1BA"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25" w:history="1">
            <w:r w:rsidR="00605352" w:rsidRPr="00605352">
              <w:rPr>
                <w:rStyle w:val="Hyperlink"/>
                <w:rFonts w:cstheme="minorHAnsi"/>
                <w:noProof/>
                <w:color w:val="002060"/>
              </w:rPr>
              <w:t>Procjena količine HBCD u uvezenom EPS granulatu i proizvodima od polistirena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_Toc220541925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116</w:t>
            </w:r>
            <w:r w:rsidR="00605352" w:rsidRPr="00605352">
              <w:rPr>
                <w:rFonts w:cstheme="minorHAnsi"/>
                <w:noProof/>
                <w:webHidden/>
                <w:color w:val="002060"/>
              </w:rPr>
              <w:fldChar w:fldCharType="end"/>
            </w:r>
          </w:hyperlink>
        </w:p>
        <w:p w14:paraId="485F2938" w14:textId="0EB0BDAF"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26" w:history="1">
            <w:r w:rsidR="00605352" w:rsidRPr="00605352">
              <w:rPr>
                <w:rStyle w:val="Hyperlink"/>
                <w:rFonts w:cstheme="minorHAnsi"/>
                <w:noProof/>
                <w:color w:val="002060"/>
              </w:rPr>
              <w:t>HBCD u otpadu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_Toc220541926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119</w:t>
            </w:r>
            <w:r w:rsidR="00605352" w:rsidRPr="00605352">
              <w:rPr>
                <w:rFonts w:cstheme="minorHAnsi"/>
                <w:noProof/>
                <w:webHidden/>
                <w:color w:val="002060"/>
              </w:rPr>
              <w:fldChar w:fldCharType="end"/>
            </w:r>
          </w:hyperlink>
        </w:p>
        <w:p w14:paraId="05BD1660" w14:textId="469A234D"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27" w:history="1">
            <w:r w:rsidR="00605352" w:rsidRPr="00605352">
              <w:rPr>
                <w:rStyle w:val="Hyperlink"/>
                <w:rFonts w:cstheme="minorHAnsi"/>
                <w:noProof/>
                <w:color w:val="002060"/>
              </w:rPr>
              <w:t>Procijenjena količina HBCD u Crnoj Gori za period 2017-2023.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_Toc220541927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122</w:t>
            </w:r>
            <w:r w:rsidR="00605352" w:rsidRPr="00605352">
              <w:rPr>
                <w:rFonts w:cstheme="minorHAnsi"/>
                <w:noProof/>
                <w:webHidden/>
                <w:color w:val="002060"/>
              </w:rPr>
              <w:fldChar w:fldCharType="end"/>
            </w:r>
          </w:hyperlink>
        </w:p>
        <w:p w14:paraId="421009DC" w14:textId="6818206F"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28" w:history="1">
            <w:r w:rsidR="00605352" w:rsidRPr="00605352">
              <w:rPr>
                <w:rStyle w:val="Hyperlink"/>
                <w:rFonts w:cstheme="minorHAnsi"/>
                <w:noProof/>
                <w:color w:val="002060"/>
              </w:rPr>
              <w:t>8.3.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DISKUSIJA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_Toc220541928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122</w:t>
            </w:r>
            <w:r w:rsidR="00605352" w:rsidRPr="00605352">
              <w:rPr>
                <w:rFonts w:cstheme="minorHAnsi"/>
                <w:noProof/>
                <w:webHidden/>
                <w:color w:val="002060"/>
              </w:rPr>
              <w:fldChar w:fldCharType="end"/>
            </w:r>
          </w:hyperlink>
        </w:p>
        <w:p w14:paraId="7C572478" w14:textId="415796B2"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29" w:history="1">
            <w:r w:rsidR="00605352" w:rsidRPr="00605352">
              <w:rPr>
                <w:rStyle w:val="Hyperlink"/>
                <w:rFonts w:cstheme="minorHAnsi"/>
                <w:noProof/>
                <w:color w:val="002060"/>
              </w:rPr>
              <w:t>Manjkavosti i izazovi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_Toc220541929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122</w:t>
            </w:r>
            <w:r w:rsidR="00605352" w:rsidRPr="00605352">
              <w:rPr>
                <w:rFonts w:cstheme="minorHAnsi"/>
                <w:noProof/>
                <w:webHidden/>
                <w:color w:val="002060"/>
              </w:rPr>
              <w:fldChar w:fldCharType="end"/>
            </w:r>
          </w:hyperlink>
        </w:p>
        <w:p w14:paraId="361F10D9" w14:textId="36F9D07A"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30" w:history="1">
            <w:r w:rsidR="00605352" w:rsidRPr="00605352">
              <w:rPr>
                <w:rStyle w:val="Hyperlink"/>
                <w:rFonts w:cstheme="minorHAnsi"/>
                <w:noProof/>
                <w:color w:val="002060"/>
              </w:rPr>
              <w:t>8.4.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ZAKLJUČCI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_Toc220541930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123</w:t>
            </w:r>
            <w:r w:rsidR="00605352" w:rsidRPr="00605352">
              <w:rPr>
                <w:rFonts w:cstheme="minorHAnsi"/>
                <w:noProof/>
                <w:webHidden/>
                <w:color w:val="002060"/>
              </w:rPr>
              <w:fldChar w:fldCharType="end"/>
            </w:r>
          </w:hyperlink>
        </w:p>
        <w:p w14:paraId="60D6150B" w14:textId="5A2602F7"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31" w:history="1">
            <w:r w:rsidR="00605352" w:rsidRPr="00605352">
              <w:rPr>
                <w:rStyle w:val="Hyperlink"/>
                <w:rFonts w:cstheme="minorHAnsi"/>
                <w:noProof/>
                <w:color w:val="002060"/>
              </w:rPr>
              <w:t>Preporuke/Elementi Akcionog plana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_Toc220541931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123</w:t>
            </w:r>
            <w:r w:rsidR="00605352" w:rsidRPr="00605352">
              <w:rPr>
                <w:rFonts w:cstheme="minorHAnsi"/>
                <w:noProof/>
                <w:webHidden/>
                <w:color w:val="002060"/>
              </w:rPr>
              <w:fldChar w:fldCharType="end"/>
            </w:r>
          </w:hyperlink>
        </w:p>
        <w:p w14:paraId="0FF23A64" w14:textId="3B9B6877" w:rsidR="00605352" w:rsidRPr="00605352" w:rsidRDefault="009756DA">
          <w:pPr>
            <w:pStyle w:val="TOC1"/>
            <w:tabs>
              <w:tab w:val="left" w:pos="400"/>
              <w:tab w:val="right" w:leader="dot" w:pos="9350"/>
            </w:tabs>
            <w:rPr>
              <w:rFonts w:cstheme="minorHAnsi"/>
              <w:b w:val="0"/>
              <w:bCs w:val="0"/>
              <w:caps w:val="0"/>
              <w:noProof/>
              <w:color w:val="002060"/>
              <w:kern w:val="2"/>
              <w:sz w:val="24"/>
              <w:szCs w:val="24"/>
              <w:lang w:val="en-US" w:eastAsia="en-US"/>
              <w14:ligatures w14:val="standardContextual"/>
            </w:rPr>
          </w:pPr>
          <w:hyperlink w:anchor="_Toc220541932" w:history="1">
            <w:r w:rsidR="00605352" w:rsidRPr="00605352">
              <w:rPr>
                <w:rStyle w:val="Hyperlink"/>
                <w:rFonts w:cstheme="minorHAnsi"/>
                <w:noProof/>
                <w:color w:val="002060"/>
              </w:rPr>
              <w:t>9.</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Ažurirani inventar Perfluorooktan sulfonske kiseline (PFOS), njehih soli i perfluorooktan sulfonil fluorida (PFOSF)</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_Toc220541932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124</w:t>
            </w:r>
            <w:r w:rsidR="00605352" w:rsidRPr="00605352">
              <w:rPr>
                <w:rFonts w:cstheme="minorHAnsi"/>
                <w:noProof/>
                <w:webHidden/>
                <w:color w:val="002060"/>
              </w:rPr>
              <w:fldChar w:fldCharType="end"/>
            </w:r>
          </w:hyperlink>
        </w:p>
        <w:p w14:paraId="5AB6B750" w14:textId="244C3B97"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33"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_Toc220541933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124</w:t>
            </w:r>
            <w:r w:rsidR="00605352" w:rsidRPr="00605352">
              <w:rPr>
                <w:rFonts w:cstheme="minorHAnsi"/>
                <w:noProof/>
                <w:webHidden/>
                <w:color w:val="002060"/>
              </w:rPr>
              <w:fldChar w:fldCharType="end"/>
            </w:r>
          </w:hyperlink>
        </w:p>
        <w:p w14:paraId="2EA35F9D" w14:textId="077364A2"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34" w:history="1">
            <w:r w:rsidR="00605352" w:rsidRPr="00605352">
              <w:rPr>
                <w:rStyle w:val="Hyperlink"/>
                <w:rFonts w:cstheme="minorHAnsi"/>
                <w:noProof/>
                <w:color w:val="002060"/>
              </w:rPr>
              <w:t>Primjena PFOS-a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_Toc220541934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124</w:t>
            </w:r>
            <w:r w:rsidR="00605352" w:rsidRPr="00605352">
              <w:rPr>
                <w:rFonts w:cstheme="minorHAnsi"/>
                <w:noProof/>
                <w:webHidden/>
                <w:color w:val="002060"/>
              </w:rPr>
              <w:fldChar w:fldCharType="end"/>
            </w:r>
          </w:hyperlink>
        </w:p>
        <w:p w14:paraId="4C97E4EC" w14:textId="1B6DBA0D"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35" w:history="1">
            <w:r w:rsidR="00605352" w:rsidRPr="00605352">
              <w:rPr>
                <w:rStyle w:val="Hyperlink"/>
                <w:rFonts w:cstheme="minorHAnsi"/>
                <w:noProof/>
                <w:color w:val="002060"/>
              </w:rPr>
              <w:t>Status PFOS, njegove soli i PFOSF u okviru Stokholmske konvencije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_Toc220541935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125</w:t>
            </w:r>
            <w:r w:rsidR="00605352" w:rsidRPr="00605352">
              <w:rPr>
                <w:rFonts w:cstheme="minorHAnsi"/>
                <w:noProof/>
                <w:webHidden/>
                <w:color w:val="002060"/>
              </w:rPr>
              <w:fldChar w:fldCharType="end"/>
            </w:r>
          </w:hyperlink>
        </w:p>
        <w:p w14:paraId="7A36183C" w14:textId="70B42978"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36" w:history="1">
            <w:r w:rsidR="00605352" w:rsidRPr="00605352">
              <w:rPr>
                <w:rStyle w:val="Hyperlink"/>
                <w:rFonts w:cstheme="minorHAnsi"/>
                <w:noProof/>
                <w:color w:val="002060"/>
              </w:rPr>
              <w:t>9.1.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Proces Inventarizacije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_Toc220541936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126</w:t>
            </w:r>
            <w:r w:rsidR="00605352" w:rsidRPr="00605352">
              <w:rPr>
                <w:rFonts w:cstheme="minorHAnsi"/>
                <w:noProof/>
                <w:webHidden/>
                <w:color w:val="002060"/>
              </w:rPr>
              <w:fldChar w:fldCharType="end"/>
            </w:r>
          </w:hyperlink>
        </w:p>
        <w:p w14:paraId="084CA239" w14:textId="226B2642"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37" w:history="1">
            <w:r w:rsidR="00605352" w:rsidRPr="00605352">
              <w:rPr>
                <w:rStyle w:val="Hyperlink"/>
                <w:rFonts w:cstheme="minorHAnsi"/>
                <w:noProof/>
                <w:color w:val="002060"/>
              </w:rPr>
              <w:t>9.2.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PFOS, njegovih soli i PFOSF za period 2017-2023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_Toc220541937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128</w:t>
            </w:r>
            <w:r w:rsidR="00605352" w:rsidRPr="00605352">
              <w:rPr>
                <w:rFonts w:cstheme="minorHAnsi"/>
                <w:noProof/>
                <w:webHidden/>
                <w:color w:val="002060"/>
              </w:rPr>
              <w:fldChar w:fldCharType="end"/>
            </w:r>
          </w:hyperlink>
        </w:p>
        <w:p w14:paraId="7EF811E3" w14:textId="4C33138A"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38" w:history="1">
            <w:r w:rsidR="00605352" w:rsidRPr="00605352">
              <w:rPr>
                <w:rStyle w:val="Hyperlink"/>
                <w:rFonts w:cstheme="minorHAnsi"/>
                <w:noProof/>
                <w:color w:val="002060"/>
              </w:rPr>
              <w:t>Rezultati analize protivpožarnih pjena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_Toc220541938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132</w:t>
            </w:r>
            <w:r w:rsidR="00605352" w:rsidRPr="00605352">
              <w:rPr>
                <w:rFonts w:cstheme="minorHAnsi"/>
                <w:noProof/>
                <w:webHidden/>
                <w:color w:val="002060"/>
              </w:rPr>
              <w:fldChar w:fldCharType="end"/>
            </w:r>
          </w:hyperlink>
        </w:p>
        <w:p w14:paraId="0DD31F9D" w14:textId="26E4341F"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39" w:history="1">
            <w:r w:rsidR="00605352" w:rsidRPr="00605352">
              <w:rPr>
                <w:rStyle w:val="Hyperlink"/>
                <w:rFonts w:cstheme="minorHAnsi"/>
                <w:noProof/>
                <w:color w:val="002060"/>
                <w:lang w:eastAsia="en-GB"/>
              </w:rPr>
              <w:t>9.3.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lang w:eastAsia="en-GB"/>
              </w:rPr>
              <w:t>Zaključak – PFOS u protivpožarnim pjenama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_Toc220541939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134</w:t>
            </w:r>
            <w:r w:rsidR="00605352" w:rsidRPr="00605352">
              <w:rPr>
                <w:rFonts w:cstheme="minorHAnsi"/>
                <w:noProof/>
                <w:webHidden/>
                <w:color w:val="002060"/>
              </w:rPr>
              <w:fldChar w:fldCharType="end"/>
            </w:r>
          </w:hyperlink>
        </w:p>
        <w:p w14:paraId="77707E1B" w14:textId="56DFA4C0"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40" w:history="1">
            <w:r w:rsidR="00605352" w:rsidRPr="00605352">
              <w:rPr>
                <w:rStyle w:val="Hyperlink"/>
                <w:rFonts w:cstheme="minorHAnsi"/>
                <w:noProof/>
                <w:color w:val="002060"/>
              </w:rPr>
              <w:t>9.4.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PFOS, njegovih soli i PFOSF u proizvodima na potrošačkom tržištu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_Toc220541940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135</w:t>
            </w:r>
            <w:r w:rsidR="00605352" w:rsidRPr="00605352">
              <w:rPr>
                <w:rFonts w:cstheme="minorHAnsi"/>
                <w:noProof/>
                <w:webHidden/>
                <w:color w:val="002060"/>
              </w:rPr>
              <w:fldChar w:fldCharType="end"/>
            </w:r>
          </w:hyperlink>
        </w:p>
        <w:p w14:paraId="31A2DB3A" w14:textId="534EA79F"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41" w:history="1">
            <w:r w:rsidR="00605352" w:rsidRPr="00605352">
              <w:rPr>
                <w:rStyle w:val="Hyperlink"/>
                <w:rFonts w:cstheme="minorHAnsi"/>
                <w:noProof/>
                <w:color w:val="002060"/>
                <w:lang w:eastAsia="en-GB"/>
              </w:rPr>
              <w:t>9.5.</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lang w:eastAsia="en-GB"/>
              </w:rPr>
              <w:t>Zaključak – PFOS u proizvodima na potrošačkom tržištu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_Toc220541941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137</w:t>
            </w:r>
            <w:r w:rsidR="00605352" w:rsidRPr="00605352">
              <w:rPr>
                <w:rFonts w:cstheme="minorHAnsi"/>
                <w:noProof/>
                <w:webHidden/>
                <w:color w:val="002060"/>
              </w:rPr>
              <w:fldChar w:fldCharType="end"/>
            </w:r>
          </w:hyperlink>
        </w:p>
        <w:p w14:paraId="4FC11F01" w14:textId="00330F74"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42" w:history="1">
            <w:r w:rsidR="00605352" w:rsidRPr="00605352">
              <w:rPr>
                <w:rStyle w:val="Hyperlink"/>
                <w:rFonts w:cstheme="minorHAnsi"/>
                <w:noProof/>
                <w:color w:val="002060"/>
              </w:rPr>
              <w:t>9.6.</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PFOS, njegovih soli i PFOSF u otpadu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_Toc220541942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139</w:t>
            </w:r>
            <w:r w:rsidR="00605352" w:rsidRPr="00605352">
              <w:rPr>
                <w:rFonts w:cstheme="minorHAnsi"/>
                <w:noProof/>
                <w:webHidden/>
                <w:color w:val="002060"/>
              </w:rPr>
              <w:fldChar w:fldCharType="end"/>
            </w:r>
          </w:hyperlink>
        </w:p>
        <w:p w14:paraId="3ECF4886" w14:textId="75461EFE"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43" w:history="1">
            <w:r w:rsidR="00605352" w:rsidRPr="00605352">
              <w:rPr>
                <w:rStyle w:val="Hyperlink"/>
                <w:rFonts w:cstheme="minorHAnsi"/>
                <w:noProof/>
                <w:color w:val="002060"/>
                <w:lang w:eastAsia="en-GB"/>
              </w:rPr>
              <w:t>9.7.</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lang w:eastAsia="en-GB"/>
              </w:rPr>
              <w:t>Zaključak – PFOS u otpadu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_Toc220541943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141</w:t>
            </w:r>
            <w:r w:rsidR="00605352" w:rsidRPr="00605352">
              <w:rPr>
                <w:rFonts w:cstheme="minorHAnsi"/>
                <w:noProof/>
                <w:webHidden/>
                <w:color w:val="002060"/>
              </w:rPr>
              <w:fldChar w:fldCharType="end"/>
            </w:r>
          </w:hyperlink>
        </w:p>
        <w:p w14:paraId="311E0A62" w14:textId="4C9B4858"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44" w:history="1">
            <w:r w:rsidR="00605352" w:rsidRPr="00605352">
              <w:rPr>
                <w:rStyle w:val="Hyperlink"/>
                <w:rFonts w:cstheme="minorHAnsi"/>
                <w:noProof/>
                <w:color w:val="002060"/>
              </w:rPr>
              <w:t>9.8.</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Zaključci i preporuke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_Toc220541944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142</w:t>
            </w:r>
            <w:r w:rsidR="00605352" w:rsidRPr="00605352">
              <w:rPr>
                <w:rFonts w:cstheme="minorHAnsi"/>
                <w:noProof/>
                <w:webHidden/>
                <w:color w:val="002060"/>
              </w:rPr>
              <w:fldChar w:fldCharType="end"/>
            </w:r>
          </w:hyperlink>
        </w:p>
        <w:p w14:paraId="688112F0" w14:textId="52FC4484"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45" w:history="1">
            <w:r w:rsidR="00605352" w:rsidRPr="00605352">
              <w:rPr>
                <w:rStyle w:val="Hyperlink"/>
                <w:rFonts w:cstheme="minorHAnsi"/>
                <w:noProof/>
                <w:color w:val="002060"/>
              </w:rPr>
              <w:t>Opšti zaključak</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_Toc220541945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143</w:t>
            </w:r>
            <w:r w:rsidR="00605352" w:rsidRPr="00605352">
              <w:rPr>
                <w:rFonts w:cstheme="minorHAnsi"/>
                <w:noProof/>
                <w:webHidden/>
                <w:color w:val="002060"/>
              </w:rPr>
              <w:fldChar w:fldCharType="end"/>
            </w:r>
          </w:hyperlink>
        </w:p>
        <w:p w14:paraId="3AC06A03" w14:textId="73393B7F"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46" w:history="1">
            <w:r w:rsidR="00605352" w:rsidRPr="00605352">
              <w:rPr>
                <w:rStyle w:val="Hyperlink"/>
                <w:rFonts w:cstheme="minorHAnsi"/>
                <w:noProof/>
                <w:color w:val="002060"/>
              </w:rPr>
              <w:t>10.</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Inventar PFOA, njegovih soli i PFOA-sličnih jedinjenja, PFHxS, njegovih soli i PFHxS-sličnih jedinjenja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_Toc220541946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144</w:t>
            </w:r>
            <w:r w:rsidR="00605352" w:rsidRPr="00605352">
              <w:rPr>
                <w:rFonts w:cstheme="minorHAnsi"/>
                <w:noProof/>
                <w:webHidden/>
                <w:color w:val="002060"/>
              </w:rPr>
              <w:fldChar w:fldCharType="end"/>
            </w:r>
          </w:hyperlink>
        </w:p>
        <w:p w14:paraId="02AFD35B" w14:textId="74541762"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47"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_Toc220541947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144</w:t>
            </w:r>
            <w:r w:rsidR="00605352" w:rsidRPr="00605352">
              <w:rPr>
                <w:rFonts w:cstheme="minorHAnsi"/>
                <w:noProof/>
                <w:webHidden/>
                <w:color w:val="002060"/>
              </w:rPr>
              <w:fldChar w:fldCharType="end"/>
            </w:r>
          </w:hyperlink>
        </w:p>
        <w:p w14:paraId="2E4BEA81" w14:textId="24635084"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48" w:history="1">
            <w:r w:rsidR="00605352" w:rsidRPr="00605352">
              <w:rPr>
                <w:rStyle w:val="Hyperlink"/>
                <w:rFonts w:cstheme="minorHAnsi"/>
                <w:noProof/>
                <w:color w:val="002060"/>
              </w:rPr>
              <w:t>Primjena PFOA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_Toc220541948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144</w:t>
            </w:r>
            <w:r w:rsidR="00605352" w:rsidRPr="00605352">
              <w:rPr>
                <w:rFonts w:cstheme="minorHAnsi"/>
                <w:noProof/>
                <w:webHidden/>
                <w:color w:val="002060"/>
              </w:rPr>
              <w:fldChar w:fldCharType="end"/>
            </w:r>
          </w:hyperlink>
        </w:p>
        <w:p w14:paraId="3170234B" w14:textId="5ECDCEC2"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49" w:history="1">
            <w:r w:rsidR="00605352" w:rsidRPr="00605352">
              <w:rPr>
                <w:rStyle w:val="Hyperlink"/>
                <w:rFonts w:cstheme="minorHAnsi"/>
                <w:noProof/>
                <w:color w:val="002060"/>
              </w:rPr>
              <w:t>Status PFOA, njegovih soli i jedinjenja sličnih PFOA u okviru Stokholmske konvencije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_Toc220541949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146</w:t>
            </w:r>
            <w:r w:rsidR="00605352" w:rsidRPr="00605352">
              <w:rPr>
                <w:rFonts w:cstheme="minorHAnsi"/>
                <w:noProof/>
                <w:webHidden/>
                <w:color w:val="002060"/>
              </w:rPr>
              <w:fldChar w:fldCharType="end"/>
            </w:r>
          </w:hyperlink>
        </w:p>
        <w:p w14:paraId="3606C937" w14:textId="46084396"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50" w:history="1">
            <w:r w:rsidR="00605352" w:rsidRPr="00605352">
              <w:rPr>
                <w:rStyle w:val="Hyperlink"/>
                <w:rFonts w:cstheme="minorHAnsi"/>
                <w:noProof/>
                <w:color w:val="002060"/>
              </w:rPr>
              <w:t>Status PFHxS, njegovih soli i jedinjenja sličnih PFHxS u okviru Stokholmske konvencije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_Toc220541950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147</w:t>
            </w:r>
            <w:r w:rsidR="00605352" w:rsidRPr="00605352">
              <w:rPr>
                <w:rFonts w:cstheme="minorHAnsi"/>
                <w:noProof/>
                <w:webHidden/>
                <w:color w:val="002060"/>
              </w:rPr>
              <w:fldChar w:fldCharType="end"/>
            </w:r>
          </w:hyperlink>
        </w:p>
        <w:p w14:paraId="3D621C12" w14:textId="4AD0313A"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51" w:history="1">
            <w:r w:rsidR="00605352" w:rsidRPr="00605352">
              <w:rPr>
                <w:rStyle w:val="Hyperlink"/>
                <w:rFonts w:eastAsia="SimSun" w:cstheme="minorHAnsi"/>
                <w:i/>
                <w:iCs/>
                <w:noProof/>
                <w:color w:val="002060"/>
              </w:rPr>
              <w:t>10.1.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Proces Inventarizacije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_Toc220541951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147</w:t>
            </w:r>
            <w:r w:rsidR="00605352" w:rsidRPr="00605352">
              <w:rPr>
                <w:rFonts w:cstheme="minorHAnsi"/>
                <w:noProof/>
                <w:webHidden/>
                <w:color w:val="002060"/>
              </w:rPr>
              <w:fldChar w:fldCharType="end"/>
            </w:r>
          </w:hyperlink>
        </w:p>
        <w:p w14:paraId="77DBB740" w14:textId="27CB98AB"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52" w:history="1">
            <w:r w:rsidR="00605352" w:rsidRPr="00605352">
              <w:rPr>
                <w:rStyle w:val="Hyperlink"/>
                <w:rFonts w:cstheme="minorHAnsi"/>
                <w:noProof/>
                <w:color w:val="002060"/>
              </w:rPr>
              <w:t>10.2.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PFOA, njenih soli i jedinjenja sličnih PFOA I PFHxS, njegove soli i jedinjenja slični PFHxS za period 2017-2023 godina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_Toc220541952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150</w:t>
            </w:r>
            <w:r w:rsidR="00605352" w:rsidRPr="00605352">
              <w:rPr>
                <w:rFonts w:cstheme="minorHAnsi"/>
                <w:noProof/>
                <w:webHidden/>
                <w:color w:val="002060"/>
              </w:rPr>
              <w:fldChar w:fldCharType="end"/>
            </w:r>
          </w:hyperlink>
        </w:p>
        <w:p w14:paraId="431214DA" w14:textId="217F3B35"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53" w:history="1">
            <w:r w:rsidR="00605352" w:rsidRPr="00605352">
              <w:rPr>
                <w:rStyle w:val="Hyperlink"/>
                <w:rFonts w:cstheme="minorHAnsi"/>
                <w:noProof/>
                <w:color w:val="002060"/>
              </w:rPr>
              <w:t>Metodologija procjene sadržaja PFOA i PFHxS</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_Toc220541953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153</w:t>
            </w:r>
            <w:r w:rsidR="00605352" w:rsidRPr="00605352">
              <w:rPr>
                <w:rFonts w:cstheme="minorHAnsi"/>
                <w:noProof/>
                <w:webHidden/>
                <w:color w:val="002060"/>
              </w:rPr>
              <w:fldChar w:fldCharType="end"/>
            </w:r>
          </w:hyperlink>
        </w:p>
        <w:p w14:paraId="27B6B9C0" w14:textId="477F648A"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54" w:history="1">
            <w:r w:rsidR="00605352" w:rsidRPr="00605352">
              <w:rPr>
                <w:rStyle w:val="Hyperlink"/>
                <w:rFonts w:cstheme="minorHAnsi"/>
                <w:noProof/>
                <w:color w:val="002060"/>
                <w:lang w:eastAsia="en-GB"/>
              </w:rPr>
              <w:t>10.3.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lang w:eastAsia="en-GB"/>
              </w:rPr>
              <w:t>Zaključak – PFOA i PFHxS u protivpožarnim pjenama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_Toc220541954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157</w:t>
            </w:r>
            <w:r w:rsidR="00605352" w:rsidRPr="00605352">
              <w:rPr>
                <w:rFonts w:cstheme="minorHAnsi"/>
                <w:noProof/>
                <w:webHidden/>
                <w:color w:val="002060"/>
              </w:rPr>
              <w:fldChar w:fldCharType="end"/>
            </w:r>
          </w:hyperlink>
        </w:p>
        <w:p w14:paraId="2800CA53" w14:textId="3ADC614C"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55" w:history="1">
            <w:r w:rsidR="00605352" w:rsidRPr="00605352">
              <w:rPr>
                <w:rStyle w:val="Hyperlink"/>
                <w:rFonts w:cstheme="minorHAnsi"/>
                <w:noProof/>
                <w:color w:val="002060"/>
              </w:rPr>
              <w:t>10.4.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PFOA, PFHxS, njihovih soli i sličnih jedinjenja u proizvodima na potrošačkom tržištu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_Toc220541955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158</w:t>
            </w:r>
            <w:r w:rsidR="00605352" w:rsidRPr="00605352">
              <w:rPr>
                <w:rFonts w:cstheme="minorHAnsi"/>
                <w:noProof/>
                <w:webHidden/>
                <w:color w:val="002060"/>
              </w:rPr>
              <w:fldChar w:fldCharType="end"/>
            </w:r>
          </w:hyperlink>
        </w:p>
        <w:p w14:paraId="415EA83F" w14:textId="5246C5FD"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56" w:history="1">
            <w:r w:rsidR="00605352" w:rsidRPr="00605352">
              <w:rPr>
                <w:rStyle w:val="Hyperlink"/>
                <w:rFonts w:cstheme="minorHAnsi"/>
                <w:noProof/>
                <w:color w:val="002060"/>
                <w:lang w:eastAsia="en-GB"/>
              </w:rPr>
              <w:t>10.5.</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lang w:eastAsia="en-GB"/>
              </w:rPr>
              <w:t>Zaključak – PFOA i PFHxS u proizvodima na potrošačkom tržištu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_Toc220541956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161</w:t>
            </w:r>
            <w:r w:rsidR="00605352" w:rsidRPr="00605352">
              <w:rPr>
                <w:rFonts w:cstheme="minorHAnsi"/>
                <w:noProof/>
                <w:webHidden/>
                <w:color w:val="002060"/>
              </w:rPr>
              <w:fldChar w:fldCharType="end"/>
            </w:r>
          </w:hyperlink>
        </w:p>
        <w:p w14:paraId="67694769" w14:textId="598E1B6C"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57" w:history="1">
            <w:r w:rsidR="00605352" w:rsidRPr="00605352">
              <w:rPr>
                <w:rStyle w:val="Hyperlink"/>
                <w:rFonts w:cstheme="minorHAnsi"/>
                <w:noProof/>
                <w:color w:val="002060"/>
              </w:rPr>
              <w:t>10.6.</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PFOA, PFHxS, njihovih soli i sličnih jedinjenja u otpadu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_Toc220541957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162</w:t>
            </w:r>
            <w:r w:rsidR="00605352" w:rsidRPr="00605352">
              <w:rPr>
                <w:rFonts w:cstheme="minorHAnsi"/>
                <w:noProof/>
                <w:webHidden/>
                <w:color w:val="002060"/>
              </w:rPr>
              <w:fldChar w:fldCharType="end"/>
            </w:r>
          </w:hyperlink>
        </w:p>
        <w:p w14:paraId="4CE56EC5" w14:textId="2362F1BD"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58" w:history="1">
            <w:r w:rsidR="00605352" w:rsidRPr="00605352">
              <w:rPr>
                <w:rStyle w:val="Hyperlink"/>
                <w:rFonts w:cstheme="minorHAnsi"/>
                <w:noProof/>
                <w:color w:val="002060"/>
                <w:lang w:eastAsia="en-GB"/>
              </w:rPr>
              <w:t>10.7.</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lang w:eastAsia="en-GB"/>
              </w:rPr>
              <w:t>Zaključak – PFOA i PFHxS u otpadu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_Toc220541958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165</w:t>
            </w:r>
            <w:r w:rsidR="00605352" w:rsidRPr="00605352">
              <w:rPr>
                <w:rFonts w:cstheme="minorHAnsi"/>
                <w:noProof/>
                <w:webHidden/>
                <w:color w:val="002060"/>
              </w:rPr>
              <w:fldChar w:fldCharType="end"/>
            </w:r>
          </w:hyperlink>
        </w:p>
        <w:p w14:paraId="18D75D6D" w14:textId="3664D5C3"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59" w:history="1">
            <w:r w:rsidR="00605352" w:rsidRPr="00605352">
              <w:rPr>
                <w:rStyle w:val="Hyperlink"/>
                <w:rFonts w:cstheme="minorHAnsi"/>
                <w:noProof/>
                <w:color w:val="002060"/>
              </w:rPr>
              <w:t>10.8.</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Završni zaključci i preporuke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_Toc220541959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166</w:t>
            </w:r>
            <w:r w:rsidR="00605352" w:rsidRPr="00605352">
              <w:rPr>
                <w:rFonts w:cstheme="minorHAnsi"/>
                <w:noProof/>
                <w:webHidden/>
                <w:color w:val="002060"/>
              </w:rPr>
              <w:fldChar w:fldCharType="end"/>
            </w:r>
          </w:hyperlink>
        </w:p>
        <w:p w14:paraId="1927DA9E" w14:textId="49DDE801"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60" w:history="1">
            <w:r w:rsidR="00605352" w:rsidRPr="00605352">
              <w:rPr>
                <w:rStyle w:val="Hyperlink"/>
                <w:rFonts w:cstheme="minorHAnsi"/>
                <w:noProof/>
                <w:color w:val="002060"/>
              </w:rPr>
              <w:t>11.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INVENTARIZACIJA HLOROVANIH PARAFINA KRATKOG LANCA (SCCPs)</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_Toc220541960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168</w:t>
            </w:r>
            <w:r w:rsidR="00605352" w:rsidRPr="00605352">
              <w:rPr>
                <w:rFonts w:cstheme="minorHAnsi"/>
                <w:noProof/>
                <w:webHidden/>
                <w:color w:val="002060"/>
              </w:rPr>
              <w:fldChar w:fldCharType="end"/>
            </w:r>
          </w:hyperlink>
        </w:p>
        <w:p w14:paraId="28FAA5D5" w14:textId="46F7D415"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61"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_Toc220541961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168</w:t>
            </w:r>
            <w:r w:rsidR="00605352" w:rsidRPr="00605352">
              <w:rPr>
                <w:rFonts w:cstheme="minorHAnsi"/>
                <w:noProof/>
                <w:webHidden/>
                <w:color w:val="002060"/>
              </w:rPr>
              <w:fldChar w:fldCharType="end"/>
            </w:r>
          </w:hyperlink>
        </w:p>
        <w:p w14:paraId="32B8AC54" w14:textId="2B2FAC49"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62" w:history="1">
            <w:r w:rsidR="00605352" w:rsidRPr="00605352">
              <w:rPr>
                <w:rStyle w:val="Hyperlink"/>
                <w:rFonts w:cstheme="minorHAnsi"/>
                <w:noProof/>
                <w:color w:val="002060"/>
              </w:rPr>
              <w:t>Proizvodnja i upotreba SCCP</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_Toc220541962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170</w:t>
            </w:r>
            <w:r w:rsidR="00605352" w:rsidRPr="00605352">
              <w:rPr>
                <w:rFonts w:cstheme="minorHAnsi"/>
                <w:noProof/>
                <w:webHidden/>
                <w:color w:val="002060"/>
              </w:rPr>
              <w:fldChar w:fldCharType="end"/>
            </w:r>
          </w:hyperlink>
        </w:p>
        <w:p w14:paraId="71B7E515" w14:textId="671FA05F"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63" w:history="1">
            <w:r w:rsidR="00605352" w:rsidRPr="00605352">
              <w:rPr>
                <w:rStyle w:val="Hyperlink"/>
                <w:rFonts w:cstheme="minorHAnsi"/>
                <w:noProof/>
                <w:color w:val="002060"/>
              </w:rPr>
              <w:t>Status SCCPs prema Stokholmskoj konvenciji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_Toc220541963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170</w:t>
            </w:r>
            <w:r w:rsidR="00605352" w:rsidRPr="00605352">
              <w:rPr>
                <w:rFonts w:cstheme="minorHAnsi"/>
                <w:noProof/>
                <w:webHidden/>
                <w:color w:val="002060"/>
              </w:rPr>
              <w:fldChar w:fldCharType="end"/>
            </w:r>
          </w:hyperlink>
        </w:p>
        <w:p w14:paraId="36DC5D47" w14:textId="2C0716E7"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64" w:history="1">
            <w:r w:rsidR="00605352" w:rsidRPr="00605352">
              <w:rPr>
                <w:rStyle w:val="Hyperlink"/>
                <w:rFonts w:cstheme="minorHAnsi"/>
                <w:noProof/>
                <w:color w:val="002060"/>
              </w:rPr>
              <w:t>11.1.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Proces inventarizacije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_Toc220541964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172</w:t>
            </w:r>
            <w:r w:rsidR="00605352" w:rsidRPr="00605352">
              <w:rPr>
                <w:rFonts w:cstheme="minorHAnsi"/>
                <w:noProof/>
                <w:webHidden/>
                <w:color w:val="002060"/>
              </w:rPr>
              <w:fldChar w:fldCharType="end"/>
            </w:r>
          </w:hyperlink>
        </w:p>
        <w:p w14:paraId="3EF33001" w14:textId="39069D05"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65" w:history="1">
            <w:r w:rsidR="00605352" w:rsidRPr="00605352">
              <w:rPr>
                <w:rStyle w:val="Hyperlink"/>
                <w:rFonts w:cstheme="minorHAnsi"/>
                <w:noProof/>
                <w:color w:val="002060"/>
              </w:rPr>
              <w:t>11.2.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SCCP i MCCP u proizvodima sa tržišta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_Toc220541965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174</w:t>
            </w:r>
            <w:r w:rsidR="00605352" w:rsidRPr="00605352">
              <w:rPr>
                <w:rFonts w:cstheme="minorHAnsi"/>
                <w:noProof/>
                <w:webHidden/>
                <w:color w:val="002060"/>
              </w:rPr>
              <w:fldChar w:fldCharType="end"/>
            </w:r>
          </w:hyperlink>
        </w:p>
        <w:p w14:paraId="12856D95" w14:textId="3B6BC0CB"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66" w:history="1">
            <w:r w:rsidR="00605352" w:rsidRPr="00605352">
              <w:rPr>
                <w:rStyle w:val="Hyperlink"/>
                <w:rFonts w:cstheme="minorHAnsi"/>
                <w:noProof/>
                <w:color w:val="002060"/>
              </w:rPr>
              <w:t>Zaključci – SCCP/MCCP u proizvodima na tržištu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_Toc220541966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189</w:t>
            </w:r>
            <w:r w:rsidR="00605352" w:rsidRPr="00605352">
              <w:rPr>
                <w:rFonts w:cstheme="minorHAnsi"/>
                <w:noProof/>
                <w:webHidden/>
                <w:color w:val="002060"/>
              </w:rPr>
              <w:fldChar w:fldCharType="end"/>
            </w:r>
          </w:hyperlink>
        </w:p>
        <w:p w14:paraId="23C9B117" w14:textId="5C1C8A06"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67" w:history="1">
            <w:r w:rsidR="00605352" w:rsidRPr="00605352">
              <w:rPr>
                <w:rStyle w:val="Hyperlink"/>
                <w:rFonts w:cstheme="minorHAnsi"/>
                <w:noProof/>
                <w:color w:val="002060"/>
              </w:rPr>
              <w:t>11.3.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Opšti zaključci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_Toc220541967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190</w:t>
            </w:r>
            <w:r w:rsidR="00605352" w:rsidRPr="00605352">
              <w:rPr>
                <w:rFonts w:cstheme="minorHAnsi"/>
                <w:noProof/>
                <w:webHidden/>
                <w:color w:val="002060"/>
              </w:rPr>
              <w:fldChar w:fldCharType="end"/>
            </w:r>
          </w:hyperlink>
        </w:p>
        <w:p w14:paraId="0B9B8F88" w14:textId="545AE58A"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68" w:history="1">
            <w:r w:rsidR="00605352" w:rsidRPr="00605352">
              <w:rPr>
                <w:rStyle w:val="Hyperlink"/>
                <w:rFonts w:cstheme="minorHAnsi"/>
                <w:noProof/>
                <w:color w:val="002060"/>
              </w:rPr>
              <w:t>11.4.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SCCP u otpadnoj električnoj i elektronskoj opremi (W)EEE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_Toc220541968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190</w:t>
            </w:r>
            <w:r w:rsidR="00605352" w:rsidRPr="00605352">
              <w:rPr>
                <w:rFonts w:cstheme="minorHAnsi"/>
                <w:noProof/>
                <w:webHidden/>
                <w:color w:val="002060"/>
              </w:rPr>
              <w:fldChar w:fldCharType="end"/>
            </w:r>
          </w:hyperlink>
        </w:p>
        <w:p w14:paraId="69DE1584" w14:textId="221DF707"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69" w:history="1">
            <w:r w:rsidR="00605352" w:rsidRPr="00605352">
              <w:rPr>
                <w:rStyle w:val="Hyperlink"/>
                <w:rFonts w:cstheme="minorHAnsi"/>
                <w:noProof/>
                <w:color w:val="002060"/>
              </w:rPr>
              <w:t>11.5.</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i/>
                <w:noProof/>
                <w:color w:val="002060"/>
              </w:rPr>
              <w:t xml:space="preserve">Zaključci – Inventar SCCP </w:t>
            </w:r>
            <w:r w:rsidR="00605352" w:rsidRPr="00605352">
              <w:rPr>
                <w:rStyle w:val="Hyperlink"/>
                <w:rFonts w:cstheme="minorHAnsi"/>
                <w:noProof/>
                <w:color w:val="002060"/>
              </w:rPr>
              <w:t>u otpadnoj električnoj i elektronskoj opremi (WEEE)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_Toc220541969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191</w:t>
            </w:r>
            <w:r w:rsidR="00605352" w:rsidRPr="00605352">
              <w:rPr>
                <w:rFonts w:cstheme="minorHAnsi"/>
                <w:noProof/>
                <w:webHidden/>
                <w:color w:val="002060"/>
              </w:rPr>
              <w:fldChar w:fldCharType="end"/>
            </w:r>
          </w:hyperlink>
        </w:p>
        <w:p w14:paraId="07EC633D" w14:textId="2DC9E555"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70" w:history="1">
            <w:r w:rsidR="00605352" w:rsidRPr="00605352">
              <w:rPr>
                <w:rStyle w:val="Hyperlink"/>
                <w:rFonts w:cstheme="minorHAnsi"/>
                <w:noProof/>
                <w:color w:val="002060"/>
              </w:rPr>
              <w:t>11.6.</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 SCCP  u sektoru vozila i transporta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_Toc220541970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192</w:t>
            </w:r>
            <w:r w:rsidR="00605352" w:rsidRPr="00605352">
              <w:rPr>
                <w:rFonts w:cstheme="minorHAnsi"/>
                <w:noProof/>
                <w:webHidden/>
                <w:color w:val="002060"/>
              </w:rPr>
              <w:fldChar w:fldCharType="end"/>
            </w:r>
          </w:hyperlink>
        </w:p>
        <w:p w14:paraId="12A7DF6C" w14:textId="19065548"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71" w:history="1">
            <w:r w:rsidR="00605352" w:rsidRPr="00605352">
              <w:rPr>
                <w:rStyle w:val="Hyperlink"/>
                <w:rFonts w:cstheme="minorHAnsi"/>
                <w:noProof/>
                <w:color w:val="002060"/>
              </w:rPr>
              <w:t>11.7.</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Diskusija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_Toc220541971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194</w:t>
            </w:r>
            <w:r w:rsidR="00605352" w:rsidRPr="00605352">
              <w:rPr>
                <w:rFonts w:cstheme="minorHAnsi"/>
                <w:noProof/>
                <w:webHidden/>
                <w:color w:val="002060"/>
              </w:rPr>
              <w:fldChar w:fldCharType="end"/>
            </w:r>
          </w:hyperlink>
        </w:p>
        <w:p w14:paraId="4D32F7EB" w14:textId="2F0066FD"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72" w:history="1">
            <w:r w:rsidR="00605352" w:rsidRPr="00605352">
              <w:rPr>
                <w:rStyle w:val="Hyperlink"/>
                <w:rFonts w:cstheme="minorHAnsi"/>
                <w:noProof/>
                <w:color w:val="002060"/>
              </w:rPr>
              <w:t>11.8.</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Manjkavosti i izazovi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_Toc220541972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194</w:t>
            </w:r>
            <w:r w:rsidR="00605352" w:rsidRPr="00605352">
              <w:rPr>
                <w:rFonts w:cstheme="minorHAnsi"/>
                <w:noProof/>
                <w:webHidden/>
                <w:color w:val="002060"/>
              </w:rPr>
              <w:fldChar w:fldCharType="end"/>
            </w:r>
          </w:hyperlink>
        </w:p>
        <w:p w14:paraId="375DC95D" w14:textId="4EEEA9AB"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73" w:history="1">
            <w:r w:rsidR="00605352" w:rsidRPr="00605352">
              <w:rPr>
                <w:rStyle w:val="Hyperlink"/>
                <w:rFonts w:cstheme="minorHAnsi"/>
                <w:noProof/>
                <w:color w:val="002060"/>
              </w:rPr>
              <w:t>11.9.</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Rezultati  inventara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_Toc220541973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195</w:t>
            </w:r>
            <w:r w:rsidR="00605352" w:rsidRPr="00605352">
              <w:rPr>
                <w:rFonts w:cstheme="minorHAnsi"/>
                <w:noProof/>
                <w:webHidden/>
                <w:color w:val="002060"/>
              </w:rPr>
              <w:fldChar w:fldCharType="end"/>
            </w:r>
          </w:hyperlink>
        </w:p>
        <w:p w14:paraId="2402CA35" w14:textId="70DC19F3"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74" w:history="1">
            <w:r w:rsidR="00605352" w:rsidRPr="00605352">
              <w:rPr>
                <w:rStyle w:val="Hyperlink"/>
                <w:rFonts w:cstheme="minorHAnsi"/>
                <w:noProof/>
                <w:color w:val="002060"/>
              </w:rPr>
              <w:t>11.10.</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Zaključci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_Toc220541974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195</w:t>
            </w:r>
            <w:r w:rsidR="00605352" w:rsidRPr="00605352">
              <w:rPr>
                <w:rFonts w:cstheme="minorHAnsi"/>
                <w:noProof/>
                <w:webHidden/>
                <w:color w:val="002060"/>
              </w:rPr>
              <w:fldChar w:fldCharType="end"/>
            </w:r>
          </w:hyperlink>
        </w:p>
        <w:p w14:paraId="1A14096E" w14:textId="147ADEC7"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75" w:history="1">
            <w:r w:rsidR="00605352" w:rsidRPr="00605352">
              <w:rPr>
                <w:rStyle w:val="Hyperlink"/>
                <w:rFonts w:cstheme="minorHAnsi"/>
                <w:i/>
                <w:iCs/>
                <w:noProof/>
                <w:color w:val="002060"/>
              </w:rPr>
              <w:t>11.11.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Preporuke/Elementi Akcionog plana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_Toc220541975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195</w:t>
            </w:r>
            <w:r w:rsidR="00605352" w:rsidRPr="00605352">
              <w:rPr>
                <w:rFonts w:cstheme="minorHAnsi"/>
                <w:noProof/>
                <w:webHidden/>
                <w:color w:val="002060"/>
              </w:rPr>
              <w:fldChar w:fldCharType="end"/>
            </w:r>
          </w:hyperlink>
        </w:p>
        <w:p w14:paraId="0DBA80F4" w14:textId="37768232"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76" w:history="1">
            <w:r w:rsidR="00605352" w:rsidRPr="00605352">
              <w:rPr>
                <w:rStyle w:val="Hyperlink"/>
                <w:rFonts w:cstheme="minorHAnsi"/>
                <w:noProof/>
                <w:color w:val="002060"/>
              </w:rPr>
              <w:t>12.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MONITORING POPs</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_Toc220541976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196</w:t>
            </w:r>
            <w:r w:rsidR="00605352" w:rsidRPr="00605352">
              <w:rPr>
                <w:rFonts w:cstheme="minorHAnsi"/>
                <w:noProof/>
                <w:webHidden/>
                <w:color w:val="002060"/>
              </w:rPr>
              <w:fldChar w:fldCharType="end"/>
            </w:r>
          </w:hyperlink>
        </w:p>
        <w:p w14:paraId="46F1C8C3" w14:textId="7AB88DE0"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77"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_Toc220541977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196</w:t>
            </w:r>
            <w:r w:rsidR="00605352" w:rsidRPr="00605352">
              <w:rPr>
                <w:rFonts w:cstheme="minorHAnsi"/>
                <w:noProof/>
                <w:webHidden/>
                <w:color w:val="002060"/>
              </w:rPr>
              <w:fldChar w:fldCharType="end"/>
            </w:r>
          </w:hyperlink>
        </w:p>
        <w:p w14:paraId="44AFBC8D" w14:textId="2F26A908"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78" w:history="1">
            <w:r w:rsidR="00605352" w:rsidRPr="00605352">
              <w:rPr>
                <w:rStyle w:val="Hyperlink"/>
                <w:rFonts w:cstheme="minorHAnsi"/>
                <w:noProof/>
                <w:color w:val="002060"/>
              </w:rPr>
              <w:t>Institucionalni kapaciteti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_Toc220541978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196</w:t>
            </w:r>
            <w:r w:rsidR="00605352" w:rsidRPr="00605352">
              <w:rPr>
                <w:rFonts w:cstheme="minorHAnsi"/>
                <w:noProof/>
                <w:webHidden/>
                <w:color w:val="002060"/>
              </w:rPr>
              <w:fldChar w:fldCharType="end"/>
            </w:r>
          </w:hyperlink>
        </w:p>
        <w:p w14:paraId="24E153A7" w14:textId="2CD5166E"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79" w:history="1">
            <w:r w:rsidR="00605352" w:rsidRPr="00605352">
              <w:rPr>
                <w:rStyle w:val="Hyperlink"/>
                <w:rFonts w:cstheme="minorHAnsi"/>
                <w:noProof/>
                <w:color w:val="002060"/>
              </w:rPr>
              <w:t>12.1.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Programi monitoringa POPs-a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_Toc220541979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198</w:t>
            </w:r>
            <w:r w:rsidR="00605352" w:rsidRPr="00605352">
              <w:rPr>
                <w:rFonts w:cstheme="minorHAnsi"/>
                <w:noProof/>
                <w:webHidden/>
                <w:color w:val="002060"/>
              </w:rPr>
              <w:fldChar w:fldCharType="end"/>
            </w:r>
          </w:hyperlink>
        </w:p>
        <w:p w14:paraId="7352ECC1" w14:textId="3BFE082A"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80" w:history="1">
            <w:r w:rsidR="00605352" w:rsidRPr="00605352">
              <w:rPr>
                <w:rStyle w:val="Hyperlink"/>
                <w:rFonts w:cstheme="minorHAnsi"/>
                <w:noProof/>
                <w:color w:val="002060"/>
              </w:rPr>
              <w:t>Monitoring zemljišta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_Toc220541980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198</w:t>
            </w:r>
            <w:r w:rsidR="00605352" w:rsidRPr="00605352">
              <w:rPr>
                <w:rFonts w:cstheme="minorHAnsi"/>
                <w:noProof/>
                <w:webHidden/>
                <w:color w:val="002060"/>
              </w:rPr>
              <w:fldChar w:fldCharType="end"/>
            </w:r>
          </w:hyperlink>
        </w:p>
        <w:p w14:paraId="4F51A611" w14:textId="67804282"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81" w:history="1">
            <w:r w:rsidR="00605352" w:rsidRPr="00605352">
              <w:rPr>
                <w:rStyle w:val="Hyperlink"/>
                <w:rFonts w:cstheme="minorHAnsi"/>
                <w:noProof/>
                <w:color w:val="002060"/>
              </w:rPr>
              <w:t>12.2.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Projekti praćenja i upravljanja POP-s i drugim zagađivačima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_Toc220541981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204</w:t>
            </w:r>
            <w:r w:rsidR="00605352" w:rsidRPr="00605352">
              <w:rPr>
                <w:rFonts w:cstheme="minorHAnsi"/>
                <w:noProof/>
                <w:webHidden/>
                <w:color w:val="002060"/>
              </w:rPr>
              <w:fldChar w:fldCharType="end"/>
            </w:r>
          </w:hyperlink>
        </w:p>
        <w:p w14:paraId="0A5CC10E" w14:textId="7A719071"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82" w:history="1">
            <w:r w:rsidR="00605352" w:rsidRPr="00605352">
              <w:rPr>
                <w:rStyle w:val="Hyperlink"/>
                <w:rFonts w:cstheme="minorHAnsi"/>
                <w:noProof/>
                <w:color w:val="002060"/>
              </w:rPr>
              <w:t>12.3.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Opšti zaključci: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_Toc220541982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205</w:t>
            </w:r>
            <w:r w:rsidR="00605352" w:rsidRPr="00605352">
              <w:rPr>
                <w:rFonts w:cstheme="minorHAnsi"/>
                <w:noProof/>
                <w:webHidden/>
                <w:color w:val="002060"/>
              </w:rPr>
              <w:fldChar w:fldCharType="end"/>
            </w:r>
          </w:hyperlink>
        </w:p>
        <w:p w14:paraId="2366F8A0" w14:textId="4DFF13FC"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83" w:history="1">
            <w:r w:rsidR="00605352" w:rsidRPr="00605352">
              <w:rPr>
                <w:rStyle w:val="Hyperlink"/>
                <w:rFonts w:cstheme="minorHAnsi"/>
                <w:noProof/>
                <w:color w:val="002060"/>
              </w:rPr>
              <w:t>12.4.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Opšte preporuke: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_Toc220541983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206</w:t>
            </w:r>
            <w:r w:rsidR="00605352" w:rsidRPr="00605352">
              <w:rPr>
                <w:rFonts w:cstheme="minorHAnsi"/>
                <w:noProof/>
                <w:webHidden/>
                <w:color w:val="002060"/>
              </w:rPr>
              <w:fldChar w:fldCharType="end"/>
            </w:r>
          </w:hyperlink>
        </w:p>
        <w:p w14:paraId="405CD0FD" w14:textId="3BAF14EA"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84" w:history="1">
            <w:r w:rsidR="00605352" w:rsidRPr="00605352">
              <w:rPr>
                <w:rStyle w:val="Hyperlink"/>
                <w:rFonts w:cstheme="minorHAnsi"/>
                <w:noProof/>
                <w:color w:val="002060"/>
              </w:rPr>
              <w:t>13.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ISTRAŽIVAČKE I OBRAZOVNE AKTIVNOSTI VEZANE ZA POPs</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_Toc220541984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207</w:t>
            </w:r>
            <w:r w:rsidR="00605352" w:rsidRPr="00605352">
              <w:rPr>
                <w:rFonts w:cstheme="minorHAnsi"/>
                <w:noProof/>
                <w:webHidden/>
                <w:color w:val="002060"/>
              </w:rPr>
              <w:fldChar w:fldCharType="end"/>
            </w:r>
          </w:hyperlink>
        </w:p>
        <w:p w14:paraId="43CA62F6" w14:textId="1F1C7414"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85"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_Toc220541985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207</w:t>
            </w:r>
            <w:r w:rsidR="00605352" w:rsidRPr="00605352">
              <w:rPr>
                <w:rFonts w:cstheme="minorHAnsi"/>
                <w:noProof/>
                <w:webHidden/>
                <w:color w:val="002060"/>
              </w:rPr>
              <w:fldChar w:fldCharType="end"/>
            </w:r>
          </w:hyperlink>
        </w:p>
        <w:p w14:paraId="4643442B" w14:textId="4434CFCB"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86" w:history="1">
            <w:r w:rsidR="00605352" w:rsidRPr="00605352">
              <w:rPr>
                <w:rStyle w:val="Hyperlink"/>
                <w:rFonts w:cstheme="minorHAnsi"/>
                <w:noProof/>
                <w:color w:val="002060"/>
              </w:rPr>
              <w:t>POPs u obrazovnim programima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_Toc220541986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207</w:t>
            </w:r>
            <w:r w:rsidR="00605352" w:rsidRPr="00605352">
              <w:rPr>
                <w:rFonts w:cstheme="minorHAnsi"/>
                <w:noProof/>
                <w:webHidden/>
                <w:color w:val="002060"/>
              </w:rPr>
              <w:fldChar w:fldCharType="end"/>
            </w:r>
          </w:hyperlink>
        </w:p>
        <w:p w14:paraId="1D9B066E" w14:textId="5FCAB687"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87" w:history="1">
            <w:r w:rsidR="00605352" w:rsidRPr="00605352">
              <w:rPr>
                <w:rStyle w:val="Hyperlink"/>
                <w:rFonts w:cstheme="minorHAnsi"/>
                <w:noProof/>
                <w:color w:val="002060"/>
              </w:rPr>
              <w:t>Izazovi u zdravstvenoj zaštiti i javnoj svijesti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_Toc220541987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207</w:t>
            </w:r>
            <w:r w:rsidR="00605352" w:rsidRPr="00605352">
              <w:rPr>
                <w:rFonts w:cstheme="minorHAnsi"/>
                <w:noProof/>
                <w:webHidden/>
                <w:color w:val="002060"/>
              </w:rPr>
              <w:fldChar w:fldCharType="end"/>
            </w:r>
          </w:hyperlink>
        </w:p>
        <w:p w14:paraId="5F527783" w14:textId="091649BE"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88" w:history="1">
            <w:r w:rsidR="00605352" w:rsidRPr="00605352">
              <w:rPr>
                <w:rStyle w:val="Hyperlink"/>
                <w:rFonts w:cstheme="minorHAnsi"/>
                <w:noProof/>
                <w:color w:val="002060"/>
              </w:rPr>
              <w:t>Upravljanje i istraživanje POPs-a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_Toc220541988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208</w:t>
            </w:r>
            <w:r w:rsidR="00605352" w:rsidRPr="00605352">
              <w:rPr>
                <w:rFonts w:cstheme="minorHAnsi"/>
                <w:noProof/>
                <w:webHidden/>
                <w:color w:val="002060"/>
              </w:rPr>
              <w:fldChar w:fldCharType="end"/>
            </w:r>
          </w:hyperlink>
        </w:p>
        <w:p w14:paraId="79BFB65A" w14:textId="211E62E7"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89" w:history="1">
            <w:r w:rsidR="00605352" w:rsidRPr="00605352">
              <w:rPr>
                <w:rStyle w:val="Hyperlink"/>
                <w:rFonts w:cstheme="minorHAnsi"/>
                <w:noProof/>
                <w:color w:val="002060"/>
              </w:rPr>
              <w:t>Sistematsko praćenje životne sredine i ljudi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_Toc220541989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208</w:t>
            </w:r>
            <w:r w:rsidR="00605352" w:rsidRPr="00605352">
              <w:rPr>
                <w:rFonts w:cstheme="minorHAnsi"/>
                <w:noProof/>
                <w:webHidden/>
                <w:color w:val="002060"/>
              </w:rPr>
              <w:fldChar w:fldCharType="end"/>
            </w:r>
          </w:hyperlink>
        </w:p>
        <w:p w14:paraId="4AC38BC3" w14:textId="0EBB110A"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90" w:history="1">
            <w:r w:rsidR="00605352" w:rsidRPr="00605352">
              <w:rPr>
                <w:rStyle w:val="Hyperlink"/>
                <w:rFonts w:cstheme="minorHAnsi"/>
                <w:noProof/>
                <w:color w:val="002060"/>
              </w:rPr>
              <w:t>Globalni plan praćenja (GMP)</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_Toc220541990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209</w:t>
            </w:r>
            <w:r w:rsidR="00605352" w:rsidRPr="00605352">
              <w:rPr>
                <w:rFonts w:cstheme="minorHAnsi"/>
                <w:noProof/>
                <w:webHidden/>
                <w:color w:val="002060"/>
              </w:rPr>
              <w:fldChar w:fldCharType="end"/>
            </w:r>
          </w:hyperlink>
        </w:p>
        <w:p w14:paraId="4AD5956D" w14:textId="66896038"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91" w:history="1">
            <w:r w:rsidR="00605352" w:rsidRPr="00605352">
              <w:rPr>
                <w:rStyle w:val="Hyperlink"/>
                <w:rFonts w:cstheme="minorHAnsi"/>
                <w:noProof/>
                <w:color w:val="002060"/>
              </w:rPr>
              <w:t>13.1.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Preporuke i strateške mjere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_Toc220541991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210</w:t>
            </w:r>
            <w:r w:rsidR="00605352" w:rsidRPr="00605352">
              <w:rPr>
                <w:rFonts w:cstheme="minorHAnsi"/>
                <w:noProof/>
                <w:webHidden/>
                <w:color w:val="002060"/>
              </w:rPr>
              <w:fldChar w:fldCharType="end"/>
            </w:r>
          </w:hyperlink>
        </w:p>
        <w:p w14:paraId="7ED24B6A" w14:textId="2C5EC1D3"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92" w:history="1">
            <w:r w:rsidR="00605352" w:rsidRPr="00605352">
              <w:rPr>
                <w:rStyle w:val="Hyperlink"/>
                <w:rFonts w:cstheme="minorHAnsi"/>
                <w:noProof/>
                <w:color w:val="002060"/>
              </w:rPr>
              <w:t>14.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PROCJENA NACIONALNIH POLITIKA I KAPACITETA ZA UPRAVLJANJE POPs</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_Toc220541992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211</w:t>
            </w:r>
            <w:r w:rsidR="00605352" w:rsidRPr="00605352">
              <w:rPr>
                <w:rFonts w:cstheme="minorHAnsi"/>
                <w:noProof/>
                <w:webHidden/>
                <w:color w:val="002060"/>
              </w:rPr>
              <w:fldChar w:fldCharType="end"/>
            </w:r>
          </w:hyperlink>
        </w:p>
        <w:p w14:paraId="64A41306" w14:textId="5E55D04E" w:rsidR="00605352" w:rsidRPr="00605352" w:rsidRDefault="009756DA">
          <w:pPr>
            <w:pStyle w:val="TOC1"/>
            <w:tabs>
              <w:tab w:val="right" w:leader="dot" w:pos="9350"/>
            </w:tabs>
            <w:rPr>
              <w:rFonts w:cstheme="minorHAnsi"/>
              <w:b w:val="0"/>
              <w:bCs w:val="0"/>
              <w:caps w:val="0"/>
              <w:noProof/>
              <w:color w:val="002060"/>
              <w:kern w:val="2"/>
              <w:sz w:val="24"/>
              <w:szCs w:val="24"/>
              <w:lang w:val="en-US" w:eastAsia="en-US"/>
              <w14:ligatures w14:val="standardContextual"/>
            </w:rPr>
          </w:pPr>
          <w:hyperlink w:anchor="_Toc220541993" w:history="1">
            <w:r w:rsidR="00605352" w:rsidRPr="00605352">
              <w:rPr>
                <w:rStyle w:val="Hyperlink"/>
                <w:rFonts w:cstheme="minorHAnsi"/>
                <w:noProof/>
                <w:color w:val="002060"/>
              </w:rPr>
              <w:t>NACIONALNI OKVIR</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_Toc220541993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211</w:t>
            </w:r>
            <w:r w:rsidR="00605352" w:rsidRPr="00605352">
              <w:rPr>
                <w:rFonts w:cstheme="minorHAnsi"/>
                <w:noProof/>
                <w:webHidden/>
                <w:color w:val="002060"/>
              </w:rPr>
              <w:fldChar w:fldCharType="end"/>
            </w:r>
          </w:hyperlink>
        </w:p>
        <w:p w14:paraId="057AAE37" w14:textId="36949D8D"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1994" w:history="1">
            <w:r w:rsidR="00605352" w:rsidRPr="00605352">
              <w:rPr>
                <w:rStyle w:val="Hyperlink"/>
                <w:rFonts w:cstheme="minorHAnsi"/>
                <w:noProof/>
                <w:color w:val="002060"/>
              </w:rPr>
              <w:t>15.</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PROCJENA KAPACITETA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_Toc220541994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213</w:t>
            </w:r>
            <w:r w:rsidR="00605352" w:rsidRPr="00605352">
              <w:rPr>
                <w:rFonts w:cstheme="minorHAnsi"/>
                <w:noProof/>
                <w:webHidden/>
                <w:color w:val="002060"/>
              </w:rPr>
              <w:fldChar w:fldCharType="end"/>
            </w:r>
          </w:hyperlink>
        </w:p>
        <w:p w14:paraId="4E7A3013" w14:textId="35813FA9"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95" w:history="1">
            <w:r w:rsidR="00605352" w:rsidRPr="00605352">
              <w:rPr>
                <w:rStyle w:val="Hyperlink"/>
                <w:rFonts w:cstheme="minorHAnsi"/>
                <w:noProof/>
                <w:color w:val="002060"/>
              </w:rPr>
              <w:t>15.1.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Nadležne institucije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_Toc220541995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213</w:t>
            </w:r>
            <w:r w:rsidR="00605352" w:rsidRPr="00605352">
              <w:rPr>
                <w:rFonts w:cstheme="minorHAnsi"/>
                <w:noProof/>
                <w:webHidden/>
                <w:color w:val="002060"/>
              </w:rPr>
              <w:fldChar w:fldCharType="end"/>
            </w:r>
          </w:hyperlink>
        </w:p>
        <w:p w14:paraId="4093164E" w14:textId="102FB007"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96" w:history="1">
            <w:r w:rsidR="00605352" w:rsidRPr="00605352">
              <w:rPr>
                <w:rStyle w:val="Hyperlink"/>
                <w:rFonts w:cstheme="minorHAnsi"/>
                <w:noProof/>
                <w:color w:val="002060"/>
              </w:rPr>
              <w:t>15.2.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Administrativni  kapaciteti: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_Toc220541996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214</w:t>
            </w:r>
            <w:r w:rsidR="00605352" w:rsidRPr="00605352">
              <w:rPr>
                <w:rFonts w:cstheme="minorHAnsi"/>
                <w:noProof/>
                <w:webHidden/>
                <w:color w:val="002060"/>
              </w:rPr>
              <w:fldChar w:fldCharType="end"/>
            </w:r>
          </w:hyperlink>
        </w:p>
        <w:p w14:paraId="65CB7A29" w14:textId="326C52D2"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97" w:history="1">
            <w:r w:rsidR="00605352" w:rsidRPr="00605352">
              <w:rPr>
                <w:rStyle w:val="Hyperlink"/>
                <w:rFonts w:cstheme="minorHAnsi"/>
                <w:noProof/>
                <w:color w:val="002060"/>
              </w:rPr>
              <w:t>Izazovi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_Toc220541997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214</w:t>
            </w:r>
            <w:r w:rsidR="00605352" w:rsidRPr="00605352">
              <w:rPr>
                <w:rFonts w:cstheme="minorHAnsi"/>
                <w:noProof/>
                <w:webHidden/>
                <w:color w:val="002060"/>
              </w:rPr>
              <w:fldChar w:fldCharType="end"/>
            </w:r>
          </w:hyperlink>
        </w:p>
        <w:p w14:paraId="4A1A7034" w14:textId="48619887"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1998" w:history="1">
            <w:r w:rsidR="00605352" w:rsidRPr="00605352">
              <w:rPr>
                <w:rStyle w:val="Hyperlink"/>
                <w:rFonts w:cstheme="minorHAnsi"/>
                <w:noProof/>
                <w:color w:val="002060"/>
              </w:rPr>
              <w:t>Tehnički kapaciteti: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_Toc220541998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215</w:t>
            </w:r>
            <w:r w:rsidR="00605352" w:rsidRPr="00605352">
              <w:rPr>
                <w:rFonts w:cstheme="minorHAnsi"/>
                <w:noProof/>
                <w:webHidden/>
                <w:color w:val="002060"/>
              </w:rPr>
              <w:fldChar w:fldCharType="end"/>
            </w:r>
          </w:hyperlink>
        </w:p>
        <w:p w14:paraId="734F57A6" w14:textId="28A19BA3" w:rsidR="00605352" w:rsidRPr="00605352" w:rsidRDefault="009756DA">
          <w:pPr>
            <w:pStyle w:val="TOC1"/>
            <w:tabs>
              <w:tab w:val="left" w:pos="800"/>
              <w:tab w:val="right" w:leader="dot" w:pos="9350"/>
            </w:tabs>
            <w:rPr>
              <w:rFonts w:cstheme="minorHAnsi"/>
              <w:b w:val="0"/>
              <w:bCs w:val="0"/>
              <w:caps w:val="0"/>
              <w:noProof/>
              <w:color w:val="002060"/>
              <w:kern w:val="2"/>
              <w:sz w:val="24"/>
              <w:szCs w:val="24"/>
              <w:lang w:val="en-US" w:eastAsia="en-US"/>
              <w14:ligatures w14:val="standardContextual"/>
            </w:rPr>
          </w:pPr>
          <w:hyperlink w:anchor="_Toc220541999" w:history="1">
            <w:r w:rsidR="00605352" w:rsidRPr="00605352">
              <w:rPr>
                <w:rStyle w:val="Hyperlink"/>
                <w:rFonts w:cstheme="minorHAnsi"/>
                <w:noProof/>
                <w:color w:val="002060"/>
              </w:rPr>
              <w:t>15.3.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Zaključak</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_Toc220541999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215</w:t>
            </w:r>
            <w:r w:rsidR="00605352" w:rsidRPr="00605352">
              <w:rPr>
                <w:rFonts w:cstheme="minorHAnsi"/>
                <w:noProof/>
                <w:webHidden/>
                <w:color w:val="002060"/>
              </w:rPr>
              <w:fldChar w:fldCharType="end"/>
            </w:r>
          </w:hyperlink>
        </w:p>
        <w:p w14:paraId="45E27690" w14:textId="5830EE64"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2000" w:history="1">
            <w:r w:rsidR="00605352" w:rsidRPr="00605352">
              <w:rPr>
                <w:rStyle w:val="Hyperlink"/>
                <w:rFonts w:cstheme="minorHAnsi"/>
                <w:noProof/>
                <w:color w:val="002060"/>
              </w:rPr>
              <w:t>16.</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Finansijski resursi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_Toc220542000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216</w:t>
            </w:r>
            <w:r w:rsidR="00605352" w:rsidRPr="00605352">
              <w:rPr>
                <w:rFonts w:cstheme="minorHAnsi"/>
                <w:noProof/>
                <w:webHidden/>
                <w:color w:val="002060"/>
              </w:rPr>
              <w:fldChar w:fldCharType="end"/>
            </w:r>
          </w:hyperlink>
        </w:p>
        <w:p w14:paraId="1BEB4483" w14:textId="0781EEDF"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01" w:history="1">
            <w:r w:rsidR="00605352" w:rsidRPr="00605352">
              <w:rPr>
                <w:rStyle w:val="Hyperlink"/>
                <w:rFonts w:cstheme="minorHAnsi"/>
                <w:noProof/>
                <w:color w:val="002060"/>
              </w:rPr>
              <w:t>Izazovi u  finansiranju</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_Toc220542001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217</w:t>
            </w:r>
            <w:r w:rsidR="00605352" w:rsidRPr="00605352">
              <w:rPr>
                <w:rFonts w:cstheme="minorHAnsi"/>
                <w:noProof/>
                <w:webHidden/>
                <w:color w:val="002060"/>
              </w:rPr>
              <w:fldChar w:fldCharType="end"/>
            </w:r>
          </w:hyperlink>
        </w:p>
        <w:p w14:paraId="2BB01308" w14:textId="390B1A31"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2002" w:history="1">
            <w:r w:rsidR="00605352" w:rsidRPr="00605352">
              <w:rPr>
                <w:rStyle w:val="Hyperlink"/>
                <w:rFonts w:cstheme="minorHAnsi"/>
                <w:noProof/>
                <w:color w:val="002060"/>
              </w:rPr>
              <w:t>17.</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ZAKONODAVNI OKVIR</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_Toc220542002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218</w:t>
            </w:r>
            <w:r w:rsidR="00605352" w:rsidRPr="00605352">
              <w:rPr>
                <w:rFonts w:cstheme="minorHAnsi"/>
                <w:noProof/>
                <w:webHidden/>
                <w:color w:val="002060"/>
              </w:rPr>
              <w:fldChar w:fldCharType="end"/>
            </w:r>
          </w:hyperlink>
        </w:p>
        <w:p w14:paraId="1CD6F1A6" w14:textId="52853DEE"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2003" w:history="1">
            <w:r w:rsidR="00605352" w:rsidRPr="00605352">
              <w:rPr>
                <w:rStyle w:val="Hyperlink"/>
                <w:rFonts w:cstheme="minorHAnsi"/>
                <w:noProof/>
                <w:color w:val="002060"/>
              </w:rPr>
              <w:t>18.</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TEHNIČKA I FINANSIJSKA POMOĆ</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_Toc220542003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228</w:t>
            </w:r>
            <w:r w:rsidR="00605352" w:rsidRPr="00605352">
              <w:rPr>
                <w:rFonts w:cstheme="minorHAnsi"/>
                <w:noProof/>
                <w:webHidden/>
                <w:color w:val="002060"/>
              </w:rPr>
              <w:fldChar w:fldCharType="end"/>
            </w:r>
          </w:hyperlink>
        </w:p>
        <w:p w14:paraId="7D013BAD" w14:textId="5D2F5B09"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04"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_Toc220542004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228</w:t>
            </w:r>
            <w:r w:rsidR="00605352" w:rsidRPr="00605352">
              <w:rPr>
                <w:rFonts w:cstheme="minorHAnsi"/>
                <w:noProof/>
                <w:webHidden/>
                <w:color w:val="002060"/>
              </w:rPr>
              <w:fldChar w:fldCharType="end"/>
            </w:r>
          </w:hyperlink>
        </w:p>
        <w:p w14:paraId="335B5BE7" w14:textId="144ACE41"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05" w:history="1">
            <w:r w:rsidR="00605352" w:rsidRPr="00605352">
              <w:rPr>
                <w:rStyle w:val="Hyperlink"/>
                <w:rFonts w:cstheme="minorHAnsi"/>
                <w:noProof/>
                <w:color w:val="002060"/>
              </w:rPr>
              <w:t>Realizovani projekti, projekti u toku i ostale značajne aktivnosti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_Toc220542005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229</w:t>
            </w:r>
            <w:r w:rsidR="00605352" w:rsidRPr="00605352">
              <w:rPr>
                <w:rFonts w:cstheme="minorHAnsi"/>
                <w:noProof/>
                <w:webHidden/>
                <w:color w:val="002060"/>
              </w:rPr>
              <w:fldChar w:fldCharType="end"/>
            </w:r>
          </w:hyperlink>
        </w:p>
        <w:p w14:paraId="52E170BA" w14:textId="24757082"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06" w:history="1">
            <w:r w:rsidR="00605352" w:rsidRPr="00605352">
              <w:rPr>
                <w:rStyle w:val="Hyperlink"/>
                <w:rFonts w:cstheme="minorHAnsi"/>
                <w:noProof/>
                <w:color w:val="002060"/>
                <w:lang w:eastAsia="en-GB"/>
              </w:rPr>
              <w:t>Projekat „Ekološki prihvatljivo upravljanje PCB-om u Crnoj Gori“ (2017–2021)</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_Toc220542006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229</w:t>
            </w:r>
            <w:r w:rsidR="00605352" w:rsidRPr="00605352">
              <w:rPr>
                <w:rFonts w:cstheme="minorHAnsi"/>
                <w:noProof/>
                <w:webHidden/>
                <w:color w:val="002060"/>
              </w:rPr>
              <w:fldChar w:fldCharType="end"/>
            </w:r>
          </w:hyperlink>
        </w:p>
        <w:p w14:paraId="2DAE782C" w14:textId="243A86E7"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07" w:history="1">
            <w:r w:rsidR="00605352" w:rsidRPr="00605352">
              <w:rPr>
                <w:rStyle w:val="Hyperlink"/>
                <w:rFonts w:cstheme="minorHAnsi"/>
                <w:noProof/>
                <w:color w:val="002060"/>
              </w:rPr>
              <w:t>Projekti koje su sprovele nevladine organizacije u cilju sprovođenja edukativnih kampanja o bezbjednom upravljanju dugotrajnim organskim zagađujućim supstancama (POPs)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_Toc220542007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232</w:t>
            </w:r>
            <w:r w:rsidR="00605352" w:rsidRPr="00605352">
              <w:rPr>
                <w:rFonts w:cstheme="minorHAnsi"/>
                <w:noProof/>
                <w:webHidden/>
                <w:color w:val="002060"/>
              </w:rPr>
              <w:fldChar w:fldCharType="end"/>
            </w:r>
          </w:hyperlink>
        </w:p>
        <w:p w14:paraId="1944F958" w14:textId="27C55738"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08" w:history="1">
            <w:r w:rsidR="00605352" w:rsidRPr="00605352">
              <w:rPr>
                <w:rStyle w:val="Hyperlink"/>
                <w:rFonts w:cstheme="minorHAnsi"/>
                <w:noProof/>
                <w:color w:val="002060"/>
              </w:rPr>
              <w:t>Projekti izrade i ažuriranja Nacionalnog implementacionog plana (NIP) za implementaciju Stokhoklmske konvencije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_Toc220542008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233</w:t>
            </w:r>
            <w:r w:rsidR="00605352" w:rsidRPr="00605352">
              <w:rPr>
                <w:rFonts w:cstheme="minorHAnsi"/>
                <w:noProof/>
                <w:webHidden/>
                <w:color w:val="002060"/>
              </w:rPr>
              <w:fldChar w:fldCharType="end"/>
            </w:r>
          </w:hyperlink>
        </w:p>
        <w:p w14:paraId="061E51C8" w14:textId="6B8244E2"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09" w:history="1">
            <w:r w:rsidR="00605352" w:rsidRPr="00605352">
              <w:rPr>
                <w:rStyle w:val="Hyperlink"/>
                <w:rFonts w:cstheme="minorHAnsi"/>
                <w:noProof/>
                <w:color w:val="002060"/>
              </w:rPr>
              <w:t>Preporuke za planiranje budućih projekata u oblasti POPs hemikalija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_Toc220542009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234</w:t>
            </w:r>
            <w:r w:rsidR="00605352" w:rsidRPr="00605352">
              <w:rPr>
                <w:rFonts w:cstheme="minorHAnsi"/>
                <w:noProof/>
                <w:webHidden/>
                <w:color w:val="002060"/>
              </w:rPr>
              <w:fldChar w:fldCharType="end"/>
            </w:r>
          </w:hyperlink>
        </w:p>
        <w:p w14:paraId="54340A98" w14:textId="40E7D395"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2010" w:history="1">
            <w:r w:rsidR="00605352" w:rsidRPr="00605352">
              <w:rPr>
                <w:rStyle w:val="Hyperlink"/>
                <w:rFonts w:cstheme="minorHAnsi"/>
                <w:noProof/>
                <w:color w:val="002060"/>
              </w:rPr>
              <w:t>19.</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Procjena napretka u odnosu na prethodne NIP-ove i zvanične evidencije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_Toc220542010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235</w:t>
            </w:r>
            <w:r w:rsidR="00605352" w:rsidRPr="00605352">
              <w:rPr>
                <w:rFonts w:cstheme="minorHAnsi"/>
                <w:noProof/>
                <w:webHidden/>
                <w:color w:val="002060"/>
              </w:rPr>
              <w:fldChar w:fldCharType="end"/>
            </w:r>
          </w:hyperlink>
        </w:p>
        <w:p w14:paraId="6B87581C" w14:textId="3BC32520"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2011" w:history="1">
            <w:r w:rsidR="00605352" w:rsidRPr="00605352">
              <w:rPr>
                <w:rStyle w:val="Hyperlink"/>
                <w:rFonts w:cstheme="minorHAnsi"/>
                <w:noProof/>
                <w:color w:val="002060"/>
              </w:rPr>
              <w:t>20.</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USKLAĐENOST SA MEĐUNARODNIM OBAVEZAMA I EU ACQUIS</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_Toc220542011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237</w:t>
            </w:r>
            <w:r w:rsidR="00605352" w:rsidRPr="00605352">
              <w:rPr>
                <w:rFonts w:cstheme="minorHAnsi"/>
                <w:noProof/>
                <w:webHidden/>
                <w:color w:val="002060"/>
              </w:rPr>
              <w:fldChar w:fldCharType="end"/>
            </w:r>
          </w:hyperlink>
        </w:p>
        <w:p w14:paraId="424C23C8" w14:textId="27BFAE37"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12" w:history="1">
            <w:r w:rsidR="00605352" w:rsidRPr="00605352">
              <w:rPr>
                <w:rStyle w:val="Hyperlink"/>
                <w:rFonts w:cstheme="minorHAnsi"/>
                <w:noProof/>
                <w:color w:val="002060"/>
              </w:rPr>
              <w:t>Međunarodne obaveze: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_Toc220542012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237</w:t>
            </w:r>
            <w:r w:rsidR="00605352" w:rsidRPr="00605352">
              <w:rPr>
                <w:rFonts w:cstheme="minorHAnsi"/>
                <w:noProof/>
                <w:webHidden/>
                <w:color w:val="002060"/>
              </w:rPr>
              <w:fldChar w:fldCharType="end"/>
            </w:r>
          </w:hyperlink>
        </w:p>
        <w:p w14:paraId="7E058200" w14:textId="1C9D1554"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13" w:history="1">
            <w:r w:rsidR="00605352" w:rsidRPr="00605352">
              <w:rPr>
                <w:rStyle w:val="Hyperlink"/>
                <w:rFonts w:cstheme="minorHAnsi"/>
                <w:noProof/>
                <w:color w:val="002060"/>
              </w:rPr>
              <w:t>Usklađivanje sa EU acquis (POPs i otpad):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_Toc220542013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237</w:t>
            </w:r>
            <w:r w:rsidR="00605352" w:rsidRPr="00605352">
              <w:rPr>
                <w:rFonts w:cstheme="minorHAnsi"/>
                <w:noProof/>
                <w:webHidden/>
                <w:color w:val="002060"/>
              </w:rPr>
              <w:fldChar w:fldCharType="end"/>
            </w:r>
          </w:hyperlink>
        </w:p>
        <w:p w14:paraId="34592BBE" w14:textId="507353E8"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14" w:history="1">
            <w:r w:rsidR="00605352" w:rsidRPr="00605352">
              <w:rPr>
                <w:rStyle w:val="Hyperlink"/>
                <w:rFonts w:cstheme="minorHAnsi"/>
                <w:noProof/>
                <w:color w:val="002060"/>
              </w:rPr>
              <w:t>Preporuke u skladu sa nalazima: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_Toc220542014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237</w:t>
            </w:r>
            <w:r w:rsidR="00605352" w:rsidRPr="00605352">
              <w:rPr>
                <w:rFonts w:cstheme="minorHAnsi"/>
                <w:noProof/>
                <w:webHidden/>
                <w:color w:val="002060"/>
              </w:rPr>
              <w:fldChar w:fldCharType="end"/>
            </w:r>
          </w:hyperlink>
        </w:p>
        <w:p w14:paraId="5BEFE7AC" w14:textId="4C7C1BB4"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15" w:history="1">
            <w:r w:rsidR="00605352" w:rsidRPr="00605352">
              <w:rPr>
                <w:rStyle w:val="Hyperlink"/>
                <w:rFonts w:cstheme="minorHAnsi"/>
                <w:noProof/>
                <w:color w:val="002060"/>
              </w:rPr>
              <w:t>Zaključak</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_Toc220542015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239</w:t>
            </w:r>
            <w:r w:rsidR="00605352" w:rsidRPr="00605352">
              <w:rPr>
                <w:rFonts w:cstheme="minorHAnsi"/>
                <w:noProof/>
                <w:webHidden/>
                <w:color w:val="002060"/>
              </w:rPr>
              <w:fldChar w:fldCharType="end"/>
            </w:r>
          </w:hyperlink>
        </w:p>
        <w:p w14:paraId="1D978E8C" w14:textId="35AF728D"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2016" w:history="1">
            <w:r w:rsidR="00605352" w:rsidRPr="00605352">
              <w:rPr>
                <w:rStyle w:val="Hyperlink"/>
                <w:rFonts w:cstheme="minorHAnsi"/>
                <w:noProof/>
                <w:color w:val="002060"/>
              </w:rPr>
              <w:t>21.</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EDUKACIJA JAVNOSTI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_Toc220542016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240</w:t>
            </w:r>
            <w:r w:rsidR="00605352" w:rsidRPr="00605352">
              <w:rPr>
                <w:rFonts w:cstheme="minorHAnsi"/>
                <w:noProof/>
                <w:webHidden/>
                <w:color w:val="002060"/>
              </w:rPr>
              <w:fldChar w:fldCharType="end"/>
            </w:r>
          </w:hyperlink>
        </w:p>
        <w:p w14:paraId="5A445B43" w14:textId="3EF298B5"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17"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_Toc220542017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240</w:t>
            </w:r>
            <w:r w:rsidR="00605352" w:rsidRPr="00605352">
              <w:rPr>
                <w:rFonts w:cstheme="minorHAnsi"/>
                <w:noProof/>
                <w:webHidden/>
                <w:color w:val="002060"/>
              </w:rPr>
              <w:fldChar w:fldCharType="end"/>
            </w:r>
          </w:hyperlink>
        </w:p>
        <w:p w14:paraId="0B6E0158" w14:textId="55A3EDA6"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18" w:history="1">
            <w:r w:rsidR="00605352" w:rsidRPr="00605352">
              <w:rPr>
                <w:rStyle w:val="Hyperlink"/>
                <w:rFonts w:cstheme="minorHAnsi"/>
                <w:noProof/>
                <w:color w:val="002060"/>
              </w:rPr>
              <w:t>Pregled izazova POPs-a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_Toc220542018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241</w:t>
            </w:r>
            <w:r w:rsidR="00605352" w:rsidRPr="00605352">
              <w:rPr>
                <w:rFonts w:cstheme="minorHAnsi"/>
                <w:noProof/>
                <w:webHidden/>
                <w:color w:val="002060"/>
              </w:rPr>
              <w:fldChar w:fldCharType="end"/>
            </w:r>
          </w:hyperlink>
        </w:p>
        <w:p w14:paraId="163644F1" w14:textId="2A94E725"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19" w:history="1">
            <w:r w:rsidR="00605352" w:rsidRPr="00605352">
              <w:rPr>
                <w:rStyle w:val="Hyperlink"/>
                <w:rFonts w:cstheme="minorHAnsi"/>
                <w:noProof/>
                <w:color w:val="002060"/>
              </w:rPr>
              <w:t>Ključne zainteresovane strane uključene u upravljanje POPs zagađivačima u Crnoj Gori u vezi sa podizanjem svijesti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_Toc220542019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241</w:t>
            </w:r>
            <w:r w:rsidR="00605352" w:rsidRPr="00605352">
              <w:rPr>
                <w:rFonts w:cstheme="minorHAnsi"/>
                <w:noProof/>
                <w:webHidden/>
                <w:color w:val="002060"/>
              </w:rPr>
              <w:fldChar w:fldCharType="end"/>
            </w:r>
          </w:hyperlink>
        </w:p>
        <w:p w14:paraId="3AFF9F54" w14:textId="61CB70BE"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20" w:history="1">
            <w:r w:rsidR="00605352" w:rsidRPr="00605352">
              <w:rPr>
                <w:rStyle w:val="Hyperlink"/>
                <w:rFonts w:cstheme="minorHAnsi"/>
                <w:noProof/>
                <w:color w:val="002060"/>
                <w:lang w:eastAsia="en-GB"/>
              </w:rPr>
              <w:t>Međusektorska koordinacija i međunarodna podrška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_Toc220542020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244</w:t>
            </w:r>
            <w:r w:rsidR="00605352" w:rsidRPr="00605352">
              <w:rPr>
                <w:rFonts w:cstheme="minorHAnsi"/>
                <w:noProof/>
                <w:webHidden/>
                <w:color w:val="002060"/>
              </w:rPr>
              <w:fldChar w:fldCharType="end"/>
            </w:r>
          </w:hyperlink>
        </w:p>
        <w:p w14:paraId="7B9021D1" w14:textId="262F254E"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21" w:history="1">
            <w:r w:rsidR="00605352" w:rsidRPr="00605352">
              <w:rPr>
                <w:rStyle w:val="Hyperlink"/>
                <w:rFonts w:cstheme="minorHAnsi"/>
                <w:noProof/>
                <w:color w:val="002060"/>
              </w:rPr>
              <w:t>Pregled inicijativa za razmjenu informacija i podizanje svijesti koje se sprovode u Crnoj Gori u periodu 2017-2024</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_Toc220542021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245</w:t>
            </w:r>
            <w:r w:rsidR="00605352" w:rsidRPr="00605352">
              <w:rPr>
                <w:rFonts w:cstheme="minorHAnsi"/>
                <w:noProof/>
                <w:webHidden/>
                <w:color w:val="002060"/>
              </w:rPr>
              <w:fldChar w:fldCharType="end"/>
            </w:r>
          </w:hyperlink>
        </w:p>
        <w:p w14:paraId="636E59FE" w14:textId="76C13937"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22" w:history="1">
            <w:r w:rsidR="00605352" w:rsidRPr="00605352">
              <w:rPr>
                <w:rStyle w:val="Hyperlink"/>
                <w:rFonts w:cstheme="minorHAnsi"/>
                <w:noProof/>
                <w:color w:val="002060"/>
                <w:lang w:eastAsia="en-GB"/>
              </w:rPr>
              <w:t>Ključni izazovi i preporuke</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_Toc220542022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249</w:t>
            </w:r>
            <w:r w:rsidR="00605352" w:rsidRPr="00605352">
              <w:rPr>
                <w:rFonts w:cstheme="minorHAnsi"/>
                <w:noProof/>
                <w:webHidden/>
                <w:color w:val="002060"/>
              </w:rPr>
              <w:fldChar w:fldCharType="end"/>
            </w:r>
          </w:hyperlink>
        </w:p>
        <w:p w14:paraId="1B7F43E9" w14:textId="00ED5050"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23" w:history="1">
            <w:r w:rsidR="00605352" w:rsidRPr="00605352">
              <w:rPr>
                <w:rStyle w:val="Hyperlink"/>
                <w:rFonts w:cstheme="minorHAnsi"/>
                <w:noProof/>
                <w:color w:val="002060"/>
              </w:rPr>
              <w:t>Diskusija o nalazima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_Toc220542023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249</w:t>
            </w:r>
            <w:r w:rsidR="00605352" w:rsidRPr="00605352">
              <w:rPr>
                <w:rFonts w:cstheme="minorHAnsi"/>
                <w:noProof/>
                <w:webHidden/>
                <w:color w:val="002060"/>
              </w:rPr>
              <w:fldChar w:fldCharType="end"/>
            </w:r>
          </w:hyperlink>
        </w:p>
        <w:p w14:paraId="7C5D04ED" w14:textId="3C553788"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2024" w:history="1">
            <w:r w:rsidR="00605352" w:rsidRPr="00605352">
              <w:rPr>
                <w:rStyle w:val="Hyperlink"/>
                <w:rFonts w:cstheme="minorHAnsi"/>
                <w:noProof/>
                <w:color w:val="002060"/>
              </w:rPr>
              <w:t>22.</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PROCES PRIORITIZACIJE U CRNOJ GORI</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_Toc220542024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250</w:t>
            </w:r>
            <w:r w:rsidR="00605352" w:rsidRPr="00605352">
              <w:rPr>
                <w:rFonts w:cstheme="minorHAnsi"/>
                <w:noProof/>
                <w:webHidden/>
                <w:color w:val="002060"/>
              </w:rPr>
              <w:fldChar w:fldCharType="end"/>
            </w:r>
          </w:hyperlink>
        </w:p>
        <w:p w14:paraId="1792FCA6" w14:textId="330E1776"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25" w:history="1">
            <w:r w:rsidR="00605352" w:rsidRPr="00605352">
              <w:rPr>
                <w:rStyle w:val="Hyperlink"/>
                <w:rFonts w:cstheme="minorHAnsi"/>
                <w:noProof/>
                <w:color w:val="002060"/>
              </w:rPr>
              <w:t>Uvod</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_Toc220542025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250</w:t>
            </w:r>
            <w:r w:rsidR="00605352" w:rsidRPr="00605352">
              <w:rPr>
                <w:rFonts w:cstheme="minorHAnsi"/>
                <w:noProof/>
                <w:webHidden/>
                <w:color w:val="002060"/>
              </w:rPr>
              <w:fldChar w:fldCharType="end"/>
            </w:r>
          </w:hyperlink>
        </w:p>
        <w:p w14:paraId="7CF32C37" w14:textId="1FCB92D9"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26" w:history="1">
            <w:r w:rsidR="00605352" w:rsidRPr="00605352">
              <w:rPr>
                <w:rStyle w:val="Hyperlink"/>
                <w:rFonts w:cstheme="minorHAnsi"/>
                <w:noProof/>
                <w:color w:val="002060"/>
              </w:rPr>
              <w:t>Operacionalizacija kroz akcione planove/ Iterativni pristup i veza sa akcionim planom</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_Toc220542026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251</w:t>
            </w:r>
            <w:r w:rsidR="00605352" w:rsidRPr="00605352">
              <w:rPr>
                <w:rFonts w:cstheme="minorHAnsi"/>
                <w:noProof/>
                <w:webHidden/>
                <w:color w:val="002060"/>
              </w:rPr>
              <w:fldChar w:fldCharType="end"/>
            </w:r>
          </w:hyperlink>
        </w:p>
        <w:p w14:paraId="17F437DD" w14:textId="61BD53A0" w:rsidR="00605352" w:rsidRPr="00605352" w:rsidRDefault="009756DA">
          <w:pPr>
            <w:pStyle w:val="TOC3"/>
            <w:tabs>
              <w:tab w:val="right" w:leader="dot" w:pos="9350"/>
            </w:tabs>
            <w:rPr>
              <w:rFonts w:cstheme="minorHAnsi"/>
              <w:i w:val="0"/>
              <w:iCs w:val="0"/>
              <w:noProof/>
              <w:color w:val="002060"/>
              <w:kern w:val="2"/>
              <w:sz w:val="24"/>
              <w:szCs w:val="24"/>
              <w:lang w:val="en-US" w:eastAsia="en-US"/>
              <w14:ligatures w14:val="standardContextual"/>
            </w:rPr>
          </w:pPr>
          <w:hyperlink w:anchor="_Toc220542027" w:history="1">
            <w:r w:rsidR="00605352" w:rsidRPr="00605352">
              <w:rPr>
                <w:rStyle w:val="Hyperlink"/>
                <w:rFonts w:cstheme="minorHAnsi"/>
                <w:noProof/>
                <w:color w:val="002060"/>
              </w:rPr>
              <w:t>Definisanje strateških prioriteta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_Toc220542027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252</w:t>
            </w:r>
            <w:r w:rsidR="00605352" w:rsidRPr="00605352">
              <w:rPr>
                <w:rFonts w:cstheme="minorHAnsi"/>
                <w:noProof/>
                <w:webHidden/>
                <w:color w:val="002060"/>
              </w:rPr>
              <w:fldChar w:fldCharType="end"/>
            </w:r>
          </w:hyperlink>
        </w:p>
        <w:p w14:paraId="0F0FD2C2" w14:textId="6415F642"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2028" w:history="1">
            <w:r w:rsidR="00605352" w:rsidRPr="00605352">
              <w:rPr>
                <w:rStyle w:val="Hyperlink"/>
                <w:rFonts w:cstheme="minorHAnsi"/>
                <w:noProof/>
                <w:color w:val="002060"/>
              </w:rPr>
              <w:t>23.</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PRAĆENJE SPROVOĐENJA NIP-a, IZVJEŠTAVANJE I EVALUACIJA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_Toc220542028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254</w:t>
            </w:r>
            <w:r w:rsidR="00605352" w:rsidRPr="00605352">
              <w:rPr>
                <w:rFonts w:cstheme="minorHAnsi"/>
                <w:noProof/>
                <w:webHidden/>
                <w:color w:val="002060"/>
              </w:rPr>
              <w:fldChar w:fldCharType="end"/>
            </w:r>
          </w:hyperlink>
        </w:p>
        <w:p w14:paraId="6D151C2A" w14:textId="2950277A"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2029" w:history="1">
            <w:r w:rsidR="00605352" w:rsidRPr="00605352">
              <w:rPr>
                <w:rStyle w:val="Hyperlink"/>
                <w:rFonts w:cstheme="minorHAnsi"/>
                <w:noProof/>
                <w:color w:val="002060"/>
              </w:rPr>
              <w:t>24.</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KRATKA INFORMACIJA O CILJEVIMA I OČEKIVANIM REZULTATIMA NIP-a</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_Toc220542029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259</w:t>
            </w:r>
            <w:r w:rsidR="00605352" w:rsidRPr="00605352">
              <w:rPr>
                <w:rFonts w:cstheme="minorHAnsi"/>
                <w:noProof/>
                <w:webHidden/>
                <w:color w:val="002060"/>
              </w:rPr>
              <w:fldChar w:fldCharType="end"/>
            </w:r>
          </w:hyperlink>
        </w:p>
        <w:p w14:paraId="5DE6603B" w14:textId="48B8001F" w:rsidR="00605352" w:rsidRPr="00605352" w:rsidRDefault="009756DA">
          <w:pPr>
            <w:pStyle w:val="TOC1"/>
            <w:tabs>
              <w:tab w:val="left" w:pos="600"/>
              <w:tab w:val="right" w:leader="dot" w:pos="9350"/>
            </w:tabs>
            <w:rPr>
              <w:rFonts w:cstheme="minorHAnsi"/>
              <w:b w:val="0"/>
              <w:bCs w:val="0"/>
              <w:caps w:val="0"/>
              <w:noProof/>
              <w:color w:val="002060"/>
              <w:kern w:val="2"/>
              <w:sz w:val="24"/>
              <w:szCs w:val="24"/>
              <w:lang w:val="en-US" w:eastAsia="en-US"/>
              <w14:ligatures w14:val="standardContextual"/>
            </w:rPr>
          </w:pPr>
          <w:hyperlink w:anchor="_Toc220542030" w:history="1">
            <w:r w:rsidR="00605352" w:rsidRPr="00605352">
              <w:rPr>
                <w:rStyle w:val="Hyperlink"/>
                <w:rFonts w:cstheme="minorHAnsi"/>
                <w:noProof/>
                <w:color w:val="002060"/>
              </w:rPr>
              <w:t>25.</w:t>
            </w:r>
            <w:r w:rsidR="00605352" w:rsidRPr="00605352">
              <w:rPr>
                <w:rFonts w:cstheme="minorHAnsi"/>
                <w:b w:val="0"/>
                <w:bCs w:val="0"/>
                <w:caps w:val="0"/>
                <w:noProof/>
                <w:color w:val="002060"/>
                <w:kern w:val="2"/>
                <w:sz w:val="24"/>
                <w:szCs w:val="24"/>
                <w:lang w:val="en-US" w:eastAsia="en-US"/>
                <w14:ligatures w14:val="standardContextual"/>
              </w:rPr>
              <w:tab/>
            </w:r>
            <w:r w:rsidR="00605352" w:rsidRPr="00605352">
              <w:rPr>
                <w:rStyle w:val="Hyperlink"/>
                <w:rFonts w:cstheme="minorHAnsi"/>
                <w:noProof/>
                <w:color w:val="002060"/>
              </w:rPr>
              <w:t>AKCIONI PLAN ZA IMPLEMENTACIJU NACIONALNOG IMPLEMENTACIONOG PLANA (NIP) – POPs</w:t>
            </w:r>
            <w:r w:rsidR="00605352" w:rsidRPr="00605352">
              <w:rPr>
                <w:rFonts w:cstheme="minorHAnsi"/>
                <w:noProof/>
                <w:webHidden/>
                <w:color w:val="002060"/>
              </w:rPr>
              <w:tab/>
            </w:r>
            <w:r w:rsidR="00605352" w:rsidRPr="00605352">
              <w:rPr>
                <w:rFonts w:cstheme="minorHAnsi"/>
                <w:noProof/>
                <w:webHidden/>
                <w:color w:val="002060"/>
              </w:rPr>
              <w:fldChar w:fldCharType="begin"/>
            </w:r>
            <w:r w:rsidR="00605352" w:rsidRPr="00605352">
              <w:rPr>
                <w:rFonts w:cstheme="minorHAnsi"/>
                <w:noProof/>
                <w:webHidden/>
                <w:color w:val="002060"/>
              </w:rPr>
              <w:instrText xml:space="preserve"> PAGEREF _Toc220542030 \h </w:instrText>
            </w:r>
            <w:r w:rsidR="00605352" w:rsidRPr="00605352">
              <w:rPr>
                <w:rFonts w:cstheme="minorHAnsi"/>
                <w:noProof/>
                <w:webHidden/>
                <w:color w:val="002060"/>
              </w:rPr>
            </w:r>
            <w:r w:rsidR="00605352" w:rsidRPr="00605352">
              <w:rPr>
                <w:rFonts w:cstheme="minorHAnsi"/>
                <w:noProof/>
                <w:webHidden/>
                <w:color w:val="002060"/>
              </w:rPr>
              <w:fldChar w:fldCharType="separate"/>
            </w:r>
            <w:r w:rsidR="00605352" w:rsidRPr="00605352">
              <w:rPr>
                <w:rFonts w:cstheme="minorHAnsi"/>
                <w:noProof/>
                <w:webHidden/>
                <w:color w:val="002060"/>
              </w:rPr>
              <w:t>262</w:t>
            </w:r>
            <w:r w:rsidR="00605352" w:rsidRPr="00605352">
              <w:rPr>
                <w:rFonts w:cstheme="minorHAnsi"/>
                <w:noProof/>
                <w:webHidden/>
                <w:color w:val="002060"/>
              </w:rPr>
              <w:fldChar w:fldCharType="end"/>
            </w:r>
          </w:hyperlink>
        </w:p>
        <w:p w14:paraId="1BAEDC34" w14:textId="6A06A3B4" w:rsidR="00974D2C" w:rsidRPr="00C86111" w:rsidRDefault="00974D2C">
          <w:r w:rsidRPr="00605352">
            <w:rPr>
              <w:rFonts w:asciiTheme="minorHAnsi" w:hAnsiTheme="minorHAnsi" w:cstheme="minorHAnsi"/>
              <w:b/>
              <w:bCs/>
              <w:noProof/>
              <w:color w:val="002060"/>
              <w:szCs w:val="24"/>
            </w:rPr>
            <w:fldChar w:fldCharType="end"/>
          </w:r>
        </w:p>
      </w:sdtContent>
    </w:sdt>
    <w:p w14:paraId="05F96AB2" w14:textId="77777777" w:rsidR="0092561C" w:rsidRPr="00C86111" w:rsidRDefault="0092561C" w:rsidP="002B19B1">
      <w:pPr>
        <w:jc w:val="both"/>
        <w:rPr>
          <w:rFonts w:asciiTheme="minorHAnsi" w:hAnsiTheme="minorHAnsi" w:cstheme="minorHAnsi"/>
          <w:b/>
          <w:bCs/>
          <w:color w:val="4472C4" w:themeColor="accent1"/>
          <w:szCs w:val="24"/>
        </w:rPr>
      </w:pPr>
    </w:p>
    <w:p w14:paraId="7C8A37B0" w14:textId="77777777" w:rsidR="0092561C" w:rsidRPr="00C86111" w:rsidRDefault="0092561C" w:rsidP="002B19B1">
      <w:pPr>
        <w:jc w:val="both"/>
        <w:rPr>
          <w:rFonts w:asciiTheme="minorHAnsi" w:hAnsiTheme="minorHAnsi" w:cstheme="minorHAnsi"/>
          <w:b/>
          <w:bCs/>
          <w:color w:val="4472C4" w:themeColor="accent1"/>
          <w:szCs w:val="24"/>
        </w:rPr>
      </w:pPr>
    </w:p>
    <w:p w14:paraId="2E023758" w14:textId="30BD9B60" w:rsidR="0092561C" w:rsidRDefault="00033AB8" w:rsidP="002B19B1">
      <w:pPr>
        <w:jc w:val="both"/>
        <w:rPr>
          <w:rFonts w:asciiTheme="minorHAnsi" w:hAnsiTheme="minorHAnsi" w:cstheme="minorHAnsi"/>
          <w:b/>
          <w:bCs/>
          <w:color w:val="4472C4" w:themeColor="accent1"/>
          <w:szCs w:val="24"/>
        </w:rPr>
      </w:pPr>
      <w:r>
        <w:rPr>
          <w:rFonts w:asciiTheme="minorHAnsi" w:hAnsiTheme="minorHAnsi" w:cstheme="minorHAnsi"/>
          <w:b/>
          <w:bCs/>
          <w:color w:val="4472C4" w:themeColor="accent1"/>
          <w:szCs w:val="24"/>
        </w:rPr>
        <w:t>LISTA TABELA I GRAFIKA</w:t>
      </w:r>
    </w:p>
    <w:p w14:paraId="0BB36AF4" w14:textId="77777777" w:rsidR="00033AB8" w:rsidRPr="00DE693E" w:rsidRDefault="00033AB8" w:rsidP="00033AB8">
      <w:pPr>
        <w:rPr>
          <w:rFonts w:asciiTheme="minorHAnsi" w:hAnsiTheme="minorHAnsi" w:cstheme="minorHAnsi"/>
          <w:color w:val="auto"/>
          <w:szCs w:val="24"/>
        </w:rPr>
      </w:pPr>
      <w:r w:rsidRPr="00DE693E">
        <w:rPr>
          <w:rFonts w:asciiTheme="minorHAnsi" w:hAnsiTheme="minorHAnsi" w:cstheme="minorHAnsi"/>
          <w:b/>
          <w:bCs/>
          <w:color w:val="auto"/>
          <w:szCs w:val="24"/>
        </w:rPr>
        <w:t>Tabela 1:</w:t>
      </w:r>
      <w:r w:rsidRPr="00DE693E">
        <w:rPr>
          <w:rFonts w:asciiTheme="minorHAnsi" w:hAnsiTheme="minorHAnsi" w:cstheme="minorHAnsi"/>
          <w:color w:val="auto"/>
          <w:szCs w:val="24"/>
        </w:rPr>
        <w:t xml:space="preserve"> Hemikalije obuhvaćene Stokholmskom konvencijom prema aneksima</w:t>
      </w:r>
    </w:p>
    <w:p w14:paraId="7D1ABBD9" w14:textId="77777777" w:rsidR="00033AB8" w:rsidRPr="00DE693E" w:rsidRDefault="00033AB8" w:rsidP="00033AB8">
      <w:pPr>
        <w:rPr>
          <w:rFonts w:asciiTheme="minorHAnsi" w:hAnsiTheme="minorHAnsi" w:cstheme="minorHAnsi"/>
          <w:szCs w:val="24"/>
        </w:rPr>
      </w:pPr>
      <w:r w:rsidRPr="00DE693E">
        <w:rPr>
          <w:rFonts w:asciiTheme="minorHAnsi" w:hAnsiTheme="minorHAnsi" w:cstheme="minorHAnsi"/>
          <w:b/>
          <w:bCs/>
          <w:szCs w:val="24"/>
        </w:rPr>
        <w:t>Tabela 2:</w:t>
      </w:r>
      <w:r w:rsidRPr="00DE693E">
        <w:rPr>
          <w:rFonts w:asciiTheme="minorHAnsi" w:hAnsiTheme="minorHAnsi" w:cstheme="minorHAnsi"/>
          <w:szCs w:val="24"/>
        </w:rPr>
        <w:t xml:space="preserve"> Nove supstance i odluke COP-a</w:t>
      </w:r>
    </w:p>
    <w:p w14:paraId="05A5704B" w14:textId="77777777" w:rsidR="00033AB8" w:rsidRPr="00DE693E" w:rsidRDefault="00033AB8" w:rsidP="00033AB8">
      <w:pPr>
        <w:shd w:val="clear" w:color="auto" w:fill="FFFFFF"/>
        <w:jc w:val="both"/>
        <w:rPr>
          <w:rFonts w:asciiTheme="minorHAnsi" w:hAnsiTheme="minorHAnsi" w:cstheme="minorHAnsi"/>
          <w:szCs w:val="24"/>
        </w:rPr>
      </w:pPr>
      <w:r w:rsidRPr="00DE693E">
        <w:rPr>
          <w:rFonts w:asciiTheme="minorHAnsi" w:eastAsia="Times New Roman" w:hAnsiTheme="minorHAnsi" w:cstheme="minorHAnsi"/>
          <w:b/>
          <w:bCs/>
          <w:color w:val="0A0A0A"/>
          <w:szCs w:val="24"/>
          <w:lang w:eastAsia="en-GB"/>
        </w:rPr>
        <w:t>Tabela 3.</w:t>
      </w:r>
      <w:r w:rsidRPr="00DE693E">
        <w:rPr>
          <w:rFonts w:asciiTheme="minorHAnsi" w:eastAsia="Times New Roman" w:hAnsiTheme="minorHAnsi" w:cstheme="minorHAnsi"/>
          <w:color w:val="0A0A0A"/>
          <w:szCs w:val="24"/>
          <w:lang w:eastAsia="en-GB"/>
        </w:rPr>
        <w:t xml:space="preserve"> Spoljnotrgovinska robna razmjena Crne Gore po kontinentima i odabranim zemljama </w:t>
      </w:r>
      <w:r w:rsidRPr="00DE693E">
        <w:rPr>
          <w:rFonts w:asciiTheme="minorHAnsi" w:hAnsiTheme="minorHAnsi" w:cstheme="minorHAnsi"/>
          <w:b/>
          <w:bCs/>
          <w:szCs w:val="24"/>
        </w:rPr>
        <w:t>Tabela 4.</w:t>
      </w:r>
      <w:r w:rsidRPr="00DE693E">
        <w:rPr>
          <w:rFonts w:asciiTheme="minorHAnsi" w:hAnsiTheme="minorHAnsi" w:cstheme="minorHAnsi"/>
          <w:szCs w:val="24"/>
        </w:rPr>
        <w:t xml:space="preserve"> Spoljnotrgovinska robna razmjena Crne Gore prema odsjeku Kombinovane nomenklature - KN, u hilj. EUR </w:t>
      </w:r>
    </w:p>
    <w:p w14:paraId="36D1957C"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5.</w:t>
      </w:r>
      <w:r w:rsidRPr="00DE693E">
        <w:rPr>
          <w:rFonts w:asciiTheme="minorHAnsi" w:hAnsiTheme="minorHAnsi" w:cstheme="minorHAnsi"/>
          <w:color w:val="auto"/>
          <w:szCs w:val="24"/>
        </w:rPr>
        <w:t xml:space="preserve"> Osnovne informacije o hlordekonu</w:t>
      </w:r>
    </w:p>
    <w:p w14:paraId="21607E48"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6.</w:t>
      </w:r>
      <w:r w:rsidRPr="00DE693E">
        <w:rPr>
          <w:rFonts w:asciiTheme="minorHAnsi" w:hAnsiTheme="minorHAnsi" w:cstheme="minorHAnsi"/>
          <w:color w:val="auto"/>
          <w:szCs w:val="24"/>
        </w:rPr>
        <w:t xml:space="preserve"> Osnovne informacije o endosulfanu</w:t>
      </w:r>
    </w:p>
    <w:p w14:paraId="0DD94788"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7</w:t>
      </w:r>
      <w:r w:rsidRPr="00DE693E">
        <w:rPr>
          <w:rFonts w:asciiTheme="minorHAnsi" w:hAnsiTheme="minorHAnsi" w:cstheme="minorHAnsi"/>
          <w:color w:val="auto"/>
          <w:szCs w:val="24"/>
        </w:rPr>
        <w:t>. Osnovne informacije o alfa/beta/gama heksahlorocikloheksanu</w:t>
      </w:r>
    </w:p>
    <w:p w14:paraId="6399E8CC"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8.</w:t>
      </w:r>
      <w:r w:rsidRPr="00DE693E">
        <w:rPr>
          <w:rFonts w:asciiTheme="minorHAnsi" w:hAnsiTheme="minorHAnsi" w:cstheme="minorHAnsi"/>
          <w:color w:val="auto"/>
          <w:szCs w:val="24"/>
        </w:rPr>
        <w:t xml:space="preserve"> Osnovne informacije o pentahlorofenolu i njegovim solima i esterima</w:t>
      </w:r>
    </w:p>
    <w:p w14:paraId="2284C363"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9.</w:t>
      </w:r>
      <w:r w:rsidRPr="00DE693E">
        <w:rPr>
          <w:rFonts w:asciiTheme="minorHAnsi" w:hAnsiTheme="minorHAnsi" w:cstheme="minorHAnsi"/>
          <w:color w:val="auto"/>
          <w:szCs w:val="24"/>
        </w:rPr>
        <w:t xml:space="preserve"> Osnovne karakteristike dikofola</w:t>
      </w:r>
    </w:p>
    <w:p w14:paraId="5A48684F"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10. </w:t>
      </w:r>
      <w:r w:rsidRPr="00DE693E">
        <w:rPr>
          <w:rFonts w:asciiTheme="minorHAnsi" w:hAnsiTheme="minorHAnsi" w:cstheme="minorHAnsi"/>
          <w:color w:val="auto"/>
          <w:szCs w:val="24"/>
        </w:rPr>
        <w:t>Pregled sve inventarisane opreme, broj testova i vlasnici opreme u Crnoj Gori (važi do decembra 2024.)</w:t>
      </w:r>
    </w:p>
    <w:p w14:paraId="26D67325" w14:textId="77777777" w:rsidR="00033AB8" w:rsidRPr="00DE693E" w:rsidRDefault="00033AB8" w:rsidP="00033AB8">
      <w:pPr>
        <w:jc w:val="both"/>
        <w:rPr>
          <w:rFonts w:asciiTheme="minorHAnsi" w:hAnsiTheme="minorHAnsi" w:cstheme="minorHAnsi"/>
          <w:i/>
          <w:iCs/>
          <w:szCs w:val="24"/>
          <w:lang w:val="sr-Latn-RS"/>
        </w:rPr>
      </w:pPr>
      <w:r w:rsidRPr="00DE693E">
        <w:rPr>
          <w:rFonts w:asciiTheme="minorHAnsi" w:hAnsiTheme="minorHAnsi" w:cstheme="minorHAnsi"/>
          <w:b/>
          <w:bCs/>
          <w:iCs/>
          <w:szCs w:val="24"/>
          <w:lang w:val="sr-Latn-RS"/>
        </w:rPr>
        <w:t>Tabela 11.</w:t>
      </w:r>
      <w:r w:rsidRPr="00DE693E">
        <w:rPr>
          <w:rFonts w:asciiTheme="minorHAnsi" w:hAnsiTheme="minorHAnsi" w:cstheme="minorHAnsi"/>
          <w:iCs/>
          <w:szCs w:val="24"/>
          <w:lang w:val="sr-Latn-RS"/>
        </w:rPr>
        <w:t xml:space="preserve"> Ukupne godišnje emisije dioksina i furana (PCDD/PCDF), 2006-2022. godina (gTEQ/god)</w:t>
      </w:r>
    </w:p>
    <w:p w14:paraId="0C0C211F" w14:textId="77777777" w:rsidR="00033AB8" w:rsidRPr="00DE693E" w:rsidRDefault="00033AB8" w:rsidP="00033AB8">
      <w:pPr>
        <w:pStyle w:val="Tabele"/>
        <w:numPr>
          <w:ilvl w:val="0"/>
          <w:numId w:val="0"/>
        </w:numPr>
        <w:spacing w:before="0" w:after="0"/>
        <w:jc w:val="both"/>
        <w:rPr>
          <w:rFonts w:asciiTheme="minorHAnsi" w:hAnsiTheme="minorHAnsi" w:cstheme="minorHAnsi"/>
          <w:i w:val="0"/>
          <w:sz w:val="24"/>
          <w:lang w:val="sr-Latn-RS"/>
        </w:rPr>
      </w:pPr>
      <w:r w:rsidRPr="00DE693E">
        <w:rPr>
          <w:rFonts w:asciiTheme="minorHAnsi" w:hAnsiTheme="minorHAnsi" w:cstheme="minorHAnsi"/>
          <w:b/>
          <w:bCs/>
          <w:i w:val="0"/>
          <w:sz w:val="24"/>
          <w:lang w:val="sr-Latn-RS"/>
        </w:rPr>
        <w:t>Tabela 12.</w:t>
      </w:r>
      <w:r w:rsidRPr="00DE693E">
        <w:rPr>
          <w:rFonts w:asciiTheme="minorHAnsi" w:hAnsiTheme="minorHAnsi" w:cstheme="minorHAnsi"/>
          <w:i w:val="0"/>
          <w:sz w:val="24"/>
          <w:lang w:val="sr-Latn-RS"/>
        </w:rPr>
        <w:t xml:space="preserve"> Ukupne godišnje emisije dioksina i furana (PCDD/PCDF) u vazduh, vodu, zemljište, proizvode i ostatke od proizvodnih procesa, 2006-2022. godina (gTEQ/god)</w:t>
      </w:r>
    </w:p>
    <w:p w14:paraId="485F4B19" w14:textId="77777777" w:rsidR="00033AB8" w:rsidRPr="00DE693E" w:rsidRDefault="00033AB8" w:rsidP="00033AB8">
      <w:pPr>
        <w:pStyle w:val="Tabele"/>
        <w:numPr>
          <w:ilvl w:val="0"/>
          <w:numId w:val="0"/>
        </w:numPr>
        <w:spacing w:before="0" w:after="0"/>
        <w:jc w:val="both"/>
        <w:rPr>
          <w:rFonts w:asciiTheme="minorHAnsi" w:hAnsiTheme="minorHAnsi" w:cstheme="minorHAnsi"/>
          <w:sz w:val="24"/>
          <w:lang w:val="sr-Latn-RS"/>
        </w:rPr>
      </w:pPr>
      <w:r w:rsidRPr="00DE693E">
        <w:rPr>
          <w:rFonts w:asciiTheme="minorHAnsi" w:hAnsiTheme="minorHAnsi" w:cstheme="minorHAnsi"/>
          <w:b/>
          <w:bCs/>
          <w:sz w:val="24"/>
          <w:lang w:val="sr-Latn-RS"/>
        </w:rPr>
        <w:t>Tabela 13.</w:t>
      </w:r>
      <w:r w:rsidRPr="00DE693E">
        <w:rPr>
          <w:rFonts w:asciiTheme="minorHAnsi" w:hAnsiTheme="minorHAnsi" w:cstheme="minorHAnsi"/>
          <w:sz w:val="24"/>
          <w:lang w:val="sr-Latn-RS"/>
        </w:rPr>
        <w:t>Godišnje emisije dioksina i furana (PCDD/PCDF) u vazduh. 2006-2022. godina (gTEQ/god)</w:t>
      </w:r>
    </w:p>
    <w:p w14:paraId="0AD0D7B3" w14:textId="77777777" w:rsidR="00033AB8" w:rsidRPr="00DE693E" w:rsidRDefault="00033AB8" w:rsidP="00033AB8">
      <w:pPr>
        <w:pStyle w:val="Tabele"/>
        <w:numPr>
          <w:ilvl w:val="0"/>
          <w:numId w:val="0"/>
        </w:numPr>
        <w:spacing w:before="0" w:after="0"/>
        <w:jc w:val="both"/>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t>Tabela 14.</w:t>
      </w:r>
      <w:r w:rsidRPr="00DE693E">
        <w:rPr>
          <w:rFonts w:asciiTheme="minorHAnsi" w:hAnsiTheme="minorHAnsi" w:cstheme="minorHAnsi"/>
          <w:i w:val="0"/>
          <w:iCs/>
          <w:sz w:val="24"/>
          <w:lang w:val="sr-Latn-RS"/>
        </w:rPr>
        <w:t xml:space="preserve"> Godišnje emisije dioksina i furana (PCDD/PCDF) u vodu. 2006-2022. godina (gTEQ/god)</w:t>
      </w:r>
    </w:p>
    <w:p w14:paraId="08EFAACC" w14:textId="77777777" w:rsidR="00033AB8" w:rsidRPr="00DE693E" w:rsidRDefault="00033AB8" w:rsidP="00033AB8">
      <w:pPr>
        <w:pStyle w:val="Tabele"/>
        <w:numPr>
          <w:ilvl w:val="0"/>
          <w:numId w:val="0"/>
        </w:numPr>
        <w:spacing w:before="0" w:after="0"/>
        <w:jc w:val="both"/>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t>Tabela 15.</w:t>
      </w:r>
      <w:r w:rsidRPr="00DE693E">
        <w:rPr>
          <w:rFonts w:asciiTheme="minorHAnsi" w:hAnsiTheme="minorHAnsi" w:cstheme="minorHAnsi"/>
          <w:i w:val="0"/>
          <w:iCs/>
          <w:sz w:val="24"/>
          <w:lang w:val="sr-Latn-RS"/>
        </w:rPr>
        <w:t xml:space="preserve"> Godišnje emisije dioksina i furana (PCDD/PCDF) u zemljište. 2006-2022. godina (gTEQ/god)</w:t>
      </w:r>
    </w:p>
    <w:p w14:paraId="6D78137F" w14:textId="77777777" w:rsidR="00033AB8" w:rsidRPr="00DE693E" w:rsidRDefault="00033AB8" w:rsidP="00033AB8">
      <w:pPr>
        <w:pStyle w:val="Tabele"/>
        <w:numPr>
          <w:ilvl w:val="0"/>
          <w:numId w:val="0"/>
        </w:numPr>
        <w:spacing w:before="0" w:after="0"/>
        <w:jc w:val="both"/>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t>Tabela 16.</w:t>
      </w:r>
      <w:r w:rsidRPr="00DE693E">
        <w:rPr>
          <w:rFonts w:asciiTheme="minorHAnsi" w:hAnsiTheme="minorHAnsi" w:cstheme="minorHAnsi"/>
          <w:i w:val="0"/>
          <w:iCs/>
          <w:sz w:val="24"/>
          <w:lang w:val="sr-Latn-RS"/>
        </w:rPr>
        <w:t xml:space="preserve"> Godišnje emisije dioksina i furana (PCDD/PCDF) koje su dospjele u ostatke iz procesa proizvodnje. 2006-2022. godina (gTEQ/god)</w:t>
      </w:r>
    </w:p>
    <w:p w14:paraId="3290E29A" w14:textId="77777777" w:rsidR="00033AB8" w:rsidRDefault="00033AB8" w:rsidP="00033AB8">
      <w:pPr>
        <w:pStyle w:val="Tabele"/>
        <w:numPr>
          <w:ilvl w:val="0"/>
          <w:numId w:val="0"/>
        </w:numPr>
        <w:spacing w:before="0" w:after="0"/>
        <w:jc w:val="both"/>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t>Tabela 17.</w:t>
      </w:r>
      <w:r w:rsidRPr="00DE693E">
        <w:rPr>
          <w:rFonts w:asciiTheme="minorHAnsi" w:hAnsiTheme="minorHAnsi" w:cstheme="minorHAnsi"/>
          <w:i w:val="0"/>
          <w:iCs/>
          <w:sz w:val="24"/>
          <w:lang w:val="sr-Latn-RS"/>
        </w:rPr>
        <w:t xml:space="preserve"> Ukupne godišnje POP's emisije (PCDD/PCDF) iz postrojenja za proizvodnju čelika. 2006-2022. godina (gTEQ/god)</w:t>
      </w:r>
    </w:p>
    <w:p w14:paraId="7B520456" w14:textId="77777777" w:rsidR="00033AB8" w:rsidRDefault="00033AB8" w:rsidP="00033AB8">
      <w:pPr>
        <w:pStyle w:val="Tabele"/>
        <w:numPr>
          <w:ilvl w:val="0"/>
          <w:numId w:val="0"/>
        </w:numPr>
        <w:spacing w:before="0" w:after="0"/>
        <w:jc w:val="both"/>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t>Tabela 18.</w:t>
      </w:r>
      <w:r w:rsidRPr="00DE693E">
        <w:rPr>
          <w:rFonts w:asciiTheme="minorHAnsi" w:hAnsiTheme="minorHAnsi" w:cstheme="minorHAnsi"/>
          <w:i w:val="0"/>
          <w:iCs/>
          <w:sz w:val="24"/>
          <w:lang w:val="sr-Latn-RS"/>
        </w:rPr>
        <w:t xml:space="preserve"> Godišnja proizvodnja u postrojenju livnice za proizvodnju čelika i željeza. 2006-2022.godina. (t)</w:t>
      </w:r>
    </w:p>
    <w:p w14:paraId="147D41A5" w14:textId="77777777" w:rsidR="00033AB8" w:rsidRPr="00DE693E" w:rsidRDefault="00033AB8" w:rsidP="00033AB8">
      <w:pPr>
        <w:pStyle w:val="Tabele"/>
        <w:numPr>
          <w:ilvl w:val="0"/>
          <w:numId w:val="0"/>
        </w:numPr>
        <w:spacing w:before="0" w:after="0"/>
        <w:jc w:val="both"/>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lastRenderedPageBreak/>
        <w:t>Tabela 19.</w:t>
      </w:r>
      <w:r w:rsidRPr="00DE693E">
        <w:rPr>
          <w:rFonts w:asciiTheme="minorHAnsi" w:hAnsiTheme="minorHAnsi" w:cstheme="minorHAnsi"/>
          <w:i w:val="0"/>
          <w:iCs/>
          <w:sz w:val="24"/>
          <w:lang w:val="sr-Latn-RS"/>
        </w:rPr>
        <w:t xml:space="preserve"> Ukupne godišnje POP's emisije (PCDD/PCDF) iz postrojenja za proizvodnju aluminijuma iz sekundarnih sirovina. 2006-2022. godina (gTEQ/god)</w:t>
      </w:r>
    </w:p>
    <w:p w14:paraId="244C07B9" w14:textId="77777777" w:rsidR="00033AB8" w:rsidRDefault="00033AB8" w:rsidP="00033AB8">
      <w:pPr>
        <w:rPr>
          <w:rFonts w:asciiTheme="minorHAnsi" w:hAnsiTheme="minorHAnsi" w:cstheme="minorHAnsi"/>
          <w:szCs w:val="24"/>
          <w:lang w:val="sr-Latn-RS"/>
        </w:rPr>
      </w:pPr>
      <w:r w:rsidRPr="00DE693E">
        <w:rPr>
          <w:rFonts w:asciiTheme="minorHAnsi" w:hAnsiTheme="minorHAnsi" w:cstheme="minorHAnsi"/>
          <w:b/>
          <w:bCs/>
          <w:szCs w:val="24"/>
          <w:lang w:val="sr-Latn-RS"/>
        </w:rPr>
        <w:t>Tabela 20.</w:t>
      </w:r>
      <w:r w:rsidRPr="00DE693E">
        <w:rPr>
          <w:rFonts w:asciiTheme="minorHAnsi" w:hAnsiTheme="minorHAnsi" w:cstheme="minorHAnsi"/>
          <w:szCs w:val="24"/>
          <w:lang w:val="sr-Latn-RS"/>
        </w:rPr>
        <w:t xml:space="preserve"> Godišnja proizvodnja u postrojenju za proizvodnju aluminijuma iz sekundarnih sirovina. 2006-2022. godina (t)</w:t>
      </w:r>
    </w:p>
    <w:p w14:paraId="13D10134" w14:textId="77777777" w:rsidR="00033AB8" w:rsidRPr="00DE693E" w:rsidRDefault="00033AB8" w:rsidP="00033AB8">
      <w:pPr>
        <w:rPr>
          <w:rFonts w:asciiTheme="minorHAnsi" w:hAnsiTheme="minorHAnsi" w:cstheme="minorHAnsi"/>
          <w:i/>
          <w:iCs/>
          <w:szCs w:val="24"/>
          <w:lang w:val="sr-Latn-RS"/>
        </w:rPr>
      </w:pPr>
      <w:r w:rsidRPr="00DE693E">
        <w:rPr>
          <w:rFonts w:asciiTheme="minorHAnsi" w:hAnsiTheme="minorHAnsi" w:cstheme="minorHAnsi"/>
          <w:b/>
          <w:bCs/>
          <w:iCs/>
          <w:szCs w:val="24"/>
          <w:lang w:val="sr-Latn-RS"/>
        </w:rPr>
        <w:t>Tabela 21.</w:t>
      </w:r>
      <w:r w:rsidRPr="00DE693E">
        <w:rPr>
          <w:rFonts w:asciiTheme="minorHAnsi" w:hAnsiTheme="minorHAnsi" w:cstheme="minorHAnsi"/>
          <w:iCs/>
          <w:szCs w:val="24"/>
          <w:lang w:val="sr-Latn-RS"/>
        </w:rPr>
        <w:t xml:space="preserve"> Ukupne godišnje POP's emisije (PCDD/PCDF) usled sagorijevanja uglja. 2006-2022. godina (gTEQ/god)</w:t>
      </w:r>
    </w:p>
    <w:p w14:paraId="5427D5D2" w14:textId="77777777" w:rsidR="00033AB8" w:rsidRDefault="00033AB8" w:rsidP="00033AB8">
      <w:pPr>
        <w:jc w:val="both"/>
        <w:rPr>
          <w:rFonts w:asciiTheme="minorHAnsi" w:hAnsiTheme="minorHAnsi" w:cstheme="minorHAnsi"/>
          <w:szCs w:val="24"/>
          <w:lang w:val="sr-Latn-RS"/>
        </w:rPr>
      </w:pPr>
      <w:r w:rsidRPr="00DE693E">
        <w:rPr>
          <w:rFonts w:asciiTheme="minorHAnsi" w:hAnsiTheme="minorHAnsi" w:cstheme="minorHAnsi"/>
          <w:b/>
          <w:bCs/>
          <w:szCs w:val="24"/>
          <w:lang w:val="sr-Latn-RS"/>
        </w:rPr>
        <w:t>Tabela 22.</w:t>
      </w:r>
      <w:r w:rsidRPr="00DE693E">
        <w:rPr>
          <w:rFonts w:asciiTheme="minorHAnsi" w:hAnsiTheme="minorHAnsi" w:cstheme="minorHAnsi"/>
          <w:szCs w:val="24"/>
          <w:lang w:val="sr-Latn-RS"/>
        </w:rPr>
        <w:t xml:space="preserve"> Ukupna potrošnja uglja, 2006-2022. godina (TJ)</w:t>
      </w:r>
    </w:p>
    <w:p w14:paraId="1742C065"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23.</w:t>
      </w:r>
      <w:r w:rsidRPr="00DE693E">
        <w:rPr>
          <w:rFonts w:asciiTheme="minorHAnsi" w:hAnsiTheme="minorHAnsi" w:cstheme="minorHAnsi"/>
          <w:iCs/>
          <w:szCs w:val="24"/>
          <w:lang w:val="sr-Latn-RS"/>
        </w:rPr>
        <w:t xml:space="preserve"> Ukupne godišnje POP's emisije (PCDD/PCDF) usled sagorijevanja biomase. 2006-2022.  godina (gTEQ/god)</w:t>
      </w:r>
    </w:p>
    <w:p w14:paraId="76DB93C4"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24.</w:t>
      </w:r>
      <w:r w:rsidRPr="00DE693E">
        <w:rPr>
          <w:rFonts w:asciiTheme="minorHAnsi" w:hAnsiTheme="minorHAnsi" w:cstheme="minorHAnsi"/>
          <w:iCs/>
          <w:szCs w:val="24"/>
          <w:lang w:val="sr-Latn-RS"/>
        </w:rPr>
        <w:t xml:space="preserve"> Ukupna potrošnja biomase, 2006-2022. godina (TJ)</w:t>
      </w:r>
    </w:p>
    <w:p w14:paraId="60C0C56E"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25.</w:t>
      </w:r>
      <w:r w:rsidRPr="00DE693E">
        <w:rPr>
          <w:rFonts w:asciiTheme="minorHAnsi" w:hAnsiTheme="minorHAnsi" w:cstheme="minorHAnsi"/>
          <w:iCs/>
          <w:szCs w:val="24"/>
          <w:lang w:val="sr-Latn-RS"/>
        </w:rPr>
        <w:t xml:space="preserve"> Proizvodnja asfaltne mase, 2006-2022. godina (t)</w:t>
      </w:r>
    </w:p>
    <w:p w14:paraId="5E62F748"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27.</w:t>
      </w:r>
      <w:r w:rsidRPr="00DE693E">
        <w:rPr>
          <w:rFonts w:asciiTheme="minorHAnsi" w:hAnsiTheme="minorHAnsi" w:cstheme="minorHAnsi"/>
          <w:iCs/>
          <w:szCs w:val="24"/>
          <w:lang w:val="sr-Latn-RS"/>
        </w:rPr>
        <w:t>Ukupna potrošnja dizela, 2006-2022. godina (t)</w:t>
      </w:r>
    </w:p>
    <w:p w14:paraId="15B57BB2"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28.</w:t>
      </w:r>
      <w:r w:rsidRPr="00DE693E">
        <w:rPr>
          <w:rFonts w:asciiTheme="minorHAnsi" w:hAnsiTheme="minorHAnsi" w:cstheme="minorHAnsi"/>
          <w:iCs/>
          <w:szCs w:val="24"/>
          <w:lang w:val="sr-Latn-RS"/>
        </w:rPr>
        <w:t xml:space="preserve"> Ukupne godišnje POP's emisije (PCDD/PCDF) usled šumskih požara, 2006-2022. godina (gTEQ/god)</w:t>
      </w:r>
    </w:p>
    <w:p w14:paraId="6E571CC6" w14:textId="77777777" w:rsidR="00033AB8" w:rsidRPr="00DE693E" w:rsidRDefault="00033AB8" w:rsidP="00033AB8">
      <w:pPr>
        <w:jc w:val="both"/>
        <w:rPr>
          <w:rFonts w:asciiTheme="minorHAnsi" w:hAnsiTheme="minorHAnsi" w:cstheme="minorHAnsi"/>
          <w:i/>
          <w:iCs/>
          <w:szCs w:val="24"/>
          <w:lang w:val="sr-Latn-RS"/>
        </w:rPr>
      </w:pPr>
      <w:r w:rsidRPr="00DE693E">
        <w:rPr>
          <w:rFonts w:asciiTheme="minorHAnsi" w:hAnsiTheme="minorHAnsi" w:cstheme="minorHAnsi"/>
          <w:b/>
          <w:bCs/>
          <w:iCs/>
          <w:szCs w:val="24"/>
          <w:lang w:val="sr-Latn-RS"/>
        </w:rPr>
        <w:t>Tabela 29.</w:t>
      </w:r>
      <w:r w:rsidRPr="00DE693E">
        <w:rPr>
          <w:rFonts w:asciiTheme="minorHAnsi" w:hAnsiTheme="minorHAnsi" w:cstheme="minorHAnsi"/>
          <w:iCs/>
          <w:szCs w:val="24"/>
          <w:lang w:val="sr-Latn-RS"/>
        </w:rPr>
        <w:t xml:space="preserve"> Količina spaljenog šumskog materijala u šumama u državnom vlasništvu (suva masa), 2006-2022. godina (t)</w:t>
      </w:r>
    </w:p>
    <w:p w14:paraId="1EF7D237" w14:textId="77777777" w:rsidR="00033AB8" w:rsidRDefault="00033AB8" w:rsidP="00033AB8">
      <w:pPr>
        <w:pStyle w:val="Tabele"/>
        <w:numPr>
          <w:ilvl w:val="0"/>
          <w:numId w:val="0"/>
        </w:numPr>
        <w:spacing w:before="0" w:after="0"/>
        <w:jc w:val="both"/>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t>Tabela 30.</w:t>
      </w:r>
      <w:r w:rsidRPr="00DE693E">
        <w:rPr>
          <w:rFonts w:asciiTheme="minorHAnsi" w:hAnsiTheme="minorHAnsi" w:cstheme="minorHAnsi"/>
          <w:i w:val="0"/>
          <w:iCs/>
          <w:sz w:val="24"/>
          <w:lang w:val="sr-Latn-RS"/>
        </w:rPr>
        <w:t xml:space="preserve"> Broj izlazaka vatrogasnih jedinica na gašenju požara na deponijama po opštinama</w:t>
      </w:r>
    </w:p>
    <w:p w14:paraId="24484C3E" w14:textId="77777777" w:rsidR="00033AB8" w:rsidRDefault="00033AB8" w:rsidP="00033AB8">
      <w:pPr>
        <w:pStyle w:val="Tabele"/>
        <w:numPr>
          <w:ilvl w:val="0"/>
          <w:numId w:val="0"/>
        </w:numPr>
        <w:spacing w:before="0" w:after="0"/>
        <w:jc w:val="both"/>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t>Tabela 31.</w:t>
      </w:r>
      <w:r w:rsidRPr="00DE693E">
        <w:rPr>
          <w:rFonts w:asciiTheme="minorHAnsi" w:hAnsiTheme="minorHAnsi" w:cstheme="minorHAnsi"/>
          <w:i w:val="0"/>
          <w:iCs/>
          <w:sz w:val="24"/>
          <w:lang w:val="sr-Latn-RS"/>
        </w:rPr>
        <w:t xml:space="preserve"> Ukupne godišnje POP's emisije (PCDD/PCDF) usled sagorijevanja otpada na otvorenom, 2006-2022. godina (gTEQ/god)</w:t>
      </w:r>
    </w:p>
    <w:p w14:paraId="04A1AC36" w14:textId="77777777" w:rsidR="00033AB8" w:rsidRPr="00DE693E" w:rsidRDefault="00033AB8" w:rsidP="00033AB8">
      <w:pPr>
        <w:pStyle w:val="Tabele"/>
        <w:numPr>
          <w:ilvl w:val="0"/>
          <w:numId w:val="0"/>
        </w:numPr>
        <w:spacing w:before="0" w:after="0"/>
        <w:jc w:val="both"/>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t>Tabela 32.</w:t>
      </w:r>
      <w:r w:rsidRPr="00DE693E">
        <w:rPr>
          <w:rFonts w:asciiTheme="minorHAnsi" w:hAnsiTheme="minorHAnsi" w:cstheme="minorHAnsi"/>
          <w:i w:val="0"/>
          <w:iCs/>
          <w:sz w:val="24"/>
          <w:lang w:val="sr-Latn-RS"/>
        </w:rPr>
        <w:t xml:space="preserve"> Sagoreli otpad na otvorenom, 2006-2022. godina (t)</w:t>
      </w:r>
    </w:p>
    <w:p w14:paraId="4958443F"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33.</w:t>
      </w:r>
      <w:r w:rsidRPr="00DE693E">
        <w:rPr>
          <w:rFonts w:asciiTheme="minorHAnsi" w:hAnsiTheme="minorHAnsi" w:cstheme="minorHAnsi"/>
          <w:iCs/>
          <w:szCs w:val="24"/>
          <w:lang w:val="sr-Latn-RS"/>
        </w:rPr>
        <w:t xml:space="preserve"> Broj izlazaka vatrogasnih jedinica na gašenju požara na motornim vozilima, stambenim i poslovnim prostorima i fabrikama po godinama</w:t>
      </w:r>
    </w:p>
    <w:p w14:paraId="5A3EFA4E"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34.</w:t>
      </w:r>
      <w:r w:rsidRPr="00DE693E">
        <w:rPr>
          <w:rFonts w:asciiTheme="minorHAnsi" w:hAnsiTheme="minorHAnsi" w:cstheme="minorHAnsi"/>
          <w:iCs/>
          <w:szCs w:val="24"/>
          <w:lang w:val="sr-Latn-RS"/>
        </w:rPr>
        <w:t xml:space="preserve"> Ukupne godišnje POP's emisije (PCDD/PCDF) usled akcidentnih požara na motornim vozilima, stambenim i poslovnim prostorima i fabrikama, 2006-2022. godina (gTEQ/god)</w:t>
      </w:r>
    </w:p>
    <w:p w14:paraId="3D155EDF"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35.</w:t>
      </w:r>
      <w:r w:rsidRPr="00DE693E">
        <w:rPr>
          <w:rFonts w:asciiTheme="minorHAnsi" w:hAnsiTheme="minorHAnsi" w:cstheme="minorHAnsi"/>
          <w:iCs/>
          <w:szCs w:val="24"/>
          <w:lang w:val="sr-Latn-RS"/>
        </w:rPr>
        <w:t xml:space="preserve"> Ukupne godišnje POP's emisije (PCDD/PCDF) usled odlaganja miješanog komunalnog otpada, 2006-2022. godina (gTEQ/god)</w:t>
      </w:r>
    </w:p>
    <w:p w14:paraId="77E5775C"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36.</w:t>
      </w:r>
      <w:r w:rsidRPr="00DE693E">
        <w:rPr>
          <w:rFonts w:asciiTheme="minorHAnsi" w:hAnsiTheme="minorHAnsi" w:cstheme="minorHAnsi"/>
          <w:iCs/>
          <w:szCs w:val="24"/>
          <w:lang w:val="sr-Latn-RS"/>
        </w:rPr>
        <w:t xml:space="preserve"> Količina odloženog miješanog komunalnog otpada.2006-2022, godina (t)</w:t>
      </w:r>
    </w:p>
    <w:p w14:paraId="39210945"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37.</w:t>
      </w:r>
      <w:r w:rsidRPr="00DE693E">
        <w:rPr>
          <w:rFonts w:asciiTheme="minorHAnsi" w:hAnsiTheme="minorHAnsi" w:cstheme="minorHAnsi"/>
          <w:iCs/>
          <w:szCs w:val="24"/>
          <w:lang w:val="sr-Latn-RS"/>
        </w:rPr>
        <w:t xml:space="preserve"> Ukupne godišnje POP's emisije (PCDD/PCDF) usled stvorenog kanalizacionog mulja, 2006-2022. godina (gTEQ/god)</w:t>
      </w:r>
    </w:p>
    <w:p w14:paraId="436D77DB" w14:textId="77777777" w:rsidR="00033AB8" w:rsidRDefault="00033AB8" w:rsidP="00033AB8">
      <w:pPr>
        <w:jc w:val="both"/>
        <w:rPr>
          <w:rFonts w:asciiTheme="minorHAnsi" w:hAnsiTheme="minorHAnsi" w:cstheme="minorHAnsi"/>
          <w:iCs/>
          <w:szCs w:val="24"/>
          <w:lang w:val="sr-Latn-RS"/>
        </w:rPr>
      </w:pPr>
      <w:r w:rsidRPr="00DE693E">
        <w:rPr>
          <w:rFonts w:asciiTheme="minorHAnsi" w:hAnsiTheme="minorHAnsi" w:cstheme="minorHAnsi"/>
          <w:b/>
          <w:bCs/>
          <w:iCs/>
          <w:szCs w:val="24"/>
          <w:lang w:val="sr-Latn-RS"/>
        </w:rPr>
        <w:t>Tabela 38.</w:t>
      </w:r>
      <w:r w:rsidRPr="00DE693E">
        <w:rPr>
          <w:rFonts w:asciiTheme="minorHAnsi" w:hAnsiTheme="minorHAnsi" w:cstheme="minorHAnsi"/>
          <w:iCs/>
          <w:szCs w:val="24"/>
          <w:lang w:val="sr-Latn-RS"/>
        </w:rPr>
        <w:t xml:space="preserve"> Količine stvorenog kanalizacionog mulja, 2006-2022. godina (t)</w:t>
      </w:r>
    </w:p>
    <w:p w14:paraId="599BD397" w14:textId="77777777" w:rsidR="00033AB8" w:rsidRPr="00DE693E" w:rsidRDefault="00033AB8" w:rsidP="00033AB8">
      <w:pPr>
        <w:jc w:val="both"/>
        <w:rPr>
          <w:rFonts w:asciiTheme="minorHAnsi" w:hAnsiTheme="minorHAnsi" w:cstheme="minorHAnsi"/>
          <w:i/>
          <w:iCs/>
          <w:szCs w:val="24"/>
          <w:lang w:val="sr-Latn-RS"/>
        </w:rPr>
      </w:pPr>
      <w:r w:rsidRPr="00DE693E">
        <w:rPr>
          <w:rFonts w:asciiTheme="minorHAnsi" w:hAnsiTheme="minorHAnsi" w:cstheme="minorHAnsi"/>
          <w:b/>
          <w:bCs/>
          <w:iCs/>
          <w:szCs w:val="24"/>
          <w:lang w:val="sr-Latn-RS"/>
        </w:rPr>
        <w:t>Tabela 39.</w:t>
      </w:r>
      <w:r w:rsidRPr="00DE693E">
        <w:rPr>
          <w:rFonts w:asciiTheme="minorHAnsi" w:hAnsiTheme="minorHAnsi" w:cstheme="minorHAnsi"/>
          <w:iCs/>
          <w:szCs w:val="24"/>
          <w:lang w:val="sr-Latn-RS"/>
        </w:rPr>
        <w:t xml:space="preserve"> Ukupne godišnje HCB i PCB emisije, 2006 – 2022, godina (g/god)</w:t>
      </w:r>
    </w:p>
    <w:p w14:paraId="4A112930" w14:textId="77777777" w:rsidR="00033AB8" w:rsidRPr="00DE693E" w:rsidRDefault="00033AB8" w:rsidP="00033AB8">
      <w:pPr>
        <w:rPr>
          <w:rFonts w:asciiTheme="minorHAnsi" w:hAnsiTheme="minorHAnsi" w:cstheme="minorHAnsi"/>
          <w:iCs/>
          <w:szCs w:val="24"/>
          <w:lang w:val="sr-Latn-RS"/>
        </w:rPr>
      </w:pPr>
      <w:r w:rsidRPr="00DE693E">
        <w:rPr>
          <w:rFonts w:asciiTheme="minorHAnsi" w:hAnsiTheme="minorHAnsi" w:cstheme="minorHAnsi"/>
          <w:b/>
          <w:bCs/>
          <w:iCs/>
          <w:szCs w:val="24"/>
          <w:lang w:val="sr-Latn-RS"/>
        </w:rPr>
        <w:t>Tabela 40.</w:t>
      </w:r>
      <w:r w:rsidRPr="00DE693E">
        <w:rPr>
          <w:rFonts w:asciiTheme="minorHAnsi" w:hAnsiTheme="minorHAnsi" w:cstheme="minorHAnsi"/>
          <w:iCs/>
          <w:szCs w:val="24"/>
          <w:lang w:val="sr-Latn-RS"/>
        </w:rPr>
        <w:t xml:space="preserve"> Procijenjene nacionalne emisije PeCB u vazduh usled sagorijevanja ukupno utrošene biomase i uglja u komercijalnom sektoru i sektoru 2015 – 2022, godina</w:t>
      </w:r>
    </w:p>
    <w:p w14:paraId="0F65EE68" w14:textId="77777777" w:rsidR="00033AB8" w:rsidRPr="00DE693E" w:rsidRDefault="00033AB8" w:rsidP="00033AB8">
      <w:pPr>
        <w:rPr>
          <w:rFonts w:asciiTheme="minorHAnsi" w:hAnsiTheme="minorHAnsi" w:cstheme="minorHAnsi"/>
          <w:iCs/>
          <w:szCs w:val="24"/>
          <w:lang w:val="sr-Latn-RS"/>
        </w:rPr>
      </w:pPr>
      <w:r w:rsidRPr="00DE693E">
        <w:rPr>
          <w:rFonts w:asciiTheme="minorHAnsi" w:hAnsiTheme="minorHAnsi" w:cstheme="minorHAnsi"/>
          <w:b/>
          <w:bCs/>
          <w:iCs/>
          <w:szCs w:val="24"/>
          <w:lang w:val="sr-Latn-RS"/>
        </w:rPr>
        <w:t>Tabela 41.</w:t>
      </w:r>
      <w:r w:rsidRPr="00DE693E">
        <w:rPr>
          <w:rFonts w:asciiTheme="minorHAnsi" w:hAnsiTheme="minorHAnsi" w:cstheme="minorHAnsi"/>
          <w:iCs/>
          <w:szCs w:val="24"/>
          <w:lang w:val="sr-Latn-RS"/>
        </w:rPr>
        <w:t xml:space="preserve"> Ukupne godišnje PCN emisije, 2015 – 2022, godina (g/god)</w:t>
      </w:r>
    </w:p>
    <w:p w14:paraId="5477C8B2" w14:textId="77777777" w:rsidR="00033AB8" w:rsidRPr="00DE693E" w:rsidRDefault="00033AB8" w:rsidP="00033AB8">
      <w:pPr>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42. </w:t>
      </w:r>
      <w:r w:rsidRPr="00DE693E">
        <w:rPr>
          <w:rFonts w:asciiTheme="minorHAnsi" w:hAnsiTheme="minorHAnsi" w:cstheme="minorHAnsi"/>
          <w:color w:val="auto"/>
          <w:szCs w:val="24"/>
        </w:rPr>
        <w:t>Hemijski identitet/imena, CAS brojevi, trgovačka imena i struktura PBDE</w:t>
      </w:r>
    </w:p>
    <w:p w14:paraId="125B485B" w14:textId="77777777" w:rsidR="00033AB8" w:rsidRPr="00DE693E" w:rsidRDefault="00033AB8" w:rsidP="00033AB8">
      <w:pPr>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43. </w:t>
      </w:r>
      <w:r w:rsidRPr="00DE693E">
        <w:rPr>
          <w:rFonts w:asciiTheme="minorHAnsi" w:hAnsiTheme="minorHAnsi" w:cstheme="minorHAnsi"/>
          <w:color w:val="auto"/>
          <w:szCs w:val="24"/>
        </w:rPr>
        <w:t>Upotreba pentaBDE u PUR pjeni</w:t>
      </w:r>
    </w:p>
    <w:p w14:paraId="52F38FEB"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44: </w:t>
      </w:r>
      <w:r w:rsidRPr="00DE693E">
        <w:rPr>
          <w:rFonts w:asciiTheme="minorHAnsi" w:hAnsiTheme="minorHAnsi" w:cstheme="minorHAnsi"/>
          <w:color w:val="auto"/>
          <w:szCs w:val="24"/>
        </w:rPr>
        <w:t>Prijašnje upotrebe c-octaBDE u polimerima/materijalima, primjene i proizvodi (ESWI 2011)</w:t>
      </w:r>
    </w:p>
    <w:p w14:paraId="64E50170"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45: </w:t>
      </w:r>
      <w:r w:rsidRPr="00DE693E">
        <w:rPr>
          <w:rFonts w:asciiTheme="minorHAnsi" w:hAnsiTheme="minorHAnsi" w:cstheme="minorHAnsi"/>
          <w:color w:val="auto"/>
          <w:szCs w:val="24"/>
        </w:rPr>
        <w:t>Pregled sektora/industrija u kojima se koristi/decaBDE, identifikovane krajnje upotrebe i primjene</w:t>
      </w:r>
    </w:p>
    <w:p w14:paraId="40750213" w14:textId="77777777" w:rsidR="00033AB8" w:rsidRPr="00DE693E" w:rsidRDefault="00033AB8" w:rsidP="00033AB8">
      <w:pPr>
        <w:jc w:val="both"/>
        <w:rPr>
          <w:rFonts w:asciiTheme="minorHAnsi" w:hAnsiTheme="minorHAnsi" w:cstheme="minorHAnsi"/>
          <w:szCs w:val="24"/>
        </w:rPr>
      </w:pPr>
      <w:r w:rsidRPr="00DE693E">
        <w:rPr>
          <w:rFonts w:asciiTheme="minorHAnsi" w:hAnsiTheme="minorHAnsi" w:cstheme="minorHAnsi"/>
          <w:b/>
          <w:bCs/>
          <w:szCs w:val="24"/>
        </w:rPr>
        <w:t>Tabela 46.</w:t>
      </w:r>
      <w:r w:rsidRPr="00DE693E">
        <w:rPr>
          <w:rFonts w:asciiTheme="minorHAnsi" w:hAnsiTheme="minorHAnsi" w:cstheme="minorHAnsi"/>
          <w:szCs w:val="24"/>
        </w:rPr>
        <w:t xml:space="preserve"> Prikaz nivoa inventarizacije</w:t>
      </w:r>
    </w:p>
    <w:p w14:paraId="63DD6B51" w14:textId="77777777" w:rsidR="00033AB8" w:rsidRPr="00DE693E" w:rsidRDefault="00033AB8" w:rsidP="00033AB8">
      <w:pPr>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47. </w:t>
      </w:r>
      <w:r w:rsidRPr="00DE693E">
        <w:rPr>
          <w:rFonts w:asciiTheme="minorHAnsi" w:hAnsiTheme="minorHAnsi" w:cstheme="minorHAnsi"/>
          <w:color w:val="auto"/>
          <w:szCs w:val="24"/>
        </w:rPr>
        <w:t>Sadržaj PBDE u CRT televizorima u upotrebi, na zalihama i u CRT monitorima</w:t>
      </w:r>
    </w:p>
    <w:p w14:paraId="406AE927"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48. </w:t>
      </w:r>
      <w:r w:rsidRPr="00DE693E">
        <w:rPr>
          <w:rFonts w:asciiTheme="minorHAnsi" w:hAnsiTheme="minorHAnsi" w:cstheme="minorHAnsi"/>
          <w:color w:val="auto"/>
          <w:szCs w:val="24"/>
        </w:rPr>
        <w:t>Pregled količine generisanog EEE otpada u periodu 2011–2023 i pripadajući sadržaj dekaBDE (podaci MONSTAT)</w:t>
      </w:r>
    </w:p>
    <w:p w14:paraId="607F5821"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lastRenderedPageBreak/>
        <w:t xml:space="preserve">Tabela 49. </w:t>
      </w:r>
      <w:r w:rsidRPr="00DE693E">
        <w:rPr>
          <w:rFonts w:asciiTheme="minorHAnsi" w:hAnsiTheme="minorHAnsi" w:cstheme="minorHAnsi"/>
          <w:color w:val="auto"/>
          <w:szCs w:val="24"/>
        </w:rPr>
        <w:t>Pregled količine generisanog EEE otpada u periodu 2017–2023 i pripadajući sadržaj dekaBDE (podaci iz nacrta DPUO 2023–2028)</w:t>
      </w:r>
    </w:p>
    <w:p w14:paraId="1064D776"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50. </w:t>
      </w:r>
      <w:r w:rsidRPr="00DE693E">
        <w:rPr>
          <w:rFonts w:asciiTheme="minorHAnsi" w:hAnsiTheme="minorHAnsi" w:cstheme="minorHAnsi"/>
          <w:color w:val="auto"/>
          <w:szCs w:val="24"/>
        </w:rPr>
        <w:t>Prosječan sadržaj POP-PBDE po vozilu</w:t>
      </w:r>
    </w:p>
    <w:p w14:paraId="07AA8BCF"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51. </w:t>
      </w:r>
      <w:r w:rsidRPr="00DE693E">
        <w:rPr>
          <w:rFonts w:asciiTheme="minorHAnsi" w:hAnsiTheme="minorHAnsi" w:cstheme="minorHAnsi"/>
          <w:color w:val="auto"/>
          <w:szCs w:val="24"/>
        </w:rPr>
        <w:t>PBDE sadržaj u putničkim automobilima u upotrebi (2017–2023)</w:t>
      </w:r>
    </w:p>
    <w:p w14:paraId="34C231AF" w14:textId="77777777" w:rsidR="00033AB8" w:rsidRPr="00DE693E" w:rsidRDefault="00033AB8" w:rsidP="00033AB8">
      <w:pPr>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52. </w:t>
      </w:r>
      <w:r w:rsidRPr="00DE693E">
        <w:rPr>
          <w:rFonts w:asciiTheme="minorHAnsi" w:hAnsiTheme="minorHAnsi" w:cstheme="minorHAnsi"/>
          <w:color w:val="auto"/>
          <w:szCs w:val="24"/>
        </w:rPr>
        <w:t>Broj registrovanih kamiona u periodu 2017–2023</w:t>
      </w:r>
    </w:p>
    <w:p w14:paraId="18F8C3DE" w14:textId="77777777" w:rsidR="00033AB8" w:rsidRDefault="00033AB8" w:rsidP="00033AB8">
      <w:pPr>
        <w:pStyle w:val="Text"/>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rPr>
        <w:t xml:space="preserve">Tabela 53. </w:t>
      </w:r>
      <w:r w:rsidRPr="00DE693E">
        <w:rPr>
          <w:rFonts w:asciiTheme="minorHAnsi" w:hAnsiTheme="minorHAnsi" w:cstheme="minorHAnsi"/>
          <w:sz w:val="24"/>
          <w:szCs w:val="24"/>
        </w:rPr>
        <w:t>Pregled količina PBDE-a u autobusima (period registracije 2017–2023)</w:t>
      </w:r>
    </w:p>
    <w:p w14:paraId="1A7EE575" w14:textId="77777777" w:rsidR="00033AB8" w:rsidRPr="00DE693E" w:rsidRDefault="00033AB8" w:rsidP="00033AB8">
      <w:pPr>
        <w:pStyle w:val="Text"/>
        <w:spacing w:after="0" w:line="240" w:lineRule="auto"/>
        <w:rPr>
          <w:rFonts w:asciiTheme="minorHAnsi" w:hAnsiTheme="minorHAnsi" w:cstheme="minorHAnsi"/>
          <w:b/>
          <w:bCs/>
          <w:color w:val="auto"/>
          <w:sz w:val="24"/>
          <w:szCs w:val="24"/>
        </w:rPr>
      </w:pPr>
      <w:r w:rsidRPr="00DE693E">
        <w:rPr>
          <w:rFonts w:asciiTheme="minorHAnsi" w:hAnsiTheme="minorHAnsi" w:cstheme="minorHAnsi"/>
          <w:b/>
          <w:bCs/>
          <w:color w:val="auto"/>
          <w:sz w:val="24"/>
          <w:szCs w:val="24"/>
        </w:rPr>
        <w:t xml:space="preserve">Tabela 54. </w:t>
      </w:r>
      <w:r w:rsidRPr="00DE693E">
        <w:rPr>
          <w:rFonts w:asciiTheme="minorHAnsi" w:hAnsiTheme="minorHAnsi" w:cstheme="minorHAnsi"/>
          <w:color w:val="auto"/>
          <w:sz w:val="24"/>
          <w:szCs w:val="24"/>
        </w:rPr>
        <w:t>Komparativni prikaz PBDE po kategorijama vozila (2017–2023)</w:t>
      </w:r>
    </w:p>
    <w:p w14:paraId="113569C3" w14:textId="77777777" w:rsidR="00033AB8" w:rsidRPr="00DE693E" w:rsidRDefault="00033AB8" w:rsidP="00033AB8">
      <w:pPr>
        <w:pStyle w:val="Text"/>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rPr>
        <w:t xml:space="preserve">Tabela 55. </w:t>
      </w:r>
      <w:r w:rsidRPr="00DE693E">
        <w:rPr>
          <w:rFonts w:asciiTheme="minorHAnsi" w:hAnsiTheme="minorHAnsi" w:cstheme="minorHAnsi"/>
          <w:sz w:val="24"/>
          <w:szCs w:val="24"/>
        </w:rPr>
        <w:t>Pregled sadržaja PBDE u uvezenim putničkim vozilima u periodu 2017–2023</w:t>
      </w:r>
    </w:p>
    <w:p w14:paraId="4927106B" w14:textId="77777777" w:rsidR="00033AB8" w:rsidRPr="00DE693E" w:rsidRDefault="00033AB8" w:rsidP="00033AB8">
      <w:pPr>
        <w:pStyle w:val="Text"/>
        <w:tabs>
          <w:tab w:val="left" w:pos="3510"/>
        </w:tabs>
        <w:spacing w:after="0" w:line="240" w:lineRule="auto"/>
        <w:jc w:val="both"/>
        <w:rPr>
          <w:rFonts w:asciiTheme="minorHAnsi" w:hAnsiTheme="minorHAnsi" w:cstheme="minorHAnsi"/>
          <w:b/>
          <w:bCs/>
          <w:sz w:val="24"/>
          <w:szCs w:val="24"/>
        </w:rPr>
      </w:pPr>
      <w:r w:rsidRPr="00DE693E">
        <w:rPr>
          <w:rFonts w:asciiTheme="minorHAnsi" w:hAnsiTheme="minorHAnsi" w:cstheme="minorHAnsi"/>
          <w:b/>
          <w:bCs/>
          <w:sz w:val="24"/>
          <w:szCs w:val="24"/>
        </w:rPr>
        <w:t xml:space="preserve">Tabela 56. </w:t>
      </w:r>
      <w:r w:rsidRPr="00DE693E">
        <w:rPr>
          <w:rFonts w:asciiTheme="minorHAnsi" w:hAnsiTheme="minorHAnsi" w:cstheme="minorHAnsi"/>
          <w:sz w:val="24"/>
          <w:szCs w:val="24"/>
        </w:rPr>
        <w:t>Pregled sadržaja PBDE u uvezenim autobusima u periodu 2017–2023</w:t>
      </w:r>
    </w:p>
    <w:p w14:paraId="7AADA3A5" w14:textId="77777777" w:rsidR="00033AB8" w:rsidRPr="00DE693E" w:rsidRDefault="00033AB8" w:rsidP="00033AB8">
      <w:pPr>
        <w:pStyle w:val="Text"/>
        <w:tabs>
          <w:tab w:val="left" w:pos="3510"/>
        </w:tabs>
        <w:spacing w:after="60" w:line="240" w:lineRule="auto"/>
        <w:jc w:val="both"/>
        <w:rPr>
          <w:rFonts w:asciiTheme="minorHAnsi" w:hAnsiTheme="minorHAnsi" w:cstheme="minorHAnsi"/>
          <w:b/>
          <w:bCs/>
          <w:i/>
          <w:iCs/>
          <w:sz w:val="24"/>
          <w:szCs w:val="24"/>
        </w:rPr>
      </w:pPr>
      <w:r w:rsidRPr="00DE693E">
        <w:rPr>
          <w:rFonts w:asciiTheme="minorHAnsi" w:hAnsiTheme="minorHAnsi" w:cstheme="minorHAnsi"/>
          <w:b/>
          <w:bCs/>
          <w:sz w:val="24"/>
          <w:szCs w:val="24"/>
        </w:rPr>
        <w:t xml:space="preserve">Tabela 57. </w:t>
      </w:r>
      <w:r w:rsidRPr="00DE693E">
        <w:rPr>
          <w:rFonts w:asciiTheme="minorHAnsi" w:hAnsiTheme="minorHAnsi" w:cstheme="minorHAnsi"/>
          <w:sz w:val="24"/>
          <w:szCs w:val="24"/>
        </w:rPr>
        <w:t>Tabelarni prikaz broja uvezenih kamiona i sadržaja PBDE u istim</w:t>
      </w:r>
    </w:p>
    <w:p w14:paraId="726BFBC8" w14:textId="77777777" w:rsidR="00033AB8" w:rsidRPr="00DE693E" w:rsidRDefault="00033AB8" w:rsidP="00033AB8">
      <w:pPr>
        <w:pStyle w:val="Text"/>
        <w:spacing w:after="0" w:line="240" w:lineRule="auto"/>
        <w:rPr>
          <w:rFonts w:asciiTheme="minorHAnsi" w:hAnsiTheme="minorHAnsi" w:cstheme="minorHAnsi"/>
          <w:b/>
          <w:bCs/>
          <w:sz w:val="24"/>
          <w:szCs w:val="24"/>
        </w:rPr>
      </w:pPr>
      <w:r w:rsidRPr="00DE693E">
        <w:rPr>
          <w:rFonts w:asciiTheme="minorHAnsi" w:hAnsiTheme="minorHAnsi" w:cstheme="minorHAnsi"/>
          <w:b/>
          <w:bCs/>
          <w:sz w:val="24"/>
          <w:szCs w:val="24"/>
        </w:rPr>
        <w:t xml:space="preserve">Tabela 58. </w:t>
      </w:r>
      <w:r w:rsidRPr="00DE693E">
        <w:rPr>
          <w:rFonts w:asciiTheme="minorHAnsi" w:hAnsiTheme="minorHAnsi" w:cstheme="minorHAnsi"/>
          <w:sz w:val="24"/>
          <w:szCs w:val="24"/>
        </w:rPr>
        <w:t>Pregled sadržaja PBDE u svim kategorijama uvezenih vozila</w:t>
      </w:r>
    </w:p>
    <w:p w14:paraId="33A717D3"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 xml:space="preserve">Tabela 59. </w:t>
      </w:r>
      <w:r w:rsidRPr="00DE693E">
        <w:rPr>
          <w:rFonts w:asciiTheme="minorHAnsi" w:hAnsiTheme="minorHAnsi" w:cstheme="minorHAnsi"/>
          <w:color w:val="auto"/>
          <w:szCs w:val="24"/>
        </w:rPr>
        <w:t>Količina decaBDE u procijenjenim end-of-life vozilima (ELVs) u periodu 2017–2023</w:t>
      </w:r>
    </w:p>
    <w:p w14:paraId="2C49D059" w14:textId="77777777" w:rsidR="00033AB8" w:rsidRPr="00DE693E" w:rsidRDefault="00033AB8" w:rsidP="00033AB8">
      <w:pPr>
        <w:jc w:val="both"/>
        <w:rPr>
          <w:rFonts w:asciiTheme="minorHAnsi" w:hAnsiTheme="minorHAnsi" w:cstheme="minorHAnsi"/>
          <w:szCs w:val="24"/>
          <w:lang w:val="sr-Latn-ME"/>
        </w:rPr>
      </w:pPr>
      <w:r w:rsidRPr="00DE693E">
        <w:rPr>
          <w:rFonts w:asciiTheme="minorHAnsi" w:hAnsiTheme="minorHAnsi" w:cstheme="minorHAnsi"/>
          <w:b/>
          <w:bCs/>
          <w:szCs w:val="24"/>
          <w:lang w:val="sr-Latn-ME"/>
        </w:rPr>
        <w:t>Tabela 60.</w:t>
      </w:r>
      <w:r w:rsidRPr="00DE693E">
        <w:rPr>
          <w:rFonts w:asciiTheme="minorHAnsi" w:hAnsiTheme="minorHAnsi" w:cstheme="minorHAnsi"/>
          <w:szCs w:val="24"/>
          <w:lang w:val="sr-Latn-ME"/>
        </w:rPr>
        <w:t xml:space="preserve"> Sektori i za njih nadležne zainteresovane strane koje su uključene u različite procese upravljanja proizvodima koji potencijalno sadrže HBCD</w:t>
      </w:r>
    </w:p>
    <w:p w14:paraId="26CA9FE1" w14:textId="77777777" w:rsidR="00033AB8" w:rsidRPr="00DE693E" w:rsidRDefault="00033AB8" w:rsidP="00033AB8">
      <w:pPr>
        <w:jc w:val="both"/>
        <w:rPr>
          <w:rFonts w:asciiTheme="minorHAnsi" w:hAnsiTheme="minorHAnsi" w:cstheme="minorHAnsi"/>
          <w:iCs/>
          <w:color w:val="000000"/>
          <w:szCs w:val="24"/>
          <w:lang w:val="sr-Latn-RS"/>
        </w:rPr>
      </w:pPr>
      <w:r w:rsidRPr="00DE693E">
        <w:rPr>
          <w:rFonts w:asciiTheme="minorHAnsi" w:hAnsiTheme="minorHAnsi" w:cstheme="minorHAnsi"/>
          <w:b/>
          <w:bCs/>
          <w:iCs/>
          <w:color w:val="000000"/>
          <w:szCs w:val="24"/>
          <w:lang w:val="sr-Latn-RS"/>
        </w:rPr>
        <w:t>Tabela 61.</w:t>
      </w:r>
      <w:r w:rsidRPr="00DE693E">
        <w:rPr>
          <w:rFonts w:asciiTheme="minorHAnsi" w:hAnsiTheme="minorHAnsi" w:cstheme="minorHAnsi"/>
          <w:iCs/>
          <w:color w:val="000000"/>
          <w:szCs w:val="24"/>
          <w:lang w:val="sr-Latn-RS"/>
        </w:rPr>
        <w:t xml:space="preserve"> Količina uvezenog granulata ekspandiranog polistirena (t) u periodu   2017-2023. godina</w:t>
      </w:r>
    </w:p>
    <w:p w14:paraId="46644165" w14:textId="77777777" w:rsidR="00033AB8" w:rsidRPr="00DE693E" w:rsidRDefault="00033AB8" w:rsidP="00033AB8">
      <w:pPr>
        <w:jc w:val="both"/>
        <w:rPr>
          <w:rFonts w:asciiTheme="minorHAnsi" w:hAnsiTheme="minorHAnsi" w:cstheme="minorHAnsi"/>
          <w:szCs w:val="24"/>
          <w:lang w:val="sr-Latn-ME"/>
        </w:rPr>
      </w:pPr>
      <w:r w:rsidRPr="00DE693E">
        <w:rPr>
          <w:rFonts w:asciiTheme="minorHAnsi" w:hAnsiTheme="minorHAnsi" w:cstheme="minorHAnsi"/>
          <w:b/>
          <w:bCs/>
          <w:szCs w:val="24"/>
          <w:lang w:val="sr-Latn-ME"/>
        </w:rPr>
        <w:t>Tabela 62.</w:t>
      </w:r>
      <w:r w:rsidRPr="00DE693E">
        <w:rPr>
          <w:rFonts w:asciiTheme="minorHAnsi" w:hAnsiTheme="minorHAnsi" w:cstheme="minorHAnsi"/>
          <w:szCs w:val="24"/>
          <w:lang w:val="sr-Latn-ME"/>
        </w:rPr>
        <w:t xml:space="preserve"> Količine uvezenih proizvoda na bazi polistirena (t) u periodu 2017-2023. godina</w:t>
      </w:r>
    </w:p>
    <w:p w14:paraId="0F2DA48C" w14:textId="77777777" w:rsidR="00033AB8" w:rsidRPr="00DE693E" w:rsidRDefault="00033AB8" w:rsidP="00033AB8">
      <w:pPr>
        <w:jc w:val="both"/>
        <w:rPr>
          <w:rFonts w:asciiTheme="minorHAnsi" w:hAnsiTheme="minorHAnsi" w:cstheme="minorHAnsi"/>
          <w:iCs/>
          <w:color w:val="000000"/>
          <w:szCs w:val="24"/>
          <w:lang w:val="sr-Latn-RS"/>
        </w:rPr>
      </w:pPr>
      <w:r w:rsidRPr="00DE693E">
        <w:rPr>
          <w:rFonts w:asciiTheme="minorHAnsi" w:hAnsiTheme="minorHAnsi" w:cstheme="minorHAnsi"/>
          <w:b/>
          <w:bCs/>
          <w:iCs/>
          <w:color w:val="000000"/>
          <w:szCs w:val="24"/>
          <w:lang w:val="sr-Latn-RS"/>
        </w:rPr>
        <w:t>Tabela 63.</w:t>
      </w:r>
      <w:r w:rsidRPr="00DE693E">
        <w:rPr>
          <w:rFonts w:asciiTheme="minorHAnsi" w:hAnsiTheme="minorHAnsi" w:cstheme="minorHAnsi"/>
          <w:iCs/>
          <w:color w:val="000000"/>
          <w:szCs w:val="24"/>
          <w:lang w:val="sr-Latn-RS"/>
        </w:rPr>
        <w:t xml:space="preserve"> Procjenjena količina HBCD u Crnoj Gori po godinama (2017-2023.)</w:t>
      </w:r>
    </w:p>
    <w:p w14:paraId="650E5511" w14:textId="77777777" w:rsidR="00033AB8" w:rsidRPr="00DE693E" w:rsidRDefault="00033AB8" w:rsidP="00033AB8">
      <w:pPr>
        <w:jc w:val="both"/>
        <w:rPr>
          <w:rFonts w:asciiTheme="minorHAnsi" w:hAnsiTheme="minorHAnsi" w:cstheme="minorHAnsi"/>
          <w:iCs/>
          <w:color w:val="000000"/>
          <w:szCs w:val="24"/>
          <w:lang w:val="sr-Latn-RS"/>
        </w:rPr>
      </w:pPr>
      <w:r w:rsidRPr="00DE693E">
        <w:rPr>
          <w:rFonts w:asciiTheme="minorHAnsi" w:hAnsiTheme="minorHAnsi" w:cstheme="minorHAnsi"/>
          <w:b/>
          <w:bCs/>
          <w:iCs/>
          <w:color w:val="000000"/>
          <w:szCs w:val="24"/>
          <w:lang w:val="sr-Latn-RS"/>
        </w:rPr>
        <w:t>Tabela 64.</w:t>
      </w:r>
      <w:r w:rsidRPr="00DE693E">
        <w:rPr>
          <w:rFonts w:asciiTheme="minorHAnsi" w:hAnsiTheme="minorHAnsi" w:cstheme="minorHAnsi"/>
          <w:iCs/>
          <w:color w:val="000000"/>
          <w:szCs w:val="24"/>
          <w:lang w:val="sr-Latn-RS"/>
        </w:rPr>
        <w:t xml:space="preserve"> Trend uvoza proizvoda na bazi polistirena i procijenje količine HBCD u Crnoj Gori</w:t>
      </w:r>
    </w:p>
    <w:p w14:paraId="71E24E94" w14:textId="77777777" w:rsidR="00033AB8" w:rsidRPr="00DE693E" w:rsidRDefault="00033AB8" w:rsidP="00033AB8">
      <w:pPr>
        <w:jc w:val="both"/>
        <w:rPr>
          <w:rFonts w:asciiTheme="minorHAnsi" w:hAnsiTheme="minorHAnsi" w:cstheme="minorHAnsi"/>
          <w:color w:val="000000"/>
          <w:szCs w:val="24"/>
          <w:lang w:val="sr-Latn-RS"/>
        </w:rPr>
      </w:pPr>
      <w:r w:rsidRPr="00DE693E">
        <w:rPr>
          <w:rFonts w:asciiTheme="minorHAnsi" w:hAnsiTheme="minorHAnsi" w:cstheme="minorHAnsi"/>
          <w:b/>
          <w:bCs/>
          <w:color w:val="000000"/>
          <w:szCs w:val="24"/>
          <w:lang w:val="sr-Latn-RS"/>
        </w:rPr>
        <w:t>Tabela 65.</w:t>
      </w:r>
      <w:r w:rsidRPr="00DE693E">
        <w:rPr>
          <w:rFonts w:asciiTheme="minorHAnsi" w:hAnsiTheme="minorHAnsi" w:cstheme="minorHAnsi"/>
          <w:color w:val="000000"/>
          <w:szCs w:val="24"/>
          <w:lang w:val="sr-Latn-RS"/>
        </w:rPr>
        <w:t xml:space="preserve"> Količine generisanog građevinskog otpada (građevinski sektor, uslužne djelatnosti i domaćinstva) i procijenjene količine HBCD u ovoj vrsti otpada u Crnoj Gori za period                      2017-2023. godina</w:t>
      </w:r>
    </w:p>
    <w:p w14:paraId="11ED8911" w14:textId="77777777" w:rsidR="00033AB8" w:rsidRPr="00DE693E" w:rsidRDefault="00033AB8" w:rsidP="00033AB8">
      <w:pPr>
        <w:jc w:val="both"/>
        <w:rPr>
          <w:rFonts w:asciiTheme="minorHAnsi" w:hAnsiTheme="minorHAnsi" w:cstheme="minorHAnsi"/>
          <w:iCs/>
          <w:szCs w:val="24"/>
          <w:lang w:val="sr-Latn-ME"/>
        </w:rPr>
      </w:pPr>
      <w:r w:rsidRPr="00DE693E">
        <w:rPr>
          <w:rFonts w:asciiTheme="minorHAnsi" w:hAnsiTheme="minorHAnsi" w:cstheme="minorHAnsi"/>
          <w:b/>
          <w:bCs/>
          <w:iCs/>
          <w:color w:val="000000"/>
          <w:szCs w:val="24"/>
          <w:lang w:val="sr-Latn-RS"/>
        </w:rPr>
        <w:t>Tabela 66.</w:t>
      </w:r>
      <w:r w:rsidRPr="00DE693E">
        <w:rPr>
          <w:rFonts w:asciiTheme="minorHAnsi" w:hAnsiTheme="minorHAnsi" w:cstheme="minorHAnsi"/>
          <w:iCs/>
          <w:color w:val="000000"/>
          <w:szCs w:val="24"/>
          <w:lang w:val="sr-Latn-RS"/>
        </w:rPr>
        <w:t xml:space="preserve"> Trend procjenjenih količina HBCD u otpadu u Crnoj Gori </w:t>
      </w:r>
      <w:r w:rsidRPr="00DE693E">
        <w:rPr>
          <w:rFonts w:asciiTheme="minorHAnsi" w:hAnsiTheme="minorHAnsi" w:cstheme="minorHAnsi"/>
          <w:iCs/>
          <w:szCs w:val="24"/>
          <w:lang w:val="sr-Latn-ME"/>
        </w:rPr>
        <w:t xml:space="preserve">za periode 2007-2016. godina i 2017-2023. godina </w:t>
      </w:r>
    </w:p>
    <w:p w14:paraId="60B00A0B" w14:textId="77777777" w:rsidR="00033AB8" w:rsidRPr="00DE693E" w:rsidRDefault="00033AB8" w:rsidP="00033AB8">
      <w:pPr>
        <w:jc w:val="both"/>
        <w:rPr>
          <w:rFonts w:asciiTheme="minorHAnsi" w:hAnsiTheme="minorHAnsi" w:cstheme="minorHAnsi"/>
          <w:szCs w:val="24"/>
        </w:rPr>
      </w:pPr>
      <w:r w:rsidRPr="00DE693E">
        <w:rPr>
          <w:rFonts w:asciiTheme="minorHAnsi" w:hAnsiTheme="minorHAnsi" w:cstheme="minorHAnsi"/>
          <w:b/>
          <w:bCs/>
          <w:szCs w:val="24"/>
        </w:rPr>
        <w:t>Tabela 67:</w:t>
      </w:r>
      <w:r w:rsidRPr="00DE693E">
        <w:rPr>
          <w:rFonts w:asciiTheme="minorHAnsi" w:hAnsiTheme="minorHAnsi" w:cstheme="minorHAnsi"/>
          <w:szCs w:val="24"/>
        </w:rPr>
        <w:t xml:space="preserve"> Uvrštavanje PFOS-a, njegovih soli i PFOSF-a u Stokholmsku konvenciju prema odluci SC-9/4</w:t>
      </w:r>
    </w:p>
    <w:p w14:paraId="5C7E4307"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68.</w:t>
      </w:r>
      <w:r w:rsidRPr="00DE693E">
        <w:rPr>
          <w:rFonts w:asciiTheme="minorHAnsi" w:eastAsia="SimSun" w:hAnsiTheme="minorHAnsi" w:cstheme="minorHAnsi"/>
          <w:color w:val="auto"/>
          <w:szCs w:val="24"/>
        </w:rPr>
        <w:t xml:space="preserve"> Pregled vatrogasnih jedinica koje posjeduju protivpožarne pjene, njene količine u skladištu, datum proizvodnje kao i tip pjene</w:t>
      </w:r>
    </w:p>
    <w:p w14:paraId="72DE471F" w14:textId="77777777" w:rsidR="00033AB8" w:rsidRPr="00DE693E" w:rsidRDefault="00033AB8" w:rsidP="00033AB8">
      <w:pPr>
        <w:jc w:val="both"/>
        <w:rPr>
          <w:rFonts w:asciiTheme="minorHAnsi" w:eastAsia="Times New Roman" w:hAnsiTheme="minorHAnsi" w:cstheme="minorHAnsi"/>
          <w:color w:val="auto"/>
          <w:szCs w:val="24"/>
          <w:lang w:eastAsia="en-GB"/>
        </w:rPr>
      </w:pPr>
      <w:r w:rsidRPr="00DE693E">
        <w:rPr>
          <w:rFonts w:asciiTheme="minorHAnsi" w:eastAsia="Times New Roman" w:hAnsiTheme="minorHAnsi" w:cstheme="minorHAnsi"/>
          <w:b/>
          <w:bCs/>
          <w:color w:val="auto"/>
          <w:szCs w:val="24"/>
          <w:lang w:eastAsia="en-GB"/>
        </w:rPr>
        <w:t>Tabela 69:</w:t>
      </w:r>
      <w:r w:rsidRPr="00DE693E">
        <w:rPr>
          <w:rFonts w:asciiTheme="minorHAnsi" w:eastAsia="Times New Roman" w:hAnsiTheme="minorHAnsi" w:cstheme="minorHAnsi"/>
          <w:color w:val="auto"/>
          <w:szCs w:val="24"/>
          <w:lang w:eastAsia="en-GB"/>
        </w:rPr>
        <w:t xml:space="preserve"> Rezultati prisustva PFOS-a u protivpožarnim pjenama opštinskih službi zaštite i spašavanja.</w:t>
      </w:r>
    </w:p>
    <w:p w14:paraId="545B5976" w14:textId="77777777" w:rsidR="00033AB8" w:rsidRPr="00DE693E" w:rsidRDefault="00033AB8" w:rsidP="00033AB8">
      <w:pPr>
        <w:jc w:val="both"/>
        <w:rPr>
          <w:rFonts w:asciiTheme="minorHAnsi" w:eastAsia="Times New Roman" w:hAnsiTheme="minorHAnsi" w:cstheme="minorHAnsi"/>
          <w:color w:val="auto"/>
          <w:szCs w:val="24"/>
          <w:lang w:eastAsia="en-GB"/>
        </w:rPr>
      </w:pPr>
      <w:r w:rsidRPr="00DE693E">
        <w:rPr>
          <w:rFonts w:asciiTheme="minorHAnsi" w:eastAsia="Times New Roman" w:hAnsiTheme="minorHAnsi" w:cstheme="minorHAnsi"/>
          <w:b/>
          <w:bCs/>
          <w:color w:val="auto"/>
          <w:szCs w:val="24"/>
          <w:lang w:eastAsia="en-GB"/>
        </w:rPr>
        <w:t>Tabela 70:</w:t>
      </w:r>
      <w:r w:rsidRPr="00DE693E">
        <w:rPr>
          <w:rFonts w:asciiTheme="minorHAnsi" w:eastAsia="Times New Roman" w:hAnsiTheme="minorHAnsi" w:cstheme="minorHAnsi"/>
          <w:color w:val="auto"/>
          <w:szCs w:val="24"/>
          <w:lang w:eastAsia="en-GB"/>
        </w:rPr>
        <w:t xml:space="preserve"> Rezultati prisustva PFOS-a u protivpožarnim pjenama specijalizovanih vatrogasnih službi (Luke, Aerodromi, Industrija).</w:t>
      </w:r>
    </w:p>
    <w:p w14:paraId="4F83DE9B"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71:</w:t>
      </w:r>
      <w:r w:rsidRPr="00DE693E">
        <w:rPr>
          <w:rFonts w:asciiTheme="minorHAnsi" w:hAnsiTheme="minorHAnsi" w:cstheme="minorHAnsi"/>
          <w:color w:val="auto"/>
          <w:szCs w:val="24"/>
        </w:rPr>
        <w:t xml:space="preserve"> Pregled broja analiziranih uzoraka i uzoraka sa potvrđenim prisustvom PFOS</w:t>
      </w:r>
    </w:p>
    <w:p w14:paraId="10FFB8E1" w14:textId="77777777" w:rsidR="00033AB8" w:rsidRPr="00DE693E" w:rsidRDefault="00033AB8" w:rsidP="00033AB8">
      <w:pPr>
        <w:jc w:val="both"/>
        <w:rPr>
          <w:rFonts w:asciiTheme="minorHAnsi" w:eastAsia="Times New Roman" w:hAnsiTheme="minorHAnsi" w:cstheme="minorHAnsi"/>
          <w:color w:val="auto"/>
          <w:szCs w:val="24"/>
          <w:lang w:eastAsia="en-GB"/>
        </w:rPr>
      </w:pPr>
      <w:r w:rsidRPr="00DE693E">
        <w:rPr>
          <w:rFonts w:asciiTheme="minorHAnsi" w:eastAsia="Times New Roman" w:hAnsiTheme="minorHAnsi" w:cstheme="minorHAnsi"/>
          <w:b/>
          <w:bCs/>
          <w:color w:val="auto"/>
          <w:szCs w:val="24"/>
          <w:lang w:eastAsia="en-GB"/>
        </w:rPr>
        <w:t>Tabela 72:</w:t>
      </w:r>
      <w:r w:rsidRPr="00DE693E">
        <w:rPr>
          <w:rFonts w:asciiTheme="minorHAnsi" w:eastAsia="Times New Roman" w:hAnsiTheme="minorHAnsi" w:cstheme="minorHAnsi"/>
          <w:color w:val="auto"/>
          <w:szCs w:val="24"/>
          <w:lang w:eastAsia="en-GB"/>
        </w:rPr>
        <w:t xml:space="preserve"> Sadržaj PFOS-a u protivpožarnim pjenama iz skladišnih objekata i vatrogasnih vozila vatrogasnih jedinica.</w:t>
      </w:r>
    </w:p>
    <w:p w14:paraId="3D6437AD"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73.</w:t>
      </w:r>
      <w:r w:rsidRPr="00DE693E">
        <w:rPr>
          <w:rFonts w:asciiTheme="minorHAnsi" w:eastAsia="SimSun" w:hAnsiTheme="minorHAnsi" w:cstheme="minorHAnsi"/>
          <w:color w:val="auto"/>
          <w:szCs w:val="24"/>
        </w:rPr>
        <w:t xml:space="preserve"> Količine uvezenih sintetičkih tepiha za period 2017-2023 godina i procijenjene količine PFOS-a</w:t>
      </w:r>
    </w:p>
    <w:p w14:paraId="48B8BA91"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74.</w:t>
      </w:r>
      <w:r w:rsidRPr="00DE693E">
        <w:rPr>
          <w:rFonts w:asciiTheme="minorHAnsi" w:eastAsia="SimSun" w:hAnsiTheme="minorHAnsi" w:cstheme="minorHAnsi"/>
          <w:color w:val="auto"/>
          <w:szCs w:val="24"/>
        </w:rPr>
        <w:t xml:space="preserve"> Količine uvezenog presvučenog i impregniranog papira za period 2017-2023 godina kao i procijenjene količine PFOS-a</w:t>
      </w:r>
    </w:p>
    <w:p w14:paraId="71DA3AE5"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75.</w:t>
      </w:r>
      <w:r w:rsidRPr="00DE693E">
        <w:rPr>
          <w:rFonts w:asciiTheme="minorHAnsi" w:eastAsia="SimSun" w:hAnsiTheme="minorHAnsi" w:cstheme="minorHAnsi"/>
          <w:color w:val="auto"/>
          <w:szCs w:val="24"/>
        </w:rPr>
        <w:t xml:space="preserve"> Količine uvezenog impregniranog tekstila za period 2017-2023 godina kao i procijenjene količine PFOS-a</w:t>
      </w:r>
    </w:p>
    <w:p w14:paraId="5C124472"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76.</w:t>
      </w:r>
      <w:r w:rsidRPr="00DE693E">
        <w:rPr>
          <w:rFonts w:asciiTheme="minorHAnsi" w:eastAsia="SimSun" w:hAnsiTheme="minorHAnsi" w:cstheme="minorHAnsi"/>
          <w:color w:val="auto"/>
          <w:szCs w:val="24"/>
        </w:rPr>
        <w:t xml:space="preserve"> Količine uvezene impregnirane odjeće za period 2017-2023 godina kao i procijenjene količine PFOS-a</w:t>
      </w:r>
    </w:p>
    <w:p w14:paraId="43D8C0ED"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77.</w:t>
      </w:r>
      <w:r w:rsidRPr="00DE693E">
        <w:rPr>
          <w:rFonts w:asciiTheme="minorHAnsi" w:hAnsiTheme="minorHAnsi" w:cstheme="minorHAnsi"/>
          <w:color w:val="auto"/>
          <w:szCs w:val="24"/>
        </w:rPr>
        <w:t xml:space="preserve"> Generisane količine otpada po grupama otpada za period 2017-2022 godina</w:t>
      </w:r>
    </w:p>
    <w:p w14:paraId="6D6E1312"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lastRenderedPageBreak/>
        <w:t>Tabela 78.</w:t>
      </w:r>
      <w:r w:rsidRPr="00DE693E">
        <w:rPr>
          <w:rFonts w:asciiTheme="minorHAnsi" w:hAnsiTheme="minorHAnsi" w:cstheme="minorHAnsi"/>
          <w:color w:val="auto"/>
          <w:szCs w:val="24"/>
        </w:rPr>
        <w:t xml:space="preserve"> Potencijalni sadržaj PFOS u generisanom otpadnom papiru/kartonu za period 2017-2022 godina</w:t>
      </w:r>
    </w:p>
    <w:p w14:paraId="32DE849D"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79.</w:t>
      </w:r>
      <w:r w:rsidRPr="00DE693E">
        <w:rPr>
          <w:rFonts w:asciiTheme="minorHAnsi" w:hAnsiTheme="minorHAnsi" w:cstheme="minorHAnsi"/>
          <w:color w:val="auto"/>
          <w:szCs w:val="24"/>
        </w:rPr>
        <w:t xml:space="preserve"> Potencijalni sadržaj PFOS u generisanom otpadnom tekstilu za period 2017-2022 godina </w:t>
      </w:r>
    </w:p>
    <w:p w14:paraId="1D92443E"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80.</w:t>
      </w:r>
      <w:r w:rsidRPr="00DE693E">
        <w:rPr>
          <w:rFonts w:asciiTheme="minorHAnsi" w:hAnsiTheme="minorHAnsi" w:cstheme="minorHAnsi"/>
          <w:color w:val="auto"/>
          <w:szCs w:val="24"/>
        </w:rPr>
        <w:t xml:space="preserve"> Primjena PFOA i PFHxS </w:t>
      </w:r>
    </w:p>
    <w:p w14:paraId="0F50C3C3"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81:</w:t>
      </w:r>
      <w:r w:rsidRPr="00DE693E">
        <w:rPr>
          <w:rFonts w:asciiTheme="minorHAnsi" w:hAnsiTheme="minorHAnsi" w:cstheme="minorHAnsi"/>
          <w:color w:val="auto"/>
          <w:szCs w:val="24"/>
        </w:rPr>
        <w:t xml:space="preserve"> Uvrštavanje PFOA, njegovih soli i PFOA-sličnih jedinjenja u Stokholmsku konvenciju (SC-9/12).</w:t>
      </w:r>
    </w:p>
    <w:p w14:paraId="2872BD06"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82.</w:t>
      </w:r>
      <w:r w:rsidRPr="00DE693E">
        <w:rPr>
          <w:rFonts w:asciiTheme="minorHAnsi" w:eastAsia="SimSun" w:hAnsiTheme="minorHAnsi" w:cstheme="minorHAnsi"/>
          <w:color w:val="auto"/>
          <w:szCs w:val="24"/>
        </w:rPr>
        <w:t xml:space="preserve"> Pregled vatrogasnih jedinica koje posjeduju protivpožarne pjene, njene količine u skladištu, datum proizvodnje kao i tip pjene</w:t>
      </w:r>
    </w:p>
    <w:p w14:paraId="54CA56F6" w14:textId="77777777" w:rsidR="00033AB8" w:rsidRPr="00DE693E" w:rsidRDefault="00033AB8" w:rsidP="00033AB8">
      <w:pPr>
        <w:jc w:val="both"/>
        <w:rPr>
          <w:rFonts w:asciiTheme="minorHAnsi" w:eastAsia="Times New Roman" w:hAnsiTheme="minorHAnsi" w:cstheme="minorHAnsi"/>
          <w:color w:val="auto"/>
          <w:szCs w:val="24"/>
          <w:lang w:eastAsia="en-GB"/>
        </w:rPr>
      </w:pPr>
      <w:r w:rsidRPr="00DE693E">
        <w:rPr>
          <w:rFonts w:asciiTheme="minorHAnsi" w:eastAsia="Times New Roman" w:hAnsiTheme="minorHAnsi" w:cstheme="minorHAnsi"/>
          <w:b/>
          <w:bCs/>
          <w:color w:val="auto"/>
          <w:szCs w:val="24"/>
          <w:lang w:eastAsia="en-GB"/>
        </w:rPr>
        <w:t>Tabela 83:</w:t>
      </w:r>
      <w:r w:rsidRPr="00DE693E">
        <w:rPr>
          <w:rFonts w:asciiTheme="minorHAnsi" w:eastAsia="Times New Roman" w:hAnsiTheme="minorHAnsi" w:cstheme="minorHAnsi"/>
          <w:color w:val="auto"/>
          <w:szCs w:val="24"/>
          <w:lang w:eastAsia="en-GB"/>
        </w:rPr>
        <w:t xml:space="preserve"> Rezultati prisustva PFOA i PFHxS u protivpožarnim pjenama opštinskih službi zaštite i spašavanja.</w:t>
      </w:r>
    </w:p>
    <w:p w14:paraId="7176F5A7" w14:textId="77777777" w:rsidR="00033AB8" w:rsidRPr="00DE693E" w:rsidRDefault="00033AB8" w:rsidP="00033AB8">
      <w:pPr>
        <w:jc w:val="both"/>
        <w:rPr>
          <w:rFonts w:asciiTheme="minorHAnsi" w:eastAsia="Times New Roman" w:hAnsiTheme="minorHAnsi" w:cstheme="minorHAnsi"/>
          <w:color w:val="auto"/>
          <w:szCs w:val="24"/>
          <w:lang w:eastAsia="en-GB"/>
        </w:rPr>
      </w:pPr>
      <w:r w:rsidRPr="00DE693E">
        <w:rPr>
          <w:rFonts w:asciiTheme="minorHAnsi" w:eastAsia="Times New Roman" w:hAnsiTheme="minorHAnsi" w:cstheme="minorHAnsi"/>
          <w:b/>
          <w:bCs/>
          <w:color w:val="auto"/>
          <w:szCs w:val="24"/>
          <w:lang w:eastAsia="en-GB"/>
        </w:rPr>
        <w:t>Tabela 84:</w:t>
      </w:r>
      <w:r w:rsidRPr="00DE693E">
        <w:rPr>
          <w:rFonts w:asciiTheme="minorHAnsi" w:eastAsia="Times New Roman" w:hAnsiTheme="minorHAnsi" w:cstheme="minorHAnsi"/>
          <w:color w:val="auto"/>
          <w:szCs w:val="24"/>
          <w:lang w:eastAsia="en-GB"/>
        </w:rPr>
        <w:t xml:space="preserve"> Rezultati prisustva PFOA i PFHxS u protivpožarnim pjenama specijalizovanih vatrogasnih službi (Luke, Aerodromi, Industrija).</w:t>
      </w:r>
    </w:p>
    <w:p w14:paraId="7BBB0325" w14:textId="77777777" w:rsidR="00033AB8" w:rsidRPr="00DE693E" w:rsidRDefault="00033AB8" w:rsidP="00033AB8">
      <w:pPr>
        <w:jc w:val="both"/>
        <w:rPr>
          <w:rFonts w:asciiTheme="minorHAnsi" w:eastAsia="Times New Roman" w:hAnsiTheme="minorHAnsi" w:cstheme="minorHAnsi"/>
          <w:color w:val="auto"/>
          <w:szCs w:val="24"/>
          <w:lang w:eastAsia="en-GB"/>
        </w:rPr>
      </w:pPr>
      <w:r w:rsidRPr="00DE693E">
        <w:rPr>
          <w:rFonts w:asciiTheme="minorHAnsi" w:eastAsia="Times New Roman" w:hAnsiTheme="minorHAnsi" w:cstheme="minorHAnsi"/>
          <w:b/>
          <w:bCs/>
          <w:color w:val="auto"/>
          <w:szCs w:val="24"/>
          <w:lang w:eastAsia="en-GB"/>
        </w:rPr>
        <w:t>Tabela 85:</w:t>
      </w:r>
      <w:r w:rsidRPr="00DE693E">
        <w:rPr>
          <w:rFonts w:asciiTheme="minorHAnsi" w:eastAsia="Times New Roman" w:hAnsiTheme="minorHAnsi" w:cstheme="minorHAnsi"/>
          <w:color w:val="auto"/>
          <w:szCs w:val="24"/>
          <w:lang w:eastAsia="en-GB"/>
        </w:rPr>
        <w:t xml:space="preserve"> Pregled broja analiziranih uzoraka i uzoraka sa potvrđenim prisustvom PFOA i PFHxS</w:t>
      </w:r>
    </w:p>
    <w:p w14:paraId="5074AFD5" w14:textId="77777777" w:rsidR="00033AB8" w:rsidRPr="00DE693E" w:rsidRDefault="00033AB8" w:rsidP="00033AB8">
      <w:pPr>
        <w:jc w:val="both"/>
        <w:rPr>
          <w:rFonts w:asciiTheme="minorHAnsi" w:eastAsia="Times New Roman" w:hAnsiTheme="minorHAnsi" w:cstheme="minorHAnsi"/>
          <w:color w:val="auto"/>
          <w:szCs w:val="24"/>
          <w:lang w:eastAsia="en-GB"/>
        </w:rPr>
      </w:pPr>
      <w:r w:rsidRPr="00DE693E">
        <w:rPr>
          <w:rFonts w:asciiTheme="minorHAnsi" w:eastAsia="Times New Roman" w:hAnsiTheme="minorHAnsi" w:cstheme="minorHAnsi"/>
          <w:b/>
          <w:bCs/>
          <w:color w:val="auto"/>
          <w:szCs w:val="24"/>
          <w:lang w:eastAsia="en-GB"/>
        </w:rPr>
        <w:t>Tabela 86:</w:t>
      </w:r>
      <w:r w:rsidRPr="00DE693E">
        <w:rPr>
          <w:rFonts w:asciiTheme="minorHAnsi" w:eastAsia="Times New Roman" w:hAnsiTheme="minorHAnsi" w:cstheme="minorHAnsi"/>
          <w:color w:val="auto"/>
          <w:szCs w:val="24"/>
          <w:lang w:eastAsia="en-GB"/>
        </w:rPr>
        <w:t xml:space="preserve"> Sadržaj PFOA i PFHxS u protivpožarnim pjenama iz skladišnih objekata i vatrogasnih vozila vatrogasnih jedinica.</w:t>
      </w:r>
    </w:p>
    <w:p w14:paraId="278A4EEE"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87.</w:t>
      </w:r>
      <w:r w:rsidRPr="00DE693E">
        <w:rPr>
          <w:rFonts w:asciiTheme="minorHAnsi" w:eastAsia="SimSun" w:hAnsiTheme="minorHAnsi" w:cstheme="minorHAnsi"/>
          <w:color w:val="auto"/>
          <w:szCs w:val="24"/>
        </w:rPr>
        <w:t xml:space="preserve"> Količine uvezenih sintetičkih tepiha za period 2017-2023 godina i procijenjene količine PFOA</w:t>
      </w:r>
    </w:p>
    <w:p w14:paraId="0002BE0E"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88.</w:t>
      </w:r>
      <w:r w:rsidRPr="00DE693E">
        <w:rPr>
          <w:rFonts w:asciiTheme="minorHAnsi" w:eastAsia="SimSun" w:hAnsiTheme="minorHAnsi" w:cstheme="minorHAnsi"/>
          <w:color w:val="auto"/>
          <w:szCs w:val="24"/>
        </w:rPr>
        <w:t xml:space="preserve"> Količine uvezenog presvučenog i impregniranog papira za period 2017-2023 godina kao i procijenjene količine PFOA</w:t>
      </w:r>
    </w:p>
    <w:p w14:paraId="0441DE68"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89.</w:t>
      </w:r>
      <w:r w:rsidRPr="00DE693E">
        <w:rPr>
          <w:rFonts w:asciiTheme="minorHAnsi" w:eastAsia="SimSun" w:hAnsiTheme="minorHAnsi" w:cstheme="minorHAnsi"/>
          <w:color w:val="auto"/>
          <w:szCs w:val="24"/>
        </w:rPr>
        <w:t xml:space="preserve"> Količine uvezenog impregniranog tekstila za period 2017-2023 godina kao i procijenjene količine PFOA</w:t>
      </w:r>
    </w:p>
    <w:p w14:paraId="6DFDDB8D"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90.</w:t>
      </w:r>
      <w:r w:rsidRPr="00DE693E">
        <w:rPr>
          <w:rFonts w:asciiTheme="minorHAnsi" w:eastAsia="SimSun" w:hAnsiTheme="minorHAnsi" w:cstheme="minorHAnsi"/>
          <w:color w:val="auto"/>
          <w:szCs w:val="24"/>
        </w:rPr>
        <w:t xml:space="preserve"> Količine uvezene impregnirane odjeće za period 2017-2023 godina kao i procijenjene količine PFOA</w:t>
      </w:r>
    </w:p>
    <w:p w14:paraId="3EDC987F"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91.</w:t>
      </w:r>
      <w:r w:rsidRPr="00DE693E">
        <w:rPr>
          <w:rFonts w:asciiTheme="minorHAnsi" w:eastAsia="SimSun" w:hAnsiTheme="minorHAnsi" w:cstheme="minorHAnsi"/>
          <w:color w:val="auto"/>
          <w:szCs w:val="24"/>
        </w:rPr>
        <w:t xml:space="preserve"> Količine uvezenih sintetičkih tepiha za period 2017-2023 godina i procijenjene količine PFHxS</w:t>
      </w:r>
    </w:p>
    <w:p w14:paraId="2FD30CA4"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92.</w:t>
      </w:r>
      <w:r w:rsidRPr="00DE693E">
        <w:rPr>
          <w:rFonts w:asciiTheme="minorHAnsi" w:eastAsia="SimSun" w:hAnsiTheme="minorHAnsi" w:cstheme="minorHAnsi"/>
          <w:color w:val="auto"/>
          <w:szCs w:val="24"/>
        </w:rPr>
        <w:t xml:space="preserve"> Količine uvezenog impregniranog tekstila za period 2017-2023 godina kao i procijenjene količine PFHxS</w:t>
      </w:r>
    </w:p>
    <w:p w14:paraId="4E98B483" w14:textId="77777777" w:rsidR="00033AB8" w:rsidRPr="00DE693E" w:rsidRDefault="00033AB8" w:rsidP="00033AB8">
      <w:pPr>
        <w:jc w:val="both"/>
        <w:rPr>
          <w:rFonts w:asciiTheme="minorHAnsi" w:eastAsia="SimSun" w:hAnsiTheme="minorHAnsi" w:cstheme="minorHAnsi"/>
          <w:color w:val="auto"/>
          <w:szCs w:val="24"/>
        </w:rPr>
      </w:pPr>
      <w:r w:rsidRPr="00DE693E">
        <w:rPr>
          <w:rFonts w:asciiTheme="minorHAnsi" w:eastAsia="SimSun" w:hAnsiTheme="minorHAnsi" w:cstheme="minorHAnsi"/>
          <w:b/>
          <w:bCs/>
          <w:color w:val="auto"/>
          <w:szCs w:val="24"/>
        </w:rPr>
        <w:t>Tabela 93</w:t>
      </w:r>
      <w:r w:rsidRPr="00DE693E">
        <w:rPr>
          <w:rFonts w:asciiTheme="minorHAnsi" w:eastAsia="SimSun" w:hAnsiTheme="minorHAnsi" w:cstheme="minorHAnsi"/>
          <w:color w:val="auto"/>
          <w:szCs w:val="24"/>
        </w:rPr>
        <w:t>. Količine uvezene impregnirane odjeće za period 2017-2023 godina kao i procijenjene količine PFHxS</w:t>
      </w:r>
    </w:p>
    <w:p w14:paraId="5351E3A0"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94.</w:t>
      </w:r>
      <w:r w:rsidRPr="00DE693E">
        <w:rPr>
          <w:rFonts w:asciiTheme="minorHAnsi" w:hAnsiTheme="minorHAnsi" w:cstheme="minorHAnsi"/>
          <w:color w:val="auto"/>
          <w:szCs w:val="24"/>
        </w:rPr>
        <w:t xml:space="preserve"> Generisane količine otpada po grupama otpada za period 2017-2022 godina</w:t>
      </w:r>
    </w:p>
    <w:p w14:paraId="07964965"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95.</w:t>
      </w:r>
      <w:r w:rsidRPr="00DE693E">
        <w:rPr>
          <w:rFonts w:asciiTheme="minorHAnsi" w:hAnsiTheme="minorHAnsi" w:cstheme="minorHAnsi"/>
          <w:color w:val="auto"/>
          <w:szCs w:val="24"/>
        </w:rPr>
        <w:t xml:space="preserve"> Potencijalni sadržaj PFOA u generisanom otpadnom papiru/kartonu za period 2017-2022 godina</w:t>
      </w:r>
    </w:p>
    <w:p w14:paraId="2B8A5A1F" w14:textId="77777777" w:rsidR="00033AB8" w:rsidRPr="00DE693E"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96.</w:t>
      </w:r>
      <w:r w:rsidRPr="00DE693E">
        <w:rPr>
          <w:rFonts w:asciiTheme="minorHAnsi" w:hAnsiTheme="minorHAnsi" w:cstheme="minorHAnsi"/>
          <w:color w:val="auto"/>
          <w:szCs w:val="24"/>
        </w:rPr>
        <w:t xml:space="preserve"> Potencijalni sadržaj PFOA u generisanom otpadnom tekstilu za period 2017-2022 godina</w:t>
      </w:r>
    </w:p>
    <w:p w14:paraId="75B0141A" w14:textId="77777777" w:rsidR="00033AB8" w:rsidRDefault="00033AB8" w:rsidP="00033AB8">
      <w:pPr>
        <w:jc w:val="both"/>
        <w:rPr>
          <w:rFonts w:asciiTheme="minorHAnsi" w:hAnsiTheme="minorHAnsi" w:cstheme="minorHAnsi"/>
          <w:color w:val="auto"/>
          <w:szCs w:val="24"/>
        </w:rPr>
      </w:pPr>
      <w:r w:rsidRPr="00DE693E">
        <w:rPr>
          <w:rFonts w:asciiTheme="minorHAnsi" w:hAnsiTheme="minorHAnsi" w:cstheme="minorHAnsi"/>
          <w:b/>
          <w:bCs/>
          <w:color w:val="auto"/>
          <w:szCs w:val="24"/>
        </w:rPr>
        <w:t>Tabela 97.</w:t>
      </w:r>
      <w:r w:rsidRPr="00DE693E">
        <w:rPr>
          <w:rFonts w:asciiTheme="minorHAnsi" w:hAnsiTheme="minorHAnsi" w:cstheme="minorHAnsi"/>
          <w:color w:val="auto"/>
          <w:szCs w:val="24"/>
        </w:rPr>
        <w:t xml:space="preserve"> Potencijalni sadržaj PFHxS u generisanom otpadnom tekstilu za period 2017-2022 godina</w:t>
      </w:r>
    </w:p>
    <w:p w14:paraId="7F00162A"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t>Tabela 98.</w:t>
      </w:r>
      <w:r w:rsidRPr="00DE693E">
        <w:rPr>
          <w:rFonts w:asciiTheme="minorHAnsi" w:hAnsiTheme="minorHAnsi" w:cstheme="minorHAnsi"/>
          <w:bCs/>
          <w:szCs w:val="24"/>
        </w:rPr>
        <w:t xml:space="preserve"> Nazivi, sinonimi i CAS brojevi i odabrane karakteristike SCCP</w:t>
      </w:r>
    </w:p>
    <w:p w14:paraId="415F38AD"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t>Tabela 99</w:t>
      </w:r>
      <w:r w:rsidRPr="00DE693E">
        <w:rPr>
          <w:rFonts w:asciiTheme="minorHAnsi" w:hAnsiTheme="minorHAnsi" w:cstheme="minorHAnsi"/>
          <w:bCs/>
          <w:szCs w:val="24"/>
        </w:rPr>
        <w:t>.</w:t>
      </w:r>
      <w:r w:rsidRPr="00DE693E">
        <w:rPr>
          <w:rFonts w:asciiTheme="minorHAnsi" w:hAnsiTheme="minorHAnsi" w:cstheme="minorHAnsi"/>
          <w:szCs w:val="24"/>
        </w:rPr>
        <w:t xml:space="preserve"> </w:t>
      </w:r>
      <w:r w:rsidRPr="00DE693E">
        <w:rPr>
          <w:rFonts w:asciiTheme="minorHAnsi" w:hAnsiTheme="minorHAnsi" w:cstheme="minorHAnsi"/>
          <w:bCs/>
          <w:szCs w:val="24"/>
        </w:rPr>
        <w:t>Lista specifičnih izuzeća SCCP</w:t>
      </w:r>
    </w:p>
    <w:p w14:paraId="7D0E2294"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t>Tabela 100.</w:t>
      </w:r>
      <w:r w:rsidRPr="00DE693E">
        <w:rPr>
          <w:rFonts w:asciiTheme="minorHAnsi" w:hAnsiTheme="minorHAnsi" w:cstheme="minorHAnsi"/>
          <w:szCs w:val="24"/>
        </w:rPr>
        <w:t xml:space="preserve"> </w:t>
      </w:r>
      <w:r w:rsidRPr="00DE693E">
        <w:rPr>
          <w:rFonts w:asciiTheme="minorHAnsi" w:hAnsiTheme="minorHAnsi" w:cstheme="minorHAnsi"/>
          <w:bCs/>
          <w:szCs w:val="24"/>
        </w:rPr>
        <w:t>Proizvodi uvezeni iz Kine i njihovi HS kodovi</w:t>
      </w:r>
    </w:p>
    <w:p w14:paraId="225190E3"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t>Tabela 101.</w:t>
      </w:r>
      <w:r w:rsidRPr="00DE693E">
        <w:rPr>
          <w:rFonts w:asciiTheme="minorHAnsi" w:hAnsiTheme="minorHAnsi" w:cstheme="minorHAnsi"/>
          <w:szCs w:val="24"/>
        </w:rPr>
        <w:t xml:space="preserve"> </w:t>
      </w:r>
      <w:r w:rsidRPr="00DE693E">
        <w:rPr>
          <w:rFonts w:asciiTheme="minorHAnsi" w:hAnsiTheme="minorHAnsi" w:cstheme="minorHAnsi"/>
          <w:bCs/>
          <w:szCs w:val="24"/>
        </w:rPr>
        <w:t>Količine uvezenih gumenih proizvoda sa HS kodom 4008 za period 2017-2023 i procijenjene količine SCCP i MCCP</w:t>
      </w:r>
    </w:p>
    <w:p w14:paraId="2E301787"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t>Tabela 102.</w:t>
      </w:r>
      <w:r w:rsidRPr="00DE693E">
        <w:rPr>
          <w:rFonts w:asciiTheme="minorHAnsi" w:hAnsiTheme="minorHAnsi" w:cstheme="minorHAnsi"/>
          <w:szCs w:val="24"/>
        </w:rPr>
        <w:t xml:space="preserve"> </w:t>
      </w:r>
      <w:r w:rsidRPr="00DE693E">
        <w:rPr>
          <w:rFonts w:asciiTheme="minorHAnsi" w:hAnsiTheme="minorHAnsi" w:cstheme="minorHAnsi"/>
          <w:bCs/>
          <w:szCs w:val="24"/>
        </w:rPr>
        <w:t>Količine uvezenih proizvoda od gume sa HS kodom 4009 za period 2017-2023 i procijenjene količine SCCP i MCCP</w:t>
      </w:r>
    </w:p>
    <w:p w14:paraId="06035F54"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lastRenderedPageBreak/>
        <w:t>Tabela 103.</w:t>
      </w:r>
      <w:r w:rsidRPr="00DE693E">
        <w:rPr>
          <w:rFonts w:asciiTheme="minorHAnsi" w:hAnsiTheme="minorHAnsi" w:cstheme="minorHAnsi"/>
          <w:szCs w:val="24"/>
        </w:rPr>
        <w:t xml:space="preserve"> </w:t>
      </w:r>
      <w:r w:rsidRPr="00DE693E">
        <w:rPr>
          <w:rFonts w:asciiTheme="minorHAnsi" w:hAnsiTheme="minorHAnsi" w:cstheme="minorHAnsi"/>
          <w:bCs/>
          <w:szCs w:val="24"/>
        </w:rPr>
        <w:t>Količine uvezenih proizvoda od gume sa HS kodom 4010 za period 2017-2023 i procijenjene količine SCCP i MCCP</w:t>
      </w:r>
    </w:p>
    <w:p w14:paraId="4A6CBF5B"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t>Tabela 104.</w:t>
      </w:r>
      <w:r w:rsidRPr="00DE693E">
        <w:rPr>
          <w:rFonts w:asciiTheme="minorHAnsi" w:hAnsiTheme="minorHAnsi" w:cstheme="minorHAnsi"/>
          <w:bCs/>
          <w:szCs w:val="24"/>
        </w:rPr>
        <w:t xml:space="preserve"> Količine uvezenih gumenih proizvoda sa HS kodom 4015 za period 2017-2023 i procijenjene količine SCCP i MCCP</w:t>
      </w:r>
    </w:p>
    <w:p w14:paraId="48F5D57B"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t>Tabela 105</w:t>
      </w:r>
      <w:r w:rsidRPr="00DE693E">
        <w:rPr>
          <w:rFonts w:asciiTheme="minorHAnsi" w:hAnsiTheme="minorHAnsi" w:cstheme="minorHAnsi"/>
          <w:szCs w:val="24"/>
        </w:rPr>
        <w:t xml:space="preserve">. </w:t>
      </w:r>
      <w:r w:rsidRPr="00DE693E">
        <w:rPr>
          <w:rFonts w:asciiTheme="minorHAnsi" w:hAnsiTheme="minorHAnsi" w:cstheme="minorHAnsi"/>
          <w:bCs/>
          <w:szCs w:val="24"/>
        </w:rPr>
        <w:t>Količine uvezenih gumenih proizvoda sa HS kodom 4016 za period 2017-2023 i procijenjene količine SCCP i MCCP</w:t>
      </w:r>
    </w:p>
    <w:p w14:paraId="1A0BBE35" w14:textId="77777777" w:rsidR="00033AB8" w:rsidRDefault="00033AB8" w:rsidP="00033AB8">
      <w:pPr>
        <w:jc w:val="both"/>
        <w:rPr>
          <w:rFonts w:asciiTheme="minorHAnsi" w:hAnsiTheme="minorHAnsi" w:cstheme="minorHAnsi"/>
          <w:bCs/>
          <w:szCs w:val="24"/>
        </w:rPr>
      </w:pPr>
      <w:r w:rsidRPr="00DE693E">
        <w:rPr>
          <w:rFonts w:asciiTheme="minorHAnsi" w:hAnsiTheme="minorHAnsi" w:cstheme="minorHAnsi"/>
          <w:bCs/>
          <w:szCs w:val="24"/>
        </w:rPr>
        <w:t>T</w:t>
      </w:r>
      <w:r w:rsidRPr="00D85B0A">
        <w:rPr>
          <w:rFonts w:asciiTheme="minorHAnsi" w:hAnsiTheme="minorHAnsi" w:cstheme="minorHAnsi"/>
          <w:b/>
          <w:szCs w:val="24"/>
        </w:rPr>
        <w:t xml:space="preserve">abela 106. </w:t>
      </w:r>
      <w:r w:rsidRPr="00DE693E">
        <w:rPr>
          <w:rFonts w:asciiTheme="minorHAnsi" w:hAnsiTheme="minorHAnsi" w:cstheme="minorHAnsi"/>
          <w:bCs/>
          <w:szCs w:val="24"/>
        </w:rPr>
        <w:t>Količine uvezenih gumenih proizvoda sa HS kodom 3921120000 za period 2017-2023 i procijenjene količine SCCP i MCCP</w:t>
      </w:r>
    </w:p>
    <w:p w14:paraId="4F8CA7A8"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t xml:space="preserve">Tabela </w:t>
      </w:r>
      <w:r w:rsidRPr="00D85B0A">
        <w:rPr>
          <w:rFonts w:asciiTheme="minorHAnsi" w:hAnsiTheme="minorHAnsi" w:cstheme="minorHAnsi"/>
          <w:b/>
          <w:szCs w:val="24"/>
        </w:rPr>
        <w:fldChar w:fldCharType="begin"/>
      </w:r>
      <w:r w:rsidRPr="00D85B0A">
        <w:rPr>
          <w:rFonts w:asciiTheme="minorHAnsi" w:hAnsiTheme="minorHAnsi" w:cstheme="minorHAnsi"/>
          <w:b/>
          <w:szCs w:val="24"/>
        </w:rPr>
        <w:instrText xml:space="preserve"> SEQ Tabela \* ARABIC </w:instrText>
      </w:r>
      <w:r w:rsidRPr="00D85B0A">
        <w:rPr>
          <w:rFonts w:asciiTheme="minorHAnsi" w:hAnsiTheme="minorHAnsi" w:cstheme="minorHAnsi"/>
          <w:b/>
          <w:szCs w:val="24"/>
        </w:rPr>
        <w:fldChar w:fldCharType="separate"/>
      </w:r>
      <w:r w:rsidRPr="00D85B0A">
        <w:rPr>
          <w:rFonts w:asciiTheme="minorHAnsi" w:hAnsiTheme="minorHAnsi" w:cstheme="minorHAnsi"/>
          <w:b/>
          <w:noProof/>
          <w:szCs w:val="24"/>
        </w:rPr>
        <w:t>10</w:t>
      </w:r>
      <w:r w:rsidRPr="00D85B0A">
        <w:rPr>
          <w:rFonts w:asciiTheme="minorHAnsi" w:hAnsiTheme="minorHAnsi" w:cstheme="minorHAnsi"/>
          <w:b/>
          <w:szCs w:val="24"/>
        </w:rPr>
        <w:fldChar w:fldCharType="end"/>
      </w:r>
      <w:r w:rsidRPr="00D85B0A">
        <w:rPr>
          <w:rFonts w:asciiTheme="minorHAnsi" w:hAnsiTheme="minorHAnsi" w:cstheme="minorHAnsi"/>
          <w:b/>
          <w:szCs w:val="24"/>
        </w:rPr>
        <w:t>7.</w:t>
      </w:r>
      <w:r w:rsidRPr="00DE693E">
        <w:rPr>
          <w:rFonts w:asciiTheme="minorHAnsi" w:hAnsiTheme="minorHAnsi" w:cstheme="minorHAnsi"/>
          <w:szCs w:val="24"/>
        </w:rPr>
        <w:t xml:space="preserve"> </w:t>
      </w:r>
      <w:r w:rsidRPr="00DE693E">
        <w:rPr>
          <w:rFonts w:asciiTheme="minorHAnsi" w:hAnsiTheme="minorHAnsi" w:cstheme="minorHAnsi"/>
          <w:bCs/>
          <w:szCs w:val="24"/>
        </w:rPr>
        <w:t>Količine uvezenih PVC proizvoda sa HS kodom 3920499000 za period 2017-2023 i procijenjene količine SCCP i MCCP</w:t>
      </w:r>
    </w:p>
    <w:p w14:paraId="6208BEE8"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t>Tabela 108</w:t>
      </w:r>
      <w:r w:rsidRPr="00D85B0A">
        <w:rPr>
          <w:rFonts w:asciiTheme="minorHAnsi" w:hAnsiTheme="minorHAnsi" w:cstheme="minorHAnsi"/>
          <w:b/>
          <w:szCs w:val="24"/>
        </w:rPr>
        <w:fldChar w:fldCharType="begin"/>
      </w:r>
      <w:r w:rsidRPr="00D85B0A">
        <w:rPr>
          <w:rFonts w:asciiTheme="minorHAnsi" w:hAnsiTheme="minorHAnsi" w:cstheme="minorHAnsi"/>
          <w:b/>
          <w:szCs w:val="24"/>
        </w:rPr>
        <w:instrText xml:space="preserve"> SEQ Tabela \* ARABIC </w:instrText>
      </w:r>
      <w:r w:rsidRPr="00D85B0A">
        <w:rPr>
          <w:rFonts w:asciiTheme="minorHAnsi" w:hAnsiTheme="minorHAnsi" w:cstheme="minorHAnsi"/>
          <w:b/>
          <w:szCs w:val="24"/>
        </w:rPr>
        <w:fldChar w:fldCharType="end"/>
      </w:r>
      <w:r w:rsidRPr="00D85B0A">
        <w:rPr>
          <w:rFonts w:asciiTheme="minorHAnsi" w:hAnsiTheme="minorHAnsi" w:cstheme="minorHAnsi"/>
          <w:b/>
          <w:szCs w:val="24"/>
        </w:rPr>
        <w:t>.</w:t>
      </w:r>
      <w:r w:rsidRPr="00DE693E">
        <w:rPr>
          <w:rFonts w:asciiTheme="minorHAnsi" w:hAnsiTheme="minorHAnsi" w:cstheme="minorHAnsi"/>
          <w:szCs w:val="24"/>
        </w:rPr>
        <w:t xml:space="preserve"> </w:t>
      </w:r>
      <w:r w:rsidRPr="00DE693E">
        <w:rPr>
          <w:rFonts w:asciiTheme="minorHAnsi" w:hAnsiTheme="minorHAnsi" w:cstheme="minorHAnsi"/>
          <w:bCs/>
          <w:szCs w:val="24"/>
        </w:rPr>
        <w:t>Količine uvezenih PVC proizvoda sa HS kodom 3920491000 za period 2017-2023. i procenjene količine SCCP i MCCP</w:t>
      </w:r>
    </w:p>
    <w:p w14:paraId="0490B32F" w14:textId="77777777" w:rsidR="00033AB8" w:rsidRDefault="00033AB8" w:rsidP="00033AB8">
      <w:pPr>
        <w:jc w:val="both"/>
        <w:rPr>
          <w:rFonts w:asciiTheme="minorHAnsi" w:hAnsiTheme="minorHAnsi" w:cstheme="minorHAnsi"/>
          <w:bCs/>
          <w:szCs w:val="24"/>
        </w:rPr>
      </w:pPr>
      <w:r w:rsidRPr="00D85B0A">
        <w:rPr>
          <w:rFonts w:asciiTheme="minorHAnsi" w:hAnsiTheme="minorHAnsi" w:cstheme="minorHAnsi"/>
          <w:b/>
          <w:szCs w:val="24"/>
        </w:rPr>
        <w:t>Tabela 109.</w:t>
      </w:r>
      <w:r w:rsidRPr="00DE693E">
        <w:rPr>
          <w:rFonts w:asciiTheme="minorHAnsi" w:hAnsiTheme="minorHAnsi" w:cstheme="minorHAnsi"/>
          <w:szCs w:val="24"/>
        </w:rPr>
        <w:t xml:space="preserve"> </w:t>
      </w:r>
      <w:r w:rsidRPr="00DE693E">
        <w:rPr>
          <w:rFonts w:asciiTheme="minorHAnsi" w:hAnsiTheme="minorHAnsi" w:cstheme="minorHAnsi"/>
          <w:bCs/>
          <w:szCs w:val="24"/>
        </w:rPr>
        <w:t>Količine uvezenih PVC proizvoda sa HS kodom 3920439000 za period 2017-2023 i procenjene količine SCCP i MCCP</w:t>
      </w:r>
    </w:p>
    <w:p w14:paraId="3E36D0F1" w14:textId="77777777" w:rsidR="00033AB8" w:rsidRPr="00DE693E" w:rsidRDefault="00033AB8" w:rsidP="00033AB8">
      <w:pPr>
        <w:jc w:val="both"/>
        <w:rPr>
          <w:rFonts w:asciiTheme="minorHAnsi" w:hAnsiTheme="minorHAnsi" w:cstheme="minorHAnsi"/>
          <w:b/>
          <w:bCs/>
          <w:szCs w:val="24"/>
        </w:rPr>
      </w:pPr>
      <w:r w:rsidRPr="00D85B0A">
        <w:rPr>
          <w:rFonts w:asciiTheme="minorHAnsi" w:hAnsiTheme="minorHAnsi" w:cstheme="minorHAnsi"/>
          <w:b/>
          <w:szCs w:val="24"/>
        </w:rPr>
        <w:t>Tabela 110</w:t>
      </w:r>
      <w:r w:rsidRPr="00D85B0A">
        <w:rPr>
          <w:rFonts w:asciiTheme="minorHAnsi" w:hAnsiTheme="minorHAnsi" w:cstheme="minorHAnsi"/>
          <w:b/>
          <w:szCs w:val="24"/>
        </w:rPr>
        <w:fldChar w:fldCharType="begin"/>
      </w:r>
      <w:r w:rsidRPr="00D85B0A">
        <w:rPr>
          <w:rFonts w:asciiTheme="minorHAnsi" w:hAnsiTheme="minorHAnsi" w:cstheme="minorHAnsi"/>
          <w:b/>
          <w:szCs w:val="24"/>
        </w:rPr>
        <w:instrText xml:space="preserve"> SEQ Tabela \* ARABIC </w:instrText>
      </w:r>
      <w:r w:rsidRPr="00D85B0A">
        <w:rPr>
          <w:rFonts w:asciiTheme="minorHAnsi" w:hAnsiTheme="minorHAnsi" w:cstheme="minorHAnsi"/>
          <w:b/>
          <w:szCs w:val="24"/>
        </w:rPr>
        <w:fldChar w:fldCharType="end"/>
      </w:r>
      <w:r w:rsidRPr="00D85B0A">
        <w:rPr>
          <w:rFonts w:asciiTheme="minorHAnsi" w:hAnsiTheme="minorHAnsi" w:cstheme="minorHAnsi"/>
          <w:b/>
          <w:szCs w:val="24"/>
        </w:rPr>
        <w:t>.</w:t>
      </w:r>
      <w:r w:rsidRPr="00DE693E">
        <w:rPr>
          <w:rFonts w:asciiTheme="minorHAnsi" w:hAnsiTheme="minorHAnsi" w:cstheme="minorHAnsi"/>
          <w:szCs w:val="24"/>
        </w:rPr>
        <w:t xml:space="preserve"> </w:t>
      </w:r>
      <w:r w:rsidRPr="00DE693E">
        <w:rPr>
          <w:rFonts w:asciiTheme="minorHAnsi" w:hAnsiTheme="minorHAnsi" w:cstheme="minorHAnsi"/>
          <w:bCs/>
          <w:szCs w:val="24"/>
        </w:rPr>
        <w:t>Količine uvezenih PVC proizvoda sa HS kodom 3920431000 za period 2017-2023. i procenjene količine SCCP i MCCP</w:t>
      </w:r>
    </w:p>
    <w:p w14:paraId="57FA703C" w14:textId="77777777" w:rsidR="00033AB8" w:rsidRPr="00DE693E" w:rsidRDefault="00033AB8" w:rsidP="00033AB8">
      <w:pPr>
        <w:rPr>
          <w:rFonts w:asciiTheme="minorHAnsi" w:hAnsiTheme="minorHAnsi" w:cstheme="minorHAnsi"/>
          <w:bCs/>
          <w:szCs w:val="24"/>
        </w:rPr>
      </w:pPr>
      <w:r w:rsidRPr="00DE693E">
        <w:rPr>
          <w:rFonts w:asciiTheme="minorHAnsi" w:hAnsiTheme="minorHAnsi" w:cstheme="minorHAnsi"/>
          <w:b/>
          <w:szCs w:val="24"/>
        </w:rPr>
        <w:t xml:space="preserve">Tabela </w:t>
      </w:r>
      <w:r w:rsidRPr="00DE693E">
        <w:rPr>
          <w:rFonts w:asciiTheme="minorHAnsi" w:hAnsiTheme="minorHAnsi" w:cstheme="minorHAnsi"/>
          <w:b/>
          <w:szCs w:val="24"/>
        </w:rPr>
        <w:fldChar w:fldCharType="begin"/>
      </w:r>
      <w:r w:rsidRPr="00DE693E">
        <w:rPr>
          <w:rFonts w:asciiTheme="minorHAnsi" w:hAnsiTheme="minorHAnsi" w:cstheme="minorHAnsi"/>
          <w:b/>
          <w:szCs w:val="24"/>
        </w:rPr>
        <w:instrText xml:space="preserve"> SEQ Tabela \* ARABIC </w:instrText>
      </w:r>
      <w:r w:rsidRPr="00DE693E">
        <w:rPr>
          <w:rFonts w:asciiTheme="minorHAnsi" w:hAnsiTheme="minorHAnsi" w:cstheme="minorHAnsi"/>
          <w:b/>
          <w:szCs w:val="24"/>
        </w:rPr>
        <w:fldChar w:fldCharType="separate"/>
      </w:r>
      <w:r w:rsidRPr="00DE693E">
        <w:rPr>
          <w:rFonts w:asciiTheme="minorHAnsi" w:hAnsiTheme="minorHAnsi" w:cstheme="minorHAnsi"/>
          <w:b/>
          <w:noProof/>
          <w:szCs w:val="24"/>
        </w:rPr>
        <w:t>111</w:t>
      </w:r>
      <w:r w:rsidRPr="00DE693E">
        <w:rPr>
          <w:rFonts w:asciiTheme="minorHAnsi" w:hAnsiTheme="minorHAnsi" w:cstheme="minorHAnsi"/>
          <w:b/>
          <w:szCs w:val="24"/>
        </w:rPr>
        <w:fldChar w:fldCharType="end"/>
      </w:r>
      <w:r w:rsidRPr="00DE693E">
        <w:rPr>
          <w:rFonts w:asciiTheme="minorHAnsi" w:hAnsiTheme="minorHAnsi" w:cstheme="minorHAnsi"/>
          <w:b/>
          <w:szCs w:val="24"/>
        </w:rPr>
        <w:t>.</w:t>
      </w:r>
      <w:r w:rsidRPr="00DE693E">
        <w:rPr>
          <w:rFonts w:asciiTheme="minorHAnsi" w:hAnsiTheme="minorHAnsi" w:cstheme="minorHAnsi"/>
          <w:bCs/>
          <w:szCs w:val="24"/>
        </w:rPr>
        <w:t xml:space="preserve"> Količine uvezenih PVC proizvoda sa HS kodom 3904220000 za period 2017-2023 i procijenjene količine SCCP i MCCP</w:t>
      </w:r>
    </w:p>
    <w:p w14:paraId="3DB0A0F6" w14:textId="77777777" w:rsidR="00033AB8" w:rsidRDefault="00033AB8" w:rsidP="00033AB8">
      <w:pPr>
        <w:pStyle w:val="Caption"/>
        <w:spacing w:after="0"/>
        <w:rPr>
          <w:rFonts w:cstheme="minorHAnsi"/>
          <w:b w:val="0"/>
          <w:bCs/>
          <w:sz w:val="24"/>
          <w:szCs w:val="24"/>
        </w:rPr>
      </w:pPr>
      <w:r w:rsidRPr="00DE693E">
        <w:rPr>
          <w:rFonts w:cstheme="minorHAnsi"/>
          <w:bCs/>
          <w:sz w:val="24"/>
          <w:szCs w:val="24"/>
        </w:rPr>
        <w:t xml:space="preserve">Tabela </w:t>
      </w:r>
      <w:r w:rsidRPr="00DE693E">
        <w:rPr>
          <w:rFonts w:cstheme="minorHAnsi"/>
          <w:b w:val="0"/>
          <w:bCs/>
          <w:sz w:val="24"/>
          <w:szCs w:val="24"/>
        </w:rPr>
        <w:fldChar w:fldCharType="begin"/>
      </w:r>
      <w:r w:rsidRPr="00DE693E">
        <w:rPr>
          <w:rFonts w:cstheme="minorHAnsi"/>
          <w:bCs/>
          <w:sz w:val="24"/>
          <w:szCs w:val="24"/>
        </w:rPr>
        <w:instrText xml:space="preserve"> SEQ Tabela \* ARABIC </w:instrText>
      </w:r>
      <w:r w:rsidRPr="00DE693E">
        <w:rPr>
          <w:rFonts w:cstheme="minorHAnsi"/>
          <w:b w:val="0"/>
          <w:bCs/>
          <w:sz w:val="24"/>
          <w:szCs w:val="24"/>
        </w:rPr>
        <w:fldChar w:fldCharType="separate"/>
      </w:r>
      <w:r w:rsidRPr="00DE693E">
        <w:rPr>
          <w:rFonts w:cstheme="minorHAnsi"/>
          <w:bCs/>
          <w:noProof/>
          <w:sz w:val="24"/>
          <w:szCs w:val="24"/>
        </w:rPr>
        <w:t>1</w:t>
      </w:r>
      <w:r w:rsidRPr="00DE693E">
        <w:rPr>
          <w:rFonts w:cstheme="minorHAnsi"/>
          <w:b w:val="0"/>
          <w:bCs/>
          <w:sz w:val="24"/>
          <w:szCs w:val="24"/>
        </w:rPr>
        <w:fldChar w:fldCharType="end"/>
      </w:r>
      <w:r w:rsidRPr="00DE693E">
        <w:rPr>
          <w:rFonts w:cstheme="minorHAnsi"/>
          <w:sz w:val="24"/>
          <w:szCs w:val="24"/>
        </w:rPr>
        <w:t>12</w:t>
      </w:r>
      <w:r w:rsidRPr="00DE693E">
        <w:rPr>
          <w:rFonts w:cstheme="minorHAnsi"/>
          <w:bCs/>
          <w:sz w:val="24"/>
          <w:szCs w:val="24"/>
        </w:rPr>
        <w:t>.</w:t>
      </w:r>
      <w:r w:rsidRPr="00DE693E">
        <w:rPr>
          <w:rFonts w:cstheme="minorHAnsi"/>
          <w:sz w:val="24"/>
          <w:szCs w:val="24"/>
        </w:rPr>
        <w:t xml:space="preserve"> </w:t>
      </w:r>
      <w:r w:rsidRPr="00DE693E">
        <w:rPr>
          <w:rFonts w:cstheme="minorHAnsi"/>
          <w:b w:val="0"/>
          <w:bCs/>
          <w:sz w:val="24"/>
          <w:szCs w:val="24"/>
        </w:rPr>
        <w:t>Količine uvezenih PVC proizvoda sa HS kodom 3918101000 za period 2017-2023 i procenjene količine SCCP i MCCP</w:t>
      </w:r>
    </w:p>
    <w:p w14:paraId="3C1BDE2D" w14:textId="77777777" w:rsidR="00033AB8" w:rsidRPr="00DE693E" w:rsidRDefault="00033AB8" w:rsidP="00033AB8">
      <w:pPr>
        <w:pStyle w:val="Caption"/>
        <w:spacing w:after="0"/>
        <w:rPr>
          <w:rFonts w:cstheme="minorHAnsi"/>
          <w:sz w:val="24"/>
          <w:szCs w:val="24"/>
        </w:rPr>
      </w:pPr>
      <w:r w:rsidRPr="00DE693E">
        <w:rPr>
          <w:rFonts w:cstheme="minorHAnsi"/>
          <w:bCs/>
          <w:sz w:val="24"/>
          <w:szCs w:val="24"/>
        </w:rPr>
        <w:t>Tabela 113</w:t>
      </w:r>
      <w:r w:rsidRPr="00DE693E">
        <w:rPr>
          <w:rFonts w:cstheme="minorHAnsi"/>
          <w:b w:val="0"/>
          <w:bCs/>
          <w:sz w:val="24"/>
          <w:szCs w:val="24"/>
        </w:rPr>
        <w:fldChar w:fldCharType="begin"/>
      </w:r>
      <w:r w:rsidRPr="00DE693E">
        <w:rPr>
          <w:rFonts w:cstheme="minorHAnsi"/>
          <w:bCs/>
          <w:sz w:val="24"/>
          <w:szCs w:val="24"/>
        </w:rPr>
        <w:instrText xml:space="preserve"> SEQ Tabela \* ARABIC </w:instrText>
      </w:r>
      <w:r w:rsidRPr="00DE693E">
        <w:rPr>
          <w:rFonts w:cstheme="minorHAnsi"/>
          <w:b w:val="0"/>
          <w:bCs/>
          <w:sz w:val="24"/>
          <w:szCs w:val="24"/>
        </w:rPr>
        <w:fldChar w:fldCharType="end"/>
      </w:r>
      <w:r w:rsidRPr="00DE693E">
        <w:rPr>
          <w:rFonts w:cstheme="minorHAnsi"/>
          <w:bCs/>
          <w:sz w:val="24"/>
          <w:szCs w:val="24"/>
        </w:rPr>
        <w:t>.</w:t>
      </w:r>
      <w:r w:rsidRPr="00DE693E">
        <w:rPr>
          <w:rFonts w:cstheme="minorHAnsi"/>
          <w:sz w:val="24"/>
          <w:szCs w:val="24"/>
        </w:rPr>
        <w:t xml:space="preserve"> </w:t>
      </w:r>
      <w:r w:rsidRPr="00DE693E">
        <w:rPr>
          <w:rFonts w:cstheme="minorHAnsi"/>
          <w:b w:val="0"/>
          <w:bCs/>
          <w:sz w:val="24"/>
          <w:szCs w:val="24"/>
        </w:rPr>
        <w:t>Količine uvezenih adhezivnih PUR pjena za period 2017-2023 i procenjene količine SCCP i MCCP</w:t>
      </w:r>
    </w:p>
    <w:p w14:paraId="142731E7" w14:textId="77777777" w:rsidR="00033AB8" w:rsidRPr="00DE693E" w:rsidRDefault="00033AB8" w:rsidP="00033AB8">
      <w:pPr>
        <w:rPr>
          <w:rFonts w:asciiTheme="minorHAnsi" w:hAnsiTheme="minorHAnsi" w:cstheme="minorHAnsi"/>
          <w:color w:val="auto"/>
          <w:szCs w:val="24"/>
          <w:lang w:val="sr-Latn-ME"/>
        </w:rPr>
      </w:pPr>
      <w:r w:rsidRPr="00DE693E">
        <w:rPr>
          <w:rFonts w:asciiTheme="minorHAnsi" w:hAnsiTheme="minorHAnsi" w:cstheme="minorHAnsi"/>
          <w:b/>
          <w:bCs/>
          <w:color w:val="auto"/>
          <w:szCs w:val="24"/>
          <w:lang w:val="sr-Latn-ME"/>
        </w:rPr>
        <w:t xml:space="preserve">Tabela 114. </w:t>
      </w:r>
      <w:r w:rsidRPr="00DE693E">
        <w:rPr>
          <w:rFonts w:asciiTheme="minorHAnsi" w:hAnsiTheme="minorHAnsi" w:cstheme="minorHAnsi"/>
          <w:color w:val="auto"/>
          <w:szCs w:val="24"/>
          <w:lang w:val="sr-Latn-ME"/>
        </w:rPr>
        <w:t>Količine SCCP u otpadu od elektronske i električne opreme na osnovu predloženog faktora uticaja od 25 mg/kg</w:t>
      </w:r>
    </w:p>
    <w:p w14:paraId="3EB21E52" w14:textId="77777777" w:rsidR="00033AB8" w:rsidRPr="00DE693E" w:rsidRDefault="00033AB8" w:rsidP="00033AB8">
      <w:pPr>
        <w:rPr>
          <w:rFonts w:asciiTheme="minorHAnsi" w:hAnsiTheme="minorHAnsi" w:cstheme="minorHAnsi"/>
          <w:color w:val="auto"/>
          <w:szCs w:val="24"/>
          <w:lang w:val="sr-Latn-ME"/>
        </w:rPr>
      </w:pPr>
      <w:r w:rsidRPr="00DE693E">
        <w:rPr>
          <w:rFonts w:asciiTheme="minorHAnsi" w:hAnsiTheme="minorHAnsi" w:cstheme="minorHAnsi"/>
          <w:b/>
          <w:bCs/>
          <w:color w:val="auto"/>
          <w:szCs w:val="24"/>
          <w:lang w:val="sr-Latn-ME"/>
        </w:rPr>
        <w:t>Tabela 115</w:t>
      </w:r>
      <w:r w:rsidRPr="00DE693E">
        <w:rPr>
          <w:rFonts w:asciiTheme="minorHAnsi" w:hAnsiTheme="minorHAnsi" w:cstheme="minorHAnsi"/>
          <w:color w:val="auto"/>
          <w:szCs w:val="24"/>
          <w:lang w:val="sr-Latn-ME"/>
        </w:rPr>
        <w:t>. Količina SCCP u vozilima u upotrebi bazirano na aproksimaciji od 2,4 g po vozilu</w:t>
      </w:r>
    </w:p>
    <w:p w14:paraId="5241FA7E" w14:textId="77777777" w:rsidR="00033AB8" w:rsidRPr="00DE693E" w:rsidRDefault="00033AB8" w:rsidP="00033AB8">
      <w:pPr>
        <w:rPr>
          <w:rFonts w:asciiTheme="minorHAnsi" w:hAnsiTheme="minorHAnsi" w:cstheme="minorHAnsi"/>
          <w:color w:val="auto"/>
          <w:szCs w:val="24"/>
          <w:lang w:val="sr-Latn-ME"/>
        </w:rPr>
      </w:pPr>
      <w:r w:rsidRPr="00DE693E">
        <w:rPr>
          <w:rFonts w:asciiTheme="minorHAnsi" w:hAnsiTheme="minorHAnsi" w:cstheme="minorHAnsi"/>
          <w:b/>
          <w:bCs/>
          <w:color w:val="auto"/>
          <w:szCs w:val="24"/>
          <w:lang w:val="sr-Latn-ME"/>
        </w:rPr>
        <w:t>Tabela 116</w:t>
      </w:r>
      <w:r w:rsidRPr="00DE693E">
        <w:rPr>
          <w:rFonts w:asciiTheme="minorHAnsi" w:hAnsiTheme="minorHAnsi" w:cstheme="minorHAnsi"/>
          <w:color w:val="auto"/>
          <w:szCs w:val="24"/>
          <w:lang w:val="sr-Latn-ME"/>
        </w:rPr>
        <w:t>. Količina SCCP u uvezenim vozilima bazirano na aproksimaciji od 2,4 g po vozilu</w:t>
      </w:r>
    </w:p>
    <w:p w14:paraId="48339149" w14:textId="77777777" w:rsidR="00033AB8" w:rsidRPr="00DE693E" w:rsidRDefault="00033AB8" w:rsidP="00033AB8">
      <w:pPr>
        <w:jc w:val="both"/>
        <w:rPr>
          <w:rFonts w:asciiTheme="minorHAnsi" w:hAnsiTheme="minorHAnsi" w:cstheme="minorHAnsi"/>
          <w:szCs w:val="24"/>
        </w:rPr>
      </w:pPr>
      <w:r w:rsidRPr="00DE693E">
        <w:rPr>
          <w:rFonts w:asciiTheme="minorHAnsi" w:hAnsiTheme="minorHAnsi" w:cstheme="minorHAnsi"/>
          <w:b/>
          <w:bCs/>
          <w:szCs w:val="24"/>
        </w:rPr>
        <w:t>Tabela 117.</w:t>
      </w:r>
      <w:r w:rsidRPr="00DE693E">
        <w:rPr>
          <w:rFonts w:asciiTheme="minorHAnsi" w:hAnsiTheme="minorHAnsi" w:cstheme="minorHAnsi"/>
          <w:szCs w:val="24"/>
        </w:rPr>
        <w:t xml:space="preserve"> Sažeti rezultati za POPs – monitoring zemljišta</w:t>
      </w:r>
    </w:p>
    <w:p w14:paraId="7D596B5E" w14:textId="77777777" w:rsidR="00033AB8" w:rsidRPr="00DE693E" w:rsidRDefault="00033AB8" w:rsidP="00033AB8">
      <w:pPr>
        <w:jc w:val="both"/>
        <w:rPr>
          <w:rFonts w:asciiTheme="minorHAnsi" w:hAnsiTheme="minorHAnsi" w:cstheme="minorHAnsi"/>
          <w:szCs w:val="24"/>
        </w:rPr>
      </w:pPr>
      <w:r w:rsidRPr="00DE693E">
        <w:rPr>
          <w:rFonts w:asciiTheme="minorHAnsi" w:hAnsiTheme="minorHAnsi" w:cstheme="minorHAnsi"/>
          <w:b/>
          <w:bCs/>
          <w:szCs w:val="24"/>
        </w:rPr>
        <w:t>Tabela 118</w:t>
      </w:r>
      <w:r w:rsidRPr="00DE693E">
        <w:rPr>
          <w:rFonts w:asciiTheme="minorHAnsi" w:hAnsiTheme="minorHAnsi" w:cstheme="minorHAnsi"/>
          <w:szCs w:val="24"/>
        </w:rPr>
        <w:t>. Pregled – Monitoring POPs-a u vodi, sedimentu i bioti</w:t>
      </w:r>
    </w:p>
    <w:p w14:paraId="6A78EAC9" w14:textId="77777777" w:rsidR="00033AB8" w:rsidRPr="00DE693E" w:rsidRDefault="00033AB8" w:rsidP="00033AB8">
      <w:pPr>
        <w:rPr>
          <w:rFonts w:asciiTheme="minorHAnsi" w:hAnsiTheme="minorHAnsi" w:cstheme="minorHAnsi"/>
          <w:szCs w:val="24"/>
        </w:rPr>
      </w:pPr>
      <w:r w:rsidRPr="00DE693E">
        <w:rPr>
          <w:rFonts w:asciiTheme="minorHAnsi" w:hAnsiTheme="minorHAnsi" w:cstheme="minorHAnsi"/>
          <w:b/>
          <w:bCs/>
          <w:szCs w:val="24"/>
        </w:rPr>
        <w:t xml:space="preserve">Tabela 119. </w:t>
      </w:r>
      <w:r w:rsidRPr="00DE693E">
        <w:rPr>
          <w:rFonts w:asciiTheme="minorHAnsi" w:hAnsiTheme="minorHAnsi" w:cstheme="minorHAnsi"/>
          <w:szCs w:val="24"/>
        </w:rPr>
        <w:t>Pregled – Ekološko stanje po regionima</w:t>
      </w:r>
    </w:p>
    <w:p w14:paraId="3BD401C1" w14:textId="77777777" w:rsidR="00033AB8" w:rsidRPr="00DE693E" w:rsidRDefault="00033AB8" w:rsidP="00033AB8">
      <w:pPr>
        <w:jc w:val="both"/>
        <w:rPr>
          <w:rFonts w:asciiTheme="minorHAnsi" w:hAnsiTheme="minorHAnsi" w:cstheme="minorHAnsi"/>
          <w:b/>
          <w:bCs/>
          <w:szCs w:val="24"/>
        </w:rPr>
      </w:pPr>
      <w:r w:rsidRPr="00DE693E">
        <w:rPr>
          <w:rFonts w:asciiTheme="minorHAnsi" w:hAnsiTheme="minorHAnsi" w:cstheme="minorHAnsi"/>
          <w:b/>
          <w:bCs/>
          <w:szCs w:val="24"/>
        </w:rPr>
        <w:t xml:space="preserve">Tabela 120. </w:t>
      </w:r>
      <w:r w:rsidRPr="00DE693E">
        <w:rPr>
          <w:rFonts w:asciiTheme="minorHAnsi" w:hAnsiTheme="minorHAnsi" w:cstheme="minorHAnsi"/>
          <w:szCs w:val="24"/>
        </w:rPr>
        <w:t>Prikaz aktivnosti po supstancama i horizontalnim temama</w:t>
      </w:r>
    </w:p>
    <w:p w14:paraId="4F540FB2" w14:textId="77777777" w:rsidR="00033AB8" w:rsidRPr="00DE693E" w:rsidRDefault="00033AB8" w:rsidP="00033AB8">
      <w:pPr>
        <w:pStyle w:val="Grafikon"/>
        <w:numPr>
          <w:ilvl w:val="0"/>
          <w:numId w:val="0"/>
        </w:numPr>
        <w:spacing w:after="0"/>
        <w:jc w:val="left"/>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t>Grafik 1.</w:t>
      </w:r>
      <w:r w:rsidRPr="00DE693E">
        <w:rPr>
          <w:rFonts w:asciiTheme="minorHAnsi" w:hAnsiTheme="minorHAnsi" w:cstheme="minorHAnsi"/>
          <w:sz w:val="24"/>
          <w:lang w:val="sr-Latn-RS"/>
        </w:rPr>
        <w:t xml:space="preserve"> </w:t>
      </w:r>
      <w:r w:rsidRPr="00DE693E">
        <w:rPr>
          <w:rFonts w:asciiTheme="minorHAnsi" w:hAnsiTheme="minorHAnsi" w:cstheme="minorHAnsi"/>
          <w:i w:val="0"/>
          <w:iCs/>
          <w:sz w:val="24"/>
          <w:lang w:val="sr-Latn-RS"/>
        </w:rPr>
        <w:t>Ukupne godišnje emisije dioksina i furana (PCDD/PCDF), 2006-2022. godina (gTEQ)</w:t>
      </w:r>
    </w:p>
    <w:p w14:paraId="66EAFD8C" w14:textId="77777777" w:rsidR="00033AB8" w:rsidRPr="00DE693E" w:rsidRDefault="00033AB8" w:rsidP="00033AB8">
      <w:pPr>
        <w:pStyle w:val="Grafikon"/>
        <w:numPr>
          <w:ilvl w:val="0"/>
          <w:numId w:val="0"/>
        </w:numPr>
        <w:spacing w:after="0"/>
        <w:jc w:val="left"/>
        <w:rPr>
          <w:rFonts w:asciiTheme="minorHAnsi" w:hAnsiTheme="minorHAnsi" w:cstheme="minorHAnsi"/>
          <w:i w:val="0"/>
          <w:iCs/>
          <w:sz w:val="24"/>
          <w:lang w:val="sr-Latn-RS"/>
        </w:rPr>
      </w:pPr>
      <w:r w:rsidRPr="00DE693E">
        <w:rPr>
          <w:rFonts w:asciiTheme="minorHAnsi" w:hAnsiTheme="minorHAnsi" w:cstheme="minorHAnsi"/>
          <w:b/>
          <w:bCs/>
          <w:i w:val="0"/>
          <w:iCs/>
          <w:sz w:val="24"/>
          <w:lang w:val="sr-Latn-RS"/>
        </w:rPr>
        <w:t>Grafik 2.</w:t>
      </w:r>
      <w:r w:rsidRPr="00DE693E">
        <w:rPr>
          <w:rFonts w:asciiTheme="minorHAnsi" w:hAnsiTheme="minorHAnsi" w:cstheme="minorHAnsi"/>
          <w:i w:val="0"/>
          <w:iCs/>
          <w:sz w:val="24"/>
          <w:lang w:val="sr-Latn-RS"/>
        </w:rPr>
        <w:t xml:space="preserve"> Ukupne godišnje emisije dioksina i furana (PCDD/PCDF) u vazduh, vodu, zemljište, proizvode i ostatke od proizvodnih procesa, 2006-2022. godina (gTEQ/god)</w:t>
      </w:r>
    </w:p>
    <w:p w14:paraId="600DD48D" w14:textId="77777777" w:rsidR="00033AB8" w:rsidRPr="00DE693E" w:rsidRDefault="00033AB8" w:rsidP="00033AB8">
      <w:pPr>
        <w:pStyle w:val="Text"/>
        <w:tabs>
          <w:tab w:val="left" w:pos="3510"/>
        </w:tabs>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rPr>
        <w:t>Grafik 3.</w:t>
      </w:r>
      <w:r w:rsidRPr="00DE693E">
        <w:rPr>
          <w:rFonts w:asciiTheme="minorHAnsi" w:hAnsiTheme="minorHAnsi" w:cstheme="minorHAnsi"/>
          <w:sz w:val="24"/>
          <w:szCs w:val="24"/>
        </w:rPr>
        <w:t xml:space="preserve"> Rezultati ankete o CRT TV u 2024</w:t>
      </w:r>
    </w:p>
    <w:p w14:paraId="0DA00642" w14:textId="77777777" w:rsidR="00033AB8" w:rsidRPr="00DE693E" w:rsidRDefault="00033AB8" w:rsidP="00033AB8">
      <w:pPr>
        <w:pStyle w:val="Text"/>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rPr>
        <w:t>Grafik 4.</w:t>
      </w:r>
      <w:r w:rsidRPr="00DE693E">
        <w:rPr>
          <w:rFonts w:asciiTheme="minorHAnsi" w:hAnsiTheme="minorHAnsi" w:cstheme="minorHAnsi"/>
          <w:sz w:val="24"/>
          <w:szCs w:val="24"/>
        </w:rPr>
        <w:t xml:space="preserve"> Rezultati ankete o CRT monitorima u 2024</w:t>
      </w:r>
    </w:p>
    <w:p w14:paraId="4F1CCE12" w14:textId="77777777" w:rsidR="00033AB8" w:rsidRPr="00DE693E" w:rsidRDefault="00033AB8" w:rsidP="00033AB8">
      <w:pPr>
        <w:pStyle w:val="Text"/>
        <w:spacing w:after="0" w:line="240" w:lineRule="auto"/>
        <w:rPr>
          <w:rFonts w:asciiTheme="minorHAnsi" w:hAnsiTheme="minorHAnsi" w:cstheme="minorHAnsi"/>
          <w:b/>
          <w:bCs/>
          <w:sz w:val="24"/>
          <w:szCs w:val="24"/>
        </w:rPr>
      </w:pPr>
      <w:r w:rsidRPr="00DE693E">
        <w:rPr>
          <w:rFonts w:asciiTheme="minorHAnsi" w:hAnsiTheme="minorHAnsi" w:cstheme="minorHAnsi"/>
          <w:b/>
          <w:bCs/>
          <w:sz w:val="24"/>
          <w:szCs w:val="24"/>
        </w:rPr>
        <w:t>Grafik 5.</w:t>
      </w:r>
      <w:r w:rsidRPr="00DE693E">
        <w:rPr>
          <w:rFonts w:asciiTheme="minorHAnsi" w:hAnsiTheme="minorHAnsi" w:cstheme="minorHAnsi"/>
          <w:color w:val="auto"/>
          <w:sz w:val="24"/>
          <w:szCs w:val="24"/>
        </w:rPr>
        <w:t xml:space="preserve"> Sadržaj PBDE u CRT televizorima u upotrebi, na zalihama i u CRT monitorima</w:t>
      </w:r>
    </w:p>
    <w:p w14:paraId="1F1A55F1" w14:textId="77777777" w:rsidR="00033AB8" w:rsidRPr="00DE693E" w:rsidRDefault="00033AB8" w:rsidP="00033AB8">
      <w:pPr>
        <w:rPr>
          <w:rFonts w:asciiTheme="minorHAnsi" w:hAnsiTheme="minorHAnsi" w:cstheme="minorHAnsi"/>
          <w:szCs w:val="24"/>
        </w:rPr>
      </w:pPr>
      <w:r w:rsidRPr="00DE693E">
        <w:rPr>
          <w:rFonts w:asciiTheme="minorHAnsi" w:hAnsiTheme="minorHAnsi" w:cstheme="minorHAnsi"/>
          <w:b/>
          <w:bCs/>
          <w:szCs w:val="24"/>
        </w:rPr>
        <w:t>Grafik 6:</w:t>
      </w:r>
      <w:r w:rsidRPr="00DE693E">
        <w:rPr>
          <w:rFonts w:asciiTheme="minorHAnsi" w:hAnsiTheme="minorHAnsi" w:cstheme="minorHAnsi"/>
          <w:szCs w:val="24"/>
        </w:rPr>
        <w:t xml:space="preserve"> Prikaz sadržaja </w:t>
      </w:r>
      <w:r w:rsidRPr="00DE693E">
        <w:rPr>
          <w:rFonts w:asciiTheme="minorHAnsi" w:hAnsiTheme="minorHAnsi" w:cstheme="minorHAnsi"/>
          <w:szCs w:val="24"/>
          <w:lang w:val="sr-Latn-RS"/>
        </w:rPr>
        <w:t>PBDE u kg u uvezenim uređajima izuzimajući CRT uređaje</w:t>
      </w:r>
    </w:p>
    <w:p w14:paraId="505FCA61" w14:textId="77777777" w:rsidR="00033AB8" w:rsidRPr="00DE693E" w:rsidRDefault="00033AB8" w:rsidP="00033AB8">
      <w:pPr>
        <w:rPr>
          <w:rFonts w:asciiTheme="minorHAnsi" w:hAnsiTheme="minorHAnsi" w:cstheme="minorHAnsi"/>
          <w:szCs w:val="24"/>
        </w:rPr>
      </w:pPr>
      <w:r w:rsidRPr="00DE693E">
        <w:rPr>
          <w:rFonts w:asciiTheme="minorHAnsi" w:hAnsiTheme="minorHAnsi" w:cstheme="minorHAnsi"/>
          <w:b/>
          <w:bCs/>
          <w:szCs w:val="24"/>
        </w:rPr>
        <w:t>Grafik 7</w:t>
      </w:r>
      <w:r w:rsidRPr="00DE693E">
        <w:rPr>
          <w:rFonts w:asciiTheme="minorHAnsi" w:hAnsiTheme="minorHAnsi" w:cstheme="minorHAnsi"/>
          <w:szCs w:val="24"/>
        </w:rPr>
        <w:t>:  Sadržaj dekaBDE (kg) u otpadu EEE generisanom u periodu 2011-2023</w:t>
      </w:r>
    </w:p>
    <w:p w14:paraId="05E3BE30" w14:textId="77777777" w:rsidR="00033AB8" w:rsidRPr="00DE693E" w:rsidRDefault="00033AB8" w:rsidP="00033AB8">
      <w:pPr>
        <w:pStyle w:val="Text"/>
        <w:tabs>
          <w:tab w:val="left" w:pos="3510"/>
        </w:tabs>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rPr>
        <w:t>Grafik 8.</w:t>
      </w:r>
      <w:r w:rsidRPr="00DE693E">
        <w:rPr>
          <w:rFonts w:asciiTheme="minorHAnsi" w:hAnsiTheme="minorHAnsi" w:cstheme="minorHAnsi"/>
          <w:sz w:val="24"/>
          <w:szCs w:val="24"/>
        </w:rPr>
        <w:t xml:space="preserve"> Grafički prikaz sadržaja PBDE (t) u putničkim automobilima u upotrebi u periodu (2017-2023)</w:t>
      </w:r>
    </w:p>
    <w:p w14:paraId="0D03EDD7" w14:textId="77777777" w:rsidR="00033AB8" w:rsidRPr="00DE693E" w:rsidRDefault="00033AB8" w:rsidP="00033AB8">
      <w:pPr>
        <w:pStyle w:val="Text"/>
        <w:tabs>
          <w:tab w:val="left" w:pos="3510"/>
        </w:tabs>
        <w:spacing w:after="0" w:line="240" w:lineRule="auto"/>
        <w:rPr>
          <w:rFonts w:asciiTheme="minorHAnsi" w:hAnsiTheme="minorHAnsi" w:cstheme="minorHAnsi"/>
          <w:b/>
          <w:bCs/>
          <w:i/>
          <w:iCs/>
          <w:sz w:val="24"/>
          <w:szCs w:val="24"/>
        </w:rPr>
      </w:pPr>
      <w:r w:rsidRPr="00DE693E">
        <w:rPr>
          <w:rFonts w:asciiTheme="minorHAnsi" w:hAnsiTheme="minorHAnsi" w:cstheme="minorHAnsi"/>
          <w:b/>
          <w:bCs/>
          <w:sz w:val="24"/>
          <w:szCs w:val="24"/>
        </w:rPr>
        <w:t>Grafik 9.</w:t>
      </w:r>
      <w:r w:rsidRPr="00DE693E">
        <w:rPr>
          <w:rFonts w:asciiTheme="minorHAnsi" w:hAnsiTheme="minorHAnsi" w:cstheme="minorHAnsi"/>
          <w:sz w:val="24"/>
          <w:szCs w:val="24"/>
        </w:rPr>
        <w:t xml:space="preserve"> Sadržaj PBDE u vozilima u periodu 2006-2023</w:t>
      </w:r>
    </w:p>
    <w:p w14:paraId="6AC7FFA2" w14:textId="77777777" w:rsidR="00033AB8" w:rsidRPr="00DE693E" w:rsidRDefault="00033AB8" w:rsidP="00033AB8">
      <w:pPr>
        <w:pStyle w:val="Text"/>
        <w:tabs>
          <w:tab w:val="left" w:pos="3510"/>
        </w:tabs>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lang w:val="it-IT"/>
        </w:rPr>
        <w:t>Grafik 10.</w:t>
      </w:r>
      <w:r w:rsidRPr="00DE693E">
        <w:rPr>
          <w:rFonts w:asciiTheme="minorHAnsi" w:hAnsiTheme="minorHAnsi" w:cstheme="minorHAnsi"/>
          <w:sz w:val="24"/>
          <w:szCs w:val="24"/>
        </w:rPr>
        <w:t xml:space="preserve"> Grafički prikaz sadržaja PBDE-a u kamionima u upotrebi u periodu 2017–2023</w:t>
      </w:r>
    </w:p>
    <w:p w14:paraId="15A6E257" w14:textId="77777777" w:rsidR="00033AB8" w:rsidRPr="00DE693E" w:rsidRDefault="00033AB8" w:rsidP="00033AB8">
      <w:pPr>
        <w:pStyle w:val="Text"/>
        <w:tabs>
          <w:tab w:val="left" w:pos="3510"/>
        </w:tabs>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lang w:val="it-IT"/>
        </w:rPr>
        <w:t>Grafik 11.</w:t>
      </w:r>
      <w:r w:rsidRPr="00DE693E">
        <w:rPr>
          <w:rFonts w:asciiTheme="minorHAnsi" w:hAnsiTheme="minorHAnsi" w:cstheme="minorHAnsi"/>
          <w:sz w:val="24"/>
          <w:szCs w:val="24"/>
        </w:rPr>
        <w:t xml:space="preserve"> Sadržaj PBDE-a u kamionima u upotrebi u periodu 2006–2023</w:t>
      </w:r>
    </w:p>
    <w:p w14:paraId="3E45DA14" w14:textId="77777777" w:rsidR="00033AB8" w:rsidRPr="00DE693E" w:rsidRDefault="00033AB8" w:rsidP="00033AB8">
      <w:pPr>
        <w:pStyle w:val="Text"/>
        <w:tabs>
          <w:tab w:val="left" w:pos="3510"/>
        </w:tabs>
        <w:spacing w:after="0" w:line="240" w:lineRule="auto"/>
        <w:rPr>
          <w:rFonts w:asciiTheme="minorHAnsi" w:hAnsiTheme="minorHAnsi" w:cstheme="minorHAnsi"/>
          <w:b/>
          <w:bCs/>
          <w:sz w:val="24"/>
          <w:szCs w:val="24"/>
        </w:rPr>
      </w:pPr>
      <w:r w:rsidRPr="00DE693E">
        <w:rPr>
          <w:rFonts w:asciiTheme="minorHAnsi" w:hAnsiTheme="minorHAnsi" w:cstheme="minorHAnsi"/>
          <w:b/>
          <w:bCs/>
          <w:sz w:val="24"/>
          <w:szCs w:val="24"/>
        </w:rPr>
        <w:t xml:space="preserve">Grafik 12. </w:t>
      </w:r>
      <w:r w:rsidRPr="00DE693E">
        <w:rPr>
          <w:rFonts w:asciiTheme="minorHAnsi" w:hAnsiTheme="minorHAnsi" w:cstheme="minorHAnsi"/>
          <w:sz w:val="24"/>
          <w:szCs w:val="24"/>
        </w:rPr>
        <w:t>Grafički prikaz količina PBDE-a u autobusima (period registracije 2017–2023)</w:t>
      </w:r>
    </w:p>
    <w:p w14:paraId="18CC0D21" w14:textId="77777777" w:rsidR="00033AB8" w:rsidRPr="00DE693E" w:rsidRDefault="00033AB8" w:rsidP="00033AB8">
      <w:pPr>
        <w:rPr>
          <w:rFonts w:asciiTheme="minorHAnsi" w:eastAsia="Arial Unicode MS" w:hAnsiTheme="minorHAnsi" w:cstheme="minorHAnsi"/>
          <w:color w:val="000000"/>
          <w:szCs w:val="24"/>
          <w:bdr w:val="none" w:sz="0" w:space="0" w:color="auto" w:frame="1"/>
          <w14:textOutline w14:w="0" w14:cap="flat" w14:cmpd="sng" w14:algn="ctr">
            <w14:noFill/>
            <w14:prstDash w14:val="solid"/>
            <w14:bevel/>
          </w14:textOutline>
        </w:rPr>
      </w:pPr>
      <w:r w:rsidRPr="00DE693E">
        <w:rPr>
          <w:rFonts w:asciiTheme="minorHAnsi" w:eastAsia="Arial Unicode MS" w:hAnsiTheme="minorHAnsi" w:cstheme="minorHAnsi"/>
          <w:b/>
          <w:bCs/>
          <w:color w:val="000000"/>
          <w:szCs w:val="24"/>
          <w:bdr w:val="none" w:sz="0" w:space="0" w:color="auto" w:frame="1"/>
          <w14:textOutline w14:w="0" w14:cap="flat" w14:cmpd="sng" w14:algn="ctr">
            <w14:noFill/>
            <w14:prstDash w14:val="solid"/>
            <w14:bevel/>
          </w14:textOutline>
        </w:rPr>
        <w:lastRenderedPageBreak/>
        <w:t xml:space="preserve">Grafik 13. </w:t>
      </w:r>
      <w:r w:rsidRPr="00DE693E">
        <w:rPr>
          <w:rFonts w:asciiTheme="minorHAnsi" w:eastAsia="Arial Unicode MS" w:hAnsiTheme="minorHAnsi" w:cstheme="minorHAnsi"/>
          <w:color w:val="000000"/>
          <w:szCs w:val="24"/>
          <w:bdr w:val="none" w:sz="0" w:space="0" w:color="auto" w:frame="1"/>
          <w14:textOutline w14:w="0" w14:cap="flat" w14:cmpd="sng" w14:algn="ctr">
            <w14:noFill/>
            <w14:prstDash w14:val="solid"/>
            <w14:bevel/>
          </w14:textOutline>
        </w:rPr>
        <w:t>Sadržaj PBDE-a u autobusima u upotrebi u periodu 2006–2023</w:t>
      </w:r>
    </w:p>
    <w:p w14:paraId="672078FD" w14:textId="77777777" w:rsidR="00033AB8" w:rsidRPr="00DE693E" w:rsidRDefault="00033AB8" w:rsidP="00033AB8">
      <w:pPr>
        <w:rPr>
          <w:rFonts w:asciiTheme="minorHAnsi" w:hAnsiTheme="minorHAnsi" w:cstheme="minorHAnsi"/>
          <w:b/>
          <w:bCs/>
          <w:szCs w:val="24"/>
        </w:rPr>
      </w:pPr>
      <w:r w:rsidRPr="00DE693E">
        <w:rPr>
          <w:rFonts w:asciiTheme="minorHAnsi" w:hAnsiTheme="minorHAnsi" w:cstheme="minorHAnsi"/>
          <w:b/>
          <w:bCs/>
          <w:szCs w:val="24"/>
        </w:rPr>
        <w:t>Grafik 14.</w:t>
      </w:r>
      <w:r w:rsidRPr="00DE693E">
        <w:rPr>
          <w:rFonts w:asciiTheme="minorHAnsi" w:hAnsiTheme="minorHAnsi" w:cstheme="minorHAnsi"/>
          <w:szCs w:val="24"/>
        </w:rPr>
        <w:t xml:space="preserve"> Komparativni prikaz PBDE po kategorijama vozila (2017–2023)</w:t>
      </w:r>
    </w:p>
    <w:p w14:paraId="63CE5F1E" w14:textId="77777777" w:rsidR="00033AB8" w:rsidRPr="00DE693E" w:rsidRDefault="00033AB8" w:rsidP="00033AB8">
      <w:pPr>
        <w:pStyle w:val="Text"/>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rPr>
        <w:t xml:space="preserve">Grafik 15. </w:t>
      </w:r>
      <w:r w:rsidRPr="00DE693E">
        <w:rPr>
          <w:rFonts w:asciiTheme="minorHAnsi" w:hAnsiTheme="minorHAnsi" w:cstheme="minorHAnsi"/>
          <w:sz w:val="24"/>
          <w:szCs w:val="24"/>
        </w:rPr>
        <w:t>Grafički prikaz sadržaja PBDE u uvezenim putničkim vozilima u periodu 2017–2023</w:t>
      </w:r>
    </w:p>
    <w:p w14:paraId="7F240099" w14:textId="77777777" w:rsidR="00033AB8" w:rsidRPr="00DE693E" w:rsidRDefault="00033AB8" w:rsidP="00033AB8">
      <w:pPr>
        <w:pStyle w:val="Text"/>
        <w:tabs>
          <w:tab w:val="left" w:pos="3510"/>
        </w:tabs>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rPr>
        <w:t xml:space="preserve">Grafika 16. </w:t>
      </w:r>
      <w:r w:rsidRPr="00DE693E">
        <w:rPr>
          <w:rFonts w:asciiTheme="minorHAnsi" w:hAnsiTheme="minorHAnsi" w:cstheme="minorHAnsi"/>
          <w:sz w:val="24"/>
          <w:szCs w:val="24"/>
        </w:rPr>
        <w:t>Grafički prikaz sadržaja PBDE u uvezenim autobusima</w:t>
      </w:r>
    </w:p>
    <w:p w14:paraId="2337F3B5" w14:textId="77777777" w:rsidR="00033AB8" w:rsidRPr="00DE693E" w:rsidRDefault="00033AB8" w:rsidP="00033AB8">
      <w:pPr>
        <w:pStyle w:val="Text"/>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rPr>
        <w:t xml:space="preserve">Grafik 17. </w:t>
      </w:r>
      <w:r w:rsidRPr="00DE693E">
        <w:rPr>
          <w:rFonts w:asciiTheme="minorHAnsi" w:hAnsiTheme="minorHAnsi" w:cstheme="minorHAnsi"/>
          <w:sz w:val="24"/>
          <w:szCs w:val="24"/>
        </w:rPr>
        <w:t>Grafički prikaz sadržaja PBDE u uvezenim kamionima</w:t>
      </w:r>
    </w:p>
    <w:p w14:paraId="348D1FA0" w14:textId="77777777" w:rsidR="00033AB8" w:rsidRPr="00DE693E" w:rsidRDefault="00033AB8" w:rsidP="00033AB8">
      <w:pPr>
        <w:pStyle w:val="Text"/>
        <w:spacing w:after="0" w:line="240" w:lineRule="auto"/>
        <w:rPr>
          <w:rFonts w:asciiTheme="minorHAnsi" w:hAnsiTheme="minorHAnsi" w:cstheme="minorHAnsi"/>
          <w:sz w:val="24"/>
          <w:szCs w:val="24"/>
          <w:lang w:val="sr-Latn-RS"/>
        </w:rPr>
      </w:pPr>
      <w:r w:rsidRPr="00DE693E">
        <w:rPr>
          <w:rFonts w:asciiTheme="minorHAnsi" w:hAnsiTheme="minorHAnsi" w:cstheme="minorHAnsi"/>
          <w:b/>
          <w:bCs/>
          <w:sz w:val="24"/>
          <w:szCs w:val="24"/>
          <w:lang w:val="it-IT"/>
        </w:rPr>
        <w:t xml:space="preserve">Grafik 18. </w:t>
      </w:r>
      <w:r w:rsidRPr="00DE693E">
        <w:rPr>
          <w:rFonts w:asciiTheme="minorHAnsi" w:hAnsiTheme="minorHAnsi" w:cstheme="minorHAnsi"/>
          <w:sz w:val="24"/>
          <w:szCs w:val="24"/>
          <w:lang w:val="sr-Latn-RS"/>
        </w:rPr>
        <w:t>Komparativni prikaz sadržaja PBDE u različitim tipovima vozila u periodu 2017-2023</w:t>
      </w:r>
    </w:p>
    <w:p w14:paraId="250311CC" w14:textId="77777777" w:rsidR="00033AB8" w:rsidRPr="00DE693E" w:rsidRDefault="00033AB8" w:rsidP="00033AB8">
      <w:pPr>
        <w:pStyle w:val="Text"/>
        <w:spacing w:after="0" w:line="240" w:lineRule="auto"/>
        <w:rPr>
          <w:rFonts w:asciiTheme="minorHAnsi" w:hAnsiTheme="minorHAnsi" w:cstheme="minorHAnsi"/>
          <w:b/>
          <w:bCs/>
          <w:sz w:val="24"/>
          <w:szCs w:val="24"/>
        </w:rPr>
      </w:pPr>
      <w:r w:rsidRPr="00DE693E">
        <w:rPr>
          <w:rFonts w:asciiTheme="minorHAnsi" w:hAnsiTheme="minorHAnsi" w:cstheme="minorHAnsi"/>
          <w:b/>
          <w:bCs/>
          <w:sz w:val="24"/>
          <w:szCs w:val="24"/>
        </w:rPr>
        <w:t xml:space="preserve">Grafik 19. </w:t>
      </w:r>
      <w:r w:rsidRPr="00DE693E">
        <w:rPr>
          <w:rFonts w:asciiTheme="minorHAnsi" w:hAnsiTheme="minorHAnsi" w:cstheme="minorHAnsi"/>
          <w:sz w:val="24"/>
          <w:szCs w:val="24"/>
        </w:rPr>
        <w:t>Pregled sadržaja PBDE u svim kategorijama uvezenih vozila u periodu 2008–2023</w:t>
      </w:r>
    </w:p>
    <w:p w14:paraId="01CE7C54" w14:textId="77777777" w:rsidR="00033AB8" w:rsidRPr="00DE693E" w:rsidRDefault="00033AB8" w:rsidP="00033AB8">
      <w:pPr>
        <w:pStyle w:val="Text"/>
        <w:spacing w:after="0" w:line="240" w:lineRule="auto"/>
        <w:rPr>
          <w:rFonts w:asciiTheme="minorHAnsi" w:hAnsiTheme="minorHAnsi" w:cstheme="minorHAnsi"/>
          <w:sz w:val="24"/>
          <w:szCs w:val="24"/>
        </w:rPr>
      </w:pPr>
      <w:r w:rsidRPr="00DE693E">
        <w:rPr>
          <w:rFonts w:asciiTheme="minorHAnsi" w:hAnsiTheme="minorHAnsi" w:cstheme="minorHAnsi"/>
          <w:b/>
          <w:bCs/>
          <w:sz w:val="24"/>
          <w:szCs w:val="24"/>
        </w:rPr>
        <w:t xml:space="preserve">Grafik 20. </w:t>
      </w:r>
      <w:r w:rsidRPr="00DE693E">
        <w:rPr>
          <w:rFonts w:asciiTheme="minorHAnsi" w:hAnsiTheme="minorHAnsi" w:cstheme="minorHAnsi"/>
          <w:sz w:val="24"/>
          <w:szCs w:val="24"/>
        </w:rPr>
        <w:t>Grafički prikaz sadržaja dekaBDE u procijenjenoj količini vozila na kraju životnog vijeka (2017–2023)</w:t>
      </w:r>
    </w:p>
    <w:p w14:paraId="69846559" w14:textId="77777777" w:rsidR="00033AB8" w:rsidRPr="00DE693E" w:rsidRDefault="00033AB8" w:rsidP="00033AB8">
      <w:pPr>
        <w:rPr>
          <w:rFonts w:asciiTheme="minorHAnsi" w:hAnsiTheme="minorHAnsi" w:cstheme="minorHAnsi"/>
          <w:iCs/>
          <w:color w:val="000000"/>
          <w:szCs w:val="24"/>
          <w:lang w:val="sr-Latn-RS"/>
        </w:rPr>
      </w:pPr>
      <w:r w:rsidRPr="00DE693E">
        <w:rPr>
          <w:rFonts w:asciiTheme="minorHAnsi" w:hAnsiTheme="minorHAnsi" w:cstheme="minorHAnsi"/>
          <w:b/>
          <w:bCs/>
          <w:iCs/>
          <w:color w:val="000000"/>
          <w:szCs w:val="24"/>
          <w:lang w:val="sr-Latn-RS"/>
        </w:rPr>
        <w:t>Grafik 21.</w:t>
      </w:r>
      <w:r w:rsidRPr="00DE693E">
        <w:rPr>
          <w:rFonts w:asciiTheme="minorHAnsi" w:hAnsiTheme="minorHAnsi" w:cstheme="minorHAnsi"/>
          <w:iCs/>
          <w:color w:val="000000"/>
          <w:szCs w:val="24"/>
          <w:lang w:val="sr-Latn-RS"/>
        </w:rPr>
        <w:t xml:space="preserve"> Količina uvezenog granulata ekspandiranog polistirena (t) za proizvodnju izolacionih ploča u periodu 2017-2023. godina</w:t>
      </w:r>
    </w:p>
    <w:p w14:paraId="17310870"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Grafik 22.</w:t>
      </w:r>
      <w:r w:rsidRPr="00DE693E">
        <w:rPr>
          <w:rFonts w:asciiTheme="minorHAnsi" w:hAnsiTheme="minorHAnsi" w:cstheme="minorHAnsi"/>
          <w:szCs w:val="24"/>
          <w:lang w:val="sr-Latn-ME"/>
        </w:rPr>
        <w:t xml:space="preserve"> Količine uvezenih proizvoda na bazi polistirena (t) u periodu 2017-2023. godina</w:t>
      </w:r>
    </w:p>
    <w:p w14:paraId="4F1D79E4" w14:textId="77777777" w:rsidR="00033AB8" w:rsidRPr="00DE693E" w:rsidRDefault="00033AB8" w:rsidP="00033AB8">
      <w:pPr>
        <w:rPr>
          <w:rFonts w:asciiTheme="minorHAnsi" w:hAnsiTheme="minorHAnsi" w:cstheme="minorHAnsi"/>
          <w:szCs w:val="24"/>
          <w:lang w:val="sr-Latn-RS"/>
        </w:rPr>
      </w:pPr>
      <w:r w:rsidRPr="00DE693E">
        <w:rPr>
          <w:rFonts w:asciiTheme="minorHAnsi" w:hAnsiTheme="minorHAnsi" w:cstheme="minorHAnsi"/>
          <w:b/>
          <w:bCs/>
          <w:szCs w:val="24"/>
          <w:lang w:val="sr-Latn-RS"/>
        </w:rPr>
        <w:t>Grafik 23.</w:t>
      </w:r>
      <w:r w:rsidRPr="00DE693E">
        <w:rPr>
          <w:rFonts w:asciiTheme="minorHAnsi" w:hAnsiTheme="minorHAnsi" w:cstheme="minorHAnsi"/>
          <w:szCs w:val="24"/>
          <w:lang w:val="sr-Latn-RS"/>
        </w:rPr>
        <w:t xml:space="preserve"> Uporedni prikaz proizvedenih i uvezenih proizvoda na bazi polistirena (t) u periodu 2007-2023. godina</w:t>
      </w:r>
    </w:p>
    <w:p w14:paraId="38DA0B6D" w14:textId="77777777" w:rsidR="00033AB8" w:rsidRPr="00DE693E" w:rsidRDefault="00033AB8" w:rsidP="00033AB8">
      <w:pPr>
        <w:rPr>
          <w:rFonts w:asciiTheme="minorHAnsi" w:hAnsiTheme="minorHAnsi" w:cstheme="minorHAnsi"/>
          <w:szCs w:val="24"/>
          <w:lang w:val="sr-Latn-RS"/>
        </w:rPr>
      </w:pPr>
      <w:r w:rsidRPr="00DE693E">
        <w:rPr>
          <w:rFonts w:asciiTheme="minorHAnsi" w:hAnsiTheme="minorHAnsi" w:cstheme="minorHAnsi"/>
          <w:b/>
          <w:bCs/>
          <w:szCs w:val="24"/>
          <w:lang w:val="sr-Latn-RS"/>
        </w:rPr>
        <w:t>Grafik 24.</w:t>
      </w:r>
      <w:r w:rsidRPr="00DE693E">
        <w:rPr>
          <w:rFonts w:asciiTheme="minorHAnsi" w:hAnsiTheme="minorHAnsi" w:cstheme="minorHAnsi"/>
          <w:szCs w:val="24"/>
          <w:lang w:val="sr-Latn-RS"/>
        </w:rPr>
        <w:t xml:space="preserve"> Procjenjena količina HBCD u Crnoj Gori po godinama (2017-2023.)</w:t>
      </w:r>
    </w:p>
    <w:p w14:paraId="1FF52825"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Grafik 25.</w:t>
      </w:r>
      <w:r w:rsidRPr="00DE693E">
        <w:rPr>
          <w:rFonts w:asciiTheme="minorHAnsi" w:hAnsiTheme="minorHAnsi" w:cstheme="minorHAnsi"/>
          <w:szCs w:val="24"/>
          <w:lang w:val="sr-Latn-ME"/>
        </w:rPr>
        <w:t xml:space="preserve"> Prosječna godišnja količina uvezenih granulata ekspandiranog polistirena za proizvodnju izolacionih ploča (t) za periode 2007-2016 and 2017-2023 </w:t>
      </w:r>
    </w:p>
    <w:p w14:paraId="1B11DB3A"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Grafik 26.</w:t>
      </w:r>
      <w:r w:rsidRPr="00DE693E">
        <w:rPr>
          <w:rFonts w:asciiTheme="minorHAnsi" w:hAnsiTheme="minorHAnsi" w:cstheme="minorHAnsi"/>
          <w:szCs w:val="24"/>
          <w:lang w:val="sr-Latn-ME"/>
        </w:rPr>
        <w:t xml:space="preserve"> Prosječna godišnja količina uvezenih proizvoda na bazi polistirena (t) za periode 2007-2016 and 2017-2023</w:t>
      </w:r>
    </w:p>
    <w:p w14:paraId="1713F400"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Grafik 27.</w:t>
      </w:r>
      <w:r w:rsidRPr="00DE693E">
        <w:rPr>
          <w:rFonts w:asciiTheme="minorHAnsi" w:hAnsiTheme="minorHAnsi" w:cstheme="minorHAnsi"/>
          <w:szCs w:val="24"/>
          <w:lang w:val="sr-Latn-ME"/>
        </w:rPr>
        <w:t xml:space="preserve"> Procijenjena prosječna godišnja količina HBCD u Crnoj Gori (t) za periode 2007-2016. godina i 2017-2023. godina </w:t>
      </w:r>
    </w:p>
    <w:p w14:paraId="738452C1" w14:textId="77777777" w:rsidR="00033AB8" w:rsidRPr="00DE693E" w:rsidRDefault="00033AB8" w:rsidP="00033AB8">
      <w:pPr>
        <w:rPr>
          <w:rFonts w:asciiTheme="minorHAnsi" w:hAnsiTheme="minorHAnsi" w:cstheme="minorHAnsi"/>
          <w:iCs/>
          <w:szCs w:val="24"/>
          <w:lang w:val="sr-Latn-ME"/>
        </w:rPr>
      </w:pPr>
      <w:r w:rsidRPr="00DE693E">
        <w:rPr>
          <w:rFonts w:asciiTheme="minorHAnsi" w:hAnsiTheme="minorHAnsi" w:cstheme="minorHAnsi"/>
          <w:b/>
          <w:bCs/>
          <w:iCs/>
          <w:color w:val="000000"/>
          <w:szCs w:val="24"/>
          <w:lang w:val="sr-Latn-RS"/>
        </w:rPr>
        <w:t>Grafik 28.</w:t>
      </w:r>
      <w:r w:rsidRPr="00DE693E">
        <w:rPr>
          <w:rFonts w:asciiTheme="minorHAnsi" w:hAnsiTheme="minorHAnsi" w:cstheme="minorHAnsi"/>
          <w:iCs/>
          <w:color w:val="000000"/>
          <w:szCs w:val="24"/>
          <w:lang w:val="sr-Latn-RS"/>
        </w:rPr>
        <w:t xml:space="preserve"> Količine građevinskog otpada i procjenjenih količina HBCD u otpadu u Crnoj Gori </w:t>
      </w:r>
      <w:r w:rsidRPr="00DE693E">
        <w:rPr>
          <w:rFonts w:asciiTheme="minorHAnsi" w:hAnsiTheme="minorHAnsi" w:cstheme="minorHAnsi"/>
          <w:iCs/>
          <w:szCs w:val="24"/>
          <w:lang w:val="sr-Latn-ME"/>
        </w:rPr>
        <w:t xml:space="preserve">za periode 2011-2023. godina </w:t>
      </w:r>
    </w:p>
    <w:p w14:paraId="36679D24" w14:textId="77777777" w:rsidR="00033AB8" w:rsidRPr="00DE693E" w:rsidRDefault="00033AB8" w:rsidP="00033AB8">
      <w:pPr>
        <w:rPr>
          <w:rFonts w:asciiTheme="minorHAnsi" w:hAnsiTheme="minorHAnsi" w:cstheme="minorHAnsi"/>
          <w:iCs/>
          <w:szCs w:val="24"/>
          <w:lang w:val="sr-Latn-ME"/>
        </w:rPr>
      </w:pPr>
      <w:r w:rsidRPr="00DE693E">
        <w:rPr>
          <w:rFonts w:asciiTheme="minorHAnsi" w:hAnsiTheme="minorHAnsi" w:cstheme="minorHAnsi"/>
          <w:b/>
          <w:bCs/>
          <w:iCs/>
          <w:color w:val="000000"/>
          <w:szCs w:val="24"/>
          <w:lang w:val="sr-Latn-RS"/>
        </w:rPr>
        <w:t>Grafik 29.</w:t>
      </w:r>
      <w:r w:rsidRPr="00DE693E">
        <w:rPr>
          <w:rFonts w:asciiTheme="minorHAnsi" w:hAnsiTheme="minorHAnsi" w:cstheme="minorHAnsi"/>
          <w:iCs/>
          <w:color w:val="000000"/>
          <w:szCs w:val="24"/>
          <w:lang w:val="sr-Latn-RS"/>
        </w:rPr>
        <w:t xml:space="preserve"> Količine građevinskog otpada u Crnoj Gori </w:t>
      </w:r>
      <w:r w:rsidRPr="00DE693E">
        <w:rPr>
          <w:rFonts w:asciiTheme="minorHAnsi" w:hAnsiTheme="minorHAnsi" w:cstheme="minorHAnsi"/>
          <w:iCs/>
          <w:szCs w:val="24"/>
          <w:lang w:val="sr-Latn-ME"/>
        </w:rPr>
        <w:t xml:space="preserve">za period 2011-2023. godina </w:t>
      </w:r>
    </w:p>
    <w:p w14:paraId="40043EA0" w14:textId="77777777" w:rsidR="00033AB8" w:rsidRPr="00DE693E" w:rsidRDefault="00033AB8" w:rsidP="00033AB8">
      <w:pPr>
        <w:rPr>
          <w:rFonts w:asciiTheme="minorHAnsi" w:hAnsiTheme="minorHAnsi" w:cstheme="minorHAnsi"/>
          <w:iCs/>
          <w:szCs w:val="24"/>
          <w:lang w:val="sr-Latn-ME"/>
        </w:rPr>
      </w:pPr>
      <w:r w:rsidRPr="00DE693E">
        <w:rPr>
          <w:rFonts w:asciiTheme="minorHAnsi" w:hAnsiTheme="minorHAnsi" w:cstheme="minorHAnsi"/>
          <w:b/>
          <w:bCs/>
          <w:iCs/>
          <w:color w:val="000000"/>
          <w:szCs w:val="24"/>
          <w:lang w:val="sr-Latn-RS"/>
        </w:rPr>
        <w:t>Grafik 30.</w:t>
      </w:r>
      <w:r w:rsidRPr="00DE693E">
        <w:rPr>
          <w:rFonts w:asciiTheme="minorHAnsi" w:hAnsiTheme="minorHAnsi" w:cstheme="minorHAnsi"/>
          <w:iCs/>
          <w:color w:val="000000"/>
          <w:szCs w:val="24"/>
          <w:lang w:val="sr-Latn-RS"/>
        </w:rPr>
        <w:t xml:space="preserve"> Količine HBCD iz građevinskog otpada u Crnoj Gori </w:t>
      </w:r>
      <w:r w:rsidRPr="00DE693E">
        <w:rPr>
          <w:rFonts w:asciiTheme="minorHAnsi" w:hAnsiTheme="minorHAnsi" w:cstheme="minorHAnsi"/>
          <w:iCs/>
          <w:szCs w:val="24"/>
          <w:lang w:val="sr-Latn-ME"/>
        </w:rPr>
        <w:t xml:space="preserve">za period 2011-2023. godina </w:t>
      </w:r>
    </w:p>
    <w:p w14:paraId="7DE36413" w14:textId="77777777" w:rsidR="00033AB8" w:rsidRPr="00DE693E" w:rsidRDefault="00033AB8" w:rsidP="00033AB8">
      <w:pPr>
        <w:rPr>
          <w:rFonts w:asciiTheme="minorHAnsi" w:hAnsiTheme="minorHAnsi" w:cstheme="minorHAnsi"/>
          <w:iCs/>
          <w:szCs w:val="24"/>
          <w:lang w:val="sr-Latn-ME"/>
        </w:rPr>
      </w:pPr>
      <w:r w:rsidRPr="00DE693E">
        <w:rPr>
          <w:rFonts w:asciiTheme="minorHAnsi" w:hAnsiTheme="minorHAnsi" w:cstheme="minorHAnsi"/>
          <w:b/>
          <w:bCs/>
          <w:iCs/>
          <w:color w:val="000000"/>
          <w:szCs w:val="24"/>
          <w:lang w:val="sr-Latn-RS"/>
        </w:rPr>
        <w:t>Grafik 31.</w:t>
      </w:r>
      <w:r w:rsidRPr="00DE693E">
        <w:rPr>
          <w:rFonts w:asciiTheme="minorHAnsi" w:hAnsiTheme="minorHAnsi" w:cstheme="minorHAnsi"/>
          <w:iCs/>
          <w:color w:val="000000"/>
          <w:szCs w:val="24"/>
          <w:lang w:val="sr-Latn-RS"/>
        </w:rPr>
        <w:t xml:space="preserve"> Trend procjenjenih količina HBCD u otpadu u Crnoj Gori </w:t>
      </w:r>
      <w:r w:rsidRPr="00DE693E">
        <w:rPr>
          <w:rFonts w:asciiTheme="minorHAnsi" w:hAnsiTheme="minorHAnsi" w:cstheme="minorHAnsi"/>
          <w:iCs/>
          <w:szCs w:val="24"/>
          <w:lang w:val="sr-Latn-ME"/>
        </w:rPr>
        <w:t xml:space="preserve">za periode  2007-2016. godina i 2017-2023. godina </w:t>
      </w:r>
    </w:p>
    <w:p w14:paraId="178338F2" w14:textId="77777777" w:rsidR="00033AB8" w:rsidRPr="00DE693E" w:rsidRDefault="00033AB8" w:rsidP="00033AB8">
      <w:pPr>
        <w:rPr>
          <w:rFonts w:asciiTheme="minorHAnsi" w:hAnsiTheme="minorHAnsi" w:cstheme="minorHAnsi"/>
          <w:szCs w:val="24"/>
        </w:rPr>
      </w:pPr>
      <w:r w:rsidRPr="00DE693E">
        <w:rPr>
          <w:rFonts w:asciiTheme="minorHAnsi" w:hAnsiTheme="minorHAnsi" w:cstheme="minorHAnsi"/>
          <w:b/>
          <w:bCs/>
          <w:szCs w:val="24"/>
        </w:rPr>
        <w:t>Grafik 32.</w:t>
      </w:r>
      <w:r w:rsidRPr="00DE693E">
        <w:rPr>
          <w:rFonts w:asciiTheme="minorHAnsi" w:hAnsiTheme="minorHAnsi" w:cstheme="minorHAnsi"/>
          <w:szCs w:val="24"/>
        </w:rPr>
        <w:t xml:space="preserve"> Maksimalno procijenjena količina PFOS-a u sintetičkim tepisima iz uvoza za period 2017-2023 godina</w:t>
      </w:r>
    </w:p>
    <w:p w14:paraId="202C6220" w14:textId="77777777" w:rsidR="00033AB8" w:rsidRPr="00DE693E" w:rsidRDefault="00033AB8" w:rsidP="00033AB8">
      <w:pPr>
        <w:rPr>
          <w:rFonts w:asciiTheme="minorHAnsi" w:hAnsiTheme="minorHAnsi" w:cstheme="minorHAnsi"/>
          <w:szCs w:val="24"/>
        </w:rPr>
      </w:pPr>
      <w:r w:rsidRPr="00DE693E">
        <w:rPr>
          <w:rFonts w:asciiTheme="minorHAnsi" w:hAnsiTheme="minorHAnsi" w:cstheme="minorHAnsi"/>
          <w:b/>
          <w:bCs/>
          <w:szCs w:val="24"/>
        </w:rPr>
        <w:t>Grafik 33.</w:t>
      </w:r>
      <w:r w:rsidRPr="00DE693E">
        <w:rPr>
          <w:rFonts w:asciiTheme="minorHAnsi" w:hAnsiTheme="minorHAnsi" w:cstheme="minorHAnsi"/>
          <w:szCs w:val="24"/>
        </w:rPr>
        <w:t xml:space="preserve"> Maksimalno procijenjena količina PFOS-a u </w:t>
      </w:r>
      <w:r w:rsidRPr="00DE693E">
        <w:rPr>
          <w:rFonts w:asciiTheme="minorHAnsi" w:eastAsia="SimSun" w:hAnsiTheme="minorHAnsi" w:cstheme="minorHAnsi"/>
          <w:szCs w:val="24"/>
        </w:rPr>
        <w:t xml:space="preserve">presvučenom i impregniranog papiru </w:t>
      </w:r>
      <w:r w:rsidRPr="00DE693E">
        <w:rPr>
          <w:rFonts w:asciiTheme="minorHAnsi" w:hAnsiTheme="minorHAnsi" w:cstheme="minorHAnsi"/>
          <w:szCs w:val="24"/>
        </w:rPr>
        <w:t>iz uvoza za period 2017-2023 godina</w:t>
      </w:r>
    </w:p>
    <w:p w14:paraId="61BD20AB" w14:textId="77777777" w:rsidR="00033AB8" w:rsidRPr="00DE693E" w:rsidRDefault="00033AB8" w:rsidP="00033AB8">
      <w:pPr>
        <w:rPr>
          <w:rFonts w:asciiTheme="minorHAnsi" w:hAnsiTheme="minorHAnsi" w:cstheme="minorHAnsi"/>
          <w:szCs w:val="24"/>
        </w:rPr>
      </w:pPr>
      <w:r w:rsidRPr="00DE693E">
        <w:rPr>
          <w:rFonts w:asciiTheme="minorHAnsi" w:hAnsiTheme="minorHAnsi" w:cstheme="minorHAnsi"/>
          <w:b/>
          <w:bCs/>
          <w:szCs w:val="24"/>
        </w:rPr>
        <w:t>Grafik 34.</w:t>
      </w:r>
      <w:r w:rsidRPr="00DE693E">
        <w:rPr>
          <w:rFonts w:asciiTheme="minorHAnsi" w:hAnsiTheme="minorHAnsi" w:cstheme="minorHAnsi"/>
          <w:szCs w:val="24"/>
        </w:rPr>
        <w:t xml:space="preserve"> Maksimalno procijenjena količina PFOA u sintetičkim tepisima iz uvoza za period 2017-2023 godina</w:t>
      </w:r>
    </w:p>
    <w:p w14:paraId="2F9B1F0E" w14:textId="77777777" w:rsidR="00033AB8" w:rsidRPr="00DE693E" w:rsidRDefault="00033AB8" w:rsidP="00033AB8">
      <w:pPr>
        <w:rPr>
          <w:rFonts w:asciiTheme="minorHAnsi" w:hAnsiTheme="minorHAnsi" w:cstheme="minorHAnsi"/>
          <w:szCs w:val="24"/>
        </w:rPr>
      </w:pPr>
      <w:r w:rsidRPr="00DE693E">
        <w:rPr>
          <w:rFonts w:asciiTheme="minorHAnsi" w:hAnsiTheme="minorHAnsi" w:cstheme="minorHAnsi"/>
          <w:b/>
          <w:bCs/>
          <w:szCs w:val="24"/>
        </w:rPr>
        <w:t>Grafik 35.</w:t>
      </w:r>
      <w:r w:rsidRPr="00DE693E">
        <w:rPr>
          <w:rFonts w:asciiTheme="minorHAnsi" w:hAnsiTheme="minorHAnsi" w:cstheme="minorHAnsi"/>
          <w:szCs w:val="24"/>
        </w:rPr>
        <w:t xml:space="preserve"> Maksimalno procijenjena količina PFOA-a u </w:t>
      </w:r>
      <w:r w:rsidRPr="00DE693E">
        <w:rPr>
          <w:rFonts w:asciiTheme="minorHAnsi" w:eastAsia="SimSun" w:hAnsiTheme="minorHAnsi" w:cstheme="minorHAnsi"/>
          <w:szCs w:val="24"/>
        </w:rPr>
        <w:t xml:space="preserve">presvučenom i impregniranog papiru </w:t>
      </w:r>
      <w:r w:rsidRPr="00DE693E">
        <w:rPr>
          <w:rFonts w:asciiTheme="minorHAnsi" w:hAnsiTheme="minorHAnsi" w:cstheme="minorHAnsi"/>
          <w:szCs w:val="24"/>
        </w:rPr>
        <w:t>iz uvoza za period 2017-2023 godina</w:t>
      </w:r>
    </w:p>
    <w:p w14:paraId="6D033B3E"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 xml:space="preserve">Grafik 36. </w:t>
      </w:r>
      <w:r w:rsidRPr="00DE693E">
        <w:rPr>
          <w:rFonts w:asciiTheme="minorHAnsi" w:hAnsiTheme="minorHAnsi" w:cstheme="minorHAnsi"/>
          <w:szCs w:val="24"/>
          <w:lang w:val="sr-Latn-ME"/>
        </w:rPr>
        <w:t>Procijenjena količina SCCP i MCCP u proizvodima sa HS kodom 4008 uvezenim u periodu 2017-2023</w:t>
      </w:r>
    </w:p>
    <w:p w14:paraId="3004AD97"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 xml:space="preserve">Grafik 37. </w:t>
      </w:r>
      <w:r w:rsidRPr="00DE693E">
        <w:rPr>
          <w:rFonts w:asciiTheme="minorHAnsi" w:hAnsiTheme="minorHAnsi" w:cstheme="minorHAnsi"/>
          <w:szCs w:val="24"/>
          <w:lang w:val="sr-Latn-ME"/>
        </w:rPr>
        <w:t>Procijenjena količina SCCP i MCCP u proizvodima sa HS kodom 4009 uvezenim u periodu 2017-2023</w:t>
      </w:r>
    </w:p>
    <w:p w14:paraId="3E843B45" w14:textId="77777777" w:rsidR="00033AB8" w:rsidRPr="00DE693E" w:rsidRDefault="00033AB8" w:rsidP="00033AB8">
      <w:pPr>
        <w:rPr>
          <w:rFonts w:asciiTheme="minorHAnsi" w:hAnsiTheme="minorHAnsi" w:cstheme="minorHAnsi"/>
          <w:i/>
          <w:iCs/>
          <w:szCs w:val="24"/>
          <w:lang w:val="sr-Latn-ME"/>
        </w:rPr>
      </w:pPr>
      <w:r w:rsidRPr="00DE693E">
        <w:rPr>
          <w:rFonts w:asciiTheme="minorHAnsi" w:hAnsiTheme="minorHAnsi" w:cstheme="minorHAnsi"/>
          <w:b/>
          <w:bCs/>
          <w:szCs w:val="24"/>
          <w:lang w:val="sr-Latn-ME"/>
        </w:rPr>
        <w:t xml:space="preserve">Grafik 38. </w:t>
      </w:r>
      <w:r w:rsidRPr="00DE693E">
        <w:rPr>
          <w:rFonts w:asciiTheme="minorHAnsi" w:hAnsiTheme="minorHAnsi" w:cstheme="minorHAnsi"/>
          <w:szCs w:val="24"/>
          <w:lang w:val="sr-Latn-ME"/>
        </w:rPr>
        <w:t>Procijenjena količina SCCP i MCCP u proizvodima sa HS kodom 4015 uvezenim u periodu 2017-2023</w:t>
      </w:r>
    </w:p>
    <w:p w14:paraId="71E28F7E"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 xml:space="preserve">Grafik 39. </w:t>
      </w:r>
      <w:r w:rsidRPr="00DE693E">
        <w:rPr>
          <w:rFonts w:asciiTheme="minorHAnsi" w:hAnsiTheme="minorHAnsi" w:cstheme="minorHAnsi"/>
          <w:szCs w:val="24"/>
          <w:lang w:val="sr-Latn-ME"/>
        </w:rPr>
        <w:t>Procijenjena količina SCCP i MCCP u proizvodima sa HS kodom 4016 uvezenim u periodu 2017-2023</w:t>
      </w:r>
    </w:p>
    <w:p w14:paraId="1BA7D547"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lastRenderedPageBreak/>
        <w:t xml:space="preserve">Grafik 40. </w:t>
      </w:r>
      <w:r w:rsidRPr="00DE693E">
        <w:rPr>
          <w:rFonts w:asciiTheme="minorHAnsi" w:hAnsiTheme="minorHAnsi" w:cstheme="minorHAnsi"/>
          <w:szCs w:val="24"/>
          <w:lang w:val="sr-Latn-ME"/>
        </w:rPr>
        <w:t>Procentualna raspodčela različitih kategorija gume uvezene iz Kine za period 2017-2023</w:t>
      </w:r>
    </w:p>
    <w:p w14:paraId="10ADCC0E"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 xml:space="preserve">Grafik 41. </w:t>
      </w:r>
      <w:r w:rsidRPr="00DE693E">
        <w:rPr>
          <w:rFonts w:asciiTheme="minorHAnsi" w:hAnsiTheme="minorHAnsi" w:cstheme="minorHAnsi"/>
          <w:szCs w:val="24"/>
          <w:lang w:val="sr-Latn-ME"/>
        </w:rPr>
        <w:t>Procijenjena količina SCCP i MCCP u proizvodu sa HS kodom 3921120000 uvezenim tokom perioda 2017-2023.</w:t>
      </w:r>
    </w:p>
    <w:p w14:paraId="7679DE98"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 xml:space="preserve">Grafik 42. </w:t>
      </w:r>
      <w:r w:rsidRPr="00DE693E">
        <w:rPr>
          <w:rFonts w:asciiTheme="minorHAnsi" w:hAnsiTheme="minorHAnsi" w:cstheme="minorHAnsi"/>
          <w:szCs w:val="24"/>
          <w:lang w:val="sr-Latn-ME"/>
        </w:rPr>
        <w:t>Procijenjena količina SCCP i MCCP u proizvodu sa HS kodom 3920499000 uvezenim tokom perioda 2017-2023</w:t>
      </w:r>
    </w:p>
    <w:p w14:paraId="3C5D5F2F"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 xml:space="preserve">Grafik 43. </w:t>
      </w:r>
      <w:r w:rsidRPr="00DE693E">
        <w:rPr>
          <w:rFonts w:asciiTheme="minorHAnsi" w:hAnsiTheme="minorHAnsi" w:cstheme="minorHAnsi"/>
          <w:szCs w:val="24"/>
          <w:lang w:val="sr-Latn-ME"/>
        </w:rPr>
        <w:t xml:space="preserve">Procenjena količina SCCP i MCCP u proizvodu sa HS kodom 3920491000 uvezenim </w:t>
      </w:r>
      <w:bookmarkStart w:id="1" w:name="_Hlk220482053"/>
      <w:r w:rsidRPr="00DE693E">
        <w:rPr>
          <w:rFonts w:asciiTheme="minorHAnsi" w:hAnsiTheme="minorHAnsi" w:cstheme="minorHAnsi"/>
          <w:szCs w:val="24"/>
          <w:lang w:val="sr-Latn-ME"/>
        </w:rPr>
        <w:t>tokom perioda 2017-2023</w:t>
      </w:r>
    </w:p>
    <w:bookmarkEnd w:id="1"/>
    <w:p w14:paraId="6519728D"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 xml:space="preserve">Grafik 44. </w:t>
      </w:r>
      <w:r w:rsidRPr="00DE693E">
        <w:rPr>
          <w:rFonts w:asciiTheme="minorHAnsi" w:hAnsiTheme="minorHAnsi" w:cstheme="minorHAnsi"/>
          <w:szCs w:val="24"/>
          <w:lang w:val="sr-Latn-ME"/>
        </w:rPr>
        <w:t xml:space="preserve">Procenjena količina SCCP i MCCP u proizvodu sa HS kodom </w:t>
      </w:r>
      <w:r w:rsidRPr="00DE693E">
        <w:rPr>
          <w:rFonts w:asciiTheme="minorHAnsi" w:eastAsia="Times New Roman" w:hAnsiTheme="minorHAnsi" w:cstheme="minorHAnsi"/>
          <w:szCs w:val="24"/>
          <w:lang w:val="sr-Latn-ME"/>
        </w:rPr>
        <w:t>3920439000</w:t>
      </w:r>
      <w:r w:rsidRPr="00DE693E">
        <w:rPr>
          <w:rFonts w:asciiTheme="minorHAnsi" w:hAnsiTheme="minorHAnsi" w:cstheme="minorHAnsi"/>
          <w:szCs w:val="24"/>
          <w:lang w:val="sr-Latn-ME"/>
        </w:rPr>
        <w:t xml:space="preserve"> uvezenim tokom perioda 2017-2023</w:t>
      </w:r>
    </w:p>
    <w:p w14:paraId="1C4C7B51"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 xml:space="preserve">Grafik 45. </w:t>
      </w:r>
      <w:r w:rsidRPr="00DE693E">
        <w:rPr>
          <w:rFonts w:asciiTheme="minorHAnsi" w:hAnsiTheme="minorHAnsi" w:cstheme="minorHAnsi"/>
          <w:szCs w:val="24"/>
          <w:lang w:val="sr-Latn-ME"/>
        </w:rPr>
        <w:t xml:space="preserve">Procenjena količina SCCP i MCCP u proizvodu sa HS kodom </w:t>
      </w:r>
      <w:r w:rsidRPr="00DE693E">
        <w:rPr>
          <w:rFonts w:asciiTheme="minorHAnsi" w:eastAsia="Times New Roman" w:hAnsiTheme="minorHAnsi" w:cstheme="minorHAnsi"/>
          <w:szCs w:val="24"/>
          <w:lang w:val="sr-Latn-ME"/>
        </w:rPr>
        <w:t>3920431000</w:t>
      </w:r>
      <w:r w:rsidRPr="00DE693E">
        <w:rPr>
          <w:rFonts w:asciiTheme="minorHAnsi" w:hAnsiTheme="minorHAnsi" w:cstheme="minorHAnsi"/>
          <w:szCs w:val="24"/>
          <w:lang w:val="sr-Latn-ME"/>
        </w:rPr>
        <w:t xml:space="preserve"> uvezenim tokom perioda 2017-2023</w:t>
      </w:r>
    </w:p>
    <w:p w14:paraId="3D23A213"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 xml:space="preserve">Grafik 46. </w:t>
      </w:r>
      <w:r w:rsidRPr="00DE693E">
        <w:rPr>
          <w:rFonts w:asciiTheme="minorHAnsi" w:hAnsiTheme="minorHAnsi" w:cstheme="minorHAnsi"/>
          <w:szCs w:val="24"/>
          <w:lang w:val="sr-Latn-ME"/>
        </w:rPr>
        <w:t xml:space="preserve">Procenjena količina SCCP i MCCP u proizvodu sa HS kodom </w:t>
      </w:r>
      <w:r w:rsidRPr="00DE693E">
        <w:rPr>
          <w:rFonts w:asciiTheme="minorHAnsi" w:eastAsia="Times New Roman" w:hAnsiTheme="minorHAnsi" w:cstheme="minorHAnsi"/>
          <w:szCs w:val="24"/>
          <w:lang w:val="sr-Latn-ME"/>
        </w:rPr>
        <w:t>3918101000</w:t>
      </w:r>
      <w:r w:rsidRPr="00DE693E">
        <w:rPr>
          <w:rFonts w:asciiTheme="minorHAnsi" w:hAnsiTheme="minorHAnsi" w:cstheme="minorHAnsi"/>
          <w:szCs w:val="24"/>
          <w:lang w:val="sr-Latn-ME"/>
        </w:rPr>
        <w:t xml:space="preserve"> uvezenim tokom perioda 2017-2023</w:t>
      </w:r>
    </w:p>
    <w:p w14:paraId="1B0D8FF7" w14:textId="77777777" w:rsidR="00033AB8" w:rsidRPr="00DE693E"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 xml:space="preserve">Grafik 47. </w:t>
      </w:r>
      <w:r w:rsidRPr="00DE693E">
        <w:rPr>
          <w:rFonts w:asciiTheme="minorHAnsi" w:hAnsiTheme="minorHAnsi" w:cstheme="minorHAnsi"/>
          <w:szCs w:val="24"/>
          <w:lang w:val="sr-Latn-ME"/>
        </w:rPr>
        <w:t>Procentualna raspodjela različitih kategorija PVC uvezenih iz Kine za period 2017-2023</w:t>
      </w:r>
    </w:p>
    <w:p w14:paraId="7258C122" w14:textId="77777777" w:rsidR="00033AB8" w:rsidRPr="00DE693E" w:rsidRDefault="00033AB8" w:rsidP="00033AB8">
      <w:pPr>
        <w:rPr>
          <w:rFonts w:asciiTheme="minorHAnsi" w:hAnsiTheme="minorHAnsi" w:cstheme="minorHAnsi"/>
          <w:i/>
          <w:iCs/>
          <w:szCs w:val="24"/>
          <w:lang w:val="sr-Latn-ME"/>
        </w:rPr>
      </w:pPr>
      <w:r w:rsidRPr="00DE693E">
        <w:rPr>
          <w:rFonts w:asciiTheme="minorHAnsi" w:hAnsiTheme="minorHAnsi" w:cstheme="minorHAnsi"/>
          <w:b/>
          <w:bCs/>
          <w:i/>
          <w:iCs/>
          <w:szCs w:val="24"/>
          <w:lang w:val="sr-Latn-ME"/>
        </w:rPr>
        <w:t xml:space="preserve">Grafik 48. </w:t>
      </w:r>
      <w:r w:rsidRPr="00DE693E">
        <w:rPr>
          <w:rFonts w:asciiTheme="minorHAnsi" w:hAnsiTheme="minorHAnsi" w:cstheme="minorHAnsi"/>
          <w:i/>
          <w:iCs/>
          <w:szCs w:val="24"/>
          <w:lang w:val="sr-Latn-ME"/>
        </w:rPr>
        <w:t>Procijenjena količina SCCPS i MCCPS u adhezivnim PUR pjenama uvezenim tokom perioda 2017-2023</w:t>
      </w:r>
    </w:p>
    <w:p w14:paraId="51F61D5A" w14:textId="77777777" w:rsidR="00033AB8" w:rsidRDefault="00033AB8" w:rsidP="00033AB8">
      <w:pPr>
        <w:rPr>
          <w:rFonts w:asciiTheme="minorHAnsi" w:hAnsiTheme="minorHAnsi" w:cstheme="minorHAnsi"/>
          <w:szCs w:val="24"/>
          <w:lang w:val="sr-Latn-ME"/>
        </w:rPr>
      </w:pPr>
      <w:r w:rsidRPr="00DE693E">
        <w:rPr>
          <w:rFonts w:asciiTheme="minorHAnsi" w:hAnsiTheme="minorHAnsi" w:cstheme="minorHAnsi"/>
          <w:b/>
          <w:bCs/>
          <w:szCs w:val="24"/>
          <w:lang w:val="sr-Latn-ME"/>
        </w:rPr>
        <w:t>Grafik 49</w:t>
      </w:r>
      <w:r w:rsidRPr="00DE693E">
        <w:rPr>
          <w:rFonts w:asciiTheme="minorHAnsi" w:hAnsiTheme="minorHAnsi" w:cstheme="minorHAnsi"/>
          <w:b/>
          <w:bCs/>
          <w:i/>
          <w:iCs/>
          <w:szCs w:val="24"/>
          <w:lang w:val="sr-Latn-ME"/>
        </w:rPr>
        <w:t>.</w:t>
      </w:r>
      <w:r w:rsidRPr="00DE693E">
        <w:rPr>
          <w:rFonts w:asciiTheme="minorHAnsi" w:hAnsiTheme="minorHAnsi" w:cstheme="minorHAnsi"/>
          <w:szCs w:val="24"/>
          <w:lang w:val="sr-Latn-ME"/>
        </w:rPr>
        <w:t xml:space="preserve"> Količine SCCP (kg) za period 2012-2023</w:t>
      </w:r>
    </w:p>
    <w:p w14:paraId="0929EAD0" w14:textId="77777777" w:rsidR="00033AB8" w:rsidRPr="00DE693E" w:rsidRDefault="00033AB8" w:rsidP="00033AB8">
      <w:pPr>
        <w:rPr>
          <w:rFonts w:asciiTheme="minorHAnsi" w:hAnsiTheme="minorHAnsi" w:cstheme="minorHAnsi"/>
          <w:szCs w:val="24"/>
          <w:lang w:val="sr-Latn-ME"/>
        </w:rPr>
      </w:pPr>
    </w:p>
    <w:p w14:paraId="5FB3B1A8" w14:textId="079409BE" w:rsidR="00033AB8" w:rsidRDefault="00033AB8" w:rsidP="002B19B1">
      <w:pPr>
        <w:jc w:val="both"/>
        <w:rPr>
          <w:rFonts w:asciiTheme="minorHAnsi" w:hAnsiTheme="minorHAnsi" w:cstheme="minorHAnsi"/>
          <w:b/>
          <w:bCs/>
          <w:color w:val="4472C4" w:themeColor="accent1"/>
          <w:szCs w:val="24"/>
        </w:rPr>
      </w:pPr>
      <w:r>
        <w:rPr>
          <w:rFonts w:asciiTheme="minorHAnsi" w:hAnsiTheme="minorHAnsi" w:cstheme="minorHAnsi"/>
          <w:b/>
          <w:bCs/>
          <w:color w:val="4472C4" w:themeColor="accent1"/>
          <w:szCs w:val="24"/>
        </w:rPr>
        <w:t>LISTA SKRAĆENICA</w:t>
      </w:r>
    </w:p>
    <w:tbl>
      <w:tblPr>
        <w:tblW w:w="9360" w:type="dxa"/>
        <w:tblLook w:val="04A0" w:firstRow="1" w:lastRow="0" w:firstColumn="1" w:lastColumn="0" w:noHBand="0" w:noVBand="1"/>
      </w:tblPr>
      <w:tblGrid>
        <w:gridCol w:w="9360"/>
      </w:tblGrid>
      <w:tr w:rsidR="00E90B7F" w:rsidRPr="00565E60" w14:paraId="7AA35070" w14:textId="77777777" w:rsidTr="009756DA">
        <w:trPr>
          <w:trHeight w:val="312"/>
        </w:trPr>
        <w:tc>
          <w:tcPr>
            <w:tcW w:w="9360" w:type="dxa"/>
            <w:tcBorders>
              <w:top w:val="nil"/>
              <w:left w:val="nil"/>
              <w:bottom w:val="nil"/>
              <w:right w:val="nil"/>
            </w:tcBorders>
            <w:noWrap/>
            <w:vAlign w:val="center"/>
            <w:hideMark/>
          </w:tcPr>
          <w:p w14:paraId="379217AE"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BAT (Best Available Techniques) – najbolje dostupne tehnike</w:t>
            </w:r>
          </w:p>
        </w:tc>
      </w:tr>
      <w:tr w:rsidR="00E90B7F" w:rsidRPr="00565E60" w14:paraId="6DBB0BFC" w14:textId="77777777" w:rsidTr="009756DA">
        <w:trPr>
          <w:trHeight w:val="312"/>
        </w:trPr>
        <w:tc>
          <w:tcPr>
            <w:tcW w:w="9360" w:type="dxa"/>
            <w:tcBorders>
              <w:top w:val="nil"/>
              <w:left w:val="nil"/>
              <w:bottom w:val="nil"/>
              <w:right w:val="nil"/>
            </w:tcBorders>
            <w:noWrap/>
            <w:vAlign w:val="center"/>
            <w:hideMark/>
          </w:tcPr>
          <w:p w14:paraId="6651DDE8"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BDP - bruto domaći proizod</w:t>
            </w:r>
          </w:p>
        </w:tc>
      </w:tr>
      <w:tr w:rsidR="00E90B7F" w:rsidRPr="00565E60" w14:paraId="74AA6991" w14:textId="77777777" w:rsidTr="009756DA">
        <w:trPr>
          <w:trHeight w:val="312"/>
        </w:trPr>
        <w:tc>
          <w:tcPr>
            <w:tcW w:w="9360" w:type="dxa"/>
            <w:tcBorders>
              <w:top w:val="nil"/>
              <w:left w:val="nil"/>
              <w:bottom w:val="nil"/>
              <w:right w:val="nil"/>
            </w:tcBorders>
            <w:noWrap/>
            <w:vAlign w:val="center"/>
            <w:hideMark/>
          </w:tcPr>
          <w:p w14:paraId="3BC7A24E"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BPR (Biocidal Products Regulation)- Uredba (EC) 528/2012 o biocidnim proizvodima</w:t>
            </w:r>
          </w:p>
        </w:tc>
      </w:tr>
      <w:tr w:rsidR="00E90B7F" w:rsidRPr="00565E60" w14:paraId="5DF3357B" w14:textId="77777777" w:rsidTr="009756DA">
        <w:trPr>
          <w:trHeight w:val="312"/>
        </w:trPr>
        <w:tc>
          <w:tcPr>
            <w:tcW w:w="9360" w:type="dxa"/>
            <w:tcBorders>
              <w:top w:val="nil"/>
              <w:left w:val="nil"/>
              <w:bottom w:val="nil"/>
              <w:right w:val="nil"/>
            </w:tcBorders>
            <w:noWrap/>
            <w:vAlign w:val="center"/>
            <w:hideMark/>
          </w:tcPr>
          <w:p w14:paraId="48A0DAB5"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CETI - DOO Centar za ekotoksikološka ispitivanja</w:t>
            </w:r>
          </w:p>
        </w:tc>
      </w:tr>
      <w:tr w:rsidR="00E90B7F" w:rsidRPr="00565E60" w14:paraId="7BA798C8" w14:textId="77777777" w:rsidTr="009756DA">
        <w:trPr>
          <w:trHeight w:val="312"/>
        </w:trPr>
        <w:tc>
          <w:tcPr>
            <w:tcW w:w="9360" w:type="dxa"/>
            <w:tcBorders>
              <w:top w:val="nil"/>
              <w:left w:val="nil"/>
              <w:bottom w:val="nil"/>
              <w:right w:val="nil"/>
            </w:tcBorders>
            <w:noWrap/>
            <w:vAlign w:val="center"/>
            <w:hideMark/>
          </w:tcPr>
          <w:p w14:paraId="5657A6D2"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DDT (Dichlorodiphenyltrichloroethane) – dihlordifeniltrihloretan</w:t>
            </w:r>
          </w:p>
        </w:tc>
      </w:tr>
      <w:tr w:rsidR="00E90B7F" w:rsidRPr="00565E60" w14:paraId="14541A81" w14:textId="77777777" w:rsidTr="009756DA">
        <w:trPr>
          <w:trHeight w:val="312"/>
        </w:trPr>
        <w:tc>
          <w:tcPr>
            <w:tcW w:w="9360" w:type="dxa"/>
            <w:tcBorders>
              <w:top w:val="nil"/>
              <w:left w:val="nil"/>
              <w:bottom w:val="nil"/>
              <w:right w:val="nil"/>
            </w:tcBorders>
            <w:noWrap/>
            <w:vAlign w:val="center"/>
            <w:hideMark/>
          </w:tcPr>
          <w:p w14:paraId="679D3055"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DecaBDE (Decabromodiphenyl ether) – dekabromodifenil etar</w:t>
            </w:r>
          </w:p>
        </w:tc>
      </w:tr>
      <w:tr w:rsidR="00E90B7F" w:rsidRPr="00565E60" w14:paraId="28A8DE7B" w14:textId="77777777" w:rsidTr="009756DA">
        <w:trPr>
          <w:trHeight w:val="312"/>
        </w:trPr>
        <w:tc>
          <w:tcPr>
            <w:tcW w:w="9360" w:type="dxa"/>
            <w:tcBorders>
              <w:top w:val="nil"/>
              <w:left w:val="nil"/>
              <w:bottom w:val="nil"/>
              <w:right w:val="nil"/>
            </w:tcBorders>
            <w:noWrap/>
            <w:vAlign w:val="center"/>
            <w:hideMark/>
          </w:tcPr>
          <w:p w14:paraId="7989705F"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DP (Dechlorane Plus) – dehloran plus</w:t>
            </w:r>
          </w:p>
        </w:tc>
      </w:tr>
      <w:tr w:rsidR="00E90B7F" w:rsidRPr="00565E60" w14:paraId="5082CC34" w14:textId="77777777" w:rsidTr="009756DA">
        <w:trPr>
          <w:trHeight w:val="312"/>
        </w:trPr>
        <w:tc>
          <w:tcPr>
            <w:tcW w:w="9360" w:type="dxa"/>
            <w:tcBorders>
              <w:top w:val="nil"/>
              <w:left w:val="nil"/>
              <w:bottom w:val="nil"/>
              <w:right w:val="nil"/>
            </w:tcBorders>
            <w:noWrap/>
            <w:vAlign w:val="center"/>
            <w:hideMark/>
          </w:tcPr>
          <w:p w14:paraId="716BD2CC"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ECHA (European Chemicals Agency) - Evropska agencija za hemikalije</w:t>
            </w:r>
          </w:p>
        </w:tc>
      </w:tr>
      <w:tr w:rsidR="00E90B7F" w:rsidRPr="00565E60" w14:paraId="7BC7A931" w14:textId="77777777" w:rsidTr="009756DA">
        <w:trPr>
          <w:trHeight w:val="312"/>
        </w:trPr>
        <w:tc>
          <w:tcPr>
            <w:tcW w:w="9360" w:type="dxa"/>
            <w:tcBorders>
              <w:top w:val="nil"/>
              <w:left w:val="nil"/>
              <w:bottom w:val="nil"/>
              <w:right w:val="nil"/>
            </w:tcBorders>
            <w:noWrap/>
            <w:vAlign w:val="center"/>
            <w:hideMark/>
          </w:tcPr>
          <w:p w14:paraId="44E0B68A"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EU – Evropska Unija</w:t>
            </w:r>
          </w:p>
        </w:tc>
      </w:tr>
      <w:tr w:rsidR="00E90B7F" w:rsidRPr="00565E60" w14:paraId="22B97BC1" w14:textId="77777777" w:rsidTr="009756DA">
        <w:trPr>
          <w:trHeight w:val="312"/>
        </w:trPr>
        <w:tc>
          <w:tcPr>
            <w:tcW w:w="9360" w:type="dxa"/>
            <w:tcBorders>
              <w:top w:val="nil"/>
              <w:left w:val="nil"/>
              <w:bottom w:val="nil"/>
              <w:right w:val="nil"/>
            </w:tcBorders>
            <w:noWrap/>
            <w:vAlign w:val="center"/>
            <w:hideMark/>
          </w:tcPr>
          <w:p w14:paraId="35B2AD92"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GEF (Global Environmental Fund)-Globalni fond za životnu sredinu</w:t>
            </w:r>
          </w:p>
        </w:tc>
      </w:tr>
      <w:tr w:rsidR="00E90B7F" w:rsidRPr="00565E60" w14:paraId="210494BE" w14:textId="77777777" w:rsidTr="009756DA">
        <w:trPr>
          <w:trHeight w:val="312"/>
        </w:trPr>
        <w:tc>
          <w:tcPr>
            <w:tcW w:w="9360" w:type="dxa"/>
            <w:tcBorders>
              <w:top w:val="nil"/>
              <w:left w:val="nil"/>
              <w:bottom w:val="nil"/>
              <w:right w:val="nil"/>
            </w:tcBorders>
            <w:noWrap/>
            <w:vAlign w:val="center"/>
            <w:hideMark/>
          </w:tcPr>
          <w:p w14:paraId="40CD5A0E"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HBB (Hexabromobiphenyl) – heksabromobifenil</w:t>
            </w:r>
          </w:p>
        </w:tc>
      </w:tr>
      <w:tr w:rsidR="00E90B7F" w:rsidRPr="00565E60" w14:paraId="52A6AB92" w14:textId="77777777" w:rsidTr="009756DA">
        <w:trPr>
          <w:trHeight w:val="312"/>
        </w:trPr>
        <w:tc>
          <w:tcPr>
            <w:tcW w:w="9360" w:type="dxa"/>
            <w:tcBorders>
              <w:top w:val="nil"/>
              <w:left w:val="nil"/>
              <w:bottom w:val="nil"/>
              <w:right w:val="nil"/>
            </w:tcBorders>
            <w:noWrap/>
            <w:vAlign w:val="center"/>
            <w:hideMark/>
          </w:tcPr>
          <w:p w14:paraId="47CB05B4"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HBCDD (Hexabromocyclododecane) – heksabromociklododekan</w:t>
            </w:r>
          </w:p>
        </w:tc>
      </w:tr>
      <w:tr w:rsidR="00E90B7F" w:rsidRPr="00565E60" w14:paraId="27E4977C" w14:textId="77777777" w:rsidTr="009756DA">
        <w:trPr>
          <w:trHeight w:val="312"/>
        </w:trPr>
        <w:tc>
          <w:tcPr>
            <w:tcW w:w="9360" w:type="dxa"/>
            <w:tcBorders>
              <w:top w:val="nil"/>
              <w:left w:val="nil"/>
              <w:bottom w:val="nil"/>
              <w:right w:val="nil"/>
            </w:tcBorders>
            <w:noWrap/>
            <w:vAlign w:val="center"/>
            <w:hideMark/>
          </w:tcPr>
          <w:p w14:paraId="5F10F06E"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HCB (Hexachlorobenzene) – heksahlorbenzen</w:t>
            </w:r>
          </w:p>
        </w:tc>
      </w:tr>
      <w:tr w:rsidR="00E90B7F" w:rsidRPr="00565E60" w14:paraId="5CE69207" w14:textId="77777777" w:rsidTr="009756DA">
        <w:trPr>
          <w:trHeight w:val="312"/>
        </w:trPr>
        <w:tc>
          <w:tcPr>
            <w:tcW w:w="9360" w:type="dxa"/>
            <w:tcBorders>
              <w:top w:val="nil"/>
              <w:left w:val="nil"/>
              <w:bottom w:val="nil"/>
              <w:right w:val="nil"/>
            </w:tcBorders>
            <w:noWrap/>
            <w:vAlign w:val="center"/>
            <w:hideMark/>
          </w:tcPr>
          <w:p w14:paraId="07943CA1"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HCBD (Hexachlorobutadiene) – heksahlorbutadien</w:t>
            </w:r>
          </w:p>
        </w:tc>
      </w:tr>
      <w:tr w:rsidR="00E90B7F" w:rsidRPr="00565E60" w14:paraId="18219126" w14:textId="77777777" w:rsidTr="009756DA">
        <w:trPr>
          <w:trHeight w:val="312"/>
        </w:trPr>
        <w:tc>
          <w:tcPr>
            <w:tcW w:w="9360" w:type="dxa"/>
            <w:tcBorders>
              <w:top w:val="nil"/>
              <w:left w:val="nil"/>
              <w:bottom w:val="nil"/>
              <w:right w:val="nil"/>
            </w:tcBorders>
            <w:noWrap/>
            <w:vAlign w:val="center"/>
            <w:hideMark/>
          </w:tcPr>
          <w:p w14:paraId="147CF076"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HCH-α (Alpha-hexachlorocyclohexane) – alfa-heksahlorcikloheksan</w:t>
            </w:r>
          </w:p>
        </w:tc>
      </w:tr>
      <w:tr w:rsidR="00E90B7F" w:rsidRPr="00565E60" w14:paraId="147CCDB8" w14:textId="77777777" w:rsidTr="009756DA">
        <w:trPr>
          <w:trHeight w:val="312"/>
        </w:trPr>
        <w:tc>
          <w:tcPr>
            <w:tcW w:w="9360" w:type="dxa"/>
            <w:tcBorders>
              <w:top w:val="nil"/>
              <w:left w:val="nil"/>
              <w:bottom w:val="nil"/>
              <w:right w:val="nil"/>
            </w:tcBorders>
            <w:noWrap/>
            <w:vAlign w:val="center"/>
            <w:hideMark/>
          </w:tcPr>
          <w:p w14:paraId="5ACA0DB5"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HCH-β (Beta-hexachlorocyclohexane) – beta-heksahlorcikloheksan</w:t>
            </w:r>
          </w:p>
        </w:tc>
      </w:tr>
      <w:tr w:rsidR="00E90B7F" w:rsidRPr="00565E60" w14:paraId="2290BAA4" w14:textId="77777777" w:rsidTr="009756DA">
        <w:trPr>
          <w:trHeight w:val="312"/>
        </w:trPr>
        <w:tc>
          <w:tcPr>
            <w:tcW w:w="9360" w:type="dxa"/>
            <w:tcBorders>
              <w:top w:val="nil"/>
              <w:left w:val="nil"/>
              <w:bottom w:val="nil"/>
              <w:right w:val="nil"/>
            </w:tcBorders>
            <w:noWrap/>
            <w:vAlign w:val="center"/>
            <w:hideMark/>
          </w:tcPr>
          <w:p w14:paraId="12ECD414"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HexaBDE / HeptaBDE – heksa- i heptabromodifenil etri</w:t>
            </w:r>
          </w:p>
        </w:tc>
      </w:tr>
      <w:tr w:rsidR="00E90B7F" w:rsidRPr="00565E60" w14:paraId="446DD05E" w14:textId="77777777" w:rsidTr="009756DA">
        <w:trPr>
          <w:trHeight w:val="312"/>
        </w:trPr>
        <w:tc>
          <w:tcPr>
            <w:tcW w:w="9360" w:type="dxa"/>
            <w:tcBorders>
              <w:top w:val="nil"/>
              <w:left w:val="nil"/>
              <w:bottom w:val="nil"/>
              <w:right w:val="nil"/>
            </w:tcBorders>
            <w:noWrap/>
            <w:vAlign w:val="center"/>
            <w:hideMark/>
          </w:tcPr>
          <w:p w14:paraId="2554E1F9"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ICCM (International Conference on Chemical Management)- Međunarodna konferencija o upravljanju hemikalijama</w:t>
            </w:r>
          </w:p>
        </w:tc>
      </w:tr>
      <w:tr w:rsidR="00E90B7F" w:rsidRPr="00565E60" w14:paraId="716BB100" w14:textId="77777777" w:rsidTr="009756DA">
        <w:trPr>
          <w:trHeight w:val="312"/>
        </w:trPr>
        <w:tc>
          <w:tcPr>
            <w:tcW w:w="9360" w:type="dxa"/>
            <w:tcBorders>
              <w:top w:val="nil"/>
              <w:left w:val="nil"/>
              <w:bottom w:val="nil"/>
              <w:right w:val="nil"/>
            </w:tcBorders>
            <w:noWrap/>
            <w:vAlign w:val="center"/>
            <w:hideMark/>
          </w:tcPr>
          <w:p w14:paraId="43DF87DB"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IJZCG – Institut za javno zdravlje Crne Gore</w:t>
            </w:r>
          </w:p>
        </w:tc>
      </w:tr>
      <w:tr w:rsidR="00E90B7F" w:rsidRPr="00565E60" w14:paraId="795C48FB" w14:textId="77777777" w:rsidTr="009756DA">
        <w:trPr>
          <w:trHeight w:val="312"/>
        </w:trPr>
        <w:tc>
          <w:tcPr>
            <w:tcW w:w="9360" w:type="dxa"/>
            <w:tcBorders>
              <w:top w:val="nil"/>
              <w:left w:val="nil"/>
              <w:bottom w:val="nil"/>
              <w:right w:val="nil"/>
            </w:tcBorders>
            <w:noWrap/>
            <w:vAlign w:val="center"/>
            <w:hideMark/>
          </w:tcPr>
          <w:p w14:paraId="4B72420A"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IPA (Instrument for Pre-accession Assistance) – Instrument za predpristupnu podršku</w:t>
            </w:r>
          </w:p>
        </w:tc>
      </w:tr>
      <w:tr w:rsidR="00E90B7F" w:rsidRPr="00565E60" w14:paraId="1EB78356" w14:textId="77777777" w:rsidTr="009756DA">
        <w:trPr>
          <w:trHeight w:val="312"/>
        </w:trPr>
        <w:tc>
          <w:tcPr>
            <w:tcW w:w="9360" w:type="dxa"/>
            <w:tcBorders>
              <w:top w:val="nil"/>
              <w:left w:val="nil"/>
              <w:bottom w:val="nil"/>
              <w:right w:val="nil"/>
            </w:tcBorders>
            <w:noWrap/>
            <w:vAlign w:val="center"/>
            <w:hideMark/>
          </w:tcPr>
          <w:p w14:paraId="6468ACBC"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lastRenderedPageBreak/>
              <w:t>ISO - (International Organization for Standardization) - Svjetska organizacija za standardizaciju</w:t>
            </w:r>
          </w:p>
        </w:tc>
      </w:tr>
      <w:tr w:rsidR="00E90B7F" w:rsidRPr="00565E60" w14:paraId="1A812F9C" w14:textId="77777777" w:rsidTr="009756DA">
        <w:trPr>
          <w:trHeight w:val="312"/>
        </w:trPr>
        <w:tc>
          <w:tcPr>
            <w:tcW w:w="9360" w:type="dxa"/>
            <w:tcBorders>
              <w:top w:val="nil"/>
              <w:left w:val="nil"/>
              <w:bottom w:val="nil"/>
              <w:right w:val="nil"/>
            </w:tcBorders>
            <w:noWrap/>
            <w:vAlign w:val="center"/>
            <w:hideMark/>
          </w:tcPr>
          <w:p w14:paraId="01364852"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LC-PFCAs (Long-chain Perfluorocarboxylic Acids) – dugolančane perfluorokarboksilne kiseline</w:t>
            </w:r>
          </w:p>
        </w:tc>
      </w:tr>
      <w:tr w:rsidR="00E90B7F" w:rsidRPr="00565E60" w14:paraId="116F23AE" w14:textId="77777777" w:rsidTr="009756DA">
        <w:trPr>
          <w:trHeight w:val="312"/>
        </w:trPr>
        <w:tc>
          <w:tcPr>
            <w:tcW w:w="9360" w:type="dxa"/>
            <w:tcBorders>
              <w:top w:val="nil"/>
              <w:left w:val="nil"/>
              <w:bottom w:val="nil"/>
              <w:right w:val="nil"/>
            </w:tcBorders>
            <w:noWrap/>
            <w:vAlign w:val="center"/>
            <w:hideMark/>
          </w:tcPr>
          <w:p w14:paraId="690C2187"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Lindane (γ-HCH) – lindan</w:t>
            </w:r>
          </w:p>
        </w:tc>
      </w:tr>
      <w:tr w:rsidR="00E90B7F" w:rsidRPr="00565E60" w14:paraId="16301E4A" w14:textId="77777777" w:rsidTr="009756DA">
        <w:trPr>
          <w:trHeight w:val="312"/>
        </w:trPr>
        <w:tc>
          <w:tcPr>
            <w:tcW w:w="9360" w:type="dxa"/>
            <w:tcBorders>
              <w:top w:val="nil"/>
              <w:left w:val="nil"/>
              <w:bottom w:val="nil"/>
              <w:right w:val="nil"/>
            </w:tcBorders>
            <w:noWrap/>
            <w:vAlign w:val="center"/>
            <w:hideMark/>
          </w:tcPr>
          <w:p w14:paraId="6FB88E18"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MCCPs (Medium-chain Chlorinated Paraffins) – srednjelančani hlorovani parafini</w:t>
            </w:r>
          </w:p>
        </w:tc>
      </w:tr>
      <w:tr w:rsidR="00E90B7F" w:rsidRPr="00565E60" w14:paraId="5154AC50" w14:textId="77777777" w:rsidTr="009756DA">
        <w:trPr>
          <w:trHeight w:val="312"/>
        </w:trPr>
        <w:tc>
          <w:tcPr>
            <w:tcW w:w="9360" w:type="dxa"/>
            <w:tcBorders>
              <w:top w:val="nil"/>
              <w:left w:val="nil"/>
              <w:bottom w:val="nil"/>
              <w:right w:val="nil"/>
            </w:tcBorders>
            <w:noWrap/>
            <w:vAlign w:val="center"/>
            <w:hideMark/>
          </w:tcPr>
          <w:p w14:paraId="4F06C231"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MDK – maksimalno dozvoljene koncentracije</w:t>
            </w:r>
          </w:p>
        </w:tc>
      </w:tr>
      <w:tr w:rsidR="00E90B7F" w:rsidRPr="00565E60" w14:paraId="57DD1DA7" w14:textId="77777777" w:rsidTr="009756DA">
        <w:trPr>
          <w:trHeight w:val="312"/>
        </w:trPr>
        <w:tc>
          <w:tcPr>
            <w:tcW w:w="9360" w:type="dxa"/>
            <w:tcBorders>
              <w:top w:val="nil"/>
              <w:left w:val="nil"/>
              <w:bottom w:val="nil"/>
              <w:right w:val="nil"/>
            </w:tcBorders>
            <w:noWrap/>
            <w:vAlign w:val="center"/>
            <w:hideMark/>
          </w:tcPr>
          <w:p w14:paraId="38636316"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MONSTAT - Uprava za statistiku Crne Gore</w:t>
            </w:r>
          </w:p>
        </w:tc>
      </w:tr>
      <w:tr w:rsidR="00E90B7F" w:rsidRPr="00565E60" w14:paraId="79AAFDE8" w14:textId="77777777" w:rsidTr="009756DA">
        <w:trPr>
          <w:trHeight w:val="312"/>
        </w:trPr>
        <w:tc>
          <w:tcPr>
            <w:tcW w:w="9360" w:type="dxa"/>
            <w:tcBorders>
              <w:top w:val="nil"/>
              <w:left w:val="nil"/>
              <w:bottom w:val="nil"/>
              <w:right w:val="nil"/>
            </w:tcBorders>
            <w:noWrap/>
            <w:vAlign w:val="center"/>
            <w:hideMark/>
          </w:tcPr>
          <w:p w14:paraId="58C787A1"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MUP – Ministarstvo unutrašnjih poslova</w:t>
            </w:r>
          </w:p>
        </w:tc>
      </w:tr>
      <w:tr w:rsidR="00E90B7F" w:rsidRPr="00565E60" w14:paraId="187BCCBB" w14:textId="77777777" w:rsidTr="009756DA">
        <w:trPr>
          <w:trHeight w:val="312"/>
        </w:trPr>
        <w:tc>
          <w:tcPr>
            <w:tcW w:w="9360" w:type="dxa"/>
            <w:tcBorders>
              <w:top w:val="nil"/>
              <w:left w:val="nil"/>
              <w:bottom w:val="nil"/>
              <w:right w:val="nil"/>
            </w:tcBorders>
            <w:noWrap/>
            <w:vAlign w:val="center"/>
            <w:hideMark/>
          </w:tcPr>
          <w:p w14:paraId="2FDBA5FE"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NIP - Nacionalni plan za implementaciju Stokholmske konvencije</w:t>
            </w:r>
          </w:p>
        </w:tc>
      </w:tr>
      <w:tr w:rsidR="00E90B7F" w:rsidRPr="00565E60" w14:paraId="56AB94A3" w14:textId="77777777" w:rsidTr="009756DA">
        <w:trPr>
          <w:trHeight w:val="312"/>
        </w:trPr>
        <w:tc>
          <w:tcPr>
            <w:tcW w:w="9360" w:type="dxa"/>
            <w:tcBorders>
              <w:top w:val="nil"/>
              <w:left w:val="nil"/>
              <w:bottom w:val="nil"/>
              <w:right w:val="nil"/>
            </w:tcBorders>
            <w:noWrap/>
            <w:vAlign w:val="center"/>
            <w:hideMark/>
          </w:tcPr>
          <w:p w14:paraId="6069D209"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NVO – Nevladine organizacije</w:t>
            </w:r>
          </w:p>
        </w:tc>
      </w:tr>
      <w:tr w:rsidR="00E90B7F" w:rsidRPr="00565E60" w14:paraId="24195587" w14:textId="77777777" w:rsidTr="009756DA">
        <w:trPr>
          <w:trHeight w:val="312"/>
        </w:trPr>
        <w:tc>
          <w:tcPr>
            <w:tcW w:w="9360" w:type="dxa"/>
            <w:tcBorders>
              <w:top w:val="nil"/>
              <w:left w:val="nil"/>
              <w:bottom w:val="nil"/>
              <w:right w:val="nil"/>
            </w:tcBorders>
            <w:noWrap/>
            <w:vAlign w:val="center"/>
            <w:hideMark/>
          </w:tcPr>
          <w:p w14:paraId="0F72043D"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PAH (Polycyclic aromatic Hydrocarbons)- policiklični aromatični ugljovodonici</w:t>
            </w:r>
          </w:p>
        </w:tc>
      </w:tr>
      <w:tr w:rsidR="00E90B7F" w:rsidRPr="00565E60" w14:paraId="5473E06C" w14:textId="77777777" w:rsidTr="009756DA">
        <w:trPr>
          <w:trHeight w:val="312"/>
        </w:trPr>
        <w:tc>
          <w:tcPr>
            <w:tcW w:w="9360" w:type="dxa"/>
            <w:tcBorders>
              <w:top w:val="nil"/>
              <w:left w:val="nil"/>
              <w:bottom w:val="nil"/>
              <w:right w:val="nil"/>
            </w:tcBorders>
            <w:noWrap/>
            <w:vAlign w:val="center"/>
            <w:hideMark/>
          </w:tcPr>
          <w:p w14:paraId="7AF2ECD0"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PBDE (Polybrominated Diphenyl Ethers) – polibromovani difenil etri</w:t>
            </w:r>
          </w:p>
        </w:tc>
      </w:tr>
      <w:tr w:rsidR="00E90B7F" w:rsidRPr="00565E60" w14:paraId="3F3B905A" w14:textId="77777777" w:rsidTr="009756DA">
        <w:trPr>
          <w:trHeight w:val="312"/>
        </w:trPr>
        <w:tc>
          <w:tcPr>
            <w:tcW w:w="9360" w:type="dxa"/>
            <w:tcBorders>
              <w:top w:val="nil"/>
              <w:left w:val="nil"/>
              <w:bottom w:val="nil"/>
              <w:right w:val="nil"/>
            </w:tcBorders>
            <w:noWrap/>
            <w:vAlign w:val="center"/>
            <w:hideMark/>
          </w:tcPr>
          <w:p w14:paraId="7C75689F"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PBT (Persistent, Bioaccumulative and Toxic) – perzistentme, bioakumulativne i toksične supstance</w:t>
            </w:r>
          </w:p>
        </w:tc>
      </w:tr>
      <w:tr w:rsidR="00E90B7F" w:rsidRPr="00565E60" w14:paraId="696E3FC1" w14:textId="77777777" w:rsidTr="009756DA">
        <w:trPr>
          <w:trHeight w:val="312"/>
        </w:trPr>
        <w:tc>
          <w:tcPr>
            <w:tcW w:w="9360" w:type="dxa"/>
            <w:tcBorders>
              <w:top w:val="nil"/>
              <w:left w:val="nil"/>
              <w:bottom w:val="nil"/>
              <w:right w:val="nil"/>
            </w:tcBorders>
            <w:noWrap/>
            <w:vAlign w:val="center"/>
            <w:hideMark/>
          </w:tcPr>
          <w:p w14:paraId="6B1D9872"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PCB (Polychlorinated Biphenyl) - polihlorovani bifenili</w:t>
            </w:r>
          </w:p>
        </w:tc>
      </w:tr>
      <w:tr w:rsidR="00E90B7F" w:rsidRPr="00565E60" w14:paraId="5AC25DE5" w14:textId="77777777" w:rsidTr="009756DA">
        <w:trPr>
          <w:trHeight w:val="312"/>
        </w:trPr>
        <w:tc>
          <w:tcPr>
            <w:tcW w:w="9360" w:type="dxa"/>
            <w:tcBorders>
              <w:top w:val="nil"/>
              <w:left w:val="nil"/>
              <w:bottom w:val="nil"/>
              <w:right w:val="nil"/>
            </w:tcBorders>
            <w:noWrap/>
            <w:vAlign w:val="center"/>
            <w:hideMark/>
          </w:tcPr>
          <w:p w14:paraId="4590B025"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PCB (Polychlorinated Biphenyls) – polihlorovani bifenili</w:t>
            </w:r>
          </w:p>
        </w:tc>
      </w:tr>
      <w:tr w:rsidR="00E90B7F" w:rsidRPr="00565E60" w14:paraId="23B93BD5" w14:textId="77777777" w:rsidTr="009756DA">
        <w:trPr>
          <w:trHeight w:val="312"/>
        </w:trPr>
        <w:tc>
          <w:tcPr>
            <w:tcW w:w="9360" w:type="dxa"/>
            <w:tcBorders>
              <w:top w:val="nil"/>
              <w:left w:val="nil"/>
              <w:bottom w:val="nil"/>
              <w:right w:val="nil"/>
            </w:tcBorders>
            <w:noWrap/>
            <w:vAlign w:val="center"/>
            <w:hideMark/>
          </w:tcPr>
          <w:p w14:paraId="6D990DF4"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PCDD (Polychlorinated Dibenzo-p-dioxins) – polihlorovani dibenzo-p-dioksini</w:t>
            </w:r>
          </w:p>
        </w:tc>
      </w:tr>
      <w:tr w:rsidR="00E90B7F" w:rsidRPr="00565E60" w14:paraId="708CA5E9" w14:textId="77777777" w:rsidTr="009756DA">
        <w:trPr>
          <w:trHeight w:val="312"/>
        </w:trPr>
        <w:tc>
          <w:tcPr>
            <w:tcW w:w="9360" w:type="dxa"/>
            <w:tcBorders>
              <w:top w:val="nil"/>
              <w:left w:val="nil"/>
              <w:bottom w:val="nil"/>
              <w:right w:val="nil"/>
            </w:tcBorders>
            <w:noWrap/>
            <w:vAlign w:val="center"/>
            <w:hideMark/>
          </w:tcPr>
          <w:p w14:paraId="14392D54"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PCDF (Polychlorinated Dibenzofurans) – polihlorovani dibenzofurani</w:t>
            </w:r>
          </w:p>
        </w:tc>
      </w:tr>
      <w:tr w:rsidR="00E90B7F" w:rsidRPr="00565E60" w14:paraId="66D22E1D" w14:textId="77777777" w:rsidTr="009756DA">
        <w:trPr>
          <w:trHeight w:val="312"/>
        </w:trPr>
        <w:tc>
          <w:tcPr>
            <w:tcW w:w="9360" w:type="dxa"/>
            <w:tcBorders>
              <w:top w:val="nil"/>
              <w:left w:val="nil"/>
              <w:bottom w:val="nil"/>
              <w:right w:val="nil"/>
            </w:tcBorders>
            <w:noWrap/>
            <w:vAlign w:val="center"/>
            <w:hideMark/>
          </w:tcPr>
          <w:p w14:paraId="5EC5D6E6"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PCNs (Polychlorinated Naphthalenes) – polihlorovani naftaleni</w:t>
            </w:r>
          </w:p>
        </w:tc>
      </w:tr>
      <w:tr w:rsidR="00E90B7F" w:rsidRPr="00565E60" w14:paraId="3840CB59" w14:textId="77777777" w:rsidTr="009756DA">
        <w:trPr>
          <w:trHeight w:val="312"/>
        </w:trPr>
        <w:tc>
          <w:tcPr>
            <w:tcW w:w="9360" w:type="dxa"/>
            <w:tcBorders>
              <w:top w:val="nil"/>
              <w:left w:val="nil"/>
              <w:bottom w:val="nil"/>
              <w:right w:val="nil"/>
            </w:tcBorders>
            <w:noWrap/>
            <w:vAlign w:val="center"/>
            <w:hideMark/>
          </w:tcPr>
          <w:p w14:paraId="283FF257"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PCP (Pentachlorophenol) – pentahlorfenol</w:t>
            </w:r>
          </w:p>
        </w:tc>
      </w:tr>
      <w:tr w:rsidR="00E90B7F" w:rsidRPr="00565E60" w14:paraId="4ABD7071" w14:textId="77777777" w:rsidTr="009756DA">
        <w:trPr>
          <w:trHeight w:val="312"/>
        </w:trPr>
        <w:tc>
          <w:tcPr>
            <w:tcW w:w="9360" w:type="dxa"/>
            <w:tcBorders>
              <w:top w:val="nil"/>
              <w:left w:val="nil"/>
              <w:bottom w:val="nil"/>
              <w:right w:val="nil"/>
            </w:tcBorders>
            <w:noWrap/>
            <w:vAlign w:val="center"/>
            <w:hideMark/>
          </w:tcPr>
          <w:p w14:paraId="28C5E3B5"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PeCB (Pentachlorobenzene) – pentahlorbenzen</w:t>
            </w:r>
          </w:p>
        </w:tc>
      </w:tr>
      <w:tr w:rsidR="00E90B7F" w:rsidRPr="00565E60" w14:paraId="7D8D586F" w14:textId="77777777" w:rsidTr="009756DA">
        <w:trPr>
          <w:trHeight w:val="312"/>
        </w:trPr>
        <w:tc>
          <w:tcPr>
            <w:tcW w:w="9360" w:type="dxa"/>
            <w:tcBorders>
              <w:top w:val="nil"/>
              <w:left w:val="nil"/>
              <w:bottom w:val="nil"/>
              <w:right w:val="nil"/>
            </w:tcBorders>
            <w:noWrap/>
            <w:vAlign w:val="center"/>
            <w:hideMark/>
          </w:tcPr>
          <w:p w14:paraId="608F8926"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PFHxS (Perfluorohexane Sulfonic Acid) – perfluoroheksansulfonska kiselina</w:t>
            </w:r>
          </w:p>
        </w:tc>
      </w:tr>
      <w:tr w:rsidR="00E90B7F" w:rsidRPr="00565E60" w14:paraId="6F08B433" w14:textId="77777777" w:rsidTr="009756DA">
        <w:trPr>
          <w:trHeight w:val="312"/>
        </w:trPr>
        <w:tc>
          <w:tcPr>
            <w:tcW w:w="9360" w:type="dxa"/>
            <w:tcBorders>
              <w:top w:val="nil"/>
              <w:left w:val="nil"/>
              <w:bottom w:val="nil"/>
              <w:right w:val="nil"/>
            </w:tcBorders>
            <w:noWrap/>
            <w:vAlign w:val="center"/>
            <w:hideMark/>
          </w:tcPr>
          <w:p w14:paraId="32868E2A"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PFOA (Perfluorooctanoic Acid) – perfluorooktanska kiselina</w:t>
            </w:r>
          </w:p>
        </w:tc>
      </w:tr>
      <w:tr w:rsidR="00E90B7F" w:rsidRPr="00565E60" w14:paraId="6929DAB6" w14:textId="77777777" w:rsidTr="009756DA">
        <w:trPr>
          <w:trHeight w:val="312"/>
        </w:trPr>
        <w:tc>
          <w:tcPr>
            <w:tcW w:w="9360" w:type="dxa"/>
            <w:tcBorders>
              <w:top w:val="nil"/>
              <w:left w:val="nil"/>
              <w:bottom w:val="nil"/>
              <w:right w:val="nil"/>
            </w:tcBorders>
            <w:noWrap/>
            <w:vAlign w:val="center"/>
            <w:hideMark/>
          </w:tcPr>
          <w:p w14:paraId="3BF60BA7"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PFOS (Perfluorooctane Sulfonic Acid) – perfluorooktansulfonska kiselina</w:t>
            </w:r>
          </w:p>
        </w:tc>
      </w:tr>
      <w:tr w:rsidR="00E90B7F" w:rsidRPr="00565E60" w14:paraId="0C1B8AF2" w14:textId="77777777" w:rsidTr="009756DA">
        <w:trPr>
          <w:trHeight w:val="312"/>
        </w:trPr>
        <w:tc>
          <w:tcPr>
            <w:tcW w:w="9360" w:type="dxa"/>
            <w:tcBorders>
              <w:top w:val="nil"/>
              <w:left w:val="nil"/>
              <w:bottom w:val="nil"/>
              <w:right w:val="nil"/>
            </w:tcBorders>
            <w:noWrap/>
            <w:vAlign w:val="center"/>
            <w:hideMark/>
          </w:tcPr>
          <w:p w14:paraId="05B8582E"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PFOSF (Perfluorooctane Sulfonyl Fluoride) – perfluorooktansulfonil-fluorid</w:t>
            </w:r>
          </w:p>
        </w:tc>
      </w:tr>
      <w:tr w:rsidR="00E90B7F" w:rsidRPr="00565E60" w14:paraId="0D7B3E38" w14:textId="77777777" w:rsidTr="009756DA">
        <w:trPr>
          <w:trHeight w:val="312"/>
        </w:trPr>
        <w:tc>
          <w:tcPr>
            <w:tcW w:w="9360" w:type="dxa"/>
            <w:tcBorders>
              <w:top w:val="nil"/>
              <w:left w:val="nil"/>
              <w:bottom w:val="nil"/>
              <w:right w:val="nil"/>
            </w:tcBorders>
            <w:noWrap/>
            <w:vAlign w:val="center"/>
            <w:hideMark/>
          </w:tcPr>
          <w:p w14:paraId="17AE1C2A"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POPs (Persistent Organic Pollutants) – dugotrajne organske zagađujuće supstance</w:t>
            </w:r>
          </w:p>
        </w:tc>
      </w:tr>
      <w:tr w:rsidR="00E90B7F" w:rsidRPr="00565E60" w14:paraId="67DD720E" w14:textId="77777777" w:rsidTr="009756DA">
        <w:trPr>
          <w:trHeight w:val="312"/>
        </w:trPr>
        <w:tc>
          <w:tcPr>
            <w:tcW w:w="9360" w:type="dxa"/>
            <w:tcBorders>
              <w:top w:val="nil"/>
              <w:left w:val="nil"/>
              <w:bottom w:val="nil"/>
              <w:right w:val="nil"/>
            </w:tcBorders>
            <w:noWrap/>
            <w:vAlign w:val="center"/>
            <w:hideMark/>
          </w:tcPr>
          <w:p w14:paraId="4C0E9E58"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PPCG - Program pristupanja Crne Gore Evropskoj uniji</w:t>
            </w:r>
          </w:p>
        </w:tc>
      </w:tr>
      <w:tr w:rsidR="00E90B7F" w:rsidRPr="00565E60" w14:paraId="40EE921F" w14:textId="77777777" w:rsidTr="009756DA">
        <w:trPr>
          <w:trHeight w:val="312"/>
        </w:trPr>
        <w:tc>
          <w:tcPr>
            <w:tcW w:w="9360" w:type="dxa"/>
            <w:tcBorders>
              <w:top w:val="nil"/>
              <w:left w:val="nil"/>
              <w:bottom w:val="nil"/>
              <w:right w:val="nil"/>
            </w:tcBorders>
            <w:noWrap/>
            <w:vAlign w:val="center"/>
            <w:hideMark/>
          </w:tcPr>
          <w:p w14:paraId="356D65FE"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SAICM (Strategic Approach to International Chemicals Management) - Strateški pristup međunarodnom upravljanju hemikalijama</w:t>
            </w:r>
          </w:p>
        </w:tc>
      </w:tr>
      <w:tr w:rsidR="00E90B7F" w:rsidRPr="00565E60" w14:paraId="14521CC4" w14:textId="77777777" w:rsidTr="009756DA">
        <w:trPr>
          <w:trHeight w:val="312"/>
        </w:trPr>
        <w:tc>
          <w:tcPr>
            <w:tcW w:w="9360" w:type="dxa"/>
            <w:tcBorders>
              <w:top w:val="nil"/>
              <w:left w:val="nil"/>
              <w:bottom w:val="nil"/>
              <w:right w:val="nil"/>
            </w:tcBorders>
            <w:noWrap/>
            <w:vAlign w:val="center"/>
            <w:hideMark/>
          </w:tcPr>
          <w:p w14:paraId="1B6888BB"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SCCPs (Short-chain Chlorinated Paraffins) – kratkolančani hlorovani parafini</w:t>
            </w:r>
          </w:p>
        </w:tc>
      </w:tr>
      <w:tr w:rsidR="00E90B7F" w:rsidRPr="00565E60" w14:paraId="3244A818" w14:textId="77777777" w:rsidTr="009756DA">
        <w:trPr>
          <w:trHeight w:val="312"/>
        </w:trPr>
        <w:tc>
          <w:tcPr>
            <w:tcW w:w="9360" w:type="dxa"/>
            <w:tcBorders>
              <w:top w:val="nil"/>
              <w:left w:val="nil"/>
              <w:bottom w:val="nil"/>
              <w:right w:val="nil"/>
            </w:tcBorders>
            <w:noWrap/>
            <w:vAlign w:val="center"/>
            <w:hideMark/>
          </w:tcPr>
          <w:p w14:paraId="2D2652D6"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TAIEX (Technical Assistance and Information Exchange) -Instrument za tehničku pomoć i razmjenu informacija</w:t>
            </w:r>
          </w:p>
        </w:tc>
      </w:tr>
      <w:tr w:rsidR="00E90B7F" w:rsidRPr="00565E60" w14:paraId="617EAB8B" w14:textId="77777777" w:rsidTr="009756DA">
        <w:trPr>
          <w:trHeight w:val="312"/>
        </w:trPr>
        <w:tc>
          <w:tcPr>
            <w:tcW w:w="9360" w:type="dxa"/>
            <w:tcBorders>
              <w:top w:val="nil"/>
              <w:left w:val="nil"/>
              <w:bottom w:val="nil"/>
              <w:right w:val="nil"/>
            </w:tcBorders>
            <w:noWrap/>
            <w:vAlign w:val="center"/>
            <w:hideMark/>
          </w:tcPr>
          <w:p w14:paraId="0EF17E15"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TetraBDE / PentaBDE – tetra- i pentabromodifenil etri</w:t>
            </w:r>
          </w:p>
        </w:tc>
      </w:tr>
      <w:tr w:rsidR="00E90B7F" w:rsidRPr="00565E60" w14:paraId="1B8411ED" w14:textId="77777777" w:rsidTr="009756DA">
        <w:trPr>
          <w:trHeight w:val="312"/>
        </w:trPr>
        <w:tc>
          <w:tcPr>
            <w:tcW w:w="9360" w:type="dxa"/>
            <w:tcBorders>
              <w:top w:val="nil"/>
              <w:left w:val="nil"/>
              <w:bottom w:val="nil"/>
              <w:right w:val="nil"/>
            </w:tcBorders>
            <w:noWrap/>
            <w:vAlign w:val="center"/>
            <w:hideMark/>
          </w:tcPr>
          <w:p w14:paraId="5387CB03"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UNDP (United Nations Development Programme) - Program Ujedinjenih nacija za razvoj</w:t>
            </w:r>
          </w:p>
        </w:tc>
      </w:tr>
      <w:tr w:rsidR="00E90B7F" w:rsidRPr="00565E60" w14:paraId="6FE3B7FE" w14:textId="77777777" w:rsidTr="009756DA">
        <w:trPr>
          <w:trHeight w:val="312"/>
        </w:trPr>
        <w:tc>
          <w:tcPr>
            <w:tcW w:w="9360" w:type="dxa"/>
            <w:tcBorders>
              <w:top w:val="nil"/>
              <w:left w:val="nil"/>
              <w:bottom w:val="nil"/>
              <w:right w:val="nil"/>
            </w:tcBorders>
            <w:noWrap/>
            <w:vAlign w:val="center"/>
            <w:hideMark/>
          </w:tcPr>
          <w:p w14:paraId="34B070CA"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UNEP (United Nations Environment Programme) - Program Ujedinjenih naciija za zaštitu životne sredine</w:t>
            </w:r>
          </w:p>
        </w:tc>
      </w:tr>
      <w:tr w:rsidR="00E90B7F" w:rsidRPr="00565E60" w14:paraId="0EF21B87" w14:textId="77777777" w:rsidTr="009756DA">
        <w:trPr>
          <w:trHeight w:val="312"/>
        </w:trPr>
        <w:tc>
          <w:tcPr>
            <w:tcW w:w="9360" w:type="dxa"/>
            <w:tcBorders>
              <w:top w:val="nil"/>
              <w:left w:val="nil"/>
              <w:bottom w:val="nil"/>
              <w:right w:val="nil"/>
            </w:tcBorders>
            <w:noWrap/>
            <w:vAlign w:val="center"/>
            <w:hideMark/>
          </w:tcPr>
          <w:p w14:paraId="0E167779"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WHO (World Health Organisation) – Svjetska zdravstvena organiza</w:t>
            </w:r>
          </w:p>
        </w:tc>
      </w:tr>
      <w:tr w:rsidR="00E90B7F" w:rsidRPr="00565E60" w14:paraId="768B9ED7" w14:textId="77777777" w:rsidTr="009756DA">
        <w:trPr>
          <w:trHeight w:val="312"/>
        </w:trPr>
        <w:tc>
          <w:tcPr>
            <w:tcW w:w="9360" w:type="dxa"/>
            <w:tcBorders>
              <w:top w:val="nil"/>
              <w:left w:val="nil"/>
              <w:bottom w:val="nil"/>
              <w:right w:val="nil"/>
            </w:tcBorders>
            <w:noWrap/>
            <w:vAlign w:val="center"/>
            <w:hideMark/>
          </w:tcPr>
          <w:p w14:paraId="7916B0DA" w14:textId="77777777" w:rsidR="00E90B7F" w:rsidRPr="00565E60" w:rsidRDefault="00E90B7F" w:rsidP="009756DA">
            <w:pPr>
              <w:rPr>
                <w:rFonts w:eastAsia="Times New Roman" w:cs="Calibri"/>
                <w:color w:val="auto"/>
                <w:szCs w:val="24"/>
              </w:rPr>
            </w:pPr>
            <w:r w:rsidRPr="00565E60">
              <w:rPr>
                <w:rFonts w:eastAsia="Times New Roman" w:cs="Calibri"/>
                <w:color w:val="auto"/>
                <w:szCs w:val="24"/>
              </w:rPr>
              <w:t>ZHMS - Zavod za hidrometeorologiju i seizmologiju</w:t>
            </w:r>
          </w:p>
        </w:tc>
      </w:tr>
    </w:tbl>
    <w:p w14:paraId="60B607D4" w14:textId="77777777" w:rsidR="0092561C" w:rsidRPr="00C86111" w:rsidRDefault="0092561C" w:rsidP="002B19B1">
      <w:pPr>
        <w:jc w:val="both"/>
        <w:rPr>
          <w:rFonts w:asciiTheme="minorHAnsi" w:hAnsiTheme="minorHAnsi" w:cstheme="minorHAnsi"/>
          <w:b/>
          <w:bCs/>
          <w:color w:val="4472C4" w:themeColor="accent1"/>
          <w:szCs w:val="24"/>
        </w:rPr>
      </w:pPr>
    </w:p>
    <w:p w14:paraId="29E40F12" w14:textId="77777777" w:rsidR="0092561C" w:rsidRPr="00C86111" w:rsidRDefault="0092561C" w:rsidP="002B19B1">
      <w:pPr>
        <w:jc w:val="both"/>
        <w:rPr>
          <w:rFonts w:asciiTheme="minorHAnsi" w:hAnsiTheme="minorHAnsi" w:cstheme="minorHAnsi"/>
          <w:b/>
          <w:bCs/>
          <w:color w:val="4472C4" w:themeColor="accent1"/>
          <w:szCs w:val="24"/>
        </w:rPr>
      </w:pPr>
    </w:p>
    <w:p w14:paraId="2FD79E80" w14:textId="77777777" w:rsidR="0092561C" w:rsidRPr="00C86111" w:rsidRDefault="0092561C" w:rsidP="002B19B1">
      <w:pPr>
        <w:jc w:val="both"/>
        <w:rPr>
          <w:rFonts w:asciiTheme="minorHAnsi" w:hAnsiTheme="minorHAnsi" w:cstheme="minorHAnsi"/>
          <w:b/>
          <w:bCs/>
          <w:color w:val="4472C4" w:themeColor="accent1"/>
          <w:szCs w:val="24"/>
        </w:rPr>
      </w:pPr>
    </w:p>
    <w:p w14:paraId="59340D65" w14:textId="77777777" w:rsidR="0092561C" w:rsidRPr="00C86111" w:rsidRDefault="0092561C" w:rsidP="002B19B1">
      <w:pPr>
        <w:jc w:val="both"/>
        <w:rPr>
          <w:rFonts w:asciiTheme="minorHAnsi" w:hAnsiTheme="minorHAnsi" w:cstheme="minorHAnsi"/>
          <w:b/>
          <w:bCs/>
          <w:color w:val="4472C4" w:themeColor="accent1"/>
          <w:szCs w:val="24"/>
        </w:rPr>
      </w:pPr>
    </w:p>
    <w:p w14:paraId="4A91C162" w14:textId="77777777" w:rsidR="0092561C" w:rsidRPr="00C86111" w:rsidRDefault="0092561C" w:rsidP="002B19B1">
      <w:pPr>
        <w:jc w:val="both"/>
        <w:rPr>
          <w:rFonts w:asciiTheme="minorHAnsi" w:hAnsiTheme="minorHAnsi" w:cstheme="minorHAnsi"/>
          <w:b/>
          <w:bCs/>
          <w:color w:val="4472C4" w:themeColor="accent1"/>
          <w:szCs w:val="24"/>
        </w:rPr>
      </w:pPr>
    </w:p>
    <w:p w14:paraId="30AFD6BE" w14:textId="77777777" w:rsidR="0092561C" w:rsidRPr="00C86111" w:rsidRDefault="0092561C" w:rsidP="002B19B1">
      <w:pPr>
        <w:jc w:val="both"/>
        <w:rPr>
          <w:rFonts w:asciiTheme="minorHAnsi" w:hAnsiTheme="minorHAnsi" w:cstheme="minorHAnsi"/>
          <w:b/>
          <w:bCs/>
          <w:color w:val="4472C4" w:themeColor="accent1"/>
          <w:szCs w:val="24"/>
        </w:rPr>
      </w:pPr>
    </w:p>
    <w:p w14:paraId="4E64573C" w14:textId="77777777" w:rsidR="0092561C" w:rsidRPr="00C86111" w:rsidRDefault="0092561C" w:rsidP="002B19B1">
      <w:pPr>
        <w:jc w:val="both"/>
        <w:rPr>
          <w:rFonts w:asciiTheme="minorHAnsi" w:hAnsiTheme="minorHAnsi" w:cstheme="minorHAnsi"/>
          <w:b/>
          <w:bCs/>
          <w:color w:val="4472C4" w:themeColor="accent1"/>
          <w:szCs w:val="24"/>
        </w:rPr>
      </w:pPr>
    </w:p>
    <w:p w14:paraId="3BDED36B" w14:textId="77777777" w:rsidR="0092561C" w:rsidRPr="00C86111" w:rsidRDefault="0092561C" w:rsidP="002B19B1">
      <w:pPr>
        <w:jc w:val="both"/>
        <w:rPr>
          <w:rFonts w:asciiTheme="minorHAnsi" w:hAnsiTheme="minorHAnsi" w:cstheme="minorHAnsi"/>
          <w:b/>
          <w:bCs/>
          <w:color w:val="4472C4" w:themeColor="accent1"/>
          <w:szCs w:val="24"/>
        </w:rPr>
      </w:pPr>
    </w:p>
    <w:p w14:paraId="67439224" w14:textId="77777777" w:rsidR="0092561C" w:rsidRDefault="0092561C" w:rsidP="002B19B1">
      <w:pPr>
        <w:jc w:val="both"/>
        <w:rPr>
          <w:rFonts w:asciiTheme="minorHAnsi" w:hAnsiTheme="minorHAnsi" w:cstheme="minorHAnsi"/>
          <w:b/>
          <w:bCs/>
          <w:color w:val="4472C4" w:themeColor="accent1"/>
          <w:szCs w:val="24"/>
        </w:rPr>
      </w:pPr>
    </w:p>
    <w:p w14:paraId="0ED03B25" w14:textId="77777777" w:rsidR="00E90B7F" w:rsidRDefault="00E90B7F" w:rsidP="002B19B1">
      <w:pPr>
        <w:jc w:val="both"/>
        <w:rPr>
          <w:rFonts w:asciiTheme="minorHAnsi" w:hAnsiTheme="minorHAnsi" w:cstheme="minorHAnsi"/>
          <w:b/>
          <w:bCs/>
          <w:color w:val="4472C4" w:themeColor="accent1"/>
          <w:szCs w:val="24"/>
        </w:rPr>
      </w:pPr>
    </w:p>
    <w:p w14:paraId="086AFE0A" w14:textId="77777777" w:rsidR="00E90B7F" w:rsidRDefault="00E90B7F" w:rsidP="002B19B1">
      <w:pPr>
        <w:jc w:val="both"/>
        <w:rPr>
          <w:rFonts w:asciiTheme="minorHAnsi" w:hAnsiTheme="minorHAnsi" w:cstheme="minorHAnsi"/>
          <w:b/>
          <w:bCs/>
          <w:color w:val="4472C4" w:themeColor="accent1"/>
          <w:szCs w:val="24"/>
        </w:rPr>
      </w:pPr>
    </w:p>
    <w:p w14:paraId="245BEF7A" w14:textId="77777777" w:rsidR="00E90B7F" w:rsidRDefault="00E90B7F" w:rsidP="002B19B1">
      <w:pPr>
        <w:jc w:val="both"/>
        <w:rPr>
          <w:rFonts w:asciiTheme="minorHAnsi" w:hAnsiTheme="minorHAnsi" w:cstheme="minorHAnsi"/>
          <w:b/>
          <w:bCs/>
          <w:color w:val="4472C4" w:themeColor="accent1"/>
          <w:szCs w:val="24"/>
        </w:rPr>
      </w:pPr>
    </w:p>
    <w:p w14:paraId="4FD6A5AA" w14:textId="77777777" w:rsidR="00E90B7F" w:rsidRDefault="00E90B7F" w:rsidP="002B19B1">
      <w:pPr>
        <w:jc w:val="both"/>
        <w:rPr>
          <w:rFonts w:asciiTheme="minorHAnsi" w:hAnsiTheme="minorHAnsi" w:cstheme="minorHAnsi"/>
          <w:b/>
          <w:bCs/>
          <w:color w:val="4472C4" w:themeColor="accent1"/>
          <w:szCs w:val="24"/>
        </w:rPr>
      </w:pPr>
    </w:p>
    <w:p w14:paraId="68FFC72B" w14:textId="77777777" w:rsidR="00E90B7F" w:rsidRDefault="00E90B7F" w:rsidP="002B19B1">
      <w:pPr>
        <w:jc w:val="both"/>
        <w:rPr>
          <w:rFonts w:asciiTheme="minorHAnsi" w:hAnsiTheme="minorHAnsi" w:cstheme="minorHAnsi"/>
          <w:b/>
          <w:bCs/>
          <w:color w:val="4472C4" w:themeColor="accent1"/>
          <w:szCs w:val="24"/>
        </w:rPr>
      </w:pPr>
    </w:p>
    <w:p w14:paraId="110EDB5E" w14:textId="77777777" w:rsidR="00E90B7F" w:rsidRDefault="00E90B7F" w:rsidP="002B19B1">
      <w:pPr>
        <w:jc w:val="both"/>
        <w:rPr>
          <w:rFonts w:asciiTheme="minorHAnsi" w:hAnsiTheme="minorHAnsi" w:cstheme="minorHAnsi"/>
          <w:b/>
          <w:bCs/>
          <w:color w:val="4472C4" w:themeColor="accent1"/>
          <w:szCs w:val="24"/>
        </w:rPr>
      </w:pPr>
    </w:p>
    <w:p w14:paraId="2DBB930F" w14:textId="77777777" w:rsidR="00E90B7F" w:rsidRDefault="00E90B7F" w:rsidP="002B19B1">
      <w:pPr>
        <w:jc w:val="both"/>
        <w:rPr>
          <w:rFonts w:asciiTheme="minorHAnsi" w:hAnsiTheme="minorHAnsi" w:cstheme="minorHAnsi"/>
          <w:b/>
          <w:bCs/>
          <w:color w:val="4472C4" w:themeColor="accent1"/>
          <w:szCs w:val="24"/>
        </w:rPr>
      </w:pPr>
    </w:p>
    <w:p w14:paraId="26EFEF11" w14:textId="77777777" w:rsidR="0092561C" w:rsidRPr="00C86111" w:rsidRDefault="0092561C" w:rsidP="002B19B1">
      <w:pPr>
        <w:jc w:val="both"/>
        <w:rPr>
          <w:rFonts w:asciiTheme="minorHAnsi" w:hAnsiTheme="minorHAnsi" w:cstheme="minorHAnsi"/>
          <w:b/>
          <w:bCs/>
          <w:color w:val="4472C4" w:themeColor="accent1"/>
          <w:szCs w:val="24"/>
        </w:rPr>
      </w:pPr>
    </w:p>
    <w:p w14:paraId="3C776477" w14:textId="77777777" w:rsidR="0092561C" w:rsidRPr="00C86111" w:rsidRDefault="0092561C" w:rsidP="002B19B1">
      <w:pPr>
        <w:jc w:val="both"/>
        <w:rPr>
          <w:rFonts w:asciiTheme="minorHAnsi" w:hAnsiTheme="minorHAnsi" w:cstheme="minorHAnsi"/>
          <w:b/>
          <w:bCs/>
          <w:color w:val="4472C4" w:themeColor="accent1"/>
          <w:szCs w:val="24"/>
        </w:rPr>
      </w:pPr>
    </w:p>
    <w:p w14:paraId="3EC06FB4" w14:textId="77777777" w:rsidR="0092561C" w:rsidRPr="00C86111" w:rsidRDefault="0092561C" w:rsidP="0092561C">
      <w:pPr>
        <w:pStyle w:val="Title"/>
      </w:pPr>
    </w:p>
    <w:p w14:paraId="069F3D00" w14:textId="27F6196F" w:rsidR="0092561C" w:rsidRPr="006830BB" w:rsidRDefault="0092561C" w:rsidP="006830BB">
      <w:pPr>
        <w:pStyle w:val="Title"/>
      </w:pPr>
      <w:r w:rsidRPr="006830BB">
        <w:t>UVOD</w:t>
      </w:r>
    </w:p>
    <w:p w14:paraId="1A0A2737" w14:textId="77777777" w:rsidR="0092561C" w:rsidRPr="00C86111" w:rsidRDefault="0092561C" w:rsidP="002B19B1">
      <w:pPr>
        <w:jc w:val="both"/>
        <w:rPr>
          <w:rFonts w:asciiTheme="minorHAnsi" w:hAnsiTheme="minorHAnsi" w:cstheme="minorHAnsi"/>
          <w:b/>
          <w:bCs/>
          <w:color w:val="4472C4" w:themeColor="accent1"/>
          <w:szCs w:val="24"/>
        </w:rPr>
      </w:pPr>
    </w:p>
    <w:p w14:paraId="19B06A3E" w14:textId="77777777" w:rsidR="0092561C" w:rsidRPr="00C86111" w:rsidRDefault="0092561C" w:rsidP="002B19B1">
      <w:pPr>
        <w:jc w:val="both"/>
        <w:rPr>
          <w:rFonts w:asciiTheme="minorHAnsi" w:hAnsiTheme="minorHAnsi" w:cstheme="minorHAnsi"/>
          <w:b/>
          <w:bCs/>
          <w:color w:val="4472C4" w:themeColor="accent1"/>
          <w:szCs w:val="24"/>
        </w:rPr>
      </w:pPr>
    </w:p>
    <w:p w14:paraId="3A06DDAF" w14:textId="77777777" w:rsidR="0092561C" w:rsidRPr="00C86111" w:rsidRDefault="0092561C" w:rsidP="002B19B1">
      <w:pPr>
        <w:jc w:val="both"/>
        <w:rPr>
          <w:rFonts w:asciiTheme="minorHAnsi" w:hAnsiTheme="minorHAnsi" w:cstheme="minorHAnsi"/>
          <w:b/>
          <w:bCs/>
          <w:color w:val="4472C4" w:themeColor="accent1"/>
          <w:szCs w:val="24"/>
        </w:rPr>
      </w:pPr>
    </w:p>
    <w:p w14:paraId="478DAD1D" w14:textId="77777777" w:rsidR="0092561C" w:rsidRPr="00C86111" w:rsidRDefault="0092561C" w:rsidP="002B19B1">
      <w:pPr>
        <w:jc w:val="both"/>
        <w:rPr>
          <w:rFonts w:asciiTheme="minorHAnsi" w:hAnsiTheme="minorHAnsi" w:cstheme="minorHAnsi"/>
          <w:b/>
          <w:bCs/>
          <w:color w:val="4472C4" w:themeColor="accent1"/>
          <w:szCs w:val="24"/>
        </w:rPr>
      </w:pPr>
    </w:p>
    <w:p w14:paraId="562F8565" w14:textId="77777777" w:rsidR="0092561C" w:rsidRPr="00C86111" w:rsidRDefault="0092561C" w:rsidP="002B19B1">
      <w:pPr>
        <w:jc w:val="both"/>
        <w:rPr>
          <w:rFonts w:asciiTheme="minorHAnsi" w:hAnsiTheme="minorHAnsi" w:cstheme="minorHAnsi"/>
          <w:b/>
          <w:bCs/>
          <w:color w:val="4472C4" w:themeColor="accent1"/>
          <w:szCs w:val="24"/>
        </w:rPr>
      </w:pPr>
    </w:p>
    <w:p w14:paraId="1620387F" w14:textId="77777777" w:rsidR="0092561C" w:rsidRPr="00C86111" w:rsidRDefault="0092561C" w:rsidP="002B19B1">
      <w:pPr>
        <w:jc w:val="both"/>
        <w:rPr>
          <w:rFonts w:asciiTheme="minorHAnsi" w:hAnsiTheme="minorHAnsi" w:cstheme="minorHAnsi"/>
          <w:b/>
          <w:bCs/>
          <w:color w:val="4472C4" w:themeColor="accent1"/>
          <w:szCs w:val="24"/>
        </w:rPr>
      </w:pPr>
    </w:p>
    <w:p w14:paraId="1DD1AB89" w14:textId="77777777" w:rsidR="0092561C" w:rsidRPr="00C86111" w:rsidRDefault="0092561C" w:rsidP="002B19B1">
      <w:pPr>
        <w:jc w:val="both"/>
        <w:rPr>
          <w:rFonts w:asciiTheme="minorHAnsi" w:hAnsiTheme="minorHAnsi" w:cstheme="minorHAnsi"/>
          <w:b/>
          <w:bCs/>
          <w:color w:val="4472C4" w:themeColor="accent1"/>
          <w:szCs w:val="24"/>
        </w:rPr>
      </w:pPr>
    </w:p>
    <w:p w14:paraId="3021E50A" w14:textId="77777777" w:rsidR="0092561C" w:rsidRDefault="0092561C" w:rsidP="002B19B1">
      <w:pPr>
        <w:jc w:val="both"/>
        <w:rPr>
          <w:rFonts w:asciiTheme="minorHAnsi" w:hAnsiTheme="minorHAnsi" w:cstheme="minorHAnsi"/>
          <w:b/>
          <w:bCs/>
          <w:color w:val="4472C4" w:themeColor="accent1"/>
          <w:szCs w:val="24"/>
        </w:rPr>
      </w:pPr>
    </w:p>
    <w:p w14:paraId="60768912" w14:textId="77777777" w:rsidR="003B5212" w:rsidRDefault="003B5212" w:rsidP="002B19B1">
      <w:pPr>
        <w:jc w:val="both"/>
        <w:rPr>
          <w:rFonts w:asciiTheme="minorHAnsi" w:hAnsiTheme="minorHAnsi" w:cstheme="minorHAnsi"/>
          <w:b/>
          <w:bCs/>
          <w:color w:val="4472C4" w:themeColor="accent1"/>
          <w:szCs w:val="24"/>
        </w:rPr>
      </w:pPr>
    </w:p>
    <w:p w14:paraId="36E4FAB8" w14:textId="77777777" w:rsidR="003B5212" w:rsidRDefault="003B5212" w:rsidP="002B19B1">
      <w:pPr>
        <w:jc w:val="both"/>
        <w:rPr>
          <w:rFonts w:asciiTheme="minorHAnsi" w:hAnsiTheme="minorHAnsi" w:cstheme="minorHAnsi"/>
          <w:b/>
          <w:bCs/>
          <w:color w:val="4472C4" w:themeColor="accent1"/>
          <w:szCs w:val="24"/>
        </w:rPr>
      </w:pPr>
    </w:p>
    <w:p w14:paraId="25668F2E" w14:textId="77777777" w:rsidR="003B5212" w:rsidRDefault="003B5212" w:rsidP="002B19B1">
      <w:pPr>
        <w:jc w:val="both"/>
        <w:rPr>
          <w:rFonts w:asciiTheme="minorHAnsi" w:hAnsiTheme="minorHAnsi" w:cstheme="minorHAnsi"/>
          <w:b/>
          <w:bCs/>
          <w:color w:val="4472C4" w:themeColor="accent1"/>
          <w:szCs w:val="24"/>
        </w:rPr>
      </w:pPr>
    </w:p>
    <w:p w14:paraId="21683044" w14:textId="77777777" w:rsidR="003B5212" w:rsidRDefault="003B5212" w:rsidP="002B19B1">
      <w:pPr>
        <w:jc w:val="both"/>
        <w:rPr>
          <w:rFonts w:asciiTheme="minorHAnsi" w:hAnsiTheme="minorHAnsi" w:cstheme="minorHAnsi"/>
          <w:b/>
          <w:bCs/>
          <w:color w:val="4472C4" w:themeColor="accent1"/>
          <w:szCs w:val="24"/>
        </w:rPr>
      </w:pPr>
    </w:p>
    <w:p w14:paraId="4F6BAF85" w14:textId="77777777" w:rsidR="003B5212" w:rsidRDefault="003B5212" w:rsidP="002B19B1">
      <w:pPr>
        <w:jc w:val="both"/>
        <w:rPr>
          <w:rFonts w:asciiTheme="minorHAnsi" w:hAnsiTheme="minorHAnsi" w:cstheme="minorHAnsi"/>
          <w:b/>
          <w:bCs/>
          <w:color w:val="4472C4" w:themeColor="accent1"/>
          <w:szCs w:val="24"/>
        </w:rPr>
      </w:pPr>
    </w:p>
    <w:p w14:paraId="40372188" w14:textId="77777777" w:rsidR="003B5212" w:rsidRDefault="003B5212" w:rsidP="002B19B1">
      <w:pPr>
        <w:jc w:val="both"/>
        <w:rPr>
          <w:rFonts w:asciiTheme="minorHAnsi" w:hAnsiTheme="minorHAnsi" w:cstheme="minorHAnsi"/>
          <w:b/>
          <w:bCs/>
          <w:color w:val="4472C4" w:themeColor="accent1"/>
          <w:szCs w:val="24"/>
        </w:rPr>
      </w:pPr>
    </w:p>
    <w:p w14:paraId="221D9FBC" w14:textId="77777777" w:rsidR="003B5212" w:rsidRDefault="003B5212" w:rsidP="002B19B1">
      <w:pPr>
        <w:jc w:val="both"/>
        <w:rPr>
          <w:rFonts w:asciiTheme="minorHAnsi" w:hAnsiTheme="minorHAnsi" w:cstheme="minorHAnsi"/>
          <w:b/>
          <w:bCs/>
          <w:color w:val="4472C4" w:themeColor="accent1"/>
          <w:szCs w:val="24"/>
        </w:rPr>
      </w:pPr>
    </w:p>
    <w:p w14:paraId="546604B8" w14:textId="77777777" w:rsidR="003B5212" w:rsidRDefault="003B5212" w:rsidP="002B19B1">
      <w:pPr>
        <w:jc w:val="both"/>
        <w:rPr>
          <w:rFonts w:asciiTheme="minorHAnsi" w:hAnsiTheme="minorHAnsi" w:cstheme="minorHAnsi"/>
          <w:b/>
          <w:bCs/>
          <w:color w:val="4472C4" w:themeColor="accent1"/>
          <w:szCs w:val="24"/>
        </w:rPr>
      </w:pPr>
    </w:p>
    <w:p w14:paraId="0BABD713" w14:textId="77777777" w:rsidR="003B5212" w:rsidRDefault="003B5212" w:rsidP="002B19B1">
      <w:pPr>
        <w:jc w:val="both"/>
        <w:rPr>
          <w:rFonts w:asciiTheme="minorHAnsi" w:hAnsiTheme="minorHAnsi" w:cstheme="minorHAnsi"/>
          <w:b/>
          <w:bCs/>
          <w:color w:val="4472C4" w:themeColor="accent1"/>
          <w:szCs w:val="24"/>
        </w:rPr>
      </w:pPr>
    </w:p>
    <w:p w14:paraId="308336A7" w14:textId="77777777" w:rsidR="003B5212" w:rsidRDefault="003B5212" w:rsidP="002B19B1">
      <w:pPr>
        <w:jc w:val="both"/>
        <w:rPr>
          <w:rFonts w:asciiTheme="minorHAnsi" w:hAnsiTheme="minorHAnsi" w:cstheme="minorHAnsi"/>
          <w:b/>
          <w:bCs/>
          <w:color w:val="4472C4" w:themeColor="accent1"/>
          <w:szCs w:val="24"/>
        </w:rPr>
      </w:pPr>
    </w:p>
    <w:p w14:paraId="5312406C" w14:textId="77777777" w:rsidR="003B5212" w:rsidRDefault="003B5212" w:rsidP="002B19B1">
      <w:pPr>
        <w:jc w:val="both"/>
        <w:rPr>
          <w:rFonts w:asciiTheme="minorHAnsi" w:hAnsiTheme="minorHAnsi" w:cstheme="minorHAnsi"/>
          <w:b/>
          <w:bCs/>
          <w:color w:val="4472C4" w:themeColor="accent1"/>
          <w:szCs w:val="24"/>
        </w:rPr>
      </w:pPr>
    </w:p>
    <w:p w14:paraId="3560FCC4" w14:textId="77777777" w:rsidR="003B5212" w:rsidRDefault="003B5212" w:rsidP="002B19B1">
      <w:pPr>
        <w:jc w:val="both"/>
        <w:rPr>
          <w:rFonts w:asciiTheme="minorHAnsi" w:hAnsiTheme="minorHAnsi" w:cstheme="minorHAnsi"/>
          <w:b/>
          <w:bCs/>
          <w:color w:val="4472C4" w:themeColor="accent1"/>
          <w:szCs w:val="24"/>
        </w:rPr>
      </w:pPr>
    </w:p>
    <w:p w14:paraId="44BC8C4A" w14:textId="77777777" w:rsidR="003B5212" w:rsidRDefault="003B5212" w:rsidP="002B19B1">
      <w:pPr>
        <w:jc w:val="both"/>
        <w:rPr>
          <w:rFonts w:asciiTheme="minorHAnsi" w:hAnsiTheme="minorHAnsi" w:cstheme="minorHAnsi"/>
          <w:b/>
          <w:bCs/>
          <w:color w:val="4472C4" w:themeColor="accent1"/>
          <w:szCs w:val="24"/>
        </w:rPr>
      </w:pPr>
    </w:p>
    <w:p w14:paraId="1FDAE724" w14:textId="77777777" w:rsidR="003B5212" w:rsidRPr="00C86111" w:rsidRDefault="003B5212" w:rsidP="002B19B1">
      <w:pPr>
        <w:jc w:val="both"/>
        <w:rPr>
          <w:rFonts w:asciiTheme="minorHAnsi" w:hAnsiTheme="minorHAnsi" w:cstheme="minorHAnsi"/>
          <w:b/>
          <w:bCs/>
          <w:color w:val="4472C4" w:themeColor="accent1"/>
          <w:szCs w:val="24"/>
        </w:rPr>
      </w:pPr>
    </w:p>
    <w:p w14:paraId="3CC8CF2A" w14:textId="77777777" w:rsidR="0092561C" w:rsidRDefault="0092561C" w:rsidP="002B19B1">
      <w:pPr>
        <w:jc w:val="both"/>
        <w:rPr>
          <w:rFonts w:asciiTheme="minorHAnsi" w:hAnsiTheme="minorHAnsi" w:cstheme="minorHAnsi"/>
          <w:b/>
          <w:bCs/>
          <w:color w:val="4472C4" w:themeColor="accent1"/>
          <w:szCs w:val="24"/>
        </w:rPr>
      </w:pPr>
    </w:p>
    <w:p w14:paraId="601E9653" w14:textId="77777777" w:rsidR="00E90B7F" w:rsidRDefault="00E90B7F" w:rsidP="002B19B1">
      <w:pPr>
        <w:jc w:val="both"/>
        <w:rPr>
          <w:rFonts w:asciiTheme="minorHAnsi" w:hAnsiTheme="minorHAnsi" w:cstheme="minorHAnsi"/>
          <w:b/>
          <w:bCs/>
          <w:color w:val="4472C4" w:themeColor="accent1"/>
          <w:szCs w:val="24"/>
        </w:rPr>
      </w:pPr>
    </w:p>
    <w:p w14:paraId="2094F74F" w14:textId="3A948977" w:rsidR="002B19B1" w:rsidRPr="00C86111" w:rsidRDefault="002B19B1" w:rsidP="00004F34">
      <w:pPr>
        <w:pStyle w:val="Heading1"/>
        <w:numPr>
          <w:ilvl w:val="0"/>
          <w:numId w:val="239"/>
        </w:numPr>
      </w:pPr>
      <w:bookmarkStart w:id="2" w:name="_Toc220541836"/>
      <w:r w:rsidRPr="00C86111">
        <w:lastRenderedPageBreak/>
        <w:t>Uvod</w:t>
      </w:r>
      <w:bookmarkEnd w:id="2"/>
    </w:p>
    <w:p w14:paraId="0DE04720" w14:textId="77777777" w:rsidR="002B19B1" w:rsidRPr="00C86111" w:rsidRDefault="002B19B1" w:rsidP="002B19B1">
      <w:pPr>
        <w:jc w:val="both"/>
        <w:rPr>
          <w:rFonts w:asciiTheme="minorHAnsi" w:hAnsiTheme="minorHAnsi" w:cstheme="minorHAnsi"/>
          <w:b/>
          <w:bCs/>
          <w:color w:val="auto"/>
          <w:szCs w:val="24"/>
        </w:rPr>
      </w:pPr>
    </w:p>
    <w:p w14:paraId="70155DA8"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Dugotrajne organske zagađujuće supstance (POPs) predstavljaju jednu od najsloženijih prijetnji savremenoj životnoj sredini. Njihova izuzetna postojanost i sposobnost da se akumuliraju u živim organizmima dovode do dugoročnih i kumulativnih efekata, kako u ekosistemima, tako i u lancu ishrane ljudi. Zbog svoje mobilnosti, ove supstance mogu prelaziti granice država, što čini problem globalnim i zahtijeva koordinisani međunarodni odgovor.</w:t>
      </w:r>
    </w:p>
    <w:p w14:paraId="7EB6D75C" w14:textId="77777777" w:rsidR="002B19B1" w:rsidRPr="00C86111" w:rsidRDefault="002B19B1" w:rsidP="002B19B1">
      <w:pPr>
        <w:jc w:val="both"/>
        <w:rPr>
          <w:rFonts w:asciiTheme="minorHAnsi" w:hAnsiTheme="minorHAnsi" w:cstheme="minorHAnsi"/>
          <w:color w:val="4472C4" w:themeColor="accent1"/>
          <w:szCs w:val="24"/>
        </w:rPr>
      </w:pPr>
      <w:r w:rsidRPr="00C86111">
        <w:rPr>
          <w:rFonts w:asciiTheme="minorHAnsi" w:hAnsiTheme="minorHAnsi" w:cstheme="minorHAnsi"/>
          <w:color w:val="auto"/>
          <w:szCs w:val="24"/>
        </w:rPr>
        <w:t xml:space="preserve">U tom kontekstu, Stokholmska konvencija o postojanim organskim zagađujućim supstancama, usvojena 2001. godine i stupila na snagu 2004., predstavlja ključni međunarodni instrument za zaštitu ljudskog zdravlja i životne sredine. </w:t>
      </w:r>
    </w:p>
    <w:p w14:paraId="4770E2D3" w14:textId="77777777" w:rsidR="002B19B1" w:rsidRPr="00C86111" w:rsidRDefault="002B19B1" w:rsidP="002B19B1">
      <w:pPr>
        <w:jc w:val="both"/>
        <w:rPr>
          <w:color w:val="auto"/>
        </w:rPr>
      </w:pPr>
      <w:r w:rsidRPr="00C86111">
        <w:rPr>
          <w:color w:val="auto"/>
        </w:rPr>
        <w:t>Stokholmska konvencija razvijena je s ciljem zaštite ljudi i životne sredine od postojanih organskih zagađivača – supstanci koje su toksične, dugo opstaju u prirodi, šire se na velike udaljenosti i akumuliraju u živim organizmima. Ove hemikalije, poznate kao POPs, predstavljaju ozbiljnu prijetnju jer se njihova prisutnost u životnoj sredini i prehrambenom lancu može odraziti na zdravlje ljudi i životinjskih vrsta tokom mnogo godina.</w:t>
      </w:r>
    </w:p>
    <w:p w14:paraId="50BAA2FA" w14:textId="77777777" w:rsidR="002B19B1" w:rsidRPr="00C86111" w:rsidRDefault="002B19B1" w:rsidP="002B19B1">
      <w:pPr>
        <w:jc w:val="both"/>
        <w:rPr>
          <w:color w:val="auto"/>
        </w:rPr>
      </w:pPr>
      <w:r w:rsidRPr="00C86111">
        <w:rPr>
          <w:color w:val="auto"/>
        </w:rPr>
        <w:t>Pregovori o konvenciji održani su 2001. godine pod okriljem Programa Ujedinjenih nacija za životnu sredinu (UNEP), a na globalnom nivou stupila je na snagu 17. maja 2004. godine. Danas je potpisalo 186 država, uključujući i Evropsku uniju, čime je stvoren okvir za međunarodnu saradnju u kontroli i eliminaciji ovih opasnih supstanci.</w:t>
      </w:r>
    </w:p>
    <w:p w14:paraId="230B20FF" w14:textId="77777777" w:rsidR="002B19B1" w:rsidRPr="00C86111" w:rsidRDefault="002B19B1" w:rsidP="002B19B1">
      <w:pPr>
        <w:jc w:val="both"/>
        <w:rPr>
          <w:color w:val="auto"/>
        </w:rPr>
      </w:pPr>
      <w:r w:rsidRPr="00C86111">
        <w:rPr>
          <w:color w:val="auto"/>
        </w:rPr>
        <w:t>Supstance regulisane ovom konvencijom svrstane su u tri aneksa:</w:t>
      </w:r>
    </w:p>
    <w:p w14:paraId="7CFD97BF" w14:textId="77777777" w:rsidR="002B19B1" w:rsidRPr="00C86111" w:rsidRDefault="002B19B1" w:rsidP="007E2AA5">
      <w:pPr>
        <w:numPr>
          <w:ilvl w:val="0"/>
          <w:numId w:val="14"/>
        </w:numPr>
        <w:jc w:val="both"/>
        <w:rPr>
          <w:color w:val="auto"/>
        </w:rPr>
      </w:pPr>
      <w:r w:rsidRPr="00C86111">
        <w:rPr>
          <w:b/>
          <w:bCs/>
          <w:color w:val="auto"/>
        </w:rPr>
        <w:t>Aneks A</w:t>
      </w:r>
      <w:r w:rsidRPr="00C86111">
        <w:rPr>
          <w:color w:val="auto"/>
        </w:rPr>
        <w:t xml:space="preserve"> sadrži supstance čija je proizvodnja i upotreba zabranjena. Ipak, konvencija omogućava određene posebne izuzetke, koje države moraju registrirati i periodično preispitivati.</w:t>
      </w:r>
    </w:p>
    <w:p w14:paraId="27B374AC" w14:textId="77777777" w:rsidR="002B19B1" w:rsidRPr="00C86111" w:rsidRDefault="002B19B1" w:rsidP="007E2AA5">
      <w:pPr>
        <w:numPr>
          <w:ilvl w:val="0"/>
          <w:numId w:val="14"/>
        </w:numPr>
        <w:jc w:val="both"/>
        <w:rPr>
          <w:color w:val="auto"/>
        </w:rPr>
      </w:pPr>
      <w:r w:rsidRPr="00C86111">
        <w:rPr>
          <w:b/>
          <w:bCs/>
          <w:color w:val="auto"/>
        </w:rPr>
        <w:t>Aneks B</w:t>
      </w:r>
      <w:r w:rsidRPr="00C86111">
        <w:rPr>
          <w:color w:val="auto"/>
        </w:rPr>
        <w:t xml:space="preserve"> obuhvata supstance čija je upotreba ograničena, ali za njih su dopuštene </w:t>
      </w:r>
      <w:r w:rsidRPr="00C86111">
        <w:rPr>
          <w:b/>
          <w:bCs/>
          <w:color w:val="auto"/>
        </w:rPr>
        <w:t>prihvatljive namjene</w:t>
      </w:r>
      <w:r w:rsidRPr="00C86111">
        <w:rPr>
          <w:color w:val="auto"/>
        </w:rPr>
        <w:t>, često dugoročne, uz stalne mjere za smanjenje njihove upotrebe.</w:t>
      </w:r>
    </w:p>
    <w:p w14:paraId="2A8FAEBF" w14:textId="77777777" w:rsidR="002B19B1" w:rsidRPr="00C86111" w:rsidRDefault="002B19B1" w:rsidP="007E2AA5">
      <w:pPr>
        <w:numPr>
          <w:ilvl w:val="0"/>
          <w:numId w:val="14"/>
        </w:numPr>
        <w:jc w:val="both"/>
        <w:rPr>
          <w:color w:val="auto"/>
        </w:rPr>
      </w:pPr>
      <w:r w:rsidRPr="00C86111">
        <w:rPr>
          <w:b/>
          <w:bCs/>
          <w:color w:val="auto"/>
        </w:rPr>
        <w:t>Aneks C</w:t>
      </w:r>
      <w:r w:rsidRPr="00C86111">
        <w:rPr>
          <w:color w:val="auto"/>
        </w:rPr>
        <w:t xml:space="preserve"> se odnosi na supstance koje nastaju kao neželjeni nusproizvodi. Države su obavezne poduzeti mjere za smanjenje njihovog ispuštanja u okoliš i, gdje je moguće, potpuno ih eliminirati.</w:t>
      </w:r>
    </w:p>
    <w:p w14:paraId="652F9B11" w14:textId="77777777" w:rsidR="002B19B1" w:rsidRPr="00C86111" w:rsidRDefault="002B19B1" w:rsidP="002B19B1">
      <w:pPr>
        <w:jc w:val="both"/>
        <w:rPr>
          <w:color w:val="auto"/>
        </w:rPr>
      </w:pPr>
      <w:r w:rsidRPr="00C86111">
        <w:rPr>
          <w:color w:val="auto"/>
        </w:rPr>
        <w:t>Konvencija pokriva cijeli životni ciklus supstanci – od njihove proizvodnje, preko upotrebe i ispuštanja u životnu sredinu, do upravljanja zalihama i otpadom. Lista supstanci se vremenom proširuje odlukama Konferencije strana ugovornica (COP), na osnovu preporuka naučnog Komiteta za razmatranje POPs supstanci (POPRC).</w:t>
      </w:r>
    </w:p>
    <w:p w14:paraId="6E5CD887" w14:textId="77777777" w:rsidR="002B19B1" w:rsidRPr="00C86111" w:rsidRDefault="002B19B1" w:rsidP="002B19B1">
      <w:pPr>
        <w:jc w:val="both"/>
        <w:rPr>
          <w:color w:val="auto"/>
        </w:rPr>
      </w:pPr>
      <w:r w:rsidRPr="00C86111">
        <w:rPr>
          <w:color w:val="auto"/>
        </w:rPr>
        <w:t>Za supstance iz Aneksa A i B postoje posebni izuzeci i prihvatljive namjene. Posebni izuzeci obično traju pet godina, s mogućnošću produženja, dok prihvatljive namjene nemaju vremensko ograničenje. Strane su obavezne stalno raditi na smanjenju upotrebe i periodično preispitivati opravdanost izuzetaka.</w:t>
      </w:r>
    </w:p>
    <w:p w14:paraId="0BCABEF6" w14:textId="77777777" w:rsidR="00F75D97" w:rsidRDefault="002B19B1" w:rsidP="002B19B1">
      <w:pPr>
        <w:jc w:val="both"/>
        <w:rPr>
          <w:color w:val="auto"/>
        </w:rPr>
      </w:pPr>
      <w:r w:rsidRPr="00C86111">
        <w:rPr>
          <w:color w:val="auto"/>
        </w:rPr>
        <w:t xml:space="preserve">Jedan od primjera je polihlorovani bifenil (PCB). Njegova upotreba u opremi kao što su transformatori i kondenzatori morala bi biti potpuno eliminisana do </w:t>
      </w:r>
    </w:p>
    <w:p w14:paraId="7AEBAED2" w14:textId="4D88950C" w:rsidR="002B19B1" w:rsidRPr="00C86111" w:rsidRDefault="002B19B1" w:rsidP="002B19B1">
      <w:pPr>
        <w:jc w:val="both"/>
        <w:rPr>
          <w:color w:val="auto"/>
        </w:rPr>
      </w:pPr>
      <w:r w:rsidRPr="00C86111">
        <w:rPr>
          <w:color w:val="auto"/>
        </w:rPr>
        <w:t>. godine, dok je ekološko upravljanje otpadom koji sadrži PCB planirano do 2028. godine. Strane moraju dostavljati izvještaje o napretku svakih pet godina.</w:t>
      </w:r>
    </w:p>
    <w:p w14:paraId="3E9EB130" w14:textId="77777777" w:rsidR="002B19B1" w:rsidRPr="00C86111" w:rsidRDefault="002B19B1" w:rsidP="002B19B1">
      <w:pPr>
        <w:jc w:val="both"/>
        <w:rPr>
          <w:color w:val="auto"/>
        </w:rPr>
      </w:pPr>
      <w:r w:rsidRPr="00C86111">
        <w:rPr>
          <w:color w:val="auto"/>
        </w:rPr>
        <w:t>Konvencija detaljno propisuje mjere i za druge opasne supstance:</w:t>
      </w:r>
    </w:p>
    <w:p w14:paraId="690064DD" w14:textId="77777777" w:rsidR="002B19B1" w:rsidRPr="00C86111" w:rsidRDefault="002B19B1" w:rsidP="007E2AA5">
      <w:pPr>
        <w:numPr>
          <w:ilvl w:val="0"/>
          <w:numId w:val="15"/>
        </w:numPr>
        <w:jc w:val="both"/>
        <w:rPr>
          <w:color w:val="auto"/>
        </w:rPr>
      </w:pPr>
      <w:r w:rsidRPr="00C86111">
        <w:rPr>
          <w:color w:val="auto"/>
        </w:rPr>
        <w:t>Polibromirani difenileteri (Dijelovi III–V) – preciziraju koje supstance spadaju pod konvenciju i uslove upotrebe za specifične izuzetke;</w:t>
      </w:r>
    </w:p>
    <w:p w14:paraId="4F2A57BD" w14:textId="77777777" w:rsidR="002B19B1" w:rsidRPr="00C86111" w:rsidRDefault="002B19B1" w:rsidP="007E2AA5">
      <w:pPr>
        <w:numPr>
          <w:ilvl w:val="0"/>
          <w:numId w:val="15"/>
        </w:numPr>
        <w:jc w:val="both"/>
        <w:rPr>
          <w:color w:val="auto"/>
        </w:rPr>
      </w:pPr>
      <w:r w:rsidRPr="00C86111">
        <w:rPr>
          <w:color w:val="auto"/>
        </w:rPr>
        <w:lastRenderedPageBreak/>
        <w:t>Endosulfan (Dio VI) – daje popis biljaka i štetočina protiv kojih je dozvoljena upotreba;</w:t>
      </w:r>
    </w:p>
    <w:p w14:paraId="2674C541" w14:textId="77777777" w:rsidR="002B19B1" w:rsidRPr="00C86111" w:rsidRDefault="002B19B1" w:rsidP="007E2AA5">
      <w:pPr>
        <w:numPr>
          <w:ilvl w:val="0"/>
          <w:numId w:val="15"/>
        </w:numPr>
        <w:jc w:val="both"/>
        <w:rPr>
          <w:color w:val="auto"/>
        </w:rPr>
      </w:pPr>
      <w:r w:rsidRPr="00C86111">
        <w:rPr>
          <w:color w:val="auto"/>
        </w:rPr>
        <w:t>Heksabromociklododekan (Dio VII) – propisuje obavezu označavanja polistirena u građevinskim objektima radi praćenja tokom cijelog životnog ciklusa;</w:t>
      </w:r>
    </w:p>
    <w:p w14:paraId="68C00F0D" w14:textId="77777777" w:rsidR="002B19B1" w:rsidRPr="00C86111" w:rsidRDefault="002B19B1" w:rsidP="007E2AA5">
      <w:pPr>
        <w:numPr>
          <w:ilvl w:val="0"/>
          <w:numId w:val="15"/>
        </w:numPr>
        <w:jc w:val="both"/>
        <w:rPr>
          <w:color w:val="auto"/>
        </w:rPr>
      </w:pPr>
      <w:r w:rsidRPr="00C86111">
        <w:rPr>
          <w:color w:val="auto"/>
        </w:rPr>
        <w:t>Pentahlorofenol (Dio VIII) – predviđa označavanje stubova i nosača, kao i zabranu njihove ponovne upotrebe u neodobrene svrhe;</w:t>
      </w:r>
    </w:p>
    <w:p w14:paraId="2B0E47A8" w14:textId="77777777" w:rsidR="002B19B1" w:rsidRPr="00C86111" w:rsidRDefault="002B19B1" w:rsidP="007E2AA5">
      <w:pPr>
        <w:numPr>
          <w:ilvl w:val="0"/>
          <w:numId w:val="15"/>
        </w:numPr>
        <w:jc w:val="both"/>
        <w:rPr>
          <w:color w:val="auto"/>
        </w:rPr>
      </w:pPr>
      <w:r w:rsidRPr="00C86111">
        <w:rPr>
          <w:color w:val="auto"/>
        </w:rPr>
        <w:t>Dekabromodifenileter (Dio IX) – dopuštene komponente;</w:t>
      </w:r>
    </w:p>
    <w:p w14:paraId="5DDFBB04" w14:textId="77777777" w:rsidR="002B19B1" w:rsidRPr="00C86111" w:rsidRDefault="002B19B1" w:rsidP="007E2AA5">
      <w:pPr>
        <w:numPr>
          <w:ilvl w:val="0"/>
          <w:numId w:val="15"/>
        </w:numPr>
        <w:jc w:val="both"/>
        <w:rPr>
          <w:color w:val="auto"/>
        </w:rPr>
      </w:pPr>
      <w:r w:rsidRPr="00C86111">
        <w:rPr>
          <w:color w:val="auto"/>
        </w:rPr>
        <w:t>PFOA-bazirana jedinjenja (Dio X) – propisuju ograničenja, naročito u vezi sa pjenama za gašenje požara;</w:t>
      </w:r>
    </w:p>
    <w:p w14:paraId="6B167120" w14:textId="77777777" w:rsidR="002B19B1" w:rsidRPr="00C86111" w:rsidRDefault="002B19B1" w:rsidP="007E2AA5">
      <w:pPr>
        <w:numPr>
          <w:ilvl w:val="0"/>
          <w:numId w:val="15"/>
        </w:numPr>
        <w:jc w:val="both"/>
        <w:rPr>
          <w:color w:val="auto"/>
        </w:rPr>
      </w:pPr>
      <w:r w:rsidRPr="00C86111">
        <w:rPr>
          <w:color w:val="auto"/>
        </w:rPr>
        <w:t>Rezervni dijelovi koji sadrže Dehloran Plus i UV-328 (Dijelovi XI–XII) – detaljne specifikacije izuzetaka.</w:t>
      </w:r>
    </w:p>
    <w:p w14:paraId="56FECF4F" w14:textId="77777777" w:rsidR="002B19B1" w:rsidRPr="00C86111" w:rsidRDefault="002B19B1" w:rsidP="002B19B1">
      <w:pPr>
        <w:jc w:val="both"/>
        <w:rPr>
          <w:color w:val="auto"/>
        </w:rPr>
      </w:pPr>
      <w:r w:rsidRPr="00C86111">
        <w:rPr>
          <w:color w:val="auto"/>
        </w:rPr>
        <w:t>Aneks B propisuje dodatne mjere za DDT, uključujući uspostaljanje registra, upotrebu u skladu sa smjernicama Svjetske zdravstvene organizacije, periodično izvještavanje i razvoj sigurnih alternativnih proizvoda. Dio III Aneksa B sadrži dopunske mjere za jedinjenja bazirana na PFOS, s obavezom postupnog ograničavanja njihove proizvodnje i upotrebe, uz izvještavanje o napretku.</w:t>
      </w:r>
    </w:p>
    <w:p w14:paraId="0863FF1E" w14:textId="77777777" w:rsidR="002B19B1" w:rsidRPr="00C86111" w:rsidRDefault="002B19B1" w:rsidP="002B19B1">
      <w:pPr>
        <w:jc w:val="both"/>
        <w:rPr>
          <w:color w:val="auto"/>
        </w:rPr>
      </w:pPr>
      <w:r w:rsidRPr="00C86111">
        <w:rPr>
          <w:color w:val="auto"/>
        </w:rPr>
        <w:t>Aneks C (Nenamjerna proizvodnja) navodi izvore iz kojih se POPs supstance oslobađaju, daje opće definicije i smjernice za primjenu Najboljih dostupnih tehnika i praksi zaštite životne sredine (BAT/BEP). Ove mjere pomažu u sprječavanju i ograničavanju oslobađanja opasnih supstanci u životnu sredinu.</w:t>
      </w:r>
    </w:p>
    <w:p w14:paraId="7F3EC736" w14:textId="77777777" w:rsidR="002B19B1" w:rsidRPr="00C86111" w:rsidRDefault="002B19B1" w:rsidP="002B19B1">
      <w:pPr>
        <w:jc w:val="both"/>
        <w:rPr>
          <w:color w:val="auto"/>
        </w:rPr>
      </w:pPr>
      <w:r w:rsidRPr="00C86111">
        <w:rPr>
          <w:color w:val="auto"/>
        </w:rPr>
        <w:t>Sve mjere konvencije omogućavaju balans između fleksibilnosti u primjeni i stroge kontrole opasnih supstanci. Na ovaj način se kontinuirano smanjuju rizici po ljudsko zdravlje i životnu sredinu, dok se globalna zaštita od štetnih POPs supstanci stalno unapređuje.</w:t>
      </w:r>
    </w:p>
    <w:p w14:paraId="266D4DFE" w14:textId="77777777" w:rsidR="002B19B1" w:rsidRPr="00C86111" w:rsidRDefault="002B19B1" w:rsidP="002B19B1">
      <w:pPr>
        <w:rPr>
          <w:rFonts w:asciiTheme="minorHAnsi" w:hAnsiTheme="minorHAnsi" w:cstheme="minorHAnsi"/>
          <w:color w:val="auto"/>
          <w:szCs w:val="24"/>
        </w:rPr>
      </w:pPr>
    </w:p>
    <w:p w14:paraId="4A55C7FD" w14:textId="77777777" w:rsidR="002B19B1" w:rsidRPr="00C86111" w:rsidRDefault="002B19B1" w:rsidP="002B19B1">
      <w:pPr>
        <w:rPr>
          <w:color w:val="auto"/>
        </w:rPr>
      </w:pPr>
      <w:r w:rsidRPr="00C86111">
        <w:rPr>
          <w:b/>
          <w:bCs/>
          <w:color w:val="auto"/>
        </w:rPr>
        <w:t>Tabela 1:</w:t>
      </w:r>
      <w:r w:rsidRPr="00C86111">
        <w:rPr>
          <w:color w:val="auto"/>
        </w:rPr>
        <w:t xml:space="preserve"> Hemikalije obuhvaćene Stokholmskom konvencijom prema aneksima</w:t>
      </w:r>
    </w:p>
    <w:p w14:paraId="57E61006" w14:textId="77777777" w:rsidR="002B19B1" w:rsidRPr="00C86111" w:rsidRDefault="002B19B1" w:rsidP="002B19B1">
      <w:pPr>
        <w:rPr>
          <w:color w:val="auto"/>
        </w:rPr>
      </w:pPr>
    </w:p>
    <w:tbl>
      <w:tblPr>
        <w:tblStyle w:val="GridTable5Dark-Accent6"/>
        <w:tblW w:w="0" w:type="auto"/>
        <w:tblLook w:val="04A0" w:firstRow="1" w:lastRow="0" w:firstColumn="1" w:lastColumn="0" w:noHBand="0" w:noVBand="1"/>
      </w:tblPr>
      <w:tblGrid>
        <w:gridCol w:w="1728"/>
        <w:gridCol w:w="1728"/>
        <w:gridCol w:w="1728"/>
        <w:gridCol w:w="1728"/>
        <w:gridCol w:w="1728"/>
      </w:tblGrid>
      <w:tr w:rsidR="002B19B1" w:rsidRPr="00C86111" w14:paraId="03673BA0" w14:textId="77777777" w:rsidTr="00375D24">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28" w:type="dxa"/>
            <w:vAlign w:val="center"/>
          </w:tcPr>
          <w:p w14:paraId="30018B39" w14:textId="77777777" w:rsidR="002B19B1" w:rsidRPr="00C86111" w:rsidRDefault="002B19B1" w:rsidP="00BC765B">
            <w:pPr>
              <w:rPr>
                <w:color w:val="auto"/>
                <w:sz w:val="20"/>
                <w:szCs w:val="20"/>
              </w:rPr>
            </w:pPr>
            <w:r w:rsidRPr="00C86111">
              <w:rPr>
                <w:color w:val="auto"/>
                <w:sz w:val="20"/>
                <w:szCs w:val="20"/>
              </w:rPr>
              <w:t>Aneks</w:t>
            </w:r>
          </w:p>
        </w:tc>
        <w:tc>
          <w:tcPr>
            <w:tcW w:w="1728" w:type="dxa"/>
            <w:vAlign w:val="center"/>
          </w:tcPr>
          <w:p w14:paraId="4646E9C4" w14:textId="77777777" w:rsidR="002B19B1" w:rsidRPr="00C86111" w:rsidRDefault="002B19B1" w:rsidP="00BC765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Naziv aneksa</w:t>
            </w:r>
          </w:p>
        </w:tc>
        <w:tc>
          <w:tcPr>
            <w:tcW w:w="1728" w:type="dxa"/>
            <w:vAlign w:val="center"/>
          </w:tcPr>
          <w:p w14:paraId="2982D8CD" w14:textId="77777777" w:rsidR="002B19B1" w:rsidRPr="00C86111" w:rsidRDefault="002B19B1" w:rsidP="00BC765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Vrsta mjera</w:t>
            </w:r>
          </w:p>
        </w:tc>
        <w:tc>
          <w:tcPr>
            <w:tcW w:w="1728" w:type="dxa"/>
            <w:vAlign w:val="center"/>
          </w:tcPr>
          <w:p w14:paraId="1BC3E6B9" w14:textId="77777777" w:rsidR="002B19B1" w:rsidRPr="00C86111" w:rsidRDefault="002B19B1" w:rsidP="00BC765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Primjeri supstanci</w:t>
            </w:r>
          </w:p>
        </w:tc>
        <w:tc>
          <w:tcPr>
            <w:tcW w:w="1728" w:type="dxa"/>
            <w:vAlign w:val="center"/>
          </w:tcPr>
          <w:p w14:paraId="45770E2A" w14:textId="77777777" w:rsidR="002B19B1" w:rsidRPr="00C86111" w:rsidRDefault="002B19B1" w:rsidP="00BC765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Napomena</w:t>
            </w:r>
          </w:p>
        </w:tc>
      </w:tr>
      <w:tr w:rsidR="002B19B1" w:rsidRPr="00C86111" w14:paraId="5E7A5EC4"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2A671EDA" w14:textId="77777777" w:rsidR="002B19B1" w:rsidRPr="00C86111" w:rsidRDefault="002B19B1" w:rsidP="00BC765B">
            <w:pPr>
              <w:rPr>
                <w:color w:val="auto"/>
                <w:sz w:val="20"/>
                <w:szCs w:val="20"/>
              </w:rPr>
            </w:pPr>
            <w:r w:rsidRPr="00C86111">
              <w:rPr>
                <w:color w:val="auto"/>
                <w:sz w:val="20"/>
                <w:szCs w:val="20"/>
              </w:rPr>
              <w:t>A</w:t>
            </w:r>
          </w:p>
        </w:tc>
        <w:tc>
          <w:tcPr>
            <w:tcW w:w="1728" w:type="dxa"/>
          </w:tcPr>
          <w:p w14:paraId="51174DBD"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Eliminacija</w:t>
            </w:r>
          </w:p>
        </w:tc>
        <w:tc>
          <w:tcPr>
            <w:tcW w:w="1728" w:type="dxa"/>
          </w:tcPr>
          <w:p w14:paraId="060E1C83"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Potpuna zabrana proizvodnje i upotrebe</w:t>
            </w:r>
          </w:p>
        </w:tc>
        <w:tc>
          <w:tcPr>
            <w:tcW w:w="1728" w:type="dxa"/>
          </w:tcPr>
          <w:p w14:paraId="666880B0"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Aldrin, hlordan, dieldrin, endrin, heptahlor, mireks, toksafen, PCB, HCB, lindan, endosulfan, dikofol, HBCDD, dekaBDE, SCCP, MCCP, PFOA, PFHxS, pentahlorfenol, metoksihlor, dehloran plus, UV-328</w:t>
            </w:r>
          </w:p>
        </w:tc>
        <w:tc>
          <w:tcPr>
            <w:tcW w:w="1728" w:type="dxa"/>
          </w:tcPr>
          <w:p w14:paraId="521DDB7E"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Najstroži režim kontrole</w:t>
            </w:r>
          </w:p>
        </w:tc>
      </w:tr>
      <w:tr w:rsidR="002B19B1" w:rsidRPr="00C86111" w14:paraId="76C2CB20" w14:textId="77777777" w:rsidTr="00BC765B">
        <w:tc>
          <w:tcPr>
            <w:cnfStyle w:val="001000000000" w:firstRow="0" w:lastRow="0" w:firstColumn="1" w:lastColumn="0" w:oddVBand="0" w:evenVBand="0" w:oddHBand="0" w:evenHBand="0" w:firstRowFirstColumn="0" w:firstRowLastColumn="0" w:lastRowFirstColumn="0" w:lastRowLastColumn="0"/>
            <w:tcW w:w="1728" w:type="dxa"/>
          </w:tcPr>
          <w:p w14:paraId="179277EC" w14:textId="77777777" w:rsidR="002B19B1" w:rsidRPr="00C86111" w:rsidRDefault="002B19B1" w:rsidP="00BC765B">
            <w:pPr>
              <w:rPr>
                <w:color w:val="auto"/>
                <w:sz w:val="20"/>
                <w:szCs w:val="20"/>
              </w:rPr>
            </w:pPr>
            <w:r w:rsidRPr="00C86111">
              <w:rPr>
                <w:color w:val="auto"/>
                <w:sz w:val="20"/>
                <w:szCs w:val="20"/>
              </w:rPr>
              <w:t>B</w:t>
            </w:r>
          </w:p>
        </w:tc>
        <w:tc>
          <w:tcPr>
            <w:tcW w:w="1728" w:type="dxa"/>
          </w:tcPr>
          <w:p w14:paraId="690F4FBB"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Ograničenje</w:t>
            </w:r>
          </w:p>
        </w:tc>
        <w:tc>
          <w:tcPr>
            <w:tcW w:w="1728" w:type="dxa"/>
          </w:tcPr>
          <w:p w14:paraId="0B729F37"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Ograničena proizvodnja i upotreba</w:t>
            </w:r>
          </w:p>
        </w:tc>
        <w:tc>
          <w:tcPr>
            <w:tcW w:w="1728" w:type="dxa"/>
          </w:tcPr>
          <w:p w14:paraId="4752B222"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DDT, PFOS i njegove soli, PFOSF</w:t>
            </w:r>
          </w:p>
        </w:tc>
        <w:tc>
          <w:tcPr>
            <w:tcW w:w="1728" w:type="dxa"/>
          </w:tcPr>
          <w:p w14:paraId="4A88A22F"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Dozvoljena samo prihvatljiva namjena</w:t>
            </w:r>
          </w:p>
        </w:tc>
      </w:tr>
      <w:tr w:rsidR="002B19B1" w:rsidRPr="00C86111" w14:paraId="0C5EFDA5"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29F7739A" w14:textId="77777777" w:rsidR="002B19B1" w:rsidRPr="00C86111" w:rsidRDefault="002B19B1" w:rsidP="00BC765B">
            <w:pPr>
              <w:rPr>
                <w:color w:val="auto"/>
                <w:sz w:val="20"/>
                <w:szCs w:val="20"/>
              </w:rPr>
            </w:pPr>
            <w:r w:rsidRPr="00C86111">
              <w:rPr>
                <w:color w:val="auto"/>
                <w:sz w:val="20"/>
                <w:szCs w:val="20"/>
              </w:rPr>
              <w:t>C</w:t>
            </w:r>
          </w:p>
        </w:tc>
        <w:tc>
          <w:tcPr>
            <w:tcW w:w="1728" w:type="dxa"/>
          </w:tcPr>
          <w:p w14:paraId="151AA0DB"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Nenamjerna proizvodnja</w:t>
            </w:r>
          </w:p>
        </w:tc>
        <w:tc>
          <w:tcPr>
            <w:tcW w:w="1728" w:type="dxa"/>
          </w:tcPr>
          <w:p w14:paraId="3999B718"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Smanjenje i eliminacija emisija</w:t>
            </w:r>
          </w:p>
        </w:tc>
        <w:tc>
          <w:tcPr>
            <w:tcW w:w="1728" w:type="dxa"/>
          </w:tcPr>
          <w:p w14:paraId="5911DCC6"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HCB, HCBD, pentahlorbenzen, PCB, PCDD, PCDF, polihlorovani naftaleni</w:t>
            </w:r>
          </w:p>
        </w:tc>
        <w:tc>
          <w:tcPr>
            <w:tcW w:w="1728" w:type="dxa"/>
          </w:tcPr>
          <w:p w14:paraId="1D4F7598"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Nusproizvodi sagorijevanja i industrije</w:t>
            </w:r>
          </w:p>
        </w:tc>
      </w:tr>
    </w:tbl>
    <w:p w14:paraId="333569F9" w14:textId="77777777" w:rsidR="002B19B1" w:rsidRPr="00C86111" w:rsidRDefault="002B19B1" w:rsidP="002B19B1">
      <w:pPr>
        <w:jc w:val="both"/>
        <w:rPr>
          <w:rFonts w:asciiTheme="minorHAnsi" w:hAnsiTheme="minorHAnsi" w:cstheme="minorHAnsi"/>
          <w:color w:val="auto"/>
          <w:szCs w:val="24"/>
        </w:rPr>
      </w:pPr>
    </w:p>
    <w:p w14:paraId="232F56CA" w14:textId="77777777" w:rsidR="002B19B1" w:rsidRPr="00C86111" w:rsidRDefault="002B19B1" w:rsidP="002B19B1">
      <w:pPr>
        <w:jc w:val="both"/>
        <w:rPr>
          <w:rFonts w:asciiTheme="minorHAnsi" w:hAnsiTheme="minorHAnsi" w:cstheme="minorHAnsi"/>
          <w:color w:val="auto"/>
          <w:szCs w:val="24"/>
        </w:rPr>
      </w:pPr>
    </w:p>
    <w:p w14:paraId="6A215B59" w14:textId="77777777" w:rsidR="002B19B1" w:rsidRPr="00C86111" w:rsidRDefault="002B19B1" w:rsidP="002B19B1">
      <w:r w:rsidRPr="00C86111">
        <w:rPr>
          <w:b/>
          <w:bCs/>
        </w:rPr>
        <w:t>Tabela 2:</w:t>
      </w:r>
      <w:r w:rsidRPr="00C86111">
        <w:t xml:space="preserve"> Nove supstance i odluke COP-a</w:t>
      </w:r>
    </w:p>
    <w:p w14:paraId="1CBA489D" w14:textId="77777777" w:rsidR="002B19B1" w:rsidRPr="00C86111" w:rsidRDefault="002B19B1" w:rsidP="002B19B1"/>
    <w:tbl>
      <w:tblPr>
        <w:tblStyle w:val="GridTable5Dark-Accent6"/>
        <w:tblW w:w="0" w:type="auto"/>
        <w:tblLook w:val="04A0" w:firstRow="1" w:lastRow="0" w:firstColumn="1" w:lastColumn="0" w:noHBand="0" w:noVBand="1"/>
      </w:tblPr>
      <w:tblGrid>
        <w:gridCol w:w="1009"/>
        <w:gridCol w:w="1871"/>
        <w:gridCol w:w="2160"/>
        <w:gridCol w:w="1080"/>
        <w:gridCol w:w="2901"/>
      </w:tblGrid>
      <w:tr w:rsidR="002B19B1" w:rsidRPr="00C86111" w14:paraId="43698701"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31807C5D" w14:textId="77777777" w:rsidR="002B19B1" w:rsidRPr="00C86111" w:rsidRDefault="002B19B1" w:rsidP="00BC765B">
            <w:pPr>
              <w:rPr>
                <w:color w:val="auto"/>
                <w:sz w:val="20"/>
                <w:szCs w:val="20"/>
              </w:rPr>
            </w:pPr>
            <w:r w:rsidRPr="00C86111">
              <w:rPr>
                <w:color w:val="auto"/>
                <w:sz w:val="20"/>
                <w:szCs w:val="20"/>
              </w:rPr>
              <w:t>Sastanak COP</w:t>
            </w:r>
          </w:p>
        </w:tc>
        <w:tc>
          <w:tcPr>
            <w:tcW w:w="1871" w:type="dxa"/>
          </w:tcPr>
          <w:p w14:paraId="292FC0A5" w14:textId="77777777" w:rsidR="002B19B1" w:rsidRPr="00C86111" w:rsidRDefault="002B19B1" w:rsidP="00BC765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Datum</w:t>
            </w:r>
          </w:p>
        </w:tc>
        <w:tc>
          <w:tcPr>
            <w:tcW w:w="2160" w:type="dxa"/>
          </w:tcPr>
          <w:p w14:paraId="27FE5103" w14:textId="77777777" w:rsidR="002B19B1" w:rsidRPr="00C86111" w:rsidRDefault="002B19B1" w:rsidP="00BC765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Supstanca</w:t>
            </w:r>
          </w:p>
        </w:tc>
        <w:tc>
          <w:tcPr>
            <w:tcW w:w="1080" w:type="dxa"/>
          </w:tcPr>
          <w:p w14:paraId="6276961D" w14:textId="77777777" w:rsidR="002B19B1" w:rsidRPr="00C86111" w:rsidRDefault="002B19B1" w:rsidP="00BC765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Aneks</w:t>
            </w:r>
          </w:p>
        </w:tc>
        <w:tc>
          <w:tcPr>
            <w:tcW w:w="2901" w:type="dxa"/>
          </w:tcPr>
          <w:p w14:paraId="7A69AEF3" w14:textId="77777777" w:rsidR="002B19B1" w:rsidRPr="00C86111" w:rsidRDefault="002B19B1" w:rsidP="00BC765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Izuzeci / Odluka</w:t>
            </w:r>
          </w:p>
        </w:tc>
      </w:tr>
      <w:tr w:rsidR="002B19B1" w:rsidRPr="00C86111" w14:paraId="368C1C8A"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426D0C67" w14:textId="77777777" w:rsidR="002B19B1" w:rsidRPr="00C86111" w:rsidRDefault="002B19B1" w:rsidP="00BC765B">
            <w:pPr>
              <w:rPr>
                <w:color w:val="auto"/>
                <w:sz w:val="20"/>
                <w:szCs w:val="20"/>
              </w:rPr>
            </w:pPr>
            <w:r w:rsidRPr="00C86111">
              <w:rPr>
                <w:color w:val="auto"/>
                <w:sz w:val="20"/>
                <w:szCs w:val="20"/>
              </w:rPr>
              <w:t>11</w:t>
            </w:r>
          </w:p>
        </w:tc>
        <w:tc>
          <w:tcPr>
            <w:tcW w:w="1871" w:type="dxa"/>
          </w:tcPr>
          <w:p w14:paraId="6C81997E"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1-12.05.2023</w:t>
            </w:r>
          </w:p>
        </w:tc>
        <w:tc>
          <w:tcPr>
            <w:tcW w:w="2160" w:type="dxa"/>
          </w:tcPr>
          <w:p w14:paraId="42EA5AF4"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Methoxychlor</w:t>
            </w:r>
          </w:p>
        </w:tc>
        <w:tc>
          <w:tcPr>
            <w:tcW w:w="1080" w:type="dxa"/>
          </w:tcPr>
          <w:p w14:paraId="33B016F0"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056CB5EE"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Bez izuzetaka (SC-11/9)</w:t>
            </w:r>
          </w:p>
        </w:tc>
      </w:tr>
      <w:tr w:rsidR="002B19B1" w:rsidRPr="00C86111" w14:paraId="48BD08BD"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382FB300" w14:textId="77777777" w:rsidR="002B19B1" w:rsidRPr="00C86111" w:rsidRDefault="002B19B1" w:rsidP="00BC765B">
            <w:pPr>
              <w:rPr>
                <w:color w:val="auto"/>
                <w:sz w:val="20"/>
                <w:szCs w:val="20"/>
              </w:rPr>
            </w:pPr>
            <w:r w:rsidRPr="00C86111">
              <w:rPr>
                <w:color w:val="auto"/>
                <w:sz w:val="20"/>
                <w:szCs w:val="20"/>
              </w:rPr>
              <w:t>11</w:t>
            </w:r>
          </w:p>
        </w:tc>
        <w:tc>
          <w:tcPr>
            <w:tcW w:w="1871" w:type="dxa"/>
          </w:tcPr>
          <w:p w14:paraId="18F2CAD0"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1-12.05.2023</w:t>
            </w:r>
          </w:p>
        </w:tc>
        <w:tc>
          <w:tcPr>
            <w:tcW w:w="2160" w:type="dxa"/>
          </w:tcPr>
          <w:p w14:paraId="355B4FCD"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Dechlorane Plus</w:t>
            </w:r>
          </w:p>
        </w:tc>
        <w:tc>
          <w:tcPr>
            <w:tcW w:w="1080" w:type="dxa"/>
          </w:tcPr>
          <w:p w14:paraId="0B1134D5"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2E247C30"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Specifični izuzeci (SC-11/10)</w:t>
            </w:r>
          </w:p>
        </w:tc>
      </w:tr>
      <w:tr w:rsidR="002B19B1" w:rsidRPr="00C86111" w14:paraId="4F604016"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1705298F" w14:textId="77777777" w:rsidR="002B19B1" w:rsidRPr="00C86111" w:rsidRDefault="002B19B1" w:rsidP="00BC765B">
            <w:pPr>
              <w:rPr>
                <w:color w:val="auto"/>
                <w:sz w:val="20"/>
                <w:szCs w:val="20"/>
              </w:rPr>
            </w:pPr>
            <w:r w:rsidRPr="00C86111">
              <w:rPr>
                <w:color w:val="auto"/>
                <w:sz w:val="20"/>
                <w:szCs w:val="20"/>
              </w:rPr>
              <w:t>11</w:t>
            </w:r>
          </w:p>
        </w:tc>
        <w:tc>
          <w:tcPr>
            <w:tcW w:w="1871" w:type="dxa"/>
          </w:tcPr>
          <w:p w14:paraId="3C17FFD5"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1-12.05.2023</w:t>
            </w:r>
          </w:p>
        </w:tc>
        <w:tc>
          <w:tcPr>
            <w:tcW w:w="2160" w:type="dxa"/>
          </w:tcPr>
          <w:p w14:paraId="7FBE60A6"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UV-328</w:t>
            </w:r>
          </w:p>
        </w:tc>
        <w:tc>
          <w:tcPr>
            <w:tcW w:w="1080" w:type="dxa"/>
          </w:tcPr>
          <w:p w14:paraId="458EAB14"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0D45F1F7"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Specifični izuzeci (SC-11/11)</w:t>
            </w:r>
          </w:p>
        </w:tc>
      </w:tr>
      <w:tr w:rsidR="002B19B1" w:rsidRPr="00C86111" w14:paraId="4BFEE2D1"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3A875E0A" w14:textId="77777777" w:rsidR="002B19B1" w:rsidRPr="00C86111" w:rsidRDefault="002B19B1" w:rsidP="00BC765B">
            <w:pPr>
              <w:rPr>
                <w:color w:val="auto"/>
                <w:sz w:val="20"/>
                <w:szCs w:val="20"/>
              </w:rPr>
            </w:pPr>
            <w:r w:rsidRPr="00C86111">
              <w:rPr>
                <w:color w:val="auto"/>
                <w:sz w:val="20"/>
                <w:szCs w:val="20"/>
              </w:rPr>
              <w:t>10</w:t>
            </w:r>
          </w:p>
        </w:tc>
        <w:tc>
          <w:tcPr>
            <w:tcW w:w="1871" w:type="dxa"/>
          </w:tcPr>
          <w:p w14:paraId="762F7B7F"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6-17.06.2022</w:t>
            </w:r>
          </w:p>
        </w:tc>
        <w:tc>
          <w:tcPr>
            <w:tcW w:w="2160" w:type="dxa"/>
          </w:tcPr>
          <w:p w14:paraId="16A1BD7C"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PFHxS i srodna jedinjenja</w:t>
            </w:r>
          </w:p>
        </w:tc>
        <w:tc>
          <w:tcPr>
            <w:tcW w:w="1080" w:type="dxa"/>
          </w:tcPr>
          <w:p w14:paraId="55EF0BBF"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4EA28616"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Bez izuzetaka (SC-10/13)</w:t>
            </w:r>
          </w:p>
        </w:tc>
      </w:tr>
      <w:tr w:rsidR="002B19B1" w:rsidRPr="00C86111" w14:paraId="15B1E6F1"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0C504A30" w14:textId="77777777" w:rsidR="002B19B1" w:rsidRPr="00C86111" w:rsidRDefault="002B19B1" w:rsidP="00BC765B">
            <w:pPr>
              <w:rPr>
                <w:color w:val="auto"/>
                <w:sz w:val="20"/>
                <w:szCs w:val="20"/>
              </w:rPr>
            </w:pPr>
            <w:r w:rsidRPr="00C86111">
              <w:rPr>
                <w:color w:val="auto"/>
                <w:sz w:val="20"/>
                <w:szCs w:val="20"/>
              </w:rPr>
              <w:t>9</w:t>
            </w:r>
          </w:p>
        </w:tc>
        <w:tc>
          <w:tcPr>
            <w:tcW w:w="1871" w:type="dxa"/>
          </w:tcPr>
          <w:p w14:paraId="7F3ADA3E"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29.04-10.05.2019</w:t>
            </w:r>
          </w:p>
        </w:tc>
        <w:tc>
          <w:tcPr>
            <w:tcW w:w="2160" w:type="dxa"/>
          </w:tcPr>
          <w:p w14:paraId="0FD36F51"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Dicofol</w:t>
            </w:r>
          </w:p>
        </w:tc>
        <w:tc>
          <w:tcPr>
            <w:tcW w:w="1080" w:type="dxa"/>
          </w:tcPr>
          <w:p w14:paraId="3D623464"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7B80C27B"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Bez izuzetaka (SC-9/11)</w:t>
            </w:r>
          </w:p>
        </w:tc>
      </w:tr>
      <w:tr w:rsidR="002B19B1" w:rsidRPr="00C86111" w14:paraId="01AAB50D"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64F56192" w14:textId="77777777" w:rsidR="002B19B1" w:rsidRPr="00C86111" w:rsidRDefault="002B19B1" w:rsidP="00BC765B">
            <w:pPr>
              <w:rPr>
                <w:color w:val="auto"/>
                <w:sz w:val="20"/>
                <w:szCs w:val="20"/>
              </w:rPr>
            </w:pPr>
            <w:r w:rsidRPr="00C86111">
              <w:rPr>
                <w:color w:val="auto"/>
                <w:sz w:val="20"/>
                <w:szCs w:val="20"/>
              </w:rPr>
              <w:t>9</w:t>
            </w:r>
          </w:p>
        </w:tc>
        <w:tc>
          <w:tcPr>
            <w:tcW w:w="1871" w:type="dxa"/>
          </w:tcPr>
          <w:p w14:paraId="34AD1CD2"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29.04-10.05.2019</w:t>
            </w:r>
          </w:p>
        </w:tc>
        <w:tc>
          <w:tcPr>
            <w:tcW w:w="2160" w:type="dxa"/>
          </w:tcPr>
          <w:p w14:paraId="703764A6"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PFOA i srodna jedinjenja</w:t>
            </w:r>
          </w:p>
        </w:tc>
        <w:tc>
          <w:tcPr>
            <w:tcW w:w="1080" w:type="dxa"/>
          </w:tcPr>
          <w:p w14:paraId="181D35A2"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339F4F1C"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Specifični izuzeci (SC-9/12)</w:t>
            </w:r>
          </w:p>
        </w:tc>
      </w:tr>
      <w:tr w:rsidR="002B19B1" w:rsidRPr="00C86111" w14:paraId="16C65B72"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0CF058F7" w14:textId="77777777" w:rsidR="002B19B1" w:rsidRPr="00C86111" w:rsidRDefault="002B19B1" w:rsidP="00BC765B">
            <w:pPr>
              <w:rPr>
                <w:color w:val="auto"/>
                <w:sz w:val="20"/>
                <w:szCs w:val="20"/>
              </w:rPr>
            </w:pPr>
            <w:r w:rsidRPr="00C86111">
              <w:rPr>
                <w:color w:val="auto"/>
                <w:sz w:val="20"/>
                <w:szCs w:val="20"/>
              </w:rPr>
              <w:t>9</w:t>
            </w:r>
          </w:p>
        </w:tc>
        <w:tc>
          <w:tcPr>
            <w:tcW w:w="1871" w:type="dxa"/>
          </w:tcPr>
          <w:p w14:paraId="7B91B9C5"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29.04-10.05.2019</w:t>
            </w:r>
          </w:p>
        </w:tc>
        <w:tc>
          <w:tcPr>
            <w:tcW w:w="2160" w:type="dxa"/>
          </w:tcPr>
          <w:p w14:paraId="2090BAB0"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PFOS, njegove soli i PFOSF</w:t>
            </w:r>
          </w:p>
        </w:tc>
        <w:tc>
          <w:tcPr>
            <w:tcW w:w="1080" w:type="dxa"/>
          </w:tcPr>
          <w:p w14:paraId="6B56AD81"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B</w:t>
            </w:r>
          </w:p>
        </w:tc>
        <w:tc>
          <w:tcPr>
            <w:tcW w:w="2901" w:type="dxa"/>
          </w:tcPr>
          <w:p w14:paraId="774B1736"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Prihvatljive namjene i specifični izuzeci (SC-9/4)</w:t>
            </w:r>
          </w:p>
        </w:tc>
      </w:tr>
      <w:tr w:rsidR="002B19B1" w:rsidRPr="00C86111" w14:paraId="68B4F18B"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52AEDC62" w14:textId="77777777" w:rsidR="002B19B1" w:rsidRPr="00C86111" w:rsidRDefault="002B19B1" w:rsidP="00BC765B">
            <w:pPr>
              <w:rPr>
                <w:color w:val="auto"/>
                <w:sz w:val="20"/>
                <w:szCs w:val="20"/>
              </w:rPr>
            </w:pPr>
            <w:r w:rsidRPr="00C86111">
              <w:rPr>
                <w:color w:val="auto"/>
                <w:sz w:val="20"/>
                <w:szCs w:val="20"/>
              </w:rPr>
              <w:t>8</w:t>
            </w:r>
          </w:p>
        </w:tc>
        <w:tc>
          <w:tcPr>
            <w:tcW w:w="1871" w:type="dxa"/>
          </w:tcPr>
          <w:p w14:paraId="19498FBE"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24.04-5.05.2017</w:t>
            </w:r>
          </w:p>
        </w:tc>
        <w:tc>
          <w:tcPr>
            <w:tcW w:w="2160" w:type="dxa"/>
          </w:tcPr>
          <w:p w14:paraId="361C3455"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DecaBDE</w:t>
            </w:r>
          </w:p>
        </w:tc>
        <w:tc>
          <w:tcPr>
            <w:tcW w:w="1080" w:type="dxa"/>
          </w:tcPr>
          <w:p w14:paraId="73105F37"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5621C5FA"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Specifični izuzeci (SC-8/10)</w:t>
            </w:r>
          </w:p>
        </w:tc>
      </w:tr>
      <w:tr w:rsidR="002B19B1" w:rsidRPr="00C86111" w14:paraId="520C70A5"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00A346A7" w14:textId="77777777" w:rsidR="002B19B1" w:rsidRPr="00C86111" w:rsidRDefault="002B19B1" w:rsidP="00BC765B">
            <w:pPr>
              <w:rPr>
                <w:color w:val="auto"/>
                <w:sz w:val="20"/>
                <w:szCs w:val="20"/>
              </w:rPr>
            </w:pPr>
            <w:r w:rsidRPr="00C86111">
              <w:rPr>
                <w:color w:val="auto"/>
                <w:sz w:val="20"/>
                <w:szCs w:val="20"/>
              </w:rPr>
              <w:t>8</w:t>
            </w:r>
          </w:p>
        </w:tc>
        <w:tc>
          <w:tcPr>
            <w:tcW w:w="1871" w:type="dxa"/>
          </w:tcPr>
          <w:p w14:paraId="12DA3064"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24.04-5.05.2017</w:t>
            </w:r>
          </w:p>
        </w:tc>
        <w:tc>
          <w:tcPr>
            <w:tcW w:w="2160" w:type="dxa"/>
          </w:tcPr>
          <w:p w14:paraId="577F16E3"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Kratkolančani hlorovani parafini</w:t>
            </w:r>
          </w:p>
        </w:tc>
        <w:tc>
          <w:tcPr>
            <w:tcW w:w="1080" w:type="dxa"/>
          </w:tcPr>
          <w:p w14:paraId="419DEE66"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62CF9ED0"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Specifični izuzeci (SC-8/11)</w:t>
            </w:r>
          </w:p>
        </w:tc>
      </w:tr>
      <w:tr w:rsidR="002B19B1" w:rsidRPr="00C86111" w14:paraId="4E7CC01E"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424A570A" w14:textId="77777777" w:rsidR="002B19B1" w:rsidRPr="00C86111" w:rsidRDefault="002B19B1" w:rsidP="00BC765B">
            <w:pPr>
              <w:rPr>
                <w:color w:val="auto"/>
                <w:sz w:val="20"/>
                <w:szCs w:val="20"/>
              </w:rPr>
            </w:pPr>
            <w:r w:rsidRPr="00C86111">
              <w:rPr>
                <w:color w:val="auto"/>
                <w:sz w:val="20"/>
                <w:szCs w:val="20"/>
              </w:rPr>
              <w:t>8</w:t>
            </w:r>
          </w:p>
        </w:tc>
        <w:tc>
          <w:tcPr>
            <w:tcW w:w="1871" w:type="dxa"/>
          </w:tcPr>
          <w:p w14:paraId="38F9E018"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24.04-5.05.2017</w:t>
            </w:r>
          </w:p>
        </w:tc>
        <w:tc>
          <w:tcPr>
            <w:tcW w:w="2160" w:type="dxa"/>
          </w:tcPr>
          <w:p w14:paraId="6516BACE"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HCBD</w:t>
            </w:r>
          </w:p>
        </w:tc>
        <w:tc>
          <w:tcPr>
            <w:tcW w:w="1080" w:type="dxa"/>
          </w:tcPr>
          <w:p w14:paraId="3409529E"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C</w:t>
            </w:r>
          </w:p>
        </w:tc>
        <w:tc>
          <w:tcPr>
            <w:tcW w:w="2901" w:type="dxa"/>
          </w:tcPr>
          <w:p w14:paraId="64B352CF"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SC-8/12</w:t>
            </w:r>
          </w:p>
        </w:tc>
      </w:tr>
      <w:tr w:rsidR="002B19B1" w:rsidRPr="00C86111" w14:paraId="7E80D9F1"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22E30E79" w14:textId="77777777" w:rsidR="002B19B1" w:rsidRPr="00C86111" w:rsidRDefault="002B19B1" w:rsidP="00BC765B">
            <w:pPr>
              <w:rPr>
                <w:color w:val="auto"/>
                <w:sz w:val="20"/>
                <w:szCs w:val="20"/>
              </w:rPr>
            </w:pPr>
            <w:r w:rsidRPr="00C86111">
              <w:rPr>
                <w:color w:val="auto"/>
                <w:sz w:val="20"/>
                <w:szCs w:val="20"/>
              </w:rPr>
              <w:t>7</w:t>
            </w:r>
          </w:p>
        </w:tc>
        <w:tc>
          <w:tcPr>
            <w:tcW w:w="1871" w:type="dxa"/>
          </w:tcPr>
          <w:p w14:paraId="7BAF0E0C"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4-15.05.2015</w:t>
            </w:r>
          </w:p>
        </w:tc>
        <w:tc>
          <w:tcPr>
            <w:tcW w:w="2160" w:type="dxa"/>
          </w:tcPr>
          <w:p w14:paraId="05BAD740"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HCBD</w:t>
            </w:r>
          </w:p>
        </w:tc>
        <w:tc>
          <w:tcPr>
            <w:tcW w:w="1080" w:type="dxa"/>
          </w:tcPr>
          <w:p w14:paraId="6BE07383"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1CBC4A73"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Bez izuzetaka (SC-7/12)</w:t>
            </w:r>
          </w:p>
        </w:tc>
      </w:tr>
      <w:tr w:rsidR="002B19B1" w:rsidRPr="00C86111" w14:paraId="05DCE833"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3035ED49" w14:textId="77777777" w:rsidR="002B19B1" w:rsidRPr="00C86111" w:rsidRDefault="002B19B1" w:rsidP="00BC765B">
            <w:pPr>
              <w:rPr>
                <w:color w:val="auto"/>
                <w:sz w:val="20"/>
                <w:szCs w:val="20"/>
              </w:rPr>
            </w:pPr>
            <w:r w:rsidRPr="00C86111">
              <w:rPr>
                <w:color w:val="auto"/>
                <w:sz w:val="20"/>
                <w:szCs w:val="20"/>
              </w:rPr>
              <w:t>7</w:t>
            </w:r>
          </w:p>
        </w:tc>
        <w:tc>
          <w:tcPr>
            <w:tcW w:w="1871" w:type="dxa"/>
          </w:tcPr>
          <w:p w14:paraId="1FDCD161"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4-15.05.2015</w:t>
            </w:r>
          </w:p>
        </w:tc>
        <w:tc>
          <w:tcPr>
            <w:tcW w:w="2160" w:type="dxa"/>
          </w:tcPr>
          <w:p w14:paraId="75593121"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Pentahlorfenol i njegovi esteri</w:t>
            </w:r>
          </w:p>
        </w:tc>
        <w:tc>
          <w:tcPr>
            <w:tcW w:w="1080" w:type="dxa"/>
          </w:tcPr>
          <w:p w14:paraId="79BEB659"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24665BCF"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Specifični izuzeci (SC-7/13)</w:t>
            </w:r>
          </w:p>
        </w:tc>
      </w:tr>
      <w:tr w:rsidR="002B19B1" w:rsidRPr="00C86111" w14:paraId="62ADDB2C"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06C49165" w14:textId="77777777" w:rsidR="002B19B1" w:rsidRPr="00C86111" w:rsidRDefault="002B19B1" w:rsidP="00BC765B">
            <w:pPr>
              <w:rPr>
                <w:color w:val="auto"/>
                <w:sz w:val="20"/>
                <w:szCs w:val="20"/>
              </w:rPr>
            </w:pPr>
            <w:r w:rsidRPr="00C86111">
              <w:rPr>
                <w:color w:val="auto"/>
                <w:sz w:val="20"/>
                <w:szCs w:val="20"/>
              </w:rPr>
              <w:t>7</w:t>
            </w:r>
          </w:p>
        </w:tc>
        <w:tc>
          <w:tcPr>
            <w:tcW w:w="1871" w:type="dxa"/>
          </w:tcPr>
          <w:p w14:paraId="3E0A9141"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4-15.05.2015</w:t>
            </w:r>
          </w:p>
        </w:tc>
        <w:tc>
          <w:tcPr>
            <w:tcW w:w="2160" w:type="dxa"/>
          </w:tcPr>
          <w:p w14:paraId="367341FB"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Polihlorovani naftaleni</w:t>
            </w:r>
          </w:p>
        </w:tc>
        <w:tc>
          <w:tcPr>
            <w:tcW w:w="1080" w:type="dxa"/>
          </w:tcPr>
          <w:p w14:paraId="7EB70C14"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 i C</w:t>
            </w:r>
          </w:p>
        </w:tc>
        <w:tc>
          <w:tcPr>
            <w:tcW w:w="2901" w:type="dxa"/>
          </w:tcPr>
          <w:p w14:paraId="4F57498F"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Specifični izuzeci (SC-7/14)</w:t>
            </w:r>
          </w:p>
        </w:tc>
      </w:tr>
      <w:tr w:rsidR="002B19B1" w:rsidRPr="00C86111" w14:paraId="31B245A1"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42BE1A39" w14:textId="77777777" w:rsidR="002B19B1" w:rsidRPr="00C86111" w:rsidRDefault="002B19B1" w:rsidP="00BC765B">
            <w:pPr>
              <w:rPr>
                <w:color w:val="auto"/>
                <w:sz w:val="20"/>
                <w:szCs w:val="20"/>
              </w:rPr>
            </w:pPr>
            <w:r w:rsidRPr="00C86111">
              <w:rPr>
                <w:color w:val="auto"/>
                <w:sz w:val="20"/>
                <w:szCs w:val="20"/>
              </w:rPr>
              <w:t>6</w:t>
            </w:r>
          </w:p>
        </w:tc>
        <w:tc>
          <w:tcPr>
            <w:tcW w:w="1871" w:type="dxa"/>
          </w:tcPr>
          <w:p w14:paraId="1200E47C"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28.04-10.05.2013</w:t>
            </w:r>
          </w:p>
        </w:tc>
        <w:tc>
          <w:tcPr>
            <w:tcW w:w="2160" w:type="dxa"/>
          </w:tcPr>
          <w:p w14:paraId="474A327A"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HBCDD</w:t>
            </w:r>
          </w:p>
        </w:tc>
        <w:tc>
          <w:tcPr>
            <w:tcW w:w="1080" w:type="dxa"/>
          </w:tcPr>
          <w:p w14:paraId="047F4C77"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22A5120D"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Specifični izuzeci (SC-6/13)</w:t>
            </w:r>
          </w:p>
        </w:tc>
      </w:tr>
      <w:tr w:rsidR="002B19B1" w:rsidRPr="00C86111" w14:paraId="7D10D966"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1F260137" w14:textId="77777777" w:rsidR="002B19B1" w:rsidRPr="00C86111" w:rsidRDefault="002B19B1" w:rsidP="00BC765B">
            <w:pPr>
              <w:rPr>
                <w:color w:val="auto"/>
                <w:sz w:val="20"/>
                <w:szCs w:val="20"/>
              </w:rPr>
            </w:pPr>
            <w:r w:rsidRPr="00C86111">
              <w:rPr>
                <w:color w:val="auto"/>
                <w:sz w:val="20"/>
                <w:szCs w:val="20"/>
              </w:rPr>
              <w:t>5</w:t>
            </w:r>
          </w:p>
        </w:tc>
        <w:tc>
          <w:tcPr>
            <w:tcW w:w="1871" w:type="dxa"/>
          </w:tcPr>
          <w:p w14:paraId="100958A6"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25-29.05.2011</w:t>
            </w:r>
          </w:p>
        </w:tc>
        <w:tc>
          <w:tcPr>
            <w:tcW w:w="2160" w:type="dxa"/>
          </w:tcPr>
          <w:p w14:paraId="519A9E96"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Tehnički endosulfan i izomeri</w:t>
            </w:r>
          </w:p>
        </w:tc>
        <w:tc>
          <w:tcPr>
            <w:tcW w:w="1080" w:type="dxa"/>
          </w:tcPr>
          <w:p w14:paraId="33C2C8DE"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52A0C776"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Specifični izuzeci (SC-5/3)</w:t>
            </w:r>
          </w:p>
        </w:tc>
      </w:tr>
      <w:tr w:rsidR="002B19B1" w:rsidRPr="00C86111" w14:paraId="5EEE7F66"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0A710E9A" w14:textId="77777777" w:rsidR="002B19B1" w:rsidRPr="00C86111" w:rsidRDefault="002B19B1" w:rsidP="00BC765B">
            <w:pPr>
              <w:rPr>
                <w:color w:val="auto"/>
                <w:sz w:val="20"/>
                <w:szCs w:val="20"/>
              </w:rPr>
            </w:pPr>
            <w:r w:rsidRPr="00C86111">
              <w:rPr>
                <w:color w:val="auto"/>
                <w:sz w:val="20"/>
                <w:szCs w:val="20"/>
              </w:rPr>
              <w:t>4</w:t>
            </w:r>
          </w:p>
        </w:tc>
        <w:tc>
          <w:tcPr>
            <w:tcW w:w="1871" w:type="dxa"/>
          </w:tcPr>
          <w:p w14:paraId="2E49D6D4"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4-8.05.2009</w:t>
            </w:r>
          </w:p>
        </w:tc>
        <w:tc>
          <w:tcPr>
            <w:tcW w:w="2160" w:type="dxa"/>
          </w:tcPr>
          <w:p w14:paraId="61C35549"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Alpha-HCH</w:t>
            </w:r>
          </w:p>
        </w:tc>
        <w:tc>
          <w:tcPr>
            <w:tcW w:w="1080" w:type="dxa"/>
          </w:tcPr>
          <w:p w14:paraId="1DABBC4B"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60635CDD"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Bez izuzetaka (SC-4/10)</w:t>
            </w:r>
          </w:p>
        </w:tc>
      </w:tr>
      <w:tr w:rsidR="002B19B1" w:rsidRPr="00C86111" w14:paraId="1A28C1B0"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7E9A4238" w14:textId="77777777" w:rsidR="002B19B1" w:rsidRPr="00C86111" w:rsidRDefault="002B19B1" w:rsidP="00BC765B">
            <w:pPr>
              <w:rPr>
                <w:color w:val="auto"/>
                <w:sz w:val="20"/>
                <w:szCs w:val="20"/>
              </w:rPr>
            </w:pPr>
            <w:r w:rsidRPr="00C86111">
              <w:rPr>
                <w:color w:val="auto"/>
                <w:sz w:val="20"/>
                <w:szCs w:val="20"/>
              </w:rPr>
              <w:t>4</w:t>
            </w:r>
          </w:p>
        </w:tc>
        <w:tc>
          <w:tcPr>
            <w:tcW w:w="1871" w:type="dxa"/>
          </w:tcPr>
          <w:p w14:paraId="7EEB5A32"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4-8.05.2009</w:t>
            </w:r>
          </w:p>
        </w:tc>
        <w:tc>
          <w:tcPr>
            <w:tcW w:w="2160" w:type="dxa"/>
          </w:tcPr>
          <w:p w14:paraId="25F03A1C"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Beta-HCH</w:t>
            </w:r>
          </w:p>
        </w:tc>
        <w:tc>
          <w:tcPr>
            <w:tcW w:w="1080" w:type="dxa"/>
          </w:tcPr>
          <w:p w14:paraId="0BF20716"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5F069255"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Bez izuzetaka (SC-4/11)</w:t>
            </w:r>
          </w:p>
        </w:tc>
      </w:tr>
      <w:tr w:rsidR="002B19B1" w:rsidRPr="00C86111" w14:paraId="67A27E53"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289B4B9D" w14:textId="77777777" w:rsidR="002B19B1" w:rsidRPr="00C86111" w:rsidRDefault="002B19B1" w:rsidP="00BC765B">
            <w:pPr>
              <w:rPr>
                <w:color w:val="auto"/>
                <w:sz w:val="20"/>
                <w:szCs w:val="20"/>
              </w:rPr>
            </w:pPr>
            <w:r w:rsidRPr="00C86111">
              <w:rPr>
                <w:color w:val="auto"/>
                <w:sz w:val="20"/>
                <w:szCs w:val="20"/>
              </w:rPr>
              <w:t>4</w:t>
            </w:r>
          </w:p>
        </w:tc>
        <w:tc>
          <w:tcPr>
            <w:tcW w:w="1871" w:type="dxa"/>
          </w:tcPr>
          <w:p w14:paraId="68B0953B"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4-8.05.2009</w:t>
            </w:r>
          </w:p>
        </w:tc>
        <w:tc>
          <w:tcPr>
            <w:tcW w:w="2160" w:type="dxa"/>
          </w:tcPr>
          <w:p w14:paraId="5959F869"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Chlordecone</w:t>
            </w:r>
          </w:p>
        </w:tc>
        <w:tc>
          <w:tcPr>
            <w:tcW w:w="1080" w:type="dxa"/>
          </w:tcPr>
          <w:p w14:paraId="6B9BB746"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4FD2DE2F"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Bez izuzetaka (SC-4/12)</w:t>
            </w:r>
          </w:p>
        </w:tc>
      </w:tr>
      <w:tr w:rsidR="002B19B1" w:rsidRPr="00C86111" w14:paraId="39849F26"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5FD51A68" w14:textId="77777777" w:rsidR="002B19B1" w:rsidRPr="00C86111" w:rsidRDefault="002B19B1" w:rsidP="00BC765B">
            <w:pPr>
              <w:rPr>
                <w:color w:val="auto"/>
                <w:sz w:val="20"/>
                <w:szCs w:val="20"/>
              </w:rPr>
            </w:pPr>
            <w:r w:rsidRPr="00C86111">
              <w:rPr>
                <w:color w:val="auto"/>
                <w:sz w:val="20"/>
                <w:szCs w:val="20"/>
              </w:rPr>
              <w:t>4</w:t>
            </w:r>
          </w:p>
        </w:tc>
        <w:tc>
          <w:tcPr>
            <w:tcW w:w="1871" w:type="dxa"/>
          </w:tcPr>
          <w:p w14:paraId="0D62E2F9"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4-8.05.2009</w:t>
            </w:r>
          </w:p>
        </w:tc>
        <w:tc>
          <w:tcPr>
            <w:tcW w:w="2160" w:type="dxa"/>
          </w:tcPr>
          <w:p w14:paraId="25AA201C"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Hexabromobiphenyl</w:t>
            </w:r>
          </w:p>
        </w:tc>
        <w:tc>
          <w:tcPr>
            <w:tcW w:w="1080" w:type="dxa"/>
          </w:tcPr>
          <w:p w14:paraId="0A9E87C0"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7ECA7F5A"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Bez izuzetaka (SC-4/13)</w:t>
            </w:r>
          </w:p>
        </w:tc>
      </w:tr>
      <w:tr w:rsidR="002B19B1" w:rsidRPr="00C86111" w14:paraId="5FCC06CF"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2FDA4D99" w14:textId="77777777" w:rsidR="002B19B1" w:rsidRPr="00C86111" w:rsidRDefault="002B19B1" w:rsidP="00BC765B">
            <w:pPr>
              <w:rPr>
                <w:color w:val="auto"/>
                <w:sz w:val="20"/>
                <w:szCs w:val="20"/>
              </w:rPr>
            </w:pPr>
            <w:r w:rsidRPr="00C86111">
              <w:rPr>
                <w:color w:val="auto"/>
                <w:sz w:val="20"/>
                <w:szCs w:val="20"/>
              </w:rPr>
              <w:t>4</w:t>
            </w:r>
          </w:p>
        </w:tc>
        <w:tc>
          <w:tcPr>
            <w:tcW w:w="1871" w:type="dxa"/>
          </w:tcPr>
          <w:p w14:paraId="64DFA36C"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4-8.05.2009</w:t>
            </w:r>
          </w:p>
        </w:tc>
        <w:tc>
          <w:tcPr>
            <w:tcW w:w="2160" w:type="dxa"/>
          </w:tcPr>
          <w:p w14:paraId="728D52F4"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Hexabromodiphenyl ether i heptabromodiphenyl ether</w:t>
            </w:r>
          </w:p>
        </w:tc>
        <w:tc>
          <w:tcPr>
            <w:tcW w:w="1080" w:type="dxa"/>
          </w:tcPr>
          <w:p w14:paraId="32B449FC"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49871F63"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Specifični izuzeci (SC-4/14)</w:t>
            </w:r>
          </w:p>
        </w:tc>
      </w:tr>
      <w:tr w:rsidR="002B19B1" w:rsidRPr="00C86111" w14:paraId="67AF879A"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312E17FB" w14:textId="77777777" w:rsidR="002B19B1" w:rsidRPr="00C86111" w:rsidRDefault="002B19B1" w:rsidP="00BC765B">
            <w:pPr>
              <w:rPr>
                <w:color w:val="auto"/>
                <w:sz w:val="20"/>
                <w:szCs w:val="20"/>
              </w:rPr>
            </w:pPr>
            <w:r w:rsidRPr="00C86111">
              <w:rPr>
                <w:color w:val="auto"/>
                <w:sz w:val="20"/>
                <w:szCs w:val="20"/>
              </w:rPr>
              <w:t>4</w:t>
            </w:r>
          </w:p>
        </w:tc>
        <w:tc>
          <w:tcPr>
            <w:tcW w:w="1871" w:type="dxa"/>
          </w:tcPr>
          <w:p w14:paraId="505AB76C"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4-8.05.2009</w:t>
            </w:r>
          </w:p>
        </w:tc>
        <w:tc>
          <w:tcPr>
            <w:tcW w:w="2160" w:type="dxa"/>
          </w:tcPr>
          <w:p w14:paraId="433B8FC3"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Lindane</w:t>
            </w:r>
          </w:p>
        </w:tc>
        <w:tc>
          <w:tcPr>
            <w:tcW w:w="1080" w:type="dxa"/>
          </w:tcPr>
          <w:p w14:paraId="5F070A66"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2C26CDBD"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Specifični izuzeci (SC-4/15)</w:t>
            </w:r>
          </w:p>
        </w:tc>
      </w:tr>
      <w:tr w:rsidR="002B19B1" w:rsidRPr="00C86111" w14:paraId="289AB41E"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53F204C6" w14:textId="77777777" w:rsidR="002B19B1" w:rsidRPr="00C86111" w:rsidRDefault="002B19B1" w:rsidP="00BC765B">
            <w:pPr>
              <w:rPr>
                <w:color w:val="auto"/>
                <w:sz w:val="20"/>
                <w:szCs w:val="20"/>
              </w:rPr>
            </w:pPr>
            <w:r w:rsidRPr="00C86111">
              <w:rPr>
                <w:color w:val="auto"/>
                <w:sz w:val="20"/>
                <w:szCs w:val="20"/>
              </w:rPr>
              <w:t>4</w:t>
            </w:r>
          </w:p>
        </w:tc>
        <w:tc>
          <w:tcPr>
            <w:tcW w:w="1871" w:type="dxa"/>
          </w:tcPr>
          <w:p w14:paraId="06ADF401"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4-8.05.2009</w:t>
            </w:r>
          </w:p>
        </w:tc>
        <w:tc>
          <w:tcPr>
            <w:tcW w:w="2160" w:type="dxa"/>
          </w:tcPr>
          <w:p w14:paraId="5A767632"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Pentahlorbenzen</w:t>
            </w:r>
          </w:p>
        </w:tc>
        <w:tc>
          <w:tcPr>
            <w:tcW w:w="1080" w:type="dxa"/>
          </w:tcPr>
          <w:p w14:paraId="0DA13FF9"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 i C</w:t>
            </w:r>
          </w:p>
        </w:tc>
        <w:tc>
          <w:tcPr>
            <w:tcW w:w="2901" w:type="dxa"/>
          </w:tcPr>
          <w:p w14:paraId="7E1FE4D5"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Bez izuzetaka (SC-4/16)</w:t>
            </w:r>
          </w:p>
        </w:tc>
      </w:tr>
      <w:tr w:rsidR="002B19B1" w:rsidRPr="00C86111" w14:paraId="24677BFB"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dxa"/>
          </w:tcPr>
          <w:p w14:paraId="51FCBCBD" w14:textId="77777777" w:rsidR="002B19B1" w:rsidRPr="00C86111" w:rsidRDefault="002B19B1" w:rsidP="00BC765B">
            <w:pPr>
              <w:rPr>
                <w:color w:val="auto"/>
                <w:sz w:val="20"/>
                <w:szCs w:val="20"/>
              </w:rPr>
            </w:pPr>
            <w:r w:rsidRPr="00C86111">
              <w:rPr>
                <w:color w:val="auto"/>
                <w:sz w:val="20"/>
                <w:szCs w:val="20"/>
              </w:rPr>
              <w:t>4</w:t>
            </w:r>
          </w:p>
        </w:tc>
        <w:tc>
          <w:tcPr>
            <w:tcW w:w="1871" w:type="dxa"/>
          </w:tcPr>
          <w:p w14:paraId="67E17054"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4-8.05.2009</w:t>
            </w:r>
          </w:p>
        </w:tc>
        <w:tc>
          <w:tcPr>
            <w:tcW w:w="2160" w:type="dxa"/>
          </w:tcPr>
          <w:p w14:paraId="4E9F4645"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PFOS, njegove soli i PFOSF</w:t>
            </w:r>
          </w:p>
        </w:tc>
        <w:tc>
          <w:tcPr>
            <w:tcW w:w="1080" w:type="dxa"/>
          </w:tcPr>
          <w:p w14:paraId="4F57934A"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B</w:t>
            </w:r>
          </w:p>
        </w:tc>
        <w:tc>
          <w:tcPr>
            <w:tcW w:w="2901" w:type="dxa"/>
          </w:tcPr>
          <w:p w14:paraId="6DBA6FFF" w14:textId="77777777" w:rsidR="002B19B1" w:rsidRPr="00C86111" w:rsidRDefault="002B19B1" w:rsidP="00BC765B">
            <w:pPr>
              <w:cnfStyle w:val="000000100000" w:firstRow="0" w:lastRow="0" w:firstColumn="0" w:lastColumn="0" w:oddVBand="0" w:evenVBand="0" w:oddHBand="1" w:evenHBand="0" w:firstRowFirstColumn="0" w:firstRowLastColumn="0" w:lastRowFirstColumn="0" w:lastRowLastColumn="0"/>
              <w:rPr>
                <w:color w:val="auto"/>
                <w:sz w:val="20"/>
                <w:szCs w:val="20"/>
              </w:rPr>
            </w:pPr>
            <w:r w:rsidRPr="00C86111">
              <w:rPr>
                <w:color w:val="auto"/>
                <w:sz w:val="20"/>
                <w:szCs w:val="20"/>
              </w:rPr>
              <w:t>Prihvatljive namjene i specifični izuzeci (SC-4/17)</w:t>
            </w:r>
          </w:p>
        </w:tc>
      </w:tr>
      <w:tr w:rsidR="002B19B1" w:rsidRPr="00C86111" w14:paraId="696ED77A" w14:textId="77777777" w:rsidTr="00BC765B">
        <w:tc>
          <w:tcPr>
            <w:cnfStyle w:val="001000000000" w:firstRow="0" w:lastRow="0" w:firstColumn="1" w:lastColumn="0" w:oddVBand="0" w:evenVBand="0" w:oddHBand="0" w:evenHBand="0" w:firstRowFirstColumn="0" w:firstRowLastColumn="0" w:lastRowFirstColumn="0" w:lastRowLastColumn="0"/>
            <w:tcW w:w="1009" w:type="dxa"/>
          </w:tcPr>
          <w:p w14:paraId="310C06DB" w14:textId="77777777" w:rsidR="002B19B1" w:rsidRPr="00C86111" w:rsidRDefault="002B19B1" w:rsidP="00BC765B">
            <w:pPr>
              <w:rPr>
                <w:color w:val="auto"/>
                <w:sz w:val="20"/>
                <w:szCs w:val="20"/>
              </w:rPr>
            </w:pPr>
            <w:r w:rsidRPr="00C86111">
              <w:rPr>
                <w:color w:val="auto"/>
                <w:sz w:val="20"/>
                <w:szCs w:val="20"/>
              </w:rPr>
              <w:t>4</w:t>
            </w:r>
          </w:p>
        </w:tc>
        <w:tc>
          <w:tcPr>
            <w:tcW w:w="1871" w:type="dxa"/>
          </w:tcPr>
          <w:p w14:paraId="356FBBA7"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4-8.05.2009</w:t>
            </w:r>
          </w:p>
        </w:tc>
        <w:tc>
          <w:tcPr>
            <w:tcW w:w="2160" w:type="dxa"/>
          </w:tcPr>
          <w:p w14:paraId="1A7EC312"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Tetrabromodiphenyl ether i pentabromodiphenyl ether</w:t>
            </w:r>
          </w:p>
        </w:tc>
        <w:tc>
          <w:tcPr>
            <w:tcW w:w="1080" w:type="dxa"/>
          </w:tcPr>
          <w:p w14:paraId="0C0E555F"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A</w:t>
            </w:r>
          </w:p>
        </w:tc>
        <w:tc>
          <w:tcPr>
            <w:tcW w:w="2901" w:type="dxa"/>
          </w:tcPr>
          <w:p w14:paraId="1CEDCA19" w14:textId="77777777" w:rsidR="002B19B1" w:rsidRPr="00C86111" w:rsidRDefault="002B19B1" w:rsidP="00BC765B">
            <w:pPr>
              <w:cnfStyle w:val="000000000000" w:firstRow="0" w:lastRow="0" w:firstColumn="0" w:lastColumn="0" w:oddVBand="0" w:evenVBand="0" w:oddHBand="0" w:evenHBand="0" w:firstRowFirstColumn="0" w:firstRowLastColumn="0" w:lastRowFirstColumn="0" w:lastRowLastColumn="0"/>
              <w:rPr>
                <w:color w:val="auto"/>
                <w:sz w:val="20"/>
                <w:szCs w:val="20"/>
              </w:rPr>
            </w:pPr>
            <w:r w:rsidRPr="00C86111">
              <w:rPr>
                <w:color w:val="auto"/>
                <w:sz w:val="20"/>
                <w:szCs w:val="20"/>
              </w:rPr>
              <w:t>Specifični izuzeci (SC-4/18)</w:t>
            </w:r>
          </w:p>
        </w:tc>
      </w:tr>
    </w:tbl>
    <w:p w14:paraId="5C4D5E93" w14:textId="77777777" w:rsidR="002B19B1" w:rsidRPr="00C86111" w:rsidRDefault="002B19B1" w:rsidP="002B19B1"/>
    <w:p w14:paraId="1F3225E4"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Jedna od centralnih obaveza za države potpisnice, prema članu 7 Konvencije, je razvoj, revizija i periodično ažuriranje Nacionalnog plana implementacije (NIP). Nacionalni Implementacioni Plan  predstavlja strateški okvir za sprovođenje kontrolnih mjera, razvoj akcijskionih planova, vođenje inventara i upravljanje zalihama POPs hemikalija i periodično izvještavanje o efektivnosti Konvencije.  </w:t>
      </w:r>
    </w:p>
    <w:p w14:paraId="61E4524D"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Države ugovornice Stokholmske konvencije dužne su da pripreme plan u kojem objašnjavaju kako će sprovesti obaveze iz Konvencije i da ulože napore da takav plan stave u funkciju (Član 7 Konvencije). U skladu sa odredbama Člana 7 Stokholmske konvencije, države imaju obavezu da periodično preispituju i ažuriraju svoje nacionalne planove implementacije (NIP). Ovaj proces je neophodan kako bi se NIP uskladio sa novim okolnostima, međunarodnim obavezama i nacionalnim prioritetima. Potreba za ažuriranjem može proisteći iz različitih spoljnih i unutrašnjih faktora.</w:t>
      </w:r>
    </w:p>
    <w:p w14:paraId="0F362FD7"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Spoljni faktori obuhvataju izmjene Konvencije i njenih aneksa, uključujući uvrštavanje novih hemikalija na liste zabranjenih ili ograničenih supstanci, zatim odluke Konferencije strana koje utiču na način sprovođenja konvencijskih obaveza, kao i promjene u dostupnosti tehničke i finansijske podrške. Takođe, pristup relevantnoj infrastrukturi van države (npr. objektima za tretman i odlaganje otpada) može značajno uticati na sprovođenje planiranih mjera. </w:t>
      </w:r>
    </w:p>
    <w:p w14:paraId="2CD5F2BE"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Unutrašnji faktori podrazumijevaju nalaze iz izvještavanja prema Članu 15 Konvencije koji mogu ukazivati na nedostatke u postojećem planu, promjene u nacionalnim razvojnim i sektorskim prioritetima, kao i značajne promjene u institucionalnim ili infrastrukturnim uslovima. Dodatno, unaprijeđeni ili ažurirani inventari POPs-a mogu ukazati na promjene u obimu problema koji je potrebno adresirati.</w:t>
      </w:r>
    </w:p>
    <w:p w14:paraId="26CE403C"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Tokom procesa revizije, države su dužne da ocijene i efikasnost već sprovedenih mjera, strategija i akcionih planova iz prethodnih verzija NIP-a. Posebno je važno redovno preispitivanje mjera koje se odnose na nenamjerne emisije POPs-a, što je zahtjev eksplicitno naveden u Članu 5 Konvencije, koji propisuje petogodišnji ciklus evaluacije ovih aktivnosti.</w:t>
      </w:r>
    </w:p>
    <w:p w14:paraId="51831623"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Ovakav sistematski pristup omogućava da NIP ostane relevantan, primjenljiv i usklađen sa međunarodnim zahtjevima, ali i sa razvojnim potrebama i mogućnostima države. </w:t>
      </w:r>
    </w:p>
    <w:p w14:paraId="2CF51C7A"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U okviru globalnog napora da se podrži implementacija Konvencije, razvijen je Globalni projekat ažuriranja NIP-a (GEF ID 10875) zajedno sa satelitskim projektima (GEF ID 10924), koji se sprovode u zemljama Centralne i Istočne Evrope i zemljama u tranziciji. Projekti, implementirani od strane UNEP-a u saradnji sa izvršnim agencijama i Regionalnim centrima Stokholmske konvencije, uključuju tehničku i operativnu podršku zemljama korisnicama, a jedan od ključnih partnera u ovom regionu je RECETOX pri Masarykovom univerzitetu u Brnu. Za Crnu Goru, saradnja između RECETOX-a i Centra za ekotoksikološka ispitivanja Podgorica (CETI) formalizovana je Ugovorom o saradnji potpisanim u septembru 2023. godine. Ugovor je definisao  zajedničke zadatke i obaveze, uključujući:</w:t>
      </w:r>
    </w:p>
    <w:p w14:paraId="52522D0A" w14:textId="77777777" w:rsidR="002B19B1" w:rsidRPr="00C86111" w:rsidRDefault="002B19B1" w:rsidP="007E2AA5">
      <w:pPr>
        <w:numPr>
          <w:ilvl w:val="0"/>
          <w:numId w:val="1"/>
        </w:numPr>
        <w:jc w:val="both"/>
        <w:rPr>
          <w:rFonts w:asciiTheme="minorHAnsi" w:hAnsiTheme="minorHAnsi" w:cstheme="minorHAnsi"/>
          <w:color w:val="auto"/>
          <w:szCs w:val="24"/>
        </w:rPr>
      </w:pPr>
      <w:r w:rsidRPr="00C86111">
        <w:rPr>
          <w:rFonts w:asciiTheme="minorHAnsi" w:hAnsiTheme="minorHAnsi" w:cstheme="minorHAnsi"/>
          <w:color w:val="auto"/>
          <w:szCs w:val="24"/>
        </w:rPr>
        <w:t>saradnju sa nacionalnom fokalnom tačkom Stokholmske konvencije i relevantnim institucijama,</w:t>
      </w:r>
    </w:p>
    <w:p w14:paraId="3596C5BB" w14:textId="77777777" w:rsidR="002B19B1" w:rsidRPr="00C86111" w:rsidRDefault="002B19B1" w:rsidP="007E2AA5">
      <w:pPr>
        <w:numPr>
          <w:ilvl w:val="0"/>
          <w:numId w:val="1"/>
        </w:numPr>
        <w:jc w:val="both"/>
        <w:rPr>
          <w:rFonts w:asciiTheme="minorHAnsi" w:hAnsiTheme="minorHAnsi" w:cstheme="minorHAnsi"/>
          <w:color w:val="auto"/>
          <w:szCs w:val="24"/>
        </w:rPr>
      </w:pPr>
      <w:r w:rsidRPr="00C86111">
        <w:rPr>
          <w:rFonts w:asciiTheme="minorHAnsi" w:hAnsiTheme="minorHAnsi" w:cstheme="minorHAnsi"/>
          <w:color w:val="auto"/>
          <w:szCs w:val="24"/>
        </w:rPr>
        <w:t>pripremu inventara POPs hemikalija i akcione planove,</w:t>
      </w:r>
    </w:p>
    <w:p w14:paraId="742C5C64" w14:textId="77777777" w:rsidR="002B19B1" w:rsidRPr="00C86111" w:rsidRDefault="002B19B1" w:rsidP="007E2AA5">
      <w:pPr>
        <w:numPr>
          <w:ilvl w:val="0"/>
          <w:numId w:val="1"/>
        </w:numPr>
        <w:jc w:val="both"/>
        <w:rPr>
          <w:rFonts w:asciiTheme="minorHAnsi" w:hAnsiTheme="minorHAnsi" w:cstheme="minorHAnsi"/>
          <w:color w:val="auto"/>
          <w:szCs w:val="24"/>
        </w:rPr>
      </w:pPr>
      <w:r w:rsidRPr="00C86111">
        <w:rPr>
          <w:rFonts w:asciiTheme="minorHAnsi" w:hAnsiTheme="minorHAnsi" w:cstheme="minorHAnsi"/>
          <w:color w:val="auto"/>
          <w:szCs w:val="24"/>
        </w:rPr>
        <w:t>organizaciju radionica, sastanaka i nacionalnih konsultacija,</w:t>
      </w:r>
    </w:p>
    <w:p w14:paraId="64E150C7" w14:textId="77777777" w:rsidR="002B19B1" w:rsidRPr="00C86111" w:rsidRDefault="002B19B1" w:rsidP="007E2AA5">
      <w:pPr>
        <w:numPr>
          <w:ilvl w:val="0"/>
          <w:numId w:val="1"/>
        </w:numPr>
        <w:jc w:val="both"/>
        <w:rPr>
          <w:rFonts w:asciiTheme="minorHAnsi" w:hAnsiTheme="minorHAnsi" w:cstheme="minorHAnsi"/>
          <w:color w:val="auto"/>
          <w:szCs w:val="24"/>
        </w:rPr>
      </w:pPr>
      <w:r w:rsidRPr="00C86111">
        <w:rPr>
          <w:rFonts w:asciiTheme="minorHAnsi" w:hAnsiTheme="minorHAnsi" w:cstheme="minorHAnsi"/>
          <w:color w:val="auto"/>
          <w:szCs w:val="24"/>
        </w:rPr>
        <w:t>saradnju sa ekspertima i državnim organima,</w:t>
      </w:r>
    </w:p>
    <w:p w14:paraId="32E4C43A" w14:textId="77777777" w:rsidR="002B19B1" w:rsidRPr="00C86111" w:rsidRDefault="002B19B1" w:rsidP="007E2AA5">
      <w:pPr>
        <w:numPr>
          <w:ilvl w:val="0"/>
          <w:numId w:val="1"/>
        </w:numPr>
        <w:jc w:val="both"/>
        <w:rPr>
          <w:rFonts w:asciiTheme="minorHAnsi" w:hAnsiTheme="minorHAnsi" w:cstheme="minorHAnsi"/>
          <w:color w:val="auto"/>
          <w:szCs w:val="24"/>
        </w:rPr>
      </w:pPr>
      <w:r w:rsidRPr="00C86111">
        <w:rPr>
          <w:rFonts w:asciiTheme="minorHAnsi" w:hAnsiTheme="minorHAnsi" w:cstheme="minorHAnsi"/>
          <w:color w:val="auto"/>
          <w:szCs w:val="24"/>
        </w:rPr>
        <w:t>podizanje javne svijesti i informisanje dionika,</w:t>
      </w:r>
    </w:p>
    <w:p w14:paraId="0D48A80F" w14:textId="77777777" w:rsidR="002B19B1" w:rsidRPr="00C86111" w:rsidRDefault="002B19B1" w:rsidP="007E2AA5">
      <w:pPr>
        <w:numPr>
          <w:ilvl w:val="0"/>
          <w:numId w:val="1"/>
        </w:numPr>
        <w:jc w:val="both"/>
        <w:rPr>
          <w:rFonts w:asciiTheme="minorHAnsi" w:hAnsiTheme="minorHAnsi" w:cstheme="minorHAnsi"/>
          <w:color w:val="auto"/>
          <w:szCs w:val="24"/>
        </w:rPr>
      </w:pPr>
      <w:r w:rsidRPr="00C86111">
        <w:rPr>
          <w:rFonts w:asciiTheme="minorHAnsi" w:hAnsiTheme="minorHAnsi" w:cstheme="minorHAnsi"/>
          <w:color w:val="auto"/>
          <w:szCs w:val="24"/>
        </w:rPr>
        <w:t>redovno izvještavanje o sprovedenim aktivnostima i finansijama.</w:t>
      </w:r>
    </w:p>
    <w:p w14:paraId="376409C3"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Vrijednost ugovora iznosi 300.750 USD, dok je rok za završetak svih aktivnosti 30. novembar 2025., a ugovor ostaje na snazi do 30. juna 2026.</w:t>
      </w:r>
    </w:p>
    <w:p w14:paraId="13D74E2A"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Glavni cilj projekta je doprinos sprovođenju Stokholmske konvencije i zaštiti zdravlja ljudi i životne sredine od rizika povezanih sa POPs hemikalijama. Projekat teži da osigura usklađenost </w:t>
      </w:r>
      <w:r w:rsidRPr="00C86111">
        <w:rPr>
          <w:rFonts w:asciiTheme="minorHAnsi" w:hAnsiTheme="minorHAnsi" w:cstheme="minorHAnsi"/>
          <w:color w:val="auto"/>
          <w:szCs w:val="24"/>
        </w:rPr>
        <w:lastRenderedPageBreak/>
        <w:t>NIP-a sa članom 7 Konvencije i unaprijedi kvalitet nacionalnog izvještavanja prema članu 15, uključujući nove hemikalije dodate od 2009. do 2023. godine.</w:t>
      </w:r>
    </w:p>
    <w:p w14:paraId="45DE704F"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Struktura projekta podijeljena je u pet komponenti, među kojima su politička podrška, uključivanje zainteresovanih strana, razvoj metodologija, revizija i ažuriranje NIP-a, te izvještavanje i monitoring. Kroz ove aktivnosti, Crna Gora jača institucionalne kapacitete, razvija nacionalne baze podataka o POPs hemikalijama, obučava stručnjake i podiže svijest javnosti, čime direktno doprinosi globalnim naporima u eliminaciji ovih opasnih supstanci.</w:t>
      </w:r>
    </w:p>
    <w:p w14:paraId="01875262"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Glavni rezultat projekta jeste ažurirani Nacionalni Implementacioni Plan koji obuhvata hemikalije iz originalnog plana, dodatne supstance dodate do 2019. godine, uz preliminarno uključivanje novih hemikalija iz 2022–2023. godine.  Proces izrade NIP-a uključuje nekoliko ključnih aktivnosti. Jedna od ključnih aktivnosti jeste izrada inventara POPs hemikalija, koji sadrži podatke o proizvodnji, uvozu, izvozu, zalihama, kontaminiranim lokacijama i postojećim regulatornim mjerama. Na osnovu inventara, definisani se prioriteti i ciljevi, a potom se pripremio nacrt NIP-a koji se razmatra i validije uz podršku nacionalnih zainteresovanih strana i relevantnih institucija.</w:t>
      </w:r>
    </w:p>
    <w:p w14:paraId="3F70183F"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Pored samog NIP-a, projekat predviđa i pripremu nacionalnih izvještaja prema članu 15 Konvencije, koji sistematizuju podatke prikupljene tokom izrade inventara i konsultacija sa zainteresovanim stranama. Ovi izvještaji omogućavaju transparentno praćenje napretka u implementaciji Konvencije i pomažu u identifikaciji potreba za dodatnim mjerama ili prilagođavanjem akcijskionih planova.</w:t>
      </w:r>
    </w:p>
    <w:p w14:paraId="4A5F0DE4"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Drugi važan segment koji je proistekao iz projekta uključuje razne podržavajuće izvještaje i analize, među kojima su:</w:t>
      </w:r>
    </w:p>
    <w:p w14:paraId="3BA4C370" w14:textId="77777777" w:rsidR="002B19B1" w:rsidRPr="00C86111" w:rsidRDefault="002B19B1" w:rsidP="007E2AA5">
      <w:pPr>
        <w:numPr>
          <w:ilvl w:val="0"/>
          <w:numId w:val="2"/>
        </w:numPr>
        <w:jc w:val="both"/>
        <w:rPr>
          <w:rFonts w:asciiTheme="minorHAnsi" w:hAnsiTheme="minorHAnsi" w:cstheme="minorHAnsi"/>
          <w:color w:val="auto"/>
          <w:szCs w:val="24"/>
        </w:rPr>
      </w:pPr>
      <w:r w:rsidRPr="00C86111">
        <w:rPr>
          <w:rFonts w:asciiTheme="minorHAnsi" w:hAnsiTheme="minorHAnsi" w:cstheme="minorHAnsi"/>
          <w:color w:val="auto"/>
          <w:szCs w:val="24"/>
        </w:rPr>
        <w:t>pravna analiza nedostataka u zakonodavstvu i preporuke za poboljšanja,</w:t>
      </w:r>
    </w:p>
    <w:p w14:paraId="3AEA70D6" w14:textId="77777777" w:rsidR="002B19B1" w:rsidRPr="00C86111" w:rsidRDefault="002B19B1" w:rsidP="007E2AA5">
      <w:pPr>
        <w:numPr>
          <w:ilvl w:val="0"/>
          <w:numId w:val="2"/>
        </w:numPr>
        <w:jc w:val="both"/>
        <w:rPr>
          <w:rFonts w:asciiTheme="minorHAnsi" w:hAnsiTheme="minorHAnsi" w:cstheme="minorHAnsi"/>
          <w:color w:val="auto"/>
          <w:szCs w:val="24"/>
        </w:rPr>
      </w:pPr>
      <w:r w:rsidRPr="00C86111">
        <w:rPr>
          <w:rFonts w:asciiTheme="minorHAnsi" w:hAnsiTheme="minorHAnsi" w:cstheme="minorHAnsi"/>
          <w:color w:val="auto"/>
          <w:szCs w:val="24"/>
        </w:rPr>
        <w:t>izvještaji o nenamjerno proizvedenim POPs hemikalijama i o postojećim programima monitoringa,</w:t>
      </w:r>
    </w:p>
    <w:p w14:paraId="4EF790B7" w14:textId="77777777" w:rsidR="002B19B1" w:rsidRPr="00C86111" w:rsidRDefault="002B19B1" w:rsidP="007E2AA5">
      <w:pPr>
        <w:numPr>
          <w:ilvl w:val="0"/>
          <w:numId w:val="2"/>
        </w:numPr>
        <w:jc w:val="both"/>
        <w:rPr>
          <w:rFonts w:asciiTheme="minorHAnsi" w:hAnsiTheme="minorHAnsi" w:cstheme="minorHAnsi"/>
          <w:color w:val="auto"/>
          <w:szCs w:val="24"/>
        </w:rPr>
      </w:pPr>
      <w:r w:rsidRPr="00C86111">
        <w:rPr>
          <w:rFonts w:asciiTheme="minorHAnsi" w:hAnsiTheme="minorHAnsi" w:cstheme="minorHAnsi"/>
          <w:color w:val="auto"/>
          <w:szCs w:val="24"/>
        </w:rPr>
        <w:t>izvještaji o istraživanju, edukaciji i podizanju svijesti javnosti,</w:t>
      </w:r>
    </w:p>
    <w:p w14:paraId="0A77A78E" w14:textId="77777777" w:rsidR="002B19B1" w:rsidRPr="00C86111" w:rsidRDefault="002B19B1" w:rsidP="007E2AA5">
      <w:pPr>
        <w:numPr>
          <w:ilvl w:val="0"/>
          <w:numId w:val="2"/>
        </w:numPr>
        <w:jc w:val="both"/>
        <w:rPr>
          <w:rFonts w:asciiTheme="minorHAnsi" w:hAnsiTheme="minorHAnsi" w:cstheme="minorHAnsi"/>
          <w:color w:val="auto"/>
          <w:szCs w:val="24"/>
        </w:rPr>
      </w:pPr>
      <w:r w:rsidRPr="00C86111">
        <w:rPr>
          <w:rFonts w:asciiTheme="minorHAnsi" w:hAnsiTheme="minorHAnsi" w:cstheme="minorHAnsi"/>
          <w:color w:val="auto"/>
          <w:szCs w:val="24"/>
        </w:rPr>
        <w:t>izvještaji o tehničkoj i finansijskoj podršci,</w:t>
      </w:r>
    </w:p>
    <w:p w14:paraId="2B63BBB8" w14:textId="77777777" w:rsidR="002B19B1" w:rsidRPr="00C86111" w:rsidRDefault="002B19B1" w:rsidP="007E2AA5">
      <w:pPr>
        <w:numPr>
          <w:ilvl w:val="0"/>
          <w:numId w:val="2"/>
        </w:numPr>
        <w:jc w:val="both"/>
        <w:rPr>
          <w:rFonts w:asciiTheme="minorHAnsi" w:hAnsiTheme="minorHAnsi" w:cstheme="minorHAnsi"/>
          <w:color w:val="auto"/>
          <w:szCs w:val="24"/>
        </w:rPr>
      </w:pPr>
      <w:r w:rsidRPr="00C86111">
        <w:rPr>
          <w:rFonts w:asciiTheme="minorHAnsi" w:hAnsiTheme="minorHAnsi" w:cstheme="minorHAnsi"/>
          <w:color w:val="auto"/>
          <w:szCs w:val="24"/>
        </w:rPr>
        <w:t>izvještaji o prioritizaciji aktivnosti i listi akcijskih planova, koji definišu kratkoročne i dugoročne mjere za upravljanje POPs.</w:t>
      </w:r>
    </w:p>
    <w:p w14:paraId="2C25401C"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Sve ove aktivnosti i dokumenti su omogućile integrisan i participativan proces, u kojem se nacionalni kapaciteti jačaju kroz obuku stručnjaka, saradnju sa institucijama, izradu baza podataka i koordinaciju sa međunarodnim partnerima. Na taj način, Crna Gora ne samo da ispunjava svoje obaveze prema Stokholmskoj konvenciji, već i stvara funkcionalan sistem za kontinuirano praćenje i upravljanje POPs hemikalijama, čime doprinosi zaštiti zdravlja ljudi i očuvanju životne sredine.</w:t>
      </w:r>
    </w:p>
    <w:p w14:paraId="61328483" w14:textId="77777777" w:rsidR="002B19B1" w:rsidRPr="00C86111" w:rsidRDefault="002B19B1" w:rsidP="00004F34">
      <w:pPr>
        <w:pStyle w:val="Heading1"/>
        <w:numPr>
          <w:ilvl w:val="1"/>
          <w:numId w:val="238"/>
        </w:numPr>
      </w:pPr>
      <w:bookmarkStart w:id="3" w:name="_Toc220541837"/>
      <w:r w:rsidRPr="00C86111">
        <w:t>Međunarodni kontekst Stokholmske konvencije</w:t>
      </w:r>
      <w:bookmarkEnd w:id="3"/>
    </w:p>
    <w:p w14:paraId="6A127366" w14:textId="77777777" w:rsidR="002B19B1" w:rsidRPr="00C86111" w:rsidRDefault="002B19B1" w:rsidP="002B19B1">
      <w:pPr>
        <w:jc w:val="both"/>
        <w:rPr>
          <w:rFonts w:asciiTheme="minorHAnsi" w:hAnsiTheme="minorHAnsi" w:cstheme="minorHAnsi"/>
          <w:b/>
          <w:bCs/>
          <w:color w:val="4472C4" w:themeColor="accent1"/>
          <w:szCs w:val="24"/>
        </w:rPr>
      </w:pPr>
    </w:p>
    <w:p w14:paraId="60E1F9C7"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Sve države članice UN su kroz različite međunarodne sporazume i inicijative preuzele obavezu da upravljaju hemikalijama i postojanim organskim zagađujućim materijama (POPs) na način koji štiti ljudsko zdravlje i životnu sredinu. Jedan od ključnih međunarodnih okvira u ovom kontekstu je Stokholmska konvencija, koja postavlja globalne standarde za kontrolu, ograničavanje i eliminaciju POPs hemikalija.</w:t>
      </w:r>
    </w:p>
    <w:p w14:paraId="58382C72"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Stokholmska konvencija, usvojena 2001. godine i stupila na snagu 2004. godine, zahtijeva od država ugovornica da razviju, implementiraju i periodično ažuriraju Nacionalne planove implementacije (NIP), kroz koje se planiraju aktivnosti za smanjenje rizika od POPs-a. Ova konvencija doprinosi globalnoj koordinaciji u praćenju, kontroli i upravljanju ovim opasnim supstancama, uz poseban fokus na zaštitu osjetljivih grupa, kao što su djeca i žene, te očuvanje ekosistema.</w:t>
      </w:r>
    </w:p>
    <w:p w14:paraId="7E0DF37E"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U međunarodnom kontekstu, Stokholmska konvencija se nadovezuje na druge ključne konvencije o hemikalijama i opasnom otpadu, uključujući Roterdamsku, Bazelsku i Minamatsku konvenciju, čime se stvara sveobuhvatan okvir za kontrolu hemikalija i sigurnu upravljačku praksu na globalnom nivou. Pored toga, kroz programe podrške UNEP-a i finansiranje iz Globalnog fonda za životnu sredinu (GEF), države članice imaju mogućnost razvoja kapaciteta i sprovođenja aktivnosti potrebnih za implementaciju konvencije.</w:t>
      </w:r>
    </w:p>
    <w:p w14:paraId="4231BFE2" w14:textId="611EAB5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Stokholmska konvencija, kroz NIP-ove i pripadajuće smjernice, podstiče države da integrišu aktivnosti u nacionalne strategije održivog razvoja i da primjenjuju najbolje prakse u kontroli POPs-a. Na ovaj način, globalni okvir konvencije doprinosi smanjenju rizika od opasnih hemikalija, jača institucionalne kapacitete i omogućava koordinisano djelovanje država širom svijeta u skladu sa principima održivog razvoja i međunarodnim standardima zaštite životne sredine i zdravlja ljudi.</w:t>
      </w:r>
    </w:p>
    <w:p w14:paraId="099B1241" w14:textId="77777777" w:rsidR="002B19B1" w:rsidRPr="00C86111" w:rsidRDefault="002B19B1" w:rsidP="00004F34">
      <w:pPr>
        <w:pStyle w:val="Heading1"/>
        <w:numPr>
          <w:ilvl w:val="1"/>
          <w:numId w:val="238"/>
        </w:numPr>
        <w:rPr>
          <w:color w:val="auto"/>
        </w:rPr>
      </w:pPr>
      <w:bookmarkStart w:id="4" w:name="_Toc220541838"/>
      <w:r w:rsidRPr="00C86111">
        <w:t>EU kontekst Stokholmske konvencije</w:t>
      </w:r>
      <w:bookmarkEnd w:id="4"/>
    </w:p>
    <w:p w14:paraId="1D17F03A" w14:textId="77777777" w:rsidR="002B19B1" w:rsidRPr="00C86111" w:rsidRDefault="002B19B1" w:rsidP="00EA6904">
      <w:pPr>
        <w:pStyle w:val="Heading2"/>
      </w:pPr>
    </w:p>
    <w:p w14:paraId="3A67A5C8"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Evropska unija je uspostavila sveobuhvatan pravni i institucionalni okvir za implementaciju obaveza iz Stokholmske konvencije, s ciljem zaštite zdravlja ljudi i životne sredine od postojanih organskih zagađujućih supstanci (POPs). Glavni instrument za upravljanje POPs u EU je Regulativa (EZ) 2019/1021, koja zabranjuje, ograničava ili postupno ukida proizvodnju, stavljanje na tržište i upotrebu supstanci obuhvaćenih Stokholmskom konvencijom, Protokolom o POPs i Konvencijom o dalekosežnom prekograničnom zagađivanju vazduha.</w:t>
      </w:r>
    </w:p>
    <w:p w14:paraId="354FB2CA"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Pored toga, REACH uredba (EZ) 1907/2006 povećava znanje o osobinama hemikalija i doprinosi identifikaciji i kontroli supstanci koje pokazuju karakteristike POPs, dok Uredba (EZ) 689/2008 reguliše uvoz i izvoz opasnih hemikalija u skladu sa Roterdamskom konvencijom, uključujući zabrane uvoza 10 POPs supstanci trenutno obuhvaćenih Stokholmskom konvencijom.</w:t>
      </w:r>
    </w:p>
    <w:p w14:paraId="4D8AADA6"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EU pravni okvir obuhvata i direktive koje se odnose na specifične POPs supstance i izvore emisija, uključujući:</w:t>
      </w:r>
    </w:p>
    <w:p w14:paraId="5C3490F8" w14:textId="77777777" w:rsidR="002B19B1" w:rsidRPr="00C86111" w:rsidRDefault="002B19B1" w:rsidP="007E2AA5">
      <w:pPr>
        <w:numPr>
          <w:ilvl w:val="0"/>
          <w:numId w:val="3"/>
        </w:numPr>
        <w:jc w:val="both"/>
        <w:rPr>
          <w:rFonts w:asciiTheme="minorHAnsi" w:hAnsiTheme="minorHAnsi" w:cstheme="minorHAnsi"/>
          <w:color w:val="auto"/>
          <w:szCs w:val="24"/>
        </w:rPr>
      </w:pPr>
      <w:r w:rsidRPr="00C86111">
        <w:rPr>
          <w:rFonts w:asciiTheme="minorHAnsi" w:hAnsiTheme="minorHAnsi" w:cstheme="minorHAnsi"/>
          <w:color w:val="auto"/>
          <w:szCs w:val="24"/>
        </w:rPr>
        <w:t>Direktiva 96/59/EC o odlaganju PCB i PCT, koja propisuje mjere za uklanjanje, dekontaminaciju i sigurno odlaganje opreme koja sadrži PCB;</w:t>
      </w:r>
    </w:p>
    <w:p w14:paraId="67AA67DD" w14:textId="77777777" w:rsidR="002B19B1" w:rsidRPr="00C86111" w:rsidRDefault="002B19B1" w:rsidP="007E2AA5">
      <w:pPr>
        <w:numPr>
          <w:ilvl w:val="0"/>
          <w:numId w:val="3"/>
        </w:numPr>
        <w:jc w:val="both"/>
        <w:rPr>
          <w:rFonts w:asciiTheme="minorHAnsi" w:hAnsiTheme="minorHAnsi" w:cstheme="minorHAnsi"/>
          <w:color w:val="auto"/>
          <w:szCs w:val="24"/>
        </w:rPr>
      </w:pPr>
      <w:r w:rsidRPr="00C86111">
        <w:rPr>
          <w:rFonts w:asciiTheme="minorHAnsi" w:hAnsiTheme="minorHAnsi" w:cstheme="minorHAnsi"/>
          <w:color w:val="auto"/>
          <w:szCs w:val="24"/>
        </w:rPr>
        <w:t>CLP Regulativa, Direktiva o sredstvima za zaštitu bilja i Uredba o biocidnim proizvodima, koje regulišu označavanje, stavljanje u promet i upotrebu novih POPs supstanci;</w:t>
      </w:r>
    </w:p>
    <w:p w14:paraId="0F5F6719" w14:textId="77777777" w:rsidR="002B19B1" w:rsidRPr="00C86111" w:rsidRDefault="002B19B1" w:rsidP="007E2AA5">
      <w:pPr>
        <w:numPr>
          <w:ilvl w:val="0"/>
          <w:numId w:val="3"/>
        </w:numPr>
        <w:jc w:val="both"/>
        <w:rPr>
          <w:rFonts w:asciiTheme="minorHAnsi" w:hAnsiTheme="minorHAnsi" w:cstheme="minorHAnsi"/>
          <w:color w:val="auto"/>
          <w:szCs w:val="24"/>
        </w:rPr>
      </w:pPr>
      <w:r w:rsidRPr="00C86111">
        <w:rPr>
          <w:rFonts w:asciiTheme="minorHAnsi" w:hAnsiTheme="minorHAnsi" w:cstheme="minorHAnsi"/>
          <w:color w:val="auto"/>
          <w:szCs w:val="24"/>
        </w:rPr>
        <w:t>Direktiva 2010/75/EC o industrijskim emisijama, koja postavlja pravila za sprečavanje i smanjenje emisija POPs supstanci u vazduh, vodu i zemljište, uključujući emisije iz industrijskih postrojenja;</w:t>
      </w:r>
    </w:p>
    <w:p w14:paraId="5A02ED71" w14:textId="77777777" w:rsidR="002B19B1" w:rsidRPr="00C86111" w:rsidRDefault="002B19B1" w:rsidP="007E2AA5">
      <w:pPr>
        <w:numPr>
          <w:ilvl w:val="0"/>
          <w:numId w:val="3"/>
        </w:numPr>
        <w:jc w:val="both"/>
        <w:rPr>
          <w:rFonts w:asciiTheme="minorHAnsi" w:hAnsiTheme="minorHAnsi" w:cstheme="minorHAnsi"/>
          <w:color w:val="auto"/>
          <w:szCs w:val="24"/>
        </w:rPr>
      </w:pPr>
      <w:r w:rsidRPr="00C86111">
        <w:rPr>
          <w:rFonts w:asciiTheme="minorHAnsi" w:hAnsiTheme="minorHAnsi" w:cstheme="minorHAnsi"/>
          <w:color w:val="auto"/>
          <w:szCs w:val="24"/>
        </w:rPr>
        <w:t>Direktiva 2000/76/EC o spaljivanju otpada i Direktiva 2001/80/EC o sagorijevanju iz velikih postrojenja, koje definišu granične vrijednosti emisija dioksina, furana i drugih POPs;</w:t>
      </w:r>
    </w:p>
    <w:p w14:paraId="3D5BED34" w14:textId="77777777" w:rsidR="002B19B1" w:rsidRPr="00C86111" w:rsidRDefault="002B19B1" w:rsidP="007E2AA5">
      <w:pPr>
        <w:numPr>
          <w:ilvl w:val="0"/>
          <w:numId w:val="3"/>
        </w:num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Direktiva 2000/53/EC o otpadnim vozilima, Direktiva 2002/96/EC i 2012/19/EC o električnoj i elektronskoj opremi (WEEE) i RoHS Direktiva 2011/65/EU, koje regulišu kontrolu i odlaganje opasnih supstanci u proizvodima i otpadu;</w:t>
      </w:r>
    </w:p>
    <w:p w14:paraId="0AA7C5FA" w14:textId="77777777" w:rsidR="002B19B1" w:rsidRPr="00C86111" w:rsidRDefault="002B19B1" w:rsidP="007E2AA5">
      <w:pPr>
        <w:numPr>
          <w:ilvl w:val="0"/>
          <w:numId w:val="3"/>
        </w:numPr>
        <w:jc w:val="both"/>
        <w:rPr>
          <w:rFonts w:asciiTheme="minorHAnsi" w:hAnsiTheme="minorHAnsi" w:cstheme="minorHAnsi"/>
          <w:color w:val="auto"/>
          <w:szCs w:val="24"/>
        </w:rPr>
      </w:pPr>
      <w:r w:rsidRPr="00C86111">
        <w:rPr>
          <w:rFonts w:asciiTheme="minorHAnsi" w:hAnsiTheme="minorHAnsi" w:cstheme="minorHAnsi"/>
          <w:color w:val="auto"/>
          <w:szCs w:val="24"/>
        </w:rPr>
        <w:t>Direktiva 2002/32/EC o nepoželjnim supstancama u hrani za životinje i Direktiva 2013/39/EU o prioritetnim supstancama u vodama, koje definišu nadzor i ograničenja POPs supstanci u prehrambenom lancu i životnoj sredini;</w:t>
      </w:r>
    </w:p>
    <w:p w14:paraId="6162B261" w14:textId="77777777" w:rsidR="002B19B1" w:rsidRPr="00C86111" w:rsidRDefault="002B19B1" w:rsidP="007E2AA5">
      <w:pPr>
        <w:numPr>
          <w:ilvl w:val="0"/>
          <w:numId w:val="3"/>
        </w:numPr>
        <w:jc w:val="both"/>
        <w:rPr>
          <w:rFonts w:asciiTheme="minorHAnsi" w:hAnsiTheme="minorHAnsi" w:cstheme="minorHAnsi"/>
          <w:color w:val="auto"/>
          <w:szCs w:val="24"/>
        </w:rPr>
      </w:pPr>
      <w:r w:rsidRPr="00C86111">
        <w:rPr>
          <w:rFonts w:asciiTheme="minorHAnsi" w:hAnsiTheme="minorHAnsi" w:cstheme="minorHAnsi"/>
          <w:color w:val="auto"/>
          <w:szCs w:val="24"/>
        </w:rPr>
        <w:t>Direktiva 2008/98/EC o upravljanju otpadom i Regulativa 1013/2006 o prekograničnom kretanju otpada, koja obuhvata POPs u otpadu i definiše kontrolu transporta i odlaganja opasnog otpada.</w:t>
      </w:r>
    </w:p>
    <w:p w14:paraId="226213AC"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U okviru procesa pristupanja EU, Poglavlje 27 – Životna sredina i klimatske promjene je ključno za implementaciju Stokholmske konvencije u Crnoj Gori. Zajednička pozicija EU za Poglavlje 27 potvrđuje da Crna Gora prihvata svu relevantnu pravnu tekovinu u ovoj oblasti i mora je implementirati od dana pristupanja, uz određene prelazne rokove. Na primjer, prelazni rok za član 3 Direktive 96/59/EZ o odlaganju PCB-a i PCT-a je do 31. decembra 2025. godine.</w:t>
      </w:r>
    </w:p>
    <w:p w14:paraId="27997E8F"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Implementacija EU zakonodavstva omogućava Crnoj Gori da:</w:t>
      </w:r>
    </w:p>
    <w:p w14:paraId="4698FBF5" w14:textId="77777777" w:rsidR="002B19B1" w:rsidRPr="00C86111" w:rsidRDefault="002B19B1" w:rsidP="007E2AA5">
      <w:pPr>
        <w:numPr>
          <w:ilvl w:val="0"/>
          <w:numId w:val="4"/>
        </w:numPr>
        <w:jc w:val="both"/>
        <w:rPr>
          <w:rFonts w:asciiTheme="minorHAnsi" w:hAnsiTheme="minorHAnsi" w:cstheme="minorHAnsi"/>
          <w:color w:val="auto"/>
          <w:szCs w:val="24"/>
        </w:rPr>
      </w:pPr>
      <w:r w:rsidRPr="00C86111">
        <w:rPr>
          <w:rFonts w:asciiTheme="minorHAnsi" w:hAnsiTheme="minorHAnsi" w:cstheme="minorHAnsi"/>
          <w:color w:val="auto"/>
          <w:szCs w:val="24"/>
        </w:rPr>
        <w:t>uspostavi pravni okvir i institucionalne kapacitete za upravljanje POPs;</w:t>
      </w:r>
    </w:p>
    <w:p w14:paraId="7606AED5" w14:textId="77777777" w:rsidR="002B19B1" w:rsidRPr="00C86111" w:rsidRDefault="002B19B1" w:rsidP="007E2AA5">
      <w:pPr>
        <w:numPr>
          <w:ilvl w:val="0"/>
          <w:numId w:val="4"/>
        </w:numPr>
        <w:jc w:val="both"/>
        <w:rPr>
          <w:rFonts w:asciiTheme="minorHAnsi" w:hAnsiTheme="minorHAnsi" w:cstheme="minorHAnsi"/>
          <w:color w:val="auto"/>
          <w:szCs w:val="24"/>
        </w:rPr>
      </w:pPr>
      <w:r w:rsidRPr="00C86111">
        <w:rPr>
          <w:rFonts w:asciiTheme="minorHAnsi" w:hAnsiTheme="minorHAnsi" w:cstheme="minorHAnsi"/>
          <w:color w:val="auto"/>
          <w:szCs w:val="24"/>
        </w:rPr>
        <w:t>izradi i ažurira nacionalne inventare POPs;</w:t>
      </w:r>
    </w:p>
    <w:p w14:paraId="796E107F" w14:textId="77777777" w:rsidR="002B19B1" w:rsidRPr="00C86111" w:rsidRDefault="002B19B1" w:rsidP="007E2AA5">
      <w:pPr>
        <w:numPr>
          <w:ilvl w:val="0"/>
          <w:numId w:val="4"/>
        </w:numPr>
        <w:jc w:val="both"/>
        <w:rPr>
          <w:rFonts w:asciiTheme="minorHAnsi" w:hAnsiTheme="minorHAnsi" w:cstheme="minorHAnsi"/>
          <w:color w:val="auto"/>
          <w:szCs w:val="24"/>
        </w:rPr>
      </w:pPr>
      <w:r w:rsidRPr="00C86111">
        <w:rPr>
          <w:rFonts w:asciiTheme="minorHAnsi" w:hAnsiTheme="minorHAnsi" w:cstheme="minorHAnsi"/>
          <w:color w:val="auto"/>
          <w:szCs w:val="24"/>
        </w:rPr>
        <w:t>implementira mjere za prevenciju emisija i kontrolu upotrebe POPs;</w:t>
      </w:r>
    </w:p>
    <w:p w14:paraId="0E7BC05E" w14:textId="77777777" w:rsidR="002B19B1" w:rsidRPr="00C86111" w:rsidRDefault="002B19B1" w:rsidP="007E2AA5">
      <w:pPr>
        <w:numPr>
          <w:ilvl w:val="0"/>
          <w:numId w:val="4"/>
        </w:numPr>
        <w:jc w:val="both"/>
        <w:rPr>
          <w:rFonts w:asciiTheme="minorHAnsi" w:hAnsiTheme="minorHAnsi" w:cstheme="minorHAnsi"/>
          <w:color w:val="auto"/>
          <w:szCs w:val="24"/>
        </w:rPr>
      </w:pPr>
      <w:r w:rsidRPr="00C86111">
        <w:rPr>
          <w:rFonts w:asciiTheme="minorHAnsi" w:hAnsiTheme="minorHAnsi" w:cstheme="minorHAnsi"/>
          <w:color w:val="auto"/>
          <w:szCs w:val="24"/>
        </w:rPr>
        <w:t>prati emisije i nadzire primjenu zakona kroz izvještavanje i registre, uključujući Evropski registar emisija zagađivača (EPER) i izvještavanje o PCB;</w:t>
      </w:r>
    </w:p>
    <w:p w14:paraId="3C8F7CBD" w14:textId="77777777" w:rsidR="002B19B1" w:rsidRPr="00C86111" w:rsidRDefault="002B19B1" w:rsidP="007E2AA5">
      <w:pPr>
        <w:numPr>
          <w:ilvl w:val="0"/>
          <w:numId w:val="4"/>
        </w:numPr>
        <w:jc w:val="both"/>
        <w:rPr>
          <w:rFonts w:asciiTheme="minorHAnsi" w:hAnsiTheme="minorHAnsi" w:cstheme="minorHAnsi"/>
          <w:color w:val="auto"/>
          <w:szCs w:val="24"/>
        </w:rPr>
      </w:pPr>
      <w:r w:rsidRPr="00C86111">
        <w:rPr>
          <w:rFonts w:asciiTheme="minorHAnsi" w:hAnsiTheme="minorHAnsi" w:cstheme="minorHAnsi"/>
          <w:color w:val="auto"/>
          <w:szCs w:val="24"/>
        </w:rPr>
        <w:t>integriše upravljanje POPs u širi kontekst zaštite životne sredine, otpada i cirkularne ekonomije;</w:t>
      </w:r>
    </w:p>
    <w:p w14:paraId="67B1270A" w14:textId="77777777" w:rsidR="002B19B1" w:rsidRPr="00C86111" w:rsidRDefault="002B19B1" w:rsidP="007E2AA5">
      <w:pPr>
        <w:numPr>
          <w:ilvl w:val="0"/>
          <w:numId w:val="4"/>
        </w:numPr>
        <w:jc w:val="both"/>
        <w:rPr>
          <w:rFonts w:asciiTheme="minorHAnsi" w:hAnsiTheme="minorHAnsi" w:cstheme="minorHAnsi"/>
          <w:color w:val="auto"/>
          <w:szCs w:val="24"/>
        </w:rPr>
      </w:pPr>
      <w:r w:rsidRPr="00C86111">
        <w:rPr>
          <w:rFonts w:asciiTheme="minorHAnsi" w:hAnsiTheme="minorHAnsi" w:cstheme="minorHAnsi"/>
          <w:color w:val="auto"/>
          <w:szCs w:val="24"/>
        </w:rPr>
        <w:t>osigura postupno uklanjanje najopasnijih supstanci i prelazak na sigurnije alternative u proizvodima, industriji i životnoj sredini.</w:t>
      </w:r>
    </w:p>
    <w:p w14:paraId="1233964F"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Indikativni strateški dokument Crne Gore za IPA 2014-2020 ukazuje na sve oblasti u kojima EU planira da pruži finansijsku podršku tokom procesa integracije, uključujući bezbjedno upravljanje hemikalijama i POPs supstancama. Aktivnosti predviđene ovim dokumentom direktno utiču na jačanje nacionalnog sistema za sprovođenje Stokholmske konvencije, uključujući identifikaciju potreba, monitoring, prevenciju i kontrolu emisija, edukaciju i uključivanje relevantnih zainteresovanih strana.</w:t>
      </w:r>
    </w:p>
    <w:p w14:paraId="61D256DB" w14:textId="70A013AD"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Na ovaj način, EU kontekst Stokholmske konvencije za Crnu Goru predstavlja ključni okvir za harmonizaciju zakonodavstva, jačanje kapaciteta i osiguranje efikasnog i održivog upravljanja POPs hemikalijama, u skladu sa međunarodnim obavezama i strateškim ciljevima EU.</w:t>
      </w:r>
    </w:p>
    <w:p w14:paraId="5D5AEA38" w14:textId="77777777" w:rsidR="002B19B1" w:rsidRPr="00C86111" w:rsidRDefault="002B19B1" w:rsidP="00004F34">
      <w:pPr>
        <w:pStyle w:val="Heading1"/>
        <w:numPr>
          <w:ilvl w:val="1"/>
          <w:numId w:val="238"/>
        </w:numPr>
      </w:pPr>
      <w:bookmarkStart w:id="5" w:name="_Toc220541839"/>
      <w:r w:rsidRPr="00C86111">
        <w:t>Nacionalni kontekst primjene Stokholmske konvencije</w:t>
      </w:r>
      <w:bookmarkEnd w:id="5"/>
    </w:p>
    <w:p w14:paraId="03D85E4F" w14:textId="77777777" w:rsidR="002B19B1" w:rsidRPr="00C86111" w:rsidRDefault="002B19B1" w:rsidP="002B19B1">
      <w:pPr>
        <w:jc w:val="both"/>
        <w:rPr>
          <w:rFonts w:asciiTheme="minorHAnsi" w:hAnsiTheme="minorHAnsi" w:cstheme="minorHAnsi"/>
          <w:b/>
          <w:bCs/>
          <w:color w:val="auto"/>
          <w:szCs w:val="24"/>
        </w:rPr>
      </w:pPr>
    </w:p>
    <w:p w14:paraId="1EA6A8C2"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Crna Gora je u martu 2011. godine pristupila Stokholmskoj konvenciji o dugotrajnim organskim zagađujućim supstancama (POPs), čime je preuzela međunarodne obaveze u cilju smanjenja i eliminacije supstanci koje predstavljaju visok rizik za zdravlje ljudi i životnu sredinu. Ratifikacijom Konvencije stvoren je osnov za sistemsko upravljanje POPs hemikalijama i jačanje nacionalnih kapaciteta u skladu sa međunarodnim standardima.</w:t>
      </w:r>
    </w:p>
    <w:p w14:paraId="7AA4ECD2"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Primjena Konvencije zahtijevala je usklađivanje nacionalnog zakonodavstva sa pravnom tekovinom Evropske unije i relevantnim globalnim sporazumima u oblasti hemikalija i zaštite </w:t>
      </w:r>
      <w:r w:rsidRPr="00C86111">
        <w:rPr>
          <w:rFonts w:asciiTheme="minorHAnsi" w:hAnsiTheme="minorHAnsi" w:cstheme="minorHAnsi"/>
          <w:color w:val="auto"/>
          <w:szCs w:val="24"/>
        </w:rPr>
        <w:lastRenderedPageBreak/>
        <w:t>životne sredine. U tom kontekstu, Crna Gora je uspostavila obuhvatan zakonodavni okvir koji uređuje upravljanje POPs supstancama u svim fazama njihovog životnog ciklusa — od proizvodnje i uvoza do upotrebe, skladištenja, transporta i odlaganja otpada. Pored Zakona o hemikalijama, ovaj okvir čine propisi iz oblasti zaštite vazduha, upravljanja otpadom, pesticida, industrijskih emisija, zaštite radnika i drugih povezanih oblasti.</w:t>
      </w:r>
    </w:p>
    <w:p w14:paraId="241E2608"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Crna Gora je takođe potpisnica i drugih međunarodnih konvencija relevantnih za oblast POPs supstanci, uključujući Roterdamsku, Bazelsku, Aarhusku i Barselonsku konvenciju. Njihova implementacija doprinosi kontroli prekograničnog kretanja opasnih hemikalija i otpada, unapređenju transparentnosti, učešću javnosti i jačanju regionalne saradnje u zaštiti životne sredine.</w:t>
      </w:r>
    </w:p>
    <w:p w14:paraId="33A5D08E"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Značajan doprinos razumijevanju stanja u oblasti POPs hemikalija ostvaren je kroz projekte finansirane putem Globalnog fonda za životnu sredinu (GEF) i drugih međunarodnih mehanizama. Ovi projekti omogućili su izradu nacionalnih inventara, procjenu rizika, unapređenje institucionalnih i tehničkih kapaciteta, kao i uspostavljanje praksi za odgovorno upravljanje POPs supstancama. Posebno važan rezultat postignut je u oblasti upravljanja polihlorovanim bifenilima (PCB). U saradnji sa ključnim industrijskim subjektima, sprovedene su aktivnosti identifikacije, obilježavanja, bezbjednog skladištenja i zamjene opreme koja sadrži PCB ulja, čime je smanjen rizik od ispuštanja ovih supstanci u životnu sredinu.</w:t>
      </w:r>
    </w:p>
    <w:p w14:paraId="7B3EB4A5"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Proces daljeg usklađivanja sa EU zahtjevima odvija se kroz harmonizaciju sa REACH, CLP regulativom, kao i sa Uredbom (EU) 2019/1021 o POPs supstancama. Ove obaveze su usklađene sa širim strateškim procesima, uključujući implementaciju Evropskog zelenog dogovora i Zelene agende za Zapadni Balkan, što zahtijeva primjenu najboljih dostupnih tehnika, kontrolu supstanci koje izazivaju zabrinutost i postepenu eliminaciju POPs hemikalija iz upotrebe.</w:t>
      </w:r>
    </w:p>
    <w:p w14:paraId="2FA50EB6"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Sve navedene aktivnosti doprinose razvoju efikasnog sistema upravljanja POPs hemikalijama, koji obezbjeđuje visok nivo zaštite zdravlja ljudi i životne sredine i omogućava ispunjavanje međunarodnih obaveza preuzetih ratifikacijom Stokholmske konvencije.</w:t>
      </w:r>
    </w:p>
    <w:p w14:paraId="77053ACC" w14:textId="77777777" w:rsidR="00BC765B" w:rsidRPr="00C86111" w:rsidRDefault="00BC765B" w:rsidP="00912C4C">
      <w:pPr>
        <w:pStyle w:val="Heading1"/>
      </w:pPr>
      <w:bookmarkStart w:id="6" w:name="_Toc220541840"/>
      <w:r w:rsidRPr="00C86111">
        <w:t>METODOLOGIJA I SADRŽINA NACIONALNOG IMPLEMENTACIONOG PLANA (NIP)</w:t>
      </w:r>
      <w:bookmarkEnd w:id="6"/>
    </w:p>
    <w:p w14:paraId="1EADA4FD" w14:textId="77777777" w:rsidR="00BC765B" w:rsidRPr="00C86111" w:rsidRDefault="00BC765B" w:rsidP="00EA6904">
      <w:pPr>
        <w:pStyle w:val="Heading2"/>
      </w:pPr>
    </w:p>
    <w:p w14:paraId="069F4193" w14:textId="77777777" w:rsidR="00BC765B" w:rsidRPr="00C86111" w:rsidRDefault="00BC765B" w:rsidP="00BC765B">
      <w:pPr>
        <w:jc w:val="both"/>
        <w:rPr>
          <w:color w:val="auto"/>
        </w:rPr>
      </w:pPr>
      <w:r w:rsidRPr="00C86111">
        <w:rPr>
          <w:color w:val="auto"/>
        </w:rPr>
        <w:t>Ažurirani Nacionalni implementacioni plan (NIP) za sprovođenje Stokholmske konvencije u Crnoj Gori izrađen je primjenom sveobuhvatnog metodološkog okvira koji se zasniva na međunarodnim smjernicama Konvencije, kao i na nacionalnom zakonodavnom i strateškom okviru za izradu strateških dokumenata.</w:t>
      </w:r>
    </w:p>
    <w:p w14:paraId="638EC2FC" w14:textId="77777777" w:rsidR="00BC765B" w:rsidRPr="00C86111" w:rsidRDefault="00BC765B" w:rsidP="00004F34">
      <w:pPr>
        <w:pStyle w:val="Heading1"/>
        <w:numPr>
          <w:ilvl w:val="1"/>
          <w:numId w:val="238"/>
        </w:numPr>
      </w:pPr>
      <w:bookmarkStart w:id="7" w:name="_Toc220541841"/>
      <w:r w:rsidRPr="00C86111">
        <w:t>Međunarodni metodološki okvir</w:t>
      </w:r>
      <w:bookmarkEnd w:id="7"/>
    </w:p>
    <w:p w14:paraId="55132B1A" w14:textId="77777777" w:rsidR="00876F1D" w:rsidRPr="00C86111" w:rsidRDefault="00876F1D" w:rsidP="00876F1D">
      <w:pPr>
        <w:rPr>
          <w:lang w:val="sr-Latn-ME"/>
        </w:rPr>
      </w:pPr>
    </w:p>
    <w:p w14:paraId="76DB3654" w14:textId="77777777" w:rsidR="00BC765B" w:rsidRPr="00C86111" w:rsidRDefault="00BC765B" w:rsidP="00BC765B">
      <w:pPr>
        <w:jc w:val="both"/>
        <w:rPr>
          <w:color w:val="auto"/>
        </w:rPr>
      </w:pPr>
      <w:r w:rsidRPr="00C86111">
        <w:rPr>
          <w:color w:val="auto"/>
        </w:rPr>
        <w:t>Primarna međunarodna referenca u izradi i ažuriranju NIP-a su smjernice Sekretarijata Stokholmske konvencije za razvoj, pregled i ažuriranje nacionalnih implementacionih planova („Guidance for developing, reviewing and updating National Implementation Plans“). Ove smjernice su izrađene u cilju podrške Strankama Konvencije da ispune obaveze koje proizilaze iz Člana 7 Konvencije, posebno:</w:t>
      </w:r>
    </w:p>
    <w:p w14:paraId="52C02D39" w14:textId="77777777" w:rsidR="00BC765B" w:rsidRPr="00C86111" w:rsidRDefault="00BC765B" w:rsidP="00004F34">
      <w:pPr>
        <w:numPr>
          <w:ilvl w:val="0"/>
          <w:numId w:val="230"/>
        </w:numPr>
        <w:jc w:val="both"/>
        <w:rPr>
          <w:color w:val="auto"/>
        </w:rPr>
      </w:pPr>
      <w:r w:rsidRPr="00C86111">
        <w:rPr>
          <w:color w:val="auto"/>
        </w:rPr>
        <w:lastRenderedPageBreak/>
        <w:t>obavezu pripreme i redovnog ažuriranja NIP-ova;</w:t>
      </w:r>
    </w:p>
    <w:p w14:paraId="3193D586" w14:textId="77777777" w:rsidR="00BC765B" w:rsidRPr="00C86111" w:rsidRDefault="00BC765B" w:rsidP="00004F34">
      <w:pPr>
        <w:numPr>
          <w:ilvl w:val="0"/>
          <w:numId w:val="230"/>
        </w:numPr>
        <w:jc w:val="both"/>
        <w:rPr>
          <w:color w:val="auto"/>
        </w:rPr>
      </w:pPr>
      <w:r w:rsidRPr="00C86111">
        <w:rPr>
          <w:color w:val="auto"/>
        </w:rPr>
        <w:t>sistematsko prikupljanje, obradu i analizu podataka o POPs supstancama;</w:t>
      </w:r>
    </w:p>
    <w:p w14:paraId="0F734C26" w14:textId="77777777" w:rsidR="00BC765B" w:rsidRPr="00C86111" w:rsidRDefault="00BC765B" w:rsidP="00004F34">
      <w:pPr>
        <w:numPr>
          <w:ilvl w:val="0"/>
          <w:numId w:val="230"/>
        </w:numPr>
        <w:jc w:val="both"/>
        <w:rPr>
          <w:color w:val="auto"/>
        </w:rPr>
      </w:pPr>
      <w:r w:rsidRPr="00C86111">
        <w:rPr>
          <w:color w:val="auto"/>
        </w:rPr>
        <w:t>definisanje inventara POPs supstanci u različitim sektorima (npr. pesticidi, industrijska upotreba, emisije iz procesa);</w:t>
      </w:r>
    </w:p>
    <w:p w14:paraId="553D18CF" w14:textId="77777777" w:rsidR="00BC765B" w:rsidRPr="00C86111" w:rsidRDefault="00BC765B" w:rsidP="00004F34">
      <w:pPr>
        <w:numPr>
          <w:ilvl w:val="0"/>
          <w:numId w:val="230"/>
        </w:numPr>
        <w:jc w:val="both"/>
        <w:rPr>
          <w:color w:val="auto"/>
        </w:rPr>
      </w:pPr>
      <w:r w:rsidRPr="00C86111">
        <w:rPr>
          <w:color w:val="auto"/>
        </w:rPr>
        <w:t>identifikaciju problema, prioriteta i mjera za smanjenje ili eliminaciju upotrebe i emisija POPs;</w:t>
      </w:r>
    </w:p>
    <w:p w14:paraId="23ED9039" w14:textId="77777777" w:rsidR="00BC765B" w:rsidRPr="00C86111" w:rsidRDefault="00BC765B" w:rsidP="00004F34">
      <w:pPr>
        <w:numPr>
          <w:ilvl w:val="0"/>
          <w:numId w:val="230"/>
        </w:numPr>
        <w:jc w:val="both"/>
        <w:rPr>
          <w:color w:val="auto"/>
        </w:rPr>
      </w:pPr>
      <w:r w:rsidRPr="00C86111">
        <w:rPr>
          <w:color w:val="auto"/>
        </w:rPr>
        <w:t>povezivanje nacionalnih aktivnosti sa međunarodnim obavezama i najboljom međunarodnom praksom.</w:t>
      </w:r>
    </w:p>
    <w:p w14:paraId="6BC29812" w14:textId="77777777" w:rsidR="00BC765B" w:rsidRPr="00C86111" w:rsidRDefault="00BC765B" w:rsidP="00BC765B">
      <w:pPr>
        <w:jc w:val="both"/>
        <w:rPr>
          <w:color w:val="auto"/>
        </w:rPr>
      </w:pPr>
      <w:r w:rsidRPr="00C86111">
        <w:rPr>
          <w:color w:val="auto"/>
        </w:rPr>
        <w:t>Ove smjernice se koriste kao referentna metodološka podrška i predstavljaju najvažniji međunarodni standard za kvalitetnu, transparentnu i usporedivu pripremu NIP-a, iako nisu striktno preskriptivne u formi.</w:t>
      </w:r>
    </w:p>
    <w:p w14:paraId="2350E1AD" w14:textId="77777777" w:rsidR="00BC765B" w:rsidRPr="00C86111" w:rsidRDefault="00BC765B" w:rsidP="00BC765B">
      <w:pPr>
        <w:jc w:val="both"/>
        <w:rPr>
          <w:color w:val="auto"/>
        </w:rPr>
      </w:pPr>
      <w:r w:rsidRPr="00C86111">
        <w:rPr>
          <w:color w:val="auto"/>
        </w:rPr>
        <w:t>Preporučeni proces iz smjernica uključuje logičke faze koje obuhvataju:</w:t>
      </w:r>
    </w:p>
    <w:p w14:paraId="70EE7C7E" w14:textId="77777777" w:rsidR="00BC765B" w:rsidRPr="00C86111" w:rsidRDefault="00BC765B" w:rsidP="00004F34">
      <w:pPr>
        <w:numPr>
          <w:ilvl w:val="0"/>
          <w:numId w:val="235"/>
        </w:numPr>
        <w:jc w:val="both"/>
        <w:rPr>
          <w:color w:val="auto"/>
        </w:rPr>
      </w:pPr>
      <w:r w:rsidRPr="00C86111">
        <w:rPr>
          <w:color w:val="auto"/>
        </w:rPr>
        <w:t>organizaciju procesa i koordinaciju između nadležnih institucija;</w:t>
      </w:r>
    </w:p>
    <w:p w14:paraId="082AD507" w14:textId="77777777" w:rsidR="00BC765B" w:rsidRPr="00C86111" w:rsidRDefault="00BC765B" w:rsidP="00004F34">
      <w:pPr>
        <w:numPr>
          <w:ilvl w:val="0"/>
          <w:numId w:val="235"/>
        </w:numPr>
        <w:jc w:val="both"/>
        <w:rPr>
          <w:color w:val="auto"/>
        </w:rPr>
      </w:pPr>
      <w:r w:rsidRPr="00C86111">
        <w:rPr>
          <w:color w:val="auto"/>
        </w:rPr>
        <w:t>identifikaciju potreba za ažuriranjem postojećeg NIP-a;</w:t>
      </w:r>
    </w:p>
    <w:p w14:paraId="6E3B2CB4" w14:textId="77777777" w:rsidR="00BC765B" w:rsidRPr="00C86111" w:rsidRDefault="00BC765B" w:rsidP="00004F34">
      <w:pPr>
        <w:numPr>
          <w:ilvl w:val="0"/>
          <w:numId w:val="235"/>
        </w:numPr>
        <w:jc w:val="both"/>
        <w:rPr>
          <w:color w:val="auto"/>
        </w:rPr>
      </w:pPr>
      <w:r w:rsidRPr="00C86111">
        <w:rPr>
          <w:color w:val="auto"/>
        </w:rPr>
        <w:t>prikupljanje i verificiranje podataka o POPs supstancama (količine, uvoz, upotreba, emisije i otpad);</w:t>
      </w:r>
    </w:p>
    <w:p w14:paraId="6F2EFA50" w14:textId="77777777" w:rsidR="00BC765B" w:rsidRPr="00C86111" w:rsidRDefault="00BC765B" w:rsidP="00004F34">
      <w:pPr>
        <w:numPr>
          <w:ilvl w:val="0"/>
          <w:numId w:val="235"/>
        </w:numPr>
        <w:jc w:val="both"/>
        <w:rPr>
          <w:color w:val="auto"/>
        </w:rPr>
      </w:pPr>
      <w:r w:rsidRPr="00C86111">
        <w:rPr>
          <w:color w:val="auto"/>
        </w:rPr>
        <w:t>analizu prioriteta i procjenu rizika;</w:t>
      </w:r>
    </w:p>
    <w:p w14:paraId="7845B1E4" w14:textId="77777777" w:rsidR="00BC765B" w:rsidRPr="00C86111" w:rsidRDefault="00BC765B" w:rsidP="00004F34">
      <w:pPr>
        <w:numPr>
          <w:ilvl w:val="0"/>
          <w:numId w:val="235"/>
        </w:numPr>
        <w:jc w:val="both"/>
        <w:rPr>
          <w:color w:val="auto"/>
        </w:rPr>
      </w:pPr>
      <w:r w:rsidRPr="00C86111">
        <w:rPr>
          <w:color w:val="auto"/>
        </w:rPr>
        <w:t>formulaciju ažuriranog plana aktivnosti sa jasnim ciljevima, rokovima i nadležnostima;</w:t>
      </w:r>
    </w:p>
    <w:p w14:paraId="24C66826" w14:textId="77777777" w:rsidR="00BC765B" w:rsidRPr="00C86111" w:rsidRDefault="00BC765B" w:rsidP="00004F34">
      <w:pPr>
        <w:numPr>
          <w:ilvl w:val="0"/>
          <w:numId w:val="235"/>
        </w:numPr>
        <w:tabs>
          <w:tab w:val="clear" w:pos="720"/>
        </w:tabs>
        <w:jc w:val="both"/>
        <w:rPr>
          <w:color w:val="auto"/>
        </w:rPr>
      </w:pPr>
      <w:r w:rsidRPr="00C86111">
        <w:rPr>
          <w:color w:val="auto"/>
        </w:rPr>
        <w:t>verifikaciju i usvajanje dokumenta te dostavljanje Sekretarijatu Konvencije.</w:t>
      </w:r>
    </w:p>
    <w:p w14:paraId="6A963811" w14:textId="77777777" w:rsidR="00BC765B" w:rsidRPr="00C86111" w:rsidRDefault="00BC765B" w:rsidP="00BC765B">
      <w:pPr>
        <w:jc w:val="both"/>
        <w:rPr>
          <w:color w:val="auto"/>
        </w:rPr>
      </w:pPr>
      <w:r w:rsidRPr="00C86111">
        <w:rPr>
          <w:color w:val="auto"/>
        </w:rPr>
        <w:t>Ovaj sekvencijalni pristup doprinosi da proces izrade i ažuriranja bude strukturan, transparentan i utemeljen na dokazima.</w:t>
      </w:r>
    </w:p>
    <w:p w14:paraId="1FF1E235" w14:textId="77777777" w:rsidR="00BC765B" w:rsidRPr="00C86111" w:rsidRDefault="00BC765B" w:rsidP="00BC765B">
      <w:pPr>
        <w:jc w:val="both"/>
        <w:rPr>
          <w:color w:val="auto"/>
        </w:rPr>
      </w:pPr>
      <w:r w:rsidRPr="00C86111">
        <w:rPr>
          <w:color w:val="auto"/>
        </w:rPr>
        <w:t>Smjernice takođe  uključuju specifične module koji pružaju tehničku podršku za:</w:t>
      </w:r>
    </w:p>
    <w:p w14:paraId="1D7FD2AA" w14:textId="77777777" w:rsidR="00BC765B" w:rsidRPr="00C86111" w:rsidRDefault="00BC765B" w:rsidP="00004F34">
      <w:pPr>
        <w:numPr>
          <w:ilvl w:val="0"/>
          <w:numId w:val="231"/>
        </w:numPr>
        <w:jc w:val="both"/>
        <w:rPr>
          <w:color w:val="auto"/>
        </w:rPr>
      </w:pPr>
      <w:r w:rsidRPr="00C86111">
        <w:rPr>
          <w:color w:val="auto"/>
        </w:rPr>
        <w:t>izradu inventara za različite grupe POPs supstanci (npr. PFOS, PBDE, HBCD, SCCP itd.);</w:t>
      </w:r>
    </w:p>
    <w:p w14:paraId="4BC17B34" w14:textId="77777777" w:rsidR="00BC765B" w:rsidRPr="00C86111" w:rsidRDefault="00BC765B" w:rsidP="00004F34">
      <w:pPr>
        <w:numPr>
          <w:ilvl w:val="0"/>
          <w:numId w:val="231"/>
        </w:numPr>
        <w:jc w:val="both"/>
        <w:rPr>
          <w:color w:val="auto"/>
        </w:rPr>
      </w:pPr>
      <w:r w:rsidRPr="00C86111">
        <w:rPr>
          <w:color w:val="auto"/>
        </w:rPr>
        <w:t>procjenu emisija PCDD/PCDF, HCB i drugih nenamjerno proizvedenih POPs supstanci;</w:t>
      </w:r>
    </w:p>
    <w:p w14:paraId="58A0639D" w14:textId="77777777" w:rsidR="00BC765B" w:rsidRPr="00C86111" w:rsidRDefault="00BC765B" w:rsidP="00004F34">
      <w:pPr>
        <w:numPr>
          <w:ilvl w:val="0"/>
          <w:numId w:val="231"/>
        </w:numPr>
        <w:jc w:val="both"/>
        <w:rPr>
          <w:color w:val="auto"/>
        </w:rPr>
      </w:pPr>
      <w:r w:rsidRPr="00C86111">
        <w:rPr>
          <w:color w:val="auto"/>
        </w:rPr>
        <w:t>procjenu socio-ekonomskih troškova i resursa potrebnih za implementaciju mjera;</w:t>
      </w:r>
    </w:p>
    <w:p w14:paraId="3B5C0A85" w14:textId="5B33D983" w:rsidR="00BC765B" w:rsidRPr="00912C4C" w:rsidRDefault="00BC765B" w:rsidP="00004F34">
      <w:pPr>
        <w:numPr>
          <w:ilvl w:val="0"/>
          <w:numId w:val="231"/>
        </w:numPr>
        <w:jc w:val="both"/>
        <w:rPr>
          <w:color w:val="auto"/>
        </w:rPr>
      </w:pPr>
      <w:r w:rsidRPr="00912C4C">
        <w:rPr>
          <w:color w:val="auto"/>
        </w:rPr>
        <w:t>preporuke o najboljim dostupnim tehnikama i ekološki prihvatljivim praksama (BAT/BEP).</w:t>
      </w:r>
    </w:p>
    <w:p w14:paraId="550C613D" w14:textId="77777777" w:rsidR="00BC765B" w:rsidRPr="00C86111" w:rsidRDefault="00BC765B" w:rsidP="00004F34">
      <w:pPr>
        <w:pStyle w:val="Heading1"/>
        <w:numPr>
          <w:ilvl w:val="1"/>
          <w:numId w:val="238"/>
        </w:numPr>
      </w:pPr>
      <w:bookmarkStart w:id="8" w:name="_Toc220541842"/>
      <w:r w:rsidRPr="00C86111">
        <w:t>Nacionalni pravni i strateški okvir</w:t>
      </w:r>
      <w:bookmarkEnd w:id="8"/>
    </w:p>
    <w:p w14:paraId="56FB4197" w14:textId="77777777" w:rsidR="00BC765B" w:rsidRPr="00C86111" w:rsidRDefault="00BC765B" w:rsidP="00BC765B">
      <w:pPr>
        <w:jc w:val="both"/>
        <w:rPr>
          <w:i/>
          <w:iCs/>
          <w:color w:val="auto"/>
        </w:rPr>
      </w:pPr>
    </w:p>
    <w:p w14:paraId="0010354C" w14:textId="77777777" w:rsidR="00BC765B" w:rsidRPr="00C86111" w:rsidRDefault="00BC765B" w:rsidP="00BC765B">
      <w:pPr>
        <w:jc w:val="both"/>
        <w:rPr>
          <w:color w:val="auto"/>
        </w:rPr>
      </w:pPr>
      <w:r w:rsidRPr="00C86111">
        <w:rPr>
          <w:color w:val="auto"/>
        </w:rPr>
        <w:t>Metodologija izrade i ažuriranja NIP-a u Crnoj Gori takođe se u potpunosti usklađuje sa principima i zahtjevima propisanim:</w:t>
      </w:r>
    </w:p>
    <w:p w14:paraId="08D94642" w14:textId="77777777" w:rsidR="00BC765B" w:rsidRPr="00C86111" w:rsidRDefault="00BC765B" w:rsidP="00004F34">
      <w:pPr>
        <w:numPr>
          <w:ilvl w:val="0"/>
          <w:numId w:val="232"/>
        </w:numPr>
        <w:jc w:val="both"/>
        <w:rPr>
          <w:color w:val="auto"/>
        </w:rPr>
      </w:pPr>
      <w:r w:rsidRPr="00C86111">
        <w:rPr>
          <w:color w:val="auto"/>
        </w:rPr>
        <w:t>Uredbom o načinu i postupku izrade, usklađivanja i praćenja sprovođenja strateških dokumenata („Službeni list CG“, br. 54/18);</w:t>
      </w:r>
    </w:p>
    <w:p w14:paraId="1268F473" w14:textId="77777777" w:rsidR="00BC765B" w:rsidRPr="00C86111" w:rsidRDefault="00BC765B" w:rsidP="00004F34">
      <w:pPr>
        <w:numPr>
          <w:ilvl w:val="0"/>
          <w:numId w:val="232"/>
        </w:numPr>
        <w:jc w:val="both"/>
        <w:rPr>
          <w:color w:val="auto"/>
        </w:rPr>
      </w:pPr>
      <w:r w:rsidRPr="00C86111">
        <w:rPr>
          <w:color w:val="auto"/>
        </w:rPr>
        <w:t>Metodologijom razvijanja politika, izrade i praćenja sprovođenja strateških dokumenata.</w:t>
      </w:r>
    </w:p>
    <w:p w14:paraId="5F768FD3" w14:textId="77777777" w:rsidR="00BC765B" w:rsidRPr="00C86111" w:rsidRDefault="00BC765B" w:rsidP="00BC765B">
      <w:pPr>
        <w:jc w:val="both"/>
        <w:rPr>
          <w:color w:val="auto"/>
        </w:rPr>
      </w:pPr>
      <w:r w:rsidRPr="00C86111">
        <w:rPr>
          <w:color w:val="auto"/>
        </w:rPr>
        <w:t>Ovaj nacionalni okvir osigurava da proces izrade NIP-a bude:</w:t>
      </w:r>
    </w:p>
    <w:p w14:paraId="62787433" w14:textId="77777777" w:rsidR="00BC765B" w:rsidRPr="00C86111" w:rsidRDefault="00BC765B" w:rsidP="00004F34">
      <w:pPr>
        <w:pStyle w:val="ListParagraph"/>
        <w:numPr>
          <w:ilvl w:val="0"/>
          <w:numId w:val="236"/>
        </w:numPr>
        <w:rPr>
          <w:color w:val="auto"/>
        </w:rPr>
      </w:pPr>
      <w:r w:rsidRPr="00C86111">
        <w:rPr>
          <w:color w:val="auto"/>
        </w:rPr>
        <w:t>planski i koherentan sa drugim strateškim dokumentima;</w:t>
      </w:r>
    </w:p>
    <w:p w14:paraId="420EBB65" w14:textId="77777777" w:rsidR="00BC765B" w:rsidRPr="00C86111" w:rsidRDefault="00BC765B" w:rsidP="00004F34">
      <w:pPr>
        <w:pStyle w:val="ListParagraph"/>
        <w:numPr>
          <w:ilvl w:val="0"/>
          <w:numId w:val="236"/>
        </w:numPr>
        <w:rPr>
          <w:color w:val="auto"/>
        </w:rPr>
      </w:pPr>
      <w:r w:rsidRPr="00C86111">
        <w:rPr>
          <w:color w:val="auto"/>
        </w:rPr>
        <w:t xml:space="preserve"> transparentan i zasnovan na evidencijama;</w:t>
      </w:r>
    </w:p>
    <w:p w14:paraId="4A37D6A0" w14:textId="77777777" w:rsidR="00BC765B" w:rsidRPr="00C86111" w:rsidRDefault="00BC765B" w:rsidP="00004F34">
      <w:pPr>
        <w:pStyle w:val="ListParagraph"/>
        <w:numPr>
          <w:ilvl w:val="0"/>
          <w:numId w:val="236"/>
        </w:numPr>
        <w:rPr>
          <w:color w:val="auto"/>
        </w:rPr>
      </w:pPr>
      <w:r w:rsidRPr="00C86111">
        <w:rPr>
          <w:color w:val="auto"/>
        </w:rPr>
        <w:t xml:space="preserve"> povezan sa postoje</w:t>
      </w:r>
      <w:r w:rsidRPr="00C86111">
        <w:rPr>
          <w:rFonts w:cs="Calibri"/>
          <w:color w:val="auto"/>
        </w:rPr>
        <w:t>ć</w:t>
      </w:r>
      <w:r w:rsidRPr="00C86111">
        <w:rPr>
          <w:color w:val="auto"/>
        </w:rPr>
        <w:t>im prioritetima javnih politika;</w:t>
      </w:r>
    </w:p>
    <w:p w14:paraId="5B319629" w14:textId="77777777" w:rsidR="00BC765B" w:rsidRPr="00C86111" w:rsidRDefault="00BC765B" w:rsidP="00004F34">
      <w:pPr>
        <w:pStyle w:val="ListParagraph"/>
        <w:numPr>
          <w:ilvl w:val="0"/>
          <w:numId w:val="236"/>
        </w:numPr>
        <w:rPr>
          <w:color w:val="auto"/>
        </w:rPr>
      </w:pPr>
      <w:r w:rsidRPr="00C86111">
        <w:rPr>
          <w:color w:val="auto"/>
        </w:rPr>
        <w:t xml:space="preserve"> u skladu sa principima ekonomi</w:t>
      </w:r>
      <w:r w:rsidRPr="00C86111">
        <w:rPr>
          <w:rFonts w:cs="Calibri"/>
          <w:color w:val="auto"/>
        </w:rPr>
        <w:t>č</w:t>
      </w:r>
      <w:r w:rsidRPr="00C86111">
        <w:rPr>
          <w:color w:val="auto"/>
        </w:rPr>
        <w:t>nosti, odgovornosti i uklju</w:t>
      </w:r>
      <w:r w:rsidRPr="00C86111">
        <w:rPr>
          <w:rFonts w:cs="Calibri"/>
          <w:color w:val="auto"/>
        </w:rPr>
        <w:t>č</w:t>
      </w:r>
      <w:r w:rsidRPr="00C86111">
        <w:rPr>
          <w:color w:val="auto"/>
        </w:rPr>
        <w:t>ivanja relevantnih donosioca odluka.</w:t>
      </w:r>
    </w:p>
    <w:p w14:paraId="185A7B2A" w14:textId="77777777" w:rsidR="00BC765B" w:rsidRPr="00C86111" w:rsidRDefault="00BC765B" w:rsidP="00BC765B">
      <w:pPr>
        <w:jc w:val="both"/>
        <w:rPr>
          <w:color w:val="auto"/>
        </w:rPr>
      </w:pPr>
      <w:r w:rsidRPr="00C86111">
        <w:rPr>
          <w:color w:val="auto"/>
        </w:rPr>
        <w:t xml:space="preserve">U skladu sa Uredbom, posebna pažnja posvećena je usklađenosti NIP-a s drugim nacionalnim strateškim i finansijskim okvirima, kao i potrebama za njegovu praktičnu primjenjivost i praćenje </w:t>
      </w:r>
      <w:r w:rsidRPr="00C86111">
        <w:rPr>
          <w:color w:val="auto"/>
        </w:rPr>
        <w:lastRenderedPageBreak/>
        <w:t>rezultata. To podrazumijeva jasno definirane indikatore, mehanizme praćenja i evaluacije, te nadležne institucije za sprovođenje i koordinaciju aktivnosti.</w:t>
      </w:r>
    </w:p>
    <w:p w14:paraId="737498C7" w14:textId="55306257" w:rsidR="00BC765B" w:rsidRDefault="00BC765B" w:rsidP="00912C4C">
      <w:pPr>
        <w:pStyle w:val="Heading3"/>
      </w:pPr>
      <w:bookmarkStart w:id="9" w:name="_Toc220541843"/>
      <w:r w:rsidRPr="00912C4C">
        <w:t>Primjena metodološkog okvira u izradi NIP-a</w:t>
      </w:r>
      <w:bookmarkEnd w:id="9"/>
    </w:p>
    <w:p w14:paraId="0E1D0A8C" w14:textId="77777777" w:rsidR="00912C4C" w:rsidRPr="00912C4C" w:rsidRDefault="00912C4C" w:rsidP="00912C4C">
      <w:pPr>
        <w:rPr>
          <w:lang w:val="sr-Latn-ME"/>
        </w:rPr>
      </w:pPr>
    </w:p>
    <w:p w14:paraId="5B15F703" w14:textId="77777777" w:rsidR="00BC765B" w:rsidRDefault="00BC765B" w:rsidP="00BC765B">
      <w:pPr>
        <w:jc w:val="both"/>
        <w:rPr>
          <w:color w:val="auto"/>
        </w:rPr>
      </w:pPr>
      <w:r w:rsidRPr="00C86111">
        <w:rPr>
          <w:color w:val="auto"/>
        </w:rPr>
        <w:t>Na osnovu navedenih međunarodnih smjernica i nacionalnih principa, metodologija izrade i ažuriranja NIP-a u Crnoj Gori obuhvatila je:</w:t>
      </w:r>
    </w:p>
    <w:p w14:paraId="74B21D81" w14:textId="77777777" w:rsidR="00BC765B" w:rsidRDefault="00BC765B" w:rsidP="00BC765B">
      <w:pPr>
        <w:jc w:val="both"/>
        <w:rPr>
          <w:b/>
          <w:bCs/>
          <w:color w:val="002060"/>
        </w:rPr>
      </w:pPr>
      <w:r w:rsidRPr="00C86111">
        <w:rPr>
          <w:b/>
          <w:bCs/>
          <w:color w:val="002060"/>
        </w:rPr>
        <w:t>a) Organizaciju i koordinaciju rada</w:t>
      </w:r>
    </w:p>
    <w:p w14:paraId="7022E1E2" w14:textId="77777777" w:rsidR="00BC765B" w:rsidRDefault="00BC765B" w:rsidP="00BC765B">
      <w:pPr>
        <w:jc w:val="both"/>
        <w:rPr>
          <w:color w:val="auto"/>
        </w:rPr>
      </w:pPr>
      <w:r w:rsidRPr="00C86111">
        <w:rPr>
          <w:color w:val="auto"/>
        </w:rPr>
        <w:t>Formirana je međuresorna radna grupa sa predstavnicima nadležnih institucija (ministarstva, Agencije za zaštitu životne sredine, statistike, veterine, carina i drugih), privrednih komora, naučnih institucija i organizacija civilnog društva — kako bi se obezbijedila izbalansirana ekspertiza i multidisciplinarni pristup.</w:t>
      </w:r>
    </w:p>
    <w:p w14:paraId="05409D68" w14:textId="5FD9EEE2" w:rsidR="00BC765B" w:rsidRDefault="00BC765B" w:rsidP="00BC765B">
      <w:pPr>
        <w:jc w:val="both"/>
        <w:rPr>
          <w:b/>
          <w:bCs/>
          <w:color w:val="002060"/>
        </w:rPr>
      </w:pPr>
      <w:r w:rsidRPr="00C86111">
        <w:rPr>
          <w:b/>
          <w:bCs/>
          <w:color w:val="002060"/>
        </w:rPr>
        <w:t>b) Prikupljanje i obrad</w:t>
      </w:r>
      <w:r w:rsidR="00876F1D" w:rsidRPr="00C86111">
        <w:rPr>
          <w:b/>
          <w:bCs/>
          <w:color w:val="002060"/>
        </w:rPr>
        <w:t>u</w:t>
      </w:r>
      <w:r w:rsidRPr="00C86111">
        <w:rPr>
          <w:b/>
          <w:bCs/>
          <w:color w:val="002060"/>
        </w:rPr>
        <w:t xml:space="preserve"> podataka</w:t>
      </w:r>
    </w:p>
    <w:p w14:paraId="1AE34D77" w14:textId="77777777" w:rsidR="00BC765B" w:rsidRPr="00C86111" w:rsidRDefault="00BC765B" w:rsidP="00BC765B">
      <w:pPr>
        <w:jc w:val="both"/>
        <w:rPr>
          <w:color w:val="auto"/>
        </w:rPr>
      </w:pPr>
      <w:r w:rsidRPr="00C86111">
        <w:rPr>
          <w:color w:val="auto"/>
        </w:rPr>
        <w:t>Korišćeni su standardizovani obrasci i međunarodne metodološke smjernice za:</w:t>
      </w:r>
    </w:p>
    <w:p w14:paraId="1D1F87ED" w14:textId="77777777" w:rsidR="00BC765B" w:rsidRPr="00C86111" w:rsidRDefault="00BC765B" w:rsidP="00004F34">
      <w:pPr>
        <w:numPr>
          <w:ilvl w:val="0"/>
          <w:numId w:val="233"/>
        </w:numPr>
        <w:jc w:val="both"/>
        <w:rPr>
          <w:color w:val="auto"/>
        </w:rPr>
      </w:pPr>
      <w:r w:rsidRPr="00C86111">
        <w:rPr>
          <w:color w:val="auto"/>
        </w:rPr>
        <w:t>prikupljanje podataka o uvozu, upotrebi, emisijama i otpadnim tokovima POPs supstanci;</w:t>
      </w:r>
    </w:p>
    <w:p w14:paraId="5DAE63B1" w14:textId="77777777" w:rsidR="00BC765B" w:rsidRPr="00C86111" w:rsidRDefault="00BC765B" w:rsidP="00004F34">
      <w:pPr>
        <w:numPr>
          <w:ilvl w:val="0"/>
          <w:numId w:val="233"/>
        </w:numPr>
        <w:jc w:val="both"/>
        <w:rPr>
          <w:color w:val="auto"/>
        </w:rPr>
      </w:pPr>
      <w:r w:rsidRPr="00C86111">
        <w:rPr>
          <w:color w:val="auto"/>
        </w:rPr>
        <w:t>identifikaciju i kvantifikaciju POPs supstanci u proizvodima i emisijama;</w:t>
      </w:r>
    </w:p>
    <w:p w14:paraId="063359EA" w14:textId="77777777" w:rsidR="00BC765B" w:rsidRDefault="00BC765B" w:rsidP="00004F34">
      <w:pPr>
        <w:numPr>
          <w:ilvl w:val="0"/>
          <w:numId w:val="233"/>
        </w:numPr>
        <w:jc w:val="both"/>
        <w:rPr>
          <w:color w:val="auto"/>
        </w:rPr>
      </w:pPr>
      <w:r w:rsidRPr="00C86111">
        <w:rPr>
          <w:color w:val="auto"/>
        </w:rPr>
        <w:t>izradu i evaluaciju inventara po supstancama i sektorima.</w:t>
      </w:r>
    </w:p>
    <w:p w14:paraId="7B0D2CF6" w14:textId="0C066211" w:rsidR="00BC765B" w:rsidRDefault="00BC765B" w:rsidP="00BC765B">
      <w:pPr>
        <w:jc w:val="both"/>
        <w:rPr>
          <w:b/>
          <w:bCs/>
          <w:color w:val="002060"/>
        </w:rPr>
      </w:pPr>
      <w:r w:rsidRPr="00C86111">
        <w:rPr>
          <w:b/>
          <w:bCs/>
          <w:color w:val="002060"/>
        </w:rPr>
        <w:t>c) Analiz</w:t>
      </w:r>
      <w:r w:rsidR="00876F1D" w:rsidRPr="00C86111">
        <w:rPr>
          <w:b/>
          <w:bCs/>
          <w:color w:val="002060"/>
        </w:rPr>
        <w:t>u</w:t>
      </w:r>
      <w:r w:rsidRPr="00C86111">
        <w:rPr>
          <w:b/>
          <w:bCs/>
          <w:color w:val="002060"/>
        </w:rPr>
        <w:t xml:space="preserve"> prioriteta i procjen</w:t>
      </w:r>
      <w:r w:rsidR="00876F1D" w:rsidRPr="00C86111">
        <w:rPr>
          <w:b/>
          <w:bCs/>
          <w:color w:val="002060"/>
        </w:rPr>
        <w:t>u</w:t>
      </w:r>
      <w:r w:rsidRPr="00C86111">
        <w:rPr>
          <w:b/>
          <w:bCs/>
          <w:color w:val="002060"/>
        </w:rPr>
        <w:t xml:space="preserve"> rizika</w:t>
      </w:r>
    </w:p>
    <w:p w14:paraId="4382DA18" w14:textId="77777777" w:rsidR="00BC765B" w:rsidRDefault="00BC765B" w:rsidP="00BC765B">
      <w:pPr>
        <w:jc w:val="both"/>
        <w:rPr>
          <w:color w:val="auto"/>
        </w:rPr>
      </w:pPr>
      <w:r w:rsidRPr="00C86111">
        <w:rPr>
          <w:color w:val="auto"/>
        </w:rPr>
        <w:t>Podaci su analizirani kako bi se identifikovali ključni izazovi u upravljanju POPs supstancama, uključujući potencijalne rizike za zdravlje ljudi i životnu sredinu, te kako bi se utvrdile prioritetne oblasti za intervencije.</w:t>
      </w:r>
    </w:p>
    <w:p w14:paraId="0DF5A6F5" w14:textId="77777777" w:rsidR="00BC765B" w:rsidRDefault="00BC765B" w:rsidP="00BC765B">
      <w:pPr>
        <w:jc w:val="both"/>
        <w:rPr>
          <w:b/>
          <w:bCs/>
          <w:color w:val="002060"/>
        </w:rPr>
      </w:pPr>
      <w:r w:rsidRPr="00C86111">
        <w:rPr>
          <w:b/>
          <w:bCs/>
          <w:color w:val="002060"/>
        </w:rPr>
        <w:t>d) Definisanje ciljeva i mjera</w:t>
      </w:r>
    </w:p>
    <w:p w14:paraId="2412CF7C" w14:textId="77777777" w:rsidR="00BC765B" w:rsidRDefault="00BC765B" w:rsidP="00BC765B">
      <w:pPr>
        <w:jc w:val="both"/>
        <w:rPr>
          <w:color w:val="auto"/>
        </w:rPr>
      </w:pPr>
      <w:r w:rsidRPr="00C86111">
        <w:rPr>
          <w:color w:val="auto"/>
        </w:rPr>
        <w:t>Na osnovu rezultata inventarizacije i procjene rizika, utvrđeni su jasno strukturirani ciljevi, mjere, indikatori i nadležnosti — sve u cilju efikasnog sprovođenja NIP-a u narednom periodu.</w:t>
      </w:r>
    </w:p>
    <w:p w14:paraId="00AE90A8" w14:textId="77777777" w:rsidR="00BC765B" w:rsidRDefault="00BC765B" w:rsidP="00BC765B">
      <w:pPr>
        <w:jc w:val="both"/>
        <w:rPr>
          <w:b/>
          <w:bCs/>
          <w:color w:val="002060"/>
        </w:rPr>
      </w:pPr>
      <w:r w:rsidRPr="00C86111">
        <w:rPr>
          <w:b/>
          <w:bCs/>
          <w:color w:val="002060"/>
        </w:rPr>
        <w:t>e) Usklađivanje sa EU acquis i međunarodnim standardima</w:t>
      </w:r>
    </w:p>
    <w:p w14:paraId="43F030E2" w14:textId="77777777" w:rsidR="00BC765B" w:rsidRPr="00C86111" w:rsidRDefault="00BC765B" w:rsidP="00BC765B">
      <w:pPr>
        <w:jc w:val="both"/>
        <w:rPr>
          <w:color w:val="auto"/>
        </w:rPr>
      </w:pPr>
      <w:r w:rsidRPr="00C86111">
        <w:rPr>
          <w:color w:val="auto"/>
        </w:rPr>
        <w:t>Pri formulaciji aktivnosti posebno je uzet u obzir proces pristupanja Crne Gore Evropskoj uniji, kao i zahtjevi EU acquis-a u oblasti POPs, otpada i hemikalija, radi postizanja visokog nivoa usklađenosti sa EU praksama i propisima.</w:t>
      </w:r>
    </w:p>
    <w:p w14:paraId="6398B9DC" w14:textId="13EF9DB8" w:rsidR="00BC765B" w:rsidRPr="00C86111" w:rsidRDefault="00BC765B" w:rsidP="00004F34">
      <w:pPr>
        <w:pStyle w:val="Heading1"/>
        <w:numPr>
          <w:ilvl w:val="1"/>
          <w:numId w:val="238"/>
        </w:numPr>
      </w:pPr>
      <w:bookmarkStart w:id="10" w:name="_Toc220541844"/>
      <w:r w:rsidRPr="00C86111">
        <w:t>Struktura sadržaja NIP-a i njena metodološka osnova</w:t>
      </w:r>
      <w:bookmarkEnd w:id="10"/>
    </w:p>
    <w:p w14:paraId="1EEA0753" w14:textId="77777777" w:rsidR="00876F1D" w:rsidRPr="00C86111" w:rsidRDefault="00876F1D" w:rsidP="00876F1D">
      <w:pPr>
        <w:rPr>
          <w:lang w:val="sr-Latn-ME"/>
        </w:rPr>
      </w:pPr>
    </w:p>
    <w:p w14:paraId="751F1B70" w14:textId="77777777" w:rsidR="00BC765B" w:rsidRPr="00C86111" w:rsidRDefault="00BC765B" w:rsidP="00BC765B">
      <w:pPr>
        <w:jc w:val="both"/>
        <w:rPr>
          <w:color w:val="auto"/>
        </w:rPr>
      </w:pPr>
      <w:r w:rsidRPr="00C86111">
        <w:rPr>
          <w:color w:val="auto"/>
        </w:rPr>
        <w:t>Struktura ažuriranog NIP-a reflektuje metodološke zahtjeve kako međunarodnih smjernica, tako i nacionalne Uredbe o strateškom planiranju i uključuje sljedeće logičke cjeline:</w:t>
      </w:r>
    </w:p>
    <w:p w14:paraId="456C94D1" w14:textId="77777777" w:rsidR="00BC765B" w:rsidRPr="00C86111" w:rsidRDefault="00BC765B" w:rsidP="00004F34">
      <w:pPr>
        <w:numPr>
          <w:ilvl w:val="0"/>
          <w:numId w:val="234"/>
        </w:numPr>
        <w:jc w:val="both"/>
        <w:rPr>
          <w:color w:val="auto"/>
        </w:rPr>
      </w:pPr>
      <w:r w:rsidRPr="00C86111">
        <w:rPr>
          <w:color w:val="auto"/>
        </w:rPr>
        <w:t>međunarodni, EU i nacionalni kontekst;</w:t>
      </w:r>
    </w:p>
    <w:p w14:paraId="7195FCF3" w14:textId="77777777" w:rsidR="00BC765B" w:rsidRPr="00C86111" w:rsidRDefault="00BC765B" w:rsidP="00004F34">
      <w:pPr>
        <w:numPr>
          <w:ilvl w:val="0"/>
          <w:numId w:val="234"/>
        </w:numPr>
        <w:jc w:val="both"/>
        <w:rPr>
          <w:color w:val="auto"/>
        </w:rPr>
      </w:pPr>
      <w:r w:rsidRPr="00C86111">
        <w:rPr>
          <w:color w:val="auto"/>
        </w:rPr>
        <w:t>analiza statusa i inventarizacija POPs supstanci;</w:t>
      </w:r>
    </w:p>
    <w:p w14:paraId="2215ED1E" w14:textId="77777777" w:rsidR="00BC765B" w:rsidRPr="00C86111" w:rsidRDefault="00BC765B" w:rsidP="00004F34">
      <w:pPr>
        <w:numPr>
          <w:ilvl w:val="0"/>
          <w:numId w:val="234"/>
        </w:numPr>
        <w:jc w:val="both"/>
        <w:rPr>
          <w:color w:val="auto"/>
        </w:rPr>
      </w:pPr>
      <w:r w:rsidRPr="00C86111">
        <w:rPr>
          <w:color w:val="auto"/>
        </w:rPr>
        <w:t>prostorno-vremenska i sektorska procjena emisija;</w:t>
      </w:r>
    </w:p>
    <w:p w14:paraId="3E364EAC" w14:textId="77777777" w:rsidR="00BC765B" w:rsidRPr="00C86111" w:rsidRDefault="00BC765B" w:rsidP="00004F34">
      <w:pPr>
        <w:numPr>
          <w:ilvl w:val="0"/>
          <w:numId w:val="234"/>
        </w:numPr>
        <w:jc w:val="both"/>
        <w:rPr>
          <w:color w:val="auto"/>
        </w:rPr>
      </w:pPr>
      <w:r w:rsidRPr="00C86111">
        <w:rPr>
          <w:color w:val="auto"/>
        </w:rPr>
        <w:t>institucionalni, pravni i finansijski kapaciteti;</w:t>
      </w:r>
    </w:p>
    <w:p w14:paraId="4474EDDB" w14:textId="77777777" w:rsidR="00BC765B" w:rsidRPr="00C86111" w:rsidRDefault="00BC765B" w:rsidP="00004F34">
      <w:pPr>
        <w:numPr>
          <w:ilvl w:val="0"/>
          <w:numId w:val="234"/>
        </w:numPr>
        <w:jc w:val="both"/>
        <w:rPr>
          <w:color w:val="auto"/>
        </w:rPr>
      </w:pPr>
      <w:r w:rsidRPr="00C86111">
        <w:rPr>
          <w:color w:val="auto"/>
        </w:rPr>
        <w:t>monitoring i evaluacija;</w:t>
      </w:r>
    </w:p>
    <w:p w14:paraId="54D5CE70" w14:textId="77777777" w:rsidR="00BC765B" w:rsidRPr="00C86111" w:rsidRDefault="00BC765B" w:rsidP="00004F34">
      <w:pPr>
        <w:numPr>
          <w:ilvl w:val="0"/>
          <w:numId w:val="234"/>
        </w:numPr>
        <w:jc w:val="both"/>
        <w:rPr>
          <w:color w:val="auto"/>
        </w:rPr>
      </w:pPr>
      <w:r w:rsidRPr="00C86111">
        <w:rPr>
          <w:color w:val="auto"/>
        </w:rPr>
        <w:t>plan aktivnosti i preporučene mjere.</w:t>
      </w:r>
    </w:p>
    <w:p w14:paraId="295D7D66" w14:textId="77777777" w:rsidR="00BC765B" w:rsidRPr="00C86111" w:rsidRDefault="00BC765B" w:rsidP="00BC765B">
      <w:pPr>
        <w:jc w:val="both"/>
        <w:rPr>
          <w:color w:val="auto"/>
        </w:rPr>
      </w:pPr>
      <w:r w:rsidRPr="00C86111">
        <w:rPr>
          <w:color w:val="auto"/>
        </w:rPr>
        <w:t>Ova organizaciona struktura osigurava da sadržaj NIP-a bude sistematičan, transparentan, uporediv i praktično usmjeren prema realizaciji obaveza i poboljšanju upravljanja POPs supstancama u Crnoj Gori — u skladu sa međunarodnim standardima i nacionalnim strateškim ciljevima.</w:t>
      </w:r>
    </w:p>
    <w:p w14:paraId="083EF48E" w14:textId="1CF73C05" w:rsidR="006705AC" w:rsidRPr="00C86111" w:rsidRDefault="006705AC" w:rsidP="00004F34">
      <w:pPr>
        <w:pStyle w:val="Heading1"/>
        <w:numPr>
          <w:ilvl w:val="1"/>
          <w:numId w:val="238"/>
        </w:numPr>
      </w:pPr>
      <w:bookmarkStart w:id="11" w:name="_Toc220541845"/>
      <w:r w:rsidRPr="00C86111">
        <w:lastRenderedPageBreak/>
        <w:t>Usklađenost sa postojećim finansijskim okvirom</w:t>
      </w:r>
      <w:bookmarkEnd w:id="11"/>
    </w:p>
    <w:p w14:paraId="1F509A72" w14:textId="77777777" w:rsidR="002B19B1" w:rsidRDefault="002B19B1" w:rsidP="002B19B1">
      <w:pPr>
        <w:jc w:val="both"/>
        <w:rPr>
          <w:rFonts w:asciiTheme="minorHAnsi" w:hAnsiTheme="minorHAnsi" w:cstheme="minorHAnsi"/>
          <w:color w:val="4472C4" w:themeColor="accent1"/>
          <w:szCs w:val="24"/>
          <w:lang w:val="sr-Latn-ME"/>
        </w:rPr>
      </w:pPr>
    </w:p>
    <w:p w14:paraId="7152D7EF" w14:textId="77777777" w:rsidR="002773F8" w:rsidRPr="002773F8" w:rsidRDefault="002773F8" w:rsidP="002773F8">
      <w:pPr>
        <w:jc w:val="both"/>
        <w:rPr>
          <w:rFonts w:asciiTheme="minorHAnsi" w:hAnsiTheme="minorHAnsi" w:cstheme="minorHAnsi"/>
          <w:color w:val="auto"/>
          <w:szCs w:val="24"/>
        </w:rPr>
      </w:pPr>
      <w:r w:rsidRPr="002773F8">
        <w:rPr>
          <w:rFonts w:asciiTheme="minorHAnsi" w:hAnsiTheme="minorHAnsi" w:cstheme="minorHAnsi"/>
          <w:color w:val="auto"/>
          <w:szCs w:val="24"/>
        </w:rPr>
        <w:t>S obzirom na to da je veliki dio aktivnosti predviđenih Akcionim planom za implementaciju Nacionalnog implementacionog plana (NIP) za POPs u nadležnosti državnih organa i institucija, značajan dio finansiranja planiran je iz Budžeta Crne Gore. Ovo se posebno odnosi na aktivnosti koje obuhvataju izradu i reviziju zakonskih i podzakonskih akata, jačanje administrativnih kapaciteta, uspostavljanje nacionalnih koordinacionih mehanizama, kao i sprovođenje redovnog monitoringa POPs supstanci i novih zagađivača u vodi, zemljištu, hrani i bioti.</w:t>
      </w:r>
    </w:p>
    <w:p w14:paraId="1232CEA8" w14:textId="77777777" w:rsidR="002773F8" w:rsidRPr="002773F8" w:rsidRDefault="002773F8" w:rsidP="002773F8">
      <w:pPr>
        <w:jc w:val="both"/>
        <w:rPr>
          <w:rFonts w:asciiTheme="minorHAnsi" w:hAnsiTheme="minorHAnsi" w:cstheme="minorHAnsi"/>
          <w:color w:val="auto"/>
          <w:szCs w:val="24"/>
        </w:rPr>
      </w:pPr>
      <w:r w:rsidRPr="002773F8">
        <w:rPr>
          <w:rFonts w:asciiTheme="minorHAnsi" w:hAnsiTheme="minorHAnsi" w:cstheme="minorHAnsi"/>
          <w:color w:val="auto"/>
          <w:szCs w:val="24"/>
        </w:rPr>
        <w:t>Aktivnosti koje se odnose na izradu, izmjene i dopune zakonskih i podzakonskih akata (uključujući Zakon o zaštiti zemljišta, Zakon o hemikalijama, kao i prateće pravilnike i uputstva) predstavljaju dio redovnih, sistematizovanih poslova zaposlenih u nadležnim organima državne uprave i realizuju se u okviru postojećih institucionalnih kapaciteta. Shodno tome, za ove aktivnosti nijesu potrebna dodatna finansijska sredstva, već se sprovode u okviru tekućih budžetskih aproprijacija i redovnog rada zaposlenih.</w:t>
      </w:r>
    </w:p>
    <w:p w14:paraId="422ECCFC" w14:textId="77777777" w:rsidR="002773F8" w:rsidRPr="002773F8" w:rsidRDefault="002773F8" w:rsidP="002773F8">
      <w:pPr>
        <w:jc w:val="both"/>
        <w:rPr>
          <w:rFonts w:asciiTheme="minorHAnsi" w:hAnsiTheme="minorHAnsi" w:cstheme="minorHAnsi"/>
          <w:color w:val="auto"/>
          <w:szCs w:val="24"/>
        </w:rPr>
      </w:pPr>
      <w:r w:rsidRPr="002773F8">
        <w:rPr>
          <w:rFonts w:asciiTheme="minorHAnsi" w:hAnsiTheme="minorHAnsi" w:cstheme="minorHAnsi"/>
          <w:color w:val="auto"/>
          <w:szCs w:val="24"/>
        </w:rPr>
        <w:t>Imajući u vidu da je sprovođenje NIP-a direktno povezano sa obavezama Crne Gore koje proizilaze iz Stokholmske konvencije, kao i sa procesom usklađivanja sa pravnom tekovinom Evropske unije, značajan dio aktivnosti planiran je da se finansira iz međunarodnih donatorskih izvora. Ključni izvori eksternog finansiranja predviđeni Akcionim planom su sredstva Globalnog fonda za životnu sredinu (GEF), kao i podrška kroz programe UNEP-a i UNDP-a, uz mogućnost korišćenja sredstava iz IPA fondova Evropske unije.</w:t>
      </w:r>
    </w:p>
    <w:p w14:paraId="187AC41A" w14:textId="77777777" w:rsidR="002773F8" w:rsidRPr="002773F8" w:rsidRDefault="002773F8" w:rsidP="002773F8">
      <w:pPr>
        <w:jc w:val="both"/>
        <w:rPr>
          <w:rFonts w:asciiTheme="minorHAnsi" w:hAnsiTheme="minorHAnsi" w:cstheme="minorHAnsi"/>
          <w:color w:val="auto"/>
          <w:szCs w:val="24"/>
        </w:rPr>
      </w:pPr>
      <w:r w:rsidRPr="002773F8">
        <w:rPr>
          <w:rFonts w:asciiTheme="minorHAnsi" w:hAnsiTheme="minorHAnsi" w:cstheme="minorHAnsi"/>
          <w:color w:val="auto"/>
          <w:szCs w:val="24"/>
        </w:rPr>
        <w:t>GEF sredstva su planirana za finansiranje niza tehničkih i operativnih aktivnosti, uključujući izradu regulatornih instrumenata i vodiča za identifikaciju proizvoda koji sadrže PBDEs, HBB, HBCDD, PFAS, SCCP i MCCP, obuke carinskih službenika i inspekcija, aktivnosti supstitucije opasnih supstanci, dekontaminaciju opreme, upravljanje PFAS protivpožarnim pjenama, kao i za sprovođenje programa humanog biomonitoringa i ciljane kampanje podizanja svijesti za ranjive grupe stanovništva.</w:t>
      </w:r>
    </w:p>
    <w:p w14:paraId="38C1EA25" w14:textId="77777777" w:rsidR="002773F8" w:rsidRPr="002773F8" w:rsidRDefault="002773F8" w:rsidP="002773F8">
      <w:pPr>
        <w:jc w:val="both"/>
        <w:rPr>
          <w:rFonts w:asciiTheme="minorHAnsi" w:hAnsiTheme="minorHAnsi" w:cstheme="minorHAnsi"/>
          <w:color w:val="auto"/>
          <w:szCs w:val="24"/>
        </w:rPr>
      </w:pPr>
      <w:r w:rsidRPr="002773F8">
        <w:rPr>
          <w:rFonts w:asciiTheme="minorHAnsi" w:hAnsiTheme="minorHAnsi" w:cstheme="minorHAnsi"/>
          <w:color w:val="auto"/>
          <w:szCs w:val="24"/>
        </w:rPr>
        <w:t>Pored toga, za jačanje institucionalnih i administrativnih kapaciteta, naročito kroz obuke inspektora, carinskih službenika i stručnjaka za upravljanje POPs supstancama, predviđeno je korišćenje sredstava iz programa tehničke pomoći Evropske unije, uključujući TAIEX i IPA-ECHA. Ovi instrumenti omogućavaju kratkoročnu ekspertsku podršku, organizovanje obuka, ekspertskih misija i studijskih posjeta, sa ciljem unapređenja znanja i praktičnih vještina u oblasti primjene EU propisa o hemikalijama i POPs supstancama.</w:t>
      </w:r>
    </w:p>
    <w:p w14:paraId="024058F9" w14:textId="77777777" w:rsidR="002773F8" w:rsidRPr="002773F8" w:rsidRDefault="002773F8" w:rsidP="002773F8">
      <w:pPr>
        <w:jc w:val="both"/>
        <w:rPr>
          <w:rFonts w:asciiTheme="minorHAnsi" w:hAnsiTheme="minorHAnsi" w:cstheme="minorHAnsi"/>
          <w:color w:val="auto"/>
          <w:szCs w:val="24"/>
        </w:rPr>
      </w:pPr>
      <w:r w:rsidRPr="002773F8">
        <w:rPr>
          <w:rFonts w:asciiTheme="minorHAnsi" w:hAnsiTheme="minorHAnsi" w:cstheme="minorHAnsi"/>
          <w:color w:val="auto"/>
          <w:szCs w:val="24"/>
        </w:rPr>
        <w:t>Dodatno, određene specifične aktivnosti, poput finalnog zbrinjavanja preostale PCB opreme, planirane su da se finansiraju iz posebnih međunarodnih programa, kao što je UN/GEF MedProgramme, u okviru kojeg su već obezbijeđena sredstva za izvoz i trajno zbrinjavanje PCB otpada.</w:t>
      </w:r>
    </w:p>
    <w:p w14:paraId="3ECC4E39" w14:textId="69D32780" w:rsidR="002773F8" w:rsidRPr="00C86111" w:rsidRDefault="002773F8" w:rsidP="002B19B1">
      <w:pPr>
        <w:jc w:val="both"/>
        <w:rPr>
          <w:rFonts w:asciiTheme="minorHAnsi" w:hAnsiTheme="minorHAnsi" w:cstheme="minorHAnsi"/>
          <w:color w:val="4472C4" w:themeColor="accent1"/>
          <w:szCs w:val="24"/>
          <w:lang w:val="sr-Latn-ME"/>
        </w:rPr>
      </w:pPr>
      <w:r w:rsidRPr="002773F8">
        <w:rPr>
          <w:rFonts w:asciiTheme="minorHAnsi" w:hAnsiTheme="minorHAnsi" w:cstheme="minorHAnsi"/>
          <w:color w:val="auto"/>
          <w:szCs w:val="24"/>
        </w:rPr>
        <w:t xml:space="preserve">Ukupno posmatrano, finansijski okvir za sprovođenje NIP-a za POPs zasniva se na kombinaciji nacionalnih budžetskih sredstava i međunarodne donatorske podrške, pri čemu se budžetska sredstva koriste prvenstveno za normativne i institucionalne aktivnosti koje su dio redovnog rada državne uprave, dok se donatorska sredstva koriste za tehnički zahtjevne, specijalizovane i investicione aktivnosti koje zahtijevaju dodatne kapacitete, ekspertizu i opremu. Ovakav pristup omogućava da se proces normativnog usklađivanja realizuje bez dodatnog fiskalnog opterećenja, </w:t>
      </w:r>
      <w:r w:rsidRPr="002773F8">
        <w:rPr>
          <w:rFonts w:asciiTheme="minorHAnsi" w:hAnsiTheme="minorHAnsi" w:cstheme="minorHAnsi"/>
          <w:color w:val="auto"/>
          <w:szCs w:val="24"/>
        </w:rPr>
        <w:lastRenderedPageBreak/>
        <w:t>uz efikasno korišćenje raspoloživih međunarodnih fondova za ostale segmente implementacije NIP-a.</w:t>
      </w:r>
    </w:p>
    <w:p w14:paraId="61D909E6" w14:textId="77777777" w:rsidR="002B19B1" w:rsidRPr="00C86111" w:rsidRDefault="002B19B1" w:rsidP="00004F34">
      <w:pPr>
        <w:pStyle w:val="Heading1"/>
        <w:numPr>
          <w:ilvl w:val="1"/>
          <w:numId w:val="238"/>
        </w:numPr>
      </w:pPr>
      <w:bookmarkStart w:id="12" w:name="_Toc220541846"/>
      <w:r w:rsidRPr="00C86111">
        <w:t>Usklađenost sa postojećim strateškim okvirom</w:t>
      </w:r>
      <w:bookmarkEnd w:id="12"/>
    </w:p>
    <w:p w14:paraId="5E5DAD05" w14:textId="77777777" w:rsidR="002B19B1" w:rsidRPr="00C86111" w:rsidRDefault="002B19B1" w:rsidP="002B19B1">
      <w:pPr>
        <w:jc w:val="both"/>
        <w:rPr>
          <w:rFonts w:asciiTheme="minorHAnsi" w:hAnsiTheme="minorHAnsi" w:cstheme="minorHAnsi"/>
          <w:b/>
          <w:bCs/>
          <w:szCs w:val="24"/>
        </w:rPr>
      </w:pPr>
    </w:p>
    <w:p w14:paraId="783A2348" w14:textId="649F4B04" w:rsidR="00CC365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Upravljanje perzistentnim organskim zagađivačima (POPs) u Crnoj Gori zasniva se na primjeni međunarodnih obaveza i usklađivanju sa nacionalnim strateškim dokumentima koji uređuju oblast hemikalija, zaštite životne sredine i održivog razvoja. Nacionalni implementacioni plan za POPs (NIP) izrađen je uzimajući u obzir sljedeće strateške i planske dokumente:</w:t>
      </w:r>
    </w:p>
    <w:p w14:paraId="60C5B0CE" w14:textId="58492780" w:rsidR="002B19B1" w:rsidRPr="00912C4C" w:rsidRDefault="002B19B1" w:rsidP="00004F34">
      <w:pPr>
        <w:pStyle w:val="Heading1"/>
        <w:numPr>
          <w:ilvl w:val="2"/>
          <w:numId w:val="238"/>
        </w:numPr>
        <w:jc w:val="both"/>
        <w:rPr>
          <w:rFonts w:asciiTheme="minorHAnsi" w:hAnsiTheme="minorHAnsi" w:cstheme="minorHAnsi"/>
          <w:bCs/>
          <w:color w:val="auto"/>
          <w:szCs w:val="24"/>
        </w:rPr>
      </w:pPr>
      <w:bookmarkStart w:id="13" w:name="_Toc220541847"/>
      <w:r w:rsidRPr="00C86111">
        <w:t>Međunarodni okvir:</w:t>
      </w:r>
      <w:bookmarkEnd w:id="13"/>
    </w:p>
    <w:p w14:paraId="1B1CCB98" w14:textId="77777777" w:rsidR="002B19B1" w:rsidRPr="00C86111" w:rsidRDefault="002B19B1" w:rsidP="00833A40">
      <w:pPr>
        <w:pStyle w:val="ListParagraph"/>
        <w:numPr>
          <w:ilvl w:val="0"/>
          <w:numId w:val="109"/>
        </w:numPr>
        <w:jc w:val="both"/>
        <w:rPr>
          <w:rFonts w:asciiTheme="minorHAnsi" w:hAnsiTheme="minorHAnsi" w:cstheme="minorHAnsi"/>
          <w:b/>
          <w:bCs/>
          <w:color w:val="auto"/>
          <w:szCs w:val="24"/>
        </w:rPr>
      </w:pPr>
      <w:r w:rsidRPr="00C86111">
        <w:rPr>
          <w:rFonts w:asciiTheme="minorHAnsi" w:hAnsiTheme="minorHAnsi" w:cstheme="minorHAnsi"/>
          <w:b/>
          <w:bCs/>
          <w:color w:val="auto"/>
          <w:szCs w:val="24"/>
        </w:rPr>
        <w:t>Strategijski pristup međunarodnom upravljanju hemikalijama (SAICM)</w:t>
      </w:r>
    </w:p>
    <w:p w14:paraId="3E1C76C1" w14:textId="4E0DD06A" w:rsidR="002B19B1" w:rsidRPr="00C86111" w:rsidRDefault="002B19B1" w:rsidP="002B19B1">
      <w:pPr>
        <w:jc w:val="both"/>
        <w:rPr>
          <w:rFonts w:asciiTheme="minorHAnsi" w:hAnsiTheme="minorHAnsi" w:cstheme="minorHAnsi"/>
          <w:b/>
          <w:bCs/>
          <w:color w:val="auto"/>
          <w:szCs w:val="24"/>
        </w:rPr>
      </w:pPr>
      <w:r w:rsidRPr="00C86111">
        <w:rPr>
          <w:rFonts w:asciiTheme="minorHAnsi" w:hAnsiTheme="minorHAnsi" w:cstheme="minorHAnsi"/>
          <w:color w:val="auto"/>
          <w:szCs w:val="24"/>
        </w:rPr>
        <w:t>SAICM postavlja globalni okvir za bezbjedno upravljanje hemikalijama tokom čitavog životnog ciklusa, a posebno naglašava obavezu država da sprovedu procjenu stanja, uspostave adekvatne mehanizme kontrole i izrade nacionalne programe za racionalno upravljanje hemikalijama. NIP je u potpunosti usklađen sa SAICM principima, posebno u dijelu koji se odnosi na identifikaciju prioritetnih hemikalija, razvoj inventara, jačanje institucija i smanjenje rizika od štetnih emisija.</w:t>
      </w:r>
    </w:p>
    <w:p w14:paraId="7F7FA8E2" w14:textId="0D3566B6" w:rsidR="002B19B1" w:rsidRPr="00912C4C" w:rsidRDefault="002B19B1" w:rsidP="00004F34">
      <w:pPr>
        <w:pStyle w:val="Heading1"/>
        <w:numPr>
          <w:ilvl w:val="2"/>
          <w:numId w:val="238"/>
        </w:numPr>
        <w:jc w:val="both"/>
        <w:rPr>
          <w:rFonts w:asciiTheme="minorHAnsi" w:hAnsiTheme="minorHAnsi" w:cstheme="minorHAnsi"/>
          <w:bCs/>
          <w:color w:val="auto"/>
          <w:szCs w:val="24"/>
        </w:rPr>
      </w:pPr>
      <w:bookmarkStart w:id="14" w:name="_Toc220541848"/>
      <w:r w:rsidRPr="00C86111">
        <w:t>Nacionalni okvir:</w:t>
      </w:r>
      <w:bookmarkEnd w:id="14"/>
    </w:p>
    <w:p w14:paraId="5F7EF391" w14:textId="77777777" w:rsidR="002B19B1" w:rsidRPr="00C86111" w:rsidRDefault="002B19B1" w:rsidP="00833A40">
      <w:pPr>
        <w:pStyle w:val="ListParagraph"/>
        <w:numPr>
          <w:ilvl w:val="0"/>
          <w:numId w:val="110"/>
        </w:numPr>
        <w:jc w:val="both"/>
        <w:rPr>
          <w:rFonts w:asciiTheme="minorHAnsi" w:hAnsiTheme="minorHAnsi" w:cstheme="minorHAnsi"/>
          <w:b/>
          <w:bCs/>
          <w:color w:val="auto"/>
          <w:szCs w:val="24"/>
        </w:rPr>
      </w:pPr>
      <w:r w:rsidRPr="00C86111">
        <w:rPr>
          <w:rFonts w:asciiTheme="minorHAnsi" w:hAnsiTheme="minorHAnsi" w:cstheme="minorHAnsi"/>
          <w:b/>
          <w:bCs/>
          <w:color w:val="auto"/>
          <w:szCs w:val="24"/>
        </w:rPr>
        <w:t>Nacionalna strategija upravljanja hemikalijama za period 2024–2026.</w:t>
      </w:r>
    </w:p>
    <w:p w14:paraId="2452D91E"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Ova strategija predstavlja osnovni nacionalni dokument u oblasti hemikalija. Uključuje mjere za inventarizaciju, monitoring, prevenciju emisija, upravljanje otpadom, reciklažu i bezbjedno zbrinjavanje opasnih supstanci. Poseban naglasak stavlja na usklađivanje sa EU propisima, razvoj administrativnih kapaciteta i podršku privredi kroz uvođenje bezbjednijih hemikalija i tehnoloških procesa.</w:t>
      </w:r>
      <w:r w:rsidRPr="00C86111">
        <w:rPr>
          <w:rFonts w:asciiTheme="minorHAnsi" w:hAnsiTheme="minorHAnsi" w:cstheme="minorHAnsi"/>
          <w:color w:val="auto"/>
          <w:szCs w:val="24"/>
        </w:rPr>
        <w:br/>
        <w:t>NIP doprinosi sprovođenju ove strategije kroz ciljane aktivnosti usmjerene na eliminaciju i kontrolu POPs supstanci, koje zbog svoje toksičnosti, postojanosti i bioakumulativnosti zahtijevaju specifične mjere u skladu sa Stokholmskom konvencijom.</w:t>
      </w:r>
    </w:p>
    <w:p w14:paraId="19602CC4" w14:textId="77777777" w:rsidR="002B19B1" w:rsidRPr="00C86111" w:rsidRDefault="002B19B1" w:rsidP="002B19B1">
      <w:pPr>
        <w:jc w:val="both"/>
        <w:rPr>
          <w:rFonts w:asciiTheme="minorHAnsi" w:hAnsiTheme="minorHAnsi" w:cstheme="minorHAnsi"/>
          <w:color w:val="auto"/>
          <w:szCs w:val="24"/>
        </w:rPr>
      </w:pPr>
    </w:p>
    <w:p w14:paraId="19A21F04" w14:textId="77777777" w:rsidR="002B19B1" w:rsidRPr="00C86111" w:rsidRDefault="002B19B1" w:rsidP="00833A40">
      <w:pPr>
        <w:pStyle w:val="ListParagraph"/>
        <w:numPr>
          <w:ilvl w:val="0"/>
          <w:numId w:val="111"/>
        </w:numPr>
        <w:jc w:val="both"/>
        <w:rPr>
          <w:rFonts w:asciiTheme="minorHAnsi" w:hAnsiTheme="minorHAnsi" w:cstheme="minorHAnsi"/>
          <w:b/>
          <w:bCs/>
          <w:color w:val="auto"/>
          <w:szCs w:val="24"/>
        </w:rPr>
      </w:pPr>
      <w:r w:rsidRPr="00C86111">
        <w:rPr>
          <w:rFonts w:asciiTheme="minorHAnsi" w:hAnsiTheme="minorHAnsi" w:cstheme="minorHAnsi"/>
          <w:b/>
          <w:bCs/>
          <w:color w:val="auto"/>
          <w:szCs w:val="24"/>
        </w:rPr>
        <w:t>Program pristupanja Crne Gore Evropskoj uniji (2024–2027.)</w:t>
      </w:r>
    </w:p>
    <w:p w14:paraId="7B8C9EB0" w14:textId="77777777" w:rsidR="002B19B1" w:rsidRPr="00C86111" w:rsidRDefault="002B19B1" w:rsidP="002B19B1">
      <w:pPr>
        <w:rPr>
          <w:rFonts w:asciiTheme="minorHAnsi" w:hAnsiTheme="minorHAnsi" w:cstheme="minorHAnsi"/>
          <w:color w:val="auto"/>
          <w:szCs w:val="24"/>
        </w:rPr>
      </w:pPr>
      <w:r w:rsidRPr="00C86111">
        <w:rPr>
          <w:rFonts w:asciiTheme="minorHAnsi" w:hAnsiTheme="minorHAnsi" w:cstheme="minorHAnsi"/>
          <w:color w:val="auto"/>
          <w:szCs w:val="24"/>
        </w:rPr>
        <w:t>Program pristupanja definiše dinamiku usklađivanja nacionalnog zakonodavstva sa relevantnim EU propisima, uključujući regulative REACH, CLP i EU Uredbu o POPs supstancama. Ovaj dokument predviđa dalje jačanje administrativnih kapaciteta, nadzor nad opasnim supstancama i unapređenje sistema evidencije hemikalija.</w:t>
      </w:r>
      <w:r w:rsidRPr="00C86111">
        <w:rPr>
          <w:rFonts w:asciiTheme="minorHAnsi" w:hAnsiTheme="minorHAnsi" w:cstheme="minorHAnsi"/>
          <w:color w:val="auto"/>
          <w:szCs w:val="24"/>
        </w:rPr>
        <w:br/>
        <w:t>NIP je usklađen sa ovim procesima, posebno u segmentima koji se odnose na monitoring POPs emisija, sprovođenje mjera za zaštitu zdravlja i životne sredine te harmonizaciju sa evropskim standardima.</w:t>
      </w:r>
    </w:p>
    <w:p w14:paraId="75694B11" w14:textId="77777777" w:rsidR="006830BB" w:rsidRDefault="006830BB" w:rsidP="002B19B1">
      <w:pPr>
        <w:jc w:val="both"/>
        <w:rPr>
          <w:rFonts w:asciiTheme="minorHAnsi" w:hAnsiTheme="minorHAnsi" w:cstheme="minorHAnsi"/>
          <w:color w:val="auto"/>
          <w:szCs w:val="24"/>
        </w:rPr>
      </w:pPr>
    </w:p>
    <w:p w14:paraId="7893A7E8" w14:textId="77777777" w:rsidR="00912C4C" w:rsidRDefault="00912C4C" w:rsidP="002B19B1">
      <w:pPr>
        <w:jc w:val="both"/>
        <w:rPr>
          <w:rFonts w:asciiTheme="minorHAnsi" w:hAnsiTheme="minorHAnsi" w:cstheme="minorHAnsi"/>
          <w:color w:val="auto"/>
          <w:szCs w:val="24"/>
        </w:rPr>
      </w:pPr>
    </w:p>
    <w:p w14:paraId="5940C000" w14:textId="77777777" w:rsidR="00912C4C" w:rsidRPr="00C86111" w:rsidRDefault="00912C4C" w:rsidP="002B19B1">
      <w:pPr>
        <w:jc w:val="both"/>
        <w:rPr>
          <w:rFonts w:asciiTheme="minorHAnsi" w:hAnsiTheme="minorHAnsi" w:cstheme="minorHAnsi"/>
          <w:color w:val="auto"/>
          <w:szCs w:val="24"/>
        </w:rPr>
      </w:pPr>
    </w:p>
    <w:p w14:paraId="0235C148" w14:textId="77777777" w:rsidR="002B19B1" w:rsidRPr="00C86111" w:rsidRDefault="002B19B1" w:rsidP="00833A40">
      <w:pPr>
        <w:pStyle w:val="ListParagraph"/>
        <w:numPr>
          <w:ilvl w:val="0"/>
          <w:numId w:val="112"/>
        </w:numPr>
        <w:jc w:val="both"/>
        <w:rPr>
          <w:rFonts w:asciiTheme="minorHAnsi" w:hAnsiTheme="minorHAnsi" w:cstheme="minorHAnsi"/>
          <w:b/>
          <w:bCs/>
          <w:color w:val="auto"/>
          <w:szCs w:val="24"/>
        </w:rPr>
      </w:pPr>
      <w:r w:rsidRPr="00C86111">
        <w:rPr>
          <w:rFonts w:asciiTheme="minorHAnsi" w:hAnsiTheme="minorHAnsi" w:cstheme="minorHAnsi"/>
          <w:b/>
          <w:bCs/>
          <w:color w:val="auto"/>
          <w:szCs w:val="24"/>
        </w:rPr>
        <w:lastRenderedPageBreak/>
        <w:t>Akcioni plan za ispunjavanje završnih mjerila u pregovaračkom poglavlju 27 – Životna sredina i klimatske promjene</w:t>
      </w:r>
    </w:p>
    <w:p w14:paraId="63449310" w14:textId="77777777" w:rsidR="002B19B1" w:rsidRPr="00C86111" w:rsidRDefault="002B19B1" w:rsidP="002B19B1">
      <w:pPr>
        <w:pStyle w:val="ListParagraph"/>
        <w:jc w:val="both"/>
        <w:rPr>
          <w:rFonts w:asciiTheme="minorHAnsi" w:hAnsiTheme="minorHAnsi" w:cstheme="minorHAnsi"/>
          <w:b/>
          <w:bCs/>
          <w:color w:val="auto"/>
          <w:szCs w:val="24"/>
        </w:rPr>
      </w:pPr>
    </w:p>
    <w:p w14:paraId="58CAB796"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Akcioni plan definiše niz obaveza u oblasti hemikalija, od kojih je značajan broj direktno povezan sa POPs supstancama. U oblasti upravljanja POPs hemikalijama predviđeno je sprovođenje 27 aktivnosti, uključujući:</w:t>
      </w:r>
    </w:p>
    <w:p w14:paraId="73F1E01D" w14:textId="77777777" w:rsidR="002B19B1" w:rsidRPr="00C86111" w:rsidRDefault="002B19B1" w:rsidP="007E2AA5">
      <w:pPr>
        <w:numPr>
          <w:ilvl w:val="0"/>
          <w:numId w:val="12"/>
        </w:numPr>
        <w:jc w:val="both"/>
        <w:rPr>
          <w:rFonts w:asciiTheme="minorHAnsi" w:hAnsiTheme="minorHAnsi" w:cstheme="minorHAnsi"/>
          <w:color w:val="auto"/>
          <w:szCs w:val="24"/>
        </w:rPr>
      </w:pPr>
      <w:r w:rsidRPr="00C86111">
        <w:rPr>
          <w:rFonts w:asciiTheme="minorHAnsi" w:hAnsiTheme="minorHAnsi" w:cstheme="minorHAnsi"/>
          <w:color w:val="auto"/>
          <w:szCs w:val="24"/>
        </w:rPr>
        <w:t>realizaciju projekta „Održivo ekološko upravljanje PCB-jem u Crnoj Gori“,</w:t>
      </w:r>
    </w:p>
    <w:p w14:paraId="212FA495" w14:textId="77777777" w:rsidR="002B19B1" w:rsidRPr="00C86111" w:rsidRDefault="002B19B1" w:rsidP="007E2AA5">
      <w:pPr>
        <w:numPr>
          <w:ilvl w:val="0"/>
          <w:numId w:val="12"/>
        </w:numPr>
        <w:jc w:val="both"/>
        <w:rPr>
          <w:rFonts w:asciiTheme="minorHAnsi" w:hAnsiTheme="minorHAnsi" w:cstheme="minorHAnsi"/>
          <w:color w:val="auto"/>
          <w:szCs w:val="24"/>
        </w:rPr>
      </w:pPr>
      <w:r w:rsidRPr="00C86111">
        <w:rPr>
          <w:rFonts w:asciiTheme="minorHAnsi" w:hAnsiTheme="minorHAnsi" w:cstheme="minorHAnsi"/>
          <w:color w:val="auto"/>
          <w:szCs w:val="24"/>
        </w:rPr>
        <w:t>ažuriranje inventara PCB i drugih POPs supstanci,</w:t>
      </w:r>
    </w:p>
    <w:p w14:paraId="3BC9BF45" w14:textId="77777777" w:rsidR="002B19B1" w:rsidRPr="00C86111" w:rsidRDefault="002B19B1" w:rsidP="007E2AA5">
      <w:pPr>
        <w:numPr>
          <w:ilvl w:val="0"/>
          <w:numId w:val="12"/>
        </w:numPr>
        <w:jc w:val="both"/>
        <w:rPr>
          <w:rFonts w:asciiTheme="minorHAnsi" w:hAnsiTheme="minorHAnsi" w:cstheme="minorHAnsi"/>
          <w:color w:val="auto"/>
          <w:szCs w:val="24"/>
        </w:rPr>
      </w:pPr>
      <w:r w:rsidRPr="00C86111">
        <w:rPr>
          <w:rFonts w:asciiTheme="minorHAnsi" w:hAnsiTheme="minorHAnsi" w:cstheme="minorHAnsi"/>
          <w:color w:val="auto"/>
          <w:szCs w:val="24"/>
        </w:rPr>
        <w:t>identifikovanje izvora finansiranja i sprovođenje trajnog zbrinjavanja preostalih količina PCB,</w:t>
      </w:r>
    </w:p>
    <w:p w14:paraId="45BB9D6C" w14:textId="77777777" w:rsidR="002B19B1" w:rsidRPr="00C86111" w:rsidRDefault="002B19B1" w:rsidP="007E2AA5">
      <w:pPr>
        <w:numPr>
          <w:ilvl w:val="0"/>
          <w:numId w:val="12"/>
        </w:numPr>
        <w:jc w:val="both"/>
        <w:rPr>
          <w:rFonts w:asciiTheme="minorHAnsi" w:hAnsiTheme="minorHAnsi" w:cstheme="minorHAnsi"/>
          <w:color w:val="auto"/>
          <w:szCs w:val="24"/>
        </w:rPr>
      </w:pPr>
      <w:r w:rsidRPr="00C86111">
        <w:rPr>
          <w:rFonts w:asciiTheme="minorHAnsi" w:hAnsiTheme="minorHAnsi" w:cstheme="minorHAnsi"/>
          <w:color w:val="auto"/>
          <w:szCs w:val="24"/>
        </w:rPr>
        <w:t>unapređenje monitoringa ispuštanja POPs u vodu, kao i monitoringa emisija u vazduh i zemljište,</w:t>
      </w:r>
    </w:p>
    <w:p w14:paraId="49930C87" w14:textId="77777777" w:rsidR="002B19B1" w:rsidRPr="00C86111" w:rsidRDefault="002B19B1" w:rsidP="007E2AA5">
      <w:pPr>
        <w:numPr>
          <w:ilvl w:val="0"/>
          <w:numId w:val="12"/>
        </w:numPr>
        <w:jc w:val="both"/>
        <w:rPr>
          <w:rFonts w:asciiTheme="minorHAnsi" w:hAnsiTheme="minorHAnsi" w:cstheme="minorHAnsi"/>
          <w:color w:val="auto"/>
          <w:szCs w:val="24"/>
        </w:rPr>
      </w:pPr>
      <w:r w:rsidRPr="00C86111">
        <w:rPr>
          <w:rFonts w:asciiTheme="minorHAnsi" w:hAnsiTheme="minorHAnsi" w:cstheme="minorHAnsi"/>
          <w:color w:val="auto"/>
          <w:szCs w:val="24"/>
        </w:rPr>
        <w:t>jačanje kapaciteta nadležnih institucija.</w:t>
      </w:r>
    </w:p>
    <w:p w14:paraId="29547E25"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Sve predviđene mjere direktno doprinose realizaciji ciljeva NIP-a, posebno u dijelu identifikacije, nadzora, smanjenja emisija i bezbjednog zbrinjavanja POPs otpada.</w:t>
      </w:r>
    </w:p>
    <w:p w14:paraId="297828E2" w14:textId="77777777" w:rsidR="002B19B1" w:rsidRPr="00C86111" w:rsidRDefault="002B19B1" w:rsidP="002B19B1">
      <w:pPr>
        <w:jc w:val="both"/>
        <w:rPr>
          <w:rFonts w:asciiTheme="minorHAnsi" w:hAnsiTheme="minorHAnsi" w:cstheme="minorHAnsi"/>
          <w:color w:val="auto"/>
          <w:szCs w:val="24"/>
        </w:rPr>
      </w:pPr>
    </w:p>
    <w:p w14:paraId="01C53EF8" w14:textId="77777777" w:rsidR="002B19B1" w:rsidRPr="00C86111" w:rsidRDefault="002B19B1" w:rsidP="00833A40">
      <w:pPr>
        <w:pStyle w:val="ListParagraph"/>
        <w:numPr>
          <w:ilvl w:val="0"/>
          <w:numId w:val="113"/>
        </w:numPr>
        <w:jc w:val="both"/>
        <w:rPr>
          <w:rFonts w:asciiTheme="minorHAnsi" w:hAnsiTheme="minorHAnsi" w:cstheme="minorHAnsi"/>
          <w:b/>
          <w:bCs/>
          <w:color w:val="auto"/>
          <w:szCs w:val="24"/>
        </w:rPr>
      </w:pPr>
      <w:r w:rsidRPr="00C86111">
        <w:rPr>
          <w:rFonts w:asciiTheme="minorHAnsi" w:hAnsiTheme="minorHAnsi" w:cstheme="minorHAnsi"/>
          <w:b/>
          <w:bCs/>
          <w:color w:val="auto"/>
          <w:szCs w:val="24"/>
        </w:rPr>
        <w:t>Nacionalna strategija održivog razvoja do 2030. Godine</w:t>
      </w:r>
    </w:p>
    <w:p w14:paraId="070D73E8" w14:textId="77777777" w:rsidR="002B19B1" w:rsidRPr="00C86111" w:rsidRDefault="002B19B1" w:rsidP="002B19B1">
      <w:pPr>
        <w:pStyle w:val="ListParagraph"/>
        <w:jc w:val="both"/>
        <w:rPr>
          <w:rFonts w:asciiTheme="minorHAnsi" w:hAnsiTheme="minorHAnsi" w:cstheme="minorHAnsi"/>
          <w:b/>
          <w:bCs/>
          <w:color w:val="auto"/>
          <w:szCs w:val="24"/>
        </w:rPr>
      </w:pPr>
    </w:p>
    <w:p w14:paraId="2A244D86"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Nacionalna strategija održivog razvoja (NSOR) definiše ključne smjernice za integraciju zaštite životne sredine, javnog zdravlja i održivog korišćenja resursa u sve sektorske politike. Poseban značaj ima oblast bezbjednog upravljanja hemikalijama, koja je direktno povezana sa ciljevima održivog razvoja, naročito SDG 12 (održiva potrošnja i proizvodnja), SDG 3 (zdravlje i blagostanje), SDG 9 (industrija, inovacije i infrastruktura) i SDG 11 (održivi gradovi i zajednice).</w:t>
      </w:r>
      <w:r w:rsidRPr="00C86111">
        <w:rPr>
          <w:rFonts w:asciiTheme="minorHAnsi" w:hAnsiTheme="minorHAnsi" w:cstheme="minorHAnsi"/>
          <w:color w:val="auto"/>
          <w:szCs w:val="24"/>
        </w:rPr>
        <w:br/>
        <w:t>Implementacija NIP-a doprinosi ostvarenju ovih ciljeva kroz:</w:t>
      </w:r>
    </w:p>
    <w:p w14:paraId="4DBEC7AA" w14:textId="77777777" w:rsidR="002B19B1" w:rsidRPr="00C86111" w:rsidRDefault="002B19B1" w:rsidP="007E2AA5">
      <w:pPr>
        <w:numPr>
          <w:ilvl w:val="0"/>
          <w:numId w:val="13"/>
        </w:numPr>
        <w:jc w:val="both"/>
        <w:rPr>
          <w:rFonts w:asciiTheme="minorHAnsi" w:hAnsiTheme="minorHAnsi" w:cstheme="minorHAnsi"/>
          <w:color w:val="auto"/>
          <w:szCs w:val="24"/>
        </w:rPr>
      </w:pPr>
      <w:r w:rsidRPr="00C86111">
        <w:rPr>
          <w:rFonts w:asciiTheme="minorHAnsi" w:hAnsiTheme="minorHAnsi" w:cstheme="minorHAnsi"/>
          <w:color w:val="auto"/>
          <w:szCs w:val="24"/>
        </w:rPr>
        <w:t>smanjenje rizika od štetnih hemikalija,</w:t>
      </w:r>
    </w:p>
    <w:p w14:paraId="2AFEA5FB" w14:textId="77777777" w:rsidR="002B19B1" w:rsidRPr="00C86111" w:rsidRDefault="002B19B1" w:rsidP="007E2AA5">
      <w:pPr>
        <w:numPr>
          <w:ilvl w:val="0"/>
          <w:numId w:val="13"/>
        </w:numPr>
        <w:jc w:val="both"/>
        <w:rPr>
          <w:rFonts w:asciiTheme="minorHAnsi" w:hAnsiTheme="minorHAnsi" w:cstheme="minorHAnsi"/>
          <w:color w:val="auto"/>
          <w:szCs w:val="24"/>
        </w:rPr>
      </w:pPr>
      <w:r w:rsidRPr="00C86111">
        <w:rPr>
          <w:rFonts w:asciiTheme="minorHAnsi" w:hAnsiTheme="minorHAnsi" w:cstheme="minorHAnsi"/>
          <w:color w:val="auto"/>
          <w:szCs w:val="24"/>
        </w:rPr>
        <w:t>kontrolu emisija i ispuštanja u životnu sredinu,</w:t>
      </w:r>
    </w:p>
    <w:p w14:paraId="0632487B" w14:textId="77777777" w:rsidR="002B19B1" w:rsidRPr="00C86111" w:rsidRDefault="002B19B1" w:rsidP="007E2AA5">
      <w:pPr>
        <w:numPr>
          <w:ilvl w:val="0"/>
          <w:numId w:val="13"/>
        </w:numPr>
        <w:jc w:val="both"/>
        <w:rPr>
          <w:rFonts w:asciiTheme="minorHAnsi" w:hAnsiTheme="minorHAnsi" w:cstheme="minorHAnsi"/>
          <w:color w:val="auto"/>
          <w:szCs w:val="24"/>
        </w:rPr>
      </w:pPr>
      <w:r w:rsidRPr="00C86111">
        <w:rPr>
          <w:rFonts w:asciiTheme="minorHAnsi" w:hAnsiTheme="minorHAnsi" w:cstheme="minorHAnsi"/>
          <w:color w:val="auto"/>
          <w:szCs w:val="24"/>
        </w:rPr>
        <w:t>eliminaciju ili ograničavanje upotrebe POPs supstanci,</w:t>
      </w:r>
    </w:p>
    <w:p w14:paraId="5213564C" w14:textId="77777777" w:rsidR="002B19B1" w:rsidRPr="00C86111" w:rsidRDefault="002B19B1" w:rsidP="007E2AA5">
      <w:pPr>
        <w:numPr>
          <w:ilvl w:val="0"/>
          <w:numId w:val="13"/>
        </w:numPr>
        <w:jc w:val="both"/>
        <w:rPr>
          <w:rFonts w:asciiTheme="minorHAnsi" w:hAnsiTheme="minorHAnsi" w:cstheme="minorHAnsi"/>
          <w:color w:val="auto"/>
          <w:szCs w:val="24"/>
        </w:rPr>
      </w:pPr>
      <w:r w:rsidRPr="00C86111">
        <w:rPr>
          <w:rFonts w:asciiTheme="minorHAnsi" w:hAnsiTheme="minorHAnsi" w:cstheme="minorHAnsi"/>
          <w:color w:val="auto"/>
          <w:szCs w:val="24"/>
        </w:rPr>
        <w:t>podršku prelasku na održive tehnologije i proizvode.</w:t>
      </w:r>
    </w:p>
    <w:p w14:paraId="4AE2839E"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Polazeći od navedenih strateških okvira, Nacionalni implementacioni plan za POPs doprinosi:</w:t>
      </w:r>
    </w:p>
    <w:p w14:paraId="6EE00E5A"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sprovođenju međunarodnih obaveza iz Stokholmske konvencije,</w:t>
      </w:r>
    </w:p>
    <w:p w14:paraId="24937740"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jačanju sistema upravljanja hemikalijama u skladu sa zahtjevima EU,</w:t>
      </w:r>
    </w:p>
    <w:p w14:paraId="4852A319"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smanjenju rizika po zdravlje ljudi i životnu sredinu,</w:t>
      </w:r>
    </w:p>
    <w:p w14:paraId="2547CF8C"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ostvarenju ciljeva održivog razvoja,</w:t>
      </w:r>
    </w:p>
    <w:p w14:paraId="4EF2030D"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unapređenju konkurentnosti privrede kroz uvođenje bezbjednijih supstanci i tehnologija.</w:t>
      </w:r>
    </w:p>
    <w:p w14:paraId="356BF7B8" w14:textId="77777777" w:rsidR="002B19B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NIP se nadovezuje na postojeće strategije i planove, dopunjuje ih specifičnim mjerama za POPs hemikalije i daje jasan okvir za njihovu eliminaciju, monitoring i ekološki prihvatljivo upravljanje u narednom planskom periodu.</w:t>
      </w:r>
    </w:p>
    <w:p w14:paraId="5C9D26BD" w14:textId="77777777" w:rsidR="006830BB" w:rsidRPr="00C86111" w:rsidRDefault="006830BB" w:rsidP="002B19B1">
      <w:pPr>
        <w:jc w:val="both"/>
        <w:rPr>
          <w:rFonts w:asciiTheme="minorHAnsi" w:hAnsiTheme="minorHAnsi" w:cstheme="minorHAnsi"/>
          <w:color w:val="auto"/>
          <w:szCs w:val="24"/>
        </w:rPr>
      </w:pPr>
    </w:p>
    <w:p w14:paraId="0A0B1A33" w14:textId="77777777" w:rsidR="002B19B1" w:rsidRDefault="002B19B1" w:rsidP="002B19B1">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Dodatni strateški dokumenti</w:t>
      </w:r>
    </w:p>
    <w:p w14:paraId="2CFC6770" w14:textId="77777777" w:rsidR="006830BB" w:rsidRPr="00C86111" w:rsidRDefault="006830BB" w:rsidP="002B19B1">
      <w:pPr>
        <w:jc w:val="both"/>
        <w:rPr>
          <w:rFonts w:asciiTheme="minorHAnsi" w:hAnsiTheme="minorHAnsi" w:cstheme="minorHAnsi"/>
          <w:b/>
          <w:bCs/>
          <w:color w:val="auto"/>
          <w:szCs w:val="24"/>
        </w:rPr>
      </w:pPr>
    </w:p>
    <w:p w14:paraId="66F8CD86"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NIP je također usklađen sa relevantnim nacionalnim politikama i strategijama koje doprinose održivom upravljanju hemikalijama i opasnim otpadom:</w:t>
      </w:r>
    </w:p>
    <w:p w14:paraId="71F173F4" w14:textId="77777777" w:rsidR="002B19B1" w:rsidRPr="00C86111" w:rsidRDefault="002B19B1" w:rsidP="00833A40">
      <w:pPr>
        <w:numPr>
          <w:ilvl w:val="0"/>
          <w:numId w:val="114"/>
        </w:numPr>
        <w:jc w:val="both"/>
        <w:rPr>
          <w:rFonts w:asciiTheme="minorHAnsi" w:hAnsiTheme="minorHAnsi" w:cstheme="minorHAnsi"/>
          <w:color w:val="auto"/>
          <w:szCs w:val="24"/>
        </w:rPr>
      </w:pPr>
      <w:r w:rsidRPr="00C86111">
        <w:rPr>
          <w:rFonts w:asciiTheme="minorHAnsi" w:hAnsiTheme="minorHAnsi" w:cstheme="minorHAnsi"/>
          <w:b/>
          <w:bCs/>
          <w:color w:val="auto"/>
          <w:szCs w:val="24"/>
        </w:rPr>
        <w:t>Strategija upravljanja otpadom do 2030.</w:t>
      </w:r>
      <w:r w:rsidRPr="00C86111">
        <w:rPr>
          <w:rFonts w:asciiTheme="minorHAnsi" w:hAnsiTheme="minorHAnsi" w:cstheme="minorHAnsi"/>
          <w:color w:val="auto"/>
          <w:szCs w:val="24"/>
        </w:rPr>
        <w:t xml:space="preserve"> – definiše ciljeve za održivo upravljanje otpadom, uključujući opasan otpad i POPs supstance.</w:t>
      </w:r>
    </w:p>
    <w:p w14:paraId="56FA5585" w14:textId="77777777" w:rsidR="002B19B1" w:rsidRPr="00C86111" w:rsidRDefault="002B19B1" w:rsidP="00833A40">
      <w:pPr>
        <w:numPr>
          <w:ilvl w:val="0"/>
          <w:numId w:val="114"/>
        </w:numPr>
        <w:jc w:val="both"/>
        <w:rPr>
          <w:rFonts w:asciiTheme="minorHAnsi" w:hAnsiTheme="minorHAnsi" w:cstheme="minorHAnsi"/>
          <w:color w:val="auto"/>
          <w:szCs w:val="24"/>
        </w:rPr>
      </w:pPr>
      <w:r w:rsidRPr="00C86111">
        <w:rPr>
          <w:rFonts w:asciiTheme="minorHAnsi" w:hAnsiTheme="minorHAnsi" w:cstheme="minorHAnsi"/>
          <w:b/>
          <w:bCs/>
          <w:color w:val="auto"/>
          <w:szCs w:val="24"/>
        </w:rPr>
        <w:lastRenderedPageBreak/>
        <w:t>Nacionalna strategija cirkularne tranzicije do 2030.</w:t>
      </w:r>
      <w:r w:rsidRPr="00C86111">
        <w:rPr>
          <w:rFonts w:asciiTheme="minorHAnsi" w:hAnsiTheme="minorHAnsi" w:cstheme="minorHAnsi"/>
          <w:color w:val="auto"/>
          <w:szCs w:val="24"/>
        </w:rPr>
        <w:t xml:space="preserve"> – promoviše unapređenje tehnoloških procesa, odgovorno upravljanje otpadom i podizanje svijesti o principima cirkularne ekonomije.</w:t>
      </w:r>
    </w:p>
    <w:p w14:paraId="5CAFAF26" w14:textId="77777777" w:rsidR="002B19B1" w:rsidRPr="00C86111" w:rsidRDefault="002B19B1" w:rsidP="00833A40">
      <w:pPr>
        <w:numPr>
          <w:ilvl w:val="0"/>
          <w:numId w:val="114"/>
        </w:numPr>
        <w:jc w:val="both"/>
        <w:rPr>
          <w:rFonts w:asciiTheme="minorHAnsi" w:hAnsiTheme="minorHAnsi" w:cstheme="minorHAnsi"/>
          <w:color w:val="auto"/>
          <w:szCs w:val="24"/>
        </w:rPr>
      </w:pPr>
      <w:r w:rsidRPr="00C86111">
        <w:rPr>
          <w:rFonts w:asciiTheme="minorHAnsi" w:hAnsiTheme="minorHAnsi" w:cstheme="minorHAnsi"/>
          <w:b/>
          <w:bCs/>
          <w:color w:val="auto"/>
          <w:szCs w:val="24"/>
        </w:rPr>
        <w:t>Industrijska politika Crne Gore 2019–2023.</w:t>
      </w:r>
      <w:r w:rsidRPr="00C86111">
        <w:rPr>
          <w:rFonts w:asciiTheme="minorHAnsi" w:hAnsiTheme="minorHAnsi" w:cstheme="minorHAnsi"/>
          <w:color w:val="auto"/>
          <w:szCs w:val="24"/>
        </w:rPr>
        <w:t xml:space="preserve"> – podržava zelenu ekonomiju kroz unaprjeđenje zakonodavnog okvira, identifikaciju postrojenja koja podležu regulativi, sanaciju industrijskog otpada, uvođenje međunarodnih ekoloških standarda i ekološki prihvatljivo zbrinjavanje otpada.</w:t>
      </w:r>
    </w:p>
    <w:p w14:paraId="5ADF2ADB" w14:textId="77777777" w:rsidR="002B19B1" w:rsidRPr="00C86111" w:rsidRDefault="002B19B1" w:rsidP="00833A40">
      <w:pPr>
        <w:numPr>
          <w:ilvl w:val="0"/>
          <w:numId w:val="114"/>
        </w:numPr>
        <w:jc w:val="both"/>
        <w:rPr>
          <w:rFonts w:asciiTheme="minorHAnsi" w:hAnsiTheme="minorHAnsi" w:cstheme="minorHAnsi"/>
          <w:color w:val="auto"/>
          <w:szCs w:val="24"/>
        </w:rPr>
      </w:pPr>
      <w:r w:rsidRPr="00C86111">
        <w:rPr>
          <w:rFonts w:asciiTheme="minorHAnsi" w:hAnsiTheme="minorHAnsi" w:cstheme="minorHAnsi"/>
          <w:b/>
          <w:bCs/>
          <w:color w:val="auto"/>
          <w:szCs w:val="24"/>
        </w:rPr>
        <w:t>Strategija za smanjenje rizika od katastrofa 2018–2023.</w:t>
      </w:r>
      <w:r w:rsidRPr="00C86111">
        <w:rPr>
          <w:rFonts w:asciiTheme="minorHAnsi" w:hAnsiTheme="minorHAnsi" w:cstheme="minorHAnsi"/>
          <w:color w:val="auto"/>
          <w:szCs w:val="24"/>
        </w:rPr>
        <w:t xml:space="preserve"> – adresira hemijske akcidente i osigurava odgovarajući sistem zaštite i odgovora u kriznim situacijama.</w:t>
      </w:r>
    </w:p>
    <w:p w14:paraId="3E7BFC89" w14:textId="77777777" w:rsidR="002B19B1" w:rsidRPr="00C86111" w:rsidRDefault="002B19B1" w:rsidP="00833A40">
      <w:pPr>
        <w:numPr>
          <w:ilvl w:val="0"/>
          <w:numId w:val="114"/>
        </w:numPr>
        <w:jc w:val="both"/>
        <w:rPr>
          <w:rFonts w:asciiTheme="minorHAnsi" w:hAnsiTheme="minorHAnsi" w:cstheme="minorHAnsi"/>
          <w:color w:val="auto"/>
          <w:szCs w:val="24"/>
        </w:rPr>
      </w:pPr>
      <w:r w:rsidRPr="00C86111">
        <w:rPr>
          <w:rFonts w:asciiTheme="minorHAnsi" w:hAnsiTheme="minorHAnsi" w:cstheme="minorHAnsi"/>
          <w:b/>
          <w:bCs/>
          <w:color w:val="auto"/>
          <w:szCs w:val="24"/>
        </w:rPr>
        <w:t>Strategija za unaprjeđenje zaštite i zdravlja na radu 2022–2027.</w:t>
      </w:r>
      <w:r w:rsidRPr="00C86111">
        <w:rPr>
          <w:rFonts w:asciiTheme="minorHAnsi" w:hAnsiTheme="minorHAnsi" w:cstheme="minorHAnsi"/>
          <w:color w:val="auto"/>
          <w:szCs w:val="24"/>
        </w:rPr>
        <w:t xml:space="preserve"> – predviđa prevenciju štetnog djelovanja hemikalija na zaposlenima i smanjenje rizika od profesionalnih bolesti i povreda.</w:t>
      </w:r>
    </w:p>
    <w:p w14:paraId="3593D99B" w14:textId="77777777" w:rsidR="002B19B1" w:rsidRPr="00C86111" w:rsidRDefault="002B19B1" w:rsidP="00833A40">
      <w:pPr>
        <w:numPr>
          <w:ilvl w:val="0"/>
          <w:numId w:val="114"/>
        </w:numPr>
        <w:jc w:val="both"/>
        <w:rPr>
          <w:rFonts w:asciiTheme="minorHAnsi" w:hAnsiTheme="minorHAnsi" w:cstheme="minorHAnsi"/>
          <w:color w:val="auto"/>
          <w:szCs w:val="24"/>
        </w:rPr>
      </w:pPr>
      <w:r w:rsidRPr="00C86111">
        <w:rPr>
          <w:rFonts w:asciiTheme="minorHAnsi" w:hAnsiTheme="minorHAnsi" w:cstheme="minorHAnsi"/>
          <w:b/>
          <w:bCs/>
          <w:color w:val="auto"/>
          <w:szCs w:val="24"/>
        </w:rPr>
        <w:t>Nacionalni plan za održivu upotrebu sredstava za zaštitu bilja 2021–2026.</w:t>
      </w:r>
      <w:r w:rsidRPr="00C86111">
        <w:rPr>
          <w:rFonts w:asciiTheme="minorHAnsi" w:hAnsiTheme="minorHAnsi" w:cstheme="minorHAnsi"/>
          <w:color w:val="auto"/>
          <w:szCs w:val="24"/>
        </w:rPr>
        <w:t xml:space="preserve"> – promoviše odgovornu upotrebu pesticida, edukaciju poljoprivrednika i primjenu principa integralnog suzbijanja štetnih organizama.</w:t>
      </w:r>
    </w:p>
    <w:p w14:paraId="040FCDE1" w14:textId="77777777" w:rsidR="002B19B1" w:rsidRPr="00C86111" w:rsidRDefault="002B19B1" w:rsidP="002B19B1">
      <w:pPr>
        <w:jc w:val="both"/>
        <w:rPr>
          <w:rFonts w:asciiTheme="minorHAnsi" w:hAnsiTheme="minorHAnsi" w:cstheme="minorHAnsi"/>
          <w:color w:val="auto"/>
          <w:szCs w:val="24"/>
        </w:rPr>
      </w:pPr>
    </w:p>
    <w:p w14:paraId="6D59D78C" w14:textId="77777777" w:rsidR="002B19B1" w:rsidRPr="00C86111" w:rsidRDefault="002B19B1" w:rsidP="002B19B1">
      <w:pPr>
        <w:jc w:val="both"/>
        <w:rPr>
          <w:rFonts w:asciiTheme="minorHAnsi" w:hAnsiTheme="minorHAnsi" w:cstheme="minorHAnsi"/>
          <w:color w:val="auto"/>
          <w:szCs w:val="24"/>
        </w:rPr>
      </w:pPr>
      <w:r w:rsidRPr="00C86111">
        <w:rPr>
          <w:rFonts w:asciiTheme="minorHAnsi" w:hAnsiTheme="minorHAnsi" w:cstheme="minorHAnsi"/>
          <w:color w:val="auto"/>
          <w:szCs w:val="24"/>
        </w:rPr>
        <w:t>Ovim pristupom Crna Gora osigurava koordinisanu, integrisanu i dugoročnu strategiju upravljanja POPs supstancama i drugim opasnim hemikalijama, doprinoseći sigurnijem, ekološki prihvatljivom i održivom sistemu zaštite životne sredine i javnog zdravlja.</w:t>
      </w:r>
    </w:p>
    <w:p w14:paraId="524A6AD0" w14:textId="77777777" w:rsidR="00A12257" w:rsidRPr="00C86111" w:rsidRDefault="00A12257" w:rsidP="002B19B1">
      <w:pPr>
        <w:jc w:val="both"/>
        <w:rPr>
          <w:rFonts w:asciiTheme="minorHAnsi" w:hAnsiTheme="minorHAnsi" w:cstheme="minorHAnsi"/>
          <w:color w:val="auto"/>
          <w:szCs w:val="24"/>
        </w:rPr>
      </w:pPr>
    </w:p>
    <w:p w14:paraId="2645038E" w14:textId="77777777" w:rsidR="00A12257" w:rsidRPr="00C86111" w:rsidRDefault="00A12257" w:rsidP="002B19B1">
      <w:pPr>
        <w:jc w:val="both"/>
        <w:rPr>
          <w:rFonts w:asciiTheme="minorHAnsi" w:hAnsiTheme="minorHAnsi" w:cstheme="minorHAnsi"/>
          <w:color w:val="auto"/>
          <w:szCs w:val="24"/>
        </w:rPr>
      </w:pPr>
    </w:p>
    <w:p w14:paraId="433A05FF" w14:textId="77777777" w:rsidR="00A12257" w:rsidRPr="00C86111" w:rsidRDefault="00A12257" w:rsidP="002B19B1">
      <w:pPr>
        <w:jc w:val="both"/>
        <w:rPr>
          <w:rFonts w:asciiTheme="minorHAnsi" w:hAnsiTheme="minorHAnsi" w:cstheme="minorHAnsi"/>
          <w:color w:val="auto"/>
          <w:szCs w:val="24"/>
        </w:rPr>
      </w:pPr>
    </w:p>
    <w:p w14:paraId="67D8332F" w14:textId="77777777" w:rsidR="00A12257" w:rsidRPr="00C86111" w:rsidRDefault="00A12257" w:rsidP="002B19B1">
      <w:pPr>
        <w:jc w:val="both"/>
        <w:rPr>
          <w:rFonts w:asciiTheme="minorHAnsi" w:hAnsiTheme="minorHAnsi" w:cstheme="minorHAnsi"/>
          <w:color w:val="auto"/>
          <w:szCs w:val="24"/>
        </w:rPr>
      </w:pPr>
    </w:p>
    <w:p w14:paraId="1AFEA6C8" w14:textId="77777777" w:rsidR="00A12257" w:rsidRPr="00C86111" w:rsidRDefault="00A12257" w:rsidP="002B19B1">
      <w:pPr>
        <w:jc w:val="both"/>
        <w:rPr>
          <w:rFonts w:asciiTheme="minorHAnsi" w:hAnsiTheme="minorHAnsi" w:cstheme="minorHAnsi"/>
          <w:color w:val="auto"/>
          <w:szCs w:val="24"/>
        </w:rPr>
      </w:pPr>
    </w:p>
    <w:p w14:paraId="5F531116" w14:textId="77777777" w:rsidR="00A12257" w:rsidRPr="00C86111" w:rsidRDefault="00A12257" w:rsidP="002B19B1">
      <w:pPr>
        <w:jc w:val="both"/>
        <w:rPr>
          <w:rFonts w:asciiTheme="minorHAnsi" w:hAnsiTheme="minorHAnsi" w:cstheme="minorHAnsi"/>
          <w:color w:val="auto"/>
          <w:szCs w:val="24"/>
        </w:rPr>
      </w:pPr>
    </w:p>
    <w:p w14:paraId="322AB195" w14:textId="77777777" w:rsidR="00A12257" w:rsidRPr="00C86111" w:rsidRDefault="00A12257" w:rsidP="002B19B1">
      <w:pPr>
        <w:jc w:val="both"/>
        <w:rPr>
          <w:rFonts w:asciiTheme="minorHAnsi" w:hAnsiTheme="minorHAnsi" w:cstheme="minorHAnsi"/>
          <w:color w:val="auto"/>
          <w:szCs w:val="24"/>
        </w:rPr>
      </w:pPr>
    </w:p>
    <w:p w14:paraId="27BF436C" w14:textId="77777777" w:rsidR="00A12257" w:rsidRPr="00C86111" w:rsidRDefault="00A12257" w:rsidP="002B19B1">
      <w:pPr>
        <w:jc w:val="both"/>
        <w:rPr>
          <w:rFonts w:asciiTheme="minorHAnsi" w:hAnsiTheme="minorHAnsi" w:cstheme="minorHAnsi"/>
          <w:color w:val="auto"/>
          <w:szCs w:val="24"/>
        </w:rPr>
      </w:pPr>
    </w:p>
    <w:p w14:paraId="271972AB" w14:textId="77777777" w:rsidR="00A12257" w:rsidRPr="00C86111" w:rsidRDefault="00A12257" w:rsidP="002B19B1">
      <w:pPr>
        <w:jc w:val="both"/>
        <w:rPr>
          <w:rFonts w:asciiTheme="minorHAnsi" w:hAnsiTheme="minorHAnsi" w:cstheme="minorHAnsi"/>
          <w:color w:val="auto"/>
          <w:szCs w:val="24"/>
        </w:rPr>
      </w:pPr>
    </w:p>
    <w:p w14:paraId="342FD51D" w14:textId="77777777" w:rsidR="00A12257" w:rsidRPr="00C86111" w:rsidRDefault="00A12257" w:rsidP="002B19B1">
      <w:pPr>
        <w:jc w:val="both"/>
        <w:rPr>
          <w:rFonts w:asciiTheme="minorHAnsi" w:hAnsiTheme="minorHAnsi" w:cstheme="minorHAnsi"/>
          <w:color w:val="auto"/>
          <w:szCs w:val="24"/>
        </w:rPr>
      </w:pPr>
    </w:p>
    <w:p w14:paraId="3319D599" w14:textId="77777777" w:rsidR="00A12257" w:rsidRDefault="00A12257" w:rsidP="002B19B1">
      <w:pPr>
        <w:jc w:val="both"/>
        <w:rPr>
          <w:rFonts w:asciiTheme="minorHAnsi" w:hAnsiTheme="minorHAnsi" w:cstheme="minorHAnsi"/>
          <w:color w:val="auto"/>
          <w:szCs w:val="24"/>
        </w:rPr>
      </w:pPr>
    </w:p>
    <w:p w14:paraId="5E9320EE" w14:textId="77777777" w:rsidR="006830BB" w:rsidRDefault="006830BB" w:rsidP="002B19B1">
      <w:pPr>
        <w:jc w:val="both"/>
        <w:rPr>
          <w:rFonts w:asciiTheme="minorHAnsi" w:hAnsiTheme="minorHAnsi" w:cstheme="minorHAnsi"/>
          <w:color w:val="auto"/>
          <w:szCs w:val="24"/>
        </w:rPr>
      </w:pPr>
    </w:p>
    <w:p w14:paraId="6F888EBD" w14:textId="77777777" w:rsidR="006830BB" w:rsidRDefault="006830BB" w:rsidP="002B19B1">
      <w:pPr>
        <w:jc w:val="both"/>
        <w:rPr>
          <w:rFonts w:asciiTheme="minorHAnsi" w:hAnsiTheme="minorHAnsi" w:cstheme="minorHAnsi"/>
          <w:color w:val="auto"/>
          <w:szCs w:val="24"/>
        </w:rPr>
      </w:pPr>
    </w:p>
    <w:p w14:paraId="6C064A85" w14:textId="77777777" w:rsidR="006830BB" w:rsidRDefault="006830BB" w:rsidP="002B19B1">
      <w:pPr>
        <w:jc w:val="both"/>
        <w:rPr>
          <w:rFonts w:asciiTheme="minorHAnsi" w:hAnsiTheme="minorHAnsi" w:cstheme="minorHAnsi"/>
          <w:color w:val="auto"/>
          <w:szCs w:val="24"/>
        </w:rPr>
      </w:pPr>
    </w:p>
    <w:p w14:paraId="04EEF0CA" w14:textId="77777777" w:rsidR="006830BB" w:rsidRDefault="006830BB" w:rsidP="002B19B1">
      <w:pPr>
        <w:jc w:val="both"/>
        <w:rPr>
          <w:rFonts w:asciiTheme="minorHAnsi" w:hAnsiTheme="minorHAnsi" w:cstheme="minorHAnsi"/>
          <w:color w:val="auto"/>
          <w:szCs w:val="24"/>
        </w:rPr>
      </w:pPr>
    </w:p>
    <w:p w14:paraId="30C078F7" w14:textId="77777777" w:rsidR="006830BB" w:rsidRDefault="006830BB" w:rsidP="002B19B1">
      <w:pPr>
        <w:jc w:val="both"/>
        <w:rPr>
          <w:rFonts w:asciiTheme="minorHAnsi" w:hAnsiTheme="minorHAnsi" w:cstheme="minorHAnsi"/>
          <w:color w:val="auto"/>
          <w:szCs w:val="24"/>
        </w:rPr>
      </w:pPr>
    </w:p>
    <w:p w14:paraId="4B680C57" w14:textId="77777777" w:rsidR="006830BB" w:rsidRDefault="006830BB" w:rsidP="002B19B1">
      <w:pPr>
        <w:jc w:val="both"/>
        <w:rPr>
          <w:rFonts w:asciiTheme="minorHAnsi" w:hAnsiTheme="minorHAnsi" w:cstheme="minorHAnsi"/>
          <w:color w:val="auto"/>
          <w:szCs w:val="24"/>
        </w:rPr>
      </w:pPr>
    </w:p>
    <w:p w14:paraId="43FE7302" w14:textId="77777777" w:rsidR="006830BB" w:rsidRDefault="006830BB" w:rsidP="002B19B1">
      <w:pPr>
        <w:jc w:val="both"/>
        <w:rPr>
          <w:rFonts w:asciiTheme="minorHAnsi" w:hAnsiTheme="minorHAnsi" w:cstheme="minorHAnsi"/>
          <w:color w:val="auto"/>
          <w:szCs w:val="24"/>
        </w:rPr>
      </w:pPr>
    </w:p>
    <w:p w14:paraId="6F8CCAB4" w14:textId="77777777" w:rsidR="006830BB" w:rsidRDefault="006830BB" w:rsidP="002B19B1">
      <w:pPr>
        <w:jc w:val="both"/>
        <w:rPr>
          <w:rFonts w:asciiTheme="minorHAnsi" w:hAnsiTheme="minorHAnsi" w:cstheme="minorHAnsi"/>
          <w:color w:val="auto"/>
          <w:szCs w:val="24"/>
        </w:rPr>
      </w:pPr>
    </w:p>
    <w:p w14:paraId="237CB147" w14:textId="77777777" w:rsidR="006830BB" w:rsidRDefault="006830BB" w:rsidP="002B19B1">
      <w:pPr>
        <w:jc w:val="both"/>
        <w:rPr>
          <w:rFonts w:asciiTheme="minorHAnsi" w:hAnsiTheme="minorHAnsi" w:cstheme="minorHAnsi"/>
          <w:color w:val="auto"/>
          <w:szCs w:val="24"/>
        </w:rPr>
      </w:pPr>
    </w:p>
    <w:p w14:paraId="6942A0DC" w14:textId="77777777" w:rsidR="006830BB" w:rsidRDefault="006830BB" w:rsidP="002B19B1">
      <w:pPr>
        <w:jc w:val="both"/>
        <w:rPr>
          <w:rFonts w:asciiTheme="minorHAnsi" w:hAnsiTheme="minorHAnsi" w:cstheme="minorHAnsi"/>
          <w:color w:val="auto"/>
          <w:szCs w:val="24"/>
        </w:rPr>
      </w:pPr>
    </w:p>
    <w:p w14:paraId="7EB7724A" w14:textId="77777777" w:rsidR="006830BB" w:rsidRDefault="006830BB" w:rsidP="002B19B1">
      <w:pPr>
        <w:jc w:val="both"/>
        <w:rPr>
          <w:rFonts w:asciiTheme="minorHAnsi" w:hAnsiTheme="minorHAnsi" w:cstheme="minorHAnsi"/>
          <w:color w:val="auto"/>
          <w:szCs w:val="24"/>
        </w:rPr>
      </w:pPr>
    </w:p>
    <w:p w14:paraId="00F9FFEB" w14:textId="77777777" w:rsidR="006830BB" w:rsidRDefault="006830BB" w:rsidP="002B19B1">
      <w:pPr>
        <w:jc w:val="both"/>
        <w:rPr>
          <w:rFonts w:asciiTheme="minorHAnsi" w:hAnsiTheme="minorHAnsi" w:cstheme="minorHAnsi"/>
          <w:color w:val="auto"/>
          <w:szCs w:val="24"/>
        </w:rPr>
      </w:pPr>
    </w:p>
    <w:p w14:paraId="2BCCD2D0" w14:textId="77777777" w:rsidR="006830BB" w:rsidRDefault="006830BB" w:rsidP="002B19B1">
      <w:pPr>
        <w:jc w:val="both"/>
        <w:rPr>
          <w:rFonts w:asciiTheme="minorHAnsi" w:hAnsiTheme="minorHAnsi" w:cstheme="minorHAnsi"/>
          <w:color w:val="auto"/>
          <w:szCs w:val="24"/>
        </w:rPr>
      </w:pPr>
    </w:p>
    <w:p w14:paraId="497B3DA2" w14:textId="77777777" w:rsidR="006830BB" w:rsidRDefault="006830BB" w:rsidP="002B19B1">
      <w:pPr>
        <w:jc w:val="both"/>
        <w:rPr>
          <w:rFonts w:asciiTheme="minorHAnsi" w:hAnsiTheme="minorHAnsi" w:cstheme="minorHAnsi"/>
          <w:color w:val="auto"/>
          <w:szCs w:val="24"/>
        </w:rPr>
      </w:pPr>
    </w:p>
    <w:p w14:paraId="2980B060" w14:textId="77777777" w:rsidR="006830BB" w:rsidRDefault="006830BB" w:rsidP="002B19B1">
      <w:pPr>
        <w:jc w:val="both"/>
        <w:rPr>
          <w:rFonts w:asciiTheme="minorHAnsi" w:hAnsiTheme="minorHAnsi" w:cstheme="minorHAnsi"/>
          <w:color w:val="auto"/>
          <w:szCs w:val="24"/>
        </w:rPr>
      </w:pPr>
    </w:p>
    <w:p w14:paraId="61C4F5A4" w14:textId="77777777" w:rsidR="006830BB" w:rsidRDefault="006830BB" w:rsidP="002B19B1">
      <w:pPr>
        <w:jc w:val="both"/>
        <w:rPr>
          <w:rFonts w:asciiTheme="minorHAnsi" w:hAnsiTheme="minorHAnsi" w:cstheme="minorHAnsi"/>
          <w:color w:val="auto"/>
          <w:szCs w:val="24"/>
        </w:rPr>
      </w:pPr>
    </w:p>
    <w:p w14:paraId="7FB8F5E6" w14:textId="77777777" w:rsidR="006830BB" w:rsidRDefault="006830BB" w:rsidP="002B19B1">
      <w:pPr>
        <w:jc w:val="both"/>
        <w:rPr>
          <w:rFonts w:asciiTheme="minorHAnsi" w:hAnsiTheme="minorHAnsi" w:cstheme="minorHAnsi"/>
          <w:color w:val="auto"/>
          <w:szCs w:val="24"/>
        </w:rPr>
      </w:pPr>
    </w:p>
    <w:p w14:paraId="265C8589" w14:textId="77777777" w:rsidR="006830BB" w:rsidRDefault="006830BB" w:rsidP="002B19B1">
      <w:pPr>
        <w:jc w:val="both"/>
        <w:rPr>
          <w:rFonts w:asciiTheme="minorHAnsi" w:hAnsiTheme="minorHAnsi" w:cstheme="minorHAnsi"/>
          <w:color w:val="auto"/>
          <w:szCs w:val="24"/>
        </w:rPr>
      </w:pPr>
    </w:p>
    <w:p w14:paraId="11F5E28E" w14:textId="77777777" w:rsidR="006830BB" w:rsidRDefault="006830BB" w:rsidP="002B19B1">
      <w:pPr>
        <w:jc w:val="both"/>
        <w:rPr>
          <w:rFonts w:asciiTheme="minorHAnsi" w:hAnsiTheme="minorHAnsi" w:cstheme="minorHAnsi"/>
          <w:color w:val="auto"/>
          <w:szCs w:val="24"/>
        </w:rPr>
      </w:pPr>
    </w:p>
    <w:p w14:paraId="42668EEA" w14:textId="77777777" w:rsidR="006830BB" w:rsidRDefault="006830BB" w:rsidP="002B19B1">
      <w:pPr>
        <w:jc w:val="both"/>
        <w:rPr>
          <w:rFonts w:asciiTheme="minorHAnsi" w:hAnsiTheme="minorHAnsi" w:cstheme="minorHAnsi"/>
          <w:color w:val="auto"/>
          <w:szCs w:val="24"/>
        </w:rPr>
      </w:pPr>
    </w:p>
    <w:p w14:paraId="63E653EA" w14:textId="77777777" w:rsidR="006830BB" w:rsidRDefault="006830BB" w:rsidP="002B19B1">
      <w:pPr>
        <w:jc w:val="both"/>
        <w:rPr>
          <w:rFonts w:asciiTheme="minorHAnsi" w:hAnsiTheme="minorHAnsi" w:cstheme="minorHAnsi"/>
          <w:color w:val="auto"/>
          <w:szCs w:val="24"/>
        </w:rPr>
      </w:pPr>
    </w:p>
    <w:p w14:paraId="05494BA4" w14:textId="77777777" w:rsidR="006830BB" w:rsidRPr="00C86111" w:rsidRDefault="006830BB" w:rsidP="002B19B1">
      <w:pPr>
        <w:jc w:val="both"/>
        <w:rPr>
          <w:rFonts w:asciiTheme="minorHAnsi" w:hAnsiTheme="minorHAnsi" w:cstheme="minorHAnsi"/>
          <w:color w:val="auto"/>
          <w:szCs w:val="24"/>
        </w:rPr>
      </w:pPr>
    </w:p>
    <w:p w14:paraId="637485CD" w14:textId="77777777" w:rsidR="00A12257" w:rsidRPr="00C86111" w:rsidRDefault="00A12257" w:rsidP="002B19B1">
      <w:pPr>
        <w:jc w:val="both"/>
        <w:rPr>
          <w:rFonts w:asciiTheme="minorHAnsi" w:hAnsiTheme="minorHAnsi" w:cstheme="minorHAnsi"/>
          <w:color w:val="auto"/>
          <w:szCs w:val="24"/>
        </w:rPr>
      </w:pPr>
    </w:p>
    <w:p w14:paraId="4BA1F60A" w14:textId="77777777" w:rsidR="00A12257" w:rsidRPr="00C86111" w:rsidRDefault="00A12257" w:rsidP="002B19B1">
      <w:pPr>
        <w:jc w:val="both"/>
        <w:rPr>
          <w:rFonts w:asciiTheme="minorHAnsi" w:hAnsiTheme="minorHAnsi" w:cstheme="minorHAnsi"/>
          <w:color w:val="auto"/>
          <w:szCs w:val="24"/>
        </w:rPr>
      </w:pPr>
    </w:p>
    <w:p w14:paraId="10984005" w14:textId="77777777" w:rsidR="00A12257" w:rsidRPr="00C86111" w:rsidRDefault="00A12257" w:rsidP="002B19B1">
      <w:pPr>
        <w:jc w:val="both"/>
        <w:rPr>
          <w:rFonts w:asciiTheme="minorHAnsi" w:hAnsiTheme="minorHAnsi" w:cstheme="minorHAnsi"/>
          <w:color w:val="auto"/>
          <w:szCs w:val="24"/>
        </w:rPr>
      </w:pPr>
    </w:p>
    <w:p w14:paraId="1BF9BFE1" w14:textId="77777777" w:rsidR="00A12257" w:rsidRPr="00C86111" w:rsidRDefault="00A12257" w:rsidP="002B19B1">
      <w:pPr>
        <w:jc w:val="both"/>
        <w:rPr>
          <w:rFonts w:asciiTheme="minorHAnsi" w:hAnsiTheme="minorHAnsi" w:cstheme="minorHAnsi"/>
          <w:color w:val="auto"/>
          <w:szCs w:val="24"/>
        </w:rPr>
      </w:pPr>
    </w:p>
    <w:p w14:paraId="71F66735" w14:textId="77777777" w:rsidR="00A12257" w:rsidRPr="00C86111" w:rsidRDefault="00A12257" w:rsidP="002B19B1">
      <w:pPr>
        <w:jc w:val="both"/>
        <w:rPr>
          <w:rFonts w:asciiTheme="minorHAnsi" w:hAnsiTheme="minorHAnsi" w:cstheme="minorHAnsi"/>
          <w:color w:val="auto"/>
          <w:szCs w:val="24"/>
        </w:rPr>
      </w:pPr>
    </w:p>
    <w:p w14:paraId="491EDBFA" w14:textId="77777777" w:rsidR="00A12257" w:rsidRPr="00C86111" w:rsidRDefault="00A12257" w:rsidP="002B19B1">
      <w:pPr>
        <w:jc w:val="both"/>
        <w:rPr>
          <w:rFonts w:asciiTheme="minorHAnsi" w:hAnsiTheme="minorHAnsi" w:cstheme="minorHAnsi"/>
          <w:color w:val="auto"/>
          <w:szCs w:val="24"/>
        </w:rPr>
      </w:pPr>
    </w:p>
    <w:p w14:paraId="0B7539B7" w14:textId="77777777" w:rsidR="00A12257" w:rsidRPr="00C86111" w:rsidRDefault="00A12257" w:rsidP="002B19B1">
      <w:pPr>
        <w:jc w:val="both"/>
        <w:rPr>
          <w:rFonts w:asciiTheme="minorHAnsi" w:hAnsiTheme="minorHAnsi" w:cstheme="minorHAnsi"/>
          <w:color w:val="auto"/>
          <w:szCs w:val="24"/>
        </w:rPr>
      </w:pPr>
    </w:p>
    <w:p w14:paraId="689E48A0" w14:textId="77777777" w:rsidR="00A12257" w:rsidRPr="00C86111" w:rsidRDefault="00A12257" w:rsidP="00A12257">
      <w:pPr>
        <w:pStyle w:val="Title"/>
      </w:pPr>
      <w:r w:rsidRPr="00C86111">
        <w:t>ANALIZA STANJA</w:t>
      </w:r>
    </w:p>
    <w:p w14:paraId="7EDC6868" w14:textId="77777777" w:rsidR="00A12257" w:rsidRPr="00C86111" w:rsidRDefault="00A12257" w:rsidP="002B19B1">
      <w:pPr>
        <w:jc w:val="both"/>
        <w:rPr>
          <w:rFonts w:asciiTheme="minorHAnsi" w:hAnsiTheme="minorHAnsi" w:cstheme="minorHAnsi"/>
          <w:color w:val="auto"/>
          <w:szCs w:val="24"/>
        </w:rPr>
      </w:pPr>
    </w:p>
    <w:p w14:paraId="0895F1DE" w14:textId="77777777" w:rsidR="00A12257" w:rsidRPr="00C86111" w:rsidRDefault="00A12257" w:rsidP="002B19B1">
      <w:pPr>
        <w:jc w:val="both"/>
        <w:rPr>
          <w:rFonts w:asciiTheme="minorHAnsi" w:hAnsiTheme="minorHAnsi" w:cstheme="minorHAnsi"/>
          <w:color w:val="auto"/>
          <w:szCs w:val="24"/>
        </w:rPr>
      </w:pPr>
    </w:p>
    <w:p w14:paraId="0EB47D5C" w14:textId="77777777" w:rsidR="00A12257" w:rsidRPr="00C86111" w:rsidRDefault="00A12257" w:rsidP="002B19B1">
      <w:pPr>
        <w:jc w:val="both"/>
        <w:rPr>
          <w:rFonts w:asciiTheme="minorHAnsi" w:hAnsiTheme="minorHAnsi" w:cstheme="minorHAnsi"/>
          <w:color w:val="auto"/>
          <w:szCs w:val="24"/>
        </w:rPr>
      </w:pPr>
    </w:p>
    <w:p w14:paraId="70BCBFA8" w14:textId="77777777" w:rsidR="00A12257" w:rsidRPr="00C86111" w:rsidRDefault="00A12257" w:rsidP="002B19B1">
      <w:pPr>
        <w:jc w:val="both"/>
        <w:rPr>
          <w:rFonts w:asciiTheme="minorHAnsi" w:hAnsiTheme="minorHAnsi" w:cstheme="minorHAnsi"/>
          <w:color w:val="auto"/>
          <w:szCs w:val="24"/>
        </w:rPr>
      </w:pPr>
    </w:p>
    <w:p w14:paraId="7DF740A6" w14:textId="77777777" w:rsidR="00A12257" w:rsidRDefault="00A12257" w:rsidP="002B19B1">
      <w:pPr>
        <w:jc w:val="both"/>
        <w:rPr>
          <w:rFonts w:asciiTheme="minorHAnsi" w:hAnsiTheme="minorHAnsi" w:cstheme="minorHAnsi"/>
          <w:color w:val="auto"/>
          <w:szCs w:val="24"/>
        </w:rPr>
      </w:pPr>
    </w:p>
    <w:p w14:paraId="7A84A92D" w14:textId="77777777" w:rsidR="00912C4C" w:rsidRDefault="00912C4C" w:rsidP="002B19B1">
      <w:pPr>
        <w:jc w:val="both"/>
        <w:rPr>
          <w:rFonts w:asciiTheme="minorHAnsi" w:hAnsiTheme="minorHAnsi" w:cstheme="minorHAnsi"/>
          <w:color w:val="auto"/>
          <w:szCs w:val="24"/>
        </w:rPr>
      </w:pPr>
    </w:p>
    <w:p w14:paraId="19B786AA" w14:textId="77777777" w:rsidR="00912C4C" w:rsidRDefault="00912C4C" w:rsidP="002B19B1">
      <w:pPr>
        <w:jc w:val="both"/>
        <w:rPr>
          <w:rFonts w:asciiTheme="minorHAnsi" w:hAnsiTheme="minorHAnsi" w:cstheme="minorHAnsi"/>
          <w:color w:val="auto"/>
          <w:szCs w:val="24"/>
        </w:rPr>
      </w:pPr>
    </w:p>
    <w:p w14:paraId="4D65EA6C" w14:textId="77777777" w:rsidR="00912C4C" w:rsidRDefault="00912C4C" w:rsidP="002B19B1">
      <w:pPr>
        <w:jc w:val="both"/>
        <w:rPr>
          <w:rFonts w:asciiTheme="minorHAnsi" w:hAnsiTheme="minorHAnsi" w:cstheme="minorHAnsi"/>
          <w:color w:val="auto"/>
          <w:szCs w:val="24"/>
        </w:rPr>
      </w:pPr>
    </w:p>
    <w:p w14:paraId="5EA9F333" w14:textId="77777777" w:rsidR="00912C4C" w:rsidRDefault="00912C4C" w:rsidP="002B19B1">
      <w:pPr>
        <w:jc w:val="both"/>
        <w:rPr>
          <w:rFonts w:asciiTheme="minorHAnsi" w:hAnsiTheme="minorHAnsi" w:cstheme="minorHAnsi"/>
          <w:color w:val="auto"/>
          <w:szCs w:val="24"/>
        </w:rPr>
      </w:pPr>
    </w:p>
    <w:p w14:paraId="176A7E0D" w14:textId="77777777" w:rsidR="00912C4C" w:rsidRDefault="00912C4C" w:rsidP="002B19B1">
      <w:pPr>
        <w:jc w:val="both"/>
        <w:rPr>
          <w:rFonts w:asciiTheme="minorHAnsi" w:hAnsiTheme="minorHAnsi" w:cstheme="minorHAnsi"/>
          <w:color w:val="auto"/>
          <w:szCs w:val="24"/>
        </w:rPr>
      </w:pPr>
    </w:p>
    <w:p w14:paraId="24006069" w14:textId="77777777" w:rsidR="00912C4C" w:rsidRDefault="00912C4C" w:rsidP="002B19B1">
      <w:pPr>
        <w:jc w:val="both"/>
        <w:rPr>
          <w:rFonts w:asciiTheme="minorHAnsi" w:hAnsiTheme="minorHAnsi" w:cstheme="minorHAnsi"/>
          <w:color w:val="auto"/>
          <w:szCs w:val="24"/>
        </w:rPr>
      </w:pPr>
    </w:p>
    <w:p w14:paraId="5BC1AE88" w14:textId="77777777" w:rsidR="00912C4C" w:rsidRDefault="00912C4C" w:rsidP="002B19B1">
      <w:pPr>
        <w:jc w:val="both"/>
        <w:rPr>
          <w:rFonts w:asciiTheme="minorHAnsi" w:hAnsiTheme="minorHAnsi" w:cstheme="minorHAnsi"/>
          <w:color w:val="auto"/>
          <w:szCs w:val="24"/>
        </w:rPr>
      </w:pPr>
    </w:p>
    <w:p w14:paraId="40808367" w14:textId="77777777" w:rsidR="00912C4C" w:rsidRDefault="00912C4C" w:rsidP="002B19B1">
      <w:pPr>
        <w:jc w:val="both"/>
        <w:rPr>
          <w:rFonts w:asciiTheme="minorHAnsi" w:hAnsiTheme="minorHAnsi" w:cstheme="minorHAnsi"/>
          <w:color w:val="auto"/>
          <w:szCs w:val="24"/>
        </w:rPr>
      </w:pPr>
    </w:p>
    <w:p w14:paraId="69301CE3" w14:textId="77777777" w:rsidR="00912C4C" w:rsidRDefault="00912C4C" w:rsidP="002B19B1">
      <w:pPr>
        <w:jc w:val="both"/>
        <w:rPr>
          <w:rFonts w:asciiTheme="minorHAnsi" w:hAnsiTheme="minorHAnsi" w:cstheme="minorHAnsi"/>
          <w:color w:val="auto"/>
          <w:szCs w:val="24"/>
        </w:rPr>
      </w:pPr>
    </w:p>
    <w:p w14:paraId="754AA188" w14:textId="77777777" w:rsidR="00912C4C" w:rsidRPr="00C86111" w:rsidRDefault="00912C4C" w:rsidP="002B19B1">
      <w:pPr>
        <w:jc w:val="both"/>
        <w:rPr>
          <w:rFonts w:asciiTheme="minorHAnsi" w:hAnsiTheme="minorHAnsi" w:cstheme="minorHAnsi"/>
          <w:color w:val="auto"/>
          <w:szCs w:val="24"/>
        </w:rPr>
      </w:pPr>
    </w:p>
    <w:p w14:paraId="469E22E7" w14:textId="77777777" w:rsidR="00A12257" w:rsidRPr="00C86111" w:rsidRDefault="00A12257" w:rsidP="002B19B1">
      <w:pPr>
        <w:jc w:val="both"/>
        <w:rPr>
          <w:rFonts w:asciiTheme="minorHAnsi" w:hAnsiTheme="minorHAnsi" w:cstheme="minorHAnsi"/>
          <w:color w:val="auto"/>
          <w:szCs w:val="24"/>
        </w:rPr>
      </w:pPr>
    </w:p>
    <w:p w14:paraId="193D4FA8" w14:textId="77777777" w:rsidR="00A12257" w:rsidRPr="00C86111" w:rsidRDefault="00A12257" w:rsidP="002B19B1">
      <w:pPr>
        <w:jc w:val="both"/>
        <w:rPr>
          <w:rFonts w:asciiTheme="minorHAnsi" w:hAnsiTheme="minorHAnsi" w:cstheme="minorHAnsi"/>
          <w:color w:val="auto"/>
          <w:szCs w:val="24"/>
        </w:rPr>
      </w:pPr>
    </w:p>
    <w:p w14:paraId="1D8D08E8" w14:textId="77777777" w:rsidR="00A12257" w:rsidRPr="00C86111" w:rsidRDefault="00A12257" w:rsidP="002B19B1">
      <w:pPr>
        <w:jc w:val="both"/>
        <w:rPr>
          <w:rFonts w:asciiTheme="minorHAnsi" w:hAnsiTheme="minorHAnsi" w:cstheme="minorHAnsi"/>
          <w:color w:val="auto"/>
          <w:szCs w:val="24"/>
        </w:rPr>
      </w:pPr>
    </w:p>
    <w:p w14:paraId="56A34E60" w14:textId="77777777" w:rsidR="00A12257" w:rsidRPr="00C86111" w:rsidRDefault="00A12257" w:rsidP="002B19B1">
      <w:pPr>
        <w:jc w:val="both"/>
        <w:rPr>
          <w:rFonts w:asciiTheme="minorHAnsi" w:hAnsiTheme="minorHAnsi" w:cstheme="minorHAnsi"/>
          <w:color w:val="auto"/>
          <w:szCs w:val="24"/>
        </w:rPr>
      </w:pPr>
    </w:p>
    <w:p w14:paraId="46C93367" w14:textId="77777777" w:rsidR="00A12257" w:rsidRPr="00C86111" w:rsidRDefault="00A12257" w:rsidP="002B19B1">
      <w:pPr>
        <w:jc w:val="both"/>
        <w:rPr>
          <w:rFonts w:asciiTheme="minorHAnsi" w:hAnsiTheme="minorHAnsi" w:cstheme="minorHAnsi"/>
          <w:color w:val="auto"/>
          <w:szCs w:val="24"/>
        </w:rPr>
      </w:pPr>
    </w:p>
    <w:p w14:paraId="54BECF88" w14:textId="77777777" w:rsidR="00A12257" w:rsidRPr="00C86111" w:rsidRDefault="00A12257" w:rsidP="002B19B1">
      <w:pPr>
        <w:jc w:val="both"/>
        <w:rPr>
          <w:rFonts w:asciiTheme="minorHAnsi" w:hAnsiTheme="minorHAnsi" w:cstheme="minorHAnsi"/>
          <w:color w:val="auto"/>
          <w:szCs w:val="24"/>
        </w:rPr>
      </w:pPr>
    </w:p>
    <w:p w14:paraId="421D6F90" w14:textId="77777777" w:rsidR="00A12257" w:rsidRPr="00C86111" w:rsidRDefault="00A12257" w:rsidP="002B19B1">
      <w:pPr>
        <w:jc w:val="both"/>
        <w:rPr>
          <w:rFonts w:asciiTheme="minorHAnsi" w:hAnsiTheme="minorHAnsi" w:cstheme="minorHAnsi"/>
          <w:color w:val="auto"/>
          <w:szCs w:val="24"/>
        </w:rPr>
      </w:pPr>
    </w:p>
    <w:p w14:paraId="0798EB1D" w14:textId="77777777" w:rsidR="00A12257" w:rsidRPr="00C86111" w:rsidRDefault="00A12257" w:rsidP="002B19B1">
      <w:pPr>
        <w:jc w:val="both"/>
        <w:rPr>
          <w:rFonts w:asciiTheme="minorHAnsi" w:hAnsiTheme="minorHAnsi" w:cstheme="minorHAnsi"/>
          <w:color w:val="auto"/>
          <w:szCs w:val="24"/>
        </w:rPr>
      </w:pPr>
    </w:p>
    <w:p w14:paraId="33309647" w14:textId="0124BC2E" w:rsidR="002B19B1" w:rsidRPr="00C86111" w:rsidRDefault="002B19B1" w:rsidP="00912C4C">
      <w:pPr>
        <w:pStyle w:val="Heading1"/>
      </w:pPr>
      <w:bookmarkStart w:id="15" w:name="_Toc220541849"/>
      <w:r w:rsidRPr="00C86111">
        <w:lastRenderedPageBreak/>
        <w:t>OPŠTE INFORMACIJE</w:t>
      </w:r>
      <w:bookmarkEnd w:id="15"/>
    </w:p>
    <w:p w14:paraId="6A01FD21" w14:textId="77777777" w:rsidR="002B19B1" w:rsidRPr="00C86111" w:rsidRDefault="002B19B1" w:rsidP="00004F34">
      <w:pPr>
        <w:pStyle w:val="Heading1"/>
        <w:numPr>
          <w:ilvl w:val="1"/>
          <w:numId w:val="238"/>
        </w:numPr>
      </w:pPr>
      <w:bookmarkStart w:id="16" w:name="_Toc220541850"/>
      <w:r w:rsidRPr="00C86111">
        <w:t>Prirodno-geografske, demografske i društveno-političke karakteristike</w:t>
      </w:r>
      <w:bookmarkEnd w:id="16"/>
    </w:p>
    <w:p w14:paraId="7A71CA43" w14:textId="77777777" w:rsidR="00CC3651" w:rsidRPr="00C86111" w:rsidRDefault="00CC3651" w:rsidP="00CC3651"/>
    <w:p w14:paraId="6958C4EF" w14:textId="77777777" w:rsidR="002B19B1" w:rsidRPr="00C86111" w:rsidRDefault="002B19B1" w:rsidP="002B19B1">
      <w:pPr>
        <w:jc w:val="both"/>
        <w:rPr>
          <w:rFonts w:asciiTheme="minorHAnsi" w:eastAsia="Times New Roman" w:hAnsiTheme="minorHAnsi" w:cstheme="minorHAnsi"/>
          <w:szCs w:val="24"/>
          <w:lang w:eastAsia="en-GB"/>
        </w:rPr>
      </w:pPr>
      <w:r w:rsidRPr="00C86111">
        <w:rPr>
          <w:rFonts w:asciiTheme="minorHAnsi" w:eastAsia="Times New Roman" w:hAnsiTheme="minorHAnsi" w:cstheme="minorHAnsi"/>
          <w:szCs w:val="24"/>
          <w:lang w:eastAsia="en-GB"/>
        </w:rPr>
        <w:t>Crna Gora predstavlja izrazito razuđenu prostorno-geografsku cjelinu pretežno planinskog karaktera, kojom dominiraju visoki masivi Dinarida, dok istovremeno pripada jadransko-mediteranskom području zahvaljujući izlazu na Jadransko more.</w:t>
      </w:r>
    </w:p>
    <w:p w14:paraId="0D87FEE3" w14:textId="77777777" w:rsidR="002B19B1" w:rsidRPr="00C86111" w:rsidRDefault="002B19B1" w:rsidP="002B19B1">
      <w:pPr>
        <w:jc w:val="both"/>
        <w:rPr>
          <w:rFonts w:asciiTheme="minorHAnsi" w:eastAsia="Times New Roman" w:hAnsiTheme="minorHAnsi" w:cstheme="minorHAnsi"/>
          <w:szCs w:val="24"/>
          <w:lang w:eastAsia="en-GB"/>
        </w:rPr>
      </w:pPr>
      <w:r w:rsidRPr="00C86111">
        <w:rPr>
          <w:rFonts w:asciiTheme="minorHAnsi" w:eastAsia="Times New Roman" w:hAnsiTheme="minorHAnsi" w:cstheme="minorHAnsi"/>
          <w:szCs w:val="24"/>
          <w:lang w:eastAsia="en-GB"/>
        </w:rPr>
        <w:t>Ukupna površina državne teritorije iznosi 13.812 km². Morska obala Crne Gore prostire se u dužini od približno 293 km, dok kopnene granice prema susjednim državama iznose ukupno 614 km.</w:t>
      </w:r>
    </w:p>
    <w:p w14:paraId="3549F9D2" w14:textId="77777777" w:rsidR="002B19B1" w:rsidRPr="00C86111" w:rsidRDefault="002B19B1" w:rsidP="002B19B1">
      <w:pPr>
        <w:jc w:val="both"/>
        <w:rPr>
          <w:rFonts w:asciiTheme="minorHAnsi" w:hAnsiTheme="minorHAnsi" w:cstheme="minorHAnsi"/>
          <w:szCs w:val="24"/>
        </w:rPr>
      </w:pPr>
      <w:r w:rsidRPr="00C86111">
        <w:rPr>
          <w:rFonts w:asciiTheme="minorHAnsi" w:hAnsiTheme="minorHAnsi" w:cstheme="minorHAnsi"/>
          <w:szCs w:val="24"/>
        </w:rPr>
        <w:t xml:space="preserve">Prema rezultatima Popisa stanovništva, koji je sproveden krajem 2023. godine, ukupan broj stanovnika u Crna Gora iznosi </w:t>
      </w:r>
      <w:r w:rsidRPr="00C86111">
        <w:rPr>
          <w:rStyle w:val="Strong"/>
          <w:rFonts w:asciiTheme="minorHAnsi" w:hAnsiTheme="minorHAnsi" w:cstheme="minorHAnsi"/>
          <w:b w:val="0"/>
          <w:szCs w:val="24"/>
        </w:rPr>
        <w:t>623.633</w:t>
      </w:r>
      <w:r w:rsidRPr="00C86111">
        <w:rPr>
          <w:rFonts w:asciiTheme="minorHAnsi" w:hAnsiTheme="minorHAnsi" w:cstheme="minorHAnsi"/>
          <w:b/>
          <w:bCs/>
          <w:szCs w:val="24"/>
        </w:rPr>
        <w:t>.</w:t>
      </w:r>
      <w:r w:rsidRPr="00C86111">
        <w:rPr>
          <w:rFonts w:asciiTheme="minorHAnsi" w:hAnsiTheme="minorHAnsi" w:cstheme="minorHAnsi"/>
          <w:szCs w:val="24"/>
        </w:rPr>
        <w:t xml:space="preserve"> Polna struktura pokazuje da žene čine </w:t>
      </w:r>
      <w:r w:rsidRPr="00C86111">
        <w:rPr>
          <w:rStyle w:val="Strong"/>
          <w:rFonts w:asciiTheme="minorHAnsi" w:hAnsiTheme="minorHAnsi" w:cstheme="minorHAnsi"/>
          <w:b w:val="0"/>
          <w:szCs w:val="24"/>
        </w:rPr>
        <w:t>50,8 %</w:t>
      </w:r>
      <w:r w:rsidRPr="00C86111">
        <w:rPr>
          <w:rFonts w:asciiTheme="minorHAnsi" w:hAnsiTheme="minorHAnsi" w:cstheme="minorHAnsi"/>
          <w:b/>
          <w:szCs w:val="24"/>
        </w:rPr>
        <w:t>,</w:t>
      </w:r>
      <w:r w:rsidRPr="00C86111">
        <w:rPr>
          <w:rFonts w:asciiTheme="minorHAnsi" w:hAnsiTheme="minorHAnsi" w:cstheme="minorHAnsi"/>
          <w:szCs w:val="24"/>
        </w:rPr>
        <w:t xml:space="preserve"> što iznosi 316.826 osoba, dok muškarci čine </w:t>
      </w:r>
      <w:r w:rsidRPr="00C86111">
        <w:rPr>
          <w:rStyle w:val="Strong"/>
          <w:rFonts w:asciiTheme="minorHAnsi" w:hAnsiTheme="minorHAnsi" w:cstheme="minorHAnsi"/>
          <w:b w:val="0"/>
          <w:szCs w:val="24"/>
        </w:rPr>
        <w:t>49,2 %</w:t>
      </w:r>
      <w:r w:rsidRPr="00C86111">
        <w:rPr>
          <w:rFonts w:asciiTheme="minorHAnsi" w:hAnsiTheme="minorHAnsi" w:cstheme="minorHAnsi"/>
          <w:b/>
          <w:szCs w:val="24"/>
        </w:rPr>
        <w:t>,</w:t>
      </w:r>
      <w:r w:rsidRPr="00C86111">
        <w:rPr>
          <w:rFonts w:asciiTheme="minorHAnsi" w:hAnsiTheme="minorHAnsi" w:cstheme="minorHAnsi"/>
          <w:szCs w:val="24"/>
        </w:rPr>
        <w:t xml:space="preserve"> odnosno 306.807 osoba. Prosječna starost stanovništva iznosi oko</w:t>
      </w:r>
      <w:r w:rsidRPr="00C86111">
        <w:rPr>
          <w:rFonts w:asciiTheme="minorHAnsi" w:hAnsiTheme="minorHAnsi" w:cstheme="minorHAnsi"/>
          <w:b/>
          <w:szCs w:val="24"/>
        </w:rPr>
        <w:t xml:space="preserve"> </w:t>
      </w:r>
      <w:r w:rsidRPr="00C86111">
        <w:rPr>
          <w:rStyle w:val="Strong"/>
          <w:rFonts w:asciiTheme="minorHAnsi" w:hAnsiTheme="minorHAnsi" w:cstheme="minorHAnsi"/>
          <w:b w:val="0"/>
          <w:szCs w:val="24"/>
        </w:rPr>
        <w:t>39,7 godina</w:t>
      </w:r>
      <w:r w:rsidRPr="00C86111">
        <w:rPr>
          <w:rFonts w:asciiTheme="minorHAnsi" w:hAnsiTheme="minorHAnsi" w:cstheme="minorHAnsi"/>
          <w:b/>
          <w:szCs w:val="24"/>
        </w:rPr>
        <w:t xml:space="preserve">. </w:t>
      </w:r>
    </w:p>
    <w:p w14:paraId="7201BF55" w14:textId="77777777" w:rsidR="002B19B1" w:rsidRPr="00C86111" w:rsidRDefault="002B19B1" w:rsidP="002B19B1">
      <w:pPr>
        <w:jc w:val="both"/>
        <w:rPr>
          <w:rFonts w:asciiTheme="minorHAnsi" w:hAnsiTheme="minorHAnsi" w:cstheme="minorHAnsi"/>
          <w:szCs w:val="24"/>
        </w:rPr>
      </w:pPr>
      <w:r w:rsidRPr="00C86111">
        <w:rPr>
          <w:rFonts w:asciiTheme="minorHAnsi" w:hAnsiTheme="minorHAnsi" w:cstheme="minorHAnsi"/>
          <w:szCs w:val="24"/>
        </w:rPr>
        <w:t>Administrativno-teritorijalna organizacija Crne Gore obuhvata ukupno 23 jedinice lokalne samouprave, među kojima se, pored 21 opštine, nalaze i Glavni grad Podgorica te Prijestonica Cetinje. Podgorica, kao najveći urbani centar, okuplja gotovo trećinu cjelokupnog stanovništva države.</w:t>
      </w:r>
    </w:p>
    <w:p w14:paraId="48161C1C" w14:textId="77777777" w:rsidR="002B19B1" w:rsidRPr="00C86111" w:rsidRDefault="002B19B1" w:rsidP="002B19B1">
      <w:pPr>
        <w:shd w:val="clear" w:color="auto" w:fill="FFFFFF"/>
        <w:jc w:val="both"/>
        <w:rPr>
          <w:rFonts w:asciiTheme="minorHAnsi" w:eastAsia="Times New Roman" w:hAnsiTheme="minorHAnsi" w:cstheme="minorHAnsi"/>
          <w:color w:val="0A0A0A"/>
          <w:szCs w:val="24"/>
          <w:lang w:eastAsia="en-GB"/>
        </w:rPr>
      </w:pPr>
      <w:r w:rsidRPr="00C86111">
        <w:rPr>
          <w:rFonts w:asciiTheme="minorHAnsi" w:eastAsia="Times New Roman" w:hAnsiTheme="minorHAnsi" w:cstheme="minorHAnsi"/>
          <w:color w:val="0A0A0A"/>
          <w:szCs w:val="24"/>
          <w:lang w:eastAsia="en-GB"/>
        </w:rPr>
        <w:t>Državno uređenje Crne Gore zasniva se na principima parlamentarne demokratije. Kao nezavisna i suverena republika, Crna Gora primjenjuje sistem podjele vlasti na zakonodavnu, izvršnu i sudsku granu. Skupština vrši zakonodavna ovlašćenja, Vlada je nadležna za izvršnu vlast, dok sudovi obavljaju sudsku funkciju. Predsjednik Crne Gore bira se neposredno na mandat u trajanju od pet godina, dok predsjednik Vlade rukovodi radom izvršne vlasti.</w:t>
      </w:r>
    </w:p>
    <w:p w14:paraId="13413E4F" w14:textId="77777777" w:rsidR="002B19B1" w:rsidRPr="00C86111" w:rsidRDefault="002B19B1" w:rsidP="002B19B1">
      <w:pPr>
        <w:shd w:val="clear" w:color="auto" w:fill="FFFFFF"/>
        <w:jc w:val="both"/>
        <w:rPr>
          <w:rFonts w:asciiTheme="minorHAnsi" w:eastAsia="Times New Roman" w:hAnsiTheme="minorHAnsi" w:cstheme="minorHAnsi"/>
          <w:color w:val="0A0A0A"/>
          <w:szCs w:val="24"/>
          <w:lang w:eastAsia="en-GB"/>
        </w:rPr>
      </w:pPr>
      <w:r w:rsidRPr="00C86111">
        <w:rPr>
          <w:rFonts w:asciiTheme="minorHAnsi" w:eastAsia="Times New Roman" w:hAnsiTheme="minorHAnsi" w:cstheme="minorHAnsi"/>
          <w:color w:val="0A0A0A"/>
          <w:szCs w:val="24"/>
          <w:lang w:eastAsia="en-GB"/>
        </w:rPr>
        <w:t>Jedan od ključnih strateških prioriteta države jeste pristupanje Evropskoj uniji (EU), što od 2010. godine u značajnoj mjeri usmjerava reformske procese i oblikuje institucionalni razvoj u najrazličitijim sektorima, uključujući i zaštitu životne sredine.</w:t>
      </w:r>
    </w:p>
    <w:p w14:paraId="22BB7D0C" w14:textId="49F81257" w:rsidR="002B19B1" w:rsidRPr="00C86111" w:rsidRDefault="002B19B1" w:rsidP="002B19B1">
      <w:pPr>
        <w:shd w:val="clear" w:color="auto" w:fill="FFFFFF"/>
        <w:jc w:val="both"/>
        <w:rPr>
          <w:rFonts w:asciiTheme="minorHAnsi" w:eastAsia="Times New Roman" w:hAnsiTheme="minorHAnsi" w:cstheme="minorHAnsi"/>
          <w:color w:val="0A0A0A"/>
          <w:szCs w:val="24"/>
          <w:lang w:eastAsia="en-GB"/>
        </w:rPr>
      </w:pPr>
      <w:r w:rsidRPr="00C86111">
        <w:rPr>
          <w:rFonts w:asciiTheme="minorHAnsi" w:eastAsia="Times New Roman" w:hAnsiTheme="minorHAnsi" w:cstheme="minorHAnsi"/>
          <w:color w:val="0A0A0A"/>
          <w:szCs w:val="24"/>
          <w:lang w:eastAsia="en-GB"/>
        </w:rPr>
        <w:t>U oblasti politike zaštite životne sredine, Crna Gora je razvila sveobuhvatan institucionalni i normativni okvir koji je u velikoj mjeri usklađen sa savremenim međunarodnim standardima. Država je aktivno uključena u ključne međunarodne procese i forume posvećene očuvanju životne sredine, čime potvrđuje opredijeljenost ka sprovođenju globalnih i regionalnih inicijativa u domenu održivog razvoja, zaštite ekosistema, upravljanja prirodnim resursima i smanjenja negativnih uticaja na životnu sredinu.</w:t>
      </w:r>
    </w:p>
    <w:p w14:paraId="65D7ED54" w14:textId="77777777" w:rsidR="002B19B1" w:rsidRPr="00C86111" w:rsidRDefault="002B19B1" w:rsidP="00004F34">
      <w:pPr>
        <w:pStyle w:val="Heading1"/>
        <w:numPr>
          <w:ilvl w:val="1"/>
          <w:numId w:val="238"/>
        </w:numPr>
      </w:pPr>
      <w:bookmarkStart w:id="17" w:name="_Toc220541851"/>
      <w:r w:rsidRPr="00C86111">
        <w:t>Uvod u ekonomski (privredni) kontekst Crne Gore</w:t>
      </w:r>
      <w:bookmarkEnd w:id="17"/>
    </w:p>
    <w:p w14:paraId="388463DE" w14:textId="77777777" w:rsidR="00A12257" w:rsidRPr="00C86111" w:rsidRDefault="00A12257" w:rsidP="00A12257"/>
    <w:p w14:paraId="27B88E14" w14:textId="77777777" w:rsidR="002B19B1" w:rsidRPr="00C86111" w:rsidRDefault="002B19B1" w:rsidP="00CC3651">
      <w:pPr>
        <w:jc w:val="both"/>
        <w:rPr>
          <w:rFonts w:asciiTheme="minorHAnsi" w:hAnsiTheme="minorHAnsi" w:cstheme="minorHAnsi"/>
          <w:color w:val="000000"/>
          <w:szCs w:val="24"/>
        </w:rPr>
      </w:pPr>
      <w:r w:rsidRPr="00C86111">
        <w:rPr>
          <w:rFonts w:asciiTheme="minorHAnsi" w:hAnsiTheme="minorHAnsi" w:cstheme="minorHAnsi"/>
          <w:szCs w:val="24"/>
        </w:rPr>
        <w:t>Crna Gora je mala, ali otvorena i dinamična ekonomija koja se značajno oslanja na spoljnu trgovinu i investicije. U proteklom periodu, zahvaljujući rastu turističkog sektora, ulaganjima u infrastrukturu i ekonomskom oporavku, BDP zemlje je bilježio značajne fluktuacije, koje odražavaju globalne šokove, ali i domaće napore u jačanju ekonomske rezilijentnosti.</w:t>
      </w:r>
    </w:p>
    <w:p w14:paraId="6E2F5195" w14:textId="77777777" w:rsidR="002B19B1" w:rsidRPr="00C86111" w:rsidRDefault="002B19B1" w:rsidP="00CC3651">
      <w:pPr>
        <w:jc w:val="both"/>
        <w:rPr>
          <w:rFonts w:asciiTheme="minorHAnsi" w:hAnsiTheme="minorHAnsi" w:cstheme="minorHAnsi"/>
          <w:color w:val="000000"/>
          <w:szCs w:val="24"/>
        </w:rPr>
      </w:pPr>
      <w:r w:rsidRPr="00C86111">
        <w:rPr>
          <w:rFonts w:asciiTheme="minorHAnsi" w:hAnsiTheme="minorHAnsi" w:cstheme="minorHAnsi"/>
          <w:szCs w:val="24"/>
        </w:rPr>
        <w:t xml:space="preserve">Prema podacima MONSTAT-a, bruto domaći proizvod (BDP) Crne Gore u 2018. godini iznosio je 4.663 miliona EUR, dok je u 2019. porastao na 4.951 miliona EUR. U 2020. godini, usljed uticaja </w:t>
      </w:r>
      <w:r w:rsidRPr="00C86111">
        <w:rPr>
          <w:rFonts w:asciiTheme="minorHAnsi" w:hAnsiTheme="minorHAnsi" w:cstheme="minorHAnsi"/>
          <w:szCs w:val="24"/>
        </w:rPr>
        <w:lastRenderedPageBreak/>
        <w:t xml:space="preserve">pandemije, BDP je bio 4.186 miliona EUR. U 2021. je zabilježen snažan oporavak — BDP je narastao na 4.955 miliona EUR, uz realni rast od 13,0% u odnosu na godinu ranije ( </w:t>
      </w:r>
      <w:hyperlink r:id="rId8" w:tgtFrame="_blank" w:history="1">
        <w:r w:rsidRPr="00C86111">
          <w:rPr>
            <w:rStyle w:val="Hyperlink"/>
            <w:rFonts w:asciiTheme="minorHAnsi" w:hAnsiTheme="minorHAnsi" w:cstheme="minorHAnsi"/>
            <w:szCs w:val="24"/>
          </w:rPr>
          <w:t>monstat.org</w:t>
        </w:r>
      </w:hyperlink>
      <w:r w:rsidRPr="00C86111">
        <w:rPr>
          <w:rFonts w:asciiTheme="minorHAnsi" w:hAnsiTheme="minorHAnsi" w:cstheme="minorHAnsi"/>
          <w:color w:val="000000"/>
          <w:szCs w:val="24"/>
        </w:rPr>
        <w:t>).</w:t>
      </w:r>
      <w:r w:rsidRPr="00C86111">
        <w:rPr>
          <w:rFonts w:asciiTheme="minorHAnsi" w:hAnsiTheme="minorHAnsi" w:cstheme="minorHAnsi"/>
          <w:szCs w:val="24"/>
        </w:rPr>
        <w:t xml:space="preserve"> Prema posljednjim objavljenim podacima, u 2022. godini BDP je iznosio 5.924 miliona EUR, dok je realni rast bio 6,4 %. </w:t>
      </w:r>
    </w:p>
    <w:p w14:paraId="2859A370" w14:textId="77777777" w:rsidR="002B19B1" w:rsidRPr="00C86111" w:rsidRDefault="002B19B1" w:rsidP="00CC3651">
      <w:pPr>
        <w:jc w:val="both"/>
        <w:rPr>
          <w:rFonts w:asciiTheme="minorHAnsi" w:hAnsiTheme="minorHAnsi" w:cstheme="minorHAnsi"/>
          <w:color w:val="000000"/>
          <w:szCs w:val="24"/>
        </w:rPr>
      </w:pPr>
      <w:r w:rsidRPr="00C86111">
        <w:rPr>
          <w:rFonts w:asciiTheme="minorHAnsi" w:hAnsiTheme="minorHAnsi" w:cstheme="minorHAnsi"/>
          <w:szCs w:val="24"/>
        </w:rPr>
        <w:t>Ovi trendovi pokazuju da se crnogorska ekonomija uspješno adaptirala nakon šoka pandemije i da je ušla u fazu relativnog rasta. Rast BDP</w:t>
      </w:r>
      <w:r w:rsidRPr="00C86111">
        <w:rPr>
          <w:rFonts w:asciiTheme="minorHAnsi" w:hAnsiTheme="minorHAnsi" w:cstheme="minorHAnsi"/>
          <w:szCs w:val="24"/>
        </w:rPr>
        <w:noBreakHyphen/>
        <w:t>a potpomognut je investicijama, rastom potrošnje i oporavkom turizma.</w:t>
      </w:r>
    </w:p>
    <w:p w14:paraId="11DFBF28" w14:textId="77777777" w:rsidR="002B19B1" w:rsidRPr="00C86111" w:rsidRDefault="002B19B1" w:rsidP="00CC3651">
      <w:pPr>
        <w:jc w:val="both"/>
        <w:rPr>
          <w:rFonts w:asciiTheme="minorHAnsi" w:hAnsiTheme="minorHAnsi" w:cstheme="minorHAnsi"/>
          <w:szCs w:val="24"/>
        </w:rPr>
      </w:pPr>
      <w:r w:rsidRPr="00C86111">
        <w:rPr>
          <w:rFonts w:asciiTheme="minorHAnsi" w:hAnsiTheme="minorHAnsi" w:cstheme="minorHAnsi"/>
          <w:szCs w:val="24"/>
        </w:rPr>
        <w:t xml:space="preserve">S druge strane, struktura spoljnotrgovinske razmjene Crne Gore potvrđuje visok stepen oslonjenosti nacionalne ekonomije na uvoz. Prema podacima MONSTAT-a za 2023. godinu, ukupna robna razmjena iznosila je 4.484,4 miliona EUR, od čega je izvoz dostigao 674,3 miliona EUR, dok je vrijednost uvoza iznosila 3.810,1 miliona EUR. Time je nastavljen negativan trgovinski saldo, koji je dugoročna karakteristika crnogorske ekonomije. </w:t>
      </w:r>
    </w:p>
    <w:p w14:paraId="4FB50F3D" w14:textId="77777777" w:rsidR="002B19B1" w:rsidRPr="00C86111" w:rsidRDefault="002B19B1" w:rsidP="002B19B1">
      <w:pPr>
        <w:jc w:val="both"/>
        <w:rPr>
          <w:rFonts w:asciiTheme="minorHAnsi" w:hAnsiTheme="minorHAnsi" w:cstheme="minorHAnsi"/>
          <w:szCs w:val="24"/>
        </w:rPr>
      </w:pPr>
      <w:r w:rsidRPr="00C86111">
        <w:rPr>
          <w:rFonts w:asciiTheme="minorHAnsi" w:hAnsiTheme="minorHAnsi" w:cstheme="minorHAnsi"/>
          <w:szCs w:val="24"/>
        </w:rPr>
        <w:t>Analiza geografskog usmjerenja trgovinske razmjene pokazuje da uvoz Crne Gore u periodu 2020–2023. bilježi kontinuiran rast u gotovo svim regionalnim i bilateralnim kategorijama. Ukupan uvoz sa svjetskog tržišta porastao je sa 2,105 milijardi EUR u 2020. na 3,810 milijardi EUR u 2023. godini, što predstavlja povećanje od preko 80%. Evropa, kao najznačajniji spoljnotrgovinski partner, učestvovala je u uvozu sa 3,058 milijardi EUR u 2023., dok je uvoz iz zemalja EU-27 dostigao 1,744 milijarde EUR, čineći time centralni segment crnogorskog uvoznog tržišta.</w:t>
      </w:r>
    </w:p>
    <w:p w14:paraId="7016695B" w14:textId="77777777" w:rsidR="002B19B1" w:rsidRPr="00C86111" w:rsidRDefault="002B19B1" w:rsidP="002B19B1">
      <w:pPr>
        <w:jc w:val="both"/>
        <w:rPr>
          <w:rFonts w:asciiTheme="minorHAnsi" w:hAnsiTheme="minorHAnsi" w:cstheme="minorHAnsi"/>
          <w:szCs w:val="24"/>
        </w:rPr>
      </w:pPr>
      <w:r w:rsidRPr="00C86111">
        <w:rPr>
          <w:rFonts w:asciiTheme="minorHAnsi" w:hAnsiTheme="minorHAnsi" w:cstheme="minorHAnsi"/>
          <w:szCs w:val="24"/>
        </w:rPr>
        <w:t>Značajan doprinos ukupnom uvozu imaju i CEFTA partneri, sa rastom sa 606,7 miliona EUR u 2020. na 991,5 miliona EUR u 2023. Uvoz iz Azije, posebno iz Kine i Turske, pokazuje izražen i konstantan rast, kineski uvoz je porastao sa 218 miliona EUR (2020.) na 424,7 miliona EUR (2023.), dok je uvoz iz Turske dostigao 195,1 milion EUR u 2023. godini.</w:t>
      </w:r>
    </w:p>
    <w:p w14:paraId="26D4ABDD" w14:textId="77777777" w:rsidR="002B19B1" w:rsidRPr="00C86111" w:rsidRDefault="002B19B1" w:rsidP="002B19B1">
      <w:pPr>
        <w:jc w:val="both"/>
        <w:rPr>
          <w:rFonts w:asciiTheme="minorHAnsi" w:hAnsiTheme="minorHAnsi" w:cstheme="minorHAnsi"/>
          <w:szCs w:val="24"/>
        </w:rPr>
      </w:pPr>
      <w:r w:rsidRPr="00C86111">
        <w:rPr>
          <w:rFonts w:asciiTheme="minorHAnsi" w:hAnsiTheme="minorHAnsi" w:cstheme="minorHAnsi"/>
          <w:szCs w:val="24"/>
        </w:rPr>
        <w:t>Izvozni potencijal Crne Gore pokazuje znatno skromnije vrijednosti u odnosu na uvoz. Ukupan izvoz je 2023. godine dostigao 674,3 miliona EUR, nakon što je 2022. dosegao rekordnih 700,2 miliona EUR. Evropa ostaje primarno izvozno tržište, sa izvozom u iznosu od 618 miliona EUR u 2023., dok izvoz u zemlje EU-27 iznosi 243,5 miliona EUR. CEFTA region zadržava stabilnu i rastuću ulogu u crnogorskom izvozu, čineći 326,7 miliona EUR u 2023. godini, što je za gotovo duplo više u odnosu na 2020.</w:t>
      </w:r>
    </w:p>
    <w:p w14:paraId="47D21507" w14:textId="77777777" w:rsidR="002B19B1" w:rsidRPr="00C86111" w:rsidRDefault="002B19B1" w:rsidP="002B19B1">
      <w:pPr>
        <w:jc w:val="both"/>
        <w:rPr>
          <w:rFonts w:asciiTheme="minorHAnsi" w:hAnsiTheme="minorHAnsi" w:cstheme="minorHAnsi"/>
          <w:szCs w:val="24"/>
        </w:rPr>
      </w:pPr>
      <w:r w:rsidRPr="00C86111">
        <w:rPr>
          <w:rFonts w:asciiTheme="minorHAnsi" w:hAnsiTheme="minorHAnsi" w:cstheme="minorHAnsi"/>
          <w:szCs w:val="24"/>
        </w:rPr>
        <w:t>Primjetna je i promjena dinamike izvoza prema pojedinim državama. Izvoz u Kinu je zabilježio oscilacije, krećući se od 22,1 miliona EUR (2020.) do 12,9 miliona EUR (2022.), da bi 2023. iznosio 2,49 miliona EUR. Izvoz u Sjedinjene Američke Države pokazuje trend rasta, dostigavši 9,8 miliona EUR u 2023. godine, dok izvoz u Švajcarsku nakon rekordnih 108 miliona EUR u 2022., u 2023. opada na 25,1 milion EUR.</w:t>
      </w:r>
    </w:p>
    <w:p w14:paraId="617D7BEB" w14:textId="77777777" w:rsidR="002B19B1" w:rsidRPr="00C86111" w:rsidRDefault="002B19B1" w:rsidP="002B19B1">
      <w:pPr>
        <w:jc w:val="both"/>
        <w:rPr>
          <w:rFonts w:asciiTheme="minorHAnsi" w:hAnsiTheme="minorHAnsi" w:cstheme="minorHAnsi"/>
          <w:color w:val="FF0000"/>
          <w:szCs w:val="24"/>
        </w:rPr>
      </w:pPr>
      <w:r w:rsidRPr="00C86111">
        <w:rPr>
          <w:rFonts w:asciiTheme="minorHAnsi" w:hAnsiTheme="minorHAnsi" w:cstheme="minorHAnsi"/>
          <w:szCs w:val="24"/>
        </w:rPr>
        <w:t xml:space="preserve">Ovi podaci ukazuju na izrazito nepovoljnu strukturu spoljnotrgovinske razmjene, obilježenu visokim uvozno-zavisnim modelom ekonomije, </w:t>
      </w:r>
      <w:r w:rsidRPr="00C86111">
        <w:rPr>
          <w:rStyle w:val="Strong"/>
          <w:rFonts w:asciiTheme="minorHAnsi" w:hAnsiTheme="minorHAnsi" w:cstheme="minorHAnsi"/>
          <w:b w:val="0"/>
          <w:szCs w:val="24"/>
        </w:rPr>
        <w:t>nedovoljno razgranatom strukturom izvoza</w:t>
      </w:r>
      <w:r w:rsidRPr="00C86111">
        <w:rPr>
          <w:rFonts w:asciiTheme="minorHAnsi" w:hAnsiTheme="minorHAnsi" w:cstheme="minorHAnsi"/>
          <w:szCs w:val="24"/>
        </w:rPr>
        <w:t xml:space="preserve"> i zavisnošću od nekoliko ključnih regionalnih partnera.</w:t>
      </w:r>
    </w:p>
    <w:p w14:paraId="2607C010" w14:textId="7330559C" w:rsidR="002B19B1" w:rsidRPr="00C86111" w:rsidRDefault="002B19B1" w:rsidP="002B19B1">
      <w:pPr>
        <w:spacing w:before="100" w:beforeAutospacing="1" w:after="100" w:afterAutospacing="1"/>
        <w:jc w:val="both"/>
        <w:rPr>
          <w:rFonts w:asciiTheme="minorHAnsi" w:hAnsiTheme="minorHAnsi" w:cstheme="minorHAnsi"/>
          <w:szCs w:val="24"/>
        </w:rPr>
      </w:pPr>
      <w:r w:rsidRPr="00C86111">
        <w:rPr>
          <w:rFonts w:asciiTheme="minorHAnsi" w:hAnsiTheme="minorHAnsi" w:cstheme="minorHAnsi"/>
          <w:szCs w:val="24"/>
        </w:rPr>
        <w:t xml:space="preserve">U tabeli </w:t>
      </w:r>
      <w:r w:rsidR="00A12257" w:rsidRPr="00C86111">
        <w:rPr>
          <w:rFonts w:asciiTheme="minorHAnsi" w:hAnsiTheme="minorHAnsi" w:cstheme="minorHAnsi"/>
          <w:szCs w:val="24"/>
        </w:rPr>
        <w:t>3</w:t>
      </w:r>
      <w:r w:rsidRPr="00C86111">
        <w:rPr>
          <w:rFonts w:asciiTheme="minorHAnsi" w:hAnsiTheme="minorHAnsi" w:cstheme="minorHAnsi"/>
          <w:szCs w:val="24"/>
        </w:rPr>
        <w:t xml:space="preserve"> prikazan je pregled spoljnotrgovinske robne razmjene Crne Gore, raspoređene prema kontinentima i odabranim pojedinačnim državama koje imaju značajniji udio u ukupnom obimu uvoza i izvoza. Podaci obuhvataju period 2020-2023 godina i omogućavaju uočavanje ključnih trendova, promjena u geografskom usmjerenju trgovine, kao i identifikaciju najvažnijih partnera u međunarodnoj razmjeni roba.</w:t>
      </w:r>
    </w:p>
    <w:p w14:paraId="125FE98D" w14:textId="643FCF66" w:rsidR="002B19B1" w:rsidRDefault="002B19B1" w:rsidP="002B19B1">
      <w:pPr>
        <w:shd w:val="clear" w:color="auto" w:fill="FFFFFF"/>
        <w:spacing w:line="360" w:lineRule="atLeast"/>
        <w:jc w:val="both"/>
        <w:rPr>
          <w:rFonts w:asciiTheme="minorHAnsi" w:eastAsia="Times New Roman" w:hAnsiTheme="minorHAnsi" w:cstheme="minorHAnsi"/>
          <w:color w:val="0A0A0A"/>
          <w:szCs w:val="24"/>
          <w:lang w:eastAsia="en-GB"/>
        </w:rPr>
      </w:pPr>
      <w:r w:rsidRPr="00C86111">
        <w:rPr>
          <w:rFonts w:asciiTheme="minorHAnsi" w:eastAsia="Times New Roman" w:hAnsiTheme="minorHAnsi" w:cstheme="minorHAnsi"/>
          <w:b/>
          <w:bCs/>
          <w:color w:val="0A0A0A"/>
          <w:szCs w:val="24"/>
          <w:lang w:eastAsia="en-GB"/>
        </w:rPr>
        <w:lastRenderedPageBreak/>
        <w:t xml:space="preserve"> Tabela </w:t>
      </w:r>
      <w:r w:rsidR="00A12257" w:rsidRPr="00C86111">
        <w:rPr>
          <w:rFonts w:asciiTheme="minorHAnsi" w:eastAsia="Times New Roman" w:hAnsiTheme="minorHAnsi" w:cstheme="minorHAnsi"/>
          <w:b/>
          <w:bCs/>
          <w:color w:val="0A0A0A"/>
          <w:szCs w:val="24"/>
          <w:lang w:eastAsia="en-GB"/>
        </w:rPr>
        <w:t>3</w:t>
      </w:r>
      <w:r w:rsidRPr="00C86111">
        <w:rPr>
          <w:rFonts w:asciiTheme="minorHAnsi" w:eastAsia="Times New Roman" w:hAnsiTheme="minorHAnsi" w:cstheme="minorHAnsi"/>
          <w:b/>
          <w:bCs/>
          <w:color w:val="0A0A0A"/>
          <w:szCs w:val="24"/>
          <w:lang w:eastAsia="en-GB"/>
        </w:rPr>
        <w:t>.</w:t>
      </w:r>
      <w:r w:rsidRPr="00C86111">
        <w:rPr>
          <w:rFonts w:asciiTheme="minorHAnsi" w:eastAsia="Times New Roman" w:hAnsiTheme="minorHAnsi" w:cstheme="minorHAnsi"/>
          <w:color w:val="0A0A0A"/>
          <w:szCs w:val="24"/>
          <w:lang w:eastAsia="en-GB"/>
        </w:rPr>
        <w:t xml:space="preserve"> Spoljnotrgovinska robna razmjena Crne Gore po kontinentima i odabranim zemljama </w:t>
      </w:r>
    </w:p>
    <w:tbl>
      <w:tblPr>
        <w:tblStyle w:val="GridTable5Dark-Accent6"/>
        <w:tblW w:w="9585" w:type="dxa"/>
        <w:tblLook w:val="04A0" w:firstRow="1" w:lastRow="0" w:firstColumn="1" w:lastColumn="0" w:noHBand="0" w:noVBand="1"/>
      </w:tblPr>
      <w:tblGrid>
        <w:gridCol w:w="1284"/>
        <w:gridCol w:w="1070"/>
        <w:gridCol w:w="1069"/>
        <w:gridCol w:w="1026"/>
        <w:gridCol w:w="1026"/>
        <w:gridCol w:w="1069"/>
        <w:gridCol w:w="1069"/>
        <w:gridCol w:w="986"/>
        <w:gridCol w:w="986"/>
      </w:tblGrid>
      <w:tr w:rsidR="002B19B1" w:rsidRPr="00C86111" w14:paraId="1CA52D36" w14:textId="77777777" w:rsidTr="00375D24">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4" w:type="dxa"/>
            <w:vMerge w:val="restart"/>
            <w:vAlign w:val="center"/>
            <w:hideMark/>
          </w:tcPr>
          <w:p w14:paraId="10678C41" w14:textId="77777777" w:rsidR="002B19B1" w:rsidRPr="00C86111" w:rsidRDefault="002B19B1" w:rsidP="00BC765B">
            <w:pPr>
              <w:jc w:val="center"/>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TRGOVINSKI PARTNERI</w:t>
            </w:r>
          </w:p>
        </w:tc>
        <w:tc>
          <w:tcPr>
            <w:tcW w:w="4191" w:type="dxa"/>
            <w:gridSpan w:val="4"/>
            <w:noWrap/>
            <w:vAlign w:val="center"/>
            <w:hideMark/>
          </w:tcPr>
          <w:p w14:paraId="6F7C460B" w14:textId="77777777" w:rsidR="002B19B1" w:rsidRPr="00C86111" w:rsidRDefault="002B19B1" w:rsidP="00BC765B">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UVOZ</w:t>
            </w:r>
          </w:p>
        </w:tc>
        <w:tc>
          <w:tcPr>
            <w:tcW w:w="4110" w:type="dxa"/>
            <w:gridSpan w:val="4"/>
            <w:noWrap/>
            <w:vAlign w:val="center"/>
            <w:hideMark/>
          </w:tcPr>
          <w:p w14:paraId="0D980930" w14:textId="77777777" w:rsidR="002B19B1" w:rsidRPr="00C86111" w:rsidRDefault="002B19B1" w:rsidP="00BC765B">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IZVOZ</w:t>
            </w:r>
          </w:p>
        </w:tc>
      </w:tr>
      <w:tr w:rsidR="002B19B1" w:rsidRPr="00C86111" w14:paraId="3BD02C5E" w14:textId="77777777" w:rsidTr="00375D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4" w:type="dxa"/>
            <w:vMerge/>
            <w:vAlign w:val="center"/>
            <w:hideMark/>
          </w:tcPr>
          <w:p w14:paraId="07C441FE" w14:textId="77777777" w:rsidR="002B19B1" w:rsidRPr="00C86111" w:rsidRDefault="002B19B1" w:rsidP="00BC765B">
            <w:pPr>
              <w:rPr>
                <w:rFonts w:asciiTheme="minorHAnsi" w:eastAsia="Times New Roman" w:hAnsiTheme="minorHAnsi" w:cstheme="minorHAnsi"/>
                <w:b w:val="0"/>
                <w:bCs w:val="0"/>
                <w:color w:val="000000"/>
                <w:sz w:val="20"/>
                <w:szCs w:val="20"/>
                <w:lang w:eastAsia="en-GB"/>
              </w:rPr>
            </w:pPr>
          </w:p>
        </w:tc>
        <w:tc>
          <w:tcPr>
            <w:tcW w:w="1070" w:type="dxa"/>
            <w:noWrap/>
            <w:vAlign w:val="center"/>
            <w:hideMark/>
          </w:tcPr>
          <w:p w14:paraId="0F246ACB"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lang w:eastAsia="en-GB"/>
              </w:rPr>
            </w:pPr>
            <w:r w:rsidRPr="00C86111">
              <w:rPr>
                <w:rFonts w:asciiTheme="minorHAnsi" w:eastAsia="Times New Roman" w:hAnsiTheme="minorHAnsi" w:cstheme="minorHAnsi"/>
                <w:b/>
                <w:bCs/>
                <w:color w:val="000000"/>
                <w:sz w:val="20"/>
                <w:szCs w:val="20"/>
                <w:lang w:eastAsia="en-GB"/>
              </w:rPr>
              <w:t>Jan - Dec 2020</w:t>
            </w:r>
          </w:p>
        </w:tc>
        <w:tc>
          <w:tcPr>
            <w:tcW w:w="1069" w:type="dxa"/>
            <w:noWrap/>
            <w:vAlign w:val="center"/>
            <w:hideMark/>
          </w:tcPr>
          <w:p w14:paraId="0321A619"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lang w:eastAsia="en-GB"/>
              </w:rPr>
            </w:pPr>
            <w:r w:rsidRPr="00C86111">
              <w:rPr>
                <w:rFonts w:asciiTheme="minorHAnsi" w:eastAsia="Times New Roman" w:hAnsiTheme="minorHAnsi" w:cstheme="minorHAnsi"/>
                <w:b/>
                <w:bCs/>
                <w:color w:val="000000"/>
                <w:sz w:val="20"/>
                <w:szCs w:val="20"/>
                <w:lang w:eastAsia="en-GB"/>
              </w:rPr>
              <w:t>Jan - Dec 2021</w:t>
            </w:r>
          </w:p>
        </w:tc>
        <w:tc>
          <w:tcPr>
            <w:tcW w:w="1026" w:type="dxa"/>
            <w:noWrap/>
            <w:vAlign w:val="center"/>
            <w:hideMark/>
          </w:tcPr>
          <w:p w14:paraId="3CEDB0F9"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lang w:eastAsia="en-GB"/>
              </w:rPr>
            </w:pPr>
            <w:r w:rsidRPr="00C86111">
              <w:rPr>
                <w:rFonts w:asciiTheme="minorHAnsi" w:eastAsia="Times New Roman" w:hAnsiTheme="minorHAnsi" w:cstheme="minorHAnsi"/>
                <w:b/>
                <w:bCs/>
                <w:color w:val="000000"/>
                <w:sz w:val="20"/>
                <w:szCs w:val="20"/>
                <w:lang w:eastAsia="en-GB"/>
              </w:rPr>
              <w:t>Jan-Dec 2022</w:t>
            </w:r>
          </w:p>
        </w:tc>
        <w:tc>
          <w:tcPr>
            <w:tcW w:w="1026" w:type="dxa"/>
            <w:noWrap/>
            <w:vAlign w:val="center"/>
            <w:hideMark/>
          </w:tcPr>
          <w:p w14:paraId="05AB1A87"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lang w:eastAsia="en-GB"/>
              </w:rPr>
            </w:pPr>
            <w:r w:rsidRPr="00C86111">
              <w:rPr>
                <w:rFonts w:asciiTheme="minorHAnsi" w:eastAsia="Times New Roman" w:hAnsiTheme="minorHAnsi" w:cstheme="minorHAnsi"/>
                <w:b/>
                <w:bCs/>
                <w:color w:val="000000"/>
                <w:sz w:val="20"/>
                <w:szCs w:val="20"/>
                <w:lang w:eastAsia="en-GB"/>
              </w:rPr>
              <w:t>Jan-Dec 2023</w:t>
            </w:r>
          </w:p>
        </w:tc>
        <w:tc>
          <w:tcPr>
            <w:tcW w:w="1069" w:type="dxa"/>
            <w:noWrap/>
            <w:vAlign w:val="center"/>
            <w:hideMark/>
          </w:tcPr>
          <w:p w14:paraId="10255DE6"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lang w:eastAsia="en-GB"/>
              </w:rPr>
            </w:pPr>
            <w:r w:rsidRPr="00C86111">
              <w:rPr>
                <w:rFonts w:asciiTheme="minorHAnsi" w:eastAsia="Times New Roman" w:hAnsiTheme="minorHAnsi" w:cstheme="minorHAnsi"/>
                <w:b/>
                <w:bCs/>
                <w:color w:val="000000"/>
                <w:sz w:val="20"/>
                <w:szCs w:val="20"/>
                <w:lang w:eastAsia="en-GB"/>
              </w:rPr>
              <w:t>Jan - Dec 2020</w:t>
            </w:r>
          </w:p>
        </w:tc>
        <w:tc>
          <w:tcPr>
            <w:tcW w:w="1069" w:type="dxa"/>
            <w:noWrap/>
            <w:vAlign w:val="center"/>
            <w:hideMark/>
          </w:tcPr>
          <w:p w14:paraId="04900485"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lang w:eastAsia="en-GB"/>
              </w:rPr>
            </w:pPr>
            <w:r w:rsidRPr="00C86111">
              <w:rPr>
                <w:rFonts w:asciiTheme="minorHAnsi" w:eastAsia="Times New Roman" w:hAnsiTheme="minorHAnsi" w:cstheme="minorHAnsi"/>
                <w:b/>
                <w:bCs/>
                <w:color w:val="000000"/>
                <w:sz w:val="20"/>
                <w:szCs w:val="20"/>
                <w:lang w:eastAsia="en-GB"/>
              </w:rPr>
              <w:t>Jan - Dec 2021</w:t>
            </w:r>
          </w:p>
        </w:tc>
        <w:tc>
          <w:tcPr>
            <w:tcW w:w="986" w:type="dxa"/>
            <w:noWrap/>
            <w:vAlign w:val="center"/>
            <w:hideMark/>
          </w:tcPr>
          <w:p w14:paraId="240A0C21"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lang w:eastAsia="en-GB"/>
              </w:rPr>
            </w:pPr>
            <w:r w:rsidRPr="00C86111">
              <w:rPr>
                <w:rFonts w:asciiTheme="minorHAnsi" w:eastAsia="Times New Roman" w:hAnsiTheme="minorHAnsi" w:cstheme="minorHAnsi"/>
                <w:b/>
                <w:bCs/>
                <w:color w:val="000000"/>
                <w:sz w:val="20"/>
                <w:szCs w:val="20"/>
                <w:lang w:eastAsia="en-GB"/>
              </w:rPr>
              <w:t>Jan-Dec 2022</w:t>
            </w:r>
          </w:p>
        </w:tc>
        <w:tc>
          <w:tcPr>
            <w:tcW w:w="986" w:type="dxa"/>
            <w:noWrap/>
            <w:vAlign w:val="center"/>
            <w:hideMark/>
          </w:tcPr>
          <w:p w14:paraId="30800F1A"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lang w:eastAsia="en-GB"/>
              </w:rPr>
            </w:pPr>
            <w:r w:rsidRPr="00C86111">
              <w:rPr>
                <w:rFonts w:asciiTheme="minorHAnsi" w:eastAsia="Times New Roman" w:hAnsiTheme="minorHAnsi" w:cstheme="minorHAnsi"/>
                <w:b/>
                <w:bCs/>
                <w:color w:val="000000"/>
                <w:sz w:val="20"/>
                <w:szCs w:val="20"/>
                <w:lang w:eastAsia="en-GB"/>
              </w:rPr>
              <w:t>Jan-Dec 2023</w:t>
            </w:r>
          </w:p>
        </w:tc>
      </w:tr>
      <w:tr w:rsidR="002B19B1" w:rsidRPr="00C86111" w14:paraId="41364F43" w14:textId="77777777" w:rsidTr="00375D24">
        <w:trPr>
          <w:trHeight w:val="288"/>
        </w:trPr>
        <w:tc>
          <w:tcPr>
            <w:cnfStyle w:val="001000000000" w:firstRow="0" w:lastRow="0" w:firstColumn="1" w:lastColumn="0" w:oddVBand="0" w:evenVBand="0" w:oddHBand="0" w:evenHBand="0" w:firstRowFirstColumn="0" w:firstRowLastColumn="0" w:lastRowFirstColumn="0" w:lastRowLastColumn="0"/>
            <w:tcW w:w="1284" w:type="dxa"/>
            <w:vMerge/>
            <w:vAlign w:val="center"/>
            <w:hideMark/>
          </w:tcPr>
          <w:p w14:paraId="3C42D669" w14:textId="77777777" w:rsidR="002B19B1" w:rsidRPr="00C86111" w:rsidRDefault="002B19B1" w:rsidP="00BC765B">
            <w:pPr>
              <w:rPr>
                <w:rFonts w:asciiTheme="minorHAnsi" w:eastAsia="Times New Roman" w:hAnsiTheme="minorHAnsi" w:cstheme="minorHAnsi"/>
                <w:b w:val="0"/>
                <w:bCs w:val="0"/>
                <w:color w:val="000000"/>
                <w:sz w:val="20"/>
                <w:szCs w:val="20"/>
                <w:lang w:eastAsia="en-GB"/>
              </w:rPr>
            </w:pPr>
          </w:p>
        </w:tc>
        <w:tc>
          <w:tcPr>
            <w:tcW w:w="1070" w:type="dxa"/>
            <w:vAlign w:val="center"/>
            <w:hideMark/>
          </w:tcPr>
          <w:p w14:paraId="6B283FD3"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u hilj. EUR</w:t>
            </w:r>
          </w:p>
        </w:tc>
        <w:tc>
          <w:tcPr>
            <w:tcW w:w="1069" w:type="dxa"/>
            <w:vAlign w:val="center"/>
            <w:hideMark/>
          </w:tcPr>
          <w:p w14:paraId="02257F03"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u hilj. EUR</w:t>
            </w:r>
          </w:p>
        </w:tc>
        <w:tc>
          <w:tcPr>
            <w:tcW w:w="1026" w:type="dxa"/>
            <w:noWrap/>
            <w:vAlign w:val="center"/>
            <w:hideMark/>
          </w:tcPr>
          <w:p w14:paraId="73864538"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u hilj. EUR </w:t>
            </w:r>
          </w:p>
        </w:tc>
        <w:tc>
          <w:tcPr>
            <w:tcW w:w="1026" w:type="dxa"/>
            <w:vAlign w:val="center"/>
            <w:hideMark/>
          </w:tcPr>
          <w:p w14:paraId="011A58DB"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u hilj. EUR</w:t>
            </w:r>
          </w:p>
        </w:tc>
        <w:tc>
          <w:tcPr>
            <w:tcW w:w="1069" w:type="dxa"/>
            <w:vAlign w:val="center"/>
            <w:hideMark/>
          </w:tcPr>
          <w:p w14:paraId="6ACF7623"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u hilj. EUR</w:t>
            </w:r>
          </w:p>
        </w:tc>
        <w:tc>
          <w:tcPr>
            <w:tcW w:w="1069" w:type="dxa"/>
            <w:vAlign w:val="center"/>
            <w:hideMark/>
          </w:tcPr>
          <w:p w14:paraId="33F41FD7"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u hilj. EUR</w:t>
            </w:r>
          </w:p>
        </w:tc>
        <w:tc>
          <w:tcPr>
            <w:tcW w:w="986" w:type="dxa"/>
            <w:vAlign w:val="center"/>
            <w:hideMark/>
          </w:tcPr>
          <w:p w14:paraId="37765B8A"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u hilj. EUR</w:t>
            </w:r>
          </w:p>
        </w:tc>
        <w:tc>
          <w:tcPr>
            <w:tcW w:w="986" w:type="dxa"/>
            <w:vAlign w:val="center"/>
            <w:hideMark/>
          </w:tcPr>
          <w:p w14:paraId="52A28E34"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u hilj. EUR</w:t>
            </w:r>
          </w:p>
        </w:tc>
      </w:tr>
      <w:tr w:rsidR="002B19B1" w:rsidRPr="00C86111" w14:paraId="19EA766D" w14:textId="77777777" w:rsidTr="00375D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5B8B862B"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SVIJET</w:t>
            </w:r>
          </w:p>
        </w:tc>
        <w:tc>
          <w:tcPr>
            <w:tcW w:w="1070" w:type="dxa"/>
            <w:noWrap/>
            <w:vAlign w:val="center"/>
            <w:hideMark/>
          </w:tcPr>
          <w:p w14:paraId="12A70EBE"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2,105,170 </w:t>
            </w:r>
          </w:p>
        </w:tc>
        <w:tc>
          <w:tcPr>
            <w:tcW w:w="1069" w:type="dxa"/>
            <w:noWrap/>
            <w:vAlign w:val="center"/>
            <w:hideMark/>
          </w:tcPr>
          <w:p w14:paraId="2DED50D0"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2,505,115 </w:t>
            </w:r>
          </w:p>
        </w:tc>
        <w:tc>
          <w:tcPr>
            <w:tcW w:w="1026" w:type="dxa"/>
            <w:noWrap/>
            <w:vAlign w:val="center"/>
            <w:hideMark/>
          </w:tcPr>
          <w:p w14:paraId="04420179"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3,533,838 </w:t>
            </w:r>
          </w:p>
        </w:tc>
        <w:tc>
          <w:tcPr>
            <w:tcW w:w="1026" w:type="dxa"/>
            <w:noWrap/>
            <w:vAlign w:val="center"/>
            <w:hideMark/>
          </w:tcPr>
          <w:p w14:paraId="733F447D"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3,810,125 </w:t>
            </w:r>
          </w:p>
        </w:tc>
        <w:tc>
          <w:tcPr>
            <w:tcW w:w="1069" w:type="dxa"/>
            <w:noWrap/>
            <w:vAlign w:val="center"/>
            <w:hideMark/>
          </w:tcPr>
          <w:p w14:paraId="5D335ED4"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366,128 </w:t>
            </w:r>
          </w:p>
        </w:tc>
        <w:tc>
          <w:tcPr>
            <w:tcW w:w="1069" w:type="dxa"/>
            <w:noWrap/>
            <w:vAlign w:val="center"/>
            <w:hideMark/>
          </w:tcPr>
          <w:p w14:paraId="16C9C8C1"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437,045 </w:t>
            </w:r>
          </w:p>
        </w:tc>
        <w:tc>
          <w:tcPr>
            <w:tcW w:w="986" w:type="dxa"/>
            <w:noWrap/>
            <w:vAlign w:val="center"/>
            <w:hideMark/>
          </w:tcPr>
          <w:p w14:paraId="56275081"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700,252 </w:t>
            </w:r>
          </w:p>
        </w:tc>
        <w:tc>
          <w:tcPr>
            <w:tcW w:w="986" w:type="dxa"/>
            <w:noWrap/>
            <w:vAlign w:val="center"/>
            <w:hideMark/>
          </w:tcPr>
          <w:p w14:paraId="3D484E23"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674,331 </w:t>
            </w:r>
          </w:p>
        </w:tc>
      </w:tr>
      <w:tr w:rsidR="002B19B1" w:rsidRPr="00C86111" w14:paraId="3F1AEEB9" w14:textId="77777777" w:rsidTr="00375D24">
        <w:trPr>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52CDE1AE"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Evropa </w:t>
            </w:r>
          </w:p>
        </w:tc>
        <w:tc>
          <w:tcPr>
            <w:tcW w:w="1070" w:type="dxa"/>
            <w:noWrap/>
            <w:vAlign w:val="center"/>
            <w:hideMark/>
          </w:tcPr>
          <w:p w14:paraId="3F579EE3"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1,723,159 </w:t>
            </w:r>
          </w:p>
        </w:tc>
        <w:tc>
          <w:tcPr>
            <w:tcW w:w="1069" w:type="dxa"/>
            <w:noWrap/>
            <w:vAlign w:val="center"/>
            <w:hideMark/>
          </w:tcPr>
          <w:p w14:paraId="1F7739AB"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2,073,368 </w:t>
            </w:r>
          </w:p>
        </w:tc>
        <w:tc>
          <w:tcPr>
            <w:tcW w:w="1026" w:type="dxa"/>
            <w:noWrap/>
            <w:vAlign w:val="center"/>
            <w:hideMark/>
          </w:tcPr>
          <w:p w14:paraId="3BEC085F"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2,847,110 </w:t>
            </w:r>
          </w:p>
        </w:tc>
        <w:tc>
          <w:tcPr>
            <w:tcW w:w="1026" w:type="dxa"/>
            <w:noWrap/>
            <w:vAlign w:val="center"/>
            <w:hideMark/>
          </w:tcPr>
          <w:p w14:paraId="690A07A4"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3,058,283 </w:t>
            </w:r>
          </w:p>
        </w:tc>
        <w:tc>
          <w:tcPr>
            <w:tcW w:w="1069" w:type="dxa"/>
            <w:noWrap/>
            <w:vAlign w:val="center"/>
            <w:hideMark/>
          </w:tcPr>
          <w:p w14:paraId="40D40455"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331,435 </w:t>
            </w:r>
          </w:p>
        </w:tc>
        <w:tc>
          <w:tcPr>
            <w:tcW w:w="1069" w:type="dxa"/>
            <w:noWrap/>
            <w:vAlign w:val="center"/>
            <w:hideMark/>
          </w:tcPr>
          <w:p w14:paraId="20B6FDFB"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411,091 </w:t>
            </w:r>
          </w:p>
        </w:tc>
        <w:tc>
          <w:tcPr>
            <w:tcW w:w="986" w:type="dxa"/>
            <w:noWrap/>
            <w:vAlign w:val="center"/>
            <w:hideMark/>
          </w:tcPr>
          <w:p w14:paraId="273A5C81"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646,720 </w:t>
            </w:r>
          </w:p>
        </w:tc>
        <w:tc>
          <w:tcPr>
            <w:tcW w:w="986" w:type="dxa"/>
            <w:noWrap/>
            <w:vAlign w:val="center"/>
            <w:hideMark/>
          </w:tcPr>
          <w:p w14:paraId="04FB7DEF"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618,010 </w:t>
            </w:r>
          </w:p>
        </w:tc>
      </w:tr>
      <w:tr w:rsidR="002B19B1" w:rsidRPr="00C86111" w14:paraId="096D6A9C" w14:textId="77777777" w:rsidTr="00375D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07451231"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Eu-27</w:t>
            </w:r>
          </w:p>
        </w:tc>
        <w:tc>
          <w:tcPr>
            <w:tcW w:w="1070" w:type="dxa"/>
            <w:noWrap/>
            <w:vAlign w:val="center"/>
            <w:hideMark/>
          </w:tcPr>
          <w:p w14:paraId="7FD79340"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929,418 </w:t>
            </w:r>
          </w:p>
        </w:tc>
        <w:tc>
          <w:tcPr>
            <w:tcW w:w="1069" w:type="dxa"/>
            <w:noWrap/>
            <w:vAlign w:val="center"/>
            <w:hideMark/>
          </w:tcPr>
          <w:p w14:paraId="0C38F9F6"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1,144,356 </w:t>
            </w:r>
          </w:p>
        </w:tc>
        <w:tc>
          <w:tcPr>
            <w:tcW w:w="1026" w:type="dxa"/>
            <w:noWrap/>
            <w:vAlign w:val="center"/>
            <w:hideMark/>
          </w:tcPr>
          <w:p w14:paraId="00DA01A7"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1,560,768 </w:t>
            </w:r>
          </w:p>
        </w:tc>
        <w:tc>
          <w:tcPr>
            <w:tcW w:w="1026" w:type="dxa"/>
            <w:noWrap/>
            <w:vAlign w:val="center"/>
            <w:hideMark/>
          </w:tcPr>
          <w:p w14:paraId="467E0862"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1,744,190 </w:t>
            </w:r>
          </w:p>
        </w:tc>
        <w:tc>
          <w:tcPr>
            <w:tcW w:w="1069" w:type="dxa"/>
            <w:noWrap/>
            <w:vAlign w:val="center"/>
            <w:hideMark/>
          </w:tcPr>
          <w:p w14:paraId="6C147197"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137,707 </w:t>
            </w:r>
          </w:p>
        </w:tc>
        <w:tc>
          <w:tcPr>
            <w:tcW w:w="1069" w:type="dxa"/>
            <w:noWrap/>
            <w:vAlign w:val="center"/>
            <w:hideMark/>
          </w:tcPr>
          <w:p w14:paraId="675698ED"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136,103 </w:t>
            </w:r>
          </w:p>
        </w:tc>
        <w:tc>
          <w:tcPr>
            <w:tcW w:w="986" w:type="dxa"/>
            <w:noWrap/>
            <w:vAlign w:val="center"/>
            <w:hideMark/>
          </w:tcPr>
          <w:p w14:paraId="0035ABAC"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212,186 </w:t>
            </w:r>
          </w:p>
        </w:tc>
        <w:tc>
          <w:tcPr>
            <w:tcW w:w="986" w:type="dxa"/>
            <w:noWrap/>
            <w:vAlign w:val="center"/>
            <w:hideMark/>
          </w:tcPr>
          <w:p w14:paraId="2607845B"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243,477 </w:t>
            </w:r>
          </w:p>
        </w:tc>
      </w:tr>
      <w:tr w:rsidR="002B19B1" w:rsidRPr="00C86111" w14:paraId="5FA754D7" w14:textId="77777777" w:rsidTr="00375D24">
        <w:trPr>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459F927A"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CEFTA</w:t>
            </w:r>
          </w:p>
        </w:tc>
        <w:tc>
          <w:tcPr>
            <w:tcW w:w="1070" w:type="dxa"/>
            <w:noWrap/>
            <w:vAlign w:val="center"/>
            <w:hideMark/>
          </w:tcPr>
          <w:p w14:paraId="15C327D1"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606,694 </w:t>
            </w:r>
          </w:p>
        </w:tc>
        <w:tc>
          <w:tcPr>
            <w:tcW w:w="1069" w:type="dxa"/>
            <w:noWrap/>
            <w:vAlign w:val="center"/>
            <w:hideMark/>
          </w:tcPr>
          <w:p w14:paraId="7ADB3A10"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713,493 </w:t>
            </w:r>
          </w:p>
        </w:tc>
        <w:tc>
          <w:tcPr>
            <w:tcW w:w="1026" w:type="dxa"/>
            <w:noWrap/>
            <w:vAlign w:val="center"/>
            <w:hideMark/>
          </w:tcPr>
          <w:p w14:paraId="474F8068"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925,351 </w:t>
            </w:r>
          </w:p>
        </w:tc>
        <w:tc>
          <w:tcPr>
            <w:tcW w:w="1026" w:type="dxa"/>
            <w:noWrap/>
            <w:vAlign w:val="center"/>
            <w:hideMark/>
          </w:tcPr>
          <w:p w14:paraId="4FFDF4B7"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991,518 </w:t>
            </w:r>
          </w:p>
        </w:tc>
        <w:tc>
          <w:tcPr>
            <w:tcW w:w="1069" w:type="dxa"/>
            <w:noWrap/>
            <w:vAlign w:val="center"/>
            <w:hideMark/>
          </w:tcPr>
          <w:p w14:paraId="5CA1EFA3"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165,074 </w:t>
            </w:r>
          </w:p>
        </w:tc>
        <w:tc>
          <w:tcPr>
            <w:tcW w:w="1069" w:type="dxa"/>
            <w:noWrap/>
            <w:vAlign w:val="center"/>
            <w:hideMark/>
          </w:tcPr>
          <w:p w14:paraId="4B733447"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188,844 </w:t>
            </w:r>
          </w:p>
        </w:tc>
        <w:tc>
          <w:tcPr>
            <w:tcW w:w="986" w:type="dxa"/>
            <w:noWrap/>
            <w:vAlign w:val="center"/>
            <w:hideMark/>
          </w:tcPr>
          <w:p w14:paraId="1DA96F7F"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291,728 </w:t>
            </w:r>
          </w:p>
        </w:tc>
        <w:tc>
          <w:tcPr>
            <w:tcW w:w="986" w:type="dxa"/>
            <w:noWrap/>
            <w:vAlign w:val="center"/>
            <w:hideMark/>
          </w:tcPr>
          <w:p w14:paraId="08271D9A"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326,699 </w:t>
            </w:r>
          </w:p>
        </w:tc>
      </w:tr>
      <w:tr w:rsidR="002B19B1" w:rsidRPr="00C86111" w14:paraId="6EE5BD63" w14:textId="77777777" w:rsidTr="00375D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316EA947"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Afrika </w:t>
            </w:r>
          </w:p>
        </w:tc>
        <w:tc>
          <w:tcPr>
            <w:tcW w:w="1070" w:type="dxa"/>
            <w:noWrap/>
            <w:vAlign w:val="center"/>
            <w:hideMark/>
          </w:tcPr>
          <w:p w14:paraId="7D60D537"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7,325 </w:t>
            </w:r>
          </w:p>
        </w:tc>
        <w:tc>
          <w:tcPr>
            <w:tcW w:w="1069" w:type="dxa"/>
            <w:noWrap/>
            <w:vAlign w:val="center"/>
            <w:hideMark/>
          </w:tcPr>
          <w:p w14:paraId="06E0A9AD"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9,359 </w:t>
            </w:r>
          </w:p>
        </w:tc>
        <w:tc>
          <w:tcPr>
            <w:tcW w:w="1026" w:type="dxa"/>
            <w:noWrap/>
            <w:vAlign w:val="center"/>
            <w:hideMark/>
          </w:tcPr>
          <w:p w14:paraId="73DA0DB6"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15,231 </w:t>
            </w:r>
          </w:p>
        </w:tc>
        <w:tc>
          <w:tcPr>
            <w:tcW w:w="1026" w:type="dxa"/>
            <w:noWrap/>
            <w:vAlign w:val="center"/>
            <w:hideMark/>
          </w:tcPr>
          <w:p w14:paraId="0F4D0458"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11,496 </w:t>
            </w:r>
          </w:p>
        </w:tc>
        <w:tc>
          <w:tcPr>
            <w:tcW w:w="1069" w:type="dxa"/>
            <w:noWrap/>
            <w:vAlign w:val="center"/>
            <w:hideMark/>
          </w:tcPr>
          <w:p w14:paraId="18AC55F3"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4,379 </w:t>
            </w:r>
          </w:p>
        </w:tc>
        <w:tc>
          <w:tcPr>
            <w:tcW w:w="1069" w:type="dxa"/>
            <w:noWrap/>
            <w:vAlign w:val="center"/>
            <w:hideMark/>
          </w:tcPr>
          <w:p w14:paraId="266A04AD"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5,759 </w:t>
            </w:r>
          </w:p>
        </w:tc>
        <w:tc>
          <w:tcPr>
            <w:tcW w:w="986" w:type="dxa"/>
            <w:noWrap/>
            <w:vAlign w:val="center"/>
            <w:hideMark/>
          </w:tcPr>
          <w:p w14:paraId="4C421991"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3,280 </w:t>
            </w:r>
          </w:p>
        </w:tc>
        <w:tc>
          <w:tcPr>
            <w:tcW w:w="986" w:type="dxa"/>
            <w:noWrap/>
            <w:vAlign w:val="center"/>
            <w:hideMark/>
          </w:tcPr>
          <w:p w14:paraId="1EDBBCC6"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2,434 </w:t>
            </w:r>
          </w:p>
        </w:tc>
      </w:tr>
      <w:tr w:rsidR="002B19B1" w:rsidRPr="00C86111" w14:paraId="227DA461" w14:textId="77777777" w:rsidTr="00375D24">
        <w:trPr>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7E9F6769"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Azija</w:t>
            </w:r>
          </w:p>
        </w:tc>
        <w:tc>
          <w:tcPr>
            <w:tcW w:w="1070" w:type="dxa"/>
            <w:noWrap/>
            <w:vAlign w:val="center"/>
            <w:hideMark/>
          </w:tcPr>
          <w:p w14:paraId="444F2F70"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316,025 </w:t>
            </w:r>
          </w:p>
        </w:tc>
        <w:tc>
          <w:tcPr>
            <w:tcW w:w="1069" w:type="dxa"/>
            <w:noWrap/>
            <w:vAlign w:val="center"/>
            <w:hideMark/>
          </w:tcPr>
          <w:p w14:paraId="2CDBC51D"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355,763 </w:t>
            </w:r>
          </w:p>
        </w:tc>
        <w:tc>
          <w:tcPr>
            <w:tcW w:w="1026" w:type="dxa"/>
            <w:noWrap/>
            <w:vAlign w:val="center"/>
            <w:hideMark/>
          </w:tcPr>
          <w:p w14:paraId="0625B2D2"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508,725 </w:t>
            </w:r>
          </w:p>
        </w:tc>
        <w:tc>
          <w:tcPr>
            <w:tcW w:w="1026" w:type="dxa"/>
            <w:noWrap/>
            <w:vAlign w:val="center"/>
            <w:hideMark/>
          </w:tcPr>
          <w:p w14:paraId="6F49C820"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630,826 </w:t>
            </w:r>
          </w:p>
        </w:tc>
        <w:tc>
          <w:tcPr>
            <w:tcW w:w="1069" w:type="dxa"/>
            <w:noWrap/>
            <w:vAlign w:val="center"/>
            <w:hideMark/>
          </w:tcPr>
          <w:p w14:paraId="7C8F6969"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27,123 </w:t>
            </w:r>
          </w:p>
        </w:tc>
        <w:tc>
          <w:tcPr>
            <w:tcW w:w="1069" w:type="dxa"/>
            <w:noWrap/>
            <w:vAlign w:val="center"/>
            <w:hideMark/>
          </w:tcPr>
          <w:p w14:paraId="24CBCFAA"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15,448 </w:t>
            </w:r>
          </w:p>
        </w:tc>
        <w:tc>
          <w:tcPr>
            <w:tcW w:w="986" w:type="dxa"/>
            <w:noWrap/>
            <w:vAlign w:val="center"/>
            <w:hideMark/>
          </w:tcPr>
          <w:p w14:paraId="39EA839A"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44,448 </w:t>
            </w:r>
          </w:p>
        </w:tc>
        <w:tc>
          <w:tcPr>
            <w:tcW w:w="986" w:type="dxa"/>
            <w:noWrap/>
            <w:vAlign w:val="center"/>
            <w:hideMark/>
          </w:tcPr>
          <w:p w14:paraId="74C7726D"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43,138 </w:t>
            </w:r>
          </w:p>
        </w:tc>
      </w:tr>
      <w:tr w:rsidR="002B19B1" w:rsidRPr="00C86111" w14:paraId="58F54765" w14:textId="77777777" w:rsidTr="00375D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4917DC8D"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Amerika</w:t>
            </w:r>
          </w:p>
        </w:tc>
        <w:tc>
          <w:tcPr>
            <w:tcW w:w="1070" w:type="dxa"/>
            <w:noWrap/>
            <w:vAlign w:val="center"/>
            <w:hideMark/>
          </w:tcPr>
          <w:p w14:paraId="3374F9B8"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57,850 </w:t>
            </w:r>
          </w:p>
        </w:tc>
        <w:tc>
          <w:tcPr>
            <w:tcW w:w="1069" w:type="dxa"/>
            <w:noWrap/>
            <w:vAlign w:val="center"/>
            <w:hideMark/>
          </w:tcPr>
          <w:p w14:paraId="299CE249"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65,578 </w:t>
            </w:r>
          </w:p>
        </w:tc>
        <w:tc>
          <w:tcPr>
            <w:tcW w:w="1026" w:type="dxa"/>
            <w:noWrap/>
            <w:vAlign w:val="center"/>
            <w:hideMark/>
          </w:tcPr>
          <w:p w14:paraId="02A1C737"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161,481 </w:t>
            </w:r>
          </w:p>
        </w:tc>
        <w:tc>
          <w:tcPr>
            <w:tcW w:w="1026" w:type="dxa"/>
            <w:noWrap/>
            <w:vAlign w:val="center"/>
            <w:hideMark/>
          </w:tcPr>
          <w:p w14:paraId="13644168"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107,328 </w:t>
            </w:r>
          </w:p>
        </w:tc>
        <w:tc>
          <w:tcPr>
            <w:tcW w:w="1069" w:type="dxa"/>
            <w:noWrap/>
            <w:vAlign w:val="center"/>
            <w:hideMark/>
          </w:tcPr>
          <w:p w14:paraId="082DDDA5"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3,097 </w:t>
            </w:r>
          </w:p>
        </w:tc>
        <w:tc>
          <w:tcPr>
            <w:tcW w:w="1069" w:type="dxa"/>
            <w:noWrap/>
            <w:vAlign w:val="center"/>
            <w:hideMark/>
          </w:tcPr>
          <w:p w14:paraId="629CC986"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4,619 </w:t>
            </w:r>
          </w:p>
        </w:tc>
        <w:tc>
          <w:tcPr>
            <w:tcW w:w="986" w:type="dxa"/>
            <w:noWrap/>
            <w:vAlign w:val="center"/>
            <w:hideMark/>
          </w:tcPr>
          <w:p w14:paraId="33EBF791"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5,591 </w:t>
            </w:r>
          </w:p>
        </w:tc>
        <w:tc>
          <w:tcPr>
            <w:tcW w:w="986" w:type="dxa"/>
            <w:noWrap/>
            <w:vAlign w:val="center"/>
            <w:hideMark/>
          </w:tcPr>
          <w:p w14:paraId="7E854000"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10,432 </w:t>
            </w:r>
          </w:p>
        </w:tc>
      </w:tr>
      <w:tr w:rsidR="002B19B1" w:rsidRPr="00C86111" w14:paraId="4DCA0099" w14:textId="77777777" w:rsidTr="00375D24">
        <w:trPr>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54C0D039"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Okeanija </w:t>
            </w:r>
          </w:p>
        </w:tc>
        <w:tc>
          <w:tcPr>
            <w:tcW w:w="1070" w:type="dxa"/>
            <w:noWrap/>
            <w:vAlign w:val="center"/>
            <w:hideMark/>
          </w:tcPr>
          <w:p w14:paraId="0400EF15"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811 </w:t>
            </w:r>
          </w:p>
        </w:tc>
        <w:tc>
          <w:tcPr>
            <w:tcW w:w="1069" w:type="dxa"/>
            <w:noWrap/>
            <w:vAlign w:val="center"/>
            <w:hideMark/>
          </w:tcPr>
          <w:p w14:paraId="32E099F9"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1,047 </w:t>
            </w:r>
          </w:p>
        </w:tc>
        <w:tc>
          <w:tcPr>
            <w:tcW w:w="1026" w:type="dxa"/>
            <w:noWrap/>
            <w:vAlign w:val="center"/>
            <w:hideMark/>
          </w:tcPr>
          <w:p w14:paraId="6D7FB8C6"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1,291 </w:t>
            </w:r>
          </w:p>
        </w:tc>
        <w:tc>
          <w:tcPr>
            <w:tcW w:w="1026" w:type="dxa"/>
            <w:noWrap/>
            <w:vAlign w:val="center"/>
            <w:hideMark/>
          </w:tcPr>
          <w:p w14:paraId="57E08388"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2,192 </w:t>
            </w:r>
          </w:p>
        </w:tc>
        <w:tc>
          <w:tcPr>
            <w:tcW w:w="1069" w:type="dxa"/>
            <w:noWrap/>
            <w:vAlign w:val="center"/>
            <w:hideMark/>
          </w:tcPr>
          <w:p w14:paraId="5B22DF22"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93 </w:t>
            </w:r>
          </w:p>
        </w:tc>
        <w:tc>
          <w:tcPr>
            <w:tcW w:w="1069" w:type="dxa"/>
            <w:noWrap/>
            <w:vAlign w:val="center"/>
            <w:hideMark/>
          </w:tcPr>
          <w:p w14:paraId="63D6F650"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127 </w:t>
            </w:r>
          </w:p>
        </w:tc>
        <w:tc>
          <w:tcPr>
            <w:tcW w:w="986" w:type="dxa"/>
            <w:noWrap/>
            <w:vAlign w:val="center"/>
            <w:hideMark/>
          </w:tcPr>
          <w:p w14:paraId="48B44888"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213 </w:t>
            </w:r>
          </w:p>
        </w:tc>
        <w:tc>
          <w:tcPr>
            <w:tcW w:w="986" w:type="dxa"/>
            <w:noWrap/>
            <w:vAlign w:val="center"/>
            <w:hideMark/>
          </w:tcPr>
          <w:p w14:paraId="474F71B5"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318 </w:t>
            </w:r>
          </w:p>
        </w:tc>
      </w:tr>
      <w:tr w:rsidR="002B19B1" w:rsidRPr="00C86111" w14:paraId="5D1E5DDB" w14:textId="77777777" w:rsidTr="00375D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5985D13C"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SAD</w:t>
            </w:r>
          </w:p>
        </w:tc>
        <w:tc>
          <w:tcPr>
            <w:tcW w:w="1070" w:type="dxa"/>
            <w:noWrap/>
            <w:vAlign w:val="center"/>
            <w:hideMark/>
          </w:tcPr>
          <w:p w14:paraId="7DB8DAF6"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31,955 </w:t>
            </w:r>
          </w:p>
        </w:tc>
        <w:tc>
          <w:tcPr>
            <w:tcW w:w="1069" w:type="dxa"/>
            <w:noWrap/>
            <w:vAlign w:val="center"/>
            <w:hideMark/>
          </w:tcPr>
          <w:p w14:paraId="37B50C59"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29,752 </w:t>
            </w:r>
          </w:p>
        </w:tc>
        <w:tc>
          <w:tcPr>
            <w:tcW w:w="1026" w:type="dxa"/>
            <w:noWrap/>
            <w:vAlign w:val="center"/>
            <w:hideMark/>
          </w:tcPr>
          <w:p w14:paraId="37A78B46"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35,791 </w:t>
            </w:r>
          </w:p>
        </w:tc>
        <w:tc>
          <w:tcPr>
            <w:tcW w:w="1026" w:type="dxa"/>
            <w:noWrap/>
            <w:vAlign w:val="center"/>
            <w:hideMark/>
          </w:tcPr>
          <w:p w14:paraId="3196C736"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48,098 </w:t>
            </w:r>
          </w:p>
        </w:tc>
        <w:tc>
          <w:tcPr>
            <w:tcW w:w="1069" w:type="dxa"/>
            <w:noWrap/>
            <w:vAlign w:val="center"/>
            <w:hideMark/>
          </w:tcPr>
          <w:p w14:paraId="006520BD"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2,164 </w:t>
            </w:r>
          </w:p>
        </w:tc>
        <w:tc>
          <w:tcPr>
            <w:tcW w:w="1069" w:type="dxa"/>
            <w:noWrap/>
            <w:vAlign w:val="center"/>
            <w:hideMark/>
          </w:tcPr>
          <w:p w14:paraId="42A59607"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2,907 </w:t>
            </w:r>
          </w:p>
        </w:tc>
        <w:tc>
          <w:tcPr>
            <w:tcW w:w="986" w:type="dxa"/>
            <w:noWrap/>
            <w:vAlign w:val="center"/>
            <w:hideMark/>
          </w:tcPr>
          <w:p w14:paraId="65795A31"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3,612 </w:t>
            </w:r>
          </w:p>
        </w:tc>
        <w:tc>
          <w:tcPr>
            <w:tcW w:w="986" w:type="dxa"/>
            <w:noWrap/>
            <w:vAlign w:val="center"/>
            <w:hideMark/>
          </w:tcPr>
          <w:p w14:paraId="7B85F53F"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9,799 </w:t>
            </w:r>
          </w:p>
        </w:tc>
      </w:tr>
      <w:tr w:rsidR="002B19B1" w:rsidRPr="00C86111" w14:paraId="6834DFBF" w14:textId="77777777" w:rsidTr="00375D24">
        <w:trPr>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71039104"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Kina</w:t>
            </w:r>
          </w:p>
        </w:tc>
        <w:tc>
          <w:tcPr>
            <w:tcW w:w="1070" w:type="dxa"/>
            <w:noWrap/>
            <w:vAlign w:val="center"/>
            <w:hideMark/>
          </w:tcPr>
          <w:p w14:paraId="30DF4D53"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218,000 </w:t>
            </w:r>
          </w:p>
        </w:tc>
        <w:tc>
          <w:tcPr>
            <w:tcW w:w="1069" w:type="dxa"/>
            <w:noWrap/>
            <w:vAlign w:val="center"/>
            <w:hideMark/>
          </w:tcPr>
          <w:p w14:paraId="01A64132"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245,181 </w:t>
            </w:r>
          </w:p>
        </w:tc>
        <w:tc>
          <w:tcPr>
            <w:tcW w:w="1026" w:type="dxa"/>
            <w:noWrap/>
            <w:vAlign w:val="center"/>
            <w:hideMark/>
          </w:tcPr>
          <w:p w14:paraId="621FDF0C"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330,596 </w:t>
            </w:r>
          </w:p>
        </w:tc>
        <w:tc>
          <w:tcPr>
            <w:tcW w:w="1026" w:type="dxa"/>
            <w:noWrap/>
            <w:vAlign w:val="center"/>
            <w:hideMark/>
          </w:tcPr>
          <w:p w14:paraId="7BBCBEED"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424,719 </w:t>
            </w:r>
          </w:p>
        </w:tc>
        <w:tc>
          <w:tcPr>
            <w:tcW w:w="1069" w:type="dxa"/>
            <w:noWrap/>
            <w:vAlign w:val="center"/>
            <w:hideMark/>
          </w:tcPr>
          <w:p w14:paraId="12F58129"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22,136 </w:t>
            </w:r>
          </w:p>
        </w:tc>
        <w:tc>
          <w:tcPr>
            <w:tcW w:w="1069" w:type="dxa"/>
            <w:noWrap/>
            <w:vAlign w:val="center"/>
            <w:hideMark/>
          </w:tcPr>
          <w:p w14:paraId="6F68CD7F"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5,683 </w:t>
            </w:r>
          </w:p>
        </w:tc>
        <w:tc>
          <w:tcPr>
            <w:tcW w:w="986" w:type="dxa"/>
            <w:noWrap/>
            <w:vAlign w:val="center"/>
            <w:hideMark/>
          </w:tcPr>
          <w:p w14:paraId="22A0658B"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12,851 </w:t>
            </w:r>
          </w:p>
        </w:tc>
        <w:tc>
          <w:tcPr>
            <w:tcW w:w="986" w:type="dxa"/>
            <w:noWrap/>
            <w:vAlign w:val="center"/>
            <w:hideMark/>
          </w:tcPr>
          <w:p w14:paraId="7E644841"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2,490 </w:t>
            </w:r>
          </w:p>
        </w:tc>
      </w:tr>
      <w:tr w:rsidR="002B19B1" w:rsidRPr="00C86111" w14:paraId="0C0B6004" w14:textId="77777777" w:rsidTr="00375D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4F787F39"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Rusija</w:t>
            </w:r>
          </w:p>
        </w:tc>
        <w:tc>
          <w:tcPr>
            <w:tcW w:w="1070" w:type="dxa"/>
            <w:noWrap/>
            <w:vAlign w:val="center"/>
            <w:hideMark/>
          </w:tcPr>
          <w:p w14:paraId="5CB58991"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9,298 </w:t>
            </w:r>
          </w:p>
        </w:tc>
        <w:tc>
          <w:tcPr>
            <w:tcW w:w="1069" w:type="dxa"/>
            <w:noWrap/>
            <w:vAlign w:val="center"/>
            <w:hideMark/>
          </w:tcPr>
          <w:p w14:paraId="3B6B740A"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10,596 </w:t>
            </w:r>
          </w:p>
        </w:tc>
        <w:tc>
          <w:tcPr>
            <w:tcW w:w="1026" w:type="dxa"/>
            <w:noWrap/>
            <w:vAlign w:val="center"/>
            <w:hideMark/>
          </w:tcPr>
          <w:p w14:paraId="244F80D8"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8,828 </w:t>
            </w:r>
          </w:p>
        </w:tc>
        <w:tc>
          <w:tcPr>
            <w:tcW w:w="1026" w:type="dxa"/>
            <w:noWrap/>
            <w:vAlign w:val="center"/>
            <w:hideMark/>
          </w:tcPr>
          <w:p w14:paraId="190EB6D0"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7,479 </w:t>
            </w:r>
          </w:p>
        </w:tc>
        <w:tc>
          <w:tcPr>
            <w:tcW w:w="1069" w:type="dxa"/>
            <w:noWrap/>
            <w:vAlign w:val="center"/>
            <w:hideMark/>
          </w:tcPr>
          <w:p w14:paraId="648802F5"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1,406 </w:t>
            </w:r>
          </w:p>
        </w:tc>
        <w:tc>
          <w:tcPr>
            <w:tcW w:w="1069" w:type="dxa"/>
            <w:noWrap/>
            <w:vAlign w:val="center"/>
            <w:hideMark/>
          </w:tcPr>
          <w:p w14:paraId="50E65016"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2,348 </w:t>
            </w:r>
          </w:p>
        </w:tc>
        <w:tc>
          <w:tcPr>
            <w:tcW w:w="986" w:type="dxa"/>
            <w:noWrap/>
            <w:vAlign w:val="center"/>
            <w:hideMark/>
          </w:tcPr>
          <w:p w14:paraId="2E9B4917"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448 </w:t>
            </w:r>
          </w:p>
        </w:tc>
        <w:tc>
          <w:tcPr>
            <w:tcW w:w="986" w:type="dxa"/>
            <w:noWrap/>
            <w:vAlign w:val="center"/>
            <w:hideMark/>
          </w:tcPr>
          <w:p w14:paraId="164FBCD1"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179 </w:t>
            </w:r>
          </w:p>
        </w:tc>
      </w:tr>
      <w:tr w:rsidR="002B19B1" w:rsidRPr="00C86111" w14:paraId="5DD13F47" w14:textId="77777777" w:rsidTr="00375D24">
        <w:trPr>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2B6F34DF"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Švajcarska</w:t>
            </w:r>
          </w:p>
        </w:tc>
        <w:tc>
          <w:tcPr>
            <w:tcW w:w="1070" w:type="dxa"/>
            <w:noWrap/>
            <w:vAlign w:val="center"/>
            <w:hideMark/>
          </w:tcPr>
          <w:p w14:paraId="644C2A6C"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40,041 </w:t>
            </w:r>
          </w:p>
        </w:tc>
        <w:tc>
          <w:tcPr>
            <w:tcW w:w="1069" w:type="dxa"/>
            <w:noWrap/>
            <w:vAlign w:val="center"/>
            <w:hideMark/>
          </w:tcPr>
          <w:p w14:paraId="59046226"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53,378 </w:t>
            </w:r>
          </w:p>
        </w:tc>
        <w:tc>
          <w:tcPr>
            <w:tcW w:w="1026" w:type="dxa"/>
            <w:noWrap/>
            <w:vAlign w:val="center"/>
            <w:hideMark/>
          </w:tcPr>
          <w:p w14:paraId="183641BF"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134,613 </w:t>
            </w:r>
          </w:p>
        </w:tc>
        <w:tc>
          <w:tcPr>
            <w:tcW w:w="1026" w:type="dxa"/>
            <w:noWrap/>
            <w:vAlign w:val="center"/>
            <w:hideMark/>
          </w:tcPr>
          <w:p w14:paraId="7484EC1D"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70,435 </w:t>
            </w:r>
          </w:p>
        </w:tc>
        <w:tc>
          <w:tcPr>
            <w:tcW w:w="1069" w:type="dxa"/>
            <w:noWrap/>
            <w:vAlign w:val="center"/>
            <w:hideMark/>
          </w:tcPr>
          <w:p w14:paraId="2A63096D"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7,836 </w:t>
            </w:r>
          </w:p>
        </w:tc>
        <w:tc>
          <w:tcPr>
            <w:tcW w:w="1069" w:type="dxa"/>
            <w:noWrap/>
            <w:vAlign w:val="center"/>
            <w:hideMark/>
          </w:tcPr>
          <w:p w14:paraId="346D5BDC"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50,666 </w:t>
            </w:r>
          </w:p>
        </w:tc>
        <w:tc>
          <w:tcPr>
            <w:tcW w:w="986" w:type="dxa"/>
            <w:noWrap/>
            <w:vAlign w:val="center"/>
            <w:hideMark/>
          </w:tcPr>
          <w:p w14:paraId="6269E8C7"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107,951 </w:t>
            </w:r>
          </w:p>
        </w:tc>
        <w:tc>
          <w:tcPr>
            <w:tcW w:w="986" w:type="dxa"/>
            <w:noWrap/>
            <w:vAlign w:val="center"/>
            <w:hideMark/>
          </w:tcPr>
          <w:p w14:paraId="1413FCAD"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25,079 </w:t>
            </w:r>
          </w:p>
        </w:tc>
      </w:tr>
      <w:tr w:rsidR="002B19B1" w:rsidRPr="00C86111" w14:paraId="48883882" w14:textId="77777777" w:rsidTr="00375D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3F757D1B"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Japan</w:t>
            </w:r>
          </w:p>
        </w:tc>
        <w:tc>
          <w:tcPr>
            <w:tcW w:w="1070" w:type="dxa"/>
            <w:noWrap/>
            <w:vAlign w:val="center"/>
            <w:hideMark/>
          </w:tcPr>
          <w:p w14:paraId="194D4762"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17,125 </w:t>
            </w:r>
          </w:p>
        </w:tc>
        <w:tc>
          <w:tcPr>
            <w:tcW w:w="1069" w:type="dxa"/>
            <w:noWrap/>
            <w:vAlign w:val="center"/>
            <w:hideMark/>
          </w:tcPr>
          <w:p w14:paraId="44B83485"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16,049 </w:t>
            </w:r>
          </w:p>
        </w:tc>
        <w:tc>
          <w:tcPr>
            <w:tcW w:w="1026" w:type="dxa"/>
            <w:noWrap/>
            <w:vAlign w:val="center"/>
            <w:hideMark/>
          </w:tcPr>
          <w:p w14:paraId="69C3BBD0"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30,422 </w:t>
            </w:r>
          </w:p>
        </w:tc>
        <w:tc>
          <w:tcPr>
            <w:tcW w:w="1026" w:type="dxa"/>
            <w:noWrap/>
            <w:vAlign w:val="center"/>
            <w:hideMark/>
          </w:tcPr>
          <w:p w14:paraId="1509112D"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29,131 </w:t>
            </w:r>
          </w:p>
        </w:tc>
        <w:tc>
          <w:tcPr>
            <w:tcW w:w="1069" w:type="dxa"/>
            <w:noWrap/>
            <w:vAlign w:val="center"/>
            <w:hideMark/>
          </w:tcPr>
          <w:p w14:paraId="17E4B36E"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360 </w:t>
            </w:r>
          </w:p>
        </w:tc>
        <w:tc>
          <w:tcPr>
            <w:tcW w:w="1069" w:type="dxa"/>
            <w:noWrap/>
            <w:vAlign w:val="center"/>
            <w:hideMark/>
          </w:tcPr>
          <w:p w14:paraId="3BC452C3"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175 </w:t>
            </w:r>
          </w:p>
        </w:tc>
        <w:tc>
          <w:tcPr>
            <w:tcW w:w="986" w:type="dxa"/>
            <w:noWrap/>
            <w:vAlign w:val="center"/>
            <w:hideMark/>
          </w:tcPr>
          <w:p w14:paraId="75A7C779"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331 </w:t>
            </w:r>
          </w:p>
        </w:tc>
        <w:tc>
          <w:tcPr>
            <w:tcW w:w="986" w:type="dxa"/>
            <w:noWrap/>
            <w:vAlign w:val="center"/>
            <w:hideMark/>
          </w:tcPr>
          <w:p w14:paraId="409C557B"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106 </w:t>
            </w:r>
          </w:p>
        </w:tc>
      </w:tr>
      <w:tr w:rsidR="002B19B1" w:rsidRPr="00C86111" w14:paraId="6D940E06" w14:textId="77777777" w:rsidTr="00375D24">
        <w:trPr>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2CECB17D"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Turska</w:t>
            </w:r>
          </w:p>
        </w:tc>
        <w:tc>
          <w:tcPr>
            <w:tcW w:w="1070" w:type="dxa"/>
            <w:noWrap/>
            <w:vAlign w:val="center"/>
            <w:hideMark/>
          </w:tcPr>
          <w:p w14:paraId="0F61CF38"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108,462 </w:t>
            </w:r>
          </w:p>
        </w:tc>
        <w:tc>
          <w:tcPr>
            <w:tcW w:w="1069" w:type="dxa"/>
            <w:noWrap/>
            <w:vAlign w:val="center"/>
            <w:hideMark/>
          </w:tcPr>
          <w:p w14:paraId="365763C6"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110,640 </w:t>
            </w:r>
          </w:p>
        </w:tc>
        <w:tc>
          <w:tcPr>
            <w:tcW w:w="1026" w:type="dxa"/>
            <w:noWrap/>
            <w:vAlign w:val="center"/>
            <w:hideMark/>
          </w:tcPr>
          <w:p w14:paraId="519B60E5"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170,350 </w:t>
            </w:r>
          </w:p>
        </w:tc>
        <w:tc>
          <w:tcPr>
            <w:tcW w:w="1026" w:type="dxa"/>
            <w:noWrap/>
            <w:vAlign w:val="center"/>
            <w:hideMark/>
          </w:tcPr>
          <w:p w14:paraId="50E11359"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195,067 </w:t>
            </w:r>
          </w:p>
        </w:tc>
        <w:tc>
          <w:tcPr>
            <w:tcW w:w="1069" w:type="dxa"/>
            <w:noWrap/>
            <w:vAlign w:val="center"/>
            <w:hideMark/>
          </w:tcPr>
          <w:p w14:paraId="65B01539"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13,477 </w:t>
            </w:r>
          </w:p>
        </w:tc>
        <w:tc>
          <w:tcPr>
            <w:tcW w:w="1069" w:type="dxa"/>
            <w:noWrap/>
            <w:vAlign w:val="center"/>
            <w:hideMark/>
          </w:tcPr>
          <w:p w14:paraId="2F2B0805"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24,180 </w:t>
            </w:r>
          </w:p>
        </w:tc>
        <w:tc>
          <w:tcPr>
            <w:tcW w:w="986" w:type="dxa"/>
            <w:noWrap/>
            <w:vAlign w:val="center"/>
            <w:hideMark/>
          </w:tcPr>
          <w:p w14:paraId="20DF7944"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15,761 </w:t>
            </w:r>
          </w:p>
        </w:tc>
        <w:tc>
          <w:tcPr>
            <w:tcW w:w="986" w:type="dxa"/>
            <w:noWrap/>
            <w:vAlign w:val="center"/>
            <w:hideMark/>
          </w:tcPr>
          <w:p w14:paraId="383BEA30"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9,013 </w:t>
            </w:r>
          </w:p>
        </w:tc>
      </w:tr>
      <w:tr w:rsidR="002B19B1" w:rsidRPr="00C86111" w14:paraId="5EB04FBF" w14:textId="77777777" w:rsidTr="00375D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hideMark/>
          </w:tcPr>
          <w:p w14:paraId="63EAED2B"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Brazil </w:t>
            </w:r>
          </w:p>
        </w:tc>
        <w:tc>
          <w:tcPr>
            <w:tcW w:w="1070" w:type="dxa"/>
            <w:noWrap/>
            <w:vAlign w:val="center"/>
            <w:hideMark/>
          </w:tcPr>
          <w:p w14:paraId="46998787"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8,372 </w:t>
            </w:r>
          </w:p>
        </w:tc>
        <w:tc>
          <w:tcPr>
            <w:tcW w:w="1069" w:type="dxa"/>
            <w:noWrap/>
            <w:vAlign w:val="center"/>
            <w:hideMark/>
          </w:tcPr>
          <w:p w14:paraId="0AF11805"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11,929 </w:t>
            </w:r>
          </w:p>
        </w:tc>
        <w:tc>
          <w:tcPr>
            <w:tcW w:w="1026" w:type="dxa"/>
            <w:noWrap/>
            <w:vAlign w:val="center"/>
            <w:hideMark/>
          </w:tcPr>
          <w:p w14:paraId="5E33205A"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23,461 </w:t>
            </w:r>
          </w:p>
        </w:tc>
        <w:tc>
          <w:tcPr>
            <w:tcW w:w="1026" w:type="dxa"/>
            <w:noWrap/>
            <w:vAlign w:val="center"/>
            <w:hideMark/>
          </w:tcPr>
          <w:p w14:paraId="6A6D00CC"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21,905 </w:t>
            </w:r>
          </w:p>
        </w:tc>
        <w:tc>
          <w:tcPr>
            <w:tcW w:w="1069" w:type="dxa"/>
            <w:noWrap/>
            <w:vAlign w:val="center"/>
            <w:hideMark/>
          </w:tcPr>
          <w:p w14:paraId="72C485B9"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11 </w:t>
            </w:r>
          </w:p>
        </w:tc>
        <w:tc>
          <w:tcPr>
            <w:tcW w:w="1069" w:type="dxa"/>
            <w:noWrap/>
            <w:vAlign w:val="center"/>
            <w:hideMark/>
          </w:tcPr>
          <w:p w14:paraId="784AEE75"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15 </w:t>
            </w:r>
          </w:p>
        </w:tc>
        <w:tc>
          <w:tcPr>
            <w:tcW w:w="986" w:type="dxa"/>
            <w:noWrap/>
            <w:vAlign w:val="center"/>
            <w:hideMark/>
          </w:tcPr>
          <w:p w14:paraId="6DAB0034"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22 </w:t>
            </w:r>
          </w:p>
        </w:tc>
        <w:tc>
          <w:tcPr>
            <w:tcW w:w="986" w:type="dxa"/>
            <w:noWrap/>
            <w:vAlign w:val="center"/>
            <w:hideMark/>
          </w:tcPr>
          <w:p w14:paraId="5433B4EA" w14:textId="77777777" w:rsidR="002B19B1" w:rsidRPr="00C86111" w:rsidRDefault="002B19B1" w:rsidP="00BC765B">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5 </w:t>
            </w:r>
          </w:p>
        </w:tc>
      </w:tr>
      <w:tr w:rsidR="002B19B1" w:rsidRPr="00C86111" w14:paraId="540BC8EA" w14:textId="77777777" w:rsidTr="00375D24">
        <w:trPr>
          <w:trHeight w:val="288"/>
        </w:trPr>
        <w:tc>
          <w:tcPr>
            <w:cnfStyle w:val="001000000000" w:firstRow="0" w:lastRow="0" w:firstColumn="1" w:lastColumn="0" w:oddVBand="0" w:evenVBand="0" w:oddHBand="0" w:evenHBand="0" w:firstRowFirstColumn="0" w:firstRowLastColumn="0" w:lastRowFirstColumn="0" w:lastRowLastColumn="0"/>
            <w:tcW w:w="1284" w:type="dxa"/>
            <w:vAlign w:val="center"/>
          </w:tcPr>
          <w:p w14:paraId="2CF02AF4" w14:textId="77777777" w:rsidR="002B19B1" w:rsidRPr="00C86111" w:rsidRDefault="002B19B1" w:rsidP="00BC765B">
            <w:pPr>
              <w:ind w:firstLineChars="100" w:firstLine="201"/>
              <w:rPr>
                <w:rFonts w:asciiTheme="minorHAnsi" w:eastAsia="Times New Roman" w:hAnsiTheme="minorHAnsi" w:cstheme="minorHAnsi"/>
                <w:b w:val="0"/>
                <w:bCs w:val="0"/>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Ujedino Kraljevstvo </w:t>
            </w:r>
          </w:p>
        </w:tc>
        <w:tc>
          <w:tcPr>
            <w:tcW w:w="1070" w:type="dxa"/>
            <w:noWrap/>
            <w:vAlign w:val="center"/>
          </w:tcPr>
          <w:p w14:paraId="14ACA0F2"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19,421 </w:t>
            </w:r>
          </w:p>
        </w:tc>
        <w:tc>
          <w:tcPr>
            <w:tcW w:w="1069" w:type="dxa"/>
            <w:noWrap/>
            <w:vAlign w:val="center"/>
          </w:tcPr>
          <w:p w14:paraId="3DA71046"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22,424 </w:t>
            </w:r>
          </w:p>
        </w:tc>
        <w:tc>
          <w:tcPr>
            <w:tcW w:w="1026" w:type="dxa"/>
            <w:noWrap/>
            <w:vAlign w:val="center"/>
          </w:tcPr>
          <w:p w14:paraId="4D281549"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24,615 </w:t>
            </w:r>
          </w:p>
        </w:tc>
        <w:tc>
          <w:tcPr>
            <w:tcW w:w="1026" w:type="dxa"/>
            <w:noWrap/>
            <w:vAlign w:val="center"/>
          </w:tcPr>
          <w:p w14:paraId="15C572C8"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34,648 </w:t>
            </w:r>
          </w:p>
        </w:tc>
        <w:tc>
          <w:tcPr>
            <w:tcW w:w="1069" w:type="dxa"/>
            <w:noWrap/>
            <w:vAlign w:val="center"/>
          </w:tcPr>
          <w:p w14:paraId="52D10D4A"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3,346 </w:t>
            </w:r>
          </w:p>
        </w:tc>
        <w:tc>
          <w:tcPr>
            <w:tcW w:w="1069" w:type="dxa"/>
            <w:noWrap/>
            <w:vAlign w:val="center"/>
          </w:tcPr>
          <w:p w14:paraId="38F7B749"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1,389 </w:t>
            </w:r>
          </w:p>
        </w:tc>
        <w:tc>
          <w:tcPr>
            <w:tcW w:w="986" w:type="dxa"/>
            <w:noWrap/>
            <w:vAlign w:val="center"/>
          </w:tcPr>
          <w:p w14:paraId="123F3879"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3,504 </w:t>
            </w:r>
          </w:p>
        </w:tc>
        <w:tc>
          <w:tcPr>
            <w:tcW w:w="986" w:type="dxa"/>
            <w:noWrap/>
            <w:vAlign w:val="center"/>
          </w:tcPr>
          <w:p w14:paraId="1E664257" w14:textId="77777777" w:rsidR="002B19B1" w:rsidRPr="00C86111" w:rsidRDefault="002B19B1" w:rsidP="00BC765B">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GB"/>
              </w:rPr>
            </w:pPr>
            <w:r w:rsidRPr="00C86111">
              <w:rPr>
                <w:rFonts w:asciiTheme="minorHAnsi" w:eastAsia="Times New Roman" w:hAnsiTheme="minorHAnsi" w:cstheme="minorHAnsi"/>
                <w:color w:val="000000"/>
                <w:sz w:val="20"/>
                <w:szCs w:val="20"/>
                <w:lang w:eastAsia="en-GB"/>
              </w:rPr>
              <w:t xml:space="preserve">             859 </w:t>
            </w:r>
          </w:p>
        </w:tc>
      </w:tr>
    </w:tbl>
    <w:p w14:paraId="63279385" w14:textId="77777777" w:rsidR="002B19B1" w:rsidRPr="00C86111" w:rsidRDefault="002B19B1" w:rsidP="002B19B1">
      <w:pPr>
        <w:jc w:val="both"/>
        <w:rPr>
          <w:rFonts w:asciiTheme="minorHAnsi" w:hAnsiTheme="minorHAnsi" w:cstheme="minorHAnsi"/>
          <w:color w:val="FF0000"/>
          <w:szCs w:val="24"/>
        </w:rPr>
      </w:pPr>
    </w:p>
    <w:p w14:paraId="00533F58" w14:textId="77777777" w:rsidR="002B19B1" w:rsidRPr="00C86111" w:rsidRDefault="002B19B1" w:rsidP="00CC3651">
      <w:pPr>
        <w:pStyle w:val="NormalWeb"/>
        <w:spacing w:before="0" w:beforeAutospacing="0" w:after="0" w:afterAutospacing="0"/>
        <w:jc w:val="both"/>
        <w:rPr>
          <w:rFonts w:asciiTheme="minorHAnsi" w:hAnsiTheme="minorHAnsi" w:cstheme="minorHAnsi"/>
        </w:rPr>
      </w:pPr>
      <w:r w:rsidRPr="00C86111">
        <w:rPr>
          <w:rFonts w:asciiTheme="minorHAnsi" w:hAnsiTheme="minorHAnsi" w:cstheme="minorHAnsi"/>
        </w:rPr>
        <w:t>Podaci o spoljnotrgovinskoj robnoj razmjeni Crne Gore prema odsjecima Kombinovane nomenklature za period 2020–2023. jasno potvrđuju dugoročno prisutnu strukturnu neravnotežu između uvoza i izvoza, uz izrazitu zavisnost ekonomije od uvoza širokog spektra proizvoda. Ukupan uvoz pokazuje snažan i kontinuiran rast tokom čitavog perioda 2020–2023, pri čemu je njegova vrijednost uvećana za gotovo 1,7 milijardi EUR u svega tri godine. Ovo povećanje reflektuje rast potrošnje, investicionih potreba i energetskih zahtjeva, ali ujedno ukazuje i na ograničene kapacitete domaće privrede da zamijeni uvoz supstitucijom domaćih proizvoda.</w:t>
      </w:r>
    </w:p>
    <w:p w14:paraId="14B1C746" w14:textId="77777777" w:rsidR="002B19B1" w:rsidRPr="00C86111" w:rsidRDefault="002B19B1" w:rsidP="00CC3651">
      <w:pPr>
        <w:pStyle w:val="NormalWeb"/>
        <w:spacing w:before="0" w:beforeAutospacing="0" w:after="0" w:afterAutospacing="0"/>
        <w:jc w:val="both"/>
        <w:rPr>
          <w:rFonts w:asciiTheme="minorHAnsi" w:hAnsiTheme="minorHAnsi" w:cstheme="minorHAnsi"/>
        </w:rPr>
      </w:pPr>
      <w:r w:rsidRPr="00C86111">
        <w:rPr>
          <w:rFonts w:asciiTheme="minorHAnsi" w:hAnsiTheme="minorHAnsi" w:cstheme="minorHAnsi"/>
        </w:rPr>
        <w:t xml:space="preserve">Uvozni rast najizraženiji je u segmentima hrane i prehrambenih proizvoda, energenata, osnovnih metala, mašina i električne opreme, kao i proizvoda hemijske industrije. Ovakva struktura ukazuje </w:t>
      </w:r>
      <w:r w:rsidRPr="00C86111">
        <w:rPr>
          <w:rFonts w:asciiTheme="minorHAnsi" w:hAnsiTheme="minorHAnsi" w:cstheme="minorHAnsi"/>
        </w:rPr>
        <w:lastRenderedPageBreak/>
        <w:t>na činjenicu da se velika većina osnovnih i prerađenih proizvoda ne proizvodi u dovoljnim količinama u Crnoj Gori, čime uvozne potrebe postaju trajna komponenta ekonomskog sistema. Posebno je izraženo povećanje uvoza pripremljene hrane, pića i drugih prehrambenih proizvoda, što pokazuje kontinuiranu zavisnost od inostranih dobavljača i nizak stepen razvijenosti domaće prehrambene industrije. Sličan trend je prisutan i u uvozu mineralnih proizvoda, gdje je rast dodatno podstaknut energetskom krizom i volatilnošću cijena na međunarodnim tržištima, posebno tokom 2022. godine. Uvoz mašina, električne opreme i tehničkih uređaja takođe je znatno povećan, što ukazuje na rast investicione aktivnosti, ali istovremeno potvrđuje dugoročnu tehnološku zavisnost od spoljnog tržišta.</w:t>
      </w:r>
    </w:p>
    <w:p w14:paraId="033673AB" w14:textId="77777777" w:rsidR="002B19B1" w:rsidRPr="00C86111" w:rsidRDefault="002B19B1" w:rsidP="00CC3651">
      <w:pPr>
        <w:pStyle w:val="NormalWeb"/>
        <w:spacing w:before="0" w:beforeAutospacing="0" w:after="0" w:afterAutospacing="0"/>
        <w:jc w:val="both"/>
        <w:rPr>
          <w:rFonts w:asciiTheme="minorHAnsi" w:hAnsiTheme="minorHAnsi" w:cstheme="minorHAnsi"/>
        </w:rPr>
      </w:pPr>
      <w:r w:rsidRPr="00C86111">
        <w:rPr>
          <w:rFonts w:asciiTheme="minorHAnsi" w:hAnsiTheme="minorHAnsi" w:cstheme="minorHAnsi"/>
        </w:rPr>
        <w:t>Suprotno tome, izvoz Crne Gore, iako bilježi određene oscilacije, ostaje neuporedivo nižeg obima u odnosu na uvoz. Ukupan izvoz je u posmatranom periodu rastao od 366 miliona EUR u 2020. godini do 674 miliona EUR u 2023. godini, ali i dalje je u značajnom disproporcionalnom odnosu prema uvozu, što potvrđuje postojanje hroničnog trgovinskog deficita. Izvoz je koncentrisan u relativno mali broj proizvodnih grupa, među kojima dominantnu ulogu imaju mineralni proizvodi, bazni metali, prehrambeni proizvodi i, u pojedinim godinama, proizvodi iz segmenta dragocjenih metala. Istovremeno, izvoz pokazuje značajne godišnje oscilacije, osobito u kategorijama metala i električne energije, što ukazuje na ranjivost izvoznog sektora usljed zavisnosti od međunarodnih tržišnih kretanja i proizvodnih mogućnosti pojedinih sektora, kao i na ograničenu diverzifikaciju crnogorske izvozne strukture.</w:t>
      </w:r>
    </w:p>
    <w:p w14:paraId="5B00218C" w14:textId="77777777" w:rsidR="002B19B1" w:rsidRPr="00C86111" w:rsidRDefault="002B19B1" w:rsidP="00CC3651">
      <w:pPr>
        <w:pStyle w:val="NormalWeb"/>
        <w:spacing w:before="0" w:beforeAutospacing="0" w:after="0" w:afterAutospacing="0"/>
        <w:jc w:val="both"/>
        <w:rPr>
          <w:rFonts w:asciiTheme="minorHAnsi" w:hAnsiTheme="minorHAnsi" w:cstheme="minorHAnsi"/>
        </w:rPr>
      </w:pPr>
      <w:r w:rsidRPr="00C86111">
        <w:rPr>
          <w:rFonts w:asciiTheme="minorHAnsi" w:hAnsiTheme="minorHAnsi" w:cstheme="minorHAnsi"/>
        </w:rPr>
        <w:t>Godina 2022. posebno se ističe kao period u kojem je izvoz dostigao rekordnu vrijednost od 700 miliona EUR, ponajviše zahvaljujući visokim cijenama energenata i povećanom obimu izvoza električne energije. Međutim, već 2023. godine vidljiv je pad u pojedinim ključnim kategorijama, što potvrđuje da izvoz u velikoj mjeri zavisi od spoljašnjih faktora i nije rezultat stabilne, održive domaće proizvodnje.</w:t>
      </w:r>
    </w:p>
    <w:p w14:paraId="2F13CD43" w14:textId="77777777" w:rsidR="002B19B1" w:rsidRPr="00C86111" w:rsidRDefault="002B19B1" w:rsidP="00CC3651">
      <w:pPr>
        <w:pStyle w:val="NormalWeb"/>
        <w:spacing w:before="0" w:beforeAutospacing="0" w:after="0" w:afterAutospacing="0"/>
        <w:jc w:val="both"/>
        <w:rPr>
          <w:rFonts w:asciiTheme="minorHAnsi" w:hAnsiTheme="minorHAnsi" w:cstheme="minorHAnsi"/>
        </w:rPr>
      </w:pPr>
      <w:r w:rsidRPr="00C86111">
        <w:rPr>
          <w:rFonts w:asciiTheme="minorHAnsi" w:hAnsiTheme="minorHAnsi" w:cstheme="minorHAnsi"/>
        </w:rPr>
        <w:t>Kada se sagleda ukupna dinamika posmatranog perioda, jasno je da Crna Gora ostaje izrazito uvozno orijentisana ekonomija, sa uvozom koji višestruko nadmašuje izvoz, i sa strukturom uvoza čvrsto vezanom za osnovne životne namirnice, energiju, industrijsku opremu i hemijske proizvode. Istovremeno, izvoz je ograničen na nekoliko sektora koji su osjetljivi na međunarodne cikluse i čije se vrijednosti značajno mijenjaju iz godine u godinu. Ovakva situacija potvrđuje potrebu za dugoročnim jačanjem domaće proizvodnje, unapređenjem tehnoloških kapaciteta, podsticanjem investicija u prerađivačke i izvozne grane, te smanjenjem zavisnosti od uvoza u ključnim strateškim sektorima. Istovremeno, nužno je raditi na proširivanju asortimana izvoznih proizvoda i unapređenju konkurentnosti domaćih proizvođača, kako bi se ublažile postojeće strukturne disproporcije u spoljnotrgovinskoj bilanci.</w:t>
      </w:r>
    </w:p>
    <w:p w14:paraId="25B65863" w14:textId="48D513CF" w:rsidR="002B19B1" w:rsidRDefault="002B19B1" w:rsidP="002B19B1">
      <w:pPr>
        <w:pStyle w:val="NormalWeb"/>
        <w:jc w:val="both"/>
        <w:rPr>
          <w:rFonts w:asciiTheme="minorHAnsi" w:hAnsiTheme="minorHAnsi" w:cstheme="minorHAnsi"/>
        </w:rPr>
      </w:pPr>
      <w:r w:rsidRPr="00C86111">
        <w:rPr>
          <w:rFonts w:asciiTheme="minorHAnsi" w:hAnsiTheme="minorHAnsi" w:cstheme="minorHAnsi"/>
        </w:rPr>
        <w:t xml:space="preserve">U tabeli </w:t>
      </w:r>
      <w:r w:rsidR="00A12257" w:rsidRPr="00C86111">
        <w:rPr>
          <w:rFonts w:asciiTheme="minorHAnsi" w:hAnsiTheme="minorHAnsi" w:cstheme="minorHAnsi"/>
        </w:rPr>
        <w:t>4</w:t>
      </w:r>
      <w:r w:rsidRPr="00C86111">
        <w:rPr>
          <w:rFonts w:asciiTheme="minorHAnsi" w:hAnsiTheme="minorHAnsi" w:cstheme="minorHAnsi"/>
        </w:rPr>
        <w:t xml:space="preserve"> dat je prikaz pregleda spoljnotrgovinske robne razmjene Crne Gore prema odsjecima Kombinovane nomenklature (KN), izražen u hiljadama eura. Podaci obuhvataju uvoz i izvoz po pojedinačnim produktnim grupama, što omogućava detaljno sagledavanje strukture robne razmjene, identifikaciju sektora sa najvećim učešćem, kao i praćenje ključnih trendova u kretanju trgovine u posmatranom periodu.</w:t>
      </w:r>
    </w:p>
    <w:p w14:paraId="0BA82D4A" w14:textId="77777777" w:rsidR="00F562F0" w:rsidRPr="00C86111" w:rsidRDefault="00F562F0" w:rsidP="002B19B1">
      <w:pPr>
        <w:pStyle w:val="NormalWeb"/>
        <w:jc w:val="both"/>
        <w:rPr>
          <w:rFonts w:asciiTheme="minorHAnsi" w:hAnsiTheme="minorHAnsi" w:cstheme="minorHAnsi"/>
        </w:rPr>
      </w:pPr>
    </w:p>
    <w:p w14:paraId="5F6987A8" w14:textId="2A092CAF" w:rsidR="002B19B1" w:rsidRDefault="002B19B1" w:rsidP="006E5F06">
      <w:pPr>
        <w:pStyle w:val="NormalWeb"/>
        <w:spacing w:before="0" w:beforeAutospacing="0" w:after="0" w:afterAutospacing="0"/>
        <w:rPr>
          <w:rFonts w:asciiTheme="minorHAnsi" w:hAnsiTheme="minorHAnsi" w:cstheme="minorHAnsi"/>
        </w:rPr>
      </w:pPr>
      <w:r w:rsidRPr="00C86111">
        <w:rPr>
          <w:rFonts w:asciiTheme="minorHAnsi" w:hAnsiTheme="minorHAnsi" w:cstheme="minorHAnsi"/>
          <w:b/>
          <w:bCs/>
        </w:rPr>
        <w:lastRenderedPageBreak/>
        <w:t xml:space="preserve">Tabela </w:t>
      </w:r>
      <w:r w:rsidR="00A12257" w:rsidRPr="00C86111">
        <w:rPr>
          <w:rFonts w:asciiTheme="minorHAnsi" w:hAnsiTheme="minorHAnsi" w:cstheme="minorHAnsi"/>
          <w:b/>
          <w:bCs/>
        </w:rPr>
        <w:t>4</w:t>
      </w:r>
      <w:r w:rsidRPr="00C86111">
        <w:rPr>
          <w:rFonts w:asciiTheme="minorHAnsi" w:hAnsiTheme="minorHAnsi" w:cstheme="minorHAnsi"/>
          <w:b/>
          <w:bCs/>
        </w:rPr>
        <w:t>.</w:t>
      </w:r>
      <w:r w:rsidRPr="00C86111">
        <w:rPr>
          <w:rFonts w:asciiTheme="minorHAnsi" w:hAnsiTheme="minorHAnsi" w:cstheme="minorHAnsi"/>
        </w:rPr>
        <w:t xml:space="preserve"> Spoljnotrgovinska robna razmjena Crne Gore prema odsjeku Kombinovane nomenklature - KN, u hilj. EUR </w:t>
      </w:r>
    </w:p>
    <w:tbl>
      <w:tblPr>
        <w:tblStyle w:val="GridTable5Dark-Accent6"/>
        <w:tblW w:w="0" w:type="auto"/>
        <w:tblLook w:val="04A0" w:firstRow="1" w:lastRow="0" w:firstColumn="1" w:lastColumn="0" w:noHBand="0" w:noVBand="1"/>
      </w:tblPr>
      <w:tblGrid>
        <w:gridCol w:w="1607"/>
        <w:gridCol w:w="1030"/>
        <w:gridCol w:w="1031"/>
        <w:gridCol w:w="1031"/>
        <w:gridCol w:w="1031"/>
        <w:gridCol w:w="905"/>
        <w:gridCol w:w="905"/>
        <w:gridCol w:w="905"/>
        <w:gridCol w:w="905"/>
      </w:tblGrid>
      <w:tr w:rsidR="002330D2" w:rsidRPr="00C86111" w14:paraId="270048E2" w14:textId="77777777" w:rsidTr="00A122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vMerge w:val="restart"/>
          </w:tcPr>
          <w:p w14:paraId="7AE21C7C" w14:textId="0DBB2541" w:rsidR="002330D2" w:rsidRPr="00C86111" w:rsidRDefault="002330D2" w:rsidP="002330D2">
            <w:pPr>
              <w:pStyle w:val="NormalWeb"/>
              <w:spacing w:after="0" w:afterAutospacing="0"/>
              <w:jc w:val="center"/>
              <w:rPr>
                <w:rFonts w:asciiTheme="minorHAnsi" w:hAnsiTheme="minorHAnsi" w:cstheme="minorHAnsi"/>
                <w:sz w:val="20"/>
                <w:szCs w:val="20"/>
              </w:rPr>
            </w:pPr>
            <w:r w:rsidRPr="00C86111">
              <w:rPr>
                <w:rFonts w:asciiTheme="minorHAnsi" w:hAnsiTheme="minorHAnsi" w:cstheme="minorHAnsi"/>
                <w:sz w:val="20"/>
                <w:szCs w:val="20"/>
              </w:rPr>
              <w:t>Kombinovana nomenklatura</w:t>
            </w:r>
          </w:p>
        </w:tc>
        <w:tc>
          <w:tcPr>
            <w:tcW w:w="4123" w:type="dxa"/>
            <w:gridSpan w:val="4"/>
          </w:tcPr>
          <w:p w14:paraId="1B87B162" w14:textId="7C6E76A7" w:rsidR="002330D2" w:rsidRPr="00C86111" w:rsidRDefault="002330D2" w:rsidP="002330D2">
            <w:pPr>
              <w:pStyle w:val="NormalWeb"/>
              <w:spacing w:after="0" w:afterAutospacing="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C86111">
              <w:rPr>
                <w:rFonts w:asciiTheme="minorHAnsi" w:hAnsiTheme="minorHAnsi" w:cstheme="minorHAnsi"/>
                <w:sz w:val="20"/>
                <w:szCs w:val="20"/>
                <w:lang w:eastAsia="en-GB"/>
              </w:rPr>
              <w:t>Uvoz</w:t>
            </w:r>
          </w:p>
        </w:tc>
        <w:tc>
          <w:tcPr>
            <w:tcW w:w="3620" w:type="dxa"/>
            <w:gridSpan w:val="4"/>
          </w:tcPr>
          <w:p w14:paraId="5B88B7CE" w14:textId="2379FA1D" w:rsidR="002330D2" w:rsidRPr="00C86111" w:rsidRDefault="002330D2" w:rsidP="002330D2">
            <w:pPr>
              <w:pStyle w:val="NormalWeb"/>
              <w:spacing w:after="0" w:afterAutospacing="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C86111">
              <w:rPr>
                <w:rFonts w:asciiTheme="minorHAnsi" w:hAnsiTheme="minorHAnsi" w:cstheme="minorHAnsi"/>
                <w:sz w:val="20"/>
                <w:szCs w:val="20"/>
                <w:lang w:eastAsia="en-GB"/>
              </w:rPr>
              <w:t>Izvoz</w:t>
            </w:r>
          </w:p>
        </w:tc>
      </w:tr>
      <w:tr w:rsidR="002330D2" w:rsidRPr="00C86111" w14:paraId="6798C105"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vMerge/>
          </w:tcPr>
          <w:p w14:paraId="29B1364F" w14:textId="77777777" w:rsidR="002330D2" w:rsidRPr="00C86111" w:rsidRDefault="002330D2" w:rsidP="002330D2">
            <w:pPr>
              <w:pStyle w:val="NormalWeb"/>
              <w:spacing w:after="0" w:afterAutospacing="0"/>
              <w:jc w:val="center"/>
              <w:rPr>
                <w:rFonts w:asciiTheme="minorHAnsi" w:hAnsiTheme="minorHAnsi" w:cstheme="minorHAnsi"/>
                <w:sz w:val="20"/>
                <w:szCs w:val="20"/>
              </w:rPr>
            </w:pPr>
          </w:p>
        </w:tc>
        <w:tc>
          <w:tcPr>
            <w:tcW w:w="1030" w:type="dxa"/>
          </w:tcPr>
          <w:p w14:paraId="0E7D3212" w14:textId="00743E88" w:rsidR="002330D2" w:rsidRPr="00C86111" w:rsidRDefault="002330D2" w:rsidP="002330D2">
            <w:pPr>
              <w:pStyle w:val="NormalWeb"/>
              <w:spacing w:after="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Jan - Dec 2020</w:t>
            </w:r>
          </w:p>
        </w:tc>
        <w:tc>
          <w:tcPr>
            <w:tcW w:w="1031" w:type="dxa"/>
          </w:tcPr>
          <w:p w14:paraId="73F686F2" w14:textId="068F9AD0" w:rsidR="002330D2" w:rsidRPr="00C86111" w:rsidRDefault="002330D2" w:rsidP="002330D2">
            <w:pPr>
              <w:pStyle w:val="NormalWeb"/>
              <w:spacing w:after="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Jan - Dec  2021</w:t>
            </w:r>
          </w:p>
        </w:tc>
        <w:tc>
          <w:tcPr>
            <w:tcW w:w="1031" w:type="dxa"/>
          </w:tcPr>
          <w:p w14:paraId="53A3EAC6" w14:textId="4E32C1E7" w:rsidR="002330D2" w:rsidRPr="00C86111" w:rsidRDefault="002330D2" w:rsidP="002330D2">
            <w:pPr>
              <w:pStyle w:val="NormalWeb"/>
              <w:spacing w:after="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Jan-Dec 2022</w:t>
            </w:r>
          </w:p>
        </w:tc>
        <w:tc>
          <w:tcPr>
            <w:tcW w:w="1031" w:type="dxa"/>
          </w:tcPr>
          <w:p w14:paraId="52728751" w14:textId="0C45A3EE" w:rsidR="002330D2" w:rsidRPr="00C86111" w:rsidRDefault="002330D2" w:rsidP="002330D2">
            <w:pPr>
              <w:pStyle w:val="NormalWeb"/>
              <w:spacing w:after="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Jan-Dec 2023</w:t>
            </w:r>
          </w:p>
        </w:tc>
        <w:tc>
          <w:tcPr>
            <w:tcW w:w="905" w:type="dxa"/>
          </w:tcPr>
          <w:p w14:paraId="0EBE2304" w14:textId="66AE8FFD" w:rsidR="002330D2" w:rsidRPr="00C86111" w:rsidRDefault="002330D2" w:rsidP="002330D2">
            <w:pPr>
              <w:pStyle w:val="NormalWeb"/>
              <w:spacing w:after="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Jan - Dec 2020</w:t>
            </w:r>
          </w:p>
        </w:tc>
        <w:tc>
          <w:tcPr>
            <w:tcW w:w="905" w:type="dxa"/>
          </w:tcPr>
          <w:p w14:paraId="2F521C35" w14:textId="51D6D565" w:rsidR="002330D2" w:rsidRPr="00C86111" w:rsidRDefault="002330D2" w:rsidP="002330D2">
            <w:pPr>
              <w:pStyle w:val="NormalWeb"/>
              <w:spacing w:after="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Jan - Dec  2021</w:t>
            </w:r>
          </w:p>
        </w:tc>
        <w:tc>
          <w:tcPr>
            <w:tcW w:w="905" w:type="dxa"/>
          </w:tcPr>
          <w:p w14:paraId="7C10E93A" w14:textId="39C56087" w:rsidR="002330D2" w:rsidRPr="00C86111" w:rsidRDefault="002330D2" w:rsidP="002330D2">
            <w:pPr>
              <w:pStyle w:val="NormalWeb"/>
              <w:spacing w:after="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Jan-Dec 2022</w:t>
            </w:r>
          </w:p>
        </w:tc>
        <w:tc>
          <w:tcPr>
            <w:tcW w:w="905" w:type="dxa"/>
          </w:tcPr>
          <w:p w14:paraId="2FD05D51" w14:textId="6414F6E7" w:rsidR="002330D2" w:rsidRPr="00C86111" w:rsidRDefault="002330D2" w:rsidP="002330D2">
            <w:pPr>
              <w:pStyle w:val="NormalWeb"/>
              <w:spacing w:after="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Jan-Dec 2023</w:t>
            </w:r>
          </w:p>
        </w:tc>
      </w:tr>
      <w:tr w:rsidR="002330D2" w:rsidRPr="00C86111" w14:paraId="71A48B4C" w14:textId="77777777" w:rsidTr="00A12257">
        <w:tc>
          <w:tcPr>
            <w:cnfStyle w:val="001000000000" w:firstRow="0" w:lastRow="0" w:firstColumn="1" w:lastColumn="0" w:oddVBand="0" w:evenVBand="0" w:oddHBand="0" w:evenHBand="0" w:firstRowFirstColumn="0" w:firstRowLastColumn="0" w:lastRowFirstColumn="0" w:lastRowLastColumn="0"/>
            <w:tcW w:w="1607" w:type="dxa"/>
            <w:vMerge/>
          </w:tcPr>
          <w:p w14:paraId="10D87A50" w14:textId="77777777" w:rsidR="002330D2" w:rsidRPr="00C86111" w:rsidRDefault="002330D2" w:rsidP="002330D2">
            <w:pPr>
              <w:pStyle w:val="NormalWeb"/>
              <w:spacing w:after="0" w:afterAutospacing="0"/>
              <w:jc w:val="center"/>
              <w:rPr>
                <w:rFonts w:asciiTheme="minorHAnsi" w:hAnsiTheme="minorHAnsi" w:cstheme="minorHAnsi"/>
                <w:sz w:val="20"/>
                <w:szCs w:val="20"/>
              </w:rPr>
            </w:pPr>
          </w:p>
        </w:tc>
        <w:tc>
          <w:tcPr>
            <w:tcW w:w="1030" w:type="dxa"/>
          </w:tcPr>
          <w:p w14:paraId="5BD9144B" w14:textId="1350F049" w:rsidR="002330D2" w:rsidRPr="00C86111" w:rsidRDefault="002330D2" w:rsidP="002330D2">
            <w:pPr>
              <w:pStyle w:val="NormalWeb"/>
              <w:spacing w:after="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u hilj. EUR</w:t>
            </w:r>
          </w:p>
        </w:tc>
        <w:tc>
          <w:tcPr>
            <w:tcW w:w="1031" w:type="dxa"/>
          </w:tcPr>
          <w:p w14:paraId="31EC7B28" w14:textId="231ED75E" w:rsidR="002330D2" w:rsidRPr="00C86111" w:rsidRDefault="002330D2" w:rsidP="002330D2">
            <w:pPr>
              <w:pStyle w:val="NormalWeb"/>
              <w:spacing w:after="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u hilj. EUR</w:t>
            </w:r>
          </w:p>
        </w:tc>
        <w:tc>
          <w:tcPr>
            <w:tcW w:w="1031" w:type="dxa"/>
          </w:tcPr>
          <w:p w14:paraId="583D7550" w14:textId="7139097C" w:rsidR="002330D2" w:rsidRPr="00C86111" w:rsidRDefault="002330D2" w:rsidP="002330D2">
            <w:pPr>
              <w:pStyle w:val="NormalWeb"/>
              <w:spacing w:after="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u hilj. EUR</w:t>
            </w:r>
          </w:p>
        </w:tc>
        <w:tc>
          <w:tcPr>
            <w:tcW w:w="1031" w:type="dxa"/>
          </w:tcPr>
          <w:p w14:paraId="48CA585A" w14:textId="342DE02B" w:rsidR="002330D2" w:rsidRPr="00C86111" w:rsidRDefault="002330D2" w:rsidP="002330D2">
            <w:pPr>
              <w:pStyle w:val="NormalWeb"/>
              <w:spacing w:after="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u hilj. EUR</w:t>
            </w:r>
          </w:p>
        </w:tc>
        <w:tc>
          <w:tcPr>
            <w:tcW w:w="905" w:type="dxa"/>
          </w:tcPr>
          <w:p w14:paraId="15AC49D1" w14:textId="5EFDB0DA" w:rsidR="002330D2" w:rsidRPr="00C86111" w:rsidRDefault="002330D2" w:rsidP="002330D2">
            <w:pPr>
              <w:pStyle w:val="NormalWeb"/>
              <w:spacing w:after="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u hilj. EUR</w:t>
            </w:r>
          </w:p>
        </w:tc>
        <w:tc>
          <w:tcPr>
            <w:tcW w:w="905" w:type="dxa"/>
          </w:tcPr>
          <w:p w14:paraId="0D989798" w14:textId="4576963A" w:rsidR="002330D2" w:rsidRPr="00C86111" w:rsidRDefault="002330D2" w:rsidP="002330D2">
            <w:pPr>
              <w:pStyle w:val="NormalWeb"/>
              <w:spacing w:after="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u hilj. EUR</w:t>
            </w:r>
          </w:p>
        </w:tc>
        <w:tc>
          <w:tcPr>
            <w:tcW w:w="905" w:type="dxa"/>
          </w:tcPr>
          <w:p w14:paraId="31FC4C54" w14:textId="716E12A6" w:rsidR="002330D2" w:rsidRPr="00C86111" w:rsidRDefault="002330D2" w:rsidP="002330D2">
            <w:pPr>
              <w:pStyle w:val="NormalWeb"/>
              <w:spacing w:after="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u hilj. EUR</w:t>
            </w:r>
          </w:p>
        </w:tc>
        <w:tc>
          <w:tcPr>
            <w:tcW w:w="905" w:type="dxa"/>
          </w:tcPr>
          <w:p w14:paraId="37090F81" w14:textId="26CE5382" w:rsidR="002330D2" w:rsidRPr="00C86111" w:rsidRDefault="002330D2" w:rsidP="002330D2">
            <w:pPr>
              <w:pStyle w:val="NormalWeb"/>
              <w:spacing w:after="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u hilj. EUR</w:t>
            </w:r>
          </w:p>
        </w:tc>
      </w:tr>
      <w:tr w:rsidR="002B19B1" w:rsidRPr="00C86111" w14:paraId="3314EAF0"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5080CEBB" w14:textId="699BD78E" w:rsidR="002B19B1" w:rsidRPr="00C86111" w:rsidRDefault="002B19B1" w:rsidP="002B19B1">
            <w:pPr>
              <w:pStyle w:val="NormalWeb"/>
              <w:spacing w:after="0" w:afterAutospacing="0"/>
              <w:rPr>
                <w:rFonts w:asciiTheme="minorHAnsi" w:hAnsiTheme="minorHAnsi" w:cstheme="minorHAnsi"/>
                <w:sz w:val="20"/>
                <w:szCs w:val="20"/>
              </w:rPr>
            </w:pPr>
            <w:r w:rsidRPr="00C86111">
              <w:rPr>
                <w:rFonts w:asciiTheme="minorHAnsi" w:hAnsiTheme="minorHAnsi" w:cstheme="minorHAnsi"/>
                <w:sz w:val="20"/>
                <w:szCs w:val="20"/>
                <w:lang w:eastAsia="en-GB"/>
              </w:rPr>
              <w:t>Ukupno</w:t>
            </w:r>
          </w:p>
        </w:tc>
        <w:tc>
          <w:tcPr>
            <w:tcW w:w="1030" w:type="dxa"/>
          </w:tcPr>
          <w:p w14:paraId="7887B9F7" w14:textId="1AA93EFA"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2,105,170</w:t>
            </w:r>
          </w:p>
        </w:tc>
        <w:tc>
          <w:tcPr>
            <w:tcW w:w="1031" w:type="dxa"/>
          </w:tcPr>
          <w:p w14:paraId="09F6375D" w14:textId="69E1AEDF"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2,505,115</w:t>
            </w:r>
          </w:p>
        </w:tc>
        <w:tc>
          <w:tcPr>
            <w:tcW w:w="1031" w:type="dxa"/>
          </w:tcPr>
          <w:p w14:paraId="45B69D5D" w14:textId="11FE87BE"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3,533,838</w:t>
            </w:r>
          </w:p>
        </w:tc>
        <w:tc>
          <w:tcPr>
            <w:tcW w:w="1031" w:type="dxa"/>
          </w:tcPr>
          <w:p w14:paraId="09BFC391" w14:textId="6CAA389F"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3,810,125</w:t>
            </w:r>
          </w:p>
        </w:tc>
        <w:tc>
          <w:tcPr>
            <w:tcW w:w="905" w:type="dxa"/>
          </w:tcPr>
          <w:p w14:paraId="1CBE4FCB" w14:textId="594B193B"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366,128</w:t>
            </w:r>
          </w:p>
        </w:tc>
        <w:tc>
          <w:tcPr>
            <w:tcW w:w="905" w:type="dxa"/>
          </w:tcPr>
          <w:p w14:paraId="4C07E87A" w14:textId="3113D4CF"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437,045</w:t>
            </w:r>
          </w:p>
        </w:tc>
        <w:tc>
          <w:tcPr>
            <w:tcW w:w="905" w:type="dxa"/>
          </w:tcPr>
          <w:p w14:paraId="666E5FF8" w14:textId="60D7E403"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700,252</w:t>
            </w:r>
          </w:p>
        </w:tc>
        <w:tc>
          <w:tcPr>
            <w:tcW w:w="905" w:type="dxa"/>
          </w:tcPr>
          <w:p w14:paraId="33648A28" w14:textId="5553269F"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b/>
                <w:bCs/>
                <w:sz w:val="20"/>
                <w:szCs w:val="20"/>
                <w:lang w:eastAsia="en-GB"/>
              </w:rPr>
              <w:t>674,331</w:t>
            </w:r>
          </w:p>
        </w:tc>
      </w:tr>
      <w:tr w:rsidR="002B19B1" w:rsidRPr="00C86111" w14:paraId="1C895D52" w14:textId="77777777" w:rsidTr="00A12257">
        <w:tc>
          <w:tcPr>
            <w:cnfStyle w:val="001000000000" w:firstRow="0" w:lastRow="0" w:firstColumn="1" w:lastColumn="0" w:oddVBand="0" w:evenVBand="0" w:oddHBand="0" w:evenHBand="0" w:firstRowFirstColumn="0" w:firstRowLastColumn="0" w:lastRowFirstColumn="0" w:lastRowLastColumn="0"/>
            <w:tcW w:w="1607" w:type="dxa"/>
          </w:tcPr>
          <w:p w14:paraId="4485BAD3" w14:textId="014607B0"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 xml:space="preserve"> Žive životinje i životinjski  proizvodi</w:t>
            </w:r>
          </w:p>
        </w:tc>
        <w:tc>
          <w:tcPr>
            <w:tcW w:w="1030" w:type="dxa"/>
          </w:tcPr>
          <w:p w14:paraId="595D0EFC" w14:textId="39589FBC"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140,047</w:t>
            </w:r>
          </w:p>
        </w:tc>
        <w:tc>
          <w:tcPr>
            <w:tcW w:w="1031" w:type="dxa"/>
          </w:tcPr>
          <w:p w14:paraId="6214CDAF" w14:textId="17F4C2EB"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173,629</w:t>
            </w:r>
          </w:p>
        </w:tc>
        <w:tc>
          <w:tcPr>
            <w:tcW w:w="1031" w:type="dxa"/>
          </w:tcPr>
          <w:p w14:paraId="5323A13E" w14:textId="23E6801F"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243,814</w:t>
            </w:r>
          </w:p>
        </w:tc>
        <w:tc>
          <w:tcPr>
            <w:tcW w:w="1031" w:type="dxa"/>
          </w:tcPr>
          <w:p w14:paraId="18EDAC3B" w14:textId="5CCDFB6E"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292,333</w:t>
            </w:r>
          </w:p>
        </w:tc>
        <w:tc>
          <w:tcPr>
            <w:tcW w:w="905" w:type="dxa"/>
          </w:tcPr>
          <w:p w14:paraId="70F50BB4" w14:textId="65338074"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10,740</w:t>
            </w:r>
          </w:p>
        </w:tc>
        <w:tc>
          <w:tcPr>
            <w:tcW w:w="905" w:type="dxa"/>
          </w:tcPr>
          <w:p w14:paraId="03CEE20B" w14:textId="03D3C5A6"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13,224</w:t>
            </w:r>
          </w:p>
        </w:tc>
        <w:tc>
          <w:tcPr>
            <w:tcW w:w="905" w:type="dxa"/>
          </w:tcPr>
          <w:p w14:paraId="32C277F8" w14:textId="6E522D2B"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22,275</w:t>
            </w:r>
          </w:p>
        </w:tc>
        <w:tc>
          <w:tcPr>
            <w:tcW w:w="905" w:type="dxa"/>
          </w:tcPr>
          <w:p w14:paraId="698132DE" w14:textId="619BCFD8"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26,254</w:t>
            </w:r>
          </w:p>
        </w:tc>
      </w:tr>
      <w:tr w:rsidR="002B19B1" w:rsidRPr="00C86111" w14:paraId="34482899"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5CCDD121" w14:textId="39B977E1" w:rsidR="002B19B1" w:rsidRPr="00C86111" w:rsidRDefault="002B19B1" w:rsidP="002B19B1">
            <w:pPr>
              <w:pStyle w:val="NormalWeb"/>
              <w:spacing w:after="0" w:afterAutospacing="0"/>
              <w:rPr>
                <w:rFonts w:asciiTheme="minorHAnsi" w:hAnsiTheme="minorHAnsi" w:cstheme="minorHAnsi"/>
                <w:sz w:val="20"/>
                <w:szCs w:val="20"/>
              </w:rPr>
            </w:pPr>
            <w:r w:rsidRPr="00C86111">
              <w:rPr>
                <w:rFonts w:asciiTheme="minorHAnsi" w:hAnsiTheme="minorHAnsi" w:cstheme="minorHAnsi"/>
                <w:sz w:val="20"/>
                <w:szCs w:val="20"/>
                <w:lang w:eastAsia="en-GB"/>
              </w:rPr>
              <w:t>Povrće</w:t>
            </w:r>
          </w:p>
        </w:tc>
        <w:tc>
          <w:tcPr>
            <w:tcW w:w="1030" w:type="dxa"/>
          </w:tcPr>
          <w:p w14:paraId="5EDCBD9F" w14:textId="4CC509F5"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93,676</w:t>
            </w:r>
          </w:p>
        </w:tc>
        <w:tc>
          <w:tcPr>
            <w:tcW w:w="1031" w:type="dxa"/>
          </w:tcPr>
          <w:p w14:paraId="55636669" w14:textId="3E1BDB17"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107,157</w:t>
            </w:r>
          </w:p>
        </w:tc>
        <w:tc>
          <w:tcPr>
            <w:tcW w:w="1031" w:type="dxa"/>
          </w:tcPr>
          <w:p w14:paraId="615CA854" w14:textId="4DB0C816"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137,111</w:t>
            </w:r>
          </w:p>
        </w:tc>
        <w:tc>
          <w:tcPr>
            <w:tcW w:w="1031" w:type="dxa"/>
          </w:tcPr>
          <w:p w14:paraId="3AB284B8" w14:textId="11F8DFD1"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149,654</w:t>
            </w:r>
          </w:p>
        </w:tc>
        <w:tc>
          <w:tcPr>
            <w:tcW w:w="905" w:type="dxa"/>
          </w:tcPr>
          <w:p w14:paraId="6D9A5764" w14:textId="13AF1704"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8,585</w:t>
            </w:r>
          </w:p>
        </w:tc>
        <w:tc>
          <w:tcPr>
            <w:tcW w:w="905" w:type="dxa"/>
          </w:tcPr>
          <w:p w14:paraId="55177B48" w14:textId="3F12AFDF"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11,136</w:t>
            </w:r>
          </w:p>
        </w:tc>
        <w:tc>
          <w:tcPr>
            <w:tcW w:w="905" w:type="dxa"/>
          </w:tcPr>
          <w:p w14:paraId="00E15EFD" w14:textId="4AF1D96D"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11,093</w:t>
            </w:r>
          </w:p>
        </w:tc>
        <w:tc>
          <w:tcPr>
            <w:tcW w:w="905" w:type="dxa"/>
          </w:tcPr>
          <w:p w14:paraId="6105BD9D" w14:textId="3B2EF527"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9,408</w:t>
            </w:r>
          </w:p>
        </w:tc>
      </w:tr>
      <w:tr w:rsidR="002B19B1" w:rsidRPr="00C86111" w14:paraId="26A3BC08" w14:textId="77777777" w:rsidTr="00A12257">
        <w:tc>
          <w:tcPr>
            <w:cnfStyle w:val="001000000000" w:firstRow="0" w:lastRow="0" w:firstColumn="1" w:lastColumn="0" w:oddVBand="0" w:evenVBand="0" w:oddHBand="0" w:evenHBand="0" w:firstRowFirstColumn="0" w:firstRowLastColumn="0" w:lastRowFirstColumn="0" w:lastRowLastColumn="0"/>
            <w:tcW w:w="1607" w:type="dxa"/>
          </w:tcPr>
          <w:p w14:paraId="4F4A3E7D" w14:textId="0F2F4B8D"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 xml:space="preserve">Životinjske ili biljne masti, ulja i  </w:t>
            </w:r>
            <w:r w:rsidR="002330D2" w:rsidRPr="00C86111">
              <w:rPr>
                <w:rFonts w:asciiTheme="minorHAnsi" w:eastAsia="Times New Roman" w:hAnsiTheme="minorHAnsi" w:cstheme="minorHAnsi"/>
                <w:color w:val="auto"/>
                <w:sz w:val="20"/>
                <w:szCs w:val="20"/>
                <w:lang w:eastAsia="en-GB"/>
              </w:rPr>
              <w:t>v</w:t>
            </w:r>
            <w:r w:rsidRPr="00C86111">
              <w:rPr>
                <w:rFonts w:asciiTheme="minorHAnsi" w:eastAsia="Times New Roman" w:hAnsiTheme="minorHAnsi" w:cstheme="minorHAnsi"/>
                <w:color w:val="auto"/>
                <w:sz w:val="20"/>
                <w:szCs w:val="20"/>
                <w:lang w:eastAsia="en-GB"/>
              </w:rPr>
              <w:t>oskovi</w:t>
            </w:r>
          </w:p>
        </w:tc>
        <w:tc>
          <w:tcPr>
            <w:tcW w:w="1030" w:type="dxa"/>
          </w:tcPr>
          <w:p w14:paraId="6E4C1122" w14:textId="010FE86D"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13,873</w:t>
            </w:r>
          </w:p>
        </w:tc>
        <w:tc>
          <w:tcPr>
            <w:tcW w:w="1031" w:type="dxa"/>
          </w:tcPr>
          <w:p w14:paraId="773A2961" w14:textId="5A545EDC"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21,348</w:t>
            </w:r>
          </w:p>
        </w:tc>
        <w:tc>
          <w:tcPr>
            <w:tcW w:w="1031" w:type="dxa"/>
          </w:tcPr>
          <w:p w14:paraId="0D525AF6" w14:textId="71C7FFC7"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32,195</w:t>
            </w:r>
          </w:p>
        </w:tc>
        <w:tc>
          <w:tcPr>
            <w:tcW w:w="1031" w:type="dxa"/>
          </w:tcPr>
          <w:p w14:paraId="2B78586D" w14:textId="20AC6324"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20,719</w:t>
            </w:r>
          </w:p>
        </w:tc>
        <w:tc>
          <w:tcPr>
            <w:tcW w:w="905" w:type="dxa"/>
          </w:tcPr>
          <w:p w14:paraId="42E504E5" w14:textId="10641AA5"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192</w:t>
            </w:r>
          </w:p>
        </w:tc>
        <w:tc>
          <w:tcPr>
            <w:tcW w:w="905" w:type="dxa"/>
          </w:tcPr>
          <w:p w14:paraId="66F9A0FA" w14:textId="6B5EF91D"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277</w:t>
            </w:r>
          </w:p>
        </w:tc>
        <w:tc>
          <w:tcPr>
            <w:tcW w:w="905" w:type="dxa"/>
          </w:tcPr>
          <w:p w14:paraId="11A18438" w14:textId="3587D12F"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640</w:t>
            </w:r>
          </w:p>
        </w:tc>
        <w:tc>
          <w:tcPr>
            <w:tcW w:w="905" w:type="dxa"/>
          </w:tcPr>
          <w:p w14:paraId="7C5A134F" w14:textId="3670D775"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883</w:t>
            </w:r>
          </w:p>
        </w:tc>
      </w:tr>
      <w:tr w:rsidR="002B19B1" w:rsidRPr="00C86111" w14:paraId="0D6AC596"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72713BF8" w14:textId="5F7F7242" w:rsidR="002B19B1" w:rsidRPr="00C86111" w:rsidRDefault="002B19B1" w:rsidP="002B19B1">
            <w:pPr>
              <w:pStyle w:val="NormalWeb"/>
              <w:spacing w:after="0" w:afterAutospacing="0"/>
              <w:rPr>
                <w:rFonts w:asciiTheme="minorHAnsi" w:hAnsiTheme="minorHAnsi" w:cstheme="minorHAnsi"/>
                <w:sz w:val="20"/>
                <w:szCs w:val="20"/>
              </w:rPr>
            </w:pPr>
            <w:r w:rsidRPr="00C86111">
              <w:rPr>
                <w:rFonts w:asciiTheme="minorHAnsi" w:hAnsiTheme="minorHAnsi" w:cstheme="minorHAnsi"/>
                <w:sz w:val="20"/>
                <w:szCs w:val="20"/>
                <w:lang w:eastAsia="en-GB"/>
              </w:rPr>
              <w:t>Pripremljena hrana, pića, duvan</w:t>
            </w:r>
          </w:p>
        </w:tc>
        <w:tc>
          <w:tcPr>
            <w:tcW w:w="1030" w:type="dxa"/>
          </w:tcPr>
          <w:p w14:paraId="7D169AB7" w14:textId="6F53BB82"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230,975</w:t>
            </w:r>
          </w:p>
        </w:tc>
        <w:tc>
          <w:tcPr>
            <w:tcW w:w="1031" w:type="dxa"/>
          </w:tcPr>
          <w:p w14:paraId="673A67F9" w14:textId="7A4D542C"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298,466</w:t>
            </w:r>
          </w:p>
        </w:tc>
        <w:tc>
          <w:tcPr>
            <w:tcW w:w="1031" w:type="dxa"/>
          </w:tcPr>
          <w:p w14:paraId="46B3A149" w14:textId="03A31632"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385,501</w:t>
            </w:r>
          </w:p>
        </w:tc>
        <w:tc>
          <w:tcPr>
            <w:tcW w:w="1031" w:type="dxa"/>
          </w:tcPr>
          <w:p w14:paraId="743F4196" w14:textId="22973988"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471,640</w:t>
            </w:r>
          </w:p>
        </w:tc>
        <w:tc>
          <w:tcPr>
            <w:tcW w:w="905" w:type="dxa"/>
          </w:tcPr>
          <w:p w14:paraId="39C4100D" w14:textId="1E86E72E"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29,626</w:t>
            </w:r>
          </w:p>
        </w:tc>
        <w:tc>
          <w:tcPr>
            <w:tcW w:w="905" w:type="dxa"/>
          </w:tcPr>
          <w:p w14:paraId="31A8A69A" w14:textId="385FA235"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34,999</w:t>
            </w:r>
          </w:p>
        </w:tc>
        <w:tc>
          <w:tcPr>
            <w:tcW w:w="905" w:type="dxa"/>
          </w:tcPr>
          <w:p w14:paraId="2E0C40A8" w14:textId="47DEA491"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29,199</w:t>
            </w:r>
          </w:p>
        </w:tc>
        <w:tc>
          <w:tcPr>
            <w:tcW w:w="905" w:type="dxa"/>
          </w:tcPr>
          <w:p w14:paraId="27193749" w14:textId="435C3C4C"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55,249</w:t>
            </w:r>
          </w:p>
        </w:tc>
      </w:tr>
      <w:tr w:rsidR="002B19B1" w:rsidRPr="00C86111" w14:paraId="1EFE9CAB" w14:textId="77777777" w:rsidTr="00A12257">
        <w:tc>
          <w:tcPr>
            <w:cnfStyle w:val="001000000000" w:firstRow="0" w:lastRow="0" w:firstColumn="1" w:lastColumn="0" w:oddVBand="0" w:evenVBand="0" w:oddHBand="0" w:evenHBand="0" w:firstRowFirstColumn="0" w:firstRowLastColumn="0" w:lastRowFirstColumn="0" w:lastRowLastColumn="0"/>
            <w:tcW w:w="1607" w:type="dxa"/>
          </w:tcPr>
          <w:p w14:paraId="542ACBB4" w14:textId="522AD791" w:rsidR="002B19B1" w:rsidRPr="00C86111" w:rsidRDefault="002B19B1" w:rsidP="002B19B1">
            <w:pPr>
              <w:pStyle w:val="NormalWeb"/>
              <w:spacing w:after="0" w:afterAutospacing="0"/>
              <w:rPr>
                <w:rFonts w:asciiTheme="minorHAnsi" w:hAnsiTheme="minorHAnsi" w:cstheme="minorHAnsi"/>
                <w:sz w:val="20"/>
                <w:szCs w:val="20"/>
              </w:rPr>
            </w:pPr>
            <w:r w:rsidRPr="00C86111">
              <w:rPr>
                <w:rFonts w:asciiTheme="minorHAnsi" w:hAnsiTheme="minorHAnsi" w:cstheme="minorHAnsi"/>
                <w:sz w:val="20"/>
                <w:szCs w:val="20"/>
                <w:lang w:eastAsia="en-GB"/>
              </w:rPr>
              <w:t>Mineralni proizvodi</w:t>
            </w:r>
          </w:p>
        </w:tc>
        <w:tc>
          <w:tcPr>
            <w:tcW w:w="1030" w:type="dxa"/>
          </w:tcPr>
          <w:p w14:paraId="08D5ABC9" w14:textId="4A3303A6"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205,676</w:t>
            </w:r>
          </w:p>
        </w:tc>
        <w:tc>
          <w:tcPr>
            <w:tcW w:w="1031" w:type="dxa"/>
          </w:tcPr>
          <w:p w14:paraId="082BE702" w14:textId="221FDBB6"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320,057</w:t>
            </w:r>
          </w:p>
        </w:tc>
        <w:tc>
          <w:tcPr>
            <w:tcW w:w="1031" w:type="dxa"/>
          </w:tcPr>
          <w:p w14:paraId="1749F8EB" w14:textId="3B3C97E1"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659,707</w:t>
            </w:r>
          </w:p>
        </w:tc>
        <w:tc>
          <w:tcPr>
            <w:tcW w:w="1031" w:type="dxa"/>
          </w:tcPr>
          <w:p w14:paraId="0BDF03E6" w14:textId="1E9B6683"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450,708</w:t>
            </w:r>
          </w:p>
        </w:tc>
        <w:tc>
          <w:tcPr>
            <w:tcW w:w="905" w:type="dxa"/>
          </w:tcPr>
          <w:p w14:paraId="05A54EB2" w14:textId="4AB865EA"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94,341</w:t>
            </w:r>
          </w:p>
        </w:tc>
        <w:tc>
          <w:tcPr>
            <w:tcW w:w="905" w:type="dxa"/>
          </w:tcPr>
          <w:p w14:paraId="31C8C8B9" w14:textId="1F2A8FF0"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106,611</w:t>
            </w:r>
          </w:p>
        </w:tc>
        <w:tc>
          <w:tcPr>
            <w:tcW w:w="905" w:type="dxa"/>
          </w:tcPr>
          <w:p w14:paraId="7EC934AC" w14:textId="3EE09A11"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236,582</w:t>
            </w:r>
          </w:p>
        </w:tc>
        <w:tc>
          <w:tcPr>
            <w:tcW w:w="905" w:type="dxa"/>
          </w:tcPr>
          <w:p w14:paraId="07F6B807" w14:textId="49835AA3"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270,050</w:t>
            </w:r>
          </w:p>
        </w:tc>
      </w:tr>
      <w:tr w:rsidR="002B19B1" w:rsidRPr="00C86111" w14:paraId="11C6D224"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28CD0179" w14:textId="3BBC1BC2"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Proizvodi hemijske ili srodne  industrije</w:t>
            </w:r>
          </w:p>
        </w:tc>
        <w:tc>
          <w:tcPr>
            <w:tcW w:w="1030" w:type="dxa"/>
          </w:tcPr>
          <w:p w14:paraId="5BBE3F05" w14:textId="113C0AC7"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259,274</w:t>
            </w:r>
          </w:p>
        </w:tc>
        <w:tc>
          <w:tcPr>
            <w:tcW w:w="1031" w:type="dxa"/>
          </w:tcPr>
          <w:p w14:paraId="2C848845" w14:textId="477637E1"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315,204</w:t>
            </w:r>
          </w:p>
        </w:tc>
        <w:tc>
          <w:tcPr>
            <w:tcW w:w="1031" w:type="dxa"/>
          </w:tcPr>
          <w:p w14:paraId="736C96A8" w14:textId="1D4A8670"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303,929</w:t>
            </w:r>
          </w:p>
        </w:tc>
        <w:tc>
          <w:tcPr>
            <w:tcW w:w="1031" w:type="dxa"/>
          </w:tcPr>
          <w:p w14:paraId="27DC91D6" w14:textId="4F14260B"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371,259</w:t>
            </w:r>
          </w:p>
        </w:tc>
        <w:tc>
          <w:tcPr>
            <w:tcW w:w="905" w:type="dxa"/>
          </w:tcPr>
          <w:p w14:paraId="53D37A4F" w14:textId="5304460B"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29,018</w:t>
            </w:r>
          </w:p>
        </w:tc>
        <w:tc>
          <w:tcPr>
            <w:tcW w:w="905" w:type="dxa"/>
          </w:tcPr>
          <w:p w14:paraId="7308120C" w14:textId="65FFE9DD"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28,504</w:t>
            </w:r>
          </w:p>
        </w:tc>
        <w:tc>
          <w:tcPr>
            <w:tcW w:w="905" w:type="dxa"/>
          </w:tcPr>
          <w:p w14:paraId="17A93F09" w14:textId="25BBA345"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40,321</w:t>
            </w:r>
          </w:p>
        </w:tc>
        <w:tc>
          <w:tcPr>
            <w:tcW w:w="905" w:type="dxa"/>
          </w:tcPr>
          <w:p w14:paraId="52E40CAB" w14:textId="2A735BB2"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51,502</w:t>
            </w:r>
          </w:p>
        </w:tc>
      </w:tr>
      <w:tr w:rsidR="002B19B1" w:rsidRPr="00C86111" w14:paraId="791ED36B" w14:textId="77777777" w:rsidTr="00A12257">
        <w:tc>
          <w:tcPr>
            <w:cnfStyle w:val="001000000000" w:firstRow="0" w:lastRow="0" w:firstColumn="1" w:lastColumn="0" w:oddVBand="0" w:evenVBand="0" w:oddHBand="0" w:evenHBand="0" w:firstRowFirstColumn="0" w:firstRowLastColumn="0" w:lastRowFirstColumn="0" w:lastRowLastColumn="0"/>
            <w:tcW w:w="1607" w:type="dxa"/>
          </w:tcPr>
          <w:p w14:paraId="137876A3" w14:textId="5A98162D"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Plastika, guma i proizvodi od  gume</w:t>
            </w:r>
          </w:p>
        </w:tc>
        <w:tc>
          <w:tcPr>
            <w:tcW w:w="1030" w:type="dxa"/>
          </w:tcPr>
          <w:p w14:paraId="0F6C109A" w14:textId="3E3C7215"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89,398</w:t>
            </w:r>
          </w:p>
        </w:tc>
        <w:tc>
          <w:tcPr>
            <w:tcW w:w="1031" w:type="dxa"/>
          </w:tcPr>
          <w:p w14:paraId="3FC59F10" w14:textId="2FF159F6"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103,712</w:t>
            </w:r>
          </w:p>
        </w:tc>
        <w:tc>
          <w:tcPr>
            <w:tcW w:w="1031" w:type="dxa"/>
          </w:tcPr>
          <w:p w14:paraId="1B740EB8" w14:textId="5914ED09"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123,201</w:t>
            </w:r>
          </w:p>
        </w:tc>
        <w:tc>
          <w:tcPr>
            <w:tcW w:w="1031" w:type="dxa"/>
          </w:tcPr>
          <w:p w14:paraId="4E655D85" w14:textId="12D654BA"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137,030</w:t>
            </w:r>
          </w:p>
        </w:tc>
        <w:tc>
          <w:tcPr>
            <w:tcW w:w="905" w:type="dxa"/>
          </w:tcPr>
          <w:p w14:paraId="21C18565" w14:textId="437D30F9"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3,671</w:t>
            </w:r>
          </w:p>
        </w:tc>
        <w:tc>
          <w:tcPr>
            <w:tcW w:w="905" w:type="dxa"/>
          </w:tcPr>
          <w:p w14:paraId="18273183" w14:textId="34CC8C49"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3,659</w:t>
            </w:r>
          </w:p>
        </w:tc>
        <w:tc>
          <w:tcPr>
            <w:tcW w:w="905" w:type="dxa"/>
          </w:tcPr>
          <w:p w14:paraId="32A31C72" w14:textId="262E9F78"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5,461</w:t>
            </w:r>
          </w:p>
        </w:tc>
        <w:tc>
          <w:tcPr>
            <w:tcW w:w="905" w:type="dxa"/>
          </w:tcPr>
          <w:p w14:paraId="3687218C" w14:textId="65A874FD"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5,203</w:t>
            </w:r>
          </w:p>
        </w:tc>
      </w:tr>
      <w:tr w:rsidR="002B19B1" w:rsidRPr="00C86111" w14:paraId="60961B31"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2EA1AEBA" w14:textId="1D906558" w:rsidR="002B19B1" w:rsidRPr="00C86111" w:rsidRDefault="002B19B1" w:rsidP="002B19B1">
            <w:pPr>
              <w:pStyle w:val="NormalWeb"/>
              <w:spacing w:after="0" w:afterAutospacing="0"/>
              <w:rPr>
                <w:rFonts w:asciiTheme="minorHAnsi" w:hAnsiTheme="minorHAnsi" w:cstheme="minorHAnsi"/>
                <w:sz w:val="20"/>
                <w:szCs w:val="20"/>
              </w:rPr>
            </w:pPr>
            <w:r w:rsidRPr="00C86111">
              <w:rPr>
                <w:rFonts w:asciiTheme="minorHAnsi" w:hAnsiTheme="minorHAnsi" w:cstheme="minorHAnsi"/>
                <w:sz w:val="20"/>
                <w:szCs w:val="20"/>
                <w:lang w:eastAsia="en-GB"/>
              </w:rPr>
              <w:t>Sirove kože, koža i krzno</w:t>
            </w:r>
          </w:p>
        </w:tc>
        <w:tc>
          <w:tcPr>
            <w:tcW w:w="1030" w:type="dxa"/>
          </w:tcPr>
          <w:p w14:paraId="0BB8DCFB" w14:textId="457588BE"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7,552</w:t>
            </w:r>
          </w:p>
        </w:tc>
        <w:tc>
          <w:tcPr>
            <w:tcW w:w="1031" w:type="dxa"/>
          </w:tcPr>
          <w:p w14:paraId="4E0240A1" w14:textId="490BBDDC"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9,015</w:t>
            </w:r>
          </w:p>
        </w:tc>
        <w:tc>
          <w:tcPr>
            <w:tcW w:w="1031" w:type="dxa"/>
          </w:tcPr>
          <w:p w14:paraId="47764A36" w14:textId="627F7CC8"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12,738</w:t>
            </w:r>
          </w:p>
        </w:tc>
        <w:tc>
          <w:tcPr>
            <w:tcW w:w="1031" w:type="dxa"/>
          </w:tcPr>
          <w:p w14:paraId="2009DEC6" w14:textId="4FE2F905"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21,636</w:t>
            </w:r>
          </w:p>
        </w:tc>
        <w:tc>
          <w:tcPr>
            <w:tcW w:w="905" w:type="dxa"/>
          </w:tcPr>
          <w:p w14:paraId="35B40DA6" w14:textId="51781207"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1,899</w:t>
            </w:r>
          </w:p>
        </w:tc>
        <w:tc>
          <w:tcPr>
            <w:tcW w:w="905" w:type="dxa"/>
          </w:tcPr>
          <w:p w14:paraId="577C6A3A" w14:textId="06586EE3"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2,889</w:t>
            </w:r>
          </w:p>
        </w:tc>
        <w:tc>
          <w:tcPr>
            <w:tcW w:w="905" w:type="dxa"/>
          </w:tcPr>
          <w:p w14:paraId="5B041380" w14:textId="09A2B3DD"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3,351</w:t>
            </w:r>
          </w:p>
        </w:tc>
        <w:tc>
          <w:tcPr>
            <w:tcW w:w="905" w:type="dxa"/>
          </w:tcPr>
          <w:p w14:paraId="466D0CF0" w14:textId="41DADE02"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2,347</w:t>
            </w:r>
          </w:p>
        </w:tc>
      </w:tr>
      <w:tr w:rsidR="002B19B1" w:rsidRPr="00C86111" w14:paraId="2E40DAFC" w14:textId="77777777" w:rsidTr="00A12257">
        <w:tc>
          <w:tcPr>
            <w:cnfStyle w:val="001000000000" w:firstRow="0" w:lastRow="0" w:firstColumn="1" w:lastColumn="0" w:oddVBand="0" w:evenVBand="0" w:oddHBand="0" w:evenHBand="0" w:firstRowFirstColumn="0" w:firstRowLastColumn="0" w:lastRowFirstColumn="0" w:lastRowLastColumn="0"/>
            <w:tcW w:w="1607" w:type="dxa"/>
          </w:tcPr>
          <w:p w14:paraId="799E15FE" w14:textId="613652A0"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 xml:space="preserve"> Drvo, proizvodi od drveta, korpe, drveni ugalj, pluta</w:t>
            </w:r>
          </w:p>
        </w:tc>
        <w:tc>
          <w:tcPr>
            <w:tcW w:w="1030" w:type="dxa"/>
          </w:tcPr>
          <w:p w14:paraId="40BEA064" w14:textId="4C62BD9A"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31,901</w:t>
            </w:r>
          </w:p>
        </w:tc>
        <w:tc>
          <w:tcPr>
            <w:tcW w:w="1031" w:type="dxa"/>
          </w:tcPr>
          <w:p w14:paraId="6C1C048D" w14:textId="03109EBB"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33,999</w:t>
            </w:r>
          </w:p>
        </w:tc>
        <w:tc>
          <w:tcPr>
            <w:tcW w:w="1031" w:type="dxa"/>
          </w:tcPr>
          <w:p w14:paraId="09E78877" w14:textId="2FA620FC"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42,679</w:t>
            </w:r>
          </w:p>
        </w:tc>
        <w:tc>
          <w:tcPr>
            <w:tcW w:w="1031" w:type="dxa"/>
          </w:tcPr>
          <w:p w14:paraId="126AFECC" w14:textId="134C2E1B"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55,815</w:t>
            </w:r>
          </w:p>
        </w:tc>
        <w:tc>
          <w:tcPr>
            <w:tcW w:w="905" w:type="dxa"/>
          </w:tcPr>
          <w:p w14:paraId="2DBD891D" w14:textId="6C918205"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31,602</w:t>
            </w:r>
          </w:p>
        </w:tc>
        <w:tc>
          <w:tcPr>
            <w:tcW w:w="905" w:type="dxa"/>
          </w:tcPr>
          <w:p w14:paraId="5B41EF6E" w14:textId="2535ED35"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37,542</w:t>
            </w:r>
          </w:p>
        </w:tc>
        <w:tc>
          <w:tcPr>
            <w:tcW w:w="905" w:type="dxa"/>
          </w:tcPr>
          <w:p w14:paraId="0B8B3D42" w14:textId="20D9D99B"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48,141</w:t>
            </w:r>
          </w:p>
        </w:tc>
        <w:tc>
          <w:tcPr>
            <w:tcW w:w="905" w:type="dxa"/>
          </w:tcPr>
          <w:p w14:paraId="77B9CED6" w14:textId="607DD07F"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49,707</w:t>
            </w:r>
          </w:p>
        </w:tc>
      </w:tr>
      <w:tr w:rsidR="002B19B1" w:rsidRPr="00C86111" w14:paraId="712195FB"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091DB71D" w14:textId="021BEE83"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Materijali i proizvodi papirne</w:t>
            </w:r>
            <w:r w:rsidR="002330D2" w:rsidRPr="00C86111">
              <w:rPr>
                <w:rFonts w:asciiTheme="minorHAnsi" w:eastAsia="Times New Roman" w:hAnsiTheme="minorHAnsi" w:cstheme="minorHAnsi"/>
                <w:color w:val="auto"/>
                <w:sz w:val="20"/>
                <w:szCs w:val="20"/>
                <w:lang w:eastAsia="en-GB"/>
              </w:rPr>
              <w:t xml:space="preserve"> </w:t>
            </w:r>
            <w:r w:rsidRPr="00C86111">
              <w:rPr>
                <w:rFonts w:asciiTheme="minorHAnsi" w:eastAsia="Times New Roman" w:hAnsiTheme="minorHAnsi" w:cstheme="minorHAnsi"/>
                <w:color w:val="auto"/>
                <w:sz w:val="20"/>
                <w:szCs w:val="20"/>
                <w:lang w:eastAsia="en-GB"/>
              </w:rPr>
              <w:t xml:space="preserve">  industrije</w:t>
            </w:r>
          </w:p>
        </w:tc>
        <w:tc>
          <w:tcPr>
            <w:tcW w:w="1030" w:type="dxa"/>
          </w:tcPr>
          <w:p w14:paraId="5406848A" w14:textId="4C0766A2"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34,927</w:t>
            </w:r>
          </w:p>
        </w:tc>
        <w:tc>
          <w:tcPr>
            <w:tcW w:w="1031" w:type="dxa"/>
          </w:tcPr>
          <w:p w14:paraId="19177408" w14:textId="52F92852"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39,981</w:t>
            </w:r>
          </w:p>
        </w:tc>
        <w:tc>
          <w:tcPr>
            <w:tcW w:w="1031" w:type="dxa"/>
          </w:tcPr>
          <w:p w14:paraId="33CB1ED7" w14:textId="3B8CB8F7"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56,012</w:t>
            </w:r>
          </w:p>
        </w:tc>
        <w:tc>
          <w:tcPr>
            <w:tcW w:w="1031" w:type="dxa"/>
          </w:tcPr>
          <w:p w14:paraId="126ADFF8" w14:textId="20A0BA24"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63,005</w:t>
            </w:r>
          </w:p>
        </w:tc>
        <w:tc>
          <w:tcPr>
            <w:tcW w:w="905" w:type="dxa"/>
          </w:tcPr>
          <w:p w14:paraId="291EF9F9" w14:textId="5111CBD2"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3,680</w:t>
            </w:r>
          </w:p>
        </w:tc>
        <w:tc>
          <w:tcPr>
            <w:tcW w:w="905" w:type="dxa"/>
          </w:tcPr>
          <w:p w14:paraId="246886DF" w14:textId="32C521D7"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5,513</w:t>
            </w:r>
          </w:p>
        </w:tc>
        <w:tc>
          <w:tcPr>
            <w:tcW w:w="905" w:type="dxa"/>
          </w:tcPr>
          <w:p w14:paraId="590AE271" w14:textId="4FAFF3D2"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7,004</w:t>
            </w:r>
          </w:p>
        </w:tc>
        <w:tc>
          <w:tcPr>
            <w:tcW w:w="905" w:type="dxa"/>
          </w:tcPr>
          <w:p w14:paraId="119DE331" w14:textId="2C299A67"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6,424</w:t>
            </w:r>
          </w:p>
        </w:tc>
      </w:tr>
      <w:tr w:rsidR="002B19B1" w:rsidRPr="00C86111" w14:paraId="0B507560" w14:textId="77777777" w:rsidTr="00A12257">
        <w:tc>
          <w:tcPr>
            <w:cnfStyle w:val="001000000000" w:firstRow="0" w:lastRow="0" w:firstColumn="1" w:lastColumn="0" w:oddVBand="0" w:evenVBand="0" w:oddHBand="0" w:evenHBand="0" w:firstRowFirstColumn="0" w:firstRowLastColumn="0" w:lastRowFirstColumn="0" w:lastRowLastColumn="0"/>
            <w:tcW w:w="1607" w:type="dxa"/>
          </w:tcPr>
          <w:p w14:paraId="3083AD74" w14:textId="1C47182E" w:rsidR="002B19B1" w:rsidRPr="00C86111" w:rsidRDefault="002B19B1" w:rsidP="002B19B1">
            <w:pPr>
              <w:pStyle w:val="NormalWeb"/>
              <w:spacing w:after="0" w:afterAutospacing="0"/>
              <w:rPr>
                <w:rFonts w:asciiTheme="minorHAnsi" w:hAnsiTheme="minorHAnsi" w:cstheme="minorHAnsi"/>
                <w:sz w:val="20"/>
                <w:szCs w:val="20"/>
              </w:rPr>
            </w:pPr>
            <w:r w:rsidRPr="00C86111">
              <w:rPr>
                <w:rFonts w:asciiTheme="minorHAnsi" w:hAnsiTheme="minorHAnsi" w:cstheme="minorHAnsi"/>
                <w:sz w:val="20"/>
                <w:szCs w:val="20"/>
                <w:lang w:eastAsia="en-GB"/>
              </w:rPr>
              <w:t>Tekstil i tekstilni proizvodi</w:t>
            </w:r>
          </w:p>
        </w:tc>
        <w:tc>
          <w:tcPr>
            <w:tcW w:w="1030" w:type="dxa"/>
          </w:tcPr>
          <w:p w14:paraId="46A20AF0" w14:textId="6FD72CEC"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84,625</w:t>
            </w:r>
          </w:p>
        </w:tc>
        <w:tc>
          <w:tcPr>
            <w:tcW w:w="1031" w:type="dxa"/>
          </w:tcPr>
          <w:p w14:paraId="518A842F" w14:textId="2CE354B1"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98,928</w:t>
            </w:r>
          </w:p>
        </w:tc>
        <w:tc>
          <w:tcPr>
            <w:tcW w:w="1031" w:type="dxa"/>
          </w:tcPr>
          <w:p w14:paraId="49FDE799" w14:textId="2834E6FD"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126,071</w:t>
            </w:r>
          </w:p>
        </w:tc>
        <w:tc>
          <w:tcPr>
            <w:tcW w:w="1031" w:type="dxa"/>
          </w:tcPr>
          <w:p w14:paraId="2CAAC155" w14:textId="108E45D7"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147,950</w:t>
            </w:r>
          </w:p>
        </w:tc>
        <w:tc>
          <w:tcPr>
            <w:tcW w:w="905" w:type="dxa"/>
          </w:tcPr>
          <w:p w14:paraId="2DC7B12C" w14:textId="3D19F8FC"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2,732</w:t>
            </w:r>
          </w:p>
        </w:tc>
        <w:tc>
          <w:tcPr>
            <w:tcW w:w="905" w:type="dxa"/>
          </w:tcPr>
          <w:p w14:paraId="60E4AFE9" w14:textId="2871B803"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2,849</w:t>
            </w:r>
          </w:p>
        </w:tc>
        <w:tc>
          <w:tcPr>
            <w:tcW w:w="905" w:type="dxa"/>
          </w:tcPr>
          <w:p w14:paraId="403D700F" w14:textId="2DAD041D"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5,136</w:t>
            </w:r>
          </w:p>
        </w:tc>
        <w:tc>
          <w:tcPr>
            <w:tcW w:w="905" w:type="dxa"/>
          </w:tcPr>
          <w:p w14:paraId="1000D74E" w14:textId="618388C7"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6,627</w:t>
            </w:r>
          </w:p>
        </w:tc>
      </w:tr>
      <w:tr w:rsidR="002B19B1" w:rsidRPr="00C86111" w14:paraId="1940EF61"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28B39388" w14:textId="00FE1953" w:rsidR="002B19B1" w:rsidRPr="00C86111" w:rsidRDefault="002B19B1" w:rsidP="002B19B1">
            <w:pPr>
              <w:pStyle w:val="NormalWeb"/>
              <w:spacing w:after="0" w:afterAutospacing="0"/>
              <w:rPr>
                <w:rFonts w:asciiTheme="minorHAnsi" w:hAnsiTheme="minorHAnsi" w:cstheme="minorHAnsi"/>
                <w:sz w:val="20"/>
                <w:szCs w:val="20"/>
              </w:rPr>
            </w:pPr>
            <w:r w:rsidRPr="00C86111">
              <w:rPr>
                <w:rFonts w:asciiTheme="minorHAnsi" w:hAnsiTheme="minorHAnsi" w:cstheme="minorHAnsi"/>
                <w:sz w:val="20"/>
                <w:szCs w:val="20"/>
                <w:lang w:eastAsia="en-GB"/>
              </w:rPr>
              <w:t xml:space="preserve"> Obuća, kape i modni dodaci</w:t>
            </w:r>
          </w:p>
        </w:tc>
        <w:tc>
          <w:tcPr>
            <w:tcW w:w="1030" w:type="dxa"/>
          </w:tcPr>
          <w:p w14:paraId="0C2F8FF7" w14:textId="7301AB6F"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32,459</w:t>
            </w:r>
          </w:p>
        </w:tc>
        <w:tc>
          <w:tcPr>
            <w:tcW w:w="1031" w:type="dxa"/>
          </w:tcPr>
          <w:p w14:paraId="17B2BC1E" w14:textId="221ABB62"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34,878</w:t>
            </w:r>
          </w:p>
        </w:tc>
        <w:tc>
          <w:tcPr>
            <w:tcW w:w="1031" w:type="dxa"/>
          </w:tcPr>
          <w:p w14:paraId="3EE78604" w14:textId="76937464"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45,315</w:t>
            </w:r>
          </w:p>
        </w:tc>
        <w:tc>
          <w:tcPr>
            <w:tcW w:w="1031" w:type="dxa"/>
          </w:tcPr>
          <w:p w14:paraId="530D2D5B" w14:textId="11E51FB6"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58,258</w:t>
            </w:r>
          </w:p>
        </w:tc>
        <w:tc>
          <w:tcPr>
            <w:tcW w:w="905" w:type="dxa"/>
          </w:tcPr>
          <w:p w14:paraId="3B91D719" w14:textId="1DFE3481"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564</w:t>
            </w:r>
          </w:p>
        </w:tc>
        <w:tc>
          <w:tcPr>
            <w:tcW w:w="905" w:type="dxa"/>
          </w:tcPr>
          <w:p w14:paraId="64F5A828" w14:textId="3C30F2DC"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587</w:t>
            </w:r>
          </w:p>
        </w:tc>
        <w:tc>
          <w:tcPr>
            <w:tcW w:w="905" w:type="dxa"/>
          </w:tcPr>
          <w:p w14:paraId="3F40EAB6" w14:textId="3CE1AC07"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796</w:t>
            </w:r>
          </w:p>
        </w:tc>
        <w:tc>
          <w:tcPr>
            <w:tcW w:w="905" w:type="dxa"/>
          </w:tcPr>
          <w:p w14:paraId="38791C56" w14:textId="389154AC"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832</w:t>
            </w:r>
          </w:p>
        </w:tc>
      </w:tr>
      <w:tr w:rsidR="002B19B1" w:rsidRPr="00C86111" w14:paraId="64E2B4F6" w14:textId="77777777" w:rsidTr="00A12257">
        <w:tc>
          <w:tcPr>
            <w:cnfStyle w:val="001000000000" w:firstRow="0" w:lastRow="0" w:firstColumn="1" w:lastColumn="0" w:oddVBand="0" w:evenVBand="0" w:oddHBand="0" w:evenHBand="0" w:firstRowFirstColumn="0" w:firstRowLastColumn="0" w:lastRowFirstColumn="0" w:lastRowLastColumn="0"/>
            <w:tcW w:w="1607" w:type="dxa"/>
          </w:tcPr>
          <w:p w14:paraId="6B2C116F" w14:textId="2A40ABC9"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Proizvodi od kamena, gipsa, cementa, keramički proizvodi,              stakleni proizvodi</w:t>
            </w:r>
          </w:p>
        </w:tc>
        <w:tc>
          <w:tcPr>
            <w:tcW w:w="1030" w:type="dxa"/>
          </w:tcPr>
          <w:p w14:paraId="14A5CE2E" w14:textId="59196268"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66,937</w:t>
            </w:r>
          </w:p>
        </w:tc>
        <w:tc>
          <w:tcPr>
            <w:tcW w:w="1031" w:type="dxa"/>
          </w:tcPr>
          <w:p w14:paraId="37E3821E" w14:textId="3DE11A2E"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66,443</w:t>
            </w:r>
          </w:p>
        </w:tc>
        <w:tc>
          <w:tcPr>
            <w:tcW w:w="1031" w:type="dxa"/>
          </w:tcPr>
          <w:p w14:paraId="2E0396B6" w14:textId="7FB62DD9"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92,604</w:t>
            </w:r>
          </w:p>
        </w:tc>
        <w:tc>
          <w:tcPr>
            <w:tcW w:w="1031" w:type="dxa"/>
          </w:tcPr>
          <w:p w14:paraId="5AB9877A" w14:textId="0B09E78E"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115,860</w:t>
            </w:r>
          </w:p>
        </w:tc>
        <w:tc>
          <w:tcPr>
            <w:tcW w:w="905" w:type="dxa"/>
          </w:tcPr>
          <w:p w14:paraId="1A8F387A" w14:textId="1604E0AB"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2,276</w:t>
            </w:r>
          </w:p>
        </w:tc>
        <w:tc>
          <w:tcPr>
            <w:tcW w:w="905" w:type="dxa"/>
          </w:tcPr>
          <w:p w14:paraId="03765C0B" w14:textId="542BCECB"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3,810</w:t>
            </w:r>
          </w:p>
        </w:tc>
        <w:tc>
          <w:tcPr>
            <w:tcW w:w="905" w:type="dxa"/>
          </w:tcPr>
          <w:p w14:paraId="6EB5BC8E" w14:textId="2FA9374F"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4,088</w:t>
            </w:r>
          </w:p>
        </w:tc>
        <w:tc>
          <w:tcPr>
            <w:tcW w:w="905" w:type="dxa"/>
          </w:tcPr>
          <w:p w14:paraId="4D0F7405" w14:textId="09BBAB51"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6,037</w:t>
            </w:r>
          </w:p>
        </w:tc>
      </w:tr>
      <w:tr w:rsidR="002B19B1" w:rsidRPr="00C86111" w14:paraId="7566E6C4"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684536B4" w14:textId="256E8590" w:rsidR="002B19B1" w:rsidRPr="00C86111" w:rsidRDefault="002B19B1" w:rsidP="002B19B1">
            <w:pPr>
              <w:pStyle w:val="NormalWeb"/>
              <w:spacing w:after="0" w:afterAutospacing="0"/>
              <w:rPr>
                <w:rFonts w:asciiTheme="minorHAnsi" w:hAnsiTheme="minorHAnsi" w:cstheme="minorHAnsi"/>
                <w:sz w:val="20"/>
                <w:szCs w:val="20"/>
              </w:rPr>
            </w:pPr>
            <w:r w:rsidRPr="00C86111">
              <w:rPr>
                <w:rFonts w:asciiTheme="minorHAnsi" w:hAnsiTheme="minorHAnsi" w:cstheme="minorHAnsi"/>
                <w:sz w:val="20"/>
                <w:szCs w:val="20"/>
                <w:lang w:eastAsia="en-GB"/>
              </w:rPr>
              <w:t xml:space="preserve"> Biseri, drago kamenje i </w:t>
            </w:r>
            <w:r w:rsidRPr="00C86111">
              <w:rPr>
                <w:rFonts w:asciiTheme="minorHAnsi" w:hAnsiTheme="minorHAnsi" w:cstheme="minorHAnsi"/>
                <w:sz w:val="20"/>
                <w:szCs w:val="20"/>
                <w:lang w:eastAsia="en-GB"/>
              </w:rPr>
              <w:lastRenderedPageBreak/>
              <w:t>metali,             kovanice</w:t>
            </w:r>
          </w:p>
        </w:tc>
        <w:tc>
          <w:tcPr>
            <w:tcW w:w="1030" w:type="dxa"/>
          </w:tcPr>
          <w:p w14:paraId="42508277" w14:textId="6AF5E08D"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lastRenderedPageBreak/>
              <w:t>6,817</w:t>
            </w:r>
          </w:p>
        </w:tc>
        <w:tc>
          <w:tcPr>
            <w:tcW w:w="1031" w:type="dxa"/>
          </w:tcPr>
          <w:p w14:paraId="25A9D85D" w14:textId="75B474D6"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3,205</w:t>
            </w:r>
          </w:p>
        </w:tc>
        <w:tc>
          <w:tcPr>
            <w:tcW w:w="1031" w:type="dxa"/>
          </w:tcPr>
          <w:p w14:paraId="7FDE260C" w14:textId="26F31A13"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9,582</w:t>
            </w:r>
          </w:p>
        </w:tc>
        <w:tc>
          <w:tcPr>
            <w:tcW w:w="1031" w:type="dxa"/>
          </w:tcPr>
          <w:p w14:paraId="08669864" w14:textId="573C06C5"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22,964</w:t>
            </w:r>
          </w:p>
        </w:tc>
        <w:tc>
          <w:tcPr>
            <w:tcW w:w="905" w:type="dxa"/>
          </w:tcPr>
          <w:p w14:paraId="62F0FBE2" w14:textId="34DC926D"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13,805</w:t>
            </w:r>
          </w:p>
        </w:tc>
        <w:tc>
          <w:tcPr>
            <w:tcW w:w="905" w:type="dxa"/>
          </w:tcPr>
          <w:p w14:paraId="51FBF8D9" w14:textId="0CEA37CB"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802</w:t>
            </w:r>
          </w:p>
        </w:tc>
        <w:tc>
          <w:tcPr>
            <w:tcW w:w="905" w:type="dxa"/>
          </w:tcPr>
          <w:p w14:paraId="4A867E50" w14:textId="106B1235"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3,708</w:t>
            </w:r>
          </w:p>
        </w:tc>
        <w:tc>
          <w:tcPr>
            <w:tcW w:w="905" w:type="dxa"/>
          </w:tcPr>
          <w:p w14:paraId="24A8A8F8" w14:textId="76A63C37"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10,455</w:t>
            </w:r>
          </w:p>
        </w:tc>
      </w:tr>
      <w:tr w:rsidR="002B19B1" w:rsidRPr="00C86111" w14:paraId="457E6219" w14:textId="77777777" w:rsidTr="00A12257">
        <w:tc>
          <w:tcPr>
            <w:cnfStyle w:val="001000000000" w:firstRow="0" w:lastRow="0" w:firstColumn="1" w:lastColumn="0" w:oddVBand="0" w:evenVBand="0" w:oddHBand="0" w:evenHBand="0" w:firstRowFirstColumn="0" w:firstRowLastColumn="0" w:lastRowFirstColumn="0" w:lastRowLastColumn="0"/>
            <w:tcW w:w="1607" w:type="dxa"/>
          </w:tcPr>
          <w:p w14:paraId="07AFE1A5" w14:textId="23FA8C1E"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 xml:space="preserve"> Bazni metali i proizvodi od           osnovnih metala</w:t>
            </w:r>
          </w:p>
        </w:tc>
        <w:tc>
          <w:tcPr>
            <w:tcW w:w="1030" w:type="dxa"/>
          </w:tcPr>
          <w:p w14:paraId="017034E9" w14:textId="15BD617F"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172,218</w:t>
            </w:r>
          </w:p>
        </w:tc>
        <w:tc>
          <w:tcPr>
            <w:tcW w:w="1031" w:type="dxa"/>
          </w:tcPr>
          <w:p w14:paraId="48AA8A70" w14:textId="1D51F492"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208,135</w:t>
            </w:r>
          </w:p>
        </w:tc>
        <w:tc>
          <w:tcPr>
            <w:tcW w:w="1031" w:type="dxa"/>
          </w:tcPr>
          <w:p w14:paraId="518DC294" w14:textId="6C2037B0"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347,422</w:t>
            </w:r>
          </w:p>
        </w:tc>
        <w:tc>
          <w:tcPr>
            <w:tcW w:w="1031" w:type="dxa"/>
          </w:tcPr>
          <w:p w14:paraId="466E8F8B" w14:textId="2B05530D"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299,883</w:t>
            </w:r>
          </w:p>
        </w:tc>
        <w:tc>
          <w:tcPr>
            <w:tcW w:w="905" w:type="dxa"/>
          </w:tcPr>
          <w:p w14:paraId="1A8590EE" w14:textId="064FD3CC"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86,087</w:t>
            </w:r>
          </w:p>
        </w:tc>
        <w:tc>
          <w:tcPr>
            <w:tcW w:w="905" w:type="dxa"/>
          </w:tcPr>
          <w:p w14:paraId="1115AE3D" w14:textId="3F7CE3D2"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128,869</w:t>
            </w:r>
          </w:p>
        </w:tc>
        <w:tc>
          <w:tcPr>
            <w:tcW w:w="905" w:type="dxa"/>
          </w:tcPr>
          <w:p w14:paraId="07CA2159" w14:textId="353CB74C"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204,100</w:t>
            </w:r>
          </w:p>
        </w:tc>
        <w:tc>
          <w:tcPr>
            <w:tcW w:w="905" w:type="dxa"/>
          </w:tcPr>
          <w:p w14:paraId="706DF5DF" w14:textId="7550A770"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97,166</w:t>
            </w:r>
          </w:p>
        </w:tc>
      </w:tr>
      <w:tr w:rsidR="002B19B1" w:rsidRPr="00C86111" w14:paraId="43C9F291"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1C863D1D" w14:textId="73ADD777"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 xml:space="preserve"> Mašine i mehanički uređaji,</w:t>
            </w:r>
            <w:r w:rsidR="002330D2" w:rsidRPr="00C86111">
              <w:rPr>
                <w:rFonts w:asciiTheme="minorHAnsi" w:eastAsia="Times New Roman" w:hAnsiTheme="minorHAnsi" w:cstheme="minorHAnsi"/>
                <w:color w:val="auto"/>
                <w:sz w:val="20"/>
                <w:szCs w:val="20"/>
                <w:lang w:eastAsia="en-GB"/>
              </w:rPr>
              <w:t xml:space="preserve"> e</w:t>
            </w:r>
            <w:r w:rsidRPr="00C86111">
              <w:rPr>
                <w:rFonts w:asciiTheme="minorHAnsi" w:eastAsia="Times New Roman" w:hAnsiTheme="minorHAnsi" w:cstheme="minorHAnsi"/>
                <w:color w:val="auto"/>
                <w:sz w:val="20"/>
                <w:szCs w:val="20"/>
                <w:lang w:eastAsia="en-GB"/>
              </w:rPr>
              <w:t>lektrična oprema</w:t>
            </w:r>
          </w:p>
        </w:tc>
        <w:tc>
          <w:tcPr>
            <w:tcW w:w="1030" w:type="dxa"/>
          </w:tcPr>
          <w:p w14:paraId="64E347D1" w14:textId="2EFB6FB1"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353,986</w:t>
            </w:r>
          </w:p>
        </w:tc>
        <w:tc>
          <w:tcPr>
            <w:tcW w:w="1031" w:type="dxa"/>
          </w:tcPr>
          <w:p w14:paraId="7E47054C" w14:textId="7EF89AB6"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337,450</w:t>
            </w:r>
          </w:p>
        </w:tc>
        <w:tc>
          <w:tcPr>
            <w:tcW w:w="1031" w:type="dxa"/>
          </w:tcPr>
          <w:p w14:paraId="05A335CA" w14:textId="225427EA"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446,527</w:t>
            </w:r>
          </w:p>
        </w:tc>
        <w:tc>
          <w:tcPr>
            <w:tcW w:w="1031" w:type="dxa"/>
          </w:tcPr>
          <w:p w14:paraId="61533F8D" w14:textId="118BEFC9"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524,561</w:t>
            </w:r>
          </w:p>
        </w:tc>
        <w:tc>
          <w:tcPr>
            <w:tcW w:w="905" w:type="dxa"/>
          </w:tcPr>
          <w:p w14:paraId="51B9F4C4" w14:textId="407AB934"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24,172</w:t>
            </w:r>
          </w:p>
        </w:tc>
        <w:tc>
          <w:tcPr>
            <w:tcW w:w="905" w:type="dxa"/>
          </w:tcPr>
          <w:p w14:paraId="65EFD64C" w14:textId="3F1FC8CC"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35,282</w:t>
            </w:r>
          </w:p>
        </w:tc>
        <w:tc>
          <w:tcPr>
            <w:tcW w:w="905" w:type="dxa"/>
          </w:tcPr>
          <w:p w14:paraId="3CFD0C4F" w14:textId="416709D5"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40,779</w:t>
            </w:r>
          </w:p>
        </w:tc>
        <w:tc>
          <w:tcPr>
            <w:tcW w:w="905" w:type="dxa"/>
          </w:tcPr>
          <w:p w14:paraId="52CDFF5A" w14:textId="28F11469"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37,441</w:t>
            </w:r>
          </w:p>
        </w:tc>
      </w:tr>
      <w:tr w:rsidR="002B19B1" w:rsidRPr="00C86111" w14:paraId="381D19C3" w14:textId="77777777" w:rsidTr="00A12257">
        <w:tc>
          <w:tcPr>
            <w:cnfStyle w:val="001000000000" w:firstRow="0" w:lastRow="0" w:firstColumn="1" w:lastColumn="0" w:oddVBand="0" w:evenVBand="0" w:oddHBand="0" w:evenHBand="0" w:firstRowFirstColumn="0" w:firstRowLastColumn="0" w:lastRowFirstColumn="0" w:lastRowLastColumn="0"/>
            <w:tcW w:w="1607" w:type="dxa"/>
          </w:tcPr>
          <w:p w14:paraId="356B7A78" w14:textId="2542C383"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 xml:space="preserve"> Vozila i prateća transportna  oprema</w:t>
            </w:r>
          </w:p>
        </w:tc>
        <w:tc>
          <w:tcPr>
            <w:tcW w:w="1030" w:type="dxa"/>
          </w:tcPr>
          <w:p w14:paraId="7746269B" w14:textId="3F90CA45"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139,137</w:t>
            </w:r>
          </w:p>
        </w:tc>
        <w:tc>
          <w:tcPr>
            <w:tcW w:w="1031" w:type="dxa"/>
          </w:tcPr>
          <w:p w14:paraId="5944006B" w14:textId="30AC989A"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175,718</w:t>
            </w:r>
          </w:p>
        </w:tc>
        <w:tc>
          <w:tcPr>
            <w:tcW w:w="1031" w:type="dxa"/>
          </w:tcPr>
          <w:p w14:paraId="20D0E94E" w14:textId="6867161F"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263,625</w:t>
            </w:r>
          </w:p>
        </w:tc>
        <w:tc>
          <w:tcPr>
            <w:tcW w:w="1031" w:type="dxa"/>
          </w:tcPr>
          <w:p w14:paraId="09932669" w14:textId="55C89CB8"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360,862</w:t>
            </w:r>
          </w:p>
        </w:tc>
        <w:tc>
          <w:tcPr>
            <w:tcW w:w="905" w:type="dxa"/>
          </w:tcPr>
          <w:p w14:paraId="6D355226" w14:textId="0C31298C"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13,785</w:t>
            </w:r>
          </w:p>
        </w:tc>
        <w:tc>
          <w:tcPr>
            <w:tcW w:w="905" w:type="dxa"/>
          </w:tcPr>
          <w:p w14:paraId="319D6B00" w14:textId="55138626"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11,265</w:t>
            </w:r>
          </w:p>
        </w:tc>
        <w:tc>
          <w:tcPr>
            <w:tcW w:w="905" w:type="dxa"/>
          </w:tcPr>
          <w:p w14:paraId="7F1EA7C0" w14:textId="690E32AC"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25,792</w:t>
            </w:r>
          </w:p>
        </w:tc>
        <w:tc>
          <w:tcPr>
            <w:tcW w:w="905" w:type="dxa"/>
          </w:tcPr>
          <w:p w14:paraId="56167F43" w14:textId="60BAECA4"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30,018</w:t>
            </w:r>
          </w:p>
        </w:tc>
      </w:tr>
      <w:tr w:rsidR="002B19B1" w:rsidRPr="00C86111" w14:paraId="0D6A203B"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4F72214F" w14:textId="56747111" w:rsidR="002B19B1" w:rsidRPr="00C86111" w:rsidRDefault="002B19B1" w:rsidP="002330D2">
            <w:pPr>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Optički, medicinski i mjerni</w:t>
            </w:r>
            <w:r w:rsidR="002330D2" w:rsidRPr="00C86111">
              <w:rPr>
                <w:rFonts w:asciiTheme="minorHAnsi" w:eastAsia="Times New Roman" w:hAnsiTheme="minorHAnsi" w:cstheme="minorHAnsi"/>
                <w:color w:val="auto"/>
                <w:sz w:val="20"/>
                <w:szCs w:val="20"/>
                <w:lang w:eastAsia="en-GB"/>
              </w:rPr>
              <w:t xml:space="preserve"> </w:t>
            </w:r>
            <w:r w:rsidRPr="00C86111">
              <w:rPr>
                <w:rFonts w:asciiTheme="minorHAnsi" w:eastAsia="Times New Roman" w:hAnsiTheme="minorHAnsi" w:cstheme="minorHAnsi"/>
                <w:color w:val="auto"/>
                <w:sz w:val="20"/>
                <w:szCs w:val="20"/>
                <w:lang w:eastAsia="en-GB"/>
              </w:rPr>
              <w:t>instrumenti, satovi</w:t>
            </w:r>
          </w:p>
        </w:tc>
        <w:tc>
          <w:tcPr>
            <w:tcW w:w="1030" w:type="dxa"/>
          </w:tcPr>
          <w:p w14:paraId="6874BAE0" w14:textId="34D4842A"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38,858</w:t>
            </w:r>
          </w:p>
        </w:tc>
        <w:tc>
          <w:tcPr>
            <w:tcW w:w="1031" w:type="dxa"/>
          </w:tcPr>
          <w:p w14:paraId="613201C8" w14:textId="57DF1054"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40,163</w:t>
            </w:r>
          </w:p>
        </w:tc>
        <w:tc>
          <w:tcPr>
            <w:tcW w:w="1031" w:type="dxa"/>
          </w:tcPr>
          <w:p w14:paraId="567B50C3" w14:textId="238254E3"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51,227</w:t>
            </w:r>
          </w:p>
        </w:tc>
        <w:tc>
          <w:tcPr>
            <w:tcW w:w="1031" w:type="dxa"/>
          </w:tcPr>
          <w:p w14:paraId="53D63363" w14:textId="59FF514B"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59,172</w:t>
            </w:r>
          </w:p>
        </w:tc>
        <w:tc>
          <w:tcPr>
            <w:tcW w:w="905" w:type="dxa"/>
          </w:tcPr>
          <w:p w14:paraId="5B7E420B" w14:textId="32DE995E"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2,999</w:t>
            </w:r>
          </w:p>
        </w:tc>
        <w:tc>
          <w:tcPr>
            <w:tcW w:w="905" w:type="dxa"/>
          </w:tcPr>
          <w:p w14:paraId="15B87B1D" w14:textId="20AE6CF0"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2,936</w:t>
            </w:r>
          </w:p>
        </w:tc>
        <w:tc>
          <w:tcPr>
            <w:tcW w:w="905" w:type="dxa"/>
          </w:tcPr>
          <w:p w14:paraId="6157B637" w14:textId="5E95F918"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4,277</w:t>
            </w:r>
          </w:p>
        </w:tc>
        <w:tc>
          <w:tcPr>
            <w:tcW w:w="905" w:type="dxa"/>
          </w:tcPr>
          <w:p w14:paraId="7CF63C09" w14:textId="3A81F99E"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4,112</w:t>
            </w:r>
          </w:p>
        </w:tc>
      </w:tr>
      <w:tr w:rsidR="002B19B1" w:rsidRPr="00C86111" w14:paraId="4967FA83" w14:textId="77777777" w:rsidTr="00A12257">
        <w:tc>
          <w:tcPr>
            <w:cnfStyle w:val="001000000000" w:firstRow="0" w:lastRow="0" w:firstColumn="1" w:lastColumn="0" w:oddVBand="0" w:evenVBand="0" w:oddHBand="0" w:evenHBand="0" w:firstRowFirstColumn="0" w:firstRowLastColumn="0" w:lastRowFirstColumn="0" w:lastRowLastColumn="0"/>
            <w:tcW w:w="1607" w:type="dxa"/>
          </w:tcPr>
          <w:p w14:paraId="3B632DC2" w14:textId="5ED7F93B" w:rsidR="002B19B1" w:rsidRPr="00C86111" w:rsidRDefault="002B19B1" w:rsidP="002B19B1">
            <w:pPr>
              <w:pStyle w:val="NormalWeb"/>
              <w:spacing w:after="0" w:afterAutospacing="0"/>
              <w:rPr>
                <w:rFonts w:asciiTheme="minorHAnsi" w:hAnsiTheme="minorHAnsi" w:cstheme="minorHAnsi"/>
                <w:sz w:val="20"/>
                <w:szCs w:val="20"/>
              </w:rPr>
            </w:pPr>
            <w:r w:rsidRPr="00C86111">
              <w:rPr>
                <w:rFonts w:asciiTheme="minorHAnsi" w:hAnsiTheme="minorHAnsi" w:cstheme="minorHAnsi"/>
                <w:sz w:val="20"/>
                <w:szCs w:val="20"/>
                <w:lang w:eastAsia="en-GB"/>
              </w:rPr>
              <w:t xml:space="preserve"> Oružje i municija</w:t>
            </w:r>
          </w:p>
        </w:tc>
        <w:tc>
          <w:tcPr>
            <w:tcW w:w="1030" w:type="dxa"/>
          </w:tcPr>
          <w:p w14:paraId="66DF3966" w14:textId="0CC29ECE"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3,631</w:t>
            </w:r>
          </w:p>
        </w:tc>
        <w:tc>
          <w:tcPr>
            <w:tcW w:w="1031" w:type="dxa"/>
          </w:tcPr>
          <w:p w14:paraId="1CA9FAAA" w14:textId="2152FA43"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9,773</w:t>
            </w:r>
          </w:p>
        </w:tc>
        <w:tc>
          <w:tcPr>
            <w:tcW w:w="1031" w:type="dxa"/>
          </w:tcPr>
          <w:p w14:paraId="400201DB" w14:textId="0757A360"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7,032</w:t>
            </w:r>
          </w:p>
        </w:tc>
        <w:tc>
          <w:tcPr>
            <w:tcW w:w="1031" w:type="dxa"/>
          </w:tcPr>
          <w:p w14:paraId="280E0DF2" w14:textId="482354D8"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2,854</w:t>
            </w:r>
          </w:p>
        </w:tc>
        <w:tc>
          <w:tcPr>
            <w:tcW w:w="905" w:type="dxa"/>
          </w:tcPr>
          <w:p w14:paraId="3E39B928" w14:textId="0E7ABA70"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2,976</w:t>
            </w:r>
          </w:p>
        </w:tc>
        <w:tc>
          <w:tcPr>
            <w:tcW w:w="905" w:type="dxa"/>
          </w:tcPr>
          <w:p w14:paraId="47810EDE" w14:textId="154F179B"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2,722</w:t>
            </w:r>
          </w:p>
        </w:tc>
        <w:tc>
          <w:tcPr>
            <w:tcW w:w="905" w:type="dxa"/>
          </w:tcPr>
          <w:p w14:paraId="3D244499" w14:textId="164962A3"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3,558</w:t>
            </w:r>
          </w:p>
        </w:tc>
        <w:tc>
          <w:tcPr>
            <w:tcW w:w="905" w:type="dxa"/>
          </w:tcPr>
          <w:p w14:paraId="33687547" w14:textId="1859CC14" w:rsidR="002B19B1" w:rsidRPr="00C86111" w:rsidRDefault="002B19B1" w:rsidP="002B19B1">
            <w:pPr>
              <w:pStyle w:val="NormalWeb"/>
              <w:spacing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1,312</w:t>
            </w:r>
          </w:p>
        </w:tc>
      </w:tr>
      <w:tr w:rsidR="002B19B1" w:rsidRPr="00C86111" w14:paraId="412661F2" w14:textId="77777777" w:rsidTr="00A12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350245A3" w14:textId="6F664034" w:rsidR="002B19B1" w:rsidRPr="00C86111" w:rsidRDefault="002B19B1" w:rsidP="002B19B1">
            <w:pPr>
              <w:pStyle w:val="NormalWeb"/>
              <w:spacing w:after="0" w:afterAutospacing="0"/>
              <w:rPr>
                <w:rFonts w:asciiTheme="minorHAnsi" w:hAnsiTheme="minorHAnsi" w:cstheme="minorHAnsi"/>
                <w:sz w:val="20"/>
                <w:szCs w:val="20"/>
              </w:rPr>
            </w:pPr>
            <w:r w:rsidRPr="00C86111">
              <w:rPr>
                <w:rFonts w:asciiTheme="minorHAnsi" w:hAnsiTheme="minorHAnsi" w:cstheme="minorHAnsi"/>
                <w:sz w:val="20"/>
                <w:szCs w:val="20"/>
                <w:lang w:eastAsia="en-GB"/>
              </w:rPr>
              <w:t>Razni proizvodi</w:t>
            </w:r>
          </w:p>
        </w:tc>
        <w:tc>
          <w:tcPr>
            <w:tcW w:w="1030" w:type="dxa"/>
          </w:tcPr>
          <w:p w14:paraId="33365415" w14:textId="61FBC57B"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99,122</w:t>
            </w:r>
          </w:p>
        </w:tc>
        <w:tc>
          <w:tcPr>
            <w:tcW w:w="1031" w:type="dxa"/>
          </w:tcPr>
          <w:p w14:paraId="4644899D" w14:textId="12D3D81A"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107,677</w:t>
            </w:r>
          </w:p>
        </w:tc>
        <w:tc>
          <w:tcPr>
            <w:tcW w:w="1031" w:type="dxa"/>
          </w:tcPr>
          <w:p w14:paraId="4E6019A9" w14:textId="64161DCF"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147,230</w:t>
            </w:r>
          </w:p>
        </w:tc>
        <w:tc>
          <w:tcPr>
            <w:tcW w:w="1031" w:type="dxa"/>
          </w:tcPr>
          <w:p w14:paraId="57C54920" w14:textId="3F82692A"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183,812</w:t>
            </w:r>
          </w:p>
        </w:tc>
        <w:tc>
          <w:tcPr>
            <w:tcW w:w="905" w:type="dxa"/>
          </w:tcPr>
          <w:p w14:paraId="46933D92" w14:textId="0909375E"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3,354</w:t>
            </w:r>
          </w:p>
        </w:tc>
        <w:tc>
          <w:tcPr>
            <w:tcW w:w="905" w:type="dxa"/>
          </w:tcPr>
          <w:p w14:paraId="19ADE7ED" w14:textId="419DD316"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3,518</w:t>
            </w:r>
          </w:p>
        </w:tc>
        <w:tc>
          <w:tcPr>
            <w:tcW w:w="905" w:type="dxa"/>
          </w:tcPr>
          <w:p w14:paraId="3FA7396D" w14:textId="5EB7C6D6"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3,669</w:t>
            </w:r>
          </w:p>
        </w:tc>
        <w:tc>
          <w:tcPr>
            <w:tcW w:w="905" w:type="dxa"/>
          </w:tcPr>
          <w:p w14:paraId="0D52EBA2" w14:textId="4B53E365" w:rsidR="002B19B1" w:rsidRPr="00C86111" w:rsidRDefault="002B19B1" w:rsidP="002B19B1">
            <w:pPr>
              <w:pStyle w:val="NormalWeb"/>
              <w:spacing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eastAsia="en-GB"/>
              </w:rPr>
              <w:t>3,216</w:t>
            </w:r>
          </w:p>
        </w:tc>
      </w:tr>
    </w:tbl>
    <w:p w14:paraId="316CD5AB" w14:textId="77777777" w:rsidR="002B19B1" w:rsidRPr="00C86111" w:rsidRDefault="002B19B1" w:rsidP="002B19B1">
      <w:pPr>
        <w:pStyle w:val="NormalWeb"/>
        <w:spacing w:after="0" w:afterAutospacing="0"/>
        <w:rPr>
          <w:rFonts w:asciiTheme="minorHAnsi" w:hAnsiTheme="minorHAnsi" w:cstheme="minorHAnsi"/>
        </w:rPr>
      </w:pPr>
    </w:p>
    <w:p w14:paraId="2CB520AA" w14:textId="508BFCF2" w:rsidR="006705AC" w:rsidRPr="00C86111" w:rsidRDefault="006705AC" w:rsidP="00912C4C">
      <w:pPr>
        <w:pStyle w:val="Heading1"/>
      </w:pPr>
      <w:bookmarkStart w:id="18" w:name="_Toc220541852"/>
      <w:bookmarkStart w:id="19" w:name="_Hlk215608570"/>
      <w:r w:rsidRPr="00C86111">
        <w:t>INVENT</w:t>
      </w:r>
      <w:r w:rsidR="006E5F06">
        <w:t>A</w:t>
      </w:r>
      <w:r w:rsidRPr="00C86111">
        <w:t>RIZACIJA POPs</w:t>
      </w:r>
      <w:bookmarkEnd w:id="18"/>
    </w:p>
    <w:p w14:paraId="56B0E0F6" w14:textId="3BB2D8C6" w:rsidR="0081146A" w:rsidRPr="00C86111" w:rsidRDefault="0081146A" w:rsidP="00004F34">
      <w:pPr>
        <w:pStyle w:val="Heading1"/>
        <w:numPr>
          <w:ilvl w:val="1"/>
          <w:numId w:val="238"/>
        </w:numPr>
      </w:pPr>
      <w:bookmarkStart w:id="20" w:name="_Toc220541853"/>
      <w:r w:rsidRPr="00C86111">
        <w:t>POPs PESTICIDI U CRNOJ GORI</w:t>
      </w:r>
      <w:bookmarkEnd w:id="20"/>
    </w:p>
    <w:p w14:paraId="27037618" w14:textId="77777777" w:rsidR="0081146A" w:rsidRPr="00C86111" w:rsidRDefault="0081146A" w:rsidP="00EA6904">
      <w:pPr>
        <w:pStyle w:val="Heading3"/>
      </w:pPr>
      <w:bookmarkStart w:id="21" w:name="_Toc220541854"/>
      <w:bookmarkEnd w:id="19"/>
      <w:r w:rsidRPr="00C86111">
        <w:t>Uvod</w:t>
      </w:r>
      <w:bookmarkEnd w:id="21"/>
    </w:p>
    <w:p w14:paraId="4AD64CD0" w14:textId="77777777" w:rsidR="0081146A" w:rsidRPr="00C86111" w:rsidRDefault="0081146A" w:rsidP="0081146A">
      <w:pPr>
        <w:jc w:val="both"/>
        <w:rPr>
          <w:rFonts w:asciiTheme="minorHAnsi" w:hAnsiTheme="minorHAnsi" w:cstheme="minorHAnsi"/>
          <w:b/>
          <w:bCs/>
          <w:color w:val="auto"/>
          <w:szCs w:val="24"/>
        </w:rPr>
      </w:pPr>
    </w:p>
    <w:p w14:paraId="1A4D9617"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Pesticidi, poznati i kao sredstva za zaštitu bilja, imaju značajnu ulogu u poljoprivredi jer štite biljke od štetočina, bolesti i korova. Među njima, perzistentni organski pesticidi (POP pesticidi) predstavljaju posebnu kategoriju zbog svoje otpornosti na razgradnju i sposobnosti akumulacije u životnoj sredini i organizmima. Ovaj pregled fokusira se na upotrebu, zakonodavni okvir, monitoring i upravljanje POP pesticidima u Crnoj Gori.</w:t>
      </w:r>
    </w:p>
    <w:p w14:paraId="3041DC42" w14:textId="77777777" w:rsidR="0081146A" w:rsidRPr="00C86111" w:rsidRDefault="0081146A" w:rsidP="00004F34">
      <w:pPr>
        <w:pStyle w:val="Heading1"/>
        <w:numPr>
          <w:ilvl w:val="1"/>
          <w:numId w:val="238"/>
        </w:numPr>
      </w:pPr>
      <w:bookmarkStart w:id="22" w:name="_Toc220541855"/>
      <w:r w:rsidRPr="00C86111">
        <w:t>Zakonodavni okvir</w:t>
      </w:r>
      <w:bookmarkEnd w:id="22"/>
    </w:p>
    <w:p w14:paraId="69AB8BFE" w14:textId="77777777" w:rsidR="0081146A" w:rsidRPr="00C86111" w:rsidRDefault="0081146A" w:rsidP="0081146A">
      <w:pPr>
        <w:jc w:val="both"/>
        <w:rPr>
          <w:rFonts w:asciiTheme="minorHAnsi" w:hAnsiTheme="minorHAnsi" w:cstheme="minorHAnsi"/>
          <w:b/>
          <w:bCs/>
          <w:color w:val="auto"/>
          <w:szCs w:val="24"/>
        </w:rPr>
      </w:pPr>
    </w:p>
    <w:p w14:paraId="75267C11"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U Crnoj Gori, u oblasti pesticida (sredstava za zaštitu bilja), na snazi je Zakon o sredstvima za zaštitu bilja („Sl. list Crne Gore“, br. 51/2008). Ovaj zakon je usklađen sa Direktivom Savjeta 91/414/EEC. Godine 2014, Zakon je dodatno usklađen sa Uredbom (EU) br. 1107/2009 Evropskog parlamenta i Savjeta  , koja se odnosi na stavljanje sredstava za zaštitu bilja na tržište, uključujući izmjene Direktiva 79/117 i 91/414, kao i sa Direktivom 2009/128/EC Evropskog parlamenta i Savjeta kojom je uspostavljen okvir za zajedničke aktivnosti u cilju postizanja održive upotrebe pesticida. Nakon ovih izmjena i dopuna, Evropska komisija je ocijenila Zakon o sredstvima za </w:t>
      </w:r>
      <w:r w:rsidRPr="00C86111">
        <w:rPr>
          <w:rFonts w:asciiTheme="minorHAnsi" w:hAnsiTheme="minorHAnsi" w:cstheme="minorHAnsi"/>
          <w:color w:val="auto"/>
          <w:szCs w:val="24"/>
        </w:rPr>
        <w:lastRenderedPageBreak/>
        <w:t>zaštitu bilja kao usklađen i u skladu sa kriterijumima za Benchmark 1, čime je omogućeno otvaranje pregovora u ovoj oblasti.</w:t>
      </w:r>
    </w:p>
    <w:p w14:paraId="60728E7C"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Na osnovu navedenog Zakona postoji obaveza izrade Liste aktivnih supstanci dozvoljenih za upotrebu u sredstvima za zaštitu bilja. Lista se objavljuje svake godine, a ukoliko tokom godine dođe do promjene statusa neke aktivne supstance prema podacima Evropske komisije, ažurirani status objavljuje se na sajtu Uprave za bezbjednost hrane, veterinarske i fitosanitarne poslove, gdje predstavlja integralni dio Liste.</w:t>
      </w:r>
    </w:p>
    <w:p w14:paraId="25D1240F"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Prva lista usklađena sa EU listom aktivnih supstanci objavljena je 2009. godine. Nijedna od Listi aktivnih supstanci dozvoljenih za upotrebu u Crnoj Gori nije sadržala supstance opisane kao opasne, uključujući lindan i endosulfan, koje su se nalazile na posljednjoj zajedničkoj listi iz 2004. godine, kada je Crna Gora bila u državnoj zajednici sa Srbijom.</w:t>
      </w:r>
    </w:p>
    <w:p w14:paraId="63611456"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Pored toga, prilikom primjene procedure za registraciju sredstava za zaštitu bilja, zasnovane na principu priznavanja EU registrovanih pesticida, objavljuje se i Lista registrovanih sredstava za zaštitu bilja. Na nijednoj od ovih lista nije registrovan nijedan proizvod koji sadrži aktivnu supstancu klasifikovanu kao POPs.</w:t>
      </w:r>
    </w:p>
    <w:p w14:paraId="342E9A86" w14:textId="77777777" w:rsidR="0081146A" w:rsidRPr="00C86111" w:rsidRDefault="0081146A" w:rsidP="00004F34">
      <w:pPr>
        <w:pStyle w:val="Heading1"/>
        <w:numPr>
          <w:ilvl w:val="1"/>
          <w:numId w:val="238"/>
        </w:numPr>
      </w:pPr>
      <w:bookmarkStart w:id="23" w:name="_Toc220541856"/>
      <w:r w:rsidRPr="00C86111">
        <w:t>Proizvodnja pesticida u Crnoj Gori</w:t>
      </w:r>
      <w:bookmarkEnd w:id="23"/>
    </w:p>
    <w:p w14:paraId="4B0BCF51" w14:textId="77777777" w:rsidR="00CC3651" w:rsidRPr="00C86111" w:rsidRDefault="00CC3651" w:rsidP="00CC3651"/>
    <w:p w14:paraId="7AEAE83C"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U Crnoj Gori ne postoje, niti su ikada postojale, fabrike za proizvodnju pesticida. Ipak, proizvodnju pesticida u ovom kontekstu potrebno je posmatrati šire, s obzirom na to da je Crna Gora bila dio Socijalističke Federativne Republike Jugoslavije (SFRJ) nakon Drugog svjetskog rata, sve do povratka nezavisnosti 2006. godine. Tokom perioda kada je većina POPs pesticida zabranjena za upotrebu, Crna Gora je bila sastavni dio SFRJ, što ima značaj u istorijskom kontekstu proizvodnje i upotrebe ovih supstanci.</w:t>
      </w:r>
    </w:p>
    <w:p w14:paraId="20DC32AB" w14:textId="77777777" w:rsidR="0081146A" w:rsidRPr="00C86111" w:rsidRDefault="0081146A" w:rsidP="00004F34">
      <w:pPr>
        <w:pStyle w:val="Heading1"/>
        <w:numPr>
          <w:ilvl w:val="1"/>
          <w:numId w:val="238"/>
        </w:numPr>
      </w:pPr>
      <w:bookmarkStart w:id="24" w:name="_Toc220541857"/>
      <w:r w:rsidRPr="00C86111">
        <w:t>Istorija upotrebe</w:t>
      </w:r>
      <w:bookmarkEnd w:id="24"/>
    </w:p>
    <w:p w14:paraId="01864E9D" w14:textId="77777777" w:rsidR="00CC3651" w:rsidRPr="00C86111" w:rsidRDefault="00CC3651" w:rsidP="00CC3651"/>
    <w:p w14:paraId="3A90A11D"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Sve do njihove zabrane, pesticidi sa POPs karakteristikama korišćeni su u skladu sa odobrenim primjenama. Nakon zabrana, problemi u vezi sa upotrebom pesticida su bili minimalni, jer su na tržište uvedeni proizvodi niže toksičnosti i rizika, sa poboljšanom ekološkom prihvatljivošću. Prije zabrane, pesticidi sa POPs karakteristikama korišćeni su za kontrolu mnogih vrsta štetočina, a zbog široke primjene, korišćene su značajne količine.</w:t>
      </w:r>
    </w:p>
    <w:p w14:paraId="5981AAF4"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Do 1992. godine intenzivnija proizvodnja pesticida odvijala se prvenstveno na teritorijama današnje Srbije, Hrvatske i Slovenije, koje su tada bile dio SFRJ. Od 1992. do 2006. godine, kada je Crna Gora bila dio državne zajednice sa Srbijom, značajna proizvodnja pesticida bila je koncentrisana na teritoriji Srbije. Neke od najpoznatijih fabrika tog perioda bile su: </w:t>
      </w:r>
      <w:r w:rsidRPr="00C86111">
        <w:rPr>
          <w:rFonts w:asciiTheme="minorHAnsi" w:hAnsiTheme="minorHAnsi" w:cstheme="minorHAnsi"/>
          <w:i/>
          <w:iCs/>
          <w:color w:val="auto"/>
          <w:szCs w:val="24"/>
        </w:rPr>
        <w:t>„Župa“ u Kruševcu, „Zorka“ u Šapcu, „Galenika“ u Beogradu, „Prva Iskra“ u Bariču, „Agrohem“ u Novom Sadu</w:t>
      </w:r>
      <w:r w:rsidRPr="00C86111">
        <w:rPr>
          <w:rFonts w:asciiTheme="minorHAnsi" w:hAnsiTheme="minorHAnsi" w:cstheme="minorHAnsi"/>
          <w:color w:val="auto"/>
          <w:szCs w:val="24"/>
        </w:rPr>
        <w:t xml:space="preserve"> i druge.</w:t>
      </w:r>
    </w:p>
    <w:p w14:paraId="5E882F2D"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 osamostaljenju, Crna Gora od 2006. do 2009. godine nije imala sopstvenu listu aktivnih supstanci dozvoljenih za upotrebu u poljoprivredi. Tokom ovog perioda primjenjivali su se zakoni naslijeđeni iz državne zajednice sa Srbijom, a na snazi je bila lista dozvoljenih supstanci iz 2004. </w:t>
      </w:r>
      <w:r w:rsidRPr="00C86111">
        <w:rPr>
          <w:rFonts w:asciiTheme="minorHAnsi" w:hAnsiTheme="minorHAnsi" w:cstheme="minorHAnsi"/>
          <w:color w:val="auto"/>
          <w:szCs w:val="24"/>
        </w:rPr>
        <w:lastRenderedPageBreak/>
        <w:t>godine. Iako Crna Gora nikada nije imala fabrike pesticida, njihova upotreba bila je usko povezana sa širim kontekstom bivše Jugoslavije.</w:t>
      </w:r>
    </w:p>
    <w:p w14:paraId="2986B7B4"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Zaključno, Crna Gora nije imala sopstvenu proizvodnju pesticida, a upotreba POP pesticida bila je ograničena, uglavnom vezana za period SFRJ i kasniji uvoz do 2006. godine.</w:t>
      </w:r>
    </w:p>
    <w:p w14:paraId="30422C83" w14:textId="77777777" w:rsidR="0081146A" w:rsidRPr="00C86111" w:rsidRDefault="0081146A" w:rsidP="00004F34">
      <w:pPr>
        <w:pStyle w:val="Heading1"/>
        <w:numPr>
          <w:ilvl w:val="1"/>
          <w:numId w:val="238"/>
        </w:numPr>
      </w:pPr>
      <w:bookmarkStart w:id="25" w:name="_Toc220541858"/>
      <w:r w:rsidRPr="00C86111">
        <w:t>Izvoz pesticida</w:t>
      </w:r>
      <w:bookmarkEnd w:id="25"/>
    </w:p>
    <w:p w14:paraId="201A9D93" w14:textId="77777777" w:rsidR="00CC3651" w:rsidRPr="00C86111" w:rsidRDefault="00CC3651" w:rsidP="00CC3651"/>
    <w:p w14:paraId="75B2794D"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Crna Gora nikada nije proizvodila pesticide niti sredstva za zaštitu bilja, uključujući proizvode koji sadrže POPs supstance, te shodno tome izvoz takvih proizvoda iz Crne Gore nije postojao.</w:t>
      </w:r>
    </w:p>
    <w:p w14:paraId="5AE46566" w14:textId="77777777" w:rsidR="0081146A" w:rsidRPr="00C86111" w:rsidRDefault="0081146A" w:rsidP="00004F34">
      <w:pPr>
        <w:pStyle w:val="Heading1"/>
        <w:numPr>
          <w:ilvl w:val="1"/>
          <w:numId w:val="238"/>
        </w:numPr>
      </w:pPr>
      <w:bookmarkStart w:id="26" w:name="_Toc220541859"/>
      <w:r w:rsidRPr="00C86111">
        <w:t>Uvoz pesticida u Crnu Goru</w:t>
      </w:r>
      <w:bookmarkEnd w:id="26"/>
    </w:p>
    <w:p w14:paraId="525F9E5E" w14:textId="77777777" w:rsidR="00CC3651" w:rsidRPr="00C86111" w:rsidRDefault="00CC3651" w:rsidP="00CC3651"/>
    <w:p w14:paraId="0712DF96"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Pesticide u Crnu Goru mogu uvoziti preduzeća, drugi pravni subjekti ili preduzetnici koji su upisani u Registar uvoznika. Uvezena sredstva za zaštitu bilja, u skladu sa Zakonom o sredstvima za zaštitu bilja, mogu se isporučivati pravnim licima upisanim u Registar za veleprodaju i/ili maloprodaju sredstava za zaštitu bilja, pod uslovom da:</w:t>
      </w:r>
    </w:p>
    <w:p w14:paraId="7A1835AF" w14:textId="77777777" w:rsidR="0081146A" w:rsidRPr="00C86111" w:rsidRDefault="0081146A" w:rsidP="00004F34">
      <w:pPr>
        <w:numPr>
          <w:ilvl w:val="0"/>
          <w:numId w:val="171"/>
        </w:numPr>
        <w:jc w:val="both"/>
        <w:rPr>
          <w:rFonts w:asciiTheme="minorHAnsi" w:hAnsiTheme="minorHAnsi" w:cstheme="minorHAnsi"/>
          <w:color w:val="auto"/>
          <w:szCs w:val="24"/>
        </w:rPr>
      </w:pPr>
      <w:r w:rsidRPr="00C86111">
        <w:rPr>
          <w:rFonts w:asciiTheme="minorHAnsi" w:hAnsiTheme="minorHAnsi" w:cstheme="minorHAnsi"/>
          <w:color w:val="auto"/>
          <w:szCs w:val="24"/>
        </w:rPr>
        <w:t>imaju zaposlenog odgovornog za nabavku, distribuciju, plasman, čuvanje i izdavanje sredstava za zaštitu bilja sa završenim stručnim studijama, najčešće na Poljoprivrednom fakultetu (smjer zaštita bilja ili biljna proizvodnja);</w:t>
      </w:r>
    </w:p>
    <w:p w14:paraId="0DD0839F" w14:textId="77777777" w:rsidR="0081146A" w:rsidRPr="00C86111" w:rsidRDefault="0081146A" w:rsidP="00004F34">
      <w:pPr>
        <w:numPr>
          <w:ilvl w:val="0"/>
          <w:numId w:val="171"/>
        </w:numPr>
        <w:jc w:val="both"/>
        <w:rPr>
          <w:rFonts w:asciiTheme="minorHAnsi" w:hAnsiTheme="minorHAnsi" w:cstheme="minorHAnsi"/>
          <w:color w:val="auto"/>
          <w:szCs w:val="24"/>
        </w:rPr>
      </w:pPr>
      <w:r w:rsidRPr="00C86111">
        <w:rPr>
          <w:rFonts w:asciiTheme="minorHAnsi" w:hAnsiTheme="minorHAnsi" w:cstheme="minorHAnsi"/>
          <w:color w:val="auto"/>
          <w:szCs w:val="24"/>
        </w:rPr>
        <w:t>posjeduju odgovarajuću opremu i prostor za skladištenje ili prodaju sredstava za zaštitu bilja.</w:t>
      </w:r>
    </w:p>
    <w:p w14:paraId="135626C8"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Nacionalni plan za održivu upotrebu pesticida definisao je aktivnosti prikupljanja statističkih podataka o uvozu pesticida. Njegovom implementacijom postepeno je uspostavljen sistem administrativnih izvora podataka, uzimajući u obzir da Crna Gora ne proizvodi pesticide, te da su podaci o uvozu ključni i za praćenje njihove upotrebe.</w:t>
      </w:r>
    </w:p>
    <w:p w14:paraId="6B1A8D16"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U saradnji sa Zavodom za statistiku i Upravom carina, utvrđena je potreba da se biocidi i druga dezinfekciona sredstva odvoje od sredstava za zaštitu bilja kroz tarifne brojeve. Radi rješavanja ovog problema, preduzete su brojne aktivnosti koje su rezultirale uspostavljanjem preciznog sistema prikupljanja podataka, fokusiranog isključivo na sredstva za zaštitu bilja. Ovaj sistem omogućava Crnoj Gori da redovno dostavlja izvještaje EUROSTAT-u o upotrebi pesticida od 2017. godine.</w:t>
      </w:r>
    </w:p>
    <w:p w14:paraId="74A37B4D"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Na inventarskim listama i u zalihama uvoznika i distributera u Crnoj Gori ne postoje pesticidi sa POPs supstancama, što je potvrđeno dostavljenim podacima koji predstavljaju zvanični izvor informacija.</w:t>
      </w:r>
      <w:r w:rsidRPr="00C86111">
        <w:rPr>
          <w:rFonts w:asciiTheme="minorHAnsi" w:hAnsiTheme="minorHAnsi" w:cstheme="minorHAnsi"/>
          <w:vanish/>
          <w:color w:val="auto"/>
          <w:szCs w:val="24"/>
        </w:rPr>
        <w:t>Top of Form</w:t>
      </w:r>
    </w:p>
    <w:p w14:paraId="3EBE31FB" w14:textId="77777777" w:rsidR="0081146A" w:rsidRPr="00C86111" w:rsidRDefault="0081146A" w:rsidP="0081146A">
      <w:pPr>
        <w:jc w:val="both"/>
        <w:rPr>
          <w:rFonts w:asciiTheme="minorHAnsi" w:hAnsiTheme="minorHAnsi" w:cstheme="minorHAnsi"/>
          <w:vanish/>
          <w:color w:val="auto"/>
          <w:szCs w:val="24"/>
        </w:rPr>
      </w:pPr>
    </w:p>
    <w:p w14:paraId="5DBDA437" w14:textId="520FCCBC" w:rsidR="0081146A" w:rsidRPr="00C86111" w:rsidRDefault="0081146A" w:rsidP="00A84005">
      <w:pPr>
        <w:pStyle w:val="Heading4"/>
        <w:rPr>
          <w:b/>
          <w:bCs w:val="0"/>
          <w:color w:val="auto"/>
        </w:rPr>
      </w:pPr>
      <w:r w:rsidRPr="00C86111">
        <w:t>Početnih 9 POP pesticida (aldrin, hlordan, dikloro-difenil-trihloretan (DDT), dieldrin, endrin, heptaklor, heksaklorobenzen, mireks i toksafen)</w:t>
      </w:r>
    </w:p>
    <w:p w14:paraId="4F51B004"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b/>
          <w:bCs/>
          <w:color w:val="auto"/>
          <w:szCs w:val="24"/>
        </w:rPr>
        <w:t>DDT</w:t>
      </w:r>
      <w:r w:rsidRPr="00C86111">
        <w:rPr>
          <w:rFonts w:asciiTheme="minorHAnsi" w:hAnsiTheme="minorHAnsi" w:cstheme="minorHAnsi"/>
          <w:color w:val="auto"/>
          <w:szCs w:val="24"/>
        </w:rPr>
        <w:t xml:space="preserve"> je korišćen za suzbijanje komaraca prenosioca malarije u opštini Podgorica oko 1946. godine. Veća primjena DDT-a zabilježena je 1956. i 1957. godine, kada je korišćen u opštinama Podgorica, Nikšić, Danilovgrad, Cetinje, Ulcinj i Tivat za suzbijanje gusjenice trna u hrastovim šumama. Podaci o ovoj akciji pronađeni su u časopisu </w:t>
      </w:r>
      <w:r w:rsidRPr="00C86111">
        <w:rPr>
          <w:rFonts w:asciiTheme="minorHAnsi" w:hAnsiTheme="minorHAnsi" w:cstheme="minorHAnsi"/>
          <w:i/>
          <w:iCs/>
          <w:color w:val="auto"/>
          <w:szCs w:val="24"/>
        </w:rPr>
        <w:t>Naša poljoprivreda</w:t>
      </w:r>
      <w:r w:rsidRPr="00C86111">
        <w:rPr>
          <w:rFonts w:asciiTheme="minorHAnsi" w:hAnsiTheme="minorHAnsi" w:cstheme="minorHAnsi"/>
          <w:color w:val="auto"/>
          <w:szCs w:val="24"/>
        </w:rPr>
        <w:t xml:space="preserve"> iz 1957. godine.</w:t>
      </w:r>
    </w:p>
    <w:p w14:paraId="0BDA61B9"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U 1956. godini DDT je primijenjen u opštinama Cetinje, Podgorica i Nikšić na površini od 21.011 ha, pri čemu je potrošeno 39.960 kg DDT-a u avionskom prskanju (oko 1,9 kg/ha). Tokom 1957. godine, akcija je proširena i na opštine Tivat i Ulcinj, obuhvatajući 47.036 ha, a potrošeno je 78.070 kg DDT-a (1,66 kg/ha).</w:t>
      </w:r>
    </w:p>
    <w:p w14:paraId="53E3A8A2"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Pored avionskog prskanja, u 1956. godini sprovedeno je i zemaljsko prskanje motorizovanim prskalicama na lokacijama Crmnica i Ostrog (opštine Bar i Danilovgrad).</w:t>
      </w:r>
    </w:p>
    <w:p w14:paraId="5FC9320E"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U opštini Berane, </w:t>
      </w:r>
      <w:r w:rsidRPr="00C86111">
        <w:rPr>
          <w:rFonts w:asciiTheme="minorHAnsi" w:hAnsiTheme="minorHAnsi" w:cstheme="minorHAnsi"/>
          <w:b/>
          <w:bCs/>
          <w:color w:val="auto"/>
          <w:szCs w:val="24"/>
        </w:rPr>
        <w:t>endrin</w:t>
      </w:r>
      <w:r w:rsidRPr="00C86111">
        <w:rPr>
          <w:rFonts w:asciiTheme="minorHAnsi" w:hAnsiTheme="minorHAnsi" w:cstheme="minorHAnsi"/>
          <w:color w:val="auto"/>
          <w:szCs w:val="24"/>
        </w:rPr>
        <w:t xml:space="preserve"> i </w:t>
      </w:r>
      <w:r w:rsidRPr="00C86111">
        <w:rPr>
          <w:rFonts w:asciiTheme="minorHAnsi" w:hAnsiTheme="minorHAnsi" w:cstheme="minorHAnsi"/>
          <w:b/>
          <w:bCs/>
          <w:color w:val="auto"/>
          <w:szCs w:val="24"/>
        </w:rPr>
        <w:t>toksafen</w:t>
      </w:r>
      <w:r w:rsidRPr="00C86111">
        <w:rPr>
          <w:rFonts w:asciiTheme="minorHAnsi" w:hAnsiTheme="minorHAnsi" w:cstheme="minorHAnsi"/>
          <w:color w:val="auto"/>
          <w:szCs w:val="24"/>
        </w:rPr>
        <w:t xml:space="preserve"> korišćeni su za suzbijanje voluharica, dok je toksafen primijenjivan i za suzbijanje buba ružičara (</w:t>
      </w:r>
      <w:r w:rsidRPr="00C86111">
        <w:rPr>
          <w:rFonts w:asciiTheme="minorHAnsi" w:hAnsiTheme="minorHAnsi" w:cstheme="minorHAnsi"/>
          <w:i/>
          <w:iCs/>
          <w:color w:val="auto"/>
          <w:szCs w:val="24"/>
        </w:rPr>
        <w:t>Tropinota hirta</w:t>
      </w:r>
      <w:r w:rsidRPr="00C86111">
        <w:rPr>
          <w:rFonts w:asciiTheme="minorHAnsi" w:hAnsiTheme="minorHAnsi" w:cstheme="minorHAnsi"/>
          <w:color w:val="auto"/>
          <w:szCs w:val="24"/>
        </w:rPr>
        <w:t>) i osa (</w:t>
      </w:r>
      <w:r w:rsidRPr="00C86111">
        <w:rPr>
          <w:rFonts w:asciiTheme="minorHAnsi" w:hAnsiTheme="minorHAnsi" w:cstheme="minorHAnsi"/>
          <w:i/>
          <w:iCs/>
          <w:color w:val="auto"/>
          <w:szCs w:val="24"/>
        </w:rPr>
        <w:t>Vespa sp.</w:t>
      </w:r>
      <w:r w:rsidRPr="00C86111">
        <w:rPr>
          <w:rFonts w:asciiTheme="minorHAnsi" w:hAnsiTheme="minorHAnsi" w:cstheme="minorHAnsi"/>
          <w:color w:val="auto"/>
          <w:szCs w:val="24"/>
        </w:rPr>
        <w:t xml:space="preserve">). </w:t>
      </w:r>
      <w:r w:rsidRPr="00C86111">
        <w:rPr>
          <w:rFonts w:asciiTheme="minorHAnsi" w:hAnsiTheme="minorHAnsi" w:cstheme="minorHAnsi"/>
          <w:b/>
          <w:bCs/>
          <w:color w:val="auto"/>
          <w:szCs w:val="24"/>
        </w:rPr>
        <w:t>Aldrin</w:t>
      </w:r>
      <w:r w:rsidRPr="00C86111">
        <w:rPr>
          <w:rFonts w:asciiTheme="minorHAnsi" w:hAnsiTheme="minorHAnsi" w:cstheme="minorHAnsi"/>
          <w:color w:val="auto"/>
          <w:szCs w:val="24"/>
        </w:rPr>
        <w:t xml:space="preserve"> i </w:t>
      </w:r>
      <w:r w:rsidRPr="00C86111">
        <w:rPr>
          <w:rFonts w:asciiTheme="minorHAnsi" w:hAnsiTheme="minorHAnsi" w:cstheme="minorHAnsi"/>
          <w:b/>
          <w:bCs/>
          <w:color w:val="auto"/>
          <w:szCs w:val="24"/>
        </w:rPr>
        <w:t>dieldrin</w:t>
      </w:r>
      <w:r w:rsidRPr="00C86111">
        <w:rPr>
          <w:rFonts w:asciiTheme="minorHAnsi" w:hAnsiTheme="minorHAnsi" w:cstheme="minorHAnsi"/>
          <w:color w:val="auto"/>
          <w:szCs w:val="24"/>
        </w:rPr>
        <w:t xml:space="preserve"> korišćeni su kao insekticidi za zemljište. Ovi pesticidi primjenjivani su u periodu od 1968. do 1977. godine.</w:t>
      </w:r>
    </w:p>
    <w:p w14:paraId="44922FCF"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Sredstva za zaštitu bilja sa aktivnim komponentama </w:t>
      </w:r>
      <w:r w:rsidRPr="00C86111">
        <w:rPr>
          <w:rFonts w:asciiTheme="minorHAnsi" w:hAnsiTheme="minorHAnsi" w:cstheme="minorHAnsi"/>
          <w:b/>
          <w:bCs/>
          <w:color w:val="auto"/>
          <w:szCs w:val="24"/>
        </w:rPr>
        <w:t>hlordan</w:t>
      </w:r>
      <w:r w:rsidRPr="00C86111">
        <w:rPr>
          <w:rFonts w:asciiTheme="minorHAnsi" w:hAnsiTheme="minorHAnsi" w:cstheme="minorHAnsi"/>
          <w:color w:val="auto"/>
          <w:szCs w:val="24"/>
        </w:rPr>
        <w:t xml:space="preserve"> i </w:t>
      </w:r>
      <w:r w:rsidRPr="00C86111">
        <w:rPr>
          <w:rFonts w:asciiTheme="minorHAnsi" w:hAnsiTheme="minorHAnsi" w:cstheme="minorHAnsi"/>
          <w:b/>
          <w:bCs/>
          <w:color w:val="auto"/>
          <w:szCs w:val="24"/>
        </w:rPr>
        <w:t>heptahlor</w:t>
      </w:r>
      <w:r w:rsidRPr="00C86111">
        <w:rPr>
          <w:rFonts w:asciiTheme="minorHAnsi" w:hAnsiTheme="minorHAnsi" w:cstheme="minorHAnsi"/>
          <w:color w:val="auto"/>
          <w:szCs w:val="24"/>
        </w:rPr>
        <w:t xml:space="preserve"> proizvodila je fabrika </w:t>
      </w:r>
      <w:r w:rsidRPr="00C86111">
        <w:rPr>
          <w:rFonts w:asciiTheme="minorHAnsi" w:hAnsiTheme="minorHAnsi" w:cstheme="minorHAnsi"/>
          <w:i/>
          <w:iCs/>
          <w:color w:val="auto"/>
          <w:szCs w:val="24"/>
        </w:rPr>
        <w:t>Zorka</w:t>
      </w:r>
      <w:r w:rsidRPr="00C86111">
        <w:rPr>
          <w:rFonts w:asciiTheme="minorHAnsi" w:hAnsiTheme="minorHAnsi" w:cstheme="minorHAnsi"/>
          <w:color w:val="auto"/>
          <w:szCs w:val="24"/>
        </w:rPr>
        <w:t xml:space="preserve"> u Šapcu (Srbija) u periodu kada je Crna Gora bila republika u okviru SFRJ. Međutim, nema podataka o njihovoj primjeni u Crnoj Gori. Takođe, </w:t>
      </w:r>
      <w:r w:rsidRPr="00C86111">
        <w:rPr>
          <w:rFonts w:asciiTheme="minorHAnsi" w:hAnsiTheme="minorHAnsi" w:cstheme="minorHAnsi"/>
          <w:b/>
          <w:bCs/>
          <w:color w:val="auto"/>
          <w:szCs w:val="24"/>
        </w:rPr>
        <w:t>nema dokaza</w:t>
      </w:r>
      <w:r w:rsidRPr="00C86111">
        <w:rPr>
          <w:rFonts w:asciiTheme="minorHAnsi" w:hAnsiTheme="minorHAnsi" w:cstheme="minorHAnsi"/>
          <w:color w:val="auto"/>
          <w:szCs w:val="24"/>
        </w:rPr>
        <w:t xml:space="preserve"> da su </w:t>
      </w:r>
      <w:r w:rsidRPr="00C86111">
        <w:rPr>
          <w:rFonts w:asciiTheme="minorHAnsi" w:hAnsiTheme="minorHAnsi" w:cstheme="minorHAnsi"/>
          <w:b/>
          <w:bCs/>
          <w:color w:val="auto"/>
          <w:szCs w:val="24"/>
        </w:rPr>
        <w:t>heksahlorobenzen</w:t>
      </w:r>
      <w:r w:rsidRPr="00C86111">
        <w:rPr>
          <w:rFonts w:asciiTheme="minorHAnsi" w:hAnsiTheme="minorHAnsi" w:cstheme="minorHAnsi"/>
          <w:color w:val="auto"/>
          <w:szCs w:val="24"/>
        </w:rPr>
        <w:t xml:space="preserve"> i </w:t>
      </w:r>
      <w:r w:rsidRPr="00C86111">
        <w:rPr>
          <w:rFonts w:asciiTheme="minorHAnsi" w:hAnsiTheme="minorHAnsi" w:cstheme="minorHAnsi"/>
          <w:b/>
          <w:bCs/>
          <w:color w:val="auto"/>
          <w:szCs w:val="24"/>
        </w:rPr>
        <w:t>mireks</w:t>
      </w:r>
      <w:r w:rsidRPr="00C86111">
        <w:rPr>
          <w:rFonts w:asciiTheme="minorHAnsi" w:hAnsiTheme="minorHAnsi" w:cstheme="minorHAnsi"/>
          <w:color w:val="auto"/>
          <w:szCs w:val="24"/>
        </w:rPr>
        <w:t xml:space="preserve"> ikada korišćeni na teritoriji Crne Gore.</w:t>
      </w:r>
    </w:p>
    <w:p w14:paraId="3740E12E"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Pored ovih pesticida, u narednoj fazi inventara razmatrani su i dodatni POP pesticidi, uključujući </w:t>
      </w:r>
      <w:r w:rsidRPr="00C86111">
        <w:rPr>
          <w:rFonts w:asciiTheme="minorHAnsi" w:hAnsiTheme="minorHAnsi" w:cstheme="minorHAnsi"/>
          <w:b/>
          <w:bCs/>
          <w:color w:val="auto"/>
          <w:szCs w:val="24"/>
        </w:rPr>
        <w:t>hlordekon</w:t>
      </w:r>
      <w:r w:rsidRPr="00C86111">
        <w:rPr>
          <w:rFonts w:asciiTheme="minorHAnsi" w:hAnsiTheme="minorHAnsi" w:cstheme="minorHAnsi"/>
          <w:color w:val="auto"/>
          <w:szCs w:val="24"/>
        </w:rPr>
        <w:t xml:space="preserve">, </w:t>
      </w:r>
      <w:r w:rsidRPr="00C86111">
        <w:rPr>
          <w:rFonts w:asciiTheme="minorHAnsi" w:hAnsiTheme="minorHAnsi" w:cstheme="minorHAnsi"/>
          <w:b/>
          <w:bCs/>
          <w:color w:val="auto"/>
          <w:szCs w:val="24"/>
        </w:rPr>
        <w:t>endosulfan</w:t>
      </w:r>
      <w:r w:rsidRPr="00C86111">
        <w:rPr>
          <w:rFonts w:asciiTheme="minorHAnsi" w:hAnsiTheme="minorHAnsi" w:cstheme="minorHAnsi"/>
          <w:color w:val="auto"/>
          <w:szCs w:val="24"/>
        </w:rPr>
        <w:t xml:space="preserve"> i </w:t>
      </w:r>
      <w:r w:rsidRPr="00C86111">
        <w:rPr>
          <w:rFonts w:asciiTheme="minorHAnsi" w:hAnsiTheme="minorHAnsi" w:cstheme="minorHAnsi"/>
          <w:b/>
          <w:bCs/>
          <w:color w:val="auto"/>
          <w:szCs w:val="24"/>
        </w:rPr>
        <w:t>lindan</w:t>
      </w:r>
      <w:r w:rsidRPr="00C86111">
        <w:rPr>
          <w:rFonts w:asciiTheme="minorHAnsi" w:hAnsiTheme="minorHAnsi" w:cstheme="minorHAnsi"/>
          <w:color w:val="auto"/>
          <w:szCs w:val="24"/>
        </w:rPr>
        <w:t>.</w:t>
      </w:r>
    </w:p>
    <w:p w14:paraId="0616E754" w14:textId="77777777" w:rsidR="0081146A" w:rsidRPr="00C86111" w:rsidRDefault="0081146A" w:rsidP="00EA6904">
      <w:pPr>
        <w:pStyle w:val="Heading4"/>
      </w:pPr>
      <w:r w:rsidRPr="00C86111">
        <w:t>Hlordekon</w:t>
      </w:r>
    </w:p>
    <w:p w14:paraId="37B5482D" w14:textId="5ADDC4C2"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Hlordekon je naveden u Aneksu A Stokholmske konvencije bez specifičnih izuzetaka (odluka SC-4/12). Hemijska struktura, upotreba i proizvodnja, kao i POPs karakteristike hlordecona prikazane su u Tabeli </w:t>
      </w:r>
      <w:r w:rsidR="00A12257" w:rsidRPr="00C86111">
        <w:rPr>
          <w:rFonts w:asciiTheme="minorHAnsi" w:hAnsiTheme="minorHAnsi" w:cstheme="minorHAnsi"/>
          <w:color w:val="auto"/>
          <w:szCs w:val="24"/>
        </w:rPr>
        <w:t>5</w:t>
      </w:r>
      <w:r w:rsidRPr="00C86111">
        <w:rPr>
          <w:rFonts w:asciiTheme="minorHAnsi" w:hAnsiTheme="minorHAnsi" w:cstheme="minorHAnsi"/>
          <w:color w:val="auto"/>
          <w:szCs w:val="24"/>
        </w:rPr>
        <w:t>.</w:t>
      </w:r>
    </w:p>
    <w:p w14:paraId="409EA4D7" w14:textId="77777777" w:rsidR="0081146A" w:rsidRPr="00C86111" w:rsidRDefault="0081146A" w:rsidP="0081146A">
      <w:pPr>
        <w:jc w:val="both"/>
        <w:rPr>
          <w:rFonts w:asciiTheme="minorHAnsi" w:hAnsiTheme="minorHAnsi" w:cstheme="minorHAnsi"/>
          <w:color w:val="auto"/>
          <w:szCs w:val="24"/>
        </w:rPr>
      </w:pPr>
    </w:p>
    <w:p w14:paraId="21269251" w14:textId="01DDC1B4"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Tabela </w:t>
      </w:r>
      <w:r w:rsidR="00A12257" w:rsidRPr="00C86111">
        <w:rPr>
          <w:rFonts w:asciiTheme="minorHAnsi" w:hAnsiTheme="minorHAnsi" w:cstheme="minorHAnsi"/>
          <w:b/>
          <w:bCs/>
          <w:color w:val="auto"/>
          <w:szCs w:val="24"/>
        </w:rPr>
        <w:t>5</w:t>
      </w:r>
      <w:r w:rsidRPr="00C86111">
        <w:rPr>
          <w:rFonts w:asciiTheme="minorHAnsi" w:hAnsiTheme="minorHAnsi" w:cstheme="minorHAnsi"/>
          <w:b/>
          <w:bCs/>
          <w:color w:val="auto"/>
          <w:szCs w:val="24"/>
        </w:rPr>
        <w:t>.</w:t>
      </w:r>
      <w:r w:rsidRPr="00C86111">
        <w:rPr>
          <w:rFonts w:asciiTheme="minorHAnsi" w:hAnsiTheme="minorHAnsi" w:cstheme="minorHAnsi"/>
          <w:color w:val="auto"/>
          <w:szCs w:val="24"/>
        </w:rPr>
        <w:t xml:space="preserve"> Osnovne informacije o hlordekonu</w:t>
      </w:r>
    </w:p>
    <w:tbl>
      <w:tblPr>
        <w:tblStyle w:val="GridTable5Dark-Accent6"/>
        <w:tblW w:w="0" w:type="auto"/>
        <w:tblLook w:val="04A0" w:firstRow="1" w:lastRow="0" w:firstColumn="1" w:lastColumn="0" w:noHBand="0" w:noVBand="1"/>
      </w:tblPr>
      <w:tblGrid>
        <w:gridCol w:w="2335"/>
        <w:gridCol w:w="7015"/>
      </w:tblGrid>
      <w:tr w:rsidR="0081146A" w:rsidRPr="00C86111" w14:paraId="5C49BC97"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132E2288"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Hlordekon</w:t>
            </w:r>
          </w:p>
        </w:tc>
        <w:tc>
          <w:tcPr>
            <w:tcW w:w="7015" w:type="dxa"/>
          </w:tcPr>
          <w:p w14:paraId="6BEF7433" w14:textId="77777777" w:rsidR="0081146A" w:rsidRPr="00C86111" w:rsidRDefault="0081146A"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r>
      <w:tr w:rsidR="0081146A" w:rsidRPr="00C86111" w14:paraId="568CE84B"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13D4D4A2"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Struktura</w:t>
            </w:r>
          </w:p>
        </w:tc>
        <w:tc>
          <w:tcPr>
            <w:tcW w:w="7015" w:type="dxa"/>
          </w:tcPr>
          <w:p w14:paraId="66EE1447" w14:textId="77777777" w:rsidR="0081146A" w:rsidRPr="00C86111" w:rsidRDefault="0081146A"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noProof/>
                <w:color w:val="auto"/>
                <w:sz w:val="20"/>
                <w:szCs w:val="20"/>
              </w:rPr>
              <w:drawing>
                <wp:inline distT="0" distB="0" distL="0" distR="0" wp14:anchorId="54624475" wp14:editId="58E931BF">
                  <wp:extent cx="929073" cy="942394"/>
                  <wp:effectExtent l="0" t="0" r="0" b="0"/>
                  <wp:docPr id="1073741825" name="officeArt object" descr="Chlordecone - Wikipedia"/>
                  <wp:cNvGraphicFramePr/>
                  <a:graphic xmlns:a="http://schemas.openxmlformats.org/drawingml/2006/main">
                    <a:graphicData uri="http://schemas.openxmlformats.org/drawingml/2006/picture">
                      <pic:pic xmlns:pic="http://schemas.openxmlformats.org/drawingml/2006/picture">
                        <pic:nvPicPr>
                          <pic:cNvPr id="1073741825" name="Chlordecone - Wikipedia" descr="Chlordecone - Wikipedia"/>
                          <pic:cNvPicPr>
                            <a:picLocks noChangeAspect="1"/>
                          </pic:cNvPicPr>
                        </pic:nvPicPr>
                        <pic:blipFill>
                          <a:blip r:embed="rId9"/>
                          <a:stretch>
                            <a:fillRect/>
                          </a:stretch>
                        </pic:blipFill>
                        <pic:spPr>
                          <a:xfrm>
                            <a:off x="0" y="0"/>
                            <a:ext cx="929073" cy="942394"/>
                          </a:xfrm>
                          <a:prstGeom prst="rect">
                            <a:avLst/>
                          </a:prstGeom>
                          <a:ln w="12700" cap="flat">
                            <a:noFill/>
                            <a:miter lim="400000"/>
                          </a:ln>
                          <a:effectLst/>
                        </pic:spPr>
                      </pic:pic>
                    </a:graphicData>
                  </a:graphic>
                </wp:inline>
              </w:drawing>
            </w:r>
          </w:p>
        </w:tc>
      </w:tr>
      <w:tr w:rsidR="0081146A" w:rsidRPr="00C86111" w14:paraId="548B3C77" w14:textId="77777777" w:rsidTr="00BC765B">
        <w:tc>
          <w:tcPr>
            <w:cnfStyle w:val="001000000000" w:firstRow="0" w:lastRow="0" w:firstColumn="1" w:lastColumn="0" w:oddVBand="0" w:evenVBand="0" w:oddHBand="0" w:evenHBand="0" w:firstRowFirstColumn="0" w:firstRowLastColumn="0" w:lastRowFirstColumn="0" w:lastRowLastColumn="0"/>
            <w:tcW w:w="2335" w:type="dxa"/>
          </w:tcPr>
          <w:p w14:paraId="76B872CA"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CAS br.</w:t>
            </w:r>
          </w:p>
        </w:tc>
        <w:tc>
          <w:tcPr>
            <w:tcW w:w="7015" w:type="dxa"/>
          </w:tcPr>
          <w:p w14:paraId="1D189EA7" w14:textId="77777777" w:rsidR="0081146A" w:rsidRPr="00C86111" w:rsidRDefault="0081146A"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143-50-0</w:t>
            </w:r>
          </w:p>
        </w:tc>
      </w:tr>
      <w:tr w:rsidR="0081146A" w:rsidRPr="00C86111" w14:paraId="472F310B"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7C9B8C3A"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Upotreba i proizvodnja</w:t>
            </w:r>
          </w:p>
        </w:tc>
        <w:tc>
          <w:tcPr>
            <w:tcW w:w="7015" w:type="dxa"/>
          </w:tcPr>
          <w:p w14:paraId="765F7598" w14:textId="77777777" w:rsidR="0081146A" w:rsidRPr="00C86111" w:rsidRDefault="0081146A"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Hlordekon je sintetički hlorisani organski spoj, primarno korišćen kao pesticid. Prvi put je sintetisan 1951. godine, a komercijalno uveden u Sjedinjenim Američkim Državama pod trgovačkim imenom Kepone 1958. godine.</w:t>
            </w:r>
          </w:p>
        </w:tc>
      </w:tr>
      <w:tr w:rsidR="0081146A" w:rsidRPr="00C86111" w14:paraId="54F6B07C" w14:textId="77777777" w:rsidTr="00BC765B">
        <w:tc>
          <w:tcPr>
            <w:cnfStyle w:val="001000000000" w:firstRow="0" w:lastRow="0" w:firstColumn="1" w:lastColumn="0" w:oddVBand="0" w:evenVBand="0" w:oddHBand="0" w:evenHBand="0" w:firstRowFirstColumn="0" w:firstRowLastColumn="0" w:lastRowFirstColumn="0" w:lastRowLastColumn="0"/>
            <w:tcW w:w="2335" w:type="dxa"/>
          </w:tcPr>
          <w:p w14:paraId="78795154"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POPs karakteristike</w:t>
            </w:r>
          </w:p>
        </w:tc>
        <w:tc>
          <w:tcPr>
            <w:tcW w:w="7015" w:type="dxa"/>
          </w:tcPr>
          <w:p w14:paraId="6131F7A7" w14:textId="77777777" w:rsidR="0081146A" w:rsidRPr="00C86111" w:rsidRDefault="0081146A"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Hlordekon je veoma postojan u životnoj sredini, ima visok potencijal za bioakumulaciju i biomagnifikaciju, i na osnovu svojih fizičko-hemijskih svojstava i modelskih podataka, podložan je transportu na velike udaljenosti. Klasifikovan je kao mogući kancerogen za ljude i veoma je toksičan za vodene organizme.</w:t>
            </w:r>
          </w:p>
        </w:tc>
      </w:tr>
      <w:tr w:rsidR="0081146A" w:rsidRPr="00C86111" w14:paraId="08198DEB"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16DD77B1"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Alternativa</w:t>
            </w:r>
          </w:p>
        </w:tc>
        <w:tc>
          <w:tcPr>
            <w:tcW w:w="7015" w:type="dxa"/>
          </w:tcPr>
          <w:p w14:paraId="49457154" w14:textId="77777777" w:rsidR="0081146A" w:rsidRPr="00C86111" w:rsidRDefault="0081146A"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Upotreba prirodnih predatora, parazita ili bolesti za kontrolu štetočina umesto hemijskih pesticida može biti efikasna alternativa. Rotacija usjeva može smanjiti potrebu za pesticidima jer otežava prilagođavanje štetočina određenim biljkama. Pesticidi na bazi prirodnih sastojaka mogu pružiti alternativu konvencionalnim hemijskim pesticidima.</w:t>
            </w:r>
          </w:p>
        </w:tc>
      </w:tr>
    </w:tbl>
    <w:p w14:paraId="57662126" w14:textId="77777777" w:rsidR="0081146A" w:rsidRPr="00C86111" w:rsidRDefault="0081146A" w:rsidP="0081146A">
      <w:pPr>
        <w:jc w:val="both"/>
        <w:rPr>
          <w:rFonts w:asciiTheme="minorHAnsi" w:hAnsiTheme="minorHAnsi" w:cstheme="minorHAnsi"/>
          <w:color w:val="auto"/>
          <w:sz w:val="20"/>
          <w:szCs w:val="20"/>
        </w:rPr>
      </w:pPr>
    </w:p>
    <w:p w14:paraId="0412922A" w14:textId="77777777" w:rsidR="0081146A" w:rsidRPr="00C86111" w:rsidRDefault="0081146A" w:rsidP="0081146A">
      <w:pPr>
        <w:jc w:val="both"/>
        <w:rPr>
          <w:rFonts w:asciiTheme="minorHAnsi" w:hAnsiTheme="minorHAnsi" w:cstheme="minorHAnsi"/>
          <w:color w:val="auto"/>
          <w:sz w:val="20"/>
          <w:szCs w:val="20"/>
        </w:rPr>
      </w:pPr>
    </w:p>
    <w:p w14:paraId="184D2F8B" w14:textId="4282656E" w:rsidR="0081146A" w:rsidRPr="00C86111" w:rsidRDefault="0081146A" w:rsidP="00A84005">
      <w:pPr>
        <w:pStyle w:val="Heading4"/>
        <w:rPr>
          <w:b/>
          <w:bCs w:val="0"/>
          <w:color w:val="auto"/>
        </w:rPr>
      </w:pPr>
      <w:r w:rsidRPr="00C86111">
        <w:lastRenderedPageBreak/>
        <w:t>Endosulfan</w:t>
      </w:r>
    </w:p>
    <w:p w14:paraId="64259892" w14:textId="016AE714"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Endosulfan je naveden u Aneksu A Stokholmske konvencije sa specifičnim izuzecima za proizvodnju i upotrebu na kompleksima štetočina na usevima navedenim u delu VI tog aneksa (odluka SC-5/3). Hemijska struktura, upotreba i proizvodnja, kao i POPs karakteristike endosulfana prikazane su u Tabeli </w:t>
      </w:r>
      <w:r w:rsidR="00A12257" w:rsidRPr="00C86111">
        <w:rPr>
          <w:rFonts w:asciiTheme="minorHAnsi" w:hAnsiTheme="minorHAnsi" w:cstheme="minorHAnsi"/>
          <w:color w:val="auto"/>
          <w:szCs w:val="24"/>
        </w:rPr>
        <w:t>6</w:t>
      </w:r>
      <w:r w:rsidRPr="00C86111">
        <w:rPr>
          <w:rFonts w:asciiTheme="minorHAnsi" w:hAnsiTheme="minorHAnsi" w:cstheme="minorHAnsi"/>
          <w:color w:val="auto"/>
          <w:szCs w:val="24"/>
        </w:rPr>
        <w:t>.</w:t>
      </w:r>
    </w:p>
    <w:p w14:paraId="115B1845" w14:textId="77777777" w:rsidR="0081146A" w:rsidRPr="00C86111" w:rsidRDefault="0081146A" w:rsidP="0081146A">
      <w:pPr>
        <w:jc w:val="both"/>
        <w:rPr>
          <w:rFonts w:asciiTheme="minorHAnsi" w:hAnsiTheme="minorHAnsi" w:cstheme="minorHAnsi"/>
          <w:color w:val="auto"/>
          <w:szCs w:val="24"/>
        </w:rPr>
      </w:pPr>
    </w:p>
    <w:p w14:paraId="6EBED2E0" w14:textId="24CF2A33"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Tabela </w:t>
      </w:r>
      <w:r w:rsidR="00A12257" w:rsidRPr="00C86111">
        <w:rPr>
          <w:rFonts w:asciiTheme="minorHAnsi" w:hAnsiTheme="minorHAnsi" w:cstheme="minorHAnsi"/>
          <w:b/>
          <w:bCs/>
          <w:color w:val="auto"/>
          <w:szCs w:val="24"/>
        </w:rPr>
        <w:t>6</w:t>
      </w:r>
      <w:r w:rsidRPr="00C86111">
        <w:rPr>
          <w:rFonts w:asciiTheme="minorHAnsi" w:hAnsiTheme="minorHAnsi" w:cstheme="minorHAnsi"/>
          <w:b/>
          <w:bCs/>
          <w:color w:val="auto"/>
          <w:szCs w:val="24"/>
        </w:rPr>
        <w:t>.</w:t>
      </w:r>
      <w:r w:rsidRPr="00C86111">
        <w:rPr>
          <w:rFonts w:asciiTheme="minorHAnsi" w:hAnsiTheme="minorHAnsi" w:cstheme="minorHAnsi"/>
          <w:color w:val="auto"/>
          <w:szCs w:val="24"/>
        </w:rPr>
        <w:t xml:space="preserve"> Osnovne informacije o endosulfanu</w:t>
      </w:r>
    </w:p>
    <w:tbl>
      <w:tblPr>
        <w:tblStyle w:val="GridTable5Dark-Accent6"/>
        <w:tblW w:w="0" w:type="auto"/>
        <w:tblLook w:val="04A0" w:firstRow="1" w:lastRow="0" w:firstColumn="1" w:lastColumn="0" w:noHBand="0" w:noVBand="1"/>
      </w:tblPr>
      <w:tblGrid>
        <w:gridCol w:w="1975"/>
        <w:gridCol w:w="7375"/>
      </w:tblGrid>
      <w:tr w:rsidR="0081146A" w:rsidRPr="00C86111" w14:paraId="0E2E759F"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63E7172C"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Endosulfan</w:t>
            </w:r>
          </w:p>
        </w:tc>
        <w:tc>
          <w:tcPr>
            <w:tcW w:w="7375" w:type="dxa"/>
          </w:tcPr>
          <w:p w14:paraId="3370EC85" w14:textId="77777777" w:rsidR="0081146A" w:rsidRPr="00C86111" w:rsidRDefault="0081146A"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r>
      <w:tr w:rsidR="0081146A" w:rsidRPr="00C86111" w14:paraId="4178490C"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27631D4B"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Struktura</w:t>
            </w:r>
          </w:p>
        </w:tc>
        <w:tc>
          <w:tcPr>
            <w:tcW w:w="7375" w:type="dxa"/>
          </w:tcPr>
          <w:p w14:paraId="2067997E" w14:textId="77777777" w:rsidR="0081146A" w:rsidRPr="00C86111" w:rsidRDefault="0081146A"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noProof/>
                <w:color w:val="auto"/>
                <w:sz w:val="20"/>
                <w:szCs w:val="20"/>
              </w:rPr>
              <w:drawing>
                <wp:inline distT="0" distB="0" distL="0" distR="0" wp14:anchorId="052663D4" wp14:editId="2CD05DA9">
                  <wp:extent cx="1379220" cy="917808"/>
                  <wp:effectExtent l="0" t="0" r="0" b="0"/>
                  <wp:docPr id="1073741826" name="officeArt object" descr="Skeletal formula with undefined stereochemistry at the sulfur atom"/>
                  <wp:cNvGraphicFramePr/>
                  <a:graphic xmlns:a="http://schemas.openxmlformats.org/drawingml/2006/main">
                    <a:graphicData uri="http://schemas.openxmlformats.org/drawingml/2006/picture">
                      <pic:pic xmlns:pic="http://schemas.openxmlformats.org/drawingml/2006/picture">
                        <pic:nvPicPr>
                          <pic:cNvPr id="1073741826" name="Skeletal formula with undefined stereochemistry at the sulfur atom" descr="Skeletal formula with undefined stereochemistry at the sulfur atom"/>
                          <pic:cNvPicPr>
                            <a:picLocks noChangeAspect="1"/>
                          </pic:cNvPicPr>
                        </pic:nvPicPr>
                        <pic:blipFill>
                          <a:blip r:embed="rId10"/>
                          <a:stretch>
                            <a:fillRect/>
                          </a:stretch>
                        </pic:blipFill>
                        <pic:spPr>
                          <a:xfrm>
                            <a:off x="0" y="0"/>
                            <a:ext cx="1379220" cy="917808"/>
                          </a:xfrm>
                          <a:prstGeom prst="rect">
                            <a:avLst/>
                          </a:prstGeom>
                          <a:ln w="12700" cap="flat">
                            <a:noFill/>
                            <a:miter lim="400000"/>
                          </a:ln>
                          <a:effectLst/>
                        </pic:spPr>
                      </pic:pic>
                    </a:graphicData>
                  </a:graphic>
                </wp:inline>
              </w:drawing>
            </w:r>
          </w:p>
        </w:tc>
      </w:tr>
      <w:tr w:rsidR="0081146A" w:rsidRPr="00C86111" w14:paraId="1CCCD231" w14:textId="77777777" w:rsidTr="00BC765B">
        <w:tc>
          <w:tcPr>
            <w:cnfStyle w:val="001000000000" w:firstRow="0" w:lastRow="0" w:firstColumn="1" w:lastColumn="0" w:oddVBand="0" w:evenVBand="0" w:oddHBand="0" w:evenHBand="0" w:firstRowFirstColumn="0" w:firstRowLastColumn="0" w:lastRowFirstColumn="0" w:lastRowLastColumn="0"/>
            <w:tcW w:w="1975" w:type="dxa"/>
          </w:tcPr>
          <w:p w14:paraId="3E9715C5"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CAS br.</w:t>
            </w:r>
          </w:p>
        </w:tc>
        <w:tc>
          <w:tcPr>
            <w:tcW w:w="7375" w:type="dxa"/>
          </w:tcPr>
          <w:p w14:paraId="452AFA30" w14:textId="77777777" w:rsidR="0081146A" w:rsidRPr="00C86111" w:rsidRDefault="0081146A"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115-29-7 (povezani izomeri* CAS br: 959-98-8 i CAS br: 33213-65-9)</w:t>
            </w:r>
          </w:p>
        </w:tc>
      </w:tr>
      <w:tr w:rsidR="0081146A" w:rsidRPr="00C86111" w14:paraId="4073A80D"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78A8519A"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Upotreba i proizvodnja</w:t>
            </w:r>
          </w:p>
        </w:tc>
        <w:tc>
          <w:tcPr>
            <w:tcW w:w="7375" w:type="dxa"/>
          </w:tcPr>
          <w:p w14:paraId="6C4F7CCD" w14:textId="77777777" w:rsidR="0081146A" w:rsidRPr="00C86111" w:rsidRDefault="0081146A"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Endosulfan je insekticid koji se pojavljuje u dva izomera, alfa i beta endosulfan, oba biološki aktivna. Kao širokospektralni insekticid, endosulfan se koristio za kontrolu širokog spektra štetočina na raznim usjevima, uključujući kafu, pamuk, pirinač, sirak i soju. Cirkulacija insekticida koji sadrže aktivnu supstancu endosulfan zabranjena je u Crnoj Gori 2008. godine.</w:t>
            </w:r>
          </w:p>
        </w:tc>
      </w:tr>
      <w:tr w:rsidR="0081146A" w:rsidRPr="00C86111" w14:paraId="4314F76A" w14:textId="77777777" w:rsidTr="00BC765B">
        <w:tc>
          <w:tcPr>
            <w:cnfStyle w:val="001000000000" w:firstRow="0" w:lastRow="0" w:firstColumn="1" w:lastColumn="0" w:oddVBand="0" w:evenVBand="0" w:oddHBand="0" w:evenHBand="0" w:firstRowFirstColumn="0" w:firstRowLastColumn="0" w:lastRowFirstColumn="0" w:lastRowLastColumn="0"/>
            <w:tcW w:w="1975" w:type="dxa"/>
          </w:tcPr>
          <w:p w14:paraId="3002E400"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POPs karakteristike</w:t>
            </w:r>
          </w:p>
        </w:tc>
        <w:tc>
          <w:tcPr>
            <w:tcW w:w="7375" w:type="dxa"/>
          </w:tcPr>
          <w:p w14:paraId="79F18F57" w14:textId="77777777" w:rsidR="0081146A" w:rsidRPr="00C86111" w:rsidRDefault="0081146A"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Endosulfan je poznat po svojoj postojanosti u životnoj sredini. Može ostati u okolini duže vrijeme prije nego što se razloži u druge supstance. Endosulfan ima sposobnost bioakumulacije i biomagnifikacije, što znači da njegova koncentracija raste kako se kreće kroz hranidbeni lanac. Organizmi na višim trofičkim nivoima mogu imati veće koncentracije endosulfana u poređenju sa organizmima na nižim nivoima. Toksičan je za razne organizme, uključujući vodene. Kao i mnogi POPs, endosulfan ima potencijal za transport na velike udaljenosti, na primjjer putem atmosferskog transporta, što mu omogućava da se prenese daleko od mesta primjene.</w:t>
            </w:r>
          </w:p>
        </w:tc>
      </w:tr>
      <w:tr w:rsidR="0081146A" w:rsidRPr="00C86111" w14:paraId="1E84BEF0"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16646C43" w14:textId="77777777" w:rsidR="0081146A" w:rsidRPr="00C86111" w:rsidRDefault="0081146A"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Alternativa</w:t>
            </w:r>
          </w:p>
        </w:tc>
        <w:tc>
          <w:tcPr>
            <w:tcW w:w="7375" w:type="dxa"/>
          </w:tcPr>
          <w:p w14:paraId="2599F625" w14:textId="77777777" w:rsidR="0081146A" w:rsidRPr="00C86111" w:rsidRDefault="0081146A"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Upotreba bioracionalnih pesticida koji ciljaju specifične biološke procese kod štetočina, minimizirajući štetne efekte na druge organizme i životnu sredinu. Korišćenje prirodnih predatora, parazita ili bolesti za kontrolu štetočina umjesto hemijskih pesticida može biti efikasna alternativa. Rotacija usjeva može smanjiti potrebu za pesticidima jer otežava prilagođavanje štetočina određenoj vrsti biljke.</w:t>
            </w:r>
          </w:p>
        </w:tc>
      </w:tr>
    </w:tbl>
    <w:p w14:paraId="6F020ABE" w14:textId="77777777" w:rsidR="0081146A" w:rsidRPr="00C86111" w:rsidRDefault="0081146A" w:rsidP="00EA6904">
      <w:pPr>
        <w:pStyle w:val="Heading4"/>
      </w:pPr>
      <w:r w:rsidRPr="00C86111">
        <w:t>Lindan</w:t>
      </w:r>
    </w:p>
    <w:p w14:paraId="41D8E93A" w14:textId="116E4800" w:rsidR="0081146A"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Lindan je naveden u Aneksu A Stokholmske konvencije sa specifičnim izuzecima za upotrebu lindana kao farmaceutika za ljudsko zdravlje za kontrolu ušiju i šuga kao sekundarna terapija (odluka SC-4/15). Alfa- i beta-HCH su navedeni u Aneksu A Stokholmske konvencije bez specifičnih izuzeća (odluke SC-4/10, SC-4/11). Hemijska struktura, upotreba i proizvodnja, kao i POPs karakteristike lindana prikazane su u Tabeli </w:t>
      </w:r>
      <w:r w:rsidR="00A12257" w:rsidRPr="00C86111">
        <w:rPr>
          <w:rFonts w:asciiTheme="minorHAnsi" w:hAnsiTheme="minorHAnsi" w:cstheme="minorHAnsi"/>
          <w:color w:val="auto"/>
          <w:szCs w:val="24"/>
        </w:rPr>
        <w:t>7</w:t>
      </w:r>
      <w:r w:rsidRPr="00C86111">
        <w:rPr>
          <w:rFonts w:asciiTheme="minorHAnsi" w:hAnsiTheme="minorHAnsi" w:cstheme="minorHAnsi"/>
          <w:color w:val="auto"/>
          <w:szCs w:val="24"/>
        </w:rPr>
        <w:t>.</w:t>
      </w:r>
    </w:p>
    <w:p w14:paraId="2691E196" w14:textId="77777777" w:rsidR="00A84005" w:rsidRDefault="00A84005" w:rsidP="0081146A">
      <w:pPr>
        <w:jc w:val="both"/>
        <w:rPr>
          <w:rFonts w:asciiTheme="minorHAnsi" w:hAnsiTheme="minorHAnsi" w:cstheme="minorHAnsi"/>
          <w:color w:val="auto"/>
          <w:szCs w:val="24"/>
        </w:rPr>
      </w:pPr>
    </w:p>
    <w:p w14:paraId="0F13A6CE" w14:textId="77777777" w:rsidR="00A84005" w:rsidRDefault="00A84005" w:rsidP="0081146A">
      <w:pPr>
        <w:jc w:val="both"/>
        <w:rPr>
          <w:rFonts w:asciiTheme="minorHAnsi" w:hAnsiTheme="minorHAnsi" w:cstheme="minorHAnsi"/>
          <w:color w:val="auto"/>
          <w:szCs w:val="24"/>
        </w:rPr>
      </w:pPr>
    </w:p>
    <w:p w14:paraId="257FB89F" w14:textId="77777777" w:rsidR="00A84005" w:rsidRDefault="00A84005" w:rsidP="0081146A">
      <w:pPr>
        <w:jc w:val="both"/>
        <w:rPr>
          <w:rFonts w:asciiTheme="minorHAnsi" w:hAnsiTheme="minorHAnsi" w:cstheme="minorHAnsi"/>
          <w:color w:val="auto"/>
          <w:szCs w:val="24"/>
        </w:rPr>
      </w:pPr>
    </w:p>
    <w:p w14:paraId="6B168FB4" w14:textId="77777777" w:rsidR="00A84005" w:rsidRDefault="00A84005" w:rsidP="0081146A">
      <w:pPr>
        <w:jc w:val="both"/>
        <w:rPr>
          <w:rFonts w:asciiTheme="minorHAnsi" w:hAnsiTheme="minorHAnsi" w:cstheme="minorHAnsi"/>
          <w:color w:val="auto"/>
          <w:szCs w:val="24"/>
        </w:rPr>
      </w:pPr>
    </w:p>
    <w:p w14:paraId="5CB4C0F7" w14:textId="77777777" w:rsidR="00F562F0" w:rsidRPr="00C86111" w:rsidRDefault="00F562F0" w:rsidP="0081146A">
      <w:pPr>
        <w:jc w:val="both"/>
        <w:rPr>
          <w:rFonts w:asciiTheme="minorHAnsi" w:hAnsiTheme="minorHAnsi" w:cstheme="minorHAnsi"/>
          <w:color w:val="auto"/>
          <w:szCs w:val="24"/>
        </w:rPr>
      </w:pPr>
    </w:p>
    <w:p w14:paraId="397835D4" w14:textId="77777777" w:rsidR="0081146A" w:rsidRPr="00C86111" w:rsidRDefault="0081146A" w:rsidP="0081146A">
      <w:pPr>
        <w:jc w:val="both"/>
        <w:rPr>
          <w:rFonts w:asciiTheme="minorHAnsi" w:hAnsiTheme="minorHAnsi" w:cstheme="minorHAnsi"/>
          <w:color w:val="auto"/>
          <w:szCs w:val="24"/>
        </w:rPr>
      </w:pPr>
    </w:p>
    <w:p w14:paraId="53B5E519" w14:textId="2751235C"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b/>
          <w:bCs/>
          <w:color w:val="auto"/>
          <w:szCs w:val="24"/>
        </w:rPr>
        <w:lastRenderedPageBreak/>
        <w:t xml:space="preserve">Tabela </w:t>
      </w:r>
      <w:r w:rsidR="00A12257" w:rsidRPr="00C86111">
        <w:rPr>
          <w:rFonts w:asciiTheme="minorHAnsi" w:hAnsiTheme="minorHAnsi" w:cstheme="minorHAnsi"/>
          <w:b/>
          <w:bCs/>
          <w:color w:val="auto"/>
          <w:szCs w:val="24"/>
        </w:rPr>
        <w:t>7</w:t>
      </w:r>
      <w:r w:rsidRPr="00C86111">
        <w:rPr>
          <w:rFonts w:asciiTheme="minorHAnsi" w:hAnsiTheme="minorHAnsi" w:cstheme="minorHAnsi"/>
          <w:color w:val="auto"/>
          <w:szCs w:val="24"/>
        </w:rPr>
        <w:t>. Osnovne informacije o alfa/beta/gama heksahlorocikloheksanu</w:t>
      </w:r>
    </w:p>
    <w:tbl>
      <w:tblPr>
        <w:tblStyle w:val="GridTable5Dark-Accent6"/>
        <w:tblW w:w="9350" w:type="dxa"/>
        <w:tblLayout w:type="fixed"/>
        <w:tblLook w:val="04A0" w:firstRow="1" w:lastRow="0" w:firstColumn="1" w:lastColumn="0" w:noHBand="0" w:noVBand="1"/>
      </w:tblPr>
      <w:tblGrid>
        <w:gridCol w:w="1907"/>
        <w:gridCol w:w="2481"/>
        <w:gridCol w:w="2481"/>
        <w:gridCol w:w="2481"/>
      </w:tblGrid>
      <w:tr w:rsidR="0081146A" w:rsidRPr="00C86111" w14:paraId="3BFCA112" w14:textId="77777777" w:rsidTr="00BC765B">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350" w:type="dxa"/>
            <w:gridSpan w:val="4"/>
          </w:tcPr>
          <w:p w14:paraId="488BF32B" w14:textId="77777777" w:rsidR="0081146A" w:rsidRPr="00C86111" w:rsidRDefault="0081146A" w:rsidP="00BC765B">
            <w:pPr>
              <w:pStyle w:val="Text"/>
              <w:spacing w:before="120" w:after="60"/>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Alpha/beta/gama hexahlorocikloheksane</w:t>
            </w:r>
          </w:p>
        </w:tc>
      </w:tr>
      <w:tr w:rsidR="0081146A" w:rsidRPr="00C86111" w14:paraId="09DA0AE1" w14:textId="77777777" w:rsidTr="00BC765B">
        <w:trPr>
          <w:cnfStyle w:val="000000100000" w:firstRow="0" w:lastRow="0" w:firstColumn="0" w:lastColumn="0" w:oddVBand="0" w:evenVBand="0" w:oddHBand="1" w:evenHBand="0" w:firstRowFirstColumn="0" w:firstRowLastColumn="0" w:lastRowFirstColumn="0" w:lastRowLastColumn="0"/>
          <w:trHeight w:val="1757"/>
        </w:trPr>
        <w:tc>
          <w:tcPr>
            <w:cnfStyle w:val="001000000000" w:firstRow="0" w:lastRow="0" w:firstColumn="1" w:lastColumn="0" w:oddVBand="0" w:evenVBand="0" w:oddHBand="0" w:evenHBand="0" w:firstRowFirstColumn="0" w:firstRowLastColumn="0" w:lastRowFirstColumn="0" w:lastRowLastColumn="0"/>
            <w:tcW w:w="1907" w:type="dxa"/>
            <w:vMerge w:val="restart"/>
          </w:tcPr>
          <w:p w14:paraId="65BC1152"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de-DE"/>
              </w:rPr>
              <w:t>Struktura</w:t>
            </w:r>
          </w:p>
        </w:tc>
        <w:tc>
          <w:tcPr>
            <w:tcW w:w="2481" w:type="dxa"/>
          </w:tcPr>
          <w:p w14:paraId="7AF15233"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noProof/>
                <w:color w:val="auto"/>
                <w:sz w:val="20"/>
                <w:szCs w:val="20"/>
              </w:rPr>
              <w:drawing>
                <wp:inline distT="0" distB="0" distL="0" distR="0" wp14:anchorId="50A5E539" wp14:editId="0757AAD4">
                  <wp:extent cx="998220" cy="1024769"/>
                  <wp:effectExtent l="0" t="0" r="0" b="0"/>
                  <wp:docPr id="1723292691" name="officeArt object" descr="Picture 4"/>
                  <wp:cNvGraphicFramePr/>
                  <a:graphic xmlns:a="http://schemas.openxmlformats.org/drawingml/2006/main">
                    <a:graphicData uri="http://schemas.openxmlformats.org/drawingml/2006/picture">
                      <pic:pic xmlns:pic="http://schemas.openxmlformats.org/drawingml/2006/picture">
                        <pic:nvPicPr>
                          <pic:cNvPr id="1073741827" name="Picture 4" descr="Picture 4"/>
                          <pic:cNvPicPr>
                            <a:picLocks noChangeAspect="1"/>
                          </pic:cNvPicPr>
                        </pic:nvPicPr>
                        <pic:blipFill>
                          <a:blip r:embed="rId11"/>
                          <a:stretch>
                            <a:fillRect/>
                          </a:stretch>
                        </pic:blipFill>
                        <pic:spPr>
                          <a:xfrm>
                            <a:off x="0" y="0"/>
                            <a:ext cx="998220" cy="1024769"/>
                          </a:xfrm>
                          <a:prstGeom prst="rect">
                            <a:avLst/>
                          </a:prstGeom>
                          <a:ln w="12700" cap="flat">
                            <a:noFill/>
                            <a:miter lim="400000"/>
                          </a:ln>
                          <a:effectLst/>
                        </pic:spPr>
                      </pic:pic>
                    </a:graphicData>
                  </a:graphic>
                </wp:inline>
              </w:drawing>
            </w:r>
          </w:p>
        </w:tc>
        <w:tc>
          <w:tcPr>
            <w:tcW w:w="2481" w:type="dxa"/>
          </w:tcPr>
          <w:p w14:paraId="16EB5F72"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noProof/>
                <w:color w:val="auto"/>
                <w:sz w:val="20"/>
                <w:szCs w:val="20"/>
              </w:rPr>
              <w:drawing>
                <wp:inline distT="0" distB="0" distL="0" distR="0" wp14:anchorId="494148CD" wp14:editId="6892CCBE">
                  <wp:extent cx="1036320" cy="1068418"/>
                  <wp:effectExtent l="0" t="0" r="0" b="0"/>
                  <wp:docPr id="511821012" name="officeArt object" descr="upload.wikimedia.org/wikipedia/commons/thumb/2/2f/..."/>
                  <wp:cNvGraphicFramePr/>
                  <a:graphic xmlns:a="http://schemas.openxmlformats.org/drawingml/2006/main">
                    <a:graphicData uri="http://schemas.openxmlformats.org/drawingml/2006/picture">
                      <pic:pic xmlns:pic="http://schemas.openxmlformats.org/drawingml/2006/picture">
                        <pic:nvPicPr>
                          <pic:cNvPr id="1073741828" name="upload.wikimedia.org/wikipedia/commons/thumb/2/2f/..." descr="upload.wikimedia.org/wikipedia/commons/thumb/2/2f/..."/>
                          <pic:cNvPicPr>
                            <a:picLocks noChangeAspect="1"/>
                          </pic:cNvPicPr>
                        </pic:nvPicPr>
                        <pic:blipFill>
                          <a:blip r:embed="rId12"/>
                          <a:stretch>
                            <a:fillRect/>
                          </a:stretch>
                        </pic:blipFill>
                        <pic:spPr>
                          <a:xfrm>
                            <a:off x="0" y="0"/>
                            <a:ext cx="1036320" cy="1068418"/>
                          </a:xfrm>
                          <a:prstGeom prst="rect">
                            <a:avLst/>
                          </a:prstGeom>
                          <a:ln w="12700" cap="flat">
                            <a:noFill/>
                            <a:miter lim="400000"/>
                          </a:ln>
                          <a:effectLst/>
                        </pic:spPr>
                      </pic:pic>
                    </a:graphicData>
                  </a:graphic>
                </wp:inline>
              </w:drawing>
            </w:r>
          </w:p>
        </w:tc>
        <w:tc>
          <w:tcPr>
            <w:tcW w:w="2481" w:type="dxa"/>
          </w:tcPr>
          <w:p w14:paraId="5EB96810"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noProof/>
                <w:color w:val="auto"/>
                <w:sz w:val="20"/>
                <w:szCs w:val="20"/>
              </w:rPr>
              <w:drawing>
                <wp:inline distT="0" distB="0" distL="0" distR="0" wp14:anchorId="62C580EB" wp14:editId="4DEFA6CA">
                  <wp:extent cx="1005841" cy="1032591"/>
                  <wp:effectExtent l="0" t="0" r="0" b="0"/>
                  <wp:docPr id="1789133765" name="officeArt object" descr="Picture 3"/>
                  <wp:cNvGraphicFramePr/>
                  <a:graphic xmlns:a="http://schemas.openxmlformats.org/drawingml/2006/main">
                    <a:graphicData uri="http://schemas.openxmlformats.org/drawingml/2006/picture">
                      <pic:pic xmlns:pic="http://schemas.openxmlformats.org/drawingml/2006/picture">
                        <pic:nvPicPr>
                          <pic:cNvPr id="1073741829" name="Picture 3" descr="Picture 3"/>
                          <pic:cNvPicPr>
                            <a:picLocks noChangeAspect="1"/>
                          </pic:cNvPicPr>
                        </pic:nvPicPr>
                        <pic:blipFill>
                          <a:blip r:embed="rId13"/>
                          <a:stretch>
                            <a:fillRect/>
                          </a:stretch>
                        </pic:blipFill>
                        <pic:spPr>
                          <a:xfrm>
                            <a:off x="0" y="0"/>
                            <a:ext cx="1005841" cy="1032591"/>
                          </a:xfrm>
                          <a:prstGeom prst="rect">
                            <a:avLst/>
                          </a:prstGeom>
                          <a:ln w="12700" cap="flat">
                            <a:noFill/>
                            <a:miter lim="400000"/>
                          </a:ln>
                          <a:effectLst/>
                        </pic:spPr>
                      </pic:pic>
                    </a:graphicData>
                  </a:graphic>
                </wp:inline>
              </w:drawing>
            </w:r>
          </w:p>
        </w:tc>
      </w:tr>
      <w:tr w:rsidR="0081146A" w:rsidRPr="00C86111" w14:paraId="5D82EB96" w14:textId="77777777" w:rsidTr="00BC765B">
        <w:trPr>
          <w:trHeight w:val="850"/>
        </w:trPr>
        <w:tc>
          <w:tcPr>
            <w:cnfStyle w:val="001000000000" w:firstRow="0" w:lastRow="0" w:firstColumn="1" w:lastColumn="0" w:oddVBand="0" w:evenVBand="0" w:oddHBand="0" w:evenHBand="0" w:firstRowFirstColumn="0" w:firstRowLastColumn="0" w:lastRowFirstColumn="0" w:lastRowLastColumn="0"/>
            <w:tcW w:w="1907" w:type="dxa"/>
            <w:vMerge/>
          </w:tcPr>
          <w:p w14:paraId="0CDFFDC8" w14:textId="77777777" w:rsidR="0081146A" w:rsidRPr="00C86111" w:rsidRDefault="0081146A" w:rsidP="00BC765B">
            <w:pPr>
              <w:jc w:val="both"/>
              <w:rPr>
                <w:rFonts w:asciiTheme="minorHAnsi" w:hAnsiTheme="minorHAnsi" w:cstheme="minorHAnsi"/>
                <w:color w:val="auto"/>
                <w:sz w:val="20"/>
                <w:szCs w:val="20"/>
              </w:rPr>
            </w:pPr>
          </w:p>
        </w:tc>
        <w:tc>
          <w:tcPr>
            <w:tcW w:w="2481" w:type="dxa"/>
          </w:tcPr>
          <w:p w14:paraId="0817A34C"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Alpha hexahlorocikloheksane</w:t>
            </w:r>
          </w:p>
        </w:tc>
        <w:tc>
          <w:tcPr>
            <w:tcW w:w="2481" w:type="dxa"/>
          </w:tcPr>
          <w:p w14:paraId="0DE05296"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Beta  hexahlorocikloheksane</w:t>
            </w:r>
          </w:p>
        </w:tc>
        <w:tc>
          <w:tcPr>
            <w:tcW w:w="2481" w:type="dxa"/>
          </w:tcPr>
          <w:p w14:paraId="71CCEBE7"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Gama hexahlorocikloheksane (Lindane)</w:t>
            </w:r>
          </w:p>
        </w:tc>
      </w:tr>
      <w:tr w:rsidR="0081146A" w:rsidRPr="00C86111" w14:paraId="682F3656" w14:textId="77777777" w:rsidTr="00BC765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907" w:type="dxa"/>
          </w:tcPr>
          <w:p w14:paraId="0294BE46"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CAS No.</w:t>
            </w:r>
          </w:p>
        </w:tc>
        <w:tc>
          <w:tcPr>
            <w:tcW w:w="2481" w:type="dxa"/>
          </w:tcPr>
          <w:p w14:paraId="1F5442AC"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319-84-6</w:t>
            </w:r>
          </w:p>
        </w:tc>
        <w:tc>
          <w:tcPr>
            <w:tcW w:w="2481" w:type="dxa"/>
          </w:tcPr>
          <w:p w14:paraId="7E8E7FA6"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ru-RU"/>
              </w:rPr>
              <w:t>319-85-7</w:t>
            </w:r>
          </w:p>
        </w:tc>
        <w:tc>
          <w:tcPr>
            <w:tcW w:w="2481" w:type="dxa"/>
          </w:tcPr>
          <w:p w14:paraId="3BC3F8DE"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58-89-9</w:t>
            </w:r>
          </w:p>
        </w:tc>
      </w:tr>
      <w:tr w:rsidR="0081146A" w:rsidRPr="00C86111" w14:paraId="208516CF" w14:textId="77777777" w:rsidTr="00BC765B">
        <w:trPr>
          <w:trHeight w:val="290"/>
        </w:trPr>
        <w:tc>
          <w:tcPr>
            <w:cnfStyle w:val="001000000000" w:firstRow="0" w:lastRow="0" w:firstColumn="1" w:lastColumn="0" w:oddVBand="0" w:evenVBand="0" w:oddHBand="0" w:evenHBand="0" w:firstRowFirstColumn="0" w:firstRowLastColumn="0" w:lastRowFirstColumn="0" w:lastRowLastColumn="0"/>
            <w:tcW w:w="1907" w:type="dxa"/>
          </w:tcPr>
          <w:p w14:paraId="76446B56"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Upotreba i proizvodnja</w:t>
            </w:r>
          </w:p>
        </w:tc>
        <w:tc>
          <w:tcPr>
            <w:tcW w:w="7443" w:type="dxa"/>
            <w:gridSpan w:val="3"/>
          </w:tcPr>
          <w:p w14:paraId="39D6CA3D"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Tehnička smješa heksahlorocikloheksana (HCH) uglavnom sadrži pet oblika izomera: alfa-, beta-, gama-, delta- i epsilon-HCH. Lindan je uobičajeni naziv za gama-izomer HCH.</w:t>
            </w:r>
          </w:p>
          <w:p w14:paraId="001953B7"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Lindan se koristio za kontrolu insekata i štetočina u zemljištu. Proizvodi koji sadrže lindan nisu smjeli biti korišćeni na povrću, duvanu, stočnoj hrani i vinovoj lozi. Njegova upotreba na uljanoj repici bila je dozvoljena samo prije cvjetanja. Upotreba u staklenicima, pod plastičnim pokrivačima i u skladištima nije bila dozvoljena. Sredstva za zaštitu bilja koja sadrže lindan koristila su se samo jednom godišnje na istom polju, osim u šumskim plantažama, gdje su bila dozvoljena dva tretmana godišnje. Praškaste formule nisu smjele biti korišćene za zračno prskanje.</w:t>
            </w:r>
          </w:p>
          <w:p w14:paraId="66AD46E1"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Tehnički HCH (uglavnom sastavljen od alfa i beta izomera) korišćen je kao pesticid u Evropskoj uniji kao alternativa DDT-u od 1940. godine. Tehnički HCH je postepeno zamijenjen lindanom (koji sadrži 99% gama-izomera HCH). Međutim, 2006. godine, IPHA je ukazala na neefikasnost procesa proizvodnje lindana, jer je za svaku tonu proizvedenog lindana generisana i do tona opasnog otpada koji sadrži alfa i beta izomere. Zemlje Evropske unije u kojima se proizvodio lindan su: Austrija, Češka, Francuska, Njemačka, Mađarska, Poljska, Rumunija, Slovačka, Španija i Holandija.</w:t>
            </w:r>
          </w:p>
        </w:tc>
      </w:tr>
      <w:tr w:rsidR="0081146A" w:rsidRPr="00C86111" w14:paraId="50F3632C" w14:textId="77777777" w:rsidTr="00BC765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907" w:type="dxa"/>
          </w:tcPr>
          <w:p w14:paraId="2CC8C7FC"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Karakteristike POPs pesticida</w:t>
            </w:r>
          </w:p>
        </w:tc>
        <w:tc>
          <w:tcPr>
            <w:tcW w:w="7443" w:type="dxa"/>
            <w:gridSpan w:val="3"/>
          </w:tcPr>
          <w:p w14:paraId="2DACDEA6" w14:textId="77777777" w:rsidR="0081146A" w:rsidRPr="00C86111" w:rsidRDefault="0081146A" w:rsidP="00BC765B">
            <w:pPr>
              <w:pStyle w:val="Text"/>
              <w:spacing w:before="120" w:after="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Alfa- i beta-HCH su veoma postojani u vodi u hladnijim regionima i mogu se bioakumulirati i biomagnifikovati u bioti i arktičkim hranidbenim lancima. Podložni su transportu na velike udaljenosti, klasifikovani su kao potencijalno kancerogeni za ljude i negativno utiču na divlje životinje i ljudsko zdravlje u zagađenim područjima.</w:t>
            </w:r>
          </w:p>
          <w:p w14:paraId="5BE64073" w14:textId="77777777" w:rsidR="0081146A" w:rsidRPr="00C86111" w:rsidRDefault="0081146A" w:rsidP="00BC765B">
            <w:pPr>
              <w:pStyle w:val="Text"/>
              <w:spacing w:before="120" w:after="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Lindan je postojan, lako se bioakumulira u hranidbenom lancu i brzo se nakuplja. Postoje dokazi o transportu na velike udaljenosti i njegovim toksičnim efektima (imunotoksični, reproduktivni i razvojni efekti) kod laboratorijskih životinja i vodenih organizama. Lindan spada u grupu opasnih insekticida i djeluje kontaktno, gastrointestinalno i fumigacijski.</w:t>
            </w:r>
          </w:p>
          <w:p w14:paraId="2B4353D2"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r>
      <w:tr w:rsidR="0081146A" w:rsidRPr="00C86111" w14:paraId="3D6B95D6" w14:textId="77777777" w:rsidTr="00BC765B">
        <w:trPr>
          <w:trHeight w:val="290"/>
        </w:trPr>
        <w:tc>
          <w:tcPr>
            <w:cnfStyle w:val="001000000000" w:firstRow="0" w:lastRow="0" w:firstColumn="1" w:lastColumn="0" w:oddVBand="0" w:evenVBand="0" w:oddHBand="0" w:evenHBand="0" w:firstRowFirstColumn="0" w:firstRowLastColumn="0" w:lastRowFirstColumn="0" w:lastRowLastColumn="0"/>
            <w:tcW w:w="1907" w:type="dxa"/>
          </w:tcPr>
          <w:p w14:paraId="24307E8E"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de-DE"/>
              </w:rPr>
              <w:t>Alternative</w:t>
            </w:r>
          </w:p>
        </w:tc>
        <w:tc>
          <w:tcPr>
            <w:tcW w:w="7443" w:type="dxa"/>
            <w:gridSpan w:val="3"/>
          </w:tcPr>
          <w:p w14:paraId="7373D2D1" w14:textId="77777777" w:rsidR="0081146A" w:rsidRPr="00C86111" w:rsidRDefault="0081146A" w:rsidP="00BC765B">
            <w:pPr>
              <w:pStyle w:val="Text"/>
              <w:spacing w:before="120" w:after="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Pirtrini i piretroidni insekticidi izvedeni iz cvjetova hrizantema često se koriste kao alternativa zbog niže toksičnosti za ljude i životinje. Prah od dijatomeja, prirodni materijal sastavljen od fosilizovanih dijatomeja, može se koristiti za kontrolu različitih štetočina oštećujući njihov egzoskelet. Sapunski i uljani insekticidi manje su toksični za ljude i životinje, ali i dalje efikasni protiv određenih štetočina.</w:t>
            </w:r>
          </w:p>
        </w:tc>
      </w:tr>
    </w:tbl>
    <w:p w14:paraId="635FFA99" w14:textId="77777777" w:rsidR="0081146A" w:rsidRPr="00C86111" w:rsidRDefault="0081146A" w:rsidP="0081146A">
      <w:pPr>
        <w:jc w:val="both"/>
        <w:rPr>
          <w:rFonts w:asciiTheme="minorHAnsi" w:hAnsiTheme="minorHAnsi" w:cstheme="minorHAnsi"/>
          <w:color w:val="auto"/>
          <w:szCs w:val="24"/>
        </w:rPr>
      </w:pPr>
    </w:p>
    <w:p w14:paraId="741DA0D6" w14:textId="77777777" w:rsidR="0081146A" w:rsidRPr="00C86111" w:rsidRDefault="0081146A" w:rsidP="0081146A">
      <w:pPr>
        <w:jc w:val="both"/>
        <w:rPr>
          <w:rFonts w:asciiTheme="minorHAnsi" w:hAnsiTheme="minorHAnsi" w:cstheme="minorHAnsi"/>
          <w:vanish/>
          <w:color w:val="auto"/>
          <w:szCs w:val="24"/>
        </w:rPr>
      </w:pPr>
      <w:r w:rsidRPr="00C86111">
        <w:rPr>
          <w:rFonts w:asciiTheme="minorHAnsi" w:hAnsiTheme="minorHAnsi" w:cstheme="minorHAnsi"/>
          <w:vanish/>
          <w:color w:val="auto"/>
          <w:szCs w:val="24"/>
        </w:rPr>
        <w:lastRenderedPageBreak/>
        <w:t>Top of Form</w:t>
      </w:r>
    </w:p>
    <w:p w14:paraId="2FB0291B" w14:textId="77777777" w:rsidR="0081146A" w:rsidRPr="00C86111" w:rsidRDefault="0081146A" w:rsidP="0081146A">
      <w:pPr>
        <w:jc w:val="both"/>
        <w:rPr>
          <w:rFonts w:asciiTheme="minorHAnsi" w:hAnsiTheme="minorHAnsi" w:cstheme="minorHAnsi"/>
          <w:vanish/>
          <w:color w:val="auto"/>
          <w:szCs w:val="24"/>
        </w:rPr>
      </w:pPr>
      <w:r w:rsidRPr="00C86111">
        <w:rPr>
          <w:rFonts w:asciiTheme="minorHAnsi" w:hAnsiTheme="minorHAnsi" w:cstheme="minorHAnsi"/>
          <w:vanish/>
          <w:color w:val="auto"/>
          <w:szCs w:val="24"/>
        </w:rPr>
        <w:t>Bottom of Form</w:t>
      </w:r>
    </w:p>
    <w:p w14:paraId="1425B1ED"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Ne postoje podaci o upotrebi hlordekona u Crnoj Gori. Prema Dimitriju Batrićeviću („Gradacije bubara u Crnoj Gori i mjere preduzete za njihovo suzbijanje“, </w:t>
      </w:r>
      <w:r w:rsidRPr="00C86111">
        <w:rPr>
          <w:rFonts w:asciiTheme="minorHAnsi" w:hAnsiTheme="minorHAnsi" w:cstheme="minorHAnsi"/>
          <w:i/>
          <w:iCs/>
          <w:color w:val="auto"/>
          <w:szCs w:val="24"/>
        </w:rPr>
        <w:t>Naša poljoprivreda</w:t>
      </w:r>
      <w:r w:rsidRPr="00C86111">
        <w:rPr>
          <w:rFonts w:asciiTheme="minorHAnsi" w:hAnsiTheme="minorHAnsi" w:cstheme="minorHAnsi"/>
          <w:color w:val="auto"/>
          <w:szCs w:val="24"/>
        </w:rPr>
        <w:t>, br. 5-6, tom 3, 1975), Lindan (gama-HCH) je korišćen za tretman šuma na površini od oko 650 ha, pri čemu je upotrijebljeno 9.000 kg insekticida Bentox 20.</w:t>
      </w:r>
    </w:p>
    <w:p w14:paraId="05277EA8"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U pregledima sredstava za zaštitu bilja u Jugoslaviji (</w:t>
      </w:r>
      <w:r w:rsidRPr="00C86111">
        <w:rPr>
          <w:rFonts w:asciiTheme="minorHAnsi" w:hAnsiTheme="minorHAnsi" w:cstheme="minorHAnsi"/>
          <w:i/>
          <w:iCs/>
          <w:color w:val="auto"/>
          <w:szCs w:val="24"/>
        </w:rPr>
        <w:t>Glasnik za zaštitu bilja</w:t>
      </w:r>
      <w:r w:rsidRPr="00C86111">
        <w:rPr>
          <w:rFonts w:asciiTheme="minorHAnsi" w:hAnsiTheme="minorHAnsi" w:cstheme="minorHAnsi"/>
          <w:color w:val="auto"/>
          <w:szCs w:val="24"/>
        </w:rPr>
        <w:t>, 1989) ne nalaze se preparati iz grupe organskih hlorisanih jedinjenja osim lindana i endosulfana. Posljednja publikacija koja se odnosi na Crnu Goru (</w:t>
      </w:r>
      <w:r w:rsidRPr="00C86111">
        <w:rPr>
          <w:rFonts w:asciiTheme="minorHAnsi" w:hAnsiTheme="minorHAnsi" w:cstheme="minorHAnsi"/>
          <w:i/>
          <w:iCs/>
          <w:color w:val="auto"/>
          <w:szCs w:val="24"/>
        </w:rPr>
        <w:t>Pesticidi u poljoprivredi i šumarstvu u Srbiji i Crnoj Gori</w:t>
      </w:r>
      <w:r w:rsidRPr="00C86111">
        <w:rPr>
          <w:rFonts w:asciiTheme="minorHAnsi" w:hAnsiTheme="minorHAnsi" w:cstheme="minorHAnsi"/>
          <w:color w:val="auto"/>
          <w:szCs w:val="24"/>
        </w:rPr>
        <w:t>, 2004) potvrđuje da su od organskih hlorisanih preparata prisutni samo lindan (za premazivanje trupaca) i endosulfan (u voćarstvu).</w:t>
      </w:r>
    </w:p>
    <w:p w14:paraId="5732B74A"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Prema podacima Uprave za bezbjednost hrane, veterinarstvo i fitosanitarne poslove, posljednji uvoz sredstava za zaštitu bilja zasnovanih na POPs pesticidima zabilježen je 2006. godine:</w:t>
      </w:r>
    </w:p>
    <w:p w14:paraId="4FAE7DEE" w14:textId="77777777" w:rsidR="0081146A" w:rsidRPr="00C86111" w:rsidRDefault="0081146A" w:rsidP="00004F34">
      <w:pPr>
        <w:numPr>
          <w:ilvl w:val="0"/>
          <w:numId w:val="172"/>
        </w:numPr>
        <w:jc w:val="both"/>
        <w:rPr>
          <w:rFonts w:asciiTheme="minorHAnsi" w:hAnsiTheme="minorHAnsi" w:cstheme="minorHAnsi"/>
          <w:color w:val="auto"/>
          <w:szCs w:val="24"/>
        </w:rPr>
      </w:pPr>
      <w:r w:rsidRPr="00C86111">
        <w:rPr>
          <w:rFonts w:asciiTheme="minorHAnsi" w:hAnsiTheme="minorHAnsi" w:cstheme="minorHAnsi"/>
          <w:b/>
          <w:bCs/>
          <w:color w:val="auto"/>
          <w:szCs w:val="24"/>
        </w:rPr>
        <w:t>Xylolin</w:t>
      </w:r>
      <w:r w:rsidRPr="00C86111">
        <w:rPr>
          <w:rFonts w:asciiTheme="minorHAnsi" w:hAnsiTheme="minorHAnsi" w:cstheme="minorHAnsi"/>
          <w:color w:val="auto"/>
          <w:szCs w:val="24"/>
        </w:rPr>
        <w:t xml:space="preserve"> (lindan) – 1.650 litara</w:t>
      </w:r>
    </w:p>
    <w:p w14:paraId="7421EA73" w14:textId="77777777" w:rsidR="0081146A" w:rsidRPr="00C86111" w:rsidRDefault="0081146A" w:rsidP="00004F34">
      <w:pPr>
        <w:numPr>
          <w:ilvl w:val="0"/>
          <w:numId w:val="172"/>
        </w:numPr>
        <w:jc w:val="both"/>
        <w:rPr>
          <w:rFonts w:asciiTheme="minorHAnsi" w:hAnsiTheme="minorHAnsi" w:cstheme="minorHAnsi"/>
          <w:color w:val="auto"/>
          <w:szCs w:val="24"/>
        </w:rPr>
      </w:pPr>
      <w:r w:rsidRPr="00C86111">
        <w:rPr>
          <w:rFonts w:asciiTheme="minorHAnsi" w:hAnsiTheme="minorHAnsi" w:cstheme="minorHAnsi"/>
          <w:b/>
          <w:bCs/>
          <w:color w:val="auto"/>
          <w:szCs w:val="24"/>
        </w:rPr>
        <w:t>Endofan 35</w:t>
      </w:r>
      <w:r w:rsidRPr="00C86111">
        <w:rPr>
          <w:rFonts w:asciiTheme="minorHAnsi" w:hAnsiTheme="minorHAnsi" w:cstheme="minorHAnsi"/>
          <w:color w:val="auto"/>
          <w:szCs w:val="24"/>
        </w:rPr>
        <w:t xml:space="preserve"> (endosulfan) – 12 litara</w:t>
      </w:r>
    </w:p>
    <w:p w14:paraId="542C398F"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Cijela količina ovih preparata je prodana, a nakon 2006. godine nije izdato nijedno odobrenje za uvoz sredstava za zaštitu bilja zasnovanih na POPs pesticidima.</w:t>
      </w:r>
    </w:p>
    <w:p w14:paraId="3FA8FF7C"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Uvoz biocida na bazi lindana i endosulfana bio je moguć i nakon 2009. godine. Prema Zakonu o hemikalijama (</w:t>
      </w:r>
      <w:r w:rsidRPr="00C86111">
        <w:rPr>
          <w:rFonts w:asciiTheme="minorHAnsi" w:hAnsiTheme="minorHAnsi" w:cstheme="minorHAnsi"/>
          <w:i/>
          <w:iCs/>
          <w:color w:val="auto"/>
          <w:szCs w:val="24"/>
        </w:rPr>
        <w:t>Službeni list Crne Gore</w:t>
      </w:r>
      <w:r w:rsidRPr="00C86111">
        <w:rPr>
          <w:rFonts w:asciiTheme="minorHAnsi" w:hAnsiTheme="minorHAnsi" w:cstheme="minorHAnsi"/>
          <w:color w:val="auto"/>
          <w:szCs w:val="24"/>
        </w:rPr>
        <w:t>, br. 11/2007) i ranijim propisima SRJ, Ministarstvo zdravlja odobrilo je uvoz ukupno 10.000 litara endosulfana (35% EC) u periodu 2007–2013. Od toga je uvezeno 8.000 litara, korišćeno za dezinsekciju staja i podrumskih prostora, a odgovoran uvoznik bio je V.U. „Veterinum“ iz Ulcinja, dok su dobavljači bili IPROCHEM Company Limited i Shenzhen Qinfeng Pesticides Co., Ltd.</w:t>
      </w:r>
    </w:p>
    <w:p w14:paraId="515E1E66"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Nakon 1. marta 2013. godine, odgovornost za uvoz hemikalija prešla je na Agenciju za zaštitu prirode i životne sredine. Prema podacima Agencije, od februara 2024. godine nije izdata nijedna dozvola za uvoz preparata zasnovanih na lindanu i endosulfanu.</w:t>
      </w:r>
    </w:p>
    <w:p w14:paraId="633142D8" w14:textId="77777777" w:rsidR="0081146A" w:rsidRPr="00C86111" w:rsidRDefault="0081146A" w:rsidP="00EA6904">
      <w:pPr>
        <w:pStyle w:val="Heading4"/>
      </w:pPr>
      <w:r w:rsidRPr="00C86111">
        <w:t>Pentahlorofenol</w:t>
      </w:r>
    </w:p>
    <w:p w14:paraId="73DE3EE5" w14:textId="20B9ED84"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Na sedmoj konferenciji ugovornih strana (2015. godine) donesena je odluka o izmjeni Aneksa A i C dodavanjem pentahlorofenola i njegovih soli i estera, čije su karakteristike date u Tabeli </w:t>
      </w:r>
      <w:r w:rsidR="00A12257" w:rsidRPr="00C86111">
        <w:rPr>
          <w:rFonts w:asciiTheme="minorHAnsi" w:hAnsiTheme="minorHAnsi" w:cstheme="minorHAnsi"/>
          <w:color w:val="auto"/>
          <w:szCs w:val="24"/>
        </w:rPr>
        <w:t>8</w:t>
      </w:r>
      <w:r w:rsidRPr="00C86111">
        <w:rPr>
          <w:rFonts w:asciiTheme="minorHAnsi" w:hAnsiTheme="minorHAnsi" w:cstheme="minorHAnsi"/>
          <w:color w:val="auto"/>
          <w:szCs w:val="24"/>
        </w:rPr>
        <w:t>.</w:t>
      </w:r>
    </w:p>
    <w:p w14:paraId="301FBCA5" w14:textId="77777777" w:rsidR="0081146A"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Pentahlorofenol (PCP) i njegove soli i esteri su navedeni u Aneksu A Konvencije sa specifičnim izuzecima za proizvodnju i upotrebu PCP-a za elektro stubove i njihove poprečne grede. Svaka Strana koja je registrovana za izuzetak u skladu sa Članom 4 za proizvodnju i upotrebu pentaklorofenola za elektro stubove i poprečne grede treba preduzeti neophodne mjere kako bi se osiguralo da elektro stubovi i poprečne grede koje sadrže pentahlorofenol mogu biti lako prepoznati putem označavanja ili na drugi način tokom svog životnog ciklusa. Artikli tretirani pentahlorofenolom ne smiju se ponovo koristiti u svrhe koje nisu izuzete.</w:t>
      </w:r>
    </w:p>
    <w:p w14:paraId="53EB6058" w14:textId="77777777" w:rsidR="00A84005" w:rsidRDefault="00A84005" w:rsidP="0081146A">
      <w:pPr>
        <w:jc w:val="both"/>
        <w:rPr>
          <w:rFonts w:asciiTheme="minorHAnsi" w:hAnsiTheme="minorHAnsi" w:cstheme="minorHAnsi"/>
          <w:color w:val="auto"/>
          <w:szCs w:val="24"/>
        </w:rPr>
      </w:pPr>
    </w:p>
    <w:p w14:paraId="1E3A729E" w14:textId="77777777" w:rsidR="00A84005" w:rsidRDefault="00A84005" w:rsidP="0081146A">
      <w:pPr>
        <w:jc w:val="both"/>
        <w:rPr>
          <w:rFonts w:asciiTheme="minorHAnsi" w:hAnsiTheme="minorHAnsi" w:cstheme="minorHAnsi"/>
          <w:color w:val="auto"/>
          <w:szCs w:val="24"/>
        </w:rPr>
      </w:pPr>
    </w:p>
    <w:p w14:paraId="51D77553" w14:textId="77777777" w:rsidR="00A84005" w:rsidRDefault="00A84005" w:rsidP="0081146A">
      <w:pPr>
        <w:jc w:val="both"/>
        <w:rPr>
          <w:rFonts w:asciiTheme="minorHAnsi" w:hAnsiTheme="minorHAnsi" w:cstheme="minorHAnsi"/>
          <w:color w:val="auto"/>
          <w:szCs w:val="24"/>
        </w:rPr>
      </w:pPr>
    </w:p>
    <w:p w14:paraId="54C6CCCC" w14:textId="77777777" w:rsidR="00A84005" w:rsidRDefault="00A84005" w:rsidP="0081146A">
      <w:pPr>
        <w:jc w:val="both"/>
        <w:rPr>
          <w:rFonts w:asciiTheme="minorHAnsi" w:hAnsiTheme="minorHAnsi" w:cstheme="minorHAnsi"/>
          <w:color w:val="auto"/>
          <w:szCs w:val="24"/>
        </w:rPr>
      </w:pPr>
    </w:p>
    <w:p w14:paraId="7329B6DA" w14:textId="77777777" w:rsidR="00A84005" w:rsidRDefault="00A84005" w:rsidP="0081146A">
      <w:pPr>
        <w:jc w:val="both"/>
        <w:rPr>
          <w:rFonts w:asciiTheme="minorHAnsi" w:hAnsiTheme="minorHAnsi" w:cstheme="minorHAnsi"/>
          <w:color w:val="auto"/>
          <w:szCs w:val="24"/>
        </w:rPr>
      </w:pPr>
    </w:p>
    <w:p w14:paraId="60AFC514" w14:textId="77777777" w:rsidR="00F562F0" w:rsidRDefault="00F562F0" w:rsidP="0081146A">
      <w:pPr>
        <w:jc w:val="both"/>
        <w:rPr>
          <w:rFonts w:asciiTheme="minorHAnsi" w:hAnsiTheme="minorHAnsi" w:cstheme="minorHAnsi"/>
          <w:color w:val="auto"/>
          <w:szCs w:val="24"/>
        </w:rPr>
      </w:pPr>
    </w:p>
    <w:p w14:paraId="445B328E" w14:textId="77777777" w:rsidR="00A84005" w:rsidRPr="00C86111" w:rsidRDefault="00A84005" w:rsidP="0081146A">
      <w:pPr>
        <w:jc w:val="both"/>
        <w:rPr>
          <w:rFonts w:asciiTheme="minorHAnsi" w:hAnsiTheme="minorHAnsi" w:cstheme="minorHAnsi"/>
          <w:color w:val="auto"/>
          <w:szCs w:val="24"/>
        </w:rPr>
      </w:pPr>
    </w:p>
    <w:p w14:paraId="58E9BF9E" w14:textId="77777777" w:rsidR="0081146A" w:rsidRPr="00C86111" w:rsidRDefault="0081146A" w:rsidP="0081146A">
      <w:pPr>
        <w:jc w:val="both"/>
        <w:rPr>
          <w:rFonts w:asciiTheme="minorHAnsi" w:hAnsiTheme="minorHAnsi" w:cstheme="minorHAnsi"/>
          <w:color w:val="auto"/>
          <w:szCs w:val="24"/>
        </w:rPr>
      </w:pPr>
    </w:p>
    <w:p w14:paraId="060950F4" w14:textId="588AA2C3"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b/>
          <w:bCs/>
          <w:color w:val="auto"/>
          <w:szCs w:val="24"/>
        </w:rPr>
        <w:lastRenderedPageBreak/>
        <w:t xml:space="preserve">Tabela </w:t>
      </w:r>
      <w:r w:rsidR="00A12257" w:rsidRPr="00C86111">
        <w:rPr>
          <w:rFonts w:asciiTheme="minorHAnsi" w:hAnsiTheme="minorHAnsi" w:cstheme="minorHAnsi"/>
          <w:b/>
          <w:bCs/>
          <w:color w:val="auto"/>
          <w:szCs w:val="24"/>
        </w:rPr>
        <w:t>8</w:t>
      </w:r>
      <w:r w:rsidRPr="00C86111">
        <w:rPr>
          <w:rFonts w:asciiTheme="minorHAnsi" w:hAnsiTheme="minorHAnsi" w:cstheme="minorHAnsi"/>
          <w:b/>
          <w:bCs/>
          <w:color w:val="auto"/>
          <w:szCs w:val="24"/>
        </w:rPr>
        <w:t>.</w:t>
      </w:r>
      <w:r w:rsidRPr="00C86111">
        <w:rPr>
          <w:rFonts w:asciiTheme="minorHAnsi" w:hAnsiTheme="minorHAnsi" w:cstheme="minorHAnsi"/>
          <w:color w:val="auto"/>
          <w:szCs w:val="24"/>
        </w:rPr>
        <w:t xml:space="preserve"> Osnovne informacije o pentahlorofenolu i njegovim solima i esterima</w:t>
      </w:r>
    </w:p>
    <w:tbl>
      <w:tblPr>
        <w:tblStyle w:val="GridTable5Dark-Accent6"/>
        <w:tblW w:w="9350" w:type="dxa"/>
        <w:tblLayout w:type="fixed"/>
        <w:tblLook w:val="04A0" w:firstRow="1" w:lastRow="0" w:firstColumn="1" w:lastColumn="0" w:noHBand="0" w:noVBand="1"/>
      </w:tblPr>
      <w:tblGrid>
        <w:gridCol w:w="2159"/>
        <w:gridCol w:w="3596"/>
        <w:gridCol w:w="3595"/>
      </w:tblGrid>
      <w:tr w:rsidR="0081146A" w:rsidRPr="00C86111" w14:paraId="6F50EAA5" w14:textId="77777777" w:rsidTr="00BC765B">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350" w:type="dxa"/>
            <w:gridSpan w:val="3"/>
          </w:tcPr>
          <w:p w14:paraId="196914D5" w14:textId="77777777" w:rsidR="0081146A" w:rsidRPr="00C86111" w:rsidRDefault="0081146A" w:rsidP="00BC765B">
            <w:pPr>
              <w:pStyle w:val="Text"/>
              <w:spacing w:before="120" w:after="60"/>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Pentahlorofenol i njegove soli i esteri</w:t>
            </w:r>
          </w:p>
        </w:tc>
      </w:tr>
      <w:tr w:rsidR="0081146A" w:rsidRPr="00C86111" w14:paraId="6B67F2A5" w14:textId="77777777" w:rsidTr="00BC765B">
        <w:trPr>
          <w:cnfStyle w:val="000000100000" w:firstRow="0" w:lastRow="0" w:firstColumn="0" w:lastColumn="0" w:oddVBand="0" w:evenVBand="0" w:oddHBand="1" w:evenHBand="0" w:firstRowFirstColumn="0" w:firstRowLastColumn="0" w:lastRowFirstColumn="0" w:lastRowLastColumn="0"/>
          <w:trHeight w:val="1660"/>
        </w:trPr>
        <w:tc>
          <w:tcPr>
            <w:cnfStyle w:val="001000000000" w:firstRow="0" w:lastRow="0" w:firstColumn="1" w:lastColumn="0" w:oddVBand="0" w:evenVBand="0" w:oddHBand="0" w:evenHBand="0" w:firstRowFirstColumn="0" w:firstRowLastColumn="0" w:lastRowFirstColumn="0" w:lastRowLastColumn="0"/>
            <w:tcW w:w="2159" w:type="dxa"/>
            <w:vMerge w:val="restart"/>
          </w:tcPr>
          <w:p w14:paraId="0E46AFC9"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de-DE"/>
              </w:rPr>
              <w:t>Struktura</w:t>
            </w:r>
          </w:p>
        </w:tc>
        <w:tc>
          <w:tcPr>
            <w:tcW w:w="3596" w:type="dxa"/>
          </w:tcPr>
          <w:p w14:paraId="48D25E9A"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noProof/>
                <w:color w:val="auto"/>
                <w:sz w:val="20"/>
                <w:szCs w:val="20"/>
              </w:rPr>
              <w:drawing>
                <wp:inline distT="0" distB="0" distL="0" distR="0" wp14:anchorId="7DDE710A" wp14:editId="59A38EC8">
                  <wp:extent cx="976422" cy="923925"/>
                  <wp:effectExtent l="0" t="0" r="0" b="0"/>
                  <wp:docPr id="1073741830" name="officeArt object" descr="Picture 1683074489"/>
                  <wp:cNvGraphicFramePr/>
                  <a:graphic xmlns:a="http://schemas.openxmlformats.org/drawingml/2006/main">
                    <a:graphicData uri="http://schemas.openxmlformats.org/drawingml/2006/picture">
                      <pic:pic xmlns:pic="http://schemas.openxmlformats.org/drawingml/2006/picture">
                        <pic:nvPicPr>
                          <pic:cNvPr id="1073741830" name="Picture 1683074489" descr="Picture 1683074489"/>
                          <pic:cNvPicPr>
                            <a:picLocks noChangeAspect="1"/>
                          </pic:cNvPicPr>
                        </pic:nvPicPr>
                        <pic:blipFill>
                          <a:blip r:embed="rId14"/>
                          <a:stretch>
                            <a:fillRect/>
                          </a:stretch>
                        </pic:blipFill>
                        <pic:spPr>
                          <a:xfrm>
                            <a:off x="0" y="0"/>
                            <a:ext cx="976422" cy="923925"/>
                          </a:xfrm>
                          <a:prstGeom prst="rect">
                            <a:avLst/>
                          </a:prstGeom>
                          <a:ln w="12700" cap="flat">
                            <a:noFill/>
                            <a:miter lim="400000"/>
                          </a:ln>
                          <a:effectLst/>
                        </pic:spPr>
                      </pic:pic>
                    </a:graphicData>
                  </a:graphic>
                </wp:inline>
              </w:drawing>
            </w:r>
          </w:p>
        </w:tc>
        <w:tc>
          <w:tcPr>
            <w:tcW w:w="3595" w:type="dxa"/>
          </w:tcPr>
          <w:p w14:paraId="498416B5"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noProof/>
                <w:color w:val="auto"/>
                <w:sz w:val="20"/>
                <w:szCs w:val="20"/>
              </w:rPr>
              <w:drawing>
                <wp:inline distT="0" distB="0" distL="0" distR="0" wp14:anchorId="72A97C20" wp14:editId="6B0BBFEC">
                  <wp:extent cx="1190625" cy="1007111"/>
                  <wp:effectExtent l="0" t="0" r="0" b="0"/>
                  <wp:docPr id="1073741831" name="officeArt object" descr="Picture 2026922577"/>
                  <wp:cNvGraphicFramePr/>
                  <a:graphic xmlns:a="http://schemas.openxmlformats.org/drawingml/2006/main">
                    <a:graphicData uri="http://schemas.openxmlformats.org/drawingml/2006/picture">
                      <pic:pic xmlns:pic="http://schemas.openxmlformats.org/drawingml/2006/picture">
                        <pic:nvPicPr>
                          <pic:cNvPr id="1073741831" name="Picture 2026922577" descr="Picture 2026922577"/>
                          <pic:cNvPicPr>
                            <a:picLocks noChangeAspect="1"/>
                          </pic:cNvPicPr>
                        </pic:nvPicPr>
                        <pic:blipFill>
                          <a:blip r:embed="rId15"/>
                          <a:stretch>
                            <a:fillRect/>
                          </a:stretch>
                        </pic:blipFill>
                        <pic:spPr>
                          <a:xfrm>
                            <a:off x="0" y="0"/>
                            <a:ext cx="1190625" cy="1007111"/>
                          </a:xfrm>
                          <a:prstGeom prst="rect">
                            <a:avLst/>
                          </a:prstGeom>
                          <a:ln w="12700" cap="flat">
                            <a:noFill/>
                            <a:miter lim="400000"/>
                          </a:ln>
                          <a:effectLst/>
                        </pic:spPr>
                      </pic:pic>
                    </a:graphicData>
                  </a:graphic>
                </wp:inline>
              </w:drawing>
            </w:r>
          </w:p>
        </w:tc>
      </w:tr>
      <w:tr w:rsidR="0081146A" w:rsidRPr="00C86111" w14:paraId="6E5C136F" w14:textId="77777777" w:rsidTr="00BC765B">
        <w:trPr>
          <w:trHeight w:val="290"/>
        </w:trPr>
        <w:tc>
          <w:tcPr>
            <w:cnfStyle w:val="001000000000" w:firstRow="0" w:lastRow="0" w:firstColumn="1" w:lastColumn="0" w:oddVBand="0" w:evenVBand="0" w:oddHBand="0" w:evenHBand="0" w:firstRowFirstColumn="0" w:firstRowLastColumn="0" w:lastRowFirstColumn="0" w:lastRowLastColumn="0"/>
            <w:tcW w:w="2159" w:type="dxa"/>
            <w:vMerge/>
          </w:tcPr>
          <w:p w14:paraId="0DD49C6E" w14:textId="77777777" w:rsidR="0081146A" w:rsidRPr="00C86111" w:rsidRDefault="0081146A" w:rsidP="00BC765B">
            <w:pPr>
              <w:jc w:val="both"/>
              <w:rPr>
                <w:rFonts w:asciiTheme="minorHAnsi" w:hAnsiTheme="minorHAnsi" w:cstheme="minorHAnsi"/>
                <w:color w:val="auto"/>
                <w:sz w:val="20"/>
                <w:szCs w:val="20"/>
              </w:rPr>
            </w:pPr>
          </w:p>
        </w:tc>
        <w:tc>
          <w:tcPr>
            <w:tcW w:w="3596" w:type="dxa"/>
          </w:tcPr>
          <w:p w14:paraId="3081DE6F"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Pentahlorofenol</w:t>
            </w:r>
          </w:p>
        </w:tc>
        <w:tc>
          <w:tcPr>
            <w:tcW w:w="3595" w:type="dxa"/>
          </w:tcPr>
          <w:p w14:paraId="013F2431"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Natrijum pentahlorofenat</w:t>
            </w:r>
          </w:p>
        </w:tc>
      </w:tr>
      <w:tr w:rsidR="0081146A" w:rsidRPr="00C86111" w14:paraId="3D962F86" w14:textId="77777777" w:rsidTr="00BC765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59" w:type="dxa"/>
          </w:tcPr>
          <w:p w14:paraId="5D628CE6"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CAS No.</w:t>
            </w:r>
          </w:p>
        </w:tc>
        <w:tc>
          <w:tcPr>
            <w:tcW w:w="3596" w:type="dxa"/>
          </w:tcPr>
          <w:p w14:paraId="28C43770"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87-86-5</w:t>
            </w:r>
          </w:p>
        </w:tc>
        <w:tc>
          <w:tcPr>
            <w:tcW w:w="3595" w:type="dxa"/>
          </w:tcPr>
          <w:p w14:paraId="0A8F7C0A"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131-52-2</w:t>
            </w:r>
          </w:p>
        </w:tc>
      </w:tr>
      <w:tr w:rsidR="0081146A" w:rsidRPr="00C86111" w14:paraId="117D2CFA" w14:textId="77777777" w:rsidTr="00BC765B">
        <w:trPr>
          <w:trHeight w:val="1557"/>
        </w:trPr>
        <w:tc>
          <w:tcPr>
            <w:cnfStyle w:val="001000000000" w:firstRow="0" w:lastRow="0" w:firstColumn="1" w:lastColumn="0" w:oddVBand="0" w:evenVBand="0" w:oddHBand="0" w:evenHBand="0" w:firstRowFirstColumn="0" w:firstRowLastColumn="0" w:lastRowFirstColumn="0" w:lastRowLastColumn="0"/>
            <w:tcW w:w="2159" w:type="dxa"/>
          </w:tcPr>
          <w:p w14:paraId="45AA01BE"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Upotreba I proizvodnja</w:t>
            </w:r>
          </w:p>
        </w:tc>
        <w:tc>
          <w:tcPr>
            <w:tcW w:w="7191" w:type="dxa"/>
            <w:gridSpan w:val="2"/>
          </w:tcPr>
          <w:p w14:paraId="2611BC9A" w14:textId="77777777" w:rsidR="0081146A" w:rsidRPr="00C86111" w:rsidRDefault="0081146A" w:rsidP="00BC765B">
            <w:pPr>
              <w:pStyle w:val="Text"/>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PCP se javlja u dvije forme: sam ili kao natrijumova so PCP-a, koja se lako rastvara u vodi. PCP se koristi kao herbicid, insekticid, fungicid, algicid, dezinfekciono sredstvo i kao sastojak zaštitnih boja. Takođe se primjenjuje na poljoprivrednom sjemenu, koži, za očuvanje šuma itd. Njegova upotreba je značajno smanjena zbog visoke toksičnosti PCP-a i spore biorazgradnje. Prvi put je proizveden 1930. godine i prisutan je na tržištu pod različitim trgovačkim imenima.</w:t>
            </w:r>
          </w:p>
        </w:tc>
      </w:tr>
      <w:tr w:rsidR="0081146A" w:rsidRPr="00C86111" w14:paraId="5B75D1DA" w14:textId="77777777" w:rsidTr="00BC765B">
        <w:trPr>
          <w:cnfStyle w:val="000000100000" w:firstRow="0" w:lastRow="0" w:firstColumn="0" w:lastColumn="0" w:oddVBand="0" w:evenVBand="0" w:oddHBand="1" w:evenHBand="0" w:firstRowFirstColumn="0" w:firstRowLastColumn="0" w:lastRowFirstColumn="0" w:lastRowLastColumn="0"/>
          <w:trHeight w:val="1629"/>
        </w:trPr>
        <w:tc>
          <w:tcPr>
            <w:cnfStyle w:val="001000000000" w:firstRow="0" w:lastRow="0" w:firstColumn="1" w:lastColumn="0" w:oddVBand="0" w:evenVBand="0" w:oddHBand="0" w:evenHBand="0" w:firstRowFirstColumn="0" w:firstRowLastColumn="0" w:lastRowFirstColumn="0" w:lastRowLastColumn="0"/>
            <w:tcW w:w="2159" w:type="dxa"/>
          </w:tcPr>
          <w:p w14:paraId="0A331BCF"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POPs karakteristike</w:t>
            </w:r>
          </w:p>
        </w:tc>
        <w:tc>
          <w:tcPr>
            <w:tcW w:w="7191" w:type="dxa"/>
            <w:gridSpan w:val="2"/>
          </w:tcPr>
          <w:p w14:paraId="65BE9563" w14:textId="77777777" w:rsidR="0081146A" w:rsidRPr="00C86111" w:rsidRDefault="0081146A" w:rsidP="00BC765B">
            <w:pPr>
              <w:pStyle w:val="Text"/>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Ljudi mogu biti izloženi PCP-u na radnom mjestu udisanjem kontaminiranog zraka, kontaktom sa kožom ili drvetom tretiranim PCP-om. Kratkotrajna izloženost velikim količinama PCP-a može izazvati štetne efekte na jetru, bubrege, krv, pluća, nervni i imunološki sistem. Groznica, pojazano znojenje, neusklađeni pokreti, grčevi mišića i koma su dodatni neželjeni efekti. Kontakt sa PCP-om može iritirati kožu, oči i usta. Izloženost PCP-u povezana je i sa kancerogenim, bubrežnim i neurološkim efektima</w:t>
            </w:r>
          </w:p>
        </w:tc>
      </w:tr>
      <w:tr w:rsidR="0081146A" w:rsidRPr="00C86111" w14:paraId="1A91A277" w14:textId="77777777" w:rsidTr="00BC765B">
        <w:trPr>
          <w:trHeight w:val="290"/>
        </w:trPr>
        <w:tc>
          <w:tcPr>
            <w:cnfStyle w:val="001000000000" w:firstRow="0" w:lastRow="0" w:firstColumn="1" w:lastColumn="0" w:oddVBand="0" w:evenVBand="0" w:oddHBand="0" w:evenHBand="0" w:firstRowFirstColumn="0" w:firstRowLastColumn="0" w:lastRowFirstColumn="0" w:lastRowLastColumn="0"/>
            <w:tcW w:w="2159" w:type="dxa"/>
          </w:tcPr>
          <w:p w14:paraId="52007EB2"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de-DE"/>
              </w:rPr>
              <w:t>Alternative</w:t>
            </w:r>
          </w:p>
        </w:tc>
        <w:tc>
          <w:tcPr>
            <w:tcW w:w="7191" w:type="dxa"/>
            <w:gridSpan w:val="2"/>
          </w:tcPr>
          <w:p w14:paraId="78095F15"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Postoje hemijske i nehemijske alternative.</w:t>
            </w:r>
          </w:p>
        </w:tc>
      </w:tr>
    </w:tbl>
    <w:p w14:paraId="0EB1224F" w14:textId="77777777" w:rsidR="0081146A" w:rsidRPr="00C86111" w:rsidRDefault="0081146A" w:rsidP="00EA6904">
      <w:pPr>
        <w:pStyle w:val="Heading4"/>
      </w:pPr>
      <w:r w:rsidRPr="00C86111">
        <w:t>Dikofol</w:t>
      </w:r>
    </w:p>
    <w:p w14:paraId="3C7DF5A2" w14:textId="3FC0215B"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Dikofol je uključen u Aneks A, dio I, Stokholmske konvencije bez specifičnih izuzetaka. Osnovne karakteristike su date u Tabeli </w:t>
      </w:r>
      <w:r w:rsidR="00A12257" w:rsidRPr="00C86111">
        <w:rPr>
          <w:rFonts w:asciiTheme="minorHAnsi" w:hAnsiTheme="minorHAnsi" w:cstheme="minorHAnsi"/>
          <w:color w:val="auto"/>
          <w:szCs w:val="24"/>
        </w:rPr>
        <w:t>9</w:t>
      </w:r>
      <w:r w:rsidRPr="00C86111">
        <w:rPr>
          <w:rFonts w:asciiTheme="minorHAnsi" w:hAnsiTheme="minorHAnsi" w:cstheme="minorHAnsi"/>
          <w:color w:val="auto"/>
          <w:szCs w:val="24"/>
        </w:rPr>
        <w:t>.</w:t>
      </w:r>
    </w:p>
    <w:p w14:paraId="24EF639F" w14:textId="77777777" w:rsidR="0081146A" w:rsidRPr="00C86111" w:rsidRDefault="0081146A" w:rsidP="0081146A">
      <w:pPr>
        <w:jc w:val="both"/>
        <w:rPr>
          <w:rFonts w:asciiTheme="minorHAnsi" w:hAnsiTheme="minorHAnsi" w:cstheme="minorHAnsi"/>
          <w:color w:val="auto"/>
          <w:szCs w:val="24"/>
        </w:rPr>
      </w:pPr>
    </w:p>
    <w:p w14:paraId="0ECD916C" w14:textId="53003622"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Tabela </w:t>
      </w:r>
      <w:r w:rsidR="00A12257" w:rsidRPr="00C86111">
        <w:rPr>
          <w:rFonts w:asciiTheme="minorHAnsi" w:hAnsiTheme="minorHAnsi" w:cstheme="minorHAnsi"/>
          <w:b/>
          <w:bCs/>
          <w:color w:val="auto"/>
          <w:szCs w:val="24"/>
        </w:rPr>
        <w:t>9</w:t>
      </w:r>
      <w:r w:rsidRPr="00C86111">
        <w:rPr>
          <w:rFonts w:asciiTheme="minorHAnsi" w:hAnsiTheme="minorHAnsi" w:cstheme="minorHAnsi"/>
          <w:b/>
          <w:bCs/>
          <w:color w:val="auto"/>
          <w:szCs w:val="24"/>
        </w:rPr>
        <w:t>.</w:t>
      </w:r>
      <w:r w:rsidRPr="00C86111">
        <w:rPr>
          <w:rFonts w:asciiTheme="minorHAnsi" w:hAnsiTheme="minorHAnsi" w:cstheme="minorHAnsi"/>
          <w:color w:val="auto"/>
          <w:szCs w:val="24"/>
        </w:rPr>
        <w:t xml:space="preserve"> Osnovne karakteristike dikofola</w:t>
      </w:r>
    </w:p>
    <w:tbl>
      <w:tblPr>
        <w:tblStyle w:val="GridTable5Dark-Accent6"/>
        <w:tblW w:w="9350" w:type="dxa"/>
        <w:tblLayout w:type="fixed"/>
        <w:tblLook w:val="04A0" w:firstRow="1" w:lastRow="0" w:firstColumn="1" w:lastColumn="0" w:noHBand="0" w:noVBand="1"/>
      </w:tblPr>
      <w:tblGrid>
        <w:gridCol w:w="1885"/>
        <w:gridCol w:w="3510"/>
        <w:gridCol w:w="3955"/>
      </w:tblGrid>
      <w:tr w:rsidR="0081146A" w:rsidRPr="00C86111" w14:paraId="5F678EC6" w14:textId="77777777" w:rsidTr="00BC765B">
        <w:trPr>
          <w:cnfStyle w:val="100000000000" w:firstRow="1" w:lastRow="0" w:firstColumn="0" w:lastColumn="0" w:oddVBand="0" w:evenVBand="0" w:oddHBand="0"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9350" w:type="dxa"/>
            <w:gridSpan w:val="3"/>
          </w:tcPr>
          <w:p w14:paraId="524C97C7" w14:textId="77777777" w:rsidR="0081146A" w:rsidRPr="00C86111" w:rsidRDefault="0081146A" w:rsidP="00BC765B">
            <w:pPr>
              <w:pStyle w:val="Text"/>
              <w:spacing w:before="120" w:after="60"/>
              <w:jc w:val="both"/>
              <w:rPr>
                <w:rFonts w:asciiTheme="minorHAnsi" w:hAnsiTheme="minorHAnsi" w:cstheme="minorHAnsi"/>
                <w:b w:val="0"/>
                <w:bCs w:val="0"/>
                <w:color w:val="auto"/>
                <w:sz w:val="20"/>
                <w:szCs w:val="20"/>
              </w:rPr>
            </w:pPr>
            <w:r w:rsidRPr="00C86111">
              <w:rPr>
                <w:rFonts w:asciiTheme="minorHAnsi" w:hAnsiTheme="minorHAnsi" w:cstheme="minorHAnsi"/>
                <w:color w:val="auto"/>
                <w:kern w:val="0"/>
                <w:sz w:val="20"/>
                <w:szCs w:val="20"/>
              </w:rPr>
              <w:t>Dikofol</w:t>
            </w:r>
          </w:p>
        </w:tc>
      </w:tr>
      <w:tr w:rsidR="0081146A" w:rsidRPr="00C86111" w14:paraId="748E1F17" w14:textId="77777777" w:rsidTr="00BC765B">
        <w:trPr>
          <w:cnfStyle w:val="000000100000" w:firstRow="0" w:lastRow="0" w:firstColumn="0" w:lastColumn="0" w:oddVBand="0" w:evenVBand="0" w:oddHBand="1" w:evenHBand="0" w:firstRowFirstColumn="0" w:firstRowLastColumn="0" w:lastRowFirstColumn="0" w:lastRowLastColumn="0"/>
          <w:trHeight w:val="1407"/>
        </w:trPr>
        <w:tc>
          <w:tcPr>
            <w:cnfStyle w:val="001000000000" w:firstRow="0" w:lastRow="0" w:firstColumn="1" w:lastColumn="0" w:oddVBand="0" w:evenVBand="0" w:oddHBand="0" w:evenHBand="0" w:firstRowFirstColumn="0" w:firstRowLastColumn="0" w:lastRowFirstColumn="0" w:lastRowLastColumn="0"/>
            <w:tcW w:w="1885" w:type="dxa"/>
            <w:vMerge w:val="restart"/>
          </w:tcPr>
          <w:p w14:paraId="22DD27D6" w14:textId="77777777" w:rsidR="0081146A" w:rsidRPr="00C86111" w:rsidRDefault="0081146A" w:rsidP="00BC765B">
            <w:pPr>
              <w:pStyle w:val="Text"/>
              <w:spacing w:before="120" w:after="60" w:line="240" w:lineRule="auto"/>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lang w:val="de-DE"/>
              </w:rPr>
              <w:t>Struktura</w:t>
            </w:r>
          </w:p>
        </w:tc>
        <w:tc>
          <w:tcPr>
            <w:tcW w:w="3510" w:type="dxa"/>
          </w:tcPr>
          <w:p w14:paraId="194DF16B"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noProof/>
                <w:color w:val="auto"/>
                <w:sz w:val="20"/>
                <w:szCs w:val="20"/>
              </w:rPr>
              <w:drawing>
                <wp:inline distT="0" distB="0" distL="0" distR="0" wp14:anchorId="3CCEBAF1" wp14:editId="61E69347">
                  <wp:extent cx="1859441" cy="807790"/>
                  <wp:effectExtent l="0" t="0" r="0" b="0"/>
                  <wp:docPr id="2" name="officeArt object" descr="Picture 1"/>
                  <wp:cNvGraphicFramePr/>
                  <a:graphic xmlns:a="http://schemas.openxmlformats.org/drawingml/2006/main">
                    <a:graphicData uri="http://schemas.openxmlformats.org/drawingml/2006/picture">
                      <pic:pic xmlns:pic="http://schemas.openxmlformats.org/drawingml/2006/picture">
                        <pic:nvPicPr>
                          <pic:cNvPr id="1073741832" name="Picture 1" descr="Picture 1"/>
                          <pic:cNvPicPr>
                            <a:picLocks noChangeAspect="1"/>
                          </pic:cNvPicPr>
                        </pic:nvPicPr>
                        <pic:blipFill>
                          <a:blip r:embed="rId16"/>
                          <a:stretch>
                            <a:fillRect/>
                          </a:stretch>
                        </pic:blipFill>
                        <pic:spPr>
                          <a:xfrm>
                            <a:off x="0" y="0"/>
                            <a:ext cx="1859441" cy="807790"/>
                          </a:xfrm>
                          <a:prstGeom prst="rect">
                            <a:avLst/>
                          </a:prstGeom>
                          <a:ln w="12700" cap="flat">
                            <a:noFill/>
                            <a:miter lim="400000"/>
                          </a:ln>
                          <a:effectLst/>
                        </pic:spPr>
                      </pic:pic>
                    </a:graphicData>
                  </a:graphic>
                </wp:inline>
              </w:drawing>
            </w:r>
          </w:p>
        </w:tc>
        <w:tc>
          <w:tcPr>
            <w:tcW w:w="3955" w:type="dxa"/>
          </w:tcPr>
          <w:p w14:paraId="5E3363F2"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noProof/>
                <w:color w:val="auto"/>
                <w:sz w:val="20"/>
                <w:szCs w:val="20"/>
              </w:rPr>
              <w:drawing>
                <wp:inline distT="0" distB="0" distL="0" distR="0" wp14:anchorId="65AD01ED" wp14:editId="392FD9F5">
                  <wp:extent cx="1714649" cy="845893"/>
                  <wp:effectExtent l="0" t="0" r="0" b="0"/>
                  <wp:docPr id="1073741833" name="officeArt object" descr="Picture 1"/>
                  <wp:cNvGraphicFramePr/>
                  <a:graphic xmlns:a="http://schemas.openxmlformats.org/drawingml/2006/main">
                    <a:graphicData uri="http://schemas.openxmlformats.org/drawingml/2006/picture">
                      <pic:pic xmlns:pic="http://schemas.openxmlformats.org/drawingml/2006/picture">
                        <pic:nvPicPr>
                          <pic:cNvPr id="1073741833" name="Picture 1" descr="Picture 1"/>
                          <pic:cNvPicPr>
                            <a:picLocks noChangeAspect="1"/>
                          </pic:cNvPicPr>
                        </pic:nvPicPr>
                        <pic:blipFill>
                          <a:blip r:embed="rId17"/>
                          <a:stretch>
                            <a:fillRect/>
                          </a:stretch>
                        </pic:blipFill>
                        <pic:spPr>
                          <a:xfrm>
                            <a:off x="0" y="0"/>
                            <a:ext cx="1714649" cy="845893"/>
                          </a:xfrm>
                          <a:prstGeom prst="rect">
                            <a:avLst/>
                          </a:prstGeom>
                          <a:ln w="12700" cap="flat">
                            <a:noFill/>
                            <a:miter lim="400000"/>
                          </a:ln>
                          <a:effectLst/>
                        </pic:spPr>
                      </pic:pic>
                    </a:graphicData>
                  </a:graphic>
                </wp:inline>
              </w:drawing>
            </w:r>
          </w:p>
        </w:tc>
      </w:tr>
      <w:tr w:rsidR="0081146A" w:rsidRPr="00C86111" w14:paraId="16010057" w14:textId="77777777" w:rsidTr="00BC765B">
        <w:trPr>
          <w:trHeight w:val="290"/>
        </w:trPr>
        <w:tc>
          <w:tcPr>
            <w:cnfStyle w:val="001000000000" w:firstRow="0" w:lastRow="0" w:firstColumn="1" w:lastColumn="0" w:oddVBand="0" w:evenVBand="0" w:oddHBand="0" w:evenHBand="0" w:firstRowFirstColumn="0" w:firstRowLastColumn="0" w:lastRowFirstColumn="0" w:lastRowLastColumn="0"/>
            <w:tcW w:w="1885" w:type="dxa"/>
            <w:vMerge/>
          </w:tcPr>
          <w:p w14:paraId="0B4BAFF1" w14:textId="77777777" w:rsidR="0081146A" w:rsidRPr="00C86111" w:rsidRDefault="0081146A" w:rsidP="00BC765B">
            <w:pPr>
              <w:jc w:val="both"/>
              <w:rPr>
                <w:rFonts w:asciiTheme="minorHAnsi" w:hAnsiTheme="minorHAnsi" w:cstheme="minorHAnsi"/>
                <w:b w:val="0"/>
                <w:bCs w:val="0"/>
                <w:color w:val="auto"/>
                <w:sz w:val="20"/>
                <w:szCs w:val="20"/>
              </w:rPr>
            </w:pPr>
          </w:p>
        </w:tc>
        <w:tc>
          <w:tcPr>
            <w:tcW w:w="3510" w:type="dxa"/>
          </w:tcPr>
          <w:p w14:paraId="71A96A51"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es-ES_tradnl"/>
              </w:rPr>
              <w:t>p,p'-dikofol</w:t>
            </w:r>
          </w:p>
        </w:tc>
        <w:tc>
          <w:tcPr>
            <w:tcW w:w="3955" w:type="dxa"/>
          </w:tcPr>
          <w:p w14:paraId="0B60A75B"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es-ES_tradnl"/>
              </w:rPr>
              <w:t>o,p'-dikofol</w:t>
            </w:r>
          </w:p>
        </w:tc>
      </w:tr>
      <w:tr w:rsidR="0081146A" w:rsidRPr="00C86111" w14:paraId="625738A4" w14:textId="77777777" w:rsidTr="00BC765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85" w:type="dxa"/>
          </w:tcPr>
          <w:p w14:paraId="3F76B883" w14:textId="77777777" w:rsidR="0081146A" w:rsidRPr="00C86111" w:rsidRDefault="0081146A" w:rsidP="00BC765B">
            <w:pPr>
              <w:pStyle w:val="Text"/>
              <w:spacing w:before="120" w:after="60" w:line="240" w:lineRule="auto"/>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CAS No.</w:t>
            </w:r>
          </w:p>
        </w:tc>
        <w:tc>
          <w:tcPr>
            <w:tcW w:w="3510" w:type="dxa"/>
          </w:tcPr>
          <w:p w14:paraId="48914830"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152-32-2</w:t>
            </w:r>
          </w:p>
        </w:tc>
        <w:tc>
          <w:tcPr>
            <w:tcW w:w="3955" w:type="dxa"/>
          </w:tcPr>
          <w:p w14:paraId="088B4809" w14:textId="77777777" w:rsidR="0081146A" w:rsidRPr="00C86111" w:rsidRDefault="0081146A" w:rsidP="00BC765B">
            <w:pPr>
              <w:pStyle w:val="Text"/>
              <w:spacing w:before="120" w:after="6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10606-46-9</w:t>
            </w:r>
          </w:p>
        </w:tc>
      </w:tr>
      <w:tr w:rsidR="0081146A" w:rsidRPr="00C86111" w14:paraId="7C03C5DF" w14:textId="77777777" w:rsidTr="00BC765B">
        <w:trPr>
          <w:trHeight w:val="2250"/>
        </w:trPr>
        <w:tc>
          <w:tcPr>
            <w:cnfStyle w:val="001000000000" w:firstRow="0" w:lastRow="0" w:firstColumn="1" w:lastColumn="0" w:oddVBand="0" w:evenVBand="0" w:oddHBand="0" w:evenHBand="0" w:firstRowFirstColumn="0" w:firstRowLastColumn="0" w:lastRowFirstColumn="0" w:lastRowLastColumn="0"/>
            <w:tcW w:w="1885" w:type="dxa"/>
          </w:tcPr>
          <w:p w14:paraId="4724CE55" w14:textId="77777777" w:rsidR="0081146A" w:rsidRPr="00C86111" w:rsidRDefault="0081146A" w:rsidP="00BC765B">
            <w:pPr>
              <w:pStyle w:val="Text"/>
              <w:spacing w:before="120" w:after="60" w:line="240" w:lineRule="auto"/>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lastRenderedPageBreak/>
              <w:t>Upotreba I proizvodnja</w:t>
            </w:r>
          </w:p>
        </w:tc>
        <w:tc>
          <w:tcPr>
            <w:tcW w:w="7465" w:type="dxa"/>
            <w:gridSpan w:val="2"/>
          </w:tcPr>
          <w:p w14:paraId="6A0C7C27" w14:textId="77777777" w:rsidR="0081146A" w:rsidRPr="00C86111" w:rsidRDefault="0081146A" w:rsidP="00BC765B">
            <w:pPr>
              <w:pStyle w:val="Text"/>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Dicofol je organohlorni pesticid koji se sastoji od dva izomera (p,p'-dicofol i o,p'-dicofol). Tehnički dicofol sadrži 80–85% p,p'-dicofola i 15–20% o,p'-dicofola uz prijavljeni raspon varijacija u DDT-u i drugim nečistoćama. Dicofol se prodaje od sredine 1950-ih kao pesticid protiv grinja i koristi se prvenstveno u Istočnoj i Jugoistočnoj Aziji, na mediteranskoj obali i u Sjevernoj i Centralnoj Americi. Dicofol je ograničen ili zabranjen u mnogim zemljama, a njegova upotreba se značajno smanjila u posljednjoj deceniji (otprilike 80% od 2000. do 2012.).</w:t>
            </w:r>
          </w:p>
        </w:tc>
      </w:tr>
      <w:tr w:rsidR="0081146A" w:rsidRPr="00C86111" w14:paraId="3CA746CD" w14:textId="77777777" w:rsidTr="00BC765B">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885" w:type="dxa"/>
          </w:tcPr>
          <w:p w14:paraId="37CAF6D2" w14:textId="77777777" w:rsidR="0081146A" w:rsidRPr="00C86111" w:rsidRDefault="0081146A" w:rsidP="00BC765B">
            <w:pPr>
              <w:pStyle w:val="Text"/>
              <w:spacing w:before="120" w:after="60" w:line="240" w:lineRule="auto"/>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POPs karakteristike</w:t>
            </w:r>
          </w:p>
        </w:tc>
        <w:tc>
          <w:tcPr>
            <w:tcW w:w="7465" w:type="dxa"/>
            <w:gridSpan w:val="2"/>
          </w:tcPr>
          <w:p w14:paraId="006BA50B" w14:textId="77777777" w:rsidR="0081146A" w:rsidRPr="00C86111" w:rsidRDefault="0081146A" w:rsidP="00BC765B">
            <w:pPr>
              <w:pStyle w:val="Text"/>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Glavni degradati dicofola sa većom postojanošću od samog dicofola uključuju DCBP (dihlorbenzofenon), FW-152 (2,2-dihloro-1,1-bis(4-klorfenil)etanol), DCBH (dihlorbenzhidrol), OH-DCBP (3-hidroksi-dihlorbenzofenon) i DCBA (dihlorbenzilna kiselina). DCBP, FW-152 i DCBH su se akumulirali u studiji voda/sedimenti i mogu se klasifikovati kao postojani u sedimentima. US EPA (2009) predložila je poluvijek od 313 dana u tlu za p,p’-dicofol plus glavne degradate i 32 dana za sam p,p’-dicofol u blago alkalnim uslovima. Dicofol pokazuje umjerenu akutnu toksičnost kod sisara; uobičajeni znaci toksičnosti uključuju smanjenu spontanu motornu aktivnost, ataksiju, pasivnost, pospanost, slabost i povremene tremore. Hronična toksična dejstva pogađaju jetru, štitnu žlijezdu, nadbubrežne žlijezde, mozak, srce i testise. Brojne nedavne in vitro studije pokazuju interakciju sa endokrinim sistemom, aktivnost vezivanja za proteine, indukciju enzima i interferenciju sa drugim hemikalijama. U Evropi je razvijen prioritetni spisak za hemikalije koje ometaju endokrini sistem (EDC) kako bi se pomoglo u djelovanju na one sa najvišim prioritetom. Razmatrane podkategorije bile su: kategorija 1 (dokaz endokrine aktivnosti kod barem jedne vrste koristeći intactne životinje), kategorija 2 (barem neki in vitro dokazi biološke aktivnosti na endokrinu disrupciju) ili kategorija 3 (nema dokaza endokrine disrupcije ili nema dostupnih podataka). Na osnovu pregleda dostupnih dokaza, dicofol je svrstan u kategoriju 2 za divlje životinje i kategoriju 3 za ljude (DHI, 2007). Dicofol je u novije vrijeme takođe razmatran kao primjer u širem pregledu potencijalnih EDC supstanci u Evropi od Kortenkampa et al. (2012), koji se poziva na studiju Robertsa (2007) o razvoju neurotoksičnosti kod djece putem mehanizama endokrine disrupcije uzrokovane dicofolom.</w:t>
            </w:r>
          </w:p>
        </w:tc>
      </w:tr>
      <w:tr w:rsidR="0081146A" w:rsidRPr="00C86111" w14:paraId="7ACDBA8B" w14:textId="77777777" w:rsidTr="00BC765B">
        <w:trPr>
          <w:trHeight w:val="630"/>
        </w:trPr>
        <w:tc>
          <w:tcPr>
            <w:cnfStyle w:val="001000000000" w:firstRow="0" w:lastRow="0" w:firstColumn="1" w:lastColumn="0" w:oddVBand="0" w:evenVBand="0" w:oddHBand="0" w:evenHBand="0" w:firstRowFirstColumn="0" w:firstRowLastColumn="0" w:lastRowFirstColumn="0" w:lastRowLastColumn="0"/>
            <w:tcW w:w="1885" w:type="dxa"/>
          </w:tcPr>
          <w:p w14:paraId="7853FBF7" w14:textId="77777777" w:rsidR="0081146A" w:rsidRPr="00C86111" w:rsidRDefault="0081146A" w:rsidP="00BC765B">
            <w:pPr>
              <w:pStyle w:val="Text"/>
              <w:spacing w:before="120" w:after="60" w:line="240" w:lineRule="auto"/>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de-DE"/>
              </w:rPr>
              <w:t>Alternative</w:t>
            </w:r>
          </w:p>
        </w:tc>
        <w:tc>
          <w:tcPr>
            <w:tcW w:w="7465" w:type="dxa"/>
            <w:gridSpan w:val="2"/>
          </w:tcPr>
          <w:p w14:paraId="48F621B3" w14:textId="77777777" w:rsidR="0081146A" w:rsidRPr="00C86111" w:rsidRDefault="0081146A" w:rsidP="00BC765B">
            <w:pPr>
              <w:pStyle w:val="Text"/>
              <w:spacing w:before="120" w:after="6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kern w:val="0"/>
                <w:sz w:val="20"/>
                <w:szCs w:val="20"/>
              </w:rPr>
            </w:pPr>
            <w:r w:rsidRPr="00C86111">
              <w:rPr>
                <w:rFonts w:asciiTheme="minorHAnsi" w:hAnsiTheme="minorHAnsi" w:cstheme="minorHAnsi"/>
                <w:color w:val="auto"/>
                <w:kern w:val="0"/>
                <w:sz w:val="20"/>
                <w:szCs w:val="20"/>
              </w:rPr>
              <w:t>Postoje hemijske alternative</w:t>
            </w:r>
          </w:p>
          <w:p w14:paraId="2577AA51" w14:textId="77777777" w:rsidR="0081146A" w:rsidRPr="00C86111" w:rsidRDefault="009756DA" w:rsidP="00BC765B">
            <w:pPr>
              <w:pStyle w:val="Text"/>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hyperlink r:id="rId18" w:history="1">
              <w:r w:rsidR="0081146A" w:rsidRPr="00C86111">
                <w:rPr>
                  <w:rStyle w:val="Hyperlink1"/>
                  <w:rFonts w:asciiTheme="minorHAnsi" w:hAnsiTheme="minorHAnsi" w:cstheme="minorHAnsi"/>
                  <w:color w:val="auto"/>
                  <w:sz w:val="20"/>
                  <w:szCs w:val="20"/>
                </w:rPr>
                <w:t>https://chm.pops.int/Implementation/Alternatives/AlternativestoPOPs/ChemicalslistedinAnnexA/Dicofol/tabid/8291/Default.aspx</w:t>
              </w:r>
            </w:hyperlink>
          </w:p>
        </w:tc>
      </w:tr>
    </w:tbl>
    <w:p w14:paraId="417A4D86" w14:textId="77777777" w:rsidR="0081146A" w:rsidRPr="00C86111" w:rsidRDefault="0081146A" w:rsidP="0081146A">
      <w:pPr>
        <w:jc w:val="both"/>
        <w:rPr>
          <w:rFonts w:asciiTheme="minorHAnsi" w:hAnsiTheme="minorHAnsi" w:cstheme="minorHAnsi"/>
          <w:color w:val="auto"/>
          <w:szCs w:val="24"/>
        </w:rPr>
      </w:pPr>
    </w:p>
    <w:p w14:paraId="0BFCDE3B"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Dikofol je imao registraciju za upotrebu do 2002. godine u Srbiji i Crnoj Gori (bivša Jugoslavija). Časopis "Biljni lekar", koji objavljuje Poljoprivredni fakultet u Novom Sadu, izdavao je svake dvije godine poseban broj sa spiskom registrovanih poljoprivrednih pripravaka za teritoriju Savezne Republike Jugoslavije. U dostupnim izdanjima iz 1995., 1997., 1999. i 2001. godine mogao se naći registrovani proizvod sa aktivnom supstancom dikofol.</w:t>
      </w:r>
    </w:p>
    <w:p w14:paraId="7EE63B05"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U izdanju iz 1995. godine navedeni su proizvodi Dikofol 200EC (200 g/l) proizveden od strane Zorka-ATH, Subotica, i Kelthane-E (200 g/l), proizveden od strane Rhom and Hass, Milano / Galenika Zemun. Ovi proizvodi su bili registrovani za suzbijanje grinja (akaricid) u voćnjacima, vinogradima i ukrasnim biljkama.</w:t>
      </w:r>
    </w:p>
    <w:p w14:paraId="61733ADB"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U izdanjima iz 1997., 1999. i 2001. godine naveden je samo jedan registrovani proizvod, i to Dikofol 200EC (200 g/l), proizveden od strane Zorka-ATH, Subotica.</w:t>
      </w:r>
    </w:p>
    <w:p w14:paraId="1CA5D022"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U publikaciji "Pesticidi u poljoprivredi i šumarstvu u Jugoslaviji" (četrnaesto, revidirano i prošireno izdanje) iz 2002. godine, nije bilo navedenog proizvoda koji sadrži dikofol među registrovanim pripravcima.</w:t>
      </w:r>
    </w:p>
    <w:p w14:paraId="2EA7F8A0" w14:textId="48CC8656" w:rsidR="0081146A" w:rsidRPr="00C86111" w:rsidRDefault="0081146A" w:rsidP="0081146A">
      <w:pPr>
        <w:jc w:val="both"/>
        <w:rPr>
          <w:rFonts w:asciiTheme="minorHAnsi" w:hAnsiTheme="minorHAnsi" w:cstheme="minorHAnsi"/>
          <w:vanish/>
          <w:color w:val="auto"/>
          <w:szCs w:val="24"/>
        </w:rPr>
      </w:pPr>
      <w:r w:rsidRPr="00C86111">
        <w:rPr>
          <w:rFonts w:asciiTheme="minorHAnsi" w:hAnsiTheme="minorHAnsi" w:cstheme="minorHAnsi"/>
          <w:color w:val="auto"/>
          <w:szCs w:val="24"/>
        </w:rPr>
        <w:t>Od 2008. godine, pentahlorfenol i dikofol se više ne koriste kao sredstva za zaštitu bilja niti se nalaze na listi aktivnih supstanci dozvoljenih za upotrebu u sredstvima za zaštitu bilja.</w:t>
      </w:r>
      <w:r w:rsidRPr="00C86111">
        <w:rPr>
          <w:rFonts w:asciiTheme="minorHAnsi" w:hAnsiTheme="minorHAnsi" w:cstheme="minorHAnsi"/>
          <w:vanish/>
          <w:color w:val="auto"/>
          <w:szCs w:val="24"/>
        </w:rPr>
        <w:t>Top of Form</w:t>
      </w:r>
    </w:p>
    <w:p w14:paraId="7CF9F148" w14:textId="77777777" w:rsidR="0081146A" w:rsidRPr="00C86111" w:rsidRDefault="0081146A" w:rsidP="0081146A">
      <w:pPr>
        <w:jc w:val="both"/>
        <w:rPr>
          <w:rFonts w:asciiTheme="minorHAnsi" w:hAnsiTheme="minorHAnsi" w:cstheme="minorHAnsi"/>
          <w:color w:val="auto"/>
          <w:szCs w:val="24"/>
        </w:rPr>
      </w:pPr>
    </w:p>
    <w:p w14:paraId="6F148B1E" w14:textId="77777777" w:rsidR="0081146A" w:rsidRPr="00C86111" w:rsidRDefault="0081146A" w:rsidP="00004F34">
      <w:pPr>
        <w:pStyle w:val="Heading1"/>
        <w:numPr>
          <w:ilvl w:val="1"/>
          <w:numId w:val="238"/>
        </w:numPr>
      </w:pPr>
      <w:bookmarkStart w:id="27" w:name="_Toc220541860"/>
      <w:r w:rsidRPr="00C86111">
        <w:t>Evaluacija nalaza inventara</w:t>
      </w:r>
      <w:bookmarkEnd w:id="27"/>
    </w:p>
    <w:p w14:paraId="0229EDB2" w14:textId="07A02905" w:rsidR="0081146A" w:rsidRPr="00C86111" w:rsidRDefault="0081146A" w:rsidP="00EA6904">
      <w:pPr>
        <w:pStyle w:val="Heading4"/>
        <w:rPr>
          <w:color w:val="auto"/>
        </w:rPr>
      </w:pPr>
      <w:r w:rsidRPr="00C86111">
        <w:t>Početnih 9 POP pesticida</w:t>
      </w:r>
    </w:p>
    <w:p w14:paraId="4A8FAB3C"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Inventar potvrđuje da je DDT bio najčešće korišćen POP pesticid u Crnoj Gori. Njegova primjena počela je u Podgorici 1946. godine za suzbijanje komaraca prenosioca malarije, a najintenzivnije je korišćen tokom 1956–1957. godine u velikim kampanjama protiv gusjenice u hrastovim šumama. Tokom ovih kampanja ukupno je tretirano 68.047 ha, uz potrošnju 118.030 kg DDT-a. Pored prskanja iz vazduha, sprovođena je i primjena na tlu pomoću motornih prskalica.</w:t>
      </w:r>
    </w:p>
    <w:p w14:paraId="04A8FCB6"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U opštini Berane, između 1968. i 1977. godine, primjenjivani su endrin i toxaphene protiv voluharica, dok je toxaphene korišćen i protiv hrošta (rose chafer) i osa. Aldrin i dieldrin su primjenjivani kao insekticidi za tlo.</w:t>
      </w:r>
    </w:p>
    <w:p w14:paraId="61F37269"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Suprotno tome, nema zapisa o upotrebi chlordane i heptachlor u Crnoj Gori, iako su proizvodili u Srbiji (Zorka Šabac). Isto tako, nema dokaza o upotrebi hexachlorobenzena (HCB) ili mirexa.</w:t>
      </w:r>
    </w:p>
    <w:p w14:paraId="53790AFF"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Chlordecone, Lindan i Endosulfan</w:t>
      </w:r>
    </w:p>
    <w:p w14:paraId="65A7C535"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U drugom dijelu inventara utvrđeno je da chlordecone nikada nije korišćen u Crnoj Gori. Međutim, dokumentovana je upotreba lindana (gamma-HCH) i endosulfana. Lindan je primjenjivan u poljoprivredi i za zaštitu drveta, dok je endosulfan bio registrovan za upotrebu u voćarstvu. Posljednje količine sredstava za zaštitu bilja koja sadrže ove aktivne supstance uvezene su 2006. godine i u potpunosti distribuirane.</w:t>
      </w:r>
    </w:p>
    <w:p w14:paraId="704563A8"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Nakon 2009. godine nisu izdavani dalji dozvoli za uvoz sredstava za zaštitu bilja zasnovanih na POP pesticidima. Ipak, biocidi koji sadrže endosulfan uvozili su se do 2013. godine, uglavnom za dezinfekciju staja i podruma. Tokom ovog perioda uvezeno je ukupno 8.000 litara koncentrata (35% EC). Stupanjem na snagu Zakona o hemikalijama (2013), izdavanje dozvola za uvoz ovih preparata prestalo je, čime je efektivno okončana njihova cirkulacija na tržištu.</w:t>
      </w:r>
    </w:p>
    <w:p w14:paraId="0C614C6C" w14:textId="77777777" w:rsidR="0081146A" w:rsidRPr="00C86111" w:rsidRDefault="0081146A" w:rsidP="00EA6904">
      <w:pPr>
        <w:pStyle w:val="Heading4"/>
      </w:pPr>
      <w:r w:rsidRPr="00C86111">
        <w:t>Dikofol i pentahlorofenol</w:t>
      </w:r>
    </w:p>
    <w:p w14:paraId="01288CFB"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Treći dio inventara se odnosi na dikofol i pentahlorofenol. Dikofol je bio registrovan u Jugoslaviji do 2002. godine kao akaricid u voćnjacima, vinogradima i ukrasnom bilju. Nakon 2002. godine, proizvodi na bazi dikofola nisu bili dostupni na tržištu. Pentahlorofenol, kao i dikofol, nije se koristio niti je bio registrovan kao sredstvo za zaštitu bilja u Crnoj Gori od 2008. godine.</w:t>
      </w:r>
    </w:p>
    <w:p w14:paraId="0BB52D90"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Iako je upotreba POP pesticida zakonski okončana, pitanje njihove moguće prisutnosti u hrani i životnoj sredini i dalje postoji. Stoga je uveden sistem redovnog praćenja.</w:t>
      </w:r>
    </w:p>
    <w:p w14:paraId="40A19F84" w14:textId="77777777" w:rsidR="0081146A" w:rsidRPr="00C86111" w:rsidRDefault="0081146A" w:rsidP="0081146A">
      <w:pPr>
        <w:jc w:val="both"/>
        <w:rPr>
          <w:rFonts w:asciiTheme="minorHAnsi" w:hAnsiTheme="minorHAnsi" w:cstheme="minorHAnsi"/>
          <w:color w:val="auto"/>
          <w:szCs w:val="24"/>
        </w:rPr>
      </w:pPr>
    </w:p>
    <w:p w14:paraId="137164C2" w14:textId="6B767666" w:rsidR="0081146A" w:rsidRPr="00C86111" w:rsidRDefault="0081146A" w:rsidP="00004F34">
      <w:pPr>
        <w:pStyle w:val="Heading1"/>
        <w:numPr>
          <w:ilvl w:val="1"/>
          <w:numId w:val="238"/>
        </w:numPr>
      </w:pPr>
      <w:bookmarkStart w:id="28" w:name="_Toc220541861"/>
      <w:r w:rsidRPr="00C86111">
        <w:lastRenderedPageBreak/>
        <w:t>Monitoring ostataka pesticida u hrani</w:t>
      </w:r>
      <w:bookmarkEnd w:id="28"/>
    </w:p>
    <w:p w14:paraId="4499CA40"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Monitoring ostataka pesticida u hrani se sprovodi u Crnoj Gori. Ovaj program se zasniva na standardnim parametrima i preporukama Evropske komisije u vezi sa koordinisanim programom monitoringa, a nacionalni monitoring program je takođe njegov sastavni dio. Prioriteti za uzimanje uzoraka hrane harmonizovani su sa EU, uz dodatni, nacionalno određeni tip hrane u skladu sa analizom rizika od domaće proizvodnje i uvoza.</w:t>
      </w:r>
    </w:p>
    <w:p w14:paraId="5AF0D869"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Lista aktivnih supstanci za testiranje obuhvata sve organohlorinske pesticide. Ovaj monitoring se u Crnoj Gori sprovodi od 2009. godine, a podaci su od 2013. godine dostavljani EFSI. Najnovije objavljen Program monitoringa ostataka pesticida u hrani biljnog i životinjskog porijekla za 2023. godinu objavljen je u „Službenom listu Crne Gore“, br. 44/2023 od 25. aprila 2023. godine.</w:t>
      </w:r>
    </w:p>
    <w:p w14:paraId="64AB103B"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Do 2024. godine u uzorcima hrane i stočne hrane koji su uzeti nisu pronađeni ostaci organohlorinskih pesticida.</w:t>
      </w:r>
    </w:p>
    <w:p w14:paraId="70B9FC73" w14:textId="77777777" w:rsidR="0081146A" w:rsidRPr="00C86111" w:rsidRDefault="0081146A" w:rsidP="00EA6904">
      <w:pPr>
        <w:pStyle w:val="Heading4"/>
      </w:pPr>
      <w:r w:rsidRPr="00C86111">
        <w:t>Program monitoringa uticaja upotrebe pesticida na životnu sredinu</w:t>
      </w:r>
    </w:p>
    <w:p w14:paraId="46F45AA7"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Program se sprovodi kroz uzimanje uzoraka radi praćenja uticaja upotrebe pesticida na životnu sredinu, procjene prijetnji za ekosisteme i zaštite zdravlja stanovništva. On omogućava kontrolu i uvođenje standarda u korišćenju poljoprivrednog zemljišta, s ciljem proizvodnje bezbjedne hrane i očuvanja ljudskog zdravlja i životne sredine.</w:t>
      </w:r>
    </w:p>
    <w:p w14:paraId="27468E3D"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Prvi monitoring program vezan za životnu sredinu objavljen je u Programu fitosanitarnih mjera za 2012. godinu („Službeni list Crne Gore“, br. 11/2012). U okviru Programa 2 – Program monitoringa sredstava za zaštitu i ishranu bilja i bezbjednost hrane, predviđena je implementacija Komponente 2.3 – Monitoring zemljišta kao objekta za proizvodnju hrane biljnog porijekla na nivou primarne proizvodnje.</w:t>
      </w:r>
    </w:p>
    <w:p w14:paraId="58CB7E45"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Svi programi su objavljeni u službenim glasnicima, čime je osigurana transparentnost i standardizacija postupaka. Do sada prikupljeni uzorci nisu pokazali prisustvo ostataka POPs pesticida na analiziranim lokacijama i uzorkovnim mjestima.</w:t>
      </w:r>
    </w:p>
    <w:p w14:paraId="5A2BCC95" w14:textId="77777777" w:rsidR="0081146A" w:rsidRPr="00C86111" w:rsidRDefault="0081146A" w:rsidP="00EA6904">
      <w:pPr>
        <w:pStyle w:val="Heading4"/>
      </w:pPr>
      <w:r w:rsidRPr="00C86111">
        <w:t>Nacionalni planovi za održivu upotrebu sredstava za zaštitu bilja u Crnoj Gori</w:t>
      </w:r>
    </w:p>
    <w:p w14:paraId="04E029B1"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Prvi Nacionalni plan za održivu upotrebu sredstava za zaštitu bilja objavljen je u „Službenom listu Crne Gore“, br. 57/2016 od 2. septembra 2016. godine. Plan definiše ciljeve, mjere, indikatore, rokove i aktivnosti s ciljem smanjenja rizika i negativnih efekata pesticida na ljudsko zdravlje i životnu sredinu.</w:t>
      </w:r>
    </w:p>
    <w:p w14:paraId="26AC2E24"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Cilj Nacionalnog plana je ublažavanje negativnog uticaja pesticida uz promociju integrisanih i drugih nekemijskih mjera za suzbijanje štetočina. To uključuje:</w:t>
      </w:r>
    </w:p>
    <w:p w14:paraId="3672CF74" w14:textId="77777777" w:rsidR="0081146A" w:rsidRPr="00C86111" w:rsidRDefault="0081146A" w:rsidP="00004F34">
      <w:pPr>
        <w:numPr>
          <w:ilvl w:val="0"/>
          <w:numId w:val="173"/>
        </w:numPr>
        <w:jc w:val="both"/>
        <w:rPr>
          <w:rFonts w:asciiTheme="minorHAnsi" w:hAnsiTheme="minorHAnsi" w:cstheme="minorHAnsi"/>
          <w:color w:val="auto"/>
          <w:szCs w:val="24"/>
        </w:rPr>
      </w:pPr>
      <w:r w:rsidRPr="00C86111">
        <w:rPr>
          <w:rFonts w:asciiTheme="minorHAnsi" w:hAnsiTheme="minorHAnsi" w:cstheme="minorHAnsi"/>
          <w:color w:val="auto"/>
          <w:szCs w:val="24"/>
        </w:rPr>
        <w:t>unapređenje razumijevanja metoda upotrebe pesticida;</w:t>
      </w:r>
    </w:p>
    <w:p w14:paraId="6D8D6DB4" w14:textId="77777777" w:rsidR="0081146A" w:rsidRPr="00C86111" w:rsidRDefault="0081146A" w:rsidP="00004F34">
      <w:pPr>
        <w:numPr>
          <w:ilvl w:val="0"/>
          <w:numId w:val="173"/>
        </w:numPr>
        <w:jc w:val="both"/>
        <w:rPr>
          <w:rFonts w:asciiTheme="minorHAnsi" w:hAnsiTheme="minorHAnsi" w:cstheme="minorHAnsi"/>
          <w:color w:val="auto"/>
          <w:szCs w:val="24"/>
        </w:rPr>
      </w:pPr>
      <w:r w:rsidRPr="00C86111">
        <w:rPr>
          <w:rFonts w:asciiTheme="minorHAnsi" w:hAnsiTheme="minorHAnsi" w:cstheme="minorHAnsi"/>
          <w:color w:val="auto"/>
          <w:szCs w:val="24"/>
        </w:rPr>
        <w:t>korišćenje naučnih dokaza i procedura za minimiziranje štetnih efekata, omogućavajući ekonomičnu kontrolu štetnih organizama i korova;</w:t>
      </w:r>
    </w:p>
    <w:p w14:paraId="65B6870D" w14:textId="77777777" w:rsidR="0081146A" w:rsidRPr="00C86111" w:rsidRDefault="0081146A" w:rsidP="00004F34">
      <w:pPr>
        <w:numPr>
          <w:ilvl w:val="0"/>
          <w:numId w:val="173"/>
        </w:numPr>
        <w:jc w:val="both"/>
        <w:rPr>
          <w:rFonts w:asciiTheme="minorHAnsi" w:hAnsiTheme="minorHAnsi" w:cstheme="minorHAnsi"/>
          <w:color w:val="auto"/>
          <w:szCs w:val="24"/>
        </w:rPr>
      </w:pPr>
      <w:r w:rsidRPr="00C86111">
        <w:rPr>
          <w:rFonts w:asciiTheme="minorHAnsi" w:hAnsiTheme="minorHAnsi" w:cstheme="minorHAnsi"/>
          <w:color w:val="auto"/>
          <w:szCs w:val="24"/>
        </w:rPr>
        <w:t>prepoznavanje uloga svih učesnika i zainteresovanih strana u postizanju zajedničkog cilja održive upotrebe pesticida;</w:t>
      </w:r>
    </w:p>
    <w:p w14:paraId="2667F6E2" w14:textId="77777777" w:rsidR="0081146A" w:rsidRPr="00C86111" w:rsidRDefault="0081146A" w:rsidP="00004F34">
      <w:pPr>
        <w:numPr>
          <w:ilvl w:val="0"/>
          <w:numId w:val="173"/>
        </w:numPr>
        <w:jc w:val="both"/>
        <w:rPr>
          <w:rFonts w:asciiTheme="minorHAnsi" w:hAnsiTheme="minorHAnsi" w:cstheme="minorHAnsi"/>
          <w:color w:val="auto"/>
          <w:szCs w:val="24"/>
        </w:rPr>
      </w:pPr>
      <w:r w:rsidRPr="00C86111">
        <w:rPr>
          <w:rFonts w:asciiTheme="minorHAnsi" w:hAnsiTheme="minorHAnsi" w:cstheme="minorHAnsi"/>
          <w:color w:val="auto"/>
          <w:szCs w:val="24"/>
        </w:rPr>
        <w:t>implementaciju adekvatnih mjera zaštite na radu;</w:t>
      </w:r>
    </w:p>
    <w:p w14:paraId="7D770AEC" w14:textId="77777777" w:rsidR="0081146A" w:rsidRPr="00C86111" w:rsidRDefault="0081146A" w:rsidP="00004F34">
      <w:pPr>
        <w:numPr>
          <w:ilvl w:val="0"/>
          <w:numId w:val="173"/>
        </w:numPr>
        <w:jc w:val="both"/>
        <w:rPr>
          <w:rFonts w:asciiTheme="minorHAnsi" w:hAnsiTheme="minorHAnsi" w:cstheme="minorHAnsi"/>
          <w:color w:val="auto"/>
          <w:szCs w:val="24"/>
        </w:rPr>
      </w:pPr>
      <w:r w:rsidRPr="00C86111">
        <w:rPr>
          <w:rFonts w:asciiTheme="minorHAnsi" w:hAnsiTheme="minorHAnsi" w:cstheme="minorHAnsi"/>
          <w:color w:val="auto"/>
          <w:szCs w:val="24"/>
        </w:rPr>
        <w:t>monitoring ostataka pesticida u hrani;</w:t>
      </w:r>
    </w:p>
    <w:p w14:paraId="5AEB033B" w14:textId="77777777" w:rsidR="0081146A" w:rsidRPr="00C86111" w:rsidRDefault="0081146A" w:rsidP="00004F34">
      <w:pPr>
        <w:numPr>
          <w:ilvl w:val="0"/>
          <w:numId w:val="173"/>
        </w:num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primjenu specifičnih tehnika upotrebe pesticida na određenim kulturama;</w:t>
      </w:r>
    </w:p>
    <w:p w14:paraId="04E7E63F" w14:textId="77777777" w:rsidR="0081146A" w:rsidRPr="00C86111" w:rsidRDefault="0081146A" w:rsidP="00004F34">
      <w:pPr>
        <w:numPr>
          <w:ilvl w:val="0"/>
          <w:numId w:val="173"/>
        </w:numPr>
        <w:jc w:val="both"/>
        <w:rPr>
          <w:rFonts w:asciiTheme="minorHAnsi" w:hAnsiTheme="minorHAnsi" w:cstheme="minorHAnsi"/>
          <w:color w:val="auto"/>
          <w:szCs w:val="24"/>
        </w:rPr>
      </w:pPr>
      <w:r w:rsidRPr="00C86111">
        <w:rPr>
          <w:rFonts w:asciiTheme="minorHAnsi" w:hAnsiTheme="minorHAnsi" w:cstheme="minorHAnsi"/>
          <w:color w:val="auto"/>
          <w:szCs w:val="24"/>
        </w:rPr>
        <w:t>prikupljanje podataka za praćenje upotrebe pesticida sa aktivnim supstancama od posebnog značaja, uključujući upotrebu alternativnih supstanci i metoda.</w:t>
      </w:r>
    </w:p>
    <w:p w14:paraId="4F78C35F"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Plan takođe definiše aktivnosti i učesnike u vezi sa zdravstvenim, društvenim, ekonomskim i ekološkim efektima, u skladu sa nacionalnim, regionalnim i lokalnim uslovima. Uključuje i aktivnosti predviđene propisima koji regulišu vodu, zaštitu prirode, upravljanje otpadom i druge regulative u kojima pesticidi imaju indirektan uticaj, uključujući zaštitu vode, divljih ptica, prirodnih staništa te divlje flore i faune.</w:t>
      </w:r>
    </w:p>
    <w:p w14:paraId="66EBEE19"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Drugi Nacionalni plan za održivu upotrebu sredstava za zaštitu bilja za period 2021–2026. godine objavljen je u „Službenom listu Crne Gore“, br. 115/2021 od 28. oktobra 2021. godine. Ovaj plan uvodi, između ostalog, usaglašene indikatore rizika, zasnovane na opasnostima povezanim sa aktivnim supstancama u sredstvima za zaštitu bilja, u skladu sa Uredbom (EU) br. 1107/2009.</w:t>
      </w:r>
    </w:p>
    <w:p w14:paraId="24605063" w14:textId="77777777" w:rsidR="0081146A" w:rsidRPr="00C86111" w:rsidRDefault="0081146A" w:rsidP="00004F34">
      <w:pPr>
        <w:pStyle w:val="Heading1"/>
        <w:numPr>
          <w:ilvl w:val="1"/>
          <w:numId w:val="238"/>
        </w:numPr>
      </w:pPr>
      <w:bookmarkStart w:id="29" w:name="_Toc220541862"/>
      <w:bookmarkStart w:id="30" w:name="_Hlk215608640"/>
      <w:r w:rsidRPr="00C86111">
        <w:t>Opšti zaključak</w:t>
      </w:r>
      <w:bookmarkEnd w:id="29"/>
    </w:p>
    <w:p w14:paraId="69452621"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Inventarizacija pesticida iz grupe </w:t>
      </w:r>
      <w:r w:rsidRPr="00C86111">
        <w:rPr>
          <w:rFonts w:asciiTheme="minorHAnsi" w:hAnsiTheme="minorHAnsi" w:cstheme="minorHAnsi"/>
          <w:b/>
          <w:bCs/>
          <w:color w:val="auto"/>
          <w:szCs w:val="24"/>
        </w:rPr>
        <w:t>perzistentnih organskih zagađivača (POP)</w:t>
      </w:r>
      <w:r w:rsidRPr="00C86111">
        <w:rPr>
          <w:rFonts w:asciiTheme="minorHAnsi" w:hAnsiTheme="minorHAnsi" w:cstheme="minorHAnsi"/>
          <w:color w:val="auto"/>
          <w:szCs w:val="24"/>
        </w:rPr>
        <w:t xml:space="preserve"> u Crnoj Gori pokazuje jasan istorijski obrazac. </w:t>
      </w:r>
      <w:r w:rsidRPr="00C86111">
        <w:rPr>
          <w:rFonts w:asciiTheme="minorHAnsi" w:hAnsiTheme="minorHAnsi" w:cstheme="minorHAnsi"/>
          <w:b/>
          <w:bCs/>
          <w:color w:val="auto"/>
          <w:szCs w:val="24"/>
        </w:rPr>
        <w:t>DDT</w:t>
      </w:r>
      <w:r w:rsidRPr="00C86111">
        <w:rPr>
          <w:rFonts w:asciiTheme="minorHAnsi" w:hAnsiTheme="minorHAnsi" w:cstheme="minorHAnsi"/>
          <w:color w:val="auto"/>
          <w:szCs w:val="24"/>
        </w:rPr>
        <w:t xml:space="preserve"> je intenzivno korišćen tokom 1950-ih godina, dok su drugi pesticidi, poput </w:t>
      </w:r>
      <w:r w:rsidRPr="00C86111">
        <w:rPr>
          <w:rFonts w:asciiTheme="minorHAnsi" w:hAnsiTheme="minorHAnsi" w:cstheme="minorHAnsi"/>
          <w:b/>
          <w:bCs/>
          <w:color w:val="auto"/>
          <w:szCs w:val="24"/>
        </w:rPr>
        <w:t>endrina, toksafena, aldrina i dieldrina</w:t>
      </w:r>
      <w:r w:rsidRPr="00C86111">
        <w:rPr>
          <w:rFonts w:asciiTheme="minorHAnsi" w:hAnsiTheme="minorHAnsi" w:cstheme="minorHAnsi"/>
          <w:color w:val="auto"/>
          <w:szCs w:val="24"/>
        </w:rPr>
        <w:t xml:space="preserve">, korišćeni u ograničenijim, lokalnim kontekstima u narednim decenijama. Nema dokaza o upotrebi </w:t>
      </w:r>
      <w:r w:rsidRPr="00C86111">
        <w:rPr>
          <w:rFonts w:asciiTheme="minorHAnsi" w:hAnsiTheme="minorHAnsi" w:cstheme="minorHAnsi"/>
          <w:b/>
          <w:bCs/>
          <w:color w:val="auto"/>
          <w:szCs w:val="24"/>
        </w:rPr>
        <w:t>hlordana, heptahlora, mireksa, heksaklorobenzena (HCB)</w:t>
      </w:r>
      <w:r w:rsidRPr="00C86111">
        <w:rPr>
          <w:rFonts w:asciiTheme="minorHAnsi" w:hAnsiTheme="minorHAnsi" w:cstheme="minorHAnsi"/>
          <w:color w:val="auto"/>
          <w:szCs w:val="24"/>
        </w:rPr>
        <w:t xml:space="preserve"> ili </w:t>
      </w:r>
      <w:r w:rsidRPr="00C86111">
        <w:rPr>
          <w:rFonts w:asciiTheme="minorHAnsi" w:hAnsiTheme="minorHAnsi" w:cstheme="minorHAnsi"/>
          <w:b/>
          <w:bCs/>
          <w:color w:val="auto"/>
          <w:szCs w:val="24"/>
        </w:rPr>
        <w:t>hlordekona</w:t>
      </w:r>
      <w:r w:rsidRPr="00C86111">
        <w:rPr>
          <w:rFonts w:asciiTheme="minorHAnsi" w:hAnsiTheme="minorHAnsi" w:cstheme="minorHAnsi"/>
          <w:color w:val="auto"/>
          <w:szCs w:val="24"/>
        </w:rPr>
        <w:t>.</w:t>
      </w:r>
    </w:p>
    <w:p w14:paraId="1CD4AB5D"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Noviji podaci pokazuju da su </w:t>
      </w:r>
      <w:r w:rsidRPr="00C86111">
        <w:rPr>
          <w:rFonts w:asciiTheme="minorHAnsi" w:hAnsiTheme="minorHAnsi" w:cstheme="minorHAnsi"/>
          <w:b/>
          <w:bCs/>
          <w:color w:val="auto"/>
          <w:szCs w:val="24"/>
        </w:rPr>
        <w:t>lindan, endosulfan, dikofol i pentahlorofenol</w:t>
      </w:r>
      <w:r w:rsidRPr="00C86111">
        <w:rPr>
          <w:rFonts w:asciiTheme="minorHAnsi" w:hAnsiTheme="minorHAnsi" w:cstheme="minorHAnsi"/>
          <w:color w:val="auto"/>
          <w:szCs w:val="24"/>
        </w:rPr>
        <w:t xml:space="preserve"> postepeno povlačeni iz upotrebe, a njihov uvoz i promet zakonski potpuno obustavljeni nakon 2013. godine.</w:t>
      </w:r>
    </w:p>
    <w:p w14:paraId="25BECD6D"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Trenutni programi monitoringa hrane, stočne hrane i životne sredine </w:t>
      </w:r>
      <w:r w:rsidRPr="00C86111">
        <w:rPr>
          <w:rFonts w:asciiTheme="minorHAnsi" w:hAnsiTheme="minorHAnsi" w:cstheme="minorHAnsi"/>
          <w:b/>
          <w:bCs/>
          <w:color w:val="auto"/>
          <w:szCs w:val="24"/>
        </w:rPr>
        <w:t>nisu detektovali ostatke organskih hlorisanih POP pesticida</w:t>
      </w:r>
      <w:r w:rsidRPr="00C86111">
        <w:rPr>
          <w:rFonts w:asciiTheme="minorHAnsi" w:hAnsiTheme="minorHAnsi" w:cstheme="minorHAnsi"/>
          <w:color w:val="auto"/>
          <w:szCs w:val="24"/>
        </w:rPr>
        <w:t xml:space="preserve">. Ovo ukazuje na efikasnu primjenu zakonskih ograničenja i usklađenost sa zakonodavstvom EU, kao i obavezama iz </w:t>
      </w:r>
      <w:r w:rsidRPr="00C86111">
        <w:rPr>
          <w:rFonts w:asciiTheme="minorHAnsi" w:hAnsiTheme="minorHAnsi" w:cstheme="minorHAnsi"/>
          <w:b/>
          <w:bCs/>
          <w:color w:val="auto"/>
          <w:szCs w:val="24"/>
        </w:rPr>
        <w:t>Stokholmske konvencije</w:t>
      </w:r>
      <w:r w:rsidRPr="00C86111">
        <w:rPr>
          <w:rFonts w:asciiTheme="minorHAnsi" w:hAnsiTheme="minorHAnsi" w:cstheme="minorHAnsi"/>
          <w:color w:val="auto"/>
          <w:szCs w:val="24"/>
        </w:rPr>
        <w:t>. Ipak, istorijski intenzivna upotreba određenih supstanci, naročito DDT-a, naglašava potrebu za kontinuiranom pažnjom kako bi se spriječilo da eventualna zaostala kontaminacija predstavlja rizik po ljudsko zdravlje i životnu sredinu.</w:t>
      </w:r>
    </w:p>
    <w:p w14:paraId="3BFF2C30" w14:textId="77777777" w:rsidR="0081146A" w:rsidRPr="00C86111" w:rsidRDefault="0081146A" w:rsidP="00004F34">
      <w:pPr>
        <w:pStyle w:val="Heading1"/>
        <w:numPr>
          <w:ilvl w:val="1"/>
          <w:numId w:val="238"/>
        </w:numPr>
      </w:pPr>
      <w:bookmarkStart w:id="31" w:name="_Toc220541863"/>
      <w:bookmarkEnd w:id="30"/>
      <w:r w:rsidRPr="00C86111">
        <w:t>Preporučene mjere</w:t>
      </w:r>
      <w:bookmarkEnd w:id="31"/>
    </w:p>
    <w:p w14:paraId="3EB73661" w14:textId="77777777" w:rsidR="0081146A" w:rsidRPr="00C86111" w:rsidRDefault="0081146A" w:rsidP="0081146A">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Kako bi se konsolidovao napredak i smanjio rizik od pojave ili zaostale kontaminacije, preporučuju se sljedeće </w:t>
      </w:r>
      <w:r w:rsidRPr="00C86111">
        <w:rPr>
          <w:rFonts w:asciiTheme="minorHAnsi" w:hAnsiTheme="minorHAnsi" w:cstheme="minorHAnsi"/>
          <w:b/>
          <w:bCs/>
          <w:color w:val="auto"/>
          <w:szCs w:val="24"/>
        </w:rPr>
        <w:t>prioritetne mjere</w:t>
      </w:r>
      <w:r w:rsidRPr="00C86111">
        <w:rPr>
          <w:rFonts w:asciiTheme="minorHAnsi" w:hAnsiTheme="minorHAnsi" w:cstheme="minorHAnsi"/>
          <w:color w:val="auto"/>
          <w:szCs w:val="24"/>
        </w:rPr>
        <w:t>:</w:t>
      </w:r>
    </w:p>
    <w:p w14:paraId="15ADF218" w14:textId="77777777" w:rsidR="0081146A" w:rsidRPr="00C86111" w:rsidRDefault="0081146A" w:rsidP="0081146A">
      <w:pPr>
        <w:jc w:val="both"/>
        <w:rPr>
          <w:rFonts w:asciiTheme="minorHAnsi" w:hAnsiTheme="minorHAnsi" w:cstheme="minorHAnsi"/>
          <w:color w:val="auto"/>
          <w:szCs w:val="24"/>
        </w:rPr>
      </w:pPr>
    </w:p>
    <w:p w14:paraId="4D2D47CD" w14:textId="77777777" w:rsidR="0081146A" w:rsidRPr="00C86111" w:rsidRDefault="0081146A" w:rsidP="0081146A">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1. Jačanje monitoringa i istraživanja</w:t>
      </w:r>
    </w:p>
    <w:p w14:paraId="5D286F71" w14:textId="77777777" w:rsidR="0081146A" w:rsidRPr="00C86111" w:rsidRDefault="0081146A" w:rsidP="00004F34">
      <w:pPr>
        <w:numPr>
          <w:ilvl w:val="0"/>
          <w:numId w:val="174"/>
        </w:numPr>
        <w:jc w:val="both"/>
        <w:rPr>
          <w:rFonts w:asciiTheme="minorHAnsi" w:hAnsiTheme="minorHAnsi" w:cstheme="minorHAnsi"/>
          <w:color w:val="auto"/>
          <w:szCs w:val="24"/>
        </w:rPr>
      </w:pPr>
      <w:r w:rsidRPr="00C86111">
        <w:rPr>
          <w:rFonts w:asciiTheme="minorHAnsi" w:hAnsiTheme="minorHAnsi" w:cstheme="minorHAnsi"/>
          <w:color w:val="auto"/>
          <w:szCs w:val="24"/>
        </w:rPr>
        <w:t>Nastaviti sistematsko praćenje ostataka pesticida u hrani, hrani za životinje, zemljištu i vodi, sa posebnim fokusom na zaostale POP pesticide.</w:t>
      </w:r>
    </w:p>
    <w:p w14:paraId="7348386F" w14:textId="77777777" w:rsidR="0081146A" w:rsidRPr="00C86111" w:rsidRDefault="0081146A" w:rsidP="00004F34">
      <w:pPr>
        <w:numPr>
          <w:ilvl w:val="0"/>
          <w:numId w:val="174"/>
        </w:numPr>
        <w:jc w:val="both"/>
        <w:rPr>
          <w:rFonts w:asciiTheme="minorHAnsi" w:hAnsiTheme="minorHAnsi" w:cstheme="minorHAnsi"/>
          <w:color w:val="auto"/>
          <w:szCs w:val="24"/>
        </w:rPr>
      </w:pPr>
      <w:r w:rsidRPr="00C86111">
        <w:rPr>
          <w:rFonts w:asciiTheme="minorHAnsi" w:hAnsiTheme="minorHAnsi" w:cstheme="minorHAnsi"/>
          <w:color w:val="auto"/>
          <w:szCs w:val="24"/>
        </w:rPr>
        <w:t>Podržati istraživanja o sudbini u životnoj sredini, transportu i dugoročnim efektima prethodno korišćenih pesticida.</w:t>
      </w:r>
    </w:p>
    <w:p w14:paraId="34A9FA3A" w14:textId="77777777" w:rsidR="0081146A" w:rsidRPr="00C86111" w:rsidRDefault="0081146A" w:rsidP="0081146A">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2. Izgradnja kapaciteta i obuka</w:t>
      </w:r>
    </w:p>
    <w:p w14:paraId="77F15F4E" w14:textId="77777777" w:rsidR="0081146A" w:rsidRPr="00C86111" w:rsidRDefault="0081146A" w:rsidP="00004F34">
      <w:pPr>
        <w:numPr>
          <w:ilvl w:val="0"/>
          <w:numId w:val="175"/>
        </w:numPr>
        <w:jc w:val="both"/>
        <w:rPr>
          <w:rFonts w:asciiTheme="minorHAnsi" w:hAnsiTheme="minorHAnsi" w:cstheme="minorHAnsi"/>
          <w:color w:val="auto"/>
          <w:szCs w:val="24"/>
        </w:rPr>
      </w:pPr>
      <w:r w:rsidRPr="00C86111">
        <w:rPr>
          <w:rFonts w:asciiTheme="minorHAnsi" w:hAnsiTheme="minorHAnsi" w:cstheme="minorHAnsi"/>
          <w:color w:val="auto"/>
          <w:szCs w:val="24"/>
        </w:rPr>
        <w:t>Podizati svijest kod poljoprivrednika i drugih zainteresovanih strana o održivim praksama i integrisanom upravljanju štetočinama (IPM).</w:t>
      </w:r>
    </w:p>
    <w:p w14:paraId="01E2242F" w14:textId="77777777" w:rsidR="0081146A" w:rsidRPr="00C86111" w:rsidRDefault="0081146A" w:rsidP="00004F34">
      <w:pPr>
        <w:numPr>
          <w:ilvl w:val="0"/>
          <w:numId w:val="175"/>
        </w:numPr>
        <w:jc w:val="both"/>
        <w:rPr>
          <w:rFonts w:asciiTheme="minorHAnsi" w:hAnsiTheme="minorHAnsi" w:cstheme="minorHAnsi"/>
          <w:color w:val="auto"/>
          <w:szCs w:val="24"/>
        </w:rPr>
      </w:pPr>
      <w:r w:rsidRPr="00C86111">
        <w:rPr>
          <w:rFonts w:asciiTheme="minorHAnsi" w:hAnsiTheme="minorHAnsi" w:cstheme="minorHAnsi"/>
          <w:color w:val="auto"/>
          <w:szCs w:val="24"/>
        </w:rPr>
        <w:t>Organizovati obuke o alternativnim, nehemijskim metodama zaštite bilja, kako bi se smanjila upotreba opasnih pesticida.</w:t>
      </w:r>
    </w:p>
    <w:p w14:paraId="5B92C177" w14:textId="77777777" w:rsidR="0081146A" w:rsidRPr="00C86111" w:rsidRDefault="0081146A" w:rsidP="0081146A">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lastRenderedPageBreak/>
        <w:t>3. Usaglašavanje politike i regulatornog okvira</w:t>
      </w:r>
    </w:p>
    <w:p w14:paraId="2814DA63" w14:textId="77777777" w:rsidR="0081146A" w:rsidRPr="00C86111" w:rsidRDefault="0081146A" w:rsidP="00004F34">
      <w:pPr>
        <w:numPr>
          <w:ilvl w:val="0"/>
          <w:numId w:val="176"/>
        </w:numPr>
        <w:jc w:val="both"/>
        <w:rPr>
          <w:rFonts w:asciiTheme="minorHAnsi" w:hAnsiTheme="minorHAnsi" w:cstheme="minorHAnsi"/>
          <w:color w:val="auto"/>
          <w:szCs w:val="24"/>
        </w:rPr>
      </w:pPr>
      <w:r w:rsidRPr="00C86111">
        <w:rPr>
          <w:rFonts w:asciiTheme="minorHAnsi" w:hAnsiTheme="minorHAnsi" w:cstheme="minorHAnsi"/>
          <w:color w:val="auto"/>
          <w:szCs w:val="24"/>
        </w:rPr>
        <w:t>Osigurati strogu primjenu Zakona o hemikalijama i propisa o pesticidima, u skladu sa EU Uredbom (EC) br. 1107/2009.</w:t>
      </w:r>
    </w:p>
    <w:p w14:paraId="430ABE83" w14:textId="77777777" w:rsidR="0081146A" w:rsidRPr="00C86111" w:rsidRDefault="0081146A" w:rsidP="00004F34">
      <w:pPr>
        <w:numPr>
          <w:ilvl w:val="0"/>
          <w:numId w:val="176"/>
        </w:numPr>
        <w:jc w:val="both"/>
        <w:rPr>
          <w:rFonts w:asciiTheme="minorHAnsi" w:hAnsiTheme="minorHAnsi" w:cstheme="minorHAnsi"/>
          <w:color w:val="auto"/>
          <w:szCs w:val="24"/>
        </w:rPr>
      </w:pPr>
      <w:r w:rsidRPr="00C86111">
        <w:rPr>
          <w:rFonts w:asciiTheme="minorHAnsi" w:hAnsiTheme="minorHAnsi" w:cstheme="minorHAnsi"/>
          <w:color w:val="auto"/>
          <w:szCs w:val="24"/>
        </w:rPr>
        <w:t>Redovno ažurirati nacionalne akcione planove kako bi odražavali promjene u EU i međunarodnim zahtjevima.</w:t>
      </w:r>
    </w:p>
    <w:p w14:paraId="0E3B8A6C" w14:textId="77777777" w:rsidR="0081146A" w:rsidRPr="00C86111" w:rsidRDefault="0081146A" w:rsidP="0081146A">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4. Međusektorska saradnja</w:t>
      </w:r>
    </w:p>
    <w:p w14:paraId="1D3A1B1E" w14:textId="77777777" w:rsidR="0081146A" w:rsidRPr="00C86111" w:rsidRDefault="0081146A" w:rsidP="00004F34">
      <w:pPr>
        <w:numPr>
          <w:ilvl w:val="0"/>
          <w:numId w:val="177"/>
        </w:numPr>
        <w:jc w:val="both"/>
        <w:rPr>
          <w:rFonts w:asciiTheme="minorHAnsi" w:hAnsiTheme="minorHAnsi" w:cstheme="minorHAnsi"/>
          <w:color w:val="auto"/>
          <w:szCs w:val="24"/>
        </w:rPr>
      </w:pPr>
      <w:r w:rsidRPr="00C86111">
        <w:rPr>
          <w:rFonts w:asciiTheme="minorHAnsi" w:hAnsiTheme="minorHAnsi" w:cstheme="minorHAnsi"/>
          <w:color w:val="auto"/>
          <w:szCs w:val="24"/>
        </w:rPr>
        <w:t>Unaprijediti saradnju između poljoprivrednih, zdravstvenih i ekoloških institucija za integrisano upravljanje pesticidima.</w:t>
      </w:r>
    </w:p>
    <w:p w14:paraId="592F051F" w14:textId="77777777" w:rsidR="0081146A" w:rsidRPr="00C86111" w:rsidRDefault="0081146A" w:rsidP="00004F34">
      <w:pPr>
        <w:numPr>
          <w:ilvl w:val="0"/>
          <w:numId w:val="177"/>
        </w:numPr>
        <w:jc w:val="both"/>
        <w:rPr>
          <w:rFonts w:asciiTheme="minorHAnsi" w:hAnsiTheme="minorHAnsi" w:cstheme="minorHAnsi"/>
          <w:color w:val="auto"/>
          <w:szCs w:val="24"/>
        </w:rPr>
      </w:pPr>
      <w:r w:rsidRPr="00C86111">
        <w:rPr>
          <w:rFonts w:asciiTheme="minorHAnsi" w:hAnsiTheme="minorHAnsi" w:cstheme="minorHAnsi"/>
          <w:color w:val="auto"/>
          <w:szCs w:val="24"/>
        </w:rPr>
        <w:t>Uskladiti nacionalne podatke monitoringa sa EU mehanizmima izvještavanja, uključujući platforme EFSA i ECHA.</w:t>
      </w:r>
    </w:p>
    <w:p w14:paraId="7BE44B14" w14:textId="77777777" w:rsidR="0081146A" w:rsidRPr="00C86111" w:rsidRDefault="0081146A" w:rsidP="0081146A">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5. Javna transparentnost i komunikacija</w:t>
      </w:r>
    </w:p>
    <w:p w14:paraId="00212FC9" w14:textId="77777777" w:rsidR="0081146A" w:rsidRPr="00C86111" w:rsidRDefault="0081146A" w:rsidP="00004F34">
      <w:pPr>
        <w:numPr>
          <w:ilvl w:val="0"/>
          <w:numId w:val="178"/>
        </w:numPr>
        <w:jc w:val="both"/>
        <w:rPr>
          <w:rFonts w:asciiTheme="minorHAnsi" w:hAnsiTheme="minorHAnsi" w:cstheme="minorHAnsi"/>
          <w:color w:val="auto"/>
          <w:szCs w:val="24"/>
        </w:rPr>
      </w:pPr>
      <w:r w:rsidRPr="00C86111">
        <w:rPr>
          <w:rFonts w:asciiTheme="minorHAnsi" w:hAnsiTheme="minorHAnsi" w:cstheme="minorHAnsi"/>
          <w:color w:val="auto"/>
          <w:szCs w:val="24"/>
        </w:rPr>
        <w:t>Poboljšati pristup javnosti rezultatima monitoringa, procjenama rizika i nacionalnim izvještajima.</w:t>
      </w:r>
    </w:p>
    <w:p w14:paraId="1432ECB1" w14:textId="77777777" w:rsidR="0081146A" w:rsidRPr="00C86111" w:rsidRDefault="0081146A" w:rsidP="00004F34">
      <w:pPr>
        <w:numPr>
          <w:ilvl w:val="0"/>
          <w:numId w:val="178"/>
        </w:numPr>
        <w:jc w:val="both"/>
        <w:rPr>
          <w:rFonts w:asciiTheme="minorHAnsi" w:hAnsiTheme="minorHAnsi" w:cstheme="minorHAnsi"/>
          <w:color w:val="auto"/>
          <w:szCs w:val="24"/>
        </w:rPr>
      </w:pPr>
      <w:r w:rsidRPr="00C86111">
        <w:rPr>
          <w:rFonts w:asciiTheme="minorHAnsi" w:hAnsiTheme="minorHAnsi" w:cstheme="minorHAnsi"/>
          <w:color w:val="auto"/>
          <w:szCs w:val="24"/>
        </w:rPr>
        <w:t>Promovisati angažman zajednice i svijest o rizicima pesticida, sa posebnim fokusom na ruralne zajednice.</w:t>
      </w:r>
    </w:p>
    <w:p w14:paraId="00AEFE66" w14:textId="77777777" w:rsidR="0081146A" w:rsidRPr="00C86111" w:rsidRDefault="0081146A" w:rsidP="0081146A"/>
    <w:p w14:paraId="1D9192D3" w14:textId="44186D0E" w:rsidR="00C23D65" w:rsidRPr="00C86111" w:rsidRDefault="004C4490" w:rsidP="00912C4C">
      <w:pPr>
        <w:pStyle w:val="Heading1"/>
        <w:rPr>
          <w:bCs/>
        </w:rPr>
      </w:pPr>
      <w:bookmarkStart w:id="32" w:name="_Toc220541864"/>
      <w:r w:rsidRPr="00C86111">
        <w:t>POLIHLOROVANI BIFENILI</w:t>
      </w:r>
      <w:bookmarkEnd w:id="32"/>
    </w:p>
    <w:p w14:paraId="768129A1" w14:textId="04C5E0BB" w:rsidR="0081146A" w:rsidRPr="00C86111" w:rsidRDefault="0081146A" w:rsidP="00201FE9">
      <w:pPr>
        <w:jc w:val="center"/>
        <w:rPr>
          <w:b/>
          <w:bCs/>
          <w:color w:val="auto"/>
          <w:szCs w:val="24"/>
        </w:rPr>
      </w:pPr>
    </w:p>
    <w:p w14:paraId="7E0B75E7" w14:textId="77777777" w:rsidR="001D13C8" w:rsidRPr="00C86111" w:rsidRDefault="001D13C8" w:rsidP="00EA6904">
      <w:pPr>
        <w:pStyle w:val="Heading2"/>
      </w:pPr>
      <w:bookmarkStart w:id="33" w:name="_Toc220541865"/>
      <w:r w:rsidRPr="00C86111">
        <w:t>Uvod</w:t>
      </w:r>
      <w:bookmarkEnd w:id="33"/>
    </w:p>
    <w:p w14:paraId="18B71396" w14:textId="77777777" w:rsidR="001D13C8" w:rsidRPr="00C86111" w:rsidRDefault="001D13C8" w:rsidP="001D13C8">
      <w:pPr>
        <w:jc w:val="both"/>
        <w:rPr>
          <w:rFonts w:asciiTheme="minorHAnsi" w:hAnsiTheme="minorHAnsi" w:cstheme="minorHAnsi"/>
          <w:color w:val="auto"/>
          <w:szCs w:val="24"/>
        </w:rPr>
      </w:pPr>
    </w:p>
    <w:p w14:paraId="42770DED"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Polihlorovani bifenili (PCB) predstavljaju grupu hemikalija koje spadaju u prvobitnih dvanaest postojanih organskih zagađivača (POPs) obuhvaćenih Stokholmskom konvencijom. Ove hemikalije su poznate po svojoj izdržljivosti, otpornosti na toplotu i sposobnosti da na sobnoj temperaturi formiraju uljastu tečnost, što ih je činilo vrijednim za upotrebu u elektroprivredi i raznim industrijskim primjenama.</w:t>
      </w:r>
    </w:p>
    <w:p w14:paraId="6C5E0BEB"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PCB-ovi su aromatični ugljovodonici, koji se sastoje od dva benzenska prstena povezana ugljenik-ugljenik vezom. Atomi vodonika mogu biti zamijenjeni sa do deset atoma hlora. Javljaju se kao viskozne tečnosti ili smole, obično bezbojne ili žućkaste, sa jakim i prepoznatljivim mirisom. Ključne karakteristike PCB-ova uključuju izvanredna dielektrična svojstva, otpornost na hemijsku i termalnu razgradnju (razlažu se tek na temperaturama iznad 1000 °C), stabilnost na svjetlosti i nezapaljivost.</w:t>
      </w:r>
    </w:p>
    <w:p w14:paraId="6EFC39DE"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Zbog ovih osobina, PCB-ovi su se širom svijeta proizvodili za raznovrsne namjene, prvenstveno kao izolacione tečnosti u transformatorima. Takođe su korišćeni u kondenzatorima i raznim „otvorenim primjenama“, uključujući boje, zaptivne mase i karbonski papir.</w:t>
      </w:r>
    </w:p>
    <w:p w14:paraId="5D44F175"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PCB-ovi predstavljaju značajan rizik po zdravlje ljudi i životinja, izazivajući probleme sa reprodukcijom i poremećaje imunološkog sistema. Međunarodna agencija za istraživanje raka (IARC) klasifikuje PCB-ove kao kancerogene supstance iz Grupe 1. Pronađeni su u majčinom mlijeku, a koncentracije indikatorskih PCB-ova u pojedinim slučajevima znatno premašuju granice bezbjednosti koje je postavila Svjetska zdravstvena organizacija (SZO). Jednom kada dospiju u životnu sredinu, PCB-ovi mogu ući u lanac ishrane.</w:t>
      </w:r>
    </w:p>
    <w:p w14:paraId="38F0006D"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PCB-ovi su navedeni u Aneksima A i C Stokholmske konvencije, koja propisuje sljedeće obaveze za države potpisnice:</w:t>
      </w:r>
    </w:p>
    <w:p w14:paraId="6A4D3727" w14:textId="77777777" w:rsidR="001D13C8" w:rsidRPr="00C86111" w:rsidRDefault="001D13C8" w:rsidP="00004F34">
      <w:pPr>
        <w:pStyle w:val="ListParagraph"/>
        <w:numPr>
          <w:ilvl w:val="0"/>
          <w:numId w:val="211"/>
        </w:num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Zabranu proizvodnje i novih upotreba PCB-ova;</w:t>
      </w:r>
    </w:p>
    <w:p w14:paraId="2F49C00A" w14:textId="08E71AF3" w:rsidR="001D13C8" w:rsidRPr="00C86111" w:rsidRDefault="001D13C8" w:rsidP="00004F34">
      <w:pPr>
        <w:pStyle w:val="ListParagraph"/>
        <w:numPr>
          <w:ilvl w:val="0"/>
          <w:numId w:val="211"/>
        </w:num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Obavezu identifikacije, obilježavanja i uklanjanja opreme koja sadrži PCB-ove (kao što su transformatori i kondenzatori) do 2025. </w:t>
      </w:r>
      <w:r w:rsidR="00F75D97">
        <w:rPr>
          <w:rFonts w:asciiTheme="minorHAnsi" w:hAnsiTheme="minorHAnsi" w:cstheme="minorHAnsi"/>
          <w:color w:val="auto"/>
          <w:szCs w:val="24"/>
        </w:rPr>
        <w:t>g</w:t>
      </w:r>
      <w:r w:rsidRPr="00C86111">
        <w:rPr>
          <w:rFonts w:asciiTheme="minorHAnsi" w:hAnsiTheme="minorHAnsi" w:cstheme="minorHAnsi"/>
          <w:color w:val="auto"/>
          <w:szCs w:val="24"/>
        </w:rPr>
        <w:t>odine;</w:t>
      </w:r>
    </w:p>
    <w:p w14:paraId="3B59168D" w14:textId="77777777" w:rsidR="001D13C8" w:rsidRPr="00C86111" w:rsidRDefault="001D13C8" w:rsidP="00004F34">
      <w:pPr>
        <w:pStyle w:val="ListParagraph"/>
        <w:numPr>
          <w:ilvl w:val="0"/>
          <w:numId w:val="211"/>
        </w:numPr>
        <w:jc w:val="both"/>
        <w:rPr>
          <w:rFonts w:asciiTheme="minorHAnsi" w:hAnsiTheme="minorHAnsi" w:cstheme="minorHAnsi"/>
          <w:color w:val="auto"/>
          <w:szCs w:val="24"/>
        </w:rPr>
      </w:pPr>
      <w:r w:rsidRPr="00C86111">
        <w:rPr>
          <w:rFonts w:asciiTheme="minorHAnsi" w:hAnsiTheme="minorHAnsi" w:cstheme="minorHAnsi"/>
          <w:color w:val="auto"/>
          <w:szCs w:val="24"/>
        </w:rPr>
        <w:t>Obavezu ekološki prihvatljivog upravljanja otpadom koji sadrži PCB-ove, kao i opremom kontaminiranom PCB-ovima, do 2028. Godine;</w:t>
      </w:r>
    </w:p>
    <w:p w14:paraId="63C2EDAC" w14:textId="77777777" w:rsidR="001D13C8" w:rsidRPr="00C86111" w:rsidRDefault="001D13C8" w:rsidP="00004F34">
      <w:pPr>
        <w:pStyle w:val="ListParagraph"/>
        <w:numPr>
          <w:ilvl w:val="0"/>
          <w:numId w:val="211"/>
        </w:numPr>
        <w:jc w:val="both"/>
        <w:rPr>
          <w:rFonts w:asciiTheme="minorHAnsi" w:hAnsiTheme="minorHAnsi" w:cstheme="minorHAnsi"/>
          <w:color w:val="auto"/>
          <w:szCs w:val="24"/>
        </w:rPr>
      </w:pPr>
      <w:r w:rsidRPr="00C86111">
        <w:rPr>
          <w:rFonts w:asciiTheme="minorHAnsi" w:hAnsiTheme="minorHAnsi" w:cstheme="minorHAnsi"/>
          <w:color w:val="auto"/>
          <w:szCs w:val="24"/>
        </w:rPr>
        <w:t>Identifikaciju i ekološki prihvatljivo upravljanje drugim predmetima koji sadrže PCB-ove (posebno u „otvorenim primjenama“);</w:t>
      </w:r>
    </w:p>
    <w:p w14:paraId="44EC0B0E" w14:textId="7131E468" w:rsidR="001D13C8" w:rsidRPr="00A84005" w:rsidRDefault="001D13C8" w:rsidP="00004F34">
      <w:pPr>
        <w:pStyle w:val="ListParagraph"/>
        <w:numPr>
          <w:ilvl w:val="0"/>
          <w:numId w:val="211"/>
        </w:numPr>
        <w:jc w:val="both"/>
        <w:rPr>
          <w:rFonts w:asciiTheme="minorHAnsi" w:hAnsiTheme="minorHAnsi" w:cstheme="minorHAnsi"/>
          <w:color w:val="auto"/>
          <w:szCs w:val="24"/>
        </w:rPr>
      </w:pPr>
      <w:r w:rsidRPr="00A84005">
        <w:rPr>
          <w:rFonts w:asciiTheme="minorHAnsi" w:hAnsiTheme="minorHAnsi" w:cstheme="minorHAnsi"/>
          <w:color w:val="auto"/>
          <w:szCs w:val="24"/>
        </w:rPr>
        <w:t>Zabranu izvoza ili uvoza PCB-ova, osim u svrhu ekološki bezbjednog upravljanja otpadom.</w:t>
      </w:r>
    </w:p>
    <w:p w14:paraId="2E70FA18" w14:textId="77777777" w:rsidR="001D13C8" w:rsidRPr="00C86111" w:rsidRDefault="001D13C8" w:rsidP="00004F34">
      <w:pPr>
        <w:pStyle w:val="Heading1"/>
        <w:numPr>
          <w:ilvl w:val="1"/>
          <w:numId w:val="238"/>
        </w:numPr>
      </w:pPr>
      <w:bookmarkStart w:id="34" w:name="_Toc220541866"/>
      <w:r w:rsidRPr="00C86111">
        <w:t>Poređenje sa prethodnim NIP-ovima</w:t>
      </w:r>
      <w:bookmarkEnd w:id="34"/>
    </w:p>
    <w:p w14:paraId="3F3734AC" w14:textId="77777777" w:rsidR="001D13C8" w:rsidRPr="00C86111" w:rsidRDefault="001D13C8" w:rsidP="001D13C8">
      <w:pPr>
        <w:jc w:val="both"/>
        <w:rPr>
          <w:rFonts w:asciiTheme="minorHAnsi" w:hAnsiTheme="minorHAnsi" w:cstheme="minorHAnsi"/>
          <w:color w:val="auto"/>
          <w:szCs w:val="24"/>
        </w:rPr>
      </w:pPr>
    </w:p>
    <w:p w14:paraId="43EC8F0A"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Ovo je treći put da Crna Gora priprema svoj Nacionalni plan implementacije (NIP) u okviru Stokholmske konvencije. Prvi NIP je izrađen ubrzo nakon što je Crna Gora postala potpisnica Konvencije i prvenstveno je bio usmjeren na uspostavljanje pravnog i institucionalnog okvira za upravljanje postojanim organskim zagađivačima (POPs), uključujući i PCB-ove. U toj fazi, inventar opreme koja sadrži PCB-ove nije bio potpun, te se zemlja uglavnom oslanjala na procjene i djelimične informacije dobijene od industrijskih operatera i energetskog sektora. Neki od ranih projekata uključivali su radionice za podizanje svijesti, preliminarne inventare i ograničeno uzorkovanje ulja iz transformatora.</w:t>
      </w:r>
    </w:p>
    <w:p w14:paraId="3A7BDF68" w14:textId="22146591"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Drugi NIP, pripremljen u periodu prije 2017. godine, dodatno je razradio obaveze i predložio konkretne mjere za upravljanje opremom i otpadom koji sadrže PCB-ove. Preduzete su brojne aktivnosti, među kojima i manji obimi izvoza opreme koja sadrži PCB-ove u inostranstvo radi ekološki prihvatljivog odlaganja, izrada pravilnika koji regulišu rukovanje otpadom sa PCB-ovima, te preliminarni planovi za uspostavljanje namjenskih skladišnih kapaciteta. Međutim, sprovođenje je bilo fragmentisano, a izostanak sveobuhvatnog nacionalnog plana upravljanja značio je da je napredak bio ograničen. Nedostatak sistematske identifikacije i obilježavanja opreme sa PCB-ovima, kao i nedovoljni tehnički kapaciteti, dodatno su ograničili rezultate.</w:t>
      </w:r>
    </w:p>
    <w:p w14:paraId="3D367638" w14:textId="77777777" w:rsidR="001D13C8" w:rsidRPr="00C86111" w:rsidRDefault="001D13C8" w:rsidP="00004F34">
      <w:pPr>
        <w:pStyle w:val="Heading1"/>
        <w:numPr>
          <w:ilvl w:val="1"/>
          <w:numId w:val="238"/>
        </w:numPr>
      </w:pPr>
      <w:bookmarkStart w:id="35" w:name="_Toc220541867"/>
      <w:r w:rsidRPr="00C86111">
        <w:t>Stanje implementacije planova aktivnosti</w:t>
      </w:r>
      <w:bookmarkEnd w:id="35"/>
    </w:p>
    <w:p w14:paraId="6D620939" w14:textId="77777777" w:rsidR="001D13C8" w:rsidRPr="00C86111" w:rsidRDefault="001D13C8" w:rsidP="001D13C8">
      <w:pPr>
        <w:jc w:val="both"/>
        <w:rPr>
          <w:rFonts w:asciiTheme="minorHAnsi" w:hAnsiTheme="minorHAnsi" w:cstheme="minorHAnsi"/>
          <w:color w:val="auto"/>
          <w:szCs w:val="24"/>
        </w:rPr>
      </w:pPr>
    </w:p>
    <w:p w14:paraId="6508C977"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Od 2017. godine postignut je značajan napredak u sprovođenju planova aktivnosti povezanih sa upravljanjem polihlorovanim bifenilima. Izrađen je Nacionalni plan upravljanja polihlorovanim bifenilima, a kroz uzastopne projekte koje je implementirao UNDP u saradnji sa CETI, CEDIS-om, UNIPROM KAP-om i drugim partnerima, sprovedeni su sveobuhvatni inventari. Uzorkovano je i obilježeno više od 5.000 komada opreme, a uspostavljena je i u potpunosti funkcionalna elektronska baza podataka (Feniks).</w:t>
      </w:r>
    </w:p>
    <w:p w14:paraId="4B711D17" w14:textId="038921DA"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Plan upravljanja je gotovo u potpunosti sproveden kombinacijom dekontaminacije i izvoza PCB opreme u inostranstvo. Konkretno, koncentrisani PCB otpad je izvezen u Francusku na spaljivanje pri visokim temperaturama, dok su kontaminirana oprema i zemljište poslati na dekontaminaciju i konačno odlaganje u Švajcarsku, Rumuniju, Njemačku i Sjevernu Makedoniju. Do kraja 2024. godine, približno 85% prvobitno identifikovanog PCB otpada i kontaminirane opreme uklonjeno je iz zemlje, a više od 1.000 tona kontaminiranog zemljišta je sanirano. Preostali izazovi uključuju </w:t>
      </w:r>
      <w:r w:rsidRPr="00C86111">
        <w:rPr>
          <w:rFonts w:asciiTheme="minorHAnsi" w:hAnsiTheme="minorHAnsi" w:cstheme="minorHAnsi"/>
          <w:color w:val="auto"/>
          <w:szCs w:val="24"/>
        </w:rPr>
        <w:lastRenderedPageBreak/>
        <w:t>odlaganje oko 40 tona opreme koja sadrži PCB-e i koja se još uvijek nalazi kod CEDIS-a i KAP-a, kao i kontinuirano praćenje kontaminiranih zemljišta.</w:t>
      </w:r>
    </w:p>
    <w:p w14:paraId="4D75CB9A" w14:textId="77777777" w:rsidR="001D13C8" w:rsidRPr="00C86111" w:rsidRDefault="001D13C8" w:rsidP="00004F34">
      <w:pPr>
        <w:pStyle w:val="Heading1"/>
        <w:numPr>
          <w:ilvl w:val="1"/>
          <w:numId w:val="238"/>
        </w:numPr>
      </w:pPr>
      <w:bookmarkStart w:id="36" w:name="_Toc220541868"/>
      <w:r w:rsidRPr="00C86111">
        <w:t>Proces inventarizacije polihlorovanih bifenila</w:t>
      </w:r>
      <w:bookmarkEnd w:id="36"/>
    </w:p>
    <w:p w14:paraId="3B10C164" w14:textId="77777777" w:rsidR="001D13C8" w:rsidRPr="00C86111" w:rsidRDefault="001D13C8" w:rsidP="001D13C8">
      <w:pPr>
        <w:jc w:val="both"/>
        <w:rPr>
          <w:rFonts w:asciiTheme="minorHAnsi" w:hAnsiTheme="minorHAnsi" w:cstheme="minorHAnsi"/>
          <w:b/>
          <w:bCs/>
          <w:color w:val="auto"/>
          <w:szCs w:val="24"/>
        </w:rPr>
      </w:pPr>
    </w:p>
    <w:p w14:paraId="0CD7E921" w14:textId="77777777" w:rsidR="001D13C8" w:rsidRPr="00C86111" w:rsidRDefault="001D13C8" w:rsidP="001D13C8">
      <w:pPr>
        <w:jc w:val="both"/>
        <w:rPr>
          <w:color w:val="auto"/>
        </w:rPr>
      </w:pPr>
      <w:r w:rsidRPr="00C86111">
        <w:rPr>
          <w:color w:val="auto"/>
        </w:rPr>
        <w:t xml:space="preserve">Proces inventarizacije polihlorovanih bifenila (PCB) u Crnoj Gori u značajnoj mjeri je unaprijeđen i olakšan kroz realizaciju projekta </w:t>
      </w:r>
      <w:r w:rsidRPr="00C86111">
        <w:rPr>
          <w:b/>
          <w:bCs/>
          <w:color w:val="auto"/>
        </w:rPr>
        <w:t>„Sveobuhvatno ekološki prihvatljivo upravljanje PCB-ovima u Crnoj Gori“</w:t>
      </w:r>
      <w:r w:rsidRPr="00C86111">
        <w:rPr>
          <w:color w:val="auto"/>
        </w:rPr>
        <w:t>, koji je predstavljao ključnu nacionalnu intervenciju u oblasti trajnih organskih zagađujućih supstanci. Ovaj projekat je po prvi put omogućio sistematsko i sveobuhvatno sagledavanje prisustva PCB-a u zemlji, kroz koordinisano uzorkovanje, laboratorijsku analizu i obilježavanje opreme. Paralelno sa tim, razvijeni su institucionalni i ljudski kapaciteti kroz obuke, priručnike i nacionalne smjernice, čime su domaće institucije i stručnjaci osposobljeni da samostalno vode i redovno ažuriraju nacionalni inventar PCB-ova. Na taj način, proces identifikacije, praćenja i planiranja upravljanja PCB-ovima postao je efikasniji, bezbjedniji i u potpunosti usklađen sa međunarodnim standardima.</w:t>
      </w:r>
    </w:p>
    <w:p w14:paraId="52175B9F" w14:textId="77777777" w:rsidR="001D13C8" w:rsidRPr="00C86111" w:rsidRDefault="001D13C8" w:rsidP="001D13C8">
      <w:pPr>
        <w:jc w:val="both"/>
        <w:rPr>
          <w:color w:val="auto"/>
        </w:rPr>
      </w:pPr>
      <w:r w:rsidRPr="00C86111">
        <w:rPr>
          <w:color w:val="auto"/>
        </w:rPr>
        <w:t>Realizacijom projekta Crna Gora je u velikoj mjeri riješila pitanje upravljanja PCB-ovima, čime je jedno od najosjetljivijih poglavlja u oblasti zaštite životne sredine i zdravlja ljudi gotovo u potpunosti zatvoreno. Projekat je bio osmišljen kao cjelovit i integrisan odgovor na ranije identifikovane izazove, počev od nepostojanja pouzdanog inventara i ograničenih institucionalnih kapaciteta, preko identifikacije kontaminirane opreme i lokacija, do sanacije, izvoza PCB otpada i zagađenog zemljišta, kao i jačanja zakonodavnog i institucionalnog okvira.</w:t>
      </w:r>
    </w:p>
    <w:p w14:paraId="6522CB49" w14:textId="77777777" w:rsidR="001D13C8" w:rsidRPr="00C86111" w:rsidRDefault="001D13C8" w:rsidP="001D13C8">
      <w:pPr>
        <w:jc w:val="both"/>
        <w:rPr>
          <w:color w:val="auto"/>
        </w:rPr>
      </w:pPr>
      <w:r w:rsidRPr="00C86111">
        <w:rPr>
          <w:color w:val="auto"/>
        </w:rPr>
        <w:t>U okviru projekta izrađen je sveobuhvatan nacionalni inventar PCB-ova, zasnovan na terenskom uzorkovanju i analizi opreme u upotrebi i opreme u fazi isključivanja. Ovaj proces je bio praćen intenzivnim jačanjem kapaciteta institucija i industrije kroz brojne obuke, izradu stručnih vodiča, studijske posjete i usvajanje nacionalnih smjernica za ekološki prihvatljivo upravljanje (ESM). Time su postavljeni temelji za dugoročno održiv sistem upravljanja PCB-ovima na nacionalnom nivou, uključujući uspostavljanje funkcionalne saradnje između javnog i privatnog sektora.</w:t>
      </w:r>
    </w:p>
    <w:p w14:paraId="02DD9846" w14:textId="77777777" w:rsidR="001D13C8" w:rsidRPr="00C86111" w:rsidRDefault="001D13C8" w:rsidP="001D13C8">
      <w:pPr>
        <w:jc w:val="both"/>
        <w:rPr>
          <w:color w:val="auto"/>
        </w:rPr>
      </w:pPr>
      <w:r w:rsidRPr="00C86111">
        <w:rPr>
          <w:color w:val="auto"/>
        </w:rPr>
        <w:t>Poseban segment projekta bio je usmjeren na praktično rješavanje problema naslijeđenog PCB otpada i kontaminiranih lokacija. Kroz primjenu najboljih dostupnih tehnologija i ekološki prihvatljivih praksi (BAT/BEP), unaprijeđeni su skladišni kapaciteti, sprovedena dekontaminacija transformatora, te izvršen izvoz nekoliko stotina tona PCB opreme, otpada i zagađenog zemljišta na tretman i konačno zbrinjavanje u inostranstvu. Sve aktivnosti sprovedene su u skladu sa zahtjevima Bazelske i Stokholmske konvencije, bez zabilježenih incidenata, uz kontinuirani nadzor i prenos znanja na nacionalne institucije.</w:t>
      </w:r>
    </w:p>
    <w:p w14:paraId="0A27665D" w14:textId="77777777" w:rsidR="001D13C8" w:rsidRPr="00C86111" w:rsidRDefault="001D13C8" w:rsidP="001D13C8">
      <w:pPr>
        <w:jc w:val="both"/>
        <w:rPr>
          <w:color w:val="auto"/>
        </w:rPr>
      </w:pPr>
      <w:r w:rsidRPr="00C86111">
        <w:rPr>
          <w:color w:val="auto"/>
        </w:rPr>
        <w:t>Rezultati projekta potvrđuju da je Crna Gora uspješno identifikovala, tretirala ili uklonila većinu opreme, otpada i kontaminiranog zemljišta koje sadrži PCB-e, čime su rizici po zdravlje ljudi i životnu sredinu značajno smanjeni. Istovremeno, kroz institucionalnu podršku, obrazovanje i razvoj regulatornog okvira, uspostavljeni su potrebni kapaciteti kako bi se upravljanje PCB-ovima u budućnosti odvijalo na održiv i efikasan način.</w:t>
      </w:r>
    </w:p>
    <w:p w14:paraId="248EA25B" w14:textId="77777777" w:rsidR="001D13C8" w:rsidRPr="00C86111" w:rsidRDefault="001D13C8" w:rsidP="001D13C8">
      <w:pPr>
        <w:jc w:val="both"/>
        <w:rPr>
          <w:color w:val="auto"/>
        </w:rPr>
      </w:pPr>
      <w:r w:rsidRPr="00C86111">
        <w:rPr>
          <w:color w:val="auto"/>
        </w:rPr>
        <w:t xml:space="preserve">U skladu sa Aneksom A, Dijelom II Stokholmske konvencije, upotreba opreme koja sadrži PCB-ove dozvoljena je do 2025. godine, uz poštovanje propisanih mjera bezbjednosti. Međutim, tečnosti i oprema kontaminirani PCB-ima sa sadržajem većim od 0,005% moraju se, što je prije moguće, a najkasnije do 2028. godine, zbrinuti na ekološki prihvatljiv način. U tom kontekstu, </w:t>
      </w:r>
      <w:r w:rsidRPr="00C86111">
        <w:rPr>
          <w:color w:val="auto"/>
        </w:rPr>
        <w:lastRenderedPageBreak/>
        <w:t>projekat je imao ključnu ulogu u obezbjeđivanju tehničke i finansijske podrške Crnoj Gori za identifikaciju i uklanjanje preostalih PCB-a u zemlji, kao i za planiranje završne faze njihovog potpunog isključivanja iz upotrebe.</w:t>
      </w:r>
    </w:p>
    <w:p w14:paraId="0EF739BF" w14:textId="77777777" w:rsidR="001D13C8" w:rsidRPr="00C86111" w:rsidRDefault="001D13C8" w:rsidP="001D13C8">
      <w:pPr>
        <w:jc w:val="both"/>
        <w:rPr>
          <w:color w:val="auto"/>
        </w:rPr>
      </w:pPr>
      <w:r w:rsidRPr="00C86111">
        <w:rPr>
          <w:color w:val="auto"/>
        </w:rPr>
        <w:t>Projekat je dao i značajan doprinos ostvarivanju Cilja održivog razvoja 12, posebno cilja 12.4, koji se odnosi na ekološki prihvatljivo upravljanje hemikalijama i otpadom tokom cijelog njihovog životnog ciklusa, uz značajno smanjenje negativnih uticaja na zdravlje ljudi i životnu sredinu.</w:t>
      </w:r>
    </w:p>
    <w:p w14:paraId="3D6EFD8F" w14:textId="77777777" w:rsidR="001D13C8" w:rsidRPr="00C86111" w:rsidRDefault="001D13C8" w:rsidP="001D13C8">
      <w:pPr>
        <w:jc w:val="both"/>
        <w:rPr>
          <w:color w:val="auto"/>
        </w:rPr>
      </w:pPr>
      <w:r w:rsidRPr="00C86111">
        <w:rPr>
          <w:color w:val="auto"/>
        </w:rPr>
        <w:t>Na početku implementacije projekta, Crna Gora se suočavala sa brojnim izazovima, uključujući opremu sa PCB-ima koja je bila u upotrebi ili neadekvatno skladištena, nepostojanje sistematskog nacionalnog inventara, nedovoljno razvijen regulatorni okvir i izostanak funkcionalnog sistema ekološki prihvatljivog upravljanja PCB-ima. Poseban rizik predstavljala je mogućnost unakrsne kontaminacije energetske opreme, kao i ograničeni nacionalni kapaciteti za dugoročno upravljanje ovom vrstom opasnog otpada.</w:t>
      </w:r>
    </w:p>
    <w:p w14:paraId="66023CBD" w14:textId="77777777" w:rsidR="001D13C8" w:rsidRPr="00C86111" w:rsidRDefault="001D13C8" w:rsidP="001D13C8">
      <w:pPr>
        <w:jc w:val="both"/>
        <w:rPr>
          <w:color w:val="auto"/>
        </w:rPr>
      </w:pPr>
      <w:r w:rsidRPr="00C86111">
        <w:rPr>
          <w:color w:val="auto"/>
        </w:rPr>
        <w:t>Projekat je sprovođen u bliskoj saradnji sa relevantnim institucijama i industrijskim partnerima, uključujući nadležno ministarstvo, CEDIS, UNIPROM KAP i druge vlasnike PCB opreme. Implementaciju je pratila snažna institucionalna podrška UNDP-a, uz tehnički nadzor međunarodnih eksperata i aktivno uključivanje regionalnih stručnjaka, čime je obezbijeđen prenos znanja i primjena najboljih međunarodnih praksi.</w:t>
      </w:r>
    </w:p>
    <w:p w14:paraId="7EE10276" w14:textId="77777777" w:rsidR="001D13C8" w:rsidRPr="00C86111" w:rsidRDefault="001D13C8" w:rsidP="001D13C8">
      <w:pPr>
        <w:jc w:val="both"/>
        <w:rPr>
          <w:color w:val="auto"/>
        </w:rPr>
      </w:pPr>
      <w:r w:rsidRPr="00C86111">
        <w:rPr>
          <w:color w:val="auto"/>
        </w:rPr>
        <w:t>Posebno važnu ulogu u projektu imao je CETI, koji je bio odgovoran za planiranje i sprovođenje uzorkovanja i analiza PCB-a. Uzorkovanjem je obuhvaćeno više od 5.000 jedinica opreme kod ključnih industrijskih subjekata, a uspostavljena je centralizovana elektronska baza podataka sa detaljnim informacijama o PCB i non-PCB opremi. Ova baza je predstavljala osnov za izradu Nacionalnog plana upravljanja PCB-a i omogućila je transparentno, kontinuirano i pouzdano praćenje stanja na nacionalnom nivou.</w:t>
      </w:r>
    </w:p>
    <w:p w14:paraId="192866F9" w14:textId="77777777" w:rsidR="001D13C8" w:rsidRPr="00C86111" w:rsidRDefault="001D13C8" w:rsidP="001D13C8">
      <w:pPr>
        <w:jc w:val="both"/>
        <w:rPr>
          <w:color w:val="auto"/>
        </w:rPr>
      </w:pPr>
      <w:r w:rsidRPr="00C86111">
        <w:rPr>
          <w:color w:val="auto"/>
        </w:rPr>
        <w:t>Ukupni rezultati projekta pokazali su da su planirani ciljevi ne samo ostvareni, već i premašeni, naročito u dijelu uklanjanja kontaminiranog zemljišta. Time je Crna Gora napravila značajan iskorak u ispunjavanju svojih obaveza iz Stokholmske konvencije i uspostavila čvrstu osnovu za dugoročno upravljanje PCB-ima i drugim sličnim opasnim supstancama.</w:t>
      </w:r>
    </w:p>
    <w:p w14:paraId="3E032CE8" w14:textId="77777777" w:rsidR="001D13C8" w:rsidRPr="00C86111" w:rsidRDefault="001D13C8" w:rsidP="001D13C8">
      <w:pPr>
        <w:jc w:val="both"/>
        <w:rPr>
          <w:color w:val="auto"/>
        </w:rPr>
      </w:pPr>
    </w:p>
    <w:p w14:paraId="1ADEA0F1" w14:textId="77777777" w:rsidR="001D13C8" w:rsidRPr="00C86111" w:rsidRDefault="001D13C8" w:rsidP="00EA6904">
      <w:pPr>
        <w:pStyle w:val="Heading3"/>
      </w:pPr>
      <w:bookmarkStart w:id="37" w:name="_Toc220541869"/>
      <w:r w:rsidRPr="00C86111">
        <w:t>Rezultati projekta „Sveobuhvatno ekološki prihvatljivo upravljanje PCB-ovima u Crnoj Gori“</w:t>
      </w:r>
      <w:bookmarkEnd w:id="37"/>
    </w:p>
    <w:p w14:paraId="69D0FD2A" w14:textId="77777777" w:rsidR="001D13C8" w:rsidRPr="00C86111" w:rsidRDefault="001D13C8" w:rsidP="001D13C8">
      <w:pPr>
        <w:jc w:val="both"/>
        <w:rPr>
          <w:b/>
          <w:bCs/>
          <w:color w:val="auto"/>
        </w:rPr>
      </w:pPr>
    </w:p>
    <w:p w14:paraId="118D1644" w14:textId="77777777" w:rsidR="001D13C8" w:rsidRPr="00C86111" w:rsidRDefault="001D13C8" w:rsidP="001D13C8">
      <w:pPr>
        <w:jc w:val="both"/>
        <w:rPr>
          <w:color w:val="auto"/>
        </w:rPr>
      </w:pPr>
      <w:r w:rsidRPr="00C86111">
        <w:rPr>
          <w:color w:val="auto"/>
        </w:rPr>
        <w:t>U okviru projekta sprovedena je prva sveobuhvatna identifikacija, inventarizacija i zbrinjavanje PCB-kontaminirane opreme i otpada u Crnoj Gori, čime je stvorena čvrsta osnova za dugoročno upravljanje ovom vrstom opasnog otpada u skladu sa Stokholmskom konvencijom.</w:t>
      </w:r>
    </w:p>
    <w:p w14:paraId="6C9BF8A8" w14:textId="77777777" w:rsidR="001D13C8" w:rsidRPr="00C86111" w:rsidRDefault="001D13C8" w:rsidP="001D13C8">
      <w:pPr>
        <w:jc w:val="both"/>
        <w:rPr>
          <w:color w:val="auto"/>
        </w:rPr>
      </w:pPr>
      <w:r w:rsidRPr="00C86111">
        <w:rPr>
          <w:color w:val="auto"/>
        </w:rPr>
        <w:t>Inventar i karakterizacija PCB-a.</w:t>
      </w:r>
    </w:p>
    <w:p w14:paraId="369F2996" w14:textId="77777777" w:rsidR="001D13C8" w:rsidRPr="00C86111" w:rsidRDefault="001D13C8" w:rsidP="001D13C8">
      <w:pPr>
        <w:jc w:val="both"/>
        <w:rPr>
          <w:color w:val="auto"/>
        </w:rPr>
      </w:pPr>
      <w:r w:rsidRPr="00C86111">
        <w:rPr>
          <w:color w:val="auto"/>
        </w:rPr>
        <w:t>Tokom projekta uzorkovano je i analizirano više od 5.000 jedinica elektroenergetske opreme, pri čemu je identifikovano ukupno 183 PCB-kontaminirana transformatora u vlasništvu UNIPROM KAP-a, CEDIS-a i kompanije Politropus Alternativa. Ukupna masa ovih transformatora iznosila je 519,5 t, uključujući 140,2 t PCB-kontaminiranog ulja.</w:t>
      </w:r>
    </w:p>
    <w:p w14:paraId="130B3058" w14:textId="77777777" w:rsidR="001D13C8" w:rsidRPr="00C86111" w:rsidRDefault="001D13C8" w:rsidP="001D13C8">
      <w:pPr>
        <w:jc w:val="both"/>
        <w:rPr>
          <w:color w:val="auto"/>
        </w:rPr>
      </w:pPr>
      <w:r w:rsidRPr="00C86111">
        <w:rPr>
          <w:color w:val="auto"/>
        </w:rPr>
        <w:t>Transformatori su razvrstani prema nivou kontaminacije, od niskih koncentracija (50–500 ppm) do veoma visokih vrijednosti (&gt;20.000 ppm), što je omogućilo izbor optimalne metode upravljanja (dekontaminacija ili trajno zbrinjavanje).</w:t>
      </w:r>
    </w:p>
    <w:p w14:paraId="2F4A5312" w14:textId="77777777" w:rsidR="001D13C8" w:rsidRPr="00C86111" w:rsidRDefault="001D13C8" w:rsidP="001D13C8">
      <w:pPr>
        <w:jc w:val="both"/>
        <w:rPr>
          <w:color w:val="auto"/>
        </w:rPr>
      </w:pPr>
      <w:r w:rsidRPr="00C86111">
        <w:rPr>
          <w:color w:val="auto"/>
        </w:rPr>
        <w:t>Inventar je obuhvatio i 1.306 kondenzatora, od kojih je 1.170 potvrđeno kao PCB-kontaminirano, ukupne mase 63,4 t.</w:t>
      </w:r>
    </w:p>
    <w:p w14:paraId="5161AEBB" w14:textId="77777777" w:rsidR="001D13C8" w:rsidRPr="00C86111" w:rsidRDefault="001D13C8" w:rsidP="001D13C8">
      <w:pPr>
        <w:jc w:val="both"/>
        <w:rPr>
          <w:color w:val="auto"/>
        </w:rPr>
      </w:pPr>
      <w:r w:rsidRPr="00C86111">
        <w:rPr>
          <w:color w:val="auto"/>
        </w:rPr>
        <w:lastRenderedPageBreak/>
        <w:t>Dodatno su identifikovane značajne količine PCB otpada u obliku otpadnih ulja, mulja, kontaminiranog zemljišta, čvrstog otpada i ambalaže, čime je ukupna količina PCB-ova u zemlji procijenjena na oko 650 t.</w:t>
      </w:r>
    </w:p>
    <w:p w14:paraId="2B7929EE" w14:textId="77777777" w:rsidR="001D13C8" w:rsidRPr="00C86111" w:rsidRDefault="001D13C8" w:rsidP="001D13C8">
      <w:pPr>
        <w:jc w:val="both"/>
        <w:rPr>
          <w:color w:val="auto"/>
        </w:rPr>
      </w:pPr>
    </w:p>
    <w:p w14:paraId="59B117EC" w14:textId="4ABF759A" w:rsidR="001D13C8" w:rsidRPr="00C86111" w:rsidRDefault="001D13C8" w:rsidP="001D13C8">
      <w:pPr>
        <w:jc w:val="both"/>
        <w:rPr>
          <w:color w:val="auto"/>
        </w:rPr>
      </w:pPr>
      <w:r w:rsidRPr="00C86111">
        <w:rPr>
          <w:b/>
          <w:bCs/>
          <w:color w:val="auto"/>
        </w:rPr>
        <w:t>Analiza uzoraka</w:t>
      </w:r>
      <w:r w:rsidR="004C4490" w:rsidRPr="00C86111">
        <w:rPr>
          <w:b/>
          <w:bCs/>
          <w:color w:val="auto"/>
          <w:lang w:val="sr-Latn-RS"/>
        </w:rPr>
        <w:t>:</w:t>
      </w:r>
      <w:r w:rsidRPr="00C86111">
        <w:rPr>
          <w:color w:val="auto"/>
        </w:rPr>
        <w:t>Za identifikaciju PCB-a korišćene su akreditovane metode:</w:t>
      </w:r>
    </w:p>
    <w:p w14:paraId="79EF9F02" w14:textId="77777777" w:rsidR="001D13C8" w:rsidRPr="00C86111" w:rsidRDefault="001D13C8" w:rsidP="00004F34">
      <w:pPr>
        <w:numPr>
          <w:ilvl w:val="0"/>
          <w:numId w:val="212"/>
        </w:numPr>
        <w:jc w:val="both"/>
        <w:rPr>
          <w:color w:val="auto"/>
        </w:rPr>
      </w:pPr>
      <w:r w:rsidRPr="00C86111">
        <w:rPr>
          <w:color w:val="auto"/>
        </w:rPr>
        <w:t>brza skrining analiza (2.998 uzoraka) i</w:t>
      </w:r>
    </w:p>
    <w:p w14:paraId="78B40D9A" w14:textId="77777777" w:rsidR="001D13C8" w:rsidRPr="00C86111" w:rsidRDefault="001D13C8" w:rsidP="00004F34">
      <w:pPr>
        <w:numPr>
          <w:ilvl w:val="0"/>
          <w:numId w:val="212"/>
        </w:numPr>
        <w:jc w:val="both"/>
        <w:rPr>
          <w:color w:val="auto"/>
        </w:rPr>
      </w:pPr>
      <w:r w:rsidRPr="00C86111">
        <w:rPr>
          <w:color w:val="auto"/>
        </w:rPr>
        <w:t>gasna hromatografija (GC) (1.309 uzoraka).</w:t>
      </w:r>
    </w:p>
    <w:p w14:paraId="2E7AD325" w14:textId="77777777" w:rsidR="001D13C8" w:rsidRPr="00C86111" w:rsidRDefault="001D13C8" w:rsidP="001D13C8">
      <w:pPr>
        <w:jc w:val="both"/>
        <w:rPr>
          <w:color w:val="auto"/>
        </w:rPr>
      </w:pPr>
      <w:r w:rsidRPr="00C86111">
        <w:rPr>
          <w:color w:val="auto"/>
        </w:rPr>
        <w:t>Obje metode bile su akreditovane od strane Akreditacionog tijela Crne Gore, što je obezbijedilo pouzdanost podataka korišćenih za inventar i planiranje mjera.</w:t>
      </w:r>
    </w:p>
    <w:p w14:paraId="3902F235" w14:textId="77777777" w:rsidR="001D13C8" w:rsidRPr="00C86111" w:rsidRDefault="001D13C8" w:rsidP="001D13C8">
      <w:pPr>
        <w:jc w:val="both"/>
        <w:rPr>
          <w:color w:val="auto"/>
        </w:rPr>
      </w:pPr>
    </w:p>
    <w:p w14:paraId="034A6775" w14:textId="3D0AB837" w:rsidR="001D13C8" w:rsidRPr="00C86111" w:rsidRDefault="001D13C8" w:rsidP="001D13C8">
      <w:pPr>
        <w:jc w:val="both"/>
        <w:rPr>
          <w:color w:val="auto"/>
        </w:rPr>
      </w:pPr>
      <w:r w:rsidRPr="00C86111">
        <w:rPr>
          <w:b/>
          <w:bCs/>
          <w:color w:val="auto"/>
        </w:rPr>
        <w:t>Nacionalni inventar PCB-a</w:t>
      </w:r>
      <w:r w:rsidR="004C4490" w:rsidRPr="00C86111">
        <w:rPr>
          <w:b/>
          <w:bCs/>
          <w:color w:val="auto"/>
        </w:rPr>
        <w:t xml:space="preserve">: </w:t>
      </w:r>
      <w:r w:rsidRPr="00C86111">
        <w:rPr>
          <w:color w:val="auto"/>
        </w:rPr>
        <w:t>Na osnovu rezultata projekta formirana je nacionalna baza podataka PCB-a, koja trenutno sadrži 4.538 jedinica opreme. Instaliran je i operativan informacioni sistem FENIKS, a relevantne institucije (CETI, CEDIS i KAP) obučene su za njegovo korišćenje.</w:t>
      </w:r>
    </w:p>
    <w:p w14:paraId="586FB271" w14:textId="77777777" w:rsidR="001D13C8" w:rsidRPr="00C86111" w:rsidRDefault="001D13C8" w:rsidP="001D13C8">
      <w:pPr>
        <w:jc w:val="both"/>
        <w:rPr>
          <w:color w:val="auto"/>
        </w:rPr>
      </w:pPr>
      <w:r w:rsidRPr="00C86111">
        <w:rPr>
          <w:color w:val="auto"/>
        </w:rPr>
        <w:t>Baza je dostupna on-line i predstavlja osnovu za Nacionalni plan upravljanja PCB-ovima, kao i za izvještavanje prema Stokholmskoj konvenciji.</w:t>
      </w:r>
    </w:p>
    <w:p w14:paraId="501D8912" w14:textId="77777777" w:rsidR="001D13C8" w:rsidRPr="00C86111" w:rsidRDefault="001D13C8" w:rsidP="001D13C8">
      <w:pPr>
        <w:jc w:val="both"/>
        <w:rPr>
          <w:color w:val="auto"/>
        </w:rPr>
      </w:pPr>
    </w:p>
    <w:p w14:paraId="2BBEFDD3" w14:textId="6A554A5C" w:rsidR="001D13C8" w:rsidRPr="00C86111" w:rsidRDefault="001D13C8" w:rsidP="001D13C8">
      <w:pPr>
        <w:jc w:val="both"/>
        <w:rPr>
          <w:color w:val="auto"/>
        </w:rPr>
      </w:pPr>
      <w:r w:rsidRPr="00C86111">
        <w:rPr>
          <w:b/>
          <w:bCs/>
          <w:color w:val="auto"/>
        </w:rPr>
        <w:t>Ekološki prihvatljivo upravljanje (ESM)</w:t>
      </w:r>
      <w:r w:rsidR="004C4490" w:rsidRPr="00C86111">
        <w:rPr>
          <w:b/>
          <w:bCs/>
          <w:color w:val="auto"/>
        </w:rPr>
        <w:t xml:space="preserve">: </w:t>
      </w:r>
      <w:r w:rsidRPr="00C86111">
        <w:rPr>
          <w:color w:val="auto"/>
        </w:rPr>
        <w:t>U KAP-u je rekonstruisano skladište za bezbjedno privremeno skladištenje PCB otpada, dok je za CEDIS izrađen glavni projekat skladišta.</w:t>
      </w:r>
      <w:r w:rsidRPr="00C86111">
        <w:rPr>
          <w:color w:val="auto"/>
        </w:rPr>
        <w:br/>
        <w:t>Sva identifikovana PCB oprema i otpad (100%) uklonjeni su iz Crne Gore i izvezeni na konačno zbrinjavanje u ovlašćeno postrojenje u Francuskoj (HTI Tredi, 2019).</w:t>
      </w:r>
    </w:p>
    <w:p w14:paraId="591C5281" w14:textId="77777777" w:rsidR="001D13C8" w:rsidRPr="00C86111" w:rsidRDefault="001D13C8" w:rsidP="001D13C8">
      <w:pPr>
        <w:jc w:val="both"/>
        <w:rPr>
          <w:color w:val="auto"/>
        </w:rPr>
      </w:pPr>
      <w:r w:rsidRPr="00C86111">
        <w:rPr>
          <w:color w:val="auto"/>
        </w:rPr>
        <w:t>Istovremeno je sprovedena dekontaminacija 59 transformatora (82 t), čime su vraćeni u upotrebu uz potpunu usklađenost sa međunarodnim standardima (IEC 60422 i Direktiva 59/96/EEC).</w:t>
      </w:r>
    </w:p>
    <w:p w14:paraId="2E960A50" w14:textId="77777777" w:rsidR="001D13C8" w:rsidRPr="00C86111" w:rsidRDefault="001D13C8" w:rsidP="001D13C8">
      <w:pPr>
        <w:jc w:val="both"/>
        <w:rPr>
          <w:color w:val="auto"/>
        </w:rPr>
      </w:pPr>
      <w:r w:rsidRPr="00C86111">
        <w:rPr>
          <w:color w:val="auto"/>
        </w:rPr>
        <w:t>Transport 248 t PCB otpada izvršen je u skladu sa ADR pravilima i Bazelskom konvencijom, bez zabilježenih bezbjednosnih incidenata.</w:t>
      </w:r>
    </w:p>
    <w:p w14:paraId="4D1664AC" w14:textId="77777777" w:rsidR="001D13C8" w:rsidRPr="00C86111" w:rsidRDefault="001D13C8" w:rsidP="001D13C8">
      <w:pPr>
        <w:jc w:val="both"/>
        <w:rPr>
          <w:color w:val="auto"/>
        </w:rPr>
      </w:pPr>
    </w:p>
    <w:p w14:paraId="5CD156C4" w14:textId="134724BD" w:rsidR="001D13C8" w:rsidRPr="00C86111" w:rsidRDefault="001D13C8" w:rsidP="001D13C8">
      <w:pPr>
        <w:jc w:val="both"/>
        <w:rPr>
          <w:color w:val="auto"/>
        </w:rPr>
      </w:pPr>
      <w:r w:rsidRPr="00C86111">
        <w:rPr>
          <w:b/>
          <w:bCs/>
          <w:color w:val="auto"/>
        </w:rPr>
        <w:t>Sanacija zagađenog zemljišta</w:t>
      </w:r>
      <w:r w:rsidR="004C4490" w:rsidRPr="00C86111">
        <w:rPr>
          <w:b/>
          <w:bCs/>
          <w:color w:val="auto"/>
        </w:rPr>
        <w:t>:</w:t>
      </w:r>
      <w:r w:rsidRPr="00C86111">
        <w:rPr>
          <w:color w:val="auto"/>
        </w:rPr>
        <w:t>Procijenjeno je da je između 3.000 i 4.000 t zemljišta bilo kontaminirano PCB-ovima. Najzagađeniji dio (1.050 t) uklonjen je i izvezen na tretman u Njemačku, čime su eliminisana glavna žarišta rizika po životnu sredinu i zdravlje ljudi.</w:t>
      </w:r>
    </w:p>
    <w:p w14:paraId="5511AE87" w14:textId="77777777" w:rsidR="001D13C8" w:rsidRPr="00C86111" w:rsidRDefault="001D13C8" w:rsidP="00EA6904">
      <w:pPr>
        <w:pStyle w:val="Heading4"/>
      </w:pPr>
      <w:r w:rsidRPr="00C86111">
        <w:t>Ukupni efekti projekta</w:t>
      </w:r>
    </w:p>
    <w:p w14:paraId="21509D44" w14:textId="7DD3C72D" w:rsidR="001D13C8" w:rsidRPr="00C86111" w:rsidRDefault="001D13C8" w:rsidP="004C4490">
      <w:pPr>
        <w:jc w:val="both"/>
        <w:rPr>
          <w:color w:val="auto"/>
        </w:rPr>
      </w:pPr>
      <w:r w:rsidRPr="00C86111">
        <w:rPr>
          <w:color w:val="auto"/>
        </w:rPr>
        <w:t>Realizacijom projekta</w:t>
      </w:r>
      <w:r w:rsidR="004C4490" w:rsidRPr="00C86111">
        <w:rPr>
          <w:color w:val="auto"/>
        </w:rPr>
        <w:t xml:space="preserve"> </w:t>
      </w:r>
      <w:r w:rsidRPr="00C86111">
        <w:rPr>
          <w:color w:val="auto"/>
        </w:rPr>
        <w:t>trajno je zbrinuto 475 t PCB otpada i opreme,80 t transformatora je dekontaminirano i vraćeno u rad,sanirano je 1.050 t zagađenog zemljišta</w:t>
      </w:r>
      <w:r w:rsidR="004C4490" w:rsidRPr="00C86111">
        <w:rPr>
          <w:color w:val="auto"/>
        </w:rPr>
        <w:t xml:space="preserve"> I </w:t>
      </w:r>
      <w:r w:rsidRPr="00C86111">
        <w:rPr>
          <w:color w:val="auto"/>
        </w:rPr>
        <w:t>uklonjeno je približno 85% ukupnih PCB-ova evidentiranih u Crnoj Gori.</w:t>
      </w:r>
    </w:p>
    <w:p w14:paraId="2CADF3ED" w14:textId="77777777" w:rsidR="001D13C8" w:rsidRPr="00C86111" w:rsidRDefault="001D13C8" w:rsidP="001D13C8">
      <w:pPr>
        <w:jc w:val="both"/>
        <w:rPr>
          <w:color w:val="auto"/>
        </w:rPr>
      </w:pPr>
      <w:r w:rsidRPr="00C86111">
        <w:rPr>
          <w:color w:val="auto"/>
        </w:rPr>
        <w:t>Preostale količine (oko 40 t opreme u KAP-u i CEDIS-u) sada su precizno evidentirane, kontrolisane i uključene u sistem daljeg upravljanja u okviru Nacionalnog implementacionog plana.</w:t>
      </w:r>
    </w:p>
    <w:p w14:paraId="7291F626" w14:textId="77777777" w:rsidR="001D13C8" w:rsidRPr="00C86111" w:rsidRDefault="001D13C8" w:rsidP="00EA6904">
      <w:pPr>
        <w:pStyle w:val="Heading4"/>
      </w:pPr>
      <w:r w:rsidRPr="00C86111">
        <w:t>Ključne aktivnosti po godinama:</w:t>
      </w:r>
    </w:p>
    <w:p w14:paraId="649CFFBF" w14:textId="77777777" w:rsidR="001D13C8" w:rsidRPr="00C86111" w:rsidRDefault="001D13C8" w:rsidP="00004F34">
      <w:pPr>
        <w:pStyle w:val="NormalWeb"/>
        <w:numPr>
          <w:ilvl w:val="0"/>
          <w:numId w:val="213"/>
        </w:numPr>
        <w:jc w:val="both"/>
        <w:rPr>
          <w:rFonts w:asciiTheme="minorHAnsi" w:hAnsiTheme="minorHAnsi" w:cstheme="minorHAnsi"/>
        </w:rPr>
      </w:pPr>
      <w:r w:rsidRPr="00C86111">
        <w:rPr>
          <w:rFonts w:asciiTheme="minorHAnsi" w:hAnsiTheme="minorHAnsi" w:cstheme="minorHAnsi"/>
          <w:b/>
          <w:bCs/>
        </w:rPr>
        <w:t>2018:</w:t>
      </w:r>
      <w:r w:rsidRPr="00C86111">
        <w:rPr>
          <w:rFonts w:asciiTheme="minorHAnsi" w:hAnsiTheme="minorHAnsi" w:cstheme="minorHAnsi"/>
        </w:rPr>
        <w:t xml:space="preserve"> Testirano ~1.600 uzoraka, razvijen softver za PCB inventar, organizovana obuka i studijska posjeta Sjevernoj Makedoniji, izvezeno 100 t PCB otpada, razvijen glavni projekat za buduće skladište, kreiran web sajt projekta.</w:t>
      </w:r>
    </w:p>
    <w:p w14:paraId="760C2A9C" w14:textId="77777777" w:rsidR="001D13C8" w:rsidRPr="00C86111" w:rsidRDefault="001D13C8" w:rsidP="00004F34">
      <w:pPr>
        <w:pStyle w:val="NormalWeb"/>
        <w:numPr>
          <w:ilvl w:val="0"/>
          <w:numId w:val="213"/>
        </w:numPr>
        <w:jc w:val="both"/>
        <w:rPr>
          <w:rFonts w:asciiTheme="minorHAnsi" w:hAnsiTheme="minorHAnsi" w:cstheme="minorHAnsi"/>
        </w:rPr>
      </w:pPr>
      <w:r w:rsidRPr="00C86111">
        <w:rPr>
          <w:rFonts w:asciiTheme="minorHAnsi" w:hAnsiTheme="minorHAnsi" w:cstheme="minorHAnsi"/>
          <w:b/>
          <w:bCs/>
        </w:rPr>
        <w:lastRenderedPageBreak/>
        <w:t>2019:</w:t>
      </w:r>
      <w:r w:rsidRPr="00C86111">
        <w:rPr>
          <w:rFonts w:asciiTheme="minorHAnsi" w:hAnsiTheme="minorHAnsi" w:cstheme="minorHAnsi"/>
        </w:rPr>
        <w:t xml:space="preserve"> Završena PCB inventura, analizirane metode dekontaminacije, izgrađen Nacionalni plan upravljanja PCB-om, zbrinuto 248 t PCB otpada u HT incineratoru.</w:t>
      </w:r>
    </w:p>
    <w:p w14:paraId="4BCB95E9" w14:textId="77777777" w:rsidR="001D13C8" w:rsidRPr="00C86111" w:rsidRDefault="001D13C8" w:rsidP="00004F34">
      <w:pPr>
        <w:pStyle w:val="NormalWeb"/>
        <w:numPr>
          <w:ilvl w:val="0"/>
          <w:numId w:val="213"/>
        </w:numPr>
        <w:jc w:val="both"/>
        <w:rPr>
          <w:rFonts w:asciiTheme="minorHAnsi" w:hAnsiTheme="minorHAnsi" w:cstheme="minorHAnsi"/>
        </w:rPr>
      </w:pPr>
      <w:r w:rsidRPr="00C86111">
        <w:rPr>
          <w:rFonts w:asciiTheme="minorHAnsi" w:hAnsiTheme="minorHAnsi" w:cstheme="minorHAnsi"/>
          <w:b/>
          <w:bCs/>
        </w:rPr>
        <w:t>2020:</w:t>
      </w:r>
      <w:r w:rsidRPr="00C86111">
        <w:rPr>
          <w:rFonts w:asciiTheme="minorHAnsi" w:hAnsiTheme="minorHAnsi" w:cstheme="minorHAnsi"/>
        </w:rPr>
        <w:t xml:space="preserve"> Redovno ažuriranje inventara, planirane obuke odložene zbog Covid-19, završena studija o rodnoj dimenziji POPs, pripremljeni tenderi za dekontaminaciju i zbrinjavanje PCB otpada.</w:t>
      </w:r>
    </w:p>
    <w:p w14:paraId="5C42F392" w14:textId="77777777" w:rsidR="001D13C8" w:rsidRPr="00C86111" w:rsidRDefault="001D13C8" w:rsidP="00004F34">
      <w:pPr>
        <w:pStyle w:val="NormalWeb"/>
        <w:numPr>
          <w:ilvl w:val="0"/>
          <w:numId w:val="213"/>
        </w:numPr>
        <w:jc w:val="both"/>
        <w:rPr>
          <w:rFonts w:asciiTheme="minorHAnsi" w:hAnsiTheme="minorHAnsi" w:cstheme="minorHAnsi"/>
        </w:rPr>
      </w:pPr>
      <w:r w:rsidRPr="00C86111">
        <w:rPr>
          <w:rFonts w:asciiTheme="minorHAnsi" w:hAnsiTheme="minorHAnsi" w:cstheme="minorHAnsi"/>
          <w:b/>
          <w:bCs/>
        </w:rPr>
        <w:t>2021:</w:t>
      </w:r>
      <w:r w:rsidRPr="00C86111">
        <w:rPr>
          <w:rFonts w:asciiTheme="minorHAnsi" w:hAnsiTheme="minorHAnsi" w:cstheme="minorHAnsi"/>
        </w:rPr>
        <w:t xml:space="preserve"> Dekontaminirano 82 t PCB opreme, zbrinuto 224 t PCB otpada, pripremljen tender za zbrinjavanje zaraženog zemljišta, istraživanje prisustva PCB-a u krvi radnika, obuke o rukovanju PCB otpadom.</w:t>
      </w:r>
    </w:p>
    <w:p w14:paraId="0F86FF69" w14:textId="77777777" w:rsidR="001D13C8" w:rsidRPr="00C86111" w:rsidRDefault="001D13C8" w:rsidP="00004F34">
      <w:pPr>
        <w:pStyle w:val="NormalWeb"/>
        <w:numPr>
          <w:ilvl w:val="0"/>
          <w:numId w:val="213"/>
        </w:numPr>
        <w:jc w:val="both"/>
        <w:rPr>
          <w:rFonts w:asciiTheme="minorHAnsi" w:hAnsiTheme="minorHAnsi" w:cstheme="minorHAnsi"/>
        </w:rPr>
      </w:pPr>
      <w:r w:rsidRPr="00C86111">
        <w:rPr>
          <w:rFonts w:asciiTheme="minorHAnsi" w:hAnsiTheme="minorHAnsi" w:cstheme="minorHAnsi"/>
          <w:b/>
          <w:bCs/>
        </w:rPr>
        <w:t>2022:</w:t>
      </w:r>
      <w:r w:rsidRPr="00C86111">
        <w:rPr>
          <w:rFonts w:asciiTheme="minorHAnsi" w:hAnsiTheme="minorHAnsi" w:cstheme="minorHAnsi"/>
        </w:rPr>
        <w:t xml:space="preserve"> Uklonjeno i zbrinuto 1.050 t PCB-zaraženog zemljišta, rekonstruisano skladište PCB, organizovana obuka o sanaciji lokacije i studijska posjeta Institutu RECETOX.</w:t>
      </w:r>
    </w:p>
    <w:p w14:paraId="49010AAD" w14:textId="69DDBDF7" w:rsidR="001D13C8" w:rsidRPr="00C86111" w:rsidRDefault="001D13C8" w:rsidP="001D13C8">
      <w:pPr>
        <w:jc w:val="both"/>
        <w:rPr>
          <w:rFonts w:asciiTheme="minorHAnsi" w:hAnsiTheme="minorHAnsi" w:cstheme="minorHAnsi"/>
          <w:color w:val="auto"/>
          <w:szCs w:val="24"/>
        </w:rPr>
      </w:pPr>
      <w:r w:rsidRPr="00C86111">
        <w:rPr>
          <w:rFonts w:asciiTheme="minorHAnsi" w:eastAsia="Times New Roman" w:hAnsiTheme="minorHAnsi" w:cstheme="minorHAnsi"/>
          <w:color w:val="auto"/>
          <w:szCs w:val="24"/>
        </w:rPr>
        <w:t>Ukupno, projekat je značajno unaprijedio monitoring, upravljanje i sigurno zbrinjavanje PCB otpada i opreme, uključujući dekontaminaciju i sanaciju zemljišta.</w:t>
      </w:r>
      <w:r w:rsidRPr="00C86111">
        <w:rPr>
          <w:rFonts w:asciiTheme="minorHAnsi" w:hAnsiTheme="minorHAnsi" w:cstheme="minorHAnsi"/>
        </w:rPr>
        <w:t xml:space="preserve"> </w:t>
      </w:r>
      <w:r w:rsidRPr="00C86111">
        <w:rPr>
          <w:color w:val="auto"/>
        </w:rPr>
        <w:t>U tabeli 1</w:t>
      </w:r>
      <w:r w:rsidR="004C4490" w:rsidRPr="00C86111">
        <w:rPr>
          <w:color w:val="auto"/>
        </w:rPr>
        <w:t>0</w:t>
      </w:r>
      <w:r w:rsidRPr="00C86111">
        <w:rPr>
          <w:color w:val="auto"/>
        </w:rPr>
        <w:t xml:space="preserve"> dat </w:t>
      </w:r>
      <w:r w:rsidRPr="00C86111">
        <w:rPr>
          <w:rFonts w:asciiTheme="minorHAnsi" w:hAnsiTheme="minorHAnsi" w:cstheme="minorHAnsi"/>
          <w:color w:val="auto"/>
          <w:szCs w:val="24"/>
        </w:rPr>
        <w:t>je pregled sve inventarisane opreme, broj testova i vlasnika opreme u Crnoj Gori.</w:t>
      </w:r>
    </w:p>
    <w:p w14:paraId="48E4B64E" w14:textId="77777777" w:rsidR="001D13C8" w:rsidRDefault="001D13C8" w:rsidP="001D13C8">
      <w:pPr>
        <w:jc w:val="both"/>
        <w:rPr>
          <w:rFonts w:asciiTheme="minorHAnsi" w:hAnsiTheme="minorHAnsi" w:cstheme="minorHAnsi"/>
          <w:color w:val="auto"/>
          <w:szCs w:val="24"/>
        </w:rPr>
      </w:pPr>
      <w:r w:rsidRPr="00C86111">
        <w:rPr>
          <w:rFonts w:asciiTheme="minorHAnsi" w:hAnsiTheme="minorHAnsi" w:cstheme="minorHAnsi"/>
          <w:vanish/>
          <w:color w:val="auto"/>
          <w:szCs w:val="24"/>
        </w:rPr>
        <w:t>Bottom of Form</w:t>
      </w:r>
    </w:p>
    <w:p w14:paraId="19ECA8EF" w14:textId="77777777" w:rsidR="00A84005" w:rsidRPr="00C86111" w:rsidRDefault="00A84005" w:rsidP="001D13C8">
      <w:pPr>
        <w:jc w:val="both"/>
        <w:rPr>
          <w:rFonts w:asciiTheme="minorHAnsi" w:hAnsiTheme="minorHAnsi" w:cstheme="minorHAnsi"/>
          <w:vanish/>
          <w:color w:val="auto"/>
          <w:szCs w:val="24"/>
        </w:rPr>
      </w:pPr>
    </w:p>
    <w:p w14:paraId="09329B37" w14:textId="7ACDAA4F"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b/>
          <w:bCs/>
          <w:color w:val="auto"/>
          <w:szCs w:val="24"/>
        </w:rPr>
        <w:t>Tabela 1</w:t>
      </w:r>
      <w:r w:rsidR="004C4490" w:rsidRPr="00C86111">
        <w:rPr>
          <w:rFonts w:asciiTheme="minorHAnsi" w:hAnsiTheme="minorHAnsi" w:cstheme="minorHAnsi"/>
          <w:b/>
          <w:bCs/>
          <w:color w:val="auto"/>
          <w:szCs w:val="24"/>
        </w:rPr>
        <w:t>0</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Pregled sve inventarisane opreme, broj testova i vlasnici opreme u Crnoj Gori (važi do decembra 2024.)</w:t>
      </w:r>
    </w:p>
    <w:tbl>
      <w:tblPr>
        <w:tblStyle w:val="GridTable5Dark-Accent6"/>
        <w:tblW w:w="0" w:type="auto"/>
        <w:tblLayout w:type="fixed"/>
        <w:tblLook w:val="04A0" w:firstRow="1" w:lastRow="0" w:firstColumn="1" w:lastColumn="0" w:noHBand="0" w:noVBand="1"/>
      </w:tblPr>
      <w:tblGrid>
        <w:gridCol w:w="1885"/>
        <w:gridCol w:w="911"/>
        <w:gridCol w:w="871"/>
        <w:gridCol w:w="1278"/>
        <w:gridCol w:w="1170"/>
        <w:gridCol w:w="900"/>
        <w:gridCol w:w="1980"/>
      </w:tblGrid>
      <w:tr w:rsidR="001D13C8" w:rsidRPr="00C86111" w14:paraId="68AA35B3" w14:textId="77777777" w:rsidTr="001D13C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85" w:type="dxa"/>
            <w:tcBorders>
              <w:bottom w:val="single" w:sz="4" w:space="0" w:color="FFFFFF" w:themeColor="background1"/>
            </w:tcBorders>
            <w:vAlign w:val="center"/>
            <w:hideMark/>
          </w:tcPr>
          <w:p w14:paraId="75794E64" w14:textId="77777777" w:rsidR="001D13C8" w:rsidRPr="00C86111" w:rsidRDefault="001D13C8">
            <w:pPr>
              <w:jc w:val="center"/>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Vlasnici opreme</w:t>
            </w:r>
          </w:p>
        </w:tc>
        <w:tc>
          <w:tcPr>
            <w:tcW w:w="911" w:type="dxa"/>
            <w:tcBorders>
              <w:bottom w:val="single" w:sz="4" w:space="0" w:color="FFFFFF" w:themeColor="background1"/>
            </w:tcBorders>
            <w:vAlign w:val="center"/>
            <w:hideMark/>
          </w:tcPr>
          <w:p w14:paraId="49C1421F" w14:textId="77777777" w:rsidR="001D13C8" w:rsidRPr="00C86111" w:rsidRDefault="001D13C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Inventarisana oprema</w:t>
            </w:r>
          </w:p>
        </w:tc>
        <w:tc>
          <w:tcPr>
            <w:tcW w:w="871" w:type="dxa"/>
            <w:tcBorders>
              <w:bottom w:val="single" w:sz="4" w:space="0" w:color="FFFFFF" w:themeColor="background1"/>
            </w:tcBorders>
            <w:vAlign w:val="center"/>
            <w:hideMark/>
          </w:tcPr>
          <w:p w14:paraId="16127967" w14:textId="77777777" w:rsidR="001D13C8" w:rsidRPr="00C86111" w:rsidRDefault="001D13C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Broj skrining testova</w:t>
            </w:r>
          </w:p>
        </w:tc>
        <w:tc>
          <w:tcPr>
            <w:tcW w:w="1278" w:type="dxa"/>
            <w:tcBorders>
              <w:bottom w:val="single" w:sz="4" w:space="0" w:color="FFFFFF" w:themeColor="background1"/>
            </w:tcBorders>
            <w:vAlign w:val="center"/>
            <w:hideMark/>
          </w:tcPr>
          <w:p w14:paraId="5DC82B99" w14:textId="77777777" w:rsidR="001D13C8" w:rsidRPr="00C86111" w:rsidRDefault="001D13C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Broj pozitivnih skrining testova</w:t>
            </w:r>
          </w:p>
        </w:tc>
        <w:tc>
          <w:tcPr>
            <w:tcW w:w="1170" w:type="dxa"/>
            <w:tcBorders>
              <w:bottom w:val="single" w:sz="4" w:space="0" w:color="FFFFFF" w:themeColor="background1"/>
            </w:tcBorders>
            <w:vAlign w:val="center"/>
            <w:hideMark/>
          </w:tcPr>
          <w:p w14:paraId="633D7BD9" w14:textId="77777777" w:rsidR="001D13C8" w:rsidRPr="00C86111" w:rsidRDefault="001D13C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Broj negativnih skrining testova</w:t>
            </w:r>
          </w:p>
        </w:tc>
        <w:tc>
          <w:tcPr>
            <w:tcW w:w="900" w:type="dxa"/>
            <w:tcBorders>
              <w:bottom w:val="single" w:sz="4" w:space="0" w:color="FFFFFF" w:themeColor="background1"/>
            </w:tcBorders>
            <w:vAlign w:val="center"/>
            <w:hideMark/>
          </w:tcPr>
          <w:p w14:paraId="48C529EB" w14:textId="77777777" w:rsidR="001D13C8" w:rsidRPr="00C86111" w:rsidRDefault="001D13C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GC analiza</w:t>
            </w:r>
          </w:p>
        </w:tc>
        <w:tc>
          <w:tcPr>
            <w:tcW w:w="1980" w:type="dxa"/>
            <w:tcBorders>
              <w:bottom w:val="single" w:sz="4" w:space="0" w:color="FFFFFF" w:themeColor="background1"/>
            </w:tcBorders>
            <w:vAlign w:val="center"/>
            <w:hideMark/>
          </w:tcPr>
          <w:p w14:paraId="4EE60066" w14:textId="77777777" w:rsidR="001D13C8" w:rsidRPr="00C86111" w:rsidRDefault="001D13C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Broj GC analiza sa sadržajem PCB &gt;50 ppm</w:t>
            </w:r>
          </w:p>
        </w:tc>
      </w:tr>
      <w:tr w:rsidR="001D13C8" w:rsidRPr="00C86111" w14:paraId="0E2E3DC7" w14:textId="77777777" w:rsidTr="001D13C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64DAFC67"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KAP transformatori</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011D63B"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75474F9"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119</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E181846"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102</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D680887"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B1BE760"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103</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88840E4"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99</w:t>
            </w:r>
          </w:p>
        </w:tc>
      </w:tr>
      <w:tr w:rsidR="001D13C8" w:rsidRPr="00C86111" w14:paraId="3624A691" w14:textId="77777777" w:rsidTr="001D13C8">
        <w:trPr>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1F04B1B1"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KAP kondenzatori</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221A833"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1008</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03E5849"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93</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2CDC55B"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83</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B190FED"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B849EBC"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86</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9CA6F83"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83</w:t>
            </w:r>
          </w:p>
        </w:tc>
      </w:tr>
      <w:tr w:rsidR="001D13C8" w:rsidRPr="00C86111" w14:paraId="7E8DDB28" w14:textId="77777777" w:rsidTr="001D13C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3716E86F"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HEMOSAN kondenzatori</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4DFC96A"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206</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83E87E1"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1EF8833"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D48CE9D"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D2B3ED0"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F15B356"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r>
      <w:tr w:rsidR="001D13C8" w:rsidRPr="00C86111" w14:paraId="6EDAB470" w14:textId="77777777" w:rsidTr="001D13C8">
        <w:trPr>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231D838C"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NEKSAN kondenzatori</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E4C48A2"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85</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F8B403A"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C2BAE96"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2D58F33"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5E38825"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4EACD81"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r>
      <w:tr w:rsidR="001D13C8" w:rsidRPr="00C86111" w14:paraId="30772356" w14:textId="77777777" w:rsidTr="001D13C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57492027"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CEDIS transformatori (skladište Hemosan)</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B634E90"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BC9AE5A"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75</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332637A"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29</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F1EFC4F"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46</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2C25D5B"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56</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5845329"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w:t>
            </w:r>
          </w:p>
        </w:tc>
      </w:tr>
      <w:tr w:rsidR="001D13C8" w:rsidRPr="00C86111" w14:paraId="4B01DE6D" w14:textId="77777777" w:rsidTr="001D13C8">
        <w:trPr>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6593731B"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CEDIS transformatori na stubovima</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4B3BCFB"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E65D1C8"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32DD561"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05F970C"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E3272AA"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211</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065C34B"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w:t>
            </w:r>
          </w:p>
        </w:tc>
      </w:tr>
      <w:tr w:rsidR="001D13C8" w:rsidRPr="00C86111" w14:paraId="46F27484" w14:textId="77777777" w:rsidTr="001D13C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21BECEB2"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Politropus Alternative transformatori</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00C4700"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20C97A6"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822B48B"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674E7EE"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DF2481D"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2C55248"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w:t>
            </w:r>
          </w:p>
        </w:tc>
      </w:tr>
      <w:tr w:rsidR="001D13C8" w:rsidRPr="00C86111" w14:paraId="6DD09C18" w14:textId="77777777" w:rsidTr="001D13C8">
        <w:trPr>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5E6CB60E"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KAP PCB otpad (zemljište, ulje iz rezervoara…)</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B912994"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AF4DB38"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E8AE5FB"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1A5CAF1"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06743A9"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49B8881"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w:t>
            </w:r>
          </w:p>
        </w:tc>
      </w:tr>
      <w:tr w:rsidR="001D13C8" w:rsidRPr="00C86111" w14:paraId="34EC3A2E" w14:textId="77777777" w:rsidTr="001D13C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77013FBF"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Rudnik Uglja transformatori</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5F78C7C"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66</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4D51B89"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58</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E8E09DE"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A1D8535"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52</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98C09F6"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C66F5B1"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r>
      <w:tr w:rsidR="001D13C8" w:rsidRPr="00C86111" w14:paraId="4D7B7532" w14:textId="77777777" w:rsidTr="001D13C8">
        <w:trPr>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6580B6FF"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Rudnik Uglja kondenzatori</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5F94EFF"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59</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85857DE"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02FA137"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E486BFD"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B637472"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1770159"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w:t>
            </w:r>
          </w:p>
        </w:tc>
      </w:tr>
      <w:tr w:rsidR="001D13C8" w:rsidRPr="00C86111" w14:paraId="6B750529" w14:textId="77777777" w:rsidTr="001D13C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144BCC0B"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Rudnik Uglja prekidači</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ADF8EE0"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23</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D78E8CA"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28756D1"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D1A43B3"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3A41793"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9292B75"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r>
      <w:tr w:rsidR="001D13C8" w:rsidRPr="00C86111" w14:paraId="23D3AAE5" w14:textId="77777777" w:rsidTr="001D13C8">
        <w:trPr>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bottom w:val="single" w:sz="4" w:space="0" w:color="FFFFFF" w:themeColor="background1"/>
              <w:right w:val="single" w:sz="4" w:space="0" w:color="FFFFFF" w:themeColor="background1"/>
            </w:tcBorders>
            <w:vAlign w:val="center"/>
            <w:hideMark/>
          </w:tcPr>
          <w:p w14:paraId="0353F80D"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Luka Bar i Port of Adria transformatori</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75FAB77"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37</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C41DC89"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37</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5B63841"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19</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A98F033"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843C585"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19</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AFD55DC" w14:textId="77777777" w:rsidR="001D13C8" w:rsidRPr="00C86111" w:rsidRDefault="001D13C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w:t>
            </w:r>
          </w:p>
        </w:tc>
      </w:tr>
      <w:tr w:rsidR="001D13C8" w:rsidRPr="00C86111" w14:paraId="59B3785D" w14:textId="77777777" w:rsidTr="001D13C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FFFFFF" w:themeColor="background1"/>
              <w:right w:val="single" w:sz="4" w:space="0" w:color="FFFFFF" w:themeColor="background1"/>
            </w:tcBorders>
            <w:vAlign w:val="center"/>
            <w:hideMark/>
          </w:tcPr>
          <w:p w14:paraId="0A4FE218" w14:textId="77777777" w:rsidR="001D13C8" w:rsidRPr="00C86111" w:rsidRDefault="001D13C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lastRenderedPageBreak/>
              <w:t>CEDIS ukupno</w:t>
            </w:r>
          </w:p>
        </w:tc>
        <w:tc>
          <w:tcPr>
            <w:tcW w:w="9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5A17076"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2.698</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D642C1F"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2.553</w:t>
            </w:r>
          </w:p>
        </w:tc>
        <w:tc>
          <w:tcPr>
            <w:tcW w:w="1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6FD5F27"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754</w:t>
            </w:r>
          </w:p>
        </w:tc>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138365B"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1.799</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48A1D11"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754</w:t>
            </w: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18A1779" w14:textId="77777777" w:rsidR="001D13C8" w:rsidRPr="00C86111" w:rsidRDefault="001D13C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37</w:t>
            </w:r>
          </w:p>
        </w:tc>
      </w:tr>
    </w:tbl>
    <w:p w14:paraId="64287DEE" w14:textId="77777777" w:rsidR="001D13C8" w:rsidRPr="00C86111" w:rsidRDefault="001D13C8" w:rsidP="001D13C8">
      <w:pPr>
        <w:jc w:val="both"/>
        <w:rPr>
          <w:rFonts w:asciiTheme="minorHAnsi" w:hAnsiTheme="minorHAnsi" w:cstheme="minorHAnsi"/>
          <w:b/>
          <w:bCs/>
          <w:color w:val="auto"/>
          <w:szCs w:val="24"/>
        </w:rPr>
      </w:pPr>
    </w:p>
    <w:p w14:paraId="00741252"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Crna Gora učestvuje u projektu pod nazivom </w:t>
      </w:r>
      <w:r w:rsidRPr="00C86111">
        <w:rPr>
          <w:rFonts w:asciiTheme="minorHAnsi" w:hAnsiTheme="minorHAnsi" w:cstheme="minorHAnsi"/>
          <w:b/>
          <w:bCs/>
          <w:color w:val="auto"/>
          <w:szCs w:val="24"/>
        </w:rPr>
        <w:t>„Smanjenje zagađenja štetnim hemikalijama i otpadom na hotspot područjima Mediterana”</w:t>
      </w:r>
      <w:r w:rsidRPr="00C86111">
        <w:rPr>
          <w:rFonts w:asciiTheme="minorHAnsi" w:hAnsiTheme="minorHAnsi" w:cstheme="minorHAnsi"/>
          <w:color w:val="auto"/>
          <w:szCs w:val="24"/>
        </w:rPr>
        <w:t>. Projekat se fokusira na dvije glavne aktivnosti vezane za hemikalije i otpad: jedna uključuje uklanjanje opreme koja sadrži PCB, a druga se bavi procjenom zagađenja u Bokokotorskom zalivu, uključujući opcije za sanaciju kontaminiranih morskih sedimenata (poput teških metala, PAH-ova i PCB-a). Projekat predviđa izvoz i konačno uklanjanje približno 80 tona PCB-zagađene opreme iz Crne Gore do marta 2026. godine. Ovaj proces će uključivati označavanje, pakovanje, transport, otpremu i zbrinjavanje PCB otpada iz opreme koja se povlači iz upotrebe.</w:t>
      </w:r>
    </w:p>
    <w:p w14:paraId="205F0D52"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Centar za ekotoksikološka ispitivanja (CETI) potpisao je Ugovor o finansiranju male skale (Small-Scale Funding Agreement – SSFA) sa UNEP-om za implementaciju komponente projekta pod nazivom: „Smanjenje zagađenja štetnim hemikalijama i otpadom na hotspot područjima Mediterana”.</w:t>
      </w:r>
    </w:p>
    <w:p w14:paraId="798ED5E2"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Cilj ovog projekta je smanjenje zagađenja štetnim hemikalijama i otpadom na hotspot područjima Mediterana. MedProgramme se sprovodi u više zemalja koje ispunjavaju kriterijume Globalnog ekološkog fonda (GEF), uključujući i Crnu Goru.</w:t>
      </w:r>
    </w:p>
    <w:p w14:paraId="77B029CC"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Fokus analiza odnosio se na procjenu zagađenja sedimenata u lukama PCB-om i živom, kao i na procjenu ekološkog rizika povezanog sa Bokom Kotorskom i lukom Risan u Crnoj Gori te lukom Bar. Primarni ishod ove procjene bio je identifikacija potencijalnog zagađenja na dnu luka, na osnovu čega je sprovedena procjena rizika za navedena područja.</w:t>
      </w:r>
    </w:p>
    <w:p w14:paraId="3C406A20"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Izvođenje ugovorenih aktivnosti započelo je temeljnom revizijom dostupne tehničke dokumentacije vezane za trenutno stanje i izazove na istraživačkim lokacijama. Nakon terenskih posjeta i saradnje sa stručnjakom UNEP-a, identifikovana su istraživačka područja, razvijen je konceptualni model lokacije, te je uspostavljen detaljan plan uzorkovanja.</w:t>
      </w:r>
    </w:p>
    <w:p w14:paraId="0E342093"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Prikupljen je značajan broj uzoraka sedimenata koji su analizirani, nakon čega je sprovedena sveobuhvatna evaluacija rezultata. Analizirani su uzorci sedimenata iz Boke Kotorske (Tivatski i Risanski zaliv), kao i iz Luke Bar.</w:t>
      </w:r>
    </w:p>
    <w:p w14:paraId="00D25DCE"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Na osnovu rezultata istraživanja, u 2025. godini razvijen je Plan ekološki prihvatljivog upravljanja za monitoring i sanaciju područja Boke Kotorske (Porto Montenegro) i Luke Bar. U okviru ovog plana predložene su mjere za smanjenje ekoloških rizika od lučkih aktivnosti i kopnenih izvora zagađenja.</w:t>
      </w:r>
    </w:p>
    <w:p w14:paraId="2165565E"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Sveobuhvatan Plan upravljanja zaštitom životne sredine, potpomognut Planom za reagovanje na izlivanja i Planom upravljanja prašinom (za Luku Bar), osmišljen je tako da:</w:t>
      </w:r>
    </w:p>
    <w:p w14:paraId="47AF2645" w14:textId="77777777" w:rsidR="001D13C8" w:rsidRPr="00C86111" w:rsidRDefault="001D13C8" w:rsidP="00004F34">
      <w:pPr>
        <w:numPr>
          <w:ilvl w:val="0"/>
          <w:numId w:val="214"/>
        </w:numPr>
        <w:jc w:val="both"/>
        <w:rPr>
          <w:rFonts w:asciiTheme="minorHAnsi" w:hAnsiTheme="minorHAnsi" w:cstheme="minorHAnsi"/>
          <w:color w:val="auto"/>
          <w:szCs w:val="24"/>
        </w:rPr>
      </w:pPr>
      <w:r w:rsidRPr="00C86111">
        <w:rPr>
          <w:rFonts w:asciiTheme="minorHAnsi" w:hAnsiTheme="minorHAnsi" w:cstheme="minorHAnsi"/>
          <w:color w:val="auto"/>
          <w:szCs w:val="24"/>
        </w:rPr>
        <w:t>minimizira ispuštanje zagađujućih materija u luku</w:t>
      </w:r>
    </w:p>
    <w:p w14:paraId="255C0D68" w14:textId="77777777" w:rsidR="001D13C8" w:rsidRPr="00C86111" w:rsidRDefault="001D13C8" w:rsidP="00004F34">
      <w:pPr>
        <w:numPr>
          <w:ilvl w:val="0"/>
          <w:numId w:val="214"/>
        </w:numPr>
        <w:jc w:val="both"/>
        <w:rPr>
          <w:rFonts w:asciiTheme="minorHAnsi" w:hAnsiTheme="minorHAnsi" w:cstheme="minorHAnsi"/>
          <w:color w:val="auto"/>
          <w:szCs w:val="24"/>
        </w:rPr>
      </w:pPr>
      <w:r w:rsidRPr="00C86111">
        <w:rPr>
          <w:rFonts w:asciiTheme="minorHAnsi" w:hAnsiTheme="minorHAnsi" w:cstheme="minorHAnsi"/>
          <w:color w:val="auto"/>
          <w:szCs w:val="24"/>
        </w:rPr>
        <w:t>zaštiti zdravlje radnika i javnosti</w:t>
      </w:r>
    </w:p>
    <w:p w14:paraId="577B12F7" w14:textId="77777777" w:rsidR="001D13C8" w:rsidRPr="00C86111" w:rsidRDefault="001D13C8" w:rsidP="00004F34">
      <w:pPr>
        <w:numPr>
          <w:ilvl w:val="0"/>
          <w:numId w:val="214"/>
        </w:numPr>
        <w:jc w:val="both"/>
        <w:rPr>
          <w:rFonts w:asciiTheme="minorHAnsi" w:hAnsiTheme="minorHAnsi" w:cstheme="minorHAnsi"/>
          <w:color w:val="auto"/>
          <w:szCs w:val="24"/>
        </w:rPr>
      </w:pPr>
      <w:r w:rsidRPr="00C86111">
        <w:rPr>
          <w:rFonts w:asciiTheme="minorHAnsi" w:hAnsiTheme="minorHAnsi" w:cstheme="minorHAnsi"/>
          <w:color w:val="auto"/>
          <w:szCs w:val="24"/>
        </w:rPr>
        <w:t>osigura potpunu usklađenost sa relevantnim zakonima, propisima i standardima.</w:t>
      </w:r>
    </w:p>
    <w:p w14:paraId="279372D0"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Ovaj pristup predstavlja temelj za kontinuirani monitoring, procjenu rizika i implementaciju preventivnih i korektivnih mjera u cilju očuvanja ekološke bezbjednosti i održivog upravljanja lukama u Crnoj Gori.</w:t>
      </w:r>
    </w:p>
    <w:p w14:paraId="7937B41A" w14:textId="77777777" w:rsidR="001D13C8" w:rsidRPr="00C86111" w:rsidRDefault="001D13C8" w:rsidP="00004F34">
      <w:pPr>
        <w:pStyle w:val="Heading1"/>
        <w:numPr>
          <w:ilvl w:val="1"/>
          <w:numId w:val="238"/>
        </w:numPr>
      </w:pPr>
      <w:bookmarkStart w:id="38" w:name="_Toc220541870"/>
      <w:r w:rsidRPr="00C86111">
        <w:lastRenderedPageBreak/>
        <w:t>ZAKLJUČAK</w:t>
      </w:r>
      <w:bookmarkEnd w:id="38"/>
    </w:p>
    <w:p w14:paraId="69054FDD"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Ovaj odeljak predstavlja zaključke proizašle iz analize inventara PCB-a i diskusije njegovih rezultata. Istaknuti su ključni problemi, praznine, izazovi i sprovedene aktivnosti, pružajući osnovu za razvoj Akcionih planova u okviru ažuriranog Nacionalnog plana implementacije. Nakon završetka ovog odeljka, rad na inventaru PCB-a u Crnoj Gori može se smatrati završenim.</w:t>
      </w:r>
    </w:p>
    <w:p w14:paraId="0BD5CC65"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U okviru projekta „Smanjenje zagađenja štetnim hemikalijama i otpadom u hotspot područjima Mediterana i merenje napretka ka uticajima“, Crna Gora se obavezala na potpunu sanaciju preostalog PCB otpada. Posebna pažnja i dalje će biti posvećena ostacima PCB-a u Bokokotorskom zalivu, posebno u zoni nekadašnje brodogradilišne zone Bijela, gde su svi izazovi na kopnu već rešeni. Kontinuirano praćenje ovih ostataka osiguraće njihovo stalno upravljanje i zaštitu životne sredine.</w:t>
      </w:r>
    </w:p>
    <w:p w14:paraId="240F02E1" w14:textId="77777777" w:rsidR="001D13C8" w:rsidRPr="00C86111" w:rsidRDefault="001D13C8" w:rsidP="001D13C8">
      <w:pPr>
        <w:jc w:val="both"/>
        <w:rPr>
          <w:rFonts w:asciiTheme="minorHAnsi" w:hAnsiTheme="minorHAnsi" w:cstheme="minorHAnsi"/>
          <w:color w:val="auto"/>
          <w:szCs w:val="24"/>
        </w:rPr>
      </w:pPr>
      <w:r w:rsidRPr="00C86111">
        <w:rPr>
          <w:rFonts w:asciiTheme="minorHAnsi" w:hAnsiTheme="minorHAnsi" w:cstheme="minorHAnsi"/>
          <w:color w:val="auto"/>
          <w:szCs w:val="24"/>
        </w:rPr>
        <w:t>Nakon izvoza preostalih približno 80 tona PCB otpada iz Crne Gore, planiranog za prvu polovinu 2026. godine, Crna Gora će moći biti smatrana zemljom slobodnom od PCB-a (PCB-free), u skladu sa obavezama iz Stockholm konvencije i relevantnim međunarodnim standardima.</w:t>
      </w:r>
    </w:p>
    <w:p w14:paraId="08CF9989" w14:textId="01EA003F" w:rsidR="0081146A" w:rsidRPr="00C86111" w:rsidRDefault="001D13C8" w:rsidP="00C323EA">
      <w:pPr>
        <w:jc w:val="both"/>
        <w:rPr>
          <w:b/>
          <w:bCs/>
          <w:color w:val="auto"/>
          <w:szCs w:val="24"/>
        </w:rPr>
      </w:pPr>
      <w:r w:rsidRPr="00C86111">
        <w:rPr>
          <w:rFonts w:asciiTheme="minorHAnsi" w:hAnsiTheme="minorHAnsi" w:cstheme="minorHAnsi"/>
          <w:color w:val="auto"/>
          <w:szCs w:val="24"/>
        </w:rPr>
        <w:t>Ovaj korak predstavlja ključnu fazu u postizanju potpune eliminacije PCB zagađenja, značajno doprinosi unapređenju ekološke sigurnosti, zaštiti javnog zdravlja i održivom upravljanju hemikalijama u Crnoj Gori.</w:t>
      </w:r>
    </w:p>
    <w:p w14:paraId="5E1246AB" w14:textId="3FF57E9F" w:rsidR="00201FE9" w:rsidRPr="00C86111" w:rsidRDefault="00201FE9" w:rsidP="00912C4C">
      <w:pPr>
        <w:pStyle w:val="Heading1"/>
        <w:rPr>
          <w:bCs/>
        </w:rPr>
      </w:pPr>
      <w:bookmarkStart w:id="39" w:name="_Toc220541871"/>
      <w:r w:rsidRPr="00C86111">
        <w:t>NENAMJERNO PROIZVEDENI POP</w:t>
      </w:r>
      <w:r w:rsidRPr="00C86111">
        <w:rPr>
          <w:rFonts w:cs="Arial"/>
        </w:rPr>
        <w:t>‘</w:t>
      </w:r>
      <w:r w:rsidRPr="00C86111">
        <w:t>s</w:t>
      </w:r>
      <w:bookmarkEnd w:id="39"/>
    </w:p>
    <w:p w14:paraId="7E2DF72B" w14:textId="77777777" w:rsidR="00201FE9" w:rsidRPr="00C86111" w:rsidRDefault="00201FE9" w:rsidP="00201FE9">
      <w:pPr>
        <w:jc w:val="center"/>
        <w:rPr>
          <w:b/>
          <w:bCs/>
          <w:color w:val="auto"/>
          <w:szCs w:val="24"/>
        </w:rPr>
      </w:pPr>
    </w:p>
    <w:p w14:paraId="44701FC9" w14:textId="76235DBB" w:rsidR="00201FE9" w:rsidRPr="00C86111" w:rsidRDefault="00201FE9" w:rsidP="00201FE9">
      <w:pPr>
        <w:jc w:val="both"/>
        <w:rPr>
          <w:rFonts w:asciiTheme="minorHAnsi" w:hAnsiTheme="minorHAnsi" w:cstheme="minorHAnsi"/>
          <w:color w:val="auto"/>
        </w:rPr>
      </w:pPr>
      <w:r w:rsidRPr="00C86111">
        <w:rPr>
          <w:rFonts w:asciiTheme="minorHAnsi" w:hAnsiTheme="minorHAnsi" w:cstheme="minorHAnsi"/>
          <w:color w:val="auto"/>
        </w:rPr>
        <w:t xml:space="preserve">Ovaj uvod predstavlja pregled Inventara nenamjerno proizvedenih </w:t>
      </w:r>
      <w:r w:rsidR="004C4490" w:rsidRPr="00C86111">
        <w:rPr>
          <w:rFonts w:asciiTheme="minorHAnsi" w:hAnsiTheme="minorHAnsi" w:cstheme="minorHAnsi"/>
          <w:color w:val="auto"/>
        </w:rPr>
        <w:t>d</w:t>
      </w:r>
      <w:r w:rsidRPr="00C86111">
        <w:rPr>
          <w:rFonts w:asciiTheme="minorHAnsi" w:hAnsiTheme="minorHAnsi" w:cstheme="minorHAnsi"/>
          <w:color w:val="auto"/>
        </w:rPr>
        <w:t>ugotrajnih organskih zagađujućih materija (POPs), uključujući PCDD/PCDF, na teritoriji Crne Gore. Inventar je formiran kroz sistematsku procjenu emisija nastalih u različitim sektorskim aktivnostima u periodu od 2006. do 2022. godine, u skladu sa odredbama Stokholmske konvencije. Njegova svrha je identifikacija i kvantifikacija najznačajnijih izvora zagađenja, kao i njihova karakterizacija, kako bi se omogućilo planiranje mjera za sprječavanje generisanja POPs supstanci i smanjenje njihove prisutnosti u okolišu. Iako Inventar pruža detaljan uvid u emisije, on ne daje potpunu sliku o uticaju na izloženost stanovništva i ekosistema, već predstavlja osnovu za definisanje prioritetnih mjera i aktivnosti u cilju zaštite zdravlja ljudi i životne sredine.</w:t>
      </w:r>
    </w:p>
    <w:p w14:paraId="1C8042E8" w14:textId="77777777" w:rsidR="00201FE9" w:rsidRPr="00C86111" w:rsidRDefault="00201FE9" w:rsidP="00201FE9">
      <w:pPr>
        <w:jc w:val="both"/>
        <w:rPr>
          <w:rFonts w:asciiTheme="minorHAnsi" w:hAnsiTheme="minorHAnsi" w:cstheme="minorHAnsi"/>
          <w:color w:val="auto"/>
        </w:rPr>
      </w:pPr>
    </w:p>
    <w:p w14:paraId="7F936C6F" w14:textId="45CFC7A5" w:rsidR="00201FE9" w:rsidRDefault="00201FE9" w:rsidP="00004F34">
      <w:pPr>
        <w:pStyle w:val="Heading1"/>
        <w:numPr>
          <w:ilvl w:val="1"/>
          <w:numId w:val="238"/>
        </w:numPr>
        <w:rPr>
          <w:lang w:val="sr-Latn-RS"/>
        </w:rPr>
      </w:pPr>
      <w:bookmarkStart w:id="40" w:name="_Toc501437743"/>
      <w:bookmarkStart w:id="41" w:name="_Toc220541872"/>
      <w:r w:rsidRPr="00C86111">
        <w:rPr>
          <w:lang w:val="sr-Latn-RS"/>
        </w:rPr>
        <w:t>Procjena nenamjerno proizvedenih POP’s iz Aneksa C (PCDD/PCDF, HCB i PCB) Stokholmske konvencije</w:t>
      </w:r>
      <w:bookmarkEnd w:id="40"/>
      <w:bookmarkEnd w:id="41"/>
    </w:p>
    <w:p w14:paraId="474527E5" w14:textId="77777777" w:rsidR="00A84005" w:rsidRPr="00A84005" w:rsidRDefault="00A84005" w:rsidP="00A84005">
      <w:pPr>
        <w:rPr>
          <w:lang w:val="sr-Latn-RS"/>
        </w:rPr>
      </w:pPr>
    </w:p>
    <w:p w14:paraId="75ACA5DC" w14:textId="089FDCED"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Za potrebu pripreme i izrade inventara emisija PCDD/PCDF korišćeno je Uputstvo za identifikaciju i kvantifikaciju emisija dioksina, furana i ostalih nenamjerno proizvedenih POP’s (Toolkit for Identification and Quantification of Releases of Dioxins, Furans and Other Unintentional POP's), koje je izdao UNEP u januaru 2013. godine (UNEP. 2013) (u daljem tekstu UNEP-ov vodič). Ova publikacija sadrži detaljno razvijenu metodologiju sa ciljem da pomogne zemljama potpisnicama Stokholmske konvencije u uspostavljanju inventara nenamjerno </w:t>
      </w:r>
      <w:r w:rsidR="004C4490" w:rsidRPr="00C86111">
        <w:rPr>
          <w:rFonts w:asciiTheme="minorHAnsi" w:hAnsiTheme="minorHAnsi" w:cstheme="minorHAnsi"/>
          <w:color w:val="auto"/>
          <w:szCs w:val="24"/>
        </w:rPr>
        <w:t>emitovanih</w:t>
      </w:r>
      <w:r w:rsidRPr="00C86111">
        <w:rPr>
          <w:rFonts w:asciiTheme="minorHAnsi" w:hAnsiTheme="minorHAnsi" w:cstheme="minorHAnsi"/>
          <w:color w:val="auto"/>
          <w:szCs w:val="24"/>
        </w:rPr>
        <w:t xml:space="preserve"> POP's na nacionalnom ili regionalnom nivou. Upotreba UNEP-ovog vodiča je olakšana upotrebom pratećeg </w:t>
      </w:r>
      <w:r w:rsidRPr="00C86111">
        <w:rPr>
          <w:rFonts w:asciiTheme="minorHAnsi" w:hAnsiTheme="minorHAnsi" w:cstheme="minorHAnsi"/>
          <w:color w:val="auto"/>
          <w:szCs w:val="24"/>
        </w:rPr>
        <w:lastRenderedPageBreak/>
        <w:t>Excel softverskog alata (UNEP-POPs-TOOLKIT-PCDD-PCDF-EfsEn,xls) kojim se pojednostavljuje proračun i koji sadrži unaprijed definisane emisione faktore za sve kategorije i podkategorije koje mogu da predstavljaju izvore nenamjerno proizvedenih POP’s u skladu sa UNEP-ovim vodičem.</w:t>
      </w:r>
    </w:p>
    <w:p w14:paraId="7B63EAEB"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UNEP-ova metodologija predlaže pet osnovnih koraka u postupku izrade inventara dioksina i furana:</w:t>
      </w:r>
    </w:p>
    <w:p w14:paraId="43383F45" w14:textId="77777777" w:rsidR="00201FE9" w:rsidRPr="00C86111" w:rsidRDefault="00201FE9" w:rsidP="007E2AA5">
      <w:pPr>
        <w:pStyle w:val="ListParagraph"/>
        <w:numPr>
          <w:ilvl w:val="0"/>
          <w:numId w:val="29"/>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identifikacija osnovnih kategorija izvora emisija PCDD/PCDF;</w:t>
      </w:r>
    </w:p>
    <w:p w14:paraId="5FE00452" w14:textId="77777777" w:rsidR="00201FE9" w:rsidRPr="00C86111" w:rsidRDefault="00201FE9" w:rsidP="007E2AA5">
      <w:pPr>
        <w:pStyle w:val="ListParagraph"/>
        <w:numPr>
          <w:ilvl w:val="0"/>
          <w:numId w:val="29"/>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identifikacija podkategorija, postojećih aktivnosti i potencijalnih pravaca širenja PCDD/PCDF u okolini;</w:t>
      </w:r>
    </w:p>
    <w:p w14:paraId="301297DB" w14:textId="77777777" w:rsidR="00201FE9" w:rsidRPr="00C86111" w:rsidRDefault="00201FE9" w:rsidP="007E2AA5">
      <w:pPr>
        <w:pStyle w:val="ListParagraph"/>
        <w:numPr>
          <w:ilvl w:val="0"/>
          <w:numId w:val="29"/>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sakupljanje podataka o specifičnim procesima;</w:t>
      </w:r>
    </w:p>
    <w:p w14:paraId="54586CC5" w14:textId="77777777" w:rsidR="00201FE9" w:rsidRPr="00C86111" w:rsidRDefault="00201FE9" w:rsidP="007E2AA5">
      <w:pPr>
        <w:pStyle w:val="ListParagraph"/>
        <w:numPr>
          <w:ilvl w:val="0"/>
          <w:numId w:val="29"/>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kvantifikovanje izvora emisija PCDD/PCDF i proračun vrijednosti emisija korišćenjem podataka o emisionim faktorima i</w:t>
      </w:r>
    </w:p>
    <w:p w14:paraId="5F51B4F4" w14:textId="77777777" w:rsidR="00201FE9" w:rsidRPr="00C86111" w:rsidRDefault="00201FE9" w:rsidP="007E2AA5">
      <w:pPr>
        <w:pStyle w:val="ListParagraph"/>
        <w:numPr>
          <w:ilvl w:val="0"/>
          <w:numId w:val="29"/>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pregled pripremljenog inventara.</w:t>
      </w:r>
    </w:p>
    <w:p w14:paraId="5C97EA5A" w14:textId="2BDED65A"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Finalne godišnje </w:t>
      </w:r>
      <w:r w:rsidR="004C4490"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izračunate su množenjem odgovarajućeg emisionog faktora sa podacima koji definišu intenzitet razmatrane aktivnosti. U ovu svrhu su korišćeni isključivo unaprijed definisani emisioni faktori (priloženi u metodologiji), jer ne postoje razvijeni nacionalni emisioni faktori ni za jednu od razmatranih inventarskih podkategorija. Glavni zadatak u pripremi inventara je bio da se dođe do neophodnih podataka o intezitetima pojedinih aktivnosti iz odgovarajućih podkategorija i u skladu sa njima dodijeli emisioni faktor koji najbolje karakteriše tu vrstu aktivnosti/proizvodnje/tehnološkog postupka. Od kvaliteta i preciznosti ovih ulaznih podataka zavisi i tačnost POP’s Inventara.</w:t>
      </w:r>
    </w:p>
    <w:p w14:paraId="4B06663F"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U ovom izvještaju emisije dioksina i furana izražene su ekvivalentima toksičnosti (International Toxity Equivalents – TEQ). Godišnje emisije PCDD/PCDF date su u g/TEQ godišnje. </w:t>
      </w:r>
    </w:p>
    <w:p w14:paraId="4F8D59C6" w14:textId="77650E18"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Prvi nacionalni inventar nenamjerno proizvedenih POP's (PCDD/PCDF, HCB i PCB) koji je podnesen Sekretarijatu konvencije u okviru Nacionalnog plana za implementaciju Stokholmske konvencije za period 2014-2021. godine iz 2013 godine je izrađen prema uputstvu EMEP/EEA Air Pollutant Emission Inventory Guidebook 2009 i uputstvu IPCC-a: 2006 IPCC Guidelines for National Greenhouse Gas Inventories. Prvi POPs nacionalni inventar sadrži izdvojene podatke o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ma nenamjerno proizvedenih POPs (heksahlorbenzen, polihlorovane bifenile, polihlorovani dibenzo-dioksin i polihlorovani dibenzo-furan i policiklične aromatične ugljovodonike) u vazduh iz nacionalnog inventara o emisijama zagađujućih materija u vazduh koji se priprema za potrebe izvještavanja u skladu sa Konvencijom o prekograničnom zagađivanju vazduha na velikim udaljenostima (CLRTAP). </w:t>
      </w:r>
    </w:p>
    <w:p w14:paraId="7CB9E76E"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Sekretarijat Stokholmske konvencije dopušta zemljama potpisnicama da pripremaju i podnose nacionalne inventare nenamjerno proizvedenih/ispuštenih POP’s u skladu sa EMEP/EEA metodologijom ali se zemlje potpisnice podstiču da koriste UNEP- ovu metodologiju i prateći softverski alat iz sledećih razloga:</w:t>
      </w:r>
    </w:p>
    <w:p w14:paraId="02F05363" w14:textId="77777777" w:rsidR="00201FE9" w:rsidRPr="00C86111" w:rsidRDefault="00201FE9" w:rsidP="007E2AA5">
      <w:pPr>
        <w:pStyle w:val="ListParagraph"/>
        <w:numPr>
          <w:ilvl w:val="0"/>
          <w:numId w:val="30"/>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Procjene nenamjerno proizvedenih POP’s-a su lako uporedive;</w:t>
      </w:r>
    </w:p>
    <w:p w14:paraId="58BBAA25" w14:textId="77777777" w:rsidR="00201FE9" w:rsidRPr="00C86111" w:rsidRDefault="00201FE9" w:rsidP="007E2AA5">
      <w:pPr>
        <w:pStyle w:val="ListParagraph"/>
        <w:numPr>
          <w:ilvl w:val="0"/>
          <w:numId w:val="30"/>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 xml:space="preserve">Nacionalni i globalni izvještaji o procjenama emisija mogu se lako pripremiti; </w:t>
      </w:r>
    </w:p>
    <w:p w14:paraId="327B3B97" w14:textId="77777777" w:rsidR="00201FE9" w:rsidRPr="00C86111" w:rsidRDefault="00201FE9" w:rsidP="007E2AA5">
      <w:pPr>
        <w:pStyle w:val="ListParagraph"/>
        <w:numPr>
          <w:ilvl w:val="0"/>
          <w:numId w:val="30"/>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Pored emisija u vazduh procjenjuju se količine dioksina i furana koje se ispuštaju u vodu i zemljište, količine koje dospiju u proizvode putem raznih mehanizama kao i količine u otpadu ili ostatku nastale usljed različitih proizvodnih ili prerađivačkih aktivnosti;</w:t>
      </w:r>
    </w:p>
    <w:p w14:paraId="3CA9DAC9" w14:textId="2EC68FE7" w:rsidR="00201FE9" w:rsidRPr="00C86111" w:rsidRDefault="00201FE9" w:rsidP="007E2AA5">
      <w:pPr>
        <w:pStyle w:val="ListParagraph"/>
        <w:numPr>
          <w:ilvl w:val="0"/>
          <w:numId w:val="30"/>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 xml:space="preserve">Sadrži nove potencijalne podkategorije izvora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 i ažurirane emisione faktore u skladu sa novim naučnim saznanjima;</w:t>
      </w:r>
    </w:p>
    <w:p w14:paraId="5B3B1D12" w14:textId="77777777" w:rsidR="00201FE9" w:rsidRPr="00C86111" w:rsidRDefault="00201FE9" w:rsidP="007E2AA5">
      <w:pPr>
        <w:pStyle w:val="ListParagraph"/>
        <w:numPr>
          <w:ilvl w:val="0"/>
          <w:numId w:val="30"/>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Vremenski trendovi se mogu lako razraditi u svrhu procjene efikasnosti prema članu 16. Konvencije.</w:t>
      </w:r>
    </w:p>
    <w:p w14:paraId="05D72365"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Drugo podneseni nacionalni POP’s inventar u okviru Projekta “Nacionalni plan za implementaciju Stokholmske konvencije, s akcionim planom za period 2019 – 2023. godina” je pripremljen u skladu sa UNEP-ovo metodologijom i predstavljao je dobru osnovu za pripremu i ažuriranje trećeg nacionalnog inventara prema zahtjevima Stokholmske konvencije.</w:t>
      </w:r>
    </w:p>
    <w:p w14:paraId="297583BA" w14:textId="06218D78"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Treći nacionalni inventar nenamjerno proizvedenih POP’s izrađen je u sklopu Projekta ”Pregled i ažuriranje Nacionalnog Implementacionog Plana Stokholmske konvencije o postojanim organskim zagađivačima, kroz projekat UN-GEF ID 10785/10924 pod nazivom „Globalni razvoj, pregled i ažuriranje nacionalnih implementacionih planova (NIP) Stokholmske konvencije (SC) o postojanim organskim zagađivačima (POPs)”. U skladu sa zahtjevima projekta izvršena je inventarizacija od 2017. do 2022., godine, tako da sada vremenska serija inventara za hemikalije iz Priloga C Konvencije (PCDD/PCDF, HCB i PCB) pokriva vremenski period od 2006. do 2022. Kao bazna godina na osnovu koju se posmatra trend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 POP’s supstanci je zadržana 2006. godina. U skladu sa novim zahtjevima Stokholmske konvencije u ovom izvještaju su po prvi put predstavljeni rezultati inventarizacija tri nova nenamjerno proizvedena POPs-a, dio II (heksahlorobuten, pentahlorobenzen, polihlorovani naftaleni) za period 2015 -2022. </w:t>
      </w:r>
    </w:p>
    <w:p w14:paraId="2F194E58" w14:textId="77777777" w:rsidR="00375D24" w:rsidRPr="00C86111" w:rsidRDefault="00375D24" w:rsidP="00201FE9">
      <w:pPr>
        <w:rPr>
          <w:i/>
          <w:iCs/>
          <w:color w:val="002060"/>
          <w:szCs w:val="24"/>
          <w:lang w:val="sr-Latn-RS"/>
        </w:rPr>
      </w:pPr>
      <w:bookmarkStart w:id="42" w:name="_Toc501437745"/>
    </w:p>
    <w:p w14:paraId="1C4B4C97" w14:textId="6BB7FB9F" w:rsidR="00201FE9" w:rsidRPr="00C86111" w:rsidRDefault="00201FE9" w:rsidP="00EA6904">
      <w:pPr>
        <w:pStyle w:val="Heading3"/>
      </w:pPr>
      <w:bookmarkStart w:id="43" w:name="_Toc220541873"/>
      <w:r w:rsidRPr="00C86111">
        <w:t>Procjena nenamjerno proizvedenih POP's (PCDD/PCDF, HCB i PCB) za period 2006-2022. godina</w:t>
      </w:r>
      <w:bookmarkEnd w:id="42"/>
      <w:bookmarkEnd w:id="43"/>
    </w:p>
    <w:p w14:paraId="232B51AE" w14:textId="77777777" w:rsidR="004748D1" w:rsidRPr="00C86111" w:rsidRDefault="004748D1" w:rsidP="004748D1">
      <w:pPr>
        <w:rPr>
          <w:lang w:val="sr-Latn-RS"/>
        </w:rPr>
      </w:pPr>
    </w:p>
    <w:p w14:paraId="0FC6046A" w14:textId="4994A3BF" w:rsidR="00201FE9" w:rsidRPr="00C86111" w:rsidRDefault="000D1995"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Emisije</w:t>
      </w:r>
      <w:r w:rsidR="00201FE9" w:rsidRPr="00C86111">
        <w:rPr>
          <w:rFonts w:asciiTheme="minorHAnsi" w:hAnsiTheme="minorHAnsi" w:cstheme="minorHAnsi"/>
          <w:color w:val="auto"/>
          <w:szCs w:val="24"/>
        </w:rPr>
        <w:t xml:space="preserve"> PCDD i PCDF praćene su </w:t>
      </w:r>
      <w:r w:rsidRPr="00C86111">
        <w:rPr>
          <w:rFonts w:asciiTheme="minorHAnsi" w:hAnsiTheme="minorHAnsi" w:cstheme="minorHAnsi"/>
          <w:color w:val="auto"/>
          <w:szCs w:val="24"/>
        </w:rPr>
        <w:t>emisija</w:t>
      </w:r>
      <w:r w:rsidR="00201FE9" w:rsidRPr="00C86111">
        <w:rPr>
          <w:rFonts w:asciiTheme="minorHAnsi" w:hAnsiTheme="minorHAnsi" w:cstheme="minorHAnsi"/>
          <w:color w:val="auto"/>
          <w:szCs w:val="24"/>
        </w:rPr>
        <w:t xml:space="preserve">ma i ostalih nenamjerno proizvedenih POP's supstanci, koji se mogu smanjiti ili ukloniti sprovođenjem istih mjera kao i za ispuštanja PCDD i PCDF. Preporuka je UNEP-ovog vodiča da se iz praktičnih razloga, inventar ispuštanja nenamjerno proizvedenih POP’s usmjeri na PCDD/PCDF, jer su oni indikacija za prisutnost ostalih nenamjerno proizvedenih POP’s. Smatra se da su oni dovoljna baza za prepoznavanje izvora i određivanje prioriteta kao i za utvrđivanje kontrolnih mjera i ocjenu njihove djelotvornosti za sve POP's navedene u Aneksu C Stokholmske konvencije. </w:t>
      </w:r>
    </w:p>
    <w:p w14:paraId="3AA41BE4" w14:textId="7998B45D"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Pored proračuna PCDD i PCDF u okviru ovog izvještaja su prikazane i proračunate količine heksahloro-benzena (HCB) i polihlorovanih bifenila (PCB) na osnovu odgovarajućih emisionih faktora iz UNEP-ovog vodiča. Izvještaj sadrži po prvi put informacije o inventarizaciji nenamjerno </w:t>
      </w:r>
      <w:r w:rsidR="000D1995" w:rsidRPr="00C86111">
        <w:rPr>
          <w:rFonts w:asciiTheme="minorHAnsi" w:hAnsiTheme="minorHAnsi" w:cstheme="minorHAnsi"/>
          <w:color w:val="auto"/>
          <w:szCs w:val="24"/>
        </w:rPr>
        <w:t>emitovanih</w:t>
      </w:r>
      <w:r w:rsidRPr="00C86111">
        <w:rPr>
          <w:rFonts w:asciiTheme="minorHAnsi" w:hAnsiTheme="minorHAnsi" w:cstheme="minorHAnsi"/>
          <w:color w:val="auto"/>
          <w:szCs w:val="24"/>
        </w:rPr>
        <w:t xml:space="preserve"> POP’s, dio II (heksahlorobuten, pentahlorobenzen, polihlorovani naftaleni) koja je urađena na osnovu raspoloživih UNEP vodiča. </w:t>
      </w:r>
    </w:p>
    <w:p w14:paraId="44CEDB4F"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U sklopu izrade trećeg nacionalnog inventara sprovedena je provjera proračuna prethodnog inventara, u skladu sa time izvršene korekcije za vremenski period 2006-2016. Ispravke i ponovni proračuni u inventaru izvršeni su iz sledećih bitnih razloga:</w:t>
      </w:r>
    </w:p>
    <w:p w14:paraId="4EC04B9A" w14:textId="77777777" w:rsidR="00201FE9" w:rsidRPr="00C86111" w:rsidRDefault="00201FE9" w:rsidP="00833A40">
      <w:pPr>
        <w:pStyle w:val="ListParagraph"/>
        <w:numPr>
          <w:ilvl w:val="0"/>
          <w:numId w:val="124"/>
        </w:numPr>
        <w:jc w:val="both"/>
        <w:rPr>
          <w:rFonts w:asciiTheme="minorHAnsi" w:hAnsiTheme="minorHAnsi" w:cstheme="minorHAnsi"/>
          <w:color w:val="auto"/>
          <w:szCs w:val="24"/>
        </w:rPr>
      </w:pPr>
      <w:r w:rsidRPr="00C86111">
        <w:rPr>
          <w:rFonts w:asciiTheme="minorHAnsi" w:hAnsiTheme="minorHAnsi" w:cstheme="minorHAnsi"/>
          <w:color w:val="auto"/>
          <w:szCs w:val="24"/>
        </w:rPr>
        <w:t>ispravljanje grešaka u proračunu,</w:t>
      </w:r>
    </w:p>
    <w:p w14:paraId="42212DFC" w14:textId="77777777" w:rsidR="00201FE9" w:rsidRPr="00C86111" w:rsidRDefault="00201FE9" w:rsidP="00833A40">
      <w:pPr>
        <w:pStyle w:val="ListParagraph"/>
        <w:numPr>
          <w:ilvl w:val="0"/>
          <w:numId w:val="124"/>
        </w:numPr>
        <w:jc w:val="both"/>
        <w:rPr>
          <w:rFonts w:asciiTheme="minorHAnsi" w:hAnsiTheme="minorHAnsi" w:cstheme="minorHAnsi"/>
          <w:color w:val="auto"/>
          <w:szCs w:val="24"/>
        </w:rPr>
      </w:pPr>
      <w:r w:rsidRPr="00C86111">
        <w:rPr>
          <w:rFonts w:asciiTheme="minorHAnsi" w:hAnsiTheme="minorHAnsi" w:cstheme="minorHAnsi"/>
          <w:color w:val="auto"/>
          <w:szCs w:val="24"/>
        </w:rPr>
        <w:t>dodavanje novih podkategorija u skladu s novo dostupnim podacima o aktivnostima,</w:t>
      </w:r>
    </w:p>
    <w:p w14:paraId="0DEDEAA0" w14:textId="77777777" w:rsidR="00201FE9" w:rsidRPr="00C86111" w:rsidRDefault="00201FE9" w:rsidP="00833A40">
      <w:pPr>
        <w:pStyle w:val="ListParagraph"/>
        <w:numPr>
          <w:ilvl w:val="0"/>
          <w:numId w:val="124"/>
        </w:numPr>
        <w:jc w:val="both"/>
        <w:rPr>
          <w:rFonts w:asciiTheme="minorHAnsi" w:hAnsiTheme="minorHAnsi" w:cstheme="minorHAnsi"/>
          <w:color w:val="auto"/>
          <w:szCs w:val="24"/>
        </w:rPr>
      </w:pPr>
      <w:r w:rsidRPr="00C86111">
        <w:rPr>
          <w:rFonts w:asciiTheme="minorHAnsi" w:hAnsiTheme="minorHAnsi" w:cstheme="minorHAnsi"/>
          <w:color w:val="auto"/>
          <w:szCs w:val="24"/>
        </w:rPr>
        <w:t>ponovnog proračuna vremenskih serija zbog novih informacija i pretpostavki.</w:t>
      </w:r>
    </w:p>
    <w:p w14:paraId="7B4EB9F0"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Na taj način poboljšana je tačnost i kompletnost inventara i za period 2006 -2016 godina.</w:t>
      </w:r>
    </w:p>
    <w:p w14:paraId="164026C6"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Potencijalne kontaminirane lokacije su u ovom izvještaju identifikovane i analizirane na osnovu Tier 1 metodologije prema UNEP-ovom priručniku , sa prikazom fotodokumentacije koja je uzeta tokom obilaska pojedinih lokacija. </w:t>
      </w:r>
    </w:p>
    <w:p w14:paraId="361C33B3" w14:textId="35CB4C0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 xml:space="preserve">Prilikom izrade inventara korišćene su sve dostupne informacije i podaci o značajnim aktivnostima koje se odvijaju u zemlji i glavnim izvorima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Glavni izvor podataka za posmatrani period 2006 - 2022. godina predstavljaju godišnji statistički izvještaji Uprave za statistiku Crne Gore (MONSTAT). Ostali podaci su dobijeni direktno od operatera, korišćenjem podataka nacionalnih inventara (EMEP/EEA, IPCC), svjetske zdravstvene organizacije WHO, strateških nacionalnih dokumenata, evropske statistike EUROSTAT i dr. U poglavljima u kojima se razmatraju PCDD/PCDF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iz kategorija i podkategorija, precizno su navedni korišćeni izvori podataka. Vodeći računa o obimnosti izvještaja, nisu tabelarno prikazani aktivni podaci za kategorije čiji  doprinos nije ključan prema izrađenom inventaru.</w:t>
      </w:r>
    </w:p>
    <w:p w14:paraId="72F83596" w14:textId="77777777" w:rsidR="00201FE9" w:rsidRPr="00C86111" w:rsidRDefault="00201FE9" w:rsidP="00201FE9">
      <w:pPr>
        <w:jc w:val="both"/>
        <w:rPr>
          <w:rFonts w:asciiTheme="minorHAnsi" w:hAnsiTheme="minorHAnsi" w:cstheme="minorHAnsi"/>
          <w:color w:val="auto"/>
          <w:szCs w:val="24"/>
        </w:rPr>
      </w:pPr>
      <w:bookmarkStart w:id="44" w:name="_Hlk206677026"/>
      <w:r w:rsidRPr="00C86111">
        <w:rPr>
          <w:rFonts w:asciiTheme="minorHAnsi" w:hAnsiTheme="minorHAnsi" w:cstheme="minorHAnsi"/>
          <w:color w:val="auto"/>
          <w:szCs w:val="24"/>
        </w:rPr>
        <w:t>U skladu sa metodologijom preporučenom od strane UNEP, pregled i ažuriranje inventara PCDD/PCDF sprovedeno je u sledećim glavnim kategorijskim grupama:</w:t>
      </w:r>
    </w:p>
    <w:bookmarkEnd w:id="44"/>
    <w:p w14:paraId="372CBA59" w14:textId="77777777" w:rsidR="00201FE9" w:rsidRPr="00C86111" w:rsidRDefault="00201FE9" w:rsidP="007E2AA5">
      <w:pPr>
        <w:pStyle w:val="ListParagraph"/>
        <w:numPr>
          <w:ilvl w:val="0"/>
          <w:numId w:val="28"/>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Spaljivanje otpada</w:t>
      </w:r>
    </w:p>
    <w:p w14:paraId="49F5AFBD" w14:textId="77777777" w:rsidR="00201FE9" w:rsidRPr="00C86111" w:rsidRDefault="00201FE9" w:rsidP="007E2AA5">
      <w:pPr>
        <w:pStyle w:val="ListParagraph"/>
        <w:numPr>
          <w:ilvl w:val="0"/>
          <w:numId w:val="28"/>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Teška i obojena metalurgija</w:t>
      </w:r>
    </w:p>
    <w:p w14:paraId="7163C378" w14:textId="77777777" w:rsidR="00201FE9" w:rsidRPr="00C86111" w:rsidRDefault="00201FE9" w:rsidP="007E2AA5">
      <w:pPr>
        <w:pStyle w:val="ListParagraph"/>
        <w:numPr>
          <w:ilvl w:val="0"/>
          <w:numId w:val="28"/>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Proizvodnja električne i toplotne energije</w:t>
      </w:r>
    </w:p>
    <w:p w14:paraId="1B4EBC52" w14:textId="77777777" w:rsidR="00201FE9" w:rsidRPr="00C86111" w:rsidRDefault="00201FE9" w:rsidP="007E2AA5">
      <w:pPr>
        <w:pStyle w:val="ListParagraph"/>
        <w:numPr>
          <w:ilvl w:val="0"/>
          <w:numId w:val="28"/>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Industrija mineralnih proizvoda</w:t>
      </w:r>
    </w:p>
    <w:p w14:paraId="369B54A8" w14:textId="77777777" w:rsidR="00201FE9" w:rsidRPr="00C86111" w:rsidRDefault="00201FE9" w:rsidP="007E2AA5">
      <w:pPr>
        <w:pStyle w:val="ListParagraph"/>
        <w:numPr>
          <w:ilvl w:val="0"/>
          <w:numId w:val="28"/>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Transport</w:t>
      </w:r>
    </w:p>
    <w:p w14:paraId="000B73B9" w14:textId="77777777" w:rsidR="00201FE9" w:rsidRPr="00C86111" w:rsidRDefault="00201FE9" w:rsidP="007E2AA5">
      <w:pPr>
        <w:pStyle w:val="ListParagraph"/>
        <w:numPr>
          <w:ilvl w:val="0"/>
          <w:numId w:val="28"/>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Procesi sa otvorenim sagorijevanjem </w:t>
      </w:r>
    </w:p>
    <w:p w14:paraId="526326A5" w14:textId="77777777" w:rsidR="00201FE9" w:rsidRPr="00C86111" w:rsidRDefault="00201FE9" w:rsidP="007E2AA5">
      <w:pPr>
        <w:pStyle w:val="ListParagraph"/>
        <w:numPr>
          <w:ilvl w:val="0"/>
          <w:numId w:val="28"/>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Proizvodnja hemikalija i robe široke potrošnje</w:t>
      </w:r>
    </w:p>
    <w:p w14:paraId="40CE68C0" w14:textId="77777777" w:rsidR="00201FE9" w:rsidRPr="00C86111" w:rsidRDefault="00201FE9" w:rsidP="007E2AA5">
      <w:pPr>
        <w:pStyle w:val="ListParagraph"/>
        <w:numPr>
          <w:ilvl w:val="0"/>
          <w:numId w:val="28"/>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Razno</w:t>
      </w:r>
    </w:p>
    <w:p w14:paraId="499568F0" w14:textId="77777777" w:rsidR="00201FE9" w:rsidRPr="00C86111" w:rsidRDefault="00201FE9" w:rsidP="007E2AA5">
      <w:pPr>
        <w:pStyle w:val="ListParagraph"/>
        <w:numPr>
          <w:ilvl w:val="0"/>
          <w:numId w:val="28"/>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Deponovanje otpada</w:t>
      </w:r>
    </w:p>
    <w:p w14:paraId="03E79B34" w14:textId="77777777" w:rsidR="00201FE9" w:rsidRPr="00C86111" w:rsidRDefault="00201FE9" w:rsidP="007E2AA5">
      <w:pPr>
        <w:pStyle w:val="ListParagraph"/>
        <w:numPr>
          <w:ilvl w:val="0"/>
          <w:numId w:val="28"/>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Potencijalne kontaminirane lokacije</w:t>
      </w:r>
    </w:p>
    <w:p w14:paraId="6739CF76" w14:textId="4340CF0C"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Kategorije izvora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 PCDD/PCDF definisane u UNEP-ovom programskom alatu podijeljene su u deset grupa, od kojih je svaka dodatno podijeljena na nekoliko podgrupa.</w:t>
      </w:r>
    </w:p>
    <w:p w14:paraId="2FD8DD33"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U okviru ANEX 1 dat je zbirni prikaz inventarski procijenjenih grupa izvora i njima pridruženih kategorija i klasa u skladu sa UNEP-metodologijom.</w:t>
      </w:r>
    </w:p>
    <w:p w14:paraId="2DAAC69E" w14:textId="77777777" w:rsidR="00201FE9" w:rsidRPr="00C86111" w:rsidRDefault="00201FE9" w:rsidP="00201FE9">
      <w:bookmarkStart w:id="45" w:name="_Toc501437746"/>
    </w:p>
    <w:p w14:paraId="0B92741E" w14:textId="05578EAD" w:rsidR="00201FE9" w:rsidRPr="00C86111" w:rsidRDefault="00201FE9" w:rsidP="00EA6904">
      <w:pPr>
        <w:pStyle w:val="Heading3"/>
      </w:pPr>
      <w:bookmarkStart w:id="46" w:name="_Toc220541874"/>
      <w:r w:rsidRPr="00C86111">
        <w:t xml:space="preserve">Ukupne procijenjene </w:t>
      </w:r>
      <w:r w:rsidR="000D1995" w:rsidRPr="00C86111">
        <w:t>emisije</w:t>
      </w:r>
      <w:r w:rsidRPr="00C86111">
        <w:t xml:space="preserve"> nenamjerno proizvedenih POP’s (PCDD/PCDF)</w:t>
      </w:r>
      <w:bookmarkEnd w:id="45"/>
      <w:r w:rsidRPr="00C86111">
        <w:t xml:space="preserve"> za period 2006 -2022. </w:t>
      </w:r>
      <w:r w:rsidR="004748D1" w:rsidRPr="00C86111">
        <w:t>Godina</w:t>
      </w:r>
      <w:bookmarkEnd w:id="46"/>
    </w:p>
    <w:p w14:paraId="388F4B1B" w14:textId="77777777" w:rsidR="004748D1" w:rsidRPr="00C86111" w:rsidRDefault="004748D1" w:rsidP="004748D1"/>
    <w:p w14:paraId="0C7D58C6" w14:textId="35B474B3"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Ukupne nacionalne godišnje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dioksina i furana (PCDD/PCDF) za period 2006-2022. godina su prikazane tabelom 1</w:t>
      </w:r>
      <w:r w:rsidR="004C4490" w:rsidRPr="00C86111">
        <w:rPr>
          <w:rFonts w:asciiTheme="minorHAnsi" w:hAnsiTheme="minorHAnsi" w:cstheme="minorHAnsi"/>
          <w:color w:val="auto"/>
          <w:szCs w:val="24"/>
        </w:rPr>
        <w:t>1</w:t>
      </w:r>
      <w:r w:rsidRPr="00C86111">
        <w:rPr>
          <w:rFonts w:asciiTheme="minorHAnsi" w:hAnsiTheme="minorHAnsi" w:cstheme="minorHAnsi"/>
          <w:color w:val="auto"/>
          <w:szCs w:val="24"/>
        </w:rPr>
        <w:t xml:space="preserve"> i grafik</w:t>
      </w:r>
      <w:r w:rsidR="004C4490" w:rsidRPr="00C86111">
        <w:rPr>
          <w:rFonts w:asciiTheme="minorHAnsi" w:hAnsiTheme="minorHAnsi" w:cstheme="minorHAnsi"/>
          <w:color w:val="auto"/>
          <w:szCs w:val="24"/>
        </w:rPr>
        <w:t>u</w:t>
      </w:r>
      <w:r w:rsidRPr="00C86111">
        <w:rPr>
          <w:rFonts w:asciiTheme="minorHAnsi" w:hAnsiTheme="minorHAnsi" w:cstheme="minorHAnsi"/>
          <w:color w:val="auto"/>
          <w:szCs w:val="24"/>
        </w:rPr>
        <w:t xml:space="preserve"> 1. U zavisnosti od inteziteta aktivnosti koje proizvode POP’s, varirale su vrijednosti ukupnih godišnjih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w:t>
      </w:r>
    </w:p>
    <w:p w14:paraId="3FC36E69" w14:textId="58A2AFDD" w:rsidR="00201FE9" w:rsidRPr="00C86111" w:rsidRDefault="00201FE9" w:rsidP="00375D24">
      <w:pPr>
        <w:pStyle w:val="Tabele"/>
        <w:numPr>
          <w:ilvl w:val="0"/>
          <w:numId w:val="0"/>
        </w:numPr>
        <w:spacing w:after="0"/>
        <w:ind w:left="90"/>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Tabela 1</w:t>
      </w:r>
      <w:r w:rsidR="004C4490" w:rsidRPr="00C86111">
        <w:rPr>
          <w:rFonts w:asciiTheme="minorHAnsi" w:hAnsiTheme="minorHAnsi" w:cstheme="minorHAnsi"/>
          <w:b/>
          <w:bCs/>
          <w:i w:val="0"/>
          <w:iCs/>
          <w:sz w:val="24"/>
          <w:lang w:val="sr-Latn-RS"/>
        </w:rPr>
        <w:t>1</w:t>
      </w:r>
      <w:r w:rsidRPr="00C86111">
        <w:rPr>
          <w:rFonts w:asciiTheme="minorHAnsi" w:hAnsiTheme="minorHAnsi" w:cstheme="minorHAnsi"/>
          <w:b/>
          <w:bCs/>
          <w:i w:val="0"/>
          <w:iCs/>
          <w:sz w:val="24"/>
          <w:lang w:val="sr-Latn-RS"/>
        </w:rPr>
        <w:t>.</w:t>
      </w:r>
      <w:r w:rsidRPr="00C86111">
        <w:rPr>
          <w:rFonts w:asciiTheme="minorHAnsi" w:hAnsiTheme="minorHAnsi" w:cstheme="minorHAnsi"/>
          <w:i w:val="0"/>
          <w:iCs/>
          <w:sz w:val="24"/>
          <w:lang w:val="sr-Latn-RS"/>
        </w:rPr>
        <w:t xml:space="preserve"> Ukupne godišnje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dioksina i furana (PCDD/PCDF), 2006-2022. godina (gTEQ/god)</w:t>
      </w:r>
    </w:p>
    <w:tbl>
      <w:tblPr>
        <w:tblStyle w:val="GridTable5Dark-Accent6"/>
        <w:tblW w:w="9085" w:type="dxa"/>
        <w:tblLook w:val="04A0" w:firstRow="1" w:lastRow="0" w:firstColumn="1" w:lastColumn="0" w:noHBand="0" w:noVBand="1"/>
      </w:tblPr>
      <w:tblGrid>
        <w:gridCol w:w="1834"/>
        <w:gridCol w:w="738"/>
        <w:gridCol w:w="800"/>
        <w:gridCol w:w="800"/>
        <w:gridCol w:w="800"/>
        <w:gridCol w:w="800"/>
        <w:gridCol w:w="800"/>
        <w:gridCol w:w="800"/>
        <w:gridCol w:w="800"/>
        <w:gridCol w:w="913"/>
      </w:tblGrid>
      <w:tr w:rsidR="00201FE9" w:rsidRPr="00C86111" w14:paraId="180E41FD"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4" w:type="dxa"/>
          </w:tcPr>
          <w:p w14:paraId="476F7AC0" w14:textId="77777777" w:rsidR="00201FE9" w:rsidRPr="00C86111" w:rsidRDefault="00201FE9" w:rsidP="00BC765B">
            <w:pPr>
              <w:jc w:val="both"/>
              <w:rPr>
                <w:rFonts w:asciiTheme="minorHAnsi" w:hAnsiTheme="minorHAnsi" w:cstheme="minorHAnsi"/>
                <w:color w:val="auto"/>
                <w:szCs w:val="24"/>
              </w:rPr>
            </w:pPr>
            <w:bookmarkStart w:id="47" w:name="_Hlk206663218"/>
            <w:r w:rsidRPr="00C86111">
              <w:rPr>
                <w:rFonts w:asciiTheme="minorHAnsi" w:hAnsiTheme="minorHAnsi" w:cstheme="minorHAnsi"/>
                <w:color w:val="auto"/>
                <w:szCs w:val="24"/>
              </w:rPr>
              <w:t>Godina</w:t>
            </w:r>
          </w:p>
        </w:tc>
        <w:tc>
          <w:tcPr>
            <w:tcW w:w="738" w:type="dxa"/>
          </w:tcPr>
          <w:p w14:paraId="1AC4F1F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2006</w:t>
            </w:r>
          </w:p>
        </w:tc>
        <w:tc>
          <w:tcPr>
            <w:tcW w:w="0" w:type="auto"/>
          </w:tcPr>
          <w:p w14:paraId="10835EE2"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2007</w:t>
            </w:r>
          </w:p>
        </w:tc>
        <w:tc>
          <w:tcPr>
            <w:tcW w:w="0" w:type="auto"/>
          </w:tcPr>
          <w:p w14:paraId="1ADBC8E3"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2008</w:t>
            </w:r>
          </w:p>
        </w:tc>
        <w:tc>
          <w:tcPr>
            <w:tcW w:w="0" w:type="auto"/>
          </w:tcPr>
          <w:p w14:paraId="7CB67C8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2009</w:t>
            </w:r>
          </w:p>
        </w:tc>
        <w:tc>
          <w:tcPr>
            <w:tcW w:w="0" w:type="auto"/>
          </w:tcPr>
          <w:p w14:paraId="7FD580D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2010</w:t>
            </w:r>
          </w:p>
        </w:tc>
        <w:tc>
          <w:tcPr>
            <w:tcW w:w="0" w:type="auto"/>
          </w:tcPr>
          <w:p w14:paraId="3CBBD05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2011</w:t>
            </w:r>
          </w:p>
        </w:tc>
        <w:tc>
          <w:tcPr>
            <w:tcW w:w="0" w:type="auto"/>
          </w:tcPr>
          <w:p w14:paraId="0C3410D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2012</w:t>
            </w:r>
          </w:p>
        </w:tc>
        <w:tc>
          <w:tcPr>
            <w:tcW w:w="0" w:type="auto"/>
          </w:tcPr>
          <w:p w14:paraId="4476D84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2013</w:t>
            </w:r>
          </w:p>
        </w:tc>
        <w:tc>
          <w:tcPr>
            <w:tcW w:w="913" w:type="dxa"/>
          </w:tcPr>
          <w:p w14:paraId="1E54034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2014</w:t>
            </w:r>
          </w:p>
        </w:tc>
      </w:tr>
      <w:bookmarkEnd w:id="47"/>
      <w:tr w:rsidR="00201FE9" w:rsidRPr="00C86111" w14:paraId="1C0CE36A"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4" w:type="dxa"/>
          </w:tcPr>
          <w:p w14:paraId="76064B2B" w14:textId="77777777" w:rsidR="00201FE9" w:rsidRPr="00C86111" w:rsidRDefault="00201FE9" w:rsidP="00BC765B">
            <w:pPr>
              <w:jc w:val="both"/>
              <w:rPr>
                <w:rFonts w:asciiTheme="minorHAnsi" w:hAnsiTheme="minorHAnsi" w:cstheme="minorHAnsi"/>
                <w:color w:val="auto"/>
                <w:szCs w:val="24"/>
              </w:rPr>
            </w:pPr>
            <w:r w:rsidRPr="00C86111">
              <w:rPr>
                <w:rFonts w:asciiTheme="minorHAnsi" w:hAnsiTheme="minorHAnsi" w:cstheme="minorHAnsi"/>
                <w:color w:val="auto"/>
                <w:szCs w:val="24"/>
              </w:rPr>
              <w:t>PCDD/PCDF, gTEQ</w:t>
            </w:r>
          </w:p>
        </w:tc>
        <w:tc>
          <w:tcPr>
            <w:tcW w:w="738" w:type="dxa"/>
          </w:tcPr>
          <w:p w14:paraId="6A7E9CA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54</w:t>
            </w:r>
          </w:p>
        </w:tc>
        <w:tc>
          <w:tcPr>
            <w:tcW w:w="0" w:type="auto"/>
          </w:tcPr>
          <w:p w14:paraId="164D234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56</w:t>
            </w:r>
          </w:p>
        </w:tc>
        <w:tc>
          <w:tcPr>
            <w:tcW w:w="0" w:type="auto"/>
          </w:tcPr>
          <w:p w14:paraId="284EA4B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47</w:t>
            </w:r>
          </w:p>
        </w:tc>
        <w:tc>
          <w:tcPr>
            <w:tcW w:w="0" w:type="auto"/>
          </w:tcPr>
          <w:p w14:paraId="6C1114F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46</w:t>
            </w:r>
          </w:p>
        </w:tc>
        <w:tc>
          <w:tcPr>
            <w:tcW w:w="0" w:type="auto"/>
          </w:tcPr>
          <w:p w14:paraId="665DE21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43</w:t>
            </w:r>
          </w:p>
        </w:tc>
        <w:tc>
          <w:tcPr>
            <w:tcW w:w="0" w:type="auto"/>
          </w:tcPr>
          <w:p w14:paraId="3AB7FD4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42</w:t>
            </w:r>
          </w:p>
        </w:tc>
        <w:tc>
          <w:tcPr>
            <w:tcW w:w="0" w:type="auto"/>
          </w:tcPr>
          <w:p w14:paraId="3F7B591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30</w:t>
            </w:r>
          </w:p>
        </w:tc>
        <w:tc>
          <w:tcPr>
            <w:tcW w:w="0" w:type="auto"/>
          </w:tcPr>
          <w:p w14:paraId="7A1697B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23</w:t>
            </w:r>
          </w:p>
        </w:tc>
        <w:tc>
          <w:tcPr>
            <w:tcW w:w="913" w:type="dxa"/>
          </w:tcPr>
          <w:p w14:paraId="4FC6E35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28</w:t>
            </w:r>
          </w:p>
        </w:tc>
      </w:tr>
      <w:tr w:rsidR="00201FE9" w:rsidRPr="00C86111" w14:paraId="1ACDA3F3" w14:textId="77777777" w:rsidTr="00BC765B">
        <w:tc>
          <w:tcPr>
            <w:cnfStyle w:val="001000000000" w:firstRow="0" w:lastRow="0" w:firstColumn="1" w:lastColumn="0" w:oddVBand="0" w:evenVBand="0" w:oddHBand="0" w:evenHBand="0" w:firstRowFirstColumn="0" w:firstRowLastColumn="0" w:lastRowFirstColumn="0" w:lastRowLastColumn="0"/>
            <w:tcW w:w="1834" w:type="dxa"/>
          </w:tcPr>
          <w:p w14:paraId="357D2CAE" w14:textId="77777777" w:rsidR="00201FE9" w:rsidRPr="00C86111" w:rsidRDefault="00201FE9" w:rsidP="00BC765B">
            <w:pPr>
              <w:jc w:val="both"/>
              <w:rPr>
                <w:rFonts w:asciiTheme="minorHAnsi" w:hAnsiTheme="minorHAnsi" w:cstheme="minorHAnsi"/>
                <w:color w:val="auto"/>
                <w:szCs w:val="24"/>
              </w:rPr>
            </w:pPr>
            <w:r w:rsidRPr="00C86111">
              <w:rPr>
                <w:rFonts w:asciiTheme="minorHAnsi" w:hAnsiTheme="minorHAnsi" w:cstheme="minorHAnsi"/>
                <w:color w:val="auto"/>
                <w:szCs w:val="24"/>
              </w:rPr>
              <w:t>Godina</w:t>
            </w:r>
          </w:p>
        </w:tc>
        <w:tc>
          <w:tcPr>
            <w:tcW w:w="738" w:type="dxa"/>
          </w:tcPr>
          <w:p w14:paraId="1E27DA8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24"/>
              </w:rPr>
            </w:pPr>
            <w:r w:rsidRPr="00C86111">
              <w:rPr>
                <w:rFonts w:asciiTheme="minorHAnsi" w:hAnsiTheme="minorHAnsi" w:cstheme="minorHAnsi"/>
                <w:b/>
                <w:bCs/>
                <w:color w:val="auto"/>
                <w:szCs w:val="24"/>
              </w:rPr>
              <w:t>2015</w:t>
            </w:r>
          </w:p>
        </w:tc>
        <w:tc>
          <w:tcPr>
            <w:tcW w:w="0" w:type="auto"/>
          </w:tcPr>
          <w:p w14:paraId="79F6C27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24"/>
              </w:rPr>
            </w:pPr>
            <w:r w:rsidRPr="00C86111">
              <w:rPr>
                <w:rFonts w:asciiTheme="minorHAnsi" w:hAnsiTheme="minorHAnsi" w:cstheme="minorHAnsi"/>
                <w:b/>
                <w:bCs/>
                <w:color w:val="auto"/>
                <w:szCs w:val="24"/>
              </w:rPr>
              <w:t>2016</w:t>
            </w:r>
          </w:p>
        </w:tc>
        <w:tc>
          <w:tcPr>
            <w:tcW w:w="0" w:type="auto"/>
          </w:tcPr>
          <w:p w14:paraId="0A8FE24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24"/>
              </w:rPr>
            </w:pPr>
            <w:r w:rsidRPr="00C86111">
              <w:rPr>
                <w:rFonts w:asciiTheme="minorHAnsi" w:hAnsiTheme="minorHAnsi" w:cstheme="minorHAnsi"/>
                <w:b/>
                <w:bCs/>
                <w:color w:val="auto"/>
                <w:szCs w:val="24"/>
              </w:rPr>
              <w:t>2017</w:t>
            </w:r>
          </w:p>
        </w:tc>
        <w:tc>
          <w:tcPr>
            <w:tcW w:w="0" w:type="auto"/>
          </w:tcPr>
          <w:p w14:paraId="4CE9299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24"/>
              </w:rPr>
            </w:pPr>
            <w:r w:rsidRPr="00C86111">
              <w:rPr>
                <w:rFonts w:asciiTheme="minorHAnsi" w:hAnsiTheme="minorHAnsi" w:cstheme="minorHAnsi"/>
                <w:b/>
                <w:bCs/>
                <w:color w:val="auto"/>
                <w:szCs w:val="24"/>
              </w:rPr>
              <w:t>2018</w:t>
            </w:r>
          </w:p>
        </w:tc>
        <w:tc>
          <w:tcPr>
            <w:tcW w:w="0" w:type="auto"/>
          </w:tcPr>
          <w:p w14:paraId="27ED779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24"/>
              </w:rPr>
            </w:pPr>
            <w:r w:rsidRPr="00C86111">
              <w:rPr>
                <w:rFonts w:asciiTheme="minorHAnsi" w:hAnsiTheme="minorHAnsi" w:cstheme="minorHAnsi"/>
                <w:b/>
                <w:bCs/>
                <w:color w:val="auto"/>
                <w:szCs w:val="24"/>
              </w:rPr>
              <w:t>2019</w:t>
            </w:r>
          </w:p>
        </w:tc>
        <w:tc>
          <w:tcPr>
            <w:tcW w:w="0" w:type="auto"/>
          </w:tcPr>
          <w:p w14:paraId="5C11F81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24"/>
              </w:rPr>
            </w:pPr>
            <w:r w:rsidRPr="00C86111">
              <w:rPr>
                <w:rFonts w:asciiTheme="minorHAnsi" w:hAnsiTheme="minorHAnsi" w:cstheme="minorHAnsi"/>
                <w:b/>
                <w:bCs/>
                <w:color w:val="auto"/>
                <w:szCs w:val="24"/>
              </w:rPr>
              <w:t>2020</w:t>
            </w:r>
          </w:p>
        </w:tc>
        <w:tc>
          <w:tcPr>
            <w:tcW w:w="0" w:type="auto"/>
          </w:tcPr>
          <w:p w14:paraId="38670CC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24"/>
              </w:rPr>
            </w:pPr>
            <w:r w:rsidRPr="00C86111">
              <w:rPr>
                <w:rFonts w:asciiTheme="minorHAnsi" w:hAnsiTheme="minorHAnsi" w:cstheme="minorHAnsi"/>
                <w:b/>
                <w:bCs/>
                <w:color w:val="auto"/>
                <w:szCs w:val="24"/>
              </w:rPr>
              <w:t>2021</w:t>
            </w:r>
          </w:p>
        </w:tc>
        <w:tc>
          <w:tcPr>
            <w:tcW w:w="0" w:type="auto"/>
          </w:tcPr>
          <w:p w14:paraId="64611AC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24"/>
              </w:rPr>
            </w:pPr>
            <w:r w:rsidRPr="00C86111">
              <w:rPr>
                <w:rFonts w:asciiTheme="minorHAnsi" w:hAnsiTheme="minorHAnsi" w:cstheme="minorHAnsi"/>
                <w:b/>
                <w:bCs/>
                <w:color w:val="auto"/>
                <w:szCs w:val="24"/>
              </w:rPr>
              <w:t>2022</w:t>
            </w:r>
          </w:p>
        </w:tc>
        <w:tc>
          <w:tcPr>
            <w:tcW w:w="913" w:type="dxa"/>
          </w:tcPr>
          <w:p w14:paraId="7C4C6BB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24"/>
              </w:rPr>
            </w:pPr>
            <w:r w:rsidRPr="00C86111">
              <w:rPr>
                <w:rFonts w:asciiTheme="minorHAnsi" w:hAnsiTheme="minorHAnsi" w:cstheme="minorHAnsi"/>
                <w:b/>
                <w:bCs/>
                <w:color w:val="auto"/>
                <w:szCs w:val="24"/>
              </w:rPr>
              <w:t>2023</w:t>
            </w:r>
          </w:p>
        </w:tc>
      </w:tr>
      <w:tr w:rsidR="00201FE9" w:rsidRPr="00C86111" w14:paraId="4F91E36D"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4" w:type="dxa"/>
          </w:tcPr>
          <w:p w14:paraId="5E1771F9" w14:textId="77777777" w:rsidR="00201FE9" w:rsidRPr="00C86111" w:rsidRDefault="00201FE9" w:rsidP="00BC765B">
            <w:pPr>
              <w:jc w:val="both"/>
              <w:rPr>
                <w:rFonts w:asciiTheme="minorHAnsi" w:hAnsiTheme="minorHAnsi" w:cstheme="minorHAnsi"/>
                <w:color w:val="auto"/>
                <w:szCs w:val="24"/>
              </w:rPr>
            </w:pPr>
            <w:r w:rsidRPr="00C86111">
              <w:rPr>
                <w:rFonts w:asciiTheme="minorHAnsi" w:hAnsiTheme="minorHAnsi" w:cstheme="minorHAnsi"/>
                <w:color w:val="auto"/>
                <w:szCs w:val="24"/>
              </w:rPr>
              <w:t>PCDD/PCDF, gTEQ</w:t>
            </w:r>
          </w:p>
        </w:tc>
        <w:tc>
          <w:tcPr>
            <w:tcW w:w="738" w:type="dxa"/>
          </w:tcPr>
          <w:p w14:paraId="447C4F5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30</w:t>
            </w:r>
          </w:p>
        </w:tc>
        <w:tc>
          <w:tcPr>
            <w:tcW w:w="0" w:type="auto"/>
          </w:tcPr>
          <w:p w14:paraId="6FFCE6C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29</w:t>
            </w:r>
          </w:p>
        </w:tc>
        <w:tc>
          <w:tcPr>
            <w:tcW w:w="0" w:type="auto"/>
          </w:tcPr>
          <w:p w14:paraId="542DDA7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28</w:t>
            </w:r>
          </w:p>
        </w:tc>
        <w:tc>
          <w:tcPr>
            <w:tcW w:w="0" w:type="auto"/>
          </w:tcPr>
          <w:p w14:paraId="7E22415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28</w:t>
            </w:r>
          </w:p>
        </w:tc>
        <w:tc>
          <w:tcPr>
            <w:tcW w:w="0" w:type="auto"/>
          </w:tcPr>
          <w:p w14:paraId="0330D4F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29</w:t>
            </w:r>
          </w:p>
        </w:tc>
        <w:tc>
          <w:tcPr>
            <w:tcW w:w="0" w:type="auto"/>
          </w:tcPr>
          <w:p w14:paraId="0365AF4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29</w:t>
            </w:r>
          </w:p>
        </w:tc>
        <w:tc>
          <w:tcPr>
            <w:tcW w:w="0" w:type="auto"/>
          </w:tcPr>
          <w:p w14:paraId="6F01806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28</w:t>
            </w:r>
          </w:p>
        </w:tc>
        <w:tc>
          <w:tcPr>
            <w:tcW w:w="0" w:type="auto"/>
          </w:tcPr>
          <w:p w14:paraId="27A7987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29</w:t>
            </w:r>
          </w:p>
        </w:tc>
        <w:tc>
          <w:tcPr>
            <w:tcW w:w="913" w:type="dxa"/>
          </w:tcPr>
          <w:p w14:paraId="639112F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Cs w:val="24"/>
              </w:rPr>
            </w:pPr>
            <w:r w:rsidRPr="00C86111">
              <w:rPr>
                <w:rFonts w:asciiTheme="minorHAnsi" w:hAnsiTheme="minorHAnsi" w:cstheme="minorHAnsi"/>
                <w:color w:val="auto"/>
                <w:szCs w:val="24"/>
              </w:rPr>
              <w:t>/</w:t>
            </w:r>
          </w:p>
        </w:tc>
      </w:tr>
    </w:tbl>
    <w:p w14:paraId="2ACEA7F0"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noProof/>
          <w:color w:val="auto"/>
          <w:szCs w:val="24"/>
        </w:rPr>
        <w:lastRenderedPageBreak/>
        <w:drawing>
          <wp:inline distT="0" distB="0" distL="0" distR="0" wp14:anchorId="3BA49558" wp14:editId="3402165A">
            <wp:extent cx="5737860" cy="2347768"/>
            <wp:effectExtent l="0" t="0" r="15240" b="14605"/>
            <wp:docPr id="530319526" name="Chart 1">
              <a:extLst xmlns:a="http://schemas.openxmlformats.org/drawingml/2006/main">
                <a:ext uri="{FF2B5EF4-FFF2-40B4-BE49-F238E27FC236}">
                  <a16:creationId xmlns:a16="http://schemas.microsoft.com/office/drawing/2014/main" id="{FAD4B0EE-CC27-A9CC-C4B5-F4C4D6EA61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FBBFE96" w14:textId="77777777" w:rsidR="004C4490" w:rsidRPr="00C86111" w:rsidRDefault="004C4490" w:rsidP="004C4490">
      <w:pPr>
        <w:pStyle w:val="Grafikon"/>
        <w:numPr>
          <w:ilvl w:val="0"/>
          <w:numId w:val="0"/>
        </w:numPr>
        <w:jc w:val="both"/>
        <w:rPr>
          <w:rFonts w:asciiTheme="minorHAnsi" w:hAnsiTheme="minorHAnsi" w:cstheme="minorHAnsi"/>
          <w:b/>
          <w:bCs/>
          <w:i w:val="0"/>
          <w:iCs/>
          <w:sz w:val="24"/>
          <w:lang w:val="sr-Latn-RS"/>
        </w:rPr>
      </w:pPr>
    </w:p>
    <w:p w14:paraId="550D65C6" w14:textId="0988E074" w:rsidR="00201FE9" w:rsidRPr="00C86111" w:rsidRDefault="004C4490" w:rsidP="004C4490">
      <w:pPr>
        <w:pStyle w:val="Grafikon"/>
        <w:numPr>
          <w:ilvl w:val="0"/>
          <w:numId w:val="0"/>
        </w:numPr>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Grafik 1.</w:t>
      </w:r>
      <w:r w:rsidRPr="00C86111">
        <w:rPr>
          <w:rFonts w:asciiTheme="minorHAnsi" w:hAnsiTheme="minorHAnsi" w:cstheme="minorHAnsi"/>
          <w:sz w:val="24"/>
          <w:lang w:val="sr-Latn-RS"/>
        </w:rPr>
        <w:t xml:space="preserve"> </w:t>
      </w:r>
      <w:r w:rsidR="00201FE9" w:rsidRPr="00C86111">
        <w:rPr>
          <w:rFonts w:asciiTheme="minorHAnsi" w:hAnsiTheme="minorHAnsi" w:cstheme="minorHAnsi"/>
          <w:i w:val="0"/>
          <w:iCs/>
          <w:sz w:val="24"/>
          <w:lang w:val="sr-Latn-RS"/>
        </w:rPr>
        <w:t xml:space="preserve">Ukupne godišnje </w:t>
      </w:r>
      <w:r w:rsidR="000D1995" w:rsidRPr="00C86111">
        <w:rPr>
          <w:rFonts w:asciiTheme="minorHAnsi" w:hAnsiTheme="minorHAnsi" w:cstheme="minorHAnsi"/>
          <w:i w:val="0"/>
          <w:iCs/>
          <w:sz w:val="24"/>
          <w:lang w:val="sr-Latn-RS"/>
        </w:rPr>
        <w:t>emisije</w:t>
      </w:r>
      <w:r w:rsidR="00201FE9" w:rsidRPr="00C86111">
        <w:rPr>
          <w:rFonts w:asciiTheme="minorHAnsi" w:hAnsiTheme="minorHAnsi" w:cstheme="minorHAnsi"/>
          <w:i w:val="0"/>
          <w:iCs/>
          <w:sz w:val="24"/>
          <w:lang w:val="sr-Latn-RS"/>
        </w:rPr>
        <w:t xml:space="preserve"> dioksina i furana (PCDD/PCDF), 2006-2022. godina (gTEQ)</w:t>
      </w:r>
    </w:p>
    <w:p w14:paraId="36D35612" w14:textId="77777777" w:rsidR="00375D24" w:rsidRPr="00C86111" w:rsidRDefault="00375D24" w:rsidP="00201FE9">
      <w:pPr>
        <w:jc w:val="both"/>
        <w:rPr>
          <w:rFonts w:asciiTheme="minorHAnsi" w:hAnsiTheme="minorHAnsi" w:cstheme="minorHAnsi"/>
          <w:color w:val="auto"/>
          <w:szCs w:val="24"/>
        </w:rPr>
      </w:pPr>
    </w:p>
    <w:p w14:paraId="7E06309F" w14:textId="4279EE04"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Procijenjena je ukupna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POP’s u svaki medijum pojedinačno kako je preporučila UNEP metodologija. Ukupne godišnje emisije POP’s u vazduh, vodu, zemljište, proizvode i ostatke iz procesa proizvodnje, prikazane su </w:t>
      </w:r>
      <w:r w:rsidR="004748D1" w:rsidRPr="00C86111">
        <w:rPr>
          <w:rFonts w:asciiTheme="minorHAnsi" w:hAnsiTheme="minorHAnsi" w:cstheme="minorHAnsi"/>
          <w:color w:val="auto"/>
          <w:szCs w:val="24"/>
        </w:rPr>
        <w:t xml:space="preserve">u </w:t>
      </w:r>
      <w:r w:rsidRPr="00C86111">
        <w:rPr>
          <w:rFonts w:asciiTheme="minorHAnsi" w:hAnsiTheme="minorHAnsi" w:cstheme="minorHAnsi"/>
          <w:color w:val="auto"/>
          <w:szCs w:val="24"/>
        </w:rPr>
        <w:t>tabel</w:t>
      </w:r>
      <w:r w:rsidR="004748D1" w:rsidRPr="00C86111">
        <w:rPr>
          <w:rFonts w:asciiTheme="minorHAnsi" w:hAnsiTheme="minorHAnsi" w:cstheme="minorHAnsi"/>
          <w:color w:val="auto"/>
          <w:szCs w:val="24"/>
        </w:rPr>
        <w:t>i</w:t>
      </w:r>
      <w:r w:rsidRPr="00C86111">
        <w:rPr>
          <w:rFonts w:asciiTheme="minorHAnsi" w:hAnsiTheme="minorHAnsi" w:cstheme="minorHAnsi"/>
          <w:color w:val="auto"/>
          <w:szCs w:val="24"/>
        </w:rPr>
        <w:t xml:space="preserve"> 2. i grafik</w:t>
      </w:r>
      <w:r w:rsidR="004748D1" w:rsidRPr="00C86111">
        <w:rPr>
          <w:rFonts w:asciiTheme="minorHAnsi" w:hAnsiTheme="minorHAnsi" w:cstheme="minorHAnsi"/>
          <w:color w:val="auto"/>
          <w:szCs w:val="24"/>
        </w:rPr>
        <w:t xml:space="preserve">u </w:t>
      </w:r>
      <w:r w:rsidRPr="00C86111">
        <w:rPr>
          <w:rFonts w:asciiTheme="minorHAnsi" w:hAnsiTheme="minorHAnsi" w:cstheme="minorHAnsi"/>
          <w:color w:val="auto"/>
          <w:szCs w:val="24"/>
        </w:rPr>
        <w:t>2. Zapaža se da se najviše POP’s emituje u vazduh.</w:t>
      </w:r>
    </w:p>
    <w:p w14:paraId="4E843FD8" w14:textId="77777777" w:rsidR="00201FE9" w:rsidRPr="00C86111" w:rsidRDefault="00201FE9" w:rsidP="00201FE9">
      <w:pPr>
        <w:jc w:val="both"/>
        <w:rPr>
          <w:rFonts w:asciiTheme="minorHAnsi" w:hAnsiTheme="minorHAnsi" w:cstheme="minorHAnsi"/>
          <w:color w:val="auto"/>
          <w:szCs w:val="24"/>
        </w:rPr>
      </w:pPr>
    </w:p>
    <w:p w14:paraId="790384D1" w14:textId="6B2601A5" w:rsidR="00201FE9" w:rsidRPr="00C86111" w:rsidRDefault="00201FE9" w:rsidP="00201FE9">
      <w:pPr>
        <w:pStyle w:val="Tabele"/>
        <w:numPr>
          <w:ilvl w:val="0"/>
          <w:numId w:val="0"/>
        </w:numPr>
        <w:spacing w:before="0" w:after="120"/>
        <w:ind w:left="90" w:hanging="90"/>
        <w:jc w:val="both"/>
        <w:rPr>
          <w:rFonts w:asciiTheme="minorHAnsi" w:hAnsiTheme="minorHAnsi" w:cstheme="minorHAnsi"/>
          <w:i w:val="0"/>
          <w:sz w:val="24"/>
          <w:lang w:val="sr-Latn-RS"/>
        </w:rPr>
      </w:pPr>
      <w:bookmarkStart w:id="48" w:name="_Hlk206664839"/>
      <w:r w:rsidRPr="00C86111">
        <w:rPr>
          <w:rFonts w:asciiTheme="minorHAnsi" w:hAnsiTheme="minorHAnsi" w:cstheme="minorHAnsi"/>
          <w:b/>
          <w:bCs/>
          <w:i w:val="0"/>
          <w:sz w:val="24"/>
          <w:lang w:val="sr-Latn-RS"/>
        </w:rPr>
        <w:t xml:space="preserve">Tabela </w:t>
      </w:r>
      <w:r w:rsidR="004748D1" w:rsidRPr="00C86111">
        <w:rPr>
          <w:rFonts w:asciiTheme="minorHAnsi" w:hAnsiTheme="minorHAnsi" w:cstheme="minorHAnsi"/>
          <w:b/>
          <w:bCs/>
          <w:i w:val="0"/>
          <w:sz w:val="24"/>
          <w:lang w:val="sr-Latn-RS"/>
        </w:rPr>
        <w:t>1</w:t>
      </w:r>
      <w:r w:rsidRPr="00C86111">
        <w:rPr>
          <w:rFonts w:asciiTheme="minorHAnsi" w:hAnsiTheme="minorHAnsi" w:cstheme="minorHAnsi"/>
          <w:b/>
          <w:bCs/>
          <w:i w:val="0"/>
          <w:sz w:val="24"/>
          <w:lang w:val="sr-Latn-RS"/>
        </w:rPr>
        <w:t>2.</w:t>
      </w:r>
      <w:r w:rsidRPr="00C86111">
        <w:rPr>
          <w:rFonts w:asciiTheme="minorHAnsi" w:hAnsiTheme="minorHAnsi" w:cstheme="minorHAnsi"/>
          <w:i w:val="0"/>
          <w:sz w:val="24"/>
          <w:lang w:val="sr-Latn-RS"/>
        </w:rPr>
        <w:t xml:space="preserve"> Ukupne godišnje </w:t>
      </w:r>
      <w:r w:rsidR="000D1995" w:rsidRPr="00C86111">
        <w:rPr>
          <w:rFonts w:asciiTheme="minorHAnsi" w:hAnsiTheme="minorHAnsi" w:cstheme="minorHAnsi"/>
          <w:i w:val="0"/>
          <w:sz w:val="24"/>
          <w:lang w:val="sr-Latn-RS"/>
        </w:rPr>
        <w:t>emisije</w:t>
      </w:r>
      <w:r w:rsidRPr="00C86111">
        <w:rPr>
          <w:rFonts w:asciiTheme="minorHAnsi" w:hAnsiTheme="minorHAnsi" w:cstheme="minorHAnsi"/>
          <w:i w:val="0"/>
          <w:sz w:val="24"/>
          <w:lang w:val="sr-Latn-RS"/>
        </w:rPr>
        <w:t xml:space="preserve"> dioksina i furana (PCDD/PCDF) u vazduh, vodu, zemljište, proizvode i ostatke od proizvodnih procesa, 2006-2022. godina (gTEQ/god)</w:t>
      </w:r>
    </w:p>
    <w:tbl>
      <w:tblPr>
        <w:tblStyle w:val="GridTable5Dark-Accent6"/>
        <w:tblW w:w="8785" w:type="dxa"/>
        <w:tblLook w:val="04A0" w:firstRow="1" w:lastRow="0" w:firstColumn="1" w:lastColumn="0" w:noHBand="0" w:noVBand="1"/>
      </w:tblPr>
      <w:tblGrid>
        <w:gridCol w:w="1784"/>
        <w:gridCol w:w="768"/>
        <w:gridCol w:w="780"/>
        <w:gridCol w:w="779"/>
        <w:gridCol w:w="779"/>
        <w:gridCol w:w="779"/>
        <w:gridCol w:w="779"/>
        <w:gridCol w:w="779"/>
        <w:gridCol w:w="779"/>
        <w:gridCol w:w="779"/>
      </w:tblGrid>
      <w:tr w:rsidR="00201FE9" w:rsidRPr="00C86111" w14:paraId="3B389E53"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bookmarkEnd w:id="48"/>
          <w:p w14:paraId="2779E722"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0AA4C4B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6E1A7CC2"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0931231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3D1C636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051E40C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74A814B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6F309FE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37743E4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9" w:type="dxa"/>
          </w:tcPr>
          <w:p w14:paraId="0187363E"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6E7BB2BC"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061E99A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5EF9E6F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36.2</w:t>
            </w:r>
          </w:p>
        </w:tc>
        <w:tc>
          <w:tcPr>
            <w:tcW w:w="780" w:type="dxa"/>
          </w:tcPr>
          <w:p w14:paraId="341DCA1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36.1</w:t>
            </w:r>
          </w:p>
        </w:tc>
        <w:tc>
          <w:tcPr>
            <w:tcW w:w="779" w:type="dxa"/>
          </w:tcPr>
          <w:p w14:paraId="75DF086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28.0</w:t>
            </w:r>
          </w:p>
        </w:tc>
        <w:tc>
          <w:tcPr>
            <w:tcW w:w="779" w:type="dxa"/>
          </w:tcPr>
          <w:p w14:paraId="08526A2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28.8</w:t>
            </w:r>
          </w:p>
        </w:tc>
        <w:tc>
          <w:tcPr>
            <w:tcW w:w="779" w:type="dxa"/>
          </w:tcPr>
          <w:p w14:paraId="5CBE40A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27.6</w:t>
            </w:r>
          </w:p>
        </w:tc>
        <w:tc>
          <w:tcPr>
            <w:tcW w:w="779" w:type="dxa"/>
          </w:tcPr>
          <w:p w14:paraId="09C2A67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26.9</w:t>
            </w:r>
          </w:p>
        </w:tc>
        <w:tc>
          <w:tcPr>
            <w:tcW w:w="779" w:type="dxa"/>
          </w:tcPr>
          <w:p w14:paraId="0B785F9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16.0</w:t>
            </w:r>
          </w:p>
        </w:tc>
        <w:tc>
          <w:tcPr>
            <w:tcW w:w="779" w:type="dxa"/>
          </w:tcPr>
          <w:p w14:paraId="23F73D0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9.7</w:t>
            </w:r>
          </w:p>
        </w:tc>
        <w:tc>
          <w:tcPr>
            <w:tcW w:w="779" w:type="dxa"/>
          </w:tcPr>
          <w:p w14:paraId="5EEE13D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12.6</w:t>
            </w:r>
          </w:p>
        </w:tc>
      </w:tr>
      <w:tr w:rsidR="00201FE9" w:rsidRPr="00C86111" w14:paraId="1ABDF86A"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1A84C6C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Voda</w:t>
            </w:r>
          </w:p>
        </w:tc>
        <w:tc>
          <w:tcPr>
            <w:tcW w:w="768" w:type="dxa"/>
          </w:tcPr>
          <w:p w14:paraId="72CA196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80" w:type="dxa"/>
          </w:tcPr>
          <w:p w14:paraId="4E3D7A3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9" w:type="dxa"/>
          </w:tcPr>
          <w:p w14:paraId="27860B6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5C7091E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659A7E8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72F49D3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2D402C3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11ECD66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45E91B0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r>
      <w:tr w:rsidR="00201FE9" w:rsidRPr="00C86111" w14:paraId="3E1FF359" w14:textId="77777777" w:rsidTr="00BC765B">
        <w:trPr>
          <w:cnfStyle w:val="000000100000" w:firstRow="0" w:lastRow="0" w:firstColumn="0" w:lastColumn="0" w:oddVBand="0" w:evenVBand="0" w:oddHBand="1"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1784" w:type="dxa"/>
          </w:tcPr>
          <w:p w14:paraId="04EFC870"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Zemljište</w:t>
            </w:r>
          </w:p>
        </w:tc>
        <w:tc>
          <w:tcPr>
            <w:tcW w:w="768" w:type="dxa"/>
          </w:tcPr>
          <w:p w14:paraId="7DE9209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c>
          <w:tcPr>
            <w:tcW w:w="780" w:type="dxa"/>
          </w:tcPr>
          <w:p w14:paraId="7393372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c>
          <w:tcPr>
            <w:tcW w:w="779" w:type="dxa"/>
          </w:tcPr>
          <w:p w14:paraId="71B7193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0.9</w:t>
            </w:r>
          </w:p>
        </w:tc>
        <w:tc>
          <w:tcPr>
            <w:tcW w:w="779" w:type="dxa"/>
          </w:tcPr>
          <w:p w14:paraId="1850768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779" w:type="dxa"/>
          </w:tcPr>
          <w:p w14:paraId="61DF0D0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779" w:type="dxa"/>
          </w:tcPr>
          <w:p w14:paraId="4502A68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779" w:type="dxa"/>
          </w:tcPr>
          <w:p w14:paraId="11BC11C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w:t>
            </w:r>
          </w:p>
        </w:tc>
        <w:tc>
          <w:tcPr>
            <w:tcW w:w="779" w:type="dxa"/>
          </w:tcPr>
          <w:p w14:paraId="77025BE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w:t>
            </w:r>
          </w:p>
        </w:tc>
        <w:tc>
          <w:tcPr>
            <w:tcW w:w="779" w:type="dxa"/>
          </w:tcPr>
          <w:p w14:paraId="308D772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r>
      <w:tr w:rsidR="00201FE9" w:rsidRPr="00C86111" w14:paraId="25B6847C"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6AC7664F"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Proizvodi</w:t>
            </w:r>
          </w:p>
        </w:tc>
        <w:tc>
          <w:tcPr>
            <w:tcW w:w="768" w:type="dxa"/>
          </w:tcPr>
          <w:p w14:paraId="7EACE1C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80" w:type="dxa"/>
          </w:tcPr>
          <w:p w14:paraId="495D891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246151C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448B4D5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2F2384E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00ADB05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2253A69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7E2AE1A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4E1F66C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r>
      <w:tr w:rsidR="00201FE9" w:rsidRPr="00C86111" w14:paraId="63D036FD"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6605589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proizvodnje </w:t>
            </w:r>
          </w:p>
        </w:tc>
        <w:tc>
          <w:tcPr>
            <w:tcW w:w="768" w:type="dxa"/>
          </w:tcPr>
          <w:p w14:paraId="7625A1D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16.4</w:t>
            </w:r>
          </w:p>
        </w:tc>
        <w:tc>
          <w:tcPr>
            <w:tcW w:w="780" w:type="dxa"/>
          </w:tcPr>
          <w:p w14:paraId="1CBF1D1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18.2</w:t>
            </w:r>
          </w:p>
        </w:tc>
        <w:tc>
          <w:tcPr>
            <w:tcW w:w="779" w:type="dxa"/>
          </w:tcPr>
          <w:p w14:paraId="6ACB964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17.6</w:t>
            </w:r>
          </w:p>
        </w:tc>
        <w:tc>
          <w:tcPr>
            <w:tcW w:w="779" w:type="dxa"/>
          </w:tcPr>
          <w:p w14:paraId="1F501D7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16.2</w:t>
            </w:r>
          </w:p>
        </w:tc>
        <w:tc>
          <w:tcPr>
            <w:tcW w:w="779" w:type="dxa"/>
          </w:tcPr>
          <w:p w14:paraId="5F87671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14.6</w:t>
            </w:r>
          </w:p>
        </w:tc>
        <w:tc>
          <w:tcPr>
            <w:tcW w:w="779" w:type="dxa"/>
          </w:tcPr>
          <w:p w14:paraId="688C0AF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14.2</w:t>
            </w:r>
          </w:p>
        </w:tc>
        <w:tc>
          <w:tcPr>
            <w:tcW w:w="779" w:type="dxa"/>
          </w:tcPr>
          <w:p w14:paraId="5F8EA05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13.4</w:t>
            </w:r>
          </w:p>
        </w:tc>
        <w:tc>
          <w:tcPr>
            <w:tcW w:w="779" w:type="dxa"/>
          </w:tcPr>
          <w:p w14:paraId="7DAA234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13.1</w:t>
            </w:r>
          </w:p>
        </w:tc>
        <w:tc>
          <w:tcPr>
            <w:tcW w:w="779" w:type="dxa"/>
          </w:tcPr>
          <w:p w14:paraId="0318A72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14.7</w:t>
            </w:r>
          </w:p>
        </w:tc>
      </w:tr>
      <w:tr w:rsidR="00201FE9" w:rsidRPr="00C86111" w14:paraId="64970FA1"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5DA62E0"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6610097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80" w:type="dxa"/>
          </w:tcPr>
          <w:p w14:paraId="1048B94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9" w:type="dxa"/>
          </w:tcPr>
          <w:p w14:paraId="50F8D3D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9" w:type="dxa"/>
          </w:tcPr>
          <w:p w14:paraId="74E3293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9" w:type="dxa"/>
          </w:tcPr>
          <w:p w14:paraId="49B1A5A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9" w:type="dxa"/>
          </w:tcPr>
          <w:p w14:paraId="3F2C129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9" w:type="dxa"/>
          </w:tcPr>
          <w:p w14:paraId="18D2036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9" w:type="dxa"/>
          </w:tcPr>
          <w:p w14:paraId="4BDA148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9" w:type="dxa"/>
          </w:tcPr>
          <w:p w14:paraId="08529E7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2C2949E6"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123F74C0"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276E946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13.7</w:t>
            </w:r>
          </w:p>
        </w:tc>
        <w:tc>
          <w:tcPr>
            <w:tcW w:w="780" w:type="dxa"/>
          </w:tcPr>
          <w:p w14:paraId="583F5B0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13.2</w:t>
            </w:r>
          </w:p>
        </w:tc>
        <w:tc>
          <w:tcPr>
            <w:tcW w:w="779" w:type="dxa"/>
          </w:tcPr>
          <w:p w14:paraId="1193025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13.2</w:t>
            </w:r>
          </w:p>
        </w:tc>
        <w:tc>
          <w:tcPr>
            <w:tcW w:w="779" w:type="dxa"/>
          </w:tcPr>
          <w:p w14:paraId="4FCCA5C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13.0</w:t>
            </w:r>
          </w:p>
        </w:tc>
        <w:tc>
          <w:tcPr>
            <w:tcW w:w="779" w:type="dxa"/>
          </w:tcPr>
          <w:p w14:paraId="7901BB8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13.0</w:t>
            </w:r>
          </w:p>
        </w:tc>
        <w:tc>
          <w:tcPr>
            <w:tcW w:w="779" w:type="dxa"/>
          </w:tcPr>
          <w:p w14:paraId="528344B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13.0</w:t>
            </w:r>
          </w:p>
        </w:tc>
        <w:tc>
          <w:tcPr>
            <w:tcW w:w="779" w:type="dxa"/>
          </w:tcPr>
          <w:p w14:paraId="10F0F0B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13.0</w:t>
            </w:r>
          </w:p>
        </w:tc>
        <w:tc>
          <w:tcPr>
            <w:tcW w:w="779" w:type="dxa"/>
          </w:tcPr>
          <w:p w14:paraId="064E443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12.9</w:t>
            </w:r>
          </w:p>
        </w:tc>
        <w:tc>
          <w:tcPr>
            <w:tcW w:w="779" w:type="dxa"/>
          </w:tcPr>
          <w:p w14:paraId="039CA9C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514C0363"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704CEE7"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Voda</w:t>
            </w:r>
          </w:p>
        </w:tc>
        <w:tc>
          <w:tcPr>
            <w:tcW w:w="768" w:type="dxa"/>
          </w:tcPr>
          <w:p w14:paraId="1E823F4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80" w:type="dxa"/>
          </w:tcPr>
          <w:p w14:paraId="05C3161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2833FF4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6DD5D94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3FFC79D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53DBF8D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38E5221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9" w:type="dxa"/>
          </w:tcPr>
          <w:p w14:paraId="495AE1F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9" w:type="dxa"/>
          </w:tcPr>
          <w:p w14:paraId="3E9ABCD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6F1F7FA7" w14:textId="77777777" w:rsidTr="00BC765B">
        <w:trPr>
          <w:cnfStyle w:val="000000100000" w:firstRow="0" w:lastRow="0" w:firstColumn="0" w:lastColumn="0" w:oddVBand="0" w:evenVBand="0" w:oddHBand="1"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1784" w:type="dxa"/>
          </w:tcPr>
          <w:p w14:paraId="6C2AC10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Zemljište</w:t>
            </w:r>
          </w:p>
        </w:tc>
        <w:tc>
          <w:tcPr>
            <w:tcW w:w="768" w:type="dxa"/>
          </w:tcPr>
          <w:p w14:paraId="3F3C487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w:t>
            </w:r>
          </w:p>
        </w:tc>
        <w:tc>
          <w:tcPr>
            <w:tcW w:w="780" w:type="dxa"/>
          </w:tcPr>
          <w:p w14:paraId="06B4E11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79" w:type="dxa"/>
          </w:tcPr>
          <w:p w14:paraId="642CCDE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79" w:type="dxa"/>
          </w:tcPr>
          <w:p w14:paraId="25E3215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79" w:type="dxa"/>
          </w:tcPr>
          <w:p w14:paraId="15837A2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79" w:type="dxa"/>
          </w:tcPr>
          <w:p w14:paraId="6FF0DDD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79" w:type="dxa"/>
          </w:tcPr>
          <w:p w14:paraId="067B4E2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79" w:type="dxa"/>
          </w:tcPr>
          <w:p w14:paraId="43713DB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79" w:type="dxa"/>
          </w:tcPr>
          <w:p w14:paraId="6A58E39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39AE5896"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2671102C"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Proizvodi</w:t>
            </w:r>
          </w:p>
        </w:tc>
        <w:tc>
          <w:tcPr>
            <w:tcW w:w="768" w:type="dxa"/>
          </w:tcPr>
          <w:p w14:paraId="5A862E0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80" w:type="dxa"/>
          </w:tcPr>
          <w:p w14:paraId="68A12F7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0AA6CF6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3C6FA73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226DD78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6AF2DA0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01A3BD1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01995D1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9" w:type="dxa"/>
          </w:tcPr>
          <w:p w14:paraId="7395175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73B3261E"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70893F2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proizvodnje </w:t>
            </w:r>
          </w:p>
        </w:tc>
        <w:tc>
          <w:tcPr>
            <w:tcW w:w="768" w:type="dxa"/>
          </w:tcPr>
          <w:p w14:paraId="5C48415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15.5</w:t>
            </w:r>
          </w:p>
        </w:tc>
        <w:tc>
          <w:tcPr>
            <w:tcW w:w="780" w:type="dxa"/>
          </w:tcPr>
          <w:p w14:paraId="5AFE700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14.7</w:t>
            </w:r>
          </w:p>
        </w:tc>
        <w:tc>
          <w:tcPr>
            <w:tcW w:w="779" w:type="dxa"/>
          </w:tcPr>
          <w:p w14:paraId="6E1BBD5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14.5</w:t>
            </w:r>
          </w:p>
        </w:tc>
        <w:tc>
          <w:tcPr>
            <w:tcW w:w="779" w:type="dxa"/>
          </w:tcPr>
          <w:p w14:paraId="393A95E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13.9</w:t>
            </w:r>
          </w:p>
        </w:tc>
        <w:tc>
          <w:tcPr>
            <w:tcW w:w="779" w:type="dxa"/>
          </w:tcPr>
          <w:p w14:paraId="1796ACA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14.9</w:t>
            </w:r>
          </w:p>
        </w:tc>
        <w:tc>
          <w:tcPr>
            <w:tcW w:w="779" w:type="dxa"/>
          </w:tcPr>
          <w:p w14:paraId="0A69FFF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14.9</w:t>
            </w:r>
          </w:p>
        </w:tc>
        <w:tc>
          <w:tcPr>
            <w:tcW w:w="779" w:type="dxa"/>
          </w:tcPr>
          <w:p w14:paraId="1F8DB89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14.5</w:t>
            </w:r>
          </w:p>
        </w:tc>
        <w:tc>
          <w:tcPr>
            <w:tcW w:w="779" w:type="dxa"/>
          </w:tcPr>
          <w:p w14:paraId="1AF051F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15.4</w:t>
            </w:r>
          </w:p>
        </w:tc>
        <w:tc>
          <w:tcPr>
            <w:tcW w:w="779" w:type="dxa"/>
          </w:tcPr>
          <w:p w14:paraId="1085AFB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3ACA4BE7" w14:textId="77777777" w:rsidR="00201FE9" w:rsidRPr="00C86111" w:rsidRDefault="00201FE9" w:rsidP="00201FE9">
      <w:pPr>
        <w:pStyle w:val="Grafikon"/>
        <w:numPr>
          <w:ilvl w:val="0"/>
          <w:numId w:val="0"/>
        </w:numPr>
        <w:ind w:left="360"/>
        <w:jc w:val="both"/>
        <w:rPr>
          <w:rFonts w:asciiTheme="minorHAnsi" w:hAnsiTheme="minorHAnsi" w:cstheme="minorHAnsi"/>
          <w:i w:val="0"/>
          <w:sz w:val="24"/>
          <w:lang w:val="sr-Latn-RS"/>
        </w:rPr>
      </w:pPr>
    </w:p>
    <w:p w14:paraId="7DCEB242"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noProof/>
          <w:color w:val="auto"/>
          <w:szCs w:val="24"/>
        </w:rPr>
        <w:lastRenderedPageBreak/>
        <w:drawing>
          <wp:inline distT="0" distB="0" distL="0" distR="0" wp14:anchorId="4F205C2D" wp14:editId="277D1041">
            <wp:extent cx="4572000" cy="2265218"/>
            <wp:effectExtent l="0" t="0" r="0" b="1905"/>
            <wp:docPr id="984997594" name="Chart 1">
              <a:extLst xmlns:a="http://schemas.openxmlformats.org/drawingml/2006/main">
                <a:ext uri="{FF2B5EF4-FFF2-40B4-BE49-F238E27FC236}">
                  <a16:creationId xmlns:a16="http://schemas.microsoft.com/office/drawing/2014/main" id="{6034CC19-9D43-F930-E386-15EB39344B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4AD7DEB" w14:textId="77777777" w:rsidR="004748D1" w:rsidRPr="00C86111" w:rsidRDefault="004748D1" w:rsidP="004748D1">
      <w:pPr>
        <w:pStyle w:val="Grafikon"/>
        <w:numPr>
          <w:ilvl w:val="0"/>
          <w:numId w:val="0"/>
        </w:numPr>
        <w:jc w:val="both"/>
        <w:rPr>
          <w:rFonts w:asciiTheme="minorHAnsi" w:hAnsiTheme="minorHAnsi" w:cstheme="minorHAnsi"/>
          <w:b/>
          <w:bCs/>
          <w:i w:val="0"/>
          <w:iCs/>
          <w:sz w:val="24"/>
          <w:lang w:val="sr-Latn-RS"/>
        </w:rPr>
      </w:pPr>
    </w:p>
    <w:p w14:paraId="7D9989E8" w14:textId="4DCF1623" w:rsidR="00201FE9" w:rsidRPr="00C86111" w:rsidRDefault="004748D1" w:rsidP="004748D1">
      <w:pPr>
        <w:pStyle w:val="Grafikon"/>
        <w:numPr>
          <w:ilvl w:val="0"/>
          <w:numId w:val="0"/>
        </w:numPr>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Grafik 2.</w:t>
      </w:r>
      <w:r w:rsidRPr="00C86111">
        <w:rPr>
          <w:rFonts w:asciiTheme="minorHAnsi" w:hAnsiTheme="minorHAnsi" w:cstheme="minorHAnsi"/>
          <w:i w:val="0"/>
          <w:iCs/>
          <w:sz w:val="24"/>
          <w:lang w:val="sr-Latn-RS"/>
        </w:rPr>
        <w:t xml:space="preserve"> </w:t>
      </w:r>
      <w:r w:rsidR="00201FE9" w:rsidRPr="00C86111">
        <w:rPr>
          <w:rFonts w:asciiTheme="minorHAnsi" w:hAnsiTheme="minorHAnsi" w:cstheme="minorHAnsi"/>
          <w:i w:val="0"/>
          <w:iCs/>
          <w:sz w:val="24"/>
          <w:lang w:val="sr-Latn-RS"/>
        </w:rPr>
        <w:t xml:space="preserve">Ukupne godišnje </w:t>
      </w:r>
      <w:r w:rsidR="000D1995" w:rsidRPr="00C86111">
        <w:rPr>
          <w:rFonts w:asciiTheme="minorHAnsi" w:hAnsiTheme="minorHAnsi" w:cstheme="minorHAnsi"/>
          <w:i w:val="0"/>
          <w:iCs/>
          <w:sz w:val="24"/>
          <w:lang w:val="sr-Latn-RS"/>
        </w:rPr>
        <w:t>emisije</w:t>
      </w:r>
      <w:r w:rsidR="00201FE9" w:rsidRPr="00C86111">
        <w:rPr>
          <w:rFonts w:asciiTheme="minorHAnsi" w:hAnsiTheme="minorHAnsi" w:cstheme="minorHAnsi"/>
          <w:i w:val="0"/>
          <w:iCs/>
          <w:sz w:val="24"/>
          <w:lang w:val="sr-Latn-RS"/>
        </w:rPr>
        <w:t xml:space="preserve"> dioksina i furana (PCDD/PCDF) u vazduh, vodu, zemljište, proizvode i ostatke od proizvodnih procesa, 2006-2022. godina (gTEQ/god)</w:t>
      </w:r>
    </w:p>
    <w:p w14:paraId="1AB4FA85" w14:textId="068826D6" w:rsidR="00201FE9" w:rsidRPr="00C86111" w:rsidRDefault="00201FE9" w:rsidP="00EA6904">
      <w:pPr>
        <w:pStyle w:val="Heading3"/>
      </w:pPr>
      <w:bookmarkStart w:id="49" w:name="_Toc501437747"/>
      <w:bookmarkStart w:id="50" w:name="_Toc220541875"/>
      <w:r w:rsidRPr="00C86111">
        <w:t xml:space="preserve">Procjene </w:t>
      </w:r>
      <w:r w:rsidR="000D1995" w:rsidRPr="00C86111">
        <w:t>emisije</w:t>
      </w:r>
      <w:r w:rsidRPr="00C86111">
        <w:t xml:space="preserve"> nenamjerno proizvedenih POP‘s (PCDD/PCDF) u vazduh</w:t>
      </w:r>
      <w:bookmarkEnd w:id="49"/>
      <w:r w:rsidRPr="00C86111">
        <w:t xml:space="preserve"> za period 2006 -2022. </w:t>
      </w:r>
      <w:r w:rsidR="004748D1" w:rsidRPr="00C86111">
        <w:t>Godina</w:t>
      </w:r>
      <w:bookmarkEnd w:id="50"/>
    </w:p>
    <w:p w14:paraId="5FBEDAF3" w14:textId="77777777" w:rsidR="004748D1" w:rsidRPr="00C86111" w:rsidRDefault="004748D1" w:rsidP="004748D1"/>
    <w:p w14:paraId="690BDF1D" w14:textId="086B6CAF"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Emisije POP’s u vazduh najvećim dijelom potiču iz procesa sa otvorenim sagorijevanjem a manjim dijelom iz proizvodnje teških i obojenih metala, proizvodnje toplotne i električne energije i proizvodnje mineralnih proizvoda (tabela </w:t>
      </w:r>
      <w:r w:rsidR="004748D1" w:rsidRPr="00C86111">
        <w:rPr>
          <w:rFonts w:asciiTheme="minorHAnsi" w:hAnsiTheme="minorHAnsi" w:cstheme="minorHAnsi"/>
          <w:color w:val="auto"/>
          <w:szCs w:val="24"/>
        </w:rPr>
        <w:t>1</w:t>
      </w:r>
      <w:r w:rsidRPr="00C86111">
        <w:rPr>
          <w:rFonts w:asciiTheme="minorHAnsi" w:hAnsiTheme="minorHAnsi" w:cstheme="minorHAnsi"/>
          <w:color w:val="auto"/>
          <w:szCs w:val="24"/>
        </w:rPr>
        <w:t>3.). Ostale aktivnosti unutar kategorija  ili ne dovode do emisija POP‘s u vazduh ili su zanemarljivo male.</w:t>
      </w:r>
    </w:p>
    <w:p w14:paraId="077B4BC8" w14:textId="77777777" w:rsidR="00201FE9" w:rsidRPr="00C86111" w:rsidRDefault="00201FE9" w:rsidP="00201FE9">
      <w:pPr>
        <w:jc w:val="both"/>
        <w:rPr>
          <w:rFonts w:asciiTheme="minorHAnsi" w:hAnsiTheme="minorHAnsi" w:cstheme="minorHAnsi"/>
          <w:color w:val="auto"/>
          <w:szCs w:val="24"/>
        </w:rPr>
      </w:pPr>
    </w:p>
    <w:p w14:paraId="2016EEE1" w14:textId="1C35356A" w:rsidR="00201FE9" w:rsidRPr="00C86111" w:rsidRDefault="00201FE9" w:rsidP="00201FE9">
      <w:pPr>
        <w:rPr>
          <w:lang w:val="sr-Latn-RS"/>
        </w:rPr>
      </w:pPr>
      <w:r w:rsidRPr="00C86111">
        <w:rPr>
          <w:b/>
          <w:bCs/>
          <w:lang w:val="sr-Latn-RS"/>
        </w:rPr>
        <w:t xml:space="preserve">Tabela </w:t>
      </w:r>
      <w:r w:rsidR="004748D1" w:rsidRPr="00C86111">
        <w:rPr>
          <w:b/>
          <w:bCs/>
          <w:lang w:val="sr-Latn-RS"/>
        </w:rPr>
        <w:t>1</w:t>
      </w:r>
      <w:r w:rsidRPr="00C86111">
        <w:rPr>
          <w:b/>
          <w:bCs/>
          <w:lang w:val="sr-Latn-RS"/>
        </w:rPr>
        <w:t>3.</w:t>
      </w:r>
      <w:r w:rsidRPr="00C86111">
        <w:rPr>
          <w:lang w:val="sr-Latn-RS"/>
        </w:rPr>
        <w:t>Godišnje emisije dioksina i furana (PCDD/PCDF) u vazduh. 2006-2022. godina (gTEQ/god)</w:t>
      </w:r>
    </w:p>
    <w:tbl>
      <w:tblPr>
        <w:tblStyle w:val="GridTable5Dark-Accent6"/>
        <w:tblW w:w="8941" w:type="dxa"/>
        <w:tblLayout w:type="fixed"/>
        <w:tblLook w:val="04A0" w:firstRow="1" w:lastRow="0" w:firstColumn="1" w:lastColumn="0" w:noHBand="0" w:noVBand="1"/>
      </w:tblPr>
      <w:tblGrid>
        <w:gridCol w:w="1969"/>
        <w:gridCol w:w="774"/>
        <w:gridCol w:w="775"/>
        <w:gridCol w:w="775"/>
        <w:gridCol w:w="774"/>
        <w:gridCol w:w="775"/>
        <w:gridCol w:w="775"/>
        <w:gridCol w:w="775"/>
        <w:gridCol w:w="774"/>
        <w:gridCol w:w="775"/>
      </w:tblGrid>
      <w:tr w:rsidR="00201FE9" w:rsidRPr="00C86111" w14:paraId="1B176E80" w14:textId="77777777" w:rsidTr="00BC765B">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969" w:type="dxa"/>
          </w:tcPr>
          <w:p w14:paraId="2AD7028F"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74" w:type="dxa"/>
          </w:tcPr>
          <w:p w14:paraId="1589F31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75" w:type="dxa"/>
          </w:tcPr>
          <w:p w14:paraId="68400D6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5" w:type="dxa"/>
          </w:tcPr>
          <w:p w14:paraId="7C4F03E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4" w:type="dxa"/>
          </w:tcPr>
          <w:p w14:paraId="7E55ACC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5" w:type="dxa"/>
          </w:tcPr>
          <w:p w14:paraId="37D3264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5" w:type="dxa"/>
          </w:tcPr>
          <w:p w14:paraId="3A70BB6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5" w:type="dxa"/>
          </w:tcPr>
          <w:p w14:paraId="11D31693"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4" w:type="dxa"/>
          </w:tcPr>
          <w:p w14:paraId="6A15ADF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5" w:type="dxa"/>
          </w:tcPr>
          <w:p w14:paraId="5CBEB44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30926807" w14:textId="77777777" w:rsidTr="00BC765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969" w:type="dxa"/>
          </w:tcPr>
          <w:p w14:paraId="6CF6E263"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teških i obojenih metala</w:t>
            </w:r>
          </w:p>
        </w:tc>
        <w:tc>
          <w:tcPr>
            <w:tcW w:w="774" w:type="dxa"/>
          </w:tcPr>
          <w:p w14:paraId="5657F18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w:t>
            </w:r>
          </w:p>
        </w:tc>
        <w:tc>
          <w:tcPr>
            <w:tcW w:w="775" w:type="dxa"/>
          </w:tcPr>
          <w:p w14:paraId="06D9310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w:t>
            </w:r>
          </w:p>
        </w:tc>
        <w:tc>
          <w:tcPr>
            <w:tcW w:w="775" w:type="dxa"/>
          </w:tcPr>
          <w:p w14:paraId="553B2F8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2.2</w:t>
            </w:r>
          </w:p>
        </w:tc>
        <w:tc>
          <w:tcPr>
            <w:tcW w:w="774" w:type="dxa"/>
          </w:tcPr>
          <w:p w14:paraId="5A9B91F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c>
          <w:tcPr>
            <w:tcW w:w="775" w:type="dxa"/>
          </w:tcPr>
          <w:p w14:paraId="1D3C23A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w:t>
            </w:r>
          </w:p>
        </w:tc>
        <w:tc>
          <w:tcPr>
            <w:tcW w:w="775" w:type="dxa"/>
          </w:tcPr>
          <w:p w14:paraId="27306C8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w:t>
            </w:r>
          </w:p>
        </w:tc>
        <w:tc>
          <w:tcPr>
            <w:tcW w:w="775" w:type="dxa"/>
          </w:tcPr>
          <w:p w14:paraId="07BF322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4" w:type="dxa"/>
          </w:tcPr>
          <w:p w14:paraId="4CF30EB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5" w:type="dxa"/>
          </w:tcPr>
          <w:p w14:paraId="2387ECC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r>
      <w:tr w:rsidR="00201FE9" w:rsidRPr="00C86111" w14:paraId="64BBF5A3" w14:textId="77777777" w:rsidTr="00BC765B">
        <w:trPr>
          <w:trHeight w:val="144"/>
        </w:trPr>
        <w:tc>
          <w:tcPr>
            <w:cnfStyle w:val="001000000000" w:firstRow="0" w:lastRow="0" w:firstColumn="1" w:lastColumn="0" w:oddVBand="0" w:evenVBand="0" w:oddHBand="0" w:evenHBand="0" w:firstRowFirstColumn="0" w:firstRowLastColumn="0" w:lastRowFirstColumn="0" w:lastRowLastColumn="0"/>
            <w:tcW w:w="1969" w:type="dxa"/>
          </w:tcPr>
          <w:p w14:paraId="7BADAC0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toplotne i električne energije</w:t>
            </w:r>
          </w:p>
        </w:tc>
        <w:tc>
          <w:tcPr>
            <w:tcW w:w="774" w:type="dxa"/>
          </w:tcPr>
          <w:p w14:paraId="50AE9B4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w:t>
            </w:r>
          </w:p>
        </w:tc>
        <w:tc>
          <w:tcPr>
            <w:tcW w:w="775" w:type="dxa"/>
          </w:tcPr>
          <w:p w14:paraId="5587FF4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w:t>
            </w:r>
          </w:p>
        </w:tc>
        <w:tc>
          <w:tcPr>
            <w:tcW w:w="775" w:type="dxa"/>
          </w:tcPr>
          <w:p w14:paraId="5D595D1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w:t>
            </w:r>
          </w:p>
        </w:tc>
        <w:tc>
          <w:tcPr>
            <w:tcW w:w="774" w:type="dxa"/>
          </w:tcPr>
          <w:p w14:paraId="4855702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w:t>
            </w:r>
          </w:p>
        </w:tc>
        <w:tc>
          <w:tcPr>
            <w:tcW w:w="775" w:type="dxa"/>
          </w:tcPr>
          <w:p w14:paraId="10BC93D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0.9</w:t>
            </w:r>
          </w:p>
        </w:tc>
        <w:tc>
          <w:tcPr>
            <w:tcW w:w="775" w:type="dxa"/>
          </w:tcPr>
          <w:p w14:paraId="2D80426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0.9</w:t>
            </w:r>
          </w:p>
        </w:tc>
        <w:tc>
          <w:tcPr>
            <w:tcW w:w="775" w:type="dxa"/>
          </w:tcPr>
          <w:p w14:paraId="2C800BB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0.9</w:t>
            </w:r>
          </w:p>
        </w:tc>
        <w:tc>
          <w:tcPr>
            <w:tcW w:w="774" w:type="dxa"/>
          </w:tcPr>
          <w:p w14:paraId="474F0C7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0.9</w:t>
            </w:r>
          </w:p>
        </w:tc>
        <w:tc>
          <w:tcPr>
            <w:tcW w:w="775" w:type="dxa"/>
          </w:tcPr>
          <w:p w14:paraId="3E9E94B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w:t>
            </w:r>
          </w:p>
        </w:tc>
      </w:tr>
      <w:tr w:rsidR="00201FE9" w:rsidRPr="00C86111" w14:paraId="0A687045" w14:textId="77777777" w:rsidTr="00BC765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969" w:type="dxa"/>
          </w:tcPr>
          <w:p w14:paraId="19CB612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mineralnih proizvoda</w:t>
            </w:r>
          </w:p>
        </w:tc>
        <w:tc>
          <w:tcPr>
            <w:tcW w:w="774" w:type="dxa"/>
          </w:tcPr>
          <w:p w14:paraId="2A5B076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5" w:type="dxa"/>
          </w:tcPr>
          <w:p w14:paraId="0139073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5" w:type="dxa"/>
          </w:tcPr>
          <w:p w14:paraId="03D787C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4" w:type="dxa"/>
          </w:tcPr>
          <w:p w14:paraId="7E8198B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5" w:type="dxa"/>
          </w:tcPr>
          <w:p w14:paraId="4CCD8B1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045EF39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49B48F3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4" w:type="dxa"/>
          </w:tcPr>
          <w:p w14:paraId="2EE7589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7C3EA5B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r>
      <w:tr w:rsidR="00201FE9" w:rsidRPr="00C86111" w14:paraId="16583A82" w14:textId="77777777" w:rsidTr="00BC765B">
        <w:trPr>
          <w:trHeight w:val="720"/>
        </w:trPr>
        <w:tc>
          <w:tcPr>
            <w:cnfStyle w:val="001000000000" w:firstRow="0" w:lastRow="0" w:firstColumn="1" w:lastColumn="0" w:oddVBand="0" w:evenVBand="0" w:oddHBand="0" w:evenHBand="0" w:firstRowFirstColumn="0" w:firstRowLastColumn="0" w:lastRowFirstColumn="0" w:lastRowLastColumn="0"/>
            <w:tcW w:w="1969" w:type="dxa"/>
          </w:tcPr>
          <w:p w14:paraId="63A7B43F" w14:textId="77777777" w:rsidR="00201FE9" w:rsidRPr="00C86111" w:rsidRDefault="00201FE9" w:rsidP="00BC765B">
            <w:pPr>
              <w:jc w:val="both"/>
              <w:rPr>
                <w:rFonts w:asciiTheme="minorHAnsi" w:hAnsiTheme="minorHAnsi" w:cstheme="minorHAnsi"/>
                <w:color w:val="auto"/>
                <w:sz w:val="20"/>
                <w:szCs w:val="20"/>
              </w:rPr>
            </w:pPr>
            <w:bookmarkStart w:id="51" w:name="_Hlk207699114"/>
            <w:r w:rsidRPr="00C86111">
              <w:rPr>
                <w:rFonts w:asciiTheme="minorHAnsi" w:hAnsiTheme="minorHAnsi" w:cstheme="minorHAnsi"/>
                <w:color w:val="auto"/>
                <w:sz w:val="20"/>
                <w:szCs w:val="20"/>
              </w:rPr>
              <w:t>Procesi sa otvorenim sagorijevanjem</w:t>
            </w:r>
            <w:bookmarkEnd w:id="51"/>
          </w:p>
        </w:tc>
        <w:tc>
          <w:tcPr>
            <w:tcW w:w="774" w:type="dxa"/>
          </w:tcPr>
          <w:p w14:paraId="33BAC30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33.5</w:t>
            </w:r>
          </w:p>
        </w:tc>
        <w:tc>
          <w:tcPr>
            <w:tcW w:w="775" w:type="dxa"/>
          </w:tcPr>
          <w:p w14:paraId="1ED8E43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33.2</w:t>
            </w:r>
          </w:p>
        </w:tc>
        <w:tc>
          <w:tcPr>
            <w:tcW w:w="775" w:type="dxa"/>
          </w:tcPr>
          <w:p w14:paraId="01B7274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24.8</w:t>
            </w:r>
          </w:p>
        </w:tc>
        <w:tc>
          <w:tcPr>
            <w:tcW w:w="774" w:type="dxa"/>
          </w:tcPr>
          <w:p w14:paraId="6A6ADC2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26.8</w:t>
            </w:r>
          </w:p>
        </w:tc>
        <w:tc>
          <w:tcPr>
            <w:tcW w:w="775" w:type="dxa"/>
          </w:tcPr>
          <w:p w14:paraId="208DC78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26.3</w:t>
            </w:r>
          </w:p>
        </w:tc>
        <w:tc>
          <w:tcPr>
            <w:tcW w:w="775" w:type="dxa"/>
          </w:tcPr>
          <w:p w14:paraId="7A2D39D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25.6</w:t>
            </w:r>
          </w:p>
        </w:tc>
        <w:tc>
          <w:tcPr>
            <w:tcW w:w="775" w:type="dxa"/>
          </w:tcPr>
          <w:p w14:paraId="34111A9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14.8</w:t>
            </w:r>
          </w:p>
        </w:tc>
        <w:tc>
          <w:tcPr>
            <w:tcW w:w="774" w:type="dxa"/>
          </w:tcPr>
          <w:p w14:paraId="0F34F35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8.6</w:t>
            </w:r>
          </w:p>
        </w:tc>
        <w:tc>
          <w:tcPr>
            <w:tcW w:w="775" w:type="dxa"/>
          </w:tcPr>
          <w:p w14:paraId="7D67E8B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11.6</w:t>
            </w:r>
          </w:p>
        </w:tc>
      </w:tr>
      <w:tr w:rsidR="00201FE9" w:rsidRPr="00C86111" w14:paraId="25EF274B"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69" w:type="dxa"/>
          </w:tcPr>
          <w:p w14:paraId="51C9485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74" w:type="dxa"/>
          </w:tcPr>
          <w:p w14:paraId="31E93DD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75" w:type="dxa"/>
          </w:tcPr>
          <w:p w14:paraId="5BF76F0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5" w:type="dxa"/>
          </w:tcPr>
          <w:p w14:paraId="3E6C13C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4" w:type="dxa"/>
          </w:tcPr>
          <w:p w14:paraId="53405D4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5" w:type="dxa"/>
          </w:tcPr>
          <w:p w14:paraId="6747B41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5" w:type="dxa"/>
          </w:tcPr>
          <w:p w14:paraId="44D5299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5" w:type="dxa"/>
          </w:tcPr>
          <w:p w14:paraId="40A8EE5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4" w:type="dxa"/>
          </w:tcPr>
          <w:p w14:paraId="2BCBE50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5" w:type="dxa"/>
          </w:tcPr>
          <w:p w14:paraId="481D450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2965D919"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969" w:type="dxa"/>
          </w:tcPr>
          <w:p w14:paraId="62C32FBA"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teških i obojenih metala</w:t>
            </w:r>
          </w:p>
        </w:tc>
        <w:tc>
          <w:tcPr>
            <w:tcW w:w="774" w:type="dxa"/>
          </w:tcPr>
          <w:p w14:paraId="750AD75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5" w:type="dxa"/>
          </w:tcPr>
          <w:p w14:paraId="3BF456E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5" w:type="dxa"/>
          </w:tcPr>
          <w:p w14:paraId="27B7F45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4" w:type="dxa"/>
          </w:tcPr>
          <w:p w14:paraId="5725FF4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5" w:type="dxa"/>
          </w:tcPr>
          <w:p w14:paraId="67BE434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5" w:type="dxa"/>
          </w:tcPr>
          <w:p w14:paraId="0928768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5" w:type="dxa"/>
          </w:tcPr>
          <w:p w14:paraId="7058E50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4" w:type="dxa"/>
          </w:tcPr>
          <w:p w14:paraId="1D57F7C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52C9F91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7064D673"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69" w:type="dxa"/>
          </w:tcPr>
          <w:p w14:paraId="43466395"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toplotne i električne energije</w:t>
            </w:r>
          </w:p>
        </w:tc>
        <w:tc>
          <w:tcPr>
            <w:tcW w:w="774" w:type="dxa"/>
          </w:tcPr>
          <w:p w14:paraId="7E671A4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w:t>
            </w:r>
          </w:p>
        </w:tc>
        <w:tc>
          <w:tcPr>
            <w:tcW w:w="775" w:type="dxa"/>
          </w:tcPr>
          <w:p w14:paraId="5467024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w:t>
            </w:r>
          </w:p>
        </w:tc>
        <w:tc>
          <w:tcPr>
            <w:tcW w:w="775" w:type="dxa"/>
          </w:tcPr>
          <w:p w14:paraId="0ECE854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w:t>
            </w:r>
          </w:p>
        </w:tc>
        <w:tc>
          <w:tcPr>
            <w:tcW w:w="774" w:type="dxa"/>
          </w:tcPr>
          <w:p w14:paraId="23DCC75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w:t>
            </w:r>
          </w:p>
        </w:tc>
        <w:tc>
          <w:tcPr>
            <w:tcW w:w="775" w:type="dxa"/>
          </w:tcPr>
          <w:p w14:paraId="67D7614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w:t>
            </w:r>
          </w:p>
        </w:tc>
        <w:tc>
          <w:tcPr>
            <w:tcW w:w="775" w:type="dxa"/>
          </w:tcPr>
          <w:p w14:paraId="4CBC3F2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w:t>
            </w:r>
          </w:p>
        </w:tc>
        <w:tc>
          <w:tcPr>
            <w:tcW w:w="775" w:type="dxa"/>
          </w:tcPr>
          <w:p w14:paraId="6CD0A5B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w:t>
            </w:r>
          </w:p>
        </w:tc>
        <w:tc>
          <w:tcPr>
            <w:tcW w:w="774" w:type="dxa"/>
          </w:tcPr>
          <w:p w14:paraId="1B7368A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w:t>
            </w:r>
          </w:p>
        </w:tc>
        <w:tc>
          <w:tcPr>
            <w:tcW w:w="775" w:type="dxa"/>
          </w:tcPr>
          <w:p w14:paraId="3582A79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0528992D"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969" w:type="dxa"/>
          </w:tcPr>
          <w:p w14:paraId="6783DE41"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mineralnih proizvoda</w:t>
            </w:r>
          </w:p>
        </w:tc>
        <w:tc>
          <w:tcPr>
            <w:tcW w:w="774" w:type="dxa"/>
          </w:tcPr>
          <w:p w14:paraId="48F253C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1384F64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6EE8B45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4" w:type="dxa"/>
          </w:tcPr>
          <w:p w14:paraId="705C6B4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248CDA8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4AA7AB5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1D64AA4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4" w:type="dxa"/>
          </w:tcPr>
          <w:p w14:paraId="39E4594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0842C91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4335726A"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69" w:type="dxa"/>
          </w:tcPr>
          <w:p w14:paraId="0188FA77"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lastRenderedPageBreak/>
              <w:t>Procesi sa otvorenim sagorijevanjem</w:t>
            </w:r>
          </w:p>
        </w:tc>
        <w:tc>
          <w:tcPr>
            <w:tcW w:w="774" w:type="dxa"/>
          </w:tcPr>
          <w:p w14:paraId="7EFD53A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12.6</w:t>
            </w:r>
          </w:p>
        </w:tc>
        <w:tc>
          <w:tcPr>
            <w:tcW w:w="775" w:type="dxa"/>
          </w:tcPr>
          <w:p w14:paraId="577F6F9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12.2</w:t>
            </w:r>
          </w:p>
        </w:tc>
        <w:tc>
          <w:tcPr>
            <w:tcW w:w="775" w:type="dxa"/>
          </w:tcPr>
          <w:p w14:paraId="4EE88FC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12.2</w:t>
            </w:r>
          </w:p>
        </w:tc>
        <w:tc>
          <w:tcPr>
            <w:tcW w:w="774" w:type="dxa"/>
          </w:tcPr>
          <w:p w14:paraId="4AE1A22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12.2</w:t>
            </w:r>
          </w:p>
        </w:tc>
        <w:tc>
          <w:tcPr>
            <w:tcW w:w="775" w:type="dxa"/>
          </w:tcPr>
          <w:p w14:paraId="4D16CDF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12.2</w:t>
            </w:r>
          </w:p>
        </w:tc>
        <w:tc>
          <w:tcPr>
            <w:tcW w:w="775" w:type="dxa"/>
          </w:tcPr>
          <w:p w14:paraId="7EE7889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12.2</w:t>
            </w:r>
          </w:p>
        </w:tc>
        <w:tc>
          <w:tcPr>
            <w:tcW w:w="775" w:type="dxa"/>
          </w:tcPr>
          <w:p w14:paraId="136FF43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12.2</w:t>
            </w:r>
          </w:p>
        </w:tc>
        <w:tc>
          <w:tcPr>
            <w:tcW w:w="774" w:type="dxa"/>
          </w:tcPr>
          <w:p w14:paraId="48F93A2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12.1</w:t>
            </w:r>
          </w:p>
        </w:tc>
        <w:tc>
          <w:tcPr>
            <w:tcW w:w="775" w:type="dxa"/>
          </w:tcPr>
          <w:p w14:paraId="1C389EE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74732C90" w14:textId="77777777" w:rsidR="00201FE9" w:rsidRPr="00C86111" w:rsidRDefault="00201FE9" w:rsidP="00201FE9">
      <w:pPr>
        <w:jc w:val="both"/>
      </w:pPr>
      <w:bookmarkStart w:id="52" w:name="_Toc501437748"/>
    </w:p>
    <w:p w14:paraId="63C99F0C" w14:textId="20876621" w:rsidR="00201FE9" w:rsidRPr="00C86111" w:rsidRDefault="00201FE9" w:rsidP="00EA6904">
      <w:pPr>
        <w:pStyle w:val="Heading4"/>
      </w:pPr>
      <w:r w:rsidRPr="00C86111">
        <w:t xml:space="preserve">Procjene </w:t>
      </w:r>
      <w:r w:rsidR="000D1995" w:rsidRPr="00C86111">
        <w:t>emisije</w:t>
      </w:r>
      <w:r w:rsidRPr="00C86111">
        <w:t xml:space="preserve"> nenamjerno proizvedenih POP‘s (PCDD/PCDF) u vodu</w:t>
      </w:r>
      <w:bookmarkEnd w:id="52"/>
      <w:r w:rsidRPr="00C86111">
        <w:t xml:space="preserve"> za period 2006 -2022. godina</w:t>
      </w:r>
    </w:p>
    <w:p w14:paraId="48E78479" w14:textId="3993A24A"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Odlaganje otpada predstavlja jedinu aktivnost koja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POP’s u vodu (tabela </w:t>
      </w:r>
      <w:r w:rsidR="004748D1" w:rsidRPr="00C86111">
        <w:rPr>
          <w:rFonts w:asciiTheme="minorHAnsi" w:hAnsiTheme="minorHAnsi" w:cstheme="minorHAnsi"/>
          <w:color w:val="auto"/>
          <w:szCs w:val="24"/>
        </w:rPr>
        <w:t>1</w:t>
      </w:r>
      <w:r w:rsidRPr="00C86111">
        <w:rPr>
          <w:rFonts w:asciiTheme="minorHAnsi" w:hAnsiTheme="minorHAnsi" w:cstheme="minorHAnsi"/>
          <w:color w:val="auto"/>
          <w:szCs w:val="24"/>
        </w:rPr>
        <w:t xml:space="preserve">4.). Ostale aktivnosti unutar kategorija  ili ne dovode do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POP‘s u vodu ili su zanemarljivo male.</w:t>
      </w:r>
    </w:p>
    <w:p w14:paraId="74D1EC1F" w14:textId="10FF1864"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4748D1" w:rsidRPr="00C86111">
        <w:rPr>
          <w:rFonts w:asciiTheme="minorHAnsi" w:hAnsiTheme="minorHAnsi" w:cstheme="minorHAnsi"/>
          <w:b/>
          <w:bCs/>
          <w:i w:val="0"/>
          <w:iCs/>
          <w:sz w:val="24"/>
          <w:lang w:val="sr-Latn-RS"/>
        </w:rPr>
        <w:t>1</w:t>
      </w:r>
      <w:r w:rsidRPr="00C86111">
        <w:rPr>
          <w:rFonts w:asciiTheme="minorHAnsi" w:hAnsiTheme="minorHAnsi" w:cstheme="minorHAnsi"/>
          <w:b/>
          <w:bCs/>
          <w:i w:val="0"/>
          <w:iCs/>
          <w:sz w:val="24"/>
          <w:lang w:val="sr-Latn-RS"/>
        </w:rPr>
        <w:t>4.</w:t>
      </w:r>
      <w:r w:rsidRPr="00C86111">
        <w:rPr>
          <w:rFonts w:asciiTheme="minorHAnsi" w:hAnsiTheme="minorHAnsi" w:cstheme="minorHAnsi"/>
          <w:i w:val="0"/>
          <w:iCs/>
          <w:sz w:val="24"/>
          <w:lang w:val="sr-Latn-RS"/>
        </w:rPr>
        <w:t xml:space="preserve"> Godišnje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dioksina i furana (PCDD/PCDF) u vodu. 2006-2022. godina (gTEQ/god)</w:t>
      </w:r>
    </w:p>
    <w:p w14:paraId="278314A4" w14:textId="77777777" w:rsidR="004748D1" w:rsidRPr="00C86111" w:rsidRDefault="004748D1" w:rsidP="00375D24">
      <w:pPr>
        <w:pStyle w:val="Tabele"/>
        <w:numPr>
          <w:ilvl w:val="0"/>
          <w:numId w:val="0"/>
        </w:numPr>
        <w:spacing w:after="0"/>
        <w:jc w:val="both"/>
        <w:rPr>
          <w:rFonts w:asciiTheme="minorHAnsi" w:hAnsiTheme="minorHAnsi" w:cstheme="minorHAnsi"/>
          <w:i w:val="0"/>
          <w:iCs/>
          <w:sz w:val="24"/>
          <w:lang w:val="sr-Latn-RS"/>
        </w:rPr>
      </w:pPr>
    </w:p>
    <w:tbl>
      <w:tblPr>
        <w:tblStyle w:val="GridTable5Dark-Accent6"/>
        <w:tblW w:w="8905" w:type="dxa"/>
        <w:tblLayout w:type="fixed"/>
        <w:tblLook w:val="04A0" w:firstRow="1" w:lastRow="0" w:firstColumn="1" w:lastColumn="0" w:noHBand="0" w:noVBand="1"/>
      </w:tblPr>
      <w:tblGrid>
        <w:gridCol w:w="1818"/>
        <w:gridCol w:w="707"/>
        <w:gridCol w:w="708"/>
        <w:gridCol w:w="708"/>
        <w:gridCol w:w="707"/>
        <w:gridCol w:w="708"/>
        <w:gridCol w:w="708"/>
        <w:gridCol w:w="861"/>
        <w:gridCol w:w="810"/>
        <w:gridCol w:w="1170"/>
      </w:tblGrid>
      <w:tr w:rsidR="00201FE9" w:rsidRPr="00C86111" w14:paraId="38F29B82" w14:textId="77777777" w:rsidTr="00C323EA">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18" w:type="dxa"/>
          </w:tcPr>
          <w:p w14:paraId="345C5D1F"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07" w:type="dxa"/>
          </w:tcPr>
          <w:p w14:paraId="566D2B7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08" w:type="dxa"/>
          </w:tcPr>
          <w:p w14:paraId="3529D08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08" w:type="dxa"/>
          </w:tcPr>
          <w:p w14:paraId="2031590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07" w:type="dxa"/>
          </w:tcPr>
          <w:p w14:paraId="203246A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08" w:type="dxa"/>
          </w:tcPr>
          <w:p w14:paraId="43CD42F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08" w:type="dxa"/>
          </w:tcPr>
          <w:p w14:paraId="348EF6D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861" w:type="dxa"/>
          </w:tcPr>
          <w:p w14:paraId="6B9F77C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810" w:type="dxa"/>
          </w:tcPr>
          <w:p w14:paraId="5FC314E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1170" w:type="dxa"/>
          </w:tcPr>
          <w:p w14:paraId="5A06262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010EAD15" w14:textId="77777777" w:rsidTr="00C323E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18" w:type="dxa"/>
          </w:tcPr>
          <w:p w14:paraId="4E448EEF"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Odlaganje otpada</w:t>
            </w:r>
          </w:p>
        </w:tc>
        <w:tc>
          <w:tcPr>
            <w:tcW w:w="707" w:type="dxa"/>
          </w:tcPr>
          <w:p w14:paraId="372C565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08" w:type="dxa"/>
          </w:tcPr>
          <w:p w14:paraId="3AF8460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08" w:type="dxa"/>
          </w:tcPr>
          <w:p w14:paraId="61A45EC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07" w:type="dxa"/>
          </w:tcPr>
          <w:p w14:paraId="79D3D98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08" w:type="dxa"/>
          </w:tcPr>
          <w:p w14:paraId="4F4CA12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08" w:type="dxa"/>
          </w:tcPr>
          <w:p w14:paraId="49CE325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861" w:type="dxa"/>
          </w:tcPr>
          <w:p w14:paraId="066E657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810" w:type="dxa"/>
          </w:tcPr>
          <w:p w14:paraId="5438282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1170" w:type="dxa"/>
          </w:tcPr>
          <w:p w14:paraId="09684AE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r>
      <w:tr w:rsidR="00201FE9" w:rsidRPr="00C86111" w14:paraId="19CE092D" w14:textId="77777777" w:rsidTr="00C323EA">
        <w:trPr>
          <w:trHeight w:val="144"/>
        </w:trPr>
        <w:tc>
          <w:tcPr>
            <w:cnfStyle w:val="001000000000" w:firstRow="0" w:lastRow="0" w:firstColumn="1" w:lastColumn="0" w:oddVBand="0" w:evenVBand="0" w:oddHBand="0" w:evenHBand="0" w:firstRowFirstColumn="0" w:firstRowLastColumn="0" w:lastRowFirstColumn="0" w:lastRowLastColumn="0"/>
            <w:tcW w:w="1818" w:type="dxa"/>
          </w:tcPr>
          <w:p w14:paraId="2B12A957"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07" w:type="dxa"/>
          </w:tcPr>
          <w:p w14:paraId="05F7369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2015</w:t>
            </w:r>
          </w:p>
        </w:tc>
        <w:tc>
          <w:tcPr>
            <w:tcW w:w="708" w:type="dxa"/>
          </w:tcPr>
          <w:p w14:paraId="77F6F95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2016</w:t>
            </w:r>
          </w:p>
        </w:tc>
        <w:tc>
          <w:tcPr>
            <w:tcW w:w="708" w:type="dxa"/>
          </w:tcPr>
          <w:p w14:paraId="58C9628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2017</w:t>
            </w:r>
          </w:p>
        </w:tc>
        <w:tc>
          <w:tcPr>
            <w:tcW w:w="707" w:type="dxa"/>
          </w:tcPr>
          <w:p w14:paraId="40D6A3E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2018</w:t>
            </w:r>
          </w:p>
        </w:tc>
        <w:tc>
          <w:tcPr>
            <w:tcW w:w="708" w:type="dxa"/>
          </w:tcPr>
          <w:p w14:paraId="055A7EE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2019</w:t>
            </w:r>
          </w:p>
        </w:tc>
        <w:tc>
          <w:tcPr>
            <w:tcW w:w="708" w:type="dxa"/>
          </w:tcPr>
          <w:p w14:paraId="7BC24CC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2020</w:t>
            </w:r>
          </w:p>
        </w:tc>
        <w:tc>
          <w:tcPr>
            <w:tcW w:w="861" w:type="dxa"/>
          </w:tcPr>
          <w:p w14:paraId="6808AD0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2021</w:t>
            </w:r>
          </w:p>
        </w:tc>
        <w:tc>
          <w:tcPr>
            <w:tcW w:w="810" w:type="dxa"/>
          </w:tcPr>
          <w:p w14:paraId="2FE403F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2022</w:t>
            </w:r>
          </w:p>
        </w:tc>
        <w:tc>
          <w:tcPr>
            <w:tcW w:w="1170" w:type="dxa"/>
          </w:tcPr>
          <w:p w14:paraId="5979340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6505E962" w14:textId="77777777" w:rsidTr="00C323E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18" w:type="dxa"/>
          </w:tcPr>
          <w:p w14:paraId="1042B6E7"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Odlaganje otpada</w:t>
            </w:r>
          </w:p>
        </w:tc>
        <w:tc>
          <w:tcPr>
            <w:tcW w:w="707" w:type="dxa"/>
          </w:tcPr>
          <w:p w14:paraId="6A6F6E3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08" w:type="dxa"/>
          </w:tcPr>
          <w:p w14:paraId="4FE3496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08" w:type="dxa"/>
          </w:tcPr>
          <w:p w14:paraId="5D84F5E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07" w:type="dxa"/>
          </w:tcPr>
          <w:p w14:paraId="50DB4D5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08" w:type="dxa"/>
          </w:tcPr>
          <w:p w14:paraId="08326D4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08" w:type="dxa"/>
          </w:tcPr>
          <w:p w14:paraId="1196130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861" w:type="dxa"/>
          </w:tcPr>
          <w:p w14:paraId="4563F6A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810" w:type="dxa"/>
          </w:tcPr>
          <w:p w14:paraId="26F9ACE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1170" w:type="dxa"/>
          </w:tcPr>
          <w:p w14:paraId="536BAE2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144506E0" w14:textId="2860B70A" w:rsidR="00201FE9" w:rsidRPr="00C86111" w:rsidRDefault="00201FE9" w:rsidP="00EA6904">
      <w:pPr>
        <w:pStyle w:val="Heading3"/>
      </w:pPr>
      <w:bookmarkStart w:id="53" w:name="_Toc501437749"/>
      <w:bookmarkStart w:id="54" w:name="_Toc220541876"/>
      <w:r w:rsidRPr="00C86111">
        <w:t xml:space="preserve">Procjene </w:t>
      </w:r>
      <w:r w:rsidR="000D1995" w:rsidRPr="00C86111">
        <w:t>emisije</w:t>
      </w:r>
      <w:r w:rsidRPr="00C86111">
        <w:t xml:space="preserve"> nenamjerno proizvedenih POP‘s (PCDD/PCDF) u zemljište</w:t>
      </w:r>
      <w:bookmarkEnd w:id="53"/>
      <w:r w:rsidRPr="00C86111">
        <w:t xml:space="preserve"> za period 2006 -2022. Godina</w:t>
      </w:r>
      <w:bookmarkEnd w:id="54"/>
    </w:p>
    <w:p w14:paraId="0A5134C8" w14:textId="77777777" w:rsidR="004748D1" w:rsidRPr="00C86111" w:rsidRDefault="004748D1" w:rsidP="004748D1"/>
    <w:p w14:paraId="341856D5" w14:textId="3C2C0A55"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Osnovni izvor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POP’s u zemljište predstavljau procesi sa otvorenim sagorijevanjem (tabela </w:t>
      </w:r>
      <w:r w:rsidR="004748D1" w:rsidRPr="00C86111">
        <w:rPr>
          <w:rFonts w:asciiTheme="minorHAnsi" w:hAnsiTheme="minorHAnsi" w:cstheme="minorHAnsi"/>
          <w:color w:val="auto"/>
          <w:szCs w:val="24"/>
        </w:rPr>
        <w:t>1</w:t>
      </w:r>
      <w:r w:rsidRPr="00C86111">
        <w:rPr>
          <w:rFonts w:asciiTheme="minorHAnsi" w:hAnsiTheme="minorHAnsi" w:cstheme="minorHAnsi"/>
          <w:color w:val="auto"/>
          <w:szCs w:val="24"/>
        </w:rPr>
        <w:t xml:space="preserve">5.). Ostale aktivnosti unutar kategorija  ili ne dovode do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POP‘s u zemljište ili su zanemarljivo male.</w:t>
      </w:r>
    </w:p>
    <w:p w14:paraId="24C7F67B" w14:textId="7768BF9E"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4748D1" w:rsidRPr="00C86111">
        <w:rPr>
          <w:rFonts w:asciiTheme="minorHAnsi" w:hAnsiTheme="minorHAnsi" w:cstheme="minorHAnsi"/>
          <w:b/>
          <w:bCs/>
          <w:i w:val="0"/>
          <w:iCs/>
          <w:sz w:val="24"/>
          <w:lang w:val="sr-Latn-RS"/>
        </w:rPr>
        <w:t>1</w:t>
      </w:r>
      <w:r w:rsidRPr="00C86111">
        <w:rPr>
          <w:rFonts w:asciiTheme="minorHAnsi" w:hAnsiTheme="minorHAnsi" w:cstheme="minorHAnsi"/>
          <w:b/>
          <w:bCs/>
          <w:i w:val="0"/>
          <w:iCs/>
          <w:sz w:val="24"/>
          <w:lang w:val="sr-Latn-RS"/>
        </w:rPr>
        <w:t>5.</w:t>
      </w:r>
      <w:r w:rsidRPr="00C86111">
        <w:rPr>
          <w:rFonts w:asciiTheme="minorHAnsi" w:hAnsiTheme="minorHAnsi" w:cstheme="minorHAnsi"/>
          <w:i w:val="0"/>
          <w:iCs/>
          <w:sz w:val="24"/>
          <w:lang w:val="sr-Latn-RS"/>
        </w:rPr>
        <w:t xml:space="preserve"> Godišnje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dioksina i furana (PCDD/PCDF) u zemljište. 2006-2022. godina (gTEQ/god)</w:t>
      </w:r>
    </w:p>
    <w:tbl>
      <w:tblPr>
        <w:tblStyle w:val="GridTable5Dark-Accent6"/>
        <w:tblW w:w="8905" w:type="dxa"/>
        <w:tblLayout w:type="fixed"/>
        <w:tblLook w:val="04A0" w:firstRow="1" w:lastRow="0" w:firstColumn="1" w:lastColumn="0" w:noHBand="0" w:noVBand="1"/>
      </w:tblPr>
      <w:tblGrid>
        <w:gridCol w:w="1818"/>
        <w:gridCol w:w="707"/>
        <w:gridCol w:w="708"/>
        <w:gridCol w:w="708"/>
        <w:gridCol w:w="707"/>
        <w:gridCol w:w="708"/>
        <w:gridCol w:w="759"/>
        <w:gridCol w:w="810"/>
        <w:gridCol w:w="900"/>
        <w:gridCol w:w="1080"/>
      </w:tblGrid>
      <w:tr w:rsidR="00201FE9" w:rsidRPr="00C86111" w14:paraId="0A3A7283" w14:textId="77777777" w:rsidTr="00C323EA">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18" w:type="dxa"/>
          </w:tcPr>
          <w:p w14:paraId="2647A301"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07" w:type="dxa"/>
          </w:tcPr>
          <w:p w14:paraId="25451A6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08" w:type="dxa"/>
          </w:tcPr>
          <w:p w14:paraId="6713C93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08" w:type="dxa"/>
          </w:tcPr>
          <w:p w14:paraId="7D1B72A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07" w:type="dxa"/>
          </w:tcPr>
          <w:p w14:paraId="210BA1C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08" w:type="dxa"/>
          </w:tcPr>
          <w:p w14:paraId="56493E7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59" w:type="dxa"/>
          </w:tcPr>
          <w:p w14:paraId="52EDE412"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810" w:type="dxa"/>
          </w:tcPr>
          <w:p w14:paraId="0B53710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900" w:type="dxa"/>
          </w:tcPr>
          <w:p w14:paraId="1B235E3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1080" w:type="dxa"/>
          </w:tcPr>
          <w:p w14:paraId="36E1A9C3"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77A8AB87" w14:textId="77777777" w:rsidTr="00C323E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18" w:type="dxa"/>
          </w:tcPr>
          <w:p w14:paraId="7F47C8CD"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Procesi sa otvorenim sagorijevanjem</w:t>
            </w:r>
          </w:p>
        </w:tc>
        <w:tc>
          <w:tcPr>
            <w:tcW w:w="707" w:type="dxa"/>
          </w:tcPr>
          <w:p w14:paraId="7FEF700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c>
          <w:tcPr>
            <w:tcW w:w="708" w:type="dxa"/>
          </w:tcPr>
          <w:p w14:paraId="1FA9E40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c>
          <w:tcPr>
            <w:tcW w:w="708" w:type="dxa"/>
          </w:tcPr>
          <w:p w14:paraId="539CF95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0.9</w:t>
            </w:r>
          </w:p>
        </w:tc>
        <w:tc>
          <w:tcPr>
            <w:tcW w:w="707" w:type="dxa"/>
          </w:tcPr>
          <w:p w14:paraId="4817606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708" w:type="dxa"/>
          </w:tcPr>
          <w:p w14:paraId="43DAB77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759" w:type="dxa"/>
          </w:tcPr>
          <w:p w14:paraId="38BD653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810" w:type="dxa"/>
          </w:tcPr>
          <w:p w14:paraId="54DFC02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w:t>
            </w:r>
          </w:p>
        </w:tc>
        <w:tc>
          <w:tcPr>
            <w:tcW w:w="900" w:type="dxa"/>
          </w:tcPr>
          <w:p w14:paraId="26DC3AB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w:t>
            </w:r>
          </w:p>
        </w:tc>
        <w:tc>
          <w:tcPr>
            <w:tcW w:w="1080" w:type="dxa"/>
          </w:tcPr>
          <w:p w14:paraId="69C64DE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r>
      <w:tr w:rsidR="00201FE9" w:rsidRPr="00C86111" w14:paraId="1DDAF960" w14:textId="77777777" w:rsidTr="00C323EA">
        <w:trPr>
          <w:trHeight w:val="144"/>
        </w:trPr>
        <w:tc>
          <w:tcPr>
            <w:cnfStyle w:val="001000000000" w:firstRow="0" w:lastRow="0" w:firstColumn="1" w:lastColumn="0" w:oddVBand="0" w:evenVBand="0" w:oddHBand="0" w:evenHBand="0" w:firstRowFirstColumn="0" w:firstRowLastColumn="0" w:lastRowFirstColumn="0" w:lastRowLastColumn="0"/>
            <w:tcW w:w="1818" w:type="dxa"/>
          </w:tcPr>
          <w:p w14:paraId="1CC954DA"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07" w:type="dxa"/>
          </w:tcPr>
          <w:p w14:paraId="72C8FDF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2015</w:t>
            </w:r>
          </w:p>
        </w:tc>
        <w:tc>
          <w:tcPr>
            <w:tcW w:w="708" w:type="dxa"/>
          </w:tcPr>
          <w:p w14:paraId="23C3031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2016</w:t>
            </w:r>
          </w:p>
        </w:tc>
        <w:tc>
          <w:tcPr>
            <w:tcW w:w="708" w:type="dxa"/>
          </w:tcPr>
          <w:p w14:paraId="0B5A124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2017</w:t>
            </w:r>
          </w:p>
        </w:tc>
        <w:tc>
          <w:tcPr>
            <w:tcW w:w="707" w:type="dxa"/>
          </w:tcPr>
          <w:p w14:paraId="197BD28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2018</w:t>
            </w:r>
          </w:p>
        </w:tc>
        <w:tc>
          <w:tcPr>
            <w:tcW w:w="708" w:type="dxa"/>
          </w:tcPr>
          <w:p w14:paraId="3E479F3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2019</w:t>
            </w:r>
          </w:p>
        </w:tc>
        <w:tc>
          <w:tcPr>
            <w:tcW w:w="759" w:type="dxa"/>
          </w:tcPr>
          <w:p w14:paraId="5CB3E09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2020</w:t>
            </w:r>
          </w:p>
        </w:tc>
        <w:tc>
          <w:tcPr>
            <w:tcW w:w="810" w:type="dxa"/>
          </w:tcPr>
          <w:p w14:paraId="7BBBD20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2021</w:t>
            </w:r>
          </w:p>
        </w:tc>
        <w:tc>
          <w:tcPr>
            <w:tcW w:w="900" w:type="dxa"/>
          </w:tcPr>
          <w:p w14:paraId="6F743F5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2022</w:t>
            </w:r>
          </w:p>
        </w:tc>
        <w:tc>
          <w:tcPr>
            <w:tcW w:w="1080" w:type="dxa"/>
          </w:tcPr>
          <w:p w14:paraId="59AEB17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2023</w:t>
            </w:r>
          </w:p>
        </w:tc>
      </w:tr>
      <w:tr w:rsidR="00201FE9" w:rsidRPr="00C86111" w14:paraId="680F9D10" w14:textId="77777777" w:rsidTr="00C323E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818" w:type="dxa"/>
          </w:tcPr>
          <w:p w14:paraId="749D94DD"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Procesi sa otvorenim sagorijevanjem</w:t>
            </w:r>
          </w:p>
        </w:tc>
        <w:tc>
          <w:tcPr>
            <w:tcW w:w="707" w:type="dxa"/>
          </w:tcPr>
          <w:p w14:paraId="5C64DCF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w:t>
            </w:r>
          </w:p>
        </w:tc>
        <w:tc>
          <w:tcPr>
            <w:tcW w:w="708" w:type="dxa"/>
          </w:tcPr>
          <w:p w14:paraId="247CF0B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08" w:type="dxa"/>
          </w:tcPr>
          <w:p w14:paraId="682BEDF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07" w:type="dxa"/>
          </w:tcPr>
          <w:p w14:paraId="78558AE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08" w:type="dxa"/>
          </w:tcPr>
          <w:p w14:paraId="04BF90A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59" w:type="dxa"/>
          </w:tcPr>
          <w:p w14:paraId="441CEF2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810" w:type="dxa"/>
          </w:tcPr>
          <w:p w14:paraId="25102DA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900" w:type="dxa"/>
          </w:tcPr>
          <w:p w14:paraId="78B4EC4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1080" w:type="dxa"/>
          </w:tcPr>
          <w:p w14:paraId="4FD98D5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16F1DE42" w14:textId="0DED3A70" w:rsidR="00201FE9" w:rsidRPr="00C86111" w:rsidRDefault="00201FE9" w:rsidP="00201FE9">
      <w:pPr>
        <w:jc w:val="both"/>
        <w:rPr>
          <w:rFonts w:asciiTheme="minorHAnsi" w:hAnsiTheme="minorHAnsi" w:cstheme="minorHAnsi"/>
          <w:i/>
          <w:color w:val="auto"/>
          <w:szCs w:val="24"/>
        </w:rPr>
      </w:pPr>
    </w:p>
    <w:p w14:paraId="57E8411F" w14:textId="7DE79DF0" w:rsidR="00201FE9" w:rsidRPr="00C86111" w:rsidRDefault="00201FE9" w:rsidP="00EA6904">
      <w:pPr>
        <w:pStyle w:val="Heading3"/>
      </w:pPr>
      <w:bookmarkStart w:id="55" w:name="_Toc501437750"/>
      <w:bookmarkStart w:id="56" w:name="_Toc220541877"/>
      <w:r w:rsidRPr="00C86111">
        <w:t xml:space="preserve">Procjene </w:t>
      </w:r>
      <w:r w:rsidR="000D1995" w:rsidRPr="00C86111">
        <w:t>emisije</w:t>
      </w:r>
      <w:r w:rsidRPr="00C86111">
        <w:t xml:space="preserve"> nenamjerno proizvedenih POP‘s (PCDD/PCDF) koje su dospjele u proizvode</w:t>
      </w:r>
      <w:bookmarkEnd w:id="55"/>
      <w:r w:rsidRPr="00C86111">
        <w:t xml:space="preserve"> za period 2006 -2022. Godina</w:t>
      </w:r>
      <w:bookmarkEnd w:id="56"/>
    </w:p>
    <w:p w14:paraId="12CCE523" w14:textId="77777777" w:rsidR="004748D1" w:rsidRPr="00C86111" w:rsidRDefault="004748D1" w:rsidP="004748D1"/>
    <w:p w14:paraId="0991B599" w14:textId="38C721CA"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Odlaganje otpada kroz proces kompostiranja predstavlja jedinu aktivnost koja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POP’s u produkte. Proces kompostiranja se javlja poslije 2017. godine i godišnje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nenamjerno proizvedenih POP‘s (PCDD/PCDF) iznose 0.004 gTEQ/god. U Crnoj Gori ne postoje druge industrijske aktivnosti koje mogu dovesti do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nenamjerno proizvedenih POP's (PCDD/PCDF) u proizvode.</w:t>
      </w:r>
    </w:p>
    <w:p w14:paraId="35F068CD" w14:textId="77777777" w:rsidR="00201FE9" w:rsidRPr="00C86111" w:rsidRDefault="00201FE9" w:rsidP="00201FE9">
      <w:pPr>
        <w:jc w:val="both"/>
        <w:rPr>
          <w:rFonts w:asciiTheme="minorHAnsi" w:hAnsiTheme="minorHAnsi" w:cstheme="minorHAnsi"/>
          <w:color w:val="auto"/>
          <w:szCs w:val="24"/>
        </w:rPr>
      </w:pPr>
    </w:p>
    <w:p w14:paraId="62F15F7B" w14:textId="1649314E" w:rsidR="00201FE9" w:rsidRPr="00C86111" w:rsidRDefault="00201FE9" w:rsidP="00EA6904">
      <w:pPr>
        <w:pStyle w:val="Heading3"/>
      </w:pPr>
      <w:bookmarkStart w:id="57" w:name="_Toc501437751"/>
      <w:bookmarkStart w:id="58" w:name="_Toc220541878"/>
      <w:r w:rsidRPr="00C86111">
        <w:lastRenderedPageBreak/>
        <w:t xml:space="preserve">Procjene </w:t>
      </w:r>
      <w:r w:rsidR="000D1995" w:rsidRPr="00C86111">
        <w:t>emisije</w:t>
      </w:r>
      <w:r w:rsidRPr="00C86111">
        <w:t xml:space="preserve"> nenamjerno proizvedenih POP‘s (PCDD/PCDF) koje su dospjele u ostatke iz procesa proizvodnje</w:t>
      </w:r>
      <w:bookmarkEnd w:id="57"/>
      <w:r w:rsidRPr="00C86111">
        <w:t xml:space="preserve"> za period 2006 -2022. Godina</w:t>
      </w:r>
      <w:bookmarkEnd w:id="58"/>
    </w:p>
    <w:p w14:paraId="4139110C" w14:textId="77777777" w:rsidR="004748D1" w:rsidRPr="00C86111" w:rsidRDefault="004748D1" w:rsidP="004748D1"/>
    <w:p w14:paraId="5FAC1024" w14:textId="2BABB2B9"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POP’s u ostacima iz procesa proizvodnje dospjeli su najvećim dijelom usled odlaganja otpada, a manjim dijelom usled proizvodnje teških i obojenih metala kao i proizvodnje toplotne i električne energije (tabela </w:t>
      </w:r>
      <w:r w:rsidR="004748D1" w:rsidRPr="00C86111">
        <w:rPr>
          <w:rFonts w:asciiTheme="minorHAnsi" w:hAnsiTheme="minorHAnsi" w:cstheme="minorHAnsi"/>
          <w:color w:val="auto"/>
          <w:szCs w:val="24"/>
        </w:rPr>
        <w:t>1</w:t>
      </w:r>
      <w:r w:rsidRPr="00C86111">
        <w:rPr>
          <w:rFonts w:asciiTheme="minorHAnsi" w:hAnsiTheme="minorHAnsi" w:cstheme="minorHAnsi"/>
          <w:color w:val="auto"/>
          <w:szCs w:val="24"/>
        </w:rPr>
        <w:t xml:space="preserve">6). Ostale aktivnosti unutar kategorija  ili ne dovode do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POP‘s u ostatke iz procesa proizvodnje ili su zanemarljivo male.</w:t>
      </w:r>
    </w:p>
    <w:p w14:paraId="53334D5C" w14:textId="77777777" w:rsidR="004748D1" w:rsidRPr="00C86111" w:rsidRDefault="004748D1" w:rsidP="00201FE9">
      <w:pPr>
        <w:jc w:val="both"/>
        <w:rPr>
          <w:rFonts w:asciiTheme="minorHAnsi" w:hAnsiTheme="minorHAnsi" w:cstheme="minorHAnsi"/>
          <w:color w:val="auto"/>
          <w:szCs w:val="24"/>
        </w:rPr>
      </w:pPr>
    </w:p>
    <w:p w14:paraId="66F41D27" w14:textId="58A5E93B"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4748D1" w:rsidRPr="00C86111">
        <w:rPr>
          <w:rFonts w:asciiTheme="minorHAnsi" w:hAnsiTheme="minorHAnsi" w:cstheme="minorHAnsi"/>
          <w:b/>
          <w:bCs/>
          <w:i w:val="0"/>
          <w:iCs/>
          <w:sz w:val="24"/>
          <w:lang w:val="sr-Latn-RS"/>
        </w:rPr>
        <w:t>1</w:t>
      </w:r>
      <w:r w:rsidRPr="00C86111">
        <w:rPr>
          <w:rFonts w:asciiTheme="minorHAnsi" w:hAnsiTheme="minorHAnsi" w:cstheme="minorHAnsi"/>
          <w:b/>
          <w:bCs/>
          <w:i w:val="0"/>
          <w:iCs/>
          <w:sz w:val="24"/>
          <w:lang w:val="sr-Latn-RS"/>
        </w:rPr>
        <w:t>6.</w:t>
      </w:r>
      <w:r w:rsidRPr="00C86111">
        <w:rPr>
          <w:rFonts w:asciiTheme="minorHAnsi" w:hAnsiTheme="minorHAnsi" w:cstheme="minorHAnsi"/>
          <w:i w:val="0"/>
          <w:iCs/>
          <w:sz w:val="24"/>
          <w:lang w:val="sr-Latn-RS"/>
        </w:rPr>
        <w:t xml:space="preserve"> Godišnje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dioksina i furana (PCDD/PCDF) koje su dospjele u ostatke iz procesa proizvodnje. 2006-2022. godina (gTEQ/god)</w:t>
      </w:r>
    </w:p>
    <w:tbl>
      <w:tblPr>
        <w:tblStyle w:val="GridTable5Dark-Accent6"/>
        <w:tblW w:w="8941" w:type="dxa"/>
        <w:tblLayout w:type="fixed"/>
        <w:tblLook w:val="04A0" w:firstRow="1" w:lastRow="0" w:firstColumn="1" w:lastColumn="0" w:noHBand="0" w:noVBand="1"/>
      </w:tblPr>
      <w:tblGrid>
        <w:gridCol w:w="1969"/>
        <w:gridCol w:w="774"/>
        <w:gridCol w:w="775"/>
        <w:gridCol w:w="775"/>
        <w:gridCol w:w="774"/>
        <w:gridCol w:w="775"/>
        <w:gridCol w:w="775"/>
        <w:gridCol w:w="775"/>
        <w:gridCol w:w="774"/>
        <w:gridCol w:w="775"/>
      </w:tblGrid>
      <w:tr w:rsidR="00201FE9" w:rsidRPr="00C86111" w14:paraId="4785C7D0" w14:textId="77777777" w:rsidTr="00BC765B">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969" w:type="dxa"/>
          </w:tcPr>
          <w:p w14:paraId="3E0F467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74" w:type="dxa"/>
          </w:tcPr>
          <w:p w14:paraId="6B0F599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75" w:type="dxa"/>
          </w:tcPr>
          <w:p w14:paraId="46EDA4B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5" w:type="dxa"/>
          </w:tcPr>
          <w:p w14:paraId="25D4E1D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4" w:type="dxa"/>
          </w:tcPr>
          <w:p w14:paraId="72E7C08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5" w:type="dxa"/>
          </w:tcPr>
          <w:p w14:paraId="3FD1DE53"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5" w:type="dxa"/>
          </w:tcPr>
          <w:p w14:paraId="714AE38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5" w:type="dxa"/>
          </w:tcPr>
          <w:p w14:paraId="61088A6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4" w:type="dxa"/>
          </w:tcPr>
          <w:p w14:paraId="1FB2D77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5" w:type="dxa"/>
          </w:tcPr>
          <w:p w14:paraId="2B0059E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395C001F" w14:textId="77777777" w:rsidTr="00BC765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969" w:type="dxa"/>
          </w:tcPr>
          <w:p w14:paraId="724F48A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teških i obojenih metala</w:t>
            </w:r>
          </w:p>
        </w:tc>
        <w:tc>
          <w:tcPr>
            <w:tcW w:w="774" w:type="dxa"/>
          </w:tcPr>
          <w:p w14:paraId="66A43E6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2.9</w:t>
            </w:r>
          </w:p>
        </w:tc>
        <w:tc>
          <w:tcPr>
            <w:tcW w:w="775" w:type="dxa"/>
          </w:tcPr>
          <w:p w14:paraId="45FB1E1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3.2</w:t>
            </w:r>
          </w:p>
        </w:tc>
        <w:tc>
          <w:tcPr>
            <w:tcW w:w="775" w:type="dxa"/>
          </w:tcPr>
          <w:p w14:paraId="4DBDE09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3.4</w:t>
            </w:r>
          </w:p>
        </w:tc>
        <w:tc>
          <w:tcPr>
            <w:tcW w:w="774" w:type="dxa"/>
          </w:tcPr>
          <w:p w14:paraId="085E26A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1.9</w:t>
            </w:r>
          </w:p>
        </w:tc>
        <w:tc>
          <w:tcPr>
            <w:tcW w:w="775" w:type="dxa"/>
          </w:tcPr>
          <w:p w14:paraId="1EFE6D3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c>
          <w:tcPr>
            <w:tcW w:w="775" w:type="dxa"/>
          </w:tcPr>
          <w:p w14:paraId="21B019C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w:t>
            </w:r>
          </w:p>
        </w:tc>
        <w:tc>
          <w:tcPr>
            <w:tcW w:w="775" w:type="dxa"/>
          </w:tcPr>
          <w:p w14:paraId="7BD93EA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w:t>
            </w:r>
          </w:p>
        </w:tc>
        <w:tc>
          <w:tcPr>
            <w:tcW w:w="774" w:type="dxa"/>
          </w:tcPr>
          <w:p w14:paraId="5846882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75" w:type="dxa"/>
          </w:tcPr>
          <w:p w14:paraId="24E3270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w:t>
            </w:r>
          </w:p>
        </w:tc>
      </w:tr>
      <w:tr w:rsidR="00201FE9" w:rsidRPr="00C86111" w14:paraId="55DCF56F" w14:textId="77777777" w:rsidTr="00BC765B">
        <w:trPr>
          <w:trHeight w:val="144"/>
        </w:trPr>
        <w:tc>
          <w:tcPr>
            <w:cnfStyle w:val="001000000000" w:firstRow="0" w:lastRow="0" w:firstColumn="1" w:lastColumn="0" w:oddVBand="0" w:evenVBand="0" w:oddHBand="0" w:evenHBand="0" w:firstRowFirstColumn="0" w:firstRowLastColumn="0" w:lastRowFirstColumn="0" w:lastRowLastColumn="0"/>
            <w:tcW w:w="1969" w:type="dxa"/>
          </w:tcPr>
          <w:p w14:paraId="197D65ED"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toplotne i električne energije</w:t>
            </w:r>
          </w:p>
        </w:tc>
        <w:tc>
          <w:tcPr>
            <w:tcW w:w="774" w:type="dxa"/>
          </w:tcPr>
          <w:p w14:paraId="7ABC059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5" w:type="dxa"/>
          </w:tcPr>
          <w:p w14:paraId="1A2E8F0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5" w:type="dxa"/>
          </w:tcPr>
          <w:p w14:paraId="0731C30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4" w:type="dxa"/>
          </w:tcPr>
          <w:p w14:paraId="1B14BCD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w:t>
            </w:r>
          </w:p>
        </w:tc>
        <w:tc>
          <w:tcPr>
            <w:tcW w:w="775" w:type="dxa"/>
          </w:tcPr>
          <w:p w14:paraId="059C516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w:t>
            </w:r>
          </w:p>
        </w:tc>
        <w:tc>
          <w:tcPr>
            <w:tcW w:w="775" w:type="dxa"/>
          </w:tcPr>
          <w:p w14:paraId="58EBAE1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w:t>
            </w:r>
          </w:p>
        </w:tc>
        <w:tc>
          <w:tcPr>
            <w:tcW w:w="775" w:type="dxa"/>
          </w:tcPr>
          <w:p w14:paraId="648281B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4" w:type="dxa"/>
          </w:tcPr>
          <w:p w14:paraId="7DB84A9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5" w:type="dxa"/>
          </w:tcPr>
          <w:p w14:paraId="221334C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r>
      <w:tr w:rsidR="00201FE9" w:rsidRPr="00C86111" w14:paraId="33DD42F4" w14:textId="77777777" w:rsidTr="00BC765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969" w:type="dxa"/>
          </w:tcPr>
          <w:p w14:paraId="18C08B2D"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Odlaganje otpada</w:t>
            </w:r>
          </w:p>
        </w:tc>
        <w:tc>
          <w:tcPr>
            <w:tcW w:w="774" w:type="dxa"/>
          </w:tcPr>
          <w:p w14:paraId="2DA80DB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13.3</w:t>
            </w:r>
          </w:p>
        </w:tc>
        <w:tc>
          <w:tcPr>
            <w:tcW w:w="775" w:type="dxa"/>
          </w:tcPr>
          <w:p w14:paraId="23242E6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14.8</w:t>
            </w:r>
          </w:p>
        </w:tc>
        <w:tc>
          <w:tcPr>
            <w:tcW w:w="775" w:type="dxa"/>
          </w:tcPr>
          <w:p w14:paraId="3E15135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13.9</w:t>
            </w:r>
          </w:p>
        </w:tc>
        <w:tc>
          <w:tcPr>
            <w:tcW w:w="774" w:type="dxa"/>
          </w:tcPr>
          <w:p w14:paraId="4993B5F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14.2</w:t>
            </w:r>
          </w:p>
        </w:tc>
        <w:tc>
          <w:tcPr>
            <w:tcW w:w="775" w:type="dxa"/>
          </w:tcPr>
          <w:p w14:paraId="42B98C6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13.2</w:t>
            </w:r>
          </w:p>
        </w:tc>
        <w:tc>
          <w:tcPr>
            <w:tcW w:w="775" w:type="dxa"/>
          </w:tcPr>
          <w:p w14:paraId="634BBE3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12.6</w:t>
            </w:r>
          </w:p>
        </w:tc>
        <w:tc>
          <w:tcPr>
            <w:tcW w:w="775" w:type="dxa"/>
          </w:tcPr>
          <w:p w14:paraId="6BCDB87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12.4</w:t>
            </w:r>
          </w:p>
        </w:tc>
        <w:tc>
          <w:tcPr>
            <w:tcW w:w="774" w:type="dxa"/>
          </w:tcPr>
          <w:p w14:paraId="4E2AC80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12.4</w:t>
            </w:r>
          </w:p>
        </w:tc>
        <w:tc>
          <w:tcPr>
            <w:tcW w:w="775" w:type="dxa"/>
          </w:tcPr>
          <w:p w14:paraId="5A48BF3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13.8</w:t>
            </w:r>
          </w:p>
        </w:tc>
      </w:tr>
      <w:tr w:rsidR="00201FE9" w:rsidRPr="00C86111" w14:paraId="118C3821"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969" w:type="dxa"/>
          </w:tcPr>
          <w:p w14:paraId="4A5E628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74" w:type="dxa"/>
          </w:tcPr>
          <w:p w14:paraId="21F6D7B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75" w:type="dxa"/>
          </w:tcPr>
          <w:p w14:paraId="15BE7F4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5" w:type="dxa"/>
          </w:tcPr>
          <w:p w14:paraId="482624B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4" w:type="dxa"/>
          </w:tcPr>
          <w:p w14:paraId="7A5BF48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5" w:type="dxa"/>
          </w:tcPr>
          <w:p w14:paraId="34C0834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5" w:type="dxa"/>
          </w:tcPr>
          <w:p w14:paraId="587A443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5" w:type="dxa"/>
          </w:tcPr>
          <w:p w14:paraId="6598D07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4" w:type="dxa"/>
          </w:tcPr>
          <w:p w14:paraId="3283670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5" w:type="dxa"/>
          </w:tcPr>
          <w:p w14:paraId="7614A85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1498E282"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69" w:type="dxa"/>
          </w:tcPr>
          <w:p w14:paraId="4B5207F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teških i obojenih metala</w:t>
            </w:r>
          </w:p>
        </w:tc>
        <w:tc>
          <w:tcPr>
            <w:tcW w:w="774" w:type="dxa"/>
          </w:tcPr>
          <w:p w14:paraId="2507FDC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w:t>
            </w:r>
          </w:p>
        </w:tc>
        <w:tc>
          <w:tcPr>
            <w:tcW w:w="775" w:type="dxa"/>
          </w:tcPr>
          <w:p w14:paraId="3EA0530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w:t>
            </w:r>
          </w:p>
        </w:tc>
        <w:tc>
          <w:tcPr>
            <w:tcW w:w="775" w:type="dxa"/>
          </w:tcPr>
          <w:p w14:paraId="279D035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w:t>
            </w:r>
          </w:p>
        </w:tc>
        <w:tc>
          <w:tcPr>
            <w:tcW w:w="774" w:type="dxa"/>
          </w:tcPr>
          <w:p w14:paraId="4D94E58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w:t>
            </w:r>
          </w:p>
        </w:tc>
        <w:tc>
          <w:tcPr>
            <w:tcW w:w="775" w:type="dxa"/>
          </w:tcPr>
          <w:p w14:paraId="6435971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w:t>
            </w:r>
          </w:p>
        </w:tc>
        <w:tc>
          <w:tcPr>
            <w:tcW w:w="775" w:type="dxa"/>
          </w:tcPr>
          <w:p w14:paraId="76F18E7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w:t>
            </w:r>
          </w:p>
        </w:tc>
        <w:tc>
          <w:tcPr>
            <w:tcW w:w="775" w:type="dxa"/>
          </w:tcPr>
          <w:p w14:paraId="2BF4426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4" w:type="dxa"/>
          </w:tcPr>
          <w:p w14:paraId="54A43FF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w:t>
            </w:r>
          </w:p>
        </w:tc>
        <w:tc>
          <w:tcPr>
            <w:tcW w:w="775" w:type="dxa"/>
          </w:tcPr>
          <w:p w14:paraId="3C36925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59DD3AE9"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969" w:type="dxa"/>
          </w:tcPr>
          <w:p w14:paraId="483652F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toplotne i električne energije</w:t>
            </w:r>
          </w:p>
        </w:tc>
        <w:tc>
          <w:tcPr>
            <w:tcW w:w="774" w:type="dxa"/>
          </w:tcPr>
          <w:p w14:paraId="6719C15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5" w:type="dxa"/>
          </w:tcPr>
          <w:p w14:paraId="621B313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5" w:type="dxa"/>
          </w:tcPr>
          <w:p w14:paraId="483C32E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4" w:type="dxa"/>
          </w:tcPr>
          <w:p w14:paraId="4879573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5" w:type="dxa"/>
          </w:tcPr>
          <w:p w14:paraId="721341D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5" w:type="dxa"/>
          </w:tcPr>
          <w:p w14:paraId="67D136F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5" w:type="dxa"/>
          </w:tcPr>
          <w:p w14:paraId="60373AC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4" w:type="dxa"/>
          </w:tcPr>
          <w:p w14:paraId="41D717A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w:t>
            </w:r>
          </w:p>
        </w:tc>
        <w:tc>
          <w:tcPr>
            <w:tcW w:w="775" w:type="dxa"/>
          </w:tcPr>
          <w:p w14:paraId="73B3F57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29B8382A"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69" w:type="dxa"/>
          </w:tcPr>
          <w:p w14:paraId="1729E493"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Odlaganje otpada</w:t>
            </w:r>
          </w:p>
        </w:tc>
        <w:tc>
          <w:tcPr>
            <w:tcW w:w="774" w:type="dxa"/>
          </w:tcPr>
          <w:p w14:paraId="3D328C6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14.4</w:t>
            </w:r>
          </w:p>
        </w:tc>
        <w:tc>
          <w:tcPr>
            <w:tcW w:w="775" w:type="dxa"/>
          </w:tcPr>
          <w:p w14:paraId="574143A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14.0</w:t>
            </w:r>
          </w:p>
        </w:tc>
        <w:tc>
          <w:tcPr>
            <w:tcW w:w="775" w:type="dxa"/>
          </w:tcPr>
          <w:p w14:paraId="7DCE322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13.7</w:t>
            </w:r>
          </w:p>
        </w:tc>
        <w:tc>
          <w:tcPr>
            <w:tcW w:w="774" w:type="dxa"/>
          </w:tcPr>
          <w:p w14:paraId="6A66774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13.3</w:t>
            </w:r>
          </w:p>
        </w:tc>
        <w:tc>
          <w:tcPr>
            <w:tcW w:w="775" w:type="dxa"/>
          </w:tcPr>
          <w:p w14:paraId="77FBB84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14.3</w:t>
            </w:r>
          </w:p>
        </w:tc>
        <w:tc>
          <w:tcPr>
            <w:tcW w:w="775" w:type="dxa"/>
          </w:tcPr>
          <w:p w14:paraId="0ED9B74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14.2</w:t>
            </w:r>
          </w:p>
        </w:tc>
        <w:tc>
          <w:tcPr>
            <w:tcW w:w="775" w:type="dxa"/>
          </w:tcPr>
          <w:p w14:paraId="5158712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14.2</w:t>
            </w:r>
          </w:p>
        </w:tc>
        <w:tc>
          <w:tcPr>
            <w:tcW w:w="774" w:type="dxa"/>
          </w:tcPr>
          <w:p w14:paraId="48FA1A5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15.1</w:t>
            </w:r>
          </w:p>
        </w:tc>
        <w:tc>
          <w:tcPr>
            <w:tcW w:w="775" w:type="dxa"/>
          </w:tcPr>
          <w:p w14:paraId="3DD183C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1B4F6DD0" w14:textId="77777777" w:rsidR="00201FE9" w:rsidRPr="00C86111" w:rsidRDefault="00201FE9" w:rsidP="00201FE9">
      <w:pPr>
        <w:tabs>
          <w:tab w:val="left" w:pos="851"/>
        </w:tabs>
        <w:jc w:val="both"/>
        <w:rPr>
          <w:rFonts w:asciiTheme="minorHAnsi" w:hAnsiTheme="minorHAnsi" w:cstheme="minorHAnsi"/>
          <w:color w:val="auto"/>
          <w:szCs w:val="24"/>
        </w:rPr>
      </w:pPr>
    </w:p>
    <w:p w14:paraId="1F414BBA" w14:textId="4867D4E1" w:rsidR="00201FE9" w:rsidRPr="00C86111" w:rsidRDefault="00201FE9" w:rsidP="00EA6904">
      <w:pPr>
        <w:pStyle w:val="Heading3"/>
      </w:pPr>
      <w:bookmarkStart w:id="59" w:name="_Toc501437752"/>
      <w:bookmarkStart w:id="60" w:name="_Toc220541879"/>
      <w:r w:rsidRPr="00C86111">
        <w:t xml:space="preserve">Procjena </w:t>
      </w:r>
      <w:r w:rsidR="000D1995" w:rsidRPr="00C86111">
        <w:t>emisija</w:t>
      </w:r>
      <w:r w:rsidRPr="00C86111">
        <w:t xml:space="preserve"> nenamjerno proizvedenih POP's (PCDD/PCDF) po glavnim </w:t>
      </w:r>
      <w:bookmarkEnd w:id="59"/>
      <w:r w:rsidRPr="00C86111">
        <w:t>grupama za period 2006 -2022. Godina</w:t>
      </w:r>
      <w:bookmarkEnd w:id="60"/>
    </w:p>
    <w:p w14:paraId="7428D02F" w14:textId="77777777" w:rsidR="004748D1" w:rsidRPr="00C86111" w:rsidRDefault="004748D1" w:rsidP="004748D1"/>
    <w:p w14:paraId="3451D03C" w14:textId="17795943"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U okviru svake grupe izvora za ključne aktivnosti inventara, tabelarno su prikazani korišćeni aktivni podaci i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za period 2006 - 2022. godina. </w:t>
      </w:r>
    </w:p>
    <w:p w14:paraId="41AE702E" w14:textId="77777777" w:rsidR="00201FE9" w:rsidRPr="00C86111" w:rsidRDefault="00201FE9" w:rsidP="00EA6904">
      <w:pPr>
        <w:pStyle w:val="Heading4"/>
        <w:rPr>
          <w:lang w:val="sr-Latn-RS"/>
        </w:rPr>
      </w:pPr>
      <w:bookmarkStart w:id="61" w:name="_Hlk208348881"/>
      <w:bookmarkStart w:id="62" w:name="_Toc501437753"/>
      <w:r w:rsidRPr="00C86111">
        <w:rPr>
          <w:lang w:val="sr-Latn-RS"/>
        </w:rPr>
        <w:t>Grupa</w:t>
      </w:r>
      <w:bookmarkEnd w:id="61"/>
      <w:r w:rsidRPr="00C86111">
        <w:rPr>
          <w:lang w:val="sr-Latn-RS"/>
        </w:rPr>
        <w:t xml:space="preserve"> 1. Spaljivanje otpada</w:t>
      </w:r>
      <w:bookmarkEnd w:id="62"/>
      <w:r w:rsidRPr="00C86111">
        <w:rPr>
          <w:lang w:val="sr-Latn-RS"/>
        </w:rPr>
        <w:t xml:space="preserve"> </w:t>
      </w:r>
    </w:p>
    <w:p w14:paraId="5C125B24"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U Crnoj Gori ne postoje spalionice otpada već se generisani otpad odlaže na uređenim sanitarnim deponijama i neuređenim odlagalištima otpada. Opasni otpad iz industrije se ili odlaže na odgovarajućim lokacijama ili prikuplja i po mogućnosti izvozi. Medicinski otpad se sakuplja, obrađuje i steriliše na dvije lokacije (Podgorica i Berane) u autoklavima koji pripadaju BAT tehnici tj. u toku obrade otpada ne dolazi do formiranja i ispuštanja supstanci navedenih u Aneksu C Konvencije.</w:t>
      </w:r>
    </w:p>
    <w:p w14:paraId="473F6A64" w14:textId="77777777" w:rsidR="00201FE9" w:rsidRPr="00C86111" w:rsidRDefault="00201FE9" w:rsidP="00EA6904">
      <w:pPr>
        <w:pStyle w:val="Heading4"/>
        <w:rPr>
          <w:lang w:val="sr-Latn-RS"/>
        </w:rPr>
      </w:pPr>
      <w:bookmarkStart w:id="63" w:name="_Toc501437754"/>
      <w:r w:rsidRPr="00C86111">
        <w:rPr>
          <w:lang w:val="sr-Latn-RS"/>
        </w:rPr>
        <w:t>Grupa 2. Teška i obojena metalurgija</w:t>
      </w:r>
      <w:bookmarkEnd w:id="63"/>
      <w:r w:rsidRPr="00C86111">
        <w:rPr>
          <w:lang w:val="sr-Latn-RS"/>
        </w:rPr>
        <w:t xml:space="preserve"> </w:t>
      </w:r>
    </w:p>
    <w:p w14:paraId="66E150E6"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U okviru teške i obojene metalurgije u Crnoj Gori su bila operativna dva metalurška postrojenja:</w:t>
      </w:r>
    </w:p>
    <w:p w14:paraId="6CE967D6"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Željezara Nikšić (Toščelik) i Kombinat aluminijuma Podgorica. </w:t>
      </w:r>
    </w:p>
    <w:p w14:paraId="5141663E"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U Željezari Nikšić, čelik se proizvodio topljenjem čeličnog otpada u Elektrolučnoj peći (ELP). Rad ovog postrojenja u periodu poslije 2006. godini karakteriše konstantno opadanje obima proizvodnje kao i rekonstrukcija i modernizacija pogona čeličane u 2011. godini u okviru kojeg je instaliran novi sistem za otprašivanje (stari sistem prečišćavanja je bio van funkcije). Na osnovu ovih činjenica, emisije dioksina i furana u vazduh za period 2006-2011 su proračunate upotrebom emisionog faktora od 10 µg TEQ/t a za period poslije 2011. za proračun se koristi emisioni faktor od 3µg TEQ/t. Proizvodnja u željezari je obustavljena 2022. godine.</w:t>
      </w:r>
    </w:p>
    <w:p w14:paraId="54FC28C5"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Podaci o proizvodnji čelika su preuzeti iz zvanične nacionalne statistike (Monstat) dok su potrebni tehničko-tehnološki podaci dobijeni od operatora postrojenja.</w:t>
      </w:r>
    </w:p>
    <w:p w14:paraId="68B4FC02" w14:textId="76FBF02A"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Procijenjene POP‘s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iz Elektrolučne peći za posmatrani period prikazane su tabeli </w:t>
      </w:r>
      <w:r w:rsidR="004748D1" w:rsidRPr="00C86111">
        <w:rPr>
          <w:rFonts w:asciiTheme="minorHAnsi" w:hAnsiTheme="minorHAnsi" w:cstheme="minorHAnsi"/>
          <w:color w:val="auto"/>
          <w:szCs w:val="24"/>
        </w:rPr>
        <w:t>1</w:t>
      </w:r>
      <w:r w:rsidRPr="00C86111">
        <w:rPr>
          <w:rFonts w:asciiTheme="minorHAnsi" w:hAnsiTheme="minorHAnsi" w:cstheme="minorHAnsi"/>
          <w:color w:val="auto"/>
          <w:szCs w:val="24"/>
        </w:rPr>
        <w:t xml:space="preserve">7. dok je obim proizvodnje prikazan u tabeli </w:t>
      </w:r>
      <w:r w:rsidR="004748D1" w:rsidRPr="00C86111">
        <w:rPr>
          <w:rFonts w:asciiTheme="minorHAnsi" w:hAnsiTheme="minorHAnsi" w:cstheme="minorHAnsi"/>
          <w:color w:val="auto"/>
          <w:szCs w:val="24"/>
        </w:rPr>
        <w:t>1</w:t>
      </w:r>
      <w:r w:rsidRPr="00C86111">
        <w:rPr>
          <w:rFonts w:asciiTheme="minorHAnsi" w:hAnsiTheme="minorHAnsi" w:cstheme="minorHAnsi"/>
          <w:color w:val="auto"/>
          <w:szCs w:val="24"/>
        </w:rPr>
        <w:t xml:space="preserve">8. Primjećuje se da se POP‘s uglavnom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u ostatke od proizvodnje (šljaka) i jednim dijelom u vazduh, a nivo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zavisi od godišnjeg obima proizvodnje. Proizvodnja čelika ne dovodi do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PCDD/PCDF u vodu, zemljište i proizvode.</w:t>
      </w:r>
    </w:p>
    <w:p w14:paraId="0234CEE4" w14:textId="48AFC1B8"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4748D1" w:rsidRPr="00C86111">
        <w:rPr>
          <w:rFonts w:asciiTheme="minorHAnsi" w:hAnsiTheme="minorHAnsi" w:cstheme="minorHAnsi"/>
          <w:b/>
          <w:bCs/>
          <w:i w:val="0"/>
          <w:iCs/>
          <w:sz w:val="24"/>
          <w:lang w:val="sr-Latn-RS"/>
        </w:rPr>
        <w:t>1</w:t>
      </w:r>
      <w:r w:rsidRPr="00C86111">
        <w:rPr>
          <w:rFonts w:asciiTheme="minorHAnsi" w:hAnsiTheme="minorHAnsi" w:cstheme="minorHAnsi"/>
          <w:b/>
          <w:bCs/>
          <w:i w:val="0"/>
          <w:iCs/>
          <w:sz w:val="24"/>
          <w:lang w:val="sr-Latn-RS"/>
        </w:rPr>
        <w:t>7.</w:t>
      </w:r>
      <w:r w:rsidRPr="00C86111">
        <w:rPr>
          <w:rFonts w:asciiTheme="minorHAnsi" w:hAnsiTheme="minorHAnsi" w:cstheme="minorHAnsi"/>
          <w:i w:val="0"/>
          <w:iCs/>
          <w:sz w:val="24"/>
          <w:lang w:val="sr-Latn-RS"/>
        </w:rPr>
        <w:t xml:space="preserve"> Ukupne godišnje POP's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(PCDD/PCDF) iz postrojenja za proizvodnju čelika. 2006-2022. godina (gTEQ/god)</w:t>
      </w:r>
    </w:p>
    <w:tbl>
      <w:tblPr>
        <w:tblStyle w:val="GridTable5Dark-Accent6"/>
        <w:tblW w:w="8785" w:type="dxa"/>
        <w:tblLook w:val="04A0" w:firstRow="1" w:lastRow="0" w:firstColumn="1" w:lastColumn="0" w:noHBand="0" w:noVBand="1"/>
      </w:tblPr>
      <w:tblGrid>
        <w:gridCol w:w="1784"/>
        <w:gridCol w:w="768"/>
        <w:gridCol w:w="780"/>
        <w:gridCol w:w="779"/>
        <w:gridCol w:w="779"/>
        <w:gridCol w:w="779"/>
        <w:gridCol w:w="779"/>
        <w:gridCol w:w="779"/>
        <w:gridCol w:w="779"/>
        <w:gridCol w:w="779"/>
      </w:tblGrid>
      <w:tr w:rsidR="00201FE9" w:rsidRPr="00C86111" w14:paraId="41D429E8"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3EF1C57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5C31286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64E7841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20C2E7D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7045884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368B310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14E52DA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3715B53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56D5CC6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9" w:type="dxa"/>
          </w:tcPr>
          <w:p w14:paraId="630E976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2AE878AF"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0358860C"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761B28E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1.61</w:t>
            </w:r>
          </w:p>
        </w:tc>
        <w:tc>
          <w:tcPr>
            <w:tcW w:w="780" w:type="dxa"/>
          </w:tcPr>
          <w:p w14:paraId="0AFC84F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1.74</w:t>
            </w:r>
          </w:p>
        </w:tc>
        <w:tc>
          <w:tcPr>
            <w:tcW w:w="779" w:type="dxa"/>
          </w:tcPr>
          <w:p w14:paraId="14853B1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2.02</w:t>
            </w:r>
          </w:p>
        </w:tc>
        <w:tc>
          <w:tcPr>
            <w:tcW w:w="779" w:type="dxa"/>
          </w:tcPr>
          <w:p w14:paraId="5639A36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1.04</w:t>
            </w:r>
          </w:p>
        </w:tc>
        <w:tc>
          <w:tcPr>
            <w:tcW w:w="779" w:type="dxa"/>
          </w:tcPr>
          <w:p w14:paraId="7C3E4E0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c>
          <w:tcPr>
            <w:tcW w:w="779" w:type="dxa"/>
          </w:tcPr>
          <w:p w14:paraId="7D454C4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0.18</w:t>
            </w:r>
          </w:p>
        </w:tc>
        <w:tc>
          <w:tcPr>
            <w:tcW w:w="779" w:type="dxa"/>
          </w:tcPr>
          <w:p w14:paraId="668CD7F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0.08</w:t>
            </w:r>
          </w:p>
        </w:tc>
        <w:tc>
          <w:tcPr>
            <w:tcW w:w="779" w:type="dxa"/>
          </w:tcPr>
          <w:p w14:paraId="4445651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0.06</w:t>
            </w:r>
          </w:p>
        </w:tc>
        <w:tc>
          <w:tcPr>
            <w:tcW w:w="779" w:type="dxa"/>
          </w:tcPr>
          <w:p w14:paraId="3544C93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0.08</w:t>
            </w:r>
          </w:p>
        </w:tc>
      </w:tr>
      <w:tr w:rsidR="00201FE9" w:rsidRPr="00C86111" w14:paraId="5E7B62AC"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336A976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proizvodnje </w:t>
            </w:r>
          </w:p>
        </w:tc>
        <w:tc>
          <w:tcPr>
            <w:tcW w:w="768" w:type="dxa"/>
          </w:tcPr>
          <w:p w14:paraId="1B3F55B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2.42</w:t>
            </w:r>
          </w:p>
        </w:tc>
        <w:tc>
          <w:tcPr>
            <w:tcW w:w="780" w:type="dxa"/>
          </w:tcPr>
          <w:p w14:paraId="67C7F44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2.61</w:t>
            </w:r>
          </w:p>
        </w:tc>
        <w:tc>
          <w:tcPr>
            <w:tcW w:w="779" w:type="dxa"/>
          </w:tcPr>
          <w:p w14:paraId="7CF3BE8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3.03</w:t>
            </w:r>
          </w:p>
        </w:tc>
        <w:tc>
          <w:tcPr>
            <w:tcW w:w="779" w:type="dxa"/>
          </w:tcPr>
          <w:p w14:paraId="2DE146B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1.55</w:t>
            </w:r>
          </w:p>
        </w:tc>
        <w:tc>
          <w:tcPr>
            <w:tcW w:w="779" w:type="dxa"/>
          </w:tcPr>
          <w:p w14:paraId="3662B61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0.72</w:t>
            </w:r>
          </w:p>
        </w:tc>
        <w:tc>
          <w:tcPr>
            <w:tcW w:w="779" w:type="dxa"/>
          </w:tcPr>
          <w:p w14:paraId="03F17C5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0.92</w:t>
            </w:r>
          </w:p>
        </w:tc>
        <w:tc>
          <w:tcPr>
            <w:tcW w:w="779" w:type="dxa"/>
          </w:tcPr>
          <w:p w14:paraId="623C98A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0.42</w:t>
            </w:r>
          </w:p>
        </w:tc>
        <w:tc>
          <w:tcPr>
            <w:tcW w:w="779" w:type="dxa"/>
          </w:tcPr>
          <w:p w14:paraId="49B8561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0.30</w:t>
            </w:r>
          </w:p>
        </w:tc>
        <w:tc>
          <w:tcPr>
            <w:tcW w:w="779" w:type="dxa"/>
          </w:tcPr>
          <w:p w14:paraId="3FCAB48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0.42</w:t>
            </w:r>
          </w:p>
        </w:tc>
      </w:tr>
      <w:tr w:rsidR="00201FE9" w:rsidRPr="00C86111" w14:paraId="031AF3CC"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3E8547F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1A267C4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80" w:type="dxa"/>
          </w:tcPr>
          <w:p w14:paraId="517AE72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9" w:type="dxa"/>
          </w:tcPr>
          <w:p w14:paraId="73023C1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9" w:type="dxa"/>
          </w:tcPr>
          <w:p w14:paraId="37C96E9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9" w:type="dxa"/>
          </w:tcPr>
          <w:p w14:paraId="45A578E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9" w:type="dxa"/>
          </w:tcPr>
          <w:p w14:paraId="781BA65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9" w:type="dxa"/>
          </w:tcPr>
          <w:p w14:paraId="57C8ED1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9" w:type="dxa"/>
          </w:tcPr>
          <w:p w14:paraId="523D2A1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9" w:type="dxa"/>
          </w:tcPr>
          <w:p w14:paraId="0F852CF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64C41C4C"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3C079A73"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0ABCF03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80" w:type="dxa"/>
          </w:tcPr>
          <w:p w14:paraId="0D59496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0.08</w:t>
            </w:r>
          </w:p>
        </w:tc>
        <w:tc>
          <w:tcPr>
            <w:tcW w:w="779" w:type="dxa"/>
          </w:tcPr>
          <w:p w14:paraId="3562985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0.08</w:t>
            </w:r>
          </w:p>
        </w:tc>
        <w:tc>
          <w:tcPr>
            <w:tcW w:w="779" w:type="dxa"/>
          </w:tcPr>
          <w:p w14:paraId="227B0ED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0.08</w:t>
            </w:r>
          </w:p>
        </w:tc>
        <w:tc>
          <w:tcPr>
            <w:tcW w:w="779" w:type="dxa"/>
          </w:tcPr>
          <w:p w14:paraId="65F5CBD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0.07</w:t>
            </w:r>
          </w:p>
        </w:tc>
        <w:tc>
          <w:tcPr>
            <w:tcW w:w="779" w:type="dxa"/>
          </w:tcPr>
          <w:p w14:paraId="2198C5C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0.06</w:t>
            </w:r>
          </w:p>
        </w:tc>
        <w:tc>
          <w:tcPr>
            <w:tcW w:w="779" w:type="dxa"/>
          </w:tcPr>
          <w:p w14:paraId="7CE732C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0.01</w:t>
            </w:r>
          </w:p>
        </w:tc>
        <w:tc>
          <w:tcPr>
            <w:tcW w:w="779" w:type="dxa"/>
          </w:tcPr>
          <w:p w14:paraId="4C933EC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c>
          <w:tcPr>
            <w:tcW w:w="779" w:type="dxa"/>
          </w:tcPr>
          <w:p w14:paraId="47DC2D5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33D0B0EC" w14:textId="77777777" w:rsidTr="00BC765B">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1784" w:type="dxa"/>
          </w:tcPr>
          <w:p w14:paraId="527E8A91"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proizvodnje </w:t>
            </w:r>
          </w:p>
        </w:tc>
        <w:tc>
          <w:tcPr>
            <w:tcW w:w="768" w:type="dxa"/>
          </w:tcPr>
          <w:p w14:paraId="5B96B94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0.55</w:t>
            </w:r>
          </w:p>
        </w:tc>
        <w:tc>
          <w:tcPr>
            <w:tcW w:w="780" w:type="dxa"/>
          </w:tcPr>
          <w:p w14:paraId="404F12D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0.39</w:t>
            </w:r>
          </w:p>
        </w:tc>
        <w:tc>
          <w:tcPr>
            <w:tcW w:w="779" w:type="dxa"/>
          </w:tcPr>
          <w:p w14:paraId="34929C7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0.42</w:t>
            </w:r>
          </w:p>
        </w:tc>
        <w:tc>
          <w:tcPr>
            <w:tcW w:w="779" w:type="dxa"/>
          </w:tcPr>
          <w:p w14:paraId="778983A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0.40</w:t>
            </w:r>
          </w:p>
        </w:tc>
        <w:tc>
          <w:tcPr>
            <w:tcW w:w="779" w:type="dxa"/>
          </w:tcPr>
          <w:p w14:paraId="718D8D1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0.36</w:t>
            </w:r>
          </w:p>
        </w:tc>
        <w:tc>
          <w:tcPr>
            <w:tcW w:w="779" w:type="dxa"/>
          </w:tcPr>
          <w:p w14:paraId="5E6B88B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0.29</w:t>
            </w:r>
          </w:p>
        </w:tc>
        <w:tc>
          <w:tcPr>
            <w:tcW w:w="779" w:type="dxa"/>
          </w:tcPr>
          <w:p w14:paraId="5E69E0E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0.05</w:t>
            </w:r>
          </w:p>
        </w:tc>
        <w:tc>
          <w:tcPr>
            <w:tcW w:w="779" w:type="dxa"/>
          </w:tcPr>
          <w:p w14:paraId="1EE6C04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c>
          <w:tcPr>
            <w:tcW w:w="779" w:type="dxa"/>
          </w:tcPr>
          <w:p w14:paraId="156A8DD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68202792" w14:textId="77777777" w:rsidR="00201FE9" w:rsidRPr="00C86111" w:rsidRDefault="00201FE9" w:rsidP="004748D1">
      <w:pPr>
        <w:pStyle w:val="Tabele"/>
        <w:numPr>
          <w:ilvl w:val="0"/>
          <w:numId w:val="0"/>
        </w:numPr>
        <w:spacing w:before="0" w:after="0"/>
        <w:rPr>
          <w:rFonts w:asciiTheme="minorHAnsi" w:hAnsiTheme="minorHAnsi" w:cstheme="minorHAnsi"/>
          <w:sz w:val="24"/>
          <w:lang w:val="sr-Latn-RS"/>
        </w:rPr>
      </w:pPr>
      <w:r w:rsidRPr="00C86111">
        <w:rPr>
          <w:rFonts w:asciiTheme="minorHAnsi" w:hAnsiTheme="minorHAnsi" w:cstheme="minorHAnsi"/>
          <w:sz w:val="24"/>
          <w:lang w:val="sr-Latn-RS"/>
        </w:rPr>
        <w:t>NP- Nema proizvodnje</w:t>
      </w:r>
    </w:p>
    <w:p w14:paraId="349B0413" w14:textId="42576F8D"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4748D1" w:rsidRPr="00C86111">
        <w:rPr>
          <w:rFonts w:asciiTheme="minorHAnsi" w:hAnsiTheme="minorHAnsi" w:cstheme="minorHAnsi"/>
          <w:b/>
          <w:bCs/>
          <w:i w:val="0"/>
          <w:iCs/>
          <w:sz w:val="24"/>
          <w:lang w:val="sr-Latn-RS"/>
        </w:rPr>
        <w:t>1</w:t>
      </w:r>
      <w:r w:rsidRPr="00C86111">
        <w:rPr>
          <w:rFonts w:asciiTheme="minorHAnsi" w:hAnsiTheme="minorHAnsi" w:cstheme="minorHAnsi"/>
          <w:b/>
          <w:bCs/>
          <w:i w:val="0"/>
          <w:iCs/>
          <w:sz w:val="24"/>
          <w:lang w:val="sr-Latn-RS"/>
        </w:rPr>
        <w:t>8.</w:t>
      </w:r>
      <w:r w:rsidRPr="00C86111">
        <w:rPr>
          <w:rFonts w:asciiTheme="minorHAnsi" w:hAnsiTheme="minorHAnsi" w:cstheme="minorHAnsi"/>
          <w:i w:val="0"/>
          <w:iCs/>
          <w:sz w:val="24"/>
          <w:lang w:val="sr-Latn-RS"/>
        </w:rPr>
        <w:t xml:space="preserve"> Godišnja proizvodnja u postrojenju livnice za proizvodnju čelika i željeza. 2006-2022.godina. (t)</w:t>
      </w:r>
    </w:p>
    <w:tbl>
      <w:tblPr>
        <w:tblStyle w:val="GridTable5Dark-Accent6"/>
        <w:tblW w:w="8792" w:type="dxa"/>
        <w:tblLook w:val="04A0" w:firstRow="1" w:lastRow="0" w:firstColumn="1" w:lastColumn="0" w:noHBand="0" w:noVBand="1"/>
      </w:tblPr>
      <w:tblGrid>
        <w:gridCol w:w="1556"/>
        <w:gridCol w:w="825"/>
        <w:gridCol w:w="856"/>
        <w:gridCol w:w="856"/>
        <w:gridCol w:w="857"/>
        <w:gridCol w:w="750"/>
        <w:gridCol w:w="750"/>
        <w:gridCol w:w="750"/>
        <w:gridCol w:w="750"/>
        <w:gridCol w:w="842"/>
      </w:tblGrid>
      <w:tr w:rsidR="00201FE9" w:rsidRPr="00C86111" w14:paraId="62DD1FBA"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33" w:type="dxa"/>
          </w:tcPr>
          <w:p w14:paraId="39F8264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380" w:type="dxa"/>
          </w:tcPr>
          <w:p w14:paraId="7FE1D97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881" w:type="dxa"/>
          </w:tcPr>
          <w:p w14:paraId="1660C2B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881" w:type="dxa"/>
          </w:tcPr>
          <w:p w14:paraId="191A8C2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881" w:type="dxa"/>
          </w:tcPr>
          <w:p w14:paraId="2A80357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0" w:type="dxa"/>
          </w:tcPr>
          <w:p w14:paraId="1390335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0" w:type="dxa"/>
          </w:tcPr>
          <w:p w14:paraId="1E0F001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0" w:type="dxa"/>
          </w:tcPr>
          <w:p w14:paraId="4082C6D3"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0" w:type="dxa"/>
          </w:tcPr>
          <w:p w14:paraId="7412520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856" w:type="dxa"/>
          </w:tcPr>
          <w:p w14:paraId="7DE204B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15139B74"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33" w:type="dxa"/>
          </w:tcPr>
          <w:p w14:paraId="581704A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željeza i čelika (t)</w:t>
            </w:r>
          </w:p>
        </w:tc>
        <w:tc>
          <w:tcPr>
            <w:tcW w:w="380" w:type="dxa"/>
          </w:tcPr>
          <w:p w14:paraId="061A4B9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161333</w:t>
            </w:r>
          </w:p>
        </w:tc>
        <w:tc>
          <w:tcPr>
            <w:tcW w:w="881" w:type="dxa"/>
          </w:tcPr>
          <w:p w14:paraId="39D2C04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173913</w:t>
            </w:r>
          </w:p>
        </w:tc>
        <w:tc>
          <w:tcPr>
            <w:tcW w:w="881" w:type="dxa"/>
          </w:tcPr>
          <w:p w14:paraId="6527A7F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201690</w:t>
            </w:r>
          </w:p>
        </w:tc>
        <w:tc>
          <w:tcPr>
            <w:tcW w:w="881" w:type="dxa"/>
          </w:tcPr>
          <w:p w14:paraId="3D632A0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103479</w:t>
            </w:r>
          </w:p>
        </w:tc>
        <w:tc>
          <w:tcPr>
            <w:tcW w:w="770" w:type="dxa"/>
          </w:tcPr>
          <w:p w14:paraId="204F7DE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48272</w:t>
            </w:r>
          </w:p>
        </w:tc>
        <w:tc>
          <w:tcPr>
            <w:tcW w:w="770" w:type="dxa"/>
          </w:tcPr>
          <w:p w14:paraId="249E8F7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61164</w:t>
            </w:r>
          </w:p>
        </w:tc>
        <w:tc>
          <w:tcPr>
            <w:tcW w:w="770" w:type="dxa"/>
          </w:tcPr>
          <w:p w14:paraId="71F3968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28161</w:t>
            </w:r>
          </w:p>
        </w:tc>
        <w:tc>
          <w:tcPr>
            <w:tcW w:w="770" w:type="dxa"/>
          </w:tcPr>
          <w:p w14:paraId="28E3D83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19723</w:t>
            </w:r>
          </w:p>
        </w:tc>
        <w:tc>
          <w:tcPr>
            <w:tcW w:w="856" w:type="dxa"/>
          </w:tcPr>
          <w:p w14:paraId="47EAC85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27683*</w:t>
            </w:r>
          </w:p>
        </w:tc>
      </w:tr>
      <w:tr w:rsidR="00201FE9" w:rsidRPr="00C86111" w14:paraId="35102BA4"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833" w:type="dxa"/>
          </w:tcPr>
          <w:p w14:paraId="2C3F6451"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380" w:type="dxa"/>
          </w:tcPr>
          <w:p w14:paraId="16F8539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881" w:type="dxa"/>
          </w:tcPr>
          <w:p w14:paraId="4FAB8B5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881" w:type="dxa"/>
          </w:tcPr>
          <w:p w14:paraId="030E61E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881" w:type="dxa"/>
          </w:tcPr>
          <w:p w14:paraId="59CDA83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0" w:type="dxa"/>
          </w:tcPr>
          <w:p w14:paraId="41BB17A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0" w:type="dxa"/>
          </w:tcPr>
          <w:p w14:paraId="4187521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0" w:type="dxa"/>
          </w:tcPr>
          <w:p w14:paraId="7F63F4F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0" w:type="dxa"/>
          </w:tcPr>
          <w:p w14:paraId="38B9C10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856" w:type="dxa"/>
          </w:tcPr>
          <w:p w14:paraId="492F425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70F604D1"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33" w:type="dxa"/>
          </w:tcPr>
          <w:p w14:paraId="486702FA"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željeza i čelika (t)</w:t>
            </w:r>
          </w:p>
        </w:tc>
        <w:tc>
          <w:tcPr>
            <w:tcW w:w="380" w:type="dxa"/>
          </w:tcPr>
          <w:p w14:paraId="32EA06D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36602</w:t>
            </w:r>
          </w:p>
        </w:tc>
        <w:tc>
          <w:tcPr>
            <w:tcW w:w="881" w:type="dxa"/>
          </w:tcPr>
          <w:p w14:paraId="57152DA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26246</w:t>
            </w:r>
          </w:p>
        </w:tc>
        <w:tc>
          <w:tcPr>
            <w:tcW w:w="881" w:type="dxa"/>
          </w:tcPr>
          <w:p w14:paraId="6285982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27638</w:t>
            </w:r>
          </w:p>
        </w:tc>
        <w:tc>
          <w:tcPr>
            <w:tcW w:w="881" w:type="dxa"/>
          </w:tcPr>
          <w:p w14:paraId="3A2A7E8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26552</w:t>
            </w:r>
          </w:p>
        </w:tc>
        <w:tc>
          <w:tcPr>
            <w:tcW w:w="770" w:type="dxa"/>
          </w:tcPr>
          <w:p w14:paraId="0B4619D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24262</w:t>
            </w:r>
          </w:p>
        </w:tc>
        <w:tc>
          <w:tcPr>
            <w:tcW w:w="770" w:type="dxa"/>
          </w:tcPr>
          <w:p w14:paraId="1B5A9B3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19364</w:t>
            </w:r>
          </w:p>
        </w:tc>
        <w:tc>
          <w:tcPr>
            <w:tcW w:w="770" w:type="dxa"/>
          </w:tcPr>
          <w:p w14:paraId="7E021AD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3042</w:t>
            </w:r>
          </w:p>
        </w:tc>
        <w:tc>
          <w:tcPr>
            <w:tcW w:w="770" w:type="dxa"/>
          </w:tcPr>
          <w:p w14:paraId="31CDC13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c>
          <w:tcPr>
            <w:tcW w:w="856" w:type="dxa"/>
          </w:tcPr>
          <w:p w14:paraId="3D79491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2923C3BB" w14:textId="77777777" w:rsidR="00201FE9" w:rsidRPr="00C86111" w:rsidRDefault="00201FE9" w:rsidP="004748D1">
      <w:pPr>
        <w:pStyle w:val="Tabele"/>
        <w:numPr>
          <w:ilvl w:val="0"/>
          <w:numId w:val="0"/>
        </w:numPr>
        <w:spacing w:before="0" w:after="0"/>
        <w:jc w:val="both"/>
        <w:rPr>
          <w:rFonts w:asciiTheme="minorHAnsi" w:hAnsiTheme="minorHAnsi" w:cstheme="minorHAnsi"/>
          <w:sz w:val="24"/>
          <w:lang w:val="sr-Latn-RS"/>
        </w:rPr>
      </w:pPr>
      <w:r w:rsidRPr="00C86111">
        <w:rPr>
          <w:rFonts w:asciiTheme="minorHAnsi" w:hAnsiTheme="minorHAnsi" w:cstheme="minorHAnsi"/>
          <w:sz w:val="24"/>
          <w:lang w:val="sr-Latn-RS"/>
        </w:rPr>
        <w:t>*Nema zvaničnog podatka. srednja vrijednost iz prethodne 4 godine</w:t>
      </w:r>
    </w:p>
    <w:p w14:paraId="5C18B5DF" w14:textId="77777777" w:rsidR="00201FE9" w:rsidRPr="00C86111" w:rsidRDefault="00201FE9" w:rsidP="004748D1">
      <w:pPr>
        <w:pStyle w:val="Tabele"/>
        <w:numPr>
          <w:ilvl w:val="0"/>
          <w:numId w:val="0"/>
        </w:numPr>
        <w:spacing w:before="0" w:after="0"/>
        <w:jc w:val="both"/>
        <w:rPr>
          <w:rFonts w:asciiTheme="minorHAnsi" w:hAnsiTheme="minorHAnsi" w:cstheme="minorHAnsi"/>
          <w:sz w:val="24"/>
          <w:lang w:val="sr-Latn-RS"/>
        </w:rPr>
      </w:pPr>
      <w:r w:rsidRPr="00C86111">
        <w:rPr>
          <w:rFonts w:asciiTheme="minorHAnsi" w:hAnsiTheme="minorHAnsi" w:cstheme="minorHAnsi"/>
          <w:sz w:val="24"/>
          <w:lang w:val="sr-Latn-RS"/>
        </w:rPr>
        <w:t>NP- nema proizvodnje</w:t>
      </w:r>
    </w:p>
    <w:p w14:paraId="3B061D27"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U Kombinata aluminijuma Podgorica bilo je operativno postrojenje za proizvodnja aluminijuma iz sekundarnih sirovina (pogon Silumina). Radilo se o postrojenju zastarjele tehnologije na kojem je instalisano filtersko postrojenje koje vrši otprašivanje otpadnog gasa sa niskom efikasnošću. Iz tog razloga za razmatranje emisije dioksina i furana u vazduh korišćen je visočiji emisioni faktor od 10 µgTEQ/t. Emisije dioksina i furana pokazuju opadajući trend u poređenju sa baznom </w:t>
      </w:r>
      <w:r w:rsidRPr="00C86111">
        <w:rPr>
          <w:rFonts w:asciiTheme="minorHAnsi" w:hAnsiTheme="minorHAnsi" w:cstheme="minorHAnsi"/>
          <w:color w:val="auto"/>
          <w:szCs w:val="24"/>
        </w:rPr>
        <w:lastRenderedPageBreak/>
        <w:t>godinom usljed značajnog smanjenja obima proizvodnje na postrojenju. Proizvodnja aluminijuma iz sekundarnih sirovina potpuno je obustavljena 2019. godine.</w:t>
      </w:r>
    </w:p>
    <w:p w14:paraId="749945A5"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Podaci o proizvodnji su dobijeni od operatora postrojenja.</w:t>
      </w:r>
    </w:p>
    <w:p w14:paraId="3711BB09" w14:textId="51FF4435"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Nivoi procijenjenih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 kao i obim proizvodnje za posmatrani period prikazani su tabelama </w:t>
      </w:r>
      <w:r w:rsidR="004748D1" w:rsidRPr="00C86111">
        <w:rPr>
          <w:rFonts w:asciiTheme="minorHAnsi" w:hAnsiTheme="minorHAnsi" w:cstheme="minorHAnsi"/>
          <w:color w:val="auto"/>
          <w:szCs w:val="24"/>
        </w:rPr>
        <w:t>1</w:t>
      </w:r>
      <w:r w:rsidRPr="00C86111">
        <w:rPr>
          <w:rFonts w:asciiTheme="minorHAnsi" w:hAnsiTheme="minorHAnsi" w:cstheme="minorHAnsi"/>
          <w:color w:val="auto"/>
          <w:szCs w:val="24"/>
        </w:rPr>
        <w:t xml:space="preserve">9. i </w:t>
      </w:r>
      <w:r w:rsidR="004748D1" w:rsidRPr="00C86111">
        <w:rPr>
          <w:rFonts w:asciiTheme="minorHAnsi" w:hAnsiTheme="minorHAnsi" w:cstheme="minorHAnsi"/>
          <w:color w:val="auto"/>
          <w:szCs w:val="24"/>
        </w:rPr>
        <w:t>2</w:t>
      </w:r>
      <w:r w:rsidRPr="00C86111">
        <w:rPr>
          <w:rFonts w:asciiTheme="minorHAnsi" w:hAnsiTheme="minorHAnsi" w:cstheme="minorHAnsi"/>
          <w:color w:val="auto"/>
          <w:szCs w:val="24"/>
        </w:rPr>
        <w:t xml:space="preserve">0. Nenamjerna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 POP’s je vršena  u vazduh i ostatke od procesa proizvodnje dok sam tehnološki proces ne dovodi do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u vodu, zemljište i proizvode.</w:t>
      </w:r>
    </w:p>
    <w:p w14:paraId="3E4117EB" w14:textId="4A2629B7"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4748D1" w:rsidRPr="00C86111">
        <w:rPr>
          <w:rFonts w:asciiTheme="minorHAnsi" w:hAnsiTheme="minorHAnsi" w:cstheme="minorHAnsi"/>
          <w:b/>
          <w:bCs/>
          <w:i w:val="0"/>
          <w:iCs/>
          <w:sz w:val="24"/>
          <w:lang w:val="sr-Latn-RS"/>
        </w:rPr>
        <w:t>1</w:t>
      </w:r>
      <w:r w:rsidRPr="00C86111">
        <w:rPr>
          <w:rFonts w:asciiTheme="minorHAnsi" w:hAnsiTheme="minorHAnsi" w:cstheme="minorHAnsi"/>
          <w:b/>
          <w:bCs/>
          <w:i w:val="0"/>
          <w:iCs/>
          <w:sz w:val="24"/>
          <w:lang w:val="sr-Latn-RS"/>
        </w:rPr>
        <w:t>9.</w:t>
      </w:r>
      <w:r w:rsidRPr="00C86111">
        <w:rPr>
          <w:rFonts w:asciiTheme="minorHAnsi" w:hAnsiTheme="minorHAnsi" w:cstheme="minorHAnsi"/>
          <w:i w:val="0"/>
          <w:iCs/>
          <w:sz w:val="24"/>
          <w:lang w:val="sr-Latn-RS"/>
        </w:rPr>
        <w:t xml:space="preserve"> Ukupne godišnje POP's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(PCDD/PCDF) iz postrojenja za proizvodnju aluminijuma iz sekundarnih sirovina. 2006-2022. godina (gTEQ/god)</w:t>
      </w:r>
    </w:p>
    <w:tbl>
      <w:tblPr>
        <w:tblStyle w:val="GridTable5Dark-Accent6"/>
        <w:tblW w:w="8785" w:type="dxa"/>
        <w:tblLook w:val="04A0" w:firstRow="1" w:lastRow="0" w:firstColumn="1" w:lastColumn="0" w:noHBand="0" w:noVBand="1"/>
      </w:tblPr>
      <w:tblGrid>
        <w:gridCol w:w="1784"/>
        <w:gridCol w:w="768"/>
        <w:gridCol w:w="780"/>
        <w:gridCol w:w="779"/>
        <w:gridCol w:w="779"/>
        <w:gridCol w:w="779"/>
        <w:gridCol w:w="779"/>
        <w:gridCol w:w="779"/>
        <w:gridCol w:w="779"/>
        <w:gridCol w:w="779"/>
      </w:tblGrid>
      <w:tr w:rsidR="00201FE9" w:rsidRPr="00C86111" w14:paraId="4C0DE253"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623F6F6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36A2BFB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1CA22A93"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1448016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29698DA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516C07F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387AC02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582AC38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7B9BFBB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9" w:type="dxa"/>
          </w:tcPr>
          <w:p w14:paraId="2A13937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087EA0E8"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BB061A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489FBCF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0.23</w:t>
            </w:r>
          </w:p>
        </w:tc>
        <w:tc>
          <w:tcPr>
            <w:tcW w:w="780" w:type="dxa"/>
          </w:tcPr>
          <w:p w14:paraId="3320C2B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0.31</w:t>
            </w:r>
          </w:p>
        </w:tc>
        <w:tc>
          <w:tcPr>
            <w:tcW w:w="779" w:type="dxa"/>
          </w:tcPr>
          <w:p w14:paraId="0AD9E94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0.21</w:t>
            </w:r>
          </w:p>
        </w:tc>
        <w:tc>
          <w:tcPr>
            <w:tcW w:w="779" w:type="dxa"/>
          </w:tcPr>
          <w:p w14:paraId="64D70EA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c>
          <w:tcPr>
            <w:tcW w:w="779" w:type="dxa"/>
          </w:tcPr>
          <w:p w14:paraId="2958F50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0.17</w:t>
            </w:r>
          </w:p>
        </w:tc>
        <w:tc>
          <w:tcPr>
            <w:tcW w:w="779" w:type="dxa"/>
          </w:tcPr>
          <w:p w14:paraId="54BDE74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0.18</w:t>
            </w:r>
          </w:p>
        </w:tc>
        <w:tc>
          <w:tcPr>
            <w:tcW w:w="779" w:type="dxa"/>
          </w:tcPr>
          <w:p w14:paraId="145DD2A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c>
          <w:tcPr>
            <w:tcW w:w="779" w:type="dxa"/>
          </w:tcPr>
          <w:p w14:paraId="6E66236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0.08</w:t>
            </w:r>
          </w:p>
        </w:tc>
        <w:tc>
          <w:tcPr>
            <w:tcW w:w="779" w:type="dxa"/>
          </w:tcPr>
          <w:p w14:paraId="5F6A34F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0.07</w:t>
            </w:r>
          </w:p>
        </w:tc>
      </w:tr>
      <w:tr w:rsidR="00201FE9" w:rsidRPr="00C86111" w14:paraId="30FD2DD4"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7CEF881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proizvodnje </w:t>
            </w:r>
          </w:p>
        </w:tc>
        <w:tc>
          <w:tcPr>
            <w:tcW w:w="768" w:type="dxa"/>
          </w:tcPr>
          <w:p w14:paraId="0C44FA2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0.50</w:t>
            </w:r>
          </w:p>
        </w:tc>
        <w:tc>
          <w:tcPr>
            <w:tcW w:w="780" w:type="dxa"/>
          </w:tcPr>
          <w:p w14:paraId="4D3E7B1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0.60</w:t>
            </w:r>
          </w:p>
        </w:tc>
        <w:tc>
          <w:tcPr>
            <w:tcW w:w="779" w:type="dxa"/>
          </w:tcPr>
          <w:p w14:paraId="710627E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0.40</w:t>
            </w:r>
          </w:p>
        </w:tc>
        <w:tc>
          <w:tcPr>
            <w:tcW w:w="779" w:type="dxa"/>
          </w:tcPr>
          <w:p w14:paraId="1434D7D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0.30</w:t>
            </w:r>
          </w:p>
        </w:tc>
        <w:tc>
          <w:tcPr>
            <w:tcW w:w="779" w:type="dxa"/>
          </w:tcPr>
          <w:p w14:paraId="4A499C7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0.34</w:t>
            </w:r>
          </w:p>
        </w:tc>
        <w:tc>
          <w:tcPr>
            <w:tcW w:w="779" w:type="dxa"/>
          </w:tcPr>
          <w:p w14:paraId="0503512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0.36</w:t>
            </w:r>
          </w:p>
        </w:tc>
        <w:tc>
          <w:tcPr>
            <w:tcW w:w="779" w:type="dxa"/>
          </w:tcPr>
          <w:p w14:paraId="6B4CFE3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0.29</w:t>
            </w:r>
          </w:p>
        </w:tc>
        <w:tc>
          <w:tcPr>
            <w:tcW w:w="779" w:type="dxa"/>
          </w:tcPr>
          <w:p w14:paraId="03C05A0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0.17</w:t>
            </w:r>
          </w:p>
        </w:tc>
        <w:tc>
          <w:tcPr>
            <w:tcW w:w="779" w:type="dxa"/>
          </w:tcPr>
          <w:p w14:paraId="054B335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r>
      <w:tr w:rsidR="00201FE9" w:rsidRPr="00C86111" w14:paraId="7997D276"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7BD3F1B5"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0CECA8D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2015</w:t>
            </w:r>
          </w:p>
        </w:tc>
        <w:tc>
          <w:tcPr>
            <w:tcW w:w="780" w:type="dxa"/>
          </w:tcPr>
          <w:p w14:paraId="6E15EBC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2016</w:t>
            </w:r>
          </w:p>
        </w:tc>
        <w:tc>
          <w:tcPr>
            <w:tcW w:w="779" w:type="dxa"/>
          </w:tcPr>
          <w:p w14:paraId="5A037A4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2017</w:t>
            </w:r>
          </w:p>
        </w:tc>
        <w:tc>
          <w:tcPr>
            <w:tcW w:w="779" w:type="dxa"/>
          </w:tcPr>
          <w:p w14:paraId="5275C96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c>
          <w:tcPr>
            <w:tcW w:w="779" w:type="dxa"/>
          </w:tcPr>
          <w:p w14:paraId="0BBB902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2019</w:t>
            </w:r>
          </w:p>
        </w:tc>
        <w:tc>
          <w:tcPr>
            <w:tcW w:w="779" w:type="dxa"/>
          </w:tcPr>
          <w:p w14:paraId="359673C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2020</w:t>
            </w:r>
          </w:p>
        </w:tc>
        <w:tc>
          <w:tcPr>
            <w:tcW w:w="779" w:type="dxa"/>
          </w:tcPr>
          <w:p w14:paraId="67E3541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779" w:type="dxa"/>
          </w:tcPr>
          <w:p w14:paraId="171D807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c>
          <w:tcPr>
            <w:tcW w:w="779" w:type="dxa"/>
          </w:tcPr>
          <w:p w14:paraId="61D6697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2023</w:t>
            </w:r>
          </w:p>
        </w:tc>
      </w:tr>
      <w:tr w:rsidR="00201FE9" w:rsidRPr="00C86111" w14:paraId="5110DF56"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507204D5"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413044E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0.10</w:t>
            </w:r>
          </w:p>
        </w:tc>
        <w:tc>
          <w:tcPr>
            <w:tcW w:w="780" w:type="dxa"/>
          </w:tcPr>
          <w:p w14:paraId="73D056D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0.06</w:t>
            </w:r>
          </w:p>
        </w:tc>
        <w:tc>
          <w:tcPr>
            <w:tcW w:w="779" w:type="dxa"/>
          </w:tcPr>
          <w:p w14:paraId="1AA058C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0.09</w:t>
            </w:r>
          </w:p>
        </w:tc>
        <w:tc>
          <w:tcPr>
            <w:tcW w:w="779" w:type="dxa"/>
          </w:tcPr>
          <w:p w14:paraId="147AF96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779" w:type="dxa"/>
          </w:tcPr>
          <w:p w14:paraId="4CBEAAD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779" w:type="dxa"/>
          </w:tcPr>
          <w:p w14:paraId="49AD3D2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779" w:type="dxa"/>
          </w:tcPr>
          <w:p w14:paraId="160F870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779" w:type="dxa"/>
          </w:tcPr>
          <w:p w14:paraId="6CBB5E5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779" w:type="dxa"/>
          </w:tcPr>
          <w:p w14:paraId="6B204C0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6B8DF825"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0F54D4C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proizvodnje </w:t>
            </w:r>
          </w:p>
        </w:tc>
        <w:tc>
          <w:tcPr>
            <w:tcW w:w="768" w:type="dxa"/>
          </w:tcPr>
          <w:p w14:paraId="4473139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0.21</w:t>
            </w:r>
          </w:p>
        </w:tc>
        <w:tc>
          <w:tcPr>
            <w:tcW w:w="780" w:type="dxa"/>
          </w:tcPr>
          <w:p w14:paraId="0DC4083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347ADBF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0.18</w:t>
            </w:r>
          </w:p>
        </w:tc>
        <w:tc>
          <w:tcPr>
            <w:tcW w:w="779" w:type="dxa"/>
          </w:tcPr>
          <w:p w14:paraId="6855C4A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3D6756A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779" w:type="dxa"/>
          </w:tcPr>
          <w:p w14:paraId="407304E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779" w:type="dxa"/>
          </w:tcPr>
          <w:p w14:paraId="1790D8E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779" w:type="dxa"/>
          </w:tcPr>
          <w:p w14:paraId="2ADE09D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779" w:type="dxa"/>
          </w:tcPr>
          <w:p w14:paraId="232C0A2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407580F4" w14:textId="77777777" w:rsidR="00201FE9" w:rsidRPr="00C86111" w:rsidRDefault="00201FE9" w:rsidP="00201FE9">
      <w:pPr>
        <w:jc w:val="both"/>
        <w:rPr>
          <w:rFonts w:asciiTheme="minorHAnsi" w:hAnsiTheme="minorHAnsi" w:cstheme="minorHAnsi"/>
          <w:color w:val="auto"/>
          <w:szCs w:val="24"/>
        </w:rPr>
      </w:pPr>
    </w:p>
    <w:p w14:paraId="2BC4570D" w14:textId="291F6CC4" w:rsidR="00201FE9" w:rsidRPr="00C86111" w:rsidRDefault="00201FE9" w:rsidP="00201FE9">
      <w:pPr>
        <w:rPr>
          <w:lang w:val="sr-Latn-RS"/>
        </w:rPr>
      </w:pPr>
      <w:r w:rsidRPr="00C86111">
        <w:rPr>
          <w:b/>
          <w:bCs/>
          <w:lang w:val="sr-Latn-RS"/>
        </w:rPr>
        <w:t xml:space="preserve">Tabela </w:t>
      </w:r>
      <w:r w:rsidR="004748D1" w:rsidRPr="00C86111">
        <w:rPr>
          <w:b/>
          <w:bCs/>
          <w:lang w:val="sr-Latn-RS"/>
        </w:rPr>
        <w:t>2</w:t>
      </w:r>
      <w:r w:rsidRPr="00C86111">
        <w:rPr>
          <w:b/>
          <w:bCs/>
          <w:lang w:val="sr-Latn-RS"/>
        </w:rPr>
        <w:t>0.</w:t>
      </w:r>
      <w:r w:rsidRPr="00C86111">
        <w:rPr>
          <w:lang w:val="sr-Latn-RS"/>
        </w:rPr>
        <w:t xml:space="preserve"> Godišnja proizvodnja u postrojenju za proizvodnju aluminijuma iz sekundarnih sirovina. 2006-2022. godina (t)</w:t>
      </w:r>
    </w:p>
    <w:tbl>
      <w:tblPr>
        <w:tblStyle w:val="GridTable5Dark-Accent6"/>
        <w:tblW w:w="8785" w:type="dxa"/>
        <w:tblLook w:val="04A0" w:firstRow="1" w:lastRow="0" w:firstColumn="1" w:lastColumn="0" w:noHBand="0" w:noVBand="1"/>
      </w:tblPr>
      <w:tblGrid>
        <w:gridCol w:w="1676"/>
        <w:gridCol w:w="866"/>
        <w:gridCol w:w="710"/>
        <w:gridCol w:w="872"/>
        <w:gridCol w:w="872"/>
        <w:gridCol w:w="769"/>
        <w:gridCol w:w="769"/>
        <w:gridCol w:w="769"/>
        <w:gridCol w:w="768"/>
        <w:gridCol w:w="714"/>
      </w:tblGrid>
      <w:tr w:rsidR="00201FE9" w:rsidRPr="00C86111" w14:paraId="04908899"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76" w:type="dxa"/>
          </w:tcPr>
          <w:p w14:paraId="264C481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66" w:type="dxa"/>
          </w:tcPr>
          <w:p w14:paraId="5776874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10" w:type="dxa"/>
          </w:tcPr>
          <w:p w14:paraId="793172D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872" w:type="dxa"/>
          </w:tcPr>
          <w:p w14:paraId="79102C3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872" w:type="dxa"/>
          </w:tcPr>
          <w:p w14:paraId="7C7E744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69" w:type="dxa"/>
          </w:tcPr>
          <w:p w14:paraId="1A3FD0B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69" w:type="dxa"/>
          </w:tcPr>
          <w:p w14:paraId="1D35C462"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69" w:type="dxa"/>
          </w:tcPr>
          <w:p w14:paraId="32BBB24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68" w:type="dxa"/>
          </w:tcPr>
          <w:p w14:paraId="65B31CF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14" w:type="dxa"/>
          </w:tcPr>
          <w:p w14:paraId="236C15E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6BCA9752"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76" w:type="dxa"/>
          </w:tcPr>
          <w:p w14:paraId="37D514F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aluminijuma (t)</w:t>
            </w:r>
          </w:p>
        </w:tc>
        <w:tc>
          <w:tcPr>
            <w:tcW w:w="866" w:type="dxa"/>
          </w:tcPr>
          <w:p w14:paraId="0492619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2282</w:t>
            </w:r>
          </w:p>
        </w:tc>
        <w:tc>
          <w:tcPr>
            <w:tcW w:w="710" w:type="dxa"/>
          </w:tcPr>
          <w:p w14:paraId="7EB5814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3068</w:t>
            </w:r>
          </w:p>
        </w:tc>
        <w:tc>
          <w:tcPr>
            <w:tcW w:w="872" w:type="dxa"/>
          </w:tcPr>
          <w:p w14:paraId="142CF12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2057</w:t>
            </w:r>
          </w:p>
        </w:tc>
        <w:tc>
          <w:tcPr>
            <w:tcW w:w="872" w:type="dxa"/>
          </w:tcPr>
          <w:p w14:paraId="1B2B80B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1511</w:t>
            </w:r>
          </w:p>
        </w:tc>
        <w:tc>
          <w:tcPr>
            <w:tcW w:w="769" w:type="dxa"/>
          </w:tcPr>
          <w:p w14:paraId="6EF4C9E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1690</w:t>
            </w:r>
          </w:p>
        </w:tc>
        <w:tc>
          <w:tcPr>
            <w:tcW w:w="769" w:type="dxa"/>
          </w:tcPr>
          <w:p w14:paraId="3FF1DD2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1797</w:t>
            </w:r>
          </w:p>
        </w:tc>
        <w:tc>
          <w:tcPr>
            <w:tcW w:w="769" w:type="dxa"/>
          </w:tcPr>
          <w:p w14:paraId="3CBE43B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1457</w:t>
            </w:r>
          </w:p>
        </w:tc>
        <w:tc>
          <w:tcPr>
            <w:tcW w:w="768" w:type="dxa"/>
          </w:tcPr>
          <w:p w14:paraId="6A378FF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832</w:t>
            </w:r>
          </w:p>
        </w:tc>
        <w:tc>
          <w:tcPr>
            <w:tcW w:w="714" w:type="dxa"/>
          </w:tcPr>
          <w:p w14:paraId="709A556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732</w:t>
            </w:r>
          </w:p>
        </w:tc>
      </w:tr>
      <w:tr w:rsidR="00201FE9" w:rsidRPr="00C86111" w14:paraId="383F0C4A"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676" w:type="dxa"/>
          </w:tcPr>
          <w:p w14:paraId="561C156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66" w:type="dxa"/>
          </w:tcPr>
          <w:p w14:paraId="0E6E10E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10" w:type="dxa"/>
          </w:tcPr>
          <w:p w14:paraId="2F8BF4E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872" w:type="dxa"/>
          </w:tcPr>
          <w:p w14:paraId="273FA44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872" w:type="dxa"/>
          </w:tcPr>
          <w:p w14:paraId="4F8E078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69" w:type="dxa"/>
          </w:tcPr>
          <w:p w14:paraId="16C336F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69" w:type="dxa"/>
          </w:tcPr>
          <w:p w14:paraId="5A2127D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69" w:type="dxa"/>
          </w:tcPr>
          <w:p w14:paraId="4501D86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68" w:type="dxa"/>
          </w:tcPr>
          <w:p w14:paraId="72D74F2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14" w:type="dxa"/>
          </w:tcPr>
          <w:p w14:paraId="4903F79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23124EC5"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76" w:type="dxa"/>
          </w:tcPr>
          <w:p w14:paraId="65C74CF2"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aluminijuma (t)</w:t>
            </w:r>
          </w:p>
        </w:tc>
        <w:tc>
          <w:tcPr>
            <w:tcW w:w="866" w:type="dxa"/>
          </w:tcPr>
          <w:p w14:paraId="29DFC67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1041</w:t>
            </w:r>
          </w:p>
        </w:tc>
        <w:tc>
          <w:tcPr>
            <w:tcW w:w="710" w:type="dxa"/>
          </w:tcPr>
          <w:p w14:paraId="08CE9CC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581</w:t>
            </w:r>
          </w:p>
        </w:tc>
        <w:tc>
          <w:tcPr>
            <w:tcW w:w="872" w:type="dxa"/>
          </w:tcPr>
          <w:p w14:paraId="796233D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895</w:t>
            </w:r>
          </w:p>
        </w:tc>
        <w:tc>
          <w:tcPr>
            <w:tcW w:w="872" w:type="dxa"/>
          </w:tcPr>
          <w:p w14:paraId="476AE6D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218</w:t>
            </w:r>
          </w:p>
        </w:tc>
        <w:tc>
          <w:tcPr>
            <w:tcW w:w="769" w:type="dxa"/>
          </w:tcPr>
          <w:p w14:paraId="6B26A12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c>
          <w:tcPr>
            <w:tcW w:w="769" w:type="dxa"/>
          </w:tcPr>
          <w:p w14:paraId="4400D68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c>
          <w:tcPr>
            <w:tcW w:w="769" w:type="dxa"/>
          </w:tcPr>
          <w:p w14:paraId="6F326A4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c>
          <w:tcPr>
            <w:tcW w:w="768" w:type="dxa"/>
          </w:tcPr>
          <w:p w14:paraId="7C242E4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c>
          <w:tcPr>
            <w:tcW w:w="714" w:type="dxa"/>
          </w:tcPr>
          <w:p w14:paraId="13118B1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1064ABBE" w14:textId="77777777" w:rsidR="00201FE9" w:rsidRPr="00C86111" w:rsidRDefault="00201FE9" w:rsidP="004748D1">
      <w:pPr>
        <w:pStyle w:val="Tabele"/>
        <w:numPr>
          <w:ilvl w:val="0"/>
          <w:numId w:val="0"/>
        </w:numPr>
        <w:spacing w:before="0" w:after="0"/>
        <w:ind w:left="810" w:hanging="360"/>
        <w:jc w:val="both"/>
        <w:rPr>
          <w:rFonts w:asciiTheme="minorHAnsi" w:hAnsiTheme="minorHAnsi" w:cstheme="minorHAnsi"/>
          <w:sz w:val="24"/>
          <w:lang w:val="sr-Latn-RS"/>
        </w:rPr>
      </w:pPr>
      <w:r w:rsidRPr="00C86111">
        <w:rPr>
          <w:rFonts w:asciiTheme="minorHAnsi" w:hAnsiTheme="minorHAnsi" w:cstheme="minorHAnsi"/>
          <w:sz w:val="24"/>
          <w:lang w:val="sr-Latn-RS"/>
        </w:rPr>
        <w:t>NP- nema proizvodnje</w:t>
      </w:r>
    </w:p>
    <w:p w14:paraId="011D5924" w14:textId="7B2BB65D" w:rsidR="00201FE9" w:rsidRPr="00C86111" w:rsidRDefault="00201FE9" w:rsidP="00EA6904">
      <w:pPr>
        <w:pStyle w:val="Heading4"/>
        <w:rPr>
          <w:lang w:val="sr-Latn-RS"/>
        </w:rPr>
      </w:pPr>
      <w:bookmarkStart w:id="64" w:name="_Toc501437755"/>
      <w:r w:rsidRPr="00C86111">
        <w:rPr>
          <w:lang w:val="sr-Latn-RS"/>
        </w:rPr>
        <w:t>Grupa 3. Proizvodnja električne i toplotne energije</w:t>
      </w:r>
      <w:bookmarkEnd w:id="64"/>
    </w:p>
    <w:p w14:paraId="11219C7B" w14:textId="1DDBA54D"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Proizvodnja toplotne i električne energije je važna kategorija u nacionalnom inventaru sa stanovišta doprinosa ukupnim nacionalnim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ma u vazduh nenamjeravano proizvedenih/ispuštenih PCDD/PCDF. Lignit, kao vrsta uglja, se kao gorivo najviše troši u Crnoj Gori zbog rada velikog postrojenja za proizvodnju električne energije (TE Pljevlja). Međutim sa stanovišta inteziteta emisija dioksina i furana u vazduh, značajnija je potrošnja drvne biomase zbog većih emisionih faktora za drvnu biomasu (od 50 do 100 µgTEQ/TJ) u odnosu na emisioni faktor za sagorijevanje uglja (10 µgTEQ/TJ). Potrošnja tečnih goriva na nacionalnom nivou nije značajan izvor POP’s (0,001 gTEQ/god), zbog relativno male potrošnje i niskih emisionih faktora za mazut i lako lož ulje. </w:t>
      </w:r>
    </w:p>
    <w:p w14:paraId="517CC578" w14:textId="6638C088"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Tabelama </w:t>
      </w:r>
      <w:r w:rsidR="004748D1" w:rsidRPr="00C86111">
        <w:rPr>
          <w:rFonts w:asciiTheme="minorHAnsi" w:hAnsiTheme="minorHAnsi" w:cstheme="minorHAnsi"/>
          <w:color w:val="auto"/>
          <w:szCs w:val="24"/>
        </w:rPr>
        <w:t>2</w:t>
      </w:r>
      <w:r w:rsidRPr="00C86111">
        <w:rPr>
          <w:rFonts w:asciiTheme="minorHAnsi" w:hAnsiTheme="minorHAnsi" w:cstheme="minorHAnsi"/>
          <w:color w:val="auto"/>
          <w:szCs w:val="24"/>
        </w:rPr>
        <w:t xml:space="preserve">1. i </w:t>
      </w:r>
      <w:r w:rsidR="004748D1" w:rsidRPr="00C86111">
        <w:rPr>
          <w:rFonts w:asciiTheme="minorHAnsi" w:hAnsiTheme="minorHAnsi" w:cstheme="minorHAnsi"/>
          <w:color w:val="auto"/>
          <w:szCs w:val="24"/>
        </w:rPr>
        <w:t>2</w:t>
      </w:r>
      <w:r w:rsidRPr="00C86111">
        <w:rPr>
          <w:rFonts w:asciiTheme="minorHAnsi" w:hAnsiTheme="minorHAnsi" w:cstheme="minorHAnsi"/>
          <w:color w:val="auto"/>
          <w:szCs w:val="24"/>
        </w:rPr>
        <w:t xml:space="preserve">2. su prikazane procijenjene POP’s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i količine utrošenog lignita energetskom sektoru, industriji, trgovini i javnim uslugama. Prilikom sagorijevanja lignita dolazi </w:t>
      </w:r>
      <w:r w:rsidRPr="00C86111">
        <w:rPr>
          <w:rFonts w:asciiTheme="minorHAnsi" w:hAnsiTheme="minorHAnsi" w:cstheme="minorHAnsi"/>
          <w:color w:val="auto"/>
          <w:szCs w:val="24"/>
        </w:rPr>
        <w:lastRenderedPageBreak/>
        <w:t xml:space="preserve">do emisije POP’s kako u vazduh tako i sa stanovišta značajnog potencijalnog uticaja na okolinu,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u ostatke iz procesa proizvodnje (šljaka).</w:t>
      </w:r>
    </w:p>
    <w:p w14:paraId="71E3CF04" w14:textId="77777777" w:rsidR="004748D1" w:rsidRPr="00C86111" w:rsidRDefault="004748D1" w:rsidP="00201FE9">
      <w:pPr>
        <w:jc w:val="both"/>
        <w:rPr>
          <w:rFonts w:asciiTheme="minorHAnsi" w:hAnsiTheme="minorHAnsi" w:cstheme="minorHAnsi"/>
          <w:color w:val="auto"/>
          <w:szCs w:val="24"/>
        </w:rPr>
      </w:pPr>
    </w:p>
    <w:p w14:paraId="3AB05B92" w14:textId="504FEDFE"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4748D1" w:rsidRPr="00C86111">
        <w:rPr>
          <w:rFonts w:asciiTheme="minorHAnsi" w:hAnsiTheme="minorHAnsi" w:cstheme="minorHAnsi"/>
          <w:b/>
          <w:bCs/>
          <w:i w:val="0"/>
          <w:iCs/>
          <w:sz w:val="24"/>
          <w:lang w:val="sr-Latn-RS"/>
        </w:rPr>
        <w:t>2</w:t>
      </w:r>
      <w:r w:rsidRPr="00C86111">
        <w:rPr>
          <w:rFonts w:asciiTheme="minorHAnsi" w:hAnsiTheme="minorHAnsi" w:cstheme="minorHAnsi"/>
          <w:b/>
          <w:bCs/>
          <w:i w:val="0"/>
          <w:iCs/>
          <w:sz w:val="24"/>
          <w:lang w:val="sr-Latn-RS"/>
        </w:rPr>
        <w:t>1.</w:t>
      </w:r>
      <w:r w:rsidRPr="00C86111">
        <w:rPr>
          <w:rFonts w:asciiTheme="minorHAnsi" w:hAnsiTheme="minorHAnsi" w:cstheme="minorHAnsi"/>
          <w:i w:val="0"/>
          <w:iCs/>
          <w:sz w:val="24"/>
          <w:lang w:val="sr-Latn-RS"/>
        </w:rPr>
        <w:t xml:space="preserve"> Ukupne godišnje POP's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(PCDD/PCDF) usled sagorijevanja uglja. 2006-2022. godina (gTEQ/god)</w:t>
      </w:r>
    </w:p>
    <w:tbl>
      <w:tblPr>
        <w:tblStyle w:val="GridTable5Dark-Accent6"/>
        <w:tblW w:w="8785" w:type="dxa"/>
        <w:tblLook w:val="04A0" w:firstRow="1" w:lastRow="0" w:firstColumn="1" w:lastColumn="0" w:noHBand="0" w:noVBand="1"/>
      </w:tblPr>
      <w:tblGrid>
        <w:gridCol w:w="1784"/>
        <w:gridCol w:w="768"/>
        <w:gridCol w:w="780"/>
        <w:gridCol w:w="779"/>
        <w:gridCol w:w="779"/>
        <w:gridCol w:w="779"/>
        <w:gridCol w:w="779"/>
        <w:gridCol w:w="779"/>
        <w:gridCol w:w="779"/>
        <w:gridCol w:w="779"/>
      </w:tblGrid>
      <w:tr w:rsidR="00201FE9" w:rsidRPr="00C86111" w14:paraId="65DE7F42"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1AB5B4C0"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47E3F2E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0EE9865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2FD49BD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0A6A685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2F3162B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14A3E3A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6E61AF8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34986FF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9" w:type="dxa"/>
          </w:tcPr>
          <w:p w14:paraId="570B418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46E29C2B"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23C4FA4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56C2D7A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c>
          <w:tcPr>
            <w:tcW w:w="780" w:type="dxa"/>
          </w:tcPr>
          <w:p w14:paraId="0BD700C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52466C9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79" w:type="dxa"/>
          </w:tcPr>
          <w:p w14:paraId="72C1F9C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0.08</w:t>
            </w:r>
          </w:p>
        </w:tc>
        <w:tc>
          <w:tcPr>
            <w:tcW w:w="779" w:type="dxa"/>
          </w:tcPr>
          <w:p w14:paraId="16986EB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0.18</w:t>
            </w:r>
          </w:p>
        </w:tc>
        <w:tc>
          <w:tcPr>
            <w:tcW w:w="779" w:type="dxa"/>
          </w:tcPr>
          <w:p w14:paraId="70DB015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0.18</w:t>
            </w:r>
          </w:p>
        </w:tc>
        <w:tc>
          <w:tcPr>
            <w:tcW w:w="779" w:type="dxa"/>
          </w:tcPr>
          <w:p w14:paraId="1CCE872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79" w:type="dxa"/>
          </w:tcPr>
          <w:p w14:paraId="3A23870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79" w:type="dxa"/>
          </w:tcPr>
          <w:p w14:paraId="0001248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r>
      <w:tr w:rsidR="00201FE9" w:rsidRPr="00C86111" w14:paraId="095FFC03"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7E8DEAA5"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proizvodnje </w:t>
            </w:r>
          </w:p>
        </w:tc>
        <w:tc>
          <w:tcPr>
            <w:tcW w:w="768" w:type="dxa"/>
          </w:tcPr>
          <w:p w14:paraId="256FBF8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0.20</w:t>
            </w:r>
          </w:p>
        </w:tc>
        <w:tc>
          <w:tcPr>
            <w:tcW w:w="780" w:type="dxa"/>
          </w:tcPr>
          <w:p w14:paraId="4B13034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c>
          <w:tcPr>
            <w:tcW w:w="779" w:type="dxa"/>
          </w:tcPr>
          <w:p w14:paraId="3372340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0.23</w:t>
            </w:r>
          </w:p>
        </w:tc>
        <w:tc>
          <w:tcPr>
            <w:tcW w:w="779" w:type="dxa"/>
          </w:tcPr>
          <w:p w14:paraId="3F41E97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5EA5A78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0.25</w:t>
            </w:r>
          </w:p>
        </w:tc>
        <w:tc>
          <w:tcPr>
            <w:tcW w:w="779" w:type="dxa"/>
          </w:tcPr>
          <w:p w14:paraId="1418120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0.26</w:t>
            </w:r>
          </w:p>
        </w:tc>
        <w:tc>
          <w:tcPr>
            <w:tcW w:w="779" w:type="dxa"/>
          </w:tcPr>
          <w:p w14:paraId="7A793EC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0.23</w:t>
            </w:r>
          </w:p>
        </w:tc>
        <w:tc>
          <w:tcPr>
            <w:tcW w:w="779" w:type="dxa"/>
          </w:tcPr>
          <w:p w14:paraId="186B6CF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0.22</w:t>
            </w:r>
          </w:p>
        </w:tc>
        <w:tc>
          <w:tcPr>
            <w:tcW w:w="779" w:type="dxa"/>
          </w:tcPr>
          <w:p w14:paraId="6C40B4A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0.21</w:t>
            </w:r>
          </w:p>
        </w:tc>
      </w:tr>
      <w:tr w:rsidR="00201FE9" w:rsidRPr="00C86111" w14:paraId="4A0C6A21"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253A42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1DCE4F2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80" w:type="dxa"/>
          </w:tcPr>
          <w:p w14:paraId="0EC062B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9" w:type="dxa"/>
          </w:tcPr>
          <w:p w14:paraId="0597D98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9" w:type="dxa"/>
          </w:tcPr>
          <w:p w14:paraId="2D7FE73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9" w:type="dxa"/>
          </w:tcPr>
          <w:p w14:paraId="1ED6933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9" w:type="dxa"/>
          </w:tcPr>
          <w:p w14:paraId="28DA2AC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9" w:type="dxa"/>
          </w:tcPr>
          <w:p w14:paraId="54A6E11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9" w:type="dxa"/>
          </w:tcPr>
          <w:p w14:paraId="2115106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9" w:type="dxa"/>
          </w:tcPr>
          <w:p w14:paraId="4024423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27BAD281"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5950586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7A5BDD7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80" w:type="dxa"/>
          </w:tcPr>
          <w:p w14:paraId="314B7EE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38508D7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79" w:type="dxa"/>
          </w:tcPr>
          <w:p w14:paraId="0550838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79" w:type="dxa"/>
          </w:tcPr>
          <w:p w14:paraId="7CD35FD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79" w:type="dxa"/>
          </w:tcPr>
          <w:p w14:paraId="5411582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c>
          <w:tcPr>
            <w:tcW w:w="779" w:type="dxa"/>
          </w:tcPr>
          <w:p w14:paraId="386EE8B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79" w:type="dxa"/>
          </w:tcPr>
          <w:p w14:paraId="11E1AE1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79" w:type="dxa"/>
          </w:tcPr>
          <w:p w14:paraId="19DF548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4934C5BC"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52A6452"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proizvodnje </w:t>
            </w:r>
          </w:p>
        </w:tc>
        <w:tc>
          <w:tcPr>
            <w:tcW w:w="768" w:type="dxa"/>
          </w:tcPr>
          <w:p w14:paraId="0657863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0.22</w:t>
            </w:r>
          </w:p>
        </w:tc>
        <w:tc>
          <w:tcPr>
            <w:tcW w:w="780" w:type="dxa"/>
          </w:tcPr>
          <w:p w14:paraId="66C5B3F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0.17</w:t>
            </w:r>
          </w:p>
        </w:tc>
        <w:tc>
          <w:tcPr>
            <w:tcW w:w="779" w:type="dxa"/>
          </w:tcPr>
          <w:p w14:paraId="4994FFF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0.18</w:t>
            </w:r>
          </w:p>
        </w:tc>
        <w:tc>
          <w:tcPr>
            <w:tcW w:w="779" w:type="dxa"/>
          </w:tcPr>
          <w:p w14:paraId="742C714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0.20</w:t>
            </w:r>
          </w:p>
        </w:tc>
        <w:tc>
          <w:tcPr>
            <w:tcW w:w="779" w:type="dxa"/>
          </w:tcPr>
          <w:p w14:paraId="6802CD1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0.19</w:t>
            </w:r>
          </w:p>
        </w:tc>
        <w:tc>
          <w:tcPr>
            <w:tcW w:w="779" w:type="dxa"/>
          </w:tcPr>
          <w:p w14:paraId="4E82E7F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0.20</w:t>
            </w:r>
          </w:p>
        </w:tc>
        <w:tc>
          <w:tcPr>
            <w:tcW w:w="779" w:type="dxa"/>
          </w:tcPr>
          <w:p w14:paraId="0F09A4D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0.18</w:t>
            </w:r>
          </w:p>
        </w:tc>
        <w:tc>
          <w:tcPr>
            <w:tcW w:w="779" w:type="dxa"/>
          </w:tcPr>
          <w:p w14:paraId="0005386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0.19</w:t>
            </w:r>
          </w:p>
        </w:tc>
        <w:tc>
          <w:tcPr>
            <w:tcW w:w="779" w:type="dxa"/>
          </w:tcPr>
          <w:p w14:paraId="635183A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08795246" w14:textId="77777777" w:rsidR="004748D1" w:rsidRPr="00C86111" w:rsidRDefault="004748D1" w:rsidP="00201FE9">
      <w:pPr>
        <w:jc w:val="both"/>
        <w:rPr>
          <w:b/>
          <w:bCs/>
          <w:lang w:val="sr-Latn-RS"/>
        </w:rPr>
      </w:pPr>
    </w:p>
    <w:p w14:paraId="797AF9DE" w14:textId="54E4FCE1" w:rsidR="00201FE9" w:rsidRPr="00C86111" w:rsidRDefault="00201FE9" w:rsidP="00201FE9">
      <w:pPr>
        <w:jc w:val="both"/>
        <w:rPr>
          <w:lang w:val="sr-Latn-RS"/>
        </w:rPr>
      </w:pPr>
      <w:r w:rsidRPr="00C86111">
        <w:rPr>
          <w:b/>
          <w:bCs/>
          <w:lang w:val="sr-Latn-RS"/>
        </w:rPr>
        <w:t xml:space="preserve">Tabela </w:t>
      </w:r>
      <w:r w:rsidR="004748D1" w:rsidRPr="00C86111">
        <w:rPr>
          <w:b/>
          <w:bCs/>
          <w:lang w:val="sr-Latn-RS"/>
        </w:rPr>
        <w:t>2</w:t>
      </w:r>
      <w:r w:rsidRPr="00C86111">
        <w:rPr>
          <w:b/>
          <w:bCs/>
          <w:lang w:val="sr-Latn-RS"/>
        </w:rPr>
        <w:t>2.</w:t>
      </w:r>
      <w:r w:rsidRPr="00C86111">
        <w:rPr>
          <w:lang w:val="sr-Latn-RS"/>
        </w:rPr>
        <w:t xml:space="preserve"> Ukupna potrošnja uglja, 2006-2022. godina (TJ)</w:t>
      </w:r>
    </w:p>
    <w:tbl>
      <w:tblPr>
        <w:tblStyle w:val="GridTable5Dark-Accent6"/>
        <w:tblW w:w="8785" w:type="dxa"/>
        <w:tblLook w:val="04A0" w:firstRow="1" w:lastRow="0" w:firstColumn="1" w:lastColumn="0" w:noHBand="0" w:noVBand="1"/>
      </w:tblPr>
      <w:tblGrid>
        <w:gridCol w:w="1327"/>
        <w:gridCol w:w="840"/>
        <w:gridCol w:w="822"/>
        <w:gridCol w:w="842"/>
        <w:gridCol w:w="785"/>
        <w:gridCol w:w="822"/>
        <w:gridCol w:w="822"/>
        <w:gridCol w:w="881"/>
        <w:gridCol w:w="822"/>
        <w:gridCol w:w="822"/>
      </w:tblGrid>
      <w:tr w:rsidR="00201FE9" w:rsidRPr="00C86111" w14:paraId="0B539F97"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27" w:type="dxa"/>
          </w:tcPr>
          <w:p w14:paraId="7DD0BA9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40" w:type="dxa"/>
          </w:tcPr>
          <w:p w14:paraId="4B9370A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822" w:type="dxa"/>
          </w:tcPr>
          <w:p w14:paraId="72556DE3"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842" w:type="dxa"/>
          </w:tcPr>
          <w:p w14:paraId="526598A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85" w:type="dxa"/>
          </w:tcPr>
          <w:p w14:paraId="1E9DE37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822" w:type="dxa"/>
          </w:tcPr>
          <w:p w14:paraId="2A2BE07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822" w:type="dxa"/>
          </w:tcPr>
          <w:p w14:paraId="704EEA5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881" w:type="dxa"/>
          </w:tcPr>
          <w:p w14:paraId="1E81769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822" w:type="dxa"/>
          </w:tcPr>
          <w:p w14:paraId="67AEFD9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822" w:type="dxa"/>
          </w:tcPr>
          <w:p w14:paraId="3F43139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2F7741FD"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27" w:type="dxa"/>
          </w:tcPr>
          <w:p w14:paraId="221E108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Sagoreli ugalj (TJ)</w:t>
            </w:r>
          </w:p>
        </w:tc>
        <w:tc>
          <w:tcPr>
            <w:tcW w:w="840" w:type="dxa"/>
          </w:tcPr>
          <w:p w14:paraId="766C555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14017</w:t>
            </w:r>
          </w:p>
        </w:tc>
        <w:tc>
          <w:tcPr>
            <w:tcW w:w="822" w:type="dxa"/>
          </w:tcPr>
          <w:p w14:paraId="3511FB9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11146</w:t>
            </w:r>
          </w:p>
        </w:tc>
        <w:tc>
          <w:tcPr>
            <w:tcW w:w="842" w:type="dxa"/>
          </w:tcPr>
          <w:p w14:paraId="0DEC95F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16045</w:t>
            </w:r>
          </w:p>
        </w:tc>
        <w:tc>
          <w:tcPr>
            <w:tcW w:w="785" w:type="dxa"/>
          </w:tcPr>
          <w:p w14:paraId="4841BF4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8824</w:t>
            </w:r>
          </w:p>
        </w:tc>
        <w:tc>
          <w:tcPr>
            <w:tcW w:w="822" w:type="dxa"/>
          </w:tcPr>
          <w:p w14:paraId="1D5305F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17870</w:t>
            </w:r>
          </w:p>
        </w:tc>
        <w:tc>
          <w:tcPr>
            <w:tcW w:w="822" w:type="dxa"/>
          </w:tcPr>
          <w:p w14:paraId="1519B1E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18193</w:t>
            </w:r>
          </w:p>
        </w:tc>
        <w:tc>
          <w:tcPr>
            <w:tcW w:w="881" w:type="dxa"/>
          </w:tcPr>
          <w:p w14:paraId="15CA891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16469</w:t>
            </w:r>
          </w:p>
        </w:tc>
        <w:tc>
          <w:tcPr>
            <w:tcW w:w="822" w:type="dxa"/>
          </w:tcPr>
          <w:p w14:paraId="15FAFF1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15583</w:t>
            </w:r>
          </w:p>
        </w:tc>
        <w:tc>
          <w:tcPr>
            <w:tcW w:w="822" w:type="dxa"/>
          </w:tcPr>
          <w:p w14:paraId="5919023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15017</w:t>
            </w:r>
          </w:p>
        </w:tc>
      </w:tr>
      <w:tr w:rsidR="00201FE9" w:rsidRPr="00C86111" w14:paraId="5F13B0DB"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327" w:type="dxa"/>
          </w:tcPr>
          <w:p w14:paraId="0D2B555D"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40" w:type="dxa"/>
          </w:tcPr>
          <w:p w14:paraId="52768B1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822" w:type="dxa"/>
          </w:tcPr>
          <w:p w14:paraId="28C2643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842" w:type="dxa"/>
          </w:tcPr>
          <w:p w14:paraId="448C808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85" w:type="dxa"/>
          </w:tcPr>
          <w:p w14:paraId="5D2BAB5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822" w:type="dxa"/>
          </w:tcPr>
          <w:p w14:paraId="6F59CCF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822" w:type="dxa"/>
          </w:tcPr>
          <w:p w14:paraId="6319638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881" w:type="dxa"/>
          </w:tcPr>
          <w:p w14:paraId="600BB0E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822" w:type="dxa"/>
          </w:tcPr>
          <w:p w14:paraId="3B8F0BC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822" w:type="dxa"/>
          </w:tcPr>
          <w:p w14:paraId="79C3940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06DB1233"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27" w:type="dxa"/>
          </w:tcPr>
          <w:p w14:paraId="11749E6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Sagoreli ugalj (TJ)</w:t>
            </w:r>
          </w:p>
        </w:tc>
        <w:tc>
          <w:tcPr>
            <w:tcW w:w="840" w:type="dxa"/>
          </w:tcPr>
          <w:p w14:paraId="41ED648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15839</w:t>
            </w:r>
          </w:p>
        </w:tc>
        <w:tc>
          <w:tcPr>
            <w:tcW w:w="822" w:type="dxa"/>
          </w:tcPr>
          <w:p w14:paraId="4B37699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12341</w:t>
            </w:r>
          </w:p>
        </w:tc>
        <w:tc>
          <w:tcPr>
            <w:tcW w:w="842" w:type="dxa"/>
          </w:tcPr>
          <w:p w14:paraId="27DA7CB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12628</w:t>
            </w:r>
          </w:p>
        </w:tc>
        <w:tc>
          <w:tcPr>
            <w:tcW w:w="785" w:type="dxa"/>
          </w:tcPr>
          <w:p w14:paraId="03EEDDB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14384</w:t>
            </w:r>
          </w:p>
        </w:tc>
        <w:tc>
          <w:tcPr>
            <w:tcW w:w="822" w:type="dxa"/>
          </w:tcPr>
          <w:p w14:paraId="7DBD2EB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13664</w:t>
            </w:r>
          </w:p>
        </w:tc>
        <w:tc>
          <w:tcPr>
            <w:tcW w:w="822" w:type="dxa"/>
          </w:tcPr>
          <w:p w14:paraId="5DB51B6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14583</w:t>
            </w:r>
          </w:p>
        </w:tc>
        <w:tc>
          <w:tcPr>
            <w:tcW w:w="881" w:type="dxa"/>
          </w:tcPr>
          <w:p w14:paraId="07E86BC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12836</w:t>
            </w:r>
          </w:p>
        </w:tc>
        <w:tc>
          <w:tcPr>
            <w:tcW w:w="822" w:type="dxa"/>
          </w:tcPr>
          <w:p w14:paraId="7A7B575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13541</w:t>
            </w:r>
          </w:p>
        </w:tc>
        <w:tc>
          <w:tcPr>
            <w:tcW w:w="822" w:type="dxa"/>
          </w:tcPr>
          <w:p w14:paraId="68D3226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1D55E707" w14:textId="77777777" w:rsidR="00201FE9" w:rsidRPr="00C86111" w:rsidRDefault="00201FE9" w:rsidP="00201FE9">
      <w:pPr>
        <w:jc w:val="both"/>
        <w:rPr>
          <w:rFonts w:asciiTheme="minorHAnsi" w:hAnsiTheme="minorHAnsi" w:cstheme="minorHAnsi"/>
          <w:color w:val="auto"/>
          <w:szCs w:val="24"/>
        </w:rPr>
      </w:pPr>
    </w:p>
    <w:p w14:paraId="038CA960"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Potrošnja uglja za potrebe grijanja domaćinstava je posebno proračunata i emisije nenamjerno proizvedenih POP’s u vazduh se kreću od 0.024 g TEQ u 2006 godini do 0.007 g TEQ  u 2022. god., dok u ostatke iz procesa grijanja (pepeo) ostane 0.013 g TEQ u 2006 godini, odnosno 0.004 g TEQ  u 2022. god. </w:t>
      </w:r>
    </w:p>
    <w:p w14:paraId="464A7355" w14:textId="43D8B1C0" w:rsidR="00201FE9" w:rsidRPr="00C86111" w:rsidRDefault="000D1995"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Emisije</w:t>
      </w:r>
      <w:r w:rsidR="00201FE9" w:rsidRPr="00C86111">
        <w:rPr>
          <w:rFonts w:asciiTheme="minorHAnsi" w:hAnsiTheme="minorHAnsi" w:cstheme="minorHAnsi"/>
          <w:color w:val="auto"/>
          <w:szCs w:val="24"/>
        </w:rPr>
        <w:t xml:space="preserve"> nenamjerno proizvedenih POP’s iz potrošnje biomase obuhvataju </w:t>
      </w:r>
      <w:r w:rsidRPr="00C86111">
        <w:rPr>
          <w:rFonts w:asciiTheme="minorHAnsi" w:hAnsiTheme="minorHAnsi" w:cstheme="minorHAnsi"/>
          <w:color w:val="auto"/>
          <w:szCs w:val="24"/>
        </w:rPr>
        <w:t>emisije</w:t>
      </w:r>
      <w:r w:rsidR="00201FE9" w:rsidRPr="00C86111">
        <w:rPr>
          <w:rFonts w:asciiTheme="minorHAnsi" w:hAnsiTheme="minorHAnsi" w:cstheme="minorHAnsi"/>
          <w:color w:val="auto"/>
          <w:szCs w:val="24"/>
        </w:rPr>
        <w:t xml:space="preserve"> iz toplotnih postrojenja na čistu biomasu i potrošnju ogrijevnog drveta u domaćinstvima pri čemu potrošnja u domaćinstvima čini oko 90% ukupne potrošnje biomase. Sa stanovišta sagorijevanja biomase značajnije su POP’s emisije u vazduh (tabela </w:t>
      </w:r>
      <w:r w:rsidR="004748D1" w:rsidRPr="00C86111">
        <w:rPr>
          <w:rFonts w:asciiTheme="minorHAnsi" w:hAnsiTheme="minorHAnsi" w:cstheme="minorHAnsi"/>
          <w:color w:val="auto"/>
          <w:szCs w:val="24"/>
        </w:rPr>
        <w:t>2</w:t>
      </w:r>
      <w:r w:rsidR="00201FE9" w:rsidRPr="00C86111">
        <w:rPr>
          <w:rFonts w:asciiTheme="minorHAnsi" w:hAnsiTheme="minorHAnsi" w:cstheme="minorHAnsi"/>
          <w:color w:val="auto"/>
          <w:szCs w:val="24"/>
        </w:rPr>
        <w:t xml:space="preserve">3.). Ukupna potrošnja biomase je prikazana tabelom </w:t>
      </w:r>
      <w:r w:rsidR="004748D1" w:rsidRPr="00C86111">
        <w:rPr>
          <w:rFonts w:asciiTheme="minorHAnsi" w:hAnsiTheme="minorHAnsi" w:cstheme="minorHAnsi"/>
          <w:color w:val="auto"/>
          <w:szCs w:val="24"/>
        </w:rPr>
        <w:t>2</w:t>
      </w:r>
      <w:r w:rsidR="00201FE9" w:rsidRPr="00C86111">
        <w:rPr>
          <w:rFonts w:asciiTheme="minorHAnsi" w:hAnsiTheme="minorHAnsi" w:cstheme="minorHAnsi"/>
          <w:color w:val="auto"/>
          <w:szCs w:val="24"/>
        </w:rPr>
        <w:t xml:space="preserve">4. </w:t>
      </w:r>
    </w:p>
    <w:p w14:paraId="31376B35" w14:textId="61B2B236"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4748D1" w:rsidRPr="00C86111">
        <w:rPr>
          <w:rFonts w:asciiTheme="minorHAnsi" w:hAnsiTheme="minorHAnsi" w:cstheme="minorHAnsi"/>
          <w:b/>
          <w:bCs/>
          <w:i w:val="0"/>
          <w:iCs/>
          <w:sz w:val="24"/>
          <w:lang w:val="sr-Latn-RS"/>
        </w:rPr>
        <w:t>2</w:t>
      </w:r>
      <w:r w:rsidRPr="00C86111">
        <w:rPr>
          <w:rFonts w:asciiTheme="minorHAnsi" w:hAnsiTheme="minorHAnsi" w:cstheme="minorHAnsi"/>
          <w:b/>
          <w:bCs/>
          <w:i w:val="0"/>
          <w:iCs/>
          <w:sz w:val="24"/>
          <w:lang w:val="sr-Latn-RS"/>
        </w:rPr>
        <w:t>3.</w:t>
      </w:r>
      <w:r w:rsidRPr="00C86111">
        <w:rPr>
          <w:rFonts w:asciiTheme="minorHAnsi" w:hAnsiTheme="minorHAnsi" w:cstheme="minorHAnsi"/>
          <w:i w:val="0"/>
          <w:iCs/>
          <w:sz w:val="24"/>
          <w:lang w:val="sr-Latn-RS"/>
        </w:rPr>
        <w:t xml:space="preserve"> Ukupne godišnje POP's emisije (PCDD/PCDF) usled sagorijevanja biomase. 2006-2022.  godina (gTEQ/god)</w:t>
      </w:r>
    </w:p>
    <w:tbl>
      <w:tblPr>
        <w:tblStyle w:val="GridTable5Dark-Accent6"/>
        <w:tblW w:w="8785" w:type="dxa"/>
        <w:tblLook w:val="04A0" w:firstRow="1" w:lastRow="0" w:firstColumn="1" w:lastColumn="0" w:noHBand="0" w:noVBand="1"/>
      </w:tblPr>
      <w:tblGrid>
        <w:gridCol w:w="1784"/>
        <w:gridCol w:w="768"/>
        <w:gridCol w:w="780"/>
        <w:gridCol w:w="779"/>
        <w:gridCol w:w="779"/>
        <w:gridCol w:w="779"/>
        <w:gridCol w:w="779"/>
        <w:gridCol w:w="779"/>
        <w:gridCol w:w="779"/>
        <w:gridCol w:w="779"/>
      </w:tblGrid>
      <w:tr w:rsidR="00201FE9" w:rsidRPr="00C86111" w14:paraId="084EB40E"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3618963D"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68486EA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3DCA34B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1154485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6967E38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518FCB0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146C3BA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173988C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15401D1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9" w:type="dxa"/>
          </w:tcPr>
          <w:p w14:paraId="57A8F86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6F789635"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E5E43B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1159B4E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0.61</w:t>
            </w:r>
          </w:p>
        </w:tc>
        <w:tc>
          <w:tcPr>
            <w:tcW w:w="780" w:type="dxa"/>
          </w:tcPr>
          <w:p w14:paraId="397CE1F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0.62</w:t>
            </w:r>
          </w:p>
        </w:tc>
        <w:tc>
          <w:tcPr>
            <w:tcW w:w="779" w:type="dxa"/>
          </w:tcPr>
          <w:p w14:paraId="06F4E25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0.62</w:t>
            </w:r>
          </w:p>
        </w:tc>
        <w:tc>
          <w:tcPr>
            <w:tcW w:w="779" w:type="dxa"/>
          </w:tcPr>
          <w:p w14:paraId="7B9B42B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0.65</w:t>
            </w:r>
          </w:p>
        </w:tc>
        <w:tc>
          <w:tcPr>
            <w:tcW w:w="779" w:type="dxa"/>
          </w:tcPr>
          <w:p w14:paraId="0E5B925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0.67</w:t>
            </w:r>
          </w:p>
        </w:tc>
        <w:tc>
          <w:tcPr>
            <w:tcW w:w="779" w:type="dxa"/>
          </w:tcPr>
          <w:p w14:paraId="6A0AEDF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0.71</w:t>
            </w:r>
          </w:p>
        </w:tc>
        <w:tc>
          <w:tcPr>
            <w:tcW w:w="779" w:type="dxa"/>
          </w:tcPr>
          <w:p w14:paraId="4059454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0.72</w:t>
            </w:r>
          </w:p>
        </w:tc>
        <w:tc>
          <w:tcPr>
            <w:tcW w:w="779" w:type="dxa"/>
          </w:tcPr>
          <w:p w14:paraId="3BC36F0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0.71</w:t>
            </w:r>
          </w:p>
        </w:tc>
        <w:tc>
          <w:tcPr>
            <w:tcW w:w="779" w:type="dxa"/>
          </w:tcPr>
          <w:p w14:paraId="5386A51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0.66</w:t>
            </w:r>
          </w:p>
        </w:tc>
      </w:tr>
      <w:tr w:rsidR="00201FE9" w:rsidRPr="00C86111" w14:paraId="627A4DD8"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00275F33"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w:t>
            </w:r>
          </w:p>
        </w:tc>
        <w:tc>
          <w:tcPr>
            <w:tcW w:w="768" w:type="dxa"/>
          </w:tcPr>
          <w:p w14:paraId="017BE96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0.03</w:t>
            </w:r>
          </w:p>
        </w:tc>
        <w:tc>
          <w:tcPr>
            <w:tcW w:w="780" w:type="dxa"/>
          </w:tcPr>
          <w:p w14:paraId="09B56E3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1051B70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29E7DA3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3EAC4DA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732C8E7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0.05</w:t>
            </w:r>
          </w:p>
        </w:tc>
        <w:tc>
          <w:tcPr>
            <w:tcW w:w="779" w:type="dxa"/>
          </w:tcPr>
          <w:p w14:paraId="0F62099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0.05</w:t>
            </w:r>
          </w:p>
        </w:tc>
        <w:tc>
          <w:tcPr>
            <w:tcW w:w="779" w:type="dxa"/>
          </w:tcPr>
          <w:p w14:paraId="3F163BF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0.05</w:t>
            </w:r>
          </w:p>
        </w:tc>
        <w:tc>
          <w:tcPr>
            <w:tcW w:w="779" w:type="dxa"/>
          </w:tcPr>
          <w:p w14:paraId="530784B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r>
      <w:tr w:rsidR="00201FE9" w:rsidRPr="00C86111" w14:paraId="111A9147"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0909459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43C0725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80" w:type="dxa"/>
          </w:tcPr>
          <w:p w14:paraId="48EEAF4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9" w:type="dxa"/>
          </w:tcPr>
          <w:p w14:paraId="07C6D11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9" w:type="dxa"/>
          </w:tcPr>
          <w:p w14:paraId="7150563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9" w:type="dxa"/>
          </w:tcPr>
          <w:p w14:paraId="320772C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9" w:type="dxa"/>
          </w:tcPr>
          <w:p w14:paraId="62CB72E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9" w:type="dxa"/>
          </w:tcPr>
          <w:p w14:paraId="320387E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9" w:type="dxa"/>
          </w:tcPr>
          <w:p w14:paraId="4C821C3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9" w:type="dxa"/>
          </w:tcPr>
          <w:p w14:paraId="3681154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2377A630"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343F8A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21A710C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0.68</w:t>
            </w:r>
          </w:p>
        </w:tc>
        <w:tc>
          <w:tcPr>
            <w:tcW w:w="780" w:type="dxa"/>
          </w:tcPr>
          <w:p w14:paraId="213BBB0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0.65</w:t>
            </w:r>
          </w:p>
        </w:tc>
        <w:tc>
          <w:tcPr>
            <w:tcW w:w="779" w:type="dxa"/>
          </w:tcPr>
          <w:p w14:paraId="0B81A98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0.64</w:t>
            </w:r>
          </w:p>
        </w:tc>
        <w:tc>
          <w:tcPr>
            <w:tcW w:w="779" w:type="dxa"/>
          </w:tcPr>
          <w:p w14:paraId="085127D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0.58</w:t>
            </w:r>
          </w:p>
        </w:tc>
        <w:tc>
          <w:tcPr>
            <w:tcW w:w="779" w:type="dxa"/>
          </w:tcPr>
          <w:p w14:paraId="2C72126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0.56</w:t>
            </w:r>
          </w:p>
        </w:tc>
        <w:tc>
          <w:tcPr>
            <w:tcW w:w="779" w:type="dxa"/>
          </w:tcPr>
          <w:p w14:paraId="2F382B0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0.57</w:t>
            </w:r>
          </w:p>
        </w:tc>
        <w:tc>
          <w:tcPr>
            <w:tcW w:w="779" w:type="dxa"/>
          </w:tcPr>
          <w:p w14:paraId="18D81EF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0.60</w:t>
            </w:r>
          </w:p>
        </w:tc>
        <w:tc>
          <w:tcPr>
            <w:tcW w:w="779" w:type="dxa"/>
          </w:tcPr>
          <w:p w14:paraId="3629892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0.56</w:t>
            </w:r>
          </w:p>
        </w:tc>
        <w:tc>
          <w:tcPr>
            <w:tcW w:w="779" w:type="dxa"/>
          </w:tcPr>
          <w:p w14:paraId="727F94A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0E4C9D99"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02F444C"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lastRenderedPageBreak/>
              <w:t xml:space="preserve">Ostaci iz procesa </w:t>
            </w:r>
          </w:p>
        </w:tc>
        <w:tc>
          <w:tcPr>
            <w:tcW w:w="768" w:type="dxa"/>
          </w:tcPr>
          <w:p w14:paraId="705BEEA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80" w:type="dxa"/>
          </w:tcPr>
          <w:p w14:paraId="11E03F3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62E6B94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485F133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0270FBD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4379952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2A5B1E2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049FD49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w:t>
            </w:r>
          </w:p>
        </w:tc>
        <w:tc>
          <w:tcPr>
            <w:tcW w:w="779" w:type="dxa"/>
          </w:tcPr>
          <w:p w14:paraId="02ABA7A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5AAF0328" w14:textId="6DD583BD"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4748D1" w:rsidRPr="00C86111">
        <w:rPr>
          <w:rFonts w:asciiTheme="minorHAnsi" w:hAnsiTheme="minorHAnsi" w:cstheme="minorHAnsi"/>
          <w:b/>
          <w:bCs/>
          <w:i w:val="0"/>
          <w:iCs/>
          <w:sz w:val="24"/>
          <w:lang w:val="sr-Latn-RS"/>
        </w:rPr>
        <w:t>2</w:t>
      </w:r>
      <w:r w:rsidRPr="00C86111">
        <w:rPr>
          <w:rFonts w:asciiTheme="minorHAnsi" w:hAnsiTheme="minorHAnsi" w:cstheme="minorHAnsi"/>
          <w:b/>
          <w:bCs/>
          <w:i w:val="0"/>
          <w:iCs/>
          <w:sz w:val="24"/>
          <w:lang w:val="sr-Latn-RS"/>
        </w:rPr>
        <w:t>4.</w:t>
      </w:r>
      <w:r w:rsidRPr="00C86111">
        <w:rPr>
          <w:rFonts w:asciiTheme="minorHAnsi" w:hAnsiTheme="minorHAnsi" w:cstheme="minorHAnsi"/>
          <w:i w:val="0"/>
          <w:iCs/>
          <w:sz w:val="24"/>
          <w:lang w:val="sr-Latn-RS"/>
        </w:rPr>
        <w:t xml:space="preserve"> Ukupna potrošnja biomase, 2006-2022. godina (TJ)</w:t>
      </w:r>
    </w:p>
    <w:tbl>
      <w:tblPr>
        <w:tblStyle w:val="GridTable5Dark-Accent6"/>
        <w:tblW w:w="8785" w:type="dxa"/>
        <w:tblLook w:val="04A0" w:firstRow="1" w:lastRow="0" w:firstColumn="1" w:lastColumn="0" w:noHBand="0" w:noVBand="1"/>
      </w:tblPr>
      <w:tblGrid>
        <w:gridCol w:w="1329"/>
        <w:gridCol w:w="838"/>
        <w:gridCol w:w="822"/>
        <w:gridCol w:w="842"/>
        <w:gridCol w:w="785"/>
        <w:gridCol w:w="822"/>
        <w:gridCol w:w="822"/>
        <w:gridCol w:w="881"/>
        <w:gridCol w:w="822"/>
        <w:gridCol w:w="822"/>
      </w:tblGrid>
      <w:tr w:rsidR="00201FE9" w:rsidRPr="00C86111" w14:paraId="21D796C6"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29" w:type="dxa"/>
          </w:tcPr>
          <w:p w14:paraId="0718EA0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38" w:type="dxa"/>
          </w:tcPr>
          <w:p w14:paraId="61D7CA5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822" w:type="dxa"/>
          </w:tcPr>
          <w:p w14:paraId="2E7B433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842" w:type="dxa"/>
          </w:tcPr>
          <w:p w14:paraId="49CEE20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85" w:type="dxa"/>
          </w:tcPr>
          <w:p w14:paraId="20C3390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822" w:type="dxa"/>
          </w:tcPr>
          <w:p w14:paraId="7C70C59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822" w:type="dxa"/>
          </w:tcPr>
          <w:p w14:paraId="0D594D8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881" w:type="dxa"/>
          </w:tcPr>
          <w:p w14:paraId="36012BC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822" w:type="dxa"/>
          </w:tcPr>
          <w:p w14:paraId="65FA7B4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822" w:type="dxa"/>
          </w:tcPr>
          <w:p w14:paraId="5557BC1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0AE30CA1"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29" w:type="dxa"/>
          </w:tcPr>
          <w:p w14:paraId="66BFEA4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Sagorjela biomasa (TJ)</w:t>
            </w:r>
          </w:p>
        </w:tc>
        <w:tc>
          <w:tcPr>
            <w:tcW w:w="838" w:type="dxa"/>
          </w:tcPr>
          <w:p w14:paraId="6B8C1A3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6124</w:t>
            </w:r>
          </w:p>
        </w:tc>
        <w:tc>
          <w:tcPr>
            <w:tcW w:w="822" w:type="dxa"/>
          </w:tcPr>
          <w:p w14:paraId="78D650B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6380</w:t>
            </w:r>
          </w:p>
        </w:tc>
        <w:tc>
          <w:tcPr>
            <w:tcW w:w="842" w:type="dxa"/>
          </w:tcPr>
          <w:p w14:paraId="50E3B19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6377</w:t>
            </w:r>
          </w:p>
        </w:tc>
        <w:tc>
          <w:tcPr>
            <w:tcW w:w="785" w:type="dxa"/>
          </w:tcPr>
          <w:p w14:paraId="4A207C0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6673</w:t>
            </w:r>
          </w:p>
        </w:tc>
        <w:tc>
          <w:tcPr>
            <w:tcW w:w="822" w:type="dxa"/>
          </w:tcPr>
          <w:p w14:paraId="5B428BF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6740</w:t>
            </w:r>
          </w:p>
        </w:tc>
        <w:tc>
          <w:tcPr>
            <w:tcW w:w="822" w:type="dxa"/>
          </w:tcPr>
          <w:p w14:paraId="22FFFC1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7346</w:t>
            </w:r>
          </w:p>
        </w:tc>
        <w:tc>
          <w:tcPr>
            <w:tcW w:w="881" w:type="dxa"/>
          </w:tcPr>
          <w:p w14:paraId="5175C54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7445</w:t>
            </w:r>
          </w:p>
        </w:tc>
        <w:tc>
          <w:tcPr>
            <w:tcW w:w="822" w:type="dxa"/>
          </w:tcPr>
          <w:p w14:paraId="2E1E425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7304</w:t>
            </w:r>
          </w:p>
        </w:tc>
        <w:tc>
          <w:tcPr>
            <w:tcW w:w="822" w:type="dxa"/>
          </w:tcPr>
          <w:p w14:paraId="59E3954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6833</w:t>
            </w:r>
          </w:p>
        </w:tc>
      </w:tr>
      <w:tr w:rsidR="00201FE9" w:rsidRPr="00C86111" w14:paraId="1FECABD5"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329" w:type="dxa"/>
          </w:tcPr>
          <w:p w14:paraId="436840AC"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38" w:type="dxa"/>
          </w:tcPr>
          <w:p w14:paraId="1185EB9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822" w:type="dxa"/>
          </w:tcPr>
          <w:p w14:paraId="59AACE6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842" w:type="dxa"/>
          </w:tcPr>
          <w:p w14:paraId="08BE00A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85" w:type="dxa"/>
          </w:tcPr>
          <w:p w14:paraId="7C2B73A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822" w:type="dxa"/>
          </w:tcPr>
          <w:p w14:paraId="2A0008D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822" w:type="dxa"/>
          </w:tcPr>
          <w:p w14:paraId="5E5EC9E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881" w:type="dxa"/>
          </w:tcPr>
          <w:p w14:paraId="7573D76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822" w:type="dxa"/>
          </w:tcPr>
          <w:p w14:paraId="781AED9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822" w:type="dxa"/>
          </w:tcPr>
          <w:p w14:paraId="3C18D69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410EEE9D"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29" w:type="dxa"/>
          </w:tcPr>
          <w:p w14:paraId="5588C97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Sagorjela biomasa (TJ)</w:t>
            </w:r>
          </w:p>
        </w:tc>
        <w:tc>
          <w:tcPr>
            <w:tcW w:w="838" w:type="dxa"/>
          </w:tcPr>
          <w:p w14:paraId="7BA5D82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7050</w:t>
            </w:r>
          </w:p>
        </w:tc>
        <w:tc>
          <w:tcPr>
            <w:tcW w:w="822" w:type="dxa"/>
          </w:tcPr>
          <w:p w14:paraId="246369E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6803</w:t>
            </w:r>
          </w:p>
        </w:tc>
        <w:tc>
          <w:tcPr>
            <w:tcW w:w="842" w:type="dxa"/>
          </w:tcPr>
          <w:p w14:paraId="14E1984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6688</w:t>
            </w:r>
          </w:p>
        </w:tc>
        <w:tc>
          <w:tcPr>
            <w:tcW w:w="785" w:type="dxa"/>
          </w:tcPr>
          <w:p w14:paraId="2D9CD1B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6129</w:t>
            </w:r>
          </w:p>
        </w:tc>
        <w:tc>
          <w:tcPr>
            <w:tcW w:w="822" w:type="dxa"/>
          </w:tcPr>
          <w:p w14:paraId="74250F3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5919</w:t>
            </w:r>
          </w:p>
        </w:tc>
        <w:tc>
          <w:tcPr>
            <w:tcW w:w="822" w:type="dxa"/>
          </w:tcPr>
          <w:p w14:paraId="4CC6DA9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5990</w:t>
            </w:r>
          </w:p>
        </w:tc>
        <w:tc>
          <w:tcPr>
            <w:tcW w:w="881" w:type="dxa"/>
          </w:tcPr>
          <w:p w14:paraId="03BC087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6366</w:t>
            </w:r>
          </w:p>
        </w:tc>
        <w:tc>
          <w:tcPr>
            <w:tcW w:w="822" w:type="dxa"/>
          </w:tcPr>
          <w:p w14:paraId="5F9D15D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6021</w:t>
            </w:r>
          </w:p>
        </w:tc>
        <w:tc>
          <w:tcPr>
            <w:tcW w:w="822" w:type="dxa"/>
          </w:tcPr>
          <w:p w14:paraId="285ADE4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74E4D12D" w14:textId="77777777" w:rsidR="00201FE9" w:rsidRPr="00C86111" w:rsidRDefault="00201FE9" w:rsidP="00201FE9">
      <w:pPr>
        <w:jc w:val="both"/>
        <w:rPr>
          <w:rFonts w:asciiTheme="minorHAnsi" w:hAnsiTheme="minorHAnsi" w:cstheme="minorHAnsi"/>
          <w:color w:val="auto"/>
          <w:szCs w:val="24"/>
        </w:rPr>
      </w:pPr>
    </w:p>
    <w:p w14:paraId="0939AAE1"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Svi aktivni podaci za period 2006-2022. godina preuzeti su iz nacionalnih energetskih bilansa (Uprava za statistiku Crne Gore - MONSTAT) dok su za prevođenje mase utrošenog goriva u jedinicu energije korišćeni podaci o toplotnim moćima fosilnih goriva i biomase prema IPCC 2006 metodologiji.</w:t>
      </w:r>
    </w:p>
    <w:p w14:paraId="045D3336" w14:textId="77777777" w:rsidR="00201FE9" w:rsidRPr="00C86111" w:rsidRDefault="00201FE9" w:rsidP="00201FE9">
      <w:pPr>
        <w:pStyle w:val="Tabele"/>
        <w:numPr>
          <w:ilvl w:val="0"/>
          <w:numId w:val="0"/>
        </w:numPr>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Inventar sadrži i podatke o količinama sagorelog biogasa sa uređenih deponija Možura i Livade, koje se obavlja bez proizvodnje energije a koje rezultira u zanemarljivo malim procijenjenim emisijama u vazduh (&lt; 0.001 g TEQ/god). Podaci o količinama sagorelog biogasa dobijeni su od operatera postrojenja.</w:t>
      </w:r>
    </w:p>
    <w:p w14:paraId="06825E4F" w14:textId="77777777" w:rsidR="00201FE9" w:rsidRPr="00C86111" w:rsidRDefault="00201FE9" w:rsidP="00EA6904">
      <w:pPr>
        <w:pStyle w:val="Heading4"/>
        <w:rPr>
          <w:lang w:val="sr-Latn-RS"/>
        </w:rPr>
      </w:pPr>
      <w:bookmarkStart w:id="65" w:name="_Toc501437756"/>
      <w:r w:rsidRPr="00C86111">
        <w:rPr>
          <w:lang w:val="sr-Latn-RS"/>
        </w:rPr>
        <w:t>Grupa 4. Industrija mineralnih proizvoda</w:t>
      </w:r>
      <w:bookmarkEnd w:id="65"/>
    </w:p>
    <w:p w14:paraId="178025E6" w14:textId="453395ED"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Proizvodnja cigle u Crnoj Gori je obustavljena 2006 godine.</w:t>
      </w:r>
      <w:r w:rsidR="00180BB0" w:rsidRPr="00C86111">
        <w:rPr>
          <w:rFonts w:asciiTheme="minorHAnsi" w:hAnsiTheme="minorHAnsi" w:cstheme="minorHAnsi"/>
          <w:color w:val="auto"/>
          <w:szCs w:val="24"/>
        </w:rPr>
        <w:t xml:space="preserve"> </w:t>
      </w:r>
      <w:r w:rsidRPr="00C86111">
        <w:rPr>
          <w:rFonts w:asciiTheme="minorHAnsi" w:hAnsiTheme="minorHAnsi" w:cstheme="minorHAnsi"/>
          <w:color w:val="auto"/>
          <w:szCs w:val="24"/>
        </w:rPr>
        <w:t xml:space="preserve">Proizvodnja kreča se u skladu sa nacionalnom statistikom kretala od 8118 t u 2006 (što je proizvodilo emisije u vazduh od 0.081 g TEQ/god) do 3500 tona u 2010. Proizvodnja je obustavljena 2011. godine. Emisije nenamjerno proizvedenih ili ispuštenih PCDD/PCDF u vazduh usled proizvodnje asfalta su proračunate ali su zanemarljive zbog niskog emisionog faktora (0.007 µg TEQ/ t asfalta) dok se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 PCDD/PCDF u ostatke iz procesa proizvodnje, zavisno od obima proizvodnje, kreće od 0.004 g TEQ u 2006 godini do 0.018 gTEQ u 2021. god. zbog značajnog povećanja proizvodnje asfalta usled izgradnje autoputa (tabela.</w:t>
      </w:r>
      <w:r w:rsidR="00180BB0" w:rsidRPr="00C86111">
        <w:rPr>
          <w:rFonts w:asciiTheme="minorHAnsi" w:hAnsiTheme="minorHAnsi" w:cstheme="minorHAnsi"/>
          <w:color w:val="auto"/>
          <w:szCs w:val="24"/>
        </w:rPr>
        <w:t>2</w:t>
      </w:r>
      <w:r w:rsidRPr="00C86111">
        <w:rPr>
          <w:rFonts w:asciiTheme="minorHAnsi" w:hAnsiTheme="minorHAnsi" w:cstheme="minorHAnsi"/>
          <w:color w:val="auto"/>
          <w:szCs w:val="24"/>
        </w:rPr>
        <w:t xml:space="preserve">5.). </w:t>
      </w:r>
    </w:p>
    <w:p w14:paraId="2A3AA71F" w14:textId="74A27FF7"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180BB0" w:rsidRPr="00C86111">
        <w:rPr>
          <w:rFonts w:asciiTheme="minorHAnsi" w:hAnsiTheme="minorHAnsi" w:cstheme="minorHAnsi"/>
          <w:b/>
          <w:bCs/>
          <w:i w:val="0"/>
          <w:iCs/>
          <w:sz w:val="24"/>
          <w:lang w:val="sr-Latn-RS"/>
        </w:rPr>
        <w:t>2</w:t>
      </w:r>
      <w:r w:rsidRPr="00C86111">
        <w:rPr>
          <w:rFonts w:asciiTheme="minorHAnsi" w:hAnsiTheme="minorHAnsi" w:cstheme="minorHAnsi"/>
          <w:b/>
          <w:bCs/>
          <w:i w:val="0"/>
          <w:iCs/>
          <w:sz w:val="24"/>
          <w:lang w:val="sr-Latn-RS"/>
        </w:rPr>
        <w:t>5.</w:t>
      </w:r>
      <w:r w:rsidRPr="00C86111">
        <w:rPr>
          <w:rFonts w:asciiTheme="minorHAnsi" w:hAnsiTheme="minorHAnsi" w:cstheme="minorHAnsi"/>
          <w:i w:val="0"/>
          <w:iCs/>
          <w:sz w:val="24"/>
          <w:lang w:val="sr-Latn-RS"/>
        </w:rPr>
        <w:t xml:space="preserve"> Proizvodnja asfaltne mase, 2006-2022. godina (t)</w:t>
      </w:r>
    </w:p>
    <w:tbl>
      <w:tblPr>
        <w:tblStyle w:val="GridTable5Dark-Accent6"/>
        <w:tblW w:w="8785" w:type="dxa"/>
        <w:tblLook w:val="04A0" w:firstRow="1" w:lastRow="0" w:firstColumn="1" w:lastColumn="0" w:noHBand="0" w:noVBand="1"/>
      </w:tblPr>
      <w:tblGrid>
        <w:gridCol w:w="1332"/>
        <w:gridCol w:w="806"/>
        <w:gridCol w:w="799"/>
        <w:gridCol w:w="810"/>
        <w:gridCol w:w="780"/>
        <w:gridCol w:w="800"/>
        <w:gridCol w:w="886"/>
        <w:gridCol w:w="886"/>
        <w:gridCol w:w="886"/>
        <w:gridCol w:w="800"/>
      </w:tblGrid>
      <w:tr w:rsidR="00201FE9" w:rsidRPr="00C86111" w14:paraId="6C814F43"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32" w:type="dxa"/>
          </w:tcPr>
          <w:p w14:paraId="272A1D71"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06" w:type="dxa"/>
          </w:tcPr>
          <w:p w14:paraId="15B82EF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99" w:type="dxa"/>
          </w:tcPr>
          <w:p w14:paraId="55EEE5C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810" w:type="dxa"/>
          </w:tcPr>
          <w:p w14:paraId="48F16BD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80" w:type="dxa"/>
          </w:tcPr>
          <w:p w14:paraId="70C2F69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800" w:type="dxa"/>
          </w:tcPr>
          <w:p w14:paraId="0279DBE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886" w:type="dxa"/>
          </w:tcPr>
          <w:p w14:paraId="17F56AC2"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886" w:type="dxa"/>
          </w:tcPr>
          <w:p w14:paraId="3D0D5F6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886" w:type="dxa"/>
          </w:tcPr>
          <w:p w14:paraId="4511FBD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800" w:type="dxa"/>
          </w:tcPr>
          <w:p w14:paraId="5DF71F8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5BCB0BD9"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32" w:type="dxa"/>
          </w:tcPr>
          <w:p w14:paraId="37CAB9A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asfaltne mase(t)</w:t>
            </w:r>
          </w:p>
        </w:tc>
        <w:tc>
          <w:tcPr>
            <w:tcW w:w="806" w:type="dxa"/>
          </w:tcPr>
          <w:p w14:paraId="7740D5F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64579</w:t>
            </w:r>
          </w:p>
        </w:tc>
        <w:tc>
          <w:tcPr>
            <w:tcW w:w="799" w:type="dxa"/>
          </w:tcPr>
          <w:p w14:paraId="0D5D5B9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64773</w:t>
            </w:r>
          </w:p>
        </w:tc>
        <w:tc>
          <w:tcPr>
            <w:tcW w:w="810" w:type="dxa"/>
          </w:tcPr>
          <w:p w14:paraId="518EA6D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62293</w:t>
            </w:r>
          </w:p>
        </w:tc>
        <w:tc>
          <w:tcPr>
            <w:tcW w:w="780" w:type="dxa"/>
          </w:tcPr>
          <w:p w14:paraId="68A24AE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36177</w:t>
            </w:r>
          </w:p>
        </w:tc>
        <w:tc>
          <w:tcPr>
            <w:tcW w:w="800" w:type="dxa"/>
          </w:tcPr>
          <w:p w14:paraId="352196B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47921</w:t>
            </w:r>
          </w:p>
        </w:tc>
        <w:tc>
          <w:tcPr>
            <w:tcW w:w="886" w:type="dxa"/>
          </w:tcPr>
          <w:p w14:paraId="649F561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52732</w:t>
            </w:r>
          </w:p>
        </w:tc>
        <w:tc>
          <w:tcPr>
            <w:tcW w:w="886" w:type="dxa"/>
          </w:tcPr>
          <w:p w14:paraId="4FB6EDB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42418</w:t>
            </w:r>
          </w:p>
        </w:tc>
        <w:tc>
          <w:tcPr>
            <w:tcW w:w="886" w:type="dxa"/>
          </w:tcPr>
          <w:p w14:paraId="37C9C61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26487</w:t>
            </w:r>
          </w:p>
        </w:tc>
        <w:tc>
          <w:tcPr>
            <w:tcW w:w="800" w:type="dxa"/>
          </w:tcPr>
          <w:p w14:paraId="52C146E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22576</w:t>
            </w:r>
          </w:p>
        </w:tc>
      </w:tr>
      <w:tr w:rsidR="00201FE9" w:rsidRPr="00C86111" w14:paraId="7F5350AA"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332" w:type="dxa"/>
          </w:tcPr>
          <w:p w14:paraId="1792798C"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06" w:type="dxa"/>
          </w:tcPr>
          <w:p w14:paraId="694DB10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99" w:type="dxa"/>
          </w:tcPr>
          <w:p w14:paraId="648DF43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810" w:type="dxa"/>
          </w:tcPr>
          <w:p w14:paraId="34DFFB6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80" w:type="dxa"/>
          </w:tcPr>
          <w:p w14:paraId="0FBBF16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800" w:type="dxa"/>
          </w:tcPr>
          <w:p w14:paraId="3828367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886" w:type="dxa"/>
          </w:tcPr>
          <w:p w14:paraId="79BD277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886" w:type="dxa"/>
          </w:tcPr>
          <w:p w14:paraId="68A137E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886" w:type="dxa"/>
          </w:tcPr>
          <w:p w14:paraId="0BEABA6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800" w:type="dxa"/>
          </w:tcPr>
          <w:p w14:paraId="46FD528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6B470314"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32" w:type="dxa"/>
          </w:tcPr>
          <w:p w14:paraId="3A4A8B3C"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asfaltne mase(t)</w:t>
            </w:r>
          </w:p>
        </w:tc>
        <w:tc>
          <w:tcPr>
            <w:tcW w:w="806" w:type="dxa"/>
          </w:tcPr>
          <w:p w14:paraId="58CC51D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21908</w:t>
            </w:r>
          </w:p>
        </w:tc>
        <w:tc>
          <w:tcPr>
            <w:tcW w:w="799" w:type="dxa"/>
          </w:tcPr>
          <w:p w14:paraId="316C852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18665</w:t>
            </w:r>
          </w:p>
        </w:tc>
        <w:tc>
          <w:tcPr>
            <w:tcW w:w="810" w:type="dxa"/>
          </w:tcPr>
          <w:p w14:paraId="2B3D70D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86124</w:t>
            </w:r>
          </w:p>
        </w:tc>
        <w:tc>
          <w:tcPr>
            <w:tcW w:w="780" w:type="dxa"/>
          </w:tcPr>
          <w:p w14:paraId="6F1F37C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40659</w:t>
            </w:r>
          </w:p>
        </w:tc>
        <w:tc>
          <w:tcPr>
            <w:tcW w:w="800" w:type="dxa"/>
          </w:tcPr>
          <w:p w14:paraId="1BACC72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64658</w:t>
            </w:r>
          </w:p>
        </w:tc>
        <w:tc>
          <w:tcPr>
            <w:tcW w:w="886" w:type="dxa"/>
          </w:tcPr>
          <w:p w14:paraId="4E6123F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191122</w:t>
            </w:r>
          </w:p>
        </w:tc>
        <w:tc>
          <w:tcPr>
            <w:tcW w:w="886" w:type="dxa"/>
          </w:tcPr>
          <w:p w14:paraId="7FADC42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307276</w:t>
            </w:r>
          </w:p>
        </w:tc>
        <w:tc>
          <w:tcPr>
            <w:tcW w:w="886" w:type="dxa"/>
          </w:tcPr>
          <w:p w14:paraId="484AC49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163894</w:t>
            </w:r>
          </w:p>
        </w:tc>
        <w:tc>
          <w:tcPr>
            <w:tcW w:w="800" w:type="dxa"/>
          </w:tcPr>
          <w:p w14:paraId="7764A62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1E4DF919" w14:textId="77777777" w:rsidR="00201FE9" w:rsidRPr="00C86111" w:rsidRDefault="00201FE9" w:rsidP="00201FE9">
      <w:pPr>
        <w:jc w:val="both"/>
        <w:rPr>
          <w:rFonts w:asciiTheme="minorHAnsi" w:hAnsiTheme="minorHAnsi" w:cstheme="minorHAnsi"/>
          <w:color w:val="auto"/>
          <w:szCs w:val="24"/>
        </w:rPr>
      </w:pPr>
    </w:p>
    <w:p w14:paraId="3059FE0A" w14:textId="40144338"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Za analizu i procjenu POP’s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 korišćeni su podaci Uprave za statistiku - MONSTAT.</w:t>
      </w:r>
    </w:p>
    <w:p w14:paraId="077383D4" w14:textId="77777777" w:rsidR="00201FE9" w:rsidRPr="00C86111" w:rsidRDefault="00201FE9" w:rsidP="00201FE9">
      <w:pPr>
        <w:jc w:val="both"/>
        <w:rPr>
          <w:rFonts w:asciiTheme="minorHAnsi" w:hAnsiTheme="minorHAnsi" w:cstheme="minorHAnsi"/>
          <w:color w:val="auto"/>
          <w:szCs w:val="24"/>
        </w:rPr>
      </w:pPr>
    </w:p>
    <w:p w14:paraId="75950659" w14:textId="77777777" w:rsidR="00201FE9" w:rsidRPr="00C86111" w:rsidRDefault="00201FE9" w:rsidP="00EA6904">
      <w:pPr>
        <w:pStyle w:val="Heading4"/>
        <w:rPr>
          <w:lang w:val="sr-Latn-RS"/>
        </w:rPr>
      </w:pPr>
      <w:bookmarkStart w:id="66" w:name="_Toc501437757"/>
      <w:r w:rsidRPr="00C86111">
        <w:rPr>
          <w:lang w:val="sr-Latn-RS"/>
        </w:rPr>
        <w:lastRenderedPageBreak/>
        <w:t>Grupa 5. Saobraćaj</w:t>
      </w:r>
      <w:bookmarkEnd w:id="66"/>
    </w:p>
    <w:p w14:paraId="71217638" w14:textId="7586E735"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Nacionalna statistika o potrošnji goriva u drumskom saobraćaju prepoznaje samo potrošnju benzina i dizela. Ne postoje istorijski podaci o potrošnji olovnog benzina čija je upotreba zakonom zabranjena 2011 godine. UNEP-ova metodologija daje dva emisiona faktora za emisije u vazduh za potrošnju bezolovnog benzina; i to za vozila koja su proizvedena prije 1996. godine i za vozila koja su proizvedena poslije 1996. godine. Razlika u emisionim faktorima je usled činjenice da vozila proizvedena poslije 1996. godine su pretpostavljeno izrađena po EURO 2 i višim ekološkim normama, tj. imaju obavezno ugrađeni katalizator koji za dvije decimale smanjuje emisiju PCDD/PCDF u odnosu na vozila koja nemaju EURO 2 normu. Emisije usled sagorijevanja benzina se kreću od 0.01 g TEQu u 2006. godini do manje od  0.001 g TEQu 2022. godini zbog značajnog smanjenja utroška benzina u drumskom saobraćaju u odnosu na dizel  kao i niže korišćenog emisionog faktora poslije 2012. godine. Tabelama </w:t>
      </w:r>
      <w:r w:rsidR="00180BB0" w:rsidRPr="00C86111">
        <w:rPr>
          <w:rFonts w:asciiTheme="minorHAnsi" w:hAnsiTheme="minorHAnsi" w:cstheme="minorHAnsi"/>
          <w:color w:val="auto"/>
          <w:szCs w:val="24"/>
        </w:rPr>
        <w:t>2</w:t>
      </w:r>
      <w:r w:rsidRPr="00C86111">
        <w:rPr>
          <w:rFonts w:asciiTheme="minorHAnsi" w:hAnsiTheme="minorHAnsi" w:cstheme="minorHAnsi"/>
          <w:color w:val="auto"/>
          <w:szCs w:val="24"/>
        </w:rPr>
        <w:t xml:space="preserve">6. i </w:t>
      </w:r>
      <w:r w:rsidR="00180BB0" w:rsidRPr="00C86111">
        <w:rPr>
          <w:rFonts w:asciiTheme="minorHAnsi" w:hAnsiTheme="minorHAnsi" w:cstheme="minorHAnsi"/>
          <w:color w:val="auto"/>
          <w:szCs w:val="24"/>
        </w:rPr>
        <w:t>2</w:t>
      </w:r>
      <w:r w:rsidRPr="00C86111">
        <w:rPr>
          <w:rFonts w:asciiTheme="minorHAnsi" w:hAnsiTheme="minorHAnsi" w:cstheme="minorHAnsi"/>
          <w:color w:val="auto"/>
          <w:szCs w:val="24"/>
        </w:rPr>
        <w:t xml:space="preserve">7. su prikazane procijenjene POP’s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i količine utrošenog dizela na nacionalnom nivou.</w:t>
      </w:r>
    </w:p>
    <w:p w14:paraId="036DEFAD" w14:textId="77777777" w:rsidR="00180BB0" w:rsidRPr="00C86111" w:rsidRDefault="00180BB0" w:rsidP="00201FE9">
      <w:pPr>
        <w:jc w:val="both"/>
        <w:rPr>
          <w:rFonts w:asciiTheme="minorHAnsi" w:hAnsiTheme="minorHAnsi" w:cstheme="minorHAnsi"/>
          <w:color w:val="auto"/>
          <w:szCs w:val="24"/>
        </w:rPr>
      </w:pPr>
    </w:p>
    <w:p w14:paraId="2BC14625" w14:textId="15AC37E4" w:rsidR="00201FE9" w:rsidRPr="00C86111" w:rsidRDefault="00201FE9" w:rsidP="00201FE9">
      <w:pPr>
        <w:jc w:val="both"/>
        <w:rPr>
          <w:lang w:val="sr-Latn-RS"/>
        </w:rPr>
      </w:pPr>
      <w:r w:rsidRPr="00C86111">
        <w:rPr>
          <w:b/>
          <w:bCs/>
          <w:lang w:val="sr-Latn-RS"/>
        </w:rPr>
        <w:t xml:space="preserve">Tabela </w:t>
      </w:r>
      <w:r w:rsidR="00180BB0" w:rsidRPr="00C86111">
        <w:rPr>
          <w:b/>
          <w:bCs/>
          <w:lang w:val="sr-Latn-RS"/>
        </w:rPr>
        <w:t>2</w:t>
      </w:r>
      <w:r w:rsidRPr="00C86111">
        <w:rPr>
          <w:b/>
          <w:bCs/>
          <w:lang w:val="sr-Latn-RS"/>
        </w:rPr>
        <w:t>6.</w:t>
      </w:r>
      <w:r w:rsidRPr="00C86111">
        <w:rPr>
          <w:lang w:val="sr-Latn-RS"/>
        </w:rPr>
        <w:t xml:space="preserve"> Ukupne godišnje POP's emisije (PCDD/PCDF) usled sagorijevanja dizela, 2006-2022. godina (gTEQ/god)</w:t>
      </w:r>
    </w:p>
    <w:tbl>
      <w:tblPr>
        <w:tblStyle w:val="GridTable5Dark-Accent6"/>
        <w:tblW w:w="9265" w:type="dxa"/>
        <w:tblLook w:val="04A0" w:firstRow="1" w:lastRow="0" w:firstColumn="1" w:lastColumn="0" w:noHBand="0" w:noVBand="1"/>
      </w:tblPr>
      <w:tblGrid>
        <w:gridCol w:w="1784"/>
        <w:gridCol w:w="768"/>
        <w:gridCol w:w="780"/>
        <w:gridCol w:w="779"/>
        <w:gridCol w:w="779"/>
        <w:gridCol w:w="779"/>
        <w:gridCol w:w="779"/>
        <w:gridCol w:w="779"/>
        <w:gridCol w:w="779"/>
        <w:gridCol w:w="1259"/>
      </w:tblGrid>
      <w:tr w:rsidR="00201FE9" w:rsidRPr="00C86111" w14:paraId="7F575ABD"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30ACC06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6E5DE36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22EA5BF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13D6A8F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2D1DA35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6510FC2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57A5538E"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7C83590E"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55FC728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1259" w:type="dxa"/>
          </w:tcPr>
          <w:p w14:paraId="50C3B72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76130FC0"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55410E9A"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3BDA133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0.01</w:t>
            </w:r>
          </w:p>
        </w:tc>
        <w:tc>
          <w:tcPr>
            <w:tcW w:w="780" w:type="dxa"/>
          </w:tcPr>
          <w:p w14:paraId="38202D0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0.01</w:t>
            </w:r>
          </w:p>
        </w:tc>
        <w:tc>
          <w:tcPr>
            <w:tcW w:w="779" w:type="dxa"/>
          </w:tcPr>
          <w:p w14:paraId="456D202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0.01</w:t>
            </w:r>
          </w:p>
        </w:tc>
        <w:tc>
          <w:tcPr>
            <w:tcW w:w="779" w:type="dxa"/>
          </w:tcPr>
          <w:p w14:paraId="0677E04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779" w:type="dxa"/>
          </w:tcPr>
          <w:p w14:paraId="3FE492C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0.01</w:t>
            </w:r>
          </w:p>
        </w:tc>
        <w:tc>
          <w:tcPr>
            <w:tcW w:w="779" w:type="dxa"/>
          </w:tcPr>
          <w:p w14:paraId="3EE0E8D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779" w:type="dxa"/>
          </w:tcPr>
          <w:p w14:paraId="555056B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779" w:type="dxa"/>
          </w:tcPr>
          <w:p w14:paraId="061AAA0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1259" w:type="dxa"/>
          </w:tcPr>
          <w:p w14:paraId="47FAA83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0.01</w:t>
            </w:r>
          </w:p>
        </w:tc>
      </w:tr>
      <w:tr w:rsidR="00201FE9" w:rsidRPr="00C86111" w14:paraId="0048FA12"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5450428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2615A9D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80" w:type="dxa"/>
          </w:tcPr>
          <w:p w14:paraId="28213A5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9" w:type="dxa"/>
          </w:tcPr>
          <w:p w14:paraId="1DC77C3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9" w:type="dxa"/>
          </w:tcPr>
          <w:p w14:paraId="08F4F95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9" w:type="dxa"/>
          </w:tcPr>
          <w:p w14:paraId="390E2A4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9" w:type="dxa"/>
          </w:tcPr>
          <w:p w14:paraId="6F792EC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9" w:type="dxa"/>
          </w:tcPr>
          <w:p w14:paraId="17035BB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9" w:type="dxa"/>
          </w:tcPr>
          <w:p w14:paraId="76E308F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1259" w:type="dxa"/>
          </w:tcPr>
          <w:p w14:paraId="7EDD065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2227C876"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0AAE3C8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59543B5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0.01</w:t>
            </w:r>
          </w:p>
        </w:tc>
        <w:tc>
          <w:tcPr>
            <w:tcW w:w="780" w:type="dxa"/>
          </w:tcPr>
          <w:p w14:paraId="0F765BD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779" w:type="dxa"/>
          </w:tcPr>
          <w:p w14:paraId="4AADCB0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779" w:type="dxa"/>
          </w:tcPr>
          <w:p w14:paraId="0851A9E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779" w:type="dxa"/>
          </w:tcPr>
          <w:p w14:paraId="3FF0A44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779" w:type="dxa"/>
          </w:tcPr>
          <w:p w14:paraId="0DDB97C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779" w:type="dxa"/>
          </w:tcPr>
          <w:p w14:paraId="3C599E0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779" w:type="dxa"/>
          </w:tcPr>
          <w:p w14:paraId="5510675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w:t>
            </w:r>
          </w:p>
        </w:tc>
        <w:tc>
          <w:tcPr>
            <w:tcW w:w="1259" w:type="dxa"/>
          </w:tcPr>
          <w:p w14:paraId="7159EEB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6B421295" w14:textId="0CDC771B"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180BB0" w:rsidRPr="00C86111">
        <w:rPr>
          <w:rFonts w:asciiTheme="minorHAnsi" w:hAnsiTheme="minorHAnsi" w:cstheme="minorHAnsi"/>
          <w:b/>
          <w:bCs/>
          <w:i w:val="0"/>
          <w:iCs/>
          <w:sz w:val="24"/>
          <w:lang w:val="sr-Latn-RS"/>
        </w:rPr>
        <w:t>2</w:t>
      </w:r>
      <w:r w:rsidRPr="00C86111">
        <w:rPr>
          <w:rFonts w:asciiTheme="minorHAnsi" w:hAnsiTheme="minorHAnsi" w:cstheme="minorHAnsi"/>
          <w:b/>
          <w:bCs/>
          <w:i w:val="0"/>
          <w:iCs/>
          <w:sz w:val="24"/>
          <w:lang w:val="sr-Latn-RS"/>
        </w:rPr>
        <w:t>7.</w:t>
      </w:r>
      <w:r w:rsidRPr="00C86111">
        <w:rPr>
          <w:rFonts w:asciiTheme="minorHAnsi" w:hAnsiTheme="minorHAnsi" w:cstheme="minorHAnsi"/>
          <w:i w:val="0"/>
          <w:iCs/>
          <w:sz w:val="24"/>
          <w:lang w:val="sr-Latn-RS"/>
        </w:rPr>
        <w:t>Ukupna potrošnja dizela, 2006-2022. godina (t)</w:t>
      </w:r>
    </w:p>
    <w:tbl>
      <w:tblPr>
        <w:tblStyle w:val="GridTable5Dark-Accent6"/>
        <w:tblW w:w="9350" w:type="dxa"/>
        <w:tblLook w:val="04A0" w:firstRow="1" w:lastRow="0" w:firstColumn="1" w:lastColumn="0" w:noHBand="0" w:noVBand="1"/>
      </w:tblPr>
      <w:tblGrid>
        <w:gridCol w:w="985"/>
        <w:gridCol w:w="876"/>
        <w:gridCol w:w="937"/>
        <w:gridCol w:w="936"/>
        <w:gridCol w:w="936"/>
        <w:gridCol w:w="936"/>
        <w:gridCol w:w="936"/>
        <w:gridCol w:w="936"/>
        <w:gridCol w:w="936"/>
        <w:gridCol w:w="936"/>
      </w:tblGrid>
      <w:tr w:rsidR="00201FE9" w:rsidRPr="00C86111" w14:paraId="6E89CB0B" w14:textId="77777777" w:rsidTr="00375D24">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85" w:type="dxa"/>
          </w:tcPr>
          <w:p w14:paraId="60CFD56A" w14:textId="732B1438"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w:t>
            </w:r>
            <w:r w:rsidR="00375D24" w:rsidRPr="00C86111">
              <w:rPr>
                <w:rFonts w:asciiTheme="minorHAnsi" w:hAnsiTheme="minorHAnsi" w:cstheme="minorHAnsi"/>
                <w:color w:val="auto"/>
                <w:sz w:val="20"/>
                <w:szCs w:val="20"/>
              </w:rPr>
              <w:t>a</w:t>
            </w:r>
          </w:p>
        </w:tc>
        <w:tc>
          <w:tcPr>
            <w:tcW w:w="876" w:type="dxa"/>
          </w:tcPr>
          <w:p w14:paraId="203B23F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937" w:type="dxa"/>
          </w:tcPr>
          <w:p w14:paraId="17DEA5A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936" w:type="dxa"/>
          </w:tcPr>
          <w:p w14:paraId="5384B32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936" w:type="dxa"/>
          </w:tcPr>
          <w:p w14:paraId="24D8E82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936" w:type="dxa"/>
          </w:tcPr>
          <w:p w14:paraId="30501BD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936" w:type="dxa"/>
          </w:tcPr>
          <w:p w14:paraId="0C487C2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936" w:type="dxa"/>
          </w:tcPr>
          <w:p w14:paraId="53D0438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936" w:type="dxa"/>
          </w:tcPr>
          <w:p w14:paraId="77BB7DF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936" w:type="dxa"/>
          </w:tcPr>
          <w:p w14:paraId="6EDB4F9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61CF583B" w14:textId="77777777" w:rsidTr="00375D24">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85" w:type="dxa"/>
          </w:tcPr>
          <w:p w14:paraId="373F47D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Dizel (t)</w:t>
            </w:r>
          </w:p>
        </w:tc>
        <w:tc>
          <w:tcPr>
            <w:tcW w:w="876" w:type="dxa"/>
          </w:tcPr>
          <w:p w14:paraId="11B359F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76900</w:t>
            </w:r>
          </w:p>
        </w:tc>
        <w:tc>
          <w:tcPr>
            <w:tcW w:w="937" w:type="dxa"/>
          </w:tcPr>
          <w:p w14:paraId="288F63A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106800</w:t>
            </w:r>
          </w:p>
        </w:tc>
        <w:tc>
          <w:tcPr>
            <w:tcW w:w="936" w:type="dxa"/>
          </w:tcPr>
          <w:p w14:paraId="1FEEA80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134130</w:t>
            </w:r>
          </w:p>
        </w:tc>
        <w:tc>
          <w:tcPr>
            <w:tcW w:w="936" w:type="dxa"/>
          </w:tcPr>
          <w:p w14:paraId="21AFF9E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150700</w:t>
            </w:r>
          </w:p>
        </w:tc>
        <w:tc>
          <w:tcPr>
            <w:tcW w:w="936" w:type="dxa"/>
          </w:tcPr>
          <w:p w14:paraId="77127D4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130100</w:t>
            </w:r>
          </w:p>
        </w:tc>
        <w:tc>
          <w:tcPr>
            <w:tcW w:w="936" w:type="dxa"/>
          </w:tcPr>
          <w:p w14:paraId="1B5C609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160000</w:t>
            </w:r>
          </w:p>
        </w:tc>
        <w:tc>
          <w:tcPr>
            <w:tcW w:w="936" w:type="dxa"/>
          </w:tcPr>
          <w:p w14:paraId="41F22E0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156000</w:t>
            </w:r>
          </w:p>
        </w:tc>
        <w:tc>
          <w:tcPr>
            <w:tcW w:w="936" w:type="dxa"/>
          </w:tcPr>
          <w:p w14:paraId="02DCFD6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157600</w:t>
            </w:r>
          </w:p>
        </w:tc>
        <w:tc>
          <w:tcPr>
            <w:tcW w:w="936" w:type="dxa"/>
          </w:tcPr>
          <w:p w14:paraId="72F2A5C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120300</w:t>
            </w:r>
          </w:p>
        </w:tc>
      </w:tr>
      <w:tr w:rsidR="00201FE9" w:rsidRPr="00C86111" w14:paraId="560CBE94" w14:textId="77777777" w:rsidTr="00375D24">
        <w:trPr>
          <w:trHeight w:val="432"/>
        </w:trPr>
        <w:tc>
          <w:tcPr>
            <w:cnfStyle w:val="001000000000" w:firstRow="0" w:lastRow="0" w:firstColumn="1" w:lastColumn="0" w:oddVBand="0" w:evenVBand="0" w:oddHBand="0" w:evenHBand="0" w:firstRowFirstColumn="0" w:firstRowLastColumn="0" w:lastRowFirstColumn="0" w:lastRowLastColumn="0"/>
            <w:tcW w:w="985" w:type="dxa"/>
          </w:tcPr>
          <w:p w14:paraId="6A78A72C"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76" w:type="dxa"/>
          </w:tcPr>
          <w:p w14:paraId="31B237B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937" w:type="dxa"/>
          </w:tcPr>
          <w:p w14:paraId="1D108DE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936" w:type="dxa"/>
          </w:tcPr>
          <w:p w14:paraId="1F20744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936" w:type="dxa"/>
          </w:tcPr>
          <w:p w14:paraId="3B1A1C8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936" w:type="dxa"/>
          </w:tcPr>
          <w:p w14:paraId="73C4C16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936" w:type="dxa"/>
          </w:tcPr>
          <w:p w14:paraId="5E3D6BC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936" w:type="dxa"/>
          </w:tcPr>
          <w:p w14:paraId="755BC06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936" w:type="dxa"/>
          </w:tcPr>
          <w:p w14:paraId="5BF006F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936" w:type="dxa"/>
          </w:tcPr>
          <w:p w14:paraId="2248987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02EF4286" w14:textId="77777777" w:rsidTr="00375D24">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85" w:type="dxa"/>
          </w:tcPr>
          <w:p w14:paraId="41F80EF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Dizel (t)</w:t>
            </w:r>
          </w:p>
        </w:tc>
        <w:tc>
          <w:tcPr>
            <w:tcW w:w="876" w:type="dxa"/>
          </w:tcPr>
          <w:p w14:paraId="646282A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136500</w:t>
            </w:r>
          </w:p>
        </w:tc>
        <w:tc>
          <w:tcPr>
            <w:tcW w:w="937" w:type="dxa"/>
          </w:tcPr>
          <w:p w14:paraId="323B1C9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165000</w:t>
            </w:r>
          </w:p>
        </w:tc>
        <w:tc>
          <w:tcPr>
            <w:tcW w:w="936" w:type="dxa"/>
          </w:tcPr>
          <w:p w14:paraId="20C53B4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183100</w:t>
            </w:r>
          </w:p>
        </w:tc>
        <w:tc>
          <w:tcPr>
            <w:tcW w:w="936" w:type="dxa"/>
          </w:tcPr>
          <w:p w14:paraId="497FEBE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201400</w:t>
            </w:r>
          </w:p>
        </w:tc>
        <w:tc>
          <w:tcPr>
            <w:tcW w:w="936" w:type="dxa"/>
          </w:tcPr>
          <w:p w14:paraId="4B8915D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212000</w:t>
            </w:r>
          </w:p>
        </w:tc>
        <w:tc>
          <w:tcPr>
            <w:tcW w:w="936" w:type="dxa"/>
          </w:tcPr>
          <w:p w14:paraId="6516CF2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184800</w:t>
            </w:r>
          </w:p>
        </w:tc>
        <w:tc>
          <w:tcPr>
            <w:tcW w:w="936" w:type="dxa"/>
          </w:tcPr>
          <w:p w14:paraId="371648B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238200</w:t>
            </w:r>
          </w:p>
        </w:tc>
        <w:tc>
          <w:tcPr>
            <w:tcW w:w="936" w:type="dxa"/>
          </w:tcPr>
          <w:p w14:paraId="6CF1434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243000</w:t>
            </w:r>
          </w:p>
        </w:tc>
        <w:tc>
          <w:tcPr>
            <w:tcW w:w="936" w:type="dxa"/>
          </w:tcPr>
          <w:p w14:paraId="7EAE61E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2FD7D38A" w14:textId="77777777" w:rsidR="00201FE9" w:rsidRPr="00C86111" w:rsidRDefault="00201FE9" w:rsidP="00201FE9">
      <w:pPr>
        <w:jc w:val="both"/>
        <w:rPr>
          <w:rFonts w:asciiTheme="minorHAnsi" w:hAnsiTheme="minorHAnsi" w:cstheme="minorHAnsi"/>
          <w:color w:val="auto"/>
          <w:szCs w:val="24"/>
        </w:rPr>
      </w:pPr>
      <w:bookmarkStart w:id="67" w:name="_Toc501437758"/>
    </w:p>
    <w:p w14:paraId="05DB2C35" w14:textId="71734E5E"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Podkategorija, utrošak dizela velikih brodova nije proračunata u prethodno podnesenom inventaru. Na osnovu podataka o broju, tonaži i vremenu boravka kruzera koji pristaju u luku Kotor, moguće je proračunati utrošak goriva tokom boravka kruzera u luci. Proračunate emisije u vazduh maksimalno iznose 0.005 g TEQ u 2016. godini. Bitno je istaći da zbog nepostojanja podatka o količini utrošenog dizela na godišnjem nivou tokom boravka brodova u luci Bar, nije moguće proračunati emisije nenamjerno </w:t>
      </w:r>
      <w:r w:rsidR="000D1995" w:rsidRPr="00C86111">
        <w:rPr>
          <w:rFonts w:asciiTheme="minorHAnsi" w:hAnsiTheme="minorHAnsi" w:cstheme="minorHAnsi"/>
          <w:color w:val="auto"/>
          <w:szCs w:val="24"/>
        </w:rPr>
        <w:t>emitovanih</w:t>
      </w:r>
      <w:r w:rsidRPr="00C86111">
        <w:rPr>
          <w:rFonts w:asciiTheme="minorHAnsi" w:hAnsiTheme="minorHAnsi" w:cstheme="minorHAnsi"/>
          <w:color w:val="auto"/>
          <w:szCs w:val="24"/>
        </w:rPr>
        <w:t xml:space="preserve"> POP's i za ovu luku. Ukoliko bi bio dostupan  podatak o prosječnom utrošku goriva tokom boravka velikih brodova zajedno sa drugim potrebnim podacima moguće je proračunati i godišnji utrošak goriva i posledično procijeniti emisije PCDD/PCDF. </w:t>
      </w:r>
    </w:p>
    <w:p w14:paraId="02B4D9B6" w14:textId="77777777" w:rsidR="00180BB0" w:rsidRDefault="00180BB0" w:rsidP="00201FE9">
      <w:pPr>
        <w:jc w:val="both"/>
        <w:rPr>
          <w:rFonts w:asciiTheme="minorHAnsi" w:hAnsiTheme="minorHAnsi" w:cstheme="minorHAnsi"/>
          <w:color w:val="auto"/>
          <w:szCs w:val="24"/>
        </w:rPr>
      </w:pPr>
    </w:p>
    <w:p w14:paraId="749232EF" w14:textId="77777777" w:rsidR="00F562F0" w:rsidRPr="00C86111" w:rsidRDefault="00F562F0" w:rsidP="00201FE9">
      <w:pPr>
        <w:jc w:val="both"/>
        <w:rPr>
          <w:rFonts w:asciiTheme="minorHAnsi" w:hAnsiTheme="minorHAnsi" w:cstheme="minorHAnsi"/>
          <w:color w:val="auto"/>
          <w:szCs w:val="24"/>
        </w:rPr>
      </w:pPr>
    </w:p>
    <w:p w14:paraId="443B93EB" w14:textId="77777777" w:rsidR="00201FE9" w:rsidRPr="00C86111" w:rsidRDefault="00201FE9" w:rsidP="00EA6904">
      <w:pPr>
        <w:pStyle w:val="Heading4"/>
        <w:rPr>
          <w:lang w:val="sr-Latn-RS"/>
        </w:rPr>
      </w:pPr>
      <w:r w:rsidRPr="00C86111">
        <w:rPr>
          <w:lang w:val="sr-Latn-RS"/>
        </w:rPr>
        <w:lastRenderedPageBreak/>
        <w:t xml:space="preserve">Grupa 6. </w:t>
      </w:r>
      <w:bookmarkEnd w:id="67"/>
      <w:r w:rsidRPr="00C86111">
        <w:rPr>
          <w:lang w:val="sr-Latn-RS"/>
        </w:rPr>
        <w:t>Procesi sa otvorenim sagorijevanjem</w:t>
      </w:r>
    </w:p>
    <w:p w14:paraId="3CA66DB8" w14:textId="3CAA2B30"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Procesi sa otvorenim (nekotrolisanim) sagorijevanjem predstavljaju dominantnu kategoriju u nacionalnom inventaru jer se u okviru ove kategorije proračunavaju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nenamjerno proizvedenih PCDD/PCDF usled požara na otvorenim deponijama (neuređenim odlagalištima otpada). Pored ove podkategorije proračunate su i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usljed sagorijevanja poljoprivrednih ostataka i šumskih požara. U odnosu na prethodni  inventar, poboljšana je kompletnost inventara, zahvaljujući novodostupnim podacima i procijenjenih sledećih podkategorija u inventaru: akcidentni požari na kolima, akcidentni požari na stambenim i poslovnim prostorima i fabrikama.</w:t>
      </w:r>
    </w:p>
    <w:p w14:paraId="57CC1365" w14:textId="5D366889"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Pretpostavljeno je da ne postoji praksa odvajanja poljoprivrednih ostataka koji su tretirani sa hlorisanim pesticidima od netretiranih poljoprivrednih ostataka, pa su korišćeni veći emisioni faktor (30 µg TEQ/t za vazduh i 10 µg TEQ/t za zemljište). Na osnovu statističkih podataka količina sagorjelih poljoprivrednih ostataka ima stabilan trend za vremenski period 2006-2016. i emisije PCDD/PCDF u vazduh iznose oko 0.013 g TEQ/godini, odnosno u zemljište se realizuje oko 0.004 g TEQ/godini. Poslije 2020. godine ulazni podaci su značajno niži i emisije se kreću oko 0.001 g TEQ/godini. Do smanjenja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 dolazi vjerovatno zbog restriktivnije primjene zabrane paljenja vatre na otvorenom poslije 2020. godine ali moguće je i zbog promjene u dokumentovanom izvoru podataka.</w:t>
      </w:r>
    </w:p>
    <w:p w14:paraId="4B10E494"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Za period do 2016. godine izvori podataka o količini sagorele poljoprivredne biomase su bili „Uprava za statistiku Crne Gore – MONSTAT“, „Food and Agriculture Organisation - FAO (Organizacija za poljoprivredu i hranu Ujedinjenih Nacija)“, a poslije 2017 „MONSTAT“, „Narativni izvještaj za potrebe inventara i Četvrta nacionalna komunikacija i prvi dvogodišnji izvještaj o transparentnosti Crne Gore ka Okvirnoj konvenciji Ujedinjenih nacija o promjeni klime – FNC/BTR, IZVJEŠTAJ, Faza III. Izvještajni period: 01.07.2023 – 30.09.2023“. </w:t>
      </w:r>
    </w:p>
    <w:p w14:paraId="621DE844" w14:textId="2546DA90"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Požari u Crnoj Gori su karakteristični za ljetnji sušni period i na osnovu zvaničene statistike samo 2009. godine nisu zabilježeni požari koji bi se vodili statistički. Korišćeni su podaci Uprave za šume Crne Gore. Iako šumski požari ne doprinose značajno nacionalnim emisijama u tabelama </w:t>
      </w:r>
      <w:r w:rsidR="00180BB0" w:rsidRPr="00C86111">
        <w:rPr>
          <w:rFonts w:asciiTheme="minorHAnsi" w:hAnsiTheme="minorHAnsi" w:cstheme="minorHAnsi"/>
          <w:color w:val="auto"/>
          <w:szCs w:val="24"/>
        </w:rPr>
        <w:t>2</w:t>
      </w:r>
      <w:r w:rsidRPr="00C86111">
        <w:rPr>
          <w:rFonts w:asciiTheme="minorHAnsi" w:hAnsiTheme="minorHAnsi" w:cstheme="minorHAnsi"/>
          <w:color w:val="auto"/>
          <w:szCs w:val="24"/>
        </w:rPr>
        <w:t xml:space="preserve">8. i </w:t>
      </w:r>
      <w:r w:rsidR="00180BB0" w:rsidRPr="00C86111">
        <w:rPr>
          <w:rFonts w:asciiTheme="minorHAnsi" w:hAnsiTheme="minorHAnsi" w:cstheme="minorHAnsi"/>
          <w:color w:val="auto"/>
          <w:szCs w:val="24"/>
        </w:rPr>
        <w:t>2</w:t>
      </w:r>
      <w:r w:rsidRPr="00C86111">
        <w:rPr>
          <w:rFonts w:asciiTheme="minorHAnsi" w:hAnsiTheme="minorHAnsi" w:cstheme="minorHAnsi"/>
          <w:color w:val="auto"/>
          <w:szCs w:val="24"/>
        </w:rPr>
        <w:t>9. su prikazani nivoi POP’s emisija u vazduh kao i količina spaljenog šumskog materijala (suva masa) za posmatrani period jer u slučajevima velikih opožarenih šumskih površina, emisije mogu iznositi i do 0.50 gTEQ koliko je izračunato za 2012. godinu.</w:t>
      </w:r>
    </w:p>
    <w:p w14:paraId="30646520" w14:textId="4BDAD115"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180BB0" w:rsidRPr="00C86111">
        <w:rPr>
          <w:rFonts w:asciiTheme="minorHAnsi" w:hAnsiTheme="minorHAnsi" w:cstheme="minorHAnsi"/>
          <w:b/>
          <w:bCs/>
          <w:i w:val="0"/>
          <w:iCs/>
          <w:sz w:val="24"/>
          <w:lang w:val="sr-Latn-RS"/>
        </w:rPr>
        <w:t>2</w:t>
      </w:r>
      <w:r w:rsidRPr="00C86111">
        <w:rPr>
          <w:rFonts w:asciiTheme="minorHAnsi" w:hAnsiTheme="minorHAnsi" w:cstheme="minorHAnsi"/>
          <w:b/>
          <w:bCs/>
          <w:i w:val="0"/>
          <w:iCs/>
          <w:sz w:val="24"/>
          <w:lang w:val="sr-Latn-RS"/>
        </w:rPr>
        <w:t>8.</w:t>
      </w:r>
      <w:r w:rsidRPr="00C86111">
        <w:rPr>
          <w:rFonts w:asciiTheme="minorHAnsi" w:hAnsiTheme="minorHAnsi" w:cstheme="minorHAnsi"/>
          <w:i w:val="0"/>
          <w:iCs/>
          <w:sz w:val="24"/>
          <w:lang w:val="sr-Latn-RS"/>
        </w:rPr>
        <w:t xml:space="preserve"> Ukupne godišnje POP's emisije (PCDD/PCDF) usled šumskih požara, 2006-2022. godina (gTEQ/god)</w:t>
      </w:r>
    </w:p>
    <w:tbl>
      <w:tblPr>
        <w:tblStyle w:val="GridTable5Dark-Accent6"/>
        <w:tblW w:w="8785" w:type="dxa"/>
        <w:tblLook w:val="04A0" w:firstRow="1" w:lastRow="0" w:firstColumn="1" w:lastColumn="0" w:noHBand="0" w:noVBand="1"/>
      </w:tblPr>
      <w:tblGrid>
        <w:gridCol w:w="1784"/>
        <w:gridCol w:w="768"/>
        <w:gridCol w:w="780"/>
        <w:gridCol w:w="779"/>
        <w:gridCol w:w="779"/>
        <w:gridCol w:w="779"/>
        <w:gridCol w:w="779"/>
        <w:gridCol w:w="779"/>
        <w:gridCol w:w="779"/>
        <w:gridCol w:w="779"/>
      </w:tblGrid>
      <w:tr w:rsidR="00201FE9" w:rsidRPr="00C86111" w14:paraId="683D291F"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1688501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06758FE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671E229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0A2242B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5F65447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4B012E2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07535CBE"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241993B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0444407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9" w:type="dxa"/>
          </w:tcPr>
          <w:p w14:paraId="4969505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3DAABD4D"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0D5F779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227B697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0.003</w:t>
            </w:r>
          </w:p>
        </w:tc>
        <w:tc>
          <w:tcPr>
            <w:tcW w:w="780" w:type="dxa"/>
          </w:tcPr>
          <w:p w14:paraId="738AE2D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0.003</w:t>
            </w:r>
          </w:p>
        </w:tc>
        <w:tc>
          <w:tcPr>
            <w:tcW w:w="779" w:type="dxa"/>
          </w:tcPr>
          <w:p w14:paraId="322DF4D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0.002</w:t>
            </w:r>
          </w:p>
        </w:tc>
        <w:tc>
          <w:tcPr>
            <w:tcW w:w="779" w:type="dxa"/>
          </w:tcPr>
          <w:p w14:paraId="281639D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779" w:type="dxa"/>
          </w:tcPr>
          <w:p w14:paraId="77B6ACB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0.035</w:t>
            </w:r>
          </w:p>
        </w:tc>
        <w:tc>
          <w:tcPr>
            <w:tcW w:w="779" w:type="dxa"/>
          </w:tcPr>
          <w:p w14:paraId="360E16F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0.028</w:t>
            </w:r>
          </w:p>
        </w:tc>
        <w:tc>
          <w:tcPr>
            <w:tcW w:w="779" w:type="dxa"/>
          </w:tcPr>
          <w:p w14:paraId="5593099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0.500</w:t>
            </w:r>
          </w:p>
        </w:tc>
        <w:tc>
          <w:tcPr>
            <w:tcW w:w="779" w:type="dxa"/>
          </w:tcPr>
          <w:p w14:paraId="04E4EC1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w:t>
            </w:r>
          </w:p>
        </w:tc>
        <w:tc>
          <w:tcPr>
            <w:tcW w:w="779" w:type="dxa"/>
          </w:tcPr>
          <w:p w14:paraId="5D41BAD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w:t>
            </w:r>
          </w:p>
        </w:tc>
      </w:tr>
      <w:tr w:rsidR="00201FE9" w:rsidRPr="00C86111" w14:paraId="6C4B5E20"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5A2D06F7"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0C71235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80" w:type="dxa"/>
          </w:tcPr>
          <w:p w14:paraId="6B64E8B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9" w:type="dxa"/>
          </w:tcPr>
          <w:p w14:paraId="19408BD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9" w:type="dxa"/>
          </w:tcPr>
          <w:p w14:paraId="5C41D5E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9" w:type="dxa"/>
          </w:tcPr>
          <w:p w14:paraId="64B6EE9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9" w:type="dxa"/>
          </w:tcPr>
          <w:p w14:paraId="58EC904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9" w:type="dxa"/>
          </w:tcPr>
          <w:p w14:paraId="06685AE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9" w:type="dxa"/>
          </w:tcPr>
          <w:p w14:paraId="6C72FDB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9" w:type="dxa"/>
          </w:tcPr>
          <w:p w14:paraId="127D4EF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62CA029C"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2266F042"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621BC68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0.041</w:t>
            </w:r>
          </w:p>
        </w:tc>
        <w:tc>
          <w:tcPr>
            <w:tcW w:w="780" w:type="dxa"/>
          </w:tcPr>
          <w:p w14:paraId="5E9D005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0.022</w:t>
            </w:r>
          </w:p>
        </w:tc>
        <w:tc>
          <w:tcPr>
            <w:tcW w:w="779" w:type="dxa"/>
          </w:tcPr>
          <w:p w14:paraId="4823D44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0.021</w:t>
            </w:r>
          </w:p>
        </w:tc>
        <w:tc>
          <w:tcPr>
            <w:tcW w:w="779" w:type="dxa"/>
          </w:tcPr>
          <w:p w14:paraId="2192FE6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0.003</w:t>
            </w:r>
          </w:p>
        </w:tc>
        <w:tc>
          <w:tcPr>
            <w:tcW w:w="779" w:type="dxa"/>
          </w:tcPr>
          <w:p w14:paraId="1F37B7F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0.001</w:t>
            </w:r>
          </w:p>
        </w:tc>
        <w:tc>
          <w:tcPr>
            <w:tcW w:w="779" w:type="dxa"/>
          </w:tcPr>
          <w:p w14:paraId="3799A88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0.005</w:t>
            </w:r>
          </w:p>
        </w:tc>
        <w:tc>
          <w:tcPr>
            <w:tcW w:w="779" w:type="dxa"/>
          </w:tcPr>
          <w:p w14:paraId="1CE2C0B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0.017</w:t>
            </w:r>
          </w:p>
        </w:tc>
        <w:tc>
          <w:tcPr>
            <w:tcW w:w="779" w:type="dxa"/>
          </w:tcPr>
          <w:p w14:paraId="42083AD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0.003</w:t>
            </w:r>
          </w:p>
        </w:tc>
        <w:tc>
          <w:tcPr>
            <w:tcW w:w="779" w:type="dxa"/>
          </w:tcPr>
          <w:p w14:paraId="50C64EC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2FC1BB76" w14:textId="77777777" w:rsidR="00180BB0" w:rsidRPr="00C86111" w:rsidRDefault="00180BB0" w:rsidP="00375D24">
      <w:pPr>
        <w:pStyle w:val="Tabele"/>
        <w:numPr>
          <w:ilvl w:val="0"/>
          <w:numId w:val="0"/>
        </w:numPr>
        <w:spacing w:after="0"/>
        <w:jc w:val="both"/>
        <w:rPr>
          <w:rFonts w:asciiTheme="minorHAnsi" w:hAnsiTheme="minorHAnsi" w:cstheme="minorHAnsi"/>
          <w:b/>
          <w:bCs/>
          <w:i w:val="0"/>
          <w:iCs/>
          <w:sz w:val="24"/>
          <w:lang w:val="sr-Latn-RS"/>
        </w:rPr>
      </w:pPr>
    </w:p>
    <w:p w14:paraId="0566F14A" w14:textId="77777777" w:rsidR="00180BB0" w:rsidRPr="00C86111" w:rsidRDefault="00180BB0" w:rsidP="00375D24">
      <w:pPr>
        <w:pStyle w:val="Tabele"/>
        <w:numPr>
          <w:ilvl w:val="0"/>
          <w:numId w:val="0"/>
        </w:numPr>
        <w:spacing w:after="0"/>
        <w:jc w:val="both"/>
        <w:rPr>
          <w:rFonts w:asciiTheme="minorHAnsi" w:hAnsiTheme="minorHAnsi" w:cstheme="minorHAnsi"/>
          <w:b/>
          <w:bCs/>
          <w:i w:val="0"/>
          <w:iCs/>
          <w:sz w:val="24"/>
          <w:lang w:val="sr-Latn-RS"/>
        </w:rPr>
      </w:pPr>
    </w:p>
    <w:p w14:paraId="7AD30956" w14:textId="3641625A"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lastRenderedPageBreak/>
        <w:t xml:space="preserve">Tabela </w:t>
      </w:r>
      <w:r w:rsidR="00180BB0" w:rsidRPr="00C86111">
        <w:rPr>
          <w:rFonts w:asciiTheme="minorHAnsi" w:hAnsiTheme="minorHAnsi" w:cstheme="minorHAnsi"/>
          <w:b/>
          <w:bCs/>
          <w:i w:val="0"/>
          <w:iCs/>
          <w:sz w:val="24"/>
          <w:lang w:val="sr-Latn-RS"/>
        </w:rPr>
        <w:t>2</w:t>
      </w:r>
      <w:r w:rsidRPr="00C86111">
        <w:rPr>
          <w:rFonts w:asciiTheme="minorHAnsi" w:hAnsiTheme="minorHAnsi" w:cstheme="minorHAnsi"/>
          <w:b/>
          <w:bCs/>
          <w:i w:val="0"/>
          <w:iCs/>
          <w:sz w:val="24"/>
          <w:lang w:val="sr-Latn-RS"/>
        </w:rPr>
        <w:t>9.</w:t>
      </w:r>
      <w:r w:rsidRPr="00C86111">
        <w:rPr>
          <w:rFonts w:asciiTheme="minorHAnsi" w:hAnsiTheme="minorHAnsi" w:cstheme="minorHAnsi"/>
          <w:i w:val="0"/>
          <w:iCs/>
          <w:sz w:val="24"/>
          <w:lang w:val="sr-Latn-RS"/>
        </w:rPr>
        <w:t xml:space="preserve"> Količina spaljenog šumskog materijala u šumama u državnom vlasništvu (suva masa), 2006-2022. godina (t)</w:t>
      </w:r>
    </w:p>
    <w:tbl>
      <w:tblPr>
        <w:tblStyle w:val="GridTable5Dark-Accent6"/>
        <w:tblW w:w="8785" w:type="dxa"/>
        <w:tblLook w:val="04A0" w:firstRow="1" w:lastRow="0" w:firstColumn="1" w:lastColumn="0" w:noHBand="0" w:noVBand="1"/>
      </w:tblPr>
      <w:tblGrid>
        <w:gridCol w:w="1626"/>
        <w:gridCol w:w="754"/>
        <w:gridCol w:w="763"/>
        <w:gridCol w:w="762"/>
        <w:gridCol w:w="761"/>
        <w:gridCol w:w="826"/>
        <w:gridCol w:w="826"/>
        <w:gridCol w:w="947"/>
        <w:gridCol w:w="761"/>
        <w:gridCol w:w="759"/>
      </w:tblGrid>
      <w:tr w:rsidR="00201FE9" w:rsidRPr="00C86111" w14:paraId="4687817C"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26" w:type="dxa"/>
          </w:tcPr>
          <w:p w14:paraId="0D1A3350"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54" w:type="dxa"/>
          </w:tcPr>
          <w:p w14:paraId="412F3C5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63" w:type="dxa"/>
          </w:tcPr>
          <w:p w14:paraId="4C2A728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62" w:type="dxa"/>
          </w:tcPr>
          <w:p w14:paraId="1378833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61" w:type="dxa"/>
          </w:tcPr>
          <w:p w14:paraId="114F2E4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826" w:type="dxa"/>
          </w:tcPr>
          <w:p w14:paraId="25AF03F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826" w:type="dxa"/>
          </w:tcPr>
          <w:p w14:paraId="463871C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947" w:type="dxa"/>
          </w:tcPr>
          <w:p w14:paraId="7E719E9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61" w:type="dxa"/>
          </w:tcPr>
          <w:p w14:paraId="67DE8CC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59" w:type="dxa"/>
          </w:tcPr>
          <w:p w14:paraId="5FCC954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7A133686"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26" w:type="dxa"/>
          </w:tcPr>
          <w:p w14:paraId="577F50D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Spaljeni šumski material (t)</w:t>
            </w:r>
          </w:p>
        </w:tc>
        <w:tc>
          <w:tcPr>
            <w:tcW w:w="754" w:type="dxa"/>
          </w:tcPr>
          <w:p w14:paraId="4A4CCC9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3162</w:t>
            </w:r>
          </w:p>
        </w:tc>
        <w:tc>
          <w:tcPr>
            <w:tcW w:w="763" w:type="dxa"/>
          </w:tcPr>
          <w:p w14:paraId="7F5205E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3162</w:t>
            </w:r>
          </w:p>
        </w:tc>
        <w:tc>
          <w:tcPr>
            <w:tcW w:w="762" w:type="dxa"/>
          </w:tcPr>
          <w:p w14:paraId="08B8BC6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1692</w:t>
            </w:r>
          </w:p>
        </w:tc>
        <w:tc>
          <w:tcPr>
            <w:tcW w:w="761" w:type="dxa"/>
          </w:tcPr>
          <w:p w14:paraId="32211E8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826" w:type="dxa"/>
          </w:tcPr>
          <w:p w14:paraId="3B9CE9B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35466</w:t>
            </w:r>
          </w:p>
        </w:tc>
        <w:tc>
          <w:tcPr>
            <w:tcW w:w="826" w:type="dxa"/>
          </w:tcPr>
          <w:p w14:paraId="0DBF3F6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28236</w:t>
            </w:r>
          </w:p>
        </w:tc>
        <w:tc>
          <w:tcPr>
            <w:tcW w:w="947" w:type="dxa"/>
          </w:tcPr>
          <w:p w14:paraId="7CEFA95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498507</w:t>
            </w:r>
          </w:p>
        </w:tc>
        <w:tc>
          <w:tcPr>
            <w:tcW w:w="761" w:type="dxa"/>
          </w:tcPr>
          <w:p w14:paraId="1140F39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270</w:t>
            </w:r>
          </w:p>
        </w:tc>
        <w:tc>
          <w:tcPr>
            <w:tcW w:w="759" w:type="dxa"/>
          </w:tcPr>
          <w:p w14:paraId="03CD67C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w:t>
            </w:r>
          </w:p>
        </w:tc>
      </w:tr>
      <w:tr w:rsidR="00201FE9" w:rsidRPr="00C86111" w14:paraId="21A735AE"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626" w:type="dxa"/>
          </w:tcPr>
          <w:p w14:paraId="4E1FAED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54" w:type="dxa"/>
          </w:tcPr>
          <w:p w14:paraId="308320D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63" w:type="dxa"/>
          </w:tcPr>
          <w:p w14:paraId="318F641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62" w:type="dxa"/>
          </w:tcPr>
          <w:p w14:paraId="64FFC8F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61" w:type="dxa"/>
          </w:tcPr>
          <w:p w14:paraId="43CD297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826" w:type="dxa"/>
          </w:tcPr>
          <w:p w14:paraId="30BD42A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826" w:type="dxa"/>
          </w:tcPr>
          <w:p w14:paraId="67B2DAE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947" w:type="dxa"/>
          </w:tcPr>
          <w:p w14:paraId="5383DE4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61" w:type="dxa"/>
          </w:tcPr>
          <w:p w14:paraId="04F2286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59" w:type="dxa"/>
          </w:tcPr>
          <w:p w14:paraId="5904A12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23DED89E"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26" w:type="dxa"/>
          </w:tcPr>
          <w:p w14:paraId="26C305E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Spaljeni šumski material (t)</w:t>
            </w:r>
          </w:p>
        </w:tc>
        <w:tc>
          <w:tcPr>
            <w:tcW w:w="754" w:type="dxa"/>
          </w:tcPr>
          <w:p w14:paraId="22C5BFB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21216</w:t>
            </w:r>
          </w:p>
        </w:tc>
        <w:tc>
          <w:tcPr>
            <w:tcW w:w="763" w:type="dxa"/>
          </w:tcPr>
          <w:p w14:paraId="175898B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3417</w:t>
            </w:r>
          </w:p>
        </w:tc>
        <w:tc>
          <w:tcPr>
            <w:tcW w:w="762" w:type="dxa"/>
          </w:tcPr>
          <w:p w14:paraId="3CE65D2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1170</w:t>
            </w:r>
          </w:p>
        </w:tc>
        <w:tc>
          <w:tcPr>
            <w:tcW w:w="761" w:type="dxa"/>
          </w:tcPr>
          <w:p w14:paraId="6C91348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4644</w:t>
            </w:r>
          </w:p>
        </w:tc>
        <w:tc>
          <w:tcPr>
            <w:tcW w:w="826" w:type="dxa"/>
          </w:tcPr>
          <w:p w14:paraId="19990D3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17102</w:t>
            </w:r>
          </w:p>
        </w:tc>
        <w:tc>
          <w:tcPr>
            <w:tcW w:w="826" w:type="dxa"/>
          </w:tcPr>
          <w:p w14:paraId="1F9BC4E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3252</w:t>
            </w:r>
          </w:p>
        </w:tc>
        <w:tc>
          <w:tcPr>
            <w:tcW w:w="947" w:type="dxa"/>
          </w:tcPr>
          <w:p w14:paraId="35DCA86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21216</w:t>
            </w:r>
          </w:p>
        </w:tc>
        <w:tc>
          <w:tcPr>
            <w:tcW w:w="761" w:type="dxa"/>
          </w:tcPr>
          <w:p w14:paraId="6D3662B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3417</w:t>
            </w:r>
          </w:p>
        </w:tc>
        <w:tc>
          <w:tcPr>
            <w:tcW w:w="759" w:type="dxa"/>
          </w:tcPr>
          <w:p w14:paraId="5A770A9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3728E5FD" w14:textId="239B5F11" w:rsidR="00201FE9" w:rsidRPr="00C86111" w:rsidRDefault="00201FE9" w:rsidP="00201FE9">
      <w:pPr>
        <w:jc w:val="both"/>
        <w:rPr>
          <w:rFonts w:asciiTheme="minorHAnsi" w:hAnsiTheme="minorHAnsi" w:cstheme="minorHAnsi"/>
          <w:color w:val="auto"/>
          <w:szCs w:val="24"/>
        </w:rPr>
      </w:pPr>
    </w:p>
    <w:p w14:paraId="0CB23636" w14:textId="77777777" w:rsidR="00375D24" w:rsidRPr="00C86111" w:rsidRDefault="00201FE9" w:rsidP="00201FE9">
      <w:pPr>
        <w:pStyle w:val="NoSpacing"/>
        <w:rPr>
          <w:rFonts w:eastAsia="Times New Roman" w:cstheme="minorHAnsi"/>
          <w:noProof/>
          <w:lang w:val="sr-Latn-RS"/>
        </w:rPr>
      </w:pPr>
      <w:r w:rsidRPr="00C86111">
        <w:rPr>
          <w:rFonts w:eastAsia="Times New Roman" w:cstheme="minorHAnsi"/>
          <w:noProof/>
          <w:lang w:val="sr-Latn-RS"/>
        </w:rPr>
        <w:t>Da bi se procijenili podaci o količinama otpada koji sagori usled pojave nekontrolisanih požara na neuređenim odlagalištima korišćeni su zvanični podaci Monstata: ukupno proizvedena količina komunalnog otpada, ukupno sakupljena količina komunalnog otpada od strane komunalnih preduzeća, podaci o količini komunalnog otpada koji se odlaže na dvije postojeće sanitarne deponije: Deponija doo Podgorica “Livade” i Deponija doo “Možura”.</w:t>
      </w:r>
      <w:r w:rsidRPr="00C86111">
        <w:rPr>
          <w:rFonts w:eastAsia="Calibri" w:cstheme="minorHAnsi"/>
          <w:noProof/>
          <w:kern w:val="2"/>
          <w:lang w:val="sr-Latn-RS"/>
        </w:rPr>
        <w:t xml:space="preserve"> </w:t>
      </w:r>
      <w:r w:rsidRPr="00C86111">
        <w:rPr>
          <w:rFonts w:eastAsia="Times New Roman" w:cstheme="minorHAnsi"/>
          <w:noProof/>
          <w:lang w:val="sr-Latn-RS"/>
        </w:rPr>
        <w:t>Metodologija pretpostavlja da je cjelokupna količina otpada koja se nalazi na deponiji u trenutku sagorijevanja podložna sagorijevanju, pri čemu sav ugljenik u otpadu ne sagori potpuno. Zbog nedostatka podataka o količini otpada koja je podložna sagorijevanju u trenutku izbijanja požara, pretpostavljeno je da je polovina od cjelokupnog neadvekatno odloženog otpada bila podložna sagorijevanju.</w:t>
      </w:r>
    </w:p>
    <w:p w14:paraId="370BE46A" w14:textId="4170AD94" w:rsidR="00201FE9" w:rsidRPr="00C86111" w:rsidRDefault="00201FE9" w:rsidP="00201FE9">
      <w:pPr>
        <w:pStyle w:val="NoSpacing"/>
        <w:rPr>
          <w:rFonts w:cstheme="minorHAnsi"/>
          <w:noProof/>
          <w:lang w:val="sr-Latn-RS"/>
        </w:rPr>
      </w:pPr>
      <w:r w:rsidRPr="00C86111">
        <w:rPr>
          <w:rFonts w:eastAsia="Times New Roman" w:cstheme="minorHAnsi"/>
          <w:noProof/>
          <w:lang w:val="sr-Latn-RS"/>
        </w:rPr>
        <w:t xml:space="preserve"> U prethodnom proračunu pretpostavljeno je </w:t>
      </w:r>
      <w:r w:rsidRPr="00C86111">
        <w:rPr>
          <w:rFonts w:cstheme="minorHAnsi"/>
          <w:noProof/>
          <w:lang w:val="sr-Latn-RS"/>
        </w:rPr>
        <w:t>sagorijevanje</w:t>
      </w:r>
      <w:r w:rsidRPr="00C86111">
        <w:rPr>
          <w:rFonts w:eastAsia="Times New Roman" w:cstheme="minorHAnsi"/>
          <w:noProof/>
          <w:lang w:val="sr-Latn-RS"/>
        </w:rPr>
        <w:t xml:space="preserve"> 100% otpada</w:t>
      </w:r>
      <w:r w:rsidRPr="00C86111">
        <w:rPr>
          <w:rFonts w:cstheme="minorHAnsi"/>
          <w:noProof/>
          <w:lang w:val="sr-Latn-RS"/>
        </w:rPr>
        <w:t xml:space="preserve"> ali je sada uzeto 50% kao manje konzervativna procjena. Zbog činjenice da su požari na neuređenim odlagalištima uobičajena pojava, važno je identifikovati i kvantifikovati ovaj izvor kao i da se sagleda važnost održivog upravljanja komunalnim otpadom u odnosu na POP’s </w:t>
      </w:r>
      <w:r w:rsidR="000D1995" w:rsidRPr="00C86111">
        <w:rPr>
          <w:rFonts w:cstheme="minorHAnsi"/>
          <w:noProof/>
          <w:lang w:val="sr-Latn-RS"/>
        </w:rPr>
        <w:t>emisije</w:t>
      </w:r>
      <w:r w:rsidRPr="00C86111">
        <w:rPr>
          <w:rFonts w:cstheme="minorHAnsi"/>
          <w:noProof/>
          <w:lang w:val="sr-Latn-RS"/>
        </w:rPr>
        <w:t xml:space="preserve">. </w:t>
      </w:r>
    </w:p>
    <w:p w14:paraId="5E46979D" w14:textId="37D32F34" w:rsidR="00201FE9" w:rsidRPr="00C86111" w:rsidRDefault="00201FE9" w:rsidP="00201FE9">
      <w:pPr>
        <w:pStyle w:val="NoSpacing"/>
        <w:rPr>
          <w:rFonts w:cstheme="minorHAnsi"/>
          <w:noProof/>
          <w:lang w:val="sr-Latn-RS"/>
        </w:rPr>
      </w:pPr>
      <w:r w:rsidRPr="00C86111">
        <w:rPr>
          <w:rFonts w:cstheme="minorHAnsi"/>
          <w:noProof/>
          <w:lang w:val="sr-Latn-RS"/>
        </w:rPr>
        <w:t xml:space="preserve">Dodatno u cilju opravdanosti proračuna, prikupljeni su podaci o broju izlazaka opštinskih vatrogasnih jedinica na gašenju požara na deponijama. Podaci su dobijeni od opštinskih službi zaštite i spašavanja i raspoloživi su za period 2017-2022. god (tabela </w:t>
      </w:r>
      <w:r w:rsidR="00180BB0" w:rsidRPr="00C86111">
        <w:rPr>
          <w:rFonts w:cstheme="minorHAnsi"/>
          <w:noProof/>
          <w:lang w:val="sr-Latn-RS"/>
        </w:rPr>
        <w:t>3</w:t>
      </w:r>
      <w:r w:rsidRPr="00C86111">
        <w:rPr>
          <w:rFonts w:cstheme="minorHAnsi"/>
          <w:noProof/>
          <w:lang w:val="sr-Latn-RS"/>
        </w:rPr>
        <w:t>0.).</w:t>
      </w:r>
    </w:p>
    <w:p w14:paraId="55334B75" w14:textId="50FF188E"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180BB0" w:rsidRPr="00C86111">
        <w:rPr>
          <w:rFonts w:asciiTheme="minorHAnsi" w:hAnsiTheme="minorHAnsi" w:cstheme="minorHAnsi"/>
          <w:b/>
          <w:bCs/>
          <w:i w:val="0"/>
          <w:iCs/>
          <w:sz w:val="24"/>
          <w:lang w:val="sr-Latn-RS"/>
        </w:rPr>
        <w:t>3</w:t>
      </w:r>
      <w:r w:rsidRPr="00C86111">
        <w:rPr>
          <w:rFonts w:asciiTheme="minorHAnsi" w:hAnsiTheme="minorHAnsi" w:cstheme="minorHAnsi"/>
          <w:b/>
          <w:bCs/>
          <w:i w:val="0"/>
          <w:iCs/>
          <w:sz w:val="24"/>
          <w:lang w:val="sr-Latn-RS"/>
        </w:rPr>
        <w:t>0.</w:t>
      </w:r>
      <w:r w:rsidRPr="00C86111">
        <w:rPr>
          <w:rFonts w:asciiTheme="minorHAnsi" w:hAnsiTheme="minorHAnsi" w:cstheme="minorHAnsi"/>
          <w:i w:val="0"/>
          <w:iCs/>
          <w:sz w:val="24"/>
          <w:lang w:val="sr-Latn-RS"/>
        </w:rPr>
        <w:t xml:space="preserve"> Broj izlazaka vatrogasnih jedinica na gašenju požara na deponijama po opštinama</w:t>
      </w:r>
    </w:p>
    <w:tbl>
      <w:tblPr>
        <w:tblStyle w:val="GridTable5Dark-Accent6"/>
        <w:tblW w:w="8725" w:type="dxa"/>
        <w:tblLook w:val="04A0" w:firstRow="1" w:lastRow="0" w:firstColumn="1" w:lastColumn="0" w:noHBand="0" w:noVBand="1"/>
      </w:tblPr>
      <w:tblGrid>
        <w:gridCol w:w="2785"/>
        <w:gridCol w:w="1080"/>
        <w:gridCol w:w="900"/>
        <w:gridCol w:w="990"/>
        <w:gridCol w:w="990"/>
        <w:gridCol w:w="990"/>
        <w:gridCol w:w="990"/>
      </w:tblGrid>
      <w:tr w:rsidR="00201FE9" w:rsidRPr="00C86111" w14:paraId="7A23223F" w14:textId="77777777" w:rsidTr="006F5A10">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2BE2B726"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Oština</w:t>
            </w:r>
          </w:p>
        </w:tc>
        <w:tc>
          <w:tcPr>
            <w:tcW w:w="1080" w:type="dxa"/>
            <w:vAlign w:val="center"/>
          </w:tcPr>
          <w:p w14:paraId="3398F902" w14:textId="77777777" w:rsidR="00201FE9" w:rsidRPr="00C86111" w:rsidRDefault="00201FE9" w:rsidP="006F5A1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2017</w:t>
            </w:r>
          </w:p>
        </w:tc>
        <w:tc>
          <w:tcPr>
            <w:tcW w:w="900" w:type="dxa"/>
            <w:vAlign w:val="center"/>
          </w:tcPr>
          <w:p w14:paraId="0E959127" w14:textId="77777777" w:rsidR="00201FE9" w:rsidRPr="00C86111" w:rsidRDefault="00201FE9" w:rsidP="006F5A1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2018</w:t>
            </w:r>
          </w:p>
        </w:tc>
        <w:tc>
          <w:tcPr>
            <w:tcW w:w="990" w:type="dxa"/>
            <w:vAlign w:val="center"/>
          </w:tcPr>
          <w:p w14:paraId="1AEE4D54" w14:textId="77777777" w:rsidR="00201FE9" w:rsidRPr="00C86111" w:rsidRDefault="00201FE9" w:rsidP="006F5A1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2019</w:t>
            </w:r>
          </w:p>
        </w:tc>
        <w:tc>
          <w:tcPr>
            <w:tcW w:w="990" w:type="dxa"/>
            <w:vAlign w:val="center"/>
          </w:tcPr>
          <w:p w14:paraId="43193FEB" w14:textId="77777777" w:rsidR="00201FE9" w:rsidRPr="00C86111" w:rsidRDefault="00201FE9" w:rsidP="006F5A1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2020</w:t>
            </w:r>
          </w:p>
        </w:tc>
        <w:tc>
          <w:tcPr>
            <w:tcW w:w="990" w:type="dxa"/>
            <w:vAlign w:val="center"/>
          </w:tcPr>
          <w:p w14:paraId="3AB60140" w14:textId="77777777" w:rsidR="00201FE9" w:rsidRPr="00C86111" w:rsidRDefault="00201FE9" w:rsidP="006F5A1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2021</w:t>
            </w:r>
          </w:p>
        </w:tc>
        <w:tc>
          <w:tcPr>
            <w:tcW w:w="990" w:type="dxa"/>
            <w:vAlign w:val="center"/>
          </w:tcPr>
          <w:p w14:paraId="735AB6C9" w14:textId="77777777" w:rsidR="00201FE9" w:rsidRPr="00C86111" w:rsidRDefault="00201FE9" w:rsidP="006F5A1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2022</w:t>
            </w:r>
          </w:p>
        </w:tc>
      </w:tr>
      <w:tr w:rsidR="00201FE9" w:rsidRPr="00C86111" w14:paraId="3A7051DF"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30E5B403"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Žabljak</w:t>
            </w:r>
          </w:p>
        </w:tc>
        <w:tc>
          <w:tcPr>
            <w:tcW w:w="1080" w:type="dxa"/>
            <w:vAlign w:val="center"/>
          </w:tcPr>
          <w:p w14:paraId="7737AAEE"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900" w:type="dxa"/>
            <w:vAlign w:val="center"/>
          </w:tcPr>
          <w:p w14:paraId="2DA5767B"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w:t>
            </w:r>
          </w:p>
        </w:tc>
        <w:tc>
          <w:tcPr>
            <w:tcW w:w="990" w:type="dxa"/>
            <w:vAlign w:val="center"/>
          </w:tcPr>
          <w:p w14:paraId="3FBF16A3"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w:t>
            </w:r>
          </w:p>
        </w:tc>
        <w:tc>
          <w:tcPr>
            <w:tcW w:w="990" w:type="dxa"/>
            <w:vAlign w:val="center"/>
          </w:tcPr>
          <w:p w14:paraId="20D44FC5"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990" w:type="dxa"/>
            <w:vAlign w:val="center"/>
          </w:tcPr>
          <w:p w14:paraId="0C050945"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w:t>
            </w:r>
          </w:p>
        </w:tc>
        <w:tc>
          <w:tcPr>
            <w:tcW w:w="990" w:type="dxa"/>
            <w:vAlign w:val="center"/>
          </w:tcPr>
          <w:p w14:paraId="3841413B"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r>
      <w:tr w:rsidR="00201FE9" w:rsidRPr="00C86111" w14:paraId="255A767E"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02019EE6"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Ulcinj, Deponija Mavrijan, Bijela Gora, Štoj Velika plaža</w:t>
            </w:r>
          </w:p>
        </w:tc>
        <w:tc>
          <w:tcPr>
            <w:tcW w:w="1080" w:type="dxa"/>
            <w:vAlign w:val="center"/>
          </w:tcPr>
          <w:p w14:paraId="13398A97"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w:t>
            </w:r>
          </w:p>
        </w:tc>
        <w:tc>
          <w:tcPr>
            <w:tcW w:w="900" w:type="dxa"/>
            <w:vAlign w:val="center"/>
          </w:tcPr>
          <w:p w14:paraId="21867CB4"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w:t>
            </w:r>
          </w:p>
        </w:tc>
        <w:tc>
          <w:tcPr>
            <w:tcW w:w="990" w:type="dxa"/>
            <w:vAlign w:val="center"/>
          </w:tcPr>
          <w:p w14:paraId="3F6AD890"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w:t>
            </w:r>
          </w:p>
        </w:tc>
        <w:tc>
          <w:tcPr>
            <w:tcW w:w="990" w:type="dxa"/>
            <w:vAlign w:val="center"/>
          </w:tcPr>
          <w:p w14:paraId="0102D79F"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w:t>
            </w:r>
          </w:p>
        </w:tc>
        <w:tc>
          <w:tcPr>
            <w:tcW w:w="990" w:type="dxa"/>
            <w:vAlign w:val="center"/>
          </w:tcPr>
          <w:p w14:paraId="651690ED"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w:t>
            </w:r>
          </w:p>
        </w:tc>
        <w:tc>
          <w:tcPr>
            <w:tcW w:w="990" w:type="dxa"/>
            <w:vAlign w:val="center"/>
          </w:tcPr>
          <w:p w14:paraId="2DC2CDB5"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w:t>
            </w:r>
          </w:p>
        </w:tc>
      </w:tr>
      <w:tr w:rsidR="00201FE9" w:rsidRPr="00C86111" w14:paraId="71A013C8"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1A807C2B"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Tivat kontejneri/deponije</w:t>
            </w:r>
          </w:p>
        </w:tc>
        <w:tc>
          <w:tcPr>
            <w:tcW w:w="1080" w:type="dxa"/>
            <w:vAlign w:val="center"/>
          </w:tcPr>
          <w:p w14:paraId="4E284088"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56</w:t>
            </w:r>
          </w:p>
        </w:tc>
        <w:tc>
          <w:tcPr>
            <w:tcW w:w="900" w:type="dxa"/>
            <w:vAlign w:val="center"/>
          </w:tcPr>
          <w:p w14:paraId="7940831C"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41</w:t>
            </w:r>
          </w:p>
        </w:tc>
        <w:tc>
          <w:tcPr>
            <w:tcW w:w="990" w:type="dxa"/>
            <w:vAlign w:val="center"/>
          </w:tcPr>
          <w:p w14:paraId="3AF2C3FB"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33</w:t>
            </w:r>
          </w:p>
        </w:tc>
        <w:tc>
          <w:tcPr>
            <w:tcW w:w="990" w:type="dxa"/>
            <w:vAlign w:val="center"/>
          </w:tcPr>
          <w:p w14:paraId="0E5542F0"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49</w:t>
            </w:r>
          </w:p>
        </w:tc>
        <w:tc>
          <w:tcPr>
            <w:tcW w:w="990" w:type="dxa"/>
            <w:vAlign w:val="center"/>
          </w:tcPr>
          <w:p w14:paraId="77F5A0FD"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38</w:t>
            </w:r>
          </w:p>
        </w:tc>
        <w:tc>
          <w:tcPr>
            <w:tcW w:w="990" w:type="dxa"/>
            <w:vAlign w:val="center"/>
          </w:tcPr>
          <w:p w14:paraId="252E05C5"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89</w:t>
            </w:r>
          </w:p>
        </w:tc>
      </w:tr>
      <w:tr w:rsidR="00201FE9" w:rsidRPr="00C86111" w14:paraId="1E2CEEEF"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2523C8DC"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Rožaje, kontejneri/deponije</w:t>
            </w:r>
          </w:p>
        </w:tc>
        <w:tc>
          <w:tcPr>
            <w:tcW w:w="1080" w:type="dxa"/>
            <w:vAlign w:val="center"/>
          </w:tcPr>
          <w:p w14:paraId="68DD544B"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w:t>
            </w:r>
          </w:p>
        </w:tc>
        <w:tc>
          <w:tcPr>
            <w:tcW w:w="900" w:type="dxa"/>
            <w:vAlign w:val="center"/>
          </w:tcPr>
          <w:p w14:paraId="0DF7C02E"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c>
          <w:tcPr>
            <w:tcW w:w="990" w:type="dxa"/>
            <w:vAlign w:val="center"/>
          </w:tcPr>
          <w:p w14:paraId="74944CA5"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23</w:t>
            </w:r>
          </w:p>
        </w:tc>
        <w:tc>
          <w:tcPr>
            <w:tcW w:w="990" w:type="dxa"/>
            <w:vAlign w:val="center"/>
          </w:tcPr>
          <w:p w14:paraId="784D4F06"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c>
          <w:tcPr>
            <w:tcW w:w="990" w:type="dxa"/>
            <w:vAlign w:val="center"/>
          </w:tcPr>
          <w:p w14:paraId="48DD8766"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49</w:t>
            </w:r>
          </w:p>
        </w:tc>
        <w:tc>
          <w:tcPr>
            <w:tcW w:w="990" w:type="dxa"/>
            <w:vAlign w:val="center"/>
          </w:tcPr>
          <w:p w14:paraId="75A03562"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w:t>
            </w:r>
          </w:p>
        </w:tc>
      </w:tr>
      <w:tr w:rsidR="00201FE9" w:rsidRPr="00C86111" w14:paraId="3226EEF5"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3CD703E4"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Pljevlja</w:t>
            </w:r>
          </w:p>
        </w:tc>
        <w:tc>
          <w:tcPr>
            <w:tcW w:w="1080" w:type="dxa"/>
            <w:vAlign w:val="center"/>
          </w:tcPr>
          <w:p w14:paraId="1FBD1D18"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c>
          <w:tcPr>
            <w:tcW w:w="900" w:type="dxa"/>
            <w:vAlign w:val="center"/>
          </w:tcPr>
          <w:p w14:paraId="3511DE56"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w:t>
            </w:r>
          </w:p>
        </w:tc>
        <w:tc>
          <w:tcPr>
            <w:tcW w:w="990" w:type="dxa"/>
            <w:vAlign w:val="center"/>
          </w:tcPr>
          <w:p w14:paraId="098B6110"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w:t>
            </w:r>
          </w:p>
        </w:tc>
        <w:tc>
          <w:tcPr>
            <w:tcW w:w="990" w:type="dxa"/>
            <w:vAlign w:val="center"/>
          </w:tcPr>
          <w:p w14:paraId="431751CB"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w:t>
            </w:r>
          </w:p>
        </w:tc>
        <w:tc>
          <w:tcPr>
            <w:tcW w:w="990" w:type="dxa"/>
            <w:vAlign w:val="center"/>
          </w:tcPr>
          <w:p w14:paraId="70A9AE50"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w:t>
            </w:r>
          </w:p>
        </w:tc>
        <w:tc>
          <w:tcPr>
            <w:tcW w:w="990" w:type="dxa"/>
            <w:vAlign w:val="center"/>
          </w:tcPr>
          <w:p w14:paraId="38911D89"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r>
      <w:tr w:rsidR="00201FE9" w:rsidRPr="00C86111" w14:paraId="47C000CF"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1AA9ECD8"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Plav</w:t>
            </w:r>
          </w:p>
        </w:tc>
        <w:tc>
          <w:tcPr>
            <w:tcW w:w="1080" w:type="dxa"/>
            <w:vAlign w:val="center"/>
          </w:tcPr>
          <w:p w14:paraId="03EFEB05"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900" w:type="dxa"/>
            <w:vAlign w:val="center"/>
          </w:tcPr>
          <w:p w14:paraId="2617DC69"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w:t>
            </w:r>
          </w:p>
        </w:tc>
        <w:tc>
          <w:tcPr>
            <w:tcW w:w="990" w:type="dxa"/>
            <w:vAlign w:val="center"/>
          </w:tcPr>
          <w:p w14:paraId="7C6F6775"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c>
          <w:tcPr>
            <w:tcW w:w="990" w:type="dxa"/>
            <w:vAlign w:val="center"/>
          </w:tcPr>
          <w:p w14:paraId="58E0E000"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40</w:t>
            </w:r>
          </w:p>
        </w:tc>
        <w:tc>
          <w:tcPr>
            <w:tcW w:w="990" w:type="dxa"/>
            <w:vAlign w:val="center"/>
          </w:tcPr>
          <w:p w14:paraId="45FE3A70"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47</w:t>
            </w:r>
          </w:p>
        </w:tc>
        <w:tc>
          <w:tcPr>
            <w:tcW w:w="990" w:type="dxa"/>
            <w:vAlign w:val="center"/>
          </w:tcPr>
          <w:p w14:paraId="4514BDBE"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w:t>
            </w:r>
          </w:p>
        </w:tc>
      </w:tr>
      <w:tr w:rsidR="00201FE9" w:rsidRPr="00C86111" w14:paraId="2512E112"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2BEBD66C"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b w:val="0"/>
                <w:bCs w:val="0"/>
                <w:color w:val="auto"/>
                <w:sz w:val="20"/>
                <w:szCs w:val="20"/>
              </w:rPr>
              <w:t>Nikšić (Mislov do)</w:t>
            </w:r>
          </w:p>
        </w:tc>
        <w:tc>
          <w:tcPr>
            <w:tcW w:w="1080" w:type="dxa"/>
            <w:vAlign w:val="center"/>
          </w:tcPr>
          <w:p w14:paraId="118DC32E"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19</w:t>
            </w:r>
          </w:p>
        </w:tc>
        <w:tc>
          <w:tcPr>
            <w:tcW w:w="900" w:type="dxa"/>
            <w:vAlign w:val="center"/>
          </w:tcPr>
          <w:p w14:paraId="06857C4E"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25</w:t>
            </w:r>
          </w:p>
        </w:tc>
        <w:tc>
          <w:tcPr>
            <w:tcW w:w="990" w:type="dxa"/>
            <w:vAlign w:val="center"/>
          </w:tcPr>
          <w:p w14:paraId="49FE5F7A"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3</w:t>
            </w:r>
          </w:p>
        </w:tc>
        <w:tc>
          <w:tcPr>
            <w:tcW w:w="990" w:type="dxa"/>
            <w:vAlign w:val="center"/>
          </w:tcPr>
          <w:p w14:paraId="3EA1AC6E"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36</w:t>
            </w:r>
          </w:p>
        </w:tc>
        <w:tc>
          <w:tcPr>
            <w:tcW w:w="990" w:type="dxa"/>
            <w:vAlign w:val="center"/>
          </w:tcPr>
          <w:p w14:paraId="5B60BB05"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24</w:t>
            </w:r>
          </w:p>
        </w:tc>
        <w:tc>
          <w:tcPr>
            <w:tcW w:w="990" w:type="dxa"/>
            <w:vAlign w:val="center"/>
          </w:tcPr>
          <w:p w14:paraId="28F39E76"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color w:val="auto"/>
                <w:sz w:val="20"/>
                <w:szCs w:val="20"/>
              </w:rPr>
              <w:t>21</w:t>
            </w:r>
          </w:p>
        </w:tc>
      </w:tr>
      <w:tr w:rsidR="00201FE9" w:rsidRPr="00C86111" w14:paraId="4E3D3D33"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60513EF6"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Mojkovac, kontejneri/deponije</w:t>
            </w:r>
          </w:p>
        </w:tc>
        <w:tc>
          <w:tcPr>
            <w:tcW w:w="1080" w:type="dxa"/>
            <w:vAlign w:val="center"/>
          </w:tcPr>
          <w:p w14:paraId="27E951E3"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24</w:t>
            </w:r>
          </w:p>
        </w:tc>
        <w:tc>
          <w:tcPr>
            <w:tcW w:w="900" w:type="dxa"/>
            <w:vAlign w:val="center"/>
          </w:tcPr>
          <w:p w14:paraId="3CF7483B"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w:t>
            </w:r>
          </w:p>
        </w:tc>
        <w:tc>
          <w:tcPr>
            <w:tcW w:w="990" w:type="dxa"/>
            <w:vAlign w:val="center"/>
          </w:tcPr>
          <w:p w14:paraId="759AE64F"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w:t>
            </w:r>
          </w:p>
        </w:tc>
        <w:tc>
          <w:tcPr>
            <w:tcW w:w="990" w:type="dxa"/>
            <w:vAlign w:val="center"/>
          </w:tcPr>
          <w:p w14:paraId="52824D99"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29</w:t>
            </w:r>
          </w:p>
        </w:tc>
        <w:tc>
          <w:tcPr>
            <w:tcW w:w="990" w:type="dxa"/>
            <w:vAlign w:val="center"/>
          </w:tcPr>
          <w:p w14:paraId="6BE7CBCF"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c>
          <w:tcPr>
            <w:tcW w:w="990" w:type="dxa"/>
            <w:vAlign w:val="center"/>
          </w:tcPr>
          <w:p w14:paraId="3682AD40"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r>
      <w:tr w:rsidR="00201FE9" w:rsidRPr="00C86111" w14:paraId="05AE5FAB"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1E61BC46"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Kolašin, Bakovići</w:t>
            </w:r>
          </w:p>
        </w:tc>
        <w:tc>
          <w:tcPr>
            <w:tcW w:w="1080" w:type="dxa"/>
            <w:vAlign w:val="center"/>
          </w:tcPr>
          <w:p w14:paraId="26808EBE"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900" w:type="dxa"/>
            <w:vAlign w:val="center"/>
          </w:tcPr>
          <w:p w14:paraId="2CF0C32D"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990" w:type="dxa"/>
            <w:vAlign w:val="center"/>
          </w:tcPr>
          <w:p w14:paraId="2B7C5902"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990" w:type="dxa"/>
            <w:vAlign w:val="center"/>
          </w:tcPr>
          <w:p w14:paraId="5C6F7C63"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990" w:type="dxa"/>
            <w:vAlign w:val="center"/>
          </w:tcPr>
          <w:p w14:paraId="3C03D9ED"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990" w:type="dxa"/>
            <w:vAlign w:val="center"/>
          </w:tcPr>
          <w:p w14:paraId="7ACC2B84"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r>
      <w:tr w:rsidR="00201FE9" w:rsidRPr="00C86111" w14:paraId="23714DB9"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0D98C837"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Gusinje, kontejneri/deponije</w:t>
            </w:r>
          </w:p>
        </w:tc>
        <w:tc>
          <w:tcPr>
            <w:tcW w:w="1080" w:type="dxa"/>
            <w:vAlign w:val="center"/>
          </w:tcPr>
          <w:p w14:paraId="39459616"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19</w:t>
            </w:r>
          </w:p>
        </w:tc>
        <w:tc>
          <w:tcPr>
            <w:tcW w:w="900" w:type="dxa"/>
            <w:vAlign w:val="center"/>
          </w:tcPr>
          <w:p w14:paraId="3D9B94FF"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w:t>
            </w:r>
          </w:p>
        </w:tc>
        <w:tc>
          <w:tcPr>
            <w:tcW w:w="990" w:type="dxa"/>
            <w:vAlign w:val="center"/>
          </w:tcPr>
          <w:p w14:paraId="14AFCDA9"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32</w:t>
            </w:r>
          </w:p>
        </w:tc>
        <w:tc>
          <w:tcPr>
            <w:tcW w:w="990" w:type="dxa"/>
            <w:vAlign w:val="center"/>
          </w:tcPr>
          <w:p w14:paraId="377189C3"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w:t>
            </w:r>
          </w:p>
        </w:tc>
        <w:tc>
          <w:tcPr>
            <w:tcW w:w="990" w:type="dxa"/>
            <w:vAlign w:val="center"/>
          </w:tcPr>
          <w:p w14:paraId="19BECE9D"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36</w:t>
            </w:r>
          </w:p>
        </w:tc>
        <w:tc>
          <w:tcPr>
            <w:tcW w:w="990" w:type="dxa"/>
            <w:vAlign w:val="center"/>
          </w:tcPr>
          <w:p w14:paraId="48092F88"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34</w:t>
            </w:r>
          </w:p>
        </w:tc>
      </w:tr>
      <w:tr w:rsidR="00201FE9" w:rsidRPr="00C86111" w14:paraId="7CAED975"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4CBF7977"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lastRenderedPageBreak/>
              <w:t>Cetinje</w:t>
            </w:r>
          </w:p>
        </w:tc>
        <w:tc>
          <w:tcPr>
            <w:tcW w:w="1080" w:type="dxa"/>
            <w:vAlign w:val="center"/>
          </w:tcPr>
          <w:p w14:paraId="68A39A1A"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w:t>
            </w:r>
          </w:p>
        </w:tc>
        <w:tc>
          <w:tcPr>
            <w:tcW w:w="900" w:type="dxa"/>
            <w:vAlign w:val="center"/>
          </w:tcPr>
          <w:p w14:paraId="675BC969"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990" w:type="dxa"/>
            <w:vAlign w:val="center"/>
          </w:tcPr>
          <w:p w14:paraId="474AA58C"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c>
          <w:tcPr>
            <w:tcW w:w="990" w:type="dxa"/>
            <w:vAlign w:val="center"/>
          </w:tcPr>
          <w:p w14:paraId="15BDD4FD"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w:t>
            </w:r>
          </w:p>
        </w:tc>
        <w:tc>
          <w:tcPr>
            <w:tcW w:w="990" w:type="dxa"/>
            <w:vAlign w:val="center"/>
          </w:tcPr>
          <w:p w14:paraId="2EA09B51"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w:t>
            </w:r>
          </w:p>
        </w:tc>
        <w:tc>
          <w:tcPr>
            <w:tcW w:w="990" w:type="dxa"/>
            <w:vAlign w:val="center"/>
          </w:tcPr>
          <w:p w14:paraId="62734F1C"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w:t>
            </w:r>
          </w:p>
        </w:tc>
      </w:tr>
      <w:tr w:rsidR="00201FE9" w:rsidRPr="00C86111" w14:paraId="21540C1A"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5AD95A1C"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Berane</w:t>
            </w:r>
          </w:p>
        </w:tc>
        <w:tc>
          <w:tcPr>
            <w:tcW w:w="1080" w:type="dxa"/>
            <w:vAlign w:val="center"/>
          </w:tcPr>
          <w:p w14:paraId="5F62C0B5"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w:t>
            </w:r>
          </w:p>
        </w:tc>
        <w:tc>
          <w:tcPr>
            <w:tcW w:w="900" w:type="dxa"/>
            <w:vAlign w:val="center"/>
          </w:tcPr>
          <w:p w14:paraId="6A87C61B"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990" w:type="dxa"/>
            <w:vAlign w:val="center"/>
          </w:tcPr>
          <w:p w14:paraId="75C7D84A"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990" w:type="dxa"/>
            <w:vAlign w:val="center"/>
          </w:tcPr>
          <w:p w14:paraId="0EC190F6"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22</w:t>
            </w:r>
          </w:p>
        </w:tc>
        <w:tc>
          <w:tcPr>
            <w:tcW w:w="990" w:type="dxa"/>
            <w:vAlign w:val="center"/>
          </w:tcPr>
          <w:p w14:paraId="32E2ED6F"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990" w:type="dxa"/>
            <w:vAlign w:val="center"/>
          </w:tcPr>
          <w:p w14:paraId="46BB7A6A"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r>
      <w:tr w:rsidR="00201FE9" w:rsidRPr="00C86111" w14:paraId="3910F476"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306101E3"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Andrijevica</w:t>
            </w:r>
          </w:p>
        </w:tc>
        <w:tc>
          <w:tcPr>
            <w:tcW w:w="1080" w:type="dxa"/>
            <w:vAlign w:val="center"/>
          </w:tcPr>
          <w:p w14:paraId="14921D09"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w:t>
            </w:r>
          </w:p>
        </w:tc>
        <w:tc>
          <w:tcPr>
            <w:tcW w:w="900" w:type="dxa"/>
            <w:vAlign w:val="center"/>
          </w:tcPr>
          <w:p w14:paraId="4470A541"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w:t>
            </w:r>
          </w:p>
        </w:tc>
        <w:tc>
          <w:tcPr>
            <w:tcW w:w="990" w:type="dxa"/>
            <w:vAlign w:val="center"/>
          </w:tcPr>
          <w:p w14:paraId="3080974A"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c>
          <w:tcPr>
            <w:tcW w:w="990" w:type="dxa"/>
            <w:vAlign w:val="center"/>
          </w:tcPr>
          <w:p w14:paraId="5038C235"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w:t>
            </w:r>
          </w:p>
        </w:tc>
        <w:tc>
          <w:tcPr>
            <w:tcW w:w="990" w:type="dxa"/>
            <w:vAlign w:val="center"/>
          </w:tcPr>
          <w:p w14:paraId="2C7F3A4E"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w:t>
            </w:r>
          </w:p>
        </w:tc>
        <w:tc>
          <w:tcPr>
            <w:tcW w:w="990" w:type="dxa"/>
            <w:vAlign w:val="center"/>
          </w:tcPr>
          <w:p w14:paraId="27EC8E04"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w:t>
            </w:r>
          </w:p>
        </w:tc>
      </w:tr>
      <w:tr w:rsidR="00201FE9" w:rsidRPr="00C86111" w14:paraId="0CCD38AC"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5A7F37DF"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Podgorica, Livade</w:t>
            </w:r>
          </w:p>
        </w:tc>
        <w:tc>
          <w:tcPr>
            <w:tcW w:w="1080" w:type="dxa"/>
            <w:vAlign w:val="center"/>
          </w:tcPr>
          <w:p w14:paraId="5D8F3A28"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36</w:t>
            </w:r>
          </w:p>
        </w:tc>
        <w:tc>
          <w:tcPr>
            <w:tcW w:w="900" w:type="dxa"/>
            <w:vAlign w:val="center"/>
          </w:tcPr>
          <w:p w14:paraId="5AB6E9B2"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46</w:t>
            </w:r>
          </w:p>
        </w:tc>
        <w:tc>
          <w:tcPr>
            <w:tcW w:w="990" w:type="dxa"/>
            <w:vAlign w:val="center"/>
          </w:tcPr>
          <w:p w14:paraId="36303159"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65</w:t>
            </w:r>
          </w:p>
        </w:tc>
        <w:tc>
          <w:tcPr>
            <w:tcW w:w="990" w:type="dxa"/>
            <w:vAlign w:val="center"/>
          </w:tcPr>
          <w:p w14:paraId="71E1FB72"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44</w:t>
            </w:r>
          </w:p>
        </w:tc>
        <w:tc>
          <w:tcPr>
            <w:tcW w:w="990" w:type="dxa"/>
            <w:vAlign w:val="center"/>
          </w:tcPr>
          <w:p w14:paraId="057835A2"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c>
          <w:tcPr>
            <w:tcW w:w="990" w:type="dxa"/>
            <w:vAlign w:val="center"/>
          </w:tcPr>
          <w:p w14:paraId="6FAE4D02"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w:t>
            </w:r>
          </w:p>
        </w:tc>
      </w:tr>
      <w:tr w:rsidR="00201FE9" w:rsidRPr="00C86111" w14:paraId="0DCCC67B"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3803C42D"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Podgorica, divlje deponije</w:t>
            </w:r>
          </w:p>
        </w:tc>
        <w:tc>
          <w:tcPr>
            <w:tcW w:w="1080" w:type="dxa"/>
            <w:vAlign w:val="center"/>
          </w:tcPr>
          <w:p w14:paraId="0389B3D7" w14:textId="558C1F30"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tcW w:w="900" w:type="dxa"/>
            <w:vAlign w:val="center"/>
          </w:tcPr>
          <w:p w14:paraId="54C4E924" w14:textId="7B954A4D"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tcW w:w="990" w:type="dxa"/>
            <w:vAlign w:val="center"/>
          </w:tcPr>
          <w:p w14:paraId="2130E019" w14:textId="29507252"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tcW w:w="990" w:type="dxa"/>
            <w:vAlign w:val="center"/>
          </w:tcPr>
          <w:p w14:paraId="6B11E6A3"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45</w:t>
            </w:r>
          </w:p>
        </w:tc>
        <w:tc>
          <w:tcPr>
            <w:tcW w:w="990" w:type="dxa"/>
            <w:vAlign w:val="center"/>
          </w:tcPr>
          <w:p w14:paraId="28C9E6F7"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145</w:t>
            </w:r>
          </w:p>
        </w:tc>
        <w:tc>
          <w:tcPr>
            <w:tcW w:w="990" w:type="dxa"/>
            <w:vAlign w:val="center"/>
          </w:tcPr>
          <w:p w14:paraId="64AE4CFF"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119</w:t>
            </w:r>
          </w:p>
        </w:tc>
      </w:tr>
      <w:tr w:rsidR="00201FE9" w:rsidRPr="00C86111" w14:paraId="7DE612E2"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03E7091F"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Bar, divlje deponije</w:t>
            </w:r>
          </w:p>
        </w:tc>
        <w:tc>
          <w:tcPr>
            <w:tcW w:w="1080" w:type="dxa"/>
            <w:vAlign w:val="center"/>
          </w:tcPr>
          <w:p w14:paraId="515592B9"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19</w:t>
            </w:r>
          </w:p>
        </w:tc>
        <w:tc>
          <w:tcPr>
            <w:tcW w:w="900" w:type="dxa"/>
            <w:vAlign w:val="center"/>
          </w:tcPr>
          <w:p w14:paraId="5AEAA057"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w:t>
            </w:r>
          </w:p>
        </w:tc>
        <w:tc>
          <w:tcPr>
            <w:tcW w:w="990" w:type="dxa"/>
            <w:vAlign w:val="center"/>
          </w:tcPr>
          <w:p w14:paraId="76162157"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22</w:t>
            </w:r>
          </w:p>
        </w:tc>
        <w:tc>
          <w:tcPr>
            <w:tcW w:w="990" w:type="dxa"/>
            <w:vAlign w:val="center"/>
          </w:tcPr>
          <w:p w14:paraId="4A09EA7C"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c>
          <w:tcPr>
            <w:tcW w:w="990" w:type="dxa"/>
            <w:vAlign w:val="center"/>
          </w:tcPr>
          <w:p w14:paraId="797575D4"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w:t>
            </w:r>
          </w:p>
        </w:tc>
        <w:tc>
          <w:tcPr>
            <w:tcW w:w="990" w:type="dxa"/>
            <w:vAlign w:val="center"/>
          </w:tcPr>
          <w:p w14:paraId="2A363D9A"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22</w:t>
            </w:r>
          </w:p>
        </w:tc>
      </w:tr>
    </w:tbl>
    <w:p w14:paraId="7E6F756A" w14:textId="77777777" w:rsidR="00201FE9" w:rsidRPr="00C86111" w:rsidRDefault="00201FE9" w:rsidP="00201FE9">
      <w:pPr>
        <w:pStyle w:val="NoSpacing"/>
        <w:rPr>
          <w:rFonts w:cstheme="minorHAnsi"/>
          <w:noProof/>
          <w:lang w:val="sr-Latn-RS"/>
        </w:rPr>
      </w:pPr>
    </w:p>
    <w:p w14:paraId="14F85387"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Podaci za odlagalište „Mislov do“ boldovani su crveno jer se procijenjene količine odloženog otpada na ovom odlagalištu kreću iznad 25000 tona na godišnjem nivou. Sva veća odlagališta otpada koja su bila podložna višegodišnjem gorenju mogu se smatrati potencijalnim kontaminiranim lokacijama.</w:t>
      </w:r>
    </w:p>
    <w:p w14:paraId="15A92ACD" w14:textId="50267450"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Ukupne godišnje POP’s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usled sagorelog otpada na otvorenom za posmatrani period prikazane su tabelom </w:t>
      </w:r>
      <w:r w:rsidR="006F5A10" w:rsidRPr="00C86111">
        <w:rPr>
          <w:rFonts w:asciiTheme="minorHAnsi" w:hAnsiTheme="minorHAnsi" w:cstheme="minorHAnsi"/>
          <w:color w:val="auto"/>
          <w:szCs w:val="24"/>
        </w:rPr>
        <w:t>3</w:t>
      </w:r>
      <w:r w:rsidRPr="00C86111">
        <w:rPr>
          <w:rFonts w:asciiTheme="minorHAnsi" w:hAnsiTheme="minorHAnsi" w:cstheme="minorHAnsi"/>
          <w:color w:val="auto"/>
          <w:szCs w:val="24"/>
        </w:rPr>
        <w:t xml:space="preserve">1. dok su količine neadekvatno odloženog i sagorelog otpada prikazane tabelom </w:t>
      </w:r>
      <w:r w:rsidR="006F5A10" w:rsidRPr="00C86111">
        <w:rPr>
          <w:rFonts w:asciiTheme="minorHAnsi" w:hAnsiTheme="minorHAnsi" w:cstheme="minorHAnsi"/>
          <w:color w:val="auto"/>
          <w:szCs w:val="24"/>
        </w:rPr>
        <w:t>3</w:t>
      </w:r>
      <w:r w:rsidRPr="00C86111">
        <w:rPr>
          <w:rFonts w:asciiTheme="minorHAnsi" w:hAnsiTheme="minorHAnsi" w:cstheme="minorHAnsi"/>
          <w:color w:val="auto"/>
          <w:szCs w:val="24"/>
        </w:rPr>
        <w:t>2.</w:t>
      </w:r>
    </w:p>
    <w:p w14:paraId="15DBBC43" w14:textId="77777777" w:rsidR="00201FE9" w:rsidRPr="00C86111" w:rsidRDefault="00201FE9" w:rsidP="00201FE9">
      <w:pPr>
        <w:jc w:val="both"/>
        <w:rPr>
          <w:rFonts w:asciiTheme="minorHAnsi" w:hAnsiTheme="minorHAnsi" w:cstheme="minorHAnsi"/>
          <w:color w:val="auto"/>
          <w:szCs w:val="24"/>
        </w:rPr>
      </w:pPr>
    </w:p>
    <w:p w14:paraId="29D21C40" w14:textId="02B40BBD"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bookmarkStart w:id="68" w:name="_Hlk207319025"/>
      <w:r w:rsidRPr="00C86111">
        <w:rPr>
          <w:rFonts w:asciiTheme="minorHAnsi" w:hAnsiTheme="minorHAnsi" w:cstheme="minorHAnsi"/>
          <w:b/>
          <w:bCs/>
          <w:i w:val="0"/>
          <w:iCs/>
          <w:sz w:val="24"/>
          <w:lang w:val="sr-Latn-RS"/>
        </w:rPr>
        <w:t xml:space="preserve">Tabela </w:t>
      </w:r>
      <w:r w:rsidR="006F5A10" w:rsidRPr="00C86111">
        <w:rPr>
          <w:rFonts w:asciiTheme="minorHAnsi" w:hAnsiTheme="minorHAnsi" w:cstheme="minorHAnsi"/>
          <w:b/>
          <w:bCs/>
          <w:i w:val="0"/>
          <w:iCs/>
          <w:sz w:val="24"/>
          <w:lang w:val="sr-Latn-RS"/>
        </w:rPr>
        <w:t>3</w:t>
      </w:r>
      <w:r w:rsidRPr="00C86111">
        <w:rPr>
          <w:rFonts w:asciiTheme="minorHAnsi" w:hAnsiTheme="minorHAnsi" w:cstheme="minorHAnsi"/>
          <w:b/>
          <w:bCs/>
          <w:i w:val="0"/>
          <w:iCs/>
          <w:sz w:val="24"/>
          <w:lang w:val="sr-Latn-RS"/>
        </w:rPr>
        <w:t>1.</w:t>
      </w:r>
      <w:r w:rsidRPr="00C86111">
        <w:rPr>
          <w:rFonts w:asciiTheme="minorHAnsi" w:hAnsiTheme="minorHAnsi" w:cstheme="minorHAnsi"/>
          <w:i w:val="0"/>
          <w:iCs/>
          <w:sz w:val="24"/>
          <w:lang w:val="sr-Latn-RS"/>
        </w:rPr>
        <w:t xml:space="preserve"> Ukupne godišnje POP's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(PCDD/PCDF) usled sagorijevanja otpada na otvorenom, 2006-2022. godina (gTEQ/god)</w:t>
      </w:r>
    </w:p>
    <w:tbl>
      <w:tblPr>
        <w:tblStyle w:val="GridTable5Dark-Accent6"/>
        <w:tblW w:w="8785" w:type="dxa"/>
        <w:tblLook w:val="04A0" w:firstRow="1" w:lastRow="0" w:firstColumn="1" w:lastColumn="0" w:noHBand="0" w:noVBand="1"/>
      </w:tblPr>
      <w:tblGrid>
        <w:gridCol w:w="1784"/>
        <w:gridCol w:w="768"/>
        <w:gridCol w:w="780"/>
        <w:gridCol w:w="779"/>
        <w:gridCol w:w="779"/>
        <w:gridCol w:w="779"/>
        <w:gridCol w:w="779"/>
        <w:gridCol w:w="779"/>
        <w:gridCol w:w="779"/>
        <w:gridCol w:w="779"/>
      </w:tblGrid>
      <w:tr w:rsidR="00201FE9" w:rsidRPr="00C86111" w14:paraId="6F8C3B67"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bookmarkEnd w:id="68"/>
          <w:p w14:paraId="7C9288C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1C96501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4D8AC6A3"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5FF33DF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119D3C5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5821C3D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22637D0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5DBF5E0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118774D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9" w:type="dxa"/>
          </w:tcPr>
          <w:p w14:paraId="1499E8F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04E54AA3"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71CFC42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4AA5993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33.24</w:t>
            </w:r>
          </w:p>
        </w:tc>
        <w:tc>
          <w:tcPr>
            <w:tcW w:w="780" w:type="dxa"/>
          </w:tcPr>
          <w:p w14:paraId="4DF4772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32.83</w:t>
            </w:r>
          </w:p>
        </w:tc>
        <w:tc>
          <w:tcPr>
            <w:tcW w:w="779" w:type="dxa"/>
          </w:tcPr>
          <w:p w14:paraId="368AE8C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24.63</w:t>
            </w:r>
          </w:p>
        </w:tc>
        <w:tc>
          <w:tcPr>
            <w:tcW w:w="779" w:type="dxa"/>
          </w:tcPr>
          <w:p w14:paraId="0A11188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26.58</w:t>
            </w:r>
          </w:p>
        </w:tc>
        <w:tc>
          <w:tcPr>
            <w:tcW w:w="779" w:type="dxa"/>
          </w:tcPr>
          <w:p w14:paraId="4CE78F2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26.07</w:t>
            </w:r>
          </w:p>
        </w:tc>
        <w:tc>
          <w:tcPr>
            <w:tcW w:w="779" w:type="dxa"/>
          </w:tcPr>
          <w:p w14:paraId="6A6C5C6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25.32</w:t>
            </w:r>
          </w:p>
        </w:tc>
        <w:tc>
          <w:tcPr>
            <w:tcW w:w="779" w:type="dxa"/>
          </w:tcPr>
          <w:p w14:paraId="5A22D2C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14.14</w:t>
            </w:r>
          </w:p>
        </w:tc>
        <w:tc>
          <w:tcPr>
            <w:tcW w:w="779" w:type="dxa"/>
          </w:tcPr>
          <w:p w14:paraId="04FE29C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8.44</w:t>
            </w:r>
          </w:p>
        </w:tc>
        <w:tc>
          <w:tcPr>
            <w:tcW w:w="779" w:type="dxa"/>
          </w:tcPr>
          <w:p w14:paraId="2595F50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11.46</w:t>
            </w:r>
          </w:p>
        </w:tc>
      </w:tr>
      <w:tr w:rsidR="00201FE9" w:rsidRPr="00C86111" w14:paraId="0D991CCB"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6B6CFAD2"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Zemljište </w:t>
            </w:r>
          </w:p>
        </w:tc>
        <w:tc>
          <w:tcPr>
            <w:tcW w:w="768" w:type="dxa"/>
          </w:tcPr>
          <w:p w14:paraId="4EDF3F8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1.11</w:t>
            </w:r>
          </w:p>
        </w:tc>
        <w:tc>
          <w:tcPr>
            <w:tcW w:w="780" w:type="dxa"/>
          </w:tcPr>
          <w:p w14:paraId="6595E86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1.09</w:t>
            </w:r>
          </w:p>
        </w:tc>
        <w:tc>
          <w:tcPr>
            <w:tcW w:w="779" w:type="dxa"/>
          </w:tcPr>
          <w:p w14:paraId="43018BA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0.82</w:t>
            </w:r>
          </w:p>
        </w:tc>
        <w:tc>
          <w:tcPr>
            <w:tcW w:w="779" w:type="dxa"/>
          </w:tcPr>
          <w:p w14:paraId="2D56CC5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0.89</w:t>
            </w:r>
          </w:p>
        </w:tc>
        <w:tc>
          <w:tcPr>
            <w:tcW w:w="779" w:type="dxa"/>
          </w:tcPr>
          <w:p w14:paraId="75EA4DE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0.87</w:t>
            </w:r>
          </w:p>
        </w:tc>
        <w:tc>
          <w:tcPr>
            <w:tcW w:w="779" w:type="dxa"/>
          </w:tcPr>
          <w:p w14:paraId="38BB22A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0.84</w:t>
            </w:r>
          </w:p>
        </w:tc>
        <w:tc>
          <w:tcPr>
            <w:tcW w:w="779" w:type="dxa"/>
          </w:tcPr>
          <w:p w14:paraId="7E2E5AF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0.47</w:t>
            </w:r>
          </w:p>
        </w:tc>
        <w:tc>
          <w:tcPr>
            <w:tcW w:w="779" w:type="dxa"/>
          </w:tcPr>
          <w:p w14:paraId="53652CF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0.28</w:t>
            </w:r>
          </w:p>
        </w:tc>
        <w:tc>
          <w:tcPr>
            <w:tcW w:w="779" w:type="dxa"/>
          </w:tcPr>
          <w:p w14:paraId="6B7BF5F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0.38</w:t>
            </w:r>
          </w:p>
        </w:tc>
      </w:tr>
      <w:tr w:rsidR="00201FE9" w:rsidRPr="00C86111" w14:paraId="6B6D9510"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5F2539D"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7C7E8CE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80" w:type="dxa"/>
          </w:tcPr>
          <w:p w14:paraId="1DF0056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9" w:type="dxa"/>
          </w:tcPr>
          <w:p w14:paraId="1C0B528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9" w:type="dxa"/>
          </w:tcPr>
          <w:p w14:paraId="7968C06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9" w:type="dxa"/>
          </w:tcPr>
          <w:p w14:paraId="42AB243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9" w:type="dxa"/>
          </w:tcPr>
          <w:p w14:paraId="3A98126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9" w:type="dxa"/>
          </w:tcPr>
          <w:p w14:paraId="77064EB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9" w:type="dxa"/>
          </w:tcPr>
          <w:p w14:paraId="4806616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9" w:type="dxa"/>
          </w:tcPr>
          <w:p w14:paraId="37D46D3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52C7F7AE"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65FC83B7"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2355FBE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12.41</w:t>
            </w:r>
          </w:p>
        </w:tc>
        <w:tc>
          <w:tcPr>
            <w:tcW w:w="780" w:type="dxa"/>
          </w:tcPr>
          <w:p w14:paraId="34AD2FB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12.00</w:t>
            </w:r>
          </w:p>
        </w:tc>
        <w:tc>
          <w:tcPr>
            <w:tcW w:w="779" w:type="dxa"/>
          </w:tcPr>
          <w:p w14:paraId="730B9FA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12.00</w:t>
            </w:r>
          </w:p>
        </w:tc>
        <w:tc>
          <w:tcPr>
            <w:tcW w:w="779" w:type="dxa"/>
          </w:tcPr>
          <w:p w14:paraId="1FF870E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12.00</w:t>
            </w:r>
          </w:p>
        </w:tc>
        <w:tc>
          <w:tcPr>
            <w:tcW w:w="779" w:type="dxa"/>
          </w:tcPr>
          <w:p w14:paraId="19113B3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12.00</w:t>
            </w:r>
          </w:p>
        </w:tc>
        <w:tc>
          <w:tcPr>
            <w:tcW w:w="779" w:type="dxa"/>
          </w:tcPr>
          <w:p w14:paraId="4518B3B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12.00</w:t>
            </w:r>
          </w:p>
        </w:tc>
        <w:tc>
          <w:tcPr>
            <w:tcW w:w="779" w:type="dxa"/>
          </w:tcPr>
          <w:p w14:paraId="5FB4844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12.00</w:t>
            </w:r>
          </w:p>
        </w:tc>
        <w:tc>
          <w:tcPr>
            <w:tcW w:w="779" w:type="dxa"/>
          </w:tcPr>
          <w:p w14:paraId="2B433BC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12.00</w:t>
            </w:r>
          </w:p>
        </w:tc>
        <w:tc>
          <w:tcPr>
            <w:tcW w:w="779" w:type="dxa"/>
          </w:tcPr>
          <w:p w14:paraId="4D58628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7BB15B99"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5C75C1F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Zemljište</w:t>
            </w:r>
          </w:p>
        </w:tc>
        <w:tc>
          <w:tcPr>
            <w:tcW w:w="768" w:type="dxa"/>
          </w:tcPr>
          <w:p w14:paraId="2C9F5FA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0.41</w:t>
            </w:r>
          </w:p>
        </w:tc>
        <w:tc>
          <w:tcPr>
            <w:tcW w:w="780" w:type="dxa"/>
          </w:tcPr>
          <w:p w14:paraId="7925363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0.40</w:t>
            </w:r>
          </w:p>
        </w:tc>
        <w:tc>
          <w:tcPr>
            <w:tcW w:w="779" w:type="dxa"/>
          </w:tcPr>
          <w:p w14:paraId="239F120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0.40</w:t>
            </w:r>
          </w:p>
        </w:tc>
        <w:tc>
          <w:tcPr>
            <w:tcW w:w="779" w:type="dxa"/>
          </w:tcPr>
          <w:p w14:paraId="2882D22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0.40</w:t>
            </w:r>
          </w:p>
        </w:tc>
        <w:tc>
          <w:tcPr>
            <w:tcW w:w="779" w:type="dxa"/>
          </w:tcPr>
          <w:p w14:paraId="3DC4426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0.40</w:t>
            </w:r>
          </w:p>
        </w:tc>
        <w:tc>
          <w:tcPr>
            <w:tcW w:w="779" w:type="dxa"/>
          </w:tcPr>
          <w:p w14:paraId="2D348AB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0.40</w:t>
            </w:r>
          </w:p>
        </w:tc>
        <w:tc>
          <w:tcPr>
            <w:tcW w:w="779" w:type="dxa"/>
          </w:tcPr>
          <w:p w14:paraId="53BB514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0.40</w:t>
            </w:r>
          </w:p>
        </w:tc>
        <w:tc>
          <w:tcPr>
            <w:tcW w:w="779" w:type="dxa"/>
          </w:tcPr>
          <w:p w14:paraId="5429B16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0.40</w:t>
            </w:r>
          </w:p>
        </w:tc>
        <w:tc>
          <w:tcPr>
            <w:tcW w:w="779" w:type="dxa"/>
          </w:tcPr>
          <w:p w14:paraId="5E86FD5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5E1405D9" w14:textId="3927406C"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6F5A10" w:rsidRPr="00C86111">
        <w:rPr>
          <w:rFonts w:asciiTheme="minorHAnsi" w:hAnsiTheme="minorHAnsi" w:cstheme="minorHAnsi"/>
          <w:b/>
          <w:bCs/>
          <w:i w:val="0"/>
          <w:iCs/>
          <w:sz w:val="24"/>
          <w:lang w:val="sr-Latn-RS"/>
        </w:rPr>
        <w:t>3</w:t>
      </w:r>
      <w:r w:rsidRPr="00C86111">
        <w:rPr>
          <w:rFonts w:asciiTheme="minorHAnsi" w:hAnsiTheme="minorHAnsi" w:cstheme="minorHAnsi"/>
          <w:b/>
          <w:bCs/>
          <w:i w:val="0"/>
          <w:iCs/>
          <w:sz w:val="24"/>
          <w:lang w:val="sr-Latn-RS"/>
        </w:rPr>
        <w:t>2.</w:t>
      </w:r>
      <w:r w:rsidRPr="00C86111">
        <w:rPr>
          <w:rFonts w:asciiTheme="minorHAnsi" w:hAnsiTheme="minorHAnsi" w:cstheme="minorHAnsi"/>
          <w:i w:val="0"/>
          <w:iCs/>
          <w:sz w:val="24"/>
          <w:lang w:val="sr-Latn-RS"/>
        </w:rPr>
        <w:t xml:space="preserve"> Sagoreli otpad na otvorenom, 2006-2022. godina (t)</w:t>
      </w:r>
    </w:p>
    <w:tbl>
      <w:tblPr>
        <w:tblStyle w:val="GridTable5Dark-Accent6"/>
        <w:tblW w:w="8785" w:type="dxa"/>
        <w:tblLook w:val="04A0" w:firstRow="1" w:lastRow="0" w:firstColumn="1" w:lastColumn="0" w:noHBand="0" w:noVBand="1"/>
      </w:tblPr>
      <w:tblGrid>
        <w:gridCol w:w="1424"/>
        <w:gridCol w:w="886"/>
        <w:gridCol w:w="886"/>
        <w:gridCol w:w="774"/>
        <w:gridCol w:w="774"/>
        <w:gridCol w:w="806"/>
        <w:gridCol w:w="806"/>
        <w:gridCol w:w="881"/>
        <w:gridCol w:w="774"/>
        <w:gridCol w:w="774"/>
      </w:tblGrid>
      <w:tr w:rsidR="00201FE9" w:rsidRPr="00C86111" w14:paraId="5B36A9B2"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24" w:type="dxa"/>
          </w:tcPr>
          <w:p w14:paraId="41314D0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86" w:type="dxa"/>
          </w:tcPr>
          <w:p w14:paraId="1B65787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886" w:type="dxa"/>
          </w:tcPr>
          <w:p w14:paraId="1ECB1C1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4" w:type="dxa"/>
          </w:tcPr>
          <w:p w14:paraId="7100597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4" w:type="dxa"/>
          </w:tcPr>
          <w:p w14:paraId="357436C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806" w:type="dxa"/>
          </w:tcPr>
          <w:p w14:paraId="4665DAA3"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806" w:type="dxa"/>
          </w:tcPr>
          <w:p w14:paraId="4C818C7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881" w:type="dxa"/>
          </w:tcPr>
          <w:p w14:paraId="20F65E4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4" w:type="dxa"/>
          </w:tcPr>
          <w:p w14:paraId="268B108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4" w:type="dxa"/>
          </w:tcPr>
          <w:p w14:paraId="4006AD6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45273568"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24" w:type="dxa"/>
          </w:tcPr>
          <w:p w14:paraId="5B18FFB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Sagorjeli otpad (t)</w:t>
            </w:r>
          </w:p>
        </w:tc>
        <w:tc>
          <w:tcPr>
            <w:tcW w:w="886" w:type="dxa"/>
          </w:tcPr>
          <w:p w14:paraId="6917A29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110793</w:t>
            </w:r>
          </w:p>
        </w:tc>
        <w:tc>
          <w:tcPr>
            <w:tcW w:w="886" w:type="dxa"/>
          </w:tcPr>
          <w:p w14:paraId="4AC660A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109427</w:t>
            </w:r>
          </w:p>
        </w:tc>
        <w:tc>
          <w:tcPr>
            <w:tcW w:w="774" w:type="dxa"/>
          </w:tcPr>
          <w:p w14:paraId="377633D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82115</w:t>
            </w:r>
          </w:p>
        </w:tc>
        <w:tc>
          <w:tcPr>
            <w:tcW w:w="774" w:type="dxa"/>
          </w:tcPr>
          <w:p w14:paraId="4CB09FA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88601</w:t>
            </w:r>
          </w:p>
        </w:tc>
        <w:tc>
          <w:tcPr>
            <w:tcW w:w="806" w:type="dxa"/>
          </w:tcPr>
          <w:p w14:paraId="2EE9482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86912</w:t>
            </w:r>
          </w:p>
        </w:tc>
        <w:tc>
          <w:tcPr>
            <w:tcW w:w="806" w:type="dxa"/>
          </w:tcPr>
          <w:p w14:paraId="4682818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84414</w:t>
            </w:r>
          </w:p>
        </w:tc>
        <w:tc>
          <w:tcPr>
            <w:tcW w:w="881" w:type="dxa"/>
          </w:tcPr>
          <w:p w14:paraId="17B0AF3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47129</w:t>
            </w:r>
          </w:p>
        </w:tc>
        <w:tc>
          <w:tcPr>
            <w:tcW w:w="774" w:type="dxa"/>
          </w:tcPr>
          <w:p w14:paraId="703F15F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28148</w:t>
            </w:r>
          </w:p>
        </w:tc>
        <w:tc>
          <w:tcPr>
            <w:tcW w:w="774" w:type="dxa"/>
          </w:tcPr>
          <w:p w14:paraId="3F3A930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38201</w:t>
            </w:r>
          </w:p>
        </w:tc>
      </w:tr>
      <w:tr w:rsidR="00201FE9" w:rsidRPr="00C86111" w14:paraId="393F82FD"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424" w:type="dxa"/>
          </w:tcPr>
          <w:p w14:paraId="0C38A3A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86" w:type="dxa"/>
          </w:tcPr>
          <w:p w14:paraId="73EB4BC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886" w:type="dxa"/>
          </w:tcPr>
          <w:p w14:paraId="24C80DA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4" w:type="dxa"/>
          </w:tcPr>
          <w:p w14:paraId="29BFB3A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4" w:type="dxa"/>
          </w:tcPr>
          <w:p w14:paraId="3A5AEEA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806" w:type="dxa"/>
          </w:tcPr>
          <w:p w14:paraId="4D83056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806" w:type="dxa"/>
          </w:tcPr>
          <w:p w14:paraId="36729D0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881" w:type="dxa"/>
          </w:tcPr>
          <w:p w14:paraId="65FFDFC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4" w:type="dxa"/>
          </w:tcPr>
          <w:p w14:paraId="2437B56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4" w:type="dxa"/>
          </w:tcPr>
          <w:p w14:paraId="0836CC1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3A39EAED"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24" w:type="dxa"/>
          </w:tcPr>
          <w:p w14:paraId="54910371"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Sagorjeli otpad (t) </w:t>
            </w:r>
          </w:p>
        </w:tc>
        <w:tc>
          <w:tcPr>
            <w:tcW w:w="886" w:type="dxa"/>
          </w:tcPr>
          <w:p w14:paraId="5A3DF69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41352</w:t>
            </w:r>
          </w:p>
        </w:tc>
        <w:tc>
          <w:tcPr>
            <w:tcW w:w="886" w:type="dxa"/>
          </w:tcPr>
          <w:p w14:paraId="1629F85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42063</w:t>
            </w:r>
          </w:p>
        </w:tc>
        <w:tc>
          <w:tcPr>
            <w:tcW w:w="774" w:type="dxa"/>
          </w:tcPr>
          <w:p w14:paraId="6327FFC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40000</w:t>
            </w:r>
          </w:p>
        </w:tc>
        <w:tc>
          <w:tcPr>
            <w:tcW w:w="774" w:type="dxa"/>
          </w:tcPr>
          <w:p w14:paraId="108BA87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40000</w:t>
            </w:r>
          </w:p>
        </w:tc>
        <w:tc>
          <w:tcPr>
            <w:tcW w:w="806" w:type="dxa"/>
          </w:tcPr>
          <w:p w14:paraId="58CBBCA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40000</w:t>
            </w:r>
          </w:p>
        </w:tc>
        <w:tc>
          <w:tcPr>
            <w:tcW w:w="806" w:type="dxa"/>
          </w:tcPr>
          <w:p w14:paraId="1B10DBB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40000</w:t>
            </w:r>
          </w:p>
        </w:tc>
        <w:tc>
          <w:tcPr>
            <w:tcW w:w="881" w:type="dxa"/>
          </w:tcPr>
          <w:p w14:paraId="70CA944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40000</w:t>
            </w:r>
          </w:p>
        </w:tc>
        <w:tc>
          <w:tcPr>
            <w:tcW w:w="774" w:type="dxa"/>
          </w:tcPr>
          <w:p w14:paraId="26A892D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40000</w:t>
            </w:r>
          </w:p>
        </w:tc>
        <w:tc>
          <w:tcPr>
            <w:tcW w:w="774" w:type="dxa"/>
          </w:tcPr>
          <w:p w14:paraId="2C14EFA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5AF64E1A" w14:textId="77777777" w:rsidR="00201FE9" w:rsidRPr="00C86111" w:rsidRDefault="00201FE9" w:rsidP="00201FE9">
      <w:pPr>
        <w:jc w:val="both"/>
        <w:rPr>
          <w:rFonts w:asciiTheme="minorHAnsi" w:hAnsiTheme="minorHAnsi" w:cstheme="minorHAnsi"/>
          <w:color w:val="auto"/>
          <w:szCs w:val="24"/>
        </w:rPr>
      </w:pPr>
    </w:p>
    <w:p w14:paraId="361F2AA4"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Ukupna procijenjena količina nenamjerno proizvedenih/ispuštenih PCDD/PCDF u vazduh usled nekotrolisanog sagorijevanje neprikupljenog komunalnog otpada iz domaćinstava se kreće od 0.09 gTEQ u 2006. godini pa do 0.03 gTEQ u 2022. godini. U odnosu na prethodno podneseni inventar, uzet je značajno manje konzervativan pristup po kome se spali 5% od neprikupljenog otpada od strane komunalnih preduzeća. Ova procjena je svakako podložna preispitivanju, uz </w:t>
      </w:r>
      <w:r w:rsidRPr="00C86111">
        <w:rPr>
          <w:rFonts w:asciiTheme="minorHAnsi" w:hAnsiTheme="minorHAnsi" w:cstheme="minorHAnsi"/>
          <w:color w:val="auto"/>
          <w:szCs w:val="24"/>
        </w:rPr>
        <w:lastRenderedPageBreak/>
        <w:t xml:space="preserve">činjenicu da je spaljivanje određene količine komunalnog otpada u ruralnim krajevima zemlje i dalje uobičajena pojava. Realizovane količine nenamjerno proizvedenih/ispuštenih PCDD/PCDF u zemljište po ovoj procjeni se kreću oko 0.002 gTEQ/god. </w:t>
      </w:r>
    </w:p>
    <w:p w14:paraId="64B39E55"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Izvor podataka o količinama neprikupljenog otpada je MONSTAT.</w:t>
      </w:r>
    </w:p>
    <w:p w14:paraId="0202E620" w14:textId="4F676C40" w:rsidR="006F5A10" w:rsidRPr="00C86111" w:rsidRDefault="00201FE9" w:rsidP="00375D24">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Za potrebe ovog inventara a na osnovu pribavljenih podataka o broju intervencija vatrogasnih jedinica na gašenju požara, izvršen je </w:t>
      </w:r>
      <w:r w:rsidRPr="00C86111">
        <w:rPr>
          <w:rFonts w:asciiTheme="minorHAnsi" w:eastAsia="Calibri" w:hAnsiTheme="minorHAnsi" w:cstheme="minorHAnsi"/>
          <w:color w:val="auto"/>
          <w:szCs w:val="24"/>
        </w:rPr>
        <w:t>proračun za podkategorije</w:t>
      </w:r>
      <w:r w:rsidRPr="00C86111">
        <w:rPr>
          <w:rFonts w:asciiTheme="minorHAnsi" w:hAnsiTheme="minorHAnsi" w:cstheme="minorHAnsi"/>
          <w:color w:val="auto"/>
          <w:szCs w:val="24"/>
        </w:rPr>
        <w:t xml:space="preserve"> “</w:t>
      </w:r>
      <w:r w:rsidRPr="00C86111">
        <w:rPr>
          <w:rFonts w:asciiTheme="minorHAnsi" w:eastAsia="Calibri" w:hAnsiTheme="minorHAnsi" w:cstheme="minorHAnsi"/>
          <w:color w:val="auto"/>
          <w:szCs w:val="24"/>
        </w:rPr>
        <w:t xml:space="preserve">Akcidentni požari na motornim vozilima“ i Akcidentni požari na stambenim prostorima i fabrikama“. Kako podaci </w:t>
      </w:r>
      <w:r w:rsidRPr="00C86111">
        <w:rPr>
          <w:rFonts w:asciiTheme="minorHAnsi" w:hAnsiTheme="minorHAnsi" w:cstheme="minorHAnsi"/>
          <w:color w:val="auto"/>
          <w:szCs w:val="24"/>
        </w:rPr>
        <w:t>o broju intervencija vatrogasnih jedinica na gašenju požara</w:t>
      </w:r>
      <w:r w:rsidRPr="00C86111">
        <w:rPr>
          <w:rFonts w:asciiTheme="minorHAnsi" w:eastAsia="Calibri" w:hAnsiTheme="minorHAnsi" w:cstheme="minorHAnsi"/>
          <w:color w:val="auto"/>
          <w:szCs w:val="24"/>
        </w:rPr>
        <w:t xml:space="preserve"> predstavljaju ulazne podatke za inventar, isti su prikazani su u tabeli </w:t>
      </w:r>
      <w:r w:rsidR="006F5A10" w:rsidRPr="00C86111">
        <w:rPr>
          <w:rFonts w:asciiTheme="minorHAnsi" w:eastAsia="Calibri" w:hAnsiTheme="minorHAnsi" w:cstheme="minorHAnsi"/>
          <w:color w:val="auto"/>
          <w:szCs w:val="24"/>
        </w:rPr>
        <w:t>3</w:t>
      </w:r>
      <w:r w:rsidRPr="00C86111">
        <w:rPr>
          <w:rFonts w:asciiTheme="minorHAnsi" w:eastAsia="Calibri" w:hAnsiTheme="minorHAnsi" w:cstheme="minorHAnsi"/>
          <w:color w:val="auto"/>
          <w:szCs w:val="24"/>
        </w:rPr>
        <w:t xml:space="preserve">3. Podaci su dostupni za period  2011 -2022. godina tako da je za period 2006 -2010. godina uzeta srednja vrijednost zbog približnosti podataka po godinama. Podaci su dobijeni od opštinskih službi zaštite i spašavanja. Sumarno proračunate </w:t>
      </w:r>
      <w:r w:rsidR="000D1995" w:rsidRPr="00C86111">
        <w:rPr>
          <w:rFonts w:asciiTheme="minorHAnsi" w:eastAsia="Calibri" w:hAnsiTheme="minorHAnsi" w:cstheme="minorHAnsi"/>
          <w:color w:val="auto"/>
          <w:szCs w:val="24"/>
        </w:rPr>
        <w:t>emisije</w:t>
      </w:r>
      <w:r w:rsidRPr="00C86111">
        <w:rPr>
          <w:rFonts w:asciiTheme="minorHAnsi" w:eastAsia="Calibri" w:hAnsiTheme="minorHAnsi" w:cstheme="minorHAnsi"/>
          <w:color w:val="auto"/>
          <w:szCs w:val="24"/>
        </w:rPr>
        <w:t xml:space="preserve"> za obje kategorije nenamjerno proizvedenih </w:t>
      </w:r>
      <w:r w:rsidRPr="00C86111">
        <w:rPr>
          <w:rFonts w:asciiTheme="minorHAnsi" w:hAnsiTheme="minorHAnsi" w:cstheme="minorHAnsi"/>
          <w:color w:val="auto"/>
          <w:szCs w:val="24"/>
        </w:rPr>
        <w:t xml:space="preserve">POP's su date u tabeli </w:t>
      </w:r>
      <w:r w:rsidR="006F5A10" w:rsidRPr="00C86111">
        <w:rPr>
          <w:rFonts w:asciiTheme="minorHAnsi" w:hAnsiTheme="minorHAnsi" w:cstheme="minorHAnsi"/>
          <w:color w:val="auto"/>
          <w:szCs w:val="24"/>
        </w:rPr>
        <w:t>3</w:t>
      </w:r>
      <w:r w:rsidRPr="00C86111">
        <w:rPr>
          <w:rFonts w:asciiTheme="minorHAnsi" w:hAnsiTheme="minorHAnsi" w:cstheme="minorHAnsi"/>
          <w:color w:val="auto"/>
          <w:szCs w:val="24"/>
        </w:rPr>
        <w:t xml:space="preserve">4. </w:t>
      </w:r>
    </w:p>
    <w:p w14:paraId="4FF63304" w14:textId="77777777" w:rsidR="006F5A10" w:rsidRPr="00C86111" w:rsidRDefault="006F5A10" w:rsidP="00375D24">
      <w:pPr>
        <w:jc w:val="both"/>
        <w:rPr>
          <w:rFonts w:asciiTheme="minorHAnsi" w:hAnsiTheme="minorHAnsi" w:cstheme="minorHAnsi"/>
          <w:b/>
          <w:bCs/>
          <w:iCs/>
          <w:lang w:val="sr-Latn-RS"/>
        </w:rPr>
      </w:pPr>
    </w:p>
    <w:p w14:paraId="663AC1EC" w14:textId="07FED58A" w:rsidR="00201FE9" w:rsidRPr="00C86111" w:rsidRDefault="00201FE9" w:rsidP="00375D24">
      <w:pPr>
        <w:jc w:val="both"/>
        <w:rPr>
          <w:rFonts w:asciiTheme="minorHAnsi" w:hAnsiTheme="minorHAnsi" w:cstheme="minorHAnsi"/>
          <w:iCs/>
          <w:lang w:val="sr-Latn-RS"/>
        </w:rPr>
      </w:pPr>
      <w:r w:rsidRPr="00C86111">
        <w:rPr>
          <w:rFonts w:asciiTheme="minorHAnsi" w:hAnsiTheme="minorHAnsi" w:cstheme="minorHAnsi"/>
          <w:b/>
          <w:bCs/>
          <w:iCs/>
          <w:lang w:val="sr-Latn-RS"/>
        </w:rPr>
        <w:t xml:space="preserve">Tabela </w:t>
      </w:r>
      <w:r w:rsidR="006F5A10" w:rsidRPr="00C86111">
        <w:rPr>
          <w:rFonts w:asciiTheme="minorHAnsi" w:hAnsiTheme="minorHAnsi" w:cstheme="minorHAnsi"/>
          <w:b/>
          <w:bCs/>
          <w:iCs/>
          <w:lang w:val="sr-Latn-RS"/>
        </w:rPr>
        <w:t>3</w:t>
      </w:r>
      <w:r w:rsidRPr="00C86111">
        <w:rPr>
          <w:rFonts w:asciiTheme="minorHAnsi" w:hAnsiTheme="minorHAnsi" w:cstheme="minorHAnsi"/>
          <w:b/>
          <w:bCs/>
          <w:iCs/>
          <w:lang w:val="sr-Latn-RS"/>
        </w:rPr>
        <w:t>3.</w:t>
      </w:r>
      <w:r w:rsidRPr="00C86111">
        <w:rPr>
          <w:rFonts w:asciiTheme="minorHAnsi" w:hAnsiTheme="minorHAnsi" w:cstheme="minorHAnsi"/>
          <w:iCs/>
          <w:lang w:val="sr-Latn-RS"/>
        </w:rPr>
        <w:t xml:space="preserve"> Broj izlazaka vatrogasnih jedinica na gašenju požara na motornim vozilima, stambenim i poslovnim prostorima i fabrikama po godinama</w:t>
      </w:r>
    </w:p>
    <w:tbl>
      <w:tblPr>
        <w:tblStyle w:val="GridTable5Dark-Accent6"/>
        <w:tblW w:w="8545" w:type="dxa"/>
        <w:tblLook w:val="04A0" w:firstRow="1" w:lastRow="0" w:firstColumn="1" w:lastColumn="0" w:noHBand="0" w:noVBand="1"/>
      </w:tblPr>
      <w:tblGrid>
        <w:gridCol w:w="2102"/>
        <w:gridCol w:w="2933"/>
        <w:gridCol w:w="3510"/>
      </w:tblGrid>
      <w:tr w:rsidR="00201FE9" w:rsidRPr="00C86111" w14:paraId="1D8794AF" w14:textId="77777777" w:rsidTr="006F5A10">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772E5864"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2933" w:type="dxa"/>
            <w:vAlign w:val="center"/>
          </w:tcPr>
          <w:p w14:paraId="4801F67A" w14:textId="77777777" w:rsidR="00201FE9" w:rsidRPr="00C86111" w:rsidRDefault="00201FE9" w:rsidP="006F5A1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t>Broj akcidentnih požara na stambenim i poslovnim prostorima, fabrikama (po objektu) na teritoriji Crne Gore</w:t>
            </w:r>
          </w:p>
        </w:tc>
        <w:tc>
          <w:tcPr>
            <w:tcW w:w="3510" w:type="dxa"/>
            <w:vAlign w:val="center"/>
          </w:tcPr>
          <w:p w14:paraId="0E5993CB" w14:textId="77777777" w:rsidR="00201FE9" w:rsidRPr="00C86111" w:rsidRDefault="00201FE9" w:rsidP="006F5A1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t>Broj akcidentnih požara na motornim vozilima na teritoriji Crne Gore</w:t>
            </w:r>
          </w:p>
        </w:tc>
      </w:tr>
      <w:tr w:rsidR="00201FE9" w:rsidRPr="00C86111" w14:paraId="7DE1F043"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755FD16B"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2933" w:type="dxa"/>
            <w:vAlign w:val="center"/>
          </w:tcPr>
          <w:p w14:paraId="77F1D986"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278*</w:t>
            </w:r>
          </w:p>
        </w:tc>
        <w:tc>
          <w:tcPr>
            <w:tcW w:w="3510" w:type="dxa"/>
            <w:vAlign w:val="center"/>
          </w:tcPr>
          <w:p w14:paraId="1432DA00"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128*</w:t>
            </w:r>
          </w:p>
        </w:tc>
      </w:tr>
      <w:tr w:rsidR="00201FE9" w:rsidRPr="00C86111" w14:paraId="3C5AB637"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5FCB385E"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2933" w:type="dxa"/>
            <w:vAlign w:val="center"/>
          </w:tcPr>
          <w:p w14:paraId="123E5C12"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278*</w:t>
            </w:r>
          </w:p>
        </w:tc>
        <w:tc>
          <w:tcPr>
            <w:tcW w:w="3510" w:type="dxa"/>
            <w:vAlign w:val="center"/>
          </w:tcPr>
          <w:p w14:paraId="7D5EE3EB"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128*</w:t>
            </w:r>
          </w:p>
        </w:tc>
      </w:tr>
      <w:tr w:rsidR="00201FE9" w:rsidRPr="00C86111" w14:paraId="6DDC198C"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7F0D41F4"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2933" w:type="dxa"/>
            <w:vAlign w:val="center"/>
          </w:tcPr>
          <w:p w14:paraId="3AA83603"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278*</w:t>
            </w:r>
          </w:p>
        </w:tc>
        <w:tc>
          <w:tcPr>
            <w:tcW w:w="3510" w:type="dxa"/>
            <w:vAlign w:val="center"/>
          </w:tcPr>
          <w:p w14:paraId="622CDB0B"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128*</w:t>
            </w:r>
          </w:p>
        </w:tc>
      </w:tr>
      <w:tr w:rsidR="00201FE9" w:rsidRPr="00C86111" w14:paraId="52D33D11"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2FCD06EC"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2933" w:type="dxa"/>
            <w:vAlign w:val="center"/>
          </w:tcPr>
          <w:p w14:paraId="678F5756"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278*</w:t>
            </w:r>
          </w:p>
        </w:tc>
        <w:tc>
          <w:tcPr>
            <w:tcW w:w="3510" w:type="dxa"/>
            <w:vAlign w:val="center"/>
          </w:tcPr>
          <w:p w14:paraId="011662A6"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128*</w:t>
            </w:r>
          </w:p>
        </w:tc>
      </w:tr>
      <w:tr w:rsidR="00201FE9" w:rsidRPr="00C86111" w14:paraId="43690F87"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0CDA88F3"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2933" w:type="dxa"/>
            <w:vAlign w:val="center"/>
          </w:tcPr>
          <w:p w14:paraId="36C49411"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278*</w:t>
            </w:r>
          </w:p>
        </w:tc>
        <w:tc>
          <w:tcPr>
            <w:tcW w:w="3510" w:type="dxa"/>
            <w:vAlign w:val="center"/>
          </w:tcPr>
          <w:p w14:paraId="2E711616"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128*</w:t>
            </w:r>
          </w:p>
        </w:tc>
      </w:tr>
      <w:tr w:rsidR="00201FE9" w:rsidRPr="00C86111" w14:paraId="4F714598"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30857719"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2933" w:type="dxa"/>
            <w:vAlign w:val="center"/>
          </w:tcPr>
          <w:p w14:paraId="0B36D7BF"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249</w:t>
            </w:r>
          </w:p>
        </w:tc>
        <w:tc>
          <w:tcPr>
            <w:tcW w:w="3510" w:type="dxa"/>
            <w:vAlign w:val="center"/>
          </w:tcPr>
          <w:p w14:paraId="51FF6FCF"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143</w:t>
            </w:r>
          </w:p>
        </w:tc>
      </w:tr>
      <w:tr w:rsidR="00201FE9" w:rsidRPr="00C86111" w14:paraId="7F1BC22B"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4787B98D"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2933" w:type="dxa"/>
            <w:vAlign w:val="center"/>
          </w:tcPr>
          <w:p w14:paraId="3CE62E30"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278</w:t>
            </w:r>
          </w:p>
        </w:tc>
        <w:tc>
          <w:tcPr>
            <w:tcW w:w="3510" w:type="dxa"/>
            <w:vAlign w:val="center"/>
          </w:tcPr>
          <w:p w14:paraId="6586CAB7"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137</w:t>
            </w:r>
          </w:p>
        </w:tc>
      </w:tr>
      <w:tr w:rsidR="00201FE9" w:rsidRPr="00C86111" w14:paraId="46EA5FD6"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66F4D6D7"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2933" w:type="dxa"/>
            <w:vAlign w:val="center"/>
          </w:tcPr>
          <w:p w14:paraId="59E2F39C"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263</w:t>
            </w:r>
          </w:p>
        </w:tc>
        <w:tc>
          <w:tcPr>
            <w:tcW w:w="3510" w:type="dxa"/>
            <w:vAlign w:val="center"/>
          </w:tcPr>
          <w:p w14:paraId="72A88B06"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133</w:t>
            </w:r>
          </w:p>
        </w:tc>
      </w:tr>
      <w:tr w:rsidR="00201FE9" w:rsidRPr="00C86111" w14:paraId="7A899099"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286B7BEC"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c>
          <w:tcPr>
            <w:tcW w:w="2933" w:type="dxa"/>
            <w:vAlign w:val="center"/>
          </w:tcPr>
          <w:p w14:paraId="3E7DC4C8"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259</w:t>
            </w:r>
          </w:p>
        </w:tc>
        <w:tc>
          <w:tcPr>
            <w:tcW w:w="3510" w:type="dxa"/>
            <w:vAlign w:val="center"/>
          </w:tcPr>
          <w:p w14:paraId="79F30166"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134</w:t>
            </w:r>
          </w:p>
        </w:tc>
      </w:tr>
      <w:tr w:rsidR="00201FE9" w:rsidRPr="00C86111" w14:paraId="1F25813D"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0A7D492D"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2015</w:t>
            </w:r>
          </w:p>
        </w:tc>
        <w:tc>
          <w:tcPr>
            <w:tcW w:w="2933" w:type="dxa"/>
            <w:vAlign w:val="center"/>
          </w:tcPr>
          <w:p w14:paraId="036D061D"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316</w:t>
            </w:r>
          </w:p>
        </w:tc>
        <w:tc>
          <w:tcPr>
            <w:tcW w:w="3510" w:type="dxa"/>
            <w:vAlign w:val="center"/>
          </w:tcPr>
          <w:p w14:paraId="089033F2"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139</w:t>
            </w:r>
          </w:p>
        </w:tc>
      </w:tr>
      <w:tr w:rsidR="00201FE9" w:rsidRPr="00C86111" w14:paraId="7E2D923A"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7CDBCF15"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2016</w:t>
            </w:r>
          </w:p>
        </w:tc>
        <w:tc>
          <w:tcPr>
            <w:tcW w:w="2933" w:type="dxa"/>
            <w:vAlign w:val="center"/>
          </w:tcPr>
          <w:p w14:paraId="17A4553D"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301</w:t>
            </w:r>
          </w:p>
        </w:tc>
        <w:tc>
          <w:tcPr>
            <w:tcW w:w="3510" w:type="dxa"/>
            <w:vAlign w:val="center"/>
          </w:tcPr>
          <w:p w14:paraId="1666BB56"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150</w:t>
            </w:r>
          </w:p>
        </w:tc>
      </w:tr>
      <w:tr w:rsidR="00201FE9" w:rsidRPr="00C86111" w14:paraId="087E6A6F"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354FBFEB"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2017</w:t>
            </w:r>
          </w:p>
        </w:tc>
        <w:tc>
          <w:tcPr>
            <w:tcW w:w="2933" w:type="dxa"/>
            <w:vAlign w:val="center"/>
          </w:tcPr>
          <w:p w14:paraId="4F827628"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258</w:t>
            </w:r>
          </w:p>
        </w:tc>
        <w:tc>
          <w:tcPr>
            <w:tcW w:w="3510" w:type="dxa"/>
            <w:vAlign w:val="center"/>
          </w:tcPr>
          <w:p w14:paraId="5AFBC9ED"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161</w:t>
            </w:r>
          </w:p>
        </w:tc>
      </w:tr>
      <w:tr w:rsidR="00201FE9" w:rsidRPr="00C86111" w14:paraId="5628A568"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74C5D5ED"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c>
          <w:tcPr>
            <w:tcW w:w="2933" w:type="dxa"/>
            <w:vAlign w:val="center"/>
          </w:tcPr>
          <w:p w14:paraId="64ACC860"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271</w:t>
            </w:r>
          </w:p>
        </w:tc>
        <w:tc>
          <w:tcPr>
            <w:tcW w:w="3510" w:type="dxa"/>
            <w:vAlign w:val="center"/>
          </w:tcPr>
          <w:p w14:paraId="538FFEA3"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113</w:t>
            </w:r>
          </w:p>
        </w:tc>
      </w:tr>
      <w:tr w:rsidR="00201FE9" w:rsidRPr="00C86111" w14:paraId="2B2743DE"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705E59B9"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2019</w:t>
            </w:r>
          </w:p>
        </w:tc>
        <w:tc>
          <w:tcPr>
            <w:tcW w:w="2933" w:type="dxa"/>
            <w:vAlign w:val="center"/>
          </w:tcPr>
          <w:p w14:paraId="6EA51154"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320</w:t>
            </w:r>
          </w:p>
        </w:tc>
        <w:tc>
          <w:tcPr>
            <w:tcW w:w="3510" w:type="dxa"/>
            <w:vAlign w:val="center"/>
          </w:tcPr>
          <w:p w14:paraId="4D96BEEC"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155</w:t>
            </w:r>
          </w:p>
        </w:tc>
      </w:tr>
      <w:tr w:rsidR="00201FE9" w:rsidRPr="00C86111" w14:paraId="15CA63B5"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1C637737"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2020</w:t>
            </w:r>
          </w:p>
        </w:tc>
        <w:tc>
          <w:tcPr>
            <w:tcW w:w="2933" w:type="dxa"/>
            <w:vAlign w:val="center"/>
          </w:tcPr>
          <w:p w14:paraId="2EE12B1C"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292</w:t>
            </w:r>
          </w:p>
        </w:tc>
        <w:tc>
          <w:tcPr>
            <w:tcW w:w="3510" w:type="dxa"/>
            <w:vAlign w:val="center"/>
          </w:tcPr>
          <w:p w14:paraId="0F3F9882"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108</w:t>
            </w:r>
          </w:p>
        </w:tc>
      </w:tr>
      <w:tr w:rsidR="00201FE9" w:rsidRPr="00C86111" w14:paraId="6142ECE4" w14:textId="77777777" w:rsidTr="006F5A10">
        <w:trPr>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105FDE3D"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2933" w:type="dxa"/>
            <w:vAlign w:val="center"/>
          </w:tcPr>
          <w:p w14:paraId="48DD8893"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286</w:t>
            </w:r>
          </w:p>
        </w:tc>
        <w:tc>
          <w:tcPr>
            <w:tcW w:w="3510" w:type="dxa"/>
            <w:vAlign w:val="center"/>
          </w:tcPr>
          <w:p w14:paraId="75CD5501" w14:textId="77777777" w:rsidR="00201FE9" w:rsidRPr="00C86111" w:rsidRDefault="00201FE9" w:rsidP="006F5A1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104</w:t>
            </w:r>
          </w:p>
        </w:tc>
      </w:tr>
      <w:tr w:rsidR="00201FE9" w:rsidRPr="00C86111" w14:paraId="1E59A3EB" w14:textId="77777777" w:rsidTr="006F5A1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02" w:type="dxa"/>
            <w:vAlign w:val="center"/>
          </w:tcPr>
          <w:p w14:paraId="5F86C576" w14:textId="77777777" w:rsidR="00201FE9" w:rsidRPr="00C86111" w:rsidRDefault="00201FE9" w:rsidP="006F5A10">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c>
          <w:tcPr>
            <w:tcW w:w="2933" w:type="dxa"/>
            <w:vAlign w:val="center"/>
          </w:tcPr>
          <w:p w14:paraId="50522984"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250</w:t>
            </w:r>
          </w:p>
        </w:tc>
        <w:tc>
          <w:tcPr>
            <w:tcW w:w="3510" w:type="dxa"/>
            <w:vAlign w:val="center"/>
          </w:tcPr>
          <w:p w14:paraId="7B0F8B22" w14:textId="77777777" w:rsidR="00201FE9" w:rsidRPr="00C86111" w:rsidRDefault="00201FE9" w:rsidP="006F5A1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102</w:t>
            </w:r>
          </w:p>
        </w:tc>
      </w:tr>
    </w:tbl>
    <w:p w14:paraId="6FF23EEB" w14:textId="77777777" w:rsidR="00201FE9" w:rsidRPr="00C86111" w:rsidRDefault="00201FE9" w:rsidP="00201FE9">
      <w:pPr>
        <w:pStyle w:val="NoSpacing"/>
        <w:ind w:left="720"/>
        <w:rPr>
          <w:rFonts w:cstheme="minorHAnsi"/>
          <w:i/>
          <w:iCs/>
          <w:noProof/>
          <w:lang w:val="sr-Latn-RS"/>
        </w:rPr>
      </w:pPr>
      <w:r w:rsidRPr="00C86111">
        <w:rPr>
          <w:rFonts w:cstheme="minorHAnsi"/>
          <w:i/>
          <w:iCs/>
          <w:noProof/>
          <w:lang w:val="sr-Latn-RS"/>
        </w:rPr>
        <w:lastRenderedPageBreak/>
        <w:t>*srednja vrijednost</w:t>
      </w:r>
    </w:p>
    <w:p w14:paraId="3B64A153" w14:textId="31DE801F" w:rsidR="00201FE9" w:rsidRPr="00C86111" w:rsidRDefault="00201FE9" w:rsidP="00201FE9">
      <w:pPr>
        <w:jc w:val="both"/>
        <w:rPr>
          <w:rFonts w:asciiTheme="minorHAnsi" w:eastAsiaTheme="minorEastAsia" w:hAnsiTheme="minorHAnsi" w:cstheme="minorHAnsi"/>
          <w:color w:val="auto"/>
          <w:szCs w:val="24"/>
        </w:rPr>
      </w:pPr>
    </w:p>
    <w:p w14:paraId="1E8DD2FB" w14:textId="1170D48D"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6F5A10" w:rsidRPr="00C86111">
        <w:rPr>
          <w:rFonts w:asciiTheme="minorHAnsi" w:hAnsiTheme="minorHAnsi" w:cstheme="minorHAnsi"/>
          <w:b/>
          <w:bCs/>
          <w:i w:val="0"/>
          <w:iCs/>
          <w:sz w:val="24"/>
          <w:lang w:val="sr-Latn-RS"/>
        </w:rPr>
        <w:t>3</w:t>
      </w:r>
      <w:r w:rsidRPr="00C86111">
        <w:rPr>
          <w:rFonts w:asciiTheme="minorHAnsi" w:hAnsiTheme="minorHAnsi" w:cstheme="minorHAnsi"/>
          <w:b/>
          <w:bCs/>
          <w:i w:val="0"/>
          <w:iCs/>
          <w:sz w:val="24"/>
          <w:lang w:val="sr-Latn-RS"/>
        </w:rPr>
        <w:t>4.</w:t>
      </w:r>
      <w:r w:rsidRPr="00C86111">
        <w:rPr>
          <w:rFonts w:asciiTheme="minorHAnsi" w:hAnsiTheme="minorHAnsi" w:cstheme="minorHAnsi"/>
          <w:i w:val="0"/>
          <w:iCs/>
          <w:sz w:val="24"/>
          <w:lang w:val="sr-Latn-RS"/>
        </w:rPr>
        <w:t xml:space="preserve"> Ukupne godišnje POP's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(PCDD/PCDF) usled akcidentnih požara na motornim vozilima, stambenim i poslovnim prostorima i fabrikama, 2006-2022. godina (gTEQ/god)</w:t>
      </w:r>
    </w:p>
    <w:tbl>
      <w:tblPr>
        <w:tblStyle w:val="GridTable5Dark-Accent6"/>
        <w:tblW w:w="8785" w:type="dxa"/>
        <w:tblLook w:val="04A0" w:firstRow="1" w:lastRow="0" w:firstColumn="1" w:lastColumn="0" w:noHBand="0" w:noVBand="1"/>
      </w:tblPr>
      <w:tblGrid>
        <w:gridCol w:w="1784"/>
        <w:gridCol w:w="768"/>
        <w:gridCol w:w="780"/>
        <w:gridCol w:w="779"/>
        <w:gridCol w:w="779"/>
        <w:gridCol w:w="779"/>
        <w:gridCol w:w="779"/>
        <w:gridCol w:w="779"/>
        <w:gridCol w:w="779"/>
        <w:gridCol w:w="779"/>
      </w:tblGrid>
      <w:tr w:rsidR="00201FE9" w:rsidRPr="00C86111" w14:paraId="3F30E8A3"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1E3BB41"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58937EC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2D74AF0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706A911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434D872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1047EFE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32CBB5AE"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4C05AD9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10E1BB2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9" w:type="dxa"/>
          </w:tcPr>
          <w:p w14:paraId="3ED652B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7D53F027"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5259961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51E0119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80" w:type="dxa"/>
          </w:tcPr>
          <w:p w14:paraId="1C10169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303F69E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0BCFCFD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3E643E2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26B1EF2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132FBA5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290BED3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4998933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r>
      <w:tr w:rsidR="00201FE9" w:rsidRPr="00C86111" w14:paraId="12990AFC"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18310633"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Zemljište </w:t>
            </w:r>
          </w:p>
        </w:tc>
        <w:tc>
          <w:tcPr>
            <w:tcW w:w="768" w:type="dxa"/>
          </w:tcPr>
          <w:p w14:paraId="2BC79A1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80" w:type="dxa"/>
          </w:tcPr>
          <w:p w14:paraId="236F036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74E15B5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047A97F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6E24936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0C37CAD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0.10</w:t>
            </w:r>
          </w:p>
        </w:tc>
        <w:tc>
          <w:tcPr>
            <w:tcW w:w="779" w:type="dxa"/>
          </w:tcPr>
          <w:p w14:paraId="536E17E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4197419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62BD48A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r>
      <w:tr w:rsidR="00201FE9" w:rsidRPr="00C86111" w14:paraId="29A64FC3"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144710A2"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0555DB5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80" w:type="dxa"/>
          </w:tcPr>
          <w:p w14:paraId="49CC4CD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9" w:type="dxa"/>
          </w:tcPr>
          <w:p w14:paraId="3DAC520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9" w:type="dxa"/>
          </w:tcPr>
          <w:p w14:paraId="16D2ED4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9" w:type="dxa"/>
          </w:tcPr>
          <w:p w14:paraId="34E5420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9" w:type="dxa"/>
          </w:tcPr>
          <w:p w14:paraId="5A23488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9" w:type="dxa"/>
          </w:tcPr>
          <w:p w14:paraId="16A26D8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9" w:type="dxa"/>
          </w:tcPr>
          <w:p w14:paraId="705007D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9" w:type="dxa"/>
          </w:tcPr>
          <w:p w14:paraId="4949A75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6DB40C0C"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6C4EAF6C"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Vazduh</w:t>
            </w:r>
          </w:p>
        </w:tc>
        <w:tc>
          <w:tcPr>
            <w:tcW w:w="768" w:type="dxa"/>
          </w:tcPr>
          <w:p w14:paraId="21ACBC4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80" w:type="dxa"/>
          </w:tcPr>
          <w:p w14:paraId="7AC05F0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79" w:type="dxa"/>
          </w:tcPr>
          <w:p w14:paraId="410ADBA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5899410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0A61701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79" w:type="dxa"/>
          </w:tcPr>
          <w:p w14:paraId="57159FB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79" w:type="dxa"/>
          </w:tcPr>
          <w:p w14:paraId="739DBB6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052C0D0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05FD9E7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5F011E3F"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2F3F0EA3"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Zemljište</w:t>
            </w:r>
          </w:p>
        </w:tc>
        <w:tc>
          <w:tcPr>
            <w:tcW w:w="768" w:type="dxa"/>
          </w:tcPr>
          <w:p w14:paraId="21215AC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80" w:type="dxa"/>
          </w:tcPr>
          <w:p w14:paraId="17A577A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41EB8A2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041F96C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0.11</w:t>
            </w:r>
          </w:p>
        </w:tc>
        <w:tc>
          <w:tcPr>
            <w:tcW w:w="779" w:type="dxa"/>
          </w:tcPr>
          <w:p w14:paraId="4AE8AC0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79" w:type="dxa"/>
          </w:tcPr>
          <w:p w14:paraId="5B1D8BC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1787F9F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568DDDD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0.10</w:t>
            </w:r>
          </w:p>
        </w:tc>
        <w:tc>
          <w:tcPr>
            <w:tcW w:w="779" w:type="dxa"/>
          </w:tcPr>
          <w:p w14:paraId="1B852C4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132968DC" w14:textId="77777777" w:rsidR="00201FE9" w:rsidRPr="00C86111" w:rsidRDefault="00201FE9" w:rsidP="00EA6904">
      <w:pPr>
        <w:pStyle w:val="Heading4"/>
        <w:rPr>
          <w:lang w:val="sr-Latn-RS"/>
        </w:rPr>
      </w:pPr>
      <w:bookmarkStart w:id="69" w:name="_Toc501437759"/>
      <w:r w:rsidRPr="00C86111">
        <w:rPr>
          <w:lang w:val="sr-Latn-RS"/>
        </w:rPr>
        <w:t>Grupa 7. Proizvodnja hemikalija i robe široke potrošnje</w:t>
      </w:r>
      <w:bookmarkEnd w:id="69"/>
    </w:p>
    <w:p w14:paraId="36A8793E" w14:textId="7FC2AB21"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U okviru Proizvodnja hemikalija i robe široke potrošnje ne postoje aktivnosti koje dovode do emisija PCDD/PCDF. Fabrika za proizvodnju celuloze i papira koja se nalazila na lokaciji u Beranama obustavila je proizvodnju prije bazne 2006. godine. Na osnovu prikupljenih informacija prostor ove fabrike sa bližom okolinom se može smatrati potencijalnom kontaminiranom lokacijom sa POP’s. Više informacija je dato u okviru grupe 10. „Potencijalne kontaminirane lokacije“.</w:t>
      </w:r>
    </w:p>
    <w:p w14:paraId="784017A3" w14:textId="77777777" w:rsidR="00201FE9" w:rsidRPr="00C86111" w:rsidRDefault="00201FE9" w:rsidP="00EA6904">
      <w:pPr>
        <w:pStyle w:val="Heading4"/>
        <w:rPr>
          <w:lang w:val="sr-Latn-RS"/>
        </w:rPr>
      </w:pPr>
      <w:bookmarkStart w:id="70" w:name="_Toc501437760"/>
      <w:r w:rsidRPr="00C86111">
        <w:rPr>
          <w:lang w:val="sr-Latn-RS"/>
        </w:rPr>
        <w:t>Grupa 8. Razno</w:t>
      </w:r>
      <w:bookmarkEnd w:id="70"/>
    </w:p>
    <w:p w14:paraId="4DD7B96E" w14:textId="281DA484"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U okviru ove kategorije razmatrane su POP’s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usled sušenja dimljenog mesa i potrošnje cigareta. Za aktivnosti unutar ostalih podkategorija je ocijenjeno da se ne javljaju u Crnoj Gori (npr. krematorijumi) ili ako se javljaju, predstavljaju zanemarljive potencijalne izvore POP’s (npr. suvo, hemijsko čišćenje). </w:t>
      </w:r>
    </w:p>
    <w:p w14:paraId="67F19C7B"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Za podkategoriju-Sušare dimljenog mesa, zvanični podaci o količinama sušenog mesa su raspoloživi poslije 2011. godine pa su za period prije 2011.godine procijenjeni preko srednje vrijednosti. Podaci o sušenju ribe nisu dostupni.</w:t>
      </w:r>
    </w:p>
    <w:p w14:paraId="3B0D0DA0"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Izvor podataka: Uprava za statistiku - Monstat.</w:t>
      </w:r>
    </w:p>
    <w:p w14:paraId="7ED07F06"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Kao izvor podataka za potrošnju cigareta iskorišćen je podatak Svjetske asocijacije za pluća. Potrošnja cigareta za 2014. godinu (World Lung Association, Cigarette Consumption 2014 Tobacco Atlas) po kojem je Crna Gora najveći potrošač cigareta po glavi stanovnika na svjetskom nivou sa procijenjenom potrošnjom od 4124 cigarete po glavi stanovnika. </w:t>
      </w:r>
    </w:p>
    <w:p w14:paraId="1FA60976" w14:textId="0AB2E504"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Ukupno količina nenamjerno proizvedenih/ispuštenih PCDD/PCDF u vazduh iz kategorije 8. Razno za 2006. godinu iznosi 0.012 g TEQ/godini. odnosno u ostacima iz procesa proizvodnje 0.039 g TEQ/godini. POP’s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su zbog povećane proizvedene količine suvog mesa u 2022. godini povećane i iznose u vazduh 0.029 g TEQ/godini, odnosno u ostacima iz procesa proizvodnje 0.094 g TEQ/godini.</w:t>
      </w:r>
    </w:p>
    <w:p w14:paraId="4C5C58BE" w14:textId="77777777" w:rsidR="00375D24" w:rsidRPr="00C86111" w:rsidRDefault="00375D24" w:rsidP="00201FE9">
      <w:pPr>
        <w:jc w:val="both"/>
        <w:rPr>
          <w:rFonts w:asciiTheme="minorHAnsi" w:hAnsiTheme="minorHAnsi" w:cstheme="minorHAnsi"/>
          <w:color w:val="auto"/>
          <w:szCs w:val="24"/>
        </w:rPr>
      </w:pPr>
    </w:p>
    <w:p w14:paraId="3FC5A625" w14:textId="77777777" w:rsidR="00201FE9" w:rsidRPr="00C86111" w:rsidRDefault="00201FE9" w:rsidP="00EA6904">
      <w:pPr>
        <w:pStyle w:val="Heading4"/>
        <w:rPr>
          <w:lang w:val="sr-Latn-RS"/>
        </w:rPr>
      </w:pPr>
      <w:bookmarkStart w:id="71" w:name="_Toc501437761"/>
      <w:r w:rsidRPr="00C86111">
        <w:rPr>
          <w:lang w:val="sr-Latn-RS"/>
        </w:rPr>
        <w:lastRenderedPageBreak/>
        <w:t>Grupa 9. Odlaganje otpada</w:t>
      </w:r>
      <w:bookmarkEnd w:id="71"/>
    </w:p>
    <w:p w14:paraId="1C83AEB6"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U Crnoj Gori komunalni otpad se odlaže na dvije sanitarne deponije, deponija Livade- Podgorica koja je u funkciji od 2007. godine i deponija Možura pored Bara koja je operativna od 2012. godine, Na teritoriji zemlje postoji 19 kontrolisanih odlagališta, od kojih su dva namijenjena samo za odlaganje građevinskog otpada (lokacija Dragalj u Kotoru i lokacija Brajići u Budvi). Od ostalih 17 kontrolisanih odlagališta, samo osam je pod većom vrstom kontrole. Prema Izvještaju o sprovođenju Državnog plana upravljanja otpadom u 2020. u Crnoj Gori postoje 334 neuređena odlagališta otpada.</w:t>
      </w:r>
    </w:p>
    <w:p w14:paraId="02D24AB9"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Izvor podataka : Monstat, tabela 9. Obrada komunalnog otpada, 2011 - 2022. </w:t>
      </w:r>
    </w:p>
    <w:p w14:paraId="58893D13" w14:textId="5F4C3EC5"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Statistički podaci za period 2011 -2016. su ažurirani u odnosu na statističke ulazne podatke korišćene u prethodnom inventaru. U skladu sa time je izvršena rekalkulacija POP’s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 za period 2011-2016. </w:t>
      </w:r>
    </w:p>
    <w:p w14:paraId="23F8DFA4" w14:textId="3F82E639"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Tabelama </w:t>
      </w:r>
      <w:r w:rsidR="006F5A10" w:rsidRPr="00C86111">
        <w:rPr>
          <w:rFonts w:asciiTheme="minorHAnsi" w:hAnsiTheme="minorHAnsi" w:cstheme="minorHAnsi"/>
          <w:color w:val="auto"/>
          <w:szCs w:val="24"/>
        </w:rPr>
        <w:t>3</w:t>
      </w:r>
      <w:r w:rsidRPr="00C86111">
        <w:rPr>
          <w:rFonts w:asciiTheme="minorHAnsi" w:hAnsiTheme="minorHAnsi" w:cstheme="minorHAnsi"/>
          <w:color w:val="auto"/>
          <w:szCs w:val="24"/>
        </w:rPr>
        <w:t xml:space="preserve">5. i </w:t>
      </w:r>
      <w:r w:rsidR="006F5A10" w:rsidRPr="00C86111">
        <w:rPr>
          <w:rFonts w:asciiTheme="minorHAnsi" w:hAnsiTheme="minorHAnsi" w:cstheme="minorHAnsi"/>
          <w:color w:val="auto"/>
          <w:szCs w:val="24"/>
        </w:rPr>
        <w:t>3</w:t>
      </w:r>
      <w:r w:rsidRPr="00C86111">
        <w:rPr>
          <w:rFonts w:asciiTheme="minorHAnsi" w:hAnsiTheme="minorHAnsi" w:cstheme="minorHAnsi"/>
          <w:color w:val="auto"/>
          <w:szCs w:val="24"/>
        </w:rPr>
        <w:t xml:space="preserve">6. su prikazane ukupne godišnje POP’s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usled odlaganja miješanog komunalnog otpada za posmatrani period kao i količene odloženog otpada. Ostaci iz procesa predstavljau obrađeni miješani komunalni otpad koji je odložen na sanitarnim deponijama i uređenim odlagalištima otpada.</w:t>
      </w:r>
    </w:p>
    <w:p w14:paraId="1DA869FA" w14:textId="3C2281B6"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6F5A10" w:rsidRPr="00C86111">
        <w:rPr>
          <w:rFonts w:asciiTheme="minorHAnsi" w:hAnsiTheme="minorHAnsi" w:cstheme="minorHAnsi"/>
          <w:b/>
          <w:bCs/>
          <w:i w:val="0"/>
          <w:iCs/>
          <w:sz w:val="24"/>
          <w:lang w:val="sr-Latn-RS"/>
        </w:rPr>
        <w:t>3</w:t>
      </w:r>
      <w:r w:rsidRPr="00C86111">
        <w:rPr>
          <w:rFonts w:asciiTheme="minorHAnsi" w:hAnsiTheme="minorHAnsi" w:cstheme="minorHAnsi"/>
          <w:b/>
          <w:bCs/>
          <w:i w:val="0"/>
          <w:iCs/>
          <w:sz w:val="24"/>
          <w:lang w:val="sr-Latn-RS"/>
        </w:rPr>
        <w:t>5.</w:t>
      </w:r>
      <w:r w:rsidRPr="00C86111">
        <w:rPr>
          <w:rFonts w:asciiTheme="minorHAnsi" w:hAnsiTheme="minorHAnsi" w:cstheme="minorHAnsi"/>
          <w:i w:val="0"/>
          <w:iCs/>
          <w:sz w:val="24"/>
          <w:lang w:val="sr-Latn-RS"/>
        </w:rPr>
        <w:t xml:space="preserve"> Ukupne godišnje POP's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(PCDD/PCDF) usled odlaganja miješanog komunalnog otpada, 2006-2022. godina (gTEQ/god)</w:t>
      </w:r>
    </w:p>
    <w:tbl>
      <w:tblPr>
        <w:tblStyle w:val="GridTable5Dark-Accent6"/>
        <w:tblW w:w="9265" w:type="dxa"/>
        <w:tblLook w:val="04A0" w:firstRow="1" w:lastRow="0" w:firstColumn="1" w:lastColumn="0" w:noHBand="0" w:noVBand="1"/>
      </w:tblPr>
      <w:tblGrid>
        <w:gridCol w:w="1784"/>
        <w:gridCol w:w="768"/>
        <w:gridCol w:w="780"/>
        <w:gridCol w:w="779"/>
        <w:gridCol w:w="779"/>
        <w:gridCol w:w="779"/>
        <w:gridCol w:w="779"/>
        <w:gridCol w:w="779"/>
        <w:gridCol w:w="779"/>
        <w:gridCol w:w="1259"/>
      </w:tblGrid>
      <w:tr w:rsidR="00201FE9" w:rsidRPr="00C86111" w14:paraId="5C1B8287"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60F655AA"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65413D4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12D9144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2CEAC952"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463A221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3F3B656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64AE53C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0ED18D1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181F100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1259" w:type="dxa"/>
          </w:tcPr>
          <w:p w14:paraId="7AB7113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726F7574"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266B6D7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Voda</w:t>
            </w:r>
          </w:p>
        </w:tc>
        <w:tc>
          <w:tcPr>
            <w:tcW w:w="768" w:type="dxa"/>
          </w:tcPr>
          <w:p w14:paraId="0252D10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80" w:type="dxa"/>
          </w:tcPr>
          <w:p w14:paraId="3E2919B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c>
          <w:tcPr>
            <w:tcW w:w="779" w:type="dxa"/>
          </w:tcPr>
          <w:p w14:paraId="49CC28B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79" w:type="dxa"/>
          </w:tcPr>
          <w:p w14:paraId="3843F8C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79" w:type="dxa"/>
          </w:tcPr>
          <w:p w14:paraId="22AB0E5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79" w:type="dxa"/>
          </w:tcPr>
          <w:p w14:paraId="175297C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79" w:type="dxa"/>
          </w:tcPr>
          <w:p w14:paraId="56952AD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779" w:type="dxa"/>
          </w:tcPr>
          <w:p w14:paraId="3398945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0.12</w:t>
            </w:r>
          </w:p>
        </w:tc>
        <w:tc>
          <w:tcPr>
            <w:tcW w:w="1259" w:type="dxa"/>
          </w:tcPr>
          <w:p w14:paraId="7F80274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r>
      <w:tr w:rsidR="00201FE9" w:rsidRPr="00C86111" w14:paraId="7AD43BD7"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38F9D8D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w:t>
            </w:r>
          </w:p>
        </w:tc>
        <w:tc>
          <w:tcPr>
            <w:tcW w:w="768" w:type="dxa"/>
          </w:tcPr>
          <w:p w14:paraId="64010AD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13.16</w:t>
            </w:r>
          </w:p>
        </w:tc>
        <w:tc>
          <w:tcPr>
            <w:tcW w:w="780" w:type="dxa"/>
          </w:tcPr>
          <w:p w14:paraId="1708FC2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14.61</w:t>
            </w:r>
          </w:p>
        </w:tc>
        <w:tc>
          <w:tcPr>
            <w:tcW w:w="779" w:type="dxa"/>
          </w:tcPr>
          <w:p w14:paraId="4EBDF9D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13.69</w:t>
            </w:r>
          </w:p>
        </w:tc>
        <w:tc>
          <w:tcPr>
            <w:tcW w:w="779" w:type="dxa"/>
          </w:tcPr>
          <w:p w14:paraId="6925DA1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14.01</w:t>
            </w:r>
          </w:p>
        </w:tc>
        <w:tc>
          <w:tcPr>
            <w:tcW w:w="779" w:type="dxa"/>
          </w:tcPr>
          <w:p w14:paraId="6C2C4DF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13.08</w:t>
            </w:r>
          </w:p>
        </w:tc>
        <w:tc>
          <w:tcPr>
            <w:tcW w:w="779" w:type="dxa"/>
          </w:tcPr>
          <w:p w14:paraId="7AB6E91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12.46</w:t>
            </w:r>
          </w:p>
        </w:tc>
        <w:tc>
          <w:tcPr>
            <w:tcW w:w="779" w:type="dxa"/>
          </w:tcPr>
          <w:p w14:paraId="561A2AB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12.25</w:t>
            </w:r>
          </w:p>
        </w:tc>
        <w:tc>
          <w:tcPr>
            <w:tcW w:w="779" w:type="dxa"/>
          </w:tcPr>
          <w:p w14:paraId="44E4BFD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12.21</w:t>
            </w:r>
          </w:p>
        </w:tc>
        <w:tc>
          <w:tcPr>
            <w:tcW w:w="1259" w:type="dxa"/>
          </w:tcPr>
          <w:p w14:paraId="169F5D8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13.61</w:t>
            </w:r>
          </w:p>
        </w:tc>
      </w:tr>
      <w:tr w:rsidR="00201FE9" w:rsidRPr="00C86111" w14:paraId="2E6E060F"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3B08969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5386503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80" w:type="dxa"/>
          </w:tcPr>
          <w:p w14:paraId="62BFFF4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9" w:type="dxa"/>
          </w:tcPr>
          <w:p w14:paraId="7AB15AE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9" w:type="dxa"/>
          </w:tcPr>
          <w:p w14:paraId="00FA13E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9" w:type="dxa"/>
          </w:tcPr>
          <w:p w14:paraId="14DA950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9" w:type="dxa"/>
          </w:tcPr>
          <w:p w14:paraId="20932C8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9" w:type="dxa"/>
          </w:tcPr>
          <w:p w14:paraId="491FB18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9" w:type="dxa"/>
          </w:tcPr>
          <w:p w14:paraId="5FEAB45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1259" w:type="dxa"/>
          </w:tcPr>
          <w:p w14:paraId="4A154E6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34A02D56"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4DEB473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Voda</w:t>
            </w:r>
          </w:p>
        </w:tc>
        <w:tc>
          <w:tcPr>
            <w:tcW w:w="768" w:type="dxa"/>
          </w:tcPr>
          <w:p w14:paraId="5617D3A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80" w:type="dxa"/>
          </w:tcPr>
          <w:p w14:paraId="6B20BE1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c>
          <w:tcPr>
            <w:tcW w:w="779" w:type="dxa"/>
          </w:tcPr>
          <w:p w14:paraId="62291FD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79" w:type="dxa"/>
          </w:tcPr>
          <w:p w14:paraId="5EB770D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0.13</w:t>
            </w:r>
          </w:p>
        </w:tc>
        <w:tc>
          <w:tcPr>
            <w:tcW w:w="779" w:type="dxa"/>
          </w:tcPr>
          <w:p w14:paraId="3E6FE97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79" w:type="dxa"/>
          </w:tcPr>
          <w:p w14:paraId="665CC83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79" w:type="dxa"/>
          </w:tcPr>
          <w:p w14:paraId="10797FC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0.14</w:t>
            </w:r>
          </w:p>
        </w:tc>
        <w:tc>
          <w:tcPr>
            <w:tcW w:w="779" w:type="dxa"/>
          </w:tcPr>
          <w:p w14:paraId="2026FB8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0.15</w:t>
            </w:r>
          </w:p>
        </w:tc>
        <w:tc>
          <w:tcPr>
            <w:tcW w:w="1259" w:type="dxa"/>
          </w:tcPr>
          <w:p w14:paraId="128C8A3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307B1C0B"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7FF81AA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w:t>
            </w:r>
          </w:p>
        </w:tc>
        <w:tc>
          <w:tcPr>
            <w:tcW w:w="768" w:type="dxa"/>
          </w:tcPr>
          <w:p w14:paraId="6C234D6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14.20</w:t>
            </w:r>
          </w:p>
        </w:tc>
        <w:tc>
          <w:tcPr>
            <w:tcW w:w="780" w:type="dxa"/>
          </w:tcPr>
          <w:p w14:paraId="215D9FC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14.59</w:t>
            </w:r>
          </w:p>
        </w:tc>
        <w:tc>
          <w:tcPr>
            <w:tcW w:w="779" w:type="dxa"/>
          </w:tcPr>
          <w:p w14:paraId="1FC70E5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13.40</w:t>
            </w:r>
          </w:p>
        </w:tc>
        <w:tc>
          <w:tcPr>
            <w:tcW w:w="779" w:type="dxa"/>
          </w:tcPr>
          <w:p w14:paraId="327D641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13.04</w:t>
            </w:r>
          </w:p>
        </w:tc>
        <w:tc>
          <w:tcPr>
            <w:tcW w:w="779" w:type="dxa"/>
          </w:tcPr>
          <w:p w14:paraId="0F767DD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14.12</w:t>
            </w:r>
          </w:p>
        </w:tc>
        <w:tc>
          <w:tcPr>
            <w:tcW w:w="779" w:type="dxa"/>
          </w:tcPr>
          <w:p w14:paraId="4FC6314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14.12</w:t>
            </w:r>
          </w:p>
        </w:tc>
        <w:tc>
          <w:tcPr>
            <w:tcW w:w="779" w:type="dxa"/>
          </w:tcPr>
          <w:p w14:paraId="015DC6B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14.00</w:t>
            </w:r>
          </w:p>
        </w:tc>
        <w:tc>
          <w:tcPr>
            <w:tcW w:w="779" w:type="dxa"/>
          </w:tcPr>
          <w:p w14:paraId="059D245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14.95</w:t>
            </w:r>
          </w:p>
        </w:tc>
        <w:tc>
          <w:tcPr>
            <w:tcW w:w="1259" w:type="dxa"/>
          </w:tcPr>
          <w:p w14:paraId="7888BB0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7DEFA430" w14:textId="3AC7E80D"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6F5A10" w:rsidRPr="00C86111">
        <w:rPr>
          <w:rFonts w:asciiTheme="minorHAnsi" w:hAnsiTheme="minorHAnsi" w:cstheme="minorHAnsi"/>
          <w:b/>
          <w:bCs/>
          <w:i w:val="0"/>
          <w:iCs/>
          <w:sz w:val="24"/>
          <w:lang w:val="sr-Latn-RS"/>
        </w:rPr>
        <w:t>3</w:t>
      </w:r>
      <w:r w:rsidRPr="00C86111">
        <w:rPr>
          <w:rFonts w:asciiTheme="minorHAnsi" w:hAnsiTheme="minorHAnsi" w:cstheme="minorHAnsi"/>
          <w:b/>
          <w:bCs/>
          <w:i w:val="0"/>
          <w:iCs/>
          <w:sz w:val="24"/>
          <w:lang w:val="sr-Latn-RS"/>
        </w:rPr>
        <w:t>6.</w:t>
      </w:r>
      <w:r w:rsidRPr="00C86111">
        <w:rPr>
          <w:rFonts w:asciiTheme="minorHAnsi" w:hAnsiTheme="minorHAnsi" w:cstheme="minorHAnsi"/>
          <w:i w:val="0"/>
          <w:iCs/>
          <w:sz w:val="24"/>
          <w:lang w:val="sr-Latn-RS"/>
        </w:rPr>
        <w:t xml:space="preserve"> Količina odloženog miješanog komunalnog otpada.2006-2022, godina (t)</w:t>
      </w:r>
    </w:p>
    <w:tbl>
      <w:tblPr>
        <w:tblStyle w:val="GridTable5Dark-Accent6"/>
        <w:tblW w:w="9265" w:type="dxa"/>
        <w:tblLook w:val="04A0" w:firstRow="1" w:lastRow="0" w:firstColumn="1" w:lastColumn="0" w:noHBand="0" w:noVBand="1"/>
      </w:tblPr>
      <w:tblGrid>
        <w:gridCol w:w="1278"/>
        <w:gridCol w:w="868"/>
        <w:gridCol w:w="868"/>
        <w:gridCol w:w="869"/>
        <w:gridCol w:w="869"/>
        <w:gridCol w:w="869"/>
        <w:gridCol w:w="869"/>
        <w:gridCol w:w="869"/>
        <w:gridCol w:w="869"/>
        <w:gridCol w:w="1037"/>
      </w:tblGrid>
      <w:tr w:rsidR="00201FE9" w:rsidRPr="00C86111" w14:paraId="4A95E4CF" w14:textId="77777777" w:rsidTr="00F562F0">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78" w:type="dxa"/>
          </w:tcPr>
          <w:p w14:paraId="6D7ACF9A"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68" w:type="dxa"/>
          </w:tcPr>
          <w:p w14:paraId="1B7B450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868" w:type="dxa"/>
          </w:tcPr>
          <w:p w14:paraId="6314D22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869" w:type="dxa"/>
          </w:tcPr>
          <w:p w14:paraId="30CFC2A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869" w:type="dxa"/>
          </w:tcPr>
          <w:p w14:paraId="2D6AF38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869" w:type="dxa"/>
          </w:tcPr>
          <w:p w14:paraId="7B0E709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869" w:type="dxa"/>
          </w:tcPr>
          <w:p w14:paraId="7402412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869" w:type="dxa"/>
          </w:tcPr>
          <w:p w14:paraId="158B199E"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869" w:type="dxa"/>
          </w:tcPr>
          <w:p w14:paraId="146273C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1037" w:type="dxa"/>
          </w:tcPr>
          <w:p w14:paraId="200067A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6D88AA57" w14:textId="77777777" w:rsidTr="00F562F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78" w:type="dxa"/>
          </w:tcPr>
          <w:p w14:paraId="7377C34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Miješani komunalni otpad (t)</w:t>
            </w:r>
          </w:p>
        </w:tc>
        <w:tc>
          <w:tcPr>
            <w:tcW w:w="868" w:type="dxa"/>
          </w:tcPr>
          <w:p w14:paraId="548C1C3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263235</w:t>
            </w:r>
          </w:p>
        </w:tc>
        <w:tc>
          <w:tcPr>
            <w:tcW w:w="868" w:type="dxa"/>
          </w:tcPr>
          <w:p w14:paraId="1E24441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292245</w:t>
            </w:r>
          </w:p>
        </w:tc>
        <w:tc>
          <w:tcPr>
            <w:tcW w:w="869" w:type="dxa"/>
          </w:tcPr>
          <w:p w14:paraId="705466A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273798</w:t>
            </w:r>
          </w:p>
        </w:tc>
        <w:tc>
          <w:tcPr>
            <w:tcW w:w="869" w:type="dxa"/>
          </w:tcPr>
          <w:p w14:paraId="70F378D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280207</w:t>
            </w:r>
          </w:p>
        </w:tc>
        <w:tc>
          <w:tcPr>
            <w:tcW w:w="869" w:type="dxa"/>
          </w:tcPr>
          <w:p w14:paraId="476F143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261542</w:t>
            </w:r>
          </w:p>
        </w:tc>
        <w:tc>
          <w:tcPr>
            <w:tcW w:w="869" w:type="dxa"/>
          </w:tcPr>
          <w:p w14:paraId="0B683D0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232272</w:t>
            </w:r>
          </w:p>
        </w:tc>
        <w:tc>
          <w:tcPr>
            <w:tcW w:w="869" w:type="dxa"/>
          </w:tcPr>
          <w:p w14:paraId="38FB143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232877</w:t>
            </w:r>
          </w:p>
        </w:tc>
        <w:tc>
          <w:tcPr>
            <w:tcW w:w="869" w:type="dxa"/>
          </w:tcPr>
          <w:p w14:paraId="1343121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256931</w:t>
            </w:r>
          </w:p>
        </w:tc>
        <w:tc>
          <w:tcPr>
            <w:tcW w:w="1037" w:type="dxa"/>
          </w:tcPr>
          <w:p w14:paraId="0F19D83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256832</w:t>
            </w:r>
          </w:p>
        </w:tc>
      </w:tr>
      <w:tr w:rsidR="00201FE9" w:rsidRPr="00C86111" w14:paraId="044E0505" w14:textId="77777777" w:rsidTr="00F562F0">
        <w:trPr>
          <w:trHeight w:val="432"/>
        </w:trPr>
        <w:tc>
          <w:tcPr>
            <w:cnfStyle w:val="001000000000" w:firstRow="0" w:lastRow="0" w:firstColumn="1" w:lastColumn="0" w:oddVBand="0" w:evenVBand="0" w:oddHBand="0" w:evenHBand="0" w:firstRowFirstColumn="0" w:firstRowLastColumn="0" w:lastRowFirstColumn="0" w:lastRowLastColumn="0"/>
            <w:tcW w:w="1278" w:type="dxa"/>
          </w:tcPr>
          <w:p w14:paraId="2EFBCF2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68" w:type="dxa"/>
          </w:tcPr>
          <w:p w14:paraId="0D47F00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868" w:type="dxa"/>
          </w:tcPr>
          <w:p w14:paraId="1BD1027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869" w:type="dxa"/>
          </w:tcPr>
          <w:p w14:paraId="3C5907C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869" w:type="dxa"/>
          </w:tcPr>
          <w:p w14:paraId="3E8BD74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869" w:type="dxa"/>
          </w:tcPr>
          <w:p w14:paraId="15CF6A6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869" w:type="dxa"/>
          </w:tcPr>
          <w:p w14:paraId="5132E66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869" w:type="dxa"/>
          </w:tcPr>
          <w:p w14:paraId="28BE2BE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869" w:type="dxa"/>
          </w:tcPr>
          <w:p w14:paraId="22A7FE8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1037" w:type="dxa"/>
          </w:tcPr>
          <w:p w14:paraId="21DBB22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29C02C3D" w14:textId="77777777" w:rsidTr="00F562F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78" w:type="dxa"/>
          </w:tcPr>
          <w:p w14:paraId="4023408C"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Miješani komunalni otpad (t)</w:t>
            </w:r>
          </w:p>
        </w:tc>
        <w:tc>
          <w:tcPr>
            <w:tcW w:w="868" w:type="dxa"/>
          </w:tcPr>
          <w:p w14:paraId="2370096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268070</w:t>
            </w:r>
          </w:p>
        </w:tc>
        <w:tc>
          <w:tcPr>
            <w:tcW w:w="868" w:type="dxa"/>
          </w:tcPr>
          <w:p w14:paraId="1C24DC3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275001</w:t>
            </w:r>
          </w:p>
        </w:tc>
        <w:tc>
          <w:tcPr>
            <w:tcW w:w="869" w:type="dxa"/>
          </w:tcPr>
          <w:p w14:paraId="4D217EE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268044</w:t>
            </w:r>
          </w:p>
        </w:tc>
        <w:tc>
          <w:tcPr>
            <w:tcW w:w="869" w:type="dxa"/>
          </w:tcPr>
          <w:p w14:paraId="190F2C7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260901</w:t>
            </w:r>
          </w:p>
        </w:tc>
        <w:tc>
          <w:tcPr>
            <w:tcW w:w="869" w:type="dxa"/>
          </w:tcPr>
          <w:p w14:paraId="762A311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282384</w:t>
            </w:r>
          </w:p>
        </w:tc>
        <w:tc>
          <w:tcPr>
            <w:tcW w:w="869" w:type="dxa"/>
          </w:tcPr>
          <w:p w14:paraId="4BAB1BD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250797</w:t>
            </w:r>
          </w:p>
        </w:tc>
        <w:tc>
          <w:tcPr>
            <w:tcW w:w="869" w:type="dxa"/>
          </w:tcPr>
          <w:p w14:paraId="7E58267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279970</w:t>
            </w:r>
          </w:p>
        </w:tc>
        <w:tc>
          <w:tcPr>
            <w:tcW w:w="869" w:type="dxa"/>
          </w:tcPr>
          <w:p w14:paraId="16C8FD9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299022</w:t>
            </w:r>
          </w:p>
        </w:tc>
        <w:tc>
          <w:tcPr>
            <w:tcW w:w="1037" w:type="dxa"/>
          </w:tcPr>
          <w:p w14:paraId="37B4AF9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4C6DDC7A" w14:textId="77777777" w:rsidR="00201FE9" w:rsidRPr="00C86111" w:rsidRDefault="00201FE9" w:rsidP="00201FE9">
      <w:pPr>
        <w:pStyle w:val="NoSpacing"/>
        <w:rPr>
          <w:rFonts w:cstheme="minorHAnsi"/>
          <w:noProof/>
          <w:lang w:val="sr-Latn-RS"/>
        </w:rPr>
      </w:pPr>
    </w:p>
    <w:p w14:paraId="2DB016A1" w14:textId="5AEFC8FB" w:rsidR="00201FE9" w:rsidRPr="00C86111" w:rsidRDefault="00201FE9" w:rsidP="00201FE9">
      <w:pPr>
        <w:pStyle w:val="NoSpacing"/>
        <w:rPr>
          <w:rFonts w:cstheme="minorHAnsi"/>
          <w:noProof/>
          <w:lang w:val="sr-Latn-RS"/>
        </w:rPr>
      </w:pPr>
      <w:r w:rsidRPr="00C86111">
        <w:rPr>
          <w:rFonts w:cstheme="minorHAnsi"/>
          <w:noProof/>
          <w:lang w:val="sr-Latn-RS"/>
        </w:rPr>
        <w:t xml:space="preserve">Ispuštanja prečišćenih otpadnih voda sa uklonjenim kanalizacionim muljem dovodi do </w:t>
      </w:r>
      <w:r w:rsidR="000D1995" w:rsidRPr="00C86111">
        <w:rPr>
          <w:rFonts w:cstheme="minorHAnsi"/>
          <w:noProof/>
          <w:lang w:val="sr-Latn-RS"/>
        </w:rPr>
        <w:t>emisije</w:t>
      </w:r>
      <w:r w:rsidRPr="00C86111">
        <w:rPr>
          <w:rFonts w:cstheme="minorHAnsi"/>
          <w:noProof/>
          <w:lang w:val="sr-Latn-RS"/>
        </w:rPr>
        <w:t xml:space="preserve"> nenamjerno proizvedenih/ispuštenih PCDD/PCDF u vodu i količine se kreću od 0.001 g TEQ u 2006 godini, pa do 0.004 gTEQ u 2022 godini. Do porasta realizovnih količina dolazi zbog povećanja broja sistema (postrojenja) za prikupljanje i prečišćavanje otpadnih voda, odnosno povećanja količine prečišćene u odnosu na neprečišćenu otpadnu vodu.</w:t>
      </w:r>
    </w:p>
    <w:p w14:paraId="5760DDF4" w14:textId="1E21648E" w:rsidR="00201FE9" w:rsidRPr="00C86111" w:rsidRDefault="00201FE9" w:rsidP="00201FE9">
      <w:pPr>
        <w:pStyle w:val="NoSpacing"/>
        <w:rPr>
          <w:rFonts w:cstheme="minorHAnsi"/>
          <w:noProof/>
          <w:lang w:val="sr-Latn-RS"/>
        </w:rPr>
      </w:pPr>
      <w:r w:rsidRPr="00C86111">
        <w:rPr>
          <w:rFonts w:cstheme="minorHAnsi"/>
          <w:noProof/>
          <w:lang w:val="sr-Latn-RS"/>
        </w:rPr>
        <w:lastRenderedPageBreak/>
        <w:t xml:space="preserve">Ispuštanja neprečišćenih otpadnih voda dovodi do </w:t>
      </w:r>
      <w:r w:rsidR="000D1995" w:rsidRPr="00C86111">
        <w:rPr>
          <w:rFonts w:cstheme="minorHAnsi"/>
          <w:noProof/>
          <w:lang w:val="sr-Latn-RS"/>
        </w:rPr>
        <w:t>emisije</w:t>
      </w:r>
      <w:r w:rsidRPr="00C86111">
        <w:rPr>
          <w:rFonts w:cstheme="minorHAnsi"/>
          <w:noProof/>
          <w:lang w:val="sr-Latn-RS"/>
        </w:rPr>
        <w:t xml:space="preserve"> nenamjerno proizvedenih/ispuštenih PCDD/PCDF u vodu i količine su se kretale od 0.005 g TEQ u 2006 godini, pa do 0.001 gTEQ u 2022 godini.</w:t>
      </w:r>
    </w:p>
    <w:p w14:paraId="3A2FADB6" w14:textId="77777777" w:rsidR="00201FE9" w:rsidRPr="00C86111" w:rsidRDefault="00201FE9" w:rsidP="00201FE9">
      <w:pPr>
        <w:pStyle w:val="NoSpacing"/>
        <w:rPr>
          <w:rFonts w:cstheme="minorHAnsi"/>
          <w:noProof/>
          <w:lang w:val="sr-Latn-RS"/>
        </w:rPr>
      </w:pPr>
    </w:p>
    <w:p w14:paraId="5227F150" w14:textId="77777777" w:rsidR="00201FE9" w:rsidRPr="00C86111" w:rsidRDefault="00201FE9" w:rsidP="00201FE9">
      <w:pPr>
        <w:pStyle w:val="NoSpacing"/>
        <w:rPr>
          <w:rFonts w:cstheme="minorHAnsi"/>
          <w:noProof/>
          <w:lang w:val="sr-Latn-RS"/>
        </w:rPr>
      </w:pPr>
      <w:r w:rsidRPr="00C86111">
        <w:rPr>
          <w:rFonts w:cstheme="minorHAnsi"/>
          <w:noProof/>
          <w:lang w:val="sr-Latn-RS"/>
        </w:rPr>
        <w:t>Na osnovu raspoloživih podataka količine stvorenog kanalizacionog mulja su se kretale od oko 8000 tona u 2006. godini pa do maksimalno 13000 tona u 2017. godini. Količine nenamjerno proizvedenih/ispuštenih PCDD/PCDF u ukupno stvorenom kanalizacionom mulju (ostatak od procesa) na teritoriji Crne Gore se kreću od 0.16 g TEQ u 2016. godini, do 0.18 gTEQ u 2022. godini, sa maksimumom u 2017. god i proračunatih 0.26 gTEQ (tabela 27).</w:t>
      </w:r>
    </w:p>
    <w:p w14:paraId="71C0B563" w14:textId="77777777" w:rsidR="00201FE9" w:rsidRPr="00C86111" w:rsidRDefault="00201FE9" w:rsidP="00201FE9">
      <w:pPr>
        <w:pStyle w:val="NoSpacing"/>
        <w:rPr>
          <w:rFonts w:cstheme="minorHAnsi"/>
          <w:noProof/>
          <w:lang w:val="sr-Latn-RS"/>
        </w:rPr>
      </w:pPr>
      <w:r w:rsidRPr="00C86111">
        <w:rPr>
          <w:rFonts w:cstheme="minorHAnsi"/>
          <w:noProof/>
          <w:lang w:val="sr-Latn-RS"/>
        </w:rPr>
        <w:t>Izvori podataka: „Godišnji izvještaj o stanju u oblasti vodosnabdijevanja, upravljanju otpadom i otpadnim vodama, realizaciji prioritetnih aktivnosti u komunalnoj djelatnosti u 2014. godini, sa predlogom prioritetnih projekata za izgradnju komunalne infrastrukture u 2016 u Crnoj Gori”; „Izvještaji o sprovođenju državnog plana upravljanja otpadom za 2017., 2020. i 2022. godina; Monstat, Saopštenje, Snadbijevanje naselja vodom i zaštita voda“.</w:t>
      </w:r>
    </w:p>
    <w:p w14:paraId="352B523B" w14:textId="77777777" w:rsidR="00201FE9" w:rsidRPr="00C86111" w:rsidRDefault="00201FE9" w:rsidP="00201FE9">
      <w:pPr>
        <w:pStyle w:val="NoSpacing"/>
        <w:rPr>
          <w:rFonts w:cstheme="minorHAnsi"/>
          <w:noProof/>
          <w:lang w:val="sr-Latn-RS"/>
        </w:rPr>
      </w:pPr>
      <w:r w:rsidRPr="00C86111">
        <w:rPr>
          <w:rFonts w:cstheme="minorHAnsi"/>
          <w:noProof/>
          <w:lang w:val="sr-Latn-RS"/>
        </w:rPr>
        <w:t>Iako je nacionalna statistika za otpadne vode i kanalizacioni mulj poboljšana u odnosu kad je pripreman prethodni inventar, podaci su i dalje nekozistentni kroz vremensku seriju, objavljuju se periodično za svake tri godine, dokumentovani izvori podataka se mijenjaju. Iz ovih razloga vršene su  interpolacije podataka radi kompletiranja vremenske serije.</w:t>
      </w:r>
    </w:p>
    <w:p w14:paraId="1192AC34" w14:textId="6C8592A7" w:rsidR="00201FE9" w:rsidRPr="00C86111" w:rsidRDefault="006F5A10"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U t</w:t>
      </w:r>
      <w:r w:rsidR="00201FE9" w:rsidRPr="00C86111">
        <w:rPr>
          <w:rFonts w:asciiTheme="minorHAnsi" w:hAnsiTheme="minorHAnsi" w:cstheme="minorHAnsi"/>
          <w:color w:val="auto"/>
          <w:szCs w:val="24"/>
        </w:rPr>
        <w:t xml:space="preserve">abelama </w:t>
      </w:r>
      <w:r w:rsidRPr="00C86111">
        <w:rPr>
          <w:rFonts w:asciiTheme="minorHAnsi" w:hAnsiTheme="minorHAnsi" w:cstheme="minorHAnsi"/>
          <w:color w:val="auto"/>
          <w:szCs w:val="24"/>
        </w:rPr>
        <w:t>3</w:t>
      </w:r>
      <w:r w:rsidR="00201FE9" w:rsidRPr="00C86111">
        <w:rPr>
          <w:rFonts w:asciiTheme="minorHAnsi" w:hAnsiTheme="minorHAnsi" w:cstheme="minorHAnsi"/>
          <w:color w:val="auto"/>
          <w:szCs w:val="24"/>
        </w:rPr>
        <w:t xml:space="preserve">7. i </w:t>
      </w:r>
      <w:r w:rsidRPr="00C86111">
        <w:rPr>
          <w:rFonts w:asciiTheme="minorHAnsi" w:hAnsiTheme="minorHAnsi" w:cstheme="minorHAnsi"/>
          <w:color w:val="auto"/>
          <w:szCs w:val="24"/>
        </w:rPr>
        <w:t>3</w:t>
      </w:r>
      <w:r w:rsidR="00201FE9" w:rsidRPr="00C86111">
        <w:rPr>
          <w:rFonts w:asciiTheme="minorHAnsi" w:hAnsiTheme="minorHAnsi" w:cstheme="minorHAnsi"/>
          <w:color w:val="auto"/>
          <w:szCs w:val="24"/>
        </w:rPr>
        <w:t xml:space="preserve">8. su prikazane ukupne godišnje POP’s </w:t>
      </w:r>
      <w:r w:rsidR="000D1995" w:rsidRPr="00C86111">
        <w:rPr>
          <w:rFonts w:asciiTheme="minorHAnsi" w:hAnsiTheme="minorHAnsi" w:cstheme="minorHAnsi"/>
          <w:color w:val="auto"/>
          <w:szCs w:val="24"/>
        </w:rPr>
        <w:t>emisije</w:t>
      </w:r>
      <w:r w:rsidR="00201FE9" w:rsidRPr="00C86111">
        <w:rPr>
          <w:rFonts w:asciiTheme="minorHAnsi" w:hAnsiTheme="minorHAnsi" w:cstheme="minorHAnsi"/>
          <w:color w:val="auto"/>
          <w:szCs w:val="24"/>
        </w:rPr>
        <w:t xml:space="preserve"> u ostatke iz procesa proizvodnje usled stvorenog kanalizacionog mulja kao i količine generisanog kanalizacionog mulja. Nenamjerno proizvedeni POP's  dospijevaju i u vodu i procijenjene </w:t>
      </w:r>
      <w:r w:rsidR="000D1995" w:rsidRPr="00C86111">
        <w:rPr>
          <w:rFonts w:asciiTheme="minorHAnsi" w:hAnsiTheme="minorHAnsi" w:cstheme="minorHAnsi"/>
          <w:color w:val="auto"/>
          <w:szCs w:val="24"/>
        </w:rPr>
        <w:t>emisije</w:t>
      </w:r>
      <w:r w:rsidR="00201FE9" w:rsidRPr="00C86111">
        <w:rPr>
          <w:rFonts w:asciiTheme="minorHAnsi" w:hAnsiTheme="minorHAnsi" w:cstheme="minorHAnsi"/>
          <w:color w:val="auto"/>
          <w:szCs w:val="24"/>
        </w:rPr>
        <w:t xml:space="preserve"> se kreću od 0.001 gTEQ/god do 0.</w:t>
      </w:r>
      <w:bookmarkStart w:id="72" w:name="_Hlk207727455"/>
      <w:r w:rsidR="00201FE9" w:rsidRPr="00C86111">
        <w:rPr>
          <w:rFonts w:asciiTheme="minorHAnsi" w:hAnsiTheme="minorHAnsi" w:cstheme="minorHAnsi"/>
          <w:color w:val="auto"/>
          <w:szCs w:val="24"/>
        </w:rPr>
        <w:t>004 gTEQ/god</w:t>
      </w:r>
      <w:bookmarkEnd w:id="72"/>
      <w:r w:rsidR="00201FE9" w:rsidRPr="00C86111">
        <w:rPr>
          <w:rFonts w:asciiTheme="minorHAnsi" w:hAnsiTheme="minorHAnsi" w:cstheme="minorHAnsi"/>
          <w:color w:val="auto"/>
          <w:szCs w:val="24"/>
        </w:rPr>
        <w:t>.</w:t>
      </w:r>
    </w:p>
    <w:p w14:paraId="42E4EEC1" w14:textId="597B5023"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6F5A10" w:rsidRPr="00C86111">
        <w:rPr>
          <w:rFonts w:asciiTheme="minorHAnsi" w:hAnsiTheme="minorHAnsi" w:cstheme="minorHAnsi"/>
          <w:b/>
          <w:bCs/>
          <w:i w:val="0"/>
          <w:iCs/>
          <w:sz w:val="24"/>
          <w:lang w:val="sr-Latn-RS"/>
        </w:rPr>
        <w:t>3</w:t>
      </w:r>
      <w:r w:rsidRPr="00C86111">
        <w:rPr>
          <w:rFonts w:asciiTheme="minorHAnsi" w:hAnsiTheme="minorHAnsi" w:cstheme="minorHAnsi"/>
          <w:b/>
          <w:bCs/>
          <w:i w:val="0"/>
          <w:iCs/>
          <w:sz w:val="24"/>
          <w:lang w:val="sr-Latn-RS"/>
        </w:rPr>
        <w:t>7.</w:t>
      </w:r>
      <w:r w:rsidRPr="00C86111">
        <w:rPr>
          <w:rFonts w:asciiTheme="minorHAnsi" w:hAnsiTheme="minorHAnsi" w:cstheme="minorHAnsi"/>
          <w:i w:val="0"/>
          <w:iCs/>
          <w:sz w:val="24"/>
          <w:lang w:val="sr-Latn-RS"/>
        </w:rPr>
        <w:t xml:space="preserve"> Ukupne godišnje POP's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(PCDD/PCDF) usled stvorenog kanalizacionog mulja, 2006-2022. godina (gTEQ/god)</w:t>
      </w:r>
    </w:p>
    <w:tbl>
      <w:tblPr>
        <w:tblStyle w:val="GridTable5Dark-Accent6"/>
        <w:tblW w:w="8785" w:type="dxa"/>
        <w:tblLook w:val="04A0" w:firstRow="1" w:lastRow="0" w:firstColumn="1" w:lastColumn="0" w:noHBand="0" w:noVBand="1"/>
      </w:tblPr>
      <w:tblGrid>
        <w:gridCol w:w="1784"/>
        <w:gridCol w:w="768"/>
        <w:gridCol w:w="780"/>
        <w:gridCol w:w="779"/>
        <w:gridCol w:w="779"/>
        <w:gridCol w:w="779"/>
        <w:gridCol w:w="779"/>
        <w:gridCol w:w="779"/>
        <w:gridCol w:w="779"/>
        <w:gridCol w:w="779"/>
      </w:tblGrid>
      <w:tr w:rsidR="00201FE9" w:rsidRPr="00C86111" w14:paraId="28B720C3"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63A82DDD"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45F469A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780" w:type="dxa"/>
          </w:tcPr>
          <w:p w14:paraId="4C850002"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79" w:type="dxa"/>
          </w:tcPr>
          <w:p w14:paraId="255E213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779" w:type="dxa"/>
          </w:tcPr>
          <w:p w14:paraId="272E438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779" w:type="dxa"/>
          </w:tcPr>
          <w:p w14:paraId="34E1837C"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779" w:type="dxa"/>
          </w:tcPr>
          <w:p w14:paraId="4A7E060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779" w:type="dxa"/>
          </w:tcPr>
          <w:p w14:paraId="5FBA66E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779" w:type="dxa"/>
          </w:tcPr>
          <w:p w14:paraId="0D0996E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79" w:type="dxa"/>
          </w:tcPr>
          <w:p w14:paraId="43EE517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0DC67206"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1470A1F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Voda</w:t>
            </w:r>
          </w:p>
        </w:tc>
        <w:tc>
          <w:tcPr>
            <w:tcW w:w="768" w:type="dxa"/>
          </w:tcPr>
          <w:p w14:paraId="40028BB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80" w:type="dxa"/>
          </w:tcPr>
          <w:p w14:paraId="3CB70FE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55E8CBC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5EDE957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1C18DFF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015478C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20AAE5D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573FC6F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44BFD11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r>
      <w:tr w:rsidR="00201FE9" w:rsidRPr="00C86111" w14:paraId="750A197B"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111108E7"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w:t>
            </w:r>
          </w:p>
        </w:tc>
        <w:tc>
          <w:tcPr>
            <w:tcW w:w="768" w:type="dxa"/>
          </w:tcPr>
          <w:p w14:paraId="558F4CA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80" w:type="dxa"/>
          </w:tcPr>
          <w:p w14:paraId="757C682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79" w:type="dxa"/>
          </w:tcPr>
          <w:p w14:paraId="40B37C1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79" w:type="dxa"/>
          </w:tcPr>
          <w:p w14:paraId="40ABC6D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79" w:type="dxa"/>
          </w:tcPr>
          <w:p w14:paraId="18F7C2B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79" w:type="dxa"/>
          </w:tcPr>
          <w:p w14:paraId="73F6423E"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79" w:type="dxa"/>
          </w:tcPr>
          <w:p w14:paraId="49583B3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79" w:type="dxa"/>
          </w:tcPr>
          <w:p w14:paraId="58E455A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0.16</w:t>
            </w:r>
          </w:p>
        </w:tc>
        <w:tc>
          <w:tcPr>
            <w:tcW w:w="779" w:type="dxa"/>
          </w:tcPr>
          <w:p w14:paraId="4AB74CC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0.23</w:t>
            </w:r>
          </w:p>
        </w:tc>
      </w:tr>
      <w:tr w:rsidR="00201FE9" w:rsidRPr="00C86111" w14:paraId="4382A6CA"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1F8068B0"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768" w:type="dxa"/>
          </w:tcPr>
          <w:p w14:paraId="1C3CFC1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780" w:type="dxa"/>
          </w:tcPr>
          <w:p w14:paraId="6A9F8AC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79" w:type="dxa"/>
          </w:tcPr>
          <w:p w14:paraId="059C6D6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779" w:type="dxa"/>
          </w:tcPr>
          <w:p w14:paraId="5D1EED1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779" w:type="dxa"/>
          </w:tcPr>
          <w:p w14:paraId="0679E31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779" w:type="dxa"/>
          </w:tcPr>
          <w:p w14:paraId="0D0AE15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779" w:type="dxa"/>
          </w:tcPr>
          <w:p w14:paraId="7573D8F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779" w:type="dxa"/>
          </w:tcPr>
          <w:p w14:paraId="7856659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79" w:type="dxa"/>
          </w:tcPr>
          <w:p w14:paraId="258391F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1127A333"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784" w:type="dxa"/>
          </w:tcPr>
          <w:p w14:paraId="06455DD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Voda</w:t>
            </w:r>
          </w:p>
        </w:tc>
        <w:tc>
          <w:tcPr>
            <w:tcW w:w="768" w:type="dxa"/>
          </w:tcPr>
          <w:p w14:paraId="2E2EAFE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80" w:type="dxa"/>
          </w:tcPr>
          <w:p w14:paraId="501E980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40BBAC2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7AC7F296"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63B25AF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4C58233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6C4C20B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3F8FF29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&lt;0.01</w:t>
            </w:r>
          </w:p>
        </w:tc>
        <w:tc>
          <w:tcPr>
            <w:tcW w:w="779" w:type="dxa"/>
          </w:tcPr>
          <w:p w14:paraId="105B1454"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50CE3AC1"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84" w:type="dxa"/>
          </w:tcPr>
          <w:p w14:paraId="38AC9659"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Ostaci iz procesa </w:t>
            </w:r>
          </w:p>
        </w:tc>
        <w:tc>
          <w:tcPr>
            <w:tcW w:w="768" w:type="dxa"/>
          </w:tcPr>
          <w:p w14:paraId="50109E5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0.24</w:t>
            </w:r>
          </w:p>
        </w:tc>
        <w:tc>
          <w:tcPr>
            <w:tcW w:w="780" w:type="dxa"/>
          </w:tcPr>
          <w:p w14:paraId="28981AF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0.23</w:t>
            </w:r>
          </w:p>
        </w:tc>
        <w:tc>
          <w:tcPr>
            <w:tcW w:w="779" w:type="dxa"/>
          </w:tcPr>
          <w:p w14:paraId="6E4E827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0.26</w:t>
            </w:r>
          </w:p>
        </w:tc>
        <w:tc>
          <w:tcPr>
            <w:tcW w:w="779" w:type="dxa"/>
          </w:tcPr>
          <w:p w14:paraId="54F0E7AD"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0.22</w:t>
            </w:r>
          </w:p>
        </w:tc>
        <w:tc>
          <w:tcPr>
            <w:tcW w:w="779" w:type="dxa"/>
          </w:tcPr>
          <w:p w14:paraId="38F4B1D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0.21</w:t>
            </w:r>
          </w:p>
        </w:tc>
        <w:tc>
          <w:tcPr>
            <w:tcW w:w="779" w:type="dxa"/>
          </w:tcPr>
          <w:p w14:paraId="1E573E5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0.19</w:t>
            </w:r>
          </w:p>
        </w:tc>
        <w:tc>
          <w:tcPr>
            <w:tcW w:w="779" w:type="dxa"/>
          </w:tcPr>
          <w:p w14:paraId="13FFD3D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0.19</w:t>
            </w:r>
          </w:p>
        </w:tc>
        <w:tc>
          <w:tcPr>
            <w:tcW w:w="779" w:type="dxa"/>
          </w:tcPr>
          <w:p w14:paraId="586ED47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0.19</w:t>
            </w:r>
          </w:p>
        </w:tc>
        <w:tc>
          <w:tcPr>
            <w:tcW w:w="779" w:type="dxa"/>
          </w:tcPr>
          <w:p w14:paraId="2ED8DE2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12B0E2BF" w14:textId="2E617459" w:rsidR="00201FE9" w:rsidRPr="00C86111" w:rsidRDefault="00201FE9" w:rsidP="00375D24">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6F5A10" w:rsidRPr="00C86111">
        <w:rPr>
          <w:rFonts w:asciiTheme="minorHAnsi" w:hAnsiTheme="minorHAnsi" w:cstheme="minorHAnsi"/>
          <w:b/>
          <w:bCs/>
          <w:i w:val="0"/>
          <w:iCs/>
          <w:sz w:val="24"/>
          <w:lang w:val="sr-Latn-RS"/>
        </w:rPr>
        <w:t>3</w:t>
      </w:r>
      <w:r w:rsidRPr="00C86111">
        <w:rPr>
          <w:rFonts w:asciiTheme="minorHAnsi" w:hAnsiTheme="minorHAnsi" w:cstheme="minorHAnsi"/>
          <w:b/>
          <w:bCs/>
          <w:i w:val="0"/>
          <w:iCs/>
          <w:sz w:val="24"/>
          <w:lang w:val="sr-Latn-RS"/>
        </w:rPr>
        <w:t>8.</w:t>
      </w:r>
      <w:r w:rsidRPr="00C86111">
        <w:rPr>
          <w:rFonts w:asciiTheme="minorHAnsi" w:hAnsiTheme="minorHAnsi" w:cstheme="minorHAnsi"/>
          <w:i w:val="0"/>
          <w:iCs/>
          <w:sz w:val="24"/>
          <w:lang w:val="sr-Latn-RS"/>
        </w:rPr>
        <w:t xml:space="preserve"> Količine stvorenog kanalizacionog mulja, 2006-2022. godina (t)</w:t>
      </w:r>
    </w:p>
    <w:tbl>
      <w:tblPr>
        <w:tblStyle w:val="GridTable5Dark-Accent6"/>
        <w:tblW w:w="8815" w:type="dxa"/>
        <w:tblLook w:val="04A0" w:firstRow="1" w:lastRow="0" w:firstColumn="1" w:lastColumn="0" w:noHBand="0" w:noVBand="1"/>
      </w:tblPr>
      <w:tblGrid>
        <w:gridCol w:w="1334"/>
        <w:gridCol w:w="923"/>
        <w:gridCol w:w="923"/>
        <w:gridCol w:w="751"/>
        <w:gridCol w:w="923"/>
        <w:gridCol w:w="923"/>
        <w:gridCol w:w="647"/>
        <w:gridCol w:w="821"/>
        <w:gridCol w:w="847"/>
        <w:gridCol w:w="723"/>
      </w:tblGrid>
      <w:tr w:rsidR="00201FE9" w:rsidRPr="00C86111" w14:paraId="687C7AD2" w14:textId="77777777" w:rsidTr="00F562F0">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34" w:type="dxa"/>
          </w:tcPr>
          <w:p w14:paraId="26F76AB1"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923" w:type="dxa"/>
          </w:tcPr>
          <w:p w14:paraId="7CC4CFB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923" w:type="dxa"/>
          </w:tcPr>
          <w:p w14:paraId="2561309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751" w:type="dxa"/>
          </w:tcPr>
          <w:p w14:paraId="1C90EE0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923" w:type="dxa"/>
          </w:tcPr>
          <w:p w14:paraId="7F08B46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923" w:type="dxa"/>
          </w:tcPr>
          <w:p w14:paraId="0BFE7552"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647" w:type="dxa"/>
          </w:tcPr>
          <w:p w14:paraId="3BE7756D"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821" w:type="dxa"/>
          </w:tcPr>
          <w:p w14:paraId="399097A3"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847" w:type="dxa"/>
          </w:tcPr>
          <w:p w14:paraId="7B16152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723" w:type="dxa"/>
          </w:tcPr>
          <w:p w14:paraId="1936DB01"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2DEC7B50" w14:textId="77777777" w:rsidTr="00F562F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34" w:type="dxa"/>
          </w:tcPr>
          <w:p w14:paraId="0A80B2BE"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Kanalizacioni mulj (t)</w:t>
            </w:r>
          </w:p>
        </w:tc>
        <w:tc>
          <w:tcPr>
            <w:tcW w:w="923" w:type="dxa"/>
          </w:tcPr>
          <w:p w14:paraId="0655DE7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8182*</w:t>
            </w:r>
          </w:p>
        </w:tc>
        <w:tc>
          <w:tcPr>
            <w:tcW w:w="923" w:type="dxa"/>
          </w:tcPr>
          <w:p w14:paraId="2743707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8182*</w:t>
            </w:r>
          </w:p>
        </w:tc>
        <w:tc>
          <w:tcPr>
            <w:tcW w:w="751" w:type="dxa"/>
          </w:tcPr>
          <w:p w14:paraId="613E4FC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8182*</w:t>
            </w:r>
          </w:p>
        </w:tc>
        <w:tc>
          <w:tcPr>
            <w:tcW w:w="923" w:type="dxa"/>
          </w:tcPr>
          <w:p w14:paraId="2E87A19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8182*</w:t>
            </w:r>
          </w:p>
        </w:tc>
        <w:tc>
          <w:tcPr>
            <w:tcW w:w="923" w:type="dxa"/>
          </w:tcPr>
          <w:p w14:paraId="244F1A5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8182*</w:t>
            </w:r>
          </w:p>
        </w:tc>
        <w:tc>
          <w:tcPr>
            <w:tcW w:w="647" w:type="dxa"/>
          </w:tcPr>
          <w:p w14:paraId="09B13D9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8182</w:t>
            </w:r>
          </w:p>
        </w:tc>
        <w:tc>
          <w:tcPr>
            <w:tcW w:w="821" w:type="dxa"/>
          </w:tcPr>
          <w:p w14:paraId="6F948B1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8182*</w:t>
            </w:r>
          </w:p>
        </w:tc>
        <w:tc>
          <w:tcPr>
            <w:tcW w:w="847" w:type="dxa"/>
          </w:tcPr>
          <w:p w14:paraId="30A9DFC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8182**</w:t>
            </w:r>
          </w:p>
        </w:tc>
        <w:tc>
          <w:tcPr>
            <w:tcW w:w="723" w:type="dxa"/>
          </w:tcPr>
          <w:p w14:paraId="7FF9D1A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11307</w:t>
            </w:r>
          </w:p>
        </w:tc>
      </w:tr>
      <w:tr w:rsidR="00201FE9" w:rsidRPr="00C86111" w14:paraId="7676E9FA" w14:textId="77777777" w:rsidTr="00F562F0">
        <w:trPr>
          <w:trHeight w:val="432"/>
        </w:trPr>
        <w:tc>
          <w:tcPr>
            <w:cnfStyle w:val="001000000000" w:firstRow="0" w:lastRow="0" w:firstColumn="1" w:lastColumn="0" w:oddVBand="0" w:evenVBand="0" w:oddHBand="0" w:evenHBand="0" w:firstRowFirstColumn="0" w:firstRowLastColumn="0" w:lastRowFirstColumn="0" w:lastRowLastColumn="0"/>
            <w:tcW w:w="1334" w:type="dxa"/>
          </w:tcPr>
          <w:p w14:paraId="644373EB"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923" w:type="dxa"/>
          </w:tcPr>
          <w:p w14:paraId="0AC2DFA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923" w:type="dxa"/>
          </w:tcPr>
          <w:p w14:paraId="7109F47C"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751" w:type="dxa"/>
          </w:tcPr>
          <w:p w14:paraId="25F5207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923" w:type="dxa"/>
          </w:tcPr>
          <w:p w14:paraId="47EAA8B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923" w:type="dxa"/>
          </w:tcPr>
          <w:p w14:paraId="1057D65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647" w:type="dxa"/>
          </w:tcPr>
          <w:p w14:paraId="14C5A6B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821" w:type="dxa"/>
          </w:tcPr>
          <w:p w14:paraId="7D9A54C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847" w:type="dxa"/>
          </w:tcPr>
          <w:p w14:paraId="24B4733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723" w:type="dxa"/>
          </w:tcPr>
          <w:p w14:paraId="39B52C72"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7C649458" w14:textId="77777777" w:rsidTr="00F562F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34" w:type="dxa"/>
          </w:tcPr>
          <w:p w14:paraId="4AFB107C"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Kanalizacioni mulj (t)</w:t>
            </w:r>
          </w:p>
        </w:tc>
        <w:tc>
          <w:tcPr>
            <w:tcW w:w="923" w:type="dxa"/>
          </w:tcPr>
          <w:p w14:paraId="1CB437D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11857**</w:t>
            </w:r>
          </w:p>
        </w:tc>
        <w:tc>
          <w:tcPr>
            <w:tcW w:w="923" w:type="dxa"/>
          </w:tcPr>
          <w:p w14:paraId="48CF284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11504**</w:t>
            </w:r>
          </w:p>
        </w:tc>
        <w:tc>
          <w:tcPr>
            <w:tcW w:w="751" w:type="dxa"/>
          </w:tcPr>
          <w:p w14:paraId="4E49A26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12939</w:t>
            </w:r>
          </w:p>
        </w:tc>
        <w:tc>
          <w:tcPr>
            <w:tcW w:w="923" w:type="dxa"/>
          </w:tcPr>
          <w:p w14:paraId="79E75AF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10810**</w:t>
            </w:r>
          </w:p>
        </w:tc>
        <w:tc>
          <w:tcPr>
            <w:tcW w:w="923" w:type="dxa"/>
          </w:tcPr>
          <w:p w14:paraId="3B99E656"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10463**</w:t>
            </w:r>
          </w:p>
        </w:tc>
        <w:tc>
          <w:tcPr>
            <w:tcW w:w="647" w:type="dxa"/>
          </w:tcPr>
          <w:p w14:paraId="1A26500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9225</w:t>
            </w:r>
          </w:p>
        </w:tc>
        <w:tc>
          <w:tcPr>
            <w:tcW w:w="821" w:type="dxa"/>
          </w:tcPr>
          <w:p w14:paraId="4AD8EDC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9225**</w:t>
            </w:r>
          </w:p>
        </w:tc>
        <w:tc>
          <w:tcPr>
            <w:tcW w:w="847" w:type="dxa"/>
          </w:tcPr>
          <w:p w14:paraId="7F264E2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9225**</w:t>
            </w:r>
          </w:p>
        </w:tc>
        <w:tc>
          <w:tcPr>
            <w:tcW w:w="723" w:type="dxa"/>
          </w:tcPr>
          <w:p w14:paraId="7B90C86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399BE317" w14:textId="77777777" w:rsidR="00201FE9" w:rsidRPr="00C86111" w:rsidRDefault="00201FE9" w:rsidP="00201FE9">
      <w:pPr>
        <w:pStyle w:val="Tabele"/>
        <w:numPr>
          <w:ilvl w:val="0"/>
          <w:numId w:val="0"/>
        </w:numPr>
        <w:spacing w:before="0" w:after="0"/>
        <w:ind w:left="924" w:hanging="357"/>
        <w:jc w:val="both"/>
        <w:rPr>
          <w:rFonts w:asciiTheme="minorHAnsi" w:hAnsiTheme="minorHAnsi" w:cstheme="minorHAnsi"/>
          <w:sz w:val="24"/>
          <w:lang w:val="sr-Latn-RS"/>
        </w:rPr>
      </w:pPr>
      <w:r w:rsidRPr="00C86111">
        <w:rPr>
          <w:rFonts w:asciiTheme="minorHAnsi" w:hAnsiTheme="minorHAnsi" w:cstheme="minorHAnsi"/>
          <w:sz w:val="24"/>
          <w:lang w:val="sr-Latn-RS"/>
        </w:rPr>
        <w:t>*Procijenjene vrijednosti preuzete iz prethodnog izvještaja</w:t>
      </w:r>
    </w:p>
    <w:p w14:paraId="2C63AB38" w14:textId="77777777" w:rsidR="00201FE9" w:rsidRPr="00C86111" w:rsidRDefault="00201FE9" w:rsidP="00201FE9">
      <w:pPr>
        <w:pStyle w:val="Tabele"/>
        <w:numPr>
          <w:ilvl w:val="0"/>
          <w:numId w:val="0"/>
        </w:numPr>
        <w:spacing w:before="0" w:after="0"/>
        <w:ind w:left="924" w:hanging="357"/>
        <w:jc w:val="both"/>
        <w:rPr>
          <w:rFonts w:asciiTheme="minorHAnsi" w:hAnsiTheme="minorHAnsi" w:cstheme="minorHAnsi"/>
          <w:sz w:val="24"/>
          <w:lang w:val="sr-Latn-RS"/>
        </w:rPr>
      </w:pPr>
      <w:r w:rsidRPr="00C86111">
        <w:rPr>
          <w:rFonts w:asciiTheme="minorHAnsi" w:hAnsiTheme="minorHAnsi" w:cstheme="minorHAnsi"/>
          <w:sz w:val="24"/>
          <w:lang w:val="sr-Latn-RS"/>
        </w:rPr>
        <w:t>** Interpolirane i procijenjene vrijednosti</w:t>
      </w:r>
    </w:p>
    <w:p w14:paraId="06AC5039" w14:textId="77777777" w:rsidR="00201FE9" w:rsidRPr="00C86111" w:rsidRDefault="00201FE9" w:rsidP="00201FE9">
      <w:pPr>
        <w:pStyle w:val="Tabele"/>
        <w:numPr>
          <w:ilvl w:val="0"/>
          <w:numId w:val="0"/>
        </w:numPr>
        <w:spacing w:before="0" w:after="0"/>
        <w:jc w:val="both"/>
        <w:rPr>
          <w:rFonts w:asciiTheme="minorHAnsi" w:hAnsiTheme="minorHAnsi" w:cstheme="minorHAnsi"/>
          <w:sz w:val="24"/>
          <w:lang w:val="sr-Latn-RS"/>
        </w:rPr>
      </w:pPr>
    </w:p>
    <w:p w14:paraId="1B8E5C1F" w14:textId="77777777" w:rsidR="00201FE9" w:rsidRPr="00C86111" w:rsidRDefault="00201FE9" w:rsidP="00201FE9">
      <w:pPr>
        <w:pStyle w:val="Tabele"/>
        <w:numPr>
          <w:ilvl w:val="0"/>
          <w:numId w:val="0"/>
        </w:numPr>
        <w:spacing w:before="0" w:after="0"/>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Prva kompostana u Crnoj Gori, izgrađena je na Imanju DOO "Komunalno Kotor" u Kavču - Kotor, u okviru projekta "Uvođenje kompostiranja i primarne selekcije otpada u opštinama Kotor, Tivat, Budva i Herceg Novi" koji je finansiran od strane Delegacije EU u Crnoj Gori.</w:t>
      </w:r>
      <w:r w:rsidRPr="00C86111">
        <w:rPr>
          <w:rFonts w:asciiTheme="minorHAnsi" w:hAnsiTheme="minorHAnsi" w:cstheme="minorHAnsi"/>
          <w:sz w:val="24"/>
          <w:lang w:val="sr-Latn-RS"/>
        </w:rPr>
        <w:t xml:space="preserve"> </w:t>
      </w:r>
      <w:r w:rsidRPr="00C86111">
        <w:rPr>
          <w:rFonts w:asciiTheme="minorHAnsi" w:hAnsiTheme="minorHAnsi" w:cstheme="minorHAnsi"/>
          <w:i w:val="0"/>
          <w:iCs/>
          <w:sz w:val="24"/>
          <w:lang w:val="sr-Latn-RS"/>
        </w:rPr>
        <w:t>Sprovedene analize potvrđuju da je proizvedeni kompost 1. kategorije kvaliteta na osnovu Pravilnika o uslovima za preradu biootpada i kriterijumima za određivanje kvaliteta produkata organskog recikliranja iz biootpada ("Sl.list Crne Gore", br.59/139).</w:t>
      </w:r>
    </w:p>
    <w:p w14:paraId="3F70DAB1" w14:textId="77777777" w:rsidR="00201FE9" w:rsidRPr="00C86111" w:rsidRDefault="00201FE9" w:rsidP="00201FE9">
      <w:pPr>
        <w:pStyle w:val="Tabele"/>
        <w:numPr>
          <w:ilvl w:val="0"/>
          <w:numId w:val="0"/>
        </w:numPr>
        <w:spacing w:before="0" w:after="0"/>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 xml:space="preserve">Izvor podataka. Zvanična stranica JKP Kotor; </w:t>
      </w:r>
      <w:hyperlink r:id="rId21" w:history="1">
        <w:r w:rsidRPr="00C86111">
          <w:rPr>
            <w:rStyle w:val="Hyperlink"/>
            <w:rFonts w:asciiTheme="minorHAnsi" w:hAnsiTheme="minorHAnsi" w:cstheme="minorHAnsi"/>
            <w:i w:val="0"/>
            <w:iCs/>
            <w:color w:val="auto"/>
            <w:sz w:val="24"/>
            <w:lang w:val="sr-Latn-RS"/>
          </w:rPr>
          <w:t>https://jkpkotor.com/me/usluge/kompostana/</w:t>
        </w:r>
      </w:hyperlink>
      <w:r w:rsidRPr="00C86111">
        <w:rPr>
          <w:rFonts w:asciiTheme="minorHAnsi" w:hAnsiTheme="minorHAnsi" w:cstheme="minorHAnsi"/>
          <w:i w:val="0"/>
          <w:iCs/>
          <w:sz w:val="24"/>
          <w:lang w:val="sr-Latn-RS"/>
        </w:rPr>
        <w:t xml:space="preserve"> </w:t>
      </w:r>
    </w:p>
    <w:p w14:paraId="67829270" w14:textId="200C1462" w:rsidR="00201FE9" w:rsidRPr="00C86111" w:rsidRDefault="00201FE9" w:rsidP="00201FE9">
      <w:pPr>
        <w:pStyle w:val="Tabele"/>
        <w:numPr>
          <w:ilvl w:val="0"/>
          <w:numId w:val="0"/>
        </w:numPr>
        <w:spacing w:before="0" w:after="0"/>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 xml:space="preserve">Na osnovu raspoloživih podataka, kompostana je počela sa radom 2017. godine i ukupna proizvedena količina komposta na godišnjem nivou iznosi oko 700 tona. Ovo dovodi do </w:t>
      </w:r>
      <w:r w:rsidR="000D1995" w:rsidRPr="00C86111">
        <w:rPr>
          <w:rFonts w:asciiTheme="minorHAnsi" w:hAnsiTheme="minorHAnsi" w:cstheme="minorHAnsi"/>
          <w:i w:val="0"/>
          <w:iCs/>
          <w:sz w:val="24"/>
          <w:lang w:val="sr-Latn-RS"/>
        </w:rPr>
        <w:t>emisije</w:t>
      </w:r>
      <w:r w:rsidRPr="00C86111">
        <w:rPr>
          <w:rFonts w:asciiTheme="minorHAnsi" w:hAnsiTheme="minorHAnsi" w:cstheme="minorHAnsi"/>
          <w:i w:val="0"/>
          <w:iCs/>
          <w:sz w:val="24"/>
          <w:lang w:val="sr-Latn-RS"/>
        </w:rPr>
        <w:t xml:space="preserve"> u produkte od 0.004 gTEQ/god.</w:t>
      </w:r>
    </w:p>
    <w:p w14:paraId="773386B3" w14:textId="77777777" w:rsidR="00201FE9" w:rsidRPr="00C86111" w:rsidRDefault="00201FE9" w:rsidP="00EA6904">
      <w:pPr>
        <w:pStyle w:val="Heading4"/>
        <w:rPr>
          <w:lang w:val="sr-Latn-RS"/>
        </w:rPr>
      </w:pPr>
      <w:r w:rsidRPr="00C86111">
        <w:rPr>
          <w:lang w:val="sr-Latn-RS"/>
        </w:rPr>
        <w:t>Grupa 10. Potencijalne kontaminirane lokacije</w:t>
      </w:r>
    </w:p>
    <w:p w14:paraId="7BBD7790"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Član 6. Stockholmske konvencije podstiče države da razviju strategije za identifikaciju lokacija kontaminiranih nenamjerno realizovanim POP’s. Ova kategorija uključuje indikativni popis aktivnosti koje su mogle rezultirati kontaminacijom zemljišta i sedimenata PCDD/PCDF i drugim nenamjerno realizovanim POP’s, uključujući povezane naslage.</w:t>
      </w:r>
    </w:p>
    <w:p w14:paraId="2EA0BBF6"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PCDD/PCDF iz rezervoara, uključujući kontaminirane lokacije i žarišta, danas predstavljaju važan izvor izloženosti ljudi, često putem kontaminacije hrane: nedavne nesreće s hranom i stočnom hranom u Evropi uzrokovane su istorijskom kontaminacijom PCDD/PCDF iz prošle proizvodnje hlorisanih organskih supstanci i kontaminiranih lokacija (Fiedler i sur. 2000b, Torres i sur. 2012, Weber i sur. 2008a,b), ističući da se PCDD/PCDF iz tih izvora ispuštaju u prehrambeni lanac.</w:t>
      </w:r>
    </w:p>
    <w:p w14:paraId="67578E87"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Postupak se sastoji od tri zadatka:</w:t>
      </w:r>
    </w:p>
    <w:p w14:paraId="2503B9CB"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I.Identificiranje izvora aktivnosti koje su mogle uzrokovati kontaminaciju i identifikacija potencijalno kontaminiranih lokacija;</w:t>
      </w:r>
    </w:p>
    <w:p w14:paraId="1AFB780A"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II.Procjena tih mjesta s obzirom na vjerojatnu veličinu kontaminacije i rangiranje prema riziku od izloženosti;</w:t>
      </w:r>
    </w:p>
    <w:p w14:paraId="3C38E290"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III.Procjena stepena kontaminacije najznačajnijih lokacija detaljnom analizom.</w:t>
      </w:r>
    </w:p>
    <w:p w14:paraId="6D587A5D"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U početnoj fazi razvoja inventara, lokacije povezane s gore navedenim aktivnostima visokog prioriteta mogu se kategorizirati bez detaljne procjene kao „potencijalno kontaminirane lokacije“. Korišćenjem ovog jednostavnog pristupa (Tier 1), širok raspon „potencijalno kontaminiranih lokacija“ može se u početku navesti. Često se u ovoj fazi samo fabrike i područja oko poznatih ili sumnjivih izvora mogu identifikovati kao „potencijalno kontaminirane“, bez poznavanja detalja o npr. naslagama, kontaminiranom  tlu ili sedimentima. Ove će lokacije biti uključene u popis ili bazu podataka kontaminiranih lokacija, uz napomenu da su potrebna dalja istraživanja (UNEP-ov vodič).</w:t>
      </w:r>
    </w:p>
    <w:p w14:paraId="765B29A2" w14:textId="45CC829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Na osnovu sprovedene inventarizacije, istorijskih podataka o proizvodnim procesima, prateći  uputstva iz UNEP-ovog priručnika, moguće je sprovesti preliminarnu analizu potencijalnih kontaminiranih lokacija po Tier 1 metodologiji. Lokacija može biti kontaminirana usled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nenamjerno proizvedenih POP’s u zemljište, vodu i ostatke iz procesa proizvodnje ako se sa istim ne upravlja na bezbjedan način. U skladu sa inventarizacijom sledeće ključne grupe kategorija dovode do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nenamjerno proizvedenih POP’s u zemljište i ostatke iz procesa proizvodnje </w:t>
      </w:r>
      <w:r w:rsidR="00F562F0">
        <w:rPr>
          <w:rFonts w:asciiTheme="minorHAnsi" w:hAnsiTheme="minorHAnsi" w:cstheme="minorHAnsi"/>
          <w:color w:val="auto"/>
          <w:szCs w:val="24"/>
        </w:rPr>
        <w:t>:</w:t>
      </w:r>
    </w:p>
    <w:p w14:paraId="225922C4" w14:textId="77777777" w:rsidR="00201FE9" w:rsidRPr="00C86111" w:rsidRDefault="00201FE9" w:rsidP="007E2AA5">
      <w:pPr>
        <w:pStyle w:val="ListParagraph"/>
        <w:numPr>
          <w:ilvl w:val="0"/>
          <w:numId w:val="33"/>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Procesi sa otvorenim sagorijevanjem;</w:t>
      </w:r>
    </w:p>
    <w:p w14:paraId="509776DE" w14:textId="77777777" w:rsidR="00201FE9" w:rsidRPr="00C86111" w:rsidRDefault="00201FE9" w:rsidP="007E2AA5">
      <w:pPr>
        <w:pStyle w:val="ListParagraph"/>
        <w:numPr>
          <w:ilvl w:val="0"/>
          <w:numId w:val="33"/>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Proizvodnja teških i obojenih metala;</w:t>
      </w:r>
    </w:p>
    <w:p w14:paraId="5DB80F4B" w14:textId="77777777" w:rsidR="00201FE9" w:rsidRPr="00C86111" w:rsidRDefault="00201FE9" w:rsidP="007E2AA5">
      <w:pPr>
        <w:pStyle w:val="ListParagraph"/>
        <w:numPr>
          <w:ilvl w:val="0"/>
          <w:numId w:val="33"/>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Proizvodnja toplotne i električne energije;</w:t>
      </w:r>
    </w:p>
    <w:p w14:paraId="792F989E" w14:textId="77777777" w:rsidR="00201FE9" w:rsidRPr="00C86111" w:rsidRDefault="00201FE9" w:rsidP="007E2AA5">
      <w:pPr>
        <w:pStyle w:val="ListParagraph"/>
        <w:numPr>
          <w:ilvl w:val="0"/>
          <w:numId w:val="33"/>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Odlaganje otpada.</w:t>
      </w:r>
    </w:p>
    <w:p w14:paraId="1AE074F0"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Sledeće potencijalne kontaminirane lokacije su identifikovane na bazi Tier 1:</w:t>
      </w:r>
    </w:p>
    <w:p w14:paraId="2FF2E55E" w14:textId="77777777" w:rsidR="00201FE9" w:rsidRPr="00C86111" w:rsidRDefault="00201FE9" w:rsidP="00201FE9">
      <w:pPr>
        <w:pStyle w:val="ListParagraph"/>
        <w:jc w:val="both"/>
        <w:rPr>
          <w:rFonts w:asciiTheme="minorHAnsi" w:hAnsiTheme="minorHAnsi" w:cstheme="minorHAnsi"/>
          <w:color w:val="auto"/>
          <w:szCs w:val="24"/>
        </w:rPr>
      </w:pPr>
    </w:p>
    <w:p w14:paraId="14561A3F" w14:textId="77777777" w:rsidR="00201FE9" w:rsidRPr="00C86111" w:rsidRDefault="00201FE9" w:rsidP="007E2AA5">
      <w:pPr>
        <w:pStyle w:val="ListParagraph"/>
        <w:numPr>
          <w:ilvl w:val="0"/>
          <w:numId w:val="34"/>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Fabrika za proizvodnju celuloze i papira u Beranama</w:t>
      </w:r>
    </w:p>
    <w:p w14:paraId="4639A739" w14:textId="77777777" w:rsidR="00201FE9" w:rsidRPr="00C86111" w:rsidRDefault="00201FE9" w:rsidP="007E2AA5">
      <w:pPr>
        <w:pStyle w:val="ListParagraph"/>
        <w:numPr>
          <w:ilvl w:val="0"/>
          <w:numId w:val="34"/>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Požari na neuređenim odlagalištima otpada</w:t>
      </w:r>
    </w:p>
    <w:p w14:paraId="2CD1025C" w14:textId="77777777" w:rsidR="00201FE9" w:rsidRPr="00C86111" w:rsidRDefault="00201FE9" w:rsidP="007E2AA5">
      <w:pPr>
        <w:pStyle w:val="ListParagraph"/>
        <w:numPr>
          <w:ilvl w:val="0"/>
          <w:numId w:val="34"/>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Deponija Željezare Nikšić – „Halda“</w:t>
      </w:r>
    </w:p>
    <w:p w14:paraId="6954564A" w14:textId="77777777" w:rsidR="00201FE9" w:rsidRPr="00C86111" w:rsidRDefault="00201FE9" w:rsidP="007E2AA5">
      <w:pPr>
        <w:pStyle w:val="ListParagraph"/>
        <w:numPr>
          <w:ilvl w:val="0"/>
          <w:numId w:val="34"/>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deponija cjelokupnog opasnog i neopasnog otpada iz proizvodnog procesa Kombinata aluminijuma Podgorica</w:t>
      </w:r>
    </w:p>
    <w:p w14:paraId="637F510A" w14:textId="77777777" w:rsidR="00201FE9" w:rsidRPr="00C86111" w:rsidRDefault="00201FE9" w:rsidP="007E2AA5">
      <w:pPr>
        <w:pStyle w:val="ListParagraph"/>
        <w:numPr>
          <w:ilvl w:val="0"/>
          <w:numId w:val="34"/>
        </w:numPr>
        <w:spacing w:after="120"/>
        <w:jc w:val="both"/>
        <w:rPr>
          <w:rFonts w:asciiTheme="minorHAnsi" w:hAnsiTheme="minorHAnsi" w:cstheme="minorHAnsi"/>
          <w:color w:val="auto"/>
          <w:szCs w:val="24"/>
        </w:rPr>
      </w:pPr>
      <w:bookmarkStart w:id="73" w:name="_Hlk208345489"/>
      <w:r w:rsidRPr="00C86111">
        <w:rPr>
          <w:rFonts w:asciiTheme="minorHAnsi" w:hAnsiTheme="minorHAnsi" w:cstheme="minorHAnsi"/>
          <w:color w:val="auto"/>
          <w:szCs w:val="24"/>
        </w:rPr>
        <w:t>Deponija TE Pljevlja „Maljevac</w:t>
      </w:r>
      <w:bookmarkEnd w:id="73"/>
      <w:r w:rsidRPr="00C86111">
        <w:rPr>
          <w:rFonts w:asciiTheme="minorHAnsi" w:hAnsiTheme="minorHAnsi" w:cstheme="minorHAnsi"/>
          <w:color w:val="auto"/>
          <w:szCs w:val="24"/>
        </w:rPr>
        <w:t>“</w:t>
      </w:r>
    </w:p>
    <w:p w14:paraId="2654C5A6" w14:textId="77777777" w:rsidR="00201FE9" w:rsidRPr="00C86111" w:rsidRDefault="00201FE9" w:rsidP="00201FE9">
      <w:pPr>
        <w:pStyle w:val="ListParagraph"/>
        <w:jc w:val="both"/>
        <w:rPr>
          <w:rFonts w:asciiTheme="minorHAnsi" w:hAnsiTheme="minorHAnsi" w:cstheme="minorHAnsi"/>
          <w:color w:val="auto"/>
          <w:szCs w:val="24"/>
        </w:rPr>
      </w:pPr>
    </w:p>
    <w:p w14:paraId="1D2F430E" w14:textId="77777777" w:rsidR="00201FE9" w:rsidRPr="00C86111" w:rsidRDefault="00201FE9" w:rsidP="00201FE9">
      <w:pPr>
        <w:ind w:firstLine="284"/>
        <w:jc w:val="both"/>
        <w:rPr>
          <w:rFonts w:asciiTheme="minorHAnsi" w:hAnsiTheme="minorHAnsi" w:cstheme="minorHAnsi"/>
          <w:color w:val="002060"/>
          <w:szCs w:val="24"/>
          <w:u w:val="single"/>
        </w:rPr>
      </w:pPr>
      <w:r w:rsidRPr="00C86111">
        <w:rPr>
          <w:rFonts w:asciiTheme="minorHAnsi" w:hAnsiTheme="minorHAnsi" w:cstheme="minorHAnsi"/>
          <w:color w:val="002060"/>
          <w:szCs w:val="24"/>
          <w:u w:val="single"/>
        </w:rPr>
        <w:t>Fabrika za proizvodnju celuloze i papira u Beranama</w:t>
      </w:r>
    </w:p>
    <w:p w14:paraId="392C2A15" w14:textId="77777777" w:rsidR="00201FE9" w:rsidRPr="00C86111" w:rsidRDefault="00201FE9" w:rsidP="00201FE9">
      <w:pPr>
        <w:pStyle w:val="ListParagraph"/>
        <w:jc w:val="both"/>
        <w:rPr>
          <w:rFonts w:asciiTheme="minorHAnsi" w:hAnsiTheme="minorHAnsi" w:cstheme="minorHAnsi"/>
          <w:color w:val="auto"/>
          <w:szCs w:val="24"/>
        </w:rPr>
      </w:pPr>
    </w:p>
    <w:p w14:paraId="6E5731BB" w14:textId="0D4F973F"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color w:val="auto"/>
          <w:szCs w:val="24"/>
        </w:rPr>
        <w:t>Fabrika za proizvodnju celuloze i papira u Beranama je puštena u rad 1964. godine a zatvorena 1989. Godine. Fabrika je bila locirana na periferiji Berana u blizini rijeke Lim (slika 1. Anex 2. prikaz lokacije preuzet sa Google Earth). Dio fabrike je privatizovan 1996. godine, pri čemu su pojedini pogoni (papirni blok) kratkotrajno puštani u rad. Nakon neuspješne privatizacije, svi proizvodni procesi su ugašeni poslije 2000. godine, dio fabričkog kruga je privatizovan i pretvoren u biznis zonu za djelatnosti kao što je proizvodnja betonskih blokova. Na osnovu informacija dobijenih od tehničkog lica koje je radilo u fabrici, proizvodnja celuloze i papira se vršila putem Kraft (sulfatnog) procesa uz izbjeljivanje pulpe sa hlorom (Cl</w:t>
      </w:r>
      <w:r w:rsidRPr="00C86111">
        <w:rPr>
          <w:rFonts w:asciiTheme="minorHAnsi" w:hAnsiTheme="minorHAnsi" w:cstheme="minorHAnsi"/>
          <w:color w:val="auto"/>
          <w:szCs w:val="24"/>
          <w:vertAlign w:val="subscript"/>
        </w:rPr>
        <w:t>2</w:t>
      </w:r>
      <w:r w:rsidRPr="00C86111">
        <w:rPr>
          <w:rFonts w:asciiTheme="minorHAnsi" w:hAnsiTheme="minorHAnsi" w:cstheme="minorHAnsi"/>
          <w:color w:val="auto"/>
          <w:szCs w:val="24"/>
        </w:rPr>
        <w:t xml:space="preserve">). Prema UNEP-ovom priručniku, ovaj tehnološki proces dovodi do </w:t>
      </w:r>
      <w:r w:rsidR="000D1995" w:rsidRPr="00C86111">
        <w:rPr>
          <w:rFonts w:asciiTheme="minorHAnsi" w:hAnsiTheme="minorHAnsi" w:cstheme="minorHAnsi"/>
          <w:color w:val="auto"/>
          <w:szCs w:val="24"/>
        </w:rPr>
        <w:t>emisije</w:t>
      </w:r>
      <w:r w:rsidRPr="00C86111">
        <w:rPr>
          <w:rFonts w:asciiTheme="minorHAnsi" w:hAnsiTheme="minorHAnsi" w:cstheme="minorHAnsi"/>
          <w:color w:val="auto"/>
          <w:szCs w:val="24"/>
        </w:rPr>
        <w:t xml:space="preserve"> POP’s u sledeće medijume životne sredine: u vazduh usled proizvodnje energije, ispuštanja u vodu u efluentima iz sistema za prečišćavanje otpadnih voda; ispuštanja u ostatke iz proizvodnje kao mulj i pepeo ili talog iz sistema za prečišćavanje otpadnih voda i ispuštanja u proizvod – celulozu i papir.</w:t>
      </w:r>
    </w:p>
    <w:p w14:paraId="0BF75E2E" w14:textId="77777777"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b/>
          <w:bCs/>
          <w:color w:val="auto"/>
          <w:szCs w:val="24"/>
        </w:rPr>
        <w:t>Preporuke:</w:t>
      </w:r>
      <w:r w:rsidRPr="00C86111">
        <w:rPr>
          <w:rFonts w:asciiTheme="minorHAnsi" w:hAnsiTheme="minorHAnsi" w:cstheme="minorHAnsi"/>
          <w:color w:val="auto"/>
          <w:szCs w:val="24"/>
        </w:rPr>
        <w:t xml:space="preserve"> sprovesti istraživanja u skladu sa Tier 2 UNEP metodologijom.</w:t>
      </w:r>
    </w:p>
    <w:p w14:paraId="2BE4CEBF" w14:textId="77777777" w:rsidR="00201FE9" w:rsidRPr="00C86111" w:rsidRDefault="00201FE9" w:rsidP="00201FE9">
      <w:pPr>
        <w:pStyle w:val="ListParagraph"/>
        <w:ind w:left="284"/>
        <w:jc w:val="both"/>
        <w:rPr>
          <w:rFonts w:asciiTheme="minorHAnsi" w:hAnsiTheme="minorHAnsi" w:cstheme="minorHAnsi"/>
          <w:color w:val="auto"/>
          <w:szCs w:val="24"/>
        </w:rPr>
      </w:pPr>
    </w:p>
    <w:p w14:paraId="03DC4C88" w14:textId="77777777" w:rsidR="00201FE9" w:rsidRPr="00C86111" w:rsidRDefault="00201FE9" w:rsidP="00201FE9">
      <w:pPr>
        <w:pStyle w:val="ListParagraph"/>
        <w:ind w:left="284"/>
        <w:jc w:val="both"/>
        <w:rPr>
          <w:rFonts w:asciiTheme="minorHAnsi" w:hAnsiTheme="minorHAnsi" w:cstheme="minorHAnsi"/>
          <w:color w:val="002060"/>
          <w:szCs w:val="24"/>
        </w:rPr>
      </w:pPr>
      <w:r w:rsidRPr="00C86111">
        <w:rPr>
          <w:rFonts w:asciiTheme="minorHAnsi" w:hAnsiTheme="minorHAnsi" w:cstheme="minorHAnsi"/>
          <w:color w:val="002060"/>
          <w:szCs w:val="24"/>
        </w:rPr>
        <w:t>Požari na većim neuređenim odlagalištima otpada</w:t>
      </w:r>
    </w:p>
    <w:p w14:paraId="3570BA66" w14:textId="77777777" w:rsidR="00201FE9" w:rsidRPr="00C86111" w:rsidRDefault="00201FE9" w:rsidP="00201FE9">
      <w:pPr>
        <w:pStyle w:val="ListParagraph"/>
        <w:ind w:left="284"/>
        <w:jc w:val="both"/>
        <w:rPr>
          <w:rFonts w:asciiTheme="minorHAnsi" w:hAnsiTheme="minorHAnsi" w:cstheme="minorHAnsi"/>
          <w:color w:val="auto"/>
          <w:szCs w:val="24"/>
        </w:rPr>
      </w:pPr>
    </w:p>
    <w:p w14:paraId="40ABAF59" w14:textId="2BB9FB33"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color w:val="auto"/>
          <w:szCs w:val="24"/>
        </w:rPr>
        <w:t>Sva veća odlagališta otpada koja su bila podložna višegodišnjem gorenju mogu se smatrati potencijalnim kontaminiranim lokacijama. Prema Izveštaju o sprovođenju Državnog plana upravljanja otpadom za 2020. godinu, u Crnoj Gori postoji 334 nekontrolisana odlagališta otpada od kojih je 50 odlagališta zapremine veće od 1000m</w:t>
      </w:r>
      <w:r w:rsidRPr="00C86111">
        <w:rPr>
          <w:rFonts w:asciiTheme="minorHAnsi" w:hAnsiTheme="minorHAnsi" w:cstheme="minorHAnsi"/>
          <w:color w:val="auto"/>
          <w:szCs w:val="24"/>
          <w:vertAlign w:val="superscript"/>
        </w:rPr>
        <w:t>3</w:t>
      </w:r>
      <w:r w:rsidRPr="00C86111">
        <w:rPr>
          <w:rFonts w:asciiTheme="minorHAnsi" w:hAnsiTheme="minorHAnsi" w:cstheme="minorHAnsi"/>
          <w:color w:val="auto"/>
          <w:szCs w:val="24"/>
        </w:rPr>
        <w:t>. Prema podacima dobijenim putem upitnika, nekontolisano spaljivanje otpada se događalo više puta tokom godina na značajnom broju ovih nekontrolisanih odlagališta otpada, ali i na djelimično kontrolisanim</w:t>
      </w:r>
      <w:r w:rsidR="006F5A10" w:rsidRPr="00C86111">
        <w:rPr>
          <w:rFonts w:asciiTheme="minorHAnsi" w:hAnsiTheme="minorHAnsi" w:cstheme="minorHAnsi"/>
          <w:color w:val="auto"/>
          <w:szCs w:val="24"/>
        </w:rPr>
        <w:t>.</w:t>
      </w:r>
      <w:r w:rsidRPr="00C86111">
        <w:rPr>
          <w:rFonts w:asciiTheme="minorHAnsi" w:hAnsiTheme="minorHAnsi" w:cstheme="minorHAnsi"/>
          <w:color w:val="auto"/>
          <w:szCs w:val="24"/>
        </w:rPr>
        <w:t xml:space="preserve"> Potencijalno curenje PCB-a i PCDD/PCDF-a u životnu sredinu trebalo bi da bude potvrđeno monitoringom.</w:t>
      </w:r>
    </w:p>
    <w:p w14:paraId="70B309C3" w14:textId="77777777" w:rsidR="00201FE9"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b/>
          <w:bCs/>
          <w:color w:val="auto"/>
          <w:szCs w:val="24"/>
        </w:rPr>
        <w:t>Preporuke:</w:t>
      </w:r>
      <w:r w:rsidRPr="00C86111">
        <w:rPr>
          <w:rFonts w:asciiTheme="minorHAnsi" w:hAnsiTheme="minorHAnsi" w:cstheme="minorHAnsi"/>
          <w:color w:val="auto"/>
          <w:szCs w:val="24"/>
        </w:rPr>
        <w:t xml:space="preserve"> sprovesti istraživanja u skladu sa Tier 2 UNEP metodologijom.</w:t>
      </w:r>
    </w:p>
    <w:p w14:paraId="044DEFD9" w14:textId="77777777" w:rsidR="00F562F0" w:rsidRDefault="00F562F0" w:rsidP="00201FE9">
      <w:pPr>
        <w:pStyle w:val="ListParagraph"/>
        <w:ind w:left="284"/>
        <w:jc w:val="both"/>
        <w:rPr>
          <w:rFonts w:asciiTheme="minorHAnsi" w:hAnsiTheme="minorHAnsi" w:cstheme="minorHAnsi"/>
          <w:color w:val="auto"/>
          <w:szCs w:val="24"/>
        </w:rPr>
      </w:pPr>
    </w:p>
    <w:p w14:paraId="6A54A012" w14:textId="77777777" w:rsidR="00F562F0" w:rsidRDefault="00F562F0" w:rsidP="00201FE9">
      <w:pPr>
        <w:pStyle w:val="ListParagraph"/>
        <w:ind w:left="284"/>
        <w:jc w:val="both"/>
        <w:rPr>
          <w:rFonts w:asciiTheme="minorHAnsi" w:hAnsiTheme="minorHAnsi" w:cstheme="minorHAnsi"/>
          <w:color w:val="auto"/>
          <w:szCs w:val="24"/>
        </w:rPr>
      </w:pPr>
    </w:p>
    <w:p w14:paraId="1803556B" w14:textId="77777777" w:rsidR="00F562F0" w:rsidRPr="00C86111" w:rsidRDefault="00F562F0" w:rsidP="00201FE9">
      <w:pPr>
        <w:pStyle w:val="ListParagraph"/>
        <w:ind w:left="284"/>
        <w:jc w:val="both"/>
        <w:rPr>
          <w:rFonts w:asciiTheme="minorHAnsi" w:hAnsiTheme="minorHAnsi" w:cstheme="minorHAnsi"/>
          <w:color w:val="auto"/>
          <w:szCs w:val="24"/>
        </w:rPr>
      </w:pPr>
    </w:p>
    <w:p w14:paraId="1F8A7D12" w14:textId="77777777" w:rsidR="00201FE9" w:rsidRPr="00C86111" w:rsidRDefault="00201FE9" w:rsidP="00201FE9">
      <w:pPr>
        <w:pStyle w:val="ListParagraph"/>
        <w:ind w:left="284"/>
        <w:jc w:val="both"/>
        <w:rPr>
          <w:rFonts w:asciiTheme="minorHAnsi" w:hAnsiTheme="minorHAnsi" w:cstheme="minorHAnsi"/>
          <w:color w:val="auto"/>
          <w:szCs w:val="24"/>
        </w:rPr>
      </w:pPr>
    </w:p>
    <w:p w14:paraId="1EECDF80" w14:textId="77777777" w:rsidR="00201FE9" w:rsidRPr="00C86111" w:rsidRDefault="00201FE9" w:rsidP="00201FE9">
      <w:pPr>
        <w:pStyle w:val="ListParagraph"/>
        <w:ind w:left="284"/>
        <w:jc w:val="both"/>
        <w:rPr>
          <w:rFonts w:asciiTheme="minorHAnsi" w:hAnsiTheme="minorHAnsi" w:cstheme="minorHAnsi"/>
          <w:color w:val="002060"/>
          <w:szCs w:val="24"/>
        </w:rPr>
      </w:pPr>
      <w:r w:rsidRPr="00C86111">
        <w:rPr>
          <w:rFonts w:asciiTheme="minorHAnsi" w:hAnsiTheme="minorHAnsi" w:cstheme="minorHAnsi"/>
          <w:color w:val="002060"/>
          <w:szCs w:val="24"/>
        </w:rPr>
        <w:lastRenderedPageBreak/>
        <w:t>Deponija Željezare Nikšić – „Halda“</w:t>
      </w:r>
    </w:p>
    <w:p w14:paraId="004701AD" w14:textId="77777777" w:rsidR="00201FE9" w:rsidRPr="00C86111" w:rsidRDefault="00201FE9" w:rsidP="00201FE9">
      <w:pPr>
        <w:pStyle w:val="ListParagraph"/>
        <w:ind w:left="284"/>
        <w:jc w:val="both"/>
        <w:rPr>
          <w:rFonts w:asciiTheme="minorHAnsi" w:hAnsiTheme="minorHAnsi" w:cstheme="minorHAnsi"/>
          <w:color w:val="002060"/>
          <w:szCs w:val="24"/>
        </w:rPr>
      </w:pPr>
    </w:p>
    <w:p w14:paraId="3F180AF6" w14:textId="77777777"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color w:val="auto"/>
          <w:szCs w:val="24"/>
        </w:rPr>
        <w:t>Deponija opasnog industrijskog otpada nastalog u procesu proizvodnje Željezare – Halda formirana je u drugoj polovini prošlog vijeka i zauzima prostor od oko 12 hektara. Procijenjeno je da je na deponiji odloženo otprilike dva miliona tona industrijskog otpada. Glavne vrste otpada su pepeo iz termoelektrana (12000 t/god.), mulj nakon tretmana otpadnih voda, pepeo i mulj kao opasni otpad koji sadrži teške metale (6000 t/god.) i PCB izmiješan sa nekim drugim materijalima, kao što je pijesak iz procesa kalupljenja/livenja. Deponija nije pravilno obezbijeđena i dostupna je prolaznicima. Njen južni dio se spušta u samo korito rijeke Gračanice i zbog velikog nagiba podložan je eroziji.</w:t>
      </w:r>
    </w:p>
    <w:p w14:paraId="1869534B" w14:textId="77777777"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Prema dostupnim informacijama, prašina iz elektrofilterskog postrojenja elektrolučne peći, koje je bilo u funkciji poslije 2011. godine nije odlagana na deponiji već je skupljana u tzv. Jumbo vreće i skladištena u krugu fabrike. </w:t>
      </w:r>
    </w:p>
    <w:p w14:paraId="1BAD1088" w14:textId="18E6A700"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color w:val="auto"/>
          <w:szCs w:val="24"/>
        </w:rPr>
        <w:t xml:space="preserve">Deponija Halda je prepoznata kao crna ekološka tačka ali zbog neriješenih pravno imovinskih odnosa (deponija se nalazi na privatnom zemljištu) još uvijek nije urađen sanacioni plan za ovu deponiju tj nije ušla u projekat finansiran od strane Svjetske banke „Upravljanje industrijskim otpadom i čišćenje“. </w:t>
      </w:r>
    </w:p>
    <w:p w14:paraId="595FF24B" w14:textId="77777777"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b/>
          <w:bCs/>
          <w:color w:val="auto"/>
          <w:szCs w:val="24"/>
        </w:rPr>
        <w:t>Preporuka:</w:t>
      </w:r>
      <w:r w:rsidRPr="00C86111">
        <w:rPr>
          <w:rFonts w:asciiTheme="minorHAnsi" w:hAnsiTheme="minorHAnsi" w:cstheme="minorHAnsi"/>
          <w:color w:val="auto"/>
          <w:szCs w:val="24"/>
        </w:rPr>
        <w:t xml:space="preserve"> sprovesti monitoring POP’s na prostoru same deponije kao i u životnoj sredini oko deponije.</w:t>
      </w:r>
    </w:p>
    <w:p w14:paraId="50DF0CA0" w14:textId="77777777" w:rsidR="00201FE9" w:rsidRDefault="00201FE9" w:rsidP="00201FE9">
      <w:pPr>
        <w:pStyle w:val="ListParagraph"/>
        <w:ind w:left="284"/>
        <w:jc w:val="both"/>
        <w:rPr>
          <w:rFonts w:asciiTheme="minorHAnsi" w:hAnsiTheme="minorHAnsi" w:cstheme="minorHAnsi"/>
          <w:color w:val="auto"/>
          <w:szCs w:val="24"/>
        </w:rPr>
      </w:pPr>
    </w:p>
    <w:p w14:paraId="17F426C0" w14:textId="77777777" w:rsidR="00201FE9" w:rsidRPr="00C86111" w:rsidRDefault="00201FE9" w:rsidP="00201FE9">
      <w:pPr>
        <w:ind w:left="284"/>
        <w:jc w:val="both"/>
        <w:rPr>
          <w:rFonts w:asciiTheme="minorHAnsi" w:hAnsiTheme="minorHAnsi" w:cstheme="minorHAnsi"/>
          <w:color w:val="002060"/>
          <w:szCs w:val="24"/>
        </w:rPr>
      </w:pPr>
      <w:r w:rsidRPr="00C86111">
        <w:rPr>
          <w:rFonts w:asciiTheme="minorHAnsi" w:hAnsiTheme="minorHAnsi" w:cstheme="minorHAnsi"/>
          <w:color w:val="002060"/>
          <w:szCs w:val="24"/>
        </w:rPr>
        <w:t>Deponija cjelokupnog opasnog i neopasnog otpada iz proizvodnog procesa Kombinata aluminijuma Podgorica (KAP)</w:t>
      </w:r>
    </w:p>
    <w:p w14:paraId="28CBF376" w14:textId="77777777" w:rsidR="003F2793" w:rsidRPr="00C86111" w:rsidRDefault="003F2793" w:rsidP="00201FE9">
      <w:pPr>
        <w:ind w:left="284"/>
        <w:jc w:val="both"/>
        <w:rPr>
          <w:rFonts w:asciiTheme="minorHAnsi" w:hAnsiTheme="minorHAnsi" w:cstheme="minorHAnsi"/>
          <w:color w:val="002060"/>
          <w:szCs w:val="24"/>
        </w:rPr>
      </w:pPr>
    </w:p>
    <w:p w14:paraId="0C7F5850" w14:textId="77777777"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color w:val="auto"/>
          <w:szCs w:val="24"/>
        </w:rPr>
        <w:t>Za bazen crvenog mulja i deponiju čvrstog otpada koji se nalaze na lokaciji KAP-a, kroz budžet projekta koji se realizuje u saradnji sa Svjetskom bankom ,,Upravljanje industrijskim otpadom i čišćenje“, obezbijeđena su sredstva za izradu tehničke dokumentacije za remedijaciju. Sva tehnička dokumentacija je pripremljena i odobrena.(Izvještaj o sprovođenju Državnog plana upravljanja otpadom u Crnoj Gori, za 2022. godinu).</w:t>
      </w:r>
    </w:p>
    <w:p w14:paraId="0C6BB042" w14:textId="77777777"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color w:val="auto"/>
          <w:szCs w:val="24"/>
        </w:rPr>
        <w:t>Prema dostupnim informacijama od operatora postrojenja, šljaka i tzv.”kolač soli” iz postrojenja za preradua Al iz sekundarnih sirovina su kao opasan otpad takođe odlagani na ovoj deponiji.</w:t>
      </w:r>
    </w:p>
    <w:p w14:paraId="1A559A7D" w14:textId="77777777" w:rsidR="00201FE9" w:rsidRPr="00C86111" w:rsidRDefault="00201FE9" w:rsidP="00201FE9">
      <w:pPr>
        <w:pStyle w:val="ListParagraph"/>
        <w:ind w:left="284"/>
        <w:jc w:val="both"/>
        <w:rPr>
          <w:rFonts w:asciiTheme="minorHAnsi" w:hAnsiTheme="minorHAnsi" w:cstheme="minorHAnsi"/>
          <w:color w:val="002060"/>
          <w:szCs w:val="24"/>
        </w:rPr>
      </w:pPr>
    </w:p>
    <w:p w14:paraId="61145DF6" w14:textId="77777777" w:rsidR="00201FE9" w:rsidRPr="00C86111" w:rsidRDefault="00201FE9" w:rsidP="00201FE9">
      <w:pPr>
        <w:pStyle w:val="ListParagraph"/>
        <w:ind w:left="284"/>
        <w:jc w:val="both"/>
        <w:rPr>
          <w:rFonts w:asciiTheme="minorHAnsi" w:hAnsiTheme="minorHAnsi" w:cstheme="minorHAnsi"/>
          <w:color w:val="002060"/>
          <w:szCs w:val="24"/>
        </w:rPr>
      </w:pPr>
      <w:r w:rsidRPr="00C86111">
        <w:rPr>
          <w:rFonts w:asciiTheme="minorHAnsi" w:hAnsiTheme="minorHAnsi" w:cstheme="minorHAnsi"/>
          <w:color w:val="002060"/>
          <w:szCs w:val="24"/>
        </w:rPr>
        <w:t>Deponija TE Pljevlja „Maljevac”</w:t>
      </w:r>
    </w:p>
    <w:p w14:paraId="65659B2E" w14:textId="77777777" w:rsidR="00201FE9" w:rsidRPr="00C86111" w:rsidRDefault="00201FE9" w:rsidP="00201FE9">
      <w:pPr>
        <w:pStyle w:val="ListParagraph"/>
        <w:ind w:left="284"/>
        <w:jc w:val="both"/>
        <w:rPr>
          <w:rFonts w:asciiTheme="minorHAnsi" w:hAnsiTheme="minorHAnsi" w:cstheme="minorHAnsi"/>
          <w:color w:val="auto"/>
          <w:szCs w:val="24"/>
        </w:rPr>
      </w:pPr>
    </w:p>
    <w:p w14:paraId="05FF145F" w14:textId="77777777"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color w:val="auto"/>
          <w:szCs w:val="24"/>
        </w:rPr>
        <w:t>Vlada Crne Gore je dobila kredit od strane Svjetske Banke za potrebe projekta „Upravljanje industrijskim otpadom i čišćenje“, kako bi se sprovela remedijacija pet odabranih deponija industrijskog otpada i upravljalo tekućim procesom odlaganja opasnog industrijskog otpada. Deponija Maljevac na kojoj se vrši odlaganje nusprodukata sagorijevanja uglja iz TE „Pljevlja“ je jedna od pet deponija koje se rešavaju kroz ovaj projekat. Na deponiji se posle ekološke rekonstrukcije TE „Pljevlja“ godišnje odlaže oko 730000m</w:t>
      </w:r>
      <w:r w:rsidRPr="00C86111">
        <w:rPr>
          <w:rFonts w:asciiTheme="minorHAnsi" w:hAnsiTheme="minorHAnsi" w:cstheme="minorHAnsi"/>
          <w:color w:val="auto"/>
          <w:szCs w:val="24"/>
          <w:vertAlign w:val="superscript"/>
        </w:rPr>
        <w:t>3</w:t>
      </w:r>
      <w:r w:rsidRPr="00C86111">
        <w:rPr>
          <w:rFonts w:asciiTheme="minorHAnsi" w:hAnsiTheme="minorHAnsi" w:cstheme="minorHAnsi"/>
          <w:color w:val="auto"/>
          <w:szCs w:val="24"/>
        </w:rPr>
        <w:t xml:space="preserve"> šljake, pepela i gipsa koje prema sprovedenom proračunu kroz  inventarizaciji sadrži oko 0.2. g TEQ.</w:t>
      </w:r>
    </w:p>
    <w:p w14:paraId="6851EDA1" w14:textId="77777777" w:rsidR="00201FE9" w:rsidRPr="00C86111" w:rsidRDefault="00201FE9" w:rsidP="00201FE9">
      <w:pPr>
        <w:pStyle w:val="ListParagraph"/>
        <w:ind w:left="284"/>
        <w:jc w:val="both"/>
        <w:rPr>
          <w:rFonts w:asciiTheme="minorHAnsi" w:hAnsiTheme="minorHAnsi" w:cstheme="minorHAnsi"/>
          <w:color w:val="auto"/>
          <w:szCs w:val="24"/>
        </w:rPr>
      </w:pPr>
      <w:r w:rsidRPr="00C86111">
        <w:rPr>
          <w:rFonts w:asciiTheme="minorHAnsi" w:hAnsiTheme="minorHAnsi" w:cstheme="minorHAnsi"/>
          <w:b/>
          <w:bCs/>
          <w:color w:val="auto"/>
          <w:szCs w:val="24"/>
        </w:rPr>
        <w:t>Preporuka:</w:t>
      </w:r>
      <w:r w:rsidRPr="00C86111">
        <w:rPr>
          <w:rFonts w:asciiTheme="minorHAnsi" w:hAnsiTheme="minorHAnsi" w:cstheme="minorHAnsi"/>
          <w:color w:val="auto"/>
          <w:szCs w:val="24"/>
        </w:rPr>
        <w:t xml:space="preserve"> sprovesti monitoring POP’s na prostoru same deponije kao i u životnoj sredini oko deponije.</w:t>
      </w:r>
    </w:p>
    <w:p w14:paraId="2A1629CF" w14:textId="77777777" w:rsidR="00201FE9" w:rsidRPr="00C86111" w:rsidRDefault="00201FE9" w:rsidP="00201FE9">
      <w:pPr>
        <w:pStyle w:val="ListParagraph"/>
        <w:ind w:left="284"/>
        <w:jc w:val="both"/>
        <w:rPr>
          <w:rFonts w:asciiTheme="minorHAnsi" w:hAnsiTheme="minorHAnsi" w:cstheme="minorHAnsi"/>
          <w:color w:val="auto"/>
          <w:szCs w:val="24"/>
        </w:rPr>
      </w:pPr>
    </w:p>
    <w:p w14:paraId="779ED506" w14:textId="19E0EB2F" w:rsidR="00201FE9" w:rsidRPr="00C86111" w:rsidRDefault="00201FE9" w:rsidP="003F2793">
      <w:pPr>
        <w:ind w:left="270"/>
        <w:rPr>
          <w:b/>
          <w:bCs/>
          <w:color w:val="002060"/>
        </w:rPr>
      </w:pPr>
      <w:r w:rsidRPr="00C86111">
        <w:rPr>
          <w:b/>
          <w:bCs/>
          <w:color w:val="002060"/>
        </w:rPr>
        <w:lastRenderedPageBreak/>
        <w:t xml:space="preserve">Ukupne procijenjene </w:t>
      </w:r>
      <w:r w:rsidR="000D1995" w:rsidRPr="00C86111">
        <w:rPr>
          <w:b/>
          <w:bCs/>
          <w:color w:val="002060"/>
        </w:rPr>
        <w:t>emisije</w:t>
      </w:r>
      <w:r w:rsidRPr="00C86111">
        <w:rPr>
          <w:b/>
          <w:bCs/>
          <w:color w:val="002060"/>
        </w:rPr>
        <w:t xml:space="preserve"> nenamjerno proizvedenih POP’s (PCB i HCB) za period 2006 – 2022. godina</w:t>
      </w:r>
    </w:p>
    <w:p w14:paraId="235F3913" w14:textId="77777777" w:rsidR="00201FE9" w:rsidRPr="00C86111" w:rsidRDefault="00201FE9" w:rsidP="003F2793">
      <w:pPr>
        <w:ind w:left="270"/>
        <w:jc w:val="both"/>
        <w:rPr>
          <w:rFonts w:asciiTheme="minorHAnsi" w:hAnsiTheme="minorHAnsi" w:cstheme="minorHAnsi"/>
          <w:color w:val="auto"/>
          <w:szCs w:val="24"/>
        </w:rPr>
      </w:pPr>
    </w:p>
    <w:p w14:paraId="171D44FA" w14:textId="77777777" w:rsidR="00201FE9" w:rsidRPr="00C86111" w:rsidRDefault="00201FE9" w:rsidP="003F2793">
      <w:pPr>
        <w:ind w:left="270"/>
        <w:jc w:val="both"/>
        <w:rPr>
          <w:rFonts w:asciiTheme="minorHAnsi" w:hAnsiTheme="minorHAnsi" w:cstheme="minorHAnsi"/>
          <w:color w:val="auto"/>
          <w:szCs w:val="24"/>
        </w:rPr>
      </w:pPr>
      <w:r w:rsidRPr="00C86111">
        <w:rPr>
          <w:rFonts w:asciiTheme="minorHAnsi" w:hAnsiTheme="minorHAnsi" w:cstheme="minorHAnsi"/>
          <w:color w:val="auto"/>
          <w:szCs w:val="24"/>
        </w:rPr>
        <w:t>Emisije heksahlorbenzena (HCB) i polihlorovanih bifenila (PCB) su procijenjene korišćenjem emisionih faktora iz UNEP-ovog vodiča. Glavni izvori, po kategorijama, nenamjerno proizvedenih PCB i HCB u Crnoj Gori su:</w:t>
      </w:r>
    </w:p>
    <w:p w14:paraId="58EBF1B4" w14:textId="77777777" w:rsidR="00201FE9" w:rsidRPr="00C86111" w:rsidRDefault="00201FE9" w:rsidP="003F2793">
      <w:pPr>
        <w:pStyle w:val="ListParagraph"/>
        <w:numPr>
          <w:ilvl w:val="0"/>
          <w:numId w:val="31"/>
        </w:numPr>
        <w:spacing w:after="120"/>
        <w:ind w:left="270" w:firstLine="0"/>
        <w:jc w:val="both"/>
        <w:rPr>
          <w:rFonts w:asciiTheme="minorHAnsi" w:hAnsiTheme="minorHAnsi" w:cstheme="minorHAnsi"/>
          <w:color w:val="auto"/>
          <w:szCs w:val="24"/>
        </w:rPr>
      </w:pPr>
      <w:r w:rsidRPr="00C86111">
        <w:rPr>
          <w:rFonts w:asciiTheme="minorHAnsi" w:hAnsiTheme="minorHAnsi" w:cstheme="minorHAnsi"/>
          <w:color w:val="auto"/>
          <w:szCs w:val="24"/>
        </w:rPr>
        <w:t>Kategorija 2. Teška i obojena metalurgija (proizvodnja čelika i aluminijuma);</w:t>
      </w:r>
    </w:p>
    <w:p w14:paraId="6EA459C9" w14:textId="77777777" w:rsidR="00201FE9" w:rsidRPr="00C86111" w:rsidRDefault="00201FE9" w:rsidP="003F2793">
      <w:pPr>
        <w:pStyle w:val="ListParagraph"/>
        <w:numPr>
          <w:ilvl w:val="0"/>
          <w:numId w:val="31"/>
        </w:numPr>
        <w:spacing w:after="120"/>
        <w:ind w:left="270" w:firstLine="0"/>
        <w:jc w:val="both"/>
        <w:rPr>
          <w:rFonts w:asciiTheme="minorHAnsi" w:hAnsiTheme="minorHAnsi" w:cstheme="minorHAnsi"/>
          <w:color w:val="auto"/>
          <w:szCs w:val="24"/>
        </w:rPr>
      </w:pPr>
      <w:r w:rsidRPr="00C86111">
        <w:rPr>
          <w:rFonts w:asciiTheme="minorHAnsi" w:hAnsiTheme="minorHAnsi" w:cstheme="minorHAnsi"/>
          <w:color w:val="auto"/>
          <w:szCs w:val="24"/>
        </w:rPr>
        <w:t xml:space="preserve">Kategorija 3. Proizvodnja električne i toplotne energije (sagorijevanje biomase); </w:t>
      </w:r>
    </w:p>
    <w:p w14:paraId="3215543B" w14:textId="77777777" w:rsidR="00201FE9" w:rsidRPr="00C86111" w:rsidRDefault="00201FE9" w:rsidP="003F2793">
      <w:pPr>
        <w:pStyle w:val="ListParagraph"/>
        <w:numPr>
          <w:ilvl w:val="0"/>
          <w:numId w:val="31"/>
        </w:numPr>
        <w:spacing w:after="120"/>
        <w:ind w:left="270" w:firstLine="0"/>
        <w:jc w:val="both"/>
        <w:rPr>
          <w:rFonts w:asciiTheme="minorHAnsi" w:hAnsiTheme="minorHAnsi" w:cstheme="minorHAnsi"/>
          <w:color w:val="auto"/>
          <w:szCs w:val="24"/>
        </w:rPr>
      </w:pPr>
      <w:r w:rsidRPr="00C86111">
        <w:rPr>
          <w:rFonts w:asciiTheme="minorHAnsi" w:hAnsiTheme="minorHAnsi" w:cstheme="minorHAnsi"/>
          <w:color w:val="auto"/>
          <w:szCs w:val="24"/>
        </w:rPr>
        <w:t>Kategorija 7. Procesi sa otvorenim sagorijevanjem (požari na otvorenim deponijama);</w:t>
      </w:r>
    </w:p>
    <w:p w14:paraId="0A164249" w14:textId="4CB84835" w:rsidR="00201FE9" w:rsidRPr="00C86111" w:rsidRDefault="00201FE9" w:rsidP="003F2793">
      <w:pPr>
        <w:ind w:left="270"/>
        <w:jc w:val="both"/>
        <w:rPr>
          <w:rFonts w:asciiTheme="minorHAnsi" w:hAnsiTheme="minorHAnsi" w:cstheme="minorHAnsi"/>
          <w:color w:val="auto"/>
          <w:szCs w:val="24"/>
        </w:rPr>
      </w:pPr>
      <w:r w:rsidRPr="00C86111">
        <w:rPr>
          <w:rFonts w:asciiTheme="minorHAnsi" w:hAnsiTheme="minorHAnsi" w:cstheme="minorHAnsi"/>
          <w:color w:val="auto"/>
          <w:szCs w:val="24"/>
        </w:rPr>
        <w:t>Najznačajniji izvor emisije nenamjerno ispuštenog HCB u vazduh je proizvodnja čelika sa udjelom u ukupnim emisijama od 86.8 % za 2006, odnosno 11.8% u 2021. godini, Sagorijevanje biomase doprinosi ukupnim HCB emisijama od 13.0 % za 2006 do 100% u 2022 godini, Proizvodnja aluminijuma iz sekundarnih sirovina doprinosi manje od 1% za cijeli vremenski period</w:t>
      </w:r>
      <w:r w:rsidR="003F2793" w:rsidRPr="00C86111">
        <w:rPr>
          <w:rFonts w:asciiTheme="minorHAnsi" w:hAnsiTheme="minorHAnsi" w:cstheme="minorHAnsi"/>
          <w:color w:val="auto"/>
          <w:szCs w:val="24"/>
        </w:rPr>
        <w:t>.</w:t>
      </w:r>
      <w:r w:rsidRPr="00C86111">
        <w:rPr>
          <w:rFonts w:asciiTheme="minorHAnsi" w:hAnsiTheme="minorHAnsi" w:cstheme="minorHAnsi"/>
          <w:color w:val="auto"/>
          <w:szCs w:val="24"/>
        </w:rPr>
        <w:t>Glavni izvor nenamjerno ispuštenih PCB su nekontrolisani procesi sagorijevanja na otvorenim deponijama.</w:t>
      </w:r>
      <w:r w:rsidR="003F2793" w:rsidRPr="00C86111">
        <w:rPr>
          <w:rFonts w:asciiTheme="minorHAnsi" w:hAnsiTheme="minorHAnsi" w:cstheme="minorHAnsi"/>
          <w:color w:val="auto"/>
          <w:szCs w:val="24"/>
        </w:rPr>
        <w:t xml:space="preserve"> </w:t>
      </w:r>
      <w:r w:rsidRPr="00C86111">
        <w:rPr>
          <w:rFonts w:asciiTheme="minorHAnsi" w:hAnsiTheme="minorHAnsi" w:cstheme="minorHAnsi"/>
          <w:color w:val="auto"/>
          <w:szCs w:val="24"/>
        </w:rPr>
        <w:t xml:space="preserve">U tabeli </w:t>
      </w:r>
      <w:r w:rsidR="003F2793" w:rsidRPr="00C86111">
        <w:rPr>
          <w:rFonts w:asciiTheme="minorHAnsi" w:hAnsiTheme="minorHAnsi" w:cstheme="minorHAnsi"/>
          <w:color w:val="auto"/>
          <w:szCs w:val="24"/>
        </w:rPr>
        <w:t>3</w:t>
      </w:r>
      <w:r w:rsidRPr="00C86111">
        <w:rPr>
          <w:rFonts w:asciiTheme="minorHAnsi" w:hAnsiTheme="minorHAnsi" w:cstheme="minorHAnsi"/>
          <w:color w:val="auto"/>
          <w:szCs w:val="24"/>
        </w:rPr>
        <w:t>9. prikazane su ukupne godišnje HCB i PCB emisije (g/god) za period 2006 – 2022. godina.</w:t>
      </w:r>
    </w:p>
    <w:p w14:paraId="0A8466CA" w14:textId="77777777" w:rsidR="003F2793" w:rsidRPr="00C86111" w:rsidRDefault="003F2793" w:rsidP="003F2793">
      <w:pPr>
        <w:ind w:left="270"/>
        <w:jc w:val="both"/>
        <w:rPr>
          <w:rFonts w:asciiTheme="minorHAnsi" w:hAnsiTheme="minorHAnsi" w:cstheme="minorHAnsi"/>
          <w:color w:val="auto"/>
          <w:szCs w:val="24"/>
        </w:rPr>
      </w:pPr>
    </w:p>
    <w:p w14:paraId="3913F571" w14:textId="6EE1A650" w:rsidR="00201FE9" w:rsidRPr="00C86111" w:rsidRDefault="00201FE9" w:rsidP="00527FCF">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3F2793" w:rsidRPr="00C86111">
        <w:rPr>
          <w:rFonts w:asciiTheme="minorHAnsi" w:hAnsiTheme="minorHAnsi" w:cstheme="minorHAnsi"/>
          <w:b/>
          <w:bCs/>
          <w:i w:val="0"/>
          <w:iCs/>
          <w:sz w:val="24"/>
          <w:lang w:val="sr-Latn-RS"/>
        </w:rPr>
        <w:t>3</w:t>
      </w:r>
      <w:r w:rsidRPr="00C86111">
        <w:rPr>
          <w:rFonts w:asciiTheme="minorHAnsi" w:hAnsiTheme="minorHAnsi" w:cstheme="minorHAnsi"/>
          <w:b/>
          <w:bCs/>
          <w:i w:val="0"/>
          <w:iCs/>
          <w:sz w:val="24"/>
          <w:lang w:val="sr-Latn-RS"/>
        </w:rPr>
        <w:t>9.</w:t>
      </w:r>
      <w:r w:rsidRPr="00C86111">
        <w:rPr>
          <w:rFonts w:asciiTheme="minorHAnsi" w:hAnsiTheme="minorHAnsi" w:cstheme="minorHAnsi"/>
          <w:i w:val="0"/>
          <w:iCs/>
          <w:sz w:val="24"/>
          <w:lang w:val="sr-Latn-RS"/>
        </w:rPr>
        <w:t xml:space="preserve"> Ukupne godišnje HCB i PCB emisije, 2006 – 2022, godina (g/god)</w:t>
      </w:r>
    </w:p>
    <w:tbl>
      <w:tblPr>
        <w:tblStyle w:val="GridTable5Dark-Accent6"/>
        <w:tblW w:w="8785" w:type="dxa"/>
        <w:tblLook w:val="04A0" w:firstRow="1" w:lastRow="0" w:firstColumn="1" w:lastColumn="0" w:noHBand="0" w:noVBand="1"/>
      </w:tblPr>
      <w:tblGrid>
        <w:gridCol w:w="1324"/>
        <w:gridCol w:w="829"/>
        <w:gridCol w:w="829"/>
        <w:gridCol w:w="829"/>
        <w:gridCol w:w="829"/>
        <w:gridCol w:w="829"/>
        <w:gridCol w:w="829"/>
        <w:gridCol w:w="829"/>
        <w:gridCol w:w="829"/>
        <w:gridCol w:w="829"/>
      </w:tblGrid>
      <w:tr w:rsidR="00201FE9" w:rsidRPr="00C86111" w14:paraId="074D9B8A"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24" w:type="dxa"/>
          </w:tcPr>
          <w:p w14:paraId="4DBBB3B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29" w:type="dxa"/>
          </w:tcPr>
          <w:p w14:paraId="34EA27C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2006</w:t>
            </w:r>
          </w:p>
        </w:tc>
        <w:tc>
          <w:tcPr>
            <w:tcW w:w="829" w:type="dxa"/>
          </w:tcPr>
          <w:p w14:paraId="1604F542"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2007</w:t>
            </w:r>
          </w:p>
        </w:tc>
        <w:tc>
          <w:tcPr>
            <w:tcW w:w="829" w:type="dxa"/>
          </w:tcPr>
          <w:p w14:paraId="5741910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c>
          <w:tcPr>
            <w:tcW w:w="829" w:type="dxa"/>
          </w:tcPr>
          <w:p w14:paraId="0965D89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2009</w:t>
            </w:r>
          </w:p>
        </w:tc>
        <w:tc>
          <w:tcPr>
            <w:tcW w:w="829" w:type="dxa"/>
          </w:tcPr>
          <w:p w14:paraId="2333F0C7"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c>
          <w:tcPr>
            <w:tcW w:w="829" w:type="dxa"/>
          </w:tcPr>
          <w:p w14:paraId="1AA8D1CB"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2011</w:t>
            </w:r>
          </w:p>
        </w:tc>
        <w:tc>
          <w:tcPr>
            <w:tcW w:w="829" w:type="dxa"/>
          </w:tcPr>
          <w:p w14:paraId="598527DE"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2012</w:t>
            </w:r>
          </w:p>
        </w:tc>
        <w:tc>
          <w:tcPr>
            <w:tcW w:w="829" w:type="dxa"/>
          </w:tcPr>
          <w:p w14:paraId="645768A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c>
          <w:tcPr>
            <w:tcW w:w="829" w:type="dxa"/>
          </w:tcPr>
          <w:p w14:paraId="0856DC49"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01FE9" w:rsidRPr="00C86111" w14:paraId="1390AB79"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24" w:type="dxa"/>
          </w:tcPr>
          <w:p w14:paraId="4754A76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HCB (g)</w:t>
            </w:r>
          </w:p>
        </w:tc>
        <w:tc>
          <w:tcPr>
            <w:tcW w:w="829" w:type="dxa"/>
          </w:tcPr>
          <w:p w14:paraId="15A6924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464.73</w:t>
            </w:r>
          </w:p>
        </w:tc>
        <w:tc>
          <w:tcPr>
            <w:tcW w:w="829" w:type="dxa"/>
          </w:tcPr>
          <w:p w14:paraId="324582C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497.05</w:t>
            </w:r>
          </w:p>
        </w:tc>
        <w:tc>
          <w:tcPr>
            <w:tcW w:w="829" w:type="dxa"/>
          </w:tcPr>
          <w:p w14:paraId="2FB805B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565.99</w:t>
            </w:r>
          </w:p>
        </w:tc>
        <w:tc>
          <w:tcPr>
            <w:tcW w:w="829" w:type="dxa"/>
          </w:tcPr>
          <w:p w14:paraId="41BFC7A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323.26</w:t>
            </w:r>
          </w:p>
        </w:tc>
        <w:tc>
          <w:tcPr>
            <w:tcW w:w="829" w:type="dxa"/>
          </w:tcPr>
          <w:p w14:paraId="755BDFE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188.15</w:t>
            </w:r>
          </w:p>
        </w:tc>
        <w:tc>
          <w:tcPr>
            <w:tcW w:w="829" w:type="dxa"/>
          </w:tcPr>
          <w:p w14:paraId="60AAB47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222.20</w:t>
            </w:r>
          </w:p>
        </w:tc>
        <w:tc>
          <w:tcPr>
            <w:tcW w:w="829" w:type="dxa"/>
          </w:tcPr>
          <w:p w14:paraId="0FDAB8D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140.39</w:t>
            </w:r>
          </w:p>
        </w:tc>
        <w:tc>
          <w:tcPr>
            <w:tcW w:w="829" w:type="dxa"/>
          </w:tcPr>
          <w:p w14:paraId="54F0CD2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117.41</w:t>
            </w:r>
          </w:p>
        </w:tc>
        <w:tc>
          <w:tcPr>
            <w:tcW w:w="829" w:type="dxa"/>
          </w:tcPr>
          <w:p w14:paraId="34FAC62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132.36</w:t>
            </w:r>
          </w:p>
        </w:tc>
      </w:tr>
      <w:tr w:rsidR="00201FE9" w:rsidRPr="00C86111" w14:paraId="5B781616"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324" w:type="dxa"/>
          </w:tcPr>
          <w:p w14:paraId="300F0A9D"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PCB (g)</w:t>
            </w:r>
          </w:p>
        </w:tc>
        <w:tc>
          <w:tcPr>
            <w:tcW w:w="829" w:type="dxa"/>
          </w:tcPr>
          <w:p w14:paraId="4C16F1B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3.42</w:t>
            </w:r>
          </w:p>
        </w:tc>
        <w:tc>
          <w:tcPr>
            <w:tcW w:w="829" w:type="dxa"/>
          </w:tcPr>
          <w:p w14:paraId="2743DAA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3.41</w:t>
            </w:r>
          </w:p>
        </w:tc>
        <w:tc>
          <w:tcPr>
            <w:tcW w:w="829" w:type="dxa"/>
          </w:tcPr>
          <w:p w14:paraId="712875C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2.55</w:t>
            </w:r>
          </w:p>
        </w:tc>
        <w:tc>
          <w:tcPr>
            <w:tcW w:w="829" w:type="dxa"/>
          </w:tcPr>
          <w:p w14:paraId="383B8B8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2.72</w:t>
            </w:r>
          </w:p>
        </w:tc>
        <w:tc>
          <w:tcPr>
            <w:tcW w:w="829" w:type="dxa"/>
          </w:tcPr>
          <w:p w14:paraId="5F65202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2.68</w:t>
            </w:r>
          </w:p>
        </w:tc>
        <w:tc>
          <w:tcPr>
            <w:tcW w:w="829" w:type="dxa"/>
          </w:tcPr>
          <w:p w14:paraId="458F24A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2.61</w:t>
            </w:r>
          </w:p>
        </w:tc>
        <w:tc>
          <w:tcPr>
            <w:tcW w:w="829" w:type="dxa"/>
          </w:tcPr>
          <w:p w14:paraId="1F7ED6A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1.48</w:t>
            </w:r>
          </w:p>
        </w:tc>
        <w:tc>
          <w:tcPr>
            <w:tcW w:w="829" w:type="dxa"/>
          </w:tcPr>
          <w:p w14:paraId="5FFD2A9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0.88</w:t>
            </w:r>
          </w:p>
        </w:tc>
        <w:tc>
          <w:tcPr>
            <w:tcW w:w="829" w:type="dxa"/>
          </w:tcPr>
          <w:p w14:paraId="0E57DAF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1.18</w:t>
            </w:r>
          </w:p>
        </w:tc>
      </w:tr>
      <w:tr w:rsidR="00201FE9" w:rsidRPr="00C86111" w14:paraId="2ED42C0E"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24" w:type="dxa"/>
          </w:tcPr>
          <w:p w14:paraId="28F43A7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29" w:type="dxa"/>
          </w:tcPr>
          <w:p w14:paraId="3C738CF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2015</w:t>
            </w:r>
          </w:p>
        </w:tc>
        <w:tc>
          <w:tcPr>
            <w:tcW w:w="829" w:type="dxa"/>
          </w:tcPr>
          <w:p w14:paraId="37F4DB1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2016</w:t>
            </w:r>
          </w:p>
        </w:tc>
        <w:tc>
          <w:tcPr>
            <w:tcW w:w="829" w:type="dxa"/>
          </w:tcPr>
          <w:p w14:paraId="4785F3F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2017</w:t>
            </w:r>
          </w:p>
        </w:tc>
        <w:tc>
          <w:tcPr>
            <w:tcW w:w="829" w:type="dxa"/>
          </w:tcPr>
          <w:p w14:paraId="78EE540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2018</w:t>
            </w:r>
          </w:p>
        </w:tc>
        <w:tc>
          <w:tcPr>
            <w:tcW w:w="829" w:type="dxa"/>
          </w:tcPr>
          <w:p w14:paraId="6A1A7AF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2019</w:t>
            </w:r>
          </w:p>
        </w:tc>
        <w:tc>
          <w:tcPr>
            <w:tcW w:w="829" w:type="dxa"/>
          </w:tcPr>
          <w:p w14:paraId="14EB46B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2020</w:t>
            </w:r>
          </w:p>
        </w:tc>
        <w:tc>
          <w:tcPr>
            <w:tcW w:w="829" w:type="dxa"/>
          </w:tcPr>
          <w:p w14:paraId="2103D7A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2021</w:t>
            </w:r>
          </w:p>
        </w:tc>
        <w:tc>
          <w:tcPr>
            <w:tcW w:w="829" w:type="dxa"/>
          </w:tcPr>
          <w:p w14:paraId="2B751C5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2022</w:t>
            </w:r>
          </w:p>
        </w:tc>
        <w:tc>
          <w:tcPr>
            <w:tcW w:w="829" w:type="dxa"/>
          </w:tcPr>
          <w:p w14:paraId="46CC8341"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2023</w:t>
            </w:r>
          </w:p>
        </w:tc>
      </w:tr>
      <w:tr w:rsidR="00201FE9" w:rsidRPr="00C86111" w14:paraId="29A6BBF7"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324" w:type="dxa"/>
          </w:tcPr>
          <w:p w14:paraId="1CAAEDF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HCB (g)</w:t>
            </w:r>
          </w:p>
        </w:tc>
        <w:tc>
          <w:tcPr>
            <w:tcW w:w="829" w:type="dxa"/>
          </w:tcPr>
          <w:p w14:paraId="64776D7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156.23</w:t>
            </w:r>
          </w:p>
        </w:tc>
        <w:tc>
          <w:tcPr>
            <w:tcW w:w="829" w:type="dxa"/>
          </w:tcPr>
          <w:p w14:paraId="54AEBD6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127.67</w:t>
            </w:r>
          </w:p>
        </w:tc>
        <w:tc>
          <w:tcPr>
            <w:tcW w:w="829" w:type="dxa"/>
          </w:tcPr>
          <w:p w14:paraId="4EA3FB98"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130.39</w:t>
            </w:r>
          </w:p>
        </w:tc>
        <w:tc>
          <w:tcPr>
            <w:tcW w:w="829" w:type="dxa"/>
          </w:tcPr>
          <w:p w14:paraId="03F7C965"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121.54</w:t>
            </w:r>
          </w:p>
        </w:tc>
        <w:tc>
          <w:tcPr>
            <w:tcW w:w="829" w:type="dxa"/>
          </w:tcPr>
          <w:p w14:paraId="53F5CCA1"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113.13</w:t>
            </w:r>
          </w:p>
        </w:tc>
        <w:tc>
          <w:tcPr>
            <w:tcW w:w="829" w:type="dxa"/>
          </w:tcPr>
          <w:p w14:paraId="17B82B6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102.30</w:t>
            </w:r>
          </w:p>
        </w:tc>
        <w:tc>
          <w:tcPr>
            <w:tcW w:w="829" w:type="dxa"/>
          </w:tcPr>
          <w:p w14:paraId="0F6521DA"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64.24</w:t>
            </w:r>
          </w:p>
        </w:tc>
        <w:tc>
          <w:tcPr>
            <w:tcW w:w="829" w:type="dxa"/>
          </w:tcPr>
          <w:p w14:paraId="35D0541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51.54</w:t>
            </w:r>
          </w:p>
        </w:tc>
        <w:tc>
          <w:tcPr>
            <w:tcW w:w="829" w:type="dxa"/>
          </w:tcPr>
          <w:p w14:paraId="1437543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r w:rsidR="00201FE9" w:rsidRPr="00C86111" w14:paraId="4C6D1F68"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24" w:type="dxa"/>
          </w:tcPr>
          <w:p w14:paraId="7C85C17A"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PCB (g)</w:t>
            </w:r>
          </w:p>
        </w:tc>
        <w:tc>
          <w:tcPr>
            <w:tcW w:w="829" w:type="dxa"/>
          </w:tcPr>
          <w:p w14:paraId="325C61DA"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1.28</w:t>
            </w:r>
          </w:p>
        </w:tc>
        <w:tc>
          <w:tcPr>
            <w:tcW w:w="829" w:type="dxa"/>
          </w:tcPr>
          <w:p w14:paraId="1D22BDD7"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1.29</w:t>
            </w:r>
          </w:p>
        </w:tc>
        <w:tc>
          <w:tcPr>
            <w:tcW w:w="829" w:type="dxa"/>
          </w:tcPr>
          <w:p w14:paraId="58D9AC2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1.24</w:t>
            </w:r>
          </w:p>
        </w:tc>
        <w:tc>
          <w:tcPr>
            <w:tcW w:w="829" w:type="dxa"/>
          </w:tcPr>
          <w:p w14:paraId="31AF611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1.21</w:t>
            </w:r>
          </w:p>
        </w:tc>
        <w:tc>
          <w:tcPr>
            <w:tcW w:w="829" w:type="dxa"/>
          </w:tcPr>
          <w:p w14:paraId="302B826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w:t>
            </w:r>
          </w:p>
        </w:tc>
        <w:tc>
          <w:tcPr>
            <w:tcW w:w="829" w:type="dxa"/>
          </w:tcPr>
          <w:p w14:paraId="10373A6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w:t>
            </w:r>
          </w:p>
        </w:tc>
        <w:tc>
          <w:tcPr>
            <w:tcW w:w="829" w:type="dxa"/>
          </w:tcPr>
          <w:p w14:paraId="31C7909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w:t>
            </w:r>
          </w:p>
        </w:tc>
        <w:tc>
          <w:tcPr>
            <w:tcW w:w="829" w:type="dxa"/>
          </w:tcPr>
          <w:p w14:paraId="5002427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w:t>
            </w:r>
          </w:p>
        </w:tc>
        <w:tc>
          <w:tcPr>
            <w:tcW w:w="829" w:type="dxa"/>
          </w:tcPr>
          <w:p w14:paraId="01BD0B7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w:t>
            </w:r>
          </w:p>
        </w:tc>
      </w:tr>
    </w:tbl>
    <w:p w14:paraId="6B4419A5" w14:textId="77777777" w:rsidR="00527FCF" w:rsidRPr="00C86111" w:rsidRDefault="00527FCF" w:rsidP="00201FE9">
      <w:pPr>
        <w:rPr>
          <w:b/>
          <w:bCs/>
          <w:color w:val="002060"/>
        </w:rPr>
      </w:pPr>
      <w:bookmarkStart w:id="74" w:name="_Hlk207721844"/>
    </w:p>
    <w:p w14:paraId="5103A82E" w14:textId="5C56ECD7" w:rsidR="00201FE9" w:rsidRPr="00C86111" w:rsidRDefault="00201FE9" w:rsidP="00EA6904">
      <w:pPr>
        <w:pStyle w:val="Heading3"/>
      </w:pPr>
      <w:bookmarkStart w:id="75" w:name="_Toc220541880"/>
      <w:r w:rsidRPr="00C86111">
        <w:t xml:space="preserve">Inventar nenamjerno </w:t>
      </w:r>
      <w:r w:rsidR="000D1995" w:rsidRPr="00C86111">
        <w:t>emitovanih</w:t>
      </w:r>
      <w:r w:rsidRPr="00C86111">
        <w:t xml:space="preserve"> POP’s (HCBD, PecB, PCN) za period 2015 -2022. Godina</w:t>
      </w:r>
      <w:bookmarkEnd w:id="75"/>
    </w:p>
    <w:p w14:paraId="1457D743" w14:textId="77777777" w:rsidR="00201FE9" w:rsidRPr="00C86111" w:rsidRDefault="00201FE9" w:rsidP="00201FE9">
      <w:pPr>
        <w:rPr>
          <w:b/>
          <w:bCs/>
          <w:color w:val="002060"/>
        </w:rPr>
      </w:pPr>
    </w:p>
    <w:bookmarkEnd w:id="74"/>
    <w:p w14:paraId="08E9E40F"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U skladu sa zahtjevima Stokholmske konvencije izvršena je inventarizacija tri nova industrijska POPs koji se nenamjerno proizvode/ispuštaju u životnu sredinu:</w:t>
      </w:r>
    </w:p>
    <w:p w14:paraId="0FDEC834" w14:textId="77777777" w:rsidR="00201FE9" w:rsidRPr="00C86111" w:rsidRDefault="00201FE9" w:rsidP="007E2AA5">
      <w:pPr>
        <w:pStyle w:val="ListParagraph"/>
        <w:numPr>
          <w:ilvl w:val="0"/>
          <w:numId w:val="32"/>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heksahlorbutadien (HCBD);</w:t>
      </w:r>
    </w:p>
    <w:p w14:paraId="70B32191" w14:textId="77777777" w:rsidR="00201FE9" w:rsidRPr="00C86111" w:rsidRDefault="00201FE9" w:rsidP="007E2AA5">
      <w:pPr>
        <w:pStyle w:val="ListParagraph"/>
        <w:numPr>
          <w:ilvl w:val="0"/>
          <w:numId w:val="32"/>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pentahlorobenzen (PecB);</w:t>
      </w:r>
    </w:p>
    <w:p w14:paraId="231BBE19" w14:textId="77777777" w:rsidR="00201FE9" w:rsidRPr="00C86111" w:rsidRDefault="00201FE9" w:rsidP="007E2AA5">
      <w:pPr>
        <w:pStyle w:val="ListParagraph"/>
        <w:numPr>
          <w:ilvl w:val="0"/>
          <w:numId w:val="32"/>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polihlorovani naftaleni (PCN).</w:t>
      </w:r>
    </w:p>
    <w:p w14:paraId="7A5899D3"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Za procjenu emisija u vazduh korišćena su sledeća dokumenta koja se nalaze na zvaničnom sajtu Stokholmske konvencije. </w:t>
      </w:r>
      <w:hyperlink r:id="rId22" w:history="1">
        <w:r w:rsidRPr="00C86111">
          <w:rPr>
            <w:rStyle w:val="Hyperlink"/>
            <w:rFonts w:asciiTheme="minorHAnsi" w:hAnsiTheme="minorHAnsi" w:cstheme="minorHAnsi"/>
            <w:color w:val="auto"/>
            <w:szCs w:val="24"/>
          </w:rPr>
          <w:t>https://pops.int/</w:t>
        </w:r>
      </w:hyperlink>
      <w:r w:rsidRPr="00C86111">
        <w:rPr>
          <w:rFonts w:asciiTheme="minorHAnsi" w:hAnsiTheme="minorHAnsi" w:cstheme="minorHAnsi"/>
          <w:color w:val="auto"/>
          <w:szCs w:val="24"/>
        </w:rPr>
        <w:t>.</w:t>
      </w:r>
    </w:p>
    <w:p w14:paraId="34121E34" w14:textId="77777777" w:rsidR="00201FE9" w:rsidRPr="00C86111" w:rsidRDefault="00201FE9" w:rsidP="007E2AA5">
      <w:pPr>
        <w:pStyle w:val="ListParagraph"/>
        <w:numPr>
          <w:ilvl w:val="0"/>
          <w:numId w:val="32"/>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UNEP-POPS-COP.8-INF “Draft guidance on preparing inventories of hexachlorobutadiene“.</w:t>
      </w:r>
    </w:p>
    <w:p w14:paraId="361D6FC2" w14:textId="77777777" w:rsidR="00201FE9" w:rsidRPr="00C86111" w:rsidRDefault="00201FE9" w:rsidP="007E2AA5">
      <w:pPr>
        <w:pStyle w:val="ListParagraph"/>
        <w:numPr>
          <w:ilvl w:val="0"/>
          <w:numId w:val="32"/>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Pentachlorobenzene World Chlorine Council sources.</w:t>
      </w:r>
    </w:p>
    <w:p w14:paraId="2255282A" w14:textId="77777777" w:rsidR="00201FE9" w:rsidRPr="00C86111" w:rsidRDefault="00201FE9" w:rsidP="007E2AA5">
      <w:pPr>
        <w:pStyle w:val="ListParagraph"/>
        <w:numPr>
          <w:ilvl w:val="0"/>
          <w:numId w:val="32"/>
        </w:numPr>
        <w:spacing w:after="120"/>
        <w:jc w:val="both"/>
        <w:rPr>
          <w:rFonts w:asciiTheme="minorHAnsi" w:hAnsiTheme="minorHAnsi" w:cstheme="minorHAnsi"/>
          <w:color w:val="auto"/>
          <w:szCs w:val="24"/>
        </w:rPr>
      </w:pPr>
      <w:r w:rsidRPr="00C86111">
        <w:rPr>
          <w:rFonts w:asciiTheme="minorHAnsi" w:hAnsiTheme="minorHAnsi" w:cstheme="minorHAnsi"/>
          <w:color w:val="auto"/>
          <w:szCs w:val="24"/>
        </w:rPr>
        <w:t>UNEP-POPS-COP.8-INF 19 “Draft guidance on preparing inventories of polychlorinated naphthalene“.</w:t>
      </w:r>
    </w:p>
    <w:p w14:paraId="37F2A00F"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 xml:space="preserve">Prema projektnom zadatku kao bazna godina je zadata 2015. godina a proračun je izvršen za period 2015-2022. </w:t>
      </w:r>
    </w:p>
    <w:p w14:paraId="71F34041" w14:textId="77777777" w:rsidR="00201FE9" w:rsidRPr="00C86111" w:rsidRDefault="00201FE9" w:rsidP="00EA6904">
      <w:pPr>
        <w:pStyle w:val="Heading4"/>
      </w:pPr>
      <w:r w:rsidRPr="00C86111">
        <w:t>Heksahlorbutadien (HCBD)</w:t>
      </w:r>
    </w:p>
    <w:p w14:paraId="1BF4F188"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Potencijalni izvori nenamjernih emisija HCBD su proizvodnja organohlorida, vinil hlorida, proizvodnje hlorisanih rastvarača, spalionice otpada ako se spaljuje otpad sa visokim sadržajem hlora, upotreba heksahloroetana u proizvodnji peleta za degazaciju za uklanjanje mjehurića vodonika iz rastopljenog aluminijuma.</w:t>
      </w:r>
    </w:p>
    <w:p w14:paraId="1EE2A1E2"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Heksahloretan nikad nije korišćen u Kombinatu aluminijuma Podgorica (KAP) prema informaciji dobijenoj od operatera ovog postrojenja.</w:t>
      </w:r>
    </w:p>
    <w:p w14:paraId="77692CC5" w14:textId="05AFB2A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Zaključak: </w:t>
      </w:r>
      <w:r w:rsidR="000D1995" w:rsidRPr="00C86111">
        <w:rPr>
          <w:rFonts w:asciiTheme="minorHAnsi" w:hAnsiTheme="minorHAnsi" w:cstheme="minorHAnsi"/>
          <w:color w:val="auto"/>
          <w:szCs w:val="24"/>
        </w:rPr>
        <w:t>N</w:t>
      </w:r>
      <w:r w:rsidRPr="00C86111">
        <w:rPr>
          <w:rFonts w:asciiTheme="minorHAnsi" w:hAnsiTheme="minorHAnsi" w:cstheme="minorHAnsi"/>
          <w:color w:val="auto"/>
          <w:szCs w:val="24"/>
        </w:rPr>
        <w:t xml:space="preserve">e postoje kategorija koje dovode do nenamjernih </w:t>
      </w:r>
      <w:r w:rsidR="000D1995" w:rsidRPr="00C86111">
        <w:rPr>
          <w:rFonts w:asciiTheme="minorHAnsi" w:hAnsiTheme="minorHAnsi" w:cstheme="minorHAnsi"/>
          <w:color w:val="auto"/>
          <w:szCs w:val="24"/>
        </w:rPr>
        <w:t>emisija</w:t>
      </w:r>
      <w:r w:rsidRPr="00C86111">
        <w:rPr>
          <w:rFonts w:asciiTheme="minorHAnsi" w:hAnsiTheme="minorHAnsi" w:cstheme="minorHAnsi"/>
          <w:color w:val="auto"/>
          <w:szCs w:val="24"/>
        </w:rPr>
        <w:t xml:space="preserve"> HCBD na teritoriji Crne Gore.</w:t>
      </w:r>
    </w:p>
    <w:p w14:paraId="18E78152" w14:textId="77777777" w:rsidR="00201FE9" w:rsidRPr="00C86111" w:rsidRDefault="00201FE9" w:rsidP="00EA6904">
      <w:pPr>
        <w:pStyle w:val="Heading4"/>
      </w:pPr>
      <w:r w:rsidRPr="00C86111">
        <w:t>Pentahlorobenzen (PecB)</w:t>
      </w:r>
    </w:p>
    <w:p w14:paraId="0458F518"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Potencijalni izvori nenamjernih emisija </w:t>
      </w:r>
      <w:bookmarkStart w:id="76" w:name="_Hlk207635871"/>
      <w:r w:rsidRPr="00C86111">
        <w:rPr>
          <w:rFonts w:asciiTheme="minorHAnsi" w:hAnsiTheme="minorHAnsi" w:cstheme="minorHAnsi"/>
          <w:color w:val="auto"/>
          <w:szCs w:val="24"/>
        </w:rPr>
        <w:t>PeCB</w:t>
      </w:r>
      <w:bookmarkEnd w:id="76"/>
      <w:r w:rsidRPr="00C86111">
        <w:rPr>
          <w:rFonts w:asciiTheme="minorHAnsi" w:hAnsiTheme="minorHAnsi" w:cstheme="minorHAnsi"/>
          <w:color w:val="auto"/>
          <w:szCs w:val="24"/>
        </w:rPr>
        <w:t xml:space="preserve"> su: izvlačenje bakra iz šljake, proizvodnja niobijuma, upotreba heksahloroetana u proizvodnji peleta za degazaciju za uklanjanje mjehurića vodonika iz rastopljenog aluminijum, karbohlorisanje magnezijum oksida, spalionice otpada, sagorijevanje biomase i fosilnih goriva (ne uključuje velika postrojenja za sagorijevanje) i nepotpuno sagorijevanje komunalnog otpada.</w:t>
      </w:r>
    </w:p>
    <w:p w14:paraId="63BF4613" w14:textId="37126B75"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Procijenjene nacionalne emisije PeCB u vazduh usled sagorijevanja ukupno utrošene biomase i uglja u komercijalnom sektoru i sektoru domaćinstima prikazane su u tabeli </w:t>
      </w:r>
      <w:r w:rsidR="003F2793" w:rsidRPr="00C86111">
        <w:rPr>
          <w:rFonts w:asciiTheme="minorHAnsi" w:hAnsiTheme="minorHAnsi" w:cstheme="minorHAnsi"/>
          <w:color w:val="auto"/>
          <w:szCs w:val="24"/>
        </w:rPr>
        <w:t>4</w:t>
      </w:r>
      <w:r w:rsidRPr="00C86111">
        <w:rPr>
          <w:rFonts w:asciiTheme="minorHAnsi" w:hAnsiTheme="minorHAnsi" w:cstheme="minorHAnsi"/>
          <w:color w:val="auto"/>
          <w:szCs w:val="24"/>
        </w:rPr>
        <w:t>0.</w:t>
      </w:r>
    </w:p>
    <w:p w14:paraId="3BF0351F" w14:textId="19F64327" w:rsidR="00201FE9" w:rsidRPr="00C86111" w:rsidRDefault="00201FE9" w:rsidP="00F20120">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t xml:space="preserve">Tabela </w:t>
      </w:r>
      <w:r w:rsidR="003F2793" w:rsidRPr="00C86111">
        <w:rPr>
          <w:rFonts w:asciiTheme="minorHAnsi" w:hAnsiTheme="minorHAnsi" w:cstheme="minorHAnsi"/>
          <w:b/>
          <w:bCs/>
          <w:i w:val="0"/>
          <w:iCs/>
          <w:sz w:val="24"/>
          <w:lang w:val="sr-Latn-RS"/>
        </w:rPr>
        <w:t>4</w:t>
      </w:r>
      <w:r w:rsidRPr="00C86111">
        <w:rPr>
          <w:rFonts w:asciiTheme="minorHAnsi" w:hAnsiTheme="minorHAnsi" w:cstheme="minorHAnsi"/>
          <w:b/>
          <w:bCs/>
          <w:i w:val="0"/>
          <w:iCs/>
          <w:sz w:val="24"/>
          <w:lang w:val="sr-Latn-RS"/>
        </w:rPr>
        <w:t>0.</w:t>
      </w:r>
      <w:r w:rsidRPr="00C86111">
        <w:rPr>
          <w:rFonts w:asciiTheme="minorHAnsi" w:hAnsiTheme="minorHAnsi" w:cstheme="minorHAnsi"/>
          <w:i w:val="0"/>
          <w:iCs/>
          <w:sz w:val="24"/>
          <w:lang w:val="sr-Latn-RS"/>
        </w:rPr>
        <w:t xml:space="preserve"> Procijenjene nacionalne emisije PeCB u vazduh usled sagorijevanja ukupno utrošene biomase i uglja u komercijalnom sektoru i sektoru 2015 – 2022, godina</w:t>
      </w:r>
    </w:p>
    <w:tbl>
      <w:tblPr>
        <w:tblStyle w:val="GridTable5Dark-Accent6"/>
        <w:tblW w:w="8989" w:type="dxa"/>
        <w:tblLook w:val="04A0" w:firstRow="1" w:lastRow="0" w:firstColumn="1" w:lastColumn="0" w:noHBand="0" w:noVBand="1"/>
      </w:tblPr>
      <w:tblGrid>
        <w:gridCol w:w="933"/>
        <w:gridCol w:w="1007"/>
        <w:gridCol w:w="1007"/>
        <w:gridCol w:w="1007"/>
        <w:gridCol w:w="1007"/>
        <w:gridCol w:w="1007"/>
        <w:gridCol w:w="1007"/>
        <w:gridCol w:w="1007"/>
        <w:gridCol w:w="1007"/>
      </w:tblGrid>
      <w:tr w:rsidR="00201FE9" w:rsidRPr="00C86111" w14:paraId="47581322"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3" w:type="dxa"/>
          </w:tcPr>
          <w:p w14:paraId="0932C78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1007" w:type="dxa"/>
          </w:tcPr>
          <w:p w14:paraId="7C1D0A50"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2015</w:t>
            </w:r>
          </w:p>
        </w:tc>
        <w:tc>
          <w:tcPr>
            <w:tcW w:w="1007" w:type="dxa"/>
          </w:tcPr>
          <w:p w14:paraId="0121867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2016</w:t>
            </w:r>
          </w:p>
        </w:tc>
        <w:tc>
          <w:tcPr>
            <w:tcW w:w="1007" w:type="dxa"/>
          </w:tcPr>
          <w:p w14:paraId="7E30502E"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2017</w:t>
            </w:r>
          </w:p>
        </w:tc>
        <w:tc>
          <w:tcPr>
            <w:tcW w:w="1007" w:type="dxa"/>
          </w:tcPr>
          <w:p w14:paraId="1E80E37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2018</w:t>
            </w:r>
          </w:p>
        </w:tc>
        <w:tc>
          <w:tcPr>
            <w:tcW w:w="1007" w:type="dxa"/>
          </w:tcPr>
          <w:p w14:paraId="51A2D05A"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2019</w:t>
            </w:r>
          </w:p>
        </w:tc>
        <w:tc>
          <w:tcPr>
            <w:tcW w:w="1007" w:type="dxa"/>
          </w:tcPr>
          <w:p w14:paraId="6E1FE628"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2020</w:t>
            </w:r>
          </w:p>
        </w:tc>
        <w:tc>
          <w:tcPr>
            <w:tcW w:w="1007" w:type="dxa"/>
          </w:tcPr>
          <w:p w14:paraId="58CD881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2021</w:t>
            </w:r>
          </w:p>
        </w:tc>
        <w:tc>
          <w:tcPr>
            <w:tcW w:w="1007" w:type="dxa"/>
          </w:tcPr>
          <w:p w14:paraId="5FEAA20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2022</w:t>
            </w:r>
          </w:p>
        </w:tc>
      </w:tr>
      <w:tr w:rsidR="00201FE9" w:rsidRPr="00C86111" w14:paraId="09D415E0"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3" w:type="dxa"/>
          </w:tcPr>
          <w:p w14:paraId="18E2D89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PeCB (g)</w:t>
            </w:r>
          </w:p>
        </w:tc>
        <w:tc>
          <w:tcPr>
            <w:tcW w:w="1007" w:type="dxa"/>
          </w:tcPr>
          <w:p w14:paraId="519BFF8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4166.39</w:t>
            </w:r>
          </w:p>
        </w:tc>
        <w:tc>
          <w:tcPr>
            <w:tcW w:w="1007" w:type="dxa"/>
          </w:tcPr>
          <w:p w14:paraId="68A5F23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4111.63</w:t>
            </w:r>
          </w:p>
        </w:tc>
        <w:tc>
          <w:tcPr>
            <w:tcW w:w="1007" w:type="dxa"/>
          </w:tcPr>
          <w:p w14:paraId="414A3FEF"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3969.27</w:t>
            </w:r>
          </w:p>
        </w:tc>
        <w:tc>
          <w:tcPr>
            <w:tcW w:w="1007" w:type="dxa"/>
          </w:tcPr>
          <w:p w14:paraId="58839BC0"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3639.73</w:t>
            </w:r>
          </w:p>
        </w:tc>
        <w:tc>
          <w:tcPr>
            <w:tcW w:w="1007" w:type="dxa"/>
          </w:tcPr>
          <w:p w14:paraId="4BFAEC1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3300.28</w:t>
            </w:r>
          </w:p>
        </w:tc>
        <w:tc>
          <w:tcPr>
            <w:tcW w:w="1007" w:type="dxa"/>
          </w:tcPr>
          <w:p w14:paraId="74410CC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3557.95</w:t>
            </w:r>
          </w:p>
        </w:tc>
        <w:tc>
          <w:tcPr>
            <w:tcW w:w="1007" w:type="dxa"/>
          </w:tcPr>
          <w:p w14:paraId="7E94B60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3546.07</w:t>
            </w:r>
          </w:p>
        </w:tc>
        <w:tc>
          <w:tcPr>
            <w:tcW w:w="1007" w:type="dxa"/>
          </w:tcPr>
          <w:p w14:paraId="2A1885DC"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3568.85</w:t>
            </w:r>
          </w:p>
        </w:tc>
      </w:tr>
    </w:tbl>
    <w:p w14:paraId="2857FAC2" w14:textId="77777777" w:rsidR="00201FE9" w:rsidRPr="00C86111" w:rsidRDefault="00201FE9" w:rsidP="00201FE9">
      <w:pPr>
        <w:jc w:val="both"/>
        <w:rPr>
          <w:rFonts w:asciiTheme="minorHAnsi" w:hAnsiTheme="minorHAnsi" w:cstheme="minorHAnsi"/>
          <w:color w:val="auto"/>
          <w:szCs w:val="24"/>
        </w:rPr>
      </w:pPr>
    </w:p>
    <w:p w14:paraId="0E50716F" w14:textId="23BCC504"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Za proračun emisija usled sagorijavanja biomase korišćen je emisioni faktor 11.8 μg/kgC, dok je za sagorijavanje uglja korišćen emisioni faktor od 2450 μg/t. Emisije usled sagorijevanja biomase su dominantne i čine 99% ukupnih emisija.</w:t>
      </w:r>
      <w:r w:rsidR="003F2793" w:rsidRPr="00C86111">
        <w:rPr>
          <w:rFonts w:asciiTheme="minorHAnsi" w:hAnsiTheme="minorHAnsi" w:cstheme="minorHAnsi"/>
          <w:color w:val="auto"/>
          <w:szCs w:val="24"/>
        </w:rPr>
        <w:t xml:space="preserve"> </w:t>
      </w:r>
      <w:r w:rsidRPr="00C86111">
        <w:rPr>
          <w:rFonts w:asciiTheme="minorHAnsi" w:hAnsiTheme="minorHAnsi" w:cstheme="minorHAnsi"/>
          <w:color w:val="auto"/>
          <w:szCs w:val="24"/>
        </w:rPr>
        <w:t>Emisije PeCB usled nekontrolisanog sagorijevanja komunalnog otpada (za oko 40000 tona otpada/god) su procijenjene na oko 304 g/god korišćenjem emisionog faktora od 7600 μg/toni spaljenog otpada.</w:t>
      </w:r>
    </w:p>
    <w:p w14:paraId="3F1C63A0" w14:textId="77777777" w:rsidR="00201FE9" w:rsidRPr="00C86111" w:rsidRDefault="00201FE9" w:rsidP="00EA6904">
      <w:pPr>
        <w:pStyle w:val="Heading4"/>
      </w:pPr>
      <w:r w:rsidRPr="00C86111">
        <w:t>Polihlorovani naftaleni (PCN)</w:t>
      </w:r>
    </w:p>
    <w:p w14:paraId="3F26C2B9"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Potencijalni izvori nenamjernih emisija PCN: proizvodnja hlorisanih rastvarača, metalurška industrija, proizvodnja cementa, spalionice otpada i dr.</w:t>
      </w:r>
    </w:p>
    <w:p w14:paraId="4D0905A1" w14:textId="77777777"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Za Crnu Goru relevantni izvori emisija su: proizvodnja čelika u elektrolučnoj peći i proizvodnja aluminjuma iz sekundarnih sirovina.</w:t>
      </w:r>
    </w:p>
    <w:p w14:paraId="6E29C3D5" w14:textId="011BEBCD" w:rsidR="00201FE9" w:rsidRPr="00C86111" w:rsidRDefault="00201FE9" w:rsidP="00201FE9">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Procijenjene nacionalne emisije PCN u vazduh usled proizvodnja čelika u elektrolučnoj peći i proizvodnje aluminjuma iz sekundarnih sirovina prikazane su u tabeli </w:t>
      </w:r>
      <w:r w:rsidR="003F2793" w:rsidRPr="00C86111">
        <w:rPr>
          <w:rFonts w:asciiTheme="minorHAnsi" w:hAnsiTheme="minorHAnsi" w:cstheme="minorHAnsi"/>
          <w:color w:val="auto"/>
          <w:szCs w:val="24"/>
        </w:rPr>
        <w:t>4</w:t>
      </w:r>
      <w:r w:rsidRPr="00C86111">
        <w:rPr>
          <w:rFonts w:asciiTheme="minorHAnsi" w:hAnsiTheme="minorHAnsi" w:cstheme="minorHAnsi"/>
          <w:color w:val="auto"/>
          <w:szCs w:val="24"/>
        </w:rPr>
        <w:t>1.</w:t>
      </w:r>
    </w:p>
    <w:p w14:paraId="534AB41F" w14:textId="1A52390D" w:rsidR="00201FE9" w:rsidRPr="00C86111" w:rsidRDefault="00201FE9" w:rsidP="00F20120">
      <w:pPr>
        <w:pStyle w:val="Tabele"/>
        <w:numPr>
          <w:ilvl w:val="0"/>
          <w:numId w:val="0"/>
        </w:numPr>
        <w:spacing w:after="0"/>
        <w:jc w:val="both"/>
        <w:rPr>
          <w:rFonts w:asciiTheme="minorHAnsi" w:hAnsiTheme="minorHAnsi" w:cstheme="minorHAnsi"/>
          <w:i w:val="0"/>
          <w:iCs/>
          <w:sz w:val="24"/>
          <w:lang w:val="sr-Latn-RS"/>
        </w:rPr>
      </w:pPr>
      <w:r w:rsidRPr="00C86111">
        <w:rPr>
          <w:rFonts w:asciiTheme="minorHAnsi" w:hAnsiTheme="minorHAnsi" w:cstheme="minorHAnsi"/>
          <w:b/>
          <w:bCs/>
          <w:i w:val="0"/>
          <w:iCs/>
          <w:sz w:val="24"/>
          <w:lang w:val="sr-Latn-RS"/>
        </w:rPr>
        <w:lastRenderedPageBreak/>
        <w:t xml:space="preserve">Tabela </w:t>
      </w:r>
      <w:r w:rsidR="003F2793" w:rsidRPr="00C86111">
        <w:rPr>
          <w:rFonts w:asciiTheme="minorHAnsi" w:hAnsiTheme="minorHAnsi" w:cstheme="minorHAnsi"/>
          <w:b/>
          <w:bCs/>
          <w:i w:val="0"/>
          <w:iCs/>
          <w:sz w:val="24"/>
          <w:lang w:val="sr-Latn-RS"/>
        </w:rPr>
        <w:t>4</w:t>
      </w:r>
      <w:r w:rsidRPr="00C86111">
        <w:rPr>
          <w:rFonts w:asciiTheme="minorHAnsi" w:hAnsiTheme="minorHAnsi" w:cstheme="minorHAnsi"/>
          <w:b/>
          <w:bCs/>
          <w:i w:val="0"/>
          <w:iCs/>
          <w:sz w:val="24"/>
          <w:lang w:val="sr-Latn-RS"/>
        </w:rPr>
        <w:t>1.</w:t>
      </w:r>
      <w:r w:rsidRPr="00C86111">
        <w:rPr>
          <w:rFonts w:asciiTheme="minorHAnsi" w:hAnsiTheme="minorHAnsi" w:cstheme="minorHAnsi"/>
          <w:i w:val="0"/>
          <w:iCs/>
          <w:sz w:val="24"/>
          <w:lang w:val="sr-Latn-RS"/>
        </w:rPr>
        <w:t xml:space="preserve"> Ukupne godišnje PCN emisije, 2015 – 2022, godina (g/god)</w:t>
      </w:r>
    </w:p>
    <w:tbl>
      <w:tblPr>
        <w:tblStyle w:val="GridTable5Dark-Accent6"/>
        <w:tblW w:w="8931" w:type="dxa"/>
        <w:tblLook w:val="04A0" w:firstRow="1" w:lastRow="0" w:firstColumn="1" w:lastColumn="0" w:noHBand="0" w:noVBand="1"/>
      </w:tblPr>
      <w:tblGrid>
        <w:gridCol w:w="1827"/>
        <w:gridCol w:w="823"/>
        <w:gridCol w:w="822"/>
        <w:gridCol w:w="822"/>
        <w:gridCol w:w="822"/>
        <w:gridCol w:w="822"/>
        <w:gridCol w:w="822"/>
        <w:gridCol w:w="781"/>
        <w:gridCol w:w="1390"/>
      </w:tblGrid>
      <w:tr w:rsidR="00201FE9" w:rsidRPr="00C86111" w14:paraId="5899618F" w14:textId="77777777" w:rsidTr="00BC765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27" w:type="dxa"/>
          </w:tcPr>
          <w:p w14:paraId="73ECD8E8"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Godina</w:t>
            </w:r>
          </w:p>
        </w:tc>
        <w:tc>
          <w:tcPr>
            <w:tcW w:w="823" w:type="dxa"/>
          </w:tcPr>
          <w:p w14:paraId="604A3FB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2015</w:t>
            </w:r>
          </w:p>
        </w:tc>
        <w:tc>
          <w:tcPr>
            <w:tcW w:w="822" w:type="dxa"/>
          </w:tcPr>
          <w:p w14:paraId="1B7ACD4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2016</w:t>
            </w:r>
          </w:p>
        </w:tc>
        <w:tc>
          <w:tcPr>
            <w:tcW w:w="822" w:type="dxa"/>
          </w:tcPr>
          <w:p w14:paraId="51231F4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2017</w:t>
            </w:r>
          </w:p>
        </w:tc>
        <w:tc>
          <w:tcPr>
            <w:tcW w:w="822" w:type="dxa"/>
          </w:tcPr>
          <w:p w14:paraId="4B739686"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2018</w:t>
            </w:r>
          </w:p>
        </w:tc>
        <w:tc>
          <w:tcPr>
            <w:tcW w:w="822" w:type="dxa"/>
          </w:tcPr>
          <w:p w14:paraId="2C626135"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2019</w:t>
            </w:r>
          </w:p>
        </w:tc>
        <w:tc>
          <w:tcPr>
            <w:tcW w:w="822" w:type="dxa"/>
          </w:tcPr>
          <w:p w14:paraId="5537EF8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2020</w:t>
            </w:r>
          </w:p>
        </w:tc>
        <w:tc>
          <w:tcPr>
            <w:tcW w:w="781" w:type="dxa"/>
          </w:tcPr>
          <w:p w14:paraId="5DEC7CCF"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2021</w:t>
            </w:r>
          </w:p>
        </w:tc>
        <w:tc>
          <w:tcPr>
            <w:tcW w:w="1390" w:type="dxa"/>
          </w:tcPr>
          <w:p w14:paraId="547CF394" w14:textId="77777777" w:rsidR="00201FE9" w:rsidRPr="00C86111" w:rsidRDefault="00201FE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2022</w:t>
            </w:r>
          </w:p>
        </w:tc>
      </w:tr>
      <w:tr w:rsidR="00201FE9" w:rsidRPr="00C86111" w14:paraId="6FE89FF6" w14:textId="77777777" w:rsidTr="00BC765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27" w:type="dxa"/>
          </w:tcPr>
          <w:p w14:paraId="0F40A144"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Proizvodnja čelika</w:t>
            </w:r>
          </w:p>
        </w:tc>
        <w:tc>
          <w:tcPr>
            <w:tcW w:w="823" w:type="dxa"/>
          </w:tcPr>
          <w:p w14:paraId="3D7759E9"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117.93</w:t>
            </w:r>
          </w:p>
        </w:tc>
        <w:tc>
          <w:tcPr>
            <w:tcW w:w="822" w:type="dxa"/>
          </w:tcPr>
          <w:p w14:paraId="26C11FEE"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84.56</w:t>
            </w:r>
          </w:p>
        </w:tc>
        <w:tc>
          <w:tcPr>
            <w:tcW w:w="822" w:type="dxa"/>
          </w:tcPr>
          <w:p w14:paraId="59F2B098"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89.05</w:t>
            </w:r>
          </w:p>
        </w:tc>
        <w:tc>
          <w:tcPr>
            <w:tcW w:w="822" w:type="dxa"/>
          </w:tcPr>
          <w:p w14:paraId="4E6DADD4"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85.55</w:t>
            </w:r>
          </w:p>
        </w:tc>
        <w:tc>
          <w:tcPr>
            <w:tcW w:w="822" w:type="dxa"/>
          </w:tcPr>
          <w:p w14:paraId="60B28C75"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78.17</w:t>
            </w:r>
          </w:p>
        </w:tc>
        <w:tc>
          <w:tcPr>
            <w:tcW w:w="822" w:type="dxa"/>
          </w:tcPr>
          <w:p w14:paraId="3CC35AAB"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62.39</w:t>
            </w:r>
          </w:p>
        </w:tc>
        <w:tc>
          <w:tcPr>
            <w:tcW w:w="781" w:type="dxa"/>
          </w:tcPr>
          <w:p w14:paraId="2D7A16C2"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9.80</w:t>
            </w:r>
          </w:p>
        </w:tc>
        <w:tc>
          <w:tcPr>
            <w:tcW w:w="1390" w:type="dxa"/>
          </w:tcPr>
          <w:p w14:paraId="3FC7D2A3" w14:textId="77777777" w:rsidR="00201FE9" w:rsidRPr="00C86111" w:rsidRDefault="00201FE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r>
      <w:tr w:rsidR="00201FE9" w:rsidRPr="00C86111" w14:paraId="00B46C82" w14:textId="77777777" w:rsidTr="00BC765B">
        <w:trPr>
          <w:trHeight w:val="432"/>
        </w:trPr>
        <w:tc>
          <w:tcPr>
            <w:cnfStyle w:val="001000000000" w:firstRow="0" w:lastRow="0" w:firstColumn="1" w:lastColumn="0" w:oddVBand="0" w:evenVBand="0" w:oddHBand="0" w:evenHBand="0" w:firstRowFirstColumn="0" w:firstRowLastColumn="0" w:lastRowFirstColumn="0" w:lastRowLastColumn="0"/>
            <w:tcW w:w="1827" w:type="dxa"/>
          </w:tcPr>
          <w:p w14:paraId="4A4D9E06" w14:textId="77777777" w:rsidR="00201FE9" w:rsidRPr="00C86111" w:rsidRDefault="00201FE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Proizvodnja Al iz sekundarnih sirovina </w:t>
            </w:r>
          </w:p>
        </w:tc>
        <w:tc>
          <w:tcPr>
            <w:tcW w:w="823" w:type="dxa"/>
          </w:tcPr>
          <w:p w14:paraId="1EB4172F"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7.38</w:t>
            </w:r>
          </w:p>
        </w:tc>
        <w:tc>
          <w:tcPr>
            <w:tcW w:w="822" w:type="dxa"/>
          </w:tcPr>
          <w:p w14:paraId="7DEA391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4.12</w:t>
            </w:r>
          </w:p>
        </w:tc>
        <w:tc>
          <w:tcPr>
            <w:tcW w:w="822" w:type="dxa"/>
          </w:tcPr>
          <w:p w14:paraId="1D9D3173"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6.35</w:t>
            </w:r>
          </w:p>
        </w:tc>
        <w:tc>
          <w:tcPr>
            <w:tcW w:w="822" w:type="dxa"/>
          </w:tcPr>
          <w:p w14:paraId="327ED9A0"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1.55</w:t>
            </w:r>
          </w:p>
        </w:tc>
        <w:tc>
          <w:tcPr>
            <w:tcW w:w="822" w:type="dxa"/>
          </w:tcPr>
          <w:p w14:paraId="476FA897"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c>
          <w:tcPr>
            <w:tcW w:w="822" w:type="dxa"/>
          </w:tcPr>
          <w:p w14:paraId="21A37E0D"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c>
          <w:tcPr>
            <w:tcW w:w="781" w:type="dxa"/>
          </w:tcPr>
          <w:p w14:paraId="1827805B"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c>
          <w:tcPr>
            <w:tcW w:w="1390" w:type="dxa"/>
          </w:tcPr>
          <w:p w14:paraId="3E73EF69" w14:textId="77777777" w:rsidR="00201FE9" w:rsidRPr="00C86111" w:rsidRDefault="00201FE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NP</w:t>
            </w:r>
          </w:p>
        </w:tc>
      </w:tr>
    </w:tbl>
    <w:p w14:paraId="24B37724" w14:textId="77777777" w:rsidR="00201FE9" w:rsidRPr="00C86111" w:rsidRDefault="00201FE9" w:rsidP="003F2793">
      <w:pPr>
        <w:pStyle w:val="Tabele"/>
        <w:numPr>
          <w:ilvl w:val="0"/>
          <w:numId w:val="0"/>
        </w:numPr>
        <w:spacing w:before="0" w:after="0"/>
        <w:ind w:left="446" w:hanging="360"/>
        <w:rPr>
          <w:rFonts w:asciiTheme="minorHAnsi" w:hAnsiTheme="minorHAnsi" w:cstheme="minorHAnsi"/>
          <w:sz w:val="24"/>
          <w:lang w:val="sr-Latn-RS"/>
        </w:rPr>
      </w:pPr>
      <w:r w:rsidRPr="00C86111">
        <w:rPr>
          <w:rFonts w:asciiTheme="minorHAnsi" w:hAnsiTheme="minorHAnsi" w:cstheme="minorHAnsi"/>
          <w:sz w:val="24"/>
          <w:lang w:val="sr-Latn-RS"/>
        </w:rPr>
        <w:t>NP – nema proizvodnje</w:t>
      </w:r>
    </w:p>
    <w:p w14:paraId="3E6EED8E" w14:textId="77777777" w:rsidR="00201FE9" w:rsidRPr="00C86111" w:rsidRDefault="00201FE9" w:rsidP="00EA6904">
      <w:pPr>
        <w:pStyle w:val="Heading3"/>
      </w:pPr>
      <w:bookmarkStart w:id="77" w:name="_Toc220541881"/>
      <w:r w:rsidRPr="00C86111">
        <w:t>Preporuke/elementi za akcioni plan</w:t>
      </w:r>
      <w:bookmarkEnd w:id="77"/>
    </w:p>
    <w:p w14:paraId="409C2EEC" w14:textId="77777777" w:rsidR="00201FE9" w:rsidRPr="00C86111" w:rsidRDefault="00201FE9" w:rsidP="00833A40">
      <w:pPr>
        <w:pStyle w:val="Tabele"/>
        <w:numPr>
          <w:ilvl w:val="0"/>
          <w:numId w:val="125"/>
        </w:numPr>
        <w:spacing w:after="120"/>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 xml:space="preserve">Preduzeti neophodne preventivne akcije, kroz dodatno obezbjeđivanje neuređenih odlagališta, da se pojava nekontrolisanih požara komunalnog ali i drugih vrsta otpada svede na najmanju moguću mjeru, a ukoliko dođe do požara neophodna je hitna reakcija do potpunog  gašenju istog. Prilikom gašenja ovih vrsta požara obavezna upotreba zaštitne opreme (gasmaske) za lica koja učestvuju u gašenju požara. </w:t>
      </w:r>
    </w:p>
    <w:p w14:paraId="42C0FD15" w14:textId="77777777" w:rsidR="00201FE9" w:rsidRPr="00C86111" w:rsidRDefault="00201FE9" w:rsidP="00833A40">
      <w:pPr>
        <w:pStyle w:val="Tabele"/>
        <w:numPr>
          <w:ilvl w:val="0"/>
          <w:numId w:val="125"/>
        </w:numPr>
        <w:spacing w:after="120"/>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Podizanje svijesti kod domaćinstava u ruralnim područjima o štetnim posljedicama paljenja otpada, posebno ako se radi o poljoprivrednom otpadu tretiranom sa pesticidima i pratećoj plastičnoj ambalaži.</w:t>
      </w:r>
    </w:p>
    <w:p w14:paraId="00B9F74F" w14:textId="77777777" w:rsidR="00201FE9" w:rsidRPr="00C86111" w:rsidRDefault="00201FE9" w:rsidP="00833A40">
      <w:pPr>
        <w:pStyle w:val="Tabele"/>
        <w:numPr>
          <w:ilvl w:val="0"/>
          <w:numId w:val="125"/>
        </w:numPr>
        <w:spacing w:after="120"/>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 xml:space="preserve">Uvođenje isključivo BAT tehnolgija na novo planiranim termičko-industrijskim postrojenjima. </w:t>
      </w:r>
    </w:p>
    <w:p w14:paraId="79513BA8" w14:textId="77777777" w:rsidR="00201FE9" w:rsidRPr="00C86111" w:rsidRDefault="00201FE9" w:rsidP="00833A40">
      <w:pPr>
        <w:pStyle w:val="Tabele"/>
        <w:numPr>
          <w:ilvl w:val="0"/>
          <w:numId w:val="125"/>
        </w:numPr>
        <w:spacing w:after="120"/>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Kod upotrebe biomase u komercijalnom i sektoru domaćinstva za potrebe grijanja prelaziti na upotrebu peleta umjesto ogrijevnog drveta. (Akcioni plan iz 2019 Informativna kampanja o dobrobitima zamjene grijanja na fosilno gorivo i sirovu drvnu biomasu sa alternativnim sistemima grijanja)</w:t>
      </w:r>
    </w:p>
    <w:p w14:paraId="3C6A9172" w14:textId="77777777" w:rsidR="00201FE9" w:rsidRPr="00C86111" w:rsidRDefault="00201FE9" w:rsidP="00833A40">
      <w:pPr>
        <w:pStyle w:val="Tabele"/>
        <w:numPr>
          <w:ilvl w:val="0"/>
          <w:numId w:val="125"/>
        </w:numPr>
        <w:spacing w:after="120"/>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Prestanak korišćenja uglja u energetskom i industrijskom sektoru. Odstranjivanje uglja kao goriva za potrebe grijanje domaćinstava u sjevernom dijelu Crne Gore.</w:t>
      </w:r>
    </w:p>
    <w:p w14:paraId="5F5A99B4" w14:textId="77777777" w:rsidR="00201FE9" w:rsidRPr="00C86111" w:rsidRDefault="00201FE9" w:rsidP="00833A40">
      <w:pPr>
        <w:pStyle w:val="Tabele"/>
        <w:numPr>
          <w:ilvl w:val="0"/>
          <w:numId w:val="125"/>
        </w:numPr>
        <w:spacing w:after="0"/>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Uspostaviti popis ili bazu podataka kontaminiranih lokacija.</w:t>
      </w:r>
    </w:p>
    <w:p w14:paraId="4D7A28A0" w14:textId="77777777" w:rsidR="00201FE9" w:rsidRPr="00C86111" w:rsidRDefault="00201FE9" w:rsidP="00833A40">
      <w:pPr>
        <w:pStyle w:val="Tabele"/>
        <w:numPr>
          <w:ilvl w:val="0"/>
          <w:numId w:val="125"/>
        </w:numPr>
        <w:jc w:val="both"/>
        <w:rPr>
          <w:rFonts w:asciiTheme="minorHAnsi" w:hAnsiTheme="minorHAnsi" w:cstheme="minorHAnsi"/>
          <w:i w:val="0"/>
          <w:iCs/>
          <w:sz w:val="24"/>
          <w:lang w:val="sr-Latn-RS"/>
        </w:rPr>
      </w:pPr>
      <w:r w:rsidRPr="00C86111">
        <w:rPr>
          <w:rFonts w:asciiTheme="minorHAnsi" w:hAnsiTheme="minorHAnsi" w:cstheme="minorHAnsi"/>
          <w:i w:val="0"/>
          <w:iCs/>
          <w:sz w:val="24"/>
          <w:lang w:val="sr-Latn-RS"/>
        </w:rPr>
        <w:t>Poboljšati nacionalnu statistiku za neobrađene, obrađene otpadne vode i kanalazicioni mulj. Izvještavanje podataka vršiti na godišnjoj nivou, poboljšati kompletnosti i tačnost podataka.</w:t>
      </w:r>
    </w:p>
    <w:p w14:paraId="4A564F15" w14:textId="77777777" w:rsidR="00C23D65" w:rsidRPr="00C86111" w:rsidRDefault="00C23D65" w:rsidP="00C23D65">
      <w:pPr>
        <w:ind w:firstLine="720"/>
        <w:rPr>
          <w:rFonts w:asciiTheme="minorHAnsi" w:hAnsiTheme="minorHAnsi" w:cstheme="minorHAnsi"/>
          <w:szCs w:val="24"/>
        </w:rPr>
      </w:pPr>
      <w:bookmarkStart w:id="78" w:name="_Hlk215608600"/>
      <w:bookmarkStart w:id="79" w:name="_Toc210651365"/>
    </w:p>
    <w:p w14:paraId="20D879BF" w14:textId="77777777" w:rsidR="003F2793" w:rsidRPr="00C86111" w:rsidRDefault="003F2793" w:rsidP="00C23D65">
      <w:pPr>
        <w:ind w:firstLine="720"/>
        <w:rPr>
          <w:rFonts w:asciiTheme="minorHAnsi" w:hAnsiTheme="minorHAnsi" w:cstheme="minorHAnsi"/>
          <w:szCs w:val="24"/>
        </w:rPr>
      </w:pPr>
    </w:p>
    <w:p w14:paraId="7F214A03" w14:textId="77777777" w:rsidR="003F2793" w:rsidRPr="00C86111" w:rsidRDefault="003F2793" w:rsidP="00C23D65">
      <w:pPr>
        <w:ind w:firstLine="720"/>
        <w:rPr>
          <w:rFonts w:asciiTheme="minorHAnsi" w:hAnsiTheme="minorHAnsi" w:cstheme="minorHAnsi"/>
          <w:szCs w:val="24"/>
        </w:rPr>
      </w:pPr>
    </w:p>
    <w:p w14:paraId="0D289625" w14:textId="77777777" w:rsidR="003F2793" w:rsidRPr="00C86111" w:rsidRDefault="003F2793" w:rsidP="00C23D65">
      <w:pPr>
        <w:ind w:firstLine="720"/>
        <w:rPr>
          <w:rFonts w:asciiTheme="minorHAnsi" w:hAnsiTheme="minorHAnsi" w:cstheme="minorHAnsi"/>
          <w:szCs w:val="24"/>
        </w:rPr>
      </w:pPr>
    </w:p>
    <w:p w14:paraId="6225FE8E" w14:textId="77777777" w:rsidR="003F2793" w:rsidRPr="00C86111" w:rsidRDefault="003F2793" w:rsidP="00C23D65">
      <w:pPr>
        <w:ind w:firstLine="720"/>
        <w:rPr>
          <w:rFonts w:asciiTheme="minorHAnsi" w:hAnsiTheme="minorHAnsi" w:cstheme="minorHAnsi"/>
          <w:szCs w:val="24"/>
        </w:rPr>
      </w:pPr>
    </w:p>
    <w:p w14:paraId="7ED27781" w14:textId="77777777" w:rsidR="003F2793" w:rsidRPr="00C86111" w:rsidRDefault="003F2793" w:rsidP="00C23D65">
      <w:pPr>
        <w:ind w:firstLine="720"/>
        <w:rPr>
          <w:rFonts w:asciiTheme="minorHAnsi" w:hAnsiTheme="minorHAnsi" w:cstheme="minorHAnsi"/>
          <w:szCs w:val="24"/>
        </w:rPr>
      </w:pPr>
    </w:p>
    <w:p w14:paraId="615BEDEA" w14:textId="77777777" w:rsidR="003F2793" w:rsidRPr="00C86111" w:rsidRDefault="003F2793" w:rsidP="00C23D65">
      <w:pPr>
        <w:ind w:firstLine="720"/>
        <w:rPr>
          <w:rFonts w:asciiTheme="minorHAnsi" w:hAnsiTheme="minorHAnsi" w:cstheme="minorHAnsi"/>
          <w:szCs w:val="24"/>
        </w:rPr>
      </w:pPr>
    </w:p>
    <w:p w14:paraId="70EB7541" w14:textId="77777777" w:rsidR="003F2793" w:rsidRPr="00C86111" w:rsidRDefault="003F2793" w:rsidP="00C23D65">
      <w:pPr>
        <w:ind w:firstLine="720"/>
        <w:rPr>
          <w:rFonts w:asciiTheme="minorHAnsi" w:hAnsiTheme="minorHAnsi" w:cstheme="minorHAnsi"/>
          <w:szCs w:val="24"/>
        </w:rPr>
      </w:pPr>
    </w:p>
    <w:p w14:paraId="10137408" w14:textId="77777777" w:rsidR="003F2793" w:rsidRPr="00C86111" w:rsidRDefault="003F2793" w:rsidP="00C23D65">
      <w:pPr>
        <w:ind w:firstLine="720"/>
        <w:rPr>
          <w:rFonts w:asciiTheme="minorHAnsi" w:hAnsiTheme="minorHAnsi" w:cstheme="minorHAnsi"/>
          <w:szCs w:val="24"/>
        </w:rPr>
      </w:pPr>
    </w:p>
    <w:p w14:paraId="5204F7EA" w14:textId="77777777" w:rsidR="003F2793" w:rsidRPr="00C86111" w:rsidRDefault="003F2793" w:rsidP="00C23D65">
      <w:pPr>
        <w:ind w:firstLine="720"/>
        <w:rPr>
          <w:rFonts w:asciiTheme="minorHAnsi" w:hAnsiTheme="minorHAnsi" w:cstheme="minorHAnsi"/>
          <w:szCs w:val="24"/>
        </w:rPr>
      </w:pPr>
    </w:p>
    <w:p w14:paraId="6C24BC6E" w14:textId="77777777" w:rsidR="00C23D65" w:rsidRPr="00C86111" w:rsidRDefault="00C23D65" w:rsidP="00912C4C">
      <w:pPr>
        <w:pStyle w:val="Heading1"/>
        <w:rPr>
          <w:rFonts w:asciiTheme="minorHAnsi" w:hAnsiTheme="minorHAnsi" w:cstheme="minorHAnsi"/>
          <w:szCs w:val="24"/>
        </w:rPr>
      </w:pPr>
      <w:bookmarkStart w:id="80" w:name="_Toc220541882"/>
      <w:bookmarkEnd w:id="78"/>
      <w:r w:rsidRPr="00C86111">
        <w:lastRenderedPageBreak/>
        <w:t xml:space="preserve">INVENTAR </w:t>
      </w:r>
      <w:bookmarkStart w:id="81" w:name="_Hlk215608790"/>
      <w:r w:rsidRPr="00C86111">
        <w:t>POLIBROMOVANIH DIFENIL ETARA (PBDE) I HEKSABROMODIFENILA (HBB)</w:t>
      </w:r>
      <w:bookmarkEnd w:id="80"/>
    </w:p>
    <w:p w14:paraId="585DC610" w14:textId="77777777" w:rsidR="00C23D65" w:rsidRPr="00C86111" w:rsidRDefault="00C23D65" w:rsidP="00EA6904">
      <w:pPr>
        <w:pStyle w:val="Heading3"/>
      </w:pPr>
      <w:bookmarkStart w:id="82" w:name="_Toc220541883"/>
      <w:bookmarkEnd w:id="81"/>
      <w:r w:rsidRPr="00C86111">
        <w:t>Uvod u PBDE</w:t>
      </w:r>
      <w:bookmarkEnd w:id="82"/>
    </w:p>
    <w:p w14:paraId="208448A1" w14:textId="77777777" w:rsidR="00C23D65" w:rsidRPr="00C86111" w:rsidRDefault="00C23D65" w:rsidP="00C23D65">
      <w:pPr>
        <w:jc w:val="both"/>
        <w:rPr>
          <w:rFonts w:asciiTheme="minorHAnsi" w:hAnsiTheme="minorHAnsi" w:cstheme="minorHAnsi"/>
          <w:color w:val="auto"/>
          <w:szCs w:val="24"/>
        </w:rPr>
      </w:pPr>
    </w:p>
    <w:p w14:paraId="0DE302C9" w14:textId="2B572D5A"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Polibromovani difenil etri (PBDE) predstavljaju grupu industrijskih aromatičnih organobromovanih hemikalija koje se koriste od 1970-ih kao aditivni usporivači plamena u širokom spektru, uglavnom potrošačkih proizvoda. PBDE su proizvodili sa tri različita stepena bromovanja, a plasirani su na tržište kao komercijalni pentaBDE (c-pentaBDE), komercijalni oktaBDE (c-oktaBDE) i komercijalni decaBDE (c-decaBDE) (Alaee et al., 2003; Prevedouros et al., 2004; SFT, 2009). Hemijska imena, CAS brojevi i trgovačka imena I struktura PBDE su navedena u Tabeli </w:t>
      </w:r>
      <w:r w:rsidR="00E001F7" w:rsidRPr="00C86111">
        <w:rPr>
          <w:rFonts w:asciiTheme="minorHAnsi" w:hAnsiTheme="minorHAnsi" w:cstheme="minorHAnsi"/>
          <w:color w:val="auto"/>
          <w:szCs w:val="24"/>
        </w:rPr>
        <w:t>42</w:t>
      </w:r>
      <w:r w:rsidRPr="00C86111">
        <w:rPr>
          <w:rFonts w:asciiTheme="minorHAnsi" w:hAnsiTheme="minorHAnsi" w:cstheme="minorHAnsi"/>
          <w:color w:val="auto"/>
          <w:szCs w:val="24"/>
        </w:rPr>
        <w:t xml:space="preserve"> i Slici 1.</w:t>
      </w:r>
    </w:p>
    <w:p w14:paraId="58EE98A2" w14:textId="77777777" w:rsidR="00C23D65" w:rsidRPr="00C86111" w:rsidRDefault="00C23D65" w:rsidP="00C23D65">
      <w:pPr>
        <w:jc w:val="both"/>
        <w:rPr>
          <w:rFonts w:asciiTheme="minorHAnsi" w:hAnsiTheme="minorHAnsi" w:cstheme="minorHAnsi"/>
          <w:color w:val="auto"/>
          <w:szCs w:val="24"/>
        </w:rPr>
      </w:pPr>
    </w:p>
    <w:p w14:paraId="546260DB" w14:textId="0D5FF56A"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Tabela </w:t>
      </w:r>
      <w:r w:rsidR="00E001F7" w:rsidRPr="00C86111">
        <w:rPr>
          <w:rFonts w:asciiTheme="minorHAnsi" w:hAnsiTheme="minorHAnsi" w:cstheme="minorHAnsi"/>
          <w:b/>
          <w:bCs/>
          <w:color w:val="auto"/>
          <w:szCs w:val="24"/>
        </w:rPr>
        <w:t>42</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Hemijski identitet/imena, CAS brojevi, trgovačka imena i struktura PBDE</w:t>
      </w:r>
    </w:p>
    <w:tbl>
      <w:tblPr>
        <w:tblStyle w:val="GridTable5Dark-Accent6"/>
        <w:tblW w:w="9210" w:type="dxa"/>
        <w:tblLayout w:type="fixed"/>
        <w:tblLook w:val="04A0" w:firstRow="1" w:lastRow="0" w:firstColumn="1" w:lastColumn="0" w:noHBand="0" w:noVBand="1"/>
      </w:tblPr>
      <w:tblGrid>
        <w:gridCol w:w="2010"/>
        <w:gridCol w:w="7200"/>
      </w:tblGrid>
      <w:tr w:rsidR="00C23D65" w:rsidRPr="00C86111" w14:paraId="59485271" w14:textId="77777777" w:rsidTr="00C23D65">
        <w:trPr>
          <w:cnfStyle w:val="100000000000" w:firstRow="1" w:lastRow="0" w:firstColumn="0" w:lastColumn="0" w:oddVBand="0" w:evenVBand="0" w:oddHBand="0" w:evenHBand="0" w:firstRowFirstColumn="0" w:firstRowLastColumn="0" w:lastRowFirstColumn="0" w:lastRowLastColumn="0"/>
          <w:trHeight w:val="1205"/>
        </w:trPr>
        <w:tc>
          <w:tcPr>
            <w:cnfStyle w:val="001000000000" w:firstRow="0" w:lastRow="0" w:firstColumn="1" w:lastColumn="0" w:oddVBand="0" w:evenVBand="0" w:oddHBand="0" w:evenHBand="0" w:firstRowFirstColumn="0" w:firstRowLastColumn="0" w:lastRowFirstColumn="0" w:lastRowLastColumn="0"/>
            <w:tcW w:w="2010" w:type="dxa"/>
            <w:tcBorders>
              <w:bottom w:val="single" w:sz="4" w:space="0" w:color="FFFFFF" w:themeColor="background1"/>
            </w:tcBorders>
            <w:hideMark/>
          </w:tcPr>
          <w:p w14:paraId="4790F2EE" w14:textId="77777777" w:rsidR="00C23D65" w:rsidRPr="00C86111" w:rsidRDefault="00C23D65">
            <w:pPr>
              <w:pStyle w:val="Text"/>
              <w:tabs>
                <w:tab w:val="left" w:pos="3510"/>
              </w:tabs>
              <w:jc w:val="both"/>
              <w:rPr>
                <w:rFonts w:asciiTheme="minorHAnsi" w:hAnsiTheme="minorHAnsi" w:cstheme="minorHAnsi"/>
                <w:color w:val="auto"/>
                <w:sz w:val="20"/>
                <w:szCs w:val="20"/>
              </w:rPr>
            </w:pPr>
            <w:r w:rsidRPr="00C86111">
              <w:rPr>
                <w:rFonts w:asciiTheme="minorHAnsi" w:hAnsiTheme="minorHAnsi" w:cstheme="minorHAnsi"/>
                <w:sz w:val="20"/>
                <w:szCs w:val="20"/>
              </w:rPr>
              <w:t>Hemijsko ime i sinonimi</w:t>
            </w:r>
          </w:p>
        </w:tc>
        <w:tc>
          <w:tcPr>
            <w:tcW w:w="7200" w:type="dxa"/>
            <w:tcBorders>
              <w:bottom w:val="single" w:sz="4" w:space="0" w:color="FFFFFF" w:themeColor="background1"/>
            </w:tcBorders>
            <w:hideMark/>
          </w:tcPr>
          <w:p w14:paraId="1EC46529" w14:textId="77777777" w:rsidR="00C23D65" w:rsidRPr="00C86111" w:rsidRDefault="00C23D65">
            <w:pPr>
              <w:pStyle w:val="Text"/>
              <w:tabs>
                <w:tab w:val="left" w:pos="3510"/>
              </w:tabs>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
                <w:iCs/>
                <w:color w:val="auto"/>
                <w:sz w:val="20"/>
                <w:szCs w:val="20"/>
              </w:rPr>
            </w:pPr>
            <w:r w:rsidRPr="00C86111">
              <w:rPr>
                <w:rFonts w:asciiTheme="minorHAnsi" w:hAnsiTheme="minorHAnsi" w:cstheme="minorHAnsi"/>
                <w:sz w:val="20"/>
                <w:szCs w:val="20"/>
              </w:rPr>
              <w:t>DecaBDE:</w:t>
            </w:r>
            <w:r w:rsidRPr="00C86111">
              <w:rPr>
                <w:rFonts w:asciiTheme="minorHAnsi" w:hAnsiTheme="minorHAnsi" w:cstheme="minorHAnsi"/>
                <w:b w:val="0"/>
                <w:bCs w:val="0"/>
                <w:sz w:val="20"/>
                <w:szCs w:val="20"/>
              </w:rPr>
              <w:t xml:space="preserve"> CAS: Benzene, 1,1'-oxybis[2,3,4,5,6-pentabromo-] IUPAC: 2,3,4,5,6-Pentabromo-1-(2,3,4,5,6-pentabromophenoxy)benzene; decabromodiphenyl ether, decabromodiphenyl oxide, DBDPE, DBBE, DBBO, DBDPO</w:t>
            </w:r>
          </w:p>
          <w:p w14:paraId="6F69A16B" w14:textId="77777777" w:rsidR="00C23D65" w:rsidRPr="00C86111" w:rsidRDefault="00C23D65">
            <w:pPr>
              <w:pStyle w:val="Text"/>
              <w:tabs>
                <w:tab w:val="left" w:pos="3510"/>
              </w:tabs>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
                <w:iCs/>
                <w:color w:val="auto"/>
                <w:sz w:val="20"/>
                <w:szCs w:val="20"/>
              </w:rPr>
            </w:pPr>
            <w:r w:rsidRPr="00C86111">
              <w:rPr>
                <w:rFonts w:asciiTheme="minorHAnsi" w:hAnsiTheme="minorHAnsi" w:cstheme="minorHAnsi"/>
                <w:sz w:val="20"/>
                <w:szCs w:val="20"/>
              </w:rPr>
              <w:t>OctaBDE:</w:t>
            </w:r>
            <w:r w:rsidRPr="00C86111">
              <w:rPr>
                <w:rFonts w:asciiTheme="minorHAnsi" w:hAnsiTheme="minorHAnsi" w:cstheme="minorHAnsi"/>
                <w:b w:val="0"/>
                <w:bCs w:val="0"/>
                <w:sz w:val="20"/>
                <w:szCs w:val="20"/>
              </w:rPr>
              <w:t xml:space="preserve"> Diphenyl ether, octabromo derivative (octabromodiphenyl ether)</w:t>
            </w:r>
          </w:p>
          <w:p w14:paraId="426289AC" w14:textId="77777777" w:rsidR="00C23D65" w:rsidRPr="00C86111" w:rsidRDefault="00C23D65">
            <w:pPr>
              <w:pStyle w:val="Text"/>
              <w:tabs>
                <w:tab w:val="left" w:pos="3510"/>
              </w:tabs>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sz w:val="20"/>
                <w:szCs w:val="20"/>
              </w:rPr>
              <w:t>PentaBDE</w:t>
            </w:r>
            <w:r w:rsidRPr="00C86111">
              <w:rPr>
                <w:rFonts w:asciiTheme="minorHAnsi" w:hAnsiTheme="minorHAnsi" w:cstheme="minorHAnsi"/>
                <w:b w:val="0"/>
                <w:bCs w:val="0"/>
                <w:sz w:val="20"/>
                <w:szCs w:val="20"/>
              </w:rPr>
              <w:t>: Diphenyl ether, pentabromo derivative (pentabromodiphenyl ether)</w:t>
            </w:r>
          </w:p>
        </w:tc>
      </w:tr>
      <w:tr w:rsidR="00C23D65" w:rsidRPr="00C86111" w14:paraId="55EA366D" w14:textId="77777777" w:rsidTr="00C23D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0" w:type="dxa"/>
            <w:tcBorders>
              <w:top w:val="single" w:sz="4" w:space="0" w:color="FFFFFF" w:themeColor="background1"/>
              <w:bottom w:val="single" w:sz="4" w:space="0" w:color="FFFFFF" w:themeColor="background1"/>
              <w:right w:val="single" w:sz="4" w:space="0" w:color="FFFFFF" w:themeColor="background1"/>
            </w:tcBorders>
            <w:hideMark/>
          </w:tcPr>
          <w:p w14:paraId="468F936A" w14:textId="77777777" w:rsidR="00C23D65" w:rsidRPr="00C86111" w:rsidRDefault="00C23D65">
            <w:pPr>
              <w:pStyle w:val="Text"/>
              <w:tabs>
                <w:tab w:val="left" w:pos="3510"/>
              </w:tabs>
              <w:jc w:val="both"/>
              <w:rPr>
                <w:rFonts w:asciiTheme="minorHAnsi" w:hAnsiTheme="minorHAnsi" w:cstheme="minorHAnsi"/>
                <w:color w:val="auto"/>
                <w:sz w:val="20"/>
                <w:szCs w:val="20"/>
              </w:rPr>
            </w:pPr>
            <w:r w:rsidRPr="00C86111">
              <w:rPr>
                <w:rFonts w:asciiTheme="minorHAnsi" w:hAnsiTheme="minorHAnsi" w:cstheme="minorHAnsi"/>
                <w:sz w:val="20"/>
                <w:szCs w:val="20"/>
              </w:rPr>
              <w:t>CAS broj</w:t>
            </w:r>
          </w:p>
        </w:tc>
        <w:tc>
          <w:tcPr>
            <w:tcW w:w="7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172599" w14:textId="77777777" w:rsidR="00C23D65" w:rsidRPr="00C86111" w:rsidRDefault="00C23D65" w:rsidP="00004F34">
            <w:pPr>
              <w:numPr>
                <w:ilvl w:val="0"/>
                <w:numId w:val="179"/>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Komercijalni pentaBDE: CAS 32534-81-9</w:t>
            </w:r>
          </w:p>
          <w:p w14:paraId="4C0A1B20" w14:textId="77777777" w:rsidR="00C23D65" w:rsidRPr="00C86111" w:rsidRDefault="00C23D65" w:rsidP="00004F34">
            <w:pPr>
              <w:numPr>
                <w:ilvl w:val="0"/>
                <w:numId w:val="179"/>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Komercijalni oktaBDE: CAS 32536-52-0</w:t>
            </w:r>
          </w:p>
          <w:p w14:paraId="3ABF6B79" w14:textId="77777777" w:rsidR="00C23D65" w:rsidRPr="00C86111" w:rsidRDefault="00C23D65" w:rsidP="00004F34">
            <w:pPr>
              <w:numPr>
                <w:ilvl w:val="0"/>
                <w:numId w:val="179"/>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Komercijalni decaBDE: CAS 1163-19-5</w:t>
            </w:r>
          </w:p>
          <w:p w14:paraId="5C8ADA6C"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Ranije korišćeni CAS brojevi: 109945-70-2, 145538-74-5 i 1201677-32-8 (formalno obrisani, ali još uvijek u upotrebi kod nekih proizvođača i dobavljača)</w:t>
            </w:r>
          </w:p>
        </w:tc>
      </w:tr>
      <w:tr w:rsidR="00C23D65" w:rsidRPr="00C86111" w14:paraId="5BC22523" w14:textId="77777777" w:rsidTr="00C23D65">
        <w:trPr>
          <w:trHeight w:val="1971"/>
        </w:trPr>
        <w:tc>
          <w:tcPr>
            <w:cnfStyle w:val="001000000000" w:firstRow="0" w:lastRow="0" w:firstColumn="1" w:lastColumn="0" w:oddVBand="0" w:evenVBand="0" w:oddHBand="0" w:evenHBand="0" w:firstRowFirstColumn="0" w:firstRowLastColumn="0" w:lastRowFirstColumn="0" w:lastRowLastColumn="0"/>
            <w:tcW w:w="2010" w:type="dxa"/>
            <w:tcBorders>
              <w:top w:val="single" w:sz="4" w:space="0" w:color="FFFFFF" w:themeColor="background1"/>
              <w:bottom w:val="single" w:sz="4" w:space="0" w:color="FFFFFF" w:themeColor="background1"/>
              <w:right w:val="single" w:sz="4" w:space="0" w:color="FFFFFF" w:themeColor="background1"/>
            </w:tcBorders>
            <w:hideMark/>
          </w:tcPr>
          <w:p w14:paraId="1536E198" w14:textId="77777777" w:rsidR="00C23D65" w:rsidRPr="00C86111" w:rsidRDefault="00C23D65">
            <w:pPr>
              <w:pStyle w:val="Text"/>
              <w:tabs>
                <w:tab w:val="left" w:pos="3510"/>
              </w:tabs>
              <w:jc w:val="both"/>
              <w:rPr>
                <w:rFonts w:asciiTheme="minorHAnsi" w:hAnsiTheme="minorHAnsi" w:cstheme="minorHAnsi"/>
                <w:color w:val="auto"/>
                <w:sz w:val="20"/>
                <w:szCs w:val="20"/>
              </w:rPr>
            </w:pPr>
            <w:r w:rsidRPr="00C86111">
              <w:rPr>
                <w:rFonts w:asciiTheme="minorHAnsi" w:hAnsiTheme="minorHAnsi" w:cstheme="minorHAnsi"/>
                <w:sz w:val="20"/>
                <w:szCs w:val="20"/>
              </w:rPr>
              <w:t>Molekulska I strukturna formula</w:t>
            </w:r>
          </w:p>
        </w:tc>
        <w:tc>
          <w:tcPr>
            <w:tcW w:w="7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795091" w14:textId="77777777" w:rsidR="00C23D65" w:rsidRPr="00C86111" w:rsidRDefault="00C23D65">
            <w:pPr>
              <w:pStyle w:val="Text"/>
              <w:tabs>
                <w:tab w:val="left" w:pos="3510"/>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auto"/>
                <w:sz w:val="20"/>
                <w:szCs w:val="20"/>
              </w:rPr>
            </w:pPr>
            <w:r w:rsidRPr="00C86111">
              <w:rPr>
                <w:rFonts w:asciiTheme="minorHAnsi" w:hAnsiTheme="minorHAnsi" w:cstheme="minorHAnsi"/>
                <w:sz w:val="20"/>
                <w:szCs w:val="20"/>
              </w:rPr>
              <w:t>C</w:t>
            </w:r>
            <w:r w:rsidRPr="00C86111">
              <w:rPr>
                <w:rFonts w:asciiTheme="minorHAnsi" w:hAnsiTheme="minorHAnsi" w:cstheme="minorHAnsi"/>
                <w:sz w:val="20"/>
                <w:szCs w:val="20"/>
                <w:vertAlign w:val="subscript"/>
              </w:rPr>
              <w:t>12</w:t>
            </w:r>
            <w:r w:rsidRPr="00C86111">
              <w:rPr>
                <w:rFonts w:asciiTheme="minorHAnsi" w:hAnsiTheme="minorHAnsi" w:cstheme="minorHAnsi"/>
                <w:sz w:val="20"/>
                <w:szCs w:val="20"/>
              </w:rPr>
              <w:t>H</w:t>
            </w:r>
            <w:r w:rsidRPr="00C86111">
              <w:rPr>
                <w:rFonts w:asciiTheme="minorHAnsi" w:hAnsiTheme="minorHAnsi" w:cstheme="minorHAnsi"/>
                <w:sz w:val="20"/>
                <w:szCs w:val="20"/>
                <w:vertAlign w:val="subscript"/>
              </w:rPr>
              <w:t>10-m-n</w:t>
            </w:r>
            <w:r w:rsidRPr="00C86111">
              <w:rPr>
                <w:rFonts w:asciiTheme="minorHAnsi" w:hAnsiTheme="minorHAnsi" w:cstheme="minorHAnsi"/>
                <w:sz w:val="20"/>
                <w:szCs w:val="20"/>
              </w:rPr>
              <w:t>Br</w:t>
            </w:r>
            <w:r w:rsidRPr="00C86111">
              <w:rPr>
                <w:rFonts w:asciiTheme="minorHAnsi" w:hAnsiTheme="minorHAnsi" w:cstheme="minorHAnsi"/>
                <w:sz w:val="20"/>
                <w:szCs w:val="20"/>
                <w:vertAlign w:val="subscript"/>
              </w:rPr>
              <w:t>m+n</w:t>
            </w:r>
            <w:r w:rsidRPr="00C86111">
              <w:rPr>
                <w:rFonts w:asciiTheme="minorHAnsi" w:hAnsiTheme="minorHAnsi" w:cstheme="minorHAnsi"/>
                <w:sz w:val="20"/>
                <w:szCs w:val="20"/>
              </w:rPr>
              <w:t>O (m + n = 1–10)</w:t>
            </w:r>
          </w:p>
          <w:p w14:paraId="4A14CE66" w14:textId="6D5A03FA" w:rsidR="00C23D65" w:rsidRPr="00C86111" w:rsidRDefault="00C23D65">
            <w:pPr>
              <w:pStyle w:val="Text"/>
              <w:tabs>
                <w:tab w:val="left" w:pos="3510"/>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auto"/>
                <w:sz w:val="20"/>
                <w:szCs w:val="20"/>
              </w:rPr>
            </w:pPr>
            <w:r w:rsidRPr="00C86111">
              <w:rPr>
                <w:rFonts w:asciiTheme="minorHAnsi" w:hAnsiTheme="minorHAnsi" w:cstheme="minorHAnsi"/>
                <w:i/>
                <w:noProof/>
                <w:sz w:val="20"/>
                <w:szCs w:val="20"/>
                <w14:textOutline w14:w="0" w14:cap="rnd" w14:cmpd="sng" w14:algn="ctr">
                  <w14:noFill/>
                  <w14:prstDash w14:val="solid"/>
                  <w14:bevel/>
                </w14:textOutline>
              </w:rPr>
              <w:drawing>
                <wp:inline distT="0" distB="0" distL="0" distR="0" wp14:anchorId="596806A2" wp14:editId="76B087E3">
                  <wp:extent cx="2887980" cy="883920"/>
                  <wp:effectExtent l="0" t="0" r="0" b="0"/>
                  <wp:docPr id="16" name="Picture 16" descr="Description: Polybrominated_diphenyl_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olybrominated_diphenyl_ethe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7980" cy="883920"/>
                          </a:xfrm>
                          <a:prstGeom prst="rect">
                            <a:avLst/>
                          </a:prstGeom>
                          <a:noFill/>
                          <a:ln>
                            <a:noFill/>
                          </a:ln>
                        </pic:spPr>
                      </pic:pic>
                    </a:graphicData>
                  </a:graphic>
                </wp:inline>
              </w:drawing>
            </w:r>
          </w:p>
          <w:p w14:paraId="1B3F057C" w14:textId="77777777" w:rsidR="00C23D65" w:rsidRPr="00C86111" w:rsidRDefault="00C23D65">
            <w:pPr>
              <w:pStyle w:val="Text"/>
              <w:tabs>
                <w:tab w:val="left" w:pos="3510"/>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sz w:val="20"/>
                <w:szCs w:val="20"/>
              </w:rPr>
              <w:t>Slika 1:</w:t>
            </w:r>
            <w:r w:rsidRPr="00C86111">
              <w:rPr>
                <w:rFonts w:asciiTheme="minorHAnsi" w:hAnsiTheme="minorHAnsi" w:cstheme="minorHAnsi"/>
                <w:sz w:val="20"/>
                <w:szCs w:val="20"/>
              </w:rPr>
              <w:t xml:space="preserve"> Struktura polibromovanog difenil etra (PBDEs)</w:t>
            </w:r>
          </w:p>
        </w:tc>
      </w:tr>
      <w:tr w:rsidR="00C23D65" w:rsidRPr="00C86111" w14:paraId="2932754B" w14:textId="77777777" w:rsidTr="00C23D65">
        <w:trPr>
          <w:cnfStyle w:val="000000100000" w:firstRow="0" w:lastRow="0" w:firstColumn="0" w:lastColumn="0" w:oddVBand="0" w:evenVBand="0" w:oddHBand="1"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2010" w:type="dxa"/>
            <w:tcBorders>
              <w:top w:val="single" w:sz="4" w:space="0" w:color="FFFFFF" w:themeColor="background1"/>
              <w:right w:val="single" w:sz="4" w:space="0" w:color="FFFFFF" w:themeColor="background1"/>
            </w:tcBorders>
            <w:hideMark/>
          </w:tcPr>
          <w:p w14:paraId="4217874E" w14:textId="77777777" w:rsidR="00C23D65" w:rsidRPr="00C86111" w:rsidRDefault="00C23D65">
            <w:pPr>
              <w:pStyle w:val="Text"/>
              <w:tabs>
                <w:tab w:val="left" w:pos="3510"/>
              </w:tabs>
              <w:jc w:val="both"/>
              <w:rPr>
                <w:rFonts w:asciiTheme="minorHAnsi" w:hAnsiTheme="minorHAnsi" w:cstheme="minorHAnsi"/>
                <w:color w:val="auto"/>
                <w:sz w:val="20"/>
                <w:szCs w:val="20"/>
              </w:rPr>
            </w:pPr>
            <w:r w:rsidRPr="00C86111">
              <w:rPr>
                <w:rFonts w:asciiTheme="minorHAnsi" w:hAnsiTheme="minorHAnsi" w:cstheme="minorHAnsi"/>
                <w:sz w:val="20"/>
                <w:szCs w:val="20"/>
              </w:rPr>
              <w:t>Trgovački naziv</w:t>
            </w:r>
          </w:p>
        </w:tc>
        <w:tc>
          <w:tcPr>
            <w:tcW w:w="7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BAEA224" w14:textId="77777777" w:rsidR="00C23D65" w:rsidRPr="00C86111" w:rsidRDefault="00C23D65">
            <w:pPr>
              <w:pStyle w:val="Text"/>
              <w:tabs>
                <w:tab w:val="left" w:pos="3510"/>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color w:val="auto"/>
                <w:sz w:val="20"/>
                <w:szCs w:val="20"/>
              </w:rPr>
            </w:pPr>
            <w:r w:rsidRPr="00C86111">
              <w:rPr>
                <w:rFonts w:asciiTheme="minorHAnsi" w:hAnsiTheme="minorHAnsi" w:cstheme="minorHAnsi"/>
                <w:b/>
                <w:bCs/>
                <w:sz w:val="20"/>
                <w:szCs w:val="20"/>
                <w:lang w:val="fr-FR"/>
              </w:rPr>
              <w:t>DecaBDE</w:t>
            </w:r>
            <w:r w:rsidRPr="00C86111">
              <w:rPr>
                <w:rFonts w:asciiTheme="minorHAnsi" w:hAnsiTheme="minorHAnsi" w:cstheme="minorHAnsi"/>
                <w:sz w:val="20"/>
                <w:szCs w:val="20"/>
                <w:lang w:val="fr-FR"/>
              </w:rPr>
              <w:t xml:space="preserve">: DE-83R, DE-83, Bromkal 82-ODE, Bromkal 70-5, Saytex 102 E, FR1210, Flamecut 110R. OctaBDE: DE-79; Bromkal 79-8DE; </w:t>
            </w:r>
          </w:p>
          <w:p w14:paraId="158EFAA6" w14:textId="77777777" w:rsidR="00C23D65" w:rsidRPr="00C86111" w:rsidRDefault="00C23D65">
            <w:pPr>
              <w:pStyle w:val="Text"/>
              <w:tabs>
                <w:tab w:val="left" w:pos="3510"/>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b/>
                <w:bCs/>
                <w:sz w:val="20"/>
                <w:szCs w:val="20"/>
                <w:lang w:val="fr-FR"/>
              </w:rPr>
              <w:t>PentaBDE</w:t>
            </w:r>
            <w:r w:rsidRPr="00C86111">
              <w:rPr>
                <w:rFonts w:asciiTheme="minorHAnsi" w:hAnsiTheme="minorHAnsi" w:cstheme="minorHAnsi"/>
                <w:sz w:val="20"/>
                <w:szCs w:val="20"/>
                <w:lang w:val="fr-FR"/>
              </w:rPr>
              <w:t>: DE-71 Bromkal 70DE; Bromkal 70-5DE</w:t>
            </w:r>
          </w:p>
        </w:tc>
      </w:tr>
    </w:tbl>
    <w:p w14:paraId="0FCA8090" w14:textId="77777777" w:rsidR="00C23D65" w:rsidRPr="00C86111" w:rsidRDefault="00C23D65" w:rsidP="00C23D65">
      <w:pPr>
        <w:jc w:val="both"/>
        <w:rPr>
          <w:rFonts w:asciiTheme="minorHAnsi" w:hAnsiTheme="minorHAnsi" w:cstheme="minorHAnsi"/>
          <w:color w:val="auto"/>
          <w:szCs w:val="24"/>
        </w:rPr>
      </w:pPr>
    </w:p>
    <w:p w14:paraId="66B2BE45" w14:textId="77777777" w:rsidR="00C23D65" w:rsidRPr="00C86111" w:rsidRDefault="00C23D65" w:rsidP="00C23D65">
      <w:pPr>
        <w:jc w:val="both"/>
        <w:rPr>
          <w:rFonts w:asciiTheme="minorHAnsi" w:hAnsiTheme="minorHAnsi" w:cstheme="minorHAnsi"/>
          <w:color w:val="auto"/>
          <w:szCs w:val="24"/>
        </w:rPr>
      </w:pPr>
    </w:p>
    <w:p w14:paraId="723A527A" w14:textId="77777777" w:rsidR="00C23D65" w:rsidRPr="00C86111" w:rsidRDefault="00C23D65" w:rsidP="00C23D65">
      <w:pPr>
        <w:jc w:val="both"/>
        <w:rPr>
          <w:rFonts w:asciiTheme="minorHAnsi" w:hAnsiTheme="minorHAnsi" w:cstheme="minorHAnsi"/>
          <w:color w:val="auto"/>
          <w:szCs w:val="24"/>
        </w:rPr>
      </w:pPr>
    </w:p>
    <w:p w14:paraId="427B045D" w14:textId="77777777" w:rsidR="00C23D65" w:rsidRPr="00C86111" w:rsidRDefault="00C23D65" w:rsidP="00C23D65">
      <w:pPr>
        <w:jc w:val="both"/>
        <w:rPr>
          <w:rFonts w:asciiTheme="minorHAnsi" w:hAnsiTheme="minorHAnsi" w:cstheme="minorHAnsi"/>
          <w:color w:val="auto"/>
          <w:szCs w:val="24"/>
        </w:rPr>
      </w:pPr>
    </w:p>
    <w:p w14:paraId="046328F3" w14:textId="77777777" w:rsidR="00C23D65" w:rsidRPr="00C86111" w:rsidRDefault="00C23D65" w:rsidP="00C23D65">
      <w:pPr>
        <w:jc w:val="both"/>
        <w:rPr>
          <w:rFonts w:asciiTheme="minorHAnsi" w:hAnsiTheme="minorHAnsi" w:cstheme="minorHAnsi"/>
          <w:color w:val="auto"/>
          <w:szCs w:val="24"/>
        </w:rPr>
      </w:pPr>
    </w:p>
    <w:p w14:paraId="6B26987D" w14:textId="77777777" w:rsidR="00C23D65" w:rsidRPr="00C86111" w:rsidRDefault="00C23D65" w:rsidP="00C23D65">
      <w:pPr>
        <w:jc w:val="both"/>
        <w:rPr>
          <w:rFonts w:asciiTheme="minorHAnsi" w:hAnsiTheme="minorHAnsi" w:cstheme="minorHAnsi"/>
          <w:b/>
          <w:bCs/>
          <w:color w:val="auto"/>
          <w:szCs w:val="24"/>
        </w:rPr>
      </w:pPr>
    </w:p>
    <w:p w14:paraId="42B4E5AD" w14:textId="77777777" w:rsidR="00C23D65" w:rsidRPr="00C86111" w:rsidRDefault="00C23D65" w:rsidP="00004F34">
      <w:pPr>
        <w:pStyle w:val="Heading1"/>
        <w:numPr>
          <w:ilvl w:val="1"/>
          <w:numId w:val="238"/>
        </w:numPr>
        <w:rPr>
          <w:rFonts w:cs="Times New Roman"/>
        </w:rPr>
      </w:pPr>
      <w:bookmarkStart w:id="83" w:name="_Toc220541884"/>
      <w:r w:rsidRPr="00C86111">
        <w:lastRenderedPageBreak/>
        <w:t>POP-PBDE i HBB prema Stokholmskoj konvenciji</w:t>
      </w:r>
      <w:bookmarkEnd w:id="83"/>
    </w:p>
    <w:p w14:paraId="01BFAC5B"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U maju 2009. godine Stokholmska konvencija (SC) o dugotrajnim organskim zagađivačima (POPs) izmijenjena je odlukom Konferencije stranaka, kojom su u Prilog A uvršteni određeni bromovani usporivači plamena (BFR). Uvrštene supstance uključivale su ključne polibromovane difenil etere (PBDE) iz komercijalnih mješavina pentaBDE i oktaBDE, i to:</w:t>
      </w:r>
    </w:p>
    <w:p w14:paraId="3143C9D8" w14:textId="77777777" w:rsidR="00C23D65" w:rsidRPr="00C86111" w:rsidRDefault="00C23D65" w:rsidP="00004F34">
      <w:pPr>
        <w:numPr>
          <w:ilvl w:val="0"/>
          <w:numId w:val="180"/>
        </w:numPr>
        <w:jc w:val="both"/>
        <w:rPr>
          <w:rFonts w:asciiTheme="minorHAnsi" w:hAnsiTheme="minorHAnsi" w:cstheme="minorHAnsi"/>
          <w:color w:val="auto"/>
          <w:szCs w:val="24"/>
        </w:rPr>
      </w:pPr>
      <w:r w:rsidRPr="00C86111">
        <w:rPr>
          <w:rFonts w:asciiTheme="minorHAnsi" w:hAnsiTheme="minorHAnsi" w:cstheme="minorHAnsi"/>
          <w:color w:val="auto"/>
          <w:szCs w:val="24"/>
        </w:rPr>
        <w:t>tetrabromodifenil eter (tetraBDE) i pentabromodifenil eter (pentaBDE),</w:t>
      </w:r>
    </w:p>
    <w:p w14:paraId="10A33273" w14:textId="77777777" w:rsidR="00C23D65" w:rsidRPr="00C86111" w:rsidRDefault="00C23D65" w:rsidP="00004F34">
      <w:pPr>
        <w:numPr>
          <w:ilvl w:val="0"/>
          <w:numId w:val="180"/>
        </w:numPr>
        <w:jc w:val="both"/>
        <w:rPr>
          <w:rFonts w:asciiTheme="minorHAnsi" w:hAnsiTheme="minorHAnsi" w:cstheme="minorHAnsi"/>
          <w:color w:val="auto"/>
          <w:szCs w:val="24"/>
        </w:rPr>
      </w:pPr>
      <w:r w:rsidRPr="00C86111">
        <w:rPr>
          <w:rFonts w:asciiTheme="minorHAnsi" w:hAnsiTheme="minorHAnsi" w:cstheme="minorHAnsi"/>
          <w:color w:val="auto"/>
          <w:szCs w:val="24"/>
        </w:rPr>
        <w:t>heksabromodifenil eter (hexaBDE) i heptabromodifenil eter (heptaBDE),</w:t>
      </w:r>
    </w:p>
    <w:p w14:paraId="5FD31B20" w14:textId="77777777" w:rsidR="00C23D65" w:rsidRPr="00C86111" w:rsidRDefault="00C23D65" w:rsidP="00004F34">
      <w:pPr>
        <w:numPr>
          <w:ilvl w:val="0"/>
          <w:numId w:val="180"/>
        </w:numPr>
        <w:jc w:val="both"/>
        <w:rPr>
          <w:rFonts w:asciiTheme="minorHAnsi" w:hAnsiTheme="minorHAnsi" w:cstheme="minorHAnsi"/>
          <w:color w:val="auto"/>
          <w:szCs w:val="24"/>
        </w:rPr>
      </w:pPr>
      <w:r w:rsidRPr="00C86111">
        <w:rPr>
          <w:rFonts w:asciiTheme="minorHAnsi" w:hAnsiTheme="minorHAnsi" w:cstheme="minorHAnsi"/>
          <w:color w:val="auto"/>
          <w:szCs w:val="24"/>
        </w:rPr>
        <w:t>heksabromobifenil (HBB).</w:t>
      </w:r>
    </w:p>
    <w:p w14:paraId="40C4810D"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U maju 2017. godine Prilog A dodatno je izmijenjen odlukom SC-8/10, kojom je uvršten dekabromodifenil eter (decaBDE; BDE-209) iz komercijalne smjese decaBDE (c-decaBDE), uz propisane specifične izuzetke za njegovu proizvodnju i upotrebu. Proizvodnja i upotreba decaBDE moraju biti ukinute, osim u slučaju kada stranka obavijesti Sekretarijat o svojoj namjeri da ga proizvodi ili koristi u skladu sa članom 4. Priloga A. Dio IX Priloga A definiše posebne izuzetke za decaBDE.</w:t>
      </w:r>
    </w:p>
    <w:p w14:paraId="4D97B52D"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Za razliku od PBDE jedinjenja koja su uvrštena 2009. godine, za koja su postojali izuzeci u pogledu reciklaže, ne postoje izuzeci za reciklažu proizvoda koji sadrže decaBDE.</w:t>
      </w:r>
    </w:p>
    <w:p w14:paraId="512A1BFD" w14:textId="77777777" w:rsidR="00C23D65" w:rsidRPr="00C86111" w:rsidRDefault="00C23D65" w:rsidP="00004F34">
      <w:pPr>
        <w:pStyle w:val="Heading1"/>
        <w:numPr>
          <w:ilvl w:val="1"/>
          <w:numId w:val="238"/>
        </w:numPr>
        <w:rPr>
          <w:rFonts w:asciiTheme="minorHAnsi" w:hAnsiTheme="minorHAnsi" w:cstheme="minorHAnsi"/>
          <w:szCs w:val="24"/>
        </w:rPr>
      </w:pPr>
      <w:bookmarkStart w:id="84" w:name="_Toc220541885"/>
      <w:r w:rsidRPr="00C86111">
        <w:t>Prošla i sadašnja upotreba POP-PBDE i HBB</w:t>
      </w:r>
      <w:bookmarkEnd w:id="84"/>
    </w:p>
    <w:p w14:paraId="57809AD7" w14:textId="77777777" w:rsidR="00C23D65" w:rsidRPr="00C86111" w:rsidRDefault="00C23D65" w:rsidP="00EA6904">
      <w:pPr>
        <w:pStyle w:val="Heading3"/>
      </w:pPr>
      <w:bookmarkStart w:id="85" w:name="_Toc220541886"/>
      <w:r w:rsidRPr="00C86111">
        <w:t>Prošla i sadašnja upotreba POP-PBDE</w:t>
      </w:r>
      <w:bookmarkEnd w:id="85"/>
    </w:p>
    <w:p w14:paraId="7BC11374" w14:textId="77777777" w:rsidR="00C23D65" w:rsidRPr="00C86111" w:rsidRDefault="00C23D65" w:rsidP="00C23D65"/>
    <w:p w14:paraId="391431D1" w14:textId="77777777" w:rsidR="00C23D65" w:rsidRPr="00C86111" w:rsidRDefault="00C23D65" w:rsidP="00C23D65">
      <w:pPr>
        <w:jc w:val="both"/>
        <w:rPr>
          <w:rFonts w:asciiTheme="minorHAnsi" w:hAnsiTheme="minorHAnsi" w:cstheme="minorHAnsi"/>
          <w:color w:val="auto"/>
          <w:szCs w:val="24"/>
          <w:lang w:val="sr-Latn-RS"/>
        </w:rPr>
      </w:pPr>
      <w:r w:rsidRPr="00C86111">
        <w:rPr>
          <w:rFonts w:asciiTheme="minorHAnsi" w:hAnsiTheme="minorHAnsi" w:cstheme="minorHAnsi"/>
          <w:color w:val="auto"/>
          <w:szCs w:val="24"/>
        </w:rPr>
        <w:t xml:space="preserve">Glavne industrije u kojima se koristio </w:t>
      </w:r>
      <w:r w:rsidRPr="00C86111">
        <w:rPr>
          <w:rFonts w:asciiTheme="minorHAnsi" w:hAnsiTheme="minorHAnsi" w:cstheme="minorHAnsi"/>
          <w:b/>
          <w:bCs/>
          <w:color w:val="auto"/>
          <w:szCs w:val="24"/>
        </w:rPr>
        <w:t xml:space="preserve">POP-PBDE </w:t>
      </w:r>
      <w:r w:rsidRPr="00C86111">
        <w:rPr>
          <w:rFonts w:asciiTheme="minorHAnsi" w:hAnsiTheme="minorHAnsi" w:cstheme="minorHAnsi"/>
          <w:color w:val="auto"/>
          <w:szCs w:val="24"/>
        </w:rPr>
        <w:t>su:</w:t>
      </w:r>
    </w:p>
    <w:p w14:paraId="56C7EF53" w14:textId="77777777" w:rsidR="00C23D65" w:rsidRPr="00C86111" w:rsidRDefault="00C23D65" w:rsidP="00004F34">
      <w:pPr>
        <w:numPr>
          <w:ilvl w:val="0"/>
          <w:numId w:val="181"/>
        </w:numPr>
        <w:jc w:val="both"/>
        <w:rPr>
          <w:rFonts w:asciiTheme="minorHAnsi" w:hAnsiTheme="minorHAnsi" w:cstheme="minorHAnsi"/>
          <w:color w:val="auto"/>
          <w:szCs w:val="24"/>
        </w:rPr>
      </w:pPr>
      <w:r w:rsidRPr="00C86111">
        <w:rPr>
          <w:rFonts w:asciiTheme="minorHAnsi" w:hAnsiTheme="minorHAnsi" w:cstheme="minorHAnsi"/>
          <w:color w:val="auto"/>
          <w:szCs w:val="24"/>
        </w:rPr>
        <w:t>Elektroindustrija i industrija elektronike;</w:t>
      </w:r>
    </w:p>
    <w:p w14:paraId="4F35192B" w14:textId="77777777" w:rsidR="00C23D65" w:rsidRPr="00C86111" w:rsidRDefault="00C23D65" w:rsidP="00004F34">
      <w:pPr>
        <w:numPr>
          <w:ilvl w:val="0"/>
          <w:numId w:val="181"/>
        </w:numPr>
        <w:jc w:val="both"/>
        <w:rPr>
          <w:rFonts w:asciiTheme="minorHAnsi" w:hAnsiTheme="minorHAnsi" w:cstheme="minorHAnsi"/>
          <w:color w:val="auto"/>
          <w:szCs w:val="24"/>
        </w:rPr>
      </w:pPr>
      <w:r w:rsidRPr="00C86111">
        <w:rPr>
          <w:rFonts w:asciiTheme="minorHAnsi" w:hAnsiTheme="minorHAnsi" w:cstheme="minorHAnsi"/>
          <w:color w:val="auto"/>
          <w:szCs w:val="24"/>
        </w:rPr>
        <w:t>Transportna industrija;</w:t>
      </w:r>
    </w:p>
    <w:p w14:paraId="4313748B" w14:textId="77777777" w:rsidR="00C23D65" w:rsidRPr="00C86111" w:rsidRDefault="00C23D65" w:rsidP="00004F34">
      <w:pPr>
        <w:numPr>
          <w:ilvl w:val="0"/>
          <w:numId w:val="181"/>
        </w:numPr>
        <w:jc w:val="both"/>
        <w:rPr>
          <w:rFonts w:asciiTheme="minorHAnsi" w:hAnsiTheme="minorHAnsi" w:cstheme="minorHAnsi"/>
          <w:color w:val="auto"/>
          <w:szCs w:val="24"/>
        </w:rPr>
      </w:pPr>
      <w:r w:rsidRPr="00C86111">
        <w:rPr>
          <w:rFonts w:asciiTheme="minorHAnsi" w:hAnsiTheme="minorHAnsi" w:cstheme="minorHAnsi"/>
          <w:color w:val="auto"/>
          <w:szCs w:val="24"/>
        </w:rPr>
        <w:t>Industrija namještaja;</w:t>
      </w:r>
    </w:p>
    <w:p w14:paraId="5C6ABDE1" w14:textId="77777777" w:rsidR="00C23D65" w:rsidRPr="00C86111" w:rsidRDefault="00C23D65" w:rsidP="00004F34">
      <w:pPr>
        <w:numPr>
          <w:ilvl w:val="0"/>
          <w:numId w:val="181"/>
        </w:numPr>
        <w:jc w:val="both"/>
        <w:rPr>
          <w:rFonts w:asciiTheme="minorHAnsi" w:hAnsiTheme="minorHAnsi" w:cstheme="minorHAnsi"/>
          <w:color w:val="auto"/>
          <w:szCs w:val="24"/>
        </w:rPr>
      </w:pPr>
      <w:r w:rsidRPr="00C86111">
        <w:rPr>
          <w:rFonts w:asciiTheme="minorHAnsi" w:hAnsiTheme="minorHAnsi" w:cstheme="minorHAnsi"/>
          <w:color w:val="auto"/>
          <w:szCs w:val="24"/>
        </w:rPr>
        <w:t>Tekstilna i industrija tepiha;</w:t>
      </w:r>
    </w:p>
    <w:p w14:paraId="06034239" w14:textId="77777777" w:rsidR="00C23D65" w:rsidRPr="00C86111" w:rsidRDefault="00C23D65" w:rsidP="00004F34">
      <w:pPr>
        <w:numPr>
          <w:ilvl w:val="0"/>
          <w:numId w:val="181"/>
        </w:numPr>
        <w:jc w:val="both"/>
        <w:rPr>
          <w:rFonts w:asciiTheme="minorHAnsi" w:hAnsiTheme="minorHAnsi" w:cstheme="minorHAnsi"/>
          <w:color w:val="auto"/>
          <w:szCs w:val="24"/>
        </w:rPr>
      </w:pPr>
      <w:r w:rsidRPr="00C86111">
        <w:rPr>
          <w:rFonts w:asciiTheme="minorHAnsi" w:hAnsiTheme="minorHAnsi" w:cstheme="minorHAnsi"/>
          <w:color w:val="auto"/>
          <w:szCs w:val="24"/>
        </w:rPr>
        <w:t>Građevinska industrija;</w:t>
      </w:r>
    </w:p>
    <w:p w14:paraId="4610443F" w14:textId="77777777" w:rsidR="00C23D65" w:rsidRPr="00C86111" w:rsidRDefault="00C23D65" w:rsidP="00004F34">
      <w:pPr>
        <w:numPr>
          <w:ilvl w:val="0"/>
          <w:numId w:val="181"/>
        </w:numPr>
        <w:jc w:val="both"/>
        <w:rPr>
          <w:rFonts w:asciiTheme="minorHAnsi" w:hAnsiTheme="minorHAnsi" w:cstheme="minorHAnsi"/>
          <w:color w:val="auto"/>
          <w:szCs w:val="24"/>
        </w:rPr>
      </w:pPr>
      <w:r w:rsidRPr="00C86111">
        <w:rPr>
          <w:rFonts w:asciiTheme="minorHAnsi" w:hAnsiTheme="minorHAnsi" w:cstheme="minorHAnsi"/>
          <w:color w:val="auto"/>
          <w:szCs w:val="24"/>
        </w:rPr>
        <w:t>Industrije koje recikliraju plastiku ili druge materijale koji sadrže PBDE.</w:t>
      </w:r>
    </w:p>
    <w:p w14:paraId="7916FFEC"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PBDE su korišćeni u mnogim industrijskim sektorima za proizvodnju različitih proizvoda i artikala. Na primjer, POP-PBDE su korišćeni u industriji elektronike za izradu plastičnih kućišta računarske opreme, dok su u transportnoj industriji korišćeni za proizvodnju pjene za sjedišta vozila (Slika 2).</w:t>
      </w:r>
    </w:p>
    <w:p w14:paraId="0264F52D" w14:textId="77777777" w:rsidR="00C23D65" w:rsidRPr="00C86111" w:rsidRDefault="00C23D65" w:rsidP="00C23D65">
      <w:pPr>
        <w:jc w:val="both"/>
        <w:rPr>
          <w:rFonts w:asciiTheme="minorHAnsi" w:hAnsiTheme="minorHAnsi" w:cstheme="minorHAnsi"/>
          <w:color w:val="auto"/>
          <w:szCs w:val="24"/>
        </w:rPr>
      </w:pPr>
    </w:p>
    <w:p w14:paraId="761E7D4F" w14:textId="5CE1237A" w:rsidR="00C23D65" w:rsidRPr="00C86111" w:rsidRDefault="00C23D65" w:rsidP="00C23D65">
      <w:pPr>
        <w:jc w:val="center"/>
        <w:rPr>
          <w:rFonts w:asciiTheme="minorHAnsi" w:hAnsiTheme="minorHAnsi" w:cstheme="minorHAnsi"/>
          <w:color w:val="auto"/>
          <w:szCs w:val="24"/>
        </w:rPr>
      </w:pPr>
      <w:r w:rsidRPr="00C86111">
        <w:rPr>
          <w:rFonts w:asciiTheme="minorHAnsi" w:eastAsia="Calibri" w:hAnsiTheme="minorHAnsi" w:cstheme="minorHAnsi"/>
          <w:b/>
          <w:i/>
          <w:noProof/>
          <w:szCs w:val="24"/>
        </w:rPr>
        <w:drawing>
          <wp:inline distT="0" distB="0" distL="0" distR="0" wp14:anchorId="06D351FE" wp14:editId="6CC501C0">
            <wp:extent cx="3009900" cy="1691640"/>
            <wp:effectExtent l="0" t="0" r="0" b="3810"/>
            <wp:docPr id="15" name="Picture 15"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9900" cy="1691640"/>
                    </a:xfrm>
                    <a:prstGeom prst="rect">
                      <a:avLst/>
                    </a:prstGeom>
                    <a:noFill/>
                    <a:ln>
                      <a:noFill/>
                    </a:ln>
                  </pic:spPr>
                </pic:pic>
              </a:graphicData>
            </a:graphic>
          </wp:inline>
        </w:drawing>
      </w:r>
    </w:p>
    <w:p w14:paraId="0ABA4839" w14:textId="77777777" w:rsidR="00C23D65" w:rsidRPr="00C86111" w:rsidRDefault="00C23D65" w:rsidP="00C23D65">
      <w:pPr>
        <w:jc w:val="center"/>
        <w:rPr>
          <w:rFonts w:asciiTheme="minorHAnsi" w:hAnsiTheme="minorHAnsi" w:cstheme="minorHAnsi"/>
          <w:color w:val="auto"/>
          <w:szCs w:val="24"/>
        </w:rPr>
      </w:pPr>
      <w:r w:rsidRPr="00C86111">
        <w:rPr>
          <w:rFonts w:asciiTheme="minorHAnsi" w:hAnsiTheme="minorHAnsi" w:cstheme="minorHAnsi"/>
          <w:b/>
          <w:bCs/>
          <w:color w:val="auto"/>
          <w:szCs w:val="24"/>
        </w:rPr>
        <w:t>Slika 2.</w:t>
      </w:r>
      <w:r w:rsidRPr="00C86111">
        <w:rPr>
          <w:rFonts w:asciiTheme="minorHAnsi" w:hAnsiTheme="minorHAnsi" w:cstheme="minorHAnsi"/>
          <w:color w:val="auto"/>
          <w:szCs w:val="24"/>
        </w:rPr>
        <w:t xml:space="preserve"> Proizvodi i artikli koji sadrže POP-PBDE</w:t>
      </w:r>
    </w:p>
    <w:p w14:paraId="27717B50" w14:textId="77777777" w:rsidR="00C23D65" w:rsidRPr="00C86111" w:rsidRDefault="00C23D65" w:rsidP="00C23D65">
      <w:pPr>
        <w:jc w:val="both"/>
        <w:rPr>
          <w:rFonts w:asciiTheme="minorHAnsi" w:hAnsiTheme="minorHAnsi" w:cstheme="minorHAnsi"/>
          <w:color w:val="auto"/>
          <w:szCs w:val="24"/>
        </w:rPr>
      </w:pPr>
    </w:p>
    <w:p w14:paraId="47948647" w14:textId="77777777" w:rsidR="00C23D65" w:rsidRPr="00C86111" w:rsidRDefault="00C23D65" w:rsidP="00C23D65">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lastRenderedPageBreak/>
        <w:t>c-pentaBDE</w:t>
      </w:r>
    </w:p>
    <w:p w14:paraId="27F01FF2" w14:textId="77777777" w:rsidR="00C23D65" w:rsidRPr="00C86111" w:rsidRDefault="00C23D65" w:rsidP="00C23D65">
      <w:pPr>
        <w:jc w:val="both"/>
        <w:rPr>
          <w:rFonts w:asciiTheme="minorHAnsi" w:hAnsiTheme="minorHAnsi" w:cstheme="minorHAnsi"/>
          <w:b/>
          <w:bCs/>
          <w:color w:val="auto"/>
          <w:szCs w:val="24"/>
        </w:rPr>
      </w:pPr>
    </w:p>
    <w:p w14:paraId="42064BB3" w14:textId="327F5C9B" w:rsidR="00C23D65" w:rsidRPr="00C86111" w:rsidRDefault="00C23D65" w:rsidP="00C23D65">
      <w:pPr>
        <w:jc w:val="both"/>
      </w:pPr>
      <w:r w:rsidRPr="00C86111">
        <w:t>Između 90–95% c-pentaBDE korišćeno je za tretman PUR (poliuretanske) pjene, uglavnom u automobilskoj industriji i tapaciranju namještaja.</w:t>
      </w:r>
    </w:p>
    <w:p w14:paraId="0692E221" w14:textId="5F0A7BBC" w:rsidR="00C23D65" w:rsidRPr="00C86111" w:rsidRDefault="00C23D65" w:rsidP="00004F34">
      <w:pPr>
        <w:numPr>
          <w:ilvl w:val="0"/>
          <w:numId w:val="182"/>
        </w:numPr>
        <w:jc w:val="both"/>
      </w:pPr>
      <w:r w:rsidRPr="00C86111">
        <w:t>Tipični sadržaj u PUR pjeni: 3–5% mase za namještaj i dušeke¹, 0,5–1% za dijelove vozila</w:t>
      </w:r>
      <w:r w:rsidRPr="00C86111">
        <w:rPr>
          <w:rFonts w:asciiTheme="minorHAnsi" w:hAnsiTheme="minorHAnsi" w:cstheme="minorHAnsi"/>
          <w:color w:val="auto"/>
          <w:szCs w:val="24"/>
        </w:rPr>
        <w:t xml:space="preserve"> za djelove poput sjedišta i naslona za ruke/glavu)</w:t>
      </w:r>
      <w:r w:rsidRPr="00C86111">
        <w:t xml:space="preserve"> (Tabela </w:t>
      </w:r>
      <w:r w:rsidR="00E001F7" w:rsidRPr="00C86111">
        <w:t>43</w:t>
      </w:r>
      <w:r w:rsidRPr="00C86111">
        <w:t>).</w:t>
      </w:r>
    </w:p>
    <w:p w14:paraId="4BF9C622" w14:textId="31A763C1" w:rsidR="00C23D65" w:rsidRPr="00C86111" w:rsidRDefault="00C23D65" w:rsidP="00004F34">
      <w:pPr>
        <w:numPr>
          <w:ilvl w:val="0"/>
          <w:numId w:val="182"/>
        </w:numPr>
        <w:jc w:val="both"/>
      </w:pPr>
      <w:r w:rsidRPr="00C86111">
        <w:t>Procijenjena istorijska proizvodnja PUR pjene tretirane c-pentaBDE-om: ≈2,5 miliona tona, od čega 60% u namještaju, 36% u transportu i 4% u ostalim proizvodima</w:t>
      </w:r>
      <w:r w:rsidR="00E001F7" w:rsidRPr="00C86111">
        <w:t>.</w:t>
      </w:r>
    </w:p>
    <w:p w14:paraId="4832DE64" w14:textId="77777777" w:rsidR="00C23D65" w:rsidRPr="00C86111" w:rsidRDefault="00C23D65" w:rsidP="00C23D65">
      <w:pPr>
        <w:jc w:val="both"/>
      </w:pPr>
    </w:p>
    <w:p w14:paraId="628A8C93" w14:textId="305FB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Tabela 4</w:t>
      </w:r>
      <w:r w:rsidR="00E001F7" w:rsidRPr="00C86111">
        <w:rPr>
          <w:rFonts w:asciiTheme="minorHAnsi" w:hAnsiTheme="minorHAnsi" w:cstheme="minorHAnsi"/>
          <w:b/>
          <w:bCs/>
          <w:color w:val="auto"/>
          <w:szCs w:val="24"/>
        </w:rPr>
        <w:t>3</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Upotreba pentaBDE u PUR pjeni</w:t>
      </w:r>
      <w:r w:rsidR="00E001F7" w:rsidRPr="00C86111">
        <w:rPr>
          <w:rFonts w:asciiTheme="minorHAnsi" w:hAnsiTheme="minorHAnsi" w:cstheme="minorHAnsi"/>
          <w:color w:val="auto"/>
          <w:szCs w:val="24"/>
        </w:rPr>
        <w:t xml:space="preserve"> </w:t>
      </w:r>
    </w:p>
    <w:tbl>
      <w:tblPr>
        <w:tblStyle w:val="GridTable5Dark-Accent6"/>
        <w:tblW w:w="0" w:type="auto"/>
        <w:tblLook w:val="04A0" w:firstRow="1" w:lastRow="0" w:firstColumn="1" w:lastColumn="0" w:noHBand="0" w:noVBand="1"/>
      </w:tblPr>
      <w:tblGrid>
        <w:gridCol w:w="3116"/>
        <w:gridCol w:w="3539"/>
        <w:gridCol w:w="2695"/>
      </w:tblGrid>
      <w:tr w:rsidR="00C23D65" w:rsidRPr="00C86111" w14:paraId="0A75B954" w14:textId="77777777" w:rsidTr="00C23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bottom w:val="single" w:sz="4" w:space="0" w:color="FFFFFF" w:themeColor="background1"/>
            </w:tcBorders>
            <w:hideMark/>
          </w:tcPr>
          <w:p w14:paraId="438D5FB1" w14:textId="77777777" w:rsidR="00C23D65" w:rsidRPr="00C86111" w:rsidRDefault="00C23D6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Gustoća/primjena PUR pjene</w:t>
            </w:r>
          </w:p>
        </w:tc>
        <w:tc>
          <w:tcPr>
            <w:tcW w:w="3539" w:type="dxa"/>
            <w:tcBorders>
              <w:bottom w:val="single" w:sz="4" w:space="0" w:color="FFFFFF" w:themeColor="background1"/>
            </w:tcBorders>
            <w:hideMark/>
          </w:tcPr>
          <w:p w14:paraId="219CDCD9" w14:textId="77777777" w:rsidR="00C23D65" w:rsidRPr="00C86111" w:rsidRDefault="00C23D6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PentaBDE u polimeru (masa %)</w:t>
            </w:r>
          </w:p>
        </w:tc>
        <w:tc>
          <w:tcPr>
            <w:tcW w:w="2695" w:type="dxa"/>
            <w:tcBorders>
              <w:bottom w:val="single" w:sz="4" w:space="0" w:color="FFFFFF" w:themeColor="background1"/>
            </w:tcBorders>
            <w:hideMark/>
          </w:tcPr>
          <w:p w14:paraId="19D1389E" w14:textId="77777777" w:rsidR="00C23D65" w:rsidRPr="00C86111" w:rsidRDefault="00C23D6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Izvor</w:t>
            </w:r>
          </w:p>
        </w:tc>
      </w:tr>
      <w:tr w:rsidR="00C23D65" w:rsidRPr="00C86111" w14:paraId="3B9769CA"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hideMark/>
          </w:tcPr>
          <w:p w14:paraId="61537A45" w14:textId="77777777" w:rsidR="00C23D65" w:rsidRPr="00C86111" w:rsidRDefault="00C23D6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19 kg/m³</w:t>
            </w:r>
          </w:p>
        </w:tc>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A869017" w14:textId="77777777" w:rsidR="00C23D65" w:rsidRPr="00C86111" w:rsidRDefault="00C23D6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5,45</w:t>
            </w:r>
          </w:p>
        </w:tc>
        <w:tc>
          <w:tcPr>
            <w:tcW w:w="2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752B930" w14:textId="77777777" w:rsidR="00C23D65" w:rsidRPr="00C86111" w:rsidRDefault="00C23D6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Cambell, 2010</w:t>
            </w:r>
          </w:p>
        </w:tc>
      </w:tr>
      <w:tr w:rsidR="00C23D65" w:rsidRPr="00C86111" w14:paraId="516ABC4A" w14:textId="77777777" w:rsidTr="00C23D65">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hideMark/>
          </w:tcPr>
          <w:p w14:paraId="3AC22DE5" w14:textId="77777777" w:rsidR="00C23D65" w:rsidRPr="00C86111" w:rsidRDefault="00C23D6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24 kg/m³</w:t>
            </w:r>
          </w:p>
        </w:tc>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66776EB" w14:textId="77777777" w:rsidR="00C23D65" w:rsidRPr="00C86111" w:rsidRDefault="00C23D6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4,30</w:t>
            </w:r>
          </w:p>
        </w:tc>
        <w:tc>
          <w:tcPr>
            <w:tcW w:w="2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49EF37" w14:textId="77777777" w:rsidR="00C23D65" w:rsidRPr="00C86111" w:rsidRDefault="00C23D6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Cambell, 2010</w:t>
            </w:r>
          </w:p>
        </w:tc>
      </w:tr>
      <w:tr w:rsidR="00C23D65" w:rsidRPr="00C86111" w14:paraId="7C2E1212"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hideMark/>
          </w:tcPr>
          <w:p w14:paraId="06C63C47" w14:textId="77777777" w:rsidR="00C23D65" w:rsidRPr="00C86111" w:rsidRDefault="00C23D6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29 kg/m³</w:t>
            </w:r>
          </w:p>
        </w:tc>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E0317A7" w14:textId="77777777" w:rsidR="00C23D65" w:rsidRPr="00C86111" w:rsidRDefault="00C23D6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2,77</w:t>
            </w:r>
          </w:p>
        </w:tc>
        <w:tc>
          <w:tcPr>
            <w:tcW w:w="2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7AF53C8" w14:textId="77777777" w:rsidR="00C23D65" w:rsidRPr="00C86111" w:rsidRDefault="00C23D6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Cambell, 2010</w:t>
            </w:r>
          </w:p>
        </w:tc>
      </w:tr>
      <w:tr w:rsidR="00C23D65" w:rsidRPr="00C86111" w14:paraId="333FDD32" w14:textId="77777777" w:rsidTr="00C23D65">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hideMark/>
          </w:tcPr>
          <w:p w14:paraId="0E782465" w14:textId="77777777" w:rsidR="00C23D65" w:rsidRPr="00C86111" w:rsidRDefault="00C23D6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PUR pjena u transportu (SAD, sjedišta, nasloni za ruke/glavu)</w:t>
            </w:r>
          </w:p>
        </w:tc>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218E0E1" w14:textId="77777777" w:rsidR="00C23D65" w:rsidRPr="00C86111" w:rsidRDefault="00C23D6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0,5–1</w:t>
            </w:r>
          </w:p>
        </w:tc>
        <w:tc>
          <w:tcPr>
            <w:tcW w:w="2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F77D553" w14:textId="77777777" w:rsidR="00C23D65" w:rsidRPr="00C86111" w:rsidRDefault="00C23D6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Ludeka, 2011</w:t>
            </w:r>
          </w:p>
        </w:tc>
      </w:tr>
      <w:tr w:rsidR="00C23D65" w:rsidRPr="00C86111" w14:paraId="201B137F"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hideMark/>
          </w:tcPr>
          <w:p w14:paraId="34158D5F" w14:textId="77777777" w:rsidR="00C23D65" w:rsidRPr="00C86111" w:rsidRDefault="00C23D6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Starije podloge za tepihe</w:t>
            </w:r>
          </w:p>
        </w:tc>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9DD56EB" w14:textId="77777777" w:rsidR="00C23D65" w:rsidRPr="00C86111" w:rsidRDefault="00C23D6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w:t>
            </w:r>
          </w:p>
        </w:tc>
        <w:tc>
          <w:tcPr>
            <w:tcW w:w="2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B5C544D" w14:textId="77777777" w:rsidR="00C23D65" w:rsidRPr="00C86111" w:rsidRDefault="00C23D6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Ludeka, 2011</w:t>
            </w:r>
          </w:p>
        </w:tc>
      </w:tr>
      <w:tr w:rsidR="00C23D65" w:rsidRPr="00C86111" w14:paraId="2A73580B" w14:textId="77777777" w:rsidTr="00C23D65">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right w:val="single" w:sz="4" w:space="0" w:color="FFFFFF" w:themeColor="background1"/>
            </w:tcBorders>
            <w:hideMark/>
          </w:tcPr>
          <w:p w14:paraId="49C7BCFD" w14:textId="77777777" w:rsidR="00C23D65" w:rsidRPr="00C86111" w:rsidRDefault="00C23D6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Laminacija tkanine za krovnu oblogu</w:t>
            </w:r>
          </w:p>
        </w:tc>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EAA0530" w14:textId="77777777" w:rsidR="00C23D65" w:rsidRPr="00C86111" w:rsidRDefault="00C23D6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do 15</w:t>
            </w:r>
          </w:p>
        </w:tc>
        <w:tc>
          <w:tcPr>
            <w:tcW w:w="2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B95BCA9" w14:textId="77777777" w:rsidR="00C23D65" w:rsidRPr="00C86111" w:rsidRDefault="00C23D6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Ludeka, 2011</w:t>
            </w:r>
          </w:p>
        </w:tc>
      </w:tr>
    </w:tbl>
    <w:p w14:paraId="26055DC3" w14:textId="77777777" w:rsidR="00C23D65" w:rsidRPr="00C86111" w:rsidRDefault="00C23D65" w:rsidP="00C23D65">
      <w:pPr>
        <w:rPr>
          <w:rFonts w:asciiTheme="minorHAnsi" w:hAnsiTheme="minorHAnsi" w:cstheme="minorHAnsi"/>
          <w:b/>
          <w:bCs/>
          <w:color w:val="auto"/>
          <w:szCs w:val="24"/>
        </w:rPr>
      </w:pPr>
    </w:p>
    <w:p w14:paraId="36EACB6C" w14:textId="77777777" w:rsidR="00C23D65" w:rsidRPr="00C86111" w:rsidRDefault="00C23D65" w:rsidP="00C23D65">
      <w:pPr>
        <w:rPr>
          <w:rFonts w:asciiTheme="minorHAnsi" w:hAnsiTheme="minorHAnsi" w:cstheme="minorHAnsi"/>
          <w:b/>
          <w:bCs/>
          <w:color w:val="auto"/>
          <w:szCs w:val="24"/>
        </w:rPr>
      </w:pPr>
      <w:r w:rsidRPr="00C86111">
        <w:rPr>
          <w:rFonts w:asciiTheme="minorHAnsi" w:hAnsiTheme="minorHAnsi" w:cstheme="minorHAnsi"/>
          <w:b/>
          <w:bCs/>
          <w:color w:val="auto"/>
          <w:szCs w:val="24"/>
        </w:rPr>
        <w:t>c-octaBDE</w:t>
      </w:r>
    </w:p>
    <w:p w14:paraId="688AAFF2" w14:textId="77777777" w:rsidR="00C23D65" w:rsidRPr="00C86111" w:rsidRDefault="00C23D65" w:rsidP="00C23D65">
      <w:pPr>
        <w:jc w:val="both"/>
      </w:pPr>
    </w:p>
    <w:p w14:paraId="2B8CBC38" w14:textId="513A6646" w:rsidR="00C23D65" w:rsidRPr="00C86111" w:rsidRDefault="00C23D65" w:rsidP="00C23D65">
      <w:pPr>
        <w:jc w:val="both"/>
      </w:pPr>
      <w:r w:rsidRPr="00C86111">
        <w:rPr>
          <w:rFonts w:asciiTheme="minorHAnsi" w:hAnsiTheme="minorHAnsi" w:cstheme="minorHAnsi"/>
          <w:color w:val="auto"/>
          <w:szCs w:val="24"/>
        </w:rPr>
        <w:t xml:space="preserve">Primarna upotreba c-octaBDE bila je u ABS polimerima (akrilonitril-butadien-stiren), koji čine oko 95% potrošnje u EU (Tabela </w:t>
      </w:r>
      <w:r w:rsidR="00E001F7" w:rsidRPr="00C86111">
        <w:rPr>
          <w:rFonts w:asciiTheme="minorHAnsi" w:hAnsiTheme="minorHAnsi" w:cstheme="minorHAnsi"/>
          <w:color w:val="auto"/>
          <w:szCs w:val="24"/>
        </w:rPr>
        <w:t>44</w:t>
      </w:r>
      <w:r w:rsidRPr="00C86111">
        <w:rPr>
          <w:rFonts w:asciiTheme="minorHAnsi" w:hAnsiTheme="minorHAnsi" w:cstheme="minorHAnsi"/>
          <w:color w:val="auto"/>
          <w:szCs w:val="24"/>
        </w:rPr>
        <w:t>).</w:t>
      </w:r>
    </w:p>
    <w:p w14:paraId="511D79FF" w14:textId="487277B3" w:rsidR="00C23D65" w:rsidRPr="00C86111" w:rsidRDefault="00C23D65" w:rsidP="00C23D65">
      <w:pPr>
        <w:jc w:val="both"/>
      </w:pPr>
      <w:r w:rsidRPr="00C86111">
        <w:t>Koristio se u kućištima elektronske opreme (CRT televizori, računari, kancelarijska oprema).</w:t>
      </w:r>
    </w:p>
    <w:p w14:paraId="72DE1AAD" w14:textId="5DCCACF1" w:rsidR="00C23D65" w:rsidRPr="00C86111" w:rsidRDefault="00C23D65" w:rsidP="00C23D65">
      <w:pPr>
        <w:jc w:val="both"/>
      </w:pPr>
      <w:r w:rsidRPr="00C86111">
        <w:rPr>
          <w:rFonts w:asciiTheme="minorHAnsi" w:hAnsiTheme="minorHAnsi" w:cstheme="minorHAnsi"/>
          <w:color w:val="auto"/>
          <w:szCs w:val="24"/>
        </w:rPr>
        <w:t xml:space="preserve">Manje primjene uključivale su </w:t>
      </w:r>
      <w:r w:rsidRPr="00C86111">
        <w:t>HIPS, PBT, poliamidi u elektronici, transportu i kućnim aparatima</w:t>
      </w:r>
      <w:r w:rsidR="00E001F7" w:rsidRPr="00C86111">
        <w:t>.</w:t>
      </w:r>
    </w:p>
    <w:p w14:paraId="4DB26664" w14:textId="101381EE" w:rsidR="00C23D65" w:rsidRPr="00C86111" w:rsidRDefault="00C23D65" w:rsidP="00C23D65">
      <w:pPr>
        <w:jc w:val="both"/>
      </w:pPr>
      <w:r w:rsidRPr="00C86111">
        <w:t xml:space="preserve">Tipične koncentracije </w:t>
      </w:r>
      <w:r w:rsidRPr="00C86111">
        <w:rPr>
          <w:rFonts w:asciiTheme="minorHAnsi" w:hAnsiTheme="minorHAnsi" w:cstheme="minorHAnsi"/>
          <w:color w:val="auto"/>
          <w:szCs w:val="24"/>
        </w:rPr>
        <w:t>u glavnim primjenama:</w:t>
      </w:r>
      <w:r w:rsidRPr="00C86111">
        <w:t xml:space="preserve"> 12–18% mase, ukupno oko 100.000 tona c-oktaBDE u ≈800.000 tona tretiranih polimera.</w:t>
      </w:r>
    </w:p>
    <w:p w14:paraId="500EFACB" w14:textId="77777777" w:rsidR="00C23D65" w:rsidRPr="00C86111" w:rsidRDefault="00C23D65" w:rsidP="00C23D65"/>
    <w:p w14:paraId="69B8303C" w14:textId="23F563E4"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Tabela </w:t>
      </w:r>
      <w:r w:rsidR="00E001F7" w:rsidRPr="00C86111">
        <w:rPr>
          <w:rFonts w:asciiTheme="minorHAnsi" w:hAnsiTheme="minorHAnsi" w:cstheme="minorHAnsi"/>
          <w:b/>
          <w:bCs/>
          <w:color w:val="auto"/>
          <w:szCs w:val="24"/>
        </w:rPr>
        <w:t>44</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Prijašnje upotrebe c-octaBDE u polimerima/materijalima, primjene i proizvodi (ESWI 2011)</w:t>
      </w:r>
    </w:p>
    <w:tbl>
      <w:tblPr>
        <w:tblStyle w:val="GridTable5Dark-Accent6"/>
        <w:tblW w:w="0" w:type="auto"/>
        <w:tblLook w:val="04A0" w:firstRow="1" w:lastRow="0" w:firstColumn="1" w:lastColumn="0" w:noHBand="0" w:noVBand="1"/>
      </w:tblPr>
      <w:tblGrid>
        <w:gridCol w:w="3116"/>
        <w:gridCol w:w="3117"/>
        <w:gridCol w:w="3117"/>
      </w:tblGrid>
      <w:tr w:rsidR="00C23D65" w:rsidRPr="00C86111" w14:paraId="5391B28F" w14:textId="77777777" w:rsidTr="00C23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bottom w:val="single" w:sz="4" w:space="0" w:color="FFFFFF" w:themeColor="background1"/>
            </w:tcBorders>
            <w:hideMark/>
          </w:tcPr>
          <w:p w14:paraId="5A1F5C9D"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Polimeri/materijali</w:t>
            </w:r>
          </w:p>
        </w:tc>
        <w:tc>
          <w:tcPr>
            <w:tcW w:w="3117" w:type="dxa"/>
            <w:tcBorders>
              <w:bottom w:val="single" w:sz="4" w:space="0" w:color="FFFFFF" w:themeColor="background1"/>
            </w:tcBorders>
            <w:hideMark/>
          </w:tcPr>
          <w:p w14:paraId="0030E5AE"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Primjena</w:t>
            </w:r>
          </w:p>
        </w:tc>
        <w:tc>
          <w:tcPr>
            <w:tcW w:w="3117" w:type="dxa"/>
            <w:tcBorders>
              <w:bottom w:val="single" w:sz="4" w:space="0" w:color="FFFFFF" w:themeColor="background1"/>
            </w:tcBorders>
            <w:hideMark/>
          </w:tcPr>
          <w:p w14:paraId="6EE7F43D"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Proizvodi</w:t>
            </w:r>
          </w:p>
        </w:tc>
      </w:tr>
      <w:tr w:rsidR="00C23D65" w:rsidRPr="00C86111" w14:paraId="647DA42D"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hideMark/>
          </w:tcPr>
          <w:p w14:paraId="177BFD7B"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Acrylonitrile-Butadiene-Styrene (ABS)</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B80FE2"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Polimerska kućišta/dijelovi u električnim i elektronskim uređajima</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2460D6B"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Kućišta računara i TV uređaja (CRT); kancelarijska oprema; ostala elektronika</w:t>
            </w:r>
          </w:p>
        </w:tc>
      </w:tr>
      <w:tr w:rsidR="00C23D65" w:rsidRPr="00C86111" w14:paraId="0345B8FC" w14:textId="77777777" w:rsidTr="00C23D65">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hideMark/>
          </w:tcPr>
          <w:p w14:paraId="4310382D"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High Impact Polystyrene (HIPS)</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047EA6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Polimerska kućišta/dijelovi u električnim i elektronskim uređajima</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1F8DD11"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Kućišta računara i TV uređaja (CRT); kancelarijska oprema</w:t>
            </w:r>
          </w:p>
        </w:tc>
      </w:tr>
      <w:tr w:rsidR="00C23D65" w:rsidRPr="00C86111" w14:paraId="0D252957"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tcPr>
          <w:p w14:paraId="24D64CED" w14:textId="77777777" w:rsidR="00C23D65" w:rsidRPr="00C86111" w:rsidRDefault="00C23D65">
            <w:pPr>
              <w:jc w:val="both"/>
              <w:rPr>
                <w:rFonts w:asciiTheme="minorHAnsi" w:hAnsiTheme="minorHAnsi" w:cstheme="minorHAnsi"/>
                <w:b w:val="0"/>
                <w:bCs w:val="0"/>
                <w:color w:val="auto"/>
                <w:sz w:val="20"/>
                <w:szCs w:val="20"/>
              </w:rPr>
            </w:pP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C51EE7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Hladno-otporni sloj</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E3688A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Frižider</w:t>
            </w:r>
          </w:p>
        </w:tc>
      </w:tr>
      <w:tr w:rsidR="00C23D65" w:rsidRPr="00C86111" w14:paraId="1B1F2589" w14:textId="77777777" w:rsidTr="00C23D65">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hideMark/>
          </w:tcPr>
          <w:p w14:paraId="65AFAAC5"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Polybutylene-Terephthalate (PBT)</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F37424D"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Polimerska kućišta</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5F74BAE"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Elektronski uređaji</w:t>
            </w:r>
          </w:p>
        </w:tc>
      </w:tr>
      <w:tr w:rsidR="00C23D65" w:rsidRPr="00C86111" w14:paraId="4EF74F35"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tcPr>
          <w:p w14:paraId="14EFABA6" w14:textId="77777777" w:rsidR="00C23D65" w:rsidRPr="00C86111" w:rsidRDefault="00C23D65">
            <w:pPr>
              <w:jc w:val="both"/>
              <w:rPr>
                <w:rFonts w:asciiTheme="minorHAnsi" w:hAnsiTheme="minorHAnsi" w:cstheme="minorHAnsi"/>
                <w:b w:val="0"/>
                <w:bCs w:val="0"/>
                <w:color w:val="auto"/>
                <w:sz w:val="20"/>
                <w:szCs w:val="20"/>
              </w:rPr>
            </w:pP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998BF9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Transport</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3FAFE3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Konektori u vozilima</w:t>
            </w:r>
          </w:p>
        </w:tc>
      </w:tr>
      <w:tr w:rsidR="00C23D65" w:rsidRPr="00C86111" w14:paraId="65C363B0" w14:textId="77777777" w:rsidTr="00C23D65">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tcPr>
          <w:p w14:paraId="00A68C2F" w14:textId="77777777" w:rsidR="00C23D65" w:rsidRPr="00C86111" w:rsidRDefault="00C23D65">
            <w:pPr>
              <w:jc w:val="both"/>
              <w:rPr>
                <w:rFonts w:asciiTheme="minorHAnsi" w:hAnsiTheme="minorHAnsi" w:cstheme="minorHAnsi"/>
                <w:b w:val="0"/>
                <w:bCs w:val="0"/>
                <w:color w:val="auto"/>
                <w:sz w:val="20"/>
                <w:szCs w:val="20"/>
              </w:rPr>
            </w:pP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05C9815"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Kućna primjena</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B43092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Pegle</w:t>
            </w:r>
          </w:p>
        </w:tc>
      </w:tr>
      <w:tr w:rsidR="00C23D65" w:rsidRPr="00C86111" w14:paraId="03CFE5F6"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bottom w:val="single" w:sz="4" w:space="0" w:color="FFFFFF" w:themeColor="background1"/>
              <w:right w:val="single" w:sz="4" w:space="0" w:color="FFFFFF" w:themeColor="background1"/>
            </w:tcBorders>
            <w:hideMark/>
          </w:tcPr>
          <w:p w14:paraId="13D44DC7"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Polyamide-polymers</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2B881EA"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Tekstil</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B5CD7CF"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Namještaj</w:t>
            </w:r>
          </w:p>
        </w:tc>
      </w:tr>
      <w:tr w:rsidR="00C23D65" w:rsidRPr="00C86111" w14:paraId="3097FFF9" w14:textId="77777777" w:rsidTr="00C23D65">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FFFFF" w:themeColor="background1"/>
              <w:right w:val="single" w:sz="4" w:space="0" w:color="FFFFFF" w:themeColor="background1"/>
            </w:tcBorders>
          </w:tcPr>
          <w:p w14:paraId="59B5C5F6" w14:textId="77777777" w:rsidR="00C23D65" w:rsidRPr="00C86111" w:rsidRDefault="00C23D65">
            <w:pPr>
              <w:jc w:val="both"/>
              <w:rPr>
                <w:rFonts w:asciiTheme="minorHAnsi" w:hAnsiTheme="minorHAnsi" w:cstheme="minorHAnsi"/>
                <w:b w:val="0"/>
                <w:bCs w:val="0"/>
                <w:color w:val="auto"/>
                <w:sz w:val="20"/>
                <w:szCs w:val="20"/>
              </w:rPr>
            </w:pP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D786607"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Građevinarstvo</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EEEF773"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Cijevi i plastične folije</w:t>
            </w:r>
          </w:p>
        </w:tc>
      </w:tr>
    </w:tbl>
    <w:p w14:paraId="5243BD69" w14:textId="77777777" w:rsidR="00C23D65" w:rsidRPr="00C86111" w:rsidRDefault="00C23D65" w:rsidP="00C23D65">
      <w:pPr>
        <w:jc w:val="both"/>
        <w:rPr>
          <w:rFonts w:asciiTheme="minorHAnsi" w:hAnsiTheme="minorHAnsi" w:cstheme="minorHAnsi"/>
          <w:b/>
          <w:bCs/>
          <w:color w:val="auto"/>
          <w:szCs w:val="24"/>
        </w:rPr>
      </w:pPr>
    </w:p>
    <w:p w14:paraId="259CFF37" w14:textId="77777777" w:rsidR="00C23D65" w:rsidRDefault="00C23D65" w:rsidP="00C23D65">
      <w:pPr>
        <w:jc w:val="both"/>
        <w:rPr>
          <w:rFonts w:asciiTheme="minorHAnsi" w:hAnsiTheme="minorHAnsi" w:cstheme="minorHAnsi"/>
          <w:b/>
          <w:bCs/>
          <w:color w:val="auto"/>
          <w:szCs w:val="24"/>
        </w:rPr>
      </w:pPr>
    </w:p>
    <w:p w14:paraId="74C58602" w14:textId="77777777" w:rsidR="00F562F0" w:rsidRPr="00C86111" w:rsidRDefault="00F562F0" w:rsidP="00C23D65">
      <w:pPr>
        <w:jc w:val="both"/>
        <w:rPr>
          <w:rFonts w:asciiTheme="minorHAnsi" w:hAnsiTheme="minorHAnsi" w:cstheme="minorHAnsi"/>
          <w:b/>
          <w:bCs/>
          <w:color w:val="auto"/>
          <w:szCs w:val="24"/>
        </w:rPr>
      </w:pPr>
    </w:p>
    <w:p w14:paraId="0BC649B4" w14:textId="4EA185F6" w:rsidR="00C23D65" w:rsidRPr="00C86111" w:rsidRDefault="00C23D65" w:rsidP="00C23D65">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lastRenderedPageBreak/>
        <w:t xml:space="preserve"> c-decaBDE</w:t>
      </w:r>
    </w:p>
    <w:p w14:paraId="510628B9" w14:textId="77777777" w:rsidR="00C23D65" w:rsidRPr="00C86111" w:rsidRDefault="00C23D65" w:rsidP="00C23D65">
      <w:pPr>
        <w:jc w:val="both"/>
        <w:rPr>
          <w:rFonts w:asciiTheme="minorHAnsi" w:hAnsiTheme="minorHAnsi" w:cstheme="minorHAnsi"/>
          <w:color w:val="auto"/>
          <w:szCs w:val="24"/>
        </w:rPr>
      </w:pPr>
    </w:p>
    <w:p w14:paraId="31DD6C46" w14:textId="29E6A4E6" w:rsidR="00C23D65" w:rsidRPr="00C86111" w:rsidRDefault="00C23D65" w:rsidP="00C23D65">
      <w:r w:rsidRPr="00C86111">
        <w:t xml:space="preserve">C-dekaBDE je najšire korišćeni PBDE. Glavne oblasti upotrebe su: električna i elektronska oprema, transport, građevinarstvo i tekstil (Tabela </w:t>
      </w:r>
      <w:r w:rsidR="00E001F7" w:rsidRPr="00C86111">
        <w:t>45</w:t>
      </w:r>
      <w:r w:rsidRPr="00C86111">
        <w:t>)</w:t>
      </w:r>
      <w:r w:rsidR="00E001F7" w:rsidRPr="00C86111">
        <w:t>.</w:t>
      </w:r>
      <w:r w:rsidRPr="00C86111">
        <w:rPr>
          <w:rFonts w:asciiTheme="minorHAnsi" w:hAnsiTheme="minorHAnsi" w:cstheme="minorHAnsi"/>
          <w:color w:val="auto"/>
          <w:szCs w:val="24"/>
        </w:rPr>
        <w:t>U EU tokom 1990-ih i 2000-ih, do 90% uvoza se odnosilo na EEE</w:t>
      </w:r>
      <w:r w:rsidRPr="00C86111">
        <w:t>.U SAD 2010.: transport 26%, građevinarstvo 26%, tekstil 26%, EEE 13%, ostalo 9%.</w:t>
      </w:r>
    </w:p>
    <w:p w14:paraId="168F93CC" w14:textId="77777777" w:rsidR="00C23D65" w:rsidRPr="00C86111" w:rsidRDefault="00C23D65" w:rsidP="00C23D65">
      <w:pPr>
        <w:jc w:val="both"/>
        <w:rPr>
          <w:rFonts w:asciiTheme="minorHAnsi" w:hAnsiTheme="minorHAnsi" w:cstheme="minorHAnsi"/>
          <w:b/>
          <w:bCs/>
          <w:color w:val="auto"/>
          <w:szCs w:val="24"/>
        </w:rPr>
      </w:pPr>
    </w:p>
    <w:p w14:paraId="1D25AED6" w14:textId="63F50A50"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Tabela </w:t>
      </w:r>
      <w:r w:rsidR="00E001F7" w:rsidRPr="00C86111">
        <w:rPr>
          <w:rFonts w:asciiTheme="minorHAnsi" w:hAnsiTheme="minorHAnsi" w:cstheme="minorHAnsi"/>
          <w:b/>
          <w:bCs/>
          <w:color w:val="auto"/>
          <w:szCs w:val="24"/>
        </w:rPr>
        <w:t>45</w:t>
      </w:r>
      <w:r w:rsidRPr="00C86111">
        <w:rPr>
          <w:rFonts w:asciiTheme="minorHAnsi" w:hAnsiTheme="minorHAnsi" w:cstheme="minorHAnsi"/>
          <w:b/>
          <w:bCs/>
          <w:color w:val="auto"/>
          <w:szCs w:val="24"/>
        </w:rPr>
        <w:t xml:space="preserve">: </w:t>
      </w:r>
      <w:r w:rsidR="00E001F7" w:rsidRPr="00C86111">
        <w:rPr>
          <w:rFonts w:asciiTheme="minorHAnsi" w:hAnsiTheme="minorHAnsi" w:cstheme="minorHAnsi"/>
          <w:color w:val="auto"/>
          <w:szCs w:val="24"/>
        </w:rPr>
        <w:t>P</w:t>
      </w:r>
      <w:r w:rsidRPr="00C86111">
        <w:rPr>
          <w:rFonts w:asciiTheme="minorHAnsi" w:hAnsiTheme="minorHAnsi" w:cstheme="minorHAnsi"/>
          <w:color w:val="auto"/>
          <w:szCs w:val="24"/>
        </w:rPr>
        <w:t>regled sektora/industrija u kojima se koristi/decaBDE, identifikovane krajnje upotrebe i primjene</w:t>
      </w:r>
    </w:p>
    <w:tbl>
      <w:tblPr>
        <w:tblStyle w:val="GridTable5Dark-Accent6"/>
        <w:tblW w:w="0" w:type="auto"/>
        <w:tblLook w:val="04A0" w:firstRow="1" w:lastRow="0" w:firstColumn="1" w:lastColumn="0" w:noHBand="0" w:noVBand="1"/>
      </w:tblPr>
      <w:tblGrid>
        <w:gridCol w:w="2065"/>
        <w:gridCol w:w="2430"/>
        <w:gridCol w:w="4855"/>
      </w:tblGrid>
      <w:tr w:rsidR="00C23D65" w:rsidRPr="00C86111" w14:paraId="63EABB10" w14:textId="77777777" w:rsidTr="00C23D6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65" w:type="dxa"/>
            <w:tcBorders>
              <w:bottom w:val="single" w:sz="4" w:space="0" w:color="FFFFFF" w:themeColor="background1"/>
            </w:tcBorders>
            <w:hideMark/>
          </w:tcPr>
          <w:p w14:paraId="26FE355E"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Sektor/industrija</w:t>
            </w:r>
          </w:p>
        </w:tc>
        <w:tc>
          <w:tcPr>
            <w:tcW w:w="2430" w:type="dxa"/>
            <w:tcBorders>
              <w:bottom w:val="single" w:sz="4" w:space="0" w:color="FFFFFF" w:themeColor="background1"/>
            </w:tcBorders>
            <w:hideMark/>
          </w:tcPr>
          <w:p w14:paraId="0152309E"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Primjena</w:t>
            </w:r>
          </w:p>
        </w:tc>
        <w:tc>
          <w:tcPr>
            <w:tcW w:w="4855" w:type="dxa"/>
            <w:tcBorders>
              <w:bottom w:val="single" w:sz="4" w:space="0" w:color="FFFFFF" w:themeColor="background1"/>
            </w:tcBorders>
            <w:hideMark/>
          </w:tcPr>
          <w:p w14:paraId="491FCC3A"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Krajnja upotreba</w:t>
            </w:r>
          </w:p>
        </w:tc>
      </w:tr>
      <w:tr w:rsidR="00C23D65" w:rsidRPr="00C86111" w14:paraId="55245BD1"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FFFFFF" w:themeColor="background1"/>
              <w:bottom w:val="single" w:sz="4" w:space="0" w:color="FFFFFF" w:themeColor="background1"/>
              <w:right w:val="single" w:sz="4" w:space="0" w:color="FFFFFF" w:themeColor="background1"/>
            </w:tcBorders>
            <w:hideMark/>
          </w:tcPr>
          <w:p w14:paraId="3F1752FE"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Električna i elektronska industrija</w:t>
            </w:r>
          </w:p>
        </w:tc>
        <w:tc>
          <w:tcPr>
            <w:tcW w:w="24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CD7AF9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Električni i elektronski uređaji (EEE)</w:t>
            </w:r>
          </w:p>
        </w:tc>
        <w:tc>
          <w:tcPr>
            <w:tcW w:w="4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97915F7" w14:textId="77777777" w:rsidR="00C23D65" w:rsidRPr="00C86111" w:rsidRDefault="00C23D6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Kućišta i unutrašnji dijelovi televizora</w:t>
            </w:r>
            <w:r w:rsidRPr="00C86111">
              <w:rPr>
                <w:rFonts w:asciiTheme="minorHAnsi" w:hAnsiTheme="minorHAnsi" w:cstheme="minorHAnsi"/>
                <w:color w:val="auto"/>
                <w:sz w:val="20"/>
                <w:szCs w:val="20"/>
              </w:rPr>
              <w:br/>
              <w:t>Mobilni telefoni i faks mašine</w:t>
            </w:r>
            <w:r w:rsidRPr="00C86111">
              <w:rPr>
                <w:rFonts w:asciiTheme="minorHAnsi" w:hAnsiTheme="minorHAnsi" w:cstheme="minorHAnsi"/>
                <w:color w:val="auto"/>
                <w:sz w:val="20"/>
                <w:szCs w:val="20"/>
              </w:rPr>
              <w:br/>
              <w:t>Audio i video oprema; daljinski upravljači</w:t>
            </w:r>
            <w:r w:rsidRPr="00C86111">
              <w:rPr>
                <w:rFonts w:asciiTheme="minorHAnsi" w:hAnsiTheme="minorHAnsi" w:cstheme="minorHAnsi"/>
                <w:color w:val="auto"/>
                <w:sz w:val="20"/>
                <w:szCs w:val="20"/>
              </w:rPr>
              <w:br/>
              <w:t>Komunikacioni i instalacioni kablovi</w:t>
            </w:r>
            <w:r w:rsidRPr="00C86111">
              <w:rPr>
                <w:rFonts w:asciiTheme="minorHAnsi" w:hAnsiTheme="minorHAnsi" w:cstheme="minorHAnsi"/>
                <w:color w:val="auto"/>
                <w:sz w:val="20"/>
                <w:szCs w:val="20"/>
              </w:rPr>
              <w:br/>
              <w:t>Žice i kablovi, npr. termokontrolisane cijevi</w:t>
            </w:r>
            <w:r w:rsidRPr="00C86111">
              <w:rPr>
                <w:rFonts w:asciiTheme="minorHAnsi" w:hAnsiTheme="minorHAnsi" w:cstheme="minorHAnsi"/>
                <w:color w:val="auto"/>
                <w:sz w:val="20"/>
                <w:szCs w:val="20"/>
              </w:rPr>
              <w:br/>
              <w:t>Konektori u EEE opremi</w:t>
            </w:r>
            <w:r w:rsidRPr="00C86111">
              <w:rPr>
                <w:rFonts w:asciiTheme="minorHAnsi" w:hAnsiTheme="minorHAnsi" w:cstheme="minorHAnsi"/>
                <w:color w:val="auto"/>
                <w:sz w:val="20"/>
                <w:szCs w:val="20"/>
              </w:rPr>
              <w:br/>
              <w:t>Prekidači; namotaji kalema</w:t>
            </w:r>
            <w:r w:rsidRPr="00C86111">
              <w:rPr>
                <w:rFonts w:asciiTheme="minorHAnsi" w:hAnsiTheme="minorHAnsi" w:cstheme="minorHAnsi"/>
                <w:color w:val="auto"/>
                <w:sz w:val="20"/>
                <w:szCs w:val="20"/>
              </w:rPr>
              <w:br/>
              <w:t>Komponente štampača i fotokopir aparata – toner</w:t>
            </w:r>
            <w:r w:rsidRPr="00C86111">
              <w:rPr>
                <w:rFonts w:asciiTheme="minorHAnsi" w:hAnsiTheme="minorHAnsi" w:cstheme="minorHAnsi"/>
                <w:color w:val="auto"/>
                <w:sz w:val="20"/>
                <w:szCs w:val="20"/>
              </w:rPr>
              <w:br/>
              <w:t>Kartuše i konektori</w:t>
            </w:r>
            <w:r w:rsidRPr="00C86111">
              <w:rPr>
                <w:rFonts w:asciiTheme="minorHAnsi" w:hAnsiTheme="minorHAnsi" w:cstheme="minorHAnsi"/>
                <w:color w:val="auto"/>
                <w:sz w:val="20"/>
                <w:szCs w:val="20"/>
              </w:rPr>
              <w:br/>
              <w:t>Komponente skenera</w:t>
            </w:r>
          </w:p>
          <w:p w14:paraId="354C8F5B" w14:textId="77777777" w:rsidR="00C23D65" w:rsidRPr="00C86111" w:rsidRDefault="00C23D6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Grijači ventilatori i fenovi za kosu</w:t>
            </w:r>
          </w:p>
        </w:tc>
      </w:tr>
      <w:tr w:rsidR="00C23D65" w:rsidRPr="00C86111" w14:paraId="5B7A9C73" w14:textId="77777777" w:rsidTr="00C23D65">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FFFFFF" w:themeColor="background1"/>
              <w:bottom w:val="single" w:sz="4" w:space="0" w:color="FFFFFF" w:themeColor="background1"/>
              <w:right w:val="single" w:sz="4" w:space="0" w:color="FFFFFF" w:themeColor="background1"/>
            </w:tcBorders>
            <w:hideMark/>
          </w:tcPr>
          <w:p w14:paraId="6EE33EE2"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Privatni i javni transport</w:t>
            </w:r>
          </w:p>
        </w:tc>
        <w:tc>
          <w:tcPr>
            <w:tcW w:w="24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EF05BC4"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Automobili / javni prevoz</w:t>
            </w:r>
          </w:p>
        </w:tc>
        <w:tc>
          <w:tcPr>
            <w:tcW w:w="4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5FD24D4" w14:textId="77777777" w:rsidR="00C23D65" w:rsidRPr="00C86111" w:rsidRDefault="00C23D6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Tkanine (pozadinsko presvlačenje artikala)</w:t>
            </w:r>
            <w:r w:rsidRPr="00C86111">
              <w:rPr>
                <w:rFonts w:asciiTheme="minorHAnsi" w:hAnsiTheme="minorHAnsi" w:cstheme="minorHAnsi"/>
                <w:color w:val="auto"/>
                <w:sz w:val="20"/>
                <w:szCs w:val="20"/>
              </w:rPr>
              <w:br/>
              <w:t>Ojačana plastika</w:t>
            </w:r>
            <w:r w:rsidRPr="00C86111">
              <w:rPr>
                <w:rFonts w:asciiTheme="minorHAnsi" w:hAnsiTheme="minorHAnsi" w:cstheme="minorHAnsi"/>
                <w:color w:val="auto"/>
                <w:sz w:val="20"/>
                <w:szCs w:val="20"/>
              </w:rPr>
              <w:br/>
              <w:t>Polimeri ispod haube ili instrument table</w:t>
            </w:r>
            <w:r w:rsidRPr="00C86111">
              <w:rPr>
                <w:rFonts w:asciiTheme="minorHAnsi" w:hAnsiTheme="minorHAnsi" w:cstheme="minorHAnsi"/>
                <w:color w:val="auto"/>
                <w:sz w:val="20"/>
                <w:szCs w:val="20"/>
              </w:rPr>
              <w:br/>
              <w:t>Terminali / osigurački blokovi</w:t>
            </w:r>
            <w:r w:rsidRPr="00C86111">
              <w:rPr>
                <w:rFonts w:asciiTheme="minorHAnsi" w:hAnsiTheme="minorHAnsi" w:cstheme="minorHAnsi"/>
                <w:color w:val="auto"/>
                <w:sz w:val="20"/>
                <w:szCs w:val="20"/>
              </w:rPr>
              <w:br/>
              <w:t>Žice i kablovi većeg amperža (npr. kablovi za svjećice)</w:t>
            </w:r>
            <w:r w:rsidRPr="00C86111">
              <w:rPr>
                <w:rFonts w:asciiTheme="minorHAnsi" w:hAnsiTheme="minorHAnsi" w:cstheme="minorHAnsi"/>
                <w:color w:val="auto"/>
                <w:sz w:val="20"/>
                <w:szCs w:val="20"/>
              </w:rPr>
              <w:br/>
              <w:t>Električni i elektronski uređaji</w:t>
            </w:r>
          </w:p>
        </w:tc>
      </w:tr>
      <w:tr w:rsidR="00C23D65" w:rsidRPr="00C86111" w14:paraId="45B638BA"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FFFFFF" w:themeColor="background1"/>
              <w:bottom w:val="single" w:sz="4" w:space="0" w:color="FFFFFF" w:themeColor="background1"/>
              <w:right w:val="single" w:sz="4" w:space="0" w:color="FFFFFF" w:themeColor="background1"/>
            </w:tcBorders>
            <w:hideMark/>
          </w:tcPr>
          <w:p w14:paraId="09D0D3E7"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Pomorski, avionski i aeronautički sektor</w:t>
            </w:r>
          </w:p>
        </w:tc>
        <w:tc>
          <w:tcPr>
            <w:tcW w:w="24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B5DFC84"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Brodovi, čamci, avioni, svemirske letjelice, rakete</w:t>
            </w:r>
          </w:p>
        </w:tc>
        <w:tc>
          <w:tcPr>
            <w:tcW w:w="4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FAD2540" w14:textId="77777777" w:rsidR="00C23D65" w:rsidRPr="00C86111" w:rsidRDefault="00C23D6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Električne instalacije i kablovi</w:t>
            </w:r>
            <w:r w:rsidRPr="00C86111">
              <w:rPr>
                <w:rFonts w:asciiTheme="minorHAnsi" w:hAnsiTheme="minorHAnsi" w:cstheme="minorHAnsi"/>
                <w:color w:val="auto"/>
                <w:sz w:val="20"/>
                <w:szCs w:val="20"/>
              </w:rPr>
              <w:br/>
              <w:t>Električni i elektronski uređaji (kao gore)</w:t>
            </w:r>
            <w:r w:rsidRPr="00C86111">
              <w:rPr>
                <w:rFonts w:asciiTheme="minorHAnsi" w:hAnsiTheme="minorHAnsi" w:cstheme="minorHAnsi"/>
                <w:color w:val="auto"/>
                <w:sz w:val="20"/>
                <w:szCs w:val="20"/>
              </w:rPr>
              <w:br/>
              <w:t>Vazdušni kanali za ventilacione sisteme</w:t>
            </w:r>
            <w:r w:rsidRPr="00C86111">
              <w:rPr>
                <w:rFonts w:asciiTheme="minorHAnsi" w:hAnsiTheme="minorHAnsi" w:cstheme="minorHAnsi"/>
                <w:color w:val="auto"/>
                <w:sz w:val="20"/>
                <w:szCs w:val="20"/>
              </w:rPr>
              <w:br/>
              <w:t>Električni kanali i priključci</w:t>
            </w:r>
            <w:r w:rsidRPr="00C86111">
              <w:rPr>
                <w:rFonts w:asciiTheme="minorHAnsi" w:hAnsiTheme="minorHAnsi" w:cstheme="minorHAnsi"/>
                <w:color w:val="auto"/>
                <w:sz w:val="20"/>
                <w:szCs w:val="20"/>
              </w:rPr>
              <w:br/>
              <w:t>Prekidači i konektori</w:t>
            </w:r>
            <w:r w:rsidRPr="00C86111">
              <w:rPr>
                <w:rFonts w:asciiTheme="minorHAnsi" w:hAnsiTheme="minorHAnsi" w:cstheme="minorHAnsi"/>
                <w:color w:val="auto"/>
                <w:sz w:val="20"/>
                <w:szCs w:val="20"/>
              </w:rPr>
              <w:br/>
              <w:t>Ljepljive trake</w:t>
            </w:r>
          </w:p>
          <w:p w14:paraId="407AE529" w14:textId="77777777" w:rsidR="00C23D65" w:rsidRPr="00C86111" w:rsidRDefault="00C23D6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Kompozitni materijali, npr. epoksi</w:t>
            </w:r>
          </w:p>
        </w:tc>
      </w:tr>
      <w:tr w:rsidR="00C23D65" w:rsidRPr="00C86111" w14:paraId="682DBF55" w14:textId="77777777" w:rsidTr="00C23D65">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FFFFFF" w:themeColor="background1"/>
              <w:bottom w:val="single" w:sz="4" w:space="0" w:color="FFFFFF" w:themeColor="background1"/>
              <w:right w:val="single" w:sz="4" w:space="0" w:color="FFFFFF" w:themeColor="background1"/>
            </w:tcBorders>
            <w:hideMark/>
          </w:tcPr>
          <w:p w14:paraId="7AAB0172"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Tekstil i namještaj</w:t>
            </w:r>
          </w:p>
        </w:tc>
        <w:tc>
          <w:tcPr>
            <w:tcW w:w="24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63765E"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Tekstil i namještaj</w:t>
            </w:r>
          </w:p>
        </w:tc>
        <w:tc>
          <w:tcPr>
            <w:tcW w:w="4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BC0A2AE" w14:textId="77777777" w:rsidR="00C23D65" w:rsidRPr="00C86111" w:rsidRDefault="00C23D6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Automobilski tekstil</w:t>
            </w:r>
            <w:r w:rsidRPr="00C86111">
              <w:rPr>
                <w:rFonts w:asciiTheme="minorHAnsi" w:hAnsiTheme="minorHAnsi" w:cstheme="minorHAnsi"/>
                <w:color w:val="auto"/>
                <w:sz w:val="20"/>
                <w:szCs w:val="20"/>
              </w:rPr>
              <w:br/>
              <w:t>Tekstil za tapaciranje, npr. sofa, kancelarijske stolice, dušeci</w:t>
            </w:r>
            <w:r w:rsidRPr="00C86111">
              <w:rPr>
                <w:rFonts w:asciiTheme="minorHAnsi" w:hAnsiTheme="minorHAnsi" w:cstheme="minorHAnsi"/>
                <w:color w:val="auto"/>
                <w:sz w:val="20"/>
                <w:szCs w:val="20"/>
              </w:rPr>
              <w:br/>
              <w:t>Filteri za šporete</w:t>
            </w:r>
            <w:r w:rsidRPr="00C86111">
              <w:rPr>
                <w:rFonts w:asciiTheme="minorHAnsi" w:hAnsiTheme="minorHAnsi" w:cstheme="minorHAnsi"/>
                <w:color w:val="auto"/>
                <w:sz w:val="20"/>
                <w:szCs w:val="20"/>
              </w:rPr>
              <w:br/>
              <w:t>Roletne, zavjese, blackout zavjese</w:t>
            </w:r>
            <w:r w:rsidRPr="00C86111">
              <w:rPr>
                <w:rFonts w:asciiTheme="minorHAnsi" w:hAnsiTheme="minorHAnsi" w:cstheme="minorHAnsi"/>
                <w:color w:val="auto"/>
                <w:sz w:val="20"/>
                <w:szCs w:val="20"/>
              </w:rPr>
              <w:br/>
              <w:t>Geotekstil, zidne obloge</w:t>
            </w:r>
            <w:r w:rsidRPr="00C86111">
              <w:rPr>
                <w:rFonts w:asciiTheme="minorHAnsi" w:hAnsiTheme="minorHAnsi" w:cstheme="minorHAnsi"/>
                <w:color w:val="auto"/>
                <w:sz w:val="20"/>
                <w:szCs w:val="20"/>
              </w:rPr>
              <w:br/>
              <w:t>Kućni i namještajni aparati</w:t>
            </w:r>
            <w:r w:rsidRPr="00C86111">
              <w:rPr>
                <w:rFonts w:asciiTheme="minorHAnsi" w:hAnsiTheme="minorHAnsi" w:cstheme="minorHAnsi"/>
                <w:color w:val="auto"/>
                <w:sz w:val="20"/>
                <w:szCs w:val="20"/>
              </w:rPr>
              <w:br/>
              <w:t>PU fleksibilna pjena</w:t>
            </w:r>
            <w:r w:rsidRPr="00C86111">
              <w:rPr>
                <w:rFonts w:asciiTheme="minorHAnsi" w:hAnsiTheme="minorHAnsi" w:cstheme="minorHAnsi"/>
                <w:color w:val="auto"/>
                <w:sz w:val="20"/>
                <w:szCs w:val="20"/>
              </w:rPr>
              <w:br/>
              <w:t>Šatori i cerade</w:t>
            </w:r>
            <w:r w:rsidRPr="00C86111">
              <w:rPr>
                <w:rFonts w:asciiTheme="minorHAnsi" w:hAnsiTheme="minorHAnsi" w:cstheme="minorHAnsi"/>
                <w:color w:val="auto"/>
                <w:sz w:val="20"/>
                <w:szCs w:val="20"/>
              </w:rPr>
              <w:br/>
              <w:t>Podloške, ispune od pjene</w:t>
            </w:r>
            <w:r w:rsidRPr="00C86111">
              <w:rPr>
                <w:rFonts w:asciiTheme="minorHAnsi" w:hAnsiTheme="minorHAnsi" w:cstheme="minorHAnsi"/>
                <w:color w:val="auto"/>
                <w:sz w:val="20"/>
                <w:szCs w:val="20"/>
              </w:rPr>
              <w:br/>
              <w:t>Tepisi</w:t>
            </w:r>
            <w:r w:rsidRPr="00C86111">
              <w:rPr>
                <w:rFonts w:asciiTheme="minorHAnsi" w:hAnsiTheme="minorHAnsi" w:cstheme="minorHAnsi"/>
                <w:color w:val="auto"/>
                <w:sz w:val="20"/>
                <w:szCs w:val="20"/>
              </w:rPr>
              <w:br/>
              <w:t>Ostalo</w:t>
            </w:r>
          </w:p>
        </w:tc>
      </w:tr>
      <w:tr w:rsidR="00C23D65" w:rsidRPr="00C86111" w14:paraId="0E33644F"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FFFFFF" w:themeColor="background1"/>
              <w:right w:val="single" w:sz="4" w:space="0" w:color="FFFFFF" w:themeColor="background1"/>
            </w:tcBorders>
            <w:hideMark/>
          </w:tcPr>
          <w:p w14:paraId="3E11FCB7"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Građevinarstvo / zgrade</w:t>
            </w:r>
          </w:p>
        </w:tc>
        <w:tc>
          <w:tcPr>
            <w:tcW w:w="24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318D45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w:t>
            </w:r>
          </w:p>
        </w:tc>
        <w:tc>
          <w:tcPr>
            <w:tcW w:w="4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A9701F7" w14:textId="77777777" w:rsidR="00C23D65" w:rsidRPr="00C86111" w:rsidRDefault="00C23D6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Izolacija (PUR i ranije XPS pjene)</w:t>
            </w:r>
            <w:r w:rsidRPr="00C86111">
              <w:rPr>
                <w:rFonts w:asciiTheme="minorHAnsi" w:hAnsiTheme="minorHAnsi" w:cstheme="minorHAnsi"/>
                <w:color w:val="auto"/>
                <w:sz w:val="20"/>
                <w:szCs w:val="20"/>
              </w:rPr>
              <w:br/>
              <w:t>Laminati za zaštitu panela izolacije</w:t>
            </w:r>
            <w:r w:rsidRPr="00C86111">
              <w:rPr>
                <w:rFonts w:asciiTheme="minorHAnsi" w:hAnsiTheme="minorHAnsi" w:cstheme="minorHAnsi"/>
                <w:color w:val="auto"/>
                <w:sz w:val="20"/>
                <w:szCs w:val="20"/>
              </w:rPr>
              <w:br/>
              <w:t>Obložni paneli</w:t>
            </w:r>
            <w:r w:rsidRPr="00C86111">
              <w:rPr>
                <w:rFonts w:asciiTheme="minorHAnsi" w:hAnsiTheme="minorHAnsi" w:cstheme="minorHAnsi"/>
                <w:color w:val="auto"/>
                <w:sz w:val="20"/>
                <w:szCs w:val="20"/>
              </w:rPr>
              <w:br/>
              <w:t xml:space="preserve">Folije za upotrebu ispod krova i zaštitu građevinskih </w:t>
            </w:r>
            <w:r w:rsidRPr="00C86111">
              <w:rPr>
                <w:rFonts w:asciiTheme="minorHAnsi" w:hAnsiTheme="minorHAnsi" w:cstheme="minorHAnsi"/>
                <w:color w:val="auto"/>
                <w:sz w:val="20"/>
                <w:szCs w:val="20"/>
              </w:rPr>
              <w:lastRenderedPageBreak/>
              <w:t>područja</w:t>
            </w:r>
            <w:r w:rsidRPr="00C86111">
              <w:rPr>
                <w:rFonts w:asciiTheme="minorHAnsi" w:hAnsiTheme="minorHAnsi" w:cstheme="minorHAnsi"/>
                <w:color w:val="auto"/>
                <w:sz w:val="20"/>
                <w:szCs w:val="20"/>
              </w:rPr>
              <w:br/>
              <w:t>Kablovi i električni kanali i priključci</w:t>
            </w:r>
            <w:r w:rsidRPr="00C86111">
              <w:rPr>
                <w:rFonts w:asciiTheme="minorHAnsi" w:hAnsiTheme="minorHAnsi" w:cstheme="minorHAnsi"/>
                <w:color w:val="auto"/>
                <w:sz w:val="20"/>
                <w:szCs w:val="20"/>
              </w:rPr>
              <w:br/>
              <w:t>Izolacija cijevi i cijevi</w:t>
            </w:r>
          </w:p>
        </w:tc>
      </w:tr>
    </w:tbl>
    <w:p w14:paraId="649BDCAD" w14:textId="77777777" w:rsidR="00C23D65" w:rsidRPr="00C86111" w:rsidRDefault="00C23D65" w:rsidP="00C23D65"/>
    <w:p w14:paraId="3FA78F24" w14:textId="77777777" w:rsidR="00C23D65" w:rsidRPr="00C86111" w:rsidRDefault="00C23D65" w:rsidP="00EA6904">
      <w:pPr>
        <w:pStyle w:val="Heading3"/>
      </w:pPr>
      <w:bookmarkStart w:id="86" w:name="_Toc220541887"/>
      <w:r w:rsidRPr="00C86111">
        <w:t>Upotreba HBB-a</w:t>
      </w:r>
      <w:bookmarkEnd w:id="86"/>
    </w:p>
    <w:p w14:paraId="1A2B2E2D" w14:textId="77777777" w:rsidR="00C23D65" w:rsidRPr="00C86111" w:rsidRDefault="00C23D65" w:rsidP="00C23D65"/>
    <w:p w14:paraId="059727FA"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Heksabromodifenil (HBB) je naveden u Aneksu A, bez izuzetaka, i predstavlja industrijsku hemikaliju koja se koristila kao aditiv za usporavanje gorenja, s vršnom upotrebom tokom 1970-ih godina.</w:t>
      </w:r>
    </w:p>
    <w:p w14:paraId="12E55B12" w14:textId="6DEBBCE0"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HBB se koristio kao usporivač gorenja u tri glavna komercijalna proizvoda:</w:t>
      </w:r>
    </w:p>
    <w:p w14:paraId="03E36C54" w14:textId="7B7FC1AC"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ABS termoplastici (plastika za izradu kućišta poslovnih mašina i u industrijskom sektoru, npr. kućišta motora, i u elektronskom sektoru, npr. dijelovi radija i televizora);</w:t>
      </w:r>
      <w:r w:rsidRPr="00C86111">
        <w:rPr>
          <w:rFonts w:asciiTheme="minorHAnsi" w:hAnsiTheme="minorHAnsi" w:cstheme="minorHAnsi"/>
          <w:color w:val="auto"/>
          <w:szCs w:val="24"/>
        </w:rPr>
        <w:br/>
        <w:t>• PUR pjen</w:t>
      </w:r>
      <w:r w:rsidR="00E001F7" w:rsidRPr="00C86111">
        <w:rPr>
          <w:rFonts w:asciiTheme="minorHAnsi" w:hAnsiTheme="minorHAnsi" w:cstheme="minorHAnsi"/>
          <w:color w:val="auto"/>
          <w:szCs w:val="24"/>
        </w:rPr>
        <w:t>i</w:t>
      </w:r>
      <w:r w:rsidRPr="00C86111">
        <w:rPr>
          <w:rFonts w:asciiTheme="minorHAnsi" w:hAnsiTheme="minorHAnsi" w:cstheme="minorHAnsi"/>
          <w:color w:val="auto"/>
          <w:szCs w:val="24"/>
        </w:rPr>
        <w:t xml:space="preserve"> za automobilsku tapacirung;</w:t>
      </w:r>
    </w:p>
    <w:p w14:paraId="46BF7B20" w14:textId="2926F0C9"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Pre</w:t>
      </w:r>
      <w:r w:rsidR="00E001F7" w:rsidRPr="00C86111">
        <w:rPr>
          <w:rFonts w:asciiTheme="minorHAnsi" w:hAnsiTheme="minorHAnsi" w:cstheme="minorHAnsi"/>
          <w:color w:val="auto"/>
          <w:szCs w:val="24"/>
        </w:rPr>
        <w:t>m</w:t>
      </w:r>
      <w:r w:rsidRPr="00C86111">
        <w:rPr>
          <w:rFonts w:asciiTheme="minorHAnsi" w:hAnsiTheme="minorHAnsi" w:cstheme="minorHAnsi"/>
          <w:color w:val="auto"/>
          <w:szCs w:val="24"/>
        </w:rPr>
        <w:t>azi</w:t>
      </w:r>
      <w:r w:rsidR="00E001F7" w:rsidRPr="00C86111">
        <w:rPr>
          <w:rFonts w:asciiTheme="minorHAnsi" w:hAnsiTheme="minorHAnsi" w:cstheme="minorHAnsi"/>
          <w:color w:val="auto"/>
          <w:szCs w:val="24"/>
        </w:rPr>
        <w:t>ma</w:t>
      </w:r>
      <w:r w:rsidRPr="00C86111">
        <w:rPr>
          <w:rFonts w:asciiTheme="minorHAnsi" w:hAnsiTheme="minorHAnsi" w:cstheme="minorHAnsi"/>
          <w:color w:val="auto"/>
          <w:szCs w:val="24"/>
        </w:rPr>
        <w:t xml:space="preserve"> i lakovi</w:t>
      </w:r>
      <w:r w:rsidR="00E001F7" w:rsidRPr="00C86111">
        <w:rPr>
          <w:rFonts w:asciiTheme="minorHAnsi" w:hAnsiTheme="minorHAnsi" w:cstheme="minorHAnsi"/>
          <w:color w:val="auto"/>
          <w:szCs w:val="24"/>
        </w:rPr>
        <w:t>ma</w:t>
      </w:r>
      <w:r w:rsidRPr="00C86111">
        <w:rPr>
          <w:rFonts w:asciiTheme="minorHAnsi" w:hAnsiTheme="minorHAnsi" w:cstheme="minorHAnsi"/>
          <w:color w:val="auto"/>
          <w:szCs w:val="24"/>
        </w:rPr>
        <w:t>.</w:t>
      </w:r>
    </w:p>
    <w:p w14:paraId="52B9DC29" w14:textId="77777777" w:rsidR="00C23D65" w:rsidRPr="00C86111" w:rsidRDefault="00C23D65" w:rsidP="00EA6904">
      <w:pPr>
        <w:pStyle w:val="Heading3"/>
      </w:pPr>
      <w:bookmarkStart w:id="87" w:name="_Toc220541888"/>
      <w:r w:rsidRPr="00C86111">
        <w:t>Proizvodnja PBDE-a</w:t>
      </w:r>
      <w:bookmarkEnd w:id="87"/>
    </w:p>
    <w:p w14:paraId="3F3FE890" w14:textId="77777777" w:rsidR="00C23D65" w:rsidRPr="00C86111" w:rsidRDefault="00C23D65" w:rsidP="00C23D65"/>
    <w:p w14:paraId="103C308F" w14:textId="018CB8AD"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Komercijalne smjese PBDE-a (c-pentaBDE, c-oktaBDE i c-dekaBDE) proizvodile su se u više industrijskih zemalja.</w:t>
      </w:r>
      <w:r w:rsidR="002C477F" w:rsidRPr="00C86111">
        <w:rPr>
          <w:rFonts w:asciiTheme="minorHAnsi" w:hAnsiTheme="minorHAnsi" w:cstheme="minorHAnsi"/>
          <w:color w:val="auto"/>
          <w:szCs w:val="24"/>
        </w:rPr>
        <w:t xml:space="preserve"> </w:t>
      </w:r>
      <w:r w:rsidRPr="00C86111">
        <w:rPr>
          <w:rFonts w:asciiTheme="minorHAnsi" w:hAnsiTheme="minorHAnsi" w:cstheme="minorHAnsi"/>
          <w:b/>
          <w:bCs/>
          <w:color w:val="auto"/>
          <w:szCs w:val="24"/>
        </w:rPr>
        <w:t>C-pentaBDE</w:t>
      </w:r>
      <w:r w:rsidRPr="00C86111">
        <w:rPr>
          <w:rFonts w:asciiTheme="minorHAnsi" w:hAnsiTheme="minorHAnsi" w:cstheme="minorHAnsi"/>
          <w:color w:val="auto"/>
          <w:szCs w:val="24"/>
        </w:rPr>
        <w:t xml:space="preserve"> se proizvodio u Kini, Evropskoj uniji, Izraelu, Japanu i Sjedinjenim Američkim Državama. Proizvodnja u EU prestala je 1997. godine, a od kraja 1990-ih uglavnom se odvijala u SAD-u i u manjoj mjeri u Kini. Globalna proizvodnja prestala je 2004. godine.</w:t>
      </w:r>
      <w:r w:rsidR="002C477F" w:rsidRPr="00C86111">
        <w:rPr>
          <w:rFonts w:asciiTheme="minorHAnsi" w:hAnsiTheme="minorHAnsi" w:cstheme="minorHAnsi"/>
          <w:color w:val="auto"/>
          <w:szCs w:val="24"/>
        </w:rPr>
        <w:t xml:space="preserve"> </w:t>
      </w:r>
      <w:r w:rsidRPr="00C86111">
        <w:rPr>
          <w:rFonts w:asciiTheme="minorHAnsi" w:hAnsiTheme="minorHAnsi" w:cstheme="minorHAnsi"/>
          <w:b/>
          <w:bCs/>
          <w:color w:val="auto"/>
          <w:szCs w:val="24"/>
        </w:rPr>
        <w:t>C-oktaBDE</w:t>
      </w:r>
      <w:r w:rsidRPr="00C86111">
        <w:rPr>
          <w:rFonts w:asciiTheme="minorHAnsi" w:hAnsiTheme="minorHAnsi" w:cstheme="minorHAnsi"/>
          <w:color w:val="auto"/>
          <w:szCs w:val="24"/>
        </w:rPr>
        <w:t xml:space="preserve"> se proizvodio u Holandiji, Francuskoj, SAD-u, Japanu, Ujedinjenom Kraljevstvu i Izraelu. Proizvodnja u EU, SAD-u i pacifičkom regionu prestala je 2004. godine, bez dokaza o nastavku proizvodnje u zemljama u razvoju.</w:t>
      </w:r>
      <w:r w:rsidR="002C477F" w:rsidRPr="00C86111">
        <w:rPr>
          <w:rFonts w:asciiTheme="minorHAnsi" w:hAnsiTheme="minorHAnsi" w:cstheme="minorHAnsi"/>
          <w:color w:val="auto"/>
          <w:szCs w:val="24"/>
        </w:rPr>
        <w:t xml:space="preserve"> </w:t>
      </w:r>
      <w:r w:rsidRPr="00C86111">
        <w:rPr>
          <w:rFonts w:asciiTheme="minorHAnsi" w:hAnsiTheme="minorHAnsi" w:cstheme="minorHAnsi"/>
          <w:b/>
          <w:bCs/>
          <w:color w:val="auto"/>
          <w:szCs w:val="24"/>
        </w:rPr>
        <w:t>C-dekaBDE</w:t>
      </w:r>
      <w:r w:rsidRPr="00C86111">
        <w:rPr>
          <w:rFonts w:asciiTheme="minorHAnsi" w:hAnsiTheme="minorHAnsi" w:cstheme="minorHAnsi"/>
          <w:color w:val="auto"/>
          <w:szCs w:val="24"/>
        </w:rPr>
        <w:t xml:space="preserve"> se proizvodio u Kini, EU, Indiji, Japanu, Izraelu i SAD-u. Proizvodnja je ukinuta u EU, Japanu i Kanadi, a vjerovatno i u SAD-u. Kina i Indija ostale su glavni proizvođači; Kina je i dalje najveći svjetski dobavljač, sa proizvodnjom od oko 21.000 tona u 2013. godini.</w:t>
      </w:r>
    </w:p>
    <w:p w14:paraId="701FA0B5"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Ukupna globalna proizvodnja svih PBDE-a u periodu 1970–2005. procijenjena je na 1,3–1,5 miliona tona, od čega je oko 90% bio c-dekaBDE, što objašnjava njegovu dominantnu prisutnost u današnjim tokovima otpada.</w:t>
      </w:r>
    </w:p>
    <w:p w14:paraId="4A14E3D6" w14:textId="272CD0A6" w:rsidR="00C23D65" w:rsidRPr="00C86111" w:rsidRDefault="00C23D65" w:rsidP="00EA6904">
      <w:pPr>
        <w:pStyle w:val="Heading4"/>
        <w:rPr>
          <w:color w:val="auto"/>
        </w:rPr>
      </w:pPr>
      <w:r w:rsidRPr="00C86111">
        <w:t>POP-PBDE u tokovima materijala i otpada</w:t>
      </w:r>
    </w:p>
    <w:p w14:paraId="1E7556BF"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Glavni izazov u eliminaciji POP-PBDE-a je identifikacija proizvoda i otpada koji ih sadrže, kao i njihovo bezbjedno zbrinjavanje. Velike količine PBDE-materijala već su završile na deponijama, dok se značajne količine stare električne i elektronske opreme i vozila i dalje izvoze u zemlje u razvoju radi ponovne upotrebe i reciklaže, često uz neadekvatne tehnologije obrade, što dovodi do lokalne kontaminacije i izloženosti stanovništva.</w:t>
      </w:r>
    </w:p>
    <w:p w14:paraId="168D943D"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Iako se u nekim državama PBDE-materijali spaljuju ili termički obrađuju, čak i u zemljama sa razvijenim sistemima upravljanja otpadom i dalje postoje velike količine na deponijama.</w:t>
      </w:r>
    </w:p>
    <w:p w14:paraId="507C9A23"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Zbog istorijske proizvodnje veće od 1 milion tona, dekaBDE je danas dominantni POP-PBDE u plastici iz WEEE i vozila, dok su količine c-pentaBDE i c-oktaBDE znatno manje.</w:t>
      </w:r>
    </w:p>
    <w:p w14:paraId="57321079"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Efikasna kontrola, provjera i selekcija materijala tokom obrade elektronskog otpada i vozila ključni su za ekološki prihvatljivo upravljanje. Reciklaža materijala iznad POP-graničnih vrijednosti mora se izbjegavati, a razblaživanje PBDE-a nije prihvatljivo, jer ne smanjuje ukupno zagađenje.</w:t>
      </w:r>
    </w:p>
    <w:p w14:paraId="6B9659BA" w14:textId="77777777" w:rsidR="00C23D65" w:rsidRPr="00C86111" w:rsidRDefault="00C23D65" w:rsidP="00EA6904">
      <w:pPr>
        <w:pStyle w:val="Heading4"/>
        <w:rPr>
          <w:rFonts w:cs="Times New Roman"/>
          <w:b/>
        </w:rPr>
      </w:pPr>
      <w:r w:rsidRPr="00C86111">
        <w:t>Reciklaža materijala koji sadrže PBDE</w:t>
      </w:r>
    </w:p>
    <w:p w14:paraId="01FD2065"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Materijali koji sadrže POP-PBDE, posebno plastika iz električne i elektronske opreme, vozila i PUR pjene, i dalje se recikliraju u mnogim regionima. Zbog nedovoljne kontrole i separacije, kontaminirani polimeri često ulaze u nove proizvode kao što su kućni predmeti, dječije igračke i građevinski materijali, čime se produžava izloženost stanovništva.</w:t>
      </w:r>
    </w:p>
    <w:p w14:paraId="66D084DA"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Iako postoje tehnologije za djelimično uklanjanje broma iz recikliranih polimera, one se još uvijek rijetko primjenjuju. Stoga je stroga kontrola tokova otpada i zabrana reciklaže materijala iznad POP-graničnih vrijednosti ključna mjera za prekid širenja PBDE-a u kružnoj ekonomiji.</w:t>
      </w:r>
    </w:p>
    <w:p w14:paraId="65BD3D35" w14:textId="77777777" w:rsidR="00C23D65" w:rsidRPr="00C86111" w:rsidRDefault="00C23D65" w:rsidP="00EA6904">
      <w:pPr>
        <w:pStyle w:val="Heading4"/>
        <w:rPr>
          <w:rFonts w:cs="Times New Roman"/>
          <w:b/>
        </w:rPr>
      </w:pPr>
      <w:r w:rsidRPr="00C86111">
        <w:t>Potencijalno kontaminirane lokacije</w:t>
      </w:r>
    </w:p>
    <w:p w14:paraId="27E2027B"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Proizvodne zone, industrijska postrojenja i objekti za obradu otpada koji sadrže PBDE mogu biti kontaminirani POP-PBDE-ima. Tokom neadekvatne reciklaže i spaljivanja PBDE mogu formirati bromisane dioksine i furane (PBDD/PBDF), što ove lokacije čini posebno rizičnim i prioritetnim za procjenu i sanaciju.</w:t>
      </w:r>
    </w:p>
    <w:p w14:paraId="422A56BA" w14:textId="77777777" w:rsidR="00C23D65" w:rsidRPr="00C86111" w:rsidRDefault="00C23D65" w:rsidP="00EA6904">
      <w:pPr>
        <w:pStyle w:val="Heading3"/>
      </w:pPr>
      <w:bookmarkStart w:id="88" w:name="_Toc220541889"/>
      <w:r w:rsidRPr="00C86111">
        <w:t>Proizvodnja  HBB-a</w:t>
      </w:r>
      <w:bookmarkEnd w:id="88"/>
    </w:p>
    <w:p w14:paraId="011983B1" w14:textId="77777777" w:rsidR="002C477F" w:rsidRPr="00C86111" w:rsidRDefault="002C477F" w:rsidP="002C477F"/>
    <w:p w14:paraId="6D4DE6FF"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Približno 5.400 tona HBB-a proizvedeno je u Sjedinjenim Američkim Državama između 1970. i 1976. godine, a nijedna druga proizvodnja HBB-a nije zabilježena.</w:t>
      </w:r>
      <w:r w:rsidRPr="00C86111">
        <w:rPr>
          <w:rFonts w:asciiTheme="minorHAnsi" w:hAnsiTheme="minorHAnsi" w:cstheme="minorHAnsi"/>
          <w:color w:val="auto"/>
          <w:szCs w:val="24"/>
        </w:rPr>
        <w:br/>
        <w:t>Zbog male količine proizvodnje (5.400 tona) i činjenice da se HBB koristio prije 1976. godine, većina materijala koji sadrže HBB odbačena je prije nekoliko decenija (ATSDR, 2004).</w:t>
      </w:r>
    </w:p>
    <w:p w14:paraId="60A3C523"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Ovo je potvrđeno i za elektroniku: u velikoj studiji o BFR-ovima u evropskim WEEE plastikama, HBB nije detektovan (BAFU, 2017).</w:t>
      </w:r>
    </w:p>
    <w:p w14:paraId="05CEBD57"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Slično tome, u studiji nadzora WEEE plastike u Francuskoj, samo jedan uzorak tokom dvogodišnje kampanje sakupljanja uzoraka sadržao je HBB u niskom nivou (7 mg/kg) (Hennebert &amp; Filella, 2018).</w:t>
      </w:r>
      <w:r w:rsidRPr="00C86111">
        <w:rPr>
          <w:rFonts w:asciiTheme="minorHAnsi" w:hAnsiTheme="minorHAnsi" w:cstheme="minorHAnsi"/>
          <w:color w:val="auto"/>
          <w:szCs w:val="24"/>
        </w:rPr>
        <w:br/>
        <w:t>Nivoi HBB-a u hrani uglavnom su bili ispod granica detekcije (EFSA, 2010).</w:t>
      </w:r>
    </w:p>
    <w:p w14:paraId="77D4B67F" w14:textId="58B2F575"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Shodno tome, HBB ima manju važnost za procese inventara i implementacije.</w:t>
      </w:r>
    </w:p>
    <w:p w14:paraId="366A30E8" w14:textId="77777777" w:rsidR="00C23D65" w:rsidRPr="00C86111" w:rsidRDefault="00C23D65" w:rsidP="00004F34">
      <w:pPr>
        <w:pStyle w:val="Heading1"/>
        <w:numPr>
          <w:ilvl w:val="1"/>
          <w:numId w:val="238"/>
        </w:numPr>
        <w:rPr>
          <w:rFonts w:asciiTheme="minorHAnsi" w:hAnsiTheme="minorHAnsi" w:cstheme="minorHAnsi"/>
          <w:szCs w:val="24"/>
        </w:rPr>
      </w:pPr>
      <w:bookmarkStart w:id="89" w:name="_Toc220541890"/>
      <w:r w:rsidRPr="00C86111">
        <w:t>Proizvodnja i prethodna upotreba HBB-a u Crnoj Gori</w:t>
      </w:r>
      <w:bookmarkEnd w:id="89"/>
    </w:p>
    <w:p w14:paraId="22E2F70B" w14:textId="77777777" w:rsidR="00C23D65" w:rsidRPr="00C86111" w:rsidRDefault="00C23D65" w:rsidP="00C23D65">
      <w:pPr>
        <w:jc w:val="both"/>
        <w:rPr>
          <w:rFonts w:asciiTheme="minorHAnsi" w:hAnsiTheme="minorHAnsi" w:cstheme="minorHAnsi"/>
          <w:color w:val="EE0000"/>
          <w:szCs w:val="24"/>
        </w:rPr>
      </w:pPr>
    </w:p>
    <w:p w14:paraId="782C34C3" w14:textId="77777777" w:rsidR="00C23D65" w:rsidRDefault="00C23D65" w:rsidP="00C23D65">
      <w:pPr>
        <w:jc w:val="both"/>
        <w:rPr>
          <w:rFonts w:asciiTheme="minorHAnsi" w:hAnsiTheme="minorHAnsi" w:cstheme="minorHAnsi"/>
          <w:szCs w:val="24"/>
        </w:rPr>
      </w:pPr>
      <w:r w:rsidRPr="00C86111">
        <w:rPr>
          <w:rFonts w:asciiTheme="minorHAnsi" w:hAnsiTheme="minorHAnsi" w:cstheme="minorHAnsi"/>
          <w:szCs w:val="24"/>
        </w:rPr>
        <w:t>HBB nikada nije proizvođen u Crnoj Gori, kao ni bilo koja druga hemikalija. Takođe, nema podataka o mogućoj upotrebi ili uvozu HBB-a.</w:t>
      </w:r>
    </w:p>
    <w:p w14:paraId="0920D578" w14:textId="77777777" w:rsidR="00F562F0" w:rsidRDefault="00F562F0" w:rsidP="00C23D65">
      <w:pPr>
        <w:jc w:val="both"/>
        <w:rPr>
          <w:rFonts w:asciiTheme="minorHAnsi" w:hAnsiTheme="minorHAnsi" w:cstheme="minorHAnsi"/>
          <w:szCs w:val="24"/>
        </w:rPr>
      </w:pPr>
    </w:p>
    <w:p w14:paraId="54E42378" w14:textId="77777777" w:rsidR="00F562F0" w:rsidRPr="00C86111" w:rsidRDefault="00F562F0" w:rsidP="00C23D65">
      <w:pPr>
        <w:jc w:val="both"/>
        <w:rPr>
          <w:rFonts w:asciiTheme="minorHAnsi" w:hAnsiTheme="minorHAnsi" w:cstheme="minorHAnsi"/>
          <w:szCs w:val="24"/>
        </w:rPr>
      </w:pPr>
    </w:p>
    <w:p w14:paraId="52F11FE3" w14:textId="77777777" w:rsidR="00C23D65" w:rsidRPr="00C86111" w:rsidRDefault="00C23D65" w:rsidP="00C23D65">
      <w:pPr>
        <w:jc w:val="both"/>
        <w:rPr>
          <w:rFonts w:asciiTheme="minorHAnsi" w:hAnsiTheme="minorHAnsi" w:cstheme="minorHAnsi"/>
          <w:color w:val="EE0000"/>
          <w:szCs w:val="24"/>
        </w:rPr>
      </w:pPr>
    </w:p>
    <w:p w14:paraId="07613BD5" w14:textId="77777777" w:rsidR="00C23D65" w:rsidRPr="00C86111" w:rsidRDefault="00C23D65" w:rsidP="00EA6904">
      <w:pPr>
        <w:pStyle w:val="Heading2"/>
        <w:rPr>
          <w:rFonts w:asciiTheme="minorHAnsi" w:hAnsiTheme="minorHAnsi" w:cstheme="minorHAnsi"/>
          <w:szCs w:val="24"/>
        </w:rPr>
      </w:pPr>
      <w:bookmarkStart w:id="90" w:name="_Toc220541891"/>
      <w:r w:rsidRPr="00C86111">
        <w:lastRenderedPageBreak/>
        <w:t>Tokovi POP-PBDE: uvoz i izvoz u Crnoj Gori</w:t>
      </w:r>
      <w:bookmarkEnd w:id="90"/>
    </w:p>
    <w:p w14:paraId="3841113A" w14:textId="77777777" w:rsidR="00C23D65" w:rsidRPr="00C86111" w:rsidRDefault="00C23D65" w:rsidP="00C23D65"/>
    <w:p w14:paraId="333EB669"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U Crnoj Gori ne postoji proizvodnja POP-PBDE hemikalija, niti bilo koja industrija koja ih koristi. Glavni sektori koji su istorijski koristili POP-PBDE uključuju:</w:t>
      </w:r>
    </w:p>
    <w:p w14:paraId="07E8B9E8" w14:textId="77777777" w:rsidR="00C23D65" w:rsidRPr="00C86111" w:rsidRDefault="00C23D65" w:rsidP="00004F34">
      <w:pPr>
        <w:numPr>
          <w:ilvl w:val="0"/>
          <w:numId w:val="183"/>
        </w:numPr>
        <w:jc w:val="both"/>
        <w:rPr>
          <w:rFonts w:asciiTheme="minorHAnsi" w:hAnsiTheme="minorHAnsi" w:cstheme="minorHAnsi"/>
          <w:szCs w:val="24"/>
        </w:rPr>
      </w:pPr>
      <w:r w:rsidRPr="00C86111">
        <w:rPr>
          <w:rFonts w:asciiTheme="minorHAnsi" w:hAnsiTheme="minorHAnsi" w:cstheme="minorHAnsi"/>
          <w:szCs w:val="24"/>
        </w:rPr>
        <w:t>Industriju električne i elektronske opreme (EEE) – proizvodnja kućišta, komponenti, kablova i drugih elektronskih proizvoda;</w:t>
      </w:r>
    </w:p>
    <w:p w14:paraId="0630B201" w14:textId="77777777" w:rsidR="00C23D65" w:rsidRPr="00C86111" w:rsidRDefault="00C23D65" w:rsidP="00004F34">
      <w:pPr>
        <w:numPr>
          <w:ilvl w:val="0"/>
          <w:numId w:val="183"/>
        </w:numPr>
        <w:jc w:val="both"/>
        <w:rPr>
          <w:rFonts w:asciiTheme="minorHAnsi" w:hAnsiTheme="minorHAnsi" w:cstheme="minorHAnsi"/>
          <w:szCs w:val="24"/>
        </w:rPr>
      </w:pPr>
      <w:r w:rsidRPr="00C86111">
        <w:rPr>
          <w:rFonts w:asciiTheme="minorHAnsi" w:hAnsiTheme="minorHAnsi" w:cstheme="minorHAnsi"/>
          <w:szCs w:val="24"/>
        </w:rPr>
        <w:t>Transportnu industriju – automobili, autobusi, kamioni, železnica, avijacija i pomorski sektor;</w:t>
      </w:r>
    </w:p>
    <w:p w14:paraId="15299719" w14:textId="77777777" w:rsidR="00C23D65" w:rsidRPr="00C86111" w:rsidRDefault="00C23D65" w:rsidP="00004F34">
      <w:pPr>
        <w:numPr>
          <w:ilvl w:val="0"/>
          <w:numId w:val="183"/>
        </w:numPr>
        <w:jc w:val="both"/>
        <w:rPr>
          <w:rFonts w:asciiTheme="minorHAnsi" w:hAnsiTheme="minorHAnsi" w:cstheme="minorHAnsi"/>
          <w:szCs w:val="24"/>
        </w:rPr>
      </w:pPr>
      <w:r w:rsidRPr="00C86111">
        <w:rPr>
          <w:rFonts w:asciiTheme="minorHAnsi" w:hAnsiTheme="minorHAnsi" w:cstheme="minorHAnsi"/>
          <w:szCs w:val="24"/>
        </w:rPr>
        <w:t>Industriju namještaja – materijali tretirani radi usporavanja gorenja u stolicama, sofama, dušecima i drugim namještajnim proizvodima;</w:t>
      </w:r>
    </w:p>
    <w:p w14:paraId="77965F8A" w14:textId="77777777" w:rsidR="00C23D65" w:rsidRPr="00C86111" w:rsidRDefault="00C23D65" w:rsidP="00004F34">
      <w:pPr>
        <w:numPr>
          <w:ilvl w:val="0"/>
          <w:numId w:val="183"/>
        </w:numPr>
        <w:jc w:val="both"/>
        <w:rPr>
          <w:rFonts w:asciiTheme="minorHAnsi" w:hAnsiTheme="minorHAnsi" w:cstheme="minorHAnsi"/>
          <w:szCs w:val="24"/>
        </w:rPr>
      </w:pPr>
      <w:r w:rsidRPr="00C86111">
        <w:rPr>
          <w:rFonts w:asciiTheme="minorHAnsi" w:hAnsiTheme="minorHAnsi" w:cstheme="minorHAnsi"/>
          <w:szCs w:val="24"/>
        </w:rPr>
        <w:t>Tekstilnu i tepišnu industriju – tretman vlakana i tkanina radi smanjenja zapaljivosti.</w:t>
      </w:r>
    </w:p>
    <w:p w14:paraId="5EDC1995"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Zbog odsustva ovih sektora u Crnoj Gori, ne postoji izvoz POP-PBDE hemikalija niti proizvoda koji ih sadrže.</w:t>
      </w:r>
    </w:p>
    <w:p w14:paraId="3CCE4B10"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POP-PBDE mogu ući u zemlju isključivo putem uvoza proizvoda. Glavni izvori uvoza su:</w:t>
      </w:r>
    </w:p>
    <w:p w14:paraId="512267CC" w14:textId="77777777" w:rsidR="00C23D65" w:rsidRPr="00C86111" w:rsidRDefault="00C23D65" w:rsidP="00004F34">
      <w:pPr>
        <w:numPr>
          <w:ilvl w:val="0"/>
          <w:numId w:val="184"/>
        </w:numPr>
        <w:jc w:val="both"/>
        <w:rPr>
          <w:rFonts w:asciiTheme="minorHAnsi" w:hAnsiTheme="minorHAnsi" w:cstheme="minorHAnsi"/>
          <w:szCs w:val="24"/>
        </w:rPr>
      </w:pPr>
      <w:r w:rsidRPr="00C86111">
        <w:rPr>
          <w:rFonts w:asciiTheme="minorHAnsi" w:hAnsiTheme="minorHAnsi" w:cstheme="minorHAnsi"/>
          <w:szCs w:val="24"/>
        </w:rPr>
        <w:t>Električna i elektronska oprema (EEE) – računari, televizori, kućni aparati, kablovi i drugi elektronski uređaji;</w:t>
      </w:r>
    </w:p>
    <w:p w14:paraId="2FF4E5C9" w14:textId="77777777" w:rsidR="00C23D65" w:rsidRPr="00C86111" w:rsidRDefault="00C23D65" w:rsidP="00004F34">
      <w:pPr>
        <w:numPr>
          <w:ilvl w:val="0"/>
          <w:numId w:val="184"/>
        </w:numPr>
        <w:jc w:val="both"/>
        <w:rPr>
          <w:rFonts w:asciiTheme="minorHAnsi" w:hAnsiTheme="minorHAnsi" w:cstheme="minorHAnsi"/>
          <w:szCs w:val="24"/>
        </w:rPr>
      </w:pPr>
      <w:r w:rsidRPr="00C86111">
        <w:rPr>
          <w:rFonts w:asciiTheme="minorHAnsi" w:hAnsiTheme="minorHAnsi" w:cstheme="minorHAnsi"/>
          <w:szCs w:val="24"/>
        </w:rPr>
        <w:t>Vozila i transportni proizvodi – automobili, autobusi, kamioni i dijelovi vozila koji sadrže plastiku, poliuretan ili druge materijale tretirane PBDE-om.</w:t>
      </w:r>
    </w:p>
    <w:p w14:paraId="61202057"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Ova dinamika je potvrđena i u rezultatima inventara, gdje su sektori EEE i transport identifikovani kao prioritetni za praćenje prisustva i količina POP-PBDE-a. Inventar se fokusirao na ove sektore kako bi se precizno procijenila ukupna količina PBDE-a u cirkulaciji u Crnoj Gori.</w:t>
      </w:r>
    </w:p>
    <w:p w14:paraId="29324E7F" w14:textId="77777777" w:rsidR="00C23D65" w:rsidRPr="00C86111" w:rsidRDefault="00C23D65" w:rsidP="00004F34">
      <w:pPr>
        <w:pStyle w:val="Heading1"/>
        <w:numPr>
          <w:ilvl w:val="1"/>
          <w:numId w:val="238"/>
        </w:numPr>
      </w:pPr>
      <w:bookmarkStart w:id="91" w:name="_Toc220541892"/>
      <w:r w:rsidRPr="00C86111">
        <w:t>Proces inventarizacije POP-PBDE u Crnoj Gori</w:t>
      </w:r>
      <w:bookmarkEnd w:id="91"/>
    </w:p>
    <w:p w14:paraId="3BA44740" w14:textId="77777777" w:rsidR="002C477F" w:rsidRPr="00C86111" w:rsidRDefault="002C477F" w:rsidP="002C477F"/>
    <w:p w14:paraId="09FA2326"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Inventar POP-PBDE u Crnoj Gori sproveden je korišćenjem strukturisanog, višestepenog pristupa, prilagođenog lokalnim uslovima i podržanog terenskim istraživanjima. Ovaj pristup omogućava postepeno prikupljanje i unapređenje podataka o prisustvu i upotrebi polibromovanih difenil-etara (PBDE) u zemlji, u skladu sa preporukama Stokholmske konvencije i kapacitetima nacionalnih institucija.</w:t>
      </w:r>
    </w:p>
    <w:p w14:paraId="4BAD148F" w14:textId="77777777" w:rsidR="00C23D65" w:rsidRPr="00C86111" w:rsidRDefault="00C23D65" w:rsidP="00EA6904">
      <w:pPr>
        <w:pStyle w:val="Heading3"/>
      </w:pPr>
      <w:bookmarkStart w:id="92" w:name="_Toc220541893"/>
      <w:r w:rsidRPr="00C86111">
        <w:t>Višestepeni pristup i nivoi inventara</w:t>
      </w:r>
      <w:bookmarkEnd w:id="92"/>
    </w:p>
    <w:p w14:paraId="019060B1" w14:textId="7BCFE423"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 xml:space="preserve">Inventar je razvijen kroz tri međusobno povezana nivoa (Tabela </w:t>
      </w:r>
      <w:r w:rsidR="002C477F" w:rsidRPr="00C86111">
        <w:rPr>
          <w:rFonts w:asciiTheme="minorHAnsi" w:hAnsiTheme="minorHAnsi" w:cstheme="minorHAnsi"/>
          <w:szCs w:val="24"/>
        </w:rPr>
        <w:t>46</w:t>
      </w:r>
      <w:r w:rsidRPr="00C86111">
        <w:rPr>
          <w:rFonts w:asciiTheme="minorHAnsi" w:hAnsiTheme="minorHAnsi" w:cstheme="minorHAnsi"/>
          <w:szCs w:val="24"/>
        </w:rPr>
        <w:t>).</w:t>
      </w:r>
    </w:p>
    <w:p w14:paraId="29619B85" w14:textId="77777777" w:rsidR="002C477F" w:rsidRPr="00C86111" w:rsidRDefault="002C477F" w:rsidP="00C23D65">
      <w:pPr>
        <w:jc w:val="both"/>
        <w:rPr>
          <w:rFonts w:asciiTheme="minorHAnsi" w:hAnsiTheme="minorHAnsi" w:cstheme="minorHAnsi"/>
          <w:szCs w:val="24"/>
        </w:rPr>
      </w:pPr>
    </w:p>
    <w:p w14:paraId="2BB7B738" w14:textId="6B5BB0BD"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b/>
          <w:bCs/>
          <w:szCs w:val="24"/>
        </w:rPr>
        <w:t xml:space="preserve">Tabela </w:t>
      </w:r>
      <w:r w:rsidR="002C477F" w:rsidRPr="00C86111">
        <w:rPr>
          <w:rFonts w:asciiTheme="minorHAnsi" w:hAnsiTheme="minorHAnsi" w:cstheme="minorHAnsi"/>
          <w:b/>
          <w:bCs/>
          <w:szCs w:val="24"/>
        </w:rPr>
        <w:t>46</w:t>
      </w:r>
      <w:r w:rsidRPr="00C86111">
        <w:rPr>
          <w:rFonts w:asciiTheme="minorHAnsi" w:hAnsiTheme="minorHAnsi" w:cstheme="minorHAnsi"/>
          <w:b/>
          <w:bCs/>
          <w:szCs w:val="24"/>
        </w:rPr>
        <w:t>.</w:t>
      </w:r>
      <w:r w:rsidRPr="00C86111">
        <w:rPr>
          <w:rFonts w:asciiTheme="minorHAnsi" w:hAnsiTheme="minorHAnsi" w:cstheme="minorHAnsi"/>
          <w:szCs w:val="24"/>
        </w:rPr>
        <w:t xml:space="preserve"> Prikaz nivoa inventarizacije</w:t>
      </w:r>
    </w:p>
    <w:tbl>
      <w:tblPr>
        <w:tblStyle w:val="GridTable5Dark-Accent6"/>
        <w:tblW w:w="0" w:type="auto"/>
        <w:tblLook w:val="04A0" w:firstRow="1" w:lastRow="0" w:firstColumn="1" w:lastColumn="0" w:noHBand="0" w:noVBand="1"/>
      </w:tblPr>
      <w:tblGrid>
        <w:gridCol w:w="600"/>
        <w:gridCol w:w="1713"/>
        <w:gridCol w:w="7037"/>
      </w:tblGrid>
      <w:tr w:rsidR="00C23D65" w:rsidRPr="00C86111" w14:paraId="1AAB5CDB" w14:textId="77777777" w:rsidTr="00C23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FFFFFF" w:themeColor="background1"/>
            </w:tcBorders>
            <w:hideMark/>
          </w:tcPr>
          <w:p w14:paraId="41FCB776" w14:textId="77777777" w:rsidR="00C23D65" w:rsidRPr="00C86111" w:rsidRDefault="00C23D65">
            <w:pPr>
              <w:jc w:val="both"/>
              <w:rPr>
                <w:rFonts w:asciiTheme="minorHAnsi" w:hAnsiTheme="minorHAnsi" w:cstheme="minorHAnsi"/>
                <w:b w:val="0"/>
                <w:bCs w:val="0"/>
                <w:sz w:val="20"/>
                <w:szCs w:val="20"/>
              </w:rPr>
            </w:pPr>
            <w:r w:rsidRPr="00C86111">
              <w:rPr>
                <w:rFonts w:asciiTheme="minorHAnsi" w:hAnsiTheme="minorHAnsi" w:cstheme="minorHAnsi"/>
                <w:sz w:val="20"/>
                <w:szCs w:val="20"/>
              </w:rPr>
              <w:t>Nivo</w:t>
            </w:r>
          </w:p>
        </w:tc>
        <w:tc>
          <w:tcPr>
            <w:tcW w:w="0" w:type="auto"/>
            <w:tcBorders>
              <w:bottom w:val="single" w:sz="4" w:space="0" w:color="FFFFFF" w:themeColor="background1"/>
            </w:tcBorders>
            <w:hideMark/>
          </w:tcPr>
          <w:p w14:paraId="1716F4B9"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C86111">
              <w:rPr>
                <w:rFonts w:asciiTheme="minorHAnsi" w:hAnsiTheme="minorHAnsi" w:cstheme="minorHAnsi"/>
                <w:sz w:val="20"/>
                <w:szCs w:val="20"/>
              </w:rPr>
              <w:t>Naziv</w:t>
            </w:r>
          </w:p>
        </w:tc>
        <w:tc>
          <w:tcPr>
            <w:tcW w:w="0" w:type="auto"/>
            <w:tcBorders>
              <w:bottom w:val="single" w:sz="4" w:space="0" w:color="FFFFFF" w:themeColor="background1"/>
            </w:tcBorders>
            <w:hideMark/>
          </w:tcPr>
          <w:p w14:paraId="66B7224A"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C86111">
              <w:rPr>
                <w:rFonts w:asciiTheme="minorHAnsi" w:hAnsiTheme="minorHAnsi" w:cstheme="minorHAnsi"/>
                <w:sz w:val="20"/>
                <w:szCs w:val="20"/>
              </w:rPr>
              <w:t>Opis i metode</w:t>
            </w:r>
          </w:p>
        </w:tc>
      </w:tr>
      <w:tr w:rsidR="00C23D65" w:rsidRPr="00C86111" w14:paraId="20E85608"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3B160D95" w14:textId="77777777" w:rsidR="00C23D65" w:rsidRPr="00C86111" w:rsidRDefault="00C23D65">
            <w:pPr>
              <w:jc w:val="both"/>
              <w:rPr>
                <w:rFonts w:asciiTheme="minorHAnsi" w:hAnsiTheme="minorHAnsi" w:cstheme="minorHAnsi"/>
                <w:sz w:val="20"/>
                <w:szCs w:val="20"/>
              </w:rPr>
            </w:pPr>
            <w:r w:rsidRPr="00C86111">
              <w:rPr>
                <w:rFonts w:asciiTheme="minorHAnsi" w:hAnsiTheme="minorHAnsi" w:cstheme="minorHAnsi"/>
                <w:sz w:val="20"/>
                <w:szCs w:val="20"/>
              </w:rPr>
              <w:t>I</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813E6AB"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Početna / inicijalna faza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E850A4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Brza, indikativna procjena na osnovu dostupnih i sekundarnih podataka, stručnog mišljenja i istraživanja domaćinstava. Fokus na EEE/WEEE, CRT i LCD uređaje, istorijske podatke o voznom parku i praksama upravljanja otpadom.</w:t>
            </w:r>
          </w:p>
        </w:tc>
      </w:tr>
      <w:tr w:rsidR="00C23D65" w:rsidRPr="00C86111" w14:paraId="23F315D9"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0C393DA3" w14:textId="77777777" w:rsidR="00C23D65" w:rsidRPr="00C86111" w:rsidRDefault="00C23D65">
            <w:pPr>
              <w:jc w:val="both"/>
              <w:rPr>
                <w:rFonts w:asciiTheme="minorHAnsi" w:hAnsiTheme="minorHAnsi" w:cstheme="minorHAnsi"/>
                <w:sz w:val="20"/>
                <w:szCs w:val="20"/>
              </w:rPr>
            </w:pPr>
            <w:r w:rsidRPr="00C86111">
              <w:rPr>
                <w:rFonts w:asciiTheme="minorHAnsi" w:hAnsiTheme="minorHAnsi" w:cstheme="minorHAnsi"/>
                <w:sz w:val="20"/>
                <w:szCs w:val="20"/>
              </w:rPr>
              <w:t>II</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FE49B2"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Osnovni inventar / detaljnija procjena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85DDCF9"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Kvantitativna procjena ključnih sektora: EEE/WEEE i transport. Analiza uvoza, sastava plastike i sadržaja PBDE, uključujući dekaBDE. Kombinacija podataka iz literature, lokalnih istraživanja i ostataka vozila.</w:t>
            </w:r>
          </w:p>
        </w:tc>
      </w:tr>
      <w:tr w:rsidR="00C23D65" w:rsidRPr="00C86111" w14:paraId="2F7D0A88"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right w:val="single" w:sz="4" w:space="0" w:color="FFFFFF" w:themeColor="background1"/>
            </w:tcBorders>
            <w:hideMark/>
          </w:tcPr>
          <w:p w14:paraId="3F99F40F" w14:textId="77777777" w:rsidR="00C23D65" w:rsidRPr="00C86111" w:rsidRDefault="00C23D65">
            <w:pPr>
              <w:jc w:val="both"/>
              <w:rPr>
                <w:rFonts w:asciiTheme="minorHAnsi" w:hAnsiTheme="minorHAnsi" w:cstheme="minorHAnsi"/>
                <w:sz w:val="20"/>
                <w:szCs w:val="20"/>
              </w:rPr>
            </w:pPr>
            <w:r w:rsidRPr="00C86111">
              <w:rPr>
                <w:rFonts w:asciiTheme="minorHAnsi" w:hAnsiTheme="minorHAnsi" w:cstheme="minorHAnsi"/>
                <w:sz w:val="20"/>
                <w:szCs w:val="20"/>
              </w:rPr>
              <w:t>III</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034AF34"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Detaljni inventar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03229DE"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Sveobuhvatno prikupljanje podataka putem laboratorijskih analiza, inspekcija na terenu i intervjua sa zainteresovanim stranama. Identifikacija specifičnih izvora emisija i kontaminacije.</w:t>
            </w:r>
          </w:p>
        </w:tc>
      </w:tr>
    </w:tbl>
    <w:p w14:paraId="6B09D7EC" w14:textId="1284F68E"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Prednosti ovog pristupa</w:t>
      </w:r>
      <w:r w:rsidR="002C477F" w:rsidRPr="00C86111">
        <w:rPr>
          <w:rFonts w:asciiTheme="minorHAnsi" w:hAnsiTheme="minorHAnsi" w:cstheme="minorHAnsi"/>
          <w:szCs w:val="24"/>
        </w:rPr>
        <w:t xml:space="preserve"> su</w:t>
      </w:r>
      <w:r w:rsidRPr="00C86111">
        <w:rPr>
          <w:rFonts w:asciiTheme="minorHAnsi" w:hAnsiTheme="minorHAnsi" w:cstheme="minorHAnsi"/>
          <w:szCs w:val="24"/>
        </w:rPr>
        <w:t>:</w:t>
      </w:r>
    </w:p>
    <w:p w14:paraId="73AD74BD" w14:textId="77777777" w:rsidR="00C23D65" w:rsidRPr="00C86111" w:rsidRDefault="00C23D65" w:rsidP="00004F34">
      <w:pPr>
        <w:numPr>
          <w:ilvl w:val="0"/>
          <w:numId w:val="185"/>
        </w:numPr>
        <w:jc w:val="both"/>
        <w:rPr>
          <w:rFonts w:asciiTheme="minorHAnsi" w:hAnsiTheme="minorHAnsi" w:cstheme="minorHAnsi"/>
          <w:szCs w:val="24"/>
        </w:rPr>
      </w:pPr>
      <w:r w:rsidRPr="00C86111">
        <w:rPr>
          <w:rFonts w:asciiTheme="minorHAnsi" w:hAnsiTheme="minorHAnsi" w:cstheme="minorHAnsi"/>
          <w:szCs w:val="24"/>
        </w:rPr>
        <w:lastRenderedPageBreak/>
        <w:t>Fleksibilnost za prilagođavanje tehničkim i institucionalnim kapacitetima;</w:t>
      </w:r>
    </w:p>
    <w:p w14:paraId="6064682D" w14:textId="77777777" w:rsidR="00C23D65" w:rsidRPr="00C86111" w:rsidRDefault="00C23D65" w:rsidP="00004F34">
      <w:pPr>
        <w:numPr>
          <w:ilvl w:val="0"/>
          <w:numId w:val="185"/>
        </w:numPr>
        <w:jc w:val="both"/>
        <w:rPr>
          <w:rFonts w:asciiTheme="minorHAnsi" w:hAnsiTheme="minorHAnsi" w:cstheme="minorHAnsi"/>
          <w:szCs w:val="24"/>
        </w:rPr>
      </w:pPr>
      <w:r w:rsidRPr="00C86111">
        <w:rPr>
          <w:rFonts w:asciiTheme="minorHAnsi" w:hAnsiTheme="minorHAnsi" w:cstheme="minorHAnsi"/>
          <w:szCs w:val="24"/>
        </w:rPr>
        <w:t>Postepeno unapređenje kvaliteta inventara;</w:t>
      </w:r>
    </w:p>
    <w:p w14:paraId="06FD6762" w14:textId="77777777" w:rsidR="00C23D65" w:rsidRPr="00C86111" w:rsidRDefault="00C23D65" w:rsidP="00004F34">
      <w:pPr>
        <w:numPr>
          <w:ilvl w:val="0"/>
          <w:numId w:val="185"/>
        </w:numPr>
        <w:jc w:val="both"/>
        <w:rPr>
          <w:rFonts w:asciiTheme="minorHAnsi" w:hAnsiTheme="minorHAnsi" w:cstheme="minorHAnsi"/>
          <w:szCs w:val="24"/>
        </w:rPr>
      </w:pPr>
      <w:r w:rsidRPr="00C86111">
        <w:rPr>
          <w:rFonts w:asciiTheme="minorHAnsi" w:hAnsiTheme="minorHAnsi" w:cstheme="minorHAnsi"/>
          <w:szCs w:val="24"/>
        </w:rPr>
        <w:t>Jasna struktura planiranja, prikupljanja podataka, analize i izvještavanja.</w:t>
      </w:r>
    </w:p>
    <w:p w14:paraId="4273D6B2" w14:textId="77777777" w:rsidR="00C23D65" w:rsidRPr="00C86111" w:rsidRDefault="00C23D65" w:rsidP="00C23D65">
      <w:pPr>
        <w:ind w:left="720"/>
        <w:jc w:val="both"/>
        <w:rPr>
          <w:rFonts w:asciiTheme="minorHAnsi" w:hAnsiTheme="minorHAnsi" w:cstheme="minorHAnsi"/>
          <w:szCs w:val="24"/>
        </w:rPr>
      </w:pPr>
    </w:p>
    <w:p w14:paraId="71003810" w14:textId="77777777" w:rsidR="00C23D65" w:rsidRPr="00C86111" w:rsidRDefault="00C23D65" w:rsidP="00C23D65">
      <w:pPr>
        <w:rPr>
          <w:rFonts w:ascii="Times New Roman" w:hAnsi="Times New Roman"/>
          <w:color w:val="002060"/>
          <w:sz w:val="36"/>
        </w:rPr>
      </w:pPr>
      <w:r w:rsidRPr="00C86111">
        <w:rPr>
          <w:rStyle w:val="Strong"/>
          <w:color w:val="002060"/>
        </w:rPr>
        <w:t>Nivo I – Inicijalna faza (EEE/WEEE i transport)</w:t>
      </w:r>
    </w:p>
    <w:p w14:paraId="3073B001" w14:textId="77777777" w:rsidR="00C23D65" w:rsidRPr="00C86111" w:rsidRDefault="00C23D65" w:rsidP="00C23D65">
      <w:pPr>
        <w:pStyle w:val="NormalWeb"/>
        <w:jc w:val="both"/>
      </w:pPr>
      <w:r w:rsidRPr="00C86111">
        <w:t>U početnoj fazi inventarizacije pažnja je bila usmjerena na identifikovanje prisustva POP-PBDE u najvažnijim proizvodnim grupama koje ih mogu sadržavati – električnoj i elektronskoj opremi te vozilima. Za sektor EEE/WEEE analizirani su podaci o uvozu i prisutnosti CRT i LCD televizora i monitora, uz dopunu kroz istraživanje domaćinstava, koje je omogućilo procjenu broja uređaja koji su još u upotrebi ili se nalaze u skladištu. Ovi podaci poslužili su kao osnova za formiranje početne baze elektronskih proizvoda koji potencijalno sadrže bromirane usporivače gorenja.</w:t>
      </w:r>
    </w:p>
    <w:p w14:paraId="6133E94F" w14:textId="77777777" w:rsidR="00C23D65" w:rsidRPr="00C86111" w:rsidRDefault="00C23D65" w:rsidP="00C23D65">
      <w:pPr>
        <w:pStyle w:val="NormalWeb"/>
        <w:jc w:val="both"/>
      </w:pPr>
      <w:r w:rsidRPr="00C86111">
        <w:t>U transportnom sektoru prikupljeni su istorijski i statistički podaci o voznom parku Crne Gore, uključujući obim uvoza i starosnu strukturu vozila, što je omogućilo procjenu vjerovatnog sadržaja PBDE u plastičnim komponentama automobila. Posebna pažnja posvećena je postojećim praksama upravljanja otpadnim vozilima, naročito u pogledu tretmana plastičnih dijelova koji mogu predstavljati značajan izvor POP-PBDE u fazi otpada.</w:t>
      </w:r>
    </w:p>
    <w:p w14:paraId="1F8A5876" w14:textId="77777777" w:rsidR="00C23D65" w:rsidRPr="00C86111" w:rsidRDefault="00C23D65" w:rsidP="00C23D65">
      <w:pPr>
        <w:rPr>
          <w:color w:val="002060"/>
        </w:rPr>
      </w:pPr>
      <w:r w:rsidRPr="00C86111">
        <w:rPr>
          <w:rStyle w:val="Strong"/>
          <w:color w:val="002060"/>
        </w:rPr>
        <w:t>Nivo II – Detaljnija procjena (EEE/WEEE i transport)</w:t>
      </w:r>
    </w:p>
    <w:p w14:paraId="19707BC3" w14:textId="77777777" w:rsidR="00C23D65" w:rsidRPr="00C86111" w:rsidRDefault="00C23D65" w:rsidP="00C23D65">
      <w:pPr>
        <w:pStyle w:val="NormalWeb"/>
        <w:jc w:val="both"/>
      </w:pPr>
      <w:r w:rsidRPr="00C86111">
        <w:t>U drugoj fazi inventara sprovedene su kvantitativne procjene POP-PBDE u sektoru električne i elektronske opreme, oslanjajući se na podatke o uvozu CRT i LCD uređaja, mobilnih telefona, laptopova i bijele tehnike u periodu 2017–2023. Na osnovu tipičnog sastava plastike i prosječnih koncentracija bromiranih usporivača gorenja procijenjen je sadržaj POP-PBDE u ovim proizvodima, uključujući i dekaBDE. Paralelno s tim, analiziran je obim generisanog elektronskog otpada i njegov plastični sastav, kako bi se sagledao potencijalni tok POP-PBDE u fazi kraja životnog vijeka proizvoda, kao i prisustvo ovih supstanci u uvezenoj WEEE plastici.</w:t>
      </w:r>
    </w:p>
    <w:p w14:paraId="0B48B9F7" w14:textId="77777777" w:rsidR="00C23D65" w:rsidRPr="00C86111" w:rsidRDefault="00C23D65" w:rsidP="00C23D65">
      <w:pPr>
        <w:pStyle w:val="NormalWeb"/>
        <w:jc w:val="both"/>
      </w:pPr>
      <w:r w:rsidRPr="00C86111">
        <w:t>U transportnom sektoru procjene su zasnovane na starosnoj strukturi voznog parka, uz diferencijaciju vozila prema periodima proizvodnje, što je omogućilo realističniju procjenu sadržaja PBDE u plastičnim komponentama. Posebna pažnja posvećena je dekaBDE, čija je upotreba bila naročito izražena u određenim generacijama vozila. Globalne i regionalne prosječne vrijednosti kombinovane su s podacima iz ostataka automobilske drobilice i relevantne literature kako bi se što preciznije procijenio udio komponenti tretiranih usporivačima gorenja u ukupnom materijalu koji ulazi u tok otpada.</w:t>
      </w:r>
    </w:p>
    <w:p w14:paraId="0012EF35" w14:textId="77777777" w:rsidR="00C23D65" w:rsidRPr="00C86111" w:rsidRDefault="00C23D65" w:rsidP="00EA6904">
      <w:pPr>
        <w:pStyle w:val="Heading3"/>
        <w:rPr>
          <w:rStyle w:val="Strong"/>
          <w:b/>
          <w:bCs/>
        </w:rPr>
      </w:pPr>
      <w:bookmarkStart w:id="93" w:name="_Toc220541894"/>
      <w:r w:rsidRPr="00C86111">
        <w:rPr>
          <w:rStyle w:val="Strong"/>
          <w:bCs/>
        </w:rPr>
        <w:t>Prilagođavanje crnogorskim uslovima</w:t>
      </w:r>
      <w:bookmarkEnd w:id="93"/>
    </w:p>
    <w:p w14:paraId="76C9531B" w14:textId="77777777" w:rsidR="002C477F" w:rsidRPr="00C86111" w:rsidRDefault="002C477F" w:rsidP="002C477F"/>
    <w:p w14:paraId="716F79C0" w14:textId="77777777" w:rsidR="00C23D65" w:rsidRPr="00C86111" w:rsidRDefault="00C23D65" w:rsidP="00C23D65">
      <w:pPr>
        <w:pStyle w:val="NormalWeb"/>
        <w:spacing w:before="0" w:beforeAutospacing="0" w:after="0" w:afterAutospacing="0"/>
        <w:jc w:val="both"/>
        <w:rPr>
          <w:rFonts w:asciiTheme="minorHAnsi" w:hAnsiTheme="minorHAnsi" w:cstheme="minorHAnsi"/>
          <w:color w:val="000000" w:themeColor="text1"/>
        </w:rPr>
      </w:pPr>
      <w:r w:rsidRPr="00C86111">
        <w:rPr>
          <w:rFonts w:asciiTheme="minorHAnsi" w:hAnsiTheme="minorHAnsi" w:cstheme="minorHAnsi"/>
          <w:color w:val="000000" w:themeColor="text1"/>
        </w:rPr>
        <w:t xml:space="preserve">Sve procjene POP-PBDE prilagođene su specifičnostima Crne Gore. Globalni i regionalni modeli korišćeni su u kombinaciji sa </w:t>
      </w:r>
      <w:r w:rsidRPr="00C86111">
        <w:rPr>
          <w:rStyle w:val="Strong"/>
          <w:rFonts w:asciiTheme="minorHAnsi" w:eastAsia="Courier New" w:hAnsiTheme="minorHAnsi" w:cstheme="minorHAnsi"/>
          <w:b w:val="0"/>
          <w:bCs w:val="0"/>
          <w:color w:val="000000" w:themeColor="text1"/>
        </w:rPr>
        <w:t>lokalnim podacima</w:t>
      </w:r>
      <w:r w:rsidRPr="00C86111">
        <w:rPr>
          <w:rFonts w:asciiTheme="minorHAnsi" w:hAnsiTheme="minorHAnsi" w:cstheme="minorHAnsi"/>
          <w:color w:val="000000" w:themeColor="text1"/>
        </w:rPr>
        <w:t xml:space="preserve"> o uvozu, carinskim evidencijama i starosnoj strukturi voznog parka. U slučajevima kada podaci nisu bili potpuni, sprovedena su dodatna </w:t>
      </w:r>
      <w:r w:rsidRPr="00C86111">
        <w:rPr>
          <w:rStyle w:val="Strong"/>
          <w:rFonts w:asciiTheme="minorHAnsi" w:eastAsia="Courier New" w:hAnsiTheme="minorHAnsi" w:cstheme="minorHAnsi"/>
          <w:b w:val="0"/>
          <w:bCs w:val="0"/>
          <w:color w:val="000000" w:themeColor="text1"/>
        </w:rPr>
        <w:t>lokalna istraživanja i ankete</w:t>
      </w:r>
      <w:r w:rsidRPr="00C86111">
        <w:rPr>
          <w:rFonts w:asciiTheme="minorHAnsi" w:hAnsiTheme="minorHAnsi" w:cstheme="minorHAnsi"/>
          <w:color w:val="000000" w:themeColor="text1"/>
        </w:rPr>
        <w:t xml:space="preserve"> kako bi se nadomjestile praznine.</w:t>
      </w:r>
    </w:p>
    <w:p w14:paraId="5C9EAF1D" w14:textId="77777777" w:rsidR="00C23D65" w:rsidRPr="00C86111" w:rsidRDefault="00C23D65" w:rsidP="00C23D65">
      <w:pPr>
        <w:pStyle w:val="NormalWeb"/>
        <w:spacing w:before="0" w:beforeAutospacing="0" w:after="0" w:afterAutospacing="0"/>
        <w:jc w:val="both"/>
        <w:rPr>
          <w:rFonts w:asciiTheme="minorHAnsi" w:hAnsiTheme="minorHAnsi" w:cstheme="minorHAnsi"/>
          <w:b/>
          <w:bCs/>
          <w:color w:val="000000" w:themeColor="text1"/>
        </w:rPr>
      </w:pPr>
      <w:r w:rsidRPr="00C86111">
        <w:rPr>
          <w:rFonts w:asciiTheme="minorHAnsi" w:hAnsiTheme="minorHAnsi" w:cstheme="minorHAnsi"/>
          <w:color w:val="000000" w:themeColor="text1"/>
        </w:rPr>
        <w:t xml:space="preserve">Udio polimera i koncentracije POP-PBDE u različitim tipovima uređaja i vozila prilagođeni su na osnovu lokalnih karakteristika tržišta i specifikacija proizvoda. Sadržaj PBDE u elektronskim </w:t>
      </w:r>
      <w:r w:rsidRPr="00C86111">
        <w:rPr>
          <w:rFonts w:asciiTheme="minorHAnsi" w:hAnsiTheme="minorHAnsi" w:cstheme="minorHAnsi"/>
          <w:color w:val="000000" w:themeColor="text1"/>
        </w:rPr>
        <w:lastRenderedPageBreak/>
        <w:t xml:space="preserve">uređajima i vozilima ekstrapoliran je za cijelu populaciju proizvoda u zemlji, čime je obezbijeđena </w:t>
      </w:r>
      <w:r w:rsidRPr="00C86111">
        <w:rPr>
          <w:rStyle w:val="Strong"/>
          <w:rFonts w:asciiTheme="minorHAnsi" w:eastAsia="Courier New" w:hAnsiTheme="minorHAnsi" w:cstheme="minorHAnsi"/>
          <w:b w:val="0"/>
          <w:bCs w:val="0"/>
          <w:color w:val="000000" w:themeColor="text1"/>
        </w:rPr>
        <w:t>realistična procjena prisustva dekaBDE i drugih PBDE</w:t>
      </w:r>
      <w:r w:rsidRPr="00C86111">
        <w:rPr>
          <w:rFonts w:asciiTheme="minorHAnsi" w:hAnsiTheme="minorHAnsi" w:cstheme="minorHAnsi"/>
          <w:b/>
          <w:bCs/>
          <w:color w:val="000000" w:themeColor="text1"/>
        </w:rPr>
        <w:t>.</w:t>
      </w:r>
    </w:p>
    <w:p w14:paraId="4EB0D675" w14:textId="77777777" w:rsidR="00C23D65" w:rsidRPr="00C86111" w:rsidRDefault="00C23D65" w:rsidP="00C23D65">
      <w:pPr>
        <w:pStyle w:val="NormalWeb"/>
        <w:spacing w:before="0" w:beforeAutospacing="0" w:after="0" w:afterAutospacing="0"/>
        <w:jc w:val="both"/>
        <w:rPr>
          <w:rFonts w:asciiTheme="minorHAnsi" w:hAnsiTheme="minorHAnsi" w:cstheme="minorHAnsi"/>
          <w:color w:val="000000" w:themeColor="text1"/>
        </w:rPr>
      </w:pPr>
      <w:r w:rsidRPr="00C86111">
        <w:rPr>
          <w:rFonts w:asciiTheme="minorHAnsi" w:hAnsiTheme="minorHAnsi" w:cstheme="minorHAnsi"/>
          <w:color w:val="000000" w:themeColor="text1"/>
        </w:rPr>
        <w:t>Nacionalne studije o sastavu komunalnog otpada korišćene su za dodatnu preciznost procjena, osiguravajući pouzdanu i sveobuhvatnu sliku POP-PBDE u Crnoj Gori.</w:t>
      </w:r>
    </w:p>
    <w:p w14:paraId="7120280F"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Kombinovani višestepeni pristup omogućio je razvoj sveobuhvatnog i pouzdanog inventara POP-PBDE u Crnoj Gori. Inventar osigurava realističnu procjenu prisustva PBDE u ključnim sektorima, pruža osnovu za dalja unapređenja upravljanja i strategija zaštite životne sredine, i u potpunosti je u skladu sa preporukama Stokholmske konvencije.</w:t>
      </w:r>
    </w:p>
    <w:p w14:paraId="4151C226" w14:textId="77777777" w:rsidR="00C23D65" w:rsidRPr="00C86111" w:rsidRDefault="00C23D65" w:rsidP="00004F34">
      <w:pPr>
        <w:pStyle w:val="Heading1"/>
        <w:numPr>
          <w:ilvl w:val="1"/>
          <w:numId w:val="238"/>
        </w:numPr>
      </w:pPr>
      <w:bookmarkStart w:id="94" w:name="_Toc220541895"/>
      <w:r w:rsidRPr="00C86111">
        <w:t>SEKTOR EEE</w:t>
      </w:r>
      <w:bookmarkEnd w:id="94"/>
    </w:p>
    <w:p w14:paraId="16622BEF" w14:textId="77777777" w:rsidR="00C23D65" w:rsidRPr="00C86111" w:rsidRDefault="00C23D65" w:rsidP="00EA6904">
      <w:pPr>
        <w:pStyle w:val="Heading3"/>
      </w:pPr>
      <w:r w:rsidRPr="00C86111">
        <w:t xml:space="preserve"> </w:t>
      </w:r>
      <w:bookmarkStart w:id="95" w:name="_Toc220541896"/>
      <w:r w:rsidRPr="00C86111">
        <w:t>Inventar POP-PBDE u električnoj i elektronskoj opremi (EEE) i povezanim otpadom (WEEE)</w:t>
      </w:r>
      <w:bookmarkEnd w:id="95"/>
    </w:p>
    <w:p w14:paraId="4F3C2865" w14:textId="77777777" w:rsidR="00C23D65" w:rsidRPr="00C86111" w:rsidRDefault="00C23D65" w:rsidP="00C23D65">
      <w:pPr>
        <w:jc w:val="both"/>
        <w:rPr>
          <w:rFonts w:asciiTheme="minorHAnsi" w:hAnsiTheme="minorHAnsi" w:cstheme="minorHAnsi"/>
          <w:color w:val="auto"/>
          <w:szCs w:val="24"/>
        </w:rPr>
      </w:pPr>
    </w:p>
    <w:p w14:paraId="51E689D9"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Električna i elektronska oprema (EEE) predstavlja jedan od najbrže rastućih materijalnih tokova globalno, što generiše značajan otpad (WEEE) i izazove za reciklažu, posebno u zemljama u razvoju. Najveće zalihe c-dekaBDE i c-oktaBDE nalaze se upravo u ovom sektoru, kako u aktivnoj upotrebi, tako i u fazama na kraju životnog vijeka. Razvijanje inventara EEE i WEEE predstavlja ključni korak u upravljanju materijalima koji sadrže ove bromisane usporivače gorenja.</w:t>
      </w:r>
    </w:p>
    <w:p w14:paraId="14433DE6"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Najveći udio plastike sa POP-PBDE prisutan je u sljedećim kategorijama proizvoda:</w:t>
      </w:r>
    </w:p>
    <w:p w14:paraId="72AA61E4" w14:textId="77777777" w:rsidR="00C23D65" w:rsidRPr="00C86111" w:rsidRDefault="00C23D65" w:rsidP="00004F34">
      <w:pPr>
        <w:numPr>
          <w:ilvl w:val="0"/>
          <w:numId w:val="186"/>
        </w:numPr>
        <w:jc w:val="both"/>
        <w:rPr>
          <w:rFonts w:asciiTheme="minorHAnsi" w:hAnsiTheme="minorHAnsi" w:cstheme="minorHAnsi"/>
          <w:color w:val="auto"/>
          <w:szCs w:val="24"/>
        </w:rPr>
      </w:pPr>
      <w:r w:rsidRPr="00C86111">
        <w:rPr>
          <w:rFonts w:asciiTheme="minorHAnsi" w:hAnsiTheme="minorHAnsi" w:cstheme="minorHAnsi"/>
          <w:color w:val="auto"/>
          <w:szCs w:val="24"/>
        </w:rPr>
        <w:t>Veliki kućni aparati (frižideri, klima uređaji, perilice);</w:t>
      </w:r>
    </w:p>
    <w:p w14:paraId="0D7A50A8" w14:textId="77777777" w:rsidR="00C23D65" w:rsidRPr="00C86111" w:rsidRDefault="00C23D65" w:rsidP="00004F34">
      <w:pPr>
        <w:numPr>
          <w:ilvl w:val="0"/>
          <w:numId w:val="186"/>
        </w:numPr>
        <w:jc w:val="both"/>
        <w:rPr>
          <w:rFonts w:asciiTheme="minorHAnsi" w:hAnsiTheme="minorHAnsi" w:cstheme="minorHAnsi"/>
          <w:color w:val="auto"/>
          <w:szCs w:val="24"/>
        </w:rPr>
      </w:pPr>
      <w:r w:rsidRPr="00C86111">
        <w:rPr>
          <w:rFonts w:asciiTheme="minorHAnsi" w:hAnsiTheme="minorHAnsi" w:cstheme="minorHAnsi"/>
          <w:color w:val="auto"/>
          <w:szCs w:val="24"/>
        </w:rPr>
        <w:t>Mali kućni aparati i kućni uređaji;</w:t>
      </w:r>
    </w:p>
    <w:p w14:paraId="2874F501" w14:textId="77777777" w:rsidR="00C23D65" w:rsidRPr="00C86111" w:rsidRDefault="00C23D65" w:rsidP="00004F34">
      <w:pPr>
        <w:numPr>
          <w:ilvl w:val="0"/>
          <w:numId w:val="186"/>
        </w:numPr>
        <w:jc w:val="both"/>
        <w:rPr>
          <w:rFonts w:asciiTheme="minorHAnsi" w:hAnsiTheme="minorHAnsi" w:cstheme="minorHAnsi"/>
          <w:color w:val="auto"/>
          <w:szCs w:val="24"/>
        </w:rPr>
      </w:pPr>
      <w:r w:rsidRPr="00C86111">
        <w:rPr>
          <w:rFonts w:asciiTheme="minorHAnsi" w:hAnsiTheme="minorHAnsi" w:cstheme="minorHAnsi"/>
          <w:color w:val="auto"/>
          <w:szCs w:val="24"/>
        </w:rPr>
        <w:t>IT oprema (računari, laptopi, tableti);</w:t>
      </w:r>
    </w:p>
    <w:p w14:paraId="29E7F524" w14:textId="77777777" w:rsidR="00C23D65" w:rsidRPr="00C86111" w:rsidRDefault="00C23D65" w:rsidP="00004F34">
      <w:pPr>
        <w:numPr>
          <w:ilvl w:val="0"/>
          <w:numId w:val="186"/>
        </w:numPr>
        <w:jc w:val="both"/>
        <w:rPr>
          <w:rFonts w:asciiTheme="minorHAnsi" w:hAnsiTheme="minorHAnsi" w:cstheme="minorHAnsi"/>
          <w:color w:val="auto"/>
          <w:szCs w:val="24"/>
        </w:rPr>
      </w:pPr>
      <w:r w:rsidRPr="00C86111">
        <w:rPr>
          <w:rFonts w:asciiTheme="minorHAnsi" w:hAnsiTheme="minorHAnsi" w:cstheme="minorHAnsi"/>
          <w:color w:val="auto"/>
          <w:szCs w:val="24"/>
        </w:rPr>
        <w:t>Potrošački proizvodi (CRT i flat panel televizori, mobilni telefoni).</w:t>
      </w:r>
    </w:p>
    <w:p w14:paraId="42B42E62"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Za potrebe inventara korišćene su međunarodne klasifikacije proizvoda (UNU i HS kodovi) kao referentni vodič za identifikaciju i praćenje EEE proizvoda koji mogu sadržavati POP-PBDE.</w:t>
      </w:r>
    </w:p>
    <w:p w14:paraId="438370F8" w14:textId="6E84BB06" w:rsidR="00C23D65" w:rsidRPr="00C86111" w:rsidRDefault="00C23D65" w:rsidP="00EA6904">
      <w:pPr>
        <w:pStyle w:val="Heading3"/>
      </w:pPr>
      <w:bookmarkStart w:id="96" w:name="_Toc220541897"/>
      <w:r w:rsidRPr="00C86111">
        <w:t>Definisanje obima inventara POP-PBDE u EEE/WEEE</w:t>
      </w:r>
      <w:bookmarkEnd w:id="96"/>
    </w:p>
    <w:p w14:paraId="403FEA95" w14:textId="77777777" w:rsidR="002C477F" w:rsidRPr="00C86111" w:rsidRDefault="002C477F" w:rsidP="002C477F"/>
    <w:p w14:paraId="2491C3BF"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Prvi korak u izradi inventara POP-PBDE bio je jasno definisanje obima aktivnosti i fokus na ključne tokove:</w:t>
      </w:r>
    </w:p>
    <w:p w14:paraId="070F2E36" w14:textId="77777777" w:rsidR="00C23D65" w:rsidRPr="00C86111" w:rsidRDefault="00C23D65" w:rsidP="00004F34">
      <w:pPr>
        <w:numPr>
          <w:ilvl w:val="0"/>
          <w:numId w:val="187"/>
        </w:numPr>
        <w:jc w:val="both"/>
        <w:rPr>
          <w:rFonts w:asciiTheme="minorHAnsi" w:hAnsiTheme="minorHAnsi" w:cstheme="minorHAnsi"/>
          <w:szCs w:val="24"/>
        </w:rPr>
      </w:pPr>
      <w:r w:rsidRPr="00C86111">
        <w:rPr>
          <w:rFonts w:asciiTheme="minorHAnsi" w:hAnsiTheme="minorHAnsi" w:cstheme="minorHAnsi"/>
          <w:szCs w:val="24"/>
        </w:rPr>
        <w:t>Procjena upotrebe i zaliha POP-PBDE u električnoj i elektronskoj opremi (EEE) i povezanim otpadom (WEEE);</w:t>
      </w:r>
    </w:p>
    <w:p w14:paraId="6C6C8D74" w14:textId="77777777" w:rsidR="00C23D65" w:rsidRPr="00C86111" w:rsidRDefault="00C23D65" w:rsidP="00004F34">
      <w:pPr>
        <w:numPr>
          <w:ilvl w:val="0"/>
          <w:numId w:val="187"/>
        </w:numPr>
        <w:jc w:val="both"/>
        <w:rPr>
          <w:rFonts w:asciiTheme="minorHAnsi" w:hAnsiTheme="minorHAnsi" w:cstheme="minorHAnsi"/>
          <w:szCs w:val="24"/>
        </w:rPr>
      </w:pPr>
      <w:r w:rsidRPr="00C86111">
        <w:rPr>
          <w:rFonts w:asciiTheme="minorHAnsi" w:hAnsiTheme="minorHAnsi" w:cstheme="minorHAnsi"/>
          <w:szCs w:val="24"/>
        </w:rPr>
        <w:t>Praćenje pripadajuće plastike i materijala koji sadrže PBDE;</w:t>
      </w:r>
    </w:p>
    <w:p w14:paraId="1B7B920E" w14:textId="77777777" w:rsidR="00C23D65" w:rsidRPr="00C86111" w:rsidRDefault="00C23D65" w:rsidP="00004F34">
      <w:pPr>
        <w:numPr>
          <w:ilvl w:val="0"/>
          <w:numId w:val="187"/>
        </w:numPr>
        <w:jc w:val="both"/>
        <w:rPr>
          <w:rFonts w:asciiTheme="minorHAnsi" w:hAnsiTheme="minorHAnsi" w:cstheme="minorHAnsi"/>
          <w:szCs w:val="24"/>
        </w:rPr>
      </w:pPr>
      <w:r w:rsidRPr="00C86111">
        <w:rPr>
          <w:rFonts w:asciiTheme="minorHAnsi" w:hAnsiTheme="minorHAnsi" w:cstheme="minorHAnsi"/>
          <w:szCs w:val="24"/>
        </w:rPr>
        <w:t>Identifikacija ključnih zainteresovanih strana za uspješno sprovođenje inventara.</w:t>
      </w:r>
    </w:p>
    <w:p w14:paraId="6E9EE0C0"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Inventar u sektoru EEE/WEEE obuhvatao je:</w:t>
      </w:r>
    </w:p>
    <w:p w14:paraId="60211265" w14:textId="77777777" w:rsidR="00C23D65" w:rsidRPr="00C86111" w:rsidRDefault="00C23D65" w:rsidP="00004F34">
      <w:pPr>
        <w:numPr>
          <w:ilvl w:val="0"/>
          <w:numId w:val="188"/>
        </w:numPr>
        <w:jc w:val="both"/>
        <w:rPr>
          <w:rFonts w:asciiTheme="minorHAnsi" w:hAnsiTheme="minorHAnsi" w:cstheme="minorHAnsi"/>
          <w:color w:val="auto"/>
          <w:szCs w:val="24"/>
        </w:rPr>
      </w:pPr>
      <w:r w:rsidRPr="00C86111">
        <w:rPr>
          <w:rFonts w:asciiTheme="minorHAnsi" w:hAnsiTheme="minorHAnsi" w:cstheme="minorHAnsi"/>
          <w:color w:val="auto"/>
          <w:szCs w:val="24"/>
        </w:rPr>
        <w:t>EEE proizvodi koji sadrže dekaBDE, posebno oni uvezeni za upotrebu koja je izuzeta;</w:t>
      </w:r>
    </w:p>
    <w:p w14:paraId="6FCB9537" w14:textId="77777777" w:rsidR="00C23D65" w:rsidRPr="00C86111" w:rsidRDefault="00C23D65" w:rsidP="00004F34">
      <w:pPr>
        <w:numPr>
          <w:ilvl w:val="0"/>
          <w:numId w:val="188"/>
        </w:numPr>
        <w:jc w:val="both"/>
        <w:rPr>
          <w:rFonts w:asciiTheme="minorHAnsi" w:hAnsiTheme="minorHAnsi" w:cstheme="minorHAnsi"/>
          <w:color w:val="auto"/>
          <w:szCs w:val="24"/>
        </w:rPr>
      </w:pPr>
      <w:r w:rsidRPr="00C86111">
        <w:rPr>
          <w:rFonts w:asciiTheme="minorHAnsi" w:hAnsiTheme="minorHAnsi" w:cstheme="minorHAnsi"/>
          <w:color w:val="auto"/>
          <w:szCs w:val="24"/>
        </w:rPr>
        <w:t>Zalihe EEE opreme u aktivnoj upotrebi ili skladištene kod potrošača (domaćinstva, javne i privatne institucije i organizacije);</w:t>
      </w:r>
    </w:p>
    <w:p w14:paraId="702847BA" w14:textId="77777777" w:rsidR="00C23D65" w:rsidRPr="00C86111" w:rsidRDefault="00C23D65" w:rsidP="00004F34">
      <w:pPr>
        <w:numPr>
          <w:ilvl w:val="0"/>
          <w:numId w:val="188"/>
        </w:numPr>
        <w:jc w:val="both"/>
        <w:rPr>
          <w:rFonts w:asciiTheme="minorHAnsi" w:hAnsiTheme="minorHAnsi" w:cstheme="minorHAnsi"/>
          <w:color w:val="auto"/>
          <w:szCs w:val="24"/>
        </w:rPr>
      </w:pPr>
      <w:r w:rsidRPr="00C86111">
        <w:rPr>
          <w:rFonts w:asciiTheme="minorHAnsi" w:hAnsiTheme="minorHAnsi" w:cstheme="minorHAnsi"/>
          <w:color w:val="auto"/>
          <w:szCs w:val="24"/>
        </w:rPr>
        <w:t>EEE oprema koja sadrži POP-PBDE i ulazi u tok otpada (WEEE), u sinergiji sa Bazelskom konvencijom;</w:t>
      </w:r>
    </w:p>
    <w:p w14:paraId="5454A860" w14:textId="77777777" w:rsidR="00C23D65" w:rsidRPr="00C86111" w:rsidRDefault="00C23D65" w:rsidP="00004F34">
      <w:pPr>
        <w:numPr>
          <w:ilvl w:val="0"/>
          <w:numId w:val="188"/>
        </w:numPr>
        <w:jc w:val="both"/>
        <w:rPr>
          <w:rFonts w:asciiTheme="minorHAnsi" w:hAnsiTheme="minorHAnsi" w:cstheme="minorHAnsi"/>
          <w:color w:val="auto"/>
          <w:szCs w:val="24"/>
        </w:rPr>
      </w:pPr>
      <w:r w:rsidRPr="00C86111">
        <w:rPr>
          <w:rFonts w:asciiTheme="minorHAnsi" w:hAnsiTheme="minorHAnsi" w:cstheme="minorHAnsi"/>
          <w:color w:val="auto"/>
          <w:szCs w:val="24"/>
        </w:rPr>
        <w:t>Plastika iz WEEE predviđena za reciklažu, uključujući domaći WEEE i uvezene polimerske frakcije.</w:t>
      </w:r>
    </w:p>
    <w:p w14:paraId="4ECC43D0"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Za sprovođenje inventara odabran je multidisciplinarni tim, koji uključuje:</w:t>
      </w:r>
    </w:p>
    <w:p w14:paraId="0D5273B5" w14:textId="77777777" w:rsidR="00C23D65" w:rsidRPr="00C86111" w:rsidRDefault="00C23D65" w:rsidP="00004F34">
      <w:pPr>
        <w:numPr>
          <w:ilvl w:val="0"/>
          <w:numId w:val="189"/>
        </w:numPr>
        <w:jc w:val="both"/>
        <w:rPr>
          <w:rFonts w:asciiTheme="minorHAnsi" w:hAnsiTheme="minorHAnsi" w:cstheme="minorHAnsi"/>
          <w:szCs w:val="24"/>
        </w:rPr>
      </w:pPr>
      <w:r w:rsidRPr="00C86111">
        <w:rPr>
          <w:rFonts w:asciiTheme="minorHAnsi" w:hAnsiTheme="minorHAnsi" w:cstheme="minorHAnsi"/>
          <w:szCs w:val="24"/>
        </w:rPr>
        <w:t>Stručnjake za upravljanje otpadom;</w:t>
      </w:r>
    </w:p>
    <w:p w14:paraId="2F2DA4DF" w14:textId="77777777" w:rsidR="00C23D65" w:rsidRPr="00C86111" w:rsidRDefault="00C23D65" w:rsidP="00004F34">
      <w:pPr>
        <w:numPr>
          <w:ilvl w:val="0"/>
          <w:numId w:val="189"/>
        </w:numPr>
        <w:jc w:val="both"/>
        <w:rPr>
          <w:rFonts w:asciiTheme="minorHAnsi" w:hAnsiTheme="minorHAnsi" w:cstheme="minorHAnsi"/>
          <w:szCs w:val="24"/>
        </w:rPr>
      </w:pPr>
      <w:r w:rsidRPr="00C86111">
        <w:rPr>
          <w:rFonts w:asciiTheme="minorHAnsi" w:hAnsiTheme="minorHAnsi" w:cstheme="minorHAnsi"/>
          <w:szCs w:val="24"/>
        </w:rPr>
        <w:lastRenderedPageBreak/>
        <w:t>Stručnjake za hemijsku sigurnost i regulativu;</w:t>
      </w:r>
    </w:p>
    <w:p w14:paraId="051AC8BF" w14:textId="77777777" w:rsidR="00C23D65" w:rsidRPr="00C86111" w:rsidRDefault="00C23D65" w:rsidP="00004F34">
      <w:pPr>
        <w:numPr>
          <w:ilvl w:val="0"/>
          <w:numId w:val="189"/>
        </w:numPr>
        <w:jc w:val="both"/>
        <w:rPr>
          <w:rFonts w:asciiTheme="minorHAnsi" w:hAnsiTheme="minorHAnsi" w:cstheme="minorHAnsi"/>
          <w:szCs w:val="24"/>
        </w:rPr>
      </w:pPr>
      <w:r w:rsidRPr="00C86111">
        <w:rPr>
          <w:rFonts w:asciiTheme="minorHAnsi" w:hAnsiTheme="minorHAnsi" w:cstheme="minorHAnsi"/>
          <w:szCs w:val="24"/>
        </w:rPr>
        <w:t>Predstavnike ključnih zainteresovanih strana, uključujući vladu, proizvođače, reciklere i ekološke organizacije.</w:t>
      </w:r>
    </w:p>
    <w:p w14:paraId="6F93F0AB"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Ključne institucije i organizacije uključene u proces:</w:t>
      </w:r>
    </w:p>
    <w:p w14:paraId="1984D38C" w14:textId="77777777" w:rsidR="00C23D65" w:rsidRPr="00C86111" w:rsidRDefault="00C23D65" w:rsidP="00004F34">
      <w:pPr>
        <w:numPr>
          <w:ilvl w:val="0"/>
          <w:numId w:val="190"/>
        </w:numPr>
        <w:jc w:val="both"/>
        <w:rPr>
          <w:rFonts w:asciiTheme="minorHAnsi" w:hAnsiTheme="minorHAnsi" w:cstheme="minorHAnsi"/>
          <w:szCs w:val="24"/>
        </w:rPr>
      </w:pPr>
      <w:r w:rsidRPr="00C86111">
        <w:rPr>
          <w:rFonts w:asciiTheme="minorHAnsi" w:hAnsiTheme="minorHAnsi" w:cstheme="minorHAnsi"/>
          <w:szCs w:val="24"/>
        </w:rPr>
        <w:t>Ministarstvo ekologije, održivog razvoja i razvoja sjevera;</w:t>
      </w:r>
    </w:p>
    <w:p w14:paraId="17B46C6A" w14:textId="77777777" w:rsidR="00C23D65" w:rsidRPr="00C86111" w:rsidRDefault="00C23D65" w:rsidP="00004F34">
      <w:pPr>
        <w:numPr>
          <w:ilvl w:val="0"/>
          <w:numId w:val="190"/>
        </w:numPr>
        <w:jc w:val="both"/>
        <w:rPr>
          <w:rFonts w:asciiTheme="minorHAnsi" w:hAnsiTheme="minorHAnsi" w:cstheme="minorHAnsi"/>
          <w:szCs w:val="24"/>
        </w:rPr>
      </w:pPr>
      <w:r w:rsidRPr="00C86111">
        <w:rPr>
          <w:rFonts w:asciiTheme="minorHAnsi" w:hAnsiTheme="minorHAnsi" w:cstheme="minorHAnsi"/>
          <w:szCs w:val="24"/>
        </w:rPr>
        <w:t>Uprava carina;</w:t>
      </w:r>
    </w:p>
    <w:p w14:paraId="7FAFEE14" w14:textId="77777777" w:rsidR="00C23D65" w:rsidRPr="00C86111" w:rsidRDefault="00C23D65" w:rsidP="00004F34">
      <w:pPr>
        <w:numPr>
          <w:ilvl w:val="0"/>
          <w:numId w:val="190"/>
        </w:numPr>
        <w:jc w:val="both"/>
        <w:rPr>
          <w:rFonts w:asciiTheme="minorHAnsi" w:hAnsiTheme="minorHAnsi" w:cstheme="minorHAnsi"/>
          <w:szCs w:val="24"/>
        </w:rPr>
      </w:pPr>
      <w:r w:rsidRPr="00C86111">
        <w:rPr>
          <w:rFonts w:asciiTheme="minorHAnsi" w:hAnsiTheme="minorHAnsi" w:cstheme="minorHAnsi"/>
          <w:szCs w:val="24"/>
        </w:rPr>
        <w:t>Agencija za zaštitu životne sredine;</w:t>
      </w:r>
    </w:p>
    <w:p w14:paraId="1B4D71B9" w14:textId="77777777" w:rsidR="00C23D65" w:rsidRPr="00C86111" w:rsidRDefault="00C23D65" w:rsidP="00004F34">
      <w:pPr>
        <w:numPr>
          <w:ilvl w:val="0"/>
          <w:numId w:val="190"/>
        </w:numPr>
        <w:jc w:val="both"/>
        <w:rPr>
          <w:rFonts w:asciiTheme="minorHAnsi" w:hAnsiTheme="minorHAnsi" w:cstheme="minorHAnsi"/>
          <w:szCs w:val="24"/>
        </w:rPr>
      </w:pPr>
      <w:r w:rsidRPr="00C86111">
        <w:rPr>
          <w:rFonts w:asciiTheme="minorHAnsi" w:hAnsiTheme="minorHAnsi" w:cstheme="minorHAnsi"/>
          <w:szCs w:val="24"/>
        </w:rPr>
        <w:t>Prerađivači otpada, npr. Hemosan.</w:t>
      </w:r>
    </w:p>
    <w:p w14:paraId="6829916E" w14:textId="77777777" w:rsidR="00C23D65" w:rsidRPr="00C86111" w:rsidRDefault="00C23D65" w:rsidP="00EA6904">
      <w:pPr>
        <w:pStyle w:val="Heading4"/>
      </w:pPr>
      <w:r w:rsidRPr="00C86111">
        <w:t>Odabir metodologije i prikupljanje podataka</w:t>
      </w:r>
    </w:p>
    <w:p w14:paraId="1DBD06B3"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Inicijalna procjena POP-PBDE u Crnoj Gori sprovedena je kroz sljedeće aktivnosti:</w:t>
      </w:r>
    </w:p>
    <w:p w14:paraId="77B6BD6B" w14:textId="77777777" w:rsidR="00C23D65" w:rsidRPr="00C86111" w:rsidRDefault="00C23D65" w:rsidP="00004F34">
      <w:pPr>
        <w:numPr>
          <w:ilvl w:val="0"/>
          <w:numId w:val="191"/>
        </w:numPr>
        <w:jc w:val="both"/>
        <w:rPr>
          <w:rFonts w:asciiTheme="minorHAnsi" w:hAnsiTheme="minorHAnsi" w:cstheme="minorHAnsi"/>
          <w:color w:val="auto"/>
          <w:szCs w:val="24"/>
        </w:rPr>
      </w:pPr>
      <w:r w:rsidRPr="00C86111">
        <w:rPr>
          <w:rFonts w:asciiTheme="minorHAnsi" w:hAnsiTheme="minorHAnsi" w:cstheme="minorHAnsi"/>
          <w:color w:val="auto"/>
          <w:szCs w:val="24"/>
        </w:rPr>
        <w:t>Prikupljanje dostupnih podataka o električnoj i elektronskoj opremi i WEEE otpadu;</w:t>
      </w:r>
    </w:p>
    <w:p w14:paraId="388D9B25" w14:textId="77777777" w:rsidR="00C23D65" w:rsidRPr="00C86111" w:rsidRDefault="00C23D65" w:rsidP="00004F34">
      <w:pPr>
        <w:numPr>
          <w:ilvl w:val="0"/>
          <w:numId w:val="191"/>
        </w:numPr>
        <w:jc w:val="both"/>
        <w:rPr>
          <w:rFonts w:asciiTheme="minorHAnsi" w:hAnsiTheme="minorHAnsi" w:cstheme="minorHAnsi"/>
          <w:color w:val="auto"/>
          <w:szCs w:val="24"/>
        </w:rPr>
      </w:pPr>
      <w:r w:rsidRPr="00C86111">
        <w:rPr>
          <w:rFonts w:asciiTheme="minorHAnsi" w:hAnsiTheme="minorHAnsi" w:cstheme="minorHAnsi"/>
          <w:color w:val="auto"/>
          <w:szCs w:val="24"/>
        </w:rPr>
        <w:t>Preliminarnu procjenu uvoza EEE koji potencijalno sadrži dekaBDE;</w:t>
      </w:r>
    </w:p>
    <w:p w14:paraId="2B85BC39" w14:textId="77777777" w:rsidR="00C23D65" w:rsidRPr="00C86111" w:rsidRDefault="00C23D65" w:rsidP="00004F34">
      <w:pPr>
        <w:numPr>
          <w:ilvl w:val="0"/>
          <w:numId w:val="191"/>
        </w:numPr>
        <w:jc w:val="both"/>
        <w:rPr>
          <w:rFonts w:asciiTheme="minorHAnsi" w:hAnsiTheme="minorHAnsi" w:cstheme="minorHAnsi"/>
          <w:color w:val="auto"/>
          <w:szCs w:val="24"/>
        </w:rPr>
      </w:pPr>
      <w:r w:rsidRPr="00C86111">
        <w:rPr>
          <w:rFonts w:asciiTheme="minorHAnsi" w:hAnsiTheme="minorHAnsi" w:cstheme="minorHAnsi"/>
          <w:color w:val="auto"/>
          <w:szCs w:val="24"/>
        </w:rPr>
        <w:t>Provjeru da li se u Crnoj Gori proizvodi oprema koja sadrži dekaBDE i njena distribucija na domaćem i inostranom tržištu;</w:t>
      </w:r>
    </w:p>
    <w:p w14:paraId="4492B21F" w14:textId="77777777" w:rsidR="00C23D65" w:rsidRPr="00C86111" w:rsidRDefault="00C23D65" w:rsidP="00004F34">
      <w:pPr>
        <w:numPr>
          <w:ilvl w:val="0"/>
          <w:numId w:val="191"/>
        </w:numPr>
        <w:jc w:val="both"/>
        <w:rPr>
          <w:rFonts w:asciiTheme="minorHAnsi" w:hAnsiTheme="minorHAnsi" w:cstheme="minorHAnsi"/>
          <w:color w:val="auto"/>
          <w:szCs w:val="24"/>
        </w:rPr>
      </w:pPr>
      <w:r w:rsidRPr="00C86111">
        <w:rPr>
          <w:rFonts w:asciiTheme="minorHAnsi" w:hAnsiTheme="minorHAnsi" w:cstheme="minorHAnsi"/>
          <w:color w:val="auto"/>
          <w:szCs w:val="24"/>
        </w:rPr>
        <w:t>Procjenu obima opreme u upotrebi i u zalihama koja može sadržati PBDE;</w:t>
      </w:r>
    </w:p>
    <w:p w14:paraId="4AC819D1" w14:textId="77777777" w:rsidR="00C23D65" w:rsidRPr="00C86111" w:rsidRDefault="00C23D65" w:rsidP="00004F34">
      <w:pPr>
        <w:numPr>
          <w:ilvl w:val="0"/>
          <w:numId w:val="191"/>
        </w:numPr>
        <w:jc w:val="both"/>
        <w:rPr>
          <w:rFonts w:asciiTheme="minorHAnsi" w:hAnsiTheme="minorHAnsi" w:cstheme="minorHAnsi"/>
          <w:color w:val="auto"/>
          <w:szCs w:val="24"/>
        </w:rPr>
      </w:pPr>
      <w:r w:rsidRPr="00C86111">
        <w:rPr>
          <w:rFonts w:asciiTheme="minorHAnsi" w:hAnsiTheme="minorHAnsi" w:cstheme="minorHAnsi"/>
          <w:color w:val="auto"/>
          <w:szCs w:val="24"/>
        </w:rPr>
        <w:t>Pregled načina upravljanja WEEE otpadom, s posebnim fokusom na reciklažu plastike.</w:t>
      </w:r>
    </w:p>
    <w:p w14:paraId="7993367F"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Ove aktivnosti omogućile su uspostavljanje osnovnog razumijevanja prisustva i toka materijala sa PBDE-om, što je stvorilo čvrstu osnovu za detaljnije analize u narednim fazama inventara.</w:t>
      </w:r>
    </w:p>
    <w:p w14:paraId="53CDA58A" w14:textId="77777777" w:rsidR="00C23D65" w:rsidRPr="00C86111" w:rsidRDefault="00C23D65" w:rsidP="00004F34">
      <w:pPr>
        <w:pStyle w:val="Heading1"/>
        <w:numPr>
          <w:ilvl w:val="1"/>
          <w:numId w:val="238"/>
        </w:numPr>
      </w:pPr>
      <w:bookmarkStart w:id="97" w:name="_Toc220541898"/>
      <w:r w:rsidRPr="00C86111">
        <w:t>REZULTATI INVENTARA PBDE U SEKTORU EEE U CRNOJ GORI</w:t>
      </w:r>
      <w:bookmarkEnd w:id="97"/>
    </w:p>
    <w:p w14:paraId="33A74A0F" w14:textId="77777777" w:rsidR="002C477F" w:rsidRPr="00C86111" w:rsidRDefault="002C477F" w:rsidP="002C477F"/>
    <w:p w14:paraId="6FF868BD" w14:textId="77777777" w:rsidR="002C477F" w:rsidRPr="00C86111" w:rsidRDefault="002C477F" w:rsidP="002C477F">
      <w:pPr>
        <w:jc w:val="both"/>
        <w:rPr>
          <w:rFonts w:asciiTheme="minorHAnsi" w:hAnsiTheme="minorHAnsi" w:cstheme="minorHAnsi"/>
          <w:szCs w:val="24"/>
        </w:rPr>
      </w:pPr>
      <w:r w:rsidRPr="00C86111">
        <w:rPr>
          <w:rFonts w:asciiTheme="minorHAnsi" w:hAnsiTheme="minorHAnsi" w:cstheme="minorHAnsi"/>
          <w:szCs w:val="24"/>
        </w:rPr>
        <w:t>Do sada u Crnoj Gori nije sproveden inventar POP-PBDE u električnoj i elektronskoj opremi (EEE) i otpadom (WEEE). Za inicijalnu procjenu korišćeni su podaci iz zemalja sa sličnim ekonomskim i tržišnim uslovima.</w:t>
      </w:r>
    </w:p>
    <w:p w14:paraId="27D70895" w14:textId="77777777" w:rsidR="002C477F" w:rsidRPr="00C86111" w:rsidRDefault="002C477F" w:rsidP="002C477F">
      <w:pPr>
        <w:jc w:val="both"/>
        <w:rPr>
          <w:rFonts w:asciiTheme="minorHAnsi" w:hAnsiTheme="minorHAnsi" w:cstheme="minorHAnsi"/>
          <w:szCs w:val="24"/>
        </w:rPr>
      </w:pPr>
      <w:r w:rsidRPr="00C86111">
        <w:rPr>
          <w:rFonts w:asciiTheme="minorHAnsi" w:hAnsiTheme="minorHAnsi" w:cstheme="minorHAnsi"/>
          <w:szCs w:val="24"/>
        </w:rPr>
        <w:t>Inventar se fokusirao na CRT i flat panel/LCD televizore i monitore, računare i drugu potrošačku elektroniku. Sadržaj POP-PBDE u plastici kućišta procijenjen je na osnovu prosječnih udjela polimera u uređajima, a rezultati ukazuju da su najviše koncentracije prisutne u CRT i flat panel/LCD uređajima, dok ostala ICT i kućna oprema sadrži manje količine. U procjeni su uzeti u obzir: broj CRT uređaja po stanovniku, prosječna masa uređaja (25 kg/kom), i udio polimera u kućištima (prosjek 30%).</w:t>
      </w:r>
    </w:p>
    <w:p w14:paraId="7F710195" w14:textId="77777777" w:rsidR="002C477F" w:rsidRPr="00C86111" w:rsidRDefault="002C477F" w:rsidP="002C477F">
      <w:pPr>
        <w:jc w:val="both"/>
        <w:rPr>
          <w:rFonts w:asciiTheme="minorHAnsi" w:hAnsiTheme="minorHAnsi" w:cstheme="minorHAnsi"/>
          <w:szCs w:val="24"/>
        </w:rPr>
      </w:pPr>
      <w:r w:rsidRPr="00C86111">
        <w:rPr>
          <w:rFonts w:asciiTheme="minorHAnsi" w:hAnsiTheme="minorHAnsi" w:cstheme="minorHAnsi"/>
          <w:szCs w:val="24"/>
        </w:rPr>
        <w:t>S obzirom na to da Crna Gora još uvijek nema sveobuhvatan sistem upravljanja EEE/WEEE, očekuje se da količine POP-PBDE u domaćim uređajima i otpadnim frakcijama prate međunarodne prosjeke. Ovaj uvod pruža osnovu za detaljniju procjenu prisustva i toka POP-PBDE u zemlji.</w:t>
      </w:r>
    </w:p>
    <w:p w14:paraId="2EC52B2F" w14:textId="77777777" w:rsidR="00C23D65" w:rsidRPr="00C86111" w:rsidRDefault="00C23D65" w:rsidP="00EA6904">
      <w:pPr>
        <w:pStyle w:val="Heading3"/>
      </w:pPr>
      <w:bookmarkStart w:id="98" w:name="_Toc220541899"/>
      <w:r w:rsidRPr="00C86111">
        <w:t>EEE u upotrebi u Crnoj Gori</w:t>
      </w:r>
      <w:bookmarkEnd w:id="98"/>
    </w:p>
    <w:p w14:paraId="7FE0BC6C" w14:textId="77777777" w:rsidR="002C477F" w:rsidRPr="00C86111" w:rsidRDefault="002C477F" w:rsidP="002C477F"/>
    <w:p w14:paraId="5D1683B0"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Najnoviji popis električne i elektronske opreme u Crnoj Gori (2023) nije sadržavao podatke o CRT televizorima i monitorima po domaćinstvima. Da bi se nadomjestila ova praznina, sprovedena je anketa u 119 domaćinstava radi procjene prisustva i stanja CRT uređaja.</w:t>
      </w:r>
    </w:p>
    <w:p w14:paraId="43C6DA11" w14:textId="7F5B133F"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Rezultati ankete pokazuju (</w:t>
      </w:r>
      <w:r w:rsidR="002C477F" w:rsidRPr="00C86111">
        <w:rPr>
          <w:rFonts w:asciiTheme="minorHAnsi" w:hAnsiTheme="minorHAnsi" w:cstheme="minorHAnsi"/>
          <w:szCs w:val="24"/>
          <w:lang w:val="sr-Latn-RS"/>
        </w:rPr>
        <w:t>Grafici</w:t>
      </w:r>
      <w:r w:rsidRPr="00C86111">
        <w:rPr>
          <w:rFonts w:asciiTheme="minorHAnsi" w:hAnsiTheme="minorHAnsi" w:cstheme="minorHAnsi"/>
          <w:szCs w:val="24"/>
          <w:lang w:val="sr-Latn-RS"/>
        </w:rPr>
        <w:t xml:space="preserve"> 3 i 4)</w:t>
      </w:r>
      <w:r w:rsidRPr="00C86111">
        <w:rPr>
          <w:rFonts w:asciiTheme="minorHAnsi" w:hAnsiTheme="minorHAnsi" w:cstheme="minorHAnsi"/>
          <w:szCs w:val="24"/>
        </w:rPr>
        <w:t>:</w:t>
      </w:r>
    </w:p>
    <w:p w14:paraId="3EA8A3EE" w14:textId="77777777" w:rsidR="00C23D65" w:rsidRPr="00C86111" w:rsidRDefault="00C23D65" w:rsidP="00004F34">
      <w:pPr>
        <w:numPr>
          <w:ilvl w:val="0"/>
          <w:numId w:val="192"/>
        </w:numPr>
        <w:jc w:val="both"/>
        <w:rPr>
          <w:rFonts w:asciiTheme="minorHAnsi" w:hAnsiTheme="minorHAnsi" w:cstheme="minorHAnsi"/>
          <w:szCs w:val="24"/>
        </w:rPr>
      </w:pPr>
      <w:r w:rsidRPr="00C86111">
        <w:rPr>
          <w:rFonts w:asciiTheme="minorHAnsi" w:hAnsiTheme="minorHAnsi" w:cstheme="minorHAnsi"/>
          <w:szCs w:val="24"/>
        </w:rPr>
        <w:lastRenderedPageBreak/>
        <w:t>CRT televizori: 11% domaćinstava ima uređaj u upotrebi, 14,4% ima televizor koji nije u upotrebi, dok 74,6% domaćinstava nema CRT televizor. Od televizora u upotrebi, 94,1% su u boji, ostatak crno-bijeli.</w:t>
      </w:r>
    </w:p>
    <w:p w14:paraId="66A5AE8F" w14:textId="77777777" w:rsidR="00C23D65" w:rsidRPr="00C86111" w:rsidRDefault="00C23D65" w:rsidP="00004F34">
      <w:pPr>
        <w:numPr>
          <w:ilvl w:val="0"/>
          <w:numId w:val="192"/>
        </w:numPr>
        <w:jc w:val="both"/>
        <w:rPr>
          <w:rFonts w:asciiTheme="minorHAnsi" w:hAnsiTheme="minorHAnsi" w:cstheme="minorHAnsi"/>
          <w:szCs w:val="24"/>
        </w:rPr>
      </w:pPr>
      <w:r w:rsidRPr="00C86111">
        <w:rPr>
          <w:rFonts w:asciiTheme="minorHAnsi" w:hAnsiTheme="minorHAnsi" w:cstheme="minorHAnsi"/>
          <w:szCs w:val="24"/>
        </w:rPr>
        <w:t>CRT monitori: 12% domaćinstava posjeduje monitore, ali nisu u upotrebi; 86,4% domaćinstava ih nema.</w:t>
      </w:r>
    </w:p>
    <w:p w14:paraId="7D26A0A0" w14:textId="4A0FF2D0"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 xml:space="preserve">Na osnovu procijenjenog udjela polimera u kućištima (prosjek 30%), ukupna količina CRT opreme u upotrebi i na zalihama iznosi približno 2.118 tona, od čega je 634 tone plastike. Procijenjena količina heksa/heptaBDE iznosi 497 kg, a decaBDE 2.797 kg (Tabela </w:t>
      </w:r>
      <w:r w:rsidR="002C477F" w:rsidRPr="00C86111">
        <w:rPr>
          <w:rFonts w:asciiTheme="minorHAnsi" w:hAnsiTheme="minorHAnsi" w:cstheme="minorHAnsi"/>
          <w:szCs w:val="24"/>
        </w:rPr>
        <w:t>47</w:t>
      </w:r>
      <w:r w:rsidRPr="00C86111">
        <w:rPr>
          <w:rFonts w:asciiTheme="minorHAnsi" w:hAnsiTheme="minorHAnsi" w:cstheme="minorHAnsi"/>
          <w:szCs w:val="24"/>
        </w:rPr>
        <w:t xml:space="preserve">, </w:t>
      </w:r>
      <w:r w:rsidR="002C477F" w:rsidRPr="00C86111">
        <w:rPr>
          <w:rFonts w:asciiTheme="minorHAnsi" w:hAnsiTheme="minorHAnsi" w:cstheme="minorHAnsi"/>
          <w:szCs w:val="24"/>
        </w:rPr>
        <w:t>Grafik</w:t>
      </w:r>
      <w:r w:rsidRPr="00C86111">
        <w:rPr>
          <w:rFonts w:asciiTheme="minorHAnsi" w:hAnsiTheme="minorHAnsi" w:cstheme="minorHAnsi"/>
          <w:szCs w:val="24"/>
        </w:rPr>
        <w:t xml:space="preserve"> 5).</w:t>
      </w:r>
    </w:p>
    <w:p w14:paraId="4DED23EB" w14:textId="77777777" w:rsidR="00C23D65" w:rsidRPr="00C86111" w:rsidRDefault="00C23D65" w:rsidP="00C23D65">
      <w:pPr>
        <w:jc w:val="both"/>
        <w:rPr>
          <w:rFonts w:asciiTheme="minorHAnsi" w:hAnsiTheme="minorHAnsi" w:cstheme="minorHAnsi"/>
          <w:b/>
          <w:bCs/>
          <w:color w:val="auto"/>
          <w:szCs w:val="24"/>
        </w:rPr>
      </w:pPr>
    </w:p>
    <w:p w14:paraId="1D87C9B6" w14:textId="77777777" w:rsidR="00C23D65" w:rsidRPr="00C86111" w:rsidRDefault="00C23D65" w:rsidP="00C23D65">
      <w:pPr>
        <w:jc w:val="both"/>
        <w:rPr>
          <w:rFonts w:asciiTheme="minorHAnsi" w:hAnsiTheme="minorHAnsi" w:cstheme="minorHAnsi"/>
          <w:b/>
          <w:bCs/>
          <w:color w:val="auto"/>
          <w:szCs w:val="24"/>
        </w:rPr>
      </w:pPr>
    </w:p>
    <w:p w14:paraId="7D520EB3" w14:textId="55E8B05B" w:rsidR="00C23D65" w:rsidRPr="00C86111" w:rsidRDefault="00C23D65" w:rsidP="00C23D65">
      <w:pPr>
        <w:jc w:val="center"/>
        <w:rPr>
          <w:rFonts w:asciiTheme="minorHAnsi" w:hAnsiTheme="minorHAnsi" w:cstheme="minorHAnsi"/>
          <w:color w:val="auto"/>
          <w:szCs w:val="24"/>
        </w:rPr>
      </w:pPr>
      <w:r w:rsidRPr="00C86111">
        <w:rPr>
          <w:rFonts w:asciiTheme="minorHAnsi" w:hAnsiTheme="minorHAnsi" w:cstheme="minorHAnsi"/>
          <w:noProof/>
          <w:szCs w:val="24"/>
        </w:rPr>
        <w:drawing>
          <wp:inline distT="0" distB="0" distL="0" distR="0" wp14:anchorId="73FD2848" wp14:editId="36A6A094">
            <wp:extent cx="4587240" cy="2343150"/>
            <wp:effectExtent l="0" t="0" r="3810" b="0"/>
            <wp:docPr id="2045085486" name="Chart 2045085486">
              <a:extLst xmlns:a="http://schemas.openxmlformats.org/drawingml/2006/main">
                <a:ext uri="{FF2B5EF4-FFF2-40B4-BE49-F238E27FC236}">
                  <a16:creationId xmlns:a16="http://schemas.microsoft.com/office/drawing/2014/main" id="{A0181C3A-3042-B8E6-9493-59B57E36D0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00AE316" w14:textId="48C51F0A" w:rsidR="00C23D65" w:rsidRPr="00C86111" w:rsidRDefault="002C477F" w:rsidP="00C23D65">
      <w:pPr>
        <w:pStyle w:val="Text"/>
        <w:tabs>
          <w:tab w:val="left" w:pos="3510"/>
        </w:tabs>
        <w:spacing w:after="60"/>
        <w:jc w:val="center"/>
        <w:rPr>
          <w:rFonts w:asciiTheme="minorHAnsi" w:hAnsiTheme="minorHAnsi" w:cstheme="minorHAnsi"/>
          <w:b/>
          <w:bCs/>
          <w:i/>
          <w:iCs/>
          <w:sz w:val="24"/>
          <w:szCs w:val="24"/>
        </w:rPr>
      </w:pPr>
      <w:r w:rsidRPr="00C86111">
        <w:rPr>
          <w:rFonts w:asciiTheme="minorHAnsi" w:hAnsiTheme="minorHAnsi" w:cstheme="minorHAnsi"/>
          <w:b/>
          <w:bCs/>
          <w:sz w:val="24"/>
          <w:szCs w:val="24"/>
        </w:rPr>
        <w:t>Grafik</w:t>
      </w:r>
      <w:r w:rsidR="00C23D65" w:rsidRPr="00C86111">
        <w:rPr>
          <w:rFonts w:asciiTheme="minorHAnsi" w:hAnsiTheme="minorHAnsi" w:cstheme="minorHAnsi"/>
          <w:b/>
          <w:bCs/>
          <w:sz w:val="24"/>
          <w:szCs w:val="24"/>
        </w:rPr>
        <w:t xml:space="preserve"> 3.</w:t>
      </w:r>
      <w:r w:rsidR="00C23D65" w:rsidRPr="00C86111">
        <w:rPr>
          <w:rFonts w:asciiTheme="minorHAnsi" w:hAnsiTheme="minorHAnsi" w:cstheme="minorHAnsi"/>
          <w:sz w:val="24"/>
          <w:szCs w:val="24"/>
        </w:rPr>
        <w:t xml:space="preserve"> Rezultati ankete o CRT TV u  2024.</w:t>
      </w:r>
    </w:p>
    <w:p w14:paraId="4CB698C9" w14:textId="4BE2B32A" w:rsidR="00C23D65" w:rsidRPr="00C86111" w:rsidRDefault="00C23D65" w:rsidP="00C23D65">
      <w:pPr>
        <w:jc w:val="center"/>
        <w:rPr>
          <w:rFonts w:asciiTheme="minorHAnsi" w:hAnsiTheme="minorHAnsi" w:cstheme="minorHAnsi"/>
          <w:color w:val="auto"/>
          <w:szCs w:val="24"/>
        </w:rPr>
      </w:pPr>
      <w:r w:rsidRPr="00C86111">
        <w:rPr>
          <w:rFonts w:asciiTheme="minorHAnsi" w:hAnsiTheme="minorHAnsi" w:cstheme="minorHAnsi"/>
          <w:noProof/>
          <w:szCs w:val="24"/>
        </w:rPr>
        <w:drawing>
          <wp:inline distT="0" distB="0" distL="0" distR="0" wp14:anchorId="51FF3609" wp14:editId="2CA08284">
            <wp:extent cx="4587240" cy="2374900"/>
            <wp:effectExtent l="0" t="0" r="3810" b="6350"/>
            <wp:docPr id="1459780389" name="Chart 1459780389">
              <a:extLst xmlns:a="http://schemas.openxmlformats.org/drawingml/2006/main">
                <a:ext uri="{FF2B5EF4-FFF2-40B4-BE49-F238E27FC236}">
                  <a16:creationId xmlns:a16="http://schemas.microsoft.com/office/drawing/2014/main" id="{6CA34AA6-A04E-DF1B-4E49-F99A8B1950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410300A" w14:textId="2D6A1C0C" w:rsidR="00C23D65" w:rsidRPr="00C86111" w:rsidRDefault="002C477F" w:rsidP="00C23D65">
      <w:pPr>
        <w:pStyle w:val="Text"/>
        <w:jc w:val="center"/>
        <w:rPr>
          <w:rFonts w:asciiTheme="minorHAnsi" w:hAnsiTheme="minorHAnsi" w:cstheme="minorHAnsi"/>
          <w:sz w:val="24"/>
          <w:szCs w:val="24"/>
        </w:rPr>
      </w:pPr>
      <w:r w:rsidRPr="00C86111">
        <w:rPr>
          <w:rFonts w:asciiTheme="minorHAnsi" w:hAnsiTheme="minorHAnsi" w:cstheme="minorHAnsi"/>
          <w:b/>
          <w:bCs/>
          <w:sz w:val="24"/>
          <w:szCs w:val="24"/>
        </w:rPr>
        <w:t>Grafik</w:t>
      </w:r>
      <w:r w:rsidR="00C23D65" w:rsidRPr="00C86111">
        <w:rPr>
          <w:rFonts w:asciiTheme="minorHAnsi" w:hAnsiTheme="minorHAnsi" w:cstheme="minorHAnsi"/>
          <w:b/>
          <w:bCs/>
          <w:sz w:val="24"/>
          <w:szCs w:val="24"/>
        </w:rPr>
        <w:t xml:space="preserve"> 4.</w:t>
      </w:r>
      <w:r w:rsidR="00C23D65" w:rsidRPr="00C86111">
        <w:rPr>
          <w:rFonts w:asciiTheme="minorHAnsi" w:hAnsiTheme="minorHAnsi" w:cstheme="minorHAnsi"/>
          <w:sz w:val="24"/>
          <w:szCs w:val="24"/>
        </w:rPr>
        <w:t xml:space="preserve"> Rezultati ankete o CRT monitorima u 2024</w:t>
      </w:r>
    </w:p>
    <w:p w14:paraId="4C0F9B04" w14:textId="77777777" w:rsidR="00C23D65" w:rsidRDefault="00C23D65" w:rsidP="00C23D65">
      <w:pPr>
        <w:jc w:val="both"/>
        <w:rPr>
          <w:rFonts w:asciiTheme="minorHAnsi" w:hAnsiTheme="minorHAnsi" w:cstheme="minorHAnsi"/>
          <w:color w:val="auto"/>
          <w:szCs w:val="24"/>
        </w:rPr>
      </w:pPr>
    </w:p>
    <w:p w14:paraId="50FDCD2E" w14:textId="77777777" w:rsidR="00E2027B" w:rsidRDefault="00E2027B" w:rsidP="00C23D65">
      <w:pPr>
        <w:jc w:val="both"/>
        <w:rPr>
          <w:rFonts w:asciiTheme="minorHAnsi" w:hAnsiTheme="minorHAnsi" w:cstheme="minorHAnsi"/>
          <w:color w:val="auto"/>
          <w:szCs w:val="24"/>
        </w:rPr>
      </w:pPr>
    </w:p>
    <w:p w14:paraId="7E609ADD" w14:textId="77777777" w:rsidR="00E2027B" w:rsidRDefault="00E2027B" w:rsidP="00C23D65">
      <w:pPr>
        <w:jc w:val="both"/>
        <w:rPr>
          <w:rFonts w:asciiTheme="minorHAnsi" w:hAnsiTheme="minorHAnsi" w:cstheme="minorHAnsi"/>
          <w:color w:val="auto"/>
          <w:szCs w:val="24"/>
        </w:rPr>
      </w:pPr>
    </w:p>
    <w:p w14:paraId="46B6C7F3" w14:textId="77777777" w:rsidR="00E2027B" w:rsidRDefault="00E2027B" w:rsidP="00C23D65">
      <w:pPr>
        <w:jc w:val="both"/>
        <w:rPr>
          <w:rFonts w:asciiTheme="minorHAnsi" w:hAnsiTheme="minorHAnsi" w:cstheme="minorHAnsi"/>
          <w:color w:val="auto"/>
          <w:szCs w:val="24"/>
        </w:rPr>
      </w:pPr>
    </w:p>
    <w:p w14:paraId="38EA0130" w14:textId="77777777" w:rsidR="00E2027B" w:rsidRPr="00C86111" w:rsidRDefault="00E2027B" w:rsidP="00C23D65">
      <w:pPr>
        <w:jc w:val="both"/>
        <w:rPr>
          <w:rFonts w:asciiTheme="minorHAnsi" w:hAnsiTheme="minorHAnsi" w:cstheme="minorHAnsi"/>
          <w:color w:val="auto"/>
          <w:szCs w:val="24"/>
        </w:rPr>
      </w:pPr>
    </w:p>
    <w:p w14:paraId="0DBAC8D0" w14:textId="07E00B96"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lastRenderedPageBreak/>
        <w:t xml:space="preserve">Tabela </w:t>
      </w:r>
      <w:r w:rsidR="002C477F" w:rsidRPr="00C86111">
        <w:rPr>
          <w:rFonts w:asciiTheme="minorHAnsi" w:hAnsiTheme="minorHAnsi" w:cstheme="minorHAnsi"/>
          <w:b/>
          <w:bCs/>
          <w:color w:val="auto"/>
          <w:szCs w:val="24"/>
        </w:rPr>
        <w:t>47</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Sadržaj PBDE u CRT televizorima u upotrebi, na zalihama i u CRT monitorima</w:t>
      </w:r>
    </w:p>
    <w:tbl>
      <w:tblPr>
        <w:tblStyle w:val="GridTable5Dark-Accent6"/>
        <w:tblW w:w="4780" w:type="pct"/>
        <w:tblLook w:val="04A0" w:firstRow="1" w:lastRow="0" w:firstColumn="1" w:lastColumn="0" w:noHBand="0" w:noVBand="1"/>
      </w:tblPr>
      <w:tblGrid>
        <w:gridCol w:w="1023"/>
        <w:gridCol w:w="871"/>
        <w:gridCol w:w="963"/>
        <w:gridCol w:w="964"/>
        <w:gridCol w:w="1604"/>
        <w:gridCol w:w="1604"/>
        <w:gridCol w:w="955"/>
        <w:gridCol w:w="955"/>
      </w:tblGrid>
      <w:tr w:rsidR="00C23D65" w:rsidRPr="00C86111" w14:paraId="10A56C23" w14:textId="77777777" w:rsidTr="00C23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2" w:type="pct"/>
            <w:tcBorders>
              <w:bottom w:val="single" w:sz="4" w:space="0" w:color="FFFFFF" w:themeColor="background1"/>
            </w:tcBorders>
            <w:hideMark/>
          </w:tcPr>
          <w:p w14:paraId="65CB753F"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Oprema (prema UNU ključu)</w:t>
            </w:r>
          </w:p>
        </w:tc>
        <w:tc>
          <w:tcPr>
            <w:tcW w:w="487" w:type="pct"/>
            <w:tcBorders>
              <w:bottom w:val="single" w:sz="4" w:space="0" w:color="FFFFFF" w:themeColor="background1"/>
            </w:tcBorders>
            <w:hideMark/>
          </w:tcPr>
          <w:p w14:paraId="495DE0B5"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Količina EEE (tona)</w:t>
            </w:r>
          </w:p>
        </w:tc>
        <w:tc>
          <w:tcPr>
            <w:tcW w:w="539" w:type="pct"/>
            <w:tcBorders>
              <w:bottom w:val="single" w:sz="4" w:space="0" w:color="FFFFFF" w:themeColor="background1"/>
            </w:tcBorders>
            <w:hideMark/>
          </w:tcPr>
          <w:p w14:paraId="31824C08"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Udio polimera (prosjek) (%)</w:t>
            </w:r>
          </w:p>
        </w:tc>
        <w:tc>
          <w:tcPr>
            <w:tcW w:w="539" w:type="pct"/>
            <w:tcBorders>
              <w:bottom w:val="single" w:sz="4" w:space="0" w:color="FFFFFF" w:themeColor="background1"/>
            </w:tcBorders>
            <w:hideMark/>
          </w:tcPr>
          <w:p w14:paraId="6EABA54C"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Količina polimera (tona)</w:t>
            </w:r>
          </w:p>
        </w:tc>
        <w:tc>
          <w:tcPr>
            <w:tcW w:w="897" w:type="pct"/>
            <w:tcBorders>
              <w:bottom w:val="single" w:sz="4" w:space="0" w:color="FFFFFF" w:themeColor="background1"/>
            </w:tcBorders>
            <w:hideMark/>
          </w:tcPr>
          <w:p w14:paraId="49F13F02"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Sadržaj heksa/heptaBDE u plastici (prosjek) (kg/t)</w:t>
            </w:r>
          </w:p>
        </w:tc>
        <w:tc>
          <w:tcPr>
            <w:tcW w:w="897" w:type="pct"/>
            <w:tcBorders>
              <w:bottom w:val="single" w:sz="4" w:space="0" w:color="FFFFFF" w:themeColor="background1"/>
            </w:tcBorders>
            <w:hideMark/>
          </w:tcPr>
          <w:p w14:paraId="470B06DE"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Količina heksa/heptaBDE (kg)</w:t>
            </w:r>
          </w:p>
        </w:tc>
        <w:tc>
          <w:tcPr>
            <w:tcW w:w="534" w:type="pct"/>
            <w:tcBorders>
              <w:bottom w:val="single" w:sz="4" w:space="0" w:color="FFFFFF" w:themeColor="background1"/>
            </w:tcBorders>
            <w:hideMark/>
          </w:tcPr>
          <w:p w14:paraId="0D135602"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Sadržaj dekaBDE u plastici (prosjek) (kg/t)</w:t>
            </w:r>
          </w:p>
        </w:tc>
        <w:tc>
          <w:tcPr>
            <w:tcW w:w="534" w:type="pct"/>
            <w:tcBorders>
              <w:bottom w:val="single" w:sz="4" w:space="0" w:color="FFFFFF" w:themeColor="background1"/>
            </w:tcBorders>
            <w:hideMark/>
          </w:tcPr>
          <w:p w14:paraId="39D738A9"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Količina dekaBDE (kg)</w:t>
            </w:r>
          </w:p>
        </w:tc>
      </w:tr>
      <w:tr w:rsidR="00C23D65" w:rsidRPr="00C86111" w14:paraId="2BFF6FB6"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2" w:type="pct"/>
            <w:tcBorders>
              <w:top w:val="single" w:sz="4" w:space="0" w:color="FFFFFF" w:themeColor="background1"/>
              <w:bottom w:val="single" w:sz="4" w:space="0" w:color="FFFFFF" w:themeColor="background1"/>
              <w:right w:val="single" w:sz="4" w:space="0" w:color="FFFFFF" w:themeColor="background1"/>
            </w:tcBorders>
            <w:hideMark/>
          </w:tcPr>
          <w:p w14:paraId="35322BCB"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CRT monitor</w:t>
            </w:r>
          </w:p>
        </w:tc>
        <w:tc>
          <w:tcPr>
            <w:tcW w:w="4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0C6E39C"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739</w:t>
            </w:r>
          </w:p>
        </w:tc>
        <w:tc>
          <w:tcPr>
            <w:tcW w:w="5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916C1D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30</w:t>
            </w:r>
          </w:p>
        </w:tc>
        <w:tc>
          <w:tcPr>
            <w:tcW w:w="5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9176413"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221</w:t>
            </w:r>
          </w:p>
        </w:tc>
        <w:tc>
          <w:tcPr>
            <w:tcW w:w="8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166CFE4"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1.37</w:t>
            </w:r>
          </w:p>
        </w:tc>
        <w:tc>
          <w:tcPr>
            <w:tcW w:w="8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042575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303</w:t>
            </w:r>
          </w:p>
        </w:tc>
        <w:tc>
          <w:tcPr>
            <w:tcW w:w="5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C1E5616"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3.2</w:t>
            </w:r>
          </w:p>
        </w:tc>
        <w:tc>
          <w:tcPr>
            <w:tcW w:w="5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2D978E3"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976</w:t>
            </w:r>
          </w:p>
        </w:tc>
      </w:tr>
      <w:tr w:rsidR="00C23D65" w:rsidRPr="00C86111" w14:paraId="77831B9C" w14:textId="77777777" w:rsidTr="00C23D65">
        <w:tc>
          <w:tcPr>
            <w:cnfStyle w:val="001000000000" w:firstRow="0" w:lastRow="0" w:firstColumn="1" w:lastColumn="0" w:oddVBand="0" w:evenVBand="0" w:oddHBand="0" w:evenHBand="0" w:firstRowFirstColumn="0" w:firstRowLastColumn="0" w:lastRowFirstColumn="0" w:lastRowLastColumn="0"/>
            <w:tcW w:w="572" w:type="pct"/>
            <w:tcBorders>
              <w:top w:val="single" w:sz="4" w:space="0" w:color="FFFFFF" w:themeColor="background1"/>
              <w:bottom w:val="single" w:sz="4" w:space="0" w:color="FFFFFF" w:themeColor="background1"/>
              <w:right w:val="single" w:sz="4" w:space="0" w:color="FFFFFF" w:themeColor="background1"/>
            </w:tcBorders>
            <w:hideMark/>
          </w:tcPr>
          <w:p w14:paraId="016D6B65"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CRT TV (na zalihama)</w:t>
            </w:r>
          </w:p>
        </w:tc>
        <w:tc>
          <w:tcPr>
            <w:tcW w:w="4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DBD9FBC"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782</w:t>
            </w:r>
          </w:p>
        </w:tc>
        <w:tc>
          <w:tcPr>
            <w:tcW w:w="5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EA5E948"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30</w:t>
            </w:r>
          </w:p>
        </w:tc>
        <w:tc>
          <w:tcPr>
            <w:tcW w:w="5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DF3495F"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234</w:t>
            </w:r>
          </w:p>
        </w:tc>
        <w:tc>
          <w:tcPr>
            <w:tcW w:w="8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9528FA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0.47</w:t>
            </w:r>
          </w:p>
        </w:tc>
        <w:tc>
          <w:tcPr>
            <w:tcW w:w="8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F5E318B"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110</w:t>
            </w:r>
          </w:p>
        </w:tc>
        <w:tc>
          <w:tcPr>
            <w:tcW w:w="5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B9F7199"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4.4</w:t>
            </w:r>
          </w:p>
        </w:tc>
        <w:tc>
          <w:tcPr>
            <w:tcW w:w="5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ED5B4B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1033</w:t>
            </w:r>
          </w:p>
        </w:tc>
      </w:tr>
      <w:tr w:rsidR="00C23D65" w:rsidRPr="00C86111" w14:paraId="57B7A646"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2" w:type="pct"/>
            <w:tcBorders>
              <w:top w:val="single" w:sz="4" w:space="0" w:color="FFFFFF" w:themeColor="background1"/>
              <w:bottom w:val="single" w:sz="4" w:space="0" w:color="FFFFFF" w:themeColor="background1"/>
              <w:right w:val="single" w:sz="4" w:space="0" w:color="FFFFFF" w:themeColor="background1"/>
            </w:tcBorders>
            <w:hideMark/>
          </w:tcPr>
          <w:p w14:paraId="7BC719EB"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CRT TV (u upotrebi)</w:t>
            </w:r>
          </w:p>
        </w:tc>
        <w:tc>
          <w:tcPr>
            <w:tcW w:w="4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03A3C1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597</w:t>
            </w:r>
          </w:p>
        </w:tc>
        <w:tc>
          <w:tcPr>
            <w:tcW w:w="5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20119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30</w:t>
            </w:r>
          </w:p>
        </w:tc>
        <w:tc>
          <w:tcPr>
            <w:tcW w:w="5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A50133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179</w:t>
            </w:r>
          </w:p>
        </w:tc>
        <w:tc>
          <w:tcPr>
            <w:tcW w:w="8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CFE0FE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0.47</w:t>
            </w:r>
          </w:p>
        </w:tc>
        <w:tc>
          <w:tcPr>
            <w:tcW w:w="8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9B4F27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84</w:t>
            </w:r>
          </w:p>
        </w:tc>
        <w:tc>
          <w:tcPr>
            <w:tcW w:w="5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C6F8D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4.4</w:t>
            </w:r>
          </w:p>
        </w:tc>
        <w:tc>
          <w:tcPr>
            <w:tcW w:w="5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544B3EF"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788</w:t>
            </w:r>
          </w:p>
        </w:tc>
      </w:tr>
      <w:tr w:rsidR="00C23D65" w:rsidRPr="00C86111" w14:paraId="76FEE87D" w14:textId="77777777" w:rsidTr="00C23D65">
        <w:tc>
          <w:tcPr>
            <w:cnfStyle w:val="001000000000" w:firstRow="0" w:lastRow="0" w:firstColumn="1" w:lastColumn="0" w:oddVBand="0" w:evenVBand="0" w:oddHBand="0" w:evenHBand="0" w:firstRowFirstColumn="0" w:firstRowLastColumn="0" w:lastRowFirstColumn="0" w:lastRowLastColumn="0"/>
            <w:tcW w:w="572" w:type="pct"/>
            <w:tcBorders>
              <w:top w:val="single" w:sz="4" w:space="0" w:color="FFFFFF" w:themeColor="background1"/>
              <w:right w:val="single" w:sz="4" w:space="0" w:color="FFFFFF" w:themeColor="background1"/>
            </w:tcBorders>
            <w:hideMark/>
          </w:tcPr>
          <w:p w14:paraId="3B72AC16"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Ukupno</w:t>
            </w:r>
          </w:p>
        </w:tc>
        <w:tc>
          <w:tcPr>
            <w:tcW w:w="4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940ADF8"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2118</w:t>
            </w:r>
          </w:p>
        </w:tc>
        <w:tc>
          <w:tcPr>
            <w:tcW w:w="5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5EE51B"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p>
        </w:tc>
        <w:tc>
          <w:tcPr>
            <w:tcW w:w="5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087E067"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634</w:t>
            </w:r>
          </w:p>
        </w:tc>
        <w:tc>
          <w:tcPr>
            <w:tcW w:w="8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B88D9C"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p>
        </w:tc>
        <w:tc>
          <w:tcPr>
            <w:tcW w:w="8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E1D75DF"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497</w:t>
            </w:r>
          </w:p>
        </w:tc>
        <w:tc>
          <w:tcPr>
            <w:tcW w:w="5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3FC63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p>
        </w:tc>
        <w:tc>
          <w:tcPr>
            <w:tcW w:w="5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A46D39"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2797</w:t>
            </w:r>
          </w:p>
        </w:tc>
      </w:tr>
    </w:tbl>
    <w:p w14:paraId="2C29F9E0" w14:textId="77777777" w:rsidR="00C23D65" w:rsidRPr="00C86111" w:rsidRDefault="00C23D65" w:rsidP="00C23D65">
      <w:pPr>
        <w:jc w:val="both"/>
        <w:rPr>
          <w:rFonts w:asciiTheme="minorHAnsi" w:hAnsiTheme="minorHAnsi" w:cstheme="minorHAnsi"/>
          <w:b/>
          <w:bCs/>
          <w:color w:val="auto"/>
          <w:szCs w:val="24"/>
        </w:rPr>
      </w:pPr>
    </w:p>
    <w:p w14:paraId="6163C098" w14:textId="2A5700F3" w:rsidR="00C23D65" w:rsidRPr="00C86111" w:rsidRDefault="00C23D65" w:rsidP="00C23D65">
      <w:pPr>
        <w:pStyle w:val="Text"/>
        <w:jc w:val="center"/>
        <w:rPr>
          <w:rFonts w:asciiTheme="minorHAnsi" w:hAnsiTheme="minorHAnsi" w:cstheme="minorHAnsi"/>
        </w:rPr>
      </w:pPr>
      <w:r w:rsidRPr="00C86111">
        <w:rPr>
          <w:rFonts w:asciiTheme="minorHAnsi" w:hAnsiTheme="minorHAnsi" w:cstheme="minorHAnsi"/>
          <w:noProof/>
          <w14:textOutline w14:w="0" w14:cap="rnd" w14:cmpd="sng" w14:algn="ctr">
            <w14:noFill/>
            <w14:prstDash w14:val="solid"/>
            <w14:bevel/>
          </w14:textOutline>
        </w:rPr>
        <w:drawing>
          <wp:inline distT="0" distB="0" distL="0" distR="0" wp14:anchorId="46C8D60E" wp14:editId="2A556D83">
            <wp:extent cx="4587240" cy="2110740"/>
            <wp:effectExtent l="0" t="0" r="3810" b="3810"/>
            <wp:docPr id="719252018" name="Chart 719252018">
              <a:extLst xmlns:a="http://schemas.openxmlformats.org/drawingml/2006/main">
                <a:ext uri="{FF2B5EF4-FFF2-40B4-BE49-F238E27FC236}">
                  <a16:creationId xmlns:a16="http://schemas.microsoft.com/office/drawing/2014/main" id="{FE8FC70B-0D72-7537-8A18-5E7EC759D0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C86111">
        <w:rPr>
          <w:rFonts w:asciiTheme="minorHAnsi" w:hAnsiTheme="minorHAnsi" w:cstheme="minorHAnsi"/>
          <w:noProof/>
        </w:rPr>
        <w:t xml:space="preserve"> </w:t>
      </w:r>
    </w:p>
    <w:p w14:paraId="4AE0663A" w14:textId="644D3AFE" w:rsidR="00C23D65" w:rsidRPr="00C86111" w:rsidRDefault="002C477F" w:rsidP="00C23D65">
      <w:pPr>
        <w:pStyle w:val="Text"/>
        <w:jc w:val="center"/>
        <w:rPr>
          <w:rFonts w:asciiTheme="minorHAnsi" w:hAnsiTheme="minorHAnsi" w:cstheme="minorHAnsi"/>
          <w:b/>
          <w:bCs/>
          <w:sz w:val="24"/>
          <w:szCs w:val="24"/>
        </w:rPr>
      </w:pPr>
      <w:r w:rsidRPr="00C86111">
        <w:rPr>
          <w:rFonts w:asciiTheme="minorHAnsi" w:hAnsiTheme="minorHAnsi" w:cstheme="minorHAnsi"/>
          <w:b/>
          <w:bCs/>
          <w:sz w:val="24"/>
          <w:szCs w:val="24"/>
        </w:rPr>
        <w:t>Grafik</w:t>
      </w:r>
      <w:r w:rsidR="00C23D65" w:rsidRPr="00C86111">
        <w:rPr>
          <w:rFonts w:asciiTheme="minorHAnsi" w:hAnsiTheme="minorHAnsi" w:cstheme="minorHAnsi"/>
          <w:b/>
          <w:bCs/>
          <w:sz w:val="24"/>
          <w:szCs w:val="24"/>
        </w:rPr>
        <w:t xml:space="preserve"> 5.</w:t>
      </w:r>
      <w:r w:rsidR="00C23D65" w:rsidRPr="00C86111">
        <w:rPr>
          <w:rFonts w:asciiTheme="minorHAnsi" w:hAnsiTheme="minorHAnsi" w:cstheme="minorHAnsi"/>
          <w:color w:val="auto"/>
          <w:sz w:val="24"/>
          <w:szCs w:val="24"/>
        </w:rPr>
        <w:t xml:space="preserve"> Sadržaj PBDE u CRT televizorima u upotrebi, na zalihama i u CRT monitorima</w:t>
      </w:r>
    </w:p>
    <w:p w14:paraId="1DBEA533" w14:textId="77777777" w:rsidR="00C23D65" w:rsidRPr="00C86111" w:rsidRDefault="00C23D65" w:rsidP="00C23D65">
      <w:pPr>
        <w:jc w:val="both"/>
        <w:rPr>
          <w:rFonts w:asciiTheme="minorHAnsi" w:hAnsiTheme="minorHAnsi" w:cstheme="minorHAnsi"/>
          <w:b/>
          <w:bCs/>
          <w:color w:val="002060"/>
          <w:szCs w:val="24"/>
        </w:rPr>
      </w:pPr>
      <w:r w:rsidRPr="00C86111">
        <w:rPr>
          <w:rFonts w:asciiTheme="minorHAnsi" w:hAnsiTheme="minorHAnsi" w:cstheme="minorHAnsi"/>
          <w:b/>
          <w:bCs/>
          <w:color w:val="002060"/>
          <w:szCs w:val="24"/>
        </w:rPr>
        <w:t>Zaključci</w:t>
      </w:r>
    </w:p>
    <w:p w14:paraId="35D45F1C"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Iako se često smatra da je većina CRT uređaja već odložena, rezultati pokazuju da značajan broj CRT televizora i dalje postoji u domaćinstvima ili u zalihama. Ovo ukazuje na potrebu za planiranim mjerama i kampanjama za pravilno upravljanje ovim uređajima na kraju njihovog životnog vijeka.</w:t>
      </w:r>
    </w:p>
    <w:p w14:paraId="2F5176E3"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S druge strane, CRT monitori se već mogu smatrati otpadom, jer se više ne koriste, ali i dalje predstavljaju značajan rezervoar plastike koja sadrži PBDE supstance, što ih čini važnim ciljem za kontrolisano sakupljanje i tretman.</w:t>
      </w:r>
    </w:p>
    <w:p w14:paraId="411EDC70" w14:textId="77777777" w:rsidR="00C23D65" w:rsidRPr="00C86111" w:rsidRDefault="00C23D65" w:rsidP="00EA6904">
      <w:pPr>
        <w:pStyle w:val="Heading3"/>
      </w:pPr>
      <w:bookmarkStart w:id="99" w:name="_Toc220541900"/>
      <w:r w:rsidRPr="00C86111">
        <w:t>Uvoz električne i elektronske opreme (EEE) u Crnoj Gori</w:t>
      </w:r>
      <w:bookmarkEnd w:id="99"/>
    </w:p>
    <w:p w14:paraId="0A06693B" w14:textId="77777777" w:rsidR="002C477F" w:rsidRPr="00C86111" w:rsidRDefault="002C477F" w:rsidP="002C477F"/>
    <w:p w14:paraId="57FB7D5E"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Prema podacima Uprave carina, u periodu od 2017. do 2023. godine u Crnu Goru je uvezeno ukupno 2,345 tona CRT televizora, 6 tona CRT monitora i 1.991 tonu LCD televizora. Proračun sadržaja POP-PBDE u ovoj uvezenoj opremi pokazuje značajne razlike između kategorija uređaja, kako po tipu PBDE, tako i po koncentraciji u plastici.</w:t>
      </w:r>
    </w:p>
    <w:p w14:paraId="66056054"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Analiza CRT televizora pokazuje da je sadržaj heksa/heptaBDE u plastici prosječno 0,47 kg/t, dok je sadržaj dekaBDE 4,4 kg/t. Količine PBDE u pojedinim godinama kretale su od 23 g </w:t>
      </w:r>
      <w:r w:rsidRPr="00C86111">
        <w:rPr>
          <w:rFonts w:asciiTheme="minorHAnsi" w:hAnsiTheme="minorHAnsi" w:cstheme="minorHAnsi"/>
          <w:color w:val="auto"/>
          <w:szCs w:val="24"/>
        </w:rPr>
        <w:lastRenderedPageBreak/>
        <w:t>heksa/heptaBDE i 210 g dekaBDE (2017. godina) do 119 g heksa/heptaBDE i 1,12 kg dekaBDE (2023. godina). Slični proračuni za CRT monitore ukazuju da je sadržaj PBDE manji, ali i dalje značajan u ukupnom inventaru.</w:t>
      </w:r>
    </w:p>
    <w:p w14:paraId="774D66E8"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LCD televizori, koji predstavljaju najveći udio u uvozu EEE u Crnoj Gori, imaju prosječan udio polimera u kućištima od 37%. Sadržaj heksa/heptaBDE u plastici je prosječno 0,009 kg/t, dok je sadržaj dekaBDE 2,71 kg/t. Na osnovu proračuna za period 2017–2023., ukupna količina dekaBDE u LCD televizorima iznosi više od 2.300 tona, dok je količina heksa/heptaBDE oko 7,0 tona. Ovi podaci pokazuju da LCD televizori predstavljaju glavni potencijalni izvor POP-PBDE u budućem elektronskom otpadu (WEEE).</w:t>
      </w:r>
    </w:p>
    <w:p w14:paraId="6F71BDCD"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Sektor mobilnih telefona i laptopova, iako manjih dimenzija, također doprinosi prisustvu PBDE. Uvezeni telefoni u periodu 2017–2023. imali su prosječan udio polimera od 24%, s heksa/heptaBDE prosjekom od 0,08 kg/t i dekaBDE prosjekom od 0,8 kg/t. Količine PBDE u pojedinim godinama kretale su od nekoliko desetina kilograma do preko 30 kg dekaBDE u uvezenim telefonima.</w:t>
      </w:r>
    </w:p>
    <w:p w14:paraId="798B547C" w14:textId="3732E859"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Uvoz kućnih aparata, uključujući veš mašine, frižidere, klima uređaje i profesionalnu opremu za grijanje i ventilaciju, bio je znatno manji u pogledu PBDE sadržaja. Prosječan sadržaj dekaBDE i heksa/heptaBDE u plastici ovih uređaja kreće se od 0,05 do 0,8 kg/t, što je znatno niže u poređenju sa LCD televizorima i CRT uređajima (</w:t>
      </w:r>
      <w:r w:rsidR="002C477F" w:rsidRPr="00C86111">
        <w:rPr>
          <w:rFonts w:asciiTheme="minorHAnsi" w:hAnsiTheme="minorHAnsi" w:cstheme="minorHAnsi"/>
          <w:color w:val="auto"/>
          <w:szCs w:val="24"/>
        </w:rPr>
        <w:t>Grafik</w:t>
      </w:r>
      <w:r w:rsidRPr="00C86111">
        <w:rPr>
          <w:rFonts w:asciiTheme="minorHAnsi" w:hAnsiTheme="minorHAnsi" w:cstheme="minorHAnsi"/>
          <w:color w:val="auto"/>
          <w:szCs w:val="24"/>
        </w:rPr>
        <w:t xml:space="preserve"> 6).</w:t>
      </w:r>
    </w:p>
    <w:p w14:paraId="7135125A" w14:textId="77777777" w:rsidR="00C23D65" w:rsidRPr="00C86111" w:rsidRDefault="00C23D65" w:rsidP="00C23D65">
      <w:pPr>
        <w:jc w:val="both"/>
        <w:rPr>
          <w:rFonts w:asciiTheme="minorHAnsi" w:hAnsiTheme="minorHAnsi" w:cstheme="minorHAnsi"/>
          <w:b/>
          <w:bCs/>
          <w:color w:val="auto"/>
          <w:szCs w:val="24"/>
        </w:rPr>
      </w:pPr>
    </w:p>
    <w:p w14:paraId="1C0E09E6" w14:textId="27C0B96C"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noProof/>
          <w:szCs w:val="24"/>
        </w:rPr>
        <w:drawing>
          <wp:inline distT="0" distB="0" distL="0" distR="0" wp14:anchorId="21C8A84F" wp14:editId="174406AC">
            <wp:extent cx="5958840" cy="2636520"/>
            <wp:effectExtent l="0" t="0" r="3810" b="11430"/>
            <wp:docPr id="603129654" name="Chart 603129654">
              <a:extLst xmlns:a="http://schemas.openxmlformats.org/drawingml/2006/main">
                <a:ext uri="{FF2B5EF4-FFF2-40B4-BE49-F238E27FC236}">
                  <a16:creationId xmlns:a16="http://schemas.microsoft.com/office/drawing/2014/main" id="{E052F86B-8426-7A19-441C-680C7AB278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19E7220" w14:textId="2CA2569E" w:rsidR="00C23D65" w:rsidRPr="00C86111" w:rsidRDefault="002C477F"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Grafik</w:t>
      </w:r>
      <w:r w:rsidR="00C23D65" w:rsidRPr="00C86111">
        <w:rPr>
          <w:rFonts w:asciiTheme="minorHAnsi" w:hAnsiTheme="minorHAnsi" w:cstheme="minorHAnsi"/>
          <w:b/>
          <w:bCs/>
          <w:color w:val="auto"/>
          <w:szCs w:val="24"/>
        </w:rPr>
        <w:t xml:space="preserve"> 6:</w:t>
      </w:r>
      <w:r w:rsidR="00C23D65" w:rsidRPr="00C86111">
        <w:rPr>
          <w:rFonts w:asciiTheme="minorHAnsi" w:hAnsiTheme="minorHAnsi" w:cstheme="minorHAnsi"/>
          <w:color w:val="auto"/>
          <w:szCs w:val="24"/>
        </w:rPr>
        <w:t xml:space="preserve"> Prikaz sadržaja </w:t>
      </w:r>
      <w:r w:rsidR="00C23D65" w:rsidRPr="00C86111">
        <w:rPr>
          <w:rFonts w:asciiTheme="minorHAnsi" w:hAnsiTheme="minorHAnsi" w:cstheme="minorHAnsi"/>
          <w:color w:val="auto"/>
          <w:szCs w:val="24"/>
          <w:lang w:val="sr-Latn-RS"/>
        </w:rPr>
        <w:t>PBDE u kg u uvezenim uređajima izuzimajući CRT uređaje</w:t>
      </w:r>
    </w:p>
    <w:p w14:paraId="168D30F6" w14:textId="77777777" w:rsidR="00C23D65" w:rsidRPr="00C86111" w:rsidRDefault="00C23D65" w:rsidP="00C23D65">
      <w:pPr>
        <w:jc w:val="both"/>
        <w:rPr>
          <w:rFonts w:asciiTheme="minorHAnsi" w:hAnsiTheme="minorHAnsi" w:cstheme="minorHAnsi"/>
          <w:color w:val="auto"/>
          <w:szCs w:val="24"/>
        </w:rPr>
      </w:pPr>
    </w:p>
    <w:p w14:paraId="419C0018" w14:textId="77777777" w:rsidR="00C23D65"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Ključni </w:t>
      </w:r>
      <w:r w:rsidRPr="00C86111">
        <w:rPr>
          <w:rFonts w:asciiTheme="minorHAnsi" w:hAnsiTheme="minorHAnsi" w:cstheme="minorHAnsi"/>
          <w:b/>
          <w:bCs/>
          <w:color w:val="auto"/>
          <w:szCs w:val="24"/>
        </w:rPr>
        <w:t>zaključak</w:t>
      </w:r>
      <w:r w:rsidRPr="00C86111">
        <w:rPr>
          <w:rFonts w:asciiTheme="minorHAnsi" w:hAnsiTheme="minorHAnsi" w:cstheme="minorHAnsi"/>
          <w:color w:val="auto"/>
          <w:szCs w:val="24"/>
        </w:rPr>
        <w:t xml:space="preserve"> je da, iako nivoi PBDE u većini uvezene opreme nisu visoki, ukupne količine POP-PBDE uvozom predstavljaju značajan potencijalni izvor kontaminacije, posebno jer će sva ova oprema u narednim godinama postati otpad. Ovo ukazuje na potrebu za adekvatnim sistemom praćenja i upravljanja WEEE, kao i za edukaciju i primjenu mjera sigurnog rukovanja, skladištenja i reciklaže električne i elektronske opreme u Crnoj Gori.</w:t>
      </w:r>
    </w:p>
    <w:p w14:paraId="36D12C92" w14:textId="77777777" w:rsidR="00F57E42" w:rsidRPr="00C86111" w:rsidRDefault="00F57E42" w:rsidP="00C23D65">
      <w:pPr>
        <w:jc w:val="both"/>
        <w:rPr>
          <w:rFonts w:asciiTheme="minorHAnsi" w:hAnsiTheme="minorHAnsi" w:cstheme="minorHAnsi"/>
          <w:color w:val="auto"/>
          <w:szCs w:val="24"/>
        </w:rPr>
      </w:pPr>
    </w:p>
    <w:p w14:paraId="18BC7170" w14:textId="77777777" w:rsidR="00C23D65" w:rsidRPr="00C86111" w:rsidRDefault="00C23D65" w:rsidP="00C23D65">
      <w:pPr>
        <w:jc w:val="both"/>
        <w:rPr>
          <w:rFonts w:asciiTheme="minorHAnsi" w:hAnsiTheme="minorHAnsi" w:cstheme="minorHAnsi"/>
          <w:color w:val="auto"/>
          <w:szCs w:val="24"/>
        </w:rPr>
      </w:pPr>
    </w:p>
    <w:p w14:paraId="10588B90" w14:textId="77777777" w:rsidR="00C23D65" w:rsidRPr="00C86111" w:rsidRDefault="00C23D65" w:rsidP="00EA6904">
      <w:pPr>
        <w:pStyle w:val="Heading3"/>
      </w:pPr>
      <w:bookmarkStart w:id="100" w:name="_Toc220541901"/>
      <w:r w:rsidRPr="00C86111">
        <w:lastRenderedPageBreak/>
        <w:t>Otpad od električne i elektronske opreme (EEE)</w:t>
      </w:r>
      <w:bookmarkEnd w:id="100"/>
    </w:p>
    <w:p w14:paraId="2FEEDDCB" w14:textId="77777777" w:rsidR="00C23D65" w:rsidRPr="00C86111" w:rsidRDefault="00C23D65" w:rsidP="00C23D65">
      <w:pPr>
        <w:jc w:val="both"/>
        <w:rPr>
          <w:rFonts w:asciiTheme="minorHAnsi" w:hAnsiTheme="minorHAnsi" w:cstheme="minorHAnsi"/>
          <w:b/>
          <w:bCs/>
          <w:color w:val="auto"/>
          <w:szCs w:val="24"/>
        </w:rPr>
      </w:pPr>
    </w:p>
    <w:p w14:paraId="79BF7D59" w14:textId="39FCB59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Podaci o količini generisanog otpada od električne i elektronske opreme (EEE) preuzeti su iz baze podataka Statističkog zavoda Crne Gore. Količina otpada i sadržaj PBDE u plastičnom dijelu WEEE-a prikazani su u Tabeli </w:t>
      </w:r>
      <w:r w:rsidR="00F603AA" w:rsidRPr="00C86111">
        <w:rPr>
          <w:rFonts w:asciiTheme="minorHAnsi" w:hAnsiTheme="minorHAnsi" w:cstheme="minorHAnsi"/>
          <w:color w:val="auto"/>
          <w:szCs w:val="24"/>
        </w:rPr>
        <w:t>48</w:t>
      </w:r>
      <w:r w:rsidRPr="00C86111">
        <w:rPr>
          <w:rFonts w:asciiTheme="minorHAnsi" w:hAnsiTheme="minorHAnsi" w:cstheme="minorHAnsi"/>
          <w:color w:val="auto"/>
          <w:szCs w:val="24"/>
        </w:rPr>
        <w:t xml:space="preserve"> i </w:t>
      </w:r>
      <w:r w:rsidR="00F603AA" w:rsidRPr="00C86111">
        <w:rPr>
          <w:rFonts w:asciiTheme="minorHAnsi" w:hAnsiTheme="minorHAnsi" w:cstheme="minorHAnsi"/>
          <w:color w:val="auto"/>
          <w:szCs w:val="24"/>
        </w:rPr>
        <w:t>Grafiku</w:t>
      </w:r>
      <w:r w:rsidRPr="00C86111">
        <w:rPr>
          <w:rFonts w:asciiTheme="minorHAnsi" w:hAnsiTheme="minorHAnsi" w:cstheme="minorHAnsi"/>
          <w:color w:val="auto"/>
          <w:szCs w:val="24"/>
        </w:rPr>
        <w:t xml:space="preserve"> 7. Za procjenu sadržaja dekaBDE u plastici korišćen je prosjek iz nacionalne studije u Švajcarskoj, koja navodi da plastika iz WEEE prosječno sadrži 390 mg/kg dekaBDE s obzirom na to da u Crnoj Gori još nije sproveden detaljan popis EEE/WEEE otpada.</w:t>
      </w:r>
    </w:p>
    <w:p w14:paraId="4238BFE9" w14:textId="77777777" w:rsidR="00C23D65" w:rsidRPr="00C86111" w:rsidRDefault="00C23D65" w:rsidP="00C23D65">
      <w:pPr>
        <w:jc w:val="both"/>
        <w:rPr>
          <w:rFonts w:asciiTheme="minorHAnsi" w:hAnsiTheme="minorHAnsi" w:cstheme="minorHAnsi"/>
          <w:color w:val="auto"/>
          <w:szCs w:val="24"/>
        </w:rPr>
      </w:pPr>
    </w:p>
    <w:p w14:paraId="16271BCC" w14:textId="15E819C4"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Tabela </w:t>
      </w:r>
      <w:r w:rsidR="00F603AA" w:rsidRPr="00C86111">
        <w:rPr>
          <w:rFonts w:asciiTheme="minorHAnsi" w:hAnsiTheme="minorHAnsi" w:cstheme="minorHAnsi"/>
          <w:b/>
          <w:bCs/>
          <w:color w:val="auto"/>
          <w:szCs w:val="24"/>
        </w:rPr>
        <w:t>48</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Pregled količine generisanog EEE otpada u periodu 2011–2023 i pripadajući sadržaj dekaBDE (podaci MONSTAT)</w:t>
      </w:r>
    </w:p>
    <w:tbl>
      <w:tblPr>
        <w:tblStyle w:val="GridTable5Dark-Accent6"/>
        <w:tblW w:w="0" w:type="auto"/>
        <w:tblLook w:val="04A0" w:firstRow="1" w:lastRow="0" w:firstColumn="1" w:lastColumn="0" w:noHBand="0" w:noVBand="1"/>
      </w:tblPr>
      <w:tblGrid>
        <w:gridCol w:w="955"/>
        <w:gridCol w:w="644"/>
        <w:gridCol w:w="645"/>
        <w:gridCol w:w="646"/>
        <w:gridCol w:w="646"/>
        <w:gridCol w:w="646"/>
        <w:gridCol w:w="646"/>
        <w:gridCol w:w="646"/>
        <w:gridCol w:w="646"/>
        <w:gridCol w:w="646"/>
        <w:gridCol w:w="646"/>
        <w:gridCol w:w="646"/>
        <w:gridCol w:w="646"/>
        <w:gridCol w:w="646"/>
      </w:tblGrid>
      <w:tr w:rsidR="00C23D65" w:rsidRPr="00C86111" w14:paraId="68129FC4" w14:textId="77777777" w:rsidTr="00C23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 w:type="dxa"/>
            <w:tcBorders>
              <w:bottom w:val="single" w:sz="4" w:space="0" w:color="FFFFFF" w:themeColor="background1"/>
            </w:tcBorders>
            <w:hideMark/>
          </w:tcPr>
          <w:p w14:paraId="756225E4"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Godina</w:t>
            </w:r>
          </w:p>
        </w:tc>
        <w:tc>
          <w:tcPr>
            <w:tcW w:w="644" w:type="dxa"/>
            <w:tcBorders>
              <w:bottom w:val="single" w:sz="4" w:space="0" w:color="FFFFFF" w:themeColor="background1"/>
            </w:tcBorders>
            <w:hideMark/>
          </w:tcPr>
          <w:p w14:paraId="5154924A"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2011</w:t>
            </w:r>
          </w:p>
        </w:tc>
        <w:tc>
          <w:tcPr>
            <w:tcW w:w="645" w:type="dxa"/>
            <w:tcBorders>
              <w:bottom w:val="single" w:sz="4" w:space="0" w:color="FFFFFF" w:themeColor="background1"/>
            </w:tcBorders>
            <w:hideMark/>
          </w:tcPr>
          <w:p w14:paraId="347D0177"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2012</w:t>
            </w:r>
          </w:p>
        </w:tc>
        <w:tc>
          <w:tcPr>
            <w:tcW w:w="646" w:type="dxa"/>
            <w:tcBorders>
              <w:bottom w:val="single" w:sz="4" w:space="0" w:color="FFFFFF" w:themeColor="background1"/>
            </w:tcBorders>
            <w:hideMark/>
          </w:tcPr>
          <w:p w14:paraId="3AAE113D"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2013</w:t>
            </w:r>
          </w:p>
        </w:tc>
        <w:tc>
          <w:tcPr>
            <w:tcW w:w="646" w:type="dxa"/>
            <w:tcBorders>
              <w:bottom w:val="single" w:sz="4" w:space="0" w:color="FFFFFF" w:themeColor="background1"/>
            </w:tcBorders>
            <w:hideMark/>
          </w:tcPr>
          <w:p w14:paraId="42D8374A"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2014</w:t>
            </w:r>
          </w:p>
        </w:tc>
        <w:tc>
          <w:tcPr>
            <w:tcW w:w="646" w:type="dxa"/>
            <w:tcBorders>
              <w:bottom w:val="single" w:sz="4" w:space="0" w:color="FFFFFF" w:themeColor="background1"/>
            </w:tcBorders>
            <w:hideMark/>
          </w:tcPr>
          <w:p w14:paraId="7BCDDB76"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2015</w:t>
            </w:r>
          </w:p>
        </w:tc>
        <w:tc>
          <w:tcPr>
            <w:tcW w:w="646" w:type="dxa"/>
            <w:tcBorders>
              <w:bottom w:val="single" w:sz="4" w:space="0" w:color="FFFFFF" w:themeColor="background1"/>
            </w:tcBorders>
            <w:hideMark/>
          </w:tcPr>
          <w:p w14:paraId="236925F2"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2016</w:t>
            </w:r>
          </w:p>
        </w:tc>
        <w:tc>
          <w:tcPr>
            <w:tcW w:w="646" w:type="dxa"/>
            <w:tcBorders>
              <w:bottom w:val="single" w:sz="4" w:space="0" w:color="FFFFFF" w:themeColor="background1"/>
            </w:tcBorders>
            <w:hideMark/>
          </w:tcPr>
          <w:p w14:paraId="13E173EF"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2017</w:t>
            </w:r>
          </w:p>
        </w:tc>
        <w:tc>
          <w:tcPr>
            <w:tcW w:w="646" w:type="dxa"/>
            <w:tcBorders>
              <w:bottom w:val="single" w:sz="4" w:space="0" w:color="FFFFFF" w:themeColor="background1"/>
            </w:tcBorders>
            <w:hideMark/>
          </w:tcPr>
          <w:p w14:paraId="4B294215"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2018</w:t>
            </w:r>
          </w:p>
        </w:tc>
        <w:tc>
          <w:tcPr>
            <w:tcW w:w="646" w:type="dxa"/>
            <w:tcBorders>
              <w:bottom w:val="single" w:sz="4" w:space="0" w:color="FFFFFF" w:themeColor="background1"/>
            </w:tcBorders>
            <w:hideMark/>
          </w:tcPr>
          <w:p w14:paraId="08D90A8E"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2019</w:t>
            </w:r>
          </w:p>
        </w:tc>
        <w:tc>
          <w:tcPr>
            <w:tcW w:w="646" w:type="dxa"/>
            <w:tcBorders>
              <w:bottom w:val="single" w:sz="4" w:space="0" w:color="FFFFFF" w:themeColor="background1"/>
            </w:tcBorders>
            <w:hideMark/>
          </w:tcPr>
          <w:p w14:paraId="0976A4C8"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2020</w:t>
            </w:r>
          </w:p>
        </w:tc>
        <w:tc>
          <w:tcPr>
            <w:tcW w:w="646" w:type="dxa"/>
            <w:tcBorders>
              <w:bottom w:val="single" w:sz="4" w:space="0" w:color="FFFFFF" w:themeColor="background1"/>
            </w:tcBorders>
            <w:hideMark/>
          </w:tcPr>
          <w:p w14:paraId="279C532A"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2021</w:t>
            </w:r>
          </w:p>
        </w:tc>
        <w:tc>
          <w:tcPr>
            <w:tcW w:w="646" w:type="dxa"/>
            <w:tcBorders>
              <w:bottom w:val="single" w:sz="4" w:space="0" w:color="FFFFFF" w:themeColor="background1"/>
            </w:tcBorders>
            <w:hideMark/>
          </w:tcPr>
          <w:p w14:paraId="332F492D"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2022</w:t>
            </w:r>
          </w:p>
        </w:tc>
        <w:tc>
          <w:tcPr>
            <w:tcW w:w="646" w:type="dxa"/>
            <w:tcBorders>
              <w:bottom w:val="single" w:sz="4" w:space="0" w:color="FFFFFF" w:themeColor="background1"/>
            </w:tcBorders>
            <w:hideMark/>
          </w:tcPr>
          <w:p w14:paraId="381711CC"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2023</w:t>
            </w:r>
          </w:p>
        </w:tc>
      </w:tr>
      <w:tr w:rsidR="00C23D65" w:rsidRPr="00C86111" w14:paraId="26D1B8A0"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FFFFFF" w:themeColor="background1"/>
              <w:bottom w:val="single" w:sz="4" w:space="0" w:color="FFFFFF" w:themeColor="background1"/>
              <w:right w:val="single" w:sz="4" w:space="0" w:color="FFFFFF" w:themeColor="background1"/>
            </w:tcBorders>
            <w:hideMark/>
          </w:tcPr>
          <w:p w14:paraId="2D88082F"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WEEE (t)</w:t>
            </w:r>
          </w:p>
        </w:tc>
        <w:tc>
          <w:tcPr>
            <w:tcW w:w="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6AEAEB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533</w:t>
            </w:r>
          </w:p>
        </w:tc>
        <w:tc>
          <w:tcPr>
            <w:tcW w:w="6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67192C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57</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E1980AA"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38</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369CA7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74</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C88B60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68</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3BC2E5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141</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54AACDA"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85</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CD5FA9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250</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7FB5311"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197</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FAE6F5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144</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1F2575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254</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90D6C7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97</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306CC20"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207</w:t>
            </w:r>
          </w:p>
        </w:tc>
      </w:tr>
      <w:tr w:rsidR="00C23D65" w:rsidRPr="00C86111" w14:paraId="7F7D71FC" w14:textId="77777777" w:rsidTr="00C23D65">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FFFFFF" w:themeColor="background1"/>
              <w:bottom w:val="single" w:sz="4" w:space="0" w:color="FFFFFF" w:themeColor="background1"/>
              <w:right w:val="single" w:sz="4" w:space="0" w:color="FFFFFF" w:themeColor="background1"/>
            </w:tcBorders>
            <w:hideMark/>
          </w:tcPr>
          <w:p w14:paraId="56A49329"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Udio plastike (t)</w:t>
            </w:r>
          </w:p>
        </w:tc>
        <w:tc>
          <w:tcPr>
            <w:tcW w:w="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AE7F37"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106</w:t>
            </w:r>
          </w:p>
        </w:tc>
        <w:tc>
          <w:tcPr>
            <w:tcW w:w="6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B5302FF"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11</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AA6DC50"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8</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E5EB438"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15</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3482F1"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14</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3900CAD"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28</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8431A5F"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17</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15790F9"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50</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761477F"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39</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009EF8"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29</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4DF482D"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51</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4E0D1C3"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19</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FDBD4C0"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41</w:t>
            </w:r>
          </w:p>
        </w:tc>
      </w:tr>
      <w:tr w:rsidR="00C23D65" w:rsidRPr="00C86111" w14:paraId="11C31EA5"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FFFFFF" w:themeColor="background1"/>
              <w:right w:val="single" w:sz="4" w:space="0" w:color="FFFFFF" w:themeColor="background1"/>
            </w:tcBorders>
            <w:hideMark/>
          </w:tcPr>
          <w:p w14:paraId="0A8ABF25"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Sadržaj dekaBDE (kg)</w:t>
            </w:r>
          </w:p>
        </w:tc>
        <w:tc>
          <w:tcPr>
            <w:tcW w:w="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7D3A5D1"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41</w:t>
            </w:r>
          </w:p>
        </w:tc>
        <w:tc>
          <w:tcPr>
            <w:tcW w:w="6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D8CFF51"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4.5</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52BAFB4"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2.9</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80047BB"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5.7</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DCCCBBE"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5.3</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4B106C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11</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65DB01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6.6</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33984BA"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19</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0A59EA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15</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CC4204C"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11</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B17BCDA"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19</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8B4EEB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7.6</w:t>
            </w:r>
          </w:p>
        </w:tc>
        <w:tc>
          <w:tcPr>
            <w:tcW w:w="6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03664BB"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16</w:t>
            </w:r>
          </w:p>
        </w:tc>
      </w:tr>
    </w:tbl>
    <w:p w14:paraId="057B6913" w14:textId="77777777" w:rsidR="00C23D65" w:rsidRPr="00C86111" w:rsidRDefault="00C23D65" w:rsidP="00C23D65">
      <w:pPr>
        <w:jc w:val="both"/>
        <w:rPr>
          <w:rFonts w:asciiTheme="minorHAnsi" w:hAnsiTheme="minorHAnsi" w:cstheme="minorHAnsi"/>
          <w:color w:val="auto"/>
          <w:szCs w:val="24"/>
        </w:rPr>
      </w:pPr>
    </w:p>
    <w:p w14:paraId="6A7ABC2A" w14:textId="77777777" w:rsidR="00C23D65" w:rsidRPr="00C86111" w:rsidRDefault="00C23D65" w:rsidP="00C23D65">
      <w:pPr>
        <w:jc w:val="both"/>
        <w:rPr>
          <w:rFonts w:asciiTheme="minorHAnsi" w:hAnsiTheme="minorHAnsi" w:cstheme="minorHAnsi"/>
          <w:color w:val="auto"/>
          <w:szCs w:val="24"/>
        </w:rPr>
      </w:pPr>
    </w:p>
    <w:p w14:paraId="0191954B" w14:textId="66D363C0" w:rsidR="00C23D65" w:rsidRPr="00C86111" w:rsidRDefault="00C23D65" w:rsidP="00C23D65">
      <w:pPr>
        <w:jc w:val="center"/>
        <w:rPr>
          <w:rFonts w:asciiTheme="minorHAnsi" w:hAnsiTheme="minorHAnsi" w:cstheme="minorHAnsi"/>
          <w:color w:val="auto"/>
          <w:szCs w:val="24"/>
        </w:rPr>
      </w:pPr>
      <w:r w:rsidRPr="00C86111">
        <w:rPr>
          <w:rFonts w:asciiTheme="minorHAnsi" w:hAnsiTheme="minorHAnsi" w:cstheme="minorHAnsi"/>
          <w:noProof/>
          <w:szCs w:val="24"/>
        </w:rPr>
        <w:drawing>
          <wp:inline distT="0" distB="0" distL="0" distR="0" wp14:anchorId="29EDB4A5" wp14:editId="7F079383">
            <wp:extent cx="4587240" cy="2152650"/>
            <wp:effectExtent l="0" t="0" r="3810" b="0"/>
            <wp:docPr id="1140126941" name="Chart 1140126941">
              <a:extLst xmlns:a="http://schemas.openxmlformats.org/drawingml/2006/main">
                <a:ext uri="{FF2B5EF4-FFF2-40B4-BE49-F238E27FC236}">
                  <a16:creationId xmlns:a16="http://schemas.microsoft.com/office/drawing/2014/main" id="{370B5FD8-17BA-1981-64B2-2CF7165B6E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918FF4A" w14:textId="43652A40" w:rsidR="00C23D65" w:rsidRPr="00C86111" w:rsidRDefault="00F603AA" w:rsidP="00C23D65">
      <w:pPr>
        <w:jc w:val="center"/>
        <w:rPr>
          <w:rFonts w:asciiTheme="minorHAnsi" w:hAnsiTheme="minorHAnsi" w:cstheme="minorHAnsi"/>
          <w:color w:val="auto"/>
          <w:szCs w:val="24"/>
        </w:rPr>
      </w:pPr>
      <w:r w:rsidRPr="00C86111">
        <w:rPr>
          <w:rFonts w:asciiTheme="minorHAnsi" w:hAnsiTheme="minorHAnsi" w:cstheme="minorHAnsi"/>
          <w:b/>
          <w:bCs/>
          <w:color w:val="auto"/>
          <w:szCs w:val="24"/>
        </w:rPr>
        <w:t>Grafik</w:t>
      </w:r>
      <w:r w:rsidR="00C23D65" w:rsidRPr="00C86111">
        <w:rPr>
          <w:rFonts w:asciiTheme="minorHAnsi" w:hAnsiTheme="minorHAnsi" w:cstheme="minorHAnsi"/>
          <w:b/>
          <w:bCs/>
          <w:color w:val="auto"/>
          <w:szCs w:val="24"/>
        </w:rPr>
        <w:t xml:space="preserve"> 7</w:t>
      </w:r>
      <w:r w:rsidR="00C23D65" w:rsidRPr="00C86111">
        <w:rPr>
          <w:rFonts w:asciiTheme="minorHAnsi" w:hAnsiTheme="minorHAnsi" w:cstheme="minorHAnsi"/>
          <w:color w:val="auto"/>
          <w:szCs w:val="24"/>
        </w:rPr>
        <w:t>:  Sadržaj dekaBDE (kg) u otpadu EEE generisanom u periodu 2011-2023</w:t>
      </w:r>
    </w:p>
    <w:p w14:paraId="5F0697B1" w14:textId="77777777" w:rsidR="00C23D65" w:rsidRPr="00C86111" w:rsidRDefault="00C23D65" w:rsidP="00C23D65">
      <w:pPr>
        <w:jc w:val="both"/>
        <w:rPr>
          <w:rFonts w:asciiTheme="minorHAnsi" w:hAnsiTheme="minorHAnsi" w:cstheme="minorHAnsi"/>
          <w:b/>
          <w:bCs/>
          <w:color w:val="auto"/>
          <w:szCs w:val="24"/>
        </w:rPr>
      </w:pPr>
    </w:p>
    <w:p w14:paraId="1AF6567E"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Grafikon pokazuje blago opadajući trend sadržaja dekaBDE u WEEE-u tokom praćenog perioda. </w:t>
      </w:r>
    </w:p>
    <w:p w14:paraId="7760D68B" w14:textId="77777777" w:rsidR="00C23D65" w:rsidRPr="00C86111" w:rsidRDefault="00C23D65" w:rsidP="00C23D65">
      <w:pPr>
        <w:jc w:val="both"/>
        <w:rPr>
          <w:rFonts w:asciiTheme="minorHAnsi" w:hAnsiTheme="minorHAnsi" w:cstheme="minorHAnsi"/>
          <w:color w:val="auto"/>
          <w:szCs w:val="24"/>
        </w:rPr>
      </w:pPr>
    </w:p>
    <w:p w14:paraId="59138A3B" w14:textId="17E87B4A"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Međutim, korišćenjem podataka iz nacrta “Državnog plana upravljanja otpadom 2023–2028”, dobija se drugačija slika. Procjena trenutnog sastava komunalnog čvrstog otpada u ovom planu izrađena je na osnovu informacija iz različitih studija, uzimajući u obzir i podatke iz sličnih regiona (Sjeverna Makedonija, Srbija, Bugarska i Grčka). Prema ovim procjenama, udio EEE u ukupnom otpadu iznosi oko 4%. Uzimajući u obzir ovu vrijednost, količina EEE otpada i pripadajuća količina dekaBDE značajno su veće, što je prikazano u Tabeli </w:t>
      </w:r>
      <w:r w:rsidR="00F603AA" w:rsidRPr="00C86111">
        <w:rPr>
          <w:rFonts w:asciiTheme="minorHAnsi" w:hAnsiTheme="minorHAnsi" w:cstheme="minorHAnsi"/>
          <w:color w:val="auto"/>
          <w:szCs w:val="24"/>
        </w:rPr>
        <w:t>49</w:t>
      </w:r>
      <w:r w:rsidRPr="00C86111">
        <w:rPr>
          <w:rFonts w:asciiTheme="minorHAnsi" w:hAnsiTheme="minorHAnsi" w:cstheme="minorHAnsi"/>
          <w:color w:val="auto"/>
          <w:szCs w:val="24"/>
        </w:rPr>
        <w:t>.</w:t>
      </w:r>
    </w:p>
    <w:p w14:paraId="5DAADD76" w14:textId="77777777" w:rsidR="00C23D65" w:rsidRDefault="00C23D65" w:rsidP="00C23D65">
      <w:pPr>
        <w:jc w:val="both"/>
        <w:rPr>
          <w:rFonts w:asciiTheme="minorHAnsi" w:hAnsiTheme="minorHAnsi" w:cstheme="minorHAnsi"/>
          <w:b/>
          <w:bCs/>
          <w:color w:val="auto"/>
          <w:szCs w:val="24"/>
        </w:rPr>
      </w:pPr>
    </w:p>
    <w:p w14:paraId="6881BA08" w14:textId="77777777" w:rsidR="00F57E42" w:rsidRPr="00C86111" w:rsidRDefault="00F57E42" w:rsidP="00C23D65">
      <w:pPr>
        <w:jc w:val="both"/>
        <w:rPr>
          <w:rFonts w:asciiTheme="minorHAnsi" w:hAnsiTheme="minorHAnsi" w:cstheme="minorHAnsi"/>
          <w:b/>
          <w:bCs/>
          <w:color w:val="auto"/>
          <w:szCs w:val="24"/>
        </w:rPr>
      </w:pPr>
    </w:p>
    <w:p w14:paraId="7EFEE482" w14:textId="29FD15DD"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lastRenderedPageBreak/>
        <w:t xml:space="preserve">Tabela </w:t>
      </w:r>
      <w:r w:rsidR="00F603AA" w:rsidRPr="00C86111">
        <w:rPr>
          <w:rFonts w:asciiTheme="minorHAnsi" w:hAnsiTheme="minorHAnsi" w:cstheme="minorHAnsi"/>
          <w:b/>
          <w:bCs/>
          <w:color w:val="auto"/>
          <w:szCs w:val="24"/>
        </w:rPr>
        <w:t>49</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Pregled količine generisanog EEE otpada u periodu 2017–2023 i pripadajući sadržaj dekaBDE (podaci iz nacrta DPUO 2023–2028)</w:t>
      </w:r>
    </w:p>
    <w:tbl>
      <w:tblPr>
        <w:tblStyle w:val="GridTable5Dark-Accent6"/>
        <w:tblW w:w="0" w:type="auto"/>
        <w:tblLook w:val="04A0" w:firstRow="1" w:lastRow="0" w:firstColumn="1" w:lastColumn="0" w:noHBand="0" w:noVBand="1"/>
      </w:tblPr>
      <w:tblGrid>
        <w:gridCol w:w="1335"/>
        <w:gridCol w:w="1335"/>
        <w:gridCol w:w="1336"/>
        <w:gridCol w:w="1336"/>
        <w:gridCol w:w="1336"/>
        <w:gridCol w:w="1336"/>
        <w:gridCol w:w="1336"/>
      </w:tblGrid>
      <w:tr w:rsidR="00C23D65" w:rsidRPr="00C86111" w14:paraId="0EC7400C" w14:textId="77777777" w:rsidTr="00C23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Borders>
              <w:bottom w:val="single" w:sz="4" w:space="0" w:color="FFFFFF" w:themeColor="background1"/>
            </w:tcBorders>
            <w:hideMark/>
          </w:tcPr>
          <w:p w14:paraId="4ACEA79E"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Godina</w:t>
            </w:r>
          </w:p>
        </w:tc>
        <w:tc>
          <w:tcPr>
            <w:tcW w:w="1335" w:type="dxa"/>
            <w:tcBorders>
              <w:bottom w:val="single" w:sz="4" w:space="0" w:color="FFFFFF" w:themeColor="background1"/>
            </w:tcBorders>
            <w:hideMark/>
          </w:tcPr>
          <w:p w14:paraId="75013EE6"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Ukupna količina komunalnog otpada (t)</w:t>
            </w:r>
          </w:p>
        </w:tc>
        <w:tc>
          <w:tcPr>
            <w:tcW w:w="1336" w:type="dxa"/>
            <w:tcBorders>
              <w:bottom w:val="single" w:sz="4" w:space="0" w:color="FFFFFF" w:themeColor="background1"/>
            </w:tcBorders>
            <w:hideMark/>
          </w:tcPr>
          <w:p w14:paraId="4BD6E9FA"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 EEE</w:t>
            </w:r>
          </w:p>
        </w:tc>
        <w:tc>
          <w:tcPr>
            <w:tcW w:w="1336" w:type="dxa"/>
            <w:tcBorders>
              <w:bottom w:val="single" w:sz="4" w:space="0" w:color="FFFFFF" w:themeColor="background1"/>
            </w:tcBorders>
            <w:hideMark/>
          </w:tcPr>
          <w:p w14:paraId="0EDAEF5E"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Količina EEE (t)</w:t>
            </w:r>
          </w:p>
        </w:tc>
        <w:tc>
          <w:tcPr>
            <w:tcW w:w="1336" w:type="dxa"/>
            <w:tcBorders>
              <w:bottom w:val="single" w:sz="4" w:space="0" w:color="FFFFFF" w:themeColor="background1"/>
            </w:tcBorders>
            <w:hideMark/>
          </w:tcPr>
          <w:p w14:paraId="001DB0EF"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Procijenjeni udeo plastike u WEEE (%)</w:t>
            </w:r>
          </w:p>
        </w:tc>
        <w:tc>
          <w:tcPr>
            <w:tcW w:w="1336" w:type="dxa"/>
            <w:tcBorders>
              <w:bottom w:val="single" w:sz="4" w:space="0" w:color="FFFFFF" w:themeColor="background1"/>
            </w:tcBorders>
            <w:hideMark/>
          </w:tcPr>
          <w:p w14:paraId="0E1974C1"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Količina plastike u WEEE (t)</w:t>
            </w:r>
          </w:p>
        </w:tc>
        <w:tc>
          <w:tcPr>
            <w:tcW w:w="1336" w:type="dxa"/>
            <w:tcBorders>
              <w:bottom w:val="single" w:sz="4" w:space="0" w:color="FFFFFF" w:themeColor="background1"/>
            </w:tcBorders>
            <w:hideMark/>
          </w:tcPr>
          <w:p w14:paraId="01A0BEE0"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Količina dekaBDE u plastici WEEE (t)</w:t>
            </w:r>
          </w:p>
        </w:tc>
      </w:tr>
      <w:tr w:rsidR="00C23D65" w:rsidRPr="00C86111" w14:paraId="7E186ED8"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Borders>
              <w:top w:val="single" w:sz="4" w:space="0" w:color="FFFFFF" w:themeColor="background1"/>
              <w:bottom w:val="single" w:sz="4" w:space="0" w:color="FFFFFF" w:themeColor="background1"/>
              <w:right w:val="single" w:sz="4" w:space="0" w:color="FFFFFF" w:themeColor="background1"/>
            </w:tcBorders>
            <w:hideMark/>
          </w:tcPr>
          <w:p w14:paraId="0CF0B987"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2017</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0A24D1"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324.155</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2330CC2"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4.2</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B7D43EA"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13.614</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FA33CA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20</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45B9C6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2.723</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98CEAC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1.06</w:t>
            </w:r>
          </w:p>
        </w:tc>
      </w:tr>
      <w:tr w:rsidR="00C23D65" w:rsidRPr="00C86111" w14:paraId="192C3849" w14:textId="77777777" w:rsidTr="00C23D65">
        <w:tc>
          <w:tcPr>
            <w:cnfStyle w:val="001000000000" w:firstRow="0" w:lastRow="0" w:firstColumn="1" w:lastColumn="0" w:oddVBand="0" w:evenVBand="0" w:oddHBand="0" w:evenHBand="0" w:firstRowFirstColumn="0" w:firstRowLastColumn="0" w:lastRowFirstColumn="0" w:lastRowLastColumn="0"/>
            <w:tcW w:w="1335" w:type="dxa"/>
            <w:tcBorders>
              <w:top w:val="single" w:sz="4" w:space="0" w:color="FFFFFF" w:themeColor="background1"/>
              <w:bottom w:val="single" w:sz="4" w:space="0" w:color="FFFFFF" w:themeColor="background1"/>
              <w:right w:val="single" w:sz="4" w:space="0" w:color="FFFFFF" w:themeColor="background1"/>
            </w:tcBorders>
            <w:hideMark/>
          </w:tcPr>
          <w:p w14:paraId="0A615367"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2018</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2C93E81"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303.107</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6FBB86"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4.2</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279C34C"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12.730</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445F640"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20</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B04E591"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2.546</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5E7D03B"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0.99</w:t>
            </w:r>
          </w:p>
        </w:tc>
      </w:tr>
      <w:tr w:rsidR="00C23D65" w:rsidRPr="00C86111" w14:paraId="5D0979E9"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Borders>
              <w:top w:val="single" w:sz="4" w:space="0" w:color="FFFFFF" w:themeColor="background1"/>
              <w:bottom w:val="single" w:sz="4" w:space="0" w:color="FFFFFF" w:themeColor="background1"/>
              <w:right w:val="single" w:sz="4" w:space="0" w:color="FFFFFF" w:themeColor="background1"/>
            </w:tcBorders>
            <w:hideMark/>
          </w:tcPr>
          <w:p w14:paraId="5077FB9F"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2019</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5FCD7F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340.823</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FF599A2"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4.2</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C13CE91"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14.314</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EE86E1C"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20</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5D5156C"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2.863</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AA37D4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1.12</w:t>
            </w:r>
          </w:p>
        </w:tc>
      </w:tr>
      <w:tr w:rsidR="00C23D65" w:rsidRPr="00C86111" w14:paraId="01A503A9" w14:textId="77777777" w:rsidTr="00C23D65">
        <w:tc>
          <w:tcPr>
            <w:cnfStyle w:val="001000000000" w:firstRow="0" w:lastRow="0" w:firstColumn="1" w:lastColumn="0" w:oddVBand="0" w:evenVBand="0" w:oddHBand="0" w:evenHBand="0" w:firstRowFirstColumn="0" w:firstRowLastColumn="0" w:lastRowFirstColumn="0" w:lastRowLastColumn="0"/>
            <w:tcW w:w="1335" w:type="dxa"/>
            <w:tcBorders>
              <w:top w:val="single" w:sz="4" w:space="0" w:color="FFFFFF" w:themeColor="background1"/>
              <w:bottom w:val="single" w:sz="4" w:space="0" w:color="FFFFFF" w:themeColor="background1"/>
              <w:right w:val="single" w:sz="4" w:space="0" w:color="FFFFFF" w:themeColor="background1"/>
            </w:tcBorders>
            <w:hideMark/>
          </w:tcPr>
          <w:p w14:paraId="4F96C22D"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2020</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5A40CB7"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304.063</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188B68C"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4.2</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4D0128B"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12.770</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D6437BC"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20</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BB0DF4"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2.554</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B12F745"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0.99</w:t>
            </w:r>
          </w:p>
        </w:tc>
      </w:tr>
      <w:tr w:rsidR="00C23D65" w:rsidRPr="00C86111" w14:paraId="57C1D06F"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Borders>
              <w:top w:val="single" w:sz="4" w:space="0" w:color="FFFFFF" w:themeColor="background1"/>
              <w:bottom w:val="single" w:sz="4" w:space="0" w:color="FFFFFF" w:themeColor="background1"/>
              <w:right w:val="single" w:sz="4" w:space="0" w:color="FFFFFF" w:themeColor="background1"/>
            </w:tcBorders>
            <w:hideMark/>
          </w:tcPr>
          <w:p w14:paraId="328A2BF5"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2021</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9C52D5E"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325.708</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C6A72EA"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4.2</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AC72B56"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13.679</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5D6622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20</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C8038D4"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2.736</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E10DB82"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1.07</w:t>
            </w:r>
          </w:p>
        </w:tc>
      </w:tr>
      <w:tr w:rsidR="00C23D65" w:rsidRPr="00C86111" w14:paraId="248BAC4A" w14:textId="77777777" w:rsidTr="00C23D65">
        <w:tc>
          <w:tcPr>
            <w:cnfStyle w:val="001000000000" w:firstRow="0" w:lastRow="0" w:firstColumn="1" w:lastColumn="0" w:oddVBand="0" w:evenVBand="0" w:oddHBand="0" w:evenHBand="0" w:firstRowFirstColumn="0" w:firstRowLastColumn="0" w:lastRowFirstColumn="0" w:lastRowLastColumn="0"/>
            <w:tcW w:w="1335" w:type="dxa"/>
            <w:tcBorders>
              <w:top w:val="single" w:sz="4" w:space="0" w:color="FFFFFF" w:themeColor="background1"/>
              <w:bottom w:val="single" w:sz="4" w:space="0" w:color="FFFFFF" w:themeColor="background1"/>
              <w:right w:val="single" w:sz="4" w:space="0" w:color="FFFFFF" w:themeColor="background1"/>
            </w:tcBorders>
            <w:hideMark/>
          </w:tcPr>
          <w:p w14:paraId="416613BB"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2022</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40FCBDF"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335.797</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D0CE2CE"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4.2</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265ECE7"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14.103</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B3E1B55"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20</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8AB554F"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2.821</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FF491D7"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1.10</w:t>
            </w:r>
          </w:p>
        </w:tc>
      </w:tr>
      <w:tr w:rsidR="00C23D65" w:rsidRPr="00C86111" w14:paraId="50D086F6"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Borders>
              <w:top w:val="single" w:sz="4" w:space="0" w:color="FFFFFF" w:themeColor="background1"/>
              <w:right w:val="single" w:sz="4" w:space="0" w:color="FFFFFF" w:themeColor="background1"/>
            </w:tcBorders>
            <w:hideMark/>
          </w:tcPr>
          <w:p w14:paraId="1D5D5BCA"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2023</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197241C"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360.137</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E5103D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4.2</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50D1563"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15.126</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1FA5F5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20</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D28676C"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3.025</w:t>
            </w:r>
          </w:p>
        </w:tc>
        <w:tc>
          <w:tcPr>
            <w:tcW w:w="1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214536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C86111">
              <w:rPr>
                <w:rFonts w:asciiTheme="minorHAnsi" w:hAnsiTheme="minorHAnsi" w:cstheme="minorHAnsi"/>
                <w:color w:val="auto"/>
                <w:sz w:val="20"/>
                <w:szCs w:val="20"/>
              </w:rPr>
              <w:t>1.18</w:t>
            </w:r>
          </w:p>
        </w:tc>
      </w:tr>
    </w:tbl>
    <w:p w14:paraId="564AA5EC" w14:textId="77777777" w:rsidR="00C23D65" w:rsidRPr="00C86111" w:rsidRDefault="00C23D65" w:rsidP="00C23D65">
      <w:pPr>
        <w:jc w:val="both"/>
        <w:rPr>
          <w:rFonts w:asciiTheme="minorHAnsi" w:hAnsiTheme="minorHAnsi" w:cstheme="minorHAnsi"/>
          <w:b/>
          <w:bCs/>
          <w:color w:val="auto"/>
          <w:szCs w:val="24"/>
        </w:rPr>
      </w:pPr>
    </w:p>
    <w:p w14:paraId="6AD65E76" w14:textId="24CC8D04" w:rsidR="00C23D65" w:rsidRPr="00C86111" w:rsidRDefault="00C23D65" w:rsidP="00C23D65">
      <w:pPr>
        <w:jc w:val="both"/>
        <w:rPr>
          <w:rFonts w:asciiTheme="minorHAnsi" w:hAnsiTheme="minorHAnsi" w:cstheme="minorHAnsi"/>
          <w:b/>
          <w:bCs/>
          <w:color w:val="002060"/>
          <w:szCs w:val="24"/>
        </w:rPr>
      </w:pPr>
      <w:r w:rsidRPr="00C86111">
        <w:rPr>
          <w:rFonts w:asciiTheme="minorHAnsi" w:hAnsiTheme="minorHAnsi" w:cstheme="minorHAnsi"/>
          <w:b/>
          <w:bCs/>
          <w:color w:val="002060"/>
          <w:szCs w:val="24"/>
        </w:rPr>
        <w:t xml:space="preserve">Zaključak </w:t>
      </w:r>
    </w:p>
    <w:p w14:paraId="4F832647" w14:textId="77777777" w:rsidR="00F603AA" w:rsidRPr="00C86111" w:rsidRDefault="00F603AA" w:rsidP="00C23D65">
      <w:pPr>
        <w:jc w:val="both"/>
        <w:rPr>
          <w:rFonts w:asciiTheme="minorHAnsi" w:hAnsiTheme="minorHAnsi" w:cstheme="minorHAnsi"/>
          <w:b/>
          <w:bCs/>
          <w:color w:val="auto"/>
          <w:szCs w:val="24"/>
        </w:rPr>
      </w:pPr>
    </w:p>
    <w:p w14:paraId="3CF2BF91"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Tokom posmatranog perioda količine WEEE-a i plastike značajno variraju iz godine u godinu, ali dekaBDE je kontinuirano prisutan u svim godinama, što potvrđuje njegovu dugotrajnu opstojnost u otpadu. Najviše vrijednosti sadržaja dekaBDE zabilježene su 2011, 2018 i 2021. godine, dok su najniže u periodu 2012–2013.</w:t>
      </w:r>
    </w:p>
    <w:p w14:paraId="47ABEA54"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Uprkos oscilacijama količina WEEE-a, ne uočava se jasan dugoročni trend smanjenja dekaBDE-a, što ukazuje da stari proizvodi koji ga sadrže i dalje ulaze u sistem otpada. Ovo potvrđuje da dekaBDE ostaje značajan problem u tokovima WEEE-a i da su i dalje potrebne stroge mjere kontrole, separacije i bezbjednog zbrinjavanja plastike koja ga sadrži.</w:t>
      </w:r>
    </w:p>
    <w:p w14:paraId="00A98AC3" w14:textId="77777777" w:rsidR="00C23D65" w:rsidRPr="00C86111" w:rsidRDefault="00C23D65" w:rsidP="00EA6904">
      <w:pPr>
        <w:pStyle w:val="Heading4"/>
      </w:pPr>
      <w:r w:rsidRPr="00C86111">
        <w:t>Terenski rad – analiza otpadne EEE opreme u Crnoj Gori</w:t>
      </w:r>
    </w:p>
    <w:p w14:paraId="033D0D7F"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 xml:space="preserve">Sanitarno-ekološka kompanija </w:t>
      </w:r>
      <w:r w:rsidRPr="00C86111">
        <w:rPr>
          <w:rFonts w:asciiTheme="minorHAnsi" w:hAnsiTheme="minorHAnsi" w:cstheme="minorHAnsi"/>
          <w:b/>
          <w:bCs/>
          <w:szCs w:val="24"/>
        </w:rPr>
        <w:t>„Hemosan“ d.o.o., Bar</w:t>
      </w:r>
      <w:r w:rsidRPr="00C86111">
        <w:rPr>
          <w:rFonts w:asciiTheme="minorHAnsi" w:hAnsiTheme="minorHAnsi" w:cstheme="minorHAnsi"/>
          <w:szCs w:val="24"/>
        </w:rPr>
        <w:t>, osnovana 1993. godine, glavni je operater u Crnoj Gori za prikupljanje, skladištenje i izvoz otpada, uključujući opasni i neopasni otpad, te upravljanje otpadnom električnom i elektronskom opremom (WEEE).Glavne djelatnosti kompanije su:</w:t>
      </w:r>
    </w:p>
    <w:p w14:paraId="583B6C85" w14:textId="77777777" w:rsidR="00C23D65" w:rsidRPr="00C86111" w:rsidRDefault="00C23D65" w:rsidP="00004F34">
      <w:pPr>
        <w:numPr>
          <w:ilvl w:val="0"/>
          <w:numId w:val="193"/>
        </w:numPr>
        <w:jc w:val="both"/>
        <w:rPr>
          <w:rFonts w:asciiTheme="minorHAnsi" w:hAnsiTheme="minorHAnsi" w:cstheme="minorHAnsi"/>
          <w:szCs w:val="24"/>
        </w:rPr>
      </w:pPr>
      <w:r w:rsidRPr="00C86111">
        <w:rPr>
          <w:rFonts w:asciiTheme="minorHAnsi" w:hAnsiTheme="minorHAnsi" w:cstheme="minorHAnsi"/>
          <w:szCs w:val="24"/>
        </w:rPr>
        <w:t>Prevencija zagađenja mora, luka i marina, uključujući prijem opasnog otpada;</w:t>
      </w:r>
    </w:p>
    <w:p w14:paraId="7ABF162C" w14:textId="77777777" w:rsidR="00C23D65" w:rsidRPr="00C86111" w:rsidRDefault="00C23D65" w:rsidP="00004F34">
      <w:pPr>
        <w:numPr>
          <w:ilvl w:val="0"/>
          <w:numId w:val="193"/>
        </w:numPr>
        <w:jc w:val="both"/>
        <w:rPr>
          <w:rFonts w:asciiTheme="minorHAnsi" w:hAnsiTheme="minorHAnsi" w:cstheme="minorHAnsi"/>
          <w:szCs w:val="24"/>
        </w:rPr>
      </w:pPr>
      <w:r w:rsidRPr="00C86111">
        <w:rPr>
          <w:rFonts w:asciiTheme="minorHAnsi" w:hAnsiTheme="minorHAnsi" w:cstheme="minorHAnsi"/>
          <w:szCs w:val="24"/>
        </w:rPr>
        <w:t>Prikupljanje, transport, skladištenje i izvoz opasnog i neopasnog otpada;</w:t>
      </w:r>
    </w:p>
    <w:p w14:paraId="0FC27E23" w14:textId="77777777" w:rsidR="00C23D65" w:rsidRPr="00C86111" w:rsidRDefault="00C23D65" w:rsidP="00004F34">
      <w:pPr>
        <w:numPr>
          <w:ilvl w:val="0"/>
          <w:numId w:val="193"/>
        </w:numPr>
        <w:jc w:val="both"/>
        <w:rPr>
          <w:rFonts w:asciiTheme="minorHAnsi" w:hAnsiTheme="minorHAnsi" w:cstheme="minorHAnsi"/>
          <w:szCs w:val="24"/>
        </w:rPr>
      </w:pPr>
      <w:r w:rsidRPr="00C86111">
        <w:rPr>
          <w:rFonts w:asciiTheme="minorHAnsi" w:hAnsiTheme="minorHAnsi" w:cstheme="minorHAnsi"/>
          <w:szCs w:val="24"/>
        </w:rPr>
        <w:t>Prijem i tretman uljanih i otpadnih voda sa brodova;</w:t>
      </w:r>
    </w:p>
    <w:p w14:paraId="336DCAC6" w14:textId="77777777" w:rsidR="00C23D65" w:rsidRPr="00C86111" w:rsidRDefault="00C23D65" w:rsidP="00004F34">
      <w:pPr>
        <w:numPr>
          <w:ilvl w:val="0"/>
          <w:numId w:val="193"/>
        </w:numPr>
        <w:jc w:val="both"/>
        <w:rPr>
          <w:rFonts w:asciiTheme="minorHAnsi" w:hAnsiTheme="minorHAnsi" w:cstheme="minorHAnsi"/>
          <w:szCs w:val="24"/>
        </w:rPr>
      </w:pPr>
      <w:r w:rsidRPr="00C86111">
        <w:rPr>
          <w:rFonts w:asciiTheme="minorHAnsi" w:hAnsiTheme="minorHAnsi" w:cstheme="minorHAnsi"/>
          <w:szCs w:val="24"/>
        </w:rPr>
        <w:t>Čišćenje tankova za naftu i naftne derivate uz ekološki prihvatljivo zbrinjavanje nastalog otpada.</w:t>
      </w:r>
    </w:p>
    <w:p w14:paraId="1608E167"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Dozvole i licence:</w:t>
      </w:r>
    </w:p>
    <w:p w14:paraId="6DBBED3A" w14:textId="77777777" w:rsidR="00C23D65" w:rsidRPr="00C86111" w:rsidRDefault="00C23D65" w:rsidP="00004F34">
      <w:pPr>
        <w:numPr>
          <w:ilvl w:val="0"/>
          <w:numId w:val="194"/>
        </w:numPr>
        <w:jc w:val="both"/>
        <w:rPr>
          <w:rFonts w:asciiTheme="minorHAnsi" w:hAnsiTheme="minorHAnsi" w:cstheme="minorHAnsi"/>
          <w:szCs w:val="24"/>
        </w:rPr>
      </w:pPr>
      <w:r w:rsidRPr="00C86111">
        <w:rPr>
          <w:rFonts w:asciiTheme="minorHAnsi" w:hAnsiTheme="minorHAnsi" w:cstheme="minorHAnsi"/>
          <w:szCs w:val="24"/>
        </w:rPr>
        <w:t>Prikupljanje i transport otpada;</w:t>
      </w:r>
    </w:p>
    <w:p w14:paraId="5D88CED7" w14:textId="77777777" w:rsidR="00C23D65" w:rsidRPr="00C86111" w:rsidRDefault="00C23D65" w:rsidP="00004F34">
      <w:pPr>
        <w:numPr>
          <w:ilvl w:val="0"/>
          <w:numId w:val="194"/>
        </w:numPr>
        <w:jc w:val="both"/>
        <w:rPr>
          <w:rFonts w:asciiTheme="minorHAnsi" w:hAnsiTheme="minorHAnsi" w:cstheme="minorHAnsi"/>
          <w:szCs w:val="24"/>
        </w:rPr>
      </w:pPr>
      <w:r w:rsidRPr="00C86111">
        <w:rPr>
          <w:rFonts w:asciiTheme="minorHAnsi" w:hAnsiTheme="minorHAnsi" w:cstheme="minorHAnsi"/>
          <w:szCs w:val="24"/>
        </w:rPr>
        <w:t>Bioremedijacione aktivnosti;</w:t>
      </w:r>
    </w:p>
    <w:p w14:paraId="64740936" w14:textId="77777777" w:rsidR="00C23D65" w:rsidRPr="00C86111" w:rsidRDefault="00C23D65" w:rsidP="00004F34">
      <w:pPr>
        <w:numPr>
          <w:ilvl w:val="0"/>
          <w:numId w:val="194"/>
        </w:numPr>
        <w:jc w:val="both"/>
        <w:rPr>
          <w:rFonts w:asciiTheme="minorHAnsi" w:hAnsiTheme="minorHAnsi" w:cstheme="minorHAnsi"/>
          <w:szCs w:val="24"/>
        </w:rPr>
      </w:pPr>
      <w:r w:rsidRPr="00C86111">
        <w:rPr>
          <w:rFonts w:asciiTheme="minorHAnsi" w:hAnsiTheme="minorHAnsi" w:cstheme="minorHAnsi"/>
          <w:szCs w:val="24"/>
        </w:rPr>
        <w:t>Izvoz loživog ulja;</w:t>
      </w:r>
    </w:p>
    <w:p w14:paraId="5292472A" w14:textId="77777777" w:rsidR="00C23D65" w:rsidRPr="00C86111" w:rsidRDefault="00C23D65" w:rsidP="00004F34">
      <w:pPr>
        <w:numPr>
          <w:ilvl w:val="0"/>
          <w:numId w:val="194"/>
        </w:numPr>
        <w:jc w:val="both"/>
        <w:rPr>
          <w:rFonts w:asciiTheme="minorHAnsi" w:hAnsiTheme="minorHAnsi" w:cstheme="minorHAnsi"/>
          <w:szCs w:val="24"/>
        </w:rPr>
      </w:pPr>
      <w:r w:rsidRPr="00C86111">
        <w:rPr>
          <w:rFonts w:asciiTheme="minorHAnsi" w:hAnsiTheme="minorHAnsi" w:cstheme="minorHAnsi"/>
          <w:szCs w:val="24"/>
        </w:rPr>
        <w:t>Prikupljanje, transport i obrada transformatora i kondenzatora;</w:t>
      </w:r>
    </w:p>
    <w:p w14:paraId="50C0FB56" w14:textId="77777777" w:rsidR="00C23D65" w:rsidRPr="00C86111" w:rsidRDefault="00C23D65" w:rsidP="00004F34">
      <w:pPr>
        <w:numPr>
          <w:ilvl w:val="0"/>
          <w:numId w:val="194"/>
        </w:numPr>
        <w:jc w:val="both"/>
        <w:rPr>
          <w:rFonts w:asciiTheme="minorHAnsi" w:hAnsiTheme="minorHAnsi" w:cstheme="minorHAnsi"/>
          <w:szCs w:val="24"/>
        </w:rPr>
      </w:pPr>
      <w:r w:rsidRPr="00C86111">
        <w:rPr>
          <w:rFonts w:asciiTheme="minorHAnsi" w:hAnsiTheme="minorHAnsi" w:cstheme="minorHAnsi"/>
          <w:szCs w:val="24"/>
        </w:rPr>
        <w:t>Upravljanje otpadnom električnom i elektronskom opremom (WEEE).</w:t>
      </w:r>
    </w:p>
    <w:p w14:paraId="4FFEEE0A" w14:textId="77777777" w:rsidR="00E2027B" w:rsidRDefault="00E2027B" w:rsidP="00C23D65">
      <w:pPr>
        <w:jc w:val="both"/>
        <w:rPr>
          <w:rFonts w:asciiTheme="minorHAnsi" w:hAnsiTheme="minorHAnsi" w:cstheme="minorHAnsi"/>
          <w:b/>
          <w:bCs/>
          <w:szCs w:val="24"/>
        </w:rPr>
      </w:pPr>
    </w:p>
    <w:p w14:paraId="289DB8CB" w14:textId="77777777" w:rsidR="00E2027B" w:rsidRDefault="00E2027B" w:rsidP="00C23D65">
      <w:pPr>
        <w:jc w:val="both"/>
        <w:rPr>
          <w:rFonts w:asciiTheme="minorHAnsi" w:hAnsiTheme="minorHAnsi" w:cstheme="minorHAnsi"/>
          <w:b/>
          <w:bCs/>
          <w:szCs w:val="24"/>
        </w:rPr>
      </w:pPr>
    </w:p>
    <w:p w14:paraId="21D978CC" w14:textId="77777777" w:rsidR="00F57E42" w:rsidRDefault="00F57E42" w:rsidP="00C23D65">
      <w:pPr>
        <w:jc w:val="both"/>
        <w:rPr>
          <w:rFonts w:asciiTheme="minorHAnsi" w:hAnsiTheme="minorHAnsi" w:cstheme="minorHAnsi"/>
          <w:b/>
          <w:bCs/>
          <w:szCs w:val="24"/>
        </w:rPr>
      </w:pPr>
    </w:p>
    <w:p w14:paraId="1676ED5C" w14:textId="01FED77E" w:rsidR="00C23D65" w:rsidRDefault="00C23D65" w:rsidP="00C23D65">
      <w:pPr>
        <w:jc w:val="both"/>
        <w:rPr>
          <w:rFonts w:asciiTheme="minorHAnsi" w:hAnsiTheme="minorHAnsi" w:cstheme="minorHAnsi"/>
          <w:b/>
          <w:bCs/>
          <w:szCs w:val="24"/>
        </w:rPr>
      </w:pPr>
      <w:r w:rsidRPr="00C86111">
        <w:rPr>
          <w:rFonts w:asciiTheme="minorHAnsi" w:hAnsiTheme="minorHAnsi" w:cstheme="minorHAnsi"/>
          <w:b/>
          <w:bCs/>
          <w:szCs w:val="24"/>
        </w:rPr>
        <w:lastRenderedPageBreak/>
        <w:t>Terenske aktivnosti i analize:</w:t>
      </w:r>
    </w:p>
    <w:p w14:paraId="1455DCC8" w14:textId="77777777" w:rsidR="00F57E42" w:rsidRPr="00C86111" w:rsidRDefault="00F57E42" w:rsidP="00C23D65">
      <w:pPr>
        <w:jc w:val="both"/>
        <w:rPr>
          <w:rFonts w:asciiTheme="minorHAnsi" w:hAnsiTheme="minorHAnsi" w:cstheme="minorHAnsi"/>
          <w:b/>
          <w:bCs/>
          <w:szCs w:val="24"/>
        </w:rPr>
      </w:pPr>
    </w:p>
    <w:p w14:paraId="6B7C911A"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 xml:space="preserve">U okviru ovlašćenja, </w:t>
      </w:r>
      <w:r w:rsidRPr="00C86111">
        <w:rPr>
          <w:rFonts w:asciiTheme="minorHAnsi" w:hAnsiTheme="minorHAnsi" w:cstheme="minorHAnsi"/>
          <w:b/>
          <w:bCs/>
          <w:szCs w:val="24"/>
        </w:rPr>
        <w:t>CETI tim</w:t>
      </w:r>
      <w:r w:rsidRPr="00C86111">
        <w:rPr>
          <w:rFonts w:asciiTheme="minorHAnsi" w:hAnsiTheme="minorHAnsi" w:cstheme="minorHAnsi"/>
          <w:szCs w:val="24"/>
        </w:rPr>
        <w:t xml:space="preserve"> je izvršio pregled situacije na terenu u kompaniji „Hemosan“ i sproveo </w:t>
      </w:r>
      <w:r w:rsidRPr="00C86111">
        <w:rPr>
          <w:rFonts w:asciiTheme="minorHAnsi" w:hAnsiTheme="minorHAnsi" w:cstheme="minorHAnsi"/>
          <w:b/>
          <w:bCs/>
          <w:szCs w:val="24"/>
        </w:rPr>
        <w:t>XRF analizu</w:t>
      </w:r>
      <w:r w:rsidRPr="00C86111">
        <w:rPr>
          <w:rFonts w:asciiTheme="minorHAnsi" w:hAnsiTheme="minorHAnsi" w:cstheme="minorHAnsi"/>
          <w:szCs w:val="24"/>
        </w:rPr>
        <w:t xml:space="preserve"> kako bi odredio sadržaj broma (Br) i antimona (Sn</w:t>
      </w:r>
      <w:r w:rsidRPr="00C86111">
        <w:rPr>
          <w:rFonts w:asciiTheme="minorHAnsi" w:hAnsiTheme="minorHAnsi" w:cstheme="minorHAnsi"/>
          <w:b/>
          <w:bCs/>
          <w:szCs w:val="24"/>
        </w:rPr>
        <w:t>)</w:t>
      </w:r>
      <w:r w:rsidRPr="00C86111">
        <w:rPr>
          <w:rFonts w:asciiTheme="minorHAnsi" w:hAnsiTheme="minorHAnsi" w:cstheme="minorHAnsi"/>
          <w:szCs w:val="24"/>
        </w:rPr>
        <w:t xml:space="preserve"> u otpadnim LCD i CRT ekranima pripremljenim za izvoz.</w:t>
      </w:r>
    </w:p>
    <w:p w14:paraId="24D77281"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Rezultati su potvrdili prisustvo bromovanih komponenti, što ukazuje na prisustvo PBDE u ovim frakcijama otpada, a foto-dokumentacija terenskog rada dodatno potvrđuje metodologiju i utvrđene rezultate.</w:t>
      </w:r>
    </w:p>
    <w:p w14:paraId="7850939B" w14:textId="77777777" w:rsidR="00C23D65" w:rsidRPr="00C86111" w:rsidRDefault="00C23D65" w:rsidP="00C23D65">
      <w:pPr>
        <w:jc w:val="both"/>
        <w:rPr>
          <w:rFonts w:asciiTheme="minorHAnsi" w:hAnsiTheme="minorHAnsi" w:cstheme="minorHAnsi"/>
          <w:color w:val="auto"/>
          <w:szCs w:val="24"/>
        </w:rPr>
      </w:pPr>
    </w:p>
    <w:tbl>
      <w:tblPr>
        <w:tblW w:w="93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607"/>
        <w:gridCol w:w="4738"/>
      </w:tblGrid>
      <w:tr w:rsidR="00C23D65" w:rsidRPr="00C86111" w14:paraId="13294912" w14:textId="77777777" w:rsidTr="00C23D65">
        <w:trPr>
          <w:trHeight w:val="3179"/>
        </w:trPr>
        <w:tc>
          <w:tcPr>
            <w:tcW w:w="46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63B8BDB" w14:textId="60B7256F" w:rsidR="00C23D65" w:rsidRPr="00C86111" w:rsidRDefault="00C23D65">
            <w:pPr>
              <w:pStyle w:val="Text"/>
              <w:rPr>
                <w:rFonts w:asciiTheme="minorHAnsi" w:hAnsiTheme="minorHAnsi" w:cstheme="minorHAnsi"/>
              </w:rPr>
            </w:pPr>
            <w:r w:rsidRPr="00C86111">
              <w:rPr>
                <w:rFonts w:asciiTheme="minorHAnsi" w:hAnsiTheme="minorHAnsi" w:cstheme="minorHAnsi"/>
                <w:noProof/>
                <w14:textOutline w14:w="0" w14:cap="rnd" w14:cmpd="sng" w14:algn="ctr">
                  <w14:noFill/>
                  <w14:prstDash w14:val="solid"/>
                  <w14:bevel/>
                </w14:textOutline>
              </w:rPr>
              <w:drawing>
                <wp:inline distT="0" distB="0" distL="0" distR="0" wp14:anchorId="1F37DE88" wp14:editId="1E3E8D15">
                  <wp:extent cx="1981200" cy="2773680"/>
                  <wp:effectExtent l="3810" t="0" r="3810" b="3810"/>
                  <wp:docPr id="14" name="Picture 14"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1981200" cy="2773680"/>
                          </a:xfrm>
                          <a:prstGeom prst="rect">
                            <a:avLst/>
                          </a:prstGeom>
                          <a:noFill/>
                          <a:ln>
                            <a:noFill/>
                          </a:ln>
                        </pic:spPr>
                      </pic:pic>
                    </a:graphicData>
                  </a:graphic>
                </wp:inline>
              </w:drawing>
            </w:r>
          </w:p>
        </w:tc>
        <w:tc>
          <w:tcPr>
            <w:tcW w:w="4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57135C9" w14:textId="16160051" w:rsidR="00C23D65" w:rsidRPr="00C86111" w:rsidRDefault="00C23D65">
            <w:pPr>
              <w:pStyle w:val="Text"/>
              <w:rPr>
                <w:rFonts w:asciiTheme="minorHAnsi" w:hAnsiTheme="minorHAnsi" w:cstheme="minorHAnsi"/>
              </w:rPr>
            </w:pPr>
            <w:r w:rsidRPr="00C86111">
              <w:rPr>
                <w:rFonts w:asciiTheme="minorHAnsi" w:hAnsiTheme="minorHAnsi" w:cstheme="minorHAnsi"/>
                <w:noProof/>
                <w14:textOutline w14:w="0" w14:cap="rnd" w14:cmpd="sng" w14:algn="ctr">
                  <w14:noFill/>
                  <w14:prstDash w14:val="solid"/>
                  <w14:bevel/>
                </w14:textOutline>
              </w:rPr>
              <w:drawing>
                <wp:inline distT="0" distB="0" distL="0" distR="0" wp14:anchorId="3D60D0E9" wp14:editId="3D844348">
                  <wp:extent cx="1897380" cy="2895600"/>
                  <wp:effectExtent l="0" t="3810" r="3810" b="3810"/>
                  <wp:docPr id="10" name="Picture 10"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1897380" cy="2895600"/>
                          </a:xfrm>
                          <a:prstGeom prst="rect">
                            <a:avLst/>
                          </a:prstGeom>
                          <a:noFill/>
                          <a:ln>
                            <a:noFill/>
                          </a:ln>
                        </pic:spPr>
                      </pic:pic>
                    </a:graphicData>
                  </a:graphic>
                </wp:inline>
              </w:drawing>
            </w:r>
          </w:p>
        </w:tc>
      </w:tr>
      <w:tr w:rsidR="00C23D65" w:rsidRPr="00C86111" w14:paraId="6593A9D7" w14:textId="77777777" w:rsidTr="00C23D65">
        <w:trPr>
          <w:trHeight w:val="3468"/>
        </w:trPr>
        <w:tc>
          <w:tcPr>
            <w:tcW w:w="46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1E5047E" w14:textId="35D19E1E" w:rsidR="00C23D65" w:rsidRPr="00C86111" w:rsidRDefault="00C23D65">
            <w:pPr>
              <w:pStyle w:val="Text"/>
              <w:rPr>
                <w:rFonts w:asciiTheme="minorHAnsi" w:hAnsiTheme="minorHAnsi" w:cstheme="minorHAnsi"/>
              </w:rPr>
            </w:pPr>
            <w:r w:rsidRPr="00C86111">
              <w:rPr>
                <w:rFonts w:asciiTheme="minorHAnsi" w:hAnsiTheme="minorHAnsi" w:cstheme="minorHAnsi"/>
                <w:noProof/>
                <w14:textOutline w14:w="0" w14:cap="rnd" w14:cmpd="sng" w14:algn="ctr">
                  <w14:noFill/>
                  <w14:prstDash w14:val="solid"/>
                  <w14:bevel/>
                </w14:textOutline>
              </w:rPr>
              <w:drawing>
                <wp:inline distT="0" distB="0" distL="0" distR="0" wp14:anchorId="463B5BC0" wp14:editId="593733F8">
                  <wp:extent cx="2164080" cy="2819400"/>
                  <wp:effectExtent l="0" t="3810" r="3810" b="3810"/>
                  <wp:docPr id="7" name="Picture 7" descr="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2164080" cy="2819400"/>
                          </a:xfrm>
                          <a:prstGeom prst="rect">
                            <a:avLst/>
                          </a:prstGeom>
                          <a:noFill/>
                          <a:ln>
                            <a:noFill/>
                          </a:ln>
                        </pic:spPr>
                      </pic:pic>
                    </a:graphicData>
                  </a:graphic>
                </wp:inline>
              </w:drawing>
            </w:r>
          </w:p>
        </w:tc>
        <w:tc>
          <w:tcPr>
            <w:tcW w:w="4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9EA1E28" w14:textId="0C2712A4" w:rsidR="00C23D65" w:rsidRPr="00C86111" w:rsidRDefault="00C23D65">
            <w:pPr>
              <w:pStyle w:val="Text"/>
              <w:rPr>
                <w:rFonts w:asciiTheme="minorHAnsi" w:hAnsiTheme="minorHAnsi" w:cstheme="minorHAnsi"/>
              </w:rPr>
            </w:pPr>
            <w:r w:rsidRPr="00C86111">
              <w:rPr>
                <w:rFonts w:asciiTheme="minorHAnsi" w:hAnsiTheme="minorHAnsi" w:cstheme="minorHAnsi"/>
                <w:noProof/>
                <w14:textOutline w14:w="0" w14:cap="rnd" w14:cmpd="sng" w14:algn="ctr">
                  <w14:noFill/>
                  <w14:prstDash w14:val="solid"/>
                  <w14:bevel/>
                </w14:textOutline>
              </w:rPr>
              <w:drawing>
                <wp:inline distT="0" distB="0" distL="0" distR="0" wp14:anchorId="6E3BBE2C" wp14:editId="0691383C">
                  <wp:extent cx="2148840" cy="2773680"/>
                  <wp:effectExtent l="0" t="7620" r="0" b="0"/>
                  <wp:docPr id="6" name="Picture 6" descr="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2148840" cy="2773680"/>
                          </a:xfrm>
                          <a:prstGeom prst="rect">
                            <a:avLst/>
                          </a:prstGeom>
                          <a:noFill/>
                          <a:ln>
                            <a:noFill/>
                          </a:ln>
                        </pic:spPr>
                      </pic:pic>
                    </a:graphicData>
                  </a:graphic>
                </wp:inline>
              </w:drawing>
            </w:r>
          </w:p>
        </w:tc>
      </w:tr>
      <w:tr w:rsidR="00C23D65" w:rsidRPr="00C86111" w14:paraId="06E4D26D" w14:textId="77777777" w:rsidTr="00C23D65">
        <w:trPr>
          <w:trHeight w:val="369"/>
        </w:trPr>
        <w:tc>
          <w:tcPr>
            <w:tcW w:w="935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CE7779E" w14:textId="77777777" w:rsidR="00C23D65" w:rsidRPr="00C86111" w:rsidRDefault="00C23D65" w:rsidP="00C23D65">
            <w:pPr>
              <w:pStyle w:val="Text"/>
              <w:spacing w:after="0"/>
              <w:rPr>
                <w:rFonts w:asciiTheme="minorHAnsi" w:hAnsiTheme="minorHAnsi" w:cstheme="minorHAnsi"/>
              </w:rPr>
            </w:pPr>
            <w:r w:rsidRPr="00C86111">
              <w:rPr>
                <w:rFonts w:asciiTheme="minorHAnsi" w:hAnsiTheme="minorHAnsi" w:cstheme="minorHAnsi"/>
                <w:b/>
                <w:bCs/>
              </w:rPr>
              <w:t>Photo documentation</w:t>
            </w:r>
            <w:r w:rsidRPr="00C86111">
              <w:rPr>
                <w:rFonts w:asciiTheme="minorHAnsi" w:hAnsiTheme="minorHAnsi" w:cstheme="minorHAnsi"/>
              </w:rPr>
              <w:t xml:space="preserve"> </w:t>
            </w:r>
            <w:r w:rsidRPr="00C86111">
              <w:rPr>
                <w:rFonts w:asciiTheme="minorHAnsi" w:hAnsiTheme="minorHAnsi" w:cstheme="minorHAnsi" w:hint="cs"/>
                <w:rtl/>
                <w:lang w:val="ar-SA"/>
              </w:rPr>
              <w:t>“</w:t>
            </w:r>
            <w:r w:rsidRPr="00C86111">
              <w:rPr>
                <w:rFonts w:asciiTheme="minorHAnsi" w:hAnsiTheme="minorHAnsi" w:cstheme="minorHAnsi"/>
                <w:lang w:val="es-ES_tradnl"/>
              </w:rPr>
              <w:t>Hemosan</w:t>
            </w:r>
            <w:r w:rsidRPr="00C86111">
              <w:rPr>
                <w:rFonts w:asciiTheme="minorHAnsi" w:hAnsiTheme="minorHAnsi" w:cstheme="minorHAnsi"/>
              </w:rPr>
              <w:t>” – Bar 27.09.2024, CETI tim na terenu/rezultati mjerenja</w:t>
            </w:r>
          </w:p>
        </w:tc>
      </w:tr>
    </w:tbl>
    <w:p w14:paraId="136953FA" w14:textId="77777777" w:rsidR="00C23D65" w:rsidRPr="00C86111" w:rsidRDefault="00C23D65" w:rsidP="00C23D65">
      <w:pPr>
        <w:jc w:val="both"/>
        <w:rPr>
          <w:rFonts w:asciiTheme="minorHAnsi" w:hAnsiTheme="minorHAnsi" w:cstheme="minorHAnsi"/>
          <w:color w:val="auto"/>
          <w:szCs w:val="24"/>
        </w:rPr>
      </w:pPr>
    </w:p>
    <w:p w14:paraId="4AC75006" w14:textId="77777777" w:rsidR="00C23D65" w:rsidRPr="00C86111" w:rsidRDefault="00C23D65" w:rsidP="00C23D65">
      <w:pPr>
        <w:jc w:val="both"/>
        <w:rPr>
          <w:rFonts w:asciiTheme="minorHAnsi" w:hAnsiTheme="minorHAnsi" w:cstheme="minorHAnsi"/>
          <w:color w:val="auto"/>
          <w:szCs w:val="24"/>
        </w:rPr>
      </w:pPr>
    </w:p>
    <w:p w14:paraId="02D5D37C" w14:textId="77777777" w:rsidR="00F603AA" w:rsidRDefault="00F603AA" w:rsidP="00C23D65">
      <w:pPr>
        <w:jc w:val="both"/>
        <w:rPr>
          <w:rFonts w:asciiTheme="minorHAnsi" w:hAnsiTheme="minorHAnsi" w:cstheme="minorHAnsi"/>
          <w:color w:val="auto"/>
          <w:szCs w:val="24"/>
        </w:rPr>
      </w:pPr>
    </w:p>
    <w:p w14:paraId="7FDE6DA9" w14:textId="77777777" w:rsidR="00E2027B" w:rsidRDefault="00E2027B" w:rsidP="00C23D65">
      <w:pPr>
        <w:jc w:val="both"/>
        <w:rPr>
          <w:rFonts w:asciiTheme="minorHAnsi" w:hAnsiTheme="minorHAnsi" w:cstheme="minorHAnsi"/>
          <w:color w:val="auto"/>
          <w:szCs w:val="24"/>
        </w:rPr>
      </w:pPr>
    </w:p>
    <w:p w14:paraId="71A426DC" w14:textId="77777777" w:rsidR="00E2027B" w:rsidRPr="00C86111" w:rsidRDefault="00E2027B" w:rsidP="00C23D65">
      <w:pPr>
        <w:jc w:val="both"/>
        <w:rPr>
          <w:rFonts w:asciiTheme="minorHAnsi" w:hAnsiTheme="minorHAnsi" w:cstheme="minorHAnsi"/>
          <w:color w:val="auto"/>
          <w:szCs w:val="24"/>
        </w:rPr>
      </w:pPr>
    </w:p>
    <w:p w14:paraId="200B2002" w14:textId="77777777" w:rsidR="00F603AA" w:rsidRPr="00C86111" w:rsidRDefault="00F603AA" w:rsidP="00C23D65">
      <w:pPr>
        <w:jc w:val="both"/>
        <w:rPr>
          <w:rFonts w:asciiTheme="minorHAnsi" w:hAnsiTheme="minorHAnsi" w:cstheme="minorHAnsi"/>
          <w:color w:val="auto"/>
          <w:szCs w:val="24"/>
        </w:rPr>
      </w:pPr>
    </w:p>
    <w:p w14:paraId="1F3A7942" w14:textId="77777777" w:rsidR="00F603AA" w:rsidRPr="00C86111" w:rsidRDefault="00F603AA" w:rsidP="00C23D65">
      <w:pPr>
        <w:jc w:val="both"/>
        <w:rPr>
          <w:rFonts w:asciiTheme="minorHAnsi" w:hAnsiTheme="minorHAnsi" w:cstheme="minorHAnsi"/>
          <w:color w:val="auto"/>
          <w:szCs w:val="24"/>
        </w:rPr>
      </w:pPr>
    </w:p>
    <w:p w14:paraId="47C983F9" w14:textId="77777777" w:rsidR="00F603AA" w:rsidRPr="00C86111" w:rsidRDefault="00F603AA" w:rsidP="00C23D65">
      <w:pPr>
        <w:jc w:val="both"/>
        <w:rPr>
          <w:rFonts w:asciiTheme="minorHAnsi" w:hAnsiTheme="minorHAnsi" w:cstheme="minorHAnsi"/>
          <w:color w:val="auto"/>
          <w:szCs w:val="24"/>
        </w:rPr>
      </w:pPr>
    </w:p>
    <w:p w14:paraId="5B55C47A" w14:textId="77777777" w:rsidR="00C23D65" w:rsidRPr="00C86111" w:rsidRDefault="00C23D65" w:rsidP="00004F34">
      <w:pPr>
        <w:pStyle w:val="Heading1"/>
        <w:numPr>
          <w:ilvl w:val="1"/>
          <w:numId w:val="238"/>
        </w:numPr>
      </w:pPr>
      <w:bookmarkStart w:id="101" w:name="_Toc220541902"/>
      <w:r w:rsidRPr="00C86111">
        <w:lastRenderedPageBreak/>
        <w:t>TRANSPORTNI SEKTOR</w:t>
      </w:r>
      <w:bookmarkEnd w:id="101"/>
    </w:p>
    <w:p w14:paraId="579E4E48" w14:textId="77777777" w:rsidR="00F603AA" w:rsidRPr="00C86111" w:rsidRDefault="00F603AA" w:rsidP="00F603AA"/>
    <w:p w14:paraId="045F7569" w14:textId="77777777" w:rsidR="00C23D65" w:rsidRPr="00C86111" w:rsidRDefault="00C23D65" w:rsidP="00C23D65">
      <w:pPr>
        <w:jc w:val="both"/>
        <w:rPr>
          <w:rFonts w:asciiTheme="minorHAnsi" w:hAnsiTheme="minorHAnsi" w:cstheme="minorHAnsi"/>
          <w:szCs w:val="24"/>
        </w:rPr>
      </w:pPr>
      <w:r w:rsidRPr="00C86111">
        <w:rPr>
          <w:rFonts w:asciiTheme="minorHAnsi" w:hAnsiTheme="minorHAnsi" w:cstheme="minorHAnsi"/>
          <w:szCs w:val="24"/>
        </w:rPr>
        <w:t>Transportni sektor, koji obuhvata automobile, autobuse, kamione, vozove, avione i brodove, predstavlja jedan od najvećih materijalnih tokova i postaje značajan izvor otpada na kraju životnog vijeka vozila. Pravilno upravljanje vozilima i njihovim komponentama ključno je za oporavak materijala, cirkularnu ekonomiju i kontrolu zagađenja, uključujući PBDE.</w:t>
      </w:r>
    </w:p>
    <w:p w14:paraId="5D27DEA3" w14:textId="77777777" w:rsidR="00C23D65" w:rsidRPr="00C86111" w:rsidRDefault="00C23D65" w:rsidP="00EA6904">
      <w:pPr>
        <w:pStyle w:val="Heading3"/>
      </w:pPr>
      <w:bookmarkStart w:id="102" w:name="_Toc220541903"/>
      <w:r w:rsidRPr="00C86111">
        <w:t>Upotreba PBDE u vozilima:</w:t>
      </w:r>
      <w:bookmarkEnd w:id="102"/>
    </w:p>
    <w:p w14:paraId="1F03F5AE" w14:textId="77777777" w:rsidR="00F603AA" w:rsidRPr="00C86111" w:rsidRDefault="00F603AA" w:rsidP="00F603AA"/>
    <w:p w14:paraId="5D94F478" w14:textId="77777777" w:rsidR="00C23D65" w:rsidRPr="00C86111" w:rsidRDefault="00C23D65" w:rsidP="00004F34">
      <w:pPr>
        <w:numPr>
          <w:ilvl w:val="0"/>
          <w:numId w:val="195"/>
        </w:numPr>
        <w:jc w:val="both"/>
        <w:rPr>
          <w:rFonts w:asciiTheme="minorHAnsi" w:hAnsiTheme="minorHAnsi" w:cstheme="minorHAnsi"/>
          <w:color w:val="auto"/>
          <w:szCs w:val="24"/>
        </w:rPr>
      </w:pPr>
      <w:r w:rsidRPr="00C86111">
        <w:rPr>
          <w:rFonts w:asciiTheme="minorHAnsi" w:hAnsiTheme="minorHAnsi" w:cstheme="minorHAnsi"/>
          <w:color w:val="auto"/>
          <w:szCs w:val="24"/>
        </w:rPr>
        <w:t>DecaBDE se široko koristio u različitim komponentama vozila, uključujući plastiku, poliuretanske pjene, tekstil i električne instalacije;</w:t>
      </w:r>
    </w:p>
    <w:p w14:paraId="367396F5" w14:textId="77777777" w:rsidR="00C23D65" w:rsidRPr="00C86111" w:rsidRDefault="00C23D65" w:rsidP="00004F34">
      <w:pPr>
        <w:numPr>
          <w:ilvl w:val="0"/>
          <w:numId w:val="195"/>
        </w:numPr>
        <w:jc w:val="both"/>
        <w:rPr>
          <w:rFonts w:asciiTheme="minorHAnsi" w:hAnsiTheme="minorHAnsi" w:cstheme="minorHAnsi"/>
          <w:color w:val="auto"/>
          <w:szCs w:val="24"/>
        </w:rPr>
      </w:pPr>
      <w:r w:rsidRPr="00C86111">
        <w:rPr>
          <w:rFonts w:asciiTheme="minorHAnsi" w:hAnsiTheme="minorHAnsi" w:cstheme="minorHAnsi"/>
          <w:color w:val="auto"/>
          <w:szCs w:val="24"/>
        </w:rPr>
        <w:t>Starija vozila (prije 2000.) sadrže znatno veće količine PBDE u materijalima koji ulaze u otpad (ASR), dok novija vozila sadrže znatno manje;</w:t>
      </w:r>
    </w:p>
    <w:p w14:paraId="0B72F60C" w14:textId="77777777" w:rsidR="00C23D65" w:rsidRPr="00C86111" w:rsidRDefault="00C23D65" w:rsidP="00004F34">
      <w:pPr>
        <w:numPr>
          <w:ilvl w:val="0"/>
          <w:numId w:val="195"/>
        </w:numPr>
        <w:jc w:val="both"/>
        <w:rPr>
          <w:rFonts w:asciiTheme="minorHAnsi" w:hAnsiTheme="minorHAnsi" w:cstheme="minorHAnsi"/>
          <w:color w:val="auto"/>
          <w:szCs w:val="24"/>
        </w:rPr>
      </w:pPr>
      <w:r w:rsidRPr="00C86111">
        <w:rPr>
          <w:rFonts w:asciiTheme="minorHAnsi" w:hAnsiTheme="minorHAnsi" w:cstheme="minorHAnsi"/>
          <w:color w:val="auto"/>
          <w:szCs w:val="24"/>
        </w:rPr>
        <w:t>Tokom 1975–2004. tetra- do heptaBDE su se proizvodile i koristile u vozilima, dok je decaBDE imao duži rok proizvodnje i izuzeća za rezervne dijelove.</w:t>
      </w:r>
    </w:p>
    <w:p w14:paraId="5455D0F2"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Polimeri i ASR čine značajan dio mase vozila: plastika i sintetički materijali oko 15% ukupne mase prosječnog automobila, dok ASR (ostatak nakon drobljenja) čini 20–21%, uključujući staklo, keramiku i metalne frakcije.</w:t>
      </w:r>
    </w:p>
    <w:p w14:paraId="0B6192B5" w14:textId="3D039DFA"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Vozila su jedan od glavnih izvora PBDE u transportnom sektoru. Stari automobili i ASR predstavljaju najveći rizik, što naglašava potrebu za pravilnim upravljanjem na kraju životnog vijeka vozila i sigurnim tretmanom otpadnih materijala.</w:t>
      </w:r>
    </w:p>
    <w:p w14:paraId="3945DDFB" w14:textId="77777777" w:rsidR="00C23D65" w:rsidRPr="00C86111" w:rsidRDefault="00C23D65" w:rsidP="00004F34">
      <w:pPr>
        <w:pStyle w:val="Heading1"/>
        <w:numPr>
          <w:ilvl w:val="1"/>
          <w:numId w:val="238"/>
        </w:numPr>
        <w:rPr>
          <w:bCs/>
        </w:rPr>
      </w:pPr>
      <w:bookmarkStart w:id="103" w:name="_Toc220541904"/>
      <w:r w:rsidRPr="00C86111">
        <w:t>PROCES INVENTARIZACIJE TRANSPORTNOG SEKTORA U CRNOJ GORI</w:t>
      </w:r>
      <w:bookmarkEnd w:id="103"/>
    </w:p>
    <w:p w14:paraId="4861B0D0" w14:textId="77777777" w:rsidR="00C23D65" w:rsidRPr="00C86111" w:rsidRDefault="00C23D65" w:rsidP="00C23D65">
      <w:pPr>
        <w:jc w:val="both"/>
        <w:rPr>
          <w:rFonts w:asciiTheme="minorHAnsi" w:hAnsiTheme="minorHAnsi" w:cstheme="minorHAnsi"/>
          <w:color w:val="auto"/>
          <w:szCs w:val="24"/>
        </w:rPr>
      </w:pPr>
    </w:p>
    <w:p w14:paraId="66C8F21A" w14:textId="61C23AFC"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Inventarizacija PBDE u transportnom sektoru fokusirana je na vozila na kraju životnog vijeka</w:t>
      </w:r>
      <w:r w:rsidRPr="00C86111">
        <w:rPr>
          <w:rFonts w:asciiTheme="minorHAnsi" w:hAnsiTheme="minorHAnsi" w:cstheme="minorHAnsi"/>
          <w:b/>
          <w:bCs/>
          <w:color w:val="auto"/>
          <w:szCs w:val="24"/>
        </w:rPr>
        <w:t xml:space="preserve"> (ELV)</w:t>
      </w:r>
      <w:r w:rsidRPr="00C86111">
        <w:rPr>
          <w:rFonts w:asciiTheme="minorHAnsi" w:hAnsiTheme="minorHAnsi" w:cstheme="minorHAnsi"/>
          <w:color w:val="auto"/>
          <w:szCs w:val="24"/>
        </w:rPr>
        <w:t>, s ciljem procjene količine bromovanih usporivača gorenja u zemlji i identifikacije potencijalnih tokova kontaminacije. Proces je organizovan u nekoliko koraka koji omogućavaju sistematično prikupljanje i analizu podataka, u skladu sa međunarodnim smjernicama i lokalnim karakteristikama</w:t>
      </w:r>
      <w:r w:rsidR="00F603AA" w:rsidRPr="00C86111">
        <w:rPr>
          <w:rFonts w:asciiTheme="minorHAnsi" w:hAnsiTheme="minorHAnsi" w:cstheme="minorHAnsi"/>
          <w:color w:val="auto"/>
          <w:szCs w:val="24"/>
        </w:rPr>
        <w:t>:</w:t>
      </w:r>
    </w:p>
    <w:p w14:paraId="0D89128F" w14:textId="77777777" w:rsidR="00C23D65" w:rsidRPr="00C86111" w:rsidRDefault="00C23D65" w:rsidP="00C23D65">
      <w:pPr>
        <w:jc w:val="both"/>
        <w:rPr>
          <w:rFonts w:asciiTheme="minorHAnsi" w:hAnsiTheme="minorHAnsi" w:cstheme="minorHAnsi"/>
          <w:b/>
          <w:bCs/>
          <w:color w:val="auto"/>
          <w:szCs w:val="24"/>
        </w:rPr>
      </w:pPr>
      <w:r w:rsidRPr="00C86111">
        <w:rPr>
          <w:rFonts w:asciiTheme="minorHAnsi" w:hAnsiTheme="minorHAnsi" w:cstheme="minorHAnsi"/>
          <w:b/>
          <w:bCs/>
          <w:color w:val="002060"/>
          <w:szCs w:val="24"/>
        </w:rPr>
        <w:t>Korak 1: Planiranje inventarizacije</w:t>
      </w:r>
    </w:p>
    <w:p w14:paraId="5E99B5B0"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Planiranje inventara obuhvata:</w:t>
      </w:r>
    </w:p>
    <w:p w14:paraId="49DC148D" w14:textId="77777777" w:rsidR="00C23D65" w:rsidRPr="00C86111" w:rsidRDefault="00C23D65" w:rsidP="00004F34">
      <w:pPr>
        <w:numPr>
          <w:ilvl w:val="0"/>
          <w:numId w:val="196"/>
        </w:numPr>
        <w:jc w:val="both"/>
        <w:rPr>
          <w:rFonts w:asciiTheme="minorHAnsi" w:hAnsiTheme="minorHAnsi" w:cstheme="minorHAnsi"/>
          <w:color w:val="auto"/>
          <w:szCs w:val="24"/>
        </w:rPr>
      </w:pPr>
      <w:r w:rsidRPr="00C86111">
        <w:rPr>
          <w:rFonts w:asciiTheme="minorHAnsi" w:hAnsiTheme="minorHAnsi" w:cstheme="minorHAnsi"/>
          <w:color w:val="auto"/>
          <w:szCs w:val="24"/>
        </w:rPr>
        <w:t>Definisanje opsega inventara i identifikaciju ključnih aktera;</w:t>
      </w:r>
    </w:p>
    <w:p w14:paraId="1B0D497B" w14:textId="77777777" w:rsidR="00C23D65" w:rsidRPr="00C86111" w:rsidRDefault="00C23D65" w:rsidP="00004F34">
      <w:pPr>
        <w:numPr>
          <w:ilvl w:val="0"/>
          <w:numId w:val="196"/>
        </w:numPr>
        <w:jc w:val="both"/>
        <w:rPr>
          <w:rFonts w:asciiTheme="minorHAnsi" w:hAnsiTheme="minorHAnsi" w:cstheme="minorHAnsi"/>
          <w:color w:val="auto"/>
          <w:szCs w:val="24"/>
        </w:rPr>
      </w:pPr>
      <w:r w:rsidRPr="00C86111">
        <w:rPr>
          <w:rFonts w:asciiTheme="minorHAnsi" w:hAnsiTheme="minorHAnsi" w:cstheme="minorHAnsi"/>
          <w:color w:val="auto"/>
          <w:szCs w:val="24"/>
        </w:rPr>
        <w:t>Razvoj radnog plana za prikupljanje podataka i određivanje prioritetnih vozila i komponenti.</w:t>
      </w:r>
    </w:p>
    <w:p w14:paraId="67C8A882" w14:textId="77777777" w:rsidR="00C23D65" w:rsidRPr="00C86111" w:rsidRDefault="00C23D65" w:rsidP="00C23D65">
      <w:pPr>
        <w:jc w:val="both"/>
        <w:rPr>
          <w:rFonts w:asciiTheme="minorHAnsi" w:hAnsiTheme="minorHAnsi" w:cstheme="minorHAnsi"/>
          <w:color w:val="4472C4" w:themeColor="accent1"/>
          <w:szCs w:val="24"/>
        </w:rPr>
      </w:pPr>
      <w:r w:rsidRPr="00C86111">
        <w:rPr>
          <w:rFonts w:asciiTheme="minorHAnsi" w:hAnsiTheme="minorHAnsi" w:cstheme="minorHAnsi"/>
          <w:color w:val="auto"/>
          <w:szCs w:val="24"/>
        </w:rPr>
        <w:t>Ključni akteri u Crnoj Gori uključuju</w:t>
      </w:r>
      <w:r w:rsidRPr="00C86111">
        <w:rPr>
          <w:rFonts w:asciiTheme="minorHAnsi" w:hAnsiTheme="minorHAnsi" w:cstheme="minorHAnsi"/>
          <w:color w:val="4472C4" w:themeColor="accent1"/>
          <w:szCs w:val="24"/>
        </w:rPr>
        <w:t>:</w:t>
      </w:r>
    </w:p>
    <w:p w14:paraId="17F55F3E" w14:textId="77777777" w:rsidR="00C23D65" w:rsidRPr="00C86111" w:rsidRDefault="00C23D65" w:rsidP="00004F34">
      <w:pPr>
        <w:numPr>
          <w:ilvl w:val="0"/>
          <w:numId w:val="197"/>
        </w:numPr>
        <w:jc w:val="both"/>
        <w:rPr>
          <w:rFonts w:asciiTheme="minorHAnsi" w:hAnsiTheme="minorHAnsi" w:cstheme="minorHAnsi"/>
          <w:color w:val="auto"/>
          <w:szCs w:val="24"/>
        </w:rPr>
      </w:pPr>
      <w:r w:rsidRPr="00C86111">
        <w:rPr>
          <w:rFonts w:asciiTheme="minorHAnsi" w:hAnsiTheme="minorHAnsi" w:cstheme="minorHAnsi"/>
          <w:color w:val="auto"/>
          <w:szCs w:val="24"/>
        </w:rPr>
        <w:t>Ministarstvo ekologije, održivog razvoja i  razvoja sjevera</w:t>
      </w:r>
    </w:p>
    <w:p w14:paraId="3B538319" w14:textId="77777777" w:rsidR="00C23D65" w:rsidRPr="00C86111" w:rsidRDefault="00C23D65" w:rsidP="00004F34">
      <w:pPr>
        <w:numPr>
          <w:ilvl w:val="0"/>
          <w:numId w:val="197"/>
        </w:numPr>
        <w:jc w:val="both"/>
        <w:rPr>
          <w:rFonts w:asciiTheme="minorHAnsi" w:hAnsiTheme="minorHAnsi" w:cstheme="minorHAnsi"/>
          <w:color w:val="auto"/>
          <w:szCs w:val="24"/>
        </w:rPr>
      </w:pPr>
      <w:r w:rsidRPr="00C86111">
        <w:rPr>
          <w:rFonts w:asciiTheme="minorHAnsi" w:hAnsiTheme="minorHAnsi" w:cstheme="minorHAnsi"/>
          <w:color w:val="auto"/>
          <w:szCs w:val="24"/>
        </w:rPr>
        <w:t>Ministarstvo unutrašnjih poslova</w:t>
      </w:r>
    </w:p>
    <w:p w14:paraId="0DD92B0E" w14:textId="77777777" w:rsidR="00C23D65" w:rsidRPr="00C86111" w:rsidRDefault="00C23D65" w:rsidP="00004F34">
      <w:pPr>
        <w:numPr>
          <w:ilvl w:val="0"/>
          <w:numId w:val="197"/>
        </w:numPr>
        <w:jc w:val="both"/>
        <w:rPr>
          <w:rFonts w:asciiTheme="minorHAnsi" w:hAnsiTheme="minorHAnsi" w:cstheme="minorHAnsi"/>
          <w:color w:val="auto"/>
          <w:szCs w:val="24"/>
        </w:rPr>
      </w:pPr>
      <w:r w:rsidRPr="00C86111">
        <w:rPr>
          <w:rFonts w:asciiTheme="minorHAnsi" w:hAnsiTheme="minorHAnsi" w:cstheme="minorHAnsi"/>
          <w:color w:val="auto"/>
          <w:szCs w:val="24"/>
        </w:rPr>
        <w:t>Agencija za zaštitu životne sredine</w:t>
      </w:r>
    </w:p>
    <w:p w14:paraId="5F556AD0" w14:textId="77777777" w:rsidR="00C23D65" w:rsidRPr="00C86111" w:rsidRDefault="00C23D65" w:rsidP="00004F34">
      <w:pPr>
        <w:numPr>
          <w:ilvl w:val="0"/>
          <w:numId w:val="197"/>
        </w:numPr>
        <w:jc w:val="both"/>
        <w:rPr>
          <w:rFonts w:asciiTheme="minorHAnsi" w:hAnsiTheme="minorHAnsi" w:cstheme="minorHAnsi"/>
          <w:color w:val="auto"/>
          <w:szCs w:val="24"/>
        </w:rPr>
      </w:pPr>
      <w:r w:rsidRPr="00C86111">
        <w:rPr>
          <w:rFonts w:asciiTheme="minorHAnsi" w:hAnsiTheme="minorHAnsi" w:cstheme="minorHAnsi"/>
          <w:color w:val="auto"/>
          <w:szCs w:val="24"/>
        </w:rPr>
        <w:t>Ministarstvo ekonomije</w:t>
      </w:r>
    </w:p>
    <w:p w14:paraId="6AEF8646" w14:textId="77777777" w:rsidR="00C23D65" w:rsidRPr="00C86111" w:rsidRDefault="00C23D65" w:rsidP="00004F34">
      <w:pPr>
        <w:numPr>
          <w:ilvl w:val="0"/>
          <w:numId w:val="197"/>
        </w:numPr>
        <w:jc w:val="both"/>
        <w:rPr>
          <w:rFonts w:asciiTheme="minorHAnsi" w:hAnsiTheme="minorHAnsi" w:cstheme="minorHAnsi"/>
          <w:color w:val="auto"/>
          <w:szCs w:val="24"/>
        </w:rPr>
      </w:pPr>
      <w:r w:rsidRPr="00C86111">
        <w:rPr>
          <w:rFonts w:asciiTheme="minorHAnsi" w:hAnsiTheme="minorHAnsi" w:cstheme="minorHAnsi"/>
          <w:color w:val="auto"/>
          <w:szCs w:val="24"/>
        </w:rPr>
        <w:t>Fakultet za mašinstvo, Univerzitet Crne Gore</w:t>
      </w:r>
    </w:p>
    <w:p w14:paraId="01FF2E09" w14:textId="77777777" w:rsidR="00C23D65" w:rsidRPr="00C86111" w:rsidRDefault="00C23D65" w:rsidP="00004F34">
      <w:pPr>
        <w:numPr>
          <w:ilvl w:val="0"/>
          <w:numId w:val="197"/>
        </w:numPr>
        <w:jc w:val="both"/>
        <w:rPr>
          <w:rFonts w:asciiTheme="minorHAnsi" w:hAnsiTheme="minorHAnsi" w:cstheme="minorHAnsi"/>
          <w:color w:val="auto"/>
          <w:szCs w:val="24"/>
        </w:rPr>
      </w:pPr>
      <w:r w:rsidRPr="00C86111">
        <w:rPr>
          <w:rFonts w:asciiTheme="minorHAnsi" w:hAnsiTheme="minorHAnsi" w:cstheme="minorHAnsi"/>
          <w:color w:val="auto"/>
          <w:szCs w:val="24"/>
        </w:rPr>
        <w:t>Prerađivači otpada</w:t>
      </w:r>
    </w:p>
    <w:p w14:paraId="3595B376"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lastRenderedPageBreak/>
        <w:t>Napomena:</w:t>
      </w:r>
      <w:r w:rsidRPr="00C86111">
        <w:rPr>
          <w:rFonts w:asciiTheme="minorHAnsi" w:hAnsiTheme="minorHAnsi" w:cstheme="minorHAnsi"/>
          <w:color w:val="auto"/>
          <w:szCs w:val="24"/>
        </w:rPr>
        <w:t xml:space="preserve"> Nova vozila proizvedena od 2017. godine smatraju se slobodnim od decaBDE.</w:t>
      </w:r>
    </w:p>
    <w:p w14:paraId="4B128571" w14:textId="77777777" w:rsidR="00C23D65" w:rsidRPr="00C86111" w:rsidRDefault="00C23D65" w:rsidP="00C23D65">
      <w:pPr>
        <w:jc w:val="both"/>
        <w:rPr>
          <w:rFonts w:asciiTheme="minorHAnsi" w:hAnsiTheme="minorHAnsi" w:cstheme="minorHAnsi"/>
          <w:b/>
          <w:bCs/>
          <w:color w:val="auto"/>
          <w:szCs w:val="24"/>
        </w:rPr>
      </w:pPr>
      <w:r w:rsidRPr="00C86111">
        <w:rPr>
          <w:rFonts w:asciiTheme="minorHAnsi" w:hAnsiTheme="minorHAnsi" w:cstheme="minorHAnsi"/>
          <w:b/>
          <w:bCs/>
          <w:color w:val="002060"/>
          <w:szCs w:val="24"/>
        </w:rPr>
        <w:t>Korak 2: Odabir metodologije prikupljanja podataka</w:t>
      </w:r>
    </w:p>
    <w:p w14:paraId="20962D26"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Metodologija je strukturirana u dva nivoa:</w:t>
      </w:r>
    </w:p>
    <w:p w14:paraId="3C4ED044"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Nivo I – Početna procjena:</w:t>
      </w:r>
    </w:p>
    <w:p w14:paraId="369882CA" w14:textId="77777777" w:rsidR="00C23D65" w:rsidRPr="00C86111" w:rsidRDefault="00C23D65" w:rsidP="00004F34">
      <w:pPr>
        <w:numPr>
          <w:ilvl w:val="0"/>
          <w:numId w:val="198"/>
        </w:numPr>
        <w:jc w:val="both"/>
        <w:rPr>
          <w:rFonts w:asciiTheme="minorHAnsi" w:hAnsiTheme="minorHAnsi" w:cstheme="minorHAnsi"/>
          <w:color w:val="auto"/>
          <w:szCs w:val="24"/>
        </w:rPr>
      </w:pPr>
      <w:r w:rsidRPr="00C86111">
        <w:rPr>
          <w:rFonts w:asciiTheme="minorHAnsi" w:hAnsiTheme="minorHAnsi" w:cstheme="minorHAnsi"/>
          <w:color w:val="auto"/>
          <w:szCs w:val="24"/>
        </w:rPr>
        <w:t>Prikupljanje dostupnih podataka iz nacionalnih baza, statistike, uvozničkih i prerađivačkih udruženja te relevantnih ministarstava;</w:t>
      </w:r>
    </w:p>
    <w:p w14:paraId="13DE612B" w14:textId="77777777" w:rsidR="00C23D65" w:rsidRPr="00C86111" w:rsidRDefault="00C23D65" w:rsidP="00004F34">
      <w:pPr>
        <w:numPr>
          <w:ilvl w:val="0"/>
          <w:numId w:val="198"/>
        </w:numPr>
        <w:jc w:val="both"/>
        <w:rPr>
          <w:rFonts w:asciiTheme="minorHAnsi" w:hAnsiTheme="minorHAnsi" w:cstheme="minorHAnsi"/>
          <w:color w:val="auto"/>
          <w:szCs w:val="24"/>
        </w:rPr>
      </w:pPr>
      <w:r w:rsidRPr="00C86111">
        <w:rPr>
          <w:rFonts w:asciiTheme="minorHAnsi" w:hAnsiTheme="minorHAnsi" w:cstheme="minorHAnsi"/>
          <w:color w:val="auto"/>
          <w:szCs w:val="24"/>
        </w:rPr>
        <w:t>Ključni podaci uključuju: broj registrovanih vozila, uvoz/izvoz, starosna struktura flote, procjena rezervnih dijelova i broj vozila na kraju životnog vijeka.</w:t>
      </w:r>
    </w:p>
    <w:p w14:paraId="554263AB"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Nivo II – Osnovni inventar:</w:t>
      </w:r>
    </w:p>
    <w:p w14:paraId="6EF68809"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Detaljna lokalna procjena PBDE u vozilima obuhvata:</w:t>
      </w:r>
    </w:p>
    <w:p w14:paraId="02CDB736" w14:textId="77777777" w:rsidR="00C23D65" w:rsidRPr="00C86111" w:rsidRDefault="00C23D65" w:rsidP="00004F34">
      <w:pPr>
        <w:pStyle w:val="ListParagraph"/>
        <w:numPr>
          <w:ilvl w:val="1"/>
          <w:numId w:val="199"/>
        </w:numPr>
        <w:tabs>
          <w:tab w:val="left" w:pos="360"/>
        </w:tabs>
        <w:ind w:left="720"/>
        <w:jc w:val="both"/>
        <w:rPr>
          <w:rFonts w:asciiTheme="minorHAnsi" w:hAnsiTheme="minorHAnsi" w:cstheme="minorHAnsi"/>
          <w:color w:val="auto"/>
          <w:szCs w:val="24"/>
        </w:rPr>
      </w:pPr>
      <w:r w:rsidRPr="00C86111">
        <w:rPr>
          <w:rFonts w:asciiTheme="minorHAnsi" w:hAnsiTheme="minorHAnsi" w:cstheme="minorHAnsi"/>
          <w:color w:val="auto"/>
          <w:szCs w:val="24"/>
        </w:rPr>
        <w:t>Broj i starost vozila, raspodjela po regijama;</w:t>
      </w:r>
    </w:p>
    <w:p w14:paraId="28FA4280" w14:textId="77777777" w:rsidR="00C23D65" w:rsidRPr="00C86111" w:rsidRDefault="00C23D65" w:rsidP="00004F34">
      <w:pPr>
        <w:pStyle w:val="ListParagraph"/>
        <w:numPr>
          <w:ilvl w:val="1"/>
          <w:numId w:val="199"/>
        </w:numPr>
        <w:tabs>
          <w:tab w:val="left" w:pos="360"/>
        </w:tabs>
        <w:ind w:left="720"/>
        <w:jc w:val="both"/>
        <w:rPr>
          <w:rFonts w:asciiTheme="minorHAnsi" w:hAnsiTheme="minorHAnsi" w:cstheme="minorHAnsi"/>
          <w:color w:val="auto"/>
          <w:szCs w:val="24"/>
        </w:rPr>
      </w:pPr>
      <w:r w:rsidRPr="00C86111">
        <w:rPr>
          <w:rFonts w:asciiTheme="minorHAnsi" w:hAnsiTheme="minorHAnsi" w:cstheme="minorHAnsi"/>
          <w:color w:val="auto"/>
          <w:szCs w:val="24"/>
        </w:rPr>
        <w:t>Procijenjeni sadržaj PBDE i udio plastike/polimera;</w:t>
      </w:r>
    </w:p>
    <w:p w14:paraId="23D5DE9A" w14:textId="77777777" w:rsidR="00C23D65" w:rsidRPr="00C86111" w:rsidRDefault="00C23D65" w:rsidP="00004F34">
      <w:pPr>
        <w:pStyle w:val="ListParagraph"/>
        <w:numPr>
          <w:ilvl w:val="1"/>
          <w:numId w:val="199"/>
        </w:numPr>
        <w:tabs>
          <w:tab w:val="left" w:pos="360"/>
        </w:tabs>
        <w:ind w:left="720"/>
        <w:jc w:val="both"/>
        <w:rPr>
          <w:rFonts w:asciiTheme="minorHAnsi" w:hAnsiTheme="minorHAnsi" w:cstheme="minorHAnsi"/>
          <w:color w:val="auto"/>
          <w:szCs w:val="24"/>
        </w:rPr>
      </w:pPr>
      <w:r w:rsidRPr="00C86111">
        <w:rPr>
          <w:rFonts w:asciiTheme="minorHAnsi" w:hAnsiTheme="minorHAnsi" w:cstheme="minorHAnsi"/>
          <w:color w:val="auto"/>
          <w:szCs w:val="24"/>
        </w:rPr>
        <w:t>Upravljanje plastikom i polimerima iz ELV, uključujući reciklažu i odvajanje frakcija;</w:t>
      </w:r>
    </w:p>
    <w:p w14:paraId="5EC989F8" w14:textId="77777777" w:rsidR="00C23D65" w:rsidRPr="00C86111" w:rsidRDefault="00C23D65" w:rsidP="00004F34">
      <w:pPr>
        <w:pStyle w:val="ListParagraph"/>
        <w:numPr>
          <w:ilvl w:val="1"/>
          <w:numId w:val="199"/>
        </w:numPr>
        <w:tabs>
          <w:tab w:val="left" w:pos="360"/>
        </w:tabs>
        <w:ind w:left="720"/>
        <w:jc w:val="both"/>
        <w:rPr>
          <w:rFonts w:asciiTheme="minorHAnsi" w:hAnsiTheme="minorHAnsi" w:cstheme="minorHAnsi"/>
          <w:color w:val="auto"/>
          <w:szCs w:val="24"/>
        </w:rPr>
      </w:pPr>
      <w:r w:rsidRPr="00C86111">
        <w:rPr>
          <w:rFonts w:asciiTheme="minorHAnsi" w:hAnsiTheme="minorHAnsi" w:cstheme="minorHAnsi"/>
          <w:color w:val="auto"/>
          <w:szCs w:val="24"/>
        </w:rPr>
        <w:t>Upotrebu proizvoda od reciklirane plastike i izvoz Automotive Shredder Residue (ASR).</w:t>
      </w:r>
    </w:p>
    <w:p w14:paraId="74BEC8A1" w14:textId="77777777" w:rsidR="00C23D65" w:rsidRPr="00C86111" w:rsidRDefault="00C23D65" w:rsidP="00C23D65">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Procjena sadržaja PBDE po vozilu</w:t>
      </w:r>
    </w:p>
    <w:p w14:paraId="5623CB03" w14:textId="523FE7BE"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Na osnovu globalnih studija korišćeni su prosječni sadržaji PBDE po vozilu za različite perioda proizvodnje</w:t>
      </w:r>
      <w:r w:rsidR="00F603AA" w:rsidRPr="00C86111">
        <w:rPr>
          <w:rFonts w:asciiTheme="minorHAnsi" w:hAnsiTheme="minorHAnsi" w:cstheme="minorHAnsi"/>
          <w:color w:val="auto"/>
          <w:szCs w:val="24"/>
        </w:rPr>
        <w:t xml:space="preserve"> (Tabela 50)</w:t>
      </w:r>
      <w:r w:rsidRPr="00C86111">
        <w:rPr>
          <w:rFonts w:asciiTheme="minorHAnsi" w:hAnsiTheme="minorHAnsi" w:cstheme="minorHAnsi"/>
          <w:color w:val="auto"/>
          <w:szCs w:val="24"/>
        </w:rPr>
        <w:t>.</w:t>
      </w:r>
    </w:p>
    <w:p w14:paraId="5DE9B499" w14:textId="77777777" w:rsidR="00C23D65" w:rsidRPr="00C86111" w:rsidRDefault="00C23D65" w:rsidP="00C23D65">
      <w:pPr>
        <w:jc w:val="both"/>
        <w:rPr>
          <w:rFonts w:asciiTheme="minorHAnsi" w:hAnsiTheme="minorHAnsi" w:cstheme="minorHAnsi"/>
          <w:b/>
          <w:bCs/>
          <w:color w:val="auto"/>
          <w:szCs w:val="24"/>
        </w:rPr>
      </w:pPr>
    </w:p>
    <w:p w14:paraId="36301C1D" w14:textId="7A9E61EE"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Tabela </w:t>
      </w:r>
      <w:r w:rsidR="00F603AA" w:rsidRPr="00C86111">
        <w:rPr>
          <w:rFonts w:asciiTheme="minorHAnsi" w:hAnsiTheme="minorHAnsi" w:cstheme="minorHAnsi"/>
          <w:b/>
          <w:bCs/>
          <w:color w:val="auto"/>
          <w:szCs w:val="24"/>
        </w:rPr>
        <w:t>50</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Prosječan sadržaj POP-PBDE po vozilu</w:t>
      </w:r>
    </w:p>
    <w:tbl>
      <w:tblPr>
        <w:tblStyle w:val="GridTable5Dark-Accent6"/>
        <w:tblW w:w="0" w:type="auto"/>
        <w:tblLook w:val="04A0" w:firstRow="1" w:lastRow="0" w:firstColumn="1" w:lastColumn="0" w:noHBand="0" w:noVBand="1"/>
      </w:tblPr>
      <w:tblGrid>
        <w:gridCol w:w="2311"/>
        <w:gridCol w:w="2843"/>
        <w:gridCol w:w="3177"/>
      </w:tblGrid>
      <w:tr w:rsidR="00C23D65" w:rsidRPr="00C86111" w14:paraId="0ED365A8" w14:textId="77777777" w:rsidTr="00C23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FFFFFF" w:themeColor="background1"/>
            </w:tcBorders>
            <w:hideMark/>
          </w:tcPr>
          <w:p w14:paraId="6EB35F32"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Period proizvodnje vozila</w:t>
            </w:r>
          </w:p>
        </w:tc>
        <w:tc>
          <w:tcPr>
            <w:tcW w:w="0" w:type="auto"/>
            <w:tcBorders>
              <w:bottom w:val="single" w:sz="4" w:space="0" w:color="FFFFFF" w:themeColor="background1"/>
            </w:tcBorders>
            <w:hideMark/>
          </w:tcPr>
          <w:p w14:paraId="7257F91F"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DecaBDE (g po vozilu)</w:t>
            </w:r>
          </w:p>
        </w:tc>
        <w:tc>
          <w:tcPr>
            <w:tcW w:w="0" w:type="auto"/>
            <w:tcBorders>
              <w:bottom w:val="single" w:sz="4" w:space="0" w:color="FFFFFF" w:themeColor="background1"/>
            </w:tcBorders>
            <w:hideMark/>
          </w:tcPr>
          <w:p w14:paraId="33FD131F"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Napomena</w:t>
            </w:r>
          </w:p>
        </w:tc>
      </w:tr>
      <w:tr w:rsidR="00C23D65" w:rsidRPr="00C86111" w14:paraId="617A13B5"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5EEF85E4"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2004 (sve regije)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5F06DF2"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3B6A8E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Prosjek vozila proizvedenih do 2004.</w:t>
            </w:r>
          </w:p>
        </w:tc>
      </w:tr>
      <w:tr w:rsidR="00C23D65" w:rsidRPr="00C86111" w14:paraId="320087FD"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235301A3"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2004 (SAD)</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2729FDC"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40 g decaBDE + 40 g c-pentaBDE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26B8600"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Visoka upotreba c-pentaBDE u SAD</w:t>
            </w:r>
          </w:p>
        </w:tc>
      </w:tr>
      <w:tr w:rsidR="00C23D65" w:rsidRPr="00C86111" w14:paraId="450C64F7"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right w:val="single" w:sz="4" w:space="0" w:color="FFFFFF" w:themeColor="background1"/>
            </w:tcBorders>
            <w:hideMark/>
          </w:tcPr>
          <w:p w14:paraId="596DD484"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2005–2017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57EC376"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B1D7B34"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Vozila srednje starosti</w:t>
            </w:r>
          </w:p>
        </w:tc>
      </w:tr>
    </w:tbl>
    <w:p w14:paraId="078A20DD" w14:textId="77777777" w:rsidR="00C23D65" w:rsidRPr="00C86111" w:rsidRDefault="00C23D65" w:rsidP="00C23D65">
      <w:pPr>
        <w:jc w:val="both"/>
        <w:rPr>
          <w:rFonts w:asciiTheme="minorHAnsi" w:hAnsiTheme="minorHAnsi" w:cstheme="minorHAnsi"/>
          <w:b/>
          <w:bCs/>
          <w:color w:val="4472C4" w:themeColor="accent1"/>
          <w:szCs w:val="24"/>
        </w:rPr>
      </w:pPr>
    </w:p>
    <w:p w14:paraId="591B7C8D" w14:textId="77777777" w:rsidR="00C23D65" w:rsidRPr="00C86111" w:rsidRDefault="00C23D65" w:rsidP="00C23D65">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Formula za procjenu ukupnog PBDE u vozilima:</w:t>
      </w:r>
    </w:p>
    <w:p w14:paraId="0E8604E4" w14:textId="77777777" w:rsidR="00C23D65" w:rsidRPr="00C86111" w:rsidRDefault="00C23D65" w:rsidP="00C23D65">
      <w:pPr>
        <w:jc w:val="both"/>
        <w:rPr>
          <w:rFonts w:asciiTheme="minorHAnsi" w:hAnsiTheme="minorHAnsi" w:cstheme="minorHAnsi"/>
          <w:color w:val="4472C4" w:themeColor="accent1"/>
          <w:szCs w:val="24"/>
        </w:rPr>
      </w:pPr>
    </w:p>
    <w:p w14:paraId="4676663C" w14:textId="77777777" w:rsidR="00C23D65" w:rsidRPr="00C86111" w:rsidRDefault="00C23D65" w:rsidP="00C23D65">
      <w:pPr>
        <w:jc w:val="both"/>
        <w:rPr>
          <w:rFonts w:asciiTheme="minorHAnsi" w:hAnsiTheme="minorHAnsi" w:cstheme="minorHAnsi"/>
          <w:b/>
          <w:bCs/>
          <w:color w:val="auto"/>
          <w:szCs w:val="24"/>
        </w:rPr>
      </w:pPr>
      <m:oMathPara>
        <m:oMath>
          <m:r>
            <m:rPr>
              <m:nor/>
            </m:rPr>
            <w:rPr>
              <w:rFonts w:asciiTheme="minorHAnsi" w:hAnsiTheme="minorHAnsi" w:cstheme="minorHAnsi"/>
              <w:b/>
              <w:bCs/>
              <w:color w:val="auto"/>
              <w:szCs w:val="24"/>
            </w:rPr>
            <m:t>PBDE u vozilima</m:t>
          </m:r>
          <m:r>
            <m:rPr>
              <m:sty m:val="bi"/>
            </m:rPr>
            <w:rPr>
              <w:rFonts w:ascii="Cambria Math" w:hAnsi="Cambria Math" w:cstheme="minorHAnsi"/>
              <w:color w:val="auto"/>
              <w:szCs w:val="24"/>
            </w:rPr>
            <m:t>=(</m:t>
          </m:r>
          <m:r>
            <m:rPr>
              <m:nor/>
            </m:rPr>
            <w:rPr>
              <w:rFonts w:asciiTheme="minorHAnsi" w:hAnsiTheme="minorHAnsi" w:cstheme="minorHAnsi"/>
              <w:b/>
              <w:bCs/>
              <w:color w:val="auto"/>
              <w:szCs w:val="24"/>
            </w:rPr>
            <m:t>Vozila 1970–2004</m:t>
          </m:r>
          <m:r>
            <m:rPr>
              <m:sty m:val="bi"/>
            </m:rPr>
            <w:rPr>
              <w:rFonts w:ascii="Cambria Math" w:hAnsi="Cambria Math" w:cstheme="minorHAnsi"/>
              <w:color w:val="auto"/>
              <w:szCs w:val="24"/>
            </w:rPr>
            <m:t>×80</m:t>
          </m:r>
          <m:r>
            <m:rPr>
              <m:nor/>
            </m:rPr>
            <w:rPr>
              <w:rFonts w:asciiTheme="minorHAnsi" w:hAnsiTheme="minorHAnsi" w:cstheme="minorHAnsi"/>
              <w:b/>
              <w:bCs/>
              <w:color w:val="auto"/>
              <w:szCs w:val="24"/>
            </w:rPr>
            <m:t xml:space="preserve"> g</m:t>
          </m:r>
          <m:r>
            <m:rPr>
              <m:sty m:val="bi"/>
            </m:rPr>
            <w:rPr>
              <w:rFonts w:ascii="Cambria Math" w:hAnsi="Cambria Math" w:cstheme="minorHAnsi"/>
              <w:color w:val="auto"/>
              <w:szCs w:val="24"/>
            </w:rPr>
            <m:t>)+(</m:t>
          </m:r>
          <m:r>
            <m:rPr>
              <m:nor/>
            </m:rPr>
            <w:rPr>
              <w:rFonts w:asciiTheme="minorHAnsi" w:hAnsiTheme="minorHAnsi" w:cstheme="minorHAnsi"/>
              <w:b/>
              <w:bCs/>
              <w:color w:val="auto"/>
              <w:szCs w:val="24"/>
            </w:rPr>
            <m:t>Vozila 2005–2017</m:t>
          </m:r>
          <m:r>
            <m:rPr>
              <m:sty m:val="bi"/>
            </m:rPr>
            <w:rPr>
              <w:rFonts w:ascii="Cambria Math" w:hAnsi="Cambria Math" w:cstheme="minorHAnsi"/>
              <w:color w:val="auto"/>
              <w:szCs w:val="24"/>
            </w:rPr>
            <m:t>×20</m:t>
          </m:r>
          <m:r>
            <m:rPr>
              <m:nor/>
            </m:rPr>
            <w:rPr>
              <w:rFonts w:asciiTheme="minorHAnsi" w:hAnsiTheme="minorHAnsi" w:cstheme="minorHAnsi"/>
              <w:b/>
              <w:bCs/>
              <w:color w:val="auto"/>
              <w:szCs w:val="24"/>
            </w:rPr>
            <m:t xml:space="preserve"> g</m:t>
          </m:r>
          <m:r>
            <m:rPr>
              <m:sty m:val="bi"/>
            </m:rPr>
            <w:rPr>
              <w:rFonts w:ascii="Cambria Math" w:hAnsi="Cambria Math" w:cstheme="minorHAnsi"/>
              <w:color w:val="auto"/>
              <w:szCs w:val="24"/>
            </w:rPr>
            <m:t>)</m:t>
          </m:r>
          <m:r>
            <m:rPr>
              <m:sty m:val="p"/>
            </m:rPr>
            <w:rPr>
              <w:rFonts w:ascii="Cambria Math" w:hAnsi="Cambria Math" w:cstheme="minorHAnsi"/>
              <w:color w:val="auto"/>
              <w:szCs w:val="24"/>
            </w:rPr>
            <w:br/>
          </m:r>
        </m:oMath>
      </m:oMathPara>
    </w:p>
    <w:p w14:paraId="06DAC909" w14:textId="4ED057EF"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Za vozila iz SAD proizvedena prije 2005. koristi se posebno: 40 g decaBDE + 40 g c-pentaBDE po vozilu.</w:t>
      </w:r>
    </w:p>
    <w:p w14:paraId="125F1D10" w14:textId="77777777" w:rsidR="00C23D65" w:rsidRPr="00C86111" w:rsidRDefault="00C23D65" w:rsidP="00004F34">
      <w:pPr>
        <w:pStyle w:val="Heading1"/>
        <w:numPr>
          <w:ilvl w:val="1"/>
          <w:numId w:val="238"/>
        </w:numPr>
        <w:rPr>
          <w:bCs/>
        </w:rPr>
      </w:pPr>
      <w:bookmarkStart w:id="104" w:name="_Toc220541905"/>
      <w:r w:rsidRPr="00C86111">
        <w:t>REZULTATI INVENTARA PBDE U TRANSPORTNOM SEKTORU CRNE GORE</w:t>
      </w:r>
      <w:bookmarkEnd w:id="104"/>
    </w:p>
    <w:p w14:paraId="769CF453" w14:textId="77777777" w:rsidR="00C23D65" w:rsidRPr="00C86111" w:rsidRDefault="00C23D65" w:rsidP="00EA6904">
      <w:pPr>
        <w:pStyle w:val="Heading3"/>
      </w:pPr>
      <w:bookmarkStart w:id="105" w:name="_Toc220541906"/>
      <w:r w:rsidRPr="00C86111">
        <w:t>Vozila u upotrebi u Crnoj Gori</w:t>
      </w:r>
      <w:bookmarkEnd w:id="105"/>
    </w:p>
    <w:p w14:paraId="4854AD6D" w14:textId="77777777" w:rsidR="00C23D65" w:rsidRPr="00C86111" w:rsidRDefault="00C23D65" w:rsidP="00EA6904">
      <w:pPr>
        <w:pStyle w:val="Heading4"/>
      </w:pPr>
      <w:r w:rsidRPr="00C86111">
        <w:t>PBDE sadržaj u putničkim automobilima u upotrebi (2017–2023)</w:t>
      </w:r>
    </w:p>
    <w:p w14:paraId="294894FC" w14:textId="54B759D4"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Količina PBDE u putničkim automobilima u upotrebi prikazana je u Tabeli </w:t>
      </w:r>
      <w:r w:rsidR="00F603AA" w:rsidRPr="00C86111">
        <w:rPr>
          <w:rFonts w:asciiTheme="minorHAnsi" w:hAnsiTheme="minorHAnsi" w:cstheme="minorHAnsi"/>
          <w:color w:val="auto"/>
          <w:szCs w:val="24"/>
        </w:rPr>
        <w:t>51</w:t>
      </w:r>
      <w:r w:rsidRPr="00C86111">
        <w:rPr>
          <w:rFonts w:asciiTheme="minorHAnsi" w:hAnsiTheme="minorHAnsi" w:cstheme="minorHAnsi"/>
          <w:color w:val="auto"/>
          <w:szCs w:val="24"/>
        </w:rPr>
        <w:t xml:space="preserve">. Grafički prikaz PBDE sadržaja u putničkim automobilima u upotrebi prikazan je na </w:t>
      </w:r>
      <w:r w:rsidR="00F603AA" w:rsidRPr="00C86111">
        <w:rPr>
          <w:rFonts w:asciiTheme="minorHAnsi" w:hAnsiTheme="minorHAnsi" w:cstheme="minorHAnsi"/>
          <w:color w:val="auto"/>
          <w:szCs w:val="24"/>
        </w:rPr>
        <w:t>Grafiku</w:t>
      </w:r>
      <w:r w:rsidRPr="00C86111">
        <w:rPr>
          <w:rFonts w:asciiTheme="minorHAnsi" w:hAnsiTheme="minorHAnsi" w:cstheme="minorHAnsi"/>
          <w:color w:val="auto"/>
          <w:szCs w:val="24"/>
        </w:rPr>
        <w:t xml:space="preserve"> 8</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 xml:space="preserve">(period 2017-2023) </w:t>
      </w:r>
      <w:r w:rsidR="00F603AA" w:rsidRPr="00C86111">
        <w:rPr>
          <w:rFonts w:asciiTheme="minorHAnsi" w:hAnsiTheme="minorHAnsi" w:cstheme="minorHAnsi"/>
          <w:color w:val="auto"/>
          <w:szCs w:val="24"/>
        </w:rPr>
        <w:t>i</w:t>
      </w:r>
      <w:r w:rsidRPr="00C86111">
        <w:rPr>
          <w:rFonts w:asciiTheme="minorHAnsi" w:hAnsiTheme="minorHAnsi" w:cstheme="minorHAnsi"/>
          <w:b/>
          <w:bCs/>
          <w:color w:val="auto"/>
          <w:szCs w:val="24"/>
        </w:rPr>
        <w:t xml:space="preserve"> </w:t>
      </w:r>
      <w:r w:rsidR="00F603AA" w:rsidRPr="00C86111">
        <w:rPr>
          <w:rFonts w:asciiTheme="minorHAnsi" w:hAnsiTheme="minorHAnsi" w:cstheme="minorHAnsi"/>
          <w:color w:val="auto"/>
          <w:szCs w:val="24"/>
        </w:rPr>
        <w:t xml:space="preserve">Grafiku </w:t>
      </w:r>
      <w:r w:rsidRPr="00C86111">
        <w:rPr>
          <w:rFonts w:asciiTheme="minorHAnsi" w:hAnsiTheme="minorHAnsi" w:cstheme="minorHAnsi"/>
          <w:color w:val="auto"/>
          <w:szCs w:val="24"/>
        </w:rPr>
        <w:t>9</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(period 2006-2023).</w:t>
      </w:r>
    </w:p>
    <w:p w14:paraId="60884CB4" w14:textId="77777777" w:rsidR="00C23D65" w:rsidRPr="00C86111" w:rsidRDefault="00C23D65" w:rsidP="00C23D65">
      <w:pPr>
        <w:jc w:val="both"/>
        <w:rPr>
          <w:rFonts w:asciiTheme="minorHAnsi" w:hAnsiTheme="minorHAnsi" w:cstheme="minorHAnsi"/>
          <w:b/>
          <w:bCs/>
          <w:color w:val="auto"/>
          <w:szCs w:val="24"/>
        </w:rPr>
      </w:pPr>
    </w:p>
    <w:p w14:paraId="64B9E51D" w14:textId="77777777" w:rsidR="00F603AA" w:rsidRPr="00C86111" w:rsidRDefault="00F603AA" w:rsidP="00C23D65">
      <w:pPr>
        <w:jc w:val="both"/>
        <w:rPr>
          <w:rFonts w:asciiTheme="minorHAnsi" w:hAnsiTheme="minorHAnsi" w:cstheme="minorHAnsi"/>
          <w:b/>
          <w:bCs/>
          <w:color w:val="auto"/>
          <w:szCs w:val="24"/>
        </w:rPr>
      </w:pPr>
    </w:p>
    <w:p w14:paraId="2DB50113" w14:textId="77777777" w:rsidR="00F603AA" w:rsidRPr="00C86111" w:rsidRDefault="00F603AA" w:rsidP="00C23D65">
      <w:pPr>
        <w:jc w:val="both"/>
        <w:rPr>
          <w:rFonts w:asciiTheme="minorHAnsi" w:hAnsiTheme="minorHAnsi" w:cstheme="minorHAnsi"/>
          <w:b/>
          <w:bCs/>
          <w:color w:val="auto"/>
          <w:szCs w:val="24"/>
        </w:rPr>
      </w:pPr>
    </w:p>
    <w:p w14:paraId="67F38854" w14:textId="09672968"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lastRenderedPageBreak/>
        <w:t xml:space="preserve">Tabela </w:t>
      </w:r>
      <w:r w:rsidR="00F603AA" w:rsidRPr="00C86111">
        <w:rPr>
          <w:rFonts w:asciiTheme="minorHAnsi" w:hAnsiTheme="minorHAnsi" w:cstheme="minorHAnsi"/>
          <w:b/>
          <w:bCs/>
          <w:color w:val="auto"/>
          <w:szCs w:val="24"/>
        </w:rPr>
        <w:t>51</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PBDE sadržaj u putničkim automobilima u upotrebi (2017–2023)</w:t>
      </w:r>
    </w:p>
    <w:tbl>
      <w:tblPr>
        <w:tblStyle w:val="GridTable5Dark-Accent6"/>
        <w:tblW w:w="0" w:type="auto"/>
        <w:tblLook w:val="04A0" w:firstRow="1" w:lastRow="0" w:firstColumn="1" w:lastColumn="0" w:noHBand="0" w:noVBand="1"/>
      </w:tblPr>
      <w:tblGrid>
        <w:gridCol w:w="814"/>
        <w:gridCol w:w="2847"/>
        <w:gridCol w:w="2847"/>
        <w:gridCol w:w="1494"/>
        <w:gridCol w:w="1348"/>
      </w:tblGrid>
      <w:tr w:rsidR="00C23D65" w:rsidRPr="00C86111" w14:paraId="7AC748BF" w14:textId="77777777" w:rsidTr="00C23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FFFFFF" w:themeColor="background1"/>
            </w:tcBorders>
            <w:hideMark/>
          </w:tcPr>
          <w:p w14:paraId="04C1F0C9"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Godina</w:t>
            </w:r>
          </w:p>
        </w:tc>
        <w:tc>
          <w:tcPr>
            <w:tcW w:w="0" w:type="auto"/>
            <w:tcBorders>
              <w:bottom w:val="single" w:sz="4" w:space="0" w:color="FFFFFF" w:themeColor="background1"/>
            </w:tcBorders>
            <w:hideMark/>
          </w:tcPr>
          <w:p w14:paraId="1F3F0293"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Broj putničkih automobila (1970–2004)</w:t>
            </w:r>
          </w:p>
        </w:tc>
        <w:tc>
          <w:tcPr>
            <w:tcW w:w="0" w:type="auto"/>
            <w:tcBorders>
              <w:bottom w:val="single" w:sz="4" w:space="0" w:color="FFFFFF" w:themeColor="background1"/>
            </w:tcBorders>
            <w:hideMark/>
          </w:tcPr>
          <w:p w14:paraId="4F5273AE"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Broj putničkih automobila (2005–2017)</w:t>
            </w:r>
          </w:p>
        </w:tc>
        <w:tc>
          <w:tcPr>
            <w:tcW w:w="0" w:type="auto"/>
            <w:tcBorders>
              <w:bottom w:val="single" w:sz="4" w:space="0" w:color="FFFFFF" w:themeColor="background1"/>
            </w:tcBorders>
            <w:hideMark/>
          </w:tcPr>
          <w:p w14:paraId="292CAF7B"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Sadržaj PBDE (kg)</w:t>
            </w:r>
          </w:p>
        </w:tc>
        <w:tc>
          <w:tcPr>
            <w:tcW w:w="0" w:type="auto"/>
            <w:tcBorders>
              <w:bottom w:val="single" w:sz="4" w:space="0" w:color="FFFFFF" w:themeColor="background1"/>
            </w:tcBorders>
            <w:hideMark/>
          </w:tcPr>
          <w:p w14:paraId="3254D049"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Sadržaj PBDE (t)</w:t>
            </w:r>
          </w:p>
        </w:tc>
      </w:tr>
      <w:tr w:rsidR="00C23D65" w:rsidRPr="00C86111" w14:paraId="6F160E4D"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4A3ECB7C"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61136E0"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117.352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D731F9E"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75.245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490CDF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10.893,06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23B115E"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10,9</w:t>
            </w:r>
          </w:p>
        </w:tc>
      </w:tr>
      <w:tr w:rsidR="00C23D65" w:rsidRPr="00C86111" w14:paraId="7959146B"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3C2F80EE"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572061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116.468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60CC8B"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85.488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693B3B5"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11.027,20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B61FDF8"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11,0</w:t>
            </w:r>
          </w:p>
        </w:tc>
      </w:tr>
      <w:tr w:rsidR="00C23D65" w:rsidRPr="00C86111" w14:paraId="49544A2A"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69713A7D"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7DDC3B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110.151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1AA62C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98.217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09C4C94"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10.776,42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7328CE6"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10,8</w:t>
            </w:r>
          </w:p>
        </w:tc>
      </w:tr>
      <w:tr w:rsidR="00C23D65" w:rsidRPr="00C86111" w14:paraId="6A86C26B"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41AE1BB4"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F699830"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99.404</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1005470"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102.168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4B40ED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9.995,68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AAA8395"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10,0</w:t>
            </w:r>
          </w:p>
        </w:tc>
      </w:tr>
      <w:tr w:rsidR="00C23D65" w:rsidRPr="00C86111" w14:paraId="2F1C3F37"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4EDD7429"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0BE3B50"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94.813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CF62D8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115.579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B3E4A9F"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9.896,62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FC18BC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9,9</w:t>
            </w:r>
          </w:p>
        </w:tc>
      </w:tr>
      <w:tr w:rsidR="00C23D65" w:rsidRPr="00C86111" w14:paraId="030207F7"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69B1E65D"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8DF5F44"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87.182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C56999B"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125.952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14FAA5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9.493,60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846E668"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9,5</w:t>
            </w:r>
          </w:p>
        </w:tc>
      </w:tr>
      <w:tr w:rsidR="00C23D65" w:rsidRPr="00C86111" w14:paraId="1115771F"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right w:val="single" w:sz="4" w:space="0" w:color="FFFFFF" w:themeColor="background1"/>
            </w:tcBorders>
            <w:hideMark/>
          </w:tcPr>
          <w:p w14:paraId="7FF8480C"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2F0F2D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80.242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0A1040A"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141.341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C24B6B1"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9.246,18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78193F3"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9,2</w:t>
            </w:r>
          </w:p>
        </w:tc>
      </w:tr>
    </w:tbl>
    <w:p w14:paraId="7F878952" w14:textId="77777777" w:rsidR="00C23D65" w:rsidRPr="00C86111" w:rsidRDefault="00C23D65" w:rsidP="00C23D65">
      <w:pPr>
        <w:jc w:val="both"/>
        <w:rPr>
          <w:rFonts w:asciiTheme="minorHAnsi" w:hAnsiTheme="minorHAnsi" w:cstheme="minorHAnsi"/>
          <w:b/>
          <w:bCs/>
          <w:color w:val="auto"/>
          <w:szCs w:val="24"/>
        </w:rPr>
      </w:pPr>
    </w:p>
    <w:p w14:paraId="0DABFD50" w14:textId="16E97E4B" w:rsidR="00C23D65" w:rsidRPr="00C86111" w:rsidRDefault="00C23D65" w:rsidP="00C23D65">
      <w:pPr>
        <w:pStyle w:val="Text"/>
        <w:tabs>
          <w:tab w:val="left" w:pos="3510"/>
        </w:tabs>
        <w:jc w:val="both"/>
        <w:rPr>
          <w:rFonts w:asciiTheme="minorHAnsi" w:hAnsiTheme="minorHAnsi" w:cstheme="minorHAnsi"/>
        </w:rPr>
      </w:pPr>
      <w:r w:rsidRPr="00C86111">
        <w:rPr>
          <w:noProof/>
        </w:rPr>
        <w:drawing>
          <wp:anchor distT="0" distB="0" distL="57150" distR="57150" simplePos="0" relativeHeight="251659264" behindDoc="1" locked="0" layoutInCell="1" allowOverlap="1" wp14:anchorId="460A5B9B" wp14:editId="278C50C2">
            <wp:simplePos x="0" y="0"/>
            <wp:positionH relativeFrom="column">
              <wp:posOffset>754380</wp:posOffset>
            </wp:positionH>
            <wp:positionV relativeFrom="line">
              <wp:posOffset>123190</wp:posOffset>
            </wp:positionV>
            <wp:extent cx="4370705" cy="2095500"/>
            <wp:effectExtent l="0" t="0" r="10795" b="0"/>
            <wp:wrapTight wrapText="bothSides">
              <wp:wrapPolygon edited="0">
                <wp:start x="0" y="0"/>
                <wp:lineTo x="0" y="21404"/>
                <wp:lineTo x="21559" y="21404"/>
                <wp:lineTo x="21559" y="0"/>
                <wp:lineTo x="0" y="0"/>
              </wp:wrapPolygon>
            </wp:wrapTight>
            <wp:docPr id="1073741839" name="Chart 10737418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margin">
              <wp14:pctHeight>0</wp14:pctHeight>
            </wp14:sizeRelV>
          </wp:anchor>
        </w:drawing>
      </w:r>
    </w:p>
    <w:p w14:paraId="1A21968B" w14:textId="77777777" w:rsidR="00C23D65" w:rsidRPr="00C86111" w:rsidRDefault="00C23D65" w:rsidP="00C23D65">
      <w:pPr>
        <w:pStyle w:val="Text"/>
        <w:tabs>
          <w:tab w:val="left" w:pos="3510"/>
        </w:tabs>
        <w:jc w:val="both"/>
        <w:rPr>
          <w:rFonts w:asciiTheme="minorHAnsi" w:hAnsiTheme="minorHAnsi" w:cstheme="minorHAnsi"/>
        </w:rPr>
      </w:pPr>
    </w:p>
    <w:p w14:paraId="159919FB" w14:textId="77777777" w:rsidR="00C23D65" w:rsidRPr="00C86111" w:rsidRDefault="00C23D65" w:rsidP="00C23D65">
      <w:pPr>
        <w:pStyle w:val="Text"/>
        <w:tabs>
          <w:tab w:val="left" w:pos="3510"/>
        </w:tabs>
        <w:jc w:val="both"/>
        <w:rPr>
          <w:rFonts w:asciiTheme="minorHAnsi" w:hAnsiTheme="minorHAnsi" w:cstheme="minorHAnsi"/>
        </w:rPr>
      </w:pPr>
    </w:p>
    <w:p w14:paraId="2D86709A" w14:textId="77777777" w:rsidR="00C23D65" w:rsidRPr="00C86111" w:rsidRDefault="00C23D65" w:rsidP="00C23D65">
      <w:pPr>
        <w:pStyle w:val="Text"/>
        <w:tabs>
          <w:tab w:val="left" w:pos="3510"/>
        </w:tabs>
        <w:jc w:val="both"/>
        <w:rPr>
          <w:rFonts w:asciiTheme="minorHAnsi" w:hAnsiTheme="minorHAnsi" w:cstheme="minorHAnsi"/>
        </w:rPr>
      </w:pPr>
    </w:p>
    <w:p w14:paraId="199A8330" w14:textId="77777777" w:rsidR="00C23D65" w:rsidRPr="00C86111" w:rsidRDefault="00C23D65" w:rsidP="00C23D65">
      <w:pPr>
        <w:pStyle w:val="Text"/>
        <w:tabs>
          <w:tab w:val="left" w:pos="3510"/>
        </w:tabs>
        <w:jc w:val="center"/>
        <w:rPr>
          <w:rFonts w:asciiTheme="minorHAnsi" w:hAnsiTheme="minorHAnsi" w:cstheme="minorHAnsi"/>
        </w:rPr>
      </w:pPr>
    </w:p>
    <w:p w14:paraId="57A7879A" w14:textId="77777777" w:rsidR="00C23D65" w:rsidRPr="00C86111" w:rsidRDefault="00C23D65" w:rsidP="00C23D65">
      <w:pPr>
        <w:pStyle w:val="Text"/>
        <w:tabs>
          <w:tab w:val="left" w:pos="3510"/>
        </w:tabs>
        <w:rPr>
          <w:rFonts w:asciiTheme="minorHAnsi" w:hAnsiTheme="minorHAnsi" w:cstheme="minorHAnsi"/>
        </w:rPr>
      </w:pPr>
    </w:p>
    <w:p w14:paraId="5109FD81" w14:textId="77777777" w:rsidR="00C23D65" w:rsidRPr="00C86111" w:rsidRDefault="00C23D65" w:rsidP="00C23D65">
      <w:pPr>
        <w:pStyle w:val="Text"/>
        <w:tabs>
          <w:tab w:val="left" w:pos="3510"/>
        </w:tabs>
        <w:rPr>
          <w:rFonts w:asciiTheme="minorHAnsi" w:hAnsiTheme="minorHAnsi" w:cstheme="minorHAnsi"/>
        </w:rPr>
      </w:pPr>
    </w:p>
    <w:p w14:paraId="583C9CD7" w14:textId="77777777" w:rsidR="00C23D65" w:rsidRPr="00C86111" w:rsidRDefault="00C23D65" w:rsidP="00C23D65">
      <w:pPr>
        <w:pStyle w:val="Text"/>
        <w:tabs>
          <w:tab w:val="left" w:pos="3510"/>
        </w:tabs>
        <w:rPr>
          <w:rFonts w:asciiTheme="minorHAnsi" w:hAnsiTheme="minorHAnsi" w:cstheme="minorHAnsi"/>
          <w:b/>
          <w:bCs/>
          <w:sz w:val="24"/>
          <w:szCs w:val="24"/>
        </w:rPr>
      </w:pPr>
    </w:p>
    <w:p w14:paraId="01A056CE" w14:textId="4EC06BB6" w:rsidR="00C23D65" w:rsidRPr="00C86111" w:rsidRDefault="00F603AA" w:rsidP="00C23D65">
      <w:pPr>
        <w:pStyle w:val="Text"/>
        <w:tabs>
          <w:tab w:val="left" w:pos="3510"/>
        </w:tabs>
        <w:rPr>
          <w:rFonts w:asciiTheme="minorHAnsi" w:hAnsiTheme="minorHAnsi" w:cstheme="minorHAnsi"/>
          <w:sz w:val="24"/>
          <w:szCs w:val="24"/>
        </w:rPr>
      </w:pPr>
      <w:r w:rsidRPr="00C86111">
        <w:rPr>
          <w:rFonts w:asciiTheme="minorHAnsi" w:hAnsiTheme="minorHAnsi" w:cstheme="minorHAnsi"/>
          <w:b/>
          <w:bCs/>
          <w:sz w:val="24"/>
          <w:szCs w:val="24"/>
        </w:rPr>
        <w:t>Grafik</w:t>
      </w:r>
      <w:r w:rsidR="00C23D65" w:rsidRPr="00C86111">
        <w:rPr>
          <w:rFonts w:asciiTheme="minorHAnsi" w:hAnsiTheme="minorHAnsi" w:cstheme="minorHAnsi"/>
          <w:b/>
          <w:bCs/>
          <w:sz w:val="24"/>
          <w:szCs w:val="24"/>
        </w:rPr>
        <w:t xml:space="preserve"> 8.</w:t>
      </w:r>
      <w:r w:rsidR="00C23D65" w:rsidRPr="00C86111">
        <w:rPr>
          <w:rFonts w:asciiTheme="minorHAnsi" w:hAnsiTheme="minorHAnsi" w:cstheme="minorHAnsi"/>
          <w:sz w:val="24"/>
          <w:szCs w:val="24"/>
        </w:rPr>
        <w:t xml:space="preserve"> Grafički prikaz sadržaja  PBDE (t) u putničkim automobilima u upotrebi u periodu (2017-2023)</w:t>
      </w:r>
    </w:p>
    <w:p w14:paraId="7F2EDC4C" w14:textId="77777777" w:rsidR="00C23D65" w:rsidRPr="00C86111" w:rsidRDefault="00C23D65" w:rsidP="00C23D65">
      <w:pPr>
        <w:pStyle w:val="Text"/>
        <w:tabs>
          <w:tab w:val="left" w:pos="3510"/>
        </w:tabs>
        <w:jc w:val="center"/>
        <w:rPr>
          <w:rFonts w:asciiTheme="minorHAnsi" w:hAnsiTheme="minorHAnsi" w:cstheme="minorHAnsi"/>
        </w:rPr>
      </w:pPr>
    </w:p>
    <w:p w14:paraId="43C64A0B" w14:textId="77777777" w:rsidR="00C23D65" w:rsidRPr="00C86111" w:rsidRDefault="00C23D65" w:rsidP="00C23D65">
      <w:pPr>
        <w:rPr>
          <w:rFonts w:asciiTheme="minorHAnsi" w:hAnsiTheme="minorHAnsi" w:cstheme="minorHAnsi"/>
          <w:szCs w:val="24"/>
        </w:rPr>
      </w:pPr>
    </w:p>
    <w:p w14:paraId="291365BC" w14:textId="7FC1BD30" w:rsidR="00C23D65" w:rsidRPr="00C86111" w:rsidRDefault="00C23D65" w:rsidP="00C23D65">
      <w:pPr>
        <w:pStyle w:val="Text"/>
        <w:tabs>
          <w:tab w:val="left" w:pos="3510"/>
        </w:tabs>
        <w:jc w:val="center"/>
        <w:rPr>
          <w:rFonts w:asciiTheme="minorHAnsi" w:hAnsiTheme="minorHAnsi" w:cstheme="minorHAnsi"/>
          <w:b/>
          <w:bCs/>
          <w:i/>
          <w:iCs/>
          <w:color w:val="FF0000"/>
        </w:rPr>
      </w:pPr>
      <w:r w:rsidRPr="00C86111">
        <w:rPr>
          <w:noProof/>
        </w:rPr>
        <w:drawing>
          <wp:inline distT="0" distB="0" distL="0" distR="0" wp14:anchorId="04FB8DA2" wp14:editId="2FA24870">
            <wp:extent cx="5692140" cy="1699260"/>
            <wp:effectExtent l="0" t="0" r="3810" b="15240"/>
            <wp:docPr id="142728379" name="Chart 14272837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83EDE35" w14:textId="118EC88C" w:rsidR="00C23D65" w:rsidRPr="00C86111" w:rsidRDefault="00F603AA" w:rsidP="00F603AA">
      <w:pPr>
        <w:pStyle w:val="Text"/>
        <w:tabs>
          <w:tab w:val="left" w:pos="3510"/>
        </w:tabs>
        <w:spacing w:after="60"/>
        <w:rPr>
          <w:rFonts w:asciiTheme="minorHAnsi" w:hAnsiTheme="minorHAnsi" w:cstheme="minorHAnsi"/>
          <w:b/>
          <w:bCs/>
          <w:i/>
          <w:iCs/>
          <w:sz w:val="24"/>
          <w:szCs w:val="24"/>
        </w:rPr>
      </w:pPr>
      <w:r w:rsidRPr="00C86111">
        <w:rPr>
          <w:rFonts w:asciiTheme="minorHAnsi" w:hAnsiTheme="minorHAnsi" w:cstheme="minorHAnsi"/>
          <w:b/>
          <w:bCs/>
          <w:sz w:val="24"/>
          <w:szCs w:val="24"/>
        </w:rPr>
        <w:t xml:space="preserve">Grafik </w:t>
      </w:r>
      <w:r w:rsidR="00C23D65" w:rsidRPr="00C86111">
        <w:rPr>
          <w:rFonts w:asciiTheme="minorHAnsi" w:hAnsiTheme="minorHAnsi" w:cstheme="minorHAnsi"/>
          <w:b/>
          <w:bCs/>
          <w:sz w:val="24"/>
          <w:szCs w:val="24"/>
        </w:rPr>
        <w:t>9.</w:t>
      </w:r>
      <w:r w:rsidR="00C23D65" w:rsidRPr="00C86111">
        <w:rPr>
          <w:rFonts w:asciiTheme="minorHAnsi" w:hAnsiTheme="minorHAnsi" w:cstheme="minorHAnsi"/>
          <w:sz w:val="24"/>
          <w:szCs w:val="24"/>
        </w:rPr>
        <w:t xml:space="preserve"> Sadržaj  PBDE u vozilima u periodu 2006-2023</w:t>
      </w:r>
    </w:p>
    <w:p w14:paraId="1EDF9F53" w14:textId="77777777" w:rsidR="00C23D65" w:rsidRPr="00C86111" w:rsidRDefault="00C23D65" w:rsidP="00C23D65">
      <w:pPr>
        <w:jc w:val="both"/>
        <w:rPr>
          <w:rFonts w:asciiTheme="minorHAnsi" w:hAnsiTheme="minorHAnsi" w:cstheme="minorHAnsi"/>
          <w:b/>
          <w:bCs/>
          <w:color w:val="auto"/>
          <w:szCs w:val="24"/>
        </w:rPr>
      </w:pPr>
    </w:p>
    <w:p w14:paraId="03F0079A"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Kao što grafikoni pokazuju, sadržaj PBDE u putničkim vozilima u upotrebi pokazuje opadajući trend u periodu 2006–2023.</w:t>
      </w:r>
    </w:p>
    <w:p w14:paraId="2A604742" w14:textId="77777777" w:rsidR="00C23D65" w:rsidRPr="00C86111" w:rsidRDefault="00C23D65" w:rsidP="00C23D65">
      <w:pPr>
        <w:jc w:val="both"/>
        <w:rPr>
          <w:rFonts w:asciiTheme="minorHAnsi" w:hAnsiTheme="minorHAnsi" w:cstheme="minorHAnsi"/>
          <w:color w:val="auto"/>
          <w:szCs w:val="24"/>
        </w:rPr>
      </w:pPr>
    </w:p>
    <w:p w14:paraId="4A9A7E2D" w14:textId="6E2591A6"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Pregled broja </w:t>
      </w:r>
      <w:r w:rsidRPr="00C86111">
        <w:rPr>
          <w:rFonts w:asciiTheme="minorHAnsi" w:hAnsiTheme="minorHAnsi" w:cstheme="minorHAnsi"/>
          <w:b/>
          <w:bCs/>
          <w:color w:val="auto"/>
          <w:szCs w:val="24"/>
        </w:rPr>
        <w:t>registrovanih kamiona</w:t>
      </w:r>
      <w:r w:rsidRPr="00C86111">
        <w:rPr>
          <w:rFonts w:asciiTheme="minorHAnsi" w:hAnsiTheme="minorHAnsi" w:cstheme="minorHAnsi"/>
          <w:color w:val="auto"/>
          <w:szCs w:val="24"/>
        </w:rPr>
        <w:t xml:space="preserve"> dat je u Tabeli </w:t>
      </w:r>
      <w:r w:rsidR="006128C8" w:rsidRPr="00C86111">
        <w:rPr>
          <w:rFonts w:asciiTheme="minorHAnsi" w:hAnsiTheme="minorHAnsi" w:cstheme="minorHAnsi"/>
          <w:color w:val="auto"/>
          <w:szCs w:val="24"/>
        </w:rPr>
        <w:t>52</w:t>
      </w:r>
      <w:r w:rsidRPr="00C86111">
        <w:rPr>
          <w:rFonts w:asciiTheme="minorHAnsi" w:hAnsiTheme="minorHAnsi" w:cstheme="minorHAnsi"/>
          <w:color w:val="auto"/>
          <w:szCs w:val="24"/>
        </w:rPr>
        <w:t>.</w:t>
      </w:r>
    </w:p>
    <w:p w14:paraId="23E75DF7" w14:textId="77777777" w:rsidR="00C23D65" w:rsidRPr="00C86111" w:rsidRDefault="00C23D65" w:rsidP="00C23D65">
      <w:pPr>
        <w:jc w:val="both"/>
        <w:rPr>
          <w:rFonts w:asciiTheme="minorHAnsi" w:hAnsiTheme="minorHAnsi" w:cstheme="minorHAnsi"/>
          <w:color w:val="auto"/>
          <w:szCs w:val="24"/>
        </w:rPr>
      </w:pPr>
    </w:p>
    <w:p w14:paraId="7E0C897E" w14:textId="31EBBCC4" w:rsidR="00C23D65" w:rsidRPr="00C86111" w:rsidRDefault="00D95B9C"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                 </w:t>
      </w:r>
      <w:r w:rsidR="00C23D65" w:rsidRPr="00C86111">
        <w:rPr>
          <w:rFonts w:asciiTheme="minorHAnsi" w:hAnsiTheme="minorHAnsi" w:cstheme="minorHAnsi"/>
          <w:b/>
          <w:bCs/>
          <w:color w:val="auto"/>
          <w:szCs w:val="24"/>
        </w:rPr>
        <w:t xml:space="preserve">Tabela </w:t>
      </w:r>
      <w:r w:rsidR="006128C8" w:rsidRPr="00C86111">
        <w:rPr>
          <w:rFonts w:asciiTheme="minorHAnsi" w:hAnsiTheme="minorHAnsi" w:cstheme="minorHAnsi"/>
          <w:b/>
          <w:bCs/>
          <w:color w:val="auto"/>
          <w:szCs w:val="24"/>
        </w:rPr>
        <w:t>52</w:t>
      </w:r>
      <w:r w:rsidR="00C23D65" w:rsidRPr="00C86111">
        <w:rPr>
          <w:rFonts w:asciiTheme="minorHAnsi" w:hAnsiTheme="minorHAnsi" w:cstheme="minorHAnsi"/>
          <w:b/>
          <w:bCs/>
          <w:color w:val="auto"/>
          <w:szCs w:val="24"/>
        </w:rPr>
        <w:t xml:space="preserve">. </w:t>
      </w:r>
      <w:r w:rsidR="00C23D65" w:rsidRPr="00C86111">
        <w:rPr>
          <w:rFonts w:asciiTheme="minorHAnsi" w:hAnsiTheme="minorHAnsi" w:cstheme="minorHAnsi"/>
          <w:color w:val="auto"/>
          <w:szCs w:val="24"/>
        </w:rPr>
        <w:t>Broj registrovanih kamiona u periodu 2017–2023</w:t>
      </w:r>
    </w:p>
    <w:tbl>
      <w:tblPr>
        <w:tblStyle w:val="GridTable5Dark-Accent6"/>
        <w:tblW w:w="0" w:type="auto"/>
        <w:jc w:val="center"/>
        <w:tblLook w:val="04A0" w:firstRow="1" w:lastRow="0" w:firstColumn="1" w:lastColumn="0" w:noHBand="0" w:noVBand="1"/>
      </w:tblPr>
      <w:tblGrid>
        <w:gridCol w:w="814"/>
        <w:gridCol w:w="2876"/>
        <w:gridCol w:w="2876"/>
        <w:gridCol w:w="873"/>
      </w:tblGrid>
      <w:tr w:rsidR="00C23D65" w:rsidRPr="00C86111" w14:paraId="260E5F50" w14:textId="77777777" w:rsidTr="00D95B9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FFFFFF" w:themeColor="background1"/>
            </w:tcBorders>
            <w:hideMark/>
          </w:tcPr>
          <w:p w14:paraId="22F2A215"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Godina</w:t>
            </w:r>
          </w:p>
        </w:tc>
        <w:tc>
          <w:tcPr>
            <w:tcW w:w="0" w:type="auto"/>
            <w:tcBorders>
              <w:bottom w:val="single" w:sz="4" w:space="0" w:color="FFFFFF" w:themeColor="background1"/>
            </w:tcBorders>
            <w:hideMark/>
          </w:tcPr>
          <w:p w14:paraId="5140BD85"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Kamioni proizvedeni 1970–2005</w:t>
            </w:r>
          </w:p>
        </w:tc>
        <w:tc>
          <w:tcPr>
            <w:tcW w:w="0" w:type="auto"/>
            <w:tcBorders>
              <w:bottom w:val="single" w:sz="4" w:space="0" w:color="FFFFFF" w:themeColor="background1"/>
            </w:tcBorders>
            <w:hideMark/>
          </w:tcPr>
          <w:p w14:paraId="3BB37281"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Kamioni proizvedeni 2005–2017</w:t>
            </w:r>
          </w:p>
        </w:tc>
        <w:tc>
          <w:tcPr>
            <w:tcW w:w="0" w:type="auto"/>
            <w:tcBorders>
              <w:bottom w:val="single" w:sz="4" w:space="0" w:color="FFFFFF" w:themeColor="background1"/>
            </w:tcBorders>
            <w:hideMark/>
          </w:tcPr>
          <w:p w14:paraId="6E3C9ADF"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Ukupno</w:t>
            </w:r>
          </w:p>
        </w:tc>
      </w:tr>
      <w:tr w:rsidR="00C23D65" w:rsidRPr="00C86111" w14:paraId="694ED92B" w14:textId="77777777" w:rsidTr="00D95B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106B551C"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0ACCCDF"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7.290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03C353F"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7.225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0D36823"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14.515</w:t>
            </w:r>
          </w:p>
        </w:tc>
      </w:tr>
      <w:tr w:rsidR="00C23D65" w:rsidRPr="00C86111" w14:paraId="27C37F9C" w14:textId="77777777" w:rsidTr="00D95B9C">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10EE41E2"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F6226DD"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7.396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379A2C3"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8.239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C65C857"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15.635</w:t>
            </w:r>
          </w:p>
        </w:tc>
      </w:tr>
      <w:tr w:rsidR="00C23D65" w:rsidRPr="00C86111" w14:paraId="522A7A53" w14:textId="77777777" w:rsidTr="00D95B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12033A86"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0E8D8A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7.178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FCC84CB"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9.156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40F187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16.334</w:t>
            </w:r>
          </w:p>
        </w:tc>
      </w:tr>
      <w:tr w:rsidR="00C23D65" w:rsidRPr="00C86111" w14:paraId="6133C39F" w14:textId="77777777" w:rsidTr="00D95B9C">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42A3ADF9"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C5611E9"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6.596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CF9D310"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9.651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722E83B"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16.247</w:t>
            </w:r>
          </w:p>
        </w:tc>
      </w:tr>
      <w:tr w:rsidR="00C23D65" w:rsidRPr="00C86111" w14:paraId="3B1A01CC" w14:textId="77777777" w:rsidTr="00D95B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19E4A0B4"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2F5C91E"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6.660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A3178C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10.678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6F39EA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17.338</w:t>
            </w:r>
          </w:p>
        </w:tc>
      </w:tr>
      <w:tr w:rsidR="00C23D65" w:rsidRPr="00C86111" w14:paraId="78850A26" w14:textId="77777777" w:rsidTr="00D95B9C">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6FC3D17D"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6489535"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6.178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990E233"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11.070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642B775"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17.248</w:t>
            </w:r>
          </w:p>
        </w:tc>
      </w:tr>
      <w:tr w:rsidR="00C23D65" w:rsidRPr="00C86111" w14:paraId="75870819" w14:textId="77777777" w:rsidTr="00D95B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right w:val="single" w:sz="4" w:space="0" w:color="FFFFFF" w:themeColor="background1"/>
            </w:tcBorders>
            <w:hideMark/>
          </w:tcPr>
          <w:p w14:paraId="22E33D61"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B6898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5.831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FC6F156"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12.095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E253C4B"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17.926</w:t>
            </w:r>
          </w:p>
        </w:tc>
      </w:tr>
    </w:tbl>
    <w:p w14:paraId="584E94DA" w14:textId="77777777" w:rsidR="00C23D65" w:rsidRPr="00C86111" w:rsidRDefault="00C23D65" w:rsidP="00C23D65">
      <w:pPr>
        <w:pStyle w:val="Text"/>
        <w:tabs>
          <w:tab w:val="left" w:pos="3510"/>
        </w:tabs>
        <w:jc w:val="center"/>
        <w:rPr>
          <w:rFonts w:asciiTheme="minorHAnsi" w:hAnsiTheme="minorHAnsi" w:cstheme="minorHAnsi"/>
        </w:rPr>
      </w:pPr>
    </w:p>
    <w:p w14:paraId="59B14D14" w14:textId="60FC0AAA" w:rsidR="00C23D65" w:rsidRPr="00C86111" w:rsidRDefault="00C23D65" w:rsidP="00C23D65">
      <w:pPr>
        <w:pStyle w:val="Text"/>
        <w:tabs>
          <w:tab w:val="left" w:pos="3510"/>
        </w:tabs>
        <w:rPr>
          <w:rFonts w:asciiTheme="minorHAnsi" w:hAnsiTheme="minorHAnsi" w:cstheme="minorHAnsi"/>
        </w:rPr>
      </w:pPr>
      <w:r w:rsidRPr="00C86111">
        <w:rPr>
          <w:rFonts w:asciiTheme="minorHAnsi" w:hAnsiTheme="minorHAnsi" w:cstheme="minorHAnsi"/>
        </w:rPr>
        <w:t xml:space="preserve">Grafički prikaz sadržaja PBDE-a u kamionima u upotrebi u periodu 2017–2023 dat je na </w:t>
      </w:r>
      <w:r w:rsidR="006128C8" w:rsidRPr="00C86111">
        <w:rPr>
          <w:rFonts w:asciiTheme="minorHAnsi" w:hAnsiTheme="minorHAnsi" w:cstheme="minorHAnsi"/>
        </w:rPr>
        <w:t xml:space="preserve">Grafiku </w:t>
      </w:r>
      <w:r w:rsidR="00547278">
        <w:rPr>
          <w:rFonts w:asciiTheme="minorHAnsi" w:hAnsiTheme="minorHAnsi" w:cstheme="minorHAnsi"/>
        </w:rPr>
        <w:t>10</w:t>
      </w:r>
      <w:r w:rsidRPr="00C86111">
        <w:rPr>
          <w:rFonts w:asciiTheme="minorHAnsi" w:hAnsiTheme="minorHAnsi" w:cstheme="minorHAnsi"/>
          <w:b/>
          <w:bCs/>
        </w:rPr>
        <w:t xml:space="preserve"> </w:t>
      </w:r>
      <w:r w:rsidR="00D95B9C" w:rsidRPr="00C86111">
        <w:rPr>
          <w:rFonts w:asciiTheme="minorHAnsi" w:hAnsiTheme="minorHAnsi" w:cstheme="minorHAnsi"/>
        </w:rPr>
        <w:t>i</w:t>
      </w:r>
      <w:r w:rsidRPr="00C86111">
        <w:rPr>
          <w:rFonts w:asciiTheme="minorHAnsi" w:hAnsiTheme="minorHAnsi" w:cstheme="minorHAnsi"/>
        </w:rPr>
        <w:t xml:space="preserve"> period</w:t>
      </w:r>
      <w:r w:rsidR="00D95B9C" w:rsidRPr="00C86111">
        <w:rPr>
          <w:rFonts w:asciiTheme="minorHAnsi" w:hAnsiTheme="minorHAnsi" w:cstheme="minorHAnsi"/>
        </w:rPr>
        <w:t>u</w:t>
      </w:r>
      <w:r w:rsidRPr="00C86111">
        <w:rPr>
          <w:rFonts w:asciiTheme="minorHAnsi" w:hAnsiTheme="minorHAnsi" w:cstheme="minorHAnsi"/>
        </w:rPr>
        <w:t xml:space="preserve"> od 2006 do 2023. na </w:t>
      </w:r>
      <w:r w:rsidR="006128C8" w:rsidRPr="00C86111">
        <w:rPr>
          <w:rFonts w:asciiTheme="minorHAnsi" w:hAnsiTheme="minorHAnsi" w:cstheme="minorHAnsi"/>
        </w:rPr>
        <w:t>Grafiku</w:t>
      </w:r>
      <w:r w:rsidRPr="00C86111">
        <w:rPr>
          <w:rFonts w:asciiTheme="minorHAnsi" w:hAnsiTheme="minorHAnsi" w:cstheme="minorHAnsi"/>
        </w:rPr>
        <w:t xml:space="preserve"> 1</w:t>
      </w:r>
      <w:r w:rsidR="00547278">
        <w:rPr>
          <w:rFonts w:asciiTheme="minorHAnsi" w:hAnsiTheme="minorHAnsi" w:cstheme="minorHAnsi"/>
        </w:rPr>
        <w:t>1</w:t>
      </w:r>
      <w:r w:rsidRPr="00C86111">
        <w:rPr>
          <w:rFonts w:asciiTheme="minorHAnsi" w:hAnsiTheme="minorHAnsi" w:cstheme="minorHAnsi"/>
        </w:rPr>
        <w:t>.</w:t>
      </w:r>
    </w:p>
    <w:p w14:paraId="1283E00A" w14:textId="3A146C7B" w:rsidR="00C23D65" w:rsidRPr="00C86111" w:rsidRDefault="00C23D65" w:rsidP="00C23D65">
      <w:pPr>
        <w:pStyle w:val="Text"/>
        <w:tabs>
          <w:tab w:val="left" w:pos="3510"/>
        </w:tabs>
        <w:jc w:val="center"/>
        <w:rPr>
          <w:rFonts w:asciiTheme="minorHAnsi" w:hAnsiTheme="minorHAnsi" w:cstheme="minorHAnsi"/>
          <w:b/>
          <w:bCs/>
          <w:lang w:val="it-IT"/>
        </w:rPr>
      </w:pPr>
      <w:r w:rsidRPr="00C86111">
        <w:rPr>
          <w:noProof/>
        </w:rPr>
        <w:drawing>
          <wp:anchor distT="0" distB="0" distL="57150" distR="57150" simplePos="0" relativeHeight="251660288" behindDoc="0" locked="0" layoutInCell="1" allowOverlap="1" wp14:anchorId="16691C1B" wp14:editId="5D9862D5">
            <wp:simplePos x="0" y="0"/>
            <wp:positionH relativeFrom="page">
              <wp:posOffset>1565910</wp:posOffset>
            </wp:positionH>
            <wp:positionV relativeFrom="line">
              <wp:posOffset>76200</wp:posOffset>
            </wp:positionV>
            <wp:extent cx="4932045" cy="1487805"/>
            <wp:effectExtent l="0" t="0" r="1905" b="17145"/>
            <wp:wrapSquare wrapText="bothSides"/>
            <wp:docPr id="1073741841" name="Chart 10737418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14:paraId="68369BBA" w14:textId="77777777" w:rsidR="00C23D65" w:rsidRPr="00C86111" w:rsidRDefault="00C23D65" w:rsidP="00C23D65">
      <w:pPr>
        <w:pStyle w:val="Text"/>
        <w:tabs>
          <w:tab w:val="left" w:pos="3510"/>
        </w:tabs>
        <w:jc w:val="center"/>
        <w:rPr>
          <w:rFonts w:asciiTheme="minorHAnsi" w:hAnsiTheme="minorHAnsi" w:cstheme="minorHAnsi"/>
          <w:b/>
          <w:bCs/>
          <w:lang w:val="it-IT"/>
        </w:rPr>
      </w:pPr>
    </w:p>
    <w:p w14:paraId="120112FA" w14:textId="77777777" w:rsidR="00C23D65" w:rsidRPr="00C86111" w:rsidRDefault="00C23D65" w:rsidP="00C23D65">
      <w:pPr>
        <w:pStyle w:val="Text"/>
        <w:tabs>
          <w:tab w:val="left" w:pos="3510"/>
        </w:tabs>
        <w:jc w:val="center"/>
        <w:rPr>
          <w:rFonts w:asciiTheme="minorHAnsi" w:hAnsiTheme="minorHAnsi" w:cstheme="minorHAnsi"/>
          <w:b/>
          <w:bCs/>
          <w:lang w:val="it-IT"/>
        </w:rPr>
      </w:pPr>
    </w:p>
    <w:p w14:paraId="4E41C395" w14:textId="77777777" w:rsidR="00C23D65" w:rsidRPr="00C86111" w:rsidRDefault="00C23D65" w:rsidP="00C23D65">
      <w:pPr>
        <w:pStyle w:val="Text"/>
        <w:tabs>
          <w:tab w:val="left" w:pos="3510"/>
        </w:tabs>
        <w:jc w:val="center"/>
        <w:rPr>
          <w:rFonts w:asciiTheme="minorHAnsi" w:hAnsiTheme="minorHAnsi" w:cstheme="minorHAnsi"/>
          <w:b/>
          <w:bCs/>
          <w:lang w:val="it-IT"/>
        </w:rPr>
      </w:pPr>
    </w:p>
    <w:p w14:paraId="4BF8FEE6" w14:textId="77777777" w:rsidR="00C23D65" w:rsidRPr="00C86111" w:rsidRDefault="00C23D65" w:rsidP="00C23D65">
      <w:pPr>
        <w:pStyle w:val="Text"/>
        <w:tabs>
          <w:tab w:val="left" w:pos="3510"/>
        </w:tabs>
        <w:jc w:val="center"/>
        <w:rPr>
          <w:rFonts w:asciiTheme="minorHAnsi" w:hAnsiTheme="minorHAnsi" w:cstheme="minorHAnsi"/>
          <w:b/>
          <w:bCs/>
          <w:lang w:val="it-IT"/>
        </w:rPr>
      </w:pPr>
    </w:p>
    <w:p w14:paraId="2A579A3E" w14:textId="77777777" w:rsidR="00C23D65" w:rsidRPr="00C86111" w:rsidRDefault="00C23D65" w:rsidP="00C23D65">
      <w:pPr>
        <w:pStyle w:val="Text"/>
        <w:tabs>
          <w:tab w:val="left" w:pos="3510"/>
        </w:tabs>
        <w:jc w:val="center"/>
        <w:rPr>
          <w:rFonts w:asciiTheme="minorHAnsi" w:hAnsiTheme="minorHAnsi" w:cstheme="minorHAnsi"/>
          <w:b/>
          <w:bCs/>
          <w:lang w:val="it-IT"/>
        </w:rPr>
      </w:pPr>
    </w:p>
    <w:p w14:paraId="7DC50A72" w14:textId="04B53096" w:rsidR="00C23D65" w:rsidRPr="00C86111" w:rsidRDefault="00D95B9C" w:rsidP="00D95B9C">
      <w:pPr>
        <w:pStyle w:val="Text"/>
        <w:tabs>
          <w:tab w:val="left" w:pos="3510"/>
        </w:tabs>
        <w:rPr>
          <w:rFonts w:asciiTheme="minorHAnsi" w:hAnsiTheme="minorHAnsi" w:cstheme="minorHAnsi"/>
          <w:sz w:val="24"/>
          <w:szCs w:val="24"/>
        </w:rPr>
      </w:pPr>
      <w:r w:rsidRPr="00C86111">
        <w:rPr>
          <w:rFonts w:asciiTheme="minorHAnsi" w:hAnsiTheme="minorHAnsi" w:cstheme="minorHAnsi"/>
          <w:b/>
          <w:bCs/>
          <w:sz w:val="24"/>
          <w:szCs w:val="24"/>
          <w:lang w:val="it-IT"/>
        </w:rPr>
        <w:t>Grafik</w:t>
      </w:r>
      <w:r w:rsidR="00C23D65" w:rsidRPr="00C86111">
        <w:rPr>
          <w:rFonts w:asciiTheme="minorHAnsi" w:hAnsiTheme="minorHAnsi" w:cstheme="minorHAnsi"/>
          <w:b/>
          <w:bCs/>
          <w:sz w:val="24"/>
          <w:szCs w:val="24"/>
          <w:lang w:val="it-IT"/>
        </w:rPr>
        <w:t xml:space="preserve"> </w:t>
      </w:r>
      <w:r w:rsidR="00547278">
        <w:rPr>
          <w:rFonts w:asciiTheme="minorHAnsi" w:hAnsiTheme="minorHAnsi" w:cstheme="minorHAnsi"/>
          <w:b/>
          <w:bCs/>
          <w:sz w:val="24"/>
          <w:szCs w:val="24"/>
          <w:lang w:val="it-IT"/>
        </w:rPr>
        <w:t>10</w:t>
      </w:r>
      <w:r w:rsidR="00C23D65" w:rsidRPr="00C86111">
        <w:rPr>
          <w:rFonts w:asciiTheme="minorHAnsi" w:hAnsiTheme="minorHAnsi" w:cstheme="minorHAnsi"/>
          <w:b/>
          <w:bCs/>
          <w:sz w:val="24"/>
          <w:szCs w:val="24"/>
          <w:lang w:val="it-IT"/>
        </w:rPr>
        <w:t>.</w:t>
      </w:r>
      <w:r w:rsidR="00C23D65" w:rsidRPr="00C86111">
        <w:rPr>
          <w:rFonts w:asciiTheme="minorHAnsi" w:hAnsiTheme="minorHAnsi" w:cstheme="minorHAnsi"/>
          <w:sz w:val="24"/>
          <w:szCs w:val="24"/>
        </w:rPr>
        <w:t xml:space="preserve"> Grafički prikaz sadržaja PBDE-a u kamionima u upotrebi u periodu 2017–2023</w:t>
      </w:r>
    </w:p>
    <w:p w14:paraId="02C3630D" w14:textId="3BAC25C9" w:rsidR="00C23D65" w:rsidRPr="00C86111" w:rsidRDefault="00C23D65" w:rsidP="00C23D65">
      <w:pPr>
        <w:pStyle w:val="Text"/>
        <w:tabs>
          <w:tab w:val="left" w:pos="3510"/>
        </w:tabs>
        <w:jc w:val="center"/>
        <w:rPr>
          <w:rFonts w:asciiTheme="minorHAnsi" w:hAnsiTheme="minorHAnsi" w:cstheme="minorHAnsi"/>
          <w:b/>
          <w:bCs/>
          <w:i/>
          <w:iCs/>
        </w:rPr>
      </w:pPr>
      <w:r w:rsidRPr="00C86111">
        <w:rPr>
          <w:noProof/>
        </w:rPr>
        <w:drawing>
          <wp:inline distT="0" distB="0" distL="0" distR="0" wp14:anchorId="417525D7" wp14:editId="65F679D1">
            <wp:extent cx="4686300" cy="1455420"/>
            <wp:effectExtent l="0" t="0" r="0" b="11430"/>
            <wp:docPr id="1073741842" name="Chart 10737418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53CB72E" w14:textId="78EF2704" w:rsidR="00C23D65" w:rsidRPr="00C86111" w:rsidRDefault="00D95B9C" w:rsidP="00D95B9C">
      <w:pPr>
        <w:pStyle w:val="Text"/>
        <w:tabs>
          <w:tab w:val="left" w:pos="3510"/>
        </w:tabs>
        <w:rPr>
          <w:rFonts w:asciiTheme="minorHAnsi" w:hAnsiTheme="minorHAnsi" w:cstheme="minorHAnsi"/>
          <w:sz w:val="24"/>
          <w:szCs w:val="24"/>
        </w:rPr>
      </w:pPr>
      <w:r w:rsidRPr="00C86111">
        <w:rPr>
          <w:rFonts w:asciiTheme="minorHAnsi" w:hAnsiTheme="minorHAnsi" w:cstheme="minorHAnsi"/>
          <w:b/>
          <w:bCs/>
          <w:sz w:val="24"/>
          <w:szCs w:val="24"/>
          <w:lang w:val="it-IT"/>
        </w:rPr>
        <w:t>Grafik</w:t>
      </w:r>
      <w:r w:rsidR="00C23D65" w:rsidRPr="00C86111">
        <w:rPr>
          <w:rFonts w:asciiTheme="minorHAnsi" w:hAnsiTheme="minorHAnsi" w:cstheme="minorHAnsi"/>
          <w:b/>
          <w:bCs/>
          <w:sz w:val="24"/>
          <w:szCs w:val="24"/>
          <w:lang w:val="it-IT"/>
        </w:rPr>
        <w:t xml:space="preserve"> 1</w:t>
      </w:r>
      <w:r w:rsidR="00547278">
        <w:rPr>
          <w:rFonts w:asciiTheme="minorHAnsi" w:hAnsiTheme="minorHAnsi" w:cstheme="minorHAnsi"/>
          <w:b/>
          <w:bCs/>
          <w:sz w:val="24"/>
          <w:szCs w:val="24"/>
          <w:lang w:val="it-IT"/>
        </w:rPr>
        <w:t>1</w:t>
      </w:r>
      <w:r w:rsidR="00C23D65" w:rsidRPr="00C86111">
        <w:rPr>
          <w:rFonts w:asciiTheme="minorHAnsi" w:hAnsiTheme="minorHAnsi" w:cstheme="minorHAnsi"/>
          <w:b/>
          <w:bCs/>
          <w:sz w:val="24"/>
          <w:szCs w:val="24"/>
          <w:lang w:val="it-IT"/>
        </w:rPr>
        <w:t>.</w:t>
      </w:r>
      <w:r w:rsidR="00C23D65" w:rsidRPr="00C86111">
        <w:rPr>
          <w:rFonts w:asciiTheme="minorHAnsi" w:hAnsiTheme="minorHAnsi" w:cstheme="minorHAnsi"/>
          <w:sz w:val="24"/>
          <w:szCs w:val="24"/>
        </w:rPr>
        <w:t xml:space="preserve"> Sadržaj PBDE-a u kamionima u upotrebi u periodu 2006–2023.</w:t>
      </w:r>
    </w:p>
    <w:p w14:paraId="654C5D24" w14:textId="77777777" w:rsidR="00C23D65" w:rsidRPr="00C86111" w:rsidRDefault="00C23D65" w:rsidP="00C23D65">
      <w:pPr>
        <w:jc w:val="both"/>
        <w:rPr>
          <w:rFonts w:asciiTheme="minorHAnsi" w:hAnsiTheme="minorHAnsi" w:cstheme="minorHAnsi"/>
          <w:b/>
          <w:bCs/>
          <w:color w:val="auto"/>
          <w:szCs w:val="24"/>
        </w:rPr>
      </w:pPr>
    </w:p>
    <w:p w14:paraId="3D9E0A77"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Sadržaj PBDE u kamionima u upotrebi pokazuje opadajući trend u periodu 2006–2023.</w:t>
      </w:r>
    </w:p>
    <w:p w14:paraId="73044FA5" w14:textId="77777777" w:rsidR="00C23D65" w:rsidRPr="00C86111" w:rsidRDefault="00C23D65" w:rsidP="00C23D65">
      <w:pPr>
        <w:jc w:val="both"/>
        <w:rPr>
          <w:rFonts w:asciiTheme="minorHAnsi" w:hAnsiTheme="minorHAnsi" w:cstheme="minorHAnsi"/>
          <w:color w:val="auto"/>
          <w:szCs w:val="24"/>
        </w:rPr>
      </w:pPr>
    </w:p>
    <w:p w14:paraId="077053AC" w14:textId="1AAE2C45"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Sadržaj PBDE u registrovanim autobusima dat je u Tabeli </w:t>
      </w:r>
      <w:r w:rsidR="00D95B9C" w:rsidRPr="00C86111">
        <w:rPr>
          <w:rFonts w:asciiTheme="minorHAnsi" w:hAnsiTheme="minorHAnsi" w:cstheme="minorHAnsi"/>
          <w:color w:val="auto"/>
          <w:szCs w:val="24"/>
        </w:rPr>
        <w:t>53</w:t>
      </w:r>
      <w:r w:rsidRPr="00C86111">
        <w:rPr>
          <w:rFonts w:asciiTheme="minorHAnsi" w:hAnsiTheme="minorHAnsi" w:cstheme="minorHAnsi"/>
          <w:color w:val="auto"/>
          <w:szCs w:val="24"/>
        </w:rPr>
        <w:t xml:space="preserve">. i </w:t>
      </w:r>
      <w:r w:rsidR="00D95B9C" w:rsidRPr="00C86111">
        <w:rPr>
          <w:rFonts w:asciiTheme="minorHAnsi" w:hAnsiTheme="minorHAnsi" w:cstheme="minorHAnsi"/>
          <w:color w:val="auto"/>
          <w:szCs w:val="24"/>
        </w:rPr>
        <w:t>Grafiku</w:t>
      </w:r>
      <w:r w:rsidRPr="00C86111">
        <w:rPr>
          <w:rFonts w:asciiTheme="minorHAnsi" w:hAnsiTheme="minorHAnsi" w:cstheme="minorHAnsi"/>
          <w:color w:val="auto"/>
          <w:szCs w:val="24"/>
        </w:rPr>
        <w:t xml:space="preserve"> 1</w:t>
      </w:r>
      <w:r w:rsidR="00547278">
        <w:rPr>
          <w:rFonts w:asciiTheme="minorHAnsi" w:hAnsiTheme="minorHAnsi" w:cstheme="minorHAnsi"/>
          <w:color w:val="auto"/>
          <w:szCs w:val="24"/>
        </w:rPr>
        <w:t>2</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(period 2017-2023.) i</w:t>
      </w:r>
      <w:r w:rsidRPr="00C86111">
        <w:rPr>
          <w:rFonts w:asciiTheme="minorHAnsi" w:hAnsiTheme="minorHAnsi" w:cstheme="minorHAnsi"/>
          <w:b/>
          <w:bCs/>
          <w:color w:val="auto"/>
          <w:szCs w:val="24"/>
        </w:rPr>
        <w:t xml:space="preserve"> </w:t>
      </w:r>
      <w:r w:rsidR="00D95B9C" w:rsidRPr="00C86111">
        <w:rPr>
          <w:rFonts w:asciiTheme="minorHAnsi" w:hAnsiTheme="minorHAnsi" w:cstheme="minorHAnsi"/>
          <w:color w:val="auto"/>
          <w:szCs w:val="24"/>
        </w:rPr>
        <w:t>Grafiku</w:t>
      </w:r>
      <w:r w:rsidRPr="00C86111">
        <w:rPr>
          <w:rFonts w:asciiTheme="minorHAnsi" w:hAnsiTheme="minorHAnsi" w:cstheme="minorHAnsi"/>
          <w:color w:val="auto"/>
          <w:szCs w:val="24"/>
        </w:rPr>
        <w:t xml:space="preserve"> 1</w:t>
      </w:r>
      <w:r w:rsidR="00547278">
        <w:rPr>
          <w:rFonts w:asciiTheme="minorHAnsi" w:hAnsiTheme="minorHAnsi" w:cstheme="minorHAnsi"/>
          <w:color w:val="auto"/>
          <w:szCs w:val="24"/>
        </w:rPr>
        <w:t>3</w:t>
      </w:r>
      <w:r w:rsidRPr="00C86111">
        <w:rPr>
          <w:rFonts w:asciiTheme="minorHAnsi" w:hAnsiTheme="minorHAnsi" w:cstheme="minorHAnsi"/>
          <w:color w:val="auto"/>
          <w:szCs w:val="24"/>
        </w:rPr>
        <w:t xml:space="preserve"> </w:t>
      </w:r>
      <w:r w:rsidR="00D95B9C" w:rsidRPr="00C86111">
        <w:rPr>
          <w:rFonts w:asciiTheme="minorHAnsi" w:hAnsiTheme="minorHAnsi" w:cstheme="minorHAnsi"/>
          <w:color w:val="auto"/>
          <w:szCs w:val="24"/>
        </w:rPr>
        <w:t xml:space="preserve"> za </w:t>
      </w:r>
      <w:r w:rsidRPr="00C86111">
        <w:rPr>
          <w:rFonts w:asciiTheme="minorHAnsi" w:hAnsiTheme="minorHAnsi" w:cstheme="minorHAnsi"/>
          <w:color w:val="auto"/>
          <w:szCs w:val="24"/>
        </w:rPr>
        <w:t>period 2006-2023.</w:t>
      </w:r>
    </w:p>
    <w:p w14:paraId="79B42F40" w14:textId="77777777" w:rsidR="00E2027B" w:rsidRDefault="00E2027B" w:rsidP="00C23D65">
      <w:pPr>
        <w:pStyle w:val="Text"/>
        <w:rPr>
          <w:rFonts w:asciiTheme="minorHAnsi" w:hAnsiTheme="minorHAnsi" w:cstheme="minorHAnsi"/>
          <w:b/>
          <w:bCs/>
          <w:sz w:val="24"/>
          <w:szCs w:val="24"/>
        </w:rPr>
      </w:pPr>
    </w:p>
    <w:p w14:paraId="173D69AC" w14:textId="77777777" w:rsidR="00F57E42" w:rsidRDefault="00F57E42" w:rsidP="00C23D65">
      <w:pPr>
        <w:pStyle w:val="Text"/>
        <w:rPr>
          <w:rFonts w:asciiTheme="minorHAnsi" w:hAnsiTheme="minorHAnsi" w:cstheme="minorHAnsi"/>
          <w:b/>
          <w:bCs/>
          <w:sz w:val="24"/>
          <w:szCs w:val="24"/>
        </w:rPr>
      </w:pPr>
    </w:p>
    <w:p w14:paraId="19B3227E" w14:textId="77777777" w:rsidR="00F57E42" w:rsidRDefault="00F57E42" w:rsidP="00C23D65">
      <w:pPr>
        <w:pStyle w:val="Text"/>
        <w:rPr>
          <w:rFonts w:asciiTheme="minorHAnsi" w:hAnsiTheme="minorHAnsi" w:cstheme="minorHAnsi"/>
          <w:b/>
          <w:bCs/>
          <w:sz w:val="24"/>
          <w:szCs w:val="24"/>
        </w:rPr>
      </w:pPr>
    </w:p>
    <w:p w14:paraId="5FC7CCF8" w14:textId="72BA8CB0" w:rsidR="00C23D65" w:rsidRPr="00C86111" w:rsidRDefault="00C23D65" w:rsidP="00C23D65">
      <w:pPr>
        <w:pStyle w:val="Text"/>
        <w:rPr>
          <w:rFonts w:asciiTheme="minorHAnsi" w:hAnsiTheme="minorHAnsi" w:cstheme="minorHAnsi"/>
          <w:b/>
          <w:bCs/>
          <w:sz w:val="24"/>
          <w:szCs w:val="24"/>
        </w:rPr>
      </w:pPr>
      <w:r w:rsidRPr="00C86111">
        <w:rPr>
          <w:rFonts w:asciiTheme="minorHAnsi" w:hAnsiTheme="minorHAnsi" w:cstheme="minorHAnsi"/>
          <w:b/>
          <w:bCs/>
          <w:sz w:val="24"/>
          <w:szCs w:val="24"/>
        </w:rPr>
        <w:lastRenderedPageBreak/>
        <w:t xml:space="preserve">Tabela </w:t>
      </w:r>
      <w:r w:rsidR="00D95B9C" w:rsidRPr="00C86111">
        <w:rPr>
          <w:rFonts w:asciiTheme="minorHAnsi" w:hAnsiTheme="minorHAnsi" w:cstheme="minorHAnsi"/>
          <w:b/>
          <w:bCs/>
          <w:sz w:val="24"/>
          <w:szCs w:val="24"/>
        </w:rPr>
        <w:t>53</w:t>
      </w:r>
      <w:r w:rsidRPr="00C86111">
        <w:rPr>
          <w:rFonts w:asciiTheme="minorHAnsi" w:hAnsiTheme="minorHAnsi" w:cstheme="minorHAnsi"/>
          <w:b/>
          <w:bCs/>
          <w:sz w:val="24"/>
          <w:szCs w:val="24"/>
        </w:rPr>
        <w:t xml:space="preserve">. </w:t>
      </w:r>
      <w:r w:rsidRPr="00C86111">
        <w:rPr>
          <w:rFonts w:asciiTheme="minorHAnsi" w:hAnsiTheme="minorHAnsi" w:cstheme="minorHAnsi"/>
          <w:sz w:val="24"/>
          <w:szCs w:val="24"/>
        </w:rPr>
        <w:t>Pregled količina PBDE-a u autobusima (period registracije 2017–2023)</w:t>
      </w:r>
    </w:p>
    <w:tbl>
      <w:tblPr>
        <w:tblStyle w:val="GridTable5Dark-Accent6"/>
        <w:tblW w:w="9360" w:type="dxa"/>
        <w:tblLayout w:type="fixed"/>
        <w:tblLook w:val="04A0" w:firstRow="1" w:lastRow="0" w:firstColumn="1" w:lastColumn="0" w:noHBand="0" w:noVBand="1"/>
      </w:tblPr>
      <w:tblGrid>
        <w:gridCol w:w="2850"/>
        <w:gridCol w:w="930"/>
        <w:gridCol w:w="930"/>
        <w:gridCol w:w="930"/>
        <w:gridCol w:w="930"/>
        <w:gridCol w:w="930"/>
        <w:gridCol w:w="930"/>
        <w:gridCol w:w="930"/>
      </w:tblGrid>
      <w:tr w:rsidR="00C23D65" w:rsidRPr="00C86111" w14:paraId="63F10135" w14:textId="77777777" w:rsidTr="00C23D6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50" w:type="dxa"/>
            <w:tcBorders>
              <w:bottom w:val="single" w:sz="4" w:space="0" w:color="FFFFFF" w:themeColor="background1"/>
            </w:tcBorders>
            <w:hideMark/>
          </w:tcPr>
          <w:p w14:paraId="0F0F2A6D" w14:textId="77777777" w:rsidR="00C23D65" w:rsidRPr="00C86111" w:rsidRDefault="00C23D65">
            <w:pPr>
              <w:pStyle w:val="Text"/>
              <w:rPr>
                <w:rFonts w:asciiTheme="minorHAnsi" w:hAnsiTheme="minorHAnsi" w:cstheme="minorHAnsi"/>
                <w:sz w:val="20"/>
                <w:szCs w:val="20"/>
              </w:rPr>
            </w:pPr>
            <w:r w:rsidRPr="00C86111">
              <w:rPr>
                <w:rFonts w:asciiTheme="minorHAnsi" w:hAnsiTheme="minorHAnsi" w:cstheme="minorHAnsi"/>
                <w:sz w:val="20"/>
                <w:szCs w:val="20"/>
              </w:rPr>
              <w:t>Tabela</w:t>
            </w:r>
          </w:p>
        </w:tc>
        <w:tc>
          <w:tcPr>
            <w:tcW w:w="930" w:type="dxa"/>
            <w:tcBorders>
              <w:bottom w:val="single" w:sz="4" w:space="0" w:color="FFFFFF" w:themeColor="background1"/>
            </w:tcBorders>
            <w:hideMark/>
          </w:tcPr>
          <w:p w14:paraId="53DB5364"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2017</w:t>
            </w:r>
          </w:p>
        </w:tc>
        <w:tc>
          <w:tcPr>
            <w:tcW w:w="930" w:type="dxa"/>
            <w:tcBorders>
              <w:bottom w:val="single" w:sz="4" w:space="0" w:color="FFFFFF" w:themeColor="background1"/>
            </w:tcBorders>
            <w:hideMark/>
          </w:tcPr>
          <w:p w14:paraId="201AFB39"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2018</w:t>
            </w:r>
          </w:p>
        </w:tc>
        <w:tc>
          <w:tcPr>
            <w:tcW w:w="930" w:type="dxa"/>
            <w:tcBorders>
              <w:bottom w:val="single" w:sz="4" w:space="0" w:color="FFFFFF" w:themeColor="background1"/>
            </w:tcBorders>
            <w:hideMark/>
          </w:tcPr>
          <w:p w14:paraId="46246FA8"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2019</w:t>
            </w:r>
          </w:p>
        </w:tc>
        <w:tc>
          <w:tcPr>
            <w:tcW w:w="930" w:type="dxa"/>
            <w:tcBorders>
              <w:bottom w:val="single" w:sz="4" w:space="0" w:color="FFFFFF" w:themeColor="background1"/>
            </w:tcBorders>
            <w:hideMark/>
          </w:tcPr>
          <w:p w14:paraId="7EDC517A"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2020</w:t>
            </w:r>
          </w:p>
        </w:tc>
        <w:tc>
          <w:tcPr>
            <w:tcW w:w="930" w:type="dxa"/>
            <w:tcBorders>
              <w:bottom w:val="single" w:sz="4" w:space="0" w:color="FFFFFF" w:themeColor="background1"/>
            </w:tcBorders>
            <w:hideMark/>
          </w:tcPr>
          <w:p w14:paraId="652EA02B"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2021</w:t>
            </w:r>
          </w:p>
        </w:tc>
        <w:tc>
          <w:tcPr>
            <w:tcW w:w="930" w:type="dxa"/>
            <w:tcBorders>
              <w:bottom w:val="single" w:sz="4" w:space="0" w:color="FFFFFF" w:themeColor="background1"/>
            </w:tcBorders>
            <w:hideMark/>
          </w:tcPr>
          <w:p w14:paraId="48C36C5C"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2022</w:t>
            </w:r>
          </w:p>
        </w:tc>
        <w:tc>
          <w:tcPr>
            <w:tcW w:w="930" w:type="dxa"/>
            <w:tcBorders>
              <w:bottom w:val="single" w:sz="4" w:space="0" w:color="FFFFFF" w:themeColor="background1"/>
            </w:tcBorders>
            <w:hideMark/>
          </w:tcPr>
          <w:p w14:paraId="0C20DDFE"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2023</w:t>
            </w:r>
          </w:p>
        </w:tc>
      </w:tr>
      <w:tr w:rsidR="00C23D65" w:rsidRPr="00C86111" w14:paraId="646A8D36" w14:textId="77777777" w:rsidTr="00C23D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50" w:type="dxa"/>
            <w:tcBorders>
              <w:top w:val="single" w:sz="4" w:space="0" w:color="FFFFFF" w:themeColor="background1"/>
              <w:bottom w:val="single" w:sz="4" w:space="0" w:color="FFFFFF" w:themeColor="background1"/>
              <w:right w:val="single" w:sz="4" w:space="0" w:color="FFFFFF" w:themeColor="background1"/>
            </w:tcBorders>
            <w:hideMark/>
          </w:tcPr>
          <w:p w14:paraId="2FC84757" w14:textId="77777777" w:rsidR="00C23D65" w:rsidRPr="00C86111" w:rsidRDefault="00C23D65">
            <w:pPr>
              <w:pStyle w:val="Text"/>
              <w:rPr>
                <w:rFonts w:asciiTheme="minorHAnsi" w:hAnsiTheme="minorHAnsi" w:cstheme="minorHAnsi"/>
                <w:sz w:val="20"/>
                <w:szCs w:val="20"/>
              </w:rPr>
            </w:pPr>
            <w:r w:rsidRPr="00C86111">
              <w:rPr>
                <w:rFonts w:asciiTheme="minorHAnsi" w:hAnsiTheme="minorHAnsi" w:cstheme="minorHAnsi"/>
                <w:sz w:val="20"/>
                <w:szCs w:val="20"/>
              </w:rPr>
              <w:t>Sadržaj PBDE u autobusima (g)</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1659C77"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76400</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2303C20"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77980</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F7F68A0"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72120</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5DD832A"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43340</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DFDAF35"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50900</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83772FF"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54560</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2438C4F"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51780</w:t>
            </w:r>
          </w:p>
        </w:tc>
      </w:tr>
      <w:tr w:rsidR="00C23D65" w:rsidRPr="00C86111" w14:paraId="6B0B649D" w14:textId="77777777" w:rsidTr="00C23D65">
        <w:trPr>
          <w:trHeight w:val="20"/>
        </w:trPr>
        <w:tc>
          <w:tcPr>
            <w:cnfStyle w:val="001000000000" w:firstRow="0" w:lastRow="0" w:firstColumn="1" w:lastColumn="0" w:oddVBand="0" w:evenVBand="0" w:oddHBand="0" w:evenHBand="0" w:firstRowFirstColumn="0" w:firstRowLastColumn="0" w:lastRowFirstColumn="0" w:lastRowLastColumn="0"/>
            <w:tcW w:w="2850" w:type="dxa"/>
            <w:tcBorders>
              <w:top w:val="single" w:sz="4" w:space="0" w:color="FFFFFF" w:themeColor="background1"/>
              <w:right w:val="single" w:sz="4" w:space="0" w:color="FFFFFF" w:themeColor="background1"/>
            </w:tcBorders>
            <w:hideMark/>
          </w:tcPr>
          <w:p w14:paraId="66B83AA4" w14:textId="77777777" w:rsidR="00C23D65" w:rsidRPr="00C86111" w:rsidRDefault="00C23D65">
            <w:pPr>
              <w:pStyle w:val="Text"/>
              <w:rPr>
                <w:rFonts w:asciiTheme="minorHAnsi" w:hAnsiTheme="minorHAnsi" w:cstheme="minorHAnsi"/>
                <w:sz w:val="20"/>
                <w:szCs w:val="20"/>
              </w:rPr>
            </w:pPr>
            <w:r w:rsidRPr="00C86111">
              <w:rPr>
                <w:rFonts w:asciiTheme="minorHAnsi" w:hAnsiTheme="minorHAnsi" w:cstheme="minorHAnsi"/>
                <w:sz w:val="20"/>
                <w:szCs w:val="20"/>
              </w:rPr>
              <w:t>Sadržaj PBDE u autobusima (kg)</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4AE803E"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76.4</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7A9C1E"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77.98</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BC423AE"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72.12</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E99C2EC"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43.34</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BD7A330"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50.9</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A9C3EE7"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54.56</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7261549"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51.78</w:t>
            </w:r>
          </w:p>
        </w:tc>
      </w:tr>
    </w:tbl>
    <w:p w14:paraId="2F1FC5BC" w14:textId="77777777" w:rsidR="00C23D65" w:rsidRPr="00C86111" w:rsidRDefault="00C23D65" w:rsidP="00C23D65">
      <w:pPr>
        <w:pStyle w:val="Text"/>
        <w:rPr>
          <w:rFonts w:asciiTheme="minorHAnsi" w:hAnsiTheme="minorHAnsi" w:cstheme="minorHAnsi"/>
        </w:rPr>
      </w:pPr>
    </w:p>
    <w:p w14:paraId="70F189F2" w14:textId="6E5E6FC4" w:rsidR="00C23D65" w:rsidRPr="00C86111" w:rsidRDefault="00C23D65" w:rsidP="00C23D65">
      <w:pPr>
        <w:pStyle w:val="Text"/>
        <w:jc w:val="center"/>
        <w:rPr>
          <w:rFonts w:asciiTheme="minorHAnsi" w:hAnsiTheme="minorHAnsi" w:cstheme="minorHAnsi"/>
        </w:rPr>
      </w:pPr>
      <w:r w:rsidRPr="00C86111">
        <w:rPr>
          <w:noProof/>
        </w:rPr>
        <w:drawing>
          <wp:inline distT="0" distB="0" distL="0" distR="0" wp14:anchorId="46398677" wp14:editId="5C52C50D">
            <wp:extent cx="4373880" cy="1402080"/>
            <wp:effectExtent l="0" t="0" r="7620" b="7620"/>
            <wp:docPr id="1073741843" name="Chart 10737418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D460225" w14:textId="202BDE6F" w:rsidR="00C23D65" w:rsidRPr="00C86111" w:rsidRDefault="00C23D65" w:rsidP="00C23D65">
      <w:pPr>
        <w:pStyle w:val="Text"/>
        <w:jc w:val="both"/>
        <w:rPr>
          <w:rFonts w:asciiTheme="minorHAnsi" w:hAnsiTheme="minorHAnsi" w:cstheme="minorHAnsi"/>
          <w:sz w:val="24"/>
          <w:szCs w:val="24"/>
        </w:rPr>
      </w:pPr>
      <w:r w:rsidRPr="00C86111">
        <w:rPr>
          <w:rFonts w:asciiTheme="minorHAnsi" w:hAnsiTheme="minorHAnsi" w:cstheme="minorHAnsi"/>
          <w:b/>
          <w:bCs/>
        </w:rPr>
        <w:t xml:space="preserve">             </w:t>
      </w:r>
      <w:r w:rsidR="00D95B9C" w:rsidRPr="00C86111">
        <w:rPr>
          <w:rFonts w:asciiTheme="minorHAnsi" w:hAnsiTheme="minorHAnsi" w:cstheme="minorHAnsi"/>
          <w:b/>
          <w:bCs/>
          <w:sz w:val="24"/>
          <w:szCs w:val="24"/>
        </w:rPr>
        <w:t>Grafik</w:t>
      </w:r>
      <w:r w:rsidRPr="00C86111">
        <w:rPr>
          <w:rFonts w:asciiTheme="minorHAnsi" w:hAnsiTheme="minorHAnsi" w:cstheme="minorHAnsi"/>
          <w:b/>
          <w:bCs/>
          <w:sz w:val="24"/>
          <w:szCs w:val="24"/>
        </w:rPr>
        <w:t xml:space="preserve"> 1</w:t>
      </w:r>
      <w:r w:rsidR="00547278">
        <w:rPr>
          <w:rFonts w:asciiTheme="minorHAnsi" w:hAnsiTheme="minorHAnsi" w:cstheme="minorHAnsi"/>
          <w:b/>
          <w:bCs/>
          <w:sz w:val="24"/>
          <w:szCs w:val="24"/>
        </w:rPr>
        <w:t>2</w:t>
      </w:r>
      <w:r w:rsidRPr="00C86111">
        <w:rPr>
          <w:rFonts w:asciiTheme="minorHAnsi" w:hAnsiTheme="minorHAnsi" w:cstheme="minorHAnsi"/>
          <w:b/>
          <w:bCs/>
          <w:sz w:val="24"/>
          <w:szCs w:val="24"/>
        </w:rPr>
        <w:t xml:space="preserve">. </w:t>
      </w:r>
      <w:r w:rsidRPr="00C86111">
        <w:rPr>
          <w:rFonts w:asciiTheme="minorHAnsi" w:hAnsiTheme="minorHAnsi" w:cstheme="minorHAnsi"/>
          <w:sz w:val="24"/>
          <w:szCs w:val="24"/>
        </w:rPr>
        <w:t>Grafički prikaz količina PBDE-a u autobusima (period registracije 2017–2023)</w:t>
      </w:r>
    </w:p>
    <w:p w14:paraId="01CD41C0" w14:textId="230DE719" w:rsidR="00C23D65" w:rsidRPr="00C86111" w:rsidRDefault="00C23D65" w:rsidP="00C23D65">
      <w:pPr>
        <w:pStyle w:val="Text"/>
        <w:jc w:val="center"/>
        <w:rPr>
          <w:rFonts w:asciiTheme="minorHAnsi" w:hAnsiTheme="minorHAnsi" w:cstheme="minorHAnsi"/>
          <w:b/>
          <w:bCs/>
          <w:i/>
          <w:iCs/>
        </w:rPr>
      </w:pPr>
      <w:r w:rsidRPr="00C86111">
        <w:rPr>
          <w:noProof/>
        </w:rPr>
        <w:drawing>
          <wp:inline distT="0" distB="0" distL="0" distR="0" wp14:anchorId="27E86982" wp14:editId="5F2ED77E">
            <wp:extent cx="5745480" cy="1607820"/>
            <wp:effectExtent l="0" t="0" r="7620" b="11430"/>
            <wp:docPr id="1073741844" name="Chart 10737418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53B69FC" w14:textId="3F5204F7" w:rsidR="00C23D65" w:rsidRPr="00C86111" w:rsidRDefault="00D95B9C" w:rsidP="00C23D65">
      <w:pPr>
        <w:jc w:val="center"/>
        <w:rPr>
          <w:rFonts w:asciiTheme="minorHAnsi" w:eastAsia="Arial Unicode MS" w:hAnsiTheme="minorHAnsi" w:cstheme="minorHAnsi"/>
          <w:color w:val="000000"/>
          <w:szCs w:val="24"/>
          <w:bdr w:val="none" w:sz="0" w:space="0" w:color="auto" w:frame="1"/>
          <w14:textOutline w14:w="0" w14:cap="flat" w14:cmpd="sng" w14:algn="ctr">
            <w14:noFill/>
            <w14:prstDash w14:val="solid"/>
            <w14:bevel/>
          </w14:textOutline>
        </w:rPr>
      </w:pPr>
      <w:r w:rsidRPr="00C86111">
        <w:rPr>
          <w:rFonts w:asciiTheme="minorHAnsi" w:eastAsia="Arial Unicode MS" w:hAnsiTheme="minorHAnsi" w:cstheme="minorHAnsi"/>
          <w:b/>
          <w:bCs/>
          <w:color w:val="000000"/>
          <w:szCs w:val="24"/>
          <w:bdr w:val="none" w:sz="0" w:space="0" w:color="auto" w:frame="1"/>
          <w14:textOutline w14:w="0" w14:cap="flat" w14:cmpd="sng" w14:algn="ctr">
            <w14:noFill/>
            <w14:prstDash w14:val="solid"/>
            <w14:bevel/>
          </w14:textOutline>
        </w:rPr>
        <w:t>Grafik</w:t>
      </w:r>
      <w:r w:rsidR="00C23D65" w:rsidRPr="00C86111">
        <w:rPr>
          <w:rFonts w:asciiTheme="minorHAnsi" w:eastAsia="Arial Unicode MS" w:hAnsiTheme="minorHAnsi" w:cstheme="minorHAnsi"/>
          <w:b/>
          <w:bCs/>
          <w:color w:val="000000"/>
          <w:szCs w:val="24"/>
          <w:bdr w:val="none" w:sz="0" w:space="0" w:color="auto" w:frame="1"/>
          <w14:textOutline w14:w="0" w14:cap="flat" w14:cmpd="sng" w14:algn="ctr">
            <w14:noFill/>
            <w14:prstDash w14:val="solid"/>
            <w14:bevel/>
          </w14:textOutline>
        </w:rPr>
        <w:t xml:space="preserve"> 1</w:t>
      </w:r>
      <w:r w:rsidR="00547278">
        <w:rPr>
          <w:rFonts w:asciiTheme="minorHAnsi" w:eastAsia="Arial Unicode MS" w:hAnsiTheme="minorHAnsi" w:cstheme="minorHAnsi"/>
          <w:b/>
          <w:bCs/>
          <w:color w:val="000000"/>
          <w:szCs w:val="24"/>
          <w:bdr w:val="none" w:sz="0" w:space="0" w:color="auto" w:frame="1"/>
          <w14:textOutline w14:w="0" w14:cap="flat" w14:cmpd="sng" w14:algn="ctr">
            <w14:noFill/>
            <w14:prstDash w14:val="solid"/>
            <w14:bevel/>
          </w14:textOutline>
        </w:rPr>
        <w:t>3</w:t>
      </w:r>
      <w:r w:rsidR="00C23D65" w:rsidRPr="00C86111">
        <w:rPr>
          <w:rFonts w:asciiTheme="minorHAnsi" w:eastAsia="Arial Unicode MS" w:hAnsiTheme="minorHAnsi" w:cstheme="minorHAnsi"/>
          <w:b/>
          <w:bCs/>
          <w:color w:val="000000"/>
          <w:szCs w:val="24"/>
          <w:bdr w:val="none" w:sz="0" w:space="0" w:color="auto" w:frame="1"/>
          <w14:textOutline w14:w="0" w14:cap="flat" w14:cmpd="sng" w14:algn="ctr">
            <w14:noFill/>
            <w14:prstDash w14:val="solid"/>
            <w14:bevel/>
          </w14:textOutline>
        </w:rPr>
        <w:t xml:space="preserve">. </w:t>
      </w:r>
      <w:r w:rsidR="00C23D65" w:rsidRPr="00C86111">
        <w:rPr>
          <w:rFonts w:asciiTheme="minorHAnsi" w:eastAsia="Arial Unicode MS" w:hAnsiTheme="minorHAnsi" w:cstheme="minorHAnsi"/>
          <w:color w:val="000000"/>
          <w:szCs w:val="24"/>
          <w:bdr w:val="none" w:sz="0" w:space="0" w:color="auto" w:frame="1"/>
          <w14:textOutline w14:w="0" w14:cap="flat" w14:cmpd="sng" w14:algn="ctr">
            <w14:noFill/>
            <w14:prstDash w14:val="solid"/>
            <w14:bevel/>
          </w14:textOutline>
        </w:rPr>
        <w:t>Sadržaj PBDE-a u autobusima u upotrebi u periodu 2006–2023.</w:t>
      </w:r>
    </w:p>
    <w:p w14:paraId="235DB62D" w14:textId="77777777" w:rsidR="00C23D65" w:rsidRPr="00C86111" w:rsidRDefault="00C23D65" w:rsidP="00C23D65">
      <w:pPr>
        <w:jc w:val="both"/>
        <w:rPr>
          <w:rFonts w:asciiTheme="minorHAnsi" w:eastAsia="Arial Unicode MS" w:hAnsiTheme="minorHAnsi" w:cstheme="minorHAnsi"/>
          <w:b/>
          <w:bCs/>
          <w:color w:val="000000"/>
          <w:szCs w:val="24"/>
          <w:bdr w:val="none" w:sz="0" w:space="0" w:color="auto" w:frame="1"/>
          <w14:textOutline w14:w="0" w14:cap="flat" w14:cmpd="sng" w14:algn="ctr">
            <w14:noFill/>
            <w14:prstDash w14:val="solid"/>
            <w14:bevel/>
          </w14:textOutline>
        </w:rPr>
      </w:pPr>
    </w:p>
    <w:p w14:paraId="5D2296B7"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Sadržaj PBDE u autobusima u upotrebi pokazuje opadajući trend u periodu 2006–2023.</w:t>
      </w:r>
    </w:p>
    <w:p w14:paraId="12FCD76E" w14:textId="77777777" w:rsidR="00C23D65" w:rsidRPr="00C86111" w:rsidRDefault="00C23D65" w:rsidP="00C23D65">
      <w:pPr>
        <w:jc w:val="both"/>
        <w:rPr>
          <w:rFonts w:asciiTheme="minorHAnsi" w:hAnsiTheme="minorHAnsi" w:cstheme="minorHAnsi"/>
          <w:color w:val="auto"/>
          <w:szCs w:val="24"/>
          <w:u w:val="single"/>
        </w:rPr>
      </w:pPr>
    </w:p>
    <w:p w14:paraId="08E14E7D" w14:textId="22224E54" w:rsidR="00C23D65" w:rsidRPr="00C86111" w:rsidRDefault="00C23D65" w:rsidP="00C23D65">
      <w:pPr>
        <w:jc w:val="both"/>
        <w:rPr>
          <w:rFonts w:asciiTheme="minorHAnsi" w:hAnsiTheme="minorHAnsi" w:cstheme="minorHAnsi"/>
          <w:b/>
          <w:bCs/>
          <w:color w:val="auto"/>
          <w:szCs w:val="24"/>
        </w:rPr>
      </w:pPr>
      <w:r w:rsidRPr="00C86111">
        <w:rPr>
          <w:rFonts w:asciiTheme="minorHAnsi" w:hAnsiTheme="minorHAnsi" w:cstheme="minorHAnsi"/>
          <w:color w:val="auto"/>
          <w:szCs w:val="24"/>
        </w:rPr>
        <w:t xml:space="preserve">Komparativni prikaz sadržaja PBDE po svim kategorijama vozila za period 2017–2023 prikazan je na  u Tabeli </w:t>
      </w:r>
      <w:r w:rsidR="00D95B9C" w:rsidRPr="00C86111">
        <w:rPr>
          <w:rFonts w:asciiTheme="minorHAnsi" w:hAnsiTheme="minorHAnsi" w:cstheme="minorHAnsi"/>
          <w:color w:val="auto"/>
          <w:szCs w:val="24"/>
        </w:rPr>
        <w:t>54</w:t>
      </w:r>
      <w:r w:rsidRPr="00C86111">
        <w:rPr>
          <w:rFonts w:asciiTheme="minorHAnsi" w:hAnsiTheme="minorHAnsi" w:cstheme="minorHAnsi"/>
          <w:color w:val="auto"/>
          <w:szCs w:val="24"/>
        </w:rPr>
        <w:t xml:space="preserve"> </w:t>
      </w:r>
      <w:r w:rsidR="00D95B9C" w:rsidRPr="00C86111">
        <w:rPr>
          <w:rFonts w:asciiTheme="minorHAnsi" w:hAnsiTheme="minorHAnsi" w:cstheme="minorHAnsi"/>
          <w:color w:val="auto"/>
          <w:szCs w:val="24"/>
        </w:rPr>
        <w:t>i</w:t>
      </w:r>
      <w:r w:rsidRPr="00C86111">
        <w:rPr>
          <w:rFonts w:asciiTheme="minorHAnsi" w:hAnsiTheme="minorHAnsi" w:cstheme="minorHAnsi"/>
          <w:color w:val="auto"/>
          <w:szCs w:val="24"/>
        </w:rPr>
        <w:t xml:space="preserve"> </w:t>
      </w:r>
      <w:r w:rsidR="00D95B9C" w:rsidRPr="00C86111">
        <w:rPr>
          <w:rFonts w:asciiTheme="minorHAnsi" w:hAnsiTheme="minorHAnsi" w:cstheme="minorHAnsi"/>
          <w:color w:val="auto"/>
          <w:szCs w:val="24"/>
        </w:rPr>
        <w:t>Grafiku</w:t>
      </w:r>
      <w:r w:rsidRPr="00C86111">
        <w:rPr>
          <w:rFonts w:asciiTheme="minorHAnsi" w:hAnsiTheme="minorHAnsi" w:cstheme="minorHAnsi"/>
          <w:color w:val="auto"/>
          <w:szCs w:val="24"/>
        </w:rPr>
        <w:t xml:space="preserve"> 1</w:t>
      </w:r>
      <w:r w:rsidR="00547278">
        <w:rPr>
          <w:rFonts w:asciiTheme="minorHAnsi" w:hAnsiTheme="minorHAnsi" w:cstheme="minorHAnsi"/>
          <w:color w:val="auto"/>
          <w:szCs w:val="24"/>
        </w:rPr>
        <w:t>4</w:t>
      </w:r>
      <w:r w:rsidRPr="00C86111">
        <w:rPr>
          <w:rFonts w:asciiTheme="minorHAnsi" w:hAnsiTheme="minorHAnsi" w:cstheme="minorHAnsi"/>
          <w:color w:val="auto"/>
          <w:szCs w:val="24"/>
        </w:rPr>
        <w:t>.</w:t>
      </w:r>
    </w:p>
    <w:p w14:paraId="468CB560" w14:textId="77777777" w:rsidR="00C23D65" w:rsidRPr="00C86111" w:rsidRDefault="00C23D65" w:rsidP="00C23D65">
      <w:pPr>
        <w:jc w:val="both"/>
        <w:rPr>
          <w:rFonts w:asciiTheme="minorHAnsi" w:hAnsiTheme="minorHAnsi" w:cstheme="minorHAnsi"/>
          <w:color w:val="auto"/>
          <w:szCs w:val="24"/>
        </w:rPr>
      </w:pPr>
    </w:p>
    <w:p w14:paraId="1F1704E9" w14:textId="3330A7BA" w:rsidR="00C23D65" w:rsidRPr="00C86111" w:rsidRDefault="00C23D65" w:rsidP="00C23D65">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 xml:space="preserve">Tabela </w:t>
      </w:r>
      <w:r w:rsidR="00D95B9C" w:rsidRPr="00C86111">
        <w:rPr>
          <w:rFonts w:asciiTheme="minorHAnsi" w:hAnsiTheme="minorHAnsi" w:cstheme="minorHAnsi"/>
          <w:b/>
          <w:bCs/>
          <w:color w:val="auto"/>
          <w:szCs w:val="24"/>
        </w:rPr>
        <w:t>54</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Komparativni prikaz PBDE po kategorijama vozila (2017–2023)</w:t>
      </w:r>
    </w:p>
    <w:tbl>
      <w:tblPr>
        <w:tblStyle w:val="GridTable5Dark-Accent6"/>
        <w:tblW w:w="0" w:type="auto"/>
        <w:tblLook w:val="04A0" w:firstRow="1" w:lastRow="0" w:firstColumn="1" w:lastColumn="0" w:noHBand="0" w:noVBand="1"/>
      </w:tblPr>
      <w:tblGrid>
        <w:gridCol w:w="814"/>
        <w:gridCol w:w="2608"/>
        <w:gridCol w:w="1999"/>
        <w:gridCol w:w="2643"/>
        <w:gridCol w:w="1286"/>
      </w:tblGrid>
      <w:tr w:rsidR="00C23D65" w:rsidRPr="00C86111" w14:paraId="4F850EC7" w14:textId="77777777" w:rsidTr="00C23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FFFFFF" w:themeColor="background1"/>
            </w:tcBorders>
            <w:hideMark/>
          </w:tcPr>
          <w:p w14:paraId="7122920F"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Godina</w:t>
            </w:r>
          </w:p>
        </w:tc>
        <w:tc>
          <w:tcPr>
            <w:tcW w:w="0" w:type="auto"/>
            <w:tcBorders>
              <w:bottom w:val="single" w:sz="4" w:space="0" w:color="FFFFFF" w:themeColor="background1"/>
            </w:tcBorders>
            <w:hideMark/>
          </w:tcPr>
          <w:p w14:paraId="564A3BA4"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PBDE sadržaj u putničkim automobilima (kg)</w:t>
            </w:r>
          </w:p>
        </w:tc>
        <w:tc>
          <w:tcPr>
            <w:tcW w:w="0" w:type="auto"/>
            <w:tcBorders>
              <w:bottom w:val="single" w:sz="4" w:space="0" w:color="FFFFFF" w:themeColor="background1"/>
            </w:tcBorders>
            <w:hideMark/>
          </w:tcPr>
          <w:p w14:paraId="78DED585"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PBDE sadržaj u autobusima (kg)</w:t>
            </w:r>
          </w:p>
        </w:tc>
        <w:tc>
          <w:tcPr>
            <w:tcW w:w="0" w:type="auto"/>
            <w:tcBorders>
              <w:bottom w:val="single" w:sz="4" w:space="0" w:color="FFFFFF" w:themeColor="background1"/>
            </w:tcBorders>
            <w:hideMark/>
          </w:tcPr>
          <w:p w14:paraId="17B25272"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PBDE sadržaj u registrovanim kamionima (kg)</w:t>
            </w:r>
          </w:p>
        </w:tc>
        <w:tc>
          <w:tcPr>
            <w:tcW w:w="0" w:type="auto"/>
            <w:tcBorders>
              <w:bottom w:val="single" w:sz="4" w:space="0" w:color="FFFFFF" w:themeColor="background1"/>
            </w:tcBorders>
            <w:hideMark/>
          </w:tcPr>
          <w:p w14:paraId="2F118E19"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Ukupno PBDE (kg)</w:t>
            </w:r>
          </w:p>
        </w:tc>
      </w:tr>
      <w:tr w:rsidR="00C23D65" w:rsidRPr="00C86111" w14:paraId="4310C512"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3E94BCE3"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B1F2D13"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10.893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6111F3A"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9E7A824"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728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72A767F"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11.697</w:t>
            </w:r>
          </w:p>
        </w:tc>
      </w:tr>
      <w:tr w:rsidR="00C23D65" w:rsidRPr="00C86111" w14:paraId="7E22425D"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756522B2"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3F0FAB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11.027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ECF9959"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D3AB4C3"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756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03576F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11.861</w:t>
            </w:r>
          </w:p>
        </w:tc>
      </w:tr>
      <w:tr w:rsidR="00C23D65" w:rsidRPr="00C86111" w14:paraId="29449F0A"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0358D90F"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8BBDE3"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10.776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600721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A26119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757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17E6710"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11.605</w:t>
            </w:r>
          </w:p>
        </w:tc>
      </w:tr>
      <w:tr w:rsidR="00C23D65" w:rsidRPr="00C86111" w14:paraId="35620A9D"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48960E63"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FB2B7F1"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9.996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647796F"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F0A6BD8"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721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D8131D"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10.760</w:t>
            </w:r>
          </w:p>
        </w:tc>
      </w:tr>
      <w:tr w:rsidR="00C23D65" w:rsidRPr="00C86111" w14:paraId="0EEDA445"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0D3E0307"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F06DCCA"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9.896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5510287"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FDAEA61"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746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C5E7650"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10.693</w:t>
            </w:r>
          </w:p>
        </w:tc>
      </w:tr>
      <w:tr w:rsidR="00C23D65" w:rsidRPr="00C86111" w14:paraId="1809C084"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4DC3B04D"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74F4D84"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9.493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85DAF18"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D132C5E"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716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39A0DA2"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10.263</w:t>
            </w:r>
          </w:p>
        </w:tc>
      </w:tr>
      <w:tr w:rsidR="00C23D65" w:rsidRPr="00C86111" w14:paraId="1F61E6A3"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right w:val="single" w:sz="4" w:space="0" w:color="FFFFFF" w:themeColor="background1"/>
            </w:tcBorders>
            <w:hideMark/>
          </w:tcPr>
          <w:p w14:paraId="492B586D"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EEC2A96"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9.246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52A7FE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A7A933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708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B6EA94E"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10.006</w:t>
            </w:r>
          </w:p>
        </w:tc>
      </w:tr>
    </w:tbl>
    <w:p w14:paraId="09D9B1C4" w14:textId="77777777" w:rsidR="00C23D65" w:rsidRPr="00C86111" w:rsidRDefault="00C23D65" w:rsidP="00C23D65">
      <w:pPr>
        <w:jc w:val="both"/>
        <w:rPr>
          <w:rFonts w:asciiTheme="minorHAnsi" w:hAnsiTheme="minorHAnsi" w:cstheme="minorHAnsi"/>
          <w:b/>
          <w:bCs/>
          <w:color w:val="auto"/>
          <w:szCs w:val="24"/>
        </w:rPr>
      </w:pPr>
    </w:p>
    <w:p w14:paraId="7F8568AB" w14:textId="39CA8994" w:rsidR="00C23D65" w:rsidRPr="00C86111" w:rsidRDefault="00C23D65" w:rsidP="00C23D65">
      <w:pPr>
        <w:jc w:val="center"/>
        <w:rPr>
          <w:rFonts w:asciiTheme="minorHAnsi" w:hAnsiTheme="minorHAnsi" w:cstheme="minorHAnsi"/>
          <w:b/>
          <w:bCs/>
          <w:color w:val="auto"/>
          <w:szCs w:val="24"/>
        </w:rPr>
      </w:pPr>
      <w:r w:rsidRPr="00C86111">
        <w:rPr>
          <w:rFonts w:asciiTheme="minorHAnsi" w:hAnsiTheme="minorHAnsi" w:cstheme="minorHAnsi"/>
          <w:noProof/>
          <w:szCs w:val="24"/>
        </w:rPr>
        <w:lastRenderedPageBreak/>
        <w:drawing>
          <wp:inline distT="0" distB="0" distL="0" distR="0" wp14:anchorId="1A2477BF" wp14:editId="7E276900">
            <wp:extent cx="5135880" cy="2559050"/>
            <wp:effectExtent l="0" t="0" r="7620" b="12700"/>
            <wp:docPr id="439037082" name="Chart 439037082">
              <a:extLst xmlns:a="http://schemas.openxmlformats.org/drawingml/2006/main">
                <a:ext uri="{FF2B5EF4-FFF2-40B4-BE49-F238E27FC236}">
                  <a16:creationId xmlns:a16="http://schemas.microsoft.com/office/drawing/2014/main" id="{47E744F2-3E76-5254-65EB-6089C499A9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C0D585D" w14:textId="07787C8B" w:rsidR="00C23D65" w:rsidRPr="00C86111" w:rsidRDefault="00D95B9C" w:rsidP="00C23D65">
      <w:pPr>
        <w:jc w:val="center"/>
        <w:rPr>
          <w:rFonts w:asciiTheme="minorHAnsi" w:hAnsiTheme="minorHAnsi" w:cstheme="minorHAnsi"/>
          <w:b/>
          <w:bCs/>
          <w:color w:val="auto"/>
          <w:szCs w:val="24"/>
        </w:rPr>
      </w:pPr>
      <w:r w:rsidRPr="00C86111">
        <w:rPr>
          <w:rFonts w:asciiTheme="minorHAnsi" w:hAnsiTheme="minorHAnsi" w:cstheme="minorHAnsi"/>
          <w:b/>
          <w:bCs/>
          <w:color w:val="auto"/>
          <w:szCs w:val="24"/>
        </w:rPr>
        <w:t>Grafik</w:t>
      </w:r>
      <w:r w:rsidR="00C23D65" w:rsidRPr="00C86111">
        <w:rPr>
          <w:rFonts w:asciiTheme="minorHAnsi" w:hAnsiTheme="minorHAnsi" w:cstheme="minorHAnsi"/>
          <w:b/>
          <w:bCs/>
          <w:color w:val="auto"/>
          <w:szCs w:val="24"/>
        </w:rPr>
        <w:t xml:space="preserve"> 1</w:t>
      </w:r>
      <w:r w:rsidR="00547278">
        <w:rPr>
          <w:rFonts w:asciiTheme="minorHAnsi" w:hAnsiTheme="minorHAnsi" w:cstheme="minorHAnsi"/>
          <w:b/>
          <w:bCs/>
          <w:color w:val="auto"/>
          <w:szCs w:val="24"/>
        </w:rPr>
        <w:t>4</w:t>
      </w:r>
      <w:r w:rsidR="00C23D65" w:rsidRPr="00C86111">
        <w:rPr>
          <w:rFonts w:asciiTheme="minorHAnsi" w:hAnsiTheme="minorHAnsi" w:cstheme="minorHAnsi"/>
          <w:b/>
          <w:bCs/>
          <w:color w:val="auto"/>
          <w:szCs w:val="24"/>
        </w:rPr>
        <w:t>.</w:t>
      </w:r>
      <w:r w:rsidR="00C23D65" w:rsidRPr="00C86111">
        <w:rPr>
          <w:rFonts w:asciiTheme="minorHAnsi" w:hAnsiTheme="minorHAnsi" w:cstheme="minorHAnsi"/>
          <w:color w:val="auto"/>
          <w:szCs w:val="24"/>
        </w:rPr>
        <w:t xml:space="preserve"> Komparativni prikaz PBDE po kategorijama vozila (2017–2023)</w:t>
      </w:r>
    </w:p>
    <w:p w14:paraId="6703C585" w14:textId="77777777" w:rsidR="00C23D65" w:rsidRPr="00C86111" w:rsidRDefault="00C23D65" w:rsidP="00C23D65">
      <w:pPr>
        <w:jc w:val="both"/>
        <w:rPr>
          <w:rFonts w:asciiTheme="minorHAnsi" w:hAnsiTheme="minorHAnsi" w:cstheme="minorHAnsi"/>
          <w:color w:val="auto"/>
          <w:szCs w:val="24"/>
        </w:rPr>
      </w:pPr>
    </w:p>
    <w:p w14:paraId="16BD6213"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Podaci o sadržaju PBDE u registrovanim vozilima u periodu 2017–2023 pokazuju </w:t>
      </w:r>
      <w:r w:rsidRPr="00C86111">
        <w:rPr>
          <w:rFonts w:asciiTheme="minorHAnsi" w:hAnsiTheme="minorHAnsi" w:cstheme="minorHAnsi"/>
          <w:b/>
          <w:bCs/>
          <w:color w:val="auto"/>
          <w:szCs w:val="24"/>
        </w:rPr>
        <w:t>postepeni pad ukupnih količina</w:t>
      </w:r>
      <w:r w:rsidRPr="00C86111">
        <w:rPr>
          <w:rFonts w:asciiTheme="minorHAnsi" w:hAnsiTheme="minorHAnsi" w:cstheme="minorHAnsi"/>
          <w:color w:val="auto"/>
          <w:szCs w:val="24"/>
        </w:rPr>
        <w:t>:</w:t>
      </w:r>
    </w:p>
    <w:p w14:paraId="7A6835CF" w14:textId="77777777" w:rsidR="00C23D65" w:rsidRPr="00C86111" w:rsidRDefault="00C23D65" w:rsidP="00004F34">
      <w:pPr>
        <w:numPr>
          <w:ilvl w:val="0"/>
          <w:numId w:val="200"/>
        </w:numPr>
        <w:jc w:val="both"/>
        <w:rPr>
          <w:rFonts w:asciiTheme="minorHAnsi" w:hAnsiTheme="minorHAnsi" w:cstheme="minorHAnsi"/>
          <w:color w:val="auto"/>
          <w:szCs w:val="24"/>
        </w:rPr>
      </w:pPr>
      <w:r w:rsidRPr="00C86111">
        <w:rPr>
          <w:rFonts w:asciiTheme="minorHAnsi" w:hAnsiTheme="minorHAnsi" w:cstheme="minorHAnsi"/>
          <w:b/>
          <w:bCs/>
          <w:color w:val="auto"/>
          <w:szCs w:val="24"/>
        </w:rPr>
        <w:t>Putnički automobili:</w:t>
      </w:r>
      <w:r w:rsidRPr="00C86111">
        <w:rPr>
          <w:rFonts w:asciiTheme="minorHAnsi" w:hAnsiTheme="minorHAnsi" w:cstheme="minorHAnsi"/>
          <w:color w:val="auto"/>
          <w:szCs w:val="24"/>
        </w:rPr>
        <w:t xml:space="preserve"> Sadržaj PBDE smanjen je sa 10.893 kg u 2017. na 9.246 kg u 2023, što predstavlja smanjenje od približno 15% u toku sedam godina.</w:t>
      </w:r>
    </w:p>
    <w:p w14:paraId="0AE54E46" w14:textId="77777777" w:rsidR="00C23D65" w:rsidRPr="00C86111" w:rsidRDefault="00C23D65" w:rsidP="00004F34">
      <w:pPr>
        <w:numPr>
          <w:ilvl w:val="0"/>
          <w:numId w:val="200"/>
        </w:numPr>
        <w:jc w:val="both"/>
        <w:rPr>
          <w:rFonts w:asciiTheme="minorHAnsi" w:hAnsiTheme="minorHAnsi" w:cstheme="minorHAnsi"/>
          <w:color w:val="auto"/>
          <w:szCs w:val="24"/>
        </w:rPr>
      </w:pPr>
      <w:r w:rsidRPr="00C86111">
        <w:rPr>
          <w:rFonts w:asciiTheme="minorHAnsi" w:hAnsiTheme="minorHAnsi" w:cstheme="minorHAnsi"/>
          <w:b/>
          <w:bCs/>
          <w:color w:val="auto"/>
          <w:szCs w:val="24"/>
        </w:rPr>
        <w:t>Autobusi:</w:t>
      </w:r>
      <w:r w:rsidRPr="00C86111">
        <w:rPr>
          <w:rFonts w:asciiTheme="minorHAnsi" w:hAnsiTheme="minorHAnsi" w:cstheme="minorHAnsi"/>
          <w:color w:val="auto"/>
          <w:szCs w:val="24"/>
        </w:rPr>
        <w:t xml:space="preserve"> Sadržaj PBDE je oscilirao na nižim nivoima, u rasponu od 76 kg u 2017. do 52 kg u 2023., sa manjim varijacijama između godina.</w:t>
      </w:r>
    </w:p>
    <w:p w14:paraId="19F88183" w14:textId="77777777" w:rsidR="00C23D65" w:rsidRPr="00C86111" w:rsidRDefault="00C23D65" w:rsidP="00004F34">
      <w:pPr>
        <w:numPr>
          <w:ilvl w:val="0"/>
          <w:numId w:val="200"/>
        </w:numPr>
        <w:jc w:val="both"/>
        <w:rPr>
          <w:rFonts w:asciiTheme="minorHAnsi" w:hAnsiTheme="minorHAnsi" w:cstheme="minorHAnsi"/>
          <w:color w:val="auto"/>
          <w:szCs w:val="24"/>
        </w:rPr>
      </w:pPr>
      <w:r w:rsidRPr="00C86111">
        <w:rPr>
          <w:rFonts w:asciiTheme="minorHAnsi" w:hAnsiTheme="minorHAnsi" w:cstheme="minorHAnsi"/>
          <w:b/>
          <w:bCs/>
          <w:color w:val="auto"/>
          <w:szCs w:val="24"/>
        </w:rPr>
        <w:t>Kamioni:</w:t>
      </w:r>
      <w:r w:rsidRPr="00C86111">
        <w:rPr>
          <w:rFonts w:asciiTheme="minorHAnsi" w:hAnsiTheme="minorHAnsi" w:cstheme="minorHAnsi"/>
          <w:color w:val="auto"/>
          <w:szCs w:val="24"/>
        </w:rPr>
        <w:t xml:space="preserve"> Sadržaj PBDE je pokazao blagi pad sa 728 kg u 2017. na 708 kg u 2023., ostajući relativno stabilan u odnosu na ukupnu masu.</w:t>
      </w:r>
    </w:p>
    <w:p w14:paraId="6D8D4D43" w14:textId="77777777" w:rsidR="00C23D65" w:rsidRPr="00C86111" w:rsidRDefault="00C23D65" w:rsidP="00004F34">
      <w:pPr>
        <w:numPr>
          <w:ilvl w:val="0"/>
          <w:numId w:val="200"/>
        </w:numPr>
        <w:jc w:val="both"/>
        <w:rPr>
          <w:rFonts w:asciiTheme="minorHAnsi" w:hAnsiTheme="minorHAnsi" w:cstheme="minorHAnsi"/>
          <w:color w:val="auto"/>
          <w:szCs w:val="24"/>
        </w:rPr>
      </w:pPr>
      <w:r w:rsidRPr="00C86111">
        <w:rPr>
          <w:rFonts w:asciiTheme="minorHAnsi" w:hAnsiTheme="minorHAnsi" w:cstheme="minorHAnsi"/>
          <w:b/>
          <w:bCs/>
          <w:color w:val="auto"/>
          <w:szCs w:val="24"/>
        </w:rPr>
        <w:t>Ukupno:</w:t>
      </w:r>
      <w:r w:rsidRPr="00C86111">
        <w:rPr>
          <w:rFonts w:asciiTheme="minorHAnsi" w:hAnsiTheme="minorHAnsi" w:cstheme="minorHAnsi"/>
          <w:color w:val="auto"/>
          <w:szCs w:val="24"/>
        </w:rPr>
        <w:t xml:space="preserve"> Ukupan sadržaj PBDE u svim kategorijama vozila pao je sa 11.697 kg u 2017. na 10.006 kg u 2023., što pokazuje kontinuirani silazni trend. Ovo je vjerovatno posljedica starenja i prirodnog povlačenja vozila sa višim sadržajem PBDE i njihove zamjene novijim vozilima sa nižim ili bez PBDE.</w:t>
      </w:r>
    </w:p>
    <w:p w14:paraId="60D9F8E7" w14:textId="77777777" w:rsidR="00C23D65" w:rsidRPr="00C86111" w:rsidRDefault="00C23D65" w:rsidP="00C23D65">
      <w:pPr>
        <w:ind w:left="720"/>
        <w:jc w:val="both"/>
        <w:rPr>
          <w:rFonts w:asciiTheme="minorHAnsi" w:hAnsiTheme="minorHAnsi" w:cstheme="minorHAnsi"/>
          <w:color w:val="auto"/>
          <w:szCs w:val="24"/>
        </w:rPr>
      </w:pPr>
    </w:p>
    <w:p w14:paraId="252E8F9C"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002060"/>
          <w:szCs w:val="24"/>
        </w:rPr>
        <w:t>Zaključak:</w:t>
      </w:r>
      <w:r w:rsidRPr="00C86111">
        <w:rPr>
          <w:rFonts w:asciiTheme="minorHAnsi" w:hAnsiTheme="minorHAnsi" w:cstheme="minorHAnsi"/>
          <w:color w:val="auto"/>
          <w:szCs w:val="24"/>
        </w:rPr>
        <w:t xml:space="preserve"> Upravljanje PBDE u vozilima postepeno se poboljšava, iako količine i dalje ostaju značajne, posebno u putničkim automobilima.</w:t>
      </w:r>
    </w:p>
    <w:p w14:paraId="16B6D26A" w14:textId="77777777" w:rsidR="00C23D65" w:rsidRPr="00C86111" w:rsidRDefault="00C23D65" w:rsidP="00EA6904">
      <w:pPr>
        <w:pStyle w:val="Heading3"/>
      </w:pPr>
      <w:bookmarkStart w:id="106" w:name="_Toc220541907"/>
      <w:r w:rsidRPr="00C86111">
        <w:t>Uvezena vozila</w:t>
      </w:r>
      <w:bookmarkEnd w:id="106"/>
    </w:p>
    <w:p w14:paraId="7EB2F9FB" w14:textId="77777777" w:rsidR="00C23D65" w:rsidRPr="00C86111" w:rsidRDefault="00C23D65" w:rsidP="00C23D65">
      <w:pPr>
        <w:jc w:val="both"/>
        <w:rPr>
          <w:rFonts w:asciiTheme="minorHAnsi" w:hAnsiTheme="minorHAnsi" w:cstheme="minorHAnsi"/>
          <w:b/>
          <w:bCs/>
          <w:color w:val="auto"/>
          <w:szCs w:val="24"/>
        </w:rPr>
      </w:pPr>
    </w:p>
    <w:p w14:paraId="332D0B58"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Podaci o broju uvezenih vozila dobijeni su od Mašinskog fakulteta – Centra za motore i vozila, koji u skladu sa Zakonom o bezbjednosti saobraćaja na putevima vrši homologaciju vozila.</w:t>
      </w:r>
    </w:p>
    <w:p w14:paraId="6218FDDE" w14:textId="459828BE"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Pregled sadržaja PBDE u uvezenim automobilima prikazan je u Tabeli </w:t>
      </w:r>
      <w:r w:rsidR="00D95B9C" w:rsidRPr="00C86111">
        <w:rPr>
          <w:rFonts w:asciiTheme="minorHAnsi" w:hAnsiTheme="minorHAnsi" w:cstheme="minorHAnsi"/>
          <w:color w:val="auto"/>
          <w:szCs w:val="24"/>
        </w:rPr>
        <w:t>55</w:t>
      </w:r>
      <w:r w:rsidRPr="00C86111">
        <w:rPr>
          <w:rFonts w:asciiTheme="minorHAnsi" w:hAnsiTheme="minorHAnsi" w:cstheme="minorHAnsi"/>
          <w:color w:val="auto"/>
          <w:szCs w:val="24"/>
        </w:rPr>
        <w:t xml:space="preserve"> i </w:t>
      </w:r>
      <w:r w:rsidR="00D95B9C" w:rsidRPr="00C86111">
        <w:rPr>
          <w:rFonts w:asciiTheme="minorHAnsi" w:hAnsiTheme="minorHAnsi" w:cstheme="minorHAnsi"/>
          <w:color w:val="auto"/>
          <w:szCs w:val="24"/>
        </w:rPr>
        <w:t>Grafiku</w:t>
      </w:r>
      <w:r w:rsidRPr="00C86111">
        <w:rPr>
          <w:rFonts w:asciiTheme="minorHAnsi" w:hAnsiTheme="minorHAnsi" w:cstheme="minorHAnsi"/>
          <w:color w:val="auto"/>
          <w:szCs w:val="24"/>
        </w:rPr>
        <w:t>1</w:t>
      </w:r>
      <w:r w:rsidR="00547278">
        <w:rPr>
          <w:rFonts w:asciiTheme="minorHAnsi" w:hAnsiTheme="minorHAnsi" w:cstheme="minorHAnsi"/>
          <w:color w:val="auto"/>
          <w:szCs w:val="24"/>
        </w:rPr>
        <w:t>5</w:t>
      </w:r>
      <w:r w:rsidRPr="00C86111">
        <w:rPr>
          <w:rFonts w:asciiTheme="minorHAnsi" w:hAnsiTheme="minorHAnsi" w:cstheme="minorHAnsi"/>
          <w:color w:val="auto"/>
          <w:szCs w:val="24"/>
        </w:rPr>
        <w:t>.</w:t>
      </w:r>
    </w:p>
    <w:p w14:paraId="73D011C0" w14:textId="77777777" w:rsidR="00C23D65" w:rsidRPr="00C86111" w:rsidRDefault="00C23D65" w:rsidP="00C23D65">
      <w:pPr>
        <w:jc w:val="both"/>
        <w:rPr>
          <w:rFonts w:asciiTheme="minorHAnsi" w:hAnsiTheme="minorHAnsi" w:cstheme="minorHAnsi"/>
          <w:color w:val="auto"/>
          <w:szCs w:val="24"/>
        </w:rPr>
      </w:pPr>
    </w:p>
    <w:p w14:paraId="1045E65E" w14:textId="5A27E201" w:rsidR="00C23D65" w:rsidRPr="00C86111" w:rsidRDefault="00C23D65" w:rsidP="00C23D65">
      <w:pPr>
        <w:pStyle w:val="Text"/>
        <w:rPr>
          <w:rFonts w:asciiTheme="minorHAnsi" w:hAnsiTheme="minorHAnsi" w:cstheme="minorHAnsi"/>
          <w:sz w:val="24"/>
          <w:szCs w:val="24"/>
        </w:rPr>
      </w:pPr>
      <w:r w:rsidRPr="00C86111">
        <w:rPr>
          <w:rFonts w:asciiTheme="minorHAnsi" w:hAnsiTheme="minorHAnsi" w:cstheme="minorHAnsi"/>
          <w:b/>
          <w:bCs/>
          <w:sz w:val="24"/>
          <w:szCs w:val="24"/>
        </w:rPr>
        <w:t xml:space="preserve">Tabela </w:t>
      </w:r>
      <w:r w:rsidR="00D95B9C" w:rsidRPr="00C86111">
        <w:rPr>
          <w:rFonts w:asciiTheme="minorHAnsi" w:hAnsiTheme="minorHAnsi" w:cstheme="minorHAnsi"/>
          <w:b/>
          <w:bCs/>
          <w:sz w:val="24"/>
          <w:szCs w:val="24"/>
        </w:rPr>
        <w:t>55</w:t>
      </w:r>
      <w:r w:rsidRPr="00C86111">
        <w:rPr>
          <w:rFonts w:asciiTheme="minorHAnsi" w:hAnsiTheme="minorHAnsi" w:cstheme="minorHAnsi"/>
          <w:b/>
          <w:bCs/>
          <w:sz w:val="24"/>
          <w:szCs w:val="24"/>
        </w:rPr>
        <w:t xml:space="preserve">. </w:t>
      </w:r>
      <w:r w:rsidRPr="00C86111">
        <w:rPr>
          <w:rFonts w:asciiTheme="minorHAnsi" w:hAnsiTheme="minorHAnsi" w:cstheme="minorHAnsi"/>
          <w:sz w:val="24"/>
          <w:szCs w:val="24"/>
        </w:rPr>
        <w:t>Pregled sadržaja PBDE u uvezenim putničkim vozilima u periodu 2017–2023</w:t>
      </w:r>
    </w:p>
    <w:tbl>
      <w:tblPr>
        <w:tblStyle w:val="GridTable5Dark-Accent6"/>
        <w:tblW w:w="9360" w:type="dxa"/>
        <w:tblLayout w:type="fixed"/>
        <w:tblLook w:val="04A0" w:firstRow="1" w:lastRow="0" w:firstColumn="1" w:lastColumn="0" w:noHBand="0" w:noVBand="1"/>
      </w:tblPr>
      <w:tblGrid>
        <w:gridCol w:w="2003"/>
        <w:gridCol w:w="823"/>
        <w:gridCol w:w="1089"/>
        <w:gridCol w:w="1089"/>
        <w:gridCol w:w="1089"/>
        <w:gridCol w:w="1089"/>
        <w:gridCol w:w="1089"/>
        <w:gridCol w:w="1089"/>
      </w:tblGrid>
      <w:tr w:rsidR="00C23D65" w:rsidRPr="00C86111" w14:paraId="7C87CEA6" w14:textId="77777777" w:rsidTr="00C23D6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03" w:type="dxa"/>
            <w:tcBorders>
              <w:bottom w:val="single" w:sz="4" w:space="0" w:color="FFFFFF" w:themeColor="background1"/>
            </w:tcBorders>
            <w:hideMark/>
          </w:tcPr>
          <w:p w14:paraId="64A3621D" w14:textId="77777777" w:rsidR="00C23D65" w:rsidRPr="00C86111" w:rsidRDefault="00C23D65">
            <w:pPr>
              <w:pStyle w:val="Text"/>
              <w:rPr>
                <w:rFonts w:asciiTheme="minorHAnsi" w:hAnsiTheme="minorHAnsi" w:cstheme="minorHAnsi"/>
                <w:sz w:val="20"/>
                <w:szCs w:val="20"/>
              </w:rPr>
            </w:pPr>
            <w:r w:rsidRPr="00C86111">
              <w:rPr>
                <w:rFonts w:asciiTheme="minorHAnsi" w:hAnsiTheme="minorHAnsi" w:cstheme="minorHAnsi"/>
                <w:sz w:val="20"/>
                <w:szCs w:val="20"/>
              </w:rPr>
              <w:t>Godina</w:t>
            </w:r>
          </w:p>
        </w:tc>
        <w:tc>
          <w:tcPr>
            <w:tcW w:w="823" w:type="dxa"/>
            <w:tcBorders>
              <w:bottom w:val="single" w:sz="4" w:space="0" w:color="FFFFFF" w:themeColor="background1"/>
            </w:tcBorders>
            <w:hideMark/>
          </w:tcPr>
          <w:p w14:paraId="6AF7D4B0"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2017</w:t>
            </w:r>
          </w:p>
        </w:tc>
        <w:tc>
          <w:tcPr>
            <w:tcW w:w="1089" w:type="dxa"/>
            <w:tcBorders>
              <w:bottom w:val="single" w:sz="4" w:space="0" w:color="FFFFFF" w:themeColor="background1"/>
            </w:tcBorders>
            <w:hideMark/>
          </w:tcPr>
          <w:p w14:paraId="40A76231"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2018</w:t>
            </w:r>
          </w:p>
        </w:tc>
        <w:tc>
          <w:tcPr>
            <w:tcW w:w="1089" w:type="dxa"/>
            <w:tcBorders>
              <w:bottom w:val="single" w:sz="4" w:space="0" w:color="FFFFFF" w:themeColor="background1"/>
            </w:tcBorders>
            <w:hideMark/>
          </w:tcPr>
          <w:p w14:paraId="706ECE2F"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2019</w:t>
            </w:r>
          </w:p>
        </w:tc>
        <w:tc>
          <w:tcPr>
            <w:tcW w:w="1089" w:type="dxa"/>
            <w:tcBorders>
              <w:bottom w:val="single" w:sz="4" w:space="0" w:color="FFFFFF" w:themeColor="background1"/>
            </w:tcBorders>
            <w:hideMark/>
          </w:tcPr>
          <w:p w14:paraId="65E8DFDA"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2020</w:t>
            </w:r>
          </w:p>
        </w:tc>
        <w:tc>
          <w:tcPr>
            <w:tcW w:w="1089" w:type="dxa"/>
            <w:tcBorders>
              <w:bottom w:val="single" w:sz="4" w:space="0" w:color="FFFFFF" w:themeColor="background1"/>
            </w:tcBorders>
            <w:hideMark/>
          </w:tcPr>
          <w:p w14:paraId="31E094EC"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2021</w:t>
            </w:r>
          </w:p>
        </w:tc>
        <w:tc>
          <w:tcPr>
            <w:tcW w:w="1089" w:type="dxa"/>
            <w:tcBorders>
              <w:bottom w:val="single" w:sz="4" w:space="0" w:color="FFFFFF" w:themeColor="background1"/>
            </w:tcBorders>
            <w:hideMark/>
          </w:tcPr>
          <w:p w14:paraId="0FBDFCB3"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2022</w:t>
            </w:r>
          </w:p>
        </w:tc>
        <w:tc>
          <w:tcPr>
            <w:tcW w:w="1089" w:type="dxa"/>
            <w:tcBorders>
              <w:bottom w:val="single" w:sz="4" w:space="0" w:color="FFFFFF" w:themeColor="background1"/>
            </w:tcBorders>
            <w:hideMark/>
          </w:tcPr>
          <w:p w14:paraId="06942623" w14:textId="77777777" w:rsidR="00C23D65" w:rsidRPr="00C86111" w:rsidRDefault="00C23D65">
            <w:pPr>
              <w:pStyle w:val="T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2023</w:t>
            </w:r>
          </w:p>
        </w:tc>
      </w:tr>
      <w:tr w:rsidR="00C23D65" w:rsidRPr="00C86111" w14:paraId="7F4215F6" w14:textId="77777777" w:rsidTr="00C23D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03" w:type="dxa"/>
            <w:tcBorders>
              <w:top w:val="single" w:sz="4" w:space="0" w:color="FFFFFF" w:themeColor="background1"/>
              <w:bottom w:val="single" w:sz="4" w:space="0" w:color="FFFFFF" w:themeColor="background1"/>
              <w:right w:val="single" w:sz="4" w:space="0" w:color="FFFFFF" w:themeColor="background1"/>
            </w:tcBorders>
            <w:hideMark/>
          </w:tcPr>
          <w:p w14:paraId="010FB084" w14:textId="77777777" w:rsidR="00C23D65" w:rsidRPr="00C86111" w:rsidRDefault="00C23D65">
            <w:pPr>
              <w:pStyle w:val="Text"/>
              <w:rPr>
                <w:rFonts w:asciiTheme="minorHAnsi" w:hAnsiTheme="minorHAnsi" w:cstheme="minorHAnsi"/>
                <w:sz w:val="20"/>
                <w:szCs w:val="20"/>
              </w:rPr>
            </w:pPr>
            <w:r w:rsidRPr="00C86111">
              <w:rPr>
                <w:rFonts w:asciiTheme="minorHAnsi" w:hAnsiTheme="minorHAnsi" w:cstheme="minorHAnsi"/>
                <w:sz w:val="20"/>
                <w:szCs w:val="20"/>
              </w:rPr>
              <w:t>Sadržaj PBDE (kg)</w:t>
            </w:r>
          </w:p>
        </w:tc>
        <w:tc>
          <w:tcPr>
            <w:tcW w:w="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1F37552"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748.3</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3E89B91"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724.56</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A4C147"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362.96</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4976BBB"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247.78</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00C9B7B"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264.72</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EB5A084"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317.44</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8DBB1D5" w14:textId="77777777" w:rsidR="00C23D65" w:rsidRPr="00C86111" w:rsidRDefault="00C23D65">
            <w:pPr>
              <w:pStyle w:val="T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400.5</w:t>
            </w:r>
          </w:p>
        </w:tc>
      </w:tr>
      <w:tr w:rsidR="00C23D65" w:rsidRPr="00C86111" w14:paraId="65CED3D4" w14:textId="77777777" w:rsidTr="00C23D65">
        <w:trPr>
          <w:trHeight w:val="20"/>
        </w:trPr>
        <w:tc>
          <w:tcPr>
            <w:cnfStyle w:val="001000000000" w:firstRow="0" w:lastRow="0" w:firstColumn="1" w:lastColumn="0" w:oddVBand="0" w:evenVBand="0" w:oddHBand="0" w:evenHBand="0" w:firstRowFirstColumn="0" w:firstRowLastColumn="0" w:lastRowFirstColumn="0" w:lastRowLastColumn="0"/>
            <w:tcW w:w="2003" w:type="dxa"/>
            <w:tcBorders>
              <w:top w:val="single" w:sz="4" w:space="0" w:color="FFFFFF" w:themeColor="background1"/>
              <w:right w:val="single" w:sz="4" w:space="0" w:color="FFFFFF" w:themeColor="background1"/>
            </w:tcBorders>
            <w:hideMark/>
          </w:tcPr>
          <w:p w14:paraId="2551798D" w14:textId="77777777" w:rsidR="00C23D65" w:rsidRPr="00C86111" w:rsidRDefault="00C23D65">
            <w:pPr>
              <w:pStyle w:val="Text"/>
              <w:rPr>
                <w:rFonts w:asciiTheme="minorHAnsi" w:hAnsiTheme="minorHAnsi" w:cstheme="minorHAnsi"/>
                <w:sz w:val="20"/>
                <w:szCs w:val="20"/>
              </w:rPr>
            </w:pPr>
            <w:r w:rsidRPr="00C86111">
              <w:rPr>
                <w:rFonts w:asciiTheme="minorHAnsi" w:hAnsiTheme="minorHAnsi" w:cstheme="minorHAnsi"/>
                <w:sz w:val="20"/>
                <w:szCs w:val="20"/>
              </w:rPr>
              <w:t>Sadržaj PBDE  (t)</w:t>
            </w:r>
          </w:p>
        </w:tc>
        <w:tc>
          <w:tcPr>
            <w:tcW w:w="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1B0E160"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0.75</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9C300D5"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0.72</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903C6DF"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0.36</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0F1042B"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0.25</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939D76F"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0.26472</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B0ABA3A"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0.32</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5973B68" w14:textId="77777777" w:rsidR="00C23D65" w:rsidRPr="00C86111" w:rsidRDefault="00C23D65">
            <w:pPr>
              <w:pStyle w:val="Text"/>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0.40</w:t>
            </w:r>
          </w:p>
        </w:tc>
      </w:tr>
    </w:tbl>
    <w:p w14:paraId="4AA15E0E" w14:textId="77777777" w:rsidR="00C23D65" w:rsidRPr="00C86111" w:rsidRDefault="00C23D65" w:rsidP="00C23D65">
      <w:pPr>
        <w:pStyle w:val="Text"/>
        <w:widowControl w:val="0"/>
        <w:rPr>
          <w:rFonts w:asciiTheme="minorHAnsi" w:hAnsiTheme="minorHAnsi" w:cstheme="minorHAnsi"/>
        </w:rPr>
      </w:pPr>
    </w:p>
    <w:p w14:paraId="2BA22A76" w14:textId="4C04277D" w:rsidR="00C23D65" w:rsidRPr="00C86111" w:rsidRDefault="00C23D65" w:rsidP="00C23D65">
      <w:pPr>
        <w:pStyle w:val="Text"/>
        <w:spacing w:after="0"/>
        <w:jc w:val="center"/>
        <w:rPr>
          <w:rFonts w:asciiTheme="minorHAnsi" w:hAnsiTheme="minorHAnsi" w:cstheme="minorHAnsi"/>
          <w:b/>
          <w:bCs/>
          <w:sz w:val="24"/>
          <w:szCs w:val="24"/>
          <w:lang w:val="it-IT"/>
        </w:rPr>
      </w:pPr>
      <w:r w:rsidRPr="00C86111">
        <w:rPr>
          <w:rFonts w:asciiTheme="minorHAnsi" w:hAnsiTheme="minorHAnsi" w:cstheme="minorHAnsi"/>
          <w:noProof/>
          <w:sz w:val="24"/>
          <w:szCs w:val="24"/>
          <w14:textOutline w14:w="0" w14:cap="rnd" w14:cmpd="sng" w14:algn="ctr">
            <w14:noFill/>
            <w14:prstDash w14:val="solid"/>
            <w14:bevel/>
          </w14:textOutline>
        </w:rPr>
        <w:drawing>
          <wp:inline distT="0" distB="0" distL="0" distR="0" wp14:anchorId="041293DC" wp14:editId="6304D8F5">
            <wp:extent cx="4587240" cy="1927860"/>
            <wp:effectExtent l="0" t="0" r="3810" b="15240"/>
            <wp:docPr id="1490383322" name="Chart 1490383322">
              <a:extLst xmlns:a="http://schemas.openxmlformats.org/drawingml/2006/main">
                <a:ext uri="{FF2B5EF4-FFF2-40B4-BE49-F238E27FC236}">
                  <a16:creationId xmlns:a16="http://schemas.microsoft.com/office/drawing/2014/main" id="{2DCE68D3-DE65-9BC4-EB1B-8B11198C8C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743AF83" w14:textId="6B709812" w:rsidR="00C23D65" w:rsidRPr="00C86111" w:rsidRDefault="00D95B9C" w:rsidP="00C23D65">
      <w:pPr>
        <w:pStyle w:val="Text"/>
        <w:jc w:val="center"/>
        <w:rPr>
          <w:rFonts w:asciiTheme="minorHAnsi" w:hAnsiTheme="minorHAnsi" w:cstheme="minorHAnsi"/>
          <w:sz w:val="24"/>
          <w:szCs w:val="24"/>
        </w:rPr>
      </w:pPr>
      <w:r w:rsidRPr="00C86111">
        <w:rPr>
          <w:rFonts w:asciiTheme="minorHAnsi" w:hAnsiTheme="minorHAnsi" w:cstheme="minorHAnsi"/>
          <w:b/>
          <w:bCs/>
          <w:sz w:val="24"/>
          <w:szCs w:val="24"/>
        </w:rPr>
        <w:t>Grafik</w:t>
      </w:r>
      <w:r w:rsidR="00C23D65" w:rsidRPr="00C86111">
        <w:rPr>
          <w:rFonts w:asciiTheme="minorHAnsi" w:hAnsiTheme="minorHAnsi" w:cstheme="minorHAnsi"/>
          <w:b/>
          <w:bCs/>
          <w:sz w:val="24"/>
          <w:szCs w:val="24"/>
        </w:rPr>
        <w:t xml:space="preserve"> 1</w:t>
      </w:r>
      <w:r w:rsidR="00547278">
        <w:rPr>
          <w:rFonts w:asciiTheme="minorHAnsi" w:hAnsiTheme="minorHAnsi" w:cstheme="minorHAnsi"/>
          <w:b/>
          <w:bCs/>
          <w:sz w:val="24"/>
          <w:szCs w:val="24"/>
        </w:rPr>
        <w:t>5</w:t>
      </w:r>
      <w:r w:rsidR="00C23D65" w:rsidRPr="00C86111">
        <w:rPr>
          <w:rFonts w:asciiTheme="minorHAnsi" w:hAnsiTheme="minorHAnsi" w:cstheme="minorHAnsi"/>
          <w:b/>
          <w:bCs/>
          <w:sz w:val="24"/>
          <w:szCs w:val="24"/>
        </w:rPr>
        <w:t xml:space="preserve">. </w:t>
      </w:r>
      <w:r w:rsidR="00C23D65" w:rsidRPr="00C86111">
        <w:rPr>
          <w:rFonts w:asciiTheme="minorHAnsi" w:hAnsiTheme="minorHAnsi" w:cstheme="minorHAnsi"/>
          <w:sz w:val="24"/>
          <w:szCs w:val="24"/>
        </w:rPr>
        <w:t>Grafički prikaz sadržaja PBDE u uvezenim putničkim vozilima u periodu 2017–2023.</w:t>
      </w:r>
    </w:p>
    <w:p w14:paraId="7EE92FAC" w14:textId="24397731" w:rsidR="00C23D65" w:rsidRPr="00C86111" w:rsidRDefault="00C23D65" w:rsidP="00C23D65">
      <w:pPr>
        <w:pStyle w:val="Text"/>
        <w:tabs>
          <w:tab w:val="left" w:pos="3510"/>
        </w:tabs>
        <w:spacing w:after="60"/>
        <w:jc w:val="both"/>
        <w:rPr>
          <w:rFonts w:asciiTheme="minorHAnsi" w:hAnsiTheme="minorHAnsi" w:cstheme="minorHAnsi"/>
          <w:sz w:val="24"/>
          <w:szCs w:val="24"/>
        </w:rPr>
      </w:pPr>
      <w:r w:rsidRPr="00C86111">
        <w:rPr>
          <w:rFonts w:asciiTheme="minorHAnsi" w:hAnsiTheme="minorHAnsi" w:cstheme="minorHAnsi"/>
          <w:sz w:val="24"/>
          <w:szCs w:val="24"/>
        </w:rPr>
        <w:t xml:space="preserve">Pregled sadržaja PBDE u uvezenim autobusima dat je u Tabeli </w:t>
      </w:r>
      <w:r w:rsidR="00D95B9C" w:rsidRPr="00C86111">
        <w:rPr>
          <w:rFonts w:asciiTheme="minorHAnsi" w:hAnsiTheme="minorHAnsi" w:cstheme="minorHAnsi"/>
          <w:sz w:val="24"/>
          <w:szCs w:val="24"/>
        </w:rPr>
        <w:t>56</w:t>
      </w:r>
      <w:r w:rsidRPr="00C86111">
        <w:rPr>
          <w:rFonts w:asciiTheme="minorHAnsi" w:hAnsiTheme="minorHAnsi" w:cstheme="minorHAnsi"/>
          <w:sz w:val="24"/>
          <w:szCs w:val="24"/>
        </w:rPr>
        <w:t xml:space="preserve"> i na </w:t>
      </w:r>
      <w:r w:rsidR="00D95B9C" w:rsidRPr="00C86111">
        <w:rPr>
          <w:rFonts w:asciiTheme="minorHAnsi" w:hAnsiTheme="minorHAnsi" w:cstheme="minorHAnsi"/>
          <w:sz w:val="24"/>
          <w:szCs w:val="24"/>
        </w:rPr>
        <w:t>Grafiku</w:t>
      </w:r>
      <w:r w:rsidRPr="00C86111">
        <w:rPr>
          <w:rFonts w:asciiTheme="minorHAnsi" w:hAnsiTheme="minorHAnsi" w:cstheme="minorHAnsi"/>
          <w:sz w:val="24"/>
          <w:szCs w:val="24"/>
        </w:rPr>
        <w:t xml:space="preserve"> 1</w:t>
      </w:r>
      <w:r w:rsidR="00547278">
        <w:rPr>
          <w:rFonts w:asciiTheme="minorHAnsi" w:hAnsiTheme="minorHAnsi" w:cstheme="minorHAnsi"/>
          <w:sz w:val="24"/>
          <w:szCs w:val="24"/>
        </w:rPr>
        <w:t>6</w:t>
      </w:r>
      <w:r w:rsidRPr="00C86111">
        <w:rPr>
          <w:rFonts w:asciiTheme="minorHAnsi" w:hAnsiTheme="minorHAnsi" w:cstheme="minorHAnsi"/>
          <w:sz w:val="24"/>
          <w:szCs w:val="24"/>
        </w:rPr>
        <w:t>.</w:t>
      </w:r>
    </w:p>
    <w:p w14:paraId="184A3C99" w14:textId="3287B0F9" w:rsidR="00C23D65" w:rsidRPr="00C86111" w:rsidRDefault="00C23D65" w:rsidP="00C23D65">
      <w:pPr>
        <w:pStyle w:val="Text"/>
        <w:tabs>
          <w:tab w:val="left" w:pos="3510"/>
        </w:tabs>
        <w:spacing w:after="60"/>
        <w:jc w:val="both"/>
        <w:rPr>
          <w:rFonts w:asciiTheme="minorHAnsi" w:hAnsiTheme="minorHAnsi" w:cstheme="minorHAnsi"/>
          <w:b/>
          <w:bCs/>
          <w:sz w:val="24"/>
          <w:szCs w:val="24"/>
        </w:rPr>
      </w:pPr>
      <w:r w:rsidRPr="00C86111">
        <w:rPr>
          <w:rFonts w:asciiTheme="minorHAnsi" w:hAnsiTheme="minorHAnsi" w:cstheme="minorHAnsi"/>
          <w:b/>
          <w:bCs/>
          <w:sz w:val="24"/>
          <w:szCs w:val="24"/>
        </w:rPr>
        <w:t xml:space="preserve">Tabela </w:t>
      </w:r>
      <w:r w:rsidR="00D95B9C" w:rsidRPr="00C86111">
        <w:rPr>
          <w:rFonts w:asciiTheme="minorHAnsi" w:hAnsiTheme="minorHAnsi" w:cstheme="minorHAnsi"/>
          <w:b/>
          <w:bCs/>
          <w:sz w:val="24"/>
          <w:szCs w:val="24"/>
        </w:rPr>
        <w:t>56</w:t>
      </w:r>
      <w:r w:rsidRPr="00C86111">
        <w:rPr>
          <w:rFonts w:asciiTheme="minorHAnsi" w:hAnsiTheme="minorHAnsi" w:cstheme="minorHAnsi"/>
          <w:b/>
          <w:bCs/>
          <w:sz w:val="24"/>
          <w:szCs w:val="24"/>
        </w:rPr>
        <w:t xml:space="preserve">. </w:t>
      </w:r>
      <w:r w:rsidRPr="00C86111">
        <w:rPr>
          <w:rFonts w:asciiTheme="minorHAnsi" w:hAnsiTheme="minorHAnsi" w:cstheme="minorHAnsi"/>
          <w:sz w:val="24"/>
          <w:szCs w:val="24"/>
        </w:rPr>
        <w:t>Pregled sadržaja PBDE u uvezenim autobusima u periodu 2017–2023</w:t>
      </w:r>
    </w:p>
    <w:tbl>
      <w:tblPr>
        <w:tblStyle w:val="GridTable5Dark-Accent6"/>
        <w:tblW w:w="9330" w:type="dxa"/>
        <w:tblLayout w:type="fixed"/>
        <w:tblLook w:val="04A0" w:firstRow="1" w:lastRow="0" w:firstColumn="1" w:lastColumn="0" w:noHBand="0" w:noVBand="1"/>
      </w:tblPr>
      <w:tblGrid>
        <w:gridCol w:w="2081"/>
        <w:gridCol w:w="1035"/>
        <w:gridCol w:w="1035"/>
        <w:gridCol w:w="1036"/>
        <w:gridCol w:w="1035"/>
        <w:gridCol w:w="1035"/>
        <w:gridCol w:w="1036"/>
        <w:gridCol w:w="1037"/>
      </w:tblGrid>
      <w:tr w:rsidR="00C23D65" w:rsidRPr="00C86111" w14:paraId="118CD6E3" w14:textId="77777777" w:rsidTr="00C23D6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1" w:type="dxa"/>
            <w:tcBorders>
              <w:bottom w:val="single" w:sz="4" w:space="0" w:color="FFFFFF" w:themeColor="background1"/>
            </w:tcBorders>
          </w:tcPr>
          <w:p w14:paraId="6A07D5BE" w14:textId="77777777" w:rsidR="00C23D65" w:rsidRPr="00C86111" w:rsidRDefault="00C23D65">
            <w:pPr>
              <w:rPr>
                <w:rFonts w:asciiTheme="minorHAnsi" w:hAnsiTheme="minorHAnsi" w:cstheme="minorHAnsi"/>
                <w:b w:val="0"/>
                <w:bCs w:val="0"/>
                <w:sz w:val="20"/>
                <w:szCs w:val="20"/>
              </w:rPr>
            </w:pPr>
          </w:p>
        </w:tc>
        <w:tc>
          <w:tcPr>
            <w:tcW w:w="7249" w:type="dxa"/>
            <w:gridSpan w:val="7"/>
            <w:tcBorders>
              <w:bottom w:val="single" w:sz="4" w:space="0" w:color="FFFFFF" w:themeColor="background1"/>
            </w:tcBorders>
            <w:hideMark/>
          </w:tcPr>
          <w:p w14:paraId="499FC672" w14:textId="77777777" w:rsidR="00C23D65" w:rsidRPr="00C86111" w:rsidRDefault="00C23D65">
            <w:pPr>
              <w:pStyle w:val="Tex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Godina uvoza</w:t>
            </w:r>
          </w:p>
        </w:tc>
      </w:tr>
      <w:tr w:rsidR="00C23D65" w:rsidRPr="00C86111" w14:paraId="66D51101" w14:textId="77777777" w:rsidTr="00C23D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1" w:type="dxa"/>
            <w:tcBorders>
              <w:top w:val="single" w:sz="4" w:space="0" w:color="FFFFFF" w:themeColor="background1"/>
              <w:bottom w:val="single" w:sz="4" w:space="0" w:color="FFFFFF" w:themeColor="background1"/>
              <w:right w:val="single" w:sz="4" w:space="0" w:color="FFFFFF" w:themeColor="background1"/>
            </w:tcBorders>
            <w:hideMark/>
          </w:tcPr>
          <w:p w14:paraId="631C8347" w14:textId="77777777" w:rsidR="00C23D65" w:rsidRPr="00C86111" w:rsidRDefault="00C23D65">
            <w:pPr>
              <w:pStyle w:val="Text"/>
              <w:jc w:val="center"/>
              <w:rPr>
                <w:rFonts w:asciiTheme="minorHAnsi" w:hAnsiTheme="minorHAnsi" w:cstheme="minorHAnsi"/>
                <w:sz w:val="20"/>
                <w:szCs w:val="20"/>
              </w:rPr>
            </w:pPr>
            <w:r w:rsidRPr="00C86111">
              <w:rPr>
                <w:rFonts w:asciiTheme="minorHAnsi" w:hAnsiTheme="minorHAnsi" w:cstheme="minorHAnsi"/>
                <w:sz w:val="20"/>
                <w:szCs w:val="20"/>
              </w:rPr>
              <w:t>Godina proizvodnje</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7E51934"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2017</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B04B4A3"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2018</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E929566"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2019</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87A4F21"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2020</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73AA677"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2021</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010F846"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2022</w:t>
            </w:r>
          </w:p>
        </w:tc>
        <w:tc>
          <w:tcPr>
            <w:tcW w:w="10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611757E"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2023</w:t>
            </w:r>
          </w:p>
        </w:tc>
      </w:tr>
      <w:tr w:rsidR="00C23D65" w:rsidRPr="00C86111" w14:paraId="000648A7" w14:textId="77777777" w:rsidTr="00C23D65">
        <w:trPr>
          <w:trHeight w:val="20"/>
        </w:trPr>
        <w:tc>
          <w:tcPr>
            <w:cnfStyle w:val="001000000000" w:firstRow="0" w:lastRow="0" w:firstColumn="1" w:lastColumn="0" w:oddVBand="0" w:evenVBand="0" w:oddHBand="0" w:evenHBand="0" w:firstRowFirstColumn="0" w:firstRowLastColumn="0" w:lastRowFirstColumn="0" w:lastRowLastColumn="0"/>
            <w:tcW w:w="2081" w:type="dxa"/>
            <w:tcBorders>
              <w:top w:val="single" w:sz="4" w:space="0" w:color="FFFFFF" w:themeColor="background1"/>
              <w:bottom w:val="single" w:sz="4" w:space="0" w:color="FFFFFF" w:themeColor="background1"/>
              <w:right w:val="single" w:sz="4" w:space="0" w:color="FFFFFF" w:themeColor="background1"/>
            </w:tcBorders>
            <w:hideMark/>
          </w:tcPr>
          <w:p w14:paraId="16FA2FFA" w14:textId="77777777" w:rsidR="00C23D65" w:rsidRPr="00C86111" w:rsidRDefault="00C23D65">
            <w:pPr>
              <w:pStyle w:val="Text"/>
              <w:jc w:val="center"/>
              <w:rPr>
                <w:rFonts w:asciiTheme="minorHAnsi" w:hAnsiTheme="minorHAnsi" w:cstheme="minorHAnsi"/>
                <w:sz w:val="20"/>
                <w:szCs w:val="20"/>
              </w:rPr>
            </w:pPr>
            <w:r w:rsidRPr="00C86111">
              <w:rPr>
                <w:rFonts w:asciiTheme="minorHAnsi" w:hAnsiTheme="minorHAnsi" w:cstheme="minorHAnsi"/>
                <w:sz w:val="20"/>
                <w:szCs w:val="20"/>
              </w:rPr>
              <w:t>1970-2004</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70F50C8"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51</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19ABCA8"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62</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844551E"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08242CE"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049A9AF"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4FF7809"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w:t>
            </w:r>
          </w:p>
        </w:tc>
        <w:tc>
          <w:tcPr>
            <w:tcW w:w="10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7ACECD4"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w:t>
            </w:r>
          </w:p>
        </w:tc>
      </w:tr>
      <w:tr w:rsidR="00C23D65" w:rsidRPr="00C86111" w14:paraId="1A696366" w14:textId="77777777" w:rsidTr="00C23D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1" w:type="dxa"/>
            <w:tcBorders>
              <w:top w:val="single" w:sz="4" w:space="0" w:color="FFFFFF" w:themeColor="background1"/>
              <w:bottom w:val="single" w:sz="4" w:space="0" w:color="FFFFFF" w:themeColor="background1"/>
              <w:right w:val="single" w:sz="4" w:space="0" w:color="FFFFFF" w:themeColor="background1"/>
            </w:tcBorders>
            <w:hideMark/>
          </w:tcPr>
          <w:p w14:paraId="0C1DD4A9" w14:textId="77777777" w:rsidR="00C23D65" w:rsidRPr="00C86111" w:rsidRDefault="00C23D65">
            <w:pPr>
              <w:pStyle w:val="Text"/>
              <w:jc w:val="center"/>
              <w:rPr>
                <w:rFonts w:asciiTheme="minorHAnsi" w:hAnsiTheme="minorHAnsi" w:cstheme="minorHAnsi"/>
                <w:sz w:val="20"/>
                <w:szCs w:val="20"/>
              </w:rPr>
            </w:pPr>
            <w:r w:rsidRPr="00C86111">
              <w:rPr>
                <w:rFonts w:asciiTheme="minorHAnsi" w:hAnsiTheme="minorHAnsi" w:cstheme="minorHAnsi"/>
                <w:sz w:val="20"/>
                <w:szCs w:val="20"/>
              </w:rPr>
              <w:t>2005-2017</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F740E64"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30</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2590643"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26</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C520A63"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60</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2654DD5"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30</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367C45C"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26</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EE4F169"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12</w:t>
            </w:r>
          </w:p>
        </w:tc>
        <w:tc>
          <w:tcPr>
            <w:tcW w:w="10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00E29E0"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w:t>
            </w:r>
          </w:p>
        </w:tc>
      </w:tr>
      <w:tr w:rsidR="00C23D65" w:rsidRPr="00C86111" w14:paraId="582D41B7" w14:textId="77777777" w:rsidTr="00C23D65">
        <w:trPr>
          <w:trHeight w:val="20"/>
        </w:trPr>
        <w:tc>
          <w:tcPr>
            <w:cnfStyle w:val="001000000000" w:firstRow="0" w:lastRow="0" w:firstColumn="1" w:lastColumn="0" w:oddVBand="0" w:evenVBand="0" w:oddHBand="0" w:evenHBand="0" w:firstRowFirstColumn="0" w:firstRowLastColumn="0" w:lastRowFirstColumn="0" w:lastRowLastColumn="0"/>
            <w:tcW w:w="2081" w:type="dxa"/>
            <w:tcBorders>
              <w:top w:val="single" w:sz="4" w:space="0" w:color="FFFFFF" w:themeColor="background1"/>
              <w:bottom w:val="single" w:sz="4" w:space="0" w:color="FFFFFF" w:themeColor="background1"/>
              <w:right w:val="single" w:sz="4" w:space="0" w:color="FFFFFF" w:themeColor="background1"/>
            </w:tcBorders>
            <w:hideMark/>
          </w:tcPr>
          <w:p w14:paraId="5816FE8B" w14:textId="77777777" w:rsidR="00C23D65" w:rsidRPr="00C86111" w:rsidRDefault="00C23D65">
            <w:pPr>
              <w:pStyle w:val="Text"/>
              <w:jc w:val="center"/>
              <w:rPr>
                <w:rFonts w:asciiTheme="minorHAnsi" w:hAnsiTheme="minorHAnsi" w:cstheme="minorHAnsi"/>
                <w:sz w:val="20"/>
                <w:szCs w:val="20"/>
              </w:rPr>
            </w:pPr>
            <w:r w:rsidRPr="00C86111">
              <w:rPr>
                <w:rFonts w:asciiTheme="minorHAnsi" w:hAnsiTheme="minorHAnsi" w:cstheme="minorHAnsi"/>
                <w:sz w:val="20"/>
                <w:szCs w:val="20"/>
              </w:rPr>
              <w:t>Sadržaj PBDE (g)</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5300712"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4680</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E8BF896"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5480</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ACC4B0F"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1280</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6883FA"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680</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69BB54E"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520</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E8766F8"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240</w:t>
            </w:r>
          </w:p>
        </w:tc>
        <w:tc>
          <w:tcPr>
            <w:tcW w:w="10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B863F0B"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400</w:t>
            </w:r>
          </w:p>
        </w:tc>
      </w:tr>
      <w:tr w:rsidR="00C23D65" w:rsidRPr="00C86111" w14:paraId="4B299D09" w14:textId="77777777" w:rsidTr="00C23D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1" w:type="dxa"/>
            <w:tcBorders>
              <w:top w:val="single" w:sz="4" w:space="0" w:color="FFFFFF" w:themeColor="background1"/>
              <w:right w:val="single" w:sz="4" w:space="0" w:color="FFFFFF" w:themeColor="background1"/>
            </w:tcBorders>
            <w:hideMark/>
          </w:tcPr>
          <w:p w14:paraId="5B3EF693" w14:textId="77777777" w:rsidR="00C23D65" w:rsidRPr="00C86111" w:rsidRDefault="00C23D65">
            <w:pPr>
              <w:pStyle w:val="Text"/>
              <w:jc w:val="center"/>
              <w:rPr>
                <w:rFonts w:asciiTheme="minorHAnsi" w:hAnsiTheme="minorHAnsi" w:cstheme="minorHAnsi"/>
                <w:sz w:val="20"/>
                <w:szCs w:val="20"/>
              </w:rPr>
            </w:pPr>
            <w:r w:rsidRPr="00C86111">
              <w:rPr>
                <w:rFonts w:asciiTheme="minorHAnsi" w:hAnsiTheme="minorHAnsi" w:cstheme="minorHAnsi"/>
                <w:sz w:val="20"/>
                <w:szCs w:val="20"/>
              </w:rPr>
              <w:t>Sadržaj PBDE (kg)</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986513A"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4.68</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0E6E028"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5.48</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4324050"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1.28</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6DA1879"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0.68</w:t>
            </w:r>
          </w:p>
        </w:tc>
        <w:tc>
          <w:tcPr>
            <w:tcW w:w="10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7E9CAE1"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0.52</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F18C2F3"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0.24</w:t>
            </w:r>
          </w:p>
        </w:tc>
        <w:tc>
          <w:tcPr>
            <w:tcW w:w="10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3FBBA5E"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0.4</w:t>
            </w:r>
          </w:p>
        </w:tc>
      </w:tr>
    </w:tbl>
    <w:p w14:paraId="167A49E6" w14:textId="77777777" w:rsidR="00C23D65" w:rsidRPr="00C86111" w:rsidRDefault="00C23D65" w:rsidP="00C23D65">
      <w:pPr>
        <w:pStyle w:val="Text"/>
        <w:widowControl w:val="0"/>
        <w:tabs>
          <w:tab w:val="left" w:pos="3510"/>
        </w:tabs>
        <w:spacing w:after="60"/>
        <w:jc w:val="both"/>
        <w:rPr>
          <w:rFonts w:asciiTheme="minorHAnsi" w:hAnsiTheme="minorHAnsi" w:cstheme="minorHAnsi"/>
          <w:b/>
          <w:bCs/>
          <w:i/>
          <w:iCs/>
        </w:rPr>
      </w:pPr>
    </w:p>
    <w:p w14:paraId="6C71B80C" w14:textId="7C284FF5" w:rsidR="00C23D65" w:rsidRPr="00C86111" w:rsidRDefault="00C23D65" w:rsidP="00C23D65">
      <w:pPr>
        <w:pStyle w:val="Text"/>
        <w:jc w:val="center"/>
        <w:rPr>
          <w:rFonts w:asciiTheme="minorHAnsi" w:hAnsiTheme="minorHAnsi" w:cstheme="minorHAnsi"/>
        </w:rPr>
      </w:pPr>
      <w:r w:rsidRPr="00C86111">
        <w:rPr>
          <w:noProof/>
        </w:rPr>
        <w:drawing>
          <wp:inline distT="0" distB="0" distL="0" distR="0" wp14:anchorId="57BF1E9C" wp14:editId="51531A64">
            <wp:extent cx="4953000" cy="1569720"/>
            <wp:effectExtent l="0" t="0" r="0" b="11430"/>
            <wp:docPr id="1073741850" name="Chart 10737418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F73ED87" w14:textId="144DE8B3" w:rsidR="00C23D65" w:rsidRPr="00C86111" w:rsidRDefault="00D95B9C" w:rsidP="00C23D65">
      <w:pPr>
        <w:pStyle w:val="Text"/>
        <w:tabs>
          <w:tab w:val="left" w:pos="3510"/>
        </w:tabs>
        <w:spacing w:after="60"/>
        <w:jc w:val="center"/>
        <w:rPr>
          <w:rFonts w:asciiTheme="minorHAnsi" w:hAnsiTheme="minorHAnsi" w:cstheme="minorHAnsi"/>
          <w:sz w:val="24"/>
          <w:szCs w:val="24"/>
        </w:rPr>
      </w:pPr>
      <w:r w:rsidRPr="00C86111">
        <w:rPr>
          <w:rFonts w:asciiTheme="minorHAnsi" w:hAnsiTheme="minorHAnsi" w:cstheme="minorHAnsi"/>
          <w:b/>
          <w:bCs/>
          <w:sz w:val="24"/>
          <w:szCs w:val="24"/>
        </w:rPr>
        <w:t>Grafik</w:t>
      </w:r>
      <w:r w:rsidR="00C23D65" w:rsidRPr="00C86111">
        <w:rPr>
          <w:rFonts w:asciiTheme="minorHAnsi" w:hAnsiTheme="minorHAnsi" w:cstheme="minorHAnsi"/>
          <w:b/>
          <w:bCs/>
          <w:sz w:val="24"/>
          <w:szCs w:val="24"/>
        </w:rPr>
        <w:t>a 1</w:t>
      </w:r>
      <w:r w:rsidR="00547278">
        <w:rPr>
          <w:rFonts w:asciiTheme="minorHAnsi" w:hAnsiTheme="minorHAnsi" w:cstheme="minorHAnsi"/>
          <w:b/>
          <w:bCs/>
          <w:sz w:val="24"/>
          <w:szCs w:val="24"/>
        </w:rPr>
        <w:t>6</w:t>
      </w:r>
      <w:r w:rsidR="00C23D65" w:rsidRPr="00C86111">
        <w:rPr>
          <w:rFonts w:asciiTheme="minorHAnsi" w:hAnsiTheme="minorHAnsi" w:cstheme="minorHAnsi"/>
          <w:b/>
          <w:bCs/>
          <w:sz w:val="24"/>
          <w:szCs w:val="24"/>
        </w:rPr>
        <w:t xml:space="preserve">. </w:t>
      </w:r>
      <w:r w:rsidR="00C23D65" w:rsidRPr="00C86111">
        <w:rPr>
          <w:rFonts w:asciiTheme="minorHAnsi" w:hAnsiTheme="minorHAnsi" w:cstheme="minorHAnsi"/>
          <w:sz w:val="24"/>
          <w:szCs w:val="24"/>
        </w:rPr>
        <w:t>Grafički prikaz sadržaja PBDE u uvezenim autobusima</w:t>
      </w:r>
    </w:p>
    <w:p w14:paraId="444C1AA4" w14:textId="77777777" w:rsidR="00C23D65" w:rsidRPr="00C86111" w:rsidRDefault="00C23D65" w:rsidP="00C23D65">
      <w:pPr>
        <w:pStyle w:val="Text"/>
        <w:tabs>
          <w:tab w:val="left" w:pos="3510"/>
        </w:tabs>
        <w:spacing w:after="60"/>
        <w:jc w:val="center"/>
        <w:rPr>
          <w:rFonts w:asciiTheme="minorHAnsi" w:hAnsiTheme="minorHAnsi" w:cstheme="minorHAnsi"/>
          <w:b/>
          <w:bCs/>
          <w:sz w:val="24"/>
          <w:szCs w:val="24"/>
        </w:rPr>
      </w:pPr>
    </w:p>
    <w:p w14:paraId="1D6C5153" w14:textId="15E384C8" w:rsidR="00C23D65" w:rsidRPr="00C86111" w:rsidRDefault="00C23D65" w:rsidP="00C23D65">
      <w:pPr>
        <w:pStyle w:val="Text"/>
        <w:tabs>
          <w:tab w:val="left" w:pos="3510"/>
        </w:tabs>
        <w:spacing w:after="60"/>
        <w:jc w:val="both"/>
        <w:rPr>
          <w:rFonts w:asciiTheme="minorHAnsi" w:hAnsiTheme="minorHAnsi" w:cstheme="minorHAnsi"/>
        </w:rPr>
      </w:pPr>
      <w:r w:rsidRPr="00C86111">
        <w:rPr>
          <w:rFonts w:asciiTheme="minorHAnsi" w:hAnsiTheme="minorHAnsi" w:cstheme="minorHAnsi"/>
          <w:sz w:val="24"/>
          <w:szCs w:val="24"/>
        </w:rPr>
        <w:t xml:space="preserve">Pregled broja uvezenih kamiona, kao i sadržaja PBDE u njima, dat je u Tabeli </w:t>
      </w:r>
      <w:r w:rsidR="00D95B9C" w:rsidRPr="00C86111">
        <w:rPr>
          <w:rFonts w:asciiTheme="minorHAnsi" w:hAnsiTheme="minorHAnsi" w:cstheme="minorHAnsi"/>
          <w:sz w:val="24"/>
          <w:szCs w:val="24"/>
        </w:rPr>
        <w:t>57.</w:t>
      </w:r>
      <w:r w:rsidRPr="00C86111">
        <w:rPr>
          <w:rFonts w:asciiTheme="minorHAnsi" w:hAnsiTheme="minorHAnsi" w:cstheme="minorHAnsi"/>
          <w:sz w:val="24"/>
          <w:szCs w:val="24"/>
        </w:rPr>
        <w:t xml:space="preserve"> </w:t>
      </w:r>
      <w:r w:rsidR="00547278">
        <w:rPr>
          <w:rFonts w:asciiTheme="minorHAnsi" w:hAnsiTheme="minorHAnsi" w:cstheme="minorHAnsi"/>
          <w:sz w:val="24"/>
          <w:szCs w:val="24"/>
        </w:rPr>
        <w:t>i</w:t>
      </w:r>
      <w:r w:rsidRPr="00C86111">
        <w:rPr>
          <w:rFonts w:asciiTheme="minorHAnsi" w:hAnsiTheme="minorHAnsi" w:cstheme="minorHAnsi"/>
          <w:sz w:val="24"/>
          <w:szCs w:val="24"/>
        </w:rPr>
        <w:t xml:space="preserve"> </w:t>
      </w:r>
      <w:r w:rsidR="00547278">
        <w:rPr>
          <w:rFonts w:asciiTheme="minorHAnsi" w:hAnsiTheme="minorHAnsi" w:cstheme="minorHAnsi"/>
          <w:sz w:val="24"/>
          <w:szCs w:val="24"/>
        </w:rPr>
        <w:t>grafiku</w:t>
      </w:r>
      <w:r w:rsidRPr="00C86111">
        <w:rPr>
          <w:rFonts w:asciiTheme="minorHAnsi" w:hAnsiTheme="minorHAnsi" w:cstheme="minorHAnsi"/>
          <w:sz w:val="24"/>
          <w:szCs w:val="24"/>
        </w:rPr>
        <w:t xml:space="preserve"> 1</w:t>
      </w:r>
      <w:r w:rsidR="00547278">
        <w:rPr>
          <w:rFonts w:asciiTheme="minorHAnsi" w:hAnsiTheme="minorHAnsi" w:cstheme="minorHAnsi"/>
          <w:sz w:val="24"/>
          <w:szCs w:val="24"/>
        </w:rPr>
        <w:t>7</w:t>
      </w:r>
      <w:r w:rsidRPr="00C86111">
        <w:rPr>
          <w:rFonts w:asciiTheme="minorHAnsi" w:hAnsiTheme="minorHAnsi" w:cstheme="minorHAnsi"/>
          <w:sz w:val="24"/>
          <w:szCs w:val="24"/>
        </w:rPr>
        <w:t>.</w:t>
      </w:r>
    </w:p>
    <w:p w14:paraId="5F78AB9A" w14:textId="77777777" w:rsidR="00C23D65" w:rsidRDefault="00C23D65" w:rsidP="00C23D65">
      <w:pPr>
        <w:pStyle w:val="Text"/>
        <w:tabs>
          <w:tab w:val="left" w:pos="3510"/>
        </w:tabs>
        <w:spacing w:after="60"/>
        <w:jc w:val="both"/>
        <w:rPr>
          <w:rFonts w:asciiTheme="minorHAnsi" w:hAnsiTheme="minorHAnsi" w:cstheme="minorHAnsi"/>
        </w:rPr>
      </w:pPr>
    </w:p>
    <w:p w14:paraId="4A256397" w14:textId="77777777" w:rsidR="00F57E42" w:rsidRDefault="00F57E42" w:rsidP="00C23D65">
      <w:pPr>
        <w:pStyle w:val="Text"/>
        <w:tabs>
          <w:tab w:val="left" w:pos="3510"/>
        </w:tabs>
        <w:spacing w:after="60"/>
        <w:jc w:val="both"/>
        <w:rPr>
          <w:rFonts w:asciiTheme="minorHAnsi" w:hAnsiTheme="minorHAnsi" w:cstheme="minorHAnsi"/>
        </w:rPr>
      </w:pPr>
    </w:p>
    <w:p w14:paraId="674B45D8" w14:textId="77777777" w:rsidR="00F57E42" w:rsidRDefault="00F57E42" w:rsidP="00C23D65">
      <w:pPr>
        <w:pStyle w:val="Text"/>
        <w:tabs>
          <w:tab w:val="left" w:pos="3510"/>
        </w:tabs>
        <w:spacing w:after="60"/>
        <w:jc w:val="both"/>
        <w:rPr>
          <w:rFonts w:asciiTheme="minorHAnsi" w:hAnsiTheme="minorHAnsi" w:cstheme="minorHAnsi"/>
        </w:rPr>
      </w:pPr>
    </w:p>
    <w:p w14:paraId="5DAE4A82" w14:textId="77777777" w:rsidR="00F57E42" w:rsidRPr="00C86111" w:rsidRDefault="00F57E42" w:rsidP="00C23D65">
      <w:pPr>
        <w:pStyle w:val="Text"/>
        <w:tabs>
          <w:tab w:val="left" w:pos="3510"/>
        </w:tabs>
        <w:spacing w:after="60"/>
        <w:jc w:val="both"/>
        <w:rPr>
          <w:rFonts w:asciiTheme="minorHAnsi" w:hAnsiTheme="minorHAnsi" w:cstheme="minorHAnsi"/>
        </w:rPr>
      </w:pPr>
    </w:p>
    <w:p w14:paraId="335C139B" w14:textId="0705C7F8" w:rsidR="00C23D65" w:rsidRPr="00C86111" w:rsidRDefault="00C23D65" w:rsidP="00C23D65">
      <w:pPr>
        <w:pStyle w:val="Text"/>
        <w:tabs>
          <w:tab w:val="left" w:pos="3510"/>
        </w:tabs>
        <w:spacing w:after="60"/>
        <w:jc w:val="both"/>
        <w:rPr>
          <w:rFonts w:asciiTheme="minorHAnsi" w:hAnsiTheme="minorHAnsi" w:cstheme="minorHAnsi"/>
          <w:b/>
          <w:bCs/>
          <w:i/>
          <w:iCs/>
          <w:sz w:val="24"/>
          <w:szCs w:val="24"/>
        </w:rPr>
      </w:pPr>
      <w:r w:rsidRPr="00C86111">
        <w:rPr>
          <w:rFonts w:asciiTheme="minorHAnsi" w:hAnsiTheme="minorHAnsi" w:cstheme="minorHAnsi"/>
          <w:b/>
          <w:bCs/>
          <w:sz w:val="24"/>
          <w:szCs w:val="24"/>
        </w:rPr>
        <w:lastRenderedPageBreak/>
        <w:t xml:space="preserve">Tabela </w:t>
      </w:r>
      <w:r w:rsidR="00D95B9C" w:rsidRPr="00C86111">
        <w:rPr>
          <w:rFonts w:asciiTheme="minorHAnsi" w:hAnsiTheme="minorHAnsi" w:cstheme="minorHAnsi"/>
          <w:b/>
          <w:bCs/>
          <w:sz w:val="24"/>
          <w:szCs w:val="24"/>
        </w:rPr>
        <w:t>57</w:t>
      </w:r>
      <w:r w:rsidRPr="00C86111">
        <w:rPr>
          <w:rFonts w:asciiTheme="minorHAnsi" w:hAnsiTheme="minorHAnsi" w:cstheme="minorHAnsi"/>
          <w:b/>
          <w:bCs/>
          <w:sz w:val="24"/>
          <w:szCs w:val="24"/>
        </w:rPr>
        <w:t xml:space="preserve">. </w:t>
      </w:r>
      <w:r w:rsidRPr="00C86111">
        <w:rPr>
          <w:rFonts w:asciiTheme="minorHAnsi" w:hAnsiTheme="minorHAnsi" w:cstheme="minorHAnsi"/>
          <w:sz w:val="24"/>
          <w:szCs w:val="24"/>
        </w:rPr>
        <w:t>Tabelarni prikaz broja uvezenih kamiona i sadržaja PBDE u istim</w:t>
      </w:r>
    </w:p>
    <w:tbl>
      <w:tblPr>
        <w:tblStyle w:val="GridTable5Dark-Accent6"/>
        <w:tblW w:w="8315" w:type="dxa"/>
        <w:jc w:val="center"/>
        <w:tblLayout w:type="fixed"/>
        <w:tblLook w:val="04A0" w:firstRow="1" w:lastRow="0" w:firstColumn="1" w:lastColumn="0" w:noHBand="0" w:noVBand="1"/>
      </w:tblPr>
      <w:tblGrid>
        <w:gridCol w:w="1482"/>
        <w:gridCol w:w="977"/>
        <w:gridCol w:w="977"/>
        <w:gridCol w:w="976"/>
        <w:gridCol w:w="976"/>
        <w:gridCol w:w="976"/>
        <w:gridCol w:w="976"/>
        <w:gridCol w:w="975"/>
      </w:tblGrid>
      <w:tr w:rsidR="00C23D65" w:rsidRPr="00C86111" w14:paraId="62C205FA" w14:textId="77777777" w:rsidTr="00D95B9C">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82" w:type="dxa"/>
            <w:tcBorders>
              <w:bottom w:val="single" w:sz="4" w:space="0" w:color="FFFFFF" w:themeColor="background1"/>
            </w:tcBorders>
          </w:tcPr>
          <w:p w14:paraId="6E68E0EC" w14:textId="77777777" w:rsidR="00C23D65" w:rsidRPr="00C86111" w:rsidRDefault="00C23D65">
            <w:pPr>
              <w:rPr>
                <w:rFonts w:asciiTheme="minorHAnsi" w:hAnsiTheme="minorHAnsi" w:cstheme="minorHAnsi"/>
                <w:b w:val="0"/>
                <w:bCs w:val="0"/>
                <w:sz w:val="20"/>
                <w:szCs w:val="20"/>
              </w:rPr>
            </w:pPr>
          </w:p>
        </w:tc>
        <w:tc>
          <w:tcPr>
            <w:tcW w:w="6833" w:type="dxa"/>
            <w:gridSpan w:val="7"/>
            <w:tcBorders>
              <w:bottom w:val="single" w:sz="4" w:space="0" w:color="FFFFFF" w:themeColor="background1"/>
            </w:tcBorders>
            <w:hideMark/>
          </w:tcPr>
          <w:p w14:paraId="48899FBE" w14:textId="77777777" w:rsidR="00C23D65" w:rsidRPr="00C86111" w:rsidRDefault="00C23D65">
            <w:pPr>
              <w:pStyle w:val="Tex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Godina uvoza</w:t>
            </w:r>
          </w:p>
        </w:tc>
      </w:tr>
      <w:tr w:rsidR="00C23D65" w:rsidRPr="00C86111" w14:paraId="7D17E4CC" w14:textId="77777777" w:rsidTr="00D95B9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82" w:type="dxa"/>
            <w:tcBorders>
              <w:top w:val="single" w:sz="4" w:space="0" w:color="FFFFFF" w:themeColor="background1"/>
              <w:bottom w:val="single" w:sz="4" w:space="0" w:color="FFFFFF" w:themeColor="background1"/>
              <w:right w:val="single" w:sz="4" w:space="0" w:color="FFFFFF" w:themeColor="background1"/>
            </w:tcBorders>
            <w:hideMark/>
          </w:tcPr>
          <w:p w14:paraId="486C2C60" w14:textId="77777777" w:rsidR="00C23D65" w:rsidRPr="00C86111" w:rsidRDefault="00C23D65">
            <w:pPr>
              <w:pStyle w:val="Text"/>
              <w:jc w:val="center"/>
              <w:rPr>
                <w:rFonts w:asciiTheme="minorHAnsi" w:hAnsiTheme="minorHAnsi" w:cstheme="minorHAnsi"/>
                <w:sz w:val="20"/>
                <w:szCs w:val="20"/>
              </w:rPr>
            </w:pPr>
            <w:r w:rsidRPr="00C86111">
              <w:rPr>
                <w:rFonts w:asciiTheme="minorHAnsi" w:hAnsiTheme="minorHAnsi" w:cstheme="minorHAnsi"/>
                <w:sz w:val="20"/>
                <w:szCs w:val="20"/>
              </w:rPr>
              <w:t>Godina proizvodnje</w:t>
            </w:r>
          </w:p>
        </w:tc>
        <w:tc>
          <w:tcPr>
            <w:tcW w:w="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8EF2F92"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2017</w:t>
            </w:r>
          </w:p>
        </w:tc>
        <w:tc>
          <w:tcPr>
            <w:tcW w:w="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B00E5EF"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2018</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C81B8E6"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2019</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79F1670"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2020</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2C9A16"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2021</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31FF7D7"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2022</w:t>
            </w:r>
          </w:p>
        </w:tc>
        <w:tc>
          <w:tcPr>
            <w:tcW w:w="9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C73AF45"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2023</w:t>
            </w:r>
          </w:p>
        </w:tc>
      </w:tr>
      <w:tr w:rsidR="00C23D65" w:rsidRPr="00C86111" w14:paraId="78C28850" w14:textId="77777777" w:rsidTr="00D95B9C">
        <w:trPr>
          <w:trHeight w:val="20"/>
          <w:jc w:val="center"/>
        </w:trPr>
        <w:tc>
          <w:tcPr>
            <w:cnfStyle w:val="001000000000" w:firstRow="0" w:lastRow="0" w:firstColumn="1" w:lastColumn="0" w:oddVBand="0" w:evenVBand="0" w:oddHBand="0" w:evenHBand="0" w:firstRowFirstColumn="0" w:firstRowLastColumn="0" w:lastRowFirstColumn="0" w:lastRowLastColumn="0"/>
            <w:tcW w:w="1482" w:type="dxa"/>
            <w:tcBorders>
              <w:top w:val="single" w:sz="4" w:space="0" w:color="FFFFFF" w:themeColor="background1"/>
              <w:bottom w:val="single" w:sz="4" w:space="0" w:color="FFFFFF" w:themeColor="background1"/>
              <w:right w:val="single" w:sz="4" w:space="0" w:color="FFFFFF" w:themeColor="background1"/>
            </w:tcBorders>
            <w:hideMark/>
          </w:tcPr>
          <w:p w14:paraId="18B16B42" w14:textId="77777777" w:rsidR="00C23D65" w:rsidRPr="00C86111" w:rsidRDefault="00C23D65">
            <w:pPr>
              <w:pStyle w:val="Text"/>
              <w:jc w:val="center"/>
              <w:rPr>
                <w:rFonts w:asciiTheme="minorHAnsi" w:hAnsiTheme="minorHAnsi" w:cstheme="minorHAnsi"/>
                <w:sz w:val="20"/>
                <w:szCs w:val="20"/>
              </w:rPr>
            </w:pPr>
            <w:r w:rsidRPr="00C86111">
              <w:rPr>
                <w:rFonts w:asciiTheme="minorHAnsi" w:hAnsiTheme="minorHAnsi" w:cstheme="minorHAnsi"/>
                <w:sz w:val="20"/>
                <w:szCs w:val="20"/>
              </w:rPr>
              <w:t>1970-2004</w:t>
            </w:r>
          </w:p>
        </w:tc>
        <w:tc>
          <w:tcPr>
            <w:tcW w:w="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96C9446"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572</w:t>
            </w:r>
          </w:p>
        </w:tc>
        <w:tc>
          <w:tcPr>
            <w:tcW w:w="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5811E58"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472</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575D270"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5</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416DC91"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C188444"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0</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396D329"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w:t>
            </w:r>
          </w:p>
        </w:tc>
        <w:tc>
          <w:tcPr>
            <w:tcW w:w="9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C2F970C" w14:textId="77777777" w:rsidR="00C23D65" w:rsidRPr="00C86111" w:rsidRDefault="00C23D65">
            <w:pPr>
              <w:pStyle w:val="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w:t>
            </w:r>
          </w:p>
        </w:tc>
      </w:tr>
      <w:tr w:rsidR="00C23D65" w:rsidRPr="00C86111" w14:paraId="3A990C43" w14:textId="77777777" w:rsidTr="00D95B9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82" w:type="dxa"/>
            <w:tcBorders>
              <w:top w:val="single" w:sz="4" w:space="0" w:color="FFFFFF" w:themeColor="background1"/>
              <w:bottom w:val="single" w:sz="4" w:space="0" w:color="FFFFFF" w:themeColor="background1"/>
              <w:right w:val="single" w:sz="4" w:space="0" w:color="FFFFFF" w:themeColor="background1"/>
            </w:tcBorders>
            <w:hideMark/>
          </w:tcPr>
          <w:p w14:paraId="59F46710" w14:textId="77777777" w:rsidR="00C23D65" w:rsidRPr="00C86111" w:rsidRDefault="00C23D65">
            <w:pPr>
              <w:pStyle w:val="Text"/>
              <w:jc w:val="center"/>
              <w:rPr>
                <w:rFonts w:asciiTheme="minorHAnsi" w:hAnsiTheme="minorHAnsi" w:cstheme="minorHAnsi"/>
                <w:sz w:val="20"/>
                <w:szCs w:val="20"/>
              </w:rPr>
            </w:pPr>
            <w:r w:rsidRPr="00C86111">
              <w:rPr>
                <w:rFonts w:asciiTheme="minorHAnsi" w:hAnsiTheme="minorHAnsi" w:cstheme="minorHAnsi"/>
                <w:sz w:val="20"/>
                <w:szCs w:val="20"/>
              </w:rPr>
              <w:t>2005-2017</w:t>
            </w:r>
          </w:p>
        </w:tc>
        <w:tc>
          <w:tcPr>
            <w:tcW w:w="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022B059"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2755</w:t>
            </w:r>
          </w:p>
        </w:tc>
        <w:tc>
          <w:tcPr>
            <w:tcW w:w="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DD41083"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2904</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B8A44AF"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2456</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279D846"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1488</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76AC216"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1624</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5A47280"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1812</w:t>
            </w:r>
          </w:p>
        </w:tc>
        <w:tc>
          <w:tcPr>
            <w:tcW w:w="9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0C96E4B" w14:textId="77777777" w:rsidR="00C23D65" w:rsidRPr="00C86111" w:rsidRDefault="00C23D65">
            <w:pPr>
              <w:pStyle w:val="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2370</w:t>
            </w:r>
          </w:p>
        </w:tc>
      </w:tr>
      <w:tr w:rsidR="00C23D65" w:rsidRPr="00C86111" w14:paraId="1B6E6A33" w14:textId="77777777" w:rsidTr="00D95B9C">
        <w:trPr>
          <w:trHeight w:val="20"/>
          <w:jc w:val="center"/>
        </w:trPr>
        <w:tc>
          <w:tcPr>
            <w:cnfStyle w:val="001000000000" w:firstRow="0" w:lastRow="0" w:firstColumn="1" w:lastColumn="0" w:oddVBand="0" w:evenVBand="0" w:oddHBand="0" w:evenHBand="0" w:firstRowFirstColumn="0" w:firstRowLastColumn="0" w:lastRowFirstColumn="0" w:lastRowLastColumn="0"/>
            <w:tcW w:w="1482" w:type="dxa"/>
            <w:tcBorders>
              <w:top w:val="single" w:sz="4" w:space="0" w:color="FFFFFF" w:themeColor="background1"/>
              <w:bottom w:val="single" w:sz="4" w:space="0" w:color="FFFFFF" w:themeColor="background1"/>
              <w:right w:val="single" w:sz="4" w:space="0" w:color="FFFFFF" w:themeColor="background1"/>
            </w:tcBorders>
            <w:hideMark/>
          </w:tcPr>
          <w:p w14:paraId="1C783817" w14:textId="77777777" w:rsidR="00C23D65" w:rsidRPr="00C86111" w:rsidRDefault="00C23D65" w:rsidP="00C23D65">
            <w:pPr>
              <w:pStyle w:val="Text"/>
              <w:spacing w:after="0"/>
              <w:jc w:val="center"/>
              <w:rPr>
                <w:rFonts w:asciiTheme="minorHAnsi" w:hAnsiTheme="minorHAnsi" w:cstheme="minorHAnsi"/>
                <w:sz w:val="20"/>
                <w:szCs w:val="20"/>
              </w:rPr>
            </w:pPr>
            <w:r w:rsidRPr="00C86111">
              <w:rPr>
                <w:rFonts w:asciiTheme="minorHAnsi" w:hAnsiTheme="minorHAnsi" w:cstheme="minorHAnsi"/>
                <w:sz w:val="20"/>
                <w:szCs w:val="20"/>
              </w:rPr>
              <w:t>PBDE sadržaj (g)</w:t>
            </w:r>
          </w:p>
        </w:tc>
        <w:tc>
          <w:tcPr>
            <w:tcW w:w="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B0C845A" w14:textId="77777777" w:rsidR="00C23D65" w:rsidRPr="00C86111" w:rsidRDefault="00C23D65" w:rsidP="00C23D65">
            <w:pPr>
              <w:pStyle w:val="Text"/>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100860</w:t>
            </w:r>
          </w:p>
        </w:tc>
        <w:tc>
          <w:tcPr>
            <w:tcW w:w="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A3E3ACD" w14:textId="77777777" w:rsidR="00C23D65" w:rsidRPr="00C86111" w:rsidRDefault="00C23D65" w:rsidP="00C23D65">
            <w:pPr>
              <w:pStyle w:val="Text"/>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95840</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062969B" w14:textId="77777777" w:rsidR="00C23D65" w:rsidRPr="00C86111" w:rsidRDefault="00C23D65" w:rsidP="00C23D65">
            <w:pPr>
              <w:pStyle w:val="Text"/>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49520</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1385A66" w14:textId="77777777" w:rsidR="00C23D65" w:rsidRPr="00C86111" w:rsidRDefault="00C23D65" w:rsidP="00C23D65">
            <w:pPr>
              <w:pStyle w:val="Text"/>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29840</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9F0EDB2" w14:textId="77777777" w:rsidR="00C23D65" w:rsidRPr="00C86111" w:rsidRDefault="00C23D65" w:rsidP="00C23D65">
            <w:pPr>
              <w:pStyle w:val="Text"/>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32480</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ADBAA71" w14:textId="77777777" w:rsidR="00C23D65" w:rsidRPr="00C86111" w:rsidRDefault="00C23D65" w:rsidP="00C23D65">
            <w:pPr>
              <w:pStyle w:val="Text"/>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36400</w:t>
            </w:r>
          </w:p>
        </w:tc>
        <w:tc>
          <w:tcPr>
            <w:tcW w:w="9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2696A8" w14:textId="77777777" w:rsidR="00C23D65" w:rsidRPr="00C86111" w:rsidRDefault="00C23D65" w:rsidP="00C23D65">
            <w:pPr>
              <w:pStyle w:val="Text"/>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47560</w:t>
            </w:r>
          </w:p>
        </w:tc>
      </w:tr>
      <w:tr w:rsidR="00C23D65" w:rsidRPr="00C86111" w14:paraId="533B0479" w14:textId="77777777" w:rsidTr="00D95B9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82" w:type="dxa"/>
            <w:tcBorders>
              <w:top w:val="single" w:sz="4" w:space="0" w:color="FFFFFF" w:themeColor="background1"/>
              <w:right w:val="single" w:sz="4" w:space="0" w:color="FFFFFF" w:themeColor="background1"/>
            </w:tcBorders>
            <w:hideMark/>
          </w:tcPr>
          <w:p w14:paraId="75ECDEB8" w14:textId="77777777" w:rsidR="00C23D65" w:rsidRPr="00C86111" w:rsidRDefault="00C23D65" w:rsidP="00C23D65">
            <w:pPr>
              <w:pStyle w:val="Text"/>
              <w:spacing w:after="0"/>
              <w:jc w:val="center"/>
              <w:rPr>
                <w:rFonts w:asciiTheme="minorHAnsi" w:hAnsiTheme="minorHAnsi" w:cstheme="minorHAnsi"/>
                <w:sz w:val="20"/>
                <w:szCs w:val="20"/>
              </w:rPr>
            </w:pPr>
            <w:r w:rsidRPr="00C86111">
              <w:rPr>
                <w:rFonts w:asciiTheme="minorHAnsi" w:hAnsiTheme="minorHAnsi" w:cstheme="minorHAnsi"/>
                <w:sz w:val="20"/>
                <w:szCs w:val="20"/>
              </w:rPr>
              <w:t>PBDE sadržaj (kg)</w:t>
            </w:r>
          </w:p>
        </w:tc>
        <w:tc>
          <w:tcPr>
            <w:tcW w:w="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B2941E4" w14:textId="77777777" w:rsidR="00C23D65" w:rsidRPr="00C86111" w:rsidRDefault="00C23D65" w:rsidP="00C23D65">
            <w:pPr>
              <w:pStyle w:val="Text"/>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100.86</w:t>
            </w:r>
          </w:p>
        </w:tc>
        <w:tc>
          <w:tcPr>
            <w:tcW w:w="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D183D9" w14:textId="77777777" w:rsidR="00C23D65" w:rsidRPr="00C86111" w:rsidRDefault="00C23D65" w:rsidP="00C23D65">
            <w:pPr>
              <w:pStyle w:val="Text"/>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95.84</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8BBE244" w14:textId="77777777" w:rsidR="00C23D65" w:rsidRPr="00C86111" w:rsidRDefault="00C23D65" w:rsidP="00C23D65">
            <w:pPr>
              <w:pStyle w:val="Text"/>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49.52</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AE41AA7" w14:textId="77777777" w:rsidR="00C23D65" w:rsidRPr="00C86111" w:rsidRDefault="00C23D65" w:rsidP="00C23D65">
            <w:pPr>
              <w:pStyle w:val="Text"/>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29.84</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BDF4B3D" w14:textId="77777777" w:rsidR="00C23D65" w:rsidRPr="00C86111" w:rsidRDefault="00C23D65" w:rsidP="00C23D65">
            <w:pPr>
              <w:pStyle w:val="Text"/>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32.48</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0564372" w14:textId="77777777" w:rsidR="00C23D65" w:rsidRPr="00C86111" w:rsidRDefault="00C23D65" w:rsidP="00C23D65">
            <w:pPr>
              <w:pStyle w:val="Text"/>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36.4</w:t>
            </w:r>
          </w:p>
        </w:tc>
        <w:tc>
          <w:tcPr>
            <w:tcW w:w="9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8662F8E" w14:textId="77777777" w:rsidR="00C23D65" w:rsidRPr="00C86111" w:rsidRDefault="00C23D65" w:rsidP="00C23D65">
            <w:pPr>
              <w:pStyle w:val="Text"/>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47.56</w:t>
            </w:r>
          </w:p>
        </w:tc>
      </w:tr>
    </w:tbl>
    <w:p w14:paraId="715E71C6" w14:textId="105D5D36" w:rsidR="00C23D65" w:rsidRPr="00C86111" w:rsidRDefault="00C23D65" w:rsidP="00C23D65">
      <w:pPr>
        <w:pStyle w:val="Text"/>
        <w:jc w:val="center"/>
        <w:rPr>
          <w:rFonts w:asciiTheme="minorHAnsi" w:hAnsiTheme="minorHAnsi" w:cstheme="minorHAnsi"/>
        </w:rPr>
      </w:pPr>
      <w:r w:rsidRPr="00C86111">
        <w:rPr>
          <w:noProof/>
        </w:rPr>
        <w:drawing>
          <wp:inline distT="0" distB="0" distL="0" distR="0" wp14:anchorId="5A062FA5" wp14:editId="57591A93">
            <wp:extent cx="5288280" cy="1272540"/>
            <wp:effectExtent l="0" t="0" r="7620" b="3810"/>
            <wp:docPr id="1073741851" name="Chart 10737418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BAB13B7" w14:textId="76A38251" w:rsidR="00C23D65" w:rsidRPr="00C86111" w:rsidRDefault="00D95B9C" w:rsidP="00C23D65">
      <w:pPr>
        <w:pStyle w:val="Text"/>
        <w:jc w:val="center"/>
        <w:rPr>
          <w:rFonts w:asciiTheme="minorHAnsi" w:hAnsiTheme="minorHAnsi" w:cstheme="minorHAnsi"/>
          <w:sz w:val="24"/>
          <w:szCs w:val="24"/>
        </w:rPr>
      </w:pPr>
      <w:r w:rsidRPr="00C86111">
        <w:rPr>
          <w:rFonts w:asciiTheme="minorHAnsi" w:hAnsiTheme="minorHAnsi" w:cstheme="minorHAnsi"/>
          <w:b/>
          <w:bCs/>
          <w:sz w:val="24"/>
          <w:szCs w:val="24"/>
        </w:rPr>
        <w:t>Grafik</w:t>
      </w:r>
      <w:r w:rsidR="00C23D65" w:rsidRPr="00C86111">
        <w:rPr>
          <w:rFonts w:asciiTheme="minorHAnsi" w:hAnsiTheme="minorHAnsi" w:cstheme="minorHAnsi"/>
          <w:b/>
          <w:bCs/>
          <w:sz w:val="24"/>
          <w:szCs w:val="24"/>
        </w:rPr>
        <w:t xml:space="preserve"> 1</w:t>
      </w:r>
      <w:r w:rsidR="00547278">
        <w:rPr>
          <w:rFonts w:asciiTheme="minorHAnsi" w:hAnsiTheme="minorHAnsi" w:cstheme="minorHAnsi"/>
          <w:b/>
          <w:bCs/>
          <w:sz w:val="24"/>
          <w:szCs w:val="24"/>
        </w:rPr>
        <w:t>7</w:t>
      </w:r>
      <w:r w:rsidR="00C23D65" w:rsidRPr="00C86111">
        <w:rPr>
          <w:rFonts w:asciiTheme="minorHAnsi" w:hAnsiTheme="minorHAnsi" w:cstheme="minorHAnsi"/>
          <w:b/>
          <w:bCs/>
          <w:sz w:val="24"/>
          <w:szCs w:val="24"/>
        </w:rPr>
        <w:t xml:space="preserve">. </w:t>
      </w:r>
      <w:r w:rsidR="00C23D65" w:rsidRPr="00C86111">
        <w:rPr>
          <w:rFonts w:asciiTheme="minorHAnsi" w:hAnsiTheme="minorHAnsi" w:cstheme="minorHAnsi"/>
          <w:sz w:val="24"/>
          <w:szCs w:val="24"/>
        </w:rPr>
        <w:t>Grafički prikaz sadržaja PBDE u uvezenim kamionima</w:t>
      </w:r>
    </w:p>
    <w:p w14:paraId="4D2048D1" w14:textId="691D7DCA" w:rsidR="00C23D65" w:rsidRPr="00C86111" w:rsidRDefault="00C23D65" w:rsidP="00C23D65">
      <w:pPr>
        <w:pStyle w:val="Text"/>
        <w:jc w:val="both"/>
        <w:rPr>
          <w:rFonts w:asciiTheme="minorHAnsi" w:hAnsiTheme="minorHAnsi" w:cstheme="minorHAnsi"/>
          <w:sz w:val="24"/>
          <w:szCs w:val="24"/>
        </w:rPr>
      </w:pPr>
      <w:r w:rsidRPr="00C86111">
        <w:rPr>
          <w:rFonts w:asciiTheme="minorHAnsi" w:hAnsiTheme="minorHAnsi" w:cstheme="minorHAnsi"/>
          <w:sz w:val="24"/>
          <w:szCs w:val="24"/>
        </w:rPr>
        <w:t xml:space="preserve">Tabela </w:t>
      </w:r>
      <w:r w:rsidR="00D95B9C" w:rsidRPr="00C86111">
        <w:rPr>
          <w:rFonts w:asciiTheme="minorHAnsi" w:hAnsiTheme="minorHAnsi" w:cstheme="minorHAnsi"/>
          <w:sz w:val="24"/>
          <w:szCs w:val="24"/>
        </w:rPr>
        <w:t>58</w:t>
      </w:r>
      <w:r w:rsidRPr="00C86111">
        <w:rPr>
          <w:rFonts w:asciiTheme="minorHAnsi" w:hAnsiTheme="minorHAnsi" w:cstheme="minorHAnsi"/>
          <w:sz w:val="24"/>
          <w:szCs w:val="24"/>
        </w:rPr>
        <w:t xml:space="preserve"> i </w:t>
      </w:r>
      <w:r w:rsidR="00D95B9C" w:rsidRPr="00C86111">
        <w:rPr>
          <w:rFonts w:asciiTheme="minorHAnsi" w:hAnsiTheme="minorHAnsi" w:cstheme="minorHAnsi"/>
          <w:sz w:val="24"/>
          <w:szCs w:val="24"/>
        </w:rPr>
        <w:t>Grafici</w:t>
      </w:r>
      <w:r w:rsidRPr="00C86111">
        <w:rPr>
          <w:rFonts w:asciiTheme="minorHAnsi" w:hAnsiTheme="minorHAnsi" w:cstheme="minorHAnsi"/>
          <w:sz w:val="24"/>
          <w:szCs w:val="24"/>
        </w:rPr>
        <w:t xml:space="preserve"> 1</w:t>
      </w:r>
      <w:r w:rsidR="00547278">
        <w:rPr>
          <w:rFonts w:asciiTheme="minorHAnsi" w:hAnsiTheme="minorHAnsi" w:cstheme="minorHAnsi"/>
          <w:sz w:val="24"/>
          <w:szCs w:val="24"/>
        </w:rPr>
        <w:t>8</w:t>
      </w:r>
      <w:r w:rsidRPr="00C86111">
        <w:rPr>
          <w:rFonts w:asciiTheme="minorHAnsi" w:hAnsiTheme="minorHAnsi" w:cstheme="minorHAnsi"/>
          <w:sz w:val="24"/>
          <w:szCs w:val="24"/>
        </w:rPr>
        <w:t xml:space="preserve"> i 1</w:t>
      </w:r>
      <w:r w:rsidR="00547278">
        <w:rPr>
          <w:rFonts w:asciiTheme="minorHAnsi" w:hAnsiTheme="minorHAnsi" w:cstheme="minorHAnsi"/>
          <w:sz w:val="24"/>
          <w:szCs w:val="24"/>
        </w:rPr>
        <w:t>9</w:t>
      </w:r>
      <w:r w:rsidRPr="00C86111">
        <w:rPr>
          <w:rFonts w:asciiTheme="minorHAnsi" w:hAnsiTheme="minorHAnsi" w:cstheme="minorHAnsi"/>
          <w:b/>
          <w:bCs/>
          <w:sz w:val="24"/>
          <w:szCs w:val="24"/>
        </w:rPr>
        <w:t xml:space="preserve"> </w:t>
      </w:r>
      <w:r w:rsidRPr="00C86111">
        <w:rPr>
          <w:rFonts w:asciiTheme="minorHAnsi" w:hAnsiTheme="minorHAnsi" w:cstheme="minorHAnsi"/>
          <w:sz w:val="24"/>
          <w:szCs w:val="24"/>
        </w:rPr>
        <w:t xml:space="preserve"> pružaju pregled sadržaja PBDE u svim kategorijama uvezenih vozila.</w:t>
      </w:r>
    </w:p>
    <w:p w14:paraId="6A9664FF" w14:textId="5DA882B8" w:rsidR="00C23D65" w:rsidRPr="00C86111" w:rsidRDefault="00C23D65" w:rsidP="00D95B9C">
      <w:pPr>
        <w:pStyle w:val="Text"/>
        <w:rPr>
          <w:rFonts w:asciiTheme="minorHAnsi" w:hAnsiTheme="minorHAnsi" w:cstheme="minorHAnsi"/>
          <w:b/>
          <w:bCs/>
          <w:sz w:val="24"/>
          <w:szCs w:val="24"/>
        </w:rPr>
      </w:pPr>
      <w:r w:rsidRPr="00C86111">
        <w:rPr>
          <w:rFonts w:asciiTheme="minorHAnsi" w:hAnsiTheme="minorHAnsi" w:cstheme="minorHAnsi"/>
          <w:b/>
          <w:bCs/>
          <w:sz w:val="24"/>
          <w:szCs w:val="24"/>
        </w:rPr>
        <w:t xml:space="preserve">Tabela </w:t>
      </w:r>
      <w:r w:rsidR="00D95B9C" w:rsidRPr="00C86111">
        <w:rPr>
          <w:rFonts w:asciiTheme="minorHAnsi" w:hAnsiTheme="minorHAnsi" w:cstheme="minorHAnsi"/>
          <w:b/>
          <w:bCs/>
          <w:sz w:val="24"/>
          <w:szCs w:val="24"/>
        </w:rPr>
        <w:t>58</w:t>
      </w:r>
      <w:r w:rsidRPr="00C86111">
        <w:rPr>
          <w:rFonts w:asciiTheme="minorHAnsi" w:hAnsiTheme="minorHAnsi" w:cstheme="minorHAnsi"/>
          <w:b/>
          <w:bCs/>
          <w:sz w:val="24"/>
          <w:szCs w:val="24"/>
        </w:rPr>
        <w:t xml:space="preserve">. </w:t>
      </w:r>
      <w:r w:rsidRPr="00C86111">
        <w:rPr>
          <w:rFonts w:asciiTheme="minorHAnsi" w:hAnsiTheme="minorHAnsi" w:cstheme="minorHAnsi"/>
          <w:sz w:val="24"/>
          <w:szCs w:val="24"/>
        </w:rPr>
        <w:t>Pregled sadržaja PBDE u svim kategorijama uvezenih vozila</w:t>
      </w:r>
    </w:p>
    <w:tbl>
      <w:tblPr>
        <w:tblStyle w:val="GridTable5Dark-Accent6"/>
        <w:tblW w:w="9445" w:type="dxa"/>
        <w:tblLook w:val="04A0" w:firstRow="1" w:lastRow="0" w:firstColumn="1" w:lastColumn="0" w:noHBand="0" w:noVBand="1"/>
      </w:tblPr>
      <w:tblGrid>
        <w:gridCol w:w="3354"/>
        <w:gridCol w:w="817"/>
        <w:gridCol w:w="885"/>
        <w:gridCol w:w="885"/>
        <w:gridCol w:w="885"/>
        <w:gridCol w:w="885"/>
        <w:gridCol w:w="885"/>
        <w:gridCol w:w="849"/>
      </w:tblGrid>
      <w:tr w:rsidR="00C23D65" w:rsidRPr="00C86111" w14:paraId="432767BA" w14:textId="77777777" w:rsidTr="00C23D65">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54" w:type="dxa"/>
            <w:tcBorders>
              <w:bottom w:val="single" w:sz="4" w:space="0" w:color="FFFFFF" w:themeColor="background1"/>
            </w:tcBorders>
            <w:noWrap/>
            <w:hideMark/>
          </w:tcPr>
          <w:p w14:paraId="26AD7A22" w14:textId="77777777" w:rsidR="00C23D65" w:rsidRPr="00C86111" w:rsidRDefault="00C23D65" w:rsidP="00D95B9C">
            <w:pPr>
              <w:jc w:val="center"/>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Godina</w:t>
            </w:r>
          </w:p>
        </w:tc>
        <w:tc>
          <w:tcPr>
            <w:tcW w:w="817" w:type="dxa"/>
            <w:tcBorders>
              <w:bottom w:val="single" w:sz="4" w:space="0" w:color="FFFFFF" w:themeColor="background1"/>
            </w:tcBorders>
            <w:hideMark/>
          </w:tcPr>
          <w:p w14:paraId="6833289D" w14:textId="77777777" w:rsidR="00C23D65" w:rsidRPr="00C86111" w:rsidRDefault="00C23D65" w:rsidP="00D95B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2017g</w:t>
            </w:r>
          </w:p>
        </w:tc>
        <w:tc>
          <w:tcPr>
            <w:tcW w:w="885" w:type="dxa"/>
            <w:tcBorders>
              <w:bottom w:val="single" w:sz="4" w:space="0" w:color="FFFFFF" w:themeColor="background1"/>
            </w:tcBorders>
            <w:hideMark/>
          </w:tcPr>
          <w:p w14:paraId="0DAA0D11" w14:textId="77777777" w:rsidR="00C23D65" w:rsidRPr="00C86111" w:rsidRDefault="00C23D65" w:rsidP="00D95B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2018g</w:t>
            </w:r>
          </w:p>
        </w:tc>
        <w:tc>
          <w:tcPr>
            <w:tcW w:w="885" w:type="dxa"/>
            <w:tcBorders>
              <w:bottom w:val="single" w:sz="4" w:space="0" w:color="FFFFFF" w:themeColor="background1"/>
            </w:tcBorders>
            <w:hideMark/>
          </w:tcPr>
          <w:p w14:paraId="4FC40C95" w14:textId="77777777" w:rsidR="00C23D65" w:rsidRPr="00C86111" w:rsidRDefault="00C23D65" w:rsidP="00D95B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2019g</w:t>
            </w:r>
          </w:p>
        </w:tc>
        <w:tc>
          <w:tcPr>
            <w:tcW w:w="885" w:type="dxa"/>
            <w:tcBorders>
              <w:bottom w:val="single" w:sz="4" w:space="0" w:color="FFFFFF" w:themeColor="background1"/>
            </w:tcBorders>
            <w:hideMark/>
          </w:tcPr>
          <w:p w14:paraId="2F238DF1" w14:textId="77777777" w:rsidR="00C23D65" w:rsidRPr="00C86111" w:rsidRDefault="00C23D65" w:rsidP="00D95B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2020g</w:t>
            </w:r>
          </w:p>
        </w:tc>
        <w:tc>
          <w:tcPr>
            <w:tcW w:w="885" w:type="dxa"/>
            <w:tcBorders>
              <w:bottom w:val="single" w:sz="4" w:space="0" w:color="FFFFFF" w:themeColor="background1"/>
            </w:tcBorders>
            <w:hideMark/>
          </w:tcPr>
          <w:p w14:paraId="020919EA" w14:textId="77777777" w:rsidR="00C23D65" w:rsidRPr="00C86111" w:rsidRDefault="00C23D65" w:rsidP="00D95B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2021g</w:t>
            </w:r>
          </w:p>
        </w:tc>
        <w:tc>
          <w:tcPr>
            <w:tcW w:w="885" w:type="dxa"/>
            <w:tcBorders>
              <w:bottom w:val="single" w:sz="4" w:space="0" w:color="FFFFFF" w:themeColor="background1"/>
            </w:tcBorders>
            <w:hideMark/>
          </w:tcPr>
          <w:p w14:paraId="3233E4CD" w14:textId="77777777" w:rsidR="00C23D65" w:rsidRPr="00C86111" w:rsidRDefault="00C23D65" w:rsidP="00D95B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2022g</w:t>
            </w:r>
          </w:p>
        </w:tc>
        <w:tc>
          <w:tcPr>
            <w:tcW w:w="849" w:type="dxa"/>
            <w:tcBorders>
              <w:bottom w:val="single" w:sz="4" w:space="0" w:color="FFFFFF" w:themeColor="background1"/>
            </w:tcBorders>
            <w:hideMark/>
          </w:tcPr>
          <w:p w14:paraId="0BDD4832" w14:textId="77777777" w:rsidR="00C23D65" w:rsidRPr="00C86111" w:rsidRDefault="00C23D65" w:rsidP="00D95B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2023g</w:t>
            </w:r>
          </w:p>
        </w:tc>
      </w:tr>
      <w:tr w:rsidR="00C23D65" w:rsidRPr="00C86111" w14:paraId="4404A322" w14:textId="77777777" w:rsidTr="00C23D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54" w:type="dxa"/>
            <w:tcBorders>
              <w:top w:val="single" w:sz="4" w:space="0" w:color="FFFFFF" w:themeColor="background1"/>
              <w:bottom w:val="single" w:sz="4" w:space="0" w:color="FFFFFF" w:themeColor="background1"/>
              <w:right w:val="single" w:sz="4" w:space="0" w:color="FFFFFF" w:themeColor="background1"/>
            </w:tcBorders>
            <w:noWrap/>
            <w:hideMark/>
          </w:tcPr>
          <w:p w14:paraId="59C321EF" w14:textId="77777777" w:rsidR="00C23D65" w:rsidRPr="00C86111" w:rsidRDefault="00C23D65" w:rsidP="00D95B9C">
            <w:pPr>
              <w:jc w:val="center"/>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Sadržaj PBDE u putničkim vozilima (kg)</w:t>
            </w:r>
          </w:p>
        </w:tc>
        <w:tc>
          <w:tcPr>
            <w:tcW w:w="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DF9C616"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748.3</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23101EC"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724.56</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23A2F7"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362.96</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B2F843F"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247.78</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8F1264C"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264.72</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6572167"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317.44</w:t>
            </w:r>
          </w:p>
        </w:tc>
        <w:tc>
          <w:tcPr>
            <w:tcW w:w="8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7A9468E"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400.5</w:t>
            </w:r>
          </w:p>
        </w:tc>
      </w:tr>
      <w:tr w:rsidR="00C23D65" w:rsidRPr="00C86111" w14:paraId="5D638FA0" w14:textId="77777777" w:rsidTr="00C23D65">
        <w:trPr>
          <w:trHeight w:val="288"/>
        </w:trPr>
        <w:tc>
          <w:tcPr>
            <w:cnfStyle w:val="001000000000" w:firstRow="0" w:lastRow="0" w:firstColumn="1" w:lastColumn="0" w:oddVBand="0" w:evenVBand="0" w:oddHBand="0" w:evenHBand="0" w:firstRowFirstColumn="0" w:firstRowLastColumn="0" w:lastRowFirstColumn="0" w:lastRowLastColumn="0"/>
            <w:tcW w:w="3354" w:type="dxa"/>
            <w:tcBorders>
              <w:top w:val="single" w:sz="4" w:space="0" w:color="FFFFFF" w:themeColor="background1"/>
              <w:bottom w:val="single" w:sz="4" w:space="0" w:color="FFFFFF" w:themeColor="background1"/>
              <w:right w:val="single" w:sz="4" w:space="0" w:color="FFFFFF" w:themeColor="background1"/>
            </w:tcBorders>
            <w:noWrap/>
            <w:hideMark/>
          </w:tcPr>
          <w:p w14:paraId="00F31843" w14:textId="77777777" w:rsidR="00C23D65" w:rsidRPr="00C86111" w:rsidRDefault="00C23D65" w:rsidP="00D95B9C">
            <w:pPr>
              <w:jc w:val="center"/>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Sadržaj PBDE u autobusima (kg)</w:t>
            </w:r>
          </w:p>
        </w:tc>
        <w:tc>
          <w:tcPr>
            <w:tcW w:w="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8F66BB4"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4.68</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08E960E"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5.48</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91F8F3C"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1.28</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AC6C17F"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0.68</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F9F0A9"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0.52</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0928732"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0.24</w:t>
            </w:r>
          </w:p>
        </w:tc>
        <w:tc>
          <w:tcPr>
            <w:tcW w:w="8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059501F"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0.4</w:t>
            </w:r>
          </w:p>
        </w:tc>
      </w:tr>
      <w:tr w:rsidR="00C23D65" w:rsidRPr="00C86111" w14:paraId="72521F02" w14:textId="77777777" w:rsidTr="00C23D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54" w:type="dxa"/>
            <w:tcBorders>
              <w:top w:val="single" w:sz="4" w:space="0" w:color="FFFFFF" w:themeColor="background1"/>
              <w:bottom w:val="single" w:sz="4" w:space="0" w:color="FFFFFF" w:themeColor="background1"/>
              <w:right w:val="single" w:sz="4" w:space="0" w:color="FFFFFF" w:themeColor="background1"/>
            </w:tcBorders>
            <w:noWrap/>
            <w:hideMark/>
          </w:tcPr>
          <w:p w14:paraId="4F89C936" w14:textId="77777777" w:rsidR="00C23D65" w:rsidRPr="00C86111" w:rsidRDefault="00C23D65" w:rsidP="00D95B9C">
            <w:pPr>
              <w:jc w:val="center"/>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Sadržaj PBDE u kamionima (kg)</w:t>
            </w:r>
          </w:p>
        </w:tc>
        <w:tc>
          <w:tcPr>
            <w:tcW w:w="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3F8FF85"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4.68</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26F8887"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5.48</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BD57C94"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1.28</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8193C4A"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0.68</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B2ACCE9"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0.52</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403BAF3"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0.24</w:t>
            </w:r>
          </w:p>
        </w:tc>
        <w:tc>
          <w:tcPr>
            <w:tcW w:w="8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E27A783" w14:textId="77777777" w:rsidR="00C23D65" w:rsidRPr="00C86111" w:rsidRDefault="00C23D65" w:rsidP="00D95B9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0.4</w:t>
            </w:r>
          </w:p>
        </w:tc>
      </w:tr>
      <w:tr w:rsidR="00C23D65" w:rsidRPr="00C86111" w14:paraId="3C22880F" w14:textId="77777777" w:rsidTr="00C23D65">
        <w:trPr>
          <w:trHeight w:val="288"/>
        </w:trPr>
        <w:tc>
          <w:tcPr>
            <w:cnfStyle w:val="001000000000" w:firstRow="0" w:lastRow="0" w:firstColumn="1" w:lastColumn="0" w:oddVBand="0" w:evenVBand="0" w:oddHBand="0" w:evenHBand="0" w:firstRowFirstColumn="0" w:firstRowLastColumn="0" w:lastRowFirstColumn="0" w:lastRowLastColumn="0"/>
            <w:tcW w:w="3354" w:type="dxa"/>
            <w:tcBorders>
              <w:top w:val="single" w:sz="4" w:space="0" w:color="FFFFFF" w:themeColor="background1"/>
              <w:right w:val="single" w:sz="4" w:space="0" w:color="FFFFFF" w:themeColor="background1"/>
            </w:tcBorders>
            <w:noWrap/>
            <w:hideMark/>
          </w:tcPr>
          <w:p w14:paraId="537C886F" w14:textId="77777777" w:rsidR="00C23D65" w:rsidRPr="00C86111" w:rsidRDefault="00C23D65" w:rsidP="00D95B9C">
            <w:pPr>
              <w:jc w:val="center"/>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Ukupno (kg)</w:t>
            </w:r>
          </w:p>
        </w:tc>
        <w:tc>
          <w:tcPr>
            <w:tcW w:w="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B8AFC23"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758</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DF7C78B"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735</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5AF1103"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365</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2C810D"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249</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E5F84D8"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266</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1784A5B"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318</w:t>
            </w:r>
          </w:p>
        </w:tc>
        <w:tc>
          <w:tcPr>
            <w:tcW w:w="8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EC95082" w14:textId="77777777" w:rsidR="00C23D65" w:rsidRPr="00C86111" w:rsidRDefault="00C23D65" w:rsidP="00D95B9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C86111">
              <w:rPr>
                <w:rFonts w:asciiTheme="minorHAnsi" w:eastAsia="Times New Roman" w:hAnsiTheme="minorHAnsi" w:cstheme="minorHAnsi"/>
                <w:color w:val="000000"/>
                <w:sz w:val="20"/>
                <w:szCs w:val="20"/>
              </w:rPr>
              <w:t>401</w:t>
            </w:r>
          </w:p>
        </w:tc>
      </w:tr>
    </w:tbl>
    <w:p w14:paraId="5B949F67" w14:textId="77777777" w:rsidR="00C23D65" w:rsidRPr="00C86111" w:rsidRDefault="00C23D65" w:rsidP="00C23D65">
      <w:pPr>
        <w:pStyle w:val="Text"/>
        <w:rPr>
          <w:rFonts w:asciiTheme="minorHAnsi" w:hAnsiTheme="minorHAnsi" w:cstheme="minorHAnsi"/>
          <w:b/>
          <w:bCs/>
          <w:sz w:val="24"/>
          <w:szCs w:val="24"/>
          <w:lang w:val="it-IT"/>
        </w:rPr>
      </w:pPr>
    </w:p>
    <w:p w14:paraId="6FB42A4D" w14:textId="17ADF54E" w:rsidR="00C23D65" w:rsidRPr="00C86111" w:rsidRDefault="00C23D65" w:rsidP="00C23D65">
      <w:pPr>
        <w:pStyle w:val="Text"/>
        <w:jc w:val="center"/>
        <w:rPr>
          <w:rFonts w:asciiTheme="minorHAnsi" w:hAnsiTheme="minorHAnsi" w:cstheme="minorHAnsi"/>
          <w:sz w:val="24"/>
          <w:szCs w:val="24"/>
        </w:rPr>
      </w:pPr>
      <w:r w:rsidRPr="00C86111">
        <w:rPr>
          <w:rFonts w:asciiTheme="minorHAnsi" w:hAnsiTheme="minorHAnsi" w:cstheme="minorHAnsi"/>
          <w:noProof/>
          <w:sz w:val="24"/>
          <w:szCs w:val="24"/>
          <w14:textOutline w14:w="0" w14:cap="rnd" w14:cmpd="sng" w14:algn="ctr">
            <w14:noFill/>
            <w14:prstDash w14:val="solid"/>
            <w14:bevel/>
          </w14:textOutline>
        </w:rPr>
        <w:drawing>
          <wp:inline distT="0" distB="0" distL="0" distR="0" wp14:anchorId="3A5EB923" wp14:editId="3DF9152B">
            <wp:extent cx="4587240" cy="1973580"/>
            <wp:effectExtent l="0" t="0" r="3810" b="7620"/>
            <wp:docPr id="1502010181" name="Chart 1502010181">
              <a:extLst xmlns:a="http://schemas.openxmlformats.org/drawingml/2006/main">
                <a:ext uri="{FF2B5EF4-FFF2-40B4-BE49-F238E27FC236}">
                  <a16:creationId xmlns:a16="http://schemas.microsoft.com/office/drawing/2014/main" id="{6FF2B801-BDD1-0D23-8445-5CA2C4333A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2C8C4ED" w14:textId="72B82E22" w:rsidR="00C23D65" w:rsidRPr="00C86111" w:rsidRDefault="00D95B9C" w:rsidP="00C23D65">
      <w:pPr>
        <w:pStyle w:val="Text"/>
        <w:rPr>
          <w:rFonts w:asciiTheme="minorHAnsi" w:hAnsiTheme="minorHAnsi" w:cstheme="minorHAnsi"/>
          <w:sz w:val="24"/>
          <w:szCs w:val="24"/>
          <w:lang w:val="sr-Latn-RS"/>
        </w:rPr>
      </w:pPr>
      <w:r w:rsidRPr="00C86111">
        <w:rPr>
          <w:rFonts w:asciiTheme="minorHAnsi" w:hAnsiTheme="minorHAnsi" w:cstheme="minorHAnsi"/>
          <w:b/>
          <w:bCs/>
          <w:sz w:val="24"/>
          <w:szCs w:val="24"/>
          <w:lang w:val="it-IT"/>
        </w:rPr>
        <w:t>Grafik</w:t>
      </w:r>
      <w:r w:rsidR="00C23D65" w:rsidRPr="00C86111">
        <w:rPr>
          <w:rFonts w:asciiTheme="minorHAnsi" w:hAnsiTheme="minorHAnsi" w:cstheme="minorHAnsi"/>
          <w:b/>
          <w:bCs/>
          <w:sz w:val="24"/>
          <w:szCs w:val="24"/>
          <w:lang w:val="it-IT"/>
        </w:rPr>
        <w:t xml:space="preserve"> 1</w:t>
      </w:r>
      <w:r w:rsidR="00547278">
        <w:rPr>
          <w:rFonts w:asciiTheme="minorHAnsi" w:hAnsiTheme="minorHAnsi" w:cstheme="minorHAnsi"/>
          <w:b/>
          <w:bCs/>
          <w:sz w:val="24"/>
          <w:szCs w:val="24"/>
          <w:lang w:val="it-IT"/>
        </w:rPr>
        <w:t>8</w:t>
      </w:r>
      <w:r w:rsidR="00C23D65" w:rsidRPr="00C86111">
        <w:rPr>
          <w:rFonts w:asciiTheme="minorHAnsi" w:hAnsiTheme="minorHAnsi" w:cstheme="minorHAnsi"/>
          <w:b/>
          <w:bCs/>
          <w:sz w:val="24"/>
          <w:szCs w:val="24"/>
          <w:lang w:val="it-IT"/>
        </w:rPr>
        <w:t xml:space="preserve">. </w:t>
      </w:r>
      <w:r w:rsidR="00C23D65" w:rsidRPr="00C86111">
        <w:rPr>
          <w:rFonts w:asciiTheme="minorHAnsi" w:hAnsiTheme="minorHAnsi" w:cstheme="minorHAnsi"/>
          <w:sz w:val="24"/>
          <w:szCs w:val="24"/>
          <w:lang w:val="sr-Latn-RS"/>
        </w:rPr>
        <w:t>Komparativni prikaz sadržaja PBDE u različitim tipovima vozila u periodu 2017-2023</w:t>
      </w:r>
    </w:p>
    <w:p w14:paraId="0B378A26" w14:textId="77777777" w:rsidR="00C23D65" w:rsidRPr="00C86111" w:rsidRDefault="00C23D65" w:rsidP="00C23D65">
      <w:pPr>
        <w:pStyle w:val="Text"/>
        <w:jc w:val="center"/>
        <w:rPr>
          <w:rFonts w:asciiTheme="minorHAnsi" w:hAnsiTheme="minorHAnsi" w:cstheme="minorHAnsi"/>
          <w:b/>
          <w:bCs/>
          <w:i/>
          <w:iCs/>
          <w:sz w:val="24"/>
          <w:szCs w:val="24"/>
        </w:rPr>
      </w:pPr>
    </w:p>
    <w:p w14:paraId="6CBB834F" w14:textId="6E73DE0D" w:rsidR="00C23D65" w:rsidRPr="00C86111" w:rsidRDefault="00C23D65" w:rsidP="00C23D65">
      <w:pPr>
        <w:pStyle w:val="Text"/>
        <w:jc w:val="center"/>
        <w:rPr>
          <w:rFonts w:asciiTheme="minorHAnsi" w:hAnsiTheme="minorHAnsi" w:cstheme="minorHAnsi"/>
          <w:b/>
          <w:bCs/>
          <w:i/>
          <w:iCs/>
        </w:rPr>
      </w:pPr>
      <w:r w:rsidRPr="00C86111">
        <w:rPr>
          <w:noProof/>
        </w:rPr>
        <w:drawing>
          <wp:inline distT="0" distB="0" distL="0" distR="0" wp14:anchorId="5EF158A4" wp14:editId="3185A0BA">
            <wp:extent cx="5745480" cy="1607820"/>
            <wp:effectExtent l="0" t="0" r="7620" b="11430"/>
            <wp:docPr id="1073741854" name="Chart 10737418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A160047" w14:textId="7C084FA9" w:rsidR="00C23D65" w:rsidRPr="00C86111" w:rsidRDefault="00D95B9C" w:rsidP="00C23D65">
      <w:pPr>
        <w:pStyle w:val="Text"/>
        <w:jc w:val="center"/>
        <w:rPr>
          <w:rFonts w:asciiTheme="minorHAnsi" w:hAnsiTheme="minorHAnsi" w:cstheme="minorHAnsi"/>
          <w:b/>
          <w:bCs/>
          <w:sz w:val="24"/>
          <w:szCs w:val="24"/>
        </w:rPr>
      </w:pPr>
      <w:r w:rsidRPr="00C86111">
        <w:rPr>
          <w:rFonts w:asciiTheme="minorHAnsi" w:hAnsiTheme="minorHAnsi" w:cstheme="minorHAnsi"/>
          <w:b/>
          <w:bCs/>
          <w:sz w:val="24"/>
          <w:szCs w:val="24"/>
        </w:rPr>
        <w:t>Grafik</w:t>
      </w:r>
      <w:r w:rsidR="00C23D65" w:rsidRPr="00C86111">
        <w:rPr>
          <w:rFonts w:asciiTheme="minorHAnsi" w:hAnsiTheme="minorHAnsi" w:cstheme="minorHAnsi"/>
          <w:b/>
          <w:bCs/>
          <w:sz w:val="24"/>
          <w:szCs w:val="24"/>
        </w:rPr>
        <w:t xml:space="preserve"> 1</w:t>
      </w:r>
      <w:r w:rsidR="00547278">
        <w:rPr>
          <w:rFonts w:asciiTheme="minorHAnsi" w:hAnsiTheme="minorHAnsi" w:cstheme="minorHAnsi"/>
          <w:b/>
          <w:bCs/>
          <w:sz w:val="24"/>
          <w:szCs w:val="24"/>
        </w:rPr>
        <w:t>9</w:t>
      </w:r>
      <w:r w:rsidR="00C23D65" w:rsidRPr="00C86111">
        <w:rPr>
          <w:rFonts w:asciiTheme="minorHAnsi" w:hAnsiTheme="minorHAnsi" w:cstheme="minorHAnsi"/>
          <w:b/>
          <w:bCs/>
          <w:sz w:val="24"/>
          <w:szCs w:val="24"/>
        </w:rPr>
        <w:t xml:space="preserve">. </w:t>
      </w:r>
      <w:r w:rsidR="00C23D65" w:rsidRPr="00C86111">
        <w:rPr>
          <w:rFonts w:asciiTheme="minorHAnsi" w:hAnsiTheme="minorHAnsi" w:cstheme="minorHAnsi"/>
          <w:sz w:val="24"/>
          <w:szCs w:val="24"/>
        </w:rPr>
        <w:t>Pregled sadržaja PBDE u svim kategorijama uvezenih vozila u periodu 2008–2023.</w:t>
      </w:r>
    </w:p>
    <w:p w14:paraId="34D86BAF" w14:textId="578A706C" w:rsidR="00C23D65" w:rsidRPr="00C86111" w:rsidRDefault="00C23D65" w:rsidP="00EA6904">
      <w:pPr>
        <w:pStyle w:val="Heading4"/>
      </w:pPr>
      <w:r w:rsidRPr="00C86111">
        <w:t>Ključna zapažanja – uvezen</w:t>
      </w:r>
      <w:r w:rsidR="00D95B9C" w:rsidRPr="00C86111">
        <w:t>a vozila</w:t>
      </w:r>
      <w:r w:rsidRPr="00C86111">
        <w:t xml:space="preserve"> (2017–2023)</w:t>
      </w:r>
    </w:p>
    <w:p w14:paraId="5F171DA9"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Podaci o sadržaju PBDE u vozilima pokazuju ukupni pad količina do 2020. godine, nakon čega slijedi blagi porast u narednim godinama:</w:t>
      </w:r>
    </w:p>
    <w:p w14:paraId="14D9CBD1" w14:textId="77777777" w:rsidR="00C23D65" w:rsidRPr="00C86111" w:rsidRDefault="00C23D65" w:rsidP="00004F34">
      <w:pPr>
        <w:numPr>
          <w:ilvl w:val="0"/>
          <w:numId w:val="201"/>
        </w:numPr>
        <w:jc w:val="both"/>
        <w:rPr>
          <w:rFonts w:asciiTheme="minorHAnsi" w:hAnsiTheme="minorHAnsi" w:cstheme="minorHAnsi"/>
          <w:color w:val="auto"/>
          <w:szCs w:val="24"/>
        </w:rPr>
      </w:pPr>
      <w:r w:rsidRPr="00C86111">
        <w:rPr>
          <w:rFonts w:asciiTheme="minorHAnsi" w:hAnsiTheme="minorHAnsi" w:cstheme="minorHAnsi"/>
          <w:b/>
          <w:bCs/>
          <w:color w:val="002060"/>
          <w:szCs w:val="24"/>
        </w:rPr>
        <w:t>Putnički automobili:</w:t>
      </w:r>
      <w:r w:rsidRPr="00C86111">
        <w:rPr>
          <w:rFonts w:asciiTheme="minorHAnsi" w:hAnsiTheme="minorHAnsi" w:cstheme="minorHAnsi"/>
          <w:color w:val="002060"/>
          <w:szCs w:val="24"/>
        </w:rPr>
        <w:t xml:space="preserve"> </w:t>
      </w:r>
      <w:r w:rsidRPr="00C86111">
        <w:rPr>
          <w:rFonts w:asciiTheme="minorHAnsi" w:hAnsiTheme="minorHAnsi" w:cstheme="minorHAnsi"/>
          <w:color w:val="auto"/>
          <w:szCs w:val="24"/>
        </w:rPr>
        <w:t>Sadržaj PBDE smanjen je sa 748,3 kg u 2017. na 247,78 kg u 2020. godini, uz nagli pad u 2018. (od 724,56 kg na 362,96 kg). Ovaj nagli pad nastao je zbog izmjena Pravilnika o tehničkim zahtjevima za vozila koja se prvi put uvoze ili stavljaju u promet u Crnoj Gori („Službeni list Crne Gore“, br. 005/15, 063/18, 010/19, 068/20, 016/21, 017/24, 043/24) i uvođenja strožih zahtjeva za uvoz. Kasniji porast na 400,5 kg u 2023. odražava ulazak novih vozila sa niskim, ali još prisutnim nivoima PBDE. Očekuje se dalji pad u 2024., kada se dodatno pooštre uvozni zahtjevi.</w:t>
      </w:r>
    </w:p>
    <w:p w14:paraId="026CC83A" w14:textId="77777777" w:rsidR="00C23D65" w:rsidRPr="00C86111" w:rsidRDefault="00C23D65" w:rsidP="00004F34">
      <w:pPr>
        <w:numPr>
          <w:ilvl w:val="0"/>
          <w:numId w:val="201"/>
        </w:numPr>
        <w:jc w:val="both"/>
        <w:rPr>
          <w:rFonts w:asciiTheme="minorHAnsi" w:hAnsiTheme="minorHAnsi" w:cstheme="minorHAnsi"/>
          <w:color w:val="auto"/>
          <w:szCs w:val="24"/>
        </w:rPr>
      </w:pPr>
      <w:r w:rsidRPr="00C86111">
        <w:rPr>
          <w:rFonts w:asciiTheme="minorHAnsi" w:hAnsiTheme="minorHAnsi" w:cstheme="minorHAnsi"/>
          <w:b/>
          <w:bCs/>
          <w:color w:val="002060"/>
          <w:szCs w:val="24"/>
        </w:rPr>
        <w:t>Autobusi i kamioni:</w:t>
      </w:r>
      <w:r w:rsidRPr="00C86111">
        <w:rPr>
          <w:rFonts w:asciiTheme="minorHAnsi" w:hAnsiTheme="minorHAnsi" w:cstheme="minorHAnsi"/>
          <w:color w:val="002060"/>
          <w:szCs w:val="24"/>
        </w:rPr>
        <w:t xml:space="preserve"> </w:t>
      </w:r>
      <w:r w:rsidRPr="00C86111">
        <w:rPr>
          <w:rFonts w:asciiTheme="minorHAnsi" w:hAnsiTheme="minorHAnsi" w:cstheme="minorHAnsi"/>
          <w:color w:val="auto"/>
          <w:szCs w:val="24"/>
        </w:rPr>
        <w:t>Sadržaj PBDE ostao je nizak i relativno stabilan tokom godina, sa manjim fluktuacijama:</w:t>
      </w:r>
    </w:p>
    <w:p w14:paraId="224A0E7F" w14:textId="77777777" w:rsidR="00C23D65" w:rsidRPr="00C86111" w:rsidRDefault="00C23D65" w:rsidP="00004F34">
      <w:pPr>
        <w:numPr>
          <w:ilvl w:val="1"/>
          <w:numId w:val="202"/>
        </w:numPr>
        <w:jc w:val="both"/>
        <w:rPr>
          <w:rFonts w:asciiTheme="minorHAnsi" w:hAnsiTheme="minorHAnsi" w:cstheme="minorHAnsi"/>
          <w:color w:val="auto"/>
          <w:szCs w:val="24"/>
        </w:rPr>
      </w:pPr>
      <w:r w:rsidRPr="00C86111">
        <w:rPr>
          <w:rFonts w:asciiTheme="minorHAnsi" w:hAnsiTheme="minorHAnsi" w:cstheme="minorHAnsi"/>
          <w:color w:val="auto"/>
          <w:szCs w:val="24"/>
        </w:rPr>
        <w:t>Autobusi: 4,68 kg u 2017. na 0,4 kg u 2023.</w:t>
      </w:r>
    </w:p>
    <w:p w14:paraId="0E1AE52D" w14:textId="77777777" w:rsidR="00C23D65" w:rsidRPr="00C86111" w:rsidRDefault="00C23D65" w:rsidP="00004F34">
      <w:pPr>
        <w:numPr>
          <w:ilvl w:val="1"/>
          <w:numId w:val="202"/>
        </w:numPr>
        <w:jc w:val="both"/>
        <w:rPr>
          <w:rFonts w:asciiTheme="minorHAnsi" w:hAnsiTheme="minorHAnsi" w:cstheme="minorHAnsi"/>
          <w:color w:val="auto"/>
          <w:szCs w:val="24"/>
        </w:rPr>
      </w:pPr>
      <w:r w:rsidRPr="00C86111">
        <w:rPr>
          <w:rFonts w:asciiTheme="minorHAnsi" w:hAnsiTheme="minorHAnsi" w:cstheme="minorHAnsi"/>
          <w:color w:val="auto"/>
          <w:szCs w:val="24"/>
        </w:rPr>
        <w:t>Kamioni: 4,68 kg u 2017. na 0,4 kg u 2023.</w:t>
      </w:r>
    </w:p>
    <w:p w14:paraId="38D69AF5"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002060"/>
          <w:szCs w:val="24"/>
        </w:rPr>
        <w:t>Ukupno:</w:t>
      </w:r>
      <w:r w:rsidRPr="00C86111">
        <w:rPr>
          <w:rFonts w:asciiTheme="minorHAnsi" w:hAnsiTheme="minorHAnsi" w:cstheme="minorHAnsi"/>
          <w:color w:val="auto"/>
          <w:szCs w:val="24"/>
        </w:rPr>
        <w:t xml:space="preserve"> Ukupan sadržaj PBDE u svim kategorijama vozila smanjen je sa 758 kg u 2017. na 249 kg u 2020., a zatim je blago porastao na 401 kg u 2023. Pad do 2020. godine odgovara uvođenju strožijih uvoznih propisa, dok umjereni porast kasnije odražava obnavljanje voznog parka i uvoz novijih vozila sa niskim sadržajem PBDE.</w:t>
      </w:r>
    </w:p>
    <w:p w14:paraId="1C0377E8"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002060"/>
          <w:szCs w:val="24"/>
        </w:rPr>
        <w:t>Zaključak:</w:t>
      </w:r>
      <w:r w:rsidRPr="00C86111">
        <w:rPr>
          <w:rFonts w:asciiTheme="minorHAnsi" w:hAnsiTheme="minorHAnsi" w:cstheme="minorHAnsi"/>
          <w:color w:val="002060"/>
          <w:szCs w:val="24"/>
        </w:rPr>
        <w:t xml:space="preserve"> </w:t>
      </w:r>
      <w:r w:rsidRPr="00C86111">
        <w:rPr>
          <w:rFonts w:asciiTheme="minorHAnsi" w:hAnsiTheme="minorHAnsi" w:cstheme="minorHAnsi"/>
          <w:color w:val="auto"/>
          <w:szCs w:val="24"/>
        </w:rPr>
        <w:t xml:space="preserve">Upravljanje PBDE u vozilima u Crnoj Gori pokazuje </w:t>
      </w:r>
      <w:r w:rsidRPr="00C86111">
        <w:rPr>
          <w:rFonts w:asciiTheme="minorHAnsi" w:hAnsiTheme="minorHAnsi" w:cstheme="minorHAnsi"/>
          <w:b/>
          <w:bCs/>
          <w:color w:val="auto"/>
          <w:szCs w:val="24"/>
        </w:rPr>
        <w:t>opšti silazni trend</w:t>
      </w:r>
      <w:r w:rsidRPr="00C86111">
        <w:rPr>
          <w:rFonts w:asciiTheme="minorHAnsi" w:hAnsiTheme="minorHAnsi" w:cstheme="minorHAnsi"/>
          <w:color w:val="auto"/>
          <w:szCs w:val="24"/>
        </w:rPr>
        <w:t xml:space="preserve"> zahvaljujući regulatornim mjerama, iako PBDE i dalje postoje, posebno u putničkim automobilima.</w:t>
      </w:r>
    </w:p>
    <w:p w14:paraId="5F2F5C6E" w14:textId="77777777" w:rsidR="00C23D65" w:rsidRPr="00C86111" w:rsidRDefault="00C23D65" w:rsidP="00EA6904">
      <w:pPr>
        <w:pStyle w:val="Heading3"/>
      </w:pPr>
      <w:bookmarkStart w:id="107" w:name="_Toc220541908"/>
      <w:r w:rsidRPr="00C86111">
        <w:t>Otpad od vozila na kraju životnog vijeka (ELV)</w:t>
      </w:r>
      <w:bookmarkEnd w:id="107"/>
    </w:p>
    <w:p w14:paraId="36F9CC37" w14:textId="77777777" w:rsidR="00C23D65" w:rsidRPr="00C86111" w:rsidRDefault="00C23D65" w:rsidP="00C23D65">
      <w:pPr>
        <w:jc w:val="both"/>
        <w:rPr>
          <w:rFonts w:asciiTheme="minorHAnsi" w:hAnsiTheme="minorHAnsi" w:cstheme="minorHAnsi"/>
          <w:b/>
          <w:bCs/>
          <w:color w:val="auto"/>
          <w:szCs w:val="24"/>
        </w:rPr>
      </w:pPr>
    </w:p>
    <w:p w14:paraId="281C352C" w14:textId="77777777" w:rsidR="00C23D65" w:rsidRPr="00C86111" w:rsidRDefault="00C23D65" w:rsidP="00C23D65">
      <w:pPr>
        <w:jc w:val="both"/>
      </w:pPr>
      <w:r w:rsidRPr="00C86111">
        <w:t>U Crnoj Gori postoji pet lokacija za odlaganje vozila na kraju životnog vijeka (ELV): Podgorica (1), Berane (1) i Nikšić (3). Prema izvještaju Agencije za zaštitu životne sredine za 2021. godinu, ukupna količina prikupljenog i obrađenog ELV otpada iznosila je 234,16 tona. Najveći broj vozila obradio je SS Alga DOO iz Nikšića, sa 203,6 tona ELV otpada. Preduzeće Deponija DOO, Podgorica, tokom 2021. godine pripremilo je 16,7 tona vozila za ponovno korišćenje i reciklažu, dok je u 2020. godini pripremljeno 85 tona, a u 2019. godini 22 tona kompletnih ELV-ova.</w:t>
      </w:r>
    </w:p>
    <w:p w14:paraId="5D308EA2" w14:textId="77777777" w:rsidR="00C23D65" w:rsidRPr="00C86111" w:rsidRDefault="00C23D65" w:rsidP="00C23D65">
      <w:pPr>
        <w:jc w:val="both"/>
      </w:pPr>
      <w:r w:rsidRPr="00C86111">
        <w:lastRenderedPageBreak/>
        <w:t>„Smjernice za inventarizaciju polibromovanih difenil etera (PBDE) navedenih u Stokholmskoj konvenciji o perzistentnim organskim zagađivačima“ sugerišu mogućnost poređenja sa iskustvima sličnih zemalja. U tom kontekstu korišćena su iskustva susjednih država. Broj vozila na kraju životnog vijeka u crnogorskim deponijama izračunat je množenjem broja registrovanih vozila sa specifičnim faktorima (automobili 0,23; autobusi 0,46; kamioni 1,89) i dodatnim faktorom 0,15.</w:t>
      </w:r>
    </w:p>
    <w:p w14:paraId="2ADCB8CA" w14:textId="2F5C3C45" w:rsidR="00C23D65" w:rsidRPr="00C86111" w:rsidRDefault="00C23D65" w:rsidP="00C23D65">
      <w:pPr>
        <w:jc w:val="both"/>
      </w:pPr>
      <w:r w:rsidRPr="00C86111">
        <w:t xml:space="preserve">Gruba procjena ukupne količine plastike u prosječnom vozilu na kraju životnog vijeka iznosi 200 kg. </w:t>
      </w:r>
    </w:p>
    <w:p w14:paraId="70A9F259" w14:textId="77777777" w:rsidR="00C23D65" w:rsidRPr="00C86111" w:rsidRDefault="00C23D65" w:rsidP="00C23D65">
      <w:pPr>
        <w:jc w:val="both"/>
      </w:pPr>
      <w:r w:rsidRPr="00C86111">
        <w:t>Podaci iz literature o koncentraciji decaBDE u prosječnom ASR-u iz ELV-ova su vrlo heterogeni, kreću se od 0,2 do 1.076 mg/kg, pri čemu većina vrijednosti ostaje ispod 1.000 mg/kg. Međutim, pojedine frakcije ASR-a mogu sadržati PBDE u koncentracijama većim od 1.000 mg/kg.</w:t>
      </w:r>
    </w:p>
    <w:p w14:paraId="42C33FC9" w14:textId="6C6D6841" w:rsidR="00C23D65" w:rsidRPr="00C86111" w:rsidRDefault="00C23D65" w:rsidP="00C23D65">
      <w:pPr>
        <w:jc w:val="both"/>
      </w:pPr>
      <w:r w:rsidRPr="00C86111">
        <w:t xml:space="preserve">U tabeli </w:t>
      </w:r>
      <w:r w:rsidR="00D95B9C" w:rsidRPr="00C86111">
        <w:t>59</w:t>
      </w:r>
      <w:r w:rsidRPr="00C86111">
        <w:t xml:space="preserve"> prikazana je količina </w:t>
      </w:r>
      <w:r w:rsidRPr="00C86111">
        <w:rPr>
          <w:rFonts w:asciiTheme="minorHAnsi" w:hAnsiTheme="minorHAnsi" w:cstheme="minorHAnsi"/>
          <w:color w:val="auto"/>
          <w:szCs w:val="24"/>
        </w:rPr>
        <w:t>decaBDE u procijenjenim end-of-life vozilima (ELVs) u periodu 2017–2023.</w:t>
      </w:r>
    </w:p>
    <w:p w14:paraId="5772DACF" w14:textId="77777777" w:rsidR="00C23D65" w:rsidRPr="00C86111" w:rsidRDefault="00C23D65" w:rsidP="00C23D65">
      <w:pPr>
        <w:jc w:val="both"/>
        <w:rPr>
          <w:rFonts w:asciiTheme="minorHAnsi" w:hAnsiTheme="minorHAnsi" w:cstheme="minorHAnsi"/>
          <w:color w:val="auto"/>
          <w:szCs w:val="24"/>
        </w:rPr>
      </w:pPr>
    </w:p>
    <w:p w14:paraId="6C411A67" w14:textId="4717F71D"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Tabela </w:t>
      </w:r>
      <w:r w:rsidR="00D95B9C" w:rsidRPr="00C86111">
        <w:rPr>
          <w:rFonts w:asciiTheme="minorHAnsi" w:hAnsiTheme="minorHAnsi" w:cstheme="minorHAnsi"/>
          <w:b/>
          <w:bCs/>
          <w:color w:val="auto"/>
          <w:szCs w:val="24"/>
        </w:rPr>
        <w:t>59</w:t>
      </w: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Količina decaBDE u procijenjenim end-of-life vozilima (ELVs) u periodu 2017–2023</w:t>
      </w:r>
    </w:p>
    <w:tbl>
      <w:tblPr>
        <w:tblStyle w:val="GridTable5Dark-Accent6"/>
        <w:tblW w:w="0" w:type="auto"/>
        <w:tblLook w:val="04A0" w:firstRow="1" w:lastRow="0" w:firstColumn="1" w:lastColumn="0" w:noHBand="0" w:noVBand="1"/>
      </w:tblPr>
      <w:tblGrid>
        <w:gridCol w:w="814"/>
        <w:gridCol w:w="2573"/>
        <w:gridCol w:w="1389"/>
        <w:gridCol w:w="2278"/>
        <w:gridCol w:w="2296"/>
      </w:tblGrid>
      <w:tr w:rsidR="00C23D65" w:rsidRPr="00C86111" w14:paraId="5D965B85" w14:textId="77777777" w:rsidTr="00C23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FFFFFF" w:themeColor="background1"/>
            </w:tcBorders>
            <w:hideMark/>
          </w:tcPr>
          <w:p w14:paraId="1F570423" w14:textId="77777777" w:rsidR="00C23D65" w:rsidRPr="00C86111" w:rsidRDefault="00C23D65">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Godina</w:t>
            </w:r>
          </w:p>
        </w:tc>
        <w:tc>
          <w:tcPr>
            <w:tcW w:w="0" w:type="auto"/>
            <w:tcBorders>
              <w:bottom w:val="single" w:sz="4" w:space="0" w:color="FFFFFF" w:themeColor="background1"/>
            </w:tcBorders>
            <w:hideMark/>
          </w:tcPr>
          <w:p w14:paraId="68466A03"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Procijenjena količina ELV (kom)</w:t>
            </w:r>
          </w:p>
        </w:tc>
        <w:tc>
          <w:tcPr>
            <w:tcW w:w="0" w:type="auto"/>
            <w:tcBorders>
              <w:bottom w:val="single" w:sz="4" w:space="0" w:color="FFFFFF" w:themeColor="background1"/>
            </w:tcBorders>
            <w:hideMark/>
          </w:tcPr>
          <w:p w14:paraId="705DD0E0"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Sadržaj ASR (g)</w:t>
            </w:r>
          </w:p>
        </w:tc>
        <w:tc>
          <w:tcPr>
            <w:tcW w:w="0" w:type="auto"/>
            <w:tcBorders>
              <w:bottom w:val="single" w:sz="4" w:space="0" w:color="FFFFFF" w:themeColor="background1"/>
            </w:tcBorders>
            <w:hideMark/>
          </w:tcPr>
          <w:p w14:paraId="5A230EC5"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DecaBDE – bolji scenario (g)</w:t>
            </w:r>
          </w:p>
        </w:tc>
        <w:tc>
          <w:tcPr>
            <w:tcW w:w="0" w:type="auto"/>
            <w:tcBorders>
              <w:bottom w:val="single" w:sz="4" w:space="0" w:color="FFFFFF" w:themeColor="background1"/>
            </w:tcBorders>
            <w:hideMark/>
          </w:tcPr>
          <w:p w14:paraId="0DFA7CE7" w14:textId="77777777" w:rsidR="00C23D65" w:rsidRPr="00C86111" w:rsidRDefault="00C23D6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DecaBDE – lošiji scenario (g)</w:t>
            </w:r>
          </w:p>
        </w:tc>
      </w:tr>
      <w:tr w:rsidR="00C23D65" w:rsidRPr="00C86111" w14:paraId="77D6733F"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6C41E098"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6521AE9"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12.699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6DF2182"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2.539.853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91528EE"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507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BD00ED8"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2.733</w:t>
            </w:r>
          </w:p>
        </w:tc>
      </w:tr>
      <w:tr w:rsidR="00C23D65" w:rsidRPr="00C86111" w14:paraId="21957B93"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79101E9C"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A734812"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13.321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3A0CF0E"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2.664.285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B3410F2"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533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77AEAFB"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2.867</w:t>
            </w:r>
          </w:p>
        </w:tc>
      </w:tr>
      <w:tr w:rsidR="00C23D65" w:rsidRPr="00C86111" w14:paraId="69EC8F49"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7EB26873"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2019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D5E10DF"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14.149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CB9EFB0"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2.829.738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42D0103"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566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8CB446"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3.045</w:t>
            </w:r>
          </w:p>
        </w:tc>
      </w:tr>
      <w:tr w:rsidR="00C23D65" w:rsidRPr="00C86111" w14:paraId="58A43135"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3341C3A7"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CFBB93A"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13.143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FFDE4EC"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2.628.655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A441F82"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526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27975AD"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2.828</w:t>
            </w:r>
          </w:p>
        </w:tc>
      </w:tr>
      <w:tr w:rsidR="00C23D65" w:rsidRPr="00C86111" w14:paraId="103BDA19"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2E00A369"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989AEDC"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14.071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206253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2.814.193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0CE42B0"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563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3E12B03"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3.028</w:t>
            </w:r>
          </w:p>
        </w:tc>
      </w:tr>
      <w:tr w:rsidR="00C23D65" w:rsidRPr="00C86111" w14:paraId="1B46A183" w14:textId="77777777" w:rsidTr="00C23D65">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632AB9E9"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92B0EC3"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14.484</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3E236FF"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2.896.751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647456"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579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0CFB459" w14:textId="77777777" w:rsidR="00C23D65" w:rsidRPr="00C86111" w:rsidRDefault="00C23D6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3.117</w:t>
            </w:r>
          </w:p>
        </w:tc>
      </w:tr>
      <w:tr w:rsidR="00C23D65" w:rsidRPr="00C86111" w14:paraId="3EFA7600" w14:textId="77777777" w:rsidTr="00C23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right w:val="single" w:sz="4" w:space="0" w:color="FFFFFF" w:themeColor="background1"/>
            </w:tcBorders>
            <w:hideMark/>
          </w:tcPr>
          <w:p w14:paraId="7FAED6A2" w14:textId="77777777" w:rsidR="00C23D65" w:rsidRPr="00C86111" w:rsidRDefault="00C23D65">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2023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16CFFF5"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15.468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DA444A0"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3.093.500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1E99A40"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619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9CF40ED" w14:textId="77777777" w:rsidR="00C23D65" w:rsidRPr="00C86111" w:rsidRDefault="00C23D6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3.329</w:t>
            </w:r>
          </w:p>
        </w:tc>
      </w:tr>
    </w:tbl>
    <w:p w14:paraId="298DB6CB" w14:textId="77777777" w:rsidR="00C23D65" w:rsidRPr="00C86111" w:rsidRDefault="00C23D65" w:rsidP="00C23D65">
      <w:pPr>
        <w:pStyle w:val="Text"/>
        <w:jc w:val="both"/>
        <w:rPr>
          <w:rFonts w:asciiTheme="minorHAnsi" w:hAnsiTheme="minorHAnsi" w:cstheme="minorHAnsi"/>
          <w:sz w:val="24"/>
          <w:szCs w:val="24"/>
        </w:rPr>
      </w:pPr>
    </w:p>
    <w:p w14:paraId="3CAA4697" w14:textId="035B072A" w:rsidR="00C23D65" w:rsidRPr="00C86111" w:rsidRDefault="00C23D65" w:rsidP="00C23D65">
      <w:pPr>
        <w:pStyle w:val="Text"/>
        <w:jc w:val="both"/>
        <w:rPr>
          <w:rFonts w:asciiTheme="minorHAnsi" w:hAnsiTheme="minorHAnsi" w:cstheme="minorHAnsi"/>
          <w:b/>
          <w:bCs/>
          <w:sz w:val="24"/>
          <w:szCs w:val="24"/>
        </w:rPr>
      </w:pPr>
      <w:r w:rsidRPr="00C86111">
        <w:rPr>
          <w:rFonts w:asciiTheme="minorHAnsi" w:hAnsiTheme="minorHAnsi" w:cstheme="minorHAnsi"/>
          <w:sz w:val="24"/>
          <w:szCs w:val="24"/>
        </w:rPr>
        <w:t xml:space="preserve">Grafički prikaz sadržaja decaBDE-a za period 2017–2023. u procijenjenoj količini vozila na otpadu prikazan je na </w:t>
      </w:r>
      <w:r w:rsidR="00D95B9C" w:rsidRPr="00C86111">
        <w:rPr>
          <w:rFonts w:asciiTheme="minorHAnsi" w:hAnsiTheme="minorHAnsi" w:cstheme="minorHAnsi"/>
          <w:sz w:val="24"/>
          <w:szCs w:val="24"/>
        </w:rPr>
        <w:t>Grafiku</w:t>
      </w:r>
      <w:r w:rsidRPr="00C86111">
        <w:rPr>
          <w:rFonts w:asciiTheme="minorHAnsi" w:hAnsiTheme="minorHAnsi" w:cstheme="minorHAnsi"/>
          <w:sz w:val="24"/>
          <w:szCs w:val="24"/>
        </w:rPr>
        <w:t xml:space="preserve"> </w:t>
      </w:r>
      <w:r w:rsidR="00547278">
        <w:rPr>
          <w:rFonts w:asciiTheme="minorHAnsi" w:hAnsiTheme="minorHAnsi" w:cstheme="minorHAnsi"/>
          <w:sz w:val="24"/>
          <w:szCs w:val="24"/>
        </w:rPr>
        <w:t>21</w:t>
      </w:r>
      <w:r w:rsidRPr="00C86111">
        <w:rPr>
          <w:rFonts w:asciiTheme="minorHAnsi" w:hAnsiTheme="minorHAnsi" w:cstheme="minorHAnsi"/>
          <w:b/>
          <w:bCs/>
          <w:sz w:val="24"/>
          <w:szCs w:val="24"/>
        </w:rPr>
        <w:t>.</w:t>
      </w:r>
    </w:p>
    <w:p w14:paraId="499A67F6" w14:textId="12770403" w:rsidR="00C23D65" w:rsidRPr="00C86111" w:rsidRDefault="00C23D65" w:rsidP="00D95B9C">
      <w:pPr>
        <w:pStyle w:val="Text"/>
        <w:spacing w:after="0"/>
        <w:jc w:val="center"/>
        <w:rPr>
          <w:rFonts w:asciiTheme="minorHAnsi" w:hAnsiTheme="minorHAnsi" w:cstheme="minorHAnsi"/>
          <w:b/>
          <w:bCs/>
          <w:sz w:val="24"/>
          <w:szCs w:val="24"/>
        </w:rPr>
      </w:pPr>
      <w:r w:rsidRPr="00C86111">
        <w:rPr>
          <w:noProof/>
        </w:rPr>
        <w:drawing>
          <wp:inline distT="0" distB="0" distL="0" distR="0" wp14:anchorId="6BE27F1D" wp14:editId="306E4C6F">
            <wp:extent cx="4815840" cy="2179320"/>
            <wp:effectExtent l="0" t="0" r="3810" b="11430"/>
            <wp:docPr id="1569279468" name="Chart 1569279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3931F36" w14:textId="656DB24D" w:rsidR="00C23D65" w:rsidRPr="00C86111" w:rsidRDefault="00D95B9C" w:rsidP="00C23D65">
      <w:pPr>
        <w:pStyle w:val="Text"/>
        <w:spacing w:after="0"/>
        <w:jc w:val="both"/>
        <w:rPr>
          <w:rFonts w:asciiTheme="minorHAnsi" w:hAnsiTheme="minorHAnsi" w:cstheme="minorHAnsi"/>
          <w:sz w:val="24"/>
          <w:szCs w:val="24"/>
        </w:rPr>
      </w:pPr>
      <w:r w:rsidRPr="00C86111">
        <w:rPr>
          <w:rFonts w:asciiTheme="minorHAnsi" w:hAnsiTheme="minorHAnsi" w:cstheme="minorHAnsi"/>
          <w:b/>
          <w:bCs/>
          <w:sz w:val="24"/>
          <w:szCs w:val="24"/>
        </w:rPr>
        <w:t>Grafik</w:t>
      </w:r>
      <w:r w:rsidR="00C23D65" w:rsidRPr="00C86111">
        <w:rPr>
          <w:rFonts w:asciiTheme="minorHAnsi" w:hAnsiTheme="minorHAnsi" w:cstheme="minorHAnsi"/>
          <w:b/>
          <w:bCs/>
          <w:sz w:val="24"/>
          <w:szCs w:val="24"/>
        </w:rPr>
        <w:t xml:space="preserve"> </w:t>
      </w:r>
      <w:r w:rsidR="00547278">
        <w:rPr>
          <w:rFonts w:asciiTheme="minorHAnsi" w:hAnsiTheme="minorHAnsi" w:cstheme="minorHAnsi"/>
          <w:b/>
          <w:bCs/>
          <w:sz w:val="24"/>
          <w:szCs w:val="24"/>
        </w:rPr>
        <w:t>21</w:t>
      </w:r>
      <w:r w:rsidR="00C23D65" w:rsidRPr="00C86111">
        <w:rPr>
          <w:rFonts w:asciiTheme="minorHAnsi" w:hAnsiTheme="minorHAnsi" w:cstheme="minorHAnsi"/>
          <w:b/>
          <w:bCs/>
          <w:sz w:val="24"/>
          <w:szCs w:val="24"/>
        </w:rPr>
        <w:t xml:space="preserve">. </w:t>
      </w:r>
      <w:r w:rsidR="00C23D65" w:rsidRPr="00C86111">
        <w:rPr>
          <w:rFonts w:asciiTheme="minorHAnsi" w:hAnsiTheme="minorHAnsi" w:cstheme="minorHAnsi"/>
          <w:sz w:val="24"/>
          <w:szCs w:val="24"/>
        </w:rPr>
        <w:t>Grafički prikaz sadržaja dekaBDE u procijenjenoj količini vozila na kraju životnog vijeka (2017–2023)</w:t>
      </w:r>
    </w:p>
    <w:p w14:paraId="45AA39E9" w14:textId="77777777" w:rsidR="00D95B9C" w:rsidRPr="00C86111" w:rsidRDefault="00D95B9C" w:rsidP="00C23D65">
      <w:pPr>
        <w:pStyle w:val="Text"/>
        <w:spacing w:after="0"/>
        <w:jc w:val="both"/>
        <w:rPr>
          <w:rFonts w:asciiTheme="minorHAnsi" w:hAnsiTheme="minorHAnsi" w:cstheme="minorHAnsi"/>
          <w:sz w:val="24"/>
          <w:szCs w:val="24"/>
        </w:rPr>
      </w:pPr>
    </w:p>
    <w:p w14:paraId="7E212218"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b/>
          <w:bCs/>
          <w:color w:val="002060"/>
          <w:szCs w:val="24"/>
        </w:rPr>
        <w:lastRenderedPageBreak/>
        <w:t>Zaključak:</w:t>
      </w:r>
      <w:r w:rsidRPr="00C86111">
        <w:rPr>
          <w:rFonts w:asciiTheme="minorHAnsi" w:hAnsiTheme="minorHAnsi" w:cstheme="minorHAnsi"/>
          <w:color w:val="auto"/>
          <w:szCs w:val="24"/>
        </w:rPr>
        <w:t xml:space="preserve"> DecaBDE ostaje prisutan u ELV-ovima i ASR-u, što naglašava potrebu za efikasnim mjerama separacije i sigurnog zbrinjavanja kako bi se smanjio uticaj ovog perzistentnog zagađivača na životnu sredinu.</w:t>
      </w:r>
    </w:p>
    <w:p w14:paraId="4488C69A" w14:textId="77777777" w:rsidR="00C23D65" w:rsidRPr="00C86111" w:rsidRDefault="00C23D65" w:rsidP="00EA6904">
      <w:pPr>
        <w:pStyle w:val="Heading3"/>
      </w:pPr>
      <w:bookmarkStart w:id="108" w:name="_Toc220541909"/>
      <w:bookmarkStart w:id="109" w:name="_Hlk215608872"/>
      <w:r w:rsidRPr="00C86111">
        <w:t>Upravljanje otpadom u Crnoj Gori i rizici izloženosti</w:t>
      </w:r>
      <w:bookmarkEnd w:id="108"/>
    </w:p>
    <w:p w14:paraId="4E37C814" w14:textId="77777777" w:rsidR="00C23D65" w:rsidRPr="00C86111" w:rsidRDefault="00C23D65" w:rsidP="00C23D65">
      <w:pPr>
        <w:jc w:val="both"/>
        <w:rPr>
          <w:rFonts w:asciiTheme="minorHAnsi" w:hAnsiTheme="minorHAnsi" w:cstheme="minorHAnsi"/>
          <w:b/>
          <w:bCs/>
          <w:color w:val="auto"/>
          <w:szCs w:val="24"/>
        </w:rPr>
      </w:pPr>
    </w:p>
    <w:p w14:paraId="4D0381B4"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U Crnoj Gori, upravljanje otpadom regulisano je Zakonom o upravljanju otpadom („Službeni list Crne Gore“, br. 034/24, 092/24), koji je usklađen sa zakonodavstvom EU o proširenoj odgovornosti proizvođača (EPR), otpadnoj električnoj i elektroničkoj opremi (WEEE) i vozilima na kraju životnog vijeka (ELV).</w:t>
      </w:r>
    </w:p>
    <w:p w14:paraId="1A93B973"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Glavni izazovi se odnose više na sprovođenje zakona i praćenje tokova otpada, nego na samu legislativu. Ključni problemi uključuju:</w:t>
      </w:r>
    </w:p>
    <w:p w14:paraId="303E2933" w14:textId="77777777" w:rsidR="00C23D65" w:rsidRPr="00C86111" w:rsidRDefault="00C23D65" w:rsidP="00004F34">
      <w:pPr>
        <w:numPr>
          <w:ilvl w:val="0"/>
          <w:numId w:val="203"/>
        </w:numPr>
        <w:jc w:val="both"/>
        <w:rPr>
          <w:rFonts w:asciiTheme="minorHAnsi" w:hAnsiTheme="minorHAnsi" w:cstheme="minorHAnsi"/>
          <w:color w:val="auto"/>
          <w:szCs w:val="24"/>
        </w:rPr>
      </w:pPr>
      <w:r w:rsidRPr="00C86111">
        <w:rPr>
          <w:rFonts w:asciiTheme="minorHAnsi" w:hAnsiTheme="minorHAnsi" w:cstheme="minorHAnsi"/>
          <w:color w:val="auto"/>
          <w:szCs w:val="24"/>
        </w:rPr>
        <w:t>Neadekvatno upravljanje otpadom i podacima: Trenutna statistika otpada je nepotpuna i nekonzistentna, što dovodi do oslanjanja na procjene umjesto na tačne, provjerljive podatke.</w:t>
      </w:r>
    </w:p>
    <w:p w14:paraId="5BBF5AC0" w14:textId="77777777" w:rsidR="00C23D65" w:rsidRPr="00C86111" w:rsidRDefault="00C23D65" w:rsidP="00004F34">
      <w:pPr>
        <w:numPr>
          <w:ilvl w:val="0"/>
          <w:numId w:val="203"/>
        </w:numPr>
        <w:jc w:val="both"/>
        <w:rPr>
          <w:rFonts w:asciiTheme="minorHAnsi" w:hAnsiTheme="minorHAnsi" w:cstheme="minorHAnsi"/>
          <w:color w:val="auto"/>
          <w:szCs w:val="24"/>
        </w:rPr>
      </w:pPr>
      <w:r w:rsidRPr="00C86111">
        <w:rPr>
          <w:rFonts w:asciiTheme="minorHAnsi" w:hAnsiTheme="minorHAnsi" w:cstheme="minorHAnsi"/>
          <w:color w:val="auto"/>
          <w:szCs w:val="24"/>
        </w:rPr>
        <w:t>Nepotpuno pokrivanje podataka: Nedostaju informacije za sve relevantne kategorije otpada, posebno one koje sadrže POPs-PBDE.</w:t>
      </w:r>
    </w:p>
    <w:p w14:paraId="57094DB1" w14:textId="77777777" w:rsidR="00C23D65" w:rsidRPr="00C86111" w:rsidRDefault="00C23D65" w:rsidP="00004F34">
      <w:pPr>
        <w:numPr>
          <w:ilvl w:val="0"/>
          <w:numId w:val="203"/>
        </w:numPr>
        <w:jc w:val="both"/>
        <w:rPr>
          <w:rFonts w:asciiTheme="minorHAnsi" w:hAnsiTheme="minorHAnsi" w:cstheme="minorHAnsi"/>
          <w:color w:val="auto"/>
          <w:szCs w:val="24"/>
        </w:rPr>
      </w:pPr>
      <w:r w:rsidRPr="00C86111">
        <w:rPr>
          <w:rFonts w:asciiTheme="minorHAnsi" w:hAnsiTheme="minorHAnsi" w:cstheme="minorHAnsi"/>
          <w:color w:val="auto"/>
          <w:szCs w:val="24"/>
        </w:rPr>
        <w:t>Ograničena svijest o opasnostima: Opšta populacija nije dovoljno informisana o rizicima koje predstavljaju POP hemikalije.</w:t>
      </w:r>
    </w:p>
    <w:p w14:paraId="1AF66641" w14:textId="77777777" w:rsidR="00C23D65" w:rsidRPr="00C86111" w:rsidRDefault="00C23D65" w:rsidP="00004F34">
      <w:pPr>
        <w:numPr>
          <w:ilvl w:val="0"/>
          <w:numId w:val="203"/>
        </w:numPr>
        <w:jc w:val="both"/>
        <w:rPr>
          <w:rFonts w:asciiTheme="minorHAnsi" w:hAnsiTheme="minorHAnsi" w:cstheme="minorHAnsi"/>
          <w:color w:val="auto"/>
          <w:szCs w:val="24"/>
        </w:rPr>
      </w:pPr>
      <w:r w:rsidRPr="00C86111">
        <w:rPr>
          <w:rFonts w:asciiTheme="minorHAnsi" w:hAnsiTheme="minorHAnsi" w:cstheme="minorHAnsi"/>
          <w:color w:val="auto"/>
          <w:szCs w:val="24"/>
        </w:rPr>
        <w:t>Nedostatak monitoringa životne sredine i hrane: Podaci o sadržaju PBDE u životnoj sredini i hrani su oskudni i dostupni samo kroz sporadične studije.</w:t>
      </w:r>
    </w:p>
    <w:p w14:paraId="79BD951D" w14:textId="77777777" w:rsidR="00C23D65" w:rsidRPr="00C86111" w:rsidRDefault="00C23D65" w:rsidP="00C23D65">
      <w:pPr>
        <w:jc w:val="both"/>
        <w:rPr>
          <w:rFonts w:asciiTheme="minorHAnsi" w:hAnsiTheme="minorHAnsi" w:cstheme="minorHAnsi"/>
          <w:color w:val="auto"/>
          <w:szCs w:val="24"/>
        </w:rPr>
      </w:pPr>
    </w:p>
    <w:p w14:paraId="790E8101"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Posebna zabrinutost se odnosi na angažman romske (RAI) populacije u neformalnim reciklažnim aktivnostima. Članovi ove grupe često rastavljaju dijelove vozila na kraju životnog vijeka, uključujući plastiku i druge komponente koje mogu sadržati PBDE, što dovodi do direktne izloženosti ovim postojanim hemikalijama. U ovom kontekstu, preporučuje se podizanje svijesti o zdravstvenim i ekološkim rizicima, bez davanja uputstava za rukovanje, jer je ova aktivnost nelegalna.</w:t>
      </w:r>
    </w:p>
    <w:p w14:paraId="3C77ECCA" w14:textId="77777777" w:rsidR="00C23D65" w:rsidRPr="00C86111" w:rsidRDefault="00C23D65" w:rsidP="00C23D65">
      <w:pPr>
        <w:jc w:val="both"/>
        <w:rPr>
          <w:rFonts w:asciiTheme="minorHAnsi" w:hAnsiTheme="minorHAnsi" w:cstheme="minorHAnsi"/>
          <w:color w:val="auto"/>
          <w:szCs w:val="24"/>
        </w:rPr>
      </w:pPr>
    </w:p>
    <w:p w14:paraId="5FC3CABC"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Dodatni izazovi uključuju kontaminirane lokacije i deponije otpada, gdje materijali koji sadrže PBDE iz prethodnih industrijskih ili komunalnih aktivnosti i dalje mogu biti prisutni.</w:t>
      </w:r>
    </w:p>
    <w:p w14:paraId="0778C1B0" w14:textId="77777777" w:rsidR="00C23D65" w:rsidRPr="00C86111" w:rsidRDefault="00C23D65" w:rsidP="00EA6904">
      <w:pPr>
        <w:pStyle w:val="Heading4"/>
      </w:pPr>
      <w:r w:rsidRPr="00C86111">
        <w:t>Diskusija rezultata inventara</w:t>
      </w:r>
    </w:p>
    <w:p w14:paraId="45D801ED"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Ovaj dio se fokusira na analizu i tumačenje rezultata inventara PBDE i HBB u transportnom i EEE sektoru.</w:t>
      </w:r>
    </w:p>
    <w:p w14:paraId="0ACEAF40" w14:textId="77777777" w:rsidR="00C23D65" w:rsidRPr="00C86111" w:rsidRDefault="00C23D65" w:rsidP="00004F34">
      <w:pPr>
        <w:numPr>
          <w:ilvl w:val="0"/>
          <w:numId w:val="204"/>
        </w:numPr>
        <w:jc w:val="both"/>
        <w:rPr>
          <w:rFonts w:asciiTheme="minorHAnsi" w:hAnsiTheme="minorHAnsi" w:cstheme="minorHAnsi"/>
          <w:color w:val="auto"/>
          <w:szCs w:val="24"/>
        </w:rPr>
      </w:pPr>
      <w:r w:rsidRPr="00C86111">
        <w:rPr>
          <w:rFonts w:asciiTheme="minorHAnsi" w:hAnsiTheme="minorHAnsi" w:cstheme="minorHAnsi"/>
          <w:color w:val="auto"/>
          <w:szCs w:val="24"/>
        </w:rPr>
        <w:t>Inventar je pokazao da su transportni i EEE sektori glavni putevi ulaska PBDE u Crnu Goru, prvenstveno kroz uvoz vozila i elektroničke opreme.</w:t>
      </w:r>
    </w:p>
    <w:p w14:paraId="3625EF09" w14:textId="77777777" w:rsidR="00C23D65" w:rsidRPr="00C86111" w:rsidRDefault="00C23D65" w:rsidP="00004F34">
      <w:pPr>
        <w:numPr>
          <w:ilvl w:val="0"/>
          <w:numId w:val="204"/>
        </w:numPr>
        <w:jc w:val="both"/>
        <w:rPr>
          <w:rFonts w:asciiTheme="minorHAnsi" w:hAnsiTheme="minorHAnsi" w:cstheme="minorHAnsi"/>
          <w:color w:val="auto"/>
          <w:szCs w:val="24"/>
        </w:rPr>
      </w:pPr>
      <w:r w:rsidRPr="00C86111">
        <w:rPr>
          <w:rFonts w:asciiTheme="minorHAnsi" w:hAnsiTheme="minorHAnsi" w:cstheme="minorHAnsi"/>
          <w:color w:val="auto"/>
          <w:szCs w:val="24"/>
        </w:rPr>
        <w:t>Takođe je istaknuto da neformalna reciklaža, posebno od strane RAI populacije, predstavlja direktan put izloženosti ovim postojanim hemikalijama.</w:t>
      </w:r>
    </w:p>
    <w:p w14:paraId="684FFC5E" w14:textId="77777777" w:rsidR="00C23D65" w:rsidRPr="00C86111" w:rsidRDefault="00C23D65" w:rsidP="00004F34">
      <w:pPr>
        <w:numPr>
          <w:ilvl w:val="0"/>
          <w:numId w:val="204"/>
        </w:numPr>
        <w:jc w:val="both"/>
        <w:rPr>
          <w:rFonts w:asciiTheme="minorHAnsi" w:hAnsiTheme="minorHAnsi" w:cstheme="minorHAnsi"/>
          <w:color w:val="auto"/>
          <w:szCs w:val="24"/>
        </w:rPr>
      </w:pPr>
      <w:r w:rsidRPr="00C86111">
        <w:rPr>
          <w:rFonts w:asciiTheme="minorHAnsi" w:hAnsiTheme="minorHAnsi" w:cstheme="minorHAnsi"/>
          <w:color w:val="auto"/>
          <w:szCs w:val="24"/>
        </w:rPr>
        <w:t>Rezultati ukazuju na opadajući trend ukupnog opterećenja PBDE u vozilima, naročito u putničkim automobilima, ali rizik ostaje značajan, naglašavajući potrebu za pravilnim praćenjem i upravljanjem.</w:t>
      </w:r>
    </w:p>
    <w:p w14:paraId="5F9182A8" w14:textId="77777777" w:rsidR="00C23D65" w:rsidRPr="00C86111" w:rsidRDefault="00C23D65" w:rsidP="00004F34">
      <w:pPr>
        <w:numPr>
          <w:ilvl w:val="0"/>
          <w:numId w:val="204"/>
        </w:num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Nedostaci u statistici otpada, podacima o hemijskom sastavu i monitoring životne sredine ograničavaju tačnost inventara.</w:t>
      </w:r>
    </w:p>
    <w:p w14:paraId="6C4E3F12" w14:textId="77777777" w:rsidR="00C23D65" w:rsidRPr="00C86111" w:rsidRDefault="00C23D65" w:rsidP="00004F34">
      <w:pPr>
        <w:numPr>
          <w:ilvl w:val="0"/>
          <w:numId w:val="204"/>
        </w:numPr>
        <w:jc w:val="both"/>
        <w:rPr>
          <w:rFonts w:asciiTheme="minorHAnsi" w:hAnsiTheme="minorHAnsi" w:cstheme="minorHAnsi"/>
          <w:color w:val="auto"/>
          <w:szCs w:val="24"/>
        </w:rPr>
      </w:pPr>
      <w:r w:rsidRPr="00C86111">
        <w:rPr>
          <w:rFonts w:asciiTheme="minorHAnsi" w:hAnsiTheme="minorHAnsi" w:cstheme="minorHAnsi"/>
          <w:color w:val="auto"/>
          <w:szCs w:val="24"/>
        </w:rPr>
        <w:t>Posebna pažnja posvećena je kontaminiranim lokacijama i starim deponijama, gdje PBDE materijali iz prethodnih aktivnosti i dalje mogu biti prisutni.</w:t>
      </w:r>
    </w:p>
    <w:p w14:paraId="10D67FCA"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Ova diskusija omogućava identifikaciju ključnih izazova i praznina, čime se stvara osnova za preporuke i mjere u okviru Nacionalnog implementacionog plana (NIP).</w:t>
      </w:r>
    </w:p>
    <w:p w14:paraId="330DF2D5" w14:textId="77777777" w:rsidR="00C23D65" w:rsidRPr="00C86111" w:rsidRDefault="00C23D65" w:rsidP="00004F34">
      <w:pPr>
        <w:pStyle w:val="Heading1"/>
        <w:numPr>
          <w:ilvl w:val="1"/>
          <w:numId w:val="238"/>
        </w:numPr>
      </w:pPr>
      <w:bookmarkStart w:id="110" w:name="_Toc220541910"/>
      <w:r w:rsidRPr="00C86111">
        <w:t>Zaključci i elementi za djelovanje</w:t>
      </w:r>
      <w:bookmarkEnd w:id="110"/>
    </w:p>
    <w:p w14:paraId="0D06221C"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Ovo poglavlje iznosi zaključke zasnovane na nalazima i proračunima inventara PBDE i HBB, kao i uvide izvedene iz diskusije rezultata inventara. Rezultat je lista problema, praznina, izazova i preporučenih aktivnosti.</w:t>
      </w:r>
    </w:p>
    <w:p w14:paraId="3F57390E"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Ključni zaključci:</w:t>
      </w:r>
    </w:p>
    <w:p w14:paraId="1034A05C" w14:textId="77777777" w:rsidR="00C23D65" w:rsidRPr="00C86111" w:rsidRDefault="00C23D65" w:rsidP="00004F34">
      <w:pPr>
        <w:numPr>
          <w:ilvl w:val="0"/>
          <w:numId w:val="205"/>
        </w:numPr>
        <w:jc w:val="both"/>
        <w:rPr>
          <w:rFonts w:asciiTheme="minorHAnsi" w:hAnsiTheme="minorHAnsi" w:cstheme="minorHAnsi"/>
          <w:color w:val="auto"/>
          <w:szCs w:val="24"/>
        </w:rPr>
      </w:pPr>
      <w:r w:rsidRPr="00C86111">
        <w:rPr>
          <w:rFonts w:asciiTheme="minorHAnsi" w:hAnsiTheme="minorHAnsi" w:cstheme="minorHAnsi"/>
          <w:color w:val="auto"/>
          <w:szCs w:val="24"/>
        </w:rPr>
        <w:t>Glavni putevi ulaska PBDE u Crnu Goru su transportni i EEE sektori, putem uvoza vozila i elektroničke opreme.</w:t>
      </w:r>
    </w:p>
    <w:p w14:paraId="4DF8ADD5" w14:textId="77777777" w:rsidR="00C23D65" w:rsidRPr="00C86111" w:rsidRDefault="00C23D65" w:rsidP="00004F34">
      <w:pPr>
        <w:numPr>
          <w:ilvl w:val="0"/>
          <w:numId w:val="205"/>
        </w:numPr>
        <w:jc w:val="both"/>
        <w:rPr>
          <w:rFonts w:asciiTheme="minorHAnsi" w:hAnsiTheme="minorHAnsi" w:cstheme="minorHAnsi"/>
          <w:color w:val="auto"/>
          <w:szCs w:val="24"/>
        </w:rPr>
      </w:pPr>
      <w:r w:rsidRPr="00C86111">
        <w:rPr>
          <w:rFonts w:asciiTheme="minorHAnsi" w:hAnsiTheme="minorHAnsi" w:cstheme="minorHAnsi"/>
          <w:color w:val="auto"/>
          <w:szCs w:val="24"/>
        </w:rPr>
        <w:t>Neformalna reciklaža, posebno od strane RAI populacije, predstavlja direktan put izloženosti; preporučuje se informisanje RAI populacije o rizicima izloženosti</w:t>
      </w:r>
    </w:p>
    <w:p w14:paraId="583197FF" w14:textId="77777777" w:rsidR="00C23D65" w:rsidRPr="00C86111" w:rsidRDefault="00C23D65" w:rsidP="00004F34">
      <w:pPr>
        <w:numPr>
          <w:ilvl w:val="0"/>
          <w:numId w:val="205"/>
        </w:numPr>
        <w:jc w:val="both"/>
        <w:rPr>
          <w:rFonts w:asciiTheme="minorHAnsi" w:hAnsiTheme="minorHAnsi" w:cstheme="minorHAnsi"/>
          <w:color w:val="auto"/>
          <w:szCs w:val="24"/>
        </w:rPr>
      </w:pPr>
      <w:r w:rsidRPr="00C86111">
        <w:rPr>
          <w:rFonts w:asciiTheme="minorHAnsi" w:hAnsiTheme="minorHAnsi" w:cstheme="minorHAnsi"/>
          <w:color w:val="auto"/>
          <w:szCs w:val="24"/>
        </w:rPr>
        <w:t>Ukupno opterećenje PBDE u vozilima je u opadanju, ali i dalje značajno, posebno kod putničkih automobila.</w:t>
      </w:r>
    </w:p>
    <w:p w14:paraId="01A106C1" w14:textId="77777777" w:rsidR="00C23D65" w:rsidRPr="00C86111" w:rsidRDefault="00C23D65" w:rsidP="00004F34">
      <w:pPr>
        <w:numPr>
          <w:ilvl w:val="0"/>
          <w:numId w:val="205"/>
        </w:numPr>
        <w:jc w:val="both"/>
        <w:rPr>
          <w:rFonts w:asciiTheme="minorHAnsi" w:hAnsiTheme="minorHAnsi" w:cstheme="minorHAnsi"/>
          <w:color w:val="auto"/>
          <w:szCs w:val="24"/>
        </w:rPr>
      </w:pPr>
      <w:r w:rsidRPr="00C86111">
        <w:rPr>
          <w:rFonts w:asciiTheme="minorHAnsi" w:hAnsiTheme="minorHAnsi" w:cstheme="minorHAnsi"/>
          <w:color w:val="auto"/>
          <w:szCs w:val="24"/>
        </w:rPr>
        <w:t>Nedostatak statistike otpada i podataka o hemijskom sastavu ograničava tačnost inventara.</w:t>
      </w:r>
    </w:p>
    <w:p w14:paraId="198CC9EC" w14:textId="77777777" w:rsidR="00C23D65" w:rsidRPr="00C86111" w:rsidRDefault="00C23D65" w:rsidP="00004F34">
      <w:pPr>
        <w:numPr>
          <w:ilvl w:val="0"/>
          <w:numId w:val="205"/>
        </w:numPr>
        <w:jc w:val="both"/>
        <w:rPr>
          <w:rFonts w:asciiTheme="minorHAnsi" w:hAnsiTheme="minorHAnsi" w:cstheme="minorHAnsi"/>
          <w:color w:val="auto"/>
          <w:szCs w:val="24"/>
        </w:rPr>
      </w:pPr>
      <w:r w:rsidRPr="00C86111">
        <w:rPr>
          <w:rFonts w:asciiTheme="minorHAnsi" w:hAnsiTheme="minorHAnsi" w:cstheme="minorHAnsi"/>
          <w:color w:val="auto"/>
          <w:szCs w:val="24"/>
        </w:rPr>
        <w:t>Kontaminirane lokacije i stare deponije i dalje mogu sadržavati PBDE iz ranijih aktivnosti.</w:t>
      </w:r>
    </w:p>
    <w:p w14:paraId="492B11DD"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Identifikovane praznine i izazovi:</w:t>
      </w:r>
    </w:p>
    <w:p w14:paraId="14593A4B" w14:textId="77777777" w:rsidR="00C23D65" w:rsidRPr="00C86111" w:rsidRDefault="00C23D65" w:rsidP="00004F34">
      <w:pPr>
        <w:numPr>
          <w:ilvl w:val="0"/>
          <w:numId w:val="206"/>
        </w:numPr>
        <w:jc w:val="both"/>
        <w:rPr>
          <w:rFonts w:asciiTheme="minorHAnsi" w:hAnsiTheme="minorHAnsi" w:cstheme="minorHAnsi"/>
          <w:color w:val="auto"/>
          <w:szCs w:val="24"/>
        </w:rPr>
      </w:pPr>
      <w:r w:rsidRPr="00C86111">
        <w:rPr>
          <w:rFonts w:asciiTheme="minorHAnsi" w:hAnsiTheme="minorHAnsi" w:cstheme="minorHAnsi"/>
          <w:color w:val="auto"/>
          <w:szCs w:val="24"/>
        </w:rPr>
        <w:t>Nepotpuna statistika otpada.</w:t>
      </w:r>
    </w:p>
    <w:p w14:paraId="3E1E19BA" w14:textId="77777777" w:rsidR="00C23D65" w:rsidRPr="00C86111" w:rsidRDefault="00C23D65" w:rsidP="00004F34">
      <w:pPr>
        <w:numPr>
          <w:ilvl w:val="0"/>
          <w:numId w:val="206"/>
        </w:numPr>
        <w:jc w:val="both"/>
        <w:rPr>
          <w:rFonts w:asciiTheme="minorHAnsi" w:hAnsiTheme="minorHAnsi" w:cstheme="minorHAnsi"/>
          <w:color w:val="auto"/>
          <w:szCs w:val="24"/>
        </w:rPr>
      </w:pPr>
      <w:r w:rsidRPr="00C86111">
        <w:rPr>
          <w:rFonts w:asciiTheme="minorHAnsi" w:hAnsiTheme="minorHAnsi" w:cstheme="minorHAnsi"/>
          <w:color w:val="auto"/>
          <w:szCs w:val="24"/>
        </w:rPr>
        <w:t>Oskudni podaci o sadržaju PBDE u otpadu i životoj sredini.</w:t>
      </w:r>
    </w:p>
    <w:p w14:paraId="23CDBD2E" w14:textId="77777777" w:rsidR="00C23D65" w:rsidRPr="00C86111" w:rsidRDefault="00C23D65" w:rsidP="00004F34">
      <w:pPr>
        <w:numPr>
          <w:ilvl w:val="0"/>
          <w:numId w:val="206"/>
        </w:numPr>
        <w:jc w:val="both"/>
        <w:rPr>
          <w:rFonts w:asciiTheme="minorHAnsi" w:hAnsiTheme="minorHAnsi" w:cstheme="minorHAnsi"/>
          <w:color w:val="auto"/>
          <w:szCs w:val="24"/>
        </w:rPr>
      </w:pPr>
      <w:r w:rsidRPr="00C86111">
        <w:rPr>
          <w:rFonts w:asciiTheme="minorHAnsi" w:hAnsiTheme="minorHAnsi" w:cstheme="minorHAnsi"/>
          <w:color w:val="auto"/>
          <w:szCs w:val="24"/>
        </w:rPr>
        <w:t>Niska svijest javnosti o rizicima POP hemikalija.</w:t>
      </w:r>
    </w:p>
    <w:p w14:paraId="26DF4190" w14:textId="77777777" w:rsidR="00C23D65" w:rsidRPr="00C86111" w:rsidRDefault="00C23D65" w:rsidP="00004F34">
      <w:pPr>
        <w:numPr>
          <w:ilvl w:val="0"/>
          <w:numId w:val="206"/>
        </w:numPr>
        <w:jc w:val="both"/>
        <w:rPr>
          <w:rFonts w:asciiTheme="minorHAnsi" w:hAnsiTheme="minorHAnsi" w:cstheme="minorHAnsi"/>
          <w:color w:val="auto"/>
          <w:szCs w:val="24"/>
        </w:rPr>
      </w:pPr>
      <w:r w:rsidRPr="00C86111">
        <w:rPr>
          <w:rFonts w:asciiTheme="minorHAnsi" w:hAnsiTheme="minorHAnsi" w:cstheme="minorHAnsi"/>
          <w:color w:val="auto"/>
          <w:szCs w:val="24"/>
        </w:rPr>
        <w:t>Visok rizik izloženosti za neformalne reciklaže (RAI populaciju).</w:t>
      </w:r>
    </w:p>
    <w:p w14:paraId="5DE2FF76" w14:textId="77777777" w:rsidR="00C23D65" w:rsidRPr="00C86111" w:rsidRDefault="00C23D65" w:rsidP="00004F34">
      <w:pPr>
        <w:numPr>
          <w:ilvl w:val="0"/>
          <w:numId w:val="206"/>
        </w:numPr>
        <w:jc w:val="both"/>
        <w:rPr>
          <w:rFonts w:asciiTheme="minorHAnsi" w:hAnsiTheme="minorHAnsi" w:cstheme="minorHAnsi"/>
          <w:color w:val="auto"/>
          <w:szCs w:val="24"/>
        </w:rPr>
      </w:pPr>
      <w:r w:rsidRPr="00C86111">
        <w:rPr>
          <w:rFonts w:asciiTheme="minorHAnsi" w:hAnsiTheme="minorHAnsi" w:cstheme="minorHAnsi"/>
          <w:color w:val="auto"/>
          <w:szCs w:val="24"/>
        </w:rPr>
        <w:t>Nedovoljno praćenje POP hemikalija u hrani i životoj sredini.</w:t>
      </w:r>
    </w:p>
    <w:p w14:paraId="686F3D03" w14:textId="77777777" w:rsidR="00C23D65" w:rsidRPr="00C86111" w:rsidRDefault="00C23D65" w:rsidP="00004F34">
      <w:pPr>
        <w:pStyle w:val="Heading1"/>
        <w:numPr>
          <w:ilvl w:val="1"/>
          <w:numId w:val="238"/>
        </w:numPr>
      </w:pPr>
      <w:bookmarkStart w:id="111" w:name="_Toc220541911"/>
      <w:r w:rsidRPr="00C86111">
        <w:t>Preporučene aktivnosti:</w:t>
      </w:r>
      <w:bookmarkEnd w:id="111"/>
    </w:p>
    <w:p w14:paraId="0E84928E" w14:textId="77777777" w:rsidR="00C23D65" w:rsidRPr="00C86111" w:rsidRDefault="00C23D65" w:rsidP="00004F34">
      <w:pPr>
        <w:numPr>
          <w:ilvl w:val="0"/>
          <w:numId w:val="207"/>
        </w:numPr>
        <w:jc w:val="both"/>
        <w:rPr>
          <w:rFonts w:asciiTheme="minorHAnsi" w:hAnsiTheme="minorHAnsi" w:cstheme="minorHAnsi"/>
          <w:color w:val="auto"/>
          <w:szCs w:val="24"/>
        </w:rPr>
      </w:pPr>
      <w:r w:rsidRPr="00C86111">
        <w:rPr>
          <w:rFonts w:asciiTheme="minorHAnsi" w:hAnsiTheme="minorHAnsi" w:cstheme="minorHAnsi"/>
          <w:color w:val="auto"/>
          <w:szCs w:val="24"/>
        </w:rPr>
        <w:t>Unaprijediti statistiku otpada i upravljanje podacima, uz aktivno uključivanje Agencije za zaštitu živote sredine. (EPA).</w:t>
      </w:r>
    </w:p>
    <w:p w14:paraId="0EF70BBC" w14:textId="77777777" w:rsidR="00C23D65" w:rsidRPr="00C86111" w:rsidRDefault="00C23D65" w:rsidP="00004F34">
      <w:pPr>
        <w:numPr>
          <w:ilvl w:val="0"/>
          <w:numId w:val="207"/>
        </w:numPr>
        <w:jc w:val="both"/>
        <w:rPr>
          <w:rFonts w:asciiTheme="minorHAnsi" w:hAnsiTheme="minorHAnsi" w:cstheme="minorHAnsi"/>
          <w:color w:val="auto"/>
          <w:szCs w:val="24"/>
        </w:rPr>
      </w:pPr>
      <w:r w:rsidRPr="00C86111">
        <w:rPr>
          <w:rFonts w:asciiTheme="minorHAnsi" w:hAnsiTheme="minorHAnsi" w:cstheme="minorHAnsi"/>
          <w:color w:val="auto"/>
          <w:szCs w:val="24"/>
        </w:rPr>
        <w:t>Organizovati kampanje i projekte za podizanje svijesti o POP hemikalijama i rizicima povezanim s otpadom.</w:t>
      </w:r>
    </w:p>
    <w:p w14:paraId="3689DCFA" w14:textId="77777777" w:rsidR="00C23D65" w:rsidRPr="00C86111" w:rsidRDefault="00C23D65" w:rsidP="00004F34">
      <w:pPr>
        <w:numPr>
          <w:ilvl w:val="0"/>
          <w:numId w:val="207"/>
        </w:numPr>
        <w:jc w:val="both"/>
        <w:rPr>
          <w:rFonts w:asciiTheme="minorHAnsi" w:hAnsiTheme="minorHAnsi" w:cstheme="minorHAnsi"/>
          <w:color w:val="auto"/>
          <w:szCs w:val="24"/>
        </w:rPr>
      </w:pPr>
      <w:r w:rsidRPr="00C86111">
        <w:rPr>
          <w:rFonts w:asciiTheme="minorHAnsi" w:hAnsiTheme="minorHAnsi" w:cstheme="minorHAnsi"/>
          <w:color w:val="auto"/>
          <w:szCs w:val="24"/>
        </w:rPr>
        <w:t>Fokusirati se na informisanje RAI populacije o rizicima izloženosti tokom neformalne reciklaže.</w:t>
      </w:r>
    </w:p>
    <w:p w14:paraId="61EF26B4" w14:textId="77777777" w:rsidR="00C23D65" w:rsidRPr="00C86111" w:rsidRDefault="00C23D65" w:rsidP="00004F34">
      <w:pPr>
        <w:numPr>
          <w:ilvl w:val="0"/>
          <w:numId w:val="207"/>
        </w:numPr>
        <w:jc w:val="both"/>
        <w:rPr>
          <w:rFonts w:asciiTheme="minorHAnsi" w:hAnsiTheme="minorHAnsi" w:cstheme="minorHAnsi"/>
          <w:color w:val="auto"/>
          <w:szCs w:val="24"/>
        </w:rPr>
      </w:pPr>
      <w:r w:rsidRPr="00C86111">
        <w:rPr>
          <w:rFonts w:asciiTheme="minorHAnsi" w:hAnsiTheme="minorHAnsi" w:cstheme="minorHAnsi"/>
          <w:color w:val="auto"/>
          <w:szCs w:val="24"/>
        </w:rPr>
        <w:t>Provoditi monitoring živote sredine. i hrane na PBDE i druge POP hemikalije.</w:t>
      </w:r>
    </w:p>
    <w:p w14:paraId="32F3C09A" w14:textId="5D0F1A90" w:rsidR="00C23D65" w:rsidRPr="00F57E42" w:rsidRDefault="00C23D65" w:rsidP="00004F34">
      <w:pPr>
        <w:numPr>
          <w:ilvl w:val="0"/>
          <w:numId w:val="207"/>
        </w:numPr>
        <w:jc w:val="both"/>
        <w:rPr>
          <w:rFonts w:asciiTheme="minorHAnsi" w:hAnsiTheme="minorHAnsi" w:cstheme="minorHAnsi"/>
          <w:b/>
          <w:bCs/>
          <w:color w:val="auto"/>
          <w:szCs w:val="24"/>
        </w:rPr>
      </w:pPr>
      <w:r w:rsidRPr="00C86111">
        <w:rPr>
          <w:rFonts w:asciiTheme="minorHAnsi" w:hAnsiTheme="minorHAnsi" w:cstheme="minorHAnsi"/>
          <w:color w:val="auto"/>
          <w:szCs w:val="24"/>
        </w:rPr>
        <w:t>Implementirati biomonitoring ljudi, posebno za visokorizične grupe kao što su neformalni reciklaži.</w:t>
      </w:r>
    </w:p>
    <w:p w14:paraId="2C9B182D" w14:textId="77777777" w:rsidR="00F57E42" w:rsidRPr="00C86111" w:rsidRDefault="00F57E42" w:rsidP="00F57E42">
      <w:pPr>
        <w:ind w:left="720"/>
        <w:jc w:val="both"/>
        <w:rPr>
          <w:rFonts w:asciiTheme="minorHAnsi" w:hAnsiTheme="minorHAnsi" w:cstheme="minorHAnsi"/>
          <w:b/>
          <w:bCs/>
          <w:color w:val="auto"/>
          <w:szCs w:val="24"/>
        </w:rPr>
      </w:pPr>
    </w:p>
    <w:p w14:paraId="4C30A77D" w14:textId="06EC99A4" w:rsidR="00C23D65" w:rsidRPr="00C86111" w:rsidRDefault="00C23D65" w:rsidP="00004F34">
      <w:pPr>
        <w:pStyle w:val="Heading1"/>
        <w:numPr>
          <w:ilvl w:val="1"/>
          <w:numId w:val="238"/>
        </w:numPr>
      </w:pPr>
      <w:bookmarkStart w:id="112" w:name="_Toc220541912"/>
      <w:r w:rsidRPr="00C86111">
        <w:lastRenderedPageBreak/>
        <w:t>Implementacija planiranih aktivnosti</w:t>
      </w:r>
      <w:bookmarkEnd w:id="112"/>
    </w:p>
    <w:p w14:paraId="0196548F" w14:textId="77777777" w:rsidR="00C23D65" w:rsidRPr="00C86111" w:rsidRDefault="00C23D65" w:rsidP="00C23D65">
      <w:pPr>
        <w:jc w:val="both"/>
        <w:rPr>
          <w:rFonts w:asciiTheme="minorHAnsi" w:hAnsiTheme="minorHAnsi" w:cstheme="minorHAnsi"/>
          <w:b/>
          <w:bCs/>
          <w:color w:val="auto"/>
          <w:szCs w:val="24"/>
        </w:rPr>
      </w:pPr>
    </w:p>
    <w:p w14:paraId="7F36A5DF"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Implementacija edukativnih aktivnosti za RAI populaciju u Crnoj Gori je započela. Održani su radionice na temu „Upravljanje elektroničkim otpadom (WEEE) i perzistentnim organskim zagađivačima (POPs)“ u Beranama (3. jun) i Podgorici (12. jun), na crnogorskom jeziku sa simultanim prevođenjem na romski jezik.</w:t>
      </w:r>
    </w:p>
    <w:p w14:paraId="6E86577E"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Radionice su okupile ukupno 40 učesnika, uključujući 35 članova RAI zajednice koji su aktivno uključeni u neformalnu sakupljačku djelatnost otpada, kao i predstavnike državnih i lokalnih institucija.</w:t>
      </w:r>
    </w:p>
    <w:p w14:paraId="32D76F57"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Cilj radionica bio je:</w:t>
      </w:r>
    </w:p>
    <w:p w14:paraId="0DD72C1C" w14:textId="77777777" w:rsidR="00C23D65" w:rsidRPr="00C86111" w:rsidRDefault="00C23D65" w:rsidP="00004F34">
      <w:pPr>
        <w:numPr>
          <w:ilvl w:val="0"/>
          <w:numId w:val="208"/>
        </w:numPr>
        <w:jc w:val="both"/>
        <w:rPr>
          <w:rFonts w:asciiTheme="minorHAnsi" w:hAnsiTheme="minorHAnsi" w:cstheme="minorHAnsi"/>
          <w:color w:val="auto"/>
          <w:szCs w:val="24"/>
        </w:rPr>
      </w:pPr>
      <w:r w:rsidRPr="00C86111">
        <w:rPr>
          <w:rFonts w:asciiTheme="minorHAnsi" w:hAnsiTheme="minorHAnsi" w:cstheme="minorHAnsi"/>
          <w:color w:val="auto"/>
          <w:szCs w:val="24"/>
        </w:rPr>
        <w:t>Podizanje svijesti o rizicima povezanima sa PBDE i drugim POP hemikalijama prisutnim u elektroničkom otpadu.</w:t>
      </w:r>
    </w:p>
    <w:p w14:paraId="12C3D6F0" w14:textId="77777777" w:rsidR="00C23D65" w:rsidRPr="00C86111" w:rsidRDefault="00C23D65" w:rsidP="00004F34">
      <w:pPr>
        <w:numPr>
          <w:ilvl w:val="0"/>
          <w:numId w:val="208"/>
        </w:numPr>
        <w:jc w:val="both"/>
        <w:rPr>
          <w:rFonts w:asciiTheme="minorHAnsi" w:hAnsiTheme="minorHAnsi" w:cstheme="minorHAnsi"/>
          <w:color w:val="auto"/>
          <w:szCs w:val="24"/>
        </w:rPr>
      </w:pPr>
      <w:r w:rsidRPr="00C86111">
        <w:rPr>
          <w:rFonts w:asciiTheme="minorHAnsi" w:hAnsiTheme="minorHAnsi" w:cstheme="minorHAnsi"/>
          <w:color w:val="auto"/>
          <w:szCs w:val="24"/>
        </w:rPr>
        <w:t>Osnaživanje RAI populacije da smanji izloženost kroz sigurnije prakse.</w:t>
      </w:r>
    </w:p>
    <w:p w14:paraId="7E196177"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Sadržaj radionica uključivao je:</w:t>
      </w:r>
    </w:p>
    <w:p w14:paraId="2EBD1FD9" w14:textId="77777777" w:rsidR="00C23D65" w:rsidRPr="00C86111" w:rsidRDefault="00C23D65" w:rsidP="00004F34">
      <w:pPr>
        <w:numPr>
          <w:ilvl w:val="0"/>
          <w:numId w:val="209"/>
        </w:numPr>
        <w:jc w:val="both"/>
        <w:rPr>
          <w:rFonts w:asciiTheme="minorHAnsi" w:hAnsiTheme="minorHAnsi" w:cstheme="minorHAnsi"/>
          <w:color w:val="auto"/>
          <w:szCs w:val="24"/>
        </w:rPr>
      </w:pPr>
      <w:r w:rsidRPr="00C86111">
        <w:rPr>
          <w:rFonts w:asciiTheme="minorHAnsi" w:hAnsiTheme="minorHAnsi" w:cstheme="minorHAnsi"/>
          <w:color w:val="auto"/>
          <w:szCs w:val="24"/>
        </w:rPr>
        <w:t>Pregled POP hemikalija, njihovih izvora i uticaja na ljudsko zdravlje i životnu sredinu.</w:t>
      </w:r>
    </w:p>
    <w:p w14:paraId="287B8700" w14:textId="77777777" w:rsidR="00C23D65" w:rsidRPr="00C86111" w:rsidRDefault="00C23D65" w:rsidP="00004F34">
      <w:pPr>
        <w:numPr>
          <w:ilvl w:val="0"/>
          <w:numId w:val="209"/>
        </w:numPr>
        <w:jc w:val="both"/>
        <w:rPr>
          <w:rFonts w:asciiTheme="minorHAnsi" w:hAnsiTheme="minorHAnsi" w:cstheme="minorHAnsi"/>
          <w:color w:val="auto"/>
          <w:szCs w:val="24"/>
        </w:rPr>
      </w:pPr>
      <w:r w:rsidRPr="00C86111">
        <w:rPr>
          <w:rFonts w:asciiTheme="minorHAnsi" w:hAnsiTheme="minorHAnsi" w:cstheme="minorHAnsi"/>
          <w:color w:val="auto"/>
          <w:szCs w:val="24"/>
        </w:rPr>
        <w:t>Diskusiju o izazovima u neformalnoj sakupljačkoj djelatnosti i reciklaži otpada.</w:t>
      </w:r>
    </w:p>
    <w:p w14:paraId="25F6C333" w14:textId="77777777" w:rsidR="00C23D65" w:rsidRPr="00C86111" w:rsidRDefault="00C23D65" w:rsidP="00004F34">
      <w:pPr>
        <w:numPr>
          <w:ilvl w:val="0"/>
          <w:numId w:val="209"/>
        </w:numPr>
        <w:jc w:val="both"/>
        <w:rPr>
          <w:rFonts w:asciiTheme="minorHAnsi" w:hAnsiTheme="minorHAnsi" w:cstheme="minorHAnsi"/>
          <w:color w:val="auto"/>
          <w:szCs w:val="24"/>
        </w:rPr>
      </w:pPr>
      <w:r w:rsidRPr="00C86111">
        <w:rPr>
          <w:rFonts w:asciiTheme="minorHAnsi" w:hAnsiTheme="minorHAnsi" w:cstheme="minorHAnsi"/>
          <w:color w:val="auto"/>
          <w:szCs w:val="24"/>
        </w:rPr>
        <w:t>Praktične demonstracije o sigurnom rukovanju, razdvajanju i skladištenju opasnih materijala.</w:t>
      </w:r>
    </w:p>
    <w:p w14:paraId="06AB37D9" w14:textId="77777777" w:rsidR="00C23D65" w:rsidRPr="00C86111" w:rsidRDefault="00C23D65" w:rsidP="00004F34">
      <w:pPr>
        <w:numPr>
          <w:ilvl w:val="0"/>
          <w:numId w:val="209"/>
        </w:numPr>
        <w:jc w:val="both"/>
        <w:rPr>
          <w:rFonts w:asciiTheme="minorHAnsi" w:hAnsiTheme="minorHAnsi" w:cstheme="minorHAnsi"/>
          <w:color w:val="auto"/>
          <w:szCs w:val="24"/>
        </w:rPr>
      </w:pPr>
      <w:r w:rsidRPr="00C86111">
        <w:rPr>
          <w:rFonts w:asciiTheme="minorHAnsi" w:hAnsiTheme="minorHAnsi" w:cstheme="minorHAnsi"/>
          <w:color w:val="auto"/>
          <w:szCs w:val="24"/>
        </w:rPr>
        <w:t>Prezentaciju mogućnosti formalizacije i podrške neformalnim sakupljačima otpada.</w:t>
      </w:r>
    </w:p>
    <w:p w14:paraId="718A3BC6"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Radionice su istakle hitnu potrebu za zaštitnom opremom, sigurnijim radnim uslovima i fer pristupom tržištima. Takođe, omogućile su dijalog između RAI zajednice, NVO sektora i predstavnika vlasti, doprinoseći zajedničkom razumijevanju rizika, potencijalnih rješenja i putanja za integraciju neformalnih sakupljača u formalni sistem upravljanja otpadom.</w:t>
      </w:r>
    </w:p>
    <w:p w14:paraId="5F2400C1" w14:textId="77777777" w:rsidR="00C23D65" w:rsidRPr="00C86111" w:rsidRDefault="00C23D65" w:rsidP="00C23D65">
      <w:pPr>
        <w:jc w:val="both"/>
        <w:rPr>
          <w:rFonts w:asciiTheme="minorHAnsi" w:hAnsiTheme="minorHAnsi" w:cstheme="minorHAnsi"/>
          <w:color w:val="auto"/>
          <w:szCs w:val="24"/>
        </w:rPr>
      </w:pPr>
      <w:r w:rsidRPr="00C86111">
        <w:rPr>
          <w:rFonts w:asciiTheme="minorHAnsi" w:hAnsiTheme="minorHAnsi" w:cstheme="minorHAnsi"/>
          <w:color w:val="auto"/>
          <w:szCs w:val="24"/>
        </w:rPr>
        <w:t>Ove aktivnosti predstavljaju početak šireg edukativnog programa usmjerenog na:</w:t>
      </w:r>
    </w:p>
    <w:p w14:paraId="033DE6A0" w14:textId="77777777" w:rsidR="00C23D65" w:rsidRPr="00C86111" w:rsidRDefault="00C23D65" w:rsidP="00004F34">
      <w:pPr>
        <w:numPr>
          <w:ilvl w:val="0"/>
          <w:numId w:val="210"/>
        </w:numPr>
        <w:jc w:val="both"/>
        <w:rPr>
          <w:rFonts w:asciiTheme="minorHAnsi" w:hAnsiTheme="minorHAnsi" w:cstheme="minorHAnsi"/>
          <w:color w:val="auto"/>
          <w:szCs w:val="24"/>
        </w:rPr>
      </w:pPr>
      <w:r w:rsidRPr="00C86111">
        <w:rPr>
          <w:rFonts w:asciiTheme="minorHAnsi" w:hAnsiTheme="minorHAnsi" w:cstheme="minorHAnsi"/>
          <w:color w:val="auto"/>
          <w:szCs w:val="24"/>
        </w:rPr>
        <w:t>Smanjenje rizika od izloženosti.</w:t>
      </w:r>
    </w:p>
    <w:p w14:paraId="78C53AEC" w14:textId="77777777" w:rsidR="00C23D65" w:rsidRPr="00C86111" w:rsidRDefault="00C23D65" w:rsidP="00004F34">
      <w:pPr>
        <w:numPr>
          <w:ilvl w:val="0"/>
          <w:numId w:val="210"/>
        </w:numPr>
        <w:jc w:val="both"/>
        <w:rPr>
          <w:rFonts w:asciiTheme="minorHAnsi" w:hAnsiTheme="minorHAnsi" w:cstheme="minorHAnsi"/>
          <w:color w:val="auto"/>
          <w:szCs w:val="24"/>
        </w:rPr>
      </w:pPr>
      <w:r w:rsidRPr="00C86111">
        <w:rPr>
          <w:rFonts w:asciiTheme="minorHAnsi" w:hAnsiTheme="minorHAnsi" w:cstheme="minorHAnsi"/>
          <w:color w:val="auto"/>
          <w:szCs w:val="24"/>
        </w:rPr>
        <w:t>Poboljšanje ekoloških i društvenih ishoda za RAI populaciju u Crnoj Gori.</w:t>
      </w:r>
    </w:p>
    <w:p w14:paraId="417275C9" w14:textId="77777777" w:rsidR="00C23D65" w:rsidRPr="00C86111" w:rsidRDefault="00C23D65" w:rsidP="00C23D65">
      <w:pPr>
        <w:jc w:val="both"/>
        <w:rPr>
          <w:rFonts w:asciiTheme="minorHAnsi" w:hAnsiTheme="minorHAnsi" w:cstheme="minorHAnsi"/>
          <w:color w:val="auto"/>
          <w:szCs w:val="24"/>
        </w:rPr>
      </w:pPr>
    </w:p>
    <w:p w14:paraId="0D064C36" w14:textId="1B96EB06" w:rsidR="00C23D65" w:rsidRPr="00C86111" w:rsidRDefault="002307C2" w:rsidP="00912C4C">
      <w:pPr>
        <w:pStyle w:val="Heading1"/>
        <w:rPr>
          <w:bCs/>
          <w:lang w:val="sr-Latn-ME"/>
        </w:rPr>
      </w:pPr>
      <w:bookmarkStart w:id="113" w:name="_Toc220541913"/>
      <w:bookmarkEnd w:id="109"/>
      <w:r w:rsidRPr="00C86111">
        <w:rPr>
          <w:lang w:val="sr-Latn-ME"/>
        </w:rPr>
        <w:t>INVENTARIZACIJA HEKSABROMOCIKLODODEKANA</w:t>
      </w:r>
      <w:bookmarkEnd w:id="113"/>
    </w:p>
    <w:p w14:paraId="36012F0A" w14:textId="42C14F26" w:rsidR="00A0529E" w:rsidRPr="00C86111" w:rsidRDefault="00A0529E" w:rsidP="00EA6904">
      <w:pPr>
        <w:pStyle w:val="Heading3"/>
      </w:pPr>
      <w:bookmarkStart w:id="114" w:name="_Toc220541914"/>
      <w:r w:rsidRPr="00C86111">
        <w:t>UVOD</w:t>
      </w:r>
      <w:bookmarkEnd w:id="79"/>
      <w:bookmarkEnd w:id="114"/>
    </w:p>
    <w:p w14:paraId="667670F7" w14:textId="77777777" w:rsidR="00A0529E" w:rsidRPr="00C86111" w:rsidRDefault="00A0529E" w:rsidP="00A0529E">
      <w:pPr>
        <w:jc w:val="both"/>
        <w:rPr>
          <w:rFonts w:cstheme="minorHAnsi"/>
          <w:szCs w:val="24"/>
          <w:lang w:val="sr-Latn-ME"/>
        </w:rPr>
      </w:pPr>
      <w:bookmarkStart w:id="115" w:name="_Toc210642641"/>
      <w:bookmarkStart w:id="116" w:name="_Toc210642742"/>
      <w:r w:rsidRPr="00C86111">
        <w:rPr>
          <w:rFonts w:cstheme="minorHAnsi"/>
          <w:szCs w:val="24"/>
          <w:lang w:val="sr-Latn-ME"/>
        </w:rPr>
        <w:t>Heksabromociklododekan (HBCD) je hemijsko jedinjenje koje se klasifikuje kao postojani organski zagađivač (POP</w:t>
      </w:r>
      <w:r w:rsidRPr="00C86111">
        <w:rPr>
          <w:rFonts w:cstheme="minorHAnsi"/>
          <w:b/>
          <w:szCs w:val="24"/>
          <w:lang w:val="sr-Latn-ME"/>
        </w:rPr>
        <w:t>s</w:t>
      </w:r>
      <w:r w:rsidRPr="00C86111">
        <w:rPr>
          <w:rFonts w:cstheme="minorHAnsi"/>
          <w:szCs w:val="24"/>
          <w:lang w:val="sr-Latn-ME"/>
        </w:rPr>
        <w:t>) zbog svoje postojanosti u životnoj sredini, potencijala bioakumulacije i toksičnosti. Široko se koristi kao bromovani usporivač gorenja, prvenstveno u građevinskoj industriji, gdje se primjenjuje za tretiranje ekspandiranog polistirena (EPS) i ekstrudiranog polistirena (XPS), koji se koriste kao izolacioni materijali. Zbog svojih štetnih uticaja na životnu sredinu i ljudsko zdravlje, HBCD je postao predmet pojačanog interesovanja i mjera nadležnih institucija na globalnom nivou.</w:t>
      </w:r>
      <w:bookmarkEnd w:id="115"/>
      <w:bookmarkEnd w:id="116"/>
    </w:p>
    <w:p w14:paraId="68D8A7DE" w14:textId="77777777" w:rsidR="00A0529E" w:rsidRPr="00C86111" w:rsidRDefault="00A0529E" w:rsidP="00A0529E">
      <w:pPr>
        <w:jc w:val="both"/>
        <w:rPr>
          <w:rFonts w:cstheme="minorHAnsi"/>
          <w:szCs w:val="24"/>
          <w:lang w:val="sr-Latn-ME"/>
        </w:rPr>
      </w:pPr>
      <w:bookmarkStart w:id="117" w:name="_Toc210642642"/>
      <w:bookmarkStart w:id="118" w:name="_Toc210642743"/>
      <w:r w:rsidRPr="00C86111">
        <w:rPr>
          <w:rFonts w:cstheme="minorHAnsi"/>
          <w:szCs w:val="24"/>
          <w:lang w:val="sr-Latn-ME"/>
        </w:rPr>
        <w:t>Ovaj izvještaj se nadovezuje na nalaze i okvir utvrđen u prethodnom Nacionalnom planu implementacije za POP</w:t>
      </w:r>
      <w:r w:rsidRPr="00C86111">
        <w:rPr>
          <w:rFonts w:cstheme="minorHAnsi"/>
          <w:bCs/>
          <w:szCs w:val="24"/>
          <w:lang w:val="sr-Latn-ME"/>
        </w:rPr>
        <w:t>s</w:t>
      </w:r>
      <w:r w:rsidRPr="00C86111">
        <w:rPr>
          <w:rFonts w:cstheme="minorHAnsi"/>
          <w:szCs w:val="24"/>
          <w:lang w:val="sr-Latn-ME"/>
        </w:rPr>
        <w:t xml:space="preserve"> hemikalije u Crnoj Gori. Predstavlja ažurirane podatke iz drugog nacionalnog inventara upotrebe i prisustva HBCD, s ciljem da pruži trenutni pregled stanja ove hemikalije u zemlji i usmjeri dalji razvoj egulatornih i mjera za ublažavanje rizika.</w:t>
      </w:r>
      <w:bookmarkEnd w:id="117"/>
      <w:bookmarkEnd w:id="118"/>
    </w:p>
    <w:p w14:paraId="5AACDE51" w14:textId="77777777" w:rsidR="00A0529E" w:rsidRPr="00C86111" w:rsidRDefault="00A0529E" w:rsidP="00A0529E">
      <w:pPr>
        <w:jc w:val="both"/>
        <w:rPr>
          <w:rFonts w:cstheme="minorHAnsi"/>
          <w:szCs w:val="24"/>
          <w:lang w:val="sr-Latn-ME"/>
        </w:rPr>
      </w:pPr>
      <w:bookmarkStart w:id="119" w:name="_Toc210642643"/>
      <w:bookmarkStart w:id="120" w:name="_Toc210642744"/>
      <w:r w:rsidRPr="00C86111">
        <w:rPr>
          <w:rFonts w:cstheme="minorHAnsi"/>
          <w:szCs w:val="24"/>
          <w:lang w:val="sr-Latn-ME"/>
        </w:rPr>
        <w:t>Ključne karakteristike HBCD-a:</w:t>
      </w:r>
      <w:bookmarkEnd w:id="119"/>
      <w:bookmarkEnd w:id="120"/>
    </w:p>
    <w:p w14:paraId="34D9AE21" w14:textId="77777777" w:rsidR="00A0529E" w:rsidRPr="00C86111" w:rsidRDefault="00A0529E" w:rsidP="00A0529E">
      <w:pPr>
        <w:jc w:val="both"/>
        <w:rPr>
          <w:rFonts w:cstheme="minorHAnsi"/>
          <w:b/>
          <w:szCs w:val="24"/>
          <w:lang w:val="sr-Latn-ME"/>
        </w:rPr>
      </w:pPr>
      <w:bookmarkStart w:id="121" w:name="_Toc210642644"/>
      <w:bookmarkStart w:id="122" w:name="_Toc210642745"/>
      <w:r w:rsidRPr="00C86111">
        <w:rPr>
          <w:rFonts w:cstheme="minorHAnsi"/>
          <w:szCs w:val="24"/>
          <w:lang w:val="sr-Latn-ME"/>
        </w:rPr>
        <w:lastRenderedPageBreak/>
        <w:t>HBCD je brom</w:t>
      </w:r>
      <w:r w:rsidRPr="00C86111">
        <w:rPr>
          <w:rFonts w:cstheme="minorHAnsi"/>
          <w:bCs/>
          <w:szCs w:val="24"/>
          <w:lang w:val="sr-Latn-ME"/>
        </w:rPr>
        <w:t xml:space="preserve">ovani </w:t>
      </w:r>
      <w:r w:rsidRPr="00C86111">
        <w:rPr>
          <w:rFonts w:cstheme="minorHAnsi"/>
          <w:szCs w:val="24"/>
          <w:lang w:val="sr-Latn-ME"/>
        </w:rPr>
        <w:t>usporivač gorenja, poznat po svojoj postojanosti u životnoj sredini i sposobnosti da se akumulira u živim organizmima, uključujući ljude i divlje životinje.</w:t>
      </w:r>
      <w:bookmarkEnd w:id="121"/>
      <w:bookmarkEnd w:id="122"/>
    </w:p>
    <w:p w14:paraId="1DFA06A0" w14:textId="77777777" w:rsidR="00A0529E" w:rsidRPr="00C86111" w:rsidRDefault="00A0529E" w:rsidP="00A0529E">
      <w:pPr>
        <w:jc w:val="both"/>
        <w:rPr>
          <w:rFonts w:cstheme="minorHAnsi"/>
          <w:b/>
          <w:szCs w:val="24"/>
          <w:lang w:val="sr-Latn-ME"/>
        </w:rPr>
      </w:pPr>
      <w:bookmarkStart w:id="123" w:name="_Toc210642645"/>
      <w:bookmarkStart w:id="124" w:name="_Toc210642746"/>
      <w:r w:rsidRPr="00C86111">
        <w:rPr>
          <w:rFonts w:cstheme="minorHAnsi"/>
          <w:szCs w:val="24"/>
          <w:lang w:val="sr-Latn-ME"/>
        </w:rPr>
        <w:t>U Crnoj Gori se HBCD ne proizvodi. Umjesto toga, ova hemikalija se uvozi, uglavnom u obliku unaprijed proizvedenih “peleta” koji se dalje prerađuju u različitim industrijskim sektorima.</w:t>
      </w:r>
      <w:bookmarkEnd w:id="123"/>
      <w:bookmarkEnd w:id="124"/>
    </w:p>
    <w:p w14:paraId="1BDCEB6A" w14:textId="77777777" w:rsidR="00A0529E" w:rsidRPr="00C86111" w:rsidRDefault="00A0529E" w:rsidP="00A0529E">
      <w:pPr>
        <w:jc w:val="both"/>
        <w:rPr>
          <w:rFonts w:cstheme="minorHAnsi"/>
          <w:b/>
          <w:szCs w:val="24"/>
          <w:lang w:val="sr-Latn-ME"/>
        </w:rPr>
      </w:pPr>
      <w:bookmarkStart w:id="125" w:name="_Toc210642646"/>
      <w:bookmarkStart w:id="126" w:name="_Toc210642747"/>
      <w:r w:rsidRPr="00C86111">
        <w:rPr>
          <w:rFonts w:cstheme="minorHAnsi"/>
          <w:szCs w:val="24"/>
          <w:lang w:val="sr-Latn-ME"/>
        </w:rPr>
        <w:t>Glavna primjena po industrijskim oblastima ostaje u skladu sa prethodnim podacima, pri čemu građevinska industrija i dalje predstavlja dominantnog potrošača, posebno u proizvodnji EPS i XPS izolacionih materijala. Manja primjena i dalje postoji u tekstilnoj i elektronskoj industriji, iako je njen značaj znatno manji.</w:t>
      </w:r>
      <w:bookmarkEnd w:id="125"/>
      <w:bookmarkEnd w:id="126"/>
    </w:p>
    <w:p w14:paraId="053FF955" w14:textId="77777777" w:rsidR="00A0529E" w:rsidRPr="00C86111" w:rsidRDefault="00A0529E" w:rsidP="00A0529E">
      <w:pPr>
        <w:jc w:val="both"/>
        <w:rPr>
          <w:rFonts w:cstheme="minorHAnsi"/>
          <w:szCs w:val="24"/>
          <w:lang w:val="sr-Latn-ME"/>
        </w:rPr>
      </w:pPr>
      <w:bookmarkStart w:id="127" w:name="_Toc210642647"/>
      <w:bookmarkStart w:id="128" w:name="_Toc210642748"/>
      <w:r w:rsidRPr="00C86111">
        <w:rPr>
          <w:rFonts w:cstheme="minorHAnsi"/>
          <w:szCs w:val="24"/>
          <w:lang w:val="sr-Latn-ME"/>
        </w:rPr>
        <w:t>Zbog postojanosti i potencijala za bioakumulaciju, HBCD predstavlja dugoročni rizik za životnu sredinu i ljudsko zdravlje, što zahtijeva stalno praćenje i mjere kontrole [2, 3].</w:t>
      </w:r>
      <w:bookmarkEnd w:id="127"/>
      <w:bookmarkEnd w:id="128"/>
    </w:p>
    <w:p w14:paraId="024CF1B9" w14:textId="77777777" w:rsidR="00A0529E" w:rsidRPr="00C86111" w:rsidRDefault="00A0529E" w:rsidP="00A0529E">
      <w:pPr>
        <w:jc w:val="both"/>
        <w:rPr>
          <w:rFonts w:cstheme="minorHAnsi"/>
          <w:szCs w:val="24"/>
          <w:lang w:val="sr-Latn-ME"/>
        </w:rPr>
      </w:pPr>
      <w:bookmarkStart w:id="129" w:name="_Toc210642648"/>
      <w:bookmarkStart w:id="130" w:name="_Toc210642749"/>
      <w:r w:rsidRPr="00C86111">
        <w:rPr>
          <w:rFonts w:cstheme="minorHAnsi"/>
          <w:szCs w:val="24"/>
          <w:lang w:val="sr-Latn-ME"/>
        </w:rPr>
        <w:t>Ažurirani inventar potvrđuje da je većina upotrebe HBCD u Crnoj Gori koncentrisana u građevinskom sektoru, što odražava trendove identifikovane u prvom inventaru. EPS i XPS materijali, impregnosani HBCD peletom, široko se koriste za toplotnu izolaciju objekata. Ažurirana inventura potvrđuje da je većina upotrebe HBCD-a u Crnoj Gori koncentrisana u građevinskom sektoru, što je u skladu sa obrascima identifikovanim u prvoj inventuri. Materijali poput EPS i XPS, tretirani HBCD peletima, široko se koriste za toplotnu izolaciju zgrada. Pošto u zemlji ne postoji lokalna proizvodnja HBCD, Crna Gora zavisi od uvoza, uglavnom u obliku peleta, za dalju proizvodnju ili direktnu primjenu.</w:t>
      </w:r>
      <w:bookmarkEnd w:id="129"/>
      <w:bookmarkEnd w:id="130"/>
    </w:p>
    <w:p w14:paraId="5CE1F064" w14:textId="77777777" w:rsidR="00A0529E" w:rsidRPr="00C86111" w:rsidRDefault="00A0529E" w:rsidP="00A0529E">
      <w:pPr>
        <w:jc w:val="both"/>
        <w:rPr>
          <w:rFonts w:cstheme="minorHAnsi"/>
          <w:szCs w:val="24"/>
          <w:lang w:val="sr-Latn-ME"/>
        </w:rPr>
      </w:pPr>
      <w:bookmarkStart w:id="131" w:name="_Toc210642649"/>
      <w:bookmarkStart w:id="132" w:name="_Toc210642750"/>
      <w:r w:rsidRPr="00C86111">
        <w:rPr>
          <w:rFonts w:cstheme="minorHAnsi"/>
          <w:szCs w:val="24"/>
          <w:lang w:val="sr-Latn-ME"/>
        </w:rPr>
        <w:t>Ažurirani podaci razjašnjavaju obim i specifične primjene unutar sektora, omogućavajući bolje ciljane političke mere. Na primjer, elektronska i tekstilna industrija, iako donekle koriste HBCD, predstavljaju mnogo manji dio ukupne potrošnje.</w:t>
      </w:r>
      <w:bookmarkEnd w:id="131"/>
      <w:bookmarkEnd w:id="132"/>
    </w:p>
    <w:p w14:paraId="62D01048" w14:textId="77777777" w:rsidR="00A0529E" w:rsidRPr="00C86111" w:rsidRDefault="00A0529E" w:rsidP="00A0529E">
      <w:pPr>
        <w:jc w:val="both"/>
        <w:rPr>
          <w:rFonts w:cstheme="minorHAnsi"/>
          <w:szCs w:val="24"/>
          <w:lang w:val="sr-Latn-ME"/>
        </w:rPr>
      </w:pPr>
      <w:bookmarkStart w:id="133" w:name="_Toc210642650"/>
      <w:bookmarkStart w:id="134" w:name="_Toc210642751"/>
      <w:r w:rsidRPr="00C86111">
        <w:rPr>
          <w:rFonts w:cstheme="minorHAnsi"/>
          <w:szCs w:val="24"/>
          <w:lang w:val="sr-Latn-ME"/>
        </w:rPr>
        <w:t>HBCD je 2013. godine uvršten u Stokholmsku konvenciju o postojanim organskim zagađivačima, što odražava globalni konsenzus o potrebi postepenog ukidanja njegove proizvodnje i upotrebe. Crna Gora, kao potpisnica Konvencije, obavezala se na postepeno smanjenje i konačno eliminisanje upotrebe HBCD, osim u slučajevima gdje su predviđeni prelazni izuzeci .</w:t>
      </w:r>
      <w:bookmarkEnd w:id="133"/>
      <w:bookmarkEnd w:id="134"/>
    </w:p>
    <w:p w14:paraId="630D96D6" w14:textId="77777777" w:rsidR="00A0529E" w:rsidRPr="00C86111" w:rsidRDefault="00A0529E" w:rsidP="00A0529E">
      <w:pPr>
        <w:jc w:val="both"/>
        <w:rPr>
          <w:rFonts w:cstheme="minorHAnsi"/>
          <w:szCs w:val="24"/>
          <w:lang w:val="sr-Latn-ME"/>
        </w:rPr>
      </w:pPr>
      <w:bookmarkStart w:id="135" w:name="_Toc210642651"/>
      <w:bookmarkStart w:id="136" w:name="_Toc210642752"/>
      <w:r w:rsidRPr="00C86111">
        <w:rPr>
          <w:rFonts w:cstheme="minorHAnsi"/>
          <w:szCs w:val="24"/>
          <w:lang w:val="sr-Latn-ME"/>
        </w:rPr>
        <w:t>Mnoge zemlje su zabranile ili strogo ograničile upotrebu HBCD, naročito u proizvodnji novih materijala. Evropska unija klasifikuje HBCD kao supstancu od vrlo visokog značaja (SVHC) prema REACH regulativi, što podrazumijeva stroga ograničenja u njegovoj upotrebi.</w:t>
      </w:r>
      <w:bookmarkEnd w:id="135"/>
      <w:bookmarkEnd w:id="136"/>
    </w:p>
    <w:p w14:paraId="1B60732D" w14:textId="77777777" w:rsidR="00A0529E" w:rsidRPr="00C86111" w:rsidRDefault="00A0529E" w:rsidP="00A0529E">
      <w:pPr>
        <w:jc w:val="both"/>
        <w:rPr>
          <w:rFonts w:cstheme="minorHAnsi"/>
          <w:szCs w:val="24"/>
          <w:lang w:val="sr-Latn-ME"/>
        </w:rPr>
      </w:pPr>
      <w:bookmarkStart w:id="137" w:name="_Toc210642652"/>
      <w:bookmarkStart w:id="138" w:name="_Toc210642753"/>
      <w:r w:rsidRPr="00C86111">
        <w:rPr>
          <w:rFonts w:cstheme="minorHAnsi"/>
          <w:szCs w:val="24"/>
          <w:lang w:val="sr-Latn-ME"/>
        </w:rPr>
        <w:t>U Crnoj Gori, iako nema domaće proizvodnje ove hemikalije, kontrola nad njenim uvozom, distribucijom i upotrebom je od ključnog značaja. Postojeći izuzeci koji se odnose na građevinske aplikacije</w:t>
      </w:r>
      <w:r w:rsidRPr="00C86111">
        <w:rPr>
          <w:rFonts w:cstheme="minorHAnsi"/>
          <w:b/>
          <w:szCs w:val="24"/>
          <w:lang w:val="sr-Latn-ME"/>
        </w:rPr>
        <w:t>,</w:t>
      </w:r>
      <w:r w:rsidRPr="00C86111">
        <w:rPr>
          <w:rFonts w:cstheme="minorHAnsi"/>
          <w:szCs w:val="24"/>
          <w:lang w:val="sr-Latn-ME"/>
        </w:rPr>
        <w:t xml:space="preserve"> naročito EPS i XPS</w:t>
      </w:r>
      <w:r w:rsidRPr="00C86111">
        <w:rPr>
          <w:rFonts w:cstheme="minorHAnsi"/>
          <w:b/>
          <w:szCs w:val="24"/>
          <w:lang w:val="sr-Latn-ME"/>
        </w:rPr>
        <w:t>,</w:t>
      </w:r>
      <w:r w:rsidRPr="00C86111">
        <w:rPr>
          <w:rFonts w:cstheme="minorHAnsi"/>
          <w:szCs w:val="24"/>
          <w:lang w:val="sr-Latn-ME"/>
        </w:rPr>
        <w:t xml:space="preserve"> su vremenski ograničeni, što naglašava potrebu za prelazak na bezbjednije alternative.</w:t>
      </w:r>
      <w:bookmarkEnd w:id="137"/>
      <w:bookmarkEnd w:id="138"/>
    </w:p>
    <w:p w14:paraId="5E2F3A3F" w14:textId="77777777" w:rsidR="00A0529E" w:rsidRPr="00C86111" w:rsidRDefault="00A0529E" w:rsidP="00A0529E">
      <w:pPr>
        <w:jc w:val="both"/>
        <w:rPr>
          <w:rFonts w:cstheme="minorHAnsi"/>
          <w:szCs w:val="24"/>
          <w:lang w:val="sr-Latn-ME"/>
        </w:rPr>
      </w:pPr>
      <w:bookmarkStart w:id="139" w:name="_Toc210642653"/>
      <w:bookmarkStart w:id="140" w:name="_Toc210642754"/>
      <w:r w:rsidRPr="00C86111">
        <w:rPr>
          <w:rFonts w:cstheme="minorHAnsi"/>
          <w:szCs w:val="24"/>
          <w:lang w:val="sr-Latn-ME"/>
        </w:rPr>
        <w:t>Napori za smanjenje upotrebe HBCD su u toku, a istraživanja i razvoj su usmjereni na usporivače gorenja koji pružaju sličnu zaštitu od požara, ali bez postojanosti u životnoj sredini i toksičnosti. Polimerni usporivači gorenja i druge nove supstance su među obećavajućim alternativama koje bi mogle zamijeniti HBCD u izolacionim i drugim aplikacijama.</w:t>
      </w:r>
      <w:bookmarkEnd w:id="139"/>
      <w:bookmarkEnd w:id="140"/>
    </w:p>
    <w:p w14:paraId="54DA65DE" w14:textId="77777777" w:rsidR="00A0529E" w:rsidRDefault="00A0529E" w:rsidP="00A0529E">
      <w:pPr>
        <w:jc w:val="both"/>
        <w:rPr>
          <w:rFonts w:cstheme="minorHAnsi"/>
          <w:szCs w:val="24"/>
          <w:lang w:val="sr-Latn-ME"/>
        </w:rPr>
      </w:pPr>
      <w:bookmarkStart w:id="141" w:name="_Toc210642654"/>
      <w:bookmarkStart w:id="142" w:name="_Toc210642755"/>
      <w:r w:rsidRPr="00C86111">
        <w:rPr>
          <w:rFonts w:cstheme="minorHAnsi"/>
          <w:szCs w:val="24"/>
          <w:lang w:val="sr-Latn-ME"/>
        </w:rPr>
        <w:t>Prelazak na ove alternative zahtijeva koordinisano djelovanje između industrije, regulatornih tijela i ostalih zainteresovanih strana, kako bi se osigurala bezbjednost i usklađenost sa međunarodnim obavezama.</w:t>
      </w:r>
      <w:bookmarkEnd w:id="141"/>
      <w:bookmarkEnd w:id="142"/>
    </w:p>
    <w:p w14:paraId="5D95C432" w14:textId="77777777" w:rsidR="00F57E42" w:rsidRDefault="00F57E42" w:rsidP="00A0529E">
      <w:pPr>
        <w:jc w:val="both"/>
        <w:rPr>
          <w:rFonts w:cstheme="minorHAnsi"/>
          <w:szCs w:val="24"/>
          <w:lang w:val="sr-Latn-ME"/>
        </w:rPr>
      </w:pPr>
    </w:p>
    <w:p w14:paraId="5C907891" w14:textId="77777777" w:rsidR="00F57E42" w:rsidRPr="00C86111" w:rsidRDefault="00F57E42" w:rsidP="00A0529E">
      <w:pPr>
        <w:jc w:val="both"/>
        <w:rPr>
          <w:rFonts w:cstheme="minorHAnsi"/>
          <w:b/>
          <w:szCs w:val="24"/>
          <w:lang w:val="sr-Latn-ME"/>
        </w:rPr>
      </w:pPr>
    </w:p>
    <w:p w14:paraId="0A112394" w14:textId="77777777" w:rsidR="00A0529E" w:rsidRPr="00C86111" w:rsidRDefault="00A0529E" w:rsidP="00004F34">
      <w:pPr>
        <w:pStyle w:val="Heading1"/>
        <w:numPr>
          <w:ilvl w:val="1"/>
          <w:numId w:val="238"/>
        </w:numPr>
      </w:pPr>
      <w:bookmarkStart w:id="143" w:name="_Toc210651366"/>
      <w:bookmarkStart w:id="144" w:name="_Toc220541915"/>
      <w:bookmarkStart w:id="145" w:name="_Hlk206579506"/>
      <w:r w:rsidRPr="00C86111">
        <w:lastRenderedPageBreak/>
        <w:t>METODOLOGIJA</w:t>
      </w:r>
      <w:bookmarkEnd w:id="143"/>
      <w:bookmarkEnd w:id="144"/>
    </w:p>
    <w:p w14:paraId="4389EB93" w14:textId="77777777" w:rsidR="002307C2" w:rsidRPr="00C86111" w:rsidRDefault="002307C2" w:rsidP="002307C2"/>
    <w:p w14:paraId="4E8E93F8" w14:textId="77777777" w:rsidR="00A0529E" w:rsidRPr="00C86111" w:rsidRDefault="00A0529E" w:rsidP="00A0529E">
      <w:pPr>
        <w:jc w:val="both"/>
        <w:rPr>
          <w:rFonts w:cstheme="minorHAnsi"/>
          <w:szCs w:val="24"/>
          <w:u w:color="000000"/>
          <w:bdr w:val="nil"/>
          <w:lang w:val="sr-Latn-ME"/>
        </w:rPr>
      </w:pPr>
      <w:bookmarkStart w:id="146" w:name="_Toc210642656"/>
      <w:bookmarkStart w:id="147" w:name="_Toc210642757"/>
      <w:bookmarkStart w:id="148" w:name="_Toc206579693"/>
      <w:bookmarkEnd w:id="145"/>
      <w:r w:rsidRPr="00C86111">
        <w:rPr>
          <w:rFonts w:cstheme="minorHAnsi"/>
          <w:szCs w:val="24"/>
          <w:u w:color="000000"/>
          <w:bdr w:val="nil"/>
          <w:lang w:val="sr-Latn-ME"/>
        </w:rPr>
        <w:t>Ovaj inventar heksabromociklododekana (HBCD) u Crnoj Gori za period 2017-2023. godine prati pristup Tier II, djelimično uključujući elemente metodologija Tier III, kako je navedeno u međunarodnim smjernicama za inventare dugotrajnih organskih zagađivača (POPs). Metodologija se prvenstveno zasniva na tehnikama prikupljanja, analize i procjene podataka čiji je cilj pružanje sveobuhvatnog pregleda prisustva, uvoza, upotrebe i upravljanja otpadom HBCD u zemlji.</w:t>
      </w:r>
      <w:bookmarkEnd w:id="146"/>
      <w:bookmarkEnd w:id="147"/>
    </w:p>
    <w:p w14:paraId="4ECF7B91" w14:textId="77777777" w:rsidR="00A0529E" w:rsidRPr="00C86111" w:rsidRDefault="00A0529E" w:rsidP="00EA6904">
      <w:pPr>
        <w:pStyle w:val="Heading3"/>
      </w:pPr>
      <w:bookmarkStart w:id="149" w:name="_Toc210651367"/>
      <w:bookmarkStart w:id="150" w:name="_Toc220541916"/>
      <w:bookmarkEnd w:id="148"/>
      <w:r w:rsidRPr="00C86111">
        <w:t>Izvori i prikupljanje podataka</w:t>
      </w:r>
      <w:bookmarkEnd w:id="149"/>
      <w:bookmarkEnd w:id="150"/>
    </w:p>
    <w:p w14:paraId="08C447CA" w14:textId="77777777" w:rsidR="00A0529E" w:rsidRPr="00C86111" w:rsidRDefault="00A0529E" w:rsidP="00A0529E">
      <w:pPr>
        <w:jc w:val="both"/>
        <w:rPr>
          <w:rFonts w:cstheme="minorHAnsi"/>
          <w:szCs w:val="24"/>
          <w:lang w:val="sr-Latn-ME"/>
        </w:rPr>
      </w:pPr>
      <w:r w:rsidRPr="00C86111">
        <w:rPr>
          <w:rFonts w:cstheme="minorHAnsi"/>
          <w:szCs w:val="24"/>
          <w:lang w:val="sr-Latn-ME"/>
        </w:rPr>
        <w:t>Osnovni podaci korišćeni za inventar prikupljeni su kombinacijom direktnog angažovanja zainteresovanih strana, zvanične statistike i pregleda dokumenata. Upitnici su distribuirani relevantnim organima i zainteresovanim stranama, uključujući Upravu carina, građevinske kompanije, uvoznike i subjekte za upravljanje otpadom. Ovi upitnici su se fokusirali na uvoz i upotrebu proizvoda koji potencijalno sadrže HBCD, posebno materijala od ekspandiranog i ekstrudiranog polistirena (EPS i XPS). Pored toga, intervjui sa ključnim sagovornicima, uključujući predstavnike uvoznika i stručnjake iz industrije, pružili su kvalitativni uvid o sastavu proizvoda i načinima njihove upotrebe.</w:t>
      </w:r>
    </w:p>
    <w:p w14:paraId="6D02C940" w14:textId="77777777" w:rsidR="00A0529E" w:rsidRPr="00C86111" w:rsidRDefault="00A0529E" w:rsidP="00EA6904">
      <w:pPr>
        <w:pStyle w:val="Heading3"/>
      </w:pPr>
      <w:bookmarkStart w:id="151" w:name="_Toc210651368"/>
      <w:bookmarkStart w:id="152" w:name="_Toc220541917"/>
      <w:r w:rsidRPr="00C86111">
        <w:t>Izbor sektora</w:t>
      </w:r>
      <w:bookmarkEnd w:id="151"/>
      <w:bookmarkEnd w:id="152"/>
    </w:p>
    <w:p w14:paraId="1EEF9749" w14:textId="77777777" w:rsidR="00A0529E" w:rsidRPr="00C86111" w:rsidRDefault="00A0529E" w:rsidP="00A0529E">
      <w:pPr>
        <w:jc w:val="both"/>
        <w:rPr>
          <w:rFonts w:cstheme="minorHAnsi"/>
          <w:szCs w:val="24"/>
          <w:lang w:val="sr-Latn-ME"/>
        </w:rPr>
      </w:pPr>
      <w:bookmarkStart w:id="153" w:name="_Toc206579695"/>
      <w:r w:rsidRPr="00C86111">
        <w:rPr>
          <w:rFonts w:cstheme="minorHAnsi"/>
          <w:szCs w:val="24"/>
          <w:lang w:val="sr-Latn-ME"/>
        </w:rPr>
        <w:t>Sektori uključeni u inventar odabrani su na osnovu njihove poznate ili potencijalne povezanosti sa proizvodima koji sadrže HBCD. Građevinski sektor bio je glavni fokus zbog dominantne upotrebe EPS i XPS izolacionih materijala tretiranih sa HBCD. Ostali sektori, poput tekstilne i elektronske industrije, smatrani su manjim učesnicima, s obzirom na ograničenu prijavljenu upotrebu HBCD u Crnoj Gori. Takođe su uključeni sektor upravljanja otpadom i kontaminirane lokacije povezane sa građevinskim i izolacionim materijalima, kako bi se obuhvatio kompletan životni ciklus HBCD.</w:t>
      </w:r>
    </w:p>
    <w:p w14:paraId="688B88E2" w14:textId="77777777" w:rsidR="00A0529E" w:rsidRPr="00C86111" w:rsidRDefault="00A0529E" w:rsidP="00EA6904">
      <w:pPr>
        <w:pStyle w:val="Heading3"/>
      </w:pPr>
      <w:bookmarkStart w:id="154" w:name="_Toc210651369"/>
      <w:bookmarkStart w:id="155" w:name="_Toc220541918"/>
      <w:bookmarkEnd w:id="153"/>
      <w:r w:rsidRPr="00C86111">
        <w:t>Analiza uvoza</w:t>
      </w:r>
      <w:bookmarkEnd w:id="154"/>
      <w:bookmarkEnd w:id="155"/>
    </w:p>
    <w:p w14:paraId="4C0F3D3D" w14:textId="77777777" w:rsidR="00A0529E" w:rsidRPr="00C86111" w:rsidRDefault="00A0529E" w:rsidP="00A0529E">
      <w:pPr>
        <w:jc w:val="both"/>
        <w:rPr>
          <w:rFonts w:cstheme="minorHAnsi"/>
          <w:szCs w:val="24"/>
          <w:lang w:val="sr-Latn-ME"/>
        </w:rPr>
      </w:pPr>
      <w:bookmarkStart w:id="156" w:name="_Toc210642660"/>
      <w:bookmarkStart w:id="157" w:name="_Toc210642761"/>
      <w:bookmarkStart w:id="158" w:name="_Toc206579696"/>
      <w:r w:rsidRPr="00C86111">
        <w:rPr>
          <w:rFonts w:cstheme="minorHAnsi"/>
          <w:szCs w:val="24"/>
          <w:u w:color="000000"/>
          <w:bdr w:val="nil"/>
          <w:lang w:val="sr-Latn-ME"/>
        </w:rPr>
        <w:t>S obzirom na odsustvo domaće proizvodnje HBCD i polistirenskih granula u Crnoj Gori tokom posmatranog perioda, inventarisanje se uglavnom oslanjalo na podatke o uvozu. Količina uvezenih granula ekspandiranog polistirena i gotovih proizvoda na bazi polistirena analizirana je kako bi se procijenila prisutna količina HBCD na tržištu. Procenat uvezenih granula koje sadrže HBCD utvrđen je pomoću bezbjedonosnih listova i direktne komunikacije sa uvoznicima, što je omogućilo približnu procjenu sadržaja HBCD u uvoznim materijalima.</w:t>
      </w:r>
      <w:bookmarkEnd w:id="156"/>
      <w:bookmarkEnd w:id="157"/>
    </w:p>
    <w:p w14:paraId="7FAD1FA7" w14:textId="77777777" w:rsidR="00A0529E" w:rsidRPr="00C86111" w:rsidRDefault="00A0529E" w:rsidP="00EA6904">
      <w:pPr>
        <w:pStyle w:val="Heading3"/>
      </w:pPr>
      <w:bookmarkStart w:id="159" w:name="_Toc210651370"/>
      <w:bookmarkStart w:id="160" w:name="_Toc220541919"/>
      <w:bookmarkEnd w:id="158"/>
      <w:r w:rsidRPr="00C86111">
        <w:t>Procjena upotrebe</w:t>
      </w:r>
      <w:bookmarkEnd w:id="159"/>
      <w:bookmarkEnd w:id="160"/>
    </w:p>
    <w:p w14:paraId="2FA44959" w14:textId="77777777" w:rsidR="00A0529E" w:rsidRPr="00C86111" w:rsidRDefault="00A0529E" w:rsidP="00A0529E">
      <w:pPr>
        <w:jc w:val="both"/>
        <w:rPr>
          <w:rFonts w:cstheme="minorHAnsi"/>
          <w:szCs w:val="24"/>
          <w:u w:color="000000"/>
          <w:bdr w:val="nil"/>
          <w:lang w:val="sr-Latn-ME"/>
        </w:rPr>
      </w:pPr>
      <w:bookmarkStart w:id="161" w:name="_Toc210642763"/>
      <w:bookmarkStart w:id="162" w:name="_Toc206579697"/>
      <w:r w:rsidRPr="00C86111">
        <w:rPr>
          <w:rFonts w:cstheme="minorHAnsi"/>
          <w:szCs w:val="24"/>
          <w:u w:color="000000"/>
          <w:bdr w:val="nil"/>
          <w:lang w:val="sr-Latn-ME"/>
        </w:rPr>
        <w:t>Inventarom je procijenjena upotreba HBCD primjenom faktora izvedenih iz sastava proizvoda i tržišnih podataka. Na primjer, na osnovu informacija dobijenih od uvoznika, utvrđeno je da 12,5% granula ekspandiranog polistirena sadrži HBCD u koncentraciji od 1% (najgori mogući scenario). Ovaj faktor je slično primijenjen i na uvezene gotove proizvode. Pored toga, primijenjen je korekcioni koeficijent od 1,3 kako bi se uračunalo prisustvo HBCD u drugim kategorijama proizvoda, kao što su tekstil i sintetička vlakna, na osnovu dostupne literature i podataka o postojanju potencijalnih rizika.</w:t>
      </w:r>
      <w:bookmarkEnd w:id="161"/>
    </w:p>
    <w:p w14:paraId="4C9EA297" w14:textId="77777777" w:rsidR="00A0529E" w:rsidRPr="00C86111" w:rsidRDefault="00A0529E" w:rsidP="00EA6904">
      <w:pPr>
        <w:pStyle w:val="Heading3"/>
      </w:pPr>
      <w:bookmarkStart w:id="163" w:name="_Toc210651371"/>
      <w:bookmarkStart w:id="164" w:name="_Toc220541920"/>
      <w:bookmarkEnd w:id="162"/>
      <w:r w:rsidRPr="00C86111">
        <w:lastRenderedPageBreak/>
        <w:t>Procjena otpada i kontaminiranih lokacija</w:t>
      </w:r>
      <w:bookmarkEnd w:id="163"/>
      <w:bookmarkEnd w:id="164"/>
    </w:p>
    <w:p w14:paraId="7CD04ABA" w14:textId="77777777" w:rsidR="00A0529E" w:rsidRPr="00C86111" w:rsidRDefault="00A0529E" w:rsidP="00A0529E">
      <w:pPr>
        <w:jc w:val="both"/>
        <w:rPr>
          <w:rFonts w:cstheme="minorHAnsi"/>
          <w:b/>
          <w:szCs w:val="24"/>
          <w:u w:color="000000"/>
          <w:bdr w:val="nil"/>
          <w:lang w:val="sr-Latn-ME"/>
        </w:rPr>
      </w:pPr>
      <w:bookmarkStart w:id="165" w:name="_Toc210642764"/>
      <w:bookmarkStart w:id="166" w:name="_Toc206579698"/>
      <w:r w:rsidRPr="00C86111">
        <w:rPr>
          <w:rFonts w:cstheme="minorHAnsi"/>
          <w:szCs w:val="24"/>
          <w:u w:color="000000"/>
          <w:bdr w:val="nil"/>
          <w:lang w:val="sr-Latn-ME"/>
        </w:rPr>
        <w:t>Prisustvo HBCD u otpadu procijenjeno je kombinovanjem statističkih podataka o količinama građevinskog otpada sa pretpostavkom da izolacioni materijal čini približno 1% tog otpada. Udio HBCD u izolacionom materijalu ponovo je procijenjen koristeći faktor koncentracije od 12,5%. Prakse odlaganja otpada, uključujući upravljanje deponijama i tretman mješanog komunalnog otpada, analizirane su radi razumijevanja mogućih puteva ispuštanja HBCD u životnu sredinu.</w:t>
      </w:r>
      <w:bookmarkEnd w:id="165"/>
    </w:p>
    <w:p w14:paraId="5DCFB389" w14:textId="77777777" w:rsidR="00A0529E" w:rsidRPr="00C86111" w:rsidRDefault="00A0529E" w:rsidP="00EA6904">
      <w:pPr>
        <w:pStyle w:val="Heading3"/>
      </w:pPr>
      <w:bookmarkStart w:id="167" w:name="_Toc210651372"/>
      <w:bookmarkStart w:id="168" w:name="_Toc220541921"/>
      <w:bookmarkEnd w:id="166"/>
      <w:r w:rsidRPr="00C86111">
        <w:t>Osiguranje kvaliteta i ograničenja</w:t>
      </w:r>
      <w:bookmarkEnd w:id="167"/>
      <w:bookmarkEnd w:id="168"/>
    </w:p>
    <w:p w14:paraId="04277341" w14:textId="77777777" w:rsidR="00A0529E" w:rsidRPr="00C86111" w:rsidRDefault="00A0529E" w:rsidP="00A0529E">
      <w:pPr>
        <w:jc w:val="both"/>
        <w:rPr>
          <w:rFonts w:cstheme="minorHAnsi"/>
          <w:szCs w:val="24"/>
          <w:lang w:val="sr-Latn-ME"/>
        </w:rPr>
      </w:pPr>
      <w:r w:rsidRPr="00C86111">
        <w:rPr>
          <w:rFonts w:eastAsia="Calibri" w:cstheme="minorHAnsi"/>
          <w:color w:val="000000"/>
          <w:szCs w:val="24"/>
          <w:u w:color="000000"/>
          <w:bdr w:val="nil"/>
          <w:lang w:val="sr-Latn-ME"/>
          <w14:textOutline w14:w="0" w14:cap="flat" w14:cmpd="sng" w14:algn="ctr">
            <w14:noFill/>
            <w14:prstDash w14:val="solid"/>
            <w14:bevel/>
          </w14:textOutline>
        </w:rPr>
        <w:t>Tokom cijelog procesa uloženi su napori da se obezbijedi kvalitet i konzistentnost podataka unakrsnom provjerom više izvora podataka, angažovanjem zainteresovanih strana radi validacije podataka i pridržavanjem međunarodno prihvaćenih smjernica za inventarisanje. Međutim, postoje ograničenja zbog nepotpunih podataka o određenim vrstama proizvoda, potencijalnog nedovoljnog izvještavanja i pretpostavki potrebnih za koncentraciju HBCD u uvezenim proizvodima. Ova ograničenja su prepoznata i uzeta u obzir prilikom tumačenja rezultata inventara.</w:t>
      </w:r>
    </w:p>
    <w:p w14:paraId="1194A385" w14:textId="6ACB8780" w:rsidR="00A0529E" w:rsidRPr="00C86111" w:rsidRDefault="00A0529E" w:rsidP="00004F34">
      <w:pPr>
        <w:pStyle w:val="Heading1"/>
        <w:numPr>
          <w:ilvl w:val="1"/>
          <w:numId w:val="238"/>
        </w:numPr>
      </w:pPr>
      <w:bookmarkStart w:id="169" w:name="_Toc210651373"/>
      <w:bookmarkStart w:id="170" w:name="_Toc220541922"/>
      <w:r w:rsidRPr="00C86111">
        <w:t xml:space="preserve">INVENTAR HBCD </w:t>
      </w:r>
      <w:r w:rsidR="002307C2" w:rsidRPr="00C86111">
        <w:t xml:space="preserve">U CRNOJ GORI </w:t>
      </w:r>
      <w:r w:rsidRPr="00C86111">
        <w:t>ZA PERIOD 2017-2023. GODINA</w:t>
      </w:r>
      <w:bookmarkEnd w:id="169"/>
      <w:bookmarkEnd w:id="170"/>
      <w:r w:rsidR="002307C2" w:rsidRPr="00C86111">
        <w:t xml:space="preserve"> </w:t>
      </w:r>
    </w:p>
    <w:p w14:paraId="0E51D067" w14:textId="77777777" w:rsidR="00A0529E" w:rsidRPr="00C86111" w:rsidRDefault="00A0529E" w:rsidP="00EA6904">
      <w:pPr>
        <w:pStyle w:val="Heading3"/>
      </w:pPr>
      <w:bookmarkStart w:id="171" w:name="_Toc210651374"/>
      <w:bookmarkStart w:id="172" w:name="_Toc220541923"/>
      <w:r w:rsidRPr="00C86111">
        <w:t>Proizvodi koji potencijalno sadrže HBCD</w:t>
      </w:r>
      <w:bookmarkEnd w:id="171"/>
      <w:bookmarkEnd w:id="172"/>
    </w:p>
    <w:p w14:paraId="7AE2AC37" w14:textId="77777777" w:rsidR="002307C2" w:rsidRPr="00C86111" w:rsidRDefault="002307C2" w:rsidP="002307C2">
      <w:pPr>
        <w:rPr>
          <w:lang w:val="sr-Latn-RS"/>
        </w:rPr>
      </w:pPr>
    </w:p>
    <w:p w14:paraId="73B4C3E6" w14:textId="181AA267" w:rsidR="00A0529E" w:rsidRPr="00C86111" w:rsidRDefault="00A0529E" w:rsidP="00A0529E">
      <w:pPr>
        <w:jc w:val="both"/>
        <w:rPr>
          <w:rFonts w:cstheme="minorHAnsi"/>
          <w:szCs w:val="24"/>
          <w:lang w:val="sr-Latn-ME"/>
        </w:rPr>
      </w:pPr>
      <w:r w:rsidRPr="00C86111">
        <w:rPr>
          <w:rFonts w:cstheme="minorHAnsi"/>
          <w:szCs w:val="24"/>
          <w:lang w:val="sr-Latn-ME"/>
        </w:rPr>
        <w:t xml:space="preserve">U Crnoj Gori postoji nekoliko sektora i za njih nadležnih zainteresovanih strana koje su uključene u različite procese upravljanja proizvodima koji potencijalno sadrže HBCD (Tabela </w:t>
      </w:r>
      <w:r w:rsidR="002307C2" w:rsidRPr="00C86111">
        <w:rPr>
          <w:rFonts w:cstheme="minorHAnsi"/>
          <w:szCs w:val="24"/>
          <w:lang w:val="sr-Latn-ME"/>
        </w:rPr>
        <w:t>60</w:t>
      </w:r>
      <w:r w:rsidRPr="00C86111">
        <w:rPr>
          <w:rFonts w:cstheme="minorHAnsi"/>
          <w:szCs w:val="24"/>
          <w:lang w:val="sr-Latn-ME"/>
        </w:rPr>
        <w:t>).</w:t>
      </w:r>
    </w:p>
    <w:p w14:paraId="61C7D733" w14:textId="77777777" w:rsidR="002307C2" w:rsidRPr="00C86111" w:rsidRDefault="002307C2" w:rsidP="00A0529E">
      <w:pPr>
        <w:jc w:val="both"/>
        <w:rPr>
          <w:rFonts w:cstheme="minorHAnsi"/>
          <w:szCs w:val="24"/>
          <w:lang w:val="sr-Latn-ME"/>
        </w:rPr>
      </w:pPr>
    </w:p>
    <w:p w14:paraId="78CC4F81" w14:textId="77E3F367" w:rsidR="00A0529E" w:rsidRPr="00C86111" w:rsidRDefault="00A0529E" w:rsidP="00A0529E">
      <w:pPr>
        <w:jc w:val="both"/>
        <w:rPr>
          <w:rFonts w:cstheme="minorHAnsi"/>
          <w:szCs w:val="24"/>
          <w:lang w:val="sr-Latn-ME"/>
        </w:rPr>
      </w:pPr>
      <w:r w:rsidRPr="00C86111">
        <w:rPr>
          <w:rFonts w:cstheme="minorHAnsi"/>
          <w:b/>
          <w:bCs/>
          <w:szCs w:val="24"/>
          <w:lang w:val="sr-Latn-ME"/>
        </w:rPr>
        <w:t xml:space="preserve">Tabela </w:t>
      </w:r>
      <w:r w:rsidR="002307C2" w:rsidRPr="00C86111">
        <w:rPr>
          <w:rFonts w:cstheme="minorHAnsi"/>
          <w:b/>
          <w:bCs/>
          <w:szCs w:val="24"/>
          <w:lang w:val="sr-Latn-ME"/>
        </w:rPr>
        <w:t>60</w:t>
      </w:r>
      <w:r w:rsidRPr="00C86111">
        <w:rPr>
          <w:rFonts w:cstheme="minorHAnsi"/>
          <w:b/>
          <w:bCs/>
          <w:szCs w:val="24"/>
          <w:lang w:val="sr-Latn-ME"/>
        </w:rPr>
        <w:t>.</w:t>
      </w:r>
      <w:r w:rsidRPr="00C86111">
        <w:rPr>
          <w:rFonts w:cstheme="minorHAnsi"/>
          <w:szCs w:val="24"/>
          <w:lang w:val="sr-Latn-ME"/>
        </w:rPr>
        <w:t xml:space="preserve"> Sektori i za njih nadležne zainteresovane strane koje su uključene u različite procese upravljanja proizvodima koji potencijalno sadrže HBCD</w:t>
      </w:r>
    </w:p>
    <w:tbl>
      <w:tblPr>
        <w:tblStyle w:val="GridTable5Dark-Accent6"/>
        <w:tblW w:w="5000" w:type="pct"/>
        <w:tblLook w:val="04A0" w:firstRow="1" w:lastRow="0" w:firstColumn="1" w:lastColumn="0" w:noHBand="0" w:noVBand="1"/>
      </w:tblPr>
      <w:tblGrid>
        <w:gridCol w:w="2829"/>
        <w:gridCol w:w="6521"/>
      </w:tblGrid>
      <w:tr w:rsidR="00A0529E" w:rsidRPr="00C86111" w14:paraId="0FEBCCDE"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pct"/>
          </w:tcPr>
          <w:p w14:paraId="5FE4A00B" w14:textId="77777777" w:rsidR="00A0529E" w:rsidRPr="00C86111" w:rsidRDefault="00A0529E" w:rsidP="00BC765B">
            <w:pPr>
              <w:jc w:val="both"/>
              <w:rPr>
                <w:rFonts w:cstheme="minorHAnsi"/>
                <w:color w:val="000000"/>
                <w:sz w:val="20"/>
                <w:szCs w:val="20"/>
                <w:lang w:val="sr-Latn-RS"/>
              </w:rPr>
            </w:pPr>
            <w:bookmarkStart w:id="173" w:name="_Hlk184401422"/>
            <w:r w:rsidRPr="00C86111">
              <w:rPr>
                <w:rFonts w:cstheme="minorHAnsi"/>
                <w:color w:val="000000"/>
                <w:sz w:val="20"/>
                <w:szCs w:val="20"/>
                <w:lang w:val="sr-Latn-RS"/>
              </w:rPr>
              <w:t>Sektor</w:t>
            </w:r>
          </w:p>
        </w:tc>
        <w:tc>
          <w:tcPr>
            <w:tcW w:w="3487" w:type="pct"/>
          </w:tcPr>
          <w:p w14:paraId="60DCC12D" w14:textId="77777777" w:rsidR="00A0529E" w:rsidRPr="00C86111" w:rsidRDefault="00A0529E" w:rsidP="00BC765B">
            <w:pPr>
              <w:jc w:val="both"/>
              <w:cnfStyle w:val="100000000000" w:firstRow="1" w:lastRow="0" w:firstColumn="0" w:lastColumn="0" w:oddVBand="0" w:evenVBand="0" w:oddHBand="0"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Zainteresovana strana</w:t>
            </w:r>
          </w:p>
        </w:tc>
      </w:tr>
      <w:tr w:rsidR="00A0529E" w:rsidRPr="00C86111" w14:paraId="42CFB7EF"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pct"/>
          </w:tcPr>
          <w:p w14:paraId="641F1B3E"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Svi procesi</w:t>
            </w:r>
          </w:p>
        </w:tc>
        <w:tc>
          <w:tcPr>
            <w:tcW w:w="3487" w:type="pct"/>
          </w:tcPr>
          <w:p w14:paraId="1864F503"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86111">
              <w:rPr>
                <w:rFonts w:cstheme="minorHAnsi"/>
                <w:sz w:val="20"/>
                <w:szCs w:val="20"/>
              </w:rPr>
              <w:t>Ministarstvo nadležno za poslove životne sredine</w:t>
            </w:r>
          </w:p>
          <w:p w14:paraId="7418459C"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Kontakt tačka za Bazelsku Konvenciju</w:t>
            </w:r>
          </w:p>
          <w:p w14:paraId="6233637C"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Uprava carina</w:t>
            </w:r>
          </w:p>
          <w:p w14:paraId="687C88F3"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Uvoznici proizvoda koji sadrže HBCD</w:t>
            </w:r>
          </w:p>
          <w:p w14:paraId="0C9ECA9E"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NVO koje se bave pitanjem POPs hemikalija</w:t>
            </w:r>
          </w:p>
        </w:tc>
      </w:tr>
      <w:tr w:rsidR="00A0529E" w:rsidRPr="00C86111" w14:paraId="54BDB60A" w14:textId="77777777" w:rsidTr="00BC765B">
        <w:tc>
          <w:tcPr>
            <w:cnfStyle w:val="001000000000" w:firstRow="0" w:lastRow="0" w:firstColumn="1" w:lastColumn="0" w:oddVBand="0" w:evenVBand="0" w:oddHBand="0" w:evenHBand="0" w:firstRowFirstColumn="0" w:firstRowLastColumn="0" w:lastRowFirstColumn="0" w:lastRowLastColumn="0"/>
            <w:tcW w:w="1513" w:type="pct"/>
          </w:tcPr>
          <w:p w14:paraId="35D02FEE"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Ekspandirani polistiren (EPS) koji se korisiti u građevinarstvu</w:t>
            </w:r>
          </w:p>
        </w:tc>
        <w:tc>
          <w:tcPr>
            <w:tcW w:w="3487" w:type="pct"/>
          </w:tcPr>
          <w:p w14:paraId="0ECB8AB7"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Uvoznici EPS proizvoda</w:t>
            </w:r>
          </w:p>
          <w:p w14:paraId="31954C5F"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Građevinske kompanije (vezano za poslove izvođenja izolacije objekata)</w:t>
            </w:r>
          </w:p>
          <w:p w14:paraId="479FB3B3"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Prodavci izolacionih ploča i drugog građevinskog materijala od EPS</w:t>
            </w:r>
          </w:p>
        </w:tc>
      </w:tr>
      <w:tr w:rsidR="00A0529E" w:rsidRPr="00C86111" w14:paraId="3A0644D1"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pct"/>
          </w:tcPr>
          <w:p w14:paraId="0CFD7993"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Završni tretman</w:t>
            </w:r>
          </w:p>
        </w:tc>
        <w:tc>
          <w:tcPr>
            <w:tcW w:w="3487" w:type="pct"/>
          </w:tcPr>
          <w:p w14:paraId="732DAB01"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val="sr-Latn-RS"/>
              </w:rPr>
            </w:pPr>
            <w:r w:rsidRPr="00C86111">
              <w:rPr>
                <w:rFonts w:cstheme="minorHAnsi"/>
                <w:sz w:val="20"/>
                <w:szCs w:val="20"/>
              </w:rPr>
              <w:t>Deponije</w:t>
            </w:r>
          </w:p>
        </w:tc>
      </w:tr>
      <w:bookmarkEnd w:id="173"/>
    </w:tbl>
    <w:p w14:paraId="1D8ADEB8" w14:textId="77777777" w:rsidR="00A0529E" w:rsidRPr="00C86111" w:rsidRDefault="00A0529E" w:rsidP="00A0529E">
      <w:pPr>
        <w:jc w:val="both"/>
        <w:rPr>
          <w:rFonts w:cstheme="minorHAnsi"/>
          <w:i/>
          <w:iCs/>
          <w:szCs w:val="24"/>
          <w:lang w:val="sr-Latn-ME"/>
        </w:rPr>
      </w:pPr>
    </w:p>
    <w:p w14:paraId="738EF5AF" w14:textId="77777777" w:rsidR="00A0529E" w:rsidRPr="00C86111" w:rsidRDefault="00A0529E" w:rsidP="00A0529E">
      <w:pPr>
        <w:jc w:val="both"/>
        <w:rPr>
          <w:rFonts w:cstheme="minorHAnsi"/>
          <w:szCs w:val="24"/>
          <w:lang w:val="sr-Latn-ME"/>
        </w:rPr>
      </w:pPr>
      <w:r w:rsidRPr="00C86111">
        <w:rPr>
          <w:rFonts w:cstheme="minorHAnsi"/>
          <w:szCs w:val="24"/>
          <w:lang w:val="sr-Latn-ME"/>
        </w:rPr>
        <w:t xml:space="preserve">U Centralnom registru privrednih subjekata Crne Gore </w:t>
      </w:r>
      <w:r w:rsidRPr="00C86111">
        <w:rPr>
          <w:rFonts w:cstheme="minorHAnsi"/>
          <w:color w:val="002060"/>
          <w:szCs w:val="24"/>
        </w:rPr>
        <w:t>[3]</w:t>
      </w:r>
      <w:r w:rsidRPr="00C86111">
        <w:rPr>
          <w:rFonts w:cstheme="minorHAnsi"/>
          <w:color w:val="002060"/>
          <w:szCs w:val="24"/>
          <w:lang w:val="sr-Latn-ME"/>
        </w:rPr>
        <w:t xml:space="preserve"> </w:t>
      </w:r>
      <w:r w:rsidRPr="00C86111">
        <w:rPr>
          <w:rFonts w:cstheme="minorHAnsi"/>
          <w:szCs w:val="24"/>
          <w:lang w:val="sr-Latn-ME"/>
        </w:rPr>
        <w:t>za period 2017-2023. godina nema registrovanih proizvođača HBCD i granulata ekstrudiranog i ekspandiranog polistirena. Stoga se izrada inventara HBCD, kao i ranije, bazirala na analizi uvoza.</w:t>
      </w:r>
    </w:p>
    <w:p w14:paraId="4E74274B" w14:textId="77777777" w:rsidR="00A0529E" w:rsidRPr="00C86111" w:rsidRDefault="00A0529E" w:rsidP="00A0529E">
      <w:pPr>
        <w:jc w:val="both"/>
        <w:rPr>
          <w:rFonts w:cstheme="minorHAnsi"/>
          <w:szCs w:val="24"/>
          <w:lang w:val="sr-Latn-ME"/>
        </w:rPr>
      </w:pPr>
      <w:r w:rsidRPr="00C86111">
        <w:rPr>
          <w:rFonts w:cstheme="minorHAnsi"/>
          <w:szCs w:val="24"/>
          <w:lang w:val="sr-Latn-ME"/>
        </w:rPr>
        <w:t>Upravi carina Crne Gore distribuirani su upitinici o količinama proizvoda koji potencijalno mogu da sadrže HBCD u svom sastavu, a čiji je uvoz realizovan u periodu 2017-2023. godina.</w:t>
      </w:r>
    </w:p>
    <w:p w14:paraId="591457AA" w14:textId="77777777" w:rsidR="00A0529E" w:rsidRPr="00C86111" w:rsidRDefault="00A0529E" w:rsidP="00A0529E">
      <w:pPr>
        <w:jc w:val="both"/>
        <w:rPr>
          <w:rFonts w:cstheme="minorHAnsi"/>
          <w:szCs w:val="24"/>
        </w:rPr>
      </w:pPr>
      <w:r w:rsidRPr="00C86111">
        <w:rPr>
          <w:rFonts w:cstheme="minorHAnsi"/>
          <w:szCs w:val="24"/>
          <w:lang w:val="sr-Latn-ME"/>
        </w:rPr>
        <w:t>Analiza dobijenih podataka pokazala je da se u navedenom periodu u Crnu Goru nije uvozio čist HBCD</w:t>
      </w:r>
      <w:r w:rsidRPr="00C86111">
        <w:rPr>
          <w:rFonts w:cstheme="minorHAnsi"/>
          <w:szCs w:val="24"/>
        </w:rPr>
        <w:t>.</w:t>
      </w:r>
    </w:p>
    <w:p w14:paraId="7C73F26A" w14:textId="77777777" w:rsidR="00A0529E" w:rsidRPr="00C86111" w:rsidRDefault="00A0529E" w:rsidP="00EA6904">
      <w:pPr>
        <w:pStyle w:val="Heading3"/>
      </w:pPr>
      <w:bookmarkStart w:id="174" w:name="_Toc210651375"/>
      <w:bookmarkStart w:id="175" w:name="_Toc220541924"/>
      <w:r w:rsidRPr="00C86111">
        <w:lastRenderedPageBreak/>
        <w:t>Uvoz granulata ekspandiranog polistirena</w:t>
      </w:r>
      <w:bookmarkEnd w:id="174"/>
      <w:bookmarkEnd w:id="175"/>
    </w:p>
    <w:p w14:paraId="4852C8B8" w14:textId="77777777" w:rsidR="002307C2" w:rsidRPr="00C86111" w:rsidRDefault="002307C2" w:rsidP="002307C2">
      <w:pPr>
        <w:rPr>
          <w:lang w:val="sr-Latn-RS"/>
        </w:rPr>
      </w:pPr>
    </w:p>
    <w:p w14:paraId="0727CEA9" w14:textId="46345F8E" w:rsidR="00A0529E" w:rsidRPr="00C86111" w:rsidRDefault="00A0529E" w:rsidP="00A0529E">
      <w:pPr>
        <w:jc w:val="both"/>
        <w:rPr>
          <w:rFonts w:cstheme="minorHAnsi"/>
          <w:szCs w:val="24"/>
        </w:rPr>
      </w:pPr>
      <w:r w:rsidRPr="00C86111">
        <w:rPr>
          <w:rFonts w:cstheme="minorHAnsi"/>
          <w:szCs w:val="24"/>
          <w:lang w:val="sr-Latn-ME"/>
        </w:rPr>
        <w:t xml:space="preserve">Na osnovu dobijenih podataka identifikovan je uvoz granulata ekspandiranog polistirena u svrhu proizvodnje izolacionih ploča u količini od 407,6 tona (Tabela </w:t>
      </w:r>
      <w:r w:rsidR="002307C2" w:rsidRPr="00C86111">
        <w:rPr>
          <w:rFonts w:cstheme="minorHAnsi"/>
          <w:szCs w:val="24"/>
          <w:lang w:val="sr-Latn-ME"/>
        </w:rPr>
        <w:t>61</w:t>
      </w:r>
      <w:r w:rsidRPr="00C86111">
        <w:rPr>
          <w:rFonts w:cstheme="minorHAnsi"/>
          <w:szCs w:val="24"/>
          <w:lang w:val="sr-Latn-ME"/>
        </w:rPr>
        <w:t xml:space="preserve">. i </w:t>
      </w:r>
      <w:r w:rsidR="002307C2" w:rsidRPr="00C86111">
        <w:rPr>
          <w:rFonts w:cstheme="minorHAnsi"/>
          <w:szCs w:val="24"/>
          <w:lang w:val="sr-Latn-ME"/>
        </w:rPr>
        <w:t>grafik</w:t>
      </w:r>
      <w:r w:rsidRPr="00C86111">
        <w:rPr>
          <w:rFonts w:cstheme="minorHAnsi"/>
          <w:szCs w:val="24"/>
          <w:lang w:val="sr-Latn-ME"/>
        </w:rPr>
        <w:t xml:space="preserve"> </w:t>
      </w:r>
      <w:r w:rsidR="00547278">
        <w:rPr>
          <w:rFonts w:cstheme="minorHAnsi"/>
          <w:szCs w:val="24"/>
          <w:lang w:val="sr-Latn-ME"/>
        </w:rPr>
        <w:t>22</w:t>
      </w:r>
      <w:r w:rsidRPr="00C86111">
        <w:rPr>
          <w:rFonts w:cstheme="minorHAnsi"/>
          <w:szCs w:val="24"/>
          <w:lang w:val="sr-Latn-ME"/>
        </w:rPr>
        <w:t>).</w:t>
      </w:r>
    </w:p>
    <w:p w14:paraId="1D2FF081" w14:textId="77777777" w:rsidR="00A0529E" w:rsidRPr="00C86111" w:rsidRDefault="00A0529E" w:rsidP="00A0529E">
      <w:pPr>
        <w:jc w:val="both"/>
        <w:rPr>
          <w:rFonts w:cstheme="minorHAnsi"/>
          <w:szCs w:val="24"/>
          <w:lang w:val="sr-Latn-ME"/>
        </w:rPr>
      </w:pPr>
    </w:p>
    <w:p w14:paraId="7241C46E" w14:textId="0DD779C3" w:rsidR="00A0529E" w:rsidRPr="00C86111" w:rsidRDefault="00A0529E" w:rsidP="00A0529E">
      <w:pPr>
        <w:jc w:val="both"/>
        <w:rPr>
          <w:rFonts w:cstheme="minorHAnsi"/>
          <w:iCs/>
          <w:color w:val="000000"/>
          <w:szCs w:val="24"/>
          <w:lang w:val="sr-Latn-RS"/>
        </w:rPr>
      </w:pPr>
      <w:r w:rsidRPr="00C86111">
        <w:rPr>
          <w:rFonts w:cstheme="minorHAnsi"/>
          <w:b/>
          <w:bCs/>
          <w:iCs/>
          <w:color w:val="000000"/>
          <w:szCs w:val="24"/>
          <w:lang w:val="sr-Latn-RS"/>
        </w:rPr>
        <w:t xml:space="preserve">Tabela </w:t>
      </w:r>
      <w:r w:rsidR="002307C2" w:rsidRPr="00C86111">
        <w:rPr>
          <w:rFonts w:cstheme="minorHAnsi"/>
          <w:b/>
          <w:bCs/>
          <w:iCs/>
          <w:color w:val="000000"/>
          <w:szCs w:val="24"/>
          <w:lang w:val="sr-Latn-RS"/>
        </w:rPr>
        <w:t>61</w:t>
      </w:r>
      <w:r w:rsidRPr="00C86111">
        <w:rPr>
          <w:rFonts w:cstheme="minorHAnsi"/>
          <w:b/>
          <w:bCs/>
          <w:iCs/>
          <w:color w:val="000000"/>
          <w:szCs w:val="24"/>
          <w:lang w:val="sr-Latn-RS"/>
        </w:rPr>
        <w:t>.</w:t>
      </w:r>
      <w:r w:rsidRPr="00C86111">
        <w:rPr>
          <w:rFonts w:cstheme="minorHAnsi"/>
          <w:iCs/>
          <w:color w:val="000000"/>
          <w:szCs w:val="24"/>
          <w:lang w:val="sr-Latn-RS"/>
        </w:rPr>
        <w:t xml:space="preserve"> Količina uvezenog granulata ekspandiranog polistirena (t) u periodu   2017-2023. godina</w:t>
      </w:r>
    </w:p>
    <w:tbl>
      <w:tblPr>
        <w:tblStyle w:val="GridTable5Dark-Accent6"/>
        <w:tblW w:w="5000" w:type="pct"/>
        <w:tblLook w:val="04A0" w:firstRow="1" w:lastRow="0" w:firstColumn="1" w:lastColumn="0" w:noHBand="0" w:noVBand="1"/>
      </w:tblPr>
      <w:tblGrid>
        <w:gridCol w:w="2829"/>
        <w:gridCol w:w="6521"/>
      </w:tblGrid>
      <w:tr w:rsidR="00A0529E" w:rsidRPr="00C86111" w14:paraId="651B03B3"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pct"/>
          </w:tcPr>
          <w:p w14:paraId="540C727D"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Godina uvoza</w:t>
            </w:r>
          </w:p>
        </w:tc>
        <w:tc>
          <w:tcPr>
            <w:tcW w:w="3487" w:type="pct"/>
          </w:tcPr>
          <w:p w14:paraId="7C91168C" w14:textId="77777777" w:rsidR="00A0529E" w:rsidRPr="00C86111" w:rsidRDefault="00A0529E" w:rsidP="00BC765B">
            <w:pPr>
              <w:jc w:val="both"/>
              <w:cnfStyle w:val="100000000000" w:firstRow="1" w:lastRow="0" w:firstColumn="0" w:lastColumn="0" w:oddVBand="0" w:evenVBand="0" w:oddHBand="0" w:evenHBand="0" w:firstRowFirstColumn="0" w:firstRowLastColumn="0" w:lastRowFirstColumn="0" w:lastRowLastColumn="0"/>
              <w:rPr>
                <w:rFonts w:cstheme="minorHAnsi"/>
                <w:color w:val="000000"/>
                <w:szCs w:val="24"/>
                <w:lang w:val="sr-Latn-RS"/>
              </w:rPr>
            </w:pPr>
            <w:r w:rsidRPr="00C86111">
              <w:rPr>
                <w:rFonts w:cstheme="minorHAnsi"/>
                <w:color w:val="000000"/>
                <w:szCs w:val="24"/>
                <w:lang w:val="sr-Latn-RS"/>
              </w:rPr>
              <w:t>Uvezena količina granulata ekspandiranog polistirena za proizvodnju izolacionih ploča (t)</w:t>
            </w:r>
          </w:p>
        </w:tc>
      </w:tr>
      <w:tr w:rsidR="00A0529E" w:rsidRPr="00C86111" w14:paraId="2D137F99"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pct"/>
          </w:tcPr>
          <w:p w14:paraId="5869DA32"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2017.</w:t>
            </w:r>
          </w:p>
        </w:tc>
        <w:tc>
          <w:tcPr>
            <w:tcW w:w="3487" w:type="pct"/>
          </w:tcPr>
          <w:p w14:paraId="6FE486C7"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Cs w:val="24"/>
                <w:lang w:val="sr-Latn-RS"/>
              </w:rPr>
            </w:pPr>
            <w:r w:rsidRPr="00C86111">
              <w:rPr>
                <w:rFonts w:cstheme="minorHAnsi"/>
                <w:szCs w:val="24"/>
              </w:rPr>
              <w:t>6,4</w:t>
            </w:r>
          </w:p>
        </w:tc>
      </w:tr>
      <w:tr w:rsidR="00A0529E" w:rsidRPr="00C86111" w14:paraId="17519D8A" w14:textId="77777777" w:rsidTr="00BC765B">
        <w:tc>
          <w:tcPr>
            <w:cnfStyle w:val="001000000000" w:firstRow="0" w:lastRow="0" w:firstColumn="1" w:lastColumn="0" w:oddVBand="0" w:evenVBand="0" w:oddHBand="0" w:evenHBand="0" w:firstRowFirstColumn="0" w:firstRowLastColumn="0" w:lastRowFirstColumn="0" w:lastRowLastColumn="0"/>
            <w:tcW w:w="1513" w:type="pct"/>
          </w:tcPr>
          <w:p w14:paraId="6012DB6F"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2018.</w:t>
            </w:r>
          </w:p>
        </w:tc>
        <w:tc>
          <w:tcPr>
            <w:tcW w:w="3487" w:type="pct"/>
          </w:tcPr>
          <w:p w14:paraId="4E791CC5"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Cs w:val="24"/>
                <w:lang w:val="sr-Latn-RS"/>
              </w:rPr>
            </w:pPr>
            <w:r w:rsidRPr="00C86111">
              <w:rPr>
                <w:rFonts w:cstheme="minorHAnsi"/>
                <w:szCs w:val="24"/>
              </w:rPr>
              <w:t>23,8</w:t>
            </w:r>
          </w:p>
        </w:tc>
      </w:tr>
      <w:tr w:rsidR="00A0529E" w:rsidRPr="00C86111" w14:paraId="648A05B3"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pct"/>
          </w:tcPr>
          <w:p w14:paraId="31158728"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2019.</w:t>
            </w:r>
          </w:p>
        </w:tc>
        <w:tc>
          <w:tcPr>
            <w:tcW w:w="3487" w:type="pct"/>
          </w:tcPr>
          <w:p w14:paraId="21EEE313"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Cs w:val="24"/>
                <w:lang w:val="sr-Latn-RS"/>
              </w:rPr>
            </w:pPr>
            <w:r w:rsidRPr="00C86111">
              <w:rPr>
                <w:rFonts w:cstheme="minorHAnsi"/>
                <w:szCs w:val="24"/>
              </w:rPr>
              <w:t>24,6</w:t>
            </w:r>
          </w:p>
        </w:tc>
      </w:tr>
      <w:tr w:rsidR="00A0529E" w:rsidRPr="00C86111" w14:paraId="5AB3CAC7" w14:textId="77777777" w:rsidTr="00BC765B">
        <w:tc>
          <w:tcPr>
            <w:cnfStyle w:val="001000000000" w:firstRow="0" w:lastRow="0" w:firstColumn="1" w:lastColumn="0" w:oddVBand="0" w:evenVBand="0" w:oddHBand="0" w:evenHBand="0" w:firstRowFirstColumn="0" w:firstRowLastColumn="0" w:lastRowFirstColumn="0" w:lastRowLastColumn="0"/>
            <w:tcW w:w="1513" w:type="pct"/>
          </w:tcPr>
          <w:p w14:paraId="1E098DE7"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2020.</w:t>
            </w:r>
          </w:p>
        </w:tc>
        <w:tc>
          <w:tcPr>
            <w:tcW w:w="3487" w:type="pct"/>
          </w:tcPr>
          <w:p w14:paraId="6F95A3A4"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Cs w:val="24"/>
                <w:lang w:val="sr-Latn-RS"/>
              </w:rPr>
            </w:pPr>
            <w:r w:rsidRPr="00C86111">
              <w:rPr>
                <w:rFonts w:cstheme="minorHAnsi"/>
                <w:szCs w:val="24"/>
              </w:rPr>
              <w:t>76,0</w:t>
            </w:r>
          </w:p>
        </w:tc>
      </w:tr>
      <w:tr w:rsidR="00A0529E" w:rsidRPr="00C86111" w14:paraId="033ADB67"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pct"/>
          </w:tcPr>
          <w:p w14:paraId="3E772C67"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2021.</w:t>
            </w:r>
          </w:p>
        </w:tc>
        <w:tc>
          <w:tcPr>
            <w:tcW w:w="3487" w:type="pct"/>
          </w:tcPr>
          <w:p w14:paraId="7CEF4BC6"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Cs w:val="24"/>
                <w:lang w:val="sr-Latn-RS"/>
              </w:rPr>
            </w:pPr>
            <w:r w:rsidRPr="00C86111">
              <w:rPr>
                <w:rFonts w:cstheme="minorHAnsi"/>
                <w:szCs w:val="24"/>
              </w:rPr>
              <w:t>186,8</w:t>
            </w:r>
          </w:p>
        </w:tc>
      </w:tr>
      <w:tr w:rsidR="00A0529E" w:rsidRPr="00C86111" w14:paraId="0CB91992" w14:textId="77777777" w:rsidTr="00BC765B">
        <w:tc>
          <w:tcPr>
            <w:cnfStyle w:val="001000000000" w:firstRow="0" w:lastRow="0" w:firstColumn="1" w:lastColumn="0" w:oddVBand="0" w:evenVBand="0" w:oddHBand="0" w:evenHBand="0" w:firstRowFirstColumn="0" w:firstRowLastColumn="0" w:lastRowFirstColumn="0" w:lastRowLastColumn="0"/>
            <w:tcW w:w="1513" w:type="pct"/>
          </w:tcPr>
          <w:p w14:paraId="03FFA443"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2022.</w:t>
            </w:r>
          </w:p>
        </w:tc>
        <w:tc>
          <w:tcPr>
            <w:tcW w:w="3487" w:type="pct"/>
          </w:tcPr>
          <w:p w14:paraId="014D4768"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Cs w:val="24"/>
                <w:lang w:val="sr-Latn-RS"/>
              </w:rPr>
            </w:pPr>
            <w:r w:rsidRPr="00C86111">
              <w:rPr>
                <w:rFonts w:cstheme="minorHAnsi"/>
                <w:szCs w:val="24"/>
              </w:rPr>
              <w:t>54,3</w:t>
            </w:r>
          </w:p>
        </w:tc>
      </w:tr>
      <w:tr w:rsidR="00A0529E" w:rsidRPr="00C86111" w14:paraId="137E216C"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pct"/>
          </w:tcPr>
          <w:p w14:paraId="3416B47C"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2023.</w:t>
            </w:r>
          </w:p>
        </w:tc>
        <w:tc>
          <w:tcPr>
            <w:tcW w:w="3487" w:type="pct"/>
          </w:tcPr>
          <w:p w14:paraId="6616CB32"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Cs w:val="24"/>
                <w:lang w:val="sr-Latn-RS"/>
              </w:rPr>
            </w:pPr>
            <w:r w:rsidRPr="00C86111">
              <w:rPr>
                <w:rFonts w:cstheme="minorHAnsi"/>
                <w:szCs w:val="24"/>
              </w:rPr>
              <w:t>35,7</w:t>
            </w:r>
          </w:p>
        </w:tc>
      </w:tr>
      <w:tr w:rsidR="00A0529E" w:rsidRPr="00C86111" w14:paraId="05DF02CF" w14:textId="77777777" w:rsidTr="00BC765B">
        <w:tc>
          <w:tcPr>
            <w:cnfStyle w:val="001000000000" w:firstRow="0" w:lastRow="0" w:firstColumn="1" w:lastColumn="0" w:oddVBand="0" w:evenVBand="0" w:oddHBand="0" w:evenHBand="0" w:firstRowFirstColumn="0" w:firstRowLastColumn="0" w:lastRowFirstColumn="0" w:lastRowLastColumn="0"/>
            <w:tcW w:w="1513" w:type="pct"/>
          </w:tcPr>
          <w:p w14:paraId="68D4E10F"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UKUPNO</w:t>
            </w:r>
          </w:p>
        </w:tc>
        <w:tc>
          <w:tcPr>
            <w:tcW w:w="3487" w:type="pct"/>
          </w:tcPr>
          <w:p w14:paraId="49CAD876"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b/>
                <w:bCs/>
                <w:color w:val="000000"/>
                <w:szCs w:val="24"/>
                <w:lang w:val="sr-Latn-RS"/>
              </w:rPr>
            </w:pPr>
            <w:r w:rsidRPr="00C86111">
              <w:rPr>
                <w:rFonts w:cstheme="minorHAnsi"/>
                <w:b/>
                <w:bCs/>
                <w:szCs w:val="24"/>
              </w:rPr>
              <w:t>407,6</w:t>
            </w:r>
          </w:p>
        </w:tc>
      </w:tr>
    </w:tbl>
    <w:p w14:paraId="577B6DCE" w14:textId="77777777" w:rsidR="00A0529E" w:rsidRPr="00C86111" w:rsidRDefault="00A0529E" w:rsidP="00A0529E">
      <w:pPr>
        <w:jc w:val="both"/>
        <w:rPr>
          <w:rFonts w:cstheme="minorHAnsi"/>
          <w:szCs w:val="24"/>
          <w:lang w:val="sr-Latn-RS"/>
        </w:rPr>
      </w:pPr>
    </w:p>
    <w:p w14:paraId="353050ED" w14:textId="77777777" w:rsidR="00A0529E" w:rsidRPr="00C86111" w:rsidRDefault="00A0529E" w:rsidP="00A0529E">
      <w:pPr>
        <w:jc w:val="both"/>
        <w:rPr>
          <w:rFonts w:cstheme="minorHAnsi"/>
          <w:szCs w:val="24"/>
          <w:lang w:val="sr-Latn-RS"/>
        </w:rPr>
      </w:pPr>
      <w:r w:rsidRPr="00C86111">
        <w:rPr>
          <w:rFonts w:cstheme="minorHAnsi"/>
          <w:noProof/>
          <w:szCs w:val="24"/>
        </w:rPr>
        <w:drawing>
          <wp:inline distT="0" distB="0" distL="0" distR="0" wp14:anchorId="2A5B878E" wp14:editId="5F1CEF15">
            <wp:extent cx="5537200" cy="2393950"/>
            <wp:effectExtent l="0" t="0" r="6350" b="6350"/>
            <wp:docPr id="24945413" name="Chart 1">
              <a:extLst xmlns:a="http://schemas.openxmlformats.org/drawingml/2006/main">
                <a:ext uri="{FF2B5EF4-FFF2-40B4-BE49-F238E27FC236}">
                  <a16:creationId xmlns:a16="http://schemas.microsoft.com/office/drawing/2014/main" id="{D7F54C58-ADB3-8A13-D437-64CF7DD4E0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99D6CD1" w14:textId="4F5E7FD3" w:rsidR="00A0529E" w:rsidRPr="00C86111" w:rsidRDefault="002307C2" w:rsidP="00A0529E">
      <w:pPr>
        <w:jc w:val="both"/>
        <w:rPr>
          <w:rFonts w:cstheme="minorHAnsi"/>
          <w:iCs/>
          <w:color w:val="000000"/>
          <w:szCs w:val="24"/>
          <w:lang w:val="sr-Latn-RS"/>
        </w:rPr>
      </w:pPr>
      <w:r w:rsidRPr="00C86111">
        <w:rPr>
          <w:rFonts w:cstheme="minorHAnsi"/>
          <w:b/>
          <w:bCs/>
          <w:iCs/>
          <w:color w:val="000000"/>
          <w:szCs w:val="24"/>
          <w:lang w:val="sr-Latn-RS"/>
        </w:rPr>
        <w:t>Grafik</w:t>
      </w:r>
      <w:r w:rsidR="00A0529E" w:rsidRPr="00C86111">
        <w:rPr>
          <w:rFonts w:cstheme="minorHAnsi"/>
          <w:b/>
          <w:bCs/>
          <w:iCs/>
          <w:color w:val="000000"/>
          <w:szCs w:val="24"/>
          <w:lang w:val="sr-Latn-RS"/>
        </w:rPr>
        <w:t xml:space="preserve"> </w:t>
      </w:r>
      <w:r w:rsidR="00547278">
        <w:rPr>
          <w:rFonts w:cstheme="minorHAnsi"/>
          <w:b/>
          <w:bCs/>
          <w:iCs/>
          <w:color w:val="000000"/>
          <w:szCs w:val="24"/>
          <w:lang w:val="sr-Latn-RS"/>
        </w:rPr>
        <w:t>22</w:t>
      </w:r>
      <w:r w:rsidR="00A0529E" w:rsidRPr="00C86111">
        <w:rPr>
          <w:rFonts w:cstheme="minorHAnsi"/>
          <w:b/>
          <w:bCs/>
          <w:iCs/>
          <w:color w:val="000000"/>
          <w:szCs w:val="24"/>
          <w:lang w:val="sr-Latn-RS"/>
        </w:rPr>
        <w:t>.</w:t>
      </w:r>
      <w:r w:rsidR="00A0529E" w:rsidRPr="00C86111">
        <w:rPr>
          <w:rFonts w:cstheme="minorHAnsi"/>
          <w:iCs/>
          <w:color w:val="000000"/>
          <w:szCs w:val="24"/>
          <w:lang w:val="sr-Latn-RS"/>
        </w:rPr>
        <w:t xml:space="preserve"> Količina uvezenog granulata ekspandiranog polistirena (t) za proizvodnju izolacionih ploča u periodu 2017-2023. godina</w:t>
      </w:r>
    </w:p>
    <w:p w14:paraId="73244C45" w14:textId="77777777" w:rsidR="00F20120" w:rsidRPr="00C86111" w:rsidRDefault="00F20120" w:rsidP="00A0529E">
      <w:pPr>
        <w:jc w:val="both"/>
        <w:rPr>
          <w:rFonts w:cstheme="minorHAnsi"/>
          <w:iCs/>
          <w:color w:val="000000"/>
          <w:szCs w:val="24"/>
          <w:lang w:val="sr-Latn-RS"/>
        </w:rPr>
      </w:pPr>
    </w:p>
    <w:p w14:paraId="476443CD" w14:textId="77777777" w:rsidR="00A0529E" w:rsidRPr="00C86111" w:rsidRDefault="00A0529E" w:rsidP="00A0529E">
      <w:pPr>
        <w:jc w:val="both"/>
        <w:rPr>
          <w:rFonts w:cstheme="minorHAnsi"/>
          <w:iCs/>
          <w:color w:val="000000"/>
          <w:szCs w:val="24"/>
          <w:lang w:val="sr-Latn-RS"/>
        </w:rPr>
      </w:pPr>
      <w:r w:rsidRPr="00C86111">
        <w:rPr>
          <w:rFonts w:cstheme="minorHAnsi"/>
          <w:iCs/>
          <w:color w:val="000000"/>
          <w:szCs w:val="24"/>
          <w:lang w:val="sr-Latn-RS"/>
        </w:rPr>
        <w:t>U navedenom periodu uvoz je činilo osam vrsta granulata od strane jednog privrednog subjekta. Samo jedan od njih  imao je u bezbjedonosnom listu deklarisan HBCD u koncetraciji od 0,1-1% m/m. Iz intervjua sa predstavnikom uvoznika zaključeno je da su sve vrste uvezenih granulata bile zastupljene u približno istim količinama. Stoga je izveden zaključak da je procentualni sadržaj granulata koji je sadržao HBCD u ukupnoj uvezenoj količini iznosio 12,5% (51 t granulata).</w:t>
      </w:r>
    </w:p>
    <w:p w14:paraId="6C89D9F3" w14:textId="77777777" w:rsidR="00A0529E" w:rsidRDefault="00A0529E" w:rsidP="00A0529E">
      <w:pPr>
        <w:jc w:val="both"/>
        <w:rPr>
          <w:rFonts w:cstheme="minorHAnsi"/>
          <w:iCs/>
          <w:color w:val="000000"/>
          <w:szCs w:val="24"/>
          <w:lang w:val="sr-Latn-RS"/>
        </w:rPr>
      </w:pPr>
      <w:r w:rsidRPr="00C86111">
        <w:rPr>
          <w:rFonts w:cstheme="minorHAnsi"/>
          <w:iCs/>
          <w:color w:val="000000"/>
          <w:szCs w:val="24"/>
          <w:lang w:val="sr-Latn-RS"/>
        </w:rPr>
        <w:t>Za posmatrani period je karakterističan uzlazni trend uvoza granulata ekspandiranog polistirena, koji je posebno izražen u 2021. godini nakon ublažavanja mjera uvedenih zbog pandemije korona virusom.</w:t>
      </w:r>
    </w:p>
    <w:p w14:paraId="5CF8BD21" w14:textId="77777777" w:rsidR="00F57E42" w:rsidRPr="00C86111" w:rsidRDefault="00F57E42" w:rsidP="00A0529E">
      <w:pPr>
        <w:jc w:val="both"/>
        <w:rPr>
          <w:rFonts w:cstheme="minorHAnsi"/>
          <w:iCs/>
          <w:color w:val="000000"/>
          <w:szCs w:val="24"/>
          <w:lang w:val="sr-Latn-RS"/>
        </w:rPr>
      </w:pPr>
    </w:p>
    <w:p w14:paraId="33AA012D" w14:textId="77777777" w:rsidR="00A0529E" w:rsidRPr="00C86111" w:rsidRDefault="00A0529E" w:rsidP="00EA6904">
      <w:pPr>
        <w:pStyle w:val="Heading4"/>
        <w:rPr>
          <w:lang w:val="sr-Latn-RS"/>
        </w:rPr>
      </w:pPr>
      <w:bookmarkStart w:id="176" w:name="_Toc210651376"/>
      <w:r w:rsidRPr="00C86111">
        <w:rPr>
          <w:lang w:val="sr-Latn-RS"/>
        </w:rPr>
        <w:lastRenderedPageBreak/>
        <w:t>Uvoz proizvoda na bazi polistirena</w:t>
      </w:r>
      <w:bookmarkEnd w:id="176"/>
    </w:p>
    <w:p w14:paraId="1BFBF08B" w14:textId="674A743D" w:rsidR="00A0529E" w:rsidRPr="00C86111" w:rsidRDefault="00A0529E" w:rsidP="00A0529E">
      <w:pPr>
        <w:jc w:val="both"/>
        <w:rPr>
          <w:rFonts w:cstheme="minorHAnsi"/>
          <w:szCs w:val="24"/>
          <w:lang w:val="sr-Latn-RS"/>
        </w:rPr>
      </w:pPr>
      <w:r w:rsidRPr="00C86111">
        <w:rPr>
          <w:rFonts w:cstheme="minorHAnsi"/>
          <w:szCs w:val="24"/>
          <w:lang w:val="sr-Latn-RS"/>
        </w:rPr>
        <w:t xml:space="preserve">Na osnovu dobijenih podataka o uvozu izračunate su količine proizvoda na bazi polistirena za period 2017-2023. godina uzimajući u obzir sljedeće materijale (Tabela </w:t>
      </w:r>
      <w:r w:rsidR="002307C2" w:rsidRPr="00C86111">
        <w:rPr>
          <w:rFonts w:cstheme="minorHAnsi"/>
          <w:szCs w:val="24"/>
          <w:lang w:val="sr-Latn-RS"/>
        </w:rPr>
        <w:t>62</w:t>
      </w:r>
      <w:r w:rsidRPr="00C86111">
        <w:rPr>
          <w:rFonts w:cstheme="minorHAnsi"/>
          <w:szCs w:val="24"/>
          <w:lang w:val="sr-Latn-RS"/>
        </w:rPr>
        <w:t xml:space="preserve">. i </w:t>
      </w:r>
      <w:r w:rsidR="002307C2" w:rsidRPr="00C86111">
        <w:rPr>
          <w:rFonts w:cstheme="minorHAnsi"/>
          <w:szCs w:val="24"/>
          <w:lang w:val="sr-Latn-RS"/>
        </w:rPr>
        <w:t>grafik</w:t>
      </w:r>
      <w:r w:rsidRPr="00C86111">
        <w:rPr>
          <w:rFonts w:cstheme="minorHAnsi"/>
          <w:szCs w:val="24"/>
          <w:lang w:val="sr-Latn-RS"/>
        </w:rPr>
        <w:t xml:space="preserve"> 2</w:t>
      </w:r>
      <w:r w:rsidR="002307C2" w:rsidRPr="00C86111">
        <w:rPr>
          <w:rFonts w:cstheme="minorHAnsi"/>
          <w:szCs w:val="24"/>
          <w:lang w:val="sr-Latn-RS"/>
        </w:rPr>
        <w:t>0</w:t>
      </w:r>
      <w:r w:rsidRPr="00C86111">
        <w:rPr>
          <w:rFonts w:cstheme="minorHAnsi"/>
          <w:szCs w:val="24"/>
          <w:lang w:val="sr-Latn-RS"/>
        </w:rPr>
        <w:t xml:space="preserve">):  </w:t>
      </w:r>
    </w:p>
    <w:p w14:paraId="2B47CC21" w14:textId="77777777" w:rsidR="00A0529E" w:rsidRPr="00C86111" w:rsidRDefault="00A0529E" w:rsidP="00A0529E">
      <w:pPr>
        <w:jc w:val="both"/>
        <w:rPr>
          <w:rFonts w:cstheme="minorHAnsi"/>
          <w:szCs w:val="24"/>
          <w:lang w:val="sr-Latn-RS"/>
        </w:rPr>
      </w:pPr>
      <w:r w:rsidRPr="00C86111">
        <w:rPr>
          <w:rFonts w:cstheme="minorHAnsi"/>
          <w:szCs w:val="24"/>
          <w:lang w:val="sr-Latn-RS"/>
        </w:rPr>
        <w:t>1.</w:t>
      </w:r>
      <w:r w:rsidRPr="00C86111">
        <w:rPr>
          <w:rFonts w:cstheme="minorHAnsi"/>
          <w:szCs w:val="24"/>
          <w:lang w:val="sr-Latn-RS"/>
        </w:rPr>
        <w:tab/>
        <w:t>EPS izolacija za ravne krovove</w:t>
      </w:r>
    </w:p>
    <w:p w14:paraId="7C6EDA56" w14:textId="77777777" w:rsidR="00A0529E" w:rsidRPr="00C86111" w:rsidRDefault="00A0529E" w:rsidP="00A0529E">
      <w:pPr>
        <w:jc w:val="both"/>
        <w:rPr>
          <w:rFonts w:cstheme="minorHAnsi"/>
          <w:szCs w:val="24"/>
          <w:lang w:val="sr-Latn-RS"/>
        </w:rPr>
      </w:pPr>
      <w:r w:rsidRPr="00C86111">
        <w:rPr>
          <w:rFonts w:cstheme="minorHAnsi"/>
          <w:szCs w:val="24"/>
          <w:lang w:val="sr-Latn-RS"/>
        </w:rPr>
        <w:t>2.</w:t>
      </w:r>
      <w:r w:rsidRPr="00C86111">
        <w:rPr>
          <w:rFonts w:cstheme="minorHAnsi"/>
          <w:szCs w:val="24"/>
          <w:lang w:val="sr-Latn-RS"/>
        </w:rPr>
        <w:tab/>
        <w:t>EPS izolacija za kose krovove</w:t>
      </w:r>
    </w:p>
    <w:p w14:paraId="43BB18F7" w14:textId="77777777" w:rsidR="00A0529E" w:rsidRPr="00C86111" w:rsidRDefault="00A0529E" w:rsidP="00A0529E">
      <w:pPr>
        <w:jc w:val="both"/>
        <w:rPr>
          <w:rFonts w:cstheme="minorHAnsi"/>
          <w:szCs w:val="24"/>
          <w:lang w:val="sr-Latn-RS"/>
        </w:rPr>
      </w:pPr>
      <w:r w:rsidRPr="00C86111">
        <w:rPr>
          <w:rFonts w:cstheme="minorHAnsi"/>
          <w:szCs w:val="24"/>
          <w:lang w:val="sr-Latn-RS"/>
        </w:rPr>
        <w:t>3.</w:t>
      </w:r>
      <w:r w:rsidRPr="00C86111">
        <w:rPr>
          <w:rFonts w:cstheme="minorHAnsi"/>
          <w:szCs w:val="24"/>
          <w:lang w:val="sr-Latn-RS"/>
        </w:rPr>
        <w:tab/>
        <w:t>Izolacija poda 'slab-on-ground'</w:t>
      </w:r>
    </w:p>
    <w:p w14:paraId="7BB9A227" w14:textId="77777777" w:rsidR="00A0529E" w:rsidRPr="00C86111" w:rsidRDefault="00A0529E" w:rsidP="00A0529E">
      <w:pPr>
        <w:jc w:val="both"/>
        <w:rPr>
          <w:rFonts w:cstheme="minorHAnsi"/>
          <w:szCs w:val="24"/>
          <w:lang w:val="sr-Latn-RS"/>
        </w:rPr>
      </w:pPr>
      <w:r w:rsidRPr="00C86111">
        <w:rPr>
          <w:rFonts w:cstheme="minorHAnsi"/>
          <w:szCs w:val="24"/>
          <w:lang w:val="sr-Latn-RS"/>
        </w:rPr>
        <w:t>4.</w:t>
      </w:r>
      <w:r w:rsidRPr="00C86111">
        <w:rPr>
          <w:rFonts w:cstheme="minorHAnsi"/>
          <w:szCs w:val="24"/>
          <w:lang w:val="sr-Latn-RS"/>
        </w:rPr>
        <w:tab/>
        <w:t>Izolovani betonski podni sistemi</w:t>
      </w:r>
    </w:p>
    <w:p w14:paraId="1B8EBDFD" w14:textId="77777777" w:rsidR="00A0529E" w:rsidRPr="00C86111" w:rsidRDefault="00A0529E" w:rsidP="00A0529E">
      <w:pPr>
        <w:jc w:val="both"/>
        <w:rPr>
          <w:rFonts w:cstheme="minorHAnsi"/>
          <w:szCs w:val="24"/>
          <w:lang w:val="sr-Latn-RS"/>
        </w:rPr>
      </w:pPr>
      <w:r w:rsidRPr="00C86111">
        <w:rPr>
          <w:rFonts w:cstheme="minorHAnsi"/>
          <w:szCs w:val="24"/>
          <w:lang w:val="sr-Latn-RS"/>
        </w:rPr>
        <w:t>5.</w:t>
      </w:r>
      <w:r w:rsidRPr="00C86111">
        <w:rPr>
          <w:rFonts w:cstheme="minorHAnsi"/>
          <w:szCs w:val="24"/>
          <w:lang w:val="sr-Latn-RS"/>
        </w:rPr>
        <w:tab/>
        <w:t>Unutrašnja zidna izolacija sa gips kartonskim pločama</w:t>
      </w:r>
    </w:p>
    <w:p w14:paraId="4E1B444A" w14:textId="77777777" w:rsidR="00A0529E" w:rsidRPr="00C86111" w:rsidRDefault="00A0529E" w:rsidP="00A0529E">
      <w:pPr>
        <w:jc w:val="both"/>
        <w:rPr>
          <w:rFonts w:cstheme="minorHAnsi"/>
          <w:szCs w:val="24"/>
          <w:lang w:val="sr-Latn-RS"/>
        </w:rPr>
      </w:pPr>
      <w:r w:rsidRPr="00C86111">
        <w:rPr>
          <w:rFonts w:cstheme="minorHAnsi"/>
          <w:szCs w:val="24"/>
          <w:lang w:val="sr-Latn-RS"/>
        </w:rPr>
        <w:t>6.</w:t>
      </w:r>
      <w:r w:rsidRPr="00C86111">
        <w:rPr>
          <w:rFonts w:cstheme="minorHAnsi"/>
          <w:szCs w:val="24"/>
          <w:lang w:val="sr-Latn-RS"/>
        </w:rPr>
        <w:tab/>
        <w:t>Izolacija spoljašnjih zidova ili ETICS (Eksterni izolovani kompozitni sistemi)</w:t>
      </w:r>
    </w:p>
    <w:p w14:paraId="07179943" w14:textId="77777777" w:rsidR="00A0529E" w:rsidRPr="00C86111" w:rsidRDefault="00A0529E" w:rsidP="00A0529E">
      <w:pPr>
        <w:jc w:val="both"/>
        <w:rPr>
          <w:rFonts w:cstheme="minorHAnsi"/>
          <w:szCs w:val="24"/>
          <w:lang w:val="sr-Latn-RS"/>
        </w:rPr>
      </w:pPr>
      <w:r w:rsidRPr="00C86111">
        <w:rPr>
          <w:rFonts w:cstheme="minorHAnsi"/>
          <w:szCs w:val="24"/>
          <w:lang w:val="sr-Latn-RS"/>
        </w:rPr>
        <w:t>7.</w:t>
      </w:r>
      <w:r w:rsidRPr="00C86111">
        <w:rPr>
          <w:rFonts w:cstheme="minorHAnsi"/>
          <w:szCs w:val="24"/>
          <w:lang w:val="sr-Latn-RS"/>
        </w:rPr>
        <w:tab/>
        <w:t>Izolacija šupljih zidova (ploče)</w:t>
      </w:r>
    </w:p>
    <w:p w14:paraId="2F5F52AB" w14:textId="77777777" w:rsidR="00A0529E" w:rsidRPr="00C86111" w:rsidRDefault="00A0529E" w:rsidP="00A0529E">
      <w:pPr>
        <w:jc w:val="both"/>
        <w:rPr>
          <w:rFonts w:cstheme="minorHAnsi"/>
          <w:szCs w:val="24"/>
          <w:lang w:val="sr-Latn-RS"/>
        </w:rPr>
      </w:pPr>
      <w:r w:rsidRPr="00C86111">
        <w:rPr>
          <w:rFonts w:cstheme="minorHAnsi"/>
          <w:szCs w:val="24"/>
          <w:lang w:val="sr-Latn-RS"/>
        </w:rPr>
        <w:t>8.</w:t>
      </w:r>
      <w:r w:rsidRPr="00C86111">
        <w:rPr>
          <w:rFonts w:cstheme="minorHAnsi"/>
          <w:szCs w:val="24"/>
          <w:lang w:val="sr-Latn-RS"/>
        </w:rPr>
        <w:tab/>
        <w:t>Izolacija šupljih zidova (labava primjena)</w:t>
      </w:r>
    </w:p>
    <w:p w14:paraId="76F32DDA" w14:textId="77777777" w:rsidR="00A0529E" w:rsidRPr="00C86111" w:rsidRDefault="00A0529E" w:rsidP="00A0529E">
      <w:pPr>
        <w:jc w:val="both"/>
        <w:rPr>
          <w:rFonts w:cstheme="minorHAnsi"/>
          <w:szCs w:val="24"/>
          <w:lang w:val="sr-Latn-RS"/>
        </w:rPr>
      </w:pPr>
      <w:r w:rsidRPr="00C86111">
        <w:rPr>
          <w:rFonts w:cstheme="minorHAnsi"/>
          <w:szCs w:val="24"/>
          <w:lang w:val="sr-Latn-RS"/>
        </w:rPr>
        <w:t>9.</w:t>
      </w:r>
      <w:r w:rsidRPr="00C86111">
        <w:rPr>
          <w:rFonts w:cstheme="minorHAnsi"/>
          <w:szCs w:val="24"/>
          <w:lang w:val="sr-Latn-RS"/>
        </w:rPr>
        <w:tab/>
        <w:t>Izolovane betonske forme (ICF)</w:t>
      </w:r>
    </w:p>
    <w:p w14:paraId="6A330C30" w14:textId="77777777" w:rsidR="00A0529E" w:rsidRPr="00C86111" w:rsidRDefault="00A0529E" w:rsidP="00A0529E">
      <w:pPr>
        <w:jc w:val="both"/>
        <w:rPr>
          <w:rFonts w:cstheme="minorHAnsi"/>
          <w:szCs w:val="24"/>
          <w:lang w:val="sr-Latn-RS"/>
        </w:rPr>
      </w:pPr>
      <w:r w:rsidRPr="00C86111">
        <w:rPr>
          <w:rFonts w:cstheme="minorHAnsi"/>
          <w:szCs w:val="24"/>
          <w:lang w:val="sr-Latn-RS"/>
        </w:rPr>
        <w:t>10.</w:t>
      </w:r>
      <w:r w:rsidRPr="00C86111">
        <w:rPr>
          <w:rFonts w:cstheme="minorHAnsi"/>
          <w:szCs w:val="24"/>
          <w:lang w:val="sr-Latn-RS"/>
        </w:rPr>
        <w:tab/>
        <w:t xml:space="preserve"> Sistemi temelja i drugi sistemi za formiranje šupljina</w:t>
      </w:r>
    </w:p>
    <w:p w14:paraId="4367815A" w14:textId="77777777" w:rsidR="00A0529E" w:rsidRPr="00C86111" w:rsidRDefault="00A0529E" w:rsidP="00A0529E">
      <w:pPr>
        <w:jc w:val="both"/>
        <w:rPr>
          <w:rFonts w:cstheme="minorHAnsi"/>
          <w:szCs w:val="24"/>
          <w:lang w:val="sr-Latn-RS"/>
        </w:rPr>
      </w:pPr>
      <w:r w:rsidRPr="00C86111">
        <w:rPr>
          <w:rFonts w:cstheme="minorHAnsi"/>
          <w:szCs w:val="24"/>
          <w:lang w:val="sr-Latn-RS"/>
        </w:rPr>
        <w:t>11.</w:t>
      </w:r>
      <w:r w:rsidRPr="00C86111">
        <w:rPr>
          <w:rFonts w:cstheme="minorHAnsi"/>
          <w:szCs w:val="24"/>
          <w:lang w:val="sr-Latn-RS"/>
        </w:rPr>
        <w:tab/>
        <w:t>Primjena kod nosivih temelja</w:t>
      </w:r>
    </w:p>
    <w:p w14:paraId="74DA3375" w14:textId="77777777" w:rsidR="00A0529E" w:rsidRPr="00C86111" w:rsidRDefault="00A0529E" w:rsidP="00A0529E">
      <w:pPr>
        <w:jc w:val="both"/>
        <w:rPr>
          <w:rFonts w:cstheme="minorHAnsi"/>
          <w:szCs w:val="24"/>
          <w:lang w:val="sr-Latn-RS"/>
        </w:rPr>
      </w:pPr>
      <w:r w:rsidRPr="00C86111">
        <w:rPr>
          <w:rFonts w:cstheme="minorHAnsi"/>
          <w:szCs w:val="24"/>
          <w:lang w:val="sr-Latn-RS"/>
        </w:rPr>
        <w:t>12.</w:t>
      </w:r>
      <w:r w:rsidRPr="00C86111">
        <w:rPr>
          <w:rFonts w:cstheme="minorHAnsi"/>
          <w:szCs w:val="24"/>
          <w:lang w:val="sr-Latn-RS"/>
        </w:rPr>
        <w:tab/>
        <w:t>Osnovni materijal za EPS koji se koristi u sendvič i napregnutim panelima (metal/drvo vlaknaste ploče</w:t>
      </w:r>
    </w:p>
    <w:p w14:paraId="71F50091" w14:textId="77777777" w:rsidR="00A0529E" w:rsidRPr="00C86111" w:rsidRDefault="00A0529E" w:rsidP="00A0529E">
      <w:pPr>
        <w:jc w:val="both"/>
        <w:rPr>
          <w:rFonts w:cstheme="minorHAnsi"/>
          <w:szCs w:val="24"/>
          <w:lang w:val="sr-Latn-RS"/>
        </w:rPr>
      </w:pPr>
      <w:r w:rsidRPr="00C86111">
        <w:rPr>
          <w:rFonts w:cstheme="minorHAnsi"/>
          <w:szCs w:val="24"/>
          <w:lang w:val="sr-Latn-RS"/>
        </w:rPr>
        <w:t>13.</w:t>
      </w:r>
      <w:r w:rsidRPr="00C86111">
        <w:rPr>
          <w:rFonts w:cstheme="minorHAnsi"/>
          <w:szCs w:val="24"/>
          <w:lang w:val="sr-Latn-RS"/>
        </w:rPr>
        <w:tab/>
        <w:t>Sistemi podnog grijanja</w:t>
      </w:r>
    </w:p>
    <w:p w14:paraId="5F23BE9F" w14:textId="77777777" w:rsidR="00A0529E" w:rsidRPr="00C86111" w:rsidRDefault="00A0529E" w:rsidP="00A0529E">
      <w:pPr>
        <w:jc w:val="both"/>
        <w:rPr>
          <w:rFonts w:cstheme="minorHAnsi"/>
          <w:szCs w:val="24"/>
          <w:lang w:val="sr-Latn-RS"/>
        </w:rPr>
      </w:pPr>
      <w:r w:rsidRPr="00C86111">
        <w:rPr>
          <w:rFonts w:cstheme="minorHAnsi"/>
          <w:szCs w:val="24"/>
          <w:lang w:val="sr-Latn-RS"/>
        </w:rPr>
        <w:t>14.</w:t>
      </w:r>
      <w:r w:rsidRPr="00C86111">
        <w:rPr>
          <w:rFonts w:cstheme="minorHAnsi"/>
          <w:szCs w:val="24"/>
          <w:lang w:val="sr-Latn-RS"/>
        </w:rPr>
        <w:tab/>
        <w:t>Zvučna izolacija u plivajućim podovima (da se izbjegne prenos kontaktne buke)</w:t>
      </w:r>
    </w:p>
    <w:p w14:paraId="7954D504" w14:textId="77777777" w:rsidR="00A0529E" w:rsidRPr="00C86111" w:rsidRDefault="00A0529E" w:rsidP="00A0529E">
      <w:pPr>
        <w:jc w:val="both"/>
        <w:rPr>
          <w:rFonts w:cstheme="minorHAnsi"/>
          <w:szCs w:val="24"/>
          <w:lang w:val="sr-Latn-RS"/>
        </w:rPr>
      </w:pPr>
      <w:r w:rsidRPr="00C86111">
        <w:rPr>
          <w:rFonts w:cstheme="minorHAnsi"/>
          <w:szCs w:val="24"/>
          <w:lang w:val="sr-Latn-RS"/>
        </w:rPr>
        <w:t>15.</w:t>
      </w:r>
      <w:r w:rsidRPr="00C86111">
        <w:rPr>
          <w:rFonts w:cstheme="minorHAnsi"/>
          <w:szCs w:val="24"/>
          <w:lang w:val="sr-Latn-RS"/>
        </w:rPr>
        <w:tab/>
        <w:t>EPS drenažne ploče</w:t>
      </w:r>
    </w:p>
    <w:p w14:paraId="467CF2F0" w14:textId="77777777" w:rsidR="00A0529E" w:rsidRPr="00C86111" w:rsidRDefault="00A0529E" w:rsidP="00A0529E">
      <w:pPr>
        <w:jc w:val="both"/>
        <w:rPr>
          <w:rFonts w:cstheme="minorHAnsi"/>
          <w:szCs w:val="24"/>
          <w:lang w:val="sr-Latn-RS"/>
        </w:rPr>
      </w:pPr>
      <w:r w:rsidRPr="00C86111">
        <w:rPr>
          <w:rFonts w:cstheme="minorHAnsi"/>
          <w:szCs w:val="24"/>
          <w:lang w:val="sr-Latn-RS"/>
        </w:rPr>
        <w:t>16.</w:t>
      </w:r>
      <w:r w:rsidRPr="00C86111">
        <w:rPr>
          <w:rFonts w:cstheme="minorHAnsi"/>
          <w:szCs w:val="24"/>
          <w:lang w:val="sr-Latn-RS"/>
        </w:rPr>
        <w:tab/>
        <w:t>EPS betonske cigle, EPS beton</w:t>
      </w:r>
    </w:p>
    <w:p w14:paraId="4280BE06" w14:textId="77777777" w:rsidR="00A0529E" w:rsidRPr="00C86111" w:rsidRDefault="00A0529E" w:rsidP="00A0529E">
      <w:pPr>
        <w:jc w:val="both"/>
        <w:rPr>
          <w:rFonts w:cstheme="minorHAnsi"/>
          <w:szCs w:val="24"/>
          <w:lang w:val="sr-Latn-RS"/>
        </w:rPr>
      </w:pPr>
      <w:r w:rsidRPr="00C86111">
        <w:rPr>
          <w:rFonts w:cstheme="minorHAnsi"/>
          <w:szCs w:val="24"/>
          <w:lang w:val="sr-Latn-RS"/>
        </w:rPr>
        <w:t>17.</w:t>
      </w:r>
      <w:r w:rsidRPr="00C86111">
        <w:rPr>
          <w:rFonts w:cstheme="minorHAnsi"/>
          <w:szCs w:val="24"/>
          <w:lang w:val="sr-Latn-RS"/>
        </w:rPr>
        <w:tab/>
        <w:t>EPS pjena za stabilnost tla (upotreba u građevinskoj industriji)</w:t>
      </w:r>
    </w:p>
    <w:p w14:paraId="6006C80A" w14:textId="77777777" w:rsidR="00A0529E" w:rsidRPr="00C86111" w:rsidRDefault="00A0529E" w:rsidP="00A0529E">
      <w:pPr>
        <w:jc w:val="both"/>
        <w:rPr>
          <w:rFonts w:cstheme="minorHAnsi"/>
          <w:szCs w:val="24"/>
          <w:lang w:val="sr-Latn-RS"/>
        </w:rPr>
      </w:pPr>
      <w:r w:rsidRPr="00C86111">
        <w:rPr>
          <w:rFonts w:cstheme="minorHAnsi"/>
          <w:szCs w:val="24"/>
          <w:lang w:val="sr-Latn-RS"/>
        </w:rPr>
        <w:t>18.</w:t>
      </w:r>
      <w:r w:rsidRPr="00C86111">
        <w:rPr>
          <w:rFonts w:cstheme="minorHAnsi"/>
          <w:szCs w:val="24"/>
          <w:lang w:val="sr-Latn-RS"/>
        </w:rPr>
        <w:tab/>
        <w:t>EPS seizmička izolacija</w:t>
      </w:r>
    </w:p>
    <w:p w14:paraId="7F351BFE" w14:textId="77777777" w:rsidR="00A0529E" w:rsidRPr="00C86111" w:rsidRDefault="00A0529E" w:rsidP="00A0529E">
      <w:pPr>
        <w:jc w:val="both"/>
        <w:rPr>
          <w:rFonts w:cstheme="minorHAnsi"/>
          <w:szCs w:val="24"/>
          <w:lang w:val="sr-Latn-RS"/>
        </w:rPr>
      </w:pPr>
      <w:r w:rsidRPr="00C86111">
        <w:rPr>
          <w:rFonts w:cstheme="minorHAnsi"/>
          <w:szCs w:val="24"/>
          <w:lang w:val="sr-Latn-RS"/>
        </w:rPr>
        <w:t>19.</w:t>
      </w:r>
      <w:r w:rsidRPr="00C86111">
        <w:rPr>
          <w:rFonts w:cstheme="minorHAnsi"/>
          <w:szCs w:val="24"/>
          <w:lang w:val="sr-Latn-RS"/>
        </w:rPr>
        <w:tab/>
        <w:t>EPS ambalažni materijali napravljeni od PS pjene</w:t>
      </w:r>
    </w:p>
    <w:p w14:paraId="337FE2D9" w14:textId="77777777" w:rsidR="00A0529E" w:rsidRPr="00C86111" w:rsidRDefault="00A0529E" w:rsidP="00A0529E">
      <w:pPr>
        <w:jc w:val="both"/>
        <w:rPr>
          <w:rFonts w:cstheme="minorHAnsi"/>
          <w:szCs w:val="24"/>
          <w:lang w:val="sr-Latn-RS"/>
        </w:rPr>
      </w:pPr>
      <w:r w:rsidRPr="00C86111">
        <w:rPr>
          <w:rFonts w:cstheme="minorHAnsi"/>
          <w:szCs w:val="24"/>
          <w:lang w:val="sr-Latn-RS"/>
        </w:rPr>
        <w:t>20.</w:t>
      </w:r>
      <w:r w:rsidRPr="00C86111">
        <w:rPr>
          <w:rFonts w:cstheme="minorHAnsi"/>
          <w:szCs w:val="24"/>
          <w:lang w:val="sr-Latn-RS"/>
        </w:rPr>
        <w:tab/>
        <w:t>Ostali oblikovani EPS proizvodi, poput ornamenata, dekoracija, logotipa, itd.</w:t>
      </w:r>
    </w:p>
    <w:p w14:paraId="4C2E772C" w14:textId="77777777" w:rsidR="00A0529E" w:rsidRPr="00C86111" w:rsidRDefault="00A0529E" w:rsidP="00A0529E">
      <w:pPr>
        <w:jc w:val="both"/>
        <w:rPr>
          <w:rFonts w:cstheme="minorHAnsi"/>
          <w:szCs w:val="24"/>
          <w:lang w:val="sr-Latn-RS"/>
        </w:rPr>
      </w:pPr>
      <w:r w:rsidRPr="00C86111">
        <w:rPr>
          <w:rFonts w:cstheme="minorHAnsi"/>
          <w:szCs w:val="24"/>
          <w:lang w:val="sr-Latn-RS"/>
        </w:rPr>
        <w:t>21.</w:t>
      </w:r>
      <w:r w:rsidRPr="00C86111">
        <w:rPr>
          <w:rFonts w:cstheme="minorHAnsi"/>
          <w:szCs w:val="24"/>
          <w:lang w:val="sr-Latn-RS"/>
        </w:rPr>
        <w:tab/>
        <w:t>Ostali EPS proizvodi</w:t>
      </w:r>
    </w:p>
    <w:p w14:paraId="2D9EB2BF" w14:textId="77777777" w:rsidR="00A0529E" w:rsidRPr="00C86111" w:rsidRDefault="00A0529E" w:rsidP="00A0529E">
      <w:pPr>
        <w:jc w:val="both"/>
        <w:rPr>
          <w:rFonts w:cstheme="minorHAnsi"/>
          <w:szCs w:val="24"/>
          <w:lang w:val="sr-Latn-RS"/>
        </w:rPr>
      </w:pPr>
    </w:p>
    <w:p w14:paraId="6529B2E7" w14:textId="3D08653D" w:rsidR="00A0529E" w:rsidRDefault="00A0529E" w:rsidP="00A0529E">
      <w:pPr>
        <w:jc w:val="both"/>
        <w:rPr>
          <w:rFonts w:cstheme="minorHAnsi"/>
          <w:szCs w:val="24"/>
          <w:lang w:val="sr-Latn-ME"/>
        </w:rPr>
      </w:pPr>
      <w:r w:rsidRPr="00C86111">
        <w:rPr>
          <w:rFonts w:cstheme="minorHAnsi"/>
          <w:b/>
          <w:bCs/>
          <w:szCs w:val="24"/>
          <w:lang w:val="sr-Latn-ME"/>
        </w:rPr>
        <w:t xml:space="preserve">Tabela </w:t>
      </w:r>
      <w:r w:rsidR="002307C2" w:rsidRPr="00C86111">
        <w:rPr>
          <w:rFonts w:cstheme="minorHAnsi"/>
          <w:b/>
          <w:bCs/>
          <w:szCs w:val="24"/>
          <w:lang w:val="sr-Latn-ME"/>
        </w:rPr>
        <w:t>62</w:t>
      </w:r>
      <w:r w:rsidRPr="00C86111">
        <w:rPr>
          <w:rFonts w:cstheme="minorHAnsi"/>
          <w:b/>
          <w:bCs/>
          <w:szCs w:val="24"/>
          <w:lang w:val="sr-Latn-ME"/>
        </w:rPr>
        <w:t>.</w:t>
      </w:r>
      <w:r w:rsidRPr="00C86111">
        <w:rPr>
          <w:rFonts w:cstheme="minorHAnsi"/>
          <w:szCs w:val="24"/>
          <w:lang w:val="sr-Latn-ME"/>
        </w:rPr>
        <w:t xml:space="preserve"> Količine uvezenih proizvoda na bazi polistirena (t) u periodu 2017-2023. godina</w:t>
      </w:r>
    </w:p>
    <w:tbl>
      <w:tblPr>
        <w:tblStyle w:val="GridTable5Dark-Accent6"/>
        <w:tblW w:w="5000" w:type="pct"/>
        <w:tblLook w:val="04A0" w:firstRow="1" w:lastRow="0" w:firstColumn="1" w:lastColumn="0" w:noHBand="0" w:noVBand="1"/>
      </w:tblPr>
      <w:tblGrid>
        <w:gridCol w:w="2605"/>
        <w:gridCol w:w="6745"/>
      </w:tblGrid>
      <w:tr w:rsidR="00A0529E" w:rsidRPr="00C86111" w14:paraId="75C3A50D"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3" w:type="pct"/>
          </w:tcPr>
          <w:p w14:paraId="0DEAC21D"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Godina uvoza</w:t>
            </w:r>
          </w:p>
        </w:tc>
        <w:tc>
          <w:tcPr>
            <w:tcW w:w="3607" w:type="pct"/>
          </w:tcPr>
          <w:p w14:paraId="02258DF5" w14:textId="77777777" w:rsidR="00A0529E" w:rsidRPr="00C86111" w:rsidRDefault="00A0529E" w:rsidP="00BC765B">
            <w:pPr>
              <w:jc w:val="both"/>
              <w:cnfStyle w:val="100000000000" w:firstRow="1" w:lastRow="0" w:firstColumn="0" w:lastColumn="0" w:oddVBand="0" w:evenVBand="0" w:oddHBand="0" w:evenHBand="0" w:firstRowFirstColumn="0" w:firstRowLastColumn="0" w:lastRowFirstColumn="0" w:lastRowLastColumn="0"/>
              <w:rPr>
                <w:rFonts w:cstheme="minorHAnsi"/>
                <w:color w:val="000000"/>
                <w:szCs w:val="24"/>
                <w:lang w:val="sr-Latn-RS"/>
              </w:rPr>
            </w:pPr>
            <w:r w:rsidRPr="00C86111">
              <w:rPr>
                <w:rFonts w:cstheme="minorHAnsi"/>
                <w:color w:val="000000"/>
                <w:szCs w:val="24"/>
                <w:lang w:val="sr-Latn-RS"/>
              </w:rPr>
              <w:t>Ukupna količina uvezenih proizvoda na bazi polistirena (t)</w:t>
            </w:r>
          </w:p>
        </w:tc>
      </w:tr>
      <w:tr w:rsidR="00A0529E" w:rsidRPr="00C86111" w14:paraId="45CD91A2"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3" w:type="pct"/>
          </w:tcPr>
          <w:p w14:paraId="6D9FD4A4"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2017.</w:t>
            </w:r>
          </w:p>
        </w:tc>
        <w:tc>
          <w:tcPr>
            <w:tcW w:w="3607" w:type="pct"/>
          </w:tcPr>
          <w:p w14:paraId="27AD7E28"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Cs w:val="24"/>
                <w:lang w:val="sr-Latn-RS"/>
              </w:rPr>
            </w:pPr>
            <w:r w:rsidRPr="00C86111">
              <w:rPr>
                <w:rFonts w:cstheme="minorHAnsi"/>
                <w:szCs w:val="24"/>
              </w:rPr>
              <w:t>3.581</w:t>
            </w:r>
          </w:p>
        </w:tc>
      </w:tr>
      <w:tr w:rsidR="00A0529E" w:rsidRPr="00C86111" w14:paraId="228B4910" w14:textId="77777777" w:rsidTr="00BC765B">
        <w:tc>
          <w:tcPr>
            <w:cnfStyle w:val="001000000000" w:firstRow="0" w:lastRow="0" w:firstColumn="1" w:lastColumn="0" w:oddVBand="0" w:evenVBand="0" w:oddHBand="0" w:evenHBand="0" w:firstRowFirstColumn="0" w:firstRowLastColumn="0" w:lastRowFirstColumn="0" w:lastRowLastColumn="0"/>
            <w:tcW w:w="1393" w:type="pct"/>
          </w:tcPr>
          <w:p w14:paraId="7A58CA2A"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2018.</w:t>
            </w:r>
          </w:p>
        </w:tc>
        <w:tc>
          <w:tcPr>
            <w:tcW w:w="3607" w:type="pct"/>
          </w:tcPr>
          <w:p w14:paraId="3B50B70D"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Cs w:val="24"/>
                <w:lang w:val="sr-Latn-RS"/>
              </w:rPr>
            </w:pPr>
            <w:r w:rsidRPr="00C86111">
              <w:rPr>
                <w:rFonts w:cstheme="minorHAnsi"/>
                <w:szCs w:val="24"/>
              </w:rPr>
              <w:t>3.850</w:t>
            </w:r>
          </w:p>
        </w:tc>
      </w:tr>
      <w:tr w:rsidR="00A0529E" w:rsidRPr="00C86111" w14:paraId="50746578"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3" w:type="pct"/>
          </w:tcPr>
          <w:p w14:paraId="547EAE66"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2019.</w:t>
            </w:r>
          </w:p>
        </w:tc>
        <w:tc>
          <w:tcPr>
            <w:tcW w:w="3607" w:type="pct"/>
          </w:tcPr>
          <w:p w14:paraId="1AF552C1"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Cs w:val="24"/>
                <w:lang w:val="sr-Latn-RS"/>
              </w:rPr>
            </w:pPr>
            <w:r w:rsidRPr="00C86111">
              <w:rPr>
                <w:rFonts w:cstheme="minorHAnsi"/>
                <w:szCs w:val="24"/>
              </w:rPr>
              <w:t>3.665</w:t>
            </w:r>
          </w:p>
        </w:tc>
      </w:tr>
      <w:tr w:rsidR="00A0529E" w:rsidRPr="00C86111" w14:paraId="41010866" w14:textId="77777777" w:rsidTr="00BC765B">
        <w:tc>
          <w:tcPr>
            <w:cnfStyle w:val="001000000000" w:firstRow="0" w:lastRow="0" w:firstColumn="1" w:lastColumn="0" w:oddVBand="0" w:evenVBand="0" w:oddHBand="0" w:evenHBand="0" w:firstRowFirstColumn="0" w:firstRowLastColumn="0" w:lastRowFirstColumn="0" w:lastRowLastColumn="0"/>
            <w:tcW w:w="1393" w:type="pct"/>
          </w:tcPr>
          <w:p w14:paraId="1C657EA5"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2020.</w:t>
            </w:r>
          </w:p>
        </w:tc>
        <w:tc>
          <w:tcPr>
            <w:tcW w:w="3607" w:type="pct"/>
          </w:tcPr>
          <w:p w14:paraId="7CB82F71"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Cs w:val="24"/>
                <w:lang w:val="sr-Latn-RS"/>
              </w:rPr>
            </w:pPr>
            <w:r w:rsidRPr="00C86111">
              <w:rPr>
                <w:rFonts w:cstheme="minorHAnsi"/>
                <w:szCs w:val="24"/>
              </w:rPr>
              <w:t>3.403</w:t>
            </w:r>
          </w:p>
        </w:tc>
      </w:tr>
      <w:tr w:rsidR="00A0529E" w:rsidRPr="00C86111" w14:paraId="49402963"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3" w:type="pct"/>
          </w:tcPr>
          <w:p w14:paraId="5FABFEC1"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2021.</w:t>
            </w:r>
          </w:p>
        </w:tc>
        <w:tc>
          <w:tcPr>
            <w:tcW w:w="3607" w:type="pct"/>
          </w:tcPr>
          <w:p w14:paraId="645919D0"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Cs w:val="24"/>
                <w:lang w:val="sr-Latn-RS"/>
              </w:rPr>
            </w:pPr>
            <w:r w:rsidRPr="00C86111">
              <w:rPr>
                <w:rFonts w:cstheme="minorHAnsi"/>
                <w:szCs w:val="24"/>
              </w:rPr>
              <w:t>3.025</w:t>
            </w:r>
          </w:p>
        </w:tc>
      </w:tr>
      <w:tr w:rsidR="00A0529E" w:rsidRPr="00C86111" w14:paraId="0391E02B" w14:textId="77777777" w:rsidTr="00BC765B">
        <w:tc>
          <w:tcPr>
            <w:cnfStyle w:val="001000000000" w:firstRow="0" w:lastRow="0" w:firstColumn="1" w:lastColumn="0" w:oddVBand="0" w:evenVBand="0" w:oddHBand="0" w:evenHBand="0" w:firstRowFirstColumn="0" w:firstRowLastColumn="0" w:lastRowFirstColumn="0" w:lastRowLastColumn="0"/>
            <w:tcW w:w="1393" w:type="pct"/>
          </w:tcPr>
          <w:p w14:paraId="3D80993A"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2022.</w:t>
            </w:r>
          </w:p>
        </w:tc>
        <w:tc>
          <w:tcPr>
            <w:tcW w:w="3607" w:type="pct"/>
          </w:tcPr>
          <w:p w14:paraId="09830CE2"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Cs w:val="24"/>
                <w:lang w:val="sr-Latn-RS"/>
              </w:rPr>
            </w:pPr>
            <w:r w:rsidRPr="00C86111">
              <w:rPr>
                <w:rFonts w:cstheme="minorHAnsi"/>
                <w:szCs w:val="24"/>
              </w:rPr>
              <w:t>3.123</w:t>
            </w:r>
          </w:p>
        </w:tc>
      </w:tr>
      <w:tr w:rsidR="00A0529E" w:rsidRPr="00C86111" w14:paraId="5C426B32"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3" w:type="pct"/>
          </w:tcPr>
          <w:p w14:paraId="0E518F97"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2023.</w:t>
            </w:r>
          </w:p>
        </w:tc>
        <w:tc>
          <w:tcPr>
            <w:tcW w:w="3607" w:type="pct"/>
          </w:tcPr>
          <w:p w14:paraId="69FE4FA5"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Cs w:val="24"/>
                <w:lang w:val="sr-Latn-RS"/>
              </w:rPr>
            </w:pPr>
            <w:r w:rsidRPr="00C86111">
              <w:rPr>
                <w:rFonts w:cstheme="minorHAnsi"/>
                <w:szCs w:val="24"/>
              </w:rPr>
              <w:t>3.534</w:t>
            </w:r>
          </w:p>
        </w:tc>
      </w:tr>
      <w:tr w:rsidR="00A0529E" w:rsidRPr="00C86111" w14:paraId="647D2020" w14:textId="77777777" w:rsidTr="00BC765B">
        <w:tc>
          <w:tcPr>
            <w:cnfStyle w:val="001000000000" w:firstRow="0" w:lastRow="0" w:firstColumn="1" w:lastColumn="0" w:oddVBand="0" w:evenVBand="0" w:oddHBand="0" w:evenHBand="0" w:firstRowFirstColumn="0" w:firstRowLastColumn="0" w:lastRowFirstColumn="0" w:lastRowLastColumn="0"/>
            <w:tcW w:w="1393" w:type="pct"/>
          </w:tcPr>
          <w:p w14:paraId="7B173979" w14:textId="77777777" w:rsidR="00A0529E" w:rsidRPr="00C86111" w:rsidRDefault="00A0529E" w:rsidP="00BC765B">
            <w:pPr>
              <w:jc w:val="both"/>
              <w:rPr>
                <w:rFonts w:cstheme="minorHAnsi"/>
                <w:color w:val="000000"/>
                <w:szCs w:val="24"/>
                <w:lang w:val="sr-Latn-RS"/>
              </w:rPr>
            </w:pPr>
            <w:r w:rsidRPr="00C86111">
              <w:rPr>
                <w:rFonts w:cstheme="minorHAnsi"/>
                <w:color w:val="000000"/>
                <w:szCs w:val="24"/>
                <w:lang w:val="sr-Latn-RS"/>
              </w:rPr>
              <w:t>UKUPNO</w:t>
            </w:r>
          </w:p>
        </w:tc>
        <w:tc>
          <w:tcPr>
            <w:tcW w:w="3607" w:type="pct"/>
          </w:tcPr>
          <w:p w14:paraId="4504CEC4"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b/>
                <w:bCs/>
                <w:color w:val="000000"/>
                <w:szCs w:val="24"/>
                <w:lang w:val="sr-Latn-RS"/>
              </w:rPr>
            </w:pPr>
            <w:r w:rsidRPr="00C86111">
              <w:rPr>
                <w:rFonts w:cstheme="minorHAnsi"/>
                <w:b/>
                <w:bCs/>
                <w:szCs w:val="24"/>
              </w:rPr>
              <w:t>24.181</w:t>
            </w:r>
          </w:p>
        </w:tc>
      </w:tr>
    </w:tbl>
    <w:p w14:paraId="2F464D2F" w14:textId="77777777" w:rsidR="00A0529E" w:rsidRPr="00C86111" w:rsidRDefault="00A0529E" w:rsidP="00A0529E">
      <w:pPr>
        <w:jc w:val="both"/>
        <w:rPr>
          <w:rFonts w:cstheme="minorHAnsi"/>
          <w:szCs w:val="24"/>
          <w:lang w:val="sr-Latn-RS"/>
        </w:rPr>
      </w:pPr>
      <w:r w:rsidRPr="00C86111">
        <w:rPr>
          <w:rFonts w:cstheme="minorHAnsi"/>
          <w:noProof/>
          <w:szCs w:val="24"/>
        </w:rPr>
        <w:lastRenderedPageBreak/>
        <w:drawing>
          <wp:inline distT="0" distB="0" distL="0" distR="0" wp14:anchorId="13C350DA" wp14:editId="2D88C7D2">
            <wp:extent cx="5905500" cy="2533650"/>
            <wp:effectExtent l="0" t="0" r="0" b="0"/>
            <wp:docPr id="398654603" name="Chart 1">
              <a:extLst xmlns:a="http://schemas.openxmlformats.org/drawingml/2006/main">
                <a:ext uri="{FF2B5EF4-FFF2-40B4-BE49-F238E27FC236}">
                  <a16:creationId xmlns:a16="http://schemas.microsoft.com/office/drawing/2014/main" id="{38076E81-B76A-4E2B-A0DF-CDA1F43A37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70BCA95" w14:textId="638AE3F6" w:rsidR="00A0529E" w:rsidRPr="00C86111" w:rsidRDefault="002307C2" w:rsidP="00A0529E">
      <w:pPr>
        <w:jc w:val="both"/>
        <w:rPr>
          <w:rFonts w:cstheme="minorHAnsi"/>
          <w:szCs w:val="24"/>
          <w:lang w:val="sr-Latn-ME"/>
        </w:rPr>
      </w:pPr>
      <w:r w:rsidRPr="00C86111">
        <w:rPr>
          <w:rFonts w:cstheme="minorHAnsi"/>
          <w:b/>
          <w:bCs/>
          <w:szCs w:val="24"/>
          <w:lang w:val="sr-Latn-ME"/>
        </w:rPr>
        <w:t>Grafik</w:t>
      </w:r>
      <w:r w:rsidR="00A0529E" w:rsidRPr="00C86111">
        <w:rPr>
          <w:rFonts w:cstheme="minorHAnsi"/>
          <w:b/>
          <w:bCs/>
          <w:szCs w:val="24"/>
          <w:lang w:val="sr-Latn-ME"/>
        </w:rPr>
        <w:t xml:space="preserve"> 2</w:t>
      </w:r>
      <w:r w:rsidRPr="00C86111">
        <w:rPr>
          <w:rFonts w:cstheme="minorHAnsi"/>
          <w:b/>
          <w:bCs/>
          <w:szCs w:val="24"/>
          <w:lang w:val="sr-Latn-ME"/>
        </w:rPr>
        <w:t>0</w:t>
      </w:r>
      <w:r w:rsidR="00A0529E" w:rsidRPr="00C86111">
        <w:rPr>
          <w:rFonts w:cstheme="minorHAnsi"/>
          <w:b/>
          <w:bCs/>
          <w:szCs w:val="24"/>
          <w:lang w:val="sr-Latn-ME"/>
        </w:rPr>
        <w:t>.</w:t>
      </w:r>
      <w:r w:rsidR="00A0529E" w:rsidRPr="00C86111">
        <w:rPr>
          <w:rFonts w:cstheme="minorHAnsi"/>
          <w:szCs w:val="24"/>
          <w:lang w:val="sr-Latn-ME"/>
        </w:rPr>
        <w:t xml:space="preserve"> Količine uvezenih proizvoda na bazi polistirena (t) u periodu 2017-2023. godina</w:t>
      </w:r>
    </w:p>
    <w:p w14:paraId="5A678D0B" w14:textId="77777777" w:rsidR="00A0529E" w:rsidRPr="00C86111" w:rsidRDefault="00A0529E" w:rsidP="00A0529E">
      <w:pPr>
        <w:jc w:val="both"/>
        <w:rPr>
          <w:rFonts w:cstheme="minorHAnsi"/>
          <w:szCs w:val="24"/>
          <w:lang w:val="sr-Latn-RS"/>
        </w:rPr>
      </w:pPr>
    </w:p>
    <w:p w14:paraId="519AD3CF" w14:textId="62D40978" w:rsidR="00A0529E" w:rsidRPr="00C86111" w:rsidRDefault="00A0529E" w:rsidP="00A0529E">
      <w:pPr>
        <w:jc w:val="both"/>
        <w:rPr>
          <w:rFonts w:cstheme="minorHAnsi"/>
          <w:szCs w:val="24"/>
          <w:lang w:val="sr-Latn-RS"/>
        </w:rPr>
      </w:pPr>
      <w:r w:rsidRPr="00C86111">
        <w:rPr>
          <w:rFonts w:cstheme="minorHAnsi"/>
          <w:szCs w:val="24"/>
          <w:lang w:val="sr-Latn-RS"/>
        </w:rPr>
        <w:t xml:space="preserve">Na </w:t>
      </w:r>
      <w:r w:rsidR="002307C2" w:rsidRPr="00C86111">
        <w:rPr>
          <w:rFonts w:cstheme="minorHAnsi"/>
          <w:szCs w:val="24"/>
          <w:lang w:val="sr-Latn-RS"/>
        </w:rPr>
        <w:t>grafiku</w:t>
      </w:r>
      <w:r w:rsidRPr="00C86111">
        <w:rPr>
          <w:rFonts w:cstheme="minorHAnsi"/>
          <w:szCs w:val="24"/>
          <w:lang w:val="sr-Latn-RS"/>
        </w:rPr>
        <w:t xml:space="preserve"> </w:t>
      </w:r>
      <w:r w:rsidR="002307C2" w:rsidRPr="00C86111">
        <w:rPr>
          <w:rFonts w:cstheme="minorHAnsi"/>
          <w:szCs w:val="24"/>
          <w:lang w:val="sr-Latn-RS"/>
        </w:rPr>
        <w:t>2</w:t>
      </w:r>
      <w:r w:rsidR="00547278">
        <w:rPr>
          <w:rFonts w:cstheme="minorHAnsi"/>
          <w:szCs w:val="24"/>
          <w:lang w:val="sr-Latn-RS"/>
        </w:rPr>
        <w:t>3</w:t>
      </w:r>
      <w:r w:rsidRPr="00C86111">
        <w:rPr>
          <w:rFonts w:cstheme="minorHAnsi"/>
          <w:szCs w:val="24"/>
          <w:lang w:val="sr-Latn-RS"/>
        </w:rPr>
        <w:t xml:space="preserve"> dat je uporedni prikaz proizvedenih i uvezenih proizvoda na bazi polistirena u periodu 2007-2023. godina.</w:t>
      </w:r>
    </w:p>
    <w:p w14:paraId="3BBC8CDB" w14:textId="77777777" w:rsidR="00A0529E" w:rsidRPr="00C86111" w:rsidRDefault="00A0529E" w:rsidP="00A0529E">
      <w:pPr>
        <w:jc w:val="both"/>
        <w:rPr>
          <w:rFonts w:cstheme="minorHAnsi"/>
          <w:szCs w:val="24"/>
          <w:lang w:val="sr-Latn-RS"/>
        </w:rPr>
      </w:pPr>
    </w:p>
    <w:p w14:paraId="4B749389" w14:textId="77777777" w:rsidR="00A0529E" w:rsidRPr="00C86111" w:rsidRDefault="00A0529E" w:rsidP="00A0529E">
      <w:pPr>
        <w:jc w:val="both"/>
        <w:rPr>
          <w:rFonts w:cstheme="minorHAnsi"/>
          <w:szCs w:val="24"/>
          <w:lang w:val="sr-Latn-RS"/>
        </w:rPr>
      </w:pPr>
      <w:r w:rsidRPr="00C86111">
        <w:rPr>
          <w:rFonts w:cstheme="minorHAnsi"/>
          <w:noProof/>
          <w:szCs w:val="24"/>
        </w:rPr>
        <w:drawing>
          <wp:inline distT="0" distB="0" distL="0" distR="0" wp14:anchorId="1E895C71" wp14:editId="16AC18F2">
            <wp:extent cx="5529580" cy="2697480"/>
            <wp:effectExtent l="0" t="0" r="13970" b="7620"/>
            <wp:docPr id="1560370383" name="Chart 1">
              <a:extLst xmlns:a="http://schemas.openxmlformats.org/drawingml/2006/main">
                <a:ext uri="{FF2B5EF4-FFF2-40B4-BE49-F238E27FC236}">
                  <a16:creationId xmlns:a16="http://schemas.microsoft.com/office/drawing/2014/main" id="{06DCAEBD-3A9F-D597-5353-9FBAB0916B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24CD0C6" w14:textId="2EFE9A0D" w:rsidR="00A0529E" w:rsidRPr="00C86111" w:rsidRDefault="002307C2" w:rsidP="00A0529E">
      <w:pPr>
        <w:jc w:val="both"/>
        <w:rPr>
          <w:rFonts w:cstheme="minorHAnsi"/>
          <w:szCs w:val="24"/>
          <w:lang w:val="sr-Latn-RS"/>
        </w:rPr>
      </w:pPr>
      <w:r w:rsidRPr="00C86111">
        <w:rPr>
          <w:rFonts w:cstheme="minorHAnsi"/>
          <w:b/>
          <w:bCs/>
          <w:szCs w:val="24"/>
          <w:lang w:val="sr-Latn-RS"/>
        </w:rPr>
        <w:t>Grafik 2</w:t>
      </w:r>
      <w:r w:rsidR="00547278">
        <w:rPr>
          <w:rFonts w:cstheme="minorHAnsi"/>
          <w:b/>
          <w:bCs/>
          <w:szCs w:val="24"/>
          <w:lang w:val="sr-Latn-RS"/>
        </w:rPr>
        <w:t>3</w:t>
      </w:r>
      <w:r w:rsidRPr="00C86111">
        <w:rPr>
          <w:rFonts w:cstheme="minorHAnsi"/>
          <w:b/>
          <w:bCs/>
          <w:szCs w:val="24"/>
          <w:lang w:val="sr-Latn-RS"/>
        </w:rPr>
        <w:t>.</w:t>
      </w:r>
      <w:r w:rsidR="00A0529E" w:rsidRPr="00C86111">
        <w:rPr>
          <w:rFonts w:cstheme="minorHAnsi"/>
          <w:szCs w:val="24"/>
          <w:lang w:val="sr-Latn-RS"/>
        </w:rPr>
        <w:t xml:space="preserve"> Uporedni prikaz proizvedenih i uvezenih proizvoda na bazi polistirena (t) u periodu                            2007-2023. godina</w:t>
      </w:r>
    </w:p>
    <w:p w14:paraId="5CBC98BA" w14:textId="77777777" w:rsidR="002307C2" w:rsidRPr="00C86111" w:rsidRDefault="002307C2" w:rsidP="00A0529E">
      <w:pPr>
        <w:jc w:val="both"/>
        <w:rPr>
          <w:rFonts w:cstheme="minorHAnsi"/>
          <w:szCs w:val="24"/>
          <w:lang w:val="sr-Latn-RS"/>
        </w:rPr>
      </w:pPr>
    </w:p>
    <w:p w14:paraId="67F22C3F" w14:textId="77777777" w:rsidR="00A0529E" w:rsidRPr="00C86111" w:rsidRDefault="00A0529E" w:rsidP="00A0529E">
      <w:pPr>
        <w:jc w:val="both"/>
        <w:rPr>
          <w:rFonts w:cstheme="minorHAnsi"/>
          <w:szCs w:val="24"/>
          <w:lang w:val="sr-Latn-RS"/>
        </w:rPr>
      </w:pPr>
      <w:r w:rsidRPr="00C86111">
        <w:rPr>
          <w:rFonts w:cstheme="minorHAnsi"/>
          <w:szCs w:val="24"/>
          <w:lang w:val="sr-Latn-RS"/>
        </w:rPr>
        <w:t>Na osnovu podataka dobijenih od deset vodećih građevinskih kompanija u Crnoj Gori zaključeno je da se u Crnoj Gori u ovom sektoru isključivo koriste proizvodi na bazi polistirena, dok se upotreba alternativa još uvijek ne razmatra.</w:t>
      </w:r>
    </w:p>
    <w:p w14:paraId="50985171" w14:textId="1B1B2E13" w:rsidR="00A0529E" w:rsidRPr="00C86111" w:rsidRDefault="00A0529E" w:rsidP="00EA6904">
      <w:pPr>
        <w:pStyle w:val="Heading3"/>
      </w:pPr>
      <w:bookmarkStart w:id="177" w:name="_Toc210651377"/>
      <w:bookmarkStart w:id="178" w:name="_Toc220541925"/>
      <w:r w:rsidRPr="00C86111">
        <w:t>Procjena količine HBCD u uvezenom EPS granulatu i proizvodima od polistirena</w:t>
      </w:r>
      <w:bookmarkEnd w:id="177"/>
      <w:bookmarkEnd w:id="178"/>
    </w:p>
    <w:p w14:paraId="4332ACD7" w14:textId="77777777" w:rsidR="002307C2" w:rsidRPr="00C86111" w:rsidRDefault="002307C2" w:rsidP="002307C2">
      <w:pPr>
        <w:rPr>
          <w:lang w:val="sr-Latn-RS"/>
        </w:rPr>
      </w:pPr>
    </w:p>
    <w:p w14:paraId="7E792CBF" w14:textId="77777777" w:rsidR="00A0529E" w:rsidRPr="00C86111" w:rsidRDefault="00A0529E" w:rsidP="00A0529E">
      <w:pPr>
        <w:jc w:val="both"/>
        <w:rPr>
          <w:rFonts w:cstheme="minorHAnsi"/>
          <w:szCs w:val="24"/>
          <w:lang w:val="sr-Latn-RS"/>
        </w:rPr>
      </w:pPr>
      <w:r w:rsidRPr="00C86111">
        <w:rPr>
          <w:rFonts w:cstheme="minorHAnsi"/>
          <w:szCs w:val="24"/>
          <w:lang w:val="sr-Latn-RS"/>
        </w:rPr>
        <w:t xml:space="preserve">S obzirom da je utvrđeno da 12,5% uvezenog granulata polistirena za ekspandiranje sadrži HBCD, na ukupnu količinu uvezenog materijala (Tabela 2.) proizvedenog od polistirena primjenjena je </w:t>
      </w:r>
      <w:r w:rsidRPr="00C86111">
        <w:rPr>
          <w:rFonts w:cstheme="minorHAnsi"/>
          <w:szCs w:val="24"/>
          <w:lang w:val="sr-Latn-RS"/>
        </w:rPr>
        <w:lastRenderedPageBreak/>
        <w:t>aproksimacija količine HBCD od 12,5%. Ista aproksimacija primjenjena je i za uvezene gotove proizvode (Tabela 3.) nakon uvida u dokumentaciju o njihovom sastavu.</w:t>
      </w:r>
    </w:p>
    <w:p w14:paraId="09B68D48" w14:textId="77777777" w:rsidR="00A0529E" w:rsidRPr="00C86111" w:rsidRDefault="00A0529E" w:rsidP="00A0529E">
      <w:pPr>
        <w:jc w:val="both"/>
        <w:rPr>
          <w:rFonts w:cstheme="minorHAnsi"/>
          <w:szCs w:val="24"/>
          <w:lang w:val="sr-Latn-RS"/>
        </w:rPr>
      </w:pPr>
      <w:r w:rsidRPr="00C86111">
        <w:rPr>
          <w:rFonts w:cstheme="minorHAnsi"/>
          <w:szCs w:val="24"/>
          <w:lang w:val="sr-Latn-RS"/>
        </w:rPr>
        <w:t xml:space="preserve">Na tu količinu dodat je i manji udio HBCD koji može biti prisutan u tekstilu, sintetičkim vlaknima i sl. množenjem ukupne količine polistirena iz uvoza koeficijentom 1,3. </w:t>
      </w:r>
    </w:p>
    <w:p w14:paraId="3B56BA3B" w14:textId="65D7C5EC" w:rsidR="00A0529E" w:rsidRDefault="00A0529E" w:rsidP="00A0529E">
      <w:pPr>
        <w:jc w:val="both"/>
        <w:rPr>
          <w:rFonts w:cstheme="minorHAnsi"/>
          <w:szCs w:val="24"/>
          <w:lang w:val="sr-Latn-RS"/>
        </w:rPr>
      </w:pPr>
      <w:r w:rsidRPr="00C86111">
        <w:rPr>
          <w:rFonts w:cstheme="minorHAnsi"/>
          <w:szCs w:val="24"/>
          <w:lang w:val="sr-Latn-RS"/>
        </w:rPr>
        <w:t xml:space="preserve">U Tabeli </w:t>
      </w:r>
      <w:r w:rsidR="002307C2" w:rsidRPr="00C86111">
        <w:rPr>
          <w:rFonts w:cstheme="minorHAnsi"/>
          <w:szCs w:val="24"/>
          <w:lang w:val="sr-Latn-RS"/>
        </w:rPr>
        <w:t>63</w:t>
      </w:r>
      <w:r w:rsidRPr="00C86111">
        <w:rPr>
          <w:rFonts w:cstheme="minorHAnsi"/>
          <w:szCs w:val="24"/>
          <w:lang w:val="sr-Latn-RS"/>
        </w:rPr>
        <w:t xml:space="preserve">. i </w:t>
      </w:r>
      <w:r w:rsidR="002307C2" w:rsidRPr="00C86111">
        <w:rPr>
          <w:rFonts w:cstheme="minorHAnsi"/>
          <w:szCs w:val="24"/>
          <w:lang w:val="sr-Latn-RS"/>
        </w:rPr>
        <w:t>grafiku 2</w:t>
      </w:r>
      <w:r w:rsidR="00547278">
        <w:rPr>
          <w:rFonts w:cstheme="minorHAnsi"/>
          <w:szCs w:val="24"/>
          <w:lang w:val="sr-Latn-RS"/>
        </w:rPr>
        <w:t>4</w:t>
      </w:r>
      <w:r w:rsidRPr="00C86111">
        <w:rPr>
          <w:rFonts w:cstheme="minorHAnsi"/>
          <w:szCs w:val="24"/>
          <w:lang w:val="sr-Latn-RS"/>
        </w:rPr>
        <w:t xml:space="preserve"> prikazana je procjenjena količina HBCD u Crnoj Gori, izračunata iz gore navedene jednačine, za period 2017-2023. godina po godinama.</w:t>
      </w:r>
    </w:p>
    <w:p w14:paraId="0274BAC6" w14:textId="77777777" w:rsidR="00E2027B" w:rsidRPr="00C86111" w:rsidRDefault="00E2027B" w:rsidP="00A0529E">
      <w:pPr>
        <w:jc w:val="both"/>
        <w:rPr>
          <w:rFonts w:cstheme="minorHAnsi"/>
          <w:szCs w:val="24"/>
          <w:lang w:val="sr-Latn-RS"/>
        </w:rPr>
      </w:pPr>
    </w:p>
    <w:p w14:paraId="09333052" w14:textId="3BCB0A6A" w:rsidR="00A0529E" w:rsidRDefault="00A0529E" w:rsidP="00A0529E">
      <w:pPr>
        <w:jc w:val="both"/>
        <w:rPr>
          <w:rFonts w:cstheme="minorHAnsi"/>
          <w:iCs/>
          <w:color w:val="000000"/>
          <w:szCs w:val="24"/>
          <w:lang w:val="sr-Latn-RS"/>
        </w:rPr>
      </w:pPr>
      <w:r w:rsidRPr="00C86111">
        <w:rPr>
          <w:rFonts w:cstheme="minorHAnsi"/>
          <w:b/>
          <w:bCs/>
          <w:iCs/>
          <w:color w:val="000000"/>
          <w:szCs w:val="24"/>
          <w:lang w:val="sr-Latn-RS"/>
        </w:rPr>
        <w:t xml:space="preserve">Tabela </w:t>
      </w:r>
      <w:r w:rsidR="002307C2" w:rsidRPr="00C86111">
        <w:rPr>
          <w:rFonts w:cstheme="minorHAnsi"/>
          <w:b/>
          <w:bCs/>
          <w:iCs/>
          <w:color w:val="000000"/>
          <w:szCs w:val="24"/>
          <w:lang w:val="sr-Latn-RS"/>
        </w:rPr>
        <w:t>63</w:t>
      </w:r>
      <w:r w:rsidRPr="00C86111">
        <w:rPr>
          <w:rFonts w:cstheme="minorHAnsi"/>
          <w:b/>
          <w:bCs/>
          <w:iCs/>
          <w:color w:val="000000"/>
          <w:szCs w:val="24"/>
          <w:lang w:val="sr-Latn-RS"/>
        </w:rPr>
        <w:t>.</w:t>
      </w:r>
      <w:r w:rsidRPr="00C86111">
        <w:rPr>
          <w:rFonts w:cstheme="minorHAnsi"/>
          <w:iCs/>
          <w:color w:val="000000"/>
          <w:szCs w:val="24"/>
          <w:lang w:val="sr-Latn-RS"/>
        </w:rPr>
        <w:t xml:space="preserve"> Procjenjena količina HBCD u Crnoj Gori po godinama (2017-2023.)</w:t>
      </w:r>
    </w:p>
    <w:tbl>
      <w:tblPr>
        <w:tblStyle w:val="GridTable5Dark-Accent6"/>
        <w:tblW w:w="0" w:type="auto"/>
        <w:tblLook w:val="04A0" w:firstRow="1" w:lastRow="0" w:firstColumn="1" w:lastColumn="0" w:noHBand="0" w:noVBand="1"/>
      </w:tblPr>
      <w:tblGrid>
        <w:gridCol w:w="3015"/>
        <w:gridCol w:w="6335"/>
      </w:tblGrid>
      <w:tr w:rsidR="00A0529E" w:rsidRPr="00C86111" w14:paraId="0902F8AC"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dxa"/>
          </w:tcPr>
          <w:p w14:paraId="0BD166D3"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Godina uvoza</w:t>
            </w:r>
          </w:p>
        </w:tc>
        <w:tc>
          <w:tcPr>
            <w:tcW w:w="6335" w:type="dxa"/>
          </w:tcPr>
          <w:p w14:paraId="7B62667E" w14:textId="77777777" w:rsidR="00A0529E" w:rsidRPr="00C86111" w:rsidRDefault="00A0529E" w:rsidP="00BC765B">
            <w:pPr>
              <w:jc w:val="both"/>
              <w:cnfStyle w:val="100000000000" w:firstRow="1" w:lastRow="0" w:firstColumn="0" w:lastColumn="0" w:oddVBand="0" w:evenVBand="0" w:oddHBand="0"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Procijenjena količina HBCD u Crnoj Gori (t)</w:t>
            </w:r>
          </w:p>
        </w:tc>
      </w:tr>
      <w:tr w:rsidR="00A0529E" w:rsidRPr="00C86111" w14:paraId="3E9FFCE5"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dxa"/>
          </w:tcPr>
          <w:p w14:paraId="520A8C91"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2017.</w:t>
            </w:r>
          </w:p>
        </w:tc>
        <w:tc>
          <w:tcPr>
            <w:tcW w:w="6335" w:type="dxa"/>
          </w:tcPr>
          <w:p w14:paraId="79BF6559"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5,83</w:t>
            </w:r>
          </w:p>
        </w:tc>
      </w:tr>
      <w:tr w:rsidR="00A0529E" w:rsidRPr="00C86111" w14:paraId="510D565F" w14:textId="77777777" w:rsidTr="00BC765B">
        <w:tc>
          <w:tcPr>
            <w:cnfStyle w:val="001000000000" w:firstRow="0" w:lastRow="0" w:firstColumn="1" w:lastColumn="0" w:oddVBand="0" w:evenVBand="0" w:oddHBand="0" w:evenHBand="0" w:firstRowFirstColumn="0" w:firstRowLastColumn="0" w:lastRowFirstColumn="0" w:lastRowLastColumn="0"/>
            <w:tcW w:w="3015" w:type="dxa"/>
          </w:tcPr>
          <w:p w14:paraId="1AB5B6E2"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2018.</w:t>
            </w:r>
          </w:p>
        </w:tc>
        <w:tc>
          <w:tcPr>
            <w:tcW w:w="6335" w:type="dxa"/>
          </w:tcPr>
          <w:p w14:paraId="4835BFD6"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6,30</w:t>
            </w:r>
          </w:p>
        </w:tc>
      </w:tr>
      <w:tr w:rsidR="00A0529E" w:rsidRPr="00C86111" w14:paraId="68A3C199"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dxa"/>
          </w:tcPr>
          <w:p w14:paraId="07B76E5B"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2019.</w:t>
            </w:r>
          </w:p>
        </w:tc>
        <w:tc>
          <w:tcPr>
            <w:tcW w:w="6335" w:type="dxa"/>
          </w:tcPr>
          <w:p w14:paraId="2311457E"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6,00</w:t>
            </w:r>
          </w:p>
        </w:tc>
      </w:tr>
      <w:tr w:rsidR="00A0529E" w:rsidRPr="00C86111" w14:paraId="75CFD502" w14:textId="77777777" w:rsidTr="00BC765B">
        <w:tc>
          <w:tcPr>
            <w:cnfStyle w:val="001000000000" w:firstRow="0" w:lastRow="0" w:firstColumn="1" w:lastColumn="0" w:oddVBand="0" w:evenVBand="0" w:oddHBand="0" w:evenHBand="0" w:firstRowFirstColumn="0" w:firstRowLastColumn="0" w:lastRowFirstColumn="0" w:lastRowLastColumn="0"/>
            <w:tcW w:w="3015" w:type="dxa"/>
          </w:tcPr>
          <w:p w14:paraId="6D46E7B7"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2020.</w:t>
            </w:r>
          </w:p>
        </w:tc>
        <w:tc>
          <w:tcPr>
            <w:tcW w:w="6335" w:type="dxa"/>
          </w:tcPr>
          <w:p w14:paraId="54344F37"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5,65</w:t>
            </w:r>
          </w:p>
        </w:tc>
      </w:tr>
      <w:tr w:rsidR="00A0529E" w:rsidRPr="00C86111" w14:paraId="3D569D05"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dxa"/>
          </w:tcPr>
          <w:p w14:paraId="412B9A5F"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2021.</w:t>
            </w:r>
          </w:p>
        </w:tc>
        <w:tc>
          <w:tcPr>
            <w:tcW w:w="6335" w:type="dxa"/>
          </w:tcPr>
          <w:p w14:paraId="40CE1709"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5,22</w:t>
            </w:r>
          </w:p>
        </w:tc>
      </w:tr>
      <w:tr w:rsidR="00A0529E" w:rsidRPr="00C86111" w14:paraId="294A3A80" w14:textId="77777777" w:rsidTr="00BC765B">
        <w:tc>
          <w:tcPr>
            <w:cnfStyle w:val="001000000000" w:firstRow="0" w:lastRow="0" w:firstColumn="1" w:lastColumn="0" w:oddVBand="0" w:evenVBand="0" w:oddHBand="0" w:evenHBand="0" w:firstRowFirstColumn="0" w:firstRowLastColumn="0" w:lastRowFirstColumn="0" w:lastRowLastColumn="0"/>
            <w:tcW w:w="3015" w:type="dxa"/>
          </w:tcPr>
          <w:p w14:paraId="3ED2A01C"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2022.</w:t>
            </w:r>
          </w:p>
        </w:tc>
        <w:tc>
          <w:tcPr>
            <w:tcW w:w="6335" w:type="dxa"/>
          </w:tcPr>
          <w:p w14:paraId="31551D1A"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5,16</w:t>
            </w:r>
          </w:p>
        </w:tc>
      </w:tr>
      <w:tr w:rsidR="00A0529E" w:rsidRPr="00C86111" w14:paraId="4E6B07B7"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dxa"/>
          </w:tcPr>
          <w:p w14:paraId="1FB301FD"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2023.</w:t>
            </w:r>
          </w:p>
        </w:tc>
        <w:tc>
          <w:tcPr>
            <w:tcW w:w="6335" w:type="dxa"/>
          </w:tcPr>
          <w:p w14:paraId="3160174F"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5,80</w:t>
            </w:r>
          </w:p>
        </w:tc>
      </w:tr>
      <w:tr w:rsidR="00A0529E" w:rsidRPr="00C86111" w14:paraId="51D24B1A" w14:textId="77777777" w:rsidTr="00BC765B">
        <w:tc>
          <w:tcPr>
            <w:cnfStyle w:val="001000000000" w:firstRow="0" w:lastRow="0" w:firstColumn="1" w:lastColumn="0" w:oddVBand="0" w:evenVBand="0" w:oddHBand="0" w:evenHBand="0" w:firstRowFirstColumn="0" w:firstRowLastColumn="0" w:lastRowFirstColumn="0" w:lastRowLastColumn="0"/>
            <w:tcW w:w="3015" w:type="dxa"/>
          </w:tcPr>
          <w:p w14:paraId="7B13E566"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UKUPNO</w:t>
            </w:r>
          </w:p>
        </w:tc>
        <w:tc>
          <w:tcPr>
            <w:tcW w:w="6335" w:type="dxa"/>
          </w:tcPr>
          <w:p w14:paraId="455465CD"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b/>
                <w:bCs/>
                <w:color w:val="000000"/>
                <w:sz w:val="20"/>
                <w:szCs w:val="20"/>
              </w:rPr>
            </w:pPr>
            <w:r w:rsidRPr="00C86111">
              <w:rPr>
                <w:rFonts w:cstheme="minorHAnsi"/>
                <w:b/>
                <w:bCs/>
                <w:color w:val="000000"/>
                <w:sz w:val="20"/>
                <w:szCs w:val="20"/>
              </w:rPr>
              <w:t>39,96</w:t>
            </w:r>
          </w:p>
        </w:tc>
      </w:tr>
    </w:tbl>
    <w:p w14:paraId="0B98184A" w14:textId="77777777" w:rsidR="00A0529E" w:rsidRPr="00C86111" w:rsidRDefault="00A0529E" w:rsidP="00A0529E">
      <w:pPr>
        <w:jc w:val="both"/>
        <w:rPr>
          <w:rFonts w:cstheme="minorHAnsi"/>
          <w:szCs w:val="24"/>
          <w:lang w:val="sr-Latn-RS"/>
        </w:rPr>
      </w:pPr>
    </w:p>
    <w:p w14:paraId="64E87B50" w14:textId="77777777" w:rsidR="00A0529E" w:rsidRPr="00C86111" w:rsidRDefault="00A0529E" w:rsidP="00A0529E">
      <w:pPr>
        <w:jc w:val="both"/>
        <w:rPr>
          <w:rFonts w:cstheme="minorHAnsi"/>
          <w:szCs w:val="24"/>
          <w:lang w:val="sr-Latn-RS"/>
        </w:rPr>
      </w:pPr>
      <w:r w:rsidRPr="00C86111">
        <w:rPr>
          <w:rFonts w:cstheme="minorHAnsi"/>
          <w:noProof/>
          <w:szCs w:val="24"/>
        </w:rPr>
        <w:drawing>
          <wp:inline distT="0" distB="0" distL="0" distR="0" wp14:anchorId="6345B0BD" wp14:editId="039A1EAD">
            <wp:extent cx="5920740" cy="3322320"/>
            <wp:effectExtent l="0" t="0" r="3810" b="11430"/>
            <wp:docPr id="1448374453" name="Chart 1">
              <a:extLst xmlns:a="http://schemas.openxmlformats.org/drawingml/2006/main">
                <a:ext uri="{FF2B5EF4-FFF2-40B4-BE49-F238E27FC236}">
                  <a16:creationId xmlns:a16="http://schemas.microsoft.com/office/drawing/2014/main" id="{6F1E102C-5386-54B7-5377-C64C0000CA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5CFA140" w14:textId="63B0E9CB" w:rsidR="00A0529E" w:rsidRPr="00C86111" w:rsidRDefault="002307C2" w:rsidP="00A0529E">
      <w:pPr>
        <w:jc w:val="both"/>
        <w:rPr>
          <w:rFonts w:cstheme="minorHAnsi"/>
          <w:szCs w:val="24"/>
          <w:lang w:val="sr-Latn-RS"/>
        </w:rPr>
      </w:pPr>
      <w:r w:rsidRPr="00C86111">
        <w:rPr>
          <w:rFonts w:cstheme="minorHAnsi"/>
          <w:b/>
          <w:bCs/>
          <w:szCs w:val="24"/>
          <w:lang w:val="sr-Latn-RS"/>
        </w:rPr>
        <w:t>Grafik 2</w:t>
      </w:r>
      <w:r w:rsidR="00547278">
        <w:rPr>
          <w:rFonts w:cstheme="minorHAnsi"/>
          <w:b/>
          <w:bCs/>
          <w:szCs w:val="24"/>
          <w:lang w:val="sr-Latn-RS"/>
        </w:rPr>
        <w:t>4</w:t>
      </w:r>
      <w:r w:rsidR="00A0529E" w:rsidRPr="00C86111">
        <w:rPr>
          <w:rFonts w:cstheme="minorHAnsi"/>
          <w:b/>
          <w:bCs/>
          <w:szCs w:val="24"/>
          <w:lang w:val="sr-Latn-RS"/>
        </w:rPr>
        <w:t>.</w:t>
      </w:r>
      <w:r w:rsidR="00A0529E" w:rsidRPr="00C86111">
        <w:rPr>
          <w:rFonts w:cstheme="minorHAnsi"/>
          <w:szCs w:val="24"/>
          <w:lang w:val="sr-Latn-RS"/>
        </w:rPr>
        <w:t xml:space="preserve"> Procjenjena količina HBCD u Crnoj Gori po godinama (2017-2023.)</w:t>
      </w:r>
    </w:p>
    <w:p w14:paraId="4969F163" w14:textId="77777777" w:rsidR="00A0529E" w:rsidRPr="00C86111" w:rsidRDefault="00A0529E" w:rsidP="00A0529E">
      <w:pPr>
        <w:jc w:val="both"/>
        <w:rPr>
          <w:rFonts w:cstheme="minorHAnsi"/>
          <w:szCs w:val="24"/>
          <w:lang w:val="sr-Latn-RS"/>
        </w:rPr>
      </w:pPr>
      <w:bookmarkStart w:id="179" w:name="_Toc210651378"/>
      <w:r w:rsidRPr="00C86111">
        <w:rPr>
          <w:rFonts w:cstheme="minorHAnsi"/>
          <w:szCs w:val="24"/>
          <w:lang w:val="sr-Latn-RS"/>
        </w:rPr>
        <w:t>Poređenje uvoza EPS granulata i proizvoda na bazi polistirena i procijenjene količine HBCD u Crnoj Gori za period 2007-2016. i 2017-2023. godina</w:t>
      </w:r>
      <w:bookmarkEnd w:id="179"/>
    </w:p>
    <w:p w14:paraId="528D92E2" w14:textId="77777777" w:rsidR="002307C2" w:rsidRPr="00C86111" w:rsidRDefault="002307C2" w:rsidP="00A0529E">
      <w:pPr>
        <w:jc w:val="both"/>
        <w:rPr>
          <w:rFonts w:cstheme="minorHAnsi"/>
          <w:szCs w:val="24"/>
          <w:lang w:val="sr-Latn-RS"/>
        </w:rPr>
      </w:pPr>
    </w:p>
    <w:p w14:paraId="005E3457" w14:textId="297B94A0" w:rsidR="00A0529E" w:rsidRPr="00C86111" w:rsidRDefault="00A0529E" w:rsidP="00A0529E">
      <w:pPr>
        <w:jc w:val="both"/>
        <w:rPr>
          <w:rFonts w:cstheme="minorHAnsi"/>
          <w:iCs/>
          <w:color w:val="000000"/>
          <w:szCs w:val="24"/>
          <w:lang w:val="sr-Latn-RS"/>
        </w:rPr>
      </w:pPr>
      <w:r w:rsidRPr="00C86111">
        <w:rPr>
          <w:rFonts w:cstheme="minorHAnsi"/>
          <w:iCs/>
          <w:color w:val="000000"/>
          <w:szCs w:val="24"/>
          <w:lang w:val="sr-Latn-RS"/>
        </w:rPr>
        <w:t xml:space="preserve">U Tabeli </w:t>
      </w:r>
      <w:r w:rsidR="002307C2" w:rsidRPr="00C86111">
        <w:rPr>
          <w:rFonts w:cstheme="minorHAnsi"/>
          <w:iCs/>
          <w:color w:val="000000"/>
          <w:szCs w:val="24"/>
          <w:lang w:val="sr-Latn-RS"/>
        </w:rPr>
        <w:t>64</w:t>
      </w:r>
      <w:r w:rsidRPr="00C86111">
        <w:rPr>
          <w:rFonts w:cstheme="minorHAnsi"/>
          <w:iCs/>
          <w:color w:val="000000"/>
          <w:szCs w:val="24"/>
          <w:lang w:val="sr-Latn-RS"/>
        </w:rPr>
        <w:t xml:space="preserve">. i na </w:t>
      </w:r>
      <w:r w:rsidR="002307C2" w:rsidRPr="00C86111">
        <w:rPr>
          <w:rFonts w:cstheme="minorHAnsi"/>
          <w:iCs/>
          <w:color w:val="000000"/>
          <w:szCs w:val="24"/>
          <w:lang w:val="sr-Latn-RS"/>
        </w:rPr>
        <w:t>graficima2</w:t>
      </w:r>
      <w:r w:rsidR="00547278">
        <w:rPr>
          <w:rFonts w:cstheme="minorHAnsi"/>
          <w:iCs/>
          <w:color w:val="000000"/>
          <w:szCs w:val="24"/>
          <w:lang w:val="sr-Latn-RS"/>
        </w:rPr>
        <w:t>5</w:t>
      </w:r>
      <w:r w:rsidR="002307C2" w:rsidRPr="00C86111">
        <w:rPr>
          <w:rFonts w:cstheme="minorHAnsi"/>
          <w:iCs/>
          <w:color w:val="000000"/>
          <w:szCs w:val="24"/>
          <w:lang w:val="sr-Latn-RS"/>
        </w:rPr>
        <w:t>,2</w:t>
      </w:r>
      <w:r w:rsidR="00547278">
        <w:rPr>
          <w:rFonts w:cstheme="minorHAnsi"/>
          <w:iCs/>
          <w:color w:val="000000"/>
          <w:szCs w:val="24"/>
          <w:lang w:val="sr-Latn-RS"/>
        </w:rPr>
        <w:t>6</w:t>
      </w:r>
      <w:r w:rsidR="002307C2" w:rsidRPr="00C86111">
        <w:rPr>
          <w:rFonts w:cstheme="minorHAnsi"/>
          <w:iCs/>
          <w:color w:val="000000"/>
          <w:szCs w:val="24"/>
          <w:lang w:val="sr-Latn-RS"/>
        </w:rPr>
        <w:t xml:space="preserve"> i 2</w:t>
      </w:r>
      <w:r w:rsidR="00547278">
        <w:rPr>
          <w:rFonts w:cstheme="minorHAnsi"/>
          <w:iCs/>
          <w:color w:val="000000"/>
          <w:szCs w:val="24"/>
          <w:lang w:val="sr-Latn-RS"/>
        </w:rPr>
        <w:t>7</w:t>
      </w:r>
      <w:r w:rsidRPr="00C86111">
        <w:rPr>
          <w:rFonts w:cstheme="minorHAnsi"/>
          <w:iCs/>
          <w:color w:val="000000"/>
          <w:szCs w:val="24"/>
          <w:lang w:val="sr-Latn-RS"/>
        </w:rPr>
        <w:t xml:space="preserve"> dat je pregled srednjih godišnje uvezenih količina granulata ekspandiranog polistirena za proizvodnju izolacionih ploča i proizvoda na bazi polistirena, kao i procijenjenih količina HBCD za periode 2007-2016. i 2017-2023. godina.</w:t>
      </w:r>
    </w:p>
    <w:p w14:paraId="4B9763C1" w14:textId="77777777" w:rsidR="002307C2" w:rsidRDefault="002307C2" w:rsidP="00A0529E">
      <w:pPr>
        <w:jc w:val="both"/>
        <w:rPr>
          <w:rFonts w:cstheme="minorHAnsi"/>
          <w:iCs/>
          <w:color w:val="000000"/>
          <w:szCs w:val="24"/>
          <w:lang w:val="sr-Latn-RS"/>
        </w:rPr>
      </w:pPr>
    </w:p>
    <w:p w14:paraId="24A77222" w14:textId="77777777" w:rsidR="00F57E42" w:rsidRPr="00C86111" w:rsidRDefault="00F57E42" w:rsidP="00A0529E">
      <w:pPr>
        <w:jc w:val="both"/>
        <w:rPr>
          <w:rFonts w:cstheme="minorHAnsi"/>
          <w:iCs/>
          <w:color w:val="000000"/>
          <w:szCs w:val="24"/>
          <w:lang w:val="sr-Latn-RS"/>
        </w:rPr>
      </w:pPr>
    </w:p>
    <w:p w14:paraId="390AAB1F" w14:textId="156AF3E9" w:rsidR="00A0529E" w:rsidRPr="00C86111" w:rsidRDefault="00A0529E" w:rsidP="00E2027B">
      <w:pPr>
        <w:jc w:val="center"/>
        <w:rPr>
          <w:rFonts w:cstheme="minorHAnsi"/>
          <w:iCs/>
          <w:color w:val="000000"/>
          <w:szCs w:val="24"/>
          <w:lang w:val="sr-Latn-RS"/>
        </w:rPr>
      </w:pPr>
      <w:r w:rsidRPr="00C86111">
        <w:rPr>
          <w:rFonts w:cstheme="minorHAnsi"/>
          <w:b/>
          <w:bCs/>
          <w:iCs/>
          <w:color w:val="000000"/>
          <w:szCs w:val="24"/>
          <w:lang w:val="sr-Latn-RS"/>
        </w:rPr>
        <w:lastRenderedPageBreak/>
        <w:t xml:space="preserve">Tabela </w:t>
      </w:r>
      <w:r w:rsidR="002307C2" w:rsidRPr="00C86111">
        <w:rPr>
          <w:rFonts w:cstheme="minorHAnsi"/>
          <w:b/>
          <w:bCs/>
          <w:iCs/>
          <w:color w:val="000000"/>
          <w:szCs w:val="24"/>
          <w:lang w:val="sr-Latn-RS"/>
        </w:rPr>
        <w:t>64</w:t>
      </w:r>
      <w:r w:rsidRPr="00C86111">
        <w:rPr>
          <w:rFonts w:cstheme="minorHAnsi"/>
          <w:b/>
          <w:bCs/>
          <w:iCs/>
          <w:color w:val="000000"/>
          <w:szCs w:val="24"/>
          <w:lang w:val="sr-Latn-RS"/>
        </w:rPr>
        <w:t>.</w:t>
      </w:r>
      <w:r w:rsidRPr="00C86111">
        <w:rPr>
          <w:rFonts w:cstheme="minorHAnsi"/>
          <w:iCs/>
          <w:color w:val="000000"/>
          <w:szCs w:val="24"/>
          <w:lang w:val="sr-Latn-RS"/>
        </w:rPr>
        <w:t xml:space="preserve"> Trend uvoza proizvoda na bazi polistirena i procijenje količine HBCD u Crnoj Gori</w:t>
      </w:r>
    </w:p>
    <w:tbl>
      <w:tblPr>
        <w:tblStyle w:val="GridTable5Dark-Accent6"/>
        <w:tblW w:w="0" w:type="auto"/>
        <w:tblLook w:val="04A0" w:firstRow="1" w:lastRow="0" w:firstColumn="1" w:lastColumn="0" w:noHBand="0" w:noVBand="1"/>
      </w:tblPr>
      <w:tblGrid>
        <w:gridCol w:w="4675"/>
        <w:gridCol w:w="2340"/>
        <w:gridCol w:w="2335"/>
      </w:tblGrid>
      <w:tr w:rsidR="00A0529E" w:rsidRPr="00C86111" w14:paraId="3DA3AB5A"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vMerge w:val="restart"/>
          </w:tcPr>
          <w:p w14:paraId="6953A2F8" w14:textId="77777777" w:rsidR="00A0529E" w:rsidRPr="00C86111" w:rsidRDefault="00A0529E" w:rsidP="00BC765B">
            <w:pPr>
              <w:jc w:val="both"/>
              <w:rPr>
                <w:rFonts w:cstheme="minorHAnsi"/>
                <w:sz w:val="20"/>
                <w:szCs w:val="20"/>
                <w:lang w:val="sr-Latn-ME"/>
              </w:rPr>
            </w:pPr>
          </w:p>
        </w:tc>
        <w:tc>
          <w:tcPr>
            <w:tcW w:w="4675" w:type="dxa"/>
            <w:gridSpan w:val="2"/>
          </w:tcPr>
          <w:p w14:paraId="48A00319" w14:textId="77777777" w:rsidR="00A0529E" w:rsidRPr="00C86111" w:rsidRDefault="00A0529E" w:rsidP="00BC765B">
            <w:pPr>
              <w:jc w:val="both"/>
              <w:cnfStyle w:val="100000000000" w:firstRow="1" w:lastRow="0" w:firstColumn="0" w:lastColumn="0" w:oddVBand="0" w:evenVBand="0" w:oddHBand="0" w:evenHBand="0" w:firstRowFirstColumn="0" w:firstRowLastColumn="0" w:lastRowFirstColumn="0" w:lastRowLastColumn="0"/>
              <w:rPr>
                <w:rFonts w:cstheme="minorHAnsi"/>
                <w:sz w:val="20"/>
                <w:szCs w:val="20"/>
                <w:lang w:val="sr-Latn-ME"/>
              </w:rPr>
            </w:pPr>
            <w:r w:rsidRPr="00C86111">
              <w:rPr>
                <w:rFonts w:cstheme="minorHAnsi"/>
                <w:sz w:val="20"/>
                <w:szCs w:val="20"/>
                <w:lang w:val="sr-Latn-ME"/>
              </w:rPr>
              <w:t>Prosječna godišnja količina</w:t>
            </w:r>
          </w:p>
        </w:tc>
      </w:tr>
      <w:tr w:rsidR="00A0529E" w:rsidRPr="00C86111" w14:paraId="4DEB90DC"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vMerge/>
          </w:tcPr>
          <w:p w14:paraId="4AF16A4B" w14:textId="77777777" w:rsidR="00A0529E" w:rsidRPr="00C86111" w:rsidRDefault="00A0529E" w:rsidP="00BC765B">
            <w:pPr>
              <w:jc w:val="both"/>
              <w:rPr>
                <w:rFonts w:cstheme="minorHAnsi"/>
                <w:sz w:val="20"/>
                <w:szCs w:val="20"/>
                <w:lang w:val="sr-Latn-ME"/>
              </w:rPr>
            </w:pPr>
          </w:p>
        </w:tc>
        <w:tc>
          <w:tcPr>
            <w:tcW w:w="2340" w:type="dxa"/>
          </w:tcPr>
          <w:p w14:paraId="2A87ADD8"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sr-Latn-ME"/>
              </w:rPr>
            </w:pPr>
            <w:r w:rsidRPr="00C86111">
              <w:rPr>
                <w:rFonts w:cstheme="minorHAnsi"/>
                <w:b/>
                <w:bCs/>
                <w:sz w:val="20"/>
                <w:szCs w:val="20"/>
                <w:lang w:val="sr-Latn-ME"/>
              </w:rPr>
              <w:t>2007-2016. godina</w:t>
            </w:r>
          </w:p>
        </w:tc>
        <w:tc>
          <w:tcPr>
            <w:tcW w:w="2335" w:type="dxa"/>
          </w:tcPr>
          <w:p w14:paraId="3224EED8"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sr-Latn-ME"/>
              </w:rPr>
            </w:pPr>
            <w:r w:rsidRPr="00C86111">
              <w:rPr>
                <w:rFonts w:cstheme="minorHAnsi"/>
                <w:b/>
                <w:bCs/>
                <w:sz w:val="20"/>
                <w:szCs w:val="20"/>
                <w:lang w:val="sr-Latn-ME"/>
              </w:rPr>
              <w:t>2017-2023. godina</w:t>
            </w:r>
          </w:p>
        </w:tc>
      </w:tr>
      <w:tr w:rsidR="00A0529E" w:rsidRPr="00C86111" w14:paraId="3D54C62E" w14:textId="77777777" w:rsidTr="00BC765B">
        <w:tc>
          <w:tcPr>
            <w:cnfStyle w:val="001000000000" w:firstRow="0" w:lastRow="0" w:firstColumn="1" w:lastColumn="0" w:oddVBand="0" w:evenVBand="0" w:oddHBand="0" w:evenHBand="0" w:firstRowFirstColumn="0" w:firstRowLastColumn="0" w:lastRowFirstColumn="0" w:lastRowLastColumn="0"/>
            <w:tcW w:w="4675" w:type="dxa"/>
          </w:tcPr>
          <w:p w14:paraId="61213132" w14:textId="77777777" w:rsidR="00A0529E" w:rsidRPr="00C86111" w:rsidRDefault="00A0529E" w:rsidP="00BC765B">
            <w:pPr>
              <w:jc w:val="both"/>
              <w:rPr>
                <w:rFonts w:cstheme="minorHAnsi"/>
                <w:sz w:val="20"/>
                <w:szCs w:val="20"/>
                <w:lang w:val="sr-Latn-ME"/>
              </w:rPr>
            </w:pPr>
            <w:r w:rsidRPr="00C86111">
              <w:rPr>
                <w:rFonts w:cstheme="minorHAnsi"/>
                <w:color w:val="000000"/>
                <w:sz w:val="20"/>
                <w:szCs w:val="20"/>
                <w:lang w:val="sr-Latn-RS"/>
              </w:rPr>
              <w:t>Granulati ekspandiranog polistirena za proizvodnju izolacionih ploča (t/god)</w:t>
            </w:r>
          </w:p>
        </w:tc>
        <w:tc>
          <w:tcPr>
            <w:tcW w:w="2340" w:type="dxa"/>
          </w:tcPr>
          <w:p w14:paraId="51692CDF"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sr-Latn-ME"/>
              </w:rPr>
            </w:pPr>
            <w:r w:rsidRPr="00C86111">
              <w:rPr>
                <w:rFonts w:cstheme="minorHAnsi"/>
                <w:sz w:val="20"/>
                <w:szCs w:val="20"/>
                <w:lang w:val="sr-Latn-ME"/>
              </w:rPr>
              <w:t>39,5</w:t>
            </w:r>
          </w:p>
        </w:tc>
        <w:tc>
          <w:tcPr>
            <w:tcW w:w="2335" w:type="dxa"/>
          </w:tcPr>
          <w:p w14:paraId="4AEB3B75"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sr-Latn-ME"/>
              </w:rPr>
            </w:pPr>
            <w:r w:rsidRPr="00C86111">
              <w:rPr>
                <w:rFonts w:cstheme="minorHAnsi"/>
                <w:sz w:val="20"/>
                <w:szCs w:val="20"/>
                <w:lang w:val="sr-Latn-ME"/>
              </w:rPr>
              <w:t>58,2</w:t>
            </w:r>
          </w:p>
        </w:tc>
      </w:tr>
      <w:tr w:rsidR="00A0529E" w:rsidRPr="00C86111" w14:paraId="0E304591"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843A1E8" w14:textId="77777777" w:rsidR="00A0529E" w:rsidRPr="00C86111" w:rsidRDefault="00A0529E" w:rsidP="00BC765B">
            <w:pPr>
              <w:jc w:val="both"/>
              <w:rPr>
                <w:rFonts w:cstheme="minorHAnsi"/>
                <w:sz w:val="20"/>
                <w:szCs w:val="20"/>
                <w:lang w:val="sr-Latn-ME"/>
              </w:rPr>
            </w:pPr>
            <w:r w:rsidRPr="00C86111">
              <w:rPr>
                <w:rFonts w:cstheme="minorHAnsi"/>
                <w:sz w:val="20"/>
                <w:szCs w:val="20"/>
                <w:lang w:val="sr-Latn-ME"/>
              </w:rPr>
              <w:t>Poizvodi na bazi polistirena (t/god)</w:t>
            </w:r>
          </w:p>
        </w:tc>
        <w:tc>
          <w:tcPr>
            <w:tcW w:w="2340" w:type="dxa"/>
          </w:tcPr>
          <w:p w14:paraId="55A74142"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lang w:val="sr-Latn-ME"/>
              </w:rPr>
            </w:pPr>
            <w:r w:rsidRPr="00C86111">
              <w:rPr>
                <w:rFonts w:cstheme="minorHAnsi"/>
                <w:sz w:val="20"/>
                <w:szCs w:val="20"/>
                <w:lang w:val="sr-Latn-ME"/>
              </w:rPr>
              <w:t>1.882</w:t>
            </w:r>
          </w:p>
        </w:tc>
        <w:tc>
          <w:tcPr>
            <w:tcW w:w="2335" w:type="dxa"/>
          </w:tcPr>
          <w:p w14:paraId="0C7F641C"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lang w:val="sr-Latn-ME"/>
              </w:rPr>
            </w:pPr>
            <w:r w:rsidRPr="00C86111">
              <w:rPr>
                <w:rFonts w:cstheme="minorHAnsi"/>
                <w:sz w:val="20"/>
                <w:szCs w:val="20"/>
                <w:lang w:val="sr-Latn-ME"/>
              </w:rPr>
              <w:t>3.454</w:t>
            </w:r>
          </w:p>
        </w:tc>
      </w:tr>
      <w:tr w:rsidR="00A0529E" w:rsidRPr="00C86111" w14:paraId="528AECE4" w14:textId="77777777" w:rsidTr="00BC765B">
        <w:tc>
          <w:tcPr>
            <w:cnfStyle w:val="001000000000" w:firstRow="0" w:lastRow="0" w:firstColumn="1" w:lastColumn="0" w:oddVBand="0" w:evenVBand="0" w:oddHBand="0" w:evenHBand="0" w:firstRowFirstColumn="0" w:firstRowLastColumn="0" w:lastRowFirstColumn="0" w:lastRowLastColumn="0"/>
            <w:tcW w:w="4675" w:type="dxa"/>
          </w:tcPr>
          <w:p w14:paraId="6CE97269" w14:textId="77777777" w:rsidR="00A0529E" w:rsidRPr="00C86111" w:rsidRDefault="00A0529E" w:rsidP="00BC765B">
            <w:pPr>
              <w:jc w:val="both"/>
              <w:rPr>
                <w:rFonts w:cstheme="minorHAnsi"/>
                <w:sz w:val="20"/>
                <w:szCs w:val="20"/>
                <w:lang w:val="sr-Latn-ME"/>
              </w:rPr>
            </w:pPr>
            <w:r w:rsidRPr="00C86111">
              <w:rPr>
                <w:rFonts w:cstheme="minorHAnsi"/>
                <w:sz w:val="20"/>
                <w:szCs w:val="20"/>
                <w:lang w:val="sr-Latn-ME"/>
              </w:rPr>
              <w:t>Procjenjena količina HBCD (t/god)</w:t>
            </w:r>
          </w:p>
        </w:tc>
        <w:tc>
          <w:tcPr>
            <w:tcW w:w="2340" w:type="dxa"/>
          </w:tcPr>
          <w:p w14:paraId="52D722D3"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sr-Latn-ME"/>
              </w:rPr>
            </w:pPr>
            <w:r w:rsidRPr="00C86111">
              <w:rPr>
                <w:rFonts w:cstheme="minorHAnsi"/>
                <w:sz w:val="20"/>
                <w:szCs w:val="20"/>
                <w:lang w:val="sr-Latn-ME"/>
              </w:rPr>
              <w:t>3,12</w:t>
            </w:r>
          </w:p>
        </w:tc>
        <w:tc>
          <w:tcPr>
            <w:tcW w:w="2335" w:type="dxa"/>
          </w:tcPr>
          <w:p w14:paraId="225FDC16"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sr-Latn-ME"/>
              </w:rPr>
            </w:pPr>
            <w:r w:rsidRPr="00C86111">
              <w:rPr>
                <w:rFonts w:cstheme="minorHAnsi"/>
                <w:sz w:val="20"/>
                <w:szCs w:val="20"/>
                <w:lang w:val="sr-Latn-ME"/>
              </w:rPr>
              <w:t>5,71</w:t>
            </w:r>
          </w:p>
        </w:tc>
      </w:tr>
    </w:tbl>
    <w:p w14:paraId="36AEC9CF" w14:textId="77777777" w:rsidR="00A0529E" w:rsidRPr="00C86111" w:rsidRDefault="00A0529E" w:rsidP="00A0529E">
      <w:pPr>
        <w:jc w:val="both"/>
        <w:rPr>
          <w:rFonts w:cstheme="minorHAnsi"/>
          <w:noProof/>
          <w:szCs w:val="24"/>
        </w:rPr>
      </w:pPr>
    </w:p>
    <w:p w14:paraId="6A80E203" w14:textId="77777777" w:rsidR="00A0529E" w:rsidRPr="00C86111" w:rsidRDefault="00A0529E" w:rsidP="00E2027B">
      <w:pPr>
        <w:jc w:val="center"/>
        <w:rPr>
          <w:rFonts w:cstheme="minorHAnsi"/>
          <w:szCs w:val="24"/>
          <w:lang w:val="sr-Latn-ME"/>
        </w:rPr>
      </w:pPr>
      <w:r w:rsidRPr="00C86111">
        <w:rPr>
          <w:rFonts w:cstheme="minorHAnsi"/>
          <w:noProof/>
          <w:szCs w:val="24"/>
        </w:rPr>
        <w:drawing>
          <wp:inline distT="0" distB="0" distL="0" distR="0" wp14:anchorId="4A97886C" wp14:editId="7B49F450">
            <wp:extent cx="4572000" cy="2114550"/>
            <wp:effectExtent l="0" t="0" r="0" b="0"/>
            <wp:docPr id="1770122318" name="Chart 1">
              <a:extLst xmlns:a="http://schemas.openxmlformats.org/drawingml/2006/main">
                <a:ext uri="{FF2B5EF4-FFF2-40B4-BE49-F238E27FC236}">
                  <a16:creationId xmlns:a16="http://schemas.microsoft.com/office/drawing/2014/main" id="{AA8C4F71-492B-C572-635B-D2C9EBDF1A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D6B88CB" w14:textId="26445207" w:rsidR="00A0529E" w:rsidRPr="00C86111" w:rsidRDefault="002307C2" w:rsidP="00A0529E">
      <w:pPr>
        <w:jc w:val="both"/>
        <w:rPr>
          <w:rFonts w:cstheme="minorHAnsi"/>
          <w:szCs w:val="24"/>
          <w:lang w:val="sr-Latn-ME"/>
        </w:rPr>
      </w:pPr>
      <w:r w:rsidRPr="00C86111">
        <w:rPr>
          <w:rFonts w:cstheme="minorHAnsi"/>
          <w:b/>
          <w:bCs/>
          <w:szCs w:val="24"/>
          <w:lang w:val="sr-Latn-ME"/>
        </w:rPr>
        <w:t>Grafik 2</w:t>
      </w:r>
      <w:r w:rsidR="00547278">
        <w:rPr>
          <w:rFonts w:cstheme="minorHAnsi"/>
          <w:b/>
          <w:bCs/>
          <w:szCs w:val="24"/>
          <w:lang w:val="sr-Latn-ME"/>
        </w:rPr>
        <w:t>5</w:t>
      </w:r>
      <w:r w:rsidR="00A0529E" w:rsidRPr="00C86111">
        <w:rPr>
          <w:rFonts w:cstheme="minorHAnsi"/>
          <w:b/>
          <w:bCs/>
          <w:szCs w:val="24"/>
          <w:lang w:val="sr-Latn-ME"/>
        </w:rPr>
        <w:t>.</w:t>
      </w:r>
      <w:r w:rsidR="00A0529E" w:rsidRPr="00C86111">
        <w:rPr>
          <w:rFonts w:cstheme="minorHAnsi"/>
          <w:szCs w:val="24"/>
          <w:lang w:val="sr-Latn-ME"/>
        </w:rPr>
        <w:t xml:space="preserve"> Prosječna godišnja količina uvezenih granulata ekspandiranog polistirena za proizvodnju izolacionih ploča (t) za periode 2007-2016 and 2017-2023 </w:t>
      </w:r>
    </w:p>
    <w:p w14:paraId="516BCFAD" w14:textId="77777777" w:rsidR="00A0529E" w:rsidRPr="00C86111" w:rsidRDefault="00A0529E" w:rsidP="00E2027B">
      <w:pPr>
        <w:jc w:val="center"/>
        <w:rPr>
          <w:rFonts w:cstheme="minorHAnsi"/>
          <w:i/>
          <w:iCs/>
          <w:szCs w:val="24"/>
          <w:lang w:val="sr-Latn-ME"/>
        </w:rPr>
      </w:pPr>
      <w:r w:rsidRPr="00C86111">
        <w:rPr>
          <w:rFonts w:cstheme="minorHAnsi"/>
          <w:noProof/>
          <w:szCs w:val="24"/>
        </w:rPr>
        <w:drawing>
          <wp:inline distT="0" distB="0" distL="0" distR="0" wp14:anchorId="2B98DFFB" wp14:editId="4723442E">
            <wp:extent cx="4572000" cy="2038350"/>
            <wp:effectExtent l="0" t="0" r="0" b="0"/>
            <wp:docPr id="2044652322" name="Chart 1">
              <a:extLst xmlns:a="http://schemas.openxmlformats.org/drawingml/2006/main">
                <a:ext uri="{FF2B5EF4-FFF2-40B4-BE49-F238E27FC236}">
                  <a16:creationId xmlns:a16="http://schemas.microsoft.com/office/drawing/2014/main" id="{3FC39DD5-7ED6-4F06-A567-F35C629356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00B0A79" w14:textId="0F8B3DAA" w:rsidR="00A0529E" w:rsidRPr="00C86111" w:rsidRDefault="002307C2" w:rsidP="00A0529E">
      <w:pPr>
        <w:jc w:val="both"/>
        <w:rPr>
          <w:rFonts w:cstheme="minorHAnsi"/>
          <w:szCs w:val="24"/>
          <w:lang w:val="sr-Latn-ME"/>
        </w:rPr>
      </w:pPr>
      <w:r w:rsidRPr="00C86111">
        <w:rPr>
          <w:rFonts w:cstheme="minorHAnsi"/>
          <w:b/>
          <w:bCs/>
          <w:szCs w:val="24"/>
          <w:lang w:val="sr-Latn-ME"/>
        </w:rPr>
        <w:t>Grafik 2</w:t>
      </w:r>
      <w:r w:rsidR="00547278">
        <w:rPr>
          <w:rFonts w:cstheme="minorHAnsi"/>
          <w:b/>
          <w:bCs/>
          <w:szCs w:val="24"/>
          <w:lang w:val="sr-Latn-ME"/>
        </w:rPr>
        <w:t>6</w:t>
      </w:r>
      <w:r w:rsidR="00A0529E" w:rsidRPr="00C86111">
        <w:rPr>
          <w:rFonts w:cstheme="minorHAnsi"/>
          <w:b/>
          <w:bCs/>
          <w:szCs w:val="24"/>
          <w:lang w:val="sr-Latn-ME"/>
        </w:rPr>
        <w:t>.</w:t>
      </w:r>
      <w:r w:rsidR="00A0529E" w:rsidRPr="00C86111">
        <w:rPr>
          <w:rFonts w:cstheme="minorHAnsi"/>
          <w:szCs w:val="24"/>
          <w:lang w:val="sr-Latn-ME"/>
        </w:rPr>
        <w:t xml:space="preserve"> Prosječna godišnja količina uvezenih proizvoda na bazi polistirena (t) za periode 2007-2016 and 2017-2023</w:t>
      </w:r>
    </w:p>
    <w:p w14:paraId="329D89A4" w14:textId="77777777" w:rsidR="00A0529E" w:rsidRPr="00C86111" w:rsidRDefault="00A0529E" w:rsidP="00A0529E">
      <w:pPr>
        <w:jc w:val="both"/>
        <w:rPr>
          <w:rFonts w:cstheme="minorHAnsi"/>
          <w:szCs w:val="24"/>
          <w:lang w:val="sr-Latn-ME"/>
        </w:rPr>
      </w:pPr>
    </w:p>
    <w:p w14:paraId="60B62F91" w14:textId="77777777" w:rsidR="00A0529E" w:rsidRPr="00C86111" w:rsidRDefault="00A0529E" w:rsidP="00E2027B">
      <w:pPr>
        <w:jc w:val="center"/>
        <w:rPr>
          <w:rFonts w:cstheme="minorHAnsi"/>
          <w:szCs w:val="24"/>
          <w:lang w:val="sr-Latn-ME"/>
        </w:rPr>
      </w:pPr>
      <w:r w:rsidRPr="00C86111">
        <w:rPr>
          <w:rFonts w:cstheme="minorHAnsi"/>
          <w:noProof/>
          <w:szCs w:val="24"/>
        </w:rPr>
        <w:lastRenderedPageBreak/>
        <w:drawing>
          <wp:inline distT="0" distB="0" distL="0" distR="0" wp14:anchorId="728BEBCA" wp14:editId="7CE19539">
            <wp:extent cx="4572000" cy="2484120"/>
            <wp:effectExtent l="0" t="0" r="0" b="11430"/>
            <wp:docPr id="1429689731" name="Chart 1">
              <a:extLst xmlns:a="http://schemas.openxmlformats.org/drawingml/2006/main">
                <a:ext uri="{FF2B5EF4-FFF2-40B4-BE49-F238E27FC236}">
                  <a16:creationId xmlns:a16="http://schemas.microsoft.com/office/drawing/2014/main" id="{2DD3BAAF-F345-4D76-9AE7-8A6A6A9A2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84BC975" w14:textId="24751500" w:rsidR="00A0529E" w:rsidRPr="00C86111" w:rsidRDefault="002307C2" w:rsidP="00A0529E">
      <w:pPr>
        <w:jc w:val="both"/>
        <w:rPr>
          <w:rFonts w:cstheme="minorHAnsi"/>
          <w:szCs w:val="24"/>
          <w:lang w:val="sr-Latn-ME"/>
        </w:rPr>
      </w:pPr>
      <w:r w:rsidRPr="00C86111">
        <w:rPr>
          <w:rFonts w:cstheme="minorHAnsi"/>
          <w:b/>
          <w:bCs/>
          <w:szCs w:val="24"/>
          <w:lang w:val="sr-Latn-ME"/>
        </w:rPr>
        <w:t>Grafik 2</w:t>
      </w:r>
      <w:r w:rsidR="00547278">
        <w:rPr>
          <w:rFonts w:cstheme="minorHAnsi"/>
          <w:b/>
          <w:bCs/>
          <w:szCs w:val="24"/>
          <w:lang w:val="sr-Latn-ME"/>
        </w:rPr>
        <w:t>7</w:t>
      </w:r>
      <w:r w:rsidR="00A0529E" w:rsidRPr="00C86111">
        <w:rPr>
          <w:rFonts w:cstheme="minorHAnsi"/>
          <w:b/>
          <w:bCs/>
          <w:szCs w:val="24"/>
          <w:lang w:val="sr-Latn-ME"/>
        </w:rPr>
        <w:t>.</w:t>
      </w:r>
      <w:r w:rsidR="00A0529E" w:rsidRPr="00C86111">
        <w:rPr>
          <w:rFonts w:cstheme="minorHAnsi"/>
          <w:szCs w:val="24"/>
          <w:lang w:val="sr-Latn-ME"/>
        </w:rPr>
        <w:t xml:space="preserve"> Procijenjena prosječna godišnja količina HBCD u Crnoj Gori (t) za periode 2007-2016. godina i 2017-2023. godina </w:t>
      </w:r>
    </w:p>
    <w:p w14:paraId="1E7C6A0B" w14:textId="77777777" w:rsidR="00A0529E" w:rsidRPr="00C86111" w:rsidRDefault="00A0529E" w:rsidP="00A0529E">
      <w:pPr>
        <w:jc w:val="both"/>
        <w:rPr>
          <w:rFonts w:cstheme="minorHAnsi"/>
          <w:szCs w:val="24"/>
          <w:lang w:val="sr-Latn-ME"/>
        </w:rPr>
      </w:pPr>
      <w:r w:rsidRPr="00C86111">
        <w:rPr>
          <w:rFonts w:cstheme="minorHAnsi"/>
          <w:szCs w:val="24"/>
          <w:lang w:val="sr-Latn-ME"/>
        </w:rPr>
        <w:t xml:space="preserve">Iz dobijenih podataka zaključuje se da postoji rastući trend upotrebe proizvoda koji potencijalno sadrže HBCD. Većina ovih proizvoda svoju primjenu nalazi u građevinarstvu. Kako je na teritoriji cijele Crne Gore u posmatranom periodu (2017-2023. godina) evidentan značajan porast broja izgrađenih građevinskih objekata, to je ujedno i glavni razlog ovakvog trenda.  </w:t>
      </w:r>
    </w:p>
    <w:p w14:paraId="25FCE7FD" w14:textId="77777777" w:rsidR="00A0529E" w:rsidRPr="00C86111" w:rsidRDefault="00A0529E" w:rsidP="00EA6904">
      <w:pPr>
        <w:pStyle w:val="Heading3"/>
      </w:pPr>
      <w:bookmarkStart w:id="180" w:name="_Toc210651379"/>
      <w:bookmarkStart w:id="181" w:name="_Toc220541926"/>
      <w:r w:rsidRPr="00C86111">
        <w:t>HBCD u otpadu</w:t>
      </w:r>
      <w:bookmarkEnd w:id="180"/>
      <w:bookmarkEnd w:id="181"/>
    </w:p>
    <w:p w14:paraId="3C235772" w14:textId="77777777" w:rsidR="002307C2" w:rsidRPr="00C86111" w:rsidRDefault="002307C2" w:rsidP="002307C2">
      <w:pPr>
        <w:rPr>
          <w:lang w:val="sr-Latn-RS"/>
        </w:rPr>
      </w:pPr>
    </w:p>
    <w:p w14:paraId="725C8D07" w14:textId="77777777" w:rsidR="00A0529E" w:rsidRPr="00C86111" w:rsidRDefault="00A0529E" w:rsidP="00A0529E">
      <w:pPr>
        <w:jc w:val="both"/>
        <w:rPr>
          <w:rFonts w:cstheme="minorHAnsi"/>
          <w:iCs/>
          <w:color w:val="000000"/>
          <w:szCs w:val="24"/>
          <w:lang w:val="sr-Latn-RS"/>
        </w:rPr>
      </w:pPr>
      <w:r w:rsidRPr="00C86111">
        <w:rPr>
          <w:rFonts w:cstheme="minorHAnsi"/>
          <w:iCs/>
          <w:color w:val="000000"/>
          <w:szCs w:val="24"/>
          <w:lang w:val="sr-Latn-RS"/>
        </w:rPr>
        <w:t>Selektovani građevinski otpadni materijal (beton, cigle i opeke) odlaže se na za to predviđenim lokacijama, dok se ostatak u koji spadaju i izolacioni materijali od polistirena odlaže zajedno sa komunalnim otpadom.</w:t>
      </w:r>
    </w:p>
    <w:p w14:paraId="639B479E" w14:textId="77777777" w:rsidR="00A0529E" w:rsidRPr="00C86111" w:rsidRDefault="00A0529E" w:rsidP="00A0529E">
      <w:pPr>
        <w:jc w:val="both"/>
        <w:rPr>
          <w:rFonts w:cstheme="minorHAnsi"/>
          <w:color w:val="000000"/>
          <w:szCs w:val="24"/>
          <w:lang w:val="sr-Latn-RS"/>
        </w:rPr>
      </w:pPr>
      <w:r w:rsidRPr="00C86111">
        <w:rPr>
          <w:rFonts w:cstheme="minorHAnsi"/>
          <w:color w:val="000000"/>
          <w:szCs w:val="24"/>
          <w:lang w:val="sr-Latn-RS"/>
        </w:rPr>
        <w:t xml:space="preserve">Literaturni podaci ukazuju na činjenicu da je udio izolacionog materijala u ukupnoj količini građevinskog otpada 1% </w:t>
      </w:r>
      <w:bookmarkStart w:id="182" w:name="_Hlk184404356"/>
      <w:r w:rsidRPr="00C86111">
        <w:rPr>
          <w:rFonts w:cstheme="minorHAnsi"/>
          <w:color w:val="002060"/>
          <w:szCs w:val="24"/>
        </w:rPr>
        <w:t>[6],</w:t>
      </w:r>
      <w:r w:rsidRPr="00C86111">
        <w:rPr>
          <w:rFonts w:cstheme="minorHAnsi"/>
          <w:color w:val="002060"/>
          <w:szCs w:val="24"/>
          <w:lang w:val="sr-Latn-RS"/>
        </w:rPr>
        <w:t xml:space="preserve"> </w:t>
      </w:r>
      <w:bookmarkEnd w:id="182"/>
      <w:r w:rsidRPr="00C86111">
        <w:rPr>
          <w:rFonts w:cstheme="minorHAnsi"/>
          <w:color w:val="000000"/>
          <w:szCs w:val="24"/>
          <w:lang w:val="sr-Latn-RS"/>
        </w:rPr>
        <w:t>što je upotrijebljeno kao osnova za kalkulaciju.</w:t>
      </w:r>
    </w:p>
    <w:p w14:paraId="57175ED3" w14:textId="32DE908C" w:rsidR="00A0529E" w:rsidRPr="00C86111" w:rsidRDefault="00A0529E" w:rsidP="00A0529E">
      <w:pPr>
        <w:jc w:val="both"/>
        <w:rPr>
          <w:rFonts w:cstheme="minorHAnsi"/>
          <w:color w:val="000000"/>
          <w:szCs w:val="24"/>
          <w:lang w:val="sr-Latn-RS"/>
        </w:rPr>
      </w:pPr>
      <w:r w:rsidRPr="00C86111">
        <w:rPr>
          <w:rFonts w:cstheme="minorHAnsi"/>
          <w:color w:val="000000"/>
          <w:szCs w:val="24"/>
          <w:lang w:val="sr-Latn-RS"/>
        </w:rPr>
        <w:t>U Tabeli 6</w:t>
      </w:r>
      <w:r w:rsidR="002307C2" w:rsidRPr="00C86111">
        <w:rPr>
          <w:rFonts w:cstheme="minorHAnsi"/>
          <w:color w:val="000000"/>
          <w:szCs w:val="24"/>
          <w:lang w:val="sr-Latn-RS"/>
        </w:rPr>
        <w:t>5</w:t>
      </w:r>
      <w:r w:rsidRPr="00C86111">
        <w:rPr>
          <w:rFonts w:cstheme="minorHAnsi"/>
          <w:color w:val="000000"/>
          <w:szCs w:val="24"/>
          <w:lang w:val="sr-Latn-RS"/>
        </w:rPr>
        <w:t xml:space="preserve">. prikazani su podaci o količinama generisanog građevinskog otpada (građevinski sektor, uslužne djelatnosti i domaćinstva), kao i procijenjene količine HBCD u ovoj vrsti otpada u Crnoj Gori za period 2017-2023. godina. Podaci su preuzeti od Uprave za statistiku Crne Gore </w:t>
      </w:r>
      <w:r w:rsidRPr="00C86111">
        <w:rPr>
          <w:rFonts w:cstheme="minorHAnsi"/>
          <w:color w:val="002060"/>
          <w:szCs w:val="24"/>
        </w:rPr>
        <w:t>[7].</w:t>
      </w:r>
    </w:p>
    <w:p w14:paraId="63FBF069" w14:textId="77777777" w:rsidR="00CB2BBA" w:rsidRPr="00C86111" w:rsidRDefault="00CB2BBA" w:rsidP="00A0529E">
      <w:pPr>
        <w:jc w:val="both"/>
        <w:rPr>
          <w:rFonts w:cstheme="minorHAnsi"/>
          <w:b/>
          <w:bCs/>
          <w:color w:val="000000"/>
          <w:szCs w:val="24"/>
          <w:lang w:val="sr-Latn-RS"/>
        </w:rPr>
      </w:pPr>
    </w:p>
    <w:p w14:paraId="369DAA1B" w14:textId="2DE5CD26" w:rsidR="00A0529E" w:rsidRPr="00C86111" w:rsidRDefault="00A0529E" w:rsidP="00A0529E">
      <w:pPr>
        <w:jc w:val="both"/>
        <w:rPr>
          <w:rFonts w:cstheme="minorHAnsi"/>
          <w:color w:val="000000"/>
          <w:szCs w:val="24"/>
          <w:lang w:val="sr-Latn-RS"/>
        </w:rPr>
      </w:pPr>
      <w:r w:rsidRPr="00C86111">
        <w:rPr>
          <w:rFonts w:cstheme="minorHAnsi"/>
          <w:b/>
          <w:bCs/>
          <w:color w:val="000000"/>
          <w:szCs w:val="24"/>
          <w:lang w:val="sr-Latn-RS"/>
        </w:rPr>
        <w:t>Tabela 6</w:t>
      </w:r>
      <w:r w:rsidR="002307C2" w:rsidRPr="00C86111">
        <w:rPr>
          <w:rFonts w:cstheme="minorHAnsi"/>
          <w:b/>
          <w:bCs/>
          <w:color w:val="000000"/>
          <w:szCs w:val="24"/>
          <w:lang w:val="sr-Latn-RS"/>
        </w:rPr>
        <w:t>5</w:t>
      </w:r>
      <w:r w:rsidRPr="00C86111">
        <w:rPr>
          <w:rFonts w:cstheme="minorHAnsi"/>
          <w:b/>
          <w:bCs/>
          <w:color w:val="000000"/>
          <w:szCs w:val="24"/>
          <w:lang w:val="sr-Latn-RS"/>
        </w:rPr>
        <w:t>.</w:t>
      </w:r>
      <w:r w:rsidRPr="00C86111">
        <w:rPr>
          <w:rFonts w:cstheme="minorHAnsi"/>
          <w:color w:val="000000"/>
          <w:szCs w:val="24"/>
          <w:lang w:val="sr-Latn-RS"/>
        </w:rPr>
        <w:t xml:space="preserve"> Količine generisanog građevinskog otpada (građevinski sektor, uslužne djelatnosti i domaćinstva) i procijenjene količine HBCD u ovoj vrsti otpada u Crnoj Gori za period                      2017-2023. godina</w:t>
      </w:r>
    </w:p>
    <w:tbl>
      <w:tblPr>
        <w:tblStyle w:val="GridTable5Dark-Accent6"/>
        <w:tblW w:w="0" w:type="auto"/>
        <w:tblLook w:val="04A0" w:firstRow="1" w:lastRow="0" w:firstColumn="1" w:lastColumn="0" w:noHBand="0" w:noVBand="1"/>
      </w:tblPr>
      <w:tblGrid>
        <w:gridCol w:w="3145"/>
        <w:gridCol w:w="3150"/>
        <w:gridCol w:w="3055"/>
      </w:tblGrid>
      <w:tr w:rsidR="00A0529E" w:rsidRPr="00C86111" w14:paraId="03E9CBC3"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993A566" w14:textId="77777777" w:rsidR="00A0529E" w:rsidRPr="00C86111" w:rsidRDefault="00A0529E" w:rsidP="00BC765B">
            <w:pPr>
              <w:jc w:val="both"/>
              <w:rPr>
                <w:rFonts w:cstheme="minorHAnsi"/>
                <w:color w:val="000000"/>
                <w:sz w:val="20"/>
                <w:szCs w:val="20"/>
                <w:lang w:val="sr-Latn-RS"/>
              </w:rPr>
            </w:pPr>
            <w:bookmarkStart w:id="183" w:name="_Hlk184404521"/>
            <w:r w:rsidRPr="00C86111">
              <w:rPr>
                <w:rFonts w:cstheme="minorHAnsi"/>
                <w:color w:val="000000"/>
                <w:sz w:val="20"/>
                <w:szCs w:val="20"/>
                <w:lang w:val="sr-Latn-RS"/>
              </w:rPr>
              <w:t>Godina</w:t>
            </w:r>
          </w:p>
        </w:tc>
        <w:tc>
          <w:tcPr>
            <w:tcW w:w="3150" w:type="dxa"/>
          </w:tcPr>
          <w:p w14:paraId="103D20DC" w14:textId="77777777" w:rsidR="00A0529E" w:rsidRPr="00C86111" w:rsidRDefault="00A0529E" w:rsidP="00BC765B">
            <w:pPr>
              <w:jc w:val="both"/>
              <w:cnfStyle w:val="100000000000" w:firstRow="1" w:lastRow="0" w:firstColumn="0" w:lastColumn="0" w:oddVBand="0" w:evenVBand="0" w:oddHBand="0"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Ukupna količina generisanog građevinskog otpada (t)</w:t>
            </w:r>
          </w:p>
        </w:tc>
        <w:tc>
          <w:tcPr>
            <w:tcW w:w="3055" w:type="dxa"/>
          </w:tcPr>
          <w:p w14:paraId="1422537E" w14:textId="77777777" w:rsidR="00A0529E" w:rsidRPr="00C86111" w:rsidRDefault="00A0529E" w:rsidP="00BC765B">
            <w:pPr>
              <w:jc w:val="both"/>
              <w:cnfStyle w:val="100000000000" w:firstRow="1" w:lastRow="0" w:firstColumn="0" w:lastColumn="0" w:oddVBand="0" w:evenVBand="0" w:oddHBand="0" w:evenHBand="0" w:firstRowFirstColumn="0" w:firstRowLastColumn="0" w:lastRowFirstColumn="0" w:lastRowLastColumn="0"/>
              <w:rPr>
                <w:rFonts w:cstheme="minorHAnsi"/>
                <w:color w:val="000000"/>
                <w:sz w:val="20"/>
                <w:szCs w:val="20"/>
                <w:lang w:val="sr-Latn-RS"/>
              </w:rPr>
            </w:pPr>
            <w:r w:rsidRPr="00C86111">
              <w:rPr>
                <w:rFonts w:cstheme="minorHAnsi"/>
                <w:color w:val="000000"/>
                <w:sz w:val="20"/>
                <w:szCs w:val="20"/>
                <w:lang w:val="sr-Latn-RS"/>
              </w:rPr>
              <w:t>Procijenjena količina HBCD u građevinskom otpadu (t)</w:t>
            </w:r>
          </w:p>
        </w:tc>
      </w:tr>
      <w:tr w:rsidR="00A0529E" w:rsidRPr="00C86111" w14:paraId="60F2E454"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B3ABA27"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2017.</w:t>
            </w:r>
          </w:p>
        </w:tc>
        <w:tc>
          <w:tcPr>
            <w:tcW w:w="3150" w:type="dxa"/>
          </w:tcPr>
          <w:p w14:paraId="57043A7D"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190.952</w:t>
            </w:r>
          </w:p>
        </w:tc>
        <w:tc>
          <w:tcPr>
            <w:tcW w:w="3055" w:type="dxa"/>
          </w:tcPr>
          <w:p w14:paraId="5844C2D2"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sz w:val="20"/>
                <w:szCs w:val="20"/>
              </w:rPr>
              <w:t>1,76</w:t>
            </w:r>
          </w:p>
        </w:tc>
      </w:tr>
      <w:tr w:rsidR="00A0529E" w:rsidRPr="00C86111" w14:paraId="003DF8D4" w14:textId="77777777" w:rsidTr="00BC765B">
        <w:tc>
          <w:tcPr>
            <w:cnfStyle w:val="001000000000" w:firstRow="0" w:lastRow="0" w:firstColumn="1" w:lastColumn="0" w:oddVBand="0" w:evenVBand="0" w:oddHBand="0" w:evenHBand="0" w:firstRowFirstColumn="0" w:firstRowLastColumn="0" w:lastRowFirstColumn="0" w:lastRowLastColumn="0"/>
            <w:tcW w:w="3145" w:type="dxa"/>
          </w:tcPr>
          <w:p w14:paraId="612E55E3"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2018.</w:t>
            </w:r>
          </w:p>
        </w:tc>
        <w:tc>
          <w:tcPr>
            <w:tcW w:w="3150" w:type="dxa"/>
          </w:tcPr>
          <w:p w14:paraId="49A1CA78"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159.300</w:t>
            </w:r>
          </w:p>
        </w:tc>
        <w:tc>
          <w:tcPr>
            <w:tcW w:w="3055" w:type="dxa"/>
          </w:tcPr>
          <w:p w14:paraId="5EE131BD"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86111">
              <w:rPr>
                <w:rFonts w:cstheme="minorHAnsi"/>
                <w:sz w:val="20"/>
                <w:szCs w:val="20"/>
              </w:rPr>
              <w:t>1,99</w:t>
            </w:r>
          </w:p>
        </w:tc>
      </w:tr>
      <w:tr w:rsidR="00A0529E" w:rsidRPr="00C86111" w14:paraId="78CFD50B"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647F9655"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2019.</w:t>
            </w:r>
          </w:p>
        </w:tc>
        <w:tc>
          <w:tcPr>
            <w:tcW w:w="3150" w:type="dxa"/>
          </w:tcPr>
          <w:p w14:paraId="0DB7395D"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165.261</w:t>
            </w:r>
          </w:p>
        </w:tc>
        <w:tc>
          <w:tcPr>
            <w:tcW w:w="3055" w:type="dxa"/>
          </w:tcPr>
          <w:p w14:paraId="492057A9"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sz w:val="20"/>
                <w:szCs w:val="20"/>
              </w:rPr>
              <w:t>2,07</w:t>
            </w:r>
          </w:p>
        </w:tc>
      </w:tr>
      <w:tr w:rsidR="00A0529E" w:rsidRPr="00C86111" w14:paraId="7CBD31AB" w14:textId="77777777" w:rsidTr="00BC765B">
        <w:tc>
          <w:tcPr>
            <w:cnfStyle w:val="001000000000" w:firstRow="0" w:lastRow="0" w:firstColumn="1" w:lastColumn="0" w:oddVBand="0" w:evenVBand="0" w:oddHBand="0" w:evenHBand="0" w:firstRowFirstColumn="0" w:firstRowLastColumn="0" w:lastRowFirstColumn="0" w:lastRowLastColumn="0"/>
            <w:tcW w:w="3145" w:type="dxa"/>
          </w:tcPr>
          <w:p w14:paraId="582D015A"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2020.</w:t>
            </w:r>
          </w:p>
        </w:tc>
        <w:tc>
          <w:tcPr>
            <w:tcW w:w="3150" w:type="dxa"/>
          </w:tcPr>
          <w:p w14:paraId="5199CB5C"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233.543</w:t>
            </w:r>
          </w:p>
        </w:tc>
        <w:tc>
          <w:tcPr>
            <w:tcW w:w="3055" w:type="dxa"/>
          </w:tcPr>
          <w:p w14:paraId="141B7752"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86111">
              <w:rPr>
                <w:rFonts w:cstheme="minorHAnsi"/>
                <w:sz w:val="20"/>
                <w:szCs w:val="20"/>
              </w:rPr>
              <w:t>2,92</w:t>
            </w:r>
          </w:p>
        </w:tc>
      </w:tr>
      <w:tr w:rsidR="00A0529E" w:rsidRPr="00C86111" w14:paraId="383570FD"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012765C3"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2021.</w:t>
            </w:r>
          </w:p>
        </w:tc>
        <w:tc>
          <w:tcPr>
            <w:tcW w:w="3150" w:type="dxa"/>
          </w:tcPr>
          <w:p w14:paraId="5F778809"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446.225</w:t>
            </w:r>
          </w:p>
        </w:tc>
        <w:tc>
          <w:tcPr>
            <w:tcW w:w="3055" w:type="dxa"/>
          </w:tcPr>
          <w:p w14:paraId="07AAA2D5"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sz w:val="20"/>
                <w:szCs w:val="20"/>
              </w:rPr>
              <w:t>5,58</w:t>
            </w:r>
          </w:p>
        </w:tc>
      </w:tr>
      <w:tr w:rsidR="00A0529E" w:rsidRPr="00C86111" w14:paraId="6083C0BF" w14:textId="77777777" w:rsidTr="00BC765B">
        <w:tc>
          <w:tcPr>
            <w:cnfStyle w:val="001000000000" w:firstRow="0" w:lastRow="0" w:firstColumn="1" w:lastColumn="0" w:oddVBand="0" w:evenVBand="0" w:oddHBand="0" w:evenHBand="0" w:firstRowFirstColumn="0" w:firstRowLastColumn="0" w:lastRowFirstColumn="0" w:lastRowLastColumn="0"/>
            <w:tcW w:w="3145" w:type="dxa"/>
          </w:tcPr>
          <w:p w14:paraId="753C68CF"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2022.</w:t>
            </w:r>
          </w:p>
        </w:tc>
        <w:tc>
          <w:tcPr>
            <w:tcW w:w="3150" w:type="dxa"/>
          </w:tcPr>
          <w:p w14:paraId="298DB14E"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419.491</w:t>
            </w:r>
          </w:p>
        </w:tc>
        <w:tc>
          <w:tcPr>
            <w:tcW w:w="3055" w:type="dxa"/>
          </w:tcPr>
          <w:p w14:paraId="3BD7CA96"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C86111">
              <w:rPr>
                <w:rFonts w:cstheme="minorHAnsi"/>
                <w:sz w:val="20"/>
                <w:szCs w:val="20"/>
              </w:rPr>
              <w:t>5,24</w:t>
            </w:r>
          </w:p>
        </w:tc>
      </w:tr>
      <w:tr w:rsidR="00A0529E" w:rsidRPr="00C86111" w14:paraId="70AD4D74"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9863A93"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2023.</w:t>
            </w:r>
          </w:p>
        </w:tc>
        <w:tc>
          <w:tcPr>
            <w:tcW w:w="3150" w:type="dxa"/>
          </w:tcPr>
          <w:p w14:paraId="6D81F569"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color w:val="000000"/>
                <w:sz w:val="20"/>
                <w:szCs w:val="20"/>
              </w:rPr>
              <w:t>218.861</w:t>
            </w:r>
          </w:p>
        </w:tc>
        <w:tc>
          <w:tcPr>
            <w:tcW w:w="3055" w:type="dxa"/>
          </w:tcPr>
          <w:p w14:paraId="2DB0BF72"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C86111">
              <w:rPr>
                <w:rFonts w:cstheme="minorHAnsi"/>
                <w:sz w:val="20"/>
                <w:szCs w:val="20"/>
              </w:rPr>
              <w:t>2,74</w:t>
            </w:r>
          </w:p>
        </w:tc>
      </w:tr>
      <w:tr w:rsidR="00A0529E" w:rsidRPr="00C86111" w14:paraId="0EE398EF" w14:textId="77777777" w:rsidTr="00BC765B">
        <w:tc>
          <w:tcPr>
            <w:cnfStyle w:val="001000000000" w:firstRow="0" w:lastRow="0" w:firstColumn="1" w:lastColumn="0" w:oddVBand="0" w:evenVBand="0" w:oddHBand="0" w:evenHBand="0" w:firstRowFirstColumn="0" w:firstRowLastColumn="0" w:lastRowFirstColumn="0" w:lastRowLastColumn="0"/>
            <w:tcW w:w="3145" w:type="dxa"/>
          </w:tcPr>
          <w:p w14:paraId="43816190"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UKUPNO</w:t>
            </w:r>
          </w:p>
        </w:tc>
        <w:tc>
          <w:tcPr>
            <w:tcW w:w="3150" w:type="dxa"/>
          </w:tcPr>
          <w:p w14:paraId="5588A60E"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b/>
                <w:bCs/>
                <w:color w:val="000000"/>
                <w:sz w:val="20"/>
                <w:szCs w:val="20"/>
              </w:rPr>
            </w:pPr>
            <w:r w:rsidRPr="00C86111">
              <w:rPr>
                <w:rFonts w:cstheme="minorHAnsi"/>
                <w:b/>
                <w:bCs/>
                <w:color w:val="000000"/>
                <w:sz w:val="20"/>
                <w:szCs w:val="20"/>
              </w:rPr>
              <w:t>1.783.632</w:t>
            </w:r>
          </w:p>
        </w:tc>
        <w:tc>
          <w:tcPr>
            <w:tcW w:w="3055" w:type="dxa"/>
          </w:tcPr>
          <w:p w14:paraId="765751A2"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b/>
                <w:bCs/>
                <w:color w:val="000000"/>
                <w:sz w:val="20"/>
                <w:szCs w:val="20"/>
              </w:rPr>
            </w:pPr>
            <w:r w:rsidRPr="00C86111">
              <w:rPr>
                <w:rFonts w:cstheme="minorHAnsi"/>
                <w:b/>
                <w:bCs/>
                <w:sz w:val="20"/>
                <w:szCs w:val="20"/>
              </w:rPr>
              <w:t>22,30</w:t>
            </w:r>
          </w:p>
        </w:tc>
      </w:tr>
      <w:tr w:rsidR="00A0529E" w:rsidRPr="00C86111" w14:paraId="6247B4C1"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C6EBDA6" w14:textId="77777777" w:rsidR="00A0529E" w:rsidRPr="00C86111" w:rsidRDefault="00A0529E" w:rsidP="00BC765B">
            <w:pPr>
              <w:jc w:val="both"/>
              <w:rPr>
                <w:rFonts w:cstheme="minorHAnsi"/>
                <w:color w:val="000000"/>
                <w:sz w:val="20"/>
                <w:szCs w:val="20"/>
                <w:lang w:val="sr-Latn-RS"/>
              </w:rPr>
            </w:pPr>
            <w:r w:rsidRPr="00C86111">
              <w:rPr>
                <w:rFonts w:cstheme="minorHAnsi"/>
                <w:color w:val="000000"/>
                <w:sz w:val="20"/>
                <w:szCs w:val="20"/>
                <w:lang w:val="sr-Latn-RS"/>
              </w:rPr>
              <w:t>Prosječna godišnja količina</w:t>
            </w:r>
          </w:p>
        </w:tc>
        <w:tc>
          <w:tcPr>
            <w:tcW w:w="3150" w:type="dxa"/>
          </w:tcPr>
          <w:p w14:paraId="4F6E6551"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b/>
                <w:bCs/>
                <w:color w:val="000000"/>
                <w:sz w:val="20"/>
                <w:szCs w:val="20"/>
              </w:rPr>
            </w:pPr>
            <w:r w:rsidRPr="00C86111">
              <w:rPr>
                <w:rFonts w:cstheme="minorHAnsi"/>
                <w:b/>
                <w:bCs/>
                <w:color w:val="000000"/>
                <w:sz w:val="20"/>
                <w:szCs w:val="20"/>
              </w:rPr>
              <w:t>254.805</w:t>
            </w:r>
          </w:p>
        </w:tc>
        <w:tc>
          <w:tcPr>
            <w:tcW w:w="3055" w:type="dxa"/>
          </w:tcPr>
          <w:p w14:paraId="5931B05D"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b/>
                <w:bCs/>
                <w:color w:val="000000"/>
                <w:sz w:val="20"/>
                <w:szCs w:val="20"/>
              </w:rPr>
            </w:pPr>
            <w:r w:rsidRPr="00C86111">
              <w:rPr>
                <w:rFonts w:cstheme="minorHAnsi"/>
                <w:b/>
                <w:bCs/>
                <w:sz w:val="20"/>
                <w:szCs w:val="20"/>
              </w:rPr>
              <w:t>5,57</w:t>
            </w:r>
          </w:p>
        </w:tc>
      </w:tr>
    </w:tbl>
    <w:bookmarkEnd w:id="183"/>
    <w:p w14:paraId="12AF889C" w14:textId="26C184AD" w:rsidR="00A0529E" w:rsidRPr="00C86111" w:rsidRDefault="00A0529E" w:rsidP="00A0529E">
      <w:pPr>
        <w:jc w:val="both"/>
        <w:rPr>
          <w:rFonts w:cstheme="minorHAnsi"/>
          <w:noProof/>
          <w:szCs w:val="24"/>
        </w:rPr>
      </w:pPr>
      <w:r w:rsidRPr="00C86111">
        <w:rPr>
          <w:rFonts w:cstheme="minorHAnsi"/>
          <w:noProof/>
          <w:szCs w:val="24"/>
        </w:rPr>
        <w:lastRenderedPageBreak/>
        <w:t xml:space="preserve">Na </w:t>
      </w:r>
      <w:r w:rsidR="00CB2BBA" w:rsidRPr="00C86111">
        <w:rPr>
          <w:rFonts w:cstheme="minorHAnsi"/>
          <w:noProof/>
          <w:szCs w:val="24"/>
        </w:rPr>
        <w:t>grafiku</w:t>
      </w:r>
      <w:r w:rsidRPr="00C86111">
        <w:rPr>
          <w:rFonts w:cstheme="minorHAnsi"/>
          <w:noProof/>
          <w:szCs w:val="24"/>
        </w:rPr>
        <w:t xml:space="preserve"> </w:t>
      </w:r>
      <w:r w:rsidR="00CB2BBA" w:rsidRPr="00C86111">
        <w:rPr>
          <w:rFonts w:cstheme="minorHAnsi"/>
          <w:noProof/>
          <w:szCs w:val="24"/>
        </w:rPr>
        <w:t>2</w:t>
      </w:r>
      <w:r w:rsidR="00547278">
        <w:rPr>
          <w:rFonts w:cstheme="minorHAnsi"/>
          <w:noProof/>
          <w:szCs w:val="24"/>
        </w:rPr>
        <w:t>8</w:t>
      </w:r>
      <w:r w:rsidRPr="00C86111">
        <w:rPr>
          <w:rFonts w:cstheme="minorHAnsi"/>
          <w:noProof/>
          <w:szCs w:val="24"/>
        </w:rPr>
        <w:t xml:space="preserve"> dat je prikaz količina građevinskog otpada i procjenjenih količina HBCD u otpadu u Crnoj Gori za period 2011-2023. godina.</w:t>
      </w:r>
    </w:p>
    <w:p w14:paraId="73187E8B" w14:textId="77777777" w:rsidR="00A0529E" w:rsidRPr="00C86111" w:rsidRDefault="00A0529E" w:rsidP="00A0529E">
      <w:pPr>
        <w:jc w:val="both"/>
        <w:rPr>
          <w:rFonts w:cstheme="minorHAnsi"/>
          <w:i/>
          <w:color w:val="000000"/>
          <w:szCs w:val="24"/>
          <w:lang w:val="sr-Latn-RS"/>
        </w:rPr>
      </w:pPr>
      <w:r w:rsidRPr="00C86111">
        <w:rPr>
          <w:rFonts w:cstheme="minorHAnsi"/>
          <w:noProof/>
          <w:szCs w:val="24"/>
        </w:rPr>
        <w:drawing>
          <wp:inline distT="0" distB="0" distL="0" distR="0" wp14:anchorId="75269AD3" wp14:editId="1B725B83">
            <wp:extent cx="4933315" cy="2165350"/>
            <wp:effectExtent l="0" t="0" r="635" b="6350"/>
            <wp:docPr id="2081865015"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DBB8B57" w14:textId="0039D84E" w:rsidR="00A0529E" w:rsidRPr="00C86111" w:rsidRDefault="00CB2BBA" w:rsidP="00A0529E">
      <w:pPr>
        <w:jc w:val="both"/>
        <w:rPr>
          <w:rFonts w:cstheme="minorHAnsi"/>
          <w:iCs/>
          <w:szCs w:val="24"/>
          <w:lang w:val="sr-Latn-ME"/>
        </w:rPr>
      </w:pPr>
      <w:r w:rsidRPr="00C86111">
        <w:rPr>
          <w:rFonts w:cstheme="minorHAnsi"/>
          <w:b/>
          <w:bCs/>
          <w:iCs/>
          <w:color w:val="000000"/>
          <w:szCs w:val="24"/>
          <w:lang w:val="sr-Latn-RS"/>
        </w:rPr>
        <w:t>Grafik 2</w:t>
      </w:r>
      <w:r w:rsidR="00547278">
        <w:rPr>
          <w:rFonts w:cstheme="minorHAnsi"/>
          <w:b/>
          <w:bCs/>
          <w:iCs/>
          <w:color w:val="000000"/>
          <w:szCs w:val="24"/>
          <w:lang w:val="sr-Latn-RS"/>
        </w:rPr>
        <w:t>8</w:t>
      </w:r>
      <w:r w:rsidR="00A0529E" w:rsidRPr="00C86111">
        <w:rPr>
          <w:rFonts w:cstheme="minorHAnsi"/>
          <w:b/>
          <w:bCs/>
          <w:iCs/>
          <w:color w:val="000000"/>
          <w:szCs w:val="24"/>
          <w:lang w:val="sr-Latn-RS"/>
        </w:rPr>
        <w:t>.</w:t>
      </w:r>
      <w:r w:rsidR="00A0529E" w:rsidRPr="00C86111">
        <w:rPr>
          <w:rFonts w:cstheme="minorHAnsi"/>
          <w:iCs/>
          <w:color w:val="000000"/>
          <w:szCs w:val="24"/>
          <w:lang w:val="sr-Latn-RS"/>
        </w:rPr>
        <w:t xml:space="preserve"> Količine građevinskog otpada i procjenjenih količina HBCD u otpadu u Crnoj Gori </w:t>
      </w:r>
      <w:r w:rsidR="00A0529E" w:rsidRPr="00C86111">
        <w:rPr>
          <w:rFonts w:cstheme="minorHAnsi"/>
          <w:iCs/>
          <w:szCs w:val="24"/>
          <w:lang w:val="sr-Latn-ME"/>
        </w:rPr>
        <w:t xml:space="preserve">za </w:t>
      </w:r>
      <w:bookmarkStart w:id="184" w:name="_Hlk184405105"/>
      <w:r w:rsidR="00A0529E" w:rsidRPr="00C86111">
        <w:rPr>
          <w:rFonts w:cstheme="minorHAnsi"/>
          <w:iCs/>
          <w:szCs w:val="24"/>
          <w:lang w:val="sr-Latn-ME"/>
        </w:rPr>
        <w:t xml:space="preserve">periode 2011-2023. godina </w:t>
      </w:r>
    </w:p>
    <w:p w14:paraId="07F9C90D" w14:textId="77777777" w:rsidR="00F20120" w:rsidRPr="00C86111" w:rsidRDefault="00F20120" w:rsidP="00A0529E">
      <w:pPr>
        <w:jc w:val="both"/>
        <w:rPr>
          <w:rFonts w:cstheme="minorHAnsi"/>
          <w:iCs/>
          <w:szCs w:val="24"/>
          <w:lang w:val="sr-Latn-ME"/>
        </w:rPr>
      </w:pPr>
    </w:p>
    <w:p w14:paraId="6EDD515C" w14:textId="1C9F4099" w:rsidR="00A0529E" w:rsidRPr="00C86111" w:rsidRDefault="00CB2BBA" w:rsidP="00A0529E">
      <w:pPr>
        <w:jc w:val="both"/>
        <w:rPr>
          <w:rFonts w:cstheme="minorHAnsi"/>
          <w:szCs w:val="24"/>
          <w:lang w:val="sr-Latn-ME"/>
        </w:rPr>
      </w:pPr>
      <w:r w:rsidRPr="00C86111">
        <w:rPr>
          <w:rFonts w:cstheme="minorHAnsi"/>
          <w:szCs w:val="24"/>
          <w:lang w:val="sr-Latn-ME"/>
        </w:rPr>
        <w:t>Grafik 2</w:t>
      </w:r>
      <w:r w:rsidR="00547278">
        <w:rPr>
          <w:rFonts w:cstheme="minorHAnsi"/>
          <w:szCs w:val="24"/>
          <w:lang w:val="sr-Latn-ME"/>
        </w:rPr>
        <w:t>9</w:t>
      </w:r>
      <w:r w:rsidR="00A0529E" w:rsidRPr="00C86111">
        <w:rPr>
          <w:rFonts w:cstheme="minorHAnsi"/>
          <w:szCs w:val="24"/>
          <w:lang w:val="sr-Latn-ME"/>
        </w:rPr>
        <w:t xml:space="preserve"> prikazuje </w:t>
      </w:r>
      <w:r w:rsidR="00A0529E" w:rsidRPr="00C86111">
        <w:rPr>
          <w:rFonts w:cstheme="minorHAnsi"/>
          <w:color w:val="000000"/>
          <w:szCs w:val="24"/>
          <w:lang w:val="sr-Latn-RS"/>
        </w:rPr>
        <w:t xml:space="preserve">količine građevinskog otpada u Crnoj Gori </w:t>
      </w:r>
      <w:r w:rsidR="00A0529E" w:rsidRPr="00C86111">
        <w:rPr>
          <w:rFonts w:cstheme="minorHAnsi"/>
          <w:szCs w:val="24"/>
          <w:lang w:val="sr-Latn-ME"/>
        </w:rPr>
        <w:t>za period 2011-2023. godina.</w:t>
      </w:r>
    </w:p>
    <w:p w14:paraId="3B871E93" w14:textId="77777777" w:rsidR="00A0529E" w:rsidRPr="00C86111" w:rsidRDefault="00A0529E" w:rsidP="00A0529E">
      <w:pPr>
        <w:jc w:val="both"/>
        <w:rPr>
          <w:rFonts w:cstheme="minorHAnsi"/>
          <w:szCs w:val="24"/>
          <w:lang w:val="sr-Latn-ME"/>
        </w:rPr>
      </w:pPr>
    </w:p>
    <w:p w14:paraId="49ACB376" w14:textId="77777777" w:rsidR="00A0529E" w:rsidRPr="00C86111" w:rsidRDefault="00A0529E" w:rsidP="00A0529E">
      <w:pPr>
        <w:jc w:val="both"/>
        <w:rPr>
          <w:rFonts w:cstheme="minorHAnsi"/>
          <w:i/>
          <w:iCs/>
          <w:szCs w:val="24"/>
          <w:lang w:val="sr-Latn-ME"/>
        </w:rPr>
      </w:pPr>
      <w:r w:rsidRPr="00C86111">
        <w:rPr>
          <w:rFonts w:cstheme="minorHAnsi"/>
          <w:noProof/>
          <w:szCs w:val="24"/>
        </w:rPr>
        <w:drawing>
          <wp:inline distT="0" distB="0" distL="0" distR="0" wp14:anchorId="77401CB0" wp14:editId="29FA1090">
            <wp:extent cx="5032375" cy="2139950"/>
            <wp:effectExtent l="0" t="0" r="15875" b="12700"/>
            <wp:docPr id="1073741832"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bookmarkEnd w:id="184"/>
    <w:p w14:paraId="016D8957" w14:textId="102F2016" w:rsidR="00A0529E" w:rsidRPr="00C86111" w:rsidRDefault="00CB2BBA" w:rsidP="00A0529E">
      <w:pPr>
        <w:jc w:val="both"/>
        <w:rPr>
          <w:rFonts w:cstheme="minorHAnsi"/>
          <w:iCs/>
          <w:szCs w:val="24"/>
          <w:lang w:val="sr-Latn-ME"/>
        </w:rPr>
      </w:pPr>
      <w:r w:rsidRPr="00C86111">
        <w:rPr>
          <w:rFonts w:cstheme="minorHAnsi"/>
          <w:b/>
          <w:bCs/>
          <w:iCs/>
          <w:color w:val="000000"/>
          <w:szCs w:val="24"/>
          <w:lang w:val="sr-Latn-RS"/>
        </w:rPr>
        <w:t>Grafik 2</w:t>
      </w:r>
      <w:r w:rsidR="00547278">
        <w:rPr>
          <w:rFonts w:cstheme="minorHAnsi"/>
          <w:b/>
          <w:bCs/>
          <w:iCs/>
          <w:color w:val="000000"/>
          <w:szCs w:val="24"/>
          <w:lang w:val="sr-Latn-RS"/>
        </w:rPr>
        <w:t>9</w:t>
      </w:r>
      <w:r w:rsidR="00A0529E" w:rsidRPr="00C86111">
        <w:rPr>
          <w:rFonts w:cstheme="minorHAnsi"/>
          <w:b/>
          <w:bCs/>
          <w:iCs/>
          <w:color w:val="000000"/>
          <w:szCs w:val="24"/>
          <w:lang w:val="sr-Latn-RS"/>
        </w:rPr>
        <w:t>.</w:t>
      </w:r>
      <w:r w:rsidR="00A0529E" w:rsidRPr="00C86111">
        <w:rPr>
          <w:rFonts w:cstheme="minorHAnsi"/>
          <w:iCs/>
          <w:color w:val="000000"/>
          <w:szCs w:val="24"/>
          <w:lang w:val="sr-Latn-RS"/>
        </w:rPr>
        <w:t xml:space="preserve"> Količine građevinskog otpada u Crnoj Gori </w:t>
      </w:r>
      <w:r w:rsidR="00A0529E" w:rsidRPr="00C86111">
        <w:rPr>
          <w:rFonts w:cstheme="minorHAnsi"/>
          <w:iCs/>
          <w:szCs w:val="24"/>
          <w:lang w:val="sr-Latn-ME"/>
        </w:rPr>
        <w:t xml:space="preserve">za period 2011-2023. godina </w:t>
      </w:r>
    </w:p>
    <w:p w14:paraId="623A8F6B" w14:textId="77777777" w:rsidR="00A0529E" w:rsidRPr="00C86111" w:rsidRDefault="00A0529E" w:rsidP="00A0529E">
      <w:pPr>
        <w:jc w:val="both"/>
        <w:rPr>
          <w:rFonts w:cstheme="minorHAnsi"/>
          <w:noProof/>
          <w:szCs w:val="24"/>
        </w:rPr>
      </w:pPr>
    </w:p>
    <w:p w14:paraId="7B9CDA47" w14:textId="59B1944E" w:rsidR="00A0529E" w:rsidRPr="00C86111" w:rsidRDefault="00A0529E" w:rsidP="00A0529E">
      <w:pPr>
        <w:jc w:val="both"/>
        <w:rPr>
          <w:rFonts w:cstheme="minorHAnsi"/>
          <w:noProof/>
          <w:szCs w:val="24"/>
        </w:rPr>
      </w:pPr>
      <w:r w:rsidRPr="00C86111">
        <w:rPr>
          <w:rFonts w:cstheme="minorHAnsi"/>
          <w:noProof/>
          <w:szCs w:val="24"/>
        </w:rPr>
        <w:t xml:space="preserve">Na </w:t>
      </w:r>
      <w:r w:rsidR="00CB2BBA" w:rsidRPr="00C86111">
        <w:rPr>
          <w:rFonts w:cstheme="minorHAnsi"/>
          <w:noProof/>
          <w:szCs w:val="24"/>
        </w:rPr>
        <w:t xml:space="preserve">grafiku </w:t>
      </w:r>
      <w:r w:rsidR="00547278">
        <w:rPr>
          <w:rFonts w:cstheme="minorHAnsi"/>
          <w:noProof/>
          <w:szCs w:val="24"/>
        </w:rPr>
        <w:t>30</w:t>
      </w:r>
      <w:r w:rsidR="00CB2BBA" w:rsidRPr="00C86111">
        <w:rPr>
          <w:rFonts w:cstheme="minorHAnsi"/>
          <w:noProof/>
          <w:szCs w:val="24"/>
        </w:rPr>
        <w:t>.</w:t>
      </w:r>
      <w:r w:rsidRPr="00C86111">
        <w:rPr>
          <w:rFonts w:cstheme="minorHAnsi"/>
          <w:noProof/>
          <w:szCs w:val="24"/>
        </w:rPr>
        <w:t xml:space="preserve"> dat je prikaz procjenjenih količina HBCD u otpadu u Crnoj Gori za period 2011-2023. godina.</w:t>
      </w:r>
    </w:p>
    <w:p w14:paraId="4B6EDC5D" w14:textId="77777777" w:rsidR="00A0529E" w:rsidRPr="00C86111" w:rsidRDefault="00A0529E" w:rsidP="00A0529E">
      <w:pPr>
        <w:jc w:val="both"/>
        <w:rPr>
          <w:rFonts w:cstheme="minorHAnsi"/>
          <w:iCs/>
          <w:color w:val="000000"/>
          <w:szCs w:val="24"/>
          <w:lang w:val="sr-Latn-RS"/>
        </w:rPr>
      </w:pPr>
    </w:p>
    <w:p w14:paraId="7708BE50" w14:textId="77777777" w:rsidR="00A0529E" w:rsidRPr="00C86111" w:rsidRDefault="00A0529E" w:rsidP="00A0529E">
      <w:pPr>
        <w:jc w:val="both"/>
        <w:rPr>
          <w:rFonts w:cstheme="minorHAnsi"/>
          <w:i/>
          <w:color w:val="000000"/>
          <w:szCs w:val="24"/>
          <w:lang w:val="sr-Latn-RS"/>
        </w:rPr>
      </w:pPr>
      <w:r w:rsidRPr="00C86111">
        <w:rPr>
          <w:rFonts w:cstheme="minorHAnsi"/>
          <w:noProof/>
          <w:szCs w:val="24"/>
        </w:rPr>
        <w:lastRenderedPageBreak/>
        <w:drawing>
          <wp:inline distT="0" distB="0" distL="0" distR="0" wp14:anchorId="28045109" wp14:editId="62AFD2C7">
            <wp:extent cx="5351145" cy="2298700"/>
            <wp:effectExtent l="0" t="0" r="1905" b="6350"/>
            <wp:docPr id="216069054" name="Chart 1">
              <a:extLst xmlns:a="http://schemas.openxmlformats.org/drawingml/2006/main">
                <a:ext uri="{FF2B5EF4-FFF2-40B4-BE49-F238E27FC236}">
                  <a16:creationId xmlns:a16="http://schemas.microsoft.com/office/drawing/2014/main" id="{CAA1D6D8-8181-748E-AFDA-F727CA7A8E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579FDCC" w14:textId="0103BD44" w:rsidR="00A0529E" w:rsidRPr="00C86111" w:rsidRDefault="00CB2BBA" w:rsidP="00A0529E">
      <w:pPr>
        <w:jc w:val="both"/>
        <w:rPr>
          <w:rFonts w:cstheme="minorHAnsi"/>
          <w:iCs/>
          <w:szCs w:val="24"/>
          <w:lang w:val="sr-Latn-ME"/>
        </w:rPr>
      </w:pPr>
      <w:r w:rsidRPr="00C86111">
        <w:rPr>
          <w:rFonts w:cstheme="minorHAnsi"/>
          <w:b/>
          <w:bCs/>
          <w:iCs/>
          <w:color w:val="000000"/>
          <w:szCs w:val="24"/>
          <w:lang w:val="sr-Latn-RS"/>
        </w:rPr>
        <w:t xml:space="preserve">Grafik </w:t>
      </w:r>
      <w:r w:rsidR="00547278">
        <w:rPr>
          <w:rFonts w:cstheme="minorHAnsi"/>
          <w:b/>
          <w:bCs/>
          <w:iCs/>
          <w:color w:val="000000"/>
          <w:szCs w:val="24"/>
          <w:lang w:val="sr-Latn-RS"/>
        </w:rPr>
        <w:t>30</w:t>
      </w:r>
      <w:r w:rsidRPr="00C86111">
        <w:rPr>
          <w:rFonts w:cstheme="minorHAnsi"/>
          <w:b/>
          <w:bCs/>
          <w:iCs/>
          <w:color w:val="000000"/>
          <w:szCs w:val="24"/>
          <w:lang w:val="sr-Latn-RS"/>
        </w:rPr>
        <w:t>.</w:t>
      </w:r>
      <w:r w:rsidR="00A0529E" w:rsidRPr="00C86111">
        <w:rPr>
          <w:rFonts w:cstheme="minorHAnsi"/>
          <w:iCs/>
          <w:color w:val="000000"/>
          <w:szCs w:val="24"/>
          <w:lang w:val="sr-Latn-RS"/>
        </w:rPr>
        <w:t xml:space="preserve"> Količine HBCD iz građevinskog otpada u Crnoj Gori </w:t>
      </w:r>
      <w:r w:rsidR="00A0529E" w:rsidRPr="00C86111">
        <w:rPr>
          <w:rFonts w:cstheme="minorHAnsi"/>
          <w:iCs/>
          <w:szCs w:val="24"/>
          <w:lang w:val="sr-Latn-ME"/>
        </w:rPr>
        <w:t xml:space="preserve">za period 2011-2023. godina </w:t>
      </w:r>
    </w:p>
    <w:p w14:paraId="540A42F7" w14:textId="77777777" w:rsidR="00A0529E" w:rsidRPr="00C86111" w:rsidRDefault="00A0529E" w:rsidP="00A0529E">
      <w:pPr>
        <w:jc w:val="both"/>
        <w:rPr>
          <w:rFonts w:cstheme="minorHAnsi"/>
          <w:iCs/>
          <w:color w:val="000000"/>
          <w:szCs w:val="24"/>
          <w:lang w:val="sr-Latn-RS"/>
        </w:rPr>
      </w:pPr>
    </w:p>
    <w:p w14:paraId="28B7DEFD" w14:textId="2E35A8AE" w:rsidR="00A0529E" w:rsidRPr="00C86111" w:rsidRDefault="00A0529E" w:rsidP="00A0529E">
      <w:pPr>
        <w:jc w:val="both"/>
        <w:rPr>
          <w:rFonts w:cstheme="minorHAnsi"/>
          <w:iCs/>
          <w:color w:val="000000"/>
          <w:szCs w:val="24"/>
          <w:lang w:val="sr-Latn-RS"/>
        </w:rPr>
      </w:pPr>
      <w:r w:rsidRPr="00C86111">
        <w:rPr>
          <w:rFonts w:cstheme="minorHAnsi"/>
          <w:iCs/>
          <w:color w:val="000000"/>
          <w:szCs w:val="24"/>
          <w:lang w:val="sr-Latn-RS"/>
        </w:rPr>
        <w:t xml:space="preserve">U Tabeli </w:t>
      </w:r>
      <w:r w:rsidR="00862B9D" w:rsidRPr="00C86111">
        <w:rPr>
          <w:rFonts w:cstheme="minorHAnsi"/>
          <w:iCs/>
          <w:color w:val="000000"/>
          <w:szCs w:val="24"/>
          <w:lang w:val="sr-Latn-RS"/>
        </w:rPr>
        <w:t>66</w:t>
      </w:r>
      <w:r w:rsidRPr="00C86111">
        <w:rPr>
          <w:rFonts w:cstheme="minorHAnsi"/>
          <w:iCs/>
          <w:color w:val="000000"/>
          <w:szCs w:val="24"/>
          <w:lang w:val="sr-Latn-RS"/>
        </w:rPr>
        <w:t xml:space="preserve">. i na </w:t>
      </w:r>
      <w:r w:rsidR="00862B9D" w:rsidRPr="00C86111">
        <w:rPr>
          <w:rFonts w:cstheme="minorHAnsi"/>
          <w:iCs/>
          <w:color w:val="000000"/>
          <w:szCs w:val="24"/>
          <w:lang w:val="sr-Latn-RS"/>
        </w:rPr>
        <w:t xml:space="preserve">grafiku </w:t>
      </w:r>
      <w:r w:rsidR="00547278">
        <w:rPr>
          <w:rFonts w:cstheme="minorHAnsi"/>
          <w:iCs/>
          <w:color w:val="000000"/>
          <w:szCs w:val="24"/>
          <w:lang w:val="sr-Latn-RS"/>
        </w:rPr>
        <w:t>31</w:t>
      </w:r>
      <w:r w:rsidRPr="00C86111">
        <w:rPr>
          <w:rFonts w:cstheme="minorHAnsi"/>
          <w:iCs/>
          <w:color w:val="000000"/>
          <w:szCs w:val="24"/>
          <w:lang w:val="sr-Latn-RS"/>
        </w:rPr>
        <w:t xml:space="preserve"> prikazan je trend procijenjenih količina HBCD iz otpada za periode 2007-2016. godina i 2017-2023. godina. Zaključuje se da u ovom slučaju posotoji blaži tend uvećanja količine HBCD.</w:t>
      </w:r>
    </w:p>
    <w:p w14:paraId="7CB36C72" w14:textId="77777777" w:rsidR="00862B9D" w:rsidRPr="00C86111" w:rsidRDefault="00862B9D" w:rsidP="00A0529E">
      <w:pPr>
        <w:jc w:val="both"/>
        <w:rPr>
          <w:rFonts w:cstheme="minorHAnsi"/>
          <w:iCs/>
          <w:color w:val="000000"/>
          <w:szCs w:val="24"/>
          <w:lang w:val="sr-Latn-RS"/>
        </w:rPr>
      </w:pPr>
    </w:p>
    <w:p w14:paraId="30F260E9" w14:textId="36FDA305" w:rsidR="00A0529E" w:rsidRPr="00C86111" w:rsidRDefault="00A0529E" w:rsidP="00A0529E">
      <w:pPr>
        <w:jc w:val="both"/>
        <w:rPr>
          <w:rFonts w:cstheme="minorHAnsi"/>
          <w:iCs/>
          <w:szCs w:val="24"/>
          <w:lang w:val="sr-Latn-ME"/>
        </w:rPr>
      </w:pPr>
      <w:r w:rsidRPr="00C86111">
        <w:rPr>
          <w:rFonts w:cstheme="minorHAnsi"/>
          <w:b/>
          <w:bCs/>
          <w:iCs/>
          <w:color w:val="000000"/>
          <w:szCs w:val="24"/>
          <w:lang w:val="sr-Latn-RS"/>
        </w:rPr>
        <w:t xml:space="preserve">Tabela </w:t>
      </w:r>
      <w:r w:rsidR="00862B9D" w:rsidRPr="00C86111">
        <w:rPr>
          <w:rFonts w:cstheme="minorHAnsi"/>
          <w:b/>
          <w:bCs/>
          <w:iCs/>
          <w:color w:val="000000"/>
          <w:szCs w:val="24"/>
          <w:lang w:val="sr-Latn-RS"/>
        </w:rPr>
        <w:t>66</w:t>
      </w:r>
      <w:r w:rsidRPr="00C86111">
        <w:rPr>
          <w:rFonts w:cstheme="minorHAnsi"/>
          <w:b/>
          <w:bCs/>
          <w:iCs/>
          <w:color w:val="000000"/>
          <w:szCs w:val="24"/>
          <w:lang w:val="sr-Latn-RS"/>
        </w:rPr>
        <w:t>.</w:t>
      </w:r>
      <w:r w:rsidRPr="00C86111">
        <w:rPr>
          <w:rFonts w:cstheme="minorHAnsi"/>
          <w:iCs/>
          <w:color w:val="000000"/>
          <w:szCs w:val="24"/>
          <w:lang w:val="sr-Latn-RS"/>
        </w:rPr>
        <w:t xml:space="preserve"> Trend procjenjenih količina HBCD u otpadu u Crnoj Gori </w:t>
      </w:r>
      <w:r w:rsidRPr="00C86111">
        <w:rPr>
          <w:rFonts w:cstheme="minorHAnsi"/>
          <w:iCs/>
          <w:szCs w:val="24"/>
          <w:lang w:val="sr-Latn-ME"/>
        </w:rPr>
        <w:t xml:space="preserve">za periode 2007-2016. godina i 2017-2023. godina </w:t>
      </w:r>
    </w:p>
    <w:p w14:paraId="5D7C8BAE" w14:textId="77777777" w:rsidR="00A0529E" w:rsidRPr="00C86111" w:rsidRDefault="00A0529E" w:rsidP="00A0529E">
      <w:pPr>
        <w:jc w:val="both"/>
        <w:rPr>
          <w:rFonts w:cstheme="minorHAnsi"/>
          <w:i/>
          <w:iCs/>
          <w:szCs w:val="24"/>
          <w:lang w:val="sr-Latn-ME"/>
        </w:rPr>
      </w:pPr>
    </w:p>
    <w:tbl>
      <w:tblPr>
        <w:tblStyle w:val="GridTable5Dark-Accent6"/>
        <w:tblW w:w="0" w:type="auto"/>
        <w:tblLook w:val="04A0" w:firstRow="1" w:lastRow="0" w:firstColumn="1" w:lastColumn="0" w:noHBand="0" w:noVBand="1"/>
      </w:tblPr>
      <w:tblGrid>
        <w:gridCol w:w="4675"/>
        <w:gridCol w:w="2340"/>
        <w:gridCol w:w="2335"/>
      </w:tblGrid>
      <w:tr w:rsidR="00A0529E" w:rsidRPr="00C86111" w14:paraId="28A59EE8"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vMerge w:val="restart"/>
          </w:tcPr>
          <w:p w14:paraId="0E078587" w14:textId="77777777" w:rsidR="00A0529E" w:rsidRPr="00C86111" w:rsidRDefault="00A0529E" w:rsidP="00BC765B">
            <w:pPr>
              <w:jc w:val="both"/>
              <w:rPr>
                <w:rFonts w:cstheme="minorHAnsi"/>
                <w:sz w:val="20"/>
                <w:szCs w:val="20"/>
                <w:lang w:val="sr-Latn-ME"/>
              </w:rPr>
            </w:pPr>
          </w:p>
        </w:tc>
        <w:tc>
          <w:tcPr>
            <w:tcW w:w="4675" w:type="dxa"/>
            <w:gridSpan w:val="2"/>
          </w:tcPr>
          <w:p w14:paraId="519A546C" w14:textId="77777777" w:rsidR="00A0529E" w:rsidRPr="00C86111" w:rsidRDefault="00A0529E" w:rsidP="00BC765B">
            <w:pPr>
              <w:jc w:val="both"/>
              <w:cnfStyle w:val="100000000000" w:firstRow="1" w:lastRow="0" w:firstColumn="0" w:lastColumn="0" w:oddVBand="0" w:evenVBand="0" w:oddHBand="0" w:evenHBand="0" w:firstRowFirstColumn="0" w:firstRowLastColumn="0" w:lastRowFirstColumn="0" w:lastRowLastColumn="0"/>
              <w:rPr>
                <w:rFonts w:cstheme="minorHAnsi"/>
                <w:sz w:val="20"/>
                <w:szCs w:val="20"/>
                <w:lang w:val="sr-Latn-ME"/>
              </w:rPr>
            </w:pPr>
            <w:r w:rsidRPr="00C86111">
              <w:rPr>
                <w:rFonts w:cstheme="minorHAnsi"/>
                <w:sz w:val="20"/>
                <w:szCs w:val="20"/>
                <w:lang w:val="sr-Latn-ME"/>
              </w:rPr>
              <w:t>Period</w:t>
            </w:r>
          </w:p>
        </w:tc>
      </w:tr>
      <w:tr w:rsidR="00A0529E" w:rsidRPr="00C86111" w14:paraId="08AA39E8"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vMerge/>
          </w:tcPr>
          <w:p w14:paraId="74CE04CB" w14:textId="77777777" w:rsidR="00A0529E" w:rsidRPr="00C86111" w:rsidRDefault="00A0529E" w:rsidP="00BC765B">
            <w:pPr>
              <w:jc w:val="both"/>
              <w:rPr>
                <w:rFonts w:cstheme="minorHAnsi"/>
                <w:sz w:val="20"/>
                <w:szCs w:val="20"/>
                <w:lang w:val="sr-Latn-ME"/>
              </w:rPr>
            </w:pPr>
          </w:p>
        </w:tc>
        <w:tc>
          <w:tcPr>
            <w:tcW w:w="2340" w:type="dxa"/>
          </w:tcPr>
          <w:p w14:paraId="1E9AC9C6"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sr-Latn-ME"/>
              </w:rPr>
            </w:pPr>
            <w:r w:rsidRPr="00C86111">
              <w:rPr>
                <w:rFonts w:cstheme="minorHAnsi"/>
                <w:b/>
                <w:bCs/>
                <w:sz w:val="20"/>
                <w:szCs w:val="20"/>
                <w:lang w:val="sr-Latn-ME"/>
              </w:rPr>
              <w:t>2007-2016.</w:t>
            </w:r>
          </w:p>
        </w:tc>
        <w:tc>
          <w:tcPr>
            <w:tcW w:w="2335" w:type="dxa"/>
          </w:tcPr>
          <w:p w14:paraId="333B654E" w14:textId="77777777" w:rsidR="00A0529E" w:rsidRPr="00C86111" w:rsidRDefault="00A0529E" w:rsidP="00BC765B">
            <w:pPr>
              <w:jc w:val="both"/>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sr-Latn-ME"/>
              </w:rPr>
            </w:pPr>
            <w:r w:rsidRPr="00C86111">
              <w:rPr>
                <w:rFonts w:cstheme="minorHAnsi"/>
                <w:b/>
                <w:bCs/>
                <w:sz w:val="20"/>
                <w:szCs w:val="20"/>
                <w:lang w:val="sr-Latn-ME"/>
              </w:rPr>
              <w:t>2017-2023. godina</w:t>
            </w:r>
          </w:p>
        </w:tc>
      </w:tr>
      <w:tr w:rsidR="00A0529E" w:rsidRPr="00C86111" w14:paraId="748F6C29" w14:textId="77777777" w:rsidTr="00BC765B">
        <w:tc>
          <w:tcPr>
            <w:cnfStyle w:val="001000000000" w:firstRow="0" w:lastRow="0" w:firstColumn="1" w:lastColumn="0" w:oddVBand="0" w:evenVBand="0" w:oddHBand="0" w:evenHBand="0" w:firstRowFirstColumn="0" w:firstRowLastColumn="0" w:lastRowFirstColumn="0" w:lastRowLastColumn="0"/>
            <w:tcW w:w="4675" w:type="dxa"/>
          </w:tcPr>
          <w:p w14:paraId="057C2139" w14:textId="77777777" w:rsidR="00A0529E" w:rsidRPr="00C86111" w:rsidRDefault="00A0529E" w:rsidP="00BC765B">
            <w:pPr>
              <w:jc w:val="both"/>
              <w:rPr>
                <w:rFonts w:cstheme="minorHAnsi"/>
                <w:sz w:val="20"/>
                <w:szCs w:val="20"/>
                <w:lang w:val="sr-Latn-ME"/>
              </w:rPr>
            </w:pPr>
            <w:r w:rsidRPr="00C86111">
              <w:rPr>
                <w:rFonts w:cstheme="minorHAnsi"/>
                <w:sz w:val="20"/>
                <w:szCs w:val="20"/>
                <w:lang w:val="sr-Latn-ME"/>
              </w:rPr>
              <w:t>Procjenjena količina HBCD (t)</w:t>
            </w:r>
          </w:p>
        </w:tc>
        <w:tc>
          <w:tcPr>
            <w:tcW w:w="2340" w:type="dxa"/>
          </w:tcPr>
          <w:p w14:paraId="06133412"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sr-Latn-ME"/>
              </w:rPr>
            </w:pPr>
            <w:r w:rsidRPr="00C86111">
              <w:rPr>
                <w:rFonts w:cstheme="minorHAnsi"/>
                <w:sz w:val="20"/>
                <w:szCs w:val="20"/>
                <w:lang w:val="sr-Latn-ME"/>
              </w:rPr>
              <w:t>4,83</w:t>
            </w:r>
          </w:p>
        </w:tc>
        <w:tc>
          <w:tcPr>
            <w:tcW w:w="2335" w:type="dxa"/>
          </w:tcPr>
          <w:p w14:paraId="29C13809" w14:textId="77777777" w:rsidR="00A0529E" w:rsidRPr="00C86111" w:rsidRDefault="00A0529E" w:rsidP="00BC765B">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sr-Latn-ME"/>
              </w:rPr>
            </w:pPr>
            <w:r w:rsidRPr="00C86111">
              <w:rPr>
                <w:rFonts w:cstheme="minorHAnsi"/>
                <w:sz w:val="20"/>
                <w:szCs w:val="20"/>
                <w:lang w:val="sr-Latn-ME"/>
              </w:rPr>
              <w:t>5,57</w:t>
            </w:r>
          </w:p>
        </w:tc>
      </w:tr>
    </w:tbl>
    <w:p w14:paraId="42879D17" w14:textId="77777777" w:rsidR="00A0529E" w:rsidRPr="00C86111" w:rsidRDefault="00A0529E" w:rsidP="00A0529E">
      <w:pPr>
        <w:jc w:val="both"/>
        <w:rPr>
          <w:rFonts w:cstheme="minorHAnsi"/>
          <w:color w:val="000000"/>
          <w:szCs w:val="24"/>
          <w:lang w:val="sr-Latn-RS"/>
        </w:rPr>
      </w:pPr>
    </w:p>
    <w:p w14:paraId="67A24F46" w14:textId="77777777" w:rsidR="00A0529E" w:rsidRPr="00C86111" w:rsidRDefault="00A0529E" w:rsidP="00862B9D">
      <w:pPr>
        <w:jc w:val="center"/>
        <w:rPr>
          <w:rFonts w:cstheme="minorHAnsi"/>
          <w:color w:val="000000"/>
          <w:szCs w:val="24"/>
          <w:lang w:val="sr-Latn-RS"/>
        </w:rPr>
      </w:pPr>
      <w:r w:rsidRPr="00C86111">
        <w:rPr>
          <w:rFonts w:cstheme="minorHAnsi"/>
          <w:noProof/>
          <w:szCs w:val="24"/>
        </w:rPr>
        <w:drawing>
          <wp:inline distT="0" distB="0" distL="0" distR="0" wp14:anchorId="116FCCB7" wp14:editId="4E256685">
            <wp:extent cx="4572000" cy="2095500"/>
            <wp:effectExtent l="0" t="0" r="0" b="0"/>
            <wp:docPr id="309499685" name="Chart 1">
              <a:extLst xmlns:a="http://schemas.openxmlformats.org/drawingml/2006/main">
                <a:ext uri="{FF2B5EF4-FFF2-40B4-BE49-F238E27FC236}">
                  <a16:creationId xmlns:a16="http://schemas.microsoft.com/office/drawing/2014/main" id="{2DD3BAAF-F345-4D76-9AE7-8A6A6A9A2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CA39ACA" w14:textId="77777777" w:rsidR="00862B9D" w:rsidRPr="00C86111" w:rsidRDefault="00862B9D" w:rsidP="00A0529E">
      <w:pPr>
        <w:jc w:val="both"/>
        <w:rPr>
          <w:rFonts w:cstheme="minorHAnsi"/>
          <w:b/>
          <w:bCs/>
          <w:iCs/>
          <w:color w:val="000000"/>
          <w:szCs w:val="24"/>
          <w:lang w:val="sr-Latn-RS"/>
        </w:rPr>
      </w:pPr>
    </w:p>
    <w:p w14:paraId="58C81B0D" w14:textId="0A27C886" w:rsidR="00A0529E" w:rsidRPr="00C86111" w:rsidRDefault="00862B9D" w:rsidP="00A0529E">
      <w:pPr>
        <w:jc w:val="both"/>
        <w:rPr>
          <w:rFonts w:cstheme="minorHAnsi"/>
          <w:iCs/>
          <w:szCs w:val="24"/>
          <w:lang w:val="sr-Latn-ME"/>
        </w:rPr>
      </w:pPr>
      <w:r w:rsidRPr="00C86111">
        <w:rPr>
          <w:rFonts w:cstheme="minorHAnsi"/>
          <w:b/>
          <w:bCs/>
          <w:iCs/>
          <w:color w:val="000000"/>
          <w:szCs w:val="24"/>
          <w:lang w:val="sr-Latn-RS"/>
        </w:rPr>
        <w:t xml:space="preserve">Grafik </w:t>
      </w:r>
      <w:r w:rsidR="00547278">
        <w:rPr>
          <w:rFonts w:cstheme="minorHAnsi"/>
          <w:b/>
          <w:bCs/>
          <w:iCs/>
          <w:color w:val="000000"/>
          <w:szCs w:val="24"/>
          <w:lang w:val="sr-Latn-RS"/>
        </w:rPr>
        <w:t>31</w:t>
      </w:r>
      <w:r w:rsidR="00A0529E" w:rsidRPr="00C86111">
        <w:rPr>
          <w:rFonts w:cstheme="minorHAnsi"/>
          <w:b/>
          <w:bCs/>
          <w:iCs/>
          <w:color w:val="000000"/>
          <w:szCs w:val="24"/>
          <w:lang w:val="sr-Latn-RS"/>
        </w:rPr>
        <w:t>.</w:t>
      </w:r>
      <w:r w:rsidR="00A0529E" w:rsidRPr="00C86111">
        <w:rPr>
          <w:rFonts w:cstheme="minorHAnsi"/>
          <w:iCs/>
          <w:color w:val="000000"/>
          <w:szCs w:val="24"/>
          <w:lang w:val="sr-Latn-RS"/>
        </w:rPr>
        <w:t xml:space="preserve"> Trend procjenjenih količina HBCD u otpadu u Crnoj Gori </w:t>
      </w:r>
      <w:r w:rsidR="00A0529E" w:rsidRPr="00C86111">
        <w:rPr>
          <w:rFonts w:cstheme="minorHAnsi"/>
          <w:iCs/>
          <w:szCs w:val="24"/>
          <w:lang w:val="sr-Latn-ME"/>
        </w:rPr>
        <w:t xml:space="preserve">za periode  2007-2016. godina i 2017-2023. godina </w:t>
      </w:r>
    </w:p>
    <w:p w14:paraId="4CA00258" w14:textId="77777777" w:rsidR="00F20120" w:rsidRDefault="00F20120" w:rsidP="00A0529E">
      <w:pPr>
        <w:jc w:val="both"/>
        <w:rPr>
          <w:rFonts w:cstheme="minorHAnsi"/>
          <w:iCs/>
          <w:szCs w:val="24"/>
          <w:lang w:val="sr-Latn-ME"/>
        </w:rPr>
      </w:pPr>
    </w:p>
    <w:p w14:paraId="15B69791" w14:textId="77777777" w:rsidR="00F57E42" w:rsidRDefault="00F57E42" w:rsidP="00A0529E">
      <w:pPr>
        <w:jc w:val="both"/>
        <w:rPr>
          <w:rFonts w:cstheme="minorHAnsi"/>
          <w:iCs/>
          <w:szCs w:val="24"/>
          <w:lang w:val="sr-Latn-ME"/>
        </w:rPr>
      </w:pPr>
    </w:p>
    <w:p w14:paraId="198EA300" w14:textId="77777777" w:rsidR="00F57E42" w:rsidRPr="00C86111" w:rsidRDefault="00F57E42" w:rsidP="00A0529E">
      <w:pPr>
        <w:jc w:val="both"/>
        <w:rPr>
          <w:rFonts w:cstheme="minorHAnsi"/>
          <w:iCs/>
          <w:szCs w:val="24"/>
          <w:lang w:val="sr-Latn-ME"/>
        </w:rPr>
      </w:pPr>
    </w:p>
    <w:p w14:paraId="0FC2ADC6" w14:textId="77777777" w:rsidR="00A0529E" w:rsidRPr="00C86111" w:rsidRDefault="00A0529E" w:rsidP="00EA6904">
      <w:pPr>
        <w:pStyle w:val="Heading3"/>
      </w:pPr>
      <w:bookmarkStart w:id="185" w:name="_Toc210651380"/>
      <w:bookmarkStart w:id="186" w:name="_Toc220541927"/>
      <w:r w:rsidRPr="00C86111">
        <w:lastRenderedPageBreak/>
        <w:t>Procijenjena količina HBCD u Crnoj Gori za period 2017-2023. godina</w:t>
      </w:r>
      <w:bookmarkEnd w:id="185"/>
      <w:bookmarkEnd w:id="186"/>
    </w:p>
    <w:p w14:paraId="1FF7D2C0" w14:textId="77777777" w:rsidR="00862B9D" w:rsidRPr="00C86111" w:rsidRDefault="00862B9D" w:rsidP="00862B9D">
      <w:pPr>
        <w:rPr>
          <w:lang w:val="sr-Latn-RS"/>
        </w:rPr>
      </w:pPr>
    </w:p>
    <w:p w14:paraId="3A91358F" w14:textId="77777777" w:rsidR="00A0529E" w:rsidRPr="00C86111" w:rsidRDefault="00A0529E" w:rsidP="00A0529E">
      <w:pPr>
        <w:jc w:val="both"/>
        <w:rPr>
          <w:rFonts w:cstheme="minorHAnsi"/>
          <w:szCs w:val="24"/>
          <w:lang w:val="sr-Latn-RS"/>
        </w:rPr>
      </w:pPr>
      <w:bookmarkStart w:id="187" w:name="_Toc185244084"/>
      <w:bookmarkStart w:id="188" w:name="_Toc210642773"/>
      <w:r w:rsidRPr="00C86111">
        <w:rPr>
          <w:rFonts w:cstheme="minorHAnsi"/>
          <w:szCs w:val="24"/>
          <w:lang w:val="sr-Latn-RS"/>
        </w:rPr>
        <w:t xml:space="preserve">Na osnovu prethodno navedenog zaključuje se da količina HBCD porijeklom iz uvezenih proizvoda koji ga potencijalno sadrže i iz generisanog građevinskog otpada u periodu 2017-2023. godina iznosi </w:t>
      </w:r>
      <w:r w:rsidRPr="00C86111">
        <w:rPr>
          <w:rFonts w:cstheme="minorHAnsi"/>
          <w:b/>
          <w:szCs w:val="24"/>
          <w:lang w:val="sr-Latn-RS"/>
        </w:rPr>
        <w:t>45.526 t</w:t>
      </w:r>
      <w:r w:rsidRPr="00C86111">
        <w:rPr>
          <w:rFonts w:cstheme="minorHAnsi"/>
          <w:szCs w:val="24"/>
          <w:lang w:val="sr-Latn-RS"/>
        </w:rPr>
        <w:t>.</w:t>
      </w:r>
      <w:bookmarkEnd w:id="187"/>
      <w:bookmarkEnd w:id="188"/>
    </w:p>
    <w:p w14:paraId="7A438A63" w14:textId="77777777" w:rsidR="00862B9D" w:rsidRPr="00C86111" w:rsidRDefault="00A0529E" w:rsidP="00004F34">
      <w:pPr>
        <w:pStyle w:val="Heading1"/>
        <w:numPr>
          <w:ilvl w:val="1"/>
          <w:numId w:val="238"/>
        </w:numPr>
      </w:pPr>
      <w:bookmarkStart w:id="189" w:name="_Toc210651381"/>
      <w:bookmarkStart w:id="190" w:name="_Toc220541928"/>
      <w:r w:rsidRPr="00C86111">
        <w:t>DISKUSIJA</w:t>
      </w:r>
      <w:bookmarkStart w:id="191" w:name="_Toc210651382"/>
      <w:bookmarkEnd w:id="189"/>
      <w:bookmarkEnd w:id="190"/>
    </w:p>
    <w:p w14:paraId="47A2E6AF" w14:textId="52149276" w:rsidR="00A0529E" w:rsidRPr="00C86111" w:rsidRDefault="00A0529E" w:rsidP="00EA6904">
      <w:pPr>
        <w:pStyle w:val="Heading3"/>
      </w:pPr>
      <w:bookmarkStart w:id="192" w:name="_Toc220541929"/>
      <w:r w:rsidRPr="00C86111">
        <w:t>Manjkavosti i izazovi</w:t>
      </w:r>
      <w:bookmarkEnd w:id="191"/>
      <w:bookmarkEnd w:id="192"/>
    </w:p>
    <w:p w14:paraId="65B57432" w14:textId="77777777" w:rsidR="00862B9D" w:rsidRPr="00C86111" w:rsidRDefault="00862B9D" w:rsidP="00862B9D">
      <w:pPr>
        <w:rPr>
          <w:lang w:val="sr-Latn-ME"/>
        </w:rPr>
      </w:pPr>
    </w:p>
    <w:p w14:paraId="4F78AE00" w14:textId="77777777" w:rsidR="00A0529E" w:rsidRPr="00C86111" w:rsidRDefault="00A0529E" w:rsidP="00A0529E">
      <w:pPr>
        <w:jc w:val="both"/>
        <w:rPr>
          <w:rFonts w:cstheme="minorHAnsi"/>
          <w:szCs w:val="24"/>
          <w:lang w:val="sr-Latn-RS"/>
        </w:rPr>
      </w:pPr>
      <w:r w:rsidRPr="00C86111">
        <w:rPr>
          <w:rFonts w:cstheme="minorHAnsi"/>
          <w:szCs w:val="24"/>
          <w:lang w:val="sr-Latn-RS"/>
        </w:rPr>
        <w:t xml:space="preserve">Upravljanje heksabromociklododekanom (HBCD) ima niz izazova i nedostataka koje je potrebno riješiti kako bi se smanjio njegov negativni ekološki i zdravstveni uticaj. </w:t>
      </w:r>
    </w:p>
    <w:p w14:paraId="290208BC" w14:textId="77777777" w:rsidR="00A0529E" w:rsidRPr="00C86111" w:rsidRDefault="00A0529E" w:rsidP="00EA6904">
      <w:pPr>
        <w:pStyle w:val="Heading4"/>
        <w:rPr>
          <w:lang w:val="sr-Latn-RS"/>
        </w:rPr>
      </w:pPr>
      <w:r w:rsidRPr="00C86111">
        <w:rPr>
          <w:lang w:val="sr-Latn-RS"/>
        </w:rPr>
        <w:t>Nedostatak alternativa za HBCD</w:t>
      </w:r>
    </w:p>
    <w:p w14:paraId="592EEF66" w14:textId="43C9E640" w:rsidR="00862B9D" w:rsidRPr="00C86111" w:rsidRDefault="00A0529E" w:rsidP="00A0529E">
      <w:pPr>
        <w:jc w:val="both"/>
        <w:rPr>
          <w:rFonts w:cstheme="minorHAnsi"/>
          <w:szCs w:val="24"/>
          <w:lang w:val="sr-Latn-RS"/>
        </w:rPr>
      </w:pPr>
      <w:r w:rsidRPr="00C86111">
        <w:rPr>
          <w:rFonts w:cstheme="minorHAnsi"/>
          <w:szCs w:val="24"/>
          <w:lang w:val="sr-Latn-RS"/>
        </w:rPr>
        <w:t>Iako je HBCD široko korišćen usporivač gorenja, naročito u građevinskim izolacionim materijalima i tekstilu, u Crnoj Gori se još uvijek ne razmatra upotreba dovoljno sigurnih, efikasnih i isplativih alternativa. Stoga je potrebno uložiti napor i promovisati primjenu sigurnih, efikasnih i održivih alternativa za HBCD. Ove alternative treba birati na način da zadovolje standarde bezbjednosti u vezi sa požarima, a da ne uzrokuju dugoročne ekološke ili zdravstvene rizike.</w:t>
      </w:r>
    </w:p>
    <w:p w14:paraId="368F123B" w14:textId="3FEA7BC7" w:rsidR="00A0529E" w:rsidRPr="00C86111" w:rsidRDefault="00A0529E" w:rsidP="00EA6904">
      <w:pPr>
        <w:pStyle w:val="Heading4"/>
        <w:rPr>
          <w:lang w:val="sr-Latn-RS"/>
        </w:rPr>
      </w:pPr>
      <w:r w:rsidRPr="00C86111">
        <w:rPr>
          <w:lang w:val="sr-Latn-RS"/>
        </w:rPr>
        <w:t>Nedostatak sveobuhvatnog upravljanja proizvodima koji sadrže HBCD a koji nijesu za dalje korišćenje</w:t>
      </w:r>
    </w:p>
    <w:p w14:paraId="29BB246C" w14:textId="7ECFF146" w:rsidR="00A0529E" w:rsidRPr="00C86111" w:rsidRDefault="00A0529E" w:rsidP="00A0529E">
      <w:pPr>
        <w:jc w:val="both"/>
        <w:rPr>
          <w:rFonts w:cstheme="minorHAnsi"/>
          <w:szCs w:val="24"/>
          <w:lang w:val="sr-Latn-RS"/>
        </w:rPr>
      </w:pPr>
      <w:r w:rsidRPr="00C86111">
        <w:rPr>
          <w:rFonts w:cstheme="minorHAnsi"/>
          <w:szCs w:val="24"/>
          <w:lang w:val="sr-Latn-RS"/>
        </w:rPr>
        <w:t>Nedostaju efikasne strategije</w:t>
      </w:r>
      <w:r w:rsidR="00862B9D" w:rsidRPr="00C86111">
        <w:rPr>
          <w:rFonts w:cstheme="minorHAnsi"/>
          <w:szCs w:val="24"/>
          <w:lang w:val="sr-Latn-RS"/>
        </w:rPr>
        <w:t>/planovi</w:t>
      </w:r>
      <w:r w:rsidRPr="00C86111">
        <w:rPr>
          <w:rFonts w:cstheme="minorHAnsi"/>
          <w:szCs w:val="24"/>
          <w:lang w:val="sr-Latn-RS"/>
        </w:rPr>
        <w:t xml:space="preserve"> za upravljanje otpadom koji sadrži HBCD, kao što su izolacioni materijali od polistirena. Neadekvatno odlaganje dovodi do zagađenja životne sredine zbog postojanosti HBCD. Potrebno je razviti i primijeniti sigurne protokole za odlaganje i upravljanje otpadom, uključujući posebne smjernice i infrastrukturu za njegovo prikupljanje, tretman i konačno zbrinjavanje.</w:t>
      </w:r>
    </w:p>
    <w:p w14:paraId="0B71058D" w14:textId="77777777" w:rsidR="00A0529E" w:rsidRPr="00C86111" w:rsidRDefault="00A0529E" w:rsidP="00EA6904">
      <w:pPr>
        <w:pStyle w:val="Heading4"/>
        <w:rPr>
          <w:lang w:val="sr-Latn-RS"/>
        </w:rPr>
      </w:pPr>
      <w:r w:rsidRPr="00C86111">
        <w:rPr>
          <w:lang w:val="sr-Latn-RS"/>
        </w:rPr>
        <w:t>Nedovoljna informisanost korisnika i proizvođača</w:t>
      </w:r>
    </w:p>
    <w:p w14:paraId="09EE9C30" w14:textId="77777777" w:rsidR="00A0529E" w:rsidRPr="00C86111" w:rsidRDefault="00A0529E" w:rsidP="00A0529E">
      <w:pPr>
        <w:jc w:val="both"/>
        <w:rPr>
          <w:rFonts w:cstheme="minorHAnsi"/>
          <w:szCs w:val="24"/>
          <w:lang w:val="sr-Latn-RS"/>
        </w:rPr>
      </w:pPr>
      <w:r w:rsidRPr="00C86111">
        <w:rPr>
          <w:rFonts w:cstheme="minorHAnsi"/>
          <w:szCs w:val="24"/>
          <w:lang w:val="sr-Latn-RS"/>
        </w:rPr>
        <w:t>Proizvođači i korisnici nisu dovoljno informisani o opasnostima koje nosi HBCD, što ograničava prelazak na bezbjednije alternative. Važno je pokrenuti kampanje podizanja svijesti i organizovati ciljane obuke za proizvođače, uvoznike, građevinske kompanije i organe upravljanja. Industrijski standardi treba da budu revidirani kako bi se zabranila upotreba HBCD i podstakla upotreba bezbjednih materijala.</w:t>
      </w:r>
    </w:p>
    <w:p w14:paraId="21EA8620" w14:textId="77777777" w:rsidR="00A0529E" w:rsidRPr="00C86111" w:rsidRDefault="00A0529E" w:rsidP="00EA6904">
      <w:pPr>
        <w:pStyle w:val="Heading4"/>
        <w:rPr>
          <w:lang w:val="sr-Latn-ME"/>
        </w:rPr>
      </w:pPr>
      <w:r w:rsidRPr="00C86111">
        <w:rPr>
          <w:lang w:val="sr-Latn-ME"/>
        </w:rPr>
        <w:t>Odložena emisija iz građevinskog sektora</w:t>
      </w:r>
    </w:p>
    <w:p w14:paraId="3D28454E" w14:textId="16B858A8" w:rsidR="00A0529E" w:rsidRPr="00C86111" w:rsidRDefault="00A0529E" w:rsidP="00A0529E">
      <w:pPr>
        <w:jc w:val="both"/>
        <w:rPr>
          <w:rFonts w:cstheme="minorHAnsi"/>
          <w:szCs w:val="24"/>
          <w:lang w:val="sr-Latn-ME"/>
        </w:rPr>
      </w:pPr>
      <w:r w:rsidRPr="00C86111">
        <w:rPr>
          <w:rFonts w:cstheme="minorHAnsi"/>
          <w:szCs w:val="24"/>
          <w:lang w:val="sr-Latn-ME"/>
        </w:rPr>
        <w:t xml:space="preserve">Izolacione ploče koje sadrže HBCD imaju dug životni vijek (20–40 godina), što dovodi do odloženog ispuštanja ove supstance u životnu sredinu. Iz tog razloga „buduća ispuštanja“ treba uvrstiti u dugoročne planove praćenja i projekcije otpada. Potrebno je unaprijed planirati proaktivan pristup sa ciljem podsticaja postepene zamjene alternativama. Takođe je neophodno </w:t>
      </w:r>
      <w:r w:rsidRPr="00C86111">
        <w:rPr>
          <w:rFonts w:cstheme="minorHAnsi"/>
          <w:szCs w:val="24"/>
          <w:lang w:val="sr-Latn-ME"/>
        </w:rPr>
        <w:lastRenderedPageBreak/>
        <w:t>obezbjeđenje sigurnog tretmana otpadnog materijala koji sadrži HBCD na kraju njegovog životnog vijeka.</w:t>
      </w:r>
    </w:p>
    <w:p w14:paraId="4CF78658" w14:textId="68B8CC19" w:rsidR="00A0529E" w:rsidRPr="00C86111" w:rsidRDefault="00862B9D" w:rsidP="00EA6904">
      <w:pPr>
        <w:pStyle w:val="Heading4"/>
        <w:rPr>
          <w:b/>
          <w:lang w:val="sr-Latn-ME"/>
        </w:rPr>
      </w:pPr>
      <w:bookmarkStart w:id="193" w:name="_Toc210651383"/>
      <w:r w:rsidRPr="00C86111">
        <w:rPr>
          <w:lang w:val="sr-Latn-ME"/>
        </w:rPr>
        <w:t>Rezultati</w:t>
      </w:r>
      <w:r w:rsidR="00A0529E" w:rsidRPr="00C86111">
        <w:rPr>
          <w:lang w:val="sr-Latn-ME"/>
        </w:rPr>
        <w:t xml:space="preserve"> inventara</w:t>
      </w:r>
      <w:bookmarkEnd w:id="193"/>
    </w:p>
    <w:p w14:paraId="4EE9C2F9" w14:textId="77777777" w:rsidR="00A0529E" w:rsidRPr="00C86111" w:rsidRDefault="00A0529E" w:rsidP="00A0529E">
      <w:pPr>
        <w:jc w:val="both"/>
        <w:rPr>
          <w:rFonts w:cstheme="minorHAnsi"/>
          <w:szCs w:val="24"/>
          <w:u w:color="000000"/>
          <w:bdr w:val="nil"/>
          <w:lang w:val="sr-Latn-ME"/>
        </w:rPr>
      </w:pPr>
      <w:bookmarkStart w:id="194" w:name="_Toc210642777"/>
      <w:r w:rsidRPr="00C86111">
        <w:rPr>
          <w:rFonts w:cstheme="minorHAnsi"/>
          <w:szCs w:val="24"/>
          <w:u w:color="000000"/>
          <w:bdr w:val="nil"/>
          <w:lang w:val="sr-Latn-ME"/>
        </w:rPr>
        <w:t>Inventar je identifikovao ključne sektore u kojima je korišćen HBCD, uključujući građevinarstvo (EPS/XPS izolacija) i uvezene proizvode. Zbog dugog životnog vijeka proizvoda, većina upotrijebljenog materijala koji sadrži HBCD je još uvijek u upotrebi i još uvek nije prisutna u tokovima otpada. Kao rezultat toga, stvarne emisije su trenutno niske, ali se očekuje da će se povećati u narednim decenijama.</w:t>
      </w:r>
      <w:bookmarkEnd w:id="194"/>
    </w:p>
    <w:p w14:paraId="78E99E99" w14:textId="77777777" w:rsidR="00A0529E" w:rsidRPr="00C86111" w:rsidRDefault="00A0529E" w:rsidP="00A0529E">
      <w:pPr>
        <w:jc w:val="both"/>
        <w:rPr>
          <w:rFonts w:cstheme="minorHAnsi"/>
          <w:szCs w:val="24"/>
          <w:u w:color="000000"/>
          <w:bdr w:val="nil"/>
          <w:lang w:val="sr-Latn-ME"/>
        </w:rPr>
      </w:pPr>
      <w:bookmarkStart w:id="195" w:name="_Toc210642778"/>
      <w:r w:rsidRPr="00C86111">
        <w:rPr>
          <w:rFonts w:cstheme="minorHAnsi"/>
          <w:szCs w:val="24"/>
          <w:u w:color="000000"/>
          <w:bdr w:val="nil"/>
          <w:lang w:val="sr-Latn-ME"/>
        </w:rPr>
        <w:t>Izazovi koji su primjećeni tokom pripreme inventara uključivali su:</w:t>
      </w:r>
      <w:bookmarkEnd w:id="195"/>
    </w:p>
    <w:p w14:paraId="3576531C" w14:textId="77777777" w:rsidR="00A0529E" w:rsidRPr="00C86111" w:rsidRDefault="00A0529E" w:rsidP="00833A40">
      <w:pPr>
        <w:pStyle w:val="ListParagraph"/>
        <w:numPr>
          <w:ilvl w:val="0"/>
          <w:numId w:val="126"/>
        </w:numPr>
        <w:spacing w:after="160" w:line="259" w:lineRule="auto"/>
        <w:jc w:val="both"/>
        <w:rPr>
          <w:rFonts w:cstheme="minorHAnsi"/>
          <w:szCs w:val="24"/>
          <w:u w:color="000000"/>
          <w:bdr w:val="nil"/>
          <w:lang w:val="sr-Latn-ME"/>
        </w:rPr>
      </w:pPr>
      <w:bookmarkStart w:id="196" w:name="_Toc210642779"/>
      <w:r w:rsidRPr="00C86111">
        <w:rPr>
          <w:rFonts w:cstheme="minorHAnsi"/>
          <w:szCs w:val="24"/>
          <w:u w:color="000000"/>
          <w:bdr w:val="nil"/>
          <w:lang w:val="sr-Latn-ME"/>
        </w:rPr>
        <w:t>Ograničenu dostupnost podataka o sastavu proizvoda.</w:t>
      </w:r>
      <w:bookmarkEnd w:id="196"/>
    </w:p>
    <w:p w14:paraId="175F3902" w14:textId="77777777" w:rsidR="00A0529E" w:rsidRPr="00C86111" w:rsidRDefault="00A0529E" w:rsidP="00833A40">
      <w:pPr>
        <w:pStyle w:val="ListParagraph"/>
        <w:numPr>
          <w:ilvl w:val="0"/>
          <w:numId w:val="126"/>
        </w:numPr>
        <w:spacing w:after="160" w:line="259" w:lineRule="auto"/>
        <w:jc w:val="both"/>
        <w:rPr>
          <w:rFonts w:cstheme="minorHAnsi"/>
          <w:szCs w:val="24"/>
          <w:u w:color="000000"/>
          <w:bdr w:val="nil"/>
          <w:lang w:val="sr-Latn-ME"/>
        </w:rPr>
      </w:pPr>
      <w:bookmarkStart w:id="197" w:name="_Toc210642780"/>
      <w:r w:rsidRPr="00C86111">
        <w:rPr>
          <w:rFonts w:cstheme="minorHAnsi"/>
          <w:szCs w:val="24"/>
          <w:u w:color="000000"/>
          <w:bdr w:val="nil"/>
          <w:lang w:val="sr-Latn-ME"/>
        </w:rPr>
        <w:t>Teškoće u praćenju uvoza koji nije obilježen specifičnim hemijskim identifikatorima.</w:t>
      </w:r>
      <w:bookmarkEnd w:id="197"/>
    </w:p>
    <w:p w14:paraId="3B1AC16B" w14:textId="77777777" w:rsidR="00A0529E" w:rsidRPr="00C86111" w:rsidRDefault="00A0529E" w:rsidP="00833A40">
      <w:pPr>
        <w:pStyle w:val="ListParagraph"/>
        <w:numPr>
          <w:ilvl w:val="0"/>
          <w:numId w:val="126"/>
        </w:numPr>
        <w:spacing w:after="160" w:line="259" w:lineRule="auto"/>
        <w:jc w:val="both"/>
        <w:rPr>
          <w:rFonts w:cstheme="minorHAnsi"/>
          <w:szCs w:val="24"/>
          <w:u w:color="000000"/>
          <w:bdr w:val="nil"/>
          <w:lang w:val="sr-Latn-ME"/>
        </w:rPr>
      </w:pPr>
      <w:bookmarkStart w:id="198" w:name="_Toc210642781"/>
      <w:r w:rsidRPr="00C86111">
        <w:rPr>
          <w:rFonts w:cstheme="minorHAnsi"/>
          <w:szCs w:val="24"/>
          <w:u w:color="000000"/>
          <w:bdr w:val="nil"/>
          <w:lang w:val="sr-Latn-ME"/>
        </w:rPr>
        <w:t>Nedostatak nacionalnog monitoringa postojanih organskih zagađivača (POP) u građevinskom i otpadu od rušenja.</w:t>
      </w:r>
      <w:bookmarkEnd w:id="198"/>
    </w:p>
    <w:p w14:paraId="0C7AE87C" w14:textId="77777777" w:rsidR="00A0529E" w:rsidRPr="00C86111" w:rsidRDefault="00A0529E" w:rsidP="00A0529E">
      <w:pPr>
        <w:jc w:val="both"/>
        <w:rPr>
          <w:rFonts w:cstheme="minorHAnsi"/>
          <w:szCs w:val="24"/>
          <w:u w:color="000000"/>
          <w:bdr w:val="nil"/>
          <w:lang w:val="sr-Latn-ME"/>
        </w:rPr>
      </w:pPr>
      <w:bookmarkStart w:id="199" w:name="_Toc210642782"/>
      <w:r w:rsidRPr="00C86111">
        <w:rPr>
          <w:rFonts w:cstheme="minorHAnsi"/>
          <w:szCs w:val="24"/>
          <w:u w:color="000000"/>
          <w:bdr w:val="nil"/>
          <w:lang w:val="sr-Latn-ME"/>
        </w:rPr>
        <w:t>Ova saznanja ukazuju na potrebu za blagovremenim razvijanjem strateških mjera i unapređenjem saradnje sa carinskim organima, uvoznicima i operaterima u oblasti upravljanja otpadom.</w:t>
      </w:r>
      <w:bookmarkEnd w:id="199"/>
    </w:p>
    <w:p w14:paraId="6235A2E1" w14:textId="77777777" w:rsidR="00A0529E" w:rsidRPr="00C86111" w:rsidRDefault="00A0529E" w:rsidP="00004F34">
      <w:pPr>
        <w:pStyle w:val="Heading1"/>
        <w:numPr>
          <w:ilvl w:val="1"/>
          <w:numId w:val="238"/>
        </w:numPr>
      </w:pPr>
      <w:bookmarkStart w:id="200" w:name="_Toc210651384"/>
      <w:bookmarkStart w:id="201" w:name="_Toc220541930"/>
      <w:r w:rsidRPr="00C86111">
        <w:t>ZAKLJUČCI</w:t>
      </w:r>
      <w:bookmarkEnd w:id="200"/>
      <w:bookmarkEnd w:id="201"/>
    </w:p>
    <w:p w14:paraId="3EB676AB" w14:textId="77777777" w:rsidR="00A0529E" w:rsidRPr="00C86111" w:rsidRDefault="00A0529E" w:rsidP="00A0529E">
      <w:pPr>
        <w:jc w:val="both"/>
        <w:rPr>
          <w:rFonts w:cstheme="minorHAnsi"/>
          <w:szCs w:val="24"/>
          <w:lang w:val="sr-Latn-ME"/>
        </w:rPr>
      </w:pPr>
      <w:r w:rsidRPr="00C86111">
        <w:rPr>
          <w:rFonts w:cstheme="minorHAnsi"/>
          <w:szCs w:val="24"/>
          <w:lang w:val="sr-Latn-ME"/>
        </w:rPr>
        <w:t>Ovaj dio dokumenta sadrži zaključke zasnovane na nalazima i proračunima izvršenim u inventaru za HBCD, kao i na gore navedenoj diskusiji. Rezultat je lista problema i identifikovanih nedostataka, izazova i akcija koje bi mogle da čine elemente za akcione planove u okviru ažuriranog Nacionalnog plana implementacije (NIP). Ovim odeljkom, rad na inventaru HBCD se smatra završenim.</w:t>
      </w:r>
    </w:p>
    <w:p w14:paraId="78F34B4B" w14:textId="77777777" w:rsidR="00A0529E" w:rsidRPr="00C86111" w:rsidRDefault="00A0529E" w:rsidP="00A0529E">
      <w:pPr>
        <w:jc w:val="both"/>
        <w:rPr>
          <w:rFonts w:cstheme="minorHAnsi"/>
          <w:szCs w:val="24"/>
          <w:lang w:val="sr-Latn-ME"/>
        </w:rPr>
      </w:pPr>
      <w:r w:rsidRPr="00C86111">
        <w:rPr>
          <w:rFonts w:cstheme="minorHAnsi"/>
          <w:szCs w:val="24"/>
          <w:lang w:val="sr-Latn-ME"/>
        </w:rPr>
        <w:t>Identifikovani nedostaci i izazovi:</w:t>
      </w:r>
    </w:p>
    <w:p w14:paraId="289C7FE6" w14:textId="77777777" w:rsidR="00A0529E" w:rsidRPr="00C86111" w:rsidRDefault="00A0529E" w:rsidP="00833A40">
      <w:pPr>
        <w:pStyle w:val="ListParagraph"/>
        <w:numPr>
          <w:ilvl w:val="0"/>
          <w:numId w:val="127"/>
        </w:numPr>
        <w:spacing w:after="160" w:line="259" w:lineRule="auto"/>
        <w:jc w:val="both"/>
        <w:rPr>
          <w:rFonts w:cstheme="minorHAnsi"/>
          <w:szCs w:val="24"/>
          <w:lang w:val="sr-Latn-ME"/>
        </w:rPr>
      </w:pPr>
      <w:r w:rsidRPr="00C86111">
        <w:rPr>
          <w:rFonts w:cstheme="minorHAnsi"/>
          <w:szCs w:val="24"/>
          <w:lang w:val="sr-Latn-ME"/>
        </w:rPr>
        <w:t>Nedostatak propisa koji ograničavaju upotrebu/uvoz HBCD.</w:t>
      </w:r>
    </w:p>
    <w:p w14:paraId="16E35394" w14:textId="77777777" w:rsidR="00A0529E" w:rsidRPr="00C86111" w:rsidRDefault="00A0529E" w:rsidP="00833A40">
      <w:pPr>
        <w:pStyle w:val="ListParagraph"/>
        <w:numPr>
          <w:ilvl w:val="0"/>
          <w:numId w:val="127"/>
        </w:numPr>
        <w:spacing w:after="160" w:line="259" w:lineRule="auto"/>
        <w:jc w:val="both"/>
        <w:rPr>
          <w:rFonts w:cstheme="minorHAnsi"/>
          <w:szCs w:val="24"/>
          <w:lang w:val="sr-Latn-ME"/>
        </w:rPr>
      </w:pPr>
      <w:r w:rsidRPr="00C86111">
        <w:rPr>
          <w:rFonts w:cstheme="minorHAnsi"/>
          <w:szCs w:val="24"/>
          <w:lang w:val="sr-Latn-ME"/>
        </w:rPr>
        <w:t>Nepostojanje nacionalne strategije za upravljanje otpadom koji sadrži HBCD.</w:t>
      </w:r>
    </w:p>
    <w:p w14:paraId="2A0A1102" w14:textId="77777777" w:rsidR="00A0529E" w:rsidRPr="00C86111" w:rsidRDefault="00A0529E" w:rsidP="00833A40">
      <w:pPr>
        <w:pStyle w:val="ListParagraph"/>
        <w:numPr>
          <w:ilvl w:val="0"/>
          <w:numId w:val="127"/>
        </w:numPr>
        <w:spacing w:after="160" w:line="259" w:lineRule="auto"/>
        <w:jc w:val="both"/>
        <w:rPr>
          <w:rFonts w:cstheme="minorHAnsi"/>
          <w:szCs w:val="24"/>
          <w:lang w:val="sr-Latn-ME"/>
        </w:rPr>
      </w:pPr>
      <w:r w:rsidRPr="00C86111">
        <w:rPr>
          <w:rFonts w:cstheme="minorHAnsi"/>
          <w:szCs w:val="24"/>
          <w:lang w:val="sr-Latn-ME"/>
        </w:rPr>
        <w:t>Nedovoljna svijest javnosti i industrije o rizicima koje HBCD nosi.</w:t>
      </w:r>
    </w:p>
    <w:p w14:paraId="5F3B5510" w14:textId="77777777" w:rsidR="00A0529E" w:rsidRPr="00C86111" w:rsidRDefault="00A0529E" w:rsidP="00833A40">
      <w:pPr>
        <w:pStyle w:val="ListParagraph"/>
        <w:numPr>
          <w:ilvl w:val="0"/>
          <w:numId w:val="127"/>
        </w:numPr>
        <w:spacing w:after="160" w:line="259" w:lineRule="auto"/>
        <w:jc w:val="both"/>
        <w:rPr>
          <w:rFonts w:cstheme="minorHAnsi"/>
          <w:szCs w:val="24"/>
          <w:lang w:val="sr-Latn-ME"/>
        </w:rPr>
      </w:pPr>
      <w:r w:rsidRPr="00C86111">
        <w:rPr>
          <w:rFonts w:cstheme="minorHAnsi"/>
          <w:szCs w:val="24"/>
          <w:lang w:val="sr-Latn-ME"/>
        </w:rPr>
        <w:t>Nedovoljno podataka o proizvodima u opticaju.</w:t>
      </w:r>
    </w:p>
    <w:p w14:paraId="023B30C4" w14:textId="77777777" w:rsidR="00A0529E" w:rsidRPr="00C86111" w:rsidRDefault="00A0529E" w:rsidP="00833A40">
      <w:pPr>
        <w:pStyle w:val="ListParagraph"/>
        <w:numPr>
          <w:ilvl w:val="0"/>
          <w:numId w:val="127"/>
        </w:numPr>
        <w:spacing w:after="160" w:line="259" w:lineRule="auto"/>
        <w:jc w:val="both"/>
        <w:rPr>
          <w:rFonts w:cstheme="minorHAnsi"/>
          <w:szCs w:val="24"/>
          <w:lang w:val="sr-Latn-ME"/>
        </w:rPr>
      </w:pPr>
      <w:r w:rsidRPr="00C86111">
        <w:rPr>
          <w:rFonts w:cstheme="minorHAnsi"/>
          <w:szCs w:val="24"/>
          <w:lang w:val="sr-Latn-ME"/>
        </w:rPr>
        <w:t>Nepostojanje sistema za praćenje trendova ispuštanja HBCD.</w:t>
      </w:r>
    </w:p>
    <w:p w14:paraId="7A18697D" w14:textId="77777777" w:rsidR="00A0529E" w:rsidRPr="00C86111" w:rsidRDefault="00A0529E" w:rsidP="00EA6904">
      <w:pPr>
        <w:pStyle w:val="Heading3"/>
        <w:rPr>
          <w:rStyle w:val="Strong"/>
          <w:b/>
          <w:bCs/>
        </w:rPr>
      </w:pPr>
      <w:bookmarkStart w:id="202" w:name="_Toc210651385"/>
      <w:bookmarkStart w:id="203" w:name="_Toc220541931"/>
      <w:r w:rsidRPr="00C86111">
        <w:rPr>
          <w:rStyle w:val="Strong"/>
          <w:bCs/>
        </w:rPr>
        <w:t>Preporuke/Elementi Akcionog plana</w:t>
      </w:r>
      <w:bookmarkEnd w:id="202"/>
      <w:bookmarkEnd w:id="203"/>
    </w:p>
    <w:p w14:paraId="1593C976" w14:textId="77777777" w:rsidR="00A0529E" w:rsidRPr="00C86111" w:rsidRDefault="00A0529E" w:rsidP="00A0529E">
      <w:pPr>
        <w:jc w:val="both"/>
        <w:rPr>
          <w:rFonts w:eastAsia="Calibri" w:cstheme="minorHAnsi"/>
          <w:color w:val="000000"/>
          <w:szCs w:val="24"/>
          <w:u w:color="000000"/>
          <w:bdr w:val="nil"/>
          <w:lang w:val="sr-Latn-ME"/>
          <w14:textOutline w14:w="0" w14:cap="flat" w14:cmpd="sng" w14:algn="ctr">
            <w14:noFill/>
            <w14:prstDash w14:val="solid"/>
            <w14:bevel/>
          </w14:textOutline>
        </w:rPr>
      </w:pPr>
      <w:r w:rsidRPr="00C86111">
        <w:rPr>
          <w:rFonts w:eastAsia="Calibri" w:cstheme="minorHAnsi"/>
          <w:color w:val="000000"/>
          <w:szCs w:val="24"/>
          <w:u w:color="000000"/>
          <w:bdr w:val="nil"/>
          <w:lang w:val="sr-Latn-ME"/>
          <w14:textOutline w14:w="0" w14:cap="flat" w14:cmpd="sng" w14:algn="ctr">
            <w14:noFill/>
            <w14:prstDash w14:val="solid"/>
            <w14:bevel/>
          </w14:textOutline>
        </w:rPr>
        <w:t>Kako bi se efikasno odgovorilo na nedostatke i izazove identifikovane tokom izrade inventara HBCD, preporučuje se niz međusobno povezanih mjera:</w:t>
      </w:r>
    </w:p>
    <w:p w14:paraId="61A480D1" w14:textId="77777777" w:rsidR="00A0529E" w:rsidRPr="00C86111" w:rsidRDefault="00A0529E" w:rsidP="00833A40">
      <w:pPr>
        <w:pStyle w:val="ListParagraph"/>
        <w:numPr>
          <w:ilvl w:val="0"/>
          <w:numId w:val="128"/>
        </w:numPr>
        <w:spacing w:after="160" w:line="259" w:lineRule="auto"/>
        <w:jc w:val="both"/>
        <w:rPr>
          <w:rFonts w:eastAsia="Calibri" w:cstheme="minorHAnsi"/>
          <w:color w:val="000000"/>
          <w:szCs w:val="24"/>
          <w:u w:color="000000"/>
          <w:bdr w:val="nil"/>
          <w:lang w:val="sr-Latn-ME"/>
          <w14:textOutline w14:w="0" w14:cap="flat" w14:cmpd="sng" w14:algn="ctr">
            <w14:noFill/>
            <w14:prstDash w14:val="solid"/>
            <w14:bevel/>
          </w14:textOutline>
        </w:rPr>
      </w:pPr>
      <w:r w:rsidRPr="00C86111">
        <w:rPr>
          <w:rFonts w:eastAsia="Calibri" w:cstheme="minorHAnsi"/>
          <w:color w:val="000000"/>
          <w:szCs w:val="24"/>
          <w:u w:color="000000"/>
          <w:bdr w:val="nil"/>
          <w:lang w:val="sr-Latn-ME"/>
          <w14:textOutline w14:w="0" w14:cap="flat" w14:cmpd="sng" w14:algn="ctr">
            <w14:noFill/>
            <w14:prstDash w14:val="solid"/>
            <w14:bevel/>
          </w14:textOutline>
        </w:rPr>
        <w:t>Uspostavljanje redovnog ažuriranja inventara i unaprjeđenje mehanizama za izvještavanje o podacima, u saradnji sa carinskim organima i predstavnicima industrije, ključno je za efikasno praćenje i kontrolu. Poseban akcenat je potrebno staviti na adekvatnu obuku carinskih službenika u tumačenju specifikacija proizvoda sa ciljem pravovremenog prepoznavanja prisustva HBCD i zabrane uvoza istih u skladu sa zakonom propisanim restrikcijama.</w:t>
      </w:r>
    </w:p>
    <w:p w14:paraId="7EEEC0AB" w14:textId="77777777" w:rsidR="00A0529E" w:rsidRPr="00C86111" w:rsidRDefault="00A0529E" w:rsidP="00833A40">
      <w:pPr>
        <w:pStyle w:val="ListParagraph"/>
        <w:numPr>
          <w:ilvl w:val="0"/>
          <w:numId w:val="128"/>
        </w:numPr>
        <w:spacing w:after="160" w:line="259" w:lineRule="auto"/>
        <w:jc w:val="both"/>
        <w:rPr>
          <w:rFonts w:eastAsia="Calibri" w:cstheme="minorHAnsi"/>
          <w:color w:val="000000"/>
          <w:szCs w:val="24"/>
          <w:u w:color="000000"/>
          <w:bdr w:val="nil"/>
          <w:lang w:val="sr-Latn-ME"/>
          <w14:textOutline w14:w="0" w14:cap="flat" w14:cmpd="sng" w14:algn="ctr">
            <w14:noFill/>
            <w14:prstDash w14:val="solid"/>
            <w14:bevel/>
          </w14:textOutline>
        </w:rPr>
      </w:pPr>
      <w:r w:rsidRPr="00C86111">
        <w:rPr>
          <w:rFonts w:eastAsia="Calibri" w:cstheme="minorHAnsi"/>
          <w:color w:val="000000"/>
          <w:szCs w:val="24"/>
          <w:u w:color="000000"/>
          <w:bdr w:val="nil"/>
          <w:lang w:val="sr-Latn-ME"/>
          <w14:textOutline w14:w="0" w14:cap="flat" w14:cmpd="sng" w14:algn="ctr">
            <w14:noFill/>
            <w14:prstDash w14:val="solid"/>
            <w14:bevel/>
          </w14:textOutline>
        </w:rPr>
        <w:lastRenderedPageBreak/>
        <w:t>U oblasti upravljanja otpadom i njegovog odlaganja, potrebno je razviti protokole za bezbjednu demontažu i rukovanje materijalima koji sadrže HBCD a koji neće biti u daljoj upotrebi.</w:t>
      </w:r>
    </w:p>
    <w:p w14:paraId="28624BCB" w14:textId="77777777" w:rsidR="00A0529E" w:rsidRPr="00C86111" w:rsidRDefault="00A0529E" w:rsidP="00833A40">
      <w:pPr>
        <w:pStyle w:val="ListParagraph"/>
        <w:numPr>
          <w:ilvl w:val="0"/>
          <w:numId w:val="128"/>
        </w:numPr>
        <w:spacing w:after="160" w:line="259" w:lineRule="auto"/>
        <w:jc w:val="both"/>
        <w:rPr>
          <w:rFonts w:eastAsia="Calibri" w:cstheme="minorHAnsi"/>
          <w:color w:val="000000"/>
          <w:szCs w:val="24"/>
          <w:u w:color="000000"/>
          <w:bdr w:val="nil"/>
          <w:lang w:val="sr-Latn-ME"/>
          <w14:textOutline w14:w="0" w14:cap="flat" w14:cmpd="sng" w14:algn="ctr">
            <w14:noFill/>
            <w14:prstDash w14:val="solid"/>
            <w14:bevel/>
          </w14:textOutline>
        </w:rPr>
      </w:pPr>
      <w:r w:rsidRPr="00C86111">
        <w:rPr>
          <w:rFonts w:eastAsia="Calibri" w:cstheme="minorHAnsi"/>
          <w:color w:val="000000"/>
          <w:szCs w:val="24"/>
          <w:u w:color="000000"/>
          <w:bdr w:val="nil"/>
          <w:lang w:val="sr-Latn-ME"/>
          <w14:textOutline w14:w="0" w14:cap="flat" w14:cmpd="sng" w14:algn="ctr">
            <w14:noFill/>
            <w14:prstDash w14:val="solid"/>
            <w14:bevel/>
          </w14:textOutline>
        </w:rPr>
        <w:t>Paralelno s tim, treba podržati upotrebu bezbjednijih alternativa kroz njihovu promociju, kao i putem subvencija ili drugih podsticaja za usvajanje alternativnih tehnologija.</w:t>
      </w:r>
    </w:p>
    <w:p w14:paraId="5E028555" w14:textId="77777777" w:rsidR="00A0529E" w:rsidRPr="00C86111" w:rsidRDefault="00A0529E" w:rsidP="00833A40">
      <w:pPr>
        <w:pStyle w:val="ListParagraph"/>
        <w:numPr>
          <w:ilvl w:val="0"/>
          <w:numId w:val="128"/>
        </w:numPr>
        <w:spacing w:after="160" w:line="259" w:lineRule="auto"/>
        <w:jc w:val="both"/>
        <w:rPr>
          <w:rFonts w:eastAsia="Calibri" w:cstheme="minorHAnsi"/>
          <w:color w:val="000000"/>
          <w:szCs w:val="24"/>
          <w:u w:color="000000"/>
          <w:bdr w:val="nil"/>
          <w:lang w:val="sr-Latn-ME"/>
          <w14:textOutline w14:w="0" w14:cap="flat" w14:cmpd="sng" w14:algn="ctr">
            <w14:noFill/>
            <w14:prstDash w14:val="solid"/>
            <w14:bevel/>
          </w14:textOutline>
        </w:rPr>
      </w:pPr>
      <w:r w:rsidRPr="00C86111">
        <w:rPr>
          <w:rFonts w:eastAsia="Calibri" w:cstheme="minorHAnsi"/>
          <w:color w:val="000000"/>
          <w:szCs w:val="24"/>
          <w:u w:color="000000"/>
          <w:bdr w:val="nil"/>
          <w:lang w:val="sr-Latn-ME"/>
          <w14:textOutline w14:w="0" w14:cap="flat" w14:cmpd="sng" w14:algn="ctr">
            <w14:noFill/>
            <w14:prstDash w14:val="solid"/>
            <w14:bevel/>
          </w14:textOutline>
        </w:rPr>
        <w:t>Jačanje kapaciteta mora se ostvariti kroz obuke za relevantne aktere i sprovođenje komunikacionih kampanja usmjerenih na podizanje svijesti o rizicima povezanim sa HBCD.</w:t>
      </w:r>
    </w:p>
    <w:p w14:paraId="21C1FEDF" w14:textId="77777777" w:rsidR="00A0529E" w:rsidRPr="00C86111" w:rsidRDefault="00A0529E" w:rsidP="00833A40">
      <w:pPr>
        <w:pStyle w:val="ListParagraph"/>
        <w:numPr>
          <w:ilvl w:val="0"/>
          <w:numId w:val="128"/>
        </w:numPr>
        <w:spacing w:after="160" w:line="259" w:lineRule="auto"/>
        <w:jc w:val="both"/>
        <w:rPr>
          <w:rFonts w:cstheme="minorHAnsi"/>
          <w:szCs w:val="24"/>
          <w:lang w:val="sr-Latn-ME"/>
        </w:rPr>
      </w:pPr>
      <w:r w:rsidRPr="00C86111">
        <w:rPr>
          <w:rFonts w:eastAsia="Calibri" w:cstheme="minorHAnsi"/>
          <w:color w:val="000000"/>
          <w:szCs w:val="24"/>
          <w:u w:color="000000"/>
          <w:bdr w:val="nil"/>
          <w:lang w:val="sr-Latn-ME"/>
          <w14:textOutline w14:w="0" w14:cap="flat" w14:cmpd="sng" w14:algn="ctr">
            <w14:noFill/>
            <w14:prstDash w14:val="solid"/>
            <w14:bevel/>
          </w14:textOutline>
        </w:rPr>
        <w:t>Na kraju, međunarodnu saradnju treba unaprijediti kroz učešće u regionalnim inicijativama za razmjenu podataka, usklađivanje standarda i obezbjeđivanje tehničke i finansijske podrške za unaprjeđenje infrastrukture i nastavak istraživanja.</w:t>
      </w:r>
    </w:p>
    <w:p w14:paraId="4697765D" w14:textId="77777777" w:rsidR="00201FE9" w:rsidRPr="00C86111" w:rsidRDefault="00201FE9" w:rsidP="00201FE9"/>
    <w:p w14:paraId="62868AB4" w14:textId="4B03C8A2" w:rsidR="002B20A9" w:rsidRPr="00C86111" w:rsidRDefault="002B20A9" w:rsidP="00912C4C">
      <w:pPr>
        <w:pStyle w:val="Heading1"/>
        <w:rPr>
          <w:bCs/>
        </w:rPr>
      </w:pPr>
      <w:bookmarkStart w:id="204" w:name="_Toc220541932"/>
      <w:bookmarkStart w:id="205" w:name="_Hlk70115560"/>
      <w:bookmarkStart w:id="206" w:name="_Toc323128665"/>
      <w:bookmarkStart w:id="207" w:name="_Toc327397050"/>
      <w:r w:rsidRPr="00C86111">
        <w:t xml:space="preserve">Ažurirani inventar Perfluorooktan sulfonske kiseline (PFOS), njehih soli </w:t>
      </w:r>
      <w:r w:rsidR="00F20120" w:rsidRPr="00C86111">
        <w:t>i</w:t>
      </w:r>
      <w:r w:rsidRPr="00C86111">
        <w:t xml:space="preserve"> perfluorooktan sulfonil fluorida (PFOSF)</w:t>
      </w:r>
      <w:bookmarkEnd w:id="204"/>
    </w:p>
    <w:p w14:paraId="0A54C83A" w14:textId="77777777" w:rsidR="002B20A9" w:rsidRPr="00C86111" w:rsidRDefault="002B20A9" w:rsidP="00EA6904">
      <w:pPr>
        <w:pStyle w:val="Heading3"/>
      </w:pPr>
      <w:bookmarkStart w:id="208" w:name="_Toc210632483"/>
      <w:bookmarkStart w:id="209" w:name="_Toc220541933"/>
      <w:bookmarkEnd w:id="205"/>
      <w:r w:rsidRPr="00C86111">
        <w:t>Uvod</w:t>
      </w:r>
      <w:bookmarkEnd w:id="208"/>
      <w:bookmarkEnd w:id="209"/>
    </w:p>
    <w:p w14:paraId="7192068D" w14:textId="77777777" w:rsidR="002B20A9" w:rsidRPr="00C86111" w:rsidRDefault="002B20A9" w:rsidP="002B20A9">
      <w:pPr>
        <w:jc w:val="both"/>
        <w:rPr>
          <w:rFonts w:asciiTheme="minorHAnsi" w:hAnsiTheme="minorHAnsi" w:cstheme="minorHAnsi"/>
          <w:i/>
          <w:iCs/>
          <w:color w:val="002060"/>
          <w:szCs w:val="24"/>
        </w:rPr>
      </w:pPr>
    </w:p>
    <w:p w14:paraId="0A1232E2" w14:textId="77777777" w:rsidR="002B20A9" w:rsidRPr="00C86111" w:rsidRDefault="002B20A9" w:rsidP="002B20A9">
      <w:pPr>
        <w:jc w:val="both"/>
        <w:rPr>
          <w:rFonts w:asciiTheme="minorHAnsi" w:hAnsiTheme="minorHAnsi" w:cstheme="minorHAnsi"/>
          <w:szCs w:val="24"/>
        </w:rPr>
      </w:pPr>
      <w:r w:rsidRPr="00C86111">
        <w:rPr>
          <w:rFonts w:asciiTheme="minorHAnsi" w:hAnsiTheme="minorHAnsi" w:cstheme="minorHAnsi"/>
          <w:szCs w:val="24"/>
        </w:rPr>
        <w:t>PFOS, njegove soli i PFOSF su perzistentna organska zagađujuća jedinjenja (POP) koja pripada široj grupi Per- i polifluoriranihalkil jedinjenja (PFAS). PFOS je poznat po svojoj izuzetnoj hemijskoj i termičkoj stabilnosti, kao i hidro- i lipofobnim svojstvima, što ga čini veoma korisnim u različitim industrijskim i komercijalnim primjenama. Međutim, zbog svoje perzistentnosti u životnoj sredini i toksičnosti za ljude i ekosisteme, PFOS je danas predmet stroge regulative, uključujući njegovu uvrštenost u Stokholmsku konvenciju o POPs-ovima.</w:t>
      </w:r>
    </w:p>
    <w:p w14:paraId="076589DC" w14:textId="77777777" w:rsidR="002B20A9" w:rsidRPr="00C86111" w:rsidRDefault="002B20A9" w:rsidP="00EA6904">
      <w:pPr>
        <w:pStyle w:val="Heading3"/>
        <w:rPr>
          <w:rStyle w:val="Strong"/>
          <w:b/>
          <w:bCs/>
          <w:i/>
          <w:iCs w:val="0"/>
        </w:rPr>
      </w:pPr>
      <w:bookmarkStart w:id="210" w:name="_Toc210632484"/>
      <w:bookmarkStart w:id="211" w:name="_Toc220541934"/>
      <w:r w:rsidRPr="00C86111">
        <w:rPr>
          <w:rStyle w:val="Strong"/>
          <w:i/>
        </w:rPr>
        <w:t>Primjena PFOS-a</w:t>
      </w:r>
      <w:bookmarkEnd w:id="210"/>
      <w:bookmarkEnd w:id="211"/>
    </w:p>
    <w:p w14:paraId="5D666768" w14:textId="77777777" w:rsidR="002B20A9" w:rsidRPr="00C86111" w:rsidRDefault="002B20A9" w:rsidP="002B20A9">
      <w:pPr>
        <w:jc w:val="both"/>
        <w:rPr>
          <w:rFonts w:asciiTheme="minorHAnsi" w:hAnsiTheme="minorHAnsi" w:cstheme="minorHAnsi"/>
          <w:b/>
          <w:bCs/>
          <w:i/>
          <w:iCs/>
          <w:color w:val="002060"/>
          <w:szCs w:val="24"/>
        </w:rPr>
      </w:pPr>
    </w:p>
    <w:p w14:paraId="3C99DA3F" w14:textId="77777777" w:rsidR="002B20A9" w:rsidRPr="00C86111" w:rsidRDefault="002B20A9" w:rsidP="002B20A9">
      <w:pPr>
        <w:jc w:val="both"/>
        <w:rPr>
          <w:rFonts w:asciiTheme="minorHAnsi" w:hAnsiTheme="minorHAnsi" w:cstheme="minorHAnsi"/>
          <w:szCs w:val="24"/>
        </w:rPr>
      </w:pPr>
      <w:r w:rsidRPr="00C86111">
        <w:rPr>
          <w:rFonts w:asciiTheme="minorHAnsi" w:hAnsiTheme="minorHAnsi" w:cstheme="minorHAnsi"/>
          <w:szCs w:val="24"/>
        </w:rPr>
        <w:t>PFOS se istorijski koristio u širokom spektru proizvoda i industrija, uključujući:</w:t>
      </w:r>
    </w:p>
    <w:p w14:paraId="75567814" w14:textId="77777777" w:rsidR="002B20A9" w:rsidRPr="00C86111" w:rsidRDefault="002B20A9" w:rsidP="00833A40">
      <w:pPr>
        <w:pStyle w:val="ListParagraph"/>
        <w:numPr>
          <w:ilvl w:val="0"/>
          <w:numId w:val="129"/>
        </w:numPr>
        <w:jc w:val="both"/>
        <w:rPr>
          <w:rFonts w:asciiTheme="minorHAnsi" w:hAnsiTheme="minorHAnsi" w:cstheme="minorHAnsi"/>
          <w:szCs w:val="24"/>
        </w:rPr>
      </w:pPr>
      <w:r w:rsidRPr="00C86111">
        <w:rPr>
          <w:rStyle w:val="Strong"/>
          <w:rFonts w:asciiTheme="minorHAnsi" w:hAnsiTheme="minorHAnsi" w:cstheme="minorHAnsi"/>
          <w:b w:val="0"/>
          <w:bCs w:val="0"/>
          <w:szCs w:val="24"/>
        </w:rPr>
        <w:t>Protivpožarne pjene</w:t>
      </w:r>
      <w:r w:rsidRPr="00C86111">
        <w:rPr>
          <w:rFonts w:asciiTheme="minorHAnsi" w:hAnsiTheme="minorHAnsi" w:cstheme="minorHAnsi"/>
          <w:szCs w:val="24"/>
        </w:rPr>
        <w:t>: PFOS je bio ključni sastojak u vodenim filmskim pjenama (AFFF) koje su se koristile za gašenje požara, naročito u avijaciji i industriji nafte i gasa.</w:t>
      </w:r>
    </w:p>
    <w:p w14:paraId="11498543" w14:textId="77777777" w:rsidR="002B20A9" w:rsidRPr="00C86111" w:rsidRDefault="002B20A9" w:rsidP="00833A40">
      <w:pPr>
        <w:pStyle w:val="ListParagraph"/>
        <w:numPr>
          <w:ilvl w:val="0"/>
          <w:numId w:val="129"/>
        </w:numPr>
        <w:jc w:val="both"/>
        <w:rPr>
          <w:rFonts w:asciiTheme="minorHAnsi" w:hAnsiTheme="minorHAnsi" w:cstheme="minorHAnsi"/>
          <w:szCs w:val="24"/>
        </w:rPr>
      </w:pPr>
      <w:r w:rsidRPr="00C86111">
        <w:rPr>
          <w:rStyle w:val="Strong"/>
          <w:rFonts w:asciiTheme="minorHAnsi" w:hAnsiTheme="minorHAnsi" w:cstheme="minorHAnsi"/>
          <w:b w:val="0"/>
          <w:bCs w:val="0"/>
          <w:szCs w:val="24"/>
        </w:rPr>
        <w:t>Tekstil i premazni materijali</w:t>
      </w:r>
      <w:r w:rsidRPr="00C86111">
        <w:rPr>
          <w:rFonts w:asciiTheme="minorHAnsi" w:hAnsiTheme="minorHAnsi" w:cstheme="minorHAnsi"/>
          <w:szCs w:val="24"/>
        </w:rPr>
        <w:t>: Dodavao se materijalima kako bi im pružio otpornost na vodu, ulje i mrlje. Ova primjena bila je uobičajena u proizvodnji odjeće, tepiha i presvlaka.</w:t>
      </w:r>
    </w:p>
    <w:p w14:paraId="4C8A27B1" w14:textId="77777777" w:rsidR="002B20A9" w:rsidRPr="00C86111" w:rsidRDefault="002B20A9" w:rsidP="00833A40">
      <w:pPr>
        <w:pStyle w:val="ListParagraph"/>
        <w:numPr>
          <w:ilvl w:val="0"/>
          <w:numId w:val="129"/>
        </w:numPr>
        <w:jc w:val="both"/>
        <w:rPr>
          <w:rFonts w:asciiTheme="minorHAnsi" w:hAnsiTheme="minorHAnsi" w:cstheme="minorHAnsi"/>
          <w:szCs w:val="24"/>
        </w:rPr>
      </w:pPr>
      <w:r w:rsidRPr="00C86111">
        <w:rPr>
          <w:rStyle w:val="Strong"/>
          <w:rFonts w:asciiTheme="minorHAnsi" w:hAnsiTheme="minorHAnsi" w:cstheme="minorHAnsi"/>
          <w:b w:val="0"/>
          <w:bCs w:val="0"/>
          <w:szCs w:val="24"/>
        </w:rPr>
        <w:t>Industrija poluprovodnika</w:t>
      </w:r>
      <w:r w:rsidRPr="00C86111">
        <w:rPr>
          <w:rFonts w:asciiTheme="minorHAnsi" w:hAnsiTheme="minorHAnsi" w:cstheme="minorHAnsi"/>
          <w:szCs w:val="24"/>
        </w:rPr>
        <w:t>: PFOS se koristio kao aditiv u hemikalijama za fotolitografiju i elektrohemijsko graviranje, omogućavajući visoku preciznost u proizvodnji elektronskih komponenti.</w:t>
      </w:r>
    </w:p>
    <w:p w14:paraId="6B218EA9" w14:textId="77777777" w:rsidR="002B20A9" w:rsidRPr="00C86111" w:rsidRDefault="002B20A9" w:rsidP="00833A40">
      <w:pPr>
        <w:pStyle w:val="ListParagraph"/>
        <w:numPr>
          <w:ilvl w:val="0"/>
          <w:numId w:val="129"/>
        </w:numPr>
        <w:jc w:val="both"/>
        <w:rPr>
          <w:rFonts w:asciiTheme="minorHAnsi" w:hAnsiTheme="minorHAnsi" w:cstheme="minorHAnsi"/>
          <w:szCs w:val="24"/>
        </w:rPr>
      </w:pPr>
      <w:r w:rsidRPr="00C86111">
        <w:rPr>
          <w:rStyle w:val="Strong"/>
          <w:rFonts w:asciiTheme="minorHAnsi" w:hAnsiTheme="minorHAnsi" w:cstheme="minorHAnsi"/>
          <w:b w:val="0"/>
          <w:bCs w:val="0"/>
          <w:szCs w:val="24"/>
        </w:rPr>
        <w:t>Elektrotehnička industrija</w:t>
      </w:r>
      <w:r w:rsidRPr="00C86111">
        <w:rPr>
          <w:rFonts w:asciiTheme="minorHAnsi" w:hAnsiTheme="minorHAnsi" w:cstheme="minorHAnsi"/>
          <w:szCs w:val="24"/>
        </w:rPr>
        <w:t>: PFOS je korišćen kao izolacioni materijal i sredstvo za omekšavanje plastike u elektronskim uređajima.</w:t>
      </w:r>
    </w:p>
    <w:p w14:paraId="016ACFAD" w14:textId="77777777" w:rsidR="002B20A9" w:rsidRPr="00C86111" w:rsidRDefault="002B20A9" w:rsidP="00833A40">
      <w:pPr>
        <w:pStyle w:val="ListParagraph"/>
        <w:numPr>
          <w:ilvl w:val="0"/>
          <w:numId w:val="129"/>
        </w:numPr>
        <w:jc w:val="both"/>
        <w:rPr>
          <w:rFonts w:asciiTheme="minorHAnsi" w:hAnsiTheme="minorHAnsi" w:cstheme="minorHAnsi"/>
          <w:szCs w:val="24"/>
        </w:rPr>
      </w:pPr>
      <w:r w:rsidRPr="00C86111">
        <w:rPr>
          <w:rStyle w:val="Strong"/>
          <w:rFonts w:asciiTheme="minorHAnsi" w:hAnsiTheme="minorHAnsi" w:cstheme="minorHAnsi"/>
          <w:b w:val="0"/>
          <w:bCs w:val="0"/>
          <w:szCs w:val="24"/>
        </w:rPr>
        <w:t>Pesticidi i sredstva za zaštitu biljaka</w:t>
      </w:r>
      <w:r w:rsidRPr="00C86111">
        <w:rPr>
          <w:rFonts w:asciiTheme="minorHAnsi" w:hAnsiTheme="minorHAnsi" w:cstheme="minorHAnsi"/>
          <w:szCs w:val="24"/>
        </w:rPr>
        <w:t>: PFOS je dodavan pesticidima kao stabilizator i sredstvo za poboljšanje efikasnosti.</w:t>
      </w:r>
    </w:p>
    <w:p w14:paraId="79ADD113" w14:textId="77777777" w:rsidR="002B20A9" w:rsidRDefault="002B20A9" w:rsidP="002B20A9">
      <w:pPr>
        <w:pStyle w:val="ListParagraph"/>
        <w:jc w:val="both"/>
        <w:rPr>
          <w:rFonts w:asciiTheme="minorHAnsi" w:hAnsiTheme="minorHAnsi" w:cstheme="minorHAnsi"/>
          <w:szCs w:val="24"/>
        </w:rPr>
      </w:pPr>
    </w:p>
    <w:p w14:paraId="50E53D16" w14:textId="77777777" w:rsidR="00D966EC" w:rsidRPr="00C86111" w:rsidRDefault="00D966EC" w:rsidP="002B20A9">
      <w:pPr>
        <w:pStyle w:val="ListParagraph"/>
        <w:jc w:val="both"/>
        <w:rPr>
          <w:rFonts w:asciiTheme="minorHAnsi" w:hAnsiTheme="minorHAnsi" w:cstheme="minorHAnsi"/>
          <w:szCs w:val="24"/>
        </w:rPr>
      </w:pPr>
    </w:p>
    <w:p w14:paraId="1C3AACB5" w14:textId="77777777" w:rsidR="002B20A9" w:rsidRPr="00C86111" w:rsidRDefault="002B20A9" w:rsidP="00EA6904">
      <w:pPr>
        <w:pStyle w:val="Heading3"/>
      </w:pPr>
      <w:bookmarkStart w:id="212" w:name="_Toc132656204"/>
      <w:bookmarkStart w:id="213" w:name="_Toc210632485"/>
      <w:bookmarkStart w:id="214" w:name="_Toc220541935"/>
      <w:bookmarkStart w:id="215" w:name="_Toc323295465"/>
      <w:bookmarkStart w:id="216" w:name="_Toc533246556"/>
      <w:bookmarkStart w:id="217" w:name="_Toc535472844"/>
      <w:r w:rsidRPr="00C86111">
        <w:lastRenderedPageBreak/>
        <w:t>Status PFOS, njegove soli i PFOSF</w:t>
      </w:r>
      <w:bookmarkEnd w:id="212"/>
      <w:r w:rsidRPr="00C86111">
        <w:t xml:space="preserve"> u okviru Stokholmske konvencije</w:t>
      </w:r>
      <w:bookmarkEnd w:id="213"/>
      <w:bookmarkEnd w:id="214"/>
    </w:p>
    <w:p w14:paraId="120062DD" w14:textId="77777777" w:rsidR="002B20A9" w:rsidRPr="00C86111" w:rsidRDefault="002B20A9" w:rsidP="002B20A9">
      <w:pPr>
        <w:jc w:val="both"/>
        <w:rPr>
          <w:rFonts w:asciiTheme="minorHAnsi" w:hAnsiTheme="minorHAnsi" w:cstheme="minorHAnsi"/>
          <w:i/>
          <w:iCs/>
          <w:color w:val="002060"/>
          <w:szCs w:val="24"/>
        </w:rPr>
      </w:pPr>
    </w:p>
    <w:p w14:paraId="33DD7A39" w14:textId="77777777" w:rsidR="002B20A9" w:rsidRPr="00C86111" w:rsidRDefault="002B20A9" w:rsidP="002B20A9">
      <w:pPr>
        <w:jc w:val="both"/>
        <w:rPr>
          <w:rFonts w:asciiTheme="minorHAnsi" w:eastAsia="Times New Roman" w:hAnsiTheme="minorHAnsi" w:cstheme="minorHAnsi"/>
          <w:color w:val="auto"/>
          <w:szCs w:val="24"/>
          <w:lang w:eastAsia="en-GB"/>
        </w:rPr>
      </w:pPr>
      <w:bookmarkStart w:id="218" w:name="_Hlk182988450"/>
      <w:r w:rsidRPr="00C86111">
        <w:rPr>
          <w:rFonts w:asciiTheme="minorHAnsi" w:eastAsia="Times New Roman" w:hAnsiTheme="minorHAnsi" w:cstheme="minorHAnsi"/>
          <w:color w:val="auto"/>
          <w:szCs w:val="24"/>
          <w:lang w:eastAsia="en-GB"/>
        </w:rPr>
        <w:t>U maju 2009. godine, na Konferenciji zemalja potpisnica Stokholmske konvencije o perzistentnim organskim zagađujućim supstancama izmjenjen je Aneks B Konvencije kako bi u njega uvrstili PFOS, njegove soli i PFOSF uz specifične izuzetke i prihvatljive namjene (odluka SC-4/17).</w:t>
      </w:r>
    </w:p>
    <w:p w14:paraId="52A6B08D" w14:textId="0521D7FA" w:rsidR="002B20A9" w:rsidRPr="00C86111" w:rsidRDefault="002B20A9" w:rsidP="002B20A9">
      <w:pPr>
        <w:jc w:val="both"/>
        <w:rPr>
          <w:rFonts w:asciiTheme="minorHAnsi" w:eastAsia="Times New Roman" w:hAnsiTheme="minorHAnsi" w:cstheme="minorHAnsi"/>
          <w:color w:val="auto"/>
          <w:szCs w:val="24"/>
          <w:lang w:eastAsia="en-GB"/>
        </w:rPr>
      </w:pPr>
      <w:r w:rsidRPr="00C86111">
        <w:rPr>
          <w:rFonts w:asciiTheme="minorHAnsi" w:eastAsia="Times New Roman" w:hAnsiTheme="minorHAnsi" w:cstheme="minorHAnsi"/>
          <w:color w:val="auto"/>
          <w:szCs w:val="24"/>
          <w:lang w:eastAsia="en-GB"/>
        </w:rPr>
        <w:t xml:space="preserve">Godine 2019, nakon razmatranja izveštaja o procjeni alternativa za PFOS, njegove soli i PFOSF, kao i izveštaja o evaluaciji PFOS-a, njegovih soli i PFOSF-a, Konferencija strana je izmjenila prihvatljive namjene i specifične izuzetke za PFOS, njegove soli i PFOSF (odluka SC-9/4), kako je prikazano u Tabeli </w:t>
      </w:r>
      <w:r w:rsidR="00862B9D" w:rsidRPr="00C86111">
        <w:rPr>
          <w:rFonts w:asciiTheme="minorHAnsi" w:eastAsia="Times New Roman" w:hAnsiTheme="minorHAnsi" w:cstheme="minorHAnsi"/>
          <w:color w:val="auto"/>
          <w:szCs w:val="24"/>
          <w:lang w:eastAsia="en-GB"/>
        </w:rPr>
        <w:t>67</w:t>
      </w:r>
      <w:r w:rsidRPr="00C86111">
        <w:rPr>
          <w:rFonts w:asciiTheme="minorHAnsi" w:eastAsia="Times New Roman" w:hAnsiTheme="minorHAnsi" w:cstheme="minorHAnsi"/>
          <w:color w:val="auto"/>
          <w:szCs w:val="24"/>
          <w:lang w:eastAsia="en-GB"/>
        </w:rPr>
        <w:t>.</w:t>
      </w:r>
    </w:p>
    <w:p w14:paraId="5FCFF4E0" w14:textId="77777777" w:rsidR="002B20A9" w:rsidRPr="00C86111" w:rsidRDefault="002B20A9" w:rsidP="002B20A9">
      <w:pPr>
        <w:jc w:val="both"/>
        <w:rPr>
          <w:rFonts w:asciiTheme="minorHAnsi" w:eastAsia="Times New Roman" w:hAnsiTheme="minorHAnsi" w:cstheme="minorHAnsi"/>
          <w:color w:val="auto"/>
          <w:szCs w:val="24"/>
          <w:lang w:eastAsia="en-GB"/>
        </w:rPr>
      </w:pPr>
      <w:r w:rsidRPr="00C86111">
        <w:rPr>
          <w:rFonts w:asciiTheme="minorHAnsi" w:eastAsia="Times New Roman" w:hAnsiTheme="minorHAnsi" w:cstheme="minorHAnsi"/>
          <w:color w:val="auto"/>
          <w:szCs w:val="24"/>
          <w:lang w:eastAsia="en-GB"/>
        </w:rPr>
        <w:t>Ova izmjena zasnovana je na činjenici da više nema nijedne zemlje potpisnice registrovane za specifične izuzetke u vezi sa proizvodnjom i upotrebom PFOS-a, njegovih soli i PFOSF-a za sledeće namjene: tepihe, kožu i odjeću, tekstil i nameštaj, papir i ambalažu, premaze i dodatke za premaze, kao i gumu i plastiku. Takođe, nove registracije za ove namjene više nisu moguće.</w:t>
      </w:r>
    </w:p>
    <w:p w14:paraId="4574DCF0" w14:textId="77777777" w:rsidR="00F20120" w:rsidRPr="00C86111" w:rsidRDefault="00F20120" w:rsidP="002B20A9">
      <w:pPr>
        <w:jc w:val="both"/>
        <w:rPr>
          <w:rFonts w:asciiTheme="minorHAnsi" w:hAnsiTheme="minorHAnsi" w:cstheme="minorHAnsi"/>
          <w:b/>
          <w:bCs/>
          <w:szCs w:val="24"/>
        </w:rPr>
      </w:pPr>
      <w:bookmarkStart w:id="219" w:name="_Ref62941800"/>
      <w:bookmarkStart w:id="220" w:name="_Toc65240885"/>
    </w:p>
    <w:p w14:paraId="2F971C1D" w14:textId="611BAC5B" w:rsidR="002B20A9" w:rsidRPr="00C86111" w:rsidRDefault="002B20A9" w:rsidP="002B20A9">
      <w:pPr>
        <w:jc w:val="both"/>
        <w:rPr>
          <w:rFonts w:asciiTheme="minorHAnsi" w:hAnsiTheme="minorHAnsi" w:cstheme="minorHAnsi"/>
          <w:szCs w:val="24"/>
        </w:rPr>
      </w:pPr>
      <w:r w:rsidRPr="00C86111">
        <w:rPr>
          <w:rFonts w:asciiTheme="minorHAnsi" w:hAnsiTheme="minorHAnsi" w:cstheme="minorHAnsi"/>
          <w:b/>
          <w:bCs/>
          <w:szCs w:val="24"/>
        </w:rPr>
        <w:t xml:space="preserve">Tabela </w:t>
      </w:r>
      <w:r w:rsidR="00862B9D" w:rsidRPr="00C86111">
        <w:rPr>
          <w:rFonts w:asciiTheme="minorHAnsi" w:hAnsiTheme="minorHAnsi" w:cstheme="minorHAnsi"/>
          <w:b/>
          <w:bCs/>
          <w:szCs w:val="24"/>
        </w:rPr>
        <w:t>67</w:t>
      </w:r>
      <w:r w:rsidRPr="00C86111">
        <w:rPr>
          <w:rFonts w:asciiTheme="minorHAnsi" w:hAnsiTheme="minorHAnsi" w:cstheme="minorHAnsi"/>
          <w:b/>
          <w:bCs/>
          <w:szCs w:val="24"/>
        </w:rPr>
        <w:t>:</w:t>
      </w:r>
      <w:r w:rsidRPr="00C86111">
        <w:rPr>
          <w:rFonts w:asciiTheme="minorHAnsi" w:hAnsiTheme="minorHAnsi" w:cstheme="minorHAnsi"/>
          <w:szCs w:val="24"/>
        </w:rPr>
        <w:t xml:space="preserve"> Uvrštavanje PFOS-a, njegovih soli i PFOSF-a u Stokholmsku konvenciju prema odluci SC-9/4</w:t>
      </w:r>
    </w:p>
    <w:tbl>
      <w:tblPr>
        <w:tblStyle w:val="GridTable5Dark-Accent6"/>
        <w:tblW w:w="8926" w:type="dxa"/>
        <w:tblLook w:val="04A0" w:firstRow="1" w:lastRow="0" w:firstColumn="1" w:lastColumn="0" w:noHBand="0" w:noVBand="1"/>
      </w:tblPr>
      <w:tblGrid>
        <w:gridCol w:w="3351"/>
        <w:gridCol w:w="1157"/>
        <w:gridCol w:w="4418"/>
      </w:tblGrid>
      <w:tr w:rsidR="002B20A9" w:rsidRPr="00C86111" w14:paraId="510C510B" w14:textId="77777777" w:rsidTr="00BC765B">
        <w:trPr>
          <w:cnfStyle w:val="100000000000" w:firstRow="1" w:lastRow="0" w:firstColumn="0" w:lastColumn="0" w:oddVBand="0" w:evenVBand="0" w:oddHBand="0"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3351" w:type="dxa"/>
          </w:tcPr>
          <w:bookmarkEnd w:id="219"/>
          <w:bookmarkEnd w:id="220"/>
          <w:p w14:paraId="531E5D79" w14:textId="77777777" w:rsidR="002B20A9" w:rsidRPr="00C86111" w:rsidRDefault="002B20A9" w:rsidP="00BC765B">
            <w:pPr>
              <w:jc w:val="both"/>
              <w:rPr>
                <w:rFonts w:asciiTheme="minorHAnsi" w:hAnsiTheme="minorHAnsi" w:cstheme="minorHAnsi"/>
                <w:b w:val="0"/>
                <w:sz w:val="20"/>
                <w:szCs w:val="20"/>
              </w:rPr>
            </w:pPr>
            <w:r w:rsidRPr="00C86111">
              <w:rPr>
                <w:rFonts w:asciiTheme="minorHAnsi" w:hAnsiTheme="minorHAnsi" w:cstheme="minorHAnsi"/>
                <w:sz w:val="20"/>
                <w:szCs w:val="20"/>
              </w:rPr>
              <w:t>Hemikalija</w:t>
            </w:r>
          </w:p>
        </w:tc>
        <w:tc>
          <w:tcPr>
            <w:tcW w:w="1157" w:type="dxa"/>
          </w:tcPr>
          <w:p w14:paraId="4EF4DC19"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0"/>
                <w:szCs w:val="20"/>
              </w:rPr>
            </w:pPr>
            <w:r w:rsidRPr="00C86111">
              <w:rPr>
                <w:rFonts w:asciiTheme="minorHAnsi" w:hAnsiTheme="minorHAnsi" w:cstheme="minorHAnsi"/>
                <w:sz w:val="20"/>
                <w:szCs w:val="20"/>
              </w:rPr>
              <w:t>Aktivnost</w:t>
            </w:r>
          </w:p>
        </w:tc>
        <w:tc>
          <w:tcPr>
            <w:tcW w:w="4418" w:type="dxa"/>
          </w:tcPr>
          <w:p w14:paraId="22AC8F90"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0"/>
                <w:szCs w:val="20"/>
              </w:rPr>
            </w:pPr>
            <w:r w:rsidRPr="00C86111">
              <w:rPr>
                <w:rFonts w:asciiTheme="minorHAnsi" w:hAnsiTheme="minorHAnsi" w:cstheme="minorHAnsi"/>
                <w:sz w:val="20"/>
                <w:szCs w:val="20"/>
              </w:rPr>
              <w:t>Posebno izuzeće</w:t>
            </w:r>
          </w:p>
        </w:tc>
      </w:tr>
      <w:tr w:rsidR="002B20A9" w:rsidRPr="00C86111" w14:paraId="29B12300" w14:textId="77777777" w:rsidTr="00BC765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3351" w:type="dxa"/>
            <w:vMerge w:val="restart"/>
          </w:tcPr>
          <w:p w14:paraId="608DE2A5" w14:textId="77777777" w:rsidR="002B20A9" w:rsidRPr="00C86111" w:rsidRDefault="002B20A9" w:rsidP="00BC765B">
            <w:pPr>
              <w:jc w:val="both"/>
              <w:rPr>
                <w:rFonts w:asciiTheme="minorHAnsi" w:hAnsiTheme="minorHAnsi" w:cstheme="minorHAnsi"/>
                <w:sz w:val="20"/>
                <w:szCs w:val="20"/>
              </w:rPr>
            </w:pPr>
            <w:r w:rsidRPr="00C86111">
              <w:rPr>
                <w:rFonts w:asciiTheme="minorHAnsi" w:hAnsiTheme="minorHAnsi" w:cstheme="minorHAnsi"/>
                <w:sz w:val="20"/>
                <w:szCs w:val="20"/>
              </w:rPr>
              <w:t>Perfluorooctane sulfonic acid (CAS No. 1763-23-1), its salts</w:t>
            </w:r>
            <w:r w:rsidRPr="00C86111">
              <w:rPr>
                <w:rFonts w:asciiTheme="minorHAnsi" w:hAnsiTheme="minorHAnsi" w:cstheme="minorHAnsi"/>
                <w:sz w:val="20"/>
                <w:szCs w:val="20"/>
                <w:vertAlign w:val="superscript"/>
              </w:rPr>
              <w:t>a</w:t>
            </w:r>
            <w:r w:rsidRPr="00C86111">
              <w:rPr>
                <w:rFonts w:asciiTheme="minorHAnsi" w:hAnsiTheme="minorHAnsi" w:cstheme="minorHAnsi"/>
                <w:sz w:val="20"/>
                <w:szCs w:val="20"/>
              </w:rPr>
              <w:t xml:space="preserve"> and perfluorooctane sulfonyl fluoride (CAS No. 307-35-7) </w:t>
            </w:r>
          </w:p>
          <w:p w14:paraId="3E3CB101" w14:textId="77777777" w:rsidR="002B20A9" w:rsidRPr="00C86111" w:rsidRDefault="002B20A9" w:rsidP="00BC765B">
            <w:pPr>
              <w:jc w:val="both"/>
              <w:rPr>
                <w:rFonts w:asciiTheme="minorHAnsi" w:hAnsiTheme="minorHAnsi" w:cstheme="minorHAnsi"/>
                <w:sz w:val="20"/>
                <w:szCs w:val="20"/>
              </w:rPr>
            </w:pPr>
          </w:p>
          <w:p w14:paraId="395F3DC5" w14:textId="77777777" w:rsidR="002B20A9" w:rsidRPr="00C86111" w:rsidRDefault="002B20A9" w:rsidP="00BC765B">
            <w:pPr>
              <w:jc w:val="both"/>
              <w:rPr>
                <w:rFonts w:asciiTheme="minorHAnsi" w:hAnsiTheme="minorHAnsi" w:cstheme="minorHAnsi"/>
                <w:sz w:val="20"/>
                <w:szCs w:val="20"/>
              </w:rPr>
            </w:pPr>
            <w:r w:rsidRPr="00C86111">
              <w:rPr>
                <w:rFonts w:asciiTheme="minorHAnsi" w:hAnsiTheme="minorHAnsi" w:cstheme="minorHAnsi"/>
                <w:sz w:val="20"/>
                <w:szCs w:val="20"/>
                <w:vertAlign w:val="superscript"/>
              </w:rPr>
              <w:t>a</w:t>
            </w:r>
            <w:r w:rsidRPr="00C86111">
              <w:rPr>
                <w:rFonts w:asciiTheme="minorHAnsi" w:hAnsiTheme="minorHAnsi" w:cstheme="minorHAnsi"/>
                <w:sz w:val="20"/>
                <w:szCs w:val="20"/>
              </w:rPr>
              <w:t xml:space="preserve"> na primjer: </w:t>
            </w:r>
          </w:p>
          <w:p w14:paraId="15D17035" w14:textId="77777777" w:rsidR="002B20A9" w:rsidRPr="00C86111" w:rsidRDefault="002B20A9" w:rsidP="00BC765B">
            <w:pPr>
              <w:jc w:val="both"/>
              <w:rPr>
                <w:rFonts w:asciiTheme="minorHAnsi" w:hAnsiTheme="minorHAnsi" w:cstheme="minorHAnsi"/>
                <w:sz w:val="20"/>
                <w:szCs w:val="20"/>
              </w:rPr>
            </w:pPr>
            <w:r w:rsidRPr="00C86111">
              <w:rPr>
                <w:rFonts w:asciiTheme="minorHAnsi" w:hAnsiTheme="minorHAnsi" w:cstheme="minorHAnsi"/>
                <w:sz w:val="20"/>
                <w:szCs w:val="20"/>
              </w:rPr>
              <w:t xml:space="preserve">potassium perfluorooctane sulfonate (CAS No: 2795-39-3); </w:t>
            </w:r>
          </w:p>
          <w:p w14:paraId="1ECA593A" w14:textId="77777777" w:rsidR="002B20A9" w:rsidRPr="00C86111" w:rsidRDefault="002B20A9" w:rsidP="00BC765B">
            <w:pPr>
              <w:jc w:val="both"/>
              <w:rPr>
                <w:rFonts w:asciiTheme="minorHAnsi" w:hAnsiTheme="minorHAnsi" w:cstheme="minorHAnsi"/>
                <w:sz w:val="20"/>
                <w:szCs w:val="20"/>
              </w:rPr>
            </w:pPr>
            <w:r w:rsidRPr="00C86111">
              <w:rPr>
                <w:rFonts w:asciiTheme="minorHAnsi" w:hAnsiTheme="minorHAnsi" w:cstheme="minorHAnsi"/>
                <w:sz w:val="20"/>
                <w:szCs w:val="20"/>
              </w:rPr>
              <w:t xml:space="preserve">lithium perfluorooctane sulfonate (CAS No: 29457-72-5); </w:t>
            </w:r>
          </w:p>
          <w:p w14:paraId="53CDD3D8" w14:textId="77777777" w:rsidR="002B20A9" w:rsidRPr="00C86111" w:rsidRDefault="002B20A9" w:rsidP="00BC765B">
            <w:pPr>
              <w:jc w:val="both"/>
              <w:rPr>
                <w:rFonts w:asciiTheme="minorHAnsi" w:hAnsiTheme="minorHAnsi" w:cstheme="minorHAnsi"/>
                <w:sz w:val="20"/>
                <w:szCs w:val="20"/>
              </w:rPr>
            </w:pPr>
            <w:r w:rsidRPr="00C86111">
              <w:rPr>
                <w:rFonts w:asciiTheme="minorHAnsi" w:hAnsiTheme="minorHAnsi" w:cstheme="minorHAnsi"/>
                <w:sz w:val="20"/>
                <w:szCs w:val="20"/>
              </w:rPr>
              <w:t xml:space="preserve">ammonium perfluorooctane sulfonate (CAS No: 29081-56-9); </w:t>
            </w:r>
          </w:p>
          <w:p w14:paraId="1A44F424" w14:textId="77777777" w:rsidR="002B20A9" w:rsidRPr="00C86111" w:rsidRDefault="002B20A9" w:rsidP="00BC765B">
            <w:pPr>
              <w:jc w:val="both"/>
              <w:rPr>
                <w:rFonts w:asciiTheme="minorHAnsi" w:hAnsiTheme="minorHAnsi" w:cstheme="minorHAnsi"/>
                <w:sz w:val="20"/>
                <w:szCs w:val="20"/>
              </w:rPr>
            </w:pPr>
            <w:r w:rsidRPr="00C86111">
              <w:rPr>
                <w:rFonts w:asciiTheme="minorHAnsi" w:hAnsiTheme="minorHAnsi" w:cstheme="minorHAnsi"/>
                <w:sz w:val="20"/>
                <w:szCs w:val="20"/>
              </w:rPr>
              <w:t xml:space="preserve">diethanolammonium perfluorooctane sulfonate (CAS No: 70225-14-8); </w:t>
            </w:r>
          </w:p>
          <w:p w14:paraId="6256C76B" w14:textId="77777777" w:rsidR="002B20A9" w:rsidRPr="00C86111" w:rsidRDefault="002B20A9" w:rsidP="00BC765B">
            <w:pPr>
              <w:jc w:val="both"/>
              <w:rPr>
                <w:rFonts w:asciiTheme="minorHAnsi" w:hAnsiTheme="minorHAnsi" w:cstheme="minorHAnsi"/>
                <w:sz w:val="20"/>
                <w:szCs w:val="20"/>
              </w:rPr>
            </w:pPr>
            <w:r w:rsidRPr="00C86111">
              <w:rPr>
                <w:rFonts w:asciiTheme="minorHAnsi" w:hAnsiTheme="minorHAnsi" w:cstheme="minorHAnsi"/>
                <w:sz w:val="20"/>
                <w:szCs w:val="20"/>
              </w:rPr>
              <w:t xml:space="preserve">tetraethylammonium perfluorooctane sulfonate (CAS No: 56773-42-3); </w:t>
            </w:r>
          </w:p>
          <w:p w14:paraId="362D3282" w14:textId="77777777" w:rsidR="002B20A9" w:rsidRPr="00C86111" w:rsidRDefault="002B20A9" w:rsidP="00BC765B">
            <w:pPr>
              <w:jc w:val="both"/>
              <w:rPr>
                <w:rFonts w:asciiTheme="minorHAnsi" w:hAnsiTheme="minorHAnsi" w:cstheme="minorHAnsi"/>
                <w:sz w:val="20"/>
                <w:szCs w:val="20"/>
              </w:rPr>
            </w:pPr>
            <w:r w:rsidRPr="00C86111">
              <w:rPr>
                <w:rFonts w:asciiTheme="minorHAnsi" w:hAnsiTheme="minorHAnsi" w:cstheme="minorHAnsi"/>
                <w:sz w:val="20"/>
                <w:szCs w:val="20"/>
              </w:rPr>
              <w:t>didecyldimethylammonium perfluorooctane sulfonate (CAS No: 251099-16-8)</w:t>
            </w:r>
          </w:p>
        </w:tc>
        <w:tc>
          <w:tcPr>
            <w:tcW w:w="1157" w:type="dxa"/>
          </w:tcPr>
          <w:p w14:paraId="7EF7688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Proizvodna</w:t>
            </w:r>
          </w:p>
        </w:tc>
        <w:tc>
          <w:tcPr>
            <w:tcW w:w="4418" w:type="dxa"/>
          </w:tcPr>
          <w:p w14:paraId="747147C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Prihvatljiva svrha:</w:t>
            </w:r>
          </w:p>
          <w:p w14:paraId="38DB5D3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U skladu sa Dijelom III Aneksa B, proizvodnja drugih hemikalija koje će se koristiti isključivo za dolje navedene svrhe. Proizvodnja za dolje navedene namene.</w:t>
            </w:r>
          </w:p>
          <w:p w14:paraId="529391D8"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Specifični izuzetak:</w:t>
            </w:r>
          </w:p>
          <w:p w14:paraId="024EF24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Nema.</w:t>
            </w:r>
          </w:p>
        </w:tc>
      </w:tr>
      <w:tr w:rsidR="002B20A9" w:rsidRPr="00C86111" w14:paraId="72C8F97C" w14:textId="77777777" w:rsidTr="00BC765B">
        <w:trPr>
          <w:trHeight w:val="779"/>
        </w:trPr>
        <w:tc>
          <w:tcPr>
            <w:cnfStyle w:val="001000000000" w:firstRow="0" w:lastRow="0" w:firstColumn="1" w:lastColumn="0" w:oddVBand="0" w:evenVBand="0" w:oddHBand="0" w:evenHBand="0" w:firstRowFirstColumn="0" w:firstRowLastColumn="0" w:lastRowFirstColumn="0" w:lastRowLastColumn="0"/>
            <w:tcW w:w="3351" w:type="dxa"/>
            <w:vMerge/>
          </w:tcPr>
          <w:p w14:paraId="0B9879FE" w14:textId="77777777" w:rsidR="002B20A9" w:rsidRPr="00C86111" w:rsidRDefault="002B20A9" w:rsidP="00BC765B">
            <w:pPr>
              <w:jc w:val="both"/>
              <w:rPr>
                <w:rFonts w:asciiTheme="minorHAnsi" w:hAnsiTheme="minorHAnsi" w:cstheme="minorHAnsi"/>
                <w:sz w:val="20"/>
                <w:szCs w:val="20"/>
              </w:rPr>
            </w:pPr>
          </w:p>
        </w:tc>
        <w:tc>
          <w:tcPr>
            <w:tcW w:w="1157" w:type="dxa"/>
          </w:tcPr>
          <w:p w14:paraId="738CB839"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Upotreba</w:t>
            </w:r>
          </w:p>
        </w:tc>
        <w:tc>
          <w:tcPr>
            <w:tcW w:w="4418" w:type="dxa"/>
          </w:tcPr>
          <w:p w14:paraId="78845053"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Prihvatljiva svrha:</w:t>
            </w:r>
            <w:r w:rsidRPr="00C86111">
              <w:rPr>
                <w:rFonts w:asciiTheme="minorHAnsi" w:eastAsia="Times New Roman" w:hAnsiTheme="minorHAnsi" w:cstheme="minorHAnsi"/>
                <w:sz w:val="20"/>
                <w:szCs w:val="20"/>
                <w:lang w:eastAsia="en-GB"/>
              </w:rPr>
              <w:br/>
              <w:t>U skladu sa Dijelom III Aneksa UNEP/SC-9/4, za sledeće prihvatljive svrhe ili kao međuproizvod u proizvodnji hemikalija sa sledećim prihvatljivim svrhama:</w:t>
            </w:r>
          </w:p>
          <w:p w14:paraId="070A767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 xml:space="preserve">Mamci za insekte sa sulfluramidom (CAS br. 4151-50-2) kao aktivnim sastojkom za suzbijanje mrava sjekača lista </w:t>
            </w:r>
            <w:r w:rsidRPr="00C86111">
              <w:rPr>
                <w:rFonts w:asciiTheme="minorHAnsi" w:eastAsia="Times New Roman" w:hAnsiTheme="minorHAnsi" w:cstheme="minorHAnsi"/>
                <w:i/>
                <w:iCs/>
                <w:sz w:val="20"/>
                <w:szCs w:val="20"/>
                <w:lang w:eastAsia="en-GB"/>
              </w:rPr>
              <w:t>Atta spp.</w:t>
            </w:r>
            <w:r w:rsidRPr="00C86111">
              <w:rPr>
                <w:rFonts w:asciiTheme="minorHAnsi" w:eastAsia="Times New Roman" w:hAnsiTheme="minorHAnsi" w:cstheme="minorHAnsi"/>
                <w:sz w:val="20"/>
                <w:szCs w:val="20"/>
                <w:lang w:eastAsia="en-GB"/>
              </w:rPr>
              <w:t xml:space="preserve"> i </w:t>
            </w:r>
            <w:r w:rsidRPr="00C86111">
              <w:rPr>
                <w:rFonts w:asciiTheme="minorHAnsi" w:eastAsia="Times New Roman" w:hAnsiTheme="minorHAnsi" w:cstheme="minorHAnsi"/>
                <w:i/>
                <w:iCs/>
                <w:sz w:val="20"/>
                <w:szCs w:val="20"/>
                <w:lang w:eastAsia="en-GB"/>
              </w:rPr>
              <w:t>Acromyrmex spp.</w:t>
            </w:r>
            <w:r w:rsidRPr="00C86111">
              <w:rPr>
                <w:rFonts w:asciiTheme="minorHAnsi" w:eastAsia="Times New Roman" w:hAnsiTheme="minorHAnsi" w:cstheme="minorHAnsi"/>
                <w:sz w:val="20"/>
                <w:szCs w:val="20"/>
                <w:lang w:eastAsia="en-GB"/>
              </w:rPr>
              <w:t>, isključivo za poljoprivrednu upotrebu.</w:t>
            </w:r>
          </w:p>
          <w:p w14:paraId="376F85E1"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Specifični izuzetak:</w:t>
            </w:r>
          </w:p>
          <w:p w14:paraId="4C6FC9A0"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C86111">
              <w:rPr>
                <w:rFonts w:asciiTheme="minorHAnsi" w:eastAsia="Times New Roman" w:hAnsiTheme="minorHAnsi" w:cstheme="minorHAnsi"/>
                <w:sz w:val="20"/>
                <w:szCs w:val="20"/>
                <w:lang w:eastAsia="en-GB"/>
              </w:rPr>
              <w:t>Galvanizacija metala (tvrda metalizacija) isključivo u zatvorenim sistemima.</w:t>
            </w:r>
          </w:p>
          <w:p w14:paraId="7796E480"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eastAsia="Times New Roman" w:hAnsiTheme="minorHAnsi" w:cstheme="minorHAnsi"/>
                <w:sz w:val="20"/>
                <w:szCs w:val="20"/>
                <w:lang w:eastAsia="en-GB"/>
              </w:rPr>
              <w:t>Protivpožarna pjena za suzbijanje isparenja tečnih goriva i požara tečnih goriva (požari klase B) u instaliranim sistemima, uključujući i mobilne i fiksne sisteme, u skladu sa stavom 10. Dijela III Aneksa UNEP/SC-9/4.</w:t>
            </w:r>
          </w:p>
        </w:tc>
      </w:tr>
      <w:bookmarkEnd w:id="218"/>
    </w:tbl>
    <w:p w14:paraId="2317F4F9" w14:textId="77777777" w:rsidR="002B20A9" w:rsidRDefault="002B20A9" w:rsidP="002B20A9">
      <w:pPr>
        <w:jc w:val="both"/>
        <w:rPr>
          <w:rFonts w:asciiTheme="minorHAnsi" w:hAnsiTheme="minorHAnsi" w:cstheme="minorHAnsi"/>
          <w:szCs w:val="24"/>
        </w:rPr>
      </w:pPr>
    </w:p>
    <w:p w14:paraId="432D3CCC" w14:textId="77777777" w:rsidR="00D966EC" w:rsidRDefault="00D966EC" w:rsidP="002B20A9">
      <w:pPr>
        <w:jc w:val="both"/>
        <w:rPr>
          <w:rFonts w:asciiTheme="minorHAnsi" w:hAnsiTheme="minorHAnsi" w:cstheme="minorHAnsi"/>
          <w:szCs w:val="24"/>
        </w:rPr>
      </w:pPr>
    </w:p>
    <w:p w14:paraId="5589415A" w14:textId="77777777" w:rsidR="00D966EC" w:rsidRDefault="00D966EC" w:rsidP="002B20A9">
      <w:pPr>
        <w:jc w:val="both"/>
        <w:rPr>
          <w:rFonts w:asciiTheme="minorHAnsi" w:hAnsiTheme="minorHAnsi" w:cstheme="minorHAnsi"/>
          <w:szCs w:val="24"/>
        </w:rPr>
      </w:pPr>
    </w:p>
    <w:p w14:paraId="70FF51B8" w14:textId="77777777" w:rsidR="00D966EC" w:rsidRPr="00C86111" w:rsidRDefault="00D966EC" w:rsidP="002B20A9">
      <w:pPr>
        <w:jc w:val="both"/>
        <w:rPr>
          <w:rFonts w:asciiTheme="minorHAnsi" w:hAnsiTheme="minorHAnsi" w:cstheme="minorHAnsi"/>
          <w:szCs w:val="24"/>
        </w:rPr>
      </w:pPr>
    </w:p>
    <w:p w14:paraId="32EB400C" w14:textId="77777777" w:rsidR="002B20A9" w:rsidRPr="00C86111" w:rsidRDefault="002B20A9" w:rsidP="00004F34">
      <w:pPr>
        <w:pStyle w:val="Heading1"/>
        <w:numPr>
          <w:ilvl w:val="1"/>
          <w:numId w:val="238"/>
        </w:numPr>
      </w:pPr>
      <w:bookmarkStart w:id="221" w:name="_Toc210632486"/>
      <w:bookmarkStart w:id="222" w:name="_Toc220541936"/>
      <w:r w:rsidRPr="00C86111">
        <w:lastRenderedPageBreak/>
        <w:t>Proces Inventarizacije</w:t>
      </w:r>
      <w:bookmarkEnd w:id="221"/>
      <w:bookmarkEnd w:id="222"/>
    </w:p>
    <w:p w14:paraId="0604DF29" w14:textId="77777777" w:rsidR="002B20A9" w:rsidRPr="00C86111" w:rsidRDefault="002B20A9" w:rsidP="002B20A9">
      <w:pPr>
        <w:jc w:val="both"/>
        <w:rPr>
          <w:rFonts w:asciiTheme="minorHAnsi" w:hAnsiTheme="minorHAnsi" w:cstheme="minorHAnsi"/>
          <w:szCs w:val="24"/>
        </w:rPr>
      </w:pPr>
    </w:p>
    <w:bookmarkEnd w:id="215"/>
    <w:bookmarkEnd w:id="216"/>
    <w:bookmarkEnd w:id="217"/>
    <w:p w14:paraId="03F1D05C" w14:textId="77777777" w:rsidR="002B20A9" w:rsidRPr="00C86111" w:rsidRDefault="002B20A9" w:rsidP="002B20A9">
      <w:pPr>
        <w:jc w:val="both"/>
        <w:rPr>
          <w:rFonts w:asciiTheme="minorHAnsi" w:hAnsiTheme="minorHAnsi" w:cstheme="minorHAnsi"/>
          <w:color w:val="auto"/>
          <w:szCs w:val="24"/>
          <w:lang w:eastAsia="nb-NO"/>
        </w:rPr>
      </w:pPr>
      <w:r w:rsidRPr="00C86111">
        <w:rPr>
          <w:rFonts w:asciiTheme="minorHAnsi" w:hAnsiTheme="minorHAnsi" w:cstheme="minorHAnsi"/>
          <w:color w:val="auto"/>
          <w:szCs w:val="24"/>
          <w:lang w:eastAsia="nb-NO"/>
        </w:rPr>
        <w:t xml:space="preserve">Glavni ciljevi inventarizacije su dobijanje informacija potrebnih za važne odluke u vezi sa upravljanjem PFOS-om, njegovim solima i PFOSF-om i sprovođenjem obaveza iz Stokholmske konvencije. Tačnije, ciljevi su: </w:t>
      </w:r>
    </w:p>
    <w:p w14:paraId="6ED31031" w14:textId="77777777" w:rsidR="002B20A9" w:rsidRPr="00C86111" w:rsidRDefault="002B20A9" w:rsidP="002B20A9">
      <w:pPr>
        <w:jc w:val="both"/>
        <w:rPr>
          <w:rFonts w:asciiTheme="minorHAnsi" w:hAnsiTheme="minorHAnsi" w:cstheme="minorHAnsi"/>
          <w:color w:val="auto"/>
          <w:szCs w:val="24"/>
          <w:lang w:eastAsia="nb-NO"/>
        </w:rPr>
      </w:pPr>
      <w:r w:rsidRPr="00C86111">
        <w:rPr>
          <w:rFonts w:asciiTheme="minorHAnsi" w:hAnsiTheme="minorHAnsi" w:cstheme="minorHAnsi"/>
          <w:color w:val="auto"/>
          <w:szCs w:val="24"/>
          <w:lang w:eastAsia="nb-NO"/>
        </w:rPr>
        <w:t>(a) Obezbjediti osnovu za identifikaciju nacionalnih prioriteta u NIP-u: (</w:t>
      </w:r>
      <w:r w:rsidRPr="00C86111">
        <w:rPr>
          <w:rFonts w:asciiTheme="minorHAnsi" w:eastAsia="SimSun" w:hAnsiTheme="minorHAnsi" w:cstheme="minorHAnsi"/>
          <w:color w:val="auto"/>
          <w:szCs w:val="24"/>
          <w:lang w:eastAsia="nb-NO"/>
        </w:rPr>
        <w:t>tj. identifikovati sektore koji bi trebali biti prioritetni u pogledu inventarizacije PFOS-a i vrste aktivnosti potrebnih za te sektore</w:t>
      </w:r>
      <w:r w:rsidRPr="00C86111">
        <w:rPr>
          <w:rFonts w:asciiTheme="minorHAnsi" w:hAnsiTheme="minorHAnsi" w:cstheme="minorHAnsi"/>
          <w:color w:val="auto"/>
          <w:szCs w:val="24"/>
          <w:lang w:eastAsia="nb-NO"/>
        </w:rPr>
        <w:t>, procijeniti kapacitete potrebne za implementaciju, identifikovati izvore kojima treba dati prioritet);</w:t>
      </w:r>
    </w:p>
    <w:p w14:paraId="32211F8A" w14:textId="77777777" w:rsidR="002B20A9" w:rsidRPr="00C86111" w:rsidRDefault="002B20A9" w:rsidP="002B20A9">
      <w:pPr>
        <w:jc w:val="both"/>
        <w:rPr>
          <w:rFonts w:asciiTheme="minorHAnsi" w:hAnsiTheme="minorHAnsi" w:cstheme="minorHAnsi"/>
          <w:color w:val="auto"/>
          <w:szCs w:val="24"/>
          <w:lang w:eastAsia="nb-NO"/>
        </w:rPr>
      </w:pPr>
      <w:r w:rsidRPr="00C86111">
        <w:rPr>
          <w:rFonts w:asciiTheme="minorHAnsi" w:hAnsiTheme="minorHAnsi" w:cstheme="minorHAnsi"/>
          <w:color w:val="auto"/>
          <w:szCs w:val="24"/>
          <w:lang w:eastAsia="nb-NO"/>
        </w:rPr>
        <w:t>(b) Obezbjediti osnovu za procjenu da li trenutna nacionalna upotreba, proizvodnja, upravljanje hemikalijama i otpadom ispunjavaju zahtjeve Konvencije i identifikovati oblasti u kojima ne ispunjavaju;</w:t>
      </w:r>
    </w:p>
    <w:p w14:paraId="3BC3AECD" w14:textId="77777777" w:rsidR="002B20A9" w:rsidRPr="00C86111" w:rsidRDefault="002B20A9" w:rsidP="002B20A9">
      <w:pPr>
        <w:jc w:val="both"/>
        <w:rPr>
          <w:rFonts w:asciiTheme="minorHAnsi" w:hAnsiTheme="minorHAnsi" w:cstheme="minorHAnsi"/>
          <w:color w:val="auto"/>
          <w:szCs w:val="24"/>
          <w:lang w:eastAsia="nb-NO"/>
        </w:rPr>
      </w:pPr>
      <w:r w:rsidRPr="00C86111">
        <w:rPr>
          <w:rFonts w:asciiTheme="minorHAnsi" w:hAnsiTheme="minorHAnsi" w:cstheme="minorHAnsi"/>
          <w:color w:val="auto"/>
          <w:szCs w:val="24"/>
          <w:lang w:eastAsia="nb-NO"/>
        </w:rPr>
        <w:t>(c) Identifikovati potrebu za posebnim izuzecima ili prihvatljivim svrhama</w:t>
      </w:r>
    </w:p>
    <w:p w14:paraId="5D15B4C1" w14:textId="77777777" w:rsidR="002B20A9" w:rsidRPr="00C86111" w:rsidRDefault="002B20A9" w:rsidP="002B20A9">
      <w:pPr>
        <w:jc w:val="both"/>
        <w:rPr>
          <w:rFonts w:asciiTheme="minorHAnsi" w:hAnsiTheme="minorHAnsi" w:cstheme="minorHAnsi"/>
          <w:color w:val="auto"/>
          <w:szCs w:val="24"/>
          <w:lang w:eastAsia="nb-NO"/>
        </w:rPr>
      </w:pPr>
      <w:r w:rsidRPr="00C86111">
        <w:rPr>
          <w:rFonts w:asciiTheme="minorHAnsi" w:hAnsiTheme="minorHAnsi" w:cstheme="minorHAnsi"/>
          <w:color w:val="auto"/>
          <w:szCs w:val="24"/>
          <w:lang w:eastAsia="nb-NO"/>
        </w:rPr>
        <w:t>(e) Identifikovati relevantne ključne aktere u vladi, industriji, upravljanju otpadom, trgovini, nevladinim organizacijama (NVO), itd.;</w:t>
      </w:r>
    </w:p>
    <w:p w14:paraId="24C4387E" w14:textId="77777777" w:rsidR="002B20A9" w:rsidRPr="00C86111" w:rsidRDefault="002B20A9" w:rsidP="002B20A9">
      <w:pPr>
        <w:jc w:val="both"/>
        <w:rPr>
          <w:rFonts w:asciiTheme="minorHAnsi" w:hAnsiTheme="minorHAnsi" w:cstheme="minorHAnsi"/>
          <w:color w:val="auto"/>
          <w:szCs w:val="24"/>
          <w:lang w:eastAsia="nb-NO"/>
        </w:rPr>
      </w:pPr>
      <w:r w:rsidRPr="00C86111">
        <w:rPr>
          <w:rFonts w:asciiTheme="minorHAnsi" w:hAnsiTheme="minorHAnsi" w:cstheme="minorHAnsi"/>
          <w:color w:val="auto"/>
          <w:szCs w:val="24"/>
          <w:lang w:eastAsia="nb-NO"/>
        </w:rPr>
        <w:t>(f) Identifikovati oblasti u kojima je potrebna finansijska ili tehnička podrška za popunjavanje nedostataka u informacijama u inventaru/ispunjavanje obaveza iz Konvencije.</w:t>
      </w:r>
    </w:p>
    <w:p w14:paraId="16B7EE3A" w14:textId="77777777" w:rsidR="002B20A9" w:rsidRPr="00C86111" w:rsidRDefault="002B20A9" w:rsidP="002B20A9">
      <w:pPr>
        <w:jc w:val="both"/>
        <w:rPr>
          <w:rFonts w:asciiTheme="minorHAnsi" w:hAnsiTheme="minorHAnsi" w:cstheme="minorHAnsi"/>
          <w:color w:val="auto"/>
          <w:szCs w:val="24"/>
          <w:lang w:eastAsia="nb-NO"/>
        </w:rPr>
      </w:pPr>
    </w:p>
    <w:p w14:paraId="293AE03E" w14:textId="77777777" w:rsidR="002B20A9" w:rsidRPr="00C86111" w:rsidRDefault="002B20A9" w:rsidP="002B20A9">
      <w:pPr>
        <w:jc w:val="both"/>
        <w:rPr>
          <w:rFonts w:asciiTheme="minorHAnsi" w:hAnsiTheme="minorHAnsi" w:cstheme="minorHAnsi"/>
          <w:color w:val="auto"/>
          <w:szCs w:val="24"/>
          <w:lang w:eastAsia="nb-NO"/>
        </w:rPr>
      </w:pPr>
      <w:r w:rsidRPr="00C86111">
        <w:rPr>
          <w:rFonts w:asciiTheme="minorHAnsi" w:hAnsiTheme="minorHAnsi" w:cstheme="minorHAnsi"/>
          <w:color w:val="auto"/>
          <w:szCs w:val="24"/>
          <w:lang w:eastAsia="nb-NO"/>
        </w:rPr>
        <w:t xml:space="preserve">Informacije </w:t>
      </w:r>
      <w:r w:rsidRPr="00C86111">
        <w:rPr>
          <w:rFonts w:asciiTheme="minorHAnsi" w:eastAsia="SimSun" w:hAnsiTheme="minorHAnsi" w:cstheme="minorHAnsi"/>
          <w:color w:val="auto"/>
          <w:szCs w:val="24"/>
        </w:rPr>
        <w:t xml:space="preserve">koje je potrebno dobiti za inventar </w:t>
      </w:r>
      <w:r w:rsidRPr="00C86111">
        <w:rPr>
          <w:rFonts w:asciiTheme="minorHAnsi" w:hAnsiTheme="minorHAnsi" w:cstheme="minorHAnsi"/>
          <w:color w:val="auto"/>
          <w:szCs w:val="24"/>
          <w:lang w:eastAsia="nb-NO"/>
        </w:rPr>
        <w:t>uključuju sledeće:</w:t>
      </w:r>
    </w:p>
    <w:p w14:paraId="52B974B4" w14:textId="77777777" w:rsidR="002B20A9" w:rsidRPr="00C86111" w:rsidRDefault="002B20A9" w:rsidP="002B20A9">
      <w:pPr>
        <w:jc w:val="both"/>
        <w:rPr>
          <w:rFonts w:asciiTheme="minorHAnsi" w:hAnsiTheme="minorHAnsi" w:cstheme="minorHAnsi"/>
          <w:color w:val="auto"/>
          <w:szCs w:val="24"/>
          <w:lang w:eastAsia="nb-NO"/>
        </w:rPr>
      </w:pPr>
    </w:p>
    <w:p w14:paraId="2FBEF07D" w14:textId="77777777" w:rsidR="002B20A9" w:rsidRPr="00C86111" w:rsidRDefault="002B20A9" w:rsidP="00833A40">
      <w:pPr>
        <w:pStyle w:val="ListParagraph"/>
        <w:numPr>
          <w:ilvl w:val="0"/>
          <w:numId w:val="130"/>
        </w:num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Proizvodnja i upotreba PFOS, njegove soli i PFOSF na nacionalnom nivou.</w:t>
      </w:r>
    </w:p>
    <w:p w14:paraId="4B1CAFBF" w14:textId="77777777" w:rsidR="002B20A9" w:rsidRPr="00C86111" w:rsidRDefault="002B20A9" w:rsidP="00833A40">
      <w:pPr>
        <w:pStyle w:val="ListParagraph"/>
        <w:numPr>
          <w:ilvl w:val="0"/>
          <w:numId w:val="130"/>
        </w:num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 xml:space="preserve">Prisustvo proizvoda i predmeta koji sadrže PFOS, njegove soli i PFOSF na </w:t>
      </w:r>
    </w:p>
    <w:p w14:paraId="268EFF0A" w14:textId="77777777" w:rsidR="002B20A9" w:rsidRPr="00C86111" w:rsidRDefault="002B20A9" w:rsidP="00833A40">
      <w:pPr>
        <w:pStyle w:val="ListParagraph"/>
        <w:numPr>
          <w:ilvl w:val="0"/>
          <w:numId w:val="130"/>
        </w:num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potrošačkom tržištu</w:t>
      </w:r>
    </w:p>
    <w:p w14:paraId="56DAF581" w14:textId="77777777" w:rsidR="002B20A9" w:rsidRPr="00C86111" w:rsidRDefault="002B20A9" w:rsidP="00833A40">
      <w:pPr>
        <w:pStyle w:val="ListParagraph"/>
        <w:numPr>
          <w:ilvl w:val="0"/>
          <w:numId w:val="130"/>
        </w:num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Korišćenje, uvoz i izvoz proizvoda i predmeta koje sadrže PFOS, njegove soli i PFOSF</w:t>
      </w:r>
    </w:p>
    <w:p w14:paraId="29092BA8" w14:textId="77777777" w:rsidR="002B20A9" w:rsidRPr="00C86111" w:rsidRDefault="002B20A9" w:rsidP="00833A40">
      <w:pPr>
        <w:pStyle w:val="ListParagraph"/>
        <w:numPr>
          <w:ilvl w:val="0"/>
          <w:numId w:val="130"/>
        </w:num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Skladištene zalihe</w:t>
      </w:r>
    </w:p>
    <w:p w14:paraId="5FDCA50B" w14:textId="77777777" w:rsidR="002B20A9" w:rsidRPr="00C86111" w:rsidRDefault="002B20A9" w:rsidP="00833A40">
      <w:pPr>
        <w:pStyle w:val="ListParagraph"/>
        <w:numPr>
          <w:ilvl w:val="0"/>
          <w:numId w:val="130"/>
        </w:num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 xml:space="preserve">Postupci odlaganja proizvoda i hemikalija koje sadrže sadrže PFOS, njegove soli i </w:t>
      </w:r>
    </w:p>
    <w:p w14:paraId="2EB48F1C" w14:textId="77777777" w:rsidR="002B20A9" w:rsidRPr="00C86111" w:rsidRDefault="002B20A9" w:rsidP="00833A40">
      <w:pPr>
        <w:pStyle w:val="ListParagraph"/>
        <w:numPr>
          <w:ilvl w:val="0"/>
          <w:numId w:val="130"/>
        </w:num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PFOSF kada postanu otpad.</w:t>
      </w:r>
    </w:p>
    <w:p w14:paraId="5FE2DF2A" w14:textId="77777777" w:rsidR="002B20A9" w:rsidRPr="00C86111" w:rsidRDefault="002B20A9" w:rsidP="00833A40">
      <w:pPr>
        <w:pStyle w:val="ListParagraph"/>
        <w:numPr>
          <w:ilvl w:val="0"/>
          <w:numId w:val="130"/>
        </w:num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Količine generisanog otpada</w:t>
      </w:r>
    </w:p>
    <w:p w14:paraId="1D983EBA" w14:textId="77777777" w:rsidR="002B20A9" w:rsidRPr="00C86111" w:rsidRDefault="002B20A9" w:rsidP="00833A40">
      <w:pPr>
        <w:pStyle w:val="ListParagraph"/>
        <w:numPr>
          <w:ilvl w:val="0"/>
          <w:numId w:val="130"/>
        </w:numPr>
        <w:jc w:val="both"/>
        <w:rPr>
          <w:rFonts w:asciiTheme="minorHAnsi" w:hAnsiTheme="minorHAnsi" w:cstheme="minorHAnsi"/>
          <w:color w:val="auto"/>
          <w:szCs w:val="24"/>
          <w:lang w:eastAsia="nb-NO"/>
        </w:rPr>
      </w:pPr>
      <w:r w:rsidRPr="00C86111">
        <w:rPr>
          <w:rFonts w:asciiTheme="minorHAnsi" w:hAnsiTheme="minorHAnsi" w:cstheme="minorHAnsi"/>
          <w:color w:val="auto"/>
          <w:szCs w:val="24"/>
          <w:lang w:eastAsia="nb-NO"/>
        </w:rPr>
        <w:t>Ispuštanja u životnu sredinu iz tačkastih izvora;</w:t>
      </w:r>
    </w:p>
    <w:p w14:paraId="74AB31B2" w14:textId="77777777" w:rsidR="002B20A9" w:rsidRPr="00C86111" w:rsidRDefault="002B20A9" w:rsidP="00833A40">
      <w:pPr>
        <w:pStyle w:val="ListParagraph"/>
        <w:numPr>
          <w:ilvl w:val="0"/>
          <w:numId w:val="130"/>
        </w:numPr>
        <w:jc w:val="both"/>
        <w:rPr>
          <w:rFonts w:asciiTheme="minorHAnsi" w:hAnsiTheme="minorHAnsi" w:cstheme="minorHAnsi"/>
          <w:color w:val="auto"/>
          <w:szCs w:val="24"/>
          <w:lang w:eastAsia="nb-NO"/>
        </w:rPr>
      </w:pPr>
      <w:r w:rsidRPr="00C86111">
        <w:rPr>
          <w:rFonts w:asciiTheme="minorHAnsi" w:hAnsiTheme="minorHAnsi" w:cstheme="minorHAnsi"/>
          <w:color w:val="auto"/>
          <w:szCs w:val="24"/>
          <w:lang w:eastAsia="nb-NO"/>
        </w:rPr>
        <w:t>Potencijalno kontaminirane lokacije;</w:t>
      </w:r>
    </w:p>
    <w:p w14:paraId="669E687B" w14:textId="77777777" w:rsidR="002B20A9" w:rsidRPr="00C86111" w:rsidRDefault="002B20A9" w:rsidP="00833A40">
      <w:pPr>
        <w:pStyle w:val="ListParagraph"/>
        <w:numPr>
          <w:ilvl w:val="0"/>
          <w:numId w:val="130"/>
        </w:numPr>
        <w:jc w:val="both"/>
        <w:rPr>
          <w:rFonts w:asciiTheme="minorHAnsi" w:hAnsiTheme="minorHAnsi" w:cstheme="minorHAnsi"/>
          <w:color w:val="auto"/>
          <w:szCs w:val="24"/>
          <w:lang w:eastAsia="nb-NO"/>
        </w:rPr>
      </w:pPr>
      <w:r w:rsidRPr="00C86111">
        <w:rPr>
          <w:rFonts w:asciiTheme="minorHAnsi" w:hAnsiTheme="minorHAnsi" w:cstheme="minorHAnsi"/>
          <w:color w:val="auto"/>
          <w:szCs w:val="24"/>
          <w:lang w:eastAsia="nb-NO"/>
        </w:rPr>
        <w:t>Potencijalno štetno izlaganje ljudi i životne sredine.</w:t>
      </w:r>
    </w:p>
    <w:p w14:paraId="661B2966" w14:textId="77777777" w:rsidR="002B20A9" w:rsidRPr="00C86111" w:rsidRDefault="002B20A9" w:rsidP="002B20A9">
      <w:pPr>
        <w:jc w:val="both"/>
        <w:rPr>
          <w:rFonts w:asciiTheme="minorHAnsi" w:hAnsiTheme="minorHAnsi" w:cstheme="minorHAnsi"/>
          <w:color w:val="auto"/>
          <w:szCs w:val="24"/>
          <w:lang w:eastAsia="nb-NO"/>
        </w:rPr>
      </w:pPr>
    </w:p>
    <w:p w14:paraId="3B100B6A"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 xml:space="preserve">Inventar PFOS, njegovih soli i PFOSF je razvijen u skladu sa smjernicama datim u „Uputstvu za pripremu inventara PFOS, PFOA i PFHxS. Sekretarijat Bazelske, Roterdamske i Stokholmske konvencije, Program Ujedinjenih nacija za životnu sredinu, Ženeva. UNEP (2023).” </w:t>
      </w:r>
    </w:p>
    <w:p w14:paraId="2707418A" w14:textId="77777777" w:rsidR="002B20A9" w:rsidRPr="00C86111" w:rsidRDefault="002B20A9" w:rsidP="00EA6904">
      <w:pPr>
        <w:pStyle w:val="Heading4"/>
      </w:pPr>
      <w:bookmarkStart w:id="223" w:name="_Toc210632487"/>
      <w:r w:rsidRPr="00C86111">
        <w:t>Proces izrade inventara</w:t>
      </w:r>
      <w:bookmarkEnd w:id="223"/>
    </w:p>
    <w:p w14:paraId="6A3F6DFF"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 xml:space="preserve">Proces izrade inventara se sastojao od sledećih koraka: </w:t>
      </w:r>
    </w:p>
    <w:p w14:paraId="1E6BB89D"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002060"/>
          <w:szCs w:val="24"/>
          <w:lang w:eastAsia="nb-NO"/>
        </w:rPr>
        <w:t xml:space="preserve">Korak 1: </w:t>
      </w:r>
      <w:r w:rsidRPr="00C86111">
        <w:rPr>
          <w:rFonts w:asciiTheme="minorHAnsi" w:eastAsia="SimSun" w:hAnsiTheme="minorHAnsi" w:cstheme="minorHAnsi"/>
          <w:color w:val="auto"/>
          <w:szCs w:val="24"/>
          <w:lang w:eastAsia="nb-NO"/>
        </w:rPr>
        <w:t>Pokretanje procesa razvoja inventara</w:t>
      </w:r>
    </w:p>
    <w:p w14:paraId="259624DF"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Osnivanje nacionalnog tima za inventar</w:t>
      </w:r>
    </w:p>
    <w:p w14:paraId="0C113D95"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Identifikovanje relevantnih zainteresovanih strana</w:t>
      </w:r>
    </w:p>
    <w:p w14:paraId="0C7423F2"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Definisanje obima inventara</w:t>
      </w:r>
    </w:p>
    <w:p w14:paraId="5E93B1D6"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lastRenderedPageBreak/>
        <w:t>Izrada plana rada</w:t>
      </w:r>
    </w:p>
    <w:p w14:paraId="631A3E0D"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Kontakt sa zainteresovanim stranama</w:t>
      </w:r>
    </w:p>
    <w:p w14:paraId="00CB545D"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002060"/>
          <w:szCs w:val="24"/>
          <w:lang w:eastAsia="nb-NO"/>
        </w:rPr>
        <w:t>Korak 2:</w:t>
      </w:r>
      <w:r w:rsidRPr="00C86111">
        <w:rPr>
          <w:rFonts w:asciiTheme="minorHAnsi" w:eastAsia="SimSun" w:hAnsiTheme="minorHAnsi" w:cstheme="minorHAnsi"/>
          <w:color w:val="auto"/>
          <w:szCs w:val="24"/>
          <w:lang w:eastAsia="nb-NO"/>
        </w:rPr>
        <w:t xml:space="preserve"> Izbor metodologija prikupljanja podataka</w:t>
      </w:r>
    </w:p>
    <w:p w14:paraId="13702CE2"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002060"/>
          <w:szCs w:val="24"/>
          <w:lang w:eastAsia="nb-NO"/>
        </w:rPr>
        <w:t xml:space="preserve">Korak 3: </w:t>
      </w:r>
      <w:r w:rsidRPr="00C86111">
        <w:rPr>
          <w:rFonts w:asciiTheme="minorHAnsi" w:eastAsia="SimSun" w:hAnsiTheme="minorHAnsi" w:cstheme="minorHAnsi"/>
          <w:color w:val="auto"/>
          <w:szCs w:val="24"/>
          <w:lang w:eastAsia="nb-NO"/>
        </w:rPr>
        <w:t xml:space="preserve">Prikupljanje podataka </w:t>
      </w:r>
    </w:p>
    <w:p w14:paraId="51769D50" w14:textId="77777777" w:rsidR="002B20A9" w:rsidRPr="00C86111" w:rsidRDefault="002B20A9" w:rsidP="007E2AA5">
      <w:pPr>
        <w:pStyle w:val="ListParagraph"/>
        <w:numPr>
          <w:ilvl w:val="0"/>
          <w:numId w:val="20"/>
        </w:numPr>
        <w:snapToGrid w:val="0"/>
        <w:spacing w:line="271" w:lineRule="auto"/>
        <w:contextualSpacing w:val="0"/>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Tier 1</w:t>
      </w:r>
    </w:p>
    <w:p w14:paraId="4E7DE8C8" w14:textId="77777777" w:rsidR="002B20A9" w:rsidRPr="00C86111" w:rsidRDefault="002B20A9" w:rsidP="007E2AA5">
      <w:pPr>
        <w:pStyle w:val="ListParagraph"/>
        <w:numPr>
          <w:ilvl w:val="0"/>
          <w:numId w:val="20"/>
        </w:numPr>
        <w:snapToGrid w:val="0"/>
        <w:spacing w:line="271" w:lineRule="auto"/>
        <w:contextualSpacing w:val="0"/>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Tier II</w:t>
      </w:r>
    </w:p>
    <w:p w14:paraId="4F58133A" w14:textId="77777777" w:rsidR="002B20A9" w:rsidRPr="00C86111" w:rsidRDefault="002B20A9" w:rsidP="007E2AA5">
      <w:pPr>
        <w:pStyle w:val="ListParagraph"/>
        <w:numPr>
          <w:ilvl w:val="0"/>
          <w:numId w:val="20"/>
        </w:numPr>
        <w:snapToGrid w:val="0"/>
        <w:spacing w:line="271" w:lineRule="auto"/>
        <w:contextualSpacing w:val="0"/>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Tier III</w:t>
      </w:r>
    </w:p>
    <w:p w14:paraId="00E6785B"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002060"/>
          <w:szCs w:val="24"/>
          <w:lang w:eastAsia="nb-NO"/>
        </w:rPr>
        <w:t xml:space="preserve">Korak 4: </w:t>
      </w:r>
      <w:r w:rsidRPr="00C86111">
        <w:rPr>
          <w:rFonts w:asciiTheme="minorHAnsi" w:eastAsia="SimSun" w:hAnsiTheme="minorHAnsi" w:cstheme="minorHAnsi"/>
          <w:color w:val="auto"/>
          <w:szCs w:val="24"/>
          <w:lang w:eastAsia="nb-NO"/>
        </w:rPr>
        <w:t>Upravljanje i procjena podataka</w:t>
      </w:r>
    </w:p>
    <w:p w14:paraId="24A3FE32"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002060"/>
          <w:szCs w:val="24"/>
          <w:lang w:eastAsia="nb-NO"/>
        </w:rPr>
        <w:t xml:space="preserve">Korak 5: </w:t>
      </w:r>
      <w:r w:rsidRPr="00C86111">
        <w:rPr>
          <w:rFonts w:asciiTheme="minorHAnsi" w:eastAsia="SimSun" w:hAnsiTheme="minorHAnsi" w:cstheme="minorHAnsi"/>
          <w:color w:val="auto"/>
          <w:szCs w:val="24"/>
          <w:lang w:eastAsia="nb-NO"/>
        </w:rPr>
        <w:t>Priprema izveštaja o inventaru</w:t>
      </w:r>
    </w:p>
    <w:p w14:paraId="59ADA2C4" w14:textId="77777777" w:rsidR="002B20A9" w:rsidRPr="00C86111" w:rsidRDefault="002B20A9" w:rsidP="00EA6904">
      <w:pPr>
        <w:pStyle w:val="Heading4"/>
      </w:pPr>
      <w:bookmarkStart w:id="224" w:name="_Toc210632488"/>
      <w:r w:rsidRPr="00C86111">
        <w:t>Planiranje inventara</w:t>
      </w:r>
      <w:bookmarkEnd w:id="224"/>
    </w:p>
    <w:p w14:paraId="3505E777" w14:textId="77777777" w:rsidR="002B20A9" w:rsidRPr="00C86111" w:rsidRDefault="002B20A9" w:rsidP="002B20A9">
      <w:pPr>
        <w:jc w:val="both"/>
        <w:rPr>
          <w:rFonts w:asciiTheme="minorHAnsi" w:eastAsia="SimSun" w:hAnsiTheme="minorHAnsi" w:cstheme="minorHAnsi"/>
          <w:color w:val="auto"/>
          <w:szCs w:val="24"/>
        </w:rPr>
      </w:pPr>
      <w:r w:rsidRPr="00C86111">
        <w:rPr>
          <w:rFonts w:asciiTheme="minorHAnsi" w:hAnsiTheme="minorHAnsi" w:cstheme="minorHAnsi"/>
          <w:color w:val="auto"/>
          <w:szCs w:val="24"/>
        </w:rPr>
        <w:t xml:space="preserve">Nakon uspostavljanje PFOS inventarskog tima napravljen je </w:t>
      </w:r>
      <w:r w:rsidRPr="00C86111">
        <w:rPr>
          <w:rFonts w:asciiTheme="minorHAnsi" w:eastAsia="SimSun" w:hAnsiTheme="minorHAnsi" w:cstheme="minorHAnsi"/>
          <w:color w:val="auto"/>
          <w:szCs w:val="24"/>
        </w:rPr>
        <w:t>plan izrade nacionalnog inventara PFOS-a i definisan obim popisa. Održani su sastanci sa relevantnim organizacijama u cilju definisanja obaveza članova radnog tima/zainteresovanih strana i usvojena metodologija i načina rada.</w:t>
      </w:r>
    </w:p>
    <w:p w14:paraId="3E8D7F19" w14:textId="77777777" w:rsidR="002B20A9" w:rsidRPr="00C86111" w:rsidRDefault="002B20A9" w:rsidP="002B20A9">
      <w:pPr>
        <w:jc w:val="both"/>
        <w:rPr>
          <w:rFonts w:asciiTheme="minorHAnsi" w:hAnsiTheme="minorHAnsi" w:cstheme="minorHAnsi"/>
          <w:color w:val="auto"/>
          <w:szCs w:val="24"/>
        </w:rPr>
      </w:pPr>
      <w:r w:rsidRPr="00C86111">
        <w:rPr>
          <w:rFonts w:asciiTheme="minorHAnsi" w:hAnsiTheme="minorHAnsi" w:cstheme="minorHAnsi"/>
          <w:color w:val="auto"/>
          <w:szCs w:val="24"/>
        </w:rPr>
        <w:t>Članovi inventarskog tima su razmatrajući procese odnosno sektore u kojima se PFOS može dominantno pronaći, donijeli zaključke o prioritetnim sektorima koji će biti predmet inventarizacije PFOS-a.</w:t>
      </w:r>
    </w:p>
    <w:p w14:paraId="5551A4C4" w14:textId="77777777" w:rsidR="002B20A9" w:rsidRPr="00C86111" w:rsidRDefault="002B20A9" w:rsidP="002B20A9">
      <w:p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Kako u Crnoj Gori nema razvijene industrije koja u svojoj proizvodnji koristi PFOS hemikalije (industrija elektronike, poluprovodnika, fotografska industrija, proizvodnja tekstila, papira, prerada kože, proizvodnja tepiha, industrija platiniranja metala, hemijska industrija), za izradu inventara PFOS-a odabrani su sledeći ključni sektori:</w:t>
      </w:r>
    </w:p>
    <w:p w14:paraId="382AE65E" w14:textId="77777777" w:rsidR="002B20A9" w:rsidRPr="00C86111" w:rsidRDefault="002B20A9" w:rsidP="00833A40">
      <w:pPr>
        <w:pStyle w:val="ListParagraph"/>
        <w:numPr>
          <w:ilvl w:val="0"/>
          <w:numId w:val="131"/>
        </w:num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Sektor protivpožarne zaštite</w:t>
      </w:r>
    </w:p>
    <w:p w14:paraId="60D484F4" w14:textId="77777777" w:rsidR="002B20A9" w:rsidRPr="00C86111" w:rsidRDefault="002B20A9" w:rsidP="00833A40">
      <w:pPr>
        <w:pStyle w:val="ListParagraph"/>
        <w:numPr>
          <w:ilvl w:val="0"/>
          <w:numId w:val="131"/>
        </w:num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Sektor upravljanja otpadom</w:t>
      </w:r>
    </w:p>
    <w:p w14:paraId="53FD788E" w14:textId="77777777" w:rsidR="002B20A9" w:rsidRPr="00C86111" w:rsidRDefault="002B20A9" w:rsidP="00833A40">
      <w:pPr>
        <w:pStyle w:val="ListParagraph"/>
        <w:numPr>
          <w:ilvl w:val="0"/>
          <w:numId w:val="131"/>
        </w:num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Potrošačko tržište</w:t>
      </w:r>
    </w:p>
    <w:p w14:paraId="3E06B95A" w14:textId="77777777" w:rsidR="002B20A9" w:rsidRPr="00C86111" w:rsidRDefault="002B20A9" w:rsidP="002B20A9">
      <w:pPr>
        <w:jc w:val="both"/>
        <w:rPr>
          <w:rFonts w:asciiTheme="minorHAnsi" w:eastAsia="SimSun" w:hAnsiTheme="minorHAnsi" w:cstheme="minorHAnsi"/>
          <w:color w:val="auto"/>
          <w:szCs w:val="24"/>
        </w:rPr>
      </w:pPr>
    </w:p>
    <w:p w14:paraId="23017C67" w14:textId="77777777" w:rsidR="002B20A9" w:rsidRPr="00C86111" w:rsidRDefault="002B20A9" w:rsidP="002B20A9">
      <w:p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Relevantne zainteresovane strane/organizacija od kojih su prikupljane informacije su:</w:t>
      </w:r>
    </w:p>
    <w:p w14:paraId="0B0E3292" w14:textId="77777777" w:rsidR="002B20A9" w:rsidRPr="00C86111" w:rsidRDefault="002B20A9" w:rsidP="00833A40">
      <w:pPr>
        <w:pStyle w:val="ListParagraph"/>
        <w:numPr>
          <w:ilvl w:val="0"/>
          <w:numId w:val="132"/>
        </w:num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Ministarstvo ekologije, održivog razvoja i razvoja sjevera</w:t>
      </w:r>
    </w:p>
    <w:p w14:paraId="3AB6B287" w14:textId="77777777" w:rsidR="002B20A9" w:rsidRPr="00C86111" w:rsidRDefault="002B20A9" w:rsidP="00833A40">
      <w:pPr>
        <w:pStyle w:val="ListParagraph"/>
        <w:numPr>
          <w:ilvl w:val="0"/>
          <w:numId w:val="132"/>
        </w:num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Protivpožarne organizacije</w:t>
      </w:r>
    </w:p>
    <w:p w14:paraId="0DEBB452" w14:textId="77777777" w:rsidR="002B20A9" w:rsidRPr="00C86111" w:rsidRDefault="002B20A9" w:rsidP="00833A40">
      <w:pPr>
        <w:pStyle w:val="ListParagraph"/>
        <w:numPr>
          <w:ilvl w:val="0"/>
          <w:numId w:val="132"/>
        </w:num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Direktorat za zaštitu i spašavanje</w:t>
      </w:r>
    </w:p>
    <w:p w14:paraId="26716803" w14:textId="77777777" w:rsidR="002B20A9" w:rsidRPr="00C86111" w:rsidRDefault="002B20A9" w:rsidP="00833A40">
      <w:pPr>
        <w:pStyle w:val="ListParagraph"/>
        <w:numPr>
          <w:ilvl w:val="0"/>
          <w:numId w:val="132"/>
        </w:num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Uprava carina</w:t>
      </w:r>
    </w:p>
    <w:p w14:paraId="67AFF3BC" w14:textId="77777777" w:rsidR="002B20A9" w:rsidRPr="00C86111" w:rsidRDefault="002B20A9" w:rsidP="00833A40">
      <w:pPr>
        <w:pStyle w:val="ListParagraph"/>
        <w:numPr>
          <w:ilvl w:val="0"/>
          <w:numId w:val="132"/>
        </w:num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Uprava za statistiku Crne Gore – MONSTAT</w:t>
      </w:r>
    </w:p>
    <w:p w14:paraId="6426596C" w14:textId="77777777" w:rsidR="002B20A9" w:rsidRPr="00C86111" w:rsidRDefault="002B20A9" w:rsidP="002B20A9">
      <w:pPr>
        <w:jc w:val="both"/>
        <w:rPr>
          <w:rFonts w:asciiTheme="minorHAnsi" w:eastAsia="SimSun" w:hAnsiTheme="minorHAnsi" w:cstheme="minorHAnsi"/>
          <w:color w:val="auto"/>
          <w:szCs w:val="24"/>
        </w:rPr>
      </w:pPr>
    </w:p>
    <w:p w14:paraId="2E41742E" w14:textId="77777777" w:rsidR="002B20A9" w:rsidRPr="00C86111" w:rsidRDefault="002B20A9" w:rsidP="002B20A9">
      <w:pPr>
        <w:jc w:val="both"/>
        <w:rPr>
          <w:rFonts w:asciiTheme="minorHAnsi" w:hAnsiTheme="minorHAnsi" w:cstheme="minorHAnsi"/>
          <w:color w:val="auto"/>
          <w:szCs w:val="24"/>
        </w:rPr>
      </w:pPr>
      <w:r w:rsidRPr="00C86111">
        <w:rPr>
          <w:rFonts w:asciiTheme="minorHAnsi" w:eastAsia="SimSun" w:hAnsiTheme="minorHAnsi" w:cstheme="minorHAnsi"/>
          <w:color w:val="auto"/>
          <w:szCs w:val="24"/>
        </w:rPr>
        <w:t>Od navedenih organizacija dobijeni su podaci o  u</w:t>
      </w:r>
      <w:r w:rsidRPr="00C86111">
        <w:rPr>
          <w:rFonts w:asciiTheme="minorHAnsi" w:hAnsiTheme="minorHAnsi" w:cstheme="minorHAnsi"/>
          <w:color w:val="auto"/>
          <w:szCs w:val="24"/>
        </w:rPr>
        <w:t>potrebi i skladištenju protivpožarnih pjena,</w:t>
      </w:r>
    </w:p>
    <w:p w14:paraId="2012CA6D" w14:textId="77777777" w:rsidR="002B20A9" w:rsidRPr="00C86111" w:rsidRDefault="002B20A9" w:rsidP="002B20A9">
      <w:pPr>
        <w:jc w:val="both"/>
        <w:rPr>
          <w:rFonts w:asciiTheme="minorHAnsi" w:hAnsiTheme="minorHAnsi" w:cstheme="minorHAnsi"/>
          <w:color w:val="auto"/>
          <w:szCs w:val="24"/>
        </w:rPr>
      </w:pPr>
      <w:r w:rsidRPr="00C86111">
        <w:rPr>
          <w:rFonts w:asciiTheme="minorHAnsi" w:eastAsia="SimSun" w:hAnsiTheme="minorHAnsi" w:cstheme="minorHAnsi"/>
          <w:color w:val="auto"/>
          <w:szCs w:val="24"/>
        </w:rPr>
        <w:t>uvozu i upotrebi potrošačkih proizvoda koji mogu potencijalno da sadrže PFOS (</w:t>
      </w:r>
      <w:r w:rsidRPr="00C86111">
        <w:rPr>
          <w:rFonts w:asciiTheme="minorHAnsi" w:hAnsiTheme="minorHAnsi" w:cstheme="minorHAnsi"/>
          <w:color w:val="auto"/>
          <w:szCs w:val="24"/>
        </w:rPr>
        <w:t>tekstil, odjeća, proizvodi od kože, papir, ambalaža …) i generisanju otpada na osnovu odabranih indeksnih brojeva otpada.</w:t>
      </w:r>
    </w:p>
    <w:p w14:paraId="098C55CA" w14:textId="77777777" w:rsidR="002B20A9" w:rsidRPr="00C86111" w:rsidRDefault="002B20A9" w:rsidP="00EA6904">
      <w:pPr>
        <w:pStyle w:val="Heading4"/>
      </w:pPr>
      <w:bookmarkStart w:id="225" w:name="_Toc210632489"/>
      <w:r w:rsidRPr="00C86111">
        <w:t>Metodologija prikupljanja podataka</w:t>
      </w:r>
      <w:bookmarkEnd w:id="225"/>
    </w:p>
    <w:p w14:paraId="62B719FE" w14:textId="77777777" w:rsidR="002B20A9" w:rsidRPr="00C86111" w:rsidRDefault="002B20A9" w:rsidP="002B20A9">
      <w:pPr>
        <w:jc w:val="both"/>
        <w:rPr>
          <w:rFonts w:asciiTheme="minorHAnsi" w:hAnsiTheme="minorHAnsi" w:cstheme="minorHAnsi"/>
          <w:color w:val="auto"/>
          <w:szCs w:val="24"/>
        </w:rPr>
      </w:pPr>
      <w:r w:rsidRPr="00C86111">
        <w:rPr>
          <w:rFonts w:asciiTheme="minorHAnsi" w:hAnsiTheme="minorHAnsi" w:cstheme="minorHAnsi"/>
          <w:color w:val="auto"/>
          <w:szCs w:val="24"/>
        </w:rPr>
        <w:t>Proces prikupljanja podataka sproveden je kombinacijom sledećih metoda:</w:t>
      </w:r>
    </w:p>
    <w:p w14:paraId="256D15AB" w14:textId="77777777" w:rsidR="002B20A9" w:rsidRPr="00C86111" w:rsidRDefault="002B20A9" w:rsidP="00833A40">
      <w:pPr>
        <w:pStyle w:val="ListParagraph"/>
        <w:numPr>
          <w:ilvl w:val="0"/>
          <w:numId w:val="133"/>
        </w:numPr>
        <w:jc w:val="both"/>
        <w:rPr>
          <w:rFonts w:asciiTheme="minorHAnsi" w:hAnsiTheme="minorHAnsi" w:cstheme="minorHAnsi"/>
          <w:color w:val="auto"/>
          <w:szCs w:val="24"/>
        </w:rPr>
      </w:pPr>
      <w:r w:rsidRPr="00C86111">
        <w:rPr>
          <w:rFonts w:asciiTheme="minorHAnsi" w:hAnsiTheme="minorHAnsi" w:cstheme="minorHAnsi"/>
          <w:color w:val="auto"/>
          <w:szCs w:val="24"/>
        </w:rPr>
        <w:t>Direktnim intervjuom sa zaineresovanim stranama</w:t>
      </w:r>
    </w:p>
    <w:p w14:paraId="64E50647" w14:textId="77777777" w:rsidR="002B20A9" w:rsidRPr="00C86111" w:rsidRDefault="002B20A9" w:rsidP="00833A40">
      <w:pPr>
        <w:pStyle w:val="ListParagraph"/>
        <w:numPr>
          <w:ilvl w:val="0"/>
          <w:numId w:val="133"/>
        </w:num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Telefonskim intervjuom</w:t>
      </w:r>
    </w:p>
    <w:p w14:paraId="412EC4BC" w14:textId="77777777" w:rsidR="002B20A9" w:rsidRPr="00C86111" w:rsidRDefault="002B20A9" w:rsidP="00833A40">
      <w:pPr>
        <w:pStyle w:val="ListParagraph"/>
        <w:numPr>
          <w:ilvl w:val="0"/>
          <w:numId w:val="133"/>
        </w:numPr>
        <w:jc w:val="both"/>
        <w:rPr>
          <w:rFonts w:asciiTheme="minorHAnsi" w:hAnsiTheme="minorHAnsi" w:cstheme="minorHAnsi"/>
          <w:color w:val="auto"/>
          <w:szCs w:val="24"/>
        </w:rPr>
      </w:pPr>
      <w:r w:rsidRPr="00C86111">
        <w:rPr>
          <w:rFonts w:asciiTheme="minorHAnsi" w:hAnsiTheme="minorHAnsi" w:cstheme="minorHAnsi"/>
          <w:color w:val="auto"/>
          <w:szCs w:val="24"/>
        </w:rPr>
        <w:t>E-mail komunikacijom</w:t>
      </w:r>
    </w:p>
    <w:p w14:paraId="3A3E2C33" w14:textId="77777777" w:rsidR="002B20A9" w:rsidRPr="00C86111" w:rsidRDefault="002B20A9" w:rsidP="00833A40">
      <w:pPr>
        <w:pStyle w:val="ListParagraph"/>
        <w:numPr>
          <w:ilvl w:val="0"/>
          <w:numId w:val="133"/>
        </w:num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 xml:space="preserve">Distribucijom upitnika releventnim organizacijama </w:t>
      </w:r>
    </w:p>
    <w:p w14:paraId="7E327A70" w14:textId="77777777" w:rsidR="002B20A9" w:rsidRPr="00C86111" w:rsidRDefault="002B20A9" w:rsidP="00833A40">
      <w:pPr>
        <w:pStyle w:val="ListParagraph"/>
        <w:numPr>
          <w:ilvl w:val="0"/>
          <w:numId w:val="133"/>
        </w:numPr>
        <w:jc w:val="both"/>
        <w:rPr>
          <w:rFonts w:asciiTheme="minorHAnsi" w:eastAsia="SimSun" w:hAnsiTheme="minorHAnsi" w:cstheme="minorHAnsi"/>
          <w:color w:val="auto"/>
          <w:szCs w:val="24"/>
        </w:rPr>
      </w:pPr>
      <w:r w:rsidRPr="00C86111">
        <w:rPr>
          <w:rFonts w:asciiTheme="minorHAnsi" w:eastAsia="SimSun" w:hAnsiTheme="minorHAnsi" w:cstheme="minorHAnsi"/>
          <w:color w:val="auto"/>
          <w:szCs w:val="24"/>
        </w:rPr>
        <w:t>Procjenom na bazi nacionalnih statističkih podataka</w:t>
      </w:r>
    </w:p>
    <w:p w14:paraId="719019B0" w14:textId="77777777" w:rsidR="002B20A9" w:rsidRPr="00C86111" w:rsidRDefault="002B20A9" w:rsidP="00833A40">
      <w:pPr>
        <w:pStyle w:val="ListParagraph"/>
        <w:numPr>
          <w:ilvl w:val="0"/>
          <w:numId w:val="133"/>
        </w:numPr>
        <w:jc w:val="both"/>
        <w:rPr>
          <w:rFonts w:asciiTheme="minorHAnsi" w:hAnsiTheme="minorHAnsi" w:cstheme="minorHAnsi"/>
          <w:color w:val="auto"/>
          <w:szCs w:val="24"/>
        </w:rPr>
      </w:pPr>
      <w:r w:rsidRPr="00C86111">
        <w:rPr>
          <w:rFonts w:asciiTheme="minorHAnsi" w:hAnsiTheme="minorHAnsi" w:cstheme="minorHAnsi"/>
          <w:color w:val="auto"/>
          <w:szCs w:val="24"/>
        </w:rPr>
        <w:t>Pregledom i analizom podataka dostupnih na web stranicama javnih institucija (Monstat, EPA)</w:t>
      </w:r>
    </w:p>
    <w:p w14:paraId="403670A5" w14:textId="77777777" w:rsidR="002B20A9" w:rsidRPr="00C86111" w:rsidRDefault="002B20A9" w:rsidP="00833A40">
      <w:pPr>
        <w:pStyle w:val="ListParagraph"/>
        <w:numPr>
          <w:ilvl w:val="0"/>
          <w:numId w:val="133"/>
        </w:numPr>
        <w:jc w:val="both"/>
        <w:rPr>
          <w:rFonts w:asciiTheme="minorHAnsi" w:hAnsiTheme="minorHAnsi" w:cstheme="minorHAnsi"/>
          <w:color w:val="auto"/>
          <w:szCs w:val="24"/>
        </w:rPr>
      </w:pPr>
      <w:r w:rsidRPr="00C86111">
        <w:rPr>
          <w:rFonts w:asciiTheme="minorHAnsi" w:hAnsiTheme="minorHAnsi" w:cstheme="minorHAnsi"/>
          <w:color w:val="auto"/>
          <w:szCs w:val="24"/>
        </w:rPr>
        <w:t>Posjetom lokacijama i direktnim intervjuisanjem predstavnika zainteresovanih strana</w:t>
      </w:r>
    </w:p>
    <w:p w14:paraId="36702892" w14:textId="77777777" w:rsidR="002B20A9" w:rsidRPr="00C86111" w:rsidRDefault="002B20A9" w:rsidP="00EA6904">
      <w:pPr>
        <w:pStyle w:val="Heading4"/>
      </w:pPr>
      <w:bookmarkStart w:id="226" w:name="_Toc210632490"/>
      <w:r w:rsidRPr="00C86111">
        <w:t xml:space="preserve"> Prikupljanje i agregacija podataka</w:t>
      </w:r>
      <w:bookmarkEnd w:id="226"/>
    </w:p>
    <w:p w14:paraId="02054328"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Prikupljanje podataka je proces koji se može zasnivati na višestepenom pristupu. Prilikom izrade inventara PFOS-a korišćen je Tier I, Tier II I Tier III pristup.</w:t>
      </w:r>
    </w:p>
    <w:p w14:paraId="1EEE0051"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002060"/>
          <w:szCs w:val="24"/>
          <w:lang w:eastAsia="nb-NO"/>
        </w:rPr>
        <w:t xml:space="preserve">Tier I </w:t>
      </w:r>
      <w:r w:rsidRPr="00C86111">
        <w:rPr>
          <w:rFonts w:asciiTheme="minorHAnsi" w:eastAsia="SimSun" w:hAnsiTheme="minorHAnsi" w:cstheme="minorHAnsi"/>
          <w:color w:val="auto"/>
          <w:szCs w:val="24"/>
          <w:lang w:eastAsia="nb-NO"/>
        </w:rPr>
        <w:t xml:space="preserve">predstavlja početnu procjenu. Ovaj pristup korišćen je za identifikaciju potencijalnih izvora upotrebe inventarskih supstanci, dobijanja informacija o uvozu proizvoda koji </w:t>
      </w:r>
      <w:bookmarkStart w:id="227" w:name="_Hlk184152177"/>
      <w:r w:rsidRPr="00C86111">
        <w:rPr>
          <w:rFonts w:asciiTheme="minorHAnsi" w:eastAsia="SimSun" w:hAnsiTheme="minorHAnsi" w:cstheme="minorHAnsi"/>
          <w:color w:val="auto"/>
          <w:szCs w:val="24"/>
          <w:lang w:eastAsia="nb-NO"/>
        </w:rPr>
        <w:t>potencijalno mogu da sadrže PFOS</w:t>
      </w:r>
      <w:bookmarkEnd w:id="227"/>
      <w:r w:rsidRPr="00C86111">
        <w:rPr>
          <w:rFonts w:asciiTheme="minorHAnsi" w:eastAsia="SimSun" w:hAnsiTheme="minorHAnsi" w:cstheme="minorHAnsi"/>
          <w:color w:val="auto"/>
          <w:szCs w:val="24"/>
          <w:lang w:eastAsia="nb-NO"/>
        </w:rPr>
        <w:t xml:space="preserve"> kao i informacija o postojećem otpadu koji potencijalno sadrži PFOS  </w:t>
      </w:r>
    </w:p>
    <w:p w14:paraId="2B8EF267"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auto"/>
          <w:szCs w:val="24"/>
          <w:lang w:eastAsia="nb-NO"/>
        </w:rPr>
        <w:t xml:space="preserve">U okviru </w:t>
      </w:r>
      <w:r w:rsidRPr="00C86111">
        <w:rPr>
          <w:rFonts w:asciiTheme="minorHAnsi" w:eastAsia="SimSun" w:hAnsiTheme="minorHAnsi" w:cstheme="minorHAnsi"/>
          <w:color w:val="002060"/>
          <w:szCs w:val="24"/>
          <w:lang w:eastAsia="nb-NO"/>
        </w:rPr>
        <w:t xml:space="preserve">Tier II </w:t>
      </w:r>
      <w:r w:rsidRPr="00C86111">
        <w:rPr>
          <w:rFonts w:asciiTheme="minorHAnsi" w:eastAsia="SimSun" w:hAnsiTheme="minorHAnsi" w:cstheme="minorHAnsi"/>
          <w:color w:val="auto"/>
          <w:szCs w:val="24"/>
          <w:lang w:eastAsia="nb-NO"/>
        </w:rPr>
        <w:t>pristupa, prikupljene su dodatne informacije za dopunu inventara, sistematski prikupljeni podaci, urađeni direktni intervjui i poslati upitnici za generisanje podataka koji nedostaju.</w:t>
      </w:r>
    </w:p>
    <w:p w14:paraId="25F63522" w14:textId="77777777" w:rsidR="002B20A9" w:rsidRPr="00C86111" w:rsidRDefault="002B20A9" w:rsidP="002B20A9">
      <w:pPr>
        <w:jc w:val="both"/>
        <w:rPr>
          <w:rFonts w:asciiTheme="minorHAnsi" w:eastAsia="SimSun" w:hAnsiTheme="minorHAnsi" w:cstheme="minorHAnsi"/>
          <w:color w:val="auto"/>
          <w:szCs w:val="24"/>
          <w:lang w:eastAsia="nb-NO"/>
        </w:rPr>
      </w:pPr>
      <w:r w:rsidRPr="00C86111">
        <w:rPr>
          <w:rFonts w:asciiTheme="minorHAnsi" w:eastAsia="SimSun" w:hAnsiTheme="minorHAnsi" w:cstheme="minorHAnsi"/>
          <w:color w:val="002060"/>
          <w:szCs w:val="24"/>
          <w:lang w:eastAsia="nb-NO"/>
        </w:rPr>
        <w:t xml:space="preserve">Tier III. </w:t>
      </w:r>
      <w:r w:rsidRPr="00C86111">
        <w:rPr>
          <w:rFonts w:asciiTheme="minorHAnsi" w:eastAsia="SimSun" w:hAnsiTheme="minorHAnsi" w:cstheme="minorHAnsi"/>
          <w:color w:val="auto"/>
          <w:szCs w:val="24"/>
          <w:lang w:val="sr-Latn-ME" w:eastAsia="nb-NO"/>
        </w:rPr>
        <w:t>D</w:t>
      </w:r>
      <w:r w:rsidRPr="00C86111">
        <w:rPr>
          <w:rFonts w:asciiTheme="minorHAnsi" w:eastAsia="SimSun" w:hAnsiTheme="minorHAnsi" w:cstheme="minorHAnsi"/>
          <w:color w:val="auto"/>
          <w:szCs w:val="24"/>
          <w:lang w:eastAsia="nb-NO"/>
        </w:rPr>
        <w:t xml:space="preserve">ubinski inventar. </w:t>
      </w:r>
      <w:r w:rsidRPr="00C86111">
        <w:rPr>
          <w:rFonts w:asciiTheme="minorHAnsi" w:eastAsia="SimSun" w:hAnsiTheme="minorHAnsi" w:cstheme="minorHAnsi"/>
          <w:color w:val="auto"/>
          <w:szCs w:val="24"/>
          <w:lang w:val="sr-Latn-ME" w:eastAsia="nb-NO"/>
        </w:rPr>
        <w:t xml:space="preserve">On </w:t>
      </w:r>
      <w:r w:rsidRPr="00C86111">
        <w:rPr>
          <w:rFonts w:asciiTheme="minorHAnsi" w:eastAsia="SimSun" w:hAnsiTheme="minorHAnsi" w:cstheme="minorHAnsi"/>
          <w:color w:val="auto"/>
          <w:szCs w:val="24"/>
          <w:lang w:eastAsia="nb-NO"/>
        </w:rPr>
        <w:t>uključuje  detaljne pos</w:t>
      </w:r>
      <w:r w:rsidRPr="00C86111">
        <w:rPr>
          <w:rFonts w:asciiTheme="minorHAnsi" w:eastAsia="SimSun" w:hAnsiTheme="minorHAnsi" w:cstheme="minorHAnsi"/>
          <w:color w:val="auto"/>
          <w:szCs w:val="24"/>
          <w:lang w:val="sr-Latn-ME" w:eastAsia="nb-NO"/>
        </w:rPr>
        <w:t>j</w:t>
      </w:r>
      <w:r w:rsidRPr="00C86111">
        <w:rPr>
          <w:rFonts w:asciiTheme="minorHAnsi" w:eastAsia="SimSun" w:hAnsiTheme="minorHAnsi" w:cstheme="minorHAnsi"/>
          <w:color w:val="auto"/>
          <w:szCs w:val="24"/>
          <w:lang w:eastAsia="nb-NO"/>
        </w:rPr>
        <w:t>ete lokaciji i anali</w:t>
      </w:r>
      <w:r w:rsidRPr="00C86111">
        <w:rPr>
          <w:rFonts w:asciiTheme="minorHAnsi" w:eastAsia="SimSun" w:hAnsiTheme="minorHAnsi" w:cstheme="minorHAnsi"/>
          <w:color w:val="auto"/>
          <w:szCs w:val="24"/>
          <w:lang w:val="sr-Latn-ME" w:eastAsia="nb-NO"/>
        </w:rPr>
        <w:t>zu</w:t>
      </w:r>
      <w:r w:rsidRPr="00C86111">
        <w:rPr>
          <w:rFonts w:asciiTheme="minorHAnsi" w:eastAsia="SimSun" w:hAnsiTheme="minorHAnsi" w:cstheme="minorHAnsi"/>
          <w:color w:val="auto"/>
          <w:szCs w:val="24"/>
          <w:lang w:eastAsia="nb-NO"/>
        </w:rPr>
        <w:t xml:space="preserve"> proizvoda ili artikala koji sadrže </w:t>
      </w:r>
      <w:r w:rsidRPr="00C86111">
        <w:rPr>
          <w:rFonts w:asciiTheme="minorHAnsi" w:eastAsia="SimSun" w:hAnsiTheme="minorHAnsi" w:cstheme="minorHAnsi"/>
          <w:color w:val="auto"/>
          <w:szCs w:val="24"/>
          <w:lang w:val="sr-Latn-ME" w:eastAsia="nb-NO"/>
        </w:rPr>
        <w:t>inventarisane supstance</w:t>
      </w:r>
    </w:p>
    <w:p w14:paraId="3518DCF6" w14:textId="77777777" w:rsidR="002B20A9" w:rsidRPr="00C86111" w:rsidRDefault="002B20A9" w:rsidP="00EA6904">
      <w:pPr>
        <w:pStyle w:val="Heading4"/>
      </w:pPr>
      <w:bookmarkStart w:id="228" w:name="_Toc210632491"/>
      <w:bookmarkStart w:id="229" w:name="_Toc323295469"/>
      <w:bookmarkStart w:id="230" w:name="_Toc533246561"/>
      <w:bookmarkStart w:id="231" w:name="_Toc535472871"/>
      <w:r w:rsidRPr="00C86111">
        <w:t xml:space="preserve">Preračun sadržaja PFOS, njegovih soli i srodnih jedinjenja </w:t>
      </w:r>
      <w:bookmarkStart w:id="232" w:name="_Hlk184154159"/>
      <w:r w:rsidRPr="00C86111">
        <w:t>u proizvodima različitih sektora</w:t>
      </w:r>
      <w:bookmarkEnd w:id="228"/>
    </w:p>
    <w:bookmarkEnd w:id="232"/>
    <w:p w14:paraId="0BEE7D8D"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 xml:space="preserve">Preračun sadržaja PFOS, njegovih soli i PFOSF u proizvodima na potrošačkom tržištu, protivpožarnoj pjeni i otpadu, urađen je u skladu sa smjernicama datim u „Uputstvu za pripremu inventara PFOS, PFOA i PFHxS. Sekretarijat Bazelske, Roterdamske i Stokholmske konvencije, Program Ujedinjenih nacija za životnu sredinu, Ženeva. UNEP (2023).” </w:t>
      </w:r>
    </w:p>
    <w:p w14:paraId="2F6D0DF6" w14:textId="77777777" w:rsidR="002B20A9" w:rsidRPr="00C86111" w:rsidRDefault="002B20A9" w:rsidP="00004F34">
      <w:pPr>
        <w:pStyle w:val="Heading1"/>
        <w:numPr>
          <w:ilvl w:val="1"/>
          <w:numId w:val="238"/>
        </w:numPr>
      </w:pPr>
      <w:bookmarkStart w:id="233" w:name="_Toc535472770"/>
      <w:bookmarkStart w:id="234" w:name="_Toc535472907"/>
      <w:bookmarkStart w:id="235" w:name="_Toc535472771"/>
      <w:bookmarkStart w:id="236" w:name="_Toc535472908"/>
      <w:bookmarkStart w:id="237" w:name="_Toc535472772"/>
      <w:bookmarkStart w:id="238" w:name="_Toc535472909"/>
      <w:bookmarkStart w:id="239" w:name="_Toc535472773"/>
      <w:bookmarkStart w:id="240" w:name="_Toc535472910"/>
      <w:bookmarkStart w:id="241" w:name="_Toc535472774"/>
      <w:bookmarkStart w:id="242" w:name="_Toc535472911"/>
      <w:bookmarkStart w:id="243" w:name="_Toc535472775"/>
      <w:bookmarkStart w:id="244" w:name="_Toc535472912"/>
      <w:bookmarkStart w:id="245" w:name="_Toc535472776"/>
      <w:bookmarkStart w:id="246" w:name="_Toc535472913"/>
      <w:bookmarkStart w:id="247" w:name="_Toc535472777"/>
      <w:bookmarkStart w:id="248" w:name="_Toc535472914"/>
      <w:bookmarkStart w:id="249" w:name="_Toc535472778"/>
      <w:bookmarkStart w:id="250" w:name="_Toc535472915"/>
      <w:bookmarkStart w:id="251" w:name="_Toc535472919"/>
      <w:bookmarkStart w:id="252" w:name="_Toc535472920"/>
      <w:bookmarkStart w:id="253" w:name="_Toc535472921"/>
      <w:bookmarkStart w:id="254" w:name="_Toc535472922"/>
      <w:bookmarkStart w:id="255" w:name="_Toc535472923"/>
      <w:bookmarkStart w:id="256" w:name="_Toc535472924"/>
      <w:bookmarkStart w:id="257" w:name="_Toc535472925"/>
      <w:bookmarkStart w:id="258" w:name="_Toc535472926"/>
      <w:bookmarkStart w:id="259" w:name="_Toc535472783"/>
      <w:bookmarkStart w:id="260" w:name="_Toc535472928"/>
      <w:bookmarkStart w:id="261" w:name="_Toc535472784"/>
      <w:bookmarkStart w:id="262" w:name="_Toc535472929"/>
      <w:bookmarkStart w:id="263" w:name="_Toc535472785"/>
      <w:bookmarkStart w:id="264" w:name="_Toc535472930"/>
      <w:bookmarkStart w:id="265" w:name="_Toc535472786"/>
      <w:bookmarkStart w:id="266" w:name="_Toc535472931"/>
      <w:bookmarkStart w:id="267" w:name="_Toc535472787"/>
      <w:bookmarkStart w:id="268" w:name="_Toc535472932"/>
      <w:bookmarkStart w:id="269" w:name="_Toc535472788"/>
      <w:bookmarkStart w:id="270" w:name="_Toc535472933"/>
      <w:bookmarkStart w:id="271" w:name="_Toc535472789"/>
      <w:bookmarkStart w:id="272" w:name="_Toc535472934"/>
      <w:bookmarkStart w:id="273" w:name="_Toc535472790"/>
      <w:bookmarkStart w:id="274" w:name="_Toc535472935"/>
      <w:bookmarkStart w:id="275" w:name="_Toc323649923"/>
      <w:bookmarkStart w:id="276" w:name="_Toc323650028"/>
      <w:bookmarkStart w:id="277" w:name="_Toc323650131"/>
      <w:bookmarkStart w:id="278" w:name="_Toc323649924"/>
      <w:bookmarkStart w:id="279" w:name="_Toc323650029"/>
      <w:bookmarkStart w:id="280" w:name="_Toc323650132"/>
      <w:bookmarkStart w:id="281" w:name="_Toc323649925"/>
      <w:bookmarkStart w:id="282" w:name="_Toc323650030"/>
      <w:bookmarkStart w:id="283" w:name="_Toc323650133"/>
      <w:bookmarkStart w:id="284" w:name="_Toc323649926"/>
      <w:bookmarkStart w:id="285" w:name="_Toc323650031"/>
      <w:bookmarkStart w:id="286" w:name="_Toc323650134"/>
      <w:bookmarkStart w:id="287" w:name="_Toc323649933"/>
      <w:bookmarkStart w:id="288" w:name="_Toc323650038"/>
      <w:bookmarkStart w:id="289" w:name="_Toc323650141"/>
      <w:bookmarkStart w:id="290" w:name="_Toc323649934"/>
      <w:bookmarkStart w:id="291" w:name="_Toc323650039"/>
      <w:bookmarkStart w:id="292" w:name="_Toc323650142"/>
      <w:bookmarkStart w:id="293" w:name="_Toc323649935"/>
      <w:bookmarkStart w:id="294" w:name="_Toc323650040"/>
      <w:bookmarkStart w:id="295" w:name="_Toc323650143"/>
      <w:bookmarkStart w:id="296" w:name="_Toc323649936"/>
      <w:bookmarkStart w:id="297" w:name="_Toc323650041"/>
      <w:bookmarkStart w:id="298" w:name="_Toc323650144"/>
      <w:bookmarkStart w:id="299" w:name="_Toc323649939"/>
      <w:bookmarkStart w:id="300" w:name="_Toc323650044"/>
      <w:bookmarkStart w:id="301" w:name="_Toc323650147"/>
      <w:bookmarkStart w:id="302" w:name="_Toc5693178"/>
      <w:bookmarkStart w:id="303" w:name="_Toc132656219"/>
      <w:bookmarkStart w:id="304" w:name="_Toc210632492"/>
      <w:bookmarkStart w:id="305" w:name="_Toc220541937"/>
      <w:bookmarkStart w:id="306" w:name="_Toc476491375"/>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sidRPr="00C86111">
        <w:t>Rezultati inventara PFOS, njegovih soli i PFOSF</w:t>
      </w:r>
      <w:bookmarkEnd w:id="302"/>
      <w:bookmarkEnd w:id="303"/>
      <w:bookmarkEnd w:id="304"/>
      <w:r w:rsidRPr="00C86111">
        <w:t xml:space="preserve"> </w:t>
      </w:r>
      <w:bookmarkStart w:id="307" w:name="_Toc210632493"/>
      <w:r w:rsidRPr="00C86111">
        <w:t>za period 2017-2023 godina</w:t>
      </w:r>
      <w:bookmarkEnd w:id="305"/>
      <w:bookmarkEnd w:id="307"/>
    </w:p>
    <w:p w14:paraId="4AF1A7B1" w14:textId="77777777" w:rsidR="002B20A9" w:rsidRPr="00C86111" w:rsidRDefault="002B20A9" w:rsidP="00EA6904">
      <w:pPr>
        <w:pStyle w:val="Heading4"/>
      </w:pPr>
      <w:bookmarkStart w:id="308" w:name="_Toc210632494"/>
      <w:bookmarkEnd w:id="229"/>
      <w:bookmarkEnd w:id="230"/>
      <w:bookmarkEnd w:id="231"/>
      <w:bookmarkEnd w:id="306"/>
      <w:r w:rsidRPr="00C86111">
        <w:t xml:space="preserve">Rezultati inventara prisustva </w:t>
      </w:r>
      <w:bookmarkStart w:id="309" w:name="_Hlk183852594"/>
      <w:r w:rsidRPr="00C86111">
        <w:t>PFOS, njegovih soli</w:t>
      </w:r>
      <w:bookmarkEnd w:id="308"/>
      <w:r w:rsidRPr="00C86111">
        <w:t xml:space="preserve"> </w:t>
      </w:r>
      <w:bookmarkStart w:id="310" w:name="_Toc210632495"/>
      <w:r w:rsidRPr="00C86111">
        <w:t>i PFOSF u protivpožarnim pjenama</w:t>
      </w:r>
      <w:bookmarkEnd w:id="310"/>
    </w:p>
    <w:bookmarkEnd w:id="309"/>
    <w:p w14:paraId="289901E9" w14:textId="7777777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Inventarizacija PFOS-a, njegovih soli i PFOSF-a u protivpožarnim pjenama sprovedena je na osnovu informacija dobijenih putem distribucije upitnika, direktnog kontakta, terenskih posjeta vatrogasnim jedinicama, kao i rezultata analiza uzoraka protivpožarnih pjena. Upitnik za protivpožarne pjene poslat je Službama zaštite i spašavanja u svim opštinama u Crnoj Gori, Aerodromima, Lukama i Marinama, najvećoj naftnoj kompaniji-Jugopetrol kao i većim privrednim organizacijama. Ukupno je poslato 33 upitnika:</w:t>
      </w:r>
    </w:p>
    <w:p w14:paraId="10EAFE6C" w14:textId="77777777" w:rsidR="002B20A9" w:rsidRPr="00C86111" w:rsidRDefault="002B20A9" w:rsidP="00833A40">
      <w:pPr>
        <w:pStyle w:val="ListParagraph"/>
        <w:numPr>
          <w:ilvl w:val="0"/>
          <w:numId w:val="134"/>
        </w:numPr>
        <w:jc w:val="both"/>
        <w:rPr>
          <w:rFonts w:asciiTheme="minorHAnsi" w:eastAsia="SimSun" w:hAnsiTheme="minorHAnsi" w:cstheme="minorHAnsi"/>
          <w:color w:val="auto"/>
        </w:rPr>
      </w:pPr>
      <w:bookmarkStart w:id="311" w:name="_Hlk184453181"/>
      <w:r w:rsidRPr="00C86111">
        <w:rPr>
          <w:rFonts w:asciiTheme="minorHAnsi" w:eastAsia="SimSun" w:hAnsiTheme="minorHAnsi" w:cstheme="minorHAnsi"/>
          <w:color w:val="auto"/>
        </w:rPr>
        <w:t xml:space="preserve">Opštinske službe zaštite i spašavanja: Ulcinj, Bar, Budva, Tivat, Kotor, Herceg Novi, Nikšić, Plužine, Šavnik, Žabljak, Pljevlja, Bijelo Polje, Petnjica, Berane, Rožaje, Plav, Andrijevica, Gusinje, Mojkovac, Kolašin, Podgorica, Cetinje, Danilovgrad, Dobrovoljno vatrogasno </w:t>
      </w:r>
      <w:r w:rsidRPr="00C86111">
        <w:rPr>
          <w:rFonts w:asciiTheme="minorHAnsi" w:eastAsia="SimSun" w:hAnsiTheme="minorHAnsi" w:cstheme="minorHAnsi"/>
          <w:color w:val="auto"/>
        </w:rPr>
        <w:lastRenderedPageBreak/>
        <w:t>društvo Krtoli – Tivat, Dobrovoljno vatrogasno društvo Perast i Dobrovoljno vatrogasno društvo Bijela.</w:t>
      </w:r>
    </w:p>
    <w:bookmarkEnd w:id="311"/>
    <w:p w14:paraId="222F203F" w14:textId="77777777" w:rsidR="002B20A9" w:rsidRPr="00C86111" w:rsidRDefault="002B20A9" w:rsidP="00833A40">
      <w:pPr>
        <w:pStyle w:val="ListParagraph"/>
        <w:numPr>
          <w:ilvl w:val="0"/>
          <w:numId w:val="134"/>
        </w:numPr>
        <w:jc w:val="both"/>
        <w:rPr>
          <w:rFonts w:asciiTheme="minorHAnsi" w:eastAsia="SimSun" w:hAnsiTheme="minorHAnsi" w:cstheme="minorHAnsi"/>
          <w:color w:val="auto"/>
        </w:rPr>
      </w:pPr>
      <w:r w:rsidRPr="00C86111">
        <w:rPr>
          <w:rFonts w:asciiTheme="minorHAnsi" w:eastAsia="SimSun" w:hAnsiTheme="minorHAnsi" w:cstheme="minorHAnsi"/>
          <w:color w:val="auto"/>
        </w:rPr>
        <w:t>Aerodrom (Podgorica, Tivat)</w:t>
      </w:r>
    </w:p>
    <w:p w14:paraId="04F4CE68" w14:textId="77777777" w:rsidR="002B20A9" w:rsidRPr="00C86111" w:rsidRDefault="002B20A9" w:rsidP="00833A40">
      <w:pPr>
        <w:pStyle w:val="ListParagraph"/>
        <w:numPr>
          <w:ilvl w:val="0"/>
          <w:numId w:val="134"/>
        </w:numPr>
        <w:jc w:val="both"/>
        <w:rPr>
          <w:rFonts w:asciiTheme="minorHAnsi" w:eastAsia="SimSun" w:hAnsiTheme="minorHAnsi" w:cstheme="minorHAnsi"/>
          <w:color w:val="auto"/>
        </w:rPr>
      </w:pPr>
      <w:r w:rsidRPr="00C86111">
        <w:rPr>
          <w:rFonts w:asciiTheme="minorHAnsi" w:eastAsia="SimSun" w:hAnsiTheme="minorHAnsi" w:cstheme="minorHAnsi"/>
          <w:color w:val="auto"/>
        </w:rPr>
        <w:t>Naftna kompanija-Jugopetrol</w:t>
      </w:r>
    </w:p>
    <w:p w14:paraId="3E9F2421" w14:textId="77777777" w:rsidR="002B20A9" w:rsidRPr="00C86111" w:rsidRDefault="002B20A9" w:rsidP="00833A40">
      <w:pPr>
        <w:pStyle w:val="ListParagraph"/>
        <w:numPr>
          <w:ilvl w:val="0"/>
          <w:numId w:val="134"/>
        </w:numPr>
        <w:jc w:val="both"/>
        <w:rPr>
          <w:rFonts w:asciiTheme="minorHAnsi" w:eastAsia="SimSun" w:hAnsiTheme="minorHAnsi" w:cstheme="minorHAnsi"/>
          <w:color w:val="auto"/>
        </w:rPr>
      </w:pPr>
      <w:r w:rsidRPr="00C86111">
        <w:rPr>
          <w:rFonts w:asciiTheme="minorHAnsi" w:eastAsia="SimSun" w:hAnsiTheme="minorHAnsi" w:cstheme="minorHAnsi"/>
          <w:color w:val="auto"/>
        </w:rPr>
        <w:t>Luka Bar</w:t>
      </w:r>
    </w:p>
    <w:p w14:paraId="7A39D03D" w14:textId="77777777" w:rsidR="002B20A9" w:rsidRPr="00C86111" w:rsidRDefault="002B20A9" w:rsidP="00833A40">
      <w:pPr>
        <w:pStyle w:val="ListParagraph"/>
        <w:numPr>
          <w:ilvl w:val="0"/>
          <w:numId w:val="134"/>
        </w:numPr>
        <w:jc w:val="both"/>
        <w:rPr>
          <w:rFonts w:asciiTheme="minorHAnsi" w:eastAsia="SimSun" w:hAnsiTheme="minorHAnsi" w:cstheme="minorHAnsi"/>
          <w:color w:val="auto"/>
        </w:rPr>
      </w:pPr>
      <w:r w:rsidRPr="00C86111">
        <w:rPr>
          <w:rFonts w:asciiTheme="minorHAnsi" w:eastAsia="SimSun" w:hAnsiTheme="minorHAnsi" w:cstheme="minorHAnsi"/>
          <w:color w:val="auto"/>
        </w:rPr>
        <w:t>Elektroprivreda Crne Gore (EPCG)</w:t>
      </w:r>
    </w:p>
    <w:p w14:paraId="16F6B497" w14:textId="77777777" w:rsidR="002B20A9" w:rsidRPr="00C86111" w:rsidRDefault="002B20A9" w:rsidP="00833A40">
      <w:pPr>
        <w:pStyle w:val="ListParagraph"/>
        <w:numPr>
          <w:ilvl w:val="0"/>
          <w:numId w:val="134"/>
        </w:numPr>
        <w:jc w:val="both"/>
        <w:rPr>
          <w:rFonts w:asciiTheme="minorHAnsi" w:eastAsia="SimSun" w:hAnsiTheme="minorHAnsi" w:cstheme="minorHAnsi"/>
          <w:color w:val="auto"/>
        </w:rPr>
      </w:pPr>
      <w:r w:rsidRPr="00C86111">
        <w:rPr>
          <w:rFonts w:asciiTheme="minorHAnsi" w:eastAsia="SimSun" w:hAnsiTheme="minorHAnsi" w:cstheme="minorHAnsi"/>
          <w:color w:val="auto"/>
        </w:rPr>
        <w:t>Luštica Bay (marina za jahte)</w:t>
      </w:r>
    </w:p>
    <w:p w14:paraId="117AC539" w14:textId="77777777" w:rsidR="002B20A9" w:rsidRPr="00C86111" w:rsidRDefault="002B20A9" w:rsidP="00833A40">
      <w:pPr>
        <w:pStyle w:val="ListParagraph"/>
        <w:numPr>
          <w:ilvl w:val="0"/>
          <w:numId w:val="134"/>
        </w:numPr>
        <w:jc w:val="both"/>
        <w:rPr>
          <w:rFonts w:asciiTheme="minorHAnsi" w:eastAsia="SimSun" w:hAnsiTheme="minorHAnsi" w:cstheme="minorHAnsi"/>
          <w:color w:val="auto"/>
        </w:rPr>
      </w:pPr>
      <w:r w:rsidRPr="00C86111">
        <w:rPr>
          <w:rFonts w:asciiTheme="minorHAnsi" w:eastAsia="SimSun" w:hAnsiTheme="minorHAnsi" w:cstheme="minorHAnsi"/>
          <w:color w:val="auto"/>
        </w:rPr>
        <w:t>Monteput</w:t>
      </w:r>
    </w:p>
    <w:p w14:paraId="2DECD04F" w14:textId="7777777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 xml:space="preserve">S obzirom da jedna od većih marina u Mediteranu, Porto Montenegro u Tivtu, koristi usluge opštinske Službe zaštite i spašavanja grada Tivta, tako da direktno oni nisu bili predmet inventarizacije. </w:t>
      </w:r>
    </w:p>
    <w:p w14:paraId="71002DCE" w14:textId="7777777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Na proslijeđene upitnike odgovorile su sve opštinske službe zaštite i spašavanja, kao i vatrogasne jedinice ostalih subjekata koji su bili obuhvaćeni inventarizacijom PFOS-a. Na osnovu dobijenih odgovora utvrđeno je sljedeće:</w:t>
      </w:r>
    </w:p>
    <w:p w14:paraId="2EEA2023" w14:textId="77777777" w:rsidR="002B20A9" w:rsidRPr="00C86111" w:rsidRDefault="002B20A9" w:rsidP="00833A40">
      <w:pPr>
        <w:numPr>
          <w:ilvl w:val="0"/>
          <w:numId w:val="135"/>
        </w:numPr>
        <w:jc w:val="both"/>
        <w:rPr>
          <w:rFonts w:asciiTheme="minorHAnsi" w:eastAsia="SimSun" w:hAnsiTheme="minorHAnsi" w:cstheme="minorHAnsi"/>
          <w:color w:val="auto"/>
        </w:rPr>
      </w:pPr>
      <w:r w:rsidRPr="00C86111">
        <w:rPr>
          <w:rFonts w:asciiTheme="minorHAnsi" w:eastAsia="SimSun" w:hAnsiTheme="minorHAnsi" w:cstheme="minorHAnsi"/>
          <w:color w:val="auto"/>
        </w:rPr>
        <w:t>Od ukupno 26 opštinskih službi zaštite i spašavanja, samo pet ne koristi protivpožarne pjene.</w:t>
      </w:r>
    </w:p>
    <w:p w14:paraId="66DFB28F" w14:textId="77777777" w:rsidR="002B20A9" w:rsidRPr="00C86111" w:rsidRDefault="002B20A9" w:rsidP="00833A40">
      <w:pPr>
        <w:numPr>
          <w:ilvl w:val="0"/>
          <w:numId w:val="135"/>
        </w:numPr>
        <w:jc w:val="both"/>
        <w:rPr>
          <w:rFonts w:asciiTheme="minorHAnsi" w:eastAsia="SimSun" w:hAnsiTheme="minorHAnsi" w:cstheme="minorHAnsi"/>
          <w:color w:val="auto"/>
        </w:rPr>
      </w:pPr>
      <w:r w:rsidRPr="00C86111">
        <w:rPr>
          <w:rFonts w:asciiTheme="minorHAnsi" w:eastAsia="SimSun" w:hAnsiTheme="minorHAnsi" w:cstheme="minorHAnsi"/>
          <w:color w:val="auto"/>
        </w:rPr>
        <w:t>Ukupna količina protivpožarne pjene kojom raspolažu opštinske službe iznosi 16.395 litara.</w:t>
      </w:r>
    </w:p>
    <w:p w14:paraId="2ED1FB9B" w14:textId="77777777" w:rsidR="002B20A9" w:rsidRPr="00C86111" w:rsidRDefault="002B20A9" w:rsidP="00833A40">
      <w:pPr>
        <w:numPr>
          <w:ilvl w:val="0"/>
          <w:numId w:val="135"/>
        </w:numPr>
        <w:jc w:val="both"/>
        <w:rPr>
          <w:rFonts w:asciiTheme="minorHAnsi" w:eastAsia="SimSun" w:hAnsiTheme="minorHAnsi" w:cstheme="minorHAnsi"/>
          <w:color w:val="auto"/>
        </w:rPr>
      </w:pPr>
      <w:r w:rsidRPr="00C86111">
        <w:rPr>
          <w:rFonts w:asciiTheme="minorHAnsi" w:eastAsia="SimSun" w:hAnsiTheme="minorHAnsi" w:cstheme="minorHAnsi"/>
          <w:color w:val="auto"/>
        </w:rPr>
        <w:t>Sedam opštinskih službi zaštite i spašavanja posjeduje protivpožarne pjene sa isteklim rokom trajanja, u ukupnoj količini od 8.725 litara.</w:t>
      </w:r>
    </w:p>
    <w:p w14:paraId="48AE331D" w14:textId="77777777" w:rsidR="002B20A9" w:rsidRPr="00C86111" w:rsidRDefault="002B20A9" w:rsidP="00833A40">
      <w:pPr>
        <w:numPr>
          <w:ilvl w:val="0"/>
          <w:numId w:val="135"/>
        </w:numPr>
        <w:jc w:val="both"/>
        <w:rPr>
          <w:rFonts w:asciiTheme="minorHAnsi" w:eastAsia="SimSun" w:hAnsiTheme="minorHAnsi" w:cstheme="minorHAnsi"/>
          <w:color w:val="auto"/>
        </w:rPr>
      </w:pPr>
      <w:r w:rsidRPr="00C86111">
        <w:rPr>
          <w:rFonts w:asciiTheme="minorHAnsi" w:eastAsia="SimSun" w:hAnsiTheme="minorHAnsi" w:cstheme="minorHAnsi"/>
          <w:color w:val="auto"/>
        </w:rPr>
        <w:t>Od sedam vatrogasnih službi ostalih subjekata (aerodromi, luke, marine, transportni sektor, sektor naftnih derivata i elektroenergetski sektor), samo jedna ne koristi protivpožarne pjene.</w:t>
      </w:r>
    </w:p>
    <w:p w14:paraId="5DEBB627" w14:textId="77777777" w:rsidR="002B20A9" w:rsidRPr="00C86111" w:rsidRDefault="002B20A9" w:rsidP="00833A40">
      <w:pPr>
        <w:numPr>
          <w:ilvl w:val="0"/>
          <w:numId w:val="135"/>
        </w:numPr>
        <w:jc w:val="both"/>
        <w:rPr>
          <w:rFonts w:asciiTheme="minorHAnsi" w:eastAsia="SimSun" w:hAnsiTheme="minorHAnsi" w:cstheme="minorHAnsi"/>
          <w:color w:val="auto"/>
        </w:rPr>
      </w:pPr>
      <w:r w:rsidRPr="00C86111">
        <w:rPr>
          <w:rFonts w:asciiTheme="minorHAnsi" w:eastAsia="SimSun" w:hAnsiTheme="minorHAnsi" w:cstheme="minorHAnsi"/>
          <w:color w:val="auto"/>
        </w:rPr>
        <w:t>Ukupna količina protivpožarne pjene kojom raspolažu vatrogasne službe ostalih subjekata iznosi 29.150 litara.</w:t>
      </w:r>
    </w:p>
    <w:p w14:paraId="36B7CF1C" w14:textId="77777777" w:rsidR="002B20A9" w:rsidRPr="00C86111" w:rsidRDefault="002B20A9" w:rsidP="00833A40">
      <w:pPr>
        <w:numPr>
          <w:ilvl w:val="0"/>
          <w:numId w:val="135"/>
        </w:numPr>
        <w:jc w:val="both"/>
        <w:rPr>
          <w:rFonts w:asciiTheme="minorHAnsi" w:eastAsia="SimSun" w:hAnsiTheme="minorHAnsi" w:cstheme="minorHAnsi"/>
          <w:color w:val="auto"/>
        </w:rPr>
      </w:pPr>
      <w:r w:rsidRPr="00C86111">
        <w:rPr>
          <w:rFonts w:asciiTheme="minorHAnsi" w:eastAsia="SimSun" w:hAnsiTheme="minorHAnsi" w:cstheme="minorHAnsi"/>
          <w:color w:val="auto"/>
        </w:rPr>
        <w:t>Od ukupno 27 vatrogasnih službi koje posjeduju protivpožarne pjene, 21 ih je koristila, bilo tokom stvarnih intervencija gašenja požara, bilo tokom vježbi i obuka na poligonima.</w:t>
      </w:r>
    </w:p>
    <w:p w14:paraId="44912FF3" w14:textId="7BAEEF11"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 xml:space="preserve">Pregled protivpožarnih pjena koje se nalaze u skladištima vatrogasnih jedinica dat je u Tabeli </w:t>
      </w:r>
      <w:r w:rsidR="00632BFA" w:rsidRPr="00C86111">
        <w:rPr>
          <w:rFonts w:asciiTheme="minorHAnsi" w:eastAsia="SimSun" w:hAnsiTheme="minorHAnsi" w:cstheme="minorHAnsi"/>
          <w:color w:val="auto"/>
        </w:rPr>
        <w:t>68.</w:t>
      </w:r>
    </w:p>
    <w:p w14:paraId="10E961C2" w14:textId="77777777" w:rsidR="002B20A9" w:rsidRPr="00C86111" w:rsidRDefault="002B20A9" w:rsidP="002B20A9">
      <w:pPr>
        <w:jc w:val="both"/>
        <w:rPr>
          <w:rFonts w:asciiTheme="minorHAnsi" w:eastAsia="SimSun" w:hAnsiTheme="minorHAnsi" w:cstheme="minorHAnsi"/>
          <w:color w:val="auto"/>
        </w:rPr>
      </w:pPr>
    </w:p>
    <w:p w14:paraId="64581934" w14:textId="79AE9615"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t xml:space="preserve">Tabela </w:t>
      </w:r>
      <w:r w:rsidR="00632BFA" w:rsidRPr="00C86111">
        <w:rPr>
          <w:rFonts w:asciiTheme="minorHAnsi" w:eastAsia="SimSun" w:hAnsiTheme="minorHAnsi" w:cstheme="minorHAnsi"/>
          <w:b/>
          <w:bCs/>
          <w:color w:val="auto"/>
        </w:rPr>
        <w:t>68</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Pregled vatrogasnih jedinica koje posjeduju protivpožarne pjene, njene količine u skladištu, datum proizvodnje kao i tip pjene</w:t>
      </w:r>
    </w:p>
    <w:tbl>
      <w:tblPr>
        <w:tblStyle w:val="GridTable2-Accent6"/>
        <w:tblW w:w="5472" w:type="pct"/>
        <w:jc w:val="center"/>
        <w:tblLayout w:type="fixed"/>
        <w:tblLook w:val="0000" w:firstRow="0" w:lastRow="0" w:firstColumn="0" w:lastColumn="0" w:noHBand="0" w:noVBand="0"/>
      </w:tblPr>
      <w:tblGrid>
        <w:gridCol w:w="910"/>
        <w:gridCol w:w="3229"/>
        <w:gridCol w:w="1440"/>
        <w:gridCol w:w="3268"/>
        <w:gridCol w:w="1397"/>
      </w:tblGrid>
      <w:tr w:rsidR="002B20A9" w:rsidRPr="00C86111" w14:paraId="2A759679" w14:textId="77777777" w:rsidTr="00C97FE5">
        <w:trPr>
          <w:cnfStyle w:val="000000100000" w:firstRow="0" w:lastRow="0" w:firstColumn="0" w:lastColumn="0" w:oddVBand="0" w:evenVBand="0" w:oddHBand="1" w:evenHBand="0" w:firstRowFirstColumn="0" w:firstRowLastColumn="0" w:lastRowFirstColumn="0" w:lastRowLastColumn="0"/>
          <w:trHeight w:val="486"/>
          <w:jc w:val="center"/>
        </w:trPr>
        <w:tc>
          <w:tcPr>
            <w:cnfStyle w:val="000010000000" w:firstRow="0" w:lastRow="0" w:firstColumn="0" w:lastColumn="0" w:oddVBand="1" w:evenVBand="0" w:oddHBand="0" w:evenHBand="0" w:firstRowFirstColumn="0" w:firstRowLastColumn="0" w:lastRowFirstColumn="0" w:lastRowLastColumn="0"/>
            <w:tcW w:w="444" w:type="pct"/>
            <w:vMerge w:val="restart"/>
            <w:vAlign w:val="center"/>
          </w:tcPr>
          <w:p w14:paraId="40D8F696" w14:textId="77777777" w:rsidR="002B20A9" w:rsidRPr="00C86111" w:rsidRDefault="002B20A9" w:rsidP="00E71878">
            <w:pPr>
              <w:jc w:val="center"/>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Br.</w:t>
            </w:r>
          </w:p>
        </w:tc>
        <w:tc>
          <w:tcPr>
            <w:tcW w:w="1576" w:type="pct"/>
            <w:vMerge w:val="restart"/>
            <w:vAlign w:val="center"/>
          </w:tcPr>
          <w:p w14:paraId="5E78C07E"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bCs/>
                <w:i/>
                <w:color w:val="auto"/>
                <w:sz w:val="20"/>
                <w:szCs w:val="20"/>
              </w:rPr>
            </w:pPr>
            <w:r w:rsidRPr="00C86111">
              <w:rPr>
                <w:rFonts w:asciiTheme="minorHAnsi" w:eastAsia="Times New Roman" w:hAnsiTheme="minorHAnsi" w:cstheme="minorHAnsi"/>
                <w:b/>
                <w:bCs/>
                <w:color w:val="auto"/>
                <w:sz w:val="20"/>
                <w:szCs w:val="20"/>
                <w:lang w:eastAsia="en-GB"/>
              </w:rPr>
              <w:t>Vatrogasna jedinica</w:t>
            </w:r>
          </w:p>
        </w:tc>
        <w:tc>
          <w:tcPr>
            <w:cnfStyle w:val="000010000000" w:firstRow="0" w:lastRow="0" w:firstColumn="0" w:lastColumn="0" w:oddVBand="1" w:evenVBand="0" w:oddHBand="0" w:evenHBand="0" w:firstRowFirstColumn="0" w:firstRowLastColumn="0" w:lastRowFirstColumn="0" w:lastRowLastColumn="0"/>
            <w:tcW w:w="703" w:type="pct"/>
            <w:vMerge w:val="restart"/>
            <w:vAlign w:val="center"/>
          </w:tcPr>
          <w:p w14:paraId="597D8B92" w14:textId="77777777" w:rsidR="002B20A9" w:rsidRPr="00C86111" w:rsidRDefault="002B20A9" w:rsidP="00C97FE5">
            <w:pPr>
              <w:jc w:val="center"/>
              <w:rPr>
                <w:rFonts w:asciiTheme="minorHAnsi" w:hAnsiTheme="minorHAnsi" w:cstheme="minorHAnsi"/>
                <w:b/>
                <w:bCs/>
                <w:color w:val="auto"/>
                <w:sz w:val="20"/>
                <w:szCs w:val="20"/>
              </w:rPr>
            </w:pPr>
            <w:r w:rsidRPr="00C86111">
              <w:rPr>
                <w:rFonts w:asciiTheme="minorHAnsi" w:eastAsia="Times New Roman" w:hAnsiTheme="minorHAnsi" w:cstheme="minorHAnsi"/>
                <w:b/>
                <w:bCs/>
                <w:color w:val="auto"/>
                <w:sz w:val="20"/>
                <w:szCs w:val="20"/>
                <w:lang w:eastAsia="en-GB"/>
              </w:rPr>
              <w:t>Količina protivpožarne pjene (L)</w:t>
            </w:r>
          </w:p>
        </w:tc>
        <w:tc>
          <w:tcPr>
            <w:tcW w:w="1595" w:type="pct"/>
            <w:vMerge w:val="restart"/>
            <w:vAlign w:val="center"/>
          </w:tcPr>
          <w:p w14:paraId="40604C29"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bCs/>
                <w:i/>
                <w:color w:val="auto"/>
                <w:sz w:val="20"/>
                <w:szCs w:val="20"/>
              </w:rPr>
            </w:pPr>
            <w:r w:rsidRPr="00C86111">
              <w:rPr>
                <w:rFonts w:asciiTheme="minorHAnsi" w:eastAsia="Times New Roman" w:hAnsiTheme="minorHAnsi" w:cstheme="minorHAnsi"/>
                <w:b/>
                <w:bCs/>
                <w:color w:val="auto"/>
                <w:sz w:val="20"/>
                <w:szCs w:val="20"/>
                <w:lang w:eastAsia="en-GB"/>
              </w:rPr>
              <w:t>Naziv protivpožarne pjene</w:t>
            </w:r>
          </w:p>
        </w:tc>
        <w:tc>
          <w:tcPr>
            <w:cnfStyle w:val="000010000000" w:firstRow="0" w:lastRow="0" w:firstColumn="0" w:lastColumn="0" w:oddVBand="1" w:evenVBand="0" w:oddHBand="0" w:evenHBand="0" w:firstRowFirstColumn="0" w:firstRowLastColumn="0" w:lastRowFirstColumn="0" w:lastRowLastColumn="0"/>
            <w:tcW w:w="683" w:type="pct"/>
            <w:vMerge w:val="restart"/>
            <w:vAlign w:val="center"/>
          </w:tcPr>
          <w:p w14:paraId="49569EDB" w14:textId="77777777" w:rsidR="002B20A9" w:rsidRPr="00C86111" w:rsidRDefault="002B20A9" w:rsidP="00C97FE5">
            <w:pPr>
              <w:jc w:val="center"/>
              <w:rPr>
                <w:rStyle w:val="Hyperlink"/>
                <w:rFonts w:asciiTheme="minorHAnsi" w:hAnsiTheme="minorHAnsi" w:cstheme="minorHAnsi"/>
                <w:b/>
                <w:bCs/>
                <w:i/>
                <w:color w:val="auto"/>
                <w:sz w:val="20"/>
                <w:szCs w:val="20"/>
              </w:rPr>
            </w:pPr>
          </w:p>
          <w:p w14:paraId="1B1908DC" w14:textId="77777777" w:rsidR="002B20A9" w:rsidRPr="00C86111" w:rsidRDefault="002B20A9" w:rsidP="00C97FE5">
            <w:pPr>
              <w:jc w:val="center"/>
              <w:rPr>
                <w:rFonts w:asciiTheme="minorHAnsi" w:hAnsiTheme="minorHAnsi" w:cstheme="minorHAnsi"/>
                <w:b/>
                <w:bCs/>
                <w:color w:val="auto"/>
                <w:sz w:val="20"/>
                <w:szCs w:val="20"/>
              </w:rPr>
            </w:pPr>
            <w:r w:rsidRPr="00C86111">
              <w:rPr>
                <w:rFonts w:asciiTheme="minorHAnsi" w:eastAsia="Times New Roman" w:hAnsiTheme="minorHAnsi" w:cstheme="minorHAnsi"/>
                <w:b/>
                <w:bCs/>
                <w:color w:val="auto"/>
                <w:sz w:val="20"/>
                <w:szCs w:val="20"/>
                <w:lang w:eastAsia="en-GB"/>
              </w:rPr>
              <w:t>Godina proizvodnje</w:t>
            </w:r>
          </w:p>
        </w:tc>
      </w:tr>
      <w:tr w:rsidR="002B20A9" w:rsidRPr="00C86111" w14:paraId="71FAB3F1" w14:textId="77777777" w:rsidTr="00C97FE5">
        <w:trPr>
          <w:trHeight w:val="354"/>
          <w:jc w:val="center"/>
        </w:trPr>
        <w:tc>
          <w:tcPr>
            <w:cnfStyle w:val="000010000000" w:firstRow="0" w:lastRow="0" w:firstColumn="0" w:lastColumn="0" w:oddVBand="1" w:evenVBand="0" w:oddHBand="0" w:evenHBand="0" w:firstRowFirstColumn="0" w:firstRowLastColumn="0" w:lastRowFirstColumn="0" w:lastRowLastColumn="0"/>
            <w:tcW w:w="444" w:type="pct"/>
            <w:vMerge/>
            <w:vAlign w:val="center"/>
          </w:tcPr>
          <w:p w14:paraId="7C1A5C6C" w14:textId="77777777" w:rsidR="002B20A9" w:rsidRPr="00C86111" w:rsidRDefault="002B20A9" w:rsidP="00E71878">
            <w:pPr>
              <w:jc w:val="center"/>
              <w:rPr>
                <w:rFonts w:asciiTheme="minorHAnsi" w:hAnsiTheme="minorHAnsi" w:cstheme="minorHAnsi"/>
                <w:color w:val="auto"/>
                <w:sz w:val="20"/>
                <w:szCs w:val="20"/>
              </w:rPr>
            </w:pPr>
          </w:p>
        </w:tc>
        <w:tc>
          <w:tcPr>
            <w:tcW w:w="1576" w:type="pct"/>
            <w:vMerge/>
            <w:vAlign w:val="center"/>
          </w:tcPr>
          <w:p w14:paraId="1A588B7B"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Merge/>
            <w:vAlign w:val="center"/>
          </w:tcPr>
          <w:p w14:paraId="51EBA50E" w14:textId="77777777" w:rsidR="002B20A9" w:rsidRPr="00C86111" w:rsidRDefault="002B20A9" w:rsidP="00C97FE5">
            <w:pPr>
              <w:jc w:val="center"/>
              <w:rPr>
                <w:rFonts w:asciiTheme="minorHAnsi" w:hAnsiTheme="minorHAnsi" w:cstheme="minorHAnsi"/>
                <w:color w:val="auto"/>
                <w:sz w:val="20"/>
                <w:szCs w:val="20"/>
              </w:rPr>
            </w:pPr>
          </w:p>
        </w:tc>
        <w:tc>
          <w:tcPr>
            <w:tcW w:w="1595" w:type="pct"/>
            <w:vMerge/>
            <w:vAlign w:val="center"/>
          </w:tcPr>
          <w:p w14:paraId="5827ECD7"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683" w:type="pct"/>
            <w:vMerge/>
            <w:vAlign w:val="center"/>
          </w:tcPr>
          <w:p w14:paraId="0EB5DD62" w14:textId="77777777" w:rsidR="002B20A9" w:rsidRPr="00C86111" w:rsidRDefault="002B20A9" w:rsidP="00C97FE5">
            <w:pPr>
              <w:jc w:val="center"/>
              <w:rPr>
                <w:rStyle w:val="Hyperlink"/>
                <w:rFonts w:asciiTheme="minorHAnsi" w:hAnsiTheme="minorHAnsi" w:cstheme="minorHAnsi"/>
                <w:b/>
                <w:i/>
                <w:color w:val="auto"/>
                <w:sz w:val="20"/>
                <w:szCs w:val="20"/>
              </w:rPr>
            </w:pPr>
          </w:p>
        </w:tc>
      </w:tr>
      <w:tr w:rsidR="002B20A9" w:rsidRPr="00C86111" w14:paraId="51A5BDC9"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39D61F5C"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1576" w:type="pct"/>
            <w:vMerge w:val="restart"/>
            <w:vAlign w:val="center"/>
          </w:tcPr>
          <w:p w14:paraId="667DDB2B"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i/>
                <w:color w:val="auto"/>
                <w:sz w:val="20"/>
                <w:szCs w:val="20"/>
              </w:rPr>
            </w:pPr>
            <w:r w:rsidRPr="00C86111">
              <w:rPr>
                <w:rFonts w:asciiTheme="minorHAnsi" w:hAnsiTheme="minorHAnsi" w:cstheme="minorHAnsi"/>
                <w:color w:val="auto"/>
                <w:sz w:val="20"/>
                <w:szCs w:val="20"/>
              </w:rPr>
              <w:t>Luka Bar</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054DFD28"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125</w:t>
            </w:r>
          </w:p>
        </w:tc>
        <w:tc>
          <w:tcPr>
            <w:tcW w:w="1595" w:type="pct"/>
            <w:vAlign w:val="center"/>
          </w:tcPr>
          <w:p w14:paraId="1BF596AA"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i/>
                <w:color w:val="auto"/>
                <w:sz w:val="20"/>
                <w:szCs w:val="20"/>
              </w:rPr>
            </w:pPr>
            <w:r w:rsidRPr="00C86111">
              <w:rPr>
                <w:rFonts w:asciiTheme="minorHAnsi" w:hAnsiTheme="minorHAnsi" w:cstheme="minorHAnsi"/>
                <w:color w:val="auto"/>
                <w:sz w:val="20"/>
                <w:szCs w:val="20"/>
              </w:rPr>
              <w:t xml:space="preserve">DimiLex F 3%, </w:t>
            </w:r>
            <w:r w:rsidRPr="00C86111">
              <w:rPr>
                <w:rFonts w:asciiTheme="minorHAnsi" w:hAnsiTheme="minorHAnsi" w:cstheme="minorHAnsi"/>
                <w:color w:val="auto"/>
                <w:sz w:val="20"/>
                <w:szCs w:val="20"/>
                <w:lang w:eastAsia="en-GB"/>
              </w:rPr>
              <w:t>Synthetic foam, Dyayan Protection, Bulgaria</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7A1B4E6"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2024</w:t>
            </w:r>
          </w:p>
        </w:tc>
      </w:tr>
      <w:tr w:rsidR="002B20A9" w:rsidRPr="00C86111" w14:paraId="5AF0E068"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E6EA6E1"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1576" w:type="pct"/>
            <w:vMerge/>
            <w:vAlign w:val="center"/>
          </w:tcPr>
          <w:p w14:paraId="5604DDE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Style w:val="Hyperlink"/>
                <w:rFonts w:asciiTheme="minorHAnsi" w:hAnsiTheme="minorHAnsi" w:cstheme="minorHAnsi"/>
                <w:b/>
                <w: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13C2C549"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rPr>
              <w:t>25</w:t>
            </w:r>
          </w:p>
        </w:tc>
        <w:tc>
          <w:tcPr>
            <w:tcW w:w="1595" w:type="pct"/>
            <w:vAlign w:val="center"/>
          </w:tcPr>
          <w:p w14:paraId="3217427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Style w:val="Hyperlink"/>
                <w:rFonts w:asciiTheme="minorHAnsi" w:hAnsiTheme="minorHAnsi" w:cstheme="minorHAnsi"/>
                <w:b/>
                <w:i/>
                <w:color w:val="auto"/>
                <w:sz w:val="20"/>
                <w:szCs w:val="20"/>
              </w:rPr>
            </w:pPr>
            <w:r w:rsidRPr="00C86111">
              <w:rPr>
                <w:rFonts w:asciiTheme="minorHAnsi" w:hAnsiTheme="minorHAnsi" w:cstheme="minorHAnsi"/>
                <w:color w:val="auto"/>
                <w:sz w:val="20"/>
                <w:szCs w:val="20"/>
                <w:lang w:eastAsia="en-GB"/>
              </w:rPr>
              <w:t>Deteor Me Eco 3%, Synthetic foam, Orchidee,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15E5508"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2020</w:t>
            </w:r>
          </w:p>
        </w:tc>
      </w:tr>
      <w:tr w:rsidR="002B20A9" w:rsidRPr="00C86111" w14:paraId="7255B446" w14:textId="77777777" w:rsidTr="00C97FE5">
        <w:trPr>
          <w:cnfStyle w:val="000000100000" w:firstRow="0" w:lastRow="0" w:firstColumn="0" w:lastColumn="0" w:oddVBand="0" w:evenVBand="0" w:oddHBand="1" w:evenHBand="0" w:firstRowFirstColumn="0" w:firstRowLastColumn="0" w:lastRowFirstColumn="0" w:lastRowLastColumn="0"/>
          <w:trHeight w:val="594"/>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65DDE114" w14:textId="77777777" w:rsidR="002B20A9" w:rsidRPr="00C86111" w:rsidRDefault="002B20A9" w:rsidP="00E71878">
            <w:pPr>
              <w:jc w:val="center"/>
              <w:rPr>
                <w:rStyle w:val="Hyperlink"/>
                <w:rFonts w:asciiTheme="minorHAnsi" w:hAnsiTheme="minorHAnsi" w:cstheme="minorHAnsi"/>
                <w:b/>
                <w:bCs/>
                <w:i/>
                <w:color w:val="auto"/>
                <w:sz w:val="20"/>
                <w:szCs w:val="20"/>
              </w:rPr>
            </w:pPr>
            <w:r w:rsidRPr="00C86111">
              <w:rPr>
                <w:rStyle w:val="Hyperlink"/>
                <w:rFonts w:asciiTheme="minorHAnsi" w:hAnsiTheme="minorHAnsi" w:cstheme="minorHAnsi"/>
                <w:bCs/>
                <w:color w:val="auto"/>
                <w:sz w:val="20"/>
                <w:szCs w:val="20"/>
              </w:rPr>
              <w:t>3</w:t>
            </w:r>
            <w:r w:rsidRPr="00C86111">
              <w:rPr>
                <w:rStyle w:val="Hyperlink"/>
                <w:rFonts w:asciiTheme="minorHAnsi" w:hAnsiTheme="minorHAnsi" w:cstheme="minorHAnsi"/>
                <w:color w:val="auto"/>
                <w:sz w:val="20"/>
                <w:szCs w:val="20"/>
              </w:rPr>
              <w:t>.</w:t>
            </w:r>
          </w:p>
        </w:tc>
        <w:tc>
          <w:tcPr>
            <w:tcW w:w="1576" w:type="pct"/>
            <w:vAlign w:val="center"/>
          </w:tcPr>
          <w:p w14:paraId="0C109A4E"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i/>
                <w:color w:val="auto"/>
                <w:sz w:val="20"/>
                <w:szCs w:val="20"/>
              </w:rPr>
            </w:pPr>
            <w:r w:rsidRPr="00C86111">
              <w:rPr>
                <w:rFonts w:asciiTheme="minorHAnsi" w:hAnsiTheme="minorHAnsi" w:cstheme="minorHAnsi"/>
                <w:color w:val="auto"/>
                <w:sz w:val="20"/>
                <w:szCs w:val="20"/>
                <w:lang w:eastAsia="en-GB"/>
              </w:rPr>
              <w:t>Ulcinj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73FC543C"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150</w:t>
            </w:r>
          </w:p>
        </w:tc>
        <w:tc>
          <w:tcPr>
            <w:tcW w:w="1595" w:type="pct"/>
            <w:vAlign w:val="center"/>
          </w:tcPr>
          <w:p w14:paraId="323880F4"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i/>
                <w:color w:val="auto"/>
                <w:sz w:val="20"/>
                <w:szCs w:val="20"/>
              </w:rPr>
            </w:pPr>
            <w:r w:rsidRPr="00C86111">
              <w:rPr>
                <w:rFonts w:asciiTheme="minorHAnsi" w:hAnsiTheme="minorHAnsi" w:cstheme="minorHAnsi"/>
                <w:color w:val="auto"/>
                <w:sz w:val="20"/>
                <w:szCs w:val="20"/>
              </w:rPr>
              <w:t>Old firefighting foam received through donation.</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CB7CD8F"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5FE0798C" w14:textId="77777777" w:rsidTr="00C97FE5">
        <w:trPr>
          <w:trHeight w:val="675"/>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CF1CCA7"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4.</w:t>
            </w:r>
          </w:p>
        </w:tc>
        <w:tc>
          <w:tcPr>
            <w:tcW w:w="1576" w:type="pct"/>
            <w:vAlign w:val="center"/>
          </w:tcPr>
          <w:p w14:paraId="4344F9C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vertAlign w:val="superscript"/>
              </w:rPr>
            </w:pPr>
            <w:r w:rsidRPr="00C86111">
              <w:rPr>
                <w:rFonts w:asciiTheme="minorHAnsi" w:hAnsiTheme="minorHAnsi" w:cstheme="minorHAnsi"/>
                <w:color w:val="auto"/>
                <w:sz w:val="20"/>
                <w:szCs w:val="20"/>
                <w:lang w:eastAsia="en-GB"/>
              </w:rPr>
              <w:t>Plav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8305D8E"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65</w:t>
            </w:r>
          </w:p>
        </w:tc>
        <w:tc>
          <w:tcPr>
            <w:tcW w:w="1595" w:type="pct"/>
            <w:vAlign w:val="center"/>
          </w:tcPr>
          <w:p w14:paraId="0281E4E2"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vertAlign w:val="superscript"/>
              </w:rPr>
            </w:pPr>
            <w:r w:rsidRPr="00C86111">
              <w:rPr>
                <w:rFonts w:asciiTheme="minorHAnsi" w:hAnsiTheme="minorHAnsi" w:cstheme="minorHAnsi"/>
                <w:color w:val="auto"/>
                <w:sz w:val="20"/>
                <w:szCs w:val="20"/>
                <w:lang w:eastAsia="en-GB"/>
              </w:rPr>
              <w:t>Apirol-FX3, Fluorotein foam concentrate, Sabo Foam, Italy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C3672D7"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r>
      <w:tr w:rsidR="002B20A9" w:rsidRPr="00C86111" w14:paraId="1A3DB9F5"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1A3DFB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5.</w:t>
            </w:r>
          </w:p>
        </w:tc>
        <w:tc>
          <w:tcPr>
            <w:tcW w:w="1576" w:type="pct"/>
            <w:vAlign w:val="center"/>
          </w:tcPr>
          <w:p w14:paraId="46CAC3AD"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Monteput-Sozina tunel</w:t>
            </w:r>
          </w:p>
        </w:tc>
        <w:tc>
          <w:tcPr>
            <w:cnfStyle w:val="000010000000" w:firstRow="0" w:lastRow="0" w:firstColumn="0" w:lastColumn="0" w:oddVBand="1" w:evenVBand="0" w:oddHBand="0" w:evenHBand="0" w:firstRowFirstColumn="0" w:firstRowLastColumn="0" w:lastRowFirstColumn="0" w:lastRowLastColumn="0"/>
            <w:tcW w:w="703" w:type="pct"/>
            <w:vMerge w:val="restart"/>
            <w:vAlign w:val="center"/>
          </w:tcPr>
          <w:p w14:paraId="6BC1AD45"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rPr>
              <w:t>2250</w:t>
            </w:r>
          </w:p>
        </w:tc>
        <w:tc>
          <w:tcPr>
            <w:tcW w:w="1595" w:type="pct"/>
            <w:vAlign w:val="center"/>
          </w:tcPr>
          <w:p w14:paraId="00211FB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 3% F-15, AFFF, Synthetic foam, fluorine-free, </w:t>
            </w:r>
            <w:r w:rsidRPr="00C86111">
              <w:rPr>
                <w:rFonts w:asciiTheme="minorHAnsi" w:hAnsiTheme="minorHAnsi" w:cstheme="minorHAnsi"/>
                <w:color w:val="auto"/>
                <w:sz w:val="20"/>
                <w:szCs w:val="20"/>
              </w:rPr>
              <w:t>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1CA5579"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4FFA01B4"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D13BA49"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lastRenderedPageBreak/>
              <w:t>6.</w:t>
            </w:r>
          </w:p>
        </w:tc>
        <w:tc>
          <w:tcPr>
            <w:tcW w:w="1576" w:type="pct"/>
            <w:vAlign w:val="center"/>
          </w:tcPr>
          <w:p w14:paraId="08DE5D1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Monteput-Autoput</w:t>
            </w:r>
          </w:p>
        </w:tc>
        <w:tc>
          <w:tcPr>
            <w:cnfStyle w:val="000010000000" w:firstRow="0" w:lastRow="0" w:firstColumn="0" w:lastColumn="0" w:oddVBand="1" w:evenVBand="0" w:oddHBand="0" w:evenHBand="0" w:firstRowFirstColumn="0" w:firstRowLastColumn="0" w:lastRowFirstColumn="0" w:lastRowLastColumn="0"/>
            <w:tcW w:w="703" w:type="pct"/>
            <w:vMerge/>
            <w:vAlign w:val="center"/>
          </w:tcPr>
          <w:p w14:paraId="55A60DDA" w14:textId="77777777" w:rsidR="002B20A9" w:rsidRPr="00C86111" w:rsidRDefault="002B20A9" w:rsidP="00C97FE5">
            <w:pPr>
              <w:jc w:val="center"/>
              <w:rPr>
                <w:rFonts w:asciiTheme="minorHAnsi" w:hAnsiTheme="minorHAnsi" w:cstheme="minorHAnsi"/>
                <w:color w:val="auto"/>
                <w:sz w:val="20"/>
                <w:szCs w:val="20"/>
                <w:lang w:eastAsia="en-GB"/>
              </w:rPr>
            </w:pPr>
          </w:p>
        </w:tc>
        <w:tc>
          <w:tcPr>
            <w:tcW w:w="1595" w:type="pct"/>
            <w:vAlign w:val="center"/>
          </w:tcPr>
          <w:p w14:paraId="5E6E3D82"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 3% F-15, AFFF, Synthetic foam, fluorine-free, </w:t>
            </w:r>
            <w:r w:rsidRPr="00C86111">
              <w:rPr>
                <w:rFonts w:asciiTheme="minorHAnsi" w:hAnsiTheme="minorHAnsi" w:cstheme="minorHAnsi"/>
                <w:color w:val="auto"/>
                <w:sz w:val="20"/>
                <w:szCs w:val="20"/>
              </w:rPr>
              <w:t>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63A91D9"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56C08FCC"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520485B"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7.</w:t>
            </w:r>
          </w:p>
        </w:tc>
        <w:tc>
          <w:tcPr>
            <w:tcW w:w="1576" w:type="pct"/>
            <w:vMerge w:val="restart"/>
            <w:vAlign w:val="center"/>
          </w:tcPr>
          <w:p w14:paraId="0284AF7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Bar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74C2AFE"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100</w:t>
            </w:r>
          </w:p>
        </w:tc>
        <w:tc>
          <w:tcPr>
            <w:tcW w:w="1595" w:type="pct"/>
            <w:vAlign w:val="center"/>
          </w:tcPr>
          <w:p w14:paraId="001A260D"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DimiLex F 3%, </w:t>
            </w:r>
            <w:r w:rsidRPr="00C86111">
              <w:rPr>
                <w:rFonts w:asciiTheme="minorHAnsi" w:hAnsiTheme="minorHAnsi" w:cstheme="minorHAnsi"/>
                <w:color w:val="auto"/>
                <w:sz w:val="20"/>
                <w:szCs w:val="20"/>
                <w:lang w:eastAsia="en-GB"/>
              </w:rPr>
              <w:t>Synthetic foam, Dyayan Protection, Bulgaria</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063267B0"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2025</w:t>
            </w:r>
          </w:p>
        </w:tc>
      </w:tr>
      <w:tr w:rsidR="002B20A9" w:rsidRPr="00C86111" w14:paraId="5D3B0425"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34596A8D"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8.</w:t>
            </w:r>
          </w:p>
        </w:tc>
        <w:tc>
          <w:tcPr>
            <w:tcW w:w="1576" w:type="pct"/>
            <w:vMerge/>
            <w:vAlign w:val="center"/>
          </w:tcPr>
          <w:p w14:paraId="655963F5"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Merge w:val="restart"/>
            <w:vAlign w:val="center"/>
          </w:tcPr>
          <w:p w14:paraId="315CABCF"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3000</w:t>
            </w:r>
          </w:p>
        </w:tc>
        <w:tc>
          <w:tcPr>
            <w:tcW w:w="1595" w:type="pct"/>
            <w:vAlign w:val="center"/>
          </w:tcPr>
          <w:p w14:paraId="4B37FD10"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Old firefighting foam received through donation. Upper plastic canister</w:t>
            </w:r>
          </w:p>
        </w:tc>
        <w:tc>
          <w:tcPr>
            <w:cnfStyle w:val="000010000000" w:firstRow="0" w:lastRow="0" w:firstColumn="0" w:lastColumn="0" w:oddVBand="1" w:evenVBand="0" w:oddHBand="0" w:evenHBand="0" w:firstRowFirstColumn="0" w:firstRowLastColumn="0" w:lastRowFirstColumn="0" w:lastRowLastColumn="0"/>
            <w:tcW w:w="683" w:type="pct"/>
            <w:vMerge w:val="restart"/>
            <w:vAlign w:val="center"/>
          </w:tcPr>
          <w:p w14:paraId="3DF438FD"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33A2B73C"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3C1AEF29"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9.</w:t>
            </w:r>
          </w:p>
        </w:tc>
        <w:tc>
          <w:tcPr>
            <w:tcW w:w="1576" w:type="pct"/>
            <w:vMerge/>
            <w:vAlign w:val="center"/>
          </w:tcPr>
          <w:p w14:paraId="7055CB10"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Merge/>
            <w:vAlign w:val="center"/>
          </w:tcPr>
          <w:p w14:paraId="265C167B" w14:textId="77777777" w:rsidR="002B20A9" w:rsidRPr="00C86111" w:rsidRDefault="002B20A9" w:rsidP="00C97FE5">
            <w:pPr>
              <w:jc w:val="center"/>
              <w:rPr>
                <w:rFonts w:asciiTheme="minorHAnsi" w:hAnsiTheme="minorHAnsi" w:cstheme="minorHAnsi"/>
                <w:color w:val="auto"/>
                <w:sz w:val="20"/>
                <w:szCs w:val="20"/>
                <w:lang w:eastAsia="en-GB"/>
              </w:rPr>
            </w:pPr>
          </w:p>
        </w:tc>
        <w:tc>
          <w:tcPr>
            <w:tcW w:w="1595" w:type="pct"/>
            <w:vAlign w:val="center"/>
          </w:tcPr>
          <w:p w14:paraId="35D7354A"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vertAlign w:val="superscript"/>
              </w:rPr>
            </w:pPr>
            <w:r w:rsidRPr="00C86111">
              <w:rPr>
                <w:rFonts w:asciiTheme="minorHAnsi" w:hAnsiTheme="minorHAnsi" w:cstheme="minorHAnsi"/>
                <w:color w:val="auto"/>
                <w:sz w:val="20"/>
                <w:szCs w:val="20"/>
              </w:rPr>
              <w:t>Old firefighting foam received through donation. Lower plastic canister</w:t>
            </w:r>
          </w:p>
        </w:tc>
        <w:tc>
          <w:tcPr>
            <w:cnfStyle w:val="000010000000" w:firstRow="0" w:lastRow="0" w:firstColumn="0" w:lastColumn="0" w:oddVBand="1" w:evenVBand="0" w:oddHBand="0" w:evenHBand="0" w:firstRowFirstColumn="0" w:firstRowLastColumn="0" w:lastRowFirstColumn="0" w:lastRowLastColumn="0"/>
            <w:tcW w:w="683" w:type="pct"/>
            <w:vMerge/>
            <w:vAlign w:val="center"/>
          </w:tcPr>
          <w:p w14:paraId="1C243219" w14:textId="77777777" w:rsidR="002B20A9" w:rsidRPr="00C86111" w:rsidRDefault="002B20A9" w:rsidP="00C97FE5">
            <w:pPr>
              <w:jc w:val="center"/>
              <w:rPr>
                <w:rFonts w:asciiTheme="minorHAnsi" w:hAnsiTheme="minorHAnsi" w:cstheme="minorHAnsi"/>
                <w:color w:val="auto"/>
                <w:sz w:val="20"/>
                <w:szCs w:val="20"/>
              </w:rPr>
            </w:pPr>
          </w:p>
        </w:tc>
      </w:tr>
      <w:tr w:rsidR="002B20A9" w:rsidRPr="00C86111" w14:paraId="490EB932"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45C3D96"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c>
          <w:tcPr>
            <w:tcW w:w="1576" w:type="pct"/>
            <w:vMerge w:val="restart"/>
            <w:vAlign w:val="center"/>
          </w:tcPr>
          <w:p w14:paraId="61B34D3A"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Pljevlja </w:t>
            </w:r>
            <w:r w:rsidRPr="00C86111">
              <w:rPr>
                <w:rFonts w:asciiTheme="minorHAnsi" w:hAnsiTheme="minorHAnsi" w:cstheme="minorHAnsi"/>
                <w:color w:val="auto"/>
                <w:sz w:val="20"/>
                <w:szCs w:val="20"/>
                <w:lang w:eastAsia="en-GB"/>
              </w:rPr>
              <w:t>-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6A68A94"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275</w:t>
            </w:r>
          </w:p>
        </w:tc>
        <w:tc>
          <w:tcPr>
            <w:tcW w:w="1595" w:type="pct"/>
            <w:vAlign w:val="center"/>
          </w:tcPr>
          <w:p w14:paraId="2E1F27C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concentrate fluorine free, Bioex S.A.S,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C46F415"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2020</w:t>
            </w:r>
          </w:p>
        </w:tc>
      </w:tr>
      <w:tr w:rsidR="002B20A9" w:rsidRPr="00C86111" w14:paraId="536C421A"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4E39ED6"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c>
          <w:tcPr>
            <w:tcW w:w="1576" w:type="pct"/>
            <w:vMerge/>
            <w:vAlign w:val="center"/>
          </w:tcPr>
          <w:p w14:paraId="3B51524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9CD71A3"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70</w:t>
            </w:r>
          </w:p>
        </w:tc>
        <w:tc>
          <w:tcPr>
            <w:tcW w:w="1595" w:type="pct"/>
            <w:vAlign w:val="center"/>
          </w:tcPr>
          <w:p w14:paraId="198D54E1"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es-ES"/>
              </w:rPr>
            </w:pPr>
            <w:r w:rsidRPr="00C86111">
              <w:rPr>
                <w:rFonts w:asciiTheme="minorHAnsi" w:hAnsiTheme="minorHAnsi" w:cstheme="minorHAnsi"/>
                <w:color w:val="auto"/>
                <w:sz w:val="20"/>
                <w:szCs w:val="20"/>
                <w:lang w:val="es-ES"/>
              </w:rPr>
              <w:t xml:space="preserve">Hidral-6 EX, AFFF, </w:t>
            </w:r>
          </w:p>
          <w:p w14:paraId="5DFE0D5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es-ES"/>
              </w:rPr>
            </w:pPr>
            <w:r w:rsidRPr="00C86111">
              <w:rPr>
                <w:rFonts w:asciiTheme="minorHAnsi" w:hAnsiTheme="minorHAnsi" w:cstheme="minorHAnsi"/>
                <w:color w:val="auto"/>
                <w:sz w:val="20"/>
                <w:szCs w:val="20"/>
                <w:lang w:val="es-ES"/>
              </w:rPr>
              <w:t>Sabo Foam, Italy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6526EA9"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r>
      <w:tr w:rsidR="002B20A9" w:rsidRPr="00C86111" w14:paraId="30935C0E"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7B30D142"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c>
          <w:tcPr>
            <w:tcW w:w="1576" w:type="pct"/>
            <w:vMerge w:val="restart"/>
            <w:vAlign w:val="center"/>
          </w:tcPr>
          <w:p w14:paraId="1AD8CDC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Bijelo Polje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0A5C495B"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25</w:t>
            </w:r>
          </w:p>
        </w:tc>
        <w:tc>
          <w:tcPr>
            <w:tcW w:w="1595" w:type="pct"/>
            <w:vAlign w:val="center"/>
          </w:tcPr>
          <w:p w14:paraId="1176E2A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Bioex S.A.S, Deutschland</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8E1FC28"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2019</w:t>
            </w:r>
          </w:p>
        </w:tc>
      </w:tr>
      <w:tr w:rsidR="002B20A9" w:rsidRPr="00C86111" w14:paraId="2720B461"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03F508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13.</w:t>
            </w:r>
          </w:p>
        </w:tc>
        <w:tc>
          <w:tcPr>
            <w:tcW w:w="1576" w:type="pct"/>
            <w:vMerge/>
            <w:vAlign w:val="center"/>
          </w:tcPr>
          <w:p w14:paraId="3801949A"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FAEA2F3"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475</w:t>
            </w:r>
          </w:p>
        </w:tc>
        <w:tc>
          <w:tcPr>
            <w:tcW w:w="1595" w:type="pct"/>
            <w:vAlign w:val="center"/>
          </w:tcPr>
          <w:p w14:paraId="59AE174C"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Bioex S.A.S, Deutschland, Fire truck</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06C0A258"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2019</w:t>
            </w:r>
          </w:p>
        </w:tc>
      </w:tr>
      <w:tr w:rsidR="002B20A9" w:rsidRPr="00C86111" w14:paraId="2F5D55B1"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CB4BFBC"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14.</w:t>
            </w:r>
          </w:p>
        </w:tc>
        <w:tc>
          <w:tcPr>
            <w:tcW w:w="1576" w:type="pct"/>
            <w:vAlign w:val="center"/>
          </w:tcPr>
          <w:p w14:paraId="2D2C689D"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Mojkovac </w:t>
            </w:r>
            <w:r w:rsidRPr="00C86111">
              <w:rPr>
                <w:rFonts w:asciiTheme="minorHAnsi" w:hAnsiTheme="minorHAnsi" w:cstheme="minorHAnsi"/>
                <w:color w:val="auto"/>
                <w:sz w:val="20"/>
                <w:szCs w:val="20"/>
                <w:lang w:eastAsia="en-GB"/>
              </w:rPr>
              <w:t>–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1BB6164B"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30</w:t>
            </w:r>
          </w:p>
        </w:tc>
        <w:tc>
          <w:tcPr>
            <w:tcW w:w="1595" w:type="pct"/>
            <w:vAlign w:val="center"/>
          </w:tcPr>
          <w:p w14:paraId="33820B1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STHAMEX 3% F-15, Synthetic foam, 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EF16FDE"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6B073439"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AAD2A10"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15.</w:t>
            </w:r>
          </w:p>
        </w:tc>
        <w:tc>
          <w:tcPr>
            <w:tcW w:w="1576" w:type="pct"/>
            <w:vAlign w:val="center"/>
          </w:tcPr>
          <w:p w14:paraId="50337B9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Kolašin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6218DFD0"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200</w:t>
            </w:r>
          </w:p>
        </w:tc>
        <w:tc>
          <w:tcPr>
            <w:tcW w:w="1595" w:type="pct"/>
            <w:vAlign w:val="center"/>
          </w:tcPr>
          <w:p w14:paraId="6F4F22D9"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Bio Foam 5, </w:t>
            </w:r>
            <w:r w:rsidRPr="00C86111">
              <w:rPr>
                <w:rFonts w:asciiTheme="minorHAnsi" w:hAnsiTheme="minorHAnsi" w:cstheme="minorHAnsi"/>
                <w:color w:val="auto"/>
                <w:sz w:val="20"/>
                <w:szCs w:val="20"/>
              </w:rPr>
              <w:t xml:space="preserve">Synthetic foam concentrate, </w:t>
            </w:r>
            <w:r w:rsidRPr="00C86111">
              <w:rPr>
                <w:rFonts w:asciiTheme="minorHAnsi" w:hAnsiTheme="minorHAnsi" w:cstheme="minorHAnsi"/>
                <w:color w:val="auto"/>
                <w:sz w:val="20"/>
                <w:szCs w:val="20"/>
                <w:lang w:eastAsia="en-GB"/>
              </w:rPr>
              <w:t>BioEx,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9F8DB70"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r>
      <w:tr w:rsidR="002B20A9" w:rsidRPr="00C86111" w14:paraId="231442BB"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E6B5510"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16.</w:t>
            </w:r>
          </w:p>
        </w:tc>
        <w:tc>
          <w:tcPr>
            <w:tcW w:w="1576" w:type="pct"/>
            <w:vAlign w:val="center"/>
          </w:tcPr>
          <w:p w14:paraId="46AAFF15"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Berane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908B248"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300</w:t>
            </w:r>
          </w:p>
        </w:tc>
        <w:tc>
          <w:tcPr>
            <w:tcW w:w="1595" w:type="pct"/>
            <w:vAlign w:val="center"/>
          </w:tcPr>
          <w:p w14:paraId="4DAC2BFA"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Plurex M, Sabo Foam, Italy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611FFC05"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r>
      <w:tr w:rsidR="002B20A9" w:rsidRPr="00C86111" w14:paraId="731E7194"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B50BD86"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17.</w:t>
            </w:r>
          </w:p>
        </w:tc>
        <w:tc>
          <w:tcPr>
            <w:tcW w:w="1576" w:type="pct"/>
            <w:vAlign w:val="center"/>
          </w:tcPr>
          <w:p w14:paraId="4383A35C"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Žabljak </w:t>
            </w:r>
            <w:r w:rsidRPr="00C86111">
              <w:rPr>
                <w:rFonts w:asciiTheme="minorHAnsi" w:hAnsiTheme="minorHAnsi" w:cstheme="minorHAnsi"/>
                <w:color w:val="auto"/>
                <w:sz w:val="20"/>
                <w:szCs w:val="20"/>
                <w:lang w:eastAsia="en-GB"/>
              </w:rPr>
              <w:t>–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C1EC68E"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100</w:t>
            </w:r>
          </w:p>
        </w:tc>
        <w:tc>
          <w:tcPr>
            <w:tcW w:w="1595" w:type="pct"/>
            <w:vAlign w:val="center"/>
          </w:tcPr>
          <w:p w14:paraId="33B4100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Deteor Me Eco 3%, Synthetic foam, Orchidee,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DD7993D"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2015</w:t>
            </w:r>
          </w:p>
        </w:tc>
      </w:tr>
      <w:tr w:rsidR="002B20A9" w:rsidRPr="00C86111" w14:paraId="3564EE90"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71F83259"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18.</w:t>
            </w:r>
          </w:p>
        </w:tc>
        <w:tc>
          <w:tcPr>
            <w:tcW w:w="1576" w:type="pct"/>
            <w:vMerge w:val="restart"/>
            <w:vAlign w:val="center"/>
          </w:tcPr>
          <w:p w14:paraId="59B07CA3"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Podgorica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62AA603D"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1400</w:t>
            </w:r>
          </w:p>
        </w:tc>
        <w:tc>
          <w:tcPr>
            <w:tcW w:w="1595" w:type="pct"/>
            <w:vAlign w:val="center"/>
          </w:tcPr>
          <w:p w14:paraId="3D3AFAF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DimiLex F 3%, </w:t>
            </w:r>
            <w:r w:rsidRPr="00C86111">
              <w:rPr>
                <w:rFonts w:asciiTheme="minorHAnsi" w:hAnsiTheme="minorHAnsi" w:cstheme="minorHAnsi"/>
                <w:color w:val="auto"/>
                <w:sz w:val="20"/>
                <w:szCs w:val="20"/>
                <w:lang w:eastAsia="en-GB"/>
              </w:rPr>
              <w:t>Synthetic foam, Dyayan Protection, Bulgaria</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ABBE5A0"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2025</w:t>
            </w:r>
          </w:p>
        </w:tc>
      </w:tr>
      <w:tr w:rsidR="002B20A9" w:rsidRPr="00C86111" w14:paraId="24686697"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7C20D011"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19.</w:t>
            </w:r>
          </w:p>
        </w:tc>
        <w:tc>
          <w:tcPr>
            <w:tcW w:w="1576" w:type="pct"/>
            <w:vMerge/>
            <w:vAlign w:val="center"/>
          </w:tcPr>
          <w:p w14:paraId="11DB2081"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1E7A9FF3"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720</w:t>
            </w:r>
          </w:p>
        </w:tc>
        <w:tc>
          <w:tcPr>
            <w:tcW w:w="1595" w:type="pct"/>
            <w:vAlign w:val="center"/>
          </w:tcPr>
          <w:p w14:paraId="6156F1C3"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STHAMEX-AFFF 1% F-15, Synthetic foam, 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5F85A06D"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7E1023CC"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4348566"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w:t>
            </w:r>
          </w:p>
        </w:tc>
        <w:tc>
          <w:tcPr>
            <w:tcW w:w="1576" w:type="pct"/>
            <w:vAlign w:val="center"/>
          </w:tcPr>
          <w:p w14:paraId="7DEE6C06"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Cetinje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EB31771"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25</w:t>
            </w:r>
          </w:p>
        </w:tc>
        <w:tc>
          <w:tcPr>
            <w:tcW w:w="1595" w:type="pct"/>
            <w:vAlign w:val="center"/>
          </w:tcPr>
          <w:p w14:paraId="77972E3A"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concentrate fluorine free, Bioex S.A.S,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DD561A6"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0E4C84FA"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C3A4B1C"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21.</w:t>
            </w:r>
          </w:p>
        </w:tc>
        <w:tc>
          <w:tcPr>
            <w:tcW w:w="1576" w:type="pct"/>
            <w:vAlign w:val="center"/>
          </w:tcPr>
          <w:p w14:paraId="736050B4"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Nikšić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5104F9EF"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1275</w:t>
            </w:r>
          </w:p>
        </w:tc>
        <w:tc>
          <w:tcPr>
            <w:tcW w:w="1595" w:type="pct"/>
            <w:vAlign w:val="center"/>
          </w:tcPr>
          <w:p w14:paraId="46F5191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concentrate fluorine free, Bioex S.A.S,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3CF99CF"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19162022"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8961814"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22.</w:t>
            </w:r>
          </w:p>
        </w:tc>
        <w:tc>
          <w:tcPr>
            <w:tcW w:w="1576" w:type="pct"/>
            <w:vAlign w:val="center"/>
          </w:tcPr>
          <w:p w14:paraId="21268604"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Plužine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5DF01D9F"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50</w:t>
            </w:r>
          </w:p>
        </w:tc>
        <w:tc>
          <w:tcPr>
            <w:tcW w:w="1595" w:type="pct"/>
            <w:vAlign w:val="center"/>
          </w:tcPr>
          <w:p w14:paraId="5FAD3241"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concentrate fluorine free, Bioex S.A.S,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26DCB1F"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32E88E1C"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0DB70D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23.</w:t>
            </w:r>
          </w:p>
        </w:tc>
        <w:tc>
          <w:tcPr>
            <w:tcW w:w="1576" w:type="pct"/>
            <w:vAlign w:val="center"/>
          </w:tcPr>
          <w:p w14:paraId="7D850D0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Budva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74517100"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825</w:t>
            </w:r>
          </w:p>
        </w:tc>
        <w:tc>
          <w:tcPr>
            <w:tcW w:w="1595" w:type="pct"/>
            <w:vAlign w:val="center"/>
          </w:tcPr>
          <w:p w14:paraId="7368FFDD"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concentrate fluorine free, Bioex S.A.S,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E2CACA9"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2023</w:t>
            </w:r>
          </w:p>
        </w:tc>
      </w:tr>
      <w:tr w:rsidR="002B20A9" w:rsidRPr="00C86111" w14:paraId="5EE09731"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EA0A349"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24.</w:t>
            </w:r>
          </w:p>
        </w:tc>
        <w:tc>
          <w:tcPr>
            <w:tcW w:w="1576" w:type="pct"/>
            <w:vAlign w:val="center"/>
          </w:tcPr>
          <w:p w14:paraId="13A4FC91"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Dobrovoljno vatrogasno društvo - Krtoli, Tivat</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B7A005F"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600</w:t>
            </w:r>
          </w:p>
        </w:tc>
        <w:tc>
          <w:tcPr>
            <w:tcW w:w="1595" w:type="pct"/>
            <w:vAlign w:val="center"/>
          </w:tcPr>
          <w:p w14:paraId="526D111B"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There is no information on the type of foam and manufacturer</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D36156C"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5164ED2D"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69150D2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25.</w:t>
            </w:r>
          </w:p>
        </w:tc>
        <w:tc>
          <w:tcPr>
            <w:tcW w:w="1576" w:type="pct"/>
            <w:vMerge w:val="restart"/>
            <w:vAlign w:val="center"/>
          </w:tcPr>
          <w:p w14:paraId="67A6E058"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Tivat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07F972E1"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400</w:t>
            </w:r>
          </w:p>
        </w:tc>
        <w:tc>
          <w:tcPr>
            <w:tcW w:w="1595" w:type="pct"/>
            <w:vAlign w:val="center"/>
          </w:tcPr>
          <w:p w14:paraId="07B8CC3A"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STHAMEX-3% F-15, Synthetic foam, 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577F802C"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1AC28C48"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7EBC558"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26.</w:t>
            </w:r>
          </w:p>
        </w:tc>
        <w:tc>
          <w:tcPr>
            <w:tcW w:w="1576" w:type="pct"/>
            <w:vMerge/>
            <w:vAlign w:val="center"/>
          </w:tcPr>
          <w:p w14:paraId="1AFE8D53"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2806027"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1000</w:t>
            </w:r>
          </w:p>
        </w:tc>
        <w:tc>
          <w:tcPr>
            <w:tcW w:w="1595" w:type="pct"/>
            <w:vAlign w:val="center"/>
          </w:tcPr>
          <w:p w14:paraId="01F57816"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Old firefighting foam received through donation. Label: Organikkimya, Netherlands</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10C9525"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4272EDFC"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348C567C"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lastRenderedPageBreak/>
              <w:t>27.</w:t>
            </w:r>
          </w:p>
        </w:tc>
        <w:tc>
          <w:tcPr>
            <w:tcW w:w="1576" w:type="pct"/>
            <w:vMerge/>
            <w:vAlign w:val="center"/>
          </w:tcPr>
          <w:p w14:paraId="06DEB2F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88427AA"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800</w:t>
            </w:r>
          </w:p>
        </w:tc>
        <w:tc>
          <w:tcPr>
            <w:tcW w:w="1595" w:type="pct"/>
            <w:vAlign w:val="center"/>
          </w:tcPr>
          <w:p w14:paraId="70F2633F"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Old firefighting foam received through donation, without specification</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DD65476"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5A2F9698" w14:textId="77777777" w:rsidTr="00C97FE5">
        <w:trPr>
          <w:trHeight w:val="648"/>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E20C273"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28.</w:t>
            </w:r>
          </w:p>
        </w:tc>
        <w:tc>
          <w:tcPr>
            <w:tcW w:w="1576" w:type="pct"/>
            <w:vMerge/>
            <w:vAlign w:val="center"/>
          </w:tcPr>
          <w:p w14:paraId="59D090D0"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1507001"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1000</w:t>
            </w:r>
          </w:p>
        </w:tc>
        <w:tc>
          <w:tcPr>
            <w:tcW w:w="1595" w:type="pct"/>
            <w:vAlign w:val="center"/>
          </w:tcPr>
          <w:p w14:paraId="75E5942D"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Old firefighting foam received through donation, without specification</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03727CEF"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59D30D04"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6EB120C7"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29.</w:t>
            </w:r>
          </w:p>
        </w:tc>
        <w:tc>
          <w:tcPr>
            <w:tcW w:w="1576" w:type="pct"/>
            <w:vMerge w:val="restart"/>
            <w:vAlign w:val="center"/>
          </w:tcPr>
          <w:p w14:paraId="1C43712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rPr>
              <w:t xml:space="preserve">Aerodrom </w:t>
            </w:r>
            <w:r w:rsidRPr="00C86111">
              <w:rPr>
                <w:rFonts w:asciiTheme="minorHAnsi" w:hAnsiTheme="minorHAnsi" w:cstheme="minorHAnsi"/>
                <w:color w:val="auto"/>
                <w:sz w:val="20"/>
                <w:szCs w:val="20"/>
                <w:lang w:eastAsia="en-GB"/>
              </w:rPr>
              <w:t xml:space="preserve">Tivat </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62588636"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2000</w:t>
            </w:r>
          </w:p>
        </w:tc>
        <w:tc>
          <w:tcPr>
            <w:tcW w:w="1595" w:type="pct"/>
            <w:vAlign w:val="center"/>
          </w:tcPr>
          <w:p w14:paraId="7921A36D"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A877653"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1BB81873"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0A73B81"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30.</w:t>
            </w:r>
          </w:p>
        </w:tc>
        <w:tc>
          <w:tcPr>
            <w:tcW w:w="1576" w:type="pct"/>
            <w:vMerge/>
            <w:vAlign w:val="center"/>
          </w:tcPr>
          <w:p w14:paraId="7AA290A9"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994AA91"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2000</w:t>
            </w:r>
          </w:p>
        </w:tc>
        <w:tc>
          <w:tcPr>
            <w:tcW w:w="1595" w:type="pct"/>
            <w:vAlign w:val="center"/>
          </w:tcPr>
          <w:p w14:paraId="67604A39"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 Fire truck, Panter  number 4</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40C6CD5"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3C09B68E"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08EAB01"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31.</w:t>
            </w:r>
          </w:p>
        </w:tc>
        <w:tc>
          <w:tcPr>
            <w:tcW w:w="1576" w:type="pct"/>
            <w:vMerge/>
            <w:vAlign w:val="center"/>
          </w:tcPr>
          <w:p w14:paraId="7C42F3D1"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F908A72" w14:textId="77777777" w:rsidR="002B20A9" w:rsidRPr="00C86111" w:rsidRDefault="002B20A9" w:rsidP="00C97FE5">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1500</w:t>
            </w:r>
          </w:p>
        </w:tc>
        <w:tc>
          <w:tcPr>
            <w:tcW w:w="1595" w:type="pct"/>
            <w:vAlign w:val="center"/>
          </w:tcPr>
          <w:p w14:paraId="571BFD9F"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 Fire truck, Panter  number 2</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67DD9E2B"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54C64745"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BAD44BE"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32.</w:t>
            </w:r>
          </w:p>
        </w:tc>
        <w:tc>
          <w:tcPr>
            <w:tcW w:w="1576" w:type="pct"/>
            <w:vAlign w:val="center"/>
          </w:tcPr>
          <w:p w14:paraId="21332117"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Kotor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18930B1"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2000</w:t>
            </w:r>
          </w:p>
        </w:tc>
        <w:tc>
          <w:tcPr>
            <w:tcW w:w="1595" w:type="pct"/>
            <w:vAlign w:val="center"/>
          </w:tcPr>
          <w:p w14:paraId="471DDF20"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DimiLex F 3%, </w:t>
            </w:r>
            <w:r w:rsidRPr="00C86111">
              <w:rPr>
                <w:rFonts w:asciiTheme="minorHAnsi" w:hAnsiTheme="minorHAnsi" w:cstheme="minorHAnsi"/>
                <w:color w:val="auto"/>
                <w:sz w:val="20"/>
                <w:szCs w:val="20"/>
                <w:lang w:eastAsia="en-GB"/>
              </w:rPr>
              <w:t>Synthetic foam, Dyayan Protection, Bulgaria</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6005ACE2"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2024</w:t>
            </w:r>
          </w:p>
        </w:tc>
      </w:tr>
      <w:tr w:rsidR="002B20A9" w:rsidRPr="00C86111" w14:paraId="108092A2"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5A914DB"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33.</w:t>
            </w:r>
          </w:p>
        </w:tc>
        <w:tc>
          <w:tcPr>
            <w:tcW w:w="1576" w:type="pct"/>
            <w:vAlign w:val="center"/>
          </w:tcPr>
          <w:p w14:paraId="5291F9E3"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Dobrovoljno vatrogasno društvo - Perast</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52C5B9F"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1350</w:t>
            </w:r>
          </w:p>
        </w:tc>
        <w:tc>
          <w:tcPr>
            <w:tcW w:w="1595" w:type="pct"/>
            <w:vAlign w:val="center"/>
          </w:tcPr>
          <w:p w14:paraId="51C3BAA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Old firefighting foam, without specification</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5CDC74FA"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3F60FA88"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F861556"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34.</w:t>
            </w:r>
          </w:p>
        </w:tc>
        <w:tc>
          <w:tcPr>
            <w:tcW w:w="1576" w:type="pct"/>
            <w:vAlign w:val="center"/>
          </w:tcPr>
          <w:p w14:paraId="45ED5ED5"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Lustica Bay</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E5BDC02"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1000</w:t>
            </w:r>
          </w:p>
        </w:tc>
        <w:tc>
          <w:tcPr>
            <w:tcW w:w="1595" w:type="pct"/>
            <w:vAlign w:val="center"/>
          </w:tcPr>
          <w:p w14:paraId="65140F44"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DimiLex F 3%, </w:t>
            </w:r>
            <w:r w:rsidRPr="00C86111">
              <w:rPr>
                <w:rFonts w:asciiTheme="minorHAnsi" w:hAnsiTheme="minorHAnsi" w:cstheme="minorHAnsi"/>
                <w:color w:val="auto"/>
                <w:sz w:val="20"/>
                <w:szCs w:val="20"/>
                <w:lang w:eastAsia="en-GB"/>
              </w:rPr>
              <w:t>Synthetic foam, Dyayan Protection, Bulgaria</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D9A9C0A"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42C64A83"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6781784"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35.</w:t>
            </w:r>
          </w:p>
        </w:tc>
        <w:tc>
          <w:tcPr>
            <w:tcW w:w="1576" w:type="pct"/>
            <w:vAlign w:val="center"/>
          </w:tcPr>
          <w:p w14:paraId="482AC9D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Dobrovoljno vatrogasno društvo - Bijela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C8E215C"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160</w:t>
            </w:r>
          </w:p>
        </w:tc>
        <w:tc>
          <w:tcPr>
            <w:tcW w:w="1595" w:type="pct"/>
            <w:vAlign w:val="center"/>
          </w:tcPr>
          <w:p w14:paraId="63A2A19C"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Plurex M, Sabo Foam, Italy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11EB9AE"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B20A9" w:rsidRPr="00C86111" w14:paraId="21C381D5"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C2558A2"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36.</w:t>
            </w:r>
          </w:p>
        </w:tc>
        <w:tc>
          <w:tcPr>
            <w:tcW w:w="1576" w:type="pct"/>
            <w:vAlign w:val="center"/>
          </w:tcPr>
          <w:p w14:paraId="4FC61EE9"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Jugopetrol, Volujica, Bar</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7E9CA53C"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14950</w:t>
            </w:r>
          </w:p>
        </w:tc>
        <w:tc>
          <w:tcPr>
            <w:tcW w:w="1595" w:type="pct"/>
            <w:vAlign w:val="center"/>
          </w:tcPr>
          <w:p w14:paraId="5A7BF1C5"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FPC6, Fluoroprotein foam</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5FF6FFE3"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041149F3"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64587E1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37.</w:t>
            </w:r>
          </w:p>
        </w:tc>
        <w:tc>
          <w:tcPr>
            <w:tcW w:w="1576" w:type="pct"/>
            <w:vMerge w:val="restart"/>
            <w:vAlign w:val="center"/>
          </w:tcPr>
          <w:p w14:paraId="31EA8E5A"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rPr>
              <w:t>Aerodrom Podgorica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0E63E38C"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1000</w:t>
            </w:r>
          </w:p>
        </w:tc>
        <w:tc>
          <w:tcPr>
            <w:tcW w:w="1595" w:type="pct"/>
            <w:vAlign w:val="center"/>
          </w:tcPr>
          <w:p w14:paraId="291D24F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 xml:space="preserve">Dr. STHAMER, Hamburg, Germany, </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5E1FC68F"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4BF55285"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64E9545"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38.</w:t>
            </w:r>
          </w:p>
        </w:tc>
        <w:tc>
          <w:tcPr>
            <w:tcW w:w="1576" w:type="pct"/>
            <w:vMerge/>
            <w:vAlign w:val="center"/>
          </w:tcPr>
          <w:p w14:paraId="2FC12F11"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1375F18"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800</w:t>
            </w:r>
          </w:p>
        </w:tc>
        <w:tc>
          <w:tcPr>
            <w:tcW w:w="1595" w:type="pct"/>
            <w:vAlign w:val="center"/>
          </w:tcPr>
          <w:p w14:paraId="6447CCD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18B66D9"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39286F23"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D6BA14B"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39.</w:t>
            </w:r>
          </w:p>
        </w:tc>
        <w:tc>
          <w:tcPr>
            <w:tcW w:w="1576" w:type="pct"/>
            <w:vMerge/>
            <w:vAlign w:val="center"/>
          </w:tcPr>
          <w:p w14:paraId="45178014"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1996432"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1100</w:t>
            </w:r>
          </w:p>
        </w:tc>
        <w:tc>
          <w:tcPr>
            <w:tcW w:w="1595" w:type="pct"/>
            <w:vAlign w:val="center"/>
          </w:tcPr>
          <w:p w14:paraId="64A59F5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 Fire truck, Panter, number 3</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0DEA9E4"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59621538" w14:textId="77777777" w:rsidTr="00C97FE5">
        <w:trPr>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F3C6D5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40.</w:t>
            </w:r>
          </w:p>
        </w:tc>
        <w:tc>
          <w:tcPr>
            <w:tcW w:w="1576" w:type="pct"/>
            <w:vMerge/>
            <w:vAlign w:val="center"/>
          </w:tcPr>
          <w:p w14:paraId="2C3BF52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1338C2BF"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800</w:t>
            </w:r>
          </w:p>
        </w:tc>
        <w:tc>
          <w:tcPr>
            <w:tcW w:w="1595" w:type="pct"/>
            <w:vAlign w:val="center"/>
          </w:tcPr>
          <w:p w14:paraId="0393CA3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 Fire truck, Panter, number 7</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57C2707B"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09FAA87E" w14:textId="77777777" w:rsidTr="00C97FE5">
        <w:trPr>
          <w:cnfStyle w:val="000000100000" w:firstRow="0" w:lastRow="0" w:firstColumn="0" w:lastColumn="0" w:oddVBand="0" w:evenVBand="0" w:oddHBand="1" w:evenHBand="0" w:firstRowFirstColumn="0" w:firstRowLastColumn="0" w:lastRowFirstColumn="0" w:lastRowLastColumn="0"/>
          <w:trHeight w:val="432"/>
          <w:jc w:val="center"/>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2D4ECD2"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41.</w:t>
            </w:r>
          </w:p>
        </w:tc>
        <w:tc>
          <w:tcPr>
            <w:tcW w:w="1576" w:type="pct"/>
            <w:vMerge/>
            <w:vAlign w:val="center"/>
          </w:tcPr>
          <w:p w14:paraId="5D8E083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CDDC3E1"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1600</w:t>
            </w:r>
          </w:p>
        </w:tc>
        <w:tc>
          <w:tcPr>
            <w:tcW w:w="1595" w:type="pct"/>
            <w:vAlign w:val="center"/>
          </w:tcPr>
          <w:p w14:paraId="52B0546C"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 xml:space="preserve">Dr. STHAMER, Hamburg, Germany, Fire truck, Panter, number 1 </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51A38A3A" w14:textId="77777777" w:rsidR="002B20A9" w:rsidRPr="00C86111" w:rsidRDefault="002B20A9" w:rsidP="00C97FE5">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bl>
    <w:p w14:paraId="701E9FF2" w14:textId="77777777" w:rsidR="002B20A9" w:rsidRPr="00C86111" w:rsidRDefault="002B20A9" w:rsidP="002B20A9">
      <w:pPr>
        <w:jc w:val="both"/>
        <w:rPr>
          <w:rFonts w:ascii="Cambria" w:eastAsia="SimSun" w:hAnsi="Cambria" w:cs="Times New Roman"/>
          <w:color w:val="auto"/>
        </w:rPr>
      </w:pPr>
    </w:p>
    <w:p w14:paraId="61EAED44"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Prikupljanje podataka vezano za inventar PFOS-a u protivpožarnim pjenama, osim preko upitnika i telefonskog kontakta, realizovan je i obilaskom samih vatrogasnih jedinica, njihovog skladištenog prostora i direktim intervjuom sa njihovim predstavnicima, uzorkovanjem protivpožarne pjene iz skladišta i vatrogasnih vozila i njihovom analizom u laboratoriji.</w:t>
      </w:r>
    </w:p>
    <w:p w14:paraId="0C9D2857" w14:textId="77777777" w:rsidR="002B20A9" w:rsidRDefault="002B20A9" w:rsidP="002B20A9">
      <w:pPr>
        <w:jc w:val="both"/>
        <w:rPr>
          <w:rFonts w:asciiTheme="minorHAnsi" w:hAnsiTheme="minorHAnsi" w:cstheme="minorHAnsi"/>
          <w:color w:val="auto"/>
        </w:rPr>
      </w:pPr>
      <w:r w:rsidRPr="00C86111">
        <w:rPr>
          <w:rFonts w:asciiTheme="minorHAnsi" w:hAnsiTheme="minorHAnsi" w:cstheme="minorHAnsi"/>
          <w:color w:val="auto"/>
        </w:rPr>
        <w:t>Procjena sadržaja PFOS-a zasniva se na podacima dobijenim analizom protivpožarnih pjena iz opštinskih službi zaštite i spašavanja, kao i iz specijalizovanih vatrogasnih službi (luke, aerodromi, industrija).</w:t>
      </w:r>
    </w:p>
    <w:p w14:paraId="74C8194E" w14:textId="77777777" w:rsidR="00D966EC" w:rsidRDefault="00D966EC" w:rsidP="002B20A9">
      <w:pPr>
        <w:jc w:val="both"/>
        <w:rPr>
          <w:rFonts w:asciiTheme="minorHAnsi" w:hAnsiTheme="minorHAnsi" w:cstheme="minorHAnsi"/>
          <w:color w:val="auto"/>
        </w:rPr>
      </w:pPr>
    </w:p>
    <w:p w14:paraId="2A2E99D2" w14:textId="77777777" w:rsidR="00D966EC" w:rsidRPr="00C86111" w:rsidRDefault="00D966EC" w:rsidP="002B20A9">
      <w:pPr>
        <w:jc w:val="both"/>
        <w:rPr>
          <w:rFonts w:asciiTheme="minorHAnsi" w:hAnsiTheme="minorHAnsi" w:cstheme="minorHAnsi"/>
          <w:color w:val="auto"/>
        </w:rPr>
      </w:pPr>
    </w:p>
    <w:p w14:paraId="042154E5" w14:textId="77777777" w:rsidR="002B20A9" w:rsidRPr="00C86111" w:rsidRDefault="002B20A9" w:rsidP="002B20A9">
      <w:pPr>
        <w:jc w:val="both"/>
        <w:rPr>
          <w:rStyle w:val="Strong"/>
        </w:rPr>
      </w:pPr>
      <w:bookmarkStart w:id="312" w:name="_Toc210632496"/>
      <w:bookmarkStart w:id="313" w:name="_Hlk203293153"/>
    </w:p>
    <w:p w14:paraId="0DC28D04" w14:textId="77777777" w:rsidR="002B20A9" w:rsidRPr="00C86111" w:rsidRDefault="002B20A9" w:rsidP="00EA6904">
      <w:pPr>
        <w:pStyle w:val="Heading3"/>
        <w:rPr>
          <w:rStyle w:val="Strong"/>
          <w:b/>
          <w:bCs/>
        </w:rPr>
      </w:pPr>
      <w:bookmarkStart w:id="314" w:name="_Toc220541938"/>
      <w:r w:rsidRPr="00C86111">
        <w:rPr>
          <w:rStyle w:val="Strong"/>
        </w:rPr>
        <w:lastRenderedPageBreak/>
        <w:t>Rezultati analize protivpožarnih pjena</w:t>
      </w:r>
      <w:bookmarkEnd w:id="312"/>
      <w:bookmarkEnd w:id="314"/>
    </w:p>
    <w:p w14:paraId="7BA8924A" w14:textId="77777777" w:rsidR="002B20A9" w:rsidRPr="00C86111" w:rsidRDefault="002B20A9" w:rsidP="002B20A9">
      <w:pPr>
        <w:jc w:val="both"/>
        <w:rPr>
          <w:rFonts w:asciiTheme="minorHAnsi" w:hAnsiTheme="minorHAnsi" w:cstheme="minorHAnsi"/>
          <w:color w:val="auto"/>
        </w:rPr>
      </w:pPr>
    </w:p>
    <w:p w14:paraId="0D0117CC" w14:textId="07E1884C"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Analitički rezultati koji se odnose na prisustvo perfluorooktanske sulfonatne kiseline (PFOS) u protivpožarnim pjenama koje koriste opštinske službe zaštite i spašavanja prikazani su u tabeli </w:t>
      </w:r>
      <w:r w:rsidR="00632BFA" w:rsidRPr="00C86111">
        <w:rPr>
          <w:rFonts w:asciiTheme="minorHAnsi" w:eastAsia="Times New Roman" w:hAnsiTheme="minorHAnsi" w:cstheme="minorHAnsi"/>
          <w:color w:val="auto"/>
          <w:lang w:eastAsia="en-GB"/>
        </w:rPr>
        <w:t>69</w:t>
      </w:r>
      <w:r w:rsidRPr="00C86111">
        <w:rPr>
          <w:rFonts w:asciiTheme="minorHAnsi" w:eastAsia="Times New Roman" w:hAnsiTheme="minorHAnsi" w:cstheme="minorHAnsi"/>
          <w:color w:val="auto"/>
          <w:lang w:eastAsia="en-GB"/>
        </w:rPr>
        <w:t>. Rezultati se zasnivaju na laboratorijskim analizama uzoraka protivpožarnih pjena prikupljenih iz lokalnih vatrogasnih jedinica, sa ciljem procjene mogućeg prisustva kontaminacije PFOS-om.</w:t>
      </w:r>
    </w:p>
    <w:p w14:paraId="7DFAAAC6" w14:textId="77777777" w:rsidR="002B20A9" w:rsidRPr="00C86111" w:rsidRDefault="002B20A9" w:rsidP="002B20A9">
      <w:pPr>
        <w:jc w:val="both"/>
        <w:rPr>
          <w:rFonts w:asciiTheme="minorHAnsi" w:eastAsia="Times New Roman" w:hAnsiTheme="minorHAnsi" w:cstheme="minorHAnsi"/>
          <w:color w:val="auto"/>
          <w:lang w:eastAsia="en-GB"/>
        </w:rPr>
      </w:pPr>
    </w:p>
    <w:p w14:paraId="14765A94" w14:textId="1810A55A"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b/>
          <w:bCs/>
          <w:color w:val="auto"/>
          <w:lang w:eastAsia="en-GB"/>
        </w:rPr>
        <w:t xml:space="preserve">Tabela </w:t>
      </w:r>
      <w:r w:rsidR="00632BFA" w:rsidRPr="00C86111">
        <w:rPr>
          <w:rFonts w:asciiTheme="minorHAnsi" w:eastAsia="Times New Roman" w:hAnsiTheme="minorHAnsi" w:cstheme="minorHAnsi"/>
          <w:b/>
          <w:bCs/>
          <w:color w:val="auto"/>
          <w:lang w:eastAsia="en-GB"/>
        </w:rPr>
        <w:t>69</w:t>
      </w:r>
      <w:r w:rsidRPr="00C86111">
        <w:rPr>
          <w:rFonts w:asciiTheme="minorHAnsi" w:eastAsia="Times New Roman" w:hAnsiTheme="minorHAnsi" w:cstheme="minorHAnsi"/>
          <w:b/>
          <w:bCs/>
          <w:color w:val="auto"/>
          <w:lang w:eastAsia="en-GB"/>
        </w:rPr>
        <w:t>:</w:t>
      </w:r>
      <w:r w:rsidRPr="00C86111">
        <w:rPr>
          <w:rFonts w:asciiTheme="minorHAnsi" w:eastAsia="Times New Roman" w:hAnsiTheme="minorHAnsi" w:cstheme="minorHAnsi"/>
          <w:color w:val="auto"/>
          <w:lang w:eastAsia="en-GB"/>
        </w:rPr>
        <w:t xml:space="preserve"> Rezultati prisustva PFOS-a u protivpožarnim pjenama opštinskih službi zaštite i spašavanja.</w:t>
      </w:r>
    </w:p>
    <w:tbl>
      <w:tblPr>
        <w:tblStyle w:val="GridTable5Dark-Accent6"/>
        <w:tblW w:w="0" w:type="auto"/>
        <w:tblLook w:val="04A0" w:firstRow="1" w:lastRow="0" w:firstColumn="1" w:lastColumn="0" w:noHBand="0" w:noVBand="1"/>
      </w:tblPr>
      <w:tblGrid>
        <w:gridCol w:w="2695"/>
        <w:gridCol w:w="1350"/>
        <w:gridCol w:w="4896"/>
      </w:tblGrid>
      <w:tr w:rsidR="002B20A9" w:rsidRPr="00C86111" w14:paraId="01FC5AA4" w14:textId="77777777" w:rsidTr="00BC765B">
        <w:trPr>
          <w:cnfStyle w:val="100000000000" w:firstRow="1" w:lastRow="0"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695" w:type="dxa"/>
            <w:hideMark/>
          </w:tcPr>
          <w:p w14:paraId="3DB9E9D9" w14:textId="77777777" w:rsidR="002B20A9" w:rsidRPr="00C86111" w:rsidRDefault="002B20A9"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Opština / Služba</w:t>
            </w:r>
          </w:p>
        </w:tc>
        <w:tc>
          <w:tcPr>
            <w:tcW w:w="1350" w:type="dxa"/>
            <w:hideMark/>
          </w:tcPr>
          <w:p w14:paraId="204D0120"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Prisustvo PFOS-a</w:t>
            </w:r>
          </w:p>
        </w:tc>
        <w:tc>
          <w:tcPr>
            <w:tcW w:w="4896" w:type="dxa"/>
            <w:hideMark/>
          </w:tcPr>
          <w:p w14:paraId="4530F38E"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Napomena</w:t>
            </w:r>
          </w:p>
        </w:tc>
      </w:tr>
      <w:tr w:rsidR="002B20A9" w:rsidRPr="00C86111" w14:paraId="09611717" w14:textId="77777777" w:rsidTr="00BC765B">
        <w:trPr>
          <w:cnfStyle w:val="000000100000" w:firstRow="0" w:lastRow="0" w:firstColumn="0" w:lastColumn="0" w:oddVBand="0" w:evenVBand="0" w:oddHBand="1" w:evenHBand="0" w:firstRowFirstColumn="0" w:firstRowLastColumn="0" w:lastRowFirstColumn="0" w:lastRowLastColumn="0"/>
          <w:trHeight w:hRule="exact" w:val="526"/>
        </w:trPr>
        <w:tc>
          <w:tcPr>
            <w:cnfStyle w:val="001000000000" w:firstRow="0" w:lastRow="0" w:firstColumn="1" w:lastColumn="0" w:oddVBand="0" w:evenVBand="0" w:oddHBand="0" w:evenHBand="0" w:firstRowFirstColumn="0" w:firstRowLastColumn="0" w:lastRowFirstColumn="0" w:lastRowLastColumn="0"/>
            <w:tcW w:w="2695" w:type="dxa"/>
            <w:vMerge w:val="restart"/>
            <w:hideMark/>
          </w:tcPr>
          <w:p w14:paraId="492E0711"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Bar</w:t>
            </w:r>
          </w:p>
        </w:tc>
        <w:tc>
          <w:tcPr>
            <w:tcW w:w="1350" w:type="dxa"/>
            <w:hideMark/>
          </w:tcPr>
          <w:p w14:paraId="05D1E794"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Da</w:t>
            </w:r>
          </w:p>
        </w:tc>
        <w:tc>
          <w:tcPr>
            <w:tcW w:w="4896" w:type="dxa"/>
            <w:hideMark/>
          </w:tcPr>
          <w:p w14:paraId="60ADDF6C"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76A67A73"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vMerge/>
          </w:tcPr>
          <w:p w14:paraId="6CBF9390" w14:textId="77777777" w:rsidR="002B20A9" w:rsidRPr="00C86111" w:rsidRDefault="002B20A9" w:rsidP="00BC765B">
            <w:pPr>
              <w:jc w:val="both"/>
              <w:rPr>
                <w:rFonts w:asciiTheme="minorHAnsi" w:hAnsiTheme="minorHAnsi" w:cstheme="minorHAnsi"/>
                <w:b w:val="0"/>
                <w:bCs w:val="0"/>
                <w:color w:val="auto"/>
                <w:sz w:val="20"/>
                <w:szCs w:val="20"/>
              </w:rPr>
            </w:pPr>
          </w:p>
        </w:tc>
        <w:tc>
          <w:tcPr>
            <w:tcW w:w="1350" w:type="dxa"/>
          </w:tcPr>
          <w:p w14:paraId="0C8CDCB9"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tcPr>
          <w:p w14:paraId="12FC5DC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217FA26B" w14:textId="77777777" w:rsidTr="00BC765B">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6BB481D7"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Bijelo Polje</w:t>
            </w:r>
          </w:p>
        </w:tc>
        <w:tc>
          <w:tcPr>
            <w:tcW w:w="1350" w:type="dxa"/>
            <w:hideMark/>
          </w:tcPr>
          <w:p w14:paraId="06E5FCE3"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Da</w:t>
            </w:r>
          </w:p>
        </w:tc>
        <w:tc>
          <w:tcPr>
            <w:tcW w:w="4896" w:type="dxa"/>
            <w:hideMark/>
          </w:tcPr>
          <w:p w14:paraId="4023339B"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5B9FDD83"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3886A5EF"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Ulcinj</w:t>
            </w:r>
          </w:p>
        </w:tc>
        <w:tc>
          <w:tcPr>
            <w:tcW w:w="1350" w:type="dxa"/>
            <w:hideMark/>
          </w:tcPr>
          <w:p w14:paraId="20988B1B"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Da</w:t>
            </w:r>
          </w:p>
        </w:tc>
        <w:tc>
          <w:tcPr>
            <w:tcW w:w="4896" w:type="dxa"/>
            <w:hideMark/>
          </w:tcPr>
          <w:p w14:paraId="171D5703"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6F9C79B6" w14:textId="77777777" w:rsidTr="00BC765B">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1F01D91D"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Plav</w:t>
            </w:r>
          </w:p>
        </w:tc>
        <w:tc>
          <w:tcPr>
            <w:tcW w:w="1350" w:type="dxa"/>
            <w:hideMark/>
          </w:tcPr>
          <w:p w14:paraId="24F2DDF1"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14392711"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20E01519"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60F62058"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Pljevlja</w:t>
            </w:r>
          </w:p>
        </w:tc>
        <w:tc>
          <w:tcPr>
            <w:tcW w:w="1350" w:type="dxa"/>
            <w:hideMark/>
          </w:tcPr>
          <w:p w14:paraId="5D43B917"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Ne</w:t>
            </w:r>
          </w:p>
        </w:tc>
        <w:tc>
          <w:tcPr>
            <w:tcW w:w="4896" w:type="dxa"/>
            <w:hideMark/>
          </w:tcPr>
          <w:p w14:paraId="0A20A17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027AECF9" w14:textId="77777777" w:rsidTr="00BC765B">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4F962E02"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Mojkovac</w:t>
            </w:r>
          </w:p>
        </w:tc>
        <w:tc>
          <w:tcPr>
            <w:tcW w:w="1350" w:type="dxa"/>
            <w:hideMark/>
          </w:tcPr>
          <w:p w14:paraId="4F6FD8F8"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10E37E8F"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63D8D349"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40E1C8B3"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Kolašin</w:t>
            </w:r>
          </w:p>
        </w:tc>
        <w:tc>
          <w:tcPr>
            <w:tcW w:w="1350" w:type="dxa"/>
            <w:hideMark/>
          </w:tcPr>
          <w:p w14:paraId="30DD565E"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36472EBD"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35FBF14B" w14:textId="77777777" w:rsidTr="00BC765B">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102E946E"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Berane</w:t>
            </w:r>
          </w:p>
        </w:tc>
        <w:tc>
          <w:tcPr>
            <w:tcW w:w="1350" w:type="dxa"/>
            <w:hideMark/>
          </w:tcPr>
          <w:p w14:paraId="6600EB91"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4C5A0EF0"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2562FDF8"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1D649780"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Žabljak</w:t>
            </w:r>
          </w:p>
        </w:tc>
        <w:tc>
          <w:tcPr>
            <w:tcW w:w="1350" w:type="dxa"/>
            <w:hideMark/>
          </w:tcPr>
          <w:p w14:paraId="3714C764"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33322284"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208AF222" w14:textId="77777777" w:rsidTr="00BC765B">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61B5C8AA"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Nikšić</w:t>
            </w:r>
          </w:p>
        </w:tc>
        <w:tc>
          <w:tcPr>
            <w:tcW w:w="1350" w:type="dxa"/>
            <w:hideMark/>
          </w:tcPr>
          <w:p w14:paraId="15E01D18"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51C8D47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56D76F3A"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0D77B83A"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Plužine</w:t>
            </w:r>
          </w:p>
        </w:tc>
        <w:tc>
          <w:tcPr>
            <w:tcW w:w="1350" w:type="dxa"/>
            <w:hideMark/>
          </w:tcPr>
          <w:p w14:paraId="44E3538D"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600910D4"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25D42156" w14:textId="77777777" w:rsidTr="00BC765B">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21D2F896"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Cetinje</w:t>
            </w:r>
          </w:p>
        </w:tc>
        <w:tc>
          <w:tcPr>
            <w:tcW w:w="1350" w:type="dxa"/>
            <w:hideMark/>
          </w:tcPr>
          <w:p w14:paraId="35975747"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09FC0EE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5A03C125"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560FB848"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Budva</w:t>
            </w:r>
          </w:p>
        </w:tc>
        <w:tc>
          <w:tcPr>
            <w:tcW w:w="1350" w:type="dxa"/>
            <w:hideMark/>
          </w:tcPr>
          <w:p w14:paraId="341D8C68"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6CA03AF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21AEB5FA" w14:textId="77777777" w:rsidTr="00BC765B">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5D157BFC"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Kotor</w:t>
            </w:r>
          </w:p>
        </w:tc>
        <w:tc>
          <w:tcPr>
            <w:tcW w:w="1350" w:type="dxa"/>
            <w:hideMark/>
          </w:tcPr>
          <w:p w14:paraId="1C4260B2"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3984409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2AC357C6"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4687F87C"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Podgorica</w:t>
            </w:r>
          </w:p>
        </w:tc>
        <w:tc>
          <w:tcPr>
            <w:tcW w:w="1350" w:type="dxa"/>
            <w:hideMark/>
          </w:tcPr>
          <w:p w14:paraId="69547D85"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hideMark/>
          </w:tcPr>
          <w:p w14:paraId="6960344D"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0179D12F" w14:textId="77777777" w:rsidTr="00BC765B">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695" w:type="dxa"/>
            <w:vMerge w:val="restart"/>
          </w:tcPr>
          <w:p w14:paraId="230B0CB1" w14:textId="77777777" w:rsidR="002B20A9" w:rsidRPr="00C86111" w:rsidRDefault="002B20A9"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Tivat</w:t>
            </w:r>
          </w:p>
        </w:tc>
        <w:tc>
          <w:tcPr>
            <w:tcW w:w="1350" w:type="dxa"/>
          </w:tcPr>
          <w:p w14:paraId="79F299E5"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96" w:type="dxa"/>
          </w:tcPr>
          <w:p w14:paraId="6B06DDD9"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0FB294F6"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vMerge/>
          </w:tcPr>
          <w:p w14:paraId="395ABB96" w14:textId="77777777" w:rsidR="002B20A9" w:rsidRPr="00C86111" w:rsidRDefault="002B20A9" w:rsidP="00BC765B">
            <w:pPr>
              <w:jc w:val="both"/>
              <w:rPr>
                <w:rFonts w:asciiTheme="minorHAnsi" w:hAnsiTheme="minorHAnsi" w:cstheme="minorHAnsi"/>
                <w:color w:val="auto"/>
                <w:sz w:val="20"/>
                <w:szCs w:val="20"/>
              </w:rPr>
            </w:pPr>
          </w:p>
        </w:tc>
        <w:tc>
          <w:tcPr>
            <w:tcW w:w="1350" w:type="dxa"/>
            <w:hideMark/>
          </w:tcPr>
          <w:p w14:paraId="68DB3638"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4896" w:type="dxa"/>
            <w:hideMark/>
          </w:tcPr>
          <w:p w14:paraId="3CBBE7A6"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69094D33" w14:textId="77777777" w:rsidTr="00BC765B">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695" w:type="dxa"/>
            <w:vMerge/>
          </w:tcPr>
          <w:p w14:paraId="51096A0C" w14:textId="77777777" w:rsidR="002B20A9" w:rsidRPr="00C86111" w:rsidRDefault="002B20A9" w:rsidP="00BC765B">
            <w:pPr>
              <w:jc w:val="both"/>
              <w:rPr>
                <w:rFonts w:asciiTheme="minorHAnsi" w:hAnsiTheme="minorHAnsi" w:cstheme="minorHAnsi"/>
                <w:b w:val="0"/>
                <w:bCs w:val="0"/>
                <w:color w:val="auto"/>
                <w:sz w:val="20"/>
                <w:szCs w:val="20"/>
              </w:rPr>
            </w:pPr>
          </w:p>
        </w:tc>
        <w:tc>
          <w:tcPr>
            <w:tcW w:w="1350" w:type="dxa"/>
          </w:tcPr>
          <w:p w14:paraId="71362F8A"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4896" w:type="dxa"/>
          </w:tcPr>
          <w:p w14:paraId="46CAB18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prelazi propisano regulatorno ograničenje</w:t>
            </w:r>
          </w:p>
        </w:tc>
      </w:tr>
      <w:tr w:rsidR="002B20A9" w:rsidRPr="00C86111" w14:paraId="5F36F45C"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24E39078"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Dobrovoljno vatrogasno društvo -Bijela</w:t>
            </w:r>
          </w:p>
        </w:tc>
        <w:tc>
          <w:tcPr>
            <w:tcW w:w="1350" w:type="dxa"/>
            <w:hideMark/>
          </w:tcPr>
          <w:p w14:paraId="492A177F"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Da</w:t>
            </w:r>
          </w:p>
        </w:tc>
        <w:tc>
          <w:tcPr>
            <w:tcW w:w="4896" w:type="dxa"/>
            <w:hideMark/>
          </w:tcPr>
          <w:p w14:paraId="6ED43D0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0C3E9390" w14:textId="77777777" w:rsidTr="00BC765B">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5A496921"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Dobrovoljno vatrogasno društvo -Perast</w:t>
            </w:r>
          </w:p>
        </w:tc>
        <w:tc>
          <w:tcPr>
            <w:tcW w:w="1350" w:type="dxa"/>
            <w:hideMark/>
          </w:tcPr>
          <w:p w14:paraId="4D52EC8E"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4896" w:type="dxa"/>
            <w:hideMark/>
          </w:tcPr>
          <w:p w14:paraId="0149EE10"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6255126D" w14:textId="77777777" w:rsidTr="00BC765B">
        <w:trPr>
          <w:trHeight w:hRule="exact" w:val="576"/>
        </w:trPr>
        <w:tc>
          <w:tcPr>
            <w:cnfStyle w:val="001000000000" w:firstRow="0" w:lastRow="0" w:firstColumn="1" w:lastColumn="0" w:oddVBand="0" w:evenVBand="0" w:oddHBand="0" w:evenHBand="0" w:firstRowFirstColumn="0" w:firstRowLastColumn="0" w:lastRowFirstColumn="0" w:lastRowLastColumn="0"/>
            <w:tcW w:w="2695" w:type="dxa"/>
            <w:hideMark/>
          </w:tcPr>
          <w:p w14:paraId="57AFB42F"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Dobrovoljno vatrogasno društvo -Krtoli</w:t>
            </w:r>
          </w:p>
        </w:tc>
        <w:tc>
          <w:tcPr>
            <w:tcW w:w="1350" w:type="dxa"/>
            <w:hideMark/>
          </w:tcPr>
          <w:p w14:paraId="0AA04F40"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4896" w:type="dxa"/>
            <w:hideMark/>
          </w:tcPr>
          <w:p w14:paraId="430CEFB7"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46737291" w14:textId="77777777" w:rsidTr="00BC765B">
        <w:trPr>
          <w:cnfStyle w:val="000000100000" w:firstRow="0" w:lastRow="0" w:firstColumn="0" w:lastColumn="0" w:oddVBand="0" w:evenVBand="0" w:oddHBand="1" w:evenHBand="0" w:firstRowFirstColumn="0" w:firstRowLastColumn="0" w:lastRowFirstColumn="0" w:lastRowLastColumn="0"/>
          <w:trHeight w:hRule="exact" w:val="589"/>
        </w:trPr>
        <w:tc>
          <w:tcPr>
            <w:cnfStyle w:val="001000000000" w:firstRow="0" w:lastRow="0" w:firstColumn="1" w:lastColumn="0" w:oddVBand="0" w:evenVBand="0" w:oddHBand="0" w:evenHBand="0" w:firstRowFirstColumn="0" w:firstRowLastColumn="0" w:lastRowFirstColumn="0" w:lastRowLastColumn="0"/>
            <w:tcW w:w="2695" w:type="dxa"/>
            <w:hideMark/>
          </w:tcPr>
          <w:p w14:paraId="74B0BC5B"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Gusinje, Danilovgrad, Rožaje, Petnjica, Andrijevica</w:t>
            </w:r>
          </w:p>
        </w:tc>
        <w:tc>
          <w:tcPr>
            <w:tcW w:w="1350" w:type="dxa"/>
            <w:hideMark/>
          </w:tcPr>
          <w:p w14:paraId="3B36EA51"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c>
          <w:tcPr>
            <w:tcW w:w="4896" w:type="dxa"/>
            <w:hideMark/>
          </w:tcPr>
          <w:p w14:paraId="44C7F79F"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 koriste protivpožarnu pjenu</w:t>
            </w:r>
          </w:p>
        </w:tc>
      </w:tr>
    </w:tbl>
    <w:p w14:paraId="55FEFC6A" w14:textId="77777777" w:rsidR="002B20A9" w:rsidRPr="00C86111" w:rsidRDefault="002B20A9" w:rsidP="002B20A9">
      <w:pPr>
        <w:jc w:val="both"/>
        <w:rPr>
          <w:rFonts w:ascii="Cambria" w:hAnsi="Cambria"/>
          <w:color w:val="auto"/>
        </w:rPr>
      </w:pPr>
    </w:p>
    <w:p w14:paraId="3226633F" w14:textId="4CCD5A19"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Tabela </w:t>
      </w:r>
      <w:r w:rsidR="00632BFA" w:rsidRPr="00C86111">
        <w:rPr>
          <w:rFonts w:asciiTheme="minorHAnsi" w:eastAsia="Times New Roman" w:hAnsiTheme="minorHAnsi" w:cstheme="minorHAnsi"/>
          <w:color w:val="auto"/>
          <w:lang w:eastAsia="en-GB"/>
        </w:rPr>
        <w:t>70</w:t>
      </w:r>
      <w:r w:rsidRPr="00C86111">
        <w:rPr>
          <w:rFonts w:asciiTheme="minorHAnsi" w:eastAsia="Times New Roman" w:hAnsiTheme="minorHAnsi" w:cstheme="minorHAnsi"/>
          <w:color w:val="auto"/>
          <w:lang w:eastAsia="en-GB"/>
        </w:rPr>
        <w:t xml:space="preserve"> daje pregled prisustva PFOS-a utvrđenog u protivpožarnim pjenama koje koriste specijalizovane vatrogasne službe, uključujući one koje djeluju u lučkim objektima, aerodromskim službama za vanredne situacije i industrijskim sistemima zaštite od požara.</w:t>
      </w:r>
    </w:p>
    <w:p w14:paraId="05BA4194" w14:textId="77777777" w:rsidR="002B20A9" w:rsidRPr="00C86111" w:rsidRDefault="002B20A9" w:rsidP="002B20A9">
      <w:pPr>
        <w:jc w:val="both"/>
        <w:rPr>
          <w:rFonts w:asciiTheme="minorHAnsi" w:eastAsia="Times New Roman" w:hAnsiTheme="minorHAnsi" w:cstheme="minorHAnsi"/>
          <w:color w:val="auto"/>
          <w:lang w:eastAsia="en-GB"/>
        </w:rPr>
      </w:pPr>
    </w:p>
    <w:p w14:paraId="55728E80" w14:textId="2CDE4884"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b/>
          <w:bCs/>
          <w:color w:val="auto"/>
          <w:lang w:eastAsia="en-GB"/>
        </w:rPr>
        <w:t xml:space="preserve">Tabela </w:t>
      </w:r>
      <w:r w:rsidR="00632BFA" w:rsidRPr="00C86111">
        <w:rPr>
          <w:rFonts w:asciiTheme="minorHAnsi" w:eastAsia="Times New Roman" w:hAnsiTheme="minorHAnsi" w:cstheme="minorHAnsi"/>
          <w:b/>
          <w:bCs/>
          <w:color w:val="auto"/>
          <w:lang w:eastAsia="en-GB"/>
        </w:rPr>
        <w:t>70</w:t>
      </w:r>
      <w:r w:rsidRPr="00C86111">
        <w:rPr>
          <w:rFonts w:asciiTheme="minorHAnsi" w:eastAsia="Times New Roman" w:hAnsiTheme="minorHAnsi" w:cstheme="minorHAnsi"/>
          <w:b/>
          <w:bCs/>
          <w:color w:val="auto"/>
          <w:lang w:eastAsia="en-GB"/>
        </w:rPr>
        <w:t>:</w:t>
      </w:r>
      <w:r w:rsidRPr="00C86111">
        <w:rPr>
          <w:rFonts w:asciiTheme="minorHAnsi" w:eastAsia="Times New Roman" w:hAnsiTheme="minorHAnsi" w:cstheme="minorHAnsi"/>
          <w:color w:val="auto"/>
          <w:lang w:eastAsia="en-GB"/>
        </w:rPr>
        <w:t xml:space="preserve"> Rezultati prisustva PFOS-a u protivpožarnim pjenama specijalizovanih vatrogasnih službi (Luke, Aerodromi, Industrija).</w:t>
      </w:r>
    </w:p>
    <w:tbl>
      <w:tblPr>
        <w:tblStyle w:val="GridTable5Dark-Accent6"/>
        <w:tblW w:w="0" w:type="auto"/>
        <w:tblLook w:val="04A0" w:firstRow="1" w:lastRow="0" w:firstColumn="1" w:lastColumn="0" w:noHBand="0" w:noVBand="1"/>
      </w:tblPr>
      <w:tblGrid>
        <w:gridCol w:w="2785"/>
        <w:gridCol w:w="1265"/>
        <w:gridCol w:w="4830"/>
      </w:tblGrid>
      <w:tr w:rsidR="002B20A9" w:rsidRPr="00C86111" w14:paraId="77E31319" w14:textId="77777777" w:rsidTr="00C97FE5">
        <w:trPr>
          <w:cnfStyle w:val="100000000000" w:firstRow="1" w:lastRow="0"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785" w:type="dxa"/>
            <w:hideMark/>
          </w:tcPr>
          <w:p w14:paraId="53DF33D4" w14:textId="77777777" w:rsidR="002B20A9" w:rsidRPr="00C86111" w:rsidRDefault="002B20A9"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Lokacija / Sektor</w:t>
            </w:r>
          </w:p>
        </w:tc>
        <w:tc>
          <w:tcPr>
            <w:tcW w:w="1265" w:type="dxa"/>
            <w:hideMark/>
          </w:tcPr>
          <w:p w14:paraId="34D41ED0"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Prisustvo PFOS-a</w:t>
            </w:r>
          </w:p>
        </w:tc>
        <w:tc>
          <w:tcPr>
            <w:tcW w:w="4830" w:type="dxa"/>
            <w:hideMark/>
          </w:tcPr>
          <w:p w14:paraId="48AEE063"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Napomena</w:t>
            </w:r>
          </w:p>
        </w:tc>
      </w:tr>
      <w:tr w:rsidR="002B20A9" w:rsidRPr="00C86111" w14:paraId="0D01EFE6" w14:textId="77777777" w:rsidTr="00C97F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vMerge w:val="restart"/>
            <w:hideMark/>
          </w:tcPr>
          <w:p w14:paraId="5D609DD1"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Aerodrom Tivat </w:t>
            </w:r>
          </w:p>
        </w:tc>
        <w:tc>
          <w:tcPr>
            <w:tcW w:w="1265" w:type="dxa"/>
            <w:hideMark/>
          </w:tcPr>
          <w:p w14:paraId="5E933EF4"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4830" w:type="dxa"/>
            <w:hideMark/>
          </w:tcPr>
          <w:p w14:paraId="51E30349"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prelazi propisano regulatorno ograničenje</w:t>
            </w:r>
          </w:p>
        </w:tc>
      </w:tr>
      <w:tr w:rsidR="002B20A9" w:rsidRPr="00C86111" w14:paraId="7FEC848A" w14:textId="77777777" w:rsidTr="00C97FE5">
        <w:tc>
          <w:tcPr>
            <w:cnfStyle w:val="001000000000" w:firstRow="0" w:lastRow="0" w:firstColumn="1" w:lastColumn="0" w:oddVBand="0" w:evenVBand="0" w:oddHBand="0" w:evenHBand="0" w:firstRowFirstColumn="0" w:firstRowLastColumn="0" w:lastRowFirstColumn="0" w:lastRowLastColumn="0"/>
            <w:tcW w:w="2785" w:type="dxa"/>
            <w:vMerge/>
          </w:tcPr>
          <w:p w14:paraId="1E5CFF02" w14:textId="77777777" w:rsidR="002B20A9" w:rsidRPr="00C86111" w:rsidRDefault="002B20A9" w:rsidP="00BC765B">
            <w:pPr>
              <w:jc w:val="both"/>
              <w:rPr>
                <w:rFonts w:asciiTheme="minorHAnsi" w:hAnsiTheme="minorHAnsi" w:cstheme="minorHAnsi"/>
                <w:b w:val="0"/>
                <w:bCs w:val="0"/>
                <w:color w:val="auto"/>
                <w:sz w:val="20"/>
                <w:szCs w:val="20"/>
              </w:rPr>
            </w:pPr>
          </w:p>
        </w:tc>
        <w:tc>
          <w:tcPr>
            <w:tcW w:w="1265" w:type="dxa"/>
          </w:tcPr>
          <w:p w14:paraId="70AFA8E5"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30" w:type="dxa"/>
          </w:tcPr>
          <w:p w14:paraId="1DEF49B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0F8FC6BC" w14:textId="77777777" w:rsidTr="00C97F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vMerge w:val="restart"/>
            <w:hideMark/>
          </w:tcPr>
          <w:p w14:paraId="2FA59AC5"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Aerodrom Podgorica</w:t>
            </w:r>
          </w:p>
        </w:tc>
        <w:tc>
          <w:tcPr>
            <w:tcW w:w="1265" w:type="dxa"/>
            <w:hideMark/>
          </w:tcPr>
          <w:p w14:paraId="7F2F3C1F"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Da</w:t>
            </w:r>
          </w:p>
        </w:tc>
        <w:tc>
          <w:tcPr>
            <w:tcW w:w="4830" w:type="dxa"/>
            <w:hideMark/>
          </w:tcPr>
          <w:p w14:paraId="5222792E"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36DAFE46" w14:textId="77777777" w:rsidTr="00C97FE5">
        <w:tc>
          <w:tcPr>
            <w:cnfStyle w:val="001000000000" w:firstRow="0" w:lastRow="0" w:firstColumn="1" w:lastColumn="0" w:oddVBand="0" w:evenVBand="0" w:oddHBand="0" w:evenHBand="0" w:firstRowFirstColumn="0" w:firstRowLastColumn="0" w:lastRowFirstColumn="0" w:lastRowLastColumn="0"/>
            <w:tcW w:w="2785" w:type="dxa"/>
            <w:vMerge/>
          </w:tcPr>
          <w:p w14:paraId="19C7D8CA" w14:textId="77777777" w:rsidR="002B20A9" w:rsidRPr="00C86111" w:rsidRDefault="002B20A9" w:rsidP="00BC765B">
            <w:pPr>
              <w:jc w:val="both"/>
              <w:rPr>
                <w:rFonts w:asciiTheme="minorHAnsi" w:hAnsiTheme="minorHAnsi" w:cstheme="minorHAnsi"/>
                <w:b w:val="0"/>
                <w:bCs w:val="0"/>
                <w:color w:val="auto"/>
                <w:sz w:val="20"/>
                <w:szCs w:val="20"/>
              </w:rPr>
            </w:pPr>
          </w:p>
        </w:tc>
        <w:tc>
          <w:tcPr>
            <w:tcW w:w="1265" w:type="dxa"/>
          </w:tcPr>
          <w:p w14:paraId="22D48398"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30" w:type="dxa"/>
          </w:tcPr>
          <w:p w14:paraId="4DC91943"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52D47458" w14:textId="77777777" w:rsidTr="00C97F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hideMark/>
          </w:tcPr>
          <w:p w14:paraId="0A59A298"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Jugopetrol (Bar)</w:t>
            </w:r>
          </w:p>
        </w:tc>
        <w:tc>
          <w:tcPr>
            <w:tcW w:w="1265" w:type="dxa"/>
            <w:hideMark/>
          </w:tcPr>
          <w:p w14:paraId="2BBF488F"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4830" w:type="dxa"/>
            <w:hideMark/>
          </w:tcPr>
          <w:p w14:paraId="644F5749"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5BAB549B" w14:textId="77777777" w:rsidTr="00C97FE5">
        <w:tc>
          <w:tcPr>
            <w:cnfStyle w:val="001000000000" w:firstRow="0" w:lastRow="0" w:firstColumn="1" w:lastColumn="0" w:oddVBand="0" w:evenVBand="0" w:oddHBand="0" w:evenHBand="0" w:firstRowFirstColumn="0" w:firstRowLastColumn="0" w:lastRowFirstColumn="0" w:lastRowLastColumn="0"/>
            <w:tcW w:w="2785" w:type="dxa"/>
            <w:hideMark/>
          </w:tcPr>
          <w:p w14:paraId="3B80323B"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Luka Bar</w:t>
            </w:r>
          </w:p>
        </w:tc>
        <w:tc>
          <w:tcPr>
            <w:tcW w:w="1265" w:type="dxa"/>
            <w:hideMark/>
          </w:tcPr>
          <w:p w14:paraId="4013C83E"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30" w:type="dxa"/>
            <w:hideMark/>
          </w:tcPr>
          <w:p w14:paraId="51F5BEF3"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24B3AADA" w14:textId="77777777" w:rsidTr="00C97F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hideMark/>
          </w:tcPr>
          <w:p w14:paraId="56D9A077"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Luštica Bay Marina</w:t>
            </w:r>
          </w:p>
        </w:tc>
        <w:tc>
          <w:tcPr>
            <w:tcW w:w="1265" w:type="dxa"/>
            <w:hideMark/>
          </w:tcPr>
          <w:p w14:paraId="75EDCD1E"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30" w:type="dxa"/>
            <w:hideMark/>
          </w:tcPr>
          <w:p w14:paraId="3EE2FA93"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r w:rsidR="002B20A9" w:rsidRPr="00C86111" w14:paraId="54895CFD" w14:textId="77777777" w:rsidTr="00C97FE5">
        <w:tc>
          <w:tcPr>
            <w:cnfStyle w:val="001000000000" w:firstRow="0" w:lastRow="0" w:firstColumn="1" w:lastColumn="0" w:oddVBand="0" w:evenVBand="0" w:oddHBand="0" w:evenHBand="0" w:firstRowFirstColumn="0" w:firstRowLastColumn="0" w:lastRowFirstColumn="0" w:lastRowLastColumn="0"/>
            <w:tcW w:w="2785" w:type="dxa"/>
            <w:hideMark/>
          </w:tcPr>
          <w:p w14:paraId="1BAE31AF"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Monteput (Autoput + Tunel)</w:t>
            </w:r>
          </w:p>
        </w:tc>
        <w:tc>
          <w:tcPr>
            <w:tcW w:w="1265" w:type="dxa"/>
            <w:hideMark/>
          </w:tcPr>
          <w:p w14:paraId="04B4BACE"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4830" w:type="dxa"/>
            <w:hideMark/>
          </w:tcPr>
          <w:p w14:paraId="246F151A"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PFOS-a unutar propisanog regulatornog ograničenja</w:t>
            </w:r>
          </w:p>
        </w:tc>
      </w:tr>
    </w:tbl>
    <w:p w14:paraId="34C127E2" w14:textId="77777777" w:rsidR="002B20A9" w:rsidRPr="00C86111" w:rsidRDefault="002B20A9" w:rsidP="002B20A9">
      <w:pPr>
        <w:jc w:val="both"/>
        <w:rPr>
          <w:rFonts w:ascii="Cambria" w:hAnsi="Cambria"/>
          <w:color w:val="auto"/>
        </w:rPr>
      </w:pPr>
    </w:p>
    <w:p w14:paraId="07225C1C" w14:textId="5AC2EC3B"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Pregled ukupnog broja uzoraka protivpožarnih pjena koji su bili predmet hemijske analize, zajedno sa uzorcima u kojima je potvrđeno prisustvo PFOS-a, prikazan je u tabeli </w:t>
      </w:r>
      <w:r w:rsidR="00632BFA" w:rsidRPr="00C86111">
        <w:rPr>
          <w:rFonts w:asciiTheme="minorHAnsi" w:hAnsiTheme="minorHAnsi" w:cstheme="minorHAnsi"/>
          <w:color w:val="auto"/>
        </w:rPr>
        <w:t>71</w:t>
      </w:r>
      <w:r w:rsidRPr="00C86111">
        <w:rPr>
          <w:rFonts w:asciiTheme="minorHAnsi" w:hAnsiTheme="minorHAnsi" w:cstheme="minorHAnsi"/>
          <w:color w:val="auto"/>
        </w:rPr>
        <w:t>.</w:t>
      </w:r>
    </w:p>
    <w:p w14:paraId="4C34450F" w14:textId="77777777" w:rsidR="002B20A9" w:rsidRDefault="002B20A9" w:rsidP="002B20A9">
      <w:pPr>
        <w:jc w:val="both"/>
        <w:rPr>
          <w:rFonts w:asciiTheme="minorHAnsi" w:hAnsiTheme="minorHAnsi" w:cstheme="minorHAnsi"/>
          <w:color w:val="auto"/>
        </w:rPr>
      </w:pPr>
    </w:p>
    <w:p w14:paraId="1A619E51" w14:textId="77777777" w:rsidR="00D966EC" w:rsidRDefault="00D966EC" w:rsidP="002B20A9">
      <w:pPr>
        <w:jc w:val="both"/>
        <w:rPr>
          <w:rFonts w:asciiTheme="minorHAnsi" w:hAnsiTheme="minorHAnsi" w:cstheme="minorHAnsi"/>
          <w:color w:val="auto"/>
        </w:rPr>
      </w:pPr>
    </w:p>
    <w:p w14:paraId="50F0314D" w14:textId="77777777" w:rsidR="00D966EC" w:rsidRDefault="00D966EC" w:rsidP="002B20A9">
      <w:pPr>
        <w:jc w:val="both"/>
        <w:rPr>
          <w:rFonts w:asciiTheme="minorHAnsi" w:hAnsiTheme="minorHAnsi" w:cstheme="minorHAnsi"/>
          <w:color w:val="auto"/>
        </w:rPr>
      </w:pPr>
    </w:p>
    <w:p w14:paraId="00B1566C" w14:textId="77777777" w:rsidR="00D966EC" w:rsidRDefault="00D966EC" w:rsidP="002B20A9">
      <w:pPr>
        <w:jc w:val="both"/>
        <w:rPr>
          <w:rFonts w:asciiTheme="minorHAnsi" w:hAnsiTheme="minorHAnsi" w:cstheme="minorHAnsi"/>
          <w:color w:val="auto"/>
        </w:rPr>
      </w:pPr>
    </w:p>
    <w:p w14:paraId="5DB67144" w14:textId="77777777" w:rsidR="00D966EC" w:rsidRDefault="00D966EC" w:rsidP="002B20A9">
      <w:pPr>
        <w:jc w:val="both"/>
        <w:rPr>
          <w:rFonts w:asciiTheme="minorHAnsi" w:hAnsiTheme="minorHAnsi" w:cstheme="minorHAnsi"/>
          <w:color w:val="auto"/>
        </w:rPr>
      </w:pPr>
    </w:p>
    <w:p w14:paraId="753E9351" w14:textId="77777777" w:rsidR="00D966EC" w:rsidRDefault="00D966EC" w:rsidP="002B20A9">
      <w:pPr>
        <w:jc w:val="both"/>
        <w:rPr>
          <w:rFonts w:asciiTheme="minorHAnsi" w:hAnsiTheme="minorHAnsi" w:cstheme="minorHAnsi"/>
          <w:color w:val="auto"/>
        </w:rPr>
      </w:pPr>
    </w:p>
    <w:p w14:paraId="1CEA4B2F" w14:textId="77777777" w:rsidR="00D966EC" w:rsidRDefault="00D966EC" w:rsidP="002B20A9">
      <w:pPr>
        <w:jc w:val="both"/>
        <w:rPr>
          <w:rFonts w:asciiTheme="minorHAnsi" w:hAnsiTheme="minorHAnsi" w:cstheme="minorHAnsi"/>
          <w:color w:val="auto"/>
        </w:rPr>
      </w:pPr>
    </w:p>
    <w:p w14:paraId="0595F0B4" w14:textId="77777777" w:rsidR="00D966EC" w:rsidRPr="00C86111" w:rsidRDefault="00D966EC" w:rsidP="002B20A9">
      <w:pPr>
        <w:jc w:val="both"/>
        <w:rPr>
          <w:rFonts w:asciiTheme="minorHAnsi" w:hAnsiTheme="minorHAnsi" w:cstheme="minorHAnsi"/>
          <w:color w:val="auto"/>
        </w:rPr>
      </w:pPr>
    </w:p>
    <w:p w14:paraId="0C4A34B5" w14:textId="2394D4C4"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Tabela </w:t>
      </w:r>
      <w:r w:rsidR="00632BFA" w:rsidRPr="00C86111">
        <w:rPr>
          <w:rFonts w:asciiTheme="minorHAnsi" w:hAnsiTheme="minorHAnsi" w:cstheme="minorHAnsi"/>
          <w:b/>
          <w:bCs/>
          <w:color w:val="auto"/>
        </w:rPr>
        <w:t>71</w:t>
      </w:r>
      <w:r w:rsidRPr="00C86111">
        <w:rPr>
          <w:rFonts w:asciiTheme="minorHAnsi" w:hAnsiTheme="minorHAnsi" w:cstheme="minorHAnsi"/>
          <w:b/>
          <w:bCs/>
          <w:color w:val="auto"/>
        </w:rPr>
        <w:t>:</w:t>
      </w:r>
      <w:r w:rsidRPr="00C86111">
        <w:rPr>
          <w:rFonts w:asciiTheme="minorHAnsi" w:hAnsiTheme="minorHAnsi" w:cstheme="minorHAnsi"/>
          <w:color w:val="auto"/>
        </w:rPr>
        <w:t xml:space="preserve"> Pregled broja analiziranih uzoraka i uzoraka sa potvrđenim prisustvom PFOS</w:t>
      </w:r>
    </w:p>
    <w:tbl>
      <w:tblPr>
        <w:tblStyle w:val="GridTable5Dark-Accent6"/>
        <w:tblW w:w="8887" w:type="dxa"/>
        <w:tblLook w:val="04A0" w:firstRow="1" w:lastRow="0" w:firstColumn="1" w:lastColumn="0" w:noHBand="0" w:noVBand="1"/>
      </w:tblPr>
      <w:tblGrid>
        <w:gridCol w:w="4718"/>
        <w:gridCol w:w="4169"/>
      </w:tblGrid>
      <w:tr w:rsidR="002B20A9" w:rsidRPr="00C86111" w14:paraId="77798B66" w14:textId="77777777" w:rsidTr="00C97FE5">
        <w:trPr>
          <w:cnfStyle w:val="100000000000" w:firstRow="1" w:lastRow="0" w:firstColumn="0" w:lastColumn="0" w:oddVBand="0" w:evenVBand="0" w:oddHBand="0" w:evenHBand="0" w:firstRowFirstColumn="0" w:firstRowLastColumn="0" w:lastRowFirstColumn="0" w:lastRowLastColumn="0"/>
          <w:trHeight w:hRule="exact" w:val="489"/>
        </w:trPr>
        <w:tc>
          <w:tcPr>
            <w:cnfStyle w:val="001000000000" w:firstRow="0" w:lastRow="0" w:firstColumn="1" w:lastColumn="0" w:oddVBand="0" w:evenVBand="0" w:oddHBand="0" w:evenHBand="0" w:firstRowFirstColumn="0" w:firstRowLastColumn="0" w:lastRowFirstColumn="0" w:lastRowLastColumn="0"/>
            <w:tcW w:w="4718" w:type="dxa"/>
            <w:noWrap/>
            <w:vAlign w:val="center"/>
          </w:tcPr>
          <w:p w14:paraId="1CB9E1C8"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Analizirani uzorci</w:t>
            </w:r>
          </w:p>
        </w:tc>
        <w:tc>
          <w:tcPr>
            <w:tcW w:w="4169" w:type="dxa"/>
            <w:noWrap/>
            <w:vAlign w:val="center"/>
          </w:tcPr>
          <w:p w14:paraId="22176B3B"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41</w:t>
            </w:r>
          </w:p>
        </w:tc>
      </w:tr>
      <w:tr w:rsidR="002B20A9" w:rsidRPr="00C86111" w14:paraId="7F983FA8" w14:textId="77777777" w:rsidTr="00C97FE5">
        <w:trPr>
          <w:cnfStyle w:val="000000100000" w:firstRow="0" w:lastRow="0" w:firstColumn="0" w:lastColumn="0" w:oddVBand="0" w:evenVBand="0" w:oddHBand="1" w:evenHBand="0" w:firstRowFirstColumn="0" w:firstRowLastColumn="0" w:lastRowFirstColumn="0" w:lastRowLastColumn="0"/>
          <w:trHeight w:hRule="exact" w:val="513"/>
        </w:trPr>
        <w:tc>
          <w:tcPr>
            <w:cnfStyle w:val="001000000000" w:firstRow="0" w:lastRow="0" w:firstColumn="1" w:lastColumn="0" w:oddVBand="0" w:evenVBand="0" w:oddHBand="0" w:evenHBand="0" w:firstRowFirstColumn="0" w:firstRowLastColumn="0" w:lastRowFirstColumn="0" w:lastRowLastColumn="0"/>
            <w:tcW w:w="4718" w:type="dxa"/>
            <w:noWrap/>
            <w:vAlign w:val="center"/>
          </w:tcPr>
          <w:p w14:paraId="0CE5C783"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Uzorci sa prisustvom PFOS-a</w:t>
            </w:r>
          </w:p>
        </w:tc>
        <w:tc>
          <w:tcPr>
            <w:tcW w:w="4169" w:type="dxa"/>
            <w:noWrap/>
            <w:vAlign w:val="center"/>
          </w:tcPr>
          <w:p w14:paraId="66239F04"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16</w:t>
            </w:r>
          </w:p>
        </w:tc>
      </w:tr>
      <w:tr w:rsidR="002B20A9" w:rsidRPr="00C86111" w14:paraId="1EA7EC49" w14:textId="77777777" w:rsidTr="00C97FE5">
        <w:trPr>
          <w:trHeight w:hRule="exact" w:val="685"/>
        </w:trPr>
        <w:tc>
          <w:tcPr>
            <w:cnfStyle w:val="001000000000" w:firstRow="0" w:lastRow="0" w:firstColumn="1" w:lastColumn="0" w:oddVBand="0" w:evenVBand="0" w:oddHBand="0" w:evenHBand="0" w:firstRowFirstColumn="0" w:firstRowLastColumn="0" w:lastRowFirstColumn="0" w:lastRowLastColumn="0"/>
            <w:tcW w:w="4718" w:type="dxa"/>
            <w:noWrap/>
            <w:vAlign w:val="center"/>
          </w:tcPr>
          <w:p w14:paraId="0ECEFCC1"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Uzorci koji prelaze propisano regulatorno ograničenje</w:t>
            </w:r>
          </w:p>
        </w:tc>
        <w:tc>
          <w:tcPr>
            <w:tcW w:w="4169" w:type="dxa"/>
            <w:noWrap/>
            <w:vAlign w:val="center"/>
          </w:tcPr>
          <w:p w14:paraId="35C3412B"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w:t>
            </w:r>
          </w:p>
        </w:tc>
      </w:tr>
    </w:tbl>
    <w:p w14:paraId="145A47F3" w14:textId="48A6277F"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Sadržaj PFOS-a utvrđen u uzorcima protivpožarnih pjena prikupljenim iz različitih vatrogasnih jedinica prikazan je u tabeli </w:t>
      </w:r>
      <w:r w:rsidR="00632BFA" w:rsidRPr="00C86111">
        <w:rPr>
          <w:rFonts w:asciiTheme="minorHAnsi" w:eastAsia="Times New Roman" w:hAnsiTheme="minorHAnsi" w:cstheme="minorHAnsi"/>
          <w:color w:val="auto"/>
          <w:lang w:eastAsia="en-GB"/>
        </w:rPr>
        <w:t>72</w:t>
      </w:r>
      <w:r w:rsidRPr="00C86111">
        <w:rPr>
          <w:rFonts w:asciiTheme="minorHAnsi" w:eastAsia="Times New Roman" w:hAnsiTheme="minorHAnsi" w:cstheme="minorHAnsi"/>
          <w:color w:val="auto"/>
          <w:lang w:eastAsia="en-GB"/>
        </w:rPr>
        <w:t>.</w:t>
      </w:r>
    </w:p>
    <w:p w14:paraId="6686F03E" w14:textId="77777777" w:rsidR="002B20A9" w:rsidRPr="00C86111" w:rsidRDefault="002B20A9" w:rsidP="002B20A9">
      <w:pPr>
        <w:jc w:val="both"/>
        <w:rPr>
          <w:rFonts w:asciiTheme="minorHAnsi" w:eastAsia="Times New Roman" w:hAnsiTheme="minorHAnsi" w:cstheme="minorHAnsi"/>
          <w:color w:val="auto"/>
          <w:lang w:eastAsia="en-GB"/>
        </w:rPr>
      </w:pPr>
    </w:p>
    <w:p w14:paraId="70182679" w14:textId="474B8633"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b/>
          <w:bCs/>
          <w:color w:val="auto"/>
          <w:lang w:eastAsia="en-GB"/>
        </w:rPr>
        <w:t xml:space="preserve">Tabela </w:t>
      </w:r>
      <w:r w:rsidR="00632BFA" w:rsidRPr="00C86111">
        <w:rPr>
          <w:rFonts w:asciiTheme="minorHAnsi" w:eastAsia="Times New Roman" w:hAnsiTheme="minorHAnsi" w:cstheme="minorHAnsi"/>
          <w:b/>
          <w:bCs/>
          <w:color w:val="auto"/>
          <w:lang w:eastAsia="en-GB"/>
        </w:rPr>
        <w:t>72</w:t>
      </w:r>
      <w:r w:rsidRPr="00C86111">
        <w:rPr>
          <w:rFonts w:asciiTheme="minorHAnsi" w:eastAsia="Times New Roman" w:hAnsiTheme="minorHAnsi" w:cstheme="minorHAnsi"/>
          <w:b/>
          <w:bCs/>
          <w:color w:val="auto"/>
          <w:lang w:eastAsia="en-GB"/>
        </w:rPr>
        <w:t>:</w:t>
      </w:r>
      <w:r w:rsidRPr="00C86111">
        <w:rPr>
          <w:rFonts w:asciiTheme="minorHAnsi" w:eastAsia="Times New Roman" w:hAnsiTheme="minorHAnsi" w:cstheme="minorHAnsi"/>
          <w:color w:val="auto"/>
          <w:lang w:eastAsia="en-GB"/>
        </w:rPr>
        <w:t xml:space="preserve"> Sadržaj PFOS-a u protivpožarnim pjenama iz skladišnih objekata i vatrogasnih vozila vatrogasnih jedinica.</w:t>
      </w:r>
    </w:p>
    <w:tbl>
      <w:tblPr>
        <w:tblStyle w:val="GridTable5Dark-Accent6"/>
        <w:tblW w:w="8889" w:type="dxa"/>
        <w:tblLook w:val="04A0" w:firstRow="1" w:lastRow="0" w:firstColumn="1" w:lastColumn="0" w:noHBand="0" w:noVBand="1"/>
      </w:tblPr>
      <w:tblGrid>
        <w:gridCol w:w="3855"/>
        <w:gridCol w:w="2700"/>
        <w:gridCol w:w="2334"/>
      </w:tblGrid>
      <w:tr w:rsidR="002B20A9" w:rsidRPr="00C86111" w14:paraId="187CA28B" w14:textId="77777777" w:rsidTr="00C97FE5">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855" w:type="dxa"/>
            <w:vAlign w:val="center"/>
          </w:tcPr>
          <w:p w14:paraId="6988E3A5" w14:textId="77777777" w:rsidR="002B20A9" w:rsidRPr="00C86111" w:rsidRDefault="002B20A9" w:rsidP="00E71878">
            <w:pPr>
              <w:jc w:val="center"/>
              <w:rPr>
                <w:rFonts w:asciiTheme="minorHAnsi" w:eastAsia="Times New Roman" w:hAnsiTheme="minorHAnsi" w:cstheme="minorHAnsi"/>
                <w:b w:val="0"/>
                <w:bCs w:val="0"/>
                <w:color w:val="auto"/>
                <w:sz w:val="20"/>
                <w:szCs w:val="20"/>
                <w:lang w:eastAsia="en-GB"/>
              </w:rPr>
            </w:pPr>
            <w:r w:rsidRPr="00C86111">
              <w:rPr>
                <w:rStyle w:val="Strong"/>
                <w:rFonts w:asciiTheme="minorHAnsi" w:hAnsiTheme="minorHAnsi" w:cstheme="minorHAnsi"/>
                <w:b/>
                <w:bCs/>
                <w:color w:val="auto"/>
                <w:sz w:val="20"/>
                <w:szCs w:val="20"/>
              </w:rPr>
              <w:t>Vatrogasna jedinica</w:t>
            </w:r>
          </w:p>
        </w:tc>
        <w:tc>
          <w:tcPr>
            <w:tcW w:w="2700" w:type="dxa"/>
            <w:vAlign w:val="center"/>
            <w:hideMark/>
          </w:tcPr>
          <w:p w14:paraId="43921C2A"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auto"/>
                <w:sz w:val="20"/>
                <w:szCs w:val="20"/>
                <w:lang w:eastAsia="en-GB"/>
              </w:rPr>
            </w:pPr>
            <w:r w:rsidRPr="00C86111">
              <w:rPr>
                <w:rStyle w:val="Strong"/>
                <w:rFonts w:asciiTheme="minorHAnsi" w:hAnsiTheme="minorHAnsi" w:cstheme="minorHAnsi"/>
                <w:b/>
                <w:bCs/>
                <w:color w:val="auto"/>
                <w:sz w:val="20"/>
                <w:szCs w:val="20"/>
              </w:rPr>
              <w:t>Ukupna količina (L) protivpožarne pjene</w:t>
            </w:r>
          </w:p>
        </w:tc>
        <w:tc>
          <w:tcPr>
            <w:tcW w:w="2334" w:type="dxa"/>
            <w:vAlign w:val="center"/>
            <w:hideMark/>
          </w:tcPr>
          <w:p w14:paraId="574F4E53"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auto"/>
                <w:sz w:val="20"/>
                <w:szCs w:val="20"/>
                <w:lang w:eastAsia="en-GB"/>
              </w:rPr>
            </w:pPr>
            <w:r w:rsidRPr="00C86111">
              <w:rPr>
                <w:rStyle w:val="Strong"/>
                <w:rFonts w:asciiTheme="minorHAnsi" w:hAnsiTheme="minorHAnsi" w:cstheme="minorHAnsi"/>
                <w:b/>
                <w:bCs/>
                <w:color w:val="auto"/>
                <w:sz w:val="20"/>
                <w:szCs w:val="20"/>
              </w:rPr>
              <w:t>Količina PFOS-a (g)</w:t>
            </w:r>
          </w:p>
        </w:tc>
      </w:tr>
      <w:tr w:rsidR="002B20A9" w:rsidRPr="00C86111" w14:paraId="728EC51C" w14:textId="77777777" w:rsidTr="00C97FE5">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3855" w:type="dxa"/>
            <w:vAlign w:val="center"/>
          </w:tcPr>
          <w:p w14:paraId="0074608D" w14:textId="77777777" w:rsidR="002B20A9" w:rsidRPr="00C86111" w:rsidRDefault="002B20A9" w:rsidP="00E71878">
            <w:pPr>
              <w:jc w:val="center"/>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Opštinske službe zaštite i spašavanja</w:t>
            </w:r>
          </w:p>
        </w:tc>
        <w:tc>
          <w:tcPr>
            <w:tcW w:w="2700" w:type="dxa"/>
            <w:noWrap/>
            <w:vAlign w:val="center"/>
          </w:tcPr>
          <w:p w14:paraId="0BA8C197"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8560</w:t>
            </w:r>
          </w:p>
        </w:tc>
        <w:tc>
          <w:tcPr>
            <w:tcW w:w="2334" w:type="dxa"/>
            <w:noWrap/>
            <w:vAlign w:val="center"/>
          </w:tcPr>
          <w:p w14:paraId="64177274"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67</w:t>
            </w:r>
          </w:p>
        </w:tc>
      </w:tr>
      <w:tr w:rsidR="002B20A9" w:rsidRPr="00C86111" w14:paraId="54258389" w14:textId="77777777" w:rsidTr="00C97FE5">
        <w:trPr>
          <w:trHeight w:val="465"/>
        </w:trPr>
        <w:tc>
          <w:tcPr>
            <w:cnfStyle w:val="001000000000" w:firstRow="0" w:lastRow="0" w:firstColumn="1" w:lastColumn="0" w:oddVBand="0" w:evenVBand="0" w:oddHBand="0" w:evenHBand="0" w:firstRowFirstColumn="0" w:firstRowLastColumn="0" w:lastRowFirstColumn="0" w:lastRowLastColumn="0"/>
            <w:tcW w:w="3855" w:type="dxa"/>
            <w:vAlign w:val="center"/>
          </w:tcPr>
          <w:p w14:paraId="6A2CBA28" w14:textId="77777777" w:rsidR="002B20A9" w:rsidRPr="00C86111" w:rsidRDefault="002B20A9" w:rsidP="00E71878">
            <w:pPr>
              <w:jc w:val="center"/>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Ostali subjekti</w:t>
            </w:r>
          </w:p>
        </w:tc>
        <w:tc>
          <w:tcPr>
            <w:tcW w:w="2700" w:type="dxa"/>
            <w:noWrap/>
            <w:vAlign w:val="center"/>
          </w:tcPr>
          <w:p w14:paraId="50EE7B74"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21150</w:t>
            </w:r>
          </w:p>
        </w:tc>
        <w:tc>
          <w:tcPr>
            <w:tcW w:w="2334" w:type="dxa"/>
            <w:noWrap/>
            <w:vAlign w:val="center"/>
          </w:tcPr>
          <w:p w14:paraId="6802F2B2"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231</w:t>
            </w:r>
          </w:p>
        </w:tc>
      </w:tr>
      <w:tr w:rsidR="002B20A9" w:rsidRPr="00C86111" w14:paraId="5F5EBEBD" w14:textId="77777777" w:rsidTr="00C97FE5">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3855" w:type="dxa"/>
            <w:vAlign w:val="center"/>
          </w:tcPr>
          <w:p w14:paraId="3E33F5B0" w14:textId="77777777" w:rsidR="002B20A9" w:rsidRPr="00C86111" w:rsidRDefault="002B20A9" w:rsidP="00E71878">
            <w:pPr>
              <w:jc w:val="center"/>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Total</w:t>
            </w:r>
          </w:p>
        </w:tc>
        <w:tc>
          <w:tcPr>
            <w:tcW w:w="2700" w:type="dxa"/>
            <w:noWrap/>
            <w:vAlign w:val="center"/>
          </w:tcPr>
          <w:p w14:paraId="6A652F63"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29710</w:t>
            </w:r>
          </w:p>
        </w:tc>
        <w:tc>
          <w:tcPr>
            <w:tcW w:w="2334" w:type="dxa"/>
            <w:noWrap/>
            <w:vAlign w:val="center"/>
          </w:tcPr>
          <w:p w14:paraId="46D7C99F"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298</w:t>
            </w:r>
          </w:p>
        </w:tc>
      </w:tr>
    </w:tbl>
    <w:p w14:paraId="5CF911F8" w14:textId="77777777" w:rsidR="002B20A9" w:rsidRPr="00C86111" w:rsidRDefault="002B20A9" w:rsidP="00004F34">
      <w:pPr>
        <w:pStyle w:val="Heading1"/>
        <w:numPr>
          <w:ilvl w:val="1"/>
          <w:numId w:val="238"/>
        </w:numPr>
        <w:rPr>
          <w:lang w:eastAsia="en-GB"/>
        </w:rPr>
      </w:pPr>
      <w:bookmarkStart w:id="315" w:name="_Toc220541939"/>
      <w:bookmarkEnd w:id="313"/>
      <w:r w:rsidRPr="00C86111">
        <w:rPr>
          <w:lang w:eastAsia="en-GB"/>
        </w:rPr>
        <w:t>Zaključak – PFOS u protivpožarnim pjenama</w:t>
      </w:r>
      <w:bookmarkEnd w:id="315"/>
    </w:p>
    <w:p w14:paraId="5A332CA9" w14:textId="77777777" w:rsidR="002B20A9" w:rsidRPr="00C86111" w:rsidRDefault="002B20A9" w:rsidP="002B20A9">
      <w:pPr>
        <w:jc w:val="both"/>
        <w:rPr>
          <w:rFonts w:asciiTheme="minorHAnsi" w:eastAsia="Times New Roman" w:hAnsiTheme="minorHAnsi" w:cstheme="minorHAnsi"/>
          <w:i/>
          <w:iCs/>
          <w:color w:val="002060"/>
          <w:lang w:eastAsia="en-GB"/>
        </w:rPr>
      </w:pPr>
    </w:p>
    <w:p w14:paraId="784539DD"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Sprovedena inventarizacija i analitička procjena protivpožarnih pjena u Crnoj Gori, koja je obuhvatila opštinske službe zaštite i spašavanja, kao i specijalizovane vatrogasne jedinice (aerodrome, luke, industrijske objekte), potvrdila je prisustvo perfluorooktanske sulfonatne kiseline (PFOS) u značajnom procentu analiziranih uzoraka. Od ukupno 41 uzorka protivpožarne pjene podvrgnutog hemijskoj analizi, u 16 uzoraka je potvrđeno prisustvo PFOS-a, dok su u tri uzorka zabilježena prekoračenja zakonom propisanih regulatornih ograničenja.</w:t>
      </w:r>
    </w:p>
    <w:p w14:paraId="12C9D7C3"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Ukupna količina PFOS-a otkrivena u svim protivpožarnim pjenama, koje se nalaze u skladištima i vatrogasnim vozilima, iznosi približno 298 grama, raspoređenih na 29710 litara protivpožarne pjene. Opštinske službe zaštite i spašavanja učestvuju sa oko 67 grama PFOS-a, dok specijalizovane vatrogasne službe (aerodromi, luke, industrijski subjekti) imaju znatno veće opterećenje od 231 gram.</w:t>
      </w:r>
    </w:p>
    <w:p w14:paraId="64670CB5"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Iako je većina otkrivenih koncentracija PFOS-a ostala unutar propisanih regulatornih granica, prekoračenja su registrovana u pojedinim vatrogasnim jedinicama, naročito na području Tivta (opštinska i aerodromska služba zaštite). Ovi nalazi su posebno zabrinjavajući s obzirom na perzistentnost, bioakumulativnu prirodu i poznate štetne efekte PFOS-a na zdravlje ljudi i životnu sredinu. Prisustvo PFOS-a u protivpožarnim pjenama kojima je istekao rok upotrebe, kao i u starijim formulacijama fluorisanih pjena, dodatno naglašava potrebu za hitnim i sistematskim mjerama postupnog ukidanja njihove upotrebe.</w:t>
      </w:r>
    </w:p>
    <w:p w14:paraId="605F76C9"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S obzirom na to da je 8725 litara protivpožarne pjene u opštinskim službama sa isteklim rokom trajanja, postoji potencijalni rizik od neadekvatnog skladištenja i mogućeg propuštanja PFOS-a u </w:t>
      </w:r>
      <w:r w:rsidRPr="00C86111">
        <w:rPr>
          <w:rFonts w:asciiTheme="minorHAnsi" w:eastAsia="Times New Roman" w:hAnsiTheme="minorHAnsi" w:cstheme="minorHAnsi"/>
          <w:color w:val="auto"/>
          <w:lang w:eastAsia="en-GB"/>
        </w:rPr>
        <w:lastRenderedPageBreak/>
        <w:t>životnu sredinu. Neophodno je razviti plan za pravilno odlaganje ovih pjena u skladu sa Zakonom o upravljanju otpadom („Službeni list Crne Gore“, br. 034/24, 092/24) i Pravilnikom o listi POPs supstanci, načinu i postupku upravljanja otpadom koji sadrži POPs supstance, te graničnim vrijednostima koncentracija POPs supstanci koje se odnose na obradu i odlaganje otpada koji sadrži ili je kontaminiran POPs supstancama („Službeni list Crne Gore“, br. 098/24).</w:t>
      </w:r>
    </w:p>
    <w:p w14:paraId="495CE099"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Regulatorni okvir u Crnoj Gori, usklađen s propisima Evropske unije na osnovu Uredbe (EU) 2019/1021 i njenih kasnijih izmjena, izričito ograničava proizvodnju, upotrebu i stavljanje na tržište protivpožarnih pjena koje sadrže PFOS. Dobijeni rezultati potvrđuju da, uprkos postojećim zakonskim ograničenjima, rezidualne zalihe pjena koje sadrže PFOS još uvijek postoje u sistemima za reagovanje u vanrednim situacijama. Ova situacija predstavlja dvostruki rizik:</w:t>
      </w:r>
    </w:p>
    <w:p w14:paraId="0B2136C9"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 moguće direktno ispuštanje PFOS-a u životnu sredinu tokom intervencija i vježbi gašenja požara, te</w:t>
      </w:r>
    </w:p>
    <w:p w14:paraId="143F7166"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(ii) dugoročni rizik od kontaminacije usljed neadekvatnog skladištenja i odlaganja zastarjelih pjena.</w:t>
      </w:r>
    </w:p>
    <w:p w14:paraId="26BF9A47"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 tim u vezi, nalazi ukazuju na potrebu sprovođenja ciljanih mjera upravljanja, koje uključuju:</w:t>
      </w:r>
      <w:r w:rsidRPr="00C86111">
        <w:rPr>
          <w:rFonts w:asciiTheme="minorHAnsi" w:eastAsia="Times New Roman" w:hAnsiTheme="minorHAnsi" w:cstheme="minorHAnsi"/>
          <w:color w:val="auto"/>
          <w:lang w:eastAsia="en-GB"/>
        </w:rPr>
        <w:br/>
        <w:t>• potpuno povlačenje i bezbjedno odlaganje pjena koje prelaze propisane granice PFOS</w:t>
      </w:r>
    </w:p>
    <w:p w14:paraId="1F8E6884"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zamjenu starih formulacija pjena koje sadrže PFOS fluorofree (bez fluorida) alternativama dostupnim na tržištu;</w:t>
      </w:r>
    </w:p>
    <w:p w14:paraId="354C57CF"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kontinuirano praćenje i hemijsku analizu zaliha protivpožarnih pjena radi obezbjeđenja usklađenosti sa međunarodnim i nacionalnim propisima;</w:t>
      </w:r>
    </w:p>
    <w:p w14:paraId="4CD18175"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jačanje svijesti kod vatrogasnih službi i industrijskih subjekata o pravnim i ekološkim obavezama koje se odnose na upotrebu PFOS-a;</w:t>
      </w:r>
    </w:p>
    <w:p w14:paraId="1C603681"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razvoj ekološki prihvatljivih metoda upravljanja otpadom koji sadrži POPs supstance, u skladu sa obavezama iz Stokholmske konvencije.</w:t>
      </w:r>
    </w:p>
    <w:p w14:paraId="65E64064" w14:textId="643FE10F" w:rsidR="002B20A9" w:rsidRPr="00C86111" w:rsidRDefault="002B20A9" w:rsidP="002B20A9">
      <w:pPr>
        <w:jc w:val="both"/>
        <w:rPr>
          <w:rFonts w:asciiTheme="minorHAnsi" w:hAnsiTheme="minorHAnsi" w:cstheme="minorHAnsi"/>
          <w:iCs/>
          <w:color w:val="auto"/>
        </w:rPr>
      </w:pPr>
      <w:r w:rsidRPr="00C86111">
        <w:rPr>
          <w:rFonts w:asciiTheme="minorHAnsi" w:eastAsia="Times New Roman" w:hAnsiTheme="minorHAnsi" w:cstheme="minorHAnsi"/>
          <w:color w:val="auto"/>
          <w:lang w:eastAsia="en-GB"/>
        </w:rPr>
        <w:t>U zaključku, iako su ukupne količine PFOS-a identifikovane u protivpožarnim pjenama u Crnoj Gori relativno umjerene u apsolutnim vrijednostima, njihova perzistentnost i visok rizik po zdravlje ljudi i životnu sredinu zahtijevaju prioritetno i koordinisano djelovanje</w:t>
      </w:r>
      <w:r w:rsidRPr="00C86111">
        <w:rPr>
          <w:rFonts w:asciiTheme="minorHAnsi" w:eastAsia="Times New Roman" w:hAnsiTheme="minorHAnsi" w:cstheme="minorHAnsi"/>
          <w:b/>
          <w:bCs/>
          <w:color w:val="auto"/>
          <w:lang w:eastAsia="en-GB"/>
        </w:rPr>
        <w:t xml:space="preserve">. </w:t>
      </w:r>
      <w:r w:rsidRPr="00C86111">
        <w:rPr>
          <w:rFonts w:asciiTheme="minorHAnsi" w:eastAsia="Times New Roman" w:hAnsiTheme="minorHAnsi" w:cstheme="minorHAnsi"/>
          <w:color w:val="auto"/>
          <w:lang w:eastAsia="en-GB"/>
        </w:rPr>
        <w:t>Saradnja između nadležnih regulatornih organa, vatrogasnih jedinica i industrijskih operatera od suštinskog je značaja za potpuno usklađivanje sa okvirom EU o postojanim organskim zagađujućim materijama (POPs), zaštitu životne sredine i javnog zdravlja, te postizanje potpunog eliminisanja PFOS-a iz prakse gašenja požara u Crnoj Gori.</w:t>
      </w:r>
    </w:p>
    <w:p w14:paraId="4D412800" w14:textId="77777777" w:rsidR="002B20A9" w:rsidRPr="00C86111" w:rsidRDefault="002B20A9" w:rsidP="00004F34">
      <w:pPr>
        <w:pStyle w:val="Heading1"/>
        <w:numPr>
          <w:ilvl w:val="1"/>
          <w:numId w:val="238"/>
        </w:numPr>
      </w:pPr>
      <w:bookmarkStart w:id="316" w:name="_Toc210632497"/>
      <w:bookmarkStart w:id="317" w:name="_Toc220541940"/>
      <w:r w:rsidRPr="00C86111">
        <w:t>Rezultati inventara PFOS, njegovih soli i PFOSF</w:t>
      </w:r>
      <w:bookmarkEnd w:id="316"/>
      <w:r w:rsidRPr="00C86111">
        <w:t xml:space="preserve"> </w:t>
      </w:r>
      <w:bookmarkStart w:id="318" w:name="_Toc210632498"/>
      <w:r w:rsidRPr="00C86111">
        <w:t>u proizvodima na potrošačkom tržištu</w:t>
      </w:r>
      <w:bookmarkEnd w:id="317"/>
      <w:bookmarkEnd w:id="318"/>
    </w:p>
    <w:p w14:paraId="57A86283" w14:textId="77777777" w:rsidR="002B20A9" w:rsidRPr="00C86111" w:rsidRDefault="002B20A9" w:rsidP="002B20A9">
      <w:pPr>
        <w:jc w:val="both"/>
        <w:rPr>
          <w:rFonts w:ascii="Cambria" w:eastAsia="SimSun" w:hAnsi="Cambria" w:cs="Times New Roman"/>
          <w:color w:val="auto"/>
        </w:rPr>
      </w:pPr>
    </w:p>
    <w:p w14:paraId="71D8259C"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Na osnovu podataka dobijenih od Uprave Carina Crne Gore urađen je inventar prisustva PFOS-a, njegovih soli i PFOSF-a u impregniranim odjevnim predmetima, tekstilu, impregniranom papiru i sintetičkim tepisima. Podatke o uvozu ovih proizvoda dostavila je Uprava Carina po tarifnim brojevima za period 2017-2023 godina.</w:t>
      </w:r>
    </w:p>
    <w:p w14:paraId="6ECAEEC6" w14:textId="1F1AAC62"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U tabelama </w:t>
      </w:r>
      <w:r w:rsidR="00632BFA" w:rsidRPr="00C86111">
        <w:rPr>
          <w:rFonts w:asciiTheme="minorHAnsi" w:hAnsiTheme="minorHAnsi" w:cstheme="minorHAnsi"/>
          <w:color w:val="auto"/>
        </w:rPr>
        <w:t>73</w:t>
      </w:r>
      <w:r w:rsidRPr="00C86111">
        <w:rPr>
          <w:rFonts w:asciiTheme="minorHAnsi" w:hAnsiTheme="minorHAnsi" w:cstheme="minorHAnsi"/>
          <w:color w:val="auto"/>
        </w:rPr>
        <w:t>-7</w:t>
      </w:r>
      <w:r w:rsidR="00632BFA" w:rsidRPr="00C86111">
        <w:rPr>
          <w:rFonts w:asciiTheme="minorHAnsi" w:hAnsiTheme="minorHAnsi" w:cstheme="minorHAnsi"/>
          <w:color w:val="auto"/>
        </w:rPr>
        <w:t>6</w:t>
      </w:r>
      <w:r w:rsidRPr="00C86111">
        <w:rPr>
          <w:rFonts w:asciiTheme="minorHAnsi" w:hAnsiTheme="minorHAnsi" w:cstheme="minorHAnsi"/>
          <w:color w:val="auto"/>
        </w:rPr>
        <w:t xml:space="preserve"> i na graficima </w:t>
      </w:r>
      <w:r w:rsidR="00632BFA" w:rsidRPr="00C86111">
        <w:rPr>
          <w:rFonts w:asciiTheme="minorHAnsi" w:hAnsiTheme="minorHAnsi" w:cstheme="minorHAnsi"/>
          <w:color w:val="auto"/>
        </w:rPr>
        <w:t>3</w:t>
      </w:r>
      <w:r w:rsidR="00547278">
        <w:rPr>
          <w:rFonts w:asciiTheme="minorHAnsi" w:hAnsiTheme="minorHAnsi" w:cstheme="minorHAnsi"/>
          <w:color w:val="auto"/>
        </w:rPr>
        <w:t>2</w:t>
      </w:r>
      <w:r w:rsidRPr="00C86111">
        <w:rPr>
          <w:rFonts w:asciiTheme="minorHAnsi" w:hAnsiTheme="minorHAnsi" w:cstheme="minorHAnsi"/>
          <w:color w:val="auto"/>
        </w:rPr>
        <w:t>-</w:t>
      </w:r>
      <w:r w:rsidR="00632BFA" w:rsidRPr="00C86111">
        <w:rPr>
          <w:rFonts w:asciiTheme="minorHAnsi" w:hAnsiTheme="minorHAnsi" w:cstheme="minorHAnsi"/>
          <w:color w:val="auto"/>
        </w:rPr>
        <w:t>3</w:t>
      </w:r>
      <w:r w:rsidR="00547278">
        <w:rPr>
          <w:rFonts w:asciiTheme="minorHAnsi" w:hAnsiTheme="minorHAnsi" w:cstheme="minorHAnsi"/>
          <w:color w:val="auto"/>
        </w:rPr>
        <w:t>3</w:t>
      </w:r>
      <w:r w:rsidRPr="00C86111">
        <w:rPr>
          <w:rFonts w:asciiTheme="minorHAnsi" w:hAnsiTheme="minorHAnsi" w:cstheme="minorHAnsi"/>
          <w:color w:val="auto"/>
        </w:rPr>
        <w:t>, dat je pregled količina uvezenih sintetičkih tepiha, presvučenog i impregniranog papira, impregniranog tekstila i impregnirane odjeće za period 2017-2023 godina kao i izračunate količine PFOS-a.</w:t>
      </w:r>
    </w:p>
    <w:p w14:paraId="7A370249" w14:textId="77777777" w:rsidR="002B20A9" w:rsidRPr="00C86111" w:rsidRDefault="002B20A9" w:rsidP="002B20A9">
      <w:pPr>
        <w:jc w:val="both"/>
        <w:rPr>
          <w:rFonts w:asciiTheme="minorHAnsi" w:hAnsiTheme="minorHAnsi" w:cstheme="minorHAnsi"/>
          <w:color w:val="auto"/>
        </w:rPr>
      </w:pPr>
    </w:p>
    <w:p w14:paraId="2B5F9B23" w14:textId="7207A33A"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lastRenderedPageBreak/>
        <w:t xml:space="preserve">Tabela </w:t>
      </w:r>
      <w:r w:rsidR="00632BFA" w:rsidRPr="00C86111">
        <w:rPr>
          <w:rFonts w:asciiTheme="minorHAnsi" w:eastAsia="SimSun" w:hAnsiTheme="minorHAnsi" w:cstheme="minorHAnsi"/>
          <w:b/>
          <w:bCs/>
          <w:color w:val="auto"/>
        </w:rPr>
        <w:t>73</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Količine uvezenih sintetičkih tepiha za period 2017-2023 godina i procijenjene količine PFOS-a</w:t>
      </w:r>
    </w:p>
    <w:tbl>
      <w:tblPr>
        <w:tblStyle w:val="GridTable5Dark-Accent6"/>
        <w:tblW w:w="8906" w:type="dxa"/>
        <w:tblLook w:val="04A0" w:firstRow="1" w:lastRow="0" w:firstColumn="1" w:lastColumn="0" w:noHBand="0" w:noVBand="1"/>
      </w:tblPr>
      <w:tblGrid>
        <w:gridCol w:w="1837"/>
        <w:gridCol w:w="1269"/>
        <w:gridCol w:w="1618"/>
        <w:gridCol w:w="2292"/>
        <w:gridCol w:w="1890"/>
      </w:tblGrid>
      <w:tr w:rsidR="002B20A9" w:rsidRPr="00C86111" w14:paraId="63820751" w14:textId="77777777" w:rsidTr="00C97F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3" w:type="dxa"/>
            <w:vAlign w:val="center"/>
          </w:tcPr>
          <w:p w14:paraId="0DCF67DB" w14:textId="77777777" w:rsidR="002B20A9" w:rsidRPr="00C86111" w:rsidRDefault="002B20A9" w:rsidP="00BC765B">
            <w:pPr>
              <w:jc w:val="both"/>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31" w:type="dxa"/>
            <w:vAlign w:val="center"/>
            <w:hideMark/>
          </w:tcPr>
          <w:p w14:paraId="68D003BD"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570" w:type="dxa"/>
            <w:vAlign w:val="center"/>
            <w:hideMark/>
          </w:tcPr>
          <w:p w14:paraId="0F2C58EF"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(kg)</w:t>
            </w:r>
          </w:p>
        </w:tc>
        <w:tc>
          <w:tcPr>
            <w:tcW w:w="2224" w:type="dxa"/>
            <w:vAlign w:val="center"/>
          </w:tcPr>
          <w:p w14:paraId="335C7230"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PFOS sadržaj</w:t>
            </w:r>
          </w:p>
          <w:p w14:paraId="7C95591A"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08882718"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(mg PFOS/kg proizvoda)</w:t>
            </w:r>
          </w:p>
        </w:tc>
        <w:tc>
          <w:tcPr>
            <w:tcW w:w="1834" w:type="dxa"/>
            <w:vAlign w:val="center"/>
          </w:tcPr>
          <w:p w14:paraId="6A5085E1"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PFOS (t)</w:t>
            </w:r>
          </w:p>
          <w:p w14:paraId="2E2CF17D"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0D391FB4"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5FCBA96B" w14:textId="77777777" w:rsidTr="00C97F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3" w:type="dxa"/>
            <w:vMerge w:val="restart"/>
            <w:vAlign w:val="center"/>
          </w:tcPr>
          <w:p w14:paraId="0E5FA0D8" w14:textId="77777777" w:rsidR="002B20A9" w:rsidRPr="00C86111" w:rsidRDefault="002B20A9" w:rsidP="00BC765B">
            <w:pPr>
              <w:jc w:val="both"/>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Sintetički tepisi</w:t>
            </w:r>
          </w:p>
          <w:p w14:paraId="05AA3FF6"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vAlign w:val="center"/>
          </w:tcPr>
          <w:p w14:paraId="6F646A66"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570" w:type="dxa"/>
            <w:vAlign w:val="center"/>
          </w:tcPr>
          <w:p w14:paraId="7A52C76F"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369598</w:t>
            </w:r>
          </w:p>
        </w:tc>
        <w:tc>
          <w:tcPr>
            <w:tcW w:w="2224" w:type="dxa"/>
            <w:vAlign w:val="center"/>
          </w:tcPr>
          <w:p w14:paraId="54B9DB3E"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10000-20000</w:t>
            </w:r>
          </w:p>
        </w:tc>
        <w:tc>
          <w:tcPr>
            <w:tcW w:w="1834" w:type="dxa"/>
            <w:vAlign w:val="center"/>
          </w:tcPr>
          <w:p w14:paraId="791CC558"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3.7-7.4</w:t>
            </w:r>
          </w:p>
        </w:tc>
      </w:tr>
      <w:tr w:rsidR="002B20A9" w:rsidRPr="00C86111" w14:paraId="27A33A78" w14:textId="77777777" w:rsidTr="00C97FE5">
        <w:tc>
          <w:tcPr>
            <w:cnfStyle w:val="001000000000" w:firstRow="0" w:lastRow="0" w:firstColumn="1" w:lastColumn="0" w:oddVBand="0" w:evenVBand="0" w:oddHBand="0" w:evenHBand="0" w:firstRowFirstColumn="0" w:firstRowLastColumn="0" w:lastRowFirstColumn="0" w:lastRowLastColumn="0"/>
            <w:tcW w:w="1783" w:type="dxa"/>
            <w:vMerge/>
            <w:vAlign w:val="center"/>
          </w:tcPr>
          <w:p w14:paraId="232F4FCE"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vAlign w:val="center"/>
          </w:tcPr>
          <w:p w14:paraId="691554D2"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570" w:type="dxa"/>
            <w:vAlign w:val="center"/>
          </w:tcPr>
          <w:p w14:paraId="7263E4F6"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336922</w:t>
            </w:r>
          </w:p>
        </w:tc>
        <w:tc>
          <w:tcPr>
            <w:tcW w:w="2224" w:type="dxa"/>
            <w:vAlign w:val="center"/>
          </w:tcPr>
          <w:p w14:paraId="7D53A80D"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10000-20000</w:t>
            </w:r>
          </w:p>
        </w:tc>
        <w:tc>
          <w:tcPr>
            <w:tcW w:w="1834" w:type="dxa"/>
            <w:vAlign w:val="center"/>
          </w:tcPr>
          <w:p w14:paraId="0D62F024"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3.4-6.7</w:t>
            </w:r>
          </w:p>
        </w:tc>
      </w:tr>
      <w:tr w:rsidR="002B20A9" w:rsidRPr="00C86111" w14:paraId="2C41613A" w14:textId="77777777" w:rsidTr="00C97F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3" w:type="dxa"/>
            <w:vMerge/>
            <w:vAlign w:val="center"/>
          </w:tcPr>
          <w:p w14:paraId="3C06D992"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vAlign w:val="center"/>
          </w:tcPr>
          <w:p w14:paraId="6DD596EB"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570" w:type="dxa"/>
            <w:vAlign w:val="center"/>
          </w:tcPr>
          <w:p w14:paraId="360BB041"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437076</w:t>
            </w:r>
          </w:p>
        </w:tc>
        <w:tc>
          <w:tcPr>
            <w:tcW w:w="2224" w:type="dxa"/>
            <w:vAlign w:val="center"/>
          </w:tcPr>
          <w:p w14:paraId="79758341"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10000-20000</w:t>
            </w:r>
          </w:p>
        </w:tc>
        <w:tc>
          <w:tcPr>
            <w:tcW w:w="1834" w:type="dxa"/>
            <w:vAlign w:val="center"/>
          </w:tcPr>
          <w:p w14:paraId="2C39460E"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4.4-8.7</w:t>
            </w:r>
          </w:p>
        </w:tc>
      </w:tr>
      <w:tr w:rsidR="002B20A9" w:rsidRPr="00C86111" w14:paraId="406A1028" w14:textId="77777777" w:rsidTr="00C97FE5">
        <w:tc>
          <w:tcPr>
            <w:cnfStyle w:val="001000000000" w:firstRow="0" w:lastRow="0" w:firstColumn="1" w:lastColumn="0" w:oddVBand="0" w:evenVBand="0" w:oddHBand="0" w:evenHBand="0" w:firstRowFirstColumn="0" w:firstRowLastColumn="0" w:lastRowFirstColumn="0" w:lastRowLastColumn="0"/>
            <w:tcW w:w="1783" w:type="dxa"/>
            <w:vMerge/>
            <w:vAlign w:val="center"/>
          </w:tcPr>
          <w:p w14:paraId="633BB540"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vAlign w:val="center"/>
          </w:tcPr>
          <w:p w14:paraId="04A54786"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570" w:type="dxa"/>
            <w:vAlign w:val="center"/>
          </w:tcPr>
          <w:p w14:paraId="53B5890A"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393617</w:t>
            </w:r>
          </w:p>
        </w:tc>
        <w:tc>
          <w:tcPr>
            <w:tcW w:w="2224" w:type="dxa"/>
            <w:vAlign w:val="center"/>
          </w:tcPr>
          <w:p w14:paraId="765728A9"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10000-20000</w:t>
            </w:r>
          </w:p>
        </w:tc>
        <w:tc>
          <w:tcPr>
            <w:tcW w:w="1834" w:type="dxa"/>
            <w:vAlign w:val="center"/>
          </w:tcPr>
          <w:p w14:paraId="08BFC80B"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3.9-7.9</w:t>
            </w:r>
          </w:p>
        </w:tc>
      </w:tr>
      <w:tr w:rsidR="002B20A9" w:rsidRPr="00C86111" w14:paraId="031F9B57" w14:textId="77777777" w:rsidTr="00C97F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3" w:type="dxa"/>
            <w:vMerge/>
            <w:vAlign w:val="center"/>
          </w:tcPr>
          <w:p w14:paraId="3FFAB748"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vAlign w:val="center"/>
          </w:tcPr>
          <w:p w14:paraId="10561C73"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570" w:type="dxa"/>
            <w:vAlign w:val="center"/>
          </w:tcPr>
          <w:p w14:paraId="528E32B4"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401555</w:t>
            </w:r>
          </w:p>
        </w:tc>
        <w:tc>
          <w:tcPr>
            <w:tcW w:w="2224" w:type="dxa"/>
            <w:vAlign w:val="center"/>
          </w:tcPr>
          <w:p w14:paraId="343C15CF"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10000-20000</w:t>
            </w:r>
          </w:p>
        </w:tc>
        <w:tc>
          <w:tcPr>
            <w:tcW w:w="1834" w:type="dxa"/>
            <w:vAlign w:val="center"/>
          </w:tcPr>
          <w:p w14:paraId="001D67B1"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4.0-8.0</w:t>
            </w:r>
          </w:p>
        </w:tc>
      </w:tr>
      <w:tr w:rsidR="002B20A9" w:rsidRPr="00C86111" w14:paraId="039D7C4E" w14:textId="77777777" w:rsidTr="00C97FE5">
        <w:tc>
          <w:tcPr>
            <w:cnfStyle w:val="001000000000" w:firstRow="0" w:lastRow="0" w:firstColumn="1" w:lastColumn="0" w:oddVBand="0" w:evenVBand="0" w:oddHBand="0" w:evenHBand="0" w:firstRowFirstColumn="0" w:firstRowLastColumn="0" w:lastRowFirstColumn="0" w:lastRowLastColumn="0"/>
            <w:tcW w:w="1783" w:type="dxa"/>
            <w:vMerge/>
            <w:vAlign w:val="center"/>
          </w:tcPr>
          <w:p w14:paraId="6E970842"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vAlign w:val="center"/>
          </w:tcPr>
          <w:p w14:paraId="3324C846"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570" w:type="dxa"/>
            <w:vAlign w:val="center"/>
          </w:tcPr>
          <w:p w14:paraId="2523E63F"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612119</w:t>
            </w:r>
          </w:p>
        </w:tc>
        <w:tc>
          <w:tcPr>
            <w:tcW w:w="2224" w:type="dxa"/>
            <w:vAlign w:val="center"/>
          </w:tcPr>
          <w:p w14:paraId="6D44B6EE"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10000-20000</w:t>
            </w:r>
          </w:p>
        </w:tc>
        <w:tc>
          <w:tcPr>
            <w:tcW w:w="1834" w:type="dxa"/>
            <w:vAlign w:val="center"/>
          </w:tcPr>
          <w:p w14:paraId="002AC393"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6.1-12.2</w:t>
            </w:r>
          </w:p>
        </w:tc>
      </w:tr>
      <w:tr w:rsidR="002B20A9" w:rsidRPr="00C86111" w14:paraId="6C1EAC49" w14:textId="77777777" w:rsidTr="00C97F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3" w:type="dxa"/>
            <w:vMerge/>
            <w:vAlign w:val="center"/>
          </w:tcPr>
          <w:p w14:paraId="4BB65BA8"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vAlign w:val="center"/>
          </w:tcPr>
          <w:p w14:paraId="2DE72166"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570" w:type="dxa"/>
            <w:vAlign w:val="center"/>
          </w:tcPr>
          <w:p w14:paraId="16F8FFD4"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553126</w:t>
            </w:r>
          </w:p>
        </w:tc>
        <w:tc>
          <w:tcPr>
            <w:tcW w:w="2224" w:type="dxa"/>
            <w:vAlign w:val="center"/>
          </w:tcPr>
          <w:p w14:paraId="697B1D36"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10000-20000</w:t>
            </w:r>
          </w:p>
        </w:tc>
        <w:tc>
          <w:tcPr>
            <w:tcW w:w="1834" w:type="dxa"/>
            <w:vAlign w:val="center"/>
          </w:tcPr>
          <w:p w14:paraId="331C9F79"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5.5-11.1</w:t>
            </w:r>
          </w:p>
        </w:tc>
      </w:tr>
    </w:tbl>
    <w:p w14:paraId="6FC469B9" w14:textId="77777777" w:rsidR="002B20A9" w:rsidRPr="00C86111" w:rsidRDefault="002B20A9" w:rsidP="002B20A9">
      <w:pPr>
        <w:jc w:val="both"/>
        <w:rPr>
          <w:rFonts w:asciiTheme="minorHAnsi" w:hAnsiTheme="minorHAnsi" w:cstheme="minorHAnsi"/>
          <w:color w:val="auto"/>
        </w:rPr>
      </w:pPr>
    </w:p>
    <w:p w14:paraId="5D18CC20" w14:textId="77777777" w:rsidR="002B20A9" w:rsidRPr="00C86111" w:rsidRDefault="002B20A9" w:rsidP="002B20A9">
      <w:pPr>
        <w:jc w:val="both"/>
        <w:rPr>
          <w:rFonts w:asciiTheme="minorHAnsi" w:hAnsiTheme="minorHAnsi" w:cstheme="minorHAnsi"/>
          <w:color w:val="auto"/>
        </w:rPr>
      </w:pPr>
    </w:p>
    <w:p w14:paraId="1B5BD373" w14:textId="77777777" w:rsidR="002B20A9" w:rsidRPr="00C86111" w:rsidRDefault="002B20A9" w:rsidP="00632BFA">
      <w:pPr>
        <w:jc w:val="center"/>
        <w:rPr>
          <w:rFonts w:asciiTheme="minorHAnsi" w:hAnsiTheme="minorHAnsi" w:cstheme="minorHAnsi"/>
          <w:color w:val="auto"/>
        </w:rPr>
      </w:pPr>
      <w:r w:rsidRPr="00C86111">
        <w:rPr>
          <w:rFonts w:asciiTheme="minorHAnsi" w:hAnsiTheme="minorHAnsi" w:cstheme="minorHAnsi"/>
          <w:noProof/>
          <w:color w:val="auto"/>
        </w:rPr>
        <w:drawing>
          <wp:inline distT="0" distB="0" distL="0" distR="0" wp14:anchorId="0EFE5875" wp14:editId="4E94461D">
            <wp:extent cx="5015230" cy="2043545"/>
            <wp:effectExtent l="0" t="0" r="13970" b="13970"/>
            <wp:docPr id="1" name="Chart 1">
              <a:extLst xmlns:a="http://schemas.openxmlformats.org/drawingml/2006/main">
                <a:ext uri="{FF2B5EF4-FFF2-40B4-BE49-F238E27FC236}">
                  <a16:creationId xmlns:a16="http://schemas.microsoft.com/office/drawing/2014/main" id="{C9312FE5-4B10-D09A-F546-16797B89FD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CCBA4DE" w14:textId="79452A08"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Grafik </w:t>
      </w:r>
      <w:r w:rsidR="00632BFA" w:rsidRPr="00C86111">
        <w:rPr>
          <w:rFonts w:asciiTheme="minorHAnsi" w:hAnsiTheme="minorHAnsi" w:cstheme="minorHAnsi"/>
          <w:b/>
          <w:bCs/>
          <w:color w:val="auto"/>
        </w:rPr>
        <w:t>3</w:t>
      </w:r>
      <w:r w:rsidR="00547278">
        <w:rPr>
          <w:rFonts w:asciiTheme="minorHAnsi" w:hAnsiTheme="minorHAnsi" w:cstheme="minorHAnsi"/>
          <w:b/>
          <w:bCs/>
          <w:color w:val="auto"/>
        </w:rPr>
        <w:t>2</w:t>
      </w:r>
      <w:r w:rsidRPr="00C86111">
        <w:rPr>
          <w:rFonts w:asciiTheme="minorHAnsi" w:hAnsiTheme="minorHAnsi" w:cstheme="minorHAnsi"/>
          <w:b/>
          <w:bCs/>
          <w:color w:val="auto"/>
        </w:rPr>
        <w:t>.</w:t>
      </w:r>
      <w:r w:rsidRPr="00C86111">
        <w:rPr>
          <w:rFonts w:asciiTheme="minorHAnsi" w:hAnsiTheme="minorHAnsi" w:cstheme="minorHAnsi"/>
          <w:color w:val="auto"/>
        </w:rPr>
        <w:t xml:space="preserve"> Maksimalno procijenjena količina PFOS-a u sintetičkim tepisima iz uvoza za period 2017-2023 godina</w:t>
      </w:r>
    </w:p>
    <w:p w14:paraId="1B809412" w14:textId="77777777" w:rsidR="002B20A9" w:rsidRPr="00C86111" w:rsidRDefault="002B20A9" w:rsidP="002B20A9">
      <w:pPr>
        <w:jc w:val="both"/>
        <w:rPr>
          <w:rFonts w:asciiTheme="minorHAnsi" w:hAnsiTheme="minorHAnsi" w:cstheme="minorHAnsi"/>
          <w:color w:val="auto"/>
        </w:rPr>
      </w:pPr>
    </w:p>
    <w:p w14:paraId="2EBD2B97" w14:textId="2EFD7D82"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t xml:space="preserve">Tabela </w:t>
      </w:r>
      <w:r w:rsidR="00632BFA" w:rsidRPr="00C86111">
        <w:rPr>
          <w:rFonts w:asciiTheme="minorHAnsi" w:eastAsia="SimSun" w:hAnsiTheme="minorHAnsi" w:cstheme="minorHAnsi"/>
          <w:b/>
          <w:bCs/>
          <w:color w:val="auto"/>
        </w:rPr>
        <w:t>74</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Količine uvezenog presvučenog i impregniranog papira za period 2017-2023 godina kao i procijenjene količine PFOS-a</w:t>
      </w:r>
    </w:p>
    <w:tbl>
      <w:tblPr>
        <w:tblStyle w:val="GridTable5Dark-Accent6"/>
        <w:tblW w:w="8911" w:type="dxa"/>
        <w:tblLook w:val="04A0" w:firstRow="1" w:lastRow="0" w:firstColumn="1" w:lastColumn="0" w:noHBand="0" w:noVBand="1"/>
      </w:tblPr>
      <w:tblGrid>
        <w:gridCol w:w="1842"/>
        <w:gridCol w:w="1269"/>
        <w:gridCol w:w="1618"/>
        <w:gridCol w:w="2292"/>
        <w:gridCol w:w="1890"/>
      </w:tblGrid>
      <w:tr w:rsidR="002B20A9" w:rsidRPr="00C86111" w14:paraId="6544DDBD" w14:textId="77777777" w:rsidTr="00E718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Align w:val="center"/>
          </w:tcPr>
          <w:p w14:paraId="29222DB8" w14:textId="77777777" w:rsidR="002B20A9" w:rsidRPr="00C86111" w:rsidRDefault="002B20A9" w:rsidP="00E71878">
            <w:pPr>
              <w:jc w:val="center"/>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69" w:type="dxa"/>
            <w:vAlign w:val="center"/>
            <w:hideMark/>
          </w:tcPr>
          <w:p w14:paraId="1F40C1F0"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618" w:type="dxa"/>
            <w:vAlign w:val="center"/>
            <w:hideMark/>
          </w:tcPr>
          <w:p w14:paraId="125CE2B7"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(kg)</w:t>
            </w:r>
          </w:p>
        </w:tc>
        <w:tc>
          <w:tcPr>
            <w:tcW w:w="2292" w:type="dxa"/>
            <w:vAlign w:val="center"/>
          </w:tcPr>
          <w:p w14:paraId="107247BF"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PFOS sadržaj</w:t>
            </w:r>
          </w:p>
          <w:p w14:paraId="0B3725E2"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5DB50B1E"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(mg PFOS/kg proizvoda)</w:t>
            </w:r>
          </w:p>
        </w:tc>
        <w:tc>
          <w:tcPr>
            <w:tcW w:w="1890" w:type="dxa"/>
            <w:vAlign w:val="center"/>
          </w:tcPr>
          <w:p w14:paraId="05786AB3"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PFOS (kg)</w:t>
            </w:r>
          </w:p>
          <w:p w14:paraId="77A1FE9C"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1CB19F9C"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5C3AF88C"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Merge w:val="restart"/>
            <w:vAlign w:val="center"/>
          </w:tcPr>
          <w:p w14:paraId="1DFB9319" w14:textId="77777777" w:rsidR="002B20A9" w:rsidRPr="00C86111" w:rsidRDefault="002B20A9" w:rsidP="00E71878">
            <w:pPr>
              <w:jc w:val="center"/>
              <w:rPr>
                <w:rFonts w:asciiTheme="minorHAnsi" w:hAnsiTheme="minorHAnsi" w:cstheme="minorHAnsi"/>
                <w:color w:val="auto"/>
                <w:sz w:val="20"/>
                <w:szCs w:val="20"/>
              </w:rPr>
            </w:pPr>
            <w:bookmarkStart w:id="319" w:name="_Hlk184060883"/>
            <w:r w:rsidRPr="00C86111">
              <w:rPr>
                <w:rFonts w:asciiTheme="minorHAnsi" w:hAnsiTheme="minorHAnsi" w:cstheme="minorHAnsi"/>
                <w:color w:val="auto"/>
                <w:sz w:val="20"/>
                <w:szCs w:val="20"/>
              </w:rPr>
              <w:t>Presvučeni i impregnirani papir</w:t>
            </w:r>
            <w:bookmarkEnd w:id="319"/>
          </w:p>
        </w:tc>
        <w:tc>
          <w:tcPr>
            <w:tcW w:w="1269" w:type="dxa"/>
            <w:vAlign w:val="center"/>
          </w:tcPr>
          <w:p w14:paraId="5746EE16"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618" w:type="dxa"/>
            <w:vAlign w:val="center"/>
          </w:tcPr>
          <w:p w14:paraId="5728B12F"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45722</w:t>
            </w:r>
          </w:p>
        </w:tc>
        <w:tc>
          <w:tcPr>
            <w:tcW w:w="2292" w:type="dxa"/>
            <w:vAlign w:val="center"/>
          </w:tcPr>
          <w:p w14:paraId="4F224731" w14:textId="00575AE5"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1000 – 10000</w:t>
            </w:r>
          </w:p>
        </w:tc>
        <w:tc>
          <w:tcPr>
            <w:tcW w:w="1890" w:type="dxa"/>
            <w:vAlign w:val="center"/>
          </w:tcPr>
          <w:p w14:paraId="71120AF3"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46-457</w:t>
            </w:r>
          </w:p>
        </w:tc>
      </w:tr>
      <w:tr w:rsidR="002B20A9" w:rsidRPr="00C86111" w14:paraId="7ABF33F7" w14:textId="77777777" w:rsidTr="00E71878">
        <w:tc>
          <w:tcPr>
            <w:cnfStyle w:val="001000000000" w:firstRow="0" w:lastRow="0" w:firstColumn="1" w:lastColumn="0" w:oddVBand="0" w:evenVBand="0" w:oddHBand="0" w:evenHBand="0" w:firstRowFirstColumn="0" w:firstRowLastColumn="0" w:lastRowFirstColumn="0" w:lastRowLastColumn="0"/>
            <w:tcW w:w="1842" w:type="dxa"/>
            <w:vMerge/>
            <w:vAlign w:val="center"/>
          </w:tcPr>
          <w:p w14:paraId="5D5DFED4"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7A060166"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618" w:type="dxa"/>
            <w:vAlign w:val="center"/>
          </w:tcPr>
          <w:p w14:paraId="5370A5F5"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30656</w:t>
            </w:r>
          </w:p>
        </w:tc>
        <w:tc>
          <w:tcPr>
            <w:tcW w:w="2292" w:type="dxa"/>
            <w:vAlign w:val="center"/>
          </w:tcPr>
          <w:p w14:paraId="239B843E" w14:textId="3246C355"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1000 – 10000</w:t>
            </w:r>
          </w:p>
        </w:tc>
        <w:tc>
          <w:tcPr>
            <w:tcW w:w="1890" w:type="dxa"/>
            <w:vAlign w:val="center"/>
          </w:tcPr>
          <w:p w14:paraId="202D0901"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31-307</w:t>
            </w:r>
          </w:p>
        </w:tc>
      </w:tr>
      <w:tr w:rsidR="002B20A9" w:rsidRPr="00C86111" w14:paraId="3CA73ABB"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Merge/>
            <w:vAlign w:val="center"/>
          </w:tcPr>
          <w:p w14:paraId="14398B4F"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7EA223D9"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618" w:type="dxa"/>
            <w:vAlign w:val="center"/>
          </w:tcPr>
          <w:p w14:paraId="2D4626FB"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41251</w:t>
            </w:r>
          </w:p>
        </w:tc>
        <w:tc>
          <w:tcPr>
            <w:tcW w:w="2292" w:type="dxa"/>
            <w:vAlign w:val="center"/>
          </w:tcPr>
          <w:p w14:paraId="77523B6E" w14:textId="5FC059F0"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1000 – 10000</w:t>
            </w:r>
          </w:p>
        </w:tc>
        <w:tc>
          <w:tcPr>
            <w:tcW w:w="1890" w:type="dxa"/>
            <w:vAlign w:val="center"/>
          </w:tcPr>
          <w:p w14:paraId="28BED968"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41-413</w:t>
            </w:r>
          </w:p>
        </w:tc>
      </w:tr>
      <w:tr w:rsidR="002B20A9" w:rsidRPr="00C86111" w14:paraId="671E3E97" w14:textId="77777777" w:rsidTr="00E71878">
        <w:tc>
          <w:tcPr>
            <w:cnfStyle w:val="001000000000" w:firstRow="0" w:lastRow="0" w:firstColumn="1" w:lastColumn="0" w:oddVBand="0" w:evenVBand="0" w:oddHBand="0" w:evenHBand="0" w:firstRowFirstColumn="0" w:firstRowLastColumn="0" w:lastRowFirstColumn="0" w:lastRowLastColumn="0"/>
            <w:tcW w:w="1842" w:type="dxa"/>
            <w:vMerge/>
            <w:vAlign w:val="center"/>
          </w:tcPr>
          <w:p w14:paraId="7684EA80"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64253725"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618" w:type="dxa"/>
            <w:vAlign w:val="center"/>
          </w:tcPr>
          <w:p w14:paraId="02C17005"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36452</w:t>
            </w:r>
          </w:p>
        </w:tc>
        <w:tc>
          <w:tcPr>
            <w:tcW w:w="2292" w:type="dxa"/>
            <w:vAlign w:val="center"/>
          </w:tcPr>
          <w:p w14:paraId="51F320AB" w14:textId="71472E0B"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1000 – 10000</w:t>
            </w:r>
          </w:p>
        </w:tc>
        <w:tc>
          <w:tcPr>
            <w:tcW w:w="1890" w:type="dxa"/>
            <w:vAlign w:val="center"/>
          </w:tcPr>
          <w:p w14:paraId="77392A72"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37-365</w:t>
            </w:r>
          </w:p>
        </w:tc>
      </w:tr>
      <w:tr w:rsidR="002B20A9" w:rsidRPr="00C86111" w14:paraId="05638612"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Merge/>
            <w:vAlign w:val="center"/>
          </w:tcPr>
          <w:p w14:paraId="0E540558"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485DB651"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618" w:type="dxa"/>
            <w:vAlign w:val="center"/>
          </w:tcPr>
          <w:p w14:paraId="4E2827DA"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65478</w:t>
            </w:r>
          </w:p>
        </w:tc>
        <w:tc>
          <w:tcPr>
            <w:tcW w:w="2292" w:type="dxa"/>
            <w:vAlign w:val="center"/>
          </w:tcPr>
          <w:p w14:paraId="758DBBA5" w14:textId="52BE3E60"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1000 – 10000</w:t>
            </w:r>
          </w:p>
        </w:tc>
        <w:tc>
          <w:tcPr>
            <w:tcW w:w="1890" w:type="dxa"/>
            <w:vAlign w:val="center"/>
          </w:tcPr>
          <w:p w14:paraId="5964A6E5"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66-655</w:t>
            </w:r>
          </w:p>
        </w:tc>
      </w:tr>
      <w:tr w:rsidR="002B20A9" w:rsidRPr="00C86111" w14:paraId="6E22F4E6" w14:textId="77777777" w:rsidTr="00E71878">
        <w:tc>
          <w:tcPr>
            <w:cnfStyle w:val="001000000000" w:firstRow="0" w:lastRow="0" w:firstColumn="1" w:lastColumn="0" w:oddVBand="0" w:evenVBand="0" w:oddHBand="0" w:evenHBand="0" w:firstRowFirstColumn="0" w:firstRowLastColumn="0" w:lastRowFirstColumn="0" w:lastRowLastColumn="0"/>
            <w:tcW w:w="1842" w:type="dxa"/>
            <w:vMerge/>
            <w:vAlign w:val="center"/>
          </w:tcPr>
          <w:p w14:paraId="561B2313"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6A1D7521"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618" w:type="dxa"/>
            <w:vAlign w:val="center"/>
          </w:tcPr>
          <w:p w14:paraId="07235C0B"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65819</w:t>
            </w:r>
          </w:p>
        </w:tc>
        <w:tc>
          <w:tcPr>
            <w:tcW w:w="2292" w:type="dxa"/>
            <w:vAlign w:val="center"/>
          </w:tcPr>
          <w:p w14:paraId="728EB86E" w14:textId="676BD5BE"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1000 – 10000</w:t>
            </w:r>
          </w:p>
        </w:tc>
        <w:tc>
          <w:tcPr>
            <w:tcW w:w="1890" w:type="dxa"/>
            <w:vAlign w:val="center"/>
          </w:tcPr>
          <w:p w14:paraId="68465B21"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66-658</w:t>
            </w:r>
          </w:p>
        </w:tc>
      </w:tr>
      <w:tr w:rsidR="002B20A9" w:rsidRPr="00C86111" w14:paraId="3CA199CE"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Merge/>
            <w:vAlign w:val="center"/>
          </w:tcPr>
          <w:p w14:paraId="4E1A1BAE"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5AA4D36D"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618" w:type="dxa"/>
            <w:vAlign w:val="center"/>
          </w:tcPr>
          <w:p w14:paraId="004FE80D"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94606</w:t>
            </w:r>
          </w:p>
        </w:tc>
        <w:tc>
          <w:tcPr>
            <w:tcW w:w="2292" w:type="dxa"/>
            <w:vAlign w:val="center"/>
          </w:tcPr>
          <w:p w14:paraId="1485D9F9" w14:textId="2EF3D74E"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1000 – 10000</w:t>
            </w:r>
          </w:p>
        </w:tc>
        <w:tc>
          <w:tcPr>
            <w:tcW w:w="1890" w:type="dxa"/>
            <w:vAlign w:val="center"/>
          </w:tcPr>
          <w:p w14:paraId="6E07CF1E"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95-946</w:t>
            </w:r>
          </w:p>
        </w:tc>
      </w:tr>
    </w:tbl>
    <w:p w14:paraId="1E965312" w14:textId="77777777" w:rsidR="002B20A9" w:rsidRPr="00C86111" w:rsidRDefault="002B20A9" w:rsidP="002B20A9">
      <w:pPr>
        <w:jc w:val="both"/>
        <w:rPr>
          <w:rFonts w:asciiTheme="minorHAnsi" w:hAnsiTheme="minorHAnsi" w:cstheme="minorHAnsi"/>
          <w:color w:val="auto"/>
        </w:rPr>
      </w:pPr>
    </w:p>
    <w:p w14:paraId="07FDAE36" w14:textId="77777777" w:rsidR="002B20A9" w:rsidRPr="00C86111" w:rsidRDefault="002B20A9" w:rsidP="002B20A9">
      <w:pPr>
        <w:jc w:val="both"/>
        <w:rPr>
          <w:rFonts w:asciiTheme="minorHAnsi" w:hAnsiTheme="minorHAnsi" w:cstheme="minorHAnsi"/>
          <w:color w:val="auto"/>
        </w:rPr>
      </w:pPr>
    </w:p>
    <w:p w14:paraId="2A110AD6"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noProof/>
          <w:color w:val="auto"/>
        </w:rPr>
        <w:lastRenderedPageBreak/>
        <w:drawing>
          <wp:inline distT="0" distB="0" distL="0" distR="0" wp14:anchorId="2952968F" wp14:editId="20ABA6A4">
            <wp:extent cx="4983480" cy="2000250"/>
            <wp:effectExtent l="0" t="0" r="7620" b="0"/>
            <wp:docPr id="11" name="Chart 11">
              <a:extLst xmlns:a="http://schemas.openxmlformats.org/drawingml/2006/main">
                <a:ext uri="{FF2B5EF4-FFF2-40B4-BE49-F238E27FC236}">
                  <a16:creationId xmlns:a16="http://schemas.microsoft.com/office/drawing/2014/main" id="{C89C4A24-EBFB-CB4B-8CF6-263723B292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AD97693" w14:textId="1F2221F9"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Grafik </w:t>
      </w:r>
      <w:r w:rsidR="00632BFA" w:rsidRPr="00C86111">
        <w:rPr>
          <w:rFonts w:asciiTheme="minorHAnsi" w:hAnsiTheme="minorHAnsi" w:cstheme="minorHAnsi"/>
          <w:b/>
          <w:bCs/>
          <w:color w:val="auto"/>
        </w:rPr>
        <w:t>3</w:t>
      </w:r>
      <w:r w:rsidR="00547278">
        <w:rPr>
          <w:rFonts w:asciiTheme="minorHAnsi" w:hAnsiTheme="minorHAnsi" w:cstheme="minorHAnsi"/>
          <w:b/>
          <w:bCs/>
          <w:color w:val="auto"/>
        </w:rPr>
        <w:t>3</w:t>
      </w:r>
      <w:r w:rsidRPr="00C86111">
        <w:rPr>
          <w:rFonts w:asciiTheme="minorHAnsi" w:hAnsiTheme="minorHAnsi" w:cstheme="minorHAnsi"/>
          <w:b/>
          <w:bCs/>
          <w:color w:val="auto"/>
        </w:rPr>
        <w:t>.</w:t>
      </w:r>
      <w:r w:rsidRPr="00C86111">
        <w:rPr>
          <w:rFonts w:asciiTheme="minorHAnsi" w:hAnsiTheme="minorHAnsi" w:cstheme="minorHAnsi"/>
          <w:color w:val="auto"/>
        </w:rPr>
        <w:t xml:space="preserve"> Maksimalno procijenjena količina PFOS-a u </w:t>
      </w:r>
      <w:r w:rsidRPr="00C86111">
        <w:rPr>
          <w:rFonts w:asciiTheme="minorHAnsi" w:eastAsia="SimSun" w:hAnsiTheme="minorHAnsi" w:cstheme="minorHAnsi"/>
          <w:color w:val="auto"/>
        </w:rPr>
        <w:t xml:space="preserve">presvučenom i impregniranog papiru </w:t>
      </w:r>
      <w:r w:rsidRPr="00C86111">
        <w:rPr>
          <w:rFonts w:asciiTheme="minorHAnsi" w:hAnsiTheme="minorHAnsi" w:cstheme="minorHAnsi"/>
          <w:color w:val="auto"/>
        </w:rPr>
        <w:t>iz uvoza za period 2017-2023 godina</w:t>
      </w:r>
    </w:p>
    <w:p w14:paraId="61F394AD" w14:textId="77777777" w:rsidR="00C97FE5" w:rsidRPr="00C86111" w:rsidRDefault="00C97FE5" w:rsidP="002B20A9">
      <w:pPr>
        <w:jc w:val="both"/>
        <w:rPr>
          <w:rFonts w:asciiTheme="minorHAnsi" w:eastAsia="SimSun" w:hAnsiTheme="minorHAnsi" w:cstheme="minorHAnsi"/>
          <w:b/>
          <w:bCs/>
          <w:color w:val="auto"/>
        </w:rPr>
      </w:pPr>
    </w:p>
    <w:p w14:paraId="24E5BB81" w14:textId="6B5811CD"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t xml:space="preserve">Tabela </w:t>
      </w:r>
      <w:r w:rsidR="00632BFA" w:rsidRPr="00C86111">
        <w:rPr>
          <w:rFonts w:asciiTheme="minorHAnsi" w:eastAsia="SimSun" w:hAnsiTheme="minorHAnsi" w:cstheme="minorHAnsi"/>
          <w:b/>
          <w:bCs/>
          <w:color w:val="auto"/>
        </w:rPr>
        <w:t>75</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Količine uvezenog </w:t>
      </w:r>
      <w:bookmarkStart w:id="320" w:name="_Hlk184067629"/>
      <w:r w:rsidRPr="00C86111">
        <w:rPr>
          <w:rFonts w:asciiTheme="minorHAnsi" w:eastAsia="SimSun" w:hAnsiTheme="minorHAnsi" w:cstheme="minorHAnsi"/>
          <w:color w:val="auto"/>
        </w:rPr>
        <w:t xml:space="preserve">impregniranog tekstila </w:t>
      </w:r>
      <w:bookmarkEnd w:id="320"/>
      <w:r w:rsidRPr="00C86111">
        <w:rPr>
          <w:rFonts w:asciiTheme="minorHAnsi" w:eastAsia="SimSun" w:hAnsiTheme="minorHAnsi" w:cstheme="minorHAnsi"/>
          <w:color w:val="auto"/>
        </w:rPr>
        <w:t>za period 2017-2023 godina kao i procijenjene količine PFOS-a</w:t>
      </w:r>
    </w:p>
    <w:tbl>
      <w:tblPr>
        <w:tblStyle w:val="GridTable5Dark-Accent6"/>
        <w:tblW w:w="8906" w:type="dxa"/>
        <w:tblLook w:val="04A0" w:firstRow="1" w:lastRow="0" w:firstColumn="1" w:lastColumn="0" w:noHBand="0" w:noVBand="1"/>
      </w:tblPr>
      <w:tblGrid>
        <w:gridCol w:w="1837"/>
        <w:gridCol w:w="1269"/>
        <w:gridCol w:w="1618"/>
        <w:gridCol w:w="2292"/>
        <w:gridCol w:w="1890"/>
      </w:tblGrid>
      <w:tr w:rsidR="002B20A9" w:rsidRPr="00C86111" w14:paraId="2534204B" w14:textId="77777777" w:rsidTr="00E718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Align w:val="center"/>
          </w:tcPr>
          <w:p w14:paraId="546BFBF3" w14:textId="77777777" w:rsidR="002B20A9" w:rsidRPr="00C86111" w:rsidRDefault="002B20A9" w:rsidP="00E71878">
            <w:pPr>
              <w:jc w:val="center"/>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69" w:type="dxa"/>
            <w:vAlign w:val="center"/>
            <w:hideMark/>
          </w:tcPr>
          <w:p w14:paraId="4DAD87DF"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618" w:type="dxa"/>
            <w:vAlign w:val="center"/>
            <w:hideMark/>
          </w:tcPr>
          <w:p w14:paraId="154253C0"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w:t>
            </w:r>
          </w:p>
        </w:tc>
        <w:tc>
          <w:tcPr>
            <w:tcW w:w="2292" w:type="dxa"/>
            <w:vAlign w:val="center"/>
          </w:tcPr>
          <w:p w14:paraId="2C93A925"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PFOS sadržaj</w:t>
            </w:r>
          </w:p>
          <w:p w14:paraId="37CCB35A"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43096567"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(mg PFOS/m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 xml:space="preserve"> proizvoda)</w:t>
            </w:r>
          </w:p>
        </w:tc>
        <w:tc>
          <w:tcPr>
            <w:tcW w:w="1890" w:type="dxa"/>
            <w:vAlign w:val="center"/>
          </w:tcPr>
          <w:p w14:paraId="5A83F4DC"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PFOS (g)</w:t>
            </w:r>
          </w:p>
          <w:p w14:paraId="135590F7"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54A6FC91"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02108D78"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vAlign w:val="center"/>
          </w:tcPr>
          <w:p w14:paraId="5BC79A03"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Impregnirani tekstil</w:t>
            </w:r>
          </w:p>
          <w:p w14:paraId="136C4AD8" w14:textId="77777777" w:rsidR="002B20A9" w:rsidRPr="00C86111" w:rsidRDefault="002B20A9" w:rsidP="00E71878">
            <w:pPr>
              <w:jc w:val="center"/>
              <w:rPr>
                <w:rFonts w:asciiTheme="minorHAnsi" w:hAnsiTheme="minorHAnsi" w:cstheme="minorHAnsi"/>
                <w:color w:val="auto"/>
                <w:sz w:val="20"/>
                <w:szCs w:val="20"/>
              </w:rPr>
            </w:pPr>
          </w:p>
        </w:tc>
        <w:tc>
          <w:tcPr>
            <w:tcW w:w="1269" w:type="dxa"/>
            <w:vAlign w:val="center"/>
          </w:tcPr>
          <w:p w14:paraId="3C800D92"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618" w:type="dxa"/>
            <w:vAlign w:val="center"/>
          </w:tcPr>
          <w:p w14:paraId="1795705C"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143434</w:t>
            </w:r>
          </w:p>
        </w:tc>
        <w:tc>
          <w:tcPr>
            <w:tcW w:w="2292" w:type="dxa"/>
            <w:vAlign w:val="center"/>
          </w:tcPr>
          <w:p w14:paraId="5B04367D"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4BAB34AC"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0.0-1.43</w:t>
            </w:r>
          </w:p>
        </w:tc>
      </w:tr>
      <w:tr w:rsidR="002B20A9" w:rsidRPr="00C86111" w14:paraId="4A7A2572" w14:textId="77777777" w:rsidTr="00E71878">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500FE60C"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0CF92FB5"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618" w:type="dxa"/>
            <w:vAlign w:val="center"/>
          </w:tcPr>
          <w:p w14:paraId="4EA7F8F6"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384192</w:t>
            </w:r>
          </w:p>
        </w:tc>
        <w:tc>
          <w:tcPr>
            <w:tcW w:w="2292" w:type="dxa"/>
            <w:vAlign w:val="center"/>
          </w:tcPr>
          <w:p w14:paraId="1D06D6C7"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2A6A48DE"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0.0-3.84</w:t>
            </w:r>
          </w:p>
        </w:tc>
      </w:tr>
      <w:tr w:rsidR="002B20A9" w:rsidRPr="00C86111" w14:paraId="7F3B7669"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4AFB541D"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26D6C43D"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618" w:type="dxa"/>
            <w:vAlign w:val="center"/>
          </w:tcPr>
          <w:p w14:paraId="18331AA0"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147286</w:t>
            </w:r>
          </w:p>
        </w:tc>
        <w:tc>
          <w:tcPr>
            <w:tcW w:w="2292" w:type="dxa"/>
            <w:vAlign w:val="center"/>
          </w:tcPr>
          <w:p w14:paraId="7B912405"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0A1FC0FE"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0.0-1.47</w:t>
            </w:r>
          </w:p>
        </w:tc>
      </w:tr>
      <w:tr w:rsidR="002B20A9" w:rsidRPr="00C86111" w14:paraId="52014A80" w14:textId="77777777" w:rsidTr="00E71878">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273A8572"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0B1E1E17"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618" w:type="dxa"/>
            <w:vAlign w:val="center"/>
          </w:tcPr>
          <w:p w14:paraId="1D750A43"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104820</w:t>
            </w:r>
          </w:p>
        </w:tc>
        <w:tc>
          <w:tcPr>
            <w:tcW w:w="2292" w:type="dxa"/>
            <w:vAlign w:val="center"/>
          </w:tcPr>
          <w:p w14:paraId="2E175EC5"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519B6868"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0.0-1.05</w:t>
            </w:r>
          </w:p>
        </w:tc>
      </w:tr>
      <w:tr w:rsidR="002B20A9" w:rsidRPr="00C86111" w14:paraId="6D2DAD90"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1693FFD9"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46CAD829"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618" w:type="dxa"/>
            <w:vAlign w:val="center"/>
          </w:tcPr>
          <w:p w14:paraId="6ED37CCD"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96342</w:t>
            </w:r>
          </w:p>
        </w:tc>
        <w:tc>
          <w:tcPr>
            <w:tcW w:w="2292" w:type="dxa"/>
            <w:vAlign w:val="center"/>
          </w:tcPr>
          <w:p w14:paraId="4267B17E"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1F1113B4"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0.0-0.96</w:t>
            </w:r>
          </w:p>
        </w:tc>
      </w:tr>
      <w:tr w:rsidR="002B20A9" w:rsidRPr="00C86111" w14:paraId="072F2547" w14:textId="77777777" w:rsidTr="00E71878">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0C6870F7"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1DC26CC1"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618" w:type="dxa"/>
            <w:vAlign w:val="center"/>
          </w:tcPr>
          <w:p w14:paraId="46D2E45B"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111311</w:t>
            </w:r>
          </w:p>
        </w:tc>
        <w:tc>
          <w:tcPr>
            <w:tcW w:w="2292" w:type="dxa"/>
            <w:vAlign w:val="center"/>
          </w:tcPr>
          <w:p w14:paraId="238F5266"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4C58D6A4"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0.0-1.11</w:t>
            </w:r>
          </w:p>
        </w:tc>
      </w:tr>
      <w:tr w:rsidR="002B20A9" w:rsidRPr="00C86111" w14:paraId="75337CCF"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36B5C426"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7632B7D9"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618" w:type="dxa"/>
            <w:vAlign w:val="center"/>
          </w:tcPr>
          <w:p w14:paraId="12C3FC11"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117685</w:t>
            </w:r>
          </w:p>
        </w:tc>
        <w:tc>
          <w:tcPr>
            <w:tcW w:w="2292" w:type="dxa"/>
            <w:vAlign w:val="center"/>
          </w:tcPr>
          <w:p w14:paraId="03A9D1F3"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24E80C7A"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0.0-1.18</w:t>
            </w:r>
          </w:p>
        </w:tc>
      </w:tr>
    </w:tbl>
    <w:p w14:paraId="0052FC8A" w14:textId="77777777" w:rsidR="00E71878" w:rsidRPr="00C86111" w:rsidRDefault="00E71878" w:rsidP="002B20A9">
      <w:pPr>
        <w:jc w:val="both"/>
        <w:rPr>
          <w:rFonts w:asciiTheme="minorHAnsi" w:eastAsia="SimSun" w:hAnsiTheme="minorHAnsi" w:cstheme="minorHAnsi"/>
          <w:b/>
          <w:bCs/>
          <w:color w:val="auto"/>
        </w:rPr>
      </w:pPr>
    </w:p>
    <w:p w14:paraId="5347FEE5" w14:textId="119E445E"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t xml:space="preserve">Tabela </w:t>
      </w:r>
      <w:r w:rsidR="00632BFA" w:rsidRPr="00C86111">
        <w:rPr>
          <w:rFonts w:asciiTheme="minorHAnsi" w:eastAsia="SimSun" w:hAnsiTheme="minorHAnsi" w:cstheme="minorHAnsi"/>
          <w:b/>
          <w:bCs/>
          <w:color w:val="auto"/>
        </w:rPr>
        <w:t>76</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Količine uvezene impregnirane odjeće za period 2017-2023 godina kao i procijenjene količine PFOS-a</w:t>
      </w:r>
    </w:p>
    <w:tbl>
      <w:tblPr>
        <w:tblStyle w:val="GridTable5Dark-Accent6"/>
        <w:tblW w:w="8906" w:type="dxa"/>
        <w:tblLook w:val="04A0" w:firstRow="1" w:lastRow="0" w:firstColumn="1" w:lastColumn="0" w:noHBand="0" w:noVBand="1"/>
      </w:tblPr>
      <w:tblGrid>
        <w:gridCol w:w="1837"/>
        <w:gridCol w:w="1269"/>
        <w:gridCol w:w="1618"/>
        <w:gridCol w:w="2292"/>
        <w:gridCol w:w="1890"/>
      </w:tblGrid>
      <w:tr w:rsidR="002B20A9" w:rsidRPr="00C86111" w14:paraId="6AF056DF" w14:textId="77777777" w:rsidTr="00E718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Align w:val="center"/>
          </w:tcPr>
          <w:p w14:paraId="072C16C1" w14:textId="77777777" w:rsidR="002B20A9" w:rsidRPr="00C86111" w:rsidRDefault="002B20A9" w:rsidP="00E71878">
            <w:pPr>
              <w:jc w:val="center"/>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69" w:type="dxa"/>
            <w:vAlign w:val="center"/>
            <w:hideMark/>
          </w:tcPr>
          <w:p w14:paraId="4171A887"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618" w:type="dxa"/>
            <w:vAlign w:val="center"/>
            <w:hideMark/>
          </w:tcPr>
          <w:p w14:paraId="405B28A5"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w:t>
            </w:r>
          </w:p>
        </w:tc>
        <w:tc>
          <w:tcPr>
            <w:tcW w:w="2292" w:type="dxa"/>
            <w:vAlign w:val="center"/>
          </w:tcPr>
          <w:p w14:paraId="04332779"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PFOS sadržaj</w:t>
            </w:r>
          </w:p>
          <w:p w14:paraId="397E0527"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32988BDA"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(mg PFOS/m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 xml:space="preserve"> proizvoda)</w:t>
            </w:r>
          </w:p>
        </w:tc>
        <w:tc>
          <w:tcPr>
            <w:tcW w:w="1890" w:type="dxa"/>
            <w:vAlign w:val="center"/>
          </w:tcPr>
          <w:p w14:paraId="2139E624"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PFOS (g)</w:t>
            </w:r>
          </w:p>
          <w:p w14:paraId="453EB28B"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11545292"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2A69D354"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vAlign w:val="center"/>
          </w:tcPr>
          <w:p w14:paraId="21418CD2"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Impregnirana odjeća</w:t>
            </w:r>
          </w:p>
        </w:tc>
        <w:tc>
          <w:tcPr>
            <w:tcW w:w="1269" w:type="dxa"/>
            <w:vAlign w:val="center"/>
          </w:tcPr>
          <w:p w14:paraId="6AC405AA"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618" w:type="dxa"/>
            <w:vAlign w:val="center"/>
          </w:tcPr>
          <w:p w14:paraId="7D1A3F7E"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22843</w:t>
            </w:r>
          </w:p>
        </w:tc>
        <w:tc>
          <w:tcPr>
            <w:tcW w:w="2292" w:type="dxa"/>
            <w:vAlign w:val="center"/>
          </w:tcPr>
          <w:p w14:paraId="7302C4D3" w14:textId="5B2FD251"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4C45BCD3"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0.0-0.23</w:t>
            </w:r>
          </w:p>
        </w:tc>
      </w:tr>
      <w:tr w:rsidR="002B20A9" w:rsidRPr="00C86111" w14:paraId="6F503721" w14:textId="77777777" w:rsidTr="00E71878">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38DD0DD7"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1368C028"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618" w:type="dxa"/>
            <w:vAlign w:val="center"/>
          </w:tcPr>
          <w:p w14:paraId="34A08A36"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19421</w:t>
            </w:r>
          </w:p>
        </w:tc>
        <w:tc>
          <w:tcPr>
            <w:tcW w:w="2292" w:type="dxa"/>
            <w:vAlign w:val="center"/>
          </w:tcPr>
          <w:p w14:paraId="0DE2FEA1" w14:textId="54A44B63"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584F2521"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0.0-0.19</w:t>
            </w:r>
          </w:p>
        </w:tc>
      </w:tr>
      <w:tr w:rsidR="002B20A9" w:rsidRPr="00C86111" w14:paraId="4C9E2C26"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735FEC83"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420163C9"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618" w:type="dxa"/>
            <w:vAlign w:val="center"/>
          </w:tcPr>
          <w:p w14:paraId="4A5DFC26"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27110</w:t>
            </w:r>
          </w:p>
        </w:tc>
        <w:tc>
          <w:tcPr>
            <w:tcW w:w="2292" w:type="dxa"/>
            <w:vAlign w:val="center"/>
          </w:tcPr>
          <w:p w14:paraId="129F0763" w14:textId="3DECE643"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79EB22AC"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0.0-0.27</w:t>
            </w:r>
          </w:p>
        </w:tc>
      </w:tr>
      <w:tr w:rsidR="002B20A9" w:rsidRPr="00C86111" w14:paraId="61891B5C" w14:textId="77777777" w:rsidTr="00E71878">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6B109DD2"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77837054"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618" w:type="dxa"/>
            <w:vAlign w:val="center"/>
          </w:tcPr>
          <w:p w14:paraId="08794E37"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56777</w:t>
            </w:r>
          </w:p>
        </w:tc>
        <w:tc>
          <w:tcPr>
            <w:tcW w:w="2292" w:type="dxa"/>
            <w:vAlign w:val="center"/>
          </w:tcPr>
          <w:p w14:paraId="30BA45A9" w14:textId="444A7540"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750F2847"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0.0-0.57</w:t>
            </w:r>
          </w:p>
        </w:tc>
      </w:tr>
      <w:tr w:rsidR="002B20A9" w:rsidRPr="00C86111" w14:paraId="41DA24C4"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63EB8418"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5D37673B"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618" w:type="dxa"/>
            <w:vAlign w:val="center"/>
          </w:tcPr>
          <w:p w14:paraId="31802C75"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26008</w:t>
            </w:r>
          </w:p>
        </w:tc>
        <w:tc>
          <w:tcPr>
            <w:tcW w:w="2292" w:type="dxa"/>
            <w:vAlign w:val="center"/>
          </w:tcPr>
          <w:p w14:paraId="1D365F2B" w14:textId="7780FB14"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49EDC638"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0.0-0.26</w:t>
            </w:r>
          </w:p>
        </w:tc>
      </w:tr>
      <w:tr w:rsidR="002B20A9" w:rsidRPr="00C86111" w14:paraId="2D6C398C" w14:textId="77777777" w:rsidTr="00E71878">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68C1458C"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5995FD99"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618" w:type="dxa"/>
            <w:vAlign w:val="center"/>
          </w:tcPr>
          <w:p w14:paraId="6A2ECC71"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22047</w:t>
            </w:r>
          </w:p>
        </w:tc>
        <w:tc>
          <w:tcPr>
            <w:tcW w:w="2292" w:type="dxa"/>
            <w:vAlign w:val="center"/>
          </w:tcPr>
          <w:p w14:paraId="2066008A" w14:textId="2A2D1E83"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042F80C8"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0.0-0.22</w:t>
            </w:r>
          </w:p>
        </w:tc>
      </w:tr>
      <w:tr w:rsidR="002B20A9" w:rsidRPr="00C86111" w14:paraId="146B6A38"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2BE86EE0" w14:textId="77777777" w:rsidR="002B20A9" w:rsidRPr="00C86111" w:rsidRDefault="002B20A9" w:rsidP="00E71878">
            <w:pPr>
              <w:jc w:val="center"/>
              <w:rPr>
                <w:rFonts w:asciiTheme="minorHAnsi" w:eastAsia="Times New Roman" w:hAnsiTheme="minorHAnsi" w:cstheme="minorHAnsi"/>
                <w:color w:val="auto"/>
                <w:sz w:val="20"/>
                <w:szCs w:val="20"/>
              </w:rPr>
            </w:pPr>
          </w:p>
        </w:tc>
        <w:tc>
          <w:tcPr>
            <w:tcW w:w="1269" w:type="dxa"/>
            <w:vAlign w:val="center"/>
          </w:tcPr>
          <w:p w14:paraId="0EF25800"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618" w:type="dxa"/>
            <w:vAlign w:val="center"/>
          </w:tcPr>
          <w:p w14:paraId="0226BC90"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19983</w:t>
            </w:r>
          </w:p>
        </w:tc>
        <w:tc>
          <w:tcPr>
            <w:tcW w:w="2292" w:type="dxa"/>
            <w:vAlign w:val="center"/>
          </w:tcPr>
          <w:p w14:paraId="231C9B82" w14:textId="1FF83EF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90" w:type="dxa"/>
            <w:vAlign w:val="center"/>
          </w:tcPr>
          <w:p w14:paraId="1B8690BD"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0.0-0.20</w:t>
            </w:r>
          </w:p>
        </w:tc>
      </w:tr>
    </w:tbl>
    <w:p w14:paraId="0186E00E" w14:textId="77777777" w:rsidR="002B20A9" w:rsidRPr="00C86111" w:rsidRDefault="002B20A9" w:rsidP="00004F34">
      <w:pPr>
        <w:pStyle w:val="Heading1"/>
        <w:numPr>
          <w:ilvl w:val="1"/>
          <w:numId w:val="238"/>
        </w:numPr>
        <w:rPr>
          <w:lang w:eastAsia="en-GB"/>
        </w:rPr>
      </w:pPr>
      <w:bookmarkStart w:id="321" w:name="_Toc220541941"/>
      <w:r w:rsidRPr="00C86111">
        <w:rPr>
          <w:lang w:eastAsia="en-GB"/>
        </w:rPr>
        <w:t>Zaključak – PFOS u proizvodima na potrošačkom tržištu</w:t>
      </w:r>
      <w:bookmarkEnd w:id="321"/>
    </w:p>
    <w:p w14:paraId="247DD924" w14:textId="77777777" w:rsidR="00632BFA" w:rsidRPr="00C86111" w:rsidRDefault="00632BFA" w:rsidP="002B20A9">
      <w:pPr>
        <w:jc w:val="both"/>
        <w:rPr>
          <w:rFonts w:asciiTheme="minorHAnsi" w:eastAsia="Times New Roman" w:hAnsiTheme="minorHAnsi" w:cstheme="minorHAnsi"/>
          <w:color w:val="auto"/>
          <w:lang w:eastAsia="en-GB"/>
        </w:rPr>
      </w:pPr>
    </w:p>
    <w:p w14:paraId="09E20D0A" w14:textId="0035A169" w:rsidR="002B20A9"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Na osnovu analize podataka o uvozu i procjena sadržaja PFOS-a u različitim vrstama proizvoda, mogu se izvesti sledeći zaključci:</w:t>
      </w:r>
    </w:p>
    <w:p w14:paraId="7112070E" w14:textId="77777777" w:rsidR="00D966EC" w:rsidRDefault="00D966EC" w:rsidP="002B20A9">
      <w:pPr>
        <w:jc w:val="both"/>
        <w:rPr>
          <w:rFonts w:asciiTheme="minorHAnsi" w:eastAsia="Times New Roman" w:hAnsiTheme="minorHAnsi" w:cstheme="minorHAnsi"/>
          <w:color w:val="auto"/>
          <w:lang w:eastAsia="en-GB"/>
        </w:rPr>
      </w:pPr>
    </w:p>
    <w:p w14:paraId="6D1E1BD9" w14:textId="77777777" w:rsidR="00D966EC" w:rsidRPr="00C86111" w:rsidRDefault="00D966EC" w:rsidP="002B20A9">
      <w:pPr>
        <w:jc w:val="both"/>
        <w:rPr>
          <w:rFonts w:asciiTheme="minorHAnsi" w:eastAsia="Times New Roman" w:hAnsiTheme="minorHAnsi" w:cstheme="minorHAnsi"/>
          <w:color w:val="auto"/>
          <w:lang w:eastAsia="en-GB"/>
        </w:rPr>
      </w:pPr>
    </w:p>
    <w:p w14:paraId="401AE7BA" w14:textId="5EA76DA4" w:rsidR="002B20A9" w:rsidRPr="00C86111" w:rsidRDefault="002B20A9" w:rsidP="00D966EC">
      <w:pPr>
        <w:pStyle w:val="Heading4"/>
        <w:spacing w:before="0" w:beforeAutospacing="0" w:after="0" w:afterAutospacing="0"/>
        <w:rPr>
          <w:color w:val="auto"/>
        </w:rPr>
      </w:pPr>
      <w:r w:rsidRPr="00C86111">
        <w:lastRenderedPageBreak/>
        <w:t>Sintetički tepisi</w:t>
      </w:r>
    </w:p>
    <w:p w14:paraId="63389768" w14:textId="77777777" w:rsidR="002B20A9" w:rsidRPr="00C86111" w:rsidRDefault="002B20A9" w:rsidP="00D966EC">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Godišnji uvoz sintetičkih tepiha pokazuje varijacije tokom posmatranog perioda, s izraženim povećanjem količina u 2022. i 2023. godini.</w:t>
      </w:r>
    </w:p>
    <w:p w14:paraId="0D156838"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Procijenjeni sadržaj PFOS-a u ovim proizvodima kreće se u rasponu od 3,4 do 12,2 tone godišnje, što ih čini ubjedljivo najznačajnijim izvorom PFOS-a među potrošačkim dobrima.</w:t>
      </w:r>
    </w:p>
    <w:p w14:paraId="094BF45A" w14:textId="77777777" w:rsidR="002B20A9"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Povećanje obima uvoza direktno korelira sa višim potencijalnim unosom PFOS-a na crnogorsko tržište, a posljedično i u tokove otpada.</w:t>
      </w:r>
    </w:p>
    <w:p w14:paraId="633F65E3" w14:textId="77777777" w:rsidR="00D966EC" w:rsidRPr="00C86111" w:rsidRDefault="00D966EC" w:rsidP="002B20A9">
      <w:pPr>
        <w:jc w:val="both"/>
        <w:rPr>
          <w:rFonts w:asciiTheme="minorHAnsi" w:eastAsia="Times New Roman" w:hAnsiTheme="minorHAnsi" w:cstheme="minorHAnsi"/>
          <w:color w:val="auto"/>
          <w:lang w:eastAsia="en-GB"/>
        </w:rPr>
      </w:pPr>
    </w:p>
    <w:p w14:paraId="41E9E987" w14:textId="238456A1" w:rsidR="002B20A9" w:rsidRPr="00C86111" w:rsidRDefault="002B20A9" w:rsidP="00D966EC">
      <w:pPr>
        <w:pStyle w:val="Heading4"/>
        <w:spacing w:before="0" w:beforeAutospacing="0" w:after="0" w:afterAutospacing="0"/>
      </w:pPr>
      <w:r w:rsidRPr="00C86111">
        <w:t>Premazani i impregnirani papir</w:t>
      </w:r>
    </w:p>
    <w:p w14:paraId="45B0A8CC" w14:textId="77777777" w:rsidR="002B20A9" w:rsidRPr="00C86111" w:rsidRDefault="002B20A9" w:rsidP="00D966EC">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Količina uvezenog premazanog i impregniranog papira pokazuje kontinuiran rast u periodu od 2020. do 2023. godine.</w:t>
      </w:r>
    </w:p>
    <w:p w14:paraId="25488243" w14:textId="77777777" w:rsidR="002B20A9"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Procijenjene količine PFOS-a u ovom materijalu kreću se od nekoliko desetina do nekoliko stotina kilograma godišnje. Ove procjene ukazuju na značajan potencijalni rizik od kontaminacije otpada koji potiče iz ove vrste proizvoda.</w:t>
      </w:r>
    </w:p>
    <w:p w14:paraId="2E157CC8" w14:textId="77777777" w:rsidR="00D966EC" w:rsidRPr="00C86111" w:rsidRDefault="00D966EC" w:rsidP="002B20A9">
      <w:pPr>
        <w:jc w:val="both"/>
        <w:rPr>
          <w:rFonts w:asciiTheme="minorHAnsi" w:eastAsia="Times New Roman" w:hAnsiTheme="minorHAnsi" w:cstheme="minorHAnsi"/>
          <w:color w:val="auto"/>
          <w:lang w:eastAsia="en-GB"/>
        </w:rPr>
      </w:pPr>
    </w:p>
    <w:p w14:paraId="69BA0A3F" w14:textId="42D5412A" w:rsidR="002B20A9" w:rsidRPr="00C86111" w:rsidRDefault="002B20A9" w:rsidP="00D966EC">
      <w:pPr>
        <w:pStyle w:val="Heading4"/>
        <w:spacing w:before="0" w:beforeAutospacing="0" w:after="0" w:afterAutospacing="0"/>
      </w:pPr>
      <w:r w:rsidRPr="00C86111">
        <w:t>Impregnirani tekstil</w:t>
      </w:r>
    </w:p>
    <w:p w14:paraId="2127FEC9" w14:textId="77777777" w:rsidR="002B20A9" w:rsidRPr="00C86111" w:rsidRDefault="002B20A9" w:rsidP="00D966EC">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Impregnirani tekstil pokazuje relativno stabilan godišnji uvoz od 2020. godine, sa manjim fluktuacijama u količinama.</w:t>
      </w:r>
    </w:p>
    <w:p w14:paraId="16662E14" w14:textId="77777777" w:rsidR="002B20A9"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Sadržaj PFOS-a u ovim materijalima procijenjen je kao zanemarljiv, s koncentracijama koje jedva dostižu gornju granicu od 4 grama godišnje, što ukazuje na manji značaj ovog izvora u poređenju sa sintetičkim tepisima i papirom.</w:t>
      </w:r>
    </w:p>
    <w:p w14:paraId="5FB8542F" w14:textId="77777777" w:rsidR="00D966EC" w:rsidRPr="00C86111" w:rsidRDefault="00D966EC" w:rsidP="002B20A9">
      <w:pPr>
        <w:jc w:val="both"/>
        <w:rPr>
          <w:rFonts w:asciiTheme="minorHAnsi" w:eastAsia="Times New Roman" w:hAnsiTheme="minorHAnsi" w:cstheme="minorHAnsi"/>
          <w:color w:val="auto"/>
          <w:lang w:eastAsia="en-GB"/>
        </w:rPr>
      </w:pPr>
    </w:p>
    <w:p w14:paraId="69026C8F" w14:textId="65C978B4" w:rsidR="002B20A9" w:rsidRPr="00C86111" w:rsidRDefault="002B20A9" w:rsidP="00D966EC">
      <w:pPr>
        <w:pStyle w:val="Heading4"/>
        <w:spacing w:before="0" w:beforeAutospacing="0" w:after="0" w:afterAutospacing="0"/>
      </w:pPr>
      <w:r w:rsidRPr="00C86111">
        <w:t>Impregnirana odjeća</w:t>
      </w:r>
    </w:p>
    <w:p w14:paraId="1D0BAC1A" w14:textId="77777777" w:rsidR="002B20A9" w:rsidRPr="00C86111" w:rsidRDefault="002B20A9" w:rsidP="00D966EC">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Uvoz impregnirane odjeće je relativno nizak, a procijenjeni sadržaj PFOS-a ostaje minimalan, svega nekoliko grama godišnje.</w:t>
      </w:r>
    </w:p>
    <w:p w14:paraId="63D6287A" w14:textId="77777777" w:rsidR="002B20A9"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Ova kategorija predstavlja beznačajan rizik po životnu sredinu u poređenju s ostalim analiziranim grupama proizvoda.</w:t>
      </w:r>
    </w:p>
    <w:p w14:paraId="51D6E9F6" w14:textId="77777777" w:rsidR="00D966EC" w:rsidRPr="00C86111" w:rsidRDefault="00D966EC" w:rsidP="002B20A9">
      <w:pPr>
        <w:jc w:val="both"/>
        <w:rPr>
          <w:rFonts w:asciiTheme="minorHAnsi" w:eastAsia="Times New Roman" w:hAnsiTheme="minorHAnsi" w:cstheme="minorHAnsi"/>
          <w:color w:val="auto"/>
          <w:lang w:eastAsia="en-GB"/>
        </w:rPr>
      </w:pPr>
    </w:p>
    <w:p w14:paraId="29DBB1A7"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Važno je naglasiti da su prikazane količine PFOS-a zasnovane na teorijskim proračunima koji koriste međunarodne referentne vrijednosti. Carinski tarifni brojevi nijesu dovoljno detaljni da omoguće preciznu identifikaciju proizvoda koji sadrže PFOS, što znači da rezultati vjerovatno precjenjuju stvarni sadržaj PFOS-a u uvezenoj robi. Ipak, nalazi potvrđuju da sintetički tepisi i impregnirani/premazani papir predstavljaju najznačajnije potrošačke puteve unosa PFOS-a u Crnu Goru. </w:t>
      </w:r>
    </w:p>
    <w:p w14:paraId="6C3B2BA2"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Imajući u vidu perzistentnost, bioakumulativnu prirodu i povezane rizike PFOS-a, neophodno je sprovesti sljedeće mjere kako bi se budući rizici po životnu sredinu i zdravlje ljudi sveli na minimum:</w:t>
      </w:r>
    </w:p>
    <w:p w14:paraId="3505C922" w14:textId="77777777" w:rsidR="002B20A9" w:rsidRPr="00C86111" w:rsidRDefault="002B20A9" w:rsidP="00004F34">
      <w:pPr>
        <w:pStyle w:val="ListParagraph"/>
        <w:numPr>
          <w:ilvl w:val="0"/>
          <w:numId w:val="136"/>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stroži nadzor nad uvozom,</w:t>
      </w:r>
    </w:p>
    <w:p w14:paraId="3A01EAC1" w14:textId="77777777" w:rsidR="002B20A9" w:rsidRPr="00C86111" w:rsidRDefault="002B20A9" w:rsidP="00004F34">
      <w:pPr>
        <w:pStyle w:val="ListParagraph"/>
        <w:numPr>
          <w:ilvl w:val="0"/>
          <w:numId w:val="136"/>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zamjenu proizvoda PFOS-free alternativama, te</w:t>
      </w:r>
    </w:p>
    <w:p w14:paraId="7697B9F0" w14:textId="77777777" w:rsidR="002B20A9" w:rsidRPr="00C86111" w:rsidRDefault="002B20A9" w:rsidP="00004F34">
      <w:pPr>
        <w:pStyle w:val="ListParagraph"/>
        <w:numPr>
          <w:ilvl w:val="0"/>
          <w:numId w:val="136"/>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usklađeno upravljanje i kontrolu u skladu s obavezama koje proizilaze iz propisa EU i Stokholmske konvencije.</w:t>
      </w:r>
    </w:p>
    <w:p w14:paraId="35C5257F" w14:textId="77777777" w:rsidR="002B20A9" w:rsidRPr="00C86111" w:rsidRDefault="002B20A9" w:rsidP="002B20A9">
      <w:pPr>
        <w:pStyle w:val="ListParagraph"/>
        <w:jc w:val="both"/>
        <w:rPr>
          <w:rFonts w:asciiTheme="minorHAnsi" w:eastAsia="Times New Roman" w:hAnsiTheme="minorHAnsi" w:cstheme="minorHAnsi"/>
          <w:color w:val="auto"/>
          <w:lang w:eastAsia="en-GB"/>
        </w:rPr>
      </w:pPr>
    </w:p>
    <w:p w14:paraId="673C55F9" w14:textId="568CCB10" w:rsidR="002B20A9" w:rsidRPr="00C86111" w:rsidRDefault="002B20A9" w:rsidP="00004F34">
      <w:pPr>
        <w:pStyle w:val="Heading1"/>
        <w:numPr>
          <w:ilvl w:val="1"/>
          <w:numId w:val="238"/>
        </w:numPr>
      </w:pPr>
      <w:bookmarkStart w:id="322" w:name="_Toc210632499"/>
      <w:bookmarkStart w:id="323" w:name="_Toc220541942"/>
      <w:r w:rsidRPr="00C86111">
        <w:lastRenderedPageBreak/>
        <w:t xml:space="preserve">Rezultati inventara </w:t>
      </w:r>
      <w:bookmarkStart w:id="324" w:name="_Hlk183635626"/>
      <w:r w:rsidRPr="00C86111">
        <w:t xml:space="preserve">PFOS, njegovih soli i PFOSF </w:t>
      </w:r>
      <w:bookmarkEnd w:id="324"/>
      <w:r w:rsidRPr="00C86111">
        <w:t>u otpadu</w:t>
      </w:r>
      <w:bookmarkEnd w:id="322"/>
      <w:bookmarkEnd w:id="323"/>
    </w:p>
    <w:p w14:paraId="10BB0D53" w14:textId="77777777" w:rsidR="002B20A9" w:rsidRPr="00C86111" w:rsidRDefault="002B20A9" w:rsidP="002B20A9">
      <w:pPr>
        <w:jc w:val="both"/>
        <w:rPr>
          <w:rFonts w:asciiTheme="minorHAnsi" w:eastAsia="SimSun" w:hAnsiTheme="minorHAnsi" w:cstheme="minorHAnsi"/>
          <w:i/>
          <w:iCs/>
          <w:color w:val="002060"/>
        </w:rPr>
      </w:pPr>
    </w:p>
    <w:p w14:paraId="72FAD0C9" w14:textId="7777777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Podaci o količini otpada koji potencijalno može da sadrži</w:t>
      </w:r>
      <w:r w:rsidRPr="00C86111">
        <w:rPr>
          <w:rFonts w:asciiTheme="minorHAnsi" w:hAnsiTheme="minorHAnsi" w:cstheme="minorHAnsi"/>
          <w:color w:val="auto"/>
        </w:rPr>
        <w:t xml:space="preserve"> </w:t>
      </w:r>
      <w:r w:rsidRPr="00C86111">
        <w:rPr>
          <w:rFonts w:asciiTheme="minorHAnsi" w:eastAsia="SimSun" w:hAnsiTheme="minorHAnsi" w:cstheme="minorHAnsi"/>
          <w:color w:val="auto"/>
        </w:rPr>
        <w:t>PFOS, njegove soli i PFOSF, dobijeni su iz statističkih podataka o otpadu Uprave za statistiku Crne Gore – MONSTAT.</w:t>
      </w:r>
    </w:p>
    <w:p w14:paraId="1B28B299" w14:textId="7777777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Ovi podaci dobijeni su statističkim istraživanjama otpada kojim su obuhvaćena sva komunalna preduzeća kojima je Sekretarijat za lokalnu samoupravu dodjelio dozvolu za obavljanje službe sakupljanja i transporta komunalnog otpada; preduzeća koja imaju dozvolu od Agencije za zaštitu životne sredine za sakupljanje i obradu otpada, preduzeća koja upravljaju odlagalištima – deponijama; preduzeća sa 10 i više zaposlenih, čija je osnovna djelatnost definisana u različitim sektorima (poljoprivreda, šumarstvo i ribarstvo; prerađivačka industrija; snabdijevanje vodom, upravljanje otpadnim vodama, kontrolisanje procesa uklanjanja otpada i slične aktivnosti)</w:t>
      </w:r>
    </w:p>
    <w:p w14:paraId="03584990" w14:textId="7777777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Prikupljeni podaci o otpadu, klasifikovani su po grupama otpada, u skladu sa Pravilnikom o klasifikaciji otpada i katalogu otpada („Sl. list Crne Gore“, br. 059/13, 083/16 ) koji je usklađen sa evropskom legislativom o otpadu.</w:t>
      </w:r>
    </w:p>
    <w:p w14:paraId="6D0AD2B5" w14:textId="504229D6"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U tabeli </w:t>
      </w:r>
      <w:r w:rsidR="00632BFA" w:rsidRPr="00C86111">
        <w:rPr>
          <w:rFonts w:asciiTheme="minorHAnsi" w:hAnsiTheme="minorHAnsi" w:cstheme="minorHAnsi"/>
          <w:color w:val="auto"/>
        </w:rPr>
        <w:t>77</w:t>
      </w:r>
      <w:r w:rsidRPr="00C86111">
        <w:rPr>
          <w:rFonts w:asciiTheme="minorHAnsi" w:hAnsiTheme="minorHAnsi" w:cstheme="minorHAnsi"/>
          <w:color w:val="auto"/>
        </w:rPr>
        <w:t xml:space="preserve"> prikazane su količine generisanog otpada prema grupama kataloga otpada, koje potencijalno mogu sa sadrže </w:t>
      </w:r>
      <w:bookmarkStart w:id="325" w:name="_Hlk183676923"/>
      <w:r w:rsidRPr="00C86111">
        <w:rPr>
          <w:rFonts w:asciiTheme="minorHAnsi" w:hAnsiTheme="minorHAnsi" w:cstheme="minorHAnsi"/>
          <w:color w:val="auto"/>
        </w:rPr>
        <w:t>PFOS, njegove soli i PFOSF</w:t>
      </w:r>
      <w:bookmarkEnd w:id="325"/>
      <w:r w:rsidRPr="00C86111">
        <w:rPr>
          <w:rFonts w:asciiTheme="minorHAnsi" w:hAnsiTheme="minorHAnsi" w:cstheme="minorHAnsi"/>
          <w:color w:val="auto"/>
        </w:rPr>
        <w:t xml:space="preserve"> za period 2017-2022 godina.</w:t>
      </w:r>
    </w:p>
    <w:p w14:paraId="2CC7B2E1" w14:textId="36EF2BD8" w:rsidR="00E71878" w:rsidRPr="00C86111" w:rsidRDefault="00E71878" w:rsidP="002B20A9">
      <w:pPr>
        <w:jc w:val="both"/>
        <w:rPr>
          <w:rFonts w:asciiTheme="minorHAnsi" w:hAnsiTheme="minorHAnsi" w:cstheme="minorHAnsi"/>
          <w:color w:val="auto"/>
        </w:rPr>
      </w:pPr>
    </w:p>
    <w:p w14:paraId="30F126EA" w14:textId="55EE36DF"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Tabela </w:t>
      </w:r>
      <w:r w:rsidR="00632BFA" w:rsidRPr="00C86111">
        <w:rPr>
          <w:rFonts w:asciiTheme="minorHAnsi" w:hAnsiTheme="minorHAnsi" w:cstheme="minorHAnsi"/>
          <w:b/>
          <w:bCs/>
          <w:color w:val="auto"/>
        </w:rPr>
        <w:t>77</w:t>
      </w:r>
      <w:r w:rsidRPr="00C86111">
        <w:rPr>
          <w:rFonts w:asciiTheme="minorHAnsi" w:hAnsiTheme="minorHAnsi" w:cstheme="minorHAnsi"/>
          <w:b/>
          <w:bCs/>
          <w:color w:val="auto"/>
        </w:rPr>
        <w:t>.</w:t>
      </w:r>
      <w:r w:rsidRPr="00C86111">
        <w:rPr>
          <w:rFonts w:asciiTheme="minorHAnsi" w:hAnsiTheme="minorHAnsi" w:cstheme="minorHAnsi"/>
          <w:color w:val="auto"/>
        </w:rPr>
        <w:t xml:space="preserve"> Generisane količine otpada po grupama otpada za period 2017-2022 godina</w:t>
      </w:r>
    </w:p>
    <w:tbl>
      <w:tblPr>
        <w:tblStyle w:val="GridTable4-Accent6"/>
        <w:tblW w:w="9634" w:type="dxa"/>
        <w:tblLayout w:type="fixed"/>
        <w:tblLook w:val="0420" w:firstRow="1" w:lastRow="0" w:firstColumn="0" w:lastColumn="0" w:noHBand="0" w:noVBand="1"/>
      </w:tblPr>
      <w:tblGrid>
        <w:gridCol w:w="3681"/>
        <w:gridCol w:w="992"/>
        <w:gridCol w:w="992"/>
        <w:gridCol w:w="992"/>
        <w:gridCol w:w="992"/>
        <w:gridCol w:w="992"/>
        <w:gridCol w:w="993"/>
      </w:tblGrid>
      <w:tr w:rsidR="002B20A9" w:rsidRPr="00C86111" w14:paraId="4699A9A5" w14:textId="77777777" w:rsidTr="00BC765B">
        <w:trPr>
          <w:cnfStyle w:val="100000000000" w:firstRow="1" w:lastRow="0" w:firstColumn="0" w:lastColumn="0" w:oddVBand="0" w:evenVBand="0" w:oddHBand="0" w:evenHBand="0" w:firstRowFirstColumn="0" w:firstRowLastColumn="0" w:lastRowFirstColumn="0" w:lastRowLastColumn="0"/>
          <w:trHeight w:val="584"/>
        </w:trPr>
        <w:tc>
          <w:tcPr>
            <w:tcW w:w="3681" w:type="dxa"/>
            <w:vMerge w:val="restart"/>
            <w:hideMark/>
          </w:tcPr>
          <w:p w14:paraId="66B3A5A7" w14:textId="77777777" w:rsidR="002B20A9" w:rsidRPr="00C86111" w:rsidRDefault="002B20A9" w:rsidP="00BC765B">
            <w:pPr>
              <w:jc w:val="both"/>
              <w:rPr>
                <w:rFonts w:asciiTheme="minorHAnsi" w:hAnsiTheme="minorHAnsi" w:cstheme="minorHAnsi"/>
                <w:b w:val="0"/>
                <w:bCs w:val="0"/>
                <w:color w:val="auto"/>
                <w:sz w:val="20"/>
                <w:szCs w:val="20"/>
              </w:rPr>
            </w:pPr>
          </w:p>
          <w:p w14:paraId="14E6D9D4" w14:textId="77777777" w:rsidR="002B20A9" w:rsidRPr="00C86111" w:rsidRDefault="002B20A9"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Grupa otpada</w:t>
            </w:r>
          </w:p>
        </w:tc>
        <w:tc>
          <w:tcPr>
            <w:tcW w:w="5953" w:type="dxa"/>
            <w:gridSpan w:val="6"/>
          </w:tcPr>
          <w:p w14:paraId="773F4B8A" w14:textId="77777777" w:rsidR="002B20A9" w:rsidRPr="00C86111" w:rsidRDefault="002B20A9" w:rsidP="00E71878">
            <w:pPr>
              <w:jc w:val="center"/>
              <w:rPr>
                <w:rFonts w:asciiTheme="minorHAnsi" w:hAnsiTheme="minorHAnsi" w:cstheme="minorHAnsi"/>
                <w:b w:val="0"/>
                <w:bCs w:val="0"/>
                <w:color w:val="auto"/>
                <w:sz w:val="20"/>
                <w:szCs w:val="20"/>
              </w:rPr>
            </w:pPr>
          </w:p>
          <w:p w14:paraId="5241EFCF" w14:textId="77777777" w:rsidR="002B20A9" w:rsidRPr="00C86111" w:rsidRDefault="002B20A9" w:rsidP="00E71878">
            <w:pPr>
              <w:jc w:val="center"/>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Generisan</w:t>
            </w:r>
            <w:r w:rsidRPr="00C86111">
              <w:rPr>
                <w:rFonts w:asciiTheme="minorHAnsi" w:hAnsiTheme="minorHAnsi" w:cstheme="minorHAnsi"/>
                <w:color w:val="auto"/>
                <w:sz w:val="20"/>
                <w:szCs w:val="20"/>
                <w:lang w:val="sr-Latn-ME"/>
              </w:rPr>
              <w:t xml:space="preserve">e </w:t>
            </w:r>
            <w:r w:rsidRPr="00C86111">
              <w:rPr>
                <w:rFonts w:asciiTheme="minorHAnsi" w:hAnsiTheme="minorHAnsi" w:cstheme="minorHAnsi"/>
                <w:color w:val="auto"/>
                <w:sz w:val="20"/>
                <w:szCs w:val="20"/>
              </w:rPr>
              <w:t>količina otpada (t)</w:t>
            </w:r>
          </w:p>
        </w:tc>
      </w:tr>
      <w:tr w:rsidR="002B20A9" w:rsidRPr="00C86111" w14:paraId="75C48339" w14:textId="77777777" w:rsidTr="00BC765B">
        <w:trPr>
          <w:cnfStyle w:val="000000100000" w:firstRow="0" w:lastRow="0" w:firstColumn="0" w:lastColumn="0" w:oddVBand="0" w:evenVBand="0" w:oddHBand="1" w:evenHBand="0" w:firstRowFirstColumn="0" w:firstRowLastColumn="0" w:lastRowFirstColumn="0" w:lastRowLastColumn="0"/>
          <w:trHeight w:val="377"/>
        </w:trPr>
        <w:tc>
          <w:tcPr>
            <w:tcW w:w="3681" w:type="dxa"/>
            <w:vMerge/>
            <w:hideMark/>
          </w:tcPr>
          <w:p w14:paraId="100E09CB" w14:textId="77777777" w:rsidR="002B20A9" w:rsidRPr="00C86111" w:rsidRDefault="002B20A9" w:rsidP="00BC765B">
            <w:pPr>
              <w:jc w:val="both"/>
              <w:rPr>
                <w:rFonts w:asciiTheme="minorHAnsi" w:hAnsiTheme="minorHAnsi" w:cstheme="minorHAnsi"/>
                <w:color w:val="auto"/>
                <w:sz w:val="20"/>
                <w:szCs w:val="20"/>
              </w:rPr>
            </w:pPr>
          </w:p>
        </w:tc>
        <w:tc>
          <w:tcPr>
            <w:tcW w:w="992" w:type="dxa"/>
            <w:hideMark/>
          </w:tcPr>
          <w:p w14:paraId="059A64F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2017</w:t>
            </w:r>
          </w:p>
        </w:tc>
        <w:tc>
          <w:tcPr>
            <w:tcW w:w="992" w:type="dxa"/>
            <w:hideMark/>
          </w:tcPr>
          <w:p w14:paraId="0F206F17"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2018</w:t>
            </w:r>
          </w:p>
        </w:tc>
        <w:tc>
          <w:tcPr>
            <w:tcW w:w="992" w:type="dxa"/>
          </w:tcPr>
          <w:p w14:paraId="6A527588"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2019</w:t>
            </w:r>
          </w:p>
        </w:tc>
        <w:tc>
          <w:tcPr>
            <w:tcW w:w="992" w:type="dxa"/>
            <w:hideMark/>
          </w:tcPr>
          <w:p w14:paraId="7873DABD"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2020</w:t>
            </w:r>
          </w:p>
        </w:tc>
        <w:tc>
          <w:tcPr>
            <w:tcW w:w="992" w:type="dxa"/>
            <w:hideMark/>
          </w:tcPr>
          <w:p w14:paraId="0F9B79ED"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2021</w:t>
            </w:r>
          </w:p>
        </w:tc>
        <w:tc>
          <w:tcPr>
            <w:tcW w:w="993" w:type="dxa"/>
            <w:hideMark/>
          </w:tcPr>
          <w:p w14:paraId="5AA136E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2022</w:t>
            </w:r>
          </w:p>
        </w:tc>
      </w:tr>
      <w:tr w:rsidR="002B20A9" w:rsidRPr="00C86111" w14:paraId="11AC08F5" w14:textId="77777777" w:rsidTr="00BC765B">
        <w:trPr>
          <w:trHeight w:val="584"/>
        </w:trPr>
        <w:tc>
          <w:tcPr>
            <w:tcW w:w="3681" w:type="dxa"/>
            <w:hideMark/>
          </w:tcPr>
          <w:p w14:paraId="0EEB2835"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08 Otpad od proizvodnje, pripreme, distribucije i upotrebe premaza (boje, lakovi i staklene glazure), ljepila, zaptivača i štamparskih mastila</w:t>
            </w:r>
          </w:p>
        </w:tc>
        <w:tc>
          <w:tcPr>
            <w:tcW w:w="992" w:type="dxa"/>
            <w:hideMark/>
          </w:tcPr>
          <w:p w14:paraId="6E722E87"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13.9</w:t>
            </w:r>
          </w:p>
        </w:tc>
        <w:tc>
          <w:tcPr>
            <w:tcW w:w="992" w:type="dxa"/>
            <w:hideMark/>
          </w:tcPr>
          <w:p w14:paraId="2D6FD081"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18.6</w:t>
            </w:r>
          </w:p>
        </w:tc>
        <w:tc>
          <w:tcPr>
            <w:tcW w:w="992" w:type="dxa"/>
          </w:tcPr>
          <w:p w14:paraId="359EA83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8.0</w:t>
            </w:r>
          </w:p>
        </w:tc>
        <w:tc>
          <w:tcPr>
            <w:tcW w:w="992" w:type="dxa"/>
            <w:hideMark/>
          </w:tcPr>
          <w:p w14:paraId="22A877DD"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13.8</w:t>
            </w:r>
          </w:p>
        </w:tc>
        <w:tc>
          <w:tcPr>
            <w:tcW w:w="992" w:type="dxa"/>
            <w:hideMark/>
          </w:tcPr>
          <w:p w14:paraId="340B1501"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24.1</w:t>
            </w:r>
          </w:p>
        </w:tc>
        <w:tc>
          <w:tcPr>
            <w:tcW w:w="993" w:type="dxa"/>
            <w:hideMark/>
          </w:tcPr>
          <w:p w14:paraId="2831984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9.0</w:t>
            </w:r>
          </w:p>
        </w:tc>
      </w:tr>
      <w:tr w:rsidR="002B20A9" w:rsidRPr="00C86111" w14:paraId="066D2EB3" w14:textId="77777777" w:rsidTr="00BC765B">
        <w:trPr>
          <w:cnfStyle w:val="000000100000" w:firstRow="0" w:lastRow="0" w:firstColumn="0" w:lastColumn="0" w:oddVBand="0" w:evenVBand="0" w:oddHBand="1" w:evenHBand="0" w:firstRowFirstColumn="0" w:firstRowLastColumn="0" w:lastRowFirstColumn="0" w:lastRowLastColumn="0"/>
          <w:trHeight w:val="584"/>
        </w:trPr>
        <w:tc>
          <w:tcPr>
            <w:tcW w:w="3681" w:type="dxa"/>
            <w:hideMark/>
          </w:tcPr>
          <w:p w14:paraId="0FE049B7"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15 Otpad od ambalaže; apsorbenti, krpe za brisanje, materijali za filtriranje i zaštitne tkanine, ako nije drugačije specifikovan</w:t>
            </w:r>
          </w:p>
        </w:tc>
        <w:tc>
          <w:tcPr>
            <w:tcW w:w="992" w:type="dxa"/>
            <w:hideMark/>
          </w:tcPr>
          <w:p w14:paraId="2A78B97D"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4293</w:t>
            </w:r>
          </w:p>
        </w:tc>
        <w:tc>
          <w:tcPr>
            <w:tcW w:w="992" w:type="dxa"/>
            <w:hideMark/>
          </w:tcPr>
          <w:p w14:paraId="7470B93D"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1905</w:t>
            </w:r>
          </w:p>
        </w:tc>
        <w:tc>
          <w:tcPr>
            <w:tcW w:w="992" w:type="dxa"/>
          </w:tcPr>
          <w:p w14:paraId="237F4848"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2585</w:t>
            </w:r>
          </w:p>
        </w:tc>
        <w:tc>
          <w:tcPr>
            <w:tcW w:w="992" w:type="dxa"/>
            <w:hideMark/>
          </w:tcPr>
          <w:p w14:paraId="6504B404"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3117</w:t>
            </w:r>
          </w:p>
        </w:tc>
        <w:tc>
          <w:tcPr>
            <w:tcW w:w="992" w:type="dxa"/>
            <w:hideMark/>
          </w:tcPr>
          <w:p w14:paraId="007AF0B2"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3893</w:t>
            </w:r>
          </w:p>
        </w:tc>
        <w:tc>
          <w:tcPr>
            <w:tcW w:w="993" w:type="dxa"/>
            <w:hideMark/>
          </w:tcPr>
          <w:p w14:paraId="07709E15"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3521</w:t>
            </w:r>
          </w:p>
        </w:tc>
      </w:tr>
      <w:tr w:rsidR="002B20A9" w:rsidRPr="00C86111" w14:paraId="491F4210" w14:textId="77777777" w:rsidTr="00BC765B">
        <w:trPr>
          <w:trHeight w:val="584"/>
        </w:trPr>
        <w:tc>
          <w:tcPr>
            <w:tcW w:w="3681" w:type="dxa"/>
            <w:hideMark/>
          </w:tcPr>
          <w:p w14:paraId="25A5484E"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 Komunalni otpad (kućni otpad i slični komercijalni i industrijski otpad), uključujući odvojeno sakupljene frakcije</w:t>
            </w:r>
          </w:p>
        </w:tc>
        <w:tc>
          <w:tcPr>
            <w:tcW w:w="992" w:type="dxa"/>
            <w:hideMark/>
          </w:tcPr>
          <w:p w14:paraId="50D3AE2A"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30884</w:t>
            </w:r>
            <w:r w:rsidRPr="00C86111">
              <w:rPr>
                <w:rFonts w:asciiTheme="minorHAnsi" w:hAnsiTheme="minorHAnsi" w:cstheme="minorHAnsi"/>
                <w:color w:val="auto"/>
                <w:sz w:val="20"/>
                <w:szCs w:val="20"/>
                <w:lang w:val="sr-Latn-ME"/>
              </w:rPr>
              <w:t>2</w:t>
            </w:r>
          </w:p>
        </w:tc>
        <w:tc>
          <w:tcPr>
            <w:tcW w:w="992" w:type="dxa"/>
            <w:hideMark/>
          </w:tcPr>
          <w:p w14:paraId="63CD70F0"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320883</w:t>
            </w:r>
          </w:p>
        </w:tc>
        <w:tc>
          <w:tcPr>
            <w:tcW w:w="992" w:type="dxa"/>
          </w:tcPr>
          <w:p w14:paraId="5B728A17"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338261</w:t>
            </w:r>
          </w:p>
        </w:tc>
        <w:tc>
          <w:tcPr>
            <w:tcW w:w="992" w:type="dxa"/>
            <w:hideMark/>
          </w:tcPr>
          <w:p w14:paraId="54288B91"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300965</w:t>
            </w:r>
          </w:p>
        </w:tc>
        <w:tc>
          <w:tcPr>
            <w:tcW w:w="992" w:type="dxa"/>
            <w:hideMark/>
          </w:tcPr>
          <w:p w14:paraId="327F1324"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321849</w:t>
            </w:r>
          </w:p>
        </w:tc>
        <w:tc>
          <w:tcPr>
            <w:tcW w:w="993" w:type="dxa"/>
            <w:hideMark/>
          </w:tcPr>
          <w:p w14:paraId="500E2145" w14:textId="77777777" w:rsidR="002B20A9" w:rsidRPr="00C86111" w:rsidRDefault="002B20A9" w:rsidP="00E71878">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332307</w:t>
            </w:r>
          </w:p>
        </w:tc>
      </w:tr>
    </w:tbl>
    <w:p w14:paraId="4F362C2A" w14:textId="77777777" w:rsidR="002B20A9" w:rsidRPr="00C86111" w:rsidRDefault="002B20A9" w:rsidP="002B20A9">
      <w:pPr>
        <w:jc w:val="both"/>
        <w:rPr>
          <w:rFonts w:asciiTheme="minorHAnsi" w:hAnsiTheme="minorHAnsi" w:cstheme="minorHAnsi"/>
          <w:color w:val="auto"/>
        </w:rPr>
      </w:pPr>
    </w:p>
    <w:p w14:paraId="6C49249E"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Analizom dobijenih podataka može se zaključiti da je najveća količina generisanog otpada </w:t>
      </w:r>
      <w:r w:rsidRPr="00C86111">
        <w:rPr>
          <w:rFonts w:asciiTheme="minorHAnsi" w:eastAsia="SimSun" w:hAnsiTheme="minorHAnsi" w:cstheme="minorHAnsi"/>
          <w:color w:val="auto"/>
        </w:rPr>
        <w:t xml:space="preserve">koji potencijalno može da sadrži PFOS, njegove soli i PFOSF </w:t>
      </w:r>
      <w:r w:rsidRPr="00C86111">
        <w:rPr>
          <w:rFonts w:asciiTheme="minorHAnsi" w:hAnsiTheme="minorHAnsi" w:cstheme="minorHAnsi"/>
          <w:color w:val="auto"/>
        </w:rPr>
        <w:t xml:space="preserve">iz grupe otpada 20-komunalni otpad. </w:t>
      </w:r>
    </w:p>
    <w:p w14:paraId="4D0EA7AD"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S obzirom da ne postoji indeksni broj za otpad koji sadrži PFOS, njegove soli i PFOSF, prikazani podaci o generisanim količinama otpada nisu ograničeni samo na otpad koji potencijalno sadrži PFOS, tako da se na osnovu dobijenih podataka ne može tačno utvrditi koliki je udio količine otpada koji potencijalno sadrži PFOS.</w:t>
      </w:r>
    </w:p>
    <w:p w14:paraId="46436F70" w14:textId="2BCBF743"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Međutim, na osnovu podataka o sastavu čvrstog komunalnog otpada, koji su dati u “Državnom planu upravljanja otpadom za period 2024-2028 godina” kao i “</w:t>
      </w:r>
      <w:r w:rsidRPr="00C86111">
        <w:rPr>
          <w:rFonts w:asciiTheme="minorHAnsi" w:hAnsiTheme="minorHAnsi" w:cstheme="minorHAnsi"/>
          <w:color w:val="auto"/>
        </w:rPr>
        <w:t>Državnom planu upravljanja otpadom za period 2015-2020 godina”,</w:t>
      </w:r>
      <w:r w:rsidRPr="00C86111">
        <w:rPr>
          <w:rFonts w:asciiTheme="minorHAnsi" w:eastAsia="SimSun" w:hAnsiTheme="minorHAnsi" w:cstheme="minorHAnsi"/>
          <w:color w:val="auto"/>
        </w:rPr>
        <w:t xml:space="preserve"> gdje su procijenjene količine generisanog otpadnog tekstila i papira/kartona za 2021 godinu, i 2013 godinu, izračunat je potencijalni sadržaj PFOS-a u njima uzimajući u obzir informaciju da je sadržaj tekstila u komunalnom otpadu oko 3% a sadržaj </w:t>
      </w:r>
      <w:r w:rsidRPr="00C86111">
        <w:rPr>
          <w:rFonts w:asciiTheme="minorHAnsi" w:eastAsia="SimSun" w:hAnsiTheme="minorHAnsi" w:cstheme="minorHAnsi"/>
          <w:color w:val="auto"/>
        </w:rPr>
        <w:lastRenderedPageBreak/>
        <w:t xml:space="preserve">papira/kartona oko 15 % i pretpostavljajući da je sastav komunalnog otpada na godišnjem nivou manje više isti (Tabele </w:t>
      </w:r>
      <w:r w:rsidR="00632BFA" w:rsidRPr="00C86111">
        <w:rPr>
          <w:rFonts w:asciiTheme="minorHAnsi" w:eastAsia="SimSun" w:hAnsiTheme="minorHAnsi" w:cstheme="minorHAnsi"/>
          <w:color w:val="auto"/>
        </w:rPr>
        <w:t>78</w:t>
      </w:r>
      <w:r w:rsidRPr="00C86111">
        <w:rPr>
          <w:rFonts w:asciiTheme="minorHAnsi" w:eastAsia="SimSun" w:hAnsiTheme="minorHAnsi" w:cstheme="minorHAnsi"/>
          <w:color w:val="auto"/>
        </w:rPr>
        <w:t>-</w:t>
      </w:r>
      <w:r w:rsidR="00632BFA" w:rsidRPr="00C86111">
        <w:rPr>
          <w:rFonts w:asciiTheme="minorHAnsi" w:eastAsia="SimSun" w:hAnsiTheme="minorHAnsi" w:cstheme="minorHAnsi"/>
          <w:color w:val="auto"/>
        </w:rPr>
        <w:t>79</w:t>
      </w:r>
      <w:r w:rsidRPr="00C86111">
        <w:rPr>
          <w:rFonts w:asciiTheme="minorHAnsi" w:eastAsia="SimSun" w:hAnsiTheme="minorHAnsi" w:cstheme="minorHAnsi"/>
          <w:color w:val="auto"/>
        </w:rPr>
        <w:t xml:space="preserve">). </w:t>
      </w:r>
    </w:p>
    <w:p w14:paraId="2417027E" w14:textId="77777777" w:rsidR="002B20A9" w:rsidRPr="00C86111" w:rsidRDefault="002B20A9" w:rsidP="002B20A9">
      <w:pPr>
        <w:jc w:val="both"/>
        <w:rPr>
          <w:rFonts w:asciiTheme="minorHAnsi" w:hAnsiTheme="minorHAnsi" w:cstheme="minorHAnsi"/>
          <w:color w:val="auto"/>
        </w:rPr>
      </w:pPr>
      <w:r w:rsidRPr="00C86111">
        <w:rPr>
          <w:rFonts w:asciiTheme="minorHAnsi" w:eastAsia="SimSun" w:hAnsiTheme="minorHAnsi" w:cstheme="minorHAnsi"/>
          <w:color w:val="auto"/>
        </w:rPr>
        <w:t xml:space="preserve">Na osnovu prethodno navedenih informacija, zatim informacija o količini generisanog komunalnog otpada na godišnjem nivou, izračunat je potencijalni sadržaj PFOS u otpadnom papiru/kartonu kao i tekstilu </w:t>
      </w:r>
      <w:r w:rsidRPr="00C86111">
        <w:rPr>
          <w:rFonts w:asciiTheme="minorHAnsi" w:hAnsiTheme="minorHAnsi" w:cstheme="minorHAnsi"/>
          <w:color w:val="auto"/>
        </w:rPr>
        <w:t xml:space="preserve">za period 2017-2022 godina. </w:t>
      </w:r>
    </w:p>
    <w:p w14:paraId="21C75758"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hAnsiTheme="minorHAnsi" w:cstheme="minorHAnsi"/>
          <w:color w:val="auto"/>
        </w:rPr>
        <w:t>Za procjenu potencijalnog sadržaja PFOS-a u otpadnom papiru/kartonu, zbog nedostatka informacije o udjelu impregniranog papira/kartona u ukupnom otpadnom papiru/kartonu, pretpostavljeno je da je odnos sličan odnosu količine ukupno uvezenog papira/kartona i količine uvezenog impregniranog papira/kartona</w:t>
      </w:r>
      <w:r w:rsidRPr="00C86111">
        <w:rPr>
          <w:rFonts w:asciiTheme="minorHAnsi" w:eastAsia="Times New Roman" w:hAnsiTheme="minorHAnsi" w:cstheme="minorHAnsi"/>
          <w:color w:val="auto"/>
          <w:lang w:eastAsia="en-GB"/>
        </w:rPr>
        <w:t>, odnosno oko 5%.</w:t>
      </w:r>
    </w:p>
    <w:p w14:paraId="776E8DF4" w14:textId="77777777" w:rsidR="002B20A9" w:rsidRPr="00C86111" w:rsidRDefault="002B20A9" w:rsidP="002B20A9">
      <w:pPr>
        <w:jc w:val="both"/>
        <w:rPr>
          <w:rFonts w:asciiTheme="minorHAnsi" w:eastAsia="Times New Roman" w:hAnsiTheme="minorHAnsi" w:cstheme="minorHAnsi"/>
          <w:color w:val="auto"/>
          <w:lang w:eastAsia="en-GB"/>
        </w:rPr>
      </w:pPr>
    </w:p>
    <w:p w14:paraId="6748B250" w14:textId="74D9BBB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Tabela </w:t>
      </w:r>
      <w:r w:rsidR="00632BFA" w:rsidRPr="00C86111">
        <w:rPr>
          <w:rFonts w:asciiTheme="minorHAnsi" w:hAnsiTheme="minorHAnsi" w:cstheme="minorHAnsi"/>
          <w:b/>
          <w:bCs/>
          <w:color w:val="auto"/>
        </w:rPr>
        <w:t>78</w:t>
      </w:r>
      <w:r w:rsidRPr="00C86111">
        <w:rPr>
          <w:rFonts w:asciiTheme="minorHAnsi" w:hAnsiTheme="minorHAnsi" w:cstheme="minorHAnsi"/>
          <w:b/>
          <w:bCs/>
          <w:color w:val="auto"/>
        </w:rPr>
        <w:t>.</w:t>
      </w:r>
      <w:r w:rsidRPr="00C86111">
        <w:rPr>
          <w:rFonts w:asciiTheme="minorHAnsi" w:hAnsiTheme="minorHAnsi" w:cstheme="minorHAnsi"/>
          <w:color w:val="auto"/>
        </w:rPr>
        <w:t xml:space="preserve"> Potencijalni sadržaj PFOS u generisanom otpadnom papiru/kartonu za period 2017-2022 godina</w:t>
      </w:r>
    </w:p>
    <w:tbl>
      <w:tblPr>
        <w:tblStyle w:val="GridTable5Dark-Accent6"/>
        <w:tblW w:w="9175" w:type="dxa"/>
        <w:tblLook w:val="04A0" w:firstRow="1" w:lastRow="0" w:firstColumn="1" w:lastColumn="0" w:noHBand="0" w:noVBand="1"/>
      </w:tblPr>
      <w:tblGrid>
        <w:gridCol w:w="1559"/>
        <w:gridCol w:w="1701"/>
        <w:gridCol w:w="1727"/>
        <w:gridCol w:w="2238"/>
        <w:gridCol w:w="1950"/>
      </w:tblGrid>
      <w:tr w:rsidR="002B20A9" w:rsidRPr="00C86111" w14:paraId="6D044633" w14:textId="77777777" w:rsidTr="00E71878">
        <w:trPr>
          <w:cnfStyle w:val="100000000000" w:firstRow="1" w:lastRow="0" w:firstColumn="0" w:lastColumn="0" w:oddVBand="0" w:evenVBand="0" w:oddHBand="0"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1559" w:type="dxa"/>
            <w:vAlign w:val="center"/>
            <w:hideMark/>
          </w:tcPr>
          <w:p w14:paraId="38CC7DAC" w14:textId="77777777" w:rsidR="002B20A9" w:rsidRPr="00C86111" w:rsidRDefault="002B20A9" w:rsidP="00BC765B">
            <w:pPr>
              <w:jc w:val="both"/>
              <w:rPr>
                <w:rFonts w:asciiTheme="minorHAnsi" w:hAnsiTheme="minorHAnsi" w:cstheme="minorHAnsi"/>
                <w:color w:val="auto"/>
                <w:sz w:val="20"/>
                <w:szCs w:val="20"/>
              </w:rPr>
            </w:pPr>
          </w:p>
          <w:p w14:paraId="17FDF70B"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Proizvod</w:t>
            </w:r>
          </w:p>
        </w:tc>
        <w:tc>
          <w:tcPr>
            <w:tcW w:w="1701" w:type="dxa"/>
            <w:vAlign w:val="center"/>
            <w:hideMark/>
          </w:tcPr>
          <w:p w14:paraId="04FB2662"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Godina</w:t>
            </w:r>
          </w:p>
        </w:tc>
        <w:tc>
          <w:tcPr>
            <w:tcW w:w="1727" w:type="dxa"/>
            <w:vAlign w:val="center"/>
            <w:hideMark/>
          </w:tcPr>
          <w:p w14:paraId="31FC38B9"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Količina (kg)</w:t>
            </w:r>
          </w:p>
        </w:tc>
        <w:tc>
          <w:tcPr>
            <w:tcW w:w="2238" w:type="dxa"/>
            <w:vAlign w:val="center"/>
            <w:hideMark/>
          </w:tcPr>
          <w:p w14:paraId="3418D0BF"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PFOS sadržaj</w:t>
            </w:r>
          </w:p>
          <w:p w14:paraId="370D0A6D"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Približna vrijednost</w:t>
            </w:r>
          </w:p>
          <w:p w14:paraId="0A55C5AD"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(mg PFOS/kg proizvoda)</w:t>
            </w:r>
          </w:p>
        </w:tc>
        <w:tc>
          <w:tcPr>
            <w:tcW w:w="1950" w:type="dxa"/>
            <w:vAlign w:val="center"/>
            <w:hideMark/>
          </w:tcPr>
          <w:p w14:paraId="178D3BAB"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Količina PFOS (t)</w:t>
            </w:r>
          </w:p>
          <w:p w14:paraId="2036BCFB"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najniža/</w:t>
            </w:r>
          </w:p>
          <w:p w14:paraId="6EFCA2F3" w14:textId="77777777" w:rsidR="002B20A9" w:rsidRPr="00C86111" w:rsidRDefault="002B20A9" w:rsidP="00C97F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63A01CC5" w14:textId="77777777" w:rsidTr="00E71878">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val="restart"/>
            <w:vAlign w:val="center"/>
            <w:hideMark/>
          </w:tcPr>
          <w:p w14:paraId="58061188"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Papir/karton</w:t>
            </w:r>
          </w:p>
        </w:tc>
        <w:tc>
          <w:tcPr>
            <w:tcW w:w="1701" w:type="dxa"/>
            <w:vAlign w:val="center"/>
            <w:hideMark/>
          </w:tcPr>
          <w:p w14:paraId="7BDB63BF"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2017</w:t>
            </w:r>
          </w:p>
        </w:tc>
        <w:tc>
          <w:tcPr>
            <w:tcW w:w="1727" w:type="dxa"/>
            <w:vAlign w:val="center"/>
            <w:hideMark/>
          </w:tcPr>
          <w:p w14:paraId="2A8E9252"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2565211</w:t>
            </w:r>
          </w:p>
        </w:tc>
        <w:tc>
          <w:tcPr>
            <w:tcW w:w="2238" w:type="dxa"/>
            <w:vAlign w:val="center"/>
            <w:hideMark/>
          </w:tcPr>
          <w:p w14:paraId="3A90180D"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1000–10000</w:t>
            </w:r>
          </w:p>
        </w:tc>
        <w:tc>
          <w:tcPr>
            <w:tcW w:w="1950" w:type="dxa"/>
            <w:vAlign w:val="center"/>
          </w:tcPr>
          <w:p w14:paraId="44F77068"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2.6-26</w:t>
            </w:r>
          </w:p>
        </w:tc>
      </w:tr>
      <w:tr w:rsidR="002B20A9" w:rsidRPr="00C86111" w14:paraId="5CADC8E7" w14:textId="77777777" w:rsidTr="00E71878">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vAlign w:val="center"/>
            <w:hideMark/>
          </w:tcPr>
          <w:p w14:paraId="107CAD5A" w14:textId="77777777" w:rsidR="002B20A9" w:rsidRPr="00C86111" w:rsidRDefault="002B20A9" w:rsidP="00BC765B">
            <w:pPr>
              <w:jc w:val="both"/>
              <w:rPr>
                <w:rFonts w:asciiTheme="minorHAnsi" w:hAnsiTheme="minorHAnsi" w:cstheme="minorHAnsi"/>
                <w:color w:val="auto"/>
                <w:sz w:val="20"/>
                <w:szCs w:val="20"/>
              </w:rPr>
            </w:pPr>
          </w:p>
        </w:tc>
        <w:tc>
          <w:tcPr>
            <w:tcW w:w="1701" w:type="dxa"/>
            <w:vAlign w:val="center"/>
            <w:hideMark/>
          </w:tcPr>
          <w:p w14:paraId="1A130BDF"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2018</w:t>
            </w:r>
          </w:p>
        </w:tc>
        <w:tc>
          <w:tcPr>
            <w:tcW w:w="1727" w:type="dxa"/>
            <w:vAlign w:val="center"/>
            <w:hideMark/>
          </w:tcPr>
          <w:p w14:paraId="67BB2A00"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2662113</w:t>
            </w:r>
          </w:p>
        </w:tc>
        <w:tc>
          <w:tcPr>
            <w:tcW w:w="2238" w:type="dxa"/>
            <w:vAlign w:val="center"/>
            <w:hideMark/>
          </w:tcPr>
          <w:p w14:paraId="1247207D"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1000–10000</w:t>
            </w:r>
          </w:p>
        </w:tc>
        <w:tc>
          <w:tcPr>
            <w:tcW w:w="1950" w:type="dxa"/>
            <w:vAlign w:val="center"/>
          </w:tcPr>
          <w:p w14:paraId="4DB610C2"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2.7-27</w:t>
            </w:r>
          </w:p>
        </w:tc>
      </w:tr>
      <w:tr w:rsidR="002B20A9" w:rsidRPr="00C86111" w14:paraId="097F561C" w14:textId="77777777" w:rsidTr="00E71878">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vAlign w:val="center"/>
            <w:hideMark/>
          </w:tcPr>
          <w:p w14:paraId="12012B60" w14:textId="77777777" w:rsidR="002B20A9" w:rsidRPr="00C86111" w:rsidRDefault="002B20A9" w:rsidP="00BC765B">
            <w:pPr>
              <w:jc w:val="both"/>
              <w:rPr>
                <w:rFonts w:asciiTheme="minorHAnsi" w:hAnsiTheme="minorHAnsi" w:cstheme="minorHAnsi"/>
                <w:color w:val="auto"/>
                <w:sz w:val="20"/>
                <w:szCs w:val="20"/>
              </w:rPr>
            </w:pPr>
          </w:p>
        </w:tc>
        <w:tc>
          <w:tcPr>
            <w:tcW w:w="1701" w:type="dxa"/>
            <w:vAlign w:val="center"/>
            <w:hideMark/>
          </w:tcPr>
          <w:p w14:paraId="51E9B31A"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2019</w:t>
            </w:r>
          </w:p>
        </w:tc>
        <w:tc>
          <w:tcPr>
            <w:tcW w:w="1727" w:type="dxa"/>
            <w:vAlign w:val="center"/>
            <w:hideMark/>
          </w:tcPr>
          <w:p w14:paraId="0D88D340"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3066485</w:t>
            </w:r>
          </w:p>
        </w:tc>
        <w:tc>
          <w:tcPr>
            <w:tcW w:w="2238" w:type="dxa"/>
            <w:vAlign w:val="center"/>
            <w:hideMark/>
          </w:tcPr>
          <w:p w14:paraId="551CF9D1"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1000–10000</w:t>
            </w:r>
          </w:p>
        </w:tc>
        <w:tc>
          <w:tcPr>
            <w:tcW w:w="1950" w:type="dxa"/>
            <w:vAlign w:val="center"/>
          </w:tcPr>
          <w:p w14:paraId="53A8B046"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3.1-31</w:t>
            </w:r>
          </w:p>
        </w:tc>
      </w:tr>
      <w:tr w:rsidR="002B20A9" w:rsidRPr="00C86111" w14:paraId="3B60BC83" w14:textId="77777777" w:rsidTr="00E71878">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vAlign w:val="center"/>
            <w:hideMark/>
          </w:tcPr>
          <w:p w14:paraId="75171A21" w14:textId="77777777" w:rsidR="002B20A9" w:rsidRPr="00C86111" w:rsidRDefault="002B20A9" w:rsidP="00BC765B">
            <w:pPr>
              <w:jc w:val="both"/>
              <w:rPr>
                <w:rFonts w:asciiTheme="minorHAnsi" w:hAnsiTheme="minorHAnsi" w:cstheme="minorHAnsi"/>
                <w:color w:val="auto"/>
                <w:sz w:val="20"/>
                <w:szCs w:val="20"/>
              </w:rPr>
            </w:pPr>
          </w:p>
        </w:tc>
        <w:tc>
          <w:tcPr>
            <w:tcW w:w="1701" w:type="dxa"/>
            <w:vAlign w:val="center"/>
            <w:hideMark/>
          </w:tcPr>
          <w:p w14:paraId="12525967"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2020</w:t>
            </w:r>
          </w:p>
        </w:tc>
        <w:tc>
          <w:tcPr>
            <w:tcW w:w="1727" w:type="dxa"/>
            <w:vAlign w:val="center"/>
            <w:hideMark/>
          </w:tcPr>
          <w:p w14:paraId="7C3C902B"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2334628</w:t>
            </w:r>
          </w:p>
        </w:tc>
        <w:tc>
          <w:tcPr>
            <w:tcW w:w="2238" w:type="dxa"/>
            <w:vAlign w:val="center"/>
            <w:hideMark/>
          </w:tcPr>
          <w:p w14:paraId="3A73B3F6"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1000–10000</w:t>
            </w:r>
          </w:p>
        </w:tc>
        <w:tc>
          <w:tcPr>
            <w:tcW w:w="1950" w:type="dxa"/>
            <w:vAlign w:val="center"/>
          </w:tcPr>
          <w:p w14:paraId="03CBC567"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2.3-23</w:t>
            </w:r>
          </w:p>
        </w:tc>
      </w:tr>
      <w:tr w:rsidR="002B20A9" w:rsidRPr="00C86111" w14:paraId="46B9FB5F" w14:textId="77777777" w:rsidTr="00E71878">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vAlign w:val="center"/>
            <w:hideMark/>
          </w:tcPr>
          <w:p w14:paraId="092CBAFF" w14:textId="77777777" w:rsidR="002B20A9" w:rsidRPr="00C86111" w:rsidRDefault="002B20A9" w:rsidP="00BC765B">
            <w:pPr>
              <w:jc w:val="both"/>
              <w:rPr>
                <w:rFonts w:asciiTheme="minorHAnsi" w:hAnsiTheme="minorHAnsi" w:cstheme="minorHAnsi"/>
                <w:color w:val="auto"/>
                <w:sz w:val="20"/>
                <w:szCs w:val="20"/>
              </w:rPr>
            </w:pPr>
          </w:p>
        </w:tc>
        <w:tc>
          <w:tcPr>
            <w:tcW w:w="1701" w:type="dxa"/>
            <w:vAlign w:val="center"/>
            <w:hideMark/>
          </w:tcPr>
          <w:p w14:paraId="140E6E1B"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1727" w:type="dxa"/>
            <w:vAlign w:val="center"/>
            <w:hideMark/>
          </w:tcPr>
          <w:p w14:paraId="08A2AE65"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2168231</w:t>
            </w:r>
          </w:p>
        </w:tc>
        <w:tc>
          <w:tcPr>
            <w:tcW w:w="2238" w:type="dxa"/>
            <w:vAlign w:val="center"/>
            <w:hideMark/>
          </w:tcPr>
          <w:p w14:paraId="64090F16"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1000–10000</w:t>
            </w:r>
          </w:p>
        </w:tc>
        <w:tc>
          <w:tcPr>
            <w:tcW w:w="1950" w:type="dxa"/>
            <w:vAlign w:val="center"/>
          </w:tcPr>
          <w:p w14:paraId="4A94BA40" w14:textId="77777777" w:rsidR="002B20A9" w:rsidRPr="00C86111" w:rsidRDefault="002B20A9" w:rsidP="00C97F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2.2-22</w:t>
            </w:r>
          </w:p>
        </w:tc>
      </w:tr>
      <w:tr w:rsidR="002B20A9" w:rsidRPr="00C86111" w14:paraId="2019B596" w14:textId="77777777" w:rsidTr="00E71878">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vAlign w:val="center"/>
            <w:hideMark/>
          </w:tcPr>
          <w:p w14:paraId="67ED4859" w14:textId="77777777" w:rsidR="002B20A9" w:rsidRPr="00C86111" w:rsidRDefault="002B20A9" w:rsidP="00BC765B">
            <w:pPr>
              <w:jc w:val="both"/>
              <w:rPr>
                <w:rFonts w:asciiTheme="minorHAnsi" w:hAnsiTheme="minorHAnsi" w:cstheme="minorHAnsi"/>
                <w:color w:val="auto"/>
                <w:sz w:val="20"/>
                <w:szCs w:val="20"/>
              </w:rPr>
            </w:pPr>
          </w:p>
        </w:tc>
        <w:tc>
          <w:tcPr>
            <w:tcW w:w="1701" w:type="dxa"/>
            <w:vAlign w:val="center"/>
            <w:hideMark/>
          </w:tcPr>
          <w:p w14:paraId="14FD5A32"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2022</w:t>
            </w:r>
          </w:p>
        </w:tc>
        <w:tc>
          <w:tcPr>
            <w:tcW w:w="1727" w:type="dxa"/>
            <w:vAlign w:val="center"/>
            <w:hideMark/>
          </w:tcPr>
          <w:p w14:paraId="5679FE2A"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2671714</w:t>
            </w:r>
          </w:p>
        </w:tc>
        <w:tc>
          <w:tcPr>
            <w:tcW w:w="2238" w:type="dxa"/>
            <w:vAlign w:val="center"/>
            <w:hideMark/>
          </w:tcPr>
          <w:p w14:paraId="21186E79"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1000–10000</w:t>
            </w:r>
          </w:p>
        </w:tc>
        <w:tc>
          <w:tcPr>
            <w:tcW w:w="1950" w:type="dxa"/>
            <w:vAlign w:val="center"/>
          </w:tcPr>
          <w:p w14:paraId="4152C9EF" w14:textId="77777777" w:rsidR="002B20A9" w:rsidRPr="00C86111" w:rsidRDefault="002B20A9" w:rsidP="00C97FE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2.7-27</w:t>
            </w:r>
          </w:p>
        </w:tc>
      </w:tr>
    </w:tbl>
    <w:p w14:paraId="1557F437" w14:textId="77777777" w:rsidR="002B20A9" w:rsidRPr="00C86111" w:rsidRDefault="002B20A9" w:rsidP="002B20A9">
      <w:pPr>
        <w:jc w:val="both"/>
        <w:rPr>
          <w:rFonts w:asciiTheme="minorHAnsi" w:hAnsiTheme="minorHAnsi" w:cstheme="minorHAnsi"/>
          <w:color w:val="auto"/>
        </w:rPr>
      </w:pPr>
    </w:p>
    <w:p w14:paraId="6A40A8B6" w14:textId="77777777" w:rsidR="002B20A9" w:rsidRPr="00C86111" w:rsidRDefault="002B20A9" w:rsidP="002B20A9">
      <w:pPr>
        <w:jc w:val="both"/>
        <w:rPr>
          <w:rFonts w:asciiTheme="minorHAnsi" w:hAnsiTheme="minorHAnsi" w:cstheme="minorHAnsi"/>
          <w:color w:val="auto"/>
        </w:rPr>
      </w:pPr>
    </w:p>
    <w:p w14:paraId="4D9539F0" w14:textId="5507C3DB"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Tabela </w:t>
      </w:r>
      <w:r w:rsidR="00632BFA" w:rsidRPr="00C86111">
        <w:rPr>
          <w:rFonts w:asciiTheme="minorHAnsi" w:hAnsiTheme="minorHAnsi" w:cstheme="minorHAnsi"/>
          <w:b/>
          <w:bCs/>
          <w:color w:val="auto"/>
        </w:rPr>
        <w:t>79</w:t>
      </w:r>
      <w:r w:rsidRPr="00C86111">
        <w:rPr>
          <w:rFonts w:asciiTheme="minorHAnsi" w:hAnsiTheme="minorHAnsi" w:cstheme="minorHAnsi"/>
          <w:b/>
          <w:bCs/>
          <w:color w:val="auto"/>
        </w:rPr>
        <w:t>.</w:t>
      </w:r>
      <w:r w:rsidRPr="00C86111">
        <w:rPr>
          <w:rFonts w:asciiTheme="minorHAnsi" w:hAnsiTheme="minorHAnsi" w:cstheme="minorHAnsi"/>
          <w:color w:val="auto"/>
        </w:rPr>
        <w:t xml:space="preserve"> Potencijalni sadržaj PFOS u generisanom otpadnom tekstilu za period 2017-2022 godina</w:t>
      </w:r>
      <w:r w:rsidR="00632BFA" w:rsidRPr="00C86111">
        <w:rPr>
          <w:rFonts w:asciiTheme="minorHAnsi" w:hAnsiTheme="minorHAnsi" w:cstheme="minorHAnsi"/>
          <w:color w:val="auto"/>
        </w:rPr>
        <w:t xml:space="preserve"> </w:t>
      </w:r>
    </w:p>
    <w:tbl>
      <w:tblPr>
        <w:tblStyle w:val="GridTable5Dark-Accent6"/>
        <w:tblW w:w="9067" w:type="dxa"/>
        <w:tblLook w:val="04A0" w:firstRow="1" w:lastRow="0" w:firstColumn="1" w:lastColumn="0" w:noHBand="0" w:noVBand="1"/>
      </w:tblPr>
      <w:tblGrid>
        <w:gridCol w:w="1559"/>
        <w:gridCol w:w="1701"/>
        <w:gridCol w:w="1727"/>
        <w:gridCol w:w="2238"/>
        <w:gridCol w:w="1842"/>
      </w:tblGrid>
      <w:tr w:rsidR="002B20A9" w:rsidRPr="00C86111" w14:paraId="5DF2EECA" w14:textId="77777777" w:rsidTr="00BC765B">
        <w:trPr>
          <w:cnfStyle w:val="100000000000" w:firstRow="1" w:lastRow="0" w:firstColumn="0" w:lastColumn="0" w:oddVBand="0" w:evenVBand="0" w:oddHBand="0"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1559" w:type="dxa"/>
            <w:hideMark/>
          </w:tcPr>
          <w:p w14:paraId="593F12FF" w14:textId="77777777" w:rsidR="002B20A9" w:rsidRPr="00C86111" w:rsidRDefault="002B20A9" w:rsidP="00BC765B">
            <w:pPr>
              <w:jc w:val="both"/>
              <w:rPr>
                <w:rFonts w:asciiTheme="minorHAnsi" w:eastAsia="Times New Roman" w:hAnsiTheme="minorHAnsi" w:cstheme="minorHAnsi"/>
                <w:b w:val="0"/>
                <w:bCs w:val="0"/>
                <w:color w:val="auto"/>
                <w:sz w:val="20"/>
                <w:szCs w:val="20"/>
                <w:lang w:val="sr-Latn-ME"/>
              </w:rPr>
            </w:pPr>
          </w:p>
          <w:p w14:paraId="63C89C1F" w14:textId="77777777" w:rsidR="002B20A9" w:rsidRPr="00C86111" w:rsidRDefault="002B20A9" w:rsidP="00BC765B">
            <w:pPr>
              <w:jc w:val="both"/>
              <w:rPr>
                <w:rFonts w:asciiTheme="minorHAnsi" w:eastAsia="Times New Roman" w:hAnsiTheme="minorHAnsi" w:cstheme="minorHAnsi"/>
                <w:b w:val="0"/>
                <w:bCs w:val="0"/>
                <w:color w:val="auto"/>
                <w:sz w:val="20"/>
                <w:szCs w:val="20"/>
                <w:lang w:val="sr-Latn-ME"/>
              </w:rPr>
            </w:pPr>
          </w:p>
          <w:p w14:paraId="221A4926"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val="sr-Latn-ME"/>
              </w:rPr>
              <w:t>Proizvod</w:t>
            </w:r>
          </w:p>
        </w:tc>
        <w:tc>
          <w:tcPr>
            <w:tcW w:w="1701" w:type="dxa"/>
            <w:hideMark/>
          </w:tcPr>
          <w:p w14:paraId="65750241"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val="sr-Latn-ME"/>
              </w:rPr>
              <w:t>Godina</w:t>
            </w:r>
          </w:p>
        </w:tc>
        <w:tc>
          <w:tcPr>
            <w:tcW w:w="1727" w:type="dxa"/>
            <w:hideMark/>
          </w:tcPr>
          <w:p w14:paraId="54E47471"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Količina (m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w:t>
            </w:r>
          </w:p>
        </w:tc>
        <w:tc>
          <w:tcPr>
            <w:tcW w:w="2238" w:type="dxa"/>
            <w:hideMark/>
          </w:tcPr>
          <w:p w14:paraId="5B54046A"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PFOS sadržaj</w:t>
            </w:r>
          </w:p>
          <w:p w14:paraId="413A4FE4"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7517C18E"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(mg PFOS/m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 xml:space="preserve"> proizvoda)</w:t>
            </w:r>
          </w:p>
        </w:tc>
        <w:tc>
          <w:tcPr>
            <w:tcW w:w="1842" w:type="dxa"/>
            <w:hideMark/>
          </w:tcPr>
          <w:p w14:paraId="2B695BB9"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PFOS (kg)</w:t>
            </w:r>
          </w:p>
          <w:p w14:paraId="03F09ADB"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40718472"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1870A162"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val="restart"/>
            <w:hideMark/>
          </w:tcPr>
          <w:p w14:paraId="4BBFB25E"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Tekstil</w:t>
            </w:r>
          </w:p>
        </w:tc>
        <w:tc>
          <w:tcPr>
            <w:tcW w:w="1701" w:type="dxa"/>
            <w:hideMark/>
          </w:tcPr>
          <w:p w14:paraId="142AAB13"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2017</w:t>
            </w:r>
          </w:p>
        </w:tc>
        <w:tc>
          <w:tcPr>
            <w:tcW w:w="1727" w:type="dxa"/>
          </w:tcPr>
          <w:p w14:paraId="43F1B319"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19457033</w:t>
            </w:r>
          </w:p>
        </w:tc>
        <w:tc>
          <w:tcPr>
            <w:tcW w:w="2238" w:type="dxa"/>
          </w:tcPr>
          <w:p w14:paraId="2A708C9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42" w:type="dxa"/>
          </w:tcPr>
          <w:p w14:paraId="3ACE53C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0.0-0.19</w:t>
            </w:r>
          </w:p>
        </w:tc>
      </w:tr>
      <w:tr w:rsidR="002B20A9" w:rsidRPr="00C86111" w14:paraId="453AE028"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33EBE6E6"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7C05C52A"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2018</w:t>
            </w:r>
          </w:p>
        </w:tc>
        <w:tc>
          <w:tcPr>
            <w:tcW w:w="1727" w:type="dxa"/>
          </w:tcPr>
          <w:p w14:paraId="0469E4A2"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20215598</w:t>
            </w:r>
          </w:p>
        </w:tc>
        <w:tc>
          <w:tcPr>
            <w:tcW w:w="2238" w:type="dxa"/>
          </w:tcPr>
          <w:p w14:paraId="6D74BE71"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42" w:type="dxa"/>
          </w:tcPr>
          <w:p w14:paraId="32BAD99B"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0.0-0.20</w:t>
            </w:r>
          </w:p>
        </w:tc>
      </w:tr>
      <w:tr w:rsidR="002B20A9" w:rsidRPr="00C86111" w14:paraId="0652EAA1"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7EB637FE"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2F8F06D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2019</w:t>
            </w:r>
          </w:p>
        </w:tc>
        <w:tc>
          <w:tcPr>
            <w:tcW w:w="1727" w:type="dxa"/>
          </w:tcPr>
          <w:p w14:paraId="1D05E11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21310412</w:t>
            </w:r>
          </w:p>
        </w:tc>
        <w:tc>
          <w:tcPr>
            <w:tcW w:w="2238" w:type="dxa"/>
          </w:tcPr>
          <w:p w14:paraId="0598DC51"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42" w:type="dxa"/>
          </w:tcPr>
          <w:p w14:paraId="5448C24D"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0.0-0.21</w:t>
            </w:r>
          </w:p>
        </w:tc>
      </w:tr>
      <w:tr w:rsidR="002B20A9" w:rsidRPr="00C86111" w14:paraId="5215CBB6"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35FFD01F"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31E0007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2020</w:t>
            </w:r>
          </w:p>
        </w:tc>
        <w:tc>
          <w:tcPr>
            <w:tcW w:w="1727" w:type="dxa"/>
          </w:tcPr>
          <w:p w14:paraId="797FA355"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18960795</w:t>
            </w:r>
          </w:p>
        </w:tc>
        <w:tc>
          <w:tcPr>
            <w:tcW w:w="2238" w:type="dxa"/>
          </w:tcPr>
          <w:p w14:paraId="30A9F19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42" w:type="dxa"/>
          </w:tcPr>
          <w:p w14:paraId="02A6BFB9"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0.0-0.19</w:t>
            </w:r>
          </w:p>
        </w:tc>
      </w:tr>
      <w:tr w:rsidR="002B20A9" w:rsidRPr="00C86111" w14:paraId="16C0D25D"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2934E51B"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6D45FB1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1727" w:type="dxa"/>
          </w:tcPr>
          <w:p w14:paraId="30BDDF9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22589700</w:t>
            </w:r>
          </w:p>
        </w:tc>
        <w:tc>
          <w:tcPr>
            <w:tcW w:w="2238" w:type="dxa"/>
          </w:tcPr>
          <w:p w14:paraId="7F36AB98"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42" w:type="dxa"/>
          </w:tcPr>
          <w:p w14:paraId="6F61D1F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0.0-</w:t>
            </w:r>
            <w:r w:rsidRPr="00C86111">
              <w:rPr>
                <w:rFonts w:asciiTheme="minorHAnsi" w:eastAsia="DengXian" w:hAnsiTheme="minorHAnsi" w:cstheme="minorHAnsi"/>
                <w:color w:val="auto"/>
                <w:kern w:val="24"/>
                <w:sz w:val="20"/>
                <w:szCs w:val="20"/>
                <w:lang w:val="sr-Latn-ME"/>
              </w:rPr>
              <w:t>0</w:t>
            </w:r>
            <w:r w:rsidRPr="00C86111">
              <w:rPr>
                <w:rFonts w:asciiTheme="minorHAnsi" w:eastAsia="DengXian" w:hAnsiTheme="minorHAnsi" w:cstheme="minorHAnsi"/>
                <w:color w:val="auto"/>
                <w:kern w:val="24"/>
                <w:sz w:val="20"/>
                <w:szCs w:val="20"/>
              </w:rPr>
              <w:t>.23</w:t>
            </w:r>
          </w:p>
        </w:tc>
      </w:tr>
      <w:tr w:rsidR="002B20A9" w:rsidRPr="00C86111" w14:paraId="6E8A239E"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7E530755"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524D4801"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2022</w:t>
            </w:r>
          </w:p>
        </w:tc>
        <w:tc>
          <w:tcPr>
            <w:tcW w:w="1727" w:type="dxa"/>
          </w:tcPr>
          <w:p w14:paraId="79D03F94"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20935347</w:t>
            </w:r>
          </w:p>
        </w:tc>
        <w:tc>
          <w:tcPr>
            <w:tcW w:w="2238" w:type="dxa"/>
          </w:tcPr>
          <w:p w14:paraId="4523FC36"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0-0.01</w:t>
            </w:r>
          </w:p>
        </w:tc>
        <w:tc>
          <w:tcPr>
            <w:tcW w:w="1842" w:type="dxa"/>
          </w:tcPr>
          <w:p w14:paraId="108F8FB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0.0-0.21</w:t>
            </w:r>
          </w:p>
        </w:tc>
      </w:tr>
    </w:tbl>
    <w:p w14:paraId="44855C0F" w14:textId="77777777" w:rsidR="002B20A9" w:rsidRDefault="002B20A9" w:rsidP="002B20A9">
      <w:pPr>
        <w:jc w:val="both"/>
        <w:rPr>
          <w:rFonts w:asciiTheme="minorHAnsi" w:hAnsiTheme="minorHAnsi" w:cstheme="minorHAnsi"/>
          <w:color w:val="auto"/>
        </w:rPr>
      </w:pPr>
    </w:p>
    <w:p w14:paraId="1EF95B79" w14:textId="77777777" w:rsidR="00D966EC" w:rsidRDefault="00D966EC" w:rsidP="002B20A9">
      <w:pPr>
        <w:jc w:val="both"/>
        <w:rPr>
          <w:rFonts w:asciiTheme="minorHAnsi" w:hAnsiTheme="minorHAnsi" w:cstheme="minorHAnsi"/>
          <w:color w:val="auto"/>
        </w:rPr>
      </w:pPr>
    </w:p>
    <w:p w14:paraId="5A3F0CF7" w14:textId="77777777" w:rsidR="00D966EC" w:rsidRPr="00C86111" w:rsidRDefault="00D966EC" w:rsidP="002B20A9">
      <w:pPr>
        <w:jc w:val="both"/>
        <w:rPr>
          <w:rFonts w:asciiTheme="minorHAnsi" w:hAnsiTheme="minorHAnsi" w:cstheme="minorHAnsi"/>
          <w:color w:val="auto"/>
        </w:rPr>
      </w:pPr>
    </w:p>
    <w:p w14:paraId="4B29886F" w14:textId="77777777" w:rsidR="002B20A9" w:rsidRPr="00C86111" w:rsidRDefault="002B20A9" w:rsidP="00004F34">
      <w:pPr>
        <w:pStyle w:val="Heading1"/>
        <w:numPr>
          <w:ilvl w:val="1"/>
          <w:numId w:val="238"/>
        </w:numPr>
        <w:rPr>
          <w:lang w:eastAsia="en-GB"/>
        </w:rPr>
      </w:pPr>
      <w:bookmarkStart w:id="326" w:name="_Toc220541943"/>
      <w:r w:rsidRPr="00C86111">
        <w:rPr>
          <w:lang w:eastAsia="en-GB"/>
        </w:rPr>
        <w:lastRenderedPageBreak/>
        <w:t>Zaključak – PFOS u otpadu</w:t>
      </w:r>
      <w:bookmarkEnd w:id="326"/>
    </w:p>
    <w:p w14:paraId="1363F420" w14:textId="77777777" w:rsidR="002B20A9" w:rsidRPr="00C86111" w:rsidRDefault="002B20A9" w:rsidP="002B20A9">
      <w:pPr>
        <w:jc w:val="both"/>
        <w:rPr>
          <w:rFonts w:asciiTheme="minorHAnsi" w:eastAsia="Times New Roman" w:hAnsiTheme="minorHAnsi" w:cstheme="minorHAnsi"/>
          <w:i/>
          <w:iCs/>
          <w:color w:val="002060"/>
          <w:lang w:eastAsia="en-GB"/>
        </w:rPr>
      </w:pPr>
    </w:p>
    <w:p w14:paraId="7C993561"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Sprovedena inventarizacija i statistička procjena tokova otpada u Crnoj Gori za period 2017–2022. godine omogućila je pregled potencijalnog prisustva perfluorooktanske sulfonatne kiseline (PFOS), njenih soli i PFOSF-a unutar nacionalnih tokova upravljanja otpadom. Rezultati pokazuju da najveći udio otpada koji može biti povezan s prisustvom PFOS-a potiče iz sektora komunalnog otpada (grupa otpada 20), koji kontinuirano premašuje 300.000 tona godišnje. Dodatni, iako kvantitativno manji doprinos, dolazi iz kategorija otpada koje se odnose na premaze, ljepila, zaptivne mase i štamparske boje (grupa otpada 08), kao i ambalažu, apsorbente, krpe i filtracione materijale (grupa otpada 15).</w:t>
      </w:r>
    </w:p>
    <w:p w14:paraId="1CA1CE90"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Analiza prikupljenih podataka pokazuje da se procijenjeni sadržaj PFOS-a u otpadu od papira i kartona tokom analiziranog perioda (2017–2022) kretao u rasponu od 2,2 do 31 tone godišnje, uz godišnje oscilacije koje prate ukupne količine generisanog otpada. Za tekstile, procijenjeni sadržaj PFOS-a bio je znatno niži, u rasponu od 0,0 do 0,23 tone godišnje, što je očekivano s obzirom na niži nivo primjene PFOS-a u tekstilnim proizvodima. Ovi rezultati ukazuju na to da potrošački proizvodi, posebno ambalažni materijali, predstavljaju glavni put ulaska PFOS-a u tokove otpada.</w:t>
      </w:r>
    </w:p>
    <w:p w14:paraId="067E3BC3"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Sveukupno, procjena pokazuje da komunalni otpad u Crnoj Gori potencijalno sadrži više tona PFOS-a godišnje, prvenstveno putem frakcija impregniranog papira i kartona, dok su doprinosi iz tekstilnog otpada marginalni. Iako su ove procjene zasnovane na pretpostavkama i ekstrapolacijama dostupnih podataka, one ipak daju realističnu sliku obima mogućeg prisustva PFOS-a u čvrstom otpadu.</w:t>
      </w:r>
    </w:p>
    <w:p w14:paraId="33C76C53"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Dobijeni nalazi ukazuju na nekoliko ključnih činjenica:</w:t>
      </w:r>
    </w:p>
    <w:p w14:paraId="049386BF"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PFOS najvjerovatnije ulazi u tokove otpada putem potrošačkih proizvoda, naročito kroz impregniranu papirnu i kartonsku ambalažu, a u manjoj mjeri i preko tekstila.</w:t>
      </w:r>
      <w:r w:rsidRPr="00C86111">
        <w:rPr>
          <w:rFonts w:asciiTheme="minorHAnsi" w:eastAsia="Times New Roman" w:hAnsiTheme="minorHAnsi" w:cstheme="minorHAnsi"/>
          <w:color w:val="auto"/>
          <w:lang w:eastAsia="en-GB"/>
        </w:rPr>
        <w:br/>
        <w:t>• Postojeći sistemi klasifikacije otpada ne omogućavaju precizno praćenje otpada koji sadrži PFOS, što otežava praćenje, upravljanje i izvještavanje u skladu sa zahtjevima EU i međunarodnih propisa.</w:t>
      </w:r>
      <w:r w:rsidRPr="00C86111">
        <w:rPr>
          <w:rFonts w:asciiTheme="minorHAnsi" w:eastAsia="Times New Roman" w:hAnsiTheme="minorHAnsi" w:cstheme="minorHAnsi"/>
          <w:color w:val="auto"/>
          <w:lang w:eastAsia="en-GB"/>
        </w:rPr>
        <w:br/>
        <w:t>• S obzirom na perzistentnost i toksična svojstva PFOS-a, čak i niske koncentracije u velikim tokovima otpada, kao što je komunalni, predstavljaju dugoročni rizik od kontaminacije životne sredine putem odlaganja na deponijama, spaljivanja ili nastanka procjednih voda.</w:t>
      </w:r>
    </w:p>
    <w:p w14:paraId="2AA4F1A7"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 skladu s tim, postoji jasna potreba za unapređenjem nacionalnih praksi praćenja i upravljanja otpadom koji sadrži PFOS i srodne supstance. To bi trebalo da obuhvati:</w:t>
      </w:r>
    </w:p>
    <w:p w14:paraId="14D76A37"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uvođenje poboljšanih metoda analitičkog ispitivanja i skrininga frakcija otpada s visokim potencijalom za sadržaj PFOS-a,</w:t>
      </w:r>
    </w:p>
    <w:p w14:paraId="27126B97"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ciljane mjere za smanjenje unosa PFOS-a putem uvoznih proizvoda, te</w:t>
      </w:r>
    </w:p>
    <w:p w14:paraId="08B64EC2"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razvoj ekološki prihvatljivih rješenja za odlaganje otpada u skladu sa obavezama iz Stokholmske konvencije i Uredbe EU o postojanim organskim zagađujućim materijama (POPs).</w:t>
      </w:r>
    </w:p>
    <w:p w14:paraId="54F82637"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Ova sveobuhvatna procjena jasno ukazuje da je potrebno sistematsko djelovanje u cilju smanjenja rizika od PFOS-a u otpadu, uz integrisani pristup koji podrazumijeva poboljšanje praćenja, kontrolu izvora i uspostavljanje održivih metoda zbrinjavanja.</w:t>
      </w:r>
    </w:p>
    <w:p w14:paraId="4EDEFF98" w14:textId="77777777" w:rsidR="002B20A9" w:rsidRPr="00C86111" w:rsidRDefault="002B20A9" w:rsidP="002B20A9">
      <w:pPr>
        <w:jc w:val="both"/>
        <w:rPr>
          <w:rFonts w:asciiTheme="minorHAnsi" w:hAnsiTheme="minorHAnsi" w:cstheme="minorHAnsi"/>
          <w:color w:val="auto"/>
        </w:rPr>
      </w:pPr>
    </w:p>
    <w:p w14:paraId="5C004E79" w14:textId="77777777" w:rsidR="002B20A9" w:rsidRPr="00C86111" w:rsidRDefault="002B20A9" w:rsidP="00004F34">
      <w:pPr>
        <w:pStyle w:val="Heading1"/>
        <w:numPr>
          <w:ilvl w:val="1"/>
          <w:numId w:val="238"/>
        </w:numPr>
      </w:pPr>
      <w:bookmarkStart w:id="327" w:name="_Toc210632500"/>
      <w:bookmarkStart w:id="328" w:name="_Toc220541944"/>
      <w:r w:rsidRPr="00C86111">
        <w:rPr>
          <w:rStyle w:val="Strong"/>
        </w:rPr>
        <w:lastRenderedPageBreak/>
        <w:t>Zaključci i preporuke</w:t>
      </w:r>
      <w:bookmarkEnd w:id="327"/>
      <w:bookmarkEnd w:id="328"/>
    </w:p>
    <w:p w14:paraId="36B58E74" w14:textId="77777777" w:rsidR="002B20A9" w:rsidRDefault="002B20A9" w:rsidP="002B20A9">
      <w:pPr>
        <w:jc w:val="both"/>
        <w:rPr>
          <w:rFonts w:asciiTheme="minorHAnsi" w:hAnsiTheme="minorHAnsi" w:cstheme="minorHAnsi"/>
          <w:b/>
          <w:bCs/>
        </w:rPr>
      </w:pPr>
      <w:r w:rsidRPr="00C86111">
        <w:rPr>
          <w:rFonts w:asciiTheme="minorHAnsi" w:hAnsiTheme="minorHAnsi" w:cstheme="minorHAnsi"/>
        </w:rPr>
        <w:t xml:space="preserve">Sveobuhvatna procjena prisustva </w:t>
      </w:r>
      <w:r w:rsidRPr="00C86111">
        <w:rPr>
          <w:rStyle w:val="Strong"/>
          <w:rFonts w:asciiTheme="minorHAnsi" w:hAnsiTheme="minorHAnsi" w:cstheme="minorHAnsi"/>
          <w:b w:val="0"/>
          <w:bCs w:val="0"/>
        </w:rPr>
        <w:t>perfluorooktanske sulfonatne kiseline (PFOS)</w:t>
      </w:r>
      <w:r w:rsidRPr="00C86111">
        <w:rPr>
          <w:rFonts w:asciiTheme="minorHAnsi" w:hAnsiTheme="minorHAnsi" w:cstheme="minorHAnsi"/>
          <w:b/>
          <w:bCs/>
        </w:rPr>
        <w:t>,</w:t>
      </w:r>
      <w:r w:rsidRPr="00C86111">
        <w:rPr>
          <w:rFonts w:asciiTheme="minorHAnsi" w:hAnsiTheme="minorHAnsi" w:cstheme="minorHAnsi"/>
        </w:rPr>
        <w:t xml:space="preserve"> njenih soli i PFOSF-a u Crnoj Gori – kroz protivpožarne pjene, potrošačke proizvode i tokove otpada – pokazuje da, uprkos usklađenom nacionalnom zakonodavstvu sa evropskim okvirom za postojana organska zagađujuća materije (POPs),</w:t>
      </w:r>
      <w:r w:rsidRPr="00C86111">
        <w:rPr>
          <w:rFonts w:asciiTheme="minorHAnsi" w:hAnsiTheme="minorHAnsi" w:cstheme="minorHAnsi"/>
          <w:b/>
          <w:bCs/>
        </w:rPr>
        <w:t xml:space="preserve"> </w:t>
      </w:r>
      <w:r w:rsidRPr="00C86111">
        <w:rPr>
          <w:rStyle w:val="Strong"/>
          <w:rFonts w:asciiTheme="minorHAnsi" w:hAnsiTheme="minorHAnsi" w:cstheme="minorHAnsi"/>
          <w:b w:val="0"/>
          <w:bCs w:val="0"/>
        </w:rPr>
        <w:t>PFOS i dalje postoji u nekoliko ključnih sektora</w:t>
      </w:r>
      <w:r w:rsidRPr="00C86111">
        <w:rPr>
          <w:rFonts w:asciiTheme="minorHAnsi" w:hAnsiTheme="minorHAnsi" w:cstheme="minorHAnsi"/>
          <w:b/>
          <w:bCs/>
        </w:rPr>
        <w:t>.</w:t>
      </w:r>
    </w:p>
    <w:p w14:paraId="62A2D83C" w14:textId="762438DA" w:rsidR="002B20A9" w:rsidRPr="00C86111" w:rsidRDefault="002B20A9" w:rsidP="00D966EC">
      <w:pPr>
        <w:pStyle w:val="Heading4"/>
        <w:spacing w:before="0" w:beforeAutospacing="0" w:after="0" w:afterAutospacing="0"/>
        <w:rPr>
          <w:rStyle w:val="Strong"/>
          <w:b w:val="0"/>
          <w:bCs/>
        </w:rPr>
      </w:pPr>
      <w:r w:rsidRPr="00C86111">
        <w:rPr>
          <w:rStyle w:val="Strong"/>
          <w:b w:val="0"/>
          <w:bCs/>
        </w:rPr>
        <w:t>Protivpožarne pjene</w:t>
      </w:r>
    </w:p>
    <w:p w14:paraId="1C4E4F0A" w14:textId="77777777" w:rsidR="002B20A9" w:rsidRPr="00C86111" w:rsidRDefault="002B20A9" w:rsidP="00D966EC">
      <w:pPr>
        <w:jc w:val="both"/>
      </w:pPr>
      <w:r w:rsidRPr="00C86111">
        <w:t xml:space="preserve">Laboratorijske analize potvrdile su prisustvo PFOS-a u </w:t>
      </w:r>
      <w:r w:rsidRPr="00C86111">
        <w:rPr>
          <w:rStyle w:val="Strong"/>
          <w:rFonts w:asciiTheme="minorHAnsi" w:hAnsiTheme="minorHAnsi" w:cstheme="minorHAnsi"/>
          <w:b w:val="0"/>
          <w:bCs w:val="0"/>
        </w:rPr>
        <w:t>16 od ukupno 41 uzorka</w:t>
      </w:r>
      <w:r w:rsidRPr="00C86111">
        <w:t xml:space="preserve">, od čega su </w:t>
      </w:r>
      <w:r w:rsidRPr="00C86111">
        <w:rPr>
          <w:rStyle w:val="Strong"/>
          <w:rFonts w:asciiTheme="minorHAnsi" w:hAnsiTheme="minorHAnsi" w:cstheme="minorHAnsi"/>
        </w:rPr>
        <w:t xml:space="preserve">3 </w:t>
      </w:r>
      <w:r w:rsidRPr="00C86111">
        <w:rPr>
          <w:rStyle w:val="Strong"/>
          <w:rFonts w:asciiTheme="minorHAnsi" w:hAnsiTheme="minorHAnsi" w:cstheme="minorHAnsi"/>
          <w:b w:val="0"/>
          <w:bCs w:val="0"/>
        </w:rPr>
        <w:t>uzorka premašila zakonski propisane granice</w:t>
      </w:r>
      <w:r w:rsidRPr="00C86111">
        <w:rPr>
          <w:b/>
          <w:bCs/>
        </w:rPr>
        <w:t>.</w:t>
      </w:r>
      <w:r w:rsidRPr="00C86111">
        <w:t xml:space="preserve"> Iako ukupna količina otkrivena u analiziranim pjenama (</w:t>
      </w:r>
      <w:r w:rsidRPr="00C86111">
        <w:rPr>
          <w:rStyle w:val="Strong"/>
          <w:rFonts w:asciiTheme="minorHAnsi" w:hAnsiTheme="minorHAnsi" w:cstheme="minorHAnsi"/>
          <w:b w:val="0"/>
          <w:bCs w:val="0"/>
        </w:rPr>
        <w:t>298 g</w:t>
      </w:r>
      <w:r w:rsidRPr="00C86111">
        <w:rPr>
          <w:b/>
          <w:bCs/>
        </w:rPr>
        <w:t>)</w:t>
      </w:r>
      <w:r w:rsidRPr="00C86111">
        <w:t xml:space="preserve"> može izgledati umjereno, postojanje </w:t>
      </w:r>
      <w:r w:rsidRPr="00C86111">
        <w:rPr>
          <w:rStyle w:val="Strong"/>
          <w:rFonts w:asciiTheme="minorHAnsi" w:hAnsiTheme="minorHAnsi" w:cstheme="minorHAnsi"/>
          <w:b w:val="0"/>
          <w:bCs w:val="0"/>
        </w:rPr>
        <w:t>pjena sa isteklim rokom trajanja (8.725 litara)</w:t>
      </w:r>
      <w:r w:rsidRPr="00C86111">
        <w:t xml:space="preserve"> i zaliha iz ranijih godina predstavlja ozbiljan rizik za životnu sredinu i zdravlje ljudi zbog mogućeg curenja, neadekvatnog korišćenja ili odlaganja. PFOS je naročito prisutan u </w:t>
      </w:r>
      <w:r w:rsidRPr="00C86111">
        <w:rPr>
          <w:rStyle w:val="Strong"/>
          <w:rFonts w:asciiTheme="minorHAnsi" w:hAnsiTheme="minorHAnsi" w:cstheme="minorHAnsi"/>
          <w:b w:val="0"/>
          <w:bCs w:val="0"/>
        </w:rPr>
        <w:t>specijalizovanim vatrogasnim službama</w:t>
      </w:r>
      <w:r w:rsidRPr="00C86111">
        <w:t>, uprkos postojećim zakonskim ograničenjima.</w:t>
      </w:r>
    </w:p>
    <w:p w14:paraId="07861BBC" w14:textId="65690039" w:rsidR="002B20A9" w:rsidRPr="00C86111" w:rsidRDefault="002B20A9" w:rsidP="00D966EC">
      <w:pPr>
        <w:pStyle w:val="Heading4"/>
        <w:spacing w:before="0" w:beforeAutospacing="0" w:after="0" w:afterAutospacing="0"/>
        <w:rPr>
          <w:rStyle w:val="Strong"/>
          <w:b w:val="0"/>
          <w:bCs/>
          <w:i w:val="0"/>
          <w:iCs w:val="0"/>
        </w:rPr>
      </w:pPr>
      <w:r w:rsidRPr="00C86111">
        <w:rPr>
          <w:rStyle w:val="Strong"/>
          <w:b w:val="0"/>
        </w:rPr>
        <w:t>Proizvodi na potrošačkom tržištu</w:t>
      </w:r>
    </w:p>
    <w:p w14:paraId="3EE2A02A" w14:textId="77777777" w:rsidR="002B20A9" w:rsidRPr="00C86111" w:rsidRDefault="002B20A9" w:rsidP="00D966EC">
      <w:pPr>
        <w:jc w:val="both"/>
        <w:rPr>
          <w:rFonts w:asciiTheme="minorHAnsi" w:hAnsiTheme="minorHAnsi" w:cstheme="minorHAnsi"/>
        </w:rPr>
      </w:pPr>
      <w:r w:rsidRPr="00C86111">
        <w:rPr>
          <w:rFonts w:asciiTheme="minorHAnsi" w:hAnsiTheme="minorHAnsi" w:cstheme="minorHAnsi"/>
        </w:rPr>
        <w:t xml:space="preserve">Analiza uvoza pokazuje da </w:t>
      </w:r>
      <w:r w:rsidRPr="00C86111">
        <w:rPr>
          <w:rStyle w:val="Strong"/>
          <w:rFonts w:asciiTheme="minorHAnsi" w:hAnsiTheme="minorHAnsi" w:cstheme="minorHAnsi"/>
          <w:b w:val="0"/>
          <w:bCs w:val="0"/>
        </w:rPr>
        <w:t>sintetički tepisi</w:t>
      </w:r>
      <w:r w:rsidRPr="00C86111">
        <w:rPr>
          <w:rFonts w:asciiTheme="minorHAnsi" w:hAnsiTheme="minorHAnsi" w:cstheme="minorHAnsi"/>
          <w:b/>
          <w:bCs/>
        </w:rPr>
        <w:t xml:space="preserve"> i </w:t>
      </w:r>
      <w:r w:rsidRPr="00C86111">
        <w:rPr>
          <w:rStyle w:val="Strong"/>
          <w:rFonts w:asciiTheme="minorHAnsi" w:hAnsiTheme="minorHAnsi" w:cstheme="minorHAnsi"/>
          <w:b w:val="0"/>
          <w:bCs w:val="0"/>
        </w:rPr>
        <w:t>premazani/impregnirani papir</w:t>
      </w:r>
      <w:r w:rsidRPr="00C86111">
        <w:rPr>
          <w:rFonts w:asciiTheme="minorHAnsi" w:hAnsiTheme="minorHAnsi" w:cstheme="minorHAnsi"/>
        </w:rPr>
        <w:t xml:space="preserve"> predstavljaju </w:t>
      </w:r>
      <w:r w:rsidRPr="00C86111">
        <w:rPr>
          <w:rStyle w:val="Strong"/>
          <w:rFonts w:asciiTheme="minorHAnsi" w:hAnsiTheme="minorHAnsi" w:cstheme="minorHAnsi"/>
          <w:b w:val="0"/>
          <w:bCs w:val="0"/>
        </w:rPr>
        <w:t>dominantne nosioce PFOS-a</w:t>
      </w:r>
      <w:r w:rsidRPr="00C86111">
        <w:rPr>
          <w:rFonts w:asciiTheme="minorHAnsi" w:hAnsiTheme="minorHAnsi" w:cstheme="minorHAnsi"/>
          <w:b/>
          <w:bCs/>
        </w:rPr>
        <w:t>,</w:t>
      </w:r>
      <w:r w:rsidRPr="00C86111">
        <w:rPr>
          <w:rFonts w:asciiTheme="minorHAnsi" w:hAnsiTheme="minorHAnsi" w:cstheme="minorHAnsi"/>
        </w:rPr>
        <w:t xml:space="preserve"> sa procijenjenim godišnjim unosom od </w:t>
      </w:r>
      <w:r w:rsidRPr="00C86111">
        <w:rPr>
          <w:rStyle w:val="Strong"/>
          <w:rFonts w:asciiTheme="minorHAnsi" w:hAnsiTheme="minorHAnsi" w:cstheme="minorHAnsi"/>
          <w:b w:val="0"/>
          <w:bCs w:val="0"/>
        </w:rPr>
        <w:t>nekoliko tona za tepihe</w:t>
      </w:r>
      <w:r w:rsidRPr="00C86111">
        <w:rPr>
          <w:rFonts w:asciiTheme="minorHAnsi" w:hAnsiTheme="minorHAnsi" w:cstheme="minorHAnsi"/>
          <w:b/>
          <w:bCs/>
        </w:rPr>
        <w:t xml:space="preserve"> i </w:t>
      </w:r>
      <w:r w:rsidRPr="00C86111">
        <w:rPr>
          <w:rStyle w:val="Strong"/>
          <w:rFonts w:asciiTheme="minorHAnsi" w:hAnsiTheme="minorHAnsi" w:cstheme="minorHAnsi"/>
          <w:b w:val="0"/>
          <w:bCs w:val="0"/>
        </w:rPr>
        <w:t>nekoliko desetina do stotina kilograma za papir</w:t>
      </w:r>
      <w:r w:rsidRPr="00C86111">
        <w:rPr>
          <w:rFonts w:asciiTheme="minorHAnsi" w:hAnsiTheme="minorHAnsi" w:cstheme="minorHAnsi"/>
          <w:b/>
          <w:bCs/>
        </w:rPr>
        <w:t xml:space="preserve">. </w:t>
      </w:r>
      <w:r w:rsidRPr="00C86111">
        <w:rPr>
          <w:rFonts w:asciiTheme="minorHAnsi" w:hAnsiTheme="minorHAnsi" w:cstheme="minorHAnsi"/>
        </w:rPr>
        <w:t xml:space="preserve">Nasuprot tome, </w:t>
      </w:r>
      <w:r w:rsidRPr="00C86111">
        <w:rPr>
          <w:rStyle w:val="Strong"/>
          <w:rFonts w:asciiTheme="minorHAnsi" w:hAnsiTheme="minorHAnsi" w:cstheme="minorHAnsi"/>
        </w:rPr>
        <w:t>i</w:t>
      </w:r>
      <w:r w:rsidRPr="00C86111">
        <w:rPr>
          <w:rStyle w:val="Strong"/>
          <w:rFonts w:asciiTheme="minorHAnsi" w:hAnsiTheme="minorHAnsi" w:cstheme="minorHAnsi"/>
          <w:b w:val="0"/>
          <w:bCs w:val="0"/>
        </w:rPr>
        <w:t>mpregnirani tekstil i odjeća</w:t>
      </w:r>
      <w:r w:rsidRPr="00C86111">
        <w:rPr>
          <w:rFonts w:asciiTheme="minorHAnsi" w:hAnsiTheme="minorHAnsi" w:cstheme="minorHAnsi"/>
          <w:b/>
          <w:bCs/>
        </w:rPr>
        <w:t xml:space="preserve"> </w:t>
      </w:r>
      <w:r w:rsidRPr="00C86111">
        <w:rPr>
          <w:rFonts w:asciiTheme="minorHAnsi" w:hAnsiTheme="minorHAnsi" w:cstheme="minorHAnsi"/>
        </w:rPr>
        <w:t xml:space="preserve">doprinose zanemarljivim količinama (svega nekoliko grama godišnje). Ovi nalazi potvrđuju da su </w:t>
      </w:r>
      <w:r w:rsidRPr="00C86111">
        <w:rPr>
          <w:rStyle w:val="Strong"/>
          <w:rFonts w:asciiTheme="minorHAnsi" w:hAnsiTheme="minorHAnsi" w:cstheme="minorHAnsi"/>
          <w:b w:val="0"/>
          <w:bCs w:val="0"/>
        </w:rPr>
        <w:t>uvozni proizvodi glavni put ulaska PFOS-a u Crnu Goru</w:t>
      </w:r>
      <w:r w:rsidRPr="00C86111">
        <w:rPr>
          <w:rFonts w:asciiTheme="minorHAnsi" w:hAnsiTheme="minorHAnsi" w:cstheme="minorHAnsi"/>
          <w:b/>
          <w:bCs/>
        </w:rPr>
        <w:t>,</w:t>
      </w:r>
      <w:r w:rsidRPr="00C86111">
        <w:rPr>
          <w:rFonts w:asciiTheme="minorHAnsi" w:hAnsiTheme="minorHAnsi" w:cstheme="minorHAnsi"/>
        </w:rPr>
        <w:t xml:space="preserve"> s direktnim implikacijama na tokove otpada i dugoročno izlaganje životne sredine.</w:t>
      </w:r>
    </w:p>
    <w:p w14:paraId="586167F0" w14:textId="619A71CB" w:rsidR="002B20A9" w:rsidRPr="00C86111" w:rsidRDefault="002B20A9" w:rsidP="00D966EC">
      <w:pPr>
        <w:pStyle w:val="Heading4"/>
        <w:spacing w:before="0" w:beforeAutospacing="0" w:after="0" w:afterAutospacing="0"/>
        <w:rPr>
          <w:rStyle w:val="Strong"/>
          <w:b w:val="0"/>
          <w:bCs/>
          <w:i w:val="0"/>
          <w:iCs w:val="0"/>
        </w:rPr>
      </w:pPr>
      <w:r w:rsidRPr="00C86111">
        <w:rPr>
          <w:rStyle w:val="Strong"/>
          <w:b w:val="0"/>
        </w:rPr>
        <w:t>Tokovi otpada</w:t>
      </w:r>
    </w:p>
    <w:p w14:paraId="2BDD592D" w14:textId="77777777" w:rsidR="002B20A9" w:rsidRPr="00C86111" w:rsidRDefault="002B20A9" w:rsidP="00D966EC">
      <w:pPr>
        <w:jc w:val="both"/>
        <w:rPr>
          <w:rFonts w:asciiTheme="minorHAnsi" w:hAnsiTheme="minorHAnsi" w:cstheme="minorHAnsi"/>
        </w:rPr>
      </w:pPr>
      <w:r w:rsidRPr="00C86111">
        <w:rPr>
          <w:rFonts w:asciiTheme="minorHAnsi" w:hAnsiTheme="minorHAnsi" w:cstheme="minorHAnsi"/>
        </w:rPr>
        <w:t xml:space="preserve">Komunalni otpad, koji premašuje </w:t>
      </w:r>
      <w:r w:rsidRPr="00C86111">
        <w:rPr>
          <w:rStyle w:val="Strong"/>
          <w:rFonts w:asciiTheme="minorHAnsi" w:hAnsiTheme="minorHAnsi" w:cstheme="minorHAnsi"/>
          <w:b w:val="0"/>
          <w:bCs w:val="0"/>
        </w:rPr>
        <w:t>300000 tona godišnje</w:t>
      </w:r>
      <w:r w:rsidRPr="00C86111">
        <w:rPr>
          <w:rFonts w:asciiTheme="minorHAnsi" w:hAnsiTheme="minorHAnsi" w:cstheme="minorHAnsi"/>
        </w:rPr>
        <w:t xml:space="preserve">, predstavlja </w:t>
      </w:r>
      <w:r w:rsidRPr="00C86111">
        <w:rPr>
          <w:rStyle w:val="Strong"/>
          <w:rFonts w:asciiTheme="minorHAnsi" w:hAnsiTheme="minorHAnsi" w:cstheme="minorHAnsi"/>
          <w:b w:val="0"/>
          <w:bCs w:val="0"/>
        </w:rPr>
        <w:t>najveći sektor u kojem se PFOS može akumulirati</w:t>
      </w:r>
      <w:r w:rsidRPr="00C86111">
        <w:rPr>
          <w:rFonts w:asciiTheme="minorHAnsi" w:hAnsiTheme="minorHAnsi" w:cstheme="minorHAnsi"/>
          <w:b/>
          <w:bCs/>
        </w:rPr>
        <w:t>,</w:t>
      </w:r>
      <w:r w:rsidRPr="00C86111">
        <w:rPr>
          <w:rFonts w:asciiTheme="minorHAnsi" w:hAnsiTheme="minorHAnsi" w:cstheme="minorHAnsi"/>
        </w:rPr>
        <w:t xml:space="preserve"> naročito kroz frakcije impregniranog papira i kartona </w:t>
      </w:r>
      <w:r w:rsidRPr="00C86111">
        <w:rPr>
          <w:rFonts w:asciiTheme="minorHAnsi" w:hAnsiTheme="minorHAnsi" w:cstheme="minorHAnsi"/>
          <w:b/>
          <w:bCs/>
        </w:rPr>
        <w:t>(</w:t>
      </w:r>
      <w:r w:rsidRPr="00C86111">
        <w:rPr>
          <w:rStyle w:val="Strong"/>
          <w:rFonts w:asciiTheme="minorHAnsi" w:hAnsiTheme="minorHAnsi" w:cstheme="minorHAnsi"/>
          <w:b w:val="0"/>
          <w:bCs w:val="0"/>
        </w:rPr>
        <w:t>2,2–31 tona godišnje</w:t>
      </w:r>
      <w:r w:rsidRPr="00C86111">
        <w:rPr>
          <w:rFonts w:asciiTheme="minorHAnsi" w:hAnsiTheme="minorHAnsi" w:cstheme="minorHAnsi"/>
          <w:b/>
          <w:bCs/>
        </w:rPr>
        <w:t xml:space="preserve">) </w:t>
      </w:r>
      <w:r w:rsidRPr="00C86111">
        <w:rPr>
          <w:rFonts w:asciiTheme="minorHAnsi" w:hAnsiTheme="minorHAnsi" w:cstheme="minorHAnsi"/>
        </w:rPr>
        <w:t xml:space="preserve">te, u manjoj mjeri, tekstila (do </w:t>
      </w:r>
      <w:r w:rsidRPr="00C86111">
        <w:rPr>
          <w:rStyle w:val="Strong"/>
          <w:rFonts w:asciiTheme="minorHAnsi" w:hAnsiTheme="minorHAnsi" w:cstheme="minorHAnsi"/>
          <w:b w:val="0"/>
          <w:bCs w:val="0"/>
        </w:rPr>
        <w:t>0,23 tone godišnje</w:t>
      </w:r>
      <w:r w:rsidRPr="00C86111">
        <w:rPr>
          <w:rFonts w:asciiTheme="minorHAnsi" w:hAnsiTheme="minorHAnsi" w:cstheme="minorHAnsi"/>
        </w:rPr>
        <w:t xml:space="preserve">). Iako su ove vrijednosti zasnovane na procjenama, jasno ukazuju da su </w:t>
      </w:r>
      <w:r w:rsidRPr="00C86111">
        <w:rPr>
          <w:rStyle w:val="Strong"/>
          <w:rFonts w:asciiTheme="minorHAnsi" w:hAnsiTheme="minorHAnsi" w:cstheme="minorHAnsi"/>
          <w:b w:val="0"/>
          <w:bCs w:val="0"/>
        </w:rPr>
        <w:t>ambalažni materijali i potrošački proizvodi</w:t>
      </w:r>
      <w:r w:rsidRPr="00C86111">
        <w:rPr>
          <w:rFonts w:asciiTheme="minorHAnsi" w:hAnsiTheme="minorHAnsi" w:cstheme="minorHAnsi"/>
        </w:rPr>
        <w:t xml:space="preserve"> glavni putevi kojima PFOS dospijeva u sistem upravljanja otpadom.</w:t>
      </w:r>
    </w:p>
    <w:p w14:paraId="65B2D7E8" w14:textId="77777777" w:rsidR="002B20A9" w:rsidRDefault="002B20A9" w:rsidP="002B20A9">
      <w:pPr>
        <w:jc w:val="both"/>
        <w:rPr>
          <w:rFonts w:asciiTheme="minorHAnsi" w:hAnsiTheme="minorHAnsi" w:cstheme="minorHAnsi"/>
        </w:rPr>
      </w:pPr>
      <w:r w:rsidRPr="00C86111">
        <w:rPr>
          <w:rFonts w:asciiTheme="minorHAnsi" w:hAnsiTheme="minorHAnsi" w:cstheme="minorHAnsi"/>
        </w:rPr>
        <w:t xml:space="preserve">Sveukupno, nalazi potvrđuju da PFOS i dalje </w:t>
      </w:r>
      <w:r w:rsidRPr="00C86111">
        <w:rPr>
          <w:rStyle w:val="Strong"/>
          <w:rFonts w:asciiTheme="minorHAnsi" w:hAnsiTheme="minorHAnsi" w:cstheme="minorHAnsi"/>
          <w:b w:val="0"/>
          <w:bCs w:val="0"/>
        </w:rPr>
        <w:t>cirkuliše u Crnoj Gori</w:t>
      </w:r>
      <w:r w:rsidRPr="00C86111">
        <w:rPr>
          <w:rFonts w:asciiTheme="minorHAnsi" w:hAnsiTheme="minorHAnsi" w:cstheme="minorHAnsi"/>
          <w:b/>
          <w:bCs/>
        </w:rPr>
        <w:t>,</w:t>
      </w:r>
      <w:r w:rsidRPr="00C86111">
        <w:rPr>
          <w:rFonts w:asciiTheme="minorHAnsi" w:hAnsiTheme="minorHAnsi" w:cstheme="minorHAnsi"/>
        </w:rPr>
        <w:t xml:space="preserve"> prvenstveno putem </w:t>
      </w:r>
      <w:r w:rsidRPr="00C86111">
        <w:rPr>
          <w:rStyle w:val="Strong"/>
          <w:rFonts w:asciiTheme="minorHAnsi" w:hAnsiTheme="minorHAnsi" w:cstheme="minorHAnsi"/>
          <w:b w:val="0"/>
          <w:bCs w:val="0"/>
        </w:rPr>
        <w:t>starih zaliha protivpožarnih pjena</w:t>
      </w:r>
      <w:r w:rsidRPr="00C86111">
        <w:rPr>
          <w:rFonts w:asciiTheme="minorHAnsi" w:hAnsiTheme="minorHAnsi" w:cstheme="minorHAnsi"/>
          <w:b/>
          <w:bCs/>
        </w:rPr>
        <w:t xml:space="preserve">, </w:t>
      </w:r>
      <w:r w:rsidRPr="00C86111">
        <w:rPr>
          <w:rStyle w:val="Strong"/>
          <w:rFonts w:asciiTheme="minorHAnsi" w:hAnsiTheme="minorHAnsi" w:cstheme="minorHAnsi"/>
          <w:b w:val="0"/>
          <w:bCs w:val="0"/>
        </w:rPr>
        <w:t>uvezenih potrošačkih proizvoda</w:t>
      </w:r>
      <w:r w:rsidRPr="00C86111">
        <w:rPr>
          <w:rFonts w:asciiTheme="minorHAnsi" w:hAnsiTheme="minorHAnsi" w:cstheme="minorHAnsi"/>
          <w:b/>
          <w:bCs/>
        </w:rPr>
        <w:t xml:space="preserve"> i </w:t>
      </w:r>
      <w:r w:rsidRPr="00C86111">
        <w:rPr>
          <w:rStyle w:val="Strong"/>
          <w:rFonts w:asciiTheme="minorHAnsi" w:hAnsiTheme="minorHAnsi" w:cstheme="minorHAnsi"/>
          <w:b w:val="0"/>
          <w:bCs w:val="0"/>
        </w:rPr>
        <w:t>tokova otpada</w:t>
      </w:r>
      <w:r w:rsidRPr="00C86111">
        <w:rPr>
          <w:rFonts w:asciiTheme="minorHAnsi" w:hAnsiTheme="minorHAnsi" w:cstheme="minorHAnsi"/>
          <w:b/>
          <w:bCs/>
        </w:rPr>
        <w:t>.</w:t>
      </w:r>
      <w:r w:rsidRPr="00C86111">
        <w:rPr>
          <w:rFonts w:asciiTheme="minorHAnsi" w:hAnsiTheme="minorHAnsi" w:cstheme="minorHAnsi"/>
        </w:rPr>
        <w:t xml:space="preserve"> Zbog njegove </w:t>
      </w:r>
      <w:r w:rsidRPr="00C86111">
        <w:rPr>
          <w:rStyle w:val="Strong"/>
          <w:rFonts w:asciiTheme="minorHAnsi" w:hAnsiTheme="minorHAnsi" w:cstheme="minorHAnsi"/>
          <w:b w:val="0"/>
          <w:bCs w:val="0"/>
        </w:rPr>
        <w:t>perzistentnosti, bioakumulativnih svojstava i toksičnosti</w:t>
      </w:r>
      <w:r w:rsidRPr="00C86111">
        <w:rPr>
          <w:rFonts w:asciiTheme="minorHAnsi" w:hAnsiTheme="minorHAnsi" w:cstheme="minorHAnsi"/>
          <w:b/>
          <w:bCs/>
        </w:rPr>
        <w:t>,</w:t>
      </w:r>
      <w:r w:rsidRPr="00C86111">
        <w:rPr>
          <w:rFonts w:asciiTheme="minorHAnsi" w:hAnsiTheme="minorHAnsi" w:cstheme="minorHAnsi"/>
        </w:rPr>
        <w:t xml:space="preserve"> neophodno je sprovesti </w:t>
      </w:r>
      <w:r w:rsidRPr="00C86111">
        <w:rPr>
          <w:rStyle w:val="Strong"/>
          <w:rFonts w:asciiTheme="minorHAnsi" w:hAnsiTheme="minorHAnsi" w:cstheme="minorHAnsi"/>
          <w:b w:val="0"/>
          <w:bCs w:val="0"/>
        </w:rPr>
        <w:t>hitne,</w:t>
      </w:r>
      <w:r w:rsidRPr="00C86111">
        <w:rPr>
          <w:rStyle w:val="Strong"/>
          <w:rFonts w:asciiTheme="minorHAnsi" w:hAnsiTheme="minorHAnsi" w:cstheme="minorHAnsi"/>
        </w:rPr>
        <w:t xml:space="preserve"> </w:t>
      </w:r>
      <w:r w:rsidRPr="00C86111">
        <w:rPr>
          <w:rStyle w:val="Strong"/>
          <w:rFonts w:asciiTheme="minorHAnsi" w:hAnsiTheme="minorHAnsi" w:cstheme="minorHAnsi"/>
          <w:b w:val="0"/>
          <w:bCs w:val="0"/>
        </w:rPr>
        <w:t>koordinisane mjere</w:t>
      </w:r>
      <w:r w:rsidRPr="00C86111">
        <w:rPr>
          <w:rFonts w:asciiTheme="minorHAnsi" w:hAnsiTheme="minorHAnsi" w:cstheme="minorHAnsi"/>
        </w:rPr>
        <w:t xml:space="preserve"> radi potpunog eliminisanja, bezbjednog odlaganja i sprječavanja daljeg unosa PFOS-a u nacionalni sistem.</w:t>
      </w:r>
    </w:p>
    <w:p w14:paraId="591FBE9D" w14:textId="77777777" w:rsidR="002B20A9" w:rsidRPr="00C86111" w:rsidRDefault="002B20A9" w:rsidP="00D966EC">
      <w:pPr>
        <w:pStyle w:val="Heading4"/>
        <w:spacing w:before="0" w:beforeAutospacing="0" w:after="0" w:afterAutospacing="0"/>
        <w:rPr>
          <w:b/>
        </w:rPr>
      </w:pPr>
      <w:bookmarkStart w:id="329" w:name="_Toc210632502"/>
      <w:r w:rsidRPr="00C86111">
        <w:rPr>
          <w:rStyle w:val="Strong"/>
          <w:b w:val="0"/>
        </w:rPr>
        <w:t>Preporuke</w:t>
      </w:r>
      <w:bookmarkEnd w:id="329"/>
    </w:p>
    <w:p w14:paraId="31E063F4" w14:textId="77777777" w:rsidR="002B20A9" w:rsidRPr="00C86111" w:rsidRDefault="002B20A9" w:rsidP="00D966EC">
      <w:pPr>
        <w:jc w:val="both"/>
        <w:rPr>
          <w:rFonts w:asciiTheme="minorHAnsi" w:hAnsiTheme="minorHAnsi" w:cstheme="minorHAnsi"/>
        </w:rPr>
      </w:pPr>
      <w:r w:rsidRPr="00C86111">
        <w:rPr>
          <w:rFonts w:asciiTheme="minorHAnsi" w:hAnsiTheme="minorHAnsi" w:cstheme="minorHAnsi"/>
        </w:rPr>
        <w:t xml:space="preserve">Radi usklađivanja sa </w:t>
      </w:r>
      <w:r w:rsidRPr="00C86111">
        <w:rPr>
          <w:rStyle w:val="Strong"/>
          <w:rFonts w:asciiTheme="minorHAnsi" w:hAnsiTheme="minorHAnsi" w:cstheme="minorHAnsi"/>
          <w:b w:val="0"/>
          <w:bCs w:val="0"/>
        </w:rPr>
        <w:t>propisima Evropske unije</w:t>
      </w:r>
      <w:r w:rsidRPr="00C86111">
        <w:rPr>
          <w:rFonts w:asciiTheme="minorHAnsi" w:hAnsiTheme="minorHAnsi" w:cstheme="minorHAnsi"/>
        </w:rPr>
        <w:t xml:space="preserve"> i </w:t>
      </w:r>
      <w:r w:rsidRPr="00C86111">
        <w:rPr>
          <w:rStyle w:val="Strong"/>
          <w:rFonts w:asciiTheme="minorHAnsi" w:hAnsiTheme="minorHAnsi" w:cstheme="minorHAnsi"/>
          <w:b w:val="0"/>
          <w:bCs w:val="0"/>
        </w:rPr>
        <w:t>Stokholmskom konvencijom</w:t>
      </w:r>
      <w:r w:rsidRPr="00C86111">
        <w:rPr>
          <w:rFonts w:asciiTheme="minorHAnsi" w:hAnsiTheme="minorHAnsi" w:cstheme="minorHAnsi"/>
        </w:rPr>
        <w:t>, te radi smanjenja rizika po zdravlje ljudi i životnu sredinu, preporučuje se sprovođenje sljedećih mjera:</w:t>
      </w:r>
    </w:p>
    <w:p w14:paraId="08675618" w14:textId="77777777" w:rsidR="002B20A9" w:rsidRPr="00C86111" w:rsidRDefault="002B20A9" w:rsidP="00004F34">
      <w:pPr>
        <w:pStyle w:val="ListParagraph"/>
        <w:numPr>
          <w:ilvl w:val="0"/>
          <w:numId w:val="137"/>
        </w:numPr>
        <w:jc w:val="both"/>
        <w:rPr>
          <w:rFonts w:asciiTheme="minorHAnsi" w:hAnsiTheme="minorHAnsi" w:cstheme="minorHAnsi"/>
          <w:color w:val="002060"/>
        </w:rPr>
      </w:pPr>
      <w:r w:rsidRPr="00C86111">
        <w:rPr>
          <w:rStyle w:val="Strong"/>
          <w:rFonts w:asciiTheme="minorHAnsi" w:hAnsiTheme="minorHAnsi" w:cstheme="minorHAnsi"/>
          <w:b w:val="0"/>
          <w:bCs w:val="0"/>
          <w:color w:val="002060"/>
        </w:rPr>
        <w:t>Izrada liste proizvoda sa HS kodovima koji mogu sadržati PFOS:</w:t>
      </w:r>
    </w:p>
    <w:p w14:paraId="7F5E9102" w14:textId="77777777" w:rsidR="002B20A9" w:rsidRPr="00C86111" w:rsidRDefault="002B20A9" w:rsidP="00004F34">
      <w:pPr>
        <w:pStyle w:val="ListParagraph"/>
        <w:numPr>
          <w:ilvl w:val="0"/>
          <w:numId w:val="140"/>
        </w:numPr>
        <w:jc w:val="both"/>
        <w:rPr>
          <w:rFonts w:asciiTheme="minorHAnsi" w:hAnsiTheme="minorHAnsi" w:cstheme="minorHAnsi"/>
        </w:rPr>
      </w:pPr>
      <w:r w:rsidRPr="00C86111">
        <w:rPr>
          <w:rFonts w:asciiTheme="minorHAnsi" w:hAnsiTheme="minorHAnsi" w:cstheme="minorHAnsi"/>
        </w:rPr>
        <w:t xml:space="preserve">U saradnji sa </w:t>
      </w:r>
      <w:r w:rsidRPr="00C86111">
        <w:rPr>
          <w:rStyle w:val="Strong"/>
          <w:rFonts w:asciiTheme="minorHAnsi" w:hAnsiTheme="minorHAnsi" w:cstheme="minorHAnsi"/>
          <w:b w:val="0"/>
          <w:bCs w:val="0"/>
        </w:rPr>
        <w:t>Upravom carina</w:t>
      </w:r>
      <w:r w:rsidRPr="00C86111">
        <w:rPr>
          <w:rFonts w:asciiTheme="minorHAnsi" w:hAnsiTheme="minorHAnsi" w:cstheme="minorHAnsi"/>
        </w:rPr>
        <w:t xml:space="preserve"> i </w:t>
      </w:r>
      <w:r w:rsidRPr="00C86111">
        <w:rPr>
          <w:rStyle w:val="Strong"/>
          <w:rFonts w:asciiTheme="minorHAnsi" w:hAnsiTheme="minorHAnsi" w:cstheme="minorHAnsi"/>
          <w:b w:val="0"/>
          <w:bCs w:val="0"/>
        </w:rPr>
        <w:t>Ministarstvom nadležnim za zaštitu životne sredine</w:t>
      </w:r>
      <w:r w:rsidRPr="00C86111">
        <w:rPr>
          <w:rFonts w:asciiTheme="minorHAnsi" w:hAnsiTheme="minorHAnsi" w:cstheme="minorHAnsi"/>
        </w:rPr>
        <w:t xml:space="preserve">, izraditi </w:t>
      </w:r>
      <w:r w:rsidRPr="00C86111">
        <w:rPr>
          <w:rStyle w:val="Strong"/>
          <w:rFonts w:asciiTheme="minorHAnsi" w:hAnsiTheme="minorHAnsi" w:cstheme="minorHAnsi"/>
          <w:b w:val="0"/>
          <w:bCs w:val="0"/>
        </w:rPr>
        <w:t>zvanični dokument</w:t>
      </w:r>
      <w:r w:rsidRPr="00C86111">
        <w:rPr>
          <w:rFonts w:asciiTheme="minorHAnsi" w:hAnsiTheme="minorHAnsi" w:cstheme="minorHAnsi"/>
        </w:rPr>
        <w:t xml:space="preserve">.Dokument treba da sadrži jasna uputstva za carinske organe o načinu postupanja sa uvozom proizvoda koji mogu sadržati PFOS, uključujući sveobuhvatnu listu proizvoda koji potencijalno sadrže PFOS I odgovarajuće </w:t>
      </w:r>
      <w:r w:rsidRPr="00C86111">
        <w:rPr>
          <w:rStyle w:val="Strong"/>
          <w:rFonts w:asciiTheme="minorHAnsi" w:hAnsiTheme="minorHAnsi" w:cstheme="minorHAnsi"/>
          <w:b w:val="0"/>
          <w:bCs w:val="0"/>
        </w:rPr>
        <w:t>HS kodove</w:t>
      </w:r>
      <w:r w:rsidRPr="00C86111">
        <w:rPr>
          <w:rFonts w:asciiTheme="minorHAnsi" w:hAnsiTheme="minorHAnsi" w:cstheme="minorHAnsi"/>
        </w:rPr>
        <w:t xml:space="preserve"> za svaki od navedenih proizvoda.</w:t>
      </w:r>
    </w:p>
    <w:p w14:paraId="69EE0611" w14:textId="77777777" w:rsidR="002B20A9" w:rsidRPr="00C86111" w:rsidRDefault="002B20A9" w:rsidP="00004F34">
      <w:pPr>
        <w:pStyle w:val="ListParagraph"/>
        <w:numPr>
          <w:ilvl w:val="0"/>
          <w:numId w:val="137"/>
        </w:numPr>
        <w:jc w:val="both"/>
        <w:rPr>
          <w:rFonts w:asciiTheme="minorHAnsi" w:hAnsiTheme="minorHAnsi" w:cstheme="minorHAnsi"/>
          <w:color w:val="002060"/>
        </w:rPr>
      </w:pPr>
      <w:r w:rsidRPr="00C86111">
        <w:rPr>
          <w:rStyle w:val="Strong"/>
          <w:rFonts w:asciiTheme="minorHAnsi" w:hAnsiTheme="minorHAnsi" w:cstheme="minorHAnsi"/>
          <w:b w:val="0"/>
          <w:bCs w:val="0"/>
          <w:color w:val="002060"/>
        </w:rPr>
        <w:t>Protivpožarne pjene i oprema:</w:t>
      </w:r>
    </w:p>
    <w:p w14:paraId="6B6B9C41" w14:textId="77777777" w:rsidR="002B20A9" w:rsidRPr="00C86111" w:rsidRDefault="002B20A9" w:rsidP="00004F34">
      <w:pPr>
        <w:pStyle w:val="ListParagraph"/>
        <w:numPr>
          <w:ilvl w:val="0"/>
          <w:numId w:val="138"/>
        </w:numPr>
        <w:jc w:val="both"/>
        <w:rPr>
          <w:rFonts w:asciiTheme="minorHAnsi" w:hAnsiTheme="minorHAnsi" w:cstheme="minorHAnsi"/>
        </w:rPr>
      </w:pPr>
      <w:r w:rsidRPr="00C86111">
        <w:rPr>
          <w:rFonts w:asciiTheme="minorHAnsi" w:hAnsiTheme="minorHAnsi" w:cstheme="minorHAnsi"/>
        </w:rPr>
        <w:t xml:space="preserve">Osigurati </w:t>
      </w:r>
      <w:r w:rsidRPr="00C86111">
        <w:rPr>
          <w:rStyle w:val="Strong"/>
          <w:rFonts w:asciiTheme="minorHAnsi" w:hAnsiTheme="minorHAnsi" w:cstheme="minorHAnsi"/>
          <w:b w:val="0"/>
          <w:bCs w:val="0"/>
        </w:rPr>
        <w:t>potpuno povlačenje i ekološki prihvatljivo odlaganje pjena</w:t>
      </w:r>
      <w:r w:rsidRPr="00C86111">
        <w:rPr>
          <w:rFonts w:asciiTheme="minorHAnsi" w:hAnsiTheme="minorHAnsi" w:cstheme="minorHAnsi"/>
        </w:rPr>
        <w:t xml:space="preserve"> čiji je rok upotrebe istekao ili sadrže PFOS, u skladu sa nacionalnim i evropskim POPs propisima.</w:t>
      </w:r>
    </w:p>
    <w:p w14:paraId="1A5660E7" w14:textId="77777777" w:rsidR="002B20A9" w:rsidRPr="00C86111" w:rsidRDefault="002B20A9" w:rsidP="00004F34">
      <w:pPr>
        <w:pStyle w:val="ListParagraph"/>
        <w:numPr>
          <w:ilvl w:val="0"/>
          <w:numId w:val="138"/>
        </w:numPr>
        <w:jc w:val="both"/>
        <w:rPr>
          <w:rFonts w:asciiTheme="minorHAnsi" w:hAnsiTheme="minorHAnsi" w:cstheme="minorHAnsi"/>
        </w:rPr>
      </w:pPr>
      <w:r w:rsidRPr="00C86111">
        <w:rPr>
          <w:rFonts w:asciiTheme="minorHAnsi" w:hAnsiTheme="minorHAnsi" w:cstheme="minorHAnsi"/>
        </w:rPr>
        <w:lastRenderedPageBreak/>
        <w:t xml:space="preserve">Zamijeniti PFOS pjene </w:t>
      </w:r>
      <w:r w:rsidRPr="00C86111">
        <w:rPr>
          <w:rStyle w:val="Strong"/>
          <w:rFonts w:asciiTheme="minorHAnsi" w:hAnsiTheme="minorHAnsi" w:cstheme="minorHAnsi"/>
          <w:b w:val="0"/>
          <w:bCs w:val="0"/>
        </w:rPr>
        <w:t>alternativama bez fluora (fluorine-free)</w:t>
      </w:r>
      <w:r w:rsidRPr="00C86111">
        <w:rPr>
          <w:rFonts w:asciiTheme="minorHAnsi" w:hAnsiTheme="minorHAnsi" w:cstheme="minorHAnsi"/>
        </w:rPr>
        <w:t xml:space="preserve"> koje su tehnički odgovarajuće i dostupne na tržištu.</w:t>
      </w:r>
    </w:p>
    <w:p w14:paraId="7ED037FC" w14:textId="77777777" w:rsidR="002B20A9" w:rsidRPr="00C86111" w:rsidRDefault="002B20A9" w:rsidP="00004F34">
      <w:pPr>
        <w:pStyle w:val="ListParagraph"/>
        <w:numPr>
          <w:ilvl w:val="0"/>
          <w:numId w:val="138"/>
        </w:numPr>
        <w:jc w:val="both"/>
        <w:rPr>
          <w:rFonts w:asciiTheme="minorHAnsi" w:hAnsiTheme="minorHAnsi" w:cstheme="minorHAnsi"/>
        </w:rPr>
      </w:pPr>
      <w:r w:rsidRPr="00C86111">
        <w:rPr>
          <w:rFonts w:asciiTheme="minorHAnsi" w:hAnsiTheme="minorHAnsi" w:cstheme="minorHAnsi"/>
        </w:rPr>
        <w:t xml:space="preserve">Sprovesti </w:t>
      </w:r>
      <w:r w:rsidRPr="00C86111">
        <w:rPr>
          <w:rStyle w:val="Strong"/>
          <w:rFonts w:asciiTheme="minorHAnsi" w:hAnsiTheme="minorHAnsi" w:cstheme="minorHAnsi"/>
          <w:b w:val="0"/>
          <w:bCs w:val="0"/>
        </w:rPr>
        <w:t>dekontaminaciju vatrogasnih vozila i sistema za doziranje pjene</w:t>
      </w:r>
      <w:r w:rsidRPr="00C86111">
        <w:rPr>
          <w:rFonts w:asciiTheme="minorHAnsi" w:hAnsiTheme="minorHAnsi" w:cstheme="minorHAnsi"/>
        </w:rPr>
        <w:t xml:space="preserve"> koji su ranije korišćeni sa PFAS pjenama, kako bi se izbjegla unakrsna kontaminacija.</w:t>
      </w:r>
    </w:p>
    <w:p w14:paraId="1500B5FC" w14:textId="77777777" w:rsidR="002B20A9" w:rsidRPr="00C86111" w:rsidRDefault="002B20A9" w:rsidP="00004F34">
      <w:pPr>
        <w:pStyle w:val="ListParagraph"/>
        <w:numPr>
          <w:ilvl w:val="0"/>
          <w:numId w:val="138"/>
        </w:numPr>
        <w:jc w:val="both"/>
        <w:rPr>
          <w:rFonts w:asciiTheme="minorHAnsi" w:hAnsiTheme="minorHAnsi" w:cstheme="minorHAnsi"/>
        </w:rPr>
      </w:pPr>
      <w:r w:rsidRPr="00C86111">
        <w:rPr>
          <w:rFonts w:asciiTheme="minorHAnsi" w:hAnsiTheme="minorHAnsi" w:cstheme="minorHAnsi"/>
        </w:rPr>
        <w:t xml:space="preserve">Uspostaviti </w:t>
      </w:r>
      <w:r w:rsidRPr="00C86111">
        <w:rPr>
          <w:rStyle w:val="Strong"/>
          <w:rFonts w:asciiTheme="minorHAnsi" w:hAnsiTheme="minorHAnsi" w:cstheme="minorHAnsi"/>
          <w:b w:val="0"/>
          <w:bCs w:val="0"/>
        </w:rPr>
        <w:t>kontinuirani monitoring i izvještavanje o zalihama pjena</w:t>
      </w:r>
      <w:r w:rsidRPr="00C86111">
        <w:rPr>
          <w:rFonts w:asciiTheme="minorHAnsi" w:hAnsiTheme="minorHAnsi" w:cstheme="minorHAnsi"/>
        </w:rPr>
        <w:t xml:space="preserve">, te jačati svijest vatrogasnih službi o njihovim </w:t>
      </w:r>
      <w:r w:rsidRPr="00C86111">
        <w:rPr>
          <w:rStyle w:val="Strong"/>
          <w:rFonts w:asciiTheme="minorHAnsi" w:hAnsiTheme="minorHAnsi" w:cstheme="minorHAnsi"/>
          <w:b w:val="0"/>
          <w:bCs w:val="0"/>
        </w:rPr>
        <w:t>ekološkim i zakonskim obavezama</w:t>
      </w:r>
      <w:r w:rsidRPr="00C86111">
        <w:rPr>
          <w:rFonts w:asciiTheme="minorHAnsi" w:hAnsiTheme="minorHAnsi" w:cstheme="minorHAnsi"/>
        </w:rPr>
        <w:t>.</w:t>
      </w:r>
    </w:p>
    <w:p w14:paraId="57524CB4" w14:textId="77777777" w:rsidR="002B20A9" w:rsidRPr="00C86111" w:rsidRDefault="002B20A9" w:rsidP="00004F34">
      <w:pPr>
        <w:pStyle w:val="ListParagraph"/>
        <w:numPr>
          <w:ilvl w:val="0"/>
          <w:numId w:val="138"/>
        </w:numPr>
        <w:jc w:val="both"/>
        <w:rPr>
          <w:rFonts w:asciiTheme="minorHAnsi" w:hAnsiTheme="minorHAnsi" w:cstheme="minorHAnsi"/>
        </w:rPr>
      </w:pPr>
      <w:r w:rsidRPr="00C86111">
        <w:rPr>
          <w:rStyle w:val="Strong"/>
          <w:rFonts w:asciiTheme="minorHAnsi" w:hAnsiTheme="minorHAnsi" w:cstheme="minorHAnsi"/>
          <w:b w:val="0"/>
          <w:bCs w:val="0"/>
        </w:rPr>
        <w:t>Razviti edukativne kampanje</w:t>
      </w:r>
      <w:r w:rsidRPr="00C86111">
        <w:rPr>
          <w:rFonts w:asciiTheme="minorHAnsi" w:hAnsiTheme="minorHAnsi" w:cstheme="minorHAnsi"/>
        </w:rPr>
        <w:t xml:space="preserve"> za zaposlene u službama zaštite i spašavanja, s naglaskom na značaj poznavanja i primjene tehničkih specifikacija za pjene, u cilju uspostavljanja bezbjednijih i održivijih praksi.</w:t>
      </w:r>
    </w:p>
    <w:p w14:paraId="0B556C29" w14:textId="77777777" w:rsidR="002B20A9" w:rsidRPr="00C86111" w:rsidRDefault="002B20A9" w:rsidP="00004F34">
      <w:pPr>
        <w:pStyle w:val="ListParagraph"/>
        <w:numPr>
          <w:ilvl w:val="0"/>
          <w:numId w:val="137"/>
        </w:numPr>
        <w:jc w:val="both"/>
        <w:rPr>
          <w:rFonts w:asciiTheme="minorHAnsi" w:hAnsiTheme="minorHAnsi" w:cstheme="minorHAnsi"/>
        </w:rPr>
      </w:pPr>
      <w:r w:rsidRPr="00C86111">
        <w:rPr>
          <w:rStyle w:val="Strong"/>
          <w:rFonts w:asciiTheme="minorHAnsi" w:hAnsiTheme="minorHAnsi" w:cstheme="minorHAnsi"/>
          <w:b w:val="0"/>
          <w:bCs w:val="0"/>
          <w:color w:val="002060"/>
        </w:rPr>
        <w:t>Upravljanje otpadom:</w:t>
      </w:r>
    </w:p>
    <w:p w14:paraId="67232168" w14:textId="77777777" w:rsidR="002B20A9" w:rsidRPr="00C86111" w:rsidRDefault="002B20A9" w:rsidP="00004F34">
      <w:pPr>
        <w:pStyle w:val="ListParagraph"/>
        <w:numPr>
          <w:ilvl w:val="0"/>
          <w:numId w:val="139"/>
        </w:numPr>
        <w:jc w:val="both"/>
        <w:rPr>
          <w:rFonts w:asciiTheme="minorHAnsi" w:hAnsiTheme="minorHAnsi" w:cstheme="minorHAnsi"/>
        </w:rPr>
      </w:pPr>
      <w:r w:rsidRPr="00C86111">
        <w:rPr>
          <w:rFonts w:asciiTheme="minorHAnsi" w:hAnsiTheme="minorHAnsi" w:cstheme="minorHAnsi"/>
        </w:rPr>
        <w:t xml:space="preserve">Uspostaviti </w:t>
      </w:r>
      <w:r w:rsidRPr="00C86111">
        <w:rPr>
          <w:rStyle w:val="Strong"/>
          <w:rFonts w:asciiTheme="minorHAnsi" w:hAnsiTheme="minorHAnsi" w:cstheme="minorHAnsi"/>
          <w:b w:val="0"/>
          <w:bCs w:val="0"/>
        </w:rPr>
        <w:t>ciljano praćenje frakcija komunalnog otpada</w:t>
      </w:r>
      <w:r w:rsidRPr="00C86111">
        <w:rPr>
          <w:rFonts w:asciiTheme="minorHAnsi" w:hAnsiTheme="minorHAnsi" w:cstheme="minorHAnsi"/>
        </w:rPr>
        <w:t xml:space="preserve"> sa najvećim rizikom od prisustva PFOS-a (papir/karton, tekstil).</w:t>
      </w:r>
    </w:p>
    <w:p w14:paraId="49C57BAE" w14:textId="77777777" w:rsidR="002B20A9" w:rsidRPr="00C86111" w:rsidRDefault="002B20A9" w:rsidP="00004F34">
      <w:pPr>
        <w:pStyle w:val="ListParagraph"/>
        <w:numPr>
          <w:ilvl w:val="0"/>
          <w:numId w:val="139"/>
        </w:numPr>
        <w:jc w:val="both"/>
        <w:rPr>
          <w:rFonts w:asciiTheme="minorHAnsi" w:hAnsiTheme="minorHAnsi" w:cstheme="minorHAnsi"/>
        </w:rPr>
      </w:pPr>
      <w:r w:rsidRPr="00C86111">
        <w:rPr>
          <w:rFonts w:asciiTheme="minorHAnsi" w:hAnsiTheme="minorHAnsi" w:cstheme="minorHAnsi"/>
        </w:rPr>
        <w:t xml:space="preserve">Unaprijediti </w:t>
      </w:r>
      <w:r w:rsidRPr="00C86111">
        <w:rPr>
          <w:rStyle w:val="Strong"/>
          <w:rFonts w:asciiTheme="minorHAnsi" w:hAnsiTheme="minorHAnsi" w:cstheme="minorHAnsi"/>
          <w:b w:val="0"/>
          <w:bCs w:val="0"/>
        </w:rPr>
        <w:t>klasifikaciju otpada</w:t>
      </w:r>
      <w:r w:rsidRPr="00C86111">
        <w:rPr>
          <w:rFonts w:asciiTheme="minorHAnsi" w:hAnsiTheme="minorHAnsi" w:cstheme="minorHAnsi"/>
        </w:rPr>
        <w:t xml:space="preserve"> i uvesti </w:t>
      </w:r>
      <w:r w:rsidRPr="00C86111">
        <w:rPr>
          <w:rStyle w:val="Strong"/>
          <w:rFonts w:asciiTheme="minorHAnsi" w:hAnsiTheme="minorHAnsi" w:cstheme="minorHAnsi"/>
          <w:b w:val="0"/>
          <w:bCs w:val="0"/>
        </w:rPr>
        <w:t>analitički skrining</w:t>
      </w:r>
      <w:r w:rsidRPr="00C86111">
        <w:rPr>
          <w:rFonts w:asciiTheme="minorHAnsi" w:hAnsiTheme="minorHAnsi" w:cstheme="minorHAnsi"/>
        </w:rPr>
        <w:t xml:space="preserve"> radi boljeg praćenja otpada koji sadrži PFOS.</w:t>
      </w:r>
    </w:p>
    <w:p w14:paraId="3826A771" w14:textId="77777777" w:rsidR="002B20A9" w:rsidRPr="00C86111" w:rsidRDefault="002B20A9" w:rsidP="00004F34">
      <w:pPr>
        <w:pStyle w:val="ListParagraph"/>
        <w:numPr>
          <w:ilvl w:val="0"/>
          <w:numId w:val="139"/>
        </w:numPr>
        <w:jc w:val="both"/>
        <w:rPr>
          <w:rFonts w:asciiTheme="minorHAnsi" w:hAnsiTheme="minorHAnsi" w:cstheme="minorHAnsi"/>
        </w:rPr>
      </w:pPr>
      <w:r w:rsidRPr="00C86111">
        <w:rPr>
          <w:rFonts w:asciiTheme="minorHAnsi" w:hAnsiTheme="minorHAnsi" w:cstheme="minorHAnsi"/>
        </w:rPr>
        <w:t xml:space="preserve">Osigurati </w:t>
      </w:r>
      <w:r w:rsidRPr="00C86111">
        <w:rPr>
          <w:rStyle w:val="Strong"/>
          <w:rFonts w:asciiTheme="minorHAnsi" w:hAnsiTheme="minorHAnsi" w:cstheme="minorHAnsi"/>
          <w:b w:val="0"/>
          <w:bCs w:val="0"/>
        </w:rPr>
        <w:t>bezbjedne metode tretmana i odlaganja otpada</w:t>
      </w:r>
      <w:r w:rsidRPr="00C86111">
        <w:rPr>
          <w:rFonts w:asciiTheme="minorHAnsi" w:hAnsiTheme="minorHAnsi" w:cstheme="minorHAnsi"/>
        </w:rPr>
        <w:t xml:space="preserve"> koji sadrži PFOS, uz izbjegavanje nekontrolisanog deponovanja i spaljivanja.</w:t>
      </w:r>
    </w:p>
    <w:p w14:paraId="3DF25CBD" w14:textId="77777777" w:rsidR="002B20A9" w:rsidRPr="00C86111" w:rsidRDefault="002B20A9" w:rsidP="00004F34">
      <w:pPr>
        <w:pStyle w:val="ListParagraph"/>
        <w:numPr>
          <w:ilvl w:val="0"/>
          <w:numId w:val="139"/>
        </w:numPr>
        <w:jc w:val="both"/>
        <w:rPr>
          <w:rFonts w:asciiTheme="minorHAnsi" w:hAnsiTheme="minorHAnsi" w:cstheme="minorHAnsi"/>
        </w:rPr>
      </w:pPr>
      <w:r w:rsidRPr="00C86111">
        <w:rPr>
          <w:rFonts w:asciiTheme="minorHAnsi" w:hAnsiTheme="minorHAnsi" w:cstheme="minorHAnsi"/>
        </w:rPr>
        <w:t xml:space="preserve">Smanjiti unos PFOS-a u tokove otpada </w:t>
      </w:r>
      <w:r w:rsidRPr="00C86111">
        <w:rPr>
          <w:rStyle w:val="Strong"/>
          <w:rFonts w:asciiTheme="minorHAnsi" w:hAnsiTheme="minorHAnsi" w:cstheme="minorHAnsi"/>
          <w:b w:val="0"/>
          <w:bCs w:val="0"/>
        </w:rPr>
        <w:t>kontrolom uvoza</w:t>
      </w:r>
      <w:r w:rsidRPr="00C86111">
        <w:rPr>
          <w:rFonts w:asciiTheme="minorHAnsi" w:hAnsiTheme="minorHAnsi" w:cstheme="minorHAnsi"/>
        </w:rPr>
        <w:t xml:space="preserve"> i </w:t>
      </w:r>
      <w:r w:rsidRPr="00C86111">
        <w:rPr>
          <w:rStyle w:val="Strong"/>
          <w:rFonts w:asciiTheme="minorHAnsi" w:hAnsiTheme="minorHAnsi" w:cstheme="minorHAnsi"/>
          <w:b w:val="0"/>
          <w:bCs w:val="0"/>
        </w:rPr>
        <w:t>promocijom ekološki prihvatljivih alternativa</w:t>
      </w:r>
      <w:r w:rsidRPr="00C86111">
        <w:rPr>
          <w:rFonts w:asciiTheme="minorHAnsi" w:hAnsiTheme="minorHAnsi" w:cstheme="minorHAnsi"/>
        </w:rPr>
        <w:t>.</w:t>
      </w:r>
    </w:p>
    <w:p w14:paraId="48DF0EAD" w14:textId="77777777" w:rsidR="002B20A9" w:rsidRPr="00C86111" w:rsidRDefault="002B20A9" w:rsidP="00004F34">
      <w:pPr>
        <w:pStyle w:val="ListParagraph"/>
        <w:numPr>
          <w:ilvl w:val="0"/>
          <w:numId w:val="137"/>
        </w:numPr>
        <w:jc w:val="both"/>
        <w:rPr>
          <w:rFonts w:asciiTheme="minorHAnsi" w:hAnsiTheme="minorHAnsi" w:cstheme="minorHAnsi"/>
        </w:rPr>
      </w:pPr>
      <w:r w:rsidRPr="00C86111">
        <w:rPr>
          <w:rStyle w:val="Strong"/>
          <w:rFonts w:asciiTheme="minorHAnsi" w:hAnsiTheme="minorHAnsi" w:cstheme="minorHAnsi"/>
          <w:b w:val="0"/>
          <w:bCs w:val="0"/>
          <w:color w:val="002060"/>
        </w:rPr>
        <w:t>Zaštita životne sredine i zdravlja ljudi:</w:t>
      </w:r>
    </w:p>
    <w:p w14:paraId="3042D066" w14:textId="77777777" w:rsidR="002B20A9" w:rsidRPr="00C86111" w:rsidRDefault="002B20A9" w:rsidP="00004F34">
      <w:pPr>
        <w:pStyle w:val="ListParagraph"/>
        <w:numPr>
          <w:ilvl w:val="0"/>
          <w:numId w:val="141"/>
        </w:numPr>
        <w:jc w:val="both"/>
        <w:rPr>
          <w:rFonts w:asciiTheme="minorHAnsi" w:hAnsiTheme="minorHAnsi" w:cstheme="minorHAnsi"/>
        </w:rPr>
      </w:pPr>
      <w:r w:rsidRPr="00C86111">
        <w:rPr>
          <w:rFonts w:asciiTheme="minorHAnsi" w:hAnsiTheme="minorHAnsi" w:cstheme="minorHAnsi"/>
        </w:rPr>
        <w:t xml:space="preserve">Ispitati </w:t>
      </w:r>
      <w:r w:rsidRPr="00C86111">
        <w:rPr>
          <w:rStyle w:val="Strong"/>
          <w:rFonts w:asciiTheme="minorHAnsi" w:hAnsiTheme="minorHAnsi" w:cstheme="minorHAnsi"/>
          <w:b w:val="0"/>
          <w:bCs w:val="0"/>
        </w:rPr>
        <w:t>uticaj na životnu sredinu</w:t>
      </w:r>
      <w:r w:rsidRPr="00C86111">
        <w:rPr>
          <w:rFonts w:asciiTheme="minorHAnsi" w:hAnsiTheme="minorHAnsi" w:cstheme="minorHAnsi"/>
        </w:rPr>
        <w:t xml:space="preserve"> u područjima česte upotrebe pjena (aerodromi, luke, poligoni za obuku) radi procjene nivoa kontaminacije.</w:t>
      </w:r>
    </w:p>
    <w:p w14:paraId="0E41B2D2" w14:textId="77777777" w:rsidR="002B20A9" w:rsidRPr="00C86111" w:rsidRDefault="002B20A9" w:rsidP="00004F34">
      <w:pPr>
        <w:pStyle w:val="ListParagraph"/>
        <w:numPr>
          <w:ilvl w:val="0"/>
          <w:numId w:val="141"/>
        </w:numPr>
        <w:jc w:val="both"/>
        <w:rPr>
          <w:rFonts w:asciiTheme="minorHAnsi" w:hAnsiTheme="minorHAnsi" w:cstheme="minorHAnsi"/>
        </w:rPr>
      </w:pPr>
      <w:r w:rsidRPr="00C86111">
        <w:rPr>
          <w:rFonts w:asciiTheme="minorHAnsi" w:hAnsiTheme="minorHAnsi" w:cstheme="minorHAnsi"/>
        </w:rPr>
        <w:t xml:space="preserve">Uspostaviti </w:t>
      </w:r>
      <w:r w:rsidRPr="00C86111">
        <w:rPr>
          <w:rStyle w:val="Strong"/>
          <w:rFonts w:asciiTheme="minorHAnsi" w:hAnsiTheme="minorHAnsi" w:cstheme="minorHAnsi"/>
          <w:b w:val="0"/>
          <w:bCs w:val="0"/>
        </w:rPr>
        <w:t>biomonitoring programe</w:t>
      </w:r>
      <w:r w:rsidRPr="00C86111">
        <w:rPr>
          <w:rFonts w:asciiTheme="minorHAnsi" w:hAnsiTheme="minorHAnsi" w:cstheme="minorHAnsi"/>
        </w:rPr>
        <w:t xml:space="preserve"> za zaposlene koji su potencijalno izloženi PFOS-u, kako bi se osigurala njihova zaštita na radu.</w:t>
      </w:r>
    </w:p>
    <w:p w14:paraId="0975ECFF" w14:textId="77777777" w:rsidR="002B20A9" w:rsidRPr="00C86111" w:rsidRDefault="002B20A9" w:rsidP="00004F34">
      <w:pPr>
        <w:pStyle w:val="ListParagraph"/>
        <w:numPr>
          <w:ilvl w:val="0"/>
          <w:numId w:val="141"/>
        </w:numPr>
        <w:jc w:val="both"/>
        <w:rPr>
          <w:rFonts w:asciiTheme="minorHAnsi" w:hAnsiTheme="minorHAnsi" w:cstheme="minorHAnsi"/>
        </w:rPr>
      </w:pPr>
      <w:r w:rsidRPr="00C86111">
        <w:rPr>
          <w:rFonts w:asciiTheme="minorHAnsi" w:hAnsiTheme="minorHAnsi" w:cstheme="minorHAnsi"/>
        </w:rPr>
        <w:t xml:space="preserve">Pokrenuti </w:t>
      </w:r>
      <w:r w:rsidRPr="00C86111">
        <w:rPr>
          <w:rStyle w:val="Strong"/>
          <w:rFonts w:asciiTheme="minorHAnsi" w:hAnsiTheme="minorHAnsi" w:cstheme="minorHAnsi"/>
          <w:b w:val="0"/>
          <w:bCs w:val="0"/>
        </w:rPr>
        <w:t>edukativne programe</w:t>
      </w:r>
      <w:r w:rsidRPr="00C86111">
        <w:rPr>
          <w:rFonts w:asciiTheme="minorHAnsi" w:hAnsiTheme="minorHAnsi" w:cstheme="minorHAnsi"/>
        </w:rPr>
        <w:t xml:space="preserve"> za vatrogasne službe, carinske organe i operatere otpada radi povećanja svijesti o postojanim organskim zagađivačima (POPs) i promovisanja održivih praksi.</w:t>
      </w:r>
    </w:p>
    <w:p w14:paraId="0C11A9CA" w14:textId="77777777" w:rsidR="002B20A9" w:rsidRPr="00C86111" w:rsidRDefault="002B20A9" w:rsidP="00004F34">
      <w:pPr>
        <w:pStyle w:val="ListParagraph"/>
        <w:numPr>
          <w:ilvl w:val="0"/>
          <w:numId w:val="137"/>
        </w:numPr>
        <w:jc w:val="both"/>
        <w:rPr>
          <w:rFonts w:asciiTheme="minorHAnsi" w:hAnsiTheme="minorHAnsi" w:cstheme="minorHAnsi"/>
          <w:b/>
          <w:bCs/>
          <w:color w:val="002060"/>
        </w:rPr>
      </w:pPr>
      <w:r w:rsidRPr="00C86111">
        <w:rPr>
          <w:rStyle w:val="Strong"/>
          <w:rFonts w:asciiTheme="minorHAnsi" w:hAnsiTheme="minorHAnsi" w:cstheme="minorHAnsi"/>
          <w:b w:val="0"/>
          <w:bCs w:val="0"/>
          <w:color w:val="002060"/>
        </w:rPr>
        <w:t>Međusektorska koordinacija:</w:t>
      </w:r>
    </w:p>
    <w:p w14:paraId="1CAB51DF" w14:textId="77777777" w:rsidR="002B20A9" w:rsidRPr="00C86111" w:rsidRDefault="002B20A9" w:rsidP="00004F34">
      <w:pPr>
        <w:pStyle w:val="ListParagraph"/>
        <w:numPr>
          <w:ilvl w:val="0"/>
          <w:numId w:val="142"/>
        </w:numPr>
        <w:jc w:val="both"/>
        <w:rPr>
          <w:rFonts w:asciiTheme="minorHAnsi" w:hAnsiTheme="minorHAnsi" w:cstheme="minorHAnsi"/>
        </w:rPr>
      </w:pPr>
      <w:r w:rsidRPr="00C86111">
        <w:rPr>
          <w:rFonts w:asciiTheme="minorHAnsi" w:hAnsiTheme="minorHAnsi" w:cstheme="minorHAnsi"/>
        </w:rPr>
        <w:t xml:space="preserve">Razviti </w:t>
      </w:r>
      <w:r w:rsidRPr="00C86111">
        <w:rPr>
          <w:rStyle w:val="Strong"/>
          <w:rFonts w:asciiTheme="minorHAnsi" w:hAnsiTheme="minorHAnsi" w:cstheme="minorHAnsi"/>
          <w:b w:val="0"/>
          <w:bCs w:val="0"/>
        </w:rPr>
        <w:t>nacionalnu strategiju za postupno ukidanje PFOS-a</w:t>
      </w:r>
      <w:r w:rsidRPr="00C86111">
        <w:rPr>
          <w:rFonts w:asciiTheme="minorHAnsi" w:hAnsiTheme="minorHAnsi" w:cstheme="minorHAnsi"/>
          <w:b/>
          <w:bCs/>
        </w:rPr>
        <w:t>,</w:t>
      </w:r>
      <w:r w:rsidRPr="00C86111">
        <w:rPr>
          <w:rFonts w:asciiTheme="minorHAnsi" w:hAnsiTheme="minorHAnsi" w:cstheme="minorHAnsi"/>
        </w:rPr>
        <w:t xml:space="preserve"> sa jasno definisanim rokovima, institucionalnim odgovornostima i mehanizmima finansiranja.</w:t>
      </w:r>
    </w:p>
    <w:p w14:paraId="7370A748" w14:textId="77777777" w:rsidR="002B20A9" w:rsidRPr="00C86111" w:rsidRDefault="002B20A9" w:rsidP="00004F34">
      <w:pPr>
        <w:pStyle w:val="ListParagraph"/>
        <w:numPr>
          <w:ilvl w:val="0"/>
          <w:numId w:val="142"/>
        </w:numPr>
        <w:jc w:val="both"/>
        <w:rPr>
          <w:rFonts w:asciiTheme="minorHAnsi" w:hAnsiTheme="minorHAnsi" w:cstheme="minorHAnsi"/>
        </w:rPr>
      </w:pPr>
      <w:r w:rsidRPr="00C86111">
        <w:rPr>
          <w:rFonts w:asciiTheme="minorHAnsi" w:hAnsiTheme="minorHAnsi" w:cstheme="minorHAnsi"/>
        </w:rPr>
        <w:t xml:space="preserve">Ojačati </w:t>
      </w:r>
      <w:r w:rsidRPr="00C86111">
        <w:rPr>
          <w:rStyle w:val="Strong"/>
          <w:rFonts w:asciiTheme="minorHAnsi" w:hAnsiTheme="minorHAnsi" w:cstheme="minorHAnsi"/>
          <w:b w:val="0"/>
          <w:bCs w:val="0"/>
        </w:rPr>
        <w:t>međuinstitucionalnu saradnju</w:t>
      </w:r>
      <w:r w:rsidRPr="00C86111">
        <w:rPr>
          <w:rFonts w:asciiTheme="minorHAnsi" w:hAnsiTheme="minorHAnsi" w:cstheme="minorHAnsi"/>
        </w:rPr>
        <w:t xml:space="preserve"> između organa nadležnih za zaštitu životne sredine, carinu, zdravstvo i upravljanje otpadom.</w:t>
      </w:r>
    </w:p>
    <w:p w14:paraId="43CE7C1A" w14:textId="77777777" w:rsidR="002B20A9" w:rsidRPr="00C86111" w:rsidRDefault="002B20A9" w:rsidP="00004F34">
      <w:pPr>
        <w:pStyle w:val="ListParagraph"/>
        <w:numPr>
          <w:ilvl w:val="0"/>
          <w:numId w:val="142"/>
        </w:numPr>
        <w:jc w:val="both"/>
        <w:rPr>
          <w:rFonts w:asciiTheme="minorHAnsi" w:hAnsiTheme="minorHAnsi" w:cstheme="minorHAnsi"/>
        </w:rPr>
      </w:pPr>
      <w:r w:rsidRPr="00C86111">
        <w:rPr>
          <w:rFonts w:asciiTheme="minorHAnsi" w:hAnsiTheme="minorHAnsi" w:cstheme="minorHAnsi"/>
        </w:rPr>
        <w:t xml:space="preserve">Osigurati </w:t>
      </w:r>
      <w:r w:rsidRPr="00C86111">
        <w:rPr>
          <w:rStyle w:val="Strong"/>
          <w:rFonts w:asciiTheme="minorHAnsi" w:hAnsiTheme="minorHAnsi" w:cstheme="minorHAnsi"/>
          <w:b w:val="0"/>
          <w:bCs w:val="0"/>
        </w:rPr>
        <w:t>sistematsko izvještavanje i razmjenu podataka</w:t>
      </w:r>
      <w:r w:rsidRPr="00C86111">
        <w:rPr>
          <w:rFonts w:asciiTheme="minorHAnsi" w:hAnsiTheme="minorHAnsi" w:cstheme="minorHAnsi"/>
        </w:rPr>
        <w:t xml:space="preserve"> u skladu sa zahtjevima EU i Stokholmske konvencije.</w:t>
      </w:r>
    </w:p>
    <w:p w14:paraId="1FFBB824" w14:textId="77777777" w:rsidR="002B20A9" w:rsidRPr="00C86111" w:rsidRDefault="002B20A9" w:rsidP="00EA6904">
      <w:pPr>
        <w:pStyle w:val="Heading3"/>
        <w:rPr>
          <w:rStyle w:val="Strong"/>
          <w:b/>
          <w:bCs/>
        </w:rPr>
      </w:pPr>
      <w:bookmarkStart w:id="330" w:name="_Toc210632503"/>
      <w:bookmarkStart w:id="331" w:name="_Toc220541945"/>
      <w:r w:rsidRPr="00C86111">
        <w:rPr>
          <w:rStyle w:val="Strong"/>
          <w:bCs/>
        </w:rPr>
        <w:t>Opšti zaključak</w:t>
      </w:r>
      <w:bookmarkEnd w:id="330"/>
      <w:bookmarkEnd w:id="331"/>
    </w:p>
    <w:p w14:paraId="5E722A38" w14:textId="77777777" w:rsidR="002B20A9" w:rsidRPr="00C86111" w:rsidRDefault="002B20A9" w:rsidP="002B20A9">
      <w:pPr>
        <w:jc w:val="both"/>
        <w:rPr>
          <w:rFonts w:asciiTheme="minorHAnsi" w:hAnsiTheme="minorHAnsi" w:cstheme="minorHAnsi"/>
        </w:rPr>
      </w:pPr>
      <w:r w:rsidRPr="00C86111">
        <w:rPr>
          <w:rFonts w:asciiTheme="minorHAnsi" w:hAnsiTheme="minorHAnsi" w:cstheme="minorHAnsi"/>
        </w:rPr>
        <w:t xml:space="preserve">Iako su </w:t>
      </w:r>
      <w:r w:rsidRPr="00C86111">
        <w:rPr>
          <w:rStyle w:val="Strong"/>
          <w:rFonts w:asciiTheme="minorHAnsi" w:hAnsiTheme="minorHAnsi" w:cstheme="minorHAnsi"/>
          <w:b w:val="0"/>
          <w:bCs w:val="0"/>
        </w:rPr>
        <w:t>apsolutne količine PFOS-a u Crnoj Gori relativno umjerene</w:t>
      </w:r>
      <w:r w:rsidRPr="00C86111">
        <w:rPr>
          <w:rFonts w:asciiTheme="minorHAnsi" w:hAnsiTheme="minorHAnsi" w:cstheme="minorHAnsi"/>
        </w:rPr>
        <w:t xml:space="preserve"> u poređenju sa globalnim nivoima, njegova </w:t>
      </w:r>
      <w:r w:rsidRPr="00C86111">
        <w:rPr>
          <w:rStyle w:val="Strong"/>
          <w:rFonts w:asciiTheme="minorHAnsi" w:hAnsiTheme="minorHAnsi" w:cstheme="minorHAnsi"/>
          <w:b w:val="0"/>
          <w:bCs w:val="0"/>
        </w:rPr>
        <w:t>postojanost, bioakumulativni potencijal i toksični efekti</w:t>
      </w:r>
      <w:r w:rsidRPr="00C86111">
        <w:rPr>
          <w:rFonts w:asciiTheme="minorHAnsi" w:hAnsiTheme="minorHAnsi" w:cstheme="minorHAnsi"/>
        </w:rPr>
        <w:t xml:space="preserve"> znače da i </w:t>
      </w:r>
      <w:r w:rsidRPr="00C86111">
        <w:rPr>
          <w:rStyle w:val="Strong"/>
          <w:rFonts w:asciiTheme="minorHAnsi" w:hAnsiTheme="minorHAnsi" w:cstheme="minorHAnsi"/>
          <w:b w:val="0"/>
          <w:bCs w:val="0"/>
        </w:rPr>
        <w:t>male količine mogu predstavljati dugoročni rizik</w:t>
      </w:r>
      <w:r w:rsidRPr="00C86111">
        <w:rPr>
          <w:rFonts w:asciiTheme="minorHAnsi" w:hAnsiTheme="minorHAnsi" w:cstheme="minorHAnsi"/>
        </w:rPr>
        <w:t>.</w:t>
      </w:r>
    </w:p>
    <w:p w14:paraId="72B9DEDF" w14:textId="443E11DA" w:rsidR="00AA7D50" w:rsidRPr="00C86111" w:rsidRDefault="002B20A9" w:rsidP="002B20A9">
      <w:pPr>
        <w:jc w:val="both"/>
        <w:rPr>
          <w:rFonts w:asciiTheme="minorHAnsi" w:hAnsiTheme="minorHAnsi" w:cstheme="minorHAnsi"/>
          <w:color w:val="auto"/>
        </w:rPr>
      </w:pPr>
      <w:r w:rsidRPr="00C86111">
        <w:rPr>
          <w:rFonts w:asciiTheme="minorHAnsi" w:hAnsiTheme="minorHAnsi" w:cstheme="minorHAnsi"/>
        </w:rPr>
        <w:t xml:space="preserve">Zbog toga je neophodan </w:t>
      </w:r>
      <w:r w:rsidRPr="00C86111">
        <w:rPr>
          <w:rStyle w:val="Strong"/>
          <w:rFonts w:asciiTheme="minorHAnsi" w:hAnsiTheme="minorHAnsi" w:cstheme="minorHAnsi"/>
          <w:b w:val="0"/>
          <w:bCs w:val="0"/>
        </w:rPr>
        <w:t>proaktivan i koordinisan pristup</w:t>
      </w:r>
      <w:r w:rsidRPr="00C86111">
        <w:rPr>
          <w:rFonts w:asciiTheme="minorHAnsi" w:hAnsiTheme="minorHAnsi" w:cstheme="minorHAnsi"/>
        </w:rPr>
        <w:t xml:space="preserve"> između sektora carine, zaštite od požara, upravljanja potrošačkim proizvodima i sistemima otpada. Sprovođenjem navedenih preporuka Crna Gora će moći da zaštiti </w:t>
      </w:r>
      <w:r w:rsidRPr="00C86111">
        <w:rPr>
          <w:rStyle w:val="Strong"/>
          <w:rFonts w:asciiTheme="minorHAnsi" w:hAnsiTheme="minorHAnsi" w:cstheme="minorHAnsi"/>
          <w:b w:val="0"/>
          <w:bCs w:val="0"/>
        </w:rPr>
        <w:t>zdravlje stanovništva</w:t>
      </w:r>
      <w:r w:rsidRPr="00C86111">
        <w:rPr>
          <w:rFonts w:asciiTheme="minorHAnsi" w:hAnsiTheme="minorHAnsi" w:cstheme="minorHAnsi"/>
        </w:rPr>
        <w:t xml:space="preserve">, očuva </w:t>
      </w:r>
      <w:r w:rsidRPr="00C86111">
        <w:rPr>
          <w:rStyle w:val="Strong"/>
          <w:rFonts w:asciiTheme="minorHAnsi" w:hAnsiTheme="minorHAnsi" w:cstheme="minorHAnsi"/>
          <w:b w:val="0"/>
          <w:bCs w:val="0"/>
        </w:rPr>
        <w:t>životnu sredinu</w:t>
      </w:r>
      <w:r w:rsidRPr="00C86111">
        <w:rPr>
          <w:rFonts w:asciiTheme="minorHAnsi" w:hAnsiTheme="minorHAnsi" w:cstheme="minorHAnsi"/>
        </w:rPr>
        <w:t xml:space="preserve"> i </w:t>
      </w:r>
      <w:r w:rsidRPr="00C86111">
        <w:rPr>
          <w:rStyle w:val="Strong"/>
          <w:rFonts w:asciiTheme="minorHAnsi" w:hAnsiTheme="minorHAnsi" w:cstheme="minorHAnsi"/>
          <w:b w:val="0"/>
          <w:bCs w:val="0"/>
        </w:rPr>
        <w:t>u potpunosti uskladi svoje postupanje sa obavezama Evropske unije i međunarodnim standardima</w:t>
      </w:r>
      <w:r w:rsidRPr="00C86111">
        <w:rPr>
          <w:rFonts w:asciiTheme="minorHAnsi" w:hAnsiTheme="minorHAnsi" w:cstheme="minorHAnsi"/>
        </w:rPr>
        <w:t xml:space="preserve"> koji se odnose na postojana organska zagađujuća materije (POPs).</w:t>
      </w:r>
      <w:bookmarkEnd w:id="206"/>
      <w:bookmarkEnd w:id="207"/>
    </w:p>
    <w:p w14:paraId="138955C5" w14:textId="77777777" w:rsidR="002B20A9" w:rsidRPr="00C86111" w:rsidRDefault="002B20A9" w:rsidP="00912C4C">
      <w:pPr>
        <w:pStyle w:val="Heading1"/>
        <w:rPr>
          <w:bCs/>
        </w:rPr>
      </w:pPr>
      <w:bookmarkStart w:id="332" w:name="_Toc220541946"/>
      <w:r w:rsidRPr="00C86111">
        <w:lastRenderedPageBreak/>
        <w:t>Inventar PFOA, njegovih soli i PFOA-sličnih jedinjenja, PFHxS, njegovih soli i PFHxS-sličnih jedinjenja</w:t>
      </w:r>
      <w:bookmarkEnd w:id="332"/>
    </w:p>
    <w:p w14:paraId="62591636" w14:textId="77777777" w:rsidR="002B20A9" w:rsidRPr="00C86111" w:rsidRDefault="002B20A9" w:rsidP="00EA6904">
      <w:pPr>
        <w:pStyle w:val="Heading3"/>
      </w:pPr>
      <w:bookmarkStart w:id="333" w:name="_Toc210632567"/>
      <w:bookmarkStart w:id="334" w:name="_Toc220541947"/>
      <w:r w:rsidRPr="00C86111">
        <w:t>Uvod</w:t>
      </w:r>
      <w:bookmarkEnd w:id="333"/>
      <w:bookmarkEnd w:id="334"/>
    </w:p>
    <w:p w14:paraId="0EB5FF1F" w14:textId="77777777" w:rsidR="002B20A9" w:rsidRPr="00C86111" w:rsidRDefault="002B20A9" w:rsidP="002B20A9">
      <w:pPr>
        <w:jc w:val="both"/>
      </w:pPr>
    </w:p>
    <w:p w14:paraId="7708F225" w14:textId="77777777" w:rsidR="002B20A9" w:rsidRPr="00C86111" w:rsidRDefault="002B20A9" w:rsidP="002B20A9">
      <w:pPr>
        <w:jc w:val="both"/>
        <w:rPr>
          <w:rFonts w:asciiTheme="minorHAnsi" w:hAnsiTheme="minorHAnsi" w:cstheme="minorHAnsi"/>
        </w:rPr>
      </w:pPr>
      <w:r w:rsidRPr="00C86111">
        <w:rPr>
          <w:rFonts w:asciiTheme="minorHAnsi" w:hAnsiTheme="minorHAnsi" w:cstheme="minorHAnsi"/>
        </w:rPr>
        <w:t xml:space="preserve">PFOA (perfluorooktanska kiselina) i PFHxS (perfluorheksan sulfonska kiselina) pripadaju široj grupi </w:t>
      </w:r>
      <w:r w:rsidRPr="00C86111">
        <w:rPr>
          <w:rStyle w:val="Strong"/>
          <w:rFonts w:asciiTheme="minorHAnsi" w:hAnsiTheme="minorHAnsi" w:cstheme="minorHAnsi"/>
          <w:b w:val="0"/>
          <w:bCs w:val="0"/>
        </w:rPr>
        <w:t>per- i polifluoriranih alkil jedinjenja (PFAS)</w:t>
      </w:r>
      <w:r w:rsidRPr="00C86111">
        <w:rPr>
          <w:rFonts w:asciiTheme="minorHAnsi" w:hAnsiTheme="minorHAnsi" w:cstheme="minorHAnsi"/>
        </w:rPr>
        <w:t xml:space="preserve">, koja se koriste zbog svojih jedinstvenih hemijskih i fizičkih osobina. Ova jedinjenja karakterišu izuzetna </w:t>
      </w:r>
      <w:r w:rsidRPr="00C86111">
        <w:rPr>
          <w:rStyle w:val="Strong"/>
          <w:rFonts w:asciiTheme="minorHAnsi" w:hAnsiTheme="minorHAnsi" w:cstheme="minorHAnsi"/>
          <w:b w:val="0"/>
          <w:bCs w:val="0"/>
        </w:rPr>
        <w:t>hemijska i termička stabilnost</w:t>
      </w:r>
      <w:r w:rsidRPr="00C86111">
        <w:rPr>
          <w:rFonts w:asciiTheme="minorHAnsi" w:hAnsiTheme="minorHAnsi" w:cstheme="minorHAnsi"/>
        </w:rPr>
        <w:t xml:space="preserve">, niska površinska energija, kao i hidro- i lipofobna svojstva, što ih čini pogodnim za široku industrijsku i komercijalnu upotrebu. Međutim, njihove perzistentne, bioakumulativne i toksične karakteristike predstavljaju ozbiljan rizik za životnu sredinu i ljudsko zdravlje, što je dovelo do toga da se nađu na POPs listi Stokholmske konvencije. </w:t>
      </w:r>
    </w:p>
    <w:p w14:paraId="2D3E63E3" w14:textId="77777777" w:rsidR="002B20A9" w:rsidRPr="00C86111" w:rsidRDefault="002B20A9" w:rsidP="002B20A9">
      <w:pPr>
        <w:jc w:val="both"/>
        <w:rPr>
          <w:rFonts w:asciiTheme="minorHAnsi" w:hAnsiTheme="minorHAnsi" w:cstheme="minorHAnsi"/>
        </w:rPr>
      </w:pPr>
      <w:r w:rsidRPr="00C86111">
        <w:rPr>
          <w:rFonts w:asciiTheme="minorHAnsi" w:hAnsiTheme="minorHAnsi" w:cstheme="minorHAnsi"/>
        </w:rPr>
        <w:t xml:space="preserve">PFOA karakteriše dug lanac sa </w:t>
      </w:r>
      <w:r w:rsidRPr="00C86111">
        <w:rPr>
          <w:rStyle w:val="Strong"/>
          <w:rFonts w:asciiTheme="minorHAnsi" w:hAnsiTheme="minorHAnsi" w:cstheme="minorHAnsi"/>
          <w:b w:val="0"/>
          <w:bCs w:val="0"/>
        </w:rPr>
        <w:t>osam atoma ugljenika</w:t>
      </w:r>
      <w:r w:rsidRPr="00C86111">
        <w:rPr>
          <w:rFonts w:asciiTheme="minorHAnsi" w:hAnsiTheme="minorHAnsi" w:cstheme="minorHAnsi"/>
        </w:rPr>
        <w:t xml:space="preserve"> vezanih sa atomima fluora (C8), uz karboksilnu grupu. Upravo ove jake </w:t>
      </w:r>
      <w:r w:rsidRPr="00C86111">
        <w:rPr>
          <w:rStyle w:val="Strong"/>
          <w:rFonts w:asciiTheme="minorHAnsi" w:hAnsiTheme="minorHAnsi" w:cstheme="minorHAnsi"/>
          <w:b w:val="0"/>
          <w:bCs w:val="0"/>
        </w:rPr>
        <w:t>ugljenično-fluorne (C-F) veze</w:t>
      </w:r>
      <w:r w:rsidRPr="00C86111">
        <w:rPr>
          <w:rFonts w:asciiTheme="minorHAnsi" w:hAnsiTheme="minorHAnsi" w:cstheme="minorHAnsi"/>
        </w:rPr>
        <w:t xml:space="preserve">, koje su među najstabilnijim vezama u prirodi, čine PFOA gotovo nerazgradivim u vodi, tlu i sedimentu. Toksičnost PFOA izaziva posebnu zabrinutost zbog njegovog bioakumulativnog potencijala i sposobnosti da se biomagnifikuje kroz lanac ishrane.  </w:t>
      </w:r>
    </w:p>
    <w:p w14:paraId="4D8ACB6A" w14:textId="77777777" w:rsidR="002B20A9" w:rsidRPr="00C86111" w:rsidRDefault="002B20A9" w:rsidP="002B20A9">
      <w:pPr>
        <w:jc w:val="both"/>
        <w:rPr>
          <w:rFonts w:asciiTheme="minorHAnsi" w:hAnsiTheme="minorHAnsi" w:cstheme="minorHAnsi"/>
        </w:rPr>
      </w:pPr>
      <w:r w:rsidRPr="00C86111">
        <w:rPr>
          <w:rStyle w:val="Strong"/>
          <w:rFonts w:asciiTheme="minorHAnsi" w:hAnsiTheme="minorHAnsi" w:cstheme="minorHAnsi"/>
          <w:b w:val="0"/>
          <w:bCs w:val="0"/>
        </w:rPr>
        <w:t>PFHxS</w:t>
      </w:r>
      <w:r w:rsidRPr="00C86111">
        <w:rPr>
          <w:rFonts w:asciiTheme="minorHAnsi" w:hAnsiTheme="minorHAnsi" w:cstheme="minorHAnsi"/>
        </w:rPr>
        <w:t xml:space="preserve"> (perfluorheksan sulfonska kiselina) i njene soli predstavljaju sličnu supstancu sa kraćim lancem od PFOA, sastavljenim od </w:t>
      </w:r>
      <w:r w:rsidRPr="00C86111">
        <w:rPr>
          <w:rStyle w:val="Strong"/>
          <w:rFonts w:asciiTheme="minorHAnsi" w:hAnsiTheme="minorHAnsi" w:cstheme="minorHAnsi"/>
          <w:b w:val="0"/>
          <w:bCs w:val="0"/>
        </w:rPr>
        <w:t>šest atoma ugljenika</w:t>
      </w:r>
      <w:r w:rsidRPr="00C86111">
        <w:rPr>
          <w:rFonts w:asciiTheme="minorHAnsi" w:hAnsiTheme="minorHAnsi" w:cstheme="minorHAnsi"/>
        </w:rPr>
        <w:t xml:space="preserve"> vezanih sa fluorom (C6), uz sulfonatnu funkcionalnu grupu. Iako PFHxS ima nešto kraći lanac u poređenju sa PFOA, pokazuje </w:t>
      </w:r>
      <w:r w:rsidRPr="00C86111">
        <w:rPr>
          <w:rStyle w:val="Strong"/>
          <w:rFonts w:asciiTheme="minorHAnsi" w:hAnsiTheme="minorHAnsi" w:cstheme="minorHAnsi"/>
          <w:b w:val="0"/>
          <w:bCs w:val="0"/>
        </w:rPr>
        <w:t>sličnu otpornost na hemijsku i biološku razgradnju</w:t>
      </w:r>
      <w:r w:rsidRPr="00C86111">
        <w:rPr>
          <w:rFonts w:asciiTheme="minorHAnsi" w:hAnsiTheme="minorHAnsi" w:cstheme="minorHAnsi"/>
        </w:rPr>
        <w:t xml:space="preserve">, što ga čini izuzetno perzistentnim u životnoj sredini. </w:t>
      </w:r>
    </w:p>
    <w:p w14:paraId="60AA7414" w14:textId="77777777" w:rsidR="002B20A9" w:rsidRPr="00C86111" w:rsidRDefault="002B20A9" w:rsidP="002B20A9">
      <w:pPr>
        <w:jc w:val="both"/>
        <w:rPr>
          <w:rFonts w:asciiTheme="minorHAnsi" w:hAnsiTheme="minorHAnsi" w:cstheme="minorHAnsi"/>
        </w:rPr>
      </w:pPr>
      <w:r w:rsidRPr="00C86111">
        <w:rPr>
          <w:rFonts w:asciiTheme="minorHAnsi" w:hAnsiTheme="minorHAnsi" w:cstheme="minorHAnsi"/>
        </w:rPr>
        <w:t>Zajednički izazov koji predstavljaju PFOA i PFHxS leži u njihovom prisustvu u širokom spektru proizvoda i otpada. Njihova otpornost na degradaciju i sposobnost akumulacije u ekosistemima zahtijevaju specifične mjere upravljanja i tretmana otpada, kao i uspostavljanje redovnog monitoringa kontaminiranih lokacija, voda i zemljišta.</w:t>
      </w:r>
    </w:p>
    <w:p w14:paraId="1478FB5D" w14:textId="77777777" w:rsidR="002B20A9" w:rsidRPr="00C86111" w:rsidRDefault="002B20A9" w:rsidP="00EA6904">
      <w:pPr>
        <w:pStyle w:val="Heading3"/>
        <w:rPr>
          <w:rStyle w:val="Strong"/>
          <w:b/>
          <w:bCs/>
        </w:rPr>
      </w:pPr>
      <w:bookmarkStart w:id="335" w:name="_Toc210632568"/>
      <w:bookmarkStart w:id="336" w:name="_Toc220541948"/>
      <w:r w:rsidRPr="00C86111">
        <w:rPr>
          <w:rStyle w:val="Strong"/>
          <w:bCs/>
        </w:rPr>
        <w:t>Primjena PFOA</w:t>
      </w:r>
      <w:bookmarkEnd w:id="335"/>
      <w:bookmarkEnd w:id="336"/>
    </w:p>
    <w:p w14:paraId="004FC8AD" w14:textId="77777777" w:rsidR="002B20A9" w:rsidRPr="00C86111" w:rsidRDefault="002B20A9" w:rsidP="002B20A9">
      <w:pPr>
        <w:jc w:val="both"/>
        <w:rPr>
          <w:rStyle w:val="Strong"/>
          <w:b w:val="0"/>
          <w:bCs w:val="0"/>
          <w:i/>
          <w:iCs/>
          <w:color w:val="002060"/>
        </w:rPr>
      </w:pPr>
    </w:p>
    <w:p w14:paraId="0FD23692"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PFOA se tokom decenija intenzivno koristila u različitim industrijskim i komercijalnim primjenama, posebno kao pomoćno sredstvo u procesima proizvodnje, ali i kao komponenta u mnogim završnim proizvodima.</w:t>
      </w:r>
    </w:p>
    <w:p w14:paraId="0E84287B" w14:textId="77777777" w:rsidR="002B20A9" w:rsidRPr="00C86111" w:rsidRDefault="002B20A9" w:rsidP="002B20A9">
      <w:pPr>
        <w:jc w:val="both"/>
        <w:rPr>
          <w:rFonts w:asciiTheme="minorHAnsi" w:hAnsiTheme="minorHAnsi" w:cstheme="minorHAnsi"/>
          <w:b/>
          <w:bCs/>
          <w:color w:val="002060"/>
        </w:rPr>
      </w:pPr>
      <w:r w:rsidRPr="00C86111">
        <w:rPr>
          <w:rStyle w:val="Strong"/>
          <w:rFonts w:asciiTheme="minorHAnsi" w:hAnsiTheme="minorHAnsi" w:cstheme="minorHAnsi"/>
          <w:b w:val="0"/>
          <w:bCs w:val="0"/>
          <w:color w:val="002060"/>
        </w:rPr>
        <w:t>Emulgator u proizvodnji fluoropolimera</w:t>
      </w:r>
    </w:p>
    <w:p w14:paraId="7F11A352"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PFOA je imala ključnu ulogu u procesu polimerizacije za proizvodnju </w:t>
      </w:r>
      <w:r w:rsidRPr="00C86111">
        <w:rPr>
          <w:rStyle w:val="Strong"/>
          <w:rFonts w:asciiTheme="minorHAnsi" w:hAnsiTheme="minorHAnsi" w:cstheme="minorHAnsi"/>
          <w:b w:val="0"/>
          <w:bCs w:val="0"/>
          <w:color w:val="auto"/>
          <w:szCs w:val="24"/>
        </w:rPr>
        <w:t>politetrafluoroetilena (PTFE)</w:t>
      </w:r>
      <w:r w:rsidRPr="00C86111">
        <w:rPr>
          <w:rFonts w:asciiTheme="minorHAnsi" w:hAnsiTheme="minorHAnsi" w:cstheme="minorHAnsi"/>
          <w:b/>
          <w:bCs/>
          <w:color w:val="auto"/>
        </w:rPr>
        <w:t>,</w:t>
      </w:r>
      <w:r w:rsidRPr="00C86111">
        <w:rPr>
          <w:rFonts w:asciiTheme="minorHAnsi" w:hAnsiTheme="minorHAnsi" w:cstheme="minorHAnsi"/>
          <w:color w:val="auto"/>
        </w:rPr>
        <w:t xml:space="preserve"> poznatog kao </w:t>
      </w:r>
      <w:r w:rsidRPr="00C86111">
        <w:rPr>
          <w:rStyle w:val="Strong"/>
          <w:rFonts w:asciiTheme="minorHAnsi" w:hAnsiTheme="minorHAnsi" w:cstheme="minorHAnsi"/>
          <w:b w:val="0"/>
          <w:bCs w:val="0"/>
          <w:color w:val="auto"/>
          <w:szCs w:val="24"/>
        </w:rPr>
        <w:t>Teflon</w:t>
      </w:r>
      <w:r w:rsidRPr="00C86111">
        <w:rPr>
          <w:rFonts w:asciiTheme="minorHAnsi" w:hAnsiTheme="minorHAnsi" w:cstheme="minorHAnsi"/>
          <w:b/>
          <w:bCs/>
          <w:color w:val="auto"/>
        </w:rPr>
        <w:t>.</w:t>
      </w:r>
      <w:r w:rsidRPr="00C86111">
        <w:rPr>
          <w:rFonts w:asciiTheme="minorHAnsi" w:hAnsiTheme="minorHAnsi" w:cstheme="minorHAnsi"/>
          <w:color w:val="auto"/>
        </w:rPr>
        <w:t xml:space="preserve"> Fluoropolimeri su našli široku primjenu zbog svoje otpornosti na visoke temperature, hemijsku koroziju i habanje. </w:t>
      </w:r>
      <w:r w:rsidRPr="00C86111">
        <w:rPr>
          <w:rStyle w:val="Strong"/>
          <w:rFonts w:asciiTheme="minorHAnsi" w:hAnsiTheme="minorHAnsi" w:cstheme="minorHAnsi"/>
          <w:b w:val="0"/>
          <w:bCs w:val="0"/>
          <w:color w:val="auto"/>
          <w:szCs w:val="24"/>
        </w:rPr>
        <w:t>Proizvodi sa PTFE premazima</w:t>
      </w:r>
      <w:r w:rsidRPr="00C86111">
        <w:rPr>
          <w:rFonts w:asciiTheme="minorHAnsi" w:hAnsiTheme="minorHAnsi" w:cstheme="minorHAnsi"/>
          <w:color w:val="auto"/>
        </w:rPr>
        <w:t xml:space="preserve"> uključuju kuhinjsko posuđe sa nelepljivim premazom, industrijsku opremu, medicinske uređaje i električnu izolaciju.</w:t>
      </w:r>
    </w:p>
    <w:p w14:paraId="62B36C5E" w14:textId="77777777" w:rsidR="002B20A9" w:rsidRPr="00C86111" w:rsidRDefault="002B20A9" w:rsidP="002B20A9">
      <w:pPr>
        <w:jc w:val="both"/>
        <w:rPr>
          <w:rFonts w:asciiTheme="minorHAnsi" w:hAnsiTheme="minorHAnsi" w:cstheme="minorHAnsi"/>
          <w:b/>
          <w:bCs/>
          <w:color w:val="002060"/>
        </w:rPr>
      </w:pPr>
      <w:r w:rsidRPr="00C86111">
        <w:rPr>
          <w:rStyle w:val="Strong"/>
          <w:rFonts w:asciiTheme="minorHAnsi" w:hAnsiTheme="minorHAnsi" w:cstheme="minorHAnsi"/>
          <w:b w:val="0"/>
          <w:bCs w:val="0"/>
          <w:color w:val="002060"/>
        </w:rPr>
        <w:t>Tekstilna i papirna industrija</w:t>
      </w:r>
    </w:p>
    <w:p w14:paraId="18512DA3"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PFOA je korišćena za tretman tekstila i papira kako bi im se obezbjedila </w:t>
      </w:r>
      <w:r w:rsidRPr="00C86111">
        <w:rPr>
          <w:rStyle w:val="Strong"/>
          <w:rFonts w:asciiTheme="minorHAnsi" w:hAnsiTheme="minorHAnsi" w:cstheme="minorHAnsi"/>
          <w:b w:val="0"/>
          <w:bCs w:val="0"/>
          <w:color w:val="auto"/>
          <w:szCs w:val="24"/>
        </w:rPr>
        <w:t>vodootpornost, otpornost na mrlje i masnoće</w:t>
      </w:r>
      <w:r w:rsidRPr="00C86111">
        <w:rPr>
          <w:rFonts w:asciiTheme="minorHAnsi" w:hAnsiTheme="minorHAnsi" w:cstheme="minorHAnsi"/>
          <w:b/>
          <w:bCs/>
          <w:color w:val="auto"/>
        </w:rPr>
        <w:t xml:space="preserve">. </w:t>
      </w:r>
      <w:r w:rsidRPr="00C86111">
        <w:rPr>
          <w:rStyle w:val="Strong"/>
          <w:rFonts w:asciiTheme="minorHAnsi" w:hAnsiTheme="minorHAnsi" w:cstheme="minorHAnsi"/>
          <w:b w:val="0"/>
          <w:bCs w:val="0"/>
          <w:color w:val="auto"/>
          <w:szCs w:val="24"/>
        </w:rPr>
        <w:t>Proizvodi</w:t>
      </w:r>
      <w:r w:rsidRPr="00C86111">
        <w:rPr>
          <w:rFonts w:asciiTheme="minorHAnsi" w:hAnsiTheme="minorHAnsi" w:cstheme="minorHAnsi"/>
          <w:b/>
          <w:bCs/>
          <w:color w:val="auto"/>
        </w:rPr>
        <w:t>:</w:t>
      </w:r>
      <w:r w:rsidRPr="00C86111">
        <w:rPr>
          <w:rFonts w:asciiTheme="minorHAnsi" w:hAnsiTheme="minorHAnsi" w:cstheme="minorHAnsi"/>
          <w:color w:val="auto"/>
        </w:rPr>
        <w:t xml:space="preserve"> Vodootporna odjeća, zaštitni materijali, tepisi, tapacirani nameštaj, ambalaža za brzu hranu i papir za pečenje.</w:t>
      </w:r>
    </w:p>
    <w:p w14:paraId="5C1DC1FB" w14:textId="77777777" w:rsidR="00AA7D50" w:rsidRDefault="00AA7D50" w:rsidP="002B20A9">
      <w:pPr>
        <w:jc w:val="both"/>
        <w:rPr>
          <w:rFonts w:asciiTheme="minorHAnsi" w:hAnsiTheme="minorHAnsi" w:cstheme="minorHAnsi"/>
          <w:color w:val="auto"/>
        </w:rPr>
      </w:pPr>
    </w:p>
    <w:p w14:paraId="52EB7173" w14:textId="77777777" w:rsidR="00D966EC" w:rsidRDefault="00D966EC" w:rsidP="002B20A9">
      <w:pPr>
        <w:jc w:val="both"/>
        <w:rPr>
          <w:rFonts w:asciiTheme="minorHAnsi" w:hAnsiTheme="minorHAnsi" w:cstheme="minorHAnsi"/>
          <w:color w:val="auto"/>
        </w:rPr>
      </w:pPr>
    </w:p>
    <w:p w14:paraId="28FA3341" w14:textId="77777777" w:rsidR="00D966EC" w:rsidRDefault="00D966EC" w:rsidP="002B20A9">
      <w:pPr>
        <w:jc w:val="both"/>
        <w:rPr>
          <w:rFonts w:asciiTheme="minorHAnsi" w:hAnsiTheme="minorHAnsi" w:cstheme="minorHAnsi"/>
          <w:color w:val="auto"/>
        </w:rPr>
      </w:pPr>
    </w:p>
    <w:p w14:paraId="38F971D0" w14:textId="77777777" w:rsidR="00D966EC" w:rsidRPr="00C86111" w:rsidRDefault="00D966EC" w:rsidP="002B20A9">
      <w:pPr>
        <w:jc w:val="both"/>
        <w:rPr>
          <w:rFonts w:asciiTheme="minorHAnsi" w:hAnsiTheme="minorHAnsi" w:cstheme="minorHAnsi"/>
          <w:color w:val="auto"/>
        </w:rPr>
      </w:pPr>
    </w:p>
    <w:p w14:paraId="7D5097BC" w14:textId="77777777" w:rsidR="002B20A9" w:rsidRDefault="002B20A9" w:rsidP="002B20A9">
      <w:pPr>
        <w:jc w:val="both"/>
        <w:rPr>
          <w:rStyle w:val="Strong"/>
          <w:rFonts w:asciiTheme="minorHAnsi" w:hAnsiTheme="minorHAnsi" w:cstheme="minorHAnsi"/>
          <w:b w:val="0"/>
          <w:bCs w:val="0"/>
          <w:color w:val="002060"/>
        </w:rPr>
      </w:pPr>
      <w:r w:rsidRPr="00C86111">
        <w:rPr>
          <w:rStyle w:val="Strong"/>
          <w:rFonts w:asciiTheme="minorHAnsi" w:hAnsiTheme="minorHAnsi" w:cstheme="minorHAnsi"/>
          <w:b w:val="0"/>
          <w:bCs w:val="0"/>
          <w:color w:val="002060"/>
        </w:rPr>
        <w:lastRenderedPageBreak/>
        <w:t>Protivpožarne pjene (AFFF)</w:t>
      </w:r>
    </w:p>
    <w:p w14:paraId="3341CC12" w14:textId="77777777" w:rsidR="00D966EC" w:rsidRPr="00C86111" w:rsidRDefault="00D966EC" w:rsidP="002B20A9">
      <w:pPr>
        <w:jc w:val="both"/>
        <w:rPr>
          <w:rFonts w:asciiTheme="minorHAnsi" w:hAnsiTheme="minorHAnsi" w:cstheme="minorHAnsi"/>
          <w:b/>
          <w:bCs/>
          <w:color w:val="002060"/>
        </w:rPr>
      </w:pPr>
    </w:p>
    <w:p w14:paraId="17D9F91E"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PFOA je korišćena u proizvodnji </w:t>
      </w:r>
      <w:r w:rsidRPr="00C86111">
        <w:rPr>
          <w:rStyle w:val="Strong"/>
          <w:rFonts w:asciiTheme="minorHAnsi" w:hAnsiTheme="minorHAnsi" w:cstheme="minorHAnsi"/>
          <w:b w:val="0"/>
          <w:bCs w:val="0"/>
          <w:color w:val="auto"/>
          <w:szCs w:val="24"/>
        </w:rPr>
        <w:t>protivpožarnih pjena tipa AFFF (Aqueous Film Forming Foam)</w:t>
      </w:r>
      <w:r w:rsidRPr="00C86111">
        <w:rPr>
          <w:rFonts w:asciiTheme="minorHAnsi" w:hAnsiTheme="minorHAnsi" w:cstheme="minorHAnsi"/>
          <w:b/>
          <w:bCs/>
          <w:color w:val="auto"/>
        </w:rPr>
        <w:t>,</w:t>
      </w:r>
      <w:r w:rsidRPr="00C86111">
        <w:rPr>
          <w:rFonts w:asciiTheme="minorHAnsi" w:hAnsiTheme="minorHAnsi" w:cstheme="minorHAnsi"/>
          <w:color w:val="auto"/>
        </w:rPr>
        <w:t xml:space="preserve"> koje su bile ključne za gašenje požara izazvanih zapaljivim tečnostima u Industriji nafte i gasa, Petrohemijskim postrojenjima i Aerodromima</w:t>
      </w:r>
    </w:p>
    <w:p w14:paraId="2036A414" w14:textId="77777777" w:rsidR="002B20A9" w:rsidRPr="00C86111" w:rsidRDefault="002B20A9" w:rsidP="002B20A9">
      <w:pPr>
        <w:jc w:val="both"/>
        <w:rPr>
          <w:rFonts w:asciiTheme="minorHAnsi" w:hAnsiTheme="minorHAnsi" w:cstheme="minorHAnsi"/>
          <w:b/>
          <w:bCs/>
          <w:color w:val="002060"/>
        </w:rPr>
      </w:pPr>
      <w:r w:rsidRPr="00C86111">
        <w:rPr>
          <w:rStyle w:val="Strong"/>
          <w:rFonts w:asciiTheme="minorHAnsi" w:hAnsiTheme="minorHAnsi" w:cstheme="minorHAnsi"/>
          <w:b w:val="0"/>
          <w:bCs w:val="0"/>
          <w:color w:val="002060"/>
        </w:rPr>
        <w:t>Elektronika i automobilska industrija</w:t>
      </w:r>
    </w:p>
    <w:p w14:paraId="6B41653C"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U elektronskoj industriji, PFOA se koristila kao </w:t>
      </w:r>
      <w:r w:rsidRPr="00C86111">
        <w:rPr>
          <w:rStyle w:val="Strong"/>
          <w:rFonts w:asciiTheme="minorHAnsi" w:hAnsiTheme="minorHAnsi" w:cstheme="minorHAnsi"/>
          <w:b w:val="0"/>
          <w:bCs w:val="0"/>
          <w:color w:val="auto"/>
          <w:szCs w:val="24"/>
        </w:rPr>
        <w:t>antistatički premaz</w:t>
      </w:r>
      <w:r w:rsidRPr="00C86111">
        <w:rPr>
          <w:rFonts w:asciiTheme="minorHAnsi" w:hAnsiTheme="minorHAnsi" w:cstheme="minorHAnsi"/>
          <w:color w:val="auto"/>
        </w:rPr>
        <w:t xml:space="preserve"> i zaštitni sloj u elektronskim komponentama.</w:t>
      </w:r>
    </w:p>
    <w:p w14:paraId="46D5A40F"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U automobilskoj industriji, primenjivana je u </w:t>
      </w:r>
      <w:r w:rsidRPr="00C86111">
        <w:rPr>
          <w:rStyle w:val="Strong"/>
          <w:rFonts w:asciiTheme="minorHAnsi" w:hAnsiTheme="minorHAnsi" w:cstheme="minorHAnsi"/>
          <w:b w:val="0"/>
          <w:bCs w:val="0"/>
          <w:color w:val="auto"/>
          <w:szCs w:val="24"/>
        </w:rPr>
        <w:t>premazima i mazivima</w:t>
      </w:r>
      <w:r w:rsidRPr="00C86111">
        <w:rPr>
          <w:rFonts w:asciiTheme="minorHAnsi" w:hAnsiTheme="minorHAnsi" w:cstheme="minorHAnsi"/>
          <w:color w:val="auto"/>
        </w:rPr>
        <w:t xml:space="preserve"> za zaštitu od korozije i ekstremnih temperatura.</w:t>
      </w:r>
    </w:p>
    <w:p w14:paraId="62A86FB5" w14:textId="5C63634B" w:rsidR="002B20A9" w:rsidRPr="00C86111" w:rsidRDefault="002B20A9" w:rsidP="002B20A9">
      <w:pPr>
        <w:jc w:val="both"/>
        <w:rPr>
          <w:rFonts w:asciiTheme="minorHAnsi" w:hAnsiTheme="minorHAnsi" w:cstheme="minorHAnsi"/>
        </w:rPr>
      </w:pPr>
      <w:r w:rsidRPr="00C86111">
        <w:rPr>
          <w:rFonts w:asciiTheme="minorHAnsi" w:hAnsiTheme="minorHAnsi" w:cstheme="minorHAnsi"/>
        </w:rPr>
        <w:t xml:space="preserve">Danas je primjena PFOA značajno smanjena ili potpuno zabranjena u mnogim zemljama zbog prepoznatih </w:t>
      </w:r>
      <w:r w:rsidRPr="00C86111">
        <w:rPr>
          <w:rStyle w:val="Strong"/>
          <w:rFonts w:asciiTheme="minorHAnsi" w:hAnsiTheme="minorHAnsi" w:cstheme="minorHAnsi"/>
          <w:b w:val="0"/>
          <w:bCs w:val="0"/>
        </w:rPr>
        <w:t>štetnih efekata</w:t>
      </w:r>
      <w:r w:rsidRPr="00C86111">
        <w:rPr>
          <w:rFonts w:asciiTheme="minorHAnsi" w:hAnsiTheme="minorHAnsi" w:cstheme="minorHAnsi"/>
        </w:rPr>
        <w:t xml:space="preserve"> na zdravlje i životnu sredinu.</w:t>
      </w:r>
    </w:p>
    <w:p w14:paraId="72D252E2" w14:textId="77777777" w:rsidR="002B20A9" w:rsidRPr="00C86111" w:rsidRDefault="002B20A9" w:rsidP="00EA6904">
      <w:pPr>
        <w:pStyle w:val="Heading4"/>
        <w:rPr>
          <w:b/>
        </w:rPr>
      </w:pPr>
      <w:bookmarkStart w:id="337" w:name="_Toc210632569"/>
      <w:r w:rsidRPr="00C86111">
        <w:rPr>
          <w:rStyle w:val="Strong"/>
          <w:b w:val="0"/>
        </w:rPr>
        <w:t>Primjena PFHxS</w:t>
      </w:r>
      <w:bookmarkEnd w:id="337"/>
      <w:r w:rsidRPr="00C86111">
        <w:rPr>
          <w:rStyle w:val="Strong"/>
          <w:b w:val="0"/>
        </w:rPr>
        <w:t xml:space="preserve"> </w:t>
      </w:r>
    </w:p>
    <w:p w14:paraId="09C2AA08" w14:textId="77777777" w:rsidR="002B20A9" w:rsidRPr="00C86111" w:rsidRDefault="002B20A9" w:rsidP="002B20A9">
      <w:pPr>
        <w:jc w:val="both"/>
        <w:rPr>
          <w:rFonts w:asciiTheme="minorHAnsi" w:hAnsiTheme="minorHAnsi" w:cstheme="minorHAnsi"/>
        </w:rPr>
      </w:pPr>
      <w:r w:rsidRPr="00C86111">
        <w:rPr>
          <w:rStyle w:val="Strong"/>
          <w:rFonts w:asciiTheme="minorHAnsi" w:hAnsiTheme="minorHAnsi" w:cstheme="minorHAnsi"/>
          <w:b w:val="0"/>
          <w:bCs w:val="0"/>
        </w:rPr>
        <w:t>Perfluoroheksan sulfonska kiselina (PFHxS)</w:t>
      </w:r>
      <w:r w:rsidRPr="00C86111">
        <w:rPr>
          <w:rFonts w:asciiTheme="minorHAnsi" w:hAnsiTheme="minorHAnsi" w:cstheme="minorHAnsi"/>
          <w:b/>
          <w:bCs/>
        </w:rPr>
        <w:t>,</w:t>
      </w:r>
      <w:r w:rsidRPr="00C86111">
        <w:rPr>
          <w:rFonts w:asciiTheme="minorHAnsi" w:hAnsiTheme="minorHAnsi" w:cstheme="minorHAnsi"/>
        </w:rPr>
        <w:t xml:space="preserve"> slično kao i PFOA, korišćena je zbog svojih </w:t>
      </w:r>
      <w:r w:rsidRPr="00C86111">
        <w:rPr>
          <w:rStyle w:val="Strong"/>
          <w:rFonts w:asciiTheme="minorHAnsi" w:hAnsiTheme="minorHAnsi" w:cstheme="minorHAnsi"/>
          <w:b w:val="0"/>
          <w:bCs w:val="0"/>
        </w:rPr>
        <w:t>hidro- i oleofobnih svojstava</w:t>
      </w:r>
      <w:r w:rsidRPr="00C86111">
        <w:rPr>
          <w:rFonts w:asciiTheme="minorHAnsi" w:hAnsiTheme="minorHAnsi" w:cstheme="minorHAnsi"/>
        </w:rPr>
        <w:t xml:space="preserve"> i otpornosti na ekstremne uslove. Iako nije bila toliko rasprostranjena kao PFOA, njena primjena obuhvatala je:</w:t>
      </w:r>
    </w:p>
    <w:p w14:paraId="0C01A730" w14:textId="77777777" w:rsidR="002B20A9" w:rsidRPr="00C86111" w:rsidRDefault="002B20A9" w:rsidP="002B20A9">
      <w:pPr>
        <w:jc w:val="both"/>
        <w:rPr>
          <w:rFonts w:asciiTheme="minorHAnsi" w:hAnsiTheme="minorHAnsi" w:cstheme="minorHAnsi"/>
          <w:b/>
          <w:bCs/>
          <w:color w:val="002060"/>
        </w:rPr>
      </w:pPr>
      <w:r w:rsidRPr="00C86111">
        <w:rPr>
          <w:rStyle w:val="Strong"/>
          <w:rFonts w:asciiTheme="minorHAnsi" w:hAnsiTheme="minorHAnsi" w:cstheme="minorHAnsi"/>
          <w:b w:val="0"/>
          <w:bCs w:val="0"/>
          <w:color w:val="002060"/>
        </w:rPr>
        <w:t>Protivpožarne pjene (AFFF)</w:t>
      </w:r>
    </w:p>
    <w:p w14:paraId="36778B58"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PFHxS je bila sastavni deo formulacija pjena za gašenje požara, posebno u industrijama sa visokim rizikom od zapaljivih tečnosti.</w:t>
      </w:r>
    </w:p>
    <w:p w14:paraId="23297D92" w14:textId="77777777" w:rsidR="002B20A9" w:rsidRPr="00C86111" w:rsidRDefault="002B20A9" w:rsidP="002B20A9">
      <w:pPr>
        <w:jc w:val="both"/>
        <w:rPr>
          <w:rFonts w:asciiTheme="minorHAnsi" w:hAnsiTheme="minorHAnsi" w:cstheme="minorHAnsi"/>
          <w:b/>
          <w:bCs/>
          <w:color w:val="002060"/>
        </w:rPr>
      </w:pPr>
      <w:r w:rsidRPr="00C86111">
        <w:rPr>
          <w:rStyle w:val="Strong"/>
          <w:rFonts w:asciiTheme="minorHAnsi" w:hAnsiTheme="minorHAnsi" w:cstheme="minorHAnsi"/>
          <w:b w:val="0"/>
          <w:bCs w:val="0"/>
          <w:color w:val="002060"/>
        </w:rPr>
        <w:t>Tekstilna industrija</w:t>
      </w:r>
    </w:p>
    <w:p w14:paraId="09C31246"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PFHxS se koristila u tretmanu tekstila kako bi se obezbjedila </w:t>
      </w:r>
      <w:r w:rsidRPr="00C86111">
        <w:rPr>
          <w:rStyle w:val="Strong"/>
          <w:rFonts w:asciiTheme="minorHAnsi" w:hAnsiTheme="minorHAnsi" w:cstheme="minorHAnsi"/>
          <w:b w:val="0"/>
          <w:bCs w:val="0"/>
          <w:color w:val="auto"/>
          <w:szCs w:val="24"/>
        </w:rPr>
        <w:t>otpornost na vodu, ulja i mrlje</w:t>
      </w:r>
      <w:r w:rsidRPr="00C86111">
        <w:rPr>
          <w:rFonts w:asciiTheme="minorHAnsi" w:hAnsiTheme="minorHAnsi" w:cstheme="minorHAnsi"/>
          <w:b/>
          <w:bCs/>
          <w:color w:val="auto"/>
        </w:rPr>
        <w:t>.</w:t>
      </w:r>
    </w:p>
    <w:p w14:paraId="1BA0BECE"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Proizvodi su uključivali vodootpornu odjeću, zaštitne uniforme i druge tekstilne materijale sa specifičnim zahtjevima.</w:t>
      </w:r>
    </w:p>
    <w:p w14:paraId="00C4A13B" w14:textId="77777777" w:rsidR="002B20A9" w:rsidRPr="00C86111" w:rsidRDefault="002B20A9" w:rsidP="002B20A9">
      <w:pPr>
        <w:jc w:val="both"/>
        <w:rPr>
          <w:rFonts w:asciiTheme="minorHAnsi" w:hAnsiTheme="minorHAnsi" w:cstheme="minorHAnsi"/>
          <w:b/>
          <w:bCs/>
          <w:color w:val="002060"/>
        </w:rPr>
      </w:pPr>
      <w:r w:rsidRPr="00C86111">
        <w:rPr>
          <w:rStyle w:val="Strong"/>
          <w:rFonts w:asciiTheme="minorHAnsi" w:hAnsiTheme="minorHAnsi" w:cstheme="minorHAnsi"/>
          <w:b w:val="0"/>
          <w:bCs w:val="0"/>
          <w:color w:val="002060"/>
        </w:rPr>
        <w:t>Proizvodi za impregnaciju i premazi</w:t>
      </w:r>
    </w:p>
    <w:p w14:paraId="126A1759"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PFHxS je primenjivana u </w:t>
      </w:r>
      <w:r w:rsidRPr="00C86111">
        <w:rPr>
          <w:rStyle w:val="Strong"/>
          <w:rFonts w:asciiTheme="minorHAnsi" w:hAnsiTheme="minorHAnsi" w:cstheme="minorHAnsi"/>
          <w:b w:val="0"/>
          <w:bCs w:val="0"/>
          <w:color w:val="auto"/>
          <w:szCs w:val="24"/>
        </w:rPr>
        <w:t>industrijskim premazima</w:t>
      </w:r>
      <w:r w:rsidRPr="00C86111">
        <w:rPr>
          <w:rFonts w:asciiTheme="minorHAnsi" w:hAnsiTheme="minorHAnsi" w:cstheme="minorHAnsi"/>
          <w:color w:val="auto"/>
        </w:rPr>
        <w:t xml:space="preserve"> za metale, plastiku i drvo zbog svoje otpornosti na habanje i hemijska oštećenja.</w:t>
      </w:r>
    </w:p>
    <w:p w14:paraId="0B0E6CAE"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 xml:space="preserve">Upotrebljavala se i za impregnaciju </w:t>
      </w:r>
      <w:r w:rsidRPr="00C86111">
        <w:rPr>
          <w:rStyle w:val="Strong"/>
          <w:rFonts w:asciiTheme="minorHAnsi" w:hAnsiTheme="minorHAnsi" w:cstheme="minorHAnsi"/>
          <w:b w:val="0"/>
          <w:bCs w:val="0"/>
          <w:color w:val="auto"/>
          <w:szCs w:val="24"/>
        </w:rPr>
        <w:t>papirnih proizvoda</w:t>
      </w:r>
      <w:r w:rsidRPr="00C86111">
        <w:rPr>
          <w:rFonts w:asciiTheme="minorHAnsi" w:hAnsiTheme="minorHAnsi" w:cstheme="minorHAnsi"/>
          <w:color w:val="auto"/>
        </w:rPr>
        <w:t xml:space="preserve"> namenjenih za kontakt sa masnom hranom.</w:t>
      </w:r>
    </w:p>
    <w:p w14:paraId="436C08CB" w14:textId="37A5C9D0"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rPr>
        <w:t xml:space="preserve">Primjena PFHxS je danas takođe </w:t>
      </w:r>
      <w:r w:rsidRPr="00C86111">
        <w:rPr>
          <w:rStyle w:val="Strong"/>
          <w:rFonts w:asciiTheme="minorHAnsi" w:hAnsiTheme="minorHAnsi" w:cstheme="minorHAnsi"/>
          <w:b w:val="0"/>
          <w:bCs w:val="0"/>
        </w:rPr>
        <w:t>strogo regulisana</w:t>
      </w:r>
      <w:r w:rsidRPr="00C86111">
        <w:rPr>
          <w:rFonts w:asciiTheme="minorHAnsi" w:hAnsiTheme="minorHAnsi" w:cstheme="minorHAnsi"/>
        </w:rPr>
        <w:t xml:space="preserve"> zbog dokazanih efekata po zdravlje ljudi i štethih uticaja na životnu sredinu.</w:t>
      </w:r>
      <w:r w:rsidRPr="00C86111">
        <w:rPr>
          <w:rFonts w:asciiTheme="minorHAnsi" w:hAnsiTheme="minorHAnsi" w:cstheme="minorHAnsi"/>
          <w:color w:val="auto"/>
        </w:rPr>
        <w:t xml:space="preserve">U tabeli </w:t>
      </w:r>
      <w:r w:rsidR="00AA7D50" w:rsidRPr="00C86111">
        <w:rPr>
          <w:rFonts w:asciiTheme="minorHAnsi" w:hAnsiTheme="minorHAnsi" w:cstheme="minorHAnsi"/>
          <w:color w:val="auto"/>
        </w:rPr>
        <w:t>80</w:t>
      </w:r>
      <w:r w:rsidRPr="00C86111">
        <w:rPr>
          <w:rFonts w:asciiTheme="minorHAnsi" w:hAnsiTheme="minorHAnsi" w:cstheme="minorHAnsi"/>
          <w:color w:val="auto"/>
        </w:rPr>
        <w:t xml:space="preserve"> dat je detaljan prikaz industrijskih i potrošačkih sektora gdje su korišćeni PFOA i PFHxS.</w:t>
      </w:r>
    </w:p>
    <w:p w14:paraId="229A3112" w14:textId="77777777" w:rsidR="002B20A9" w:rsidRPr="00C86111" w:rsidRDefault="002B20A9" w:rsidP="002B20A9">
      <w:pPr>
        <w:jc w:val="both"/>
        <w:rPr>
          <w:rFonts w:asciiTheme="minorHAnsi" w:hAnsiTheme="minorHAnsi" w:cstheme="minorHAnsi"/>
          <w:color w:val="auto"/>
        </w:rPr>
      </w:pPr>
    </w:p>
    <w:p w14:paraId="10594F1E" w14:textId="3A02C40C"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Tabela </w:t>
      </w:r>
      <w:r w:rsidR="00AA7D50" w:rsidRPr="00C86111">
        <w:rPr>
          <w:rFonts w:asciiTheme="minorHAnsi" w:hAnsiTheme="minorHAnsi" w:cstheme="minorHAnsi"/>
          <w:b/>
          <w:bCs/>
          <w:color w:val="auto"/>
        </w:rPr>
        <w:t>80</w:t>
      </w:r>
      <w:r w:rsidRPr="00C86111">
        <w:rPr>
          <w:rFonts w:asciiTheme="minorHAnsi" w:hAnsiTheme="minorHAnsi" w:cstheme="minorHAnsi"/>
          <w:b/>
          <w:bCs/>
          <w:color w:val="auto"/>
        </w:rPr>
        <w:t>.</w:t>
      </w:r>
      <w:r w:rsidRPr="00C86111">
        <w:rPr>
          <w:rFonts w:asciiTheme="minorHAnsi" w:hAnsiTheme="minorHAnsi" w:cstheme="minorHAnsi"/>
          <w:color w:val="auto"/>
        </w:rPr>
        <w:t xml:space="preserve"> Primjena PFOA i PFHxS </w:t>
      </w:r>
    </w:p>
    <w:tbl>
      <w:tblPr>
        <w:tblStyle w:val="GridTable5Dark-Accent6"/>
        <w:tblW w:w="4926" w:type="pct"/>
        <w:tblLayout w:type="fixed"/>
        <w:tblLook w:val="00A0" w:firstRow="1" w:lastRow="0" w:firstColumn="1" w:lastColumn="0" w:noHBand="0" w:noVBand="0"/>
      </w:tblPr>
      <w:tblGrid>
        <w:gridCol w:w="836"/>
        <w:gridCol w:w="6620"/>
        <w:gridCol w:w="1756"/>
      </w:tblGrid>
      <w:tr w:rsidR="002B20A9" w:rsidRPr="00C86111" w14:paraId="54C90C56" w14:textId="77777777" w:rsidTr="00BC765B">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54" w:type="pct"/>
          </w:tcPr>
          <w:p w14:paraId="4D3CE1A1" w14:textId="77777777" w:rsidR="002B20A9" w:rsidRPr="00C86111" w:rsidRDefault="002B20A9" w:rsidP="00BC765B">
            <w:pPr>
              <w:jc w:val="both"/>
              <w:rPr>
                <w:rFonts w:asciiTheme="minorHAnsi" w:eastAsia="SimSun" w:hAnsiTheme="minorHAnsi" w:cstheme="minorHAnsi"/>
                <w:b w:val="0"/>
                <w:bCs w:val="0"/>
                <w:color w:val="auto"/>
                <w:sz w:val="20"/>
                <w:szCs w:val="20"/>
              </w:rPr>
            </w:pPr>
            <w:r w:rsidRPr="00C86111">
              <w:rPr>
                <w:rFonts w:asciiTheme="minorHAnsi" w:eastAsia="SimSun" w:hAnsiTheme="minorHAnsi" w:cstheme="minorHAnsi"/>
                <w:color w:val="auto"/>
                <w:sz w:val="20"/>
                <w:szCs w:val="20"/>
              </w:rPr>
              <w:t>No.</w:t>
            </w:r>
          </w:p>
        </w:tc>
        <w:tc>
          <w:tcPr>
            <w:cnfStyle w:val="000010000000" w:firstRow="0" w:lastRow="0" w:firstColumn="0" w:lastColumn="0" w:oddVBand="1" w:evenVBand="0" w:oddHBand="0" w:evenHBand="0" w:firstRowFirstColumn="0" w:firstRowLastColumn="0" w:lastRowFirstColumn="0" w:lastRowLastColumn="0"/>
            <w:tcW w:w="3593" w:type="pct"/>
          </w:tcPr>
          <w:p w14:paraId="33A8AC04" w14:textId="77777777" w:rsidR="002B20A9" w:rsidRPr="00C86111" w:rsidRDefault="002B20A9" w:rsidP="00BC765B">
            <w:pPr>
              <w:jc w:val="both"/>
              <w:rPr>
                <w:rFonts w:asciiTheme="minorHAnsi" w:eastAsia="SimSun" w:hAnsiTheme="minorHAnsi" w:cstheme="minorHAnsi"/>
                <w:b w:val="0"/>
                <w:bCs w:val="0"/>
                <w:color w:val="auto"/>
                <w:sz w:val="20"/>
                <w:szCs w:val="20"/>
              </w:rPr>
            </w:pPr>
            <w:r w:rsidRPr="00C86111">
              <w:rPr>
                <w:rFonts w:asciiTheme="minorHAnsi" w:eastAsia="SimSun" w:hAnsiTheme="minorHAnsi" w:cstheme="minorHAnsi"/>
                <w:color w:val="auto"/>
                <w:sz w:val="20"/>
                <w:szCs w:val="20"/>
              </w:rPr>
              <w:t>Proizvodnja i upotreba</w:t>
            </w:r>
          </w:p>
        </w:tc>
        <w:tc>
          <w:tcPr>
            <w:tcW w:w="953" w:type="pct"/>
          </w:tcPr>
          <w:p w14:paraId="68DBD6B7"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SimSun" w:hAnsiTheme="minorHAnsi" w:cstheme="minorHAnsi"/>
                <w:b w:val="0"/>
                <w:bCs w:val="0"/>
                <w:color w:val="auto"/>
                <w:sz w:val="20"/>
                <w:szCs w:val="20"/>
              </w:rPr>
            </w:pPr>
            <w:r w:rsidRPr="00C86111">
              <w:rPr>
                <w:rFonts w:asciiTheme="minorHAnsi" w:eastAsia="SimSun" w:hAnsiTheme="minorHAnsi" w:cstheme="minorHAnsi"/>
                <w:color w:val="auto"/>
                <w:sz w:val="20"/>
                <w:szCs w:val="20"/>
              </w:rPr>
              <w:t>PFOA/PFHxS*</w:t>
            </w:r>
          </w:p>
        </w:tc>
      </w:tr>
      <w:tr w:rsidR="002B20A9" w:rsidRPr="00C86111" w14:paraId="61A7D820"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 w:type="pct"/>
          </w:tcPr>
          <w:p w14:paraId="3FEB21A0"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3A75BD8F"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Proizvodnja politetrafluoroetilena (PTFE) i poliviniliden fluorida (PVDF) (uz korišćenje PFOA, njegovih soli i srodnih jedinjenja)</w:t>
            </w:r>
          </w:p>
        </w:tc>
        <w:tc>
          <w:tcPr>
            <w:tcW w:w="953" w:type="pct"/>
          </w:tcPr>
          <w:p w14:paraId="51F5E6E6"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PFOA</w:t>
            </w:r>
          </w:p>
        </w:tc>
      </w:tr>
      <w:tr w:rsidR="002B20A9" w:rsidRPr="00C86111" w14:paraId="7971B85C" w14:textId="77777777" w:rsidTr="00BC765B">
        <w:tc>
          <w:tcPr>
            <w:cnfStyle w:val="001000000000" w:firstRow="0" w:lastRow="0" w:firstColumn="1" w:lastColumn="0" w:oddVBand="0" w:evenVBand="0" w:oddHBand="0" w:evenHBand="0" w:firstRowFirstColumn="0" w:firstRowLastColumn="0" w:lastRowFirstColumn="0" w:lastRowLastColumn="0"/>
            <w:tcW w:w="454" w:type="pct"/>
          </w:tcPr>
          <w:p w14:paraId="7F1B23E8"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4F3D64C8"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Proizvodnja polifluoroetilen propilena (FEP) (uz korišćenje PFOA, njegovih soli i srodnih jedinjenja)</w:t>
            </w:r>
          </w:p>
        </w:tc>
        <w:tc>
          <w:tcPr>
            <w:tcW w:w="953" w:type="pct"/>
          </w:tcPr>
          <w:p w14:paraId="01501CE9"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PFOA</w:t>
            </w:r>
          </w:p>
        </w:tc>
      </w:tr>
      <w:tr w:rsidR="002B20A9" w:rsidRPr="00C86111" w14:paraId="6BA7859B"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 w:type="pct"/>
          </w:tcPr>
          <w:p w14:paraId="1ABA9796"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035625BF"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Proizvodnja fluoroelastomera za izradu O-prstenova, klinastih kaiševa i plastičnih dodataka za enterijere automobila (uz korišćenje PFOA, njegovih soli i srodnih jedinjenja)</w:t>
            </w:r>
          </w:p>
        </w:tc>
        <w:tc>
          <w:tcPr>
            <w:tcW w:w="953" w:type="pct"/>
          </w:tcPr>
          <w:p w14:paraId="1AF2B21B"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PFOA</w:t>
            </w:r>
          </w:p>
        </w:tc>
      </w:tr>
      <w:tr w:rsidR="002B20A9" w:rsidRPr="00C86111" w14:paraId="4E7BA3C6" w14:textId="77777777" w:rsidTr="00BC765B">
        <w:tc>
          <w:tcPr>
            <w:cnfStyle w:val="001000000000" w:firstRow="0" w:lastRow="0" w:firstColumn="1" w:lastColumn="0" w:oddVBand="0" w:evenVBand="0" w:oddHBand="0" w:evenHBand="0" w:firstRowFirstColumn="0" w:firstRowLastColumn="0" w:lastRowFirstColumn="0" w:lastRowLastColumn="0"/>
            <w:tcW w:w="454" w:type="pct"/>
          </w:tcPr>
          <w:p w14:paraId="14BD764F"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437076DC"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Farmaceutska industrija (uz korišćenje PFOA, njegovih soli i srodnih jedinjenja)</w:t>
            </w:r>
          </w:p>
        </w:tc>
        <w:tc>
          <w:tcPr>
            <w:tcW w:w="953" w:type="pct"/>
          </w:tcPr>
          <w:p w14:paraId="4C8CBEAC"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PFOA</w:t>
            </w:r>
          </w:p>
        </w:tc>
      </w:tr>
      <w:tr w:rsidR="002B20A9" w:rsidRPr="00C86111" w14:paraId="4DB8C2C9"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 w:type="pct"/>
          </w:tcPr>
          <w:p w14:paraId="7846D438"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50485AC2"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Protivpožarna pjena</w:t>
            </w:r>
          </w:p>
        </w:tc>
        <w:tc>
          <w:tcPr>
            <w:tcW w:w="953" w:type="pct"/>
          </w:tcPr>
          <w:p w14:paraId="02CEAC68"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488020D6" w14:textId="77777777" w:rsidTr="00BC765B">
        <w:tc>
          <w:tcPr>
            <w:cnfStyle w:val="001000000000" w:firstRow="0" w:lastRow="0" w:firstColumn="1" w:lastColumn="0" w:oddVBand="0" w:evenVBand="0" w:oddHBand="0" w:evenHBand="0" w:firstRowFirstColumn="0" w:firstRowLastColumn="0" w:lastRowFirstColumn="0" w:lastRowLastColumn="0"/>
            <w:tcW w:w="454" w:type="pct"/>
          </w:tcPr>
          <w:p w14:paraId="44156AEB"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04B3984F"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Medicinski uređaji</w:t>
            </w:r>
          </w:p>
        </w:tc>
        <w:tc>
          <w:tcPr>
            <w:tcW w:w="953" w:type="pct"/>
          </w:tcPr>
          <w:p w14:paraId="78E6C77E"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40D5A33A"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 w:type="pct"/>
          </w:tcPr>
          <w:p w14:paraId="76789984" w14:textId="77777777" w:rsidR="002B20A9" w:rsidRPr="00C86111" w:rsidRDefault="002B20A9" w:rsidP="00004F34">
            <w:pPr>
              <w:pStyle w:val="ListParagraph"/>
              <w:numPr>
                <w:ilvl w:val="0"/>
                <w:numId w:val="168"/>
              </w:numPr>
              <w:jc w:val="both"/>
              <w:rPr>
                <w:rFonts w:asciiTheme="minorHAnsi" w:hAnsiTheme="minorHAnsi" w:cstheme="minorHAnsi"/>
                <w:sz w:val="20"/>
                <w:szCs w:val="20"/>
                <w:lang w:val="en-GB"/>
              </w:rPr>
            </w:pPr>
          </w:p>
        </w:tc>
        <w:tc>
          <w:tcPr>
            <w:cnfStyle w:val="000010000000" w:firstRow="0" w:lastRow="0" w:firstColumn="0" w:lastColumn="0" w:oddVBand="1" w:evenVBand="0" w:oddHBand="0" w:evenHBand="0" w:firstRowFirstColumn="0" w:firstRowLastColumn="0" w:lastRowFirstColumn="0" w:lastRowLastColumn="0"/>
            <w:tcW w:w="3593" w:type="pct"/>
          </w:tcPr>
          <w:p w14:paraId="0BA64CC0" w14:textId="77777777" w:rsidR="002B20A9" w:rsidRPr="00C86111" w:rsidRDefault="002B20A9" w:rsidP="00BC765B">
            <w:pPr>
              <w:jc w:val="both"/>
              <w:rPr>
                <w:rFonts w:asciiTheme="minorHAnsi" w:hAnsiTheme="minorHAnsi" w:cstheme="minorHAnsi"/>
                <w:sz w:val="20"/>
                <w:szCs w:val="20"/>
                <w:lang w:val="en-GB"/>
              </w:rPr>
            </w:pPr>
            <w:r w:rsidRPr="00C86111">
              <w:rPr>
                <w:rFonts w:asciiTheme="minorHAnsi" w:hAnsiTheme="minorHAnsi" w:cstheme="minorHAnsi"/>
                <w:sz w:val="20"/>
                <w:szCs w:val="20"/>
                <w:lang w:val="en-GB"/>
              </w:rPr>
              <w:t>Tekstil i odeća</w:t>
            </w:r>
          </w:p>
        </w:tc>
        <w:tc>
          <w:tcPr>
            <w:tcW w:w="953" w:type="pct"/>
          </w:tcPr>
          <w:p w14:paraId="05DB1588"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75CA3F53" w14:textId="77777777" w:rsidTr="00BC765B">
        <w:tc>
          <w:tcPr>
            <w:cnfStyle w:val="001000000000" w:firstRow="0" w:lastRow="0" w:firstColumn="1" w:lastColumn="0" w:oddVBand="0" w:evenVBand="0" w:oddHBand="0" w:evenHBand="0" w:firstRowFirstColumn="0" w:firstRowLastColumn="0" w:lastRowFirstColumn="0" w:lastRowLastColumn="0"/>
            <w:tcW w:w="454" w:type="pct"/>
          </w:tcPr>
          <w:p w14:paraId="5EE3B0F9" w14:textId="77777777" w:rsidR="002B20A9" w:rsidRPr="00C86111" w:rsidRDefault="002B20A9" w:rsidP="00004F34">
            <w:pPr>
              <w:pStyle w:val="ListParagraph"/>
              <w:numPr>
                <w:ilvl w:val="0"/>
                <w:numId w:val="168"/>
              </w:numPr>
              <w:jc w:val="both"/>
              <w:rPr>
                <w:rFonts w:asciiTheme="minorHAnsi" w:eastAsia="SimSun" w:hAnsiTheme="minorHAnsi" w:cstheme="minorHAnsi"/>
                <w:sz w:val="20"/>
                <w:szCs w:val="20"/>
                <w:lang w:val="en-GB"/>
              </w:rPr>
            </w:pPr>
          </w:p>
        </w:tc>
        <w:tc>
          <w:tcPr>
            <w:cnfStyle w:val="000010000000" w:firstRow="0" w:lastRow="0" w:firstColumn="0" w:lastColumn="0" w:oddVBand="1" w:evenVBand="0" w:oddHBand="0" w:evenHBand="0" w:firstRowFirstColumn="0" w:firstRowLastColumn="0" w:lastRowFirstColumn="0" w:lastRowLastColumn="0"/>
            <w:tcW w:w="3593" w:type="pct"/>
          </w:tcPr>
          <w:p w14:paraId="6009368B" w14:textId="77777777" w:rsidR="002B20A9" w:rsidRPr="00C86111" w:rsidRDefault="002B20A9" w:rsidP="00BC765B">
            <w:pPr>
              <w:jc w:val="both"/>
              <w:rPr>
                <w:rFonts w:asciiTheme="minorHAnsi" w:hAnsiTheme="minorHAnsi" w:cstheme="minorHAnsi"/>
                <w:sz w:val="20"/>
                <w:szCs w:val="20"/>
                <w:lang w:val="en-GB"/>
              </w:rPr>
            </w:pPr>
            <w:r w:rsidRPr="00C86111">
              <w:rPr>
                <w:rFonts w:asciiTheme="minorHAnsi" w:eastAsia="SimSun" w:hAnsiTheme="minorHAnsi" w:cstheme="minorHAnsi"/>
                <w:sz w:val="20"/>
                <w:szCs w:val="20"/>
                <w:lang w:val="en-GB"/>
              </w:rPr>
              <w:t>Koža i tapacirani nameštaj</w:t>
            </w:r>
          </w:p>
        </w:tc>
        <w:tc>
          <w:tcPr>
            <w:tcW w:w="953" w:type="pct"/>
          </w:tcPr>
          <w:p w14:paraId="5C7E5686"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5B689DA8"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 w:type="pct"/>
          </w:tcPr>
          <w:p w14:paraId="6AEC3B86"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03B484EF"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Sintetički tepisi</w:t>
            </w:r>
          </w:p>
        </w:tc>
        <w:tc>
          <w:tcPr>
            <w:tcW w:w="953" w:type="pct"/>
          </w:tcPr>
          <w:p w14:paraId="3F5C850A"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538E4E62" w14:textId="77777777" w:rsidTr="00BC765B">
        <w:trPr>
          <w:trHeight w:val="337"/>
        </w:trPr>
        <w:tc>
          <w:tcPr>
            <w:cnfStyle w:val="001000000000" w:firstRow="0" w:lastRow="0" w:firstColumn="1" w:lastColumn="0" w:oddVBand="0" w:evenVBand="0" w:oddHBand="0" w:evenHBand="0" w:firstRowFirstColumn="0" w:firstRowLastColumn="0" w:lastRowFirstColumn="0" w:lastRowLastColumn="0"/>
            <w:tcW w:w="454" w:type="pct"/>
          </w:tcPr>
          <w:p w14:paraId="57752BBE"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451BFF93"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Industrijski i kućni proizvodi</w:t>
            </w:r>
          </w:p>
        </w:tc>
        <w:tc>
          <w:tcPr>
            <w:tcW w:w="953" w:type="pct"/>
          </w:tcPr>
          <w:p w14:paraId="5E28854A"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5FB79317" w14:textId="77777777" w:rsidTr="00BC765B">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454" w:type="pct"/>
          </w:tcPr>
          <w:p w14:paraId="1561F207"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698EA3A6"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Papir i ambalaža</w:t>
            </w:r>
          </w:p>
        </w:tc>
        <w:tc>
          <w:tcPr>
            <w:tcW w:w="953" w:type="pct"/>
          </w:tcPr>
          <w:p w14:paraId="2028FE7C"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501C9CC1" w14:textId="77777777" w:rsidTr="00BC765B">
        <w:tc>
          <w:tcPr>
            <w:cnfStyle w:val="001000000000" w:firstRow="0" w:lastRow="0" w:firstColumn="1" w:lastColumn="0" w:oddVBand="0" w:evenVBand="0" w:oddHBand="0" w:evenHBand="0" w:firstRowFirstColumn="0" w:firstRowLastColumn="0" w:lastRowFirstColumn="0" w:lastRowLastColumn="0"/>
            <w:tcW w:w="454" w:type="pct"/>
          </w:tcPr>
          <w:p w14:paraId="2092D477"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3BED9D6A" w14:textId="77777777" w:rsidR="002B20A9" w:rsidRPr="00C86111" w:rsidRDefault="002B20A9" w:rsidP="00BC765B">
            <w:pPr>
              <w:jc w:val="both"/>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Insekticid:</w:t>
            </w:r>
          </w:p>
          <w:p w14:paraId="25BCD097" w14:textId="77777777" w:rsidR="002B20A9" w:rsidRPr="00C86111" w:rsidRDefault="002B20A9" w:rsidP="00BC765B">
            <w:pPr>
              <w:jc w:val="both"/>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Mamac za listne mrave</w:t>
            </w:r>
          </w:p>
          <w:p w14:paraId="579AE59B"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Times New Roman" w:hAnsiTheme="minorHAnsi" w:cstheme="minorHAnsi"/>
                <w:color w:val="auto"/>
                <w:sz w:val="20"/>
                <w:szCs w:val="20"/>
                <w:lang w:eastAsia="en-GB"/>
              </w:rPr>
              <w:t>Insekticid za vatrene mrave i termite</w:t>
            </w:r>
          </w:p>
        </w:tc>
        <w:tc>
          <w:tcPr>
            <w:tcW w:w="953" w:type="pct"/>
          </w:tcPr>
          <w:p w14:paraId="6C67405A"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22A08752"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 w:type="pct"/>
          </w:tcPr>
          <w:p w14:paraId="74B66CDB"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157AF81C"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Premazi, aditivi za premaze i boje</w:t>
            </w:r>
          </w:p>
        </w:tc>
        <w:tc>
          <w:tcPr>
            <w:tcW w:w="953" w:type="pct"/>
          </w:tcPr>
          <w:p w14:paraId="298D090A"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68B46976" w14:textId="77777777" w:rsidTr="00BC765B">
        <w:tc>
          <w:tcPr>
            <w:cnfStyle w:val="001000000000" w:firstRow="0" w:lastRow="0" w:firstColumn="1" w:lastColumn="0" w:oddVBand="0" w:evenVBand="0" w:oddHBand="0" w:evenHBand="0" w:firstRowFirstColumn="0" w:firstRowLastColumn="0" w:lastRowFirstColumn="0" w:lastRowLastColumn="0"/>
            <w:tcW w:w="454" w:type="pct"/>
          </w:tcPr>
          <w:p w14:paraId="03742198"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19397EAA"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Fotografska industrija</w:t>
            </w:r>
          </w:p>
        </w:tc>
        <w:tc>
          <w:tcPr>
            <w:tcW w:w="953" w:type="pct"/>
          </w:tcPr>
          <w:p w14:paraId="4DBD0D4F"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11B426FF"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 w:type="pct"/>
          </w:tcPr>
          <w:p w14:paraId="6C3EC4EE"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3F15E256"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Industrija elektronike i poluprovodnika</w:t>
            </w:r>
          </w:p>
        </w:tc>
        <w:tc>
          <w:tcPr>
            <w:tcW w:w="953" w:type="pct"/>
          </w:tcPr>
          <w:p w14:paraId="4598CB18"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PFOS i PFHxS</w:t>
            </w:r>
          </w:p>
        </w:tc>
      </w:tr>
      <w:tr w:rsidR="002B20A9" w:rsidRPr="00C86111" w14:paraId="4F2AAE6A" w14:textId="77777777" w:rsidTr="00BC765B">
        <w:tc>
          <w:tcPr>
            <w:cnfStyle w:val="001000000000" w:firstRow="0" w:lastRow="0" w:firstColumn="1" w:lastColumn="0" w:oddVBand="0" w:evenVBand="0" w:oddHBand="0" w:evenHBand="0" w:firstRowFirstColumn="0" w:firstRowLastColumn="0" w:lastRowFirstColumn="0" w:lastRowLastColumn="0"/>
            <w:tcW w:w="454" w:type="pct"/>
          </w:tcPr>
          <w:p w14:paraId="4748BEDB"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4CCEB691"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hAnsiTheme="minorHAnsi" w:cstheme="minorHAnsi"/>
                <w:color w:val="auto"/>
                <w:sz w:val="20"/>
                <w:szCs w:val="20"/>
              </w:rPr>
              <w:t>Industrija metalnih prevlaka:</w:t>
            </w:r>
            <w:r w:rsidRPr="00C86111">
              <w:rPr>
                <w:rFonts w:asciiTheme="minorHAnsi" w:hAnsiTheme="minorHAnsi" w:cstheme="minorHAnsi"/>
                <w:color w:val="auto"/>
                <w:sz w:val="20"/>
                <w:szCs w:val="20"/>
              </w:rPr>
              <w:br/>
              <w:t>• Prevlaka tvrdog hroma</w:t>
            </w:r>
            <w:r w:rsidRPr="00C86111">
              <w:rPr>
                <w:rFonts w:asciiTheme="minorHAnsi" w:hAnsiTheme="minorHAnsi" w:cstheme="minorHAnsi"/>
                <w:color w:val="auto"/>
                <w:sz w:val="20"/>
                <w:szCs w:val="20"/>
              </w:rPr>
              <w:br/>
              <w:t>• Decorativna prevlaka hroma</w:t>
            </w:r>
          </w:p>
        </w:tc>
        <w:tc>
          <w:tcPr>
            <w:tcW w:w="953" w:type="pct"/>
          </w:tcPr>
          <w:p w14:paraId="313EBECE"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PFHxS</w:t>
            </w:r>
          </w:p>
        </w:tc>
      </w:tr>
      <w:tr w:rsidR="002B20A9" w:rsidRPr="00C86111" w14:paraId="3ABB05DD"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 w:type="pct"/>
          </w:tcPr>
          <w:p w14:paraId="33720096"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378D396F"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Hemijski potpomognuta proizvodnja nafte i gasa</w:t>
            </w:r>
          </w:p>
        </w:tc>
        <w:tc>
          <w:tcPr>
            <w:tcW w:w="953" w:type="pct"/>
          </w:tcPr>
          <w:p w14:paraId="3FE120FB"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PFHxS</w:t>
            </w:r>
          </w:p>
        </w:tc>
      </w:tr>
      <w:tr w:rsidR="002B20A9" w:rsidRPr="00C86111" w14:paraId="5F34DD18" w14:textId="77777777" w:rsidTr="00BC765B">
        <w:tc>
          <w:tcPr>
            <w:cnfStyle w:val="001000000000" w:firstRow="0" w:lastRow="0" w:firstColumn="1" w:lastColumn="0" w:oddVBand="0" w:evenVBand="0" w:oddHBand="0" w:evenHBand="0" w:firstRowFirstColumn="0" w:firstRowLastColumn="0" w:lastRowFirstColumn="0" w:lastRowLastColumn="0"/>
            <w:tcW w:w="454" w:type="pct"/>
          </w:tcPr>
          <w:p w14:paraId="33DCD078" w14:textId="77777777" w:rsidR="002B20A9" w:rsidRPr="00C86111" w:rsidRDefault="002B20A9" w:rsidP="00004F34">
            <w:pPr>
              <w:pStyle w:val="ListParagraph"/>
              <w:numPr>
                <w:ilvl w:val="0"/>
                <w:numId w:val="168"/>
              </w:numPr>
              <w:jc w:val="both"/>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393655A0"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hAnsiTheme="minorHAnsi" w:cstheme="minorHAnsi"/>
                <w:color w:val="auto"/>
                <w:sz w:val="20"/>
                <w:szCs w:val="20"/>
              </w:rPr>
              <w:t>Sredstvo za otpuštanje kalupa, naročito u procesu proizvodnje gume</w:t>
            </w:r>
          </w:p>
        </w:tc>
        <w:tc>
          <w:tcPr>
            <w:tcW w:w="953" w:type="pct"/>
          </w:tcPr>
          <w:p w14:paraId="747FA048"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PFHxS</w:t>
            </w:r>
          </w:p>
        </w:tc>
      </w:tr>
      <w:tr w:rsidR="002B20A9" w:rsidRPr="00C86111" w14:paraId="2FB65FE7"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 w:type="pct"/>
          </w:tcPr>
          <w:p w14:paraId="0A12D423"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0F610435"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Rudarska industrija</w:t>
            </w:r>
          </w:p>
        </w:tc>
        <w:tc>
          <w:tcPr>
            <w:tcW w:w="953" w:type="pct"/>
          </w:tcPr>
          <w:p w14:paraId="17EB0F4B"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PFHxS</w:t>
            </w:r>
          </w:p>
        </w:tc>
      </w:tr>
      <w:tr w:rsidR="002B20A9" w:rsidRPr="00C86111" w14:paraId="4FF056EB" w14:textId="77777777" w:rsidTr="00BC765B">
        <w:tc>
          <w:tcPr>
            <w:cnfStyle w:val="001000000000" w:firstRow="0" w:lastRow="0" w:firstColumn="1" w:lastColumn="0" w:oddVBand="0" w:evenVBand="0" w:oddHBand="0" w:evenHBand="0" w:firstRowFirstColumn="0" w:firstRowLastColumn="0" w:lastRowFirstColumn="0" w:lastRowLastColumn="0"/>
            <w:tcW w:w="454" w:type="pct"/>
          </w:tcPr>
          <w:p w14:paraId="0289E87B" w14:textId="77777777" w:rsidR="002B20A9" w:rsidRPr="00C86111" w:rsidRDefault="002B20A9" w:rsidP="00004F34">
            <w:pPr>
              <w:pStyle w:val="ListParagraph"/>
              <w:numPr>
                <w:ilvl w:val="0"/>
                <w:numId w:val="168"/>
              </w:numPr>
              <w:jc w:val="both"/>
              <w:rPr>
                <w:rFonts w:asciiTheme="minorHAnsi" w:eastAsia="SimSun"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3593" w:type="pct"/>
          </w:tcPr>
          <w:p w14:paraId="7FA855B3" w14:textId="77777777" w:rsidR="002B20A9" w:rsidRPr="00C86111" w:rsidRDefault="002B20A9" w:rsidP="00BC765B">
            <w:pPr>
              <w:jc w:val="both"/>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Avio hidraulični fluidi</w:t>
            </w:r>
          </w:p>
        </w:tc>
        <w:tc>
          <w:tcPr>
            <w:tcW w:w="953" w:type="pct"/>
          </w:tcPr>
          <w:p w14:paraId="77ECBBDF"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SimSun" w:hAnsiTheme="minorHAnsi" w:cstheme="minorHAnsi"/>
                <w:color w:val="auto"/>
                <w:sz w:val="20"/>
                <w:szCs w:val="20"/>
              </w:rPr>
            </w:pPr>
            <w:r w:rsidRPr="00C86111">
              <w:rPr>
                <w:rFonts w:asciiTheme="minorHAnsi" w:eastAsia="SimSun" w:hAnsiTheme="minorHAnsi" w:cstheme="minorHAnsi"/>
                <w:color w:val="auto"/>
                <w:sz w:val="20"/>
                <w:szCs w:val="20"/>
              </w:rPr>
              <w:t>PFHxS</w:t>
            </w:r>
          </w:p>
        </w:tc>
      </w:tr>
    </w:tbl>
    <w:p w14:paraId="5243476B" w14:textId="77777777" w:rsidR="002B20A9" w:rsidRPr="00C86111" w:rsidRDefault="002B20A9" w:rsidP="002B20A9">
      <w:pPr>
        <w:jc w:val="both"/>
        <w:rPr>
          <w:rFonts w:asciiTheme="minorHAnsi" w:hAnsiTheme="minorHAnsi" w:cstheme="minorHAnsi"/>
          <w:color w:val="auto"/>
        </w:rPr>
      </w:pPr>
      <w:r w:rsidRPr="00C86111">
        <w:rPr>
          <w:rFonts w:asciiTheme="minorHAnsi" w:eastAsia="SimSun" w:hAnsiTheme="minorHAnsi" w:cstheme="minorHAnsi"/>
          <w:color w:val="auto"/>
          <w:lang w:eastAsia="de-DE"/>
        </w:rPr>
        <w:t>* PFHxS  može biti prisutan kao nečistoća u PFOS-u</w:t>
      </w:r>
    </w:p>
    <w:p w14:paraId="7A17A9BC" w14:textId="77777777" w:rsidR="002B20A9" w:rsidRPr="00C86111" w:rsidRDefault="002B20A9" w:rsidP="002B20A9">
      <w:pPr>
        <w:jc w:val="both"/>
        <w:rPr>
          <w:rFonts w:asciiTheme="minorHAnsi" w:hAnsiTheme="minorHAnsi" w:cstheme="minorHAnsi"/>
        </w:rPr>
      </w:pPr>
    </w:p>
    <w:p w14:paraId="78D797A4" w14:textId="77777777" w:rsidR="002B20A9" w:rsidRPr="00C86111" w:rsidRDefault="002B20A9" w:rsidP="00EA6904">
      <w:pPr>
        <w:pStyle w:val="Heading3"/>
      </w:pPr>
      <w:bookmarkStart w:id="338" w:name="_Toc210632570"/>
      <w:bookmarkStart w:id="339" w:name="_Toc220541949"/>
      <w:r w:rsidRPr="00C86111">
        <w:t>Status PFOA, njegovih soli i jedinjenja sličnih PFOA u okviru Stokholmske konvencije</w:t>
      </w:r>
      <w:bookmarkEnd w:id="338"/>
      <w:bookmarkEnd w:id="339"/>
    </w:p>
    <w:p w14:paraId="3E92155B"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Konferencija stranaka Stokholmske konvencije donijela je odluku da se PFOA, njene soli i PFOA-slična jedinjenja uvrste u Aneks A Konvencije tokom svog devetog sastanka 2019. godine (odluka SC-9/12).</w:t>
      </w:r>
    </w:p>
    <w:p w14:paraId="054A0D7F" w14:textId="6C9F08F5"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Uvrštavanje u Aneks A znači da je proizvodnja, upotreba i promet PFOA i njenih derivata u državama potpisnicama konvencije zabranjena, uz mogućnost izuzetaka za specifične primjene u kojima trenutno ne postoje adekvatne alternative. Spisak specifičnih izuzeća za proizvodnju i upotrebu PFOA i sličnih jedinjenja, prikazan je u tabeli </w:t>
      </w:r>
      <w:r w:rsidR="00AA7D50" w:rsidRPr="00C86111">
        <w:rPr>
          <w:rFonts w:asciiTheme="minorHAnsi" w:eastAsia="Times New Roman" w:hAnsiTheme="minorHAnsi" w:cstheme="minorHAnsi"/>
          <w:color w:val="auto"/>
          <w:lang w:eastAsia="en-GB"/>
        </w:rPr>
        <w:t>81</w:t>
      </w:r>
      <w:r w:rsidRPr="00C86111">
        <w:rPr>
          <w:rFonts w:asciiTheme="minorHAnsi" w:eastAsia="Times New Roman" w:hAnsiTheme="minorHAnsi" w:cstheme="minorHAnsi"/>
          <w:color w:val="auto"/>
          <w:lang w:eastAsia="en-GB"/>
        </w:rPr>
        <w:t>.</w:t>
      </w:r>
    </w:p>
    <w:p w14:paraId="04F4658E" w14:textId="77777777" w:rsidR="002B20A9" w:rsidRPr="00C86111" w:rsidRDefault="002B20A9" w:rsidP="002B20A9">
      <w:pPr>
        <w:jc w:val="both"/>
        <w:rPr>
          <w:rFonts w:asciiTheme="minorHAnsi" w:eastAsia="Times New Roman" w:hAnsiTheme="minorHAnsi" w:cstheme="minorHAnsi"/>
          <w:color w:val="auto"/>
          <w:lang w:eastAsia="en-GB"/>
        </w:rPr>
      </w:pPr>
    </w:p>
    <w:p w14:paraId="2EE8B6B4" w14:textId="30E34B9F"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Tabela </w:t>
      </w:r>
      <w:r w:rsidR="00AA7D50" w:rsidRPr="00C86111">
        <w:rPr>
          <w:rFonts w:asciiTheme="minorHAnsi" w:hAnsiTheme="minorHAnsi" w:cstheme="minorHAnsi"/>
          <w:b/>
          <w:bCs/>
          <w:color w:val="auto"/>
        </w:rPr>
        <w:t>81</w:t>
      </w:r>
      <w:r w:rsidRPr="00C86111">
        <w:rPr>
          <w:rFonts w:asciiTheme="minorHAnsi" w:hAnsiTheme="minorHAnsi" w:cstheme="minorHAnsi"/>
          <w:b/>
          <w:bCs/>
          <w:color w:val="auto"/>
        </w:rPr>
        <w:t>:</w:t>
      </w:r>
      <w:r w:rsidRPr="00C86111">
        <w:rPr>
          <w:rFonts w:asciiTheme="minorHAnsi" w:hAnsiTheme="minorHAnsi" w:cstheme="minorHAnsi"/>
          <w:color w:val="auto"/>
        </w:rPr>
        <w:t xml:space="preserve"> Uvrštavanje PFOA, njegovih soli i PFOA-sličnih jedinjenja u Stokholmsku konvenciju (SC-9/12).</w:t>
      </w:r>
    </w:p>
    <w:tbl>
      <w:tblPr>
        <w:tblStyle w:val="GridTable5Dark-Accent6"/>
        <w:tblW w:w="9564" w:type="dxa"/>
        <w:tblLook w:val="04A0" w:firstRow="1" w:lastRow="0" w:firstColumn="1" w:lastColumn="0" w:noHBand="0" w:noVBand="1"/>
      </w:tblPr>
      <w:tblGrid>
        <w:gridCol w:w="3823"/>
        <w:gridCol w:w="1275"/>
        <w:gridCol w:w="4466"/>
      </w:tblGrid>
      <w:tr w:rsidR="002B20A9" w:rsidRPr="00C86111" w14:paraId="40BAAE28"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0B5E11F" w14:textId="77777777" w:rsidR="002B20A9" w:rsidRPr="00C86111" w:rsidRDefault="002B20A9"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Hemikalija</w:t>
            </w:r>
          </w:p>
        </w:tc>
        <w:tc>
          <w:tcPr>
            <w:tcW w:w="1275" w:type="dxa"/>
          </w:tcPr>
          <w:p w14:paraId="4C8A31E9"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Aktivnost</w:t>
            </w:r>
          </w:p>
        </w:tc>
        <w:tc>
          <w:tcPr>
            <w:tcW w:w="4466" w:type="dxa"/>
          </w:tcPr>
          <w:p w14:paraId="6CA994B4"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Specifično izuzeće</w:t>
            </w:r>
          </w:p>
        </w:tc>
      </w:tr>
      <w:tr w:rsidR="007A344F" w:rsidRPr="00C86111" w14:paraId="64402295"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vMerge w:val="restart"/>
          </w:tcPr>
          <w:p w14:paraId="54B81C9B" w14:textId="77777777" w:rsidR="007A344F" w:rsidRPr="00C86111" w:rsidRDefault="007A344F" w:rsidP="007A344F">
            <w:pPr>
              <w:jc w:val="both"/>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t>PFOA, njegove soli i PFOA-povezana jedinjenja obuhvataju sledeće:</w:t>
            </w:r>
          </w:p>
          <w:p w14:paraId="362E4B9D" w14:textId="77777777" w:rsidR="007A344F" w:rsidRPr="00C86111" w:rsidRDefault="007A344F" w:rsidP="007A344F">
            <w:pPr>
              <w:jc w:val="both"/>
              <w:rPr>
                <w:rFonts w:asciiTheme="minorHAnsi" w:hAnsiTheme="minorHAnsi" w:cstheme="minorHAnsi"/>
                <w:b w:val="0"/>
                <w:bCs w:val="0"/>
                <w:color w:val="auto"/>
                <w:sz w:val="20"/>
                <w:szCs w:val="20"/>
              </w:rPr>
            </w:pPr>
          </w:p>
          <w:p w14:paraId="29178FB1" w14:textId="77777777" w:rsidR="007A344F" w:rsidRPr="00C86111" w:rsidRDefault="007A344F" w:rsidP="007A344F">
            <w:pPr>
              <w:jc w:val="both"/>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t>(I) Perfluorooktanska kiselina (PFOA; CAS broj 335-67-1), uključujući bilo koji od njenih razgranatih izomera;</w:t>
            </w:r>
          </w:p>
          <w:p w14:paraId="07F041FC" w14:textId="77777777" w:rsidR="007A344F" w:rsidRPr="00C86111" w:rsidRDefault="007A344F" w:rsidP="007A344F">
            <w:pPr>
              <w:jc w:val="both"/>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t>(II)Njene soli;</w:t>
            </w:r>
          </w:p>
          <w:p w14:paraId="27201B5E" w14:textId="77777777" w:rsidR="007A344F" w:rsidRPr="00C86111" w:rsidRDefault="007A344F" w:rsidP="007A344F">
            <w:pPr>
              <w:jc w:val="both"/>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t>(II)PFOA-povezana jedinjenja, koja, za potrebe Konvencije, uključuju sve supstance koje se razlažu do PFOA, uključujući bilo koje supstance (uključujući soli i polimere) koje sadrže linearne ili razgranate perfluoroheptilne grupe sa strukturnim elementom (C7F15)C.</w:t>
            </w:r>
          </w:p>
          <w:p w14:paraId="15C6AF2E" w14:textId="77777777" w:rsidR="007A344F" w:rsidRPr="00C86111" w:rsidRDefault="007A344F" w:rsidP="007A344F">
            <w:pPr>
              <w:jc w:val="both"/>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lastRenderedPageBreak/>
              <w:t>Sledeća jedinjenja nisu obuhvaćena kao PFOA-povezana jedinjenja:</w:t>
            </w:r>
          </w:p>
          <w:p w14:paraId="023B3CE0" w14:textId="77777777" w:rsidR="007A344F" w:rsidRPr="00C86111" w:rsidRDefault="007A344F" w:rsidP="007A344F">
            <w:pPr>
              <w:jc w:val="both"/>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t>(I)C8F17-X, gde je X = F, Cl, Br;</w:t>
            </w:r>
          </w:p>
          <w:p w14:paraId="359B0397" w14:textId="77777777" w:rsidR="007A344F" w:rsidRPr="00C86111" w:rsidRDefault="007A344F" w:rsidP="007A344F">
            <w:pPr>
              <w:jc w:val="both"/>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t>(II)Fluoropolimeri koji su opisani formulom CF3[CF2]n-R', gde je R' bilo koja grupa, a n &gt; 16;</w:t>
            </w:r>
          </w:p>
          <w:p w14:paraId="16E583C3" w14:textId="77777777" w:rsidR="007A344F" w:rsidRPr="00C86111" w:rsidRDefault="007A344F" w:rsidP="007A344F">
            <w:pPr>
              <w:jc w:val="both"/>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t>(III)Perfluoroalkil karboksilne i fosfonske kiseline (uključujući njihove soli, estere, halide i anhidride) sa ≥8 perfluorisanih ugljenika;</w:t>
            </w:r>
          </w:p>
          <w:p w14:paraId="7DFC9A64" w14:textId="77777777" w:rsidR="007A344F" w:rsidRPr="00C86111" w:rsidRDefault="007A344F" w:rsidP="007A344F">
            <w:pPr>
              <w:jc w:val="both"/>
              <w:rPr>
                <w:rFonts w:asciiTheme="minorHAnsi" w:hAnsiTheme="minorHAnsi" w:cstheme="minorHAnsi"/>
                <w:b w:val="0"/>
                <w:bCs w:val="0"/>
                <w:color w:val="auto"/>
                <w:sz w:val="20"/>
                <w:szCs w:val="20"/>
              </w:rPr>
            </w:pPr>
            <w:r w:rsidRPr="00C86111">
              <w:rPr>
                <w:rFonts w:asciiTheme="minorHAnsi" w:hAnsiTheme="minorHAnsi" w:cstheme="minorHAnsi"/>
                <w:b w:val="0"/>
                <w:bCs w:val="0"/>
                <w:color w:val="auto"/>
                <w:sz w:val="20"/>
                <w:szCs w:val="20"/>
              </w:rPr>
              <w:t>(IV)Perfluoroalkil sulfonske kiseline (uključujući njihove soli, estere, halide i anhidride) sa ≥9 perfluorisanih ugljenika;</w:t>
            </w:r>
          </w:p>
          <w:p w14:paraId="5EBBE444" w14:textId="77777777" w:rsidR="007A344F" w:rsidRPr="00C86111" w:rsidRDefault="007A344F" w:rsidP="007A344F">
            <w:pPr>
              <w:jc w:val="both"/>
              <w:rPr>
                <w:rFonts w:asciiTheme="minorHAnsi" w:hAnsiTheme="minorHAnsi" w:cstheme="minorHAnsi"/>
                <w:color w:val="auto"/>
                <w:sz w:val="20"/>
                <w:szCs w:val="20"/>
              </w:rPr>
            </w:pPr>
            <w:r w:rsidRPr="00C86111">
              <w:rPr>
                <w:rFonts w:asciiTheme="minorHAnsi" w:hAnsiTheme="minorHAnsi" w:cstheme="minorHAnsi"/>
                <w:b w:val="0"/>
                <w:bCs w:val="0"/>
                <w:color w:val="auto"/>
                <w:sz w:val="20"/>
                <w:szCs w:val="20"/>
              </w:rPr>
              <w:t>(V)Perfluorooktanska sulfo-kiselina (PFOS), njene soli i perfluorooktanski sulfonil fluorid (PFOSF), kako su navedeni u Aneksu B Konvencije.</w:t>
            </w:r>
          </w:p>
        </w:tc>
        <w:tc>
          <w:tcPr>
            <w:tcW w:w="1275" w:type="dxa"/>
          </w:tcPr>
          <w:p w14:paraId="6930DAF2" w14:textId="77777777" w:rsidR="007A344F" w:rsidRPr="00C86111" w:rsidRDefault="007A344F" w:rsidP="007A344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lastRenderedPageBreak/>
              <w:t>Proizvodnja</w:t>
            </w:r>
          </w:p>
        </w:tc>
        <w:tc>
          <w:tcPr>
            <w:tcW w:w="4466" w:type="dxa"/>
          </w:tcPr>
          <w:p w14:paraId="09E0440E" w14:textId="77777777" w:rsidR="007A344F" w:rsidRPr="00C86111" w:rsidRDefault="007A344F" w:rsidP="00004F34">
            <w:pPr>
              <w:pStyle w:val="ListParagraph"/>
              <w:numPr>
                <w:ilvl w:val="0"/>
                <w:numId w:val="169"/>
              </w:numPr>
              <w:snapToGrid w:val="0"/>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val="sr-Latn-ME"/>
              </w:rPr>
              <w:t xml:space="preserve">Protivpožarne pjene: </w:t>
            </w:r>
            <w:r w:rsidRPr="00C86111">
              <w:rPr>
                <w:rFonts w:asciiTheme="minorHAnsi" w:hAnsiTheme="minorHAnsi" w:cstheme="minorHAnsi"/>
                <w:sz w:val="20"/>
                <w:szCs w:val="20"/>
              </w:rPr>
              <w:t xml:space="preserve"> N</w:t>
            </w:r>
            <w:r w:rsidRPr="00C86111">
              <w:rPr>
                <w:rFonts w:asciiTheme="minorHAnsi" w:hAnsiTheme="minorHAnsi" w:cstheme="minorHAnsi"/>
                <w:sz w:val="20"/>
                <w:szCs w:val="20"/>
                <w:lang w:val="sr-Latn-ME"/>
              </w:rPr>
              <w:t>e</w:t>
            </w:r>
          </w:p>
          <w:p w14:paraId="15010C43" w14:textId="7B9F940A" w:rsidR="007A344F" w:rsidRPr="00C86111" w:rsidRDefault="007A344F" w:rsidP="007A344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sz w:val="20"/>
                <w:szCs w:val="20"/>
                <w:lang w:val="sr-Latn-ME"/>
              </w:rPr>
              <w:t>Za drugu proizvodnju u skladu sa odredbama dijela X Aneksa A</w:t>
            </w:r>
          </w:p>
        </w:tc>
      </w:tr>
      <w:tr w:rsidR="007A344F" w:rsidRPr="00C86111" w14:paraId="784D25D8" w14:textId="77777777" w:rsidTr="00BC765B">
        <w:tc>
          <w:tcPr>
            <w:cnfStyle w:val="001000000000" w:firstRow="0" w:lastRow="0" w:firstColumn="1" w:lastColumn="0" w:oddVBand="0" w:evenVBand="0" w:oddHBand="0" w:evenHBand="0" w:firstRowFirstColumn="0" w:firstRowLastColumn="0" w:lastRowFirstColumn="0" w:lastRowLastColumn="0"/>
            <w:tcW w:w="3823" w:type="dxa"/>
            <w:vMerge/>
          </w:tcPr>
          <w:p w14:paraId="0B7B8978" w14:textId="77777777" w:rsidR="007A344F" w:rsidRPr="00C86111" w:rsidRDefault="007A344F" w:rsidP="007A344F">
            <w:pPr>
              <w:jc w:val="both"/>
              <w:rPr>
                <w:rFonts w:asciiTheme="minorHAnsi" w:hAnsiTheme="minorHAnsi" w:cstheme="minorHAnsi"/>
                <w:color w:val="auto"/>
                <w:sz w:val="20"/>
                <w:szCs w:val="20"/>
              </w:rPr>
            </w:pPr>
          </w:p>
        </w:tc>
        <w:tc>
          <w:tcPr>
            <w:tcW w:w="1275" w:type="dxa"/>
          </w:tcPr>
          <w:p w14:paraId="1D55842E" w14:textId="77777777" w:rsidR="007A344F" w:rsidRPr="00C86111" w:rsidRDefault="007A344F" w:rsidP="007A344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Upotreba</w:t>
            </w:r>
          </w:p>
        </w:tc>
        <w:tc>
          <w:tcPr>
            <w:tcW w:w="4466" w:type="dxa"/>
          </w:tcPr>
          <w:p w14:paraId="62EE59A8" w14:textId="77777777" w:rsidR="007A344F" w:rsidRPr="00C86111" w:rsidRDefault="007A344F" w:rsidP="007A344F">
            <w:p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lang w:val="pl-PL"/>
              </w:rPr>
              <w:t>U skladu sa odredbama dijela X Aneksa A</w:t>
            </w:r>
            <w:r w:rsidRPr="00C86111">
              <w:rPr>
                <w:rFonts w:asciiTheme="minorHAnsi" w:hAnsiTheme="minorHAnsi" w:cstheme="minorHAnsi"/>
                <w:sz w:val="20"/>
                <w:szCs w:val="20"/>
              </w:rPr>
              <w:t>:</w:t>
            </w:r>
          </w:p>
          <w:p w14:paraId="6CF272DF" w14:textId="77777777" w:rsidR="007A344F" w:rsidRPr="00C86111" w:rsidRDefault="007A344F" w:rsidP="00004F34">
            <w:pPr>
              <w:numPr>
                <w:ilvl w:val="0"/>
                <w:numId w:val="170"/>
              </w:num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Fotolitografija ili procesi nagrizanja u proizvodnji poluprovodnika</w:t>
            </w:r>
          </w:p>
          <w:p w14:paraId="2C2DC3FB" w14:textId="77777777" w:rsidR="007A344F" w:rsidRPr="00C86111" w:rsidRDefault="007A344F" w:rsidP="00004F34">
            <w:pPr>
              <w:numPr>
                <w:ilvl w:val="0"/>
                <w:numId w:val="170"/>
              </w:num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Fotografski premazi naneseni na filmove</w:t>
            </w:r>
          </w:p>
          <w:p w14:paraId="72C44E78" w14:textId="77777777" w:rsidR="007A344F" w:rsidRPr="00C86111" w:rsidRDefault="007A344F" w:rsidP="00004F34">
            <w:pPr>
              <w:numPr>
                <w:ilvl w:val="0"/>
                <w:numId w:val="170"/>
              </w:num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Tekstili za odbijanje ulja i vode radi zaštite radnika od opasnih tečnosti koje predstavljaju rizik po njihovo zdravlje i sigurnost</w:t>
            </w:r>
          </w:p>
          <w:p w14:paraId="70034D13" w14:textId="77777777" w:rsidR="007A344F" w:rsidRPr="00C86111" w:rsidRDefault="007A344F" w:rsidP="00004F34">
            <w:pPr>
              <w:numPr>
                <w:ilvl w:val="0"/>
                <w:numId w:val="170"/>
              </w:num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Invazivni i implantabilni medicinski uređaji</w:t>
            </w:r>
          </w:p>
          <w:p w14:paraId="49B0B8EE" w14:textId="77777777" w:rsidR="007A344F" w:rsidRPr="00C86111" w:rsidRDefault="007A344F" w:rsidP="00004F34">
            <w:pPr>
              <w:numPr>
                <w:ilvl w:val="0"/>
                <w:numId w:val="170"/>
              </w:num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lastRenderedPageBreak/>
              <w:t>Protivpožarna p</w:t>
            </w:r>
            <w:r w:rsidRPr="00C86111">
              <w:rPr>
                <w:rFonts w:asciiTheme="minorHAnsi" w:hAnsiTheme="minorHAnsi" w:cstheme="minorHAnsi"/>
                <w:sz w:val="20"/>
                <w:szCs w:val="20"/>
                <w:lang w:val="sr-Latn-ME"/>
              </w:rPr>
              <w:t>j</w:t>
            </w:r>
            <w:r w:rsidRPr="00C86111">
              <w:rPr>
                <w:rFonts w:asciiTheme="minorHAnsi" w:hAnsiTheme="minorHAnsi" w:cstheme="minorHAnsi"/>
                <w:sz w:val="20"/>
                <w:szCs w:val="20"/>
              </w:rPr>
              <w:t>ena za suzbijanje isparenja tečnih goriva i požara tečnih goriva (požari klase B) u ugrađenim sistemima, uključujući i mobilne i fiksne sisteme, u skladu sa paragrafom 2 d</w:t>
            </w:r>
            <w:r w:rsidRPr="00C86111">
              <w:rPr>
                <w:rFonts w:asciiTheme="minorHAnsi" w:hAnsiTheme="minorHAnsi" w:cstheme="minorHAnsi"/>
                <w:sz w:val="20"/>
                <w:szCs w:val="20"/>
                <w:lang w:val="sr-Latn-ME"/>
              </w:rPr>
              <w:t>ij</w:t>
            </w:r>
            <w:r w:rsidRPr="00C86111">
              <w:rPr>
                <w:rFonts w:asciiTheme="minorHAnsi" w:hAnsiTheme="minorHAnsi" w:cstheme="minorHAnsi"/>
                <w:sz w:val="20"/>
                <w:szCs w:val="20"/>
              </w:rPr>
              <w:t>ela X Anexa A</w:t>
            </w:r>
          </w:p>
          <w:p w14:paraId="1BB35303" w14:textId="77777777" w:rsidR="007A344F" w:rsidRPr="00C86111" w:rsidRDefault="007A344F" w:rsidP="00004F34">
            <w:pPr>
              <w:numPr>
                <w:ilvl w:val="0"/>
                <w:numId w:val="170"/>
              </w:num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Upotreba perfluorooktil-jodida za proizvodnju perfluorooktil-bromida u svrhu proizvodnje farmaceutskih proizvoda, u skladu sa odredbama paragrafa 3 d</w:t>
            </w:r>
            <w:r w:rsidRPr="00C86111">
              <w:rPr>
                <w:rFonts w:asciiTheme="minorHAnsi" w:hAnsiTheme="minorHAnsi" w:cstheme="minorHAnsi"/>
                <w:sz w:val="20"/>
                <w:szCs w:val="20"/>
                <w:lang w:val="sr-Latn-ME"/>
              </w:rPr>
              <w:t>ij</w:t>
            </w:r>
            <w:r w:rsidRPr="00C86111">
              <w:rPr>
                <w:rFonts w:asciiTheme="minorHAnsi" w:hAnsiTheme="minorHAnsi" w:cstheme="minorHAnsi"/>
                <w:sz w:val="20"/>
                <w:szCs w:val="20"/>
              </w:rPr>
              <w:t>ela X Anexa A</w:t>
            </w:r>
          </w:p>
          <w:p w14:paraId="498457AE" w14:textId="77777777" w:rsidR="007A344F" w:rsidRPr="00C86111" w:rsidRDefault="007A344F" w:rsidP="00004F34">
            <w:pPr>
              <w:numPr>
                <w:ilvl w:val="0"/>
                <w:numId w:val="170"/>
              </w:num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Proizvodnja politetrafluoretilena (PTFE) i poliviniliden fluorida (PVDF) za proizvodnju:</w:t>
            </w:r>
          </w:p>
          <w:p w14:paraId="752493E3" w14:textId="77777777" w:rsidR="007A344F" w:rsidRPr="00C86111" w:rsidRDefault="007A344F" w:rsidP="00004F34">
            <w:pPr>
              <w:numPr>
                <w:ilvl w:val="1"/>
                <w:numId w:val="170"/>
              </w:num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Membrana za gasne filtere otpornih na koroziju, membrana za filtraciju vode i membrana za medicinske tekstile</w:t>
            </w:r>
          </w:p>
          <w:p w14:paraId="174A57F7" w14:textId="77777777" w:rsidR="007A344F" w:rsidRPr="00C86111" w:rsidRDefault="007A344F" w:rsidP="00004F34">
            <w:pPr>
              <w:numPr>
                <w:ilvl w:val="1"/>
                <w:numId w:val="170"/>
              </w:num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Industrijskih izmenjivača toplote</w:t>
            </w:r>
          </w:p>
          <w:p w14:paraId="1A1D52CF" w14:textId="77777777" w:rsidR="007A344F" w:rsidRPr="00C86111" w:rsidRDefault="007A344F" w:rsidP="00004F34">
            <w:pPr>
              <w:numPr>
                <w:ilvl w:val="1"/>
                <w:numId w:val="170"/>
              </w:numPr>
              <w:snapToGrid w:val="0"/>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sz w:val="20"/>
                <w:szCs w:val="20"/>
              </w:rPr>
              <w:t>Industrijskih zaptivača sposobnih da spreče curenje isparljivih organskih jedinjenja i PM2.5 čestica</w:t>
            </w:r>
          </w:p>
          <w:p w14:paraId="383F87E5" w14:textId="71FE8BE3" w:rsidR="007A344F" w:rsidRPr="00C86111" w:rsidRDefault="007A344F" w:rsidP="007A344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sz w:val="20"/>
                <w:szCs w:val="20"/>
              </w:rPr>
              <w:t>Proizvodnja polifluoretilen-propilen (FEP) za proizvodnju visokovoltažnih električnih žica i kablova za prenos energije</w:t>
            </w:r>
          </w:p>
        </w:tc>
      </w:tr>
    </w:tbl>
    <w:p w14:paraId="42B1BE83" w14:textId="77777777" w:rsidR="002B20A9" w:rsidRPr="00C86111" w:rsidRDefault="002B20A9" w:rsidP="002B20A9">
      <w:pPr>
        <w:jc w:val="both"/>
        <w:rPr>
          <w:rFonts w:asciiTheme="minorHAnsi" w:hAnsiTheme="minorHAnsi" w:cstheme="minorHAnsi"/>
          <w:color w:val="auto"/>
        </w:rPr>
      </w:pPr>
    </w:p>
    <w:p w14:paraId="37E688EC" w14:textId="77777777" w:rsidR="002B20A9" w:rsidRPr="00C86111" w:rsidRDefault="002B20A9" w:rsidP="00EA6904">
      <w:pPr>
        <w:pStyle w:val="Heading3"/>
      </w:pPr>
      <w:bookmarkStart w:id="340" w:name="_Toc210632571"/>
      <w:bookmarkStart w:id="341" w:name="_Toc220541950"/>
      <w:r w:rsidRPr="00C86111">
        <w:t>Status PFHxS, njegovih soli i jedinjenja sličnih PFHxS u okviru Stokholmske konvencije</w:t>
      </w:r>
      <w:bookmarkEnd w:id="340"/>
      <w:bookmarkEnd w:id="341"/>
    </w:p>
    <w:p w14:paraId="221F9DB4" w14:textId="77777777" w:rsidR="002B20A9" w:rsidRPr="00C86111" w:rsidRDefault="002B20A9" w:rsidP="002B20A9">
      <w:pPr>
        <w:jc w:val="both"/>
        <w:rPr>
          <w:i/>
          <w:iCs/>
          <w:color w:val="002060"/>
        </w:rPr>
      </w:pPr>
    </w:p>
    <w:p w14:paraId="31F1BF4F"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Na desetom sastanku Konferencije stranaka Stokholmske konvencije 2022. godine, PFHxS, njene soli i jedinjenja slična PFHxS, uvrštena su u Aneks A Konvencije, i to bez specifičnih izuzetaka (odluka SC-10/13). Ovaj korak znači da je:</w:t>
      </w:r>
    </w:p>
    <w:p w14:paraId="22450707" w14:textId="77777777" w:rsidR="002B20A9" w:rsidRPr="00C86111" w:rsidRDefault="002B20A9" w:rsidP="00004F34">
      <w:pPr>
        <w:pStyle w:val="ListParagraph"/>
        <w:numPr>
          <w:ilvl w:val="0"/>
          <w:numId w:val="143"/>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Proizvodnja, upotreba i promet PFHxS i njenih sličnih jedinjenja zabranjena na globalnom nivou.</w:t>
      </w:r>
    </w:p>
    <w:p w14:paraId="1384B27D" w14:textId="77DADCC3" w:rsidR="002B20A9" w:rsidRPr="00D966EC" w:rsidRDefault="002B20A9" w:rsidP="00004F34">
      <w:pPr>
        <w:pStyle w:val="ListParagraph"/>
        <w:numPr>
          <w:ilvl w:val="0"/>
          <w:numId w:val="143"/>
        </w:numPr>
        <w:jc w:val="both"/>
        <w:rPr>
          <w:rFonts w:asciiTheme="minorHAnsi" w:hAnsiTheme="minorHAnsi" w:cstheme="minorHAnsi"/>
          <w:color w:val="auto"/>
        </w:rPr>
      </w:pPr>
      <w:r w:rsidRPr="00D966EC">
        <w:rPr>
          <w:rFonts w:asciiTheme="minorHAnsi" w:eastAsia="Times New Roman" w:hAnsiTheme="minorHAnsi" w:cstheme="minorHAnsi"/>
          <w:color w:val="auto"/>
          <w:lang w:eastAsia="en-GB"/>
        </w:rPr>
        <w:t>Izostanak izuzetaka naglašava hitnost eliminacije PFHxS zbog nedostatka opravdanja za dalje korišćenje, kao i postojanja mogućih alternativa u različitim sektorima.</w:t>
      </w:r>
    </w:p>
    <w:p w14:paraId="38E949BE" w14:textId="1445E3FE" w:rsidR="002B20A9" w:rsidRPr="00D966EC" w:rsidRDefault="002B20A9" w:rsidP="00004F34">
      <w:pPr>
        <w:pStyle w:val="Heading1"/>
        <w:numPr>
          <w:ilvl w:val="1"/>
          <w:numId w:val="238"/>
        </w:numPr>
        <w:jc w:val="both"/>
        <w:rPr>
          <w:rFonts w:eastAsia="SimSun"/>
          <w:i/>
          <w:iCs/>
        </w:rPr>
      </w:pPr>
      <w:bookmarkStart w:id="342" w:name="_Toc210632572"/>
      <w:bookmarkStart w:id="343" w:name="_Toc220541951"/>
      <w:r w:rsidRPr="00C86111">
        <w:t>Proces Inventarizacije</w:t>
      </w:r>
      <w:bookmarkEnd w:id="342"/>
      <w:bookmarkEnd w:id="343"/>
    </w:p>
    <w:p w14:paraId="68BEBE62"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Proces inventarizacije PFOA i PFHxS, iako strukturiran kroz zasebni izveštaj, temelji se na zajedničkoj metodologiji i okvirima prikupljanja podataka kao i za PFOS. Ova jedinjenja  dijele slična fizičko-hemijska svojstva, istorijske namjene, kao i puteve emisije u životnu sredinu. Zbog toga je postupak korišćen za prikupljanje i analizu podataka o njihovim izvorima, potrošnji, zalihama i otpadu u velikoj mjeri homogen. Konkretno, inventarizacija za PFOA i PFHxS sprovedena je na isti način kao i za PFOS, koristeći isti pristup i metodologiju sakupljanja podataka.</w:t>
      </w:r>
    </w:p>
    <w:p w14:paraId="789AB6ED"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Cilj inventarizacije PFOA i PFHxS bio je da se obezbjede informacije neophodne za donošenje odluka o upravljanju ovim supstancama i ispunjavanju obaveza Stokholmske konvencije. Konkretni ciljevi uključuju:</w:t>
      </w:r>
    </w:p>
    <w:p w14:paraId="62688F91" w14:textId="77777777" w:rsidR="002B20A9" w:rsidRPr="00C86111" w:rsidRDefault="002B20A9" w:rsidP="00004F34">
      <w:pPr>
        <w:pStyle w:val="ListParagraph"/>
        <w:numPr>
          <w:ilvl w:val="0"/>
          <w:numId w:val="144"/>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lastRenderedPageBreak/>
        <w:t>Postavljanje temelja za identifikaciju nacionalnih prioriteta u okviru Nacionalnog implementacionog plana (NIP), uključujući identifikaciju ključnih sektora za prioritetnu inventarizaciju, procjenu kapaciteta potrebnih za implementaciju i određivanje prioritetnih izvora;</w:t>
      </w:r>
    </w:p>
    <w:p w14:paraId="6058960D" w14:textId="77777777" w:rsidR="002B20A9" w:rsidRPr="00C86111" w:rsidRDefault="002B20A9" w:rsidP="00004F34">
      <w:pPr>
        <w:pStyle w:val="ListParagraph"/>
        <w:numPr>
          <w:ilvl w:val="0"/>
          <w:numId w:val="144"/>
        </w:numPr>
        <w:jc w:val="both"/>
        <w:rPr>
          <w:rFonts w:asciiTheme="minorHAnsi" w:hAnsiTheme="minorHAnsi" w:cstheme="minorHAnsi"/>
          <w:color w:val="auto"/>
        </w:rPr>
      </w:pPr>
      <w:r w:rsidRPr="00C86111">
        <w:rPr>
          <w:rFonts w:asciiTheme="minorHAnsi" w:hAnsiTheme="minorHAnsi" w:cstheme="minorHAnsi"/>
          <w:color w:val="auto"/>
        </w:rPr>
        <w:t>Omogućavanje procjene u kojoj mjeri postojeći nacionalni pristupi u pogledu upotrebe, proizvodnje, upravljanja hemikalijama i otpadom ispunjavaju zahtjeve Konvencije, kao i identifikaciju oblasti koje ne ispunjavaju te zahtjeve;</w:t>
      </w:r>
    </w:p>
    <w:p w14:paraId="41814B89" w14:textId="77777777" w:rsidR="002B20A9" w:rsidRPr="00C86111" w:rsidRDefault="002B20A9" w:rsidP="00004F34">
      <w:pPr>
        <w:pStyle w:val="ListParagraph"/>
        <w:numPr>
          <w:ilvl w:val="0"/>
          <w:numId w:val="144"/>
        </w:numPr>
        <w:jc w:val="both"/>
        <w:rPr>
          <w:rFonts w:asciiTheme="minorHAnsi" w:hAnsiTheme="minorHAnsi" w:cstheme="minorHAnsi"/>
          <w:color w:val="auto"/>
        </w:rPr>
      </w:pPr>
      <w:r w:rsidRPr="00C86111">
        <w:rPr>
          <w:rFonts w:asciiTheme="minorHAnsi" w:hAnsiTheme="minorHAnsi" w:cstheme="minorHAnsi"/>
          <w:color w:val="auto"/>
        </w:rPr>
        <w:t>Prepoznavanje potreba za posebnim izuzecima ili prihvatljivim namerama u skladu sa Konvencijom;</w:t>
      </w:r>
    </w:p>
    <w:p w14:paraId="183BA64E" w14:textId="77777777" w:rsidR="002B20A9" w:rsidRPr="00C86111" w:rsidRDefault="002B20A9" w:rsidP="00004F34">
      <w:pPr>
        <w:pStyle w:val="ListParagraph"/>
        <w:numPr>
          <w:ilvl w:val="0"/>
          <w:numId w:val="144"/>
        </w:numPr>
        <w:jc w:val="both"/>
        <w:rPr>
          <w:rFonts w:asciiTheme="minorHAnsi" w:hAnsiTheme="minorHAnsi" w:cstheme="minorHAnsi"/>
          <w:color w:val="auto"/>
        </w:rPr>
      </w:pPr>
      <w:r w:rsidRPr="00C86111">
        <w:rPr>
          <w:rFonts w:asciiTheme="minorHAnsi" w:hAnsiTheme="minorHAnsi" w:cstheme="minorHAnsi"/>
          <w:color w:val="auto"/>
        </w:rPr>
        <w:t>Identifikaciju ključnih aktera, uključujući predstavnike vlade, industrije, upravljanja otpadom, trgovine i nevladinih organizacija (NVO);</w:t>
      </w:r>
    </w:p>
    <w:p w14:paraId="4367C884" w14:textId="77777777" w:rsidR="002B20A9" w:rsidRPr="00C86111" w:rsidRDefault="002B20A9" w:rsidP="00004F34">
      <w:pPr>
        <w:pStyle w:val="ListParagraph"/>
        <w:numPr>
          <w:ilvl w:val="0"/>
          <w:numId w:val="144"/>
        </w:numPr>
        <w:jc w:val="both"/>
        <w:rPr>
          <w:rFonts w:asciiTheme="minorHAnsi" w:eastAsia="Times New Roman" w:hAnsiTheme="minorHAnsi" w:cstheme="minorHAnsi"/>
          <w:color w:val="auto"/>
          <w:lang w:eastAsia="en-GB"/>
        </w:rPr>
      </w:pPr>
      <w:r w:rsidRPr="00C86111">
        <w:rPr>
          <w:rFonts w:asciiTheme="minorHAnsi" w:hAnsiTheme="minorHAnsi" w:cstheme="minorHAnsi"/>
          <w:color w:val="auto"/>
        </w:rPr>
        <w:t>Utvrđivanje potreba za finansijskom ili tehničkom podrškom radi popunjavanja nedostataka u informacijama u inventaru ili ispunjenja obaveza iz Konvencije.</w:t>
      </w:r>
    </w:p>
    <w:p w14:paraId="7F84430C"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Podaci potrebni za inventarizaciju PFOA i PFHxS obuhvataju:</w:t>
      </w:r>
    </w:p>
    <w:p w14:paraId="100D0E0F" w14:textId="77777777" w:rsidR="002B20A9" w:rsidRPr="00C86111" w:rsidRDefault="002B20A9" w:rsidP="00004F34">
      <w:pPr>
        <w:pStyle w:val="ListParagraph"/>
        <w:numPr>
          <w:ilvl w:val="0"/>
          <w:numId w:val="145"/>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Informacije o proizvodnji i upotrebi PFOA i PFHxS na nacionalnom nivou;</w:t>
      </w:r>
      <w:r w:rsidRPr="00C86111">
        <w:rPr>
          <w:rFonts w:asciiTheme="minorHAnsi" w:eastAsia="Times New Roman" w:hAnsiTheme="minorHAnsi" w:cstheme="minorHAnsi"/>
          <w:color w:val="auto"/>
          <w:lang w:eastAsia="en-GB"/>
        </w:rPr>
        <w:br/>
        <w:t>Prisustvo proizvoda i predmeta koji sadrže PFOA i PFHxS na potrošačkom tržištu;</w:t>
      </w:r>
    </w:p>
    <w:p w14:paraId="5FE12219" w14:textId="77777777" w:rsidR="002B20A9" w:rsidRPr="00C86111" w:rsidRDefault="002B20A9" w:rsidP="00004F34">
      <w:pPr>
        <w:pStyle w:val="ListParagraph"/>
        <w:numPr>
          <w:ilvl w:val="0"/>
          <w:numId w:val="145"/>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Korišćenje, uvoz i izvoz proizvoda i predmeta koji sadrže PFOA i PFHxS;</w:t>
      </w:r>
      <w:r w:rsidRPr="00C86111">
        <w:rPr>
          <w:rFonts w:asciiTheme="minorHAnsi" w:eastAsia="Times New Roman" w:hAnsiTheme="minorHAnsi" w:cstheme="minorHAnsi"/>
          <w:color w:val="auto"/>
          <w:lang w:eastAsia="en-GB"/>
        </w:rPr>
        <w:br/>
        <w:t>Informacije o skladištenim zalihama;</w:t>
      </w:r>
    </w:p>
    <w:p w14:paraId="5AE61251" w14:textId="77777777" w:rsidR="002B20A9" w:rsidRPr="00C86111" w:rsidRDefault="002B20A9" w:rsidP="00004F34">
      <w:pPr>
        <w:pStyle w:val="ListParagraph"/>
        <w:numPr>
          <w:ilvl w:val="0"/>
          <w:numId w:val="145"/>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Postupke odlaganja proizvoda i hemikalija koji sadrže PFOA i PFHxS kada postanu otpad;</w:t>
      </w:r>
      <w:r w:rsidRPr="00C86111">
        <w:rPr>
          <w:rFonts w:asciiTheme="minorHAnsi" w:eastAsia="Times New Roman" w:hAnsiTheme="minorHAnsi" w:cstheme="minorHAnsi"/>
          <w:color w:val="auto"/>
          <w:lang w:eastAsia="en-GB"/>
        </w:rPr>
        <w:br/>
        <w:t>Količine generisanog otpada;</w:t>
      </w:r>
    </w:p>
    <w:p w14:paraId="47598338" w14:textId="77777777" w:rsidR="002B20A9" w:rsidRPr="00C86111" w:rsidRDefault="002B20A9" w:rsidP="00004F34">
      <w:pPr>
        <w:pStyle w:val="ListParagraph"/>
        <w:numPr>
          <w:ilvl w:val="0"/>
          <w:numId w:val="145"/>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Emisije u životnu sredinu</w:t>
      </w:r>
    </w:p>
    <w:p w14:paraId="500BD45C" w14:textId="77777777" w:rsidR="002B20A9" w:rsidRPr="00C86111" w:rsidRDefault="002B20A9" w:rsidP="00004F34">
      <w:pPr>
        <w:pStyle w:val="ListParagraph"/>
        <w:numPr>
          <w:ilvl w:val="0"/>
          <w:numId w:val="145"/>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Identifikaciju potencijalno kontaminiranih lokacija;</w:t>
      </w:r>
    </w:p>
    <w:p w14:paraId="70DE9F2A" w14:textId="77777777" w:rsidR="002B20A9" w:rsidRPr="00C86111" w:rsidRDefault="002B20A9" w:rsidP="00004F34">
      <w:pPr>
        <w:pStyle w:val="ListParagraph"/>
        <w:numPr>
          <w:ilvl w:val="0"/>
          <w:numId w:val="145"/>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Procjenu potencijalno štetnog izlaganja ljudi i životne sredine ovim supstancama.</w:t>
      </w:r>
    </w:p>
    <w:p w14:paraId="278D14FB" w14:textId="77777777" w:rsidR="002B20A9" w:rsidRPr="00C86111" w:rsidRDefault="002B20A9" w:rsidP="002B20A9">
      <w:pPr>
        <w:jc w:val="both"/>
        <w:rPr>
          <w:rFonts w:asciiTheme="minorHAnsi" w:eastAsia="SimSun" w:hAnsiTheme="minorHAnsi" w:cstheme="minorHAnsi"/>
          <w:color w:val="auto"/>
          <w:lang w:eastAsia="nb-NO"/>
        </w:rPr>
      </w:pPr>
    </w:p>
    <w:p w14:paraId="6A6AAB6F"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 xml:space="preserve">Inventar PFOA, PFHxS i njegovih soli je razvijen u skladu sa smjernicama datim u “Uputstvu za pripremu inventara PFOS, PFOA i PFHxS”. </w:t>
      </w:r>
    </w:p>
    <w:p w14:paraId="3DF8C954" w14:textId="77777777" w:rsidR="002B20A9" w:rsidRPr="00C86111" w:rsidRDefault="002B20A9" w:rsidP="00EA6904">
      <w:pPr>
        <w:pStyle w:val="Heading4"/>
      </w:pPr>
      <w:bookmarkStart w:id="344" w:name="_Toc210632573"/>
      <w:r w:rsidRPr="00C86111">
        <w:t>Proces izrade inventara</w:t>
      </w:r>
      <w:bookmarkEnd w:id="344"/>
    </w:p>
    <w:p w14:paraId="03C76BD9"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 xml:space="preserve">Proces izrade inventara se sastojao od sledećih koraka: </w:t>
      </w:r>
    </w:p>
    <w:p w14:paraId="14812506"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002060"/>
          <w:lang w:eastAsia="nb-NO"/>
        </w:rPr>
        <w:t xml:space="preserve">Korak 1: </w:t>
      </w:r>
      <w:r w:rsidRPr="00C86111">
        <w:rPr>
          <w:rFonts w:asciiTheme="minorHAnsi" w:eastAsia="SimSun" w:hAnsiTheme="minorHAnsi" w:cstheme="minorHAnsi"/>
          <w:color w:val="auto"/>
          <w:lang w:eastAsia="nb-NO"/>
        </w:rPr>
        <w:t>Pokretanje procesa razvoja inventara:</w:t>
      </w:r>
    </w:p>
    <w:p w14:paraId="39760BB5" w14:textId="77777777" w:rsidR="002B20A9" w:rsidRPr="00C86111" w:rsidRDefault="002B20A9" w:rsidP="00004F34">
      <w:pPr>
        <w:pStyle w:val="ListParagraph"/>
        <w:numPr>
          <w:ilvl w:val="0"/>
          <w:numId w:val="146"/>
        </w:num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Osnivanje nacionalnog tima za inventar</w:t>
      </w:r>
    </w:p>
    <w:p w14:paraId="00ABDEE6" w14:textId="77777777" w:rsidR="002B20A9" w:rsidRPr="00C86111" w:rsidRDefault="002B20A9" w:rsidP="00004F34">
      <w:pPr>
        <w:pStyle w:val="ListParagraph"/>
        <w:numPr>
          <w:ilvl w:val="0"/>
          <w:numId w:val="146"/>
        </w:num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Identifikovanje relevantnih zainteresovanih strana</w:t>
      </w:r>
    </w:p>
    <w:p w14:paraId="5C92BD3F" w14:textId="77777777" w:rsidR="002B20A9" w:rsidRPr="00C86111" w:rsidRDefault="002B20A9" w:rsidP="00004F34">
      <w:pPr>
        <w:pStyle w:val="ListParagraph"/>
        <w:numPr>
          <w:ilvl w:val="0"/>
          <w:numId w:val="146"/>
        </w:num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Definisanje obima inventara</w:t>
      </w:r>
    </w:p>
    <w:p w14:paraId="047313BA" w14:textId="77777777" w:rsidR="002B20A9" w:rsidRPr="00C86111" w:rsidRDefault="002B20A9" w:rsidP="00004F34">
      <w:pPr>
        <w:pStyle w:val="ListParagraph"/>
        <w:numPr>
          <w:ilvl w:val="0"/>
          <w:numId w:val="146"/>
        </w:num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Izrada plana rada</w:t>
      </w:r>
    </w:p>
    <w:p w14:paraId="4DC86C7C" w14:textId="77777777" w:rsidR="002B20A9" w:rsidRPr="00C86111" w:rsidRDefault="002B20A9" w:rsidP="00004F34">
      <w:pPr>
        <w:pStyle w:val="ListParagraph"/>
        <w:numPr>
          <w:ilvl w:val="0"/>
          <w:numId w:val="146"/>
        </w:num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Kontakt sa zainteresovanim stranama</w:t>
      </w:r>
    </w:p>
    <w:p w14:paraId="1CF6A771"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002060"/>
          <w:lang w:eastAsia="nb-NO"/>
        </w:rPr>
        <w:t>Korak 2:</w:t>
      </w:r>
      <w:r w:rsidRPr="00C86111">
        <w:rPr>
          <w:rFonts w:asciiTheme="minorHAnsi" w:eastAsia="SimSun" w:hAnsiTheme="minorHAnsi" w:cstheme="minorHAnsi"/>
          <w:color w:val="auto"/>
          <w:lang w:eastAsia="nb-NO"/>
        </w:rPr>
        <w:t xml:space="preserve"> Izbor metodologija prikupljanja podataka</w:t>
      </w:r>
    </w:p>
    <w:p w14:paraId="3D825E16"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002060"/>
          <w:lang w:eastAsia="nb-NO"/>
        </w:rPr>
        <w:t xml:space="preserve">Korak 3: </w:t>
      </w:r>
      <w:r w:rsidRPr="00C86111">
        <w:rPr>
          <w:rFonts w:asciiTheme="minorHAnsi" w:eastAsia="SimSun" w:hAnsiTheme="minorHAnsi" w:cstheme="minorHAnsi"/>
          <w:color w:val="auto"/>
          <w:lang w:eastAsia="nb-NO"/>
        </w:rPr>
        <w:t xml:space="preserve">Prikupljanje podataka </w:t>
      </w:r>
    </w:p>
    <w:p w14:paraId="4D604922"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Tier 1</w:t>
      </w:r>
    </w:p>
    <w:p w14:paraId="01E280B6"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Tier II</w:t>
      </w:r>
    </w:p>
    <w:p w14:paraId="6970740C"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auto"/>
          <w:lang w:eastAsia="nb-NO"/>
        </w:rPr>
        <w:t>Tier III</w:t>
      </w:r>
    </w:p>
    <w:p w14:paraId="1A20D777"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002060"/>
          <w:lang w:eastAsia="nb-NO"/>
        </w:rPr>
        <w:t>Korak 4:</w:t>
      </w:r>
      <w:r w:rsidRPr="00C86111">
        <w:rPr>
          <w:rFonts w:asciiTheme="minorHAnsi" w:eastAsia="SimSun" w:hAnsiTheme="minorHAnsi" w:cstheme="minorHAnsi"/>
          <w:color w:val="auto"/>
          <w:lang w:eastAsia="nb-NO"/>
        </w:rPr>
        <w:t xml:space="preserve"> Upravljanje i procjena podataka</w:t>
      </w:r>
    </w:p>
    <w:p w14:paraId="78F6B84F" w14:textId="77777777" w:rsidR="002B20A9" w:rsidRPr="00C86111" w:rsidRDefault="002B20A9" w:rsidP="002B20A9">
      <w:pPr>
        <w:jc w:val="both"/>
        <w:rPr>
          <w:rFonts w:asciiTheme="minorHAnsi" w:eastAsia="SimSun" w:hAnsiTheme="minorHAnsi" w:cstheme="minorHAnsi"/>
          <w:color w:val="auto"/>
          <w:lang w:eastAsia="nb-NO"/>
        </w:rPr>
      </w:pPr>
      <w:r w:rsidRPr="00C86111">
        <w:rPr>
          <w:rFonts w:asciiTheme="minorHAnsi" w:eastAsia="SimSun" w:hAnsiTheme="minorHAnsi" w:cstheme="minorHAnsi"/>
          <w:color w:val="002060"/>
          <w:lang w:eastAsia="nb-NO"/>
        </w:rPr>
        <w:t xml:space="preserve">Korak 5: </w:t>
      </w:r>
      <w:r w:rsidRPr="00C86111">
        <w:rPr>
          <w:rFonts w:asciiTheme="minorHAnsi" w:eastAsia="SimSun" w:hAnsiTheme="minorHAnsi" w:cstheme="minorHAnsi"/>
          <w:color w:val="auto"/>
          <w:lang w:eastAsia="nb-NO"/>
        </w:rPr>
        <w:t>Priprema izveštaja o inventaru</w:t>
      </w:r>
    </w:p>
    <w:p w14:paraId="09067700" w14:textId="7B586C64" w:rsidR="002B20A9" w:rsidRPr="00C86111" w:rsidRDefault="002B20A9" w:rsidP="00EA6904">
      <w:pPr>
        <w:pStyle w:val="Heading4"/>
      </w:pPr>
      <w:bookmarkStart w:id="345" w:name="_Toc210632574"/>
      <w:r w:rsidRPr="00C86111">
        <w:lastRenderedPageBreak/>
        <w:t>Planiranje inventara</w:t>
      </w:r>
      <w:bookmarkEnd w:id="345"/>
    </w:p>
    <w:p w14:paraId="73BB8CD4"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Nakon formiranja inventarskog tima za PFOA i PFHxS, izrađen je plan za sprovođenje nacionalnog inventara i definisan obim popisa. Organizovani su sastanci sa relevantnim institucijama i organizacijama s ciljem definisanja uloga i obaveza članova tima i zainteresovanih strana. Tokom tih sastanaka usvojeni su metodologija i način rada koji će se primjenjivati tokom procesa inventarizacije.</w:t>
      </w:r>
    </w:p>
    <w:p w14:paraId="7D169F0B"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Članovi inventarskog tima analizirali su sektore i procese u kojima se PFOA i PFHxS mogu najčešće javiti. Na osnovu ove analize, identifikovani su prioritetni sektori koji će biti obuhvaćeni inventarizacijom.</w:t>
      </w:r>
    </w:p>
    <w:p w14:paraId="67E056EA"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 obzirom na to da Crna Gora nema razvijenu industriju koja koristi PFOA i PFHxS u svojim proizvodnim procesima (npr. industrija elektronskih komponenti, poluprovodnika, fotografske tehnologije, proizvodnje tekstila, papira, prerade kože, tepiha, industrije oblaganja metala i hemijske industrije), kao ključni sektori za izradu inventara odabrani su sledeći:</w:t>
      </w:r>
    </w:p>
    <w:p w14:paraId="24733AD5" w14:textId="77777777" w:rsidR="002B20A9" w:rsidRPr="00C86111" w:rsidRDefault="002B20A9" w:rsidP="00004F34">
      <w:pPr>
        <w:pStyle w:val="ListParagraph"/>
        <w:numPr>
          <w:ilvl w:val="0"/>
          <w:numId w:val="147"/>
        </w:numPr>
        <w:jc w:val="both"/>
        <w:rPr>
          <w:rFonts w:asciiTheme="minorHAnsi" w:eastAsia="SimSun" w:hAnsiTheme="minorHAnsi" w:cstheme="minorHAnsi"/>
          <w:color w:val="auto"/>
        </w:rPr>
      </w:pPr>
      <w:r w:rsidRPr="00C86111">
        <w:rPr>
          <w:rFonts w:asciiTheme="minorHAnsi" w:eastAsia="SimSun" w:hAnsiTheme="minorHAnsi" w:cstheme="minorHAnsi"/>
          <w:color w:val="auto"/>
        </w:rPr>
        <w:t>Sektor protivpožarne zaštite</w:t>
      </w:r>
    </w:p>
    <w:p w14:paraId="73A4BF76" w14:textId="77777777" w:rsidR="002B20A9" w:rsidRPr="00C86111" w:rsidRDefault="002B20A9" w:rsidP="00004F34">
      <w:pPr>
        <w:pStyle w:val="ListParagraph"/>
        <w:numPr>
          <w:ilvl w:val="0"/>
          <w:numId w:val="147"/>
        </w:numPr>
        <w:jc w:val="both"/>
        <w:rPr>
          <w:rFonts w:asciiTheme="minorHAnsi" w:eastAsia="SimSun" w:hAnsiTheme="minorHAnsi" w:cstheme="minorHAnsi"/>
          <w:color w:val="auto"/>
        </w:rPr>
      </w:pPr>
      <w:r w:rsidRPr="00C86111">
        <w:rPr>
          <w:rFonts w:asciiTheme="minorHAnsi" w:eastAsia="SimSun" w:hAnsiTheme="minorHAnsi" w:cstheme="minorHAnsi"/>
          <w:color w:val="auto"/>
        </w:rPr>
        <w:t>Sektor upravljanja otpadom</w:t>
      </w:r>
    </w:p>
    <w:p w14:paraId="12521A04" w14:textId="77777777" w:rsidR="002B20A9" w:rsidRPr="00C86111" w:rsidRDefault="002B20A9" w:rsidP="00004F34">
      <w:pPr>
        <w:pStyle w:val="ListParagraph"/>
        <w:numPr>
          <w:ilvl w:val="0"/>
          <w:numId w:val="147"/>
        </w:numPr>
        <w:jc w:val="both"/>
        <w:rPr>
          <w:rFonts w:asciiTheme="minorHAnsi" w:eastAsia="SimSun" w:hAnsiTheme="minorHAnsi" w:cstheme="minorHAnsi"/>
          <w:color w:val="auto"/>
        </w:rPr>
      </w:pPr>
      <w:r w:rsidRPr="00C86111">
        <w:rPr>
          <w:rFonts w:asciiTheme="minorHAnsi" w:eastAsia="SimSun" w:hAnsiTheme="minorHAnsi" w:cstheme="minorHAnsi"/>
          <w:color w:val="auto"/>
        </w:rPr>
        <w:t>Potrošačko tržište</w:t>
      </w:r>
    </w:p>
    <w:p w14:paraId="72BCC093" w14:textId="77777777" w:rsidR="002B20A9" w:rsidRPr="00C86111" w:rsidRDefault="002B20A9" w:rsidP="002B20A9">
      <w:pPr>
        <w:jc w:val="both"/>
        <w:rPr>
          <w:rFonts w:asciiTheme="minorHAnsi" w:eastAsia="SimSun" w:hAnsiTheme="minorHAnsi" w:cstheme="minorHAnsi"/>
          <w:color w:val="auto"/>
        </w:rPr>
      </w:pPr>
    </w:p>
    <w:p w14:paraId="4E34BF49" w14:textId="7777777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Relevantne zainteresovane strane/organizacija od kojih su prikupljane informacije su:</w:t>
      </w:r>
    </w:p>
    <w:p w14:paraId="589B4556" w14:textId="77777777" w:rsidR="002B20A9" w:rsidRPr="00C86111" w:rsidRDefault="002B20A9" w:rsidP="00004F34">
      <w:pPr>
        <w:pStyle w:val="ListParagraph"/>
        <w:numPr>
          <w:ilvl w:val="0"/>
          <w:numId w:val="148"/>
        </w:numPr>
        <w:jc w:val="both"/>
        <w:rPr>
          <w:rFonts w:asciiTheme="minorHAnsi" w:eastAsia="SimSun" w:hAnsiTheme="minorHAnsi" w:cstheme="minorHAnsi"/>
          <w:color w:val="auto"/>
        </w:rPr>
      </w:pPr>
      <w:r w:rsidRPr="00C86111">
        <w:rPr>
          <w:rFonts w:asciiTheme="minorHAnsi" w:eastAsia="SimSun" w:hAnsiTheme="minorHAnsi" w:cstheme="minorHAnsi"/>
          <w:color w:val="auto"/>
        </w:rPr>
        <w:t>Ministarstvo ekologije, održivog razvoja i razvoja sjevera</w:t>
      </w:r>
    </w:p>
    <w:p w14:paraId="57BFCAB5" w14:textId="77777777" w:rsidR="002B20A9" w:rsidRPr="00C86111" w:rsidRDefault="002B20A9" w:rsidP="00004F34">
      <w:pPr>
        <w:pStyle w:val="ListParagraph"/>
        <w:numPr>
          <w:ilvl w:val="0"/>
          <w:numId w:val="148"/>
        </w:numPr>
        <w:jc w:val="both"/>
        <w:rPr>
          <w:rFonts w:asciiTheme="minorHAnsi" w:eastAsia="SimSun" w:hAnsiTheme="minorHAnsi" w:cstheme="minorHAnsi"/>
          <w:color w:val="auto"/>
        </w:rPr>
      </w:pPr>
      <w:r w:rsidRPr="00C86111">
        <w:rPr>
          <w:rFonts w:asciiTheme="minorHAnsi" w:eastAsia="SimSun" w:hAnsiTheme="minorHAnsi" w:cstheme="minorHAnsi"/>
          <w:color w:val="auto"/>
        </w:rPr>
        <w:t>Protivpožarne organizacije</w:t>
      </w:r>
    </w:p>
    <w:p w14:paraId="73D0731E" w14:textId="77777777" w:rsidR="002B20A9" w:rsidRPr="00C86111" w:rsidRDefault="002B20A9" w:rsidP="00004F34">
      <w:pPr>
        <w:pStyle w:val="ListParagraph"/>
        <w:numPr>
          <w:ilvl w:val="0"/>
          <w:numId w:val="148"/>
        </w:numPr>
        <w:jc w:val="both"/>
        <w:rPr>
          <w:rFonts w:asciiTheme="minorHAnsi" w:eastAsia="SimSun" w:hAnsiTheme="minorHAnsi" w:cstheme="minorHAnsi"/>
          <w:color w:val="auto"/>
        </w:rPr>
      </w:pPr>
      <w:r w:rsidRPr="00C86111">
        <w:rPr>
          <w:rFonts w:asciiTheme="minorHAnsi" w:eastAsia="SimSun" w:hAnsiTheme="minorHAnsi" w:cstheme="minorHAnsi"/>
          <w:color w:val="auto"/>
        </w:rPr>
        <w:t>Direktorat za zaštitu i spašavanje</w:t>
      </w:r>
    </w:p>
    <w:p w14:paraId="1EDD3F49" w14:textId="77777777" w:rsidR="002B20A9" w:rsidRPr="00C86111" w:rsidRDefault="002B20A9" w:rsidP="00004F34">
      <w:pPr>
        <w:pStyle w:val="ListParagraph"/>
        <w:numPr>
          <w:ilvl w:val="0"/>
          <w:numId w:val="148"/>
        </w:numPr>
        <w:jc w:val="both"/>
        <w:rPr>
          <w:rFonts w:asciiTheme="minorHAnsi" w:eastAsia="SimSun" w:hAnsiTheme="minorHAnsi" w:cstheme="minorHAnsi"/>
          <w:color w:val="auto"/>
        </w:rPr>
      </w:pPr>
      <w:r w:rsidRPr="00C86111">
        <w:rPr>
          <w:rFonts w:asciiTheme="minorHAnsi" w:eastAsia="SimSun" w:hAnsiTheme="minorHAnsi" w:cstheme="minorHAnsi"/>
          <w:color w:val="auto"/>
        </w:rPr>
        <w:t>Uprava carina</w:t>
      </w:r>
    </w:p>
    <w:p w14:paraId="28D190E3" w14:textId="77777777" w:rsidR="002B20A9" w:rsidRPr="00C86111" w:rsidRDefault="002B20A9" w:rsidP="00004F34">
      <w:pPr>
        <w:pStyle w:val="ListParagraph"/>
        <w:numPr>
          <w:ilvl w:val="0"/>
          <w:numId w:val="148"/>
        </w:numPr>
        <w:jc w:val="both"/>
        <w:rPr>
          <w:rFonts w:asciiTheme="minorHAnsi" w:eastAsia="SimSun" w:hAnsiTheme="minorHAnsi" w:cstheme="minorHAnsi"/>
          <w:color w:val="auto"/>
        </w:rPr>
      </w:pPr>
      <w:r w:rsidRPr="00C86111">
        <w:rPr>
          <w:rFonts w:asciiTheme="minorHAnsi" w:eastAsia="SimSun" w:hAnsiTheme="minorHAnsi" w:cstheme="minorHAnsi"/>
          <w:color w:val="auto"/>
        </w:rPr>
        <w:t>Uprava za statistiku Crne Gore – MONSTAT</w:t>
      </w:r>
    </w:p>
    <w:p w14:paraId="0AB0253E" w14:textId="77777777" w:rsidR="002B20A9" w:rsidRPr="00C86111" w:rsidRDefault="002B20A9" w:rsidP="002B20A9">
      <w:pPr>
        <w:jc w:val="both"/>
        <w:rPr>
          <w:rFonts w:asciiTheme="minorHAnsi" w:hAnsiTheme="minorHAnsi" w:cstheme="minorHAnsi"/>
          <w:color w:val="auto"/>
        </w:rPr>
      </w:pPr>
      <w:r w:rsidRPr="00C86111">
        <w:rPr>
          <w:rFonts w:asciiTheme="minorHAnsi" w:eastAsia="SimSun" w:hAnsiTheme="minorHAnsi" w:cstheme="minorHAnsi"/>
          <w:color w:val="auto"/>
        </w:rPr>
        <w:t>Od navedenih organizacija dobijeni su podaci o: u</w:t>
      </w:r>
      <w:r w:rsidRPr="00C86111">
        <w:rPr>
          <w:rFonts w:asciiTheme="minorHAnsi" w:hAnsiTheme="minorHAnsi" w:cstheme="minorHAnsi"/>
          <w:color w:val="auto"/>
        </w:rPr>
        <w:t>potrebi i skladištenju protivpožarnih pjena</w:t>
      </w:r>
    </w:p>
    <w:p w14:paraId="229167A9" w14:textId="77777777" w:rsidR="002B20A9" w:rsidRPr="00C86111" w:rsidRDefault="002B20A9" w:rsidP="002B20A9">
      <w:pPr>
        <w:jc w:val="both"/>
        <w:rPr>
          <w:rFonts w:asciiTheme="minorHAnsi" w:hAnsiTheme="minorHAnsi" w:cstheme="minorHAnsi"/>
          <w:color w:val="auto"/>
        </w:rPr>
      </w:pPr>
      <w:r w:rsidRPr="00C86111">
        <w:rPr>
          <w:rFonts w:asciiTheme="minorHAnsi" w:eastAsia="SimSun" w:hAnsiTheme="minorHAnsi" w:cstheme="minorHAnsi"/>
          <w:color w:val="auto"/>
        </w:rPr>
        <w:t>uvozu i upotrebi potrošačkih proizvoda koji mogu potencijalno da sadrže PFOA/PFHxS (</w:t>
      </w:r>
      <w:r w:rsidRPr="00C86111">
        <w:rPr>
          <w:rFonts w:asciiTheme="minorHAnsi" w:hAnsiTheme="minorHAnsi" w:cstheme="minorHAnsi"/>
          <w:color w:val="auto"/>
        </w:rPr>
        <w:t>tekstil, odjeća, proizvodi od kože, papir, ambalaža …) I generisanju otpada na osnovu odabranih indeksnih brojeva otpada</w:t>
      </w:r>
    </w:p>
    <w:p w14:paraId="73032A96" w14:textId="77777777" w:rsidR="002B20A9" w:rsidRPr="00C86111" w:rsidRDefault="002B20A9" w:rsidP="00EA6904">
      <w:pPr>
        <w:pStyle w:val="Heading4"/>
      </w:pPr>
      <w:bookmarkStart w:id="346" w:name="_Toc210632575"/>
      <w:r w:rsidRPr="00C86111">
        <w:t>Metodologija prikupljanja podataka</w:t>
      </w:r>
      <w:bookmarkEnd w:id="346"/>
    </w:p>
    <w:p w14:paraId="33267BB0"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Proces prikupljanja podataka sproveden je kombinacijom sledećih metoda:</w:t>
      </w:r>
    </w:p>
    <w:p w14:paraId="6663DAEA" w14:textId="77777777" w:rsidR="002B20A9" w:rsidRPr="00C86111" w:rsidRDefault="002B20A9" w:rsidP="00004F34">
      <w:pPr>
        <w:pStyle w:val="ListParagraph"/>
        <w:numPr>
          <w:ilvl w:val="0"/>
          <w:numId w:val="149"/>
        </w:numPr>
        <w:jc w:val="both"/>
        <w:rPr>
          <w:rFonts w:asciiTheme="minorHAnsi" w:hAnsiTheme="minorHAnsi" w:cstheme="minorHAnsi"/>
          <w:color w:val="auto"/>
        </w:rPr>
      </w:pPr>
      <w:r w:rsidRPr="00C86111">
        <w:rPr>
          <w:rFonts w:asciiTheme="minorHAnsi" w:hAnsiTheme="minorHAnsi" w:cstheme="minorHAnsi"/>
          <w:color w:val="auto"/>
        </w:rPr>
        <w:t>Direktnim intervjuom sa zaineresovanim stranama</w:t>
      </w:r>
    </w:p>
    <w:p w14:paraId="1FD223E4" w14:textId="77777777" w:rsidR="002B20A9" w:rsidRPr="00C86111" w:rsidRDefault="002B20A9" w:rsidP="00004F34">
      <w:pPr>
        <w:pStyle w:val="ListParagraph"/>
        <w:numPr>
          <w:ilvl w:val="0"/>
          <w:numId w:val="149"/>
        </w:numPr>
        <w:jc w:val="both"/>
        <w:rPr>
          <w:rFonts w:asciiTheme="minorHAnsi" w:hAnsiTheme="minorHAnsi" w:cstheme="minorHAnsi"/>
          <w:color w:val="auto"/>
        </w:rPr>
      </w:pPr>
      <w:r w:rsidRPr="00C86111">
        <w:rPr>
          <w:rFonts w:asciiTheme="minorHAnsi" w:hAnsiTheme="minorHAnsi" w:cstheme="minorHAnsi"/>
          <w:color w:val="auto"/>
        </w:rPr>
        <w:t>Telefonskim intervjuom</w:t>
      </w:r>
    </w:p>
    <w:p w14:paraId="5BB7B659" w14:textId="77777777" w:rsidR="002B20A9" w:rsidRPr="00C86111" w:rsidRDefault="002B20A9" w:rsidP="00004F34">
      <w:pPr>
        <w:pStyle w:val="ListParagraph"/>
        <w:numPr>
          <w:ilvl w:val="0"/>
          <w:numId w:val="149"/>
        </w:numPr>
        <w:jc w:val="both"/>
        <w:rPr>
          <w:rFonts w:asciiTheme="minorHAnsi" w:hAnsiTheme="minorHAnsi" w:cstheme="minorHAnsi"/>
          <w:color w:val="auto"/>
        </w:rPr>
      </w:pPr>
      <w:r w:rsidRPr="00C86111">
        <w:rPr>
          <w:rFonts w:asciiTheme="minorHAnsi" w:hAnsiTheme="minorHAnsi" w:cstheme="minorHAnsi"/>
          <w:color w:val="auto"/>
        </w:rPr>
        <w:t>E-mail komunikacijom</w:t>
      </w:r>
    </w:p>
    <w:p w14:paraId="31DB49FA" w14:textId="77777777" w:rsidR="002B20A9" w:rsidRPr="00C86111" w:rsidRDefault="002B20A9" w:rsidP="00004F34">
      <w:pPr>
        <w:pStyle w:val="ListParagraph"/>
        <w:numPr>
          <w:ilvl w:val="0"/>
          <w:numId w:val="149"/>
        </w:numPr>
        <w:jc w:val="both"/>
        <w:rPr>
          <w:rFonts w:asciiTheme="minorHAnsi" w:eastAsia="SimSun" w:hAnsiTheme="minorHAnsi" w:cstheme="minorHAnsi"/>
          <w:color w:val="auto"/>
        </w:rPr>
      </w:pPr>
      <w:r w:rsidRPr="00C86111">
        <w:rPr>
          <w:rFonts w:asciiTheme="minorHAnsi" w:eastAsia="SimSun" w:hAnsiTheme="minorHAnsi" w:cstheme="minorHAnsi"/>
          <w:color w:val="auto"/>
        </w:rPr>
        <w:t xml:space="preserve">Distribucijom upitnika releventnim organizacijama </w:t>
      </w:r>
    </w:p>
    <w:p w14:paraId="44B1C6E6" w14:textId="77777777" w:rsidR="002B20A9" w:rsidRPr="00C86111" w:rsidRDefault="002B20A9" w:rsidP="00004F34">
      <w:pPr>
        <w:pStyle w:val="ListParagraph"/>
        <w:numPr>
          <w:ilvl w:val="0"/>
          <w:numId w:val="149"/>
        </w:numPr>
        <w:jc w:val="both"/>
        <w:rPr>
          <w:rFonts w:asciiTheme="minorHAnsi" w:eastAsia="SimSun" w:hAnsiTheme="minorHAnsi" w:cstheme="minorHAnsi"/>
          <w:color w:val="auto"/>
        </w:rPr>
      </w:pPr>
      <w:r w:rsidRPr="00C86111">
        <w:rPr>
          <w:rFonts w:asciiTheme="minorHAnsi" w:eastAsia="SimSun" w:hAnsiTheme="minorHAnsi" w:cstheme="minorHAnsi"/>
          <w:color w:val="auto"/>
        </w:rPr>
        <w:t>Procjenom na bazi nacionalnih statističkih podataka</w:t>
      </w:r>
    </w:p>
    <w:p w14:paraId="73283F8A" w14:textId="77777777" w:rsidR="002B20A9" w:rsidRPr="00C86111" w:rsidRDefault="002B20A9" w:rsidP="00004F34">
      <w:pPr>
        <w:pStyle w:val="ListParagraph"/>
        <w:numPr>
          <w:ilvl w:val="0"/>
          <w:numId w:val="149"/>
        </w:numPr>
        <w:jc w:val="both"/>
        <w:rPr>
          <w:rFonts w:asciiTheme="minorHAnsi" w:hAnsiTheme="minorHAnsi" w:cstheme="minorHAnsi"/>
          <w:color w:val="auto"/>
        </w:rPr>
      </w:pPr>
      <w:r w:rsidRPr="00C86111">
        <w:rPr>
          <w:rFonts w:asciiTheme="minorHAnsi" w:hAnsiTheme="minorHAnsi" w:cstheme="minorHAnsi"/>
          <w:color w:val="auto"/>
        </w:rPr>
        <w:t>Pregledom i analizom podataka dostupnih na web stranicama javnih institucija (Monstat, EPA)</w:t>
      </w:r>
    </w:p>
    <w:p w14:paraId="6A1A971A" w14:textId="77777777" w:rsidR="002B20A9" w:rsidRPr="00C86111" w:rsidRDefault="002B20A9" w:rsidP="00004F34">
      <w:pPr>
        <w:pStyle w:val="ListParagraph"/>
        <w:numPr>
          <w:ilvl w:val="0"/>
          <w:numId w:val="149"/>
        </w:numPr>
        <w:jc w:val="both"/>
        <w:rPr>
          <w:rFonts w:asciiTheme="minorHAnsi" w:hAnsiTheme="minorHAnsi" w:cstheme="minorHAnsi"/>
          <w:color w:val="auto"/>
        </w:rPr>
      </w:pPr>
      <w:r w:rsidRPr="00C86111">
        <w:rPr>
          <w:rFonts w:asciiTheme="minorHAnsi" w:hAnsiTheme="minorHAnsi" w:cstheme="minorHAnsi"/>
          <w:color w:val="auto"/>
        </w:rPr>
        <w:t>Posjetom lokacijama i direktno intervjuisanje predstavnika zainteresovanih strana</w:t>
      </w:r>
    </w:p>
    <w:p w14:paraId="0F53E001" w14:textId="77777777" w:rsidR="00AA7D50" w:rsidRPr="00C86111" w:rsidRDefault="00AA7D50" w:rsidP="00AA7D50">
      <w:pPr>
        <w:jc w:val="both"/>
        <w:rPr>
          <w:rFonts w:asciiTheme="minorHAnsi" w:hAnsiTheme="minorHAnsi" w:cstheme="minorHAnsi"/>
          <w:color w:val="auto"/>
        </w:rPr>
      </w:pPr>
    </w:p>
    <w:p w14:paraId="2F6C9084" w14:textId="77777777" w:rsidR="00AA7D50" w:rsidRPr="00C86111" w:rsidRDefault="00AA7D50" w:rsidP="00AA7D50">
      <w:pPr>
        <w:jc w:val="both"/>
        <w:rPr>
          <w:rFonts w:asciiTheme="minorHAnsi" w:hAnsiTheme="minorHAnsi" w:cstheme="minorHAnsi"/>
          <w:color w:val="auto"/>
        </w:rPr>
      </w:pPr>
    </w:p>
    <w:p w14:paraId="1923B7F5" w14:textId="77777777" w:rsidR="002B20A9" w:rsidRPr="00C86111" w:rsidRDefault="002B20A9" w:rsidP="002B20A9">
      <w:pPr>
        <w:jc w:val="both"/>
        <w:rPr>
          <w:rFonts w:asciiTheme="minorHAnsi" w:eastAsia="SimSun" w:hAnsiTheme="minorHAnsi" w:cstheme="minorHAnsi"/>
          <w:color w:val="auto"/>
          <w:lang w:eastAsia="nb-NO"/>
        </w:rPr>
      </w:pPr>
    </w:p>
    <w:p w14:paraId="0A5500FB" w14:textId="77777777" w:rsidR="002B20A9" w:rsidRPr="00C86111" w:rsidRDefault="002B20A9" w:rsidP="00EA6904">
      <w:pPr>
        <w:pStyle w:val="Heading4"/>
      </w:pPr>
      <w:bookmarkStart w:id="347" w:name="_Toc210632576"/>
      <w:r w:rsidRPr="00C86111">
        <w:lastRenderedPageBreak/>
        <w:t>Prikupljanje podataka</w:t>
      </w:r>
      <w:bookmarkEnd w:id="347"/>
    </w:p>
    <w:p w14:paraId="549F5752"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Prikupljanje podataka za izradu inventara PFOA i PFHxS sprovedeno je koristeći višestepeni pristup, koji se temelji na Tier I, Tier II i Tier III metodologijama.</w:t>
      </w:r>
    </w:p>
    <w:p w14:paraId="7FE5C96A"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002060"/>
          <w:lang w:eastAsia="en-GB"/>
        </w:rPr>
        <w:t>Tier I – Početna procjena</w:t>
      </w:r>
    </w:p>
    <w:p w14:paraId="2D6CE58A"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Ovaj korak predstavlja osnovnu identifikaciju potencijalnih izvora upotrebe inventarisanih supstanci. Korišćen je za prikupljanje informacija o uvozu proizvoda koji mogu sadržavati PFOA i PFHxS, kao i podataka o postojećem otpadu koji potencijalno sadrži ove supstance.</w:t>
      </w:r>
    </w:p>
    <w:p w14:paraId="45AEA6B0" w14:textId="77777777" w:rsidR="002B20A9" w:rsidRPr="00C86111" w:rsidRDefault="002B20A9" w:rsidP="002B20A9">
      <w:pPr>
        <w:jc w:val="both"/>
        <w:rPr>
          <w:rFonts w:asciiTheme="minorHAnsi" w:eastAsia="Times New Roman" w:hAnsiTheme="minorHAnsi" w:cstheme="minorHAnsi"/>
          <w:color w:val="002060"/>
          <w:lang w:eastAsia="en-GB"/>
        </w:rPr>
      </w:pPr>
      <w:r w:rsidRPr="00C86111">
        <w:rPr>
          <w:rFonts w:asciiTheme="minorHAnsi" w:eastAsia="Times New Roman" w:hAnsiTheme="minorHAnsi" w:cstheme="minorHAnsi"/>
          <w:color w:val="002060"/>
          <w:lang w:eastAsia="en-GB"/>
        </w:rPr>
        <w:t>Tier II – Sistematsko prikupljanje podataka</w:t>
      </w:r>
    </w:p>
    <w:p w14:paraId="583D99AF"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 ovoj fazi, inventar je dopunjen dodatnim podacima koji su prikupljeni kroz detaljniju analizu. Koristili su se sistematski prikupljeni podaci, sprovedeni direktni intervjui, te poslati upitnici kako bi se popunile eventualne praznine u informacijama.</w:t>
      </w:r>
    </w:p>
    <w:p w14:paraId="4E3DB00E" w14:textId="77777777" w:rsidR="002B20A9" w:rsidRPr="00C86111" w:rsidRDefault="002B20A9" w:rsidP="002B20A9">
      <w:pPr>
        <w:jc w:val="both"/>
        <w:rPr>
          <w:rFonts w:asciiTheme="minorHAnsi" w:eastAsia="Times New Roman" w:hAnsiTheme="minorHAnsi" w:cstheme="minorHAnsi"/>
          <w:color w:val="002060"/>
          <w:lang w:eastAsia="en-GB"/>
        </w:rPr>
      </w:pPr>
      <w:r w:rsidRPr="00C86111">
        <w:rPr>
          <w:rFonts w:asciiTheme="minorHAnsi" w:eastAsia="Times New Roman" w:hAnsiTheme="minorHAnsi" w:cstheme="minorHAnsi"/>
          <w:color w:val="002060"/>
          <w:lang w:eastAsia="en-GB"/>
        </w:rPr>
        <w:t>Tier III – Dubinska inventarizacija</w:t>
      </w:r>
    </w:p>
    <w:p w14:paraId="2F97EEFD"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Ova faza podrazumijeva detaljne posjete lokacijama i sprovođenje analiza proizvoda ili predmeta koji sadrže PFOA i PFHxS. Cilj Tier III pristupa je da pruži precizne i pouzdane podatke za konačnu procjenu.</w:t>
      </w:r>
    </w:p>
    <w:p w14:paraId="20BA4A5B" w14:textId="77777777" w:rsidR="002B20A9" w:rsidRPr="00C86111" w:rsidRDefault="002B20A9" w:rsidP="00EA6904">
      <w:pPr>
        <w:pStyle w:val="Heading4"/>
      </w:pPr>
      <w:bookmarkStart w:id="348" w:name="_Toc210632577"/>
      <w:r w:rsidRPr="00C86111">
        <w:t>Preračun sadržaja PFOA, PFHxS, njihovih soli i srodnih jedinjenja u proizvodima različitih sektora</w:t>
      </w:r>
      <w:bookmarkEnd w:id="348"/>
    </w:p>
    <w:p w14:paraId="4691FE22" w14:textId="6090ADB2" w:rsidR="002B20A9" w:rsidRPr="00C86111" w:rsidRDefault="002B20A9" w:rsidP="002B20A9">
      <w:pPr>
        <w:jc w:val="both"/>
      </w:pPr>
      <w:r w:rsidRPr="00C86111">
        <w:rPr>
          <w:rFonts w:asciiTheme="minorHAnsi" w:eastAsia="SimSun" w:hAnsiTheme="minorHAnsi" w:cstheme="minorHAnsi"/>
          <w:color w:val="auto"/>
          <w:lang w:eastAsia="nb-NO"/>
        </w:rPr>
        <w:t xml:space="preserve">Preračun sadržaja PFOA, PFHxS i njihovih soli u proizvodima na potrošačkom tržištu, protivpožarnoj pjeni i otpadu, urađen je u skladu sa smjernicama datim u „Uputstvu za pripremu inventara PFOS, PFOA i PFHxS” </w:t>
      </w:r>
      <w:bookmarkStart w:id="349" w:name="_Toc210632578"/>
    </w:p>
    <w:p w14:paraId="69CF3AA9" w14:textId="77777777" w:rsidR="002B20A9" w:rsidRPr="00C86111" w:rsidRDefault="002B20A9" w:rsidP="00004F34">
      <w:pPr>
        <w:pStyle w:val="Heading1"/>
        <w:numPr>
          <w:ilvl w:val="1"/>
          <w:numId w:val="238"/>
        </w:numPr>
      </w:pPr>
      <w:bookmarkStart w:id="350" w:name="_Toc220541952"/>
      <w:r w:rsidRPr="00C86111">
        <w:t>Rezultati inventara PFOA, njenih soli i jedinjenja sličnih PFOA I</w:t>
      </w:r>
      <w:bookmarkEnd w:id="349"/>
      <w:r w:rsidRPr="00C86111">
        <w:t xml:space="preserve"> </w:t>
      </w:r>
      <w:bookmarkStart w:id="351" w:name="_Toc210632579"/>
      <w:r w:rsidRPr="00C86111">
        <w:t>PFHxS, njegove soli i jedinjenja slični PFHxS za period 2017-2023 godina</w:t>
      </w:r>
      <w:bookmarkEnd w:id="350"/>
      <w:bookmarkEnd w:id="351"/>
    </w:p>
    <w:p w14:paraId="7EA67EBC" w14:textId="0D40E7BC" w:rsidR="002B20A9" w:rsidRPr="00C86111" w:rsidRDefault="002B20A9" w:rsidP="00EA6904">
      <w:pPr>
        <w:pStyle w:val="Heading4"/>
      </w:pPr>
      <w:bookmarkStart w:id="352" w:name="_Toc210632580"/>
      <w:r w:rsidRPr="00C86111">
        <w:t xml:space="preserve">Rezultati inventara PFOA, PFHxS, </w:t>
      </w:r>
      <w:bookmarkStart w:id="353" w:name="_Hlk185268023"/>
      <w:r w:rsidRPr="00C86111">
        <w:t xml:space="preserve">njihovih soli </w:t>
      </w:r>
      <w:bookmarkEnd w:id="352"/>
      <w:r w:rsidR="007A344F" w:rsidRPr="00C86111">
        <w:t>i</w:t>
      </w:r>
      <w:r w:rsidRPr="00C86111">
        <w:t xml:space="preserve"> </w:t>
      </w:r>
      <w:bookmarkStart w:id="354" w:name="_Toc210632581"/>
      <w:r w:rsidRPr="00C86111">
        <w:t>sličnih jedinjenja</w:t>
      </w:r>
      <w:bookmarkEnd w:id="353"/>
      <w:r w:rsidRPr="00C86111">
        <w:t xml:space="preserve"> u protivpožarnim pjenama</w:t>
      </w:r>
      <w:bookmarkEnd w:id="354"/>
    </w:p>
    <w:p w14:paraId="5458F33F" w14:textId="77777777" w:rsidR="002B20A9" w:rsidRPr="00C86111" w:rsidRDefault="002B20A9" w:rsidP="002B20A9">
      <w:pPr>
        <w:jc w:val="both"/>
        <w:rPr>
          <w:rFonts w:asciiTheme="minorHAnsi" w:eastAsia="SimSun" w:hAnsiTheme="minorHAnsi" w:cstheme="minorHAnsi"/>
          <w:color w:val="auto"/>
        </w:rPr>
      </w:pPr>
    </w:p>
    <w:p w14:paraId="7378A8F3"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Inventarizacija PFOA, PFHxS, njihovih soli i srodnih jedinjenja u protivpožarnim pjenama sprovedena je kroz prikupljanje podataka iz različitih izvora, uključujući distribuciju upitnika, direktne kontakte i terenske posete vatrogasnim jedinicama i drugim relevantnim subjektima. Ovaj proces omogućio je precizno mapiranje prisustva ovih hemikalija u različitim sektorima i obuhvatio je širok spektar subjekata, uključujući opštinske službe zaštite i spašavanja, aerodrome, luke, marine, naftne kompanije, elektroenergetski sektor, kao i druge organizacije.</w:t>
      </w:r>
    </w:p>
    <w:p w14:paraId="76F67626" w14:textId="7777777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Ukupno je poslato 33 upitnika:</w:t>
      </w:r>
    </w:p>
    <w:p w14:paraId="681F8404" w14:textId="77777777" w:rsidR="002B20A9" w:rsidRPr="00C86111" w:rsidRDefault="002B20A9" w:rsidP="00004F34">
      <w:pPr>
        <w:pStyle w:val="ListParagraph"/>
        <w:numPr>
          <w:ilvl w:val="0"/>
          <w:numId w:val="150"/>
        </w:numPr>
        <w:jc w:val="both"/>
        <w:rPr>
          <w:rFonts w:asciiTheme="minorHAnsi" w:eastAsia="SimSun" w:hAnsiTheme="minorHAnsi" w:cstheme="minorHAnsi"/>
          <w:color w:val="auto"/>
        </w:rPr>
      </w:pPr>
      <w:r w:rsidRPr="00C86111">
        <w:rPr>
          <w:rFonts w:asciiTheme="minorHAnsi" w:eastAsia="SimSun" w:hAnsiTheme="minorHAnsi" w:cstheme="minorHAnsi"/>
          <w:color w:val="auto"/>
        </w:rPr>
        <w:t>Opštinske službe zaštite i spašavanja: Ulcinj, Bar, Budva, Tivat, Kotor, Herceg Novi, Nikšić, Plužine, Šavnik, Žabljak, Pljevlja, Bijelo Polje, Petnjica, Berane, Rožaje, Plav, Andrijevica, Gusinje, Mojkovac, Kolašin, Podgorica, Cetinje, Danilovgrad, Dobrovoljno vatrogasno društvo Krtoli – Tivat, Dobrovoljno vatrogasno društvo Perast i Dobrovoljno vatrogasno društvo Bijela.</w:t>
      </w:r>
    </w:p>
    <w:p w14:paraId="1C18832B" w14:textId="77777777" w:rsidR="002B20A9" w:rsidRPr="00C86111" w:rsidRDefault="002B20A9" w:rsidP="00004F34">
      <w:pPr>
        <w:pStyle w:val="ListParagraph"/>
        <w:numPr>
          <w:ilvl w:val="0"/>
          <w:numId w:val="150"/>
        </w:numPr>
        <w:jc w:val="both"/>
        <w:rPr>
          <w:rFonts w:asciiTheme="minorHAnsi" w:eastAsia="SimSun" w:hAnsiTheme="minorHAnsi" w:cstheme="minorHAnsi"/>
          <w:color w:val="auto"/>
        </w:rPr>
      </w:pPr>
      <w:r w:rsidRPr="00C86111">
        <w:rPr>
          <w:rFonts w:asciiTheme="minorHAnsi" w:eastAsia="SimSun" w:hAnsiTheme="minorHAnsi" w:cstheme="minorHAnsi"/>
          <w:color w:val="auto"/>
        </w:rPr>
        <w:t>Aerodrom (Podgorica, Tivat)</w:t>
      </w:r>
    </w:p>
    <w:p w14:paraId="736CC9CE" w14:textId="77777777" w:rsidR="002B20A9" w:rsidRPr="00C86111" w:rsidRDefault="002B20A9" w:rsidP="00004F34">
      <w:pPr>
        <w:pStyle w:val="ListParagraph"/>
        <w:numPr>
          <w:ilvl w:val="0"/>
          <w:numId w:val="150"/>
        </w:numPr>
        <w:jc w:val="both"/>
        <w:rPr>
          <w:rFonts w:asciiTheme="minorHAnsi" w:eastAsia="SimSun" w:hAnsiTheme="minorHAnsi" w:cstheme="minorHAnsi"/>
          <w:color w:val="auto"/>
        </w:rPr>
      </w:pPr>
      <w:r w:rsidRPr="00C86111">
        <w:rPr>
          <w:rFonts w:asciiTheme="minorHAnsi" w:eastAsia="SimSun" w:hAnsiTheme="minorHAnsi" w:cstheme="minorHAnsi"/>
          <w:color w:val="auto"/>
        </w:rPr>
        <w:lastRenderedPageBreak/>
        <w:t>Naftna kompanija-Jugopetrol</w:t>
      </w:r>
    </w:p>
    <w:p w14:paraId="2F86E517" w14:textId="77777777" w:rsidR="002B20A9" w:rsidRPr="00C86111" w:rsidRDefault="002B20A9" w:rsidP="00004F34">
      <w:pPr>
        <w:pStyle w:val="ListParagraph"/>
        <w:numPr>
          <w:ilvl w:val="0"/>
          <w:numId w:val="150"/>
        </w:numPr>
        <w:jc w:val="both"/>
        <w:rPr>
          <w:rFonts w:asciiTheme="minorHAnsi" w:eastAsia="SimSun" w:hAnsiTheme="minorHAnsi" w:cstheme="minorHAnsi"/>
          <w:color w:val="auto"/>
        </w:rPr>
      </w:pPr>
      <w:r w:rsidRPr="00C86111">
        <w:rPr>
          <w:rFonts w:asciiTheme="minorHAnsi" w:eastAsia="SimSun" w:hAnsiTheme="minorHAnsi" w:cstheme="minorHAnsi"/>
          <w:color w:val="auto"/>
        </w:rPr>
        <w:t>Luka Bar</w:t>
      </w:r>
    </w:p>
    <w:p w14:paraId="650F6391" w14:textId="77777777" w:rsidR="002B20A9" w:rsidRPr="00C86111" w:rsidRDefault="002B20A9" w:rsidP="00004F34">
      <w:pPr>
        <w:pStyle w:val="ListParagraph"/>
        <w:numPr>
          <w:ilvl w:val="0"/>
          <w:numId w:val="150"/>
        </w:numPr>
        <w:jc w:val="both"/>
        <w:rPr>
          <w:rFonts w:asciiTheme="minorHAnsi" w:eastAsia="SimSun" w:hAnsiTheme="minorHAnsi" w:cstheme="minorHAnsi"/>
          <w:color w:val="auto"/>
        </w:rPr>
      </w:pPr>
      <w:r w:rsidRPr="00C86111">
        <w:rPr>
          <w:rFonts w:asciiTheme="minorHAnsi" w:eastAsia="SimSun" w:hAnsiTheme="minorHAnsi" w:cstheme="minorHAnsi"/>
          <w:color w:val="auto"/>
        </w:rPr>
        <w:t>Elektroprivreda Crne Gore (EPCG)</w:t>
      </w:r>
    </w:p>
    <w:p w14:paraId="1A6BA511" w14:textId="77777777" w:rsidR="002B20A9" w:rsidRPr="00C86111" w:rsidRDefault="002B20A9" w:rsidP="00004F34">
      <w:pPr>
        <w:pStyle w:val="ListParagraph"/>
        <w:numPr>
          <w:ilvl w:val="0"/>
          <w:numId w:val="150"/>
        </w:numPr>
        <w:jc w:val="both"/>
        <w:rPr>
          <w:rFonts w:asciiTheme="minorHAnsi" w:eastAsia="SimSun" w:hAnsiTheme="minorHAnsi" w:cstheme="minorHAnsi"/>
          <w:color w:val="auto"/>
        </w:rPr>
      </w:pPr>
      <w:r w:rsidRPr="00C86111">
        <w:rPr>
          <w:rFonts w:asciiTheme="minorHAnsi" w:eastAsia="SimSun" w:hAnsiTheme="minorHAnsi" w:cstheme="minorHAnsi"/>
          <w:color w:val="auto"/>
        </w:rPr>
        <w:t>Luštica Bay (marina za jahte)</w:t>
      </w:r>
    </w:p>
    <w:p w14:paraId="2EA84C87" w14:textId="77777777" w:rsidR="002B20A9" w:rsidRPr="00C86111" w:rsidRDefault="002B20A9" w:rsidP="00004F34">
      <w:pPr>
        <w:pStyle w:val="ListParagraph"/>
        <w:numPr>
          <w:ilvl w:val="0"/>
          <w:numId w:val="150"/>
        </w:numPr>
        <w:jc w:val="both"/>
        <w:rPr>
          <w:rFonts w:asciiTheme="minorHAnsi" w:eastAsia="SimSun" w:hAnsiTheme="minorHAnsi" w:cstheme="minorHAnsi"/>
          <w:color w:val="auto"/>
        </w:rPr>
      </w:pPr>
      <w:r w:rsidRPr="00C86111">
        <w:rPr>
          <w:rFonts w:asciiTheme="minorHAnsi" w:eastAsia="SimSun" w:hAnsiTheme="minorHAnsi" w:cstheme="minorHAnsi"/>
          <w:color w:val="auto"/>
        </w:rPr>
        <w:t>Monteput</w:t>
      </w:r>
    </w:p>
    <w:p w14:paraId="098C983C" w14:textId="7777777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color w:val="auto"/>
        </w:rPr>
        <w:t>S obzirom na to da jedna od većih marina u Mediteranu, Porto Montenegro u Tivtu, koristi usluge opštinske Službe zaštite i spašavanja grada Tivta, direktno nisu bili obuhvaćeni inventarizacijom.</w:t>
      </w:r>
    </w:p>
    <w:p w14:paraId="71B8EA52" w14:textId="77777777" w:rsidR="002B20A9" w:rsidRPr="00C86111" w:rsidRDefault="002B20A9" w:rsidP="002B20A9">
      <w:pPr>
        <w:jc w:val="both"/>
        <w:rPr>
          <w:rFonts w:asciiTheme="minorHAnsi" w:eastAsia="SimSun" w:hAnsiTheme="minorHAnsi" w:cstheme="minorHAnsi"/>
          <w:color w:val="auto"/>
        </w:rPr>
      </w:pPr>
      <w:r w:rsidRPr="00C86111">
        <w:rPr>
          <w:rFonts w:asciiTheme="minorHAnsi" w:hAnsiTheme="minorHAnsi" w:cstheme="minorHAnsi"/>
          <w:color w:val="auto"/>
        </w:rPr>
        <w:t>Na proslijeđene upitnike odgovorile su sve opštinske službe zaštite i spašavanja, kao i vatrogasne jedinice drugih relevantnih subjekata obuhvaćenih inventarizacijom PFOA i PFHxS. Kao rezultat toga, prikupljene su sledeće informacije:</w:t>
      </w:r>
    </w:p>
    <w:p w14:paraId="5E02324A" w14:textId="77777777" w:rsidR="002B20A9" w:rsidRPr="00C86111" w:rsidRDefault="002B20A9" w:rsidP="00004F34">
      <w:pPr>
        <w:pStyle w:val="ListParagraph"/>
        <w:numPr>
          <w:ilvl w:val="0"/>
          <w:numId w:val="151"/>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Opštinske službe zaštite i spašavanja:</w:t>
      </w:r>
    </w:p>
    <w:p w14:paraId="15502D4F" w14:textId="77777777" w:rsidR="002B20A9" w:rsidRPr="00C86111" w:rsidRDefault="002B20A9" w:rsidP="00004F34">
      <w:pPr>
        <w:pStyle w:val="ListParagraph"/>
        <w:numPr>
          <w:ilvl w:val="0"/>
          <w:numId w:val="151"/>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Od 26 opštinske službe, samo 5 ne koristi protivpožarne pjene.</w:t>
      </w:r>
    </w:p>
    <w:p w14:paraId="3FE6DCCE" w14:textId="77777777" w:rsidR="002B20A9" w:rsidRPr="00C86111" w:rsidRDefault="002B20A9" w:rsidP="00004F34">
      <w:pPr>
        <w:pStyle w:val="ListParagraph"/>
        <w:numPr>
          <w:ilvl w:val="0"/>
          <w:numId w:val="151"/>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Ukupna količina protivpožarnih pjena u skladištima opštinskih službi je 16395 litara.</w:t>
      </w:r>
    </w:p>
    <w:p w14:paraId="16B1B204" w14:textId="77777777" w:rsidR="002B20A9" w:rsidRPr="00C86111" w:rsidRDefault="002B20A9" w:rsidP="00004F34">
      <w:pPr>
        <w:pStyle w:val="ListParagraph"/>
        <w:numPr>
          <w:ilvl w:val="0"/>
          <w:numId w:val="151"/>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Sedam službi poseduje pjenu sa isteklim rokom trajanja, sa ukupnom količinom od 8725 litara.</w:t>
      </w:r>
    </w:p>
    <w:p w14:paraId="3A06FB80" w14:textId="77777777" w:rsidR="002B20A9" w:rsidRPr="00C86111" w:rsidRDefault="002B20A9" w:rsidP="00004F34">
      <w:pPr>
        <w:pStyle w:val="ListParagraph"/>
        <w:numPr>
          <w:ilvl w:val="0"/>
          <w:numId w:val="151"/>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Vatrogasne službe drugih subjekata (aerodromi, luke, marine, transport, elektroenergetski sektor):</w:t>
      </w:r>
    </w:p>
    <w:p w14:paraId="38EB323F" w14:textId="77777777" w:rsidR="002B20A9" w:rsidRPr="00C86111" w:rsidRDefault="002B20A9" w:rsidP="00004F34">
      <w:pPr>
        <w:pStyle w:val="ListParagraph"/>
        <w:numPr>
          <w:ilvl w:val="0"/>
          <w:numId w:val="151"/>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Od 7 vatrogasnih službi, samo jedna ne koristi protivpožarne pjene.</w:t>
      </w:r>
    </w:p>
    <w:p w14:paraId="31F35F13" w14:textId="77777777" w:rsidR="002B20A9" w:rsidRPr="00C86111" w:rsidRDefault="002B20A9" w:rsidP="00004F34">
      <w:pPr>
        <w:pStyle w:val="ListParagraph"/>
        <w:numPr>
          <w:ilvl w:val="0"/>
          <w:numId w:val="151"/>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Ukupna količina protivpožarne pjene u ovom sektoru iznosi 29150 litara.</w:t>
      </w:r>
    </w:p>
    <w:p w14:paraId="0670FA84" w14:textId="27C79AFB" w:rsidR="002B20A9" w:rsidRPr="00C86111" w:rsidRDefault="002B20A9" w:rsidP="00EA6904">
      <w:pPr>
        <w:pStyle w:val="Heading4"/>
      </w:pPr>
      <w:r w:rsidRPr="00C86111">
        <w:t>Upotreba pjena</w:t>
      </w:r>
    </w:p>
    <w:p w14:paraId="374748A2" w14:textId="14BD06B2" w:rsidR="002B20A9" w:rsidRPr="00C86111" w:rsidRDefault="002B20A9" w:rsidP="002B20A9">
      <w:pPr>
        <w:jc w:val="both"/>
        <w:rPr>
          <w:rFonts w:asciiTheme="minorHAnsi" w:eastAsia="SimSun" w:hAnsiTheme="minorHAnsi" w:cstheme="minorHAnsi"/>
          <w:color w:val="auto"/>
        </w:rPr>
      </w:pPr>
      <w:r w:rsidRPr="00C86111">
        <w:rPr>
          <w:rFonts w:asciiTheme="minorHAnsi" w:eastAsia="Times New Roman" w:hAnsiTheme="minorHAnsi" w:cstheme="minorHAnsi"/>
          <w:color w:val="auto"/>
          <w:lang w:eastAsia="en-GB"/>
        </w:rPr>
        <w:t xml:space="preserve">Od 27 vatrogasne službe koje poseduju protivpožarne pjene, 21 ih je koristilo ovu pjenu, bilo prilikom intervencija tokom gašenja požara ili u vežbama i obukama. </w:t>
      </w:r>
      <w:r w:rsidRPr="00C86111">
        <w:rPr>
          <w:rFonts w:asciiTheme="minorHAnsi" w:eastAsia="SimSun" w:hAnsiTheme="minorHAnsi" w:cstheme="minorHAnsi"/>
          <w:color w:val="auto"/>
        </w:rPr>
        <w:t xml:space="preserve">Pregled protivpožarnjh pjena koje se nalaze u skladištima vatrogasnih jedinica dat je u tabeli </w:t>
      </w:r>
      <w:r w:rsidR="00626D74" w:rsidRPr="00C86111">
        <w:rPr>
          <w:rFonts w:asciiTheme="minorHAnsi" w:eastAsia="SimSun" w:hAnsiTheme="minorHAnsi" w:cstheme="minorHAnsi"/>
          <w:color w:val="auto"/>
        </w:rPr>
        <w:t>82</w:t>
      </w:r>
      <w:r w:rsidRPr="00C86111">
        <w:rPr>
          <w:rFonts w:asciiTheme="minorHAnsi" w:eastAsia="SimSun" w:hAnsiTheme="minorHAnsi" w:cstheme="minorHAnsi"/>
          <w:color w:val="auto"/>
        </w:rPr>
        <w:t>.</w:t>
      </w:r>
    </w:p>
    <w:p w14:paraId="44BA4EE9" w14:textId="77777777" w:rsidR="002B20A9" w:rsidRPr="00C86111" w:rsidRDefault="002B20A9" w:rsidP="002B20A9">
      <w:pPr>
        <w:jc w:val="both"/>
        <w:rPr>
          <w:rFonts w:asciiTheme="minorHAnsi" w:eastAsia="SimSun" w:hAnsiTheme="minorHAnsi" w:cstheme="minorHAnsi"/>
          <w:color w:val="auto"/>
        </w:rPr>
      </w:pPr>
    </w:p>
    <w:p w14:paraId="3A72153D" w14:textId="4FC854A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t xml:space="preserve">Tabela </w:t>
      </w:r>
      <w:r w:rsidR="00626D74" w:rsidRPr="00C86111">
        <w:rPr>
          <w:rFonts w:asciiTheme="minorHAnsi" w:eastAsia="SimSun" w:hAnsiTheme="minorHAnsi" w:cstheme="minorHAnsi"/>
          <w:b/>
          <w:bCs/>
          <w:color w:val="auto"/>
        </w:rPr>
        <w:t>82</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Pregled vatrogasnih jedinica koje posjeduju protivpožarne pjene, njene količine u skladištu, datum proizvodnje kao i tip pjene</w:t>
      </w:r>
    </w:p>
    <w:tbl>
      <w:tblPr>
        <w:tblStyle w:val="GridTable4-Accent6"/>
        <w:tblW w:w="5472" w:type="pct"/>
        <w:tblBorders>
          <w:top w:val="double" w:sz="4" w:space="0" w:color="A8D08D" w:themeColor="accent6" w:themeTint="99"/>
          <w:left w:val="double" w:sz="4" w:space="0" w:color="A8D08D" w:themeColor="accent6" w:themeTint="99"/>
          <w:bottom w:val="double" w:sz="4" w:space="0" w:color="A8D08D" w:themeColor="accent6" w:themeTint="99"/>
          <w:right w:val="double" w:sz="4" w:space="0" w:color="A8D08D" w:themeColor="accent6" w:themeTint="99"/>
          <w:insideH w:val="double" w:sz="4" w:space="0" w:color="A8D08D" w:themeColor="accent6" w:themeTint="99"/>
          <w:insideV w:val="double" w:sz="4" w:space="0" w:color="A8D08D" w:themeColor="accent6" w:themeTint="99"/>
        </w:tblBorders>
        <w:tblLayout w:type="fixed"/>
        <w:tblLook w:val="0000" w:firstRow="0" w:lastRow="0" w:firstColumn="0" w:lastColumn="0" w:noHBand="0" w:noVBand="0"/>
      </w:tblPr>
      <w:tblGrid>
        <w:gridCol w:w="907"/>
        <w:gridCol w:w="3216"/>
        <w:gridCol w:w="1436"/>
        <w:gridCol w:w="3257"/>
        <w:gridCol w:w="1395"/>
      </w:tblGrid>
      <w:tr w:rsidR="002B20A9" w:rsidRPr="00C86111" w14:paraId="131FC52C" w14:textId="77777777" w:rsidTr="0037538F">
        <w:trPr>
          <w:cnfStyle w:val="000000100000" w:firstRow="0" w:lastRow="0" w:firstColumn="0" w:lastColumn="0" w:oddVBand="0" w:evenVBand="0" w:oddHBand="1" w:evenHBand="0" w:firstRowFirstColumn="0" w:firstRowLastColumn="0" w:lastRowFirstColumn="0" w:lastRowLastColumn="0"/>
          <w:trHeight w:val="486"/>
        </w:trPr>
        <w:tc>
          <w:tcPr>
            <w:cnfStyle w:val="000010000000" w:firstRow="0" w:lastRow="0" w:firstColumn="0" w:lastColumn="0" w:oddVBand="1" w:evenVBand="0" w:oddHBand="0" w:evenHBand="0" w:firstRowFirstColumn="0" w:firstRowLastColumn="0" w:lastRowFirstColumn="0" w:lastRowLastColumn="0"/>
            <w:tcW w:w="444" w:type="pct"/>
            <w:vMerge w:val="restart"/>
            <w:vAlign w:val="center"/>
          </w:tcPr>
          <w:p w14:paraId="7E3BEFE2" w14:textId="77777777" w:rsidR="002B20A9" w:rsidRPr="00C86111" w:rsidRDefault="002B20A9" w:rsidP="007A344F">
            <w:pPr>
              <w:jc w:val="center"/>
              <w:rPr>
                <w:rFonts w:asciiTheme="minorHAnsi" w:hAnsiTheme="minorHAnsi" w:cstheme="minorHAnsi"/>
                <w:b/>
                <w:bCs/>
                <w:color w:val="auto"/>
                <w:sz w:val="20"/>
                <w:szCs w:val="20"/>
              </w:rPr>
            </w:pPr>
            <w:r w:rsidRPr="00C86111">
              <w:rPr>
                <w:rFonts w:asciiTheme="minorHAnsi" w:hAnsiTheme="minorHAnsi" w:cstheme="minorHAnsi"/>
                <w:b/>
                <w:bCs/>
                <w:color w:val="auto"/>
                <w:sz w:val="20"/>
                <w:szCs w:val="20"/>
              </w:rPr>
              <w:t>Br.</w:t>
            </w:r>
          </w:p>
        </w:tc>
        <w:tc>
          <w:tcPr>
            <w:tcW w:w="1575" w:type="pct"/>
            <w:vMerge w:val="restart"/>
            <w:vAlign w:val="center"/>
          </w:tcPr>
          <w:p w14:paraId="5C6EB1D4"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bCs/>
                <w:i/>
                <w:color w:val="auto"/>
                <w:sz w:val="20"/>
                <w:szCs w:val="20"/>
              </w:rPr>
            </w:pPr>
            <w:r w:rsidRPr="00C86111">
              <w:rPr>
                <w:rFonts w:asciiTheme="minorHAnsi" w:eastAsia="Times New Roman" w:hAnsiTheme="minorHAnsi" w:cstheme="minorHAnsi"/>
                <w:b/>
                <w:bCs/>
                <w:color w:val="auto"/>
                <w:sz w:val="20"/>
                <w:szCs w:val="20"/>
                <w:lang w:eastAsia="en-GB"/>
              </w:rPr>
              <w:t>Vatrogasna jedinica</w:t>
            </w:r>
          </w:p>
        </w:tc>
        <w:tc>
          <w:tcPr>
            <w:cnfStyle w:val="000010000000" w:firstRow="0" w:lastRow="0" w:firstColumn="0" w:lastColumn="0" w:oddVBand="1" w:evenVBand="0" w:oddHBand="0" w:evenHBand="0" w:firstRowFirstColumn="0" w:firstRowLastColumn="0" w:lastRowFirstColumn="0" w:lastRowLastColumn="0"/>
            <w:tcW w:w="703" w:type="pct"/>
            <w:vMerge w:val="restart"/>
            <w:vAlign w:val="center"/>
          </w:tcPr>
          <w:p w14:paraId="1DA8EE41" w14:textId="77777777" w:rsidR="002B20A9" w:rsidRPr="00C86111" w:rsidRDefault="002B20A9" w:rsidP="007A344F">
            <w:pPr>
              <w:jc w:val="center"/>
              <w:rPr>
                <w:rFonts w:asciiTheme="minorHAnsi" w:hAnsiTheme="minorHAnsi" w:cstheme="minorHAnsi"/>
                <w:b/>
                <w:bCs/>
                <w:color w:val="auto"/>
                <w:sz w:val="20"/>
                <w:szCs w:val="20"/>
              </w:rPr>
            </w:pPr>
            <w:r w:rsidRPr="00C86111">
              <w:rPr>
                <w:rFonts w:asciiTheme="minorHAnsi" w:eastAsia="Times New Roman" w:hAnsiTheme="minorHAnsi" w:cstheme="minorHAnsi"/>
                <w:b/>
                <w:bCs/>
                <w:color w:val="auto"/>
                <w:sz w:val="20"/>
                <w:szCs w:val="20"/>
                <w:lang w:eastAsia="en-GB"/>
              </w:rPr>
              <w:t>Količina protivpožarne pjene (L)</w:t>
            </w:r>
          </w:p>
        </w:tc>
        <w:tc>
          <w:tcPr>
            <w:tcW w:w="1595" w:type="pct"/>
            <w:vMerge w:val="restart"/>
            <w:vAlign w:val="center"/>
          </w:tcPr>
          <w:p w14:paraId="74C8FE17"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bCs/>
                <w:i/>
                <w:color w:val="auto"/>
                <w:sz w:val="20"/>
                <w:szCs w:val="20"/>
              </w:rPr>
            </w:pPr>
            <w:r w:rsidRPr="00C86111">
              <w:rPr>
                <w:rFonts w:asciiTheme="minorHAnsi" w:eastAsia="Times New Roman" w:hAnsiTheme="minorHAnsi" w:cstheme="minorHAnsi"/>
                <w:b/>
                <w:bCs/>
                <w:color w:val="auto"/>
                <w:sz w:val="20"/>
                <w:szCs w:val="20"/>
                <w:lang w:eastAsia="en-GB"/>
              </w:rPr>
              <w:t>Naziv protivpožarne pjene</w:t>
            </w:r>
          </w:p>
        </w:tc>
        <w:tc>
          <w:tcPr>
            <w:cnfStyle w:val="000010000000" w:firstRow="0" w:lastRow="0" w:firstColumn="0" w:lastColumn="0" w:oddVBand="1" w:evenVBand="0" w:oddHBand="0" w:evenHBand="0" w:firstRowFirstColumn="0" w:firstRowLastColumn="0" w:lastRowFirstColumn="0" w:lastRowLastColumn="0"/>
            <w:tcW w:w="683" w:type="pct"/>
            <w:vMerge w:val="restart"/>
            <w:vAlign w:val="center"/>
          </w:tcPr>
          <w:p w14:paraId="5DC8A753" w14:textId="77777777" w:rsidR="002B20A9" w:rsidRPr="00C86111" w:rsidRDefault="002B20A9" w:rsidP="007A344F">
            <w:pPr>
              <w:jc w:val="center"/>
              <w:rPr>
                <w:rStyle w:val="Hyperlink"/>
                <w:rFonts w:asciiTheme="minorHAnsi" w:hAnsiTheme="minorHAnsi" w:cstheme="minorHAnsi"/>
                <w:b/>
                <w:bCs/>
                <w:i/>
                <w:color w:val="auto"/>
                <w:sz w:val="20"/>
                <w:szCs w:val="20"/>
              </w:rPr>
            </w:pPr>
          </w:p>
          <w:p w14:paraId="75C7F570" w14:textId="77777777" w:rsidR="002B20A9" w:rsidRPr="00C86111" w:rsidRDefault="002B20A9" w:rsidP="007A344F">
            <w:pPr>
              <w:jc w:val="center"/>
              <w:rPr>
                <w:rFonts w:asciiTheme="minorHAnsi" w:hAnsiTheme="minorHAnsi" w:cstheme="minorHAnsi"/>
                <w:b/>
                <w:bCs/>
                <w:color w:val="auto"/>
                <w:sz w:val="20"/>
                <w:szCs w:val="20"/>
              </w:rPr>
            </w:pPr>
            <w:r w:rsidRPr="00C86111">
              <w:rPr>
                <w:rFonts w:asciiTheme="minorHAnsi" w:eastAsia="Times New Roman" w:hAnsiTheme="minorHAnsi" w:cstheme="minorHAnsi"/>
                <w:b/>
                <w:bCs/>
                <w:color w:val="auto"/>
                <w:sz w:val="20"/>
                <w:szCs w:val="20"/>
                <w:lang w:eastAsia="en-GB"/>
              </w:rPr>
              <w:t>Godina proizvodnje</w:t>
            </w:r>
          </w:p>
        </w:tc>
      </w:tr>
      <w:tr w:rsidR="002B20A9" w:rsidRPr="00C86111" w14:paraId="274FB5DB" w14:textId="77777777" w:rsidTr="0037538F">
        <w:trPr>
          <w:trHeight w:val="354"/>
        </w:trPr>
        <w:tc>
          <w:tcPr>
            <w:cnfStyle w:val="000010000000" w:firstRow="0" w:lastRow="0" w:firstColumn="0" w:lastColumn="0" w:oddVBand="1" w:evenVBand="0" w:oddHBand="0" w:evenHBand="0" w:firstRowFirstColumn="0" w:firstRowLastColumn="0" w:lastRowFirstColumn="0" w:lastRowLastColumn="0"/>
            <w:tcW w:w="444" w:type="pct"/>
            <w:vMerge/>
            <w:vAlign w:val="center"/>
          </w:tcPr>
          <w:p w14:paraId="44DBE9A6" w14:textId="77777777" w:rsidR="002B20A9" w:rsidRPr="00C86111" w:rsidRDefault="002B20A9" w:rsidP="007A344F">
            <w:pPr>
              <w:jc w:val="center"/>
              <w:rPr>
                <w:rFonts w:asciiTheme="minorHAnsi" w:hAnsiTheme="minorHAnsi" w:cstheme="minorHAnsi"/>
                <w:color w:val="auto"/>
                <w:sz w:val="20"/>
                <w:szCs w:val="20"/>
              </w:rPr>
            </w:pPr>
          </w:p>
        </w:tc>
        <w:tc>
          <w:tcPr>
            <w:tcW w:w="1575" w:type="pct"/>
            <w:vMerge/>
            <w:vAlign w:val="center"/>
          </w:tcPr>
          <w:p w14:paraId="439F55C7"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Merge/>
            <w:vAlign w:val="center"/>
          </w:tcPr>
          <w:p w14:paraId="52AA9047" w14:textId="77777777" w:rsidR="002B20A9" w:rsidRPr="00C86111" w:rsidRDefault="002B20A9" w:rsidP="007A344F">
            <w:pPr>
              <w:jc w:val="center"/>
              <w:rPr>
                <w:rFonts w:asciiTheme="minorHAnsi" w:hAnsiTheme="minorHAnsi" w:cstheme="minorHAnsi"/>
                <w:color w:val="auto"/>
                <w:sz w:val="20"/>
                <w:szCs w:val="20"/>
              </w:rPr>
            </w:pPr>
          </w:p>
        </w:tc>
        <w:tc>
          <w:tcPr>
            <w:tcW w:w="1595" w:type="pct"/>
            <w:vMerge/>
            <w:vAlign w:val="center"/>
          </w:tcPr>
          <w:p w14:paraId="746DDD97"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683" w:type="pct"/>
            <w:vMerge/>
            <w:vAlign w:val="center"/>
          </w:tcPr>
          <w:p w14:paraId="35DAD5FA" w14:textId="77777777" w:rsidR="002B20A9" w:rsidRPr="00C86111" w:rsidRDefault="002B20A9" w:rsidP="007A344F">
            <w:pPr>
              <w:jc w:val="center"/>
              <w:rPr>
                <w:rStyle w:val="Hyperlink"/>
                <w:rFonts w:asciiTheme="minorHAnsi" w:hAnsiTheme="minorHAnsi" w:cstheme="minorHAnsi"/>
                <w:b/>
                <w:i/>
                <w:color w:val="auto"/>
                <w:sz w:val="20"/>
                <w:szCs w:val="20"/>
              </w:rPr>
            </w:pPr>
          </w:p>
        </w:tc>
      </w:tr>
      <w:tr w:rsidR="002B20A9" w:rsidRPr="00C86111" w14:paraId="2BBE32B3"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38006AD3"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restart"/>
            <w:vAlign w:val="center"/>
          </w:tcPr>
          <w:p w14:paraId="030EF972"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i/>
                <w:color w:val="auto"/>
                <w:sz w:val="20"/>
                <w:szCs w:val="20"/>
              </w:rPr>
            </w:pPr>
            <w:r w:rsidRPr="00C86111">
              <w:rPr>
                <w:rFonts w:asciiTheme="minorHAnsi" w:hAnsiTheme="minorHAnsi" w:cstheme="minorHAnsi"/>
                <w:color w:val="auto"/>
                <w:sz w:val="20"/>
                <w:szCs w:val="20"/>
              </w:rPr>
              <w:t>Luka Bar</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70844741"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125</w:t>
            </w:r>
          </w:p>
        </w:tc>
        <w:tc>
          <w:tcPr>
            <w:tcW w:w="1595" w:type="pct"/>
            <w:vAlign w:val="center"/>
          </w:tcPr>
          <w:p w14:paraId="1DAE7557"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i/>
                <w:color w:val="auto"/>
                <w:sz w:val="20"/>
                <w:szCs w:val="20"/>
              </w:rPr>
            </w:pPr>
            <w:r w:rsidRPr="00C86111">
              <w:rPr>
                <w:rFonts w:asciiTheme="minorHAnsi" w:hAnsiTheme="minorHAnsi" w:cstheme="minorHAnsi"/>
                <w:color w:val="auto"/>
                <w:sz w:val="20"/>
                <w:szCs w:val="20"/>
              </w:rPr>
              <w:t xml:space="preserve">DimiLex F 3%, </w:t>
            </w:r>
            <w:r w:rsidRPr="00C86111">
              <w:rPr>
                <w:rFonts w:asciiTheme="minorHAnsi" w:hAnsiTheme="minorHAnsi" w:cstheme="minorHAnsi"/>
                <w:color w:val="auto"/>
                <w:sz w:val="20"/>
                <w:szCs w:val="20"/>
                <w:lang w:eastAsia="en-GB"/>
              </w:rPr>
              <w:t>Synthetic foam, Dyayan Protection, Bulgaria</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8D8443A"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2024</w:t>
            </w:r>
          </w:p>
        </w:tc>
      </w:tr>
      <w:tr w:rsidR="002B20A9" w:rsidRPr="00C86111" w14:paraId="015B23D4"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3AABB766"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68A78AA3"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Style w:val="Hyperlink"/>
                <w:rFonts w:asciiTheme="minorHAnsi" w:hAnsiTheme="minorHAnsi" w:cstheme="minorHAnsi"/>
                <w:b/>
                <w: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7E7E6D19"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rPr>
              <w:t>25</w:t>
            </w:r>
          </w:p>
        </w:tc>
        <w:tc>
          <w:tcPr>
            <w:tcW w:w="1595" w:type="pct"/>
            <w:vAlign w:val="center"/>
          </w:tcPr>
          <w:p w14:paraId="532C48C6"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Style w:val="Hyperlink"/>
                <w:rFonts w:asciiTheme="minorHAnsi" w:hAnsiTheme="minorHAnsi" w:cstheme="minorHAnsi"/>
                <w:b/>
                <w:i/>
                <w:color w:val="auto"/>
                <w:sz w:val="20"/>
                <w:szCs w:val="20"/>
              </w:rPr>
            </w:pPr>
            <w:r w:rsidRPr="00C86111">
              <w:rPr>
                <w:rFonts w:asciiTheme="minorHAnsi" w:hAnsiTheme="minorHAnsi" w:cstheme="minorHAnsi"/>
                <w:color w:val="auto"/>
                <w:sz w:val="20"/>
                <w:szCs w:val="20"/>
                <w:lang w:eastAsia="en-GB"/>
              </w:rPr>
              <w:t>Deteor Me Eco 3%, Synthetic foam, Orchidee,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64F0B4F6"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2020</w:t>
            </w:r>
          </w:p>
        </w:tc>
      </w:tr>
      <w:tr w:rsidR="002B20A9" w:rsidRPr="00C86111" w14:paraId="36F2993F" w14:textId="77777777" w:rsidTr="0037538F">
        <w:trPr>
          <w:cnfStyle w:val="000000100000" w:firstRow="0" w:lastRow="0" w:firstColumn="0" w:lastColumn="0" w:oddVBand="0" w:evenVBand="0" w:oddHBand="1" w:evenHBand="0" w:firstRowFirstColumn="0" w:firstRowLastColumn="0" w:lastRowFirstColumn="0" w:lastRowLastColumn="0"/>
          <w:trHeight w:val="594"/>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07A230E" w14:textId="77777777" w:rsidR="002B20A9" w:rsidRPr="00C86111" w:rsidRDefault="002B20A9" w:rsidP="00004F34">
            <w:pPr>
              <w:pStyle w:val="ListParagraph"/>
              <w:numPr>
                <w:ilvl w:val="0"/>
                <w:numId w:val="152"/>
              </w:numPr>
              <w:jc w:val="center"/>
              <w:rPr>
                <w:rStyle w:val="Hyperlink"/>
                <w:rFonts w:asciiTheme="minorHAnsi" w:hAnsiTheme="minorHAnsi" w:cstheme="minorHAnsi"/>
                <w:b/>
                <w:bCs/>
                <w:i/>
                <w:color w:val="auto"/>
                <w:sz w:val="20"/>
                <w:szCs w:val="20"/>
              </w:rPr>
            </w:pPr>
          </w:p>
        </w:tc>
        <w:tc>
          <w:tcPr>
            <w:tcW w:w="1575" w:type="pct"/>
            <w:vAlign w:val="center"/>
          </w:tcPr>
          <w:p w14:paraId="089F9BEB"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i/>
                <w:color w:val="auto"/>
                <w:sz w:val="20"/>
                <w:szCs w:val="20"/>
              </w:rPr>
            </w:pPr>
            <w:r w:rsidRPr="00C86111">
              <w:rPr>
                <w:rFonts w:asciiTheme="minorHAnsi" w:hAnsiTheme="minorHAnsi" w:cstheme="minorHAnsi"/>
                <w:color w:val="auto"/>
                <w:sz w:val="20"/>
                <w:szCs w:val="20"/>
                <w:lang w:eastAsia="en-GB"/>
              </w:rPr>
              <w:t>Ulcinj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6E2D3E74"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150</w:t>
            </w:r>
          </w:p>
        </w:tc>
        <w:tc>
          <w:tcPr>
            <w:tcW w:w="1595" w:type="pct"/>
            <w:vAlign w:val="center"/>
          </w:tcPr>
          <w:p w14:paraId="58C1D38D"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Style w:val="Hyperlink"/>
                <w:rFonts w:asciiTheme="minorHAnsi" w:hAnsiTheme="minorHAnsi" w:cstheme="minorHAnsi"/>
                <w:b/>
                <w:i/>
                <w:color w:val="auto"/>
                <w:sz w:val="20"/>
                <w:szCs w:val="20"/>
              </w:rPr>
            </w:pPr>
            <w:r w:rsidRPr="00C86111">
              <w:rPr>
                <w:rFonts w:asciiTheme="minorHAnsi" w:hAnsiTheme="minorHAnsi" w:cstheme="minorHAnsi"/>
                <w:color w:val="auto"/>
                <w:sz w:val="20"/>
                <w:szCs w:val="20"/>
              </w:rPr>
              <w:t>Old firefighting foam received through donation.</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EDD9D91"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4774E168" w14:textId="77777777" w:rsidTr="0037538F">
        <w:trPr>
          <w:trHeight w:val="675"/>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3EDCA00"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246B19C0"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vertAlign w:val="superscript"/>
              </w:rPr>
            </w:pPr>
            <w:r w:rsidRPr="00C86111">
              <w:rPr>
                <w:rFonts w:asciiTheme="minorHAnsi" w:hAnsiTheme="minorHAnsi" w:cstheme="minorHAnsi"/>
                <w:color w:val="auto"/>
                <w:sz w:val="20"/>
                <w:szCs w:val="20"/>
                <w:lang w:eastAsia="en-GB"/>
              </w:rPr>
              <w:t>Plav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BC7939F"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65</w:t>
            </w:r>
          </w:p>
        </w:tc>
        <w:tc>
          <w:tcPr>
            <w:tcW w:w="1595" w:type="pct"/>
            <w:vAlign w:val="center"/>
          </w:tcPr>
          <w:p w14:paraId="72770F6E"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vertAlign w:val="superscript"/>
              </w:rPr>
            </w:pPr>
            <w:r w:rsidRPr="00C86111">
              <w:rPr>
                <w:rFonts w:asciiTheme="minorHAnsi" w:hAnsiTheme="minorHAnsi" w:cstheme="minorHAnsi"/>
                <w:color w:val="auto"/>
                <w:sz w:val="20"/>
                <w:szCs w:val="20"/>
                <w:lang w:eastAsia="en-GB"/>
              </w:rPr>
              <w:t>Apirol-FX3, Fluorotein foam concentrate, Sabo Foam, Italy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5C97D28A"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r>
      <w:tr w:rsidR="002B20A9" w:rsidRPr="00C86111" w14:paraId="7A724D29"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69F8347C"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720273DA"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Monteput-Sozina tunel</w:t>
            </w:r>
          </w:p>
        </w:tc>
        <w:tc>
          <w:tcPr>
            <w:cnfStyle w:val="000010000000" w:firstRow="0" w:lastRow="0" w:firstColumn="0" w:lastColumn="0" w:oddVBand="1" w:evenVBand="0" w:oddHBand="0" w:evenHBand="0" w:firstRowFirstColumn="0" w:firstRowLastColumn="0" w:lastRowFirstColumn="0" w:lastRowLastColumn="0"/>
            <w:tcW w:w="703" w:type="pct"/>
            <w:vMerge w:val="restart"/>
            <w:vAlign w:val="center"/>
          </w:tcPr>
          <w:p w14:paraId="6323673B"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rPr>
              <w:t>2250</w:t>
            </w:r>
          </w:p>
        </w:tc>
        <w:tc>
          <w:tcPr>
            <w:tcW w:w="1595" w:type="pct"/>
            <w:vAlign w:val="center"/>
          </w:tcPr>
          <w:p w14:paraId="603C3825"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 3% F-15, AFFF, Synthetic foam, fluorine-free, </w:t>
            </w:r>
            <w:r w:rsidRPr="00C86111">
              <w:rPr>
                <w:rFonts w:asciiTheme="minorHAnsi" w:hAnsiTheme="minorHAnsi" w:cstheme="minorHAnsi"/>
                <w:color w:val="auto"/>
                <w:sz w:val="20"/>
                <w:szCs w:val="20"/>
              </w:rPr>
              <w:t>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0142CAFF"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5DC91810"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E070467"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3E408EA7"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Monteput-Autoput</w:t>
            </w:r>
          </w:p>
        </w:tc>
        <w:tc>
          <w:tcPr>
            <w:cnfStyle w:val="000010000000" w:firstRow="0" w:lastRow="0" w:firstColumn="0" w:lastColumn="0" w:oddVBand="1" w:evenVBand="0" w:oddHBand="0" w:evenHBand="0" w:firstRowFirstColumn="0" w:firstRowLastColumn="0" w:lastRowFirstColumn="0" w:lastRowLastColumn="0"/>
            <w:tcW w:w="703" w:type="pct"/>
            <w:vMerge/>
            <w:vAlign w:val="center"/>
          </w:tcPr>
          <w:p w14:paraId="4DAD6F17" w14:textId="77777777" w:rsidR="002B20A9" w:rsidRPr="00C86111" w:rsidRDefault="002B20A9" w:rsidP="007A344F">
            <w:pPr>
              <w:jc w:val="center"/>
              <w:rPr>
                <w:rFonts w:asciiTheme="minorHAnsi" w:hAnsiTheme="minorHAnsi" w:cstheme="minorHAnsi"/>
                <w:color w:val="auto"/>
                <w:sz w:val="20"/>
                <w:szCs w:val="20"/>
                <w:lang w:eastAsia="en-GB"/>
              </w:rPr>
            </w:pPr>
          </w:p>
        </w:tc>
        <w:tc>
          <w:tcPr>
            <w:tcW w:w="1595" w:type="pct"/>
            <w:vAlign w:val="center"/>
          </w:tcPr>
          <w:p w14:paraId="118B97B4"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 3% F-15, AFFF, Synthetic foam, fluorine-free, </w:t>
            </w:r>
            <w:r w:rsidRPr="00C86111">
              <w:rPr>
                <w:rFonts w:asciiTheme="minorHAnsi" w:hAnsiTheme="minorHAnsi" w:cstheme="minorHAnsi"/>
                <w:color w:val="auto"/>
                <w:sz w:val="20"/>
                <w:szCs w:val="20"/>
              </w:rPr>
              <w:t>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3479FC5"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27444F17"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6AD134E"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restart"/>
            <w:vAlign w:val="center"/>
          </w:tcPr>
          <w:p w14:paraId="38CA439F"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Bar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290EBA6"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100</w:t>
            </w:r>
          </w:p>
        </w:tc>
        <w:tc>
          <w:tcPr>
            <w:tcW w:w="1595" w:type="pct"/>
            <w:vAlign w:val="center"/>
          </w:tcPr>
          <w:p w14:paraId="4CAD24AF"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DimiLex F 3%, </w:t>
            </w:r>
            <w:r w:rsidRPr="00C86111">
              <w:rPr>
                <w:rFonts w:asciiTheme="minorHAnsi" w:hAnsiTheme="minorHAnsi" w:cstheme="minorHAnsi"/>
                <w:color w:val="auto"/>
                <w:sz w:val="20"/>
                <w:szCs w:val="20"/>
                <w:lang w:eastAsia="en-GB"/>
              </w:rPr>
              <w:t>Synthetic foam, Dyayan Protection, Bulgaria</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29651E33"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2025</w:t>
            </w:r>
          </w:p>
        </w:tc>
      </w:tr>
      <w:tr w:rsidR="002B20A9" w:rsidRPr="00C86111" w14:paraId="45864FC5"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29AE08E"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0AA547BC"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Merge w:val="restart"/>
            <w:vAlign w:val="center"/>
          </w:tcPr>
          <w:p w14:paraId="01BDA7DB"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3000</w:t>
            </w:r>
          </w:p>
        </w:tc>
        <w:tc>
          <w:tcPr>
            <w:tcW w:w="1595" w:type="pct"/>
            <w:vAlign w:val="center"/>
          </w:tcPr>
          <w:p w14:paraId="63DD3BA3"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Old firefighting foam received through donation. Upper plastic canister</w:t>
            </w:r>
          </w:p>
        </w:tc>
        <w:tc>
          <w:tcPr>
            <w:cnfStyle w:val="000010000000" w:firstRow="0" w:lastRow="0" w:firstColumn="0" w:lastColumn="0" w:oddVBand="1" w:evenVBand="0" w:oddHBand="0" w:evenHBand="0" w:firstRowFirstColumn="0" w:firstRowLastColumn="0" w:lastRowFirstColumn="0" w:lastRowLastColumn="0"/>
            <w:tcW w:w="683" w:type="pct"/>
            <w:vMerge w:val="restart"/>
            <w:vAlign w:val="center"/>
          </w:tcPr>
          <w:p w14:paraId="3945CAEA"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1B8D895B"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CAF0D76"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72A439FC"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Merge/>
            <w:vAlign w:val="center"/>
          </w:tcPr>
          <w:p w14:paraId="21517BC0" w14:textId="77777777" w:rsidR="002B20A9" w:rsidRPr="00C86111" w:rsidRDefault="002B20A9" w:rsidP="007A344F">
            <w:pPr>
              <w:jc w:val="center"/>
              <w:rPr>
                <w:rFonts w:asciiTheme="minorHAnsi" w:hAnsiTheme="minorHAnsi" w:cstheme="minorHAnsi"/>
                <w:color w:val="auto"/>
                <w:sz w:val="20"/>
                <w:szCs w:val="20"/>
                <w:lang w:eastAsia="en-GB"/>
              </w:rPr>
            </w:pPr>
          </w:p>
        </w:tc>
        <w:tc>
          <w:tcPr>
            <w:tcW w:w="1595" w:type="pct"/>
            <w:vAlign w:val="center"/>
          </w:tcPr>
          <w:p w14:paraId="4E052A53"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vertAlign w:val="superscript"/>
              </w:rPr>
            </w:pPr>
            <w:r w:rsidRPr="00C86111">
              <w:rPr>
                <w:rFonts w:asciiTheme="minorHAnsi" w:hAnsiTheme="minorHAnsi" w:cstheme="minorHAnsi"/>
                <w:color w:val="auto"/>
                <w:sz w:val="20"/>
                <w:szCs w:val="20"/>
              </w:rPr>
              <w:t>Old firefighting foam received through donation. Lower plastic canister</w:t>
            </w:r>
          </w:p>
        </w:tc>
        <w:tc>
          <w:tcPr>
            <w:cnfStyle w:val="000010000000" w:firstRow="0" w:lastRow="0" w:firstColumn="0" w:lastColumn="0" w:oddVBand="1" w:evenVBand="0" w:oddHBand="0" w:evenHBand="0" w:firstRowFirstColumn="0" w:firstRowLastColumn="0" w:lastRowFirstColumn="0" w:lastRowLastColumn="0"/>
            <w:tcW w:w="683" w:type="pct"/>
            <w:vMerge/>
            <w:vAlign w:val="center"/>
          </w:tcPr>
          <w:p w14:paraId="3735871F" w14:textId="77777777" w:rsidR="002B20A9" w:rsidRPr="00C86111" w:rsidRDefault="002B20A9" w:rsidP="007A344F">
            <w:pPr>
              <w:jc w:val="center"/>
              <w:rPr>
                <w:rFonts w:asciiTheme="minorHAnsi" w:hAnsiTheme="minorHAnsi" w:cstheme="minorHAnsi"/>
                <w:color w:val="auto"/>
                <w:sz w:val="20"/>
                <w:szCs w:val="20"/>
              </w:rPr>
            </w:pPr>
          </w:p>
        </w:tc>
      </w:tr>
      <w:tr w:rsidR="002B20A9" w:rsidRPr="00C86111" w14:paraId="058D233E"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FDB1A6A"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restart"/>
            <w:vAlign w:val="center"/>
          </w:tcPr>
          <w:p w14:paraId="33910A62"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Pljevlja </w:t>
            </w:r>
            <w:r w:rsidRPr="00C86111">
              <w:rPr>
                <w:rFonts w:asciiTheme="minorHAnsi" w:hAnsiTheme="minorHAnsi" w:cstheme="minorHAnsi"/>
                <w:color w:val="auto"/>
                <w:sz w:val="20"/>
                <w:szCs w:val="20"/>
                <w:lang w:eastAsia="en-GB"/>
              </w:rPr>
              <w:t>-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5E481C14"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275</w:t>
            </w:r>
          </w:p>
        </w:tc>
        <w:tc>
          <w:tcPr>
            <w:tcW w:w="1595" w:type="pct"/>
            <w:vAlign w:val="center"/>
          </w:tcPr>
          <w:p w14:paraId="0F6A1A3D"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concentrate fluorine free, Bioex S.A.S,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47D4A02"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2020</w:t>
            </w:r>
          </w:p>
        </w:tc>
      </w:tr>
      <w:tr w:rsidR="002B20A9" w:rsidRPr="00C86111" w14:paraId="34411544"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28DC663"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640074AB"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0088A083"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70</w:t>
            </w:r>
          </w:p>
        </w:tc>
        <w:tc>
          <w:tcPr>
            <w:tcW w:w="1595" w:type="pct"/>
            <w:vAlign w:val="center"/>
          </w:tcPr>
          <w:p w14:paraId="148273A5" w14:textId="66EB7EAB"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es-ES"/>
              </w:rPr>
            </w:pPr>
            <w:r w:rsidRPr="00C86111">
              <w:rPr>
                <w:rFonts w:asciiTheme="minorHAnsi" w:hAnsiTheme="minorHAnsi" w:cstheme="minorHAnsi"/>
                <w:color w:val="auto"/>
                <w:sz w:val="20"/>
                <w:szCs w:val="20"/>
                <w:lang w:val="es-ES"/>
              </w:rPr>
              <w:t>Hidral-6 EX, AFFF,</w:t>
            </w:r>
          </w:p>
          <w:p w14:paraId="6B9B414E"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es-ES"/>
              </w:rPr>
            </w:pPr>
            <w:r w:rsidRPr="00C86111">
              <w:rPr>
                <w:rFonts w:asciiTheme="minorHAnsi" w:hAnsiTheme="minorHAnsi" w:cstheme="minorHAnsi"/>
                <w:color w:val="auto"/>
                <w:sz w:val="20"/>
                <w:szCs w:val="20"/>
                <w:lang w:val="es-ES"/>
              </w:rPr>
              <w:t>Sabo Foam, Italy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E2533CD"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2008</w:t>
            </w:r>
          </w:p>
        </w:tc>
      </w:tr>
      <w:tr w:rsidR="002B20A9" w:rsidRPr="00C86111" w14:paraId="1AEEF8B8"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3FD9AAB8"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restart"/>
            <w:vAlign w:val="center"/>
          </w:tcPr>
          <w:p w14:paraId="1C772698"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Bijelo Polje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2104F37"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25</w:t>
            </w:r>
          </w:p>
        </w:tc>
        <w:tc>
          <w:tcPr>
            <w:tcW w:w="1595" w:type="pct"/>
            <w:vAlign w:val="center"/>
          </w:tcPr>
          <w:p w14:paraId="66BBBB15"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Bioex S.A.S, Deutschland</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B05071E"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2019</w:t>
            </w:r>
          </w:p>
        </w:tc>
      </w:tr>
      <w:tr w:rsidR="002B20A9" w:rsidRPr="00C86111" w14:paraId="721400F3"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CC8771F"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118EB6A8"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B020F11"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475</w:t>
            </w:r>
          </w:p>
        </w:tc>
        <w:tc>
          <w:tcPr>
            <w:tcW w:w="1595" w:type="pct"/>
            <w:vAlign w:val="center"/>
          </w:tcPr>
          <w:p w14:paraId="0908D652"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Bioex S.A.S, Deutschland, Fire truck</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312C4C8"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2019</w:t>
            </w:r>
          </w:p>
        </w:tc>
      </w:tr>
      <w:tr w:rsidR="002B20A9" w:rsidRPr="00C86111" w14:paraId="150A4F39"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4755162"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23BFCDAF"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Mojkovac </w:t>
            </w:r>
            <w:r w:rsidRPr="00C86111">
              <w:rPr>
                <w:rFonts w:asciiTheme="minorHAnsi" w:hAnsiTheme="minorHAnsi" w:cstheme="minorHAnsi"/>
                <w:color w:val="auto"/>
                <w:sz w:val="20"/>
                <w:szCs w:val="20"/>
                <w:lang w:eastAsia="en-GB"/>
              </w:rPr>
              <w:t>–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10426514"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30</w:t>
            </w:r>
          </w:p>
        </w:tc>
        <w:tc>
          <w:tcPr>
            <w:tcW w:w="1595" w:type="pct"/>
            <w:vAlign w:val="center"/>
          </w:tcPr>
          <w:p w14:paraId="5E2C7413"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STHAMEX 3% F-15, Synthetic foam, 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6A6DE580"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0A477EFF"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78DEA84"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2A6A9542"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Kolašin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55ECCD82"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200</w:t>
            </w:r>
          </w:p>
        </w:tc>
        <w:tc>
          <w:tcPr>
            <w:tcW w:w="1595" w:type="pct"/>
            <w:vAlign w:val="center"/>
          </w:tcPr>
          <w:p w14:paraId="7894C778"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Bio Foam 5, </w:t>
            </w:r>
            <w:r w:rsidRPr="00C86111">
              <w:rPr>
                <w:rFonts w:asciiTheme="minorHAnsi" w:hAnsiTheme="minorHAnsi" w:cstheme="minorHAnsi"/>
                <w:color w:val="auto"/>
                <w:sz w:val="20"/>
                <w:szCs w:val="20"/>
              </w:rPr>
              <w:t xml:space="preserve">Synthetic foam concentrate, </w:t>
            </w:r>
            <w:r w:rsidRPr="00C86111">
              <w:rPr>
                <w:rFonts w:asciiTheme="minorHAnsi" w:hAnsiTheme="minorHAnsi" w:cstheme="minorHAnsi"/>
                <w:color w:val="auto"/>
                <w:sz w:val="20"/>
                <w:szCs w:val="20"/>
                <w:lang w:eastAsia="en-GB"/>
              </w:rPr>
              <w:t>BioEx,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EB53F3A"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2010</w:t>
            </w:r>
          </w:p>
        </w:tc>
      </w:tr>
      <w:tr w:rsidR="002B20A9" w:rsidRPr="00C86111" w14:paraId="69A11A87"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73DFB7E7"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689F0CC1"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Berane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8B9416C"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300</w:t>
            </w:r>
          </w:p>
        </w:tc>
        <w:tc>
          <w:tcPr>
            <w:tcW w:w="1595" w:type="pct"/>
            <w:vAlign w:val="center"/>
          </w:tcPr>
          <w:p w14:paraId="360FA8FF"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Plurex M, Sabo Foam, Italy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1D31389"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2013</w:t>
            </w:r>
          </w:p>
        </w:tc>
      </w:tr>
      <w:tr w:rsidR="002B20A9" w:rsidRPr="00C86111" w14:paraId="61C4407D"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648389E1"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254D589A"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Žabljak </w:t>
            </w:r>
            <w:r w:rsidRPr="00C86111">
              <w:rPr>
                <w:rFonts w:asciiTheme="minorHAnsi" w:hAnsiTheme="minorHAnsi" w:cstheme="minorHAnsi"/>
                <w:color w:val="auto"/>
                <w:sz w:val="20"/>
                <w:szCs w:val="20"/>
                <w:lang w:eastAsia="en-GB"/>
              </w:rPr>
              <w:t>–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34CD9F3"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100</w:t>
            </w:r>
          </w:p>
        </w:tc>
        <w:tc>
          <w:tcPr>
            <w:tcW w:w="1595" w:type="pct"/>
            <w:vAlign w:val="center"/>
          </w:tcPr>
          <w:p w14:paraId="5651F620"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Deteor Me Eco 3%, Synthetic foam, Orchidee,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215C01F8"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2015</w:t>
            </w:r>
          </w:p>
        </w:tc>
      </w:tr>
      <w:tr w:rsidR="002B20A9" w:rsidRPr="00C86111" w14:paraId="68D4ACB4"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0EADA7F"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restart"/>
            <w:vAlign w:val="center"/>
          </w:tcPr>
          <w:p w14:paraId="0CCD00DF"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Podgorica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FA73079"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1400</w:t>
            </w:r>
          </w:p>
        </w:tc>
        <w:tc>
          <w:tcPr>
            <w:tcW w:w="1595" w:type="pct"/>
            <w:vAlign w:val="center"/>
          </w:tcPr>
          <w:p w14:paraId="3BFB540B"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DimiLex F 3%, </w:t>
            </w:r>
            <w:r w:rsidRPr="00C86111">
              <w:rPr>
                <w:rFonts w:asciiTheme="minorHAnsi" w:hAnsiTheme="minorHAnsi" w:cstheme="minorHAnsi"/>
                <w:color w:val="auto"/>
                <w:sz w:val="20"/>
                <w:szCs w:val="20"/>
                <w:lang w:eastAsia="en-GB"/>
              </w:rPr>
              <w:t>Synthetic foam, Dyayan Protection, Bulgaria</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3D40BC7"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2025</w:t>
            </w:r>
          </w:p>
        </w:tc>
      </w:tr>
      <w:tr w:rsidR="002B20A9" w:rsidRPr="00C86111" w14:paraId="4D0121E2"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1F2664F"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0B4BB447"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724FB785"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720</w:t>
            </w:r>
          </w:p>
        </w:tc>
        <w:tc>
          <w:tcPr>
            <w:tcW w:w="1595" w:type="pct"/>
            <w:vAlign w:val="center"/>
          </w:tcPr>
          <w:p w14:paraId="77405E34"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STHAMEX-AFFF 1% F-15, Synthetic foam, 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B6AD883"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7581D0A8"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3F7DC487"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56E93852"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Cetinje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C22945B"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25</w:t>
            </w:r>
          </w:p>
        </w:tc>
        <w:tc>
          <w:tcPr>
            <w:tcW w:w="1595" w:type="pct"/>
            <w:vAlign w:val="center"/>
          </w:tcPr>
          <w:p w14:paraId="65A2367B"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concentrate fluorine free, Bioex S.A.S,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B10FB35"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75FDB68A"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02EA3E9"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6852E441"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Nikšić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F0B7DCF"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1275</w:t>
            </w:r>
          </w:p>
        </w:tc>
        <w:tc>
          <w:tcPr>
            <w:tcW w:w="1595" w:type="pct"/>
            <w:vAlign w:val="center"/>
          </w:tcPr>
          <w:p w14:paraId="06E65322"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concentrate fluorine free, Bioex S.A.S,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D0FE62A"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68D55CCB"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150D1CF"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348DA779"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Plužine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95EAC6B"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50</w:t>
            </w:r>
          </w:p>
        </w:tc>
        <w:tc>
          <w:tcPr>
            <w:tcW w:w="1595" w:type="pct"/>
            <w:vAlign w:val="center"/>
          </w:tcPr>
          <w:p w14:paraId="00094816"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concentrate fluorine free, Bioex S.A.S,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F1F24D8"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56A1A1D2"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C55B5A1"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5F25D22E"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Budva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8FD0FBE"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825</w:t>
            </w:r>
          </w:p>
        </w:tc>
        <w:tc>
          <w:tcPr>
            <w:tcW w:w="1595" w:type="pct"/>
            <w:vAlign w:val="center"/>
          </w:tcPr>
          <w:p w14:paraId="2F51CE7B"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Bio Foam 5, Synthetic foam concentrate fluorine free, Bioex S.A.S, France</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06B1215"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2023</w:t>
            </w:r>
          </w:p>
        </w:tc>
      </w:tr>
      <w:tr w:rsidR="002B20A9" w:rsidRPr="00C86111" w14:paraId="2DFAE73D"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1C9C83D"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05138290"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Dobrovoljno vatrogasno društvo - Krtoli, Tivat</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58847CD8"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600</w:t>
            </w:r>
          </w:p>
        </w:tc>
        <w:tc>
          <w:tcPr>
            <w:tcW w:w="1595" w:type="pct"/>
            <w:vAlign w:val="center"/>
          </w:tcPr>
          <w:p w14:paraId="6DB63C96"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There is no information on the type of foam and manufacturer</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033F49B2"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285BF35F"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D85E422"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restart"/>
            <w:vAlign w:val="center"/>
          </w:tcPr>
          <w:p w14:paraId="648DB614"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Tivat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B8F1347"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400</w:t>
            </w:r>
          </w:p>
        </w:tc>
        <w:tc>
          <w:tcPr>
            <w:tcW w:w="1595" w:type="pct"/>
            <w:vAlign w:val="center"/>
          </w:tcPr>
          <w:p w14:paraId="2AE367DB"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STHAMEX-3% F-15, Synthetic foam, 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11406F6"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75E2579C"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6A943B7B"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53BAD1D2"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11053F5"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1000</w:t>
            </w:r>
          </w:p>
        </w:tc>
        <w:tc>
          <w:tcPr>
            <w:tcW w:w="1595" w:type="pct"/>
            <w:vAlign w:val="center"/>
          </w:tcPr>
          <w:p w14:paraId="2A71C2B6"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Old firefighting foam received through donation. Label: Organikkimya, Netherlands</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69477863"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78078344"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7480039"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703D4A9E"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7A648D46"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800</w:t>
            </w:r>
          </w:p>
        </w:tc>
        <w:tc>
          <w:tcPr>
            <w:tcW w:w="1595" w:type="pct"/>
            <w:vAlign w:val="center"/>
          </w:tcPr>
          <w:p w14:paraId="7E8CBC9F"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Old firefighting foam received through donation, without specification</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82D2C40"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0D27A77D" w14:textId="77777777" w:rsidTr="0037538F">
        <w:trPr>
          <w:trHeight w:val="648"/>
        </w:trPr>
        <w:tc>
          <w:tcPr>
            <w:cnfStyle w:val="000010000000" w:firstRow="0" w:lastRow="0" w:firstColumn="0" w:lastColumn="0" w:oddVBand="1" w:evenVBand="0" w:oddHBand="0" w:evenHBand="0" w:firstRowFirstColumn="0" w:firstRowLastColumn="0" w:lastRowFirstColumn="0" w:lastRowLastColumn="0"/>
            <w:tcW w:w="444" w:type="pct"/>
            <w:vAlign w:val="center"/>
          </w:tcPr>
          <w:p w14:paraId="5343B6D2"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67C97E83"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8075AD5"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1000</w:t>
            </w:r>
          </w:p>
        </w:tc>
        <w:tc>
          <w:tcPr>
            <w:tcW w:w="1595" w:type="pct"/>
            <w:vAlign w:val="center"/>
          </w:tcPr>
          <w:p w14:paraId="0D345ECB"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Old firefighting foam received through donation, without specification</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2D255B2D"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34CC5C8D"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45512D98"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restart"/>
            <w:vAlign w:val="center"/>
          </w:tcPr>
          <w:p w14:paraId="564EE91F" w14:textId="736764F9"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rPr>
              <w:t xml:space="preserve">Aerodrom </w:t>
            </w:r>
            <w:r w:rsidRPr="00C86111">
              <w:rPr>
                <w:rFonts w:asciiTheme="minorHAnsi" w:hAnsiTheme="minorHAnsi" w:cstheme="minorHAnsi"/>
                <w:color w:val="auto"/>
                <w:sz w:val="20"/>
                <w:szCs w:val="20"/>
                <w:lang w:eastAsia="en-GB"/>
              </w:rPr>
              <w:t>Tivat</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C52405A"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2000</w:t>
            </w:r>
          </w:p>
        </w:tc>
        <w:tc>
          <w:tcPr>
            <w:tcW w:w="1595" w:type="pct"/>
            <w:vAlign w:val="center"/>
          </w:tcPr>
          <w:p w14:paraId="6A7B7A5C"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E120812"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2D873841"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F07680A"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7A2F00CD"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783EA903"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2000</w:t>
            </w:r>
          </w:p>
        </w:tc>
        <w:tc>
          <w:tcPr>
            <w:tcW w:w="1595" w:type="pct"/>
            <w:vAlign w:val="center"/>
          </w:tcPr>
          <w:p w14:paraId="16E6D1B4" w14:textId="2642FEBB"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 Fire truck, Panter number 4</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0079260"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4DEBC24E"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3785E51D"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26B358A9"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95D1E0A" w14:textId="77777777" w:rsidR="002B20A9" w:rsidRPr="00C86111" w:rsidRDefault="002B20A9" w:rsidP="007A344F">
            <w:pPr>
              <w:jc w:val="center"/>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1500</w:t>
            </w:r>
          </w:p>
        </w:tc>
        <w:tc>
          <w:tcPr>
            <w:tcW w:w="1595" w:type="pct"/>
            <w:vAlign w:val="center"/>
          </w:tcPr>
          <w:p w14:paraId="14564CE3"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 Fire truck, Panter  number 2</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DD05F7B"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3EDC7555"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688A1542"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145E6689"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Kotor – Opštinska služba zaštite i spašavanja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04905C48"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2000</w:t>
            </w:r>
          </w:p>
        </w:tc>
        <w:tc>
          <w:tcPr>
            <w:tcW w:w="1595" w:type="pct"/>
            <w:vAlign w:val="center"/>
          </w:tcPr>
          <w:p w14:paraId="3130E6B6"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DimiLex F 3%, </w:t>
            </w:r>
            <w:r w:rsidRPr="00C86111">
              <w:rPr>
                <w:rFonts w:asciiTheme="minorHAnsi" w:hAnsiTheme="minorHAnsi" w:cstheme="minorHAnsi"/>
                <w:color w:val="auto"/>
                <w:sz w:val="20"/>
                <w:szCs w:val="20"/>
                <w:lang w:eastAsia="en-GB"/>
              </w:rPr>
              <w:t>Synthetic foam, Dyayan Protection, Bulgaria</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C0FA291"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2024</w:t>
            </w:r>
          </w:p>
        </w:tc>
      </w:tr>
      <w:tr w:rsidR="002B20A9" w:rsidRPr="00C86111" w14:paraId="44196144"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2A8E23DC"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2A026A91"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Dobrovoljno vatrogasno društvo - Perast</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9BF06A1"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1350</w:t>
            </w:r>
          </w:p>
        </w:tc>
        <w:tc>
          <w:tcPr>
            <w:tcW w:w="1595" w:type="pct"/>
            <w:vAlign w:val="center"/>
          </w:tcPr>
          <w:p w14:paraId="706E330A"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Old firefighting foam, without specification</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EA8FDB1"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3A12F247"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CB5521C"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731BBEEE"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Lustica Bay</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0A78AA99"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1000</w:t>
            </w:r>
          </w:p>
        </w:tc>
        <w:tc>
          <w:tcPr>
            <w:tcW w:w="1595" w:type="pct"/>
            <w:vAlign w:val="center"/>
          </w:tcPr>
          <w:p w14:paraId="5235660E"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 xml:space="preserve">DimiLex F 3%, </w:t>
            </w:r>
            <w:r w:rsidRPr="00C86111">
              <w:rPr>
                <w:rFonts w:asciiTheme="minorHAnsi" w:hAnsiTheme="minorHAnsi" w:cstheme="minorHAnsi"/>
                <w:color w:val="auto"/>
                <w:sz w:val="20"/>
                <w:szCs w:val="20"/>
                <w:lang w:eastAsia="en-GB"/>
              </w:rPr>
              <w:t>Synthetic foam, Dyayan Protection, Bulgaria</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659902F2"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2022</w:t>
            </w:r>
          </w:p>
        </w:tc>
      </w:tr>
      <w:tr w:rsidR="002B20A9" w:rsidRPr="00C86111" w14:paraId="3CEDA0C6"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3E56B02"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1346DDB5"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Dobrovoljno vatrogasno društvo - Bijela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20B42227"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160</w:t>
            </w:r>
          </w:p>
        </w:tc>
        <w:tc>
          <w:tcPr>
            <w:tcW w:w="1595" w:type="pct"/>
            <w:vAlign w:val="center"/>
          </w:tcPr>
          <w:p w14:paraId="398EEAE4"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Plurex M, Sabo Foam, Italy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3AD5F390"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2014</w:t>
            </w:r>
          </w:p>
        </w:tc>
      </w:tr>
      <w:tr w:rsidR="002B20A9" w:rsidRPr="00C86111" w14:paraId="5A27A55D"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33D8E05"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Align w:val="center"/>
          </w:tcPr>
          <w:p w14:paraId="6B7E113B"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lang w:eastAsia="en-GB"/>
              </w:rPr>
              <w:t>Jugopetrol, Volujica, Bar</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5E680636"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14950</w:t>
            </w:r>
          </w:p>
        </w:tc>
        <w:tc>
          <w:tcPr>
            <w:tcW w:w="1595" w:type="pct"/>
            <w:vAlign w:val="center"/>
          </w:tcPr>
          <w:p w14:paraId="57C3273F"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FPC6, Fluoroprotein foam</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74C58FB9"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r>
      <w:tr w:rsidR="002B20A9" w:rsidRPr="00C86111" w14:paraId="0B1CE2E4"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3DFFD60C"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restart"/>
            <w:vAlign w:val="center"/>
          </w:tcPr>
          <w:p w14:paraId="1AC36E77"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r w:rsidRPr="00C86111">
              <w:rPr>
                <w:rFonts w:asciiTheme="minorHAnsi" w:hAnsiTheme="minorHAnsi" w:cstheme="minorHAnsi"/>
                <w:color w:val="auto"/>
                <w:sz w:val="20"/>
                <w:szCs w:val="20"/>
              </w:rPr>
              <w:t>Aerodrom Podgorica</w:t>
            </w: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5671987B"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1000</w:t>
            </w:r>
          </w:p>
        </w:tc>
        <w:tc>
          <w:tcPr>
            <w:tcW w:w="1595" w:type="pct"/>
            <w:vAlign w:val="center"/>
          </w:tcPr>
          <w:p w14:paraId="5EF38AF0" w14:textId="60999226"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4025F460"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433F0F00"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6E38FA66"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1AEB1664"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47C6AD34"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800</w:t>
            </w:r>
          </w:p>
        </w:tc>
        <w:tc>
          <w:tcPr>
            <w:tcW w:w="1595" w:type="pct"/>
            <w:vAlign w:val="center"/>
          </w:tcPr>
          <w:p w14:paraId="2BEF8A8B"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1FA2CA7E"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42CF1E75"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652F5AEC"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64C00D76"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36D16021"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1100</w:t>
            </w:r>
          </w:p>
        </w:tc>
        <w:tc>
          <w:tcPr>
            <w:tcW w:w="1595" w:type="pct"/>
            <w:vAlign w:val="center"/>
          </w:tcPr>
          <w:p w14:paraId="196199EC"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 Fire truck, Panter, number 3</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505AB498"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776C2B11" w14:textId="77777777" w:rsidTr="0037538F">
        <w:trPr>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1ED05648"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398AD196"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1D9741A2"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800</w:t>
            </w:r>
          </w:p>
        </w:tc>
        <w:tc>
          <w:tcPr>
            <w:tcW w:w="1595" w:type="pct"/>
            <w:vAlign w:val="center"/>
          </w:tcPr>
          <w:p w14:paraId="4EBDAB08" w14:textId="77777777" w:rsidR="002B20A9" w:rsidRPr="00C86111" w:rsidRDefault="002B20A9" w:rsidP="007A344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 Fire truck, Panter, number 7</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5D57412C"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r w:rsidR="002B20A9" w:rsidRPr="00C86111" w14:paraId="1DC7903C" w14:textId="77777777" w:rsidTr="0037538F">
        <w:trPr>
          <w:cnfStyle w:val="000000100000" w:firstRow="0" w:lastRow="0" w:firstColumn="0" w:lastColumn="0" w:oddVBand="0" w:evenVBand="0" w:oddHBand="1" w:evenHBand="0" w:firstRowFirstColumn="0" w:firstRowLastColumn="0" w:lastRowFirstColumn="0" w:lastRowLastColumn="0"/>
          <w:trHeight w:val="432"/>
        </w:trPr>
        <w:tc>
          <w:tcPr>
            <w:cnfStyle w:val="000010000000" w:firstRow="0" w:lastRow="0" w:firstColumn="0" w:lastColumn="0" w:oddVBand="1" w:evenVBand="0" w:oddHBand="0" w:evenHBand="0" w:firstRowFirstColumn="0" w:firstRowLastColumn="0" w:lastRowFirstColumn="0" w:lastRowLastColumn="0"/>
            <w:tcW w:w="444" w:type="pct"/>
            <w:vAlign w:val="center"/>
          </w:tcPr>
          <w:p w14:paraId="0BBD3592" w14:textId="77777777" w:rsidR="002B20A9" w:rsidRPr="00C86111" w:rsidRDefault="002B20A9" w:rsidP="00004F34">
            <w:pPr>
              <w:pStyle w:val="ListParagraph"/>
              <w:numPr>
                <w:ilvl w:val="0"/>
                <w:numId w:val="152"/>
              </w:numPr>
              <w:jc w:val="center"/>
              <w:rPr>
                <w:rFonts w:asciiTheme="minorHAnsi" w:hAnsiTheme="minorHAnsi" w:cstheme="minorHAnsi"/>
                <w:color w:val="auto"/>
                <w:sz w:val="20"/>
                <w:szCs w:val="20"/>
              </w:rPr>
            </w:pPr>
          </w:p>
        </w:tc>
        <w:tc>
          <w:tcPr>
            <w:tcW w:w="1575" w:type="pct"/>
            <w:vMerge/>
            <w:vAlign w:val="center"/>
          </w:tcPr>
          <w:p w14:paraId="74BCE865" w14:textId="77777777"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703" w:type="pct"/>
            <w:vAlign w:val="center"/>
          </w:tcPr>
          <w:p w14:paraId="0E2C5A0A"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1600</w:t>
            </w:r>
          </w:p>
        </w:tc>
        <w:tc>
          <w:tcPr>
            <w:tcW w:w="1595" w:type="pct"/>
            <w:vAlign w:val="center"/>
          </w:tcPr>
          <w:p w14:paraId="5686E21C" w14:textId="7E88B902" w:rsidR="002B20A9" w:rsidRPr="00C86111" w:rsidRDefault="002B20A9" w:rsidP="007A34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eastAsia="en-GB"/>
              </w:rPr>
              <w:t xml:space="preserve">STHAMEX-AFFF 1%, </w:t>
            </w:r>
            <w:r w:rsidRPr="00C86111">
              <w:rPr>
                <w:rFonts w:asciiTheme="minorHAnsi" w:hAnsiTheme="minorHAnsi" w:cstheme="minorHAnsi"/>
                <w:color w:val="auto"/>
                <w:sz w:val="20"/>
                <w:szCs w:val="20"/>
              </w:rPr>
              <w:t>Dr. STHAMER, Hamburg, Germany, Fire truck, Panter, number 1</w:t>
            </w:r>
          </w:p>
        </w:tc>
        <w:tc>
          <w:tcPr>
            <w:cnfStyle w:val="000010000000" w:firstRow="0" w:lastRow="0" w:firstColumn="0" w:lastColumn="0" w:oddVBand="1" w:evenVBand="0" w:oddHBand="0" w:evenHBand="0" w:firstRowFirstColumn="0" w:firstRowLastColumn="0" w:lastRowFirstColumn="0" w:lastRowLastColumn="0"/>
            <w:tcW w:w="683" w:type="pct"/>
            <w:vAlign w:val="center"/>
          </w:tcPr>
          <w:p w14:paraId="0F9D3A05" w14:textId="77777777" w:rsidR="002B20A9" w:rsidRPr="00C86111" w:rsidRDefault="002B20A9" w:rsidP="007A344F">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2018</w:t>
            </w:r>
          </w:p>
        </w:tc>
      </w:tr>
    </w:tbl>
    <w:p w14:paraId="0BF50D0A" w14:textId="77777777" w:rsidR="002B20A9" w:rsidRPr="00C86111" w:rsidRDefault="002B20A9" w:rsidP="002B20A9">
      <w:pPr>
        <w:jc w:val="both"/>
        <w:rPr>
          <w:rFonts w:asciiTheme="minorHAnsi" w:eastAsia="SimSun" w:hAnsiTheme="minorHAnsi" w:cstheme="minorHAnsi"/>
          <w:color w:val="auto"/>
        </w:rPr>
      </w:pPr>
    </w:p>
    <w:p w14:paraId="557421CD" w14:textId="77777777" w:rsidR="002B20A9" w:rsidRPr="00C86111" w:rsidRDefault="002B20A9" w:rsidP="00EA6904">
      <w:pPr>
        <w:pStyle w:val="Heading3"/>
      </w:pPr>
      <w:r w:rsidRPr="00C86111">
        <w:t xml:space="preserve"> </w:t>
      </w:r>
      <w:bookmarkStart w:id="355" w:name="_Toc220541953"/>
      <w:r w:rsidRPr="00C86111">
        <w:t>Metodologija procjene sadržaja PFOA i PFHxS</w:t>
      </w:r>
      <w:bookmarkEnd w:id="355"/>
    </w:p>
    <w:p w14:paraId="0D0D4ECE" w14:textId="77777777" w:rsidR="00626D74" w:rsidRPr="00C86111" w:rsidRDefault="00626D74" w:rsidP="00626D74">
      <w:pPr>
        <w:rPr>
          <w:lang w:val="sr-Latn-ME"/>
        </w:rPr>
      </w:pPr>
    </w:p>
    <w:p w14:paraId="6668931E"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Procjena mogućeg sadržaja PFOA i PFHxS u protivpožarnim pjenama sprovedena je na osnovu informacija prikupljenih sa ambalaže, bezbjednosno-tehničkih listova, godine proizvodnje, kao i podataka dobijenih tokom terenskih posjeta i direktnih intervjua sa predstavnicima vatrogasnih jedinica.</w:t>
      </w:r>
    </w:p>
    <w:p w14:paraId="520AEF13" w14:textId="4D79EB2C" w:rsidR="002B20A9" w:rsidRPr="00C86111" w:rsidRDefault="002B20A9" w:rsidP="002B20A9">
      <w:pPr>
        <w:jc w:val="both"/>
        <w:rPr>
          <w:rFonts w:asciiTheme="minorHAnsi" w:hAnsiTheme="minorHAnsi" w:cstheme="minorHAnsi"/>
          <w:color w:val="auto"/>
        </w:rPr>
      </w:pPr>
      <w:r w:rsidRPr="00C86111">
        <w:rPr>
          <w:rFonts w:asciiTheme="minorHAnsi" w:eastAsia="Times New Roman" w:hAnsiTheme="minorHAnsi" w:cstheme="minorHAnsi"/>
          <w:color w:val="auto"/>
          <w:lang w:eastAsia="en-GB"/>
        </w:rPr>
        <w:lastRenderedPageBreak/>
        <w:t>Pouzdana procjena sadržaja PFOA i PFHxS zasnovana je na analitičkim podacima dobijenim ispitivanjem uzoraka protivpožarnih pjena koje potiču iz opštinskih službi zaštite i spašavanja, kao i iz specijalizovanih vatrogasnih jedinica koje djeluju u lukama, na aerodromima i u industrijskim postrojenjima.</w:t>
      </w:r>
    </w:p>
    <w:p w14:paraId="08828FB6" w14:textId="2FF431B8" w:rsidR="002B20A9" w:rsidRPr="00C86111" w:rsidRDefault="002B20A9" w:rsidP="00EA6904">
      <w:pPr>
        <w:pStyle w:val="Heading4"/>
        <w:rPr>
          <w:rStyle w:val="Strong"/>
          <w:b w:val="0"/>
          <w:bCs/>
        </w:rPr>
      </w:pPr>
      <w:bookmarkStart w:id="356" w:name="_Toc209360224"/>
      <w:bookmarkStart w:id="357" w:name="_Toc210632582"/>
      <w:r w:rsidRPr="00C86111">
        <w:rPr>
          <w:rStyle w:val="Strong"/>
          <w:b w:val="0"/>
        </w:rPr>
        <w:t xml:space="preserve"> </w:t>
      </w:r>
      <w:bookmarkEnd w:id="356"/>
      <w:r w:rsidRPr="00C86111">
        <w:rPr>
          <w:rStyle w:val="Strong"/>
          <w:b w:val="0"/>
        </w:rPr>
        <w:t>Rezultati analize protivpožarnih pjena</w:t>
      </w:r>
      <w:bookmarkEnd w:id="357"/>
    </w:p>
    <w:p w14:paraId="2A63D883" w14:textId="1AF00F93"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Tabela </w:t>
      </w:r>
      <w:r w:rsidR="00626D74" w:rsidRPr="00C86111">
        <w:rPr>
          <w:rFonts w:asciiTheme="minorHAnsi" w:eastAsia="Times New Roman" w:hAnsiTheme="minorHAnsi" w:cstheme="minorHAnsi"/>
          <w:color w:val="auto"/>
          <w:lang w:eastAsia="en-GB"/>
        </w:rPr>
        <w:t>83</w:t>
      </w:r>
      <w:r w:rsidRPr="00C86111">
        <w:rPr>
          <w:rFonts w:asciiTheme="minorHAnsi" w:eastAsia="Times New Roman" w:hAnsiTheme="minorHAnsi" w:cstheme="minorHAnsi"/>
          <w:color w:val="auto"/>
          <w:lang w:eastAsia="en-GB"/>
        </w:rPr>
        <w:t xml:space="preserve"> prikazuje podatke o prisustvu perfluorooktanske kiseline (PFOA) i perfluoroheksanske sulfonatne kiseline (PFHxS) u protivpožarnim pjenama koje koriste opštinske službe zaštite i spašavanja. Ovi nalazi zasnovani su na laboratorijskim hemijskim analizama uzoraka pjene prikupljenih tokom terenskih istraživanja u lokalnim vatrogasnim jedinicama.</w:t>
      </w:r>
    </w:p>
    <w:p w14:paraId="5375F347" w14:textId="77777777" w:rsidR="002B20A9" w:rsidRPr="00C86111" w:rsidRDefault="002B20A9" w:rsidP="002B20A9">
      <w:pPr>
        <w:jc w:val="both"/>
        <w:rPr>
          <w:rFonts w:asciiTheme="minorHAnsi" w:eastAsia="Times New Roman" w:hAnsiTheme="minorHAnsi" w:cstheme="minorHAnsi"/>
          <w:color w:val="auto"/>
          <w:lang w:eastAsia="en-GB"/>
        </w:rPr>
      </w:pPr>
    </w:p>
    <w:p w14:paraId="6F02D4E4" w14:textId="6E049F24"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b/>
          <w:bCs/>
          <w:color w:val="auto"/>
          <w:lang w:eastAsia="en-GB"/>
        </w:rPr>
        <w:t xml:space="preserve">Tabela </w:t>
      </w:r>
      <w:r w:rsidR="00626D74" w:rsidRPr="00C86111">
        <w:rPr>
          <w:rFonts w:asciiTheme="minorHAnsi" w:eastAsia="Times New Roman" w:hAnsiTheme="minorHAnsi" w:cstheme="minorHAnsi"/>
          <w:b/>
          <w:bCs/>
          <w:color w:val="auto"/>
          <w:lang w:eastAsia="en-GB"/>
        </w:rPr>
        <w:t>83</w:t>
      </w:r>
      <w:r w:rsidRPr="00C86111">
        <w:rPr>
          <w:rFonts w:asciiTheme="minorHAnsi" w:eastAsia="Times New Roman" w:hAnsiTheme="minorHAnsi" w:cstheme="minorHAnsi"/>
          <w:b/>
          <w:bCs/>
          <w:color w:val="auto"/>
          <w:lang w:eastAsia="en-GB"/>
        </w:rPr>
        <w:t>:</w:t>
      </w:r>
      <w:r w:rsidRPr="00C86111">
        <w:rPr>
          <w:rFonts w:asciiTheme="minorHAnsi" w:eastAsia="Times New Roman" w:hAnsiTheme="minorHAnsi" w:cstheme="minorHAnsi"/>
          <w:color w:val="auto"/>
          <w:lang w:eastAsia="en-GB"/>
        </w:rPr>
        <w:t xml:space="preserve"> Rezultati prisustva PFOA i PFHxS u protivpožarnim pjenama opštinskih službi zaštite i spašavanja.</w:t>
      </w:r>
    </w:p>
    <w:tbl>
      <w:tblPr>
        <w:tblStyle w:val="GridTable5Dark-Accent6"/>
        <w:tblW w:w="9715" w:type="dxa"/>
        <w:tblLook w:val="04A0" w:firstRow="1" w:lastRow="0" w:firstColumn="1" w:lastColumn="0" w:noHBand="0" w:noVBand="1"/>
      </w:tblPr>
      <w:tblGrid>
        <w:gridCol w:w="2216"/>
        <w:gridCol w:w="1068"/>
        <w:gridCol w:w="2565"/>
        <w:gridCol w:w="1253"/>
        <w:gridCol w:w="2613"/>
      </w:tblGrid>
      <w:tr w:rsidR="002B20A9" w:rsidRPr="00C86111" w14:paraId="7B882F60" w14:textId="77777777" w:rsidTr="0037538F">
        <w:trPr>
          <w:cnfStyle w:val="100000000000" w:firstRow="1" w:lastRow="0" w:firstColumn="0" w:lastColumn="0" w:oddVBand="0" w:evenVBand="0" w:oddHBand="0"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62BA4C6B" w14:textId="77777777" w:rsidR="002B20A9" w:rsidRPr="00C86111" w:rsidRDefault="002B20A9" w:rsidP="002A416E">
            <w:pPr>
              <w:jc w:val="center"/>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Opština / Služba</w:t>
            </w:r>
          </w:p>
        </w:tc>
        <w:tc>
          <w:tcPr>
            <w:tcW w:w="1068" w:type="dxa"/>
            <w:vAlign w:val="center"/>
            <w:hideMark/>
          </w:tcPr>
          <w:p w14:paraId="20127EA3"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Prisustvo PFOA</w:t>
            </w:r>
          </w:p>
        </w:tc>
        <w:tc>
          <w:tcPr>
            <w:tcW w:w="2565" w:type="dxa"/>
            <w:vAlign w:val="center"/>
            <w:hideMark/>
          </w:tcPr>
          <w:p w14:paraId="0090FDEC"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Napomena</w:t>
            </w:r>
          </w:p>
        </w:tc>
        <w:tc>
          <w:tcPr>
            <w:tcW w:w="1253" w:type="dxa"/>
            <w:vAlign w:val="center"/>
          </w:tcPr>
          <w:p w14:paraId="5569FDE1" w14:textId="4AFAAF7B"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Prisustvo PFHxS</w:t>
            </w:r>
          </w:p>
        </w:tc>
        <w:tc>
          <w:tcPr>
            <w:tcW w:w="2613" w:type="dxa"/>
            <w:vAlign w:val="center"/>
          </w:tcPr>
          <w:p w14:paraId="5E3D94F4"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Napomena</w:t>
            </w:r>
          </w:p>
        </w:tc>
      </w:tr>
      <w:tr w:rsidR="002B20A9" w:rsidRPr="00C86111" w14:paraId="5E0532D9" w14:textId="77777777" w:rsidTr="0037538F">
        <w:trPr>
          <w:cnfStyle w:val="000000100000" w:firstRow="0" w:lastRow="0" w:firstColumn="0" w:lastColumn="0" w:oddVBand="0" w:evenVBand="0" w:oddHBand="1" w:evenHBand="0" w:firstRowFirstColumn="0" w:firstRowLastColumn="0" w:lastRowFirstColumn="0" w:lastRowLastColumn="0"/>
          <w:trHeight w:hRule="exact" w:val="829"/>
        </w:trPr>
        <w:tc>
          <w:tcPr>
            <w:cnfStyle w:val="001000000000" w:firstRow="0" w:lastRow="0" w:firstColumn="1" w:lastColumn="0" w:oddVBand="0" w:evenVBand="0" w:oddHBand="0" w:evenHBand="0" w:firstRowFirstColumn="0" w:firstRowLastColumn="0" w:lastRowFirstColumn="0" w:lastRowLastColumn="0"/>
            <w:tcW w:w="2216" w:type="dxa"/>
            <w:vMerge w:val="restart"/>
            <w:vAlign w:val="center"/>
            <w:hideMark/>
          </w:tcPr>
          <w:p w14:paraId="328E74CE"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Bar</w:t>
            </w:r>
          </w:p>
        </w:tc>
        <w:tc>
          <w:tcPr>
            <w:tcW w:w="1068" w:type="dxa"/>
            <w:vAlign w:val="center"/>
            <w:hideMark/>
          </w:tcPr>
          <w:p w14:paraId="1E23D14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Da</w:t>
            </w:r>
          </w:p>
        </w:tc>
        <w:tc>
          <w:tcPr>
            <w:tcW w:w="2565" w:type="dxa"/>
            <w:vAlign w:val="center"/>
            <w:hideMark/>
          </w:tcPr>
          <w:p w14:paraId="5F20BE2D"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PFOA prelazi propisano regulatorno ograničenje</w:t>
            </w:r>
          </w:p>
        </w:tc>
        <w:tc>
          <w:tcPr>
            <w:tcW w:w="1253" w:type="dxa"/>
            <w:vAlign w:val="center"/>
          </w:tcPr>
          <w:p w14:paraId="062CAA5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7A8F1428"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77726EC3" w14:textId="77777777" w:rsidTr="0037538F">
        <w:trPr>
          <w:trHeight w:hRule="exact" w:val="631"/>
        </w:trPr>
        <w:tc>
          <w:tcPr>
            <w:cnfStyle w:val="001000000000" w:firstRow="0" w:lastRow="0" w:firstColumn="1" w:lastColumn="0" w:oddVBand="0" w:evenVBand="0" w:oddHBand="0" w:evenHBand="0" w:firstRowFirstColumn="0" w:firstRowLastColumn="0" w:lastRowFirstColumn="0" w:lastRowLastColumn="0"/>
            <w:tcW w:w="2216" w:type="dxa"/>
            <w:vMerge/>
            <w:vAlign w:val="center"/>
          </w:tcPr>
          <w:p w14:paraId="087C9377" w14:textId="77777777" w:rsidR="002B20A9" w:rsidRPr="00C86111" w:rsidRDefault="002B20A9" w:rsidP="002A416E">
            <w:pPr>
              <w:jc w:val="center"/>
              <w:rPr>
                <w:rFonts w:asciiTheme="minorHAnsi" w:hAnsiTheme="minorHAnsi" w:cstheme="minorHAnsi"/>
                <w:b w:val="0"/>
                <w:bCs w:val="0"/>
                <w:color w:val="auto"/>
                <w:sz w:val="20"/>
                <w:szCs w:val="20"/>
              </w:rPr>
            </w:pPr>
          </w:p>
        </w:tc>
        <w:tc>
          <w:tcPr>
            <w:tcW w:w="1068" w:type="dxa"/>
            <w:vAlign w:val="center"/>
          </w:tcPr>
          <w:p w14:paraId="2E31ED89"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tcPr>
          <w:p w14:paraId="4C72682D"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5C13642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6EF63C41"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16080349" w14:textId="77777777" w:rsidTr="0037538F">
        <w:trPr>
          <w:cnfStyle w:val="000000100000" w:firstRow="0" w:lastRow="0" w:firstColumn="0" w:lastColumn="0" w:oddVBand="0" w:evenVBand="0" w:oddHBand="1" w:evenHBand="0" w:firstRowFirstColumn="0" w:firstRowLastColumn="0" w:lastRowFirstColumn="0" w:lastRowLastColumn="0"/>
          <w:trHeight w:hRule="exact" w:val="802"/>
        </w:trPr>
        <w:tc>
          <w:tcPr>
            <w:cnfStyle w:val="001000000000" w:firstRow="0" w:lastRow="0" w:firstColumn="1" w:lastColumn="0" w:oddVBand="0" w:evenVBand="0" w:oddHBand="0" w:evenHBand="0" w:firstRowFirstColumn="0" w:firstRowLastColumn="0" w:lastRowFirstColumn="0" w:lastRowLastColumn="0"/>
            <w:tcW w:w="2216" w:type="dxa"/>
            <w:vMerge w:val="restart"/>
            <w:vAlign w:val="center"/>
            <w:hideMark/>
          </w:tcPr>
          <w:p w14:paraId="7C10376E"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Bijelo Polje</w:t>
            </w:r>
          </w:p>
        </w:tc>
        <w:tc>
          <w:tcPr>
            <w:tcW w:w="1068" w:type="dxa"/>
            <w:vAlign w:val="center"/>
            <w:hideMark/>
          </w:tcPr>
          <w:p w14:paraId="152B7C43"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Da</w:t>
            </w:r>
          </w:p>
        </w:tc>
        <w:tc>
          <w:tcPr>
            <w:tcW w:w="2565" w:type="dxa"/>
            <w:vAlign w:val="center"/>
            <w:hideMark/>
          </w:tcPr>
          <w:p w14:paraId="404ACF3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PFOA prelazi propisano regulatorno ograničenje</w:t>
            </w:r>
          </w:p>
        </w:tc>
        <w:tc>
          <w:tcPr>
            <w:tcW w:w="1253" w:type="dxa"/>
            <w:vAlign w:val="center"/>
          </w:tcPr>
          <w:p w14:paraId="10FC1F4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3349171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220379F5" w14:textId="77777777" w:rsidTr="0037538F">
        <w:trPr>
          <w:trHeight w:hRule="exact" w:val="631"/>
        </w:trPr>
        <w:tc>
          <w:tcPr>
            <w:cnfStyle w:val="001000000000" w:firstRow="0" w:lastRow="0" w:firstColumn="1" w:lastColumn="0" w:oddVBand="0" w:evenVBand="0" w:oddHBand="0" w:evenHBand="0" w:firstRowFirstColumn="0" w:firstRowLastColumn="0" w:lastRowFirstColumn="0" w:lastRowLastColumn="0"/>
            <w:tcW w:w="2216" w:type="dxa"/>
            <w:vMerge/>
            <w:vAlign w:val="center"/>
          </w:tcPr>
          <w:p w14:paraId="4C72BBE5" w14:textId="77777777" w:rsidR="002B20A9" w:rsidRPr="00C86111" w:rsidRDefault="002B20A9" w:rsidP="002A416E">
            <w:pPr>
              <w:jc w:val="center"/>
              <w:rPr>
                <w:rFonts w:asciiTheme="minorHAnsi" w:hAnsiTheme="minorHAnsi" w:cstheme="minorHAnsi"/>
                <w:b w:val="0"/>
                <w:bCs w:val="0"/>
                <w:color w:val="auto"/>
                <w:sz w:val="20"/>
                <w:szCs w:val="20"/>
              </w:rPr>
            </w:pPr>
          </w:p>
        </w:tc>
        <w:tc>
          <w:tcPr>
            <w:tcW w:w="1068" w:type="dxa"/>
            <w:vAlign w:val="center"/>
          </w:tcPr>
          <w:p w14:paraId="689F18C1"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tcPr>
          <w:p w14:paraId="3A8598C7"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3242DD04"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4A25AA4F"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5DF1A703" w14:textId="77777777" w:rsidTr="0037538F">
        <w:trPr>
          <w:cnfStyle w:val="000000100000" w:firstRow="0" w:lastRow="0" w:firstColumn="0" w:lastColumn="0" w:oddVBand="0" w:evenVBand="0" w:oddHBand="1" w:evenHBand="0" w:firstRowFirstColumn="0" w:firstRowLastColumn="0" w:lastRowFirstColumn="0" w:lastRowLastColumn="0"/>
          <w:trHeight w:hRule="exact" w:val="63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7A6A7D00"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Ulcinj</w:t>
            </w:r>
          </w:p>
        </w:tc>
        <w:tc>
          <w:tcPr>
            <w:tcW w:w="1068" w:type="dxa"/>
            <w:vAlign w:val="center"/>
            <w:hideMark/>
          </w:tcPr>
          <w:p w14:paraId="624A506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Da</w:t>
            </w:r>
          </w:p>
        </w:tc>
        <w:tc>
          <w:tcPr>
            <w:tcW w:w="2565" w:type="dxa"/>
            <w:vAlign w:val="center"/>
            <w:hideMark/>
          </w:tcPr>
          <w:p w14:paraId="57FB4C5E"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5EADA0E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46023680"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4280B822" w14:textId="77777777" w:rsidTr="0037538F">
        <w:trPr>
          <w:trHeight w:hRule="exact" w:val="63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1AA1081E"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Plav</w:t>
            </w:r>
          </w:p>
        </w:tc>
        <w:tc>
          <w:tcPr>
            <w:tcW w:w="1068" w:type="dxa"/>
            <w:vAlign w:val="center"/>
            <w:hideMark/>
          </w:tcPr>
          <w:p w14:paraId="2EC11B3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2565" w:type="dxa"/>
            <w:vAlign w:val="center"/>
            <w:hideMark/>
          </w:tcPr>
          <w:p w14:paraId="413D4520"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6691AF0B"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7DF531B4"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5EE19517" w14:textId="77777777" w:rsidTr="0037538F">
        <w:trPr>
          <w:cnfStyle w:val="000000100000" w:firstRow="0" w:lastRow="0" w:firstColumn="0" w:lastColumn="0" w:oddVBand="0" w:evenVBand="0" w:oddHBand="1" w:evenHBand="0" w:firstRowFirstColumn="0" w:firstRowLastColumn="0" w:lastRowFirstColumn="0" w:lastRowLastColumn="0"/>
          <w:trHeight w:hRule="exact" w:val="63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5F24C000"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Pljevlja</w:t>
            </w:r>
          </w:p>
        </w:tc>
        <w:tc>
          <w:tcPr>
            <w:tcW w:w="1068" w:type="dxa"/>
            <w:vAlign w:val="center"/>
            <w:hideMark/>
          </w:tcPr>
          <w:p w14:paraId="1FE69D10"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6D243937"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21B3DAFC"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0BE4AD8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74876C48" w14:textId="77777777" w:rsidTr="0037538F">
        <w:trPr>
          <w:trHeight w:hRule="exact" w:val="54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0F218207"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Mojkovac</w:t>
            </w:r>
          </w:p>
        </w:tc>
        <w:tc>
          <w:tcPr>
            <w:tcW w:w="1068" w:type="dxa"/>
            <w:vAlign w:val="center"/>
            <w:hideMark/>
          </w:tcPr>
          <w:p w14:paraId="138604E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177630BD"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2C3885F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0F77731A"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4B97D726" w14:textId="77777777" w:rsidTr="0037538F">
        <w:trPr>
          <w:cnfStyle w:val="000000100000" w:firstRow="0" w:lastRow="0" w:firstColumn="0" w:lastColumn="0" w:oddVBand="0" w:evenVBand="0" w:oddHBand="1" w:evenHBand="0" w:firstRowFirstColumn="0" w:firstRowLastColumn="0" w:lastRowFirstColumn="0" w:lastRowLastColumn="0"/>
          <w:trHeight w:hRule="exact" w:val="72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0A51FD12"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Kolašin</w:t>
            </w:r>
          </w:p>
        </w:tc>
        <w:tc>
          <w:tcPr>
            <w:tcW w:w="1068" w:type="dxa"/>
            <w:vAlign w:val="center"/>
            <w:hideMark/>
          </w:tcPr>
          <w:p w14:paraId="06665935"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1F790C8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01E2CC2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74BE8240"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05E40498" w14:textId="77777777" w:rsidTr="0037538F">
        <w:trPr>
          <w:trHeight w:hRule="exact" w:val="63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1B25ADFD"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Berane</w:t>
            </w:r>
          </w:p>
        </w:tc>
        <w:tc>
          <w:tcPr>
            <w:tcW w:w="1068" w:type="dxa"/>
            <w:vAlign w:val="center"/>
            <w:hideMark/>
          </w:tcPr>
          <w:p w14:paraId="0F908CF1"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377BBEB6"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215018B2"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18D03092"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066B904C" w14:textId="77777777" w:rsidTr="0037538F">
        <w:trPr>
          <w:cnfStyle w:val="000000100000" w:firstRow="0" w:lastRow="0" w:firstColumn="0" w:lastColumn="0" w:oddVBand="0" w:evenVBand="0" w:oddHBand="1" w:evenHBand="0" w:firstRowFirstColumn="0" w:firstRowLastColumn="0" w:lastRowFirstColumn="0" w:lastRowLastColumn="0"/>
          <w:trHeight w:hRule="exact" w:val="712"/>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1790ED80"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Žabljak</w:t>
            </w:r>
          </w:p>
        </w:tc>
        <w:tc>
          <w:tcPr>
            <w:tcW w:w="1068" w:type="dxa"/>
            <w:vAlign w:val="center"/>
            <w:hideMark/>
          </w:tcPr>
          <w:p w14:paraId="2DF3F668"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0340C263"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666DF1D5"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22E3561E"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2693AE35" w14:textId="77777777" w:rsidTr="0037538F">
        <w:trPr>
          <w:trHeight w:hRule="exact" w:val="72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678B6D74"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Nikšić</w:t>
            </w:r>
          </w:p>
        </w:tc>
        <w:tc>
          <w:tcPr>
            <w:tcW w:w="1068" w:type="dxa"/>
            <w:vAlign w:val="center"/>
            <w:hideMark/>
          </w:tcPr>
          <w:p w14:paraId="6AF2DDAB"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022EE3DC"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5BE8106A"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70CA93C4"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2A4F7697" w14:textId="77777777" w:rsidTr="0037538F">
        <w:trPr>
          <w:cnfStyle w:val="000000100000" w:firstRow="0" w:lastRow="0" w:firstColumn="0" w:lastColumn="0" w:oddVBand="0" w:evenVBand="0" w:oddHBand="1" w:evenHBand="0" w:firstRowFirstColumn="0" w:firstRowLastColumn="0" w:lastRowFirstColumn="0" w:lastRowLastColumn="0"/>
          <w:trHeight w:hRule="exact" w:val="99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0A8EDF3B"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lastRenderedPageBreak/>
              <w:t>Plužine</w:t>
            </w:r>
          </w:p>
        </w:tc>
        <w:tc>
          <w:tcPr>
            <w:tcW w:w="1068" w:type="dxa"/>
            <w:vAlign w:val="center"/>
            <w:hideMark/>
          </w:tcPr>
          <w:p w14:paraId="261681D9"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48802A23"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77DD656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03889882"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09B97092" w14:textId="77777777" w:rsidTr="0037538F">
        <w:trPr>
          <w:trHeight w:hRule="exact" w:val="640"/>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45853DA5"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Cetinje</w:t>
            </w:r>
          </w:p>
        </w:tc>
        <w:tc>
          <w:tcPr>
            <w:tcW w:w="1068" w:type="dxa"/>
            <w:vAlign w:val="center"/>
            <w:hideMark/>
          </w:tcPr>
          <w:p w14:paraId="239AC506"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0385481B"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2B2BEDE1"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4F51A1CF"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3F1CCF8B" w14:textId="77777777" w:rsidTr="0037538F">
        <w:trPr>
          <w:cnfStyle w:val="000000100000" w:firstRow="0" w:lastRow="0" w:firstColumn="0" w:lastColumn="0" w:oddVBand="0" w:evenVBand="0" w:oddHBand="1" w:evenHBand="0" w:firstRowFirstColumn="0" w:firstRowLastColumn="0" w:lastRowFirstColumn="0" w:lastRowLastColumn="0"/>
          <w:trHeight w:hRule="exact" w:val="72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2A2059DF"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Budva</w:t>
            </w:r>
          </w:p>
        </w:tc>
        <w:tc>
          <w:tcPr>
            <w:tcW w:w="1068" w:type="dxa"/>
            <w:vAlign w:val="center"/>
            <w:hideMark/>
          </w:tcPr>
          <w:p w14:paraId="362488C5"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329FAF5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3316FBF8"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13CD1EA1"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15650DDA" w14:textId="77777777" w:rsidTr="0037538F">
        <w:trPr>
          <w:trHeight w:hRule="exact" w:val="54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4F52E528"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Kotor</w:t>
            </w:r>
          </w:p>
        </w:tc>
        <w:tc>
          <w:tcPr>
            <w:tcW w:w="1068" w:type="dxa"/>
            <w:vAlign w:val="center"/>
            <w:hideMark/>
          </w:tcPr>
          <w:p w14:paraId="3A2E0B52"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13750FD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0CECCCA0"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7372C7BA"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296F9CDF" w14:textId="77777777" w:rsidTr="0037538F">
        <w:trPr>
          <w:cnfStyle w:val="000000100000" w:firstRow="0" w:lastRow="0" w:firstColumn="0" w:lastColumn="0" w:oddVBand="0" w:evenVBand="0" w:oddHBand="1" w:evenHBand="0" w:firstRowFirstColumn="0" w:firstRowLastColumn="0" w:lastRowFirstColumn="0" w:lastRowLastColumn="0"/>
          <w:trHeight w:hRule="exact" w:val="622"/>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60D13198"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Podgorica</w:t>
            </w:r>
          </w:p>
        </w:tc>
        <w:tc>
          <w:tcPr>
            <w:tcW w:w="1068" w:type="dxa"/>
            <w:vAlign w:val="center"/>
            <w:hideMark/>
          </w:tcPr>
          <w:p w14:paraId="54688669"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hideMark/>
          </w:tcPr>
          <w:p w14:paraId="48F93D17"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1CA9781F"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2C71EBC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7208AAFB" w14:textId="77777777" w:rsidTr="0037538F">
        <w:trPr>
          <w:trHeight w:hRule="exact" w:val="550"/>
        </w:trPr>
        <w:tc>
          <w:tcPr>
            <w:cnfStyle w:val="001000000000" w:firstRow="0" w:lastRow="0" w:firstColumn="1" w:lastColumn="0" w:oddVBand="0" w:evenVBand="0" w:oddHBand="0" w:evenHBand="0" w:firstRowFirstColumn="0" w:firstRowLastColumn="0" w:lastRowFirstColumn="0" w:lastRowLastColumn="0"/>
            <w:tcW w:w="2216" w:type="dxa"/>
            <w:vMerge w:val="restart"/>
            <w:vAlign w:val="center"/>
          </w:tcPr>
          <w:p w14:paraId="39E1CD7C" w14:textId="77777777" w:rsidR="002B20A9" w:rsidRPr="00C86111" w:rsidRDefault="002B20A9" w:rsidP="002A416E">
            <w:pPr>
              <w:jc w:val="center"/>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Tivat</w:t>
            </w:r>
          </w:p>
        </w:tc>
        <w:tc>
          <w:tcPr>
            <w:tcW w:w="1068" w:type="dxa"/>
            <w:vAlign w:val="center"/>
          </w:tcPr>
          <w:p w14:paraId="2694E9E9"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65" w:type="dxa"/>
            <w:vAlign w:val="center"/>
          </w:tcPr>
          <w:p w14:paraId="39DE5DA5"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3" w:type="dxa"/>
            <w:vAlign w:val="center"/>
          </w:tcPr>
          <w:p w14:paraId="22BB602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0964908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24A61AA1" w14:textId="77777777" w:rsidTr="0037538F">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2216" w:type="dxa"/>
            <w:vMerge/>
            <w:vAlign w:val="center"/>
          </w:tcPr>
          <w:p w14:paraId="519464A1" w14:textId="77777777" w:rsidR="002B20A9" w:rsidRPr="00C86111" w:rsidRDefault="002B20A9" w:rsidP="002A416E">
            <w:pPr>
              <w:jc w:val="center"/>
              <w:rPr>
                <w:rFonts w:asciiTheme="minorHAnsi" w:hAnsiTheme="minorHAnsi" w:cstheme="minorHAnsi"/>
                <w:color w:val="auto"/>
                <w:sz w:val="20"/>
                <w:szCs w:val="20"/>
              </w:rPr>
            </w:pPr>
          </w:p>
        </w:tc>
        <w:tc>
          <w:tcPr>
            <w:tcW w:w="1068" w:type="dxa"/>
            <w:vAlign w:val="center"/>
          </w:tcPr>
          <w:p w14:paraId="44E561A9"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2565" w:type="dxa"/>
            <w:vAlign w:val="center"/>
          </w:tcPr>
          <w:p w14:paraId="2EE05CD3"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prelazi propisano regulatorno ograničenje</w:t>
            </w:r>
          </w:p>
        </w:tc>
        <w:tc>
          <w:tcPr>
            <w:tcW w:w="1253" w:type="dxa"/>
            <w:vAlign w:val="center"/>
          </w:tcPr>
          <w:p w14:paraId="7055C89E"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25FE378E"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4DD35B2F" w14:textId="77777777" w:rsidTr="0037538F">
        <w:trPr>
          <w:trHeight w:hRule="exact" w:val="784"/>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13585660"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Dobrovoljno vatrogasno društvo -Bijela</w:t>
            </w:r>
          </w:p>
        </w:tc>
        <w:tc>
          <w:tcPr>
            <w:tcW w:w="1068" w:type="dxa"/>
            <w:vAlign w:val="center"/>
            <w:hideMark/>
          </w:tcPr>
          <w:p w14:paraId="3EF66A15"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Da</w:t>
            </w:r>
          </w:p>
        </w:tc>
        <w:tc>
          <w:tcPr>
            <w:tcW w:w="2565" w:type="dxa"/>
            <w:vAlign w:val="center"/>
            <w:hideMark/>
          </w:tcPr>
          <w:p w14:paraId="0E506CDE"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PFOA prelazi propisano regulatorno ograničenje</w:t>
            </w:r>
          </w:p>
        </w:tc>
        <w:tc>
          <w:tcPr>
            <w:tcW w:w="1253" w:type="dxa"/>
            <w:vAlign w:val="center"/>
          </w:tcPr>
          <w:p w14:paraId="3E6D2DD5"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7D840C2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0C04D255" w14:textId="77777777" w:rsidTr="0037538F">
        <w:trPr>
          <w:cnfStyle w:val="000000100000" w:firstRow="0" w:lastRow="0" w:firstColumn="0" w:lastColumn="0" w:oddVBand="0" w:evenVBand="0" w:oddHBand="1" w:evenHBand="0" w:firstRowFirstColumn="0" w:firstRowLastColumn="0" w:lastRowFirstColumn="0" w:lastRowLastColumn="0"/>
          <w:trHeight w:hRule="exact" w:val="81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405DEF45"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Dobrovoljno vatrogasno društvo -Perast</w:t>
            </w:r>
          </w:p>
        </w:tc>
        <w:tc>
          <w:tcPr>
            <w:tcW w:w="1068" w:type="dxa"/>
            <w:vAlign w:val="center"/>
            <w:hideMark/>
          </w:tcPr>
          <w:p w14:paraId="6EB0F1B2"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2565" w:type="dxa"/>
            <w:vAlign w:val="center"/>
            <w:hideMark/>
          </w:tcPr>
          <w:p w14:paraId="15352C62"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prelazi propisano regulatorno ograničenje</w:t>
            </w:r>
          </w:p>
        </w:tc>
        <w:tc>
          <w:tcPr>
            <w:tcW w:w="1253" w:type="dxa"/>
            <w:vAlign w:val="center"/>
          </w:tcPr>
          <w:p w14:paraId="33F462AD"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417A4DB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5652864C" w14:textId="77777777" w:rsidTr="0037538F">
        <w:trPr>
          <w:trHeight w:hRule="exact" w:val="72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3005C0BA"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Dobrovoljno vatrogasno društvo -Krtoli</w:t>
            </w:r>
          </w:p>
        </w:tc>
        <w:tc>
          <w:tcPr>
            <w:tcW w:w="1068" w:type="dxa"/>
            <w:vAlign w:val="center"/>
            <w:hideMark/>
          </w:tcPr>
          <w:p w14:paraId="67BF5BBC"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2565" w:type="dxa"/>
            <w:vAlign w:val="center"/>
            <w:hideMark/>
          </w:tcPr>
          <w:p w14:paraId="332F360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prelazi propisano regulatorno ograničenje</w:t>
            </w:r>
          </w:p>
        </w:tc>
        <w:tc>
          <w:tcPr>
            <w:tcW w:w="1253" w:type="dxa"/>
            <w:vAlign w:val="center"/>
          </w:tcPr>
          <w:p w14:paraId="3538989D"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3" w:type="dxa"/>
            <w:vAlign w:val="center"/>
          </w:tcPr>
          <w:p w14:paraId="5743925B"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2C55139F" w14:textId="77777777" w:rsidTr="0037538F">
        <w:trPr>
          <w:cnfStyle w:val="000000100000" w:firstRow="0" w:lastRow="0" w:firstColumn="0" w:lastColumn="0" w:oddVBand="0" w:evenVBand="0" w:oddHBand="1" w:evenHBand="0" w:firstRowFirstColumn="0" w:firstRowLastColumn="0" w:lastRowFirstColumn="0" w:lastRowLastColumn="0"/>
          <w:trHeight w:hRule="exact" w:val="901"/>
        </w:trPr>
        <w:tc>
          <w:tcPr>
            <w:cnfStyle w:val="001000000000" w:firstRow="0" w:lastRow="0" w:firstColumn="1" w:lastColumn="0" w:oddVBand="0" w:evenVBand="0" w:oddHBand="0" w:evenHBand="0" w:firstRowFirstColumn="0" w:firstRowLastColumn="0" w:lastRowFirstColumn="0" w:lastRowLastColumn="0"/>
            <w:tcW w:w="2216" w:type="dxa"/>
            <w:vAlign w:val="center"/>
            <w:hideMark/>
          </w:tcPr>
          <w:p w14:paraId="36F6F843"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Gusinje, Danilovgrad, Rožaje, Petnjica, Andrijevica</w:t>
            </w:r>
          </w:p>
        </w:tc>
        <w:tc>
          <w:tcPr>
            <w:tcW w:w="1068" w:type="dxa"/>
            <w:vAlign w:val="center"/>
            <w:hideMark/>
          </w:tcPr>
          <w:p w14:paraId="3B9EF65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c>
          <w:tcPr>
            <w:tcW w:w="2565" w:type="dxa"/>
            <w:vAlign w:val="center"/>
            <w:hideMark/>
          </w:tcPr>
          <w:p w14:paraId="5C5D0C78"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 koriste protivpožarnu pjenu</w:t>
            </w:r>
          </w:p>
        </w:tc>
        <w:tc>
          <w:tcPr>
            <w:tcW w:w="1253" w:type="dxa"/>
            <w:vAlign w:val="center"/>
          </w:tcPr>
          <w:p w14:paraId="78B43F8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N/A</w:t>
            </w:r>
          </w:p>
        </w:tc>
        <w:tc>
          <w:tcPr>
            <w:tcW w:w="2613" w:type="dxa"/>
            <w:vAlign w:val="center"/>
          </w:tcPr>
          <w:p w14:paraId="35F5A8AF"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 koriste protivpožarnu pjenu</w:t>
            </w:r>
          </w:p>
        </w:tc>
      </w:tr>
    </w:tbl>
    <w:p w14:paraId="56DE90A1" w14:textId="77777777" w:rsidR="002B20A9" w:rsidRPr="00C86111" w:rsidRDefault="002B20A9" w:rsidP="002B20A9">
      <w:pPr>
        <w:jc w:val="both"/>
        <w:rPr>
          <w:rFonts w:asciiTheme="minorHAnsi" w:hAnsiTheme="minorHAnsi" w:cstheme="minorHAnsi"/>
          <w:color w:val="auto"/>
        </w:rPr>
      </w:pPr>
    </w:p>
    <w:p w14:paraId="335F5079" w14:textId="294C6758"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Pregled utvrđenog prisustva PFOA i PFHxS u protivpožarnim pjenama koje koriste specijalizovane vatrogasne službe – uključujući one koje djeluju u morskim lukama, na aerodromima i u industrijskim kompleksima – prikazan je u tabeli </w:t>
      </w:r>
      <w:r w:rsidR="00626D74" w:rsidRPr="00C86111">
        <w:rPr>
          <w:rFonts w:asciiTheme="minorHAnsi" w:eastAsia="Times New Roman" w:hAnsiTheme="minorHAnsi" w:cstheme="minorHAnsi"/>
          <w:color w:val="auto"/>
          <w:lang w:eastAsia="en-GB"/>
        </w:rPr>
        <w:t>84</w:t>
      </w:r>
      <w:r w:rsidRPr="00C86111">
        <w:rPr>
          <w:rFonts w:asciiTheme="minorHAnsi" w:eastAsia="Times New Roman" w:hAnsiTheme="minorHAnsi" w:cstheme="minorHAnsi"/>
          <w:color w:val="auto"/>
          <w:lang w:eastAsia="en-GB"/>
        </w:rPr>
        <w:t>.</w:t>
      </w:r>
    </w:p>
    <w:p w14:paraId="59C6B5B2" w14:textId="77777777" w:rsidR="00626D74" w:rsidRPr="00C86111" w:rsidRDefault="00626D74" w:rsidP="002B20A9">
      <w:pPr>
        <w:jc w:val="both"/>
        <w:rPr>
          <w:rFonts w:asciiTheme="minorHAnsi" w:eastAsia="Times New Roman" w:hAnsiTheme="minorHAnsi" w:cstheme="minorHAnsi"/>
          <w:color w:val="auto"/>
          <w:lang w:eastAsia="en-GB"/>
        </w:rPr>
      </w:pPr>
    </w:p>
    <w:p w14:paraId="70BFD7DC" w14:textId="3CA27E14"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b/>
          <w:bCs/>
          <w:color w:val="auto"/>
          <w:lang w:eastAsia="en-GB"/>
        </w:rPr>
        <w:t xml:space="preserve">Tabela </w:t>
      </w:r>
      <w:r w:rsidR="00626D74" w:rsidRPr="00C86111">
        <w:rPr>
          <w:rFonts w:asciiTheme="minorHAnsi" w:eastAsia="Times New Roman" w:hAnsiTheme="minorHAnsi" w:cstheme="minorHAnsi"/>
          <w:b/>
          <w:bCs/>
          <w:color w:val="auto"/>
          <w:lang w:eastAsia="en-GB"/>
        </w:rPr>
        <w:t>84</w:t>
      </w:r>
      <w:r w:rsidRPr="00C86111">
        <w:rPr>
          <w:rFonts w:asciiTheme="minorHAnsi" w:eastAsia="Times New Roman" w:hAnsiTheme="minorHAnsi" w:cstheme="minorHAnsi"/>
          <w:b/>
          <w:bCs/>
          <w:color w:val="auto"/>
          <w:lang w:eastAsia="en-GB"/>
        </w:rPr>
        <w:t>:</w:t>
      </w:r>
      <w:r w:rsidRPr="00C86111">
        <w:rPr>
          <w:rFonts w:asciiTheme="minorHAnsi" w:eastAsia="Times New Roman" w:hAnsiTheme="minorHAnsi" w:cstheme="minorHAnsi"/>
          <w:color w:val="auto"/>
          <w:lang w:eastAsia="en-GB"/>
        </w:rPr>
        <w:t xml:space="preserve"> Rezultati prisustva PFOA i PFHxS u protivpožarnim pjenama specijalizovanih vatrogasnih službi (Luke, Aerodromi, Industrija).</w:t>
      </w:r>
    </w:p>
    <w:p w14:paraId="6069CC0C" w14:textId="77777777" w:rsidR="00626D74" w:rsidRPr="00C86111" w:rsidRDefault="00626D74" w:rsidP="002B20A9">
      <w:pPr>
        <w:jc w:val="both"/>
        <w:rPr>
          <w:rFonts w:asciiTheme="minorHAnsi" w:eastAsia="Times New Roman" w:hAnsiTheme="minorHAnsi" w:cstheme="minorHAnsi"/>
          <w:color w:val="auto"/>
          <w:lang w:eastAsia="en-GB"/>
        </w:rPr>
      </w:pPr>
    </w:p>
    <w:tbl>
      <w:tblPr>
        <w:tblStyle w:val="GridTable5Dark-Accent6"/>
        <w:tblW w:w="9540" w:type="dxa"/>
        <w:jc w:val="center"/>
        <w:tblLook w:val="04A0" w:firstRow="1" w:lastRow="0" w:firstColumn="1" w:lastColumn="0" w:noHBand="0" w:noVBand="1"/>
      </w:tblPr>
      <w:tblGrid>
        <w:gridCol w:w="1967"/>
        <w:gridCol w:w="1167"/>
        <w:gridCol w:w="2538"/>
        <w:gridCol w:w="1254"/>
        <w:gridCol w:w="2614"/>
      </w:tblGrid>
      <w:tr w:rsidR="002B20A9" w:rsidRPr="00C86111" w14:paraId="77E0CE3F" w14:textId="77777777" w:rsidTr="00E71878">
        <w:trPr>
          <w:cnfStyle w:val="100000000000" w:firstRow="1" w:lastRow="0" w:firstColumn="0" w:lastColumn="0" w:oddVBand="0" w:evenVBand="0" w:oddHBand="0"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1967" w:type="dxa"/>
            <w:vAlign w:val="center"/>
            <w:hideMark/>
          </w:tcPr>
          <w:p w14:paraId="5C0CC5AF" w14:textId="77777777" w:rsidR="002B20A9" w:rsidRPr="00C86111" w:rsidRDefault="002B20A9" w:rsidP="002A416E">
            <w:pPr>
              <w:jc w:val="center"/>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Lokacija / Sektor</w:t>
            </w:r>
          </w:p>
        </w:tc>
        <w:tc>
          <w:tcPr>
            <w:tcW w:w="1167" w:type="dxa"/>
            <w:vAlign w:val="center"/>
            <w:hideMark/>
          </w:tcPr>
          <w:p w14:paraId="7108A2D6"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Prisustvo PFOA</w:t>
            </w:r>
          </w:p>
        </w:tc>
        <w:tc>
          <w:tcPr>
            <w:tcW w:w="2538" w:type="dxa"/>
            <w:vAlign w:val="center"/>
            <w:hideMark/>
          </w:tcPr>
          <w:p w14:paraId="735BEAE5"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Napomena</w:t>
            </w:r>
          </w:p>
        </w:tc>
        <w:tc>
          <w:tcPr>
            <w:tcW w:w="1254" w:type="dxa"/>
            <w:vAlign w:val="center"/>
          </w:tcPr>
          <w:p w14:paraId="284F3679" w14:textId="32B4F672"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Prisustvo PFHxS</w:t>
            </w:r>
          </w:p>
        </w:tc>
        <w:tc>
          <w:tcPr>
            <w:tcW w:w="2614" w:type="dxa"/>
            <w:vAlign w:val="center"/>
          </w:tcPr>
          <w:p w14:paraId="01E98D5D"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Napomena</w:t>
            </w:r>
          </w:p>
        </w:tc>
      </w:tr>
      <w:tr w:rsidR="002B20A9" w:rsidRPr="00C86111" w14:paraId="7147E42F" w14:textId="77777777" w:rsidTr="00E71878">
        <w:trPr>
          <w:cnfStyle w:val="000000100000" w:firstRow="0" w:lastRow="0" w:firstColumn="0" w:lastColumn="0" w:oddVBand="0" w:evenVBand="0" w:oddHBand="1" w:evenHBand="0" w:firstRowFirstColumn="0" w:firstRowLastColumn="0" w:lastRowFirstColumn="0" w:lastRowLastColumn="0"/>
          <w:trHeight w:hRule="exact" w:val="919"/>
          <w:jc w:val="center"/>
        </w:trPr>
        <w:tc>
          <w:tcPr>
            <w:cnfStyle w:val="001000000000" w:firstRow="0" w:lastRow="0" w:firstColumn="1" w:lastColumn="0" w:oddVBand="0" w:evenVBand="0" w:oddHBand="0" w:evenHBand="0" w:firstRowFirstColumn="0" w:firstRowLastColumn="0" w:lastRowFirstColumn="0" w:lastRowLastColumn="0"/>
            <w:tcW w:w="1967" w:type="dxa"/>
            <w:vMerge w:val="restart"/>
            <w:vAlign w:val="center"/>
            <w:hideMark/>
          </w:tcPr>
          <w:p w14:paraId="06554034" w14:textId="635F4F0D"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Aerodrom Tivat</w:t>
            </w:r>
          </w:p>
        </w:tc>
        <w:tc>
          <w:tcPr>
            <w:tcW w:w="1167" w:type="dxa"/>
            <w:vAlign w:val="center"/>
            <w:hideMark/>
          </w:tcPr>
          <w:p w14:paraId="0F8CB1EE"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2538" w:type="dxa"/>
            <w:vAlign w:val="center"/>
            <w:hideMark/>
          </w:tcPr>
          <w:p w14:paraId="2392C34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prelazi propisano regulatorno ograničenje</w:t>
            </w:r>
          </w:p>
        </w:tc>
        <w:tc>
          <w:tcPr>
            <w:tcW w:w="1254" w:type="dxa"/>
            <w:vAlign w:val="center"/>
          </w:tcPr>
          <w:p w14:paraId="505AC0D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2614" w:type="dxa"/>
            <w:vAlign w:val="center"/>
          </w:tcPr>
          <w:p w14:paraId="44A461C7"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prelazi propisano regulatorno ograničenje</w:t>
            </w:r>
          </w:p>
        </w:tc>
      </w:tr>
      <w:tr w:rsidR="002B20A9" w:rsidRPr="00C86111" w14:paraId="27E13294" w14:textId="77777777" w:rsidTr="00E71878">
        <w:trPr>
          <w:trHeight w:hRule="exact" w:val="721"/>
          <w:jc w:val="center"/>
        </w:trPr>
        <w:tc>
          <w:tcPr>
            <w:cnfStyle w:val="001000000000" w:firstRow="0" w:lastRow="0" w:firstColumn="1" w:lastColumn="0" w:oddVBand="0" w:evenVBand="0" w:oddHBand="0" w:evenHBand="0" w:firstRowFirstColumn="0" w:firstRowLastColumn="0" w:lastRowFirstColumn="0" w:lastRowLastColumn="0"/>
            <w:tcW w:w="1967" w:type="dxa"/>
            <w:vMerge/>
            <w:vAlign w:val="center"/>
          </w:tcPr>
          <w:p w14:paraId="6E09D78E" w14:textId="77777777" w:rsidR="002B20A9" w:rsidRPr="00C86111" w:rsidRDefault="002B20A9" w:rsidP="002A416E">
            <w:pPr>
              <w:jc w:val="center"/>
              <w:rPr>
                <w:rFonts w:asciiTheme="minorHAnsi" w:hAnsiTheme="minorHAnsi" w:cstheme="minorHAnsi"/>
                <w:b w:val="0"/>
                <w:bCs w:val="0"/>
                <w:color w:val="auto"/>
                <w:sz w:val="20"/>
                <w:szCs w:val="20"/>
              </w:rPr>
            </w:pPr>
          </w:p>
        </w:tc>
        <w:tc>
          <w:tcPr>
            <w:tcW w:w="1167" w:type="dxa"/>
            <w:vAlign w:val="center"/>
          </w:tcPr>
          <w:p w14:paraId="0A9F65CA"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38" w:type="dxa"/>
            <w:vAlign w:val="center"/>
          </w:tcPr>
          <w:p w14:paraId="2010ABF5"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4" w:type="dxa"/>
            <w:vAlign w:val="center"/>
          </w:tcPr>
          <w:p w14:paraId="3AA1AAF9"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4" w:type="dxa"/>
            <w:vAlign w:val="center"/>
          </w:tcPr>
          <w:p w14:paraId="6728EB8B"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549A427C" w14:textId="77777777" w:rsidTr="00E71878">
        <w:trPr>
          <w:cnfStyle w:val="000000100000" w:firstRow="0" w:lastRow="0" w:firstColumn="0" w:lastColumn="0" w:oddVBand="0" w:evenVBand="0" w:oddHBand="1" w:evenHBand="0" w:firstRowFirstColumn="0" w:firstRowLastColumn="0" w:lastRowFirstColumn="0" w:lastRowLastColumn="0"/>
          <w:trHeight w:hRule="exact" w:val="811"/>
          <w:jc w:val="center"/>
        </w:trPr>
        <w:tc>
          <w:tcPr>
            <w:cnfStyle w:val="001000000000" w:firstRow="0" w:lastRow="0" w:firstColumn="1" w:lastColumn="0" w:oddVBand="0" w:evenVBand="0" w:oddHBand="0" w:evenHBand="0" w:firstRowFirstColumn="0" w:firstRowLastColumn="0" w:lastRowFirstColumn="0" w:lastRowLastColumn="0"/>
            <w:tcW w:w="1967" w:type="dxa"/>
            <w:vMerge w:val="restart"/>
            <w:vAlign w:val="center"/>
            <w:hideMark/>
          </w:tcPr>
          <w:p w14:paraId="055E0DA5"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lastRenderedPageBreak/>
              <w:t>Aerodrom Podgorica</w:t>
            </w:r>
          </w:p>
        </w:tc>
        <w:tc>
          <w:tcPr>
            <w:tcW w:w="1167" w:type="dxa"/>
            <w:vAlign w:val="center"/>
            <w:hideMark/>
          </w:tcPr>
          <w:p w14:paraId="043E1710"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Ne</w:t>
            </w:r>
          </w:p>
        </w:tc>
        <w:tc>
          <w:tcPr>
            <w:tcW w:w="2538" w:type="dxa"/>
            <w:vAlign w:val="center"/>
            <w:hideMark/>
          </w:tcPr>
          <w:p w14:paraId="5D07630E"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4" w:type="dxa"/>
            <w:vAlign w:val="center"/>
          </w:tcPr>
          <w:p w14:paraId="7F6FEA4C"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4" w:type="dxa"/>
            <w:vAlign w:val="center"/>
          </w:tcPr>
          <w:p w14:paraId="037C5A20"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7C17179E" w14:textId="77777777" w:rsidTr="00E71878">
        <w:trPr>
          <w:trHeight w:hRule="exact" w:val="901"/>
          <w:jc w:val="center"/>
        </w:trPr>
        <w:tc>
          <w:tcPr>
            <w:cnfStyle w:val="001000000000" w:firstRow="0" w:lastRow="0" w:firstColumn="1" w:lastColumn="0" w:oddVBand="0" w:evenVBand="0" w:oddHBand="0" w:evenHBand="0" w:firstRowFirstColumn="0" w:firstRowLastColumn="0" w:lastRowFirstColumn="0" w:lastRowLastColumn="0"/>
            <w:tcW w:w="1967" w:type="dxa"/>
            <w:vMerge/>
            <w:vAlign w:val="center"/>
          </w:tcPr>
          <w:p w14:paraId="3CF5661D" w14:textId="77777777" w:rsidR="002B20A9" w:rsidRPr="00C86111" w:rsidRDefault="002B20A9" w:rsidP="002A416E">
            <w:pPr>
              <w:jc w:val="center"/>
              <w:rPr>
                <w:rFonts w:asciiTheme="minorHAnsi" w:hAnsiTheme="minorHAnsi" w:cstheme="minorHAnsi"/>
                <w:b w:val="0"/>
                <w:bCs w:val="0"/>
                <w:color w:val="auto"/>
                <w:sz w:val="20"/>
                <w:szCs w:val="20"/>
              </w:rPr>
            </w:pPr>
          </w:p>
        </w:tc>
        <w:tc>
          <w:tcPr>
            <w:tcW w:w="1167" w:type="dxa"/>
            <w:vAlign w:val="center"/>
          </w:tcPr>
          <w:p w14:paraId="2D5B42EC"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38" w:type="dxa"/>
            <w:vAlign w:val="center"/>
          </w:tcPr>
          <w:p w14:paraId="21233027"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4" w:type="dxa"/>
            <w:vAlign w:val="center"/>
          </w:tcPr>
          <w:p w14:paraId="5DFB088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Da</w:t>
            </w:r>
          </w:p>
        </w:tc>
        <w:tc>
          <w:tcPr>
            <w:tcW w:w="2614" w:type="dxa"/>
            <w:vAlign w:val="center"/>
          </w:tcPr>
          <w:p w14:paraId="02832460"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prelazi propisano regulatorno ograničenje</w:t>
            </w:r>
          </w:p>
        </w:tc>
      </w:tr>
      <w:tr w:rsidR="002B20A9" w:rsidRPr="00C86111" w14:paraId="1C80C213" w14:textId="77777777" w:rsidTr="00E71878">
        <w:trPr>
          <w:cnfStyle w:val="000000100000" w:firstRow="0" w:lastRow="0" w:firstColumn="0" w:lastColumn="0" w:oddVBand="0" w:evenVBand="0" w:oddHBand="1" w:evenHBand="0" w:firstRowFirstColumn="0" w:firstRowLastColumn="0" w:lastRowFirstColumn="0" w:lastRowLastColumn="0"/>
          <w:trHeight w:hRule="exact" w:val="811"/>
          <w:jc w:val="center"/>
        </w:trPr>
        <w:tc>
          <w:tcPr>
            <w:cnfStyle w:val="001000000000" w:firstRow="0" w:lastRow="0" w:firstColumn="1" w:lastColumn="0" w:oddVBand="0" w:evenVBand="0" w:oddHBand="0" w:evenHBand="0" w:firstRowFirstColumn="0" w:firstRowLastColumn="0" w:lastRowFirstColumn="0" w:lastRowLastColumn="0"/>
            <w:tcW w:w="1967" w:type="dxa"/>
            <w:vAlign w:val="center"/>
            <w:hideMark/>
          </w:tcPr>
          <w:p w14:paraId="1CF1F0B4"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Jugopetrol (Bar)</w:t>
            </w:r>
          </w:p>
        </w:tc>
        <w:tc>
          <w:tcPr>
            <w:tcW w:w="1167" w:type="dxa"/>
            <w:vAlign w:val="center"/>
            <w:hideMark/>
          </w:tcPr>
          <w:p w14:paraId="08ABEDF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38" w:type="dxa"/>
            <w:vAlign w:val="center"/>
            <w:hideMark/>
          </w:tcPr>
          <w:p w14:paraId="46D464D5"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4" w:type="dxa"/>
            <w:vAlign w:val="center"/>
          </w:tcPr>
          <w:p w14:paraId="5D2D2C40"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4" w:type="dxa"/>
            <w:vAlign w:val="center"/>
          </w:tcPr>
          <w:p w14:paraId="29076A2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4D55C129" w14:textId="77777777" w:rsidTr="00E71878">
        <w:trPr>
          <w:trHeight w:hRule="exact" w:val="721"/>
          <w:jc w:val="center"/>
        </w:trPr>
        <w:tc>
          <w:tcPr>
            <w:cnfStyle w:val="001000000000" w:firstRow="0" w:lastRow="0" w:firstColumn="1" w:lastColumn="0" w:oddVBand="0" w:evenVBand="0" w:oddHBand="0" w:evenHBand="0" w:firstRowFirstColumn="0" w:firstRowLastColumn="0" w:lastRowFirstColumn="0" w:lastRowLastColumn="0"/>
            <w:tcW w:w="1967" w:type="dxa"/>
            <w:vAlign w:val="center"/>
            <w:hideMark/>
          </w:tcPr>
          <w:p w14:paraId="12A20D33"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Luka Bar</w:t>
            </w:r>
          </w:p>
        </w:tc>
        <w:tc>
          <w:tcPr>
            <w:tcW w:w="1167" w:type="dxa"/>
            <w:vAlign w:val="center"/>
            <w:hideMark/>
          </w:tcPr>
          <w:p w14:paraId="6DE11D24"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38" w:type="dxa"/>
            <w:vAlign w:val="center"/>
            <w:hideMark/>
          </w:tcPr>
          <w:p w14:paraId="7027D015"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4" w:type="dxa"/>
            <w:vAlign w:val="center"/>
          </w:tcPr>
          <w:p w14:paraId="4266A5F2"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4" w:type="dxa"/>
            <w:vAlign w:val="center"/>
          </w:tcPr>
          <w:p w14:paraId="76F9198A"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11A25D63" w14:textId="77777777" w:rsidTr="00E71878">
        <w:trPr>
          <w:cnfStyle w:val="000000100000" w:firstRow="0" w:lastRow="0" w:firstColumn="0" w:lastColumn="0" w:oddVBand="0" w:evenVBand="0" w:oddHBand="1" w:evenHBand="0" w:firstRowFirstColumn="0" w:firstRowLastColumn="0" w:lastRowFirstColumn="0" w:lastRowLastColumn="0"/>
          <w:trHeight w:hRule="exact" w:val="802"/>
          <w:jc w:val="center"/>
        </w:trPr>
        <w:tc>
          <w:tcPr>
            <w:cnfStyle w:val="001000000000" w:firstRow="0" w:lastRow="0" w:firstColumn="1" w:lastColumn="0" w:oddVBand="0" w:evenVBand="0" w:oddHBand="0" w:evenHBand="0" w:firstRowFirstColumn="0" w:firstRowLastColumn="0" w:lastRowFirstColumn="0" w:lastRowLastColumn="0"/>
            <w:tcW w:w="1967" w:type="dxa"/>
            <w:vAlign w:val="center"/>
            <w:hideMark/>
          </w:tcPr>
          <w:p w14:paraId="6DE02FD0"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Luštica Bay Marina</w:t>
            </w:r>
          </w:p>
        </w:tc>
        <w:tc>
          <w:tcPr>
            <w:tcW w:w="1167" w:type="dxa"/>
            <w:vAlign w:val="center"/>
            <w:hideMark/>
          </w:tcPr>
          <w:p w14:paraId="4C972A4F"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38" w:type="dxa"/>
            <w:vAlign w:val="center"/>
            <w:hideMark/>
          </w:tcPr>
          <w:p w14:paraId="5E3EFA5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4" w:type="dxa"/>
            <w:vAlign w:val="center"/>
          </w:tcPr>
          <w:p w14:paraId="31165C5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4" w:type="dxa"/>
            <w:vAlign w:val="center"/>
          </w:tcPr>
          <w:p w14:paraId="41E1E1D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r w:rsidR="002B20A9" w:rsidRPr="00C86111" w14:paraId="3195C381" w14:textId="77777777" w:rsidTr="00E71878">
        <w:trPr>
          <w:trHeight w:hRule="exact" w:val="910"/>
          <w:jc w:val="center"/>
        </w:trPr>
        <w:tc>
          <w:tcPr>
            <w:cnfStyle w:val="001000000000" w:firstRow="0" w:lastRow="0" w:firstColumn="1" w:lastColumn="0" w:oddVBand="0" w:evenVBand="0" w:oddHBand="0" w:evenHBand="0" w:firstRowFirstColumn="0" w:firstRowLastColumn="0" w:lastRowFirstColumn="0" w:lastRowLastColumn="0"/>
            <w:tcW w:w="1967" w:type="dxa"/>
            <w:vAlign w:val="center"/>
            <w:hideMark/>
          </w:tcPr>
          <w:p w14:paraId="1CE555BD"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Monteput (Autoput + Tunel)</w:t>
            </w:r>
          </w:p>
        </w:tc>
        <w:tc>
          <w:tcPr>
            <w:tcW w:w="1167" w:type="dxa"/>
            <w:vAlign w:val="center"/>
            <w:hideMark/>
          </w:tcPr>
          <w:p w14:paraId="25170509"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538" w:type="dxa"/>
            <w:vAlign w:val="center"/>
            <w:hideMark/>
          </w:tcPr>
          <w:p w14:paraId="7F28E7C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PFOA je u okviru regulatornog ograničenja</w:t>
            </w:r>
          </w:p>
        </w:tc>
        <w:tc>
          <w:tcPr>
            <w:tcW w:w="1254" w:type="dxa"/>
            <w:vAlign w:val="center"/>
          </w:tcPr>
          <w:p w14:paraId="5F50E8BA"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Ne</w:t>
            </w:r>
          </w:p>
        </w:tc>
        <w:tc>
          <w:tcPr>
            <w:tcW w:w="2614" w:type="dxa"/>
            <w:vAlign w:val="center"/>
          </w:tcPr>
          <w:p w14:paraId="3DFD1830"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Vrijednost PFHxS je u okviru regulatornog ograničenja</w:t>
            </w:r>
          </w:p>
        </w:tc>
      </w:tr>
    </w:tbl>
    <w:p w14:paraId="3562884B" w14:textId="62D2A89B"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Pregled ukupnog broja uzoraka protivpožarnih pjena koji su bili predmet hemijske analize, zajedno sa uzorcima u kojima je potvrđeno prisustvo PFOA i PFHxS, prikazan je u tabeli </w:t>
      </w:r>
      <w:r w:rsidR="00626D74" w:rsidRPr="00C86111">
        <w:rPr>
          <w:rFonts w:asciiTheme="minorHAnsi" w:eastAsia="Times New Roman" w:hAnsiTheme="minorHAnsi" w:cstheme="minorHAnsi"/>
          <w:color w:val="auto"/>
          <w:lang w:eastAsia="en-GB"/>
        </w:rPr>
        <w:t>85</w:t>
      </w:r>
      <w:r w:rsidRPr="00C86111">
        <w:rPr>
          <w:rFonts w:asciiTheme="minorHAnsi" w:eastAsia="Times New Roman" w:hAnsiTheme="minorHAnsi" w:cstheme="minorHAnsi"/>
          <w:color w:val="auto"/>
          <w:lang w:eastAsia="en-GB"/>
        </w:rPr>
        <w:t>.</w:t>
      </w:r>
    </w:p>
    <w:p w14:paraId="20137499" w14:textId="77777777" w:rsidR="002B20A9" w:rsidRPr="00C86111" w:rsidRDefault="002B20A9" w:rsidP="002B20A9">
      <w:pPr>
        <w:jc w:val="both"/>
        <w:rPr>
          <w:rFonts w:asciiTheme="minorHAnsi" w:eastAsia="Times New Roman" w:hAnsiTheme="minorHAnsi" w:cstheme="minorHAnsi"/>
          <w:color w:val="auto"/>
          <w:lang w:eastAsia="en-GB"/>
        </w:rPr>
      </w:pPr>
    </w:p>
    <w:p w14:paraId="256CD2C6" w14:textId="6A6968F3"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b/>
          <w:bCs/>
          <w:color w:val="auto"/>
          <w:lang w:eastAsia="en-GB"/>
        </w:rPr>
        <w:t xml:space="preserve">Tabela </w:t>
      </w:r>
      <w:r w:rsidR="00626D74" w:rsidRPr="00C86111">
        <w:rPr>
          <w:rFonts w:asciiTheme="minorHAnsi" w:eastAsia="Times New Roman" w:hAnsiTheme="minorHAnsi" w:cstheme="minorHAnsi"/>
          <w:b/>
          <w:bCs/>
          <w:color w:val="auto"/>
          <w:lang w:eastAsia="en-GB"/>
        </w:rPr>
        <w:t>85</w:t>
      </w:r>
      <w:r w:rsidRPr="00C86111">
        <w:rPr>
          <w:rFonts w:asciiTheme="minorHAnsi" w:eastAsia="Times New Roman" w:hAnsiTheme="minorHAnsi" w:cstheme="minorHAnsi"/>
          <w:b/>
          <w:bCs/>
          <w:color w:val="auto"/>
          <w:lang w:eastAsia="en-GB"/>
        </w:rPr>
        <w:t>:</w:t>
      </w:r>
      <w:r w:rsidRPr="00C86111">
        <w:rPr>
          <w:rFonts w:asciiTheme="minorHAnsi" w:eastAsia="Times New Roman" w:hAnsiTheme="minorHAnsi" w:cstheme="minorHAnsi"/>
          <w:color w:val="auto"/>
          <w:lang w:eastAsia="en-GB"/>
        </w:rPr>
        <w:t xml:space="preserve"> Pregled broja analiziranih uzoraka i uzoraka sa potvrđenim prisustvom PFOA i PFHxS</w:t>
      </w:r>
    </w:p>
    <w:tbl>
      <w:tblPr>
        <w:tblStyle w:val="GridTable5Dark-Accent6"/>
        <w:tblW w:w="9535" w:type="dxa"/>
        <w:tblLayout w:type="fixed"/>
        <w:tblLook w:val="04A0" w:firstRow="1" w:lastRow="0" w:firstColumn="1" w:lastColumn="0" w:noHBand="0" w:noVBand="1"/>
      </w:tblPr>
      <w:tblGrid>
        <w:gridCol w:w="4027"/>
        <w:gridCol w:w="2499"/>
        <w:gridCol w:w="3009"/>
      </w:tblGrid>
      <w:tr w:rsidR="002B20A9" w:rsidRPr="00C86111" w14:paraId="64113BC5" w14:textId="77777777" w:rsidTr="002A416E">
        <w:trPr>
          <w:cnfStyle w:val="100000000000" w:firstRow="1" w:lastRow="0" w:firstColumn="0" w:lastColumn="0" w:oddVBand="0" w:evenVBand="0" w:oddHBand="0" w:evenHBand="0" w:firstRowFirstColumn="0" w:firstRowLastColumn="0" w:lastRowFirstColumn="0" w:lastRowLastColumn="0"/>
          <w:trHeight w:hRule="exact" w:val="489"/>
        </w:trPr>
        <w:tc>
          <w:tcPr>
            <w:cnfStyle w:val="001000000000" w:firstRow="0" w:lastRow="0" w:firstColumn="1" w:lastColumn="0" w:oddVBand="0" w:evenVBand="0" w:oddHBand="0" w:evenHBand="0" w:firstRowFirstColumn="0" w:firstRowLastColumn="0" w:lastRowFirstColumn="0" w:lastRowLastColumn="0"/>
            <w:tcW w:w="4027" w:type="dxa"/>
            <w:noWrap/>
            <w:vAlign w:val="center"/>
          </w:tcPr>
          <w:p w14:paraId="2B3E0AA5" w14:textId="77777777" w:rsidR="002B20A9" w:rsidRPr="00C86111" w:rsidRDefault="002B20A9" w:rsidP="002A416E">
            <w:pPr>
              <w:jc w:val="center"/>
              <w:rPr>
                <w:rFonts w:asciiTheme="minorHAnsi" w:hAnsiTheme="minorHAnsi" w:cstheme="minorHAnsi"/>
                <w:color w:val="auto"/>
                <w:sz w:val="20"/>
                <w:szCs w:val="20"/>
              </w:rPr>
            </w:pPr>
          </w:p>
        </w:tc>
        <w:tc>
          <w:tcPr>
            <w:tcW w:w="2499" w:type="dxa"/>
            <w:noWrap/>
            <w:vAlign w:val="center"/>
          </w:tcPr>
          <w:p w14:paraId="062B2201"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PFOA</w:t>
            </w:r>
          </w:p>
        </w:tc>
        <w:tc>
          <w:tcPr>
            <w:tcW w:w="3009" w:type="dxa"/>
            <w:vAlign w:val="center"/>
          </w:tcPr>
          <w:p w14:paraId="3FC42D78"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PFHxS</w:t>
            </w:r>
          </w:p>
        </w:tc>
      </w:tr>
      <w:tr w:rsidR="002B20A9" w:rsidRPr="00C86111" w14:paraId="453FA000" w14:textId="77777777" w:rsidTr="002A41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4027" w:type="dxa"/>
            <w:noWrap/>
            <w:vAlign w:val="center"/>
          </w:tcPr>
          <w:p w14:paraId="042ED2FB"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Analizirani uzorci</w:t>
            </w:r>
          </w:p>
        </w:tc>
        <w:tc>
          <w:tcPr>
            <w:tcW w:w="2499" w:type="dxa"/>
            <w:noWrap/>
            <w:vAlign w:val="center"/>
          </w:tcPr>
          <w:p w14:paraId="13609591"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41</w:t>
            </w:r>
          </w:p>
        </w:tc>
        <w:tc>
          <w:tcPr>
            <w:tcW w:w="3009" w:type="dxa"/>
            <w:vAlign w:val="center"/>
          </w:tcPr>
          <w:p w14:paraId="7B569FD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41</w:t>
            </w:r>
          </w:p>
        </w:tc>
      </w:tr>
      <w:tr w:rsidR="002B20A9" w:rsidRPr="00C86111" w14:paraId="6581B872" w14:textId="77777777" w:rsidTr="002A416E">
        <w:trPr>
          <w:trHeight w:hRule="exact" w:val="432"/>
        </w:trPr>
        <w:tc>
          <w:tcPr>
            <w:cnfStyle w:val="001000000000" w:firstRow="0" w:lastRow="0" w:firstColumn="1" w:lastColumn="0" w:oddVBand="0" w:evenVBand="0" w:oddHBand="0" w:evenHBand="0" w:firstRowFirstColumn="0" w:firstRowLastColumn="0" w:lastRowFirstColumn="0" w:lastRowLastColumn="0"/>
            <w:tcW w:w="4027" w:type="dxa"/>
            <w:noWrap/>
            <w:vAlign w:val="center"/>
          </w:tcPr>
          <w:p w14:paraId="34E9FB30"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Uzorci sa prisustvom PFOA/PFHxS</w:t>
            </w:r>
          </w:p>
        </w:tc>
        <w:tc>
          <w:tcPr>
            <w:tcW w:w="2499" w:type="dxa"/>
            <w:noWrap/>
            <w:vAlign w:val="center"/>
          </w:tcPr>
          <w:p w14:paraId="0F563C74"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13</w:t>
            </w:r>
          </w:p>
        </w:tc>
        <w:tc>
          <w:tcPr>
            <w:tcW w:w="3009" w:type="dxa"/>
            <w:vAlign w:val="center"/>
          </w:tcPr>
          <w:p w14:paraId="7A59E3B6"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w:t>
            </w:r>
          </w:p>
        </w:tc>
      </w:tr>
      <w:tr w:rsidR="002B20A9" w:rsidRPr="00C86111" w14:paraId="488723BD" w14:textId="77777777" w:rsidTr="002A416E">
        <w:trPr>
          <w:cnfStyle w:val="000000100000" w:firstRow="0" w:lastRow="0" w:firstColumn="0" w:lastColumn="0" w:oddVBand="0" w:evenVBand="0" w:oddHBand="1" w:evenHBand="0" w:firstRowFirstColumn="0" w:firstRowLastColumn="0" w:lastRowFirstColumn="0" w:lastRowLastColumn="0"/>
          <w:trHeight w:hRule="exact" w:val="657"/>
        </w:trPr>
        <w:tc>
          <w:tcPr>
            <w:cnfStyle w:val="001000000000" w:firstRow="0" w:lastRow="0" w:firstColumn="1" w:lastColumn="0" w:oddVBand="0" w:evenVBand="0" w:oddHBand="0" w:evenHBand="0" w:firstRowFirstColumn="0" w:firstRowLastColumn="0" w:lastRowFirstColumn="0" w:lastRowLastColumn="0"/>
            <w:tcW w:w="4027" w:type="dxa"/>
            <w:noWrap/>
            <w:vAlign w:val="center"/>
          </w:tcPr>
          <w:p w14:paraId="3C8DED04"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Uzorci koji prelaze propisano regulatorno ograničenje</w:t>
            </w:r>
          </w:p>
          <w:p w14:paraId="2BCA991B" w14:textId="77777777" w:rsidR="002B20A9" w:rsidRPr="00C86111" w:rsidRDefault="002B20A9" w:rsidP="002A416E">
            <w:pPr>
              <w:jc w:val="center"/>
              <w:rPr>
                <w:rFonts w:asciiTheme="minorHAnsi" w:hAnsiTheme="minorHAnsi" w:cstheme="minorHAnsi"/>
                <w:color w:val="auto"/>
                <w:sz w:val="20"/>
                <w:szCs w:val="20"/>
              </w:rPr>
            </w:pPr>
          </w:p>
        </w:tc>
        <w:tc>
          <w:tcPr>
            <w:tcW w:w="2499" w:type="dxa"/>
            <w:noWrap/>
            <w:vAlign w:val="center"/>
          </w:tcPr>
          <w:p w14:paraId="166074CE"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c>
          <w:tcPr>
            <w:tcW w:w="3009" w:type="dxa"/>
            <w:vAlign w:val="center"/>
          </w:tcPr>
          <w:p w14:paraId="0D6DCE11"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w:t>
            </w:r>
          </w:p>
        </w:tc>
      </w:tr>
    </w:tbl>
    <w:p w14:paraId="0372E108" w14:textId="77777777" w:rsidR="002B20A9" w:rsidRPr="00C86111" w:rsidRDefault="002B20A9" w:rsidP="002B20A9">
      <w:pPr>
        <w:jc w:val="both"/>
        <w:rPr>
          <w:rFonts w:asciiTheme="minorHAnsi" w:hAnsiTheme="minorHAnsi" w:cstheme="minorHAnsi"/>
          <w:color w:val="auto"/>
        </w:rPr>
      </w:pPr>
    </w:p>
    <w:p w14:paraId="692F9B70" w14:textId="49F68D8F"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Tabela </w:t>
      </w:r>
      <w:r w:rsidR="00626D74" w:rsidRPr="00C86111">
        <w:rPr>
          <w:rFonts w:asciiTheme="minorHAnsi" w:eastAsia="Times New Roman" w:hAnsiTheme="minorHAnsi" w:cstheme="minorHAnsi"/>
          <w:color w:val="auto"/>
          <w:lang w:eastAsia="en-GB"/>
        </w:rPr>
        <w:t>86.</w:t>
      </w:r>
      <w:r w:rsidRPr="00C86111">
        <w:rPr>
          <w:rFonts w:asciiTheme="minorHAnsi" w:eastAsia="Times New Roman" w:hAnsiTheme="minorHAnsi" w:cstheme="minorHAnsi"/>
          <w:color w:val="auto"/>
          <w:lang w:eastAsia="en-GB"/>
        </w:rPr>
        <w:t xml:space="preserve"> daje prikaz sadržaja PFOA i PFHxS utvrđenog u uzorcima protivpožarnih pjena prikupljenim iz različitih vatrogasnih jedinica. Prikazani podaci pružaju uvid u nivoe ovih postojanih organskih zagađujućih materija prisutnih u formulacijama pjena koje se trenutno skladište ili koriste u različitim operativnim jedinicama.</w:t>
      </w:r>
    </w:p>
    <w:p w14:paraId="626B05FB" w14:textId="77777777" w:rsidR="002B20A9" w:rsidRPr="00C86111" w:rsidRDefault="002B20A9" w:rsidP="002B20A9">
      <w:pPr>
        <w:jc w:val="both"/>
        <w:rPr>
          <w:rFonts w:asciiTheme="minorHAnsi" w:eastAsia="Times New Roman" w:hAnsiTheme="minorHAnsi" w:cstheme="minorHAnsi"/>
          <w:color w:val="auto"/>
          <w:lang w:eastAsia="en-GB"/>
        </w:rPr>
      </w:pPr>
    </w:p>
    <w:p w14:paraId="3ED15669" w14:textId="2731C1C5"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b/>
          <w:bCs/>
          <w:color w:val="auto"/>
          <w:lang w:eastAsia="en-GB"/>
        </w:rPr>
        <w:t xml:space="preserve">Tabela </w:t>
      </w:r>
      <w:r w:rsidR="00626D74" w:rsidRPr="00C86111">
        <w:rPr>
          <w:rFonts w:asciiTheme="minorHAnsi" w:eastAsia="Times New Roman" w:hAnsiTheme="minorHAnsi" w:cstheme="minorHAnsi"/>
          <w:b/>
          <w:bCs/>
          <w:color w:val="auto"/>
          <w:lang w:eastAsia="en-GB"/>
        </w:rPr>
        <w:t>86</w:t>
      </w:r>
      <w:r w:rsidRPr="00C86111">
        <w:rPr>
          <w:rFonts w:asciiTheme="minorHAnsi" w:eastAsia="Times New Roman" w:hAnsiTheme="minorHAnsi" w:cstheme="minorHAnsi"/>
          <w:b/>
          <w:bCs/>
          <w:color w:val="auto"/>
          <w:lang w:eastAsia="en-GB"/>
        </w:rPr>
        <w:t>:</w:t>
      </w:r>
      <w:r w:rsidRPr="00C86111">
        <w:rPr>
          <w:rFonts w:asciiTheme="minorHAnsi" w:eastAsia="Times New Roman" w:hAnsiTheme="minorHAnsi" w:cstheme="minorHAnsi"/>
          <w:color w:val="auto"/>
          <w:lang w:eastAsia="en-GB"/>
        </w:rPr>
        <w:t xml:space="preserve"> Sadržaj PFOA i PFHxS u protivpožarnim pjenama iz skladišnih objekata i vatrogasnih vozila vatrogasnih jedinica.</w:t>
      </w:r>
    </w:p>
    <w:p w14:paraId="4173B29F" w14:textId="77777777" w:rsidR="00626D74" w:rsidRPr="00C86111" w:rsidRDefault="00626D74" w:rsidP="002B20A9">
      <w:pPr>
        <w:jc w:val="both"/>
        <w:rPr>
          <w:rFonts w:asciiTheme="minorHAnsi" w:eastAsia="Times New Roman" w:hAnsiTheme="minorHAnsi" w:cstheme="minorHAnsi"/>
          <w:color w:val="auto"/>
          <w:lang w:eastAsia="en-GB"/>
        </w:rPr>
      </w:pPr>
    </w:p>
    <w:tbl>
      <w:tblPr>
        <w:tblStyle w:val="GridTable5Dark-Accent6"/>
        <w:tblW w:w="9535" w:type="dxa"/>
        <w:tblLayout w:type="fixed"/>
        <w:tblLook w:val="04A0" w:firstRow="1" w:lastRow="0" w:firstColumn="1" w:lastColumn="0" w:noHBand="0" w:noVBand="1"/>
      </w:tblPr>
      <w:tblGrid>
        <w:gridCol w:w="2696"/>
        <w:gridCol w:w="2696"/>
        <w:gridCol w:w="1824"/>
        <w:gridCol w:w="2319"/>
      </w:tblGrid>
      <w:tr w:rsidR="002B20A9" w:rsidRPr="00C86111" w14:paraId="5EC25EB0" w14:textId="77777777" w:rsidTr="002A416E">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696" w:type="dxa"/>
            <w:vAlign w:val="center"/>
          </w:tcPr>
          <w:p w14:paraId="399BF298" w14:textId="77777777" w:rsidR="002B20A9" w:rsidRPr="00C86111" w:rsidRDefault="002B20A9" w:rsidP="00BC765B">
            <w:pPr>
              <w:jc w:val="both"/>
              <w:rPr>
                <w:rFonts w:asciiTheme="minorHAnsi" w:eastAsia="Times New Roman" w:hAnsiTheme="minorHAnsi" w:cstheme="minorHAnsi"/>
                <w:b w:val="0"/>
                <w:bCs w:val="0"/>
                <w:color w:val="auto"/>
                <w:sz w:val="20"/>
                <w:szCs w:val="20"/>
                <w:lang w:eastAsia="en-GB"/>
              </w:rPr>
            </w:pPr>
            <w:r w:rsidRPr="00C86111">
              <w:rPr>
                <w:rStyle w:val="Strong"/>
                <w:rFonts w:asciiTheme="minorHAnsi" w:hAnsiTheme="minorHAnsi" w:cstheme="minorHAnsi"/>
                <w:b/>
                <w:bCs/>
                <w:color w:val="auto"/>
                <w:sz w:val="20"/>
                <w:szCs w:val="20"/>
              </w:rPr>
              <w:t>Vatrogasna jedinica</w:t>
            </w:r>
          </w:p>
        </w:tc>
        <w:tc>
          <w:tcPr>
            <w:tcW w:w="2696" w:type="dxa"/>
            <w:vAlign w:val="center"/>
            <w:hideMark/>
          </w:tcPr>
          <w:p w14:paraId="2EB67ABA"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auto"/>
                <w:sz w:val="20"/>
                <w:szCs w:val="20"/>
                <w:lang w:eastAsia="en-GB"/>
              </w:rPr>
            </w:pPr>
            <w:r w:rsidRPr="00C86111">
              <w:rPr>
                <w:rStyle w:val="Strong"/>
                <w:rFonts w:asciiTheme="minorHAnsi" w:hAnsiTheme="minorHAnsi" w:cstheme="minorHAnsi"/>
                <w:b/>
                <w:bCs/>
                <w:color w:val="auto"/>
                <w:sz w:val="20"/>
                <w:szCs w:val="20"/>
              </w:rPr>
              <w:t>Ukupna količina (L) protivpožarne pjene</w:t>
            </w:r>
          </w:p>
        </w:tc>
        <w:tc>
          <w:tcPr>
            <w:tcW w:w="1824" w:type="dxa"/>
            <w:vAlign w:val="center"/>
            <w:hideMark/>
          </w:tcPr>
          <w:p w14:paraId="298EEC51" w14:textId="2AE10016" w:rsidR="002B20A9" w:rsidRPr="00C86111" w:rsidRDefault="00E71878"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auto"/>
                <w:sz w:val="20"/>
                <w:szCs w:val="20"/>
                <w:lang w:eastAsia="en-GB"/>
              </w:rPr>
            </w:pPr>
            <w:r w:rsidRPr="00C86111">
              <w:rPr>
                <w:rStyle w:val="Strong"/>
                <w:rFonts w:asciiTheme="minorHAnsi" w:hAnsiTheme="minorHAnsi" w:cstheme="minorHAnsi"/>
                <w:b/>
                <w:bCs/>
                <w:color w:val="auto"/>
                <w:sz w:val="20"/>
                <w:szCs w:val="20"/>
              </w:rPr>
              <w:t>Količina</w:t>
            </w:r>
            <w:r w:rsidR="002B20A9" w:rsidRPr="00C86111">
              <w:rPr>
                <w:rStyle w:val="Strong"/>
                <w:rFonts w:asciiTheme="minorHAnsi" w:hAnsiTheme="minorHAnsi" w:cstheme="minorHAnsi"/>
                <w:b/>
                <w:bCs/>
                <w:color w:val="auto"/>
                <w:sz w:val="20"/>
                <w:szCs w:val="20"/>
              </w:rPr>
              <w:t xml:space="preserve"> PFOA (g)</w:t>
            </w:r>
          </w:p>
        </w:tc>
        <w:tc>
          <w:tcPr>
            <w:tcW w:w="2319" w:type="dxa"/>
            <w:vAlign w:val="center"/>
          </w:tcPr>
          <w:p w14:paraId="6B0CA27C" w14:textId="04FED8FA" w:rsidR="002B20A9" w:rsidRPr="00C86111" w:rsidRDefault="00E71878" w:rsidP="00E71878">
            <w:pPr>
              <w:jc w:val="cente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cstheme="minorHAnsi"/>
                <w:b/>
                <w:bCs/>
                <w:color w:val="auto"/>
                <w:sz w:val="20"/>
                <w:szCs w:val="20"/>
              </w:rPr>
            </w:pPr>
            <w:r w:rsidRPr="00C86111">
              <w:rPr>
                <w:rStyle w:val="Strong"/>
                <w:rFonts w:asciiTheme="minorHAnsi" w:hAnsiTheme="minorHAnsi" w:cstheme="minorHAnsi"/>
                <w:b/>
                <w:bCs/>
                <w:color w:val="auto"/>
                <w:sz w:val="20"/>
                <w:szCs w:val="20"/>
              </w:rPr>
              <w:t>Količina</w:t>
            </w:r>
            <w:r w:rsidR="002B20A9" w:rsidRPr="00C86111">
              <w:rPr>
                <w:rStyle w:val="Strong"/>
                <w:rFonts w:asciiTheme="minorHAnsi" w:hAnsiTheme="minorHAnsi" w:cstheme="minorHAnsi"/>
                <w:b/>
                <w:bCs/>
                <w:color w:val="auto"/>
                <w:sz w:val="20"/>
                <w:szCs w:val="20"/>
              </w:rPr>
              <w:t xml:space="preserve"> PFHxS (g)</w:t>
            </w:r>
          </w:p>
        </w:tc>
      </w:tr>
      <w:tr w:rsidR="002B20A9" w:rsidRPr="00C86111" w14:paraId="4B89DFAB" w14:textId="77777777" w:rsidTr="002A416E">
        <w:trPr>
          <w:cnfStyle w:val="000000100000" w:firstRow="0" w:lastRow="0" w:firstColumn="0" w:lastColumn="0" w:oddVBand="0" w:evenVBand="0" w:oddHBand="1" w:evenHBand="0" w:firstRowFirstColumn="0" w:firstRowLastColumn="0" w:lastRowFirstColumn="0" w:lastRowLastColumn="0"/>
          <w:trHeight w:hRule="exact" w:val="570"/>
        </w:trPr>
        <w:tc>
          <w:tcPr>
            <w:cnfStyle w:val="001000000000" w:firstRow="0" w:lastRow="0" w:firstColumn="1" w:lastColumn="0" w:oddVBand="0" w:evenVBand="0" w:oddHBand="0" w:evenHBand="0" w:firstRowFirstColumn="0" w:firstRowLastColumn="0" w:lastRowFirstColumn="0" w:lastRowLastColumn="0"/>
            <w:tcW w:w="2696" w:type="dxa"/>
            <w:vAlign w:val="center"/>
          </w:tcPr>
          <w:p w14:paraId="61B778A7" w14:textId="77777777" w:rsidR="002B20A9" w:rsidRPr="00C86111" w:rsidRDefault="002B20A9" w:rsidP="00BC765B">
            <w:pPr>
              <w:jc w:val="both"/>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Opštinske službe zaštite i spašavanja</w:t>
            </w:r>
          </w:p>
        </w:tc>
        <w:tc>
          <w:tcPr>
            <w:tcW w:w="2696" w:type="dxa"/>
            <w:noWrap/>
            <w:vAlign w:val="center"/>
          </w:tcPr>
          <w:p w14:paraId="569C7C07"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FF0000"/>
                <w:sz w:val="20"/>
                <w:szCs w:val="20"/>
                <w:lang w:eastAsia="en-GB"/>
              </w:rPr>
            </w:pPr>
            <w:r w:rsidRPr="00C86111">
              <w:rPr>
                <w:rFonts w:asciiTheme="minorHAnsi" w:eastAsia="Times New Roman" w:hAnsiTheme="minorHAnsi" w:cstheme="minorHAnsi"/>
                <w:color w:val="auto"/>
                <w:sz w:val="20"/>
                <w:szCs w:val="20"/>
                <w:lang w:eastAsia="en-GB"/>
              </w:rPr>
              <w:t>8150</w:t>
            </w:r>
          </w:p>
        </w:tc>
        <w:tc>
          <w:tcPr>
            <w:tcW w:w="1824" w:type="dxa"/>
            <w:noWrap/>
            <w:vAlign w:val="center"/>
          </w:tcPr>
          <w:p w14:paraId="4C4EFED2"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1.5</w:t>
            </w:r>
          </w:p>
        </w:tc>
        <w:tc>
          <w:tcPr>
            <w:tcW w:w="2319" w:type="dxa"/>
            <w:vAlign w:val="center"/>
          </w:tcPr>
          <w:p w14:paraId="0D9295CF"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0.0</w:t>
            </w:r>
          </w:p>
        </w:tc>
      </w:tr>
      <w:tr w:rsidR="002B20A9" w:rsidRPr="00C86111" w14:paraId="08606EAF" w14:textId="77777777" w:rsidTr="002A416E">
        <w:trPr>
          <w:trHeight w:hRule="exact" w:val="363"/>
        </w:trPr>
        <w:tc>
          <w:tcPr>
            <w:cnfStyle w:val="001000000000" w:firstRow="0" w:lastRow="0" w:firstColumn="1" w:lastColumn="0" w:oddVBand="0" w:evenVBand="0" w:oddHBand="0" w:evenHBand="0" w:firstRowFirstColumn="0" w:firstRowLastColumn="0" w:lastRowFirstColumn="0" w:lastRowLastColumn="0"/>
            <w:tcW w:w="2696" w:type="dxa"/>
            <w:vAlign w:val="center"/>
          </w:tcPr>
          <w:p w14:paraId="0356892D" w14:textId="77777777" w:rsidR="002B20A9" w:rsidRPr="00C86111" w:rsidRDefault="002B20A9" w:rsidP="00BC765B">
            <w:pPr>
              <w:jc w:val="both"/>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Ostali subjekti</w:t>
            </w:r>
          </w:p>
        </w:tc>
        <w:tc>
          <w:tcPr>
            <w:tcW w:w="2696" w:type="dxa"/>
            <w:noWrap/>
            <w:vAlign w:val="center"/>
          </w:tcPr>
          <w:p w14:paraId="29D945F6"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0000"/>
                <w:sz w:val="20"/>
                <w:szCs w:val="20"/>
                <w:lang w:eastAsia="en-GB"/>
              </w:rPr>
            </w:pPr>
            <w:r w:rsidRPr="00C86111">
              <w:rPr>
                <w:rFonts w:asciiTheme="minorHAnsi" w:eastAsia="Times New Roman" w:hAnsiTheme="minorHAnsi" w:cstheme="minorHAnsi"/>
                <w:color w:val="auto"/>
                <w:sz w:val="20"/>
                <w:szCs w:val="20"/>
                <w:lang w:eastAsia="en-GB"/>
              </w:rPr>
              <w:t>6200</w:t>
            </w:r>
          </w:p>
        </w:tc>
        <w:tc>
          <w:tcPr>
            <w:tcW w:w="1824" w:type="dxa"/>
            <w:noWrap/>
            <w:vAlign w:val="center"/>
          </w:tcPr>
          <w:p w14:paraId="0F5DB434"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3.9</w:t>
            </w:r>
          </w:p>
        </w:tc>
        <w:tc>
          <w:tcPr>
            <w:tcW w:w="2319" w:type="dxa"/>
            <w:vAlign w:val="center"/>
          </w:tcPr>
          <w:p w14:paraId="18D6ED75" w14:textId="77777777" w:rsidR="002B20A9" w:rsidRPr="00C86111" w:rsidRDefault="002B20A9" w:rsidP="00E71878">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32</w:t>
            </w:r>
          </w:p>
        </w:tc>
      </w:tr>
      <w:tr w:rsidR="002B20A9" w:rsidRPr="00C86111" w14:paraId="5B909A6F" w14:textId="77777777" w:rsidTr="002A416E">
        <w:trPr>
          <w:cnfStyle w:val="000000100000" w:firstRow="0" w:lastRow="0" w:firstColumn="0" w:lastColumn="0" w:oddVBand="0" w:evenVBand="0" w:oddHBand="1" w:evenHBand="0" w:firstRowFirstColumn="0" w:firstRowLastColumn="0" w:lastRowFirstColumn="0" w:lastRowLastColumn="0"/>
          <w:trHeight w:hRule="exact" w:val="363"/>
        </w:trPr>
        <w:tc>
          <w:tcPr>
            <w:cnfStyle w:val="001000000000" w:firstRow="0" w:lastRow="0" w:firstColumn="1" w:lastColumn="0" w:oddVBand="0" w:evenVBand="0" w:oddHBand="0" w:evenHBand="0" w:firstRowFirstColumn="0" w:firstRowLastColumn="0" w:lastRowFirstColumn="0" w:lastRowLastColumn="0"/>
            <w:tcW w:w="2696" w:type="dxa"/>
            <w:vAlign w:val="center"/>
          </w:tcPr>
          <w:p w14:paraId="7682E67E" w14:textId="77777777" w:rsidR="002B20A9" w:rsidRPr="00C86111" w:rsidRDefault="002B20A9" w:rsidP="00BC765B">
            <w:pPr>
              <w:jc w:val="both"/>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Total</w:t>
            </w:r>
          </w:p>
        </w:tc>
        <w:tc>
          <w:tcPr>
            <w:tcW w:w="2696" w:type="dxa"/>
            <w:noWrap/>
            <w:vAlign w:val="center"/>
          </w:tcPr>
          <w:p w14:paraId="16D17573"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14350</w:t>
            </w:r>
          </w:p>
        </w:tc>
        <w:tc>
          <w:tcPr>
            <w:tcW w:w="1824" w:type="dxa"/>
            <w:noWrap/>
            <w:vAlign w:val="center"/>
          </w:tcPr>
          <w:p w14:paraId="7C93720C"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5.4</w:t>
            </w:r>
          </w:p>
        </w:tc>
        <w:tc>
          <w:tcPr>
            <w:tcW w:w="2319" w:type="dxa"/>
            <w:vAlign w:val="center"/>
          </w:tcPr>
          <w:p w14:paraId="3F8B3C2F" w14:textId="77777777" w:rsidR="002B20A9" w:rsidRPr="00C86111" w:rsidRDefault="002B20A9" w:rsidP="00E7187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eastAsia="en-GB"/>
              </w:rPr>
            </w:pPr>
            <w:r w:rsidRPr="00C86111">
              <w:rPr>
                <w:rFonts w:asciiTheme="minorHAnsi" w:eastAsia="Times New Roman" w:hAnsiTheme="minorHAnsi" w:cstheme="minorHAnsi"/>
                <w:color w:val="auto"/>
                <w:sz w:val="20"/>
                <w:szCs w:val="20"/>
                <w:lang w:eastAsia="en-GB"/>
              </w:rPr>
              <w:t>32</w:t>
            </w:r>
          </w:p>
        </w:tc>
      </w:tr>
    </w:tbl>
    <w:p w14:paraId="5666810A" w14:textId="77777777" w:rsidR="002B20A9" w:rsidRPr="00C86111" w:rsidRDefault="002B20A9" w:rsidP="00004F34">
      <w:pPr>
        <w:pStyle w:val="Heading1"/>
        <w:numPr>
          <w:ilvl w:val="1"/>
          <w:numId w:val="238"/>
        </w:numPr>
        <w:rPr>
          <w:lang w:eastAsia="en-GB"/>
        </w:rPr>
      </w:pPr>
      <w:bookmarkStart w:id="358" w:name="_Toc220541954"/>
      <w:r w:rsidRPr="00C86111">
        <w:rPr>
          <w:lang w:eastAsia="en-GB"/>
        </w:rPr>
        <w:lastRenderedPageBreak/>
        <w:t>Zaključak – PFOA i PFHxS u protivpožarnim pjenama</w:t>
      </w:r>
      <w:bookmarkEnd w:id="358"/>
    </w:p>
    <w:p w14:paraId="269031ED" w14:textId="77777777" w:rsidR="00626D74" w:rsidRPr="00C86111" w:rsidRDefault="00626D74" w:rsidP="002B20A9">
      <w:pPr>
        <w:ind w:firstLine="720"/>
        <w:jc w:val="both"/>
        <w:rPr>
          <w:rFonts w:asciiTheme="minorHAnsi" w:eastAsia="Times New Roman" w:hAnsiTheme="minorHAnsi" w:cstheme="minorHAnsi"/>
          <w:color w:val="auto"/>
          <w:lang w:eastAsia="en-GB"/>
        </w:rPr>
      </w:pPr>
    </w:p>
    <w:p w14:paraId="51F340C2" w14:textId="793CA4EE" w:rsidR="002B20A9" w:rsidRPr="00C86111" w:rsidRDefault="002B20A9" w:rsidP="002B20A9">
      <w:pPr>
        <w:ind w:firstLine="720"/>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Sprovedena inventarizacija i analitička procjena protivpožarnih pjena u Crnoj Gori potvrdila je prisustvo perfluorooktanoične kiseline (PFOA) i perfluoroheksanske sulfonatne kiseline (PFHxS) u značajnom broju analiziranih uzoraka. Od ukupno 41 uzorka protivpožarne pjene koji su bili predmet laboratorijskog ispitivanja, 13 uzoraka sadržavalo je PFOA, a 4 uzorka PFHxS, pri čemu je u 11 uzoraka PFOA i 4 uzorka PFHxS utvrđeno prekoračenje zakonski propisanih regulatornih granica.</w:t>
      </w:r>
    </w:p>
    <w:p w14:paraId="7C0841AB" w14:textId="77777777" w:rsidR="002B20A9" w:rsidRPr="00C86111" w:rsidRDefault="002B20A9" w:rsidP="002B20A9">
      <w:pPr>
        <w:ind w:firstLine="720"/>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Ukupne količine ovih supstanci identifikovane u ispitivanim uzorcima pjena iznosile su 5,4 grama PFOA i 32 grama PFHxS, raspoređenih u 29.710 litara pjene. Iako se apsolutne količine mogu činiti ograničenim, njihova perzistentnost, bioakumulativna priroda i poznata toksična svojstva ukazuju na značajne rizike povezane sa njihovim nastavkom prisustva u radu vatrogasnih službi.</w:t>
      </w:r>
    </w:p>
    <w:p w14:paraId="63CC2C3D" w14:textId="77777777" w:rsidR="002B20A9" w:rsidRPr="00C86111" w:rsidRDefault="002B20A9" w:rsidP="002B20A9">
      <w:pPr>
        <w:ind w:firstLine="720"/>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Nalazi posebno ukazuju na zabrinjavajuće slučajeve na Aerodromu Tivat, kao i u pojedinim opštinskim i dobrovoljnim vatrogasnim jedinicama (Bar, Tivat, Bijelo Polje, Bijela, Perast, Krtoli), gdje su koncentracije PFOA premašile regulatorno propisane vrijednosti. Ovakvi rezultati potvrđuju da stare zalihe pjena, naročito one iz ranijih generacija, još uvijek cirkulišu u upotrebi i predstavljaju trajni rizik od kontaminacije životne sredine.</w:t>
      </w:r>
    </w:p>
    <w:p w14:paraId="2ACA0863" w14:textId="77777777" w:rsidR="002B20A9" w:rsidRPr="00C86111" w:rsidRDefault="002B20A9" w:rsidP="002B20A9">
      <w:pPr>
        <w:ind w:firstLine="720"/>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Iako je PFHxS otkriven rjeđe nego PFOA, izmjerene koncentracije koje prelaze zakonske granice predstavljaju značajan ekološki i regulatorni problem, naročito u specijalizovanim vatrogasnim službama. Situaciju dodatno pogoršava prisustvo pjena kojima je istekao rok upotrebe, kao i nedostatak adekvatnih kanala za njihovo zbrinjavanje, što povećava rizik od nekontrolisanog ispuštanja ovih supstanci tokom skladištenja, obuke ili operativne upotrebe.</w:t>
      </w:r>
    </w:p>
    <w:p w14:paraId="23B08AD8" w14:textId="77777777" w:rsidR="002B20A9" w:rsidRPr="00C86111" w:rsidRDefault="002B20A9" w:rsidP="002B20A9">
      <w:pPr>
        <w:ind w:firstLine="720"/>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 skladu sa nacionalnim propisima Crne Gore, koji su usklađeni sa okvirom Evropske unije o postojanim organskim zagađujućim materijama (POPs) – posebno Uredbom (EU) 2019/1021, Delegiranom uredbom (EU) 2020/784 (PFOA) i Delegiranom uredbom (EU) 2023/1608 (PFHxS) – nastavak upotrebe i skladištenja ovih pjena nije u skladu sa važećim zakonskim obavezama. Njihovo zadržavanje u sistemima službi zaštite i spašavanja ukazuje na nedostatke u sprovođenju i nadzoru primjene propisa.</w:t>
      </w:r>
    </w:p>
    <w:p w14:paraId="46CB41E2" w14:textId="77777777" w:rsidR="002B20A9" w:rsidRPr="00C86111" w:rsidRDefault="002B20A9" w:rsidP="002B20A9">
      <w:pPr>
        <w:ind w:firstLine="720"/>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 obzirom na činjenicu da su određene količine protivpožarnih pjena isteklog roka upotrebe, neophodno je izraditi plan za njihovo pravilno odlaganje, u skladu sa:</w:t>
      </w:r>
    </w:p>
    <w:p w14:paraId="7EAB4487" w14:textId="77777777" w:rsidR="002B20A9" w:rsidRPr="00C86111" w:rsidRDefault="002B20A9" w:rsidP="00004F34">
      <w:pPr>
        <w:pStyle w:val="ListParagraph"/>
        <w:numPr>
          <w:ilvl w:val="0"/>
          <w:numId w:val="153"/>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Zakonom o upravljanju otpadom („Službeni list Crne Gore“, br. 034/24, 092/24), i</w:t>
      </w:r>
    </w:p>
    <w:p w14:paraId="0B70EF8C" w14:textId="77777777" w:rsidR="002B20A9" w:rsidRPr="00C86111" w:rsidRDefault="002B20A9" w:rsidP="00004F34">
      <w:pPr>
        <w:pStyle w:val="ListParagraph"/>
        <w:numPr>
          <w:ilvl w:val="0"/>
          <w:numId w:val="153"/>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Pravilnikom o listi POPs supstanci, načinu i postupku upravljanja otpadom koji sadrži POPs supstance, te graničnim vrijednostima koncentracija POPs supstanci koje se odnose na obradu i odlaganje otpada koji sadrži ili je kontaminiran POPs supstancama („Službeni list Crne Gore“, br. 098/24).</w:t>
      </w:r>
    </w:p>
    <w:p w14:paraId="06A2951F" w14:textId="77777777" w:rsidR="002B20A9" w:rsidRPr="00C86111" w:rsidRDefault="002B20A9" w:rsidP="002B20A9">
      <w:pPr>
        <w:ind w:firstLine="360"/>
        <w:jc w:val="both"/>
        <w:rPr>
          <w:rFonts w:asciiTheme="minorHAnsi" w:eastAsia="Times New Roman" w:hAnsiTheme="minorHAnsi" w:cstheme="minorHAnsi"/>
          <w:color w:val="auto"/>
          <w:lang w:eastAsia="en-GB"/>
        </w:rPr>
      </w:pPr>
    </w:p>
    <w:p w14:paraId="263F6FC6" w14:textId="77777777" w:rsidR="002B20A9" w:rsidRPr="00C86111" w:rsidRDefault="002B20A9" w:rsidP="002B20A9">
      <w:pPr>
        <w:ind w:firstLine="360"/>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 zaključku, iako su apsolutne količine PFOA i PFHxS identifikovane u Crnoj Gori relativno male u poređenju sa globalnim podacima, njihovo prisustvo iznad regulatornih granica u više vatrogasnih službi predstavlja ozbiljan problem. Stoga je neophodno hitno preduzeti mjere koje uključuju:</w:t>
      </w:r>
    </w:p>
    <w:p w14:paraId="6AAFCA88" w14:textId="77777777" w:rsidR="002B20A9" w:rsidRPr="00C86111" w:rsidRDefault="002B20A9" w:rsidP="00004F34">
      <w:pPr>
        <w:pStyle w:val="ListParagraph"/>
        <w:numPr>
          <w:ilvl w:val="0"/>
          <w:numId w:val="154"/>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povlačenje i bezbjedno odlaganje svih pjena koje sadrže ili su kontaminirane PFOA i PFHxS, naročito onih koje prelaze zakonske limite;</w:t>
      </w:r>
    </w:p>
    <w:p w14:paraId="74F9A7CF" w14:textId="77777777" w:rsidR="002B20A9" w:rsidRPr="00C86111" w:rsidRDefault="002B20A9" w:rsidP="00004F34">
      <w:pPr>
        <w:pStyle w:val="ListParagraph"/>
        <w:numPr>
          <w:ilvl w:val="0"/>
          <w:numId w:val="154"/>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lastRenderedPageBreak/>
        <w:t>zamjenu ovih pjena fluorine-free (bezfluoridnim) alternativama, koje su već tehnički provjerene i dostupne na tržištu;</w:t>
      </w:r>
    </w:p>
    <w:p w14:paraId="28A79953" w14:textId="77777777" w:rsidR="002B20A9" w:rsidRPr="00C86111" w:rsidRDefault="002B20A9" w:rsidP="00004F34">
      <w:pPr>
        <w:pStyle w:val="ListParagraph"/>
        <w:numPr>
          <w:ilvl w:val="0"/>
          <w:numId w:val="154"/>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sprovođenje sistematskog monitoringa, dekontaminacije opreme i jačanje kapaciteta vatrogasnih jedinica radi potpune usklađenosti sa nacionalnim i EU propisima;</w:t>
      </w:r>
    </w:p>
    <w:p w14:paraId="40B1D8FF" w14:textId="77777777" w:rsidR="002B20A9" w:rsidRPr="00C86111" w:rsidRDefault="002B20A9" w:rsidP="00004F34">
      <w:pPr>
        <w:pStyle w:val="ListParagraph"/>
        <w:numPr>
          <w:ilvl w:val="0"/>
          <w:numId w:val="154"/>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organizovanje obuka i kampanja podizanja svijesti među vatrogasnim službama i drugim relevantnim subjektima, sa ciljem smanjenja upotrebe pjena koje sadrže PFAS, te osiguranja bezbjednog skladištenja i odlaganja pjena kojima je istekao rok trajanja.</w:t>
      </w:r>
    </w:p>
    <w:p w14:paraId="01DE924C"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Samo kroz koordinisano djelovanje između nadzornih organa, vatrogasnih službi i operatera sistema upravljanja otpadom, Crna Gora može obezbijediti potpunu eliminaciju PFOA i PFHxS iz protivpožarnih pjena, čime će se značajno smanjiti rizici po zdravlje ljudi i životnu sredinu.</w:t>
      </w:r>
    </w:p>
    <w:p w14:paraId="3B5DF658" w14:textId="77777777" w:rsidR="002B20A9" w:rsidRPr="00C86111" w:rsidRDefault="002B20A9" w:rsidP="00004F34">
      <w:pPr>
        <w:pStyle w:val="Heading1"/>
        <w:numPr>
          <w:ilvl w:val="1"/>
          <w:numId w:val="238"/>
        </w:numPr>
      </w:pPr>
      <w:bookmarkStart w:id="359" w:name="_Toc210632583"/>
      <w:bookmarkStart w:id="360" w:name="_Toc220541955"/>
      <w:r w:rsidRPr="00C86111">
        <w:t xml:space="preserve">Rezultati inventara PFOA, PFHxS, njihovih soli </w:t>
      </w:r>
      <w:bookmarkEnd w:id="359"/>
      <w:r w:rsidRPr="00C86111">
        <w:t xml:space="preserve">i </w:t>
      </w:r>
      <w:bookmarkStart w:id="361" w:name="_Toc210632584"/>
      <w:r w:rsidRPr="00C86111">
        <w:t>sličnih jedinjenja u proizvodima na potrošačkom tržištu</w:t>
      </w:r>
      <w:bookmarkEnd w:id="360"/>
      <w:bookmarkEnd w:id="361"/>
    </w:p>
    <w:p w14:paraId="1EC0578D" w14:textId="77777777" w:rsidR="002B20A9" w:rsidRPr="00C86111" w:rsidRDefault="002B20A9" w:rsidP="002B20A9">
      <w:pPr>
        <w:jc w:val="both"/>
        <w:rPr>
          <w:rFonts w:asciiTheme="minorHAnsi" w:eastAsia="SimSun" w:hAnsiTheme="minorHAnsi" w:cstheme="minorHAnsi"/>
          <w:color w:val="auto"/>
        </w:rPr>
      </w:pPr>
    </w:p>
    <w:p w14:paraId="53EB7DEF"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Na osnovu podataka prikupljenih od Uprave Carina Crne Gore, sprovedena je analiza potencijalnog prisustva PFOA, PFHxS, njihovih soli i sličnih jedinjenja u različitim vrstama proizvoda, kao što su impregnirani odjevni predmeti, tekstil, impregniran papir i sintetički tepisi. Podaci o uvozu ovih proizvoda prikupljeni su prema tarifnim brojevima za period od 2017. do 2023. godine.</w:t>
      </w:r>
    </w:p>
    <w:p w14:paraId="0C4B1F21" w14:textId="0B11AE48"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Pregled količina uvezenih sintetičkih tepiha, presvučenog i impregniranog papira, impregniranog tekstila i impregnirane odjeće za period od 2017. do 2023. godine, zajedno sa izračunatim količinama PFOA, prikazan je u tabelama </w:t>
      </w:r>
      <w:r w:rsidR="00626D74" w:rsidRPr="00C86111">
        <w:rPr>
          <w:rFonts w:asciiTheme="minorHAnsi" w:eastAsia="Times New Roman" w:hAnsiTheme="minorHAnsi" w:cstheme="minorHAnsi"/>
          <w:color w:val="auto"/>
          <w:lang w:eastAsia="en-GB"/>
        </w:rPr>
        <w:t>87</w:t>
      </w:r>
      <w:r w:rsidRPr="00C86111">
        <w:rPr>
          <w:rFonts w:asciiTheme="minorHAnsi" w:eastAsia="Times New Roman" w:hAnsiTheme="minorHAnsi" w:cstheme="minorHAnsi"/>
          <w:color w:val="auto"/>
          <w:lang w:eastAsia="en-GB"/>
        </w:rPr>
        <w:t>-</w:t>
      </w:r>
      <w:r w:rsidR="00626D74" w:rsidRPr="00C86111">
        <w:rPr>
          <w:rFonts w:asciiTheme="minorHAnsi" w:eastAsia="Times New Roman" w:hAnsiTheme="minorHAnsi" w:cstheme="minorHAnsi"/>
          <w:color w:val="auto"/>
          <w:lang w:eastAsia="en-GB"/>
        </w:rPr>
        <w:t>90</w:t>
      </w:r>
      <w:r w:rsidRPr="00C86111">
        <w:rPr>
          <w:rFonts w:asciiTheme="minorHAnsi" w:eastAsia="Times New Roman" w:hAnsiTheme="minorHAnsi" w:cstheme="minorHAnsi"/>
          <w:color w:val="auto"/>
          <w:lang w:eastAsia="en-GB"/>
        </w:rPr>
        <w:t xml:space="preserve"> i na graficima </w:t>
      </w:r>
      <w:r w:rsidR="00626D74" w:rsidRPr="00C86111">
        <w:rPr>
          <w:rFonts w:asciiTheme="minorHAnsi" w:eastAsia="Times New Roman" w:hAnsiTheme="minorHAnsi" w:cstheme="minorHAnsi"/>
          <w:color w:val="auto"/>
          <w:lang w:eastAsia="en-GB"/>
        </w:rPr>
        <w:t>3</w:t>
      </w:r>
      <w:r w:rsidR="00547278">
        <w:rPr>
          <w:rFonts w:asciiTheme="minorHAnsi" w:eastAsia="Times New Roman" w:hAnsiTheme="minorHAnsi" w:cstheme="minorHAnsi"/>
          <w:color w:val="auto"/>
          <w:lang w:eastAsia="en-GB"/>
        </w:rPr>
        <w:t>4</w:t>
      </w:r>
      <w:r w:rsidRPr="00C86111">
        <w:rPr>
          <w:rFonts w:asciiTheme="minorHAnsi" w:eastAsia="Times New Roman" w:hAnsiTheme="minorHAnsi" w:cstheme="minorHAnsi"/>
          <w:color w:val="auto"/>
          <w:lang w:eastAsia="en-GB"/>
        </w:rPr>
        <w:t>-</w:t>
      </w:r>
      <w:r w:rsidR="00626D74" w:rsidRPr="00C86111">
        <w:rPr>
          <w:rFonts w:asciiTheme="minorHAnsi" w:eastAsia="Times New Roman" w:hAnsiTheme="minorHAnsi" w:cstheme="minorHAnsi"/>
          <w:color w:val="auto"/>
          <w:lang w:eastAsia="en-GB"/>
        </w:rPr>
        <w:t>3</w:t>
      </w:r>
      <w:r w:rsidR="00547278">
        <w:rPr>
          <w:rFonts w:asciiTheme="minorHAnsi" w:eastAsia="Times New Roman" w:hAnsiTheme="minorHAnsi" w:cstheme="minorHAnsi"/>
          <w:color w:val="auto"/>
          <w:lang w:eastAsia="en-GB"/>
        </w:rPr>
        <w:t>5</w:t>
      </w:r>
      <w:r w:rsidRPr="00C86111">
        <w:rPr>
          <w:rFonts w:asciiTheme="minorHAnsi" w:eastAsia="Times New Roman" w:hAnsiTheme="minorHAnsi" w:cstheme="minorHAnsi"/>
          <w:color w:val="auto"/>
          <w:lang w:eastAsia="en-GB"/>
        </w:rPr>
        <w:t>.</w:t>
      </w:r>
    </w:p>
    <w:p w14:paraId="38F5FEA5" w14:textId="77777777" w:rsidR="002B20A9" w:rsidRPr="00C86111" w:rsidRDefault="002B20A9" w:rsidP="002B20A9">
      <w:pPr>
        <w:jc w:val="both"/>
        <w:rPr>
          <w:rFonts w:asciiTheme="minorHAnsi" w:eastAsia="Times New Roman" w:hAnsiTheme="minorHAnsi" w:cstheme="minorHAnsi"/>
          <w:color w:val="auto"/>
          <w:lang w:eastAsia="en-GB"/>
        </w:rPr>
      </w:pPr>
    </w:p>
    <w:p w14:paraId="5036C89F" w14:textId="25BD72F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t xml:space="preserve">Tabela </w:t>
      </w:r>
      <w:r w:rsidR="00626D74" w:rsidRPr="00C86111">
        <w:rPr>
          <w:rFonts w:asciiTheme="minorHAnsi" w:eastAsia="SimSun" w:hAnsiTheme="minorHAnsi" w:cstheme="minorHAnsi"/>
          <w:b/>
          <w:bCs/>
          <w:color w:val="auto"/>
        </w:rPr>
        <w:t>87</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Količine uvezenih sintetičkih tepiha za period 2017-2023 godina i procijenjene količine PFOA</w:t>
      </w:r>
    </w:p>
    <w:tbl>
      <w:tblPr>
        <w:tblStyle w:val="GridTable5Dark-Accent6"/>
        <w:tblW w:w="8906" w:type="dxa"/>
        <w:tblLook w:val="04A0" w:firstRow="1" w:lastRow="0" w:firstColumn="1" w:lastColumn="0" w:noHBand="0" w:noVBand="1"/>
      </w:tblPr>
      <w:tblGrid>
        <w:gridCol w:w="1837"/>
        <w:gridCol w:w="1269"/>
        <w:gridCol w:w="1618"/>
        <w:gridCol w:w="2292"/>
        <w:gridCol w:w="1890"/>
      </w:tblGrid>
      <w:tr w:rsidR="002B20A9" w:rsidRPr="00C86111" w14:paraId="77F34159"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3" w:type="dxa"/>
          </w:tcPr>
          <w:p w14:paraId="60BB5CF1" w14:textId="77777777" w:rsidR="002B20A9" w:rsidRPr="00C86111" w:rsidRDefault="002B20A9" w:rsidP="00BC765B">
            <w:pPr>
              <w:jc w:val="both"/>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31" w:type="dxa"/>
            <w:hideMark/>
          </w:tcPr>
          <w:p w14:paraId="0EE979F2"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570" w:type="dxa"/>
            <w:hideMark/>
          </w:tcPr>
          <w:p w14:paraId="2DF7FE13"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(kg)</w:t>
            </w:r>
          </w:p>
        </w:tc>
        <w:tc>
          <w:tcPr>
            <w:tcW w:w="2224" w:type="dxa"/>
          </w:tcPr>
          <w:p w14:paraId="1DDAEB7B"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PFOA sadržaj</w:t>
            </w:r>
          </w:p>
          <w:p w14:paraId="72889995"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7D78E967"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(mg PFOA/kg proizvoda)</w:t>
            </w:r>
          </w:p>
        </w:tc>
        <w:tc>
          <w:tcPr>
            <w:tcW w:w="1834" w:type="dxa"/>
          </w:tcPr>
          <w:p w14:paraId="229F136C"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PFOA (kg)</w:t>
            </w:r>
          </w:p>
          <w:p w14:paraId="4BB8EB94"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10326256"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2883E96E"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3" w:type="dxa"/>
            <w:vMerge w:val="restart"/>
          </w:tcPr>
          <w:p w14:paraId="4A1EF7CE" w14:textId="77777777" w:rsidR="002B20A9" w:rsidRPr="00C86111" w:rsidRDefault="002B20A9" w:rsidP="00BC765B">
            <w:pPr>
              <w:jc w:val="both"/>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Sintetički tepisi</w:t>
            </w:r>
          </w:p>
          <w:p w14:paraId="21157912"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tcPr>
          <w:p w14:paraId="4FD27C3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570" w:type="dxa"/>
          </w:tcPr>
          <w:p w14:paraId="58F3E0D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369598</w:t>
            </w:r>
          </w:p>
        </w:tc>
        <w:tc>
          <w:tcPr>
            <w:tcW w:w="2224" w:type="dxa"/>
          </w:tcPr>
          <w:p w14:paraId="1F05349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 xml:space="preserve">3.5 – 226 </w:t>
            </w:r>
          </w:p>
        </w:tc>
        <w:tc>
          <w:tcPr>
            <w:tcW w:w="1834" w:type="dxa"/>
          </w:tcPr>
          <w:p w14:paraId="25BEEC81"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1.3-84</w:t>
            </w:r>
          </w:p>
        </w:tc>
      </w:tr>
      <w:tr w:rsidR="002B20A9" w:rsidRPr="00C86111" w14:paraId="028A7134" w14:textId="77777777" w:rsidTr="00BC765B">
        <w:tc>
          <w:tcPr>
            <w:cnfStyle w:val="001000000000" w:firstRow="0" w:lastRow="0" w:firstColumn="1" w:lastColumn="0" w:oddVBand="0" w:evenVBand="0" w:oddHBand="0" w:evenHBand="0" w:firstRowFirstColumn="0" w:firstRowLastColumn="0" w:lastRowFirstColumn="0" w:lastRowLastColumn="0"/>
            <w:tcW w:w="1783" w:type="dxa"/>
            <w:vMerge/>
          </w:tcPr>
          <w:p w14:paraId="679EEF42"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tcPr>
          <w:p w14:paraId="574DB00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570" w:type="dxa"/>
          </w:tcPr>
          <w:p w14:paraId="5A681DAB"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336922</w:t>
            </w:r>
          </w:p>
        </w:tc>
        <w:tc>
          <w:tcPr>
            <w:tcW w:w="2224" w:type="dxa"/>
          </w:tcPr>
          <w:p w14:paraId="67470A60"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 xml:space="preserve">3.5 – 226 </w:t>
            </w:r>
          </w:p>
        </w:tc>
        <w:tc>
          <w:tcPr>
            <w:tcW w:w="1834" w:type="dxa"/>
          </w:tcPr>
          <w:p w14:paraId="2B65FC3D"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1.2-76</w:t>
            </w:r>
          </w:p>
        </w:tc>
      </w:tr>
      <w:tr w:rsidR="002B20A9" w:rsidRPr="00C86111" w14:paraId="7E2A3D5E"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3" w:type="dxa"/>
            <w:vMerge/>
          </w:tcPr>
          <w:p w14:paraId="14257E7B"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tcPr>
          <w:p w14:paraId="7D71FD10"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570" w:type="dxa"/>
          </w:tcPr>
          <w:p w14:paraId="1906517D"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437076</w:t>
            </w:r>
          </w:p>
        </w:tc>
        <w:tc>
          <w:tcPr>
            <w:tcW w:w="2224" w:type="dxa"/>
          </w:tcPr>
          <w:p w14:paraId="2270F9DC"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 xml:space="preserve">3.5 – 226 </w:t>
            </w:r>
          </w:p>
        </w:tc>
        <w:tc>
          <w:tcPr>
            <w:tcW w:w="1834" w:type="dxa"/>
          </w:tcPr>
          <w:p w14:paraId="632E3168"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1.5-99</w:t>
            </w:r>
          </w:p>
        </w:tc>
      </w:tr>
      <w:tr w:rsidR="002B20A9" w:rsidRPr="00C86111" w14:paraId="509EA551" w14:textId="77777777" w:rsidTr="00BC765B">
        <w:tc>
          <w:tcPr>
            <w:cnfStyle w:val="001000000000" w:firstRow="0" w:lastRow="0" w:firstColumn="1" w:lastColumn="0" w:oddVBand="0" w:evenVBand="0" w:oddHBand="0" w:evenHBand="0" w:firstRowFirstColumn="0" w:firstRowLastColumn="0" w:lastRowFirstColumn="0" w:lastRowLastColumn="0"/>
            <w:tcW w:w="1783" w:type="dxa"/>
            <w:vMerge/>
          </w:tcPr>
          <w:p w14:paraId="35813024"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tcPr>
          <w:p w14:paraId="3820AB9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570" w:type="dxa"/>
          </w:tcPr>
          <w:p w14:paraId="5864C4BB"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393617</w:t>
            </w:r>
          </w:p>
        </w:tc>
        <w:tc>
          <w:tcPr>
            <w:tcW w:w="2224" w:type="dxa"/>
          </w:tcPr>
          <w:p w14:paraId="2CDC2F33"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 xml:space="preserve">3.5 – 226 </w:t>
            </w:r>
          </w:p>
        </w:tc>
        <w:tc>
          <w:tcPr>
            <w:tcW w:w="1834" w:type="dxa"/>
          </w:tcPr>
          <w:p w14:paraId="160B7545"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1.4-89</w:t>
            </w:r>
          </w:p>
        </w:tc>
      </w:tr>
      <w:tr w:rsidR="002B20A9" w:rsidRPr="00C86111" w14:paraId="07151E29"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3" w:type="dxa"/>
            <w:vMerge/>
          </w:tcPr>
          <w:p w14:paraId="7138F8AD"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tcPr>
          <w:p w14:paraId="31A9066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570" w:type="dxa"/>
          </w:tcPr>
          <w:p w14:paraId="3C675324"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401555</w:t>
            </w:r>
          </w:p>
        </w:tc>
        <w:tc>
          <w:tcPr>
            <w:tcW w:w="2224" w:type="dxa"/>
          </w:tcPr>
          <w:p w14:paraId="62ED6EFB"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 xml:space="preserve">3.5 – 226 </w:t>
            </w:r>
          </w:p>
        </w:tc>
        <w:tc>
          <w:tcPr>
            <w:tcW w:w="1834" w:type="dxa"/>
          </w:tcPr>
          <w:p w14:paraId="49C78A6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1.4-91</w:t>
            </w:r>
          </w:p>
        </w:tc>
      </w:tr>
      <w:tr w:rsidR="002B20A9" w:rsidRPr="00C86111" w14:paraId="5AF7827F" w14:textId="77777777" w:rsidTr="00BC765B">
        <w:tc>
          <w:tcPr>
            <w:cnfStyle w:val="001000000000" w:firstRow="0" w:lastRow="0" w:firstColumn="1" w:lastColumn="0" w:oddVBand="0" w:evenVBand="0" w:oddHBand="0" w:evenHBand="0" w:firstRowFirstColumn="0" w:firstRowLastColumn="0" w:lastRowFirstColumn="0" w:lastRowLastColumn="0"/>
            <w:tcW w:w="1783" w:type="dxa"/>
            <w:vMerge/>
          </w:tcPr>
          <w:p w14:paraId="5032B9B9"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tcPr>
          <w:p w14:paraId="450BDC34"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570" w:type="dxa"/>
          </w:tcPr>
          <w:p w14:paraId="730B833D"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612119</w:t>
            </w:r>
          </w:p>
        </w:tc>
        <w:tc>
          <w:tcPr>
            <w:tcW w:w="2224" w:type="dxa"/>
          </w:tcPr>
          <w:p w14:paraId="1BB6BEE3"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 xml:space="preserve">3.5 – 226 </w:t>
            </w:r>
          </w:p>
        </w:tc>
        <w:tc>
          <w:tcPr>
            <w:tcW w:w="1834" w:type="dxa"/>
          </w:tcPr>
          <w:p w14:paraId="4CC5CA87"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2.1-138</w:t>
            </w:r>
          </w:p>
        </w:tc>
      </w:tr>
      <w:tr w:rsidR="002B20A9" w:rsidRPr="00C86111" w14:paraId="7F8F9C54"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3" w:type="dxa"/>
            <w:vMerge/>
          </w:tcPr>
          <w:p w14:paraId="645619BA"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31" w:type="dxa"/>
          </w:tcPr>
          <w:p w14:paraId="5625DB5F"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570" w:type="dxa"/>
          </w:tcPr>
          <w:p w14:paraId="055DAD7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553126</w:t>
            </w:r>
          </w:p>
        </w:tc>
        <w:tc>
          <w:tcPr>
            <w:tcW w:w="2224" w:type="dxa"/>
          </w:tcPr>
          <w:p w14:paraId="75D3B16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 xml:space="preserve">3.5 – 226 </w:t>
            </w:r>
          </w:p>
        </w:tc>
        <w:tc>
          <w:tcPr>
            <w:tcW w:w="1834" w:type="dxa"/>
          </w:tcPr>
          <w:p w14:paraId="55497EBB"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1.9-125</w:t>
            </w:r>
          </w:p>
        </w:tc>
      </w:tr>
    </w:tbl>
    <w:p w14:paraId="436D3EE6" w14:textId="77777777" w:rsidR="002B20A9" w:rsidRPr="00C86111" w:rsidRDefault="002B20A9" w:rsidP="002B20A9">
      <w:pPr>
        <w:jc w:val="both"/>
        <w:rPr>
          <w:rFonts w:asciiTheme="minorHAnsi" w:hAnsiTheme="minorHAnsi" w:cstheme="minorHAnsi"/>
          <w:color w:val="auto"/>
        </w:rPr>
      </w:pPr>
    </w:p>
    <w:p w14:paraId="5112C51C" w14:textId="77777777" w:rsidR="002B20A9" w:rsidRPr="00C86111" w:rsidRDefault="002B20A9" w:rsidP="00626D74">
      <w:pPr>
        <w:jc w:val="center"/>
        <w:rPr>
          <w:rFonts w:asciiTheme="minorHAnsi" w:hAnsiTheme="minorHAnsi" w:cstheme="minorHAnsi"/>
          <w:color w:val="auto"/>
        </w:rPr>
      </w:pPr>
      <w:r w:rsidRPr="00C86111">
        <w:rPr>
          <w:rFonts w:asciiTheme="minorHAnsi" w:hAnsiTheme="minorHAnsi" w:cstheme="minorHAnsi"/>
          <w:noProof/>
          <w:color w:val="auto"/>
        </w:rPr>
        <w:lastRenderedPageBreak/>
        <w:drawing>
          <wp:inline distT="0" distB="0" distL="0" distR="0" wp14:anchorId="61B32892" wp14:editId="2BE457BE">
            <wp:extent cx="5048250" cy="2197100"/>
            <wp:effectExtent l="0" t="0" r="0" b="12700"/>
            <wp:docPr id="1077284313" name="Chart 1077284313">
              <a:extLst xmlns:a="http://schemas.openxmlformats.org/drawingml/2006/main">
                <a:ext uri="{FF2B5EF4-FFF2-40B4-BE49-F238E27FC236}">
                  <a16:creationId xmlns:a16="http://schemas.microsoft.com/office/drawing/2014/main" id="{26402D5D-FFFF-A6A9-BDDB-97598B8425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5820AEEB" w14:textId="7E908227"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Grafik </w:t>
      </w:r>
      <w:r w:rsidR="00626D74" w:rsidRPr="00C86111">
        <w:rPr>
          <w:rFonts w:asciiTheme="minorHAnsi" w:hAnsiTheme="minorHAnsi" w:cstheme="minorHAnsi"/>
          <w:b/>
          <w:bCs/>
          <w:color w:val="auto"/>
        </w:rPr>
        <w:t>3</w:t>
      </w:r>
      <w:r w:rsidR="00547278">
        <w:rPr>
          <w:rFonts w:asciiTheme="minorHAnsi" w:hAnsiTheme="minorHAnsi" w:cstheme="minorHAnsi"/>
          <w:b/>
          <w:bCs/>
          <w:color w:val="auto"/>
        </w:rPr>
        <w:t>4</w:t>
      </w:r>
      <w:r w:rsidRPr="00C86111">
        <w:rPr>
          <w:rFonts w:asciiTheme="minorHAnsi" w:hAnsiTheme="minorHAnsi" w:cstheme="minorHAnsi"/>
          <w:b/>
          <w:bCs/>
          <w:color w:val="auto"/>
        </w:rPr>
        <w:t>.</w:t>
      </w:r>
      <w:r w:rsidRPr="00C86111">
        <w:rPr>
          <w:rFonts w:asciiTheme="minorHAnsi" w:hAnsiTheme="minorHAnsi" w:cstheme="minorHAnsi"/>
          <w:color w:val="auto"/>
        </w:rPr>
        <w:t xml:space="preserve"> Maksimalno procijenjena količina PFOA u sintetičkim tepisima iz uvoza za period 2017-2023 godina</w:t>
      </w:r>
    </w:p>
    <w:p w14:paraId="0AF1F63A" w14:textId="77777777" w:rsidR="00626D74" w:rsidRPr="00C86111" w:rsidRDefault="00626D74" w:rsidP="002B20A9">
      <w:pPr>
        <w:jc w:val="both"/>
        <w:rPr>
          <w:rFonts w:asciiTheme="minorHAnsi" w:hAnsiTheme="minorHAnsi" w:cstheme="minorHAnsi"/>
          <w:color w:val="auto"/>
        </w:rPr>
      </w:pPr>
    </w:p>
    <w:p w14:paraId="6EC5A288" w14:textId="1D4E167A"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t xml:space="preserve">Tabela </w:t>
      </w:r>
      <w:r w:rsidR="00626D74" w:rsidRPr="00C86111">
        <w:rPr>
          <w:rFonts w:asciiTheme="minorHAnsi" w:eastAsia="SimSun" w:hAnsiTheme="minorHAnsi" w:cstheme="minorHAnsi"/>
          <w:b/>
          <w:bCs/>
          <w:color w:val="auto"/>
        </w:rPr>
        <w:t>88</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Količine uvezenog presvučenog i impregniranog papira za period 2017-2023 godina kao i procijenjene količine PFOA</w:t>
      </w:r>
    </w:p>
    <w:tbl>
      <w:tblPr>
        <w:tblStyle w:val="GridTable5Dark-Accent6"/>
        <w:tblW w:w="8911" w:type="dxa"/>
        <w:tblLook w:val="04A0" w:firstRow="1" w:lastRow="0" w:firstColumn="1" w:lastColumn="0" w:noHBand="0" w:noVBand="1"/>
      </w:tblPr>
      <w:tblGrid>
        <w:gridCol w:w="1842"/>
        <w:gridCol w:w="1269"/>
        <w:gridCol w:w="1618"/>
        <w:gridCol w:w="2292"/>
        <w:gridCol w:w="1890"/>
      </w:tblGrid>
      <w:tr w:rsidR="002B20A9" w:rsidRPr="00C86111" w14:paraId="7389F253" w14:textId="77777777" w:rsidTr="00E718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Align w:val="center"/>
          </w:tcPr>
          <w:p w14:paraId="29FDA698" w14:textId="77777777" w:rsidR="002B20A9" w:rsidRPr="00C86111" w:rsidRDefault="002B20A9" w:rsidP="002A416E">
            <w:pPr>
              <w:jc w:val="center"/>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69" w:type="dxa"/>
            <w:vAlign w:val="center"/>
            <w:hideMark/>
          </w:tcPr>
          <w:p w14:paraId="02ECDA9B"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618" w:type="dxa"/>
            <w:vAlign w:val="center"/>
            <w:hideMark/>
          </w:tcPr>
          <w:p w14:paraId="538B276D"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(kg)</w:t>
            </w:r>
          </w:p>
        </w:tc>
        <w:tc>
          <w:tcPr>
            <w:tcW w:w="2292" w:type="dxa"/>
            <w:vAlign w:val="center"/>
          </w:tcPr>
          <w:p w14:paraId="1C746681"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PFOA sadržaj</w:t>
            </w:r>
          </w:p>
          <w:p w14:paraId="388D2E8B"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1B3F4F82"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(mg PFOA/kg proizvoda)</w:t>
            </w:r>
          </w:p>
        </w:tc>
        <w:tc>
          <w:tcPr>
            <w:tcW w:w="1890" w:type="dxa"/>
            <w:vAlign w:val="center"/>
          </w:tcPr>
          <w:p w14:paraId="66D9ECDD"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PFOA (kg)</w:t>
            </w:r>
          </w:p>
          <w:p w14:paraId="5160D4CB"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0AD048EA"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312E6C67"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Merge w:val="restart"/>
          </w:tcPr>
          <w:p w14:paraId="0E2258A2"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Presvučeni i impregnirani papir</w:t>
            </w:r>
          </w:p>
        </w:tc>
        <w:tc>
          <w:tcPr>
            <w:tcW w:w="1269" w:type="dxa"/>
          </w:tcPr>
          <w:p w14:paraId="56AF09B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618" w:type="dxa"/>
          </w:tcPr>
          <w:p w14:paraId="141429D7"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45722</w:t>
            </w:r>
          </w:p>
        </w:tc>
        <w:tc>
          <w:tcPr>
            <w:tcW w:w="2292" w:type="dxa"/>
          </w:tcPr>
          <w:p w14:paraId="6495E2B6" w14:textId="2A58B7A1"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3000 – 10000</w:t>
            </w:r>
          </w:p>
        </w:tc>
        <w:tc>
          <w:tcPr>
            <w:tcW w:w="1890" w:type="dxa"/>
          </w:tcPr>
          <w:p w14:paraId="65275680"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137-457</w:t>
            </w:r>
          </w:p>
        </w:tc>
      </w:tr>
      <w:tr w:rsidR="002B20A9" w:rsidRPr="00C86111" w14:paraId="2EDEE535" w14:textId="77777777" w:rsidTr="00E71878">
        <w:tc>
          <w:tcPr>
            <w:cnfStyle w:val="001000000000" w:firstRow="0" w:lastRow="0" w:firstColumn="1" w:lastColumn="0" w:oddVBand="0" w:evenVBand="0" w:oddHBand="0" w:evenHBand="0" w:firstRowFirstColumn="0" w:firstRowLastColumn="0" w:lastRowFirstColumn="0" w:lastRowLastColumn="0"/>
            <w:tcW w:w="1842" w:type="dxa"/>
            <w:vMerge/>
          </w:tcPr>
          <w:p w14:paraId="5D018794"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1EBB22A4"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618" w:type="dxa"/>
          </w:tcPr>
          <w:p w14:paraId="0C2CBA4F"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30656</w:t>
            </w:r>
          </w:p>
        </w:tc>
        <w:tc>
          <w:tcPr>
            <w:tcW w:w="2292" w:type="dxa"/>
          </w:tcPr>
          <w:p w14:paraId="2AF41C2D" w14:textId="2889751B"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3000 – 10000</w:t>
            </w:r>
          </w:p>
        </w:tc>
        <w:tc>
          <w:tcPr>
            <w:tcW w:w="1890" w:type="dxa"/>
          </w:tcPr>
          <w:p w14:paraId="71E9BC04"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92-307</w:t>
            </w:r>
          </w:p>
        </w:tc>
      </w:tr>
      <w:tr w:rsidR="002B20A9" w:rsidRPr="00C86111" w14:paraId="7061B7A1"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Merge/>
          </w:tcPr>
          <w:p w14:paraId="380BF08E"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3D184A4F"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618" w:type="dxa"/>
          </w:tcPr>
          <w:p w14:paraId="67E7808E"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41251</w:t>
            </w:r>
          </w:p>
        </w:tc>
        <w:tc>
          <w:tcPr>
            <w:tcW w:w="2292" w:type="dxa"/>
          </w:tcPr>
          <w:p w14:paraId="373BA8D8" w14:textId="3C5E4993"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3000 – 10000</w:t>
            </w:r>
          </w:p>
        </w:tc>
        <w:tc>
          <w:tcPr>
            <w:tcW w:w="1890" w:type="dxa"/>
          </w:tcPr>
          <w:p w14:paraId="06C93778"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124-413</w:t>
            </w:r>
          </w:p>
        </w:tc>
      </w:tr>
      <w:tr w:rsidR="002B20A9" w:rsidRPr="00C86111" w14:paraId="427E4788" w14:textId="77777777" w:rsidTr="00E71878">
        <w:tc>
          <w:tcPr>
            <w:cnfStyle w:val="001000000000" w:firstRow="0" w:lastRow="0" w:firstColumn="1" w:lastColumn="0" w:oddVBand="0" w:evenVBand="0" w:oddHBand="0" w:evenHBand="0" w:firstRowFirstColumn="0" w:firstRowLastColumn="0" w:lastRowFirstColumn="0" w:lastRowLastColumn="0"/>
            <w:tcW w:w="1842" w:type="dxa"/>
            <w:vMerge/>
          </w:tcPr>
          <w:p w14:paraId="6FCE8ECD"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62493D4A"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618" w:type="dxa"/>
          </w:tcPr>
          <w:p w14:paraId="2EC13299"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36452</w:t>
            </w:r>
          </w:p>
        </w:tc>
        <w:tc>
          <w:tcPr>
            <w:tcW w:w="2292" w:type="dxa"/>
          </w:tcPr>
          <w:p w14:paraId="44BEF4F1" w14:textId="08397229"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3000 – 10000</w:t>
            </w:r>
          </w:p>
        </w:tc>
        <w:tc>
          <w:tcPr>
            <w:tcW w:w="1890" w:type="dxa"/>
          </w:tcPr>
          <w:p w14:paraId="6CC7A7D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109-365</w:t>
            </w:r>
          </w:p>
        </w:tc>
      </w:tr>
      <w:tr w:rsidR="002B20A9" w:rsidRPr="00C86111" w14:paraId="2983331E"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Merge/>
          </w:tcPr>
          <w:p w14:paraId="018B0C3E"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4E61663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618" w:type="dxa"/>
          </w:tcPr>
          <w:p w14:paraId="099B0E99"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65478</w:t>
            </w:r>
          </w:p>
        </w:tc>
        <w:tc>
          <w:tcPr>
            <w:tcW w:w="2292" w:type="dxa"/>
          </w:tcPr>
          <w:p w14:paraId="1C8BAE85" w14:textId="1EDD35A3"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3000 – 10000</w:t>
            </w:r>
          </w:p>
        </w:tc>
        <w:tc>
          <w:tcPr>
            <w:tcW w:w="1890" w:type="dxa"/>
          </w:tcPr>
          <w:p w14:paraId="35B2DADD"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196-655</w:t>
            </w:r>
          </w:p>
        </w:tc>
      </w:tr>
      <w:tr w:rsidR="002B20A9" w:rsidRPr="00C86111" w14:paraId="63A8B033" w14:textId="77777777" w:rsidTr="00E71878">
        <w:tc>
          <w:tcPr>
            <w:cnfStyle w:val="001000000000" w:firstRow="0" w:lastRow="0" w:firstColumn="1" w:lastColumn="0" w:oddVBand="0" w:evenVBand="0" w:oddHBand="0" w:evenHBand="0" w:firstRowFirstColumn="0" w:firstRowLastColumn="0" w:lastRowFirstColumn="0" w:lastRowLastColumn="0"/>
            <w:tcW w:w="1842" w:type="dxa"/>
            <w:vMerge/>
          </w:tcPr>
          <w:p w14:paraId="294CCFC8"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02CBE2E2"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618" w:type="dxa"/>
          </w:tcPr>
          <w:p w14:paraId="62CBA68E"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65819</w:t>
            </w:r>
          </w:p>
        </w:tc>
        <w:tc>
          <w:tcPr>
            <w:tcW w:w="2292" w:type="dxa"/>
          </w:tcPr>
          <w:p w14:paraId="39C1871B" w14:textId="275F5E2C"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3000 – 10000</w:t>
            </w:r>
          </w:p>
        </w:tc>
        <w:tc>
          <w:tcPr>
            <w:tcW w:w="1890" w:type="dxa"/>
          </w:tcPr>
          <w:p w14:paraId="5068E86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198-658</w:t>
            </w:r>
          </w:p>
        </w:tc>
      </w:tr>
      <w:tr w:rsidR="002B20A9" w:rsidRPr="00C86111" w14:paraId="7D12D78E" w14:textId="77777777" w:rsidTr="00E71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Merge/>
          </w:tcPr>
          <w:p w14:paraId="597C8D3C"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1A43288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618" w:type="dxa"/>
          </w:tcPr>
          <w:p w14:paraId="1D7705A2"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94606</w:t>
            </w:r>
          </w:p>
        </w:tc>
        <w:tc>
          <w:tcPr>
            <w:tcW w:w="2292" w:type="dxa"/>
          </w:tcPr>
          <w:p w14:paraId="7A1FE6F9" w14:textId="10AC7B0E"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3000 – 10000</w:t>
            </w:r>
          </w:p>
        </w:tc>
        <w:tc>
          <w:tcPr>
            <w:tcW w:w="1890" w:type="dxa"/>
          </w:tcPr>
          <w:p w14:paraId="34ECD778"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284-946</w:t>
            </w:r>
          </w:p>
        </w:tc>
      </w:tr>
    </w:tbl>
    <w:p w14:paraId="2BED6231" w14:textId="77777777" w:rsidR="002B20A9" w:rsidRPr="00C86111" w:rsidRDefault="002B20A9" w:rsidP="002B20A9">
      <w:pPr>
        <w:jc w:val="center"/>
        <w:rPr>
          <w:rFonts w:asciiTheme="minorHAnsi" w:hAnsiTheme="minorHAnsi" w:cstheme="minorHAnsi"/>
          <w:color w:val="auto"/>
        </w:rPr>
      </w:pPr>
      <w:r w:rsidRPr="00C86111">
        <w:rPr>
          <w:rFonts w:asciiTheme="minorHAnsi" w:hAnsiTheme="minorHAnsi" w:cstheme="minorHAnsi"/>
          <w:noProof/>
          <w:color w:val="auto"/>
        </w:rPr>
        <w:drawing>
          <wp:inline distT="0" distB="0" distL="0" distR="0" wp14:anchorId="7301A7BB" wp14:editId="347BCD37">
            <wp:extent cx="4965700" cy="2336800"/>
            <wp:effectExtent l="0" t="0" r="6350" b="6350"/>
            <wp:docPr id="333418938" name="Chart 333418938">
              <a:extLst xmlns:a="http://schemas.openxmlformats.org/drawingml/2006/main">
                <a:ext uri="{FF2B5EF4-FFF2-40B4-BE49-F238E27FC236}">
                  <a16:creationId xmlns:a16="http://schemas.microsoft.com/office/drawing/2014/main" id="{B4AE19E8-A98A-F331-D424-C284D3C3FC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4CDCC798" w14:textId="77777777" w:rsidR="002B20A9" w:rsidRPr="00C86111" w:rsidRDefault="002B20A9" w:rsidP="002B20A9">
      <w:pPr>
        <w:jc w:val="both"/>
        <w:rPr>
          <w:rFonts w:asciiTheme="minorHAnsi" w:hAnsiTheme="minorHAnsi" w:cstheme="minorHAnsi"/>
          <w:b/>
          <w:bCs/>
          <w:color w:val="auto"/>
        </w:rPr>
      </w:pPr>
    </w:p>
    <w:p w14:paraId="4CE1EB3C" w14:textId="4A9336E9"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Grafik </w:t>
      </w:r>
      <w:r w:rsidR="00626D74" w:rsidRPr="00C86111">
        <w:rPr>
          <w:rFonts w:asciiTheme="minorHAnsi" w:hAnsiTheme="minorHAnsi" w:cstheme="minorHAnsi"/>
          <w:b/>
          <w:bCs/>
          <w:color w:val="auto"/>
        </w:rPr>
        <w:t>3</w:t>
      </w:r>
      <w:r w:rsidR="00547278">
        <w:rPr>
          <w:rFonts w:asciiTheme="minorHAnsi" w:hAnsiTheme="minorHAnsi" w:cstheme="minorHAnsi"/>
          <w:b/>
          <w:bCs/>
          <w:color w:val="auto"/>
        </w:rPr>
        <w:t>5</w:t>
      </w:r>
      <w:r w:rsidRPr="00C86111">
        <w:rPr>
          <w:rFonts w:asciiTheme="minorHAnsi" w:hAnsiTheme="minorHAnsi" w:cstheme="minorHAnsi"/>
          <w:b/>
          <w:bCs/>
          <w:color w:val="auto"/>
        </w:rPr>
        <w:t>.</w:t>
      </w:r>
      <w:r w:rsidRPr="00C86111">
        <w:rPr>
          <w:rFonts w:asciiTheme="minorHAnsi" w:hAnsiTheme="minorHAnsi" w:cstheme="minorHAnsi"/>
          <w:color w:val="auto"/>
        </w:rPr>
        <w:t xml:space="preserve"> Maksimalno procijenjena količina PFOA-a u </w:t>
      </w:r>
      <w:r w:rsidRPr="00C86111">
        <w:rPr>
          <w:rFonts w:asciiTheme="minorHAnsi" w:eastAsia="SimSun" w:hAnsiTheme="minorHAnsi" w:cstheme="minorHAnsi"/>
          <w:color w:val="auto"/>
        </w:rPr>
        <w:t xml:space="preserve">presvučenom i impregniranog papiru </w:t>
      </w:r>
      <w:r w:rsidRPr="00C86111">
        <w:rPr>
          <w:rFonts w:asciiTheme="minorHAnsi" w:hAnsiTheme="minorHAnsi" w:cstheme="minorHAnsi"/>
          <w:color w:val="auto"/>
        </w:rPr>
        <w:t>iz uvoza za period 2017-2023 godina</w:t>
      </w:r>
    </w:p>
    <w:p w14:paraId="120A2E8C" w14:textId="77777777" w:rsidR="002B20A9" w:rsidRDefault="002B20A9" w:rsidP="002B20A9">
      <w:pPr>
        <w:jc w:val="both"/>
        <w:rPr>
          <w:rFonts w:asciiTheme="minorHAnsi" w:hAnsiTheme="minorHAnsi" w:cstheme="minorHAnsi"/>
          <w:color w:val="auto"/>
        </w:rPr>
      </w:pPr>
    </w:p>
    <w:p w14:paraId="7E60B5A9" w14:textId="77777777" w:rsidR="0037538F" w:rsidRPr="00C86111" w:rsidRDefault="0037538F" w:rsidP="002B20A9">
      <w:pPr>
        <w:jc w:val="both"/>
        <w:rPr>
          <w:rFonts w:asciiTheme="minorHAnsi" w:hAnsiTheme="minorHAnsi" w:cstheme="minorHAnsi"/>
          <w:color w:val="auto"/>
        </w:rPr>
      </w:pPr>
    </w:p>
    <w:p w14:paraId="11B35E4B" w14:textId="01AF24BF"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lastRenderedPageBreak/>
        <w:t xml:space="preserve">Tabela </w:t>
      </w:r>
      <w:r w:rsidR="00626D74" w:rsidRPr="00C86111">
        <w:rPr>
          <w:rFonts w:asciiTheme="minorHAnsi" w:eastAsia="SimSun" w:hAnsiTheme="minorHAnsi" w:cstheme="minorHAnsi"/>
          <w:b/>
          <w:bCs/>
          <w:color w:val="auto"/>
        </w:rPr>
        <w:t>89</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Količine uvezenog impregniranog tekstila za period 2017-2023 godina kao i procijenjene količine PFOA</w:t>
      </w:r>
    </w:p>
    <w:tbl>
      <w:tblPr>
        <w:tblStyle w:val="GridTable5Dark-Accent6"/>
        <w:tblW w:w="8905" w:type="dxa"/>
        <w:tblLook w:val="04A0" w:firstRow="1" w:lastRow="0" w:firstColumn="1" w:lastColumn="0" w:noHBand="0" w:noVBand="1"/>
      </w:tblPr>
      <w:tblGrid>
        <w:gridCol w:w="1837"/>
        <w:gridCol w:w="1269"/>
        <w:gridCol w:w="1618"/>
        <w:gridCol w:w="2292"/>
        <w:gridCol w:w="1889"/>
      </w:tblGrid>
      <w:tr w:rsidR="002B20A9" w:rsidRPr="00C86111" w14:paraId="48CB4DC2" w14:textId="77777777" w:rsidTr="002A4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Align w:val="center"/>
          </w:tcPr>
          <w:p w14:paraId="768A13CC" w14:textId="77777777" w:rsidR="002B20A9" w:rsidRPr="00C86111" w:rsidRDefault="002B20A9" w:rsidP="002A416E">
            <w:pPr>
              <w:jc w:val="center"/>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69" w:type="dxa"/>
            <w:vAlign w:val="center"/>
            <w:hideMark/>
          </w:tcPr>
          <w:p w14:paraId="2A26654F"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618" w:type="dxa"/>
            <w:vAlign w:val="center"/>
            <w:hideMark/>
          </w:tcPr>
          <w:p w14:paraId="1E094644"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w:t>
            </w:r>
          </w:p>
        </w:tc>
        <w:tc>
          <w:tcPr>
            <w:tcW w:w="2292" w:type="dxa"/>
            <w:vAlign w:val="center"/>
          </w:tcPr>
          <w:p w14:paraId="64D96BE1"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PFOA sadržaj</w:t>
            </w:r>
          </w:p>
          <w:p w14:paraId="040C7407"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6CCBE97C"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(mg PFOA/m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 xml:space="preserve"> proizvoda)</w:t>
            </w:r>
          </w:p>
        </w:tc>
        <w:tc>
          <w:tcPr>
            <w:tcW w:w="1889" w:type="dxa"/>
            <w:vAlign w:val="center"/>
          </w:tcPr>
          <w:p w14:paraId="65C93C0C"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PFOA (g)</w:t>
            </w:r>
          </w:p>
          <w:p w14:paraId="741177E4"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5D31565E"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5B426D8E"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3A72DDC0"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Impregnirani tekstil</w:t>
            </w:r>
          </w:p>
          <w:p w14:paraId="63B1D328" w14:textId="77777777" w:rsidR="002B20A9" w:rsidRPr="00C86111" w:rsidRDefault="002B20A9" w:rsidP="00BC765B">
            <w:pPr>
              <w:jc w:val="both"/>
              <w:rPr>
                <w:rFonts w:asciiTheme="minorHAnsi" w:hAnsiTheme="minorHAnsi" w:cstheme="minorHAnsi"/>
                <w:color w:val="auto"/>
                <w:sz w:val="20"/>
                <w:szCs w:val="20"/>
              </w:rPr>
            </w:pPr>
          </w:p>
        </w:tc>
        <w:tc>
          <w:tcPr>
            <w:tcW w:w="1269" w:type="dxa"/>
          </w:tcPr>
          <w:p w14:paraId="37FE9F8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618" w:type="dxa"/>
          </w:tcPr>
          <w:p w14:paraId="3E3A59B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143434</w:t>
            </w:r>
          </w:p>
        </w:tc>
        <w:tc>
          <w:tcPr>
            <w:tcW w:w="2292" w:type="dxa"/>
          </w:tcPr>
          <w:p w14:paraId="5F90248E" w14:textId="41D3E908"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37D75771"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0.0057-7.2</w:t>
            </w:r>
          </w:p>
        </w:tc>
      </w:tr>
      <w:tr w:rsidR="002B20A9" w:rsidRPr="00C86111" w14:paraId="2160DD83"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tcPr>
          <w:p w14:paraId="1E71C2D2"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0D4BAACA"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618" w:type="dxa"/>
          </w:tcPr>
          <w:p w14:paraId="2AE3B936"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384192</w:t>
            </w:r>
          </w:p>
        </w:tc>
        <w:tc>
          <w:tcPr>
            <w:tcW w:w="2292" w:type="dxa"/>
          </w:tcPr>
          <w:p w14:paraId="7D451E6F" w14:textId="799FAF45"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5FAD960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0.0154-19.2</w:t>
            </w:r>
          </w:p>
        </w:tc>
      </w:tr>
      <w:tr w:rsidR="002B20A9" w:rsidRPr="00C86111" w14:paraId="64E85FCB"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1C1EBE10"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626E2CA0"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618" w:type="dxa"/>
          </w:tcPr>
          <w:p w14:paraId="37B2D489"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147286</w:t>
            </w:r>
          </w:p>
        </w:tc>
        <w:tc>
          <w:tcPr>
            <w:tcW w:w="2292" w:type="dxa"/>
          </w:tcPr>
          <w:p w14:paraId="62906083" w14:textId="7E13E253"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57D36C23"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0.0059-7.4</w:t>
            </w:r>
          </w:p>
        </w:tc>
      </w:tr>
      <w:tr w:rsidR="002B20A9" w:rsidRPr="00C86111" w14:paraId="7F254147"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tcPr>
          <w:p w14:paraId="41AFC9DC"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0FDFD1F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618" w:type="dxa"/>
          </w:tcPr>
          <w:p w14:paraId="1886D0CB"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104820</w:t>
            </w:r>
          </w:p>
        </w:tc>
        <w:tc>
          <w:tcPr>
            <w:tcW w:w="2292" w:type="dxa"/>
          </w:tcPr>
          <w:p w14:paraId="0704A9FB" w14:textId="5BDE7885"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58F9B86E"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0.0042-5.2</w:t>
            </w:r>
          </w:p>
        </w:tc>
      </w:tr>
      <w:tr w:rsidR="002B20A9" w:rsidRPr="00C86111" w14:paraId="0180E82B"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53464185"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494C678E"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618" w:type="dxa"/>
          </w:tcPr>
          <w:p w14:paraId="132D7D11"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96342</w:t>
            </w:r>
          </w:p>
        </w:tc>
        <w:tc>
          <w:tcPr>
            <w:tcW w:w="2292" w:type="dxa"/>
          </w:tcPr>
          <w:p w14:paraId="5323BDC8" w14:textId="00C2759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1D347BDF"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0.0039-4.8</w:t>
            </w:r>
          </w:p>
        </w:tc>
      </w:tr>
      <w:tr w:rsidR="002B20A9" w:rsidRPr="00C86111" w14:paraId="77C4CF76"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tcPr>
          <w:p w14:paraId="4957580B"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36D96E19"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618" w:type="dxa"/>
          </w:tcPr>
          <w:p w14:paraId="4E617AB1"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111311</w:t>
            </w:r>
          </w:p>
        </w:tc>
        <w:tc>
          <w:tcPr>
            <w:tcW w:w="2292" w:type="dxa"/>
          </w:tcPr>
          <w:p w14:paraId="0CACA854" w14:textId="3F25CB3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56C251B1"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0.0045-5.6</w:t>
            </w:r>
          </w:p>
        </w:tc>
      </w:tr>
      <w:tr w:rsidR="002B20A9" w:rsidRPr="00C86111" w14:paraId="76906CEA"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5457CBBD"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473004D3"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618" w:type="dxa"/>
          </w:tcPr>
          <w:p w14:paraId="1835F37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117685</w:t>
            </w:r>
          </w:p>
        </w:tc>
        <w:tc>
          <w:tcPr>
            <w:tcW w:w="2292" w:type="dxa"/>
          </w:tcPr>
          <w:p w14:paraId="68C9C36A" w14:textId="27F1E103"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1F5AB9A3"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0.0047-5.9</w:t>
            </w:r>
          </w:p>
        </w:tc>
      </w:tr>
    </w:tbl>
    <w:p w14:paraId="1DAF50E2" w14:textId="77777777" w:rsidR="002B20A9" w:rsidRPr="00C86111" w:rsidRDefault="002B20A9" w:rsidP="002B20A9">
      <w:pPr>
        <w:jc w:val="both"/>
        <w:rPr>
          <w:rFonts w:asciiTheme="minorHAnsi" w:eastAsia="SimSun" w:hAnsiTheme="minorHAnsi" w:cstheme="minorHAnsi"/>
          <w:color w:val="auto"/>
        </w:rPr>
      </w:pPr>
    </w:p>
    <w:p w14:paraId="69BEBBF3" w14:textId="372172ED"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t>Tabela 9</w:t>
      </w:r>
      <w:r w:rsidR="00626D74" w:rsidRPr="00C86111">
        <w:rPr>
          <w:rFonts w:asciiTheme="minorHAnsi" w:eastAsia="SimSun" w:hAnsiTheme="minorHAnsi" w:cstheme="minorHAnsi"/>
          <w:b/>
          <w:bCs/>
          <w:color w:val="auto"/>
        </w:rPr>
        <w:t>0</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Količine uvezene impregnirane odjeće za period 2017-2023 godina kao i procijenjene količine PFOA</w:t>
      </w:r>
    </w:p>
    <w:tbl>
      <w:tblPr>
        <w:tblStyle w:val="GridTable5Dark-Accent6"/>
        <w:tblW w:w="8905" w:type="dxa"/>
        <w:tblLook w:val="04A0" w:firstRow="1" w:lastRow="0" w:firstColumn="1" w:lastColumn="0" w:noHBand="0" w:noVBand="1"/>
      </w:tblPr>
      <w:tblGrid>
        <w:gridCol w:w="1837"/>
        <w:gridCol w:w="1269"/>
        <w:gridCol w:w="1618"/>
        <w:gridCol w:w="2292"/>
        <w:gridCol w:w="1889"/>
      </w:tblGrid>
      <w:tr w:rsidR="002B20A9" w:rsidRPr="00C86111" w14:paraId="56ED2CBC" w14:textId="77777777" w:rsidTr="002A4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Align w:val="center"/>
          </w:tcPr>
          <w:p w14:paraId="2C094798" w14:textId="77777777" w:rsidR="002B20A9" w:rsidRPr="00C86111" w:rsidRDefault="002B20A9" w:rsidP="00BC765B">
            <w:pPr>
              <w:jc w:val="both"/>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69" w:type="dxa"/>
            <w:vAlign w:val="center"/>
            <w:hideMark/>
          </w:tcPr>
          <w:p w14:paraId="7B0C4ADC"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618" w:type="dxa"/>
            <w:vAlign w:val="center"/>
            <w:hideMark/>
          </w:tcPr>
          <w:p w14:paraId="21A0E66A"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w:t>
            </w:r>
          </w:p>
        </w:tc>
        <w:tc>
          <w:tcPr>
            <w:tcW w:w="2292" w:type="dxa"/>
            <w:vAlign w:val="center"/>
          </w:tcPr>
          <w:p w14:paraId="34B43A2A"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PFOA sadržaj</w:t>
            </w:r>
          </w:p>
          <w:p w14:paraId="012825F1"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7C44495E"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(mg PFOA/m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 xml:space="preserve"> proizvoda)</w:t>
            </w:r>
          </w:p>
        </w:tc>
        <w:tc>
          <w:tcPr>
            <w:tcW w:w="1889" w:type="dxa"/>
            <w:vAlign w:val="center"/>
          </w:tcPr>
          <w:p w14:paraId="62BF8B8A"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PFOA (g)</w:t>
            </w:r>
          </w:p>
          <w:p w14:paraId="69592431"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1BCE5DB2"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7E01542C"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63DA158A"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Impregnirana odjeća</w:t>
            </w:r>
          </w:p>
        </w:tc>
        <w:tc>
          <w:tcPr>
            <w:tcW w:w="1269" w:type="dxa"/>
          </w:tcPr>
          <w:p w14:paraId="407948E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618" w:type="dxa"/>
          </w:tcPr>
          <w:p w14:paraId="07EE330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22843</w:t>
            </w:r>
          </w:p>
        </w:tc>
        <w:tc>
          <w:tcPr>
            <w:tcW w:w="2292" w:type="dxa"/>
          </w:tcPr>
          <w:p w14:paraId="5828C2CD" w14:textId="76069E25"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2EC606D8"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0.0009-1.1</w:t>
            </w:r>
          </w:p>
        </w:tc>
      </w:tr>
      <w:tr w:rsidR="002B20A9" w:rsidRPr="00C86111" w14:paraId="3B10645D"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tcPr>
          <w:p w14:paraId="140715AC"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6ED71A5C"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618" w:type="dxa"/>
          </w:tcPr>
          <w:p w14:paraId="4D1B221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19421</w:t>
            </w:r>
          </w:p>
        </w:tc>
        <w:tc>
          <w:tcPr>
            <w:tcW w:w="2292" w:type="dxa"/>
          </w:tcPr>
          <w:p w14:paraId="24F7070C" w14:textId="76EDD624"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33D63086"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0.0008-0.97</w:t>
            </w:r>
          </w:p>
        </w:tc>
      </w:tr>
      <w:tr w:rsidR="002B20A9" w:rsidRPr="00C86111" w14:paraId="5B6587BA"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7EE71BE6"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032637C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618" w:type="dxa"/>
          </w:tcPr>
          <w:p w14:paraId="6C366C1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27110</w:t>
            </w:r>
          </w:p>
        </w:tc>
        <w:tc>
          <w:tcPr>
            <w:tcW w:w="2292" w:type="dxa"/>
          </w:tcPr>
          <w:p w14:paraId="7EDD7AEE" w14:textId="1D3D2814"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11C205CF"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0.0011-1.4</w:t>
            </w:r>
          </w:p>
        </w:tc>
      </w:tr>
      <w:tr w:rsidR="002B20A9" w:rsidRPr="00C86111" w14:paraId="57EC59E8"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tcPr>
          <w:p w14:paraId="6114C6E1"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751E9D8C"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618" w:type="dxa"/>
          </w:tcPr>
          <w:p w14:paraId="328EEEB5"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56777</w:t>
            </w:r>
          </w:p>
        </w:tc>
        <w:tc>
          <w:tcPr>
            <w:tcW w:w="2292" w:type="dxa"/>
          </w:tcPr>
          <w:p w14:paraId="3068707E" w14:textId="4E374AA0"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31B06A57"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0.0023-2.8</w:t>
            </w:r>
          </w:p>
        </w:tc>
      </w:tr>
      <w:tr w:rsidR="002B20A9" w:rsidRPr="00C86111" w14:paraId="32A0CC60"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2141EC01"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7907AA37"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618" w:type="dxa"/>
          </w:tcPr>
          <w:p w14:paraId="361A079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26008</w:t>
            </w:r>
          </w:p>
        </w:tc>
        <w:tc>
          <w:tcPr>
            <w:tcW w:w="2292" w:type="dxa"/>
          </w:tcPr>
          <w:p w14:paraId="1FA27018" w14:textId="3A36C14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35B317B2"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0.0010-1.3</w:t>
            </w:r>
          </w:p>
        </w:tc>
      </w:tr>
      <w:tr w:rsidR="002B20A9" w:rsidRPr="00C86111" w14:paraId="33EB324A"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tcPr>
          <w:p w14:paraId="5DCD4801"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275032FE"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618" w:type="dxa"/>
          </w:tcPr>
          <w:p w14:paraId="4AC111F0"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22047</w:t>
            </w:r>
          </w:p>
        </w:tc>
        <w:tc>
          <w:tcPr>
            <w:tcW w:w="2292" w:type="dxa"/>
          </w:tcPr>
          <w:p w14:paraId="6BDA11F5" w14:textId="61A1A2DF"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27EFC1D1"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0.0009-1.1</w:t>
            </w:r>
          </w:p>
        </w:tc>
      </w:tr>
      <w:tr w:rsidR="002B20A9" w:rsidRPr="00C86111" w14:paraId="2A7214EC"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60F4FFAC"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tcPr>
          <w:p w14:paraId="32014B91"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618" w:type="dxa"/>
          </w:tcPr>
          <w:p w14:paraId="76BCCA98"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19983</w:t>
            </w:r>
          </w:p>
        </w:tc>
        <w:tc>
          <w:tcPr>
            <w:tcW w:w="2292" w:type="dxa"/>
          </w:tcPr>
          <w:p w14:paraId="43B53004" w14:textId="10F23C4D"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89" w:type="dxa"/>
          </w:tcPr>
          <w:p w14:paraId="18FFDA9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0.0008-1.0</w:t>
            </w:r>
          </w:p>
        </w:tc>
      </w:tr>
    </w:tbl>
    <w:p w14:paraId="75996671" w14:textId="77777777" w:rsidR="002B20A9" w:rsidRPr="00C86111" w:rsidRDefault="002B20A9" w:rsidP="002B20A9">
      <w:pPr>
        <w:jc w:val="both"/>
        <w:rPr>
          <w:rFonts w:asciiTheme="minorHAnsi" w:eastAsia="Times New Roman" w:hAnsiTheme="minorHAnsi" w:cstheme="minorHAnsi"/>
          <w:color w:val="auto"/>
          <w:lang w:eastAsia="en-GB"/>
        </w:rPr>
      </w:pPr>
    </w:p>
    <w:p w14:paraId="18FBEC8C" w14:textId="2A795FBE"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U tabelama </w:t>
      </w:r>
      <w:r w:rsidR="00626D74" w:rsidRPr="00C86111">
        <w:rPr>
          <w:rFonts w:asciiTheme="minorHAnsi" w:eastAsia="Times New Roman" w:hAnsiTheme="minorHAnsi" w:cstheme="minorHAnsi"/>
          <w:color w:val="auto"/>
          <w:lang w:eastAsia="en-GB"/>
        </w:rPr>
        <w:t>91</w:t>
      </w:r>
      <w:r w:rsidRPr="00C86111">
        <w:rPr>
          <w:rFonts w:asciiTheme="minorHAnsi" w:eastAsia="Times New Roman" w:hAnsiTheme="minorHAnsi" w:cstheme="minorHAnsi"/>
          <w:color w:val="auto"/>
          <w:lang w:eastAsia="en-GB"/>
        </w:rPr>
        <w:t>-</w:t>
      </w:r>
      <w:r w:rsidR="00626D74" w:rsidRPr="00C86111">
        <w:rPr>
          <w:rFonts w:asciiTheme="minorHAnsi" w:eastAsia="Times New Roman" w:hAnsiTheme="minorHAnsi" w:cstheme="minorHAnsi"/>
          <w:color w:val="auto"/>
          <w:lang w:eastAsia="en-GB"/>
        </w:rPr>
        <w:t>93</w:t>
      </w:r>
      <w:r w:rsidRPr="00C86111">
        <w:rPr>
          <w:rFonts w:asciiTheme="minorHAnsi" w:eastAsia="Times New Roman" w:hAnsiTheme="minorHAnsi" w:cstheme="minorHAnsi"/>
          <w:color w:val="auto"/>
          <w:lang w:eastAsia="en-GB"/>
        </w:rPr>
        <w:t>. dat je pregled količine uvezenih sintetičkih tepiha, impregniranog tekstila i impregnirane odjeće za period 2017-2023 godina, zajedno sa izračunatim količinama PFHxS.</w:t>
      </w:r>
    </w:p>
    <w:p w14:paraId="13AE7521" w14:textId="77777777" w:rsidR="002B20A9" w:rsidRPr="00C86111" w:rsidRDefault="002B20A9" w:rsidP="002B20A9">
      <w:pPr>
        <w:jc w:val="both"/>
        <w:rPr>
          <w:rFonts w:asciiTheme="minorHAnsi" w:eastAsia="Times New Roman" w:hAnsiTheme="minorHAnsi" w:cstheme="minorHAnsi"/>
          <w:color w:val="auto"/>
          <w:lang w:eastAsia="en-GB"/>
        </w:rPr>
      </w:pPr>
    </w:p>
    <w:p w14:paraId="26D0244B" w14:textId="6D582523"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t xml:space="preserve">Tabela </w:t>
      </w:r>
      <w:r w:rsidR="00626D74" w:rsidRPr="00C86111">
        <w:rPr>
          <w:rFonts w:asciiTheme="minorHAnsi" w:eastAsia="SimSun" w:hAnsiTheme="minorHAnsi" w:cstheme="minorHAnsi"/>
          <w:b/>
          <w:bCs/>
          <w:color w:val="auto"/>
        </w:rPr>
        <w:t>91</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Količine uvezenih sintetičkih tepiha za period 2017-2023 godina i procijenjene količine PFHxS</w:t>
      </w:r>
    </w:p>
    <w:tbl>
      <w:tblPr>
        <w:tblStyle w:val="GridTable5Dark-Accent6"/>
        <w:tblW w:w="8906" w:type="dxa"/>
        <w:tblLook w:val="04A0" w:firstRow="1" w:lastRow="0" w:firstColumn="1" w:lastColumn="0" w:noHBand="0" w:noVBand="1"/>
      </w:tblPr>
      <w:tblGrid>
        <w:gridCol w:w="1837"/>
        <w:gridCol w:w="1269"/>
        <w:gridCol w:w="1618"/>
        <w:gridCol w:w="2292"/>
        <w:gridCol w:w="1890"/>
      </w:tblGrid>
      <w:tr w:rsidR="002B20A9" w:rsidRPr="00C86111" w14:paraId="29234381" w14:textId="77777777" w:rsidTr="002A4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Align w:val="center"/>
          </w:tcPr>
          <w:p w14:paraId="03779C7B" w14:textId="77777777" w:rsidR="002B20A9" w:rsidRPr="00C86111" w:rsidRDefault="002B20A9" w:rsidP="002A416E">
            <w:pPr>
              <w:jc w:val="center"/>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69" w:type="dxa"/>
            <w:vAlign w:val="center"/>
            <w:hideMark/>
          </w:tcPr>
          <w:p w14:paraId="1EBADE0C"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618" w:type="dxa"/>
            <w:vAlign w:val="center"/>
            <w:hideMark/>
          </w:tcPr>
          <w:p w14:paraId="01E53127"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(kg)</w:t>
            </w:r>
          </w:p>
        </w:tc>
        <w:tc>
          <w:tcPr>
            <w:tcW w:w="2292" w:type="dxa"/>
            <w:vAlign w:val="center"/>
          </w:tcPr>
          <w:p w14:paraId="509B60E3"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PFHxS sadržaj</w:t>
            </w:r>
          </w:p>
          <w:p w14:paraId="73E0B563"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0E9B8E67"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(µg PFHxS/kg proizvoda)</w:t>
            </w:r>
          </w:p>
        </w:tc>
        <w:tc>
          <w:tcPr>
            <w:tcW w:w="1890" w:type="dxa"/>
            <w:vAlign w:val="center"/>
          </w:tcPr>
          <w:p w14:paraId="00B2CD94"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PFHxS (g)</w:t>
            </w:r>
          </w:p>
          <w:p w14:paraId="6685572B"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246DF380"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6624CEB1"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vAlign w:val="center"/>
          </w:tcPr>
          <w:p w14:paraId="48E162B6" w14:textId="77777777" w:rsidR="002B20A9" w:rsidRPr="00C86111" w:rsidRDefault="002B20A9" w:rsidP="002A416E">
            <w:pPr>
              <w:jc w:val="center"/>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Sintetički tepisi</w:t>
            </w:r>
          </w:p>
          <w:p w14:paraId="0994B876"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vAlign w:val="center"/>
          </w:tcPr>
          <w:p w14:paraId="29754044"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618" w:type="dxa"/>
            <w:vAlign w:val="center"/>
          </w:tcPr>
          <w:p w14:paraId="122F296D"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369598</w:t>
            </w:r>
          </w:p>
        </w:tc>
        <w:tc>
          <w:tcPr>
            <w:tcW w:w="2292" w:type="dxa"/>
            <w:vAlign w:val="center"/>
          </w:tcPr>
          <w:p w14:paraId="36550155" w14:textId="3800100B"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0.448 – 5.016</w:t>
            </w:r>
          </w:p>
        </w:tc>
        <w:tc>
          <w:tcPr>
            <w:tcW w:w="1890" w:type="dxa"/>
            <w:vAlign w:val="center"/>
          </w:tcPr>
          <w:p w14:paraId="7620DF5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0.17-1.9</w:t>
            </w:r>
          </w:p>
        </w:tc>
      </w:tr>
      <w:tr w:rsidR="002B20A9" w:rsidRPr="00C86111" w14:paraId="59FEBE3A"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2D1A3E3C"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vAlign w:val="center"/>
          </w:tcPr>
          <w:p w14:paraId="62D246C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618" w:type="dxa"/>
            <w:vAlign w:val="center"/>
          </w:tcPr>
          <w:p w14:paraId="37F24F55"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336922</w:t>
            </w:r>
          </w:p>
        </w:tc>
        <w:tc>
          <w:tcPr>
            <w:tcW w:w="2292" w:type="dxa"/>
            <w:vAlign w:val="center"/>
          </w:tcPr>
          <w:p w14:paraId="65DA4033" w14:textId="75744711"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0.448 – 5.016</w:t>
            </w:r>
          </w:p>
        </w:tc>
        <w:tc>
          <w:tcPr>
            <w:tcW w:w="1890" w:type="dxa"/>
            <w:vAlign w:val="center"/>
          </w:tcPr>
          <w:p w14:paraId="00DDD9F2"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0.15-1.7</w:t>
            </w:r>
          </w:p>
        </w:tc>
      </w:tr>
      <w:tr w:rsidR="002B20A9" w:rsidRPr="00C86111" w14:paraId="73891846"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1CD4A272"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vAlign w:val="center"/>
          </w:tcPr>
          <w:p w14:paraId="2468B985"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618" w:type="dxa"/>
            <w:vAlign w:val="center"/>
          </w:tcPr>
          <w:p w14:paraId="60A1EF71"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437076</w:t>
            </w:r>
          </w:p>
        </w:tc>
        <w:tc>
          <w:tcPr>
            <w:tcW w:w="2292" w:type="dxa"/>
            <w:vAlign w:val="center"/>
          </w:tcPr>
          <w:p w14:paraId="3F6BB0DF" w14:textId="08D7458D"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0.448 – 5.016</w:t>
            </w:r>
          </w:p>
        </w:tc>
        <w:tc>
          <w:tcPr>
            <w:tcW w:w="1890" w:type="dxa"/>
            <w:vAlign w:val="center"/>
          </w:tcPr>
          <w:p w14:paraId="216D274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0.20-2.2</w:t>
            </w:r>
          </w:p>
        </w:tc>
      </w:tr>
      <w:tr w:rsidR="002B20A9" w:rsidRPr="00C86111" w14:paraId="136BD66A"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6D751FD3"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vAlign w:val="center"/>
          </w:tcPr>
          <w:p w14:paraId="4152DF2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618" w:type="dxa"/>
            <w:vAlign w:val="center"/>
          </w:tcPr>
          <w:p w14:paraId="2347E4F7"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393617</w:t>
            </w:r>
          </w:p>
        </w:tc>
        <w:tc>
          <w:tcPr>
            <w:tcW w:w="2292" w:type="dxa"/>
            <w:vAlign w:val="center"/>
          </w:tcPr>
          <w:p w14:paraId="18278CA2" w14:textId="4593D4C4"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0.448 – 5.016</w:t>
            </w:r>
          </w:p>
        </w:tc>
        <w:tc>
          <w:tcPr>
            <w:tcW w:w="1890" w:type="dxa"/>
            <w:vAlign w:val="center"/>
          </w:tcPr>
          <w:p w14:paraId="404ADF7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0.18-2.0</w:t>
            </w:r>
          </w:p>
        </w:tc>
      </w:tr>
      <w:tr w:rsidR="002B20A9" w:rsidRPr="00C86111" w14:paraId="1BB016EB"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2B0D4F7D"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vAlign w:val="center"/>
          </w:tcPr>
          <w:p w14:paraId="38AF43F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618" w:type="dxa"/>
            <w:vAlign w:val="center"/>
          </w:tcPr>
          <w:p w14:paraId="36CFB84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401555</w:t>
            </w:r>
          </w:p>
        </w:tc>
        <w:tc>
          <w:tcPr>
            <w:tcW w:w="2292" w:type="dxa"/>
            <w:vAlign w:val="center"/>
          </w:tcPr>
          <w:p w14:paraId="59DDF35B" w14:textId="535632ED"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0.448 – 5.016</w:t>
            </w:r>
          </w:p>
        </w:tc>
        <w:tc>
          <w:tcPr>
            <w:tcW w:w="1890" w:type="dxa"/>
            <w:vAlign w:val="center"/>
          </w:tcPr>
          <w:p w14:paraId="32CDC94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0.19-2.0</w:t>
            </w:r>
          </w:p>
        </w:tc>
      </w:tr>
      <w:tr w:rsidR="002B20A9" w:rsidRPr="00C86111" w14:paraId="69ADDBCF"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4D6BF296"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vAlign w:val="center"/>
          </w:tcPr>
          <w:p w14:paraId="41464DB1"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618" w:type="dxa"/>
            <w:vAlign w:val="center"/>
          </w:tcPr>
          <w:p w14:paraId="411F5A0A"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612119</w:t>
            </w:r>
          </w:p>
        </w:tc>
        <w:tc>
          <w:tcPr>
            <w:tcW w:w="2292" w:type="dxa"/>
            <w:vAlign w:val="center"/>
          </w:tcPr>
          <w:p w14:paraId="6ACE0A32" w14:textId="2CEC9221"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0.448 – 5.016</w:t>
            </w:r>
          </w:p>
        </w:tc>
        <w:tc>
          <w:tcPr>
            <w:tcW w:w="1890" w:type="dxa"/>
            <w:vAlign w:val="center"/>
          </w:tcPr>
          <w:p w14:paraId="7D6A14D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0.27-3.1</w:t>
            </w:r>
          </w:p>
        </w:tc>
      </w:tr>
      <w:tr w:rsidR="002B20A9" w:rsidRPr="00C86111" w14:paraId="3CAED405"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4DD68976"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vAlign w:val="center"/>
          </w:tcPr>
          <w:p w14:paraId="3A6457F9"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618" w:type="dxa"/>
            <w:vAlign w:val="center"/>
          </w:tcPr>
          <w:p w14:paraId="368FB8B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553126</w:t>
            </w:r>
          </w:p>
        </w:tc>
        <w:tc>
          <w:tcPr>
            <w:tcW w:w="2292" w:type="dxa"/>
            <w:vAlign w:val="center"/>
          </w:tcPr>
          <w:p w14:paraId="42ADDC02" w14:textId="0AAEC246"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0.448 – 5.016</w:t>
            </w:r>
          </w:p>
        </w:tc>
        <w:tc>
          <w:tcPr>
            <w:tcW w:w="1890" w:type="dxa"/>
            <w:vAlign w:val="center"/>
          </w:tcPr>
          <w:p w14:paraId="22DE13EB"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0.25-2.8</w:t>
            </w:r>
          </w:p>
        </w:tc>
      </w:tr>
    </w:tbl>
    <w:p w14:paraId="1A089FC2" w14:textId="77777777" w:rsidR="002B20A9" w:rsidRPr="00C86111" w:rsidRDefault="002B20A9" w:rsidP="002B20A9">
      <w:pPr>
        <w:jc w:val="both"/>
        <w:rPr>
          <w:rFonts w:asciiTheme="minorHAnsi" w:hAnsiTheme="minorHAnsi" w:cstheme="minorHAnsi"/>
          <w:color w:val="auto"/>
        </w:rPr>
      </w:pPr>
    </w:p>
    <w:p w14:paraId="57E58415" w14:textId="77777777" w:rsidR="002B20A9" w:rsidRDefault="002B20A9" w:rsidP="002B20A9">
      <w:pPr>
        <w:jc w:val="both"/>
        <w:rPr>
          <w:rFonts w:asciiTheme="minorHAnsi" w:hAnsiTheme="minorHAnsi" w:cstheme="minorHAnsi"/>
          <w:color w:val="auto"/>
        </w:rPr>
      </w:pPr>
    </w:p>
    <w:p w14:paraId="514A7644" w14:textId="77777777" w:rsidR="0037538F" w:rsidRDefault="0037538F" w:rsidP="002B20A9">
      <w:pPr>
        <w:jc w:val="both"/>
        <w:rPr>
          <w:rFonts w:asciiTheme="minorHAnsi" w:hAnsiTheme="minorHAnsi" w:cstheme="minorHAnsi"/>
          <w:color w:val="auto"/>
        </w:rPr>
      </w:pPr>
    </w:p>
    <w:p w14:paraId="334C1CC8" w14:textId="77777777" w:rsidR="0037538F" w:rsidRDefault="0037538F" w:rsidP="002B20A9">
      <w:pPr>
        <w:jc w:val="both"/>
        <w:rPr>
          <w:rFonts w:asciiTheme="minorHAnsi" w:hAnsiTheme="minorHAnsi" w:cstheme="minorHAnsi"/>
          <w:color w:val="auto"/>
        </w:rPr>
      </w:pPr>
    </w:p>
    <w:p w14:paraId="3102F767" w14:textId="77777777" w:rsidR="0037538F" w:rsidRDefault="0037538F" w:rsidP="002B20A9">
      <w:pPr>
        <w:jc w:val="both"/>
        <w:rPr>
          <w:rFonts w:asciiTheme="minorHAnsi" w:hAnsiTheme="minorHAnsi" w:cstheme="minorHAnsi"/>
          <w:color w:val="auto"/>
        </w:rPr>
      </w:pPr>
    </w:p>
    <w:p w14:paraId="1BEAC943" w14:textId="77777777" w:rsidR="0037538F" w:rsidRPr="00C86111" w:rsidRDefault="0037538F" w:rsidP="002B20A9">
      <w:pPr>
        <w:jc w:val="both"/>
        <w:rPr>
          <w:rFonts w:asciiTheme="minorHAnsi" w:hAnsiTheme="minorHAnsi" w:cstheme="minorHAnsi"/>
          <w:color w:val="auto"/>
        </w:rPr>
      </w:pPr>
    </w:p>
    <w:p w14:paraId="1B08F2B9" w14:textId="21316569"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lastRenderedPageBreak/>
        <w:t xml:space="preserve">Tabela </w:t>
      </w:r>
      <w:r w:rsidR="00626D74" w:rsidRPr="00C86111">
        <w:rPr>
          <w:rFonts w:asciiTheme="minorHAnsi" w:eastAsia="SimSun" w:hAnsiTheme="minorHAnsi" w:cstheme="minorHAnsi"/>
          <w:b/>
          <w:bCs/>
          <w:color w:val="auto"/>
        </w:rPr>
        <w:t>92</w:t>
      </w:r>
      <w:r w:rsidRPr="00C86111">
        <w:rPr>
          <w:rFonts w:asciiTheme="minorHAnsi" w:eastAsia="SimSun" w:hAnsiTheme="minorHAnsi" w:cstheme="minorHAnsi"/>
          <w:b/>
          <w:bCs/>
          <w:color w:val="auto"/>
        </w:rPr>
        <w:t>.</w:t>
      </w:r>
      <w:r w:rsidRPr="00C86111">
        <w:rPr>
          <w:rFonts w:asciiTheme="minorHAnsi" w:eastAsia="SimSun" w:hAnsiTheme="minorHAnsi" w:cstheme="minorHAnsi"/>
          <w:color w:val="auto"/>
        </w:rPr>
        <w:t xml:space="preserve"> Količine uvezenog impregniranog tekstila za period 2017-2023 godina kao i procijenjene količine PFHxS</w:t>
      </w:r>
    </w:p>
    <w:tbl>
      <w:tblPr>
        <w:tblStyle w:val="GridTable5Dark-Accent6"/>
        <w:tblW w:w="8906" w:type="dxa"/>
        <w:tblLook w:val="04A0" w:firstRow="1" w:lastRow="0" w:firstColumn="1" w:lastColumn="0" w:noHBand="0" w:noVBand="1"/>
      </w:tblPr>
      <w:tblGrid>
        <w:gridCol w:w="1837"/>
        <w:gridCol w:w="1269"/>
        <w:gridCol w:w="1618"/>
        <w:gridCol w:w="2292"/>
        <w:gridCol w:w="1890"/>
      </w:tblGrid>
      <w:tr w:rsidR="002B20A9" w:rsidRPr="00C86111" w14:paraId="7B68BE85" w14:textId="77777777" w:rsidTr="002A4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Align w:val="center"/>
          </w:tcPr>
          <w:p w14:paraId="5B632B2F" w14:textId="77777777" w:rsidR="002B20A9" w:rsidRPr="00C86111" w:rsidRDefault="002B20A9" w:rsidP="00BC765B">
            <w:pPr>
              <w:jc w:val="both"/>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69" w:type="dxa"/>
            <w:vAlign w:val="center"/>
            <w:hideMark/>
          </w:tcPr>
          <w:p w14:paraId="067C9AEC"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618" w:type="dxa"/>
            <w:vAlign w:val="center"/>
            <w:hideMark/>
          </w:tcPr>
          <w:p w14:paraId="754FF1F9"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(kg)</w:t>
            </w:r>
          </w:p>
        </w:tc>
        <w:tc>
          <w:tcPr>
            <w:tcW w:w="2292" w:type="dxa"/>
            <w:vAlign w:val="center"/>
          </w:tcPr>
          <w:p w14:paraId="1702DE09"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PFHxS sadržaj</w:t>
            </w:r>
          </w:p>
          <w:p w14:paraId="640CCD6B"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5A316D04"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(µg PFHxS/kg proizvoda)</w:t>
            </w:r>
          </w:p>
        </w:tc>
        <w:tc>
          <w:tcPr>
            <w:tcW w:w="1890" w:type="dxa"/>
            <w:vAlign w:val="center"/>
          </w:tcPr>
          <w:p w14:paraId="353028EA"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PFHxS (g)</w:t>
            </w:r>
          </w:p>
          <w:p w14:paraId="139E7985"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41A894FE" w14:textId="77777777" w:rsidR="002B20A9" w:rsidRPr="00C86111" w:rsidRDefault="002B20A9" w:rsidP="00E71878">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00317139"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vAlign w:val="center"/>
          </w:tcPr>
          <w:p w14:paraId="7C61E3E2"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Impregnirani tekstil</w:t>
            </w:r>
          </w:p>
          <w:p w14:paraId="527040C6" w14:textId="77777777" w:rsidR="002B20A9" w:rsidRPr="00C86111" w:rsidRDefault="002B20A9" w:rsidP="00BC765B">
            <w:pPr>
              <w:jc w:val="both"/>
              <w:rPr>
                <w:rFonts w:asciiTheme="minorHAnsi" w:hAnsiTheme="minorHAnsi" w:cstheme="minorHAnsi"/>
                <w:color w:val="auto"/>
                <w:sz w:val="20"/>
                <w:szCs w:val="20"/>
              </w:rPr>
            </w:pPr>
          </w:p>
        </w:tc>
        <w:tc>
          <w:tcPr>
            <w:tcW w:w="1269" w:type="dxa"/>
            <w:vAlign w:val="center"/>
          </w:tcPr>
          <w:p w14:paraId="3771C68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618" w:type="dxa"/>
            <w:vAlign w:val="center"/>
          </w:tcPr>
          <w:p w14:paraId="22D9A6F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67709</w:t>
            </w:r>
          </w:p>
        </w:tc>
        <w:tc>
          <w:tcPr>
            <w:tcW w:w="2292" w:type="dxa"/>
            <w:vAlign w:val="center"/>
          </w:tcPr>
          <w:p w14:paraId="12E6687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90" w:type="dxa"/>
            <w:vAlign w:val="center"/>
          </w:tcPr>
          <w:p w14:paraId="2C42227A"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0.015-0.20</w:t>
            </w:r>
          </w:p>
        </w:tc>
      </w:tr>
      <w:tr w:rsidR="002B20A9" w:rsidRPr="00C86111" w14:paraId="1AB8E30A"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03D15574"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vAlign w:val="center"/>
          </w:tcPr>
          <w:p w14:paraId="10C7EA0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618" w:type="dxa"/>
            <w:vAlign w:val="center"/>
          </w:tcPr>
          <w:p w14:paraId="606A012B"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55382</w:t>
            </w:r>
          </w:p>
        </w:tc>
        <w:tc>
          <w:tcPr>
            <w:tcW w:w="2292" w:type="dxa"/>
            <w:vAlign w:val="center"/>
          </w:tcPr>
          <w:p w14:paraId="5DBBB47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90" w:type="dxa"/>
            <w:vAlign w:val="center"/>
          </w:tcPr>
          <w:p w14:paraId="0507E3C0"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0.012-0.16</w:t>
            </w:r>
          </w:p>
        </w:tc>
      </w:tr>
      <w:tr w:rsidR="002B20A9" w:rsidRPr="00C86111" w14:paraId="72EF82B9"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41EAC981"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vAlign w:val="center"/>
          </w:tcPr>
          <w:p w14:paraId="67412FA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618" w:type="dxa"/>
            <w:vAlign w:val="center"/>
          </w:tcPr>
          <w:p w14:paraId="4ACE190C"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53522</w:t>
            </w:r>
          </w:p>
        </w:tc>
        <w:tc>
          <w:tcPr>
            <w:tcW w:w="2292" w:type="dxa"/>
            <w:vAlign w:val="center"/>
          </w:tcPr>
          <w:p w14:paraId="5FA3B31B"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90" w:type="dxa"/>
            <w:vAlign w:val="center"/>
          </w:tcPr>
          <w:p w14:paraId="261AF32B"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0.012-0.16</w:t>
            </w:r>
          </w:p>
        </w:tc>
      </w:tr>
      <w:tr w:rsidR="002B20A9" w:rsidRPr="00C86111" w14:paraId="34809556"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6976E5B2"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vAlign w:val="center"/>
          </w:tcPr>
          <w:p w14:paraId="1156CC7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618" w:type="dxa"/>
            <w:vAlign w:val="center"/>
          </w:tcPr>
          <w:p w14:paraId="49EF7D53"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43857</w:t>
            </w:r>
          </w:p>
        </w:tc>
        <w:tc>
          <w:tcPr>
            <w:tcW w:w="2292" w:type="dxa"/>
            <w:vAlign w:val="center"/>
          </w:tcPr>
          <w:p w14:paraId="03A7AF8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90" w:type="dxa"/>
            <w:vAlign w:val="center"/>
          </w:tcPr>
          <w:p w14:paraId="530651E5"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0.010-0.13</w:t>
            </w:r>
          </w:p>
        </w:tc>
      </w:tr>
      <w:tr w:rsidR="002B20A9" w:rsidRPr="00C86111" w14:paraId="55255B77"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43EDC13C"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vAlign w:val="center"/>
          </w:tcPr>
          <w:p w14:paraId="131AEF18"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618" w:type="dxa"/>
            <w:vAlign w:val="center"/>
          </w:tcPr>
          <w:p w14:paraId="0B532C7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45335</w:t>
            </w:r>
          </w:p>
        </w:tc>
        <w:tc>
          <w:tcPr>
            <w:tcW w:w="2292" w:type="dxa"/>
            <w:vAlign w:val="center"/>
          </w:tcPr>
          <w:p w14:paraId="10DD5BF3"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90" w:type="dxa"/>
            <w:vAlign w:val="center"/>
          </w:tcPr>
          <w:p w14:paraId="171D2BC8"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0.010-0.13</w:t>
            </w:r>
          </w:p>
        </w:tc>
      </w:tr>
      <w:tr w:rsidR="002B20A9" w:rsidRPr="00C86111" w14:paraId="39DB802F"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1532CCD5"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vAlign w:val="center"/>
          </w:tcPr>
          <w:p w14:paraId="58E8D0B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618" w:type="dxa"/>
            <w:vAlign w:val="center"/>
          </w:tcPr>
          <w:p w14:paraId="769C8F77"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52675</w:t>
            </w:r>
          </w:p>
        </w:tc>
        <w:tc>
          <w:tcPr>
            <w:tcW w:w="2292" w:type="dxa"/>
            <w:vAlign w:val="center"/>
          </w:tcPr>
          <w:p w14:paraId="6F38B9E5"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90" w:type="dxa"/>
            <w:vAlign w:val="center"/>
          </w:tcPr>
          <w:p w14:paraId="6E40752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0.012-0.15</w:t>
            </w:r>
          </w:p>
        </w:tc>
      </w:tr>
      <w:tr w:rsidR="002B20A9" w:rsidRPr="00C86111" w14:paraId="019A0571"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ign w:val="center"/>
          </w:tcPr>
          <w:p w14:paraId="34D16045" w14:textId="77777777" w:rsidR="002B20A9" w:rsidRPr="00C86111" w:rsidRDefault="002B20A9" w:rsidP="00BC765B">
            <w:pPr>
              <w:jc w:val="both"/>
              <w:rPr>
                <w:rFonts w:asciiTheme="minorHAnsi" w:eastAsia="Times New Roman" w:hAnsiTheme="minorHAnsi" w:cstheme="minorHAnsi"/>
                <w:color w:val="auto"/>
                <w:sz w:val="20"/>
                <w:szCs w:val="20"/>
              </w:rPr>
            </w:pPr>
          </w:p>
        </w:tc>
        <w:tc>
          <w:tcPr>
            <w:tcW w:w="1269" w:type="dxa"/>
            <w:vAlign w:val="center"/>
          </w:tcPr>
          <w:p w14:paraId="5F66FEB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618" w:type="dxa"/>
            <w:vAlign w:val="center"/>
          </w:tcPr>
          <w:p w14:paraId="0D45E56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72272</w:t>
            </w:r>
          </w:p>
        </w:tc>
        <w:tc>
          <w:tcPr>
            <w:tcW w:w="2292" w:type="dxa"/>
            <w:vAlign w:val="center"/>
          </w:tcPr>
          <w:p w14:paraId="4D7D9799"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90" w:type="dxa"/>
            <w:vAlign w:val="center"/>
          </w:tcPr>
          <w:p w14:paraId="662DAEDB"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0.016-0.21</w:t>
            </w:r>
          </w:p>
        </w:tc>
      </w:tr>
    </w:tbl>
    <w:p w14:paraId="0CCF7986" w14:textId="77777777" w:rsidR="002B20A9" w:rsidRPr="00C86111" w:rsidRDefault="002B20A9" w:rsidP="002B20A9">
      <w:pPr>
        <w:jc w:val="both"/>
        <w:rPr>
          <w:rFonts w:asciiTheme="minorHAnsi" w:eastAsia="SimSun" w:hAnsiTheme="minorHAnsi" w:cstheme="minorHAnsi"/>
          <w:b/>
          <w:bCs/>
          <w:color w:val="auto"/>
        </w:rPr>
      </w:pPr>
    </w:p>
    <w:p w14:paraId="57BB0FA0" w14:textId="77777777" w:rsidR="002B20A9" w:rsidRPr="00C86111" w:rsidRDefault="002B20A9" w:rsidP="002B20A9">
      <w:pPr>
        <w:jc w:val="both"/>
        <w:rPr>
          <w:rFonts w:asciiTheme="minorHAnsi" w:eastAsia="SimSun" w:hAnsiTheme="minorHAnsi" w:cstheme="minorHAnsi"/>
          <w:b/>
          <w:bCs/>
          <w:color w:val="auto"/>
        </w:rPr>
      </w:pPr>
    </w:p>
    <w:p w14:paraId="3E53419B" w14:textId="4A543B31"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b/>
          <w:bCs/>
          <w:color w:val="auto"/>
        </w:rPr>
        <w:t xml:space="preserve">Tabela </w:t>
      </w:r>
      <w:r w:rsidR="00626D74" w:rsidRPr="00C86111">
        <w:rPr>
          <w:rFonts w:asciiTheme="minorHAnsi" w:eastAsia="SimSun" w:hAnsiTheme="minorHAnsi" w:cstheme="minorHAnsi"/>
          <w:b/>
          <w:bCs/>
          <w:color w:val="auto"/>
        </w:rPr>
        <w:t>93</w:t>
      </w:r>
      <w:r w:rsidRPr="00C86111">
        <w:rPr>
          <w:rFonts w:asciiTheme="minorHAnsi" w:eastAsia="SimSun" w:hAnsiTheme="minorHAnsi" w:cstheme="minorHAnsi"/>
          <w:color w:val="auto"/>
        </w:rPr>
        <w:t>. Količine uvezene impregnirane odjeće za period 2017-2023 godina kao i procijenjene količine PFHxS</w:t>
      </w:r>
    </w:p>
    <w:tbl>
      <w:tblPr>
        <w:tblStyle w:val="GridTable5Dark-Accent6"/>
        <w:tblW w:w="8906" w:type="dxa"/>
        <w:tblLook w:val="04A0" w:firstRow="1" w:lastRow="0" w:firstColumn="1" w:lastColumn="0" w:noHBand="0" w:noVBand="1"/>
      </w:tblPr>
      <w:tblGrid>
        <w:gridCol w:w="1837"/>
        <w:gridCol w:w="1269"/>
        <w:gridCol w:w="1618"/>
        <w:gridCol w:w="2292"/>
        <w:gridCol w:w="1890"/>
      </w:tblGrid>
      <w:tr w:rsidR="002B20A9" w:rsidRPr="00C86111" w14:paraId="003C0EBC" w14:textId="77777777" w:rsidTr="002A4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tcPr>
          <w:p w14:paraId="39389CB1" w14:textId="77777777" w:rsidR="002B20A9" w:rsidRPr="00C86111" w:rsidRDefault="002B20A9" w:rsidP="002A416E">
            <w:pPr>
              <w:jc w:val="center"/>
              <w:rPr>
                <w:rFonts w:asciiTheme="minorHAnsi" w:eastAsia="Times New Roman"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Proizvod</w:t>
            </w:r>
          </w:p>
        </w:tc>
        <w:tc>
          <w:tcPr>
            <w:tcW w:w="1269" w:type="dxa"/>
            <w:hideMark/>
          </w:tcPr>
          <w:p w14:paraId="4BDFFAFB"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Times New Roman" w:hAnsiTheme="minorHAnsi" w:cstheme="minorHAnsi"/>
                <w:color w:val="auto"/>
                <w:sz w:val="20"/>
                <w:szCs w:val="20"/>
                <w:lang w:val="sr-Latn-ME"/>
              </w:rPr>
              <w:t>Godina</w:t>
            </w:r>
          </w:p>
        </w:tc>
        <w:tc>
          <w:tcPr>
            <w:tcW w:w="1618" w:type="dxa"/>
            <w:hideMark/>
          </w:tcPr>
          <w:p w14:paraId="6AAC505D"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Količina (kg)</w:t>
            </w:r>
          </w:p>
        </w:tc>
        <w:tc>
          <w:tcPr>
            <w:tcW w:w="2292" w:type="dxa"/>
          </w:tcPr>
          <w:p w14:paraId="6F93F02D"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PFHxS sadržaj</w:t>
            </w:r>
          </w:p>
          <w:p w14:paraId="1971D9DF"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3FC00CAA"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(µg PFHxS/kg proizvoda)</w:t>
            </w:r>
          </w:p>
        </w:tc>
        <w:tc>
          <w:tcPr>
            <w:tcW w:w="1890" w:type="dxa"/>
          </w:tcPr>
          <w:p w14:paraId="45B2A8A1"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PFHxS (g)</w:t>
            </w:r>
          </w:p>
          <w:p w14:paraId="71FBFE47"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6B56E92B" w14:textId="77777777" w:rsidR="002B20A9" w:rsidRPr="00C86111" w:rsidRDefault="002B20A9" w:rsidP="002A416E">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5C2F284A"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1B0DFC5E" w14:textId="77777777" w:rsidR="002B20A9" w:rsidRPr="00C86111" w:rsidRDefault="002B20A9" w:rsidP="002A416E">
            <w:pPr>
              <w:jc w:val="center"/>
              <w:rPr>
                <w:rFonts w:asciiTheme="minorHAnsi" w:hAnsiTheme="minorHAnsi" w:cstheme="minorHAnsi"/>
                <w:color w:val="auto"/>
                <w:sz w:val="20"/>
                <w:szCs w:val="20"/>
              </w:rPr>
            </w:pPr>
            <w:r w:rsidRPr="00C86111">
              <w:rPr>
                <w:rFonts w:asciiTheme="minorHAnsi" w:hAnsiTheme="minorHAnsi" w:cstheme="minorHAnsi"/>
                <w:color w:val="auto"/>
                <w:sz w:val="20"/>
                <w:szCs w:val="20"/>
              </w:rPr>
              <w:t>Impregnirana odjeća</w:t>
            </w:r>
          </w:p>
        </w:tc>
        <w:tc>
          <w:tcPr>
            <w:tcW w:w="1269" w:type="dxa"/>
          </w:tcPr>
          <w:p w14:paraId="0297733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2017</w:t>
            </w:r>
          </w:p>
        </w:tc>
        <w:tc>
          <w:tcPr>
            <w:tcW w:w="1618" w:type="dxa"/>
          </w:tcPr>
          <w:p w14:paraId="072C281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10826</w:t>
            </w:r>
          </w:p>
        </w:tc>
        <w:tc>
          <w:tcPr>
            <w:tcW w:w="2292" w:type="dxa"/>
          </w:tcPr>
          <w:p w14:paraId="440B317C"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Calibri" w:hAnsiTheme="minorHAnsi" w:cstheme="minorHAnsi"/>
                <w:color w:val="auto"/>
                <w:sz w:val="20"/>
                <w:szCs w:val="20"/>
              </w:rPr>
              <w:t>0 – 2260</w:t>
            </w:r>
          </w:p>
        </w:tc>
        <w:tc>
          <w:tcPr>
            <w:tcW w:w="1890" w:type="dxa"/>
          </w:tcPr>
          <w:p w14:paraId="7C7629D1"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0-25</w:t>
            </w:r>
          </w:p>
        </w:tc>
      </w:tr>
      <w:tr w:rsidR="002B20A9" w:rsidRPr="00C86111" w14:paraId="0FB8DECC"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tcPr>
          <w:p w14:paraId="18299858"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tcPr>
          <w:p w14:paraId="0EC62C4F"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2018</w:t>
            </w:r>
          </w:p>
        </w:tc>
        <w:tc>
          <w:tcPr>
            <w:tcW w:w="1618" w:type="dxa"/>
          </w:tcPr>
          <w:p w14:paraId="639E78FC"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9204</w:t>
            </w:r>
          </w:p>
        </w:tc>
        <w:tc>
          <w:tcPr>
            <w:tcW w:w="2292" w:type="dxa"/>
          </w:tcPr>
          <w:p w14:paraId="519454C8"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 – 2260</w:t>
            </w:r>
          </w:p>
        </w:tc>
        <w:tc>
          <w:tcPr>
            <w:tcW w:w="1890" w:type="dxa"/>
          </w:tcPr>
          <w:p w14:paraId="4285527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0-21</w:t>
            </w:r>
          </w:p>
        </w:tc>
      </w:tr>
      <w:tr w:rsidR="002B20A9" w:rsidRPr="00C86111" w14:paraId="35C2FCFA"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247E37E"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tcPr>
          <w:p w14:paraId="5AEF3921"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eastAsia="Times New Roman" w:hAnsiTheme="minorHAnsi" w:cstheme="minorHAnsi"/>
                <w:color w:val="auto"/>
                <w:sz w:val="20"/>
                <w:szCs w:val="20"/>
              </w:rPr>
              <w:t>2019</w:t>
            </w:r>
          </w:p>
        </w:tc>
        <w:tc>
          <w:tcPr>
            <w:tcW w:w="1618" w:type="dxa"/>
          </w:tcPr>
          <w:p w14:paraId="266F9775"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12848</w:t>
            </w:r>
          </w:p>
        </w:tc>
        <w:tc>
          <w:tcPr>
            <w:tcW w:w="2292" w:type="dxa"/>
          </w:tcPr>
          <w:p w14:paraId="22122FA2"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 – 2260</w:t>
            </w:r>
          </w:p>
        </w:tc>
        <w:tc>
          <w:tcPr>
            <w:tcW w:w="1890" w:type="dxa"/>
          </w:tcPr>
          <w:p w14:paraId="2EBA224F"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0-29</w:t>
            </w:r>
          </w:p>
        </w:tc>
      </w:tr>
      <w:tr w:rsidR="002B20A9" w:rsidRPr="00C86111" w14:paraId="507553C4"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tcPr>
          <w:p w14:paraId="146FD937"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tcPr>
          <w:p w14:paraId="21ECD704"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2020</w:t>
            </w:r>
          </w:p>
        </w:tc>
        <w:tc>
          <w:tcPr>
            <w:tcW w:w="1618" w:type="dxa"/>
          </w:tcPr>
          <w:p w14:paraId="16018B99"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26909</w:t>
            </w:r>
          </w:p>
        </w:tc>
        <w:tc>
          <w:tcPr>
            <w:tcW w:w="2292" w:type="dxa"/>
          </w:tcPr>
          <w:p w14:paraId="54552993"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 – 2260</w:t>
            </w:r>
          </w:p>
        </w:tc>
        <w:tc>
          <w:tcPr>
            <w:tcW w:w="1890" w:type="dxa"/>
          </w:tcPr>
          <w:p w14:paraId="6228C0B2"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0-61</w:t>
            </w:r>
          </w:p>
        </w:tc>
      </w:tr>
      <w:tr w:rsidR="002B20A9" w:rsidRPr="00C86111" w14:paraId="4536DFF2"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01B5DA5"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tcPr>
          <w:p w14:paraId="74E45BCE"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2021</w:t>
            </w:r>
          </w:p>
        </w:tc>
        <w:tc>
          <w:tcPr>
            <w:tcW w:w="1618" w:type="dxa"/>
          </w:tcPr>
          <w:p w14:paraId="77A2D802"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12326</w:t>
            </w:r>
          </w:p>
        </w:tc>
        <w:tc>
          <w:tcPr>
            <w:tcW w:w="2292" w:type="dxa"/>
          </w:tcPr>
          <w:p w14:paraId="3D45AD67"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 – 2260</w:t>
            </w:r>
          </w:p>
        </w:tc>
        <w:tc>
          <w:tcPr>
            <w:tcW w:w="1890" w:type="dxa"/>
          </w:tcPr>
          <w:p w14:paraId="351A18D1"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0-28</w:t>
            </w:r>
          </w:p>
        </w:tc>
      </w:tr>
      <w:tr w:rsidR="002B20A9" w:rsidRPr="00C86111" w14:paraId="7536A866" w14:textId="77777777" w:rsidTr="002A416E">
        <w:tc>
          <w:tcPr>
            <w:cnfStyle w:val="001000000000" w:firstRow="0" w:lastRow="0" w:firstColumn="1" w:lastColumn="0" w:oddVBand="0" w:evenVBand="0" w:oddHBand="0" w:evenHBand="0" w:firstRowFirstColumn="0" w:firstRowLastColumn="0" w:lastRowFirstColumn="0" w:lastRowLastColumn="0"/>
            <w:tcW w:w="1837" w:type="dxa"/>
            <w:vMerge/>
          </w:tcPr>
          <w:p w14:paraId="653A0E78"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tcPr>
          <w:p w14:paraId="7F49FD56"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2022</w:t>
            </w:r>
          </w:p>
        </w:tc>
        <w:tc>
          <w:tcPr>
            <w:tcW w:w="1618" w:type="dxa"/>
          </w:tcPr>
          <w:p w14:paraId="5488D416"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10449</w:t>
            </w:r>
          </w:p>
        </w:tc>
        <w:tc>
          <w:tcPr>
            <w:tcW w:w="2292" w:type="dxa"/>
          </w:tcPr>
          <w:p w14:paraId="203D35F9"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 – 2260</w:t>
            </w:r>
          </w:p>
        </w:tc>
        <w:tc>
          <w:tcPr>
            <w:tcW w:w="1890" w:type="dxa"/>
          </w:tcPr>
          <w:p w14:paraId="674C4D19" w14:textId="77777777" w:rsidR="002B20A9" w:rsidRPr="00C86111" w:rsidRDefault="002B20A9" w:rsidP="002A416E">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0-24</w:t>
            </w:r>
          </w:p>
        </w:tc>
      </w:tr>
      <w:tr w:rsidR="002B20A9" w:rsidRPr="00C86111" w14:paraId="1DE8C53E" w14:textId="77777777" w:rsidTr="002A4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CE7359C" w14:textId="77777777" w:rsidR="002B20A9" w:rsidRPr="00C86111" w:rsidRDefault="002B20A9" w:rsidP="002A416E">
            <w:pPr>
              <w:jc w:val="center"/>
              <w:rPr>
                <w:rFonts w:asciiTheme="minorHAnsi" w:eastAsia="Times New Roman" w:hAnsiTheme="minorHAnsi" w:cstheme="minorHAnsi"/>
                <w:color w:val="auto"/>
                <w:sz w:val="20"/>
                <w:szCs w:val="20"/>
              </w:rPr>
            </w:pPr>
          </w:p>
        </w:tc>
        <w:tc>
          <w:tcPr>
            <w:tcW w:w="1269" w:type="dxa"/>
          </w:tcPr>
          <w:p w14:paraId="5D007285"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Times New Roman" w:hAnsiTheme="minorHAnsi" w:cstheme="minorHAnsi"/>
                <w:color w:val="auto"/>
                <w:sz w:val="20"/>
                <w:szCs w:val="20"/>
              </w:rPr>
              <w:t>2023</w:t>
            </w:r>
          </w:p>
        </w:tc>
        <w:tc>
          <w:tcPr>
            <w:tcW w:w="1618" w:type="dxa"/>
          </w:tcPr>
          <w:p w14:paraId="753631C7"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9471</w:t>
            </w:r>
          </w:p>
        </w:tc>
        <w:tc>
          <w:tcPr>
            <w:tcW w:w="2292" w:type="dxa"/>
          </w:tcPr>
          <w:p w14:paraId="3B209ADA"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rPr>
            </w:pPr>
            <w:r w:rsidRPr="00C86111">
              <w:rPr>
                <w:rFonts w:asciiTheme="minorHAnsi" w:eastAsia="Calibri" w:hAnsiTheme="minorHAnsi" w:cstheme="minorHAnsi"/>
                <w:color w:val="auto"/>
                <w:sz w:val="20"/>
                <w:szCs w:val="20"/>
              </w:rPr>
              <w:t>0 – 2260</w:t>
            </w:r>
          </w:p>
        </w:tc>
        <w:tc>
          <w:tcPr>
            <w:tcW w:w="1890" w:type="dxa"/>
          </w:tcPr>
          <w:p w14:paraId="6CE164E6" w14:textId="77777777" w:rsidR="002B20A9" w:rsidRPr="00C86111" w:rsidRDefault="002B20A9" w:rsidP="002A416E">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rPr>
            </w:pPr>
            <w:r w:rsidRPr="00C86111">
              <w:rPr>
                <w:rFonts w:asciiTheme="minorHAnsi" w:hAnsiTheme="minorHAnsi" w:cstheme="minorHAnsi"/>
                <w:color w:val="auto"/>
                <w:sz w:val="20"/>
                <w:szCs w:val="20"/>
              </w:rPr>
              <w:t>0-21</w:t>
            </w:r>
          </w:p>
        </w:tc>
      </w:tr>
    </w:tbl>
    <w:p w14:paraId="05E38E67" w14:textId="77777777" w:rsidR="002B20A9" w:rsidRPr="00C86111" w:rsidRDefault="002B20A9" w:rsidP="002B20A9">
      <w:pPr>
        <w:jc w:val="both"/>
        <w:rPr>
          <w:rFonts w:asciiTheme="minorHAnsi" w:eastAsia="Times New Roman" w:hAnsiTheme="minorHAnsi" w:cstheme="minorHAnsi"/>
          <w:color w:val="auto"/>
          <w:lang w:eastAsia="en-GB"/>
        </w:rPr>
      </w:pPr>
    </w:p>
    <w:p w14:paraId="7DF484F9" w14:textId="77777777" w:rsidR="002B20A9" w:rsidRPr="00C86111" w:rsidRDefault="002B20A9" w:rsidP="00004F34">
      <w:pPr>
        <w:pStyle w:val="Heading1"/>
        <w:numPr>
          <w:ilvl w:val="1"/>
          <w:numId w:val="238"/>
        </w:numPr>
        <w:rPr>
          <w:lang w:eastAsia="en-GB"/>
        </w:rPr>
      </w:pPr>
      <w:bookmarkStart w:id="362" w:name="_Toc220541956"/>
      <w:r w:rsidRPr="00C86111">
        <w:rPr>
          <w:lang w:eastAsia="en-GB"/>
        </w:rPr>
        <w:t>Zaključak – PFOA i PFHxS u proizvodima na potrošačkom tržištu</w:t>
      </w:r>
      <w:bookmarkEnd w:id="362"/>
    </w:p>
    <w:p w14:paraId="289E52BF" w14:textId="77777777" w:rsidR="002B20A9" w:rsidRPr="00C86111" w:rsidRDefault="002B20A9" w:rsidP="002B20A9">
      <w:pPr>
        <w:jc w:val="both"/>
        <w:rPr>
          <w:rFonts w:asciiTheme="minorHAnsi" w:eastAsia="Times New Roman" w:hAnsiTheme="minorHAnsi" w:cstheme="minorHAnsi"/>
          <w:color w:val="002060"/>
          <w:lang w:eastAsia="en-GB"/>
        </w:rPr>
      </w:pPr>
    </w:p>
    <w:p w14:paraId="5CD940D4"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Na osnovu dobijenih rezultata koji se odnose na potencijalni sadržaj perfluorooktanske kiseline (PFOA) i perfluoroheksanske sulfonatne kiseline (PFHxS) u različitim vrstama proizvoda, mogu se izvesti sljedeći zaključci:</w:t>
      </w:r>
    </w:p>
    <w:p w14:paraId="1598DDE2" w14:textId="77777777" w:rsidR="002B20A9" w:rsidRPr="00C86111" w:rsidRDefault="002B20A9" w:rsidP="00004F34">
      <w:pPr>
        <w:pStyle w:val="ListParagraph"/>
        <w:numPr>
          <w:ilvl w:val="0"/>
          <w:numId w:val="155"/>
        </w:numPr>
        <w:jc w:val="both"/>
        <w:rPr>
          <w:rFonts w:asciiTheme="minorHAnsi" w:eastAsia="Times New Roman" w:hAnsiTheme="minorHAnsi" w:cstheme="minorHAnsi"/>
          <w:color w:val="002060"/>
          <w:lang w:eastAsia="en-GB"/>
        </w:rPr>
      </w:pPr>
      <w:r w:rsidRPr="00C86111">
        <w:rPr>
          <w:rFonts w:asciiTheme="minorHAnsi" w:eastAsia="Times New Roman" w:hAnsiTheme="minorHAnsi" w:cstheme="minorHAnsi"/>
          <w:color w:val="002060"/>
          <w:lang w:eastAsia="en-GB"/>
        </w:rPr>
        <w:t>Sintetički tepisi:</w:t>
      </w:r>
    </w:p>
    <w:p w14:paraId="2484EAEA" w14:textId="77777777" w:rsidR="002B20A9" w:rsidRPr="00C86111" w:rsidRDefault="002B20A9" w:rsidP="00004F34">
      <w:pPr>
        <w:pStyle w:val="ListParagraph"/>
        <w:numPr>
          <w:ilvl w:val="0"/>
          <w:numId w:val="156"/>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Maksimalna procijenjena količina PFOA u sintetičkim tepisima povećava se proporcionalno količinama uvezenih proizvoda, dostižući do 138 kg godišnje u 2022. godini.</w:t>
      </w:r>
    </w:p>
    <w:p w14:paraId="1A34D53F" w14:textId="77777777" w:rsidR="002B20A9" w:rsidRPr="00C86111" w:rsidRDefault="002B20A9" w:rsidP="00004F34">
      <w:pPr>
        <w:pStyle w:val="ListParagraph"/>
        <w:numPr>
          <w:ilvl w:val="0"/>
          <w:numId w:val="156"/>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Sadržaj PFHxS u sintetičkim tepisima je znatno niži, s procjenama koje dostižu najviše 3,1 g godišnje.</w:t>
      </w:r>
    </w:p>
    <w:p w14:paraId="77E59B3D" w14:textId="77777777" w:rsidR="002B20A9" w:rsidRPr="00C86111" w:rsidRDefault="002B20A9" w:rsidP="00004F34">
      <w:pPr>
        <w:pStyle w:val="ListParagraph"/>
        <w:numPr>
          <w:ilvl w:val="0"/>
          <w:numId w:val="155"/>
        </w:numPr>
        <w:jc w:val="both"/>
        <w:rPr>
          <w:rFonts w:asciiTheme="minorHAnsi" w:eastAsia="Times New Roman" w:hAnsiTheme="minorHAnsi" w:cstheme="minorHAnsi"/>
          <w:color w:val="002060"/>
          <w:lang w:eastAsia="en-GB"/>
        </w:rPr>
      </w:pPr>
      <w:r w:rsidRPr="00C86111">
        <w:rPr>
          <w:rFonts w:asciiTheme="minorHAnsi" w:eastAsia="Times New Roman" w:hAnsiTheme="minorHAnsi" w:cstheme="minorHAnsi"/>
          <w:color w:val="002060"/>
          <w:lang w:eastAsia="en-GB"/>
        </w:rPr>
        <w:t>Premazani i impregnirani papir:</w:t>
      </w:r>
    </w:p>
    <w:p w14:paraId="3E816CB2" w14:textId="77777777" w:rsidR="002B20A9" w:rsidRPr="00C86111" w:rsidRDefault="002B20A9" w:rsidP="00004F34">
      <w:pPr>
        <w:pStyle w:val="ListParagraph"/>
        <w:numPr>
          <w:ilvl w:val="0"/>
          <w:numId w:val="157"/>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Procijenjene količine PFOA u ovim materijalima kreću se od nekoliko stotina kilograma do gotovo jedne tone godišnje, što ukazuje na značajan rizik od kontaminacije otpada i mogućih emisija u životnu sredinu.</w:t>
      </w:r>
    </w:p>
    <w:p w14:paraId="0633B41F" w14:textId="77777777" w:rsidR="002B20A9" w:rsidRPr="00C86111" w:rsidRDefault="002B20A9" w:rsidP="00004F34">
      <w:pPr>
        <w:pStyle w:val="ListParagraph"/>
        <w:numPr>
          <w:ilvl w:val="0"/>
          <w:numId w:val="155"/>
        </w:numPr>
        <w:jc w:val="both"/>
        <w:rPr>
          <w:rFonts w:asciiTheme="minorHAnsi" w:eastAsia="Times New Roman" w:hAnsiTheme="minorHAnsi" w:cstheme="minorHAnsi"/>
          <w:color w:val="002060"/>
          <w:lang w:eastAsia="en-GB"/>
        </w:rPr>
      </w:pPr>
      <w:r w:rsidRPr="00C86111">
        <w:rPr>
          <w:rFonts w:asciiTheme="minorHAnsi" w:eastAsia="Times New Roman" w:hAnsiTheme="minorHAnsi" w:cstheme="minorHAnsi"/>
          <w:color w:val="002060"/>
          <w:lang w:eastAsia="en-GB"/>
        </w:rPr>
        <w:t>Impregnirani tekstil:</w:t>
      </w:r>
    </w:p>
    <w:p w14:paraId="0891B95F" w14:textId="77777777" w:rsidR="002B20A9" w:rsidRPr="00C86111" w:rsidRDefault="002B20A9" w:rsidP="00004F34">
      <w:pPr>
        <w:pStyle w:val="ListParagraph"/>
        <w:numPr>
          <w:ilvl w:val="0"/>
          <w:numId w:val="157"/>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lastRenderedPageBreak/>
        <w:t>Sadržaj PFOA u ovim materijalima procjenjuje se kao veoma nizak, sa maksimalnim godišnjim vrijednostima od 19,2 g, što ukazuje na manji značaj ovog izvora u poređenju sa sintetičkim tepisima i papirom.</w:t>
      </w:r>
    </w:p>
    <w:p w14:paraId="59811627" w14:textId="77777777" w:rsidR="002B20A9" w:rsidRPr="00C86111" w:rsidRDefault="002B20A9" w:rsidP="00004F34">
      <w:pPr>
        <w:pStyle w:val="ListParagraph"/>
        <w:numPr>
          <w:ilvl w:val="0"/>
          <w:numId w:val="157"/>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Sadržaj PFHxS u impregniranim tekstilima je zanemarljiv, sa maksimalnim vrijednostima od 0,21 g godišnje.</w:t>
      </w:r>
    </w:p>
    <w:p w14:paraId="483BA930" w14:textId="77777777" w:rsidR="002B20A9" w:rsidRPr="00C86111" w:rsidRDefault="002B20A9" w:rsidP="00004F34">
      <w:pPr>
        <w:pStyle w:val="ListParagraph"/>
        <w:numPr>
          <w:ilvl w:val="0"/>
          <w:numId w:val="155"/>
        </w:numPr>
        <w:jc w:val="both"/>
        <w:rPr>
          <w:rFonts w:asciiTheme="minorHAnsi" w:eastAsia="Times New Roman" w:hAnsiTheme="minorHAnsi" w:cstheme="minorHAnsi"/>
          <w:color w:val="002060"/>
          <w:lang w:eastAsia="en-GB"/>
        </w:rPr>
      </w:pPr>
      <w:r w:rsidRPr="00C86111">
        <w:rPr>
          <w:rFonts w:asciiTheme="minorHAnsi" w:eastAsia="Times New Roman" w:hAnsiTheme="minorHAnsi" w:cstheme="minorHAnsi"/>
          <w:color w:val="002060"/>
          <w:lang w:eastAsia="en-GB"/>
        </w:rPr>
        <w:t>Impregnirana odjeća:</w:t>
      </w:r>
    </w:p>
    <w:p w14:paraId="33D67A2B" w14:textId="77777777" w:rsidR="002B20A9" w:rsidRPr="00C86111" w:rsidRDefault="002B20A9" w:rsidP="00004F34">
      <w:pPr>
        <w:pStyle w:val="ListParagraph"/>
        <w:numPr>
          <w:ilvl w:val="0"/>
          <w:numId w:val="158"/>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Procijenjene količine PFOA u ovoj kategoriji proizvoda su minimalne, sa godišnjim vrijednostima koje ne prelaze 2,8 g.</w:t>
      </w:r>
    </w:p>
    <w:p w14:paraId="46199465" w14:textId="77777777" w:rsidR="002B20A9" w:rsidRPr="00C86111" w:rsidRDefault="002B20A9" w:rsidP="00004F34">
      <w:pPr>
        <w:pStyle w:val="ListParagraph"/>
        <w:numPr>
          <w:ilvl w:val="0"/>
          <w:numId w:val="158"/>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Procjene PFHxS pokazuju veću varijabilnost zbog širokog raspona referentnih vrijednosti i kreću se od 0 do 61 g godišnje.</w:t>
      </w:r>
    </w:p>
    <w:p w14:paraId="5E5EB930"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Inventar potrošačkih proizvoda uvezenih u Crnu Goru za period 2017–2023. godine ukazuje na to da su sintetički tepisi i premazani/impregnirani papir najznačajniji potencijalni izvori PFOA, dok se PFHxS pojavljuje u znatno manjim količinama i uglavnom je povezan sa tepisima i impregniranom odjećom.</w:t>
      </w:r>
    </w:p>
    <w:p w14:paraId="72F33FC0"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Za ove vrste proizvoda važno je naglasiti da podaci koje obezbjeđuje Uprava carina omogućavaju samo približnu procjenu sadržaja PFOA i PFHxS. Zbog opšte prirode tarifnih brojeva, nije moguće precizno identifikovati konkretne proizvode koji mogu sadržati ove supstance.</w:t>
      </w:r>
    </w:p>
    <w:p w14:paraId="78E1965E"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Shodno tome, prikazane količine PFOA i PFHxS predstavljaju teorijski izračunate vrijednosti, zasnovane na pretpostavci da cjelokupna količina uvezenih proizvoda sadrži ove supstance. U određenim slučajevima, kao što su premazani i impregnirani papir, ovaj pristup najvjerovatnije dovodi do precjenjivanja stvarnih količina ovih supstanci.</w:t>
      </w:r>
    </w:p>
    <w:p w14:paraId="570A965B" w14:textId="77777777" w:rsidR="002B20A9" w:rsidRPr="00C86111" w:rsidRDefault="002B20A9" w:rsidP="00004F34">
      <w:pPr>
        <w:pStyle w:val="Heading1"/>
        <w:numPr>
          <w:ilvl w:val="1"/>
          <w:numId w:val="238"/>
        </w:numPr>
      </w:pPr>
      <w:bookmarkStart w:id="363" w:name="_Toc210632585"/>
      <w:bookmarkStart w:id="364" w:name="_Toc220541957"/>
      <w:r w:rsidRPr="00C86111">
        <w:t>Rezultati inventara PFOA, PFHxS,</w:t>
      </w:r>
      <w:bookmarkEnd w:id="363"/>
      <w:r w:rsidRPr="00C86111">
        <w:t xml:space="preserve"> </w:t>
      </w:r>
      <w:bookmarkStart w:id="365" w:name="_Toc210632586"/>
      <w:r w:rsidRPr="00C86111">
        <w:t>njihovih soli i sličnih jedinjenja u otpadu</w:t>
      </w:r>
      <w:bookmarkEnd w:id="364"/>
      <w:bookmarkEnd w:id="365"/>
    </w:p>
    <w:p w14:paraId="4C370CF4" w14:textId="77777777" w:rsidR="002B20A9" w:rsidRPr="00C86111" w:rsidRDefault="002B20A9" w:rsidP="002B20A9">
      <w:pPr>
        <w:jc w:val="both"/>
        <w:rPr>
          <w:rFonts w:asciiTheme="minorHAnsi" w:eastAsia="SimSun" w:hAnsiTheme="minorHAnsi" w:cstheme="minorHAnsi"/>
          <w:color w:val="auto"/>
        </w:rPr>
      </w:pPr>
    </w:p>
    <w:p w14:paraId="76F8DC0E"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Podaci o količini otpada koji potencijalno može sadržati PFOA, PFHxS, njihove soli i slična jedinjenja prikupljeni su iz statističkih podataka o otpadu koje je dostavila Uprava za statistiku Crne Gore – MONSTAT. Ovi podaci su rezultat statističkih istraživanja otpada koja obuhvataju:</w:t>
      </w:r>
    </w:p>
    <w:p w14:paraId="441F091C" w14:textId="77777777" w:rsidR="002B20A9" w:rsidRPr="00C86111" w:rsidRDefault="002B20A9" w:rsidP="00004F34">
      <w:pPr>
        <w:pStyle w:val="ListParagraph"/>
        <w:numPr>
          <w:ilvl w:val="0"/>
          <w:numId w:val="159"/>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sva komunalna preduzeća sa dozvolom Sekretarijata za lokalnu samoupravu za sakupljanje i transport komunalnog otpada,</w:t>
      </w:r>
    </w:p>
    <w:p w14:paraId="75AD531B" w14:textId="77777777" w:rsidR="002B20A9" w:rsidRPr="00C86111" w:rsidRDefault="002B20A9" w:rsidP="00004F34">
      <w:pPr>
        <w:pStyle w:val="ListParagraph"/>
        <w:numPr>
          <w:ilvl w:val="0"/>
          <w:numId w:val="159"/>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preduzeća koja posjeduju dozvolu Agencije za zaštitu životne sredine za sakupljanje i obradu otpada,</w:t>
      </w:r>
    </w:p>
    <w:p w14:paraId="155A2E25" w14:textId="77777777" w:rsidR="002B20A9" w:rsidRPr="00C86111" w:rsidRDefault="002B20A9" w:rsidP="00004F34">
      <w:pPr>
        <w:pStyle w:val="ListParagraph"/>
        <w:numPr>
          <w:ilvl w:val="0"/>
          <w:numId w:val="159"/>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preduzeća koja upravljaju odlagalištima – deponijama,</w:t>
      </w:r>
    </w:p>
    <w:p w14:paraId="3FA8F451" w14:textId="77777777" w:rsidR="002B20A9" w:rsidRPr="00C86111" w:rsidRDefault="002B20A9" w:rsidP="00004F34">
      <w:pPr>
        <w:pStyle w:val="ListParagraph"/>
        <w:numPr>
          <w:ilvl w:val="0"/>
          <w:numId w:val="159"/>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preduzeća sa 10 i više zaposlenih, čija je osnovna djelatnost iz različitih sektora (poljoprivreda, šumarstvo i ribarstvo; prerađivačka industrija; snabdijevanje vodom; upravljanje otpadnim vodama; kontrola procesa uklanjanja otpada i srodne aktivnosti).</w:t>
      </w:r>
    </w:p>
    <w:p w14:paraId="4FB1AE14" w14:textId="7EC2DEBF" w:rsidR="002B20A9" w:rsidRPr="00C86111" w:rsidRDefault="002B20A9" w:rsidP="002B20A9">
      <w:pPr>
        <w:jc w:val="both"/>
        <w:rPr>
          <w:rFonts w:asciiTheme="minorHAnsi" w:hAnsiTheme="minorHAnsi" w:cstheme="minorHAnsi"/>
          <w:color w:val="auto"/>
        </w:rPr>
      </w:pPr>
      <w:r w:rsidRPr="00C86111">
        <w:rPr>
          <w:rFonts w:asciiTheme="minorHAnsi" w:eastAsia="SimSun" w:hAnsiTheme="minorHAnsi" w:cstheme="minorHAnsi"/>
          <w:color w:val="auto"/>
        </w:rPr>
        <w:t xml:space="preserve">Prikupljeni podaci o otpadu, klasifikovani su po grupama otpada, u skladu sa Pravilnikom o klasifikaciji otpada i katalogu otpada („Sl. list Crne Gore“, br. 059/13, 083/16) </w:t>
      </w:r>
      <w:bookmarkStart w:id="366" w:name="_Hlk185324851"/>
      <w:r w:rsidRPr="00C86111">
        <w:rPr>
          <w:rFonts w:asciiTheme="minorHAnsi" w:eastAsia="SimSun" w:hAnsiTheme="minorHAnsi" w:cstheme="minorHAnsi"/>
          <w:color w:val="auto"/>
        </w:rPr>
        <w:t xml:space="preserve">koji je usklađen sa evropskom legislativom o otpadu. </w:t>
      </w:r>
      <w:bookmarkEnd w:id="366"/>
      <w:r w:rsidRPr="00C86111">
        <w:rPr>
          <w:rFonts w:asciiTheme="minorHAnsi" w:hAnsiTheme="minorHAnsi" w:cstheme="minorHAnsi"/>
          <w:color w:val="auto"/>
        </w:rPr>
        <w:t xml:space="preserve">U tabeli </w:t>
      </w:r>
      <w:r w:rsidR="00626D74" w:rsidRPr="00C86111">
        <w:rPr>
          <w:rFonts w:asciiTheme="minorHAnsi" w:hAnsiTheme="minorHAnsi" w:cstheme="minorHAnsi"/>
          <w:color w:val="auto"/>
        </w:rPr>
        <w:t>94.</w:t>
      </w:r>
      <w:r w:rsidRPr="00C86111">
        <w:rPr>
          <w:rFonts w:asciiTheme="minorHAnsi" w:hAnsiTheme="minorHAnsi" w:cstheme="minorHAnsi"/>
          <w:color w:val="auto"/>
        </w:rPr>
        <w:t xml:space="preserve"> prikazane su količine generisanog otpada prema grupama kataloga otpada, koje potencijalno mogu sa sadrže PFOA, PFHxS, njihove soli i slična jedinjenja za period 2017-2022 godina</w:t>
      </w:r>
    </w:p>
    <w:p w14:paraId="6E700942" w14:textId="77777777" w:rsidR="002B20A9" w:rsidRPr="00C86111" w:rsidRDefault="002B20A9" w:rsidP="002B20A9">
      <w:pPr>
        <w:jc w:val="both"/>
        <w:rPr>
          <w:rFonts w:asciiTheme="minorHAnsi" w:hAnsiTheme="minorHAnsi" w:cstheme="minorHAnsi"/>
          <w:color w:val="auto"/>
        </w:rPr>
      </w:pPr>
    </w:p>
    <w:p w14:paraId="5B201A91" w14:textId="47EFDA7B"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lastRenderedPageBreak/>
        <w:t xml:space="preserve">Tabela </w:t>
      </w:r>
      <w:r w:rsidR="00626D74" w:rsidRPr="00C86111">
        <w:rPr>
          <w:rFonts w:asciiTheme="minorHAnsi" w:hAnsiTheme="minorHAnsi" w:cstheme="minorHAnsi"/>
          <w:b/>
          <w:bCs/>
          <w:color w:val="auto"/>
        </w:rPr>
        <w:t>94</w:t>
      </w:r>
      <w:r w:rsidRPr="00C86111">
        <w:rPr>
          <w:rFonts w:asciiTheme="minorHAnsi" w:hAnsiTheme="minorHAnsi" w:cstheme="minorHAnsi"/>
          <w:b/>
          <w:bCs/>
          <w:color w:val="auto"/>
        </w:rPr>
        <w:t>.</w:t>
      </w:r>
      <w:r w:rsidRPr="00C86111">
        <w:rPr>
          <w:rFonts w:asciiTheme="minorHAnsi" w:hAnsiTheme="minorHAnsi" w:cstheme="minorHAnsi"/>
          <w:color w:val="auto"/>
        </w:rPr>
        <w:t xml:space="preserve"> Generisane količine otpada po grupama otpada za period 2017-2022 godina</w:t>
      </w:r>
    </w:p>
    <w:tbl>
      <w:tblPr>
        <w:tblStyle w:val="GridTable5Dark-Accent6"/>
        <w:tblW w:w="9445" w:type="dxa"/>
        <w:tblLayout w:type="fixed"/>
        <w:tblLook w:val="0420" w:firstRow="1" w:lastRow="0" w:firstColumn="0" w:lastColumn="0" w:noHBand="0" w:noVBand="1"/>
      </w:tblPr>
      <w:tblGrid>
        <w:gridCol w:w="3681"/>
        <w:gridCol w:w="992"/>
        <w:gridCol w:w="992"/>
        <w:gridCol w:w="992"/>
        <w:gridCol w:w="992"/>
        <w:gridCol w:w="896"/>
        <w:gridCol w:w="900"/>
      </w:tblGrid>
      <w:tr w:rsidR="002B20A9" w:rsidRPr="00C86111" w14:paraId="061CB01A" w14:textId="77777777" w:rsidTr="002A416E">
        <w:trPr>
          <w:cnfStyle w:val="100000000000" w:firstRow="1" w:lastRow="0" w:firstColumn="0" w:lastColumn="0" w:oddVBand="0" w:evenVBand="0" w:oddHBand="0" w:evenHBand="0" w:firstRowFirstColumn="0" w:firstRowLastColumn="0" w:lastRowFirstColumn="0" w:lastRowLastColumn="0"/>
          <w:trHeight w:val="584"/>
        </w:trPr>
        <w:tc>
          <w:tcPr>
            <w:tcW w:w="3681" w:type="dxa"/>
            <w:vMerge w:val="restart"/>
            <w:hideMark/>
          </w:tcPr>
          <w:p w14:paraId="402B2F50" w14:textId="77777777" w:rsidR="002B20A9" w:rsidRPr="00C86111" w:rsidRDefault="002B20A9" w:rsidP="00BC765B">
            <w:pPr>
              <w:jc w:val="both"/>
              <w:rPr>
                <w:rFonts w:asciiTheme="minorHAnsi" w:hAnsiTheme="minorHAnsi" w:cstheme="minorHAnsi"/>
                <w:b w:val="0"/>
                <w:bCs w:val="0"/>
                <w:color w:val="auto"/>
                <w:sz w:val="20"/>
                <w:szCs w:val="20"/>
              </w:rPr>
            </w:pPr>
          </w:p>
          <w:p w14:paraId="53C2E21C" w14:textId="77777777" w:rsidR="002B20A9" w:rsidRPr="00C86111" w:rsidRDefault="002B20A9"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Grupa otpada</w:t>
            </w:r>
          </w:p>
        </w:tc>
        <w:tc>
          <w:tcPr>
            <w:tcW w:w="5764" w:type="dxa"/>
            <w:gridSpan w:val="6"/>
          </w:tcPr>
          <w:p w14:paraId="76692209" w14:textId="77777777" w:rsidR="002B20A9" w:rsidRPr="00C86111" w:rsidRDefault="002B20A9" w:rsidP="00BC765B">
            <w:pPr>
              <w:jc w:val="both"/>
              <w:rPr>
                <w:rFonts w:asciiTheme="minorHAnsi" w:hAnsiTheme="minorHAnsi" w:cstheme="minorHAnsi"/>
                <w:b w:val="0"/>
                <w:bCs w:val="0"/>
                <w:color w:val="auto"/>
                <w:sz w:val="20"/>
                <w:szCs w:val="20"/>
              </w:rPr>
            </w:pPr>
          </w:p>
          <w:p w14:paraId="3A4BB99E" w14:textId="77777777" w:rsidR="002B20A9" w:rsidRPr="00C86111" w:rsidRDefault="002B20A9" w:rsidP="00BC765B">
            <w:pPr>
              <w:jc w:val="both"/>
              <w:rPr>
                <w:rFonts w:asciiTheme="minorHAnsi" w:hAnsiTheme="minorHAnsi" w:cstheme="minorHAnsi"/>
                <w:b w:val="0"/>
                <w:bCs w:val="0"/>
                <w:color w:val="auto"/>
                <w:sz w:val="20"/>
                <w:szCs w:val="20"/>
              </w:rPr>
            </w:pPr>
            <w:r w:rsidRPr="00C86111">
              <w:rPr>
                <w:rFonts w:asciiTheme="minorHAnsi" w:hAnsiTheme="minorHAnsi" w:cstheme="minorHAnsi"/>
                <w:color w:val="auto"/>
                <w:sz w:val="20"/>
                <w:szCs w:val="20"/>
              </w:rPr>
              <w:t>Generisan</w:t>
            </w:r>
            <w:r w:rsidRPr="00C86111">
              <w:rPr>
                <w:rFonts w:asciiTheme="minorHAnsi" w:hAnsiTheme="minorHAnsi" w:cstheme="minorHAnsi"/>
                <w:color w:val="auto"/>
                <w:sz w:val="20"/>
                <w:szCs w:val="20"/>
                <w:lang w:val="sr-Latn-ME"/>
              </w:rPr>
              <w:t xml:space="preserve">e </w:t>
            </w:r>
            <w:r w:rsidRPr="00C86111">
              <w:rPr>
                <w:rFonts w:asciiTheme="minorHAnsi" w:hAnsiTheme="minorHAnsi" w:cstheme="minorHAnsi"/>
                <w:color w:val="auto"/>
                <w:sz w:val="20"/>
                <w:szCs w:val="20"/>
              </w:rPr>
              <w:t>količina otpada (t)</w:t>
            </w:r>
          </w:p>
        </w:tc>
      </w:tr>
      <w:tr w:rsidR="002B20A9" w:rsidRPr="00C86111" w14:paraId="6E5C3389" w14:textId="77777777" w:rsidTr="002A416E">
        <w:trPr>
          <w:cnfStyle w:val="000000100000" w:firstRow="0" w:lastRow="0" w:firstColumn="0" w:lastColumn="0" w:oddVBand="0" w:evenVBand="0" w:oddHBand="1" w:evenHBand="0" w:firstRowFirstColumn="0" w:firstRowLastColumn="0" w:lastRowFirstColumn="0" w:lastRowLastColumn="0"/>
          <w:trHeight w:val="377"/>
        </w:trPr>
        <w:tc>
          <w:tcPr>
            <w:tcW w:w="3681" w:type="dxa"/>
            <w:vMerge/>
            <w:hideMark/>
          </w:tcPr>
          <w:p w14:paraId="159C96C9" w14:textId="77777777" w:rsidR="002B20A9" w:rsidRPr="00C86111" w:rsidRDefault="002B20A9" w:rsidP="00BC765B">
            <w:pPr>
              <w:jc w:val="both"/>
              <w:rPr>
                <w:rFonts w:asciiTheme="minorHAnsi" w:hAnsiTheme="minorHAnsi" w:cstheme="minorHAnsi"/>
                <w:color w:val="auto"/>
                <w:sz w:val="20"/>
                <w:szCs w:val="20"/>
              </w:rPr>
            </w:pPr>
          </w:p>
        </w:tc>
        <w:tc>
          <w:tcPr>
            <w:tcW w:w="992" w:type="dxa"/>
            <w:hideMark/>
          </w:tcPr>
          <w:p w14:paraId="33515F7B"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2017</w:t>
            </w:r>
          </w:p>
        </w:tc>
        <w:tc>
          <w:tcPr>
            <w:tcW w:w="992" w:type="dxa"/>
            <w:hideMark/>
          </w:tcPr>
          <w:p w14:paraId="53C8CFF1"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2018</w:t>
            </w:r>
          </w:p>
        </w:tc>
        <w:tc>
          <w:tcPr>
            <w:tcW w:w="992" w:type="dxa"/>
          </w:tcPr>
          <w:p w14:paraId="59DE3DB8"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2019</w:t>
            </w:r>
          </w:p>
        </w:tc>
        <w:tc>
          <w:tcPr>
            <w:tcW w:w="992" w:type="dxa"/>
            <w:hideMark/>
          </w:tcPr>
          <w:p w14:paraId="3DF2AEA2"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2020</w:t>
            </w:r>
          </w:p>
        </w:tc>
        <w:tc>
          <w:tcPr>
            <w:tcW w:w="896" w:type="dxa"/>
            <w:hideMark/>
          </w:tcPr>
          <w:p w14:paraId="2222612F"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2021</w:t>
            </w:r>
          </w:p>
        </w:tc>
        <w:tc>
          <w:tcPr>
            <w:tcW w:w="900" w:type="dxa"/>
            <w:hideMark/>
          </w:tcPr>
          <w:p w14:paraId="1BF703DF"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2022</w:t>
            </w:r>
          </w:p>
        </w:tc>
      </w:tr>
      <w:tr w:rsidR="002B20A9" w:rsidRPr="00C86111" w14:paraId="6532692A" w14:textId="77777777" w:rsidTr="002A416E">
        <w:trPr>
          <w:trHeight w:val="584"/>
        </w:trPr>
        <w:tc>
          <w:tcPr>
            <w:tcW w:w="3681" w:type="dxa"/>
            <w:hideMark/>
          </w:tcPr>
          <w:p w14:paraId="62321171"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08 Otpad od proizvodnje, pripreme, distribucije i upotrebe premaza (boje, lakovi i staklene glazure), ljepila, zaptivača i štamparskih mastila</w:t>
            </w:r>
          </w:p>
        </w:tc>
        <w:tc>
          <w:tcPr>
            <w:tcW w:w="992" w:type="dxa"/>
            <w:hideMark/>
          </w:tcPr>
          <w:p w14:paraId="35D413DD"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13.9</w:t>
            </w:r>
          </w:p>
        </w:tc>
        <w:tc>
          <w:tcPr>
            <w:tcW w:w="992" w:type="dxa"/>
            <w:hideMark/>
          </w:tcPr>
          <w:p w14:paraId="240AC9C6"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18.6</w:t>
            </w:r>
          </w:p>
        </w:tc>
        <w:tc>
          <w:tcPr>
            <w:tcW w:w="992" w:type="dxa"/>
          </w:tcPr>
          <w:p w14:paraId="4CEB6527"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8.0</w:t>
            </w:r>
          </w:p>
        </w:tc>
        <w:tc>
          <w:tcPr>
            <w:tcW w:w="992" w:type="dxa"/>
            <w:hideMark/>
          </w:tcPr>
          <w:p w14:paraId="7D947A28"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13.8</w:t>
            </w:r>
          </w:p>
        </w:tc>
        <w:tc>
          <w:tcPr>
            <w:tcW w:w="896" w:type="dxa"/>
            <w:hideMark/>
          </w:tcPr>
          <w:p w14:paraId="441F4D70"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24.1</w:t>
            </w:r>
          </w:p>
        </w:tc>
        <w:tc>
          <w:tcPr>
            <w:tcW w:w="900" w:type="dxa"/>
            <w:hideMark/>
          </w:tcPr>
          <w:p w14:paraId="7FEA93BB"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9.0</w:t>
            </w:r>
          </w:p>
        </w:tc>
      </w:tr>
      <w:tr w:rsidR="002B20A9" w:rsidRPr="00C86111" w14:paraId="57E5B5FF" w14:textId="77777777" w:rsidTr="002A416E">
        <w:trPr>
          <w:cnfStyle w:val="000000100000" w:firstRow="0" w:lastRow="0" w:firstColumn="0" w:lastColumn="0" w:oddVBand="0" w:evenVBand="0" w:oddHBand="1" w:evenHBand="0" w:firstRowFirstColumn="0" w:firstRowLastColumn="0" w:lastRowFirstColumn="0" w:lastRowLastColumn="0"/>
          <w:trHeight w:val="584"/>
        </w:trPr>
        <w:tc>
          <w:tcPr>
            <w:tcW w:w="3681" w:type="dxa"/>
            <w:hideMark/>
          </w:tcPr>
          <w:p w14:paraId="59F95064"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15 Otpad od ambalaže; apsorbenti, krpe za brisanje, materijali za filtriranje i zaštitne tkanine, ako nije drugačije specifikovan</w:t>
            </w:r>
          </w:p>
        </w:tc>
        <w:tc>
          <w:tcPr>
            <w:tcW w:w="992" w:type="dxa"/>
            <w:hideMark/>
          </w:tcPr>
          <w:p w14:paraId="4C8DE7E4"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4293</w:t>
            </w:r>
          </w:p>
        </w:tc>
        <w:tc>
          <w:tcPr>
            <w:tcW w:w="992" w:type="dxa"/>
            <w:hideMark/>
          </w:tcPr>
          <w:p w14:paraId="7B05EE51"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1905</w:t>
            </w:r>
          </w:p>
        </w:tc>
        <w:tc>
          <w:tcPr>
            <w:tcW w:w="992" w:type="dxa"/>
          </w:tcPr>
          <w:p w14:paraId="2D94871F"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2585</w:t>
            </w:r>
          </w:p>
        </w:tc>
        <w:tc>
          <w:tcPr>
            <w:tcW w:w="992" w:type="dxa"/>
            <w:hideMark/>
          </w:tcPr>
          <w:p w14:paraId="3610871B"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3117</w:t>
            </w:r>
          </w:p>
        </w:tc>
        <w:tc>
          <w:tcPr>
            <w:tcW w:w="896" w:type="dxa"/>
            <w:hideMark/>
          </w:tcPr>
          <w:p w14:paraId="331BDE4B"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3893</w:t>
            </w:r>
          </w:p>
        </w:tc>
        <w:tc>
          <w:tcPr>
            <w:tcW w:w="900" w:type="dxa"/>
            <w:hideMark/>
          </w:tcPr>
          <w:p w14:paraId="4F2BA1A9"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3521</w:t>
            </w:r>
          </w:p>
        </w:tc>
      </w:tr>
      <w:tr w:rsidR="002B20A9" w:rsidRPr="00C86111" w14:paraId="60F2626B" w14:textId="77777777" w:rsidTr="002A416E">
        <w:trPr>
          <w:trHeight w:val="584"/>
        </w:trPr>
        <w:tc>
          <w:tcPr>
            <w:tcW w:w="3681" w:type="dxa"/>
            <w:hideMark/>
          </w:tcPr>
          <w:p w14:paraId="2283DD2B"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20 Komunalni otpad (kućni otpad i slični komercijalni i industrijski otpad), uključujući odvojeno sakupljene frakcije</w:t>
            </w:r>
          </w:p>
        </w:tc>
        <w:tc>
          <w:tcPr>
            <w:tcW w:w="992" w:type="dxa"/>
            <w:hideMark/>
          </w:tcPr>
          <w:p w14:paraId="37C872D1"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30884</w:t>
            </w:r>
            <w:r w:rsidRPr="00C86111">
              <w:rPr>
                <w:rFonts w:asciiTheme="minorHAnsi" w:hAnsiTheme="minorHAnsi" w:cstheme="minorHAnsi"/>
                <w:color w:val="auto"/>
                <w:sz w:val="20"/>
                <w:szCs w:val="20"/>
                <w:lang w:val="sr-Latn-ME"/>
              </w:rPr>
              <w:t>2</w:t>
            </w:r>
          </w:p>
        </w:tc>
        <w:tc>
          <w:tcPr>
            <w:tcW w:w="992" w:type="dxa"/>
            <w:hideMark/>
          </w:tcPr>
          <w:p w14:paraId="1FE99E9C"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320883</w:t>
            </w:r>
          </w:p>
        </w:tc>
        <w:tc>
          <w:tcPr>
            <w:tcW w:w="992" w:type="dxa"/>
          </w:tcPr>
          <w:p w14:paraId="6076829D"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338261</w:t>
            </w:r>
          </w:p>
        </w:tc>
        <w:tc>
          <w:tcPr>
            <w:tcW w:w="992" w:type="dxa"/>
            <w:hideMark/>
          </w:tcPr>
          <w:p w14:paraId="3D7DA6DD"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300965</w:t>
            </w:r>
          </w:p>
        </w:tc>
        <w:tc>
          <w:tcPr>
            <w:tcW w:w="896" w:type="dxa"/>
            <w:hideMark/>
          </w:tcPr>
          <w:p w14:paraId="1877405C"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321849</w:t>
            </w:r>
          </w:p>
        </w:tc>
        <w:tc>
          <w:tcPr>
            <w:tcW w:w="900" w:type="dxa"/>
            <w:hideMark/>
          </w:tcPr>
          <w:p w14:paraId="31ECB542"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332307</w:t>
            </w:r>
          </w:p>
        </w:tc>
      </w:tr>
    </w:tbl>
    <w:p w14:paraId="4DB67A9D" w14:textId="77777777" w:rsidR="002B20A9" w:rsidRPr="00C86111" w:rsidRDefault="002B20A9" w:rsidP="002B20A9">
      <w:pPr>
        <w:jc w:val="both"/>
        <w:rPr>
          <w:rFonts w:asciiTheme="minorHAnsi" w:hAnsiTheme="minorHAnsi" w:cstheme="minorHAnsi"/>
          <w:color w:val="auto"/>
        </w:rPr>
      </w:pPr>
    </w:p>
    <w:p w14:paraId="6C8AA768"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Analizom prikupljenih podataka može se zaključiti da najveća količina generisanog otpada, koji potencijalno može sadržati PFOA, PFHxS, njihove soli i slična jedinjenja, potiče iz grupe 20 – komunalni otpad. S obzirom na to da ne postoji specifičan indeksni broj za otpad koji sadrži PFOA, PFHxS, njihove soli i slična jedinjenja, prikazani podaci o ukupnim količinama komunalnog otpada nisu ograničeni isključivo na ovu vrstu otpada. Zbog toga, na osnovu dostupnih podataka, nije moguće precizno utvrditi koliki je stvarni udio otpada koji potencijalno sadrži PFOA i PFHxS u ukupnoj količini generisanog otpada.</w:t>
      </w:r>
    </w:p>
    <w:p w14:paraId="1E4540D6" w14:textId="77777777" w:rsidR="002B20A9" w:rsidRPr="00C86111" w:rsidRDefault="002B20A9" w:rsidP="002B20A9">
      <w:pPr>
        <w:jc w:val="both"/>
        <w:rPr>
          <w:rFonts w:asciiTheme="minorHAnsi" w:eastAsia="SimSun" w:hAnsiTheme="minorHAnsi" w:cstheme="minorHAnsi"/>
          <w:color w:val="auto"/>
        </w:rPr>
      </w:pPr>
      <w:r w:rsidRPr="00C86111">
        <w:rPr>
          <w:rFonts w:asciiTheme="minorHAnsi" w:eastAsia="SimSun" w:hAnsiTheme="minorHAnsi" w:cstheme="minorHAnsi"/>
          <w:color w:val="auto"/>
        </w:rPr>
        <w:t>Međutim, na osnovu podataka o sastavu čvrstog komunalnog otpada, koji su predstavljeni u “Državnom planu upravljanja otpadom za period 2024-2028 godina” kao i “</w:t>
      </w:r>
      <w:r w:rsidRPr="00C86111">
        <w:rPr>
          <w:rFonts w:asciiTheme="minorHAnsi" w:hAnsiTheme="minorHAnsi" w:cstheme="minorHAnsi"/>
          <w:color w:val="auto"/>
        </w:rPr>
        <w:t>Državnom planu upravljanja otpadom za period 2015-2020 godina”,</w:t>
      </w:r>
      <w:r w:rsidRPr="00C86111">
        <w:rPr>
          <w:rFonts w:asciiTheme="minorHAnsi" w:eastAsia="SimSun" w:hAnsiTheme="minorHAnsi" w:cstheme="minorHAnsi"/>
          <w:color w:val="auto"/>
        </w:rPr>
        <w:t xml:space="preserve"> gdje su procijenjene količine generisanog otpadnog tekstila i papira/kartona za 2021 godinu, i 2013 godinu, izračunat je potencijalni sadržaj PFOA i PFHxS u njima uzimajući u obzir informaciju da je sadržaj tekstila u komunalnom otpadu oko 3% a sadržaj papira/kartona oko 15 % i pretpostavljajući da je sastav komunalnog otpada na godišnjem nivou manje više isti.</w:t>
      </w:r>
    </w:p>
    <w:p w14:paraId="61D5158D" w14:textId="42098B37" w:rsidR="002B20A9" w:rsidRPr="00C86111" w:rsidRDefault="002B20A9" w:rsidP="002B20A9">
      <w:pPr>
        <w:jc w:val="both"/>
        <w:rPr>
          <w:rFonts w:asciiTheme="minorHAnsi" w:hAnsiTheme="minorHAnsi" w:cstheme="minorHAnsi"/>
          <w:lang w:val="en-GB" w:eastAsia="en-GB"/>
        </w:rPr>
      </w:pPr>
      <w:r w:rsidRPr="00C86111">
        <w:rPr>
          <w:rFonts w:asciiTheme="minorHAnsi" w:hAnsiTheme="minorHAnsi" w:cstheme="minorHAnsi"/>
          <w:lang w:val="en-GB" w:eastAsia="en-GB"/>
        </w:rPr>
        <w:t xml:space="preserve">Na osnovu prethodno navedenih informacija, kao i podataka o godišnjoj količini generisanog komunalnog otpada, izračunat je potencijalni sadržaj PFOA i PFHxS u otpadnom papiru/kartonu i tekstilu za period 2017-2022 godina.(Tabele </w:t>
      </w:r>
      <w:r w:rsidR="00626D74" w:rsidRPr="00C86111">
        <w:rPr>
          <w:rFonts w:asciiTheme="minorHAnsi" w:hAnsiTheme="minorHAnsi" w:cstheme="minorHAnsi"/>
          <w:lang w:val="en-GB" w:eastAsia="en-GB"/>
        </w:rPr>
        <w:t>95</w:t>
      </w:r>
      <w:r w:rsidRPr="00C86111">
        <w:rPr>
          <w:rFonts w:asciiTheme="minorHAnsi" w:hAnsiTheme="minorHAnsi" w:cstheme="minorHAnsi"/>
          <w:lang w:val="en-GB" w:eastAsia="en-GB"/>
        </w:rPr>
        <w:t>-</w:t>
      </w:r>
      <w:r w:rsidR="00626D74" w:rsidRPr="00C86111">
        <w:rPr>
          <w:rFonts w:asciiTheme="minorHAnsi" w:hAnsiTheme="minorHAnsi" w:cstheme="minorHAnsi"/>
          <w:lang w:val="en-GB" w:eastAsia="en-GB"/>
        </w:rPr>
        <w:t>97</w:t>
      </w:r>
      <w:r w:rsidRPr="00C86111">
        <w:rPr>
          <w:rFonts w:asciiTheme="minorHAnsi" w:hAnsiTheme="minorHAnsi" w:cstheme="minorHAnsi"/>
          <w:lang w:val="en-GB" w:eastAsia="en-GB"/>
        </w:rPr>
        <w:t>)</w:t>
      </w:r>
    </w:p>
    <w:p w14:paraId="46A8AAD3"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Pri procjeni potencijalnog sadržaja PFOA u otpadnom papiru/kartonu, zbog nedostatka preciznih informacija o udjelu impregniranog papira/kartona u ukupnoj količini otpadnog papira/kartona, pretpostavljeno je da je taj odnos proporcionalan odnosu između ukupno uvezenih količina papira/kartona i količina uvezenog impregniranog papira/kartona, odnosno oko 5%.</w:t>
      </w:r>
    </w:p>
    <w:p w14:paraId="4FAE2A02" w14:textId="77777777" w:rsidR="002B20A9" w:rsidRPr="00C86111" w:rsidRDefault="002B20A9" w:rsidP="002B20A9">
      <w:pPr>
        <w:jc w:val="both"/>
        <w:rPr>
          <w:rFonts w:asciiTheme="minorHAnsi" w:eastAsia="Times New Roman" w:hAnsiTheme="minorHAnsi" w:cstheme="minorHAnsi"/>
          <w:color w:val="auto"/>
          <w:lang w:eastAsia="en-GB"/>
        </w:rPr>
      </w:pPr>
    </w:p>
    <w:p w14:paraId="678E61E5" w14:textId="5502AE6A"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Tabela </w:t>
      </w:r>
      <w:r w:rsidR="00626D74" w:rsidRPr="00C86111">
        <w:rPr>
          <w:rFonts w:asciiTheme="minorHAnsi" w:hAnsiTheme="minorHAnsi" w:cstheme="minorHAnsi"/>
          <w:b/>
          <w:bCs/>
          <w:color w:val="auto"/>
        </w:rPr>
        <w:t>95</w:t>
      </w:r>
      <w:r w:rsidRPr="00C86111">
        <w:rPr>
          <w:rFonts w:asciiTheme="minorHAnsi" w:hAnsiTheme="minorHAnsi" w:cstheme="minorHAnsi"/>
          <w:b/>
          <w:bCs/>
          <w:color w:val="auto"/>
        </w:rPr>
        <w:t>.</w:t>
      </w:r>
      <w:r w:rsidRPr="00C86111">
        <w:rPr>
          <w:rFonts w:asciiTheme="minorHAnsi" w:hAnsiTheme="minorHAnsi" w:cstheme="minorHAnsi"/>
          <w:color w:val="auto"/>
        </w:rPr>
        <w:t xml:space="preserve"> Potencijalni sadržaj PFOA u generisanom otpadnom papiru/kartonu za period 2017-2022 godina</w:t>
      </w:r>
    </w:p>
    <w:tbl>
      <w:tblPr>
        <w:tblStyle w:val="GridTable5Dark-Accent6"/>
        <w:tblW w:w="9067" w:type="dxa"/>
        <w:tblLook w:val="04A0" w:firstRow="1" w:lastRow="0" w:firstColumn="1" w:lastColumn="0" w:noHBand="0" w:noVBand="1"/>
      </w:tblPr>
      <w:tblGrid>
        <w:gridCol w:w="1559"/>
        <w:gridCol w:w="1701"/>
        <w:gridCol w:w="1727"/>
        <w:gridCol w:w="2238"/>
        <w:gridCol w:w="1842"/>
      </w:tblGrid>
      <w:tr w:rsidR="002B20A9" w:rsidRPr="00C86111" w14:paraId="38F1D13F" w14:textId="77777777" w:rsidTr="00BC765B">
        <w:trPr>
          <w:cnfStyle w:val="100000000000" w:firstRow="1" w:lastRow="0" w:firstColumn="0" w:lastColumn="0" w:oddVBand="0" w:evenVBand="0" w:oddHBand="0"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1559" w:type="dxa"/>
            <w:hideMark/>
          </w:tcPr>
          <w:p w14:paraId="4A8BE374" w14:textId="77777777" w:rsidR="002B20A9" w:rsidRPr="00C86111" w:rsidRDefault="002B20A9" w:rsidP="00BC765B">
            <w:pPr>
              <w:jc w:val="both"/>
              <w:rPr>
                <w:rFonts w:asciiTheme="minorHAnsi" w:hAnsiTheme="minorHAnsi" w:cstheme="minorHAnsi"/>
                <w:color w:val="auto"/>
                <w:sz w:val="20"/>
                <w:szCs w:val="20"/>
              </w:rPr>
            </w:pPr>
          </w:p>
          <w:p w14:paraId="73A1AC62"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Proizvod</w:t>
            </w:r>
          </w:p>
        </w:tc>
        <w:tc>
          <w:tcPr>
            <w:tcW w:w="1701" w:type="dxa"/>
            <w:hideMark/>
          </w:tcPr>
          <w:p w14:paraId="1C5F243D"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Godina</w:t>
            </w:r>
          </w:p>
        </w:tc>
        <w:tc>
          <w:tcPr>
            <w:tcW w:w="1727" w:type="dxa"/>
            <w:hideMark/>
          </w:tcPr>
          <w:p w14:paraId="08FDFCB9"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Količina (kg)</w:t>
            </w:r>
          </w:p>
        </w:tc>
        <w:tc>
          <w:tcPr>
            <w:tcW w:w="2238" w:type="dxa"/>
            <w:hideMark/>
          </w:tcPr>
          <w:p w14:paraId="12D50067"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PFOA sadržaj</w:t>
            </w:r>
          </w:p>
          <w:p w14:paraId="107D35EE"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Približna vrijednost</w:t>
            </w:r>
          </w:p>
          <w:p w14:paraId="2E8A9C04"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(mg PFOA/kg proizvoda)</w:t>
            </w:r>
          </w:p>
        </w:tc>
        <w:tc>
          <w:tcPr>
            <w:tcW w:w="1842" w:type="dxa"/>
            <w:hideMark/>
          </w:tcPr>
          <w:p w14:paraId="169013E8"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Količina PFOA (t)</w:t>
            </w:r>
          </w:p>
          <w:p w14:paraId="30586594"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najniža/</w:t>
            </w:r>
          </w:p>
          <w:p w14:paraId="4A3D9E61"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6C5305CB"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val="restart"/>
            <w:hideMark/>
          </w:tcPr>
          <w:p w14:paraId="2FF527D8"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Papir/karton</w:t>
            </w:r>
          </w:p>
        </w:tc>
        <w:tc>
          <w:tcPr>
            <w:tcW w:w="1701" w:type="dxa"/>
            <w:hideMark/>
          </w:tcPr>
          <w:p w14:paraId="6B0647A8"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2017</w:t>
            </w:r>
          </w:p>
        </w:tc>
        <w:tc>
          <w:tcPr>
            <w:tcW w:w="1727" w:type="dxa"/>
            <w:hideMark/>
          </w:tcPr>
          <w:p w14:paraId="6AF7EF1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2565211</w:t>
            </w:r>
          </w:p>
        </w:tc>
        <w:tc>
          <w:tcPr>
            <w:tcW w:w="2238" w:type="dxa"/>
            <w:hideMark/>
          </w:tcPr>
          <w:p w14:paraId="449C375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3000–10000</w:t>
            </w:r>
          </w:p>
        </w:tc>
        <w:tc>
          <w:tcPr>
            <w:tcW w:w="1842" w:type="dxa"/>
          </w:tcPr>
          <w:p w14:paraId="3803294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7.7-26</w:t>
            </w:r>
          </w:p>
        </w:tc>
      </w:tr>
      <w:tr w:rsidR="002B20A9" w:rsidRPr="00C86111" w14:paraId="0804F5D9"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481232C2"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7D32199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2018</w:t>
            </w:r>
          </w:p>
        </w:tc>
        <w:tc>
          <w:tcPr>
            <w:tcW w:w="1727" w:type="dxa"/>
            <w:hideMark/>
          </w:tcPr>
          <w:p w14:paraId="060D6D69"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2662113</w:t>
            </w:r>
          </w:p>
        </w:tc>
        <w:tc>
          <w:tcPr>
            <w:tcW w:w="2238" w:type="dxa"/>
            <w:hideMark/>
          </w:tcPr>
          <w:p w14:paraId="4C2B12C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3000–10000</w:t>
            </w:r>
          </w:p>
        </w:tc>
        <w:tc>
          <w:tcPr>
            <w:tcW w:w="1842" w:type="dxa"/>
          </w:tcPr>
          <w:p w14:paraId="2B7D7BD9"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8.0-27</w:t>
            </w:r>
          </w:p>
        </w:tc>
      </w:tr>
      <w:tr w:rsidR="002B20A9" w:rsidRPr="00C86111" w14:paraId="328F40B5"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41583A48"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70C0BBB0"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2019</w:t>
            </w:r>
          </w:p>
        </w:tc>
        <w:tc>
          <w:tcPr>
            <w:tcW w:w="1727" w:type="dxa"/>
            <w:hideMark/>
          </w:tcPr>
          <w:p w14:paraId="2CED3F7B"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3066485</w:t>
            </w:r>
          </w:p>
        </w:tc>
        <w:tc>
          <w:tcPr>
            <w:tcW w:w="2238" w:type="dxa"/>
            <w:hideMark/>
          </w:tcPr>
          <w:p w14:paraId="24A924EE"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3000–10000</w:t>
            </w:r>
          </w:p>
        </w:tc>
        <w:tc>
          <w:tcPr>
            <w:tcW w:w="1842" w:type="dxa"/>
          </w:tcPr>
          <w:p w14:paraId="07FA90BC"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9.2-31</w:t>
            </w:r>
          </w:p>
        </w:tc>
      </w:tr>
      <w:tr w:rsidR="002B20A9" w:rsidRPr="00C86111" w14:paraId="34CF357D"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3CB23360"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1B69B8A1"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2020</w:t>
            </w:r>
          </w:p>
        </w:tc>
        <w:tc>
          <w:tcPr>
            <w:tcW w:w="1727" w:type="dxa"/>
            <w:hideMark/>
          </w:tcPr>
          <w:p w14:paraId="41DCA84B"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2334628</w:t>
            </w:r>
          </w:p>
        </w:tc>
        <w:tc>
          <w:tcPr>
            <w:tcW w:w="2238" w:type="dxa"/>
            <w:hideMark/>
          </w:tcPr>
          <w:p w14:paraId="49311ABD"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3000–10000</w:t>
            </w:r>
          </w:p>
        </w:tc>
        <w:tc>
          <w:tcPr>
            <w:tcW w:w="1842" w:type="dxa"/>
          </w:tcPr>
          <w:p w14:paraId="7BDBA829"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7.0-23</w:t>
            </w:r>
          </w:p>
        </w:tc>
      </w:tr>
      <w:tr w:rsidR="002B20A9" w:rsidRPr="00C86111" w14:paraId="242A13E5"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0C43DB59"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22429E21"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1727" w:type="dxa"/>
            <w:hideMark/>
          </w:tcPr>
          <w:p w14:paraId="70B925B0"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2168231</w:t>
            </w:r>
          </w:p>
        </w:tc>
        <w:tc>
          <w:tcPr>
            <w:tcW w:w="2238" w:type="dxa"/>
            <w:hideMark/>
          </w:tcPr>
          <w:p w14:paraId="09E7B8A4"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3000–10000</w:t>
            </w:r>
          </w:p>
        </w:tc>
        <w:tc>
          <w:tcPr>
            <w:tcW w:w="1842" w:type="dxa"/>
          </w:tcPr>
          <w:p w14:paraId="19A32E0B"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6.5-22</w:t>
            </w:r>
          </w:p>
        </w:tc>
      </w:tr>
      <w:tr w:rsidR="002B20A9" w:rsidRPr="00C86111" w14:paraId="3426242D"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7D49FEFF"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1AC86F6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2022</w:t>
            </w:r>
          </w:p>
        </w:tc>
        <w:tc>
          <w:tcPr>
            <w:tcW w:w="1727" w:type="dxa"/>
            <w:hideMark/>
          </w:tcPr>
          <w:p w14:paraId="16678CE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2671714</w:t>
            </w:r>
          </w:p>
        </w:tc>
        <w:tc>
          <w:tcPr>
            <w:tcW w:w="2238" w:type="dxa"/>
            <w:hideMark/>
          </w:tcPr>
          <w:p w14:paraId="1D964242"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3000–10000</w:t>
            </w:r>
          </w:p>
        </w:tc>
        <w:tc>
          <w:tcPr>
            <w:tcW w:w="1842" w:type="dxa"/>
          </w:tcPr>
          <w:p w14:paraId="28788F82"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8.0-27</w:t>
            </w:r>
          </w:p>
        </w:tc>
      </w:tr>
    </w:tbl>
    <w:p w14:paraId="3646A3CC" w14:textId="77777777" w:rsidR="002B20A9" w:rsidRPr="00C86111" w:rsidRDefault="002B20A9" w:rsidP="002B20A9">
      <w:pPr>
        <w:jc w:val="both"/>
        <w:rPr>
          <w:rFonts w:asciiTheme="minorHAnsi" w:hAnsiTheme="minorHAnsi" w:cstheme="minorHAnsi"/>
          <w:color w:val="auto"/>
        </w:rPr>
      </w:pPr>
    </w:p>
    <w:p w14:paraId="1B1A89D7" w14:textId="77777777" w:rsidR="002B20A9" w:rsidRPr="00C86111" w:rsidRDefault="002B20A9" w:rsidP="002B20A9">
      <w:pPr>
        <w:jc w:val="both"/>
        <w:rPr>
          <w:rFonts w:asciiTheme="minorHAnsi" w:hAnsiTheme="minorHAnsi" w:cstheme="minorHAnsi"/>
          <w:color w:val="auto"/>
        </w:rPr>
      </w:pPr>
    </w:p>
    <w:p w14:paraId="6426B2C1" w14:textId="7AFD322D"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Tabela </w:t>
      </w:r>
      <w:r w:rsidR="00626D74" w:rsidRPr="00C86111">
        <w:rPr>
          <w:rFonts w:asciiTheme="minorHAnsi" w:hAnsiTheme="minorHAnsi" w:cstheme="minorHAnsi"/>
          <w:b/>
          <w:bCs/>
          <w:color w:val="auto"/>
        </w:rPr>
        <w:t>96</w:t>
      </w:r>
      <w:r w:rsidRPr="00C86111">
        <w:rPr>
          <w:rFonts w:asciiTheme="minorHAnsi" w:hAnsiTheme="minorHAnsi" w:cstheme="minorHAnsi"/>
          <w:b/>
          <w:bCs/>
          <w:color w:val="auto"/>
        </w:rPr>
        <w:t>.</w:t>
      </w:r>
      <w:r w:rsidRPr="00C86111">
        <w:rPr>
          <w:rFonts w:asciiTheme="minorHAnsi" w:hAnsiTheme="minorHAnsi" w:cstheme="minorHAnsi"/>
          <w:color w:val="auto"/>
        </w:rPr>
        <w:t xml:space="preserve"> Potencijalni sadržaj PFOA u generisanom otpadnom tekstilu za period 2017-2022 godina</w:t>
      </w:r>
    </w:p>
    <w:tbl>
      <w:tblPr>
        <w:tblStyle w:val="GridTable5Dark-Accent6"/>
        <w:tblW w:w="9067" w:type="dxa"/>
        <w:tblLook w:val="04A0" w:firstRow="1" w:lastRow="0" w:firstColumn="1" w:lastColumn="0" w:noHBand="0" w:noVBand="1"/>
      </w:tblPr>
      <w:tblGrid>
        <w:gridCol w:w="1559"/>
        <w:gridCol w:w="1701"/>
        <w:gridCol w:w="1727"/>
        <w:gridCol w:w="2238"/>
        <w:gridCol w:w="1842"/>
      </w:tblGrid>
      <w:tr w:rsidR="002B20A9" w:rsidRPr="00C86111" w14:paraId="249F606A" w14:textId="77777777" w:rsidTr="00BC765B">
        <w:trPr>
          <w:cnfStyle w:val="100000000000" w:firstRow="1" w:lastRow="0" w:firstColumn="0" w:lastColumn="0" w:oddVBand="0" w:evenVBand="0" w:oddHBand="0"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1559" w:type="dxa"/>
            <w:hideMark/>
          </w:tcPr>
          <w:p w14:paraId="2EB831B1" w14:textId="77777777" w:rsidR="002B20A9" w:rsidRPr="00C86111" w:rsidRDefault="002B20A9" w:rsidP="00BC765B">
            <w:pPr>
              <w:jc w:val="both"/>
              <w:rPr>
                <w:rFonts w:asciiTheme="minorHAnsi" w:eastAsia="Times New Roman" w:hAnsiTheme="minorHAnsi" w:cstheme="minorHAnsi"/>
                <w:b w:val="0"/>
                <w:bCs w:val="0"/>
                <w:color w:val="auto"/>
                <w:sz w:val="20"/>
                <w:szCs w:val="20"/>
                <w:lang w:val="sr-Latn-ME"/>
              </w:rPr>
            </w:pPr>
          </w:p>
          <w:p w14:paraId="6B572C63" w14:textId="77777777" w:rsidR="002B20A9" w:rsidRPr="00C86111" w:rsidRDefault="002B20A9" w:rsidP="00BC765B">
            <w:pPr>
              <w:jc w:val="both"/>
              <w:rPr>
                <w:rFonts w:asciiTheme="minorHAnsi" w:eastAsia="Times New Roman" w:hAnsiTheme="minorHAnsi" w:cstheme="minorHAnsi"/>
                <w:b w:val="0"/>
                <w:bCs w:val="0"/>
                <w:color w:val="auto"/>
                <w:sz w:val="20"/>
                <w:szCs w:val="20"/>
                <w:lang w:val="sr-Latn-ME"/>
              </w:rPr>
            </w:pPr>
          </w:p>
          <w:p w14:paraId="0A4ED10C"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val="sr-Latn-ME"/>
              </w:rPr>
              <w:t>Proizvod</w:t>
            </w:r>
          </w:p>
        </w:tc>
        <w:tc>
          <w:tcPr>
            <w:tcW w:w="1701" w:type="dxa"/>
            <w:hideMark/>
          </w:tcPr>
          <w:p w14:paraId="0CB66F3C"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val="sr-Latn-ME"/>
              </w:rPr>
              <w:t>Godina</w:t>
            </w:r>
          </w:p>
        </w:tc>
        <w:tc>
          <w:tcPr>
            <w:tcW w:w="1727" w:type="dxa"/>
            <w:hideMark/>
          </w:tcPr>
          <w:p w14:paraId="4DD61B46"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Količina (m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w:t>
            </w:r>
          </w:p>
        </w:tc>
        <w:tc>
          <w:tcPr>
            <w:tcW w:w="2238" w:type="dxa"/>
            <w:hideMark/>
          </w:tcPr>
          <w:p w14:paraId="29E13B66"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PFOA sadržaj</w:t>
            </w:r>
          </w:p>
          <w:p w14:paraId="40B09245"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rPr>
            </w:pPr>
            <w:r w:rsidRPr="00C86111">
              <w:rPr>
                <w:rFonts w:asciiTheme="minorHAnsi" w:eastAsia="Calibri" w:hAnsiTheme="minorHAnsi" w:cstheme="minorHAnsi"/>
                <w:color w:val="auto"/>
                <w:sz w:val="20"/>
                <w:szCs w:val="20"/>
              </w:rPr>
              <w:t>Približna vrijednost</w:t>
            </w:r>
          </w:p>
          <w:p w14:paraId="50E82F37"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(mg PFOA/m</w:t>
            </w:r>
            <w:r w:rsidRPr="00C86111">
              <w:rPr>
                <w:rFonts w:asciiTheme="minorHAnsi" w:eastAsia="Calibri" w:hAnsiTheme="minorHAnsi" w:cstheme="minorHAnsi"/>
                <w:color w:val="auto"/>
                <w:sz w:val="20"/>
                <w:szCs w:val="20"/>
                <w:vertAlign w:val="superscript"/>
              </w:rPr>
              <w:t>2</w:t>
            </w:r>
            <w:r w:rsidRPr="00C86111">
              <w:rPr>
                <w:rFonts w:asciiTheme="minorHAnsi" w:eastAsia="Calibri" w:hAnsiTheme="minorHAnsi" w:cstheme="minorHAnsi"/>
                <w:color w:val="auto"/>
                <w:sz w:val="20"/>
                <w:szCs w:val="20"/>
              </w:rPr>
              <w:t xml:space="preserve"> proizvoda)</w:t>
            </w:r>
          </w:p>
        </w:tc>
        <w:tc>
          <w:tcPr>
            <w:tcW w:w="1842" w:type="dxa"/>
            <w:hideMark/>
          </w:tcPr>
          <w:p w14:paraId="76683C20"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Količina PFOA (kg)</w:t>
            </w:r>
          </w:p>
          <w:p w14:paraId="17D78E17"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najniža/</w:t>
            </w:r>
          </w:p>
          <w:p w14:paraId="4372C293"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najveća vrijednost</w:t>
            </w:r>
          </w:p>
        </w:tc>
      </w:tr>
      <w:tr w:rsidR="002B20A9" w:rsidRPr="00C86111" w14:paraId="35531BF5"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val="restart"/>
            <w:hideMark/>
          </w:tcPr>
          <w:p w14:paraId="11428246"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Tekstil</w:t>
            </w:r>
          </w:p>
        </w:tc>
        <w:tc>
          <w:tcPr>
            <w:tcW w:w="1701" w:type="dxa"/>
            <w:hideMark/>
          </w:tcPr>
          <w:p w14:paraId="3F8C810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2017</w:t>
            </w:r>
          </w:p>
        </w:tc>
        <w:tc>
          <w:tcPr>
            <w:tcW w:w="1727" w:type="dxa"/>
          </w:tcPr>
          <w:p w14:paraId="0C3E11CE"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19457033</w:t>
            </w:r>
          </w:p>
        </w:tc>
        <w:tc>
          <w:tcPr>
            <w:tcW w:w="2238" w:type="dxa"/>
          </w:tcPr>
          <w:p w14:paraId="443DCAC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42" w:type="dxa"/>
          </w:tcPr>
          <w:p w14:paraId="1198FDF3"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0.0008-0.97</w:t>
            </w:r>
          </w:p>
        </w:tc>
      </w:tr>
      <w:tr w:rsidR="002B20A9" w:rsidRPr="00C86111" w14:paraId="34A0F84F"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5064672F"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36D7667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2018</w:t>
            </w:r>
          </w:p>
        </w:tc>
        <w:tc>
          <w:tcPr>
            <w:tcW w:w="1727" w:type="dxa"/>
          </w:tcPr>
          <w:p w14:paraId="0082CEC2"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20215598</w:t>
            </w:r>
          </w:p>
        </w:tc>
        <w:tc>
          <w:tcPr>
            <w:tcW w:w="2238" w:type="dxa"/>
          </w:tcPr>
          <w:p w14:paraId="35428EB1"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42" w:type="dxa"/>
          </w:tcPr>
          <w:p w14:paraId="5568E834"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0.0008-1.01</w:t>
            </w:r>
          </w:p>
        </w:tc>
      </w:tr>
      <w:tr w:rsidR="002B20A9" w:rsidRPr="00C86111" w14:paraId="34DECCCA"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1E62AF97"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4AF6F2DF"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2019</w:t>
            </w:r>
          </w:p>
        </w:tc>
        <w:tc>
          <w:tcPr>
            <w:tcW w:w="1727" w:type="dxa"/>
          </w:tcPr>
          <w:p w14:paraId="7ED025A2"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21310412</w:t>
            </w:r>
          </w:p>
        </w:tc>
        <w:tc>
          <w:tcPr>
            <w:tcW w:w="2238" w:type="dxa"/>
          </w:tcPr>
          <w:p w14:paraId="1240A2C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42" w:type="dxa"/>
          </w:tcPr>
          <w:p w14:paraId="54B1678F"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0.0009-1.07</w:t>
            </w:r>
          </w:p>
        </w:tc>
      </w:tr>
      <w:tr w:rsidR="002B20A9" w:rsidRPr="00C86111" w14:paraId="76E91391"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6263342D"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12D5978A"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2020</w:t>
            </w:r>
          </w:p>
        </w:tc>
        <w:tc>
          <w:tcPr>
            <w:tcW w:w="1727" w:type="dxa"/>
          </w:tcPr>
          <w:p w14:paraId="27233FE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18960795</w:t>
            </w:r>
          </w:p>
        </w:tc>
        <w:tc>
          <w:tcPr>
            <w:tcW w:w="2238" w:type="dxa"/>
          </w:tcPr>
          <w:p w14:paraId="0E5778A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42" w:type="dxa"/>
          </w:tcPr>
          <w:p w14:paraId="4CBC828C"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0.0008-0.95</w:t>
            </w:r>
          </w:p>
        </w:tc>
      </w:tr>
      <w:tr w:rsidR="002B20A9" w:rsidRPr="00C86111" w14:paraId="326B8923"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66A0924A"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39192163"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1727" w:type="dxa"/>
          </w:tcPr>
          <w:p w14:paraId="14229A26"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22589700</w:t>
            </w:r>
          </w:p>
        </w:tc>
        <w:tc>
          <w:tcPr>
            <w:tcW w:w="2238" w:type="dxa"/>
          </w:tcPr>
          <w:p w14:paraId="0E806CB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42" w:type="dxa"/>
          </w:tcPr>
          <w:p w14:paraId="6FD751D7"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0.0009-1.13</w:t>
            </w:r>
          </w:p>
        </w:tc>
      </w:tr>
      <w:tr w:rsidR="002B20A9" w:rsidRPr="00C86111" w14:paraId="669D65CA"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6278CA12"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4EED03E2"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2022</w:t>
            </w:r>
          </w:p>
        </w:tc>
        <w:tc>
          <w:tcPr>
            <w:tcW w:w="1727" w:type="dxa"/>
          </w:tcPr>
          <w:p w14:paraId="75BACBCA"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20935347</w:t>
            </w:r>
          </w:p>
        </w:tc>
        <w:tc>
          <w:tcPr>
            <w:tcW w:w="2238" w:type="dxa"/>
          </w:tcPr>
          <w:p w14:paraId="1A290AA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4×10</w:t>
            </w:r>
            <w:r w:rsidRPr="00C86111">
              <w:rPr>
                <w:rFonts w:asciiTheme="minorHAnsi" w:eastAsia="Calibri" w:hAnsiTheme="minorHAnsi" w:cstheme="minorHAnsi"/>
                <w:color w:val="auto"/>
                <w:sz w:val="20"/>
                <w:szCs w:val="20"/>
                <w:vertAlign w:val="superscript"/>
              </w:rPr>
              <w:t>-5</w:t>
            </w:r>
            <w:r w:rsidRPr="00C86111">
              <w:rPr>
                <w:rFonts w:asciiTheme="minorHAnsi" w:eastAsia="Calibri" w:hAnsiTheme="minorHAnsi" w:cstheme="minorHAnsi"/>
                <w:color w:val="auto"/>
                <w:sz w:val="20"/>
                <w:szCs w:val="20"/>
              </w:rPr>
              <w:t>-0.05</w:t>
            </w:r>
          </w:p>
        </w:tc>
        <w:tc>
          <w:tcPr>
            <w:tcW w:w="1842" w:type="dxa"/>
          </w:tcPr>
          <w:p w14:paraId="338A95B1"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0.0008-1.05</w:t>
            </w:r>
          </w:p>
        </w:tc>
      </w:tr>
    </w:tbl>
    <w:p w14:paraId="3F56E2F4" w14:textId="77777777" w:rsidR="002B20A9" w:rsidRPr="00C86111" w:rsidRDefault="002B20A9" w:rsidP="002B20A9">
      <w:pPr>
        <w:jc w:val="both"/>
        <w:rPr>
          <w:rFonts w:asciiTheme="minorHAnsi" w:hAnsiTheme="minorHAnsi" w:cstheme="minorHAnsi"/>
          <w:color w:val="auto"/>
        </w:rPr>
      </w:pPr>
    </w:p>
    <w:p w14:paraId="2BECF3A9" w14:textId="77777777" w:rsidR="002A416E" w:rsidRPr="00C86111" w:rsidRDefault="002A416E" w:rsidP="002B20A9">
      <w:pPr>
        <w:jc w:val="both"/>
        <w:rPr>
          <w:rFonts w:asciiTheme="minorHAnsi" w:hAnsiTheme="minorHAnsi" w:cstheme="minorHAnsi"/>
          <w:b/>
          <w:bCs/>
          <w:color w:val="auto"/>
        </w:rPr>
      </w:pPr>
    </w:p>
    <w:p w14:paraId="034D8C0D" w14:textId="36299B48" w:rsidR="002B20A9" w:rsidRPr="00C86111" w:rsidRDefault="002B20A9" w:rsidP="002B20A9">
      <w:pPr>
        <w:jc w:val="both"/>
        <w:rPr>
          <w:rFonts w:asciiTheme="minorHAnsi" w:hAnsiTheme="minorHAnsi" w:cstheme="minorHAnsi"/>
          <w:color w:val="auto"/>
        </w:rPr>
      </w:pPr>
      <w:r w:rsidRPr="00C86111">
        <w:rPr>
          <w:rFonts w:asciiTheme="minorHAnsi" w:hAnsiTheme="minorHAnsi" w:cstheme="minorHAnsi"/>
          <w:b/>
          <w:bCs/>
          <w:color w:val="auto"/>
        </w:rPr>
        <w:t xml:space="preserve">Tabela </w:t>
      </w:r>
      <w:r w:rsidR="00626D74" w:rsidRPr="00C86111">
        <w:rPr>
          <w:rFonts w:asciiTheme="minorHAnsi" w:hAnsiTheme="minorHAnsi" w:cstheme="minorHAnsi"/>
          <w:b/>
          <w:bCs/>
          <w:color w:val="auto"/>
        </w:rPr>
        <w:t>97</w:t>
      </w:r>
      <w:r w:rsidRPr="00C86111">
        <w:rPr>
          <w:rFonts w:asciiTheme="minorHAnsi" w:hAnsiTheme="minorHAnsi" w:cstheme="minorHAnsi"/>
          <w:b/>
          <w:bCs/>
          <w:color w:val="auto"/>
        </w:rPr>
        <w:t>.</w:t>
      </w:r>
      <w:r w:rsidRPr="00C86111">
        <w:rPr>
          <w:rFonts w:asciiTheme="minorHAnsi" w:hAnsiTheme="minorHAnsi" w:cstheme="minorHAnsi"/>
          <w:color w:val="auto"/>
        </w:rPr>
        <w:t xml:space="preserve"> Potencijalni sadržaj PFHxS u generisanom otpadnom tekstilu za period 2017-2022 godina</w:t>
      </w:r>
    </w:p>
    <w:p w14:paraId="5700FEB9" w14:textId="77777777" w:rsidR="00626D74" w:rsidRPr="00C86111" w:rsidRDefault="00626D74" w:rsidP="002B20A9">
      <w:pPr>
        <w:jc w:val="both"/>
        <w:rPr>
          <w:rFonts w:asciiTheme="minorHAnsi" w:hAnsiTheme="minorHAnsi" w:cstheme="minorHAnsi"/>
          <w:color w:val="auto"/>
        </w:rPr>
      </w:pPr>
    </w:p>
    <w:tbl>
      <w:tblPr>
        <w:tblStyle w:val="GridTable5Dark-Accent6"/>
        <w:tblW w:w="9067" w:type="dxa"/>
        <w:tblLook w:val="04A0" w:firstRow="1" w:lastRow="0" w:firstColumn="1" w:lastColumn="0" w:noHBand="0" w:noVBand="1"/>
      </w:tblPr>
      <w:tblGrid>
        <w:gridCol w:w="1559"/>
        <w:gridCol w:w="1701"/>
        <w:gridCol w:w="1727"/>
        <w:gridCol w:w="2238"/>
        <w:gridCol w:w="1842"/>
      </w:tblGrid>
      <w:tr w:rsidR="002B20A9" w:rsidRPr="00C86111" w14:paraId="225106E4" w14:textId="77777777" w:rsidTr="00BC765B">
        <w:trPr>
          <w:cnfStyle w:val="100000000000" w:firstRow="1" w:lastRow="0" w:firstColumn="0" w:lastColumn="0" w:oddVBand="0" w:evenVBand="0" w:oddHBand="0"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1559" w:type="dxa"/>
            <w:hideMark/>
          </w:tcPr>
          <w:p w14:paraId="690D2768" w14:textId="77777777" w:rsidR="002B20A9" w:rsidRPr="00C86111" w:rsidRDefault="002B20A9" w:rsidP="00BC765B">
            <w:pPr>
              <w:jc w:val="both"/>
              <w:rPr>
                <w:rFonts w:asciiTheme="minorHAnsi" w:eastAsia="Times New Roman" w:hAnsiTheme="minorHAnsi" w:cstheme="minorHAnsi"/>
                <w:b w:val="0"/>
                <w:bCs w:val="0"/>
                <w:color w:val="auto"/>
                <w:sz w:val="20"/>
                <w:szCs w:val="20"/>
                <w:lang w:val="sr-Latn-ME"/>
              </w:rPr>
            </w:pPr>
          </w:p>
          <w:p w14:paraId="38ADA57C" w14:textId="77777777" w:rsidR="002B20A9" w:rsidRPr="00C86111" w:rsidRDefault="002B20A9" w:rsidP="00BC765B">
            <w:pPr>
              <w:jc w:val="both"/>
              <w:rPr>
                <w:rFonts w:asciiTheme="minorHAnsi" w:eastAsia="Times New Roman" w:hAnsiTheme="minorHAnsi" w:cstheme="minorHAnsi"/>
                <w:b w:val="0"/>
                <w:bCs w:val="0"/>
                <w:color w:val="auto"/>
                <w:sz w:val="20"/>
                <w:szCs w:val="20"/>
                <w:lang w:val="sr-Latn-ME"/>
              </w:rPr>
            </w:pPr>
          </w:p>
          <w:p w14:paraId="78B264AE"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val="sr-Latn-ME"/>
              </w:rPr>
              <w:t>Proizvod</w:t>
            </w:r>
          </w:p>
        </w:tc>
        <w:tc>
          <w:tcPr>
            <w:tcW w:w="1701" w:type="dxa"/>
            <w:hideMark/>
          </w:tcPr>
          <w:p w14:paraId="6ECD50DB"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Times New Roman" w:hAnsiTheme="minorHAnsi" w:cstheme="minorHAnsi"/>
                <w:color w:val="auto"/>
                <w:sz w:val="20"/>
                <w:szCs w:val="20"/>
                <w:lang w:val="sr-Latn-ME"/>
              </w:rPr>
              <w:t>Godina</w:t>
            </w:r>
          </w:p>
        </w:tc>
        <w:tc>
          <w:tcPr>
            <w:tcW w:w="1727" w:type="dxa"/>
            <w:hideMark/>
          </w:tcPr>
          <w:p w14:paraId="55A3E641"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kern w:val="24"/>
                <w:sz w:val="20"/>
                <w:szCs w:val="20"/>
              </w:rPr>
              <w:t>Količina (</w:t>
            </w:r>
            <w:r w:rsidRPr="00C86111">
              <w:rPr>
                <w:rFonts w:asciiTheme="minorHAnsi" w:hAnsiTheme="minorHAnsi" w:cstheme="minorHAnsi"/>
                <w:color w:val="auto"/>
                <w:kern w:val="24"/>
                <w:sz w:val="20"/>
                <w:szCs w:val="20"/>
                <w:lang w:val="sr-Latn-ME"/>
              </w:rPr>
              <w:t>kg</w:t>
            </w:r>
            <w:r w:rsidRPr="00C86111">
              <w:rPr>
                <w:rFonts w:asciiTheme="minorHAnsi" w:hAnsiTheme="minorHAnsi" w:cstheme="minorHAnsi"/>
                <w:color w:val="auto"/>
                <w:kern w:val="24"/>
                <w:sz w:val="20"/>
                <w:szCs w:val="20"/>
              </w:rPr>
              <w:t>)</w:t>
            </w:r>
          </w:p>
        </w:tc>
        <w:tc>
          <w:tcPr>
            <w:tcW w:w="2238" w:type="dxa"/>
            <w:hideMark/>
          </w:tcPr>
          <w:p w14:paraId="0BC53FD5"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kern w:val="24"/>
                <w:sz w:val="20"/>
                <w:szCs w:val="20"/>
              </w:rPr>
              <w:t>PF</w:t>
            </w:r>
            <w:r w:rsidRPr="00C86111">
              <w:rPr>
                <w:rFonts w:asciiTheme="minorHAnsi" w:hAnsiTheme="minorHAnsi" w:cstheme="minorHAnsi"/>
                <w:kern w:val="24"/>
                <w:sz w:val="20"/>
                <w:szCs w:val="20"/>
                <w:lang w:val="sr-Latn-ME"/>
              </w:rPr>
              <w:t>Hx</w:t>
            </w:r>
            <w:r w:rsidRPr="00C86111">
              <w:rPr>
                <w:rFonts w:asciiTheme="minorHAnsi" w:hAnsiTheme="minorHAnsi" w:cstheme="minorHAnsi"/>
                <w:kern w:val="24"/>
                <w:sz w:val="20"/>
                <w:szCs w:val="20"/>
              </w:rPr>
              <w:t>S sadržaj</w:t>
            </w:r>
          </w:p>
          <w:p w14:paraId="292E774B"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kern w:val="24"/>
                <w:sz w:val="20"/>
                <w:szCs w:val="20"/>
              </w:rPr>
              <w:t>Približna vrijednost</w:t>
            </w:r>
          </w:p>
          <w:p w14:paraId="76A33276"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kern w:val="24"/>
                <w:sz w:val="20"/>
                <w:szCs w:val="20"/>
              </w:rPr>
              <w:t>(</w:t>
            </w:r>
            <w:r w:rsidRPr="00C86111">
              <w:rPr>
                <w:rFonts w:asciiTheme="minorHAnsi" w:eastAsia="DengXian" w:hAnsiTheme="minorHAnsi" w:cstheme="minorHAnsi"/>
                <w:color w:val="auto"/>
                <w:kern w:val="24"/>
                <w:sz w:val="20"/>
                <w:szCs w:val="20"/>
              </w:rPr>
              <w:t>µg</w:t>
            </w:r>
            <w:r w:rsidRPr="00C86111">
              <w:rPr>
                <w:rFonts w:asciiTheme="minorHAnsi" w:hAnsiTheme="minorHAnsi" w:cstheme="minorHAnsi"/>
                <w:color w:val="auto"/>
                <w:kern w:val="24"/>
                <w:sz w:val="20"/>
                <w:szCs w:val="20"/>
              </w:rPr>
              <w:t xml:space="preserve"> PF</w:t>
            </w:r>
            <w:r w:rsidRPr="00C86111">
              <w:rPr>
                <w:rFonts w:asciiTheme="minorHAnsi" w:hAnsiTheme="minorHAnsi" w:cstheme="minorHAnsi"/>
                <w:color w:val="auto"/>
                <w:kern w:val="24"/>
                <w:sz w:val="20"/>
                <w:szCs w:val="20"/>
                <w:lang w:val="sr-Latn-ME"/>
              </w:rPr>
              <w:t>Hx</w:t>
            </w:r>
            <w:r w:rsidRPr="00C86111">
              <w:rPr>
                <w:rFonts w:asciiTheme="minorHAnsi" w:hAnsiTheme="minorHAnsi" w:cstheme="minorHAnsi"/>
                <w:color w:val="auto"/>
                <w:kern w:val="24"/>
                <w:sz w:val="20"/>
                <w:szCs w:val="20"/>
              </w:rPr>
              <w:t>S/</w:t>
            </w:r>
            <w:r w:rsidRPr="00C86111">
              <w:rPr>
                <w:rFonts w:asciiTheme="minorHAnsi" w:hAnsiTheme="minorHAnsi" w:cstheme="minorHAnsi"/>
                <w:color w:val="auto"/>
                <w:kern w:val="24"/>
                <w:sz w:val="20"/>
                <w:szCs w:val="20"/>
                <w:lang w:val="sr-Latn-ME"/>
              </w:rPr>
              <w:t>kg</w:t>
            </w:r>
            <w:r w:rsidRPr="00C86111">
              <w:rPr>
                <w:rFonts w:asciiTheme="minorHAnsi" w:hAnsiTheme="minorHAnsi" w:cstheme="minorHAnsi"/>
                <w:color w:val="auto"/>
                <w:kern w:val="24"/>
                <w:sz w:val="20"/>
                <w:szCs w:val="20"/>
              </w:rPr>
              <w:t xml:space="preserve"> proizvoda)</w:t>
            </w:r>
          </w:p>
        </w:tc>
        <w:tc>
          <w:tcPr>
            <w:tcW w:w="1842" w:type="dxa"/>
            <w:hideMark/>
          </w:tcPr>
          <w:p w14:paraId="6DD3DE3D"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kern w:val="24"/>
                <w:sz w:val="20"/>
                <w:szCs w:val="20"/>
                <w:lang w:val="sr-Latn-ME"/>
              </w:rPr>
              <w:t>Količina PFHxS (g)</w:t>
            </w:r>
          </w:p>
          <w:p w14:paraId="7401B049"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86111">
              <w:rPr>
                <w:rFonts w:asciiTheme="minorHAnsi" w:hAnsiTheme="minorHAnsi" w:cstheme="minorHAnsi"/>
                <w:kern w:val="24"/>
                <w:sz w:val="20"/>
                <w:szCs w:val="20"/>
                <w:lang w:val="sr-Latn-ME"/>
              </w:rPr>
              <w:t>najniža/</w:t>
            </w:r>
          </w:p>
          <w:p w14:paraId="7FD4D089" w14:textId="77777777" w:rsidR="002B20A9" w:rsidRPr="00C86111" w:rsidRDefault="002B20A9" w:rsidP="00BC765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kern w:val="24"/>
                <w:sz w:val="20"/>
                <w:szCs w:val="20"/>
                <w:lang w:val="sr-Latn-ME"/>
              </w:rPr>
              <w:t>najveća vrijednost</w:t>
            </w:r>
          </w:p>
        </w:tc>
      </w:tr>
      <w:tr w:rsidR="002B20A9" w:rsidRPr="00C86111" w14:paraId="7380CF40"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val="restart"/>
            <w:hideMark/>
          </w:tcPr>
          <w:p w14:paraId="19821AB1" w14:textId="77777777" w:rsidR="002B20A9" w:rsidRPr="00C86111" w:rsidRDefault="002B20A9" w:rsidP="00BC765B">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Tekstil</w:t>
            </w:r>
          </w:p>
        </w:tc>
        <w:tc>
          <w:tcPr>
            <w:tcW w:w="1701" w:type="dxa"/>
            <w:hideMark/>
          </w:tcPr>
          <w:p w14:paraId="2F46C52E"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2017</w:t>
            </w:r>
          </w:p>
        </w:tc>
        <w:tc>
          <w:tcPr>
            <w:tcW w:w="1727" w:type="dxa"/>
          </w:tcPr>
          <w:p w14:paraId="49073720"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9265254</w:t>
            </w:r>
          </w:p>
        </w:tc>
        <w:tc>
          <w:tcPr>
            <w:tcW w:w="2238" w:type="dxa"/>
          </w:tcPr>
          <w:p w14:paraId="34DA900E"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42" w:type="dxa"/>
          </w:tcPr>
          <w:p w14:paraId="3FD5433A"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2.0</w:t>
            </w:r>
            <w:r w:rsidRPr="00C86111">
              <w:rPr>
                <w:rFonts w:asciiTheme="minorHAnsi" w:eastAsia="DengXian" w:hAnsiTheme="minorHAnsi" w:cstheme="minorHAnsi"/>
                <w:color w:val="auto"/>
                <w:kern w:val="24"/>
                <w:sz w:val="20"/>
                <w:szCs w:val="20"/>
                <w:lang w:val="sr-Latn-ME"/>
              </w:rPr>
              <w:t>-27</w:t>
            </w:r>
          </w:p>
        </w:tc>
      </w:tr>
      <w:tr w:rsidR="002B20A9" w:rsidRPr="00C86111" w14:paraId="047558EA"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2F9BB985"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0428F31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2018</w:t>
            </w:r>
          </w:p>
        </w:tc>
        <w:tc>
          <w:tcPr>
            <w:tcW w:w="1727" w:type="dxa"/>
          </w:tcPr>
          <w:p w14:paraId="32038A89"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9626475</w:t>
            </w:r>
          </w:p>
        </w:tc>
        <w:tc>
          <w:tcPr>
            <w:tcW w:w="2238" w:type="dxa"/>
          </w:tcPr>
          <w:p w14:paraId="4CE66BE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42" w:type="dxa"/>
          </w:tcPr>
          <w:p w14:paraId="3EC77236"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2.1</w:t>
            </w:r>
            <w:r w:rsidRPr="00C86111">
              <w:rPr>
                <w:rFonts w:asciiTheme="minorHAnsi" w:eastAsia="DengXian" w:hAnsiTheme="minorHAnsi" w:cstheme="minorHAnsi"/>
                <w:color w:val="auto"/>
                <w:kern w:val="24"/>
                <w:sz w:val="20"/>
                <w:szCs w:val="20"/>
                <w:lang w:val="sr-Latn-ME"/>
              </w:rPr>
              <w:t>-28</w:t>
            </w:r>
          </w:p>
        </w:tc>
      </w:tr>
      <w:tr w:rsidR="002B20A9" w:rsidRPr="00C86111" w14:paraId="5C9F816B"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24E0AD93"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5A6FAC74"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2019</w:t>
            </w:r>
          </w:p>
        </w:tc>
        <w:tc>
          <w:tcPr>
            <w:tcW w:w="1727" w:type="dxa"/>
          </w:tcPr>
          <w:p w14:paraId="0937C5FF"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10147815</w:t>
            </w:r>
          </w:p>
        </w:tc>
        <w:tc>
          <w:tcPr>
            <w:tcW w:w="2238" w:type="dxa"/>
          </w:tcPr>
          <w:p w14:paraId="3BB371AC"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42" w:type="dxa"/>
          </w:tcPr>
          <w:p w14:paraId="6E1CA980"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2.2</w:t>
            </w:r>
            <w:r w:rsidRPr="00C86111">
              <w:rPr>
                <w:rFonts w:asciiTheme="minorHAnsi" w:eastAsia="DengXian" w:hAnsiTheme="minorHAnsi" w:cstheme="minorHAnsi"/>
                <w:color w:val="auto"/>
                <w:kern w:val="24"/>
                <w:sz w:val="20"/>
                <w:szCs w:val="20"/>
                <w:lang w:val="sr-Latn-ME"/>
              </w:rPr>
              <w:t>-30</w:t>
            </w:r>
          </w:p>
        </w:tc>
      </w:tr>
      <w:tr w:rsidR="002B20A9" w:rsidRPr="00C86111" w14:paraId="796CDC56"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6E34D1B1"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7B5D5BB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2020</w:t>
            </w:r>
          </w:p>
        </w:tc>
        <w:tc>
          <w:tcPr>
            <w:tcW w:w="1727" w:type="dxa"/>
          </w:tcPr>
          <w:p w14:paraId="4795B6A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9028950</w:t>
            </w:r>
          </w:p>
        </w:tc>
        <w:tc>
          <w:tcPr>
            <w:tcW w:w="2238" w:type="dxa"/>
          </w:tcPr>
          <w:p w14:paraId="558E1AA2"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42" w:type="dxa"/>
          </w:tcPr>
          <w:p w14:paraId="47A0A87F"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2.0</w:t>
            </w:r>
            <w:r w:rsidRPr="00C86111">
              <w:rPr>
                <w:rFonts w:asciiTheme="minorHAnsi" w:eastAsia="DengXian" w:hAnsiTheme="minorHAnsi" w:cstheme="minorHAnsi"/>
                <w:color w:val="auto"/>
                <w:kern w:val="24"/>
                <w:sz w:val="20"/>
                <w:szCs w:val="20"/>
                <w:lang w:val="sr-Latn-ME"/>
              </w:rPr>
              <w:t>-27</w:t>
            </w:r>
          </w:p>
        </w:tc>
      </w:tr>
      <w:tr w:rsidR="002B20A9" w:rsidRPr="00C86111" w14:paraId="4BB2658C" w14:textId="77777777" w:rsidTr="00BC765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604DC507"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228C8C10"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2021</w:t>
            </w:r>
          </w:p>
        </w:tc>
        <w:tc>
          <w:tcPr>
            <w:tcW w:w="1727" w:type="dxa"/>
          </w:tcPr>
          <w:p w14:paraId="04E6189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10757000</w:t>
            </w:r>
          </w:p>
        </w:tc>
        <w:tc>
          <w:tcPr>
            <w:tcW w:w="2238" w:type="dxa"/>
          </w:tcPr>
          <w:p w14:paraId="0A49CCA5"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42" w:type="dxa"/>
          </w:tcPr>
          <w:p w14:paraId="4C3C987A" w14:textId="77777777" w:rsidR="002B20A9" w:rsidRPr="00C86111" w:rsidRDefault="002B20A9" w:rsidP="00BC765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lang w:val="sr-Latn-ME"/>
              </w:rPr>
              <w:t>2.4-32</w:t>
            </w:r>
          </w:p>
        </w:tc>
      </w:tr>
      <w:tr w:rsidR="002B20A9" w:rsidRPr="00C86111" w14:paraId="111E3DBB" w14:textId="77777777" w:rsidTr="00BC765B">
        <w:trPr>
          <w:trHeight w:hRule="exact" w:val="397"/>
        </w:trPr>
        <w:tc>
          <w:tcPr>
            <w:cnfStyle w:val="001000000000" w:firstRow="0" w:lastRow="0" w:firstColumn="1" w:lastColumn="0" w:oddVBand="0" w:evenVBand="0" w:oddHBand="0" w:evenHBand="0" w:firstRowFirstColumn="0" w:firstRowLastColumn="0" w:lastRowFirstColumn="0" w:lastRowLastColumn="0"/>
            <w:tcW w:w="1559" w:type="dxa"/>
            <w:vMerge/>
            <w:hideMark/>
          </w:tcPr>
          <w:p w14:paraId="15EE94E9" w14:textId="77777777" w:rsidR="002B20A9" w:rsidRPr="00C86111" w:rsidRDefault="002B20A9" w:rsidP="00BC765B">
            <w:pPr>
              <w:jc w:val="both"/>
              <w:rPr>
                <w:rFonts w:asciiTheme="minorHAnsi" w:hAnsiTheme="minorHAnsi" w:cstheme="minorHAnsi"/>
                <w:color w:val="auto"/>
                <w:sz w:val="20"/>
                <w:szCs w:val="20"/>
              </w:rPr>
            </w:pPr>
          </w:p>
        </w:tc>
        <w:tc>
          <w:tcPr>
            <w:tcW w:w="1701" w:type="dxa"/>
            <w:hideMark/>
          </w:tcPr>
          <w:p w14:paraId="7CD37B71"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lang w:val="sr-Latn-ME"/>
              </w:rPr>
              <w:t>2022</w:t>
            </w:r>
          </w:p>
        </w:tc>
        <w:tc>
          <w:tcPr>
            <w:tcW w:w="1727" w:type="dxa"/>
          </w:tcPr>
          <w:p w14:paraId="5833A538"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9969213</w:t>
            </w:r>
          </w:p>
        </w:tc>
        <w:tc>
          <w:tcPr>
            <w:tcW w:w="2238" w:type="dxa"/>
          </w:tcPr>
          <w:p w14:paraId="50564942"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Calibri" w:hAnsiTheme="minorHAnsi" w:cstheme="minorHAnsi"/>
                <w:color w:val="auto"/>
                <w:sz w:val="20"/>
                <w:szCs w:val="20"/>
              </w:rPr>
              <w:t xml:space="preserve">0.219 – 2.93 </w:t>
            </w:r>
          </w:p>
        </w:tc>
        <w:tc>
          <w:tcPr>
            <w:tcW w:w="1842" w:type="dxa"/>
          </w:tcPr>
          <w:p w14:paraId="194542BE" w14:textId="77777777" w:rsidR="002B20A9" w:rsidRPr="00C86111" w:rsidRDefault="002B20A9" w:rsidP="00BC765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eastAsia="DengXian" w:hAnsiTheme="minorHAnsi" w:cstheme="minorHAnsi"/>
                <w:color w:val="auto"/>
                <w:kern w:val="24"/>
                <w:sz w:val="20"/>
                <w:szCs w:val="20"/>
              </w:rPr>
              <w:t>2.2</w:t>
            </w:r>
            <w:r w:rsidRPr="00C86111">
              <w:rPr>
                <w:rFonts w:asciiTheme="minorHAnsi" w:eastAsia="DengXian" w:hAnsiTheme="minorHAnsi" w:cstheme="minorHAnsi"/>
                <w:color w:val="auto"/>
                <w:kern w:val="24"/>
                <w:sz w:val="20"/>
                <w:szCs w:val="20"/>
                <w:lang w:val="sr-Latn-ME"/>
              </w:rPr>
              <w:t>-29</w:t>
            </w:r>
          </w:p>
        </w:tc>
      </w:tr>
    </w:tbl>
    <w:p w14:paraId="5032E615" w14:textId="77777777" w:rsidR="002B20A9" w:rsidRDefault="002B20A9" w:rsidP="002B20A9">
      <w:pPr>
        <w:jc w:val="both"/>
        <w:rPr>
          <w:rFonts w:asciiTheme="minorHAnsi" w:hAnsiTheme="minorHAnsi" w:cstheme="minorHAnsi"/>
          <w:color w:val="auto"/>
        </w:rPr>
      </w:pPr>
    </w:p>
    <w:p w14:paraId="0F0DD180" w14:textId="77777777" w:rsidR="0037538F" w:rsidRDefault="0037538F" w:rsidP="002B20A9">
      <w:pPr>
        <w:jc w:val="both"/>
        <w:rPr>
          <w:rFonts w:asciiTheme="minorHAnsi" w:hAnsiTheme="minorHAnsi" w:cstheme="minorHAnsi"/>
          <w:color w:val="auto"/>
        </w:rPr>
      </w:pPr>
    </w:p>
    <w:p w14:paraId="276126D4" w14:textId="77777777" w:rsidR="0037538F" w:rsidRDefault="0037538F" w:rsidP="002B20A9">
      <w:pPr>
        <w:jc w:val="both"/>
        <w:rPr>
          <w:rFonts w:asciiTheme="minorHAnsi" w:hAnsiTheme="minorHAnsi" w:cstheme="minorHAnsi"/>
          <w:color w:val="auto"/>
        </w:rPr>
      </w:pPr>
    </w:p>
    <w:p w14:paraId="3A46FFBF" w14:textId="77777777" w:rsidR="0037538F" w:rsidRDefault="0037538F" w:rsidP="002B20A9">
      <w:pPr>
        <w:jc w:val="both"/>
        <w:rPr>
          <w:rFonts w:asciiTheme="minorHAnsi" w:hAnsiTheme="minorHAnsi" w:cstheme="minorHAnsi"/>
          <w:color w:val="auto"/>
        </w:rPr>
      </w:pPr>
    </w:p>
    <w:p w14:paraId="43A88CC8" w14:textId="77777777" w:rsidR="0037538F" w:rsidRPr="00C86111" w:rsidRDefault="0037538F" w:rsidP="002B20A9">
      <w:pPr>
        <w:jc w:val="both"/>
        <w:rPr>
          <w:rFonts w:asciiTheme="minorHAnsi" w:hAnsiTheme="minorHAnsi" w:cstheme="minorHAnsi"/>
          <w:color w:val="auto"/>
        </w:rPr>
      </w:pPr>
    </w:p>
    <w:p w14:paraId="4BB1817B" w14:textId="77777777" w:rsidR="002B20A9" w:rsidRPr="00C86111" w:rsidRDefault="002B20A9" w:rsidP="00004F34">
      <w:pPr>
        <w:pStyle w:val="Heading1"/>
        <w:numPr>
          <w:ilvl w:val="1"/>
          <w:numId w:val="238"/>
        </w:numPr>
        <w:rPr>
          <w:lang w:eastAsia="en-GB"/>
        </w:rPr>
      </w:pPr>
      <w:bookmarkStart w:id="367" w:name="_Toc220541958"/>
      <w:r w:rsidRPr="00C86111">
        <w:rPr>
          <w:lang w:eastAsia="en-GB"/>
        </w:rPr>
        <w:lastRenderedPageBreak/>
        <w:t>Zaključak – PFOA i PFHxS u otpadu</w:t>
      </w:r>
      <w:bookmarkEnd w:id="367"/>
    </w:p>
    <w:p w14:paraId="73C11AF4" w14:textId="77777777" w:rsidR="002B20A9" w:rsidRPr="00C86111" w:rsidRDefault="002B20A9" w:rsidP="002B20A9">
      <w:pPr>
        <w:jc w:val="both"/>
        <w:rPr>
          <w:rFonts w:asciiTheme="minorHAnsi" w:eastAsia="Times New Roman" w:hAnsiTheme="minorHAnsi" w:cstheme="minorHAnsi"/>
          <w:color w:val="002060"/>
          <w:lang w:eastAsia="en-GB"/>
        </w:rPr>
      </w:pPr>
    </w:p>
    <w:p w14:paraId="52340996"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Analiza prikupljenih podataka o otpadu dovela je do sljedećih zaključaka:</w:t>
      </w:r>
    </w:p>
    <w:p w14:paraId="411E774D" w14:textId="77777777" w:rsidR="00626D74" w:rsidRPr="00C86111" w:rsidRDefault="00626D74" w:rsidP="002B20A9">
      <w:pPr>
        <w:jc w:val="both"/>
        <w:rPr>
          <w:rFonts w:asciiTheme="minorHAnsi" w:eastAsia="Times New Roman" w:hAnsiTheme="minorHAnsi" w:cstheme="minorHAnsi"/>
          <w:color w:val="auto"/>
          <w:lang w:eastAsia="en-GB"/>
        </w:rPr>
      </w:pPr>
    </w:p>
    <w:p w14:paraId="31609E94" w14:textId="77777777" w:rsidR="002B20A9" w:rsidRPr="00C86111" w:rsidRDefault="002B20A9" w:rsidP="00004F34">
      <w:pPr>
        <w:pStyle w:val="ListParagraph"/>
        <w:numPr>
          <w:ilvl w:val="0"/>
          <w:numId w:val="160"/>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002060"/>
          <w:lang w:eastAsia="en-GB"/>
        </w:rPr>
        <w:t xml:space="preserve">Grupa 20 </w:t>
      </w:r>
      <w:r w:rsidRPr="00C86111">
        <w:rPr>
          <w:rFonts w:asciiTheme="minorHAnsi" w:eastAsia="Times New Roman" w:hAnsiTheme="minorHAnsi" w:cstheme="minorHAnsi"/>
          <w:color w:val="auto"/>
          <w:lang w:eastAsia="en-GB"/>
        </w:rPr>
        <w:t>– komunalni otpad čini dominantan dio otpada koji potencijalno sadrži PFOA, PFHxS, njihove soli i srodna jedinjenja. Zbog velikih količina generisanog otpada, ova grupa treba da bude prioritet u budućim aktivnostima koje se odnose na upravljanje otpadom i identifikaciju izvora ovih supstanci.</w:t>
      </w:r>
    </w:p>
    <w:p w14:paraId="62B05A7F" w14:textId="77777777" w:rsidR="002B20A9" w:rsidRPr="00C86111" w:rsidRDefault="002B20A9" w:rsidP="00004F34">
      <w:pPr>
        <w:pStyle w:val="ListParagraph"/>
        <w:numPr>
          <w:ilvl w:val="0"/>
          <w:numId w:val="160"/>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002060"/>
          <w:lang w:eastAsia="en-GB"/>
        </w:rPr>
        <w:t>Otpad od papira i kartona</w:t>
      </w:r>
      <w:r w:rsidRPr="00C86111">
        <w:rPr>
          <w:rFonts w:asciiTheme="minorHAnsi" w:eastAsia="Times New Roman" w:hAnsiTheme="minorHAnsi" w:cstheme="minorHAnsi"/>
          <w:color w:val="auto"/>
          <w:lang w:eastAsia="en-GB"/>
        </w:rPr>
        <w:t>: potencijalno sadrži između 6,5 i 31 tone PFOA godišnje, u zavisnosti od obima uvoza i udjela impregniranih materijala. Ovo čini papir i karton najznačajnijim nosiocima PFOA u tokovima otpada.</w:t>
      </w:r>
    </w:p>
    <w:p w14:paraId="228CA5F6" w14:textId="77777777" w:rsidR="002B20A9" w:rsidRPr="00C86111" w:rsidRDefault="002B20A9" w:rsidP="00004F34">
      <w:pPr>
        <w:pStyle w:val="ListParagraph"/>
        <w:numPr>
          <w:ilvl w:val="0"/>
          <w:numId w:val="160"/>
        </w:numPr>
        <w:jc w:val="both"/>
        <w:rPr>
          <w:rFonts w:asciiTheme="minorHAnsi" w:hAnsiTheme="minorHAnsi" w:cstheme="minorHAnsi"/>
          <w:b/>
          <w:bCs/>
          <w:color w:val="auto"/>
        </w:rPr>
      </w:pPr>
      <w:r w:rsidRPr="00C86111">
        <w:rPr>
          <w:rFonts w:asciiTheme="minorHAnsi" w:eastAsia="Times New Roman" w:hAnsiTheme="minorHAnsi" w:cstheme="minorHAnsi"/>
          <w:color w:val="002060"/>
          <w:lang w:eastAsia="en-GB"/>
        </w:rPr>
        <w:t>Tekstil:</w:t>
      </w:r>
      <w:r w:rsidRPr="00C86111">
        <w:rPr>
          <w:rFonts w:asciiTheme="minorHAnsi" w:eastAsia="Times New Roman" w:hAnsiTheme="minorHAnsi" w:cstheme="minorHAnsi"/>
          <w:color w:val="auto"/>
          <w:lang w:eastAsia="en-GB"/>
        </w:rPr>
        <w:t xml:space="preserve"> procijenjeni nivoi PFOA u tekstilu su veoma niski – uglavnom ispod 1 kg godišnje, što odražava njihov ograničen značaj u poređenju sa ambalažnim materijalima. Međutim, ista tekstilna frakcija može sadržati između 2 i 32 g PFHxS godišnje, što potvrđuje njegovo prisustvo, iako u malim, ali mjerljivim količinama.</w:t>
      </w:r>
    </w:p>
    <w:p w14:paraId="08C79075" w14:textId="77777777" w:rsidR="002B20A9" w:rsidRPr="00C86111" w:rsidRDefault="002B20A9" w:rsidP="00004F34">
      <w:pPr>
        <w:pStyle w:val="ListParagraph"/>
        <w:numPr>
          <w:ilvl w:val="0"/>
          <w:numId w:val="160"/>
        </w:numPr>
        <w:jc w:val="both"/>
        <w:rPr>
          <w:rFonts w:asciiTheme="minorHAnsi" w:eastAsia="Times New Roman" w:hAnsiTheme="minorHAnsi" w:cstheme="minorHAnsi"/>
          <w:color w:val="auto"/>
          <w:lang w:eastAsia="en-GB"/>
        </w:rPr>
      </w:pPr>
      <w:r w:rsidRPr="00C86111">
        <w:rPr>
          <w:rFonts w:asciiTheme="minorHAnsi" w:hAnsiTheme="minorHAnsi" w:cstheme="minorHAnsi"/>
          <w:color w:val="auto"/>
        </w:rPr>
        <w:t xml:space="preserve">Rezultati pokazuju da su </w:t>
      </w:r>
      <w:r w:rsidRPr="00C86111">
        <w:rPr>
          <w:rStyle w:val="Strong"/>
          <w:rFonts w:asciiTheme="minorHAnsi" w:hAnsiTheme="minorHAnsi" w:cstheme="minorHAnsi"/>
          <w:b w:val="0"/>
          <w:bCs w:val="0"/>
          <w:color w:val="auto"/>
          <w:szCs w:val="24"/>
        </w:rPr>
        <w:t>doprinosi PFHxS-a u otpadu relativno ograničeni</w:t>
      </w:r>
      <w:r w:rsidRPr="00C86111">
        <w:rPr>
          <w:rFonts w:asciiTheme="minorHAnsi" w:hAnsiTheme="minorHAnsi" w:cstheme="minorHAnsi"/>
          <w:b/>
          <w:bCs/>
          <w:color w:val="auto"/>
        </w:rPr>
        <w:t>,</w:t>
      </w:r>
      <w:r w:rsidRPr="00C86111">
        <w:rPr>
          <w:rFonts w:asciiTheme="minorHAnsi" w:hAnsiTheme="minorHAnsi" w:cstheme="minorHAnsi"/>
          <w:color w:val="auto"/>
        </w:rPr>
        <w:t xml:space="preserve"> dok je </w:t>
      </w:r>
      <w:r w:rsidRPr="00C86111">
        <w:rPr>
          <w:rStyle w:val="Strong"/>
          <w:rFonts w:asciiTheme="minorHAnsi" w:hAnsiTheme="minorHAnsi" w:cstheme="minorHAnsi"/>
          <w:b w:val="0"/>
          <w:bCs w:val="0"/>
          <w:color w:val="auto"/>
          <w:szCs w:val="24"/>
        </w:rPr>
        <w:t>PFOA prisutan u znatno većim količinama</w:t>
      </w:r>
      <w:r w:rsidRPr="00C86111">
        <w:rPr>
          <w:rFonts w:asciiTheme="minorHAnsi" w:hAnsiTheme="minorHAnsi" w:cstheme="minorHAnsi"/>
          <w:b/>
          <w:bCs/>
          <w:color w:val="auto"/>
        </w:rPr>
        <w:t xml:space="preserve">, </w:t>
      </w:r>
      <w:r w:rsidRPr="00C86111">
        <w:rPr>
          <w:rFonts w:asciiTheme="minorHAnsi" w:hAnsiTheme="minorHAnsi" w:cstheme="minorHAnsi"/>
          <w:color w:val="auto"/>
        </w:rPr>
        <w:t>prvenstveno putem</w:t>
      </w:r>
      <w:r w:rsidRPr="00C86111">
        <w:rPr>
          <w:rFonts w:asciiTheme="minorHAnsi" w:hAnsiTheme="minorHAnsi" w:cstheme="minorHAnsi"/>
          <w:b/>
          <w:bCs/>
          <w:color w:val="auto"/>
        </w:rPr>
        <w:t xml:space="preserve"> </w:t>
      </w:r>
      <w:r w:rsidRPr="00C86111">
        <w:rPr>
          <w:rStyle w:val="Strong"/>
          <w:rFonts w:asciiTheme="minorHAnsi" w:hAnsiTheme="minorHAnsi" w:cstheme="minorHAnsi"/>
          <w:b w:val="0"/>
          <w:bCs w:val="0"/>
          <w:color w:val="auto"/>
          <w:szCs w:val="24"/>
        </w:rPr>
        <w:t>ambalažnih materijala</w:t>
      </w:r>
      <w:r w:rsidRPr="00C86111">
        <w:rPr>
          <w:rFonts w:asciiTheme="minorHAnsi" w:hAnsiTheme="minorHAnsi" w:cstheme="minorHAnsi"/>
          <w:b/>
          <w:bCs/>
          <w:color w:val="auto"/>
        </w:rPr>
        <w:t xml:space="preserve">. </w:t>
      </w:r>
      <w:r w:rsidRPr="00C86111">
        <w:rPr>
          <w:rFonts w:asciiTheme="minorHAnsi" w:hAnsiTheme="minorHAnsi" w:cstheme="minorHAnsi"/>
          <w:color w:val="auto"/>
        </w:rPr>
        <w:t xml:space="preserve">Zbog </w:t>
      </w:r>
      <w:r w:rsidRPr="00C86111">
        <w:rPr>
          <w:rStyle w:val="Strong"/>
          <w:rFonts w:asciiTheme="minorHAnsi" w:hAnsiTheme="minorHAnsi" w:cstheme="minorHAnsi"/>
          <w:b w:val="0"/>
          <w:bCs w:val="0"/>
          <w:color w:val="auto"/>
          <w:szCs w:val="24"/>
        </w:rPr>
        <w:t>postojanosti i opasnih svojstava</w:t>
      </w:r>
      <w:r w:rsidRPr="00C86111">
        <w:rPr>
          <w:rFonts w:asciiTheme="minorHAnsi" w:hAnsiTheme="minorHAnsi" w:cstheme="minorHAnsi"/>
          <w:color w:val="auto"/>
        </w:rPr>
        <w:t xml:space="preserve"> ovih supstanci, čak i </w:t>
      </w:r>
      <w:r w:rsidRPr="00C86111">
        <w:rPr>
          <w:rStyle w:val="Strong"/>
          <w:rFonts w:asciiTheme="minorHAnsi" w:hAnsiTheme="minorHAnsi" w:cstheme="minorHAnsi"/>
          <w:b w:val="0"/>
          <w:bCs w:val="0"/>
          <w:color w:val="auto"/>
          <w:szCs w:val="24"/>
        </w:rPr>
        <w:t>niski nivoi kontaminacije u velikim tokovima otpada</w:t>
      </w:r>
      <w:r w:rsidRPr="00C86111">
        <w:rPr>
          <w:rFonts w:asciiTheme="minorHAnsi" w:hAnsiTheme="minorHAnsi" w:cstheme="minorHAnsi"/>
          <w:color w:val="auto"/>
        </w:rPr>
        <w:t xml:space="preserve"> predstavljaju </w:t>
      </w:r>
      <w:r w:rsidRPr="00C86111">
        <w:rPr>
          <w:rStyle w:val="Strong"/>
          <w:rFonts w:asciiTheme="minorHAnsi" w:hAnsiTheme="minorHAnsi" w:cstheme="minorHAnsi"/>
          <w:b w:val="0"/>
          <w:bCs w:val="0"/>
          <w:color w:val="auto"/>
          <w:szCs w:val="24"/>
        </w:rPr>
        <w:t>dugoročni rizik od ispuštanja u zemljište, podzemne vode i vazduh</w:t>
      </w:r>
      <w:r w:rsidRPr="00C86111">
        <w:rPr>
          <w:rFonts w:asciiTheme="minorHAnsi" w:hAnsiTheme="minorHAnsi" w:cstheme="minorHAnsi"/>
          <w:b/>
          <w:bCs/>
          <w:color w:val="auto"/>
        </w:rPr>
        <w:t xml:space="preserve"> </w:t>
      </w:r>
      <w:r w:rsidRPr="00C86111">
        <w:rPr>
          <w:rFonts w:asciiTheme="minorHAnsi" w:hAnsiTheme="minorHAnsi" w:cstheme="minorHAnsi"/>
          <w:color w:val="auto"/>
        </w:rPr>
        <w:t>putem</w:t>
      </w:r>
      <w:r w:rsidRPr="00C86111">
        <w:rPr>
          <w:rFonts w:asciiTheme="minorHAnsi" w:hAnsiTheme="minorHAnsi" w:cstheme="minorHAnsi"/>
          <w:b/>
          <w:bCs/>
          <w:color w:val="auto"/>
        </w:rPr>
        <w:t xml:space="preserve"> </w:t>
      </w:r>
      <w:r w:rsidRPr="00C86111">
        <w:rPr>
          <w:rStyle w:val="Strong"/>
          <w:rFonts w:asciiTheme="minorHAnsi" w:hAnsiTheme="minorHAnsi" w:cstheme="minorHAnsi"/>
          <w:b w:val="0"/>
          <w:bCs w:val="0"/>
          <w:color w:val="auto"/>
          <w:szCs w:val="24"/>
        </w:rPr>
        <w:t>deponovanja, spaljivanja i procjednih voda</w:t>
      </w:r>
      <w:r w:rsidRPr="00C86111">
        <w:rPr>
          <w:rFonts w:asciiTheme="minorHAnsi" w:hAnsiTheme="minorHAnsi" w:cstheme="minorHAnsi"/>
          <w:b/>
          <w:bCs/>
          <w:color w:val="auto"/>
        </w:rPr>
        <w:t>.</w:t>
      </w:r>
    </w:p>
    <w:p w14:paraId="6AFD93EB" w14:textId="77777777" w:rsidR="002B20A9" w:rsidRPr="00C86111" w:rsidRDefault="002B20A9" w:rsidP="00004F34">
      <w:pPr>
        <w:pStyle w:val="ListParagraph"/>
        <w:numPr>
          <w:ilvl w:val="0"/>
          <w:numId w:val="160"/>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Imajući u vidu značaj PFOA i PFHxS kao postojanih organskih zagađujućih materija (POPs), neophodno je razviti i primijeniti precizne metodologije za direktno uzorkovanje i laboratorijsku analizu otpada. Time bi se smanjila zavisnost od aproksimacija i poboljšala tačnost podataka o prisustvu ovih supstanci u različitim vrstama otpada. Dalja istraživanja i sistematsko praćenje sastava otpada ključni su za utvrđivanje stvarnog udjela otpada kontaminiranog PFOA i PFHxS.</w:t>
      </w:r>
    </w:p>
    <w:p w14:paraId="1D20A026" w14:textId="77777777" w:rsidR="002B20A9" w:rsidRPr="00C86111" w:rsidRDefault="002B20A9" w:rsidP="00004F34">
      <w:pPr>
        <w:pStyle w:val="ListParagraph"/>
        <w:numPr>
          <w:ilvl w:val="0"/>
          <w:numId w:val="160"/>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Razvijanje politika koje će ograničiti unos ovih jedinjenja u proizvode, kao i njihovu kasniju pojavu u otpadu, predstavlja važan korak ka smanjenju rizika po životnu sredinu i zdravlje ljudi.</w:t>
      </w:r>
    </w:p>
    <w:p w14:paraId="07AC9C5D"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br/>
        <w:t>PFOA u ambalažnom otpadu predstavlja glavni izazov za sistem upravljanja otpadom u Crnoj Gori, dok se PFHxS javlja u manjim količinama, ali ostaje značajan zbog svoje postojanosti i potencijala dugotrajnog zagađenja.</w:t>
      </w:r>
    </w:p>
    <w:p w14:paraId="03F74500" w14:textId="77777777" w:rsidR="002B20A9" w:rsidRPr="00C86111" w:rsidRDefault="002B20A9" w:rsidP="002B20A9">
      <w:pPr>
        <w:jc w:val="both"/>
        <w:rPr>
          <w:rFonts w:asciiTheme="minorHAnsi" w:eastAsia="Times New Roman" w:hAnsiTheme="minorHAnsi" w:cstheme="minorHAnsi"/>
          <w:color w:val="auto"/>
          <w:lang w:eastAsia="en-GB"/>
        </w:rPr>
      </w:pPr>
    </w:p>
    <w:p w14:paraId="401EC0BB"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Nedostatak preciznih mehanizama praćenja otpada otežava identifikaciju i bezbjedan tretman otpada koji sadrži PFAS supstance. Stoga je od ključnog značaja:</w:t>
      </w:r>
    </w:p>
    <w:p w14:paraId="76D49475" w14:textId="77777777" w:rsidR="002B20A9" w:rsidRPr="00C86111" w:rsidRDefault="002B20A9" w:rsidP="00004F34">
      <w:pPr>
        <w:pStyle w:val="ListParagraph"/>
        <w:numPr>
          <w:ilvl w:val="0"/>
          <w:numId w:val="161"/>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ojačati monitoring otpada,</w:t>
      </w:r>
    </w:p>
    <w:p w14:paraId="54503421" w14:textId="77777777" w:rsidR="002B20A9" w:rsidRPr="00C86111" w:rsidRDefault="002B20A9" w:rsidP="00004F34">
      <w:pPr>
        <w:pStyle w:val="ListParagraph"/>
        <w:numPr>
          <w:ilvl w:val="0"/>
          <w:numId w:val="161"/>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detaljnije klasifikovati opasne frakcije, i</w:t>
      </w:r>
    </w:p>
    <w:p w14:paraId="23ECB7EC" w14:textId="77777777" w:rsidR="002B20A9" w:rsidRPr="00C86111" w:rsidRDefault="002B20A9" w:rsidP="00004F34">
      <w:pPr>
        <w:pStyle w:val="ListParagraph"/>
        <w:numPr>
          <w:ilvl w:val="0"/>
          <w:numId w:val="161"/>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uspostaviti ekološki prihvatljive prakse odlaganja i tretmana otpada,</w:t>
      </w:r>
    </w:p>
    <w:p w14:paraId="4B589BB8"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kako bi se spriječile nekontrolisane emisije PFOA i PFHxS iz tokova otpada, te osiguralo dugoročno očuvanje životne sredine i zdravlja stanovništva.</w:t>
      </w:r>
    </w:p>
    <w:p w14:paraId="331820A4" w14:textId="77777777" w:rsidR="002B20A9" w:rsidRPr="00C86111" w:rsidRDefault="002B20A9" w:rsidP="00004F34">
      <w:pPr>
        <w:pStyle w:val="Heading1"/>
        <w:numPr>
          <w:ilvl w:val="1"/>
          <w:numId w:val="238"/>
        </w:numPr>
      </w:pPr>
      <w:bookmarkStart w:id="368" w:name="_Toc210632587"/>
      <w:bookmarkStart w:id="369" w:name="_Toc220541959"/>
      <w:r w:rsidRPr="00C86111">
        <w:lastRenderedPageBreak/>
        <w:t>Završni zaključci i preporuke</w:t>
      </w:r>
      <w:bookmarkEnd w:id="368"/>
      <w:bookmarkEnd w:id="369"/>
    </w:p>
    <w:p w14:paraId="3FA902A1" w14:textId="77777777" w:rsidR="002B20A9" w:rsidRPr="00C86111" w:rsidRDefault="002B20A9" w:rsidP="00EA6904">
      <w:pPr>
        <w:pStyle w:val="Heading4"/>
      </w:pPr>
      <w:r w:rsidRPr="00C86111">
        <w:t>Zaključci</w:t>
      </w:r>
    </w:p>
    <w:p w14:paraId="51D6A62A"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Procjena prisustva PFOA i PFHxS u ključnim sektorima u Crnoj Gori — protivpožarne pjene, proizvodi na potrošačkom tržištu i otpad — potvrđuje da ove supstance još uvijek nijesu u potpunosti eliminisane iz upotrebe i cirkulacije. Ovakvo stanje i dalje traje uprkos regulatornim mjerama usklađenim sa evropskim okvirom o postojanim organskim zagađujućim materijama (POPs), što ukazuje na potrebu za efikasnijim praćenjem, kontrolom i upravljačkim praksama.</w:t>
      </w:r>
    </w:p>
    <w:p w14:paraId="32B184A2"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002060"/>
          <w:lang w:eastAsia="en-GB"/>
        </w:rPr>
        <w:t xml:space="preserve">Protivpožarne pjene: </w:t>
      </w:r>
      <w:r w:rsidRPr="00C86111">
        <w:rPr>
          <w:rFonts w:asciiTheme="minorHAnsi" w:eastAsia="Times New Roman" w:hAnsiTheme="minorHAnsi" w:cstheme="minorHAnsi"/>
          <w:color w:val="auto"/>
          <w:lang w:eastAsia="en-GB"/>
        </w:rPr>
        <w:t>Od ukupno 41 testiranog uzorka, 13 je sadržavalo PFOA, a 4 PFHxS, pri čemu su u nekoliko uzoraka premašene zakonski propisane granice. Ukupne količine utvrđene u uzorcima iznosile su 5,4 g PFOA i 32 g PFHxS, raspoređenih u skoro 18.000 litara pjene. Posebno zabrinjavajuća prekoračenja registrovana su na Aerodromu Tivat, kao i u nekoliko opštinskih i dobrovoljnih vatrogasnih jedinica (Bar, Tivat, Bijelo Polje, Bijela, Perast, Krtoli). Stare i pjene kojima je istekao rok upotrebe i dalje se nalaze u skladištima i predstavljaju rizik od nekontrolisanog ispuštanja tokom upotrebe, obuke ili neadekvatnog odlaganja.</w:t>
      </w:r>
    </w:p>
    <w:p w14:paraId="5F39F97D"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002060"/>
          <w:lang w:eastAsia="en-GB"/>
        </w:rPr>
        <w:t xml:space="preserve">Proizvodi na potrošačkom tržištu: </w:t>
      </w:r>
      <w:r w:rsidRPr="00C86111">
        <w:rPr>
          <w:rFonts w:asciiTheme="minorHAnsi" w:eastAsia="Times New Roman" w:hAnsiTheme="minorHAnsi" w:cstheme="minorHAnsi"/>
          <w:color w:val="auto"/>
          <w:lang w:eastAsia="en-GB"/>
        </w:rPr>
        <w:t>Uvoz sintetičkih tepiha i premazanog/impregniranog papira predstavlja glavni vektor unosa PFOA u Crnu Goru, pri čemu maksimalno godišnje opterećenje dostiže do 138 kg (tepisi) i gotovo 1 tonu (papir). Nasuprot tome, impregnirani tekstil i odjeća doprinose samo malim količinama PFOA (nekoliko grama godišnje). PFHxS se javlja u značajno manjim količinama ukupno, iako procjene pokazuju povremene varijacije u impregniranom tekstilu i odjeći (do 61 g godišnje).</w:t>
      </w:r>
    </w:p>
    <w:p w14:paraId="4E252AEB"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002060"/>
          <w:lang w:eastAsia="en-GB"/>
        </w:rPr>
        <w:t xml:space="preserve">Tokovi otpada: </w:t>
      </w:r>
      <w:r w:rsidRPr="00C86111">
        <w:rPr>
          <w:rFonts w:asciiTheme="minorHAnsi" w:eastAsia="Times New Roman" w:hAnsiTheme="minorHAnsi" w:cstheme="minorHAnsi"/>
          <w:color w:val="auto"/>
          <w:lang w:eastAsia="en-GB"/>
        </w:rPr>
        <w:t>Komunalni otpad (grupa 20), koji premašuje 300000 tona godišnje, predstavlja dominantni sektor otpada koji može sadržati ove supstance. Papirne i kartonske frakcije su glavni nosioci, sa procijenjenih 6,5–31 tone PFOA godišnje, dok tekstil doprinosi znatno manjim količinama PFOA (ispod 1 kg), ali i do 32 g PFHxS godišnje. Iako su ove vrijednosti izračunate na osnovu pretpostavki, a ne direktnog mjerenja, one daju indikativan obim rizika od kontaminacije povezan sa ambalažnim i potrošačkim otpadom.</w:t>
      </w:r>
    </w:p>
    <w:p w14:paraId="02EC528A" w14:textId="77777777" w:rsidR="002B20A9" w:rsidRPr="00C86111" w:rsidRDefault="002B20A9" w:rsidP="002B20A9">
      <w:pPr>
        <w:jc w:val="both"/>
        <w:rPr>
          <w:rFonts w:asciiTheme="minorHAnsi" w:eastAsia="Times New Roman" w:hAnsiTheme="minorHAnsi" w:cstheme="minorHAnsi"/>
          <w:color w:val="auto"/>
          <w:lang w:eastAsia="en-GB"/>
        </w:rPr>
      </w:pPr>
    </w:p>
    <w:p w14:paraId="3F273174"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Kumulativno, rezultati pokazuju da je PFOA znatno ozbiljniji problem od PFHxS-a u Crnoj Gori, iako su obje supstance relevantne zbog svoje perzistentnosti, toksičnosti i bioakumulativnog potencijala. Njihovo trajno prisustvo u više sektora ukazuje na nedostatke u sprovođenju propisa, praćenju i bezbjednom odlaganju, što zahtijeva hitne i koordinisane mjere radi obezbjeđenja usklađenosti sa međunarodnim obavezama i zaštite zdravlja ljudi i životne sredine.</w:t>
      </w:r>
    </w:p>
    <w:p w14:paraId="05A050D6" w14:textId="77777777" w:rsidR="002B20A9" w:rsidRPr="00C86111" w:rsidRDefault="002B20A9" w:rsidP="00EA6904">
      <w:pPr>
        <w:pStyle w:val="Heading4"/>
      </w:pPr>
      <w:r w:rsidRPr="00C86111">
        <w:t>Preporuke</w:t>
      </w:r>
    </w:p>
    <w:p w14:paraId="7249DDC2"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Radi smanjenja rizika i usklađivanja nacionalne prakse sa propisima Evropske unije i Stokholmskom konvencijom, preporučuje se sprovođenje sljedećih mjera:</w:t>
      </w:r>
    </w:p>
    <w:p w14:paraId="16CD4846" w14:textId="77777777" w:rsidR="002B20A9" w:rsidRPr="00C86111" w:rsidRDefault="002B20A9" w:rsidP="00004F34">
      <w:pPr>
        <w:pStyle w:val="ListParagraph"/>
        <w:numPr>
          <w:ilvl w:val="0"/>
          <w:numId w:val="162"/>
        </w:numPr>
        <w:jc w:val="both"/>
        <w:rPr>
          <w:rFonts w:asciiTheme="minorHAnsi" w:eastAsia="Times New Roman" w:hAnsiTheme="minorHAnsi" w:cstheme="minorHAnsi"/>
          <w:color w:val="002060"/>
          <w:lang w:eastAsia="en-GB"/>
        </w:rPr>
      </w:pPr>
      <w:r w:rsidRPr="00C86111">
        <w:rPr>
          <w:rFonts w:asciiTheme="minorHAnsi" w:eastAsia="Times New Roman" w:hAnsiTheme="minorHAnsi" w:cstheme="minorHAnsi"/>
          <w:color w:val="002060"/>
          <w:lang w:eastAsia="en-GB"/>
        </w:rPr>
        <w:t>Carina i kontrola tržišta</w:t>
      </w:r>
    </w:p>
    <w:p w14:paraId="5C5A7560" w14:textId="77777777" w:rsidR="002B20A9" w:rsidRPr="00C86111" w:rsidRDefault="002B20A9" w:rsidP="00004F34">
      <w:pPr>
        <w:pStyle w:val="ListParagraph"/>
        <w:numPr>
          <w:ilvl w:val="0"/>
          <w:numId w:val="167"/>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Pripremiti listu proizvoda sa HS kodovima koji vjerovatno sadrže PFOA i PFHxS, kroz blisku saradnju Uprave carina i Ministarstva nadležnog za zaštitu životne sredine.</w:t>
      </w:r>
    </w:p>
    <w:p w14:paraId="1555DCD0" w14:textId="77777777" w:rsidR="002B20A9" w:rsidRPr="00C86111" w:rsidRDefault="002B20A9" w:rsidP="00004F34">
      <w:pPr>
        <w:pStyle w:val="ListParagraph"/>
        <w:numPr>
          <w:ilvl w:val="0"/>
          <w:numId w:val="167"/>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lastRenderedPageBreak/>
        <w:t>Izraditi pravilnik ili drugi zvanični dokument koji će sadržati jasna uputstva za carinske organe o načinu identifikacije, kontrole i sprječavanja uvoza proizvoda koji sadrže PFAS supstance.</w:t>
      </w:r>
    </w:p>
    <w:p w14:paraId="1A04D17C" w14:textId="77777777" w:rsidR="002B20A9" w:rsidRPr="00C86111" w:rsidRDefault="002B20A9" w:rsidP="00004F34">
      <w:pPr>
        <w:pStyle w:val="ListParagraph"/>
        <w:numPr>
          <w:ilvl w:val="0"/>
          <w:numId w:val="167"/>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Prioritetno zamijeniti proizvode koji sadrže PFAS supstance alternativama bez PFAS-a, naročito u slučaju tepiha i impregniranih papirnih proizvoda.</w:t>
      </w:r>
    </w:p>
    <w:p w14:paraId="45E5452F" w14:textId="77777777" w:rsidR="002B20A9" w:rsidRPr="00C86111" w:rsidRDefault="002B20A9" w:rsidP="00004F34">
      <w:pPr>
        <w:pStyle w:val="ListParagraph"/>
        <w:numPr>
          <w:ilvl w:val="0"/>
          <w:numId w:val="162"/>
        </w:numPr>
        <w:jc w:val="both"/>
        <w:rPr>
          <w:rFonts w:asciiTheme="minorHAnsi" w:eastAsia="Times New Roman" w:hAnsiTheme="minorHAnsi" w:cstheme="minorHAnsi"/>
          <w:color w:val="002060"/>
          <w:lang w:eastAsia="en-GB"/>
        </w:rPr>
      </w:pPr>
      <w:r w:rsidRPr="00C86111">
        <w:rPr>
          <w:rFonts w:asciiTheme="minorHAnsi" w:eastAsia="Times New Roman" w:hAnsiTheme="minorHAnsi" w:cstheme="minorHAnsi"/>
          <w:color w:val="002060"/>
          <w:lang w:eastAsia="en-GB"/>
        </w:rPr>
        <w:t>Protivpožarne pjene i oprema</w:t>
      </w:r>
    </w:p>
    <w:p w14:paraId="079BEC54" w14:textId="77777777" w:rsidR="002B20A9" w:rsidRPr="00C86111" w:rsidRDefault="002B20A9" w:rsidP="00004F34">
      <w:pPr>
        <w:pStyle w:val="ListParagraph"/>
        <w:numPr>
          <w:ilvl w:val="0"/>
          <w:numId w:val="166"/>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Povući i propisno odložiti sve pjene kojima je istekao rok trajanja, kao i pjene koje sadrže PFAS supstance, uz ekološki prihvatljivo upravljanje u skladu sa nacionalnim propisima o otpadu i Uredbom EU o POPs supstancama.</w:t>
      </w:r>
    </w:p>
    <w:p w14:paraId="03C5F43D" w14:textId="77777777" w:rsidR="002B20A9" w:rsidRPr="00C86111" w:rsidRDefault="002B20A9" w:rsidP="00004F34">
      <w:pPr>
        <w:pStyle w:val="ListParagraph"/>
        <w:numPr>
          <w:ilvl w:val="0"/>
          <w:numId w:val="166"/>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Zamijeniti postojeće pjene fluorine-free (bezfluoridnim) alternativama koje su već provjerene u praksi.</w:t>
      </w:r>
    </w:p>
    <w:p w14:paraId="5C377198" w14:textId="77777777" w:rsidR="002B20A9" w:rsidRPr="00C86111" w:rsidRDefault="002B20A9" w:rsidP="00004F34">
      <w:pPr>
        <w:pStyle w:val="ListParagraph"/>
        <w:numPr>
          <w:ilvl w:val="0"/>
          <w:numId w:val="166"/>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Sprovesti dekontaminaciju vatrogasnih vozila i sistema za doziranje pjene radi uklanjanja ostataka PFAS supstanci i sprječavanja unakrsne kontaminacije.</w:t>
      </w:r>
    </w:p>
    <w:p w14:paraId="560DBF37" w14:textId="77777777" w:rsidR="002B20A9" w:rsidRPr="00C86111" w:rsidRDefault="002B20A9" w:rsidP="00004F34">
      <w:pPr>
        <w:pStyle w:val="ListParagraph"/>
        <w:numPr>
          <w:ilvl w:val="0"/>
          <w:numId w:val="166"/>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Uvesti sistematski monitoring, strožija pravila skladištenja i transparentno izvještavanje o zalihama i upotrebi protivpožarnih pjena.</w:t>
      </w:r>
    </w:p>
    <w:p w14:paraId="686D8981" w14:textId="77777777" w:rsidR="002B20A9" w:rsidRPr="00C86111" w:rsidRDefault="002B20A9" w:rsidP="00004F34">
      <w:pPr>
        <w:pStyle w:val="ListParagraph"/>
        <w:numPr>
          <w:ilvl w:val="0"/>
          <w:numId w:val="162"/>
        </w:numPr>
        <w:jc w:val="both"/>
        <w:rPr>
          <w:rFonts w:asciiTheme="minorHAnsi" w:eastAsia="Times New Roman" w:hAnsiTheme="minorHAnsi" w:cstheme="minorHAnsi"/>
          <w:color w:val="002060"/>
          <w:lang w:eastAsia="en-GB"/>
        </w:rPr>
      </w:pPr>
      <w:r w:rsidRPr="00C86111">
        <w:rPr>
          <w:rFonts w:asciiTheme="minorHAnsi" w:eastAsia="Times New Roman" w:hAnsiTheme="minorHAnsi" w:cstheme="minorHAnsi"/>
          <w:color w:val="002060"/>
          <w:lang w:eastAsia="en-GB"/>
        </w:rPr>
        <w:t>Upravljanje otpadom</w:t>
      </w:r>
    </w:p>
    <w:p w14:paraId="4D41029D" w14:textId="77777777" w:rsidR="002B20A9" w:rsidRPr="00C86111" w:rsidRDefault="002B20A9" w:rsidP="00004F34">
      <w:pPr>
        <w:pStyle w:val="ListParagraph"/>
        <w:numPr>
          <w:ilvl w:val="0"/>
          <w:numId w:val="165"/>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Razviti metodologije za direktno uzorkovanje i laboratorijsku analizu frakcija otpada, radi prelaska sa teorijskih procjena na stvarne podatke.</w:t>
      </w:r>
    </w:p>
    <w:p w14:paraId="520E1853" w14:textId="77777777" w:rsidR="002B20A9" w:rsidRPr="00C86111" w:rsidRDefault="002B20A9" w:rsidP="00004F34">
      <w:pPr>
        <w:pStyle w:val="ListParagraph"/>
        <w:numPr>
          <w:ilvl w:val="0"/>
          <w:numId w:val="165"/>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Usmjeriti praćenje na frakcije papira i kartona, koje predstavljaju najveći izvor PFOA, kao i na tekstil, koji može sadržati mjerljive količine PFHxS.</w:t>
      </w:r>
    </w:p>
    <w:p w14:paraId="01C81973" w14:textId="77777777" w:rsidR="002B20A9" w:rsidRPr="00C86111" w:rsidRDefault="002B20A9" w:rsidP="00004F34">
      <w:pPr>
        <w:pStyle w:val="ListParagraph"/>
        <w:numPr>
          <w:ilvl w:val="0"/>
          <w:numId w:val="165"/>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Osigurati ekološki prihvatljivo odlaganje otpada koji sadrži ili je kontaminiran PFOA i PFHxS, uz izbjegavanje nekontrolisanog deponovanja i spaljivanja.</w:t>
      </w:r>
    </w:p>
    <w:p w14:paraId="7484F677"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Ograničiti priliv PFAS-a u tokove otpada kroz strožu kontrolu uvoza proizvoda visokog rizika.</w:t>
      </w:r>
    </w:p>
    <w:p w14:paraId="2BF01B16" w14:textId="77777777" w:rsidR="002B20A9" w:rsidRPr="00C86111" w:rsidRDefault="002B20A9" w:rsidP="00004F34">
      <w:pPr>
        <w:pStyle w:val="ListParagraph"/>
        <w:numPr>
          <w:ilvl w:val="0"/>
          <w:numId w:val="162"/>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002060"/>
          <w:lang w:eastAsia="en-GB"/>
        </w:rPr>
        <w:t>Zaštita životne sredine i zdravlja ljudi</w:t>
      </w:r>
    </w:p>
    <w:p w14:paraId="354BDC1B" w14:textId="77777777" w:rsidR="002B20A9" w:rsidRPr="00C86111" w:rsidRDefault="002B20A9" w:rsidP="00004F34">
      <w:pPr>
        <w:pStyle w:val="ListParagraph"/>
        <w:numPr>
          <w:ilvl w:val="0"/>
          <w:numId w:val="164"/>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Ispitati kritične tačke u životnoj sredini kao što su aerodromi, luke i poligoni za obuku vatrogasaca, radi identifikacije kontaminacije PFAS supstancama.</w:t>
      </w:r>
    </w:p>
    <w:p w14:paraId="3A47CBBB" w14:textId="77777777" w:rsidR="002B20A9" w:rsidRPr="00C86111" w:rsidRDefault="002B20A9" w:rsidP="00004F34">
      <w:pPr>
        <w:pStyle w:val="ListParagraph"/>
        <w:numPr>
          <w:ilvl w:val="0"/>
          <w:numId w:val="164"/>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Uspostaviti biomonitoring programe za zaposlene u vatrogasnim i drugim sektorima sa mogućom izloženošću PFAS jedinjenjima.</w:t>
      </w:r>
    </w:p>
    <w:p w14:paraId="6F5F8931" w14:textId="77777777" w:rsidR="002B20A9" w:rsidRPr="00C86111" w:rsidRDefault="002B20A9" w:rsidP="00004F34">
      <w:pPr>
        <w:pStyle w:val="ListParagraph"/>
        <w:numPr>
          <w:ilvl w:val="0"/>
          <w:numId w:val="164"/>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Sprovesti edukativne kampanje namijenjene vatrogasnim službama, carinskim organima i operaterima otpada, radi povećanja svijesti o rizicima PFAS-a i promocije dostupnih alternativa.</w:t>
      </w:r>
    </w:p>
    <w:p w14:paraId="3F1F08D9" w14:textId="77777777" w:rsidR="002B20A9" w:rsidRPr="00C86111" w:rsidRDefault="002B20A9" w:rsidP="00004F34">
      <w:pPr>
        <w:pStyle w:val="ListParagraph"/>
        <w:numPr>
          <w:ilvl w:val="0"/>
          <w:numId w:val="162"/>
        </w:numPr>
        <w:jc w:val="both"/>
        <w:rPr>
          <w:rFonts w:asciiTheme="minorHAnsi" w:eastAsia="Times New Roman" w:hAnsiTheme="minorHAnsi" w:cstheme="minorHAnsi"/>
          <w:color w:val="002060"/>
          <w:lang w:eastAsia="en-GB"/>
        </w:rPr>
      </w:pPr>
      <w:r w:rsidRPr="00C86111">
        <w:rPr>
          <w:rFonts w:asciiTheme="minorHAnsi" w:eastAsia="Times New Roman" w:hAnsiTheme="minorHAnsi" w:cstheme="minorHAnsi"/>
          <w:color w:val="002060"/>
          <w:lang w:eastAsia="en-GB"/>
        </w:rPr>
        <w:t>Međusektorske aktivnosti</w:t>
      </w:r>
    </w:p>
    <w:p w14:paraId="24A343FA" w14:textId="77777777" w:rsidR="002B20A9" w:rsidRPr="00C86111" w:rsidRDefault="002B20A9" w:rsidP="00004F34">
      <w:pPr>
        <w:pStyle w:val="ListParagraph"/>
        <w:numPr>
          <w:ilvl w:val="0"/>
          <w:numId w:val="163"/>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Usvojiti nacionalnu strategiju za postupno ukidanje PFOA i PFHxS, sa jasno definisanim rokovima, institucionalnim odgovornostima i mehanizmima finansiranja.</w:t>
      </w:r>
    </w:p>
    <w:p w14:paraId="26738AD0" w14:textId="77777777" w:rsidR="002B20A9" w:rsidRPr="00C86111" w:rsidRDefault="002B20A9" w:rsidP="00004F34">
      <w:pPr>
        <w:pStyle w:val="ListParagraph"/>
        <w:numPr>
          <w:ilvl w:val="0"/>
          <w:numId w:val="163"/>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Ojačati međuinstitucionalnu saradnju između carinskih službi, organa za zaštitu životne sredine, vatrogasnih službi, operatera otpada i zdravstvenih institucija.</w:t>
      </w:r>
    </w:p>
    <w:p w14:paraId="39A121DC" w14:textId="77777777" w:rsidR="002B20A9" w:rsidRPr="00C86111" w:rsidRDefault="002B20A9" w:rsidP="00004F34">
      <w:pPr>
        <w:pStyle w:val="ListParagraph"/>
        <w:numPr>
          <w:ilvl w:val="0"/>
          <w:numId w:val="163"/>
        </w:num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Osigurati sistematsko izvještavanje i usklađenost sa obavezama koje proizilaze iz propisa Evropske unije i Stokholmske konvencije.</w:t>
      </w:r>
    </w:p>
    <w:p w14:paraId="17F1EBD7" w14:textId="77777777" w:rsidR="002B20A9" w:rsidRPr="00C86111" w:rsidRDefault="002B20A9" w:rsidP="00EA6904">
      <w:pPr>
        <w:pStyle w:val="Heading4"/>
      </w:pPr>
      <w:r w:rsidRPr="00C86111">
        <w:t>Opšti zaključak</w:t>
      </w:r>
    </w:p>
    <w:p w14:paraId="61A4895A"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 xml:space="preserve">Iako su količine PFOA i PFHxS koje su trenutno otkrivene u Crnoj Gori relativno niske u poređenju sa međunarodnim nivoima, njihova postojanost u životnoj sredini i štetni efekti znače da čak i </w:t>
      </w:r>
      <w:r w:rsidRPr="00C86111">
        <w:rPr>
          <w:rFonts w:asciiTheme="minorHAnsi" w:eastAsia="Times New Roman" w:hAnsiTheme="minorHAnsi" w:cstheme="minorHAnsi"/>
          <w:color w:val="auto"/>
          <w:lang w:eastAsia="en-GB"/>
        </w:rPr>
        <w:lastRenderedPageBreak/>
        <w:t>male količine predstavljaju ozbiljan rizik po životnu sredinu i zdravlje ljudi. Budući da ove supstance ostaju u prirodi veoma dugo, od izuzetne je važnosti preduzeti preventivne mjere sada.</w:t>
      </w:r>
    </w:p>
    <w:p w14:paraId="0036262E"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Da bi se ovaj problem efikasno riješio, Crnoj Gori je potreban koordinisan pristup koji uključuje službe zaštite od požara, carinsku kontrolu uvezenih proizvoda i odgovarajuće prakse upravljanja otpadom. Samo zajedničkim djelovanjem svih ovih sektora moguće je postepeno ukloniti PFOA i PFHxS iz upotrebe i spriječiti njihovo dalje unošenje u životnu sredinu.</w:t>
      </w:r>
    </w:p>
    <w:p w14:paraId="38635614" w14:textId="77777777" w:rsidR="002B20A9" w:rsidRPr="00C86111" w:rsidRDefault="002B20A9" w:rsidP="002B20A9">
      <w:pPr>
        <w:jc w:val="both"/>
        <w:rPr>
          <w:rFonts w:asciiTheme="minorHAnsi" w:eastAsia="Times New Roman" w:hAnsiTheme="minorHAnsi" w:cstheme="minorHAnsi"/>
          <w:color w:val="auto"/>
          <w:lang w:eastAsia="en-GB"/>
        </w:rPr>
      </w:pPr>
      <w:r w:rsidRPr="00C86111">
        <w:rPr>
          <w:rFonts w:asciiTheme="minorHAnsi" w:eastAsia="Times New Roman" w:hAnsiTheme="minorHAnsi" w:cstheme="minorHAnsi"/>
          <w:color w:val="auto"/>
          <w:lang w:eastAsia="en-GB"/>
        </w:rPr>
        <w:t>Sprovođenjem ovih preporuka, Crna Gora može osigurati postepenu eliminaciju PFOA i PFHxS, zaštititi zdravlje stanovništva i ekosisteme, te potvrditi potpunu usklađenost sa obavezama Evropske unije i međunarodnim standardima u oblasti postojanih organskih zagađujućih materija (POPs).</w:t>
      </w:r>
    </w:p>
    <w:p w14:paraId="55EA0CEA" w14:textId="77777777" w:rsidR="002B20A9" w:rsidRPr="00C86111" w:rsidRDefault="002B20A9" w:rsidP="002B20A9">
      <w:pPr>
        <w:jc w:val="both"/>
      </w:pPr>
    </w:p>
    <w:p w14:paraId="71F2AA03" w14:textId="11E82DBF" w:rsidR="00201FE9" w:rsidRPr="00C86111" w:rsidRDefault="00201FE9" w:rsidP="00912C4C">
      <w:pPr>
        <w:pStyle w:val="Heading1"/>
      </w:pPr>
      <w:bookmarkStart w:id="370" w:name="_Toc220541960"/>
      <w:bookmarkStart w:id="371" w:name="_Toc185402995"/>
      <w:bookmarkStart w:id="372" w:name="_Toc185402296"/>
      <w:r w:rsidRPr="00C86111">
        <w:t>INVENTARIZACIJA HLOROVANIH PARAFINA KRATKOG LANCA (SCCPs)</w:t>
      </w:r>
      <w:bookmarkEnd w:id="370"/>
    </w:p>
    <w:p w14:paraId="63164FFE" w14:textId="77777777" w:rsidR="00201FE9" w:rsidRPr="00C86111" w:rsidRDefault="00201FE9" w:rsidP="00EA6904">
      <w:pPr>
        <w:pStyle w:val="Heading3"/>
      </w:pPr>
      <w:bookmarkStart w:id="373" w:name="_Toc210744964"/>
      <w:bookmarkStart w:id="374" w:name="_Toc220541961"/>
      <w:r w:rsidRPr="00C86111">
        <w:t>Uvod</w:t>
      </w:r>
      <w:bookmarkEnd w:id="373"/>
      <w:bookmarkEnd w:id="374"/>
    </w:p>
    <w:p w14:paraId="6A07A3A1" w14:textId="77777777" w:rsidR="00201FE9" w:rsidRPr="00C86111" w:rsidRDefault="00201FE9" w:rsidP="00201FE9">
      <w:pPr>
        <w:rPr>
          <w:rFonts w:asciiTheme="minorHAnsi" w:hAnsiTheme="minorHAnsi" w:cstheme="minorHAnsi"/>
          <w:color w:val="auto"/>
          <w:szCs w:val="24"/>
          <w:lang w:val="sr-Latn-ME"/>
        </w:rPr>
      </w:pPr>
    </w:p>
    <w:p w14:paraId="421D47F5" w14:textId="249F2814" w:rsidR="00201FE9" w:rsidRPr="00C86111" w:rsidRDefault="00201FE9" w:rsidP="00201FE9">
      <w:pPr>
        <w:spacing w:line="276" w:lineRule="auto"/>
        <w:jc w:val="both"/>
        <w:rPr>
          <w:rFonts w:asciiTheme="minorHAnsi" w:hAnsiTheme="minorHAnsi" w:cstheme="minorHAnsi"/>
          <w:noProof/>
          <w:color w:val="auto"/>
          <w:szCs w:val="24"/>
          <w:lang w:val="sr-Latn-ME"/>
        </w:rPr>
      </w:pPr>
      <w:r w:rsidRPr="00C86111">
        <w:rPr>
          <w:rFonts w:asciiTheme="minorHAnsi" w:eastAsia="SimSun" w:hAnsiTheme="minorHAnsi" w:cstheme="minorHAnsi"/>
          <w:color w:val="auto"/>
          <w:szCs w:val="24"/>
          <w:lang w:val="sr-Latn-ME"/>
        </w:rPr>
        <w:t>Hlorovani parafini kratkog lanca (SCCP) su industrijske hemikalije iz grupe hlorovanih parafina (CP), koji su složene smješe polihlorovanih n-alkana sa različitim dužinama lanca i stepenom hlorovanja</w:t>
      </w:r>
      <w:r w:rsidR="00626D74" w:rsidRPr="00C86111">
        <w:rPr>
          <w:rFonts w:asciiTheme="minorHAnsi" w:eastAsia="SimSun" w:hAnsiTheme="minorHAnsi" w:cstheme="minorHAnsi"/>
          <w:color w:val="auto"/>
          <w:szCs w:val="24"/>
          <w:lang w:val="sr-Latn-ME"/>
        </w:rPr>
        <w:t xml:space="preserve"> (Slika 3)</w:t>
      </w:r>
      <w:r w:rsidRPr="00C86111">
        <w:rPr>
          <w:rFonts w:asciiTheme="minorHAnsi" w:eastAsia="SimSun" w:hAnsiTheme="minorHAnsi" w:cstheme="minorHAnsi"/>
          <w:color w:val="auto"/>
          <w:szCs w:val="24"/>
          <w:lang w:val="sr-Latn-ME"/>
        </w:rPr>
        <w:t xml:space="preserve">. SCCP su posebno definisani dužinama svojih ugljeničnih lanaca u rasponu od C10 do C13 i sadržajem hlora koji je obično između 40% i 70% po masi </w:t>
      </w:r>
      <w:r w:rsidRPr="00C86111">
        <w:rPr>
          <w:rFonts w:asciiTheme="minorHAnsi" w:eastAsia="SimSun" w:hAnsiTheme="minorHAnsi" w:cstheme="minorHAnsi"/>
          <w:color w:val="002060"/>
          <w:szCs w:val="24"/>
          <w:lang w:val="sr-Latn-ME"/>
        </w:rPr>
        <w:t xml:space="preserve">(1). </w:t>
      </w:r>
      <w:r w:rsidRPr="00C86111">
        <w:rPr>
          <w:rFonts w:asciiTheme="minorHAnsi" w:eastAsia="SimSun" w:hAnsiTheme="minorHAnsi" w:cstheme="minorHAnsi"/>
          <w:color w:val="auto"/>
          <w:szCs w:val="24"/>
          <w:lang w:val="sr-Latn-ME"/>
        </w:rPr>
        <w:t xml:space="preserve">Ove supstance nisu prirodnog porijekla, već se proizvode hlorisanjem n-parafina, procesom koji rezultira tehničkom smješom koja sadrži stotine ili čak hiljade pojedinačnih srodnih jedinjenja </w:t>
      </w:r>
      <w:r w:rsidRPr="00C86111">
        <w:rPr>
          <w:rFonts w:asciiTheme="minorHAnsi" w:eastAsia="SimSun" w:hAnsiTheme="minorHAnsi" w:cstheme="minorHAnsi"/>
          <w:color w:val="002060"/>
          <w:szCs w:val="24"/>
          <w:lang w:val="sr-Latn-ME"/>
        </w:rPr>
        <w:t xml:space="preserve">(2). </w:t>
      </w:r>
      <w:r w:rsidRPr="00C86111">
        <w:rPr>
          <w:rFonts w:asciiTheme="minorHAnsi" w:eastAsia="SimSun" w:hAnsiTheme="minorHAnsi" w:cstheme="minorHAnsi"/>
          <w:color w:val="auto"/>
          <w:szCs w:val="24"/>
          <w:lang w:val="sr-Latn-ME"/>
        </w:rPr>
        <w:t>Zbog ove složenosti karakterizacija, praćenje i primjena propisa vezanih za SCCP predstavljaju značajne naučne i regulatorne izazove.</w:t>
      </w:r>
      <w:r w:rsidRPr="00C86111">
        <w:rPr>
          <w:rFonts w:asciiTheme="minorHAnsi" w:hAnsiTheme="minorHAnsi" w:cstheme="minorHAnsi"/>
          <w:noProof/>
          <w:color w:val="auto"/>
          <w:szCs w:val="24"/>
          <w:lang w:val="sr-Latn-ME"/>
        </w:rPr>
        <w:t xml:space="preserve">  </w:t>
      </w:r>
    </w:p>
    <w:p w14:paraId="785E4E21"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6D1E5099" wp14:editId="3F06DDA4">
            <wp:extent cx="3819525" cy="1962150"/>
            <wp:effectExtent l="0" t="0" r="9525" b="0"/>
            <wp:docPr id="1163895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5241" name=""/>
                    <pic:cNvPicPr/>
                  </pic:nvPicPr>
                  <pic:blipFill>
                    <a:blip r:embed="rId62"/>
                    <a:stretch>
                      <a:fillRect/>
                    </a:stretch>
                  </pic:blipFill>
                  <pic:spPr>
                    <a:xfrm>
                      <a:off x="0" y="0"/>
                      <a:ext cx="3819525" cy="1962150"/>
                    </a:xfrm>
                    <a:prstGeom prst="rect">
                      <a:avLst/>
                    </a:prstGeom>
                  </pic:spPr>
                </pic:pic>
              </a:graphicData>
            </a:graphic>
          </wp:inline>
        </w:drawing>
      </w:r>
    </w:p>
    <w:p w14:paraId="54E836CE" w14:textId="0684A7B4"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Slika </w:t>
      </w:r>
      <w:r w:rsidR="00626D74" w:rsidRPr="00C86111">
        <w:rPr>
          <w:rFonts w:asciiTheme="minorHAnsi" w:hAnsiTheme="minorHAnsi" w:cstheme="minorHAnsi"/>
          <w:b/>
          <w:bCs/>
          <w:color w:val="auto"/>
          <w:szCs w:val="24"/>
          <w:lang w:val="sr-Latn-ME"/>
        </w:rPr>
        <w:t>3</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Struktura dva SCCP jedinjenja (C</w:t>
      </w:r>
      <w:r w:rsidRPr="00C86111">
        <w:rPr>
          <w:rFonts w:asciiTheme="minorHAnsi" w:hAnsiTheme="minorHAnsi" w:cstheme="minorHAnsi"/>
          <w:color w:val="auto"/>
          <w:szCs w:val="24"/>
          <w:vertAlign w:val="subscript"/>
          <w:lang w:val="sr-Latn-ME"/>
        </w:rPr>
        <w:t>10</w:t>
      </w:r>
      <w:r w:rsidRPr="00C86111">
        <w:rPr>
          <w:rFonts w:asciiTheme="minorHAnsi" w:hAnsiTheme="minorHAnsi" w:cstheme="minorHAnsi"/>
          <w:color w:val="auto"/>
          <w:szCs w:val="24"/>
          <w:lang w:val="sr-Latn-ME"/>
        </w:rPr>
        <w:t>H</w:t>
      </w:r>
      <w:r w:rsidRPr="00C86111">
        <w:rPr>
          <w:rFonts w:asciiTheme="minorHAnsi" w:hAnsiTheme="minorHAnsi" w:cstheme="minorHAnsi"/>
          <w:color w:val="auto"/>
          <w:szCs w:val="24"/>
          <w:vertAlign w:val="subscript"/>
          <w:lang w:val="sr-Latn-ME"/>
        </w:rPr>
        <w:t>17</w:t>
      </w:r>
      <w:r w:rsidRPr="00C86111">
        <w:rPr>
          <w:rFonts w:asciiTheme="minorHAnsi" w:hAnsiTheme="minorHAnsi" w:cstheme="minorHAnsi"/>
          <w:color w:val="auto"/>
          <w:szCs w:val="24"/>
          <w:lang w:val="sr-Latn-ME"/>
        </w:rPr>
        <w:t>Cl</w:t>
      </w:r>
      <w:r w:rsidRPr="00C86111">
        <w:rPr>
          <w:rFonts w:asciiTheme="minorHAnsi" w:hAnsiTheme="minorHAnsi" w:cstheme="minorHAnsi"/>
          <w:color w:val="auto"/>
          <w:szCs w:val="24"/>
          <w:vertAlign w:val="subscript"/>
          <w:lang w:val="sr-Latn-ME"/>
        </w:rPr>
        <w:t>5</w:t>
      </w:r>
      <w:r w:rsidRPr="00C86111">
        <w:rPr>
          <w:rFonts w:asciiTheme="minorHAnsi" w:hAnsiTheme="minorHAnsi" w:cstheme="minorHAnsi"/>
          <w:color w:val="auto"/>
          <w:szCs w:val="24"/>
          <w:lang w:val="sr-Latn-ME"/>
        </w:rPr>
        <w:t xml:space="preserve"> and C</w:t>
      </w:r>
      <w:r w:rsidRPr="00C86111">
        <w:rPr>
          <w:rFonts w:asciiTheme="minorHAnsi" w:hAnsiTheme="minorHAnsi" w:cstheme="minorHAnsi"/>
          <w:color w:val="auto"/>
          <w:szCs w:val="24"/>
          <w:vertAlign w:val="subscript"/>
          <w:lang w:val="sr-Latn-ME"/>
        </w:rPr>
        <w:t>13</w:t>
      </w:r>
      <w:r w:rsidRPr="00C86111">
        <w:rPr>
          <w:rFonts w:asciiTheme="minorHAnsi" w:hAnsiTheme="minorHAnsi" w:cstheme="minorHAnsi"/>
          <w:color w:val="auto"/>
          <w:szCs w:val="24"/>
          <w:lang w:val="sr-Latn-ME"/>
        </w:rPr>
        <w:t>H</w:t>
      </w:r>
      <w:r w:rsidRPr="00C86111">
        <w:rPr>
          <w:rFonts w:asciiTheme="minorHAnsi" w:hAnsiTheme="minorHAnsi" w:cstheme="minorHAnsi"/>
          <w:color w:val="auto"/>
          <w:szCs w:val="24"/>
          <w:vertAlign w:val="subscript"/>
          <w:lang w:val="sr-Latn-ME"/>
        </w:rPr>
        <w:t>22</w:t>
      </w:r>
      <w:r w:rsidRPr="00C86111">
        <w:rPr>
          <w:rFonts w:asciiTheme="minorHAnsi" w:hAnsiTheme="minorHAnsi" w:cstheme="minorHAnsi"/>
          <w:color w:val="auto"/>
          <w:szCs w:val="24"/>
          <w:lang w:val="sr-Latn-ME"/>
        </w:rPr>
        <w:t>Cl</w:t>
      </w:r>
      <w:r w:rsidRPr="00C86111">
        <w:rPr>
          <w:rFonts w:asciiTheme="minorHAnsi" w:hAnsiTheme="minorHAnsi" w:cstheme="minorHAnsi"/>
          <w:color w:val="auto"/>
          <w:szCs w:val="24"/>
          <w:vertAlign w:val="subscript"/>
          <w:lang w:val="sr-Latn-ME"/>
        </w:rPr>
        <w:t>6</w:t>
      </w:r>
      <w:r w:rsidRPr="00C86111">
        <w:rPr>
          <w:rFonts w:asciiTheme="minorHAnsi" w:hAnsiTheme="minorHAnsi" w:cstheme="minorHAnsi"/>
          <w:color w:val="auto"/>
          <w:szCs w:val="24"/>
          <w:lang w:val="sr-Latn-ME"/>
        </w:rPr>
        <w:t>).</w:t>
      </w:r>
    </w:p>
    <w:p w14:paraId="6B8B6F8C"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5F435195"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349DA78F" w14:textId="77777777" w:rsidR="00201FE9" w:rsidRDefault="00201FE9" w:rsidP="00201FE9">
      <w:pPr>
        <w:rPr>
          <w:rFonts w:asciiTheme="minorHAnsi" w:hAnsiTheme="minorHAnsi" w:cstheme="minorHAnsi"/>
          <w:color w:val="auto"/>
          <w:szCs w:val="24"/>
        </w:rPr>
      </w:pPr>
    </w:p>
    <w:p w14:paraId="27263EC2" w14:textId="77777777" w:rsidR="002E5AB7" w:rsidRPr="00C86111" w:rsidRDefault="002E5AB7" w:rsidP="00201FE9">
      <w:pPr>
        <w:rPr>
          <w:rFonts w:asciiTheme="minorHAnsi" w:hAnsiTheme="minorHAnsi" w:cstheme="minorHAnsi"/>
          <w:color w:val="auto"/>
          <w:szCs w:val="24"/>
        </w:rPr>
      </w:pPr>
    </w:p>
    <w:p w14:paraId="1F31D80B" w14:textId="5F7E0F32" w:rsidR="00201FE9" w:rsidRPr="00C86111" w:rsidRDefault="00201FE9" w:rsidP="00201FE9">
      <w:pPr>
        <w:pStyle w:val="Caption"/>
        <w:keepNext/>
        <w:rPr>
          <w:rFonts w:cstheme="minorHAnsi"/>
          <w:b w:val="0"/>
          <w:bCs/>
          <w:sz w:val="24"/>
          <w:szCs w:val="24"/>
        </w:rPr>
      </w:pPr>
      <w:r w:rsidRPr="00C86111">
        <w:rPr>
          <w:rFonts w:cstheme="minorHAnsi"/>
          <w:bCs/>
          <w:sz w:val="24"/>
          <w:szCs w:val="24"/>
        </w:rPr>
        <w:lastRenderedPageBreak/>
        <w:t xml:space="preserve">Tabela </w:t>
      </w:r>
      <w:r w:rsidR="004A37AE" w:rsidRPr="00E2027B">
        <w:rPr>
          <w:rFonts w:cstheme="minorHAnsi"/>
          <w:sz w:val="24"/>
          <w:szCs w:val="24"/>
        </w:rPr>
        <w:t>98</w:t>
      </w:r>
      <w:r w:rsidRPr="00E2027B">
        <w:rPr>
          <w:rFonts w:cstheme="minorHAnsi"/>
          <w:sz w:val="24"/>
          <w:szCs w:val="24"/>
        </w:rPr>
        <w:t>.</w:t>
      </w:r>
      <w:r w:rsidRPr="00C86111">
        <w:rPr>
          <w:rFonts w:cstheme="minorHAnsi"/>
          <w:bCs/>
          <w:sz w:val="24"/>
          <w:szCs w:val="24"/>
        </w:rPr>
        <w:t xml:space="preserve"> </w:t>
      </w:r>
      <w:r w:rsidRPr="00C86111">
        <w:rPr>
          <w:rFonts w:cstheme="minorHAnsi"/>
          <w:b w:val="0"/>
          <w:bCs/>
          <w:sz w:val="24"/>
          <w:szCs w:val="24"/>
        </w:rPr>
        <w:t>Nazivi, sinonimi i CAS brojevi i odabrane karakteristike SCCP</w:t>
      </w:r>
    </w:p>
    <w:tbl>
      <w:tblPr>
        <w:tblStyle w:val="GridTable5Dark-Accent6"/>
        <w:tblW w:w="0" w:type="auto"/>
        <w:tblLook w:val="04A0" w:firstRow="1" w:lastRow="0" w:firstColumn="1" w:lastColumn="0" w:noHBand="0" w:noVBand="1"/>
      </w:tblPr>
      <w:tblGrid>
        <w:gridCol w:w="4508"/>
        <w:gridCol w:w="4508"/>
      </w:tblGrid>
      <w:tr w:rsidR="00201FE9" w:rsidRPr="00C86111" w14:paraId="20BE74E3"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2CFA483" w14:textId="77777777" w:rsidR="00201FE9" w:rsidRPr="00C86111" w:rsidRDefault="00201FE9" w:rsidP="00BC765B">
            <w:pPr>
              <w:spacing w:line="276" w:lineRule="auto"/>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Uobičajeni naziv (skraćenica)</w:t>
            </w:r>
          </w:p>
        </w:tc>
        <w:tc>
          <w:tcPr>
            <w:tcW w:w="4508" w:type="dxa"/>
          </w:tcPr>
          <w:p w14:paraId="72E6F128" w14:textId="77777777" w:rsidR="00201FE9" w:rsidRPr="00C86111" w:rsidRDefault="00201FE9" w:rsidP="00BC765B">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Hlorovani parafini kratkog lanca (SCCP)</w:t>
            </w:r>
          </w:p>
        </w:tc>
      </w:tr>
      <w:tr w:rsidR="00201FE9" w:rsidRPr="00C86111" w14:paraId="11D0AEC1"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596DB7E" w14:textId="77777777" w:rsidR="00201FE9" w:rsidRPr="00C86111" w:rsidRDefault="00201FE9" w:rsidP="00BC765B">
            <w:pPr>
              <w:spacing w:line="276" w:lineRule="auto"/>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IUPAC naziv</w:t>
            </w:r>
          </w:p>
        </w:tc>
        <w:tc>
          <w:tcPr>
            <w:tcW w:w="4508" w:type="dxa"/>
          </w:tcPr>
          <w:p w14:paraId="476F3F00" w14:textId="77777777" w:rsidR="00201FE9" w:rsidRPr="00C86111" w:rsidRDefault="00201FE9"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Alkani, C10-13, hloro; </w:t>
            </w:r>
          </w:p>
        </w:tc>
      </w:tr>
      <w:tr w:rsidR="00201FE9" w:rsidRPr="00C86111" w14:paraId="0FF2FDAF" w14:textId="77777777" w:rsidTr="00BC765B">
        <w:tc>
          <w:tcPr>
            <w:cnfStyle w:val="001000000000" w:firstRow="0" w:lastRow="0" w:firstColumn="1" w:lastColumn="0" w:oddVBand="0" w:evenVBand="0" w:oddHBand="0" w:evenHBand="0" w:firstRowFirstColumn="0" w:firstRowLastColumn="0" w:lastRowFirstColumn="0" w:lastRowLastColumn="0"/>
            <w:tcW w:w="4508" w:type="dxa"/>
          </w:tcPr>
          <w:p w14:paraId="0DCCEE18" w14:textId="77777777" w:rsidR="00201FE9" w:rsidRPr="00C86111" w:rsidRDefault="00201FE9" w:rsidP="00BC765B">
            <w:pPr>
              <w:spacing w:line="276" w:lineRule="auto"/>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Sinonimi</w:t>
            </w:r>
          </w:p>
        </w:tc>
        <w:tc>
          <w:tcPr>
            <w:tcW w:w="4508" w:type="dxa"/>
          </w:tcPr>
          <w:p w14:paraId="09D6C93E"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Alkani, hlorovani; alkani (C10-13), chloro-(50%-70%); alkani (C10-13), hloro-(60%); chlorisani alkani, hlorisani parafin; hloroalkani; hlorovani ugljovodonici; polihlorovani alkani; hlorovani parafini.</w:t>
            </w:r>
          </w:p>
        </w:tc>
      </w:tr>
      <w:tr w:rsidR="00201FE9" w:rsidRPr="00C86111" w14:paraId="0F1A0C5B"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7FAD1DA" w14:textId="77777777" w:rsidR="00201FE9" w:rsidRPr="00C86111" w:rsidRDefault="00201FE9" w:rsidP="00BC765B">
            <w:pPr>
              <w:spacing w:line="276" w:lineRule="auto"/>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Molekulska formula</w:t>
            </w:r>
          </w:p>
        </w:tc>
        <w:tc>
          <w:tcPr>
            <w:tcW w:w="4508" w:type="dxa"/>
          </w:tcPr>
          <w:p w14:paraId="6C5189A2" w14:textId="77777777" w:rsidR="00201FE9" w:rsidRPr="00C86111" w:rsidRDefault="00201FE9"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CxH(2x-y+2)Cly, gdje je x=10-13 i y=1-13</w:t>
            </w:r>
          </w:p>
        </w:tc>
      </w:tr>
      <w:tr w:rsidR="00201FE9" w:rsidRPr="00C86111" w14:paraId="038315E8" w14:textId="77777777" w:rsidTr="00BC765B">
        <w:tc>
          <w:tcPr>
            <w:cnfStyle w:val="001000000000" w:firstRow="0" w:lastRow="0" w:firstColumn="1" w:lastColumn="0" w:oddVBand="0" w:evenVBand="0" w:oddHBand="0" w:evenHBand="0" w:firstRowFirstColumn="0" w:firstRowLastColumn="0" w:lastRowFirstColumn="0" w:lastRowLastColumn="0"/>
            <w:tcW w:w="4508" w:type="dxa"/>
          </w:tcPr>
          <w:p w14:paraId="7558C650" w14:textId="77777777" w:rsidR="00201FE9" w:rsidRPr="00C86111" w:rsidRDefault="00201FE9" w:rsidP="00BC765B">
            <w:pPr>
              <w:spacing w:line="276" w:lineRule="auto"/>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Chemical Abstract Service (CAS) brojevi SCCPs i drugih hloriovanih parafina koji mogu da sadrže SCCP</w:t>
            </w:r>
          </w:p>
        </w:tc>
        <w:tc>
          <w:tcPr>
            <w:tcW w:w="4508" w:type="dxa"/>
          </w:tcPr>
          <w:p w14:paraId="69BCE14C"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85535-84-85 (Alkani C10-C13, hloro) </w:t>
            </w:r>
          </w:p>
          <w:p w14:paraId="0E1C12BB"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71011-12-6 (Alkani, C12-13, hloro) </w:t>
            </w:r>
          </w:p>
          <w:p w14:paraId="6607358C"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85536-22-7 (Alkani, C12-14, hloro) </w:t>
            </w:r>
          </w:p>
          <w:p w14:paraId="3D9E1CBE"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85681-73-8 (Alkani, C10-14, hloro) </w:t>
            </w:r>
          </w:p>
          <w:p w14:paraId="75C1798A"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108171-26-2 (Alkani, C10-12, hloro) </w:t>
            </w:r>
          </w:p>
          <w:p w14:paraId="1A609F24"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68920-70-7 (Alkani, C6-18, hloro) </w:t>
            </w:r>
          </w:p>
          <w:p w14:paraId="07C5F33C"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84082-38-2 (Alkani, C10-21, hloro) </w:t>
            </w:r>
          </w:p>
          <w:p w14:paraId="5010FF64"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97659-46-6 (Alkani, C10-26, hloro) </w:t>
            </w:r>
          </w:p>
          <w:p w14:paraId="37227AD1"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84776-06-7 (Alkani, C10-32, hloro) </w:t>
            </w:r>
          </w:p>
          <w:p w14:paraId="40CE7573"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CAS brojevi bez definisane dužine lanca koji mogu da sadrže SCCP</w:t>
            </w:r>
            <w:r w:rsidRPr="00C86111">
              <w:rPr>
                <w:rFonts w:asciiTheme="minorHAnsi" w:hAnsiTheme="minorHAnsi" w:cstheme="minorHAnsi"/>
                <w:color w:val="auto"/>
                <w:sz w:val="20"/>
                <w:szCs w:val="20"/>
                <w:lang w:val="sr-Latn-ME"/>
              </w:rPr>
              <w:sym w:font="Symbol" w:char="F03E"/>
            </w:r>
            <w:r w:rsidRPr="00C86111">
              <w:rPr>
                <w:rFonts w:asciiTheme="minorHAnsi" w:hAnsiTheme="minorHAnsi" w:cstheme="minorHAnsi"/>
                <w:color w:val="auto"/>
                <w:sz w:val="20"/>
                <w:szCs w:val="20"/>
                <w:lang w:val="sr-Latn-ME"/>
              </w:rPr>
              <w:t xml:space="preserve">1%: 61788-76-9 (Alkani, hloro); 63449-39-8 (Parafinski voskovi i uglovodonični voskovi, hloro); 97553-43-0 Parafini, normalni C&gt;10, hloro) </w:t>
            </w:r>
          </w:p>
          <w:p w14:paraId="4B7C883B"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xml:space="preserve">CAS brojevi MCCPs (85535-85-9) Alkani, C14-17, hloro (koji mogu da sadrže </w:t>
            </w:r>
            <w:r w:rsidRPr="00C86111">
              <w:rPr>
                <w:rFonts w:asciiTheme="minorHAnsi" w:hAnsiTheme="minorHAnsi" w:cstheme="minorHAnsi"/>
                <w:color w:val="auto"/>
                <w:sz w:val="20"/>
                <w:szCs w:val="20"/>
                <w:lang w:val="sr-Latn-ME"/>
              </w:rPr>
              <w:sym w:font="Symbol" w:char="F03C"/>
            </w:r>
            <w:r w:rsidRPr="00C86111">
              <w:rPr>
                <w:rFonts w:asciiTheme="minorHAnsi" w:hAnsiTheme="minorHAnsi" w:cstheme="minorHAnsi"/>
                <w:color w:val="auto"/>
                <w:sz w:val="20"/>
                <w:szCs w:val="20"/>
                <w:lang w:val="sr-Latn-ME"/>
              </w:rPr>
              <w:t xml:space="preserve">1% (Euro Chlor 2017) ali neki mogu potencijalno da sadrže </w:t>
            </w:r>
            <w:r w:rsidRPr="00C86111">
              <w:rPr>
                <w:rFonts w:asciiTheme="minorHAnsi" w:hAnsiTheme="minorHAnsi" w:cstheme="minorHAnsi"/>
                <w:color w:val="auto"/>
                <w:sz w:val="20"/>
                <w:szCs w:val="20"/>
                <w:lang w:val="sr-Latn-ME"/>
              </w:rPr>
              <w:sym w:font="Symbol" w:char="F03E"/>
            </w:r>
            <w:r w:rsidRPr="00C86111">
              <w:rPr>
                <w:rFonts w:asciiTheme="minorHAnsi" w:hAnsiTheme="minorHAnsi" w:cstheme="minorHAnsi"/>
                <w:color w:val="auto"/>
                <w:sz w:val="20"/>
                <w:szCs w:val="20"/>
                <w:lang w:val="sr-Latn-ME"/>
              </w:rPr>
              <w:t>1% SCCP zavisno od proizvođača.</w:t>
            </w:r>
          </w:p>
        </w:tc>
      </w:tr>
      <w:tr w:rsidR="00201FE9" w:rsidRPr="00C86111" w14:paraId="5BC350D7"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6EC09EC" w14:textId="77777777" w:rsidR="00201FE9" w:rsidRPr="00C86111" w:rsidRDefault="00201FE9" w:rsidP="00BC765B">
            <w:pPr>
              <w:spacing w:line="276" w:lineRule="auto"/>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Generička trgovačka imena hlorovanih parafina (IARC, 1990 i dopune)</w:t>
            </w:r>
          </w:p>
        </w:tc>
        <w:tc>
          <w:tcPr>
            <w:tcW w:w="4508" w:type="dxa"/>
          </w:tcPr>
          <w:p w14:paraId="384575C1" w14:textId="77777777" w:rsidR="00201FE9" w:rsidRPr="00C86111" w:rsidRDefault="00201FE9"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A 70; A 70 (vosak); Adekacizer E; Arubren; Cereclor; Hlorovani parafini (CPs); Chlorcosane; Chlorocosane Chlorez; Chlorofin; Chloroflo; Chlorparaffin; Chlorowax, Chlorowax 500AO; Chlorowax 45AO, Chlorowax 52AO; Cloparin; Cloparol; Clorafin; CP F; CP-52, CP-55, CP-60, CP-70, CW; Diablo; Derminolfett; Derminolöl; EDC-tar; Electrofine; Enpara; FL X; Hordaflam; Hordaflex; Hordalub; Hulz; KhP; Meflex; Monocizer; Paroil; Poliks; Tenekil; Toyoparax; Unichlor</w:t>
            </w:r>
          </w:p>
        </w:tc>
      </w:tr>
      <w:tr w:rsidR="00201FE9" w:rsidRPr="00C86111" w14:paraId="4EE19935" w14:textId="77777777" w:rsidTr="00BC765B">
        <w:tc>
          <w:tcPr>
            <w:cnfStyle w:val="001000000000" w:firstRow="0" w:lastRow="0" w:firstColumn="1" w:lastColumn="0" w:oddVBand="0" w:evenVBand="0" w:oddHBand="0" w:evenHBand="0" w:firstRowFirstColumn="0" w:firstRowLastColumn="0" w:lastRowFirstColumn="0" w:lastRowLastColumn="0"/>
            <w:tcW w:w="4508" w:type="dxa"/>
          </w:tcPr>
          <w:p w14:paraId="6F013F3D" w14:textId="77777777" w:rsidR="00201FE9" w:rsidRPr="00C86111" w:rsidRDefault="00201FE9" w:rsidP="00BC765B">
            <w:pPr>
              <w:spacing w:line="276" w:lineRule="auto"/>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Temperatura prelaska u tečno stanje (bez izrazitog topljenja)</w:t>
            </w:r>
          </w:p>
        </w:tc>
        <w:tc>
          <w:tcPr>
            <w:tcW w:w="4508" w:type="dxa"/>
          </w:tcPr>
          <w:p w14:paraId="1DE40006"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-30.5 °C (49% hlora); 20.5 °C (70% hlora) (ECB, 2000)</w:t>
            </w:r>
          </w:p>
        </w:tc>
      </w:tr>
      <w:tr w:rsidR="00201FE9" w:rsidRPr="00C86111" w14:paraId="124E9AAB"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FBF547B" w14:textId="77777777" w:rsidR="00201FE9" w:rsidRPr="00C86111" w:rsidRDefault="00201FE9" w:rsidP="00BC765B">
            <w:pPr>
              <w:spacing w:line="276" w:lineRule="auto"/>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Rastvorljivost u vodi</w:t>
            </w:r>
          </w:p>
        </w:tc>
        <w:tc>
          <w:tcPr>
            <w:tcW w:w="4508" w:type="dxa"/>
          </w:tcPr>
          <w:p w14:paraId="2A18BE70" w14:textId="77777777" w:rsidR="00201FE9" w:rsidRPr="00C86111" w:rsidRDefault="00201FE9"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0.15 – 0.47 mg/L (ECB, 2000) 0.006 – 2.2 mg/L (BUA 1992)</w:t>
            </w:r>
          </w:p>
        </w:tc>
      </w:tr>
      <w:tr w:rsidR="00201FE9" w:rsidRPr="00C86111" w14:paraId="7E7F08B9" w14:textId="77777777" w:rsidTr="00BC765B">
        <w:tc>
          <w:tcPr>
            <w:cnfStyle w:val="001000000000" w:firstRow="0" w:lastRow="0" w:firstColumn="1" w:lastColumn="0" w:oddVBand="0" w:evenVBand="0" w:oddHBand="0" w:evenHBand="0" w:firstRowFirstColumn="0" w:firstRowLastColumn="0" w:lastRowFirstColumn="0" w:lastRowLastColumn="0"/>
            <w:tcW w:w="4508" w:type="dxa"/>
          </w:tcPr>
          <w:p w14:paraId="6C904CA3" w14:textId="77777777" w:rsidR="00201FE9" w:rsidRPr="00C86111" w:rsidRDefault="00201FE9" w:rsidP="00BC765B">
            <w:pPr>
              <w:spacing w:line="276" w:lineRule="auto"/>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Toksičnost</w:t>
            </w:r>
          </w:p>
        </w:tc>
        <w:tc>
          <w:tcPr>
            <w:tcW w:w="4508" w:type="dxa"/>
          </w:tcPr>
          <w:p w14:paraId="76D90418"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SCCPs pripadaju grupi 2B by IARC - moguće kancerogeni za ljude na osnovu dovoljnih dokaza o kancerogenosti kod eksperimentalnih životinja i mehanizmima djelovanja (IARC, 1990).</w:t>
            </w:r>
          </w:p>
        </w:tc>
      </w:tr>
    </w:tbl>
    <w:p w14:paraId="6A7E92B9"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14CFA43E" w14:textId="77777777" w:rsidR="00201FE9" w:rsidRPr="00C86111" w:rsidRDefault="00201FE9" w:rsidP="00201FE9">
      <w:pPr>
        <w:spacing w:line="276" w:lineRule="auto"/>
        <w:jc w:val="both"/>
        <w:rPr>
          <w:rFonts w:asciiTheme="minorHAnsi" w:eastAsia="SimSun" w:hAnsiTheme="minorHAnsi" w:cstheme="minorHAnsi"/>
          <w:color w:val="auto"/>
          <w:szCs w:val="24"/>
          <w:lang w:val="sr-Latn-ME"/>
        </w:rPr>
      </w:pPr>
      <w:r w:rsidRPr="00C86111">
        <w:rPr>
          <w:rFonts w:asciiTheme="minorHAnsi" w:eastAsia="SimSun" w:hAnsiTheme="minorHAnsi" w:cstheme="minorHAnsi"/>
          <w:color w:val="auto"/>
          <w:szCs w:val="24"/>
          <w:lang w:val="sr-Latn-ME"/>
        </w:rPr>
        <w:lastRenderedPageBreak/>
        <w:t xml:space="preserve">Fizička i hemijska svojstva SCCP - kao što su niska rastvorljivost u vodi, visoka lipofilnost i otpornost na razgradnju - doprinose njihovoj postojanosti u životnoj sredini </w:t>
      </w:r>
      <w:r w:rsidRPr="00C86111">
        <w:rPr>
          <w:rFonts w:asciiTheme="minorHAnsi" w:eastAsia="SimSun" w:hAnsiTheme="minorHAnsi" w:cstheme="minorHAnsi"/>
          <w:color w:val="002060"/>
          <w:szCs w:val="24"/>
          <w:lang w:val="sr-Latn-ME"/>
        </w:rPr>
        <w:t xml:space="preserve">(2). </w:t>
      </w:r>
      <w:r w:rsidRPr="00C86111">
        <w:rPr>
          <w:rFonts w:asciiTheme="minorHAnsi" w:eastAsia="SimSun" w:hAnsiTheme="minorHAnsi" w:cstheme="minorHAnsi"/>
          <w:color w:val="auto"/>
          <w:szCs w:val="24"/>
          <w:lang w:val="sr-Latn-ME"/>
        </w:rPr>
        <w:t>Jednom kada se oslobode, SCCP imaju tendenciju da se akumuliraju u sedimentima, bioti, pa čak i u udaljenim regionima daleko od izvora emisije, kao što je Arktik, što ukazuje na njihov potencijal za transport na velike udaljenosti u životnoj sredini (3). Njihova lipofilna priroda dovodi do bioakumulacije u vodenim i kopnenim organizmima, a dokumentovana je i biomagnifikacija kroz lanac ishrane (3).</w:t>
      </w:r>
    </w:p>
    <w:p w14:paraId="36246CCD" w14:textId="77777777" w:rsidR="00201FE9" w:rsidRPr="00C86111" w:rsidRDefault="00201FE9" w:rsidP="00EA6904">
      <w:pPr>
        <w:pStyle w:val="Heading3"/>
      </w:pPr>
      <w:bookmarkStart w:id="375" w:name="_Toc210744965"/>
      <w:bookmarkStart w:id="376" w:name="_Toc220541962"/>
      <w:r w:rsidRPr="00C86111">
        <w:t>Proizvodnja i upotreba SCCP</w:t>
      </w:r>
      <w:bookmarkEnd w:id="375"/>
      <w:bookmarkEnd w:id="376"/>
    </w:p>
    <w:p w14:paraId="2E6EC060" w14:textId="77777777" w:rsidR="00201FE9" w:rsidRPr="00C86111" w:rsidRDefault="00201FE9" w:rsidP="00201FE9">
      <w:pPr>
        <w:rPr>
          <w:rFonts w:asciiTheme="minorHAnsi" w:hAnsiTheme="minorHAnsi" w:cstheme="minorHAnsi"/>
          <w:color w:val="auto"/>
          <w:szCs w:val="24"/>
          <w:lang w:val="sr-Latn-ME"/>
        </w:rPr>
      </w:pPr>
    </w:p>
    <w:p w14:paraId="69D6FCC9" w14:textId="77777777" w:rsidR="00201FE9" w:rsidRPr="00C86111" w:rsidRDefault="00201FE9" w:rsidP="00201FE9">
      <w:pPr>
        <w:spacing w:line="276" w:lineRule="auto"/>
        <w:jc w:val="both"/>
        <w:rPr>
          <w:rFonts w:asciiTheme="minorHAnsi" w:eastAsia="SimSun" w:hAnsiTheme="minorHAnsi" w:cstheme="minorHAnsi"/>
          <w:color w:val="auto"/>
          <w:szCs w:val="24"/>
          <w:lang w:val="sr-Latn-ME"/>
        </w:rPr>
      </w:pPr>
      <w:r w:rsidRPr="00C86111">
        <w:rPr>
          <w:rFonts w:asciiTheme="minorHAnsi" w:eastAsia="SimSun" w:hAnsiTheme="minorHAnsi" w:cstheme="minorHAnsi"/>
          <w:color w:val="auto"/>
          <w:szCs w:val="24"/>
          <w:lang w:val="sr-Latn-ME"/>
        </w:rPr>
        <w:t xml:space="preserve">SCCP se imaju široku primjenu u industriji i u proizvodima široke potrošnje. Njihova glavna upotreba uključuje funkciju plastifikatora i usporivača gorenja u polivinilhloridnoj (PVC) plastici i drugim polimernim materijalima, posebno u električnim kablovima, podnim oblogama i krovnim materijalima </w:t>
      </w:r>
      <w:r w:rsidRPr="00C86111">
        <w:rPr>
          <w:rFonts w:asciiTheme="minorHAnsi" w:eastAsia="SimSun" w:hAnsiTheme="minorHAnsi" w:cstheme="minorHAnsi"/>
          <w:color w:val="002060"/>
          <w:szCs w:val="24"/>
          <w:lang w:val="sr-Latn-ME"/>
        </w:rPr>
        <w:t xml:space="preserve">(1). </w:t>
      </w:r>
      <w:r w:rsidRPr="00C86111">
        <w:rPr>
          <w:rFonts w:asciiTheme="minorHAnsi" w:eastAsia="SimSun" w:hAnsiTheme="minorHAnsi" w:cstheme="minorHAnsi"/>
          <w:color w:val="auto"/>
          <w:szCs w:val="24"/>
          <w:lang w:val="sr-Latn-ME"/>
        </w:rPr>
        <w:t xml:space="preserve">Pored toga, koriste se kao aditivi u tečnostima za obradu metala, mazivima, ljepkovima, zaptivačima, bojama, gumi i tretmanima kože kako bi se poboljšala fleksibilnost, izdržljivost i otpornost na plamen. Pošto ove primjene uključuju i otvorene i zatvorene sisteme, SCCP se mogu ispustiti u životnu sredinu tokom faza proizvodnje, upotrebe, odlaganja i reciklaže. Nepravilno rukovanje, nedostatak kontrole emisija i prisustvo SCCP u proizvodima široke potrošnje značajno doprinose njihovom širenju u životnoj sredini </w:t>
      </w:r>
      <w:r w:rsidRPr="00C86111">
        <w:rPr>
          <w:rFonts w:asciiTheme="minorHAnsi" w:eastAsia="SimSun" w:hAnsiTheme="minorHAnsi" w:cstheme="minorHAnsi"/>
          <w:color w:val="002060"/>
          <w:szCs w:val="24"/>
          <w:lang w:val="sr-Latn-ME"/>
        </w:rPr>
        <w:t>(4).</w:t>
      </w:r>
    </w:p>
    <w:p w14:paraId="77ACAA05" w14:textId="77777777" w:rsidR="00201FE9" w:rsidRPr="00C86111" w:rsidRDefault="00201FE9" w:rsidP="00201FE9">
      <w:pPr>
        <w:spacing w:line="276" w:lineRule="auto"/>
        <w:jc w:val="both"/>
        <w:rPr>
          <w:rFonts w:asciiTheme="minorHAnsi" w:eastAsia="SimSun" w:hAnsiTheme="minorHAnsi" w:cstheme="minorHAnsi"/>
          <w:color w:val="auto"/>
          <w:szCs w:val="24"/>
          <w:lang w:val="sr-Latn-ME"/>
        </w:rPr>
      </w:pPr>
      <w:r w:rsidRPr="00C86111">
        <w:rPr>
          <w:rFonts w:asciiTheme="minorHAnsi" w:eastAsia="SimSun" w:hAnsiTheme="minorHAnsi" w:cstheme="minorHAnsi"/>
          <w:color w:val="auto"/>
          <w:szCs w:val="24"/>
          <w:lang w:val="sr-Latn-ME"/>
        </w:rPr>
        <w:t xml:space="preserve">Sa toksikološkog stanovišta, SCCP predstavljaju ozbiljan rizik i za ekosisteme i za ljudsko zdravlje. Studije su pokazale da su SCCP toksični za širok spektar vodenih organizama, uključujući ribe, beskičmenjake i alge. Izloženost je povezana sa endokrinim poremećajima, reproduktivnom i razvojnom toksičnošću, oštećenjem jetre i bubrega i mogućim kancerogenim efektima. Prema Evropskoj agenciji za hemikalije (ECHA), SCCP se koriste kao aditivi u raznim proizvodima kao što su tečnosti za obradu metala, maziva, ljepkovi, zaptivači, boje, guma i tretmani kože, sa potencijalnim oslobađanjima koja se javljaju tokom njihove proizvodnje, upotrebe i odlaganja </w:t>
      </w:r>
      <w:r w:rsidRPr="00C86111">
        <w:rPr>
          <w:rFonts w:asciiTheme="minorHAnsi" w:eastAsia="SimSun" w:hAnsiTheme="minorHAnsi" w:cstheme="minorHAnsi"/>
          <w:color w:val="002060"/>
          <w:szCs w:val="24"/>
          <w:lang w:val="sr-Latn-ME"/>
        </w:rPr>
        <w:t xml:space="preserve">(4). </w:t>
      </w:r>
      <w:r w:rsidRPr="00C86111">
        <w:rPr>
          <w:rFonts w:asciiTheme="minorHAnsi" w:eastAsia="SimSun" w:hAnsiTheme="minorHAnsi" w:cstheme="minorHAnsi"/>
          <w:color w:val="auto"/>
          <w:szCs w:val="24"/>
          <w:lang w:val="sr-Latn-ME"/>
        </w:rPr>
        <w:t xml:space="preserve">Štaviše, Međunarodni program za hemijsku bezbednost (IPCS), u “Concise International Chemical Assessment Document 55” (2012), izvještava da SCCP mogu izazvati toksičnost za jetru, razvojne efekte i da su moguće kancerogeni za ljude na osnovu studija na životinjama </w:t>
      </w:r>
      <w:r w:rsidRPr="00C86111">
        <w:rPr>
          <w:rFonts w:asciiTheme="minorHAnsi" w:eastAsia="SimSun" w:hAnsiTheme="minorHAnsi" w:cstheme="minorHAnsi"/>
          <w:color w:val="002060"/>
          <w:szCs w:val="24"/>
          <w:lang w:val="sr-Latn-ME"/>
        </w:rPr>
        <w:t xml:space="preserve">(5). </w:t>
      </w:r>
      <w:r w:rsidRPr="00C86111">
        <w:rPr>
          <w:rFonts w:asciiTheme="minorHAnsi" w:eastAsia="SimSun" w:hAnsiTheme="minorHAnsi" w:cstheme="minorHAnsi"/>
          <w:color w:val="auto"/>
          <w:szCs w:val="24"/>
          <w:lang w:val="sr-Latn-ME"/>
        </w:rPr>
        <w:t xml:space="preserve">SCCP su takođe otkriveni u majčinom mlijeku, krvi i masnom tkivu, što ukazuje na široko rasprostranjenu izloženost ljudi putem konzumiranja hrane, udisanja i dermalnog kontakta sa tretiranim proizvodima </w:t>
      </w:r>
      <w:r w:rsidRPr="00C86111">
        <w:rPr>
          <w:rFonts w:asciiTheme="minorHAnsi" w:eastAsia="SimSun" w:hAnsiTheme="minorHAnsi" w:cstheme="minorHAnsi"/>
          <w:color w:val="002060"/>
          <w:szCs w:val="24"/>
          <w:lang w:val="sr-Latn-ME"/>
        </w:rPr>
        <w:t xml:space="preserve">(5). </w:t>
      </w:r>
      <w:r w:rsidRPr="00C86111">
        <w:rPr>
          <w:rFonts w:asciiTheme="minorHAnsi" w:eastAsia="SimSun" w:hAnsiTheme="minorHAnsi" w:cstheme="minorHAnsi"/>
          <w:color w:val="auto"/>
          <w:szCs w:val="24"/>
          <w:lang w:val="sr-Latn-ME"/>
        </w:rPr>
        <w:t xml:space="preserve">Njihovo prisustvo u zatvorenom prostoru, kao što je namještaj i građevinski materijal, izaziva posebnu zabrinutost zbog dugotrajne izloženosti niskim nivoima, posebno kod djece </w:t>
      </w:r>
      <w:r w:rsidRPr="00C86111">
        <w:rPr>
          <w:rFonts w:asciiTheme="minorHAnsi" w:eastAsia="SimSun" w:hAnsiTheme="minorHAnsi" w:cstheme="minorHAnsi"/>
          <w:color w:val="002060"/>
          <w:szCs w:val="24"/>
          <w:lang w:val="sr-Latn-ME"/>
        </w:rPr>
        <w:t>(5).</w:t>
      </w:r>
    </w:p>
    <w:p w14:paraId="3EF07387" w14:textId="77777777" w:rsidR="00201FE9" w:rsidRPr="00C86111" w:rsidRDefault="00201FE9" w:rsidP="00EA6904">
      <w:pPr>
        <w:pStyle w:val="Heading3"/>
      </w:pPr>
      <w:bookmarkStart w:id="377" w:name="_Toc210744966"/>
      <w:bookmarkStart w:id="378" w:name="_Toc220541963"/>
      <w:r w:rsidRPr="00C86111">
        <w:t>Status SCCPs prema Stokholmskoj konvenciji</w:t>
      </w:r>
      <w:bookmarkEnd w:id="377"/>
      <w:bookmarkEnd w:id="378"/>
    </w:p>
    <w:p w14:paraId="298CD836" w14:textId="77777777" w:rsidR="00201FE9" w:rsidRPr="00C86111" w:rsidRDefault="00201FE9" w:rsidP="00201FE9">
      <w:pPr>
        <w:rPr>
          <w:rFonts w:asciiTheme="minorHAnsi" w:hAnsiTheme="minorHAnsi" w:cstheme="minorHAnsi"/>
          <w:color w:val="auto"/>
          <w:szCs w:val="24"/>
          <w:lang w:val="sr-Latn-ME"/>
        </w:rPr>
      </w:pPr>
    </w:p>
    <w:p w14:paraId="1B4F651D" w14:textId="0E59B5C3" w:rsidR="00201FE9" w:rsidRPr="00C86111" w:rsidRDefault="00201FE9" w:rsidP="00201FE9">
      <w:pPr>
        <w:spacing w:line="276" w:lineRule="auto"/>
        <w:jc w:val="both"/>
        <w:rPr>
          <w:rFonts w:asciiTheme="minorHAnsi" w:eastAsia="SimSun" w:hAnsiTheme="minorHAnsi" w:cstheme="minorHAnsi"/>
          <w:color w:val="auto"/>
          <w:szCs w:val="24"/>
          <w:lang w:val="sr-Latn-ME"/>
        </w:rPr>
      </w:pPr>
      <w:r w:rsidRPr="00C86111">
        <w:rPr>
          <w:rFonts w:asciiTheme="minorHAnsi" w:eastAsia="SimSun" w:hAnsiTheme="minorHAnsi" w:cstheme="minorHAnsi"/>
          <w:color w:val="auto"/>
          <w:szCs w:val="24"/>
          <w:lang w:val="sr-Latn-ME"/>
        </w:rPr>
        <w:t xml:space="preserve">S obzirom na njihovu postojanost u životnoj sredini, bioakumulativnu prirodu, toksičnost i potencijal za transport u životnoj sredini na velike udaljenosti, SCCP ispunjavaju sva četiri kriterijuma za klasifikaciju kao dugotrajni organski zagađivači (POPs) prema Stokholmskoj </w:t>
      </w:r>
      <w:r w:rsidRPr="00C86111">
        <w:rPr>
          <w:rFonts w:asciiTheme="minorHAnsi" w:eastAsia="SimSun" w:hAnsiTheme="minorHAnsi" w:cstheme="minorHAnsi"/>
          <w:color w:val="auto"/>
          <w:szCs w:val="24"/>
          <w:lang w:val="sr-Latn-ME"/>
        </w:rPr>
        <w:lastRenderedPageBreak/>
        <w:t xml:space="preserve">konvenciji </w:t>
      </w:r>
      <w:r w:rsidRPr="00C86111">
        <w:rPr>
          <w:rFonts w:asciiTheme="minorHAnsi" w:eastAsia="SimSun" w:hAnsiTheme="minorHAnsi" w:cstheme="minorHAnsi"/>
          <w:color w:val="002060"/>
          <w:szCs w:val="24"/>
          <w:lang w:val="sr-Latn-ME"/>
        </w:rPr>
        <w:t xml:space="preserve">(6). </w:t>
      </w:r>
      <w:r w:rsidRPr="00C86111">
        <w:rPr>
          <w:rFonts w:asciiTheme="minorHAnsi" w:eastAsia="SimSun" w:hAnsiTheme="minorHAnsi" w:cstheme="minorHAnsi"/>
          <w:color w:val="auto"/>
          <w:szCs w:val="24"/>
          <w:lang w:val="sr-Latn-ME"/>
        </w:rPr>
        <w:t xml:space="preserve">Kao rezultat toga, u maju 2017. godine, odlukom SC-8/11, the Conference of the Parties to the Convention je odlučila da uvrsti SCCP u Aneks A Konvencije, koji poziva na eliminaciju njihove proizvodnje i upotrebe, sa ograničenim izuzecima za specifične primjene tamo gdje održive alternative još uvijek nijesu dostupne (Tabela </w:t>
      </w:r>
      <w:r w:rsidR="004A37AE" w:rsidRPr="00C86111">
        <w:rPr>
          <w:rFonts w:asciiTheme="minorHAnsi" w:eastAsia="SimSun" w:hAnsiTheme="minorHAnsi" w:cstheme="minorHAnsi"/>
          <w:color w:val="auto"/>
          <w:szCs w:val="24"/>
          <w:lang w:val="sr-Latn-ME"/>
        </w:rPr>
        <w:t>99</w:t>
      </w:r>
      <w:r w:rsidRPr="00C86111">
        <w:rPr>
          <w:rFonts w:asciiTheme="minorHAnsi" w:eastAsia="SimSun" w:hAnsiTheme="minorHAnsi" w:cstheme="minorHAnsi"/>
          <w:color w:val="auto"/>
          <w:szCs w:val="24"/>
          <w:lang w:val="sr-Latn-ME"/>
        </w:rPr>
        <w:t>). Ova odluka je zasnovana na sveobuhvatnoj naučnoj procjeni Persistent Organic Pollutants Review Committee (POPRC), koji je potvrdio da SCCP predstavljaju značajan rizik po ljudsko zdravlje i životnu sredinu na globalnom nivou.</w:t>
      </w:r>
    </w:p>
    <w:p w14:paraId="4FE6C6AD" w14:textId="77777777" w:rsidR="00201FE9" w:rsidRPr="00C86111" w:rsidRDefault="00201FE9" w:rsidP="00201FE9">
      <w:pPr>
        <w:spacing w:line="276" w:lineRule="auto"/>
        <w:jc w:val="both"/>
        <w:rPr>
          <w:rFonts w:asciiTheme="minorHAnsi" w:eastAsia="SimSun" w:hAnsiTheme="minorHAnsi" w:cstheme="minorHAnsi"/>
          <w:color w:val="auto"/>
          <w:szCs w:val="24"/>
          <w:lang w:val="sr-Latn-ME"/>
        </w:rPr>
      </w:pPr>
    </w:p>
    <w:p w14:paraId="6360BD14" w14:textId="6C75CCB8" w:rsidR="00201FE9" w:rsidRPr="00C86111" w:rsidRDefault="00201FE9" w:rsidP="00201FE9">
      <w:pPr>
        <w:pStyle w:val="Caption"/>
        <w:rPr>
          <w:rFonts w:cstheme="minorHAnsi"/>
          <w:b w:val="0"/>
          <w:bCs/>
          <w:sz w:val="24"/>
          <w:szCs w:val="24"/>
          <w:lang w:val="sr-Latn-ME"/>
        </w:rPr>
      </w:pPr>
      <w:bookmarkStart w:id="379" w:name="_Toc210743910"/>
      <w:r w:rsidRPr="00C86111">
        <w:rPr>
          <w:rFonts w:cstheme="minorHAnsi"/>
          <w:bCs/>
          <w:sz w:val="24"/>
          <w:szCs w:val="24"/>
        </w:rPr>
        <w:t xml:space="preserve">Tabela </w:t>
      </w:r>
      <w:r w:rsidR="004A37AE" w:rsidRPr="00C86111">
        <w:rPr>
          <w:rFonts w:cstheme="minorHAnsi"/>
          <w:bCs/>
          <w:sz w:val="24"/>
          <w:szCs w:val="24"/>
        </w:rPr>
        <w:t>99</w:t>
      </w:r>
      <w:r w:rsidRPr="00C86111">
        <w:rPr>
          <w:rFonts w:cstheme="minorHAnsi"/>
          <w:bCs/>
          <w:sz w:val="24"/>
          <w:szCs w:val="24"/>
        </w:rPr>
        <w:t>.</w:t>
      </w:r>
      <w:r w:rsidRPr="00C86111">
        <w:rPr>
          <w:rFonts w:cstheme="minorHAnsi"/>
          <w:sz w:val="24"/>
          <w:szCs w:val="24"/>
        </w:rPr>
        <w:t xml:space="preserve"> </w:t>
      </w:r>
      <w:r w:rsidRPr="00C86111">
        <w:rPr>
          <w:rFonts w:cstheme="minorHAnsi"/>
          <w:b w:val="0"/>
          <w:bCs/>
          <w:sz w:val="24"/>
          <w:szCs w:val="24"/>
        </w:rPr>
        <w:t>Lista specifičnih izuzeća SCCP</w:t>
      </w:r>
      <w:bookmarkEnd w:id="379"/>
    </w:p>
    <w:tbl>
      <w:tblPr>
        <w:tblStyle w:val="GridTable5Dark-Accent6"/>
        <w:tblW w:w="8995" w:type="dxa"/>
        <w:tblLook w:val="04A0" w:firstRow="1" w:lastRow="0" w:firstColumn="1" w:lastColumn="0" w:noHBand="0" w:noVBand="1"/>
      </w:tblPr>
      <w:tblGrid>
        <w:gridCol w:w="2570"/>
        <w:gridCol w:w="1385"/>
        <w:gridCol w:w="5040"/>
      </w:tblGrid>
      <w:tr w:rsidR="00201FE9" w:rsidRPr="00C86111" w14:paraId="0EF1C18B"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4046AED1" w14:textId="77777777" w:rsidR="00201FE9" w:rsidRPr="00C86111" w:rsidRDefault="00201FE9" w:rsidP="00BC765B">
            <w:pPr>
              <w:spacing w:line="276" w:lineRule="auto"/>
              <w:rPr>
                <w:rFonts w:asciiTheme="minorHAnsi" w:hAnsiTheme="minorHAnsi" w:cstheme="minorHAnsi"/>
                <w:b w:val="0"/>
                <w:bCs w:val="0"/>
                <w:color w:val="auto"/>
                <w:sz w:val="20"/>
                <w:szCs w:val="20"/>
                <w:lang w:val="sr-Latn-ME"/>
              </w:rPr>
            </w:pPr>
            <w:r w:rsidRPr="00C86111">
              <w:rPr>
                <w:rFonts w:asciiTheme="minorHAnsi" w:hAnsiTheme="minorHAnsi" w:cstheme="minorHAnsi"/>
                <w:i/>
                <w:iCs/>
                <w:color w:val="auto"/>
                <w:sz w:val="20"/>
                <w:szCs w:val="20"/>
                <w:lang w:val="sr-Latn-ME"/>
              </w:rPr>
              <w:t>Hemikalija</w:t>
            </w:r>
          </w:p>
        </w:tc>
        <w:tc>
          <w:tcPr>
            <w:tcW w:w="1385" w:type="dxa"/>
          </w:tcPr>
          <w:p w14:paraId="72AD59BF" w14:textId="77777777" w:rsidR="00201FE9" w:rsidRPr="00C86111" w:rsidRDefault="00201FE9" w:rsidP="00BC765B">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i/>
                <w:iCs/>
                <w:color w:val="auto"/>
                <w:sz w:val="20"/>
                <w:szCs w:val="20"/>
                <w:lang w:val="sr-Latn-ME"/>
              </w:rPr>
              <w:t>Uloga</w:t>
            </w:r>
          </w:p>
        </w:tc>
        <w:tc>
          <w:tcPr>
            <w:tcW w:w="5040" w:type="dxa"/>
          </w:tcPr>
          <w:p w14:paraId="7F58DBB6" w14:textId="77777777" w:rsidR="00201FE9" w:rsidRPr="00C86111" w:rsidRDefault="00201FE9" w:rsidP="00BC765B">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i/>
                <w:iCs/>
                <w:color w:val="auto"/>
                <w:sz w:val="20"/>
                <w:szCs w:val="20"/>
                <w:lang w:val="sr-Latn-ME"/>
              </w:rPr>
              <w:t>Specifično izuzeće</w:t>
            </w:r>
          </w:p>
        </w:tc>
      </w:tr>
      <w:tr w:rsidR="00C262FD" w:rsidRPr="00C86111" w14:paraId="2353B7C1" w14:textId="77777777" w:rsidTr="00BC765B">
        <w:trPr>
          <w:cnfStyle w:val="000000100000" w:firstRow="0" w:lastRow="0" w:firstColumn="0" w:lastColumn="0" w:oddVBand="0" w:evenVBand="0" w:oddHBand="1" w:evenHBand="0" w:firstRowFirstColumn="0" w:firstRowLastColumn="0" w:lastRowFirstColumn="0" w:lastRowLastColumn="0"/>
          <w:trHeight w:val="5054"/>
        </w:trPr>
        <w:tc>
          <w:tcPr>
            <w:cnfStyle w:val="001000000000" w:firstRow="0" w:lastRow="0" w:firstColumn="1" w:lastColumn="0" w:oddVBand="0" w:evenVBand="0" w:oddHBand="0" w:evenHBand="0" w:firstRowFirstColumn="0" w:firstRowLastColumn="0" w:lastRowFirstColumn="0" w:lastRowLastColumn="0"/>
            <w:tcW w:w="2570" w:type="dxa"/>
          </w:tcPr>
          <w:p w14:paraId="6B9A9EAD" w14:textId="77777777" w:rsidR="00C262FD" w:rsidRPr="00C86111" w:rsidRDefault="00C262FD" w:rsidP="00BC765B">
            <w:pPr>
              <w:pStyle w:val="Normal-pool-Table"/>
              <w:spacing w:before="0" w:after="0" w:line="276" w:lineRule="auto"/>
              <w:rPr>
                <w:rFonts w:asciiTheme="minorHAnsi" w:hAnsiTheme="minorHAnsi" w:cstheme="minorHAnsi"/>
                <w:sz w:val="20"/>
                <w:lang w:val="sr-Latn-ME"/>
              </w:rPr>
            </w:pPr>
            <w:r w:rsidRPr="00C86111">
              <w:rPr>
                <w:rFonts w:asciiTheme="minorHAnsi" w:hAnsiTheme="minorHAnsi" w:cstheme="minorHAnsi"/>
                <w:sz w:val="20"/>
                <w:lang w:val="sr-Latn-ME"/>
              </w:rPr>
              <w:t xml:space="preserve">Hlorovani parafini kratkog lanca (Alkani, C10-13, </w:t>
            </w:r>
          </w:p>
          <w:p w14:paraId="25C640FF" w14:textId="77777777" w:rsidR="00C262FD" w:rsidRPr="00C86111" w:rsidRDefault="00C262FD" w:rsidP="00BC765B">
            <w:pPr>
              <w:pStyle w:val="Normal-pool-Table"/>
              <w:spacing w:before="0" w:after="0" w:line="276" w:lineRule="auto"/>
              <w:rPr>
                <w:rFonts w:asciiTheme="minorHAnsi" w:hAnsiTheme="minorHAnsi" w:cstheme="minorHAnsi"/>
                <w:sz w:val="20"/>
                <w:lang w:val="sr-Latn-ME"/>
              </w:rPr>
            </w:pPr>
            <w:r w:rsidRPr="00C86111">
              <w:rPr>
                <w:rFonts w:asciiTheme="minorHAnsi" w:hAnsiTheme="minorHAnsi" w:cstheme="minorHAnsi"/>
                <w:sz w:val="20"/>
                <w:lang w:val="sr-Latn-ME"/>
              </w:rPr>
              <w:t>hloro)+: hloriovani ugljovodonici ravnog lanca</w:t>
            </w:r>
          </w:p>
          <w:p w14:paraId="41B82AB6" w14:textId="77777777" w:rsidR="00C262FD" w:rsidRPr="00C86111" w:rsidRDefault="00C262FD" w:rsidP="00BC765B">
            <w:pPr>
              <w:pStyle w:val="Normal-pool-Table"/>
              <w:spacing w:before="0" w:after="0" w:line="276" w:lineRule="auto"/>
              <w:rPr>
                <w:rFonts w:asciiTheme="minorHAnsi" w:hAnsiTheme="minorHAnsi" w:cstheme="minorHAnsi"/>
                <w:sz w:val="20"/>
                <w:lang w:val="sr-Latn-ME"/>
              </w:rPr>
            </w:pPr>
            <w:r w:rsidRPr="00C86111">
              <w:rPr>
                <w:rFonts w:asciiTheme="minorHAnsi" w:hAnsiTheme="minorHAnsi" w:cstheme="minorHAnsi"/>
                <w:sz w:val="20"/>
                <w:lang w:val="sr-Latn-ME"/>
              </w:rPr>
              <w:t>sa dužinama lanca u rasponu od C10 do C13 i sadržajem hlora većim od 48 procenata po masi. Na primjer, supstance sa sledećim CAS brojevima mogu da sadrže kratkolančane hlorovane parafine.</w:t>
            </w:r>
          </w:p>
          <w:p w14:paraId="514B6B2C" w14:textId="77777777" w:rsidR="00C262FD" w:rsidRPr="00C86111" w:rsidRDefault="00C262FD" w:rsidP="00BC765B">
            <w:pPr>
              <w:pStyle w:val="Normal-pool-Table"/>
              <w:spacing w:before="0" w:after="0" w:line="276" w:lineRule="auto"/>
              <w:rPr>
                <w:rFonts w:asciiTheme="minorHAnsi" w:hAnsiTheme="minorHAnsi" w:cstheme="minorHAnsi"/>
                <w:sz w:val="20"/>
                <w:lang w:val="sr-Latn-ME"/>
              </w:rPr>
            </w:pPr>
            <w:r w:rsidRPr="00C86111">
              <w:rPr>
                <w:rFonts w:asciiTheme="minorHAnsi" w:hAnsiTheme="minorHAnsi" w:cstheme="minorHAnsi"/>
                <w:sz w:val="20"/>
                <w:lang w:val="sr-Latn-ME"/>
              </w:rPr>
              <w:t xml:space="preserve">CAS No. 85535-84-8;  </w:t>
            </w:r>
          </w:p>
          <w:p w14:paraId="555B55C5" w14:textId="77777777" w:rsidR="00C262FD" w:rsidRPr="00C86111" w:rsidRDefault="00C262FD" w:rsidP="00BC765B">
            <w:pPr>
              <w:pStyle w:val="Normal-pool-Table"/>
              <w:spacing w:before="0" w:after="0" w:line="276" w:lineRule="auto"/>
              <w:rPr>
                <w:rFonts w:asciiTheme="minorHAnsi" w:hAnsiTheme="minorHAnsi" w:cstheme="minorHAnsi"/>
                <w:sz w:val="20"/>
                <w:lang w:val="sr-Latn-ME"/>
              </w:rPr>
            </w:pPr>
            <w:r w:rsidRPr="00C86111">
              <w:rPr>
                <w:rFonts w:asciiTheme="minorHAnsi" w:hAnsiTheme="minorHAnsi" w:cstheme="minorHAnsi"/>
                <w:sz w:val="20"/>
                <w:lang w:val="sr-Latn-ME"/>
              </w:rPr>
              <w:t xml:space="preserve">CAS No. 68920-70-7; </w:t>
            </w:r>
          </w:p>
          <w:p w14:paraId="2BF637CA" w14:textId="77777777" w:rsidR="00C262FD" w:rsidRPr="00C86111" w:rsidRDefault="00C262FD" w:rsidP="00BC765B">
            <w:pPr>
              <w:pStyle w:val="Normal-pool-Table"/>
              <w:spacing w:before="0" w:after="0" w:line="276" w:lineRule="auto"/>
              <w:rPr>
                <w:rFonts w:asciiTheme="minorHAnsi" w:hAnsiTheme="minorHAnsi" w:cstheme="minorHAnsi"/>
                <w:sz w:val="20"/>
                <w:lang w:val="sr-Latn-ME"/>
              </w:rPr>
            </w:pPr>
            <w:r w:rsidRPr="00C86111">
              <w:rPr>
                <w:rFonts w:asciiTheme="minorHAnsi" w:hAnsiTheme="minorHAnsi" w:cstheme="minorHAnsi"/>
                <w:sz w:val="20"/>
                <w:lang w:val="sr-Latn-ME"/>
              </w:rPr>
              <w:t xml:space="preserve">CAS No. 71011-12-6;   </w:t>
            </w:r>
          </w:p>
          <w:p w14:paraId="1FC71654" w14:textId="77777777" w:rsidR="00C262FD" w:rsidRPr="00C86111" w:rsidRDefault="00C262FD" w:rsidP="00BC765B">
            <w:pPr>
              <w:pStyle w:val="Normal-pool-Table"/>
              <w:spacing w:before="0" w:after="0" w:line="276" w:lineRule="auto"/>
              <w:rPr>
                <w:rFonts w:asciiTheme="minorHAnsi" w:hAnsiTheme="minorHAnsi" w:cstheme="minorHAnsi"/>
                <w:sz w:val="20"/>
                <w:lang w:val="sr-Latn-ME"/>
              </w:rPr>
            </w:pPr>
            <w:r w:rsidRPr="00C86111">
              <w:rPr>
                <w:rFonts w:asciiTheme="minorHAnsi" w:hAnsiTheme="minorHAnsi" w:cstheme="minorHAnsi"/>
                <w:sz w:val="20"/>
                <w:lang w:val="sr-Latn-ME"/>
              </w:rPr>
              <w:t xml:space="preserve">CAS No. 85536-22-7;  </w:t>
            </w:r>
          </w:p>
          <w:p w14:paraId="33B0551B" w14:textId="77777777" w:rsidR="00C262FD" w:rsidRPr="00C86111" w:rsidRDefault="00C262FD" w:rsidP="00BC765B">
            <w:pPr>
              <w:pStyle w:val="Normal-pool-Table"/>
              <w:spacing w:before="0" w:after="0" w:line="276" w:lineRule="auto"/>
              <w:rPr>
                <w:rFonts w:asciiTheme="minorHAnsi" w:hAnsiTheme="minorHAnsi" w:cstheme="minorHAnsi"/>
                <w:sz w:val="20"/>
                <w:lang w:val="sr-Latn-ME"/>
              </w:rPr>
            </w:pPr>
            <w:r w:rsidRPr="00C86111">
              <w:rPr>
                <w:rFonts w:asciiTheme="minorHAnsi" w:hAnsiTheme="minorHAnsi" w:cstheme="minorHAnsi"/>
                <w:sz w:val="20"/>
                <w:lang w:val="sr-Latn-ME"/>
              </w:rPr>
              <w:t xml:space="preserve">CAS No. 85681-73-8;  </w:t>
            </w:r>
          </w:p>
        </w:tc>
        <w:tc>
          <w:tcPr>
            <w:tcW w:w="1385" w:type="dxa"/>
          </w:tcPr>
          <w:p w14:paraId="0EBDB651"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Proizvodnja</w:t>
            </w:r>
          </w:p>
          <w:p w14:paraId="1F07FC2C"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Upotreba</w:t>
            </w:r>
          </w:p>
        </w:tc>
        <w:tc>
          <w:tcPr>
            <w:tcW w:w="5040" w:type="dxa"/>
          </w:tcPr>
          <w:p w14:paraId="1061E70C"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Dozvoljeno za učesnike navedene u Registru</w:t>
            </w:r>
          </w:p>
          <w:p w14:paraId="16E980A4"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Aditivi u proizvodnji transmisionih kaiševa u industriji prirodnog i sintetičkog kaučuka</w:t>
            </w:r>
          </w:p>
          <w:p w14:paraId="16F8DFC8"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Rezervni djelovi gumenih transportnih traka u rudarskoj i šumarskoj industriji</w:t>
            </w:r>
          </w:p>
          <w:p w14:paraId="64ADCB14"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Industrija kože, posebno impregnacija kože</w:t>
            </w:r>
          </w:p>
          <w:p w14:paraId="7A54ACC8"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Aditivi za maziva, posebno za motore automobila, električne generatore i vjetroelektrane, kao i za bušenje u istraživanju nafte i gasa i rafinisanje nafte za proizvodnju dizel goriva</w:t>
            </w:r>
          </w:p>
          <w:p w14:paraId="1D7571CA"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Cijevi za sijalice za spoljašnju dekoraciju</w:t>
            </w:r>
          </w:p>
          <w:p w14:paraId="3D9B130C"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Boje za hidroizolaciju i otpornost na plamen</w:t>
            </w:r>
          </w:p>
          <w:p w14:paraId="013683D6"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Ljepkovi</w:t>
            </w:r>
          </w:p>
          <w:p w14:paraId="236C5F5E"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Obrada metala</w:t>
            </w:r>
          </w:p>
          <w:p w14:paraId="0F935C97" w14:textId="77777777" w:rsidR="00C262FD" w:rsidRPr="00C86111" w:rsidRDefault="00C262FD"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 Sekundarni plastifikatori u fleksibilnom polivinilhloridu, osim u igračkama i proizvodima za djecu</w:t>
            </w:r>
          </w:p>
        </w:tc>
      </w:tr>
    </w:tbl>
    <w:p w14:paraId="374FB7DB" w14:textId="77777777" w:rsidR="00201FE9" w:rsidRPr="00C86111" w:rsidRDefault="00201FE9" w:rsidP="00201FE9">
      <w:pPr>
        <w:spacing w:line="276" w:lineRule="auto"/>
        <w:rPr>
          <w:rFonts w:asciiTheme="minorHAnsi" w:hAnsiTheme="minorHAnsi" w:cstheme="minorHAnsi"/>
          <w:color w:val="auto"/>
          <w:szCs w:val="24"/>
          <w:lang w:val="sr-Latn-ME"/>
        </w:rPr>
      </w:pPr>
    </w:p>
    <w:p w14:paraId="084D16F7" w14:textId="77777777" w:rsidR="00201FE9" w:rsidRPr="00C86111" w:rsidRDefault="00201FE9" w:rsidP="00201FE9">
      <w:pPr>
        <w:spacing w:line="276" w:lineRule="auto"/>
        <w:jc w:val="both"/>
        <w:rPr>
          <w:rFonts w:asciiTheme="minorHAnsi" w:eastAsia="SimSun" w:hAnsiTheme="minorHAnsi" w:cstheme="minorHAnsi"/>
          <w:color w:val="auto"/>
          <w:szCs w:val="24"/>
          <w:lang w:val="sr-Latn-ME"/>
        </w:rPr>
      </w:pPr>
      <w:r w:rsidRPr="00C86111">
        <w:rPr>
          <w:rFonts w:asciiTheme="minorHAnsi" w:eastAsia="SimSun" w:hAnsiTheme="minorHAnsi" w:cstheme="minorHAnsi"/>
          <w:color w:val="auto"/>
          <w:szCs w:val="24"/>
          <w:lang w:val="sr-Latn-ME"/>
        </w:rPr>
        <w:t>Da bi se sprovele obaveze prema Stokholmskoj konvenciji, svaka strana mora da identifikuje i kvantifikuje izvore, zalihe i ispuštanja SCCP na svojoj teritoriji. Radi podrške ovome, Sekretarijat Bazelske, Roterdamske i Stokholmske konvencije razvio je „Smjernice za pripremu inventara kratkolančanih hlorisanih parafina (SCCP)“ iz 2021. godine. Ovaj dokument pruža metodologiju korak-po-korak za zemlje za razvoj nacionalnih inventara SCCP, uključujući identifikaciju ključnih sektora, potencijalnih upotreba, puteva ispuštanja i postojećih izvora podataka. Smjernice takođe opisuju strategije za prikupljanje novih podataka, procjenu emisija i procjenu zaliha u industrijskom i sektoru proizvoda široke potrošnje.</w:t>
      </w:r>
    </w:p>
    <w:p w14:paraId="1076C35F" w14:textId="77777777" w:rsidR="00201FE9" w:rsidRPr="00C86111" w:rsidRDefault="00201FE9" w:rsidP="00201FE9">
      <w:pPr>
        <w:spacing w:line="276" w:lineRule="auto"/>
        <w:jc w:val="both"/>
        <w:rPr>
          <w:rFonts w:asciiTheme="minorHAnsi" w:eastAsia="SimSun" w:hAnsiTheme="minorHAnsi" w:cstheme="minorHAnsi"/>
          <w:color w:val="auto"/>
          <w:szCs w:val="24"/>
          <w:lang w:val="sr-Latn-ME"/>
        </w:rPr>
      </w:pPr>
      <w:r w:rsidRPr="00C86111">
        <w:rPr>
          <w:rFonts w:asciiTheme="minorHAnsi" w:eastAsia="SimSun" w:hAnsiTheme="minorHAnsi" w:cstheme="minorHAnsi"/>
          <w:color w:val="auto"/>
          <w:szCs w:val="24"/>
          <w:lang w:val="sr-Latn-ME"/>
        </w:rPr>
        <w:t xml:space="preserve">Za uspostavljanje osnovnih vrijednosti, postavljanje prioriteta, dizajniranje strategija postepenog ukidanja i obezbjeđivanje usklađenosti sa Konvencijom neophodni su precizni inventari. Oni takođe pomažu u identifikaciji ranjivih populacija i ekosistema koji mogu biti izloženi većem riziku od izloženosti. Štaviše, inventari podržavaju razvoj nacionalnih planova implementacije (NIP), koji </w:t>
      </w:r>
      <w:r w:rsidRPr="00C86111">
        <w:rPr>
          <w:rFonts w:asciiTheme="minorHAnsi" w:eastAsia="SimSun" w:hAnsiTheme="minorHAnsi" w:cstheme="minorHAnsi"/>
          <w:color w:val="auto"/>
          <w:szCs w:val="24"/>
          <w:lang w:val="sr-Latn-ME"/>
        </w:rPr>
        <w:lastRenderedPageBreak/>
        <w:t>su potrebni prema članu 7 Stokholmske konvencije. Ovi planovi opisuju kako svaka strana namjerava da ispuni svoje obaveze, uključujući vremenske rokove za eliminisanje upotrebe SCCP, promociju upotrebe bezbjednijih alternativa i podizanje svijesti među zainteresovanim stranama.</w:t>
      </w:r>
    </w:p>
    <w:p w14:paraId="3731CB7C" w14:textId="77777777" w:rsidR="00201FE9" w:rsidRPr="00C86111" w:rsidRDefault="00201FE9" w:rsidP="00201FE9">
      <w:pPr>
        <w:spacing w:line="276" w:lineRule="auto"/>
        <w:jc w:val="both"/>
        <w:rPr>
          <w:rFonts w:asciiTheme="minorHAnsi" w:eastAsia="SimSun" w:hAnsiTheme="minorHAnsi" w:cstheme="minorHAnsi"/>
          <w:color w:val="auto"/>
          <w:szCs w:val="24"/>
          <w:lang w:val="sr-Latn-ME"/>
        </w:rPr>
      </w:pPr>
      <w:r w:rsidRPr="00C86111">
        <w:rPr>
          <w:rFonts w:asciiTheme="minorHAnsi" w:eastAsia="SimSun" w:hAnsiTheme="minorHAnsi" w:cstheme="minorHAnsi"/>
          <w:color w:val="auto"/>
          <w:szCs w:val="24"/>
          <w:lang w:val="sr-Latn-ME"/>
        </w:rPr>
        <w:t>Zaključuje se da su SCCP grupa široko upotrebljavanih industrijskih hemikalija sa značajnim uticajem na životnu sredinu i zdravlje. Njihovo uvrštavanje u Stokholmsku konvenciju predstavlja važan korak ka globalnoj akciji za eliminaciju štetnih postojanih zagađivača. Međutim, složena priroda SCCP, njihova široka istorijska upotreba i izazovi povezani sa njihovim praćenjem i zamjenom zahtijevaju koordinisane napore na nacionalnom i međunarodnom nivou.</w:t>
      </w:r>
    </w:p>
    <w:p w14:paraId="2C1663F6" w14:textId="77777777" w:rsidR="00201FE9" w:rsidRPr="00C86111" w:rsidRDefault="00201FE9" w:rsidP="00004F34">
      <w:pPr>
        <w:pStyle w:val="Heading1"/>
        <w:numPr>
          <w:ilvl w:val="1"/>
          <w:numId w:val="238"/>
        </w:numPr>
      </w:pPr>
      <w:bookmarkStart w:id="380" w:name="_Toc210744967"/>
      <w:bookmarkStart w:id="381" w:name="_Toc220541964"/>
      <w:bookmarkEnd w:id="371"/>
      <w:r w:rsidRPr="00C86111">
        <w:t>Proces inventarizacije</w:t>
      </w:r>
      <w:bookmarkEnd w:id="380"/>
      <w:bookmarkEnd w:id="381"/>
    </w:p>
    <w:p w14:paraId="720592B4" w14:textId="77777777" w:rsidR="00201FE9" w:rsidRPr="00C86111" w:rsidRDefault="00201FE9" w:rsidP="00201FE9">
      <w:pPr>
        <w:rPr>
          <w:rFonts w:asciiTheme="minorHAnsi" w:hAnsiTheme="minorHAnsi" w:cstheme="minorHAnsi"/>
          <w:color w:val="auto"/>
          <w:szCs w:val="24"/>
          <w:lang w:val="sr-Latn-ME"/>
        </w:rPr>
      </w:pPr>
    </w:p>
    <w:p w14:paraId="5ADA0863" w14:textId="77777777" w:rsidR="00201FE9" w:rsidRPr="00C86111" w:rsidRDefault="00201FE9" w:rsidP="00201FE9">
      <w:pPr>
        <w:spacing w:line="276" w:lineRule="auto"/>
        <w:jc w:val="both"/>
        <w:rPr>
          <w:rFonts w:asciiTheme="minorHAnsi" w:hAnsiTheme="minorHAnsi" w:cstheme="minorHAnsi"/>
          <w:color w:val="auto"/>
          <w:szCs w:val="24"/>
          <w:lang w:val="sr-Latn-ME"/>
        </w:rPr>
      </w:pPr>
      <w:bookmarkStart w:id="382" w:name="_Toc185402996"/>
      <w:r w:rsidRPr="00C86111">
        <w:rPr>
          <w:rFonts w:asciiTheme="minorHAnsi" w:hAnsiTheme="minorHAnsi" w:cstheme="minorHAnsi"/>
          <w:color w:val="auto"/>
          <w:szCs w:val="24"/>
          <w:lang w:val="sr-Latn-ME"/>
        </w:rPr>
        <w:t>Ključni cilj izrade inventara je prikupljanje neophodnih podataka koji će podržati donošenje osnovanih odluka u vezi sa upravljanjem SCCP/MCCP, kao i osiguranje poštovanja obaveza propisanih Stokholmskom konvencijom. Konkretnije, ciljevi inventara su sljedeći:</w:t>
      </w:r>
    </w:p>
    <w:p w14:paraId="7980A7AF"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(a) Uspostavljanje osnove za definisanje nacionalnih prioriteta u okviru Nacionalnog plana implementacije (NIP). To uključuje identifikovanje sektora kojima treba posvetiti prioritetnu pažnju u vezi sa inventarom SCCP/MCCP, određivanje vrsta aktivnosti potrebnih u ovim sektorima, procjenu potrebnih kapaciteta za implementaciju i određivanje prioritetnih izvora;</w:t>
      </w:r>
    </w:p>
    <w:p w14:paraId="57ADF017"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(b) Obezbjeđivanje osnove za procjenu da li su trenutne nacionalne prakse u proizvodnji, upotrebi, upravljanju hemikalijama i rukovanju otpadom u skladu sa Konvencijom i isticanje oblasti u kojima postoje praznine;</w:t>
      </w:r>
    </w:p>
    <w:p w14:paraId="46E08496"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(c) Utvrđivanje moguće potrebe za specifičnim izuzećima ili prihvatljivim svrhama u skladu sa odredbama Konvencije;</w:t>
      </w:r>
    </w:p>
    <w:p w14:paraId="2E4B4D5A"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(d) Identifikovanje glavnih zainteresovanih strana, kao što su predstavnici vladinih tijela, industrije, trgovine, upravljanja otpadom i nevladinih organizacija (NVO);</w:t>
      </w:r>
    </w:p>
    <w:p w14:paraId="19E34DE3"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(e) Identifikovanje oblasti u kojima je potrebna finansijska ili tehnička podrška kako bi se popunile praznine u informacijama u inventaru/ispunile obaveze po Konvenciji.</w:t>
      </w:r>
    </w:p>
    <w:p w14:paraId="402FCF49"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Obim informacija potrebnih za inventar obuhvata sljedeće:</w:t>
      </w:r>
    </w:p>
    <w:p w14:paraId="05300AD9"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(a) Proizvedene, uvezene i izvezene količine SCCP na nacionalnom nivou;</w:t>
      </w:r>
    </w:p>
    <w:p w14:paraId="1F1CECD1"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(b) Upotreba SCCP u zemlji;</w:t>
      </w:r>
    </w:p>
    <w:p w14:paraId="33B5DA6E"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(c) Prisustvo proizvoda/predmeta koji se sastoje od, sadrže ili su kontaminirani sa SCCP na tržištu i u upotrebi;</w:t>
      </w:r>
    </w:p>
    <w:p w14:paraId="628972E5"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(d) Uvoz proizvoda/predmeta koji se sastoje od, sadrže ili su kontaminirani sa SCCP u zemlju;</w:t>
      </w:r>
    </w:p>
    <w:p w14:paraId="4E09993A"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(e) Tokovi otpada od značaja koji se sastoji od, sadrže ili su kontaminirani SCCP-ima;</w:t>
      </w:r>
    </w:p>
    <w:p w14:paraId="61481E56"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(f) Prakse odlaganja POPs hemikalija, proizvoda/predmeta koji se sastoje od, sadrže ili su kontaminirani sa SCCP i srodnih supstanci kada postanu otpad;</w:t>
      </w:r>
    </w:p>
    <w:p w14:paraId="26C0A209"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(g) Zalihe SCCP;</w:t>
      </w:r>
    </w:p>
    <w:p w14:paraId="4714F01C"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(h) Ispuštanje SCCP u životnu sredinu iz tačkastih izvora;</w:t>
      </w:r>
    </w:p>
    <w:p w14:paraId="094C4EE6"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lastRenderedPageBreak/>
        <w:t>(i) Lokacije potencijalno kontaminirane sa SCCP;</w:t>
      </w:r>
    </w:p>
    <w:p w14:paraId="4F7B702C"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Inventar SCCP/MCCP je razvijen u skladu sa preporukama i metodologijom navedenim u „Guidance on preparing inventories of short-chain chlorinated paraffins (SCCPs“.</w:t>
      </w:r>
    </w:p>
    <w:p w14:paraId="6D24B2C1" w14:textId="77777777" w:rsidR="00201FE9" w:rsidRPr="00C86111" w:rsidRDefault="00201FE9" w:rsidP="00EA6904">
      <w:pPr>
        <w:pStyle w:val="Heading4"/>
      </w:pPr>
      <w:bookmarkStart w:id="383" w:name="_Toc210744968"/>
      <w:bookmarkEnd w:id="382"/>
      <w:r w:rsidRPr="00C86111">
        <w:t>Proces izrade inventara</w:t>
      </w:r>
      <w:bookmarkEnd w:id="383"/>
    </w:p>
    <w:p w14:paraId="46B59448" w14:textId="77777777" w:rsidR="00201FE9" w:rsidRPr="00C86111" w:rsidRDefault="00201FE9" w:rsidP="00201FE9">
      <w:pPr>
        <w:spacing w:line="276" w:lineRule="auto"/>
        <w:rPr>
          <w:rFonts w:asciiTheme="minorHAnsi" w:eastAsia="SimSun" w:hAnsiTheme="minorHAnsi" w:cstheme="minorHAnsi"/>
          <w:color w:val="auto"/>
          <w:szCs w:val="24"/>
          <w:lang w:val="sr-Latn-ME" w:eastAsia="nb-NO"/>
        </w:rPr>
      </w:pPr>
      <w:r w:rsidRPr="00C86111">
        <w:rPr>
          <w:rFonts w:asciiTheme="minorHAnsi" w:eastAsia="SimSun" w:hAnsiTheme="minorHAnsi" w:cstheme="minorHAnsi"/>
          <w:color w:val="auto"/>
          <w:szCs w:val="24"/>
          <w:lang w:val="sr-Latn-ME" w:eastAsia="nb-NO"/>
        </w:rPr>
        <w:t>Proces izrade inventara ukjljučivao je sljedeće korake:</w:t>
      </w:r>
    </w:p>
    <w:p w14:paraId="3F065B55" w14:textId="77777777" w:rsidR="00201FE9" w:rsidRPr="00C86111" w:rsidRDefault="00201FE9" w:rsidP="00201FE9">
      <w:pPr>
        <w:spacing w:line="276" w:lineRule="auto"/>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002060"/>
          <w:szCs w:val="24"/>
          <w:lang w:val="sr-Latn-ME" w:eastAsia="en-GB"/>
        </w:rPr>
        <w:t>Korak 1:</w:t>
      </w:r>
      <w:r w:rsidRPr="00C86111">
        <w:rPr>
          <w:rFonts w:asciiTheme="minorHAnsi" w:eastAsia="Times New Roman" w:hAnsiTheme="minorHAnsi" w:cstheme="minorHAnsi"/>
          <w:b/>
          <w:bCs/>
          <w:color w:val="002060"/>
          <w:szCs w:val="24"/>
          <w:lang w:val="sr-Latn-ME" w:eastAsia="en-GB"/>
        </w:rPr>
        <w:t xml:space="preserve"> </w:t>
      </w:r>
      <w:r w:rsidRPr="00C86111">
        <w:rPr>
          <w:rFonts w:asciiTheme="minorHAnsi" w:eastAsia="Times New Roman" w:hAnsiTheme="minorHAnsi" w:cstheme="minorHAnsi"/>
          <w:b/>
          <w:bCs/>
          <w:color w:val="auto"/>
          <w:szCs w:val="24"/>
          <w:lang w:val="sr-Latn-ME" w:eastAsia="en-GB"/>
        </w:rPr>
        <w:t>Pokretanje procesa razvoja inventara</w:t>
      </w:r>
    </w:p>
    <w:p w14:paraId="71EAA929" w14:textId="77777777" w:rsidR="00201FE9" w:rsidRPr="00C86111" w:rsidRDefault="00201FE9" w:rsidP="007E2AA5">
      <w:pPr>
        <w:pStyle w:val="ListParagraph"/>
        <w:numPr>
          <w:ilvl w:val="0"/>
          <w:numId w:val="23"/>
        </w:numPr>
        <w:snapToGrid w:val="0"/>
        <w:spacing w:line="276" w:lineRule="auto"/>
        <w:contextualSpacing w:val="0"/>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Osnivanje nacionalnog tima za inventar</w:t>
      </w:r>
    </w:p>
    <w:p w14:paraId="52688F91" w14:textId="77777777" w:rsidR="00201FE9" w:rsidRPr="00C86111" w:rsidRDefault="00201FE9" w:rsidP="007E2AA5">
      <w:pPr>
        <w:pStyle w:val="ListParagraph"/>
        <w:numPr>
          <w:ilvl w:val="0"/>
          <w:numId w:val="23"/>
        </w:numPr>
        <w:snapToGrid w:val="0"/>
        <w:spacing w:line="276" w:lineRule="auto"/>
        <w:contextualSpacing w:val="0"/>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Identifikacija relevantnih zainteresovanih strana</w:t>
      </w:r>
    </w:p>
    <w:p w14:paraId="10588951" w14:textId="77777777" w:rsidR="00201FE9" w:rsidRPr="00C86111" w:rsidRDefault="00201FE9" w:rsidP="007E2AA5">
      <w:pPr>
        <w:pStyle w:val="ListParagraph"/>
        <w:numPr>
          <w:ilvl w:val="0"/>
          <w:numId w:val="23"/>
        </w:numPr>
        <w:snapToGrid w:val="0"/>
        <w:spacing w:line="276" w:lineRule="auto"/>
        <w:contextualSpacing w:val="0"/>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Definisanje obima inventara</w:t>
      </w:r>
    </w:p>
    <w:p w14:paraId="2F98A186" w14:textId="77777777" w:rsidR="00201FE9" w:rsidRPr="00C86111" w:rsidRDefault="00201FE9" w:rsidP="007E2AA5">
      <w:pPr>
        <w:pStyle w:val="ListParagraph"/>
        <w:numPr>
          <w:ilvl w:val="0"/>
          <w:numId w:val="23"/>
        </w:numPr>
        <w:snapToGrid w:val="0"/>
        <w:spacing w:line="276" w:lineRule="auto"/>
        <w:contextualSpacing w:val="0"/>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Priprema plana rada</w:t>
      </w:r>
    </w:p>
    <w:p w14:paraId="0D7954E5" w14:textId="77777777" w:rsidR="00201FE9" w:rsidRPr="00C86111" w:rsidRDefault="00201FE9" w:rsidP="007E2AA5">
      <w:pPr>
        <w:pStyle w:val="ListParagraph"/>
        <w:numPr>
          <w:ilvl w:val="0"/>
          <w:numId w:val="23"/>
        </w:numPr>
        <w:snapToGrid w:val="0"/>
        <w:spacing w:line="276" w:lineRule="auto"/>
        <w:contextualSpacing w:val="0"/>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Komunikacija sa zainteresovanim stranama</w:t>
      </w:r>
    </w:p>
    <w:p w14:paraId="02BA860C" w14:textId="77777777" w:rsidR="00201FE9" w:rsidRPr="00C86111" w:rsidRDefault="00201FE9" w:rsidP="00201FE9">
      <w:pPr>
        <w:spacing w:line="276" w:lineRule="auto"/>
        <w:rPr>
          <w:rFonts w:asciiTheme="minorHAnsi" w:eastAsia="Times New Roman" w:hAnsiTheme="minorHAnsi" w:cstheme="minorHAnsi"/>
          <w:b/>
          <w:bCs/>
          <w:color w:val="auto"/>
          <w:szCs w:val="24"/>
          <w:lang w:val="sr-Latn-ME"/>
        </w:rPr>
      </w:pPr>
      <w:r w:rsidRPr="00C86111">
        <w:rPr>
          <w:rFonts w:asciiTheme="minorHAnsi" w:eastAsia="Times New Roman" w:hAnsiTheme="minorHAnsi" w:cstheme="minorHAnsi"/>
          <w:color w:val="002060"/>
          <w:szCs w:val="24"/>
          <w:lang w:val="sr-Latn-ME"/>
        </w:rPr>
        <w:t>Korak 2:</w:t>
      </w:r>
      <w:r w:rsidRPr="00C86111">
        <w:rPr>
          <w:rFonts w:asciiTheme="minorHAnsi" w:eastAsia="Times New Roman" w:hAnsiTheme="minorHAnsi" w:cstheme="minorHAnsi"/>
          <w:b/>
          <w:bCs/>
          <w:color w:val="002060"/>
          <w:szCs w:val="24"/>
          <w:lang w:val="sr-Latn-ME"/>
        </w:rPr>
        <w:t xml:space="preserve"> </w:t>
      </w:r>
      <w:r w:rsidRPr="00C86111">
        <w:rPr>
          <w:rFonts w:asciiTheme="minorHAnsi" w:eastAsia="Times New Roman" w:hAnsiTheme="minorHAnsi" w:cstheme="minorHAnsi"/>
          <w:b/>
          <w:bCs/>
          <w:color w:val="auto"/>
          <w:szCs w:val="24"/>
          <w:lang w:val="sr-Latn-ME"/>
        </w:rPr>
        <w:t>Odabir metodologije prikupljanja podataka</w:t>
      </w:r>
    </w:p>
    <w:p w14:paraId="48B53E52" w14:textId="77777777" w:rsidR="00201FE9" w:rsidRPr="00C86111" w:rsidRDefault="00201FE9" w:rsidP="00201FE9">
      <w:pPr>
        <w:spacing w:line="276" w:lineRule="auto"/>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002060"/>
          <w:szCs w:val="24"/>
          <w:lang w:val="sr-Latn-ME"/>
        </w:rPr>
        <w:t>Korak 3:</w:t>
      </w:r>
      <w:r w:rsidRPr="00C86111">
        <w:rPr>
          <w:rFonts w:asciiTheme="minorHAnsi" w:eastAsia="Times New Roman" w:hAnsiTheme="minorHAnsi" w:cstheme="minorHAnsi"/>
          <w:b/>
          <w:bCs/>
          <w:color w:val="002060"/>
          <w:szCs w:val="24"/>
          <w:lang w:val="sr-Latn-ME"/>
        </w:rPr>
        <w:t xml:space="preserve"> </w:t>
      </w:r>
      <w:r w:rsidRPr="00C86111">
        <w:rPr>
          <w:rFonts w:asciiTheme="minorHAnsi" w:eastAsia="Times New Roman" w:hAnsiTheme="minorHAnsi" w:cstheme="minorHAnsi"/>
          <w:b/>
          <w:bCs/>
          <w:color w:val="auto"/>
          <w:szCs w:val="24"/>
          <w:lang w:val="sr-Latn-ME"/>
        </w:rPr>
        <w:t>Prikupljanje podataka</w:t>
      </w:r>
    </w:p>
    <w:p w14:paraId="6C249FF6" w14:textId="77777777" w:rsidR="00201FE9" w:rsidRPr="00C86111" w:rsidRDefault="00201FE9" w:rsidP="007E2AA5">
      <w:pPr>
        <w:pStyle w:val="ListParagraph"/>
        <w:numPr>
          <w:ilvl w:val="0"/>
          <w:numId w:val="21"/>
        </w:numPr>
        <w:snapToGrid w:val="0"/>
        <w:spacing w:line="276" w:lineRule="auto"/>
        <w:ind w:left="426"/>
        <w:contextualSpacing w:val="0"/>
        <w:rPr>
          <w:rFonts w:asciiTheme="minorHAnsi" w:eastAsia="SimSun" w:hAnsiTheme="minorHAnsi" w:cstheme="minorHAnsi"/>
          <w:color w:val="auto"/>
          <w:szCs w:val="24"/>
          <w:lang w:val="sr-Latn-ME" w:eastAsia="nb-NO"/>
        </w:rPr>
      </w:pPr>
      <w:r w:rsidRPr="00C86111">
        <w:rPr>
          <w:rFonts w:asciiTheme="minorHAnsi" w:eastAsia="SimSun" w:hAnsiTheme="minorHAnsi" w:cstheme="minorHAnsi"/>
          <w:color w:val="auto"/>
          <w:szCs w:val="24"/>
          <w:lang w:val="sr-Latn-ME" w:eastAsia="nb-NO"/>
        </w:rPr>
        <w:t>Tier 1: Inicijalna procjena</w:t>
      </w:r>
    </w:p>
    <w:p w14:paraId="54199ED8" w14:textId="77777777" w:rsidR="00201FE9" w:rsidRPr="00C86111" w:rsidRDefault="00201FE9" w:rsidP="007E2AA5">
      <w:pPr>
        <w:pStyle w:val="ListParagraph"/>
        <w:numPr>
          <w:ilvl w:val="0"/>
          <w:numId w:val="21"/>
        </w:numPr>
        <w:snapToGrid w:val="0"/>
        <w:spacing w:line="276" w:lineRule="auto"/>
        <w:ind w:left="426"/>
        <w:contextualSpacing w:val="0"/>
        <w:rPr>
          <w:rFonts w:asciiTheme="minorHAnsi" w:eastAsia="SimSun" w:hAnsiTheme="minorHAnsi" w:cstheme="minorHAnsi"/>
          <w:color w:val="auto"/>
          <w:szCs w:val="24"/>
          <w:lang w:val="sr-Latn-ME" w:eastAsia="nb-NO"/>
        </w:rPr>
      </w:pPr>
      <w:r w:rsidRPr="00C86111">
        <w:rPr>
          <w:rFonts w:asciiTheme="minorHAnsi" w:eastAsia="SimSun" w:hAnsiTheme="minorHAnsi" w:cstheme="minorHAnsi"/>
          <w:color w:val="auto"/>
          <w:szCs w:val="24"/>
          <w:lang w:val="sr-Latn-ME" w:eastAsia="nb-NO"/>
        </w:rPr>
        <w:t>Tier II: Gavni inventar</w:t>
      </w:r>
    </w:p>
    <w:p w14:paraId="75EFB5AF" w14:textId="77777777" w:rsidR="00201FE9" w:rsidRPr="00C86111" w:rsidRDefault="00201FE9" w:rsidP="007E2AA5">
      <w:pPr>
        <w:pStyle w:val="ListParagraph"/>
        <w:numPr>
          <w:ilvl w:val="0"/>
          <w:numId w:val="21"/>
        </w:numPr>
        <w:snapToGrid w:val="0"/>
        <w:spacing w:line="276" w:lineRule="auto"/>
        <w:ind w:left="426"/>
        <w:contextualSpacing w:val="0"/>
        <w:rPr>
          <w:rFonts w:asciiTheme="minorHAnsi" w:eastAsia="SimSun" w:hAnsiTheme="minorHAnsi" w:cstheme="minorHAnsi"/>
          <w:color w:val="auto"/>
          <w:szCs w:val="24"/>
          <w:lang w:val="sr-Latn-ME" w:eastAsia="nb-NO"/>
        </w:rPr>
      </w:pPr>
      <w:r w:rsidRPr="00C86111">
        <w:rPr>
          <w:rFonts w:asciiTheme="minorHAnsi" w:eastAsia="SimSun" w:hAnsiTheme="minorHAnsi" w:cstheme="minorHAnsi"/>
          <w:color w:val="auto"/>
          <w:szCs w:val="24"/>
          <w:lang w:val="sr-Latn-ME" w:eastAsia="nb-NO"/>
        </w:rPr>
        <w:t>Tier III: Detaljan inventor</w:t>
      </w:r>
    </w:p>
    <w:p w14:paraId="0819E606" w14:textId="77777777" w:rsidR="00201FE9" w:rsidRPr="00C86111" w:rsidRDefault="00201FE9" w:rsidP="00201FE9">
      <w:pPr>
        <w:spacing w:line="276" w:lineRule="auto"/>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002060"/>
          <w:szCs w:val="24"/>
          <w:lang w:val="sr-Latn-ME"/>
        </w:rPr>
        <w:t>Korak 4:</w:t>
      </w:r>
      <w:r w:rsidRPr="00C86111">
        <w:rPr>
          <w:rFonts w:asciiTheme="minorHAnsi" w:eastAsia="Times New Roman" w:hAnsiTheme="minorHAnsi" w:cstheme="minorHAnsi"/>
          <w:b/>
          <w:bCs/>
          <w:color w:val="002060"/>
          <w:szCs w:val="24"/>
          <w:lang w:val="sr-Latn-ME"/>
        </w:rPr>
        <w:t xml:space="preserve"> </w:t>
      </w:r>
      <w:r w:rsidRPr="00C86111">
        <w:rPr>
          <w:rFonts w:asciiTheme="minorHAnsi" w:eastAsia="Times New Roman" w:hAnsiTheme="minorHAnsi" w:cstheme="minorHAnsi"/>
          <w:b/>
          <w:bCs/>
          <w:color w:val="auto"/>
          <w:szCs w:val="24"/>
          <w:lang w:val="sr-Latn-ME"/>
        </w:rPr>
        <w:t>Upravljanje i evaluacija podataka</w:t>
      </w:r>
    </w:p>
    <w:p w14:paraId="649A39F0" w14:textId="77777777" w:rsidR="00201FE9" w:rsidRPr="00C86111" w:rsidRDefault="00201FE9" w:rsidP="00201FE9">
      <w:pPr>
        <w:spacing w:line="276" w:lineRule="auto"/>
        <w:rPr>
          <w:rFonts w:asciiTheme="minorHAnsi" w:eastAsia="Times New Roman" w:hAnsiTheme="minorHAnsi" w:cstheme="minorHAnsi"/>
          <w:b/>
          <w:bCs/>
          <w:color w:val="auto"/>
          <w:szCs w:val="24"/>
          <w:lang w:val="sr-Latn-ME"/>
        </w:rPr>
      </w:pPr>
      <w:r w:rsidRPr="00C86111">
        <w:rPr>
          <w:rFonts w:asciiTheme="minorHAnsi" w:eastAsia="Times New Roman" w:hAnsiTheme="minorHAnsi" w:cstheme="minorHAnsi"/>
          <w:color w:val="002060"/>
          <w:szCs w:val="24"/>
          <w:lang w:val="sr-Latn-ME"/>
        </w:rPr>
        <w:t>Korak 5:</w:t>
      </w:r>
      <w:r w:rsidRPr="00C86111">
        <w:rPr>
          <w:rFonts w:asciiTheme="minorHAnsi" w:eastAsia="Times New Roman" w:hAnsiTheme="minorHAnsi" w:cstheme="minorHAnsi"/>
          <w:b/>
          <w:bCs/>
          <w:color w:val="002060"/>
          <w:szCs w:val="24"/>
          <w:lang w:val="sr-Latn-ME"/>
        </w:rPr>
        <w:t xml:space="preserve"> </w:t>
      </w:r>
      <w:r w:rsidRPr="00C86111">
        <w:rPr>
          <w:rFonts w:asciiTheme="minorHAnsi" w:eastAsia="Times New Roman" w:hAnsiTheme="minorHAnsi" w:cstheme="minorHAnsi"/>
          <w:b/>
          <w:bCs/>
          <w:color w:val="auto"/>
          <w:szCs w:val="24"/>
          <w:lang w:val="sr-Latn-ME"/>
        </w:rPr>
        <w:t>Priprema izvještaja</w:t>
      </w:r>
    </w:p>
    <w:p w14:paraId="705FB35B" w14:textId="36C7171C" w:rsidR="00201FE9" w:rsidRPr="00C86111" w:rsidRDefault="00201FE9" w:rsidP="00EA6904">
      <w:pPr>
        <w:pStyle w:val="Heading4"/>
        <w:rPr>
          <w:rStyle w:val="Strong"/>
          <w:b w:val="0"/>
          <w:bCs/>
        </w:rPr>
      </w:pPr>
      <w:bookmarkStart w:id="384" w:name="_Toc210744969"/>
      <w:r w:rsidRPr="00C86111">
        <w:rPr>
          <w:rStyle w:val="Strong"/>
          <w:b w:val="0"/>
        </w:rPr>
        <w:t>Planiranje inventara</w:t>
      </w:r>
      <w:bookmarkEnd w:id="384"/>
      <w:r w:rsidRPr="00C86111">
        <w:rPr>
          <w:rStyle w:val="Strong"/>
        </w:rPr>
        <w:t xml:space="preserve"> </w:t>
      </w:r>
    </w:p>
    <w:p w14:paraId="22708CE4" w14:textId="77777777" w:rsidR="00201FE9" w:rsidRPr="00C86111" w:rsidRDefault="00201FE9" w:rsidP="00201FE9">
      <w:pPr>
        <w:pStyle w:val="NormalWeb"/>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Nakon osnivanja tima za inventar SCCP/MCCP, pripremljen je sveobuhvatni plan za sprovođenje nacionalnog inventara, koji je jasno definisao njegov ukupni obim. U ovoj fazi, sazvani su sastanci sa relevantnim institucijama i organizacijama kako bi se definisale odgovarajuće uloge i odgovornosti članova tima i spoljnih zainteresovanih strana. Tokom ovih konsultacija, formalno su usvojene metodologija i radne procedure koje će se primenjivati tokom celog procesa inventara.</w:t>
      </w:r>
    </w:p>
    <w:p w14:paraId="092B6D37" w14:textId="77777777" w:rsidR="00201FE9" w:rsidRPr="00C86111" w:rsidRDefault="00201FE9" w:rsidP="00EA6904">
      <w:pPr>
        <w:pStyle w:val="Heading4"/>
      </w:pPr>
      <w:bookmarkStart w:id="385" w:name="_Toc210744970"/>
      <w:r w:rsidRPr="00C86111">
        <w:t>Izbor sektora</w:t>
      </w:r>
      <w:bookmarkEnd w:id="385"/>
      <w:r w:rsidRPr="00C86111">
        <w:t xml:space="preserve"> </w:t>
      </w:r>
    </w:p>
    <w:p w14:paraId="21B2CBF5" w14:textId="77777777" w:rsidR="00201FE9" w:rsidRPr="00C86111" w:rsidRDefault="00201FE9" w:rsidP="00201FE9">
      <w:pPr>
        <w:spacing w:line="276" w:lineRule="auto"/>
        <w:jc w:val="both"/>
        <w:rPr>
          <w:rFonts w:asciiTheme="minorHAnsi" w:eastAsia="Calibri" w:hAnsiTheme="minorHAnsi" w:cstheme="minorHAnsi"/>
          <w:color w:val="auto"/>
          <w:szCs w:val="24"/>
          <w:u w:color="000000"/>
          <w:bdr w:val="nil"/>
          <w:lang w:val="sr-Latn-ME"/>
        </w:rPr>
      </w:pPr>
      <w:r w:rsidRPr="00C86111">
        <w:rPr>
          <w:rFonts w:asciiTheme="minorHAnsi" w:eastAsia="Calibri" w:hAnsiTheme="minorHAnsi" w:cstheme="minorHAnsi"/>
          <w:color w:val="auto"/>
          <w:szCs w:val="24"/>
          <w:u w:color="000000"/>
          <w:bdr w:val="nil"/>
          <w:lang w:val="sr-Latn-ME"/>
        </w:rPr>
        <w:t>Tim za inventar je sproveo analizu sektora i procesa u kojima se prisustvo SCCP/MCCP smatralo najverovatnijim. Na osnovu rezultata ove procjene, identifikovani su prioritetni sektori za uključivanje u okvir inventara. Izbor sektora je vođen činjenicom da Crna Gora nema značajnu industrijsku bazu koja koristi SCCP/MCCP u proizvodnim procesima kao što su PVC, guma, koža, boje, ljepkovi, maziva ili tekstil. Stoga su tržište proizvoda široke potrošnje i sektor upravljanja otpadom identifikovani kao prioritetna područja za inventar.</w:t>
      </w:r>
    </w:p>
    <w:p w14:paraId="594CC833" w14:textId="77777777" w:rsidR="00201FE9" w:rsidRPr="00C86111" w:rsidRDefault="00201FE9" w:rsidP="00EA6904">
      <w:pPr>
        <w:pStyle w:val="Heading4"/>
      </w:pPr>
      <w:bookmarkStart w:id="386" w:name="_Toc210744971"/>
      <w:r w:rsidRPr="00C86111">
        <w:lastRenderedPageBreak/>
        <w:t>Prikupljanje i izvori podataka</w:t>
      </w:r>
      <w:bookmarkEnd w:id="386"/>
    </w:p>
    <w:p w14:paraId="02260AD5" w14:textId="77777777" w:rsidR="00201FE9" w:rsidRPr="00C86111" w:rsidRDefault="00201FE9" w:rsidP="00201FE9">
      <w:pPr>
        <w:pStyle w:val="Text"/>
        <w:spacing w:after="0" w:line="276" w:lineRule="auto"/>
        <w:jc w:val="both"/>
        <w:rPr>
          <w:rFonts w:asciiTheme="minorHAnsi" w:hAnsiTheme="minorHAnsi" w:cstheme="minorHAnsi"/>
          <w:color w:val="auto"/>
          <w:kern w:val="0"/>
          <w:sz w:val="24"/>
          <w:szCs w:val="24"/>
          <w:lang w:val="sr-Latn-ME"/>
        </w:rPr>
      </w:pPr>
      <w:r w:rsidRPr="00C86111">
        <w:rPr>
          <w:rFonts w:asciiTheme="minorHAnsi" w:hAnsiTheme="minorHAnsi" w:cstheme="minorHAnsi"/>
          <w:color w:val="auto"/>
          <w:kern w:val="0"/>
          <w:sz w:val="24"/>
          <w:szCs w:val="24"/>
          <w:lang w:val="sr-Latn-ME"/>
        </w:rPr>
        <w:t>Prikupljanje podataka oslanjalo se na kombinaciju komplementarnih metoda, uključujući direktne intervjue sa relevantnim zainteresovanim stranama, telefonske konsultacije, razmjenu informacija putem e-pošte, distribuciju upitnika, korišćenje nacionalnih statističkih podataka, pregled informacija sa zvaničnih web stranica javnih institucija i posjete lokacijama sa intervjuima. Ključne institucije koje su pružale podatke bile su Ministarstvo ekologije, održivog razvoja i razvoja sjevera, Uprava carina Crne Gore i Zavod za statistiku Crne Gore (MONSTAT).</w:t>
      </w:r>
    </w:p>
    <w:p w14:paraId="5447EC8B" w14:textId="77777777" w:rsidR="00201FE9" w:rsidRPr="00C86111" w:rsidRDefault="00201FE9" w:rsidP="00EA6904">
      <w:pPr>
        <w:pStyle w:val="Heading4"/>
      </w:pPr>
      <w:bookmarkStart w:id="387" w:name="_Toc210744972"/>
      <w:r w:rsidRPr="00C86111">
        <w:t>Proračun količina SCCP/MCCP</w:t>
      </w:r>
      <w:bookmarkEnd w:id="387"/>
    </w:p>
    <w:p w14:paraId="51B82590" w14:textId="77777777" w:rsidR="00201FE9" w:rsidRPr="00C86111" w:rsidRDefault="00201FE9" w:rsidP="00201FE9">
      <w:pPr>
        <w:snapToGrid w:val="0"/>
        <w:spacing w:line="276" w:lineRule="auto"/>
        <w:jc w:val="both"/>
        <w:rPr>
          <w:rFonts w:asciiTheme="minorHAnsi" w:eastAsia="SimSun" w:hAnsiTheme="minorHAnsi" w:cstheme="minorHAnsi"/>
          <w:color w:val="auto"/>
          <w:szCs w:val="24"/>
          <w:lang w:val="sr-Latn-ME" w:eastAsia="nb-NO"/>
        </w:rPr>
      </w:pPr>
      <w:r w:rsidRPr="00C86111">
        <w:rPr>
          <w:rFonts w:asciiTheme="minorHAnsi" w:eastAsia="Times New Roman" w:hAnsiTheme="minorHAnsi" w:cstheme="minorHAnsi"/>
          <w:color w:val="auto"/>
          <w:szCs w:val="24"/>
          <w:lang w:val="sr-Latn-ME"/>
        </w:rPr>
        <w:t xml:space="preserve">Izračunavanje SCCP/MCCP u proizvodima široke potrošnje i otpadu sprovedeno je u skladu sa smernicama datim u </w:t>
      </w:r>
      <w:r w:rsidRPr="00C86111">
        <w:rPr>
          <w:rFonts w:asciiTheme="minorHAnsi" w:eastAsia="SimSun" w:hAnsiTheme="minorHAnsi" w:cstheme="minorHAnsi"/>
          <w:color w:val="auto"/>
          <w:szCs w:val="24"/>
          <w:lang w:val="sr-Latn-ME" w:eastAsia="nb-NO"/>
        </w:rPr>
        <w:t xml:space="preserve">“Guidance on preparing inventories of short-chain chlorinated paraffins (SCCPs) </w:t>
      </w:r>
      <w:r w:rsidRPr="00C86111">
        <w:rPr>
          <w:rFonts w:asciiTheme="minorHAnsi" w:eastAsia="SimSun" w:hAnsiTheme="minorHAnsi" w:cstheme="minorHAnsi"/>
          <w:color w:val="002060"/>
          <w:szCs w:val="24"/>
          <w:lang w:val="sr-Latn-ME" w:eastAsia="nb-NO"/>
        </w:rPr>
        <w:t>(1)</w:t>
      </w:r>
      <w:r w:rsidRPr="00C86111">
        <w:rPr>
          <w:rFonts w:asciiTheme="minorHAnsi" w:eastAsia="SimSun" w:hAnsiTheme="minorHAnsi" w:cstheme="minorHAnsi"/>
          <w:color w:val="auto"/>
          <w:szCs w:val="24"/>
          <w:lang w:val="sr-Latn-ME" w:eastAsia="nb-NO"/>
        </w:rPr>
        <w:t>”.</w:t>
      </w:r>
    </w:p>
    <w:p w14:paraId="2085E72C" w14:textId="77777777" w:rsidR="00201FE9" w:rsidRPr="00C86111" w:rsidRDefault="00201FE9" w:rsidP="00201FE9">
      <w:pPr>
        <w:spacing w:line="276" w:lineRule="auto"/>
        <w:rPr>
          <w:rFonts w:asciiTheme="minorHAnsi" w:eastAsia="Calibri" w:hAnsiTheme="minorHAnsi" w:cstheme="minorHAnsi"/>
          <w:color w:val="auto"/>
          <w:szCs w:val="24"/>
          <w:u w:color="000000"/>
          <w:bdr w:val="nil"/>
          <w:lang w:val="sr-Latn-ME"/>
        </w:rPr>
      </w:pPr>
      <w:r w:rsidRPr="00C86111">
        <w:rPr>
          <w:rFonts w:asciiTheme="minorHAnsi" w:eastAsia="Calibri" w:hAnsiTheme="minorHAnsi" w:cstheme="minorHAnsi"/>
          <w:color w:val="auto"/>
          <w:szCs w:val="24"/>
          <w:u w:color="000000"/>
          <w:bdr w:val="nil"/>
          <w:lang w:val="sr-Latn-ME"/>
        </w:rPr>
        <w:t>Ukupne količine SCCP i MCCP u proizvodima izvedene su množenjem količina proizvoda sa faktorima koncentracije.</w:t>
      </w:r>
    </w:p>
    <w:p w14:paraId="4C023F00" w14:textId="77777777" w:rsidR="00201FE9" w:rsidRPr="00C86111" w:rsidRDefault="00201FE9" w:rsidP="00201FE9">
      <w:pPr>
        <w:spacing w:line="276" w:lineRule="auto"/>
        <w:rPr>
          <w:rFonts w:asciiTheme="minorHAnsi" w:eastAsia="SimSun" w:hAnsiTheme="minorHAnsi" w:cstheme="minorHAnsi"/>
          <w:color w:val="auto"/>
          <w:szCs w:val="24"/>
          <w:lang w:val="sr-Latn-ME" w:eastAsia="nb-NO"/>
        </w:rPr>
      </w:pPr>
    </w:p>
    <w:p w14:paraId="0D37CFCD" w14:textId="77777777" w:rsidR="00201FE9" w:rsidRPr="00C86111" w:rsidRDefault="00201FE9" w:rsidP="00201FE9">
      <w:pPr>
        <w:pStyle w:val="Default"/>
        <w:spacing w:line="276" w:lineRule="auto"/>
        <w:rPr>
          <w:rFonts w:asciiTheme="minorHAnsi" w:hAnsiTheme="minorHAnsi" w:cstheme="minorHAnsi"/>
          <w:b/>
          <w:bCs/>
          <w:color w:val="auto"/>
          <w:lang w:val="sr-Latn-ME"/>
        </w:rPr>
      </w:pPr>
      <w:r w:rsidRPr="00C86111">
        <w:rPr>
          <w:rFonts w:asciiTheme="minorHAnsi" w:hAnsiTheme="minorHAnsi" w:cstheme="minorHAnsi"/>
          <w:b/>
          <w:bCs/>
          <w:color w:val="auto"/>
          <w:lang w:val="sr-Latn-ME"/>
        </w:rPr>
        <w:t>TQSCCPs/TQMCCPs = TQ proizvoda x CSCCPs/CMCCPs</w:t>
      </w:r>
    </w:p>
    <w:p w14:paraId="70023305" w14:textId="77777777" w:rsidR="00201FE9" w:rsidRPr="00C86111" w:rsidRDefault="00201FE9" w:rsidP="00201FE9">
      <w:pPr>
        <w:pStyle w:val="Default"/>
        <w:spacing w:line="276" w:lineRule="auto"/>
        <w:rPr>
          <w:rFonts w:asciiTheme="minorHAnsi" w:hAnsiTheme="minorHAnsi" w:cstheme="minorHAnsi"/>
          <w:color w:val="auto"/>
          <w:lang w:val="sr-Latn-ME"/>
        </w:rPr>
      </w:pPr>
      <w:r w:rsidRPr="00C86111">
        <w:rPr>
          <w:rFonts w:asciiTheme="minorHAnsi" w:hAnsiTheme="minorHAnsi" w:cstheme="minorHAnsi"/>
          <w:b/>
          <w:bCs/>
          <w:color w:val="auto"/>
          <w:lang w:val="sr-Latn-ME"/>
        </w:rPr>
        <w:t>TQSCCPs</w:t>
      </w:r>
      <w:r w:rsidRPr="00C86111">
        <w:rPr>
          <w:rFonts w:asciiTheme="minorHAnsi" w:hAnsiTheme="minorHAnsi" w:cstheme="minorHAnsi"/>
          <w:color w:val="auto"/>
          <w:lang w:val="sr-Latn-ME"/>
        </w:rPr>
        <w:t xml:space="preserve"> = Ukupna količina SCCPs/MCCPs proizvodima godišnje ili za period</w:t>
      </w:r>
    </w:p>
    <w:p w14:paraId="1F6C271A" w14:textId="77777777" w:rsidR="00201FE9" w:rsidRPr="00C86111" w:rsidRDefault="00201FE9" w:rsidP="00201FE9">
      <w:pPr>
        <w:pStyle w:val="Default"/>
        <w:spacing w:line="276" w:lineRule="auto"/>
        <w:rPr>
          <w:rFonts w:asciiTheme="minorHAnsi" w:hAnsiTheme="minorHAnsi" w:cstheme="minorHAnsi"/>
          <w:color w:val="auto"/>
          <w:lang w:val="sr-Latn-ME"/>
        </w:rPr>
      </w:pPr>
      <w:r w:rsidRPr="00C86111">
        <w:rPr>
          <w:rFonts w:asciiTheme="minorHAnsi" w:hAnsiTheme="minorHAnsi" w:cstheme="minorHAnsi"/>
          <w:b/>
          <w:bCs/>
          <w:color w:val="auto"/>
          <w:lang w:val="sr-Latn-ME"/>
        </w:rPr>
        <w:t>TQproizvoda</w:t>
      </w:r>
      <w:r w:rsidRPr="00C86111">
        <w:rPr>
          <w:rFonts w:asciiTheme="minorHAnsi" w:hAnsiTheme="minorHAnsi" w:cstheme="minorHAnsi"/>
          <w:color w:val="auto"/>
          <w:lang w:val="sr-Latn-ME"/>
        </w:rPr>
        <w:t xml:space="preserve">= Ukupna količina odgovarajućeg proizvoda koji sadrži SCCP/MCCP (npr. PVC, guma, boje, lijepak koji sadrže SCCP) </w:t>
      </w:r>
    </w:p>
    <w:p w14:paraId="1324D3A9" w14:textId="77777777" w:rsidR="00201FE9" w:rsidRPr="00C86111" w:rsidRDefault="00201FE9" w:rsidP="00201FE9">
      <w:pPr>
        <w:spacing w:line="276" w:lineRule="auto"/>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CSCCPs/CMCCPs</w:t>
      </w:r>
      <w:r w:rsidRPr="00C86111">
        <w:rPr>
          <w:rFonts w:asciiTheme="minorHAnsi" w:hAnsiTheme="minorHAnsi" w:cstheme="minorHAnsi"/>
          <w:color w:val="auto"/>
          <w:szCs w:val="24"/>
          <w:lang w:val="sr-Latn-ME"/>
        </w:rPr>
        <w:t xml:space="preserve"> = SCCPs/MCCPs koncentracija ili % SCCPs/MCCPs u odgovarajućem proizvodu</w:t>
      </w:r>
    </w:p>
    <w:p w14:paraId="06D8AB40"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Ova metodologija je primenjena na proizvode široke potrošnje (PVC, guma, ljepkovi), plastiku od elektronske i električne opreme i vozila.</w:t>
      </w:r>
    </w:p>
    <w:p w14:paraId="109188D8" w14:textId="77777777" w:rsidR="00201FE9" w:rsidRPr="00C86111" w:rsidRDefault="00201FE9" w:rsidP="00004F34">
      <w:pPr>
        <w:pStyle w:val="Heading1"/>
        <w:numPr>
          <w:ilvl w:val="1"/>
          <w:numId w:val="238"/>
        </w:numPr>
      </w:pPr>
      <w:bookmarkStart w:id="388" w:name="_Toc210744973"/>
      <w:bookmarkStart w:id="389" w:name="_Toc220541965"/>
      <w:r w:rsidRPr="00C86111">
        <w:t>Rezultati inventara SCCP i MCCP</w:t>
      </w:r>
      <w:bookmarkEnd w:id="372"/>
      <w:r w:rsidRPr="00C86111">
        <w:t xml:space="preserve"> u proizvodima sa tržišta</w:t>
      </w:r>
      <w:bookmarkEnd w:id="388"/>
      <w:bookmarkEnd w:id="389"/>
    </w:p>
    <w:p w14:paraId="3A3B8ABB" w14:textId="77777777" w:rsidR="00201FE9" w:rsidRPr="00C86111" w:rsidRDefault="00201FE9" w:rsidP="00201FE9">
      <w:pPr>
        <w:rPr>
          <w:rFonts w:asciiTheme="minorHAnsi" w:hAnsiTheme="minorHAnsi" w:cstheme="minorHAnsi"/>
          <w:i/>
          <w:iCs/>
          <w:color w:val="002060"/>
          <w:szCs w:val="24"/>
          <w:lang w:val="sr-Latn-ME"/>
        </w:rPr>
      </w:pPr>
    </w:p>
    <w:p w14:paraId="1945ED9F" w14:textId="77777777"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Inventar SCCP/MCCP je izrađen za proizvode sa tržišta, sa fokusom na glavne industrijske sektore gdje se njihova upotreba smatra najverovatnijom, kao što su:</w:t>
      </w:r>
    </w:p>
    <w:p w14:paraId="2AB99D64" w14:textId="77777777" w:rsidR="00201FE9" w:rsidRPr="00C86111" w:rsidRDefault="00201FE9" w:rsidP="007E2AA5">
      <w:pPr>
        <w:pStyle w:val="ListParagraph"/>
        <w:numPr>
          <w:ilvl w:val="0"/>
          <w:numId w:val="24"/>
        </w:numPr>
        <w:snapToGrid w:val="0"/>
        <w:spacing w:line="276" w:lineRule="auto"/>
        <w:contextualSpacing w:val="0"/>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PVC proizvodi</w:t>
      </w:r>
    </w:p>
    <w:p w14:paraId="2DD7DABF" w14:textId="77777777" w:rsidR="00201FE9" w:rsidRPr="00C86111" w:rsidRDefault="00201FE9" w:rsidP="007E2AA5">
      <w:pPr>
        <w:pStyle w:val="ListParagraph"/>
        <w:numPr>
          <w:ilvl w:val="0"/>
          <w:numId w:val="24"/>
        </w:numPr>
        <w:snapToGrid w:val="0"/>
        <w:spacing w:line="276" w:lineRule="auto"/>
        <w:contextualSpacing w:val="0"/>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Guma i proizvodi od gume</w:t>
      </w:r>
    </w:p>
    <w:p w14:paraId="4CEFADEC" w14:textId="77777777" w:rsidR="00201FE9" w:rsidRPr="00C86111" w:rsidRDefault="00201FE9" w:rsidP="007E2AA5">
      <w:pPr>
        <w:pStyle w:val="ListParagraph"/>
        <w:numPr>
          <w:ilvl w:val="0"/>
          <w:numId w:val="24"/>
        </w:numPr>
        <w:snapToGrid w:val="0"/>
        <w:spacing w:line="276" w:lineRule="auto"/>
        <w:contextualSpacing w:val="0"/>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Ljepkovi i zaptivači</w:t>
      </w:r>
    </w:p>
    <w:p w14:paraId="21F01D17" w14:textId="77777777"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Inventar je izrađen za proizvode porijeklom iz Kine, uzimajući u obzir da Kina, zajedno sa Indijom, predstavlja najvećeg svjetskog proizvođača hlorisanih parafina (CP).</w:t>
      </w:r>
    </w:p>
    <w:p w14:paraId="1398B37B" w14:textId="17F1477C"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Na osnovu podataka koje je dostavila Uprava carina Crne Gore, kreiran je inventar prisustva SCCP i MCCP u PVC, gumenim i PUR pjenama uvezenim iz Kine. Uprava carina je pružila podatke o </w:t>
      </w:r>
      <w:r w:rsidRPr="00C86111">
        <w:rPr>
          <w:rFonts w:asciiTheme="minorHAnsi" w:eastAsia="Times New Roman" w:hAnsiTheme="minorHAnsi" w:cstheme="minorHAnsi"/>
          <w:color w:val="auto"/>
          <w:szCs w:val="24"/>
          <w:lang w:val="sr-Latn-ME"/>
        </w:rPr>
        <w:lastRenderedPageBreak/>
        <w:t xml:space="preserve">uvozu ovih proizvoda po tarifnim oznakama za period 2017-2023. Tabela </w:t>
      </w:r>
      <w:r w:rsidR="004A37AE" w:rsidRPr="00C86111">
        <w:rPr>
          <w:rFonts w:asciiTheme="minorHAnsi" w:eastAsia="Times New Roman" w:hAnsiTheme="minorHAnsi" w:cstheme="minorHAnsi"/>
          <w:color w:val="auto"/>
          <w:szCs w:val="24"/>
          <w:lang w:val="sr-Latn-ME"/>
        </w:rPr>
        <w:t>100.</w:t>
      </w:r>
      <w:r w:rsidRPr="00C86111">
        <w:rPr>
          <w:rFonts w:asciiTheme="minorHAnsi" w:eastAsia="Times New Roman" w:hAnsiTheme="minorHAnsi" w:cstheme="minorHAnsi"/>
          <w:color w:val="auto"/>
          <w:szCs w:val="24"/>
          <w:lang w:val="sr-Latn-ME"/>
        </w:rPr>
        <w:t xml:space="preserve"> prikazuje listu inventarisanih proizvoda na tržištu i njihove HS oznake.</w:t>
      </w:r>
    </w:p>
    <w:p w14:paraId="642A2B08" w14:textId="77777777"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Faktori koncentracije koji se koriste za izračunavanje količina SCPP/MCPP dati su u međunarodnim studijama sa odgovarajućim prosječnim koncentracijama ili frakcijama SCCP i MCCP.</w:t>
      </w:r>
    </w:p>
    <w:p w14:paraId="62C97A54" w14:textId="60319CAA" w:rsidR="00201FE9" w:rsidRPr="00C86111" w:rsidRDefault="00201FE9" w:rsidP="00201FE9">
      <w:pPr>
        <w:pStyle w:val="Caption"/>
        <w:keepNext/>
        <w:rPr>
          <w:rFonts w:cstheme="minorHAnsi"/>
          <w:sz w:val="24"/>
          <w:szCs w:val="24"/>
        </w:rPr>
      </w:pPr>
      <w:bookmarkStart w:id="390" w:name="_Toc210743911"/>
      <w:r w:rsidRPr="00C86111">
        <w:rPr>
          <w:rFonts w:cstheme="minorHAnsi"/>
          <w:bCs/>
          <w:sz w:val="24"/>
          <w:szCs w:val="24"/>
        </w:rPr>
        <w:t xml:space="preserve">Tabela </w:t>
      </w:r>
      <w:r w:rsidR="004A37AE" w:rsidRPr="00C86111">
        <w:rPr>
          <w:rFonts w:cstheme="minorHAnsi"/>
          <w:sz w:val="24"/>
          <w:szCs w:val="24"/>
        </w:rPr>
        <w:t>100</w:t>
      </w:r>
      <w:r w:rsidRPr="00C86111">
        <w:rPr>
          <w:rFonts w:cstheme="minorHAnsi"/>
          <w:bCs/>
          <w:sz w:val="24"/>
          <w:szCs w:val="24"/>
        </w:rPr>
        <w:t>.</w:t>
      </w:r>
      <w:r w:rsidRPr="00C86111">
        <w:rPr>
          <w:rFonts w:cstheme="minorHAnsi"/>
          <w:sz w:val="24"/>
          <w:szCs w:val="24"/>
        </w:rPr>
        <w:t xml:space="preserve"> </w:t>
      </w:r>
      <w:r w:rsidRPr="00C86111">
        <w:rPr>
          <w:rFonts w:cstheme="minorHAnsi"/>
          <w:b w:val="0"/>
          <w:bCs/>
          <w:sz w:val="24"/>
          <w:szCs w:val="24"/>
        </w:rPr>
        <w:t>Proizvodi uvezeni iz Kine i njihovi HS kodovi</w:t>
      </w:r>
      <w:bookmarkEnd w:id="390"/>
    </w:p>
    <w:tbl>
      <w:tblPr>
        <w:tblStyle w:val="GridTable5Dark-Accent6"/>
        <w:tblW w:w="9026" w:type="dxa"/>
        <w:tblLook w:val="04A0" w:firstRow="1" w:lastRow="0" w:firstColumn="1" w:lastColumn="0" w:noHBand="0" w:noVBand="1"/>
      </w:tblPr>
      <w:tblGrid>
        <w:gridCol w:w="1230"/>
        <w:gridCol w:w="7796"/>
      </w:tblGrid>
      <w:tr w:rsidR="00201FE9" w:rsidRPr="00C86111" w14:paraId="0378B4A0"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66E678"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0" w:type="auto"/>
          </w:tcPr>
          <w:p w14:paraId="14A47066"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Klasifikacija</w:t>
            </w:r>
          </w:p>
        </w:tc>
      </w:tr>
      <w:tr w:rsidR="00201FE9" w:rsidRPr="00C86111" w14:paraId="0E2117DA"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48B6211C"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PVC</w:t>
            </w:r>
          </w:p>
        </w:tc>
      </w:tr>
      <w:tr w:rsidR="00201FE9" w:rsidRPr="00C86111" w14:paraId="0A5BC8CF"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269CB028"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3904220000</w:t>
            </w:r>
          </w:p>
        </w:tc>
        <w:tc>
          <w:tcPr>
            <w:tcW w:w="0" w:type="auto"/>
            <w:hideMark/>
          </w:tcPr>
          <w:p w14:paraId="641EBD94"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Polimeri vinil hlorida, drugi halogenovani olefinski polimeri; plastificirani poli(vinil hlorid), u primarnim oblicima</w:t>
            </w:r>
          </w:p>
        </w:tc>
      </w:tr>
      <w:tr w:rsidR="00201FE9" w:rsidRPr="00C86111" w14:paraId="28FAF81F"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337234"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3918101000</w:t>
            </w:r>
          </w:p>
        </w:tc>
        <w:tc>
          <w:tcPr>
            <w:tcW w:w="0" w:type="auto"/>
            <w:hideMark/>
          </w:tcPr>
          <w:p w14:paraId="16B14043" w14:textId="77777777" w:rsidR="00201FE9" w:rsidRPr="00C86111" w:rsidRDefault="00201FE9"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Impregnirani supstrati, presvučeni ili prekriveni poli(vinil hloridom)</w:t>
            </w:r>
          </w:p>
        </w:tc>
      </w:tr>
      <w:tr w:rsidR="00201FE9" w:rsidRPr="00C86111" w14:paraId="3DFAA946"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3F0D966D"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3920431000</w:t>
            </w:r>
          </w:p>
        </w:tc>
        <w:tc>
          <w:tcPr>
            <w:tcW w:w="0" w:type="auto"/>
            <w:hideMark/>
          </w:tcPr>
          <w:p w14:paraId="0750B349"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Plastika: polimeri vinil hlorida, koji sadrže najmanje 6% plastifikatora po masi; ploče, listovi, filmovi, folije i trake (nesamoljepljive), nećelijske i neojačane, nelaminirane, nepodržane ili na sličan način kombinovane sa drugim materijalima, debljine ne veće od 1 mm</w:t>
            </w:r>
          </w:p>
        </w:tc>
      </w:tr>
      <w:tr w:rsidR="00201FE9" w:rsidRPr="00C86111" w14:paraId="79FB95EA"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3CAD48"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3920439000</w:t>
            </w:r>
          </w:p>
        </w:tc>
        <w:tc>
          <w:tcPr>
            <w:tcW w:w="0" w:type="auto"/>
            <w:hideMark/>
          </w:tcPr>
          <w:p w14:paraId="36D08E9B" w14:textId="77777777" w:rsidR="00201FE9" w:rsidRPr="00C86111" w:rsidRDefault="00201FE9"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Isto kao gore, ali debljine veće od 1 mm</w:t>
            </w:r>
          </w:p>
        </w:tc>
      </w:tr>
      <w:tr w:rsidR="00201FE9" w:rsidRPr="00C86111" w14:paraId="5FDAA798"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43B32865"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3920491000</w:t>
            </w:r>
          </w:p>
        </w:tc>
        <w:tc>
          <w:tcPr>
            <w:tcW w:w="0" w:type="auto"/>
            <w:hideMark/>
          </w:tcPr>
          <w:p w14:paraId="4B21843B"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Plastika: polimeri vinil hlorida, koji sadrže manje od 6% plastifikatora po masi; ploče, listovi, filmovi, folije i trake (nesamoljepljive), nećelijske i neojačane, nelaminirane, nepodržane ili na sličan način kombinovane sa drugim materijalima, debljine ne veće od 1 mm</w:t>
            </w:r>
          </w:p>
        </w:tc>
      </w:tr>
      <w:tr w:rsidR="00201FE9" w:rsidRPr="00C86111" w14:paraId="6D80DC40"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5C5C17"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3920499000</w:t>
            </w:r>
          </w:p>
        </w:tc>
        <w:tc>
          <w:tcPr>
            <w:tcW w:w="0" w:type="auto"/>
            <w:hideMark/>
          </w:tcPr>
          <w:p w14:paraId="0C45D173" w14:textId="77777777" w:rsidR="00201FE9" w:rsidRPr="00C86111" w:rsidRDefault="00201FE9"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Isto kao gore, ali debljine veće od 1 mm</w:t>
            </w:r>
          </w:p>
        </w:tc>
      </w:tr>
      <w:tr w:rsidR="00201FE9" w:rsidRPr="00C86111" w14:paraId="3B5D109D"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038E7B4A"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3921120000</w:t>
            </w:r>
          </w:p>
        </w:tc>
        <w:tc>
          <w:tcPr>
            <w:tcW w:w="0" w:type="auto"/>
            <w:hideMark/>
          </w:tcPr>
          <w:p w14:paraId="0C1C7910"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Plastika: ploče, listovi, filmovi, folije i trake od ćelijastog poli(vinil hlorida)</w:t>
            </w:r>
          </w:p>
        </w:tc>
      </w:tr>
      <w:tr w:rsidR="00201FE9" w:rsidRPr="00C86111" w14:paraId="1B2E3997"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7C531A8B"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Guma</w:t>
            </w:r>
          </w:p>
        </w:tc>
      </w:tr>
      <w:tr w:rsidR="00201FE9" w:rsidRPr="00C86111" w14:paraId="6DAEA19C"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57640955"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4008</w:t>
            </w:r>
          </w:p>
        </w:tc>
        <w:tc>
          <w:tcPr>
            <w:tcW w:w="0" w:type="auto"/>
            <w:hideMark/>
          </w:tcPr>
          <w:p w14:paraId="33C6D38D"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Ploče, listovi, trake, šipke i profili od vulkanizovane gume, osim tvrde gume</w:t>
            </w:r>
          </w:p>
        </w:tc>
      </w:tr>
      <w:tr w:rsidR="00201FE9" w:rsidRPr="00C86111" w14:paraId="289904B3"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7AD242"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4009</w:t>
            </w:r>
          </w:p>
        </w:tc>
        <w:tc>
          <w:tcPr>
            <w:tcW w:w="0" w:type="auto"/>
            <w:hideMark/>
          </w:tcPr>
          <w:p w14:paraId="05E12019" w14:textId="77777777" w:rsidR="00201FE9" w:rsidRPr="00C86111" w:rsidRDefault="00201FE9"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Cijevi, crijeva i crijeva od vulkanizovane gume (osim tvrde gume), sa ili bez spojnica (npr. zglobovi, koljena, prirubnice)</w:t>
            </w:r>
          </w:p>
        </w:tc>
      </w:tr>
      <w:tr w:rsidR="00201FE9" w:rsidRPr="00C86111" w14:paraId="55615AE1"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1156018D"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4010</w:t>
            </w:r>
          </w:p>
        </w:tc>
        <w:tc>
          <w:tcPr>
            <w:tcW w:w="0" w:type="auto"/>
            <w:hideMark/>
          </w:tcPr>
          <w:p w14:paraId="2B862C61"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Transportne ili pogonske trake od vulkanizovane gume</w:t>
            </w:r>
          </w:p>
        </w:tc>
      </w:tr>
      <w:tr w:rsidR="00201FE9" w:rsidRPr="00C86111" w14:paraId="28262BA3"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E85B2F"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4015</w:t>
            </w:r>
          </w:p>
        </w:tc>
        <w:tc>
          <w:tcPr>
            <w:tcW w:w="0" w:type="auto"/>
            <w:hideMark/>
          </w:tcPr>
          <w:p w14:paraId="76FECDB2" w14:textId="77777777" w:rsidR="00201FE9" w:rsidRPr="00C86111" w:rsidRDefault="00201FE9"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Odjevni predmeti i dodaci za odjeću (uključujući rukavice, rukavice za jedrenje i sl.), za sve namjene, od vulkanizovane gume osim tvrde</w:t>
            </w:r>
          </w:p>
        </w:tc>
      </w:tr>
      <w:tr w:rsidR="00201FE9" w:rsidRPr="00C86111" w14:paraId="086F888E"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5B64DD5C"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4016</w:t>
            </w:r>
          </w:p>
        </w:tc>
        <w:tc>
          <w:tcPr>
            <w:tcW w:w="0" w:type="auto"/>
            <w:hideMark/>
          </w:tcPr>
          <w:p w14:paraId="478D07C2"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Proizvodi od vulkanizovane gume, osim tvrde gume</w:t>
            </w:r>
          </w:p>
        </w:tc>
      </w:tr>
      <w:tr w:rsidR="00201FE9" w:rsidRPr="00C86111" w14:paraId="6E222B52"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39D6525A"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Adhezivne PUR pjene</w:t>
            </w:r>
          </w:p>
        </w:tc>
      </w:tr>
      <w:tr w:rsidR="00201FE9" w:rsidRPr="00C86111" w14:paraId="3E20C337"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2FE4E6D2"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3506919000</w:t>
            </w:r>
          </w:p>
        </w:tc>
        <w:tc>
          <w:tcPr>
            <w:tcW w:w="0" w:type="auto"/>
            <w:hideMark/>
          </w:tcPr>
          <w:p w14:paraId="7B77CDD8"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Gotovi ljepkovi: na bazi polimera iz tarifnih brojeva 3901 do 3913 ili na bazi gume</w:t>
            </w:r>
          </w:p>
        </w:tc>
      </w:tr>
      <w:tr w:rsidR="00201FE9" w:rsidRPr="00C86111" w14:paraId="603F1E62"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EDF69E"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3506990000</w:t>
            </w:r>
          </w:p>
        </w:tc>
        <w:tc>
          <w:tcPr>
            <w:tcW w:w="0" w:type="auto"/>
            <w:hideMark/>
          </w:tcPr>
          <w:p w14:paraId="091AB284" w14:textId="77777777" w:rsidR="00201FE9" w:rsidRPr="00C86111" w:rsidRDefault="00201FE9" w:rsidP="00BC765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Ljepkovi i drugi gotovi adhezivi; pakovani u neto količini do 1 kg</w:t>
            </w:r>
          </w:p>
        </w:tc>
      </w:tr>
      <w:tr w:rsidR="00201FE9" w:rsidRPr="00C86111" w14:paraId="584B73C3"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707D8AC9" w14:textId="77777777" w:rsidR="00201FE9" w:rsidRPr="00C86111" w:rsidRDefault="00201FE9" w:rsidP="00BC765B">
            <w:pPr>
              <w:spacing w:line="276" w:lineRule="auto"/>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3506100000</w:t>
            </w:r>
          </w:p>
        </w:tc>
        <w:tc>
          <w:tcPr>
            <w:tcW w:w="0" w:type="auto"/>
            <w:hideMark/>
          </w:tcPr>
          <w:p w14:paraId="1B424485" w14:textId="77777777" w:rsidR="00201FE9" w:rsidRPr="00C86111" w:rsidRDefault="00201FE9" w:rsidP="00BC765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Gotovi ljepkovi: proizvodi pripremljeni za korišćenje kao ljepkovi, za maloprodaju, neto težine do 1 kg</w:t>
            </w:r>
          </w:p>
        </w:tc>
      </w:tr>
    </w:tbl>
    <w:p w14:paraId="4C3AD1AC" w14:textId="77777777" w:rsidR="00201FE9" w:rsidRPr="00C86111" w:rsidRDefault="00201FE9" w:rsidP="00EA6904">
      <w:pPr>
        <w:pStyle w:val="Heading4"/>
      </w:pPr>
      <w:bookmarkStart w:id="391" w:name="_Toc210744974"/>
      <w:r w:rsidRPr="00C86111">
        <w:t>Guma</w:t>
      </w:r>
      <w:bookmarkEnd w:id="391"/>
    </w:p>
    <w:p w14:paraId="68DE0083" w14:textId="19FF1578" w:rsidR="00201FE9" w:rsidRPr="00C86111" w:rsidRDefault="00201FE9" w:rsidP="00201FE9">
      <w:pPr>
        <w:spacing w:line="276" w:lineRule="auto"/>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Tabela </w:t>
      </w:r>
      <w:r w:rsidR="004A37AE" w:rsidRPr="00C86111">
        <w:rPr>
          <w:rFonts w:asciiTheme="minorHAnsi" w:eastAsia="Times New Roman" w:hAnsiTheme="minorHAnsi" w:cstheme="minorHAnsi"/>
          <w:color w:val="auto"/>
          <w:szCs w:val="24"/>
          <w:lang w:val="sr-Latn-ME"/>
        </w:rPr>
        <w:t>101.</w:t>
      </w:r>
      <w:r w:rsidRPr="00C86111">
        <w:rPr>
          <w:rFonts w:asciiTheme="minorHAnsi" w:eastAsia="Times New Roman" w:hAnsiTheme="minorHAnsi" w:cstheme="minorHAnsi"/>
          <w:color w:val="auto"/>
          <w:szCs w:val="24"/>
          <w:lang w:val="sr-Latn-ME"/>
        </w:rPr>
        <w:t xml:space="preserve"> i Grafik </w:t>
      </w:r>
      <w:r w:rsidR="004A37AE" w:rsidRPr="00C86111">
        <w:rPr>
          <w:rFonts w:asciiTheme="minorHAnsi" w:eastAsia="Times New Roman" w:hAnsiTheme="minorHAnsi" w:cstheme="minorHAnsi"/>
          <w:color w:val="auto"/>
          <w:szCs w:val="24"/>
          <w:lang w:val="sr-Latn-ME"/>
        </w:rPr>
        <w:t>3</w:t>
      </w:r>
      <w:r w:rsidR="00547278">
        <w:rPr>
          <w:rFonts w:asciiTheme="minorHAnsi" w:eastAsia="Times New Roman" w:hAnsiTheme="minorHAnsi" w:cstheme="minorHAnsi"/>
          <w:color w:val="auto"/>
          <w:szCs w:val="24"/>
          <w:lang w:val="sr-Latn-ME"/>
        </w:rPr>
        <w:t>6</w:t>
      </w:r>
      <w:r w:rsidRPr="00C86111">
        <w:rPr>
          <w:rFonts w:asciiTheme="minorHAnsi" w:eastAsia="Times New Roman" w:hAnsiTheme="minorHAnsi" w:cstheme="minorHAnsi"/>
          <w:color w:val="auto"/>
          <w:szCs w:val="24"/>
          <w:lang w:val="sr-Latn-ME"/>
        </w:rPr>
        <w:t xml:space="preserve"> prikazuju pregled količina uvezenih gumenih proizvoda sa HS kodom 4008 iz Kine za period 2017-2023, kao i izračunate količine SCCP i MCCP.</w:t>
      </w:r>
    </w:p>
    <w:p w14:paraId="4E80DB31" w14:textId="77777777" w:rsidR="004A37AE" w:rsidRDefault="004A37AE" w:rsidP="00201FE9">
      <w:pPr>
        <w:spacing w:line="276" w:lineRule="auto"/>
        <w:jc w:val="center"/>
        <w:rPr>
          <w:rFonts w:asciiTheme="minorHAnsi" w:eastAsia="Times New Roman" w:hAnsiTheme="minorHAnsi" w:cstheme="minorHAnsi"/>
          <w:color w:val="auto"/>
          <w:szCs w:val="24"/>
          <w:lang w:val="sr-Latn-ME"/>
        </w:rPr>
      </w:pPr>
    </w:p>
    <w:p w14:paraId="6192CB82" w14:textId="77777777" w:rsidR="002E5AB7" w:rsidRPr="00C86111" w:rsidRDefault="002E5AB7" w:rsidP="00201FE9">
      <w:pPr>
        <w:spacing w:line="276" w:lineRule="auto"/>
        <w:jc w:val="center"/>
        <w:rPr>
          <w:rFonts w:asciiTheme="minorHAnsi" w:eastAsia="Times New Roman" w:hAnsiTheme="minorHAnsi" w:cstheme="minorHAnsi"/>
          <w:color w:val="auto"/>
          <w:szCs w:val="24"/>
          <w:lang w:val="sr-Latn-ME"/>
        </w:rPr>
      </w:pPr>
    </w:p>
    <w:p w14:paraId="08960D4E" w14:textId="19D4FD40" w:rsidR="00201FE9" w:rsidRPr="00C86111" w:rsidRDefault="00201FE9" w:rsidP="00201FE9">
      <w:pPr>
        <w:pStyle w:val="Caption"/>
        <w:keepNext/>
        <w:rPr>
          <w:rFonts w:cstheme="minorHAnsi"/>
          <w:b w:val="0"/>
          <w:bCs/>
          <w:sz w:val="24"/>
          <w:szCs w:val="24"/>
        </w:rPr>
      </w:pPr>
      <w:bookmarkStart w:id="392" w:name="_Toc210743912"/>
      <w:r w:rsidRPr="00C86111">
        <w:rPr>
          <w:rFonts w:cstheme="minorHAnsi"/>
          <w:bCs/>
          <w:sz w:val="24"/>
          <w:szCs w:val="24"/>
        </w:rPr>
        <w:lastRenderedPageBreak/>
        <w:t xml:space="preserve">Tabela </w:t>
      </w:r>
      <w:r w:rsidR="004A37AE" w:rsidRPr="0042690B">
        <w:rPr>
          <w:rFonts w:cstheme="minorHAnsi"/>
          <w:sz w:val="24"/>
          <w:szCs w:val="24"/>
        </w:rPr>
        <w:t>101</w:t>
      </w:r>
      <w:r w:rsidRPr="0042690B">
        <w:rPr>
          <w:rFonts w:cstheme="minorHAnsi"/>
          <w:sz w:val="24"/>
          <w:szCs w:val="24"/>
        </w:rPr>
        <w:t>.</w:t>
      </w:r>
      <w:r w:rsidRPr="00C86111">
        <w:rPr>
          <w:rFonts w:cstheme="minorHAnsi"/>
          <w:sz w:val="24"/>
          <w:szCs w:val="24"/>
        </w:rPr>
        <w:t xml:space="preserve"> </w:t>
      </w:r>
      <w:r w:rsidRPr="00C86111">
        <w:rPr>
          <w:rFonts w:cstheme="minorHAnsi"/>
          <w:b w:val="0"/>
          <w:bCs/>
          <w:sz w:val="24"/>
          <w:szCs w:val="24"/>
        </w:rPr>
        <w:t>Količine uvezenih gumenih proizvoda sa HS kodom 4008 za period 2017-2023 i procijenjene količine SCCP i MCCP</w:t>
      </w:r>
      <w:bookmarkEnd w:id="392"/>
    </w:p>
    <w:tbl>
      <w:tblPr>
        <w:tblStyle w:val="GridTable5Dark-Accent6"/>
        <w:tblW w:w="9016" w:type="dxa"/>
        <w:tblLook w:val="04A0" w:firstRow="1" w:lastRow="0" w:firstColumn="1" w:lastColumn="0" w:noHBand="0" w:noVBand="1"/>
      </w:tblPr>
      <w:tblGrid>
        <w:gridCol w:w="967"/>
        <w:gridCol w:w="964"/>
        <w:gridCol w:w="1238"/>
        <w:gridCol w:w="1620"/>
        <w:gridCol w:w="1252"/>
        <w:gridCol w:w="1679"/>
        <w:gridCol w:w="1296"/>
      </w:tblGrid>
      <w:tr w:rsidR="00201FE9" w:rsidRPr="00C86111" w14:paraId="14C0EEB8" w14:textId="77777777" w:rsidTr="00C262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7" w:type="dxa"/>
          </w:tcPr>
          <w:p w14:paraId="48403EF6"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964" w:type="dxa"/>
            <w:hideMark/>
          </w:tcPr>
          <w:p w14:paraId="63BC3EB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238" w:type="dxa"/>
            <w:hideMark/>
          </w:tcPr>
          <w:p w14:paraId="47BE6957"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620" w:type="dxa"/>
          </w:tcPr>
          <w:p w14:paraId="6EDC024C"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095119B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252" w:type="dxa"/>
          </w:tcPr>
          <w:p w14:paraId="07536D5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679" w:type="dxa"/>
          </w:tcPr>
          <w:p w14:paraId="2696C53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0118158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296" w:type="dxa"/>
          </w:tcPr>
          <w:p w14:paraId="13FE103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6C73A60B" w14:textId="77777777" w:rsidTr="00C26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7" w:type="dxa"/>
            <w:vMerge w:val="restart"/>
          </w:tcPr>
          <w:p w14:paraId="4892B490"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4008</w:t>
            </w:r>
          </w:p>
        </w:tc>
        <w:tc>
          <w:tcPr>
            <w:tcW w:w="964" w:type="dxa"/>
          </w:tcPr>
          <w:p w14:paraId="3F25E4D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2017</w:t>
            </w:r>
          </w:p>
        </w:tc>
        <w:tc>
          <w:tcPr>
            <w:tcW w:w="1238" w:type="dxa"/>
          </w:tcPr>
          <w:p w14:paraId="2BC9239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212</w:t>
            </w:r>
          </w:p>
        </w:tc>
        <w:tc>
          <w:tcPr>
            <w:tcW w:w="1620" w:type="dxa"/>
          </w:tcPr>
          <w:p w14:paraId="5E67FC2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16.2</w:t>
            </w:r>
          </w:p>
        </w:tc>
        <w:tc>
          <w:tcPr>
            <w:tcW w:w="1252" w:type="dxa"/>
          </w:tcPr>
          <w:p w14:paraId="56412DE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3.4</w:t>
            </w:r>
          </w:p>
        </w:tc>
        <w:tc>
          <w:tcPr>
            <w:tcW w:w="1679" w:type="dxa"/>
          </w:tcPr>
          <w:p w14:paraId="1D8AA03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60.9</w:t>
            </w:r>
          </w:p>
        </w:tc>
        <w:tc>
          <w:tcPr>
            <w:tcW w:w="1296" w:type="dxa"/>
          </w:tcPr>
          <w:p w14:paraId="6A30C7F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13</w:t>
            </w:r>
          </w:p>
        </w:tc>
      </w:tr>
      <w:tr w:rsidR="00201FE9" w:rsidRPr="00C86111" w14:paraId="3333732B" w14:textId="77777777" w:rsidTr="00C262FD">
        <w:tc>
          <w:tcPr>
            <w:cnfStyle w:val="001000000000" w:firstRow="0" w:lastRow="0" w:firstColumn="1" w:lastColumn="0" w:oddVBand="0" w:evenVBand="0" w:oddHBand="0" w:evenHBand="0" w:firstRowFirstColumn="0" w:firstRowLastColumn="0" w:lastRowFirstColumn="0" w:lastRowLastColumn="0"/>
            <w:tcW w:w="967" w:type="dxa"/>
            <w:vMerge/>
          </w:tcPr>
          <w:p w14:paraId="2BB5DC00"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64" w:type="dxa"/>
          </w:tcPr>
          <w:p w14:paraId="7AC5A3F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2018</w:t>
            </w:r>
          </w:p>
        </w:tc>
        <w:tc>
          <w:tcPr>
            <w:tcW w:w="1238" w:type="dxa"/>
          </w:tcPr>
          <w:p w14:paraId="0B30553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1613</w:t>
            </w:r>
          </w:p>
        </w:tc>
        <w:tc>
          <w:tcPr>
            <w:tcW w:w="1620" w:type="dxa"/>
          </w:tcPr>
          <w:p w14:paraId="5842A74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16.2</w:t>
            </w:r>
          </w:p>
        </w:tc>
        <w:tc>
          <w:tcPr>
            <w:tcW w:w="1252" w:type="dxa"/>
          </w:tcPr>
          <w:p w14:paraId="101734E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26</w:t>
            </w:r>
          </w:p>
        </w:tc>
        <w:tc>
          <w:tcPr>
            <w:tcW w:w="1679" w:type="dxa"/>
          </w:tcPr>
          <w:p w14:paraId="6554E53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60.9</w:t>
            </w:r>
          </w:p>
        </w:tc>
        <w:tc>
          <w:tcPr>
            <w:tcW w:w="1296" w:type="dxa"/>
          </w:tcPr>
          <w:p w14:paraId="04EA7FB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98</w:t>
            </w:r>
          </w:p>
        </w:tc>
      </w:tr>
      <w:tr w:rsidR="00201FE9" w:rsidRPr="00C86111" w14:paraId="5C9F0BB0" w14:textId="77777777" w:rsidTr="00C26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7" w:type="dxa"/>
            <w:vMerge/>
          </w:tcPr>
          <w:p w14:paraId="57D5F59D"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64" w:type="dxa"/>
          </w:tcPr>
          <w:p w14:paraId="463C5C5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2019</w:t>
            </w:r>
          </w:p>
        </w:tc>
        <w:tc>
          <w:tcPr>
            <w:tcW w:w="1238" w:type="dxa"/>
          </w:tcPr>
          <w:p w14:paraId="14AEE99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1084</w:t>
            </w:r>
          </w:p>
        </w:tc>
        <w:tc>
          <w:tcPr>
            <w:tcW w:w="1620" w:type="dxa"/>
          </w:tcPr>
          <w:p w14:paraId="154529D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16.2</w:t>
            </w:r>
          </w:p>
        </w:tc>
        <w:tc>
          <w:tcPr>
            <w:tcW w:w="1252" w:type="dxa"/>
          </w:tcPr>
          <w:p w14:paraId="1962F5F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w:t>
            </w:r>
          </w:p>
        </w:tc>
        <w:tc>
          <w:tcPr>
            <w:tcW w:w="1679" w:type="dxa"/>
          </w:tcPr>
          <w:p w14:paraId="0483154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60.9</w:t>
            </w:r>
          </w:p>
        </w:tc>
        <w:tc>
          <w:tcPr>
            <w:tcW w:w="1296" w:type="dxa"/>
          </w:tcPr>
          <w:p w14:paraId="33D3BA4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66</w:t>
            </w:r>
          </w:p>
        </w:tc>
      </w:tr>
      <w:tr w:rsidR="00201FE9" w:rsidRPr="00C86111" w14:paraId="3FFD4968" w14:textId="77777777" w:rsidTr="00C262FD">
        <w:tc>
          <w:tcPr>
            <w:cnfStyle w:val="001000000000" w:firstRow="0" w:lastRow="0" w:firstColumn="1" w:lastColumn="0" w:oddVBand="0" w:evenVBand="0" w:oddHBand="0" w:evenHBand="0" w:firstRowFirstColumn="0" w:firstRowLastColumn="0" w:lastRowFirstColumn="0" w:lastRowLastColumn="0"/>
            <w:tcW w:w="967" w:type="dxa"/>
            <w:vMerge/>
          </w:tcPr>
          <w:p w14:paraId="5C905878"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64" w:type="dxa"/>
          </w:tcPr>
          <w:p w14:paraId="289EE54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2020</w:t>
            </w:r>
          </w:p>
        </w:tc>
        <w:tc>
          <w:tcPr>
            <w:tcW w:w="1238" w:type="dxa"/>
          </w:tcPr>
          <w:p w14:paraId="72CE03D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2423</w:t>
            </w:r>
          </w:p>
        </w:tc>
        <w:tc>
          <w:tcPr>
            <w:tcW w:w="1620" w:type="dxa"/>
          </w:tcPr>
          <w:p w14:paraId="6477554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16.2</w:t>
            </w:r>
          </w:p>
        </w:tc>
        <w:tc>
          <w:tcPr>
            <w:tcW w:w="1252" w:type="dxa"/>
          </w:tcPr>
          <w:p w14:paraId="510E975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39</w:t>
            </w:r>
          </w:p>
        </w:tc>
        <w:tc>
          <w:tcPr>
            <w:tcW w:w="1679" w:type="dxa"/>
          </w:tcPr>
          <w:p w14:paraId="37D0168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60.9</w:t>
            </w:r>
          </w:p>
        </w:tc>
        <w:tc>
          <w:tcPr>
            <w:tcW w:w="1296" w:type="dxa"/>
          </w:tcPr>
          <w:p w14:paraId="44FD2EE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148</w:t>
            </w:r>
          </w:p>
        </w:tc>
      </w:tr>
      <w:tr w:rsidR="00201FE9" w:rsidRPr="00C86111" w14:paraId="669E9D1F" w14:textId="77777777" w:rsidTr="00C26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7" w:type="dxa"/>
            <w:vMerge/>
          </w:tcPr>
          <w:p w14:paraId="72F5ED6D"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64" w:type="dxa"/>
          </w:tcPr>
          <w:p w14:paraId="5FA255D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2021</w:t>
            </w:r>
          </w:p>
        </w:tc>
        <w:tc>
          <w:tcPr>
            <w:tcW w:w="1238" w:type="dxa"/>
          </w:tcPr>
          <w:p w14:paraId="71C44B5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4939</w:t>
            </w:r>
          </w:p>
        </w:tc>
        <w:tc>
          <w:tcPr>
            <w:tcW w:w="1620" w:type="dxa"/>
          </w:tcPr>
          <w:p w14:paraId="128BE6F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16.2</w:t>
            </w:r>
          </w:p>
        </w:tc>
        <w:tc>
          <w:tcPr>
            <w:tcW w:w="1252" w:type="dxa"/>
          </w:tcPr>
          <w:p w14:paraId="1C290E0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80</w:t>
            </w:r>
          </w:p>
        </w:tc>
        <w:tc>
          <w:tcPr>
            <w:tcW w:w="1679" w:type="dxa"/>
          </w:tcPr>
          <w:p w14:paraId="6E0B795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60.9</w:t>
            </w:r>
          </w:p>
        </w:tc>
        <w:tc>
          <w:tcPr>
            <w:tcW w:w="1296" w:type="dxa"/>
          </w:tcPr>
          <w:p w14:paraId="493A8F7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301</w:t>
            </w:r>
          </w:p>
        </w:tc>
      </w:tr>
      <w:tr w:rsidR="00201FE9" w:rsidRPr="00C86111" w14:paraId="58FAB235" w14:textId="77777777" w:rsidTr="00C262FD">
        <w:tc>
          <w:tcPr>
            <w:cnfStyle w:val="001000000000" w:firstRow="0" w:lastRow="0" w:firstColumn="1" w:lastColumn="0" w:oddVBand="0" w:evenVBand="0" w:oddHBand="0" w:evenHBand="0" w:firstRowFirstColumn="0" w:firstRowLastColumn="0" w:lastRowFirstColumn="0" w:lastRowLastColumn="0"/>
            <w:tcW w:w="967" w:type="dxa"/>
            <w:vMerge/>
          </w:tcPr>
          <w:p w14:paraId="6DFEA6BE"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64" w:type="dxa"/>
          </w:tcPr>
          <w:p w14:paraId="5D4FCA3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2022</w:t>
            </w:r>
          </w:p>
        </w:tc>
        <w:tc>
          <w:tcPr>
            <w:tcW w:w="1238" w:type="dxa"/>
          </w:tcPr>
          <w:p w14:paraId="590DC8A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2220</w:t>
            </w:r>
          </w:p>
        </w:tc>
        <w:tc>
          <w:tcPr>
            <w:tcW w:w="1620" w:type="dxa"/>
          </w:tcPr>
          <w:p w14:paraId="00D736E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16.2</w:t>
            </w:r>
          </w:p>
        </w:tc>
        <w:tc>
          <w:tcPr>
            <w:tcW w:w="1252" w:type="dxa"/>
          </w:tcPr>
          <w:p w14:paraId="5B6261B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36</w:t>
            </w:r>
          </w:p>
        </w:tc>
        <w:tc>
          <w:tcPr>
            <w:tcW w:w="1679" w:type="dxa"/>
          </w:tcPr>
          <w:p w14:paraId="684C420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60.9</w:t>
            </w:r>
          </w:p>
        </w:tc>
        <w:tc>
          <w:tcPr>
            <w:tcW w:w="1296" w:type="dxa"/>
          </w:tcPr>
          <w:p w14:paraId="508D54C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135</w:t>
            </w:r>
          </w:p>
        </w:tc>
      </w:tr>
      <w:tr w:rsidR="00201FE9" w:rsidRPr="00C86111" w14:paraId="0BC80AD7" w14:textId="77777777" w:rsidTr="00C26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7" w:type="dxa"/>
            <w:vMerge/>
          </w:tcPr>
          <w:p w14:paraId="24937984"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64" w:type="dxa"/>
          </w:tcPr>
          <w:p w14:paraId="48A983C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2023</w:t>
            </w:r>
          </w:p>
        </w:tc>
        <w:tc>
          <w:tcPr>
            <w:tcW w:w="1238" w:type="dxa"/>
          </w:tcPr>
          <w:p w14:paraId="2A309C4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5503</w:t>
            </w:r>
          </w:p>
        </w:tc>
        <w:tc>
          <w:tcPr>
            <w:tcW w:w="1620" w:type="dxa"/>
          </w:tcPr>
          <w:p w14:paraId="25E7C10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16.2</w:t>
            </w:r>
          </w:p>
        </w:tc>
        <w:tc>
          <w:tcPr>
            <w:tcW w:w="1252" w:type="dxa"/>
          </w:tcPr>
          <w:p w14:paraId="46E5321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89</w:t>
            </w:r>
          </w:p>
        </w:tc>
        <w:tc>
          <w:tcPr>
            <w:tcW w:w="1679" w:type="dxa"/>
          </w:tcPr>
          <w:p w14:paraId="61BE67B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60.9</w:t>
            </w:r>
          </w:p>
        </w:tc>
        <w:tc>
          <w:tcPr>
            <w:tcW w:w="1296" w:type="dxa"/>
          </w:tcPr>
          <w:p w14:paraId="609D40B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335</w:t>
            </w:r>
          </w:p>
        </w:tc>
      </w:tr>
    </w:tbl>
    <w:p w14:paraId="14549E98" w14:textId="77777777" w:rsidR="00201FE9" w:rsidRPr="00C86111" w:rsidRDefault="00201FE9" w:rsidP="00201FE9">
      <w:pPr>
        <w:spacing w:line="276" w:lineRule="auto"/>
        <w:jc w:val="both"/>
        <w:rPr>
          <w:rFonts w:asciiTheme="minorHAnsi" w:hAnsiTheme="minorHAnsi" w:cstheme="minorHAnsi"/>
          <w:bCs/>
          <w:color w:val="002060"/>
          <w:szCs w:val="24"/>
          <w:lang w:val="sr-Latn-ME"/>
        </w:rPr>
      </w:pPr>
      <w:r w:rsidRPr="00C86111">
        <w:rPr>
          <w:rFonts w:asciiTheme="minorHAnsi" w:hAnsiTheme="minorHAnsi" w:cstheme="minorHAnsi"/>
          <w:bCs/>
          <w:color w:val="002060"/>
          <w:szCs w:val="24"/>
          <w:lang w:val="sr-Latn-ME"/>
        </w:rPr>
        <w:t>*Chen et al. (2021)</w:t>
      </w:r>
    </w:p>
    <w:p w14:paraId="0D54E172" w14:textId="77777777" w:rsidR="00201FE9" w:rsidRPr="00C86111" w:rsidRDefault="00201FE9" w:rsidP="00201FE9">
      <w:pPr>
        <w:spacing w:line="276" w:lineRule="auto"/>
        <w:jc w:val="both"/>
        <w:rPr>
          <w:rFonts w:asciiTheme="minorHAnsi" w:hAnsiTheme="minorHAnsi" w:cstheme="minorHAnsi"/>
          <w:bCs/>
          <w:color w:val="auto"/>
          <w:szCs w:val="24"/>
          <w:lang w:val="sr-Latn-ME"/>
        </w:rPr>
      </w:pPr>
    </w:p>
    <w:p w14:paraId="64EA8589"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0571B153" wp14:editId="75AC8156">
            <wp:extent cx="4846320" cy="2105891"/>
            <wp:effectExtent l="0" t="0" r="11430" b="8890"/>
            <wp:docPr id="3" name="Chart 3">
              <a:extLst xmlns:a="http://schemas.openxmlformats.org/drawingml/2006/main">
                <a:ext uri="{FF2B5EF4-FFF2-40B4-BE49-F238E27FC236}">
                  <a16:creationId xmlns:a16="http://schemas.microsoft.com/office/drawing/2014/main" id="{5CBE97DE-6A6B-73A3-81B9-53A671F813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411D11B" w14:textId="6DA949A9"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Grafik </w:t>
      </w:r>
      <w:r w:rsidR="004A37AE" w:rsidRPr="00C86111">
        <w:rPr>
          <w:rFonts w:asciiTheme="minorHAnsi" w:hAnsiTheme="minorHAnsi" w:cstheme="minorHAnsi"/>
          <w:b/>
          <w:bCs/>
          <w:color w:val="auto"/>
          <w:szCs w:val="24"/>
          <w:lang w:val="sr-Latn-ME"/>
        </w:rPr>
        <w:t>3</w:t>
      </w:r>
      <w:r w:rsidR="00547278">
        <w:rPr>
          <w:rFonts w:asciiTheme="minorHAnsi" w:hAnsiTheme="minorHAnsi" w:cstheme="minorHAnsi"/>
          <w:b/>
          <w:bCs/>
          <w:color w:val="auto"/>
          <w:szCs w:val="24"/>
          <w:lang w:val="sr-Latn-ME"/>
        </w:rPr>
        <w:t>6</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Procijenjena količina SCCP i MCCP u proizvodima sa HS kodom 4008 uvezenim u periodu 2017-2023.</w:t>
      </w:r>
    </w:p>
    <w:p w14:paraId="0A8FC7B6"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48ED4EDC" w14:textId="6B702AED"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Količina </w:t>
      </w:r>
      <w:r w:rsidR="004A37AE" w:rsidRPr="00C86111">
        <w:rPr>
          <w:rFonts w:asciiTheme="minorHAnsi" w:eastAsia="Times New Roman" w:hAnsiTheme="minorHAnsi" w:cstheme="minorHAnsi"/>
          <w:color w:val="auto"/>
          <w:szCs w:val="24"/>
          <w:lang w:val="sr-Latn-ME"/>
        </w:rPr>
        <w:t xml:space="preserve">SCCP i MCCP </w:t>
      </w:r>
      <w:r w:rsidRPr="00C86111">
        <w:rPr>
          <w:rFonts w:asciiTheme="minorHAnsi" w:eastAsia="Times New Roman" w:hAnsiTheme="minorHAnsi" w:cstheme="minorHAnsi"/>
          <w:color w:val="auto"/>
          <w:szCs w:val="24"/>
          <w:lang w:val="sr-Latn-ME"/>
        </w:rPr>
        <w:t>se vremenom povećava, pri čemu su MCCP konstantno prisutni u većim količinama. SCCP raste sa 3,4 kg u 2017. na 89 kg u 2023. godini, dok MCCP raste sa 13 kg na 335 kg. Grafik pokazuje opšti trend rasta i potrebu za praćenjem ovih hemijskih supstanci u uvozu.</w:t>
      </w:r>
    </w:p>
    <w:p w14:paraId="52F71B2C" w14:textId="77777777"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p>
    <w:p w14:paraId="6CDA4B3C" w14:textId="3228EED0" w:rsidR="00201FE9" w:rsidRPr="00C86111" w:rsidRDefault="00201FE9" w:rsidP="00201FE9">
      <w:pPr>
        <w:spacing w:line="276" w:lineRule="auto"/>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Tabela </w:t>
      </w:r>
      <w:r w:rsidR="004A37AE" w:rsidRPr="00C86111">
        <w:rPr>
          <w:rFonts w:asciiTheme="minorHAnsi" w:eastAsia="Times New Roman" w:hAnsiTheme="minorHAnsi" w:cstheme="minorHAnsi"/>
          <w:color w:val="auto"/>
          <w:szCs w:val="24"/>
          <w:lang w:val="sr-Latn-ME"/>
        </w:rPr>
        <w:t>102.</w:t>
      </w:r>
      <w:r w:rsidRPr="00C86111">
        <w:rPr>
          <w:rFonts w:asciiTheme="minorHAnsi" w:eastAsia="Times New Roman" w:hAnsiTheme="minorHAnsi" w:cstheme="minorHAnsi"/>
          <w:color w:val="auto"/>
          <w:szCs w:val="24"/>
          <w:lang w:val="sr-Latn-ME"/>
        </w:rPr>
        <w:t xml:space="preserve"> i Grafik </w:t>
      </w:r>
      <w:r w:rsidR="004A37AE" w:rsidRPr="00C86111">
        <w:rPr>
          <w:rFonts w:asciiTheme="minorHAnsi" w:eastAsia="Times New Roman" w:hAnsiTheme="minorHAnsi" w:cstheme="minorHAnsi"/>
          <w:color w:val="auto"/>
          <w:szCs w:val="24"/>
          <w:lang w:val="sr-Latn-ME"/>
        </w:rPr>
        <w:t>3</w:t>
      </w:r>
      <w:r w:rsidR="00547278">
        <w:rPr>
          <w:rFonts w:asciiTheme="minorHAnsi" w:eastAsia="Times New Roman" w:hAnsiTheme="minorHAnsi" w:cstheme="minorHAnsi"/>
          <w:color w:val="auto"/>
          <w:szCs w:val="24"/>
          <w:lang w:val="sr-Latn-ME"/>
        </w:rPr>
        <w:t>7</w:t>
      </w:r>
      <w:r w:rsidR="004A37AE" w:rsidRPr="00C86111">
        <w:rPr>
          <w:rFonts w:asciiTheme="minorHAnsi" w:eastAsia="Times New Roman" w:hAnsiTheme="minorHAnsi" w:cstheme="minorHAnsi"/>
          <w:color w:val="auto"/>
          <w:szCs w:val="24"/>
          <w:lang w:val="sr-Latn-ME"/>
        </w:rPr>
        <w:t>.</w:t>
      </w:r>
      <w:r w:rsidRPr="00C86111">
        <w:rPr>
          <w:rFonts w:asciiTheme="minorHAnsi" w:eastAsia="Times New Roman" w:hAnsiTheme="minorHAnsi" w:cstheme="minorHAnsi"/>
          <w:color w:val="auto"/>
          <w:szCs w:val="24"/>
          <w:lang w:val="sr-Latn-ME"/>
        </w:rPr>
        <w:t xml:space="preserve"> prikazuju pregled količina uvezenih gumenih proizvoda sa HS kodom 4009 iz Kine za period 2017-2023, kao i izračunate količine SCCP i MCCP.</w:t>
      </w:r>
    </w:p>
    <w:p w14:paraId="0D853E5A" w14:textId="77777777" w:rsidR="00201FE9" w:rsidRDefault="00201FE9" w:rsidP="00201FE9">
      <w:pPr>
        <w:spacing w:line="276" w:lineRule="auto"/>
        <w:rPr>
          <w:rFonts w:asciiTheme="minorHAnsi" w:eastAsia="Times New Roman" w:hAnsiTheme="minorHAnsi" w:cstheme="minorHAnsi"/>
          <w:color w:val="auto"/>
          <w:szCs w:val="24"/>
          <w:lang w:val="sr-Latn-ME"/>
        </w:rPr>
      </w:pPr>
    </w:p>
    <w:p w14:paraId="6764C759" w14:textId="77777777" w:rsidR="002E5AB7" w:rsidRDefault="002E5AB7" w:rsidP="00201FE9">
      <w:pPr>
        <w:spacing w:line="276" w:lineRule="auto"/>
        <w:rPr>
          <w:rFonts w:asciiTheme="minorHAnsi" w:eastAsia="Times New Roman" w:hAnsiTheme="minorHAnsi" w:cstheme="minorHAnsi"/>
          <w:color w:val="auto"/>
          <w:szCs w:val="24"/>
          <w:lang w:val="sr-Latn-ME"/>
        </w:rPr>
      </w:pPr>
    </w:p>
    <w:p w14:paraId="66A2230F" w14:textId="77777777" w:rsidR="002E5AB7" w:rsidRDefault="002E5AB7" w:rsidP="00201FE9">
      <w:pPr>
        <w:spacing w:line="276" w:lineRule="auto"/>
        <w:rPr>
          <w:rFonts w:asciiTheme="minorHAnsi" w:eastAsia="Times New Roman" w:hAnsiTheme="minorHAnsi" w:cstheme="minorHAnsi"/>
          <w:color w:val="auto"/>
          <w:szCs w:val="24"/>
          <w:lang w:val="sr-Latn-ME"/>
        </w:rPr>
      </w:pPr>
    </w:p>
    <w:p w14:paraId="5B693F76" w14:textId="77777777" w:rsidR="002E5AB7" w:rsidRPr="00C86111" w:rsidRDefault="002E5AB7" w:rsidP="00201FE9">
      <w:pPr>
        <w:spacing w:line="276" w:lineRule="auto"/>
        <w:rPr>
          <w:rFonts w:asciiTheme="minorHAnsi" w:eastAsia="Times New Roman" w:hAnsiTheme="minorHAnsi" w:cstheme="minorHAnsi"/>
          <w:color w:val="auto"/>
          <w:szCs w:val="24"/>
          <w:lang w:val="sr-Latn-ME"/>
        </w:rPr>
      </w:pPr>
    </w:p>
    <w:p w14:paraId="4BB5B86B" w14:textId="1EBED87D" w:rsidR="00201FE9" w:rsidRPr="00C86111" w:rsidRDefault="00201FE9" w:rsidP="00201FE9">
      <w:pPr>
        <w:pStyle w:val="Caption"/>
        <w:keepNext/>
        <w:rPr>
          <w:rFonts w:cstheme="minorHAnsi"/>
          <w:b w:val="0"/>
          <w:bCs/>
          <w:sz w:val="24"/>
          <w:szCs w:val="24"/>
        </w:rPr>
      </w:pPr>
      <w:bookmarkStart w:id="393" w:name="_Toc210743913"/>
      <w:r w:rsidRPr="00C86111">
        <w:rPr>
          <w:rFonts w:cstheme="minorHAnsi"/>
          <w:bCs/>
          <w:sz w:val="24"/>
          <w:szCs w:val="24"/>
        </w:rPr>
        <w:lastRenderedPageBreak/>
        <w:t xml:space="preserve">Tabela </w:t>
      </w:r>
      <w:r w:rsidR="004A37AE" w:rsidRPr="00C86111">
        <w:rPr>
          <w:rFonts w:cstheme="minorHAnsi"/>
          <w:bCs/>
          <w:sz w:val="24"/>
          <w:szCs w:val="24"/>
        </w:rPr>
        <w:t>102</w:t>
      </w:r>
      <w:r w:rsidRPr="00C86111">
        <w:rPr>
          <w:rFonts w:cstheme="minorHAnsi"/>
          <w:bCs/>
          <w:sz w:val="24"/>
          <w:szCs w:val="24"/>
        </w:rPr>
        <w:t>.</w:t>
      </w:r>
      <w:r w:rsidRPr="00C86111">
        <w:rPr>
          <w:rFonts w:cstheme="minorHAnsi"/>
          <w:sz w:val="24"/>
          <w:szCs w:val="24"/>
        </w:rPr>
        <w:t xml:space="preserve"> </w:t>
      </w:r>
      <w:r w:rsidRPr="00C86111">
        <w:rPr>
          <w:rFonts w:cstheme="minorHAnsi"/>
          <w:b w:val="0"/>
          <w:bCs/>
          <w:sz w:val="24"/>
          <w:szCs w:val="24"/>
        </w:rPr>
        <w:t>Količine uvezenih proizvoda od gume sa HS kodom 4009 za period 2017-2023 i procijenjene količine SCCP i MCCP</w:t>
      </w:r>
      <w:bookmarkEnd w:id="393"/>
    </w:p>
    <w:tbl>
      <w:tblPr>
        <w:tblStyle w:val="GridTable5Dark-Accent6"/>
        <w:tblW w:w="9016" w:type="dxa"/>
        <w:tblLook w:val="04A0" w:firstRow="1" w:lastRow="0" w:firstColumn="1" w:lastColumn="0" w:noHBand="0" w:noVBand="1"/>
      </w:tblPr>
      <w:tblGrid>
        <w:gridCol w:w="974"/>
        <w:gridCol w:w="926"/>
        <w:gridCol w:w="1248"/>
        <w:gridCol w:w="1609"/>
        <w:gridCol w:w="1261"/>
        <w:gridCol w:w="1692"/>
        <w:gridCol w:w="1306"/>
      </w:tblGrid>
      <w:tr w:rsidR="00201FE9" w:rsidRPr="00C86111" w14:paraId="1C3B3512" w14:textId="77777777" w:rsidTr="002E5A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tcPr>
          <w:p w14:paraId="1570C3C8"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926" w:type="dxa"/>
            <w:hideMark/>
          </w:tcPr>
          <w:p w14:paraId="22137A25"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248" w:type="dxa"/>
            <w:hideMark/>
          </w:tcPr>
          <w:p w14:paraId="6041908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609" w:type="dxa"/>
          </w:tcPr>
          <w:p w14:paraId="4E52F9B0"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6041C2EE"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261" w:type="dxa"/>
          </w:tcPr>
          <w:p w14:paraId="55E0172D"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692" w:type="dxa"/>
          </w:tcPr>
          <w:p w14:paraId="10E5F6B6"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6136640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306" w:type="dxa"/>
          </w:tcPr>
          <w:p w14:paraId="7EA85E6B"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31B3A3DE"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val="restart"/>
          </w:tcPr>
          <w:p w14:paraId="266FB34E"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4009</w:t>
            </w:r>
          </w:p>
        </w:tc>
        <w:tc>
          <w:tcPr>
            <w:tcW w:w="926" w:type="dxa"/>
          </w:tcPr>
          <w:p w14:paraId="263E80E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2017</w:t>
            </w:r>
          </w:p>
        </w:tc>
        <w:tc>
          <w:tcPr>
            <w:tcW w:w="1248" w:type="dxa"/>
          </w:tcPr>
          <w:p w14:paraId="46E4791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3690</w:t>
            </w:r>
          </w:p>
        </w:tc>
        <w:tc>
          <w:tcPr>
            <w:tcW w:w="1609" w:type="dxa"/>
          </w:tcPr>
          <w:p w14:paraId="4605FFE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6F383D7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0.74</w:t>
            </w:r>
          </w:p>
        </w:tc>
        <w:tc>
          <w:tcPr>
            <w:tcW w:w="1692" w:type="dxa"/>
          </w:tcPr>
          <w:p w14:paraId="5B9B605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72CCB11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0.37</w:t>
            </w:r>
          </w:p>
        </w:tc>
      </w:tr>
      <w:tr w:rsidR="00201FE9" w:rsidRPr="00C86111" w14:paraId="7AA520ED" w14:textId="77777777" w:rsidTr="002E5AB7">
        <w:tc>
          <w:tcPr>
            <w:cnfStyle w:val="001000000000" w:firstRow="0" w:lastRow="0" w:firstColumn="1" w:lastColumn="0" w:oddVBand="0" w:evenVBand="0" w:oddHBand="0" w:evenHBand="0" w:firstRowFirstColumn="0" w:firstRowLastColumn="0" w:lastRowFirstColumn="0" w:lastRowLastColumn="0"/>
            <w:tcW w:w="974" w:type="dxa"/>
            <w:vMerge/>
          </w:tcPr>
          <w:p w14:paraId="53A238B7"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11669FB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2018</w:t>
            </w:r>
          </w:p>
        </w:tc>
        <w:tc>
          <w:tcPr>
            <w:tcW w:w="1248" w:type="dxa"/>
          </w:tcPr>
          <w:p w14:paraId="290B1F0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12759</w:t>
            </w:r>
          </w:p>
        </w:tc>
        <w:tc>
          <w:tcPr>
            <w:tcW w:w="1609" w:type="dxa"/>
          </w:tcPr>
          <w:p w14:paraId="2AB1412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6D1E570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2.6</w:t>
            </w:r>
          </w:p>
        </w:tc>
        <w:tc>
          <w:tcPr>
            <w:tcW w:w="1692" w:type="dxa"/>
          </w:tcPr>
          <w:p w14:paraId="3FFE89A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22F3B64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1.3</w:t>
            </w:r>
          </w:p>
        </w:tc>
      </w:tr>
      <w:tr w:rsidR="00201FE9" w:rsidRPr="00C86111" w14:paraId="5165D394"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tcPr>
          <w:p w14:paraId="2BED2174"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432934A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2019</w:t>
            </w:r>
          </w:p>
        </w:tc>
        <w:tc>
          <w:tcPr>
            <w:tcW w:w="1248" w:type="dxa"/>
          </w:tcPr>
          <w:p w14:paraId="1ED50E5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14930</w:t>
            </w:r>
          </w:p>
        </w:tc>
        <w:tc>
          <w:tcPr>
            <w:tcW w:w="1609" w:type="dxa"/>
          </w:tcPr>
          <w:p w14:paraId="6E949B4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561644B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3.0</w:t>
            </w:r>
          </w:p>
        </w:tc>
        <w:tc>
          <w:tcPr>
            <w:tcW w:w="1692" w:type="dxa"/>
          </w:tcPr>
          <w:p w14:paraId="2F58055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5ED2A08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1.5</w:t>
            </w:r>
          </w:p>
        </w:tc>
      </w:tr>
      <w:tr w:rsidR="00201FE9" w:rsidRPr="00C86111" w14:paraId="57C33E8F" w14:textId="77777777" w:rsidTr="002E5AB7">
        <w:tc>
          <w:tcPr>
            <w:cnfStyle w:val="001000000000" w:firstRow="0" w:lastRow="0" w:firstColumn="1" w:lastColumn="0" w:oddVBand="0" w:evenVBand="0" w:oddHBand="0" w:evenHBand="0" w:firstRowFirstColumn="0" w:firstRowLastColumn="0" w:lastRowFirstColumn="0" w:lastRowLastColumn="0"/>
            <w:tcW w:w="974" w:type="dxa"/>
            <w:vMerge/>
          </w:tcPr>
          <w:p w14:paraId="4A72C1DC"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2F8400B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2020</w:t>
            </w:r>
          </w:p>
        </w:tc>
        <w:tc>
          <w:tcPr>
            <w:tcW w:w="1248" w:type="dxa"/>
          </w:tcPr>
          <w:p w14:paraId="761D617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13325</w:t>
            </w:r>
          </w:p>
        </w:tc>
        <w:tc>
          <w:tcPr>
            <w:tcW w:w="1609" w:type="dxa"/>
          </w:tcPr>
          <w:p w14:paraId="603140B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5C8D6E2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2.7</w:t>
            </w:r>
          </w:p>
        </w:tc>
        <w:tc>
          <w:tcPr>
            <w:tcW w:w="1692" w:type="dxa"/>
          </w:tcPr>
          <w:p w14:paraId="38C7795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578656F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1.3</w:t>
            </w:r>
          </w:p>
        </w:tc>
      </w:tr>
      <w:tr w:rsidR="00201FE9" w:rsidRPr="00C86111" w14:paraId="743B7EE7"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tcPr>
          <w:p w14:paraId="7843E550"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5FC1277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2021</w:t>
            </w:r>
          </w:p>
        </w:tc>
        <w:tc>
          <w:tcPr>
            <w:tcW w:w="1248" w:type="dxa"/>
          </w:tcPr>
          <w:p w14:paraId="1013242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10736</w:t>
            </w:r>
          </w:p>
        </w:tc>
        <w:tc>
          <w:tcPr>
            <w:tcW w:w="1609" w:type="dxa"/>
          </w:tcPr>
          <w:p w14:paraId="495E703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4703C07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2.2</w:t>
            </w:r>
          </w:p>
        </w:tc>
        <w:tc>
          <w:tcPr>
            <w:tcW w:w="1692" w:type="dxa"/>
          </w:tcPr>
          <w:p w14:paraId="75FBE1A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5B0BF17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1.1</w:t>
            </w:r>
          </w:p>
        </w:tc>
      </w:tr>
      <w:tr w:rsidR="00201FE9" w:rsidRPr="00C86111" w14:paraId="6C16EFB7" w14:textId="77777777" w:rsidTr="002E5AB7">
        <w:tc>
          <w:tcPr>
            <w:cnfStyle w:val="001000000000" w:firstRow="0" w:lastRow="0" w:firstColumn="1" w:lastColumn="0" w:oddVBand="0" w:evenVBand="0" w:oddHBand="0" w:evenHBand="0" w:firstRowFirstColumn="0" w:firstRowLastColumn="0" w:lastRowFirstColumn="0" w:lastRowLastColumn="0"/>
            <w:tcW w:w="974" w:type="dxa"/>
            <w:vMerge/>
          </w:tcPr>
          <w:p w14:paraId="29805CDB"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3C76F7A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2022</w:t>
            </w:r>
          </w:p>
        </w:tc>
        <w:tc>
          <w:tcPr>
            <w:tcW w:w="1248" w:type="dxa"/>
          </w:tcPr>
          <w:p w14:paraId="3B06AC9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12377</w:t>
            </w:r>
          </w:p>
        </w:tc>
        <w:tc>
          <w:tcPr>
            <w:tcW w:w="1609" w:type="dxa"/>
          </w:tcPr>
          <w:p w14:paraId="0A16D85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29758A9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2.5</w:t>
            </w:r>
          </w:p>
        </w:tc>
        <w:tc>
          <w:tcPr>
            <w:tcW w:w="1692" w:type="dxa"/>
          </w:tcPr>
          <w:p w14:paraId="1D53BE8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30C0B61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1.2</w:t>
            </w:r>
          </w:p>
        </w:tc>
      </w:tr>
      <w:tr w:rsidR="00201FE9" w:rsidRPr="00C86111" w14:paraId="61C75999"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tcPr>
          <w:p w14:paraId="46F72B61"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1347F14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2023</w:t>
            </w:r>
          </w:p>
        </w:tc>
        <w:tc>
          <w:tcPr>
            <w:tcW w:w="1248" w:type="dxa"/>
          </w:tcPr>
          <w:p w14:paraId="4A00A7E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12019</w:t>
            </w:r>
          </w:p>
        </w:tc>
        <w:tc>
          <w:tcPr>
            <w:tcW w:w="1609" w:type="dxa"/>
          </w:tcPr>
          <w:p w14:paraId="16364B1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3BEAB89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2.4</w:t>
            </w:r>
          </w:p>
        </w:tc>
        <w:tc>
          <w:tcPr>
            <w:tcW w:w="1692" w:type="dxa"/>
          </w:tcPr>
          <w:p w14:paraId="36B79A5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3CAA067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1.2</w:t>
            </w:r>
          </w:p>
        </w:tc>
      </w:tr>
    </w:tbl>
    <w:p w14:paraId="37C53646" w14:textId="77777777" w:rsidR="00201FE9" w:rsidRPr="00C86111" w:rsidRDefault="00201FE9" w:rsidP="00201FE9">
      <w:pPr>
        <w:spacing w:line="276" w:lineRule="auto"/>
        <w:jc w:val="both"/>
        <w:rPr>
          <w:rFonts w:asciiTheme="minorHAnsi" w:hAnsiTheme="minorHAnsi" w:cstheme="minorHAnsi"/>
          <w:bCs/>
          <w:color w:val="002060"/>
          <w:szCs w:val="24"/>
          <w:lang w:val="sr-Latn-ME"/>
        </w:rPr>
      </w:pPr>
      <w:r w:rsidRPr="00C86111">
        <w:rPr>
          <w:rFonts w:asciiTheme="minorHAnsi" w:hAnsiTheme="minorHAnsi" w:cstheme="minorHAnsi"/>
          <w:bCs/>
          <w:color w:val="002060"/>
          <w:szCs w:val="24"/>
          <w:lang w:val="sr-Latn-ME"/>
        </w:rPr>
        <w:t>*Chen et al. (2021)</w:t>
      </w:r>
    </w:p>
    <w:p w14:paraId="130C4DF4" w14:textId="77777777" w:rsidR="00201FE9" w:rsidRPr="00C86111" w:rsidRDefault="00201FE9" w:rsidP="00201FE9">
      <w:pPr>
        <w:spacing w:line="276" w:lineRule="auto"/>
        <w:rPr>
          <w:rFonts w:asciiTheme="minorHAnsi" w:hAnsiTheme="minorHAnsi" w:cstheme="minorHAnsi"/>
          <w:color w:val="auto"/>
          <w:szCs w:val="24"/>
          <w:lang w:val="sr-Latn-ME"/>
        </w:rPr>
      </w:pPr>
    </w:p>
    <w:p w14:paraId="5A173FAA" w14:textId="77777777" w:rsidR="00201FE9" w:rsidRPr="00C86111" w:rsidRDefault="00201FE9" w:rsidP="00201FE9">
      <w:pPr>
        <w:autoSpaceDE w:val="0"/>
        <w:autoSpaceDN w:val="0"/>
        <w:adjustRightInd w:val="0"/>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75EAA551" wp14:editId="45D515FA">
            <wp:extent cx="4785360" cy="2407920"/>
            <wp:effectExtent l="0" t="0" r="15240" b="11430"/>
            <wp:docPr id="4" name="Chart 4">
              <a:extLst xmlns:a="http://schemas.openxmlformats.org/drawingml/2006/main">
                <a:ext uri="{FF2B5EF4-FFF2-40B4-BE49-F238E27FC236}">
                  <a16:creationId xmlns:a16="http://schemas.microsoft.com/office/drawing/2014/main" id="{8D227E81-0EF1-544F-2700-D6FF03FCA7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8F2352C" w14:textId="2D831DAC"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Grafik </w:t>
      </w:r>
      <w:r w:rsidR="004A37AE" w:rsidRPr="00C86111">
        <w:rPr>
          <w:rFonts w:asciiTheme="minorHAnsi" w:hAnsiTheme="minorHAnsi" w:cstheme="minorHAnsi"/>
          <w:b/>
          <w:bCs/>
          <w:color w:val="auto"/>
          <w:szCs w:val="24"/>
          <w:lang w:val="sr-Latn-ME"/>
        </w:rPr>
        <w:t>3</w:t>
      </w:r>
      <w:r w:rsidR="00547278">
        <w:rPr>
          <w:rFonts w:asciiTheme="minorHAnsi" w:hAnsiTheme="minorHAnsi" w:cstheme="minorHAnsi"/>
          <w:b/>
          <w:bCs/>
          <w:color w:val="auto"/>
          <w:szCs w:val="24"/>
          <w:lang w:val="sr-Latn-ME"/>
        </w:rPr>
        <w:t>7</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Procijenjena količina SCCP i MCCP u proizvodima sa HS kodom 4009 uvezenim u periodu 2017-2023.</w:t>
      </w:r>
    </w:p>
    <w:p w14:paraId="0EEEBFB7"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783D8414" w14:textId="47F1DB65"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 xml:space="preserve">Količine </w:t>
      </w:r>
      <w:r w:rsidR="004A37AE" w:rsidRPr="00C86111">
        <w:rPr>
          <w:rFonts w:asciiTheme="minorHAnsi" w:hAnsiTheme="minorHAnsi" w:cstheme="minorHAnsi"/>
          <w:bCs/>
          <w:color w:val="auto"/>
          <w:szCs w:val="24"/>
          <w:lang w:val="sr-Latn-ME"/>
        </w:rPr>
        <w:t xml:space="preserve">SCCP i MCCP </w:t>
      </w:r>
      <w:r w:rsidRPr="00C86111">
        <w:rPr>
          <w:rFonts w:asciiTheme="minorHAnsi" w:hAnsiTheme="minorHAnsi" w:cstheme="minorHAnsi"/>
          <w:color w:val="auto"/>
          <w:szCs w:val="24"/>
          <w:lang w:val="sr-Latn-ME"/>
        </w:rPr>
        <w:t>su veoma niske tokom cijelog perioda, sa SCCP u rasponu od 0,74 kg u 2017. do 3 kg u 2019. godini, a MCCP od 0,37 kg do 1,5 kg. Podaci ukazuju na minimalno prisustvo ovih supstanci u proizvodima HS 4009 u poređenju sa HS 4008.</w:t>
      </w:r>
    </w:p>
    <w:p w14:paraId="6B00E0BC" w14:textId="18CFC136" w:rsidR="00201FE9" w:rsidRPr="00C86111" w:rsidRDefault="00201FE9" w:rsidP="00201FE9">
      <w:pPr>
        <w:spacing w:line="276" w:lineRule="auto"/>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Tabela </w:t>
      </w:r>
      <w:r w:rsidR="004A37AE" w:rsidRPr="00C86111">
        <w:rPr>
          <w:rFonts w:asciiTheme="minorHAnsi" w:eastAsia="Times New Roman" w:hAnsiTheme="minorHAnsi" w:cstheme="minorHAnsi"/>
          <w:color w:val="auto"/>
          <w:szCs w:val="24"/>
          <w:lang w:val="sr-Latn-ME"/>
        </w:rPr>
        <w:t>103.</w:t>
      </w:r>
      <w:r w:rsidRPr="00C86111">
        <w:rPr>
          <w:rFonts w:asciiTheme="minorHAnsi" w:eastAsia="Times New Roman" w:hAnsiTheme="minorHAnsi" w:cstheme="minorHAnsi"/>
          <w:color w:val="auto"/>
          <w:szCs w:val="24"/>
          <w:lang w:val="sr-Latn-ME"/>
        </w:rPr>
        <w:t xml:space="preserve"> prikazuje pregled količina uvezenih gumenih proizvoda sa HS kodom 4010 iz Kine za period 2017-2023, kao i izračunate količine SCCP i MCCP.</w:t>
      </w:r>
    </w:p>
    <w:p w14:paraId="27771053" w14:textId="77777777" w:rsidR="002E5AB7" w:rsidRDefault="002E5AB7" w:rsidP="00201FE9">
      <w:pPr>
        <w:pStyle w:val="Caption"/>
        <w:keepNext/>
        <w:rPr>
          <w:rFonts w:cstheme="minorHAnsi"/>
          <w:bCs/>
          <w:sz w:val="24"/>
          <w:szCs w:val="24"/>
        </w:rPr>
      </w:pPr>
      <w:bookmarkStart w:id="394" w:name="_Toc210743914"/>
    </w:p>
    <w:p w14:paraId="65C4E2F1" w14:textId="77777777" w:rsidR="002E5AB7" w:rsidRDefault="002E5AB7" w:rsidP="002E5AB7">
      <w:pPr>
        <w:rPr>
          <w:lang w:val="en-GB" w:eastAsia="zh-CN"/>
        </w:rPr>
      </w:pPr>
    </w:p>
    <w:p w14:paraId="23605F96" w14:textId="77777777" w:rsidR="002E5AB7" w:rsidRPr="002E5AB7" w:rsidRDefault="002E5AB7" w:rsidP="002E5AB7">
      <w:pPr>
        <w:rPr>
          <w:lang w:val="en-GB" w:eastAsia="zh-CN"/>
        </w:rPr>
      </w:pPr>
    </w:p>
    <w:p w14:paraId="0362268B" w14:textId="77777777" w:rsidR="002E5AB7" w:rsidRDefault="002E5AB7" w:rsidP="00201FE9">
      <w:pPr>
        <w:pStyle w:val="Caption"/>
        <w:keepNext/>
        <w:rPr>
          <w:rFonts w:cstheme="minorHAnsi"/>
          <w:bCs/>
          <w:sz w:val="24"/>
          <w:szCs w:val="24"/>
        </w:rPr>
      </w:pPr>
    </w:p>
    <w:p w14:paraId="5B1AC55F" w14:textId="1DB9FE6C" w:rsidR="00201FE9" w:rsidRPr="00C86111" w:rsidRDefault="00201FE9" w:rsidP="00201FE9">
      <w:pPr>
        <w:pStyle w:val="Caption"/>
        <w:keepNext/>
        <w:rPr>
          <w:rFonts w:cstheme="minorHAnsi"/>
          <w:b w:val="0"/>
          <w:bCs/>
          <w:sz w:val="24"/>
          <w:szCs w:val="24"/>
        </w:rPr>
      </w:pPr>
      <w:r w:rsidRPr="00C86111">
        <w:rPr>
          <w:rFonts w:cstheme="minorHAnsi"/>
          <w:bCs/>
          <w:sz w:val="24"/>
          <w:szCs w:val="24"/>
        </w:rPr>
        <w:t xml:space="preserve">Tabela </w:t>
      </w:r>
      <w:r w:rsidR="004A37AE" w:rsidRPr="0042690B">
        <w:rPr>
          <w:rFonts w:cstheme="minorHAnsi"/>
          <w:sz w:val="24"/>
          <w:szCs w:val="24"/>
        </w:rPr>
        <w:t>103</w:t>
      </w:r>
      <w:r w:rsidRPr="0042690B">
        <w:rPr>
          <w:rFonts w:cstheme="minorHAnsi"/>
          <w:sz w:val="24"/>
          <w:szCs w:val="24"/>
        </w:rPr>
        <w:t>.</w:t>
      </w:r>
      <w:r w:rsidRPr="00C86111">
        <w:rPr>
          <w:rFonts w:cstheme="minorHAnsi"/>
          <w:sz w:val="24"/>
          <w:szCs w:val="24"/>
        </w:rPr>
        <w:t xml:space="preserve"> </w:t>
      </w:r>
      <w:r w:rsidRPr="00C86111">
        <w:rPr>
          <w:rFonts w:cstheme="minorHAnsi"/>
          <w:b w:val="0"/>
          <w:bCs/>
          <w:sz w:val="24"/>
          <w:szCs w:val="24"/>
        </w:rPr>
        <w:t>Količine uvezenih proizvoda od gume sa HS kodom 4010 za period 2017-2023 i procijenjene količine SCCP i MCCP</w:t>
      </w:r>
      <w:bookmarkEnd w:id="394"/>
    </w:p>
    <w:tbl>
      <w:tblPr>
        <w:tblStyle w:val="GridTable5Dark-Accent6"/>
        <w:tblW w:w="9016" w:type="dxa"/>
        <w:tblLook w:val="04A0" w:firstRow="1" w:lastRow="0" w:firstColumn="1" w:lastColumn="0" w:noHBand="0" w:noVBand="1"/>
      </w:tblPr>
      <w:tblGrid>
        <w:gridCol w:w="974"/>
        <w:gridCol w:w="926"/>
        <w:gridCol w:w="1248"/>
        <w:gridCol w:w="1609"/>
        <w:gridCol w:w="1261"/>
        <w:gridCol w:w="1692"/>
        <w:gridCol w:w="1306"/>
      </w:tblGrid>
      <w:tr w:rsidR="00201FE9" w:rsidRPr="00C86111" w14:paraId="2E0F77F8" w14:textId="77777777" w:rsidTr="002E5A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tcPr>
          <w:p w14:paraId="2D12B404"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926" w:type="dxa"/>
            <w:hideMark/>
          </w:tcPr>
          <w:p w14:paraId="4190C383"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248" w:type="dxa"/>
            <w:hideMark/>
          </w:tcPr>
          <w:p w14:paraId="69A94C0F"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609" w:type="dxa"/>
          </w:tcPr>
          <w:p w14:paraId="1ED7C2A1"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56525289"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261" w:type="dxa"/>
          </w:tcPr>
          <w:p w14:paraId="2F35268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692" w:type="dxa"/>
          </w:tcPr>
          <w:p w14:paraId="25135A2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7275D5C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306" w:type="dxa"/>
          </w:tcPr>
          <w:p w14:paraId="2D97A7DC"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5FEAA033"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val="restart"/>
          </w:tcPr>
          <w:p w14:paraId="227A1ECA"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4010</w:t>
            </w:r>
          </w:p>
        </w:tc>
        <w:tc>
          <w:tcPr>
            <w:tcW w:w="926" w:type="dxa"/>
          </w:tcPr>
          <w:p w14:paraId="41FBFFF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2017</w:t>
            </w:r>
          </w:p>
        </w:tc>
        <w:tc>
          <w:tcPr>
            <w:tcW w:w="1248" w:type="dxa"/>
          </w:tcPr>
          <w:p w14:paraId="7B97F66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1949</w:t>
            </w:r>
          </w:p>
        </w:tc>
        <w:tc>
          <w:tcPr>
            <w:tcW w:w="1609" w:type="dxa"/>
          </w:tcPr>
          <w:p w14:paraId="0FD5C74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174AEF9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0.39</w:t>
            </w:r>
          </w:p>
        </w:tc>
        <w:tc>
          <w:tcPr>
            <w:tcW w:w="1692" w:type="dxa"/>
          </w:tcPr>
          <w:p w14:paraId="30D67D4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2F90C53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0.19</w:t>
            </w:r>
          </w:p>
        </w:tc>
      </w:tr>
      <w:tr w:rsidR="00201FE9" w:rsidRPr="00C86111" w14:paraId="6C56E5D1" w14:textId="77777777" w:rsidTr="002E5AB7">
        <w:tc>
          <w:tcPr>
            <w:cnfStyle w:val="001000000000" w:firstRow="0" w:lastRow="0" w:firstColumn="1" w:lastColumn="0" w:oddVBand="0" w:evenVBand="0" w:oddHBand="0" w:evenHBand="0" w:firstRowFirstColumn="0" w:firstRowLastColumn="0" w:lastRowFirstColumn="0" w:lastRowLastColumn="0"/>
            <w:tcW w:w="974" w:type="dxa"/>
            <w:vMerge/>
          </w:tcPr>
          <w:p w14:paraId="4710C0D5"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68C2925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2018</w:t>
            </w:r>
          </w:p>
        </w:tc>
        <w:tc>
          <w:tcPr>
            <w:tcW w:w="1248" w:type="dxa"/>
          </w:tcPr>
          <w:p w14:paraId="0B74906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3941</w:t>
            </w:r>
          </w:p>
        </w:tc>
        <w:tc>
          <w:tcPr>
            <w:tcW w:w="1609" w:type="dxa"/>
          </w:tcPr>
          <w:p w14:paraId="11D3E0B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0860692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0.79</w:t>
            </w:r>
          </w:p>
        </w:tc>
        <w:tc>
          <w:tcPr>
            <w:tcW w:w="1692" w:type="dxa"/>
          </w:tcPr>
          <w:p w14:paraId="75AFD2F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753E267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0.39</w:t>
            </w:r>
          </w:p>
        </w:tc>
      </w:tr>
      <w:tr w:rsidR="00201FE9" w:rsidRPr="00C86111" w14:paraId="04ABF331"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tcPr>
          <w:p w14:paraId="5CBB787D"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1F0A2D1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2019</w:t>
            </w:r>
          </w:p>
        </w:tc>
        <w:tc>
          <w:tcPr>
            <w:tcW w:w="1248" w:type="dxa"/>
          </w:tcPr>
          <w:p w14:paraId="6471022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12774</w:t>
            </w:r>
          </w:p>
        </w:tc>
        <w:tc>
          <w:tcPr>
            <w:tcW w:w="1609" w:type="dxa"/>
          </w:tcPr>
          <w:p w14:paraId="5E6D805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29E17D7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2.6</w:t>
            </w:r>
          </w:p>
        </w:tc>
        <w:tc>
          <w:tcPr>
            <w:tcW w:w="1692" w:type="dxa"/>
          </w:tcPr>
          <w:p w14:paraId="4A96513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03B6537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1.3</w:t>
            </w:r>
          </w:p>
        </w:tc>
      </w:tr>
      <w:tr w:rsidR="00201FE9" w:rsidRPr="00C86111" w14:paraId="22D081EC" w14:textId="77777777" w:rsidTr="002E5AB7">
        <w:tc>
          <w:tcPr>
            <w:cnfStyle w:val="001000000000" w:firstRow="0" w:lastRow="0" w:firstColumn="1" w:lastColumn="0" w:oddVBand="0" w:evenVBand="0" w:oddHBand="0" w:evenHBand="0" w:firstRowFirstColumn="0" w:firstRowLastColumn="0" w:lastRowFirstColumn="0" w:lastRowLastColumn="0"/>
            <w:tcW w:w="974" w:type="dxa"/>
            <w:vMerge/>
          </w:tcPr>
          <w:p w14:paraId="539D49CF"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54256E1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2020</w:t>
            </w:r>
          </w:p>
        </w:tc>
        <w:tc>
          <w:tcPr>
            <w:tcW w:w="1248" w:type="dxa"/>
          </w:tcPr>
          <w:p w14:paraId="3AFCD3F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6094</w:t>
            </w:r>
          </w:p>
        </w:tc>
        <w:tc>
          <w:tcPr>
            <w:tcW w:w="1609" w:type="dxa"/>
          </w:tcPr>
          <w:p w14:paraId="105CE81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573FFAF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1.2</w:t>
            </w:r>
          </w:p>
        </w:tc>
        <w:tc>
          <w:tcPr>
            <w:tcW w:w="1692" w:type="dxa"/>
          </w:tcPr>
          <w:p w14:paraId="4C8BBC4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27C3EFB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0.61</w:t>
            </w:r>
          </w:p>
        </w:tc>
      </w:tr>
      <w:tr w:rsidR="00201FE9" w:rsidRPr="00C86111" w14:paraId="5AEBD28B"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tcPr>
          <w:p w14:paraId="3414FBEC"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241167A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2021</w:t>
            </w:r>
          </w:p>
        </w:tc>
        <w:tc>
          <w:tcPr>
            <w:tcW w:w="1248" w:type="dxa"/>
          </w:tcPr>
          <w:p w14:paraId="4AC1254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5650</w:t>
            </w:r>
          </w:p>
        </w:tc>
        <w:tc>
          <w:tcPr>
            <w:tcW w:w="1609" w:type="dxa"/>
          </w:tcPr>
          <w:p w14:paraId="6EBF67C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3FFC774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1.1</w:t>
            </w:r>
          </w:p>
        </w:tc>
        <w:tc>
          <w:tcPr>
            <w:tcW w:w="1692" w:type="dxa"/>
          </w:tcPr>
          <w:p w14:paraId="5379F90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0953478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0.56</w:t>
            </w:r>
          </w:p>
        </w:tc>
      </w:tr>
      <w:tr w:rsidR="00201FE9" w:rsidRPr="00C86111" w14:paraId="6446596A" w14:textId="77777777" w:rsidTr="002E5AB7">
        <w:tc>
          <w:tcPr>
            <w:cnfStyle w:val="001000000000" w:firstRow="0" w:lastRow="0" w:firstColumn="1" w:lastColumn="0" w:oddVBand="0" w:evenVBand="0" w:oddHBand="0" w:evenHBand="0" w:firstRowFirstColumn="0" w:firstRowLastColumn="0" w:lastRowFirstColumn="0" w:lastRowLastColumn="0"/>
            <w:tcW w:w="974" w:type="dxa"/>
            <w:vMerge/>
          </w:tcPr>
          <w:p w14:paraId="23F909CC"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23F98EC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2022</w:t>
            </w:r>
          </w:p>
        </w:tc>
        <w:tc>
          <w:tcPr>
            <w:tcW w:w="1248" w:type="dxa"/>
          </w:tcPr>
          <w:p w14:paraId="37E766E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14061</w:t>
            </w:r>
          </w:p>
        </w:tc>
        <w:tc>
          <w:tcPr>
            <w:tcW w:w="1609" w:type="dxa"/>
          </w:tcPr>
          <w:p w14:paraId="4364448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78A5ABE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2.8</w:t>
            </w:r>
          </w:p>
        </w:tc>
        <w:tc>
          <w:tcPr>
            <w:tcW w:w="1692" w:type="dxa"/>
          </w:tcPr>
          <w:p w14:paraId="06BFE9D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0B7A0CB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1.4</w:t>
            </w:r>
          </w:p>
        </w:tc>
      </w:tr>
      <w:tr w:rsidR="00201FE9" w:rsidRPr="00C86111" w14:paraId="5AD8A0B5"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tcPr>
          <w:p w14:paraId="79E1134B"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4AAE11A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2023</w:t>
            </w:r>
          </w:p>
        </w:tc>
        <w:tc>
          <w:tcPr>
            <w:tcW w:w="1248" w:type="dxa"/>
          </w:tcPr>
          <w:p w14:paraId="12E7A1E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17997</w:t>
            </w:r>
          </w:p>
        </w:tc>
        <w:tc>
          <w:tcPr>
            <w:tcW w:w="1609" w:type="dxa"/>
          </w:tcPr>
          <w:p w14:paraId="5B3B3F9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1261" w:type="dxa"/>
          </w:tcPr>
          <w:p w14:paraId="0B0426F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3.6</w:t>
            </w:r>
          </w:p>
        </w:tc>
        <w:tc>
          <w:tcPr>
            <w:tcW w:w="1692" w:type="dxa"/>
          </w:tcPr>
          <w:p w14:paraId="39572BF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306" w:type="dxa"/>
          </w:tcPr>
          <w:p w14:paraId="603E8DF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1.8</w:t>
            </w:r>
          </w:p>
        </w:tc>
      </w:tr>
    </w:tbl>
    <w:p w14:paraId="439A1C24" w14:textId="77777777" w:rsidR="00201FE9" w:rsidRPr="00C86111" w:rsidRDefault="00201FE9" w:rsidP="00201FE9">
      <w:pPr>
        <w:spacing w:line="276" w:lineRule="auto"/>
        <w:jc w:val="both"/>
        <w:rPr>
          <w:rFonts w:asciiTheme="minorHAnsi" w:hAnsiTheme="minorHAnsi" w:cstheme="minorHAnsi"/>
          <w:bCs/>
          <w:color w:val="002060"/>
          <w:szCs w:val="24"/>
          <w:lang w:val="sr-Latn-ME"/>
        </w:rPr>
      </w:pPr>
      <w:r w:rsidRPr="00C86111">
        <w:rPr>
          <w:rFonts w:asciiTheme="minorHAnsi" w:hAnsiTheme="minorHAnsi" w:cstheme="minorHAnsi"/>
          <w:bCs/>
          <w:color w:val="002060"/>
          <w:szCs w:val="24"/>
          <w:lang w:val="sr-Latn-ME"/>
        </w:rPr>
        <w:t>*Chen et al. (2021)</w:t>
      </w:r>
    </w:p>
    <w:p w14:paraId="0A36697F" w14:textId="77777777" w:rsidR="00201FE9" w:rsidRPr="00C86111" w:rsidRDefault="00201FE9" w:rsidP="00201FE9">
      <w:pPr>
        <w:spacing w:line="276" w:lineRule="auto"/>
        <w:jc w:val="both"/>
        <w:rPr>
          <w:rFonts w:asciiTheme="minorHAnsi" w:hAnsiTheme="minorHAnsi" w:cstheme="minorHAnsi"/>
          <w:bCs/>
          <w:color w:val="auto"/>
          <w:szCs w:val="24"/>
          <w:lang w:val="sr-Latn-ME"/>
        </w:rPr>
      </w:pPr>
    </w:p>
    <w:p w14:paraId="6479ED80" w14:textId="58F6D0A4" w:rsidR="00201FE9" w:rsidRPr="00C86111" w:rsidRDefault="00201FE9" w:rsidP="00201FE9">
      <w:pPr>
        <w:spacing w:line="276" w:lineRule="auto"/>
        <w:jc w:val="both"/>
        <w:rPr>
          <w:rFonts w:asciiTheme="minorHAnsi" w:hAnsiTheme="minorHAnsi" w:cstheme="minorHAnsi"/>
          <w:bCs/>
          <w:color w:val="auto"/>
          <w:szCs w:val="24"/>
          <w:lang w:val="sr-Latn-ME"/>
        </w:rPr>
      </w:pPr>
      <w:r w:rsidRPr="00C86111">
        <w:rPr>
          <w:rFonts w:asciiTheme="minorHAnsi" w:hAnsiTheme="minorHAnsi" w:cstheme="minorHAnsi"/>
          <w:bCs/>
          <w:color w:val="auto"/>
          <w:szCs w:val="24"/>
          <w:lang w:val="sr-Latn-ME"/>
        </w:rPr>
        <w:t xml:space="preserve">Količine </w:t>
      </w:r>
      <w:r w:rsidR="004A37AE" w:rsidRPr="00C86111">
        <w:rPr>
          <w:rFonts w:asciiTheme="minorHAnsi" w:hAnsiTheme="minorHAnsi" w:cstheme="minorHAnsi"/>
          <w:bCs/>
          <w:color w:val="auto"/>
          <w:szCs w:val="24"/>
          <w:lang w:val="sr-Latn-ME"/>
        </w:rPr>
        <w:t xml:space="preserve">SCCP i MCCP </w:t>
      </w:r>
      <w:r w:rsidRPr="00C86111">
        <w:rPr>
          <w:rFonts w:asciiTheme="minorHAnsi" w:hAnsiTheme="minorHAnsi" w:cstheme="minorHAnsi"/>
          <w:bCs/>
          <w:color w:val="auto"/>
          <w:szCs w:val="24"/>
          <w:lang w:val="sr-Latn-ME"/>
        </w:rPr>
        <w:t>su niske tokom cijelog perioda, pri čemu se SCCP kreće od 0,39 kg u 2017. do 3,6 kg u 2023. godini, a MCCP od 0,19 kg do 1,8 kg. Uprkos fluktuacijama u količinama uvoza, ukupni nivoi ovih supstanci su minimalni, što ukazuje na nizak potencijalni rizik u poređenju sa proizvodima sa višim koncentracijama, kao što je HS 4008.</w:t>
      </w:r>
    </w:p>
    <w:p w14:paraId="34992277" w14:textId="77777777" w:rsidR="00201FE9" w:rsidRPr="00C86111" w:rsidRDefault="00201FE9" w:rsidP="00201FE9">
      <w:pPr>
        <w:spacing w:line="276" w:lineRule="auto"/>
        <w:jc w:val="both"/>
        <w:rPr>
          <w:rFonts w:asciiTheme="minorHAnsi" w:hAnsiTheme="minorHAnsi" w:cstheme="minorHAnsi"/>
          <w:bCs/>
          <w:color w:val="auto"/>
          <w:szCs w:val="24"/>
          <w:lang w:val="sr-Latn-ME"/>
        </w:rPr>
      </w:pPr>
    </w:p>
    <w:p w14:paraId="71CBF656" w14:textId="5B063752"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Tabela </w:t>
      </w:r>
      <w:r w:rsidR="004A37AE" w:rsidRPr="00C86111">
        <w:rPr>
          <w:rFonts w:asciiTheme="minorHAnsi" w:eastAsia="Times New Roman" w:hAnsiTheme="minorHAnsi" w:cstheme="minorHAnsi"/>
          <w:color w:val="auto"/>
          <w:szCs w:val="24"/>
          <w:lang w:val="sr-Latn-ME"/>
        </w:rPr>
        <w:t>104.</w:t>
      </w:r>
      <w:r w:rsidRPr="00C86111">
        <w:rPr>
          <w:rFonts w:asciiTheme="minorHAnsi" w:eastAsia="Times New Roman" w:hAnsiTheme="minorHAnsi" w:cstheme="minorHAnsi"/>
          <w:color w:val="auto"/>
          <w:szCs w:val="24"/>
          <w:lang w:val="sr-Latn-ME"/>
        </w:rPr>
        <w:t xml:space="preserve"> i Grafik </w:t>
      </w:r>
      <w:r w:rsidR="004A37AE" w:rsidRPr="00C86111">
        <w:rPr>
          <w:rFonts w:asciiTheme="minorHAnsi" w:eastAsia="Times New Roman" w:hAnsiTheme="minorHAnsi" w:cstheme="minorHAnsi"/>
          <w:color w:val="auto"/>
          <w:szCs w:val="24"/>
          <w:lang w:val="sr-Latn-ME"/>
        </w:rPr>
        <w:t>3</w:t>
      </w:r>
      <w:r w:rsidR="00547278">
        <w:rPr>
          <w:rFonts w:asciiTheme="minorHAnsi" w:eastAsia="Times New Roman" w:hAnsiTheme="minorHAnsi" w:cstheme="minorHAnsi"/>
          <w:color w:val="auto"/>
          <w:szCs w:val="24"/>
          <w:lang w:val="sr-Latn-ME"/>
        </w:rPr>
        <w:t>8</w:t>
      </w:r>
      <w:r w:rsidR="004A37AE" w:rsidRPr="00C86111">
        <w:rPr>
          <w:rFonts w:asciiTheme="minorHAnsi" w:eastAsia="Times New Roman" w:hAnsiTheme="minorHAnsi" w:cstheme="minorHAnsi"/>
          <w:color w:val="auto"/>
          <w:szCs w:val="24"/>
          <w:lang w:val="sr-Latn-ME"/>
        </w:rPr>
        <w:t>.</w:t>
      </w:r>
      <w:r w:rsidRPr="00C86111">
        <w:rPr>
          <w:rFonts w:asciiTheme="minorHAnsi" w:eastAsia="Times New Roman" w:hAnsiTheme="minorHAnsi" w:cstheme="minorHAnsi"/>
          <w:color w:val="auto"/>
          <w:szCs w:val="24"/>
          <w:lang w:val="sr-Latn-ME"/>
        </w:rPr>
        <w:t xml:space="preserve"> prikazuju pregled količina uvezenih gumenih proizvoda sa HS kodom 4015 iz Kine za period 2017-2023, kao i izračunate količine SCCP i MCCP.</w:t>
      </w:r>
    </w:p>
    <w:p w14:paraId="3353198A" w14:textId="77777777" w:rsidR="004A37AE" w:rsidRPr="00C86111" w:rsidRDefault="004A37AE" w:rsidP="00201FE9">
      <w:pPr>
        <w:spacing w:line="276" w:lineRule="auto"/>
        <w:jc w:val="both"/>
        <w:rPr>
          <w:rFonts w:asciiTheme="minorHAnsi" w:eastAsia="Times New Roman" w:hAnsiTheme="minorHAnsi" w:cstheme="minorHAnsi"/>
          <w:color w:val="auto"/>
          <w:szCs w:val="24"/>
          <w:lang w:val="sr-Latn-ME"/>
        </w:rPr>
      </w:pPr>
    </w:p>
    <w:p w14:paraId="38B6298B" w14:textId="1440B255" w:rsidR="00201FE9" w:rsidRPr="00C86111" w:rsidRDefault="00201FE9" w:rsidP="00201FE9">
      <w:pPr>
        <w:pStyle w:val="Caption"/>
        <w:rPr>
          <w:rFonts w:eastAsia="Times New Roman" w:cstheme="minorHAnsi"/>
          <w:b w:val="0"/>
          <w:bCs/>
          <w:sz w:val="24"/>
          <w:szCs w:val="24"/>
          <w:lang w:val="sr-Latn-ME" w:eastAsia="en-US"/>
        </w:rPr>
      </w:pPr>
      <w:bookmarkStart w:id="395" w:name="_Toc210743915"/>
      <w:r w:rsidRPr="00C86111">
        <w:rPr>
          <w:rFonts w:cstheme="minorHAnsi"/>
          <w:bCs/>
          <w:sz w:val="24"/>
          <w:szCs w:val="24"/>
        </w:rPr>
        <w:t xml:space="preserve">Tabela </w:t>
      </w:r>
      <w:r w:rsidR="004A37AE" w:rsidRPr="0042690B">
        <w:rPr>
          <w:rFonts w:cstheme="minorHAnsi"/>
          <w:sz w:val="24"/>
          <w:szCs w:val="24"/>
        </w:rPr>
        <w:t>104</w:t>
      </w:r>
      <w:r w:rsidRPr="0042690B">
        <w:rPr>
          <w:rFonts w:cstheme="minorHAnsi"/>
          <w:sz w:val="24"/>
          <w:szCs w:val="24"/>
        </w:rPr>
        <w:t>.</w:t>
      </w:r>
      <w:r w:rsidRPr="00C86111">
        <w:rPr>
          <w:rFonts w:cstheme="minorHAnsi"/>
          <w:bCs/>
          <w:sz w:val="24"/>
          <w:szCs w:val="24"/>
        </w:rPr>
        <w:t xml:space="preserve"> </w:t>
      </w:r>
      <w:r w:rsidRPr="00C86111">
        <w:rPr>
          <w:rFonts w:cstheme="minorHAnsi"/>
          <w:b w:val="0"/>
          <w:bCs/>
          <w:sz w:val="24"/>
          <w:szCs w:val="24"/>
        </w:rPr>
        <w:t>Količine uvezenih gumenih proizvoda sa HS kodom 4015 za period 2017-2023 i procijenjene količine SCCP i MCCP</w:t>
      </w:r>
      <w:bookmarkEnd w:id="395"/>
    </w:p>
    <w:tbl>
      <w:tblPr>
        <w:tblStyle w:val="GridTable5Dark-Accent6"/>
        <w:tblW w:w="9016" w:type="dxa"/>
        <w:tblLook w:val="04A0" w:firstRow="1" w:lastRow="0" w:firstColumn="1" w:lastColumn="0" w:noHBand="0" w:noVBand="1"/>
      </w:tblPr>
      <w:tblGrid>
        <w:gridCol w:w="956"/>
        <w:gridCol w:w="926"/>
        <w:gridCol w:w="1320"/>
        <w:gridCol w:w="1599"/>
        <w:gridCol w:w="1311"/>
        <w:gridCol w:w="1613"/>
        <w:gridCol w:w="1291"/>
      </w:tblGrid>
      <w:tr w:rsidR="00201FE9" w:rsidRPr="00C86111" w14:paraId="1666061F"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Pr>
          <w:p w14:paraId="3F648D57"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890" w:type="dxa"/>
            <w:hideMark/>
          </w:tcPr>
          <w:p w14:paraId="0F8F2643"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268" w:type="dxa"/>
            <w:hideMark/>
          </w:tcPr>
          <w:p w14:paraId="01BBA226"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537" w:type="dxa"/>
          </w:tcPr>
          <w:p w14:paraId="16483C10"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6C34E46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260" w:type="dxa"/>
          </w:tcPr>
          <w:p w14:paraId="442AB21C"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550" w:type="dxa"/>
          </w:tcPr>
          <w:p w14:paraId="34FFB7A9"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51359FE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241" w:type="dxa"/>
          </w:tcPr>
          <w:p w14:paraId="1144C5D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62B2A7D6"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val="restart"/>
          </w:tcPr>
          <w:p w14:paraId="63059E43"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4015</w:t>
            </w:r>
          </w:p>
        </w:tc>
        <w:tc>
          <w:tcPr>
            <w:tcW w:w="890" w:type="dxa"/>
          </w:tcPr>
          <w:p w14:paraId="699569B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2017</w:t>
            </w:r>
          </w:p>
        </w:tc>
        <w:tc>
          <w:tcPr>
            <w:tcW w:w="1268" w:type="dxa"/>
          </w:tcPr>
          <w:p w14:paraId="2405C1F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14282</w:t>
            </w:r>
          </w:p>
        </w:tc>
        <w:tc>
          <w:tcPr>
            <w:tcW w:w="1537" w:type="dxa"/>
          </w:tcPr>
          <w:p w14:paraId="0BEDE4F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10.8</w:t>
            </w:r>
          </w:p>
        </w:tc>
        <w:tc>
          <w:tcPr>
            <w:tcW w:w="1260" w:type="dxa"/>
          </w:tcPr>
          <w:p w14:paraId="407583D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154</w:t>
            </w:r>
          </w:p>
        </w:tc>
        <w:tc>
          <w:tcPr>
            <w:tcW w:w="1550" w:type="dxa"/>
          </w:tcPr>
          <w:p w14:paraId="77508E9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57.8</w:t>
            </w:r>
          </w:p>
        </w:tc>
        <w:tc>
          <w:tcPr>
            <w:tcW w:w="1241" w:type="dxa"/>
          </w:tcPr>
          <w:p w14:paraId="687B713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826</w:t>
            </w:r>
          </w:p>
        </w:tc>
      </w:tr>
      <w:tr w:rsidR="00201FE9" w:rsidRPr="00C86111" w14:paraId="6DE5189F" w14:textId="77777777" w:rsidTr="00BC765B">
        <w:tc>
          <w:tcPr>
            <w:cnfStyle w:val="001000000000" w:firstRow="0" w:lastRow="0" w:firstColumn="1" w:lastColumn="0" w:oddVBand="0" w:evenVBand="0" w:oddHBand="0" w:evenHBand="0" w:firstRowFirstColumn="0" w:firstRowLastColumn="0" w:lastRowFirstColumn="0" w:lastRowLastColumn="0"/>
            <w:tcW w:w="918" w:type="dxa"/>
            <w:vMerge/>
          </w:tcPr>
          <w:p w14:paraId="7ADDB5AC"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268F8E2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2018</w:t>
            </w:r>
          </w:p>
        </w:tc>
        <w:tc>
          <w:tcPr>
            <w:tcW w:w="1268" w:type="dxa"/>
          </w:tcPr>
          <w:p w14:paraId="6C4C718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37722</w:t>
            </w:r>
          </w:p>
        </w:tc>
        <w:tc>
          <w:tcPr>
            <w:tcW w:w="1537" w:type="dxa"/>
          </w:tcPr>
          <w:p w14:paraId="4BAD788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10.8</w:t>
            </w:r>
          </w:p>
        </w:tc>
        <w:tc>
          <w:tcPr>
            <w:tcW w:w="1260" w:type="dxa"/>
          </w:tcPr>
          <w:p w14:paraId="58F5BD5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407</w:t>
            </w:r>
          </w:p>
        </w:tc>
        <w:tc>
          <w:tcPr>
            <w:tcW w:w="1550" w:type="dxa"/>
          </w:tcPr>
          <w:p w14:paraId="666E8F5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57.8</w:t>
            </w:r>
          </w:p>
        </w:tc>
        <w:tc>
          <w:tcPr>
            <w:tcW w:w="1241" w:type="dxa"/>
          </w:tcPr>
          <w:p w14:paraId="3A7D244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2180</w:t>
            </w:r>
          </w:p>
        </w:tc>
      </w:tr>
      <w:tr w:rsidR="00201FE9" w:rsidRPr="00C86111" w14:paraId="46A517F8"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Pr>
          <w:p w14:paraId="08EE7663"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3F4079B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2019</w:t>
            </w:r>
          </w:p>
        </w:tc>
        <w:tc>
          <w:tcPr>
            <w:tcW w:w="1268" w:type="dxa"/>
          </w:tcPr>
          <w:p w14:paraId="278A8C2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38304</w:t>
            </w:r>
          </w:p>
        </w:tc>
        <w:tc>
          <w:tcPr>
            <w:tcW w:w="1537" w:type="dxa"/>
          </w:tcPr>
          <w:p w14:paraId="09301EE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10.8</w:t>
            </w:r>
          </w:p>
        </w:tc>
        <w:tc>
          <w:tcPr>
            <w:tcW w:w="1260" w:type="dxa"/>
          </w:tcPr>
          <w:p w14:paraId="161EFA4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414</w:t>
            </w:r>
          </w:p>
        </w:tc>
        <w:tc>
          <w:tcPr>
            <w:tcW w:w="1550" w:type="dxa"/>
          </w:tcPr>
          <w:p w14:paraId="3D747EF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57.8</w:t>
            </w:r>
          </w:p>
        </w:tc>
        <w:tc>
          <w:tcPr>
            <w:tcW w:w="1241" w:type="dxa"/>
          </w:tcPr>
          <w:p w14:paraId="393879C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2214</w:t>
            </w:r>
          </w:p>
        </w:tc>
      </w:tr>
      <w:tr w:rsidR="00201FE9" w:rsidRPr="00C86111" w14:paraId="55E2762A" w14:textId="77777777" w:rsidTr="00BC765B">
        <w:tc>
          <w:tcPr>
            <w:cnfStyle w:val="001000000000" w:firstRow="0" w:lastRow="0" w:firstColumn="1" w:lastColumn="0" w:oddVBand="0" w:evenVBand="0" w:oddHBand="0" w:evenHBand="0" w:firstRowFirstColumn="0" w:firstRowLastColumn="0" w:lastRowFirstColumn="0" w:lastRowLastColumn="0"/>
            <w:tcW w:w="918" w:type="dxa"/>
            <w:vMerge/>
          </w:tcPr>
          <w:p w14:paraId="469559EA"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6AA7312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2020</w:t>
            </w:r>
          </w:p>
        </w:tc>
        <w:tc>
          <w:tcPr>
            <w:tcW w:w="1268" w:type="dxa"/>
          </w:tcPr>
          <w:p w14:paraId="2B15D2D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42174</w:t>
            </w:r>
          </w:p>
        </w:tc>
        <w:tc>
          <w:tcPr>
            <w:tcW w:w="1537" w:type="dxa"/>
          </w:tcPr>
          <w:p w14:paraId="7F46D0A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10.8</w:t>
            </w:r>
          </w:p>
        </w:tc>
        <w:tc>
          <w:tcPr>
            <w:tcW w:w="1260" w:type="dxa"/>
          </w:tcPr>
          <w:p w14:paraId="5AC09B1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456</w:t>
            </w:r>
          </w:p>
        </w:tc>
        <w:tc>
          <w:tcPr>
            <w:tcW w:w="1550" w:type="dxa"/>
          </w:tcPr>
          <w:p w14:paraId="2A0AD98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57.8</w:t>
            </w:r>
          </w:p>
        </w:tc>
        <w:tc>
          <w:tcPr>
            <w:tcW w:w="1241" w:type="dxa"/>
          </w:tcPr>
          <w:p w14:paraId="7D48333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2438</w:t>
            </w:r>
          </w:p>
        </w:tc>
      </w:tr>
      <w:tr w:rsidR="00201FE9" w:rsidRPr="00C86111" w14:paraId="4BDB81F3"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Pr>
          <w:p w14:paraId="6BDBFC5A"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716CF36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2021</w:t>
            </w:r>
          </w:p>
        </w:tc>
        <w:tc>
          <w:tcPr>
            <w:tcW w:w="1268" w:type="dxa"/>
          </w:tcPr>
          <w:p w14:paraId="7BC2365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57085</w:t>
            </w:r>
          </w:p>
        </w:tc>
        <w:tc>
          <w:tcPr>
            <w:tcW w:w="1537" w:type="dxa"/>
          </w:tcPr>
          <w:p w14:paraId="64ABA0E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10.8</w:t>
            </w:r>
          </w:p>
        </w:tc>
        <w:tc>
          <w:tcPr>
            <w:tcW w:w="1260" w:type="dxa"/>
          </w:tcPr>
          <w:p w14:paraId="27490DD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617</w:t>
            </w:r>
          </w:p>
        </w:tc>
        <w:tc>
          <w:tcPr>
            <w:tcW w:w="1550" w:type="dxa"/>
          </w:tcPr>
          <w:p w14:paraId="38A4F35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57.8</w:t>
            </w:r>
          </w:p>
        </w:tc>
        <w:tc>
          <w:tcPr>
            <w:tcW w:w="1241" w:type="dxa"/>
          </w:tcPr>
          <w:p w14:paraId="2B17D1E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3300</w:t>
            </w:r>
          </w:p>
        </w:tc>
      </w:tr>
      <w:tr w:rsidR="00201FE9" w:rsidRPr="00C86111" w14:paraId="0BAAA469" w14:textId="77777777" w:rsidTr="00BC765B">
        <w:tc>
          <w:tcPr>
            <w:cnfStyle w:val="001000000000" w:firstRow="0" w:lastRow="0" w:firstColumn="1" w:lastColumn="0" w:oddVBand="0" w:evenVBand="0" w:oddHBand="0" w:evenHBand="0" w:firstRowFirstColumn="0" w:firstRowLastColumn="0" w:lastRowFirstColumn="0" w:lastRowLastColumn="0"/>
            <w:tcW w:w="918" w:type="dxa"/>
            <w:vMerge/>
          </w:tcPr>
          <w:p w14:paraId="3F151F9E"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286AD02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2022</w:t>
            </w:r>
          </w:p>
        </w:tc>
        <w:tc>
          <w:tcPr>
            <w:tcW w:w="1268" w:type="dxa"/>
          </w:tcPr>
          <w:p w14:paraId="24C06D9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44058</w:t>
            </w:r>
          </w:p>
        </w:tc>
        <w:tc>
          <w:tcPr>
            <w:tcW w:w="1537" w:type="dxa"/>
          </w:tcPr>
          <w:p w14:paraId="053A0D2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10.8</w:t>
            </w:r>
          </w:p>
        </w:tc>
        <w:tc>
          <w:tcPr>
            <w:tcW w:w="1260" w:type="dxa"/>
          </w:tcPr>
          <w:p w14:paraId="1F1696D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476</w:t>
            </w:r>
          </w:p>
        </w:tc>
        <w:tc>
          <w:tcPr>
            <w:tcW w:w="1550" w:type="dxa"/>
          </w:tcPr>
          <w:p w14:paraId="40A46BA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57.8</w:t>
            </w:r>
          </w:p>
        </w:tc>
        <w:tc>
          <w:tcPr>
            <w:tcW w:w="1241" w:type="dxa"/>
          </w:tcPr>
          <w:p w14:paraId="7EC2A11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2547</w:t>
            </w:r>
          </w:p>
        </w:tc>
      </w:tr>
      <w:tr w:rsidR="00201FE9" w:rsidRPr="00C86111" w14:paraId="246ABE23"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Pr>
          <w:p w14:paraId="2C71F456"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2AB756D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2023</w:t>
            </w:r>
          </w:p>
        </w:tc>
        <w:tc>
          <w:tcPr>
            <w:tcW w:w="1268" w:type="dxa"/>
          </w:tcPr>
          <w:p w14:paraId="568A660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40007</w:t>
            </w:r>
          </w:p>
        </w:tc>
        <w:tc>
          <w:tcPr>
            <w:tcW w:w="1537" w:type="dxa"/>
          </w:tcPr>
          <w:p w14:paraId="16789C5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10.8</w:t>
            </w:r>
          </w:p>
        </w:tc>
        <w:tc>
          <w:tcPr>
            <w:tcW w:w="1260" w:type="dxa"/>
          </w:tcPr>
          <w:p w14:paraId="2C129D3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432</w:t>
            </w:r>
          </w:p>
        </w:tc>
        <w:tc>
          <w:tcPr>
            <w:tcW w:w="1550" w:type="dxa"/>
          </w:tcPr>
          <w:p w14:paraId="6126C24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57.8</w:t>
            </w:r>
          </w:p>
        </w:tc>
        <w:tc>
          <w:tcPr>
            <w:tcW w:w="1241" w:type="dxa"/>
          </w:tcPr>
          <w:p w14:paraId="26F8734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2312</w:t>
            </w:r>
          </w:p>
        </w:tc>
      </w:tr>
    </w:tbl>
    <w:p w14:paraId="2E0D14AA" w14:textId="77777777" w:rsidR="00201FE9" w:rsidRPr="00C86111" w:rsidRDefault="00201FE9" w:rsidP="00201FE9">
      <w:pPr>
        <w:spacing w:line="276" w:lineRule="auto"/>
        <w:jc w:val="both"/>
        <w:rPr>
          <w:rFonts w:asciiTheme="minorHAnsi" w:hAnsiTheme="minorHAnsi" w:cstheme="minorHAnsi"/>
          <w:bCs/>
          <w:color w:val="auto"/>
          <w:szCs w:val="24"/>
          <w:lang w:val="sr-Latn-ME"/>
        </w:rPr>
      </w:pPr>
      <w:r w:rsidRPr="00C86111">
        <w:rPr>
          <w:rFonts w:asciiTheme="minorHAnsi" w:hAnsiTheme="minorHAnsi" w:cstheme="minorHAnsi"/>
          <w:bCs/>
          <w:color w:val="auto"/>
          <w:szCs w:val="24"/>
          <w:lang w:val="sr-Latn-ME"/>
        </w:rPr>
        <w:t>*Chen et al. (2021)</w:t>
      </w:r>
    </w:p>
    <w:p w14:paraId="46DE9054" w14:textId="77777777" w:rsidR="00201FE9" w:rsidRPr="00C86111" w:rsidRDefault="00201FE9" w:rsidP="00201FE9">
      <w:pPr>
        <w:spacing w:line="276" w:lineRule="auto"/>
        <w:jc w:val="both"/>
        <w:rPr>
          <w:rFonts w:asciiTheme="minorHAnsi" w:hAnsiTheme="minorHAnsi" w:cstheme="minorHAnsi"/>
          <w:bCs/>
          <w:color w:val="auto"/>
          <w:szCs w:val="24"/>
          <w:lang w:val="sr-Latn-ME"/>
        </w:rPr>
      </w:pPr>
    </w:p>
    <w:p w14:paraId="6353C6CC"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lastRenderedPageBreak/>
        <w:drawing>
          <wp:inline distT="0" distB="0" distL="0" distR="0" wp14:anchorId="1AB8F3E9" wp14:editId="4471EE30">
            <wp:extent cx="4823460" cy="2064327"/>
            <wp:effectExtent l="0" t="0" r="15240" b="12700"/>
            <wp:docPr id="1104071354" name="Chart 1104071354">
              <a:extLst xmlns:a="http://schemas.openxmlformats.org/drawingml/2006/main">
                <a:ext uri="{FF2B5EF4-FFF2-40B4-BE49-F238E27FC236}">
                  <a16:creationId xmlns:a16="http://schemas.microsoft.com/office/drawing/2014/main" id="{C94545FD-9AB7-471A-902E-16F61A249C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FFE699C" w14:textId="4784662F" w:rsidR="00201FE9" w:rsidRPr="00C86111" w:rsidRDefault="00201FE9" w:rsidP="00201FE9">
      <w:pPr>
        <w:spacing w:line="276" w:lineRule="auto"/>
        <w:jc w:val="center"/>
        <w:rPr>
          <w:rFonts w:asciiTheme="minorHAnsi" w:hAnsiTheme="minorHAnsi" w:cstheme="minorHAnsi"/>
          <w:i/>
          <w:iCs/>
          <w:color w:val="auto"/>
          <w:szCs w:val="24"/>
          <w:lang w:val="sr-Latn-ME"/>
        </w:rPr>
      </w:pPr>
      <w:r w:rsidRPr="00C86111">
        <w:rPr>
          <w:rFonts w:asciiTheme="minorHAnsi" w:hAnsiTheme="minorHAnsi" w:cstheme="minorHAnsi"/>
          <w:b/>
          <w:bCs/>
          <w:color w:val="auto"/>
          <w:szCs w:val="24"/>
          <w:lang w:val="sr-Latn-ME"/>
        </w:rPr>
        <w:t>Grafik 3</w:t>
      </w:r>
      <w:r w:rsidR="00547278">
        <w:rPr>
          <w:rFonts w:asciiTheme="minorHAnsi" w:hAnsiTheme="minorHAnsi" w:cstheme="minorHAnsi"/>
          <w:b/>
          <w:bCs/>
          <w:color w:val="auto"/>
          <w:szCs w:val="24"/>
          <w:lang w:val="sr-Latn-ME"/>
        </w:rPr>
        <w:t>8</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Procijenjena količina SCCP i MCCP u proizvodima sa HS kodom 4015 uvezenim u periodu 2017-2023</w:t>
      </w:r>
      <w:r w:rsidRPr="00C86111">
        <w:rPr>
          <w:rFonts w:asciiTheme="minorHAnsi" w:hAnsiTheme="minorHAnsi" w:cstheme="minorHAnsi"/>
          <w:i/>
          <w:iCs/>
          <w:color w:val="auto"/>
          <w:szCs w:val="24"/>
          <w:lang w:val="sr-Latn-ME"/>
        </w:rPr>
        <w:t>.</w:t>
      </w:r>
    </w:p>
    <w:p w14:paraId="7E2655EB" w14:textId="77777777"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p>
    <w:p w14:paraId="1FBB06D1" w14:textId="4DCC0205"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Grafik 3</w:t>
      </w:r>
      <w:r w:rsidR="00056E0C" w:rsidRPr="00C86111">
        <w:rPr>
          <w:rFonts w:asciiTheme="minorHAnsi" w:eastAsia="Times New Roman" w:hAnsiTheme="minorHAnsi" w:cstheme="minorHAnsi"/>
          <w:color w:val="auto"/>
          <w:szCs w:val="24"/>
          <w:lang w:val="sr-Latn-ME"/>
        </w:rPr>
        <w:t>6.</w:t>
      </w:r>
      <w:r w:rsidRPr="00C86111">
        <w:rPr>
          <w:rFonts w:asciiTheme="minorHAnsi" w:eastAsia="Times New Roman" w:hAnsiTheme="minorHAnsi" w:cstheme="minorHAnsi"/>
          <w:color w:val="auto"/>
          <w:szCs w:val="24"/>
          <w:lang w:val="sr-Latn-ME"/>
        </w:rPr>
        <w:t xml:space="preserve"> prikazuje procijenjene količine SCCP i MCCP u uvezenim gumenim proizvodima (HS kod 4015) od 2017. do 2023. godine. Oba jedinjenja su prisutna u značajnim količinama, pri čemu se količine SCCP kreću od 154 kg u 2017. do 617 kg u 2021. godini, a MCCP od 826 kg do 3300 kg u istom periodu. Iako količine uvoza variraju, opšti trend ukazuje na konstantno visoke nivoe ovih supstanci, što ističe značajnu potencijalnu izloženost u poređenju sa proizvodima sa nižim koncentracijama, kao što su HS 4009 ili HS 4010.</w:t>
      </w:r>
    </w:p>
    <w:p w14:paraId="65014FDF" w14:textId="65D728ED"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Tabela </w:t>
      </w:r>
      <w:r w:rsidR="004A37AE" w:rsidRPr="00C86111">
        <w:rPr>
          <w:rFonts w:asciiTheme="minorHAnsi" w:eastAsia="Times New Roman" w:hAnsiTheme="minorHAnsi" w:cstheme="minorHAnsi"/>
          <w:color w:val="auto"/>
          <w:szCs w:val="24"/>
          <w:lang w:val="sr-Latn-ME"/>
        </w:rPr>
        <w:t>105.</w:t>
      </w:r>
      <w:r w:rsidRPr="00C86111">
        <w:rPr>
          <w:rFonts w:asciiTheme="minorHAnsi" w:eastAsia="Times New Roman" w:hAnsiTheme="minorHAnsi" w:cstheme="minorHAnsi"/>
          <w:color w:val="auto"/>
          <w:szCs w:val="24"/>
          <w:lang w:val="sr-Latn-ME"/>
        </w:rPr>
        <w:t xml:space="preserve"> i Grafik </w:t>
      </w:r>
      <w:r w:rsidR="004A37AE" w:rsidRPr="00C86111">
        <w:rPr>
          <w:rFonts w:asciiTheme="minorHAnsi" w:eastAsia="Times New Roman" w:hAnsiTheme="minorHAnsi" w:cstheme="minorHAnsi"/>
          <w:color w:val="auto"/>
          <w:szCs w:val="24"/>
          <w:lang w:val="sr-Latn-ME"/>
        </w:rPr>
        <w:t>3</w:t>
      </w:r>
      <w:r w:rsidR="00547278">
        <w:rPr>
          <w:rFonts w:asciiTheme="minorHAnsi" w:eastAsia="Times New Roman" w:hAnsiTheme="minorHAnsi" w:cstheme="minorHAnsi"/>
          <w:color w:val="auto"/>
          <w:szCs w:val="24"/>
          <w:lang w:val="sr-Latn-ME"/>
        </w:rPr>
        <w:t>9</w:t>
      </w:r>
      <w:r w:rsidR="004A37AE" w:rsidRPr="00C86111">
        <w:rPr>
          <w:rFonts w:asciiTheme="minorHAnsi" w:eastAsia="Times New Roman" w:hAnsiTheme="minorHAnsi" w:cstheme="minorHAnsi"/>
          <w:color w:val="auto"/>
          <w:szCs w:val="24"/>
          <w:lang w:val="sr-Latn-ME"/>
        </w:rPr>
        <w:t>.</w:t>
      </w:r>
      <w:r w:rsidRPr="00C86111">
        <w:rPr>
          <w:rFonts w:asciiTheme="minorHAnsi" w:eastAsia="Times New Roman" w:hAnsiTheme="minorHAnsi" w:cstheme="minorHAnsi"/>
          <w:color w:val="auto"/>
          <w:szCs w:val="24"/>
          <w:lang w:val="sr-Latn-ME"/>
        </w:rPr>
        <w:t xml:space="preserve"> prikazuju pregled količina uvezenih gumenih proizvoda sa HS kodom 4016 iz Kine za period 2017-2023, kao i izračunate količine SCCP i MCCP.</w:t>
      </w:r>
    </w:p>
    <w:p w14:paraId="7EB11D89" w14:textId="77777777" w:rsidR="002E5AB7" w:rsidRDefault="002E5AB7" w:rsidP="00201FE9">
      <w:pPr>
        <w:pStyle w:val="Caption"/>
        <w:keepNext/>
        <w:rPr>
          <w:rFonts w:cstheme="minorHAnsi"/>
          <w:bCs/>
          <w:sz w:val="24"/>
          <w:szCs w:val="24"/>
        </w:rPr>
      </w:pPr>
      <w:bookmarkStart w:id="396" w:name="_Toc210743916"/>
    </w:p>
    <w:p w14:paraId="7E6216F1" w14:textId="433FB936" w:rsidR="00201FE9" w:rsidRPr="00C86111" w:rsidRDefault="00201FE9" w:rsidP="00201FE9">
      <w:pPr>
        <w:pStyle w:val="Caption"/>
        <w:keepNext/>
        <w:rPr>
          <w:rFonts w:cstheme="minorHAnsi"/>
          <w:b w:val="0"/>
          <w:bCs/>
          <w:sz w:val="24"/>
          <w:szCs w:val="24"/>
        </w:rPr>
      </w:pPr>
      <w:r w:rsidRPr="00C86111">
        <w:rPr>
          <w:rFonts w:cstheme="minorHAnsi"/>
          <w:bCs/>
          <w:sz w:val="24"/>
          <w:szCs w:val="24"/>
        </w:rPr>
        <w:t xml:space="preserve">Tabela </w:t>
      </w:r>
      <w:r w:rsidR="004A37AE" w:rsidRPr="0042690B">
        <w:rPr>
          <w:rFonts w:cstheme="minorHAnsi"/>
          <w:sz w:val="24"/>
          <w:szCs w:val="24"/>
        </w:rPr>
        <w:t>105</w:t>
      </w:r>
      <w:r w:rsidRPr="0042690B">
        <w:rPr>
          <w:rFonts w:cstheme="minorHAnsi"/>
          <w:sz w:val="24"/>
          <w:szCs w:val="24"/>
        </w:rPr>
        <w:t>.</w:t>
      </w:r>
      <w:r w:rsidRPr="00C86111">
        <w:rPr>
          <w:rFonts w:cstheme="minorHAnsi"/>
          <w:sz w:val="24"/>
          <w:szCs w:val="24"/>
        </w:rPr>
        <w:t xml:space="preserve"> </w:t>
      </w:r>
      <w:r w:rsidRPr="00C86111">
        <w:rPr>
          <w:rFonts w:cstheme="minorHAnsi"/>
          <w:b w:val="0"/>
          <w:bCs/>
          <w:sz w:val="24"/>
          <w:szCs w:val="24"/>
        </w:rPr>
        <w:t>Količine uvezenih gumenih proizvoda sa HS kodom 4016 za period 2017-2023 i procijenjene količine SCCP i MCCP</w:t>
      </w:r>
      <w:bookmarkEnd w:id="396"/>
    </w:p>
    <w:tbl>
      <w:tblPr>
        <w:tblStyle w:val="GridTable5Dark-Accent6"/>
        <w:tblW w:w="9016" w:type="dxa"/>
        <w:tblLook w:val="04A0" w:firstRow="1" w:lastRow="0" w:firstColumn="1" w:lastColumn="0" w:noHBand="0" w:noVBand="1"/>
      </w:tblPr>
      <w:tblGrid>
        <w:gridCol w:w="974"/>
        <w:gridCol w:w="926"/>
        <w:gridCol w:w="1248"/>
        <w:gridCol w:w="1609"/>
        <w:gridCol w:w="1261"/>
        <w:gridCol w:w="1692"/>
        <w:gridCol w:w="1306"/>
      </w:tblGrid>
      <w:tr w:rsidR="00201FE9" w:rsidRPr="00C86111" w14:paraId="7459FEBF" w14:textId="77777777" w:rsidTr="002E5A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tcPr>
          <w:p w14:paraId="14172233"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926" w:type="dxa"/>
            <w:hideMark/>
          </w:tcPr>
          <w:p w14:paraId="5687C1BD"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248" w:type="dxa"/>
            <w:hideMark/>
          </w:tcPr>
          <w:p w14:paraId="312046E1"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609" w:type="dxa"/>
          </w:tcPr>
          <w:p w14:paraId="3E4BE9B3"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0151483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261" w:type="dxa"/>
          </w:tcPr>
          <w:p w14:paraId="264BB401"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692" w:type="dxa"/>
          </w:tcPr>
          <w:p w14:paraId="41455E49"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1D3EE64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306" w:type="dxa"/>
          </w:tcPr>
          <w:p w14:paraId="11152C87"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5AF08638"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val="restart"/>
          </w:tcPr>
          <w:p w14:paraId="3B8EDF12"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4016</w:t>
            </w:r>
          </w:p>
        </w:tc>
        <w:tc>
          <w:tcPr>
            <w:tcW w:w="926" w:type="dxa"/>
          </w:tcPr>
          <w:p w14:paraId="73108EC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2017</w:t>
            </w:r>
          </w:p>
        </w:tc>
        <w:tc>
          <w:tcPr>
            <w:tcW w:w="1248" w:type="dxa"/>
          </w:tcPr>
          <w:p w14:paraId="5D424EF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306001</w:t>
            </w:r>
          </w:p>
        </w:tc>
        <w:tc>
          <w:tcPr>
            <w:tcW w:w="1609" w:type="dxa"/>
          </w:tcPr>
          <w:p w14:paraId="53DB6E0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2.8</w:t>
            </w:r>
          </w:p>
        </w:tc>
        <w:tc>
          <w:tcPr>
            <w:tcW w:w="1261" w:type="dxa"/>
          </w:tcPr>
          <w:p w14:paraId="241A0E9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857</w:t>
            </w:r>
          </w:p>
        </w:tc>
        <w:tc>
          <w:tcPr>
            <w:tcW w:w="1692" w:type="dxa"/>
          </w:tcPr>
          <w:p w14:paraId="16AF7CB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122.4</w:t>
            </w:r>
          </w:p>
        </w:tc>
        <w:tc>
          <w:tcPr>
            <w:tcW w:w="1306" w:type="dxa"/>
          </w:tcPr>
          <w:p w14:paraId="655076F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37455</w:t>
            </w:r>
          </w:p>
        </w:tc>
      </w:tr>
      <w:tr w:rsidR="00201FE9" w:rsidRPr="00C86111" w14:paraId="62631B64" w14:textId="77777777" w:rsidTr="002E5AB7">
        <w:tc>
          <w:tcPr>
            <w:cnfStyle w:val="001000000000" w:firstRow="0" w:lastRow="0" w:firstColumn="1" w:lastColumn="0" w:oddVBand="0" w:evenVBand="0" w:oddHBand="0" w:evenHBand="0" w:firstRowFirstColumn="0" w:firstRowLastColumn="0" w:lastRowFirstColumn="0" w:lastRowLastColumn="0"/>
            <w:tcW w:w="974" w:type="dxa"/>
            <w:vMerge/>
          </w:tcPr>
          <w:p w14:paraId="5859FDCA"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0F6A1A5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2018</w:t>
            </w:r>
          </w:p>
        </w:tc>
        <w:tc>
          <w:tcPr>
            <w:tcW w:w="1248" w:type="dxa"/>
          </w:tcPr>
          <w:p w14:paraId="7481E51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166509</w:t>
            </w:r>
          </w:p>
        </w:tc>
        <w:tc>
          <w:tcPr>
            <w:tcW w:w="1609" w:type="dxa"/>
          </w:tcPr>
          <w:p w14:paraId="363E302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2.8</w:t>
            </w:r>
          </w:p>
        </w:tc>
        <w:tc>
          <w:tcPr>
            <w:tcW w:w="1261" w:type="dxa"/>
          </w:tcPr>
          <w:p w14:paraId="0ACABDD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466</w:t>
            </w:r>
          </w:p>
        </w:tc>
        <w:tc>
          <w:tcPr>
            <w:tcW w:w="1692" w:type="dxa"/>
          </w:tcPr>
          <w:p w14:paraId="1EE26B6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122.4</w:t>
            </w:r>
          </w:p>
        </w:tc>
        <w:tc>
          <w:tcPr>
            <w:tcW w:w="1306" w:type="dxa"/>
          </w:tcPr>
          <w:p w14:paraId="6F3F170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20381</w:t>
            </w:r>
          </w:p>
        </w:tc>
      </w:tr>
      <w:tr w:rsidR="00201FE9" w:rsidRPr="00C86111" w14:paraId="66B8778E"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tcPr>
          <w:p w14:paraId="0F1EBFD8"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29B2864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2019</w:t>
            </w:r>
          </w:p>
        </w:tc>
        <w:tc>
          <w:tcPr>
            <w:tcW w:w="1248" w:type="dxa"/>
          </w:tcPr>
          <w:p w14:paraId="40D53BB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169499</w:t>
            </w:r>
          </w:p>
        </w:tc>
        <w:tc>
          <w:tcPr>
            <w:tcW w:w="1609" w:type="dxa"/>
          </w:tcPr>
          <w:p w14:paraId="4F6095A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2.8</w:t>
            </w:r>
          </w:p>
        </w:tc>
        <w:tc>
          <w:tcPr>
            <w:tcW w:w="1261" w:type="dxa"/>
          </w:tcPr>
          <w:p w14:paraId="4758F32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475</w:t>
            </w:r>
          </w:p>
        </w:tc>
        <w:tc>
          <w:tcPr>
            <w:tcW w:w="1692" w:type="dxa"/>
          </w:tcPr>
          <w:p w14:paraId="3A757C8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122.4</w:t>
            </w:r>
          </w:p>
        </w:tc>
        <w:tc>
          <w:tcPr>
            <w:tcW w:w="1306" w:type="dxa"/>
          </w:tcPr>
          <w:p w14:paraId="4836506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20747</w:t>
            </w:r>
          </w:p>
        </w:tc>
      </w:tr>
      <w:tr w:rsidR="00201FE9" w:rsidRPr="00C86111" w14:paraId="632D806F" w14:textId="77777777" w:rsidTr="002E5AB7">
        <w:tc>
          <w:tcPr>
            <w:cnfStyle w:val="001000000000" w:firstRow="0" w:lastRow="0" w:firstColumn="1" w:lastColumn="0" w:oddVBand="0" w:evenVBand="0" w:oddHBand="0" w:evenHBand="0" w:firstRowFirstColumn="0" w:firstRowLastColumn="0" w:lastRowFirstColumn="0" w:lastRowLastColumn="0"/>
            <w:tcW w:w="974" w:type="dxa"/>
            <w:vMerge/>
          </w:tcPr>
          <w:p w14:paraId="4DCF7C7E"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2BE7DBE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2020</w:t>
            </w:r>
          </w:p>
        </w:tc>
        <w:tc>
          <w:tcPr>
            <w:tcW w:w="1248" w:type="dxa"/>
          </w:tcPr>
          <w:p w14:paraId="78ECA0A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125489</w:t>
            </w:r>
          </w:p>
        </w:tc>
        <w:tc>
          <w:tcPr>
            <w:tcW w:w="1609" w:type="dxa"/>
          </w:tcPr>
          <w:p w14:paraId="28DC488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2.8</w:t>
            </w:r>
          </w:p>
        </w:tc>
        <w:tc>
          <w:tcPr>
            <w:tcW w:w="1261" w:type="dxa"/>
          </w:tcPr>
          <w:p w14:paraId="25D6B09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351</w:t>
            </w:r>
          </w:p>
        </w:tc>
        <w:tc>
          <w:tcPr>
            <w:tcW w:w="1692" w:type="dxa"/>
          </w:tcPr>
          <w:p w14:paraId="38426DD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122.4</w:t>
            </w:r>
          </w:p>
        </w:tc>
        <w:tc>
          <w:tcPr>
            <w:tcW w:w="1306" w:type="dxa"/>
          </w:tcPr>
          <w:p w14:paraId="677DE0F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15360</w:t>
            </w:r>
          </w:p>
        </w:tc>
      </w:tr>
      <w:tr w:rsidR="00201FE9" w:rsidRPr="00C86111" w14:paraId="4A3AA417"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tcPr>
          <w:p w14:paraId="63A50E72"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4E28096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2021</w:t>
            </w:r>
          </w:p>
        </w:tc>
        <w:tc>
          <w:tcPr>
            <w:tcW w:w="1248" w:type="dxa"/>
          </w:tcPr>
          <w:p w14:paraId="70FC792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73546</w:t>
            </w:r>
          </w:p>
        </w:tc>
        <w:tc>
          <w:tcPr>
            <w:tcW w:w="1609" w:type="dxa"/>
          </w:tcPr>
          <w:p w14:paraId="20C169E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2.8</w:t>
            </w:r>
          </w:p>
        </w:tc>
        <w:tc>
          <w:tcPr>
            <w:tcW w:w="1261" w:type="dxa"/>
          </w:tcPr>
          <w:p w14:paraId="3708590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206</w:t>
            </w:r>
          </w:p>
        </w:tc>
        <w:tc>
          <w:tcPr>
            <w:tcW w:w="1692" w:type="dxa"/>
          </w:tcPr>
          <w:p w14:paraId="564C050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122.4</w:t>
            </w:r>
          </w:p>
        </w:tc>
        <w:tc>
          <w:tcPr>
            <w:tcW w:w="1306" w:type="dxa"/>
          </w:tcPr>
          <w:p w14:paraId="3D6AEE0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9002</w:t>
            </w:r>
          </w:p>
        </w:tc>
      </w:tr>
      <w:tr w:rsidR="00201FE9" w:rsidRPr="00C86111" w14:paraId="6A0A9A94" w14:textId="77777777" w:rsidTr="002E5AB7">
        <w:tc>
          <w:tcPr>
            <w:cnfStyle w:val="001000000000" w:firstRow="0" w:lastRow="0" w:firstColumn="1" w:lastColumn="0" w:oddVBand="0" w:evenVBand="0" w:oddHBand="0" w:evenHBand="0" w:firstRowFirstColumn="0" w:firstRowLastColumn="0" w:lastRowFirstColumn="0" w:lastRowLastColumn="0"/>
            <w:tcW w:w="974" w:type="dxa"/>
            <w:vMerge/>
          </w:tcPr>
          <w:p w14:paraId="46B5D182"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4833492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2022</w:t>
            </w:r>
          </w:p>
        </w:tc>
        <w:tc>
          <w:tcPr>
            <w:tcW w:w="1248" w:type="dxa"/>
          </w:tcPr>
          <w:p w14:paraId="728B6B8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91422</w:t>
            </w:r>
          </w:p>
        </w:tc>
        <w:tc>
          <w:tcPr>
            <w:tcW w:w="1609" w:type="dxa"/>
          </w:tcPr>
          <w:p w14:paraId="69AA44D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2.8</w:t>
            </w:r>
          </w:p>
        </w:tc>
        <w:tc>
          <w:tcPr>
            <w:tcW w:w="1261" w:type="dxa"/>
          </w:tcPr>
          <w:p w14:paraId="441F913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256</w:t>
            </w:r>
          </w:p>
        </w:tc>
        <w:tc>
          <w:tcPr>
            <w:tcW w:w="1692" w:type="dxa"/>
          </w:tcPr>
          <w:p w14:paraId="0A1201A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122.4</w:t>
            </w:r>
          </w:p>
        </w:tc>
        <w:tc>
          <w:tcPr>
            <w:tcW w:w="1306" w:type="dxa"/>
          </w:tcPr>
          <w:p w14:paraId="6FD56ED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11190</w:t>
            </w:r>
          </w:p>
        </w:tc>
      </w:tr>
      <w:tr w:rsidR="00201FE9" w:rsidRPr="00C86111" w14:paraId="6458A5F8"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 w:type="dxa"/>
            <w:vMerge/>
          </w:tcPr>
          <w:p w14:paraId="33D9037F"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26" w:type="dxa"/>
          </w:tcPr>
          <w:p w14:paraId="2767EFE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2023</w:t>
            </w:r>
          </w:p>
        </w:tc>
        <w:tc>
          <w:tcPr>
            <w:tcW w:w="1248" w:type="dxa"/>
          </w:tcPr>
          <w:p w14:paraId="596B902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117152</w:t>
            </w:r>
          </w:p>
        </w:tc>
        <w:tc>
          <w:tcPr>
            <w:tcW w:w="1609" w:type="dxa"/>
          </w:tcPr>
          <w:p w14:paraId="0E858E6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2.8</w:t>
            </w:r>
          </w:p>
        </w:tc>
        <w:tc>
          <w:tcPr>
            <w:tcW w:w="1261" w:type="dxa"/>
          </w:tcPr>
          <w:p w14:paraId="34B47FF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328</w:t>
            </w:r>
          </w:p>
        </w:tc>
        <w:tc>
          <w:tcPr>
            <w:tcW w:w="1692" w:type="dxa"/>
          </w:tcPr>
          <w:p w14:paraId="0B9D5D2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122.4</w:t>
            </w:r>
          </w:p>
        </w:tc>
        <w:tc>
          <w:tcPr>
            <w:tcW w:w="1306" w:type="dxa"/>
          </w:tcPr>
          <w:p w14:paraId="2F0B6CC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14339</w:t>
            </w:r>
          </w:p>
        </w:tc>
      </w:tr>
    </w:tbl>
    <w:p w14:paraId="37E40438" w14:textId="77777777" w:rsidR="00201FE9" w:rsidRPr="00C86111" w:rsidRDefault="00201FE9" w:rsidP="00201FE9">
      <w:pPr>
        <w:spacing w:line="276" w:lineRule="auto"/>
        <w:jc w:val="both"/>
        <w:rPr>
          <w:rFonts w:asciiTheme="minorHAnsi" w:hAnsiTheme="minorHAnsi" w:cstheme="minorHAnsi"/>
          <w:bCs/>
          <w:color w:val="002060"/>
          <w:szCs w:val="24"/>
          <w:lang w:val="sr-Latn-ME"/>
        </w:rPr>
      </w:pPr>
      <w:r w:rsidRPr="00C86111">
        <w:rPr>
          <w:rFonts w:asciiTheme="minorHAnsi" w:hAnsiTheme="minorHAnsi" w:cstheme="minorHAnsi"/>
          <w:bCs/>
          <w:color w:val="002060"/>
          <w:szCs w:val="24"/>
          <w:lang w:val="sr-Latn-ME"/>
        </w:rPr>
        <w:t>*Chen et al. (2021)</w:t>
      </w:r>
    </w:p>
    <w:p w14:paraId="4182AC1D"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4D11B139"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lastRenderedPageBreak/>
        <w:drawing>
          <wp:inline distT="0" distB="0" distL="0" distR="0" wp14:anchorId="61CB7849" wp14:editId="55D261FC">
            <wp:extent cx="4785360" cy="2316480"/>
            <wp:effectExtent l="0" t="0" r="15240" b="7620"/>
            <wp:docPr id="961637862" name="Chart 961637862">
              <a:extLst xmlns:a="http://schemas.openxmlformats.org/drawingml/2006/main">
                <a:ext uri="{FF2B5EF4-FFF2-40B4-BE49-F238E27FC236}">
                  <a16:creationId xmlns:a16="http://schemas.microsoft.com/office/drawing/2014/main" id="{4D226F18-CBFD-4A7B-8296-D1A649F85B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AC8A5A2" w14:textId="550BE00D"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Grafik </w:t>
      </w:r>
      <w:r w:rsidR="004A37AE" w:rsidRPr="00C86111">
        <w:rPr>
          <w:rFonts w:asciiTheme="minorHAnsi" w:hAnsiTheme="minorHAnsi" w:cstheme="minorHAnsi"/>
          <w:b/>
          <w:bCs/>
          <w:color w:val="auto"/>
          <w:szCs w:val="24"/>
          <w:lang w:val="sr-Latn-ME"/>
        </w:rPr>
        <w:t>3</w:t>
      </w:r>
      <w:r w:rsidR="00547278">
        <w:rPr>
          <w:rFonts w:asciiTheme="minorHAnsi" w:hAnsiTheme="minorHAnsi" w:cstheme="minorHAnsi"/>
          <w:b/>
          <w:bCs/>
          <w:color w:val="auto"/>
          <w:szCs w:val="24"/>
          <w:lang w:val="sr-Latn-ME"/>
        </w:rPr>
        <w:t>9</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Procijenjena količina SCCP i MCCP u proizvodima sa HS kodom 4016 uvezenim u periodu 2017-2023.</w:t>
      </w:r>
    </w:p>
    <w:p w14:paraId="3E870E18"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5E348B2E" w14:textId="6AF47F91"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 xml:space="preserve">Grafik </w:t>
      </w:r>
      <w:r w:rsidR="00056E0C" w:rsidRPr="00C86111">
        <w:rPr>
          <w:rFonts w:asciiTheme="minorHAnsi" w:hAnsiTheme="minorHAnsi" w:cstheme="minorHAnsi"/>
          <w:color w:val="auto"/>
          <w:szCs w:val="24"/>
          <w:lang w:val="sr-Latn-ME"/>
        </w:rPr>
        <w:t>37.</w:t>
      </w:r>
      <w:r w:rsidRPr="00C86111">
        <w:rPr>
          <w:rFonts w:asciiTheme="minorHAnsi" w:hAnsiTheme="minorHAnsi" w:cstheme="minorHAnsi"/>
          <w:color w:val="auto"/>
          <w:szCs w:val="24"/>
          <w:lang w:val="sr-Latn-ME"/>
        </w:rPr>
        <w:t xml:space="preserve"> prikazuje procijenjene količine SCCP i MCCP u uvezenim gumenim proizvodima (HS kod 4016) od 2017. do 2023. godine. MCCP je prisutan u veoma velikim količinama, u rasponu od 37454 kg u 2017. do 14339 kg u 2023. godini, dok je SCCP mnogo manji, u rasponu od 857 kg do 328 kg. Generalno, trend pokazuje pad količina uvoza i odgovarajućih količina oba jedinjenja do 2021. godine, nakon čega slijedi postepeno povećanje u periodu 2022–2023. Ovi podaci ukazuju da proizvodi iz HS koda 4016 doprinose najvećoj potencijalnoj izloženosti MCCP među proučavanim HS kodovima.</w:t>
      </w:r>
    </w:p>
    <w:p w14:paraId="20CC4319" w14:textId="77777777" w:rsidR="00201FE9" w:rsidRPr="00C86111" w:rsidRDefault="00201FE9" w:rsidP="00201FE9">
      <w:pPr>
        <w:spacing w:line="276" w:lineRule="auto"/>
        <w:jc w:val="both"/>
        <w:rPr>
          <w:rFonts w:asciiTheme="minorHAnsi" w:hAnsiTheme="minorHAnsi" w:cstheme="minorHAnsi"/>
          <w:color w:val="auto"/>
          <w:szCs w:val="24"/>
          <w:lang w:val="sr-Latn-ME"/>
        </w:rPr>
      </w:pPr>
    </w:p>
    <w:p w14:paraId="5736D253" w14:textId="0B04A594"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Na </w:t>
      </w:r>
      <w:r w:rsidR="00056E0C" w:rsidRPr="00C86111">
        <w:rPr>
          <w:rFonts w:asciiTheme="minorHAnsi" w:eastAsia="Times New Roman" w:hAnsiTheme="minorHAnsi" w:cstheme="minorHAnsi"/>
          <w:color w:val="auto"/>
          <w:szCs w:val="24"/>
          <w:lang w:val="sr-Latn-ME"/>
        </w:rPr>
        <w:t xml:space="preserve">grafiku </w:t>
      </w:r>
      <w:r w:rsidR="00547278">
        <w:rPr>
          <w:rFonts w:asciiTheme="minorHAnsi" w:eastAsia="Times New Roman" w:hAnsiTheme="minorHAnsi" w:cstheme="minorHAnsi"/>
          <w:color w:val="auto"/>
          <w:szCs w:val="24"/>
          <w:lang w:val="sr-Latn-ME"/>
        </w:rPr>
        <w:t>40</w:t>
      </w:r>
      <w:r w:rsidR="00056E0C" w:rsidRPr="00C86111">
        <w:rPr>
          <w:rFonts w:asciiTheme="minorHAnsi" w:eastAsia="Times New Roman" w:hAnsiTheme="minorHAnsi" w:cstheme="minorHAnsi"/>
          <w:color w:val="auto"/>
          <w:szCs w:val="24"/>
          <w:lang w:val="sr-Latn-ME"/>
        </w:rPr>
        <w:t>.</w:t>
      </w:r>
      <w:r w:rsidRPr="00C86111">
        <w:rPr>
          <w:rFonts w:asciiTheme="minorHAnsi" w:eastAsia="Times New Roman" w:hAnsiTheme="minorHAnsi" w:cstheme="minorHAnsi"/>
          <w:color w:val="auto"/>
          <w:szCs w:val="24"/>
          <w:lang w:val="sr-Latn-ME"/>
        </w:rPr>
        <w:t xml:space="preserve"> prikazan je pregled procentualne raspodjele uvoza različitih gumenih proizvoda iz Kine za period 2017-2023.</w:t>
      </w:r>
    </w:p>
    <w:p w14:paraId="6D2F957D"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0305D5BF" wp14:editId="11E5A1A8">
            <wp:extent cx="4861560" cy="2499360"/>
            <wp:effectExtent l="0" t="0" r="0" b="0"/>
            <wp:docPr id="735140336" name="Chart 735140336">
              <a:extLst xmlns:a="http://schemas.openxmlformats.org/drawingml/2006/main">
                <a:ext uri="{FF2B5EF4-FFF2-40B4-BE49-F238E27FC236}">
                  <a16:creationId xmlns:a16="http://schemas.microsoft.com/office/drawing/2014/main" id="{3D0A8057-6D59-1615-0CFE-03733B3D9F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5586C65C" w14:textId="78540AB8" w:rsidR="00201FE9" w:rsidRPr="00C86111" w:rsidRDefault="00056E0C"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Grafik </w:t>
      </w:r>
      <w:r w:rsidR="00547278">
        <w:rPr>
          <w:rFonts w:asciiTheme="minorHAnsi" w:hAnsiTheme="minorHAnsi" w:cstheme="minorHAnsi"/>
          <w:b/>
          <w:bCs/>
          <w:color w:val="auto"/>
          <w:szCs w:val="24"/>
          <w:lang w:val="sr-Latn-ME"/>
        </w:rPr>
        <w:t>40</w:t>
      </w:r>
      <w:r w:rsidR="00201FE9" w:rsidRPr="00C86111">
        <w:rPr>
          <w:rFonts w:asciiTheme="minorHAnsi" w:hAnsiTheme="minorHAnsi" w:cstheme="minorHAnsi"/>
          <w:b/>
          <w:bCs/>
          <w:color w:val="auto"/>
          <w:szCs w:val="24"/>
          <w:lang w:val="sr-Latn-ME"/>
        </w:rPr>
        <w:t xml:space="preserve">. </w:t>
      </w:r>
      <w:r w:rsidR="00201FE9" w:rsidRPr="00C86111">
        <w:rPr>
          <w:rFonts w:asciiTheme="minorHAnsi" w:hAnsiTheme="minorHAnsi" w:cstheme="minorHAnsi"/>
          <w:color w:val="auto"/>
          <w:szCs w:val="24"/>
          <w:lang w:val="sr-Latn-ME"/>
        </w:rPr>
        <w:t>Procentualna raspodčela različitih kategorija gume uvezene iz Kine za period 2017-2023</w:t>
      </w:r>
    </w:p>
    <w:p w14:paraId="2E748B45"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480F935C" w14:textId="7750F8E3" w:rsidR="00201FE9" w:rsidRPr="00C86111" w:rsidRDefault="00056E0C"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Grafik 38.</w:t>
      </w:r>
      <w:r w:rsidR="00201FE9" w:rsidRPr="00C86111">
        <w:rPr>
          <w:rFonts w:asciiTheme="minorHAnsi" w:hAnsiTheme="minorHAnsi" w:cstheme="minorHAnsi"/>
          <w:color w:val="auto"/>
          <w:szCs w:val="24"/>
          <w:lang w:val="sr-Latn-ME"/>
        </w:rPr>
        <w:t xml:space="preserve"> prikazuje procentualnu raspodjelu različitih kategorija gumenih proizvoda uvezenih iz Kine tokom perioda 2017–2023. Podaci ilustruju koje HS oznake dominiraju u uvozu, ističući relativni udio svake kategorije u ukupnoj količini. Ovaj pregled pomaže u identifikaciji glavnih izvora uvezene gume i kategorija koje najviše doprinose potencijalnoj izloženosti SCCP i MCCP.</w:t>
      </w:r>
    </w:p>
    <w:p w14:paraId="17C96C24" w14:textId="77777777" w:rsidR="00201FE9" w:rsidRPr="00C86111" w:rsidRDefault="00201FE9" w:rsidP="00EA6904">
      <w:pPr>
        <w:pStyle w:val="Heading4"/>
      </w:pPr>
      <w:bookmarkStart w:id="397" w:name="_Toc210744975"/>
      <w:r w:rsidRPr="00C86111">
        <w:t>PVC</w:t>
      </w:r>
      <w:bookmarkEnd w:id="397"/>
      <w:r w:rsidRPr="00C86111">
        <w:t xml:space="preserve"> </w:t>
      </w:r>
    </w:p>
    <w:p w14:paraId="1A56CD06" w14:textId="436393C3" w:rsidR="00201FE9" w:rsidRPr="00C86111" w:rsidRDefault="00201FE9" w:rsidP="00201FE9">
      <w:pPr>
        <w:spacing w:line="276" w:lineRule="auto"/>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Tabela </w:t>
      </w:r>
      <w:r w:rsidR="00056E0C" w:rsidRPr="00C86111">
        <w:rPr>
          <w:rFonts w:asciiTheme="minorHAnsi" w:eastAsia="Times New Roman" w:hAnsiTheme="minorHAnsi" w:cstheme="minorHAnsi"/>
          <w:color w:val="auto"/>
          <w:szCs w:val="24"/>
          <w:lang w:val="sr-Latn-ME"/>
        </w:rPr>
        <w:t>106.</w:t>
      </w:r>
      <w:r w:rsidRPr="00C86111">
        <w:rPr>
          <w:rFonts w:asciiTheme="minorHAnsi" w:eastAsia="Times New Roman" w:hAnsiTheme="minorHAnsi" w:cstheme="minorHAnsi"/>
          <w:color w:val="auto"/>
          <w:szCs w:val="24"/>
          <w:lang w:val="sr-Latn-ME"/>
        </w:rPr>
        <w:t xml:space="preserve"> i Grafik </w:t>
      </w:r>
      <w:r w:rsidR="00547278">
        <w:rPr>
          <w:rFonts w:asciiTheme="minorHAnsi" w:eastAsia="Times New Roman" w:hAnsiTheme="minorHAnsi" w:cstheme="minorHAnsi"/>
          <w:color w:val="auto"/>
          <w:szCs w:val="24"/>
          <w:lang w:val="sr-Latn-ME"/>
        </w:rPr>
        <w:t>41</w:t>
      </w:r>
      <w:r w:rsidR="00056E0C" w:rsidRPr="00C86111">
        <w:rPr>
          <w:rFonts w:asciiTheme="minorHAnsi" w:eastAsia="Times New Roman" w:hAnsiTheme="minorHAnsi" w:cstheme="minorHAnsi"/>
          <w:color w:val="auto"/>
          <w:szCs w:val="24"/>
          <w:lang w:val="sr-Latn-ME"/>
        </w:rPr>
        <w:t>.</w:t>
      </w:r>
      <w:r w:rsidRPr="00C86111">
        <w:rPr>
          <w:rFonts w:asciiTheme="minorHAnsi" w:eastAsia="Times New Roman" w:hAnsiTheme="minorHAnsi" w:cstheme="minorHAnsi"/>
          <w:color w:val="auto"/>
          <w:szCs w:val="24"/>
          <w:lang w:val="sr-Latn-ME"/>
        </w:rPr>
        <w:t xml:space="preserve"> prikazuju pregled količina uvezenih PVC proizvoda sa HS kodom 3921120000 iz Kine za period 2017-2023, kao i izračunate količine SCCP i MCCP.</w:t>
      </w:r>
    </w:p>
    <w:p w14:paraId="0F040F96" w14:textId="77777777" w:rsidR="00201FE9" w:rsidRPr="00C86111" w:rsidRDefault="00201FE9" w:rsidP="00201FE9">
      <w:pPr>
        <w:spacing w:line="276" w:lineRule="auto"/>
        <w:rPr>
          <w:rFonts w:asciiTheme="minorHAnsi" w:eastAsia="Times New Roman" w:hAnsiTheme="minorHAnsi" w:cstheme="minorHAnsi"/>
          <w:color w:val="auto"/>
          <w:szCs w:val="24"/>
          <w:lang w:val="sr-Latn-ME"/>
        </w:rPr>
      </w:pPr>
    </w:p>
    <w:p w14:paraId="29D6AE02" w14:textId="2BB6BD1C" w:rsidR="00201FE9" w:rsidRPr="00C86111" w:rsidRDefault="00201FE9" w:rsidP="0042690B">
      <w:pPr>
        <w:pStyle w:val="Caption"/>
        <w:keepNext/>
        <w:rPr>
          <w:rFonts w:cstheme="minorHAnsi"/>
          <w:b w:val="0"/>
          <w:bCs/>
          <w:sz w:val="24"/>
          <w:szCs w:val="24"/>
        </w:rPr>
      </w:pPr>
      <w:bookmarkStart w:id="398" w:name="_Toc210743917"/>
      <w:r w:rsidRPr="00C86111">
        <w:rPr>
          <w:rFonts w:cstheme="minorHAnsi"/>
          <w:bCs/>
          <w:sz w:val="24"/>
          <w:szCs w:val="24"/>
        </w:rPr>
        <w:t xml:space="preserve">Tabela </w:t>
      </w:r>
      <w:r w:rsidR="00056E0C" w:rsidRPr="00C86111">
        <w:rPr>
          <w:rFonts w:cstheme="minorHAnsi"/>
          <w:sz w:val="24"/>
          <w:szCs w:val="24"/>
        </w:rPr>
        <w:t>106</w:t>
      </w:r>
      <w:r w:rsidRPr="00C86111">
        <w:rPr>
          <w:rFonts w:cstheme="minorHAnsi"/>
          <w:bCs/>
          <w:sz w:val="24"/>
          <w:szCs w:val="24"/>
        </w:rPr>
        <w:t>.</w:t>
      </w:r>
      <w:r w:rsidRPr="00C86111">
        <w:rPr>
          <w:rFonts w:cstheme="minorHAnsi"/>
          <w:sz w:val="24"/>
          <w:szCs w:val="24"/>
        </w:rPr>
        <w:t xml:space="preserve"> </w:t>
      </w:r>
      <w:r w:rsidRPr="00C86111">
        <w:rPr>
          <w:rFonts w:cstheme="minorHAnsi"/>
          <w:b w:val="0"/>
          <w:bCs/>
          <w:sz w:val="24"/>
          <w:szCs w:val="24"/>
        </w:rPr>
        <w:t>Količine uvezenih gumenih proizvoda sa HS kodom 3921120000 za period 2017-2023 i procijenjene količine SCCP i MCCP</w:t>
      </w:r>
      <w:bookmarkEnd w:id="398"/>
    </w:p>
    <w:tbl>
      <w:tblPr>
        <w:tblStyle w:val="GridTable5Dark-Accent6"/>
        <w:tblW w:w="9016" w:type="dxa"/>
        <w:tblLook w:val="04A0" w:firstRow="1" w:lastRow="0" w:firstColumn="1" w:lastColumn="0" w:noHBand="0" w:noVBand="1"/>
      </w:tblPr>
      <w:tblGrid>
        <w:gridCol w:w="1265"/>
        <w:gridCol w:w="915"/>
        <w:gridCol w:w="1093"/>
        <w:gridCol w:w="1657"/>
        <w:gridCol w:w="1215"/>
        <w:gridCol w:w="1623"/>
        <w:gridCol w:w="1248"/>
      </w:tblGrid>
      <w:tr w:rsidR="00201FE9" w:rsidRPr="00C86111" w14:paraId="409D37A0"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14:paraId="2BDE4544"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890" w:type="dxa"/>
            <w:hideMark/>
          </w:tcPr>
          <w:p w14:paraId="0914009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063" w:type="dxa"/>
            <w:hideMark/>
          </w:tcPr>
          <w:p w14:paraId="5F66A3B9"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611" w:type="dxa"/>
          </w:tcPr>
          <w:p w14:paraId="7FA3E35E"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4D56945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181" w:type="dxa"/>
          </w:tcPr>
          <w:p w14:paraId="0D84DB5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578" w:type="dxa"/>
          </w:tcPr>
          <w:p w14:paraId="3CDF725F"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63337137"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213" w:type="dxa"/>
          </w:tcPr>
          <w:p w14:paraId="478B287E"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7E16DC9A"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val="restart"/>
          </w:tcPr>
          <w:p w14:paraId="6A6BC466"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3921120000</w:t>
            </w:r>
          </w:p>
        </w:tc>
        <w:tc>
          <w:tcPr>
            <w:tcW w:w="890" w:type="dxa"/>
          </w:tcPr>
          <w:p w14:paraId="435A5DA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2017</w:t>
            </w:r>
          </w:p>
        </w:tc>
        <w:tc>
          <w:tcPr>
            <w:tcW w:w="1063" w:type="dxa"/>
          </w:tcPr>
          <w:p w14:paraId="7CC7153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2807</w:t>
            </w:r>
          </w:p>
        </w:tc>
        <w:tc>
          <w:tcPr>
            <w:tcW w:w="1611" w:type="dxa"/>
          </w:tcPr>
          <w:p w14:paraId="7C8611D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181" w:type="dxa"/>
          </w:tcPr>
          <w:p w14:paraId="3E67086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2.3</w:t>
            </w:r>
          </w:p>
        </w:tc>
        <w:tc>
          <w:tcPr>
            <w:tcW w:w="1578" w:type="dxa"/>
          </w:tcPr>
          <w:p w14:paraId="11B9F9D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13" w:type="dxa"/>
          </w:tcPr>
          <w:p w14:paraId="26B1625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0.28</w:t>
            </w:r>
          </w:p>
        </w:tc>
      </w:tr>
      <w:tr w:rsidR="00201FE9" w:rsidRPr="00C86111" w14:paraId="7ED22C90" w14:textId="77777777" w:rsidTr="00BC765B">
        <w:tc>
          <w:tcPr>
            <w:cnfStyle w:val="001000000000" w:firstRow="0" w:lastRow="0" w:firstColumn="1" w:lastColumn="0" w:oddVBand="0" w:evenVBand="0" w:oddHBand="0" w:evenHBand="0" w:firstRowFirstColumn="0" w:firstRowLastColumn="0" w:lastRowFirstColumn="0" w:lastRowLastColumn="0"/>
            <w:tcW w:w="1128" w:type="dxa"/>
            <w:vMerge/>
          </w:tcPr>
          <w:p w14:paraId="4E19EBD7"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5379868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2018</w:t>
            </w:r>
          </w:p>
        </w:tc>
        <w:tc>
          <w:tcPr>
            <w:tcW w:w="1063" w:type="dxa"/>
          </w:tcPr>
          <w:p w14:paraId="782AA05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3327</w:t>
            </w:r>
          </w:p>
        </w:tc>
        <w:tc>
          <w:tcPr>
            <w:tcW w:w="1611" w:type="dxa"/>
          </w:tcPr>
          <w:p w14:paraId="1656056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181" w:type="dxa"/>
          </w:tcPr>
          <w:p w14:paraId="7D19BAC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2.7</w:t>
            </w:r>
          </w:p>
        </w:tc>
        <w:tc>
          <w:tcPr>
            <w:tcW w:w="1578" w:type="dxa"/>
          </w:tcPr>
          <w:p w14:paraId="5F200C6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13" w:type="dxa"/>
          </w:tcPr>
          <w:p w14:paraId="6B88EBF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0.33</w:t>
            </w:r>
          </w:p>
        </w:tc>
      </w:tr>
      <w:tr w:rsidR="00201FE9" w:rsidRPr="00C86111" w14:paraId="5B0250D7"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tcPr>
          <w:p w14:paraId="600480A1"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27C7851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2019</w:t>
            </w:r>
          </w:p>
        </w:tc>
        <w:tc>
          <w:tcPr>
            <w:tcW w:w="1063" w:type="dxa"/>
          </w:tcPr>
          <w:p w14:paraId="2C4AA79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6431</w:t>
            </w:r>
          </w:p>
        </w:tc>
        <w:tc>
          <w:tcPr>
            <w:tcW w:w="1611" w:type="dxa"/>
          </w:tcPr>
          <w:p w14:paraId="470B2D1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181" w:type="dxa"/>
          </w:tcPr>
          <w:p w14:paraId="12CD5C7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5.1</w:t>
            </w:r>
          </w:p>
        </w:tc>
        <w:tc>
          <w:tcPr>
            <w:tcW w:w="1578" w:type="dxa"/>
          </w:tcPr>
          <w:p w14:paraId="6B601E6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13" w:type="dxa"/>
          </w:tcPr>
          <w:p w14:paraId="617B874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0.64</w:t>
            </w:r>
          </w:p>
        </w:tc>
      </w:tr>
      <w:tr w:rsidR="00201FE9" w:rsidRPr="00C86111" w14:paraId="04AAD38A" w14:textId="77777777" w:rsidTr="00BC765B">
        <w:tc>
          <w:tcPr>
            <w:cnfStyle w:val="001000000000" w:firstRow="0" w:lastRow="0" w:firstColumn="1" w:lastColumn="0" w:oddVBand="0" w:evenVBand="0" w:oddHBand="0" w:evenHBand="0" w:firstRowFirstColumn="0" w:firstRowLastColumn="0" w:lastRowFirstColumn="0" w:lastRowLastColumn="0"/>
            <w:tcW w:w="1128" w:type="dxa"/>
            <w:vMerge/>
          </w:tcPr>
          <w:p w14:paraId="02E426F8"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05B7A9E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2020</w:t>
            </w:r>
          </w:p>
        </w:tc>
        <w:tc>
          <w:tcPr>
            <w:tcW w:w="1063" w:type="dxa"/>
          </w:tcPr>
          <w:p w14:paraId="71FE948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8599</w:t>
            </w:r>
          </w:p>
        </w:tc>
        <w:tc>
          <w:tcPr>
            <w:tcW w:w="1611" w:type="dxa"/>
          </w:tcPr>
          <w:p w14:paraId="4E9609E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181" w:type="dxa"/>
          </w:tcPr>
          <w:p w14:paraId="6D06DD6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6.9</w:t>
            </w:r>
          </w:p>
        </w:tc>
        <w:tc>
          <w:tcPr>
            <w:tcW w:w="1578" w:type="dxa"/>
          </w:tcPr>
          <w:p w14:paraId="3B6977C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13" w:type="dxa"/>
          </w:tcPr>
          <w:p w14:paraId="582453A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0.86</w:t>
            </w:r>
          </w:p>
        </w:tc>
      </w:tr>
      <w:tr w:rsidR="00201FE9" w:rsidRPr="00C86111" w14:paraId="51A178BE"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tcPr>
          <w:p w14:paraId="288217BF"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21D5C03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2021</w:t>
            </w:r>
          </w:p>
        </w:tc>
        <w:tc>
          <w:tcPr>
            <w:tcW w:w="1063" w:type="dxa"/>
          </w:tcPr>
          <w:p w14:paraId="203C094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11886</w:t>
            </w:r>
          </w:p>
        </w:tc>
        <w:tc>
          <w:tcPr>
            <w:tcW w:w="1611" w:type="dxa"/>
          </w:tcPr>
          <w:p w14:paraId="3A3C8F9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181" w:type="dxa"/>
          </w:tcPr>
          <w:p w14:paraId="405E0A9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9.5</w:t>
            </w:r>
          </w:p>
        </w:tc>
        <w:tc>
          <w:tcPr>
            <w:tcW w:w="1578" w:type="dxa"/>
          </w:tcPr>
          <w:p w14:paraId="72C9488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13" w:type="dxa"/>
          </w:tcPr>
          <w:p w14:paraId="2EF03EA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1.2</w:t>
            </w:r>
          </w:p>
        </w:tc>
      </w:tr>
      <w:tr w:rsidR="00201FE9" w:rsidRPr="00C86111" w14:paraId="4F126041" w14:textId="77777777" w:rsidTr="00BC765B">
        <w:tc>
          <w:tcPr>
            <w:cnfStyle w:val="001000000000" w:firstRow="0" w:lastRow="0" w:firstColumn="1" w:lastColumn="0" w:oddVBand="0" w:evenVBand="0" w:oddHBand="0" w:evenHBand="0" w:firstRowFirstColumn="0" w:firstRowLastColumn="0" w:lastRowFirstColumn="0" w:lastRowLastColumn="0"/>
            <w:tcW w:w="1128" w:type="dxa"/>
            <w:vMerge/>
          </w:tcPr>
          <w:p w14:paraId="3AA20191"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7422EAC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2022</w:t>
            </w:r>
          </w:p>
        </w:tc>
        <w:tc>
          <w:tcPr>
            <w:tcW w:w="1063" w:type="dxa"/>
          </w:tcPr>
          <w:p w14:paraId="7A95724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14154</w:t>
            </w:r>
          </w:p>
        </w:tc>
        <w:tc>
          <w:tcPr>
            <w:tcW w:w="1611" w:type="dxa"/>
          </w:tcPr>
          <w:p w14:paraId="524D675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181" w:type="dxa"/>
          </w:tcPr>
          <w:p w14:paraId="7E82E10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11</w:t>
            </w:r>
          </w:p>
        </w:tc>
        <w:tc>
          <w:tcPr>
            <w:tcW w:w="1578" w:type="dxa"/>
          </w:tcPr>
          <w:p w14:paraId="7DFEC01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13" w:type="dxa"/>
          </w:tcPr>
          <w:p w14:paraId="311D60A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1.4</w:t>
            </w:r>
          </w:p>
        </w:tc>
      </w:tr>
      <w:tr w:rsidR="00201FE9" w:rsidRPr="00C86111" w14:paraId="36CA9F6E"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tcPr>
          <w:p w14:paraId="0F03792E"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134C8BD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2023</w:t>
            </w:r>
          </w:p>
        </w:tc>
        <w:tc>
          <w:tcPr>
            <w:tcW w:w="1063" w:type="dxa"/>
          </w:tcPr>
          <w:p w14:paraId="7A9D7E6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18681</w:t>
            </w:r>
          </w:p>
        </w:tc>
        <w:tc>
          <w:tcPr>
            <w:tcW w:w="1611" w:type="dxa"/>
          </w:tcPr>
          <w:p w14:paraId="0708658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181" w:type="dxa"/>
          </w:tcPr>
          <w:p w14:paraId="682BD9F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15</w:t>
            </w:r>
          </w:p>
        </w:tc>
        <w:tc>
          <w:tcPr>
            <w:tcW w:w="1578" w:type="dxa"/>
          </w:tcPr>
          <w:p w14:paraId="75559E1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13" w:type="dxa"/>
          </w:tcPr>
          <w:p w14:paraId="709FA00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1.9</w:t>
            </w:r>
          </w:p>
        </w:tc>
      </w:tr>
    </w:tbl>
    <w:p w14:paraId="1653210C" w14:textId="77777777" w:rsidR="00201FE9" w:rsidRPr="00C86111" w:rsidRDefault="00201FE9" w:rsidP="00201FE9">
      <w:pPr>
        <w:spacing w:line="276" w:lineRule="auto"/>
        <w:jc w:val="both"/>
        <w:rPr>
          <w:rFonts w:asciiTheme="minorHAnsi" w:hAnsiTheme="minorHAnsi" w:cstheme="minorHAnsi"/>
          <w:bCs/>
          <w:color w:val="auto"/>
          <w:szCs w:val="24"/>
          <w:lang w:val="sr-Latn-ME"/>
        </w:rPr>
      </w:pPr>
      <w:r w:rsidRPr="00C86111">
        <w:rPr>
          <w:rFonts w:asciiTheme="minorHAnsi" w:hAnsiTheme="minorHAnsi" w:cstheme="minorHAnsi"/>
          <w:bCs/>
          <w:color w:val="auto"/>
          <w:szCs w:val="24"/>
          <w:lang w:val="sr-Latn-ME"/>
        </w:rPr>
        <w:t>*Chen et al. (2021)</w:t>
      </w:r>
    </w:p>
    <w:p w14:paraId="0E2773EC"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1A96DECE"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31777663" wp14:editId="4F0581F7">
            <wp:extent cx="4572000" cy="2272145"/>
            <wp:effectExtent l="0" t="0" r="0" b="13970"/>
            <wp:docPr id="1837412743" name="Chart 1">
              <a:extLst xmlns:a="http://schemas.openxmlformats.org/drawingml/2006/main">
                <a:ext uri="{FF2B5EF4-FFF2-40B4-BE49-F238E27FC236}">
                  <a16:creationId xmlns:a16="http://schemas.microsoft.com/office/drawing/2014/main" id="{1F89EA93-BE8C-B7B6-AAF6-31A27A78ED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28EE55E9" w14:textId="0B18313D"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Grafik </w:t>
      </w:r>
      <w:r w:rsidR="00547278">
        <w:rPr>
          <w:rFonts w:asciiTheme="minorHAnsi" w:hAnsiTheme="minorHAnsi" w:cstheme="minorHAnsi"/>
          <w:b/>
          <w:bCs/>
          <w:color w:val="auto"/>
          <w:szCs w:val="24"/>
          <w:lang w:val="sr-Latn-ME"/>
        </w:rPr>
        <w:t>41</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Procijenjena količina SCCP i MCCP u proizvodu sa HS kodom 3921120000 uvezenim tokom perioda 2017-2023.</w:t>
      </w:r>
    </w:p>
    <w:p w14:paraId="5A6293A6"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12C73680" w14:textId="768106A0"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lastRenderedPageBreak/>
        <w:t xml:space="preserve">Grafik </w:t>
      </w:r>
      <w:r w:rsidR="00056E0C" w:rsidRPr="00C86111">
        <w:rPr>
          <w:rFonts w:asciiTheme="minorHAnsi" w:hAnsiTheme="minorHAnsi" w:cstheme="minorHAnsi"/>
          <w:color w:val="auto"/>
          <w:szCs w:val="24"/>
          <w:lang w:val="sr-Latn-ME"/>
        </w:rPr>
        <w:t>39.</w:t>
      </w:r>
      <w:r w:rsidRPr="00C86111">
        <w:rPr>
          <w:rFonts w:asciiTheme="minorHAnsi" w:hAnsiTheme="minorHAnsi" w:cstheme="minorHAnsi"/>
          <w:color w:val="auto"/>
          <w:szCs w:val="24"/>
          <w:lang w:val="sr-Latn-ME"/>
        </w:rPr>
        <w:t xml:space="preserve"> prikazuje procijenjene količine SCCP i MCCP u uvezenim PVC proizvodima (HS kod 3921120000) od 2017. do 2023. godine. SCCP postepeno raste sa 2,3 kg u 2017. na 15 kg u 2023. godini, dok MCCP ostaje veoma nizak, u rasponu od 0,28 kg do 1,9 kg. Podaci ukazuju na stalan rast uvezenih količina, pri čemu je SCCP dominantan hlorisani parafin u ovoj kategoriji proizvoda.</w:t>
      </w:r>
    </w:p>
    <w:p w14:paraId="7F829540" w14:textId="77777777" w:rsidR="00201FE9" w:rsidRPr="00C86111" w:rsidRDefault="00201FE9" w:rsidP="00201FE9">
      <w:pPr>
        <w:spacing w:line="276" w:lineRule="auto"/>
        <w:rPr>
          <w:rFonts w:asciiTheme="minorHAnsi" w:hAnsiTheme="minorHAnsi" w:cstheme="minorHAnsi"/>
          <w:color w:val="auto"/>
          <w:szCs w:val="24"/>
          <w:lang w:val="sr-Latn-ME"/>
        </w:rPr>
      </w:pPr>
    </w:p>
    <w:p w14:paraId="4FA4C6C3" w14:textId="4FB9E371" w:rsidR="00201FE9" w:rsidRPr="00C86111" w:rsidRDefault="00201FE9" w:rsidP="00201FE9">
      <w:pPr>
        <w:spacing w:line="276" w:lineRule="auto"/>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 xml:space="preserve">Tabela </w:t>
      </w:r>
      <w:r w:rsidR="00056E0C" w:rsidRPr="00C86111">
        <w:rPr>
          <w:rFonts w:asciiTheme="minorHAnsi" w:hAnsiTheme="minorHAnsi" w:cstheme="minorHAnsi"/>
          <w:color w:val="auto"/>
          <w:szCs w:val="24"/>
          <w:lang w:val="sr-Latn-ME"/>
        </w:rPr>
        <w:t>107.</w:t>
      </w:r>
      <w:r w:rsidRPr="00C86111">
        <w:rPr>
          <w:rFonts w:asciiTheme="minorHAnsi" w:hAnsiTheme="minorHAnsi" w:cstheme="minorHAnsi"/>
          <w:color w:val="auto"/>
          <w:szCs w:val="24"/>
          <w:lang w:val="sr-Latn-ME"/>
        </w:rPr>
        <w:t xml:space="preserve"> i Grafik </w:t>
      </w:r>
      <w:r w:rsidR="00056E0C" w:rsidRPr="00C86111">
        <w:rPr>
          <w:rFonts w:asciiTheme="minorHAnsi" w:hAnsiTheme="minorHAnsi" w:cstheme="minorHAnsi"/>
          <w:color w:val="auto"/>
          <w:szCs w:val="24"/>
          <w:lang w:val="sr-Latn-ME"/>
        </w:rPr>
        <w:t>4</w:t>
      </w:r>
      <w:r w:rsidR="00547278">
        <w:rPr>
          <w:rFonts w:asciiTheme="minorHAnsi" w:hAnsiTheme="minorHAnsi" w:cstheme="minorHAnsi"/>
          <w:color w:val="auto"/>
          <w:szCs w:val="24"/>
          <w:lang w:val="sr-Latn-ME"/>
        </w:rPr>
        <w:t>2</w:t>
      </w:r>
      <w:r w:rsidR="00056E0C" w:rsidRPr="00C86111">
        <w:rPr>
          <w:rFonts w:asciiTheme="minorHAnsi" w:hAnsiTheme="minorHAnsi" w:cstheme="minorHAnsi"/>
          <w:color w:val="auto"/>
          <w:szCs w:val="24"/>
          <w:lang w:val="sr-Latn-ME"/>
        </w:rPr>
        <w:t>.</w:t>
      </w:r>
      <w:r w:rsidRPr="00C86111">
        <w:rPr>
          <w:rFonts w:asciiTheme="minorHAnsi" w:hAnsiTheme="minorHAnsi" w:cstheme="minorHAnsi"/>
          <w:color w:val="auto"/>
          <w:szCs w:val="24"/>
          <w:lang w:val="sr-Latn-ME"/>
        </w:rPr>
        <w:t xml:space="preserve"> prikazuju pregled količina uvezenih PVC proizvoda sa HS kodom 3920499000 iz Kine za period 2017-2023, kao i izračunate količine SCCP i MCCP.</w:t>
      </w:r>
    </w:p>
    <w:p w14:paraId="7F6A1342" w14:textId="77777777" w:rsidR="00201FE9" w:rsidRPr="00C86111" w:rsidRDefault="00201FE9" w:rsidP="00201FE9">
      <w:pPr>
        <w:spacing w:line="276" w:lineRule="auto"/>
        <w:jc w:val="center"/>
        <w:rPr>
          <w:rFonts w:asciiTheme="minorHAnsi" w:eastAsia="Times New Roman" w:hAnsiTheme="minorHAnsi" w:cstheme="minorHAnsi"/>
          <w:color w:val="auto"/>
          <w:szCs w:val="24"/>
          <w:lang w:val="sr-Latn-ME"/>
        </w:rPr>
      </w:pPr>
    </w:p>
    <w:p w14:paraId="2371C4D0" w14:textId="6C0E83F8" w:rsidR="00201FE9" w:rsidRPr="00C86111" w:rsidRDefault="00201FE9" w:rsidP="00201FE9">
      <w:pPr>
        <w:pStyle w:val="Caption"/>
        <w:keepNext/>
        <w:rPr>
          <w:rFonts w:cstheme="minorHAnsi"/>
          <w:b w:val="0"/>
          <w:bCs/>
          <w:sz w:val="24"/>
          <w:szCs w:val="24"/>
        </w:rPr>
      </w:pPr>
      <w:bookmarkStart w:id="399" w:name="_Toc210743918"/>
      <w:r w:rsidRPr="00C86111">
        <w:rPr>
          <w:rFonts w:cstheme="minorHAnsi"/>
          <w:bCs/>
          <w:sz w:val="24"/>
          <w:szCs w:val="24"/>
        </w:rPr>
        <w:t xml:space="preserve">Tabela </w:t>
      </w:r>
      <w:r w:rsidRPr="00C86111">
        <w:rPr>
          <w:rFonts w:cstheme="minorHAnsi"/>
          <w:b w:val="0"/>
          <w:bCs/>
          <w:sz w:val="24"/>
          <w:szCs w:val="24"/>
        </w:rPr>
        <w:fldChar w:fldCharType="begin"/>
      </w:r>
      <w:r w:rsidRPr="00C86111">
        <w:rPr>
          <w:rFonts w:cstheme="minorHAnsi"/>
          <w:bCs/>
          <w:sz w:val="24"/>
          <w:szCs w:val="24"/>
        </w:rPr>
        <w:instrText xml:space="preserve"> SEQ Tabela \* ARABIC </w:instrText>
      </w:r>
      <w:r w:rsidRPr="00C86111">
        <w:rPr>
          <w:rFonts w:cstheme="minorHAnsi"/>
          <w:b w:val="0"/>
          <w:bCs/>
          <w:sz w:val="24"/>
          <w:szCs w:val="24"/>
        </w:rPr>
        <w:fldChar w:fldCharType="separate"/>
      </w:r>
      <w:r w:rsidRPr="00C86111">
        <w:rPr>
          <w:rFonts w:cstheme="minorHAnsi"/>
          <w:bCs/>
          <w:noProof/>
          <w:sz w:val="24"/>
          <w:szCs w:val="24"/>
        </w:rPr>
        <w:t>10</w:t>
      </w:r>
      <w:r w:rsidRPr="00C86111">
        <w:rPr>
          <w:rFonts w:cstheme="minorHAnsi"/>
          <w:b w:val="0"/>
          <w:bCs/>
          <w:sz w:val="24"/>
          <w:szCs w:val="24"/>
        </w:rPr>
        <w:fldChar w:fldCharType="end"/>
      </w:r>
      <w:r w:rsidR="00056E0C" w:rsidRPr="0042690B">
        <w:rPr>
          <w:rFonts w:cstheme="minorHAnsi"/>
          <w:sz w:val="24"/>
          <w:szCs w:val="24"/>
        </w:rPr>
        <w:t>7</w:t>
      </w:r>
      <w:r w:rsidRPr="00C86111">
        <w:rPr>
          <w:rFonts w:cstheme="minorHAnsi"/>
          <w:bCs/>
          <w:sz w:val="24"/>
          <w:szCs w:val="24"/>
        </w:rPr>
        <w:t>.</w:t>
      </w:r>
      <w:r w:rsidRPr="00C86111">
        <w:rPr>
          <w:rFonts w:cstheme="minorHAnsi"/>
          <w:sz w:val="24"/>
          <w:szCs w:val="24"/>
        </w:rPr>
        <w:t xml:space="preserve"> </w:t>
      </w:r>
      <w:r w:rsidRPr="00C86111">
        <w:rPr>
          <w:rFonts w:cstheme="minorHAnsi"/>
          <w:b w:val="0"/>
          <w:bCs/>
          <w:sz w:val="24"/>
          <w:szCs w:val="24"/>
        </w:rPr>
        <w:t>Količine uvezenih PVC proizvoda sa HS kodom 3920499000 za period 2017-2023 i procijenjene količine SCCP i MCCP</w:t>
      </w:r>
      <w:bookmarkEnd w:id="399"/>
    </w:p>
    <w:tbl>
      <w:tblPr>
        <w:tblStyle w:val="GridTable5Dark-Accent6"/>
        <w:tblW w:w="9016" w:type="dxa"/>
        <w:tblLook w:val="04A0" w:firstRow="1" w:lastRow="0" w:firstColumn="1" w:lastColumn="0" w:noHBand="0" w:noVBand="1"/>
      </w:tblPr>
      <w:tblGrid>
        <w:gridCol w:w="1265"/>
        <w:gridCol w:w="915"/>
        <w:gridCol w:w="1093"/>
        <w:gridCol w:w="1657"/>
        <w:gridCol w:w="1215"/>
        <w:gridCol w:w="1623"/>
        <w:gridCol w:w="1248"/>
      </w:tblGrid>
      <w:tr w:rsidR="00201FE9" w:rsidRPr="00C86111" w14:paraId="3B7FF9B7" w14:textId="77777777" w:rsidTr="002E5A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tcPr>
          <w:p w14:paraId="5E982086"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915" w:type="dxa"/>
            <w:hideMark/>
          </w:tcPr>
          <w:p w14:paraId="0D24A10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093" w:type="dxa"/>
            <w:hideMark/>
          </w:tcPr>
          <w:p w14:paraId="5142560B"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657" w:type="dxa"/>
          </w:tcPr>
          <w:p w14:paraId="78EBCF4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097C4E49"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215" w:type="dxa"/>
          </w:tcPr>
          <w:p w14:paraId="00D3F880"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623" w:type="dxa"/>
          </w:tcPr>
          <w:p w14:paraId="5EF0FFE5"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5E95D346"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248" w:type="dxa"/>
          </w:tcPr>
          <w:p w14:paraId="34D71CFE"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146EC6A8"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vMerge w:val="restart"/>
          </w:tcPr>
          <w:p w14:paraId="379BB939"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3920499000</w:t>
            </w:r>
          </w:p>
        </w:tc>
        <w:tc>
          <w:tcPr>
            <w:tcW w:w="915" w:type="dxa"/>
          </w:tcPr>
          <w:p w14:paraId="6C1D8E1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2017</w:t>
            </w:r>
          </w:p>
        </w:tc>
        <w:tc>
          <w:tcPr>
            <w:tcW w:w="1093" w:type="dxa"/>
          </w:tcPr>
          <w:p w14:paraId="44E0955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 0.0</w:t>
            </w:r>
          </w:p>
        </w:tc>
        <w:tc>
          <w:tcPr>
            <w:tcW w:w="1657" w:type="dxa"/>
          </w:tcPr>
          <w:p w14:paraId="76CD2E9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215" w:type="dxa"/>
          </w:tcPr>
          <w:p w14:paraId="38818C2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0.0</w:t>
            </w:r>
          </w:p>
        </w:tc>
        <w:tc>
          <w:tcPr>
            <w:tcW w:w="1623" w:type="dxa"/>
          </w:tcPr>
          <w:p w14:paraId="5CEBB06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48" w:type="dxa"/>
          </w:tcPr>
          <w:p w14:paraId="58DC3F2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0.0</w:t>
            </w:r>
          </w:p>
        </w:tc>
      </w:tr>
      <w:tr w:rsidR="00201FE9" w:rsidRPr="00C86111" w14:paraId="2AA94E5F" w14:textId="77777777" w:rsidTr="002E5AB7">
        <w:tc>
          <w:tcPr>
            <w:cnfStyle w:val="001000000000" w:firstRow="0" w:lastRow="0" w:firstColumn="1" w:lastColumn="0" w:oddVBand="0" w:evenVBand="0" w:oddHBand="0" w:evenHBand="0" w:firstRowFirstColumn="0" w:firstRowLastColumn="0" w:lastRowFirstColumn="0" w:lastRowLastColumn="0"/>
            <w:tcW w:w="1265" w:type="dxa"/>
            <w:vMerge/>
          </w:tcPr>
          <w:p w14:paraId="78C7E38F"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2771DE8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2018</w:t>
            </w:r>
          </w:p>
        </w:tc>
        <w:tc>
          <w:tcPr>
            <w:tcW w:w="1093" w:type="dxa"/>
          </w:tcPr>
          <w:p w14:paraId="5673E64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7103</w:t>
            </w:r>
          </w:p>
        </w:tc>
        <w:tc>
          <w:tcPr>
            <w:tcW w:w="1657" w:type="dxa"/>
          </w:tcPr>
          <w:p w14:paraId="3756BCF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215" w:type="dxa"/>
          </w:tcPr>
          <w:p w14:paraId="159D056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1279</w:t>
            </w:r>
          </w:p>
        </w:tc>
        <w:tc>
          <w:tcPr>
            <w:tcW w:w="1623" w:type="dxa"/>
          </w:tcPr>
          <w:p w14:paraId="43E55C4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48" w:type="dxa"/>
          </w:tcPr>
          <w:p w14:paraId="511195B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729</w:t>
            </w:r>
          </w:p>
        </w:tc>
      </w:tr>
      <w:tr w:rsidR="00201FE9" w:rsidRPr="00C86111" w14:paraId="5A6D0451"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vMerge/>
          </w:tcPr>
          <w:p w14:paraId="3C305187"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24B478A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2019</w:t>
            </w:r>
          </w:p>
        </w:tc>
        <w:tc>
          <w:tcPr>
            <w:tcW w:w="1093" w:type="dxa"/>
          </w:tcPr>
          <w:p w14:paraId="3A85FCA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97</w:t>
            </w:r>
          </w:p>
        </w:tc>
        <w:tc>
          <w:tcPr>
            <w:tcW w:w="1657" w:type="dxa"/>
          </w:tcPr>
          <w:p w14:paraId="413B80C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215" w:type="dxa"/>
          </w:tcPr>
          <w:p w14:paraId="22C7CC1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17</w:t>
            </w:r>
          </w:p>
        </w:tc>
        <w:tc>
          <w:tcPr>
            <w:tcW w:w="1623" w:type="dxa"/>
          </w:tcPr>
          <w:p w14:paraId="65ECCBD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48" w:type="dxa"/>
          </w:tcPr>
          <w:p w14:paraId="485405B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9.9</w:t>
            </w:r>
          </w:p>
        </w:tc>
      </w:tr>
      <w:tr w:rsidR="00201FE9" w:rsidRPr="00C86111" w14:paraId="0CFFE188" w14:textId="77777777" w:rsidTr="002E5AB7">
        <w:tc>
          <w:tcPr>
            <w:cnfStyle w:val="001000000000" w:firstRow="0" w:lastRow="0" w:firstColumn="1" w:lastColumn="0" w:oddVBand="0" w:evenVBand="0" w:oddHBand="0" w:evenHBand="0" w:firstRowFirstColumn="0" w:firstRowLastColumn="0" w:lastRowFirstColumn="0" w:lastRowLastColumn="0"/>
            <w:tcW w:w="1265" w:type="dxa"/>
            <w:vMerge/>
          </w:tcPr>
          <w:p w14:paraId="234B7D68"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2216BA6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2020</w:t>
            </w:r>
          </w:p>
        </w:tc>
        <w:tc>
          <w:tcPr>
            <w:tcW w:w="1093" w:type="dxa"/>
          </w:tcPr>
          <w:p w14:paraId="5CFAB18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76</w:t>
            </w:r>
          </w:p>
        </w:tc>
        <w:tc>
          <w:tcPr>
            <w:tcW w:w="1657" w:type="dxa"/>
          </w:tcPr>
          <w:p w14:paraId="187A52C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215" w:type="dxa"/>
          </w:tcPr>
          <w:p w14:paraId="27C66CF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w:t>
            </w:r>
          </w:p>
        </w:tc>
        <w:tc>
          <w:tcPr>
            <w:tcW w:w="1623" w:type="dxa"/>
          </w:tcPr>
          <w:p w14:paraId="025017C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48" w:type="dxa"/>
          </w:tcPr>
          <w:p w14:paraId="55ADF0E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7.8</w:t>
            </w:r>
          </w:p>
        </w:tc>
      </w:tr>
      <w:tr w:rsidR="00201FE9" w:rsidRPr="00C86111" w14:paraId="04684AE6"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vMerge/>
          </w:tcPr>
          <w:p w14:paraId="4F7BE271"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5EAAE03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2021</w:t>
            </w:r>
          </w:p>
        </w:tc>
        <w:tc>
          <w:tcPr>
            <w:tcW w:w="1093" w:type="dxa"/>
          </w:tcPr>
          <w:p w14:paraId="5C679B2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685</w:t>
            </w:r>
          </w:p>
        </w:tc>
        <w:tc>
          <w:tcPr>
            <w:tcW w:w="1657" w:type="dxa"/>
          </w:tcPr>
          <w:p w14:paraId="0DB821D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215" w:type="dxa"/>
          </w:tcPr>
          <w:p w14:paraId="6BF682C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123</w:t>
            </w:r>
          </w:p>
        </w:tc>
        <w:tc>
          <w:tcPr>
            <w:tcW w:w="1623" w:type="dxa"/>
          </w:tcPr>
          <w:p w14:paraId="6B02FD8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48" w:type="dxa"/>
          </w:tcPr>
          <w:p w14:paraId="6CC6098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70</w:t>
            </w:r>
          </w:p>
        </w:tc>
      </w:tr>
      <w:tr w:rsidR="00201FE9" w:rsidRPr="00C86111" w14:paraId="1F9020EB" w14:textId="77777777" w:rsidTr="002E5AB7">
        <w:tc>
          <w:tcPr>
            <w:cnfStyle w:val="001000000000" w:firstRow="0" w:lastRow="0" w:firstColumn="1" w:lastColumn="0" w:oddVBand="0" w:evenVBand="0" w:oddHBand="0" w:evenHBand="0" w:firstRowFirstColumn="0" w:firstRowLastColumn="0" w:lastRowFirstColumn="0" w:lastRowLastColumn="0"/>
            <w:tcW w:w="1265" w:type="dxa"/>
            <w:vMerge/>
          </w:tcPr>
          <w:p w14:paraId="300E1EB7"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28BD1F0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2022</w:t>
            </w:r>
          </w:p>
        </w:tc>
        <w:tc>
          <w:tcPr>
            <w:tcW w:w="1093" w:type="dxa"/>
          </w:tcPr>
          <w:p w14:paraId="7A5D4E5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3483</w:t>
            </w:r>
          </w:p>
        </w:tc>
        <w:tc>
          <w:tcPr>
            <w:tcW w:w="1657" w:type="dxa"/>
          </w:tcPr>
          <w:p w14:paraId="6893AC9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215" w:type="dxa"/>
          </w:tcPr>
          <w:p w14:paraId="0451B55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627</w:t>
            </w:r>
          </w:p>
        </w:tc>
        <w:tc>
          <w:tcPr>
            <w:tcW w:w="1623" w:type="dxa"/>
          </w:tcPr>
          <w:p w14:paraId="4DA5935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48" w:type="dxa"/>
          </w:tcPr>
          <w:p w14:paraId="6411F27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357</w:t>
            </w:r>
          </w:p>
        </w:tc>
      </w:tr>
      <w:tr w:rsidR="00201FE9" w:rsidRPr="00C86111" w14:paraId="35194B39"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5" w:type="dxa"/>
            <w:vMerge/>
          </w:tcPr>
          <w:p w14:paraId="774B8EBD"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28AFF1C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2023</w:t>
            </w:r>
          </w:p>
        </w:tc>
        <w:tc>
          <w:tcPr>
            <w:tcW w:w="1093" w:type="dxa"/>
          </w:tcPr>
          <w:p w14:paraId="00DB48B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4013</w:t>
            </w:r>
          </w:p>
        </w:tc>
        <w:tc>
          <w:tcPr>
            <w:tcW w:w="1657" w:type="dxa"/>
          </w:tcPr>
          <w:p w14:paraId="7781841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215" w:type="dxa"/>
          </w:tcPr>
          <w:p w14:paraId="3EB68BD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722</w:t>
            </w:r>
          </w:p>
        </w:tc>
        <w:tc>
          <w:tcPr>
            <w:tcW w:w="1623" w:type="dxa"/>
          </w:tcPr>
          <w:p w14:paraId="7C1F1F0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48" w:type="dxa"/>
          </w:tcPr>
          <w:p w14:paraId="50F72A2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412</w:t>
            </w:r>
          </w:p>
        </w:tc>
      </w:tr>
    </w:tbl>
    <w:p w14:paraId="2667ABDD" w14:textId="77777777" w:rsidR="00201FE9" w:rsidRPr="00C86111" w:rsidRDefault="00201FE9" w:rsidP="00201FE9">
      <w:pPr>
        <w:spacing w:line="276" w:lineRule="auto"/>
        <w:jc w:val="both"/>
        <w:rPr>
          <w:rFonts w:asciiTheme="minorHAnsi" w:hAnsiTheme="minorHAnsi" w:cstheme="minorHAnsi"/>
          <w:bCs/>
          <w:color w:val="002060"/>
          <w:szCs w:val="24"/>
          <w:lang w:val="sr-Latn-ME"/>
        </w:rPr>
      </w:pPr>
      <w:r w:rsidRPr="00C86111">
        <w:rPr>
          <w:rFonts w:asciiTheme="minorHAnsi" w:hAnsiTheme="minorHAnsi" w:cstheme="minorHAnsi"/>
          <w:bCs/>
          <w:color w:val="002060"/>
          <w:szCs w:val="24"/>
          <w:lang w:val="sr-Latn-ME"/>
        </w:rPr>
        <w:t>*Chen et al. (2021)</w:t>
      </w:r>
    </w:p>
    <w:p w14:paraId="7239152C"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12EE3BAA"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2157BDF2" wp14:editId="3E1E9EE4">
            <wp:extent cx="4770120" cy="2251364"/>
            <wp:effectExtent l="0" t="0" r="11430" b="15875"/>
            <wp:docPr id="679897363" name="Chart 679897363">
              <a:extLst xmlns:a="http://schemas.openxmlformats.org/drawingml/2006/main">
                <a:ext uri="{FF2B5EF4-FFF2-40B4-BE49-F238E27FC236}">
                  <a16:creationId xmlns:a16="http://schemas.microsoft.com/office/drawing/2014/main" id="{9DF10C2B-5949-4DEF-830A-C7BD90DC30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587393D7" w14:textId="11B9B0D5"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Grafik </w:t>
      </w:r>
      <w:r w:rsidR="00056E0C" w:rsidRPr="00C86111">
        <w:rPr>
          <w:rFonts w:asciiTheme="minorHAnsi" w:hAnsiTheme="minorHAnsi" w:cstheme="minorHAnsi"/>
          <w:b/>
          <w:bCs/>
          <w:color w:val="auto"/>
          <w:szCs w:val="24"/>
          <w:lang w:val="sr-Latn-ME"/>
        </w:rPr>
        <w:t>4</w:t>
      </w:r>
      <w:r w:rsidR="00547278">
        <w:rPr>
          <w:rFonts w:asciiTheme="minorHAnsi" w:hAnsiTheme="minorHAnsi" w:cstheme="minorHAnsi"/>
          <w:b/>
          <w:bCs/>
          <w:color w:val="auto"/>
          <w:szCs w:val="24"/>
          <w:lang w:val="sr-Latn-ME"/>
        </w:rPr>
        <w:t>2</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Procijenjena količina SCCP i MCCP u proizvodu sa HS kodom 3920499000 uvezenim tokom perioda 2017-2023.</w:t>
      </w:r>
    </w:p>
    <w:p w14:paraId="64FB89F4" w14:textId="77777777" w:rsidR="00201FE9" w:rsidRPr="00C86111" w:rsidRDefault="00201FE9" w:rsidP="00201FE9">
      <w:pPr>
        <w:spacing w:line="276" w:lineRule="auto"/>
        <w:rPr>
          <w:rFonts w:asciiTheme="minorHAnsi" w:hAnsiTheme="minorHAnsi" w:cstheme="minorHAnsi"/>
          <w:color w:val="auto"/>
          <w:szCs w:val="24"/>
          <w:lang w:val="sr-Latn-ME"/>
        </w:rPr>
      </w:pPr>
    </w:p>
    <w:p w14:paraId="20E8303B" w14:textId="2EFEF1AB"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 xml:space="preserve">Grafik </w:t>
      </w:r>
      <w:r w:rsidR="00056E0C" w:rsidRPr="00C86111">
        <w:rPr>
          <w:rFonts w:asciiTheme="minorHAnsi" w:hAnsiTheme="minorHAnsi" w:cstheme="minorHAnsi"/>
          <w:color w:val="auto"/>
          <w:szCs w:val="24"/>
          <w:lang w:val="sr-Latn-ME"/>
        </w:rPr>
        <w:t>40.</w:t>
      </w:r>
      <w:r w:rsidRPr="00C86111">
        <w:rPr>
          <w:rFonts w:asciiTheme="minorHAnsi" w:hAnsiTheme="minorHAnsi" w:cstheme="minorHAnsi"/>
          <w:color w:val="auto"/>
          <w:szCs w:val="24"/>
          <w:lang w:val="sr-Latn-ME"/>
        </w:rPr>
        <w:t xml:space="preserve"> prikazuje procijenjene količine SCCP i MCCP u uvezenim PVC proizvodima (HS kod 3920499000) od 2017. do 2023. godine. SCCP dominira u sastavu, u rasponu od 0 kg u 2017. do 722 kg u 2023. godini, dok se MCCP kreće od 0 kg do 412 kg. Podaci ukazuju na jake fluktuacije u </w:t>
      </w:r>
      <w:r w:rsidRPr="00C86111">
        <w:rPr>
          <w:rFonts w:asciiTheme="minorHAnsi" w:hAnsiTheme="minorHAnsi" w:cstheme="minorHAnsi"/>
          <w:color w:val="auto"/>
          <w:szCs w:val="24"/>
          <w:lang w:val="sr-Latn-ME"/>
        </w:rPr>
        <w:lastRenderedPageBreak/>
        <w:t>količinama uvoza i odgovarajućim nivoima hlorisanog parafina, sa ukupnim rastom količina oba jedinjenja prema kraju perioda.</w:t>
      </w:r>
    </w:p>
    <w:p w14:paraId="068F1211" w14:textId="77777777" w:rsidR="00201FE9" w:rsidRPr="00C86111" w:rsidRDefault="00201FE9" w:rsidP="00201FE9">
      <w:pPr>
        <w:spacing w:line="276" w:lineRule="auto"/>
        <w:jc w:val="both"/>
        <w:rPr>
          <w:rFonts w:asciiTheme="minorHAnsi" w:hAnsiTheme="minorHAnsi" w:cstheme="minorHAnsi"/>
          <w:color w:val="auto"/>
          <w:szCs w:val="24"/>
          <w:lang w:val="sr-Latn-ME"/>
        </w:rPr>
      </w:pPr>
    </w:p>
    <w:p w14:paraId="39B4C65B" w14:textId="6DC59FE1" w:rsidR="00201FE9" w:rsidRPr="00C86111" w:rsidRDefault="00201FE9" w:rsidP="00201FE9">
      <w:pPr>
        <w:spacing w:line="276" w:lineRule="auto"/>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Tabela 1</w:t>
      </w:r>
      <w:r w:rsidR="00056E0C" w:rsidRPr="00C86111">
        <w:rPr>
          <w:rFonts w:asciiTheme="minorHAnsi" w:hAnsiTheme="minorHAnsi" w:cstheme="minorHAnsi"/>
          <w:color w:val="auto"/>
          <w:szCs w:val="24"/>
          <w:lang w:val="sr-Latn-ME"/>
        </w:rPr>
        <w:t>08.</w:t>
      </w:r>
      <w:r w:rsidRPr="00C86111">
        <w:rPr>
          <w:rFonts w:asciiTheme="minorHAnsi" w:hAnsiTheme="minorHAnsi" w:cstheme="minorHAnsi"/>
          <w:color w:val="auto"/>
          <w:szCs w:val="24"/>
          <w:lang w:val="sr-Latn-ME"/>
        </w:rPr>
        <w:t xml:space="preserve"> i Grafik </w:t>
      </w:r>
      <w:r w:rsidR="00056E0C" w:rsidRPr="00C86111">
        <w:rPr>
          <w:rFonts w:asciiTheme="minorHAnsi" w:hAnsiTheme="minorHAnsi" w:cstheme="minorHAnsi"/>
          <w:color w:val="auto"/>
          <w:szCs w:val="24"/>
          <w:lang w:val="sr-Latn-ME"/>
        </w:rPr>
        <w:t>4</w:t>
      </w:r>
      <w:r w:rsidR="00547278">
        <w:rPr>
          <w:rFonts w:asciiTheme="minorHAnsi" w:hAnsiTheme="minorHAnsi" w:cstheme="minorHAnsi"/>
          <w:color w:val="auto"/>
          <w:szCs w:val="24"/>
          <w:lang w:val="sr-Latn-ME"/>
        </w:rPr>
        <w:t>3</w:t>
      </w:r>
      <w:r w:rsidR="00056E0C" w:rsidRPr="00C86111">
        <w:rPr>
          <w:rFonts w:asciiTheme="minorHAnsi" w:hAnsiTheme="minorHAnsi" w:cstheme="minorHAnsi"/>
          <w:color w:val="auto"/>
          <w:szCs w:val="24"/>
          <w:lang w:val="sr-Latn-ME"/>
        </w:rPr>
        <w:t>.</w:t>
      </w:r>
      <w:r w:rsidRPr="00C86111">
        <w:rPr>
          <w:rFonts w:asciiTheme="minorHAnsi" w:hAnsiTheme="minorHAnsi" w:cstheme="minorHAnsi"/>
          <w:color w:val="auto"/>
          <w:szCs w:val="24"/>
          <w:lang w:val="sr-Latn-ME"/>
        </w:rPr>
        <w:t xml:space="preserve"> prikazuju pregled količina uvezenih PVC proizvoda sa HS kodom 3920491000 iz Kine za period 2017-2023, kao i izračunate količine SCCP i MCCP.</w:t>
      </w:r>
    </w:p>
    <w:p w14:paraId="672A6307" w14:textId="77777777" w:rsidR="00201FE9" w:rsidRPr="00C86111" w:rsidRDefault="00201FE9" w:rsidP="00201FE9">
      <w:pPr>
        <w:spacing w:line="276" w:lineRule="auto"/>
        <w:rPr>
          <w:rFonts w:asciiTheme="minorHAnsi" w:hAnsiTheme="minorHAnsi" w:cstheme="minorHAnsi"/>
          <w:color w:val="auto"/>
          <w:szCs w:val="24"/>
          <w:lang w:val="sr-Latn-ME"/>
        </w:rPr>
      </w:pPr>
    </w:p>
    <w:p w14:paraId="6025F8CE" w14:textId="782C5BA8" w:rsidR="00201FE9" w:rsidRPr="00C86111" w:rsidRDefault="00201FE9" w:rsidP="00201FE9">
      <w:pPr>
        <w:pStyle w:val="Caption"/>
        <w:keepNext/>
        <w:rPr>
          <w:rFonts w:cstheme="minorHAnsi"/>
          <w:b w:val="0"/>
          <w:bCs/>
          <w:sz w:val="24"/>
          <w:szCs w:val="24"/>
        </w:rPr>
      </w:pPr>
      <w:bookmarkStart w:id="400" w:name="_Toc210743919"/>
      <w:r w:rsidRPr="00C86111">
        <w:rPr>
          <w:rFonts w:cstheme="minorHAnsi"/>
          <w:bCs/>
          <w:sz w:val="24"/>
          <w:szCs w:val="24"/>
        </w:rPr>
        <w:t xml:space="preserve">Tabela </w:t>
      </w:r>
      <w:r w:rsidR="00056E0C" w:rsidRPr="00C86111">
        <w:rPr>
          <w:rFonts w:cstheme="minorHAnsi"/>
          <w:bCs/>
          <w:sz w:val="24"/>
          <w:szCs w:val="24"/>
        </w:rPr>
        <w:t>108</w:t>
      </w:r>
      <w:r w:rsidRPr="00C86111">
        <w:rPr>
          <w:rFonts w:cstheme="minorHAnsi"/>
          <w:b w:val="0"/>
          <w:bCs/>
          <w:sz w:val="24"/>
          <w:szCs w:val="24"/>
        </w:rPr>
        <w:fldChar w:fldCharType="begin"/>
      </w:r>
      <w:r w:rsidRPr="00C86111">
        <w:rPr>
          <w:rFonts w:cstheme="minorHAnsi"/>
          <w:bCs/>
          <w:sz w:val="24"/>
          <w:szCs w:val="24"/>
        </w:rPr>
        <w:instrText xml:space="preserve"> SEQ Tabela \* ARABIC </w:instrText>
      </w:r>
      <w:r w:rsidRPr="00C86111">
        <w:rPr>
          <w:rFonts w:cstheme="minorHAnsi"/>
          <w:b w:val="0"/>
          <w:bCs/>
          <w:sz w:val="24"/>
          <w:szCs w:val="24"/>
        </w:rPr>
        <w:fldChar w:fldCharType="end"/>
      </w:r>
      <w:r w:rsidRPr="00C86111">
        <w:rPr>
          <w:rFonts w:cstheme="minorHAnsi"/>
          <w:bCs/>
          <w:sz w:val="24"/>
          <w:szCs w:val="24"/>
        </w:rPr>
        <w:t>.</w:t>
      </w:r>
      <w:r w:rsidRPr="00C86111">
        <w:rPr>
          <w:rFonts w:cstheme="minorHAnsi"/>
          <w:sz w:val="24"/>
          <w:szCs w:val="24"/>
        </w:rPr>
        <w:t xml:space="preserve"> </w:t>
      </w:r>
      <w:r w:rsidRPr="00C86111">
        <w:rPr>
          <w:rFonts w:cstheme="minorHAnsi"/>
          <w:b w:val="0"/>
          <w:bCs/>
          <w:sz w:val="24"/>
          <w:szCs w:val="24"/>
        </w:rPr>
        <w:t>Količine uvezenih PVC proizvoda sa HS kodom 3920491000 za period 2017-2023. i procenjene količine SCCP i MCCP</w:t>
      </w:r>
      <w:bookmarkEnd w:id="400"/>
    </w:p>
    <w:tbl>
      <w:tblPr>
        <w:tblStyle w:val="GridTable5Dark-Accent6"/>
        <w:tblW w:w="9016" w:type="dxa"/>
        <w:tblLook w:val="04A0" w:firstRow="1" w:lastRow="0" w:firstColumn="1" w:lastColumn="0" w:noHBand="0" w:noVBand="1"/>
      </w:tblPr>
      <w:tblGrid>
        <w:gridCol w:w="1433"/>
        <w:gridCol w:w="933"/>
        <w:gridCol w:w="1063"/>
        <w:gridCol w:w="1612"/>
        <w:gridCol w:w="1182"/>
        <w:gridCol w:w="1579"/>
        <w:gridCol w:w="1214"/>
      </w:tblGrid>
      <w:tr w:rsidR="00201FE9" w:rsidRPr="00C86111" w14:paraId="1575D1A4" w14:textId="77777777" w:rsidTr="00C262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tcPr>
          <w:p w14:paraId="06CA1CCE"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933" w:type="dxa"/>
            <w:hideMark/>
          </w:tcPr>
          <w:p w14:paraId="12BFC8BB"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063" w:type="dxa"/>
            <w:hideMark/>
          </w:tcPr>
          <w:p w14:paraId="628462C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612" w:type="dxa"/>
          </w:tcPr>
          <w:p w14:paraId="0BCD887E"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66F9FF5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182" w:type="dxa"/>
          </w:tcPr>
          <w:p w14:paraId="1FC5CE4E"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579" w:type="dxa"/>
          </w:tcPr>
          <w:p w14:paraId="02883911"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3F01F387"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214" w:type="dxa"/>
          </w:tcPr>
          <w:p w14:paraId="48E85E4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1F38852D" w14:textId="77777777" w:rsidTr="00C26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vMerge w:val="restart"/>
          </w:tcPr>
          <w:p w14:paraId="63F8401E"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3920491000</w:t>
            </w:r>
          </w:p>
        </w:tc>
        <w:tc>
          <w:tcPr>
            <w:tcW w:w="933" w:type="dxa"/>
          </w:tcPr>
          <w:p w14:paraId="45C099F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2017</w:t>
            </w:r>
          </w:p>
        </w:tc>
        <w:tc>
          <w:tcPr>
            <w:tcW w:w="1063" w:type="dxa"/>
          </w:tcPr>
          <w:p w14:paraId="08DE5A4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8171</w:t>
            </w:r>
          </w:p>
        </w:tc>
        <w:tc>
          <w:tcPr>
            <w:tcW w:w="1612" w:type="dxa"/>
          </w:tcPr>
          <w:p w14:paraId="5539A08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82" w:type="dxa"/>
          </w:tcPr>
          <w:p w14:paraId="1ECFE28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1471</w:t>
            </w:r>
          </w:p>
        </w:tc>
        <w:tc>
          <w:tcPr>
            <w:tcW w:w="1579" w:type="dxa"/>
          </w:tcPr>
          <w:p w14:paraId="283281E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14" w:type="dxa"/>
          </w:tcPr>
          <w:p w14:paraId="34AE567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838</w:t>
            </w:r>
          </w:p>
        </w:tc>
      </w:tr>
      <w:tr w:rsidR="00201FE9" w:rsidRPr="00C86111" w14:paraId="0A264657" w14:textId="77777777" w:rsidTr="00C262FD">
        <w:tc>
          <w:tcPr>
            <w:cnfStyle w:val="001000000000" w:firstRow="0" w:lastRow="0" w:firstColumn="1" w:lastColumn="0" w:oddVBand="0" w:evenVBand="0" w:oddHBand="0" w:evenHBand="0" w:firstRowFirstColumn="0" w:firstRowLastColumn="0" w:lastRowFirstColumn="0" w:lastRowLastColumn="0"/>
            <w:tcW w:w="1433" w:type="dxa"/>
            <w:vMerge/>
          </w:tcPr>
          <w:p w14:paraId="5659D6AE"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4F8DA80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2018</w:t>
            </w:r>
          </w:p>
        </w:tc>
        <w:tc>
          <w:tcPr>
            <w:tcW w:w="1063" w:type="dxa"/>
          </w:tcPr>
          <w:p w14:paraId="0874E89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4825</w:t>
            </w:r>
          </w:p>
        </w:tc>
        <w:tc>
          <w:tcPr>
            <w:tcW w:w="1612" w:type="dxa"/>
          </w:tcPr>
          <w:p w14:paraId="080AE77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82" w:type="dxa"/>
          </w:tcPr>
          <w:p w14:paraId="255E32B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869</w:t>
            </w:r>
          </w:p>
        </w:tc>
        <w:tc>
          <w:tcPr>
            <w:tcW w:w="1579" w:type="dxa"/>
          </w:tcPr>
          <w:p w14:paraId="29CD888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14" w:type="dxa"/>
          </w:tcPr>
          <w:p w14:paraId="4CFC67C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495</w:t>
            </w:r>
          </w:p>
        </w:tc>
      </w:tr>
      <w:tr w:rsidR="00201FE9" w:rsidRPr="00C86111" w14:paraId="5959C858" w14:textId="77777777" w:rsidTr="00C26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vMerge/>
          </w:tcPr>
          <w:p w14:paraId="7965338C"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3A7767B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2019</w:t>
            </w:r>
          </w:p>
        </w:tc>
        <w:tc>
          <w:tcPr>
            <w:tcW w:w="1063" w:type="dxa"/>
          </w:tcPr>
          <w:p w14:paraId="11D19F1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3158</w:t>
            </w:r>
          </w:p>
        </w:tc>
        <w:tc>
          <w:tcPr>
            <w:tcW w:w="1612" w:type="dxa"/>
          </w:tcPr>
          <w:p w14:paraId="31D0C1C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82" w:type="dxa"/>
          </w:tcPr>
          <w:p w14:paraId="30A7686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568</w:t>
            </w:r>
          </w:p>
        </w:tc>
        <w:tc>
          <w:tcPr>
            <w:tcW w:w="1579" w:type="dxa"/>
          </w:tcPr>
          <w:p w14:paraId="215E1C1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14" w:type="dxa"/>
          </w:tcPr>
          <w:p w14:paraId="3267F61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324</w:t>
            </w:r>
          </w:p>
        </w:tc>
      </w:tr>
      <w:tr w:rsidR="00201FE9" w:rsidRPr="00C86111" w14:paraId="2042F326" w14:textId="77777777" w:rsidTr="00C262FD">
        <w:tc>
          <w:tcPr>
            <w:cnfStyle w:val="001000000000" w:firstRow="0" w:lastRow="0" w:firstColumn="1" w:lastColumn="0" w:oddVBand="0" w:evenVBand="0" w:oddHBand="0" w:evenHBand="0" w:firstRowFirstColumn="0" w:firstRowLastColumn="0" w:lastRowFirstColumn="0" w:lastRowLastColumn="0"/>
            <w:tcW w:w="1433" w:type="dxa"/>
            <w:vMerge/>
          </w:tcPr>
          <w:p w14:paraId="6467C3F0"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7BD4C49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2020</w:t>
            </w:r>
          </w:p>
        </w:tc>
        <w:tc>
          <w:tcPr>
            <w:tcW w:w="1063" w:type="dxa"/>
          </w:tcPr>
          <w:p w14:paraId="2C8614F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38</w:t>
            </w:r>
          </w:p>
        </w:tc>
        <w:tc>
          <w:tcPr>
            <w:tcW w:w="1612" w:type="dxa"/>
          </w:tcPr>
          <w:p w14:paraId="2EDE3DC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82" w:type="dxa"/>
          </w:tcPr>
          <w:p w14:paraId="1EF538D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6.8</w:t>
            </w:r>
          </w:p>
        </w:tc>
        <w:tc>
          <w:tcPr>
            <w:tcW w:w="1579" w:type="dxa"/>
          </w:tcPr>
          <w:p w14:paraId="40933EE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14" w:type="dxa"/>
          </w:tcPr>
          <w:p w14:paraId="6BE08B0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4.0</w:t>
            </w:r>
          </w:p>
        </w:tc>
      </w:tr>
      <w:tr w:rsidR="00201FE9" w:rsidRPr="00C86111" w14:paraId="340B3D8C" w14:textId="77777777" w:rsidTr="00C26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vMerge/>
          </w:tcPr>
          <w:p w14:paraId="4376BDAA"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3D56F9D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2021</w:t>
            </w:r>
          </w:p>
        </w:tc>
        <w:tc>
          <w:tcPr>
            <w:tcW w:w="1063" w:type="dxa"/>
          </w:tcPr>
          <w:p w14:paraId="4CBAF00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839</w:t>
            </w:r>
          </w:p>
        </w:tc>
        <w:tc>
          <w:tcPr>
            <w:tcW w:w="1612" w:type="dxa"/>
          </w:tcPr>
          <w:p w14:paraId="3A97880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82" w:type="dxa"/>
          </w:tcPr>
          <w:p w14:paraId="624B1B1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151</w:t>
            </w:r>
          </w:p>
        </w:tc>
        <w:tc>
          <w:tcPr>
            <w:tcW w:w="1579" w:type="dxa"/>
          </w:tcPr>
          <w:p w14:paraId="765AF5F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14" w:type="dxa"/>
          </w:tcPr>
          <w:p w14:paraId="1A9A7F1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86</w:t>
            </w:r>
          </w:p>
        </w:tc>
      </w:tr>
      <w:tr w:rsidR="00201FE9" w:rsidRPr="00C86111" w14:paraId="477B525E" w14:textId="77777777" w:rsidTr="00C262FD">
        <w:tc>
          <w:tcPr>
            <w:cnfStyle w:val="001000000000" w:firstRow="0" w:lastRow="0" w:firstColumn="1" w:lastColumn="0" w:oddVBand="0" w:evenVBand="0" w:oddHBand="0" w:evenHBand="0" w:firstRowFirstColumn="0" w:firstRowLastColumn="0" w:lastRowFirstColumn="0" w:lastRowLastColumn="0"/>
            <w:tcW w:w="1433" w:type="dxa"/>
            <w:vMerge/>
          </w:tcPr>
          <w:p w14:paraId="2E44FEAD"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27EAEC0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2022</w:t>
            </w:r>
          </w:p>
        </w:tc>
        <w:tc>
          <w:tcPr>
            <w:tcW w:w="1063" w:type="dxa"/>
          </w:tcPr>
          <w:p w14:paraId="7A6D45F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1402</w:t>
            </w:r>
          </w:p>
        </w:tc>
        <w:tc>
          <w:tcPr>
            <w:tcW w:w="1612" w:type="dxa"/>
          </w:tcPr>
          <w:p w14:paraId="4D231AB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82" w:type="dxa"/>
          </w:tcPr>
          <w:p w14:paraId="56C562B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252</w:t>
            </w:r>
          </w:p>
        </w:tc>
        <w:tc>
          <w:tcPr>
            <w:tcW w:w="1579" w:type="dxa"/>
          </w:tcPr>
          <w:p w14:paraId="6D688D5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14" w:type="dxa"/>
          </w:tcPr>
          <w:p w14:paraId="5F046AA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144</w:t>
            </w:r>
          </w:p>
        </w:tc>
      </w:tr>
      <w:tr w:rsidR="00201FE9" w:rsidRPr="00C86111" w14:paraId="2D982678" w14:textId="77777777" w:rsidTr="00C26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vMerge/>
          </w:tcPr>
          <w:p w14:paraId="6113BC9C"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4D378C0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2023</w:t>
            </w:r>
          </w:p>
        </w:tc>
        <w:tc>
          <w:tcPr>
            <w:tcW w:w="1063" w:type="dxa"/>
          </w:tcPr>
          <w:p w14:paraId="6704D7B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1870</w:t>
            </w:r>
          </w:p>
        </w:tc>
        <w:tc>
          <w:tcPr>
            <w:tcW w:w="1612" w:type="dxa"/>
          </w:tcPr>
          <w:p w14:paraId="3FD37CA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82" w:type="dxa"/>
          </w:tcPr>
          <w:p w14:paraId="2F61632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337</w:t>
            </w:r>
          </w:p>
        </w:tc>
        <w:tc>
          <w:tcPr>
            <w:tcW w:w="1579" w:type="dxa"/>
          </w:tcPr>
          <w:p w14:paraId="462615F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214" w:type="dxa"/>
          </w:tcPr>
          <w:p w14:paraId="3E25075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192</w:t>
            </w:r>
          </w:p>
        </w:tc>
      </w:tr>
    </w:tbl>
    <w:p w14:paraId="41089F76" w14:textId="77777777" w:rsidR="00201FE9" w:rsidRPr="00C86111" w:rsidRDefault="00201FE9" w:rsidP="00201FE9">
      <w:pPr>
        <w:spacing w:line="276" w:lineRule="auto"/>
        <w:jc w:val="both"/>
        <w:rPr>
          <w:rFonts w:asciiTheme="minorHAnsi" w:hAnsiTheme="minorHAnsi" w:cstheme="minorHAnsi"/>
          <w:bCs/>
          <w:color w:val="002060"/>
          <w:szCs w:val="24"/>
          <w:lang w:val="sr-Latn-ME"/>
        </w:rPr>
      </w:pPr>
      <w:r w:rsidRPr="00C86111">
        <w:rPr>
          <w:rFonts w:asciiTheme="minorHAnsi" w:hAnsiTheme="minorHAnsi" w:cstheme="minorHAnsi"/>
          <w:bCs/>
          <w:color w:val="002060"/>
          <w:szCs w:val="24"/>
          <w:lang w:val="sr-Latn-ME"/>
        </w:rPr>
        <w:t>*Chen et al. (2021)</w:t>
      </w:r>
    </w:p>
    <w:p w14:paraId="02DA51DB"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0C82E5D3"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14B78A07"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37C27096" wp14:editId="39660994">
            <wp:extent cx="4823460" cy="2189019"/>
            <wp:effectExtent l="0" t="0" r="15240" b="1905"/>
            <wp:docPr id="9" name="Chart 9">
              <a:extLst xmlns:a="http://schemas.openxmlformats.org/drawingml/2006/main">
                <a:ext uri="{FF2B5EF4-FFF2-40B4-BE49-F238E27FC236}">
                  <a16:creationId xmlns:a16="http://schemas.microsoft.com/office/drawing/2014/main" id="{7803694B-50A0-40FB-AA75-974A67676D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036E5C1" w14:textId="217E85B2"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Grafik </w:t>
      </w:r>
      <w:r w:rsidR="00056E0C" w:rsidRPr="00C86111">
        <w:rPr>
          <w:rFonts w:asciiTheme="minorHAnsi" w:hAnsiTheme="minorHAnsi" w:cstheme="minorHAnsi"/>
          <w:b/>
          <w:bCs/>
          <w:color w:val="auto"/>
          <w:szCs w:val="24"/>
          <w:lang w:val="sr-Latn-ME"/>
        </w:rPr>
        <w:t>4</w:t>
      </w:r>
      <w:r w:rsidR="00547278">
        <w:rPr>
          <w:rFonts w:asciiTheme="minorHAnsi" w:hAnsiTheme="minorHAnsi" w:cstheme="minorHAnsi"/>
          <w:b/>
          <w:bCs/>
          <w:color w:val="auto"/>
          <w:szCs w:val="24"/>
          <w:lang w:val="sr-Latn-ME"/>
        </w:rPr>
        <w:t>3</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Procenjena količina SCCP i MCCP u proizvodu sa HS kodom 3920491000 uvezenim tokom perioda 2017-2023.</w:t>
      </w:r>
    </w:p>
    <w:p w14:paraId="3519090C"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1C7CF11F" w14:textId="5B07B6AB"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 xml:space="preserve">Grafik </w:t>
      </w:r>
      <w:r w:rsidR="00056E0C" w:rsidRPr="00C86111">
        <w:rPr>
          <w:rFonts w:asciiTheme="minorHAnsi" w:hAnsiTheme="minorHAnsi" w:cstheme="minorHAnsi"/>
          <w:color w:val="auto"/>
          <w:szCs w:val="24"/>
          <w:lang w:val="sr-Latn-ME"/>
        </w:rPr>
        <w:t>4</w:t>
      </w:r>
      <w:r w:rsidR="00547278">
        <w:rPr>
          <w:rFonts w:asciiTheme="minorHAnsi" w:hAnsiTheme="minorHAnsi" w:cstheme="minorHAnsi"/>
          <w:color w:val="auto"/>
          <w:szCs w:val="24"/>
          <w:lang w:val="sr-Latn-ME"/>
        </w:rPr>
        <w:t>3</w:t>
      </w:r>
      <w:r w:rsidR="00056E0C" w:rsidRPr="00C86111">
        <w:rPr>
          <w:rFonts w:asciiTheme="minorHAnsi" w:hAnsiTheme="minorHAnsi" w:cstheme="minorHAnsi"/>
          <w:color w:val="auto"/>
          <w:szCs w:val="24"/>
          <w:lang w:val="sr-Latn-ME"/>
        </w:rPr>
        <w:t>.</w:t>
      </w:r>
      <w:r w:rsidRPr="00C86111">
        <w:rPr>
          <w:rFonts w:asciiTheme="minorHAnsi" w:hAnsiTheme="minorHAnsi" w:cstheme="minorHAnsi"/>
          <w:color w:val="auto"/>
          <w:szCs w:val="24"/>
          <w:lang w:val="sr-Latn-ME"/>
        </w:rPr>
        <w:t xml:space="preserve"> prikazuje procijenjene količine SCCP i MCCP u uvezenim PVC proizvodima (HS kod 3920491000) za period 2017–2023. SCCP ostaje glavno jedinjenje, smanjujući se sa 1471 kg u 2017. na 337 kg u 2023. godini, dok MCCP opada sa 838 kg na 192 kg u istom periodu. Oba jedinjenja pokazuju značajan pad do 2020. godine, nakon čega slijedi postepeni rast od 2021. godine, što odražava varijacije u obimu uvoza i hemijskom sadržaju.</w:t>
      </w:r>
    </w:p>
    <w:p w14:paraId="003AEAFD" w14:textId="77777777" w:rsidR="00201FE9" w:rsidRPr="00C86111" w:rsidRDefault="00201FE9" w:rsidP="00201FE9">
      <w:pPr>
        <w:spacing w:line="276" w:lineRule="auto"/>
        <w:jc w:val="both"/>
        <w:rPr>
          <w:rFonts w:asciiTheme="minorHAnsi" w:hAnsiTheme="minorHAnsi" w:cstheme="minorHAnsi"/>
          <w:color w:val="auto"/>
          <w:szCs w:val="24"/>
          <w:lang w:val="sr-Latn-ME"/>
        </w:rPr>
      </w:pPr>
    </w:p>
    <w:p w14:paraId="6F558C47" w14:textId="22796AF2" w:rsidR="00201FE9" w:rsidRPr="00C86111" w:rsidRDefault="00201FE9" w:rsidP="00201FE9">
      <w:pPr>
        <w:spacing w:line="276" w:lineRule="auto"/>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 xml:space="preserve">Tabela </w:t>
      </w:r>
      <w:r w:rsidR="00056E0C" w:rsidRPr="00C86111">
        <w:rPr>
          <w:rFonts w:asciiTheme="minorHAnsi" w:hAnsiTheme="minorHAnsi" w:cstheme="minorHAnsi"/>
          <w:color w:val="auto"/>
          <w:szCs w:val="24"/>
          <w:lang w:val="sr-Latn-ME"/>
        </w:rPr>
        <w:t>109.</w:t>
      </w:r>
      <w:r w:rsidRPr="00C86111">
        <w:rPr>
          <w:rFonts w:asciiTheme="minorHAnsi" w:hAnsiTheme="minorHAnsi" w:cstheme="minorHAnsi"/>
          <w:color w:val="auto"/>
          <w:szCs w:val="24"/>
          <w:lang w:val="sr-Latn-ME"/>
        </w:rPr>
        <w:t xml:space="preserve"> i Grafik </w:t>
      </w:r>
      <w:r w:rsidR="00056E0C" w:rsidRPr="00C86111">
        <w:rPr>
          <w:rFonts w:asciiTheme="minorHAnsi" w:hAnsiTheme="minorHAnsi" w:cstheme="minorHAnsi"/>
          <w:color w:val="auto"/>
          <w:szCs w:val="24"/>
          <w:lang w:val="sr-Latn-ME"/>
        </w:rPr>
        <w:t>4</w:t>
      </w:r>
      <w:r w:rsidR="00547278">
        <w:rPr>
          <w:rFonts w:asciiTheme="minorHAnsi" w:hAnsiTheme="minorHAnsi" w:cstheme="minorHAnsi"/>
          <w:color w:val="auto"/>
          <w:szCs w:val="24"/>
          <w:lang w:val="sr-Latn-ME"/>
        </w:rPr>
        <w:t>4</w:t>
      </w:r>
      <w:r w:rsidR="00056E0C" w:rsidRPr="00C86111">
        <w:rPr>
          <w:rFonts w:asciiTheme="minorHAnsi" w:hAnsiTheme="minorHAnsi" w:cstheme="minorHAnsi"/>
          <w:color w:val="auto"/>
          <w:szCs w:val="24"/>
          <w:lang w:val="sr-Latn-ME"/>
        </w:rPr>
        <w:t>.</w:t>
      </w:r>
      <w:r w:rsidRPr="00C86111">
        <w:rPr>
          <w:rFonts w:asciiTheme="minorHAnsi" w:hAnsiTheme="minorHAnsi" w:cstheme="minorHAnsi"/>
          <w:color w:val="auto"/>
          <w:szCs w:val="24"/>
          <w:lang w:val="sr-Latn-ME"/>
        </w:rPr>
        <w:t xml:space="preserve"> prikazuju pregled količina uvezenih PVC proizvoda sa HS kodom 920439000 iz Kine za period 2017–2023, kao i izračunate količine SCCP i MCCP.</w:t>
      </w:r>
    </w:p>
    <w:p w14:paraId="3FF36B9E" w14:textId="77777777" w:rsidR="00201FE9" w:rsidRPr="00C86111" w:rsidRDefault="00201FE9" w:rsidP="00201FE9">
      <w:pPr>
        <w:pStyle w:val="Caption"/>
        <w:keepNext/>
        <w:rPr>
          <w:rFonts w:cstheme="minorHAnsi"/>
          <w:bCs/>
          <w:sz w:val="24"/>
          <w:szCs w:val="24"/>
        </w:rPr>
      </w:pPr>
      <w:bookmarkStart w:id="401" w:name="_Toc210743920"/>
    </w:p>
    <w:p w14:paraId="78745CF1" w14:textId="10755EF5" w:rsidR="00201FE9" w:rsidRPr="00C86111" w:rsidRDefault="00201FE9" w:rsidP="00201FE9">
      <w:pPr>
        <w:pStyle w:val="Caption"/>
        <w:keepNext/>
        <w:rPr>
          <w:rFonts w:cstheme="minorHAnsi"/>
          <w:b w:val="0"/>
          <w:bCs/>
          <w:sz w:val="24"/>
          <w:szCs w:val="24"/>
        </w:rPr>
      </w:pPr>
      <w:r w:rsidRPr="00C86111">
        <w:rPr>
          <w:rFonts w:cstheme="minorHAnsi"/>
          <w:bCs/>
          <w:sz w:val="24"/>
          <w:szCs w:val="24"/>
        </w:rPr>
        <w:t xml:space="preserve">Tabela </w:t>
      </w:r>
      <w:r w:rsidR="00056E0C" w:rsidRPr="00C86111">
        <w:rPr>
          <w:rFonts w:cstheme="minorHAnsi"/>
          <w:sz w:val="24"/>
          <w:szCs w:val="24"/>
        </w:rPr>
        <w:t>109</w:t>
      </w:r>
      <w:r w:rsidRPr="00C86111">
        <w:rPr>
          <w:rFonts w:cstheme="minorHAnsi"/>
          <w:bCs/>
          <w:sz w:val="24"/>
          <w:szCs w:val="24"/>
        </w:rPr>
        <w:t>.</w:t>
      </w:r>
      <w:r w:rsidRPr="00C86111">
        <w:rPr>
          <w:rFonts w:cstheme="minorHAnsi"/>
          <w:sz w:val="24"/>
          <w:szCs w:val="24"/>
        </w:rPr>
        <w:t xml:space="preserve"> </w:t>
      </w:r>
      <w:r w:rsidRPr="00C86111">
        <w:rPr>
          <w:rFonts w:cstheme="minorHAnsi"/>
          <w:b w:val="0"/>
          <w:bCs/>
          <w:sz w:val="24"/>
          <w:szCs w:val="24"/>
        </w:rPr>
        <w:t>Količine uvezenih PVC proizvoda sa HS kodom 3920439000 za period 2017-2023 i procenjene količine SCCP i MCCP</w:t>
      </w:r>
      <w:bookmarkEnd w:id="401"/>
    </w:p>
    <w:tbl>
      <w:tblPr>
        <w:tblStyle w:val="GridTable5Dark-Accent6"/>
        <w:tblW w:w="9016" w:type="dxa"/>
        <w:tblLook w:val="04A0" w:firstRow="1" w:lastRow="0" w:firstColumn="1" w:lastColumn="0" w:noHBand="0" w:noVBand="1"/>
      </w:tblPr>
      <w:tblGrid>
        <w:gridCol w:w="1433"/>
        <w:gridCol w:w="933"/>
        <w:gridCol w:w="1233"/>
        <w:gridCol w:w="1598"/>
        <w:gridCol w:w="1100"/>
        <w:gridCol w:w="1568"/>
        <w:gridCol w:w="1151"/>
      </w:tblGrid>
      <w:tr w:rsidR="00201FE9" w:rsidRPr="00C86111" w14:paraId="764F86D9" w14:textId="77777777" w:rsidTr="008126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tcPr>
          <w:p w14:paraId="671B9179"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933" w:type="dxa"/>
            <w:hideMark/>
          </w:tcPr>
          <w:p w14:paraId="27A8C96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233" w:type="dxa"/>
            <w:hideMark/>
          </w:tcPr>
          <w:p w14:paraId="1142D387"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598" w:type="dxa"/>
          </w:tcPr>
          <w:p w14:paraId="4BB99F7C"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2B282FC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100" w:type="dxa"/>
          </w:tcPr>
          <w:p w14:paraId="3FBE26C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568" w:type="dxa"/>
          </w:tcPr>
          <w:p w14:paraId="7CE1BA2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7AAFC75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151" w:type="dxa"/>
          </w:tcPr>
          <w:p w14:paraId="447FCFB1"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5866F787" w14:textId="77777777" w:rsidTr="008126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vMerge w:val="restart"/>
          </w:tcPr>
          <w:p w14:paraId="63F532F5"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3920439000</w:t>
            </w:r>
          </w:p>
        </w:tc>
        <w:tc>
          <w:tcPr>
            <w:tcW w:w="933" w:type="dxa"/>
          </w:tcPr>
          <w:p w14:paraId="50B0D23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2017</w:t>
            </w:r>
          </w:p>
        </w:tc>
        <w:tc>
          <w:tcPr>
            <w:tcW w:w="1233" w:type="dxa"/>
          </w:tcPr>
          <w:p w14:paraId="2A7D99C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2887</w:t>
            </w:r>
          </w:p>
        </w:tc>
        <w:tc>
          <w:tcPr>
            <w:tcW w:w="1598" w:type="dxa"/>
          </w:tcPr>
          <w:p w14:paraId="2F81C65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00" w:type="dxa"/>
          </w:tcPr>
          <w:p w14:paraId="20A3611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520</w:t>
            </w:r>
          </w:p>
        </w:tc>
        <w:tc>
          <w:tcPr>
            <w:tcW w:w="1568" w:type="dxa"/>
          </w:tcPr>
          <w:p w14:paraId="36D03C2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51" w:type="dxa"/>
          </w:tcPr>
          <w:p w14:paraId="6DA119C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296</w:t>
            </w:r>
          </w:p>
        </w:tc>
      </w:tr>
      <w:tr w:rsidR="00201FE9" w:rsidRPr="00C86111" w14:paraId="16C223DE" w14:textId="77777777" w:rsidTr="0081267C">
        <w:tc>
          <w:tcPr>
            <w:cnfStyle w:val="001000000000" w:firstRow="0" w:lastRow="0" w:firstColumn="1" w:lastColumn="0" w:oddVBand="0" w:evenVBand="0" w:oddHBand="0" w:evenHBand="0" w:firstRowFirstColumn="0" w:firstRowLastColumn="0" w:lastRowFirstColumn="0" w:lastRowLastColumn="0"/>
            <w:tcW w:w="1433" w:type="dxa"/>
            <w:vMerge/>
          </w:tcPr>
          <w:p w14:paraId="0132E936"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1929771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2018</w:t>
            </w:r>
          </w:p>
        </w:tc>
        <w:tc>
          <w:tcPr>
            <w:tcW w:w="1233" w:type="dxa"/>
          </w:tcPr>
          <w:p w14:paraId="66C96E5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10762</w:t>
            </w:r>
          </w:p>
        </w:tc>
        <w:tc>
          <w:tcPr>
            <w:tcW w:w="1598" w:type="dxa"/>
          </w:tcPr>
          <w:p w14:paraId="589BCB0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00" w:type="dxa"/>
          </w:tcPr>
          <w:p w14:paraId="6BC98B0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1937</w:t>
            </w:r>
          </w:p>
        </w:tc>
        <w:tc>
          <w:tcPr>
            <w:tcW w:w="1568" w:type="dxa"/>
          </w:tcPr>
          <w:p w14:paraId="2DE7C5E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51" w:type="dxa"/>
          </w:tcPr>
          <w:p w14:paraId="2F9F8BC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1104</w:t>
            </w:r>
          </w:p>
        </w:tc>
      </w:tr>
      <w:tr w:rsidR="00201FE9" w:rsidRPr="00C86111" w14:paraId="6271EC4E" w14:textId="77777777" w:rsidTr="008126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vMerge/>
          </w:tcPr>
          <w:p w14:paraId="30E6B592"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1DD0652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2019</w:t>
            </w:r>
          </w:p>
        </w:tc>
        <w:tc>
          <w:tcPr>
            <w:tcW w:w="1233" w:type="dxa"/>
          </w:tcPr>
          <w:p w14:paraId="5EC63F9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12711</w:t>
            </w:r>
          </w:p>
        </w:tc>
        <w:tc>
          <w:tcPr>
            <w:tcW w:w="1598" w:type="dxa"/>
          </w:tcPr>
          <w:p w14:paraId="768298A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00" w:type="dxa"/>
          </w:tcPr>
          <w:p w14:paraId="0B27818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2288</w:t>
            </w:r>
          </w:p>
        </w:tc>
        <w:tc>
          <w:tcPr>
            <w:tcW w:w="1568" w:type="dxa"/>
          </w:tcPr>
          <w:p w14:paraId="05A20FA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51" w:type="dxa"/>
          </w:tcPr>
          <w:p w14:paraId="353F8F8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1304</w:t>
            </w:r>
          </w:p>
        </w:tc>
      </w:tr>
      <w:tr w:rsidR="00201FE9" w:rsidRPr="00C86111" w14:paraId="00FCE7BE" w14:textId="77777777" w:rsidTr="0081267C">
        <w:tc>
          <w:tcPr>
            <w:cnfStyle w:val="001000000000" w:firstRow="0" w:lastRow="0" w:firstColumn="1" w:lastColumn="0" w:oddVBand="0" w:evenVBand="0" w:oddHBand="0" w:evenHBand="0" w:firstRowFirstColumn="0" w:firstRowLastColumn="0" w:lastRowFirstColumn="0" w:lastRowLastColumn="0"/>
            <w:tcW w:w="1433" w:type="dxa"/>
            <w:vMerge/>
          </w:tcPr>
          <w:p w14:paraId="47836A5D"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17945F8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2020</w:t>
            </w:r>
          </w:p>
        </w:tc>
        <w:tc>
          <w:tcPr>
            <w:tcW w:w="1233" w:type="dxa"/>
          </w:tcPr>
          <w:p w14:paraId="3222A86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13051</w:t>
            </w:r>
          </w:p>
        </w:tc>
        <w:tc>
          <w:tcPr>
            <w:tcW w:w="1598" w:type="dxa"/>
          </w:tcPr>
          <w:p w14:paraId="76A3146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00" w:type="dxa"/>
          </w:tcPr>
          <w:p w14:paraId="69530BA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2349</w:t>
            </w:r>
          </w:p>
        </w:tc>
        <w:tc>
          <w:tcPr>
            <w:tcW w:w="1568" w:type="dxa"/>
          </w:tcPr>
          <w:p w14:paraId="31F334A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51" w:type="dxa"/>
          </w:tcPr>
          <w:p w14:paraId="5A36BCF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1339</w:t>
            </w:r>
          </w:p>
        </w:tc>
      </w:tr>
      <w:tr w:rsidR="00201FE9" w:rsidRPr="00C86111" w14:paraId="743397AC" w14:textId="77777777" w:rsidTr="008126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vMerge/>
          </w:tcPr>
          <w:p w14:paraId="01530F7C"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6A85C90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2021</w:t>
            </w:r>
          </w:p>
        </w:tc>
        <w:tc>
          <w:tcPr>
            <w:tcW w:w="1233" w:type="dxa"/>
          </w:tcPr>
          <w:p w14:paraId="297D499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8219</w:t>
            </w:r>
          </w:p>
        </w:tc>
        <w:tc>
          <w:tcPr>
            <w:tcW w:w="1598" w:type="dxa"/>
          </w:tcPr>
          <w:p w14:paraId="467C509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00" w:type="dxa"/>
          </w:tcPr>
          <w:p w14:paraId="2A2C6F9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1479</w:t>
            </w:r>
          </w:p>
        </w:tc>
        <w:tc>
          <w:tcPr>
            <w:tcW w:w="1568" w:type="dxa"/>
          </w:tcPr>
          <w:p w14:paraId="05C10F2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51" w:type="dxa"/>
          </w:tcPr>
          <w:p w14:paraId="5A6F203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843</w:t>
            </w:r>
          </w:p>
        </w:tc>
      </w:tr>
      <w:tr w:rsidR="00201FE9" w:rsidRPr="00C86111" w14:paraId="6B7A7B49" w14:textId="77777777" w:rsidTr="0081267C">
        <w:tc>
          <w:tcPr>
            <w:cnfStyle w:val="001000000000" w:firstRow="0" w:lastRow="0" w:firstColumn="1" w:lastColumn="0" w:oddVBand="0" w:evenVBand="0" w:oddHBand="0" w:evenHBand="0" w:firstRowFirstColumn="0" w:firstRowLastColumn="0" w:lastRowFirstColumn="0" w:lastRowLastColumn="0"/>
            <w:tcW w:w="1433" w:type="dxa"/>
            <w:vMerge/>
          </w:tcPr>
          <w:p w14:paraId="7A4E9C70"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34D477B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2022</w:t>
            </w:r>
          </w:p>
        </w:tc>
        <w:tc>
          <w:tcPr>
            <w:tcW w:w="1233" w:type="dxa"/>
          </w:tcPr>
          <w:p w14:paraId="56025BA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5752</w:t>
            </w:r>
          </w:p>
        </w:tc>
        <w:tc>
          <w:tcPr>
            <w:tcW w:w="1598" w:type="dxa"/>
          </w:tcPr>
          <w:p w14:paraId="33833F9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00" w:type="dxa"/>
          </w:tcPr>
          <w:p w14:paraId="4D2BF5A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1035</w:t>
            </w:r>
          </w:p>
        </w:tc>
        <w:tc>
          <w:tcPr>
            <w:tcW w:w="1568" w:type="dxa"/>
          </w:tcPr>
          <w:p w14:paraId="2A7BC11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51" w:type="dxa"/>
          </w:tcPr>
          <w:p w14:paraId="68AA61E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590</w:t>
            </w:r>
          </w:p>
        </w:tc>
      </w:tr>
      <w:tr w:rsidR="00201FE9" w:rsidRPr="00C86111" w14:paraId="527F1DBF" w14:textId="77777777" w:rsidTr="008126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vMerge/>
          </w:tcPr>
          <w:p w14:paraId="54D88B57"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33" w:type="dxa"/>
          </w:tcPr>
          <w:p w14:paraId="1266712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2023</w:t>
            </w:r>
          </w:p>
        </w:tc>
        <w:tc>
          <w:tcPr>
            <w:tcW w:w="1233" w:type="dxa"/>
          </w:tcPr>
          <w:p w14:paraId="7F0EE7B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1967</w:t>
            </w:r>
          </w:p>
        </w:tc>
        <w:tc>
          <w:tcPr>
            <w:tcW w:w="1598" w:type="dxa"/>
          </w:tcPr>
          <w:p w14:paraId="79DD14F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100" w:type="dxa"/>
          </w:tcPr>
          <w:p w14:paraId="31799FA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354</w:t>
            </w:r>
          </w:p>
        </w:tc>
        <w:tc>
          <w:tcPr>
            <w:tcW w:w="1568" w:type="dxa"/>
          </w:tcPr>
          <w:p w14:paraId="21EE500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51" w:type="dxa"/>
          </w:tcPr>
          <w:p w14:paraId="4E8153F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202</w:t>
            </w:r>
          </w:p>
        </w:tc>
      </w:tr>
    </w:tbl>
    <w:p w14:paraId="71A4FB41" w14:textId="77777777" w:rsidR="00201FE9" w:rsidRPr="00C86111" w:rsidRDefault="00201FE9" w:rsidP="00201FE9">
      <w:pPr>
        <w:spacing w:line="276" w:lineRule="auto"/>
        <w:jc w:val="both"/>
        <w:rPr>
          <w:rFonts w:asciiTheme="minorHAnsi" w:hAnsiTheme="minorHAnsi" w:cstheme="minorHAnsi"/>
          <w:bCs/>
          <w:color w:val="002060"/>
          <w:szCs w:val="24"/>
          <w:lang w:val="sr-Latn-ME"/>
        </w:rPr>
      </w:pPr>
      <w:r w:rsidRPr="00C86111">
        <w:rPr>
          <w:rFonts w:asciiTheme="minorHAnsi" w:hAnsiTheme="minorHAnsi" w:cstheme="minorHAnsi"/>
          <w:bCs/>
          <w:color w:val="002060"/>
          <w:szCs w:val="24"/>
          <w:lang w:val="sr-Latn-ME"/>
        </w:rPr>
        <w:t>*Chen et al. (2021)</w:t>
      </w:r>
    </w:p>
    <w:p w14:paraId="6147E8C5" w14:textId="77777777" w:rsidR="00201FE9" w:rsidRPr="00C86111" w:rsidRDefault="00201FE9" w:rsidP="00201FE9">
      <w:pPr>
        <w:spacing w:line="276" w:lineRule="auto"/>
        <w:jc w:val="both"/>
        <w:rPr>
          <w:rFonts w:asciiTheme="minorHAnsi" w:hAnsiTheme="minorHAnsi" w:cstheme="minorHAnsi"/>
          <w:bCs/>
          <w:color w:val="auto"/>
          <w:szCs w:val="24"/>
          <w:lang w:val="sr-Latn-ME"/>
        </w:rPr>
      </w:pPr>
    </w:p>
    <w:p w14:paraId="1EB9A6A9"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1A8A3980" wp14:editId="43CCA8F5">
            <wp:extent cx="4823460" cy="1808018"/>
            <wp:effectExtent l="0" t="0" r="15240" b="1905"/>
            <wp:docPr id="8" name="Chart 8">
              <a:extLst xmlns:a="http://schemas.openxmlformats.org/drawingml/2006/main">
                <a:ext uri="{FF2B5EF4-FFF2-40B4-BE49-F238E27FC236}">
                  <a16:creationId xmlns:a16="http://schemas.microsoft.com/office/drawing/2014/main" id="{D4F9F206-5E03-4811-9A25-6D16DA0DE3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533B53BF" w14:textId="0F6731FD"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Grafik </w:t>
      </w:r>
      <w:r w:rsidR="00056E0C" w:rsidRPr="00C86111">
        <w:rPr>
          <w:rFonts w:asciiTheme="minorHAnsi" w:hAnsiTheme="minorHAnsi" w:cstheme="minorHAnsi"/>
          <w:b/>
          <w:bCs/>
          <w:color w:val="auto"/>
          <w:szCs w:val="24"/>
          <w:lang w:val="sr-Latn-ME"/>
        </w:rPr>
        <w:t>4</w:t>
      </w:r>
      <w:r w:rsidR="00547278">
        <w:rPr>
          <w:rFonts w:asciiTheme="minorHAnsi" w:hAnsiTheme="minorHAnsi" w:cstheme="minorHAnsi"/>
          <w:b/>
          <w:bCs/>
          <w:color w:val="auto"/>
          <w:szCs w:val="24"/>
          <w:lang w:val="sr-Latn-ME"/>
        </w:rPr>
        <w:t>4</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 xml:space="preserve">Procenjena količina SCCP i MCCP u proizvodu sa HS kodom </w:t>
      </w:r>
      <w:r w:rsidRPr="00C86111">
        <w:rPr>
          <w:rFonts w:asciiTheme="minorHAnsi" w:eastAsia="Times New Roman" w:hAnsiTheme="minorHAnsi" w:cstheme="minorHAnsi"/>
          <w:color w:val="auto"/>
          <w:szCs w:val="24"/>
          <w:lang w:val="sr-Latn-ME"/>
        </w:rPr>
        <w:t>3920439000</w:t>
      </w:r>
      <w:r w:rsidRPr="00C86111">
        <w:rPr>
          <w:rFonts w:asciiTheme="minorHAnsi" w:hAnsiTheme="minorHAnsi" w:cstheme="minorHAnsi"/>
          <w:color w:val="auto"/>
          <w:szCs w:val="24"/>
          <w:lang w:val="sr-Latn-ME"/>
        </w:rPr>
        <w:t xml:space="preserve"> uvezenim tokom perioda 2017-2023.</w:t>
      </w:r>
    </w:p>
    <w:p w14:paraId="2608A2A0"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34539E9B" w14:textId="57947767"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Grafik </w:t>
      </w:r>
      <w:r w:rsidR="00056E0C" w:rsidRPr="00C86111">
        <w:rPr>
          <w:rFonts w:asciiTheme="minorHAnsi" w:eastAsia="Times New Roman" w:hAnsiTheme="minorHAnsi" w:cstheme="minorHAnsi"/>
          <w:color w:val="auto"/>
          <w:szCs w:val="24"/>
          <w:lang w:val="sr-Latn-ME"/>
        </w:rPr>
        <w:t>4</w:t>
      </w:r>
      <w:r w:rsidR="00547278">
        <w:rPr>
          <w:rFonts w:asciiTheme="minorHAnsi" w:eastAsia="Times New Roman" w:hAnsiTheme="minorHAnsi" w:cstheme="minorHAnsi"/>
          <w:color w:val="auto"/>
          <w:szCs w:val="24"/>
          <w:lang w:val="sr-Latn-ME"/>
        </w:rPr>
        <w:t>4</w:t>
      </w:r>
      <w:r w:rsidR="00056E0C" w:rsidRPr="00C86111">
        <w:rPr>
          <w:rFonts w:asciiTheme="minorHAnsi" w:eastAsia="Times New Roman" w:hAnsiTheme="minorHAnsi" w:cstheme="minorHAnsi"/>
          <w:color w:val="auto"/>
          <w:szCs w:val="24"/>
          <w:lang w:val="sr-Latn-ME"/>
        </w:rPr>
        <w:t>.</w:t>
      </w:r>
      <w:r w:rsidRPr="00C86111">
        <w:rPr>
          <w:rFonts w:asciiTheme="minorHAnsi" w:eastAsia="Times New Roman" w:hAnsiTheme="minorHAnsi" w:cstheme="minorHAnsi"/>
          <w:color w:val="auto"/>
          <w:szCs w:val="24"/>
          <w:lang w:val="sr-Latn-ME"/>
        </w:rPr>
        <w:t xml:space="preserve"> prikazuje procijenjene količine SCCP i MCCP u uvezenim PVC proizvodima (HS kod 3920439000) od 2017. do 2023. godine. SCCP je dominantno jedinjenje, u rasponu od 520 kg u 2017. do 354 kg u 2023. godini, dok se MCCP kreće od 296 kg do 202 kg. Količine oba jedinjenja naglo rastu od 2017. do 2020. godine, nakon čega slijedi stalni pad do 2023. godine, što odražava fluktuacije u obimu uvoza i povezanom hemijskom sadržaju.</w:t>
      </w:r>
    </w:p>
    <w:p w14:paraId="06F868EB" w14:textId="77777777"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p>
    <w:p w14:paraId="02DDB33A" w14:textId="4EB6D420" w:rsidR="00201FE9" w:rsidRPr="00C86111" w:rsidRDefault="00201FE9" w:rsidP="00201FE9">
      <w:pPr>
        <w:spacing w:line="276" w:lineRule="auto"/>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Tabela </w:t>
      </w:r>
      <w:r w:rsidR="00056E0C" w:rsidRPr="00C86111">
        <w:rPr>
          <w:rFonts w:asciiTheme="minorHAnsi" w:eastAsia="Times New Roman" w:hAnsiTheme="minorHAnsi" w:cstheme="minorHAnsi"/>
          <w:color w:val="auto"/>
          <w:szCs w:val="24"/>
          <w:lang w:val="sr-Latn-ME"/>
        </w:rPr>
        <w:t>110.</w:t>
      </w:r>
      <w:r w:rsidRPr="00C86111">
        <w:rPr>
          <w:rFonts w:asciiTheme="minorHAnsi" w:eastAsia="Times New Roman" w:hAnsiTheme="minorHAnsi" w:cstheme="minorHAnsi"/>
          <w:color w:val="auto"/>
          <w:szCs w:val="24"/>
          <w:lang w:val="sr-Latn-ME"/>
        </w:rPr>
        <w:t xml:space="preserve"> i Grafik </w:t>
      </w:r>
      <w:r w:rsidR="00056E0C" w:rsidRPr="00C86111">
        <w:rPr>
          <w:rFonts w:asciiTheme="minorHAnsi" w:eastAsia="Times New Roman" w:hAnsiTheme="minorHAnsi" w:cstheme="minorHAnsi"/>
          <w:color w:val="auto"/>
          <w:szCs w:val="24"/>
          <w:lang w:val="sr-Latn-ME"/>
        </w:rPr>
        <w:t>4</w:t>
      </w:r>
      <w:r w:rsidR="00547278">
        <w:rPr>
          <w:rFonts w:asciiTheme="minorHAnsi" w:eastAsia="Times New Roman" w:hAnsiTheme="minorHAnsi" w:cstheme="minorHAnsi"/>
          <w:color w:val="auto"/>
          <w:szCs w:val="24"/>
          <w:lang w:val="sr-Latn-ME"/>
        </w:rPr>
        <w:t>5</w:t>
      </w:r>
      <w:r w:rsidR="00056E0C" w:rsidRPr="00C86111">
        <w:rPr>
          <w:rFonts w:asciiTheme="minorHAnsi" w:eastAsia="Times New Roman" w:hAnsiTheme="minorHAnsi" w:cstheme="minorHAnsi"/>
          <w:color w:val="auto"/>
          <w:szCs w:val="24"/>
          <w:lang w:val="sr-Latn-ME"/>
        </w:rPr>
        <w:t>.</w:t>
      </w:r>
      <w:r w:rsidRPr="00C86111">
        <w:rPr>
          <w:rFonts w:asciiTheme="minorHAnsi" w:eastAsia="Times New Roman" w:hAnsiTheme="minorHAnsi" w:cstheme="minorHAnsi"/>
          <w:color w:val="auto"/>
          <w:szCs w:val="24"/>
          <w:lang w:val="sr-Latn-ME"/>
        </w:rPr>
        <w:t xml:space="preserve"> prikazuju pregled količina uvezenih PVC proizvoda sa HS kodom 920431000 iz Kine za period 2017-2023, kao i izračunate količine SCCP i MCCP.</w:t>
      </w:r>
    </w:p>
    <w:p w14:paraId="0E315FDC" w14:textId="77777777" w:rsidR="00201FE9" w:rsidRPr="00C86111" w:rsidRDefault="00201FE9" w:rsidP="00201FE9">
      <w:pPr>
        <w:pStyle w:val="Caption"/>
        <w:keepNext/>
        <w:rPr>
          <w:rFonts w:cstheme="minorHAnsi"/>
          <w:bCs/>
          <w:sz w:val="24"/>
          <w:szCs w:val="24"/>
        </w:rPr>
      </w:pPr>
      <w:bookmarkStart w:id="402" w:name="_Toc210743921"/>
    </w:p>
    <w:p w14:paraId="17373FB6" w14:textId="5C023138" w:rsidR="00201FE9" w:rsidRPr="00C86111" w:rsidRDefault="00201FE9" w:rsidP="00201FE9">
      <w:pPr>
        <w:pStyle w:val="Caption"/>
        <w:keepNext/>
        <w:rPr>
          <w:rFonts w:cstheme="minorHAnsi"/>
          <w:b w:val="0"/>
          <w:bCs/>
          <w:sz w:val="24"/>
          <w:szCs w:val="24"/>
        </w:rPr>
      </w:pPr>
      <w:r w:rsidRPr="00C86111">
        <w:rPr>
          <w:rFonts w:cstheme="minorHAnsi"/>
          <w:bCs/>
          <w:sz w:val="24"/>
          <w:szCs w:val="24"/>
        </w:rPr>
        <w:t xml:space="preserve">Tabela </w:t>
      </w:r>
      <w:r w:rsidR="00056E0C" w:rsidRPr="00C86111">
        <w:rPr>
          <w:rFonts w:cstheme="minorHAnsi"/>
          <w:bCs/>
          <w:sz w:val="24"/>
          <w:szCs w:val="24"/>
        </w:rPr>
        <w:t>110</w:t>
      </w:r>
      <w:r w:rsidRPr="00C86111">
        <w:rPr>
          <w:rFonts w:cstheme="minorHAnsi"/>
          <w:b w:val="0"/>
          <w:bCs/>
          <w:sz w:val="24"/>
          <w:szCs w:val="24"/>
        </w:rPr>
        <w:fldChar w:fldCharType="begin"/>
      </w:r>
      <w:r w:rsidRPr="00C86111">
        <w:rPr>
          <w:rFonts w:cstheme="minorHAnsi"/>
          <w:bCs/>
          <w:sz w:val="24"/>
          <w:szCs w:val="24"/>
        </w:rPr>
        <w:instrText xml:space="preserve"> SEQ Tabela \* ARABIC </w:instrText>
      </w:r>
      <w:r w:rsidRPr="00C86111">
        <w:rPr>
          <w:rFonts w:cstheme="minorHAnsi"/>
          <w:b w:val="0"/>
          <w:bCs/>
          <w:sz w:val="24"/>
          <w:szCs w:val="24"/>
        </w:rPr>
        <w:fldChar w:fldCharType="end"/>
      </w:r>
      <w:r w:rsidRPr="00C86111">
        <w:rPr>
          <w:rFonts w:cstheme="minorHAnsi"/>
          <w:bCs/>
          <w:sz w:val="24"/>
          <w:szCs w:val="24"/>
        </w:rPr>
        <w:t>.</w:t>
      </w:r>
      <w:r w:rsidRPr="00C86111">
        <w:rPr>
          <w:rFonts w:cstheme="minorHAnsi"/>
          <w:sz w:val="24"/>
          <w:szCs w:val="24"/>
        </w:rPr>
        <w:t xml:space="preserve"> </w:t>
      </w:r>
      <w:r w:rsidRPr="00C86111">
        <w:rPr>
          <w:rFonts w:cstheme="minorHAnsi"/>
          <w:b w:val="0"/>
          <w:bCs/>
          <w:sz w:val="24"/>
          <w:szCs w:val="24"/>
        </w:rPr>
        <w:t>Količine uvezenih PVC proizvoda sa HS kodom 3920431000 za period 2017-2023. i procenjene količine SCCP i MCCP</w:t>
      </w:r>
      <w:bookmarkEnd w:id="402"/>
    </w:p>
    <w:tbl>
      <w:tblPr>
        <w:tblStyle w:val="GridTable5Dark-Accent6"/>
        <w:tblW w:w="9016" w:type="dxa"/>
        <w:tblLook w:val="04A0" w:firstRow="1" w:lastRow="0" w:firstColumn="1" w:lastColumn="0" w:noHBand="0" w:noVBand="1"/>
      </w:tblPr>
      <w:tblGrid>
        <w:gridCol w:w="1265"/>
        <w:gridCol w:w="915"/>
        <w:gridCol w:w="1371"/>
        <w:gridCol w:w="1583"/>
        <w:gridCol w:w="1104"/>
        <w:gridCol w:w="1600"/>
        <w:gridCol w:w="1178"/>
      </w:tblGrid>
      <w:tr w:rsidR="00201FE9" w:rsidRPr="00C86111" w14:paraId="0FF52B5B"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14:paraId="3D93E9DB"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890" w:type="dxa"/>
            <w:hideMark/>
          </w:tcPr>
          <w:p w14:paraId="6E7F4DFF"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333" w:type="dxa"/>
            <w:hideMark/>
          </w:tcPr>
          <w:p w14:paraId="24E02EDE"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539" w:type="dxa"/>
          </w:tcPr>
          <w:p w14:paraId="4772BE9C"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180736D9"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073" w:type="dxa"/>
          </w:tcPr>
          <w:p w14:paraId="67CFE3F1"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556" w:type="dxa"/>
          </w:tcPr>
          <w:p w14:paraId="2D688ED6"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1F3C6C01"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145" w:type="dxa"/>
          </w:tcPr>
          <w:p w14:paraId="6C08280B"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23661642"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val="restart"/>
          </w:tcPr>
          <w:p w14:paraId="4B8CF130"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3920431000</w:t>
            </w:r>
          </w:p>
        </w:tc>
        <w:tc>
          <w:tcPr>
            <w:tcW w:w="890" w:type="dxa"/>
          </w:tcPr>
          <w:p w14:paraId="790DA1F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2017</w:t>
            </w:r>
          </w:p>
        </w:tc>
        <w:tc>
          <w:tcPr>
            <w:tcW w:w="1333" w:type="dxa"/>
          </w:tcPr>
          <w:p w14:paraId="1B0A7CC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616</w:t>
            </w:r>
          </w:p>
        </w:tc>
        <w:tc>
          <w:tcPr>
            <w:tcW w:w="1539" w:type="dxa"/>
          </w:tcPr>
          <w:p w14:paraId="7C61E39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073" w:type="dxa"/>
          </w:tcPr>
          <w:p w14:paraId="5264F70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111</w:t>
            </w:r>
          </w:p>
        </w:tc>
        <w:tc>
          <w:tcPr>
            <w:tcW w:w="1556" w:type="dxa"/>
          </w:tcPr>
          <w:p w14:paraId="0665224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45" w:type="dxa"/>
          </w:tcPr>
          <w:p w14:paraId="70E1D99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63</w:t>
            </w:r>
          </w:p>
        </w:tc>
      </w:tr>
      <w:tr w:rsidR="00201FE9" w:rsidRPr="00C86111" w14:paraId="6B948489" w14:textId="77777777" w:rsidTr="00BC765B">
        <w:tc>
          <w:tcPr>
            <w:cnfStyle w:val="001000000000" w:firstRow="0" w:lastRow="0" w:firstColumn="1" w:lastColumn="0" w:oddVBand="0" w:evenVBand="0" w:oddHBand="0" w:evenHBand="0" w:firstRowFirstColumn="0" w:firstRowLastColumn="0" w:lastRowFirstColumn="0" w:lastRowLastColumn="0"/>
            <w:tcW w:w="1128" w:type="dxa"/>
            <w:vMerge/>
          </w:tcPr>
          <w:p w14:paraId="1E709AB3"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60EB8BC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2018</w:t>
            </w:r>
          </w:p>
        </w:tc>
        <w:tc>
          <w:tcPr>
            <w:tcW w:w="1333" w:type="dxa"/>
          </w:tcPr>
          <w:p w14:paraId="475D7D4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1711.61</w:t>
            </w:r>
          </w:p>
        </w:tc>
        <w:tc>
          <w:tcPr>
            <w:tcW w:w="1539" w:type="dxa"/>
          </w:tcPr>
          <w:p w14:paraId="689CB50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073" w:type="dxa"/>
          </w:tcPr>
          <w:p w14:paraId="5EDAE23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308</w:t>
            </w:r>
          </w:p>
        </w:tc>
        <w:tc>
          <w:tcPr>
            <w:tcW w:w="1556" w:type="dxa"/>
          </w:tcPr>
          <w:p w14:paraId="0E25CCD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45" w:type="dxa"/>
          </w:tcPr>
          <w:p w14:paraId="5B306B6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176</w:t>
            </w:r>
          </w:p>
        </w:tc>
      </w:tr>
      <w:tr w:rsidR="00201FE9" w:rsidRPr="00C86111" w14:paraId="77F229D4"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tcPr>
          <w:p w14:paraId="3BAD783A"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08EA17A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2019</w:t>
            </w:r>
          </w:p>
        </w:tc>
        <w:tc>
          <w:tcPr>
            <w:tcW w:w="1333" w:type="dxa"/>
          </w:tcPr>
          <w:p w14:paraId="179AE9B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1749.09</w:t>
            </w:r>
          </w:p>
        </w:tc>
        <w:tc>
          <w:tcPr>
            <w:tcW w:w="1539" w:type="dxa"/>
          </w:tcPr>
          <w:p w14:paraId="2D04EF3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073" w:type="dxa"/>
          </w:tcPr>
          <w:p w14:paraId="3159F3B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315</w:t>
            </w:r>
          </w:p>
        </w:tc>
        <w:tc>
          <w:tcPr>
            <w:tcW w:w="1556" w:type="dxa"/>
          </w:tcPr>
          <w:p w14:paraId="62E85C9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45" w:type="dxa"/>
          </w:tcPr>
          <w:p w14:paraId="07342EC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179</w:t>
            </w:r>
          </w:p>
        </w:tc>
      </w:tr>
      <w:tr w:rsidR="00201FE9" w:rsidRPr="00C86111" w14:paraId="426646C4" w14:textId="77777777" w:rsidTr="00BC765B">
        <w:tc>
          <w:tcPr>
            <w:cnfStyle w:val="001000000000" w:firstRow="0" w:lastRow="0" w:firstColumn="1" w:lastColumn="0" w:oddVBand="0" w:evenVBand="0" w:oddHBand="0" w:evenHBand="0" w:firstRowFirstColumn="0" w:firstRowLastColumn="0" w:lastRowFirstColumn="0" w:lastRowLastColumn="0"/>
            <w:tcW w:w="1128" w:type="dxa"/>
            <w:vMerge/>
          </w:tcPr>
          <w:p w14:paraId="203B9F0E"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2A51AB7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2020</w:t>
            </w:r>
          </w:p>
        </w:tc>
        <w:tc>
          <w:tcPr>
            <w:tcW w:w="1333" w:type="dxa"/>
          </w:tcPr>
          <w:p w14:paraId="1A2AA8E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3889.15</w:t>
            </w:r>
          </w:p>
        </w:tc>
        <w:tc>
          <w:tcPr>
            <w:tcW w:w="1539" w:type="dxa"/>
          </w:tcPr>
          <w:p w14:paraId="719D744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073" w:type="dxa"/>
          </w:tcPr>
          <w:p w14:paraId="408214D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700</w:t>
            </w:r>
          </w:p>
        </w:tc>
        <w:tc>
          <w:tcPr>
            <w:tcW w:w="1556" w:type="dxa"/>
          </w:tcPr>
          <w:p w14:paraId="5966688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45" w:type="dxa"/>
          </w:tcPr>
          <w:p w14:paraId="48C4D68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399</w:t>
            </w:r>
          </w:p>
        </w:tc>
      </w:tr>
      <w:tr w:rsidR="00201FE9" w:rsidRPr="00C86111" w14:paraId="2A9F7A9E"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tcPr>
          <w:p w14:paraId="68B5AB9C"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1C857AC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2021</w:t>
            </w:r>
          </w:p>
        </w:tc>
        <w:tc>
          <w:tcPr>
            <w:tcW w:w="1333" w:type="dxa"/>
          </w:tcPr>
          <w:p w14:paraId="47C40ED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1354.3</w:t>
            </w:r>
          </w:p>
        </w:tc>
        <w:tc>
          <w:tcPr>
            <w:tcW w:w="1539" w:type="dxa"/>
          </w:tcPr>
          <w:p w14:paraId="477A332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073" w:type="dxa"/>
          </w:tcPr>
          <w:p w14:paraId="360A6D3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244</w:t>
            </w:r>
          </w:p>
        </w:tc>
        <w:tc>
          <w:tcPr>
            <w:tcW w:w="1556" w:type="dxa"/>
          </w:tcPr>
          <w:p w14:paraId="490B9F7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45" w:type="dxa"/>
          </w:tcPr>
          <w:p w14:paraId="5DF211B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139</w:t>
            </w:r>
          </w:p>
        </w:tc>
      </w:tr>
      <w:tr w:rsidR="00201FE9" w:rsidRPr="00C86111" w14:paraId="5DAAD090" w14:textId="77777777" w:rsidTr="00BC765B">
        <w:tc>
          <w:tcPr>
            <w:cnfStyle w:val="001000000000" w:firstRow="0" w:lastRow="0" w:firstColumn="1" w:lastColumn="0" w:oddVBand="0" w:evenVBand="0" w:oddHBand="0" w:evenHBand="0" w:firstRowFirstColumn="0" w:firstRowLastColumn="0" w:lastRowFirstColumn="0" w:lastRowLastColumn="0"/>
            <w:tcW w:w="1128" w:type="dxa"/>
            <w:vMerge/>
          </w:tcPr>
          <w:p w14:paraId="432FDC03"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1E18260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2022</w:t>
            </w:r>
          </w:p>
        </w:tc>
        <w:tc>
          <w:tcPr>
            <w:tcW w:w="1333" w:type="dxa"/>
          </w:tcPr>
          <w:p w14:paraId="1F7874B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306.96</w:t>
            </w:r>
          </w:p>
        </w:tc>
        <w:tc>
          <w:tcPr>
            <w:tcW w:w="1539" w:type="dxa"/>
          </w:tcPr>
          <w:p w14:paraId="6B22B94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073" w:type="dxa"/>
          </w:tcPr>
          <w:p w14:paraId="2E2B552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55</w:t>
            </w:r>
          </w:p>
        </w:tc>
        <w:tc>
          <w:tcPr>
            <w:tcW w:w="1556" w:type="dxa"/>
          </w:tcPr>
          <w:p w14:paraId="4F6E8A0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45" w:type="dxa"/>
          </w:tcPr>
          <w:p w14:paraId="5EB194E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31</w:t>
            </w:r>
          </w:p>
        </w:tc>
      </w:tr>
      <w:tr w:rsidR="00201FE9" w:rsidRPr="00C86111" w14:paraId="0CADDE33"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tcPr>
          <w:p w14:paraId="7D10124E"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6C9B2D0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2023</w:t>
            </w:r>
          </w:p>
        </w:tc>
        <w:tc>
          <w:tcPr>
            <w:tcW w:w="1333" w:type="dxa"/>
          </w:tcPr>
          <w:p w14:paraId="181C292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761.76</w:t>
            </w:r>
          </w:p>
        </w:tc>
        <w:tc>
          <w:tcPr>
            <w:tcW w:w="1539" w:type="dxa"/>
          </w:tcPr>
          <w:p w14:paraId="0B63D0D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180</w:t>
            </w:r>
          </w:p>
        </w:tc>
        <w:tc>
          <w:tcPr>
            <w:tcW w:w="1073" w:type="dxa"/>
          </w:tcPr>
          <w:p w14:paraId="0F50159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137</w:t>
            </w:r>
          </w:p>
        </w:tc>
        <w:tc>
          <w:tcPr>
            <w:tcW w:w="1556" w:type="dxa"/>
          </w:tcPr>
          <w:p w14:paraId="0E57EB0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102.6</w:t>
            </w:r>
          </w:p>
        </w:tc>
        <w:tc>
          <w:tcPr>
            <w:tcW w:w="1145" w:type="dxa"/>
          </w:tcPr>
          <w:p w14:paraId="5DE09B2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78</w:t>
            </w:r>
          </w:p>
        </w:tc>
      </w:tr>
    </w:tbl>
    <w:p w14:paraId="0531FDA2" w14:textId="77777777" w:rsidR="00201FE9" w:rsidRPr="00C86111" w:rsidRDefault="00201FE9" w:rsidP="00201FE9">
      <w:pPr>
        <w:spacing w:line="276" w:lineRule="auto"/>
        <w:jc w:val="both"/>
        <w:rPr>
          <w:rFonts w:asciiTheme="minorHAnsi" w:hAnsiTheme="minorHAnsi" w:cstheme="minorHAnsi"/>
          <w:bCs/>
          <w:color w:val="002060"/>
          <w:szCs w:val="24"/>
          <w:lang w:val="sr-Latn-ME"/>
        </w:rPr>
      </w:pPr>
      <w:r w:rsidRPr="00C86111">
        <w:rPr>
          <w:rFonts w:asciiTheme="minorHAnsi" w:hAnsiTheme="minorHAnsi" w:cstheme="minorHAnsi"/>
          <w:bCs/>
          <w:color w:val="002060"/>
          <w:szCs w:val="24"/>
          <w:lang w:val="sr-Latn-ME"/>
        </w:rPr>
        <w:t>*Chen et al. (2021)</w:t>
      </w:r>
    </w:p>
    <w:p w14:paraId="69DBDEAE" w14:textId="77777777" w:rsidR="00201FE9" w:rsidRPr="00C86111" w:rsidRDefault="00201FE9" w:rsidP="00201FE9">
      <w:pPr>
        <w:spacing w:line="276" w:lineRule="auto"/>
        <w:jc w:val="both"/>
        <w:rPr>
          <w:rFonts w:asciiTheme="minorHAnsi" w:hAnsiTheme="minorHAnsi" w:cstheme="minorHAnsi"/>
          <w:bCs/>
          <w:color w:val="auto"/>
          <w:szCs w:val="24"/>
          <w:lang w:val="sr-Latn-ME"/>
        </w:rPr>
      </w:pPr>
    </w:p>
    <w:p w14:paraId="32FAA735"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54ED689B"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1D7AA775" wp14:editId="0576EEED">
            <wp:extent cx="4869180" cy="1489364"/>
            <wp:effectExtent l="0" t="0" r="7620" b="15875"/>
            <wp:docPr id="5" name="Chart 5">
              <a:extLst xmlns:a="http://schemas.openxmlformats.org/drawingml/2006/main">
                <a:ext uri="{FF2B5EF4-FFF2-40B4-BE49-F238E27FC236}">
                  <a16:creationId xmlns:a16="http://schemas.microsoft.com/office/drawing/2014/main" id="{150DB05F-5114-43AB-93A3-45772C109A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32D2DFAC" w14:textId="014FE05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Grafik </w:t>
      </w:r>
      <w:r w:rsidR="00056E0C" w:rsidRPr="00C86111">
        <w:rPr>
          <w:rFonts w:asciiTheme="minorHAnsi" w:hAnsiTheme="minorHAnsi" w:cstheme="minorHAnsi"/>
          <w:b/>
          <w:bCs/>
          <w:color w:val="auto"/>
          <w:szCs w:val="24"/>
          <w:lang w:val="sr-Latn-ME"/>
        </w:rPr>
        <w:t>4</w:t>
      </w:r>
      <w:r w:rsidR="00547278">
        <w:rPr>
          <w:rFonts w:asciiTheme="minorHAnsi" w:hAnsiTheme="minorHAnsi" w:cstheme="minorHAnsi"/>
          <w:b/>
          <w:bCs/>
          <w:color w:val="auto"/>
          <w:szCs w:val="24"/>
          <w:lang w:val="sr-Latn-ME"/>
        </w:rPr>
        <w:t>5</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 xml:space="preserve">Procenjena količina SCCP i MCCP u proizvodu sa HS kodom </w:t>
      </w:r>
      <w:r w:rsidRPr="00C86111">
        <w:rPr>
          <w:rFonts w:asciiTheme="minorHAnsi" w:eastAsia="Times New Roman" w:hAnsiTheme="minorHAnsi" w:cstheme="minorHAnsi"/>
          <w:color w:val="auto"/>
          <w:szCs w:val="24"/>
          <w:lang w:val="sr-Latn-ME"/>
        </w:rPr>
        <w:t>3920431000</w:t>
      </w:r>
      <w:r w:rsidRPr="00C86111">
        <w:rPr>
          <w:rFonts w:asciiTheme="minorHAnsi" w:hAnsiTheme="minorHAnsi" w:cstheme="minorHAnsi"/>
          <w:color w:val="auto"/>
          <w:szCs w:val="24"/>
          <w:lang w:val="sr-Latn-ME"/>
        </w:rPr>
        <w:t xml:space="preserve"> uvezenim tokom perioda 2017-2023.</w:t>
      </w:r>
    </w:p>
    <w:p w14:paraId="5EDB8966" w14:textId="77777777" w:rsidR="00201FE9" w:rsidRPr="00C86111" w:rsidRDefault="00201FE9" w:rsidP="00201FE9">
      <w:pPr>
        <w:spacing w:line="276" w:lineRule="auto"/>
        <w:jc w:val="center"/>
        <w:rPr>
          <w:rFonts w:asciiTheme="minorHAnsi" w:hAnsiTheme="minorHAnsi" w:cstheme="minorHAnsi"/>
          <w:i/>
          <w:iCs/>
          <w:color w:val="auto"/>
          <w:szCs w:val="24"/>
          <w:lang w:val="sr-Latn-ME"/>
        </w:rPr>
      </w:pPr>
    </w:p>
    <w:p w14:paraId="2732E593" w14:textId="655502E3"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Grafik </w:t>
      </w:r>
      <w:r w:rsidR="00056E0C" w:rsidRPr="00C86111">
        <w:rPr>
          <w:rFonts w:asciiTheme="minorHAnsi" w:eastAsia="Times New Roman" w:hAnsiTheme="minorHAnsi" w:cstheme="minorHAnsi"/>
          <w:color w:val="auto"/>
          <w:szCs w:val="24"/>
          <w:lang w:val="sr-Latn-ME"/>
        </w:rPr>
        <w:t>4</w:t>
      </w:r>
      <w:r w:rsidR="00547278">
        <w:rPr>
          <w:rFonts w:asciiTheme="minorHAnsi" w:eastAsia="Times New Roman" w:hAnsiTheme="minorHAnsi" w:cstheme="minorHAnsi"/>
          <w:color w:val="auto"/>
          <w:szCs w:val="24"/>
          <w:lang w:val="sr-Latn-ME"/>
        </w:rPr>
        <w:t>5</w:t>
      </w:r>
      <w:r w:rsidR="00056E0C" w:rsidRPr="00C86111">
        <w:rPr>
          <w:rFonts w:asciiTheme="minorHAnsi" w:eastAsia="Times New Roman" w:hAnsiTheme="minorHAnsi" w:cstheme="minorHAnsi"/>
          <w:color w:val="auto"/>
          <w:szCs w:val="24"/>
          <w:lang w:val="sr-Latn-ME"/>
        </w:rPr>
        <w:t>.</w:t>
      </w:r>
      <w:r w:rsidRPr="00C86111">
        <w:rPr>
          <w:rFonts w:asciiTheme="minorHAnsi" w:eastAsia="Times New Roman" w:hAnsiTheme="minorHAnsi" w:cstheme="minorHAnsi"/>
          <w:color w:val="auto"/>
          <w:szCs w:val="24"/>
          <w:lang w:val="sr-Latn-ME"/>
        </w:rPr>
        <w:t xml:space="preserve"> prikazuje procijenjene količine SCCP i MCCP u uvezenim PVC proizvodima (HS kod 3920431000) od 2017. do 2023. godine. SCCP je dominantno jedinjenje, u rasponu od 111 kg u 2017. do 137 kg u 2023. godini, dok se MCCP kreće od 63 kg do 78 kg. Oba jedinjenja pokazuju snažan rast do 2020. godine, nakon čega slijedi nagli pad u periodu 2021–2022. godine i blagi porast u 2023. godini, što odražava varijacije u obimu uvoza i povezanom hemijskom sadržaju.</w:t>
      </w:r>
    </w:p>
    <w:p w14:paraId="669DF1DF" w14:textId="77777777" w:rsidR="00201FE9" w:rsidRPr="00C86111" w:rsidRDefault="00201FE9" w:rsidP="00201FE9">
      <w:pPr>
        <w:spacing w:line="276" w:lineRule="auto"/>
        <w:rPr>
          <w:rFonts w:asciiTheme="minorHAnsi" w:eastAsia="Times New Roman" w:hAnsiTheme="minorHAnsi" w:cstheme="minorHAnsi"/>
          <w:color w:val="auto"/>
          <w:szCs w:val="24"/>
          <w:lang w:val="sr-Latn-ME"/>
        </w:rPr>
      </w:pPr>
    </w:p>
    <w:p w14:paraId="5454DE10" w14:textId="772EE218" w:rsidR="00201FE9" w:rsidRDefault="00201FE9" w:rsidP="00201FE9">
      <w:pPr>
        <w:spacing w:line="276" w:lineRule="auto"/>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Tabela </w:t>
      </w:r>
      <w:r w:rsidR="00056E0C" w:rsidRPr="00C86111">
        <w:rPr>
          <w:rFonts w:asciiTheme="minorHAnsi" w:eastAsia="Times New Roman" w:hAnsiTheme="minorHAnsi" w:cstheme="minorHAnsi"/>
          <w:color w:val="auto"/>
          <w:szCs w:val="24"/>
          <w:lang w:val="sr-Latn-ME"/>
        </w:rPr>
        <w:t>111.</w:t>
      </w:r>
      <w:r w:rsidRPr="00C86111">
        <w:rPr>
          <w:rFonts w:asciiTheme="minorHAnsi" w:eastAsia="Times New Roman" w:hAnsiTheme="minorHAnsi" w:cstheme="minorHAnsi"/>
          <w:color w:val="auto"/>
          <w:szCs w:val="24"/>
          <w:lang w:val="sr-Latn-ME"/>
        </w:rPr>
        <w:t xml:space="preserve"> prikazuje pregled količina uvezenih PVC proizvoda sa HS kodom 3904220000 iz Kine za period 2017–2023. godine, kao i izračunate količine SCCP i MCCP.</w:t>
      </w:r>
    </w:p>
    <w:p w14:paraId="4FDFE6D3" w14:textId="77777777" w:rsidR="002E5AB7" w:rsidRDefault="002E5AB7" w:rsidP="00201FE9">
      <w:pPr>
        <w:spacing w:line="276" w:lineRule="auto"/>
        <w:rPr>
          <w:rFonts w:asciiTheme="minorHAnsi" w:eastAsia="Times New Roman" w:hAnsiTheme="minorHAnsi" w:cstheme="minorHAnsi"/>
          <w:color w:val="auto"/>
          <w:szCs w:val="24"/>
          <w:lang w:val="sr-Latn-ME"/>
        </w:rPr>
      </w:pPr>
    </w:p>
    <w:p w14:paraId="3012F412" w14:textId="77777777" w:rsidR="002E5AB7" w:rsidRDefault="002E5AB7" w:rsidP="00201FE9">
      <w:pPr>
        <w:spacing w:line="276" w:lineRule="auto"/>
        <w:rPr>
          <w:rFonts w:asciiTheme="minorHAnsi" w:eastAsia="Times New Roman" w:hAnsiTheme="minorHAnsi" w:cstheme="minorHAnsi"/>
          <w:color w:val="auto"/>
          <w:szCs w:val="24"/>
          <w:lang w:val="sr-Latn-ME"/>
        </w:rPr>
      </w:pPr>
    </w:p>
    <w:p w14:paraId="046FAEDE" w14:textId="77777777" w:rsidR="002E5AB7" w:rsidRPr="00C86111" w:rsidRDefault="002E5AB7" w:rsidP="00201FE9">
      <w:pPr>
        <w:spacing w:line="276" w:lineRule="auto"/>
        <w:rPr>
          <w:rFonts w:asciiTheme="minorHAnsi" w:eastAsia="Times New Roman" w:hAnsiTheme="minorHAnsi" w:cstheme="minorHAnsi"/>
          <w:color w:val="auto"/>
          <w:szCs w:val="24"/>
          <w:lang w:val="sr-Latn-ME"/>
        </w:rPr>
      </w:pPr>
    </w:p>
    <w:p w14:paraId="56D7F4C9" w14:textId="31786306" w:rsidR="00201FE9" w:rsidRPr="00C86111" w:rsidRDefault="00201FE9" w:rsidP="00201FE9">
      <w:pPr>
        <w:spacing w:line="276" w:lineRule="auto"/>
        <w:jc w:val="center"/>
        <w:rPr>
          <w:rFonts w:asciiTheme="minorHAnsi" w:eastAsia="Times New Roman" w:hAnsiTheme="minorHAnsi" w:cstheme="minorHAnsi"/>
          <w:b/>
          <w:bCs/>
          <w:i/>
          <w:iCs/>
          <w:color w:val="auto"/>
          <w:szCs w:val="24"/>
          <w:lang w:val="sr-Latn-ME"/>
        </w:rPr>
      </w:pPr>
      <w:r w:rsidRPr="00C86111">
        <w:rPr>
          <w:rFonts w:asciiTheme="minorHAnsi" w:eastAsia="Times New Roman" w:hAnsiTheme="minorHAnsi" w:cstheme="minorHAnsi"/>
          <w:b/>
          <w:bCs/>
          <w:i/>
          <w:iCs/>
          <w:color w:val="auto"/>
          <w:szCs w:val="24"/>
          <w:lang w:val="sr-Latn-ME"/>
        </w:rPr>
        <w:t xml:space="preserve"> </w:t>
      </w:r>
      <w:bookmarkStart w:id="403" w:name="_Toc210743922"/>
    </w:p>
    <w:p w14:paraId="35D6AF38" w14:textId="06B54C56" w:rsidR="00201FE9" w:rsidRPr="00C86111" w:rsidRDefault="00201FE9" w:rsidP="00201FE9">
      <w:pPr>
        <w:spacing w:line="276" w:lineRule="auto"/>
        <w:rPr>
          <w:rFonts w:cstheme="minorHAnsi"/>
          <w:bCs/>
          <w:szCs w:val="24"/>
        </w:rPr>
      </w:pPr>
      <w:r w:rsidRPr="00C86111">
        <w:rPr>
          <w:rFonts w:cstheme="minorHAnsi"/>
          <w:b/>
          <w:szCs w:val="24"/>
        </w:rPr>
        <w:lastRenderedPageBreak/>
        <w:t xml:space="preserve">Tabela </w:t>
      </w:r>
      <w:r w:rsidRPr="00C86111">
        <w:rPr>
          <w:rFonts w:cstheme="minorHAnsi"/>
          <w:b/>
          <w:szCs w:val="24"/>
        </w:rPr>
        <w:fldChar w:fldCharType="begin"/>
      </w:r>
      <w:r w:rsidRPr="00C86111">
        <w:rPr>
          <w:rFonts w:cstheme="minorHAnsi"/>
          <w:b/>
          <w:szCs w:val="24"/>
        </w:rPr>
        <w:instrText xml:space="preserve"> SEQ Tabela \* ARABIC </w:instrText>
      </w:r>
      <w:r w:rsidRPr="00C86111">
        <w:rPr>
          <w:rFonts w:cstheme="minorHAnsi"/>
          <w:b/>
          <w:szCs w:val="24"/>
        </w:rPr>
        <w:fldChar w:fldCharType="separate"/>
      </w:r>
      <w:r w:rsidRPr="00C86111">
        <w:rPr>
          <w:rFonts w:cstheme="minorHAnsi"/>
          <w:b/>
          <w:noProof/>
          <w:szCs w:val="24"/>
        </w:rPr>
        <w:t>1</w:t>
      </w:r>
      <w:r w:rsidR="00056E0C" w:rsidRPr="00C86111">
        <w:rPr>
          <w:rFonts w:cstheme="minorHAnsi"/>
          <w:b/>
          <w:noProof/>
          <w:szCs w:val="24"/>
        </w:rPr>
        <w:t>11</w:t>
      </w:r>
      <w:r w:rsidRPr="00C86111">
        <w:rPr>
          <w:rFonts w:cstheme="minorHAnsi"/>
          <w:b/>
          <w:szCs w:val="24"/>
        </w:rPr>
        <w:fldChar w:fldCharType="end"/>
      </w:r>
      <w:r w:rsidRPr="00C86111">
        <w:rPr>
          <w:rFonts w:cstheme="minorHAnsi"/>
          <w:b/>
          <w:szCs w:val="24"/>
        </w:rPr>
        <w:t>.</w:t>
      </w:r>
      <w:r w:rsidRPr="00C86111">
        <w:rPr>
          <w:rFonts w:cstheme="minorHAnsi"/>
          <w:bCs/>
          <w:szCs w:val="24"/>
        </w:rPr>
        <w:t xml:space="preserve"> Količine uvezenih PVC proizvoda sa HS kodom 3904220000 za period 2017-2023 i procijenjene količine SCCP i MCCP</w:t>
      </w:r>
      <w:bookmarkEnd w:id="403"/>
    </w:p>
    <w:tbl>
      <w:tblPr>
        <w:tblStyle w:val="GridTable5Dark-Accent6"/>
        <w:tblW w:w="9016" w:type="dxa"/>
        <w:tblLook w:val="04A0" w:firstRow="1" w:lastRow="0" w:firstColumn="1" w:lastColumn="0" w:noHBand="0" w:noVBand="1"/>
      </w:tblPr>
      <w:tblGrid>
        <w:gridCol w:w="1266"/>
        <w:gridCol w:w="915"/>
        <w:gridCol w:w="1093"/>
        <w:gridCol w:w="1660"/>
        <w:gridCol w:w="1212"/>
        <w:gridCol w:w="1629"/>
        <w:gridCol w:w="1241"/>
      </w:tblGrid>
      <w:tr w:rsidR="00201FE9" w:rsidRPr="00C86111" w14:paraId="19F65AD1" w14:textId="77777777" w:rsidTr="002E5A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6" w:type="dxa"/>
          </w:tcPr>
          <w:p w14:paraId="080CB5EA"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915" w:type="dxa"/>
            <w:hideMark/>
          </w:tcPr>
          <w:p w14:paraId="6AAB78D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093" w:type="dxa"/>
            <w:hideMark/>
          </w:tcPr>
          <w:p w14:paraId="4F46ED93"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660" w:type="dxa"/>
          </w:tcPr>
          <w:p w14:paraId="6F14FFB5"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13A2C4C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212" w:type="dxa"/>
          </w:tcPr>
          <w:p w14:paraId="6662FFA5"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629" w:type="dxa"/>
          </w:tcPr>
          <w:p w14:paraId="7EF64D7B"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4A07612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241" w:type="dxa"/>
          </w:tcPr>
          <w:p w14:paraId="18268CDB"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1780B963"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6" w:type="dxa"/>
            <w:vMerge w:val="restart"/>
          </w:tcPr>
          <w:p w14:paraId="1B06D2AE"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3904220000</w:t>
            </w:r>
          </w:p>
        </w:tc>
        <w:tc>
          <w:tcPr>
            <w:tcW w:w="915" w:type="dxa"/>
          </w:tcPr>
          <w:p w14:paraId="6FCD0D0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2017</w:t>
            </w:r>
          </w:p>
        </w:tc>
        <w:tc>
          <w:tcPr>
            <w:tcW w:w="1093" w:type="dxa"/>
          </w:tcPr>
          <w:p w14:paraId="287927F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w:t>
            </w:r>
          </w:p>
        </w:tc>
        <w:tc>
          <w:tcPr>
            <w:tcW w:w="1660" w:type="dxa"/>
          </w:tcPr>
          <w:p w14:paraId="4AFE527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212" w:type="dxa"/>
          </w:tcPr>
          <w:p w14:paraId="19AF94F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0.000</w:t>
            </w:r>
          </w:p>
        </w:tc>
        <w:tc>
          <w:tcPr>
            <w:tcW w:w="1629" w:type="dxa"/>
          </w:tcPr>
          <w:p w14:paraId="7FF2EF3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41" w:type="dxa"/>
          </w:tcPr>
          <w:p w14:paraId="25CF29B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0.000</w:t>
            </w:r>
          </w:p>
        </w:tc>
      </w:tr>
      <w:tr w:rsidR="00201FE9" w:rsidRPr="00C86111" w14:paraId="47BB23AD" w14:textId="77777777" w:rsidTr="002E5AB7">
        <w:tc>
          <w:tcPr>
            <w:cnfStyle w:val="001000000000" w:firstRow="0" w:lastRow="0" w:firstColumn="1" w:lastColumn="0" w:oddVBand="0" w:evenVBand="0" w:oddHBand="0" w:evenHBand="0" w:firstRowFirstColumn="0" w:firstRowLastColumn="0" w:lastRowFirstColumn="0" w:lastRowLastColumn="0"/>
            <w:tcW w:w="1266" w:type="dxa"/>
            <w:vMerge/>
          </w:tcPr>
          <w:p w14:paraId="4054C542"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0F205AF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2018</w:t>
            </w:r>
          </w:p>
        </w:tc>
        <w:tc>
          <w:tcPr>
            <w:tcW w:w="1093" w:type="dxa"/>
          </w:tcPr>
          <w:p w14:paraId="674E24A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61</w:t>
            </w:r>
          </w:p>
        </w:tc>
        <w:tc>
          <w:tcPr>
            <w:tcW w:w="1660" w:type="dxa"/>
          </w:tcPr>
          <w:p w14:paraId="3BE0BE4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212" w:type="dxa"/>
          </w:tcPr>
          <w:p w14:paraId="37EFCE8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0.049</w:t>
            </w:r>
          </w:p>
        </w:tc>
        <w:tc>
          <w:tcPr>
            <w:tcW w:w="1629" w:type="dxa"/>
          </w:tcPr>
          <w:p w14:paraId="05D3081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41" w:type="dxa"/>
          </w:tcPr>
          <w:p w14:paraId="0BEABF5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0.006</w:t>
            </w:r>
          </w:p>
        </w:tc>
      </w:tr>
      <w:tr w:rsidR="00201FE9" w:rsidRPr="00C86111" w14:paraId="79EA02D5"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6" w:type="dxa"/>
            <w:vMerge/>
          </w:tcPr>
          <w:p w14:paraId="71549117"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544F191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2019</w:t>
            </w:r>
          </w:p>
        </w:tc>
        <w:tc>
          <w:tcPr>
            <w:tcW w:w="1093" w:type="dxa"/>
          </w:tcPr>
          <w:p w14:paraId="79834DD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1.7</w:t>
            </w:r>
          </w:p>
        </w:tc>
        <w:tc>
          <w:tcPr>
            <w:tcW w:w="1660" w:type="dxa"/>
          </w:tcPr>
          <w:p w14:paraId="3D4D346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212" w:type="dxa"/>
          </w:tcPr>
          <w:p w14:paraId="55E109D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0.001</w:t>
            </w:r>
          </w:p>
        </w:tc>
        <w:tc>
          <w:tcPr>
            <w:tcW w:w="1629" w:type="dxa"/>
          </w:tcPr>
          <w:p w14:paraId="354391E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41" w:type="dxa"/>
          </w:tcPr>
          <w:p w14:paraId="7C418DC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0.000</w:t>
            </w:r>
          </w:p>
        </w:tc>
      </w:tr>
      <w:tr w:rsidR="00201FE9" w:rsidRPr="00C86111" w14:paraId="3C6BE9F4" w14:textId="77777777" w:rsidTr="002E5AB7">
        <w:tc>
          <w:tcPr>
            <w:cnfStyle w:val="001000000000" w:firstRow="0" w:lastRow="0" w:firstColumn="1" w:lastColumn="0" w:oddVBand="0" w:evenVBand="0" w:oddHBand="0" w:evenHBand="0" w:firstRowFirstColumn="0" w:firstRowLastColumn="0" w:lastRowFirstColumn="0" w:lastRowLastColumn="0"/>
            <w:tcW w:w="1266" w:type="dxa"/>
            <w:vMerge/>
          </w:tcPr>
          <w:p w14:paraId="217B8DE8"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1BFFBFB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2020</w:t>
            </w:r>
          </w:p>
        </w:tc>
        <w:tc>
          <w:tcPr>
            <w:tcW w:w="1093" w:type="dxa"/>
          </w:tcPr>
          <w:p w14:paraId="3D6BBA4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w:t>
            </w:r>
          </w:p>
        </w:tc>
        <w:tc>
          <w:tcPr>
            <w:tcW w:w="1660" w:type="dxa"/>
          </w:tcPr>
          <w:p w14:paraId="68D6495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212" w:type="dxa"/>
          </w:tcPr>
          <w:p w14:paraId="7FC7E7F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0.000</w:t>
            </w:r>
          </w:p>
        </w:tc>
        <w:tc>
          <w:tcPr>
            <w:tcW w:w="1629" w:type="dxa"/>
          </w:tcPr>
          <w:p w14:paraId="3319ECE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41" w:type="dxa"/>
          </w:tcPr>
          <w:p w14:paraId="04A155F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0.000</w:t>
            </w:r>
          </w:p>
        </w:tc>
      </w:tr>
      <w:tr w:rsidR="00201FE9" w:rsidRPr="00C86111" w14:paraId="5F768B30"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6" w:type="dxa"/>
            <w:vMerge/>
          </w:tcPr>
          <w:p w14:paraId="12FB0DD6"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444E763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2021</w:t>
            </w:r>
          </w:p>
        </w:tc>
        <w:tc>
          <w:tcPr>
            <w:tcW w:w="1093" w:type="dxa"/>
          </w:tcPr>
          <w:p w14:paraId="111969D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59</w:t>
            </w:r>
          </w:p>
        </w:tc>
        <w:tc>
          <w:tcPr>
            <w:tcW w:w="1660" w:type="dxa"/>
          </w:tcPr>
          <w:p w14:paraId="16FEBC8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212" w:type="dxa"/>
          </w:tcPr>
          <w:p w14:paraId="4593ECF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0.047</w:t>
            </w:r>
          </w:p>
        </w:tc>
        <w:tc>
          <w:tcPr>
            <w:tcW w:w="1629" w:type="dxa"/>
          </w:tcPr>
          <w:p w14:paraId="56F7DDE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41" w:type="dxa"/>
          </w:tcPr>
          <w:p w14:paraId="7E09F7D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0.006</w:t>
            </w:r>
          </w:p>
        </w:tc>
      </w:tr>
      <w:tr w:rsidR="00201FE9" w:rsidRPr="00C86111" w14:paraId="23B53391" w14:textId="77777777" w:rsidTr="002E5AB7">
        <w:tc>
          <w:tcPr>
            <w:cnfStyle w:val="001000000000" w:firstRow="0" w:lastRow="0" w:firstColumn="1" w:lastColumn="0" w:oddVBand="0" w:evenVBand="0" w:oddHBand="0" w:evenHBand="0" w:firstRowFirstColumn="0" w:firstRowLastColumn="0" w:lastRowFirstColumn="0" w:lastRowLastColumn="0"/>
            <w:tcW w:w="1266" w:type="dxa"/>
            <w:vMerge/>
          </w:tcPr>
          <w:p w14:paraId="61C68960"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1891190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2022</w:t>
            </w:r>
          </w:p>
        </w:tc>
        <w:tc>
          <w:tcPr>
            <w:tcW w:w="1093" w:type="dxa"/>
          </w:tcPr>
          <w:p w14:paraId="117992E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w:t>
            </w:r>
          </w:p>
        </w:tc>
        <w:tc>
          <w:tcPr>
            <w:tcW w:w="1660" w:type="dxa"/>
          </w:tcPr>
          <w:p w14:paraId="0006A48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212" w:type="dxa"/>
          </w:tcPr>
          <w:p w14:paraId="19E3AB3D"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0.000</w:t>
            </w:r>
          </w:p>
        </w:tc>
        <w:tc>
          <w:tcPr>
            <w:tcW w:w="1629" w:type="dxa"/>
          </w:tcPr>
          <w:p w14:paraId="4E2CF9D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41" w:type="dxa"/>
          </w:tcPr>
          <w:p w14:paraId="2E7A44F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0.000</w:t>
            </w:r>
          </w:p>
        </w:tc>
      </w:tr>
      <w:tr w:rsidR="00201FE9" w:rsidRPr="00C86111" w14:paraId="16C3526E" w14:textId="77777777" w:rsidTr="002E5A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6" w:type="dxa"/>
            <w:vMerge/>
          </w:tcPr>
          <w:p w14:paraId="7988081B"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915" w:type="dxa"/>
          </w:tcPr>
          <w:p w14:paraId="72ABEA1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2023</w:t>
            </w:r>
          </w:p>
        </w:tc>
        <w:tc>
          <w:tcPr>
            <w:tcW w:w="1093" w:type="dxa"/>
          </w:tcPr>
          <w:p w14:paraId="484179E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w:t>
            </w:r>
          </w:p>
        </w:tc>
        <w:tc>
          <w:tcPr>
            <w:tcW w:w="1660" w:type="dxa"/>
          </w:tcPr>
          <w:p w14:paraId="12EEA09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0.8</w:t>
            </w:r>
          </w:p>
        </w:tc>
        <w:tc>
          <w:tcPr>
            <w:tcW w:w="1212" w:type="dxa"/>
          </w:tcPr>
          <w:p w14:paraId="679446A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0.008</w:t>
            </w:r>
          </w:p>
        </w:tc>
        <w:tc>
          <w:tcPr>
            <w:tcW w:w="1629" w:type="dxa"/>
          </w:tcPr>
          <w:p w14:paraId="3E67678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w:t>
            </w:r>
          </w:p>
        </w:tc>
        <w:tc>
          <w:tcPr>
            <w:tcW w:w="1241" w:type="dxa"/>
          </w:tcPr>
          <w:p w14:paraId="1FFBB7B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0.001</w:t>
            </w:r>
          </w:p>
        </w:tc>
      </w:tr>
    </w:tbl>
    <w:p w14:paraId="5E3DF7DD" w14:textId="77777777" w:rsidR="00201FE9" w:rsidRPr="00C86111" w:rsidRDefault="00201FE9" w:rsidP="00201FE9">
      <w:pPr>
        <w:spacing w:line="276" w:lineRule="auto"/>
        <w:jc w:val="both"/>
        <w:rPr>
          <w:rFonts w:asciiTheme="minorHAnsi" w:hAnsiTheme="minorHAnsi" w:cstheme="minorHAnsi"/>
          <w:bCs/>
          <w:color w:val="002060"/>
          <w:szCs w:val="24"/>
          <w:lang w:val="sr-Latn-ME"/>
        </w:rPr>
      </w:pPr>
      <w:r w:rsidRPr="00C86111">
        <w:rPr>
          <w:rFonts w:asciiTheme="minorHAnsi" w:hAnsiTheme="minorHAnsi" w:cstheme="minorHAnsi"/>
          <w:bCs/>
          <w:color w:val="002060"/>
          <w:szCs w:val="24"/>
          <w:lang w:val="sr-Latn-ME"/>
        </w:rPr>
        <w:t>*Chen et al. (2021)</w:t>
      </w:r>
    </w:p>
    <w:p w14:paraId="0A5AB214"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546E661B" w14:textId="77777777"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Podaci za HS kod 3904220000 pokazuju procijenjene količine SCCP i MCCP u uvezenim PVC proizvodima od 2017. do 2023. godine. Oba jedinjenja su prisutna u zanemarljivim količinama, sa SCCP u rasponu od 0 do 0,049 kg, a MCCP od 0 do 0,006 kg. Podaci ukazuju da ova kategorija proizvoda minimalno doprinosi ukupnoj izloženosti hlorovanim parafinima, što odražava veoma niske količine uvoza.</w:t>
      </w:r>
    </w:p>
    <w:p w14:paraId="2A500688" w14:textId="77777777"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p>
    <w:p w14:paraId="5B175863" w14:textId="42CF9D0A" w:rsidR="00201FE9" w:rsidRPr="00C86111" w:rsidRDefault="00201FE9" w:rsidP="00201FE9">
      <w:pPr>
        <w:spacing w:line="276" w:lineRule="auto"/>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Tabela 1</w:t>
      </w:r>
      <w:r w:rsidR="00056E0C" w:rsidRPr="00C86111">
        <w:rPr>
          <w:rFonts w:asciiTheme="minorHAnsi" w:eastAsia="Times New Roman" w:hAnsiTheme="minorHAnsi" w:cstheme="minorHAnsi"/>
          <w:color w:val="auto"/>
          <w:szCs w:val="24"/>
          <w:lang w:val="sr-Latn-ME"/>
        </w:rPr>
        <w:t>12.</w:t>
      </w:r>
      <w:r w:rsidRPr="00C86111">
        <w:rPr>
          <w:rFonts w:asciiTheme="minorHAnsi" w:eastAsia="Times New Roman" w:hAnsiTheme="minorHAnsi" w:cstheme="minorHAnsi"/>
          <w:color w:val="auto"/>
          <w:szCs w:val="24"/>
          <w:lang w:val="sr-Latn-ME"/>
        </w:rPr>
        <w:t xml:space="preserve"> i Grafik </w:t>
      </w:r>
      <w:r w:rsidR="00056E0C" w:rsidRPr="00C86111">
        <w:rPr>
          <w:rFonts w:asciiTheme="minorHAnsi" w:eastAsia="Times New Roman" w:hAnsiTheme="minorHAnsi" w:cstheme="minorHAnsi"/>
          <w:color w:val="auto"/>
          <w:szCs w:val="24"/>
          <w:lang w:val="sr-Latn-ME"/>
        </w:rPr>
        <w:t>4</w:t>
      </w:r>
      <w:r w:rsidR="00547278">
        <w:rPr>
          <w:rFonts w:asciiTheme="minorHAnsi" w:eastAsia="Times New Roman" w:hAnsiTheme="minorHAnsi" w:cstheme="minorHAnsi"/>
          <w:color w:val="auto"/>
          <w:szCs w:val="24"/>
          <w:lang w:val="sr-Latn-ME"/>
        </w:rPr>
        <w:t>6</w:t>
      </w:r>
      <w:r w:rsidR="00056E0C" w:rsidRPr="00C86111">
        <w:rPr>
          <w:rFonts w:asciiTheme="minorHAnsi" w:eastAsia="Times New Roman" w:hAnsiTheme="minorHAnsi" w:cstheme="minorHAnsi"/>
          <w:color w:val="auto"/>
          <w:szCs w:val="24"/>
          <w:lang w:val="sr-Latn-ME"/>
        </w:rPr>
        <w:t>.</w:t>
      </w:r>
      <w:r w:rsidRPr="00C86111">
        <w:rPr>
          <w:rFonts w:asciiTheme="minorHAnsi" w:eastAsia="Times New Roman" w:hAnsiTheme="minorHAnsi" w:cstheme="minorHAnsi"/>
          <w:color w:val="auto"/>
          <w:szCs w:val="24"/>
          <w:lang w:val="sr-Latn-ME"/>
        </w:rPr>
        <w:t xml:space="preserve"> prikazuju pregled količina uvezenih PVC proizvoda sa HS kodom 3918101000 iz Kine za period 2017-2023, kao i izračunate količine SCCP i MCCP.</w:t>
      </w:r>
    </w:p>
    <w:p w14:paraId="45CC4A2F" w14:textId="77777777" w:rsidR="00201FE9" w:rsidRPr="00C86111" w:rsidRDefault="00201FE9" w:rsidP="00201FE9">
      <w:pPr>
        <w:rPr>
          <w:lang w:val="en-GB" w:eastAsia="zh-CN"/>
        </w:rPr>
      </w:pPr>
      <w:bookmarkStart w:id="404" w:name="_Toc210743923"/>
    </w:p>
    <w:p w14:paraId="4946BA40" w14:textId="03060DA2" w:rsidR="00201FE9" w:rsidRPr="00C86111" w:rsidRDefault="00201FE9" w:rsidP="00201FE9">
      <w:pPr>
        <w:pStyle w:val="Caption"/>
        <w:rPr>
          <w:rFonts w:eastAsia="Times New Roman" w:cstheme="minorHAnsi"/>
          <w:sz w:val="24"/>
          <w:szCs w:val="24"/>
          <w:lang w:val="sr-Latn-ME" w:eastAsia="en-US"/>
        </w:rPr>
      </w:pPr>
      <w:r w:rsidRPr="00C86111">
        <w:rPr>
          <w:rFonts w:cstheme="minorHAnsi"/>
          <w:bCs/>
          <w:sz w:val="24"/>
          <w:szCs w:val="24"/>
        </w:rPr>
        <w:t xml:space="preserve">Tabela </w:t>
      </w:r>
      <w:r w:rsidRPr="00C86111">
        <w:rPr>
          <w:rFonts w:cstheme="minorHAnsi"/>
          <w:b w:val="0"/>
          <w:bCs/>
          <w:sz w:val="24"/>
          <w:szCs w:val="24"/>
        </w:rPr>
        <w:fldChar w:fldCharType="begin"/>
      </w:r>
      <w:r w:rsidRPr="00C86111">
        <w:rPr>
          <w:rFonts w:cstheme="minorHAnsi"/>
          <w:bCs/>
          <w:sz w:val="24"/>
          <w:szCs w:val="24"/>
        </w:rPr>
        <w:instrText xml:space="preserve"> SEQ Tabela \* ARABIC </w:instrText>
      </w:r>
      <w:r w:rsidRPr="00C86111">
        <w:rPr>
          <w:rFonts w:cstheme="minorHAnsi"/>
          <w:b w:val="0"/>
          <w:bCs/>
          <w:sz w:val="24"/>
          <w:szCs w:val="24"/>
        </w:rPr>
        <w:fldChar w:fldCharType="separate"/>
      </w:r>
      <w:r w:rsidRPr="00C86111">
        <w:rPr>
          <w:rFonts w:cstheme="minorHAnsi"/>
          <w:bCs/>
          <w:noProof/>
          <w:sz w:val="24"/>
          <w:szCs w:val="24"/>
        </w:rPr>
        <w:t>1</w:t>
      </w:r>
      <w:r w:rsidRPr="00C86111">
        <w:rPr>
          <w:rFonts w:cstheme="minorHAnsi"/>
          <w:b w:val="0"/>
          <w:bCs/>
          <w:sz w:val="24"/>
          <w:szCs w:val="24"/>
        </w:rPr>
        <w:fldChar w:fldCharType="end"/>
      </w:r>
      <w:r w:rsidR="00056E0C" w:rsidRPr="00C86111">
        <w:rPr>
          <w:rFonts w:cstheme="minorHAnsi"/>
          <w:sz w:val="24"/>
          <w:szCs w:val="24"/>
        </w:rPr>
        <w:t>12</w:t>
      </w:r>
      <w:r w:rsidRPr="00C86111">
        <w:rPr>
          <w:rFonts w:cstheme="minorHAnsi"/>
          <w:bCs/>
          <w:sz w:val="24"/>
          <w:szCs w:val="24"/>
        </w:rPr>
        <w:t>.</w:t>
      </w:r>
      <w:r w:rsidRPr="00C86111">
        <w:rPr>
          <w:rFonts w:cstheme="minorHAnsi"/>
          <w:sz w:val="24"/>
          <w:szCs w:val="24"/>
        </w:rPr>
        <w:t xml:space="preserve"> </w:t>
      </w:r>
      <w:r w:rsidRPr="00C86111">
        <w:rPr>
          <w:rFonts w:cstheme="minorHAnsi"/>
          <w:b w:val="0"/>
          <w:bCs/>
          <w:sz w:val="24"/>
          <w:szCs w:val="24"/>
        </w:rPr>
        <w:t>Količine uvezenih PVC proizvoda sa HS kodom 3918101000 za period 2017-2023 i procenjene količine SCCP i MCCP</w:t>
      </w:r>
      <w:bookmarkEnd w:id="404"/>
    </w:p>
    <w:tbl>
      <w:tblPr>
        <w:tblStyle w:val="GridTable5Dark-Accent6"/>
        <w:tblW w:w="9016" w:type="dxa"/>
        <w:tblLook w:val="04A0" w:firstRow="1" w:lastRow="0" w:firstColumn="1" w:lastColumn="0" w:noHBand="0" w:noVBand="1"/>
      </w:tblPr>
      <w:tblGrid>
        <w:gridCol w:w="1265"/>
        <w:gridCol w:w="915"/>
        <w:gridCol w:w="1093"/>
        <w:gridCol w:w="1657"/>
        <w:gridCol w:w="1215"/>
        <w:gridCol w:w="1623"/>
        <w:gridCol w:w="1248"/>
      </w:tblGrid>
      <w:tr w:rsidR="00201FE9" w:rsidRPr="00C86111" w14:paraId="19853CC7"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14:paraId="39640689"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890" w:type="dxa"/>
            <w:hideMark/>
          </w:tcPr>
          <w:p w14:paraId="4D5B951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063" w:type="dxa"/>
            <w:hideMark/>
          </w:tcPr>
          <w:p w14:paraId="4D72FBE7"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611" w:type="dxa"/>
          </w:tcPr>
          <w:p w14:paraId="4F36AC60"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7F7FC87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181" w:type="dxa"/>
          </w:tcPr>
          <w:p w14:paraId="6439BAFE"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578" w:type="dxa"/>
          </w:tcPr>
          <w:p w14:paraId="15C78C99"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236999C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213" w:type="dxa"/>
          </w:tcPr>
          <w:p w14:paraId="253C6897"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2AF7D3B6"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val="restart"/>
          </w:tcPr>
          <w:p w14:paraId="2779628E"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bookmarkStart w:id="405" w:name="_Hlk208312922"/>
            <w:r w:rsidRPr="00C86111">
              <w:rPr>
                <w:rFonts w:asciiTheme="minorHAnsi" w:hAnsiTheme="minorHAnsi" w:cstheme="minorHAnsi"/>
                <w:color w:val="auto"/>
                <w:sz w:val="20"/>
                <w:szCs w:val="20"/>
                <w:lang w:val="sr-Latn-ME"/>
              </w:rPr>
              <w:t>3918101000</w:t>
            </w:r>
            <w:bookmarkEnd w:id="405"/>
          </w:p>
        </w:tc>
        <w:tc>
          <w:tcPr>
            <w:tcW w:w="890" w:type="dxa"/>
          </w:tcPr>
          <w:p w14:paraId="76C6A74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2017</w:t>
            </w:r>
          </w:p>
        </w:tc>
        <w:tc>
          <w:tcPr>
            <w:tcW w:w="1063" w:type="dxa"/>
          </w:tcPr>
          <w:p w14:paraId="3E0BD90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1054</w:t>
            </w:r>
          </w:p>
        </w:tc>
        <w:tc>
          <w:tcPr>
            <w:tcW w:w="1611" w:type="dxa"/>
          </w:tcPr>
          <w:p w14:paraId="6792E9F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6.2</w:t>
            </w:r>
          </w:p>
        </w:tc>
        <w:tc>
          <w:tcPr>
            <w:tcW w:w="1181" w:type="dxa"/>
          </w:tcPr>
          <w:p w14:paraId="0A25A60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6.5</w:t>
            </w:r>
          </w:p>
        </w:tc>
        <w:tc>
          <w:tcPr>
            <w:tcW w:w="1578" w:type="dxa"/>
          </w:tcPr>
          <w:p w14:paraId="6160495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8.5</w:t>
            </w:r>
          </w:p>
        </w:tc>
        <w:tc>
          <w:tcPr>
            <w:tcW w:w="1213" w:type="dxa"/>
          </w:tcPr>
          <w:p w14:paraId="45E9874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9.0</w:t>
            </w:r>
          </w:p>
        </w:tc>
      </w:tr>
      <w:tr w:rsidR="00201FE9" w:rsidRPr="00C86111" w14:paraId="0B3BC201" w14:textId="77777777" w:rsidTr="00BC765B">
        <w:tc>
          <w:tcPr>
            <w:cnfStyle w:val="001000000000" w:firstRow="0" w:lastRow="0" w:firstColumn="1" w:lastColumn="0" w:oddVBand="0" w:evenVBand="0" w:oddHBand="0" w:evenHBand="0" w:firstRowFirstColumn="0" w:firstRowLastColumn="0" w:lastRowFirstColumn="0" w:lastRowLastColumn="0"/>
            <w:tcW w:w="1128" w:type="dxa"/>
            <w:vMerge/>
          </w:tcPr>
          <w:p w14:paraId="0081BEF1"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0C86E48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2018</w:t>
            </w:r>
          </w:p>
        </w:tc>
        <w:tc>
          <w:tcPr>
            <w:tcW w:w="1063" w:type="dxa"/>
          </w:tcPr>
          <w:p w14:paraId="2DF961F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3605</w:t>
            </w:r>
          </w:p>
        </w:tc>
        <w:tc>
          <w:tcPr>
            <w:tcW w:w="1611" w:type="dxa"/>
          </w:tcPr>
          <w:p w14:paraId="532F0C3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6.2</w:t>
            </w:r>
          </w:p>
        </w:tc>
        <w:tc>
          <w:tcPr>
            <w:tcW w:w="1181" w:type="dxa"/>
          </w:tcPr>
          <w:p w14:paraId="4EF3876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22</w:t>
            </w:r>
          </w:p>
        </w:tc>
        <w:tc>
          <w:tcPr>
            <w:tcW w:w="1578" w:type="dxa"/>
          </w:tcPr>
          <w:p w14:paraId="6F9D990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8.5</w:t>
            </w:r>
          </w:p>
        </w:tc>
        <w:tc>
          <w:tcPr>
            <w:tcW w:w="1213" w:type="dxa"/>
          </w:tcPr>
          <w:p w14:paraId="0C03DCD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31</w:t>
            </w:r>
          </w:p>
        </w:tc>
      </w:tr>
      <w:tr w:rsidR="00201FE9" w:rsidRPr="00C86111" w14:paraId="11DD8B5C"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tcPr>
          <w:p w14:paraId="0E8E660D"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07EDB15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2019</w:t>
            </w:r>
          </w:p>
        </w:tc>
        <w:tc>
          <w:tcPr>
            <w:tcW w:w="1063" w:type="dxa"/>
          </w:tcPr>
          <w:p w14:paraId="44B99F1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4618</w:t>
            </w:r>
          </w:p>
        </w:tc>
        <w:tc>
          <w:tcPr>
            <w:tcW w:w="1611" w:type="dxa"/>
          </w:tcPr>
          <w:p w14:paraId="2019F81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6.2</w:t>
            </w:r>
          </w:p>
        </w:tc>
        <w:tc>
          <w:tcPr>
            <w:tcW w:w="1181" w:type="dxa"/>
          </w:tcPr>
          <w:p w14:paraId="1F4EB0E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29</w:t>
            </w:r>
          </w:p>
        </w:tc>
        <w:tc>
          <w:tcPr>
            <w:tcW w:w="1578" w:type="dxa"/>
          </w:tcPr>
          <w:p w14:paraId="28E4F95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8.5</w:t>
            </w:r>
          </w:p>
        </w:tc>
        <w:tc>
          <w:tcPr>
            <w:tcW w:w="1213" w:type="dxa"/>
          </w:tcPr>
          <w:p w14:paraId="733D4DC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39</w:t>
            </w:r>
          </w:p>
        </w:tc>
      </w:tr>
      <w:tr w:rsidR="00201FE9" w:rsidRPr="00C86111" w14:paraId="539DB717" w14:textId="77777777" w:rsidTr="00BC765B">
        <w:tc>
          <w:tcPr>
            <w:cnfStyle w:val="001000000000" w:firstRow="0" w:lastRow="0" w:firstColumn="1" w:lastColumn="0" w:oddVBand="0" w:evenVBand="0" w:oddHBand="0" w:evenHBand="0" w:firstRowFirstColumn="0" w:firstRowLastColumn="0" w:lastRowFirstColumn="0" w:lastRowLastColumn="0"/>
            <w:tcW w:w="1128" w:type="dxa"/>
            <w:vMerge/>
          </w:tcPr>
          <w:p w14:paraId="7B380795"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2F87E40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2020</w:t>
            </w:r>
          </w:p>
        </w:tc>
        <w:tc>
          <w:tcPr>
            <w:tcW w:w="1063" w:type="dxa"/>
          </w:tcPr>
          <w:p w14:paraId="0B44A98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1698</w:t>
            </w:r>
          </w:p>
        </w:tc>
        <w:tc>
          <w:tcPr>
            <w:tcW w:w="1611" w:type="dxa"/>
          </w:tcPr>
          <w:p w14:paraId="6429767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6.2</w:t>
            </w:r>
          </w:p>
        </w:tc>
        <w:tc>
          <w:tcPr>
            <w:tcW w:w="1181" w:type="dxa"/>
          </w:tcPr>
          <w:p w14:paraId="25B290D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11</w:t>
            </w:r>
          </w:p>
        </w:tc>
        <w:tc>
          <w:tcPr>
            <w:tcW w:w="1578" w:type="dxa"/>
          </w:tcPr>
          <w:p w14:paraId="4E6A76B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8.5</w:t>
            </w:r>
          </w:p>
        </w:tc>
        <w:tc>
          <w:tcPr>
            <w:tcW w:w="1213" w:type="dxa"/>
          </w:tcPr>
          <w:p w14:paraId="655A488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14</w:t>
            </w:r>
          </w:p>
        </w:tc>
      </w:tr>
      <w:tr w:rsidR="00201FE9" w:rsidRPr="00C86111" w14:paraId="765BA62F"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tcPr>
          <w:p w14:paraId="6485C8D7"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7B76D7F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2021</w:t>
            </w:r>
          </w:p>
        </w:tc>
        <w:tc>
          <w:tcPr>
            <w:tcW w:w="1063" w:type="dxa"/>
          </w:tcPr>
          <w:p w14:paraId="1948F6B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6027</w:t>
            </w:r>
          </w:p>
        </w:tc>
        <w:tc>
          <w:tcPr>
            <w:tcW w:w="1611" w:type="dxa"/>
          </w:tcPr>
          <w:p w14:paraId="1F2E141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6.2</w:t>
            </w:r>
          </w:p>
        </w:tc>
        <w:tc>
          <w:tcPr>
            <w:tcW w:w="1181" w:type="dxa"/>
          </w:tcPr>
          <w:p w14:paraId="45C66E8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37</w:t>
            </w:r>
          </w:p>
        </w:tc>
        <w:tc>
          <w:tcPr>
            <w:tcW w:w="1578" w:type="dxa"/>
          </w:tcPr>
          <w:p w14:paraId="688A402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8.5</w:t>
            </w:r>
          </w:p>
        </w:tc>
        <w:tc>
          <w:tcPr>
            <w:tcW w:w="1213" w:type="dxa"/>
          </w:tcPr>
          <w:p w14:paraId="1ACAEFB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51</w:t>
            </w:r>
          </w:p>
        </w:tc>
      </w:tr>
      <w:tr w:rsidR="00201FE9" w:rsidRPr="00C86111" w14:paraId="5695F538" w14:textId="77777777" w:rsidTr="00BC765B">
        <w:tc>
          <w:tcPr>
            <w:cnfStyle w:val="001000000000" w:firstRow="0" w:lastRow="0" w:firstColumn="1" w:lastColumn="0" w:oddVBand="0" w:evenVBand="0" w:oddHBand="0" w:evenHBand="0" w:firstRowFirstColumn="0" w:firstRowLastColumn="0" w:lastRowFirstColumn="0" w:lastRowLastColumn="0"/>
            <w:tcW w:w="1128" w:type="dxa"/>
            <w:vMerge/>
          </w:tcPr>
          <w:p w14:paraId="35033D54"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58549AD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2022</w:t>
            </w:r>
          </w:p>
        </w:tc>
        <w:tc>
          <w:tcPr>
            <w:tcW w:w="1063" w:type="dxa"/>
          </w:tcPr>
          <w:p w14:paraId="40C5872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9242</w:t>
            </w:r>
          </w:p>
        </w:tc>
        <w:tc>
          <w:tcPr>
            <w:tcW w:w="1611" w:type="dxa"/>
          </w:tcPr>
          <w:p w14:paraId="74DE6A2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6.2</w:t>
            </w:r>
          </w:p>
        </w:tc>
        <w:tc>
          <w:tcPr>
            <w:tcW w:w="1181" w:type="dxa"/>
          </w:tcPr>
          <w:p w14:paraId="139A967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57</w:t>
            </w:r>
          </w:p>
        </w:tc>
        <w:tc>
          <w:tcPr>
            <w:tcW w:w="1578" w:type="dxa"/>
          </w:tcPr>
          <w:p w14:paraId="2C89F25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8.5</w:t>
            </w:r>
          </w:p>
        </w:tc>
        <w:tc>
          <w:tcPr>
            <w:tcW w:w="1213" w:type="dxa"/>
          </w:tcPr>
          <w:p w14:paraId="4323FC6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79</w:t>
            </w:r>
          </w:p>
        </w:tc>
      </w:tr>
      <w:tr w:rsidR="00201FE9" w:rsidRPr="00C86111" w14:paraId="3BC49B6D"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vMerge/>
          </w:tcPr>
          <w:p w14:paraId="51ED5955"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1988F29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2023</w:t>
            </w:r>
          </w:p>
        </w:tc>
        <w:tc>
          <w:tcPr>
            <w:tcW w:w="1063" w:type="dxa"/>
          </w:tcPr>
          <w:p w14:paraId="35D0379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13026</w:t>
            </w:r>
          </w:p>
        </w:tc>
        <w:tc>
          <w:tcPr>
            <w:tcW w:w="1611" w:type="dxa"/>
          </w:tcPr>
          <w:p w14:paraId="0FF2864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6.2</w:t>
            </w:r>
          </w:p>
        </w:tc>
        <w:tc>
          <w:tcPr>
            <w:tcW w:w="1181" w:type="dxa"/>
          </w:tcPr>
          <w:p w14:paraId="661668D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81</w:t>
            </w:r>
          </w:p>
        </w:tc>
        <w:tc>
          <w:tcPr>
            <w:tcW w:w="1578" w:type="dxa"/>
          </w:tcPr>
          <w:p w14:paraId="04C12DD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8.5</w:t>
            </w:r>
          </w:p>
        </w:tc>
        <w:tc>
          <w:tcPr>
            <w:tcW w:w="1213" w:type="dxa"/>
          </w:tcPr>
          <w:p w14:paraId="020959B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111</w:t>
            </w:r>
          </w:p>
        </w:tc>
      </w:tr>
    </w:tbl>
    <w:p w14:paraId="008B706E" w14:textId="77777777" w:rsidR="00201FE9" w:rsidRPr="00C86111" w:rsidRDefault="00201FE9" w:rsidP="00201FE9">
      <w:pPr>
        <w:spacing w:line="276" w:lineRule="auto"/>
        <w:jc w:val="both"/>
        <w:rPr>
          <w:rFonts w:asciiTheme="minorHAnsi" w:hAnsiTheme="minorHAnsi" w:cstheme="minorHAnsi"/>
          <w:bCs/>
          <w:color w:val="002060"/>
          <w:szCs w:val="24"/>
          <w:lang w:val="sr-Latn-ME"/>
        </w:rPr>
      </w:pPr>
      <w:r w:rsidRPr="00C86111">
        <w:rPr>
          <w:rFonts w:asciiTheme="minorHAnsi" w:hAnsiTheme="minorHAnsi" w:cstheme="minorHAnsi"/>
          <w:bCs/>
          <w:color w:val="002060"/>
          <w:szCs w:val="24"/>
          <w:lang w:val="sr-Latn-ME"/>
        </w:rPr>
        <w:t>*Chen et al. (2021)</w:t>
      </w:r>
    </w:p>
    <w:p w14:paraId="0064EF8D"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3B46A18E"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1FB0A5CE"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lastRenderedPageBreak/>
        <w:drawing>
          <wp:inline distT="0" distB="0" distL="0" distR="0" wp14:anchorId="3EB8AF26" wp14:editId="4E240F5C">
            <wp:extent cx="4861560" cy="2182091"/>
            <wp:effectExtent l="0" t="0" r="15240" b="8890"/>
            <wp:docPr id="1948793419" name="Chart 1948793419">
              <a:extLst xmlns:a="http://schemas.openxmlformats.org/drawingml/2006/main">
                <a:ext uri="{FF2B5EF4-FFF2-40B4-BE49-F238E27FC236}">
                  <a16:creationId xmlns:a16="http://schemas.microsoft.com/office/drawing/2014/main" id="{10B9DD5A-84BC-0AD0-D434-869D60A63F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56D59C69" w14:textId="6F09528A"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 xml:space="preserve">Grafik </w:t>
      </w:r>
      <w:r w:rsidR="00056E0C" w:rsidRPr="00C86111">
        <w:rPr>
          <w:rFonts w:asciiTheme="minorHAnsi" w:hAnsiTheme="minorHAnsi" w:cstheme="minorHAnsi"/>
          <w:b/>
          <w:bCs/>
          <w:color w:val="auto"/>
          <w:szCs w:val="24"/>
          <w:lang w:val="sr-Latn-ME"/>
        </w:rPr>
        <w:t>4</w:t>
      </w:r>
      <w:r w:rsidR="00547278">
        <w:rPr>
          <w:rFonts w:asciiTheme="minorHAnsi" w:hAnsiTheme="minorHAnsi" w:cstheme="minorHAnsi"/>
          <w:b/>
          <w:bCs/>
          <w:color w:val="auto"/>
          <w:szCs w:val="24"/>
          <w:lang w:val="sr-Latn-ME"/>
        </w:rPr>
        <w:t>6</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 xml:space="preserve">Procenjena količina SCCP i MCCP u proizvodu sa HS kodom </w:t>
      </w:r>
      <w:r w:rsidRPr="00C86111">
        <w:rPr>
          <w:rFonts w:asciiTheme="minorHAnsi" w:eastAsia="Times New Roman" w:hAnsiTheme="minorHAnsi" w:cstheme="minorHAnsi"/>
          <w:color w:val="auto"/>
          <w:szCs w:val="24"/>
          <w:lang w:val="sr-Latn-ME"/>
        </w:rPr>
        <w:t>3918101000</w:t>
      </w:r>
      <w:r w:rsidRPr="00C86111">
        <w:rPr>
          <w:rFonts w:asciiTheme="minorHAnsi" w:hAnsiTheme="minorHAnsi" w:cstheme="minorHAnsi"/>
          <w:color w:val="auto"/>
          <w:szCs w:val="24"/>
          <w:lang w:val="sr-Latn-ME"/>
        </w:rPr>
        <w:t xml:space="preserve"> uvezenim tokom perioda 2017-2023.</w:t>
      </w:r>
    </w:p>
    <w:p w14:paraId="5BDE5A69" w14:textId="77777777" w:rsidR="00201FE9" w:rsidRPr="00C86111" w:rsidRDefault="00201FE9" w:rsidP="00201FE9">
      <w:pPr>
        <w:spacing w:line="276" w:lineRule="auto"/>
        <w:rPr>
          <w:rFonts w:asciiTheme="minorHAnsi" w:hAnsiTheme="minorHAnsi" w:cstheme="minorHAnsi"/>
          <w:color w:val="auto"/>
          <w:szCs w:val="24"/>
          <w:lang w:val="sr-Latn-ME"/>
        </w:rPr>
      </w:pPr>
    </w:p>
    <w:p w14:paraId="7C3F480E" w14:textId="346CC856"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 xml:space="preserve">Grafik </w:t>
      </w:r>
      <w:r w:rsidR="00056E0C" w:rsidRPr="00C86111">
        <w:rPr>
          <w:rFonts w:asciiTheme="minorHAnsi" w:hAnsiTheme="minorHAnsi" w:cstheme="minorHAnsi"/>
          <w:color w:val="auto"/>
          <w:szCs w:val="24"/>
          <w:lang w:val="sr-Latn-ME"/>
        </w:rPr>
        <w:t>4</w:t>
      </w:r>
      <w:r w:rsidR="00547278">
        <w:rPr>
          <w:rFonts w:asciiTheme="minorHAnsi" w:hAnsiTheme="minorHAnsi" w:cstheme="minorHAnsi"/>
          <w:color w:val="auto"/>
          <w:szCs w:val="24"/>
          <w:lang w:val="sr-Latn-ME"/>
        </w:rPr>
        <w:t>6</w:t>
      </w:r>
      <w:r w:rsidR="00056E0C" w:rsidRPr="00C86111">
        <w:rPr>
          <w:rFonts w:asciiTheme="minorHAnsi" w:hAnsiTheme="minorHAnsi" w:cstheme="minorHAnsi"/>
          <w:color w:val="auto"/>
          <w:szCs w:val="24"/>
          <w:lang w:val="sr-Latn-ME"/>
        </w:rPr>
        <w:t>.</w:t>
      </w:r>
      <w:r w:rsidRPr="00C86111">
        <w:rPr>
          <w:rFonts w:asciiTheme="minorHAnsi" w:hAnsiTheme="minorHAnsi" w:cstheme="minorHAnsi"/>
          <w:color w:val="auto"/>
          <w:szCs w:val="24"/>
          <w:lang w:val="sr-Latn-ME"/>
        </w:rPr>
        <w:t xml:space="preserve"> prikazuje procijenjene količine SCCP i MCCP u uvezenim PVC proizvodima (HS kod 3918101000) od 2017. do 2023. godine. Količine oba jedinjenja se stalno povećavaju tokom perioda, pri čemu je SCCP porastao sa 6,5 kg u 2017. na 81 kg u 2023. godini, a MCCP sa 9 kg na 111 kg. Podaci odražavaju jasan rast količina uvoza i odgovarajućih nivoa hlorisanih parafina u ovoj kategoriji proizvoda.</w:t>
      </w:r>
    </w:p>
    <w:p w14:paraId="626C9869" w14:textId="77777777" w:rsidR="00056E0C" w:rsidRPr="00C86111" w:rsidRDefault="00056E0C" w:rsidP="00201FE9">
      <w:pPr>
        <w:spacing w:line="276" w:lineRule="auto"/>
        <w:jc w:val="both"/>
        <w:rPr>
          <w:rFonts w:asciiTheme="minorHAnsi" w:hAnsiTheme="minorHAnsi" w:cstheme="minorHAnsi"/>
          <w:color w:val="auto"/>
          <w:szCs w:val="24"/>
          <w:lang w:val="sr-Latn-ME"/>
        </w:rPr>
      </w:pPr>
    </w:p>
    <w:p w14:paraId="22BC4017" w14:textId="72867678"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 xml:space="preserve">Na </w:t>
      </w:r>
      <w:r w:rsidR="00056E0C" w:rsidRPr="00C86111">
        <w:rPr>
          <w:rFonts w:asciiTheme="minorHAnsi" w:hAnsiTheme="minorHAnsi" w:cstheme="minorHAnsi"/>
          <w:color w:val="auto"/>
          <w:szCs w:val="24"/>
          <w:lang w:val="sr-Latn-ME"/>
        </w:rPr>
        <w:t>grafiku 4</w:t>
      </w:r>
      <w:r w:rsidR="00547278">
        <w:rPr>
          <w:rFonts w:asciiTheme="minorHAnsi" w:hAnsiTheme="minorHAnsi" w:cstheme="minorHAnsi"/>
          <w:color w:val="auto"/>
          <w:szCs w:val="24"/>
          <w:lang w:val="sr-Latn-ME"/>
        </w:rPr>
        <w:t>7</w:t>
      </w:r>
      <w:r w:rsidR="00056E0C" w:rsidRPr="00C86111">
        <w:rPr>
          <w:rFonts w:asciiTheme="minorHAnsi" w:hAnsiTheme="minorHAnsi" w:cstheme="minorHAnsi"/>
          <w:color w:val="auto"/>
          <w:szCs w:val="24"/>
          <w:lang w:val="sr-Latn-ME"/>
        </w:rPr>
        <w:t xml:space="preserve"> </w:t>
      </w:r>
      <w:r w:rsidRPr="00C86111">
        <w:rPr>
          <w:rFonts w:asciiTheme="minorHAnsi" w:hAnsiTheme="minorHAnsi" w:cstheme="minorHAnsi"/>
          <w:color w:val="auto"/>
          <w:szCs w:val="24"/>
          <w:lang w:val="sr-Latn-ME"/>
        </w:rPr>
        <w:t>prikazan je pregled procentualne raspodele uvezenih različitih PVC proizvoda iz Kine za period 2017-2023.</w:t>
      </w:r>
    </w:p>
    <w:p w14:paraId="2AF387B3"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586E0BFF" wp14:editId="29559A17">
            <wp:extent cx="5731510" cy="3022600"/>
            <wp:effectExtent l="0" t="0" r="2540" b="6350"/>
            <wp:docPr id="1717610873" name="Chart 1717610873">
              <a:extLst xmlns:a="http://schemas.openxmlformats.org/drawingml/2006/main">
                <a:ext uri="{FF2B5EF4-FFF2-40B4-BE49-F238E27FC236}">
                  <a16:creationId xmlns:a16="http://schemas.microsoft.com/office/drawing/2014/main" id="{EC08CB8F-C1A4-4591-9FD3-F5A2BF4CC8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5BA9B398" w14:textId="4590C49F" w:rsidR="00201FE9" w:rsidRPr="00C86111" w:rsidRDefault="00056E0C"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Grafik 4</w:t>
      </w:r>
      <w:r w:rsidR="00547278">
        <w:rPr>
          <w:rFonts w:asciiTheme="minorHAnsi" w:hAnsiTheme="minorHAnsi" w:cstheme="minorHAnsi"/>
          <w:b/>
          <w:bCs/>
          <w:color w:val="auto"/>
          <w:szCs w:val="24"/>
          <w:lang w:val="sr-Latn-ME"/>
        </w:rPr>
        <w:t>7</w:t>
      </w:r>
      <w:r w:rsidRPr="00C86111">
        <w:rPr>
          <w:rFonts w:asciiTheme="minorHAnsi" w:hAnsiTheme="minorHAnsi" w:cstheme="minorHAnsi"/>
          <w:b/>
          <w:bCs/>
          <w:color w:val="auto"/>
          <w:szCs w:val="24"/>
          <w:lang w:val="sr-Latn-ME"/>
        </w:rPr>
        <w:t>.</w:t>
      </w:r>
      <w:r w:rsidR="00201FE9" w:rsidRPr="00C86111">
        <w:rPr>
          <w:rFonts w:asciiTheme="minorHAnsi" w:hAnsiTheme="minorHAnsi" w:cstheme="minorHAnsi"/>
          <w:b/>
          <w:bCs/>
          <w:color w:val="auto"/>
          <w:szCs w:val="24"/>
          <w:lang w:val="sr-Latn-ME"/>
        </w:rPr>
        <w:t xml:space="preserve"> </w:t>
      </w:r>
      <w:r w:rsidR="00201FE9" w:rsidRPr="00C86111">
        <w:rPr>
          <w:rFonts w:asciiTheme="minorHAnsi" w:hAnsiTheme="minorHAnsi" w:cstheme="minorHAnsi"/>
          <w:color w:val="auto"/>
          <w:szCs w:val="24"/>
          <w:lang w:val="sr-Latn-ME"/>
        </w:rPr>
        <w:t>Procentualna raspodjela različitih kategorija PVC uvezenih iz Kine za period 2017-2023</w:t>
      </w:r>
    </w:p>
    <w:p w14:paraId="11C93C6A" w14:textId="77777777" w:rsidR="00201FE9" w:rsidRPr="00C86111" w:rsidRDefault="00201FE9" w:rsidP="00EA6904">
      <w:pPr>
        <w:pStyle w:val="Heading4"/>
      </w:pPr>
      <w:bookmarkStart w:id="406" w:name="_Toc210744976"/>
      <w:r w:rsidRPr="00C86111">
        <w:lastRenderedPageBreak/>
        <w:t>Adhezivne PUR pjene</w:t>
      </w:r>
      <w:bookmarkEnd w:id="406"/>
    </w:p>
    <w:p w14:paraId="7FCDC8E7" w14:textId="26D5A7D9"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r w:rsidRPr="00C86111">
        <w:rPr>
          <w:rFonts w:asciiTheme="minorHAnsi" w:eastAsia="Times New Roman" w:hAnsiTheme="minorHAnsi" w:cstheme="minorHAnsi"/>
          <w:color w:val="auto"/>
          <w:szCs w:val="24"/>
          <w:lang w:val="sr-Latn-ME"/>
        </w:rPr>
        <w:t xml:space="preserve">Tabela </w:t>
      </w:r>
      <w:r w:rsidR="00056E0C" w:rsidRPr="00C86111">
        <w:rPr>
          <w:rFonts w:asciiTheme="minorHAnsi" w:eastAsia="Times New Roman" w:hAnsiTheme="minorHAnsi" w:cstheme="minorHAnsi"/>
          <w:color w:val="auto"/>
          <w:szCs w:val="24"/>
          <w:lang w:val="sr-Latn-ME"/>
        </w:rPr>
        <w:t>113.</w:t>
      </w:r>
      <w:r w:rsidRPr="00C86111">
        <w:rPr>
          <w:rFonts w:asciiTheme="minorHAnsi" w:eastAsia="Times New Roman" w:hAnsiTheme="minorHAnsi" w:cstheme="minorHAnsi"/>
          <w:color w:val="auto"/>
          <w:szCs w:val="24"/>
          <w:lang w:val="sr-Latn-ME"/>
        </w:rPr>
        <w:t xml:space="preserve"> i Grafik </w:t>
      </w:r>
      <w:r w:rsidR="00056E0C" w:rsidRPr="00C86111">
        <w:rPr>
          <w:rFonts w:asciiTheme="minorHAnsi" w:eastAsia="Times New Roman" w:hAnsiTheme="minorHAnsi" w:cstheme="minorHAnsi"/>
          <w:color w:val="auto"/>
          <w:szCs w:val="24"/>
          <w:lang w:val="sr-Latn-ME"/>
        </w:rPr>
        <w:t>4</w:t>
      </w:r>
      <w:r w:rsidR="00547278">
        <w:rPr>
          <w:rFonts w:asciiTheme="minorHAnsi" w:eastAsia="Times New Roman" w:hAnsiTheme="minorHAnsi" w:cstheme="minorHAnsi"/>
          <w:color w:val="auto"/>
          <w:szCs w:val="24"/>
          <w:lang w:val="sr-Latn-ME"/>
        </w:rPr>
        <w:t>8</w:t>
      </w:r>
      <w:r w:rsidR="00056E0C" w:rsidRPr="00C86111">
        <w:rPr>
          <w:rFonts w:asciiTheme="minorHAnsi" w:eastAsia="Times New Roman" w:hAnsiTheme="minorHAnsi" w:cstheme="minorHAnsi"/>
          <w:color w:val="auto"/>
          <w:szCs w:val="24"/>
          <w:lang w:val="sr-Latn-ME"/>
        </w:rPr>
        <w:t>.</w:t>
      </w:r>
      <w:r w:rsidRPr="00C86111">
        <w:rPr>
          <w:rFonts w:asciiTheme="minorHAnsi" w:eastAsia="Times New Roman" w:hAnsiTheme="minorHAnsi" w:cstheme="minorHAnsi"/>
          <w:color w:val="auto"/>
          <w:szCs w:val="24"/>
          <w:lang w:val="sr-Latn-ME"/>
        </w:rPr>
        <w:t xml:space="preserve"> prikazuju pregled količina uvezenih adhezivnih PUR pjena iz Kine za period 2017-2023, kao i izračunate količine SCCP i MCCP.</w:t>
      </w:r>
    </w:p>
    <w:p w14:paraId="14A15004" w14:textId="77777777" w:rsidR="00201FE9" w:rsidRPr="00C86111" w:rsidRDefault="00201FE9" w:rsidP="00201FE9">
      <w:pPr>
        <w:spacing w:line="276" w:lineRule="auto"/>
        <w:jc w:val="both"/>
        <w:rPr>
          <w:rFonts w:asciiTheme="minorHAnsi" w:eastAsia="Times New Roman" w:hAnsiTheme="minorHAnsi" w:cstheme="minorHAnsi"/>
          <w:color w:val="auto"/>
          <w:szCs w:val="24"/>
          <w:lang w:val="sr-Latn-ME"/>
        </w:rPr>
      </w:pPr>
    </w:p>
    <w:p w14:paraId="61ABF7A6" w14:textId="4B94286E" w:rsidR="00201FE9" w:rsidRPr="00C86111" w:rsidRDefault="00201FE9" w:rsidP="002E5AB7">
      <w:pPr>
        <w:pStyle w:val="Caption"/>
        <w:rPr>
          <w:rFonts w:cstheme="minorHAnsi"/>
          <w:szCs w:val="24"/>
          <w:lang w:val="sr-Latn-ME"/>
        </w:rPr>
      </w:pPr>
      <w:bookmarkStart w:id="407" w:name="_Toc210743924"/>
      <w:r w:rsidRPr="00C86111">
        <w:rPr>
          <w:rFonts w:cstheme="minorHAnsi"/>
          <w:bCs/>
          <w:sz w:val="24"/>
          <w:szCs w:val="24"/>
        </w:rPr>
        <w:t xml:space="preserve">Tabela </w:t>
      </w:r>
      <w:r w:rsidR="00056E0C" w:rsidRPr="00C86111">
        <w:rPr>
          <w:rFonts w:cstheme="minorHAnsi"/>
          <w:bCs/>
          <w:sz w:val="24"/>
          <w:szCs w:val="24"/>
        </w:rPr>
        <w:t>113</w:t>
      </w:r>
      <w:r w:rsidRPr="00C86111">
        <w:rPr>
          <w:rFonts w:cstheme="minorHAnsi"/>
          <w:b w:val="0"/>
          <w:bCs/>
          <w:sz w:val="24"/>
          <w:szCs w:val="24"/>
        </w:rPr>
        <w:fldChar w:fldCharType="begin"/>
      </w:r>
      <w:r w:rsidRPr="00C86111">
        <w:rPr>
          <w:rFonts w:cstheme="minorHAnsi"/>
          <w:bCs/>
          <w:sz w:val="24"/>
          <w:szCs w:val="24"/>
        </w:rPr>
        <w:instrText xml:space="preserve"> SEQ Tabela \* ARABIC </w:instrText>
      </w:r>
      <w:r w:rsidRPr="00C86111">
        <w:rPr>
          <w:rFonts w:cstheme="minorHAnsi"/>
          <w:b w:val="0"/>
          <w:bCs/>
          <w:sz w:val="24"/>
          <w:szCs w:val="24"/>
        </w:rPr>
        <w:fldChar w:fldCharType="end"/>
      </w:r>
      <w:r w:rsidRPr="00C86111">
        <w:rPr>
          <w:rFonts w:cstheme="minorHAnsi"/>
          <w:bCs/>
          <w:sz w:val="24"/>
          <w:szCs w:val="24"/>
        </w:rPr>
        <w:t>.</w:t>
      </w:r>
      <w:r w:rsidRPr="00C86111">
        <w:rPr>
          <w:rFonts w:cstheme="minorHAnsi"/>
          <w:sz w:val="24"/>
          <w:szCs w:val="24"/>
        </w:rPr>
        <w:t xml:space="preserve"> </w:t>
      </w:r>
      <w:r w:rsidRPr="00C86111">
        <w:rPr>
          <w:rFonts w:cstheme="minorHAnsi"/>
          <w:b w:val="0"/>
          <w:bCs/>
          <w:sz w:val="24"/>
          <w:szCs w:val="24"/>
        </w:rPr>
        <w:t>Količine uvezenih adhezivnih PUR pjena za period 2017-2023 i procenjene količine SCCP i MCCP</w:t>
      </w:r>
      <w:bookmarkEnd w:id="407"/>
    </w:p>
    <w:tbl>
      <w:tblPr>
        <w:tblStyle w:val="GridTable5Dark-Accent6"/>
        <w:tblW w:w="9016" w:type="dxa"/>
        <w:tblLook w:val="04A0" w:firstRow="1" w:lastRow="0" w:firstColumn="1" w:lastColumn="0" w:noHBand="0" w:noVBand="1"/>
      </w:tblPr>
      <w:tblGrid>
        <w:gridCol w:w="992"/>
        <w:gridCol w:w="925"/>
        <w:gridCol w:w="1244"/>
        <w:gridCol w:w="1606"/>
        <w:gridCol w:w="1349"/>
        <w:gridCol w:w="1597"/>
        <w:gridCol w:w="1303"/>
      </w:tblGrid>
      <w:tr w:rsidR="00201FE9" w:rsidRPr="00C86111" w14:paraId="18085792"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 w:type="dxa"/>
          </w:tcPr>
          <w:p w14:paraId="1D4896DD" w14:textId="77777777" w:rsidR="00201FE9" w:rsidRPr="00C86111" w:rsidRDefault="00201FE9" w:rsidP="00BC765B">
            <w:pPr>
              <w:spacing w:line="276" w:lineRule="auto"/>
              <w:jc w:val="center"/>
              <w:rPr>
                <w:rFonts w:asciiTheme="minorHAnsi" w:eastAsia="Times New Roman"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HS kod</w:t>
            </w:r>
          </w:p>
        </w:tc>
        <w:tc>
          <w:tcPr>
            <w:tcW w:w="890" w:type="dxa"/>
            <w:hideMark/>
          </w:tcPr>
          <w:p w14:paraId="04D063EC"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Godina</w:t>
            </w:r>
          </w:p>
        </w:tc>
        <w:tc>
          <w:tcPr>
            <w:tcW w:w="1197" w:type="dxa"/>
            <w:hideMark/>
          </w:tcPr>
          <w:p w14:paraId="4995FAB9"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Calibri" w:hAnsiTheme="minorHAnsi" w:cstheme="minorHAnsi"/>
                <w:color w:val="auto"/>
                <w:sz w:val="20"/>
                <w:szCs w:val="20"/>
                <w:lang w:val="sr-Latn-ME"/>
              </w:rPr>
              <w:t>Količina (kg)</w:t>
            </w:r>
          </w:p>
        </w:tc>
        <w:tc>
          <w:tcPr>
            <w:tcW w:w="1545" w:type="dxa"/>
          </w:tcPr>
          <w:p w14:paraId="19C0689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057868F5"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SCCPs (mg/g)*</w:t>
            </w:r>
          </w:p>
        </w:tc>
        <w:tc>
          <w:tcPr>
            <w:tcW w:w="1298" w:type="dxa"/>
          </w:tcPr>
          <w:p w14:paraId="775F3027"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SCCPs (kg) </w:t>
            </w:r>
          </w:p>
        </w:tc>
        <w:tc>
          <w:tcPr>
            <w:tcW w:w="1537" w:type="dxa"/>
          </w:tcPr>
          <w:p w14:paraId="19C74E5E"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Faktor koncentracije za</w:t>
            </w:r>
          </w:p>
          <w:p w14:paraId="0E162BE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MCCPs (mg/g)*</w:t>
            </w:r>
          </w:p>
        </w:tc>
        <w:tc>
          <w:tcPr>
            <w:tcW w:w="1254" w:type="dxa"/>
          </w:tcPr>
          <w:p w14:paraId="039F7997"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 xml:space="preserve">Količina MCCPs (kg) </w:t>
            </w:r>
          </w:p>
        </w:tc>
      </w:tr>
      <w:tr w:rsidR="00201FE9" w:rsidRPr="00C86111" w14:paraId="67A0289E"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 w:type="dxa"/>
            <w:vMerge w:val="restart"/>
          </w:tcPr>
          <w:p w14:paraId="13143AFB"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bookmarkStart w:id="408" w:name="_Hlk208477059"/>
            <w:r w:rsidRPr="00C86111">
              <w:rPr>
                <w:rFonts w:asciiTheme="minorHAnsi" w:hAnsiTheme="minorHAnsi" w:cstheme="minorHAnsi"/>
                <w:color w:val="auto"/>
                <w:sz w:val="20"/>
                <w:szCs w:val="20"/>
                <w:lang w:val="sr-Latn-ME"/>
              </w:rPr>
              <w:t>PUR foam adhesive</w:t>
            </w:r>
            <w:bookmarkEnd w:id="408"/>
          </w:p>
        </w:tc>
        <w:tc>
          <w:tcPr>
            <w:tcW w:w="890" w:type="dxa"/>
          </w:tcPr>
          <w:p w14:paraId="0A2778D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2017</w:t>
            </w:r>
          </w:p>
        </w:tc>
        <w:tc>
          <w:tcPr>
            <w:tcW w:w="1197" w:type="dxa"/>
          </w:tcPr>
          <w:p w14:paraId="275398C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248</w:t>
            </w:r>
          </w:p>
        </w:tc>
        <w:tc>
          <w:tcPr>
            <w:tcW w:w="1545" w:type="dxa"/>
          </w:tcPr>
          <w:p w14:paraId="4D19383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82.4</w:t>
            </w:r>
          </w:p>
        </w:tc>
        <w:tc>
          <w:tcPr>
            <w:tcW w:w="1298" w:type="dxa"/>
          </w:tcPr>
          <w:p w14:paraId="5B8DECE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w:t>
            </w:r>
          </w:p>
        </w:tc>
        <w:tc>
          <w:tcPr>
            <w:tcW w:w="1537" w:type="dxa"/>
          </w:tcPr>
          <w:p w14:paraId="6EC6DEE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71.4</w:t>
            </w:r>
          </w:p>
        </w:tc>
        <w:tc>
          <w:tcPr>
            <w:tcW w:w="1254" w:type="dxa"/>
          </w:tcPr>
          <w:p w14:paraId="5E61C3C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18</w:t>
            </w:r>
          </w:p>
        </w:tc>
      </w:tr>
      <w:tr w:rsidR="00201FE9" w:rsidRPr="00C86111" w14:paraId="47179108" w14:textId="77777777" w:rsidTr="00BC765B">
        <w:tc>
          <w:tcPr>
            <w:cnfStyle w:val="001000000000" w:firstRow="0" w:lastRow="0" w:firstColumn="1" w:lastColumn="0" w:oddVBand="0" w:evenVBand="0" w:oddHBand="0" w:evenHBand="0" w:firstRowFirstColumn="0" w:firstRowLastColumn="0" w:lastRowFirstColumn="0" w:lastRowLastColumn="0"/>
            <w:tcW w:w="943" w:type="dxa"/>
            <w:vMerge/>
          </w:tcPr>
          <w:p w14:paraId="06431D41"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57C5F0A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2018</w:t>
            </w:r>
          </w:p>
        </w:tc>
        <w:tc>
          <w:tcPr>
            <w:tcW w:w="1197" w:type="dxa"/>
          </w:tcPr>
          <w:p w14:paraId="5FADE65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372</w:t>
            </w:r>
          </w:p>
        </w:tc>
        <w:tc>
          <w:tcPr>
            <w:tcW w:w="1545" w:type="dxa"/>
          </w:tcPr>
          <w:p w14:paraId="2D69C5B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82.4</w:t>
            </w:r>
          </w:p>
        </w:tc>
        <w:tc>
          <w:tcPr>
            <w:tcW w:w="1298" w:type="dxa"/>
          </w:tcPr>
          <w:p w14:paraId="4DD29C8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31</w:t>
            </w:r>
          </w:p>
        </w:tc>
        <w:tc>
          <w:tcPr>
            <w:tcW w:w="1537" w:type="dxa"/>
          </w:tcPr>
          <w:p w14:paraId="23CABBF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71.4</w:t>
            </w:r>
          </w:p>
        </w:tc>
        <w:tc>
          <w:tcPr>
            <w:tcW w:w="1254" w:type="dxa"/>
          </w:tcPr>
          <w:p w14:paraId="339A721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27</w:t>
            </w:r>
          </w:p>
        </w:tc>
      </w:tr>
      <w:tr w:rsidR="00201FE9" w:rsidRPr="00C86111" w14:paraId="0DBFFB19"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 w:type="dxa"/>
            <w:vMerge/>
          </w:tcPr>
          <w:p w14:paraId="6E23ADFB"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69D65A5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2019</w:t>
            </w:r>
          </w:p>
        </w:tc>
        <w:tc>
          <w:tcPr>
            <w:tcW w:w="1197" w:type="dxa"/>
          </w:tcPr>
          <w:p w14:paraId="5F55761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 /</w:t>
            </w:r>
          </w:p>
        </w:tc>
        <w:tc>
          <w:tcPr>
            <w:tcW w:w="1545" w:type="dxa"/>
          </w:tcPr>
          <w:p w14:paraId="6C9FC45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82.4</w:t>
            </w:r>
          </w:p>
        </w:tc>
        <w:tc>
          <w:tcPr>
            <w:tcW w:w="1298" w:type="dxa"/>
          </w:tcPr>
          <w:p w14:paraId="483D219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w:t>
            </w:r>
          </w:p>
        </w:tc>
        <w:tc>
          <w:tcPr>
            <w:tcW w:w="1537" w:type="dxa"/>
          </w:tcPr>
          <w:p w14:paraId="6C3E76C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71.4</w:t>
            </w:r>
          </w:p>
        </w:tc>
        <w:tc>
          <w:tcPr>
            <w:tcW w:w="1254" w:type="dxa"/>
          </w:tcPr>
          <w:p w14:paraId="33603AE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w:t>
            </w:r>
          </w:p>
        </w:tc>
      </w:tr>
      <w:tr w:rsidR="00201FE9" w:rsidRPr="00C86111" w14:paraId="37E1F85E" w14:textId="77777777" w:rsidTr="00BC765B">
        <w:tc>
          <w:tcPr>
            <w:cnfStyle w:val="001000000000" w:firstRow="0" w:lastRow="0" w:firstColumn="1" w:lastColumn="0" w:oddVBand="0" w:evenVBand="0" w:oddHBand="0" w:evenHBand="0" w:firstRowFirstColumn="0" w:firstRowLastColumn="0" w:lastRowFirstColumn="0" w:lastRowLastColumn="0"/>
            <w:tcW w:w="943" w:type="dxa"/>
            <w:vMerge/>
          </w:tcPr>
          <w:p w14:paraId="19109F63"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2DBF605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2020</w:t>
            </w:r>
          </w:p>
        </w:tc>
        <w:tc>
          <w:tcPr>
            <w:tcW w:w="1197" w:type="dxa"/>
          </w:tcPr>
          <w:p w14:paraId="21E0FA5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2.2</w:t>
            </w:r>
          </w:p>
        </w:tc>
        <w:tc>
          <w:tcPr>
            <w:tcW w:w="1545" w:type="dxa"/>
          </w:tcPr>
          <w:p w14:paraId="4EF0058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82.4</w:t>
            </w:r>
          </w:p>
        </w:tc>
        <w:tc>
          <w:tcPr>
            <w:tcW w:w="1298" w:type="dxa"/>
          </w:tcPr>
          <w:p w14:paraId="691057B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0.18</w:t>
            </w:r>
          </w:p>
        </w:tc>
        <w:tc>
          <w:tcPr>
            <w:tcW w:w="1537" w:type="dxa"/>
          </w:tcPr>
          <w:p w14:paraId="3302F61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71.4</w:t>
            </w:r>
          </w:p>
        </w:tc>
        <w:tc>
          <w:tcPr>
            <w:tcW w:w="1254" w:type="dxa"/>
          </w:tcPr>
          <w:p w14:paraId="13A83AB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0.16</w:t>
            </w:r>
          </w:p>
        </w:tc>
      </w:tr>
      <w:tr w:rsidR="00201FE9" w:rsidRPr="00C86111" w14:paraId="6753E2E1"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 w:type="dxa"/>
            <w:vMerge/>
          </w:tcPr>
          <w:p w14:paraId="7301FF38"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2EA8F5B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2021</w:t>
            </w:r>
          </w:p>
        </w:tc>
        <w:tc>
          <w:tcPr>
            <w:tcW w:w="1197" w:type="dxa"/>
          </w:tcPr>
          <w:p w14:paraId="22E7366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 /</w:t>
            </w:r>
          </w:p>
        </w:tc>
        <w:tc>
          <w:tcPr>
            <w:tcW w:w="1545" w:type="dxa"/>
          </w:tcPr>
          <w:p w14:paraId="1B1E43B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82.4</w:t>
            </w:r>
          </w:p>
        </w:tc>
        <w:tc>
          <w:tcPr>
            <w:tcW w:w="1298" w:type="dxa"/>
          </w:tcPr>
          <w:p w14:paraId="73179AF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w:t>
            </w:r>
          </w:p>
        </w:tc>
        <w:tc>
          <w:tcPr>
            <w:tcW w:w="1537" w:type="dxa"/>
          </w:tcPr>
          <w:p w14:paraId="6BA0E26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71.4</w:t>
            </w:r>
          </w:p>
        </w:tc>
        <w:tc>
          <w:tcPr>
            <w:tcW w:w="1254" w:type="dxa"/>
          </w:tcPr>
          <w:p w14:paraId="1619656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w:t>
            </w:r>
          </w:p>
        </w:tc>
      </w:tr>
      <w:tr w:rsidR="00201FE9" w:rsidRPr="00C86111" w14:paraId="12BCC703" w14:textId="77777777" w:rsidTr="00BC765B">
        <w:tc>
          <w:tcPr>
            <w:cnfStyle w:val="001000000000" w:firstRow="0" w:lastRow="0" w:firstColumn="1" w:lastColumn="0" w:oddVBand="0" w:evenVBand="0" w:oddHBand="0" w:evenHBand="0" w:firstRowFirstColumn="0" w:firstRowLastColumn="0" w:lastRowFirstColumn="0" w:lastRowLastColumn="0"/>
            <w:tcW w:w="943" w:type="dxa"/>
            <w:vMerge/>
          </w:tcPr>
          <w:p w14:paraId="1833B000"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11F3B6C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2022</w:t>
            </w:r>
          </w:p>
        </w:tc>
        <w:tc>
          <w:tcPr>
            <w:tcW w:w="1197" w:type="dxa"/>
          </w:tcPr>
          <w:p w14:paraId="4DB8EFA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 /</w:t>
            </w:r>
          </w:p>
        </w:tc>
        <w:tc>
          <w:tcPr>
            <w:tcW w:w="1545" w:type="dxa"/>
          </w:tcPr>
          <w:p w14:paraId="4ACDB174"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82.4</w:t>
            </w:r>
          </w:p>
        </w:tc>
        <w:tc>
          <w:tcPr>
            <w:tcW w:w="1298" w:type="dxa"/>
          </w:tcPr>
          <w:p w14:paraId="501D914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w:t>
            </w:r>
          </w:p>
        </w:tc>
        <w:tc>
          <w:tcPr>
            <w:tcW w:w="1537" w:type="dxa"/>
          </w:tcPr>
          <w:p w14:paraId="195BE88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71.4</w:t>
            </w:r>
          </w:p>
        </w:tc>
        <w:tc>
          <w:tcPr>
            <w:tcW w:w="1254" w:type="dxa"/>
          </w:tcPr>
          <w:p w14:paraId="75F352C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w:t>
            </w:r>
          </w:p>
        </w:tc>
      </w:tr>
      <w:tr w:rsidR="00201FE9" w:rsidRPr="00C86111" w14:paraId="56BBED27"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 w:type="dxa"/>
            <w:vMerge/>
          </w:tcPr>
          <w:p w14:paraId="6F2B82A6" w14:textId="77777777" w:rsidR="00201FE9" w:rsidRPr="00C86111" w:rsidRDefault="00201FE9" w:rsidP="00BC765B">
            <w:pPr>
              <w:spacing w:line="276" w:lineRule="auto"/>
              <w:jc w:val="both"/>
              <w:rPr>
                <w:rFonts w:asciiTheme="minorHAnsi" w:eastAsia="Times New Roman" w:hAnsiTheme="minorHAnsi" w:cstheme="minorHAnsi"/>
                <w:color w:val="auto"/>
                <w:sz w:val="20"/>
                <w:szCs w:val="20"/>
                <w:lang w:val="sr-Latn-ME"/>
              </w:rPr>
            </w:pPr>
          </w:p>
        </w:tc>
        <w:tc>
          <w:tcPr>
            <w:tcW w:w="890" w:type="dxa"/>
          </w:tcPr>
          <w:p w14:paraId="733FFBD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hAnsiTheme="minorHAnsi" w:cstheme="minorHAnsi"/>
                <w:color w:val="auto"/>
                <w:sz w:val="20"/>
                <w:szCs w:val="20"/>
                <w:lang w:val="sr-Latn-ME"/>
              </w:rPr>
              <w:t>2023</w:t>
            </w:r>
          </w:p>
        </w:tc>
        <w:tc>
          <w:tcPr>
            <w:tcW w:w="1197" w:type="dxa"/>
          </w:tcPr>
          <w:p w14:paraId="78AE13F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3.0</w:t>
            </w:r>
          </w:p>
        </w:tc>
        <w:tc>
          <w:tcPr>
            <w:tcW w:w="1545" w:type="dxa"/>
          </w:tcPr>
          <w:p w14:paraId="493FE97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82.4</w:t>
            </w:r>
          </w:p>
        </w:tc>
        <w:tc>
          <w:tcPr>
            <w:tcW w:w="1298" w:type="dxa"/>
          </w:tcPr>
          <w:p w14:paraId="33ECE0F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0.25</w:t>
            </w:r>
          </w:p>
        </w:tc>
        <w:tc>
          <w:tcPr>
            <w:tcW w:w="1537" w:type="dxa"/>
          </w:tcPr>
          <w:p w14:paraId="217E151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71.4</w:t>
            </w:r>
          </w:p>
        </w:tc>
        <w:tc>
          <w:tcPr>
            <w:tcW w:w="1254" w:type="dxa"/>
          </w:tcPr>
          <w:p w14:paraId="7CFB7B7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lang w:val="sr-Latn-ME"/>
              </w:rPr>
            </w:pPr>
            <w:r w:rsidRPr="00C86111">
              <w:rPr>
                <w:rFonts w:asciiTheme="minorHAnsi" w:hAnsiTheme="minorHAnsi" w:cstheme="minorHAnsi"/>
                <w:color w:val="auto"/>
                <w:sz w:val="20"/>
                <w:szCs w:val="20"/>
                <w:lang w:val="sr-Latn-ME"/>
              </w:rPr>
              <w:t>0.21</w:t>
            </w:r>
          </w:p>
        </w:tc>
      </w:tr>
    </w:tbl>
    <w:p w14:paraId="0285CD1C" w14:textId="77777777" w:rsidR="00201FE9" w:rsidRPr="00C86111" w:rsidRDefault="00201FE9" w:rsidP="00201FE9">
      <w:pPr>
        <w:spacing w:line="276" w:lineRule="auto"/>
        <w:jc w:val="both"/>
        <w:rPr>
          <w:rFonts w:asciiTheme="minorHAnsi" w:hAnsiTheme="minorHAnsi" w:cstheme="minorHAnsi"/>
          <w:bCs/>
          <w:color w:val="auto"/>
          <w:szCs w:val="24"/>
          <w:lang w:val="sr-Latn-ME"/>
        </w:rPr>
      </w:pPr>
      <w:r w:rsidRPr="00C86111">
        <w:rPr>
          <w:rFonts w:asciiTheme="minorHAnsi" w:hAnsiTheme="minorHAnsi" w:cstheme="minorHAnsi"/>
          <w:bCs/>
          <w:color w:val="auto"/>
          <w:szCs w:val="24"/>
          <w:lang w:val="sr-Latn-ME"/>
        </w:rPr>
        <w:t>*Chen et al. (2021)</w:t>
      </w:r>
    </w:p>
    <w:p w14:paraId="621A59C7" w14:textId="77777777" w:rsidR="00201FE9" w:rsidRPr="00C86111" w:rsidRDefault="00201FE9" w:rsidP="00201FE9">
      <w:pPr>
        <w:spacing w:line="276" w:lineRule="auto"/>
        <w:rPr>
          <w:rFonts w:asciiTheme="minorHAnsi" w:hAnsiTheme="minorHAnsi" w:cstheme="minorHAnsi"/>
          <w:color w:val="auto"/>
          <w:szCs w:val="24"/>
          <w:lang w:val="sr-Latn-ME"/>
        </w:rPr>
      </w:pPr>
    </w:p>
    <w:p w14:paraId="27F30063" w14:textId="77777777" w:rsidR="00201FE9" w:rsidRPr="00C86111" w:rsidRDefault="00201FE9" w:rsidP="00201FE9">
      <w:pPr>
        <w:spacing w:line="276" w:lineRule="auto"/>
        <w:rPr>
          <w:rFonts w:asciiTheme="minorHAnsi" w:hAnsiTheme="minorHAnsi" w:cstheme="minorHAnsi"/>
          <w:color w:val="auto"/>
          <w:szCs w:val="24"/>
          <w:lang w:val="sr-Latn-ME"/>
        </w:rPr>
      </w:pPr>
    </w:p>
    <w:p w14:paraId="30629F52"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7201D375" wp14:editId="4B1A1721">
            <wp:extent cx="4762500" cy="1932709"/>
            <wp:effectExtent l="0" t="0" r="0" b="10795"/>
            <wp:docPr id="12" name="Chart 12">
              <a:extLst xmlns:a="http://schemas.openxmlformats.org/drawingml/2006/main">
                <a:ext uri="{FF2B5EF4-FFF2-40B4-BE49-F238E27FC236}">
                  <a16:creationId xmlns:a16="http://schemas.microsoft.com/office/drawing/2014/main" id="{164A27A7-69EB-E811-99E4-865391D0B0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5286DFF5" w14:textId="0833CD96" w:rsidR="00201FE9" w:rsidRPr="00C86111" w:rsidRDefault="00201FE9" w:rsidP="00201FE9">
      <w:pPr>
        <w:spacing w:line="276" w:lineRule="auto"/>
        <w:jc w:val="center"/>
        <w:rPr>
          <w:rFonts w:asciiTheme="minorHAnsi" w:hAnsiTheme="minorHAnsi" w:cstheme="minorHAnsi"/>
          <w:i/>
          <w:iCs/>
          <w:color w:val="auto"/>
          <w:szCs w:val="24"/>
          <w:lang w:val="sr-Latn-ME"/>
        </w:rPr>
      </w:pPr>
      <w:r w:rsidRPr="00C86111">
        <w:rPr>
          <w:rFonts w:asciiTheme="minorHAnsi" w:hAnsiTheme="minorHAnsi" w:cstheme="minorHAnsi"/>
          <w:b/>
          <w:bCs/>
          <w:i/>
          <w:iCs/>
          <w:color w:val="auto"/>
          <w:szCs w:val="24"/>
          <w:lang w:val="sr-Latn-ME"/>
        </w:rPr>
        <w:t xml:space="preserve">Grafik </w:t>
      </w:r>
      <w:r w:rsidR="00056E0C" w:rsidRPr="00C86111">
        <w:rPr>
          <w:rFonts w:asciiTheme="minorHAnsi" w:hAnsiTheme="minorHAnsi" w:cstheme="minorHAnsi"/>
          <w:b/>
          <w:bCs/>
          <w:i/>
          <w:iCs/>
          <w:color w:val="auto"/>
          <w:szCs w:val="24"/>
          <w:lang w:val="sr-Latn-ME"/>
        </w:rPr>
        <w:t>4</w:t>
      </w:r>
      <w:r w:rsidR="00547278">
        <w:rPr>
          <w:rFonts w:asciiTheme="minorHAnsi" w:hAnsiTheme="minorHAnsi" w:cstheme="minorHAnsi"/>
          <w:b/>
          <w:bCs/>
          <w:i/>
          <w:iCs/>
          <w:color w:val="auto"/>
          <w:szCs w:val="24"/>
          <w:lang w:val="sr-Latn-ME"/>
        </w:rPr>
        <w:t>8</w:t>
      </w:r>
      <w:r w:rsidRPr="00C86111">
        <w:rPr>
          <w:rFonts w:asciiTheme="minorHAnsi" w:hAnsiTheme="minorHAnsi" w:cstheme="minorHAnsi"/>
          <w:b/>
          <w:bCs/>
          <w:i/>
          <w:iCs/>
          <w:color w:val="auto"/>
          <w:szCs w:val="24"/>
          <w:lang w:val="sr-Latn-ME"/>
        </w:rPr>
        <w:t xml:space="preserve">. </w:t>
      </w:r>
      <w:r w:rsidRPr="00C86111">
        <w:rPr>
          <w:rFonts w:asciiTheme="minorHAnsi" w:hAnsiTheme="minorHAnsi" w:cstheme="minorHAnsi"/>
          <w:i/>
          <w:iCs/>
          <w:color w:val="auto"/>
          <w:szCs w:val="24"/>
          <w:lang w:val="sr-Latn-ME"/>
        </w:rPr>
        <w:t>Procijenjena količina SCCPS i MCCPS u adhezivnim PUR pjenama uvezenim tokom perioda 2017-2023.</w:t>
      </w:r>
    </w:p>
    <w:p w14:paraId="1B4AABAC"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1AA8AE04" w14:textId="4F8FE214" w:rsidR="00201FE9"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 xml:space="preserve">Grafik </w:t>
      </w:r>
      <w:r w:rsidR="00056E0C" w:rsidRPr="00C86111">
        <w:rPr>
          <w:rFonts w:asciiTheme="minorHAnsi" w:hAnsiTheme="minorHAnsi" w:cstheme="minorHAnsi"/>
          <w:color w:val="auto"/>
          <w:szCs w:val="24"/>
          <w:lang w:val="sr-Latn-ME"/>
        </w:rPr>
        <w:t>4</w:t>
      </w:r>
      <w:r w:rsidR="00547278">
        <w:rPr>
          <w:rFonts w:asciiTheme="minorHAnsi" w:hAnsiTheme="minorHAnsi" w:cstheme="minorHAnsi"/>
          <w:color w:val="auto"/>
          <w:szCs w:val="24"/>
          <w:lang w:val="sr-Latn-ME"/>
        </w:rPr>
        <w:t>8</w:t>
      </w:r>
      <w:r w:rsidR="00056E0C" w:rsidRPr="00C86111">
        <w:rPr>
          <w:rFonts w:asciiTheme="minorHAnsi" w:hAnsiTheme="minorHAnsi" w:cstheme="minorHAnsi"/>
          <w:color w:val="auto"/>
          <w:szCs w:val="24"/>
          <w:lang w:val="sr-Latn-ME"/>
        </w:rPr>
        <w:t>.</w:t>
      </w:r>
      <w:r w:rsidRPr="00C86111">
        <w:rPr>
          <w:rFonts w:asciiTheme="minorHAnsi" w:hAnsiTheme="minorHAnsi" w:cstheme="minorHAnsi"/>
          <w:color w:val="auto"/>
          <w:szCs w:val="24"/>
          <w:lang w:val="sr-Latn-ME"/>
        </w:rPr>
        <w:t xml:space="preserve"> prikazuje procijenjene količine SCCP i MCCP u uvezenim adhezivnim PUR pjenama iz Kine za period 2017–2023. Oba jedinjenja su prisutna u malim količinama, pri čemu se SCCP kreću od 20 kg u 2017. do 0,25 kg u 2023. godini, a MCCP od 18 kg do 0,21 kg. Podaci ukazuju na veoma nisku količinu uvoza i odgovarajući sadržaj hlorovanih parafina, pri čemu u nekim godinama nije zabilježen uvoz.</w:t>
      </w:r>
    </w:p>
    <w:p w14:paraId="6032F44F" w14:textId="77777777" w:rsidR="002E5AB7" w:rsidRPr="00C86111" w:rsidRDefault="002E5AB7" w:rsidP="00201FE9">
      <w:pPr>
        <w:spacing w:line="276" w:lineRule="auto"/>
        <w:jc w:val="both"/>
        <w:rPr>
          <w:rFonts w:asciiTheme="minorHAnsi" w:hAnsiTheme="minorHAnsi" w:cstheme="minorHAnsi"/>
          <w:color w:val="auto"/>
          <w:szCs w:val="24"/>
          <w:lang w:val="sr-Latn-ME"/>
        </w:rPr>
      </w:pPr>
    </w:p>
    <w:p w14:paraId="35F67F4D" w14:textId="77777777" w:rsidR="00201FE9" w:rsidRPr="00C86111" w:rsidRDefault="00201FE9" w:rsidP="00EA6904">
      <w:pPr>
        <w:pStyle w:val="Heading3"/>
      </w:pPr>
      <w:bookmarkStart w:id="409" w:name="_Toc210744977"/>
      <w:bookmarkStart w:id="410" w:name="_Toc220541966"/>
      <w:r w:rsidRPr="00C86111">
        <w:rPr>
          <w:rStyle w:val="Strong"/>
          <w:bCs/>
        </w:rPr>
        <w:lastRenderedPageBreak/>
        <w:t>Zaključci – SCCP/MCCP u proizvodima na tržištu</w:t>
      </w:r>
      <w:bookmarkEnd w:id="409"/>
      <w:bookmarkEnd w:id="410"/>
    </w:p>
    <w:p w14:paraId="4C7E7162" w14:textId="77777777" w:rsidR="00201FE9" w:rsidRPr="00C86111" w:rsidRDefault="00201FE9" w:rsidP="00201FE9">
      <w:pPr>
        <w:spacing w:line="276" w:lineRule="auto"/>
        <w:jc w:val="center"/>
        <w:rPr>
          <w:rFonts w:asciiTheme="minorHAnsi" w:hAnsiTheme="minorHAnsi" w:cstheme="minorHAnsi"/>
          <w:color w:val="auto"/>
          <w:szCs w:val="24"/>
          <w:lang w:val="sr-Latn-ME"/>
        </w:rPr>
      </w:pPr>
    </w:p>
    <w:p w14:paraId="29D09039" w14:textId="77777777" w:rsidR="00201FE9" w:rsidRPr="00C86111" w:rsidRDefault="00201FE9" w:rsidP="00201FE9">
      <w:pPr>
        <w:pStyle w:val="NormalWeb"/>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Na osnovu analize podataka o uvozu i procjena sadržaja SCCP i MCCP u različitim vrstama proizvoda, mogu se izvesti sljedeći zaključci:</w:t>
      </w:r>
    </w:p>
    <w:p w14:paraId="5C26C3AC" w14:textId="77777777" w:rsidR="00201FE9" w:rsidRPr="00C86111" w:rsidRDefault="00201FE9" w:rsidP="00EA6904">
      <w:pPr>
        <w:pStyle w:val="Heading4"/>
        <w:rPr>
          <w:rFonts w:eastAsia="Times New Roman"/>
          <w:b/>
          <w:lang w:val="sr-Latn-ME"/>
        </w:rPr>
      </w:pPr>
      <w:r w:rsidRPr="00C86111">
        <w:rPr>
          <w:rStyle w:val="Strong"/>
          <w:b w:val="0"/>
          <w:lang w:val="sr-Latn-ME"/>
        </w:rPr>
        <w:t>Proizvodi od gume</w:t>
      </w:r>
    </w:p>
    <w:p w14:paraId="562D72FA" w14:textId="77777777" w:rsidR="00201FE9" w:rsidRPr="00C86111" w:rsidRDefault="00201FE9" w:rsidP="00201FE9">
      <w:pPr>
        <w:pStyle w:val="NormalWeb"/>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Uvoz proizvoda od gume pod HS kodovima 4008–4016 predstavlja jedan od najvećih izvora SCCP i MCCP u Crnoj Gori:</w:t>
      </w:r>
    </w:p>
    <w:p w14:paraId="28A0C454" w14:textId="77777777" w:rsidR="00201FE9" w:rsidRPr="00C86111" w:rsidRDefault="00201FE9" w:rsidP="00833A40">
      <w:pPr>
        <w:pStyle w:val="NormalWeb"/>
        <w:numPr>
          <w:ilvl w:val="0"/>
          <w:numId w:val="115"/>
        </w:numPr>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HS 4016 (Gumeni proizvodi, osim tvrde gume) ima ubjedljivo najznačajniji doprinos, sa prilivom MCCP koji dostiže 9–37 tona godišnje i prilivom SCCP do 857 kg/godišnje.</w:t>
      </w:r>
    </w:p>
    <w:p w14:paraId="3A988662" w14:textId="77777777" w:rsidR="00201FE9" w:rsidRPr="00C86111" w:rsidRDefault="00201FE9" w:rsidP="00833A40">
      <w:pPr>
        <w:pStyle w:val="NormalWeb"/>
        <w:numPr>
          <w:ilvl w:val="0"/>
          <w:numId w:val="115"/>
        </w:numPr>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HS 4015 (Gumena odjeća, rukavice, dodaci) je još jedan veliki izvor, sa SCCP u rasponu od 154–617 kg/godišnje i MCCP u rasponu od 826–3.300 kg/godišnje.</w:t>
      </w:r>
    </w:p>
    <w:p w14:paraId="08683C77" w14:textId="77777777" w:rsidR="00201FE9" w:rsidRPr="00C86111" w:rsidRDefault="00201FE9" w:rsidP="00833A40">
      <w:pPr>
        <w:pStyle w:val="NormalWeb"/>
        <w:numPr>
          <w:ilvl w:val="0"/>
          <w:numId w:val="115"/>
        </w:numPr>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HS 4008 (Ploče, limovi, trake) pokazuje brz rast uvoza, sa prilivom SCCP koji je porastao sa 3,4 kg (2017) na skoro 90 kg (2023), a MCCP-a sa 13 kg na 335 kg u istom periodu.</w:t>
      </w:r>
    </w:p>
    <w:p w14:paraId="21E4530F" w14:textId="77777777" w:rsidR="00201FE9" w:rsidRPr="00C86111" w:rsidRDefault="00201FE9" w:rsidP="00833A40">
      <w:pPr>
        <w:pStyle w:val="NormalWeb"/>
        <w:numPr>
          <w:ilvl w:val="0"/>
          <w:numId w:val="115"/>
        </w:numPr>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HS 4009 (Cijevi, crijeva) i HS 4010 (Transportne trake) doprinose samo malom prilivu (ispod 3 kg SCCP i 2 kg MCCP godišnje), zbog nižih faktora koncentracije, uprkos značajnim količinama uvoza.</w:t>
      </w:r>
    </w:p>
    <w:p w14:paraId="4F533845" w14:textId="77777777" w:rsidR="00201FE9" w:rsidRPr="00C86111" w:rsidRDefault="00201FE9" w:rsidP="00201FE9">
      <w:pPr>
        <w:pStyle w:val="NormalWeb"/>
        <w:spacing w:before="0" w:beforeAutospacing="0" w:after="0" w:afterAutospacing="0" w:line="276" w:lineRule="auto"/>
        <w:jc w:val="both"/>
        <w:rPr>
          <w:rFonts w:asciiTheme="minorHAnsi" w:hAnsiTheme="minorHAnsi" w:cstheme="minorHAnsi"/>
        </w:rPr>
      </w:pPr>
      <w:r w:rsidRPr="00C86111">
        <w:rPr>
          <w:rFonts w:asciiTheme="minorHAnsi" w:hAnsiTheme="minorHAnsi" w:cstheme="minorHAnsi"/>
        </w:rPr>
        <w:t>Sveukupno, proizvodi od gume predstavljaju dominantan izvor MCCP u Crnoj Gori, posebno u kategorijama sa raznovrsnom potrošačkom i industrijskom upotrebom, što ih čini ključnim za izvještavanje prema Stokholmskoj konvenciji.</w:t>
      </w:r>
    </w:p>
    <w:p w14:paraId="667066AC" w14:textId="77777777" w:rsidR="00201FE9" w:rsidRPr="00C86111" w:rsidRDefault="00201FE9" w:rsidP="00EA6904">
      <w:pPr>
        <w:pStyle w:val="Heading4"/>
        <w:rPr>
          <w:b/>
          <w:lang w:val="sr-Latn-ME"/>
        </w:rPr>
      </w:pPr>
      <w:r w:rsidRPr="00C86111">
        <w:rPr>
          <w:rStyle w:val="Strong"/>
          <w:b w:val="0"/>
          <w:lang w:val="sr-Latn-ME"/>
        </w:rPr>
        <w:t>PVC proizvodi</w:t>
      </w:r>
    </w:p>
    <w:p w14:paraId="3B2F8CA1" w14:textId="77777777" w:rsidR="00201FE9" w:rsidRPr="00C86111" w:rsidRDefault="00201FE9" w:rsidP="00201FE9">
      <w:pPr>
        <w:spacing w:line="276" w:lineRule="auto"/>
        <w:ind w:firstLine="720"/>
        <w:jc w:val="both"/>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Godišnji uvoz PVC proizvoda pokazuje promjenljive, ali značajne količine, sa određenim kategorijama kao što su plastificirane folije, listovi i materijali za podove (HS 3920431000, HS 3920439000, HS 3920491000, HS 3920499000, HS 3918101000).</w:t>
      </w:r>
    </w:p>
    <w:p w14:paraId="2A32DA87" w14:textId="77777777" w:rsidR="00201FE9" w:rsidRPr="00C86111" w:rsidRDefault="00201FE9" w:rsidP="00201FE9">
      <w:pPr>
        <w:spacing w:line="276" w:lineRule="auto"/>
        <w:ind w:firstLine="720"/>
        <w:jc w:val="both"/>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Procijenjeni sadržaj SCCP u ovim proizvodima kreće se od nekoliko kilograma do nekoliko tona godišnje, posebno u plastificiranim PVC listovima i folijama gdje su faktori koncentracije visoki.</w:t>
      </w:r>
    </w:p>
    <w:p w14:paraId="7BF62A68" w14:textId="77777777" w:rsidR="00201FE9" w:rsidRPr="00C86111" w:rsidRDefault="00201FE9" w:rsidP="00201FE9">
      <w:pPr>
        <w:spacing w:line="276" w:lineRule="auto"/>
        <w:ind w:firstLine="720"/>
        <w:jc w:val="both"/>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MCCP su takođe bili prisutni u značajnim količinama, sa godišnjim procjenama koje dosežu stotine kilograma do preko jedne tone, u zavisnosti od HS podgrupe.</w:t>
      </w:r>
    </w:p>
    <w:p w14:paraId="2DC5CEEB" w14:textId="77777777" w:rsidR="00201FE9" w:rsidRPr="00C86111" w:rsidRDefault="00201FE9" w:rsidP="00201FE9">
      <w:pPr>
        <w:spacing w:line="276" w:lineRule="auto"/>
        <w:ind w:firstLine="720"/>
        <w:jc w:val="both"/>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Ovi rezultati ukazuju na to da je PVC značajan i konstantan izvor SCCP i MCCP na tržištu, sa implikacijama kako na uvezenu robu, tako i na eventualne tokove otpada (npr. podne obloge, zidne obloge i ambalažu).</w:t>
      </w:r>
    </w:p>
    <w:p w14:paraId="4861E0B4" w14:textId="77777777" w:rsidR="00201FE9" w:rsidRPr="00C86111" w:rsidRDefault="00201FE9" w:rsidP="00EA6904">
      <w:pPr>
        <w:pStyle w:val="Heading4"/>
        <w:rPr>
          <w:rStyle w:val="Strong"/>
          <w:b w:val="0"/>
          <w:i w:val="0"/>
          <w:iCs w:val="0"/>
          <w:lang w:val="sr-Latn-ME"/>
        </w:rPr>
      </w:pPr>
      <w:r w:rsidRPr="00C86111">
        <w:rPr>
          <w:rStyle w:val="Strong"/>
          <w:b w:val="0"/>
          <w:lang w:val="sr-Latn-ME"/>
        </w:rPr>
        <w:t>Adhezivne PUR pjene</w:t>
      </w:r>
    </w:p>
    <w:p w14:paraId="1AD2DC31" w14:textId="77777777" w:rsidR="00201FE9" w:rsidRPr="00C86111" w:rsidRDefault="00201FE9" w:rsidP="00201FE9">
      <w:pPr>
        <w:pStyle w:val="NormalWeb"/>
        <w:spacing w:before="0" w:beforeAutospacing="0" w:after="0" w:afterAutospacing="0" w:line="276" w:lineRule="auto"/>
        <w:ind w:firstLine="720"/>
        <w:jc w:val="both"/>
        <w:rPr>
          <w:rFonts w:asciiTheme="minorHAnsi" w:hAnsiTheme="minorHAnsi" w:cstheme="minorHAnsi"/>
          <w:lang w:val="sr-Latn-ME"/>
        </w:rPr>
      </w:pPr>
      <w:r w:rsidRPr="00C86111">
        <w:rPr>
          <w:rFonts w:asciiTheme="minorHAnsi" w:hAnsiTheme="minorHAnsi" w:cstheme="minorHAnsi"/>
          <w:lang w:val="sr-Latn-ME"/>
        </w:rPr>
        <w:t xml:space="preserve">Uvoz adhezivnih poliuretanskih pjena (HS 350691, 350610, 350699) je relativno mali po količini, rijetko prelazi nekoliko desetina kilograma godišnje. Uprkos maloj količini, faktori visoke </w:t>
      </w:r>
      <w:r w:rsidRPr="00C86111">
        <w:rPr>
          <w:rFonts w:asciiTheme="minorHAnsi" w:hAnsiTheme="minorHAnsi" w:cstheme="minorHAnsi"/>
          <w:lang w:val="sr-Latn-ME"/>
        </w:rPr>
        <w:lastRenderedPageBreak/>
        <w:t>koncentracije mogu dovesti do nezanemarljivog priliva hlorovanih parafina. SCCP je procijenjen na 20–31 kg/godišnje u godinama sa većim uvozom (2017–2018), dok je MCCP dostigao 18–27 kg/godišnje u istom periodu. U kasnijim godinama (2020. i 2023.), uvoz je bio minimalan (&lt;5 kg), a procijenjeni priliv SCCP i MCCP pao je ispod 1 kg/godišnje. Ovo sugeriše da su adhezivne PUR pjene sekundarni, ali visokorizični izvor, jer čak i male količine mogu dovesti do mjerljivog unosa SCCP i MCCP na nacionalno tržište.</w:t>
      </w:r>
    </w:p>
    <w:p w14:paraId="4D8B92FA" w14:textId="77777777" w:rsidR="00201FE9" w:rsidRPr="00C86111" w:rsidRDefault="00201FE9" w:rsidP="00004F34">
      <w:pPr>
        <w:pStyle w:val="Heading1"/>
        <w:numPr>
          <w:ilvl w:val="1"/>
          <w:numId w:val="238"/>
        </w:numPr>
        <w:rPr>
          <w:rStyle w:val="Strong"/>
          <w:b/>
          <w:bCs w:val="0"/>
        </w:rPr>
      </w:pPr>
      <w:bookmarkStart w:id="411" w:name="_Toc210744978"/>
      <w:bookmarkStart w:id="412" w:name="_Toc220541967"/>
      <w:r w:rsidRPr="00C86111">
        <w:rPr>
          <w:rStyle w:val="Strong"/>
        </w:rPr>
        <w:t>Opšti zaključci</w:t>
      </w:r>
      <w:bookmarkEnd w:id="411"/>
      <w:bookmarkEnd w:id="412"/>
    </w:p>
    <w:p w14:paraId="7E926DB0" w14:textId="77777777" w:rsidR="00201FE9" w:rsidRPr="00C86111" w:rsidRDefault="00201FE9" w:rsidP="00201FE9">
      <w:pPr>
        <w:rPr>
          <w:rFonts w:asciiTheme="minorHAnsi" w:hAnsiTheme="minorHAnsi" w:cstheme="minorHAnsi"/>
          <w:color w:val="auto"/>
          <w:szCs w:val="24"/>
          <w:lang w:val="sr-Latn-ME"/>
        </w:rPr>
      </w:pPr>
    </w:p>
    <w:p w14:paraId="5286F637" w14:textId="77777777" w:rsidR="00201FE9" w:rsidRPr="00C86111" w:rsidRDefault="00201FE9" w:rsidP="00833A40">
      <w:pPr>
        <w:pStyle w:val="NormalWeb"/>
        <w:numPr>
          <w:ilvl w:val="0"/>
          <w:numId w:val="115"/>
        </w:numPr>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Inventar potvrđuje da SCCP i MCCP i dalje ulaze u Crnu Goru kroz uvoz robe široke potrošnje i industrijske robe, uprkos tome što su SCCP navedeni u Aneksu A Stokholmske konvencije.</w:t>
      </w:r>
    </w:p>
    <w:p w14:paraId="1EA090CC" w14:textId="77777777" w:rsidR="00201FE9" w:rsidRPr="00C86111" w:rsidRDefault="00201FE9" w:rsidP="00833A40">
      <w:pPr>
        <w:pStyle w:val="NormalWeb"/>
        <w:numPr>
          <w:ilvl w:val="0"/>
          <w:numId w:val="115"/>
        </w:numPr>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Gumeni proizvodi (HS 4016 i HS 4015) imaju najveći doprinos, pri čemu MCCP dominiraju u prilivu (do nekoliko desetina tona godišnje).</w:t>
      </w:r>
    </w:p>
    <w:p w14:paraId="10DF9C68" w14:textId="77777777" w:rsidR="00201FE9" w:rsidRPr="00C86111" w:rsidRDefault="00201FE9" w:rsidP="00833A40">
      <w:pPr>
        <w:pStyle w:val="NormalWeb"/>
        <w:numPr>
          <w:ilvl w:val="0"/>
          <w:numId w:val="115"/>
        </w:numPr>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PVC proizvodi predstavljaju stabilan i značajan izvor SCCP i MCCP.</w:t>
      </w:r>
    </w:p>
    <w:p w14:paraId="6D800165" w14:textId="77777777" w:rsidR="00201FE9" w:rsidRPr="00C86111" w:rsidRDefault="00201FE9" w:rsidP="00833A40">
      <w:pPr>
        <w:pStyle w:val="NormalWeb"/>
        <w:numPr>
          <w:ilvl w:val="0"/>
          <w:numId w:val="115"/>
        </w:numPr>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Adhezivne PUR pjene, iako se uvoze u malim količinama, pokazuju da su visoke koncentracije hlorovanih parafina i dalje prisutne u specijalizovanim proizvodima.</w:t>
      </w:r>
    </w:p>
    <w:p w14:paraId="62C261B2" w14:textId="77777777" w:rsidR="00201FE9" w:rsidRPr="00C86111" w:rsidRDefault="00201FE9" w:rsidP="00833A40">
      <w:pPr>
        <w:pStyle w:val="NormalWeb"/>
        <w:numPr>
          <w:ilvl w:val="0"/>
          <w:numId w:val="115"/>
        </w:numPr>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MCCP dominiraju u svim kategorijama, često premašuju SCCP za jedan do dva reda veličine, što ističe njihov rastući značaj za regulatorne okvire.</w:t>
      </w:r>
    </w:p>
    <w:p w14:paraId="44F956BD" w14:textId="77777777" w:rsidR="00201FE9" w:rsidRPr="00C86111" w:rsidRDefault="00201FE9" w:rsidP="00004F34">
      <w:pPr>
        <w:pStyle w:val="Heading1"/>
        <w:numPr>
          <w:ilvl w:val="1"/>
          <w:numId w:val="238"/>
        </w:numPr>
      </w:pPr>
      <w:bookmarkStart w:id="413" w:name="_Toc210744979"/>
      <w:bookmarkStart w:id="414" w:name="_Toc220541968"/>
      <w:r w:rsidRPr="00C86111">
        <w:t>Rezultati inventara SCCP u otpadnoj električnoj i elektronskoj opremi (W)EEE</w:t>
      </w:r>
      <w:bookmarkEnd w:id="413"/>
      <w:bookmarkEnd w:id="414"/>
    </w:p>
    <w:p w14:paraId="2C81615C" w14:textId="77777777" w:rsidR="00201FE9" w:rsidRPr="00C86111" w:rsidRDefault="00201FE9" w:rsidP="00201FE9">
      <w:pPr>
        <w:rPr>
          <w:rFonts w:asciiTheme="minorHAnsi" w:hAnsiTheme="minorHAnsi" w:cstheme="minorHAnsi"/>
          <w:color w:val="auto"/>
          <w:szCs w:val="24"/>
          <w:lang w:val="sr-Latn-ME"/>
        </w:rPr>
      </w:pPr>
    </w:p>
    <w:p w14:paraId="7A80D1F2" w14:textId="77777777" w:rsidR="00201FE9" w:rsidRPr="00C86111" w:rsidRDefault="00201FE9" w:rsidP="00201FE9">
      <w:pPr>
        <w:spacing w:line="276" w:lineRule="auto"/>
        <w:ind w:firstLine="720"/>
        <w:jc w:val="both"/>
        <w:rPr>
          <w:rFonts w:asciiTheme="minorHAnsi" w:eastAsia="Times New Roman" w:hAnsiTheme="minorHAnsi" w:cstheme="minorHAnsi"/>
          <w:color w:val="auto"/>
          <w:szCs w:val="24"/>
          <w:lang w:val="sr-Latn-ME" w:eastAsia="en-GB"/>
        </w:rPr>
      </w:pPr>
      <w:bookmarkStart w:id="415" w:name="_Hlk184585912"/>
      <w:r w:rsidRPr="00C86111">
        <w:rPr>
          <w:rFonts w:asciiTheme="minorHAnsi" w:eastAsia="Times New Roman" w:hAnsiTheme="minorHAnsi" w:cstheme="minorHAnsi"/>
          <w:color w:val="auto"/>
          <w:szCs w:val="24"/>
          <w:lang w:val="sr-Latn-ME" w:eastAsia="en-GB"/>
        </w:rPr>
        <w:t>Inventar hlorovanih parafina kratkog lanca (SCCP) u otpadnoj električnoj i elektronskoj opremi (WEEE) predstavlja važan korak u procjeni potencijalnih izvora ovih supstanci u nacionalnom kontekstu. Električna i elektronska oprema često sadrži plastične i gumene komponente, kao što su izolacija kablova, kućišta i fleksibilni polimerni djelovi, gdje su SCCP istorijski korišćeni kao usporivači gorenja i plastifikatori.</w:t>
      </w:r>
    </w:p>
    <w:p w14:paraId="3B0334B7" w14:textId="77777777" w:rsidR="00201FE9" w:rsidRPr="00C86111" w:rsidRDefault="00201FE9" w:rsidP="00201FE9">
      <w:pPr>
        <w:spacing w:line="276" w:lineRule="auto"/>
        <w:ind w:firstLine="720"/>
        <w:jc w:val="both"/>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Uključivanjem WEEE sektora u inventar, postaje moguće identifikovati proizvode koji mogu predstavljati izvor emisija SCCP tokom upotrebe, reciklaže ili odlaganja. Posebna pažnja se posvećuje uvezenoj opremi, jer ovi proizvodi mogu poticati iz regiona gde se SCCP i dalje proizvode i primjenjuju u velikim razmerama.</w:t>
      </w:r>
    </w:p>
    <w:p w14:paraId="050A1771" w14:textId="77777777" w:rsidR="00201FE9" w:rsidRPr="00C86111" w:rsidRDefault="00201FE9" w:rsidP="00201FE9">
      <w:pPr>
        <w:spacing w:line="276" w:lineRule="auto"/>
        <w:ind w:firstLine="720"/>
        <w:jc w:val="both"/>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Rezultati takvog inventara pružaju bitne informacije za procjenu rizika po ljudsko zdravlje i životnu sredinu, a istovremeno služe kao osnova za poboljšanje praksi upravljanja otpadom i obezbjeđivanje poštovanja obaveza prema Stokholmskoj konvenciji.</w:t>
      </w:r>
    </w:p>
    <w:p w14:paraId="6F31FE0C" w14:textId="77777777" w:rsidR="00201FE9" w:rsidRPr="00C86111" w:rsidRDefault="00201FE9" w:rsidP="00201FE9">
      <w:pPr>
        <w:spacing w:line="276" w:lineRule="auto"/>
        <w:ind w:firstLine="720"/>
        <w:jc w:val="both"/>
        <w:rPr>
          <w:rFonts w:asciiTheme="minorHAnsi" w:eastAsia="Times New Roman" w:hAnsiTheme="minorHAnsi" w:cstheme="minorHAnsi"/>
          <w:color w:val="auto"/>
          <w:szCs w:val="24"/>
          <w:lang w:val="sr-Latn-ME" w:eastAsia="en-GB"/>
        </w:rPr>
      </w:pPr>
      <w:r w:rsidRPr="00C86111">
        <w:rPr>
          <w:rFonts w:asciiTheme="minorHAnsi" w:eastAsia="Times New Roman" w:hAnsiTheme="minorHAnsi" w:cstheme="minorHAnsi"/>
          <w:color w:val="auto"/>
          <w:szCs w:val="24"/>
          <w:lang w:val="sr-Latn-ME" w:eastAsia="en-GB"/>
        </w:rPr>
        <w:t xml:space="preserve">Prvo praćenje različitih drobljenih plastičnih materijala iz WEEE pokazalo je nivoe SCCP između 1 mg/kg i 140 mg/kg (Norveška agencija za životnu sredinu 2021). Na osnovu postojećih </w:t>
      </w:r>
      <w:r w:rsidRPr="00C86111">
        <w:rPr>
          <w:rFonts w:asciiTheme="minorHAnsi" w:eastAsia="Times New Roman" w:hAnsiTheme="minorHAnsi" w:cstheme="minorHAnsi"/>
          <w:color w:val="auto"/>
          <w:szCs w:val="24"/>
          <w:lang w:val="sr-Latn-ME" w:eastAsia="en-GB"/>
        </w:rPr>
        <w:lastRenderedPageBreak/>
        <w:t>početnih podataka, predlaže se faktor uticaja od 25 mg/kg SCCP u WEEE plastici za izračunavanje sadržaja SCCP u inventaru</w:t>
      </w:r>
      <w:r w:rsidRPr="00C86111">
        <w:rPr>
          <w:rFonts w:asciiTheme="minorHAnsi" w:eastAsia="Times New Roman" w:hAnsiTheme="minorHAnsi" w:cstheme="minorHAnsi"/>
          <w:color w:val="002060"/>
          <w:szCs w:val="24"/>
          <w:lang w:val="sr-Latn-ME" w:eastAsia="en-GB"/>
        </w:rPr>
        <w:t>. (9)</w:t>
      </w:r>
    </w:p>
    <w:p w14:paraId="6BEC14CF" w14:textId="4CC8BE82" w:rsidR="00201FE9" w:rsidRPr="00C86111" w:rsidRDefault="00201FE9" w:rsidP="00201FE9">
      <w:pPr>
        <w:spacing w:line="276" w:lineRule="auto"/>
        <w:ind w:firstLine="720"/>
        <w:rPr>
          <w:rFonts w:asciiTheme="minorHAnsi" w:hAnsiTheme="minorHAnsi" w:cstheme="minorHAnsi"/>
          <w:b/>
          <w:bCs/>
          <w:i/>
          <w:iCs/>
          <w:color w:val="auto"/>
          <w:szCs w:val="24"/>
          <w:lang w:val="sr-Latn-ME"/>
        </w:rPr>
      </w:pPr>
      <w:r w:rsidRPr="00C86111">
        <w:rPr>
          <w:rFonts w:asciiTheme="minorHAnsi" w:eastAsia="Times New Roman" w:hAnsiTheme="minorHAnsi" w:cstheme="minorHAnsi"/>
          <w:color w:val="auto"/>
          <w:szCs w:val="24"/>
          <w:lang w:val="sr-Latn-ME" w:eastAsia="en-GB"/>
        </w:rPr>
        <w:t>Na osnovu prethodne odredbe i podataka o EE otpadu koje je dobio Zavod za statistiku Crne Gore - MONSTAT, u Tabeli 1</w:t>
      </w:r>
      <w:r w:rsidR="00056E0C" w:rsidRPr="00C86111">
        <w:rPr>
          <w:rFonts w:asciiTheme="minorHAnsi" w:eastAsia="Times New Roman" w:hAnsiTheme="minorHAnsi" w:cstheme="minorHAnsi"/>
          <w:color w:val="auto"/>
          <w:szCs w:val="24"/>
          <w:lang w:val="sr-Latn-ME" w:eastAsia="en-GB"/>
        </w:rPr>
        <w:t>14.</w:t>
      </w:r>
      <w:r w:rsidRPr="00C86111">
        <w:rPr>
          <w:rFonts w:asciiTheme="minorHAnsi" w:eastAsia="Times New Roman" w:hAnsiTheme="minorHAnsi" w:cstheme="minorHAnsi"/>
          <w:color w:val="auto"/>
          <w:szCs w:val="24"/>
          <w:lang w:val="sr-Latn-ME" w:eastAsia="en-GB"/>
        </w:rPr>
        <w:t xml:space="preserve"> date su količine SCCP-a za period 2012-2023.</w:t>
      </w:r>
      <w:r w:rsidRPr="00C86111">
        <w:rPr>
          <w:rFonts w:asciiTheme="minorHAnsi" w:hAnsiTheme="minorHAnsi" w:cstheme="minorHAnsi"/>
          <w:b/>
          <w:bCs/>
          <w:i/>
          <w:iCs/>
          <w:color w:val="auto"/>
          <w:szCs w:val="24"/>
          <w:lang w:val="sr-Latn-ME"/>
        </w:rPr>
        <w:t xml:space="preserve">    </w:t>
      </w:r>
    </w:p>
    <w:p w14:paraId="5AE72C2E" w14:textId="77777777" w:rsidR="00201FE9" w:rsidRPr="00C86111" w:rsidRDefault="00201FE9" w:rsidP="00201FE9">
      <w:pPr>
        <w:spacing w:line="276" w:lineRule="auto"/>
        <w:rPr>
          <w:rFonts w:asciiTheme="minorHAnsi" w:hAnsiTheme="minorHAnsi" w:cstheme="minorHAnsi"/>
          <w:b/>
          <w:bCs/>
          <w:i/>
          <w:iCs/>
          <w:color w:val="auto"/>
          <w:szCs w:val="24"/>
          <w:lang w:val="sr-Latn-ME"/>
        </w:rPr>
      </w:pPr>
    </w:p>
    <w:p w14:paraId="7196B899" w14:textId="44279EE8" w:rsidR="00201FE9" w:rsidRPr="00C86111" w:rsidRDefault="00201FE9" w:rsidP="00201FE9">
      <w:pPr>
        <w:spacing w:line="276" w:lineRule="auto"/>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Tabela 1</w:t>
      </w:r>
      <w:r w:rsidR="00056E0C" w:rsidRPr="00C86111">
        <w:rPr>
          <w:rFonts w:asciiTheme="minorHAnsi" w:hAnsiTheme="minorHAnsi" w:cstheme="minorHAnsi"/>
          <w:b/>
          <w:bCs/>
          <w:color w:val="auto"/>
          <w:szCs w:val="24"/>
          <w:lang w:val="sr-Latn-ME"/>
        </w:rPr>
        <w:t>14</w:t>
      </w:r>
      <w:r w:rsidRPr="00C86111">
        <w:rPr>
          <w:rFonts w:asciiTheme="minorHAnsi" w:hAnsiTheme="minorHAnsi" w:cstheme="minorHAnsi"/>
          <w:b/>
          <w:bCs/>
          <w:color w:val="auto"/>
          <w:szCs w:val="24"/>
          <w:lang w:val="sr-Latn-ME"/>
        </w:rPr>
        <w:t xml:space="preserve">. </w:t>
      </w:r>
      <w:r w:rsidRPr="00C86111">
        <w:rPr>
          <w:rFonts w:asciiTheme="minorHAnsi" w:hAnsiTheme="minorHAnsi" w:cstheme="minorHAnsi"/>
          <w:color w:val="auto"/>
          <w:szCs w:val="24"/>
          <w:lang w:val="sr-Latn-ME"/>
        </w:rPr>
        <w:t>Količine SCCP u otpadu od elektronske i električne opreme na osnovu predloženog faktora uticaja od 25 mg/kg</w:t>
      </w:r>
    </w:p>
    <w:tbl>
      <w:tblPr>
        <w:tblStyle w:val="GridTable5Dark-Accent6"/>
        <w:tblW w:w="8803" w:type="dxa"/>
        <w:tblLook w:val="04A0" w:firstRow="1" w:lastRow="0" w:firstColumn="1" w:lastColumn="0" w:noHBand="0" w:noVBand="1"/>
      </w:tblPr>
      <w:tblGrid>
        <w:gridCol w:w="1339"/>
        <w:gridCol w:w="622"/>
        <w:gridCol w:w="622"/>
        <w:gridCol w:w="622"/>
        <w:gridCol w:w="622"/>
        <w:gridCol w:w="622"/>
        <w:gridCol w:w="622"/>
        <w:gridCol w:w="622"/>
        <w:gridCol w:w="622"/>
        <w:gridCol w:w="622"/>
        <w:gridCol w:w="622"/>
        <w:gridCol w:w="622"/>
        <w:gridCol w:w="622"/>
      </w:tblGrid>
      <w:tr w:rsidR="00201FE9" w:rsidRPr="00C86111" w14:paraId="59486025" w14:textId="77777777" w:rsidTr="002E5AB7">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339" w:type="dxa"/>
          </w:tcPr>
          <w:p w14:paraId="09F35D6D" w14:textId="77777777" w:rsidR="00201FE9" w:rsidRPr="00C86111" w:rsidRDefault="00201FE9" w:rsidP="00BC765B">
            <w:pPr>
              <w:spacing w:line="276" w:lineRule="auto"/>
              <w:jc w:val="center"/>
              <w:rPr>
                <w:rFonts w:asciiTheme="minorHAnsi" w:eastAsia="Calibri" w:hAnsiTheme="minorHAnsi" w:cstheme="minorHAnsi"/>
                <w:b w:val="0"/>
                <w:bCs w:val="0"/>
                <w:color w:val="auto"/>
                <w:sz w:val="20"/>
                <w:szCs w:val="20"/>
                <w:lang w:val="sr-Latn-ME"/>
              </w:rPr>
            </w:pPr>
            <w:bookmarkStart w:id="416" w:name="_Hlk208772562"/>
            <w:bookmarkEnd w:id="415"/>
            <w:r w:rsidRPr="00C86111">
              <w:rPr>
                <w:rFonts w:asciiTheme="minorHAnsi" w:hAnsiTheme="minorHAnsi" w:cstheme="minorHAnsi"/>
                <w:color w:val="auto"/>
                <w:sz w:val="20"/>
                <w:szCs w:val="20"/>
                <w:lang w:val="sr-Latn-ME"/>
              </w:rPr>
              <w:t>Godina</w:t>
            </w:r>
          </w:p>
        </w:tc>
        <w:tc>
          <w:tcPr>
            <w:tcW w:w="622" w:type="dxa"/>
          </w:tcPr>
          <w:p w14:paraId="5853E315"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2012</w:t>
            </w:r>
          </w:p>
        </w:tc>
        <w:tc>
          <w:tcPr>
            <w:tcW w:w="622" w:type="dxa"/>
          </w:tcPr>
          <w:p w14:paraId="253B773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2013</w:t>
            </w:r>
          </w:p>
        </w:tc>
        <w:tc>
          <w:tcPr>
            <w:tcW w:w="622" w:type="dxa"/>
          </w:tcPr>
          <w:p w14:paraId="755969F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2014</w:t>
            </w:r>
          </w:p>
        </w:tc>
        <w:tc>
          <w:tcPr>
            <w:tcW w:w="622" w:type="dxa"/>
          </w:tcPr>
          <w:p w14:paraId="02434C01"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2015</w:t>
            </w:r>
          </w:p>
        </w:tc>
        <w:tc>
          <w:tcPr>
            <w:tcW w:w="622" w:type="dxa"/>
          </w:tcPr>
          <w:p w14:paraId="6AC76E0B"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2016</w:t>
            </w:r>
          </w:p>
        </w:tc>
        <w:tc>
          <w:tcPr>
            <w:tcW w:w="622" w:type="dxa"/>
          </w:tcPr>
          <w:p w14:paraId="7FD5983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2017</w:t>
            </w:r>
          </w:p>
        </w:tc>
        <w:tc>
          <w:tcPr>
            <w:tcW w:w="622" w:type="dxa"/>
          </w:tcPr>
          <w:p w14:paraId="403DE022"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2018</w:t>
            </w:r>
          </w:p>
        </w:tc>
        <w:tc>
          <w:tcPr>
            <w:tcW w:w="622" w:type="dxa"/>
          </w:tcPr>
          <w:p w14:paraId="20CC43F5"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2019</w:t>
            </w:r>
          </w:p>
        </w:tc>
        <w:tc>
          <w:tcPr>
            <w:tcW w:w="622" w:type="dxa"/>
          </w:tcPr>
          <w:p w14:paraId="5757CC0B"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2020</w:t>
            </w:r>
          </w:p>
        </w:tc>
        <w:tc>
          <w:tcPr>
            <w:tcW w:w="622" w:type="dxa"/>
          </w:tcPr>
          <w:p w14:paraId="5E3BAB1E"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2021</w:t>
            </w:r>
          </w:p>
        </w:tc>
        <w:tc>
          <w:tcPr>
            <w:tcW w:w="622" w:type="dxa"/>
          </w:tcPr>
          <w:p w14:paraId="3220980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2022</w:t>
            </w:r>
          </w:p>
        </w:tc>
        <w:tc>
          <w:tcPr>
            <w:tcW w:w="622" w:type="dxa"/>
          </w:tcPr>
          <w:p w14:paraId="2775479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2023</w:t>
            </w:r>
          </w:p>
        </w:tc>
      </w:tr>
      <w:tr w:rsidR="00201FE9" w:rsidRPr="00C86111" w14:paraId="3D49E157" w14:textId="77777777" w:rsidTr="002E5AB7">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339" w:type="dxa"/>
          </w:tcPr>
          <w:p w14:paraId="489D41AF" w14:textId="77777777" w:rsidR="00201FE9" w:rsidRPr="00C86111" w:rsidRDefault="00201FE9" w:rsidP="00BC765B">
            <w:pPr>
              <w:spacing w:line="276" w:lineRule="auto"/>
              <w:jc w:val="center"/>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WEEE(t)</w:t>
            </w:r>
          </w:p>
        </w:tc>
        <w:tc>
          <w:tcPr>
            <w:tcW w:w="622" w:type="dxa"/>
          </w:tcPr>
          <w:p w14:paraId="53EDB30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57</w:t>
            </w:r>
          </w:p>
        </w:tc>
        <w:tc>
          <w:tcPr>
            <w:tcW w:w="622" w:type="dxa"/>
          </w:tcPr>
          <w:p w14:paraId="60FA3FA7"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38</w:t>
            </w:r>
          </w:p>
        </w:tc>
        <w:tc>
          <w:tcPr>
            <w:tcW w:w="622" w:type="dxa"/>
          </w:tcPr>
          <w:p w14:paraId="7B68CC4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74</w:t>
            </w:r>
          </w:p>
        </w:tc>
        <w:tc>
          <w:tcPr>
            <w:tcW w:w="622" w:type="dxa"/>
          </w:tcPr>
          <w:p w14:paraId="7E7174C4"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68</w:t>
            </w:r>
          </w:p>
        </w:tc>
        <w:tc>
          <w:tcPr>
            <w:tcW w:w="622" w:type="dxa"/>
          </w:tcPr>
          <w:p w14:paraId="61996D3A"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141</w:t>
            </w:r>
          </w:p>
        </w:tc>
        <w:tc>
          <w:tcPr>
            <w:tcW w:w="622" w:type="dxa"/>
          </w:tcPr>
          <w:p w14:paraId="560024C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85</w:t>
            </w:r>
          </w:p>
        </w:tc>
        <w:tc>
          <w:tcPr>
            <w:tcW w:w="622" w:type="dxa"/>
          </w:tcPr>
          <w:p w14:paraId="5E90F1C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250</w:t>
            </w:r>
          </w:p>
        </w:tc>
        <w:tc>
          <w:tcPr>
            <w:tcW w:w="622" w:type="dxa"/>
          </w:tcPr>
          <w:p w14:paraId="7997BA80"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197</w:t>
            </w:r>
          </w:p>
        </w:tc>
        <w:tc>
          <w:tcPr>
            <w:tcW w:w="622" w:type="dxa"/>
          </w:tcPr>
          <w:p w14:paraId="4CDAB99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144</w:t>
            </w:r>
          </w:p>
        </w:tc>
        <w:tc>
          <w:tcPr>
            <w:tcW w:w="622" w:type="dxa"/>
          </w:tcPr>
          <w:p w14:paraId="7E0E775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254</w:t>
            </w:r>
          </w:p>
        </w:tc>
        <w:tc>
          <w:tcPr>
            <w:tcW w:w="622" w:type="dxa"/>
          </w:tcPr>
          <w:p w14:paraId="0C05729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97</w:t>
            </w:r>
          </w:p>
        </w:tc>
        <w:tc>
          <w:tcPr>
            <w:tcW w:w="622" w:type="dxa"/>
          </w:tcPr>
          <w:p w14:paraId="4809DC0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207</w:t>
            </w:r>
          </w:p>
        </w:tc>
      </w:tr>
      <w:tr w:rsidR="00201FE9" w:rsidRPr="00C86111" w14:paraId="44BABF29" w14:textId="77777777" w:rsidTr="002E5AB7">
        <w:tc>
          <w:tcPr>
            <w:cnfStyle w:val="001000000000" w:firstRow="0" w:lastRow="0" w:firstColumn="1" w:lastColumn="0" w:oddVBand="0" w:evenVBand="0" w:oddHBand="0" w:evenHBand="0" w:firstRowFirstColumn="0" w:firstRowLastColumn="0" w:lastRowFirstColumn="0" w:lastRowLastColumn="0"/>
            <w:tcW w:w="1339" w:type="dxa"/>
          </w:tcPr>
          <w:p w14:paraId="56568B50" w14:textId="77777777" w:rsidR="00201FE9" w:rsidRPr="00C86111" w:rsidRDefault="00201FE9" w:rsidP="00BC765B">
            <w:pPr>
              <w:spacing w:line="276" w:lineRule="auto"/>
              <w:jc w:val="center"/>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Zastupljenost plastike (t)</w:t>
            </w:r>
          </w:p>
        </w:tc>
        <w:tc>
          <w:tcPr>
            <w:tcW w:w="622" w:type="dxa"/>
          </w:tcPr>
          <w:p w14:paraId="512B6B8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12</w:t>
            </w:r>
          </w:p>
        </w:tc>
        <w:tc>
          <w:tcPr>
            <w:tcW w:w="622" w:type="dxa"/>
          </w:tcPr>
          <w:p w14:paraId="09CA0B3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7..5</w:t>
            </w:r>
          </w:p>
        </w:tc>
        <w:tc>
          <w:tcPr>
            <w:tcW w:w="622" w:type="dxa"/>
          </w:tcPr>
          <w:p w14:paraId="271D14A6"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18</w:t>
            </w:r>
          </w:p>
        </w:tc>
        <w:tc>
          <w:tcPr>
            <w:tcW w:w="622" w:type="dxa"/>
          </w:tcPr>
          <w:p w14:paraId="21ADEBB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14</w:t>
            </w:r>
          </w:p>
        </w:tc>
        <w:tc>
          <w:tcPr>
            <w:tcW w:w="622" w:type="dxa"/>
          </w:tcPr>
          <w:p w14:paraId="283882E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28</w:t>
            </w:r>
          </w:p>
        </w:tc>
        <w:tc>
          <w:tcPr>
            <w:tcW w:w="622" w:type="dxa"/>
          </w:tcPr>
          <w:p w14:paraId="1B03A7D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17</w:t>
            </w:r>
          </w:p>
        </w:tc>
        <w:tc>
          <w:tcPr>
            <w:tcW w:w="622" w:type="dxa"/>
          </w:tcPr>
          <w:p w14:paraId="764A087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50</w:t>
            </w:r>
          </w:p>
        </w:tc>
        <w:tc>
          <w:tcPr>
            <w:tcW w:w="622" w:type="dxa"/>
          </w:tcPr>
          <w:p w14:paraId="1132B923"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39</w:t>
            </w:r>
          </w:p>
        </w:tc>
        <w:tc>
          <w:tcPr>
            <w:tcW w:w="622" w:type="dxa"/>
          </w:tcPr>
          <w:p w14:paraId="61F51E5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29</w:t>
            </w:r>
          </w:p>
        </w:tc>
        <w:tc>
          <w:tcPr>
            <w:tcW w:w="622" w:type="dxa"/>
          </w:tcPr>
          <w:p w14:paraId="139A23BC"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51</w:t>
            </w:r>
          </w:p>
        </w:tc>
        <w:tc>
          <w:tcPr>
            <w:tcW w:w="622" w:type="dxa"/>
          </w:tcPr>
          <w:p w14:paraId="1B59B04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20</w:t>
            </w:r>
          </w:p>
        </w:tc>
        <w:tc>
          <w:tcPr>
            <w:tcW w:w="622" w:type="dxa"/>
          </w:tcPr>
          <w:p w14:paraId="5ACB4FA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41</w:t>
            </w:r>
          </w:p>
        </w:tc>
      </w:tr>
      <w:tr w:rsidR="00201FE9" w:rsidRPr="00C86111" w14:paraId="25B29610" w14:textId="77777777" w:rsidTr="002E5AB7">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339" w:type="dxa"/>
          </w:tcPr>
          <w:p w14:paraId="4B446268" w14:textId="77777777" w:rsidR="00201FE9" w:rsidRPr="00C86111" w:rsidRDefault="00201FE9" w:rsidP="00BC765B">
            <w:pPr>
              <w:spacing w:line="276" w:lineRule="auto"/>
              <w:jc w:val="center"/>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Količina SCCPs (kg)</w:t>
            </w:r>
          </w:p>
        </w:tc>
        <w:tc>
          <w:tcPr>
            <w:tcW w:w="622" w:type="dxa"/>
          </w:tcPr>
          <w:p w14:paraId="198019C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0.3</w:t>
            </w:r>
          </w:p>
        </w:tc>
        <w:tc>
          <w:tcPr>
            <w:tcW w:w="622" w:type="dxa"/>
          </w:tcPr>
          <w:p w14:paraId="626ACE7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0.2</w:t>
            </w:r>
          </w:p>
        </w:tc>
        <w:tc>
          <w:tcPr>
            <w:tcW w:w="622" w:type="dxa"/>
          </w:tcPr>
          <w:p w14:paraId="3680D61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0.4</w:t>
            </w:r>
          </w:p>
        </w:tc>
        <w:tc>
          <w:tcPr>
            <w:tcW w:w="622" w:type="dxa"/>
          </w:tcPr>
          <w:p w14:paraId="07A24F82"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0.3</w:t>
            </w:r>
          </w:p>
        </w:tc>
        <w:tc>
          <w:tcPr>
            <w:tcW w:w="622" w:type="dxa"/>
          </w:tcPr>
          <w:p w14:paraId="78D0DA3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0.7</w:t>
            </w:r>
          </w:p>
        </w:tc>
        <w:tc>
          <w:tcPr>
            <w:tcW w:w="622" w:type="dxa"/>
          </w:tcPr>
          <w:p w14:paraId="7F5014F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0.5</w:t>
            </w:r>
          </w:p>
        </w:tc>
        <w:tc>
          <w:tcPr>
            <w:tcW w:w="622" w:type="dxa"/>
          </w:tcPr>
          <w:p w14:paraId="3E424A4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1.3</w:t>
            </w:r>
          </w:p>
        </w:tc>
        <w:tc>
          <w:tcPr>
            <w:tcW w:w="622" w:type="dxa"/>
          </w:tcPr>
          <w:p w14:paraId="1028AFA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0.9</w:t>
            </w:r>
          </w:p>
        </w:tc>
        <w:tc>
          <w:tcPr>
            <w:tcW w:w="622" w:type="dxa"/>
          </w:tcPr>
          <w:p w14:paraId="03E7916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0.7</w:t>
            </w:r>
          </w:p>
        </w:tc>
        <w:tc>
          <w:tcPr>
            <w:tcW w:w="622" w:type="dxa"/>
          </w:tcPr>
          <w:p w14:paraId="65C2004C"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1.3</w:t>
            </w:r>
          </w:p>
        </w:tc>
        <w:tc>
          <w:tcPr>
            <w:tcW w:w="622" w:type="dxa"/>
          </w:tcPr>
          <w:p w14:paraId="5E92425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0.5</w:t>
            </w:r>
          </w:p>
        </w:tc>
        <w:tc>
          <w:tcPr>
            <w:tcW w:w="622" w:type="dxa"/>
          </w:tcPr>
          <w:p w14:paraId="2C070E0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1.0</w:t>
            </w:r>
          </w:p>
        </w:tc>
      </w:tr>
    </w:tbl>
    <w:p w14:paraId="4F33A407" w14:textId="77777777" w:rsidR="00201FE9" w:rsidRPr="00C86111" w:rsidRDefault="00201FE9" w:rsidP="00201FE9">
      <w:pPr>
        <w:spacing w:line="276" w:lineRule="auto"/>
        <w:rPr>
          <w:rFonts w:asciiTheme="minorHAnsi" w:hAnsiTheme="minorHAnsi" w:cstheme="minorHAnsi"/>
          <w:color w:val="auto"/>
          <w:szCs w:val="24"/>
          <w:lang w:val="sr-Latn-ME"/>
        </w:rPr>
      </w:pPr>
    </w:p>
    <w:p w14:paraId="0B286D93" w14:textId="1AE95854"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 xml:space="preserve">Količine SCCP (kg) u WEEE otpadu za period 2012-2023. godine dobijene pomenutim proračunom prikazane su na Grafiku </w:t>
      </w:r>
      <w:r w:rsidR="00056E0C" w:rsidRPr="00C86111">
        <w:rPr>
          <w:rFonts w:asciiTheme="minorHAnsi" w:hAnsiTheme="minorHAnsi" w:cstheme="minorHAnsi"/>
          <w:color w:val="auto"/>
          <w:szCs w:val="24"/>
          <w:lang w:val="sr-Latn-ME"/>
        </w:rPr>
        <w:t>4</w:t>
      </w:r>
      <w:r w:rsidR="00547278">
        <w:rPr>
          <w:rFonts w:asciiTheme="minorHAnsi" w:hAnsiTheme="minorHAnsi" w:cstheme="minorHAnsi"/>
          <w:color w:val="auto"/>
          <w:szCs w:val="24"/>
          <w:lang w:val="sr-Latn-ME"/>
        </w:rPr>
        <w:t>9</w:t>
      </w:r>
      <w:r w:rsidRPr="00C86111">
        <w:rPr>
          <w:rFonts w:asciiTheme="minorHAnsi" w:hAnsiTheme="minorHAnsi" w:cstheme="minorHAnsi"/>
          <w:color w:val="auto"/>
          <w:szCs w:val="24"/>
          <w:lang w:val="sr-Latn-ME"/>
        </w:rPr>
        <w:t>.</w:t>
      </w:r>
    </w:p>
    <w:p w14:paraId="29004964" w14:textId="77777777" w:rsidR="00201FE9" w:rsidRPr="00C86111" w:rsidRDefault="00201FE9" w:rsidP="00201FE9">
      <w:pPr>
        <w:spacing w:line="276" w:lineRule="auto"/>
        <w:jc w:val="both"/>
        <w:rPr>
          <w:rFonts w:asciiTheme="minorHAnsi" w:hAnsiTheme="minorHAnsi" w:cstheme="minorHAnsi"/>
          <w:color w:val="auto"/>
          <w:szCs w:val="24"/>
          <w:lang w:val="sr-Latn-ME"/>
        </w:rPr>
      </w:pPr>
    </w:p>
    <w:p w14:paraId="0B0C4285" w14:textId="77777777" w:rsidR="00201FE9" w:rsidRPr="00C86111" w:rsidRDefault="00201FE9" w:rsidP="00201FE9">
      <w:pPr>
        <w:spacing w:line="276" w:lineRule="auto"/>
        <w:jc w:val="both"/>
        <w:rPr>
          <w:rFonts w:asciiTheme="minorHAnsi" w:hAnsiTheme="minorHAnsi" w:cstheme="minorHAnsi"/>
          <w:color w:val="auto"/>
          <w:szCs w:val="24"/>
          <w:lang w:val="sr-Latn-ME"/>
        </w:rPr>
      </w:pPr>
    </w:p>
    <w:p w14:paraId="70609CD7" w14:textId="77777777"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noProof/>
          <w:color w:val="auto"/>
          <w:szCs w:val="24"/>
          <w:lang w:val="sr-Latn-ME"/>
        </w:rPr>
        <w:drawing>
          <wp:inline distT="0" distB="0" distL="0" distR="0" wp14:anchorId="42F62EEB" wp14:editId="7972D6B8">
            <wp:extent cx="4572000" cy="1676400"/>
            <wp:effectExtent l="0" t="0" r="0" b="0"/>
            <wp:docPr id="13" name="Chart 13">
              <a:extLst xmlns:a="http://schemas.openxmlformats.org/drawingml/2006/main">
                <a:ext uri="{FF2B5EF4-FFF2-40B4-BE49-F238E27FC236}">
                  <a16:creationId xmlns:a16="http://schemas.microsoft.com/office/drawing/2014/main" id="{673B770A-5C8F-6653-5AEB-D2B4744F1F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456DCA9B" w14:textId="42C58630" w:rsidR="00201FE9" w:rsidRPr="00C86111" w:rsidRDefault="00201FE9" w:rsidP="00201FE9">
      <w:pPr>
        <w:spacing w:line="276" w:lineRule="auto"/>
        <w:jc w:val="center"/>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Grafik</w:t>
      </w:r>
      <w:r w:rsidR="00056E0C" w:rsidRPr="00C86111">
        <w:rPr>
          <w:rFonts w:asciiTheme="minorHAnsi" w:hAnsiTheme="minorHAnsi" w:cstheme="minorHAnsi"/>
          <w:b/>
          <w:bCs/>
          <w:color w:val="auto"/>
          <w:szCs w:val="24"/>
          <w:lang w:val="sr-Latn-ME"/>
        </w:rPr>
        <w:t xml:space="preserve"> 4</w:t>
      </w:r>
      <w:r w:rsidR="00547278">
        <w:rPr>
          <w:rFonts w:asciiTheme="minorHAnsi" w:hAnsiTheme="minorHAnsi" w:cstheme="minorHAnsi"/>
          <w:b/>
          <w:bCs/>
          <w:color w:val="auto"/>
          <w:szCs w:val="24"/>
          <w:lang w:val="sr-Latn-ME"/>
        </w:rPr>
        <w:t>9</w:t>
      </w:r>
      <w:r w:rsidRPr="00C86111">
        <w:rPr>
          <w:rFonts w:asciiTheme="minorHAnsi" w:hAnsiTheme="minorHAnsi" w:cstheme="minorHAnsi"/>
          <w:b/>
          <w:bCs/>
          <w:i/>
          <w:iCs/>
          <w:color w:val="auto"/>
          <w:szCs w:val="24"/>
          <w:lang w:val="sr-Latn-ME"/>
        </w:rPr>
        <w:t>.</w:t>
      </w:r>
      <w:r w:rsidRPr="00C86111">
        <w:rPr>
          <w:rFonts w:asciiTheme="minorHAnsi" w:hAnsiTheme="minorHAnsi" w:cstheme="minorHAnsi"/>
          <w:color w:val="auto"/>
          <w:szCs w:val="24"/>
          <w:lang w:val="sr-Latn-ME"/>
        </w:rPr>
        <w:t xml:space="preserve"> Količine SCCP (kg) za period 2012-2023.</w:t>
      </w:r>
    </w:p>
    <w:p w14:paraId="018DF399" w14:textId="77777777" w:rsidR="00201FE9" w:rsidRPr="002E5AB7" w:rsidRDefault="00201FE9" w:rsidP="00004F34">
      <w:pPr>
        <w:pStyle w:val="Heading1"/>
        <w:numPr>
          <w:ilvl w:val="1"/>
          <w:numId w:val="238"/>
        </w:numPr>
        <w:rPr>
          <w:b w:val="0"/>
          <w:bCs/>
        </w:rPr>
      </w:pPr>
      <w:bookmarkStart w:id="417" w:name="_Toc210744980"/>
      <w:bookmarkStart w:id="418" w:name="_Toc220541969"/>
      <w:bookmarkEnd w:id="416"/>
      <w:r w:rsidRPr="002E5AB7">
        <w:rPr>
          <w:rStyle w:val="Strong"/>
          <w:b/>
          <w:bCs w:val="0"/>
          <w:i/>
        </w:rPr>
        <w:t xml:space="preserve">Zaključci – Inventar SCCP </w:t>
      </w:r>
      <w:r w:rsidRPr="002E5AB7">
        <w:rPr>
          <w:b w:val="0"/>
          <w:bCs/>
        </w:rPr>
        <w:t>u otpadnoj električnoj i elektronskoj opremi (WEEE)</w:t>
      </w:r>
      <w:bookmarkEnd w:id="417"/>
      <w:bookmarkEnd w:id="418"/>
    </w:p>
    <w:p w14:paraId="3DC6ECA1" w14:textId="77777777" w:rsidR="00201FE9" w:rsidRPr="00C86111" w:rsidRDefault="00201FE9" w:rsidP="00201FE9">
      <w:pPr>
        <w:rPr>
          <w:rFonts w:asciiTheme="minorHAnsi" w:hAnsiTheme="minorHAnsi" w:cstheme="minorHAnsi"/>
          <w:color w:val="auto"/>
          <w:szCs w:val="24"/>
          <w:lang w:val="sr-Latn-ME"/>
        </w:rPr>
      </w:pPr>
      <w:bookmarkStart w:id="419" w:name="_Toc185247035"/>
    </w:p>
    <w:p w14:paraId="1370B13D" w14:textId="77777777" w:rsidR="00201FE9" w:rsidRPr="00C86111" w:rsidRDefault="00201FE9" w:rsidP="00833A40">
      <w:pPr>
        <w:pStyle w:val="NormalWeb"/>
        <w:numPr>
          <w:ilvl w:val="0"/>
          <w:numId w:val="116"/>
        </w:numPr>
        <w:spacing w:before="0" w:beforeAutospacing="0" w:after="0" w:afterAutospacing="0" w:line="276" w:lineRule="auto"/>
        <w:rPr>
          <w:rFonts w:asciiTheme="minorHAnsi" w:hAnsiTheme="minorHAnsi" w:cstheme="minorHAnsi"/>
          <w:b/>
          <w:color w:val="002060"/>
          <w:lang w:val="sr-Latn-ME"/>
        </w:rPr>
      </w:pPr>
      <w:r w:rsidRPr="00C86111">
        <w:rPr>
          <w:rStyle w:val="Strong"/>
          <w:rFonts w:asciiTheme="minorHAnsi" w:hAnsiTheme="minorHAnsi" w:cstheme="minorHAnsi"/>
          <w:b w:val="0"/>
          <w:color w:val="002060"/>
          <w:lang w:val="sr-Latn-ME"/>
        </w:rPr>
        <w:t>Godišnje količine SCCPs u WEEE (2012–2023)</w:t>
      </w:r>
    </w:p>
    <w:p w14:paraId="654C1A72" w14:textId="77777777" w:rsidR="00201FE9" w:rsidRPr="00C86111" w:rsidRDefault="00201FE9" w:rsidP="00833A40">
      <w:pPr>
        <w:pStyle w:val="NormalWeb"/>
        <w:numPr>
          <w:ilvl w:val="0"/>
          <w:numId w:val="119"/>
        </w:numPr>
        <w:tabs>
          <w:tab w:val="num" w:pos="1260"/>
        </w:tabs>
        <w:spacing w:before="0" w:beforeAutospacing="0" w:after="0" w:afterAutospacing="0" w:line="276" w:lineRule="auto"/>
        <w:rPr>
          <w:rFonts w:asciiTheme="minorHAnsi" w:hAnsiTheme="minorHAnsi" w:cstheme="minorHAnsi"/>
          <w:lang w:val="sr-Latn-ME"/>
        </w:rPr>
      </w:pPr>
      <w:r w:rsidRPr="00C86111">
        <w:rPr>
          <w:rFonts w:asciiTheme="minorHAnsi" w:hAnsiTheme="minorHAnsi" w:cstheme="minorHAnsi"/>
          <w:lang w:val="sr-Latn-ME"/>
        </w:rPr>
        <w:t>Procijenjeni sadržaj SCCP u WEEE otpadu u Crnoj Gori kretao se između 0,2 kg (2013) i 1,3 kg (2018) godišnje.</w:t>
      </w:r>
    </w:p>
    <w:p w14:paraId="339F647A" w14:textId="77777777" w:rsidR="00201FE9" w:rsidRPr="00C86111" w:rsidRDefault="00201FE9" w:rsidP="00833A40">
      <w:pPr>
        <w:pStyle w:val="NormalWeb"/>
        <w:numPr>
          <w:ilvl w:val="0"/>
          <w:numId w:val="119"/>
        </w:numPr>
        <w:tabs>
          <w:tab w:val="num" w:pos="1260"/>
        </w:tabs>
        <w:spacing w:before="0" w:beforeAutospacing="0" w:after="0" w:afterAutospacing="0" w:line="276" w:lineRule="auto"/>
        <w:rPr>
          <w:rFonts w:asciiTheme="minorHAnsi" w:hAnsiTheme="minorHAnsi" w:cstheme="minorHAnsi"/>
          <w:lang w:val="sr-Latn-ME"/>
        </w:rPr>
      </w:pPr>
      <w:r w:rsidRPr="00C86111">
        <w:rPr>
          <w:rFonts w:asciiTheme="minorHAnsi" w:hAnsiTheme="minorHAnsi" w:cstheme="minorHAnsi"/>
          <w:lang w:val="sr-Latn-ME"/>
        </w:rPr>
        <w:t>Fluktuacije vrijednosti odražavaju promjenljivu generaciju WEEE i udio plastike u ukupnom elektronskom otpadu.</w:t>
      </w:r>
    </w:p>
    <w:p w14:paraId="04DE66BA" w14:textId="77777777" w:rsidR="00201FE9" w:rsidRPr="00C86111" w:rsidRDefault="00201FE9" w:rsidP="00833A40">
      <w:pPr>
        <w:pStyle w:val="NormalWeb"/>
        <w:numPr>
          <w:ilvl w:val="0"/>
          <w:numId w:val="119"/>
        </w:numPr>
        <w:tabs>
          <w:tab w:val="num" w:pos="1260"/>
        </w:tabs>
        <w:spacing w:before="0" w:beforeAutospacing="0" w:after="0" w:afterAutospacing="0" w:line="276" w:lineRule="auto"/>
        <w:rPr>
          <w:rFonts w:asciiTheme="minorHAnsi" w:hAnsiTheme="minorHAnsi" w:cstheme="minorHAnsi"/>
          <w:lang w:val="sr-Latn-ME"/>
        </w:rPr>
      </w:pPr>
      <w:r w:rsidRPr="00C86111">
        <w:rPr>
          <w:rFonts w:asciiTheme="minorHAnsi" w:hAnsiTheme="minorHAnsi" w:cstheme="minorHAnsi"/>
          <w:lang w:val="sr-Latn-ME"/>
        </w:rPr>
        <w:lastRenderedPageBreak/>
        <w:t>Uprkos niskim apsolutnim vrijednostima, ovi rezultati potvrđuju da SCCP ostaju prisutni u naslijeđenim materijalima u otpadu.</w:t>
      </w:r>
    </w:p>
    <w:p w14:paraId="6317AF35" w14:textId="77777777" w:rsidR="00201FE9" w:rsidRPr="00C86111" w:rsidRDefault="00201FE9" w:rsidP="00833A40">
      <w:pPr>
        <w:pStyle w:val="NormalWeb"/>
        <w:numPr>
          <w:ilvl w:val="0"/>
          <w:numId w:val="116"/>
        </w:numPr>
        <w:tabs>
          <w:tab w:val="num" w:pos="540"/>
        </w:tabs>
        <w:spacing w:before="0" w:beforeAutospacing="0" w:after="0" w:afterAutospacing="0" w:line="276" w:lineRule="auto"/>
        <w:rPr>
          <w:rFonts w:asciiTheme="minorHAnsi" w:hAnsiTheme="minorHAnsi" w:cstheme="minorHAnsi"/>
          <w:b/>
          <w:color w:val="002060"/>
          <w:lang w:val="sr-Latn-ME"/>
        </w:rPr>
      </w:pPr>
      <w:r w:rsidRPr="00C86111">
        <w:rPr>
          <w:rStyle w:val="Strong"/>
          <w:rFonts w:asciiTheme="minorHAnsi" w:hAnsiTheme="minorHAnsi" w:cstheme="minorHAnsi"/>
          <w:b w:val="0"/>
          <w:color w:val="002060"/>
          <w:lang w:val="sr-Latn-ME"/>
        </w:rPr>
        <w:t>Trendovi i rizici</w:t>
      </w:r>
    </w:p>
    <w:p w14:paraId="1EA96297" w14:textId="77777777" w:rsidR="00201FE9" w:rsidRPr="00C86111" w:rsidRDefault="00201FE9" w:rsidP="00833A40">
      <w:pPr>
        <w:pStyle w:val="NormalWeb"/>
        <w:numPr>
          <w:ilvl w:val="0"/>
          <w:numId w:val="118"/>
        </w:numPr>
        <w:tabs>
          <w:tab w:val="num" w:pos="1170"/>
        </w:tabs>
        <w:spacing w:before="0" w:beforeAutospacing="0" w:after="0" w:afterAutospacing="0" w:line="276" w:lineRule="auto"/>
        <w:rPr>
          <w:rFonts w:asciiTheme="minorHAnsi" w:hAnsiTheme="minorHAnsi" w:cstheme="minorHAnsi"/>
          <w:lang w:val="sr-Latn-ME"/>
        </w:rPr>
      </w:pPr>
      <w:r w:rsidRPr="00C86111">
        <w:rPr>
          <w:rFonts w:asciiTheme="minorHAnsi" w:hAnsiTheme="minorHAnsi" w:cstheme="minorHAnsi"/>
          <w:lang w:val="sr-Latn-ME"/>
        </w:rPr>
        <w:t>Količine SCCP u WEEE su relativno male u poređenju sa drugim sektorima (npr. guma, PVC proizvodi ili vozila).</w:t>
      </w:r>
    </w:p>
    <w:p w14:paraId="633808A1" w14:textId="77777777" w:rsidR="00201FE9" w:rsidRPr="00C86111" w:rsidRDefault="00201FE9" w:rsidP="00833A40">
      <w:pPr>
        <w:pStyle w:val="NormalWeb"/>
        <w:numPr>
          <w:ilvl w:val="0"/>
          <w:numId w:val="118"/>
        </w:numPr>
        <w:tabs>
          <w:tab w:val="num" w:pos="117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Međutim, reciklaža i odlaganje WEEE plastike predstavljaju rizik od nekontrolisanog ispuštanja SCCP u životnu sredinu ako se njima ne upravlja pravilno.</w:t>
      </w:r>
    </w:p>
    <w:p w14:paraId="77AFF727" w14:textId="77777777" w:rsidR="00201FE9" w:rsidRPr="00C86111" w:rsidRDefault="00201FE9" w:rsidP="00833A40">
      <w:pPr>
        <w:pStyle w:val="NormalWeb"/>
        <w:numPr>
          <w:ilvl w:val="0"/>
          <w:numId w:val="118"/>
        </w:numPr>
        <w:tabs>
          <w:tab w:val="num" w:pos="117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Uvezena električna i elektronska oprema može poticati iz regiona gde se SCCP još uvijek koriste, što predstavlja potencijalni kontinuirani izvor.</w:t>
      </w:r>
    </w:p>
    <w:p w14:paraId="34A99E3C" w14:textId="77777777" w:rsidR="00201FE9" w:rsidRPr="00C86111" w:rsidRDefault="00201FE9" w:rsidP="00833A40">
      <w:pPr>
        <w:pStyle w:val="NormalWeb"/>
        <w:numPr>
          <w:ilvl w:val="0"/>
          <w:numId w:val="116"/>
        </w:numPr>
        <w:spacing w:before="0" w:beforeAutospacing="0" w:after="0" w:afterAutospacing="0" w:line="276" w:lineRule="auto"/>
        <w:rPr>
          <w:rFonts w:asciiTheme="minorHAnsi" w:hAnsiTheme="minorHAnsi" w:cstheme="minorHAnsi"/>
          <w:b/>
          <w:color w:val="002060"/>
          <w:lang w:val="sr-Latn-ME"/>
        </w:rPr>
      </w:pPr>
      <w:r w:rsidRPr="00C86111">
        <w:rPr>
          <w:rStyle w:val="Strong"/>
          <w:rFonts w:asciiTheme="minorHAnsi" w:hAnsiTheme="minorHAnsi" w:cstheme="minorHAnsi"/>
          <w:b w:val="0"/>
          <w:color w:val="002060"/>
          <w:lang w:val="sr-Latn-ME"/>
        </w:rPr>
        <w:t>Implikacije za upravljanje otpadom i izveštavanje prema Stokholmskoj konvenciji</w:t>
      </w:r>
    </w:p>
    <w:p w14:paraId="6A28426E" w14:textId="77777777" w:rsidR="00201FE9" w:rsidRPr="00C86111" w:rsidRDefault="00201FE9" w:rsidP="00833A40">
      <w:pPr>
        <w:pStyle w:val="NormalWeb"/>
        <w:numPr>
          <w:ilvl w:val="0"/>
          <w:numId w:val="117"/>
        </w:numPr>
        <w:tabs>
          <w:tab w:val="num" w:pos="117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Iako je procijenjeni sadržaj SCCP samo nekoliko kilograma godišnje, WEEE ostaje prioritetni izvor otpada za praćenje zbog svoje složenosti i potencijala za difuzne emisije.</w:t>
      </w:r>
    </w:p>
    <w:p w14:paraId="25895F9D" w14:textId="77777777" w:rsidR="00201FE9" w:rsidRPr="00C86111" w:rsidRDefault="00201FE9" w:rsidP="00833A40">
      <w:pPr>
        <w:pStyle w:val="NormalWeb"/>
        <w:numPr>
          <w:ilvl w:val="0"/>
          <w:numId w:val="117"/>
        </w:numPr>
        <w:tabs>
          <w:tab w:val="num" w:pos="117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Rezultati ističu potrebu za:</w:t>
      </w:r>
    </w:p>
    <w:p w14:paraId="2225C1DC" w14:textId="77777777" w:rsidR="00201FE9" w:rsidRPr="00C86111" w:rsidRDefault="00201FE9" w:rsidP="00833A40">
      <w:pPr>
        <w:pStyle w:val="NormalWeb"/>
        <w:numPr>
          <w:ilvl w:val="2"/>
          <w:numId w:val="120"/>
        </w:numPr>
        <w:tabs>
          <w:tab w:val="num" w:pos="1170"/>
        </w:tabs>
        <w:spacing w:before="0" w:beforeAutospacing="0" w:after="0" w:afterAutospacing="0" w:line="276" w:lineRule="auto"/>
        <w:rPr>
          <w:rFonts w:asciiTheme="minorHAnsi" w:hAnsiTheme="minorHAnsi" w:cstheme="minorHAnsi"/>
          <w:lang w:val="sr-Latn-ME"/>
        </w:rPr>
      </w:pPr>
      <w:r w:rsidRPr="00C86111">
        <w:rPr>
          <w:rFonts w:asciiTheme="minorHAnsi" w:hAnsiTheme="minorHAnsi" w:cstheme="minorHAnsi"/>
          <w:lang w:val="sr-Latn-ME"/>
        </w:rPr>
        <w:t>Bezbjedne prakse reciklaže i odlaganja WEEE plastike;</w:t>
      </w:r>
    </w:p>
    <w:p w14:paraId="1D8AD4C3" w14:textId="77777777" w:rsidR="00201FE9" w:rsidRPr="00C86111" w:rsidRDefault="00201FE9" w:rsidP="00833A40">
      <w:pPr>
        <w:pStyle w:val="NormalWeb"/>
        <w:numPr>
          <w:ilvl w:val="2"/>
          <w:numId w:val="120"/>
        </w:numPr>
        <w:tabs>
          <w:tab w:val="num" w:pos="1170"/>
        </w:tabs>
        <w:spacing w:before="0" w:beforeAutospacing="0" w:after="0" w:afterAutospacing="0" w:line="276" w:lineRule="auto"/>
        <w:rPr>
          <w:rFonts w:asciiTheme="minorHAnsi" w:hAnsiTheme="minorHAnsi" w:cstheme="minorHAnsi"/>
          <w:lang w:val="sr-Latn-ME"/>
        </w:rPr>
      </w:pPr>
      <w:r w:rsidRPr="00C86111">
        <w:rPr>
          <w:rFonts w:asciiTheme="minorHAnsi" w:hAnsiTheme="minorHAnsi" w:cstheme="minorHAnsi"/>
          <w:lang w:val="sr-Latn-ME"/>
        </w:rPr>
        <w:t>Pojačanu kontroluuvoza električne i elektronske robe;</w:t>
      </w:r>
    </w:p>
    <w:p w14:paraId="72110D63" w14:textId="77777777" w:rsidR="00201FE9" w:rsidRPr="00C86111" w:rsidRDefault="00201FE9" w:rsidP="00833A40">
      <w:pPr>
        <w:pStyle w:val="NormalWeb"/>
        <w:numPr>
          <w:ilvl w:val="2"/>
          <w:numId w:val="120"/>
        </w:numPr>
        <w:tabs>
          <w:tab w:val="num" w:pos="1170"/>
        </w:tabs>
        <w:spacing w:before="0" w:beforeAutospacing="0" w:after="0" w:afterAutospacing="0" w:line="276" w:lineRule="auto"/>
        <w:rPr>
          <w:rFonts w:asciiTheme="minorHAnsi" w:hAnsiTheme="minorHAnsi" w:cstheme="minorHAnsi"/>
          <w:lang w:val="sr-Latn-ME"/>
        </w:rPr>
      </w:pPr>
      <w:r w:rsidRPr="00C86111">
        <w:rPr>
          <w:rFonts w:asciiTheme="minorHAnsi" w:hAnsiTheme="minorHAnsi" w:cstheme="minorHAnsi"/>
          <w:lang w:val="sr-Latn-ME"/>
        </w:rPr>
        <w:t>Uključivanje WEEE u Nacionalni implementacioni plan (NIP) Crne Gore kao relevantnog, mada manje važnog, izvora SCCP.</w:t>
      </w:r>
    </w:p>
    <w:p w14:paraId="133B72EC" w14:textId="77777777" w:rsidR="00201FE9" w:rsidRPr="00C86111" w:rsidRDefault="00201FE9" w:rsidP="00201FE9">
      <w:pPr>
        <w:pStyle w:val="NormalWeb"/>
        <w:tabs>
          <w:tab w:val="num" w:pos="2160"/>
        </w:tabs>
        <w:spacing w:before="0" w:beforeAutospacing="0" w:after="0" w:afterAutospacing="0" w:line="276" w:lineRule="auto"/>
        <w:rPr>
          <w:rFonts w:asciiTheme="minorHAnsi" w:hAnsiTheme="minorHAnsi" w:cstheme="minorHAnsi"/>
          <w:lang w:val="sr-Latn-ME"/>
        </w:rPr>
      </w:pPr>
    </w:p>
    <w:p w14:paraId="2AB38399" w14:textId="77777777" w:rsidR="00201FE9" w:rsidRDefault="00201FE9" w:rsidP="00004F34">
      <w:pPr>
        <w:pStyle w:val="Heading1"/>
        <w:numPr>
          <w:ilvl w:val="1"/>
          <w:numId w:val="238"/>
        </w:numPr>
      </w:pPr>
      <w:bookmarkStart w:id="420" w:name="_Toc210744981"/>
      <w:bookmarkStart w:id="421" w:name="_Toc220541970"/>
      <w:r w:rsidRPr="00C86111">
        <w:t xml:space="preserve">Rezultati inventara SCCP  </w:t>
      </w:r>
      <w:bookmarkEnd w:id="419"/>
      <w:r w:rsidRPr="00C86111">
        <w:t>u sektoru vozila i transporta</w:t>
      </w:r>
      <w:bookmarkEnd w:id="420"/>
      <w:bookmarkEnd w:id="421"/>
    </w:p>
    <w:p w14:paraId="02623486" w14:textId="77777777" w:rsidR="00855068" w:rsidRPr="00855068" w:rsidRDefault="00855068" w:rsidP="00855068"/>
    <w:p w14:paraId="1129F41A" w14:textId="77777777" w:rsidR="00201FE9" w:rsidRPr="00C86111" w:rsidRDefault="00201FE9" w:rsidP="00201FE9">
      <w:pPr>
        <w:spacing w:line="276" w:lineRule="auto"/>
        <w:jc w:val="both"/>
        <w:rPr>
          <w:rFonts w:asciiTheme="minorHAnsi" w:hAnsiTheme="minorHAnsi" w:cstheme="minorHAnsi"/>
          <w:color w:val="auto"/>
          <w:szCs w:val="24"/>
          <w:lang w:val="sr-Latn-ME"/>
        </w:rPr>
      </w:pPr>
      <w:bookmarkStart w:id="422" w:name="_Hlk184586032"/>
      <w:r w:rsidRPr="00C86111">
        <w:rPr>
          <w:rFonts w:asciiTheme="minorHAnsi" w:hAnsiTheme="minorHAnsi" w:cstheme="minorHAnsi"/>
          <w:color w:val="auto"/>
          <w:szCs w:val="24"/>
          <w:lang w:val="sr-Latn-ME"/>
        </w:rPr>
        <w:t xml:space="preserve">SCCP se u transportnom sektoru koristi kao plastifikator i sredstvo za usporavanje gorenja u kablovima i drugim PVC i gumenim djelovima u vozilima. Takođe, SCCP se koriste u završnoj obradi tekstila kao sredstvo za usporavanje gorenja i vodoodbojnost za tekstil sa zadnjim premazom, uključujući tapacir za sjedišta u transportnim primjenama i unutrašnji tekstil kao što su roletne i zavjese. CP se koriste kao aditiv u PVC. Početna mjerenja ASR u Japanu (2 do 8 mg/kg) </w:t>
      </w:r>
      <w:r w:rsidRPr="00C86111">
        <w:rPr>
          <w:rFonts w:asciiTheme="minorHAnsi" w:hAnsiTheme="minorHAnsi" w:cstheme="minorHAnsi"/>
          <w:color w:val="002060"/>
          <w:szCs w:val="24"/>
          <w:lang w:val="sr-Latn-ME"/>
        </w:rPr>
        <w:t xml:space="preserve">(10) </w:t>
      </w:r>
      <w:r w:rsidRPr="00C86111">
        <w:rPr>
          <w:rFonts w:asciiTheme="minorHAnsi" w:hAnsiTheme="minorHAnsi" w:cstheme="minorHAnsi"/>
          <w:color w:val="auto"/>
          <w:szCs w:val="24"/>
          <w:lang w:val="sr-Latn-ME"/>
        </w:rPr>
        <w:t>i Evropi (16 mg/kg) (Norveška agencija za životnu sredinu 2021) pokazuju da su nivoi niski, što odgovara prosječnoj koncentraciji od približno 2,4 g SCCP/automobil (uzimajući u obzir prosječnu količinu ASR od 300 kg po automobilu (20% ASR vozila srednje veličine od 1500 kg) (9).</w:t>
      </w:r>
    </w:p>
    <w:p w14:paraId="658B7F06" w14:textId="77777777" w:rsidR="00201FE9" w:rsidRPr="00C86111" w:rsidRDefault="00201FE9" w:rsidP="00EA6904">
      <w:pPr>
        <w:pStyle w:val="Heading4"/>
      </w:pPr>
      <w:bookmarkStart w:id="423" w:name="_Toc210744982"/>
      <w:r w:rsidRPr="00C86111">
        <w:t>Vozila u upotrebi u Crnoj Gori</w:t>
      </w:r>
      <w:bookmarkEnd w:id="423"/>
    </w:p>
    <w:bookmarkEnd w:id="422"/>
    <w:p w14:paraId="77900687" w14:textId="4A60C7A1" w:rsidR="00201FE9" w:rsidRPr="00C86111" w:rsidRDefault="00201FE9" w:rsidP="00201FE9">
      <w:pPr>
        <w:spacing w:line="276" w:lineRule="auto"/>
        <w:jc w:val="both"/>
        <w:rPr>
          <w:rFonts w:asciiTheme="minorHAnsi" w:hAnsiTheme="minorHAnsi" w:cstheme="minorHAnsi"/>
          <w:bCs/>
          <w:color w:val="auto"/>
          <w:szCs w:val="24"/>
          <w:lang w:val="sr-Latn-ME"/>
        </w:rPr>
      </w:pPr>
      <w:r w:rsidRPr="00C86111">
        <w:rPr>
          <w:rFonts w:asciiTheme="minorHAnsi" w:hAnsiTheme="minorHAnsi" w:cstheme="minorHAnsi"/>
          <w:bCs/>
          <w:color w:val="auto"/>
          <w:szCs w:val="24"/>
          <w:lang w:val="sr-Latn-ME"/>
        </w:rPr>
        <w:t>Kada je riječ o vozilima u upotrebi, inventar je zasnovan na činjenici da su svi registrovani automobili zaista u upotrebi. Podaci o broju registrovanih vozila dobijeni su od Ministarstva unutrašnjih poslova. Na osnovu prethodnog predloga za aproksimaciju količine od 2,4 g SCCP po vozilu i prikupljenih podataka o broju vozila, broj vozila kao i količina SCCP za period 2017-2023. dati su u Tabeli 1</w:t>
      </w:r>
      <w:r w:rsidR="00DE40D4" w:rsidRPr="00C86111">
        <w:rPr>
          <w:rFonts w:asciiTheme="minorHAnsi" w:hAnsiTheme="minorHAnsi" w:cstheme="minorHAnsi"/>
          <w:bCs/>
          <w:color w:val="auto"/>
          <w:szCs w:val="24"/>
          <w:lang w:val="sr-Latn-ME"/>
        </w:rPr>
        <w:t>15</w:t>
      </w:r>
      <w:r w:rsidRPr="00C86111">
        <w:rPr>
          <w:rFonts w:asciiTheme="minorHAnsi" w:hAnsiTheme="minorHAnsi" w:cstheme="minorHAnsi"/>
          <w:bCs/>
          <w:color w:val="auto"/>
          <w:szCs w:val="24"/>
          <w:lang w:val="sr-Latn-ME"/>
        </w:rPr>
        <w:t>.</w:t>
      </w:r>
    </w:p>
    <w:p w14:paraId="6B577109" w14:textId="5FE67DEB" w:rsidR="00201FE9" w:rsidRPr="00C86111" w:rsidRDefault="00201FE9" w:rsidP="00201FE9">
      <w:pPr>
        <w:spacing w:line="276" w:lineRule="auto"/>
        <w:rPr>
          <w:rFonts w:asciiTheme="minorHAnsi" w:hAnsiTheme="minorHAnsi" w:cstheme="minorHAnsi"/>
          <w:b/>
          <w:bCs/>
          <w:i/>
          <w:iCs/>
          <w:color w:val="auto"/>
          <w:szCs w:val="24"/>
          <w:lang w:val="sr-Latn-ME"/>
        </w:rPr>
      </w:pPr>
    </w:p>
    <w:p w14:paraId="14985A30" w14:textId="051D411C" w:rsidR="00201FE9" w:rsidRPr="00C86111" w:rsidRDefault="00201FE9" w:rsidP="00201FE9">
      <w:pPr>
        <w:spacing w:line="276" w:lineRule="auto"/>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Tabela 1</w:t>
      </w:r>
      <w:r w:rsidR="00DE40D4" w:rsidRPr="00C86111">
        <w:rPr>
          <w:rFonts w:asciiTheme="minorHAnsi" w:hAnsiTheme="minorHAnsi" w:cstheme="minorHAnsi"/>
          <w:b/>
          <w:bCs/>
          <w:color w:val="auto"/>
          <w:szCs w:val="24"/>
          <w:lang w:val="sr-Latn-ME"/>
        </w:rPr>
        <w:t>15</w:t>
      </w:r>
      <w:r w:rsidRPr="00C86111">
        <w:rPr>
          <w:rFonts w:asciiTheme="minorHAnsi" w:hAnsiTheme="minorHAnsi" w:cstheme="minorHAnsi"/>
          <w:color w:val="auto"/>
          <w:szCs w:val="24"/>
          <w:lang w:val="sr-Latn-ME"/>
        </w:rPr>
        <w:t>. Količina SCCP u vozilima u upotrebi bazirano na aproksimaciji od 2,4 g po vozilu</w:t>
      </w:r>
    </w:p>
    <w:tbl>
      <w:tblPr>
        <w:tblStyle w:val="GridTable5Dark-Accent6"/>
        <w:tblW w:w="9355" w:type="dxa"/>
        <w:tblLook w:val="04A0" w:firstRow="1" w:lastRow="0" w:firstColumn="1" w:lastColumn="0" w:noHBand="0" w:noVBand="1"/>
      </w:tblPr>
      <w:tblGrid>
        <w:gridCol w:w="1521"/>
        <w:gridCol w:w="825"/>
        <w:gridCol w:w="989"/>
        <w:gridCol w:w="1079"/>
        <w:gridCol w:w="989"/>
        <w:gridCol w:w="1526"/>
        <w:gridCol w:w="1347"/>
        <w:gridCol w:w="1079"/>
      </w:tblGrid>
      <w:tr w:rsidR="00201FE9" w:rsidRPr="00C86111" w14:paraId="5638F502" w14:textId="77777777" w:rsidTr="00855068">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21" w:type="dxa"/>
          </w:tcPr>
          <w:p w14:paraId="315260AE" w14:textId="77777777" w:rsidR="00201FE9" w:rsidRPr="00C86111" w:rsidRDefault="00201FE9" w:rsidP="00BC765B">
            <w:pPr>
              <w:spacing w:line="276" w:lineRule="auto"/>
              <w:jc w:val="center"/>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Godina</w:t>
            </w:r>
          </w:p>
        </w:tc>
        <w:tc>
          <w:tcPr>
            <w:tcW w:w="825" w:type="dxa"/>
          </w:tcPr>
          <w:p w14:paraId="4053CC9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2017</w:t>
            </w:r>
          </w:p>
        </w:tc>
        <w:tc>
          <w:tcPr>
            <w:tcW w:w="989" w:type="dxa"/>
          </w:tcPr>
          <w:p w14:paraId="69DCFE2B"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2018</w:t>
            </w:r>
          </w:p>
        </w:tc>
        <w:tc>
          <w:tcPr>
            <w:tcW w:w="1079" w:type="dxa"/>
          </w:tcPr>
          <w:p w14:paraId="5E0FA9BC"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2019</w:t>
            </w:r>
          </w:p>
        </w:tc>
        <w:tc>
          <w:tcPr>
            <w:tcW w:w="989" w:type="dxa"/>
          </w:tcPr>
          <w:p w14:paraId="19EF83A4"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2020</w:t>
            </w:r>
          </w:p>
        </w:tc>
        <w:tc>
          <w:tcPr>
            <w:tcW w:w="1526" w:type="dxa"/>
          </w:tcPr>
          <w:p w14:paraId="1499E51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2021</w:t>
            </w:r>
          </w:p>
        </w:tc>
        <w:tc>
          <w:tcPr>
            <w:tcW w:w="1347" w:type="dxa"/>
          </w:tcPr>
          <w:p w14:paraId="6EF6C499"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2022</w:t>
            </w:r>
          </w:p>
        </w:tc>
        <w:tc>
          <w:tcPr>
            <w:tcW w:w="1079" w:type="dxa"/>
          </w:tcPr>
          <w:p w14:paraId="0BE11D98"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hAnsiTheme="minorHAnsi" w:cstheme="minorHAnsi"/>
                <w:color w:val="auto"/>
                <w:sz w:val="20"/>
                <w:szCs w:val="20"/>
                <w:lang w:val="sr-Latn-ME"/>
              </w:rPr>
              <w:t>2023</w:t>
            </w:r>
          </w:p>
        </w:tc>
      </w:tr>
      <w:tr w:rsidR="00201FE9" w:rsidRPr="00C86111" w14:paraId="44A7FCA6" w14:textId="77777777" w:rsidTr="00855068">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521" w:type="dxa"/>
          </w:tcPr>
          <w:p w14:paraId="621C2EAF" w14:textId="77777777" w:rsidR="00201FE9" w:rsidRPr="00C86111" w:rsidRDefault="00201FE9" w:rsidP="00BC765B">
            <w:pPr>
              <w:spacing w:line="276" w:lineRule="auto"/>
              <w:jc w:val="center"/>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Broj vozila</w:t>
            </w:r>
          </w:p>
        </w:tc>
        <w:tc>
          <w:tcPr>
            <w:tcW w:w="825" w:type="dxa"/>
          </w:tcPr>
          <w:p w14:paraId="6E37CB0F"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154092</w:t>
            </w:r>
          </w:p>
        </w:tc>
        <w:tc>
          <w:tcPr>
            <w:tcW w:w="989" w:type="dxa"/>
          </w:tcPr>
          <w:p w14:paraId="6D75F65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176099</w:t>
            </w:r>
          </w:p>
        </w:tc>
        <w:tc>
          <w:tcPr>
            <w:tcW w:w="1079" w:type="dxa"/>
          </w:tcPr>
          <w:p w14:paraId="61780CB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199506</w:t>
            </w:r>
          </w:p>
        </w:tc>
        <w:tc>
          <w:tcPr>
            <w:tcW w:w="989" w:type="dxa"/>
          </w:tcPr>
          <w:p w14:paraId="558BDF3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195602</w:t>
            </w:r>
          </w:p>
        </w:tc>
        <w:tc>
          <w:tcPr>
            <w:tcW w:w="1526" w:type="dxa"/>
          </w:tcPr>
          <w:p w14:paraId="71FEC63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213966</w:t>
            </w:r>
          </w:p>
        </w:tc>
        <w:tc>
          <w:tcPr>
            <w:tcW w:w="1347" w:type="dxa"/>
          </w:tcPr>
          <w:p w14:paraId="56076DF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227934</w:t>
            </w:r>
          </w:p>
        </w:tc>
        <w:tc>
          <w:tcPr>
            <w:tcW w:w="1079" w:type="dxa"/>
          </w:tcPr>
          <w:p w14:paraId="7612A745"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252501</w:t>
            </w:r>
          </w:p>
        </w:tc>
      </w:tr>
      <w:tr w:rsidR="00201FE9" w:rsidRPr="00C86111" w14:paraId="06DE474E" w14:textId="77777777" w:rsidTr="00855068">
        <w:trPr>
          <w:trHeight w:val="445"/>
        </w:trPr>
        <w:tc>
          <w:tcPr>
            <w:cnfStyle w:val="001000000000" w:firstRow="0" w:lastRow="0" w:firstColumn="1" w:lastColumn="0" w:oddVBand="0" w:evenVBand="0" w:oddHBand="0" w:evenHBand="0" w:firstRowFirstColumn="0" w:firstRowLastColumn="0" w:lastRowFirstColumn="0" w:lastRowLastColumn="0"/>
            <w:tcW w:w="1521" w:type="dxa"/>
          </w:tcPr>
          <w:p w14:paraId="7B944C6F" w14:textId="77777777" w:rsidR="00201FE9" w:rsidRPr="00C86111" w:rsidRDefault="00201FE9" w:rsidP="00BC765B">
            <w:pPr>
              <w:spacing w:line="276" w:lineRule="auto"/>
              <w:jc w:val="center"/>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Količina SCCP (kg)</w:t>
            </w:r>
          </w:p>
        </w:tc>
        <w:tc>
          <w:tcPr>
            <w:tcW w:w="825" w:type="dxa"/>
          </w:tcPr>
          <w:p w14:paraId="0345404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370</w:t>
            </w:r>
          </w:p>
        </w:tc>
        <w:tc>
          <w:tcPr>
            <w:tcW w:w="989" w:type="dxa"/>
          </w:tcPr>
          <w:p w14:paraId="12BEAFE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423</w:t>
            </w:r>
          </w:p>
        </w:tc>
        <w:tc>
          <w:tcPr>
            <w:tcW w:w="1079" w:type="dxa"/>
          </w:tcPr>
          <w:p w14:paraId="386E931A"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467</w:t>
            </w:r>
          </w:p>
        </w:tc>
        <w:tc>
          <w:tcPr>
            <w:tcW w:w="989" w:type="dxa"/>
          </w:tcPr>
          <w:p w14:paraId="050E0BB0"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469</w:t>
            </w:r>
          </w:p>
        </w:tc>
        <w:tc>
          <w:tcPr>
            <w:tcW w:w="1526" w:type="dxa"/>
          </w:tcPr>
          <w:p w14:paraId="06E31E1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513</w:t>
            </w:r>
          </w:p>
        </w:tc>
        <w:tc>
          <w:tcPr>
            <w:tcW w:w="1347" w:type="dxa"/>
          </w:tcPr>
          <w:p w14:paraId="5206AA01"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547</w:t>
            </w:r>
          </w:p>
        </w:tc>
        <w:tc>
          <w:tcPr>
            <w:tcW w:w="1079" w:type="dxa"/>
          </w:tcPr>
          <w:p w14:paraId="64B4CB0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hAnsiTheme="minorHAnsi" w:cstheme="minorHAnsi"/>
                <w:color w:val="auto"/>
                <w:sz w:val="20"/>
                <w:szCs w:val="20"/>
                <w:lang w:val="sr-Latn-ME"/>
              </w:rPr>
              <w:t>606</w:t>
            </w:r>
          </w:p>
        </w:tc>
      </w:tr>
    </w:tbl>
    <w:p w14:paraId="18623ACE" w14:textId="77777777" w:rsidR="00201FE9" w:rsidRPr="00C86111" w:rsidRDefault="00201FE9" w:rsidP="00201FE9">
      <w:pPr>
        <w:spacing w:line="276" w:lineRule="auto"/>
        <w:rPr>
          <w:rFonts w:asciiTheme="minorHAnsi" w:hAnsiTheme="minorHAnsi" w:cstheme="minorHAnsi"/>
          <w:color w:val="auto"/>
          <w:szCs w:val="24"/>
          <w:lang w:val="sr-Latn-ME"/>
        </w:rPr>
      </w:pPr>
    </w:p>
    <w:p w14:paraId="60AD0CB1" w14:textId="77777777" w:rsidR="00201FE9" w:rsidRPr="00C86111" w:rsidRDefault="00201FE9" w:rsidP="00EA6904">
      <w:pPr>
        <w:pStyle w:val="Heading4"/>
      </w:pPr>
      <w:bookmarkStart w:id="424" w:name="_Toc210744983"/>
      <w:r w:rsidRPr="00C86111">
        <w:t>Uvezena vozila u Crnoj Gori</w:t>
      </w:r>
      <w:bookmarkEnd w:id="424"/>
    </w:p>
    <w:p w14:paraId="69CCC61A" w14:textId="77777777" w:rsidR="00201FE9" w:rsidRPr="00C86111" w:rsidRDefault="00201FE9" w:rsidP="00201FE9">
      <w:pPr>
        <w:rPr>
          <w:i/>
          <w:iCs/>
          <w:color w:val="002060"/>
          <w:lang w:val="sr-Latn-ME"/>
        </w:rPr>
      </w:pPr>
    </w:p>
    <w:p w14:paraId="6FD8D18C" w14:textId="415E7ED3" w:rsidR="00201FE9" w:rsidRPr="00C86111" w:rsidRDefault="00201FE9" w:rsidP="00201FE9">
      <w:pPr>
        <w:spacing w:line="276" w:lineRule="auto"/>
        <w:jc w:val="both"/>
        <w:rPr>
          <w:rFonts w:asciiTheme="minorHAnsi" w:eastAsia="MS Gothic" w:hAnsiTheme="minorHAnsi" w:cstheme="minorHAnsi"/>
          <w:iCs/>
          <w:color w:val="auto"/>
          <w:szCs w:val="24"/>
          <w:lang w:val="sr-Latn-ME"/>
        </w:rPr>
      </w:pPr>
      <w:r w:rsidRPr="00C86111">
        <w:rPr>
          <w:rFonts w:asciiTheme="minorHAnsi" w:eastAsia="MS Gothic" w:hAnsiTheme="minorHAnsi" w:cstheme="minorHAnsi"/>
          <w:iCs/>
          <w:color w:val="auto"/>
          <w:szCs w:val="24"/>
          <w:lang w:val="sr-Latn-ME"/>
        </w:rPr>
        <w:t>Podaci o broju uvezenih vozila dobijeni su od Mašinskog fakulteta - Centra za motore i vozila - koji, u skladu sa Zakonom o bezbednosti saobraćaja na putevima, vrši homologaciju vozila. Na osnovu prethodnog predloga za aproksimaciju količine od 2,4 g SCCP po vozilu i prikupljenih podataka o broju uvezenih vozila, količina SCCP za period 2017-2023. data je u Tabeli 1</w:t>
      </w:r>
      <w:r w:rsidR="00DE40D4" w:rsidRPr="00C86111">
        <w:rPr>
          <w:rFonts w:asciiTheme="minorHAnsi" w:eastAsia="MS Gothic" w:hAnsiTheme="minorHAnsi" w:cstheme="minorHAnsi"/>
          <w:iCs/>
          <w:color w:val="auto"/>
          <w:szCs w:val="24"/>
          <w:lang w:val="sr-Latn-ME"/>
        </w:rPr>
        <w:t>16</w:t>
      </w:r>
      <w:r w:rsidRPr="00C86111">
        <w:rPr>
          <w:rFonts w:asciiTheme="minorHAnsi" w:eastAsia="MS Gothic" w:hAnsiTheme="minorHAnsi" w:cstheme="minorHAnsi"/>
          <w:iCs/>
          <w:color w:val="auto"/>
          <w:szCs w:val="24"/>
          <w:lang w:val="sr-Latn-ME"/>
        </w:rPr>
        <w:t>.</w:t>
      </w:r>
    </w:p>
    <w:p w14:paraId="6BEBDC98" w14:textId="77777777" w:rsidR="00201FE9" w:rsidRDefault="00201FE9" w:rsidP="00201FE9">
      <w:pPr>
        <w:spacing w:line="276" w:lineRule="auto"/>
        <w:jc w:val="both"/>
        <w:rPr>
          <w:rFonts w:asciiTheme="minorHAnsi" w:eastAsia="MS Gothic" w:hAnsiTheme="minorHAnsi" w:cstheme="minorHAnsi"/>
          <w:iCs/>
          <w:color w:val="auto"/>
          <w:szCs w:val="24"/>
          <w:lang w:val="sr-Latn-ME"/>
        </w:rPr>
      </w:pPr>
    </w:p>
    <w:p w14:paraId="527AB36C" w14:textId="705C4345" w:rsidR="00201FE9" w:rsidRPr="00C86111" w:rsidRDefault="00201FE9" w:rsidP="00201FE9">
      <w:pPr>
        <w:spacing w:line="276" w:lineRule="auto"/>
        <w:rPr>
          <w:rFonts w:asciiTheme="minorHAnsi" w:hAnsiTheme="minorHAnsi" w:cstheme="minorHAnsi"/>
          <w:color w:val="auto"/>
          <w:szCs w:val="24"/>
          <w:lang w:val="sr-Latn-ME"/>
        </w:rPr>
      </w:pPr>
      <w:r w:rsidRPr="00C86111">
        <w:rPr>
          <w:rFonts w:asciiTheme="minorHAnsi" w:hAnsiTheme="minorHAnsi" w:cstheme="minorHAnsi"/>
          <w:b/>
          <w:bCs/>
          <w:color w:val="auto"/>
          <w:szCs w:val="24"/>
          <w:lang w:val="sr-Latn-ME"/>
        </w:rPr>
        <w:t>Tabela 1</w:t>
      </w:r>
      <w:r w:rsidR="00DE40D4" w:rsidRPr="00C86111">
        <w:rPr>
          <w:rFonts w:asciiTheme="minorHAnsi" w:hAnsiTheme="minorHAnsi" w:cstheme="minorHAnsi"/>
          <w:b/>
          <w:bCs/>
          <w:color w:val="auto"/>
          <w:szCs w:val="24"/>
          <w:lang w:val="sr-Latn-ME"/>
        </w:rPr>
        <w:t>16</w:t>
      </w:r>
      <w:r w:rsidRPr="00C86111">
        <w:rPr>
          <w:rFonts w:asciiTheme="minorHAnsi" w:hAnsiTheme="minorHAnsi" w:cstheme="minorHAnsi"/>
          <w:color w:val="auto"/>
          <w:szCs w:val="24"/>
          <w:lang w:val="sr-Latn-ME"/>
        </w:rPr>
        <w:t>. Količina SCCP u uvezenim vozilima bazirano na aproksimaciji od 2,4 g po vozilu</w:t>
      </w:r>
    </w:p>
    <w:tbl>
      <w:tblPr>
        <w:tblStyle w:val="GridTable5Dark-Accent6"/>
        <w:tblW w:w="8995" w:type="dxa"/>
        <w:tblLook w:val="04A0" w:firstRow="1" w:lastRow="0" w:firstColumn="1" w:lastColumn="0" w:noHBand="0" w:noVBand="1"/>
      </w:tblPr>
      <w:tblGrid>
        <w:gridCol w:w="1872"/>
        <w:gridCol w:w="2353"/>
        <w:gridCol w:w="2340"/>
        <w:gridCol w:w="2430"/>
      </w:tblGrid>
      <w:tr w:rsidR="00201FE9" w:rsidRPr="00C86111" w14:paraId="7B1890B2" w14:textId="77777777" w:rsidTr="00BC765B">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872" w:type="dxa"/>
          </w:tcPr>
          <w:p w14:paraId="2839088B" w14:textId="77777777" w:rsidR="00201FE9" w:rsidRPr="00C86111" w:rsidRDefault="00201FE9" w:rsidP="00BC765B">
            <w:pPr>
              <w:spacing w:line="276" w:lineRule="auto"/>
              <w:jc w:val="center"/>
              <w:rPr>
                <w:rFonts w:asciiTheme="minorHAnsi" w:eastAsia="Calibri"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 xml:space="preserve">Godina </w:t>
            </w:r>
          </w:p>
        </w:tc>
        <w:tc>
          <w:tcPr>
            <w:tcW w:w="2353" w:type="dxa"/>
          </w:tcPr>
          <w:p w14:paraId="2F09869A"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Broj uvezenih vozila</w:t>
            </w:r>
          </w:p>
        </w:tc>
        <w:tc>
          <w:tcPr>
            <w:tcW w:w="2340" w:type="dxa"/>
          </w:tcPr>
          <w:p w14:paraId="1B7D8E13"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Količina SCCP (g)</w:t>
            </w:r>
          </w:p>
        </w:tc>
        <w:tc>
          <w:tcPr>
            <w:tcW w:w="2430" w:type="dxa"/>
          </w:tcPr>
          <w:p w14:paraId="3AC0375C" w14:textId="77777777" w:rsidR="00201FE9" w:rsidRPr="00C86111" w:rsidRDefault="00201FE9" w:rsidP="00BC765B">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0"/>
                <w:szCs w:val="20"/>
                <w:lang w:val="sr-Latn-ME"/>
              </w:rPr>
            </w:pPr>
            <w:r w:rsidRPr="00C86111">
              <w:rPr>
                <w:rFonts w:asciiTheme="minorHAnsi" w:eastAsia="Times New Roman" w:hAnsiTheme="minorHAnsi" w:cstheme="minorHAnsi"/>
                <w:color w:val="auto"/>
                <w:sz w:val="20"/>
                <w:szCs w:val="20"/>
                <w:lang w:val="sr-Latn-ME"/>
              </w:rPr>
              <w:t>Količina SCCP (kg)</w:t>
            </w:r>
          </w:p>
        </w:tc>
      </w:tr>
      <w:tr w:rsidR="00201FE9" w:rsidRPr="00C86111" w14:paraId="3D2F190F" w14:textId="77777777" w:rsidTr="00BC765B">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872" w:type="dxa"/>
          </w:tcPr>
          <w:p w14:paraId="7873F96B" w14:textId="77777777" w:rsidR="00201FE9" w:rsidRPr="00C86111" w:rsidRDefault="00201FE9" w:rsidP="00BC765B">
            <w:pPr>
              <w:spacing w:line="276" w:lineRule="auto"/>
              <w:jc w:val="center"/>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2017</w:t>
            </w:r>
          </w:p>
        </w:tc>
        <w:tc>
          <w:tcPr>
            <w:tcW w:w="2353" w:type="dxa"/>
          </w:tcPr>
          <w:p w14:paraId="1434685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15995</w:t>
            </w:r>
          </w:p>
        </w:tc>
        <w:tc>
          <w:tcPr>
            <w:tcW w:w="2340" w:type="dxa"/>
          </w:tcPr>
          <w:p w14:paraId="3993D62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38388</w:t>
            </w:r>
          </w:p>
        </w:tc>
        <w:tc>
          <w:tcPr>
            <w:tcW w:w="2430" w:type="dxa"/>
          </w:tcPr>
          <w:p w14:paraId="778B7C5E"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38</w:t>
            </w:r>
          </w:p>
        </w:tc>
      </w:tr>
      <w:tr w:rsidR="00201FE9" w:rsidRPr="00C86111" w14:paraId="477D494C" w14:textId="77777777" w:rsidTr="00BC765B">
        <w:trPr>
          <w:trHeight w:hRule="exact" w:val="288"/>
        </w:trPr>
        <w:tc>
          <w:tcPr>
            <w:cnfStyle w:val="001000000000" w:firstRow="0" w:lastRow="0" w:firstColumn="1" w:lastColumn="0" w:oddVBand="0" w:evenVBand="0" w:oddHBand="0" w:evenHBand="0" w:firstRowFirstColumn="0" w:firstRowLastColumn="0" w:lastRowFirstColumn="0" w:lastRowLastColumn="0"/>
            <w:tcW w:w="1872" w:type="dxa"/>
          </w:tcPr>
          <w:p w14:paraId="52E1387A" w14:textId="77777777" w:rsidR="00201FE9" w:rsidRPr="00C86111" w:rsidRDefault="00201FE9" w:rsidP="00BC765B">
            <w:pPr>
              <w:spacing w:line="276" w:lineRule="auto"/>
              <w:jc w:val="center"/>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2018</w:t>
            </w:r>
          </w:p>
        </w:tc>
        <w:tc>
          <w:tcPr>
            <w:tcW w:w="2353" w:type="dxa"/>
          </w:tcPr>
          <w:p w14:paraId="25408CF8"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17144</w:t>
            </w:r>
          </w:p>
        </w:tc>
        <w:tc>
          <w:tcPr>
            <w:tcW w:w="2340" w:type="dxa"/>
          </w:tcPr>
          <w:p w14:paraId="386CC81B"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41146</w:t>
            </w:r>
          </w:p>
        </w:tc>
        <w:tc>
          <w:tcPr>
            <w:tcW w:w="2430" w:type="dxa"/>
          </w:tcPr>
          <w:p w14:paraId="40458E9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41</w:t>
            </w:r>
          </w:p>
        </w:tc>
      </w:tr>
      <w:tr w:rsidR="00201FE9" w:rsidRPr="00C86111" w14:paraId="15007F78" w14:textId="77777777" w:rsidTr="00BC765B">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872" w:type="dxa"/>
          </w:tcPr>
          <w:p w14:paraId="2C71B2CA"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2019</w:t>
            </w:r>
          </w:p>
        </w:tc>
        <w:tc>
          <w:tcPr>
            <w:tcW w:w="2353" w:type="dxa"/>
          </w:tcPr>
          <w:p w14:paraId="20E4C27B"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14973</w:t>
            </w:r>
          </w:p>
        </w:tc>
        <w:tc>
          <w:tcPr>
            <w:tcW w:w="2340" w:type="dxa"/>
          </w:tcPr>
          <w:p w14:paraId="0305AD06"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35935</w:t>
            </w:r>
          </w:p>
        </w:tc>
        <w:tc>
          <w:tcPr>
            <w:tcW w:w="2430" w:type="dxa"/>
          </w:tcPr>
          <w:p w14:paraId="0BCB6579"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36</w:t>
            </w:r>
          </w:p>
        </w:tc>
      </w:tr>
      <w:tr w:rsidR="00201FE9" w:rsidRPr="00C86111" w14:paraId="1E321FE9" w14:textId="77777777" w:rsidTr="00BC765B">
        <w:trPr>
          <w:trHeight w:hRule="exact" w:val="288"/>
        </w:trPr>
        <w:tc>
          <w:tcPr>
            <w:cnfStyle w:val="001000000000" w:firstRow="0" w:lastRow="0" w:firstColumn="1" w:lastColumn="0" w:oddVBand="0" w:evenVBand="0" w:oddHBand="0" w:evenHBand="0" w:firstRowFirstColumn="0" w:firstRowLastColumn="0" w:lastRowFirstColumn="0" w:lastRowLastColumn="0"/>
            <w:tcW w:w="1872" w:type="dxa"/>
          </w:tcPr>
          <w:p w14:paraId="4F26E504"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2020</w:t>
            </w:r>
          </w:p>
        </w:tc>
        <w:tc>
          <w:tcPr>
            <w:tcW w:w="2353" w:type="dxa"/>
          </w:tcPr>
          <w:p w14:paraId="222CB185"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10336</w:t>
            </w:r>
          </w:p>
        </w:tc>
        <w:tc>
          <w:tcPr>
            <w:tcW w:w="2340" w:type="dxa"/>
          </w:tcPr>
          <w:p w14:paraId="27A2FC0E"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24806</w:t>
            </w:r>
          </w:p>
        </w:tc>
        <w:tc>
          <w:tcPr>
            <w:tcW w:w="2430" w:type="dxa"/>
          </w:tcPr>
          <w:p w14:paraId="32AC7C87"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25</w:t>
            </w:r>
          </w:p>
        </w:tc>
      </w:tr>
      <w:tr w:rsidR="00201FE9" w:rsidRPr="00C86111" w14:paraId="3054F873" w14:textId="77777777" w:rsidTr="00BC765B">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872" w:type="dxa"/>
          </w:tcPr>
          <w:p w14:paraId="03FEF175"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2021</w:t>
            </w:r>
          </w:p>
        </w:tc>
        <w:tc>
          <w:tcPr>
            <w:tcW w:w="2353" w:type="dxa"/>
          </w:tcPr>
          <w:p w14:paraId="6681D7BD"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11332</w:t>
            </w:r>
          </w:p>
        </w:tc>
        <w:tc>
          <w:tcPr>
            <w:tcW w:w="2340" w:type="dxa"/>
          </w:tcPr>
          <w:p w14:paraId="1E3E5D6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27197</w:t>
            </w:r>
          </w:p>
        </w:tc>
        <w:tc>
          <w:tcPr>
            <w:tcW w:w="2430" w:type="dxa"/>
          </w:tcPr>
          <w:p w14:paraId="59912568"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27</w:t>
            </w:r>
          </w:p>
        </w:tc>
      </w:tr>
      <w:tr w:rsidR="00201FE9" w:rsidRPr="00C86111" w14:paraId="6AFDC873" w14:textId="77777777" w:rsidTr="00BC765B">
        <w:trPr>
          <w:trHeight w:hRule="exact" w:val="288"/>
        </w:trPr>
        <w:tc>
          <w:tcPr>
            <w:cnfStyle w:val="001000000000" w:firstRow="0" w:lastRow="0" w:firstColumn="1" w:lastColumn="0" w:oddVBand="0" w:evenVBand="0" w:oddHBand="0" w:evenHBand="0" w:firstRowFirstColumn="0" w:firstRowLastColumn="0" w:lastRowFirstColumn="0" w:lastRowLastColumn="0"/>
            <w:tcW w:w="1872" w:type="dxa"/>
          </w:tcPr>
          <w:p w14:paraId="46CC1C4F"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2022</w:t>
            </w:r>
          </w:p>
        </w:tc>
        <w:tc>
          <w:tcPr>
            <w:tcW w:w="2353" w:type="dxa"/>
          </w:tcPr>
          <w:p w14:paraId="1F66D5F2"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14249</w:t>
            </w:r>
          </w:p>
        </w:tc>
        <w:tc>
          <w:tcPr>
            <w:tcW w:w="2340" w:type="dxa"/>
          </w:tcPr>
          <w:p w14:paraId="472A772F"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34198</w:t>
            </w:r>
          </w:p>
        </w:tc>
        <w:tc>
          <w:tcPr>
            <w:tcW w:w="2430" w:type="dxa"/>
          </w:tcPr>
          <w:p w14:paraId="432B30D9" w14:textId="77777777" w:rsidR="00201FE9" w:rsidRPr="00C86111" w:rsidRDefault="00201FE9" w:rsidP="00BC765B">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34</w:t>
            </w:r>
          </w:p>
        </w:tc>
      </w:tr>
      <w:tr w:rsidR="00201FE9" w:rsidRPr="00C86111" w14:paraId="7D273934" w14:textId="77777777" w:rsidTr="00BC765B">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872" w:type="dxa"/>
          </w:tcPr>
          <w:p w14:paraId="24FFD8E4" w14:textId="77777777" w:rsidR="00201FE9" w:rsidRPr="00C86111" w:rsidRDefault="00201FE9" w:rsidP="00BC765B">
            <w:pPr>
              <w:spacing w:line="276" w:lineRule="auto"/>
              <w:jc w:val="center"/>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2023</w:t>
            </w:r>
          </w:p>
        </w:tc>
        <w:tc>
          <w:tcPr>
            <w:tcW w:w="2353" w:type="dxa"/>
          </w:tcPr>
          <w:p w14:paraId="0630791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18619</w:t>
            </w:r>
          </w:p>
        </w:tc>
        <w:tc>
          <w:tcPr>
            <w:tcW w:w="2340" w:type="dxa"/>
          </w:tcPr>
          <w:p w14:paraId="0CA18401"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44686</w:t>
            </w:r>
          </w:p>
        </w:tc>
        <w:tc>
          <w:tcPr>
            <w:tcW w:w="2430" w:type="dxa"/>
          </w:tcPr>
          <w:p w14:paraId="2B51D363" w14:textId="77777777" w:rsidR="00201FE9" w:rsidRPr="00C86111" w:rsidRDefault="00201FE9" w:rsidP="00BC765B">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0"/>
                <w:szCs w:val="20"/>
                <w:lang w:val="sr-Latn-ME"/>
              </w:rPr>
            </w:pPr>
            <w:r w:rsidRPr="00C86111">
              <w:rPr>
                <w:rFonts w:asciiTheme="minorHAnsi" w:eastAsia="Times New Roman" w:hAnsiTheme="minorHAnsi" w:cstheme="minorHAnsi"/>
                <w:color w:val="auto"/>
                <w:sz w:val="20"/>
                <w:szCs w:val="20"/>
                <w:lang w:val="sr-Latn-ME"/>
              </w:rPr>
              <w:t>45</w:t>
            </w:r>
          </w:p>
        </w:tc>
      </w:tr>
    </w:tbl>
    <w:p w14:paraId="64CA8197" w14:textId="77777777" w:rsidR="00201FE9" w:rsidRPr="00C86111" w:rsidRDefault="00201FE9" w:rsidP="00EA6904">
      <w:pPr>
        <w:pStyle w:val="Heading2"/>
        <w:rPr>
          <w:rStyle w:val="Strong"/>
          <w:b/>
          <w:bCs/>
          <w:lang w:eastAsia="en-GB"/>
        </w:rPr>
      </w:pPr>
    </w:p>
    <w:p w14:paraId="20CFFD67" w14:textId="77777777" w:rsidR="00201FE9" w:rsidRPr="00C86111" w:rsidRDefault="00201FE9" w:rsidP="00EA6904">
      <w:pPr>
        <w:pStyle w:val="Heading4"/>
        <w:rPr>
          <w:rStyle w:val="Strong"/>
          <w:b w:val="0"/>
          <w:i w:val="0"/>
          <w:iCs w:val="0"/>
        </w:rPr>
      </w:pPr>
      <w:bookmarkStart w:id="425" w:name="_Toc210744984"/>
      <w:r w:rsidRPr="00C86111">
        <w:rPr>
          <w:rStyle w:val="Strong"/>
          <w:b w:val="0"/>
        </w:rPr>
        <w:t>Zaključci – Inventar SCCP u transportnom sektoru (vozila)</w:t>
      </w:r>
      <w:bookmarkEnd w:id="425"/>
    </w:p>
    <w:p w14:paraId="3A0DADE0" w14:textId="77777777" w:rsidR="00201FE9" w:rsidRPr="00C86111" w:rsidRDefault="00201FE9" w:rsidP="007E2AA5">
      <w:pPr>
        <w:pStyle w:val="NormalWeb"/>
        <w:numPr>
          <w:ilvl w:val="0"/>
          <w:numId w:val="22"/>
        </w:numPr>
        <w:tabs>
          <w:tab w:val="clear" w:pos="720"/>
          <w:tab w:val="num" w:pos="540"/>
        </w:tabs>
        <w:spacing w:before="0" w:beforeAutospacing="0" w:after="0" w:afterAutospacing="0" w:line="276" w:lineRule="auto"/>
        <w:ind w:left="360"/>
        <w:rPr>
          <w:rFonts w:asciiTheme="minorHAnsi" w:hAnsiTheme="minorHAnsi" w:cstheme="minorHAnsi"/>
          <w:b/>
          <w:color w:val="002060"/>
          <w:lang w:val="sr-Latn-ME"/>
        </w:rPr>
      </w:pPr>
      <w:r w:rsidRPr="00C86111">
        <w:rPr>
          <w:rStyle w:val="Strong"/>
          <w:rFonts w:asciiTheme="minorHAnsi" w:hAnsiTheme="minorHAnsi" w:cstheme="minorHAnsi"/>
          <w:b w:val="0"/>
          <w:color w:val="002060"/>
          <w:lang w:val="sr-Latn-ME"/>
        </w:rPr>
        <w:t>Vozila u upotrebi</w:t>
      </w:r>
    </w:p>
    <w:p w14:paraId="39D43CB9" w14:textId="77777777" w:rsidR="00201FE9" w:rsidRPr="00C86111" w:rsidRDefault="00201FE9" w:rsidP="00833A40">
      <w:pPr>
        <w:pStyle w:val="NormalWeb"/>
        <w:numPr>
          <w:ilvl w:val="0"/>
          <w:numId w:val="121"/>
        </w:numPr>
        <w:tabs>
          <w:tab w:val="num" w:pos="1260"/>
        </w:tabs>
        <w:spacing w:before="0" w:beforeAutospacing="0" w:after="0" w:afterAutospacing="0" w:line="276" w:lineRule="auto"/>
        <w:rPr>
          <w:rFonts w:asciiTheme="minorHAnsi" w:hAnsiTheme="minorHAnsi" w:cstheme="minorHAnsi"/>
          <w:lang w:val="sr-Latn-ME"/>
        </w:rPr>
      </w:pPr>
      <w:r w:rsidRPr="00C86111">
        <w:rPr>
          <w:rFonts w:asciiTheme="minorHAnsi" w:hAnsiTheme="minorHAnsi" w:cstheme="minorHAnsi"/>
          <w:lang w:val="sr-Latn-ME"/>
        </w:rPr>
        <w:t>Broj registrovanih vozila u Crnoj Gori pokazuje stalan porast sa 154.092 vozila u 2017. godini na 252.501 vozilo u 2023. godini.</w:t>
      </w:r>
    </w:p>
    <w:p w14:paraId="1E2A5096" w14:textId="77777777" w:rsidR="00201FE9" w:rsidRPr="00C86111" w:rsidRDefault="00201FE9" w:rsidP="00833A40">
      <w:pPr>
        <w:pStyle w:val="NormalWeb"/>
        <w:numPr>
          <w:ilvl w:val="0"/>
          <w:numId w:val="121"/>
        </w:numPr>
        <w:tabs>
          <w:tab w:val="num" w:pos="126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Na osnovu pretpostavke od 2,4 g SCCP po vozilu, procijenjeni sadržaj SCCP-a u nacionalnom voznom parku povećao se sa 370 kg u 2017. godini na 606 kg u 2023. godini.</w:t>
      </w:r>
    </w:p>
    <w:p w14:paraId="586259FD" w14:textId="77777777" w:rsidR="00201FE9" w:rsidRPr="00C86111" w:rsidRDefault="00201FE9" w:rsidP="00833A40">
      <w:pPr>
        <w:pStyle w:val="NormalWeb"/>
        <w:numPr>
          <w:ilvl w:val="0"/>
          <w:numId w:val="121"/>
        </w:numPr>
        <w:tabs>
          <w:tab w:val="num" w:pos="126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Ovo ukazuje na kontinuirano nagomilavanje SCCP unutar postojećeg voznog parka, što će na kraju postati relevantno za upravljanje otpadom od vozila na kraju životnog vijeka.</w:t>
      </w:r>
    </w:p>
    <w:p w14:paraId="50233466" w14:textId="77777777" w:rsidR="00201FE9" w:rsidRPr="00C86111" w:rsidRDefault="00201FE9" w:rsidP="007E2AA5">
      <w:pPr>
        <w:pStyle w:val="NormalWeb"/>
        <w:numPr>
          <w:ilvl w:val="0"/>
          <w:numId w:val="22"/>
        </w:numPr>
        <w:tabs>
          <w:tab w:val="clear" w:pos="720"/>
          <w:tab w:val="num" w:pos="450"/>
        </w:tabs>
        <w:spacing w:before="0" w:beforeAutospacing="0" w:after="0" w:afterAutospacing="0" w:line="276" w:lineRule="auto"/>
        <w:ind w:left="360"/>
        <w:rPr>
          <w:rFonts w:asciiTheme="minorHAnsi" w:hAnsiTheme="minorHAnsi" w:cstheme="minorHAnsi"/>
          <w:b/>
          <w:color w:val="002060"/>
          <w:lang w:val="sr-Latn-ME"/>
        </w:rPr>
      </w:pPr>
      <w:r w:rsidRPr="00C86111">
        <w:rPr>
          <w:rStyle w:val="Strong"/>
          <w:rFonts w:asciiTheme="minorHAnsi" w:hAnsiTheme="minorHAnsi" w:cstheme="minorHAnsi"/>
          <w:b w:val="0"/>
          <w:color w:val="002060"/>
          <w:lang w:val="sr-Latn-ME"/>
        </w:rPr>
        <w:t>Uvezena vozila</w:t>
      </w:r>
    </w:p>
    <w:p w14:paraId="719DFFB3" w14:textId="77777777" w:rsidR="00201FE9" w:rsidRPr="00C86111" w:rsidRDefault="00201FE9" w:rsidP="00833A40">
      <w:pPr>
        <w:pStyle w:val="NormalWeb"/>
        <w:numPr>
          <w:ilvl w:val="0"/>
          <w:numId w:val="122"/>
        </w:numPr>
        <w:tabs>
          <w:tab w:val="num" w:pos="1170"/>
        </w:tabs>
        <w:spacing w:before="0" w:beforeAutospacing="0" w:after="0" w:afterAutospacing="0" w:line="276" w:lineRule="auto"/>
        <w:rPr>
          <w:rFonts w:asciiTheme="minorHAnsi" w:hAnsiTheme="minorHAnsi" w:cstheme="minorHAnsi"/>
          <w:lang w:val="sr-Latn-ME"/>
        </w:rPr>
      </w:pPr>
      <w:r w:rsidRPr="00C86111">
        <w:rPr>
          <w:rFonts w:asciiTheme="minorHAnsi" w:hAnsiTheme="minorHAnsi" w:cstheme="minorHAnsi"/>
          <w:lang w:val="sr-Latn-ME"/>
        </w:rPr>
        <w:t>Godišnji uvoz vozila kretao se od približno 10336 vozila (2020) do 18619 vozila (2023).</w:t>
      </w:r>
    </w:p>
    <w:p w14:paraId="55675D47" w14:textId="77777777" w:rsidR="00201FE9" w:rsidRPr="00C86111" w:rsidRDefault="00201FE9" w:rsidP="00833A40">
      <w:pPr>
        <w:pStyle w:val="NormalWeb"/>
        <w:numPr>
          <w:ilvl w:val="0"/>
          <w:numId w:val="122"/>
        </w:numPr>
        <w:tabs>
          <w:tab w:val="num" w:pos="117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lastRenderedPageBreak/>
        <w:t>Procijenjeni sadržaj SCCP u uvezenim vozilima kretao se između 25 kg/godišnje (2020) i 45 kg/godišnje (2023).</w:t>
      </w:r>
    </w:p>
    <w:p w14:paraId="79725251" w14:textId="77777777" w:rsidR="00201FE9" w:rsidRPr="00C86111" w:rsidRDefault="00201FE9" w:rsidP="00833A40">
      <w:pPr>
        <w:pStyle w:val="NormalWeb"/>
        <w:numPr>
          <w:ilvl w:val="0"/>
          <w:numId w:val="122"/>
        </w:numPr>
        <w:tabs>
          <w:tab w:val="num" w:pos="117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Ovaj uvoz predstavlja stalan priliv SCCP u Crnu Goru, direktno povezan sa širenjem nacionalnog voznog parka.</w:t>
      </w:r>
    </w:p>
    <w:p w14:paraId="31CCF25A" w14:textId="77777777" w:rsidR="00201FE9" w:rsidRPr="00C86111" w:rsidRDefault="00201FE9" w:rsidP="007E2AA5">
      <w:pPr>
        <w:pStyle w:val="NormalWeb"/>
        <w:numPr>
          <w:ilvl w:val="0"/>
          <w:numId w:val="22"/>
        </w:numPr>
        <w:tabs>
          <w:tab w:val="clear" w:pos="720"/>
          <w:tab w:val="num" w:pos="540"/>
        </w:tabs>
        <w:spacing w:before="0" w:beforeAutospacing="0" w:after="0" w:afterAutospacing="0" w:line="276" w:lineRule="auto"/>
        <w:ind w:left="360"/>
        <w:rPr>
          <w:rFonts w:asciiTheme="minorHAnsi" w:hAnsiTheme="minorHAnsi" w:cstheme="minorHAnsi"/>
          <w:b/>
          <w:color w:val="002060"/>
          <w:lang w:val="sr-Latn-ME"/>
        </w:rPr>
      </w:pPr>
      <w:r w:rsidRPr="00C86111">
        <w:rPr>
          <w:rStyle w:val="Strong"/>
          <w:rFonts w:asciiTheme="minorHAnsi" w:hAnsiTheme="minorHAnsi" w:cstheme="minorHAnsi"/>
          <w:b w:val="0"/>
          <w:color w:val="002060"/>
          <w:lang w:val="sr-Latn-ME"/>
        </w:rPr>
        <w:t>Ukupan doprinos transportnog sektora</w:t>
      </w:r>
    </w:p>
    <w:p w14:paraId="1E7A232A" w14:textId="77777777" w:rsidR="00201FE9" w:rsidRPr="00C86111" w:rsidRDefault="00201FE9" w:rsidP="00833A40">
      <w:pPr>
        <w:pStyle w:val="NormalWeb"/>
        <w:numPr>
          <w:ilvl w:val="0"/>
          <w:numId w:val="123"/>
        </w:numPr>
        <w:tabs>
          <w:tab w:val="num" w:pos="126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Iako je prosječan sadržaj SCCP po vozilu relativno nizak (2,4 g/vozilo), veliki broj vozila u saobraćaju rezultira značajnim ukupnim zalihama.</w:t>
      </w:r>
    </w:p>
    <w:p w14:paraId="4EA3CC23" w14:textId="77777777" w:rsidR="00201FE9" w:rsidRPr="00C86111" w:rsidRDefault="00201FE9" w:rsidP="00833A40">
      <w:pPr>
        <w:pStyle w:val="NormalWeb"/>
        <w:numPr>
          <w:ilvl w:val="0"/>
          <w:numId w:val="123"/>
        </w:numPr>
        <w:tabs>
          <w:tab w:val="num" w:pos="126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Prilivi kroz uvezena vozila, u kombinaciji sa akumuliranim SCCP u vozilima u upotrebi, čine transportni sektor relevantnim sekundarnim izvorom SCCP u zemlji.</w:t>
      </w:r>
    </w:p>
    <w:p w14:paraId="7CDB384C" w14:textId="77777777" w:rsidR="00201FE9" w:rsidRPr="00C86111" w:rsidRDefault="00201FE9" w:rsidP="00833A40">
      <w:pPr>
        <w:pStyle w:val="NormalWeb"/>
        <w:numPr>
          <w:ilvl w:val="0"/>
          <w:numId w:val="123"/>
        </w:numPr>
        <w:tabs>
          <w:tab w:val="num" w:pos="1260"/>
        </w:tabs>
        <w:spacing w:before="0" w:beforeAutospacing="0" w:after="0" w:afterAutospacing="0" w:line="276" w:lineRule="auto"/>
        <w:jc w:val="both"/>
        <w:rPr>
          <w:rFonts w:asciiTheme="minorHAnsi" w:hAnsiTheme="minorHAnsi" w:cstheme="minorHAnsi"/>
          <w:lang w:val="sr-Latn-ME"/>
        </w:rPr>
      </w:pPr>
      <w:r w:rsidRPr="00C86111">
        <w:rPr>
          <w:rFonts w:asciiTheme="minorHAnsi" w:hAnsiTheme="minorHAnsi" w:cstheme="minorHAnsi"/>
          <w:lang w:val="sr-Latn-ME"/>
        </w:rPr>
        <w:t>Rizik po životnu sredinu je prvenstveno povezan sa odlaganjem i reciklažom istrošenih vozila, kada materijali poput PVC kablova, gumenih djelova i tekstila koji sadrže SCCP mogu ući u tokove otpada.</w:t>
      </w:r>
    </w:p>
    <w:p w14:paraId="010BB6CC" w14:textId="77777777" w:rsidR="00201FE9" w:rsidRPr="00C86111" w:rsidRDefault="00201FE9" w:rsidP="00201FE9">
      <w:pPr>
        <w:pStyle w:val="NormalWeb"/>
        <w:spacing w:before="0" w:beforeAutospacing="0" w:after="0" w:afterAutospacing="0" w:line="276" w:lineRule="auto"/>
        <w:jc w:val="both"/>
        <w:rPr>
          <w:rFonts w:asciiTheme="minorHAnsi" w:hAnsiTheme="minorHAnsi" w:cstheme="minorHAnsi"/>
          <w:lang w:val="sr-Latn-ME"/>
        </w:rPr>
      </w:pPr>
      <w:r w:rsidRPr="00C86111">
        <w:rPr>
          <w:rStyle w:val="Strong"/>
          <w:rFonts w:asciiTheme="minorHAnsi" w:hAnsiTheme="minorHAnsi" w:cstheme="minorHAnsi"/>
          <w:b w:val="0"/>
          <w:bCs w:val="0"/>
          <w:color w:val="002060"/>
          <w:lang w:val="sr-Latn-ME"/>
        </w:rPr>
        <w:t>Važna napomena:</w:t>
      </w:r>
      <w:r w:rsidRPr="00C86111">
        <w:rPr>
          <w:rFonts w:asciiTheme="minorHAnsi" w:hAnsiTheme="minorHAnsi" w:cstheme="minorHAnsi"/>
          <w:color w:val="002060"/>
          <w:lang w:val="sr-Latn-ME"/>
        </w:rPr>
        <w:t xml:space="preserve"> </w:t>
      </w:r>
      <w:r w:rsidRPr="00C86111">
        <w:rPr>
          <w:rFonts w:asciiTheme="minorHAnsi" w:hAnsiTheme="minorHAnsi" w:cstheme="minorHAnsi"/>
          <w:lang w:val="sr-Latn-ME"/>
        </w:rPr>
        <w:t>Procjene se zasnivaju na međunarodnim aproksimativnim vrijednostima i pretpostavljaju da sva vozila sadrže prosječno 2,4 g SCCP, što vjerovatno dovodi do precjenjivanja za određene tipove vozila. Međutim, ove brojke pružaju korisnu osnovu za nacionalno izvještavanje u skladu sa Stokholmskom konvencijom.</w:t>
      </w:r>
    </w:p>
    <w:p w14:paraId="397054E6" w14:textId="77777777" w:rsidR="00201FE9" w:rsidRPr="00C86111" w:rsidRDefault="00201FE9" w:rsidP="00004F34">
      <w:pPr>
        <w:pStyle w:val="Heading1"/>
        <w:numPr>
          <w:ilvl w:val="1"/>
          <w:numId w:val="238"/>
        </w:numPr>
      </w:pPr>
      <w:bookmarkStart w:id="426" w:name="_Toc210744985"/>
      <w:bookmarkStart w:id="427" w:name="_Toc220541971"/>
      <w:r w:rsidRPr="00C86111">
        <w:t>Diskusija</w:t>
      </w:r>
      <w:bookmarkEnd w:id="426"/>
      <w:bookmarkEnd w:id="427"/>
    </w:p>
    <w:p w14:paraId="3599748B" w14:textId="77777777" w:rsidR="00201FE9" w:rsidRPr="00C86111" w:rsidRDefault="00201FE9" w:rsidP="00201FE9">
      <w:pPr>
        <w:spacing w:line="276" w:lineRule="auto"/>
        <w:jc w:val="both"/>
        <w:rPr>
          <w:rFonts w:asciiTheme="minorHAnsi" w:hAnsiTheme="minorHAnsi" w:cstheme="minorHAnsi"/>
          <w:color w:val="auto"/>
          <w:szCs w:val="24"/>
          <w:lang w:val="sr-Latn-ME"/>
        </w:rPr>
      </w:pPr>
      <w:bookmarkStart w:id="428" w:name="_Toc206579708"/>
      <w:r w:rsidRPr="00C86111">
        <w:rPr>
          <w:rFonts w:asciiTheme="minorHAnsi" w:eastAsia="Calibri" w:hAnsiTheme="minorHAnsi" w:cstheme="minorHAnsi"/>
          <w:color w:val="auto"/>
          <w:kern w:val="2"/>
          <w:szCs w:val="24"/>
          <w:u w:color="000000"/>
          <w:bdr w:val="nil"/>
          <w:lang w:val="sr-Latn-ME"/>
          <w14:textOutline w14:w="0" w14:cap="flat" w14:cmpd="sng" w14:algn="ctr">
            <w14:noFill/>
            <w14:prstDash w14:val="solid"/>
            <w14:bevel/>
          </w14:textOutline>
        </w:rPr>
        <w:t>Inventar je potvrdio da SCCP i MCCP i dalje ulaze u Crnu Goru uglavnom kroz uvezene proizvode široke potrošnje i industrijske proizvode, uprkos tome što su SCCP navedeni u Aneksu A Stokholmske konvencije. Gumeni proizvodi su se pojavili kao dominantan izvor, pri čemu su MCCP prisutni u posebno velikim količinama, dok PVC proizvodi i adhezivne PUR pjene takođe predstavljaju važan izvor. Sektori otpada, kao što su WEEE i istrošena vozila, ističu sekundarne puteve kontaminacije SCCP, zbog postojanosti ovih supstanci u plastici, kablovima i tekstilu. Iako je nacionalna industrijska baza za upotrebu SCCP/MCCP ograničena, zavisnost od uvezenih proizvoda čini Crnu Goru ranjivom po pitanju ovih hemikalija. Nalazi naglašavaju potrebu za jačom kontrolom uvoza, poboljšanim upravljanjem otpadom i bližim usklađivanjem sa međunarodnim obavezama.</w:t>
      </w:r>
    </w:p>
    <w:p w14:paraId="5FD75B1B" w14:textId="77777777" w:rsidR="00201FE9" w:rsidRPr="00C86111" w:rsidRDefault="00201FE9" w:rsidP="00004F34">
      <w:pPr>
        <w:pStyle w:val="Heading1"/>
        <w:numPr>
          <w:ilvl w:val="1"/>
          <w:numId w:val="238"/>
        </w:numPr>
      </w:pPr>
      <w:bookmarkStart w:id="429" w:name="_Toc210744986"/>
      <w:bookmarkStart w:id="430" w:name="_Toc220541972"/>
      <w:bookmarkEnd w:id="428"/>
      <w:r w:rsidRPr="00C86111">
        <w:t>Manjkavosti i izazovi</w:t>
      </w:r>
      <w:bookmarkEnd w:id="429"/>
      <w:bookmarkEnd w:id="430"/>
    </w:p>
    <w:p w14:paraId="17E23B14" w14:textId="77777777" w:rsidR="00201FE9" w:rsidRPr="00C86111" w:rsidRDefault="00201FE9" w:rsidP="00201FE9">
      <w:pPr>
        <w:pStyle w:val="Text"/>
        <w:spacing w:after="0" w:line="276" w:lineRule="auto"/>
        <w:jc w:val="both"/>
        <w:rPr>
          <w:rFonts w:asciiTheme="minorHAnsi" w:hAnsiTheme="minorHAnsi" w:cstheme="minorHAnsi"/>
          <w:color w:val="auto"/>
          <w:sz w:val="24"/>
          <w:szCs w:val="24"/>
          <w:lang w:val="sr-Latn-ME"/>
        </w:rPr>
      </w:pPr>
      <w:r w:rsidRPr="00C86111">
        <w:rPr>
          <w:rFonts w:asciiTheme="minorHAnsi" w:hAnsiTheme="minorHAnsi" w:cstheme="minorHAnsi"/>
          <w:color w:val="auto"/>
          <w:sz w:val="24"/>
          <w:szCs w:val="24"/>
          <w:lang w:val="sr-Latn-ME"/>
        </w:rPr>
        <w:t>Tokom procesa inventarizacije identifikovano je nekoliko ograničenja:</w:t>
      </w:r>
    </w:p>
    <w:p w14:paraId="5D013A77" w14:textId="77777777" w:rsidR="00201FE9" w:rsidRPr="00C86111" w:rsidRDefault="00201FE9" w:rsidP="00201FE9">
      <w:pPr>
        <w:pStyle w:val="Text"/>
        <w:spacing w:after="0" w:line="276" w:lineRule="auto"/>
        <w:jc w:val="both"/>
        <w:rPr>
          <w:rFonts w:asciiTheme="minorHAnsi" w:hAnsiTheme="minorHAnsi" w:cstheme="minorHAnsi"/>
          <w:color w:val="auto"/>
          <w:sz w:val="24"/>
          <w:szCs w:val="24"/>
          <w:lang w:val="sr-Latn-ME"/>
        </w:rPr>
      </w:pPr>
      <w:r w:rsidRPr="00C86111">
        <w:rPr>
          <w:rFonts w:asciiTheme="minorHAnsi" w:hAnsiTheme="minorHAnsi" w:cstheme="minorHAnsi"/>
          <w:color w:val="auto"/>
          <w:sz w:val="24"/>
          <w:szCs w:val="24"/>
          <w:lang w:val="sr-Latn-ME"/>
        </w:rPr>
        <w:t>1. Nedostatak nacionalnih laboratorijskih kapaciteta za ispitivanje koncentracija SCCP/MCCP onemogućava verifikaciju uvezenih proizvoda i tokova otpada. Oslanjanje na vrijednosti iz međunarodne literature i generalizovane faktore koncentracije moglo je dovesti do precjenjivanja ili potcenjivanja stvarnih količina.</w:t>
      </w:r>
    </w:p>
    <w:p w14:paraId="132CDD05" w14:textId="77777777" w:rsidR="00201FE9" w:rsidRPr="00C86111" w:rsidRDefault="00201FE9" w:rsidP="00201FE9">
      <w:pPr>
        <w:pStyle w:val="Text"/>
        <w:spacing w:after="0" w:line="276" w:lineRule="auto"/>
        <w:jc w:val="both"/>
        <w:rPr>
          <w:rFonts w:asciiTheme="minorHAnsi" w:hAnsiTheme="minorHAnsi" w:cstheme="minorHAnsi"/>
          <w:color w:val="auto"/>
          <w:sz w:val="24"/>
          <w:szCs w:val="24"/>
          <w:lang w:val="sr-Latn-ME"/>
        </w:rPr>
      </w:pPr>
      <w:r w:rsidRPr="00C86111">
        <w:rPr>
          <w:rFonts w:asciiTheme="minorHAnsi" w:hAnsiTheme="minorHAnsi" w:cstheme="minorHAnsi"/>
          <w:color w:val="auto"/>
          <w:sz w:val="24"/>
          <w:szCs w:val="24"/>
          <w:lang w:val="sr-Latn-ME"/>
        </w:rPr>
        <w:t>2. Carinski podaci, iako pouzdani za praćenje količina, nisu uvijek pružali potreban nivo detalja o sastavu proizvoda.</w:t>
      </w:r>
    </w:p>
    <w:p w14:paraId="3B27D0F9" w14:textId="77777777" w:rsidR="00201FE9" w:rsidRPr="00C86111" w:rsidRDefault="00201FE9" w:rsidP="00201FE9">
      <w:pPr>
        <w:pStyle w:val="Text"/>
        <w:spacing w:after="0" w:line="276" w:lineRule="auto"/>
        <w:jc w:val="both"/>
        <w:rPr>
          <w:rFonts w:asciiTheme="minorHAnsi" w:hAnsiTheme="minorHAnsi" w:cstheme="minorHAnsi"/>
          <w:color w:val="auto"/>
          <w:sz w:val="24"/>
          <w:szCs w:val="24"/>
          <w:lang w:val="sr-Latn-ME"/>
        </w:rPr>
      </w:pPr>
      <w:r w:rsidRPr="00C86111">
        <w:rPr>
          <w:rFonts w:asciiTheme="minorHAnsi" w:hAnsiTheme="minorHAnsi" w:cstheme="minorHAnsi"/>
          <w:color w:val="auto"/>
          <w:sz w:val="24"/>
          <w:szCs w:val="24"/>
          <w:lang w:val="sr-Latn-ME"/>
        </w:rPr>
        <w:lastRenderedPageBreak/>
        <w:t>3. Procjene vezane za vozila zasnivale su se na međunarodnim aproksimacijama, koje možda ne odražavaju u potpunosti raznolikost voznog parka Crne Gore.</w:t>
      </w:r>
    </w:p>
    <w:p w14:paraId="0188B73A" w14:textId="77777777" w:rsidR="00201FE9" w:rsidRPr="00C86111" w:rsidRDefault="00201FE9" w:rsidP="00201FE9">
      <w:pPr>
        <w:pStyle w:val="Text"/>
        <w:spacing w:after="0" w:line="276" w:lineRule="auto"/>
        <w:jc w:val="both"/>
        <w:rPr>
          <w:rFonts w:asciiTheme="minorHAnsi" w:hAnsiTheme="minorHAnsi" w:cstheme="minorHAnsi"/>
          <w:color w:val="auto"/>
          <w:sz w:val="24"/>
          <w:szCs w:val="24"/>
          <w:lang w:val="sr-Latn-ME"/>
        </w:rPr>
      </w:pPr>
      <w:r w:rsidRPr="00C86111">
        <w:rPr>
          <w:rFonts w:asciiTheme="minorHAnsi" w:hAnsiTheme="minorHAnsi" w:cstheme="minorHAnsi"/>
          <w:color w:val="auto"/>
          <w:sz w:val="24"/>
          <w:szCs w:val="24"/>
          <w:lang w:val="sr-Latn-ME"/>
        </w:rPr>
        <w:t>4. Informacije o kontaminiranim lokacijama bile su ograničene, jer nije sproveden terenski monitoring zemljišta ili vode.</w:t>
      </w:r>
    </w:p>
    <w:p w14:paraId="74E9EC95" w14:textId="77777777" w:rsidR="00201FE9" w:rsidRPr="00C86111" w:rsidRDefault="00201FE9" w:rsidP="00201FE9">
      <w:pPr>
        <w:pStyle w:val="Text"/>
        <w:spacing w:after="0" w:line="276" w:lineRule="auto"/>
        <w:jc w:val="both"/>
        <w:rPr>
          <w:rFonts w:asciiTheme="minorHAnsi" w:hAnsiTheme="minorHAnsi" w:cstheme="minorHAnsi"/>
          <w:color w:val="auto"/>
          <w:sz w:val="24"/>
          <w:szCs w:val="24"/>
          <w:lang w:val="sr-Latn-ME"/>
        </w:rPr>
      </w:pPr>
      <w:r w:rsidRPr="00C86111">
        <w:rPr>
          <w:rFonts w:asciiTheme="minorHAnsi" w:hAnsiTheme="minorHAnsi" w:cstheme="minorHAnsi"/>
          <w:color w:val="auto"/>
          <w:sz w:val="24"/>
          <w:szCs w:val="24"/>
          <w:lang w:val="sr-Latn-ME"/>
        </w:rPr>
        <w:t>Ovi nedostaci ističu potrebu za tehničkom i finansijskom podrškom kako bi se ojačali kapaciteti za praćenje i kvalitet podataka.</w:t>
      </w:r>
    </w:p>
    <w:p w14:paraId="656128B3" w14:textId="77777777" w:rsidR="00201FE9" w:rsidRPr="00C86111" w:rsidRDefault="00201FE9" w:rsidP="00004F34">
      <w:pPr>
        <w:pStyle w:val="Heading1"/>
        <w:numPr>
          <w:ilvl w:val="1"/>
          <w:numId w:val="238"/>
        </w:numPr>
      </w:pPr>
      <w:bookmarkStart w:id="431" w:name="_Toc210744987"/>
      <w:bookmarkStart w:id="432" w:name="_Toc220541973"/>
      <w:r w:rsidRPr="00C86111">
        <w:t>Rezultati  inventara</w:t>
      </w:r>
      <w:bookmarkEnd w:id="431"/>
      <w:bookmarkEnd w:id="432"/>
    </w:p>
    <w:p w14:paraId="089C7290"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Rezultati pokazuju da su proizvodi od gume (HS 4016 i HS 4015) najveći pojedinačni doprinosioci MCCP, sa količinama koje dostižu desetine tona godišnje, dok se SCCP pojavljuju u manjim, ali i dalje značajnim količinama. Uvoz PVC doprinosi konstantnom i značajnom doprinosu i SCCP i MCCP, pri čemu određene kategorije sadrže visoke koncentracije. Utvrđeno je da adhezivne PUR pjene, iako uvezene u relativno malim količinama, sadrže visoke koncentracije, što ih čini izvorom ograničenog obima, ali ipak visokorizičnim. U sektoru otpada, WEEE plastika je sadržala male, ali postojane količine SCCP, dok je sektor vozila pokazao rastuću akumulaciju SCCP i u postojećem voznom parku i u uvezenim vozilima. Generalno, MCCP dominira u svim kategorijama, često premašujući SCCP za jedan do dva reda veličine, što ih čini najrelevantnijom predmetom za buduće regulatorne okvire i izveštavanje prema Stokholmskoj konvenciji.</w:t>
      </w:r>
    </w:p>
    <w:p w14:paraId="74E3C69E" w14:textId="77777777" w:rsidR="00201FE9" w:rsidRPr="00C86111" w:rsidRDefault="00201FE9" w:rsidP="00201FE9">
      <w:pPr>
        <w:spacing w:line="276" w:lineRule="auto"/>
        <w:jc w:val="both"/>
        <w:rPr>
          <w:rFonts w:asciiTheme="minorHAnsi" w:hAnsiTheme="minorHAnsi" w:cstheme="minorHAnsi"/>
          <w:color w:val="auto"/>
          <w:szCs w:val="24"/>
          <w:lang w:val="sr-Latn-ME"/>
        </w:rPr>
      </w:pPr>
    </w:p>
    <w:p w14:paraId="0F0A4415" w14:textId="12FB6327" w:rsidR="00201FE9" w:rsidRPr="00C86111" w:rsidRDefault="00201FE9" w:rsidP="00004F34">
      <w:pPr>
        <w:pStyle w:val="Heading1"/>
        <w:numPr>
          <w:ilvl w:val="1"/>
          <w:numId w:val="238"/>
        </w:numPr>
      </w:pPr>
      <w:bookmarkStart w:id="433" w:name="_Toc210744988"/>
      <w:bookmarkStart w:id="434" w:name="_Toc220541974"/>
      <w:r w:rsidRPr="00C86111">
        <w:t>Zaključci</w:t>
      </w:r>
      <w:bookmarkEnd w:id="433"/>
      <w:bookmarkEnd w:id="434"/>
    </w:p>
    <w:p w14:paraId="6BAA9B31" w14:textId="77777777" w:rsidR="00201FE9" w:rsidRPr="00C86111" w:rsidRDefault="00201FE9" w:rsidP="00201FE9">
      <w:pPr>
        <w:spacing w:line="276" w:lineRule="auto"/>
        <w:jc w:val="both"/>
        <w:rPr>
          <w:rFonts w:asciiTheme="minorHAnsi" w:eastAsia="Calibri" w:hAnsiTheme="minorHAnsi" w:cstheme="minorHAnsi"/>
          <w:color w:val="auto"/>
          <w:kern w:val="2"/>
          <w:szCs w:val="24"/>
          <w:u w:color="000000"/>
          <w:bdr w:val="nil"/>
          <w:lang w:val="sr-Latn-ME"/>
          <w14:textOutline w14:w="0" w14:cap="flat" w14:cmpd="sng" w14:algn="ctr">
            <w14:noFill/>
            <w14:prstDash w14:val="solid"/>
            <w14:bevel/>
          </w14:textOutline>
        </w:rPr>
      </w:pPr>
      <w:bookmarkStart w:id="435" w:name="_Toc206579711"/>
      <w:r w:rsidRPr="00C86111">
        <w:rPr>
          <w:rFonts w:asciiTheme="minorHAnsi" w:eastAsia="Calibri" w:hAnsiTheme="minorHAnsi" w:cstheme="minorHAnsi"/>
          <w:color w:val="auto"/>
          <w:kern w:val="2"/>
          <w:szCs w:val="24"/>
          <w:u w:color="000000"/>
          <w:bdr w:val="nil"/>
          <w:lang w:val="sr-Latn-ME"/>
          <w14:textOutline w14:w="0" w14:cap="flat" w14:cmpd="sng" w14:algn="ctr">
            <w14:noFill/>
            <w14:prstDash w14:val="solid"/>
            <w14:bevel/>
          </w14:textOutline>
        </w:rPr>
        <w:t>Inventar je potvrdio da i SCCP i MCCP ulaze u Crnu Goru prvenstveno kroz uvoz proizvoda široke potrošnje i industrijskih proizvoda. Proizvodi od gume su najznačajniji doprinosioci, pri čemu su MCCP prisutni u velikim količinama, a slijede ih PVC proizvodi i adhezivne PUR pjene. Sektori otpada, uključujući WEEE i vozila na kraju životnog vijeka, predstavljaju dodatne puteve za priliv i akumulaciju SCCP. MCCP dosljedno dominiraju u svim kategorijama, često premašujući SCCP za jedan do dva reda veličine. Iako Crna Gora nema domaću industrijsku bazu za proizvodnju ili korišćenje SCCP/MCCP, zavisnost od uvozne robe i ograničeni kapaciteti za praćenje predstavljaju regulatorne i ekološke izazove. Rezultati pružaju sveobuhvatnu osnovu za nacionalno izvještavanje u skladu sa Stokholmskom konvencijom i ističu prioritetna područja za intervenciju.</w:t>
      </w:r>
    </w:p>
    <w:p w14:paraId="7680E199" w14:textId="77777777" w:rsidR="00201FE9" w:rsidRPr="00C86111" w:rsidRDefault="00201FE9" w:rsidP="00004F34">
      <w:pPr>
        <w:pStyle w:val="Heading1"/>
        <w:numPr>
          <w:ilvl w:val="1"/>
          <w:numId w:val="238"/>
        </w:numPr>
        <w:rPr>
          <w:rStyle w:val="Strong"/>
          <w:b/>
          <w:i/>
          <w:iCs/>
        </w:rPr>
      </w:pPr>
      <w:bookmarkStart w:id="436" w:name="_Toc210744989"/>
      <w:bookmarkStart w:id="437" w:name="_Toc220541975"/>
      <w:bookmarkEnd w:id="435"/>
      <w:r w:rsidRPr="00C86111">
        <w:rPr>
          <w:rStyle w:val="Strong"/>
        </w:rPr>
        <w:t>Preporuke/Elementi Akcionog plana</w:t>
      </w:r>
      <w:bookmarkEnd w:id="436"/>
      <w:bookmarkEnd w:id="437"/>
    </w:p>
    <w:p w14:paraId="58BA208C" w14:textId="77777777" w:rsidR="00201FE9" w:rsidRPr="00C86111" w:rsidRDefault="00201FE9" w:rsidP="00201FE9">
      <w:pPr>
        <w:spacing w:line="276" w:lineRule="auto"/>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Da bi se efikasno riješili izazovi identifikovani tokom razvoja inventara SCCP/MCCP, preporučuje se skup međusobno povezanih mjera:</w:t>
      </w:r>
    </w:p>
    <w:p w14:paraId="777F7C43" w14:textId="77777777" w:rsidR="00201FE9" w:rsidRPr="00C86111" w:rsidRDefault="00201FE9" w:rsidP="00833A40">
      <w:pPr>
        <w:pStyle w:val="ListParagraph"/>
        <w:numPr>
          <w:ilvl w:val="3"/>
          <w:numId w:val="122"/>
        </w:numPr>
        <w:spacing w:line="276" w:lineRule="auto"/>
        <w:ind w:left="540"/>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Ojačati praćenje uvoza poboljšanjem carinskih kontrola za proizvode koji najvjerovatnije sadrže SCCP/MCCP, sa prioritetnom pažnjom na proizvode od gume i PVC.</w:t>
      </w:r>
    </w:p>
    <w:p w14:paraId="70CF1BA2" w14:textId="77777777" w:rsidR="00201FE9" w:rsidRPr="00C86111" w:rsidRDefault="00201FE9" w:rsidP="00833A40">
      <w:pPr>
        <w:pStyle w:val="ListParagraph"/>
        <w:numPr>
          <w:ilvl w:val="3"/>
          <w:numId w:val="122"/>
        </w:numPr>
        <w:spacing w:line="276" w:lineRule="auto"/>
        <w:ind w:left="540"/>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lastRenderedPageBreak/>
        <w:t>Razviti nacionalne laboratorijske kapacitete za analitičko ispitivanje SCCP/MCCP u proizvodima široke potrošnje i tokovima otpada radi poboljšanja pouzdanosti podataka.</w:t>
      </w:r>
    </w:p>
    <w:p w14:paraId="54641B73" w14:textId="77777777" w:rsidR="00201FE9" w:rsidRPr="00C86111" w:rsidRDefault="00201FE9" w:rsidP="00833A40">
      <w:pPr>
        <w:pStyle w:val="ListParagraph"/>
        <w:numPr>
          <w:ilvl w:val="3"/>
          <w:numId w:val="122"/>
        </w:numPr>
        <w:spacing w:line="276" w:lineRule="auto"/>
        <w:ind w:left="540"/>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Uvesti ciljano podizanje svijesti i obuku za zainteresovane strane, uključujući carinike, osobe odgovorne za upravljanje otpadom i predstavnike industrije, o rizicima SCCP/MCCP i obavezama prema Stokholmskoj konvenciji.</w:t>
      </w:r>
    </w:p>
    <w:p w14:paraId="1F7DDF86" w14:textId="77777777" w:rsidR="00201FE9" w:rsidRPr="00C86111" w:rsidRDefault="00201FE9" w:rsidP="00833A40">
      <w:pPr>
        <w:pStyle w:val="ListParagraph"/>
        <w:numPr>
          <w:ilvl w:val="3"/>
          <w:numId w:val="122"/>
        </w:numPr>
        <w:spacing w:line="276" w:lineRule="auto"/>
        <w:ind w:left="540"/>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Uspostaviti programe praćenja za tokove otpada visokog rizika, uključujući WEEE plastiku i vozila na kraju životnog vijeka, sa ciljem smanjenja nekontrolisanih ispuštanja.</w:t>
      </w:r>
    </w:p>
    <w:p w14:paraId="3AF4DBDD" w14:textId="77777777" w:rsidR="00201FE9" w:rsidRPr="00C86111" w:rsidRDefault="00201FE9" w:rsidP="00833A40">
      <w:pPr>
        <w:pStyle w:val="ListParagraph"/>
        <w:numPr>
          <w:ilvl w:val="3"/>
          <w:numId w:val="122"/>
        </w:numPr>
        <w:spacing w:line="276" w:lineRule="auto"/>
        <w:ind w:left="540"/>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Procijeniti i upravljati potencijalno kontaminiranim lokacijama, posebno u oblastima odlaganja i skladištenja otpada.</w:t>
      </w:r>
    </w:p>
    <w:p w14:paraId="5EA3925D" w14:textId="3BAA6EB1" w:rsidR="00201FE9" w:rsidRPr="00C86111" w:rsidRDefault="00201FE9" w:rsidP="00833A40">
      <w:pPr>
        <w:pStyle w:val="ListParagraph"/>
        <w:numPr>
          <w:ilvl w:val="3"/>
          <w:numId w:val="122"/>
        </w:numPr>
        <w:spacing w:line="276" w:lineRule="auto"/>
        <w:ind w:left="540"/>
        <w:jc w:val="both"/>
        <w:rPr>
          <w:rFonts w:asciiTheme="minorHAnsi" w:hAnsiTheme="minorHAnsi" w:cstheme="minorHAnsi"/>
          <w:color w:val="auto"/>
          <w:szCs w:val="24"/>
          <w:lang w:val="sr-Latn-ME"/>
        </w:rPr>
      </w:pPr>
      <w:r w:rsidRPr="00C86111">
        <w:rPr>
          <w:rFonts w:asciiTheme="minorHAnsi" w:hAnsiTheme="minorHAnsi" w:cstheme="minorHAnsi"/>
          <w:color w:val="auto"/>
          <w:szCs w:val="24"/>
          <w:lang w:val="sr-Latn-ME"/>
        </w:rPr>
        <w:t>Razmotriti zakonodavne mjere za ograničavanje ili postepeno ukidanje uvoza proizvoda sa visokim sadržajem SCCP/MCCP u skladu sa obavezama Stokholmske konvencije.</w:t>
      </w:r>
    </w:p>
    <w:p w14:paraId="42C65C94" w14:textId="77777777" w:rsidR="004F6023" w:rsidRPr="00C86111" w:rsidRDefault="004F6023" w:rsidP="00912C4C">
      <w:pPr>
        <w:pStyle w:val="Heading1"/>
      </w:pPr>
      <w:bookmarkStart w:id="438" w:name="_Toc220541976"/>
      <w:r w:rsidRPr="00C86111">
        <w:t>MONITORING POPs</w:t>
      </w:r>
      <w:bookmarkEnd w:id="438"/>
    </w:p>
    <w:p w14:paraId="4EDA6B10" w14:textId="77777777" w:rsidR="004F6023" w:rsidRPr="00C86111" w:rsidRDefault="004F6023" w:rsidP="00EA6904">
      <w:pPr>
        <w:pStyle w:val="Heading3"/>
      </w:pPr>
      <w:bookmarkStart w:id="439" w:name="_Toc220541977"/>
      <w:r w:rsidRPr="00C86111">
        <w:t>Uvod</w:t>
      </w:r>
      <w:bookmarkEnd w:id="439"/>
    </w:p>
    <w:p w14:paraId="7BB8A634" w14:textId="77777777" w:rsidR="00DE40D4" w:rsidRPr="00C86111" w:rsidRDefault="00DE40D4" w:rsidP="00DE40D4">
      <w:pPr>
        <w:rPr>
          <w:lang w:val="sr-Latn-ME"/>
        </w:rPr>
      </w:pPr>
    </w:p>
    <w:p w14:paraId="2C4A21BA" w14:textId="77777777" w:rsidR="004F6023" w:rsidRPr="00C86111" w:rsidRDefault="004F6023" w:rsidP="004F6023">
      <w:pPr>
        <w:jc w:val="both"/>
        <w:rPr>
          <w:szCs w:val="24"/>
        </w:rPr>
      </w:pPr>
      <w:r w:rsidRPr="00C86111">
        <w:rPr>
          <w:szCs w:val="24"/>
        </w:rPr>
        <w:t>Crna Gora nema poseban nacionalni program monitoringa koji se isključivo odnosi na postojane organske zagađivače (POPs). Umjesto toga, POPs hemikalije se prate u okviru šireg sistema monitoringa životne sredine. Monitoring životne sredine regulisan je Zakonom o životnoj sredini („Službeni list Crne Gore“, br. 052/16, 073/19). Programi obuhvataju praćenje kvaliteta voda, morskih ekosistema, kvaliteta vazduha, kontaminacije zemljišta i tokova upravljanja otpadom.</w:t>
      </w:r>
    </w:p>
    <w:p w14:paraId="32FC990A" w14:textId="77777777" w:rsidR="004F6023" w:rsidRPr="00C86111" w:rsidRDefault="004F6023" w:rsidP="004F6023">
      <w:pPr>
        <w:jc w:val="both"/>
        <w:rPr>
          <w:szCs w:val="24"/>
        </w:rPr>
      </w:pPr>
      <w:r w:rsidRPr="00C86111">
        <w:rPr>
          <w:szCs w:val="24"/>
        </w:rPr>
        <w:t>Godišnji program monitoringa priprema Agencija za zaštitu životne sredine i dostavlja ga Ministarstvu najkasnije do 1. novembra za narednu godinu Programe monitoringa površinskih, podzemnih priprema Monistarstvo poljoprivrede , šumarstva I vodoprivrede, dok je monitoring vode za piće u nadležnosti Ministarstva zdravlja.</w:t>
      </w:r>
    </w:p>
    <w:p w14:paraId="1F87DE84" w14:textId="77777777" w:rsidR="004F6023" w:rsidRPr="00C86111" w:rsidRDefault="004F6023" w:rsidP="004F6023">
      <w:pPr>
        <w:jc w:val="both"/>
        <w:rPr>
          <w:szCs w:val="24"/>
        </w:rPr>
      </w:pPr>
      <w:r w:rsidRPr="00C86111">
        <w:rPr>
          <w:szCs w:val="24"/>
        </w:rPr>
        <w:t>Monitoring životne sredine sprovodi Agencija, koja putem javnog poziva određuje akreditovane referentne laboratorije (MEST EN ISO/IEC 17025), obezbjeđujući kvalitet putem međulaboratorijske provjere. Centar za ekotoksikološka ispitivanja Podgorica (CETI) iz Podgorice stekao je status „referentne institucije“ za analizu kontaminenata , među njima I za POPs hemikalija,  u zemljištu i  morskom ekosistemu.</w:t>
      </w:r>
    </w:p>
    <w:p w14:paraId="3A70252D" w14:textId="77777777" w:rsidR="004F6023" w:rsidRPr="00C86111" w:rsidRDefault="004F6023" w:rsidP="004F6023">
      <w:pPr>
        <w:jc w:val="both"/>
        <w:rPr>
          <w:szCs w:val="24"/>
        </w:rPr>
      </w:pPr>
    </w:p>
    <w:p w14:paraId="7B4F042A" w14:textId="77777777" w:rsidR="004F6023" w:rsidRPr="00C86111" w:rsidRDefault="004F6023" w:rsidP="00EA6904">
      <w:pPr>
        <w:pStyle w:val="Heading3"/>
      </w:pPr>
      <w:bookmarkStart w:id="440" w:name="_Toc220541978"/>
      <w:r w:rsidRPr="00C86111">
        <w:t>Institucionalni kapaciteti</w:t>
      </w:r>
      <w:bookmarkEnd w:id="440"/>
    </w:p>
    <w:p w14:paraId="0D5308EA" w14:textId="77777777" w:rsidR="00DE40D4" w:rsidRPr="00C86111" w:rsidRDefault="00DE40D4" w:rsidP="00DE40D4">
      <w:pPr>
        <w:rPr>
          <w:lang w:val="sr-Latn-ME"/>
        </w:rPr>
      </w:pPr>
    </w:p>
    <w:p w14:paraId="215FB0C7" w14:textId="77777777" w:rsidR="004F6023" w:rsidRPr="00C86111" w:rsidRDefault="004F6023" w:rsidP="004F6023">
      <w:pPr>
        <w:jc w:val="both"/>
        <w:rPr>
          <w:szCs w:val="24"/>
        </w:rPr>
      </w:pPr>
      <w:r w:rsidRPr="00C86111">
        <w:rPr>
          <w:color w:val="002060"/>
          <w:szCs w:val="24"/>
        </w:rPr>
        <w:t xml:space="preserve">Centar za ekotoksikološka ispitivanja (CETI) </w:t>
      </w:r>
      <w:r w:rsidRPr="00C86111">
        <w:rPr>
          <w:szCs w:val="24"/>
        </w:rPr>
        <w:t>osnovan je Odlukom Vlade Crne Gore od 20. decembra 1996. godine („Službeni list Crne Gore“, br. 40/96). U skladu sa Zakonom o privrednim društvima, 2012. godine CETI je transformisan odlukom Vlade u društvo s ograničenom odgovornošću u stoprocentnom vlasništvu države Crne Gore („Službeni list Crne Gore“, br. 39/12).</w:t>
      </w:r>
    </w:p>
    <w:p w14:paraId="6F0D7CF6" w14:textId="77777777" w:rsidR="004F6023" w:rsidRPr="00C86111" w:rsidRDefault="004F6023" w:rsidP="004F6023">
      <w:pPr>
        <w:jc w:val="both"/>
        <w:rPr>
          <w:szCs w:val="24"/>
        </w:rPr>
      </w:pPr>
      <w:r w:rsidRPr="00C86111">
        <w:rPr>
          <w:szCs w:val="24"/>
        </w:rPr>
        <w:t xml:space="preserve">Od 1998. godine, kada je zvanično počeo sa radom, CETI je stekao sve potrebne sertifikate i ovlašćenja za svoj rad u skladu sa važećim zakonodavstvom. U skladu sa Zakonom o životnoj </w:t>
      </w:r>
      <w:r w:rsidRPr="00C86111">
        <w:rPr>
          <w:szCs w:val="24"/>
        </w:rPr>
        <w:lastRenderedPageBreak/>
        <w:t>sredini i Pravilnikom o kriterijumima koje mora ispunjavati referentna laboratorija za monitoring životne sredine, CETI je dobio status referentne institucije za:</w:t>
      </w:r>
    </w:p>
    <w:p w14:paraId="737FCBD2" w14:textId="77777777" w:rsidR="004F6023" w:rsidRPr="00C86111" w:rsidRDefault="004F6023" w:rsidP="00833A40">
      <w:pPr>
        <w:numPr>
          <w:ilvl w:val="0"/>
          <w:numId w:val="36"/>
        </w:numPr>
        <w:jc w:val="both"/>
        <w:rPr>
          <w:szCs w:val="24"/>
        </w:rPr>
      </w:pPr>
      <w:r w:rsidRPr="00C86111">
        <w:rPr>
          <w:szCs w:val="24"/>
        </w:rPr>
        <w:t>kontaminante u zemljištu,</w:t>
      </w:r>
    </w:p>
    <w:p w14:paraId="08BB2B35" w14:textId="77777777" w:rsidR="004F6023" w:rsidRPr="00C86111" w:rsidRDefault="004F6023" w:rsidP="00833A40">
      <w:pPr>
        <w:numPr>
          <w:ilvl w:val="0"/>
          <w:numId w:val="36"/>
        </w:numPr>
        <w:jc w:val="both"/>
        <w:rPr>
          <w:szCs w:val="24"/>
        </w:rPr>
      </w:pPr>
      <w:r w:rsidRPr="00C86111">
        <w:rPr>
          <w:szCs w:val="24"/>
        </w:rPr>
        <w:t>analizu fizičkih i hemijskih parametara u morskom ekosistemu,</w:t>
      </w:r>
    </w:p>
    <w:p w14:paraId="0F7543BC" w14:textId="77777777" w:rsidR="004F6023" w:rsidRPr="00C86111" w:rsidRDefault="004F6023" w:rsidP="00833A40">
      <w:pPr>
        <w:numPr>
          <w:ilvl w:val="0"/>
          <w:numId w:val="36"/>
        </w:numPr>
        <w:jc w:val="both"/>
        <w:rPr>
          <w:szCs w:val="24"/>
        </w:rPr>
      </w:pPr>
      <w:r w:rsidRPr="00C86111">
        <w:rPr>
          <w:szCs w:val="24"/>
        </w:rPr>
        <w:t>radionuklide u svim segmentima životne sredine,</w:t>
      </w:r>
    </w:p>
    <w:p w14:paraId="20B42E9C" w14:textId="77777777" w:rsidR="004F6023" w:rsidRPr="00C86111" w:rsidRDefault="004F6023" w:rsidP="00833A40">
      <w:pPr>
        <w:numPr>
          <w:ilvl w:val="0"/>
          <w:numId w:val="36"/>
        </w:numPr>
        <w:jc w:val="both"/>
        <w:rPr>
          <w:szCs w:val="24"/>
        </w:rPr>
      </w:pPr>
      <w:r w:rsidRPr="00C86111">
        <w:rPr>
          <w:szCs w:val="24"/>
        </w:rPr>
        <w:t>analizu buke.</w:t>
      </w:r>
    </w:p>
    <w:p w14:paraId="3B6CC9B3" w14:textId="77777777" w:rsidR="004F6023" w:rsidRPr="00C86111" w:rsidRDefault="004F6023" w:rsidP="004F6023">
      <w:pPr>
        <w:jc w:val="both"/>
        <w:rPr>
          <w:szCs w:val="24"/>
        </w:rPr>
      </w:pPr>
      <w:r w:rsidRPr="00C86111">
        <w:rPr>
          <w:szCs w:val="24"/>
        </w:rPr>
        <w:t>Na osnovu dobijenih ovlašćenja, CETI je odgovoran za sprovođenje nacionalnog monitoringa u životnoj sredini kroz sljedeće programe:</w:t>
      </w:r>
    </w:p>
    <w:p w14:paraId="5782A640" w14:textId="77777777" w:rsidR="004F6023" w:rsidRPr="00C86111" w:rsidRDefault="004F6023" w:rsidP="00833A40">
      <w:pPr>
        <w:numPr>
          <w:ilvl w:val="0"/>
          <w:numId w:val="37"/>
        </w:numPr>
        <w:jc w:val="both"/>
        <w:rPr>
          <w:szCs w:val="24"/>
        </w:rPr>
      </w:pPr>
      <w:r w:rsidRPr="00C86111">
        <w:rPr>
          <w:szCs w:val="24"/>
        </w:rPr>
        <w:t>Program monitoringa morskog ekosistema(program obuhvata ispitivanja sadržaja hemijskih elemenata, organskih zagađivača poput POPs-a, pesticida, PAH jedinjenja, organokositarnih jedinjenja i dr. u vodi, sedimentu i bioti)</w:t>
      </w:r>
    </w:p>
    <w:p w14:paraId="4A30D75E" w14:textId="77777777" w:rsidR="004F6023" w:rsidRPr="00C86111" w:rsidRDefault="004F6023" w:rsidP="00833A40">
      <w:pPr>
        <w:numPr>
          <w:ilvl w:val="0"/>
          <w:numId w:val="37"/>
        </w:numPr>
        <w:jc w:val="both"/>
        <w:rPr>
          <w:szCs w:val="24"/>
        </w:rPr>
      </w:pPr>
      <w:r w:rsidRPr="00C86111">
        <w:rPr>
          <w:szCs w:val="24"/>
        </w:rPr>
        <w:t>Program ispitivanja sadržaja radionuklida u životnoj sredini</w:t>
      </w:r>
    </w:p>
    <w:p w14:paraId="4EC2FD20" w14:textId="77777777" w:rsidR="004F6023" w:rsidRPr="00C86111" w:rsidRDefault="004F6023" w:rsidP="00833A40">
      <w:pPr>
        <w:numPr>
          <w:ilvl w:val="0"/>
          <w:numId w:val="37"/>
        </w:numPr>
        <w:jc w:val="both"/>
        <w:rPr>
          <w:szCs w:val="24"/>
        </w:rPr>
      </w:pPr>
      <w:r w:rsidRPr="00C86111">
        <w:rPr>
          <w:szCs w:val="24"/>
        </w:rPr>
        <w:t>Program monitoringa buke u životnoj sredini</w:t>
      </w:r>
    </w:p>
    <w:p w14:paraId="29759582" w14:textId="77777777" w:rsidR="004F6023" w:rsidRPr="00C86111" w:rsidRDefault="004F6023" w:rsidP="00833A40">
      <w:pPr>
        <w:numPr>
          <w:ilvl w:val="0"/>
          <w:numId w:val="37"/>
        </w:numPr>
        <w:jc w:val="both"/>
        <w:rPr>
          <w:szCs w:val="24"/>
        </w:rPr>
      </w:pPr>
      <w:r w:rsidRPr="00C86111">
        <w:rPr>
          <w:szCs w:val="24"/>
        </w:rPr>
        <w:t>Program monitoringa opasnih i štetnih supstanci u zemljištu</w:t>
      </w:r>
      <w:r w:rsidRPr="00C86111">
        <w:rPr>
          <w:szCs w:val="24"/>
        </w:rPr>
        <w:br/>
        <w:t>(program obuhvata ispitivanja sadržaja hemijskih elemenata, PCB-a, dioksina, pesticida, PAH jedinjenja i organokositarnih spojeva)</w:t>
      </w:r>
    </w:p>
    <w:p w14:paraId="1EF570BF" w14:textId="77777777" w:rsidR="004F6023" w:rsidRPr="00C86111" w:rsidRDefault="004F6023" w:rsidP="004F6023">
      <w:pPr>
        <w:jc w:val="both"/>
        <w:rPr>
          <w:szCs w:val="24"/>
        </w:rPr>
      </w:pPr>
      <w:r w:rsidRPr="00C86111">
        <w:rPr>
          <w:szCs w:val="24"/>
        </w:rPr>
        <w:t>CETI je jedina ovlašćena institucija u Crnoj Gori za mjerenje emisija iz stacionarnih izvora zagađenja. Procjena rizika i mogućeg opterećenja određenih segmenata životne sredine zagađivačima takođe predstavlja jednu od važnih aktivnosti CETI-ja.</w:t>
      </w:r>
    </w:p>
    <w:p w14:paraId="48F32508" w14:textId="16E695E0" w:rsidR="004F6023" w:rsidRPr="00C86111" w:rsidRDefault="004F6023" w:rsidP="004F6023">
      <w:pPr>
        <w:jc w:val="both"/>
        <w:rPr>
          <w:szCs w:val="24"/>
        </w:rPr>
      </w:pPr>
      <w:r w:rsidRPr="00C86111">
        <w:rPr>
          <w:szCs w:val="24"/>
        </w:rPr>
        <w:t xml:space="preserve">CETI je uspješno sproveo detaljno istraživanje o opterećenju luka u Boki Kotorskoj POPs hemikalijama i živom, te izvršio procjenu rizika (SSFA sa UNEP/MAP/GEF). Zahvaljujući velikom broju akreditovanih metoda i usklađenosti sa standardom MEST ISO/IEC 17025, CETI je ovlašćena laboratorija za analize bezbjednosti hrane (monitoring </w:t>
      </w:r>
      <w:r w:rsidR="000D1995" w:rsidRPr="00C86111">
        <w:rPr>
          <w:szCs w:val="24"/>
        </w:rPr>
        <w:t>emisije</w:t>
      </w:r>
      <w:r w:rsidRPr="00C86111">
        <w:rPr>
          <w:szCs w:val="24"/>
        </w:rPr>
        <w:t xml:space="preserve"> i zvanične kontrole). CETI samostalno realizuje veliki broj programa monitoringa u oblasti bezbjednosti hrane, među kojima su:</w:t>
      </w:r>
    </w:p>
    <w:p w14:paraId="32E06EFC" w14:textId="77777777" w:rsidR="004F6023" w:rsidRPr="00C86111" w:rsidRDefault="004F6023" w:rsidP="00833A40">
      <w:pPr>
        <w:numPr>
          <w:ilvl w:val="0"/>
          <w:numId w:val="38"/>
        </w:numPr>
        <w:jc w:val="both"/>
        <w:rPr>
          <w:szCs w:val="24"/>
        </w:rPr>
      </w:pPr>
      <w:r w:rsidRPr="00C86111">
        <w:rPr>
          <w:szCs w:val="24"/>
        </w:rPr>
        <w:t>Monitoring ostataka sredstava za zaštitu bilja (pesticida)</w:t>
      </w:r>
    </w:p>
    <w:p w14:paraId="670E9389" w14:textId="77777777" w:rsidR="004F6023" w:rsidRPr="00C86111" w:rsidRDefault="004F6023" w:rsidP="00833A40">
      <w:pPr>
        <w:numPr>
          <w:ilvl w:val="0"/>
          <w:numId w:val="38"/>
        </w:numPr>
        <w:jc w:val="both"/>
        <w:rPr>
          <w:szCs w:val="24"/>
        </w:rPr>
      </w:pPr>
      <w:r w:rsidRPr="00C86111">
        <w:rPr>
          <w:szCs w:val="24"/>
        </w:rPr>
        <w:t>Monitoring bezbjednosti školjki</w:t>
      </w:r>
    </w:p>
    <w:p w14:paraId="353ECE61" w14:textId="77777777" w:rsidR="004F6023" w:rsidRPr="00C86111" w:rsidRDefault="004F6023" w:rsidP="00833A40">
      <w:pPr>
        <w:numPr>
          <w:ilvl w:val="0"/>
          <w:numId w:val="38"/>
        </w:numPr>
        <w:jc w:val="both"/>
        <w:rPr>
          <w:szCs w:val="24"/>
        </w:rPr>
      </w:pPr>
      <w:r w:rsidRPr="00C86111">
        <w:rPr>
          <w:szCs w:val="24"/>
        </w:rPr>
        <w:t>Monitoring prisustva rezidua u živim životinjama, njihovim ekskretima, tjelesnim tečnostima, tkivima i proizvodima životinjskog porijekla, hrani za životinje i vodi za napajanje životinja, koji se djelimično sprovodi u saradnji sa Institutom za javno zdravlje Crne Gore (IPHMNE).</w:t>
      </w:r>
    </w:p>
    <w:p w14:paraId="45803063" w14:textId="77777777" w:rsidR="004F6023" w:rsidRPr="00C86111" w:rsidRDefault="004F6023" w:rsidP="004F6023">
      <w:pPr>
        <w:jc w:val="both"/>
        <w:rPr>
          <w:szCs w:val="24"/>
        </w:rPr>
      </w:pPr>
      <w:r w:rsidRPr="00C86111">
        <w:rPr>
          <w:szCs w:val="24"/>
        </w:rPr>
        <w:t>U skladu sa Zakonom o zaštiti vazduha („Službeni list Crne Gore“, br. 025/10, 040/11, 043/15, 73/19), CETI je nadležan za sprovođenje godišnjeg programa monitoringa kvaliteta vazduha na mjernim tačkama u okviru državne mreže za praćenje kvaliteta vazduha.</w:t>
      </w:r>
    </w:p>
    <w:p w14:paraId="61CD14F0" w14:textId="77777777" w:rsidR="004F6023" w:rsidRPr="00C86111" w:rsidRDefault="004F6023" w:rsidP="004F6023">
      <w:pPr>
        <w:jc w:val="both"/>
        <w:rPr>
          <w:szCs w:val="24"/>
        </w:rPr>
      </w:pPr>
    </w:p>
    <w:p w14:paraId="5B2DA178" w14:textId="77777777" w:rsidR="004F6023" w:rsidRPr="00C86111" w:rsidRDefault="004F6023" w:rsidP="004F6023">
      <w:pPr>
        <w:jc w:val="both"/>
        <w:rPr>
          <w:szCs w:val="24"/>
        </w:rPr>
      </w:pPr>
      <w:r w:rsidRPr="00C86111">
        <w:rPr>
          <w:color w:val="002060"/>
          <w:szCs w:val="24"/>
        </w:rPr>
        <w:t xml:space="preserve">Institut za javno zdravlje Crne Gore (IJZCG) </w:t>
      </w:r>
      <w:r w:rsidRPr="00C86111">
        <w:rPr>
          <w:szCs w:val="24"/>
        </w:rPr>
        <w:t>je licencirana naučno-istraživačka institucija. Institut sprovodi istraživanja radi boljeg razumijevanja zdravlja i prevencije bolesti, sa fokusom na širok spektar pitanja javnog zdravlja, uključujući epidemiološke, ekološke i HBM studije, studije promocije zdravlja i socijalne medicine.</w:t>
      </w:r>
    </w:p>
    <w:p w14:paraId="00985D3A" w14:textId="77777777" w:rsidR="004F6023" w:rsidRPr="00C86111" w:rsidRDefault="004F6023" w:rsidP="004F6023">
      <w:pPr>
        <w:jc w:val="both"/>
        <w:rPr>
          <w:szCs w:val="24"/>
        </w:rPr>
      </w:pPr>
      <w:r w:rsidRPr="00C86111">
        <w:rPr>
          <w:szCs w:val="24"/>
        </w:rPr>
        <w:t>Pored toga, Institut za javno zdravlje, kao preventivno-medicinska ustanova na tercijarnom nivou zdravstvenog sistema, između ostalog, bavi se zdravim stilovima života, kvalitetom ishrane i prehrambenih navika, analizom bezbjednosti hrane, predmeta opšte upotrebe, kozmetike, igračaka i voda (pijaća, otpadna, površinska i podzemna voda), kao i analizom ljudskih uzoraka (krv, urin, kosa).</w:t>
      </w:r>
    </w:p>
    <w:p w14:paraId="703D2B5F" w14:textId="77777777" w:rsidR="004F6023" w:rsidRPr="00C86111" w:rsidRDefault="004F6023" w:rsidP="004F6023">
      <w:pPr>
        <w:jc w:val="both"/>
        <w:rPr>
          <w:szCs w:val="24"/>
        </w:rPr>
      </w:pPr>
      <w:r w:rsidRPr="00C86111">
        <w:rPr>
          <w:szCs w:val="24"/>
        </w:rPr>
        <w:lastRenderedPageBreak/>
        <w:t>IJZCG prati, analizira i procjenjuje uticaj životne sredine (vazduh, voda, zemljište, buka) na zdravlje stanovništva. IJZCG realizuje program monitoringa vode za piće. Djelokrug rada Instituta obuhvata:</w:t>
      </w:r>
    </w:p>
    <w:p w14:paraId="75B5C948" w14:textId="77777777" w:rsidR="004F6023" w:rsidRPr="00C86111" w:rsidRDefault="004F6023" w:rsidP="00833A40">
      <w:pPr>
        <w:numPr>
          <w:ilvl w:val="0"/>
          <w:numId w:val="39"/>
        </w:numPr>
        <w:jc w:val="both"/>
        <w:rPr>
          <w:szCs w:val="24"/>
        </w:rPr>
      </w:pPr>
      <w:r w:rsidRPr="00C86111">
        <w:rPr>
          <w:szCs w:val="24"/>
        </w:rPr>
        <w:t>praćenje, istraživanje i proučavanje zdravlja i zdravstvene kulture stanovništva,</w:t>
      </w:r>
    </w:p>
    <w:p w14:paraId="59F7B894" w14:textId="77777777" w:rsidR="004F6023" w:rsidRPr="00C86111" w:rsidRDefault="004F6023" w:rsidP="00833A40">
      <w:pPr>
        <w:numPr>
          <w:ilvl w:val="0"/>
          <w:numId w:val="39"/>
        </w:numPr>
        <w:jc w:val="both"/>
        <w:rPr>
          <w:szCs w:val="24"/>
        </w:rPr>
      </w:pPr>
      <w:r w:rsidRPr="00C86111">
        <w:rPr>
          <w:szCs w:val="24"/>
        </w:rPr>
        <w:t>ispitivanje uzroka, širenja i prevencije zaraznih bolesti,</w:t>
      </w:r>
    </w:p>
    <w:p w14:paraId="0F70F57D" w14:textId="77777777" w:rsidR="004F6023" w:rsidRPr="00C86111" w:rsidRDefault="004F6023" w:rsidP="00833A40">
      <w:pPr>
        <w:numPr>
          <w:ilvl w:val="0"/>
          <w:numId w:val="39"/>
        </w:numPr>
        <w:jc w:val="both"/>
        <w:rPr>
          <w:szCs w:val="24"/>
        </w:rPr>
      </w:pPr>
      <w:r w:rsidRPr="00C86111">
        <w:rPr>
          <w:szCs w:val="24"/>
        </w:rPr>
        <w:t>analizu faktora rizika za hronične nezarazne bolesti i druge bolesti od velikog socijalno-medicinskog značaja,</w:t>
      </w:r>
    </w:p>
    <w:p w14:paraId="7B866937" w14:textId="77777777" w:rsidR="004F6023" w:rsidRPr="00C86111" w:rsidRDefault="004F6023" w:rsidP="00833A40">
      <w:pPr>
        <w:numPr>
          <w:ilvl w:val="0"/>
          <w:numId w:val="39"/>
        </w:numPr>
        <w:jc w:val="both"/>
        <w:rPr>
          <w:szCs w:val="24"/>
        </w:rPr>
      </w:pPr>
      <w:r w:rsidRPr="00C86111">
        <w:rPr>
          <w:szCs w:val="24"/>
        </w:rPr>
        <w:t>organizaciju, rad i razvoj zdravstvene službe,</w:t>
      </w:r>
    </w:p>
    <w:p w14:paraId="6E7F54A5" w14:textId="77777777" w:rsidR="004F6023" w:rsidRPr="00C86111" w:rsidRDefault="004F6023" w:rsidP="00833A40">
      <w:pPr>
        <w:numPr>
          <w:ilvl w:val="0"/>
          <w:numId w:val="39"/>
        </w:numPr>
        <w:jc w:val="both"/>
        <w:rPr>
          <w:szCs w:val="24"/>
        </w:rPr>
      </w:pPr>
      <w:r w:rsidRPr="00C86111">
        <w:rPr>
          <w:szCs w:val="24"/>
        </w:rPr>
        <w:t>predlaganje i sprovođenje odgovarajućih mjera za prevenciju i unapređenje zdravlja stanovništva.</w:t>
      </w:r>
    </w:p>
    <w:p w14:paraId="353BC164" w14:textId="77777777" w:rsidR="00DE40D4" w:rsidRPr="00C86111" w:rsidRDefault="004F6023" w:rsidP="00004F34">
      <w:pPr>
        <w:pStyle w:val="Heading1"/>
        <w:numPr>
          <w:ilvl w:val="1"/>
          <w:numId w:val="238"/>
        </w:numPr>
      </w:pPr>
      <w:bookmarkStart w:id="441" w:name="_Toc220541979"/>
      <w:r w:rsidRPr="00C86111">
        <w:t>Programi monitoringa POPs-a</w:t>
      </w:r>
      <w:bookmarkEnd w:id="441"/>
    </w:p>
    <w:p w14:paraId="7DCAC0EE" w14:textId="0317704C" w:rsidR="004F6023" w:rsidRPr="00C86111" w:rsidRDefault="004F6023" w:rsidP="00EA6904">
      <w:pPr>
        <w:pStyle w:val="Heading3"/>
      </w:pPr>
      <w:bookmarkStart w:id="442" w:name="_Toc220541980"/>
      <w:r w:rsidRPr="00C86111">
        <w:t>Monitoring zemljišta</w:t>
      </w:r>
      <w:bookmarkEnd w:id="442"/>
    </w:p>
    <w:p w14:paraId="64F764B8" w14:textId="77777777" w:rsidR="00DE40D4" w:rsidRPr="00C86111" w:rsidRDefault="00DE40D4" w:rsidP="00DE40D4">
      <w:pPr>
        <w:rPr>
          <w:lang w:val="sr-Latn-ME"/>
        </w:rPr>
      </w:pPr>
    </w:p>
    <w:p w14:paraId="665865F1" w14:textId="77777777" w:rsidR="004F6023" w:rsidRPr="00C86111" w:rsidRDefault="004F6023" w:rsidP="00DE40D4">
      <w:pPr>
        <w:jc w:val="both"/>
        <w:rPr>
          <w:szCs w:val="24"/>
        </w:rPr>
      </w:pPr>
      <w:r w:rsidRPr="00C86111">
        <w:rPr>
          <w:szCs w:val="24"/>
        </w:rPr>
        <w:t>Od 1998. godine, Crna Gora sprovodi Program ispitivanja sadržaja opasnih i štetnih materija u zemljištu. Cilj programa je praćenje prisustva opasnih i štetnih supstanci u zemljištu u blizini deponija, trafostanica, saobraćajnica, industrijskih zona, aerodroma i stambenih područja, uz posebnu pažnju posvećenu dječijim igralištima i parkovima.</w:t>
      </w:r>
    </w:p>
    <w:p w14:paraId="684BB593" w14:textId="77777777" w:rsidR="004F6023" w:rsidRPr="00C86111" w:rsidRDefault="004F6023" w:rsidP="004F6023">
      <w:pPr>
        <w:jc w:val="both"/>
        <w:rPr>
          <w:szCs w:val="24"/>
        </w:rPr>
      </w:pPr>
      <w:r w:rsidRPr="00C86111">
        <w:rPr>
          <w:szCs w:val="24"/>
        </w:rPr>
        <w:t>Monitoring zemljišta sprovodi se u skladu sa:</w:t>
      </w:r>
    </w:p>
    <w:p w14:paraId="3B81BF3D" w14:textId="77777777" w:rsidR="004F6023" w:rsidRPr="00C86111" w:rsidRDefault="004F6023" w:rsidP="00833A40">
      <w:pPr>
        <w:numPr>
          <w:ilvl w:val="0"/>
          <w:numId w:val="40"/>
        </w:numPr>
        <w:jc w:val="both"/>
        <w:rPr>
          <w:szCs w:val="24"/>
        </w:rPr>
      </w:pPr>
      <w:r w:rsidRPr="00C86111">
        <w:rPr>
          <w:szCs w:val="24"/>
        </w:rPr>
        <w:t>Zakonom o zaštiti životne sredine („Službeni list Crne Gore“, br. 052/16, 073/19, 084/24),</w:t>
      </w:r>
    </w:p>
    <w:p w14:paraId="7B926425" w14:textId="77777777" w:rsidR="004F6023" w:rsidRPr="00C86111" w:rsidRDefault="004F6023" w:rsidP="00833A40">
      <w:pPr>
        <w:numPr>
          <w:ilvl w:val="0"/>
          <w:numId w:val="40"/>
        </w:numPr>
        <w:jc w:val="both"/>
        <w:rPr>
          <w:szCs w:val="24"/>
        </w:rPr>
      </w:pPr>
      <w:r w:rsidRPr="00C86111">
        <w:rPr>
          <w:szCs w:val="24"/>
        </w:rPr>
        <w:t>Zakonom o poljoprivrednom zemljištu („Službeni list Republike Crne Gore“, br. 015/92, 059/92, 027/94; „Službeni list Crne Gore“, br. 073/10, 032/11),</w:t>
      </w:r>
    </w:p>
    <w:p w14:paraId="3A18C93E" w14:textId="77777777" w:rsidR="004F6023" w:rsidRPr="00C86111" w:rsidRDefault="004F6023" w:rsidP="00833A40">
      <w:pPr>
        <w:numPr>
          <w:ilvl w:val="0"/>
          <w:numId w:val="40"/>
        </w:numPr>
        <w:jc w:val="both"/>
        <w:rPr>
          <w:szCs w:val="24"/>
        </w:rPr>
      </w:pPr>
      <w:r w:rsidRPr="00C86111">
        <w:rPr>
          <w:szCs w:val="24"/>
        </w:rPr>
        <w:t>Pravilnikom o graničnim vrijednostima štetnih i opasnih materija u zemljištu i metodama njihovog ispitivanja („Službeni list RCG“, br. 18/97).</w:t>
      </w:r>
    </w:p>
    <w:p w14:paraId="63ED1548" w14:textId="77777777" w:rsidR="004F6023" w:rsidRPr="00C86111" w:rsidRDefault="004F6023" w:rsidP="004F6023">
      <w:pPr>
        <w:jc w:val="both"/>
        <w:rPr>
          <w:szCs w:val="24"/>
        </w:rPr>
      </w:pPr>
      <w:r w:rsidRPr="00C86111">
        <w:rPr>
          <w:szCs w:val="24"/>
        </w:rPr>
        <w:t>Program je usklađen sa zahtjevima Evropske agencije za životnu sredinu (EEA). Pravilnik definiše maksimalno dozvoljene koncentracije (MDK) za određene postojane organske zagađivače (POPs), uključujući PCB i DDT. U okviru praćenja stanja zemljišta analizira se prisustvo ključnih POPs hemikalija, kao što su: PCB, aldrin, DDT, dieldrin, endrin, heptahlor, heksahlorbenzen (HCB), mireks, α-HCH, β-HCH, PFOS (perfluorooktanska sulfatna kiselina) i PBDE (polibromovani difenil etri).</w:t>
      </w:r>
    </w:p>
    <w:p w14:paraId="1956491E" w14:textId="62AA390F" w:rsidR="004F6023" w:rsidRPr="00C86111" w:rsidRDefault="004F6023" w:rsidP="004F6023">
      <w:pPr>
        <w:jc w:val="both"/>
        <w:rPr>
          <w:szCs w:val="24"/>
        </w:rPr>
      </w:pPr>
      <w:r w:rsidRPr="00C86111">
        <w:rPr>
          <w:szCs w:val="24"/>
        </w:rPr>
        <w:t>Tokom 2022. i 2023. godine, uzorci zemljišta prikupljeni su u pet opština — Berane, Nikšić, Pljevlja, Podgorica i Žabljak — sa ukupno 7 analiziranih uzoraka</w:t>
      </w:r>
      <w:r w:rsidR="0042690B">
        <w:rPr>
          <w:szCs w:val="24"/>
        </w:rPr>
        <w:t xml:space="preserve"> </w:t>
      </w:r>
      <w:r w:rsidR="00DE40D4" w:rsidRPr="00C86111">
        <w:rPr>
          <w:szCs w:val="24"/>
        </w:rPr>
        <w:t>(Tabela 11</w:t>
      </w:r>
      <w:r w:rsidR="0042690B">
        <w:rPr>
          <w:szCs w:val="24"/>
        </w:rPr>
        <w:t>7</w:t>
      </w:r>
      <w:r w:rsidR="00DE40D4" w:rsidRPr="00C86111">
        <w:rPr>
          <w:szCs w:val="24"/>
        </w:rPr>
        <w:t>).</w:t>
      </w:r>
    </w:p>
    <w:p w14:paraId="1E3FD533" w14:textId="77777777" w:rsidR="004F6023" w:rsidRPr="00C86111" w:rsidRDefault="004F6023" w:rsidP="004F6023">
      <w:pPr>
        <w:jc w:val="both"/>
        <w:rPr>
          <w:szCs w:val="24"/>
        </w:rPr>
      </w:pPr>
    </w:p>
    <w:p w14:paraId="11E2BC14" w14:textId="38C0FFF8" w:rsidR="004F6023" w:rsidRPr="00C86111" w:rsidRDefault="004F6023" w:rsidP="004F6023">
      <w:pPr>
        <w:jc w:val="both"/>
        <w:rPr>
          <w:szCs w:val="24"/>
        </w:rPr>
      </w:pPr>
      <w:r w:rsidRPr="00C86111">
        <w:rPr>
          <w:b/>
          <w:bCs/>
          <w:szCs w:val="24"/>
        </w:rPr>
        <w:t>Tabela 1</w:t>
      </w:r>
      <w:r w:rsidR="00DE40D4" w:rsidRPr="00C86111">
        <w:rPr>
          <w:b/>
          <w:bCs/>
          <w:szCs w:val="24"/>
        </w:rPr>
        <w:t>1</w:t>
      </w:r>
      <w:r w:rsidR="0042690B">
        <w:rPr>
          <w:b/>
          <w:bCs/>
          <w:szCs w:val="24"/>
        </w:rPr>
        <w:t>7</w:t>
      </w:r>
      <w:r w:rsidRPr="00C86111">
        <w:rPr>
          <w:b/>
          <w:bCs/>
          <w:szCs w:val="24"/>
        </w:rPr>
        <w:t>.</w:t>
      </w:r>
      <w:r w:rsidRPr="00C86111">
        <w:rPr>
          <w:szCs w:val="24"/>
        </w:rPr>
        <w:t xml:space="preserve"> Sažeti rezultati za POPs – monitoring zemljišta</w:t>
      </w:r>
    </w:p>
    <w:tbl>
      <w:tblPr>
        <w:tblStyle w:val="GridTable5Dark-Accent6"/>
        <w:tblW w:w="0" w:type="auto"/>
        <w:tblLook w:val="04A0" w:firstRow="1" w:lastRow="0" w:firstColumn="1" w:lastColumn="0" w:noHBand="0" w:noVBand="1"/>
      </w:tblPr>
      <w:tblGrid>
        <w:gridCol w:w="1474"/>
        <w:gridCol w:w="3450"/>
        <w:gridCol w:w="1816"/>
        <w:gridCol w:w="2610"/>
      </w:tblGrid>
      <w:tr w:rsidR="004F6023" w:rsidRPr="00C86111" w14:paraId="042F8DF8"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5607BC" w14:textId="77777777" w:rsidR="004F6023" w:rsidRPr="00C86111" w:rsidRDefault="004F6023" w:rsidP="00BC765B">
            <w:pPr>
              <w:jc w:val="both"/>
              <w:rPr>
                <w:b w:val="0"/>
                <w:bCs w:val="0"/>
                <w:sz w:val="20"/>
                <w:szCs w:val="20"/>
              </w:rPr>
            </w:pPr>
            <w:r w:rsidRPr="00C86111">
              <w:rPr>
                <w:sz w:val="20"/>
                <w:szCs w:val="20"/>
              </w:rPr>
              <w:t>Lokacija</w:t>
            </w:r>
          </w:p>
        </w:tc>
        <w:tc>
          <w:tcPr>
            <w:tcW w:w="0" w:type="auto"/>
            <w:hideMark/>
          </w:tcPr>
          <w:p w14:paraId="7973812C" w14:textId="77777777" w:rsidR="004F6023" w:rsidRPr="00C86111" w:rsidRDefault="004F6023" w:rsidP="00BC765B">
            <w:pPr>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C86111">
              <w:rPr>
                <w:sz w:val="20"/>
                <w:szCs w:val="20"/>
              </w:rPr>
              <w:t>Otkriveni POPs</w:t>
            </w:r>
          </w:p>
        </w:tc>
        <w:tc>
          <w:tcPr>
            <w:tcW w:w="0" w:type="auto"/>
            <w:hideMark/>
          </w:tcPr>
          <w:p w14:paraId="5F2F78EE" w14:textId="77777777" w:rsidR="004F6023" w:rsidRPr="00C86111" w:rsidRDefault="004F6023" w:rsidP="00BC765B">
            <w:pPr>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C86111">
              <w:rPr>
                <w:sz w:val="20"/>
                <w:szCs w:val="20"/>
              </w:rPr>
              <w:t>Koncentracija / Nalaz</w:t>
            </w:r>
          </w:p>
        </w:tc>
        <w:tc>
          <w:tcPr>
            <w:tcW w:w="0" w:type="auto"/>
            <w:hideMark/>
          </w:tcPr>
          <w:p w14:paraId="3B3F3DB8" w14:textId="77777777" w:rsidR="004F6023" w:rsidRPr="00C86111" w:rsidRDefault="004F6023" w:rsidP="00BC765B">
            <w:pPr>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C86111">
              <w:rPr>
                <w:sz w:val="20"/>
                <w:szCs w:val="20"/>
              </w:rPr>
              <w:t>Vjerovatni izvor</w:t>
            </w:r>
          </w:p>
        </w:tc>
      </w:tr>
      <w:tr w:rsidR="004F6023" w:rsidRPr="00C86111" w14:paraId="3A260086"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661991" w14:textId="77777777" w:rsidR="004F6023" w:rsidRPr="00C86111" w:rsidRDefault="004F6023" w:rsidP="00BC765B">
            <w:pPr>
              <w:jc w:val="both"/>
              <w:rPr>
                <w:sz w:val="20"/>
                <w:szCs w:val="20"/>
              </w:rPr>
            </w:pPr>
            <w:r w:rsidRPr="00C86111">
              <w:rPr>
                <w:sz w:val="20"/>
                <w:szCs w:val="20"/>
              </w:rPr>
              <w:t>Nikšić (Rubeža)</w:t>
            </w:r>
          </w:p>
        </w:tc>
        <w:tc>
          <w:tcPr>
            <w:tcW w:w="0" w:type="auto"/>
            <w:hideMark/>
          </w:tcPr>
          <w:p w14:paraId="7AEFAB89"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PCB kongeneri (118, 153, 138, 180), PAH jedinjenja</w:t>
            </w:r>
          </w:p>
        </w:tc>
        <w:tc>
          <w:tcPr>
            <w:tcW w:w="0" w:type="auto"/>
            <w:hideMark/>
          </w:tcPr>
          <w:p w14:paraId="57949B22"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Povišene vrijednosti</w:t>
            </w:r>
          </w:p>
        </w:tc>
        <w:tc>
          <w:tcPr>
            <w:tcW w:w="0" w:type="auto"/>
            <w:hideMark/>
          </w:tcPr>
          <w:p w14:paraId="7B1044A2"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Emisije iz Željezare</w:t>
            </w:r>
          </w:p>
        </w:tc>
      </w:tr>
      <w:tr w:rsidR="004F6023" w:rsidRPr="00C86111" w14:paraId="6D90BD22"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5EEEF051" w14:textId="77777777" w:rsidR="004F6023" w:rsidRPr="00C86111" w:rsidRDefault="004F6023" w:rsidP="00BC765B">
            <w:pPr>
              <w:jc w:val="both"/>
              <w:rPr>
                <w:sz w:val="20"/>
                <w:szCs w:val="20"/>
              </w:rPr>
            </w:pPr>
            <w:r w:rsidRPr="00C86111">
              <w:rPr>
                <w:sz w:val="20"/>
                <w:szCs w:val="20"/>
              </w:rPr>
              <w:t>Pljevlja (igralište)</w:t>
            </w:r>
          </w:p>
        </w:tc>
        <w:tc>
          <w:tcPr>
            <w:tcW w:w="0" w:type="auto"/>
            <w:hideMark/>
          </w:tcPr>
          <w:p w14:paraId="0F8632E3"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 w:val="20"/>
                <w:szCs w:val="20"/>
              </w:rPr>
            </w:pPr>
            <w:r w:rsidRPr="00C86111">
              <w:rPr>
                <w:sz w:val="20"/>
                <w:szCs w:val="20"/>
              </w:rPr>
              <w:t>PAH jedinjenja</w:t>
            </w:r>
          </w:p>
        </w:tc>
        <w:tc>
          <w:tcPr>
            <w:tcW w:w="0" w:type="auto"/>
            <w:hideMark/>
          </w:tcPr>
          <w:p w14:paraId="2A5AF1AD"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 w:val="20"/>
                <w:szCs w:val="20"/>
              </w:rPr>
            </w:pPr>
            <w:r w:rsidRPr="00C86111">
              <w:rPr>
                <w:sz w:val="20"/>
                <w:szCs w:val="20"/>
              </w:rPr>
              <w:t>Povišene vrijednosti</w:t>
            </w:r>
          </w:p>
        </w:tc>
        <w:tc>
          <w:tcPr>
            <w:tcW w:w="0" w:type="auto"/>
            <w:hideMark/>
          </w:tcPr>
          <w:p w14:paraId="7DF65110"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 w:val="20"/>
                <w:szCs w:val="20"/>
              </w:rPr>
            </w:pPr>
            <w:r w:rsidRPr="00C86111">
              <w:rPr>
                <w:sz w:val="20"/>
                <w:szCs w:val="20"/>
              </w:rPr>
              <w:t>Ispuštanje izduvnih gasova, toplane</w:t>
            </w:r>
          </w:p>
        </w:tc>
      </w:tr>
      <w:tr w:rsidR="004F6023" w:rsidRPr="00C86111" w14:paraId="0D67169A"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B4B7F6" w14:textId="77777777" w:rsidR="004F6023" w:rsidRPr="00C86111" w:rsidRDefault="004F6023" w:rsidP="00BC765B">
            <w:pPr>
              <w:jc w:val="both"/>
              <w:rPr>
                <w:sz w:val="20"/>
                <w:szCs w:val="20"/>
              </w:rPr>
            </w:pPr>
            <w:r w:rsidRPr="00C86111">
              <w:rPr>
                <w:sz w:val="20"/>
                <w:szCs w:val="20"/>
              </w:rPr>
              <w:t>Pljevlja</w:t>
            </w:r>
          </w:p>
        </w:tc>
        <w:tc>
          <w:tcPr>
            <w:tcW w:w="0" w:type="auto"/>
            <w:hideMark/>
          </w:tcPr>
          <w:p w14:paraId="040246E4"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HCB</w:t>
            </w:r>
          </w:p>
        </w:tc>
        <w:tc>
          <w:tcPr>
            <w:tcW w:w="0" w:type="auto"/>
            <w:hideMark/>
          </w:tcPr>
          <w:p w14:paraId="6666493B"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0,0039 mg/kg</w:t>
            </w:r>
          </w:p>
        </w:tc>
        <w:tc>
          <w:tcPr>
            <w:tcW w:w="0" w:type="auto"/>
            <w:hideMark/>
          </w:tcPr>
          <w:p w14:paraId="7D14434F"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Nepotpuno sagorijevanje</w:t>
            </w:r>
          </w:p>
        </w:tc>
      </w:tr>
    </w:tbl>
    <w:p w14:paraId="46DAD0CF" w14:textId="77777777" w:rsidR="004F6023" w:rsidRPr="00C86111" w:rsidRDefault="004F6023" w:rsidP="004F6023">
      <w:pPr>
        <w:jc w:val="both"/>
        <w:rPr>
          <w:szCs w:val="24"/>
        </w:rPr>
      </w:pPr>
    </w:p>
    <w:p w14:paraId="75221F63" w14:textId="77777777" w:rsidR="008015BD" w:rsidRDefault="008015BD" w:rsidP="00EA6904">
      <w:pPr>
        <w:pStyle w:val="Heading4"/>
      </w:pPr>
    </w:p>
    <w:p w14:paraId="53897E3F" w14:textId="021B874C" w:rsidR="004F6023" w:rsidRPr="00C86111" w:rsidRDefault="004F6023" w:rsidP="00EA6904">
      <w:pPr>
        <w:pStyle w:val="Heading4"/>
      </w:pPr>
      <w:r w:rsidRPr="00C86111">
        <w:lastRenderedPageBreak/>
        <w:t>Monitoring površinskih i podzemnih voda</w:t>
      </w:r>
    </w:p>
    <w:p w14:paraId="60031587" w14:textId="77777777" w:rsidR="004F6023" w:rsidRPr="00C86111" w:rsidRDefault="004F6023" w:rsidP="004F6023">
      <w:pPr>
        <w:jc w:val="both"/>
        <w:rPr>
          <w:szCs w:val="24"/>
        </w:rPr>
      </w:pPr>
      <w:r w:rsidRPr="00C86111">
        <w:rPr>
          <w:szCs w:val="24"/>
        </w:rPr>
        <w:t>Institut za hidrometeorologiju i seizmologiju Crne Gore (IHMS) sprovodi kvalitativni i kvantitativni monitoring površinskih i podzemnih voda u skladu sa Zakonom o vodama („Službeni list Crne Gore“, br. 27/07, 32/11, 47/11, 48/15, 52/16, 55/16, 2/17, 80/17, 84/18).</w:t>
      </w:r>
    </w:p>
    <w:p w14:paraId="715DCFF4" w14:textId="77777777" w:rsidR="004F6023" w:rsidRPr="00C86111" w:rsidRDefault="004F6023" w:rsidP="004F6023">
      <w:pPr>
        <w:jc w:val="both"/>
        <w:rPr>
          <w:szCs w:val="24"/>
        </w:rPr>
      </w:pPr>
      <w:r w:rsidRPr="00C86111">
        <w:rPr>
          <w:szCs w:val="24"/>
        </w:rPr>
        <w:t>Ovim zakonom je transponovana Okvirna direktiva o vodama EU (WFD, 2000/60/EC), koja predstavlja ključni propis za upravljanje vodama. Direktiva propisuje kontinuirane programe monitoringa radi procjene stanja površinskih voda, podzemnih voda i zaštićenih područja, kroz tri vrste monitoringa:</w:t>
      </w:r>
    </w:p>
    <w:p w14:paraId="36FFC3C5" w14:textId="77777777" w:rsidR="004F6023" w:rsidRPr="00C86111" w:rsidRDefault="004F6023" w:rsidP="00833A40">
      <w:pPr>
        <w:numPr>
          <w:ilvl w:val="0"/>
          <w:numId w:val="41"/>
        </w:numPr>
        <w:jc w:val="both"/>
        <w:rPr>
          <w:szCs w:val="24"/>
        </w:rPr>
      </w:pPr>
      <w:r w:rsidRPr="00C86111">
        <w:rPr>
          <w:szCs w:val="24"/>
        </w:rPr>
        <w:t>Nadzorni (surveillance) monitoring – procjenjuje opšte stanje površinskih voda u svakom slivu.</w:t>
      </w:r>
    </w:p>
    <w:p w14:paraId="0D06276C" w14:textId="77777777" w:rsidR="004F6023" w:rsidRPr="00C86111" w:rsidRDefault="004F6023" w:rsidP="00833A40">
      <w:pPr>
        <w:numPr>
          <w:ilvl w:val="0"/>
          <w:numId w:val="41"/>
        </w:numPr>
        <w:jc w:val="both"/>
        <w:rPr>
          <w:szCs w:val="24"/>
        </w:rPr>
      </w:pPr>
      <w:r w:rsidRPr="00C86111">
        <w:rPr>
          <w:szCs w:val="24"/>
        </w:rPr>
        <w:t>Operativni (operational) monitoring – fokusira se na vodna tijela koja su u riziku da ne ispune ekološke ciljeve.</w:t>
      </w:r>
    </w:p>
    <w:p w14:paraId="40231F52" w14:textId="77777777" w:rsidR="004F6023" w:rsidRPr="00C86111" w:rsidRDefault="004F6023" w:rsidP="00833A40">
      <w:pPr>
        <w:numPr>
          <w:ilvl w:val="0"/>
          <w:numId w:val="41"/>
        </w:numPr>
        <w:jc w:val="both"/>
        <w:rPr>
          <w:szCs w:val="24"/>
        </w:rPr>
      </w:pPr>
      <w:r w:rsidRPr="00C86111">
        <w:rPr>
          <w:szCs w:val="24"/>
        </w:rPr>
        <w:t>Istraživački (investigative) monitoring – sprovodi se kada nadzorni monitoring ukaže na problem, ali operativni još nije uspostavljen.</w:t>
      </w:r>
    </w:p>
    <w:p w14:paraId="1E755266" w14:textId="77777777" w:rsidR="004F6023" w:rsidRPr="00C86111" w:rsidRDefault="004F6023" w:rsidP="004F6023">
      <w:pPr>
        <w:jc w:val="both"/>
        <w:rPr>
          <w:szCs w:val="24"/>
        </w:rPr>
      </w:pPr>
      <w:r w:rsidRPr="00C86111">
        <w:rPr>
          <w:szCs w:val="24"/>
        </w:rPr>
        <w:t>Rezultate monitoringa IHMS objedinjuje u Godišnjem izvještaju, koji se dostavlja ključnim institucijama:</w:t>
      </w:r>
      <w:r w:rsidRPr="00C86111">
        <w:rPr>
          <w:szCs w:val="24"/>
        </w:rPr>
        <w:br/>
        <w:t>Ministarstvu poljoprivrede, šumarstva i vodoprivrede, Upravi za vode, Ministarstvu ekologije, održivog razvoja i razvoja sjeverna, kao i Agenciji za zaštitu životne sredine. Ovi izvještaji čine osnovu za Izvještaj o stanju životne sredine Crne Gore, koji usvaja Vlada, i doprinose izvještavanju prema Evropskoj agenciji za životnu sredinu (EIONET).</w:t>
      </w:r>
    </w:p>
    <w:p w14:paraId="15E6E315" w14:textId="77777777" w:rsidR="004F6023" w:rsidRPr="00C86111" w:rsidRDefault="004F6023" w:rsidP="004F6023">
      <w:pPr>
        <w:jc w:val="both"/>
        <w:rPr>
          <w:szCs w:val="24"/>
        </w:rPr>
      </w:pPr>
      <w:r w:rsidRPr="00C86111">
        <w:rPr>
          <w:szCs w:val="24"/>
        </w:rPr>
        <w:t>Hemijski status (CS) površinskih vodnih tijela određuje se praćenjem prioritetnih supstanci (PS) u odnosu na standarde kvaliteta životne sredine (EQS). Među 45 prioritetnih supstanci, nekoliko pripada grupi postojanih organskih zagađivača (POPs), uključujući: aldrin, dieldrin, hlordan, endrin, heptahlor, HCB, DDT, BDE, PFOS, pentahlorfenol i dioksine, kao i kandidate za POPs, poput hlorpirifosa. Takođe se prate i specifični zagađivači poput PCB-a.</w:t>
      </w:r>
    </w:p>
    <w:p w14:paraId="55A24FCE" w14:textId="77777777" w:rsidR="004F6023" w:rsidRPr="00C86111" w:rsidRDefault="004F6023" w:rsidP="004F6023">
      <w:pPr>
        <w:jc w:val="both"/>
        <w:rPr>
          <w:szCs w:val="24"/>
        </w:rPr>
      </w:pPr>
      <w:r w:rsidRPr="00C86111">
        <w:rPr>
          <w:szCs w:val="24"/>
        </w:rPr>
        <w:t>Program monitoringa obuhvata analizu POPs hemikalija u vodi, bioti i sedimentu. Hemijski status se klasifikuje kao „dobar“ ili „nije dobar“ na osnovu prosječnih godišnjih vrijednosti (AA) i maksimalno dozvoljenih koncentracija (MAC).</w:t>
      </w:r>
    </w:p>
    <w:p w14:paraId="4EDC6DFF" w14:textId="77777777" w:rsidR="004F6023" w:rsidRPr="00C86111" w:rsidRDefault="004F6023" w:rsidP="004F6023">
      <w:pPr>
        <w:jc w:val="both"/>
        <w:rPr>
          <w:szCs w:val="24"/>
        </w:rPr>
      </w:pPr>
      <w:r w:rsidRPr="00C86111">
        <w:rPr>
          <w:szCs w:val="24"/>
        </w:rPr>
        <w:t>Iako Okvirna direktiva o vodama (WFD) preporučuje mjesečno uzorkovanje, u Crnoj Gori se monitoring sprovodi do dva puta godišnje, što ograničava pouzdanost rezultata. Ipak, u analiziranim uzorcima voda nijesu detektovani POPs zagađivači.</w:t>
      </w:r>
    </w:p>
    <w:p w14:paraId="7974B982" w14:textId="77777777" w:rsidR="004F6023" w:rsidRPr="00C86111" w:rsidRDefault="004F6023" w:rsidP="00EA6904">
      <w:pPr>
        <w:pStyle w:val="Heading4"/>
      </w:pPr>
      <w:r w:rsidRPr="00C86111">
        <w:t>Analiza sedimenata</w:t>
      </w:r>
    </w:p>
    <w:p w14:paraId="0DFDA352" w14:textId="77777777" w:rsidR="004F6023" w:rsidRPr="00C86111" w:rsidRDefault="004F6023" w:rsidP="004F6023">
      <w:pPr>
        <w:jc w:val="both"/>
        <w:rPr>
          <w:szCs w:val="24"/>
        </w:rPr>
      </w:pPr>
      <w:r w:rsidRPr="00C86111">
        <w:rPr>
          <w:szCs w:val="24"/>
        </w:rPr>
        <w:t>Tumačenje rezultata analiza sedimenata i dalje predstavlja izazov zbog nedostatka vrijednosti ekoloških standarda kvaliteta (EQS) za mnoge prioritetne supstance i specifične zagađivače riječnih slivova (RBSP).</w:t>
      </w:r>
    </w:p>
    <w:p w14:paraId="566F3444" w14:textId="77777777" w:rsidR="004F6023" w:rsidRPr="00C86111" w:rsidRDefault="004F6023" w:rsidP="004F6023">
      <w:pPr>
        <w:jc w:val="both"/>
        <w:rPr>
          <w:szCs w:val="24"/>
        </w:rPr>
      </w:pPr>
      <w:r w:rsidRPr="00C86111">
        <w:rPr>
          <w:szCs w:val="24"/>
        </w:rPr>
        <w:t>Analiza sedimenata obuhvatila je:</w:t>
      </w:r>
    </w:p>
    <w:p w14:paraId="0334E661" w14:textId="77777777" w:rsidR="004F6023" w:rsidRPr="00C86111" w:rsidRDefault="004F6023" w:rsidP="00833A40">
      <w:pPr>
        <w:numPr>
          <w:ilvl w:val="0"/>
          <w:numId w:val="42"/>
        </w:numPr>
        <w:jc w:val="both"/>
        <w:rPr>
          <w:szCs w:val="24"/>
        </w:rPr>
      </w:pPr>
      <w:r w:rsidRPr="00C86111">
        <w:rPr>
          <w:szCs w:val="24"/>
        </w:rPr>
        <w:t>17 organskih prioritetnih supstanci (PS), kao što su: antracen, BDE jedinjenja, HCB, PAH jedinjenja, tributil-kalajne (TBT) komponente, PFOS, dioksini i HBCDD;</w:t>
      </w:r>
    </w:p>
    <w:p w14:paraId="1F76CA44" w14:textId="77777777" w:rsidR="004F6023" w:rsidRPr="00C86111" w:rsidRDefault="004F6023" w:rsidP="00833A40">
      <w:pPr>
        <w:numPr>
          <w:ilvl w:val="0"/>
          <w:numId w:val="42"/>
        </w:numPr>
        <w:jc w:val="both"/>
        <w:rPr>
          <w:szCs w:val="24"/>
        </w:rPr>
      </w:pPr>
      <w:r w:rsidRPr="00C86111">
        <w:rPr>
          <w:szCs w:val="24"/>
        </w:rPr>
        <w:t>3 metala – kadmijum, olovo i živu.</w:t>
      </w:r>
    </w:p>
    <w:p w14:paraId="2B3A60EF" w14:textId="77777777" w:rsidR="004F6023" w:rsidRPr="00C86111" w:rsidRDefault="004F6023" w:rsidP="004F6023">
      <w:pPr>
        <w:jc w:val="both"/>
        <w:rPr>
          <w:szCs w:val="24"/>
        </w:rPr>
      </w:pPr>
      <w:r w:rsidRPr="00C86111">
        <w:rPr>
          <w:szCs w:val="24"/>
        </w:rPr>
        <w:t>Pored toga, sediment je testiran i na specifične zagađivače, uključujući:</w:t>
      </w:r>
    </w:p>
    <w:p w14:paraId="79A56D37" w14:textId="77777777" w:rsidR="004F6023" w:rsidRPr="00C86111" w:rsidRDefault="004F6023" w:rsidP="00833A40">
      <w:pPr>
        <w:numPr>
          <w:ilvl w:val="0"/>
          <w:numId w:val="43"/>
        </w:numPr>
        <w:jc w:val="both"/>
        <w:rPr>
          <w:szCs w:val="24"/>
        </w:rPr>
      </w:pPr>
      <w:r w:rsidRPr="00C86111">
        <w:rPr>
          <w:szCs w:val="24"/>
        </w:rPr>
        <w:t>11 sintetičkih zagađivača (npr. bisfenol-A, dibutil-ftalat, glifosat, ksilen),</w:t>
      </w:r>
    </w:p>
    <w:p w14:paraId="5A5BC041" w14:textId="77777777" w:rsidR="004F6023" w:rsidRPr="00C86111" w:rsidRDefault="004F6023" w:rsidP="00833A40">
      <w:pPr>
        <w:numPr>
          <w:ilvl w:val="0"/>
          <w:numId w:val="43"/>
        </w:numPr>
        <w:jc w:val="both"/>
        <w:rPr>
          <w:szCs w:val="24"/>
        </w:rPr>
      </w:pPr>
      <w:r w:rsidRPr="00C86111">
        <w:rPr>
          <w:szCs w:val="24"/>
        </w:rPr>
        <w:lastRenderedPageBreak/>
        <w:t>9 nesintetičkih zagađivača (npr. arsen, bakar, cink, hrom),</w:t>
      </w:r>
    </w:p>
    <w:p w14:paraId="0CEB5F66" w14:textId="77777777" w:rsidR="004F6023" w:rsidRPr="00C86111" w:rsidRDefault="004F6023" w:rsidP="00833A40">
      <w:pPr>
        <w:numPr>
          <w:ilvl w:val="0"/>
          <w:numId w:val="43"/>
        </w:numPr>
        <w:jc w:val="both"/>
        <w:rPr>
          <w:szCs w:val="24"/>
        </w:rPr>
      </w:pPr>
      <w:r w:rsidRPr="00C86111">
        <w:rPr>
          <w:szCs w:val="24"/>
        </w:rPr>
        <w:t>2 dodatna zagađivača (mineralna ulja i kongeneri PCB-a).</w:t>
      </w:r>
    </w:p>
    <w:p w14:paraId="3CB7811B" w14:textId="77777777" w:rsidR="004F6023" w:rsidRPr="00C86111" w:rsidRDefault="004F6023" w:rsidP="004F6023">
      <w:pPr>
        <w:jc w:val="both"/>
        <w:rPr>
          <w:szCs w:val="24"/>
        </w:rPr>
      </w:pPr>
      <w:r w:rsidRPr="00C86111">
        <w:rPr>
          <w:szCs w:val="24"/>
        </w:rPr>
        <w:t>Rezultati su pokazali prisustvo PCB kongenera, dok drugi POPs nisu bili detektovani u uzorcima sedimenata.</w:t>
      </w:r>
    </w:p>
    <w:p w14:paraId="554DC65C" w14:textId="77777777" w:rsidR="004F6023" w:rsidRPr="00C86111" w:rsidRDefault="004F6023" w:rsidP="00EA6904">
      <w:pPr>
        <w:pStyle w:val="Heading4"/>
      </w:pPr>
      <w:r w:rsidRPr="00C86111">
        <w:t>Analiza biote</w:t>
      </w:r>
    </w:p>
    <w:p w14:paraId="23BF8D84" w14:textId="77777777" w:rsidR="004F6023" w:rsidRPr="00C86111" w:rsidRDefault="004F6023" w:rsidP="004F6023">
      <w:pPr>
        <w:jc w:val="both"/>
        <w:rPr>
          <w:szCs w:val="24"/>
        </w:rPr>
      </w:pPr>
      <w:r w:rsidRPr="00C86111">
        <w:rPr>
          <w:szCs w:val="24"/>
        </w:rPr>
        <w:t>U okviru monitoringa biote praćeno je jedanaest prioritetnih supstanci, uključujući:</w:t>
      </w:r>
    </w:p>
    <w:p w14:paraId="06A4CF7B" w14:textId="77777777" w:rsidR="004F6023" w:rsidRPr="00C86111" w:rsidRDefault="004F6023" w:rsidP="00833A40">
      <w:pPr>
        <w:numPr>
          <w:ilvl w:val="0"/>
          <w:numId w:val="44"/>
        </w:numPr>
        <w:jc w:val="both"/>
        <w:rPr>
          <w:szCs w:val="24"/>
        </w:rPr>
      </w:pPr>
      <w:r w:rsidRPr="00C86111">
        <w:rPr>
          <w:szCs w:val="24"/>
        </w:rPr>
        <w:t>Organske komponente: BDE, heksahlorbenzen (HCB), heksahlorbutadien, PAH jedinjenja, PFOS, dioksine, HBCDD i heptahlor.</w:t>
      </w:r>
    </w:p>
    <w:p w14:paraId="7BB862F1" w14:textId="77777777" w:rsidR="004F6023" w:rsidRPr="00C86111" w:rsidRDefault="004F6023" w:rsidP="00833A40">
      <w:pPr>
        <w:numPr>
          <w:ilvl w:val="0"/>
          <w:numId w:val="44"/>
        </w:numPr>
        <w:jc w:val="both"/>
        <w:rPr>
          <w:szCs w:val="24"/>
        </w:rPr>
      </w:pPr>
      <w:r w:rsidRPr="00C86111">
        <w:rPr>
          <w:szCs w:val="24"/>
        </w:rPr>
        <w:t>Metale: živu i njena jedinjenja.</w:t>
      </w:r>
    </w:p>
    <w:p w14:paraId="6BB8BFC5" w14:textId="77777777" w:rsidR="004F6023" w:rsidRPr="00C86111" w:rsidRDefault="004F6023" w:rsidP="004F6023">
      <w:pPr>
        <w:jc w:val="both"/>
        <w:rPr>
          <w:szCs w:val="24"/>
        </w:rPr>
      </w:pPr>
      <w:r w:rsidRPr="00C86111">
        <w:rPr>
          <w:szCs w:val="24"/>
        </w:rPr>
        <w:t>Rezultati:</w:t>
      </w:r>
    </w:p>
    <w:p w14:paraId="29A1CB19" w14:textId="77777777" w:rsidR="004F6023" w:rsidRPr="00C86111" w:rsidRDefault="004F6023" w:rsidP="00833A40">
      <w:pPr>
        <w:numPr>
          <w:ilvl w:val="0"/>
          <w:numId w:val="45"/>
        </w:numPr>
        <w:jc w:val="both"/>
        <w:rPr>
          <w:szCs w:val="24"/>
        </w:rPr>
      </w:pPr>
      <w:r w:rsidRPr="00C86111">
        <w:rPr>
          <w:szCs w:val="24"/>
        </w:rPr>
        <w:t>Voda: POPs nijesu detektovani.</w:t>
      </w:r>
    </w:p>
    <w:p w14:paraId="3EF95287" w14:textId="77777777" w:rsidR="004F6023" w:rsidRPr="00C86111" w:rsidRDefault="004F6023" w:rsidP="00833A40">
      <w:pPr>
        <w:numPr>
          <w:ilvl w:val="0"/>
          <w:numId w:val="45"/>
        </w:numPr>
        <w:jc w:val="both"/>
        <w:rPr>
          <w:szCs w:val="24"/>
        </w:rPr>
      </w:pPr>
      <w:r w:rsidRPr="00C86111">
        <w:rPr>
          <w:szCs w:val="24"/>
        </w:rPr>
        <w:t>Sediment: detektovani PCB kongeneri; ostali POPs nijesu zabilježeni.</w:t>
      </w:r>
    </w:p>
    <w:p w14:paraId="7DDFD3B7" w14:textId="77777777" w:rsidR="004F6023" w:rsidRPr="00C86111" w:rsidRDefault="004F6023" w:rsidP="00833A40">
      <w:pPr>
        <w:numPr>
          <w:ilvl w:val="0"/>
          <w:numId w:val="45"/>
        </w:numPr>
        <w:jc w:val="both"/>
        <w:rPr>
          <w:szCs w:val="24"/>
        </w:rPr>
      </w:pPr>
      <w:r w:rsidRPr="00C86111">
        <w:rPr>
          <w:szCs w:val="24"/>
        </w:rPr>
        <w:t>Biota (ribe):</w:t>
      </w:r>
    </w:p>
    <w:p w14:paraId="0ECA090C" w14:textId="77777777" w:rsidR="004F6023" w:rsidRPr="00C86111" w:rsidRDefault="004F6023" w:rsidP="00004F34">
      <w:pPr>
        <w:numPr>
          <w:ilvl w:val="1"/>
          <w:numId w:val="225"/>
        </w:numPr>
        <w:jc w:val="both"/>
        <w:rPr>
          <w:szCs w:val="24"/>
        </w:rPr>
      </w:pPr>
      <w:r w:rsidRPr="00C86111">
        <w:rPr>
          <w:szCs w:val="24"/>
        </w:rPr>
        <w:t>BDEs: detektovani iznad vrijednosti EQS u pastrmci, klijenu, lipljenu i mreni u rijekama Ćehotina, Tara, Veruša i Brvenica. Maksimalna koncentracija: 0,74 µg/kg.</w:t>
      </w:r>
    </w:p>
    <w:p w14:paraId="77C9C4AF" w14:textId="77777777" w:rsidR="004F6023" w:rsidRPr="00C86111" w:rsidRDefault="004F6023" w:rsidP="00004F34">
      <w:pPr>
        <w:numPr>
          <w:ilvl w:val="1"/>
          <w:numId w:val="225"/>
        </w:numPr>
        <w:jc w:val="both"/>
        <w:rPr>
          <w:szCs w:val="24"/>
        </w:rPr>
      </w:pPr>
      <w:r w:rsidRPr="00C86111">
        <w:rPr>
          <w:szCs w:val="24"/>
        </w:rPr>
        <w:t>Živa: detektovana u svim uzorcima riba (u rasponu 21–1050 µg/kg), sa najvišom koncentracijom u klijenu iz rijeke Ćehotine.</w:t>
      </w:r>
    </w:p>
    <w:p w14:paraId="06AF431F" w14:textId="77777777" w:rsidR="004F6023" w:rsidRPr="00C86111" w:rsidRDefault="004F6023" w:rsidP="004F6023">
      <w:pPr>
        <w:jc w:val="both"/>
        <w:rPr>
          <w:szCs w:val="24"/>
        </w:rPr>
      </w:pPr>
    </w:p>
    <w:p w14:paraId="73FB2922" w14:textId="3D0BC3A2" w:rsidR="00746115" w:rsidRPr="00C86111" w:rsidRDefault="00DE40D4" w:rsidP="004F6023">
      <w:pPr>
        <w:jc w:val="both"/>
        <w:rPr>
          <w:szCs w:val="24"/>
        </w:rPr>
      </w:pPr>
      <w:r w:rsidRPr="00C86111">
        <w:rPr>
          <w:szCs w:val="24"/>
        </w:rPr>
        <w:t>Pregled rezultata monitoring POPs-a u vodi, sedimentu i bioti dat je u tabeli 11</w:t>
      </w:r>
      <w:r w:rsidR="0042690B">
        <w:rPr>
          <w:szCs w:val="24"/>
        </w:rPr>
        <w:t>8</w:t>
      </w:r>
      <w:r w:rsidRPr="00C86111">
        <w:rPr>
          <w:szCs w:val="24"/>
        </w:rPr>
        <w:t>.</w:t>
      </w:r>
    </w:p>
    <w:p w14:paraId="0AF61044" w14:textId="77777777" w:rsidR="00DE40D4" w:rsidRPr="00C86111" w:rsidRDefault="00DE40D4" w:rsidP="004F6023">
      <w:pPr>
        <w:jc w:val="both"/>
        <w:rPr>
          <w:szCs w:val="24"/>
        </w:rPr>
      </w:pPr>
    </w:p>
    <w:p w14:paraId="0C1C0331" w14:textId="13C25C8C" w:rsidR="004F6023" w:rsidRPr="00C86111" w:rsidRDefault="004F6023" w:rsidP="004F6023">
      <w:pPr>
        <w:jc w:val="both"/>
        <w:rPr>
          <w:szCs w:val="24"/>
        </w:rPr>
      </w:pPr>
      <w:r w:rsidRPr="00C86111">
        <w:rPr>
          <w:b/>
          <w:bCs/>
          <w:szCs w:val="24"/>
        </w:rPr>
        <w:t xml:space="preserve">Tabela </w:t>
      </w:r>
      <w:r w:rsidR="00DE40D4" w:rsidRPr="00C86111">
        <w:rPr>
          <w:b/>
          <w:bCs/>
          <w:szCs w:val="24"/>
        </w:rPr>
        <w:t>11</w:t>
      </w:r>
      <w:r w:rsidR="0042690B">
        <w:rPr>
          <w:b/>
          <w:bCs/>
          <w:szCs w:val="24"/>
        </w:rPr>
        <w:t>8</w:t>
      </w:r>
      <w:r w:rsidRPr="00C86111">
        <w:rPr>
          <w:szCs w:val="24"/>
        </w:rPr>
        <w:t>. Pregled – Monitoring POPs-a u vodi, sedimentu i bioti</w:t>
      </w:r>
    </w:p>
    <w:tbl>
      <w:tblPr>
        <w:tblStyle w:val="GridTable5Dark-Accent6"/>
        <w:tblW w:w="0" w:type="auto"/>
        <w:tblLook w:val="04A0" w:firstRow="1" w:lastRow="0" w:firstColumn="1" w:lastColumn="0" w:noHBand="0" w:noVBand="1"/>
      </w:tblPr>
      <w:tblGrid>
        <w:gridCol w:w="959"/>
        <w:gridCol w:w="1278"/>
        <w:gridCol w:w="2855"/>
        <w:gridCol w:w="4258"/>
      </w:tblGrid>
      <w:tr w:rsidR="004F6023" w:rsidRPr="00C86111" w14:paraId="335CD46D"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B33349" w14:textId="77777777" w:rsidR="004F6023" w:rsidRPr="00C86111" w:rsidRDefault="004F6023" w:rsidP="00BC765B">
            <w:pPr>
              <w:jc w:val="both"/>
              <w:rPr>
                <w:b w:val="0"/>
                <w:bCs w:val="0"/>
                <w:sz w:val="20"/>
                <w:szCs w:val="20"/>
              </w:rPr>
            </w:pPr>
            <w:r w:rsidRPr="00C86111">
              <w:rPr>
                <w:sz w:val="20"/>
                <w:szCs w:val="20"/>
              </w:rPr>
              <w:t>Grupa POPs</w:t>
            </w:r>
          </w:p>
        </w:tc>
        <w:tc>
          <w:tcPr>
            <w:tcW w:w="0" w:type="auto"/>
            <w:hideMark/>
          </w:tcPr>
          <w:p w14:paraId="5AC3521B" w14:textId="77777777" w:rsidR="004F6023" w:rsidRPr="00C86111" w:rsidRDefault="004F6023" w:rsidP="00BC765B">
            <w:pPr>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C86111">
              <w:rPr>
                <w:sz w:val="20"/>
                <w:szCs w:val="20"/>
              </w:rPr>
              <w:t>Matrica</w:t>
            </w:r>
          </w:p>
        </w:tc>
        <w:tc>
          <w:tcPr>
            <w:tcW w:w="0" w:type="auto"/>
            <w:hideMark/>
          </w:tcPr>
          <w:p w14:paraId="1231C6CE" w14:textId="77777777" w:rsidR="004F6023" w:rsidRPr="00C86111" w:rsidRDefault="004F6023" w:rsidP="00BC765B">
            <w:pPr>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C86111">
              <w:rPr>
                <w:sz w:val="20"/>
                <w:szCs w:val="20"/>
              </w:rPr>
              <w:t>Nalazi</w:t>
            </w:r>
          </w:p>
        </w:tc>
        <w:tc>
          <w:tcPr>
            <w:tcW w:w="0" w:type="auto"/>
            <w:hideMark/>
          </w:tcPr>
          <w:p w14:paraId="1AA47D04" w14:textId="77777777" w:rsidR="004F6023" w:rsidRPr="00C86111" w:rsidRDefault="004F6023" w:rsidP="00BC765B">
            <w:pPr>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C86111">
              <w:rPr>
                <w:sz w:val="20"/>
                <w:szCs w:val="20"/>
              </w:rPr>
              <w:t>Napomene / Lokacije</w:t>
            </w:r>
          </w:p>
        </w:tc>
      </w:tr>
      <w:tr w:rsidR="004F6023" w:rsidRPr="00C86111" w14:paraId="30238943"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4E2880" w14:textId="77777777" w:rsidR="004F6023" w:rsidRPr="00C86111" w:rsidRDefault="004F6023" w:rsidP="00BC765B">
            <w:pPr>
              <w:jc w:val="both"/>
              <w:rPr>
                <w:sz w:val="20"/>
                <w:szCs w:val="20"/>
              </w:rPr>
            </w:pPr>
            <w:r w:rsidRPr="00C86111">
              <w:rPr>
                <w:sz w:val="20"/>
                <w:szCs w:val="20"/>
              </w:rPr>
              <w:t>BDEs</w:t>
            </w:r>
          </w:p>
        </w:tc>
        <w:tc>
          <w:tcPr>
            <w:tcW w:w="0" w:type="auto"/>
            <w:hideMark/>
          </w:tcPr>
          <w:p w14:paraId="5074743E"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Ribe</w:t>
            </w:r>
          </w:p>
        </w:tc>
        <w:tc>
          <w:tcPr>
            <w:tcW w:w="0" w:type="auto"/>
            <w:hideMark/>
          </w:tcPr>
          <w:p w14:paraId="1E9C3BC7"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Prekoračenja u 12 uzoraka (maks. 0,74 µg/kg)</w:t>
            </w:r>
          </w:p>
        </w:tc>
        <w:tc>
          <w:tcPr>
            <w:tcW w:w="0" w:type="auto"/>
            <w:hideMark/>
          </w:tcPr>
          <w:p w14:paraId="6AADFF2E"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Detektovani u pastrmci, klijenu, lipljenu i mreni (rijeke Ćehotina, Tara, Veruša, Brvenica)</w:t>
            </w:r>
          </w:p>
        </w:tc>
      </w:tr>
      <w:tr w:rsidR="004F6023" w:rsidRPr="00C86111" w14:paraId="684D54F4"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5E55AB5A" w14:textId="77777777" w:rsidR="004F6023" w:rsidRPr="00C86111" w:rsidRDefault="004F6023" w:rsidP="00BC765B">
            <w:pPr>
              <w:jc w:val="both"/>
              <w:rPr>
                <w:sz w:val="20"/>
                <w:szCs w:val="20"/>
              </w:rPr>
            </w:pPr>
            <w:r w:rsidRPr="00C86111">
              <w:rPr>
                <w:sz w:val="20"/>
                <w:szCs w:val="20"/>
              </w:rPr>
              <w:t>Živa</w:t>
            </w:r>
          </w:p>
        </w:tc>
        <w:tc>
          <w:tcPr>
            <w:tcW w:w="0" w:type="auto"/>
            <w:hideMark/>
          </w:tcPr>
          <w:p w14:paraId="179B77A3"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 w:val="20"/>
                <w:szCs w:val="20"/>
              </w:rPr>
            </w:pPr>
            <w:r w:rsidRPr="00C86111">
              <w:rPr>
                <w:sz w:val="20"/>
                <w:szCs w:val="20"/>
              </w:rPr>
              <w:t>Ribe</w:t>
            </w:r>
          </w:p>
        </w:tc>
        <w:tc>
          <w:tcPr>
            <w:tcW w:w="0" w:type="auto"/>
            <w:hideMark/>
          </w:tcPr>
          <w:p w14:paraId="424956D2"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 w:val="20"/>
                <w:szCs w:val="20"/>
              </w:rPr>
            </w:pPr>
            <w:r w:rsidRPr="00C86111">
              <w:rPr>
                <w:sz w:val="20"/>
                <w:szCs w:val="20"/>
              </w:rPr>
              <w:t>Prekoračenja u svih 22 uzorka (21–1050 µg/kg)</w:t>
            </w:r>
          </w:p>
        </w:tc>
        <w:tc>
          <w:tcPr>
            <w:tcW w:w="0" w:type="auto"/>
            <w:hideMark/>
          </w:tcPr>
          <w:p w14:paraId="12948F62"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 w:val="20"/>
                <w:szCs w:val="20"/>
              </w:rPr>
            </w:pPr>
            <w:r w:rsidRPr="00C86111">
              <w:rPr>
                <w:sz w:val="20"/>
                <w:szCs w:val="20"/>
              </w:rPr>
              <w:t>Najviša koncentracija u klijenu iz rijeke Ćehotine</w:t>
            </w:r>
          </w:p>
        </w:tc>
      </w:tr>
      <w:tr w:rsidR="004F6023" w:rsidRPr="00C86111" w14:paraId="6C551DA6"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C0F0E0" w14:textId="77777777" w:rsidR="004F6023" w:rsidRPr="00C86111" w:rsidRDefault="004F6023" w:rsidP="00BC765B">
            <w:pPr>
              <w:jc w:val="both"/>
              <w:rPr>
                <w:sz w:val="20"/>
                <w:szCs w:val="20"/>
              </w:rPr>
            </w:pPr>
            <w:r w:rsidRPr="00C86111">
              <w:rPr>
                <w:sz w:val="20"/>
                <w:szCs w:val="20"/>
              </w:rPr>
              <w:t>PCB</w:t>
            </w:r>
          </w:p>
        </w:tc>
        <w:tc>
          <w:tcPr>
            <w:tcW w:w="0" w:type="auto"/>
            <w:hideMark/>
          </w:tcPr>
          <w:p w14:paraId="79E5B237"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Sediment</w:t>
            </w:r>
          </w:p>
        </w:tc>
        <w:tc>
          <w:tcPr>
            <w:tcW w:w="0" w:type="auto"/>
            <w:hideMark/>
          </w:tcPr>
          <w:p w14:paraId="7BF2D719"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Detektovani</w:t>
            </w:r>
          </w:p>
        </w:tc>
        <w:tc>
          <w:tcPr>
            <w:tcW w:w="0" w:type="auto"/>
            <w:hideMark/>
          </w:tcPr>
          <w:p w14:paraId="2E32C24F"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Nema EQS vrijednosti za sve kongenere</w:t>
            </w:r>
          </w:p>
        </w:tc>
      </w:tr>
      <w:tr w:rsidR="004F6023" w:rsidRPr="00C86111" w14:paraId="09215B44"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185F580D" w14:textId="77777777" w:rsidR="004F6023" w:rsidRPr="00C86111" w:rsidRDefault="004F6023" w:rsidP="00BC765B">
            <w:pPr>
              <w:jc w:val="both"/>
              <w:rPr>
                <w:sz w:val="20"/>
                <w:szCs w:val="20"/>
              </w:rPr>
            </w:pPr>
            <w:r w:rsidRPr="00C86111">
              <w:rPr>
                <w:sz w:val="20"/>
                <w:szCs w:val="20"/>
              </w:rPr>
              <w:t>Ostali POPs</w:t>
            </w:r>
          </w:p>
        </w:tc>
        <w:tc>
          <w:tcPr>
            <w:tcW w:w="0" w:type="auto"/>
            <w:hideMark/>
          </w:tcPr>
          <w:p w14:paraId="1CC1B02F"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 w:val="20"/>
                <w:szCs w:val="20"/>
              </w:rPr>
            </w:pPr>
            <w:r w:rsidRPr="00C86111">
              <w:rPr>
                <w:sz w:val="20"/>
                <w:szCs w:val="20"/>
              </w:rPr>
              <w:t>Voda</w:t>
            </w:r>
          </w:p>
        </w:tc>
        <w:tc>
          <w:tcPr>
            <w:tcW w:w="0" w:type="auto"/>
            <w:hideMark/>
          </w:tcPr>
          <w:p w14:paraId="4D90BD29"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 w:val="20"/>
                <w:szCs w:val="20"/>
              </w:rPr>
            </w:pPr>
            <w:r w:rsidRPr="00C86111">
              <w:rPr>
                <w:sz w:val="20"/>
                <w:szCs w:val="20"/>
              </w:rPr>
              <w:t>Nisu detektovani</w:t>
            </w:r>
          </w:p>
        </w:tc>
        <w:tc>
          <w:tcPr>
            <w:tcW w:w="0" w:type="auto"/>
            <w:hideMark/>
          </w:tcPr>
          <w:p w14:paraId="44B5AFAD"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 w:val="20"/>
                <w:szCs w:val="20"/>
              </w:rPr>
            </w:pPr>
            <w:r w:rsidRPr="00C86111">
              <w:rPr>
                <w:sz w:val="20"/>
                <w:szCs w:val="20"/>
              </w:rPr>
              <w:t>Frekvencija monitoringa ograničena na 1–2 puta godišnje</w:t>
            </w:r>
          </w:p>
        </w:tc>
      </w:tr>
      <w:tr w:rsidR="004F6023" w:rsidRPr="00C86111" w14:paraId="651CB9FA"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B6E3E4" w14:textId="77777777" w:rsidR="004F6023" w:rsidRPr="00C86111" w:rsidRDefault="004F6023" w:rsidP="00BC765B">
            <w:pPr>
              <w:jc w:val="both"/>
              <w:rPr>
                <w:sz w:val="20"/>
                <w:szCs w:val="20"/>
              </w:rPr>
            </w:pPr>
            <w:r w:rsidRPr="00C86111">
              <w:rPr>
                <w:sz w:val="20"/>
                <w:szCs w:val="20"/>
              </w:rPr>
              <w:t>Ostali POPs</w:t>
            </w:r>
          </w:p>
        </w:tc>
        <w:tc>
          <w:tcPr>
            <w:tcW w:w="0" w:type="auto"/>
            <w:hideMark/>
          </w:tcPr>
          <w:p w14:paraId="065197C5"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Biota / Sediment</w:t>
            </w:r>
          </w:p>
        </w:tc>
        <w:tc>
          <w:tcPr>
            <w:tcW w:w="0" w:type="auto"/>
            <w:hideMark/>
          </w:tcPr>
          <w:p w14:paraId="0338104D"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Detektovani u tragovima (vidjeti analizu sedimenata)</w:t>
            </w:r>
          </w:p>
        </w:tc>
        <w:tc>
          <w:tcPr>
            <w:tcW w:w="0" w:type="auto"/>
            <w:hideMark/>
          </w:tcPr>
          <w:p w14:paraId="18D60223"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 w:val="20"/>
                <w:szCs w:val="20"/>
              </w:rPr>
            </w:pPr>
            <w:r w:rsidRPr="00C86111">
              <w:rPr>
                <w:sz w:val="20"/>
                <w:szCs w:val="20"/>
              </w:rPr>
              <w:t>Uključuju HCB, PFOS, dioksine i HBCDD (gdje je primjenjivo)</w:t>
            </w:r>
          </w:p>
        </w:tc>
      </w:tr>
    </w:tbl>
    <w:p w14:paraId="18158087" w14:textId="77777777" w:rsidR="004F6023" w:rsidRPr="00C86111" w:rsidRDefault="004F6023" w:rsidP="00EA6904">
      <w:pPr>
        <w:pStyle w:val="Heading4"/>
      </w:pPr>
      <w:r w:rsidRPr="00C86111">
        <w:t>Monitoring morskog ekosistema</w:t>
      </w:r>
    </w:p>
    <w:p w14:paraId="24C393D9" w14:textId="77777777" w:rsidR="004F6023" w:rsidRPr="00C86111" w:rsidRDefault="004F6023" w:rsidP="004F6023">
      <w:pPr>
        <w:jc w:val="both"/>
        <w:rPr>
          <w:szCs w:val="24"/>
        </w:rPr>
      </w:pPr>
      <w:r w:rsidRPr="00C86111">
        <w:rPr>
          <w:szCs w:val="24"/>
        </w:rPr>
        <w:t>Program monitoringa crnogorskog priobalnog morskog ekosistema ima za cilj procjenu ekološkog stanja i pružanje smjernica za zaštitu, očuvanje i poboljšanje kvaliteta morskog okoliša. Program je u skladu sa nacionalnim propisima, uključujući:</w:t>
      </w:r>
    </w:p>
    <w:p w14:paraId="7E0BB76E" w14:textId="77777777" w:rsidR="004F6023" w:rsidRPr="00C86111" w:rsidRDefault="004F6023" w:rsidP="00833A40">
      <w:pPr>
        <w:numPr>
          <w:ilvl w:val="0"/>
          <w:numId w:val="46"/>
        </w:numPr>
        <w:jc w:val="both"/>
        <w:rPr>
          <w:szCs w:val="24"/>
        </w:rPr>
      </w:pPr>
      <w:r w:rsidRPr="00C86111">
        <w:rPr>
          <w:szCs w:val="24"/>
        </w:rPr>
        <w:t>Zakon o zaštiti životne sredine („Službeni list Crne Gore“, br. 52/16)</w:t>
      </w:r>
    </w:p>
    <w:p w14:paraId="228901BB" w14:textId="77777777" w:rsidR="004F6023" w:rsidRPr="00C86111" w:rsidRDefault="004F6023" w:rsidP="00833A40">
      <w:pPr>
        <w:numPr>
          <w:ilvl w:val="0"/>
          <w:numId w:val="46"/>
        </w:numPr>
        <w:jc w:val="both"/>
        <w:rPr>
          <w:szCs w:val="24"/>
        </w:rPr>
      </w:pPr>
      <w:r w:rsidRPr="00C86111">
        <w:rPr>
          <w:szCs w:val="24"/>
        </w:rPr>
        <w:t>Zakon o vodama („Službeni list Crne Gore“, br. 27/07, 32/11, 47/11, 48/15, 52/16, 84/18)</w:t>
      </w:r>
    </w:p>
    <w:p w14:paraId="7D1425B1" w14:textId="77777777" w:rsidR="004F6023" w:rsidRPr="00C86111" w:rsidRDefault="004F6023" w:rsidP="00833A40">
      <w:pPr>
        <w:numPr>
          <w:ilvl w:val="0"/>
          <w:numId w:val="46"/>
        </w:numPr>
        <w:jc w:val="both"/>
        <w:rPr>
          <w:szCs w:val="24"/>
        </w:rPr>
      </w:pPr>
      <w:r w:rsidRPr="00C86111">
        <w:rPr>
          <w:szCs w:val="24"/>
        </w:rPr>
        <w:t>Zakon o zaštiti morskog okoliša („Službeni list Crne Gore“, br. 73/19)</w:t>
      </w:r>
    </w:p>
    <w:p w14:paraId="08F6F170" w14:textId="77777777" w:rsidR="004F6023" w:rsidRPr="00C86111" w:rsidRDefault="004F6023" w:rsidP="00833A40">
      <w:pPr>
        <w:numPr>
          <w:ilvl w:val="0"/>
          <w:numId w:val="46"/>
        </w:numPr>
        <w:jc w:val="both"/>
        <w:rPr>
          <w:szCs w:val="24"/>
        </w:rPr>
      </w:pPr>
      <w:r w:rsidRPr="00C86111">
        <w:rPr>
          <w:szCs w:val="24"/>
        </w:rPr>
        <w:t>Pravilnik o stanju površinskih voda („Službeni list Crne Gore“, br. 25/19)</w:t>
      </w:r>
    </w:p>
    <w:p w14:paraId="04990C2A" w14:textId="77777777" w:rsidR="004F6023" w:rsidRPr="00C86111" w:rsidRDefault="004F6023" w:rsidP="004F6023">
      <w:pPr>
        <w:jc w:val="both"/>
        <w:rPr>
          <w:szCs w:val="24"/>
        </w:rPr>
      </w:pPr>
      <w:r w:rsidRPr="00C86111">
        <w:rPr>
          <w:szCs w:val="24"/>
        </w:rPr>
        <w:lastRenderedPageBreak/>
        <w:t>Crna Gora primjenjuje Ekosistemski pristup (EcAp) u okviru Barselonske konvencije i Direktivu o okvirnom strateškom pristupu morskoj strategiji (MSFD, 2008), koja teži postizanju dobrog ekološkog stanja (GES) kroz definisane ciljeve i ekološke indikatore.</w:t>
      </w:r>
    </w:p>
    <w:p w14:paraId="7E745CC1" w14:textId="77777777" w:rsidR="004F6023" w:rsidRPr="00C86111" w:rsidRDefault="004F6023" w:rsidP="004F6023">
      <w:pPr>
        <w:jc w:val="both"/>
        <w:rPr>
          <w:szCs w:val="24"/>
        </w:rPr>
      </w:pPr>
      <w:r w:rsidRPr="00C86111">
        <w:rPr>
          <w:szCs w:val="24"/>
        </w:rPr>
        <w:t>Kako bi se ispunile ove obaveze, Program monitoringa morskog ekosistema 2023. godine obuhvata tri podprograma:</w:t>
      </w:r>
    </w:p>
    <w:p w14:paraId="51174C7A" w14:textId="77777777" w:rsidR="004F6023" w:rsidRPr="00C86111" w:rsidRDefault="004F6023" w:rsidP="00833A40">
      <w:pPr>
        <w:numPr>
          <w:ilvl w:val="0"/>
          <w:numId w:val="47"/>
        </w:numPr>
        <w:jc w:val="both"/>
        <w:rPr>
          <w:szCs w:val="24"/>
        </w:rPr>
      </w:pPr>
      <w:r w:rsidRPr="00C86111">
        <w:rPr>
          <w:szCs w:val="24"/>
        </w:rPr>
        <w:t>Eutrofikacija</w:t>
      </w:r>
    </w:p>
    <w:p w14:paraId="05DDC19C" w14:textId="77777777" w:rsidR="004F6023" w:rsidRPr="00C86111" w:rsidRDefault="004F6023" w:rsidP="00833A40">
      <w:pPr>
        <w:numPr>
          <w:ilvl w:val="0"/>
          <w:numId w:val="47"/>
        </w:numPr>
        <w:jc w:val="both"/>
        <w:rPr>
          <w:szCs w:val="24"/>
        </w:rPr>
      </w:pPr>
      <w:r w:rsidRPr="00C86111">
        <w:rPr>
          <w:szCs w:val="24"/>
        </w:rPr>
        <w:t>Kontaminanti</w:t>
      </w:r>
    </w:p>
    <w:p w14:paraId="2759369F" w14:textId="77777777" w:rsidR="004F6023" w:rsidRPr="00C86111" w:rsidRDefault="004F6023" w:rsidP="00833A40">
      <w:pPr>
        <w:numPr>
          <w:ilvl w:val="0"/>
          <w:numId w:val="47"/>
        </w:numPr>
        <w:jc w:val="both"/>
        <w:rPr>
          <w:szCs w:val="24"/>
        </w:rPr>
      </w:pPr>
      <w:r w:rsidRPr="00C86111">
        <w:rPr>
          <w:szCs w:val="24"/>
        </w:rPr>
        <w:t>Morski otpad</w:t>
      </w:r>
    </w:p>
    <w:p w14:paraId="2491270A" w14:textId="77777777" w:rsidR="004F6023" w:rsidRPr="00C86111" w:rsidRDefault="004F6023" w:rsidP="004F6023">
      <w:pPr>
        <w:jc w:val="both"/>
        <w:rPr>
          <w:szCs w:val="24"/>
        </w:rPr>
      </w:pPr>
      <w:r w:rsidRPr="00C86111">
        <w:rPr>
          <w:szCs w:val="24"/>
        </w:rPr>
        <w:t>Ovaj pristup usklađuje monitoring sa zahtjevima MSFD i EcAp Barselonske konvencije.</w:t>
      </w:r>
    </w:p>
    <w:p w14:paraId="0465C026" w14:textId="3694E759" w:rsidR="004F6023" w:rsidRPr="00C86111" w:rsidRDefault="004F6023" w:rsidP="00EA6904">
      <w:pPr>
        <w:pStyle w:val="Heading4"/>
      </w:pPr>
      <w:r w:rsidRPr="00C86111">
        <w:t>Monitoring zagađivača</w:t>
      </w:r>
    </w:p>
    <w:p w14:paraId="7E065139" w14:textId="77777777" w:rsidR="004F6023" w:rsidRPr="00C86111" w:rsidRDefault="004F6023" w:rsidP="004F6023">
      <w:pPr>
        <w:jc w:val="both"/>
        <w:rPr>
          <w:szCs w:val="24"/>
        </w:rPr>
      </w:pPr>
      <w:r w:rsidRPr="00C86111">
        <w:rPr>
          <w:szCs w:val="24"/>
        </w:rPr>
        <w:t>Toksične supstance organskog i neorganskog porijekla, nastale ljudskim aktivnostima, monitorišu se u vodi, sedimentu i bioti kako bi se procijenili nivoi, akumulacija i uticaj na ekosistem. Ključni zagađivači uključuju:</w:t>
      </w:r>
    </w:p>
    <w:p w14:paraId="5366EA1F" w14:textId="77777777" w:rsidR="004F6023" w:rsidRPr="00C86111" w:rsidRDefault="004F6023" w:rsidP="00833A40">
      <w:pPr>
        <w:numPr>
          <w:ilvl w:val="0"/>
          <w:numId w:val="48"/>
        </w:numPr>
        <w:jc w:val="both"/>
        <w:rPr>
          <w:szCs w:val="24"/>
        </w:rPr>
      </w:pPr>
      <w:r w:rsidRPr="00C86111">
        <w:rPr>
          <w:szCs w:val="24"/>
        </w:rPr>
        <w:t>Hlorovani pesticidi (POPs): aldrin, dieldrin, hlordan, endrin, heptahlor, mireks, lindan, endosulfan, toksafen, DDT</w:t>
      </w:r>
    </w:p>
    <w:p w14:paraId="2E308F30" w14:textId="77777777" w:rsidR="004F6023" w:rsidRPr="00C86111" w:rsidRDefault="004F6023" w:rsidP="00833A40">
      <w:pPr>
        <w:numPr>
          <w:ilvl w:val="0"/>
          <w:numId w:val="48"/>
        </w:numPr>
        <w:jc w:val="both"/>
        <w:rPr>
          <w:szCs w:val="24"/>
        </w:rPr>
      </w:pPr>
      <w:r w:rsidRPr="00C86111">
        <w:rPr>
          <w:szCs w:val="24"/>
        </w:rPr>
        <w:t>Ostali POPs: heksahlorocikloheksan (α-HCH, β-HCH), heksabrombifenil, hlordecon, heksahlorbenzen (HCB), PCB</w:t>
      </w:r>
    </w:p>
    <w:p w14:paraId="17F1FBCF" w14:textId="77777777" w:rsidR="004F6023" w:rsidRPr="00C86111" w:rsidRDefault="004F6023" w:rsidP="00833A40">
      <w:pPr>
        <w:numPr>
          <w:ilvl w:val="0"/>
          <w:numId w:val="48"/>
        </w:numPr>
        <w:jc w:val="both"/>
        <w:rPr>
          <w:szCs w:val="24"/>
        </w:rPr>
      </w:pPr>
      <w:r w:rsidRPr="00C86111">
        <w:rPr>
          <w:szCs w:val="24"/>
        </w:rPr>
        <w:t>PAH jedinjenja: 16 referentnih jedinjenja po EPA US standardu</w:t>
      </w:r>
    </w:p>
    <w:p w14:paraId="3955DFBC" w14:textId="77777777" w:rsidR="004F6023" w:rsidRPr="00C86111" w:rsidRDefault="004F6023" w:rsidP="00833A40">
      <w:pPr>
        <w:numPr>
          <w:ilvl w:val="0"/>
          <w:numId w:val="48"/>
        </w:numPr>
        <w:jc w:val="both"/>
        <w:rPr>
          <w:szCs w:val="24"/>
        </w:rPr>
      </w:pPr>
      <w:r w:rsidRPr="00C86111">
        <w:rPr>
          <w:szCs w:val="24"/>
        </w:rPr>
        <w:t>Dodatni parametri: perfluorooktanski sulfonati (PFOS), ukupni organski ugljenik (TOC), mineralna ulja porijeklom iz nafte, aluminijum (Al)</w:t>
      </w:r>
    </w:p>
    <w:p w14:paraId="2E74F73B" w14:textId="77777777" w:rsidR="004F6023" w:rsidRPr="00C86111" w:rsidRDefault="004F6023" w:rsidP="004F6023">
      <w:pPr>
        <w:jc w:val="both"/>
        <w:rPr>
          <w:szCs w:val="24"/>
        </w:rPr>
      </w:pPr>
      <w:r w:rsidRPr="00C86111">
        <w:rPr>
          <w:szCs w:val="24"/>
        </w:rPr>
        <w:t>Ispituju se školjke i ribe radi utvrđivanja prisustva zagađivača i bioindikatora. POPs predstavljaju ključne indikatore za procjenu ekološkog stanja.</w:t>
      </w:r>
    </w:p>
    <w:p w14:paraId="43D7B47C" w14:textId="77777777" w:rsidR="004F6023" w:rsidRPr="00C86111" w:rsidRDefault="004F6023" w:rsidP="00EA6904">
      <w:pPr>
        <w:pStyle w:val="Heading4"/>
      </w:pPr>
      <w:r w:rsidRPr="00C86111">
        <w:t>Stanje morskog ekosistema – NEAT procjena 2022–2023</w:t>
      </w:r>
    </w:p>
    <w:p w14:paraId="7244C814" w14:textId="41BD60F2" w:rsidR="004F6023" w:rsidRPr="00C86111" w:rsidRDefault="004F6023" w:rsidP="004F6023">
      <w:pPr>
        <w:jc w:val="both"/>
        <w:rPr>
          <w:szCs w:val="24"/>
        </w:rPr>
      </w:pPr>
      <w:r w:rsidRPr="00C86111">
        <w:rPr>
          <w:szCs w:val="24"/>
        </w:rPr>
        <w:t xml:space="preserve">Metoda NEAT (Nested Environmental Assessment Tool) korišćena je za procjenu stanja sedimenata i biote. Ekološko stanje po regionima prikazano je u tabeli </w:t>
      </w:r>
      <w:r w:rsidR="00DE40D4" w:rsidRPr="00C86111">
        <w:rPr>
          <w:szCs w:val="24"/>
        </w:rPr>
        <w:t>11</w:t>
      </w:r>
      <w:r w:rsidR="0042690B">
        <w:rPr>
          <w:szCs w:val="24"/>
        </w:rPr>
        <w:t>9</w:t>
      </w:r>
      <w:r w:rsidRPr="00C86111">
        <w:rPr>
          <w:szCs w:val="24"/>
        </w:rPr>
        <w:t>.</w:t>
      </w:r>
    </w:p>
    <w:p w14:paraId="53BCA7C4" w14:textId="77777777" w:rsidR="004F6023" w:rsidRPr="00C86111" w:rsidRDefault="004F6023" w:rsidP="004F6023">
      <w:pPr>
        <w:jc w:val="both"/>
        <w:rPr>
          <w:szCs w:val="24"/>
        </w:rPr>
      </w:pPr>
    </w:p>
    <w:p w14:paraId="077CF7D4" w14:textId="51C61EF8" w:rsidR="004F6023" w:rsidRPr="00C86111" w:rsidRDefault="004F6023" w:rsidP="004F6023">
      <w:pPr>
        <w:jc w:val="both"/>
        <w:rPr>
          <w:szCs w:val="24"/>
        </w:rPr>
      </w:pPr>
      <w:r w:rsidRPr="00C86111">
        <w:rPr>
          <w:b/>
          <w:bCs/>
          <w:szCs w:val="24"/>
        </w:rPr>
        <w:t xml:space="preserve">Tabela </w:t>
      </w:r>
      <w:r w:rsidR="00DE40D4" w:rsidRPr="00C86111">
        <w:rPr>
          <w:b/>
          <w:bCs/>
          <w:szCs w:val="24"/>
        </w:rPr>
        <w:t>11</w:t>
      </w:r>
      <w:r w:rsidR="0042690B">
        <w:rPr>
          <w:b/>
          <w:bCs/>
          <w:szCs w:val="24"/>
        </w:rPr>
        <w:t>9</w:t>
      </w:r>
      <w:r w:rsidRPr="00C86111">
        <w:rPr>
          <w:b/>
          <w:bCs/>
          <w:szCs w:val="24"/>
        </w:rPr>
        <w:t xml:space="preserve">. </w:t>
      </w:r>
      <w:r w:rsidRPr="00C86111">
        <w:rPr>
          <w:szCs w:val="24"/>
        </w:rPr>
        <w:t>Pregled – Ekološko stanje po region</w:t>
      </w:r>
      <w:r w:rsidR="00DE40D4" w:rsidRPr="00C86111">
        <w:rPr>
          <w:szCs w:val="24"/>
        </w:rPr>
        <w:t>ima</w:t>
      </w:r>
    </w:p>
    <w:tbl>
      <w:tblPr>
        <w:tblStyle w:val="GridTable5Dark-Accent6"/>
        <w:tblW w:w="0" w:type="auto"/>
        <w:tblLook w:val="04A0" w:firstRow="1" w:lastRow="0" w:firstColumn="1" w:lastColumn="0" w:noHBand="0" w:noVBand="1"/>
      </w:tblPr>
      <w:tblGrid>
        <w:gridCol w:w="1750"/>
        <w:gridCol w:w="1653"/>
        <w:gridCol w:w="1598"/>
        <w:gridCol w:w="4349"/>
      </w:tblGrid>
      <w:tr w:rsidR="004F6023" w:rsidRPr="00C86111" w14:paraId="0B6E45F8" w14:textId="77777777" w:rsidTr="00BC7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11EBA4" w14:textId="77777777" w:rsidR="004F6023" w:rsidRPr="00C86111" w:rsidRDefault="004F6023" w:rsidP="00BC765B">
            <w:pPr>
              <w:jc w:val="both"/>
              <w:rPr>
                <w:b w:val="0"/>
                <w:bCs w:val="0"/>
                <w:szCs w:val="24"/>
              </w:rPr>
            </w:pPr>
            <w:r w:rsidRPr="00C86111">
              <w:rPr>
                <w:szCs w:val="24"/>
              </w:rPr>
              <w:t>Region</w:t>
            </w:r>
          </w:p>
        </w:tc>
        <w:tc>
          <w:tcPr>
            <w:tcW w:w="0" w:type="auto"/>
            <w:hideMark/>
          </w:tcPr>
          <w:p w14:paraId="6D89FD58" w14:textId="77777777" w:rsidR="004F6023" w:rsidRPr="00C86111" w:rsidRDefault="004F6023" w:rsidP="00BC765B">
            <w:pPr>
              <w:jc w:val="both"/>
              <w:cnfStyle w:val="100000000000" w:firstRow="1" w:lastRow="0" w:firstColumn="0" w:lastColumn="0" w:oddVBand="0" w:evenVBand="0" w:oddHBand="0" w:evenHBand="0" w:firstRowFirstColumn="0" w:firstRowLastColumn="0" w:lastRowFirstColumn="0" w:lastRowLastColumn="0"/>
              <w:rPr>
                <w:b w:val="0"/>
                <w:bCs w:val="0"/>
                <w:szCs w:val="24"/>
              </w:rPr>
            </w:pPr>
            <w:r w:rsidRPr="00C86111">
              <w:rPr>
                <w:szCs w:val="24"/>
              </w:rPr>
              <w:t>Ekološko stanje</w:t>
            </w:r>
          </w:p>
        </w:tc>
        <w:tc>
          <w:tcPr>
            <w:tcW w:w="0" w:type="auto"/>
            <w:hideMark/>
          </w:tcPr>
          <w:p w14:paraId="61C90217" w14:textId="77777777" w:rsidR="004F6023" w:rsidRPr="00C86111" w:rsidRDefault="004F6023" w:rsidP="00BC765B">
            <w:pPr>
              <w:jc w:val="both"/>
              <w:cnfStyle w:val="100000000000" w:firstRow="1" w:lastRow="0" w:firstColumn="0" w:lastColumn="0" w:oddVBand="0" w:evenVBand="0" w:oddHBand="0" w:evenHBand="0" w:firstRowFirstColumn="0" w:firstRowLastColumn="0" w:lastRowFirstColumn="0" w:lastRowLastColumn="0"/>
              <w:rPr>
                <w:b w:val="0"/>
                <w:bCs w:val="0"/>
                <w:szCs w:val="24"/>
              </w:rPr>
            </w:pPr>
            <w:r w:rsidRPr="00C86111">
              <w:rPr>
                <w:szCs w:val="24"/>
              </w:rPr>
              <w:t>NEAT procjena</w:t>
            </w:r>
          </w:p>
        </w:tc>
        <w:tc>
          <w:tcPr>
            <w:tcW w:w="0" w:type="auto"/>
            <w:hideMark/>
          </w:tcPr>
          <w:p w14:paraId="7762268F" w14:textId="77777777" w:rsidR="004F6023" w:rsidRPr="00C86111" w:rsidRDefault="004F6023" w:rsidP="00BC765B">
            <w:pPr>
              <w:jc w:val="both"/>
              <w:cnfStyle w:val="100000000000" w:firstRow="1" w:lastRow="0" w:firstColumn="0" w:lastColumn="0" w:oddVBand="0" w:evenVBand="0" w:oddHBand="0" w:evenHBand="0" w:firstRowFirstColumn="0" w:firstRowLastColumn="0" w:lastRowFirstColumn="0" w:lastRowLastColumn="0"/>
              <w:rPr>
                <w:b w:val="0"/>
                <w:bCs w:val="0"/>
                <w:szCs w:val="24"/>
              </w:rPr>
            </w:pPr>
            <w:r w:rsidRPr="00C86111">
              <w:rPr>
                <w:szCs w:val="24"/>
              </w:rPr>
              <w:t>Napomene</w:t>
            </w:r>
          </w:p>
        </w:tc>
      </w:tr>
      <w:tr w:rsidR="004F6023" w:rsidRPr="00C86111" w14:paraId="49AE3497" w14:textId="77777777" w:rsidTr="004269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hideMark/>
          </w:tcPr>
          <w:p w14:paraId="207F050D" w14:textId="77777777" w:rsidR="004F6023" w:rsidRPr="00C86111" w:rsidRDefault="004F6023" w:rsidP="00BC765B">
            <w:pPr>
              <w:jc w:val="both"/>
              <w:rPr>
                <w:szCs w:val="24"/>
              </w:rPr>
            </w:pPr>
            <w:r w:rsidRPr="00C86111">
              <w:rPr>
                <w:szCs w:val="24"/>
              </w:rPr>
              <w:t>Sjeverna obala</w:t>
            </w:r>
          </w:p>
        </w:tc>
        <w:tc>
          <w:tcPr>
            <w:tcW w:w="0" w:type="auto"/>
            <w:hideMark/>
          </w:tcPr>
          <w:p w14:paraId="43F181EA"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Dobro</w:t>
            </w:r>
          </w:p>
        </w:tc>
        <w:tc>
          <w:tcPr>
            <w:tcW w:w="0" w:type="auto"/>
            <w:hideMark/>
          </w:tcPr>
          <w:p w14:paraId="2311BEB5"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Visoko</w:t>
            </w:r>
          </w:p>
        </w:tc>
        <w:tc>
          <w:tcPr>
            <w:tcW w:w="0" w:type="auto"/>
            <w:hideMark/>
          </w:tcPr>
          <w:p w14:paraId="7ACDF147"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POPs i drugi zagađivači unutar prihvatljivih nivoa</w:t>
            </w:r>
          </w:p>
        </w:tc>
      </w:tr>
      <w:tr w:rsidR="004F6023" w:rsidRPr="00C86111" w14:paraId="25BA0658"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3B24722D" w14:textId="77777777" w:rsidR="004F6023" w:rsidRPr="00C86111" w:rsidRDefault="004F6023" w:rsidP="00BC765B">
            <w:pPr>
              <w:jc w:val="both"/>
              <w:rPr>
                <w:szCs w:val="24"/>
              </w:rPr>
            </w:pPr>
            <w:r w:rsidRPr="00C86111">
              <w:rPr>
                <w:szCs w:val="24"/>
              </w:rPr>
              <w:t>Centralna obala</w:t>
            </w:r>
          </w:p>
        </w:tc>
        <w:tc>
          <w:tcPr>
            <w:tcW w:w="0" w:type="auto"/>
            <w:hideMark/>
          </w:tcPr>
          <w:p w14:paraId="003D02B7"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Cs w:val="24"/>
              </w:rPr>
            </w:pPr>
            <w:r w:rsidRPr="00C86111">
              <w:rPr>
                <w:szCs w:val="24"/>
              </w:rPr>
              <w:t>Ne-GES</w:t>
            </w:r>
          </w:p>
        </w:tc>
        <w:tc>
          <w:tcPr>
            <w:tcW w:w="0" w:type="auto"/>
            <w:hideMark/>
          </w:tcPr>
          <w:p w14:paraId="3F9DDC34"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Cs w:val="24"/>
              </w:rPr>
            </w:pPr>
            <w:r w:rsidRPr="00C86111">
              <w:rPr>
                <w:szCs w:val="24"/>
              </w:rPr>
              <w:t>Umjereno</w:t>
            </w:r>
          </w:p>
        </w:tc>
        <w:tc>
          <w:tcPr>
            <w:tcW w:w="0" w:type="auto"/>
            <w:hideMark/>
          </w:tcPr>
          <w:p w14:paraId="261599CD"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Cs w:val="24"/>
              </w:rPr>
            </w:pPr>
            <w:r w:rsidRPr="00C86111">
              <w:rPr>
                <w:szCs w:val="24"/>
              </w:rPr>
              <w:t>Lokalizovana prekoračenja zagađivača</w:t>
            </w:r>
          </w:p>
        </w:tc>
      </w:tr>
      <w:tr w:rsidR="004F6023" w:rsidRPr="00C86111" w14:paraId="06748521"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9232A3" w14:textId="77777777" w:rsidR="004F6023" w:rsidRPr="00C86111" w:rsidRDefault="004F6023" w:rsidP="00BC765B">
            <w:pPr>
              <w:jc w:val="both"/>
              <w:rPr>
                <w:szCs w:val="24"/>
              </w:rPr>
            </w:pPr>
            <w:r w:rsidRPr="00C86111">
              <w:rPr>
                <w:szCs w:val="24"/>
              </w:rPr>
              <w:t>Južna obala</w:t>
            </w:r>
          </w:p>
        </w:tc>
        <w:tc>
          <w:tcPr>
            <w:tcW w:w="0" w:type="auto"/>
            <w:hideMark/>
          </w:tcPr>
          <w:p w14:paraId="3FAD7ACB"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Dobro</w:t>
            </w:r>
          </w:p>
        </w:tc>
        <w:tc>
          <w:tcPr>
            <w:tcW w:w="0" w:type="auto"/>
            <w:hideMark/>
          </w:tcPr>
          <w:p w14:paraId="7D4CA704"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Visoko</w:t>
            </w:r>
          </w:p>
        </w:tc>
        <w:tc>
          <w:tcPr>
            <w:tcW w:w="0" w:type="auto"/>
            <w:hideMark/>
          </w:tcPr>
          <w:p w14:paraId="00B04C87"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Monitoring pokazuje minimalan uticaj</w:t>
            </w:r>
          </w:p>
        </w:tc>
      </w:tr>
      <w:tr w:rsidR="004F6023" w:rsidRPr="00C86111" w14:paraId="70206025"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3F23EB4D" w14:textId="77777777" w:rsidR="004F6023" w:rsidRPr="00C86111" w:rsidRDefault="004F6023" w:rsidP="00BC765B">
            <w:pPr>
              <w:jc w:val="both"/>
              <w:rPr>
                <w:szCs w:val="24"/>
              </w:rPr>
            </w:pPr>
            <w:r w:rsidRPr="00C86111">
              <w:rPr>
                <w:szCs w:val="24"/>
              </w:rPr>
              <w:t>Boka Kotorska</w:t>
            </w:r>
          </w:p>
        </w:tc>
        <w:tc>
          <w:tcPr>
            <w:tcW w:w="0" w:type="auto"/>
            <w:hideMark/>
          </w:tcPr>
          <w:p w14:paraId="6006C3AB"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Cs w:val="24"/>
              </w:rPr>
            </w:pPr>
            <w:r w:rsidRPr="00C86111">
              <w:rPr>
                <w:szCs w:val="24"/>
              </w:rPr>
              <w:t>Ne-GES</w:t>
            </w:r>
          </w:p>
        </w:tc>
        <w:tc>
          <w:tcPr>
            <w:tcW w:w="0" w:type="auto"/>
            <w:hideMark/>
          </w:tcPr>
          <w:p w14:paraId="7E8D57C6"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Cs w:val="24"/>
              </w:rPr>
            </w:pPr>
            <w:r w:rsidRPr="00C86111">
              <w:rPr>
                <w:szCs w:val="24"/>
              </w:rPr>
              <w:t>Umjereno</w:t>
            </w:r>
          </w:p>
        </w:tc>
        <w:tc>
          <w:tcPr>
            <w:tcW w:w="0" w:type="auto"/>
            <w:hideMark/>
          </w:tcPr>
          <w:p w14:paraId="0F6D5346"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Cs w:val="24"/>
              </w:rPr>
            </w:pPr>
            <w:r w:rsidRPr="00C86111">
              <w:rPr>
                <w:szCs w:val="24"/>
              </w:rPr>
              <w:t>Povišeni nivoi zagađivača u sedimentima i bioti</w:t>
            </w:r>
          </w:p>
        </w:tc>
      </w:tr>
      <w:tr w:rsidR="004F6023" w:rsidRPr="00C86111" w14:paraId="2F7C767F"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1562BB" w14:textId="77777777" w:rsidR="004F6023" w:rsidRPr="00C86111" w:rsidRDefault="004F6023" w:rsidP="00BC765B">
            <w:pPr>
              <w:jc w:val="both"/>
              <w:rPr>
                <w:szCs w:val="24"/>
              </w:rPr>
            </w:pPr>
            <w:r w:rsidRPr="00C86111">
              <w:rPr>
                <w:szCs w:val="24"/>
              </w:rPr>
              <w:t>Offshore Sjever</w:t>
            </w:r>
          </w:p>
        </w:tc>
        <w:tc>
          <w:tcPr>
            <w:tcW w:w="0" w:type="auto"/>
            <w:hideMark/>
          </w:tcPr>
          <w:p w14:paraId="40795A01"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Dobro</w:t>
            </w:r>
          </w:p>
        </w:tc>
        <w:tc>
          <w:tcPr>
            <w:tcW w:w="0" w:type="auto"/>
            <w:hideMark/>
          </w:tcPr>
          <w:p w14:paraId="0A7EA970"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w:t>
            </w:r>
          </w:p>
        </w:tc>
        <w:tc>
          <w:tcPr>
            <w:tcW w:w="0" w:type="auto"/>
            <w:hideMark/>
          </w:tcPr>
          <w:p w14:paraId="3836F5B2"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Offshore vode generalno čiste</w:t>
            </w:r>
          </w:p>
        </w:tc>
      </w:tr>
      <w:tr w:rsidR="004F6023" w:rsidRPr="00C86111" w14:paraId="6F28CFAA" w14:textId="77777777" w:rsidTr="00BC765B">
        <w:tc>
          <w:tcPr>
            <w:cnfStyle w:val="001000000000" w:firstRow="0" w:lastRow="0" w:firstColumn="1" w:lastColumn="0" w:oddVBand="0" w:evenVBand="0" w:oddHBand="0" w:evenHBand="0" w:firstRowFirstColumn="0" w:firstRowLastColumn="0" w:lastRowFirstColumn="0" w:lastRowLastColumn="0"/>
            <w:tcW w:w="0" w:type="auto"/>
            <w:hideMark/>
          </w:tcPr>
          <w:p w14:paraId="54DAAEE4" w14:textId="77777777" w:rsidR="004F6023" w:rsidRPr="00C86111" w:rsidRDefault="004F6023" w:rsidP="00BC765B">
            <w:pPr>
              <w:jc w:val="both"/>
              <w:rPr>
                <w:szCs w:val="24"/>
              </w:rPr>
            </w:pPr>
            <w:r w:rsidRPr="00C86111">
              <w:rPr>
                <w:szCs w:val="24"/>
              </w:rPr>
              <w:t>Offshore Central</w:t>
            </w:r>
          </w:p>
        </w:tc>
        <w:tc>
          <w:tcPr>
            <w:tcW w:w="0" w:type="auto"/>
            <w:hideMark/>
          </w:tcPr>
          <w:p w14:paraId="647448FA"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Cs w:val="24"/>
              </w:rPr>
            </w:pPr>
            <w:r w:rsidRPr="00C86111">
              <w:rPr>
                <w:szCs w:val="24"/>
              </w:rPr>
              <w:t>Dobro</w:t>
            </w:r>
          </w:p>
        </w:tc>
        <w:tc>
          <w:tcPr>
            <w:tcW w:w="0" w:type="auto"/>
            <w:hideMark/>
          </w:tcPr>
          <w:p w14:paraId="5C208B17"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Cs w:val="24"/>
              </w:rPr>
            </w:pPr>
            <w:r w:rsidRPr="00C86111">
              <w:rPr>
                <w:szCs w:val="24"/>
              </w:rPr>
              <w:t>–</w:t>
            </w:r>
          </w:p>
        </w:tc>
        <w:tc>
          <w:tcPr>
            <w:tcW w:w="0" w:type="auto"/>
            <w:hideMark/>
          </w:tcPr>
          <w:p w14:paraId="6784DD40" w14:textId="77777777" w:rsidR="004F6023" w:rsidRPr="00C86111" w:rsidRDefault="004F6023" w:rsidP="00BC765B">
            <w:pPr>
              <w:jc w:val="both"/>
              <w:cnfStyle w:val="000000000000" w:firstRow="0" w:lastRow="0" w:firstColumn="0" w:lastColumn="0" w:oddVBand="0" w:evenVBand="0" w:oddHBand="0" w:evenHBand="0" w:firstRowFirstColumn="0" w:firstRowLastColumn="0" w:lastRowFirstColumn="0" w:lastRowLastColumn="0"/>
              <w:rPr>
                <w:szCs w:val="24"/>
              </w:rPr>
            </w:pPr>
            <w:r w:rsidRPr="00C86111">
              <w:rPr>
                <w:szCs w:val="24"/>
              </w:rPr>
              <w:t>Offshore vode generalno čiste</w:t>
            </w:r>
          </w:p>
        </w:tc>
      </w:tr>
      <w:tr w:rsidR="004F6023" w:rsidRPr="00C86111" w14:paraId="7AFF05D4" w14:textId="77777777" w:rsidTr="00BC76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B3B0C9" w14:textId="77777777" w:rsidR="004F6023" w:rsidRPr="00C86111" w:rsidRDefault="004F6023" w:rsidP="00BC765B">
            <w:pPr>
              <w:jc w:val="both"/>
              <w:rPr>
                <w:szCs w:val="24"/>
              </w:rPr>
            </w:pPr>
            <w:r w:rsidRPr="00C86111">
              <w:rPr>
                <w:szCs w:val="24"/>
              </w:rPr>
              <w:t>Offshore Jug</w:t>
            </w:r>
          </w:p>
        </w:tc>
        <w:tc>
          <w:tcPr>
            <w:tcW w:w="0" w:type="auto"/>
            <w:hideMark/>
          </w:tcPr>
          <w:p w14:paraId="0791C499"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Visoko</w:t>
            </w:r>
          </w:p>
        </w:tc>
        <w:tc>
          <w:tcPr>
            <w:tcW w:w="0" w:type="auto"/>
            <w:hideMark/>
          </w:tcPr>
          <w:p w14:paraId="7E2FD02F"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w:t>
            </w:r>
          </w:p>
        </w:tc>
        <w:tc>
          <w:tcPr>
            <w:tcW w:w="0" w:type="auto"/>
            <w:hideMark/>
          </w:tcPr>
          <w:p w14:paraId="0B529A88" w14:textId="77777777" w:rsidR="004F6023" w:rsidRPr="00C86111" w:rsidRDefault="004F6023" w:rsidP="00BC765B">
            <w:pPr>
              <w:jc w:val="both"/>
              <w:cnfStyle w:val="000000100000" w:firstRow="0" w:lastRow="0" w:firstColumn="0" w:lastColumn="0" w:oddVBand="0" w:evenVBand="0" w:oddHBand="1" w:evenHBand="0" w:firstRowFirstColumn="0" w:firstRowLastColumn="0" w:lastRowFirstColumn="0" w:lastRowLastColumn="0"/>
              <w:rPr>
                <w:szCs w:val="24"/>
              </w:rPr>
            </w:pPr>
            <w:r w:rsidRPr="00C86111">
              <w:rPr>
                <w:szCs w:val="24"/>
              </w:rPr>
              <w:t>Odlični ekološki uslovi</w:t>
            </w:r>
          </w:p>
        </w:tc>
      </w:tr>
    </w:tbl>
    <w:p w14:paraId="248F9F96" w14:textId="77777777" w:rsidR="004F6023" w:rsidRPr="00C86111" w:rsidRDefault="004F6023" w:rsidP="004F6023">
      <w:pPr>
        <w:jc w:val="both"/>
        <w:rPr>
          <w:b/>
          <w:bCs/>
          <w:szCs w:val="24"/>
        </w:rPr>
      </w:pPr>
    </w:p>
    <w:p w14:paraId="34EA03DA" w14:textId="77777777" w:rsidR="004F6023" w:rsidRPr="00C86111" w:rsidRDefault="004F6023" w:rsidP="00EA6904">
      <w:pPr>
        <w:pStyle w:val="Heading4"/>
      </w:pPr>
      <w:r w:rsidRPr="00C86111">
        <w:t>Pijaća voda</w:t>
      </w:r>
    </w:p>
    <w:p w14:paraId="46C2140A" w14:textId="77777777" w:rsidR="004F6023" w:rsidRPr="00C86111" w:rsidRDefault="004F6023" w:rsidP="004F6023">
      <w:pPr>
        <w:jc w:val="both"/>
        <w:rPr>
          <w:szCs w:val="24"/>
        </w:rPr>
      </w:pPr>
      <w:r w:rsidRPr="00C86111">
        <w:rPr>
          <w:szCs w:val="24"/>
        </w:rPr>
        <w:t>Program monitoringa pijaće vode sprovodi se od 2018. godine, u skladu sa Zakonom o obezbjeđivanju bezbjedne vode za piće za ljudsku upotrebu („Sl. list CG“, br. 80/2017) i Pravilnikom o parametrima, provjeri usklađenosti, metodama, načinu, obimu analize i sprovođenju monitoringa zdravstvene ispravnosti vode za ljudsku upotrebu („Sl. list CG“, br. 64/18, 101/21).</w:t>
      </w:r>
    </w:p>
    <w:p w14:paraId="1E87A38B" w14:textId="77777777" w:rsidR="004F6023" w:rsidRPr="00C86111" w:rsidRDefault="004F6023" w:rsidP="004F6023">
      <w:pPr>
        <w:jc w:val="both"/>
        <w:rPr>
          <w:szCs w:val="24"/>
        </w:rPr>
      </w:pPr>
      <w:r w:rsidRPr="00C86111">
        <w:rPr>
          <w:szCs w:val="24"/>
        </w:rPr>
        <w:t>Tokom perioda od 2018. do 2023. godine, prisustvo POPs hemikalija nije detektovano u izvorima vode koja se koristi za snabdijevanje stanovništva pijaćom vodom. Iako Crna Gora generalno ima dobar kvalitet vode u prirodnim izvorima i planinskim oblastima, industrijske zone i poljoprivredna područja mogu predstavljati rizik od kontaminacije. Monitoring programi su ključni kako bi se osiguralo da izvori pijaće vode ostanu sigurni i slobodni od kontaminacije POPs.</w:t>
      </w:r>
    </w:p>
    <w:p w14:paraId="63BA3763" w14:textId="77777777" w:rsidR="004F6023" w:rsidRPr="00C86111" w:rsidRDefault="004F6023" w:rsidP="00EA6904">
      <w:pPr>
        <w:pStyle w:val="Heading4"/>
      </w:pPr>
      <w:r w:rsidRPr="00C86111">
        <w:t>Monitoring hrane</w:t>
      </w:r>
    </w:p>
    <w:p w14:paraId="79EBB25E" w14:textId="1E122490" w:rsidR="004F6023" w:rsidRPr="00C86111" w:rsidRDefault="004F6023" w:rsidP="004F6023">
      <w:pPr>
        <w:jc w:val="both"/>
        <w:rPr>
          <w:szCs w:val="24"/>
        </w:rPr>
      </w:pPr>
      <w:r w:rsidRPr="00C86111">
        <w:rPr>
          <w:szCs w:val="24"/>
        </w:rPr>
        <w:t>Glavni faktor koji utiče na prisustvo zagađivača životne sredine u hrani – bez obzira da li je hrana organski ili konvencionalno proizvedena – jeste blizina antropogenih izvora zagađenja (npr. industrijska postrojenja, saobraćajni koridori, deponije otpada). Zbog lipofilne prirode i sposobnosti bioakumulacije u lancu ishrane, POPs se nakupljaju u masnom tkivu ljudi i životinja. Dugotrajna izloženost ovim supstancama povezana je sa širokim spektrom štetnih zdravstvenih efekata, uključujući poremećaje endokrinog sistema, reproduktivne i razvojne poremećaje, supresiju imunog sistema i kancerogenost.</w:t>
      </w:r>
    </w:p>
    <w:p w14:paraId="6226C572" w14:textId="77777777" w:rsidR="004F6023" w:rsidRPr="00C86111" w:rsidRDefault="004F6023" w:rsidP="004F6023">
      <w:pPr>
        <w:jc w:val="both"/>
        <w:rPr>
          <w:szCs w:val="24"/>
        </w:rPr>
      </w:pPr>
      <w:r w:rsidRPr="00C86111">
        <w:rPr>
          <w:szCs w:val="24"/>
        </w:rPr>
        <w:t>U Crnoj Gori, Centar za ekotoksikološka ispitivanj Podgorica (CETI), delujući pod nadležnošću Uprave za bezbjednost hrane, veterinarstvo i fitosanitarne poslove, odgovoran je za sprovođenje zvaničnih programa monitoringa bezbednosti hrane. Ovi programi se sprovode samostalno od strane CETI-a ili u saradnji sa Institutom za javno zdravlje, i trenutno obuhvataju deset različitih programa monitoringa.</w:t>
      </w:r>
    </w:p>
    <w:p w14:paraId="047185A7" w14:textId="77777777" w:rsidR="004F6023" w:rsidRPr="00C86111" w:rsidRDefault="004F6023" w:rsidP="004F6023">
      <w:pPr>
        <w:jc w:val="both"/>
        <w:rPr>
          <w:szCs w:val="24"/>
        </w:rPr>
      </w:pPr>
      <w:r w:rsidRPr="00C86111">
        <w:rPr>
          <w:szCs w:val="24"/>
        </w:rPr>
        <w:t>Programi relevantni za detekciju POPs uključuju:</w:t>
      </w:r>
    </w:p>
    <w:p w14:paraId="122105FA" w14:textId="77777777" w:rsidR="004F6023" w:rsidRPr="00C86111" w:rsidRDefault="004F6023" w:rsidP="00833A40">
      <w:pPr>
        <w:numPr>
          <w:ilvl w:val="0"/>
          <w:numId w:val="49"/>
        </w:numPr>
        <w:jc w:val="both"/>
        <w:rPr>
          <w:szCs w:val="24"/>
        </w:rPr>
      </w:pPr>
      <w:r w:rsidRPr="00C86111">
        <w:rPr>
          <w:szCs w:val="24"/>
        </w:rPr>
        <w:t>Program monitoringa pesticidnih ostataka – obuhvata hranu biljnog i životinjskog porekla koja se stavlja na tržište,</w:t>
      </w:r>
    </w:p>
    <w:p w14:paraId="17EF050A" w14:textId="77777777" w:rsidR="004F6023" w:rsidRPr="00C86111" w:rsidRDefault="004F6023" w:rsidP="00833A40">
      <w:pPr>
        <w:numPr>
          <w:ilvl w:val="0"/>
          <w:numId w:val="49"/>
        </w:numPr>
        <w:jc w:val="both"/>
        <w:rPr>
          <w:szCs w:val="24"/>
        </w:rPr>
      </w:pPr>
      <w:r w:rsidRPr="00C86111">
        <w:rPr>
          <w:szCs w:val="24"/>
        </w:rPr>
        <w:t>Program monitoringa kontaminanata u hrani – pokriva širok spektar hemijskih opasnosti, uključujući POPs.</w:t>
      </w:r>
    </w:p>
    <w:p w14:paraId="47A11378" w14:textId="77777777" w:rsidR="004F6023" w:rsidRPr="00C86111" w:rsidRDefault="004F6023" w:rsidP="004F6023">
      <w:pPr>
        <w:jc w:val="both"/>
        <w:rPr>
          <w:szCs w:val="24"/>
        </w:rPr>
      </w:pPr>
      <w:r w:rsidRPr="00C86111">
        <w:rPr>
          <w:szCs w:val="24"/>
        </w:rPr>
        <w:t>Ove aktivnosti monitoringa sprovode se skoro deceniju. Važno je napomenuti da do sada u analiziranim uzorcima hrane nisu detektovani ostaci POPs, što pokazuje da hrana na crnogorskom tržištu ostaje unutar granica hemijske sigurnosti u vezi sa ovom grupom zagađivača.</w:t>
      </w:r>
    </w:p>
    <w:p w14:paraId="5E903E71" w14:textId="6A65B6C0" w:rsidR="004F6023" w:rsidRPr="00C86111" w:rsidRDefault="004F6023" w:rsidP="00EA6904">
      <w:pPr>
        <w:pStyle w:val="Heading4"/>
      </w:pPr>
      <w:r w:rsidRPr="00C86111">
        <w:t>Humani biomonitoring POPs u Crnoj Gori – Pilot projekat</w:t>
      </w:r>
    </w:p>
    <w:p w14:paraId="5EB869B6" w14:textId="5B20D8C9" w:rsidR="004F6023" w:rsidRPr="00C86111" w:rsidRDefault="004F6023" w:rsidP="004F6023">
      <w:pPr>
        <w:jc w:val="both"/>
        <w:rPr>
          <w:szCs w:val="24"/>
        </w:rPr>
      </w:pPr>
      <w:r w:rsidRPr="00C86111">
        <w:rPr>
          <w:szCs w:val="24"/>
        </w:rPr>
        <w:t xml:space="preserve">Opšti cilj projekta “Kompleksno ekološki prihvatljivo upravljanje PCB-ovima u Crnoj Gori”, uz podršku UNDP-a, bio je smanjenje rizika po životnu sredinu i zdravlje stanovništva povezanih sa PCB otpadom, kroz uspostavljanje ekološki bezbednog upravljanja PCB-ovima. Projekat je obezbijedio tehničku i finansijsku podršku kako bi svi preostali PCB u zemlji (procena na početku </w:t>
      </w:r>
      <w:r w:rsidRPr="00C86111">
        <w:rPr>
          <w:szCs w:val="24"/>
        </w:rPr>
        <w:lastRenderedPageBreak/>
        <w:t>projekta – ne manje od 900 t kontaminirane opreme i otpada) bili identifikovani i bezbedno zbrinuti.</w:t>
      </w:r>
    </w:p>
    <w:p w14:paraId="63BC6433" w14:textId="77777777" w:rsidR="004F6023" w:rsidRPr="00C86111" w:rsidRDefault="004F6023" w:rsidP="004F6023">
      <w:pPr>
        <w:jc w:val="both"/>
        <w:rPr>
          <w:szCs w:val="24"/>
        </w:rPr>
      </w:pPr>
      <w:r w:rsidRPr="00C86111">
        <w:rPr>
          <w:szCs w:val="24"/>
        </w:rPr>
        <w:t>Jedna od preporuka sa srednjoročnog pregleda projekta bila je uspostavljanje istraživačkog projekta o uticaju PCB na zdravlje, koji je realizovao Institut za javno zdravlje Crne Gore tokom 2022. godine. Saradnja se fokusirala na praćenje uticaja PCB na zdravlje radnika koji rade sa električnom opremom i zajednice u blizini privremenih skladišta PCB.</w:t>
      </w:r>
    </w:p>
    <w:p w14:paraId="4D5CE6BF" w14:textId="77777777" w:rsidR="004F6023" w:rsidRPr="00C86111" w:rsidRDefault="004F6023" w:rsidP="004F6023">
      <w:pPr>
        <w:jc w:val="both"/>
        <w:rPr>
          <w:szCs w:val="24"/>
        </w:rPr>
      </w:pPr>
      <w:r w:rsidRPr="00C86111">
        <w:rPr>
          <w:szCs w:val="24"/>
        </w:rPr>
        <w:t>Sprovodila se aktivnost: Procjena rizika /analiza korišćenjem određivanjem koncentracije PCB u krvi, urinu I kosi (zaposleni u partnerskim institucijama).</w:t>
      </w:r>
    </w:p>
    <w:p w14:paraId="000D0EA6" w14:textId="77777777" w:rsidR="004F6023" w:rsidRPr="00C86111" w:rsidRDefault="004F6023" w:rsidP="004F6023">
      <w:pPr>
        <w:jc w:val="both"/>
        <w:rPr>
          <w:szCs w:val="24"/>
        </w:rPr>
      </w:pPr>
      <w:r w:rsidRPr="00C86111">
        <w:rPr>
          <w:szCs w:val="24"/>
        </w:rPr>
        <w:t>Glavni cilj ove aktivnosti bio je pružiti informacije menadžerima rizika, posebno donosiocima politika i regulatorima, kako bi se donosile najbolje odluke za zaštitu zdravlja stanovništva u potencijalno kontaminiranim područjima. Na osnovu analize koncentracija PCB u ljudskim uzorcima (krv, urin, kosa) sprovedena je procjena rizika po zdravlje stanovništva.</w:t>
      </w:r>
    </w:p>
    <w:p w14:paraId="0FF7A0F1" w14:textId="77777777" w:rsidR="004F6023" w:rsidRPr="00C86111" w:rsidRDefault="004F6023" w:rsidP="004F6023">
      <w:pPr>
        <w:jc w:val="both"/>
        <w:rPr>
          <w:szCs w:val="24"/>
        </w:rPr>
      </w:pPr>
      <w:r w:rsidRPr="00C86111">
        <w:rPr>
          <w:szCs w:val="24"/>
        </w:rPr>
        <w:t>Procjena rizika je sprovedena poređenjem izmjerenog ili modelovanog unosa PCB-a kod ljudi sa toksikološki utvrđenim smjernicama za dozvoljene doze zagađivača. Ova metodologija predstavlja osnovni pristup za utvrđivanje zdravstvenih rizika na određenim lokacijama, a njena glavna prednost je mogućnost procjene stepena izloženosti stanovništva. Istovremeno, epidemiološke studije se sprovode kako bi se ispitala direktna povezanost između nivoa izloženosti i zdravstvenog stanja pogođenog stanovništva.</w:t>
      </w:r>
    </w:p>
    <w:p w14:paraId="0368B7F9" w14:textId="77777777" w:rsidR="00DE40D4" w:rsidRPr="00C86111" w:rsidRDefault="00DE40D4" w:rsidP="004F6023">
      <w:pPr>
        <w:jc w:val="both"/>
        <w:rPr>
          <w:szCs w:val="24"/>
        </w:rPr>
      </w:pPr>
    </w:p>
    <w:p w14:paraId="29E5FE97" w14:textId="77777777" w:rsidR="004F6023" w:rsidRPr="00C86111" w:rsidRDefault="004F6023" w:rsidP="004F6023">
      <w:pPr>
        <w:jc w:val="both"/>
        <w:rPr>
          <w:szCs w:val="24"/>
        </w:rPr>
      </w:pPr>
      <w:r w:rsidRPr="00C86111">
        <w:rPr>
          <w:rStyle w:val="Heading4Char"/>
        </w:rPr>
        <w:t>Rezultati</w:t>
      </w:r>
      <w:r w:rsidRPr="00C86111">
        <w:rPr>
          <w:i/>
          <w:iCs/>
          <w:color w:val="002060"/>
          <w:szCs w:val="24"/>
        </w:rPr>
        <w:br/>
      </w:r>
      <w:r w:rsidRPr="00C86111">
        <w:rPr>
          <w:szCs w:val="24"/>
        </w:rPr>
        <w:t>Na osnovu podataka o zagađenju PCB i ljudskom biomonitoringu, sprovedena je procjena zdravstvenih rizika za stanovništvo koje živi u potencijalno kontaminiranim oblastima Crne Gore. U istraživanju su učestvovali zaposleni iz partnerskih institucija (CEDIS, UNIPROM KAP, HEMOSAN, Luka Bar, itd.) – ukupno 50 osoba. Analize su uključivale određivanje koncentracija PCB u krvi, urinu i kosi korišćenjem najsavremenijih tehnologija.</w:t>
      </w:r>
    </w:p>
    <w:p w14:paraId="7764C176" w14:textId="77777777" w:rsidR="004F6023" w:rsidRPr="00C86111" w:rsidRDefault="004F6023" w:rsidP="00833A40">
      <w:pPr>
        <w:numPr>
          <w:ilvl w:val="0"/>
          <w:numId w:val="50"/>
        </w:numPr>
        <w:jc w:val="both"/>
        <w:rPr>
          <w:szCs w:val="24"/>
        </w:rPr>
      </w:pPr>
      <w:r w:rsidRPr="00C86111">
        <w:rPr>
          <w:szCs w:val="24"/>
        </w:rPr>
        <w:t>PCB koncentracije u urinu su bile ispod granice kvantifikacije (LoQ), ali su u 5 uzoraka krvi iz Hemosana i 13 uzoraka krvi iz KAP detektovani ukupni PCB i kongeneri.</w:t>
      </w:r>
    </w:p>
    <w:p w14:paraId="6F5EB4FD" w14:textId="77777777" w:rsidR="004F6023" w:rsidRPr="00C86111" w:rsidRDefault="004F6023" w:rsidP="00833A40">
      <w:pPr>
        <w:numPr>
          <w:ilvl w:val="0"/>
          <w:numId w:val="50"/>
        </w:numPr>
        <w:jc w:val="both"/>
        <w:rPr>
          <w:szCs w:val="24"/>
        </w:rPr>
      </w:pPr>
      <w:r w:rsidRPr="00C86111">
        <w:rPr>
          <w:szCs w:val="24"/>
        </w:rPr>
        <w:t>Uzorci krvi radnika CEDIS-a imali su koncentracije PCB ispod LoQ.</w:t>
      </w:r>
    </w:p>
    <w:p w14:paraId="1F52481F" w14:textId="77777777" w:rsidR="004F6023" w:rsidRPr="00C86111" w:rsidRDefault="004F6023" w:rsidP="00833A40">
      <w:pPr>
        <w:numPr>
          <w:ilvl w:val="0"/>
          <w:numId w:val="50"/>
        </w:numPr>
        <w:jc w:val="both"/>
        <w:rPr>
          <w:szCs w:val="24"/>
        </w:rPr>
      </w:pPr>
      <w:r w:rsidRPr="00C86111">
        <w:rPr>
          <w:szCs w:val="24"/>
        </w:rPr>
        <w:t>Jak pozitivan korelacioni odnos utvrđen je između starosti ispitanika i koncentracije ukupnog PCB, kao i kongenera PCB 138, PCB 153 i PCB 180 u krvi.</w:t>
      </w:r>
    </w:p>
    <w:p w14:paraId="32A58AA1" w14:textId="77777777" w:rsidR="004F6023" w:rsidRPr="00C86111" w:rsidRDefault="004F6023" w:rsidP="00833A40">
      <w:pPr>
        <w:numPr>
          <w:ilvl w:val="0"/>
          <w:numId w:val="50"/>
        </w:numPr>
        <w:jc w:val="both"/>
        <w:rPr>
          <w:szCs w:val="24"/>
        </w:rPr>
      </w:pPr>
      <w:r w:rsidRPr="00C86111">
        <w:rPr>
          <w:szCs w:val="24"/>
        </w:rPr>
        <w:t>Jak pozitivan korelacioni odnos utvrđen je između dužine radnog staža i koncentracija PCB 101 i PCB 153 u krvi.</w:t>
      </w:r>
    </w:p>
    <w:p w14:paraId="13C41344" w14:textId="77777777" w:rsidR="004F6023" w:rsidRPr="00C86111" w:rsidRDefault="004F6023" w:rsidP="00833A40">
      <w:pPr>
        <w:numPr>
          <w:ilvl w:val="0"/>
          <w:numId w:val="50"/>
        </w:numPr>
        <w:jc w:val="both"/>
        <w:rPr>
          <w:szCs w:val="24"/>
        </w:rPr>
      </w:pPr>
      <w:r w:rsidRPr="00C86111">
        <w:rPr>
          <w:szCs w:val="24"/>
        </w:rPr>
        <w:t>Jak pozitivan korelacioni odnos utvrđen je između učestalosti konzumacije mesa i ukupne koncentracije PCB u krvi.</w:t>
      </w:r>
    </w:p>
    <w:p w14:paraId="6423C3D6" w14:textId="77777777" w:rsidR="004F6023" w:rsidRPr="00C86111" w:rsidRDefault="004F6023" w:rsidP="00833A40">
      <w:pPr>
        <w:numPr>
          <w:ilvl w:val="0"/>
          <w:numId w:val="50"/>
        </w:numPr>
        <w:jc w:val="both"/>
        <w:rPr>
          <w:szCs w:val="24"/>
        </w:rPr>
      </w:pPr>
      <w:r w:rsidRPr="00C86111">
        <w:rPr>
          <w:szCs w:val="24"/>
        </w:rPr>
        <w:t>Jak pozitivan korelacioni odnos utvrđen je između učestalosti konzumacije ribe i morskih plodova i ukupne koncentracije PCB u krvi.</w:t>
      </w:r>
    </w:p>
    <w:p w14:paraId="4B1CC20E" w14:textId="77777777" w:rsidR="004F6023" w:rsidRPr="00C86111" w:rsidRDefault="004F6023" w:rsidP="004F6023">
      <w:pPr>
        <w:jc w:val="both"/>
        <w:rPr>
          <w:szCs w:val="24"/>
        </w:rPr>
      </w:pPr>
      <w:r w:rsidRPr="00C86111">
        <w:rPr>
          <w:szCs w:val="24"/>
        </w:rPr>
        <w:t>PCB koncentracije su detektovane u 12 uzoraka kose (5 iz Hemosana i 7 iz KAP), dok su uzorci kose radnika CEDIS-a bili ispod LoQ. Pozitivna korelacija postoji između učestalosti konzumacije ribe i morskih plodova i ukupne koncentracije PCB u kosi.</w:t>
      </w:r>
    </w:p>
    <w:p w14:paraId="294D80B5" w14:textId="77777777" w:rsidR="004F6023" w:rsidRPr="00C86111" w:rsidRDefault="004F6023" w:rsidP="004F6023">
      <w:pPr>
        <w:jc w:val="both"/>
        <w:rPr>
          <w:szCs w:val="24"/>
        </w:rPr>
      </w:pPr>
      <w:r w:rsidRPr="00C86111">
        <w:rPr>
          <w:szCs w:val="24"/>
        </w:rPr>
        <w:t>Poliklorovani bifenili (PCBs) su grupa organskih hemikalija koje mogu izazvati različite štetne efekte. Naši rezultati pokazuju da je najveći deo opterećenja PCB-ovima u ljudskom organizmu uzrokovan tri visoko hlorisana indikatorska kongenera: PCB 138, PCB 153 i PCB 180. Ovo je prvo istraživanje PCB u ljudskim uzorcima sprovedeno u Crnoj Gori.</w:t>
      </w:r>
    </w:p>
    <w:p w14:paraId="1D4F6FA1" w14:textId="77777777" w:rsidR="004F6023" w:rsidRPr="00C86111" w:rsidRDefault="004F6023" w:rsidP="004F6023">
      <w:pPr>
        <w:jc w:val="both"/>
        <w:rPr>
          <w:szCs w:val="24"/>
        </w:rPr>
      </w:pPr>
      <w:r w:rsidRPr="00C86111">
        <w:rPr>
          <w:szCs w:val="24"/>
        </w:rPr>
        <w:lastRenderedPageBreak/>
        <w:t>S obzirom na potencijalne negativne efekte na ljudsko zdravlje, nacionalni biomonitoring je ključan za praćenje izloženosti stanovništva i evaluaciju efikasnosti regulativa o proizvodnji, uvozu i upotrebi opasnih hemikalija.</w:t>
      </w:r>
    </w:p>
    <w:p w14:paraId="0B7A3F18" w14:textId="77777777" w:rsidR="004F6023" w:rsidRPr="00C86111" w:rsidRDefault="004F6023" w:rsidP="004F6023">
      <w:pPr>
        <w:jc w:val="both"/>
        <w:rPr>
          <w:szCs w:val="24"/>
        </w:rPr>
      </w:pPr>
      <w:r w:rsidRPr="00C86111">
        <w:rPr>
          <w:color w:val="002060"/>
          <w:szCs w:val="24"/>
        </w:rPr>
        <w:t>Preporuka:</w:t>
      </w:r>
      <w:r w:rsidRPr="00C86111">
        <w:rPr>
          <w:szCs w:val="24"/>
        </w:rPr>
        <w:t xml:space="preserve"> Sprovoditi istraživanja i studije o uticaju POPs na životnu sredinu i ljude. Istraživanja bi trebalo da budu dio planova istraživanja na univerzitetima i institutima, uključujući analize krvi, mlijeka dojilja, vazduha, pijaće vode i zemljišta.</w:t>
      </w:r>
    </w:p>
    <w:p w14:paraId="6BD339C2" w14:textId="77777777" w:rsidR="004F6023" w:rsidRPr="00C86111" w:rsidRDefault="004F6023" w:rsidP="004F6023">
      <w:pPr>
        <w:jc w:val="both"/>
        <w:rPr>
          <w:szCs w:val="24"/>
        </w:rPr>
      </w:pPr>
    </w:p>
    <w:p w14:paraId="215BB09A" w14:textId="3FE3345B" w:rsidR="004F6023" w:rsidRPr="00C86111" w:rsidRDefault="004F6023" w:rsidP="00004F34">
      <w:pPr>
        <w:pStyle w:val="Heading1"/>
        <w:numPr>
          <w:ilvl w:val="1"/>
          <w:numId w:val="238"/>
        </w:numPr>
      </w:pPr>
      <w:bookmarkStart w:id="443" w:name="_Toc220541981"/>
      <w:r w:rsidRPr="00C86111">
        <w:t>Projekti praćenja i upravljanja POP-</w:t>
      </w:r>
      <w:r w:rsidR="008015BD">
        <w:t>s</w:t>
      </w:r>
      <w:r w:rsidRPr="00C86111">
        <w:t xml:space="preserve"> i drugim zagađivačima u Crnoj Gori</w:t>
      </w:r>
      <w:bookmarkEnd w:id="443"/>
    </w:p>
    <w:p w14:paraId="5592D7CA" w14:textId="77777777" w:rsidR="004F6023" w:rsidRPr="00C86111" w:rsidRDefault="004F6023" w:rsidP="004F6023">
      <w:pPr>
        <w:jc w:val="both"/>
        <w:rPr>
          <w:szCs w:val="24"/>
        </w:rPr>
      </w:pPr>
    </w:p>
    <w:p w14:paraId="7D6D4409" w14:textId="77777777" w:rsidR="004F6023" w:rsidRPr="00C86111" w:rsidRDefault="004F6023" w:rsidP="004F6023">
      <w:pPr>
        <w:jc w:val="both"/>
        <w:rPr>
          <w:b/>
          <w:bCs/>
          <w:color w:val="002060"/>
          <w:szCs w:val="24"/>
        </w:rPr>
      </w:pPr>
      <w:r w:rsidRPr="00C86111">
        <w:rPr>
          <w:b/>
          <w:bCs/>
          <w:color w:val="002060"/>
          <w:szCs w:val="24"/>
        </w:rPr>
        <w:t>1. Skadarsko jezero bez hemijskog zagađenja – SOLUTION projekat (2021–2023)</w:t>
      </w:r>
    </w:p>
    <w:p w14:paraId="63D7FD6F" w14:textId="77777777" w:rsidR="004F6023" w:rsidRPr="00C86111" w:rsidRDefault="004F6023" w:rsidP="004F6023">
      <w:pPr>
        <w:jc w:val="both"/>
        <w:rPr>
          <w:szCs w:val="24"/>
        </w:rPr>
      </w:pPr>
      <w:r w:rsidRPr="00C86111">
        <w:rPr>
          <w:szCs w:val="24"/>
        </w:rPr>
        <w:t>Projekat „Skadarsko jezero bez hemijskog zagađenja – SOLUTION“ realizovan je u okviru IPA Programa prekogranične saradnje, sa Centrom za ekotoksikološka istraživanja (CETI, Podgorica) kao vodećim partnerom, u saradnji sa Univerzitetom u Tirani i Green Centre Albania.</w:t>
      </w:r>
    </w:p>
    <w:p w14:paraId="70228860" w14:textId="77777777" w:rsidR="004F6023" w:rsidRPr="00C86111" w:rsidRDefault="004F6023" w:rsidP="004F6023">
      <w:pPr>
        <w:jc w:val="both"/>
        <w:rPr>
          <w:szCs w:val="24"/>
        </w:rPr>
      </w:pPr>
      <w:r w:rsidRPr="00C86111">
        <w:rPr>
          <w:szCs w:val="24"/>
        </w:rPr>
        <w:t>Glavni ciljevi projekta:</w:t>
      </w:r>
    </w:p>
    <w:p w14:paraId="77D6D125" w14:textId="77777777" w:rsidR="004F6023" w:rsidRPr="00C86111" w:rsidRDefault="004F6023" w:rsidP="00833A40">
      <w:pPr>
        <w:pStyle w:val="ListParagraph"/>
        <w:numPr>
          <w:ilvl w:val="0"/>
          <w:numId w:val="51"/>
        </w:numPr>
        <w:jc w:val="both"/>
        <w:rPr>
          <w:szCs w:val="24"/>
        </w:rPr>
      </w:pPr>
      <w:r w:rsidRPr="00C86111">
        <w:rPr>
          <w:szCs w:val="24"/>
        </w:rPr>
        <w:t>Ojačati bilateralnu saradnju u praćenju opasnih hemikalija u Skadarskom jezeru.</w:t>
      </w:r>
    </w:p>
    <w:p w14:paraId="07226577" w14:textId="77777777" w:rsidR="004F6023" w:rsidRPr="00C86111" w:rsidRDefault="004F6023" w:rsidP="00833A40">
      <w:pPr>
        <w:pStyle w:val="ListParagraph"/>
        <w:numPr>
          <w:ilvl w:val="0"/>
          <w:numId w:val="51"/>
        </w:numPr>
        <w:jc w:val="both"/>
        <w:rPr>
          <w:szCs w:val="24"/>
        </w:rPr>
      </w:pPr>
      <w:r w:rsidRPr="00C86111">
        <w:rPr>
          <w:szCs w:val="24"/>
        </w:rPr>
        <w:t>Poboljšati uporedivost podataka između Crne Gore i Albanije.</w:t>
      </w:r>
    </w:p>
    <w:p w14:paraId="4D9B44CC" w14:textId="77777777" w:rsidR="004F6023" w:rsidRPr="00C86111" w:rsidRDefault="004F6023" w:rsidP="00833A40">
      <w:pPr>
        <w:pStyle w:val="ListParagraph"/>
        <w:numPr>
          <w:ilvl w:val="0"/>
          <w:numId w:val="51"/>
        </w:numPr>
        <w:jc w:val="both"/>
        <w:rPr>
          <w:szCs w:val="24"/>
        </w:rPr>
      </w:pPr>
      <w:r w:rsidRPr="00C86111">
        <w:rPr>
          <w:szCs w:val="24"/>
        </w:rPr>
        <w:t>Podržati zajedničke mjere za rješavanje prekograničnog zagađenja i zaštitu zajedničkog vodenog ekosistema.</w:t>
      </w:r>
    </w:p>
    <w:p w14:paraId="58AB1349" w14:textId="77777777" w:rsidR="004F6023" w:rsidRPr="00C86111" w:rsidRDefault="004F6023" w:rsidP="004F6023">
      <w:pPr>
        <w:jc w:val="both"/>
        <w:rPr>
          <w:szCs w:val="24"/>
        </w:rPr>
      </w:pPr>
    </w:p>
    <w:p w14:paraId="360FB4CE" w14:textId="77777777" w:rsidR="004F6023" w:rsidRPr="00C86111" w:rsidRDefault="004F6023" w:rsidP="004F6023">
      <w:pPr>
        <w:jc w:val="both"/>
        <w:rPr>
          <w:color w:val="002060"/>
          <w:szCs w:val="24"/>
        </w:rPr>
      </w:pPr>
      <w:r w:rsidRPr="00C86111">
        <w:rPr>
          <w:color w:val="002060"/>
          <w:szCs w:val="24"/>
        </w:rPr>
        <w:t>Ključni nalazi:</w:t>
      </w:r>
    </w:p>
    <w:p w14:paraId="13982226" w14:textId="77777777" w:rsidR="004F6023" w:rsidRPr="00C86111" w:rsidRDefault="004F6023" w:rsidP="004F6023">
      <w:pPr>
        <w:jc w:val="both"/>
        <w:rPr>
          <w:szCs w:val="24"/>
        </w:rPr>
      </w:pPr>
    </w:p>
    <w:p w14:paraId="4E62C114" w14:textId="77777777" w:rsidR="004F6023" w:rsidRPr="00C86111" w:rsidRDefault="004F6023" w:rsidP="004F6023">
      <w:pPr>
        <w:jc w:val="both"/>
        <w:rPr>
          <w:szCs w:val="24"/>
        </w:rPr>
      </w:pPr>
      <w:r w:rsidRPr="00C86111">
        <w:rPr>
          <w:color w:val="002060"/>
          <w:szCs w:val="24"/>
        </w:rPr>
        <w:t>Hlorpirifos</w:t>
      </w:r>
      <w:r w:rsidRPr="00C86111">
        <w:rPr>
          <w:szCs w:val="24"/>
        </w:rPr>
        <w:t xml:space="preserve"> (organofosforni insekticid, kandidat POP-a): </w:t>
      </w:r>
    </w:p>
    <w:p w14:paraId="3D95FBBA" w14:textId="77777777" w:rsidR="004F6023" w:rsidRPr="00C86111" w:rsidRDefault="004F6023" w:rsidP="004F6023">
      <w:pPr>
        <w:jc w:val="both"/>
        <w:rPr>
          <w:szCs w:val="24"/>
        </w:rPr>
      </w:pPr>
      <w:r w:rsidRPr="00C86111">
        <w:rPr>
          <w:szCs w:val="24"/>
        </w:rPr>
        <w:t>Zabilježena  su prekoračenja predviđene koncentracije bez efekta (PNEC) na crnogorskoj strani. Koncentracije su bile do 4,3 puta veće od PNEC, naročito u blizini pritoka Morače.</w:t>
      </w:r>
    </w:p>
    <w:p w14:paraId="3DE6D1C8" w14:textId="77777777" w:rsidR="004F6023" w:rsidRPr="00C86111" w:rsidRDefault="004F6023" w:rsidP="004F6023">
      <w:pPr>
        <w:jc w:val="both"/>
        <w:rPr>
          <w:szCs w:val="24"/>
        </w:rPr>
      </w:pPr>
      <w:r w:rsidRPr="00C86111">
        <w:rPr>
          <w:szCs w:val="24"/>
        </w:rPr>
        <w:t>Iako su još uvijek ispod maksimalno dozvoljenih EU koncentracija, postojanost i toksičnost hlorpirifosa predstavljaju značajan ekološki problem. Rezultati sugerišu da se ovaj insekticid i dalje koristi u poljoprivredi uprkos zabrani u EU, naglašavajući potrebu za identifikacijom izvora u slivnom području.</w:t>
      </w:r>
    </w:p>
    <w:p w14:paraId="5B0ABCDF" w14:textId="77777777" w:rsidR="004F6023" w:rsidRPr="00C86111" w:rsidRDefault="004F6023" w:rsidP="004F6023">
      <w:pPr>
        <w:jc w:val="both"/>
        <w:rPr>
          <w:szCs w:val="24"/>
        </w:rPr>
      </w:pPr>
    </w:p>
    <w:p w14:paraId="45FCA156" w14:textId="77777777" w:rsidR="004F6023" w:rsidRPr="00C86111" w:rsidRDefault="004F6023" w:rsidP="004F6023">
      <w:pPr>
        <w:jc w:val="both"/>
        <w:rPr>
          <w:color w:val="002060"/>
          <w:szCs w:val="24"/>
        </w:rPr>
      </w:pPr>
      <w:r w:rsidRPr="00C86111">
        <w:rPr>
          <w:color w:val="002060"/>
          <w:szCs w:val="24"/>
        </w:rPr>
        <w:t>Policiklični aromatični ugljovodonici (PAH):</w:t>
      </w:r>
    </w:p>
    <w:p w14:paraId="07C6306B" w14:textId="77777777" w:rsidR="004F6023" w:rsidRPr="00C86111" w:rsidRDefault="004F6023" w:rsidP="004F6023">
      <w:pPr>
        <w:jc w:val="both"/>
        <w:rPr>
          <w:szCs w:val="24"/>
        </w:rPr>
      </w:pPr>
      <w:r w:rsidRPr="00C86111">
        <w:rPr>
          <w:szCs w:val="24"/>
        </w:rPr>
        <w:t>Više PAH, uključujući benzo(a)piren, prekoračilo je PNEC vrednosti u površinskim vodama i sedimentima.</w:t>
      </w:r>
    </w:p>
    <w:p w14:paraId="593C39FC" w14:textId="77777777" w:rsidR="004F6023" w:rsidRPr="00C86111" w:rsidRDefault="004F6023" w:rsidP="004F6023">
      <w:pPr>
        <w:jc w:val="both"/>
        <w:rPr>
          <w:szCs w:val="24"/>
        </w:rPr>
      </w:pPr>
      <w:r w:rsidRPr="00C86111">
        <w:rPr>
          <w:szCs w:val="24"/>
        </w:rPr>
        <w:t>Najveća prekoračenja zabilježena su na pritoci ,Morači, , gdje su koncentracije u sedimentima bile preko 40 puta veće od PNEC. Nalazi ukazuju na jaku povezanost sa industrijskim i urbanim otpadnim vodama, pri čemu je zagađenje veće na crnogorskoj nego na albanskoj strani.</w:t>
      </w:r>
    </w:p>
    <w:p w14:paraId="76894C77" w14:textId="77777777" w:rsidR="004F6023" w:rsidRPr="00C86111" w:rsidRDefault="004F6023" w:rsidP="004F6023">
      <w:pPr>
        <w:jc w:val="both"/>
        <w:rPr>
          <w:szCs w:val="24"/>
        </w:rPr>
      </w:pPr>
    </w:p>
    <w:p w14:paraId="0C475BDB" w14:textId="77777777" w:rsidR="004F6023" w:rsidRPr="00C86111" w:rsidRDefault="004F6023" w:rsidP="004F6023">
      <w:pPr>
        <w:jc w:val="both"/>
        <w:rPr>
          <w:color w:val="002060"/>
          <w:szCs w:val="24"/>
        </w:rPr>
      </w:pPr>
      <w:r w:rsidRPr="00C86111">
        <w:rPr>
          <w:color w:val="002060"/>
          <w:szCs w:val="24"/>
        </w:rPr>
        <w:t>Organohlorni pesticidi (OCP):</w:t>
      </w:r>
    </w:p>
    <w:p w14:paraId="289BA652" w14:textId="77777777" w:rsidR="004F6023" w:rsidRPr="00C86111" w:rsidRDefault="004F6023" w:rsidP="004F6023">
      <w:pPr>
        <w:jc w:val="both"/>
        <w:rPr>
          <w:szCs w:val="24"/>
        </w:rPr>
      </w:pPr>
      <w:r w:rsidRPr="00C86111">
        <w:rPr>
          <w:szCs w:val="24"/>
        </w:rPr>
        <w:t>Metaboliti DDT-a (DDD, DDE) otkriveni u sedimentima, što sugeriše nedavnu ili kontinuiranu ilegalnu upotrebu. DDE je prekoračio bezbjedne granice u bioti (jegulje), potvrđujući bioakumulaciju i dugoročni ekološki rizik.</w:t>
      </w:r>
    </w:p>
    <w:p w14:paraId="76484F62" w14:textId="77777777" w:rsidR="004F6023" w:rsidRPr="00C86111" w:rsidRDefault="004F6023" w:rsidP="004F6023">
      <w:pPr>
        <w:jc w:val="both"/>
        <w:rPr>
          <w:color w:val="002060"/>
          <w:szCs w:val="24"/>
        </w:rPr>
      </w:pPr>
    </w:p>
    <w:p w14:paraId="4F1A5A43" w14:textId="77777777" w:rsidR="004F6023" w:rsidRPr="00C86111" w:rsidRDefault="004F6023" w:rsidP="004F6023">
      <w:pPr>
        <w:jc w:val="both"/>
        <w:rPr>
          <w:color w:val="002060"/>
          <w:szCs w:val="24"/>
        </w:rPr>
      </w:pPr>
      <w:r w:rsidRPr="00C86111">
        <w:rPr>
          <w:color w:val="002060"/>
          <w:szCs w:val="24"/>
        </w:rPr>
        <w:t>Polihlorovani bifenili (PCB):</w:t>
      </w:r>
    </w:p>
    <w:p w14:paraId="41059953" w14:textId="77777777" w:rsidR="004F6023" w:rsidRPr="00C86111" w:rsidRDefault="004F6023" w:rsidP="004F6023">
      <w:pPr>
        <w:jc w:val="both"/>
        <w:rPr>
          <w:szCs w:val="24"/>
        </w:rPr>
      </w:pPr>
    </w:p>
    <w:p w14:paraId="0ED7EEF4" w14:textId="77777777" w:rsidR="004F6023" w:rsidRPr="00C86111" w:rsidRDefault="004F6023" w:rsidP="004F6023">
      <w:pPr>
        <w:jc w:val="both"/>
        <w:rPr>
          <w:szCs w:val="24"/>
        </w:rPr>
      </w:pPr>
      <w:r w:rsidRPr="00C86111">
        <w:rPr>
          <w:szCs w:val="24"/>
        </w:rPr>
        <w:t>Otkriveni u sedimentima i ribama, uglavnom ispod kritičnih granica. Potrebno kontinuirano praćenje zbog njihove postojanosti i tendencije akumulacije u višim trofičkim nivoima.</w:t>
      </w:r>
    </w:p>
    <w:p w14:paraId="0CF6CC67" w14:textId="77777777" w:rsidR="004F6023" w:rsidRPr="00C86111" w:rsidRDefault="004F6023" w:rsidP="004F6023">
      <w:pPr>
        <w:jc w:val="both"/>
        <w:rPr>
          <w:szCs w:val="24"/>
        </w:rPr>
      </w:pPr>
    </w:p>
    <w:p w14:paraId="730C4303" w14:textId="77777777" w:rsidR="004F6023" w:rsidRPr="00C86111" w:rsidRDefault="004F6023" w:rsidP="004F6023">
      <w:pPr>
        <w:jc w:val="both"/>
        <w:rPr>
          <w:b/>
          <w:bCs/>
          <w:i/>
          <w:iCs/>
          <w:color w:val="002060"/>
          <w:szCs w:val="24"/>
        </w:rPr>
      </w:pPr>
      <w:r w:rsidRPr="00C86111">
        <w:rPr>
          <w:b/>
          <w:bCs/>
          <w:i/>
          <w:iCs/>
          <w:color w:val="002060"/>
          <w:szCs w:val="24"/>
        </w:rPr>
        <w:t xml:space="preserve">Zaključci: </w:t>
      </w:r>
    </w:p>
    <w:p w14:paraId="3873C1C0" w14:textId="77777777" w:rsidR="004F6023" w:rsidRPr="00C86111" w:rsidRDefault="004F6023" w:rsidP="004F6023">
      <w:pPr>
        <w:jc w:val="both"/>
        <w:rPr>
          <w:szCs w:val="24"/>
        </w:rPr>
      </w:pPr>
      <w:r w:rsidRPr="00C86111">
        <w:rPr>
          <w:szCs w:val="24"/>
        </w:rPr>
        <w:t>Skadarsko jezero i dalje je pod značajnim pritiscima od strane postojanih zagađivača. Najkritičnija prijetnja predstavljaju hlorpirifos, PAH i DDT ostaci, posebno u blizini riječnih pritoka. Nalazi naglašavaju važnost:</w:t>
      </w:r>
    </w:p>
    <w:p w14:paraId="4BDCBFBC" w14:textId="77777777" w:rsidR="004F6023" w:rsidRPr="00C86111" w:rsidRDefault="004F6023" w:rsidP="00833A40">
      <w:pPr>
        <w:pStyle w:val="ListParagraph"/>
        <w:numPr>
          <w:ilvl w:val="0"/>
          <w:numId w:val="53"/>
        </w:numPr>
        <w:jc w:val="both"/>
        <w:rPr>
          <w:szCs w:val="24"/>
        </w:rPr>
      </w:pPr>
      <w:r w:rsidRPr="00C86111">
        <w:rPr>
          <w:szCs w:val="24"/>
        </w:rPr>
        <w:t>Koordinisanih prekograničnih programa monitoringa.</w:t>
      </w:r>
    </w:p>
    <w:p w14:paraId="6EB47918" w14:textId="77777777" w:rsidR="004F6023" w:rsidRPr="00C86111" w:rsidRDefault="004F6023" w:rsidP="00833A40">
      <w:pPr>
        <w:pStyle w:val="ListParagraph"/>
        <w:numPr>
          <w:ilvl w:val="0"/>
          <w:numId w:val="53"/>
        </w:numPr>
        <w:jc w:val="both"/>
        <w:rPr>
          <w:szCs w:val="24"/>
        </w:rPr>
      </w:pPr>
      <w:r w:rsidRPr="00C86111">
        <w:rPr>
          <w:szCs w:val="24"/>
        </w:rPr>
        <w:t>Praćenja izvora zagađenja u slivu.</w:t>
      </w:r>
    </w:p>
    <w:p w14:paraId="1C9679D8" w14:textId="77777777" w:rsidR="004F6023" w:rsidRPr="00C86111" w:rsidRDefault="004F6023" w:rsidP="00833A40">
      <w:pPr>
        <w:pStyle w:val="ListParagraph"/>
        <w:numPr>
          <w:ilvl w:val="0"/>
          <w:numId w:val="53"/>
        </w:numPr>
        <w:jc w:val="both"/>
        <w:rPr>
          <w:szCs w:val="24"/>
        </w:rPr>
      </w:pPr>
      <w:r w:rsidRPr="00C86111">
        <w:rPr>
          <w:szCs w:val="24"/>
        </w:rPr>
        <w:t>Primjene zajedničkih mjera smanjenja zagađenja u skladu sa Direktivom EU o okvirima voda i obavezama iz Stokholmske konvencije.</w:t>
      </w:r>
    </w:p>
    <w:p w14:paraId="53CD0B24" w14:textId="77777777" w:rsidR="004F6023" w:rsidRPr="00C86111" w:rsidRDefault="004F6023" w:rsidP="004F6023">
      <w:pPr>
        <w:jc w:val="both"/>
        <w:rPr>
          <w:szCs w:val="24"/>
        </w:rPr>
      </w:pPr>
    </w:p>
    <w:p w14:paraId="7C313C57" w14:textId="77777777" w:rsidR="004F6023" w:rsidRPr="00C86111" w:rsidRDefault="004F6023" w:rsidP="004F6023">
      <w:pPr>
        <w:jc w:val="both"/>
        <w:rPr>
          <w:i/>
          <w:iCs/>
          <w:color w:val="002060"/>
          <w:szCs w:val="24"/>
        </w:rPr>
      </w:pPr>
      <w:r w:rsidRPr="00C86111">
        <w:rPr>
          <w:b/>
          <w:bCs/>
          <w:szCs w:val="24"/>
        </w:rPr>
        <w:t xml:space="preserve">2. </w:t>
      </w:r>
      <w:r w:rsidRPr="00C86111">
        <w:rPr>
          <w:i/>
          <w:iCs/>
          <w:color w:val="002060"/>
          <w:szCs w:val="24"/>
        </w:rPr>
        <w:t>Podrška implementaciji i monitoringu upravljanja vodama u Crnoj Gori</w:t>
      </w:r>
    </w:p>
    <w:p w14:paraId="07E4D4C3" w14:textId="77777777" w:rsidR="004F6023" w:rsidRPr="00C86111" w:rsidRDefault="004F6023" w:rsidP="004F6023">
      <w:pPr>
        <w:jc w:val="both"/>
        <w:rPr>
          <w:b/>
          <w:bCs/>
          <w:szCs w:val="24"/>
        </w:rPr>
      </w:pPr>
    </w:p>
    <w:p w14:paraId="70C2F9C1" w14:textId="77777777" w:rsidR="004F6023" w:rsidRPr="00C86111" w:rsidRDefault="004F6023" w:rsidP="004F6023">
      <w:pPr>
        <w:jc w:val="both"/>
        <w:rPr>
          <w:szCs w:val="24"/>
        </w:rPr>
      </w:pPr>
      <w:r w:rsidRPr="00C86111">
        <w:rPr>
          <w:szCs w:val="24"/>
        </w:rPr>
        <w:t>Projekat je realizovan od strane EPTISA Southeast Europe u saradnji sa CETI i fokusirao se na jačanje kapaciteta Crne Gore za usklađenost sa EU Direktivom o okvirima voda (WFD) kroz unaprjeđenje metodologije monitoringa i sprovođenje sveobuhvatnih procena zagađenja u vodi, sedimentima i bioti.</w:t>
      </w:r>
    </w:p>
    <w:p w14:paraId="02F454CE" w14:textId="77777777" w:rsidR="004F6023" w:rsidRPr="00C86111" w:rsidRDefault="004F6023" w:rsidP="004F6023">
      <w:pPr>
        <w:jc w:val="both"/>
        <w:rPr>
          <w:b/>
          <w:bCs/>
          <w:szCs w:val="24"/>
        </w:rPr>
      </w:pPr>
      <w:r w:rsidRPr="00C86111">
        <w:rPr>
          <w:b/>
          <w:bCs/>
          <w:szCs w:val="24"/>
        </w:rPr>
        <w:t>Ključni nalazi:</w:t>
      </w:r>
    </w:p>
    <w:p w14:paraId="726627B1" w14:textId="77777777" w:rsidR="004F6023" w:rsidRPr="00C86111" w:rsidRDefault="004F6023" w:rsidP="004F6023">
      <w:pPr>
        <w:jc w:val="both"/>
        <w:rPr>
          <w:szCs w:val="24"/>
        </w:rPr>
      </w:pPr>
      <w:r w:rsidRPr="00C86111">
        <w:rPr>
          <w:b/>
          <w:bCs/>
          <w:szCs w:val="24"/>
        </w:rPr>
        <w:t xml:space="preserve">Voda i sedimenti: </w:t>
      </w:r>
      <w:r w:rsidRPr="00C86111">
        <w:rPr>
          <w:szCs w:val="24"/>
        </w:rPr>
        <w:t>Većina prioritetnih supstanci, uključujući metabolite DDT-a, bila je ispod standarda kvaliteta. Hemijski status površinskih voda i sedimenta uglavnom u skladu sa EU standardima.</w:t>
      </w:r>
    </w:p>
    <w:p w14:paraId="540DAEBB" w14:textId="77777777" w:rsidR="004F6023" w:rsidRPr="00C86111" w:rsidRDefault="004F6023" w:rsidP="004F6023">
      <w:pPr>
        <w:jc w:val="both"/>
        <w:rPr>
          <w:szCs w:val="24"/>
        </w:rPr>
      </w:pPr>
      <w:r w:rsidRPr="00C86111">
        <w:rPr>
          <w:b/>
          <w:bCs/>
          <w:szCs w:val="24"/>
        </w:rPr>
        <w:t xml:space="preserve">Biota (uzorci riba): </w:t>
      </w:r>
      <w:r w:rsidRPr="00C86111">
        <w:rPr>
          <w:szCs w:val="24"/>
        </w:rPr>
        <w:t>Zabilježena  su prekoračenja bromovanih difenil etera (BDE) i per- i polifluorisanih supstanci (PFAS) u ribama poput pastrmke, šarana, soma i brancina.</w:t>
      </w:r>
    </w:p>
    <w:p w14:paraId="2BF52F66" w14:textId="77777777" w:rsidR="004F6023" w:rsidRPr="00C86111" w:rsidRDefault="004F6023" w:rsidP="004F6023">
      <w:pPr>
        <w:jc w:val="both"/>
        <w:rPr>
          <w:szCs w:val="24"/>
        </w:rPr>
      </w:pPr>
      <w:r w:rsidRPr="00C86111">
        <w:rPr>
          <w:szCs w:val="24"/>
        </w:rPr>
        <w:t>Ove supstance su vrlo postojane i bioakumulativne, povezane sa poremećajem endokrinog sistema, supresijom imunog sistema i kancerogenim efektima.</w:t>
      </w:r>
    </w:p>
    <w:p w14:paraId="7828325E" w14:textId="77777777" w:rsidR="004F6023" w:rsidRPr="00C86111" w:rsidRDefault="004F6023" w:rsidP="004F6023">
      <w:pPr>
        <w:jc w:val="both"/>
        <w:rPr>
          <w:szCs w:val="24"/>
        </w:rPr>
      </w:pPr>
      <w:r w:rsidRPr="00C86111">
        <w:rPr>
          <w:szCs w:val="24"/>
        </w:rPr>
        <w:t>Izvori vjerovatno potiču iz industrijskih i urbanih otpadnih voda.</w:t>
      </w:r>
    </w:p>
    <w:p w14:paraId="392149F1" w14:textId="77777777" w:rsidR="004F6023" w:rsidRPr="00C86111" w:rsidRDefault="004F6023" w:rsidP="004F6023">
      <w:pPr>
        <w:jc w:val="both"/>
        <w:rPr>
          <w:szCs w:val="24"/>
        </w:rPr>
      </w:pPr>
      <w:r w:rsidRPr="00C86111">
        <w:rPr>
          <w:szCs w:val="24"/>
        </w:rPr>
        <w:t>Iako kvalitet vode i sedimenta generalno zadovoljava EU zahteve, zagađenje u ribama ukazuje na kontinuirane rizike za vodene ekosisteme i javno zdravlje. Nalazi ukazuju na potrebu za:</w:t>
      </w:r>
    </w:p>
    <w:p w14:paraId="4D1E7DE3" w14:textId="77777777" w:rsidR="004F6023" w:rsidRPr="00C86111" w:rsidRDefault="004F6023" w:rsidP="00833A40">
      <w:pPr>
        <w:pStyle w:val="ListParagraph"/>
        <w:numPr>
          <w:ilvl w:val="0"/>
          <w:numId w:val="52"/>
        </w:numPr>
        <w:jc w:val="both"/>
        <w:rPr>
          <w:szCs w:val="24"/>
        </w:rPr>
      </w:pPr>
      <w:r w:rsidRPr="00C86111">
        <w:rPr>
          <w:szCs w:val="24"/>
        </w:rPr>
        <w:t>Pojačanim regulatornim merama.</w:t>
      </w:r>
    </w:p>
    <w:p w14:paraId="25D0576A" w14:textId="77777777" w:rsidR="004F6023" w:rsidRPr="00C86111" w:rsidRDefault="004F6023" w:rsidP="00833A40">
      <w:pPr>
        <w:pStyle w:val="ListParagraph"/>
        <w:numPr>
          <w:ilvl w:val="0"/>
          <w:numId w:val="52"/>
        </w:numPr>
        <w:jc w:val="both"/>
        <w:rPr>
          <w:szCs w:val="24"/>
        </w:rPr>
      </w:pPr>
      <w:r w:rsidRPr="00C86111">
        <w:rPr>
          <w:szCs w:val="24"/>
        </w:rPr>
        <w:t>Češćim i sistematičnijim monitoringom.</w:t>
      </w:r>
    </w:p>
    <w:p w14:paraId="44B65134" w14:textId="77777777" w:rsidR="004F6023" w:rsidRPr="00C86111" w:rsidRDefault="004F6023" w:rsidP="00833A40">
      <w:pPr>
        <w:pStyle w:val="ListParagraph"/>
        <w:numPr>
          <w:ilvl w:val="0"/>
          <w:numId w:val="52"/>
        </w:numPr>
        <w:jc w:val="both"/>
        <w:rPr>
          <w:szCs w:val="24"/>
        </w:rPr>
      </w:pPr>
      <w:r w:rsidRPr="00C86111">
        <w:rPr>
          <w:szCs w:val="24"/>
        </w:rPr>
        <w:t>Jasnom komunikacijom rizika prema zainteresovanim stranama i javnosti.</w:t>
      </w:r>
    </w:p>
    <w:p w14:paraId="7D54EBB7" w14:textId="77777777" w:rsidR="004F6023" w:rsidRPr="00C86111" w:rsidRDefault="004F6023" w:rsidP="00004F34">
      <w:pPr>
        <w:pStyle w:val="Heading1"/>
        <w:numPr>
          <w:ilvl w:val="1"/>
          <w:numId w:val="238"/>
        </w:numPr>
      </w:pPr>
      <w:bookmarkStart w:id="444" w:name="_Toc220541982"/>
      <w:r w:rsidRPr="00C86111">
        <w:t>Opšti zaključci:</w:t>
      </w:r>
      <w:bookmarkEnd w:id="444"/>
    </w:p>
    <w:p w14:paraId="3DE3C7B6" w14:textId="77777777" w:rsidR="004F6023" w:rsidRPr="00C86111" w:rsidRDefault="004F6023" w:rsidP="004F6023">
      <w:pPr>
        <w:jc w:val="both"/>
        <w:rPr>
          <w:b/>
          <w:bCs/>
          <w:szCs w:val="24"/>
        </w:rPr>
      </w:pPr>
    </w:p>
    <w:p w14:paraId="66717140" w14:textId="77777777" w:rsidR="004F6023" w:rsidRPr="00C86111" w:rsidRDefault="004F6023" w:rsidP="00833A40">
      <w:pPr>
        <w:pStyle w:val="ListParagraph"/>
        <w:numPr>
          <w:ilvl w:val="0"/>
          <w:numId w:val="55"/>
        </w:numPr>
        <w:jc w:val="both"/>
        <w:rPr>
          <w:szCs w:val="24"/>
        </w:rPr>
      </w:pPr>
      <w:r w:rsidRPr="00C86111">
        <w:rPr>
          <w:szCs w:val="24"/>
        </w:rPr>
        <w:t>Kombinovani rezultati oba projekta pružaju sveobuhvatnu sliku problema hemijskog zagađenja u akvatijskom okruženju Crne Gore:</w:t>
      </w:r>
    </w:p>
    <w:p w14:paraId="29127FD0" w14:textId="77777777" w:rsidR="004F6023" w:rsidRPr="00C86111" w:rsidRDefault="004F6023" w:rsidP="00833A40">
      <w:pPr>
        <w:pStyle w:val="ListParagraph"/>
        <w:numPr>
          <w:ilvl w:val="0"/>
          <w:numId w:val="55"/>
        </w:numPr>
        <w:jc w:val="both"/>
        <w:rPr>
          <w:szCs w:val="24"/>
        </w:rPr>
      </w:pPr>
      <w:r w:rsidRPr="00C86111">
        <w:rPr>
          <w:szCs w:val="24"/>
        </w:rPr>
        <w:t>POPs ostaju veliki problem: uprkos zabranama, ostaci DDT-a, hlorpirifosa i PCB-a i dalje se detektuju u sedimentima i bioti, što ukazuje na istorijsko zagađenje ili kontinuiranu ilegalnu upotrebu.</w:t>
      </w:r>
    </w:p>
    <w:p w14:paraId="45BE270E" w14:textId="77777777" w:rsidR="004F6023" w:rsidRPr="00C86111" w:rsidRDefault="004F6023" w:rsidP="00833A40">
      <w:pPr>
        <w:pStyle w:val="ListParagraph"/>
        <w:numPr>
          <w:ilvl w:val="0"/>
          <w:numId w:val="55"/>
        </w:numPr>
        <w:jc w:val="both"/>
        <w:rPr>
          <w:szCs w:val="24"/>
        </w:rPr>
      </w:pPr>
      <w:r w:rsidRPr="00C86111">
        <w:rPr>
          <w:szCs w:val="24"/>
        </w:rPr>
        <w:lastRenderedPageBreak/>
        <w:t>Emerging pollutants su značajni: pored legacy POPs-ova, kontaminanti poput BDE i PFAS već prelaze sigurne nivoe u ribama, ugrožavajući ekosisteme i ljudsko zdravlje.</w:t>
      </w:r>
    </w:p>
    <w:p w14:paraId="2AED0B6B" w14:textId="77777777" w:rsidR="004F6023" w:rsidRPr="00C86111" w:rsidRDefault="004F6023" w:rsidP="00833A40">
      <w:pPr>
        <w:pStyle w:val="ListParagraph"/>
        <w:numPr>
          <w:ilvl w:val="0"/>
          <w:numId w:val="55"/>
        </w:numPr>
        <w:jc w:val="both"/>
        <w:rPr>
          <w:szCs w:val="24"/>
        </w:rPr>
      </w:pPr>
      <w:r w:rsidRPr="00C86111">
        <w:rPr>
          <w:szCs w:val="24"/>
        </w:rPr>
        <w:t>Sedimenti i biota su ključni indikatori: iako površinske vode često zadovoljavaju EU standarde, sediment i ribe pokazuju dugoročne akumulacije i ekološke rizike.</w:t>
      </w:r>
    </w:p>
    <w:p w14:paraId="62DBDEB6" w14:textId="77777777" w:rsidR="004F6023" w:rsidRPr="00C86111" w:rsidRDefault="004F6023" w:rsidP="00833A40">
      <w:pPr>
        <w:pStyle w:val="ListParagraph"/>
        <w:numPr>
          <w:ilvl w:val="0"/>
          <w:numId w:val="55"/>
        </w:numPr>
        <w:jc w:val="both"/>
        <w:rPr>
          <w:szCs w:val="24"/>
        </w:rPr>
      </w:pPr>
      <w:r w:rsidRPr="00C86111">
        <w:rPr>
          <w:szCs w:val="24"/>
        </w:rPr>
        <w:t>Prekogranična saradnja je neophodna: izvori zagađenja, posebno u Skadarskom jezeru, zahtevaju koordinisanu regionalnu akciju i harmonizovane monitoring aktivnosti.</w:t>
      </w:r>
    </w:p>
    <w:p w14:paraId="03E59726" w14:textId="13FAAFD5" w:rsidR="004F6023" w:rsidRPr="008015BD" w:rsidRDefault="004F6023" w:rsidP="009756DA">
      <w:pPr>
        <w:pStyle w:val="ListParagraph"/>
        <w:numPr>
          <w:ilvl w:val="0"/>
          <w:numId w:val="55"/>
        </w:numPr>
        <w:jc w:val="both"/>
        <w:rPr>
          <w:szCs w:val="24"/>
        </w:rPr>
      </w:pPr>
      <w:r w:rsidRPr="008015BD">
        <w:rPr>
          <w:szCs w:val="24"/>
        </w:rPr>
        <w:t>Frekvencija monitoringa je nedovoljna: trenutna učestalost od 1–2 uzorka godišnje nije dovoljna; EU direktive zahtijevaju mjesečni monitoring za pouzdane procjene.</w:t>
      </w:r>
    </w:p>
    <w:p w14:paraId="19E44C0C" w14:textId="77777777" w:rsidR="004F6023" w:rsidRPr="00C86111" w:rsidRDefault="004F6023" w:rsidP="00004F34">
      <w:pPr>
        <w:pStyle w:val="Heading1"/>
        <w:numPr>
          <w:ilvl w:val="1"/>
          <w:numId w:val="238"/>
        </w:numPr>
      </w:pPr>
      <w:bookmarkStart w:id="445" w:name="_Toc220541983"/>
      <w:r w:rsidRPr="00C86111">
        <w:t>Opšte preporuke:</w:t>
      </w:r>
      <w:bookmarkEnd w:id="445"/>
    </w:p>
    <w:p w14:paraId="2C671E3E" w14:textId="77777777" w:rsidR="004F6023" w:rsidRPr="00C86111" w:rsidRDefault="004F6023" w:rsidP="00833A40">
      <w:pPr>
        <w:pStyle w:val="ListParagraph"/>
        <w:numPr>
          <w:ilvl w:val="0"/>
          <w:numId w:val="54"/>
        </w:numPr>
        <w:jc w:val="both"/>
        <w:rPr>
          <w:szCs w:val="24"/>
        </w:rPr>
      </w:pPr>
      <w:r w:rsidRPr="00C86111">
        <w:rPr>
          <w:szCs w:val="24"/>
        </w:rPr>
        <w:t>Pojačati redovni monitoring: uspostaviti mjesečne programe za segmente životne sredine u skladu sa WFD zahtjevima.</w:t>
      </w:r>
    </w:p>
    <w:p w14:paraId="0AFFECD8" w14:textId="77777777" w:rsidR="004F6023" w:rsidRPr="00C86111" w:rsidRDefault="004F6023" w:rsidP="00833A40">
      <w:pPr>
        <w:pStyle w:val="ListParagraph"/>
        <w:numPr>
          <w:ilvl w:val="0"/>
          <w:numId w:val="54"/>
        </w:numPr>
        <w:jc w:val="both"/>
        <w:rPr>
          <w:szCs w:val="24"/>
        </w:rPr>
      </w:pPr>
      <w:r w:rsidRPr="00C86111">
        <w:rPr>
          <w:szCs w:val="24"/>
        </w:rPr>
        <w:t>Identifikovati i kontrolisati izvore zagađenja: pratiti i eliminisati izvore hlorpirifosa, DDT-a, BDE i PFAS, sa fokusom na sliv Morače i industrijske zone.</w:t>
      </w:r>
    </w:p>
    <w:p w14:paraId="172DD66A" w14:textId="77777777" w:rsidR="004F6023" w:rsidRPr="00C86111" w:rsidRDefault="004F6023" w:rsidP="00833A40">
      <w:pPr>
        <w:pStyle w:val="ListParagraph"/>
        <w:numPr>
          <w:ilvl w:val="0"/>
          <w:numId w:val="54"/>
        </w:numPr>
        <w:jc w:val="both"/>
        <w:rPr>
          <w:szCs w:val="24"/>
        </w:rPr>
      </w:pPr>
      <w:r w:rsidRPr="00C86111">
        <w:rPr>
          <w:szCs w:val="24"/>
        </w:rPr>
        <w:t>Proširiti obuhvat monitoringa: sistematski uključiti nove zagađivače, sa pragovima u skladu sa EU regulativama.</w:t>
      </w:r>
    </w:p>
    <w:p w14:paraId="54875FF9" w14:textId="77777777" w:rsidR="004F6023" w:rsidRPr="00C86111" w:rsidRDefault="004F6023" w:rsidP="00833A40">
      <w:pPr>
        <w:pStyle w:val="ListParagraph"/>
        <w:numPr>
          <w:ilvl w:val="0"/>
          <w:numId w:val="54"/>
        </w:numPr>
        <w:jc w:val="both"/>
        <w:rPr>
          <w:szCs w:val="24"/>
        </w:rPr>
      </w:pPr>
      <w:r w:rsidRPr="00C86111">
        <w:rPr>
          <w:szCs w:val="24"/>
        </w:rPr>
        <w:t>Izgraditi institucionalni kapacitet: povećati broj obučenog osoblja i laboratorijsku infrastrukturu za analizu POP-ova i novih zagađivača.</w:t>
      </w:r>
    </w:p>
    <w:p w14:paraId="6879A786" w14:textId="77777777" w:rsidR="004F6023" w:rsidRPr="00C86111" w:rsidRDefault="004F6023" w:rsidP="00833A40">
      <w:pPr>
        <w:pStyle w:val="ListParagraph"/>
        <w:numPr>
          <w:ilvl w:val="0"/>
          <w:numId w:val="54"/>
        </w:numPr>
        <w:jc w:val="both"/>
        <w:rPr>
          <w:szCs w:val="24"/>
        </w:rPr>
      </w:pPr>
      <w:r w:rsidRPr="00C86111">
        <w:rPr>
          <w:szCs w:val="24"/>
        </w:rPr>
        <w:t>Ojačati prekograničnu saradnju: koordinisati monitoring i zajedničke aktivnosti sanacije sa Albanijom i drugim susjednim zemljama.</w:t>
      </w:r>
    </w:p>
    <w:p w14:paraId="1E1CB83E" w14:textId="77777777" w:rsidR="004F6023" w:rsidRPr="00C86111" w:rsidRDefault="004F6023" w:rsidP="00833A40">
      <w:pPr>
        <w:pStyle w:val="ListParagraph"/>
        <w:numPr>
          <w:ilvl w:val="0"/>
          <w:numId w:val="54"/>
        </w:numPr>
        <w:jc w:val="both"/>
        <w:rPr>
          <w:szCs w:val="24"/>
        </w:rPr>
      </w:pPr>
      <w:r w:rsidRPr="00C86111">
        <w:rPr>
          <w:szCs w:val="24"/>
        </w:rPr>
        <w:t>Poboljšati komunikaciju rizika: podići svijest kod poljoprivrednika, industrija i javnosti o rizicima od korišćenja zabranjenih pesticida i zagađenja riba.</w:t>
      </w:r>
    </w:p>
    <w:p w14:paraId="4ED4DFF7" w14:textId="77777777" w:rsidR="004F6023" w:rsidRPr="00C86111" w:rsidRDefault="004F6023" w:rsidP="00833A40">
      <w:pPr>
        <w:pStyle w:val="ListParagraph"/>
        <w:numPr>
          <w:ilvl w:val="0"/>
          <w:numId w:val="54"/>
        </w:numPr>
        <w:jc w:val="both"/>
        <w:rPr>
          <w:szCs w:val="24"/>
        </w:rPr>
      </w:pPr>
      <w:r w:rsidRPr="00C86111">
        <w:rPr>
          <w:szCs w:val="24"/>
        </w:rPr>
        <w:t xml:space="preserve">Osigurati strožu primjenu zakona: potpuno sprovesti Stokholmsku konvenciju i EU obaveze, uz strožiju kontrolu emisija i otpadnih voda. </w:t>
      </w:r>
    </w:p>
    <w:p w14:paraId="57A0DE78" w14:textId="77777777" w:rsidR="004F6023" w:rsidRPr="00C86111" w:rsidRDefault="004F6023" w:rsidP="00833A40">
      <w:pPr>
        <w:pStyle w:val="ListParagraph"/>
        <w:numPr>
          <w:ilvl w:val="0"/>
          <w:numId w:val="54"/>
        </w:numPr>
        <w:jc w:val="both"/>
        <w:rPr>
          <w:szCs w:val="24"/>
        </w:rPr>
      </w:pPr>
      <w:r w:rsidRPr="00C86111">
        <w:rPr>
          <w:szCs w:val="24"/>
        </w:rPr>
        <w:t xml:space="preserve">Usvojiti buduće pristupe: uvesti bioeseje, ekotoksikološka testiranja, sisteme brzog reagovanja i </w:t>
      </w:r>
    </w:p>
    <w:p w14:paraId="51839655" w14:textId="77777777" w:rsidR="004F6023" w:rsidRPr="00C86111" w:rsidRDefault="004F6023" w:rsidP="00833A40">
      <w:pPr>
        <w:pStyle w:val="ListParagraph"/>
        <w:numPr>
          <w:ilvl w:val="0"/>
          <w:numId w:val="54"/>
        </w:numPr>
        <w:jc w:val="both"/>
        <w:rPr>
          <w:szCs w:val="24"/>
        </w:rPr>
      </w:pPr>
      <w:r w:rsidRPr="00C86111">
        <w:rPr>
          <w:szCs w:val="24"/>
        </w:rPr>
        <w:t>Učestvovati u međunarodnim inicijativama poput Joint Danube Survey (JDS).</w:t>
      </w:r>
    </w:p>
    <w:p w14:paraId="402B1492" w14:textId="77777777" w:rsidR="004F6023" w:rsidRPr="00C86111" w:rsidRDefault="004F6023" w:rsidP="00833A40">
      <w:pPr>
        <w:pStyle w:val="ListParagraph"/>
        <w:numPr>
          <w:ilvl w:val="0"/>
          <w:numId w:val="54"/>
        </w:numPr>
        <w:jc w:val="both"/>
        <w:rPr>
          <w:szCs w:val="24"/>
        </w:rPr>
      </w:pPr>
      <w:r w:rsidRPr="00C86111">
        <w:rPr>
          <w:szCs w:val="24"/>
        </w:rPr>
        <w:t>Uspostaviti humani biomonitoring</w:t>
      </w:r>
    </w:p>
    <w:p w14:paraId="4FC0E8C6" w14:textId="77777777" w:rsidR="004F6023" w:rsidRPr="00C86111" w:rsidRDefault="004F6023" w:rsidP="004F6023">
      <w:pPr>
        <w:pStyle w:val="ListParagraph"/>
        <w:jc w:val="both"/>
        <w:rPr>
          <w:color w:val="002060"/>
          <w:szCs w:val="24"/>
        </w:rPr>
      </w:pPr>
      <w:r w:rsidRPr="00C86111">
        <w:rPr>
          <w:color w:val="002060"/>
          <w:szCs w:val="24"/>
        </w:rPr>
        <w:t>Napomene:</w:t>
      </w:r>
    </w:p>
    <w:p w14:paraId="36AED590" w14:textId="77777777" w:rsidR="004F6023" w:rsidRPr="00C86111" w:rsidRDefault="004F6023" w:rsidP="00833A40">
      <w:pPr>
        <w:pStyle w:val="ListParagraph"/>
        <w:numPr>
          <w:ilvl w:val="0"/>
          <w:numId w:val="54"/>
        </w:numPr>
        <w:jc w:val="both"/>
        <w:rPr>
          <w:szCs w:val="24"/>
        </w:rPr>
      </w:pPr>
      <w:r w:rsidRPr="00C86111">
        <w:rPr>
          <w:szCs w:val="24"/>
        </w:rPr>
        <w:t>Svi izuzeci periodično se preispituju i mogu biti ukinuti od strane Konferencije strana ugovornica (COP).</w:t>
      </w:r>
    </w:p>
    <w:p w14:paraId="6C43C2C9" w14:textId="77777777" w:rsidR="004F6023" w:rsidRPr="00C86111" w:rsidRDefault="004F6023" w:rsidP="00833A40">
      <w:pPr>
        <w:pStyle w:val="ListParagraph"/>
        <w:numPr>
          <w:ilvl w:val="0"/>
          <w:numId w:val="54"/>
        </w:numPr>
        <w:jc w:val="both"/>
        <w:rPr>
          <w:szCs w:val="24"/>
        </w:rPr>
      </w:pPr>
      <w:r w:rsidRPr="00C86111">
        <w:rPr>
          <w:szCs w:val="24"/>
        </w:rPr>
        <w:t>Prihvatljive namjene zahtijevaju stalne mjere smanjenja upotrebe.</w:t>
      </w:r>
    </w:p>
    <w:p w14:paraId="7E94922D" w14:textId="77777777" w:rsidR="004F6023" w:rsidRPr="00C86111" w:rsidRDefault="004F6023" w:rsidP="00833A40">
      <w:pPr>
        <w:pStyle w:val="ListParagraph"/>
        <w:numPr>
          <w:ilvl w:val="0"/>
          <w:numId w:val="54"/>
        </w:numPr>
        <w:jc w:val="both"/>
        <w:rPr>
          <w:szCs w:val="24"/>
        </w:rPr>
      </w:pPr>
      <w:r w:rsidRPr="00C86111">
        <w:rPr>
          <w:szCs w:val="24"/>
        </w:rPr>
        <w:t>Ove mjere omogućavaju balans između fleksibilnosti i stroge kontrole POPs supstanci, čime se štiti ljudsko zdravlje i okoliš.</w:t>
      </w:r>
    </w:p>
    <w:p w14:paraId="24B8BD9D" w14:textId="77777777" w:rsidR="004F6023" w:rsidRPr="00C86111" w:rsidRDefault="004F6023" w:rsidP="004F6023">
      <w:pPr>
        <w:pStyle w:val="ListParagraph"/>
        <w:jc w:val="both"/>
        <w:rPr>
          <w:szCs w:val="24"/>
        </w:rPr>
      </w:pPr>
    </w:p>
    <w:p w14:paraId="29B29337" w14:textId="77777777" w:rsidR="004F6023" w:rsidRPr="00C86111" w:rsidRDefault="004F6023" w:rsidP="004F6023">
      <w:pPr>
        <w:spacing w:line="276" w:lineRule="auto"/>
        <w:jc w:val="both"/>
        <w:rPr>
          <w:rFonts w:asciiTheme="minorHAnsi" w:hAnsiTheme="minorHAnsi" w:cstheme="minorHAnsi"/>
          <w:color w:val="auto"/>
          <w:szCs w:val="24"/>
          <w:lang w:val="sr-Latn-ME"/>
        </w:rPr>
      </w:pPr>
    </w:p>
    <w:p w14:paraId="4432D4E6" w14:textId="77777777" w:rsidR="00201FE9" w:rsidRPr="00C86111" w:rsidRDefault="00201FE9" w:rsidP="00201FE9"/>
    <w:p w14:paraId="60621C63" w14:textId="572AB563" w:rsidR="00201FE9" w:rsidRPr="00C86111" w:rsidRDefault="00201FE9"/>
    <w:p w14:paraId="1C7D6EEF" w14:textId="131583BE" w:rsidR="004F6023" w:rsidRPr="00C86111" w:rsidRDefault="004F6023"/>
    <w:p w14:paraId="3B6BDD5A" w14:textId="34178A8E" w:rsidR="004F6023" w:rsidRPr="00C86111" w:rsidRDefault="004F6023"/>
    <w:p w14:paraId="062B40A8" w14:textId="445C230E" w:rsidR="004F6023" w:rsidRPr="00C86111" w:rsidRDefault="004F6023"/>
    <w:p w14:paraId="1DB9A881" w14:textId="76821D39" w:rsidR="004F6023" w:rsidRPr="00C86111" w:rsidRDefault="004F6023"/>
    <w:p w14:paraId="78A81508" w14:textId="633BC186" w:rsidR="004F6023" w:rsidRPr="00C86111" w:rsidRDefault="004F6023"/>
    <w:p w14:paraId="067C27FF" w14:textId="64170DD8" w:rsidR="004F6023" w:rsidRPr="00C86111" w:rsidRDefault="004F6023"/>
    <w:p w14:paraId="69783957" w14:textId="12EEE68A" w:rsidR="007A23C1" w:rsidRPr="00C86111" w:rsidRDefault="007A23C1" w:rsidP="00912C4C">
      <w:pPr>
        <w:pStyle w:val="Heading1"/>
      </w:pPr>
      <w:bookmarkStart w:id="446" w:name="_Toc220541984"/>
      <w:r w:rsidRPr="00C86111">
        <w:t>ISTRAŽIVAČKE I OBRAZOVNE AKTIVNOSTI VEZANE ZA POPs</w:t>
      </w:r>
      <w:bookmarkEnd w:id="446"/>
    </w:p>
    <w:p w14:paraId="06AEDC30" w14:textId="000721D5" w:rsidR="007A23C1" w:rsidRPr="00C86111" w:rsidRDefault="007A23C1" w:rsidP="00EA6904">
      <w:pPr>
        <w:pStyle w:val="Heading3"/>
      </w:pPr>
      <w:bookmarkStart w:id="447" w:name="_Toc220541985"/>
      <w:r w:rsidRPr="00C86111">
        <w:t>Uvod</w:t>
      </w:r>
      <w:bookmarkEnd w:id="447"/>
    </w:p>
    <w:p w14:paraId="6966A70E" w14:textId="62C2E280"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Istraživanje postojanih organskih zagađivača (POPs) od ključnog je značaja za razumijevanje njihovog prisustva, raspodjele i efekata na ljudsko zdravlje i životnu sredinu. Efikasno upravljanje POPs-om zahtijeva sistematsko prikupljanje podataka, primjenu savremenih analitičkih metoda i multidisciplinarni pristup koji povezuje hemiju, toksikologiju, ekotoksikologiju i javno zdravlje. Za efikasno rješavanje ovih izazova ključno je integrisati edukaciju i istraživanja o POPs-u na sve nivoe obrazovnog sistema Crne Gore. Podizanje svijesti, razvoj naučne pismenosti i podsticanje interdisciplinarnog istraživanja POPs-a opremiće buduće generacije znanjem i alatima potrebnim za smanjenje negativnih efekata izlaganja hemikalijama. Takva integracija ne samo da bi uskladila Crnu Goru sa međunarodnim politikama bezbjednosti hemikalija, već bi i podstakla kulturu prevencije, inovacija i održivog razvoja. Edukacijom studenata, stručnjaka i šire javnosti o rizicima i upravljanju POPs-om, Crna Gora može ojačati kapacitete za zaštitu zdravlja ljudi i životne sredine u sve složenijem hemijskom okruženju.</w:t>
      </w:r>
    </w:p>
    <w:p w14:paraId="50426729" w14:textId="77777777" w:rsidR="004F6023" w:rsidRPr="00C86111" w:rsidRDefault="004F6023" w:rsidP="00EA6904">
      <w:pPr>
        <w:pStyle w:val="Heading3"/>
      </w:pPr>
      <w:bookmarkStart w:id="448" w:name="_Toc220541986"/>
      <w:r w:rsidRPr="00C86111">
        <w:t>POPs u obrazovnim programima</w:t>
      </w:r>
      <w:bookmarkEnd w:id="448"/>
    </w:p>
    <w:p w14:paraId="24C6306C"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Informacije o POPs-u i njihovim negativnim uticajima na zdravlje i životnu sredinu i dalje su nedovoljno dostupne široj javnosti u Crnoj Gori. Ne postoji centralizovana baza podataka koja bi objedinjavala naučne i obrazovne institucije, projekte ili istraživačke inicijative posvećene POPs-u, što otežava koordinaciju i razmjenu znanja. Pored toga, tema POPs-a je slabo zastupljena u nastavnim planovima osnovnih i srednjih škola, dok univerzitetski programi pružaju samo ograničen uvid u njihov značaj i implikacije.</w:t>
      </w:r>
    </w:p>
    <w:p w14:paraId="623C58D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Iako se POPs razmatraju u naučnim i stručnim krugovima i uključuju u određene univerzitetske predmete, oni se rijetko tretiraju kao zasebno i ključno polje studija, što ograničava razvoj ekspertize u ovoj oblasti. Prevazilaženje ovih praznina zahtijeva jačanje nacionalnih kapaciteta za naučna istraživanja i razvoj, kao i posvećeniju integraciju POPs-a u relevantne akademske programe. Predmeti poput zaštite životne sredine, ekotoksikologije, toksikologije hrane i javnog zdravlja obrađuju značaj POPs-a, ali bez sistematskog pristupa i posvećene pažnje.</w:t>
      </w:r>
    </w:p>
    <w:p w14:paraId="4029972F"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Otvaranje Fakulteta hemije u Crnoj Gori u septembru 2025. godine predstavlja jedinstvenu priliku za unapređenje znanja i istraživanja u oblasti POPs-a kao samostalnog polja studija. Ovaj program omogućava fokusiranu edukaciju i istraživanje uticaja POPs-a na ljudsko zdravlje i životnu sredinu, generisanje novih saznanja, podizanje svijesti među studentima i šire javnosti, te osnaživanje mladih stručnjaka da svoje znanje primijene i prenesu zajednici. Time se doprinosi jačanju naučne pismenosti, promovisanja održivog razvoja i izgradnji kulture prevencije u Crnoj Gori.</w:t>
      </w:r>
    </w:p>
    <w:p w14:paraId="7A200B8A" w14:textId="6B008B40" w:rsidR="004F6023" w:rsidRPr="00C86111" w:rsidRDefault="004F6023" w:rsidP="00EA6904">
      <w:pPr>
        <w:pStyle w:val="Heading3"/>
      </w:pPr>
      <w:bookmarkStart w:id="449" w:name="_Toc220541987"/>
      <w:r w:rsidRPr="00C86111">
        <w:t>Izazovi u zdravstvenoj zaštiti i javnoj sv</w:t>
      </w:r>
      <w:r w:rsidR="007A23C1" w:rsidRPr="00C86111">
        <w:t>ij</w:t>
      </w:r>
      <w:r w:rsidRPr="00C86111">
        <w:t>esti</w:t>
      </w:r>
      <w:bookmarkEnd w:id="449"/>
    </w:p>
    <w:p w14:paraId="3A679DD3"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Jedan od ključnih izazova u Crnoj Gori je ograničen broj lekara i stručnjaka za medicinu rada koji su osposobljeni da prepoznaju zdravstvene poremećaje izazvane izlaganjem POPs-u. Trenutni zdravstveni sistem ne posjeduje organizovanu mrežu za sistematsko prikupljanje i analizu podataka o izloženosti POPs-u i njihovim efektima na zdravlje, što otežava pravovremeno </w:t>
      </w:r>
      <w:r w:rsidRPr="00C86111">
        <w:rPr>
          <w:rFonts w:asciiTheme="minorHAnsi" w:hAnsiTheme="minorHAnsi" w:cstheme="minorHAnsi"/>
          <w:szCs w:val="24"/>
        </w:rPr>
        <w:lastRenderedPageBreak/>
        <w:t>praćenje, identifikaciju i odgovarajuću reakciju na promene u zdravstvenom stanju uzrokovane ovim opasnim supstancama.</w:t>
      </w:r>
    </w:p>
    <w:p w14:paraId="341E88AF"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Obrazovni programi o POPs-u u Crnoj Gori su još uvek nedovoljno razvijeni, što dovodi do niskog nivoa svijesti i znanja među opštom populacijom. Čak i zdravstveni profesionalci, uključujući one koji se brinu o populaciji reproduktivnog doba, često nisu dovoljno informisani o dugoročnim i kumulativnim efektima POPs-a na zdravlje, rast i razvoj djece. Neophodno je hitno podići nivo svijesti i kompetencija unutar zdravstvenog sektora kako bi se prepoznali rizici niske, dugotrajne izloženosti POPs-u i sprovela adekvatna preventivna i terapijska strategija.</w:t>
      </w:r>
    </w:p>
    <w:p w14:paraId="126E8408"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Za poboljšanje ove situacije, zdravstveni sistem mora unaprijediti kapacitete za preciznu registraciju i praćenje bolesti i povezanih faktora rizika. To uključuje uspostavljanje sistema za dugoročne epidemiološke studije koje omogućavaju detaljniju analizu uticaja POPs-a na ljudsko zdravlje. Pored toga, ključno je podsticati interdisciplinarnu saradnju između istraživača, kliničkih stručnjaka, toksikologa, nutricionista i donosilaca politika, kao i uvođenje sistematskog biomonitoringa povezanog sa podacima o izloženosti populacije iz vazduha, vode, tla i ishrane.</w:t>
      </w:r>
    </w:p>
    <w:p w14:paraId="34CBF44F"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Sistemski pristup i edukacija ne samo da jačaju sposobnost zdravstvenog sektora da prepozna i reaguje na zdravstvene efekte POPs-a, već i omogućavaju razvoj preventivnih mjera, unapređenje javne politike i podizanje svijesti građana o značaju smanjenja izloženosti ovim supstancama. Integracija edukacije i istraživanja u zdravstveni sistem predstavlja osnovu za dugoročno očuvanje zdravlja ljudi i zaštitu životne sredine u Crnoj Gori.</w:t>
      </w:r>
    </w:p>
    <w:p w14:paraId="2E667BFD" w14:textId="77777777" w:rsidR="004F6023" w:rsidRPr="00C86111" w:rsidRDefault="004F6023" w:rsidP="00EA6904">
      <w:pPr>
        <w:pStyle w:val="Heading3"/>
      </w:pPr>
      <w:bookmarkStart w:id="450" w:name="_Toc220541988"/>
      <w:r w:rsidRPr="00C86111">
        <w:t>Upravljanje i istraživanje POPs-a</w:t>
      </w:r>
      <w:bookmarkEnd w:id="450"/>
    </w:p>
    <w:p w14:paraId="62421C60"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Jedan od najvećih izazova u Crnoj Gori je neadekvatno upravljanje otpadom, posebno kategorijama koje mogu oslobađati POPs. Integracija edukacije o POPs-u u kurikulum mlađih generacija ključna je za podizanje svijesti o ozbiljnim posledicama nepravilnog upravljanja otpadom i njegovom uticaju na ljudsko zdravlje i životnu sredinu.</w:t>
      </w:r>
    </w:p>
    <w:p w14:paraId="1D47875D"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Sveobuhvatna istraživanja prisutnosti POPs-a u populaciji i životnoj sredini trebala bi se sprovesti u svim regionima, uzimajući u obzir životne navike, posebno ishranu. Posebna pažnja treba biti posvećena grupama koje žive u blizini poznatih zagađenih lokacija, poput dekomisionisanih industrijskih postrojenja koja sadrže PCB, kao i populacijama u blizini aktivnih izvora zagađenja, uključujući industrijska postrojenja (metalurgija, prerada metala, cementare, elektrane), deponije i lokacije za odlaganje otpada.</w:t>
      </w:r>
    </w:p>
    <w:p w14:paraId="5C20B142"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Profesionalno izložene grupe, poput vatrogasaca, radnika na transformatorima i onih koji rukuju PCB opremom, posebno su ranjive. Aktivnosti trebaju uključivati praćenje tradicionalnih POPs-a (PCB, PCDD/PCDF) i novih POPs-a analizom njihovih koncentracija u životnoj sredini (vazduh, voda, tlo, hrana) i u ljudima.</w:t>
      </w:r>
    </w:p>
    <w:p w14:paraId="6D3D0CD6"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Detaljna istraživanja o prisutnosti i ponašanju „novih POPs-a“ (nastajućih kontaminanata) u svim komponentama životne sredine i matricama treba sprovesti korišćenjem standardizovanih i uporedivih metodologija. Rezultati će pružiti naučnu osnovu za predlaganje proverenih mera i aktivnosti za smanjenje izloženosti.</w:t>
      </w:r>
    </w:p>
    <w:p w14:paraId="741A8317" w14:textId="77777777" w:rsidR="004F6023" w:rsidRPr="00C86111" w:rsidRDefault="004F6023" w:rsidP="00EA6904">
      <w:pPr>
        <w:pStyle w:val="Heading3"/>
      </w:pPr>
      <w:bookmarkStart w:id="451" w:name="_Toc220541989"/>
      <w:r w:rsidRPr="00C86111">
        <w:t>Sistematsko praćenje životne sredine i ljudi</w:t>
      </w:r>
      <w:bookmarkEnd w:id="451"/>
    </w:p>
    <w:p w14:paraId="38240F07" w14:textId="77777777" w:rsidR="004F6023" w:rsidRPr="00C86111" w:rsidRDefault="004F6023" w:rsidP="004F6023">
      <w:pPr>
        <w:jc w:val="both"/>
        <w:rPr>
          <w:rFonts w:asciiTheme="minorHAnsi" w:hAnsiTheme="minorHAnsi" w:cstheme="minorHAnsi"/>
          <w:b/>
          <w:bCs/>
          <w:szCs w:val="24"/>
        </w:rPr>
      </w:pPr>
    </w:p>
    <w:p w14:paraId="5A615B2E"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Sveobuhvatni dugoročni programi praćenja POPs-a moraju se uspostaviti u svim segmentima životne sredine — vazduh, voda, tlo i hrana — kako bi se procijenio nivo izloženosti, identifikovali </w:t>
      </w:r>
      <w:r w:rsidRPr="00C86111">
        <w:rPr>
          <w:rFonts w:asciiTheme="minorHAnsi" w:hAnsiTheme="minorHAnsi" w:cstheme="minorHAnsi"/>
          <w:szCs w:val="24"/>
        </w:rPr>
        <w:lastRenderedPageBreak/>
        <w:t>trendovi i odredila regionalna distribucija. Paralelno, programi ljudskog biomonitoringa trebaju se sprovesti kako bi se procijenila akumulacija POPs-a u ranjivim populacijama i profesionalno izloženim grupama. Posebna pažnja mora se posvetiti visokorizičnim grupama, poput vatrogasaca, radnika na održavanju transformatora, osoblja za dekontaminaciju i zaposlenih u sistemima upravljanja otpadom.</w:t>
      </w:r>
    </w:p>
    <w:p w14:paraId="63F3D32B"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Iako su pesticidi koji sadrže POPs zabranjeni i više se ne koriste u Crnoj Gori, određene profesionalne grupe ostaju izložene ovim supstancama. Radnici na transformatorima i oni koji popravljaju transformatore i kondenzatore napunjene PCB-om posebno su ranjivi. U slučaju nesreća sa takvom opremom može doći do lokalizovanog PCB zagađenja, što može izazvati nepredvidive nivoe zagađenja. Tokom takvih događaja vatrogasci, radnici za popravke i članovi sistema civilne zaštite izloženi su slučajnom kontaktu sa POPs-om, stavljajući ih u kategoriju visokog rizika.</w:t>
      </w:r>
    </w:p>
    <w:p w14:paraId="1BF90233"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Vatrogasci su posebno izloženi PCDD/PCDF spojevima, jer se oni oslobađaju tokom svih vrsta požara. Vatrogasci su redovno izloženi dimu i nusproizvodima sagorevanja, kako tokom gašenja požara, tako i u fazi čišćenja i dekontaminacije. Osim toga, osoblje civilne zaštite koje reaguje na nesreće, kao i radnici u upravljanju otpadom — posebno oni koji rukuju PCB kontaminiranom opremom, elektronskim otpadom (EEE) i procesima dekontaminacije — takođe su izloženi ovim opasnim supstancama.</w:t>
      </w:r>
    </w:p>
    <w:p w14:paraId="3AD60F62"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Trenutno ne postoje podaci o koncentracijama PCDD/PCDF u krvi vatrogasaca u Crnoj Gori, što odražava globalni istraživački jaz o ovoj temi. Popunjavanje ovog jaza ciljanim biomonitoring studijama ključno je za identifikaciju nivoa izloženosti i potencijalnih zdravstvenih posledica u ovim visokorizičnim grupama.</w:t>
      </w:r>
    </w:p>
    <w:p w14:paraId="7351F27C" w14:textId="77777777" w:rsidR="004F6023" w:rsidRPr="00C86111" w:rsidRDefault="004F6023" w:rsidP="00EA6904">
      <w:pPr>
        <w:pStyle w:val="Heading3"/>
      </w:pPr>
      <w:bookmarkStart w:id="452" w:name="_Toc220541990"/>
      <w:r w:rsidRPr="00C86111">
        <w:t>Globalni plan praćenja (GMP)</w:t>
      </w:r>
      <w:bookmarkEnd w:id="452"/>
    </w:p>
    <w:p w14:paraId="11261B8A" w14:textId="77777777" w:rsidR="007A23C1" w:rsidRPr="00C86111" w:rsidRDefault="007A23C1" w:rsidP="007A23C1">
      <w:pPr>
        <w:rPr>
          <w:lang w:val="sr-Latn-ME"/>
        </w:rPr>
      </w:pPr>
    </w:p>
    <w:p w14:paraId="29D06686"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Globalni plan praćenja (GMP) za postojane organske zagađivače (POPs) ključan je mehanizam za praćenje efikasnosti Stokholmske konvencije. Cilj GMP-a je sistematsko prikupljanje uporedivih podataka o prisutnosti POPs-a na svim kontinentima, praćenje promjena njihovih koncentracija tokom vremena i razumevanje regionalnog i globalnog transporta. Podaci se prikupljaju kroz regionalne organizacione grupe unutar pet UN regiona, dok globalna koordinaciona grupa nadzire sprovođenje GMP-a i pripremu međunarodnih izveštaja.</w:t>
      </w:r>
    </w:p>
    <w:p w14:paraId="3AF9F6AD" w14:textId="77777777" w:rsidR="004F6023" w:rsidRPr="00C86111" w:rsidRDefault="004F6023" w:rsidP="00EA6904">
      <w:pPr>
        <w:pStyle w:val="Heading4"/>
      </w:pPr>
      <w:r w:rsidRPr="00C86111">
        <w:t>Saradnja CETI – RECETOX i aktivnosti u Crnoj Gori</w:t>
      </w:r>
    </w:p>
    <w:p w14:paraId="2279161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Centar za ekotoksikološka ispitivanja  (CETI) potpisao je memorandum o saradnji sa RECETOX-om i službeno se pridružio globalnom programu kao predstavnik Crne Gore. U okviru svojih aktivnosti, pasivni uzprkivači vazduha postavljeni su na par lokacija u zemlji. Uzorkivači su takođe postavljeni u Bokokotorskom zalivu, gde će se vršiti uzorkovanje kako bi se procijenio uticaj kruzera na morski ekosistem. Na ovaj način, Crna Gora je, nakon dugog perioda prekida (od poslednjeg uzorkovanja u vreme državne zajednice sa Srbijom), nastavila učešće u GMP-u, doprinoseći regionalnom i međunarodnom praćenju POPs-a.</w:t>
      </w:r>
    </w:p>
    <w:p w14:paraId="1A50BED5" w14:textId="77ADB82E" w:rsidR="004F6023" w:rsidRPr="00C86111" w:rsidRDefault="004F6023" w:rsidP="00004F34">
      <w:pPr>
        <w:pStyle w:val="Heading1"/>
        <w:numPr>
          <w:ilvl w:val="1"/>
          <w:numId w:val="238"/>
        </w:numPr>
      </w:pPr>
      <w:bookmarkStart w:id="453" w:name="_Toc220541991"/>
      <w:r w:rsidRPr="00C86111">
        <w:lastRenderedPageBreak/>
        <w:t>Preporuke i strateške m</w:t>
      </w:r>
      <w:r w:rsidR="007A23C1" w:rsidRPr="00C86111">
        <w:t>j</w:t>
      </w:r>
      <w:r w:rsidRPr="00C86111">
        <w:t>ere</w:t>
      </w:r>
      <w:bookmarkEnd w:id="453"/>
    </w:p>
    <w:p w14:paraId="26B5A262"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Glavni cilj mora ostati jačanje sistematskog istraživanja, praćenja i edukacije u vezi POPs-a, istovremeno rješavajući profesionalnu i slučajnu izloženost ovim supstancama. Predlaže se sledeći skup mjera:</w:t>
      </w:r>
    </w:p>
    <w:p w14:paraId="21235B80"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bCs/>
          <w:szCs w:val="24"/>
        </w:rPr>
        <w:t>Uspostava nacionalnog biomonitoring sistema</w:t>
      </w:r>
    </w:p>
    <w:p w14:paraId="647A056E" w14:textId="77777777" w:rsidR="004F6023" w:rsidRPr="00C86111" w:rsidRDefault="004F6023" w:rsidP="00833A40">
      <w:pPr>
        <w:numPr>
          <w:ilvl w:val="0"/>
          <w:numId w:val="82"/>
        </w:numPr>
        <w:jc w:val="both"/>
        <w:rPr>
          <w:rFonts w:asciiTheme="minorHAnsi" w:hAnsiTheme="minorHAnsi" w:cstheme="minorHAnsi"/>
          <w:szCs w:val="24"/>
        </w:rPr>
      </w:pPr>
      <w:r w:rsidRPr="00C86111">
        <w:rPr>
          <w:rFonts w:asciiTheme="minorHAnsi" w:hAnsiTheme="minorHAnsi" w:cstheme="minorHAnsi"/>
          <w:szCs w:val="24"/>
        </w:rPr>
        <w:t>Kreirati centralizovanu bazu podataka za prikupljanje, analizu i dijeljenje informacija o izloženosti POPs-u.</w:t>
      </w:r>
    </w:p>
    <w:p w14:paraId="382F3530" w14:textId="77777777" w:rsidR="004F6023" w:rsidRPr="00C86111" w:rsidRDefault="004F6023" w:rsidP="00833A40">
      <w:pPr>
        <w:numPr>
          <w:ilvl w:val="0"/>
          <w:numId w:val="82"/>
        </w:numPr>
        <w:jc w:val="both"/>
        <w:rPr>
          <w:rFonts w:asciiTheme="minorHAnsi" w:hAnsiTheme="minorHAnsi" w:cstheme="minorHAnsi"/>
          <w:szCs w:val="24"/>
        </w:rPr>
      </w:pPr>
      <w:r w:rsidRPr="00C86111">
        <w:rPr>
          <w:rFonts w:asciiTheme="minorHAnsi" w:hAnsiTheme="minorHAnsi" w:cstheme="minorHAnsi"/>
          <w:szCs w:val="24"/>
        </w:rPr>
        <w:t>Uspostaviti laboratorijske kapacitete za rutinsku analizu bioloških uzoraka (krv, mleko, kosa) i integrisati rezultate u nacionalne zdravstvene registre.</w:t>
      </w:r>
    </w:p>
    <w:p w14:paraId="06183F5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bCs/>
          <w:szCs w:val="24"/>
        </w:rPr>
        <w:t>Edukacija i stručna obuka</w:t>
      </w:r>
    </w:p>
    <w:p w14:paraId="6B41C7D6" w14:textId="77777777" w:rsidR="004F6023" w:rsidRPr="00C86111" w:rsidRDefault="004F6023" w:rsidP="00833A40">
      <w:pPr>
        <w:numPr>
          <w:ilvl w:val="0"/>
          <w:numId w:val="83"/>
        </w:numPr>
        <w:jc w:val="both"/>
        <w:rPr>
          <w:rFonts w:asciiTheme="minorHAnsi" w:hAnsiTheme="minorHAnsi" w:cstheme="minorHAnsi"/>
          <w:szCs w:val="24"/>
        </w:rPr>
      </w:pPr>
      <w:r w:rsidRPr="00C86111">
        <w:rPr>
          <w:rFonts w:asciiTheme="minorHAnsi" w:hAnsiTheme="minorHAnsi" w:cstheme="minorHAnsi"/>
          <w:szCs w:val="24"/>
        </w:rPr>
        <w:t>Integrisati POPs u kurikulum osnovnih, srednjih i visokih obrazovnih institucija, sa posebnim naglaskom na novi Fakultet hemije od septembra 2025.</w:t>
      </w:r>
    </w:p>
    <w:p w14:paraId="559C4C89" w14:textId="77777777" w:rsidR="004F6023" w:rsidRPr="00C86111" w:rsidRDefault="004F6023" w:rsidP="00833A40">
      <w:pPr>
        <w:numPr>
          <w:ilvl w:val="0"/>
          <w:numId w:val="83"/>
        </w:numPr>
        <w:jc w:val="both"/>
        <w:rPr>
          <w:rFonts w:asciiTheme="minorHAnsi" w:hAnsiTheme="minorHAnsi" w:cstheme="minorHAnsi"/>
          <w:szCs w:val="24"/>
        </w:rPr>
      </w:pPr>
      <w:r w:rsidRPr="00C86111">
        <w:rPr>
          <w:rFonts w:asciiTheme="minorHAnsi" w:hAnsiTheme="minorHAnsi" w:cstheme="minorHAnsi"/>
          <w:szCs w:val="24"/>
        </w:rPr>
        <w:t>Organizovati redovne obuke za zdravstvene radnike, stručnjake za medicinu rada, toksikologe i inspektore rada kako bi prepoznali simptome i posledice izloženosti POPs-u.</w:t>
      </w:r>
    </w:p>
    <w:p w14:paraId="6830FDE8"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bCs/>
          <w:szCs w:val="24"/>
        </w:rPr>
        <w:t>Zaštita profesionalno izloženih grupa</w:t>
      </w:r>
    </w:p>
    <w:p w14:paraId="3A899AD4" w14:textId="77777777" w:rsidR="004F6023" w:rsidRPr="00C86111" w:rsidRDefault="004F6023" w:rsidP="00833A40">
      <w:pPr>
        <w:numPr>
          <w:ilvl w:val="0"/>
          <w:numId w:val="84"/>
        </w:numPr>
        <w:jc w:val="both"/>
        <w:rPr>
          <w:rFonts w:asciiTheme="minorHAnsi" w:hAnsiTheme="minorHAnsi" w:cstheme="minorHAnsi"/>
          <w:szCs w:val="24"/>
        </w:rPr>
      </w:pPr>
      <w:r w:rsidRPr="00C86111">
        <w:rPr>
          <w:rFonts w:asciiTheme="minorHAnsi" w:hAnsiTheme="minorHAnsi" w:cstheme="minorHAnsi"/>
          <w:szCs w:val="24"/>
        </w:rPr>
        <w:t>Razviti protokole zaštite vatrogasaca, radnika na transformatorima i osoblja koje rukuje PCB kontaminiranom opremom.</w:t>
      </w:r>
    </w:p>
    <w:p w14:paraId="4C057FEC" w14:textId="77777777" w:rsidR="004F6023" w:rsidRPr="00C86111" w:rsidRDefault="004F6023" w:rsidP="00833A40">
      <w:pPr>
        <w:numPr>
          <w:ilvl w:val="0"/>
          <w:numId w:val="84"/>
        </w:numPr>
        <w:jc w:val="both"/>
        <w:rPr>
          <w:rFonts w:asciiTheme="minorHAnsi" w:hAnsiTheme="minorHAnsi" w:cstheme="minorHAnsi"/>
          <w:szCs w:val="24"/>
        </w:rPr>
      </w:pPr>
      <w:r w:rsidRPr="00C86111">
        <w:rPr>
          <w:rFonts w:asciiTheme="minorHAnsi" w:hAnsiTheme="minorHAnsi" w:cstheme="minorHAnsi"/>
          <w:szCs w:val="24"/>
        </w:rPr>
        <w:t>Uvesti obavezne periodične zdravstvene preglede za profesionalno izložene grupe i obezbijediti zaštitnu opremu i standardizovane procedure dekontaminacije.</w:t>
      </w:r>
    </w:p>
    <w:p w14:paraId="0A095076"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bCs/>
          <w:szCs w:val="24"/>
        </w:rPr>
        <w:t>Unapređenje sistema upravljanja otpadom</w:t>
      </w:r>
    </w:p>
    <w:p w14:paraId="22607C89" w14:textId="77777777" w:rsidR="004F6023" w:rsidRPr="00C86111" w:rsidRDefault="004F6023" w:rsidP="00833A40">
      <w:pPr>
        <w:numPr>
          <w:ilvl w:val="0"/>
          <w:numId w:val="85"/>
        </w:numPr>
        <w:jc w:val="both"/>
        <w:rPr>
          <w:rFonts w:asciiTheme="minorHAnsi" w:hAnsiTheme="minorHAnsi" w:cstheme="minorHAnsi"/>
          <w:szCs w:val="24"/>
        </w:rPr>
      </w:pPr>
      <w:r w:rsidRPr="00C86111">
        <w:rPr>
          <w:rFonts w:asciiTheme="minorHAnsi" w:hAnsiTheme="minorHAnsi" w:cstheme="minorHAnsi"/>
          <w:szCs w:val="24"/>
        </w:rPr>
        <w:t>Sprovoditi strategije za sigurno prikupljanje, transport i odlaganje opasnog otpada, posebno PCB kontaminirane opreme i elektronskog otpada.</w:t>
      </w:r>
    </w:p>
    <w:p w14:paraId="6A965A0D" w14:textId="77777777" w:rsidR="004F6023" w:rsidRPr="00C86111" w:rsidRDefault="004F6023" w:rsidP="00833A40">
      <w:pPr>
        <w:numPr>
          <w:ilvl w:val="0"/>
          <w:numId w:val="85"/>
        </w:numPr>
        <w:jc w:val="both"/>
        <w:rPr>
          <w:rFonts w:asciiTheme="minorHAnsi" w:hAnsiTheme="minorHAnsi" w:cstheme="minorHAnsi"/>
          <w:szCs w:val="24"/>
        </w:rPr>
      </w:pPr>
      <w:r w:rsidRPr="00C86111">
        <w:rPr>
          <w:rFonts w:asciiTheme="minorHAnsi" w:hAnsiTheme="minorHAnsi" w:cstheme="minorHAnsi"/>
          <w:szCs w:val="24"/>
        </w:rPr>
        <w:t>Podsticati istraživanja i inovacije u tehnologijama dekontaminacije i uništavanja POPs-a.</w:t>
      </w:r>
    </w:p>
    <w:p w14:paraId="25098D1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bCs/>
          <w:szCs w:val="24"/>
        </w:rPr>
        <w:t>Međunarodna saradnja i razmjena znanja</w:t>
      </w:r>
    </w:p>
    <w:p w14:paraId="7A76D2E4" w14:textId="77777777" w:rsidR="004F6023" w:rsidRPr="00C86111" w:rsidRDefault="004F6023" w:rsidP="00833A40">
      <w:pPr>
        <w:numPr>
          <w:ilvl w:val="0"/>
          <w:numId w:val="86"/>
        </w:numPr>
        <w:jc w:val="both"/>
        <w:rPr>
          <w:rFonts w:asciiTheme="minorHAnsi" w:hAnsiTheme="minorHAnsi" w:cstheme="minorHAnsi"/>
          <w:szCs w:val="24"/>
        </w:rPr>
      </w:pPr>
      <w:r w:rsidRPr="00C86111">
        <w:rPr>
          <w:rFonts w:asciiTheme="minorHAnsi" w:hAnsiTheme="minorHAnsi" w:cstheme="minorHAnsi"/>
          <w:szCs w:val="24"/>
        </w:rPr>
        <w:t>Aktivno učestvovati u međunarodnim mrežama za razmjenu podataka o POPs-u (Stokholmska konvencija, UNEP programi).</w:t>
      </w:r>
    </w:p>
    <w:p w14:paraId="3B857ABA" w14:textId="77777777" w:rsidR="004F6023" w:rsidRPr="00C86111" w:rsidRDefault="004F6023" w:rsidP="00833A40">
      <w:pPr>
        <w:numPr>
          <w:ilvl w:val="0"/>
          <w:numId w:val="86"/>
        </w:numPr>
        <w:jc w:val="both"/>
        <w:rPr>
          <w:rFonts w:asciiTheme="minorHAnsi" w:hAnsiTheme="minorHAnsi" w:cstheme="minorHAnsi"/>
          <w:szCs w:val="24"/>
        </w:rPr>
      </w:pPr>
      <w:r w:rsidRPr="00C86111">
        <w:rPr>
          <w:rFonts w:asciiTheme="minorHAnsi" w:hAnsiTheme="minorHAnsi" w:cstheme="minorHAnsi"/>
          <w:szCs w:val="24"/>
        </w:rPr>
        <w:t>Sarađivati sa regionalnim i globalnim istraživačkim institucijama kako bi se dijelile najbolje prakse i sprovodile zajedničke studije.</w:t>
      </w:r>
    </w:p>
    <w:p w14:paraId="0AC1FBD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Sprovođenje ovih mjera doprinijeće stvaranju održivog sistema koji omogućava pravovremeno prepoznavanje, prevenciju i ublažavanje štetnih efekata POPs-a na ljudsko zdravlje i životnu sredinu, čime se postavljaju temelji za zdraviju i bezbjedniju budućnost.</w:t>
      </w:r>
    </w:p>
    <w:p w14:paraId="4EE6A7B7" w14:textId="77777777" w:rsidR="004F6023" w:rsidRPr="00C86111" w:rsidRDefault="004F6023" w:rsidP="004F6023">
      <w:pPr>
        <w:jc w:val="both"/>
        <w:rPr>
          <w:rFonts w:asciiTheme="minorHAnsi" w:hAnsiTheme="minorHAnsi" w:cstheme="minorHAnsi"/>
          <w:szCs w:val="24"/>
        </w:rPr>
      </w:pPr>
    </w:p>
    <w:p w14:paraId="01BCFE10" w14:textId="77777777" w:rsidR="004F6023" w:rsidRPr="00C86111" w:rsidRDefault="004F6023" w:rsidP="004F6023">
      <w:pPr>
        <w:ind w:left="360"/>
        <w:jc w:val="both"/>
        <w:rPr>
          <w:rFonts w:asciiTheme="minorHAnsi" w:hAnsiTheme="minorHAnsi" w:cstheme="minorHAnsi"/>
          <w:b/>
          <w:color w:val="002060"/>
          <w:szCs w:val="24"/>
        </w:rPr>
      </w:pPr>
    </w:p>
    <w:p w14:paraId="4A6B527A" w14:textId="77777777" w:rsidR="004F6023" w:rsidRPr="00C86111" w:rsidRDefault="004F6023" w:rsidP="004F6023">
      <w:pPr>
        <w:ind w:left="360"/>
        <w:jc w:val="both"/>
        <w:rPr>
          <w:rFonts w:asciiTheme="minorHAnsi" w:hAnsiTheme="minorHAnsi" w:cstheme="minorHAnsi"/>
          <w:b/>
          <w:color w:val="002060"/>
          <w:szCs w:val="24"/>
        </w:rPr>
      </w:pPr>
    </w:p>
    <w:p w14:paraId="1247E1AD" w14:textId="77777777" w:rsidR="004F6023" w:rsidRPr="00C86111" w:rsidRDefault="004F6023" w:rsidP="004F6023">
      <w:pPr>
        <w:ind w:left="360"/>
        <w:jc w:val="both"/>
        <w:rPr>
          <w:rFonts w:asciiTheme="minorHAnsi" w:hAnsiTheme="minorHAnsi" w:cstheme="minorHAnsi"/>
          <w:b/>
          <w:color w:val="002060"/>
          <w:szCs w:val="24"/>
        </w:rPr>
      </w:pPr>
    </w:p>
    <w:p w14:paraId="6AA95BAC" w14:textId="77777777" w:rsidR="004F6023" w:rsidRPr="00C86111" w:rsidRDefault="004F6023" w:rsidP="004F6023">
      <w:pPr>
        <w:ind w:left="360"/>
        <w:jc w:val="both"/>
        <w:rPr>
          <w:rFonts w:asciiTheme="minorHAnsi" w:hAnsiTheme="minorHAnsi" w:cstheme="minorHAnsi"/>
          <w:b/>
          <w:color w:val="002060"/>
          <w:szCs w:val="24"/>
        </w:rPr>
      </w:pPr>
    </w:p>
    <w:p w14:paraId="7E2ECDAA" w14:textId="77777777" w:rsidR="004F6023" w:rsidRPr="00C86111" w:rsidRDefault="004F6023" w:rsidP="004F6023">
      <w:pPr>
        <w:ind w:left="360"/>
        <w:jc w:val="both"/>
        <w:rPr>
          <w:rFonts w:asciiTheme="minorHAnsi" w:hAnsiTheme="minorHAnsi" w:cstheme="minorHAnsi"/>
          <w:b/>
          <w:color w:val="002060"/>
          <w:szCs w:val="24"/>
        </w:rPr>
      </w:pPr>
    </w:p>
    <w:p w14:paraId="64950072" w14:textId="77777777" w:rsidR="004F6023" w:rsidRPr="00C86111" w:rsidRDefault="004F6023" w:rsidP="004F6023">
      <w:pPr>
        <w:ind w:left="360"/>
        <w:jc w:val="both"/>
        <w:rPr>
          <w:rFonts w:asciiTheme="minorHAnsi" w:hAnsiTheme="minorHAnsi" w:cstheme="minorHAnsi"/>
          <w:b/>
          <w:color w:val="002060"/>
          <w:szCs w:val="24"/>
        </w:rPr>
      </w:pPr>
    </w:p>
    <w:p w14:paraId="433F01D6" w14:textId="77777777" w:rsidR="004F6023" w:rsidRPr="00C86111" w:rsidRDefault="004F6023" w:rsidP="004F6023">
      <w:pPr>
        <w:ind w:left="360"/>
        <w:jc w:val="both"/>
        <w:rPr>
          <w:rFonts w:asciiTheme="minorHAnsi" w:hAnsiTheme="minorHAnsi" w:cstheme="minorHAnsi"/>
          <w:b/>
          <w:color w:val="002060"/>
          <w:szCs w:val="24"/>
        </w:rPr>
      </w:pPr>
    </w:p>
    <w:p w14:paraId="63364236" w14:textId="77777777" w:rsidR="004F6023" w:rsidRPr="00C86111" w:rsidRDefault="004F6023" w:rsidP="004F6023">
      <w:pPr>
        <w:ind w:left="360"/>
        <w:jc w:val="both"/>
        <w:rPr>
          <w:rFonts w:asciiTheme="minorHAnsi" w:hAnsiTheme="minorHAnsi" w:cstheme="minorHAnsi"/>
          <w:b/>
          <w:color w:val="002060"/>
          <w:szCs w:val="24"/>
        </w:rPr>
      </w:pPr>
    </w:p>
    <w:p w14:paraId="3396F8CB" w14:textId="77777777" w:rsidR="004F6023" w:rsidRPr="00C86111" w:rsidRDefault="004F6023" w:rsidP="004F6023">
      <w:pPr>
        <w:ind w:left="360"/>
        <w:jc w:val="both"/>
        <w:rPr>
          <w:rFonts w:asciiTheme="minorHAnsi" w:hAnsiTheme="minorHAnsi" w:cstheme="minorHAnsi"/>
          <w:b/>
          <w:color w:val="002060"/>
          <w:szCs w:val="24"/>
        </w:rPr>
      </w:pPr>
    </w:p>
    <w:p w14:paraId="41D36228" w14:textId="77777777" w:rsidR="004F6023" w:rsidRPr="00C86111" w:rsidRDefault="004F6023" w:rsidP="004F6023">
      <w:pPr>
        <w:ind w:left="360"/>
        <w:jc w:val="both"/>
        <w:rPr>
          <w:rFonts w:asciiTheme="minorHAnsi" w:hAnsiTheme="minorHAnsi" w:cstheme="minorHAnsi"/>
          <w:b/>
          <w:color w:val="002060"/>
          <w:szCs w:val="24"/>
        </w:rPr>
      </w:pPr>
    </w:p>
    <w:p w14:paraId="65696D46" w14:textId="77777777" w:rsidR="004F6023" w:rsidRPr="00C86111" w:rsidRDefault="004F6023" w:rsidP="004F6023">
      <w:pPr>
        <w:ind w:left="360"/>
        <w:jc w:val="both"/>
        <w:rPr>
          <w:rFonts w:asciiTheme="minorHAnsi" w:hAnsiTheme="minorHAnsi" w:cstheme="minorHAnsi"/>
          <w:b/>
          <w:color w:val="002060"/>
          <w:szCs w:val="24"/>
        </w:rPr>
      </w:pPr>
    </w:p>
    <w:p w14:paraId="270EE524" w14:textId="77777777" w:rsidR="004F6023" w:rsidRPr="00C86111" w:rsidRDefault="004F6023" w:rsidP="00912C4C">
      <w:pPr>
        <w:pStyle w:val="Heading1"/>
      </w:pPr>
      <w:bookmarkStart w:id="454" w:name="_Toc220541992"/>
      <w:r w:rsidRPr="00C86111">
        <w:lastRenderedPageBreak/>
        <w:t>PROCJENA NACIONALNIH POLITIKA I KAPACITETA ZA UPRAVLJANJE POPs</w:t>
      </w:r>
      <w:bookmarkEnd w:id="454"/>
      <w:r w:rsidRPr="00C86111">
        <w:t xml:space="preserve"> </w:t>
      </w:r>
    </w:p>
    <w:p w14:paraId="2A0F6452" w14:textId="77777777" w:rsidR="004F6023" w:rsidRPr="00C86111" w:rsidRDefault="004F6023" w:rsidP="008015BD">
      <w:pPr>
        <w:pStyle w:val="Heading1"/>
        <w:numPr>
          <w:ilvl w:val="0"/>
          <w:numId w:val="0"/>
        </w:numPr>
        <w:ind w:left="360" w:hanging="360"/>
      </w:pPr>
      <w:bookmarkStart w:id="455" w:name="_Toc209359978"/>
      <w:bookmarkStart w:id="456" w:name="_Toc220541993"/>
      <w:r w:rsidRPr="00C86111">
        <w:t>NACIONALNI OKVIR</w:t>
      </w:r>
      <w:bookmarkEnd w:id="455"/>
      <w:bookmarkEnd w:id="456"/>
    </w:p>
    <w:p w14:paraId="2B887263" w14:textId="77777777" w:rsidR="004F6023" w:rsidRPr="00C86111" w:rsidRDefault="004F6023" w:rsidP="004F6023">
      <w:pPr>
        <w:spacing w:before="100" w:beforeAutospacing="1" w:after="100" w:afterAutospacing="1"/>
        <w:jc w:val="both"/>
        <w:rPr>
          <w:rFonts w:asciiTheme="minorHAnsi" w:eastAsia="Times New Roman" w:hAnsiTheme="minorHAnsi" w:cstheme="minorHAnsi"/>
          <w:color w:val="auto"/>
          <w:szCs w:val="24"/>
        </w:rPr>
      </w:pPr>
      <w:r w:rsidRPr="00C86111">
        <w:rPr>
          <w:rFonts w:asciiTheme="minorHAnsi" w:eastAsia="Times New Roman" w:hAnsiTheme="minorHAnsi" w:cstheme="minorHAnsi"/>
          <w:color w:val="auto"/>
          <w:szCs w:val="24"/>
        </w:rPr>
        <w:t>Zaštita životne sredine u Crnoj Gori ostvaruje se kroz niz strateških dokumenata, zakona i planova. Glavni strateški pravci uključuju smanjenje emisija zagađujućih materija, bezbjedno upravljanje hemikalijama, kontrolu industrijskog zagađenja, održivo upravljanje otpadom i unapređenje sistema monitoringa:</w:t>
      </w:r>
    </w:p>
    <w:p w14:paraId="2C9901B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Nacionalna strategija održivog razvoja</w:t>
      </w:r>
      <w:r w:rsidRPr="00C86111">
        <w:rPr>
          <w:rFonts w:asciiTheme="minorHAnsi" w:hAnsiTheme="minorHAnsi" w:cstheme="minorHAnsi"/>
          <w:szCs w:val="24"/>
        </w:rPr>
        <w:t xml:space="preserve"> utvrđuje principe, strateške ciljeve i smjernice za dostizanje dugoročnog održivog razvoja društva do 2030, uzimajući u obzir preuzete međunarodne obaveze u skladu sa ciljevima održivog razvoja Ujedinjenih nacija i obavezama iz procesa pristupanja EU. Jedna od prioritetnih oblasti za djelovanje u kontekstu održivog razvoja odnosi se na zaštitu životne sredine, gdje je u fokusu „promocija održivog razvoja zasnovanog na zaštiti prirode, minimalnog zagađenja vazduha, zaštite kvaliteta voda i efikasno upravljanje čvrstim otpadom i otpadnim vodama, zaštita od buke u životnoj sredini, bezbjedno upravljanje hemikalijama i kontrola industrijskog zagađenja”.</w:t>
      </w:r>
    </w:p>
    <w:p w14:paraId="04E39F17" w14:textId="77777777" w:rsidR="004F6023" w:rsidRPr="00C86111" w:rsidRDefault="004F6023" w:rsidP="004F6023">
      <w:pPr>
        <w:jc w:val="both"/>
        <w:rPr>
          <w:rFonts w:asciiTheme="minorHAnsi" w:hAnsiTheme="minorHAnsi" w:cstheme="minorHAnsi"/>
          <w:szCs w:val="24"/>
        </w:rPr>
      </w:pPr>
    </w:p>
    <w:p w14:paraId="2B5AE9C5"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Nacionalna strategija upravljanja hemikalijama 2024-2026. godine</w:t>
      </w:r>
      <w:r w:rsidRPr="00C86111">
        <w:rPr>
          <w:rFonts w:asciiTheme="minorHAnsi" w:hAnsiTheme="minorHAnsi" w:cstheme="minorHAnsi"/>
          <w:szCs w:val="24"/>
        </w:rPr>
        <w:t xml:space="preserve"> daje opšte strateške smjernice u ovoj oblasti, koje će adresirati sva relevantna pitanja hemikalija koje su u širokoj upotrebi u Crnoj Gori, kao i proizvoda koji ih sadrže, uzimajući u obzir njihova opasna svojstva i stepen rizika koji one predstavljaju prilikom proizvodnje, uvoza/izvoza, skladištenja i korišćenja, sa ciljem smanjenja rizika koje hemikalije predstavljaju po zdravlje ljudi i životnu sredinu.</w:t>
      </w:r>
    </w:p>
    <w:p w14:paraId="59C6F36F" w14:textId="77777777" w:rsidR="004F6023" w:rsidRPr="00C86111" w:rsidRDefault="004F6023" w:rsidP="004F6023">
      <w:pPr>
        <w:jc w:val="both"/>
        <w:rPr>
          <w:rFonts w:asciiTheme="minorHAnsi" w:hAnsiTheme="minorHAnsi" w:cstheme="minorHAnsi"/>
          <w:szCs w:val="24"/>
        </w:rPr>
      </w:pPr>
    </w:p>
    <w:p w14:paraId="4075C8BF"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 xml:space="preserve">Strategija upravljanja otpadom Crne Gore do 2030. godine </w:t>
      </w:r>
      <w:r w:rsidRPr="00C86111">
        <w:rPr>
          <w:rFonts w:asciiTheme="minorHAnsi" w:hAnsiTheme="minorHAnsi" w:cstheme="minorHAnsi"/>
          <w:szCs w:val="24"/>
        </w:rPr>
        <w:t>definiše ciljeve kroz koje se teži uspostavljanju održivog sistema upravljanja otpadom, uključujući i otpad koji čine opasne hemikalije.</w:t>
      </w:r>
    </w:p>
    <w:p w14:paraId="01A31A43" w14:textId="77777777" w:rsidR="004F6023" w:rsidRPr="00C86111" w:rsidRDefault="004F6023" w:rsidP="004F6023">
      <w:pPr>
        <w:jc w:val="both"/>
        <w:rPr>
          <w:rFonts w:asciiTheme="minorHAnsi" w:hAnsiTheme="minorHAnsi" w:cstheme="minorHAnsi"/>
          <w:szCs w:val="24"/>
        </w:rPr>
      </w:pPr>
    </w:p>
    <w:p w14:paraId="69332BC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Nacionalna strategija cirkularne tranzicije do 2030</w:t>
      </w:r>
      <w:r w:rsidRPr="00C86111">
        <w:rPr>
          <w:rFonts w:asciiTheme="minorHAnsi" w:hAnsiTheme="minorHAnsi" w:cstheme="minorHAnsi"/>
          <w:szCs w:val="24"/>
        </w:rPr>
        <w:t>, promoviše unaprjeđenje tehnoloških procesa, potencira pitanje upravljanja otpadom, kao i podizanje svijesti javnosti o konceptu cirkularne ekonomije kao obrazcu koji karakteriše održivost.</w:t>
      </w:r>
    </w:p>
    <w:p w14:paraId="6B22FD94" w14:textId="77777777" w:rsidR="004F6023" w:rsidRPr="00C86111" w:rsidRDefault="004F6023" w:rsidP="004F6023">
      <w:pPr>
        <w:jc w:val="both"/>
        <w:rPr>
          <w:rFonts w:asciiTheme="minorHAnsi" w:hAnsiTheme="minorHAnsi" w:cstheme="minorHAnsi"/>
          <w:szCs w:val="24"/>
        </w:rPr>
      </w:pPr>
    </w:p>
    <w:p w14:paraId="38671A5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Nacionalni plan za održivu upotrebu sredstava za zaštitu bilja za period 2021-2026</w:t>
      </w:r>
      <w:r w:rsidRPr="00C86111">
        <w:rPr>
          <w:rFonts w:asciiTheme="minorHAnsi" w:hAnsiTheme="minorHAnsi" w:cstheme="minorHAnsi"/>
          <w:szCs w:val="24"/>
        </w:rPr>
        <w:t xml:space="preserve"> adresira pitanja održivog korišćenja sredstava za zaštitu bilja, prevencije štetnog djelovanja sredstava za zaštitu bilja na zdravlje ljudi, kao i mjere koje doprinose da se potencijalni negativni uticaj na životnu sredinu svede na minimalni nivo, uključujući i specifičnu edukaciju poljoprivrednika i primjenu principa integralnog suzbijanja štetnih organizama radi povećanja upotrebe alternativnih načina kontrole štetočina u poljoprivrednoj proizvodnji uz smanjenje upotrebe hemijskih sredstava za zaštitu bilja.</w:t>
      </w:r>
    </w:p>
    <w:p w14:paraId="666A53F2" w14:textId="77777777" w:rsidR="004F6023" w:rsidRPr="00C86111" w:rsidRDefault="004F6023" w:rsidP="004F6023">
      <w:pPr>
        <w:jc w:val="both"/>
        <w:rPr>
          <w:rFonts w:asciiTheme="minorHAnsi" w:hAnsiTheme="minorHAnsi" w:cstheme="minorHAnsi"/>
          <w:szCs w:val="24"/>
        </w:rPr>
      </w:pPr>
    </w:p>
    <w:p w14:paraId="18234AAD"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lastRenderedPageBreak/>
        <w:t>Državni plan upravljanja otpadom za period 2024.-2028. godine</w:t>
      </w:r>
      <w:r w:rsidRPr="00C86111">
        <w:rPr>
          <w:rFonts w:asciiTheme="minorHAnsi" w:hAnsiTheme="minorHAnsi" w:cstheme="minorHAnsi"/>
          <w:szCs w:val="24"/>
        </w:rPr>
        <w:t>, sastoji se od strateškog planiranja zemlje u  pogledu održivog upravljanje otpadom. U okviru njega obuvaćeno je i upravljanje opasnog otpadam koji uključuje PCB otpad i POPs otpad.</w:t>
      </w:r>
    </w:p>
    <w:p w14:paraId="1CF48792" w14:textId="77777777" w:rsidR="004F6023" w:rsidRPr="00C86111" w:rsidRDefault="004F6023" w:rsidP="004F6023">
      <w:pPr>
        <w:jc w:val="both"/>
        <w:rPr>
          <w:rFonts w:asciiTheme="minorHAnsi" w:hAnsiTheme="minorHAnsi" w:cstheme="minorHAnsi"/>
          <w:szCs w:val="24"/>
        </w:rPr>
      </w:pPr>
    </w:p>
    <w:p w14:paraId="6C01B2C5"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Nacionalna Strategija upravljanja kvalitetom vazduha sa Akcionim planom za period 2013-2016. godine</w:t>
      </w:r>
      <w:r w:rsidRPr="00C86111">
        <w:rPr>
          <w:rFonts w:asciiTheme="minorHAnsi" w:hAnsiTheme="minorHAnsi" w:cstheme="minorHAnsi"/>
          <w:szCs w:val="24"/>
        </w:rPr>
        <w:t xml:space="preserve"> indentifikuje mjere za smanjenje emisija zagađujućih materija i to emisije dugotrajnih zagađujućih organskih materija (POPs). Crna Gora je potvrdila I Protokol o dugotrajnim organskim zagađujućim materijama (POPs Protokol) iz  1998. Godine, koji obuhvata listu od 16 dugotrajnih organskih zagađujućih materija – 11 pesticida, 2 industrijske hemikalije i 3 štetna nusproizvoda. Cilj protokola je eliminacija  ispuštanja ovih supstanci u vazduh. Protokol obavezuje strane potpisnice da smanje emisije dioksina, furana, policikličnih aromatičnih ugljovodonika i heksahlorobenzena  (HCB). U toku je procedura izrade nove Nacionalne Strategije upravljanja kvalitetom vazduha.</w:t>
      </w:r>
    </w:p>
    <w:p w14:paraId="18341B64" w14:textId="77777777" w:rsidR="004F6023" w:rsidRPr="00C86111" w:rsidRDefault="004F6023" w:rsidP="004F6023">
      <w:pPr>
        <w:jc w:val="both"/>
        <w:rPr>
          <w:rFonts w:asciiTheme="minorHAnsi" w:hAnsiTheme="minorHAnsi" w:cstheme="minorHAnsi"/>
          <w:szCs w:val="24"/>
        </w:rPr>
      </w:pPr>
    </w:p>
    <w:p w14:paraId="220B8D7E"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Strategija razvoja poljoprivrede i ruralnih područja 2023-2028</w:t>
      </w:r>
      <w:r w:rsidRPr="00C86111">
        <w:rPr>
          <w:rFonts w:asciiTheme="minorHAnsi" w:hAnsiTheme="minorHAnsi" w:cstheme="minorHAnsi"/>
          <w:szCs w:val="24"/>
        </w:rPr>
        <w:t xml:space="preserve"> predstavlja razvojnu strategiju Crne Gore kojom se utvrđuju pravci razvoja poljoprivrede i ruralnih područja za upravljanje poljoprivrednim resursima na dugoročno održiv način, obezbjeđivanje stabilne ponude bezbjedne hrane, prihvatljive u pogledu kvaliteta i cijena, uz očuvanje životne sredine, unapređivanje životnog standarda ruralnog stanovništva i ukupnog ruralnog razvoja, uz očuvanje tradicionalnih vrijednosti, te jačanje konkurentnosti proizvođača hrane.</w:t>
      </w:r>
    </w:p>
    <w:p w14:paraId="303FDD29" w14:textId="77777777" w:rsidR="004F6023" w:rsidRPr="00C86111" w:rsidRDefault="004F6023" w:rsidP="004F6023">
      <w:pPr>
        <w:jc w:val="both"/>
        <w:rPr>
          <w:rFonts w:asciiTheme="minorHAnsi" w:hAnsiTheme="minorHAnsi" w:cstheme="minorHAnsi"/>
          <w:szCs w:val="24"/>
        </w:rPr>
      </w:pPr>
    </w:p>
    <w:p w14:paraId="1D144530"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Nacionalni plan za održivu upotrebu sredstava za zaštitu bilja od 2021. do 2026. godine</w:t>
      </w:r>
      <w:r w:rsidRPr="00C86111">
        <w:rPr>
          <w:rFonts w:asciiTheme="minorHAnsi" w:hAnsiTheme="minorHAnsi" w:cstheme="minorHAnsi"/>
          <w:szCs w:val="24"/>
        </w:rPr>
        <w:t xml:space="preserve"> je plan koji unaprjeđuje plan iz 2016. godine i koji u petogodišnjem periodu treba da obezbijedi da se štetno djelovanje sredstava za zaštitu bilja na zdravlje ljudi svede na najmanju mjeru, da se negativni uticaj na životnu sredinu svede na prihvatljiv nivo i da se sredstva za zaštitu bilja koriste na održiv način. Nacionalni plan za održivu upotrebu pesticida Sl. list CG, broj  115/2021 definisao je i aktivnosti o prikupljanju statističkih podataka o upotrebi/uvozu pesticida, obzirom na činjenicu da Crna Gora nema proizvodnju pesticida i da su podaci o uvozu relevantni podaci i za uvoz i za upotrebu pesticida.</w:t>
      </w:r>
    </w:p>
    <w:p w14:paraId="2DAF0D5E" w14:textId="77777777" w:rsidR="004F6023" w:rsidRPr="00C86111" w:rsidRDefault="004F6023" w:rsidP="004F6023">
      <w:pPr>
        <w:jc w:val="both"/>
        <w:rPr>
          <w:rFonts w:asciiTheme="minorHAnsi" w:hAnsiTheme="minorHAnsi" w:cstheme="minorHAnsi"/>
          <w:szCs w:val="24"/>
        </w:rPr>
      </w:pPr>
    </w:p>
    <w:p w14:paraId="2FA09B3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Strategija upravljanja vodama Crne Gore do 2035. godine</w:t>
      </w:r>
      <w:r w:rsidRPr="00C86111">
        <w:rPr>
          <w:rFonts w:asciiTheme="minorHAnsi" w:hAnsiTheme="minorHAnsi" w:cstheme="minorHAnsi"/>
          <w:szCs w:val="24"/>
        </w:rPr>
        <w:t xml:space="preserve"> ima za cilj upravljanje vodama uz ostvarivanje jedinstvenog i potpuno usklađenog vodnog režima na području Crne Gore, na svakom od njena dva riječna sliva – Jadranskom i Dunavskom (u skladu sa </w:t>
      </w:r>
    </w:p>
    <w:p w14:paraId="3F6EDB6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članom 21 Zakona o vodama). Upravljanje POPs supstancama povezano je i sa zaštitom vodnih resursa, zbog čega je važno osloniti se na mjere definisane u nacionalnoj Strategiji upravljanja vodama. Strategija predviđa integrisani pristup zaštiti površinskih i podzemnih voda, uključujući sprječavanje i kontrolu zagađenja opasnim hemikalijama kao što su POPs.</w:t>
      </w:r>
    </w:p>
    <w:p w14:paraId="1AE2E8A4" w14:textId="77777777" w:rsidR="004F6023" w:rsidRPr="00C86111" w:rsidRDefault="004F6023" w:rsidP="004F6023">
      <w:pPr>
        <w:jc w:val="both"/>
        <w:rPr>
          <w:rFonts w:asciiTheme="minorHAnsi" w:hAnsiTheme="minorHAnsi" w:cstheme="minorHAnsi"/>
          <w:szCs w:val="24"/>
        </w:rPr>
      </w:pPr>
    </w:p>
    <w:p w14:paraId="0E038B3C" w14:textId="77777777" w:rsidR="004F6023" w:rsidRPr="00C86111" w:rsidRDefault="004F6023" w:rsidP="004F6023">
      <w:pPr>
        <w:jc w:val="both"/>
        <w:rPr>
          <w:rFonts w:asciiTheme="minorHAnsi" w:hAnsiTheme="minorHAnsi" w:cstheme="minorHAnsi"/>
          <w:b/>
          <w:bCs/>
          <w:color w:val="002060"/>
          <w:szCs w:val="24"/>
        </w:rPr>
      </w:pPr>
    </w:p>
    <w:p w14:paraId="3901445B" w14:textId="77777777" w:rsidR="004F6023" w:rsidRPr="00C86111" w:rsidRDefault="004F6023" w:rsidP="004F6023">
      <w:pPr>
        <w:jc w:val="both"/>
        <w:rPr>
          <w:rFonts w:asciiTheme="minorHAnsi" w:hAnsiTheme="minorHAnsi" w:cstheme="minorHAnsi"/>
          <w:b/>
          <w:bCs/>
          <w:color w:val="002060"/>
          <w:szCs w:val="24"/>
        </w:rPr>
      </w:pPr>
    </w:p>
    <w:p w14:paraId="00A81C72" w14:textId="77777777" w:rsidR="004F6023" w:rsidRPr="00C86111" w:rsidRDefault="004F6023" w:rsidP="004F6023">
      <w:pPr>
        <w:jc w:val="both"/>
        <w:rPr>
          <w:rFonts w:asciiTheme="minorHAnsi" w:hAnsiTheme="minorHAnsi" w:cstheme="minorHAnsi"/>
          <w:b/>
          <w:bCs/>
          <w:color w:val="002060"/>
          <w:szCs w:val="24"/>
        </w:rPr>
      </w:pPr>
    </w:p>
    <w:p w14:paraId="4C57FC88" w14:textId="77777777" w:rsidR="004F6023" w:rsidRPr="00C86111" w:rsidRDefault="004F6023" w:rsidP="004F6023">
      <w:pPr>
        <w:jc w:val="both"/>
        <w:rPr>
          <w:rFonts w:asciiTheme="minorHAnsi" w:hAnsiTheme="minorHAnsi" w:cstheme="minorHAnsi"/>
          <w:b/>
          <w:bCs/>
          <w:color w:val="002060"/>
          <w:szCs w:val="24"/>
        </w:rPr>
      </w:pPr>
    </w:p>
    <w:p w14:paraId="667FD34F" w14:textId="77777777" w:rsidR="004F6023" w:rsidRPr="00C86111" w:rsidRDefault="004F6023" w:rsidP="004F6023">
      <w:pPr>
        <w:jc w:val="both"/>
        <w:rPr>
          <w:rFonts w:asciiTheme="minorHAnsi" w:hAnsiTheme="minorHAnsi" w:cstheme="minorHAnsi"/>
          <w:b/>
          <w:bCs/>
          <w:color w:val="002060"/>
          <w:szCs w:val="24"/>
        </w:rPr>
      </w:pPr>
    </w:p>
    <w:p w14:paraId="50DA6433" w14:textId="77777777" w:rsidR="004F6023" w:rsidRPr="00C86111" w:rsidRDefault="004F6023" w:rsidP="004F6023">
      <w:pPr>
        <w:jc w:val="both"/>
        <w:rPr>
          <w:rFonts w:asciiTheme="minorHAnsi" w:hAnsiTheme="minorHAnsi" w:cstheme="minorHAnsi"/>
          <w:b/>
          <w:bCs/>
          <w:color w:val="002060"/>
          <w:szCs w:val="24"/>
        </w:rPr>
      </w:pPr>
    </w:p>
    <w:p w14:paraId="2BAA8ED4" w14:textId="1A6DF260" w:rsidR="004F6023" w:rsidRPr="008015BD" w:rsidRDefault="004F6023" w:rsidP="009756DA">
      <w:pPr>
        <w:pStyle w:val="Heading1"/>
        <w:jc w:val="both"/>
        <w:rPr>
          <w:rFonts w:asciiTheme="minorHAnsi" w:hAnsiTheme="minorHAnsi" w:cstheme="minorHAnsi"/>
          <w:szCs w:val="24"/>
        </w:rPr>
      </w:pPr>
      <w:bookmarkStart w:id="457" w:name="_Toc220541994"/>
      <w:r w:rsidRPr="00C86111">
        <w:lastRenderedPageBreak/>
        <w:t>PROCJENA KAPACITETA</w:t>
      </w:r>
      <w:bookmarkEnd w:id="457"/>
    </w:p>
    <w:p w14:paraId="493630BC" w14:textId="77777777" w:rsidR="004F6023" w:rsidRPr="00C86111" w:rsidRDefault="004F6023" w:rsidP="00004F34">
      <w:pPr>
        <w:pStyle w:val="Heading1"/>
        <w:numPr>
          <w:ilvl w:val="1"/>
          <w:numId w:val="238"/>
        </w:numPr>
      </w:pPr>
      <w:bookmarkStart w:id="458" w:name="_Toc209359980"/>
      <w:bookmarkStart w:id="459" w:name="_Toc220541995"/>
      <w:r w:rsidRPr="00C86111">
        <w:t>Nadležne institucije</w:t>
      </w:r>
      <w:bookmarkEnd w:id="458"/>
      <w:bookmarkEnd w:id="459"/>
    </w:p>
    <w:p w14:paraId="3EF86E58" w14:textId="77777777" w:rsidR="004F6023" w:rsidRPr="00C86111" w:rsidRDefault="004F6023" w:rsidP="004F6023">
      <w:pPr>
        <w:jc w:val="both"/>
        <w:rPr>
          <w:rFonts w:asciiTheme="minorHAnsi" w:hAnsiTheme="minorHAnsi" w:cstheme="minorHAnsi"/>
          <w:color w:val="auto"/>
          <w:szCs w:val="24"/>
        </w:rPr>
      </w:pPr>
    </w:p>
    <w:p w14:paraId="5BADFBD6"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b/>
          <w:color w:val="auto"/>
          <w:szCs w:val="24"/>
        </w:rPr>
        <w:t>Ministarstvo ekologije, održivog razvoja i razvoja sjevera</w:t>
      </w:r>
      <w:r w:rsidRPr="00C86111">
        <w:rPr>
          <w:rFonts w:asciiTheme="minorHAnsi" w:hAnsiTheme="minorHAnsi" w:cstheme="minorHAnsi"/>
          <w:color w:val="auto"/>
          <w:szCs w:val="24"/>
        </w:rPr>
        <w:t xml:space="preserve"> je organ nadležan za kreiranje politika u oblasti upravljanja POPs supstancama i vrši nadzor nad njihovoj implementaciji. U okviru Ministarstva sada se nalazi i ekološka inspekcijska služba koja vrš nadzor nad sprovođenjem zakona iz oblasti životne sredine. U prethodnom periodu je inspekcija radila kao nezavisan organ, odnosno imala je svoju Upravu za inekcijske poslove, ali izmjenama Zakona o inspekcijskom nadzoru određeno je da inspekcijski nadzor vrše organi državne uprave određeni zakonima kojima su uređene te oblasti.</w:t>
      </w:r>
    </w:p>
    <w:p w14:paraId="3CA320BA" w14:textId="77777777" w:rsidR="004F6023" w:rsidRPr="00C86111" w:rsidRDefault="004F6023" w:rsidP="004F6023">
      <w:pPr>
        <w:jc w:val="both"/>
        <w:rPr>
          <w:rFonts w:asciiTheme="minorHAnsi" w:hAnsiTheme="minorHAnsi" w:cstheme="minorHAnsi"/>
          <w:color w:val="auto"/>
          <w:szCs w:val="24"/>
        </w:rPr>
      </w:pPr>
    </w:p>
    <w:p w14:paraId="592B4D32"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b/>
          <w:color w:val="auto"/>
          <w:szCs w:val="24"/>
        </w:rPr>
        <w:t>Ministarstvo poljoprivrede, vodoprivrede i šumarstva</w:t>
      </w:r>
      <w:r w:rsidRPr="00C86111">
        <w:rPr>
          <w:rFonts w:asciiTheme="minorHAnsi" w:hAnsiTheme="minorHAnsi" w:cstheme="minorHAnsi"/>
          <w:color w:val="auto"/>
          <w:szCs w:val="24"/>
        </w:rPr>
        <w:t xml:space="preserve"> vrši poslove koji se odnose na: mjere tekuće i razvojne politike u poljoprivredi; zaštitu, iskorišćavanje i unaprjeđivanje poljoprivrednog zemljišta; biljnu proizvodnju (ratarstvo, voćarstvo, vinogradarstvo i zaštitu bilja); stočarstvo (proizvodnja, uzgoj, zaštita i razvoj svih vrsta stoke); primjenu savremene tehnike i tehnologije u poljoprivredi; naučno-tehnološki razvoj; kreditiranje tekuće proizvodnje i razvoja; zaštitu bilja od biljnih bolesti i štetočina; režim korišćenja voda i vodosnabdijevanja, zaštitu voda od zagađenja, korišćenje vodnih resursa; zdravstvenu zaštitu životinja, suzbijanje i otklanjanje zaraznih bolesti životinja; kao i druge poslove koji su mu određeni u nadležnost. </w:t>
      </w:r>
    </w:p>
    <w:p w14:paraId="6D3D57E5" w14:textId="77777777" w:rsidR="004F6023" w:rsidRPr="00C86111" w:rsidRDefault="004F6023" w:rsidP="004F6023">
      <w:pPr>
        <w:jc w:val="both"/>
        <w:rPr>
          <w:rFonts w:asciiTheme="minorHAnsi" w:hAnsiTheme="minorHAnsi" w:cstheme="minorHAnsi"/>
          <w:color w:val="auto"/>
          <w:szCs w:val="24"/>
        </w:rPr>
      </w:pPr>
    </w:p>
    <w:p w14:paraId="6561D923"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b/>
          <w:color w:val="auto"/>
          <w:szCs w:val="24"/>
        </w:rPr>
        <w:t>Ministarstvo rada i socijalnog staranja</w:t>
      </w:r>
      <w:r w:rsidRPr="00C86111">
        <w:rPr>
          <w:rFonts w:asciiTheme="minorHAnsi" w:hAnsiTheme="minorHAnsi" w:cstheme="minorHAnsi"/>
          <w:color w:val="auto"/>
          <w:szCs w:val="24"/>
        </w:rPr>
        <w:t xml:space="preserve"> vrši poslove koji se odnose, između ostalog, na zaštitu i zdravlje na radu. </w:t>
      </w:r>
    </w:p>
    <w:p w14:paraId="75D3F1BF" w14:textId="77777777" w:rsidR="004F6023" w:rsidRPr="00C86111" w:rsidRDefault="004F6023" w:rsidP="004F6023">
      <w:pPr>
        <w:jc w:val="both"/>
        <w:rPr>
          <w:rFonts w:asciiTheme="minorHAnsi" w:hAnsiTheme="minorHAnsi" w:cstheme="minorHAnsi"/>
          <w:color w:val="auto"/>
          <w:szCs w:val="24"/>
        </w:rPr>
      </w:pPr>
    </w:p>
    <w:p w14:paraId="5EEE2B04"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b/>
          <w:color w:val="auto"/>
          <w:szCs w:val="24"/>
        </w:rPr>
        <w:t>Ministarstvo zdravlja</w:t>
      </w:r>
      <w:r w:rsidRPr="00C86111">
        <w:rPr>
          <w:rFonts w:asciiTheme="minorHAnsi" w:hAnsiTheme="minorHAnsi" w:cstheme="minorHAnsi"/>
          <w:color w:val="auto"/>
          <w:szCs w:val="24"/>
        </w:rPr>
        <w:t xml:space="preserve"> vrši poslove koji se odnose, između ostalog, na: praćenje stanja i strateško planiranje sistema zdravstvene zaštite, mjera za obezbjeđivanje kvaliteta, bezbjednosti i efikasnosti ljekova; mjere za prevenciju i sprečavanje zloupotrebe droga, praćenje i kontrolu prometa prekursora, postupanje sa biološkim uzorcima uzetim u medicinske svrhe i naučno istraživanje; medicinski otpad, kao i druge poslove.</w:t>
      </w:r>
    </w:p>
    <w:p w14:paraId="71F51164" w14:textId="77777777" w:rsidR="004F6023" w:rsidRPr="00C86111" w:rsidRDefault="004F6023" w:rsidP="004F6023">
      <w:pPr>
        <w:jc w:val="both"/>
        <w:rPr>
          <w:rFonts w:asciiTheme="minorHAnsi" w:hAnsiTheme="minorHAnsi" w:cstheme="minorHAnsi"/>
          <w:color w:val="auto"/>
          <w:szCs w:val="24"/>
        </w:rPr>
      </w:pPr>
    </w:p>
    <w:p w14:paraId="61A91A78"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b/>
          <w:color w:val="auto"/>
          <w:szCs w:val="24"/>
        </w:rPr>
        <w:t>Agencija za zaštitu životne sredine</w:t>
      </w:r>
      <w:r w:rsidRPr="00C86111">
        <w:rPr>
          <w:rFonts w:asciiTheme="minorHAnsi" w:hAnsiTheme="minorHAnsi" w:cstheme="minorHAnsi"/>
          <w:color w:val="auto"/>
          <w:szCs w:val="24"/>
        </w:rPr>
        <w:t xml:space="preserve"> koja je zadužena za inventarizaciju, izvještavanje i monitoring u životnoj sredini.</w:t>
      </w:r>
    </w:p>
    <w:p w14:paraId="2F695239" w14:textId="77777777" w:rsidR="004F6023" w:rsidRPr="00C86111" w:rsidRDefault="004F6023" w:rsidP="004F6023">
      <w:pPr>
        <w:jc w:val="both"/>
        <w:rPr>
          <w:rFonts w:asciiTheme="minorHAnsi" w:hAnsiTheme="minorHAnsi" w:cstheme="minorHAnsi"/>
          <w:color w:val="auto"/>
          <w:szCs w:val="24"/>
        </w:rPr>
      </w:pPr>
    </w:p>
    <w:p w14:paraId="76842C5F"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b/>
          <w:color w:val="auto"/>
          <w:szCs w:val="24"/>
        </w:rPr>
        <w:t>Uprava za bezdjednost hrane, veterinu i fitosanitarne poslove</w:t>
      </w:r>
      <w:r w:rsidRPr="00C86111">
        <w:rPr>
          <w:rFonts w:asciiTheme="minorHAnsi" w:hAnsiTheme="minorHAnsi" w:cstheme="minorHAnsi"/>
          <w:color w:val="auto"/>
          <w:szCs w:val="24"/>
        </w:rPr>
        <w:t xml:space="preserve"> vrši upravne i sa njima povezane stručne poslove koji se odnose između ostalog i na: sredstva za zaštitu bilja; registraciju sredstava za zaštitu bilja; ocjenjivanje aktivnih materija i sredstava za zaštitu bilja; program monitoringa postregistracijske kontrole sredstava za zaštitu bilja; priznavanje registracije sredstava za zaštitu bilja; pripremu stručnih osnova za izradu propisa iz oblasti sredstava za zaštitu bilja; praćenje stanja u oblasti prometa sredstva za zaštitu bilja; pripremu i sprovođenje mjera zaštite; pripremu, koordinaciju i praćenje propisanih programa vezanih za mjere i pravilnu upotrebu sredstava za zaštitu bilja kao i sprovođenje programa; uvođenje načela dobre poljoprivredne prakse i integralne zaštite bilja; pripremu i koordinaciju poslova vezanih za rezidue sredstava za zaštitu </w:t>
      </w:r>
      <w:r w:rsidRPr="00C86111">
        <w:rPr>
          <w:rFonts w:asciiTheme="minorHAnsi" w:hAnsiTheme="minorHAnsi" w:cstheme="minorHAnsi"/>
          <w:color w:val="auto"/>
          <w:szCs w:val="24"/>
        </w:rPr>
        <w:lastRenderedPageBreak/>
        <w:t>bilja i sprovođenje programa praćenja (monitoringa) rezidua sredstava za zaštitu bilja u hrani, na bilju ili biljnim proizvodima, ili u bilju ili biljnim proizvodima.</w:t>
      </w:r>
    </w:p>
    <w:p w14:paraId="47A72648" w14:textId="77777777" w:rsidR="004F6023" w:rsidRPr="00C86111" w:rsidRDefault="004F6023" w:rsidP="004F6023">
      <w:pPr>
        <w:jc w:val="both"/>
        <w:rPr>
          <w:rFonts w:asciiTheme="minorHAnsi" w:hAnsiTheme="minorHAnsi" w:cstheme="minorHAnsi"/>
          <w:color w:val="auto"/>
          <w:szCs w:val="24"/>
        </w:rPr>
      </w:pPr>
    </w:p>
    <w:p w14:paraId="7274760A"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b/>
          <w:color w:val="auto"/>
          <w:szCs w:val="24"/>
        </w:rPr>
        <w:t>Uprava carina</w:t>
      </w:r>
      <w:r w:rsidRPr="00C86111">
        <w:rPr>
          <w:rFonts w:asciiTheme="minorHAnsi" w:hAnsiTheme="minorHAnsi" w:cstheme="minorHAnsi"/>
          <w:color w:val="auto"/>
          <w:szCs w:val="24"/>
        </w:rPr>
        <w:t xml:space="preserve"> vrši kontrolu uvoza, izvoza i tranzita hemikalija, shodno ovlašćenju iz Zakona o hemikalijama i nadležnostima iz oblasti carinskog sistema.</w:t>
      </w:r>
    </w:p>
    <w:p w14:paraId="78E14E52" w14:textId="77777777" w:rsidR="004F6023" w:rsidRPr="00C86111" w:rsidRDefault="004F6023" w:rsidP="004F6023">
      <w:pPr>
        <w:jc w:val="both"/>
        <w:rPr>
          <w:rFonts w:asciiTheme="minorHAnsi" w:hAnsiTheme="minorHAnsi" w:cstheme="minorHAnsi"/>
          <w:color w:val="auto"/>
          <w:szCs w:val="24"/>
        </w:rPr>
      </w:pPr>
    </w:p>
    <w:p w14:paraId="7686A72E"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b/>
          <w:color w:val="auto"/>
          <w:szCs w:val="24"/>
        </w:rPr>
        <w:t>Centar za ekotoksikološka ispitivanja</w:t>
      </w:r>
      <w:r w:rsidRPr="00C86111">
        <w:rPr>
          <w:rFonts w:asciiTheme="minorHAnsi" w:hAnsiTheme="minorHAnsi" w:cstheme="minorHAnsi"/>
          <w:color w:val="auto"/>
          <w:szCs w:val="24"/>
        </w:rPr>
        <w:t xml:space="preserve"> zadužen je za poslove laboratorijskog ispitivanja POPs u svim segmentima životne sredine. Centar za ekotoksikološka ispitivanja ovlašćen je za laboratorijska ispitivanja sredstava za zaštitu bilja i rezidua sredstava za zaštitu bilja u hrani, dok se istraživanja efekata upotrebe pesticida u veterini ne obavljaju u Crnoj Gori.</w:t>
      </w:r>
    </w:p>
    <w:p w14:paraId="26C8989B" w14:textId="77777777" w:rsidR="004F6023" w:rsidRPr="00C86111" w:rsidRDefault="004F6023" w:rsidP="004F6023">
      <w:pPr>
        <w:jc w:val="both"/>
        <w:rPr>
          <w:rFonts w:asciiTheme="minorHAnsi" w:hAnsiTheme="minorHAnsi" w:cstheme="minorHAnsi"/>
          <w:color w:val="auto"/>
          <w:szCs w:val="24"/>
        </w:rPr>
      </w:pPr>
    </w:p>
    <w:p w14:paraId="789346C0"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b/>
          <w:color w:val="auto"/>
          <w:szCs w:val="24"/>
        </w:rPr>
        <w:t>Biotehnički fakultet u Podgorici</w:t>
      </w:r>
      <w:r w:rsidRPr="00C86111">
        <w:rPr>
          <w:rFonts w:asciiTheme="minorHAnsi" w:hAnsiTheme="minorHAnsi" w:cstheme="minorHAnsi"/>
          <w:color w:val="auto"/>
          <w:szCs w:val="24"/>
        </w:rPr>
        <w:t xml:space="preserve"> nadležan je za ispitivanje biološke efikasnosti sredstva za zaštitu bilja koja se upotrebljavaju u području poljoprivrede. </w:t>
      </w:r>
    </w:p>
    <w:p w14:paraId="450E28CA" w14:textId="77777777" w:rsidR="004F6023" w:rsidRPr="00C86111" w:rsidRDefault="004F6023" w:rsidP="004F6023">
      <w:pPr>
        <w:jc w:val="both"/>
        <w:rPr>
          <w:rFonts w:asciiTheme="minorHAnsi" w:hAnsiTheme="minorHAnsi" w:cstheme="minorHAnsi"/>
          <w:color w:val="auto"/>
          <w:szCs w:val="24"/>
        </w:rPr>
      </w:pPr>
    </w:p>
    <w:p w14:paraId="626C997C" w14:textId="06F80959"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b/>
          <w:color w:val="auto"/>
          <w:szCs w:val="24"/>
        </w:rPr>
        <w:t>Uprava za statistiku Crne Gore - MONSTAT</w:t>
      </w:r>
      <w:r w:rsidRPr="00C86111">
        <w:rPr>
          <w:rFonts w:asciiTheme="minorHAnsi" w:hAnsiTheme="minorHAnsi" w:cstheme="minorHAnsi"/>
          <w:color w:val="auto"/>
          <w:szCs w:val="24"/>
        </w:rPr>
        <w:t xml:space="preserve"> je nadležno tijelo za proizvodnju zvanične statistike, vrši poslove koji se odnose na: organizaciju i sprovođenje statističkih istraživanja; prikupljanje, obradu, statističku analizu i objavljivanje statističkih podataka; izradu metodologija statističkih istraživanja; izdavanje publikacija; primjenu statističkih standarda; razvijanje statističkog informacionog sistema u saradnji sa organom državne uprave nadležnim za informaciono društvo i druge poslove.</w:t>
      </w:r>
    </w:p>
    <w:p w14:paraId="3B4F2B54" w14:textId="77777777" w:rsidR="004F6023" w:rsidRPr="00C86111" w:rsidRDefault="004F6023" w:rsidP="00004F34">
      <w:pPr>
        <w:pStyle w:val="Heading1"/>
        <w:numPr>
          <w:ilvl w:val="1"/>
          <w:numId w:val="238"/>
        </w:numPr>
      </w:pPr>
      <w:bookmarkStart w:id="460" w:name="_Toc209359982"/>
      <w:bookmarkStart w:id="461" w:name="_Toc220541996"/>
      <w:r w:rsidRPr="00C86111">
        <w:t>Administrativni  kapaciteti:</w:t>
      </w:r>
      <w:bookmarkEnd w:id="460"/>
      <w:bookmarkEnd w:id="461"/>
    </w:p>
    <w:p w14:paraId="673DFB92" w14:textId="77777777" w:rsidR="004F6023" w:rsidRPr="00C86111" w:rsidRDefault="004F6023" w:rsidP="004F6023">
      <w:pPr>
        <w:jc w:val="both"/>
        <w:rPr>
          <w:rFonts w:asciiTheme="minorHAnsi" w:hAnsiTheme="minorHAnsi" w:cstheme="minorHAnsi"/>
          <w:color w:val="auto"/>
          <w:szCs w:val="24"/>
        </w:rPr>
      </w:pPr>
    </w:p>
    <w:p w14:paraId="4FE909DF"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Na poslovima upravljanja hemikalijama u Ministarstvu ekologije, održivog razvoja i razvoja sjevera je zaposleno 2, a u Agenciji za zaštitu životne sredine zaposleno 3 državna službenika, odnosno službenica. Takođe, Odjeljenje za ekološku inspekciju, koja se nalazi u okviru Ministarstva ekologije, održivog razvoja i razvoja sjevera ima nedovoljan broj zaposlenih ekoloških inspektora i inspektorki, s obzirom da Odjeljenje za ekološku inspekciju broji 6 inspektora i inspektorki od čega je 5 zaduženo za kompletnu oblast zaštite životne sredine, a na radnom mjestu inspektora za hemikalije je zaposlena 1 inspektorka. Dodatno, u nadzor nad hemikalijama i biocidnim proizvodima prilikom uvoza i na unutrašnjem tržištu uključeno je i 33 sanitarnih inspektora i inspektorki, uz druge poslove iz svoje nadležnosti, a za određene inspekcijske poslove u vezi sa biocidnim proizvodima ovlašćenja ima i 17 fitosanitarnih i 16 veterinarskih inspektora i inspektorki uz druge poslove iz nadležnosti Uprave za bezbjednost hrane,  veterinu I fitosanitarne poslove.</w:t>
      </w:r>
    </w:p>
    <w:p w14:paraId="5BB0EAD9" w14:textId="025F8D29" w:rsidR="004F6023" w:rsidRPr="00C86111" w:rsidRDefault="007A23C1" w:rsidP="00EA6904">
      <w:pPr>
        <w:pStyle w:val="Heading3"/>
      </w:pPr>
      <w:bookmarkStart w:id="462" w:name="_Toc220541997"/>
      <w:r w:rsidRPr="00C86111">
        <w:t>Izazovi</w:t>
      </w:r>
      <w:bookmarkEnd w:id="462"/>
    </w:p>
    <w:p w14:paraId="2D2E5B94" w14:textId="77777777" w:rsidR="004F6023" w:rsidRPr="00C86111" w:rsidRDefault="004F6023" w:rsidP="004F6023">
      <w:pPr>
        <w:jc w:val="both"/>
        <w:rPr>
          <w:rFonts w:asciiTheme="minorHAnsi" w:hAnsiTheme="minorHAnsi" w:cstheme="minorHAnsi"/>
          <w:color w:val="auto"/>
          <w:szCs w:val="24"/>
        </w:rPr>
      </w:pPr>
    </w:p>
    <w:p w14:paraId="667C00F3"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U okviru ključnih institucija nadležnih za upravljanje POPs prisutan je značajan nedostatak administrativnog i stručnog kapaciteta. Ograničen broj zaposlenih u institucijama poput Agencije za zaštitu životne sredine (AZŽS) i Ministarstva ekologije otežava efikasnu implementaciju propisa. Iako su postojali planovi za povećanje broja zaposlenih, u praksi ti ciljevi nisu ostvareni, što dodatno opterećuje postojeći tim.</w:t>
      </w:r>
    </w:p>
    <w:p w14:paraId="3E3D4F5B"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Ograničeni budžet predstavlja dodatni izazov, jer usporava zapošljavanje novog kadra, održavanje stručnih obuka i edukaciju zaposlenih, kao i angažovanje vanjskih eksperata za specijalizovane kurseve.</w:t>
      </w:r>
    </w:p>
    <w:p w14:paraId="511A312C"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Iako su obuke i edukacije organizovane u saradnji sa Evropskom agencijom za hemikalije (ECHA), logistička koordinacija i održavanje kontinuirane podrške od međunarodnih partnera predstavljaju izazov. Postoje redovne radionice, ali je neophodno osigurati stalnu prisutnost i aktivno angažovanje stručnjaka za obuke, uz sistematsko praćenje postignutih rezultata. Evaluacija efikasnosti obuka i njihova prilagodba novim zakonodavnim i međunarodnim standardima također je ključna.</w:t>
      </w:r>
    </w:p>
    <w:p w14:paraId="74DD3A06"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Poseban problem predstavlja nedostatak obučenih inspektora za kontrolu POPs supstanci na tržištu i u upravljanju otpadom, kao i nedostatak stručnog kadra u lokalnim samoupravama, što ograničava sveobuhvatnu primjenu propisa i nadzor nad ovim supstancama.</w:t>
      </w:r>
    </w:p>
    <w:p w14:paraId="5BBF2EB0" w14:textId="77777777" w:rsidR="004F6023" w:rsidRPr="00C86111" w:rsidRDefault="004F6023" w:rsidP="00EA6904">
      <w:pPr>
        <w:pStyle w:val="Heading3"/>
      </w:pPr>
      <w:bookmarkStart w:id="463" w:name="_Toc209359984"/>
      <w:bookmarkStart w:id="464" w:name="_Toc220541998"/>
      <w:r w:rsidRPr="00C86111">
        <w:t>Tehnički kapaciteti:</w:t>
      </w:r>
      <w:bookmarkEnd w:id="463"/>
      <w:bookmarkEnd w:id="464"/>
    </w:p>
    <w:p w14:paraId="506F007C" w14:textId="77777777" w:rsidR="004F6023" w:rsidRPr="00C86111" w:rsidRDefault="004F6023" w:rsidP="004F6023">
      <w:pPr>
        <w:jc w:val="both"/>
        <w:rPr>
          <w:rFonts w:asciiTheme="minorHAnsi" w:hAnsiTheme="minorHAnsi" w:cstheme="minorHAnsi"/>
          <w:color w:val="auto"/>
          <w:szCs w:val="24"/>
        </w:rPr>
      </w:pPr>
    </w:p>
    <w:p w14:paraId="4D727A20"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U Crnoj Gori postoje dvije laboratorije koje imaju mogućnosti za ispitivanje POPs jedinjenja: d.o.o. Centar za ekotoksikološka ispitivanja - CETI i Institut za javno zdravlje. CETI je akreditovan u skladu sa standardom MEST ISO/IEC 17025 za ispitivanje POPs jedinjenja u uzorcima iz životne sredine (voda, zemljište, sediment, vazduh) i uzorcima riba, a i učesnik je u UNEP-ovoj GMN (Global Monitoring Network za POPs jedinjenja). CETI je referentna institucija u Crnoj Gori za analize kontaminanata u praktično svim segmentima životne sredine I u tom amialu odgovoran za realizaciju:</w:t>
      </w:r>
    </w:p>
    <w:p w14:paraId="3BC3F8BD" w14:textId="77777777" w:rsidR="004F6023" w:rsidRPr="00C86111" w:rsidRDefault="004F6023" w:rsidP="00833A40">
      <w:pPr>
        <w:numPr>
          <w:ilvl w:val="0"/>
          <w:numId w:val="56"/>
        </w:numPr>
        <w:spacing w:line="276" w:lineRule="auto"/>
        <w:ind w:left="1434" w:hanging="357"/>
        <w:jc w:val="both"/>
        <w:rPr>
          <w:rFonts w:asciiTheme="minorHAnsi" w:hAnsiTheme="minorHAnsi" w:cstheme="minorHAnsi"/>
          <w:i/>
          <w:color w:val="auto"/>
          <w:szCs w:val="24"/>
          <w:lang w:val="sr-Latn-CS"/>
        </w:rPr>
      </w:pPr>
      <w:r w:rsidRPr="00C86111">
        <w:rPr>
          <w:rFonts w:asciiTheme="minorHAnsi" w:hAnsiTheme="minorHAnsi" w:cstheme="minorHAnsi"/>
          <w:i/>
          <w:color w:val="auto"/>
          <w:szCs w:val="24"/>
          <w:lang w:val="sr-Latn-CS" w:eastAsia="x-none"/>
        </w:rPr>
        <w:t xml:space="preserve">Program praćenja kvaliteta vazduha </w:t>
      </w:r>
    </w:p>
    <w:p w14:paraId="682A3FB4" w14:textId="77777777" w:rsidR="004F6023" w:rsidRPr="00C86111" w:rsidRDefault="004F6023" w:rsidP="00833A40">
      <w:pPr>
        <w:pStyle w:val="NoSpacing"/>
        <w:keepLines w:val="0"/>
        <w:widowControl/>
        <w:numPr>
          <w:ilvl w:val="0"/>
          <w:numId w:val="56"/>
        </w:numPr>
        <w:tabs>
          <w:tab w:val="clear" w:pos="1134"/>
          <w:tab w:val="clear" w:pos="2268"/>
        </w:tabs>
        <w:autoSpaceDE/>
        <w:autoSpaceDN/>
        <w:spacing w:line="276" w:lineRule="auto"/>
        <w:ind w:left="1434" w:hanging="357"/>
        <w:rPr>
          <w:rFonts w:cstheme="minorHAnsi"/>
          <w:bCs/>
          <w:i/>
        </w:rPr>
      </w:pPr>
      <w:r w:rsidRPr="00C86111">
        <w:rPr>
          <w:rFonts w:cstheme="minorHAnsi"/>
          <w:bCs/>
          <w:i/>
        </w:rPr>
        <w:t xml:space="preserve">Program monitoringa opasnih i štetnih materija u zemljištu </w:t>
      </w:r>
    </w:p>
    <w:p w14:paraId="37DABC73" w14:textId="77777777" w:rsidR="004F6023" w:rsidRPr="00C86111" w:rsidRDefault="004F6023" w:rsidP="00833A40">
      <w:pPr>
        <w:pStyle w:val="NoSpacing"/>
        <w:keepLines w:val="0"/>
        <w:widowControl/>
        <w:numPr>
          <w:ilvl w:val="0"/>
          <w:numId w:val="56"/>
        </w:numPr>
        <w:tabs>
          <w:tab w:val="clear" w:pos="1134"/>
          <w:tab w:val="clear" w:pos="2268"/>
        </w:tabs>
        <w:autoSpaceDE/>
        <w:autoSpaceDN/>
        <w:spacing w:line="276" w:lineRule="auto"/>
        <w:ind w:left="1434" w:hanging="357"/>
        <w:rPr>
          <w:rFonts w:cstheme="minorHAnsi"/>
          <w:bCs/>
          <w:i/>
        </w:rPr>
      </w:pPr>
      <w:r w:rsidRPr="00C86111">
        <w:rPr>
          <w:rFonts w:cstheme="minorHAnsi"/>
          <w:bCs/>
          <w:i/>
        </w:rPr>
        <w:t xml:space="preserve">Program monitoringa morskog ekosistema </w:t>
      </w:r>
    </w:p>
    <w:p w14:paraId="5D7C5C5F"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Postojeći laboratorijski kapaciteti u Crnoj Gori mogu se smatrati zadovoljavajućim, posebno u odnosu na osposobljene stručnjake, kao i usvojenu tehnologiju rada.</w:t>
      </w:r>
    </w:p>
    <w:p w14:paraId="06F08520" w14:textId="77777777" w:rsidR="004F6023" w:rsidRPr="00C86111" w:rsidRDefault="004F6023" w:rsidP="004F6023">
      <w:pPr>
        <w:jc w:val="both"/>
        <w:rPr>
          <w:rFonts w:asciiTheme="minorHAnsi" w:hAnsiTheme="minorHAnsi" w:cstheme="minorHAnsi"/>
          <w:color w:val="auto"/>
          <w:szCs w:val="24"/>
        </w:rPr>
      </w:pPr>
    </w:p>
    <w:p w14:paraId="4C3AA57E" w14:textId="74730429"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Institut za javno zdravlje, između ostalog, obavlja analize, za čije je procedure akreditovan, vrši hemijske, fizičko-hemijske, toksikološke i druge laboratorijske analize, predlaže i sprovodi mjere za očuvanje i unaprjeđenje životne i radne sredine.</w:t>
      </w:r>
    </w:p>
    <w:p w14:paraId="00EBAEDD" w14:textId="42D4F3AA" w:rsidR="004F6023" w:rsidRPr="00C86111" w:rsidRDefault="004F6023" w:rsidP="00004F34">
      <w:pPr>
        <w:pStyle w:val="Heading1"/>
        <w:numPr>
          <w:ilvl w:val="1"/>
          <w:numId w:val="238"/>
        </w:numPr>
      </w:pPr>
      <w:bookmarkStart w:id="465" w:name="_Toc209359985"/>
      <w:bookmarkStart w:id="466" w:name="_Toc220541999"/>
      <w:r w:rsidRPr="00C86111">
        <w:t>Zaključak</w:t>
      </w:r>
      <w:bookmarkEnd w:id="465"/>
      <w:bookmarkEnd w:id="466"/>
    </w:p>
    <w:p w14:paraId="6CA010D3" w14:textId="77777777" w:rsidR="004F6023" w:rsidRPr="00C86111" w:rsidRDefault="004F6023" w:rsidP="004F6023">
      <w:pPr>
        <w:jc w:val="both"/>
        <w:rPr>
          <w:rFonts w:asciiTheme="minorHAnsi" w:hAnsiTheme="minorHAnsi" w:cstheme="minorHAnsi"/>
          <w:color w:val="auto"/>
          <w:szCs w:val="24"/>
        </w:rPr>
      </w:pPr>
    </w:p>
    <w:p w14:paraId="53B265DD"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U Crnoj Gori postoje značajni tehnički i laboratorijski kapaciteti za organizovanje sveobuhvatnog monitoringa POPs pesticida u uzorcima biljaka, biljnih proizvoda, hrane, vode, vazduha i zemljišta. Ovi kapaciteti omogućavaju adekvatno praćenje prisustva i koncentracija opasnih supstanci u različitim segmentima životne sredine, uz djelimičnu dopunu relevantne zakonske regulative i osiguranje potrebnih finansijskih sredstava.</w:t>
      </w:r>
    </w:p>
    <w:p w14:paraId="7DFAB45C"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Međutim, nedostaje ključna institucija koja bi koordinisala integrisani pristup praćenju i procjeni uticaja POPs na ljudsko zdravlje. Centar za kontrolu trovanja, koji bi mogao služiti kao centralna jedinica za uspostavljanje humanog biomonitoringa, još je u fazi uspostavljanja. Ovaj centar bi imao ključnu ulogu u koordinaciji aktivnosti vezanih za hemikalije, uključujući istraživanje efekata </w:t>
      </w:r>
      <w:r w:rsidRPr="00C86111">
        <w:rPr>
          <w:rFonts w:asciiTheme="minorHAnsi" w:hAnsiTheme="minorHAnsi" w:cstheme="minorHAnsi"/>
          <w:color w:val="auto"/>
          <w:szCs w:val="24"/>
        </w:rPr>
        <w:lastRenderedPageBreak/>
        <w:t>izloženosti POPs supstancama, procjenu rizika po zdravlje ljudi, te podršku u implementaciji nacionalnih i međunarodnih standarda i strategija.</w:t>
      </w:r>
    </w:p>
    <w:p w14:paraId="6A42732B" w14:textId="5B1874AD" w:rsidR="004F6023" w:rsidRPr="00C86111" w:rsidRDefault="004F6023" w:rsidP="004F6023">
      <w:pPr>
        <w:jc w:val="both"/>
        <w:rPr>
          <w:rFonts w:asciiTheme="minorHAnsi" w:hAnsiTheme="minorHAnsi" w:cstheme="minorHAnsi"/>
          <w:b/>
          <w:bCs/>
          <w:color w:val="auto"/>
          <w:szCs w:val="24"/>
          <w:u w:val="single"/>
        </w:rPr>
      </w:pPr>
      <w:r w:rsidRPr="00C86111">
        <w:rPr>
          <w:rFonts w:asciiTheme="minorHAnsi" w:hAnsiTheme="minorHAnsi" w:cstheme="minorHAnsi"/>
          <w:color w:val="auto"/>
          <w:szCs w:val="24"/>
        </w:rPr>
        <w:t>Uspostavljanje i operativno osposobljavanje Centra predstavlja prioritet, jer bi omogućilo sistematično povezivanje laboratorijskih analiza, monitoring programa i epidemioloških istraživanja, čime bi se značajno unaprijedila zaštita javnog zdravlja i efikasnost upravljanja hemikalijama u Crnoj Gori.</w:t>
      </w:r>
    </w:p>
    <w:p w14:paraId="12493BAC" w14:textId="77777777" w:rsidR="004F6023" w:rsidRPr="008015BD" w:rsidRDefault="004F6023" w:rsidP="004F6023">
      <w:pPr>
        <w:jc w:val="both"/>
        <w:rPr>
          <w:rFonts w:asciiTheme="minorHAnsi" w:hAnsiTheme="minorHAnsi" w:cstheme="minorHAnsi"/>
          <w:color w:val="auto"/>
          <w:szCs w:val="24"/>
        </w:rPr>
      </w:pPr>
      <w:r w:rsidRPr="008015BD">
        <w:rPr>
          <w:rFonts w:asciiTheme="minorHAnsi" w:hAnsiTheme="minorHAnsi" w:cstheme="minorHAnsi"/>
          <w:color w:val="auto"/>
          <w:szCs w:val="24"/>
        </w:rPr>
        <w:t>Upravljanje životnom sredinom u Crnoj Gori suočava se sa nizom sistemskih izazova koji ograničavaju efikasnost praćenja, izvještavanja i planiranja:</w:t>
      </w:r>
    </w:p>
    <w:p w14:paraId="1E83036A" w14:textId="77777777" w:rsidR="004F6023" w:rsidRPr="008015BD" w:rsidRDefault="004F6023" w:rsidP="00833A40">
      <w:pPr>
        <w:numPr>
          <w:ilvl w:val="0"/>
          <w:numId w:val="57"/>
        </w:numPr>
        <w:jc w:val="both"/>
        <w:rPr>
          <w:rFonts w:asciiTheme="minorHAnsi" w:hAnsiTheme="minorHAnsi" w:cstheme="minorHAnsi"/>
          <w:color w:val="auto"/>
          <w:szCs w:val="24"/>
        </w:rPr>
      </w:pPr>
      <w:r w:rsidRPr="008015BD">
        <w:rPr>
          <w:rFonts w:asciiTheme="minorHAnsi" w:hAnsiTheme="minorHAnsi" w:cstheme="minorHAnsi"/>
          <w:b/>
          <w:bCs/>
          <w:color w:val="auto"/>
          <w:szCs w:val="24"/>
        </w:rPr>
        <w:t>Nedostatak ili slab razvoj informacionih sistema</w:t>
      </w:r>
      <w:r w:rsidRPr="008015BD">
        <w:rPr>
          <w:rFonts w:asciiTheme="minorHAnsi" w:hAnsiTheme="minorHAnsi" w:cstheme="minorHAnsi"/>
          <w:color w:val="auto"/>
          <w:szCs w:val="24"/>
        </w:rPr>
        <w:t xml:space="preserve"> – Ne postoji adekvatan informacioni sistem za upravljanje i razmjenu podataka u oblasti životne sredine. Podaci, uključujući rezultate laboratorijskih analiza, ne slivaju se u centralizovanu bazu, što otežava praćenje stanja i izradu pouzdanih izvještaja. Potrebno je značajno ojačati ili razviti integrisane informacione sisteme koji bi omogućili razmjenu podataka među svim relevantnim institucijama.</w:t>
      </w:r>
    </w:p>
    <w:p w14:paraId="2326A964" w14:textId="77777777" w:rsidR="004F6023" w:rsidRPr="008015BD" w:rsidRDefault="004F6023" w:rsidP="00833A40">
      <w:pPr>
        <w:numPr>
          <w:ilvl w:val="0"/>
          <w:numId w:val="57"/>
        </w:numPr>
        <w:jc w:val="both"/>
        <w:rPr>
          <w:rFonts w:asciiTheme="minorHAnsi" w:hAnsiTheme="minorHAnsi" w:cstheme="minorHAnsi"/>
          <w:color w:val="auto"/>
          <w:szCs w:val="24"/>
        </w:rPr>
      </w:pPr>
      <w:r w:rsidRPr="008015BD">
        <w:rPr>
          <w:rFonts w:asciiTheme="minorHAnsi" w:hAnsiTheme="minorHAnsi" w:cstheme="minorHAnsi"/>
          <w:b/>
          <w:bCs/>
          <w:color w:val="auto"/>
          <w:szCs w:val="24"/>
        </w:rPr>
        <w:t>Nepotpuna baza podataka o opasnom otpadu</w:t>
      </w:r>
      <w:r w:rsidRPr="008015BD">
        <w:rPr>
          <w:rFonts w:asciiTheme="minorHAnsi" w:hAnsiTheme="minorHAnsi" w:cstheme="minorHAnsi"/>
          <w:color w:val="auto"/>
          <w:szCs w:val="24"/>
        </w:rPr>
        <w:t xml:space="preserve"> – Baza podataka o količinama, izvorima i praksama upravljanja opasnim otpadom je nedovoljno razvijena. Njeno unapređenje je ključno za planiranje tretmana, nadzor i ispunjavanje međunarodnih obaveza.</w:t>
      </w:r>
    </w:p>
    <w:p w14:paraId="1D3D176E" w14:textId="77777777" w:rsidR="004F6023" w:rsidRPr="008015BD" w:rsidRDefault="004F6023" w:rsidP="00833A40">
      <w:pPr>
        <w:numPr>
          <w:ilvl w:val="0"/>
          <w:numId w:val="57"/>
        </w:numPr>
        <w:jc w:val="both"/>
        <w:rPr>
          <w:rFonts w:asciiTheme="minorHAnsi" w:hAnsiTheme="minorHAnsi" w:cstheme="minorHAnsi"/>
          <w:color w:val="auto"/>
          <w:szCs w:val="24"/>
        </w:rPr>
      </w:pPr>
      <w:r w:rsidRPr="008015BD">
        <w:rPr>
          <w:rFonts w:asciiTheme="minorHAnsi" w:hAnsiTheme="minorHAnsi" w:cstheme="minorHAnsi"/>
          <w:b/>
          <w:bCs/>
          <w:color w:val="auto"/>
          <w:szCs w:val="24"/>
        </w:rPr>
        <w:t>Nedostatak kapaciteta za tretman i odlaganje otpada</w:t>
      </w:r>
      <w:r w:rsidRPr="008015BD">
        <w:rPr>
          <w:rFonts w:asciiTheme="minorHAnsi" w:hAnsiTheme="minorHAnsi" w:cstheme="minorHAnsi"/>
          <w:color w:val="auto"/>
          <w:szCs w:val="24"/>
        </w:rPr>
        <w:t xml:space="preserve"> – Iako Crna Gora, s obzirom na veličinu i količine otpada, nema potrebu za širokom mrežom postrojenja, neophodno je obezbijediti bar jedno funkcionalno postrojenje ili dugoročno rješenje za tretman i trajno odlaganje opasnog otpada kako bi se smanjila zavisnost od prekograničnog transporta i izvoza.</w:t>
      </w:r>
    </w:p>
    <w:p w14:paraId="4BB88FFB" w14:textId="77777777" w:rsidR="004F6023" w:rsidRPr="00C86111" w:rsidRDefault="004F6023" w:rsidP="004F6023">
      <w:pPr>
        <w:ind w:left="720"/>
        <w:jc w:val="both"/>
        <w:rPr>
          <w:rFonts w:asciiTheme="minorHAnsi" w:hAnsiTheme="minorHAnsi" w:cstheme="minorHAnsi"/>
          <w:color w:val="auto"/>
          <w:szCs w:val="24"/>
          <w:u w:val="single"/>
        </w:rPr>
      </w:pPr>
    </w:p>
    <w:p w14:paraId="027872CB" w14:textId="77777777" w:rsidR="004F6023" w:rsidRPr="00C86111" w:rsidRDefault="004F6023" w:rsidP="00912C4C">
      <w:pPr>
        <w:pStyle w:val="Heading1"/>
      </w:pPr>
      <w:bookmarkStart w:id="467" w:name="_Toc209359987"/>
      <w:bookmarkStart w:id="468" w:name="_Toc220542000"/>
      <w:r w:rsidRPr="00C86111">
        <w:t>Finansijski resursi</w:t>
      </w:r>
      <w:bookmarkEnd w:id="467"/>
      <w:bookmarkEnd w:id="468"/>
    </w:p>
    <w:p w14:paraId="61D88AB8" w14:textId="77777777" w:rsidR="004F6023" w:rsidRPr="00C86111" w:rsidRDefault="004F6023" w:rsidP="004F6023">
      <w:pPr>
        <w:jc w:val="both"/>
        <w:rPr>
          <w:rFonts w:asciiTheme="minorHAnsi" w:hAnsiTheme="minorHAnsi" w:cstheme="minorHAnsi"/>
          <w:color w:val="auto"/>
          <w:szCs w:val="24"/>
        </w:rPr>
      </w:pPr>
    </w:p>
    <w:p w14:paraId="4B4E9ECB"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Finansijska podrška za realizaciju obaveza Crne Gore iz </w:t>
      </w:r>
      <w:r w:rsidRPr="008015BD">
        <w:rPr>
          <w:rFonts w:asciiTheme="minorHAnsi" w:hAnsiTheme="minorHAnsi" w:cstheme="minorHAnsi"/>
          <w:color w:val="auto"/>
          <w:szCs w:val="24"/>
        </w:rPr>
        <w:t>Stokholmske konvencije</w:t>
      </w:r>
      <w:r w:rsidRPr="00C86111">
        <w:rPr>
          <w:rFonts w:asciiTheme="minorHAnsi" w:hAnsiTheme="minorHAnsi" w:cstheme="minorHAnsi"/>
          <w:color w:val="auto"/>
          <w:szCs w:val="24"/>
        </w:rPr>
        <w:t xml:space="preserve"> pretežno se obezbjeđuje putem međunarodnih fondova i programa, što omogućava sprovođenje ključnih aktivnosti u oblasti upravljanja POPs, remedijacije kontaminiranih lokacija, zbrinjavanja PCB otpada i jačanja institucionalnih kapaciteta. Glavni izvori finansiranja uključuju:</w:t>
      </w:r>
    </w:p>
    <w:p w14:paraId="222EBC72" w14:textId="77777777" w:rsidR="004F6023" w:rsidRPr="00C86111" w:rsidRDefault="004F6023" w:rsidP="00833A40">
      <w:pPr>
        <w:numPr>
          <w:ilvl w:val="0"/>
          <w:numId w:val="58"/>
        </w:numPr>
        <w:jc w:val="both"/>
        <w:rPr>
          <w:rFonts w:asciiTheme="minorHAnsi" w:hAnsiTheme="minorHAnsi" w:cstheme="minorHAnsi"/>
          <w:color w:val="auto"/>
          <w:szCs w:val="24"/>
        </w:rPr>
      </w:pPr>
      <w:r w:rsidRPr="00C86111">
        <w:rPr>
          <w:rFonts w:asciiTheme="minorHAnsi" w:hAnsiTheme="minorHAnsi" w:cstheme="minorHAnsi"/>
          <w:b/>
          <w:bCs/>
          <w:color w:val="auto"/>
          <w:szCs w:val="24"/>
        </w:rPr>
        <w:t>Global Environmental Facility (GEF)</w:t>
      </w:r>
      <w:r w:rsidRPr="00C86111">
        <w:rPr>
          <w:rFonts w:asciiTheme="minorHAnsi" w:hAnsiTheme="minorHAnsi" w:cstheme="minorHAnsi"/>
          <w:color w:val="auto"/>
          <w:szCs w:val="24"/>
        </w:rPr>
        <w:t xml:space="preserve"> – pruža sredstva za izvoz postojećih zaliha PCB-a, remedijaciju kontaminiranih područja, transformaciju nacionalnih projekata u projekte koji donose globalnu korist za životnu sredinu, kao i pokrivanje dodatnih troškova povezanih sa tehničkom asistencijom i implementacijom strategija. GEF je finansirao brojne ključne aktivnosti, uključujući projekat </w:t>
      </w:r>
      <w:r w:rsidRPr="00C86111">
        <w:rPr>
          <w:rFonts w:asciiTheme="minorHAnsi" w:hAnsiTheme="minorHAnsi" w:cstheme="minorHAnsi"/>
          <w:b/>
          <w:bCs/>
          <w:color w:val="auto"/>
          <w:szCs w:val="24"/>
        </w:rPr>
        <w:t>„Revizija Nacionalnog plana implementacije Stokholmske konvencije“</w:t>
      </w:r>
      <w:r w:rsidRPr="00C86111">
        <w:rPr>
          <w:rFonts w:asciiTheme="minorHAnsi" w:hAnsiTheme="minorHAnsi" w:cstheme="minorHAnsi"/>
          <w:color w:val="auto"/>
          <w:szCs w:val="24"/>
        </w:rPr>
        <w:t xml:space="preserve">, čiji je rezultat Predlog Nacionalnog plana implementacije POPs iz 2013. godine i njegovo ažuriranje iz 2019. godine. Implementaciona agencija za ovaj projekat bila je UNEP. Trenutna revizija treće verzije Nacionalnog plana takođe se sprovodi uz podršku GEF-a i UNEP-a, uz tehničku asistenciju centra </w:t>
      </w:r>
      <w:r w:rsidRPr="00C86111">
        <w:rPr>
          <w:rFonts w:asciiTheme="minorHAnsi" w:hAnsiTheme="minorHAnsi" w:cstheme="minorHAnsi"/>
          <w:b/>
          <w:bCs/>
          <w:color w:val="auto"/>
          <w:szCs w:val="24"/>
        </w:rPr>
        <w:t>RECETOX</w:t>
      </w:r>
      <w:r w:rsidRPr="00C86111">
        <w:rPr>
          <w:rFonts w:asciiTheme="minorHAnsi" w:hAnsiTheme="minorHAnsi" w:cstheme="minorHAnsi"/>
          <w:color w:val="auto"/>
          <w:szCs w:val="24"/>
        </w:rPr>
        <w:t xml:space="preserve"> i </w:t>
      </w:r>
      <w:r w:rsidRPr="00C86111">
        <w:rPr>
          <w:rFonts w:asciiTheme="minorHAnsi" w:hAnsiTheme="minorHAnsi" w:cstheme="minorHAnsi"/>
          <w:b/>
          <w:bCs/>
          <w:color w:val="auto"/>
          <w:szCs w:val="24"/>
        </w:rPr>
        <w:t>CETI-a</w:t>
      </w:r>
      <w:r w:rsidRPr="00C86111">
        <w:rPr>
          <w:rFonts w:asciiTheme="minorHAnsi" w:hAnsiTheme="minorHAnsi" w:cstheme="minorHAnsi"/>
          <w:color w:val="auto"/>
          <w:szCs w:val="24"/>
        </w:rPr>
        <w:t>, čime se dodatno osnažuju laboratorijski i istraživački kapaciteti za monitoring POPs i analiza kontaminanata u životnoj sredini.</w:t>
      </w:r>
    </w:p>
    <w:p w14:paraId="76002E10" w14:textId="77777777" w:rsidR="004F6023" w:rsidRPr="00C86111" w:rsidRDefault="004F6023" w:rsidP="00833A40">
      <w:pPr>
        <w:numPr>
          <w:ilvl w:val="0"/>
          <w:numId w:val="58"/>
        </w:numPr>
        <w:jc w:val="both"/>
        <w:rPr>
          <w:rFonts w:asciiTheme="minorHAnsi" w:hAnsiTheme="minorHAnsi" w:cstheme="minorHAnsi"/>
          <w:color w:val="auto"/>
          <w:szCs w:val="24"/>
        </w:rPr>
      </w:pPr>
      <w:r w:rsidRPr="00C86111">
        <w:rPr>
          <w:rFonts w:asciiTheme="minorHAnsi" w:hAnsiTheme="minorHAnsi" w:cstheme="minorHAnsi"/>
          <w:b/>
          <w:bCs/>
          <w:color w:val="auto"/>
          <w:szCs w:val="24"/>
        </w:rPr>
        <w:t>UNEP</w:t>
      </w:r>
      <w:r w:rsidRPr="00C86111">
        <w:rPr>
          <w:rFonts w:asciiTheme="minorHAnsi" w:hAnsiTheme="minorHAnsi" w:cstheme="minorHAnsi"/>
          <w:color w:val="auto"/>
          <w:szCs w:val="24"/>
        </w:rPr>
        <w:t xml:space="preserve"> – kao implementaciona agencija GEF-a, pruža stručnu ekspertizu u oblasti zaštite životne sredine, strateške savjete, tehničku pomoć u izradi i implementaciji strategija, te </w:t>
      </w:r>
      <w:r w:rsidRPr="00C86111">
        <w:rPr>
          <w:rFonts w:asciiTheme="minorHAnsi" w:hAnsiTheme="minorHAnsi" w:cstheme="minorHAnsi"/>
          <w:color w:val="auto"/>
          <w:szCs w:val="24"/>
        </w:rPr>
        <w:lastRenderedPageBreak/>
        <w:t>podršku u procjeni i planiranju budućih investicija. UNEP pomaže u osnaživanju kapaciteta nadležnih institucija, jačanju regulatornih okvira i usklađivanju sa međunarodnim standardima, uključujući implementaciju preporuka iz Stokholmske konvencije.</w:t>
      </w:r>
    </w:p>
    <w:p w14:paraId="7FF4150B" w14:textId="77777777" w:rsidR="004F6023" w:rsidRPr="00C86111" w:rsidRDefault="004F6023" w:rsidP="00833A40">
      <w:pPr>
        <w:numPr>
          <w:ilvl w:val="0"/>
          <w:numId w:val="58"/>
        </w:numPr>
        <w:jc w:val="both"/>
        <w:rPr>
          <w:rFonts w:asciiTheme="minorHAnsi" w:hAnsiTheme="minorHAnsi" w:cstheme="minorHAnsi"/>
          <w:color w:val="auto"/>
          <w:szCs w:val="24"/>
        </w:rPr>
      </w:pPr>
      <w:r w:rsidRPr="00C86111">
        <w:rPr>
          <w:rFonts w:asciiTheme="minorHAnsi" w:hAnsiTheme="minorHAnsi" w:cstheme="minorHAnsi"/>
          <w:b/>
          <w:bCs/>
          <w:color w:val="auto"/>
          <w:szCs w:val="24"/>
        </w:rPr>
        <w:t>Svjetska banka (WB)</w:t>
      </w:r>
      <w:r w:rsidRPr="00C86111">
        <w:rPr>
          <w:rFonts w:asciiTheme="minorHAnsi" w:hAnsiTheme="minorHAnsi" w:cstheme="minorHAnsi"/>
          <w:color w:val="auto"/>
          <w:szCs w:val="24"/>
        </w:rPr>
        <w:t xml:space="preserve"> – pruža finansijsku podršku za remedijaciju kontaminiranih područja i projekte koji doprinose sigurnom upravljanju opasnim supstancama, uključujući aktivnosti vezane za POPs. WB takođe podržava razvoj kapaciteta za planiranje i provođenje intervencija na lokalnom i nacionalnom nivou, posebno u slučajevima gdje je potrebna tehnička ekspertiza i sofisticirana oprema.</w:t>
      </w:r>
    </w:p>
    <w:p w14:paraId="51D8434D" w14:textId="77777777" w:rsidR="004F6023" w:rsidRPr="00C86111" w:rsidRDefault="004F6023" w:rsidP="00833A40">
      <w:pPr>
        <w:numPr>
          <w:ilvl w:val="0"/>
          <w:numId w:val="58"/>
        </w:numPr>
        <w:jc w:val="both"/>
        <w:rPr>
          <w:rFonts w:asciiTheme="minorHAnsi" w:hAnsiTheme="minorHAnsi" w:cstheme="minorHAnsi"/>
          <w:color w:val="auto"/>
          <w:szCs w:val="24"/>
        </w:rPr>
      </w:pPr>
      <w:r w:rsidRPr="00C86111">
        <w:rPr>
          <w:rFonts w:asciiTheme="minorHAnsi" w:hAnsiTheme="minorHAnsi" w:cstheme="minorHAnsi"/>
          <w:b/>
          <w:bCs/>
          <w:color w:val="auto"/>
          <w:szCs w:val="24"/>
        </w:rPr>
        <w:t>UNDP</w:t>
      </w:r>
      <w:r w:rsidRPr="00C86111">
        <w:rPr>
          <w:rFonts w:asciiTheme="minorHAnsi" w:hAnsiTheme="minorHAnsi" w:cstheme="minorHAnsi"/>
          <w:color w:val="auto"/>
          <w:szCs w:val="24"/>
        </w:rPr>
        <w:t xml:space="preserve"> – podržava strukturni razvoj, posebno u oblasti n-POPs i drugih persistentnih zagađujućih materija, kroz institucionalno jačanje, razvoj integrisanih politika upravljanja hemikalijama, angažovanje lokalnih zajednica i NVO sektora, kao i podršku pri planiranju i implementaciji monitoring programa. UNDP je implementaciona agencija za ključni projekat </w:t>
      </w:r>
      <w:r w:rsidRPr="00C86111">
        <w:rPr>
          <w:rFonts w:asciiTheme="minorHAnsi" w:hAnsiTheme="minorHAnsi" w:cstheme="minorHAnsi"/>
          <w:b/>
          <w:bCs/>
          <w:color w:val="auto"/>
          <w:szCs w:val="24"/>
        </w:rPr>
        <w:t>„Sveobuhvatno ekološki prihvatljivo upravljanje PCB otpadom u Crnoj Gori“</w:t>
      </w:r>
      <w:r w:rsidRPr="00C86111">
        <w:rPr>
          <w:rFonts w:asciiTheme="minorHAnsi" w:hAnsiTheme="minorHAnsi" w:cstheme="minorHAnsi"/>
          <w:color w:val="auto"/>
          <w:szCs w:val="24"/>
        </w:rPr>
        <w:t xml:space="preserve">, finansiran sredstvima GEF-a. Cilj ovog projekta je identifikacija opreme i otpada koji sadrže PCB, izrada sveobuhvatnog inventara, dekontaminacija i trajno zbrinjavanje PCB otpada. Ukupan budžet projekta iznosi </w:t>
      </w:r>
      <w:r w:rsidRPr="00C86111">
        <w:rPr>
          <w:rFonts w:asciiTheme="minorHAnsi" w:hAnsiTheme="minorHAnsi" w:cstheme="minorHAnsi"/>
          <w:b/>
          <w:bCs/>
          <w:color w:val="auto"/>
          <w:szCs w:val="24"/>
        </w:rPr>
        <w:t>23 miliona USD</w:t>
      </w:r>
      <w:r w:rsidRPr="00C86111">
        <w:rPr>
          <w:rFonts w:asciiTheme="minorHAnsi" w:hAnsiTheme="minorHAnsi" w:cstheme="minorHAnsi"/>
          <w:color w:val="auto"/>
          <w:szCs w:val="24"/>
        </w:rPr>
        <w:t xml:space="preserve">, od čega je </w:t>
      </w:r>
      <w:r w:rsidRPr="00C86111">
        <w:rPr>
          <w:rFonts w:asciiTheme="minorHAnsi" w:hAnsiTheme="minorHAnsi" w:cstheme="minorHAnsi"/>
          <w:b/>
          <w:bCs/>
          <w:color w:val="auto"/>
          <w:szCs w:val="24"/>
        </w:rPr>
        <w:t>3,5 miliona USD obezbijedio GEF</w:t>
      </w:r>
      <w:r w:rsidRPr="00C86111">
        <w:rPr>
          <w:rFonts w:asciiTheme="minorHAnsi" w:hAnsiTheme="minorHAnsi" w:cstheme="minorHAnsi"/>
          <w:color w:val="auto"/>
          <w:szCs w:val="24"/>
        </w:rPr>
        <w:t>.</w:t>
      </w:r>
    </w:p>
    <w:p w14:paraId="709AC7FF"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Prednost angažovanja UNDP-a kao implementacione agencije ogleda se u njegovoj širokoj mreži kancelarija širom zemlje, bogatom iskustvu u razvoju integrisanih politika, institucionalnom jačanju i sposobnosti za koordinaciju sa lokalnim zajednicama i NVO sektorom, što dodatno doprinosi efikasnom upravljanju POPs supstancama i PCB otpadom.</w:t>
      </w:r>
    </w:p>
    <w:p w14:paraId="7CF77878"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Crna Gora takođe učestvuje u okviru specijalnog SAICM progra</w:t>
      </w:r>
      <w:r w:rsidRPr="00C86111">
        <w:rPr>
          <w:rFonts w:asciiTheme="minorHAnsi" w:hAnsiTheme="minorHAnsi" w:cstheme="minorHAnsi"/>
          <w:b/>
          <w:bCs/>
          <w:color w:val="auto"/>
          <w:szCs w:val="24"/>
        </w:rPr>
        <w:t>ma</w:t>
      </w:r>
      <w:r w:rsidRPr="00C86111">
        <w:rPr>
          <w:rFonts w:asciiTheme="minorHAnsi" w:hAnsiTheme="minorHAnsi" w:cstheme="minorHAnsi"/>
          <w:color w:val="auto"/>
          <w:szCs w:val="24"/>
        </w:rPr>
        <w:t xml:space="preserve">, koji je osmišljen za integrisano i efikasno upravljanje hemikalijama i otpadom. Kroz projekat jačanja sinergije između </w:t>
      </w:r>
      <w:r w:rsidRPr="00C86111">
        <w:rPr>
          <w:rFonts w:asciiTheme="minorHAnsi" w:hAnsiTheme="minorHAnsi" w:cstheme="minorHAnsi"/>
          <w:b/>
          <w:bCs/>
          <w:color w:val="auto"/>
          <w:szCs w:val="24"/>
        </w:rPr>
        <w:t>BRS konvencija</w:t>
      </w:r>
      <w:r w:rsidRPr="00C86111">
        <w:rPr>
          <w:rFonts w:asciiTheme="minorHAnsi" w:hAnsiTheme="minorHAnsi" w:cstheme="minorHAnsi"/>
          <w:color w:val="auto"/>
          <w:szCs w:val="24"/>
        </w:rPr>
        <w:t xml:space="preserve"> (Bazelska, Roterdamska i Stokholmska) i </w:t>
      </w:r>
      <w:r w:rsidRPr="00C86111">
        <w:rPr>
          <w:rFonts w:asciiTheme="minorHAnsi" w:hAnsiTheme="minorHAnsi" w:cstheme="minorHAnsi"/>
          <w:b/>
          <w:bCs/>
          <w:color w:val="auto"/>
          <w:szCs w:val="24"/>
        </w:rPr>
        <w:t>Minamata konvencije o živi</w:t>
      </w:r>
      <w:r w:rsidRPr="00C86111">
        <w:rPr>
          <w:rFonts w:asciiTheme="minorHAnsi" w:hAnsiTheme="minorHAnsi" w:cstheme="minorHAnsi"/>
          <w:color w:val="auto"/>
          <w:szCs w:val="24"/>
        </w:rPr>
        <w:t>, koji se realizuje uz podršku UNEP-a, omogućeno je:</w:t>
      </w:r>
    </w:p>
    <w:p w14:paraId="3CD59718" w14:textId="77777777" w:rsidR="004F6023" w:rsidRPr="00C86111" w:rsidRDefault="004F6023" w:rsidP="00833A40">
      <w:pPr>
        <w:numPr>
          <w:ilvl w:val="0"/>
          <w:numId w:val="59"/>
        </w:numPr>
        <w:jc w:val="both"/>
        <w:rPr>
          <w:rFonts w:asciiTheme="minorHAnsi" w:hAnsiTheme="minorHAnsi" w:cstheme="minorHAnsi"/>
          <w:color w:val="auto"/>
          <w:szCs w:val="24"/>
        </w:rPr>
      </w:pPr>
      <w:r w:rsidRPr="00C86111">
        <w:rPr>
          <w:rFonts w:asciiTheme="minorHAnsi" w:hAnsiTheme="minorHAnsi" w:cstheme="minorHAnsi"/>
          <w:color w:val="auto"/>
          <w:szCs w:val="24"/>
        </w:rPr>
        <w:t>koordinisano sprovođenje obaveza iz više konvencija;</w:t>
      </w:r>
    </w:p>
    <w:p w14:paraId="6912452A" w14:textId="77777777" w:rsidR="004F6023" w:rsidRPr="00C86111" w:rsidRDefault="004F6023" w:rsidP="00833A40">
      <w:pPr>
        <w:numPr>
          <w:ilvl w:val="0"/>
          <w:numId w:val="59"/>
        </w:numPr>
        <w:jc w:val="both"/>
        <w:rPr>
          <w:rFonts w:asciiTheme="minorHAnsi" w:hAnsiTheme="minorHAnsi" w:cstheme="minorHAnsi"/>
          <w:color w:val="auto"/>
          <w:szCs w:val="24"/>
        </w:rPr>
      </w:pPr>
      <w:r w:rsidRPr="00C86111">
        <w:rPr>
          <w:rFonts w:asciiTheme="minorHAnsi" w:hAnsiTheme="minorHAnsi" w:cstheme="minorHAnsi"/>
          <w:color w:val="auto"/>
          <w:szCs w:val="24"/>
        </w:rPr>
        <w:t>racionalno i efikasno korišćenje finansijskih i tehničkih resursa;</w:t>
      </w:r>
    </w:p>
    <w:p w14:paraId="7CF4471A" w14:textId="77777777" w:rsidR="004F6023" w:rsidRPr="00C86111" w:rsidRDefault="004F6023" w:rsidP="00833A40">
      <w:pPr>
        <w:numPr>
          <w:ilvl w:val="0"/>
          <w:numId w:val="59"/>
        </w:numPr>
        <w:jc w:val="both"/>
        <w:rPr>
          <w:rFonts w:asciiTheme="minorHAnsi" w:hAnsiTheme="minorHAnsi" w:cstheme="minorHAnsi"/>
          <w:color w:val="auto"/>
          <w:szCs w:val="24"/>
        </w:rPr>
      </w:pPr>
      <w:r w:rsidRPr="00C86111">
        <w:rPr>
          <w:rFonts w:asciiTheme="minorHAnsi" w:hAnsiTheme="minorHAnsi" w:cstheme="minorHAnsi"/>
          <w:color w:val="auto"/>
          <w:szCs w:val="24"/>
        </w:rPr>
        <w:t>jačanje međusektorske saradnje između relevantnih ministarstava i agencija;</w:t>
      </w:r>
    </w:p>
    <w:p w14:paraId="4258B166" w14:textId="77777777" w:rsidR="004F6023" w:rsidRPr="00C86111" w:rsidRDefault="004F6023" w:rsidP="00833A40">
      <w:pPr>
        <w:numPr>
          <w:ilvl w:val="0"/>
          <w:numId w:val="59"/>
        </w:numPr>
        <w:jc w:val="both"/>
        <w:rPr>
          <w:rFonts w:asciiTheme="minorHAnsi" w:hAnsiTheme="minorHAnsi" w:cstheme="minorHAnsi"/>
          <w:color w:val="auto"/>
          <w:szCs w:val="24"/>
        </w:rPr>
      </w:pPr>
      <w:r w:rsidRPr="00C86111">
        <w:rPr>
          <w:rFonts w:asciiTheme="minorHAnsi" w:hAnsiTheme="minorHAnsi" w:cstheme="minorHAnsi"/>
          <w:color w:val="auto"/>
          <w:szCs w:val="24"/>
        </w:rPr>
        <w:t>bolja integracija upravljanja hemikalijama u nacionalne politike zaštite životne sredine i javnog zdravlja.</w:t>
      </w:r>
    </w:p>
    <w:p w14:paraId="5F9A60C2"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Ovaj sinergijski pristup doprinosi smanjenju preklapanja aktivnosti između različitih konvencija, povećava efikasnost sprovođenja međunarodnih obaveza, poboljšava koordinaciju nadležnih institucija i jača institucionalne i regulatorne kapacitete Crne Gore u oblasti upravljanja POPs.</w:t>
      </w:r>
    </w:p>
    <w:p w14:paraId="5BFDEAC2" w14:textId="4132A17A" w:rsidR="004F6023" w:rsidRPr="00C86111" w:rsidRDefault="007A23C1" w:rsidP="00EA6904">
      <w:pPr>
        <w:pStyle w:val="Heading3"/>
      </w:pPr>
      <w:bookmarkStart w:id="469" w:name="_Toc209359988"/>
      <w:bookmarkStart w:id="470" w:name="_Toc220542001"/>
      <w:r w:rsidRPr="00C86111">
        <w:t xml:space="preserve">Izazovi u </w:t>
      </w:r>
      <w:r w:rsidR="004F6023" w:rsidRPr="00C86111">
        <w:t xml:space="preserve"> finansiranj</w:t>
      </w:r>
      <w:bookmarkEnd w:id="469"/>
      <w:r w:rsidRPr="00C86111">
        <w:t>u</w:t>
      </w:r>
      <w:bookmarkEnd w:id="470"/>
    </w:p>
    <w:p w14:paraId="37240A1D" w14:textId="77777777" w:rsidR="004F6023" w:rsidRPr="00C86111" w:rsidRDefault="004F6023" w:rsidP="004F6023">
      <w:pPr>
        <w:jc w:val="both"/>
        <w:rPr>
          <w:rFonts w:asciiTheme="minorHAnsi" w:hAnsiTheme="minorHAnsi" w:cstheme="minorHAnsi"/>
          <w:color w:val="auto"/>
          <w:szCs w:val="24"/>
        </w:rPr>
      </w:pPr>
    </w:p>
    <w:p w14:paraId="7CA4DB1D"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Uprkos podršci međunarodnih fondova, finansiranje aktivnosti vezanih za POPs u Crnoj Gori je pretežno projektno i time nepouzdano. Nacionalni budžet rijetko predviđa specifične linije namijenjene za POPs i remedijaciju kontaminiranih lokacija, što otežava dugoročno planiranje i održivost programa. Nedostaju stabilni mehanizmi za dugoročno finansiranje ključnih komponenti upravljanja POPs, uključujući:</w:t>
      </w:r>
    </w:p>
    <w:p w14:paraId="5B76ECE8" w14:textId="77777777" w:rsidR="004F6023" w:rsidRPr="00C86111" w:rsidRDefault="004F6023" w:rsidP="00833A40">
      <w:pPr>
        <w:numPr>
          <w:ilvl w:val="0"/>
          <w:numId w:val="60"/>
        </w:numPr>
        <w:jc w:val="both"/>
        <w:rPr>
          <w:rFonts w:asciiTheme="minorHAnsi" w:hAnsiTheme="minorHAnsi" w:cstheme="minorHAnsi"/>
          <w:color w:val="auto"/>
          <w:szCs w:val="24"/>
        </w:rPr>
      </w:pPr>
      <w:r w:rsidRPr="00C86111">
        <w:rPr>
          <w:rFonts w:asciiTheme="minorHAnsi" w:hAnsiTheme="minorHAnsi" w:cstheme="minorHAnsi"/>
          <w:color w:val="auto"/>
          <w:szCs w:val="24"/>
        </w:rPr>
        <w:t>remedijaciju kontaminiranih lokacija i zbrinjavanje PCB otpada;</w:t>
      </w:r>
    </w:p>
    <w:p w14:paraId="7C6B6668" w14:textId="77777777" w:rsidR="004F6023" w:rsidRPr="00C86111" w:rsidRDefault="004F6023" w:rsidP="00833A40">
      <w:pPr>
        <w:numPr>
          <w:ilvl w:val="0"/>
          <w:numId w:val="60"/>
        </w:numPr>
        <w:jc w:val="both"/>
        <w:rPr>
          <w:rFonts w:asciiTheme="minorHAnsi" w:hAnsiTheme="minorHAnsi" w:cstheme="minorHAnsi"/>
          <w:color w:val="auto"/>
          <w:szCs w:val="24"/>
        </w:rPr>
      </w:pPr>
      <w:r w:rsidRPr="00C86111">
        <w:rPr>
          <w:rFonts w:asciiTheme="minorHAnsi" w:hAnsiTheme="minorHAnsi" w:cstheme="minorHAnsi"/>
          <w:color w:val="auto"/>
          <w:szCs w:val="24"/>
        </w:rPr>
        <w:t>razvoj i održavanje skladišnih kapaciteta za POPs;</w:t>
      </w:r>
    </w:p>
    <w:p w14:paraId="3F4493B9" w14:textId="77777777" w:rsidR="004F6023" w:rsidRPr="00C86111" w:rsidRDefault="004F6023" w:rsidP="00833A40">
      <w:pPr>
        <w:numPr>
          <w:ilvl w:val="0"/>
          <w:numId w:val="60"/>
        </w:numPr>
        <w:jc w:val="both"/>
        <w:rPr>
          <w:rFonts w:asciiTheme="minorHAnsi" w:hAnsiTheme="minorHAnsi" w:cstheme="minorHAnsi"/>
          <w:color w:val="auto"/>
          <w:szCs w:val="24"/>
        </w:rPr>
      </w:pPr>
      <w:r w:rsidRPr="00C86111">
        <w:rPr>
          <w:rFonts w:asciiTheme="minorHAnsi" w:hAnsiTheme="minorHAnsi" w:cstheme="minorHAnsi"/>
          <w:color w:val="auto"/>
          <w:szCs w:val="24"/>
        </w:rPr>
        <w:t>nabavku laboratorijske opreme i reagensa potrebnih za monitoring i analizu;</w:t>
      </w:r>
    </w:p>
    <w:p w14:paraId="44E4086F" w14:textId="77777777" w:rsidR="004F6023" w:rsidRPr="00C86111" w:rsidRDefault="004F6023" w:rsidP="00833A40">
      <w:pPr>
        <w:numPr>
          <w:ilvl w:val="0"/>
          <w:numId w:val="60"/>
        </w:num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kontinuiranu obuku i edukaciju stručnjaka u nadležnim institucijama i lokalnim samoupravama.</w:t>
      </w:r>
    </w:p>
    <w:p w14:paraId="7B245733"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Takođe, lokalne samouprave nisu dovoljno uključene u proces planiranja budžeta za identifikaciju i upravljanje POPs otpadom na svojoj teritoriji, što ograničava njihovu sposobnost da aktivno učestvuju u implementaciji lokalnih mjera zaštite životne sredine. Ovo dovodi do situacije u kojoj implementacija nacionalnih programa zavisi pretežno od međunarodnog finansiranja, što dugoročno može ugroziti kontinuitet aktivnosti i održivost sistema upravljanja POPs u zemlji.</w:t>
      </w:r>
    </w:p>
    <w:p w14:paraId="3C32274E"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U svjetlu navedenog, postoji jasna potreba za:</w:t>
      </w:r>
    </w:p>
    <w:p w14:paraId="6B1AA4D7" w14:textId="77777777" w:rsidR="004F6023" w:rsidRPr="00C86111" w:rsidRDefault="004F6023" w:rsidP="00833A40">
      <w:pPr>
        <w:numPr>
          <w:ilvl w:val="0"/>
          <w:numId w:val="61"/>
        </w:numPr>
        <w:jc w:val="both"/>
        <w:rPr>
          <w:rFonts w:asciiTheme="minorHAnsi" w:hAnsiTheme="minorHAnsi" w:cstheme="minorHAnsi"/>
          <w:color w:val="auto"/>
          <w:szCs w:val="24"/>
        </w:rPr>
      </w:pPr>
      <w:r w:rsidRPr="00C86111">
        <w:rPr>
          <w:rFonts w:asciiTheme="minorHAnsi" w:hAnsiTheme="minorHAnsi" w:cstheme="minorHAnsi"/>
          <w:color w:val="auto"/>
          <w:szCs w:val="24"/>
        </w:rPr>
        <w:t>predviđanje stabilnih budžetskih linija u nacionalnom budžetu za POPs i srodne aktivnosti;</w:t>
      </w:r>
    </w:p>
    <w:p w14:paraId="7832AD36" w14:textId="77777777" w:rsidR="004F6023" w:rsidRPr="00C86111" w:rsidRDefault="004F6023" w:rsidP="00833A40">
      <w:pPr>
        <w:numPr>
          <w:ilvl w:val="0"/>
          <w:numId w:val="61"/>
        </w:numPr>
        <w:jc w:val="both"/>
        <w:rPr>
          <w:rFonts w:asciiTheme="minorHAnsi" w:hAnsiTheme="minorHAnsi" w:cstheme="minorHAnsi"/>
          <w:color w:val="auto"/>
          <w:szCs w:val="24"/>
        </w:rPr>
      </w:pPr>
      <w:r w:rsidRPr="00C86111">
        <w:rPr>
          <w:rFonts w:asciiTheme="minorHAnsi" w:hAnsiTheme="minorHAnsi" w:cstheme="minorHAnsi"/>
          <w:color w:val="auto"/>
          <w:szCs w:val="24"/>
        </w:rPr>
        <w:t>jačanje uloge lokalnih samouprava u planiranju i implementaciji programa upravljanja POPs;</w:t>
      </w:r>
    </w:p>
    <w:p w14:paraId="4B2BDA0A" w14:textId="77777777" w:rsidR="004F6023" w:rsidRPr="00C86111" w:rsidRDefault="004F6023" w:rsidP="00833A40">
      <w:pPr>
        <w:numPr>
          <w:ilvl w:val="0"/>
          <w:numId w:val="61"/>
        </w:numPr>
        <w:jc w:val="both"/>
        <w:rPr>
          <w:rFonts w:asciiTheme="minorHAnsi" w:hAnsiTheme="minorHAnsi" w:cstheme="minorHAnsi"/>
          <w:color w:val="auto"/>
          <w:szCs w:val="24"/>
        </w:rPr>
      </w:pPr>
      <w:r w:rsidRPr="00C86111">
        <w:rPr>
          <w:rFonts w:asciiTheme="minorHAnsi" w:hAnsiTheme="minorHAnsi" w:cstheme="minorHAnsi"/>
          <w:color w:val="auto"/>
          <w:szCs w:val="24"/>
        </w:rPr>
        <w:t>integraciju međunarodnih i nacionalnih resursa kroz dugoročne strateške planove i partnerstva sa UN agencijama i fondovima.</w:t>
      </w:r>
    </w:p>
    <w:p w14:paraId="6C58A159" w14:textId="77777777" w:rsidR="004F6023" w:rsidRPr="00C86111" w:rsidRDefault="004F6023" w:rsidP="004F6023">
      <w:pPr>
        <w:jc w:val="both"/>
        <w:rPr>
          <w:rFonts w:asciiTheme="minorHAnsi" w:hAnsiTheme="minorHAnsi" w:cstheme="minorHAnsi"/>
          <w:color w:val="auto"/>
          <w:szCs w:val="24"/>
        </w:rPr>
      </w:pPr>
      <w:r w:rsidRPr="00C86111">
        <w:rPr>
          <w:rFonts w:asciiTheme="minorHAnsi" w:hAnsiTheme="minorHAnsi" w:cstheme="minorHAnsi"/>
          <w:color w:val="auto"/>
          <w:szCs w:val="24"/>
        </w:rPr>
        <w:t>Ovo će omogućiti Crnoj Gori da osigura održivost svojih programa u oblasti POPs, poboljša institucionalne kapacitete i postigne efikasno sprovođenje međunarodnih obaveza iz Stokholmske konvencije.</w:t>
      </w:r>
    </w:p>
    <w:p w14:paraId="1F32CCDE" w14:textId="77777777" w:rsidR="004F6023" w:rsidRPr="00C86111" w:rsidRDefault="004F6023" w:rsidP="004F6023">
      <w:pPr>
        <w:jc w:val="both"/>
        <w:rPr>
          <w:rFonts w:asciiTheme="minorHAnsi" w:hAnsiTheme="minorHAnsi" w:cstheme="minorHAnsi"/>
          <w:szCs w:val="24"/>
        </w:rPr>
      </w:pPr>
    </w:p>
    <w:p w14:paraId="04AAB7EB" w14:textId="77777777" w:rsidR="004F6023" w:rsidRPr="00C86111" w:rsidRDefault="004F6023" w:rsidP="00912C4C">
      <w:pPr>
        <w:pStyle w:val="Heading1"/>
      </w:pPr>
      <w:bookmarkStart w:id="471" w:name="_Toc209502481"/>
      <w:bookmarkStart w:id="472" w:name="_Toc220542002"/>
      <w:r w:rsidRPr="00C86111">
        <w:t>ZAKONODAVNI OKVIR</w:t>
      </w:r>
      <w:bookmarkEnd w:id="471"/>
      <w:bookmarkEnd w:id="472"/>
      <w:r w:rsidRPr="00C86111">
        <w:t xml:space="preserve"> </w:t>
      </w:r>
    </w:p>
    <w:p w14:paraId="245E572A" w14:textId="77777777" w:rsidR="004F6023" w:rsidRPr="00C86111" w:rsidRDefault="004F6023" w:rsidP="004F6023">
      <w:pPr>
        <w:jc w:val="both"/>
        <w:rPr>
          <w:rFonts w:asciiTheme="minorHAnsi" w:hAnsiTheme="minorHAnsi" w:cstheme="minorHAnsi"/>
          <w:szCs w:val="24"/>
        </w:rPr>
      </w:pPr>
    </w:p>
    <w:p w14:paraId="5242A0D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U Crnoj Gori, regulativa koja se odnosi na POPs jedinjenja uređena je kroz sljedeće zakonske i podzakonske akte:</w:t>
      </w:r>
    </w:p>
    <w:p w14:paraId="6121A6AE" w14:textId="77777777" w:rsidR="004F6023" w:rsidRPr="00C86111" w:rsidRDefault="004F6023" w:rsidP="004F6023">
      <w:pPr>
        <w:jc w:val="both"/>
        <w:rPr>
          <w:rFonts w:asciiTheme="minorHAnsi" w:hAnsiTheme="minorHAnsi" w:cstheme="minorHAnsi"/>
          <w:szCs w:val="24"/>
        </w:rPr>
      </w:pPr>
    </w:p>
    <w:p w14:paraId="63045918"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Zakon o životnoj sredini</w:t>
      </w:r>
      <w:r w:rsidRPr="00C86111">
        <w:rPr>
          <w:rFonts w:asciiTheme="minorHAnsi" w:hAnsiTheme="minorHAnsi" w:cstheme="minorHAnsi"/>
          <w:szCs w:val="24"/>
        </w:rPr>
        <w:t xml:space="preserve"> ("Službeni list Crne Gore", br. 52/16, 73/19, 84/24); </w:t>
      </w:r>
    </w:p>
    <w:p w14:paraId="38DADF89"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Zakon o hemikalijama</w:t>
      </w:r>
      <w:r w:rsidRPr="00C86111">
        <w:rPr>
          <w:rFonts w:asciiTheme="minorHAnsi" w:hAnsiTheme="minorHAnsi" w:cstheme="minorHAnsi"/>
          <w:szCs w:val="24"/>
        </w:rPr>
        <w:t xml:space="preserve"> ("Službeni list Crne Gore", br. 51/17, 84/24);</w:t>
      </w:r>
    </w:p>
    <w:p w14:paraId="3FBE613D"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Zakon o sredstvima za zaštitu bilja</w:t>
      </w:r>
      <w:r w:rsidRPr="00C86111">
        <w:rPr>
          <w:rFonts w:asciiTheme="minorHAnsi" w:hAnsiTheme="minorHAnsi" w:cstheme="minorHAnsi"/>
          <w:szCs w:val="24"/>
        </w:rPr>
        <w:t xml:space="preserve"> ("Službeni list Crne Gore", br. 51/08, 40/11, 18/14);</w:t>
      </w:r>
    </w:p>
    <w:p w14:paraId="05A52C2B"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Zakon o industrijskim emisijama</w:t>
      </w:r>
      <w:r w:rsidRPr="00C86111">
        <w:rPr>
          <w:rFonts w:asciiTheme="minorHAnsi" w:hAnsiTheme="minorHAnsi" w:cstheme="minorHAnsi"/>
          <w:szCs w:val="24"/>
        </w:rPr>
        <w:t xml:space="preserve"> ("Službeni list Crne Gore", br. 17/19, 3/23, 34/24, 84/24);</w:t>
      </w:r>
    </w:p>
    <w:p w14:paraId="2C9C1A48"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Zakon o upravljanju otpadom</w:t>
      </w:r>
      <w:r w:rsidRPr="00C86111">
        <w:rPr>
          <w:rFonts w:asciiTheme="minorHAnsi" w:hAnsiTheme="minorHAnsi" w:cstheme="minorHAnsi"/>
          <w:szCs w:val="24"/>
        </w:rPr>
        <w:t xml:space="preserve">  ("Službeni list Crne Gore", br. 34/24, 92/24);</w:t>
      </w:r>
    </w:p>
    <w:p w14:paraId="7BA8F985"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Zakon o zaštiti vazduha</w:t>
      </w:r>
      <w:r w:rsidRPr="00C86111">
        <w:rPr>
          <w:rFonts w:asciiTheme="minorHAnsi" w:hAnsiTheme="minorHAnsi" w:cstheme="minorHAnsi"/>
          <w:szCs w:val="24"/>
        </w:rPr>
        <w:t xml:space="preserve"> ("Službeni list Crne Gore", br. 25/10, 40/11, 43/15, 73/19, 84/24);</w:t>
      </w:r>
    </w:p>
    <w:p w14:paraId="1C795A74"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Zakon o vodama</w:t>
      </w:r>
      <w:r w:rsidRPr="00C86111">
        <w:rPr>
          <w:rFonts w:asciiTheme="minorHAnsi" w:hAnsiTheme="minorHAnsi" w:cstheme="minorHAnsi"/>
          <w:szCs w:val="24"/>
        </w:rPr>
        <w:t xml:space="preserve"> („Službeni list Crne Gore”, broj: 27/07, 73/10, 32/11, 47/11, 48/15, 52/16, 55/16, 2/17, 80/17, 84/18, 84/24), </w:t>
      </w:r>
    </w:p>
    <w:p w14:paraId="768FE6C9"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Zakon o zaštiti od negativnih uticaja klimatskih promjena</w:t>
      </w:r>
      <w:r w:rsidRPr="00C86111">
        <w:rPr>
          <w:rFonts w:asciiTheme="minorHAnsi" w:hAnsiTheme="minorHAnsi" w:cstheme="minorHAnsi"/>
          <w:szCs w:val="24"/>
        </w:rPr>
        <w:t xml:space="preserve"> (“Službeni list Crne Gore”, br. 73/19, 84/24);</w:t>
      </w:r>
    </w:p>
    <w:p w14:paraId="09959446"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Uredba o graničnim vrijednostima emisija zagađujućih materija u vazduh iz stacionarnih izvora</w:t>
      </w:r>
      <w:r w:rsidRPr="00C86111">
        <w:rPr>
          <w:rFonts w:asciiTheme="minorHAnsi" w:hAnsiTheme="minorHAnsi" w:cstheme="minorHAnsi"/>
          <w:szCs w:val="24"/>
        </w:rPr>
        <w:t xml:space="preserve"> („Službeni list Crne Gore”, br. 10/11, 129/21);</w:t>
      </w:r>
    </w:p>
    <w:p w14:paraId="4A660098"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Pravilnik o klasifikaciji otpada, katalogu otpada, postupcima obrade otpada, odnosno prerade i odstranjivanja otpada</w:t>
      </w:r>
      <w:r w:rsidRPr="00C86111">
        <w:rPr>
          <w:rFonts w:asciiTheme="minorHAnsi" w:hAnsiTheme="minorHAnsi" w:cstheme="minorHAnsi"/>
          <w:szCs w:val="24"/>
        </w:rPr>
        <w:t xml:space="preserve"> ("Službeni list Crne Gore", br. 64/24);</w:t>
      </w:r>
    </w:p>
    <w:p w14:paraId="4631A5C7"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Pravilnik o listi POPs supstanci, načinu i postupku za upravljanje POPs otpadom i granične vrijednosti koncentracija POPs materija koje se odnose na preradu i odstranjivanje otpada koji sadrži ili je kontaminiran POPs supstancama</w:t>
      </w:r>
      <w:r w:rsidRPr="00C86111">
        <w:rPr>
          <w:rFonts w:asciiTheme="minorHAnsi" w:hAnsiTheme="minorHAnsi" w:cstheme="minorHAnsi"/>
          <w:szCs w:val="24"/>
        </w:rPr>
        <w:t xml:space="preserve"> ("Službeni list Crne Gore", br. 98/24);</w:t>
      </w:r>
    </w:p>
    <w:p w14:paraId="79B1A5F8"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Pravilnik o postupanju sa otpadnim uljima</w:t>
      </w:r>
      <w:r w:rsidRPr="00C86111">
        <w:rPr>
          <w:rFonts w:asciiTheme="minorHAnsi" w:hAnsiTheme="minorHAnsi" w:cstheme="minorHAnsi"/>
          <w:szCs w:val="24"/>
        </w:rPr>
        <w:t xml:space="preserve"> („Službeni list Crne Gore”, br. 48/12); </w:t>
      </w:r>
    </w:p>
    <w:p w14:paraId="2F3923C4"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lastRenderedPageBreak/>
        <w:t>Pravilnik o načinu sačinjavanja plana upravljanja i postupanju sa otpadom i opremom koja sadrži polihlorovane bifenile</w:t>
      </w:r>
      <w:r w:rsidRPr="00C86111">
        <w:rPr>
          <w:rFonts w:asciiTheme="minorHAnsi" w:hAnsiTheme="minorHAnsi" w:cstheme="minorHAnsi"/>
          <w:szCs w:val="24"/>
        </w:rPr>
        <w:t xml:space="preserve"> ("Službeni list Crne Gore", br. 36/25);</w:t>
      </w:r>
    </w:p>
    <w:p w14:paraId="3E1DD5AB"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Pravilnik o kvalitetu i sanitarno-tehničkim uslovima za ispuštanje otpadnih voda, načinu i postupku ispitivanja kvaliteta otpadnih voda i sadržaju izvještaja o utvrđenom kvalitetu otpadnih voda</w:t>
      </w:r>
      <w:r w:rsidRPr="00C86111">
        <w:rPr>
          <w:rFonts w:ascii="Cambria Math" w:hAnsi="Cambria Math" w:cs="Cambria Math"/>
          <w:b/>
          <w:szCs w:val="24"/>
        </w:rPr>
        <w:t>∗</w:t>
      </w:r>
      <w:r w:rsidRPr="00C86111">
        <w:rPr>
          <w:rFonts w:asciiTheme="minorHAnsi" w:hAnsiTheme="minorHAnsi" w:cstheme="minorHAnsi"/>
          <w:szCs w:val="24"/>
        </w:rPr>
        <w:t xml:space="preserve"> ("Službeni list Crne Gore", br. 56/19);</w:t>
      </w:r>
    </w:p>
    <w:p w14:paraId="199AD531"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Program za unaprjeđenje sistema za postupanje i upravljanje otpadom odnosno za postupanje sa ambalažom nakon upotrebe pesticida za 2024. godinu</w:t>
      </w:r>
      <w:r w:rsidRPr="00C86111">
        <w:rPr>
          <w:rFonts w:ascii="Cambria Math" w:hAnsi="Cambria Math" w:cs="Cambria Math"/>
          <w:b/>
          <w:szCs w:val="24"/>
        </w:rPr>
        <w:t>∗</w:t>
      </w:r>
      <w:r w:rsidRPr="00C86111">
        <w:rPr>
          <w:rFonts w:asciiTheme="minorHAnsi" w:hAnsiTheme="minorHAnsi" w:cstheme="minorHAnsi"/>
          <w:szCs w:val="24"/>
        </w:rPr>
        <w:t xml:space="preserve"> ("Službeni list Crne Gore", br. 41/24);</w:t>
      </w:r>
    </w:p>
    <w:p w14:paraId="63F18AFF" w14:textId="77777777" w:rsidR="004F6023" w:rsidRPr="00C86111" w:rsidRDefault="004F6023" w:rsidP="007E2AA5">
      <w:pPr>
        <w:pStyle w:val="ListParagraph"/>
        <w:numPr>
          <w:ilvl w:val="0"/>
          <w:numId w:val="5"/>
        </w:numPr>
        <w:jc w:val="both"/>
        <w:rPr>
          <w:rFonts w:asciiTheme="minorHAnsi" w:hAnsiTheme="minorHAnsi" w:cstheme="minorHAnsi"/>
          <w:szCs w:val="24"/>
        </w:rPr>
      </w:pPr>
      <w:r w:rsidRPr="00C86111">
        <w:rPr>
          <w:rFonts w:asciiTheme="minorHAnsi" w:hAnsiTheme="minorHAnsi" w:cstheme="minorHAnsi"/>
          <w:b/>
          <w:szCs w:val="24"/>
        </w:rPr>
        <w:t>Pravilnik o dozvoljenim količinama opasnih i štetnih materija u zemljištu i metodama za njihovo ispitivanje</w:t>
      </w:r>
      <w:r w:rsidRPr="00C86111">
        <w:rPr>
          <w:rFonts w:asciiTheme="minorHAnsi" w:hAnsiTheme="minorHAnsi" w:cstheme="minorHAnsi"/>
          <w:szCs w:val="24"/>
        </w:rPr>
        <w:t xml:space="preserve"> ("Službeni list RCG", br. 18/97).</w:t>
      </w:r>
    </w:p>
    <w:p w14:paraId="4CF732F3" w14:textId="77777777" w:rsidR="004F6023" w:rsidRPr="00C86111" w:rsidRDefault="004F6023" w:rsidP="004F6023">
      <w:pPr>
        <w:pStyle w:val="NormalWeb"/>
        <w:jc w:val="both"/>
        <w:rPr>
          <w:rFonts w:asciiTheme="minorHAnsi" w:hAnsiTheme="minorHAnsi" w:cstheme="minorHAnsi"/>
        </w:rPr>
      </w:pPr>
      <w:r w:rsidRPr="00C86111">
        <w:rPr>
          <w:rStyle w:val="Strong"/>
          <w:rFonts w:asciiTheme="minorHAnsi" w:eastAsiaTheme="majorEastAsia" w:hAnsiTheme="minorHAnsi" w:cstheme="minorHAnsi"/>
        </w:rPr>
        <w:t>Zakon o životnoj sredini</w:t>
      </w:r>
      <w:r w:rsidRPr="00C86111">
        <w:rPr>
          <w:rFonts w:asciiTheme="minorHAnsi" w:hAnsiTheme="minorHAnsi" w:cstheme="minorHAnsi"/>
        </w:rPr>
        <w:t xml:space="preserve"> uređuje principe zaštite životne sredine i održivog razvoja, subjekte i instrumente zaštite životne sredine, učešće javnosti u pitanjima životne sredine, te druga pitanja od značaja za očuvanje životne sredine. Zaštita životne sredine ima za cilj cjelovito očuvanje njenog kvaliteta, očuvanje biološke i pejzažne raznovrsnosti, racionalno korišćenje prirodnih dobara i energije na način koji je najpovoljniji za životnu sredinu, što predstavlja osnovni preduslov zdravog i održivog razvoja. Ovim zakonom ustanovljena je i </w:t>
      </w:r>
      <w:r w:rsidRPr="00C86111">
        <w:rPr>
          <w:rStyle w:val="Strong"/>
          <w:rFonts w:asciiTheme="minorHAnsi" w:eastAsiaTheme="majorEastAsia" w:hAnsiTheme="minorHAnsi" w:cstheme="minorHAnsi"/>
        </w:rPr>
        <w:t>Agencija za zaštitu životne sredine</w:t>
      </w:r>
      <w:r w:rsidRPr="00C86111">
        <w:rPr>
          <w:rFonts w:asciiTheme="minorHAnsi" w:hAnsiTheme="minorHAnsi" w:cstheme="minorHAnsi"/>
        </w:rPr>
        <w:t>, kao organ uprave nadležan za obavljanje stručnih i povezanih poslova u oblasti zaštite životne sredine.</w:t>
      </w:r>
    </w:p>
    <w:p w14:paraId="426A7E60" w14:textId="77777777" w:rsidR="004F6023" w:rsidRPr="00C86111" w:rsidRDefault="004F6023" w:rsidP="004F6023">
      <w:pPr>
        <w:pStyle w:val="NormalWeb"/>
        <w:jc w:val="both"/>
        <w:rPr>
          <w:rFonts w:asciiTheme="minorHAnsi" w:hAnsiTheme="minorHAnsi" w:cstheme="minorHAnsi"/>
        </w:rPr>
      </w:pPr>
      <w:r w:rsidRPr="00C86111">
        <w:rPr>
          <w:rFonts w:asciiTheme="minorHAnsi" w:hAnsiTheme="minorHAnsi" w:cstheme="minorHAnsi"/>
        </w:rPr>
        <w:t xml:space="preserve">U skladu sa Zakonom, </w:t>
      </w:r>
      <w:r w:rsidRPr="00C86111">
        <w:rPr>
          <w:rStyle w:val="Strong"/>
          <w:rFonts w:asciiTheme="minorHAnsi" w:eastAsiaTheme="majorEastAsia" w:hAnsiTheme="minorHAnsi" w:cstheme="minorHAnsi"/>
        </w:rPr>
        <w:t>dugotrajne organske zagađujuće supstance (POPs)</w:t>
      </w:r>
      <w:r w:rsidRPr="00C86111">
        <w:rPr>
          <w:rFonts w:asciiTheme="minorHAnsi" w:hAnsiTheme="minorHAnsi" w:cstheme="minorHAnsi"/>
        </w:rPr>
        <w:t xml:space="preserve"> definisane su kao supstance koje: posjeduju toksična svojstva; teško se razlažu; bioakumulativne su; prenose se kroz atmosferu i talože na velikim udaljenostima; i uzrokuju značajne negativne efekte na ljudsko zdravlje i životnu sredinu, kako u blizini, tako i daleko od izvora nastanka.</w:t>
      </w:r>
    </w:p>
    <w:p w14:paraId="0A7F0A83" w14:textId="77777777" w:rsidR="004F6023" w:rsidRPr="00C86111" w:rsidRDefault="004F6023" w:rsidP="004F6023">
      <w:pPr>
        <w:pStyle w:val="NormalWeb"/>
        <w:jc w:val="both"/>
        <w:rPr>
          <w:rFonts w:asciiTheme="minorHAnsi" w:hAnsiTheme="minorHAnsi" w:cstheme="minorHAnsi"/>
        </w:rPr>
      </w:pPr>
      <w:r w:rsidRPr="00C86111">
        <w:rPr>
          <w:rFonts w:asciiTheme="minorHAnsi" w:hAnsiTheme="minorHAnsi" w:cstheme="minorHAnsi"/>
        </w:rPr>
        <w:t>Zakonom je zabranjena proizvodnja, stavljanje u promet i upotreba dugotrajnih organskih zagađujućih supstanci, bilo u smjesama ili kao sastavni dio proizvoda. Međutim, zabrana iz člana 47, stav 1, ne primjenjuje se na POPs supstance koje se: koriste za laboratorijska ispitivanja ili kao referentni standard; te na supstance koje se javljaju u tragovima, čija je prisutnost u smjesama ili proizvodima nenamjerna.</w:t>
      </w:r>
    </w:p>
    <w:p w14:paraId="46C2EAB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Na osnovu navedenog Zakona donesen je </w:t>
      </w:r>
      <w:r w:rsidRPr="00C86111">
        <w:rPr>
          <w:rFonts w:asciiTheme="minorHAnsi" w:hAnsiTheme="minorHAnsi" w:cstheme="minorHAnsi"/>
          <w:b/>
          <w:bCs/>
          <w:szCs w:val="24"/>
        </w:rPr>
        <w:t>Pravilnik o bližem sadržaju i načinu vođenja katastra zagađivača životne sredine</w:t>
      </w:r>
      <w:r w:rsidRPr="00C86111">
        <w:rPr>
          <w:rFonts w:asciiTheme="minorHAnsi" w:hAnsiTheme="minorHAnsi" w:cstheme="minorHAnsi"/>
          <w:szCs w:val="24"/>
        </w:rPr>
        <w:t xml:space="preserve"> („Sl. list CG“, br. 45/17), kojim se propisuje detaljan sadržaj i način vođenja katastra, obveznici, te način i rokovi prikupljanja i dostavljanja podataka o emisijama i ispuštanju zagađujućih supstanci, kao i drugi podaci značajni za vođenje katastra zagađivača.</w:t>
      </w:r>
    </w:p>
    <w:p w14:paraId="3EB2CE30"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Takođe, donesen je </w:t>
      </w:r>
      <w:r w:rsidRPr="00C86111">
        <w:rPr>
          <w:rFonts w:asciiTheme="minorHAnsi" w:hAnsiTheme="minorHAnsi" w:cstheme="minorHAnsi"/>
          <w:b/>
          <w:bCs/>
          <w:szCs w:val="24"/>
        </w:rPr>
        <w:t>Pravilnik o kriterijumima koje treba da ispunjava referentna laboratorija za monitoring životne sredine</w:t>
      </w:r>
      <w:r w:rsidRPr="00C86111">
        <w:rPr>
          <w:rFonts w:asciiTheme="minorHAnsi" w:hAnsiTheme="minorHAnsi" w:cstheme="minorHAnsi"/>
          <w:szCs w:val="24"/>
        </w:rPr>
        <w:t xml:space="preserve"> („Sl. list CG“, br. 11/17), kojim se utvrđuju standardi i zahtjevi za laboratorije koje obavljaju monitoring životne sredine.</w:t>
      </w:r>
    </w:p>
    <w:p w14:paraId="6C9CD642" w14:textId="77777777" w:rsidR="004F6023" w:rsidRPr="00C86111" w:rsidRDefault="004F6023" w:rsidP="004F6023">
      <w:pPr>
        <w:jc w:val="both"/>
        <w:rPr>
          <w:rFonts w:asciiTheme="minorHAnsi" w:hAnsiTheme="minorHAnsi" w:cstheme="minorHAnsi"/>
          <w:szCs w:val="24"/>
        </w:rPr>
      </w:pPr>
    </w:p>
    <w:p w14:paraId="13DD0AC5"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Zakonom o hemikalijama</w:t>
      </w:r>
      <w:r w:rsidRPr="00C86111">
        <w:rPr>
          <w:rFonts w:asciiTheme="minorHAnsi" w:hAnsiTheme="minorHAnsi" w:cstheme="minorHAnsi"/>
          <w:szCs w:val="24"/>
        </w:rPr>
        <w:t xml:space="preserve"> uređuje se klasifikacija, označavanje, pakovanje, stavljanje na tržište, izvoz i uvoz hemikalija, kao i druga pitanja od značaja za zaštitu zdravlja ljudi i životne sredine od štetnog uticaja hemikalija. Zakon o hemikalijama Crne Gore je, kroz proces harmonizacije, prenio ključne djelove tri važne EU uredbe:</w:t>
      </w:r>
    </w:p>
    <w:p w14:paraId="21F2EC0E" w14:textId="77777777" w:rsidR="004F6023" w:rsidRPr="00C86111" w:rsidRDefault="004F6023" w:rsidP="004F6023">
      <w:pPr>
        <w:jc w:val="both"/>
        <w:rPr>
          <w:rFonts w:asciiTheme="minorHAnsi" w:hAnsiTheme="minorHAnsi" w:cstheme="minorHAnsi"/>
          <w:szCs w:val="24"/>
        </w:rPr>
      </w:pPr>
    </w:p>
    <w:p w14:paraId="7F56894F"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lastRenderedPageBreak/>
        <w:t>•</w:t>
      </w:r>
      <w:r w:rsidRPr="00C86111">
        <w:rPr>
          <w:rFonts w:asciiTheme="minorHAnsi" w:hAnsiTheme="minorHAnsi" w:cstheme="minorHAnsi"/>
          <w:szCs w:val="24"/>
        </w:rPr>
        <w:tab/>
        <w:t>REACH (Regulativa (EZ) br. 1907/2006),</w:t>
      </w:r>
    </w:p>
    <w:p w14:paraId="35DE8CB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w:t>
      </w:r>
      <w:r w:rsidRPr="00C86111">
        <w:rPr>
          <w:rFonts w:asciiTheme="minorHAnsi" w:hAnsiTheme="minorHAnsi" w:cstheme="minorHAnsi"/>
          <w:szCs w:val="24"/>
        </w:rPr>
        <w:tab/>
        <w:t>CLP (Regulativa (EZ) br. 1272/2008), i</w:t>
      </w:r>
    </w:p>
    <w:p w14:paraId="35C838D8"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w:t>
      </w:r>
      <w:r w:rsidRPr="00C86111">
        <w:rPr>
          <w:rFonts w:asciiTheme="minorHAnsi" w:hAnsiTheme="minorHAnsi" w:cstheme="minorHAnsi"/>
          <w:szCs w:val="24"/>
        </w:rPr>
        <w:tab/>
        <w:t>PIC (Regulativa (EZ) br. 649/2012).</w:t>
      </w:r>
    </w:p>
    <w:p w14:paraId="5D398870" w14:textId="77777777" w:rsidR="004F6023" w:rsidRPr="00C86111" w:rsidRDefault="004F6023" w:rsidP="004F6023">
      <w:pPr>
        <w:jc w:val="both"/>
        <w:rPr>
          <w:rFonts w:asciiTheme="minorHAnsi" w:hAnsiTheme="minorHAnsi" w:cstheme="minorHAnsi"/>
          <w:szCs w:val="24"/>
        </w:rPr>
      </w:pPr>
    </w:p>
    <w:p w14:paraId="033425F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Iako se nijedna od ovih uredbi ne bavi isključivo POPs supstancama, sve tri su neposredno relevantne za kontrolu, ograničenje i razmjenu informacija o POPs hemikalijama. U okviru REACH regulative POPs supstance koje su identifikovane kao supstance koje izazivaju zabrinutost (SVHC – Substances of Very High Concern) mogu biti podvrgnute ograničenju ili zabrani kroz Aneks XVII, ili stavljenje na listu za odobravanje (Aneks XIV). Iako EU posebno reguliše POPs kroz Uredbu (EU) 2019/1021, mnoge POPs supstance (kao što su PFOA, PFOS, HBCDD, itd.) su prethodno prošle REACH evaluaciju, što je pomoglo u njihovoj zabrani. REACH propisuje i obavezu informisanja potrošača o prisustvu SVHC supstanci u proizvodima – što je ključni aspekt kontrole ne-namjernih POPs u prometu.</w:t>
      </w:r>
    </w:p>
    <w:p w14:paraId="02A0BF63" w14:textId="77777777" w:rsidR="004F6023" w:rsidRPr="00C86111" w:rsidRDefault="004F6023" w:rsidP="004F6023">
      <w:pPr>
        <w:jc w:val="both"/>
        <w:rPr>
          <w:rFonts w:asciiTheme="minorHAnsi" w:hAnsiTheme="minorHAnsi" w:cstheme="minorHAnsi"/>
          <w:szCs w:val="24"/>
        </w:rPr>
      </w:pPr>
    </w:p>
    <w:p w14:paraId="6BDADFD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Kroz CLP regulativu, Crna Gora je preuzela EU sistem klasifikacije, obavještavanja i pakovanja. Mnoge POPs supstance su klasifikovane kao karcinogene, perzistentne, bioakumulativne i toksične (PBT / vPvB). CLP omogućava jasno označavanje hemikalija koje posjeduju dugoročne hronične efekte – što je od suštinskog značaja za ranu detekciju POPs u prometu i zaštitu zdravlja.</w:t>
      </w:r>
    </w:p>
    <w:p w14:paraId="46CAA973" w14:textId="77777777" w:rsidR="004F6023" w:rsidRPr="00C86111" w:rsidRDefault="004F6023" w:rsidP="004F6023">
      <w:pPr>
        <w:jc w:val="both"/>
        <w:rPr>
          <w:rFonts w:asciiTheme="minorHAnsi" w:hAnsiTheme="minorHAnsi" w:cstheme="minorHAnsi"/>
          <w:szCs w:val="24"/>
        </w:rPr>
      </w:pPr>
    </w:p>
    <w:p w14:paraId="67D36B5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PIC uredba reguliše izvoz i uvoz određenih opasnih hemikalija, uključujući većinu POPs supstanci koje su: već zabranjene ili strogo ograničene u EU, ali se i dalje mogu naći u međunarodnoj trgovini, posebno prema trećim zemljama; predmet tzv. obaveznog prethodnog obavještenja i pristanka (Prior Informed Consent). Crna Gora, kao potpisnica Roterdamske konvencije (kojoj PIC uredba odgovara), ima zakonsku osnovu da reguliše uvoz/izvoz POPs supstanci u skladu s međunarodnim obavezama.</w:t>
      </w:r>
    </w:p>
    <w:p w14:paraId="34C96B74" w14:textId="77777777" w:rsidR="004F6023" w:rsidRPr="00C86111" w:rsidRDefault="004F6023" w:rsidP="004F6023">
      <w:pPr>
        <w:jc w:val="both"/>
        <w:rPr>
          <w:rFonts w:asciiTheme="minorHAnsi" w:hAnsiTheme="minorHAnsi" w:cstheme="minorHAnsi"/>
          <w:szCs w:val="24"/>
        </w:rPr>
      </w:pPr>
    </w:p>
    <w:p w14:paraId="2E2C173C" w14:textId="77777777" w:rsidR="004F6023" w:rsidRPr="00C86111" w:rsidRDefault="004F6023" w:rsidP="004F6023">
      <w:pPr>
        <w:jc w:val="both"/>
        <w:rPr>
          <w:rFonts w:asciiTheme="minorHAnsi" w:hAnsiTheme="minorHAnsi" w:cstheme="minorHAnsi"/>
          <w:bCs/>
          <w:szCs w:val="24"/>
        </w:rPr>
      </w:pPr>
      <w:r w:rsidRPr="00C86111">
        <w:rPr>
          <w:rFonts w:asciiTheme="minorHAnsi" w:hAnsiTheme="minorHAnsi" w:cstheme="minorHAnsi"/>
          <w:b/>
          <w:szCs w:val="24"/>
        </w:rPr>
        <w:t xml:space="preserve">U </w:t>
      </w:r>
      <w:r w:rsidRPr="00C86111">
        <w:rPr>
          <w:rFonts w:asciiTheme="minorHAnsi" w:hAnsiTheme="minorHAnsi" w:cstheme="minorHAnsi"/>
          <w:b/>
          <w:bCs/>
          <w:szCs w:val="24"/>
        </w:rPr>
        <w:t>Prilogu 1 Pravilnika o listi opasnih hemikalija i proizvoda čiji je izvoz zabranjen</w:t>
      </w:r>
      <w:r w:rsidRPr="00C86111">
        <w:rPr>
          <w:rFonts w:asciiTheme="minorHAnsi" w:hAnsiTheme="minorHAnsi" w:cstheme="minorHAnsi"/>
          <w:b/>
          <w:szCs w:val="24"/>
        </w:rPr>
        <w:t xml:space="preserve"> („Sl. list CG“, br. 71/18) </w:t>
      </w:r>
      <w:r w:rsidRPr="00C86111">
        <w:rPr>
          <w:rFonts w:asciiTheme="minorHAnsi" w:hAnsiTheme="minorHAnsi" w:cstheme="minorHAnsi"/>
          <w:bCs/>
          <w:szCs w:val="24"/>
        </w:rPr>
        <w:t>navedene su POPs supstance sa lista iz Aneksa A i B Stokholmske konvencije. Ovim pravilnikom obuhvaćene su sve POPs supstance koje su uvrštene 2009. i 2011. godine.</w:t>
      </w:r>
    </w:p>
    <w:p w14:paraId="6C842752" w14:textId="77777777" w:rsidR="004F6023" w:rsidRPr="00C86111" w:rsidRDefault="004F6023" w:rsidP="004F6023">
      <w:pPr>
        <w:jc w:val="both"/>
        <w:rPr>
          <w:rFonts w:asciiTheme="minorHAnsi" w:hAnsiTheme="minorHAnsi" w:cstheme="minorHAnsi"/>
          <w:szCs w:val="24"/>
        </w:rPr>
      </w:pPr>
    </w:p>
    <w:p w14:paraId="24E55C6B"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Pravilnik o bližem sadržaju prethodnog obavještavanja za izvoz hemikalija</w:t>
      </w:r>
      <w:r w:rsidRPr="00C86111">
        <w:rPr>
          <w:rFonts w:asciiTheme="minorHAnsi" w:hAnsiTheme="minorHAnsi" w:cstheme="minorHAnsi"/>
          <w:szCs w:val="24"/>
        </w:rPr>
        <w:t xml:space="preserve"> ("Sl. list CG", br. 061/17) definiše izvoz hemikalija na osnovu obavještenja i izvoz hemikalija na osnovu davanja saglasnosti po prethodnom obavještavanju. Na primjer, endosulfan se nalazi na Listi hemikalija za postupak davanja saglasnosti na osnovu prethodnog obavještenja, dok je pentahlorofenol i njegove soli i estri (POPs koji je dodat 2015. godine) hemikalija  koja podliježe PIC postupku. </w:t>
      </w:r>
    </w:p>
    <w:p w14:paraId="0E173071" w14:textId="77777777" w:rsidR="004F6023" w:rsidRPr="00C86111" w:rsidRDefault="004F6023" w:rsidP="004F6023">
      <w:pPr>
        <w:jc w:val="both"/>
        <w:rPr>
          <w:rFonts w:asciiTheme="minorHAnsi" w:hAnsiTheme="minorHAnsi" w:cstheme="minorHAnsi"/>
          <w:szCs w:val="24"/>
        </w:rPr>
      </w:pPr>
    </w:p>
    <w:p w14:paraId="2AAA220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POPs se mogu koristiti u skladu sa </w:t>
      </w:r>
      <w:r w:rsidRPr="00C86111">
        <w:rPr>
          <w:rFonts w:asciiTheme="minorHAnsi" w:hAnsiTheme="minorHAnsi" w:cstheme="minorHAnsi"/>
          <w:b/>
          <w:szCs w:val="24"/>
        </w:rPr>
        <w:t>Uredbom o zabranjenim odnosno dozvoljenim načinima upotrebe, proizvodnje i stavljanja na tržište hemikalija koje predstavljaju neprihvatljiv rizik po zdravlje ljudi i životnu sredinu</w:t>
      </w:r>
      <w:r w:rsidRPr="00C86111">
        <w:rPr>
          <w:rFonts w:asciiTheme="minorHAnsi" w:hAnsiTheme="minorHAnsi" w:cstheme="minorHAnsi"/>
          <w:szCs w:val="24"/>
        </w:rPr>
        <w:t xml:space="preserve"> ("Sl. list CG", br. 70/18). Uredba u potpunosti prenosi Anekse I i II POPs Regulative kao i sve najnovije izmjene Aneksa XVII REACH Regulative (Regulativa 519/2012 o izmjenama Regulative br: 850/2004 Evropskog parlamenta i Savjeta o POPs u vezi Aneksa I, Regulativa 2016/293 o izmjenama Regulative br: 850/2004 Evropskog parlamenta i Savjeta o POPs u vezi Aneksa I). </w:t>
      </w:r>
    </w:p>
    <w:p w14:paraId="5BE89BF1" w14:textId="77777777" w:rsidR="004F6023" w:rsidRPr="00C86111" w:rsidRDefault="004F6023" w:rsidP="004F6023">
      <w:pPr>
        <w:jc w:val="both"/>
        <w:rPr>
          <w:rFonts w:asciiTheme="minorHAnsi" w:hAnsiTheme="minorHAnsi" w:cstheme="minorHAnsi"/>
          <w:szCs w:val="24"/>
        </w:rPr>
      </w:pPr>
    </w:p>
    <w:p w14:paraId="05B3633E"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lastRenderedPageBreak/>
        <w:t>Pravilnik o listi supstanci koje izazivaju visoku zabrinutost</w:t>
      </w:r>
      <w:r w:rsidRPr="00C86111">
        <w:rPr>
          <w:rFonts w:asciiTheme="minorHAnsi" w:hAnsiTheme="minorHAnsi" w:cstheme="minorHAnsi"/>
          <w:szCs w:val="24"/>
        </w:rPr>
        <w:t xml:space="preserve"> ("Službeni list Crne Gore", br. 065/17, 037/21, 064/22) koji sadrži listu SVHC supstanci koje su identifikovane prema kriterijumima iz člana 57 REACH regulative (npr. kancerogene, mutagene, toksične za reprodukciju, dugotrajne i bioakumulativne). Njegova svrha je da identifikuje i objavi listu supstanci koje se smatraju za supstance od visokog značaja za zdravlje ljudi i životnu sredinu (tzv. SVHC – Substances of Very High Concern), da doprinese kontroli, ograničenju ili zamjeni tih supstanci bezbjednijim alternativama. Ovaj pravilnik je donesen na osnovu Zakona o hemikalijama i predstavlja dio procesa usklađivanja sa pravnom tekovinom EU.</w:t>
      </w:r>
    </w:p>
    <w:p w14:paraId="4DF2EA35"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 </w:t>
      </w:r>
    </w:p>
    <w:p w14:paraId="7B0FE54B"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Zakonom o sredstvima za zaštitu bilja</w:t>
      </w:r>
      <w:r w:rsidRPr="00C86111">
        <w:rPr>
          <w:rFonts w:asciiTheme="minorHAnsi" w:hAnsiTheme="minorHAnsi" w:cstheme="minorHAnsi"/>
          <w:szCs w:val="24"/>
        </w:rPr>
        <w:t xml:space="preserve"> uređuje se način klasifikacije, registracija, promet i upotreba sredstava za zaštitu bilja i aktivnih materija, maksimalno dozvoljeni nivo rezidua sredstava za zaštitu bilja, način vođenja registara i evidencija, razmjena podataka i druga pitanja od značaja za sredstva za zaštitu bilja. Zakonom se uređuje i način registracije sredstava za zaštitu bilja koja sadrže, sastoje se ili su dobijeni od genetički modifikovanih organizama, pod uslovom da je ispuštanje tih organizama u životnu sredinu dozvoljeno samo na osnovu procjene rizika za životnu sredinu, u skladu sa zakonom kojim se uređuju genetički modifikovani organizmi. Na osnovu ovog zakona objavljena je lista aktivnih materija, dozvoljenih za primjenu u poljoprivredi.</w:t>
      </w:r>
    </w:p>
    <w:p w14:paraId="2BDC599F" w14:textId="77777777" w:rsidR="004F6023" w:rsidRPr="00C86111" w:rsidRDefault="004F6023" w:rsidP="004F6023">
      <w:pPr>
        <w:jc w:val="both"/>
        <w:rPr>
          <w:rFonts w:asciiTheme="minorHAnsi" w:hAnsiTheme="minorHAnsi" w:cstheme="minorHAnsi"/>
          <w:szCs w:val="24"/>
        </w:rPr>
      </w:pPr>
    </w:p>
    <w:p w14:paraId="3F66E77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Zakonom o zaštiti vazduha</w:t>
      </w:r>
      <w:r w:rsidRPr="00C86111">
        <w:rPr>
          <w:rFonts w:asciiTheme="minorHAnsi" w:hAnsiTheme="minorHAnsi" w:cstheme="minorHAnsi"/>
          <w:szCs w:val="24"/>
        </w:rPr>
        <w:t xml:space="preserve"> uređuje se način praćenja kvaliteta vazduha, mjere zaštite, ocjenjivanje i poboljšanje kvaliteta vazduha, kao i planiranje i upravljanje kvalitetom vazduha. </w:t>
      </w:r>
      <w:r w:rsidRPr="00C86111">
        <w:rPr>
          <w:rFonts w:asciiTheme="minorHAnsi" w:hAnsiTheme="minorHAnsi" w:cstheme="minorHAnsi"/>
          <w:b/>
          <w:bCs/>
          <w:szCs w:val="24"/>
        </w:rPr>
        <w:t>Uredbom o graničnim vrijednostima emisija zagađujućih materija u vazduh iz stacionarnih izvora</w:t>
      </w:r>
      <w:r w:rsidRPr="00C86111">
        <w:rPr>
          <w:rFonts w:asciiTheme="minorHAnsi" w:hAnsiTheme="minorHAnsi" w:cstheme="minorHAnsi"/>
          <w:szCs w:val="24"/>
        </w:rPr>
        <w:t xml:space="preserve"> („Službeni list CG" br: 10/11, 129/21) koja je donešena na osnovu ovog zakona utvrđena je opšta granična vrijednost emisije polihlorovanih dibenzodioksina (PCDD) i polihlorovanih dibenzofurana (dioksini i furani). </w:t>
      </w:r>
    </w:p>
    <w:p w14:paraId="69CB0E6E" w14:textId="77777777" w:rsidR="004F6023" w:rsidRPr="00C86111" w:rsidRDefault="004F6023" w:rsidP="004F6023">
      <w:pPr>
        <w:jc w:val="both"/>
        <w:rPr>
          <w:rFonts w:asciiTheme="minorHAnsi" w:hAnsiTheme="minorHAnsi" w:cstheme="minorHAnsi"/>
          <w:szCs w:val="24"/>
        </w:rPr>
      </w:pPr>
    </w:p>
    <w:p w14:paraId="2DF58D5F"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Zakonom o upravljanju otpadom</w:t>
      </w:r>
      <w:r w:rsidRPr="00C86111">
        <w:rPr>
          <w:rFonts w:asciiTheme="minorHAnsi" w:hAnsiTheme="minorHAnsi" w:cstheme="minorHAnsi"/>
          <w:szCs w:val="24"/>
        </w:rPr>
        <w:t xml:space="preserve"> uređuju se vrste i klasifikacija otpada, planiranje, uslovi i način upravljanja otpadom i druga pitanja od značaja za upravljanje otpadom. Ovim zakonom su definisani polihlorovani bifenili (PCB) kao jedinjenja koja obuhvataju polihlorovane terfenile, monometil-tetrahlorodifenil metan, monometil-dihloro-difenil metan, monometil-dibromo-difenil metan, bilo koju smješu koja sadrži te supstance ukupnog masenog udjela većeg od 0,005 % i POPs otpad, kao otpad koji sadrži ili je kontaminiran dugotrajnim organskim zagađujućim supstancama u skladu sa zakonom kojim je uređena životna sredina i potvrđenim međunarodnim ugovorima. Takođe, ovim zakonom zabranjena je prerada PCB i ambalaže koja sadrži PCB i postupci odstranjivanja ili prerade koji mogu dovesti do recikliranja ili ponovne upotrebe POPs u samostalnom obliku.</w:t>
      </w:r>
    </w:p>
    <w:p w14:paraId="403D2F35" w14:textId="77777777" w:rsidR="004F6023" w:rsidRPr="00C86111" w:rsidRDefault="004F6023" w:rsidP="004F6023">
      <w:pPr>
        <w:jc w:val="both"/>
        <w:rPr>
          <w:rFonts w:asciiTheme="minorHAnsi" w:hAnsiTheme="minorHAnsi" w:cstheme="minorHAnsi"/>
          <w:szCs w:val="24"/>
        </w:rPr>
      </w:pPr>
    </w:p>
    <w:p w14:paraId="0648D8D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Pravilnik o klasifikaciji otpada, katalogu otpada, postupcima obrade otpada, odnosno prerade i odstranjivanja otpada</w:t>
      </w:r>
      <w:r w:rsidRPr="00C86111">
        <w:rPr>
          <w:rFonts w:asciiTheme="minorHAnsi" w:hAnsiTheme="minorHAnsi" w:cstheme="minorHAnsi"/>
          <w:szCs w:val="24"/>
        </w:rPr>
        <w:t xml:space="preserve"> propisuje klasifikaciju otpada, katalog otpada, postupke obrade, odnosno prerade i odstranjivanja otpada, </w:t>
      </w:r>
    </w:p>
    <w:p w14:paraId="33B3D972" w14:textId="77777777" w:rsidR="004F6023" w:rsidRPr="00C86111" w:rsidRDefault="004F6023" w:rsidP="004F6023">
      <w:pPr>
        <w:jc w:val="both"/>
        <w:rPr>
          <w:rFonts w:asciiTheme="minorHAnsi" w:hAnsiTheme="minorHAnsi" w:cstheme="minorHAnsi"/>
          <w:szCs w:val="24"/>
        </w:rPr>
      </w:pPr>
    </w:p>
    <w:p w14:paraId="15A9B160"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Pravilnik o listi POPs supstanci, načinu i postupku za upravljanje POPs otpadom i granične vrijednosti koncentracija POPs materija koje se odnose na preradu i odstranjivanje otpada koji sadrži ili je kontaminiran POPs supstancama</w:t>
      </w:r>
      <w:r w:rsidRPr="00C86111">
        <w:rPr>
          <w:rFonts w:asciiTheme="minorHAnsi" w:hAnsiTheme="minorHAnsi" w:cstheme="minorHAnsi"/>
          <w:szCs w:val="24"/>
        </w:rPr>
        <w:t xml:space="preserve"> propisuje listu POPs supstanci, način i postupak za </w:t>
      </w:r>
      <w:r w:rsidRPr="00C86111">
        <w:rPr>
          <w:rFonts w:asciiTheme="minorHAnsi" w:hAnsiTheme="minorHAnsi" w:cstheme="minorHAnsi"/>
          <w:szCs w:val="24"/>
        </w:rPr>
        <w:lastRenderedPageBreak/>
        <w:t>upravljanje POPs otpadom i granične vrijednosti koncentracija POPs materija koje se odnose na preradu i odstranjivanje otpada koji sadrži ili je kontaminiran POPs supstancama.</w:t>
      </w:r>
    </w:p>
    <w:p w14:paraId="2A0663E0" w14:textId="77777777" w:rsidR="004F6023" w:rsidRPr="00C86111" w:rsidRDefault="004F6023" w:rsidP="004F6023">
      <w:pPr>
        <w:jc w:val="both"/>
        <w:rPr>
          <w:rFonts w:asciiTheme="minorHAnsi" w:hAnsiTheme="minorHAnsi" w:cstheme="minorHAnsi"/>
          <w:szCs w:val="24"/>
        </w:rPr>
      </w:pPr>
    </w:p>
    <w:p w14:paraId="52326476"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Pravilnik o postupanju sa otpadnim uljima</w:t>
      </w:r>
      <w:r w:rsidRPr="00C86111">
        <w:rPr>
          <w:rFonts w:asciiTheme="minorHAnsi" w:hAnsiTheme="minorHAnsi" w:cstheme="minorHAnsi"/>
          <w:szCs w:val="24"/>
        </w:rPr>
        <w:t xml:space="preserve"> propisuje postupanje sa otpadnim uljima u skladu sa tehničkim i tehnološkim uslovima obrade otpadnih ulja. Sakupljač otpadnih ulja, na svakih 200 t preuzetih otpadnih ulja vrši provjeru sadržaja vode i PCB u otpadnom ulju. Provjera sadržaja PCB u otpadnim uljima vrši se u skladu sa standardima EN 12766-1 i EN 12766-2. U skladu sa zakonom, ako se utvrdi da je masa PCB u otpadnom ulju veća od 0,005% mase otpadnog ulja sakupljač otpadnih ulja može da odbije preuzimanje tog otpadnog ulja i obavijesti nadležnog inspektora.</w:t>
      </w:r>
    </w:p>
    <w:p w14:paraId="7244E5C5" w14:textId="77777777" w:rsidR="004F6023" w:rsidRPr="00C86111" w:rsidRDefault="004F6023" w:rsidP="004F6023">
      <w:pPr>
        <w:jc w:val="both"/>
        <w:rPr>
          <w:rFonts w:asciiTheme="minorHAnsi" w:hAnsiTheme="minorHAnsi" w:cstheme="minorHAnsi"/>
          <w:szCs w:val="24"/>
        </w:rPr>
      </w:pPr>
    </w:p>
    <w:p w14:paraId="582FADC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Pravilnik o načinu sačinjavanja plana upravljanja i postupanju sa otpadom i opremom koja sadrži polihlorovane bifenile</w:t>
      </w:r>
      <w:r w:rsidRPr="00C86111">
        <w:rPr>
          <w:rFonts w:asciiTheme="minorHAnsi" w:hAnsiTheme="minorHAnsi" w:cstheme="minorHAnsi"/>
          <w:szCs w:val="24"/>
        </w:rPr>
        <w:t xml:space="preserve"> propisuje način sačinjavanja plana upravljanja, način i postupak vođenja evidencije o opremi i otpadnim polihlorovanim bifenilima, količinama polihlorovanih bifenila, način označavanja dekontaminirane opreme, način i postupak obrade polihlorovanih bifenila, otpada koji sadrži polihlorovane bifenile i dekontaminaciji opreme i najmanjim količinama polihlorovanih bifenila u opremi.</w:t>
      </w:r>
    </w:p>
    <w:p w14:paraId="382A84D5" w14:textId="77777777" w:rsidR="004F6023" w:rsidRPr="00C86111" w:rsidRDefault="004F6023" w:rsidP="004F6023">
      <w:pPr>
        <w:jc w:val="both"/>
        <w:rPr>
          <w:rFonts w:asciiTheme="minorHAnsi" w:hAnsiTheme="minorHAnsi" w:cstheme="minorHAnsi"/>
          <w:szCs w:val="24"/>
        </w:rPr>
      </w:pPr>
    </w:p>
    <w:p w14:paraId="5236BB8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Pravilnikom o sakupljanju i predaji otpadnih vozila čiji je imalac nepoznat</w:t>
      </w:r>
      <w:r w:rsidRPr="00C86111">
        <w:rPr>
          <w:rFonts w:asciiTheme="minorHAnsi" w:hAnsiTheme="minorHAnsi" w:cstheme="minorHAnsi"/>
          <w:szCs w:val="24"/>
        </w:rPr>
        <w:t xml:space="preserve"> ("Sl. list CG", br. 47/13) reguliše pitanje otpadnih vozila čiji je imalac nepoznat, vozila koja nijesu registrovana, nemaju registarske tablicae i o kojima se niko ne stara. Za navedena vozila, koja se nalaze na javnim površinama (javni putevi, gradske ulice i ulice u naseljima, parkovi, prostori za parkiranje, vodna zemljišta) pravna lica koja upravljaju tim površinama (komunalna preduzeća, pravna lica koja upravljaju javnim putevima, morskim dobrom, nacionalnim parkovima i vodama) obezbjeđuju sakupljanje i predaju na prijemno mjesto odnosno postrojenje za obradu. Vozila koja se nalaze na drugim nepokretnostima, a koje nijesu javne površine sakupljaju i predaju na prijemno mjesto odnosno postrojenje za obradu vlasnici tih nepokretnosti. </w:t>
      </w:r>
    </w:p>
    <w:p w14:paraId="18C58702" w14:textId="77777777" w:rsidR="004F6023" w:rsidRPr="00C86111" w:rsidRDefault="004F6023" w:rsidP="004F6023">
      <w:pPr>
        <w:jc w:val="both"/>
        <w:rPr>
          <w:rFonts w:asciiTheme="minorHAnsi" w:hAnsiTheme="minorHAnsi" w:cstheme="minorHAnsi"/>
          <w:szCs w:val="24"/>
        </w:rPr>
      </w:pPr>
    </w:p>
    <w:p w14:paraId="6CD92473"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Pravilnikom o graničnim vrijednostima prisustva opasnih materija u električnim i elektronskim proizvodima</w:t>
      </w:r>
      <w:r w:rsidRPr="00C86111">
        <w:rPr>
          <w:rFonts w:asciiTheme="minorHAnsi" w:hAnsiTheme="minorHAnsi" w:cstheme="minorHAnsi"/>
          <w:szCs w:val="24"/>
        </w:rPr>
        <w:t xml:space="preserve"> ("Sl. list CG", br. 067/18) propisane su granične vrijednosti za većinu novih POPs (c-penta BDE, c-octa BDE) u skladu sa RoHS Direktivom 2011/65/EC.</w:t>
      </w:r>
    </w:p>
    <w:p w14:paraId="61584FFA" w14:textId="77777777" w:rsidR="004F6023" w:rsidRPr="00C86111" w:rsidRDefault="004F6023" w:rsidP="004F6023">
      <w:pPr>
        <w:jc w:val="both"/>
        <w:rPr>
          <w:rFonts w:asciiTheme="minorHAnsi" w:hAnsiTheme="minorHAnsi" w:cstheme="minorHAnsi"/>
          <w:szCs w:val="24"/>
        </w:rPr>
      </w:pPr>
    </w:p>
    <w:p w14:paraId="140121EF" w14:textId="77777777" w:rsidR="004F6023" w:rsidRPr="00C86111" w:rsidRDefault="004F6023" w:rsidP="004F6023">
      <w:pPr>
        <w:jc w:val="both"/>
        <w:rPr>
          <w:rFonts w:asciiTheme="minorHAnsi" w:hAnsiTheme="minorHAnsi" w:cstheme="minorHAnsi"/>
          <w:szCs w:val="24"/>
        </w:rPr>
      </w:pPr>
    </w:p>
    <w:p w14:paraId="0A7F87D3"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Pravilnik o dozvoljenim količinama opasnih i štetnih materija u zemljištu i metodama za njihovo ispitivanje</w:t>
      </w:r>
      <w:r w:rsidRPr="00C86111">
        <w:rPr>
          <w:rFonts w:asciiTheme="minorHAnsi" w:hAnsiTheme="minorHAnsi" w:cstheme="minorHAnsi"/>
          <w:szCs w:val="24"/>
        </w:rPr>
        <w:t xml:space="preserve"> propisuje maksimalno dozvoljene količine opasnih i štetnih materija u zemljištu, koje mogu da dovedu do njegovog zagađenja, a koje nastaju nepravilnom upotrebom mineralnih đubriva i sredstava za zaštitu bilja od strane pravnih i fizičkih lica kao i ispuštanjem otpadnih materija iz raznih izvora. Maksimalno dozvoljene količine sredstava za zaštitu bilja u zemljištu iznose za:organohlorne preparate DDT + DDD + DDE 0,01 mg/kg. Maksimalno dozvoljene količine toksičnih i kancerogenih materija u zemljištu iznose za polihlorovane bifenile i terfenile (PCBs i PTC) za svaki od kongenera (28, 52, 101, 118, 138, 153 i 180) 0,004 mg/kg.</w:t>
      </w:r>
    </w:p>
    <w:p w14:paraId="598A4D64" w14:textId="77777777" w:rsidR="004F6023" w:rsidRPr="00C86111" w:rsidRDefault="004F6023" w:rsidP="004F6023">
      <w:pPr>
        <w:jc w:val="both"/>
        <w:rPr>
          <w:rFonts w:asciiTheme="minorHAnsi" w:hAnsiTheme="minorHAnsi" w:cstheme="minorHAnsi"/>
          <w:szCs w:val="24"/>
        </w:rPr>
      </w:pPr>
    </w:p>
    <w:p w14:paraId="29C7E7D2" w14:textId="77777777" w:rsidR="004F6023" w:rsidRPr="00C86111" w:rsidRDefault="004F6023" w:rsidP="004F6023">
      <w:pPr>
        <w:jc w:val="both"/>
        <w:rPr>
          <w:rFonts w:asciiTheme="minorHAnsi" w:hAnsiTheme="minorHAnsi" w:cstheme="minorHAnsi"/>
          <w:b/>
          <w:szCs w:val="24"/>
        </w:rPr>
      </w:pPr>
      <w:r w:rsidRPr="00C86111">
        <w:rPr>
          <w:rFonts w:asciiTheme="minorHAnsi" w:hAnsiTheme="minorHAnsi" w:cstheme="minorHAnsi"/>
          <w:b/>
          <w:szCs w:val="24"/>
        </w:rPr>
        <w:t>Programom za unaprjeđenje sistema za postupanje i upravljanje otpadom odnosno za postupanje sa ambalažom nakon upotrebe pesticida za 2024. godinu</w:t>
      </w:r>
      <w:r w:rsidRPr="00C86111">
        <w:rPr>
          <w:rFonts w:ascii="Cambria Math" w:hAnsi="Cambria Math" w:cs="Cambria Math"/>
          <w:b/>
          <w:szCs w:val="24"/>
        </w:rPr>
        <w:t>∗</w:t>
      </w:r>
      <w:r w:rsidRPr="00C86111">
        <w:rPr>
          <w:rFonts w:asciiTheme="minorHAnsi" w:hAnsiTheme="minorHAnsi" w:cstheme="minorHAnsi"/>
          <w:b/>
          <w:szCs w:val="24"/>
        </w:rPr>
        <w:t xml:space="preserve"> </w:t>
      </w:r>
      <w:r w:rsidRPr="00C86111">
        <w:rPr>
          <w:rFonts w:asciiTheme="minorHAnsi" w:hAnsiTheme="minorHAnsi" w:cstheme="minorHAnsi"/>
          <w:szCs w:val="24"/>
        </w:rPr>
        <w:t xml:space="preserve">određeni su prioriteti u skladu sa analizom rizika, na osnovu veličine poljoprivrednih površina, radi utvrđivanja </w:t>
      </w:r>
      <w:r w:rsidRPr="00C86111">
        <w:rPr>
          <w:rFonts w:asciiTheme="minorHAnsi" w:hAnsiTheme="minorHAnsi" w:cstheme="minorHAnsi"/>
          <w:szCs w:val="24"/>
        </w:rPr>
        <w:lastRenderedPageBreak/>
        <w:t>nepravilnostima sa ciljem sistema za postupanje i upravljanje otpadom odnosno za postupanje sa ambalažom nakon upotrebe pesticida i utvrđivanja stanja na gazdinstvima na kojima se upotrebljavaju pesticidi.</w:t>
      </w:r>
      <w:r w:rsidRPr="00C86111">
        <w:rPr>
          <w:rFonts w:asciiTheme="minorHAnsi" w:hAnsiTheme="minorHAnsi" w:cstheme="minorHAnsi"/>
          <w:b/>
          <w:szCs w:val="24"/>
        </w:rPr>
        <w:t xml:space="preserve"> </w:t>
      </w:r>
      <w:r w:rsidRPr="00C86111">
        <w:rPr>
          <w:rFonts w:asciiTheme="minorHAnsi" w:hAnsiTheme="minorHAnsi" w:cstheme="minorHAnsi"/>
          <w:szCs w:val="24"/>
        </w:rPr>
        <w:t>Program ima za cilj utvrđivanje nepravilnosti radi njihovog otklanjanja i sprovođenja pravovremenih aktivnosti u cilju otklanjanja potencijalne opasnosti za ljude, bilje, životinje ili životnu sredinu.</w:t>
      </w:r>
    </w:p>
    <w:p w14:paraId="75152BBE" w14:textId="77777777" w:rsidR="004F6023" w:rsidRPr="00C86111" w:rsidRDefault="004F6023" w:rsidP="004F6023">
      <w:pPr>
        <w:jc w:val="both"/>
        <w:rPr>
          <w:rFonts w:asciiTheme="minorHAnsi" w:hAnsiTheme="minorHAnsi" w:cstheme="minorHAnsi"/>
          <w:szCs w:val="24"/>
        </w:rPr>
      </w:pPr>
    </w:p>
    <w:p w14:paraId="483C0AA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bCs/>
          <w:szCs w:val="24"/>
        </w:rPr>
        <w:t>Kontrola emisija PCDD/PCDF-a, (</w:t>
      </w:r>
      <w:r w:rsidRPr="00C86111">
        <w:rPr>
          <w:rFonts w:asciiTheme="minorHAnsi" w:hAnsiTheme="minorHAnsi" w:cstheme="minorHAnsi"/>
          <w:szCs w:val="24"/>
        </w:rPr>
        <w:t xml:space="preserve">dioksina i furana) HCB-a (heksahlorbenzena), PCB-a (polihlorovanih bifenila) i pentahlorbenzena PeCB u vrši se kroz set podzakonskih akata donešenih na osnovu </w:t>
      </w:r>
      <w:r w:rsidRPr="00C86111">
        <w:rPr>
          <w:rFonts w:asciiTheme="minorHAnsi" w:hAnsiTheme="minorHAnsi" w:cstheme="minorHAnsi"/>
          <w:b/>
          <w:bCs/>
          <w:szCs w:val="24"/>
        </w:rPr>
        <w:t xml:space="preserve">Zakona o zaštiti vazduha i Zakona o zaštiti od negativnih uticaja klimatskih promjena </w:t>
      </w:r>
      <w:r w:rsidRPr="00C86111">
        <w:rPr>
          <w:rFonts w:asciiTheme="minorHAnsi" w:hAnsiTheme="minorHAnsi" w:cstheme="minorHAnsi"/>
          <w:szCs w:val="24"/>
        </w:rPr>
        <w:t>, i to:</w:t>
      </w:r>
    </w:p>
    <w:p w14:paraId="4271F24D" w14:textId="77777777" w:rsidR="004F6023" w:rsidRPr="00C86111" w:rsidRDefault="004F6023" w:rsidP="007E2AA5">
      <w:pPr>
        <w:pStyle w:val="ListParagraph"/>
        <w:numPr>
          <w:ilvl w:val="0"/>
          <w:numId w:val="6"/>
        </w:numPr>
        <w:jc w:val="both"/>
        <w:rPr>
          <w:rFonts w:asciiTheme="minorHAnsi" w:hAnsiTheme="minorHAnsi" w:cstheme="minorHAnsi"/>
          <w:szCs w:val="24"/>
        </w:rPr>
      </w:pPr>
      <w:r w:rsidRPr="00C86111">
        <w:rPr>
          <w:rFonts w:asciiTheme="minorHAnsi" w:hAnsiTheme="minorHAnsi" w:cstheme="minorHAnsi"/>
          <w:szCs w:val="24"/>
        </w:rPr>
        <w:t>Uredba o utvrđivanju vrsta zagađujućih materija, graničnih vrijednosti i drugih standarda kvaliteta vazduha (”Sl. list CG", br. 25/12);</w:t>
      </w:r>
    </w:p>
    <w:p w14:paraId="286945F2" w14:textId="77777777" w:rsidR="004F6023" w:rsidRPr="00C86111" w:rsidRDefault="004F6023" w:rsidP="007E2AA5">
      <w:pPr>
        <w:pStyle w:val="ListParagraph"/>
        <w:numPr>
          <w:ilvl w:val="0"/>
          <w:numId w:val="6"/>
        </w:numPr>
        <w:jc w:val="both"/>
        <w:rPr>
          <w:rFonts w:asciiTheme="minorHAnsi" w:hAnsiTheme="minorHAnsi" w:cstheme="minorHAnsi"/>
          <w:szCs w:val="24"/>
        </w:rPr>
      </w:pPr>
      <w:r w:rsidRPr="00C86111">
        <w:rPr>
          <w:rFonts w:asciiTheme="minorHAnsi" w:hAnsiTheme="minorHAnsi" w:cstheme="minorHAnsi"/>
          <w:szCs w:val="24"/>
        </w:rPr>
        <w:t>Uredba o uspostavljanju mreže mjernih mjesta za praćenje kvaliteta vazduha (Sl. list CG", br.044/10, 013/11, 64/18), kojom se utvrđuju zone kvaliteta vazduha u Crnoj Gori, kriterijumi za određivanje lokacija mjernih mjesta i minimalnog broja mjernih mjesta, smanjivanje broja mjernih mjesta, broj, raspored i tačne lokacije mjernih mjesta, njihova namjena i karakteristike i vrste zagađujućih materija čije se koncentracije prate za svako mjerno mjesto pojedinačno;</w:t>
      </w:r>
    </w:p>
    <w:p w14:paraId="69AD23D0" w14:textId="77777777" w:rsidR="004F6023" w:rsidRPr="00C86111" w:rsidRDefault="004F6023" w:rsidP="007E2AA5">
      <w:pPr>
        <w:pStyle w:val="ListParagraph"/>
        <w:numPr>
          <w:ilvl w:val="0"/>
          <w:numId w:val="6"/>
        </w:numPr>
        <w:jc w:val="both"/>
        <w:rPr>
          <w:rFonts w:asciiTheme="minorHAnsi" w:hAnsiTheme="minorHAnsi" w:cstheme="minorHAnsi"/>
          <w:szCs w:val="24"/>
        </w:rPr>
      </w:pPr>
      <w:r w:rsidRPr="00C86111">
        <w:rPr>
          <w:rFonts w:asciiTheme="minorHAnsi" w:hAnsiTheme="minorHAnsi" w:cstheme="minorHAnsi"/>
          <w:szCs w:val="24"/>
        </w:rPr>
        <w:t>Uredba o graničnim vrijednostima emisija zagađujućih materija u vazduh iz stacionarnih izvora ("Sl.list CG", br. 10/11, 129/21), kojom se propisuju granične vrijednosti emisija zagađujućih materija i druge mjere zaštite vazduha od emisija iz stacionarnih izvora i aktivnosti koje uzrokuju emisije zagađujućih materija u vazduh;</w:t>
      </w:r>
    </w:p>
    <w:p w14:paraId="3243C6AB" w14:textId="77777777" w:rsidR="004F6023" w:rsidRPr="00C86111" w:rsidRDefault="004F6023" w:rsidP="007E2AA5">
      <w:pPr>
        <w:pStyle w:val="ListParagraph"/>
        <w:numPr>
          <w:ilvl w:val="0"/>
          <w:numId w:val="6"/>
        </w:numPr>
        <w:jc w:val="both"/>
        <w:rPr>
          <w:rFonts w:asciiTheme="minorHAnsi" w:hAnsiTheme="minorHAnsi" w:cstheme="minorHAnsi"/>
          <w:szCs w:val="24"/>
        </w:rPr>
      </w:pPr>
      <w:r w:rsidRPr="00C86111">
        <w:rPr>
          <w:rFonts w:asciiTheme="minorHAnsi" w:hAnsiTheme="minorHAnsi" w:cstheme="minorHAnsi"/>
          <w:szCs w:val="24"/>
        </w:rPr>
        <w:t>Uredba o graničnim vrijednostima sadržaja zagađujućih materija u tečnim gorivima naftnog porijekla (”Sl.list CG", br. 17/17);</w:t>
      </w:r>
    </w:p>
    <w:p w14:paraId="6D295B5F" w14:textId="77777777" w:rsidR="004F6023" w:rsidRPr="00C86111" w:rsidRDefault="004F6023" w:rsidP="007E2AA5">
      <w:pPr>
        <w:pStyle w:val="ListParagraph"/>
        <w:numPr>
          <w:ilvl w:val="0"/>
          <w:numId w:val="6"/>
        </w:numPr>
        <w:jc w:val="both"/>
        <w:rPr>
          <w:rFonts w:asciiTheme="minorHAnsi" w:hAnsiTheme="minorHAnsi" w:cstheme="minorHAnsi"/>
          <w:szCs w:val="24"/>
        </w:rPr>
      </w:pPr>
      <w:r w:rsidRPr="00C86111">
        <w:rPr>
          <w:rFonts w:asciiTheme="minorHAnsi" w:hAnsiTheme="minorHAnsi" w:cstheme="minorHAnsi"/>
          <w:szCs w:val="24"/>
        </w:rPr>
        <w:t>Uredba o maksimalnim nacionalnim emisijama određenih zagađujućih materija ("Sl. list CG", br. 3/12);</w:t>
      </w:r>
    </w:p>
    <w:p w14:paraId="66A32FC4" w14:textId="77777777" w:rsidR="004F6023" w:rsidRPr="00C86111" w:rsidRDefault="004F6023" w:rsidP="007E2AA5">
      <w:pPr>
        <w:pStyle w:val="ListParagraph"/>
        <w:numPr>
          <w:ilvl w:val="0"/>
          <w:numId w:val="6"/>
        </w:numPr>
        <w:jc w:val="both"/>
        <w:rPr>
          <w:rFonts w:asciiTheme="minorHAnsi" w:hAnsiTheme="minorHAnsi" w:cstheme="minorHAnsi"/>
          <w:szCs w:val="24"/>
        </w:rPr>
      </w:pPr>
      <w:r w:rsidRPr="00C86111">
        <w:rPr>
          <w:rFonts w:asciiTheme="minorHAnsi" w:hAnsiTheme="minorHAnsi" w:cstheme="minorHAnsi"/>
          <w:szCs w:val="24"/>
        </w:rPr>
        <w:t>Pravilnik o načinu i uslovima praćenja kvaliteta vazduha ("Sl. list CG", br. 21/11, 32/16);</w:t>
      </w:r>
    </w:p>
    <w:p w14:paraId="1D6C4D8B" w14:textId="77777777" w:rsidR="004F6023" w:rsidRPr="00C86111" w:rsidRDefault="004F6023" w:rsidP="007E2AA5">
      <w:pPr>
        <w:pStyle w:val="ListParagraph"/>
        <w:numPr>
          <w:ilvl w:val="0"/>
          <w:numId w:val="6"/>
        </w:numPr>
        <w:jc w:val="both"/>
        <w:rPr>
          <w:rFonts w:asciiTheme="minorHAnsi" w:hAnsiTheme="minorHAnsi" w:cstheme="minorHAnsi"/>
          <w:szCs w:val="24"/>
        </w:rPr>
      </w:pPr>
      <w:r w:rsidRPr="00C86111">
        <w:rPr>
          <w:rFonts w:asciiTheme="minorHAnsi" w:hAnsiTheme="minorHAnsi" w:cstheme="minorHAnsi"/>
          <w:szCs w:val="24"/>
        </w:rPr>
        <w:t>Pravilnik o sadržaju i načinu izrade godišnje informacije o kvalitetu vazduha ("Sl. list CG", br. 27/12);</w:t>
      </w:r>
    </w:p>
    <w:p w14:paraId="5EE79114" w14:textId="77777777" w:rsidR="004F6023" w:rsidRPr="00C86111" w:rsidRDefault="004F6023" w:rsidP="007E2AA5">
      <w:pPr>
        <w:pStyle w:val="ListParagraph"/>
        <w:numPr>
          <w:ilvl w:val="0"/>
          <w:numId w:val="6"/>
        </w:numPr>
        <w:jc w:val="both"/>
        <w:rPr>
          <w:rFonts w:asciiTheme="minorHAnsi" w:hAnsiTheme="minorHAnsi" w:cstheme="minorHAnsi"/>
          <w:szCs w:val="24"/>
        </w:rPr>
      </w:pPr>
      <w:r w:rsidRPr="00C86111">
        <w:rPr>
          <w:rFonts w:asciiTheme="minorHAnsi" w:hAnsiTheme="minorHAnsi" w:cstheme="minorHAnsi"/>
          <w:szCs w:val="24"/>
        </w:rPr>
        <w:t>Uredba o supstancama koje oštećuju ozonski omotač i alternativnim supstancama ("Sl. list CG", br. 79/21).</w:t>
      </w:r>
    </w:p>
    <w:p w14:paraId="74B5A652" w14:textId="77777777" w:rsidR="004F6023" w:rsidRPr="00C86111" w:rsidRDefault="004F6023" w:rsidP="004F6023">
      <w:pPr>
        <w:jc w:val="both"/>
        <w:rPr>
          <w:rFonts w:asciiTheme="minorHAnsi" w:hAnsiTheme="minorHAnsi" w:cstheme="minorHAnsi"/>
          <w:szCs w:val="24"/>
        </w:rPr>
      </w:pPr>
    </w:p>
    <w:p w14:paraId="77BA93DE"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Takođe, </w:t>
      </w:r>
      <w:r w:rsidRPr="00C86111">
        <w:rPr>
          <w:rFonts w:asciiTheme="minorHAnsi" w:hAnsiTheme="minorHAnsi" w:cstheme="minorHAnsi"/>
          <w:b/>
          <w:bCs/>
          <w:szCs w:val="24"/>
        </w:rPr>
        <w:t>Zakon o industrijskim emisijama</w:t>
      </w:r>
      <w:r w:rsidRPr="00C86111">
        <w:rPr>
          <w:rFonts w:asciiTheme="minorHAnsi" w:hAnsiTheme="minorHAnsi" w:cstheme="minorHAnsi"/>
          <w:szCs w:val="24"/>
        </w:rPr>
        <w:t xml:space="preserve"> daje instrumente za sprovođenje mjera koje se odnose na smanjenje ili eliminaciju ispuštanja nenamjerno proizvedenih POPs u skladu sa članom 5 Stokholmske konvencije. </w:t>
      </w:r>
      <w:r w:rsidRPr="00C86111">
        <w:rPr>
          <w:rFonts w:asciiTheme="minorHAnsi" w:hAnsiTheme="minorHAnsi" w:cstheme="minorHAnsi"/>
          <w:b/>
          <w:szCs w:val="24"/>
        </w:rPr>
        <w:t>Pravilnik o kriterijumima za određivanje najboljih dostupnih tehnika radi zaštite životne sredine i listi zagađujućih supstanci iz industrijskih postrojenja</w:t>
      </w:r>
      <w:r w:rsidRPr="00C86111">
        <w:rPr>
          <w:rFonts w:asciiTheme="minorHAnsi" w:hAnsiTheme="minorHAnsi" w:cstheme="minorHAnsi"/>
          <w:szCs w:val="24"/>
        </w:rPr>
        <w:t xml:space="preserve"> ("Službeni list Crne Gore", br. 035/19 od 24.06.2019) utvrđuje kriterijume za određivanje najboljih dostupnih tehnika, radi zaštite životne sredine i listu zagađujućih supstanci iz industrijskih postrojenja (emisija u vazduh).</w:t>
      </w:r>
    </w:p>
    <w:p w14:paraId="4BC7A40F" w14:textId="77777777" w:rsidR="004F6023" w:rsidRPr="00C86111" w:rsidRDefault="004F6023" w:rsidP="004F6023">
      <w:pPr>
        <w:jc w:val="both"/>
        <w:rPr>
          <w:rFonts w:asciiTheme="minorHAnsi" w:hAnsiTheme="minorHAnsi" w:cstheme="minorHAnsi"/>
          <w:szCs w:val="24"/>
        </w:rPr>
      </w:pPr>
    </w:p>
    <w:p w14:paraId="44EDA96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Kontrola upotrebe sredstava za zaštitu bilja (pesticida) vrši se sprovođenjem Programa monitoringa rezidua pesticida u hrani biljnog i životinjskog porijekla koji se donosi svake godine. Program monitoringa rezidua pesticida u hrani biljnog i životinjskog porijekla za 2025. godinu objavljen je u („Službenom listu CG" br. 48/25). Program se sprovodi u cilju procjene ugroženosti </w:t>
      </w:r>
      <w:r w:rsidRPr="00C86111">
        <w:rPr>
          <w:rFonts w:asciiTheme="minorHAnsi" w:hAnsiTheme="minorHAnsi" w:cstheme="minorHAnsi"/>
          <w:szCs w:val="24"/>
        </w:rPr>
        <w:lastRenderedPageBreak/>
        <w:t xml:space="preserve">zdravlja stanovništva i primjene propisa, a u skladu sa propisanim nivoima rezidua pesticida utvrđenih Pravilnikom o maksimalnom nivou rezidua sredstava za zaštitu bilja na ili u bilju, biljnim proizvodima, hrani ili hrani za životinje ("Službeni list CG", br. 21/15, 44/15, 34/19, 82/20, 92/20, 130/21, 65/23 i 86/24). </w:t>
      </w:r>
    </w:p>
    <w:p w14:paraId="6C884847" w14:textId="77777777" w:rsidR="004F6023" w:rsidRPr="00C86111" w:rsidRDefault="004F6023" w:rsidP="004F6023">
      <w:pPr>
        <w:jc w:val="both"/>
        <w:rPr>
          <w:rFonts w:asciiTheme="minorHAnsi" w:hAnsiTheme="minorHAnsi" w:cstheme="minorHAnsi"/>
          <w:szCs w:val="24"/>
        </w:rPr>
      </w:pPr>
    </w:p>
    <w:p w14:paraId="4349BBA9"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Takođe, Ministarstvo poljoprivrede, šumarstva i vodoprivrede donijelo je i Višegodišnji program monitoringa rezidua pesticida u hrani biljnog i životinjskog porijekla za 2025, 2026 i 2027. godinu</w:t>
      </w:r>
      <w:r w:rsidRPr="00C86111">
        <w:rPr>
          <w:rFonts w:ascii="Cambria Math" w:hAnsi="Cambria Math" w:cs="Cambria Math"/>
          <w:szCs w:val="24"/>
        </w:rPr>
        <w:t>∗</w:t>
      </w:r>
      <w:r w:rsidRPr="00C86111">
        <w:rPr>
          <w:rFonts w:asciiTheme="minorHAnsi" w:hAnsiTheme="minorHAnsi" w:cstheme="minorHAnsi"/>
          <w:szCs w:val="24"/>
        </w:rPr>
        <w:t xml:space="preserve"> ("Službeni list Crne Gore", br. 096/24) u cilju procjene ugroženosti zdravlja stanovništva.</w:t>
      </w:r>
    </w:p>
    <w:p w14:paraId="7EB12393" w14:textId="77777777" w:rsidR="004F6023" w:rsidRPr="00C86111" w:rsidRDefault="004F6023" w:rsidP="004F6023">
      <w:pPr>
        <w:jc w:val="both"/>
        <w:rPr>
          <w:rFonts w:asciiTheme="minorHAnsi" w:hAnsiTheme="minorHAnsi" w:cstheme="minorHAnsi"/>
          <w:szCs w:val="24"/>
        </w:rPr>
      </w:pPr>
    </w:p>
    <w:p w14:paraId="6CAEAECB"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Trenutno, što se tiče pesticida, na osnovu Zakona o sredstvima za zaštitu bilja primjenjuju se i sljedeći podzakonski akti:</w:t>
      </w:r>
    </w:p>
    <w:p w14:paraId="04748D46" w14:textId="77777777" w:rsidR="004F6023" w:rsidRPr="00C86111" w:rsidRDefault="004F6023" w:rsidP="007E2AA5">
      <w:pPr>
        <w:pStyle w:val="ListParagraph"/>
        <w:numPr>
          <w:ilvl w:val="0"/>
          <w:numId w:val="7"/>
        </w:numPr>
        <w:jc w:val="both"/>
        <w:rPr>
          <w:rFonts w:asciiTheme="minorHAnsi" w:hAnsiTheme="minorHAnsi" w:cstheme="minorHAnsi"/>
          <w:szCs w:val="24"/>
        </w:rPr>
      </w:pPr>
      <w:r w:rsidRPr="00C86111">
        <w:rPr>
          <w:rFonts w:asciiTheme="minorHAnsi" w:hAnsiTheme="minorHAnsi" w:cstheme="minorHAnsi"/>
          <w:szCs w:val="24"/>
        </w:rPr>
        <w:t>Pravilnik o sadržaju liste aktivnih materija dozvoljenih za upotrebu u sredstvima za zaštitu bilja („Službeni list CG", br. 12/19);</w:t>
      </w:r>
    </w:p>
    <w:p w14:paraId="065C5CB9" w14:textId="77777777" w:rsidR="004F6023" w:rsidRPr="00C86111" w:rsidRDefault="004F6023" w:rsidP="007E2AA5">
      <w:pPr>
        <w:pStyle w:val="ListParagraph"/>
        <w:numPr>
          <w:ilvl w:val="0"/>
          <w:numId w:val="7"/>
        </w:numPr>
        <w:jc w:val="both"/>
        <w:rPr>
          <w:rFonts w:asciiTheme="minorHAnsi" w:hAnsiTheme="minorHAnsi" w:cstheme="minorHAnsi"/>
          <w:szCs w:val="24"/>
        </w:rPr>
      </w:pPr>
      <w:r w:rsidRPr="00C86111">
        <w:rPr>
          <w:rFonts w:asciiTheme="minorHAnsi" w:hAnsiTheme="minorHAnsi" w:cstheme="minorHAnsi"/>
          <w:szCs w:val="24"/>
        </w:rPr>
        <w:t>Lista aktivnih supstanci dozvoljenih za upotrebu u sredstvima za zaštitu bilja za 2025. godinu</w:t>
      </w:r>
      <w:r w:rsidRPr="00C86111">
        <w:rPr>
          <w:rFonts w:ascii="Cambria Math" w:hAnsi="Cambria Math" w:cs="Cambria Math"/>
          <w:szCs w:val="24"/>
        </w:rPr>
        <w:t>∗</w:t>
      </w:r>
      <w:r w:rsidRPr="00C86111">
        <w:rPr>
          <w:rFonts w:asciiTheme="minorHAnsi" w:hAnsiTheme="minorHAnsi" w:cstheme="minorHAnsi"/>
          <w:szCs w:val="24"/>
        </w:rPr>
        <w:t xml:space="preserve"> ("Službeni list Crne Gore", br. 013/25);</w:t>
      </w:r>
    </w:p>
    <w:p w14:paraId="205DD1B7" w14:textId="77777777" w:rsidR="004F6023" w:rsidRPr="00C86111" w:rsidRDefault="004F6023" w:rsidP="007E2AA5">
      <w:pPr>
        <w:pStyle w:val="ListParagraph"/>
        <w:numPr>
          <w:ilvl w:val="0"/>
          <w:numId w:val="7"/>
        </w:numPr>
        <w:jc w:val="both"/>
        <w:rPr>
          <w:rFonts w:asciiTheme="minorHAnsi" w:hAnsiTheme="minorHAnsi" w:cstheme="minorHAnsi"/>
          <w:szCs w:val="24"/>
        </w:rPr>
      </w:pPr>
      <w:r w:rsidRPr="00C86111">
        <w:rPr>
          <w:rFonts w:asciiTheme="minorHAnsi" w:hAnsiTheme="minorHAnsi" w:cstheme="minorHAnsi"/>
          <w:szCs w:val="24"/>
        </w:rPr>
        <w:t>Pravilnik o metodama uzorkovanja za utvrđivanje rezidua sredstava za zaštitu bilja</w:t>
      </w:r>
      <w:r w:rsidRPr="00C86111">
        <w:rPr>
          <w:rFonts w:ascii="Cambria Math" w:hAnsi="Cambria Math" w:cs="Cambria Math"/>
          <w:szCs w:val="24"/>
        </w:rPr>
        <w:t>∗</w:t>
      </w:r>
      <w:r w:rsidRPr="00C86111">
        <w:rPr>
          <w:rFonts w:asciiTheme="minorHAnsi" w:hAnsiTheme="minorHAnsi" w:cstheme="minorHAnsi"/>
          <w:szCs w:val="24"/>
        </w:rPr>
        <w:t xml:space="preserve"> ("Službeni list Crne Gore", br. 048/14);</w:t>
      </w:r>
    </w:p>
    <w:p w14:paraId="4A432F46" w14:textId="77777777" w:rsidR="004F6023" w:rsidRPr="00C86111" w:rsidRDefault="004F6023" w:rsidP="007E2AA5">
      <w:pPr>
        <w:pStyle w:val="ListParagraph"/>
        <w:numPr>
          <w:ilvl w:val="0"/>
          <w:numId w:val="7"/>
        </w:numPr>
        <w:jc w:val="both"/>
        <w:rPr>
          <w:rFonts w:asciiTheme="minorHAnsi" w:hAnsiTheme="minorHAnsi" w:cstheme="minorHAnsi"/>
          <w:szCs w:val="24"/>
        </w:rPr>
      </w:pPr>
      <w:r w:rsidRPr="00C86111">
        <w:rPr>
          <w:rFonts w:asciiTheme="minorHAnsi" w:hAnsiTheme="minorHAnsi" w:cstheme="minorHAnsi"/>
          <w:szCs w:val="24"/>
        </w:rPr>
        <w:t>Pravilnik o načinu vođenja i sadržaju registra sredstava za zaštitu bilja</w:t>
      </w:r>
      <w:r w:rsidRPr="00C86111">
        <w:rPr>
          <w:rFonts w:ascii="Cambria Math" w:hAnsi="Cambria Math" w:cs="Cambria Math"/>
          <w:szCs w:val="24"/>
        </w:rPr>
        <w:t>∗</w:t>
      </w:r>
      <w:r w:rsidRPr="00C86111">
        <w:rPr>
          <w:rFonts w:asciiTheme="minorHAnsi" w:hAnsiTheme="minorHAnsi" w:cstheme="minorHAnsi"/>
          <w:szCs w:val="24"/>
        </w:rPr>
        <w:t xml:space="preserve"> ("Službeni list Crne Gore", br. 017/14, 024/22)</w:t>
      </w:r>
    </w:p>
    <w:p w14:paraId="0E796973" w14:textId="77777777" w:rsidR="004F6023" w:rsidRPr="00C86111" w:rsidRDefault="004F6023" w:rsidP="007E2AA5">
      <w:pPr>
        <w:pStyle w:val="ListParagraph"/>
        <w:numPr>
          <w:ilvl w:val="0"/>
          <w:numId w:val="7"/>
        </w:numPr>
        <w:jc w:val="both"/>
        <w:rPr>
          <w:rFonts w:asciiTheme="minorHAnsi" w:hAnsiTheme="minorHAnsi" w:cstheme="minorHAnsi"/>
          <w:szCs w:val="24"/>
        </w:rPr>
      </w:pPr>
      <w:r w:rsidRPr="00C86111">
        <w:rPr>
          <w:rFonts w:asciiTheme="minorHAnsi" w:hAnsiTheme="minorHAnsi" w:cstheme="minorHAnsi"/>
          <w:szCs w:val="24"/>
        </w:rPr>
        <w:t>Pravilnik o mjerama predostrožnosti koje se odnose na sredstva za zaštitu bilja</w:t>
      </w:r>
      <w:r w:rsidRPr="00C86111">
        <w:rPr>
          <w:rFonts w:ascii="Cambria Math" w:hAnsi="Cambria Math" w:cs="Cambria Math"/>
          <w:szCs w:val="24"/>
        </w:rPr>
        <w:t>∗</w:t>
      </w:r>
      <w:r w:rsidRPr="00C86111">
        <w:rPr>
          <w:rFonts w:asciiTheme="minorHAnsi" w:hAnsiTheme="minorHAnsi" w:cstheme="minorHAnsi"/>
          <w:szCs w:val="24"/>
        </w:rPr>
        <w:t xml:space="preserve"> ("Službeni list Crne Gore", br. 069/16).</w:t>
      </w:r>
    </w:p>
    <w:p w14:paraId="62CF0C29" w14:textId="77777777" w:rsidR="004F6023" w:rsidRPr="00C86111" w:rsidRDefault="004F6023" w:rsidP="004F6023">
      <w:pPr>
        <w:jc w:val="both"/>
        <w:rPr>
          <w:rFonts w:asciiTheme="minorHAnsi" w:hAnsiTheme="minorHAnsi" w:cstheme="minorHAnsi"/>
          <w:szCs w:val="24"/>
        </w:rPr>
      </w:pPr>
    </w:p>
    <w:p w14:paraId="3C12614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Zaštita i zdravlje na radu obezbjeđuje se i sprovodi primjenom savremenih tehničko-tehnoloških, organizacionih, zdravstvenih, socijalnih i drugih mjera i sredstava zaštite u skladu sa </w:t>
      </w:r>
      <w:r w:rsidRPr="00C86111">
        <w:rPr>
          <w:rFonts w:asciiTheme="minorHAnsi" w:hAnsiTheme="minorHAnsi" w:cstheme="minorHAnsi"/>
          <w:b/>
          <w:szCs w:val="24"/>
        </w:rPr>
        <w:t>Zakonom o zaštiti i zdravlju na radu</w:t>
      </w:r>
      <w:r w:rsidRPr="00C86111">
        <w:rPr>
          <w:rFonts w:asciiTheme="minorHAnsi" w:hAnsiTheme="minorHAnsi" w:cstheme="minorHAnsi"/>
          <w:szCs w:val="24"/>
        </w:rPr>
        <w:t xml:space="preserve"> ("Sl. list CG", br. 34/14 , 44/18, 84/24). Na osnovu navedenog zakona, donešen je veliki broj podzakonskih akata, između ostalog i </w:t>
      </w:r>
      <w:r w:rsidRPr="00C86111">
        <w:rPr>
          <w:rFonts w:asciiTheme="minorHAnsi" w:hAnsiTheme="minorHAnsi" w:cstheme="minorHAnsi"/>
          <w:b/>
          <w:szCs w:val="24"/>
        </w:rPr>
        <w:t>Pravilnik o mjerama zaštite i zdravlja na radu od rizika izloženosti hemijskim materijama</w:t>
      </w:r>
      <w:r w:rsidRPr="00C86111">
        <w:rPr>
          <w:rFonts w:asciiTheme="minorHAnsi" w:hAnsiTheme="minorHAnsi" w:cstheme="minorHAnsi"/>
          <w:szCs w:val="24"/>
        </w:rPr>
        <w:t xml:space="preserve"> ("Sl. list CG", br. 81/16, 30/17, 40/18, 77/21), kojim su propisani minimalni zahtjevi koje poslodavac treba da ispuni u obezbjeđivanju mjera zaštite i zdravlja na radu uključujući i granične vrijednosti, radi otklanjanja ili smanjenja rizika od nastanka povreda na radu, profesionalnih bolesti i bolesti u vezi sa radom koje nastaju za vrijeme rada pri izlaganju zaposlenog hemijskim materijama. </w:t>
      </w:r>
    </w:p>
    <w:p w14:paraId="2829C4B8" w14:textId="77777777" w:rsidR="004F6023" w:rsidRPr="00C86111" w:rsidRDefault="004F6023" w:rsidP="004F6023">
      <w:pPr>
        <w:jc w:val="both"/>
        <w:rPr>
          <w:rFonts w:asciiTheme="minorHAnsi" w:hAnsiTheme="minorHAnsi" w:cstheme="minorHAnsi"/>
          <w:szCs w:val="24"/>
        </w:rPr>
      </w:pPr>
    </w:p>
    <w:p w14:paraId="656C92F8"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Pravilnik o mjerama zaštite i zdravlja na radu od rizika izloženosti kancerogenim ili mutagenim materijama</w:t>
      </w:r>
      <w:r w:rsidRPr="00C86111">
        <w:rPr>
          <w:rFonts w:asciiTheme="minorHAnsi" w:hAnsiTheme="minorHAnsi" w:cstheme="minorHAnsi"/>
          <w:szCs w:val="24"/>
        </w:rPr>
        <w:t xml:space="preserve"> ("Sl. list CG", br. 60/16, 11/17, 43/18, 20/19, 21/20), kojim su propisani minimalni zahtjevi koje poslodavac treba da ispuni u obezbjeđivanju mjera zaštite i zdravlja na radu, uključujući i granične vrijednosti, radi otklanjanja ili smanjenja rizika od nastanka povreda na radu, profesionalnih bolesti i bolesti u vezi sa radom koje nastaju za vrijeme rada pri izlaganju zaposlenog hemijskim materijama i kancerogenim ili mutagenim materijama.</w:t>
      </w:r>
    </w:p>
    <w:p w14:paraId="114F22E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 </w:t>
      </w:r>
    </w:p>
    <w:p w14:paraId="23FB3749"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Zakonom o odgovornosti za štetu u životnoj sredini</w:t>
      </w:r>
      <w:r w:rsidRPr="00C86111">
        <w:rPr>
          <w:rFonts w:asciiTheme="minorHAnsi" w:hAnsiTheme="minorHAnsi" w:cstheme="minorHAnsi"/>
          <w:szCs w:val="24"/>
        </w:rPr>
        <w:t xml:space="preserve"> ("Sl. list CG", br. 27/14, 55/16, 84/24) uređuje se način i postupak utvrđivanja odgovornosti za štetu u životnoj sredini, kao i primjena preventivnih mjera i mjera remedijacije radi sprečavanja i otklanjanja štete u životnoj sredini. Pravna i fizička lica koja su obavljanjem djelatnosti, odnosno vršenjem aktivnosti prouzrokovala </w:t>
      </w:r>
      <w:r w:rsidRPr="00C86111">
        <w:rPr>
          <w:rFonts w:asciiTheme="minorHAnsi" w:hAnsiTheme="minorHAnsi" w:cstheme="minorHAnsi"/>
          <w:szCs w:val="24"/>
        </w:rPr>
        <w:lastRenderedPageBreak/>
        <w:t>štetu ili neposrednu opasnost od štete u životnoj sredini odgovorna su za štetu i dužna su da sprovedu mjere za sprečavanje i remedijaciju štete u skladu sa navedenim zakonom.</w:t>
      </w:r>
    </w:p>
    <w:p w14:paraId="7784C1E9" w14:textId="77777777" w:rsidR="004F6023" w:rsidRPr="00C86111" w:rsidRDefault="004F6023" w:rsidP="004F6023">
      <w:pPr>
        <w:jc w:val="both"/>
        <w:rPr>
          <w:rFonts w:asciiTheme="minorHAnsi" w:hAnsiTheme="minorHAnsi" w:cstheme="minorHAnsi"/>
          <w:szCs w:val="24"/>
        </w:rPr>
      </w:pPr>
    </w:p>
    <w:p w14:paraId="3B0FF20B" w14:textId="77777777" w:rsidR="004F6023" w:rsidRPr="00C86111" w:rsidRDefault="004F6023" w:rsidP="004F6023">
      <w:pPr>
        <w:jc w:val="both"/>
        <w:rPr>
          <w:rFonts w:asciiTheme="minorHAnsi" w:hAnsiTheme="minorHAnsi" w:cstheme="minorHAnsi"/>
          <w:b/>
          <w:bCs/>
          <w:szCs w:val="24"/>
        </w:rPr>
      </w:pPr>
      <w:r w:rsidRPr="00C86111">
        <w:rPr>
          <w:rFonts w:asciiTheme="minorHAnsi" w:hAnsiTheme="minorHAnsi" w:cstheme="minorHAnsi"/>
          <w:b/>
          <w:bCs/>
          <w:szCs w:val="24"/>
        </w:rPr>
        <w:t>Usklađenost sa međunarodnim obavezama</w:t>
      </w:r>
    </w:p>
    <w:p w14:paraId="6DC56723" w14:textId="77777777" w:rsidR="004F6023" w:rsidRPr="00C86111" w:rsidRDefault="004F6023" w:rsidP="004F6023">
      <w:pPr>
        <w:jc w:val="both"/>
        <w:rPr>
          <w:rFonts w:asciiTheme="minorHAnsi" w:hAnsiTheme="minorHAnsi" w:cstheme="minorHAnsi"/>
          <w:szCs w:val="24"/>
          <w:u w:val="single"/>
        </w:rPr>
      </w:pPr>
    </w:p>
    <w:p w14:paraId="49128D12"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Crna Gora je zemlja članica Stokholmske Konvencije o dugotrajnim organskim zagađujućim materijama od marta 2011. godine. Kao kandidat za članstvo u EU, država ima obavezu usklađivanja zakonodavstva sa pravnom tekovinom EU (acquis communautaire), posebno u oblasti zaštite životne sredine i upravljanja hemikalijama (poglavlje 27).</w:t>
      </w:r>
    </w:p>
    <w:p w14:paraId="67BABFFB" w14:textId="77777777" w:rsidR="004F6023" w:rsidRPr="00C86111" w:rsidRDefault="004F6023" w:rsidP="004F6023">
      <w:pPr>
        <w:jc w:val="both"/>
        <w:rPr>
          <w:rFonts w:asciiTheme="minorHAnsi" w:hAnsiTheme="minorHAnsi" w:cstheme="minorHAnsi"/>
          <w:szCs w:val="24"/>
        </w:rPr>
      </w:pPr>
    </w:p>
    <w:p w14:paraId="0263F53A"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Relevantne EU direktive i uredbe uključuju:</w:t>
      </w:r>
    </w:p>
    <w:p w14:paraId="4FC35AE8" w14:textId="77777777" w:rsidR="004F6023" w:rsidRPr="00C86111" w:rsidRDefault="004F6023" w:rsidP="004F6023">
      <w:pPr>
        <w:jc w:val="both"/>
        <w:rPr>
          <w:rFonts w:asciiTheme="minorHAnsi" w:hAnsiTheme="minorHAnsi" w:cstheme="minorHAnsi"/>
          <w:szCs w:val="24"/>
        </w:rPr>
      </w:pPr>
    </w:p>
    <w:p w14:paraId="14834FE7" w14:textId="77777777" w:rsidR="004F6023" w:rsidRPr="00C86111" w:rsidRDefault="004F6023" w:rsidP="007E2AA5">
      <w:pPr>
        <w:pStyle w:val="ListParagraph"/>
        <w:numPr>
          <w:ilvl w:val="0"/>
          <w:numId w:val="8"/>
        </w:numPr>
        <w:jc w:val="both"/>
        <w:rPr>
          <w:rFonts w:asciiTheme="minorHAnsi" w:hAnsiTheme="minorHAnsi" w:cstheme="minorHAnsi"/>
          <w:szCs w:val="24"/>
        </w:rPr>
      </w:pPr>
      <w:r w:rsidRPr="00C86111">
        <w:rPr>
          <w:rFonts w:asciiTheme="minorHAnsi" w:hAnsiTheme="minorHAnsi" w:cstheme="minorHAnsi"/>
          <w:b/>
          <w:szCs w:val="24"/>
        </w:rPr>
        <w:t>Regulativa (EU) br. 1907/2006 o registraciji, evaluaciji, autorizaciji i ograničavanju hemikalija (REACH)</w:t>
      </w:r>
    </w:p>
    <w:p w14:paraId="0C9CFE54" w14:textId="77777777" w:rsidR="004F6023" w:rsidRPr="00C86111" w:rsidRDefault="004F6023" w:rsidP="007E2AA5">
      <w:pPr>
        <w:pStyle w:val="ListParagraph"/>
        <w:numPr>
          <w:ilvl w:val="0"/>
          <w:numId w:val="8"/>
        </w:numPr>
        <w:jc w:val="both"/>
        <w:rPr>
          <w:rFonts w:asciiTheme="minorHAnsi" w:hAnsiTheme="minorHAnsi" w:cstheme="minorHAnsi"/>
          <w:b/>
          <w:szCs w:val="24"/>
        </w:rPr>
      </w:pPr>
      <w:r w:rsidRPr="00C86111">
        <w:rPr>
          <w:rFonts w:asciiTheme="minorHAnsi" w:hAnsiTheme="minorHAnsi" w:cstheme="minorHAnsi"/>
          <w:b/>
          <w:szCs w:val="24"/>
        </w:rPr>
        <w:t>Regulativa (EU) br. 2019/1021 o dugotarjnim organskim zagađujućim supstancama (POPs regulativa)</w:t>
      </w:r>
    </w:p>
    <w:p w14:paraId="7DD592D6" w14:textId="77777777" w:rsidR="004F6023" w:rsidRPr="00C86111" w:rsidRDefault="004F6023" w:rsidP="007E2AA5">
      <w:pPr>
        <w:pStyle w:val="ListParagraph"/>
        <w:numPr>
          <w:ilvl w:val="0"/>
          <w:numId w:val="8"/>
        </w:numPr>
        <w:jc w:val="both"/>
        <w:rPr>
          <w:rFonts w:asciiTheme="minorHAnsi" w:hAnsiTheme="minorHAnsi" w:cstheme="minorHAnsi"/>
          <w:b/>
          <w:szCs w:val="24"/>
        </w:rPr>
      </w:pPr>
      <w:r w:rsidRPr="00C86111">
        <w:rPr>
          <w:rFonts w:asciiTheme="minorHAnsi" w:hAnsiTheme="minorHAnsi" w:cstheme="minorHAnsi"/>
          <w:b/>
          <w:szCs w:val="24"/>
        </w:rPr>
        <w:t>Direktiva o otpadu (2008/98/EC)</w:t>
      </w:r>
    </w:p>
    <w:p w14:paraId="056F1009" w14:textId="77777777" w:rsidR="004F6023" w:rsidRPr="00C86111" w:rsidRDefault="004F6023" w:rsidP="007E2AA5">
      <w:pPr>
        <w:pStyle w:val="ListParagraph"/>
        <w:numPr>
          <w:ilvl w:val="0"/>
          <w:numId w:val="8"/>
        </w:numPr>
        <w:jc w:val="both"/>
        <w:rPr>
          <w:rFonts w:asciiTheme="minorHAnsi" w:hAnsiTheme="minorHAnsi" w:cstheme="minorHAnsi"/>
          <w:szCs w:val="24"/>
        </w:rPr>
      </w:pPr>
      <w:r w:rsidRPr="00C86111">
        <w:rPr>
          <w:rFonts w:asciiTheme="minorHAnsi" w:hAnsiTheme="minorHAnsi" w:cstheme="minorHAnsi"/>
          <w:szCs w:val="24"/>
        </w:rPr>
        <w:t>Direktiva o industrijskim emisijama (IED)</w:t>
      </w:r>
    </w:p>
    <w:p w14:paraId="10C6D927" w14:textId="77777777" w:rsidR="004F6023" w:rsidRPr="00C86111" w:rsidRDefault="004F6023" w:rsidP="004F6023">
      <w:pPr>
        <w:pStyle w:val="ListParagraph"/>
        <w:jc w:val="both"/>
        <w:rPr>
          <w:rFonts w:asciiTheme="minorHAnsi" w:hAnsiTheme="minorHAnsi" w:cstheme="minorHAnsi"/>
          <w:szCs w:val="24"/>
        </w:rPr>
      </w:pPr>
    </w:p>
    <w:p w14:paraId="3785634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Trenutno zakonodavstvo djelimično obuhvata zahtjeve ovih propisa, ali postoji prostor za dalje usklađivanje, naročito u dijelu transparentnosti, dostupnosti podataka.</w:t>
      </w:r>
    </w:p>
    <w:p w14:paraId="133E0717" w14:textId="77777777" w:rsidR="004F6023" w:rsidRPr="00C86111" w:rsidRDefault="004F6023" w:rsidP="004F6023">
      <w:pPr>
        <w:jc w:val="both"/>
        <w:rPr>
          <w:rFonts w:asciiTheme="minorHAnsi" w:hAnsiTheme="minorHAnsi" w:cstheme="minorHAnsi"/>
          <w:szCs w:val="24"/>
        </w:rPr>
      </w:pPr>
    </w:p>
    <w:p w14:paraId="4DA2B999"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Crna Gora je ratifikovala i brojne međunarodne konvencije koje direktno ili indirekno regulišu POPs hemikalije. </w:t>
      </w:r>
    </w:p>
    <w:p w14:paraId="76B6FDEB"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 </w:t>
      </w:r>
    </w:p>
    <w:p w14:paraId="65380A5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Zakon o potvrđivanju Stokholmske konvencije o dugotrajnim organskim zagađujućim supstancama</w:t>
      </w:r>
      <w:r w:rsidRPr="00C86111">
        <w:rPr>
          <w:rFonts w:asciiTheme="minorHAnsi" w:hAnsiTheme="minorHAnsi" w:cstheme="minorHAnsi"/>
          <w:szCs w:val="24"/>
        </w:rPr>
        <w:t xml:space="preserve"> („Sl. list CG - Međunarodni ugovori", br. 16/2010) ima za cilj eliminaciju ili smanjenje ispuštanja POPs supstanci. Glavni ciljevi Stokholmske konvencije se mogu podijeliti u 5 sljedećih oblasti: </w:t>
      </w:r>
    </w:p>
    <w:p w14:paraId="31F0BFA3" w14:textId="77777777" w:rsidR="004F6023" w:rsidRPr="00C86111" w:rsidRDefault="004F6023" w:rsidP="007E2AA5">
      <w:pPr>
        <w:pStyle w:val="ListParagraph"/>
        <w:numPr>
          <w:ilvl w:val="0"/>
          <w:numId w:val="9"/>
        </w:numPr>
        <w:jc w:val="both"/>
        <w:rPr>
          <w:rFonts w:asciiTheme="minorHAnsi" w:hAnsiTheme="minorHAnsi" w:cstheme="minorHAnsi"/>
          <w:szCs w:val="24"/>
        </w:rPr>
      </w:pPr>
      <w:r w:rsidRPr="00C86111">
        <w:rPr>
          <w:rFonts w:asciiTheme="minorHAnsi" w:hAnsiTheme="minorHAnsi" w:cstheme="minorHAnsi"/>
          <w:szCs w:val="24"/>
        </w:rPr>
        <w:t xml:space="preserve">Kontrolne mjere u koje spadaju kontrolne mjere za namjerno proizvedene POPs, zatim za nenamjerno proizvedene POPs i kontrolne mjere u vezi sa skladištenjem i otpadom koji sadrži POPs supstance; </w:t>
      </w:r>
    </w:p>
    <w:p w14:paraId="7BF48D81" w14:textId="77777777" w:rsidR="004F6023" w:rsidRPr="00C86111" w:rsidRDefault="004F6023" w:rsidP="007E2AA5">
      <w:pPr>
        <w:pStyle w:val="ListParagraph"/>
        <w:numPr>
          <w:ilvl w:val="0"/>
          <w:numId w:val="9"/>
        </w:numPr>
        <w:jc w:val="both"/>
        <w:rPr>
          <w:rFonts w:asciiTheme="minorHAnsi" w:hAnsiTheme="minorHAnsi" w:cstheme="minorHAnsi"/>
          <w:szCs w:val="24"/>
        </w:rPr>
      </w:pPr>
      <w:r w:rsidRPr="00C86111">
        <w:rPr>
          <w:rFonts w:asciiTheme="minorHAnsi" w:hAnsiTheme="minorHAnsi" w:cstheme="minorHAnsi"/>
          <w:szCs w:val="24"/>
        </w:rPr>
        <w:t xml:space="preserve">Dodavanje novih POPs na anekse Konvencije; </w:t>
      </w:r>
    </w:p>
    <w:p w14:paraId="6FE57E07" w14:textId="77777777" w:rsidR="004F6023" w:rsidRPr="00C86111" w:rsidRDefault="004F6023" w:rsidP="007E2AA5">
      <w:pPr>
        <w:pStyle w:val="ListParagraph"/>
        <w:numPr>
          <w:ilvl w:val="0"/>
          <w:numId w:val="9"/>
        </w:numPr>
        <w:jc w:val="both"/>
        <w:rPr>
          <w:rFonts w:asciiTheme="minorHAnsi" w:hAnsiTheme="minorHAnsi" w:cstheme="minorHAnsi"/>
          <w:szCs w:val="24"/>
        </w:rPr>
      </w:pPr>
      <w:r w:rsidRPr="00C86111">
        <w:rPr>
          <w:rFonts w:asciiTheme="minorHAnsi" w:hAnsiTheme="minorHAnsi" w:cstheme="minorHAnsi"/>
          <w:szCs w:val="24"/>
        </w:rPr>
        <w:t xml:space="preserve">Opšte obaveze (određivanje nacionalne kontakt tačke, razmjena informacija, podizanje svijesti javnosti) </w:t>
      </w:r>
    </w:p>
    <w:p w14:paraId="5220CF99" w14:textId="77777777" w:rsidR="004F6023" w:rsidRPr="00C86111" w:rsidRDefault="004F6023" w:rsidP="007E2AA5">
      <w:pPr>
        <w:pStyle w:val="ListParagraph"/>
        <w:numPr>
          <w:ilvl w:val="0"/>
          <w:numId w:val="9"/>
        </w:numPr>
        <w:jc w:val="both"/>
        <w:rPr>
          <w:rFonts w:asciiTheme="minorHAnsi" w:hAnsiTheme="minorHAnsi" w:cstheme="minorHAnsi"/>
          <w:szCs w:val="24"/>
        </w:rPr>
      </w:pPr>
      <w:r w:rsidRPr="00C86111">
        <w:rPr>
          <w:rFonts w:asciiTheme="minorHAnsi" w:hAnsiTheme="minorHAnsi" w:cstheme="minorHAnsi"/>
          <w:szCs w:val="24"/>
        </w:rPr>
        <w:t xml:space="preserve">Implementacioni planovi; </w:t>
      </w:r>
    </w:p>
    <w:p w14:paraId="4FC90091" w14:textId="77777777" w:rsidR="004F6023" w:rsidRPr="00C86111" w:rsidRDefault="004F6023" w:rsidP="007E2AA5">
      <w:pPr>
        <w:pStyle w:val="ListParagraph"/>
        <w:numPr>
          <w:ilvl w:val="0"/>
          <w:numId w:val="9"/>
        </w:numPr>
        <w:jc w:val="both"/>
        <w:rPr>
          <w:rFonts w:asciiTheme="minorHAnsi" w:hAnsiTheme="minorHAnsi" w:cstheme="minorHAnsi"/>
          <w:szCs w:val="24"/>
        </w:rPr>
      </w:pPr>
      <w:r w:rsidRPr="00C86111">
        <w:rPr>
          <w:rFonts w:asciiTheme="minorHAnsi" w:hAnsiTheme="minorHAnsi" w:cstheme="minorHAnsi"/>
          <w:szCs w:val="24"/>
        </w:rPr>
        <w:t xml:space="preserve">Finansijska i tehnička pomoć zemljama u razvoju i zemljama sa ekonomijama u tranziciji. </w:t>
      </w:r>
    </w:p>
    <w:p w14:paraId="6D27884D"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 </w:t>
      </w:r>
    </w:p>
    <w:p w14:paraId="20A4D2B5"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Zakon o potvrđivanju Roterdamske konvencije o postupku davanja saglasnosti na osnovu prethodnog obavještenja za određene opasne hemikalije i pesticide u međunarodnoj trgovini</w:t>
      </w:r>
      <w:r w:rsidRPr="00C86111">
        <w:rPr>
          <w:rFonts w:asciiTheme="minorHAnsi" w:hAnsiTheme="minorHAnsi" w:cstheme="minorHAnsi"/>
          <w:szCs w:val="24"/>
        </w:rPr>
        <w:t xml:space="preserve"> („Sl. list CG - Međunarodni ugovori", br. 03/11) ima za cilj promovisanje podijeljene odgovornosti i saradnje između strana ugovornica na polju međunarodne trgovine određenim opasnim hemikalijama da bi se zaštitilo ljudsko zdravlje i životna sredina od potencijalne štete i da bi se doprinijelo korišćenju hemikalija na način koji je prihvatljiv za životnu sredinu, i to lakšim </w:t>
      </w:r>
      <w:r w:rsidRPr="00C86111">
        <w:rPr>
          <w:rFonts w:asciiTheme="minorHAnsi" w:hAnsiTheme="minorHAnsi" w:cstheme="minorHAnsi"/>
          <w:szCs w:val="24"/>
        </w:rPr>
        <w:lastRenderedPageBreak/>
        <w:t xml:space="preserve">protokom informacija o njihovim karakteristikama, starajući se o procesu donošenja odluka na nacionalnom planu o uvozu i izvozu. </w:t>
      </w:r>
    </w:p>
    <w:p w14:paraId="6E343069" w14:textId="77777777" w:rsidR="004F6023" w:rsidRPr="00C86111" w:rsidRDefault="004F6023" w:rsidP="004F6023">
      <w:pPr>
        <w:jc w:val="both"/>
        <w:rPr>
          <w:rFonts w:asciiTheme="minorHAnsi" w:hAnsiTheme="minorHAnsi" w:cstheme="minorHAnsi"/>
          <w:szCs w:val="24"/>
        </w:rPr>
      </w:pPr>
    </w:p>
    <w:p w14:paraId="633210FF"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Roterdamska konvencija obuhvata pesticide i industrijske hemikalije koje su zabranjene ili strogo ograničene kako bi se zaštitilo ljudsko zdravlje ili životna sredina. Kada se hemikalija uvrsti na Aneks III Konvencije svim stranama ugovornicama se dostavlja Odluka sa smjernicama koja sadrži sve podatke o hemikaliji i o konačnim regulatornim mjerama kojim se zabranjuje ili strogo ograničava upotreba hemikalije. Strane ugovornice imaju rok od devet mjeseci od dostavljanja Odluke sa smjernicama da pripreme odgovor u vezi budućeg uvoza dotične hemikalije. Odgovor može biti konačan (da se dozvoli budući uvoz, da se ne dozvoli budući uvoz, ili da se dozvoli uvoz pod određenim uslovima) ili odgovor može biti privremeni. Odluke zemalja uvoznica se svakih pola godine prosljeđuju svim ugovornim stankama, putem PIC cirkulara, a strane izvoznice su obavezne po Konvenciji preduzeti odgovarajuće mjere da osiguraju da izvoznici u njihovoj nadležnosti poštuju ove odluke. Svaka strana ugovornica ima obavezu da imenuje jedno ili više državnih tijela koje će biti ovlašćeno da djeluje u izvršenju administrativnih funkcija prema zahtjevima Konvencije. AZPŽS je imenovana, kao tijelo na nivou države, za koordinaciju implementacije Roterdamske konvencije u Crnoj Gori. </w:t>
      </w:r>
    </w:p>
    <w:p w14:paraId="12C2F35C" w14:textId="77777777" w:rsidR="004F6023" w:rsidRPr="00C86111" w:rsidRDefault="004F6023" w:rsidP="004F6023">
      <w:pPr>
        <w:jc w:val="both"/>
        <w:rPr>
          <w:rFonts w:asciiTheme="minorHAnsi" w:hAnsiTheme="minorHAnsi" w:cstheme="minorHAnsi"/>
          <w:szCs w:val="24"/>
        </w:rPr>
      </w:pPr>
    </w:p>
    <w:p w14:paraId="5BFED96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Zakon o potvrđivanju Bazelske konvencije o kontroli prekograničnog kretanja opasnih otpada i njihovom odlaganju</w:t>
      </w:r>
      <w:r w:rsidRPr="00C86111">
        <w:rPr>
          <w:rFonts w:asciiTheme="minorHAnsi" w:hAnsiTheme="minorHAnsi" w:cstheme="minorHAnsi"/>
          <w:szCs w:val="24"/>
        </w:rPr>
        <w:t xml:space="preserve"> („Sl. list SRJ" Međunarodni ugovori br. 2/99) definiše kontrolu prekograničnog ili međunarodnog kretanja otpada. Glavni cilj konvencije je zabrana trgovine opasnim otpadom i sprečavanje njegovog izvoza u nerazvijene ili manje razvijenje zemlje pod maskom “reciklaže”. Sve strane ugovornice će preduzeti mjere u cilju smanjenja količina otpada koji se proizvodi na izvoru. Bezbjedno upravljanje opasnim otpadom treba da bude osigurano i prije prekograničnog kretanja otpada tako što je neophodno dobiti saglasnosti od nadležnih organa svih zainteresovanih strana (uključujuči i tranzitne zemlje). Prilogom I konvencije definisane su kategorije otpada za kontrolu: </w:t>
      </w:r>
    </w:p>
    <w:p w14:paraId="5AE71B1C" w14:textId="77777777" w:rsidR="004F6023" w:rsidRPr="00C86111" w:rsidRDefault="004F6023" w:rsidP="007E2AA5">
      <w:pPr>
        <w:pStyle w:val="ListParagraph"/>
        <w:numPr>
          <w:ilvl w:val="0"/>
          <w:numId w:val="10"/>
        </w:numPr>
        <w:jc w:val="both"/>
        <w:rPr>
          <w:rFonts w:asciiTheme="minorHAnsi" w:hAnsiTheme="minorHAnsi" w:cstheme="minorHAnsi"/>
          <w:szCs w:val="24"/>
        </w:rPr>
      </w:pPr>
      <w:r w:rsidRPr="00C86111">
        <w:rPr>
          <w:rFonts w:asciiTheme="minorHAnsi" w:hAnsiTheme="minorHAnsi" w:cstheme="minorHAnsi"/>
          <w:szCs w:val="24"/>
        </w:rPr>
        <w:t xml:space="preserve">Y4 Otpadi iz proizvodnje, formulacija i korišćenja biocida i fitofarmaceutskih proizvoda; </w:t>
      </w:r>
    </w:p>
    <w:p w14:paraId="6F07E114" w14:textId="77777777" w:rsidR="004F6023" w:rsidRPr="00C86111" w:rsidRDefault="004F6023" w:rsidP="007E2AA5">
      <w:pPr>
        <w:pStyle w:val="ListParagraph"/>
        <w:numPr>
          <w:ilvl w:val="0"/>
          <w:numId w:val="10"/>
        </w:numPr>
        <w:jc w:val="both"/>
        <w:rPr>
          <w:rFonts w:asciiTheme="minorHAnsi" w:hAnsiTheme="minorHAnsi" w:cstheme="minorHAnsi"/>
          <w:szCs w:val="24"/>
        </w:rPr>
      </w:pPr>
      <w:r w:rsidRPr="00C86111">
        <w:rPr>
          <w:rFonts w:asciiTheme="minorHAnsi" w:hAnsiTheme="minorHAnsi" w:cstheme="minorHAnsi"/>
          <w:szCs w:val="24"/>
        </w:rPr>
        <w:t xml:space="preserve">Y5 Otpadi iz proizvodnje, formulacija i korišćenja hemikalija za zaštitu drveta; </w:t>
      </w:r>
    </w:p>
    <w:p w14:paraId="1C52A94A" w14:textId="77777777" w:rsidR="004F6023" w:rsidRPr="00C86111" w:rsidRDefault="004F6023" w:rsidP="007E2AA5">
      <w:pPr>
        <w:pStyle w:val="ListParagraph"/>
        <w:numPr>
          <w:ilvl w:val="0"/>
          <w:numId w:val="10"/>
        </w:numPr>
        <w:jc w:val="both"/>
        <w:rPr>
          <w:rFonts w:asciiTheme="minorHAnsi" w:hAnsiTheme="minorHAnsi" w:cstheme="minorHAnsi"/>
          <w:szCs w:val="24"/>
        </w:rPr>
      </w:pPr>
      <w:r w:rsidRPr="00C86111">
        <w:rPr>
          <w:rFonts w:asciiTheme="minorHAnsi" w:hAnsiTheme="minorHAnsi" w:cstheme="minorHAnsi"/>
          <w:szCs w:val="24"/>
        </w:rPr>
        <w:t xml:space="preserve">Y6 Otpadi iz proizvodnje, formulacija i korišćenja organskih rastvarača; </w:t>
      </w:r>
    </w:p>
    <w:p w14:paraId="2A353A73" w14:textId="77777777" w:rsidR="004F6023" w:rsidRPr="00C86111" w:rsidRDefault="004F6023" w:rsidP="007E2AA5">
      <w:pPr>
        <w:pStyle w:val="ListParagraph"/>
        <w:numPr>
          <w:ilvl w:val="0"/>
          <w:numId w:val="10"/>
        </w:numPr>
        <w:jc w:val="both"/>
        <w:rPr>
          <w:rFonts w:asciiTheme="minorHAnsi" w:hAnsiTheme="minorHAnsi" w:cstheme="minorHAnsi"/>
          <w:szCs w:val="24"/>
        </w:rPr>
      </w:pPr>
      <w:r w:rsidRPr="00C86111">
        <w:rPr>
          <w:rFonts w:asciiTheme="minorHAnsi" w:hAnsiTheme="minorHAnsi" w:cstheme="minorHAnsi"/>
          <w:szCs w:val="24"/>
        </w:rPr>
        <w:t xml:space="preserve">Y8 Otpadna mineralna ulja koja ne odgovaraju svojoj prvobitnoj namjeni; </w:t>
      </w:r>
    </w:p>
    <w:p w14:paraId="57101AF4" w14:textId="77777777" w:rsidR="004F6023" w:rsidRPr="00C86111" w:rsidRDefault="004F6023" w:rsidP="007E2AA5">
      <w:pPr>
        <w:pStyle w:val="ListParagraph"/>
        <w:numPr>
          <w:ilvl w:val="0"/>
          <w:numId w:val="10"/>
        </w:numPr>
        <w:jc w:val="both"/>
        <w:rPr>
          <w:rFonts w:asciiTheme="minorHAnsi" w:hAnsiTheme="minorHAnsi" w:cstheme="minorHAnsi"/>
          <w:szCs w:val="24"/>
        </w:rPr>
      </w:pPr>
      <w:r w:rsidRPr="00C86111">
        <w:rPr>
          <w:rFonts w:asciiTheme="minorHAnsi" w:hAnsiTheme="minorHAnsi" w:cstheme="minorHAnsi"/>
          <w:szCs w:val="24"/>
        </w:rPr>
        <w:t xml:space="preserve">Y10 Otpadne supstance i predmeti koji sadrže ili su zagađene polihlorovanim bifenilima (PCBs) i/ili polihlorovanim terfenilima (PCTs) i/ili polibromovanim bifenilima (CPBPs). </w:t>
      </w:r>
    </w:p>
    <w:p w14:paraId="1FE6DFEE"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 </w:t>
      </w:r>
    </w:p>
    <w:p w14:paraId="7729666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Zakon o potvrđivanju Konvencije o prekograničnom zagađenju vazduha na velikim udaljenostima iz 1979. Godine</w:t>
      </w:r>
      <w:r w:rsidRPr="00C86111">
        <w:rPr>
          <w:rFonts w:asciiTheme="minorHAnsi" w:hAnsiTheme="minorHAnsi" w:cstheme="minorHAnsi"/>
          <w:szCs w:val="24"/>
        </w:rPr>
        <w:t xml:space="preserve"> („Sl. list CG - Međunarodni ugovori", br. 11/86) ima za cilj zaštitu čoveka i životne sredine od zagađivanja vazduha kao i ograničavanje, i koliko god je to moguće, postepeno smanjivanje i sprečavanje zagađivanja vazduha, uključujući i zagađivanje vazduha na velikim udaljenostima i van granica. U okviru Konvencije, strane ugovornice treba da razmjenom informacija, konsultacijama, istraživanjima i praćenjem, razrade politiku i strategiju koje će poslužiti kao sredstvo za borbu protiv ispuštanja zagađujućih materija u vazduh, vodeći računa o naporima koji se već ulažu na nacionalnom i međunarodnom nivou. Imajući u vidu navedeno izrađen je Akcioni plan za potvrđivanje i implementaciju Protokola o teškim metalima, Protokola </w:t>
      </w:r>
      <w:r w:rsidRPr="00C86111">
        <w:rPr>
          <w:rFonts w:asciiTheme="minorHAnsi" w:hAnsiTheme="minorHAnsi" w:cstheme="minorHAnsi"/>
          <w:szCs w:val="24"/>
        </w:rPr>
        <w:lastRenderedPageBreak/>
        <w:t xml:space="preserve">o POPs i Protokola o sprečavanju zakisjeljavanja, eutrofikacije i prizemnog ozona uz Konvenciju o prekograničnom zagađivanju vazduha na velikim udaljenostima, u oktobru 2010.godine. </w:t>
      </w:r>
    </w:p>
    <w:p w14:paraId="0A4A7F6C" w14:textId="77777777" w:rsidR="004F6023" w:rsidRPr="00C86111" w:rsidRDefault="004F6023" w:rsidP="004F6023">
      <w:pPr>
        <w:jc w:val="both"/>
        <w:rPr>
          <w:rFonts w:asciiTheme="minorHAnsi" w:hAnsiTheme="minorHAnsi" w:cstheme="minorHAnsi"/>
          <w:szCs w:val="24"/>
        </w:rPr>
      </w:pPr>
    </w:p>
    <w:p w14:paraId="67070B6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b/>
          <w:szCs w:val="24"/>
        </w:rPr>
        <w:t>Zakonom o potvrđivanju protokola o POPs uz Konvenciju o prekograničnom zagađenju vazduha na velikim udaljenostima</w:t>
      </w:r>
      <w:r w:rsidRPr="00C86111">
        <w:rPr>
          <w:rFonts w:asciiTheme="minorHAnsi" w:hAnsiTheme="minorHAnsi" w:cstheme="minorHAnsi"/>
          <w:szCs w:val="24"/>
        </w:rPr>
        <w:t xml:space="preserve"> („Sl. list CG - Međunarodni ugovori", br. 8/2011) osnovne obaveze strana ugovornica definisane su na sljedeći način:  </w:t>
      </w:r>
    </w:p>
    <w:p w14:paraId="144D5EF7" w14:textId="77777777" w:rsidR="004F6023" w:rsidRPr="00C86111" w:rsidRDefault="004F6023" w:rsidP="007E2AA5">
      <w:pPr>
        <w:pStyle w:val="ListParagraph"/>
        <w:numPr>
          <w:ilvl w:val="0"/>
          <w:numId w:val="11"/>
        </w:numPr>
        <w:jc w:val="both"/>
        <w:rPr>
          <w:rFonts w:asciiTheme="minorHAnsi" w:hAnsiTheme="minorHAnsi" w:cstheme="minorHAnsi"/>
          <w:szCs w:val="24"/>
        </w:rPr>
      </w:pPr>
      <w:r w:rsidRPr="00C86111">
        <w:rPr>
          <w:rFonts w:asciiTheme="minorHAnsi" w:hAnsiTheme="minorHAnsi" w:cstheme="minorHAnsi"/>
          <w:szCs w:val="24"/>
        </w:rPr>
        <w:t xml:space="preserve">Eliminisati proizvodnju i potrošnju 11 supstanci navedenih u Prilogu I protokola; </w:t>
      </w:r>
    </w:p>
    <w:p w14:paraId="7740D676" w14:textId="77777777" w:rsidR="004F6023" w:rsidRPr="00C86111" w:rsidRDefault="004F6023" w:rsidP="007E2AA5">
      <w:pPr>
        <w:pStyle w:val="ListParagraph"/>
        <w:numPr>
          <w:ilvl w:val="0"/>
          <w:numId w:val="11"/>
        </w:numPr>
        <w:jc w:val="both"/>
        <w:rPr>
          <w:rFonts w:asciiTheme="minorHAnsi" w:hAnsiTheme="minorHAnsi" w:cstheme="minorHAnsi"/>
          <w:szCs w:val="24"/>
        </w:rPr>
      </w:pPr>
      <w:r w:rsidRPr="00C86111">
        <w:rPr>
          <w:rFonts w:asciiTheme="minorHAnsi" w:hAnsiTheme="minorHAnsi" w:cstheme="minorHAnsi"/>
          <w:szCs w:val="24"/>
        </w:rPr>
        <w:t xml:space="preserve">Ograničiti upotrebu supstanci iz Priloga II protokola (DDT, HCH i PCB) na posebne namjene i pod određenim uslovima. </w:t>
      </w:r>
    </w:p>
    <w:p w14:paraId="0D705792" w14:textId="77777777" w:rsidR="004F6023" w:rsidRPr="00C86111" w:rsidRDefault="004F6023" w:rsidP="004F6023">
      <w:pPr>
        <w:pStyle w:val="ListParagraph"/>
        <w:jc w:val="both"/>
        <w:rPr>
          <w:rFonts w:asciiTheme="minorHAnsi" w:hAnsiTheme="minorHAnsi" w:cstheme="minorHAnsi"/>
          <w:szCs w:val="24"/>
        </w:rPr>
      </w:pPr>
    </w:p>
    <w:p w14:paraId="29DC225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Crna Gora je 2009. rаtifikovаlа </w:t>
      </w:r>
      <w:r w:rsidRPr="00C86111">
        <w:rPr>
          <w:rFonts w:asciiTheme="minorHAnsi" w:hAnsiTheme="minorHAnsi" w:cstheme="minorHAnsi"/>
          <w:b/>
          <w:szCs w:val="24"/>
        </w:rPr>
        <w:t>Konvenciju o dostupnosti informаcijа, učešću jаvnosti u donošenju odlukа i prаvu nа prаvnu zаštitu u pitаnjimа životne sredine</w:t>
      </w:r>
      <w:r w:rsidRPr="00C86111">
        <w:rPr>
          <w:rFonts w:asciiTheme="minorHAnsi" w:hAnsiTheme="minorHAnsi" w:cstheme="minorHAnsi"/>
          <w:szCs w:val="24"/>
        </w:rPr>
        <w:t xml:space="preserve"> („Sl.list CG – Međunarodni ugovori“, br. 03/09). Cilj usvajanja Aarhuske konvencije je zaštita prava svakog pojedinca, sadašnjih i budućih generacija na život u životnoj sredini adekvatnoj njegovom zdravlju i blagostanju. Arhuska konvencija je međunarodno-pravni instrument za zaštitu životne sredine koja sadrži 3 grupe pravila koja se odnose na: prava građana na dostupnost informacijama, prava građana da učestvuju u donošenju odluka o životnoj sredini i pristup pravosuđu u slučaju da su prethodna dva prava narušena (pravna zaštita). </w:t>
      </w:r>
    </w:p>
    <w:p w14:paraId="7D1DC362"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 </w:t>
      </w:r>
    </w:p>
    <w:p w14:paraId="79DD82C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Crna Gora je potvrdila </w:t>
      </w:r>
      <w:r w:rsidRPr="00C86111">
        <w:rPr>
          <w:rFonts w:asciiTheme="minorHAnsi" w:hAnsiTheme="minorHAnsi" w:cstheme="minorHAnsi"/>
          <w:b/>
          <w:bCs/>
          <w:szCs w:val="24"/>
        </w:rPr>
        <w:t>Protokol o registrima ispuštanja i prenosa zagađujućih materija</w:t>
      </w:r>
      <w:r w:rsidRPr="00C86111">
        <w:rPr>
          <w:rFonts w:asciiTheme="minorHAnsi" w:hAnsiTheme="minorHAnsi" w:cstheme="minorHAnsi"/>
          <w:szCs w:val="24"/>
        </w:rPr>
        <w:t xml:space="preserve"> u julu 2017. („Sl. list CG-Međunarodni ugovori“, br. 6/17). </w:t>
      </w:r>
    </w:p>
    <w:p w14:paraId="41EE2591" w14:textId="77777777" w:rsidR="004F6023" w:rsidRPr="00C86111" w:rsidRDefault="004F6023" w:rsidP="004F6023">
      <w:pPr>
        <w:jc w:val="both"/>
        <w:rPr>
          <w:rFonts w:asciiTheme="minorHAnsi" w:hAnsiTheme="minorHAnsi" w:cstheme="minorHAnsi"/>
          <w:szCs w:val="24"/>
        </w:rPr>
      </w:pPr>
    </w:p>
    <w:p w14:paraId="6824047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1976. godine, 16 zemalja Sredozemlja (među kojima i tadašnja SFR Jugoslavija) i Evropska unija potpisale su Konvenciju o zaštiti Sredozemnog mora od zagađivanja (Barselonsku konvenciju), koja je stupila na snagu 1978. godine. Barselonska konvencija i njeni protokoli, zajedno sa Akcionim planom za Sredozemlje (MAP - Mediterranean Action Plan) čine dio regionalnog morskog programa Programa za životnu sredinu (UNEP). </w:t>
      </w:r>
    </w:p>
    <w:p w14:paraId="48CC2C6F"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 </w:t>
      </w:r>
    </w:p>
    <w:p w14:paraId="5BD18B0B"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Mediteranski akcioni plan (MAP) uspostavljen je 1975. godine u okviru UNEP-a kao prvi Program regionalnih mora. Glavni cilj UNEP/MAP-a bio je uspostavljanje saradnje između država u regionu radi zaštite Sredozemnog mora od zagađenja, ali i sa ciljem osiguranja kvalitetnijeg života stanovnicima zemalja koje okružuju Sredozemno more, te uspostavljanja i osnaživanja međusobne saradnje i usaglašavanja strategija upravljanja zajedničkim prirodnim resursima. U njegovom fokusu su zaštita životne sredine, promocija modela održivog upravljanja, kao i harmoniziranje odnosa među mediteranskim zemljama. </w:t>
      </w:r>
    </w:p>
    <w:p w14:paraId="10D01458"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 </w:t>
      </w:r>
    </w:p>
    <w:p w14:paraId="19A9244D"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Danas UNEP/MAP okuplja 21 zemlju Mediterana i Evropsku uniju (EU) koje su ratifikovale izmijenjenu i dopunjenu Barselonsku konvenciju iz 1995. godine pod nazivom Konvencija o zaštiti morske sredine i priobalnog područja Sredozemlja, koja je stupila na snagu 9. jula 2004. godine. Pored Barselonske konvencije, pravni okvir nazvan "Barcellona System" sačinjavaju i sedam Protokola koji se odnose na specifične aspekte zaštite morskog i obalnog ekosistema.  </w:t>
      </w:r>
    </w:p>
    <w:p w14:paraId="08E25785" w14:textId="77777777" w:rsidR="004F6023" w:rsidRPr="00C86111" w:rsidRDefault="004F6023" w:rsidP="004F6023">
      <w:pPr>
        <w:jc w:val="both"/>
        <w:rPr>
          <w:rFonts w:asciiTheme="minorHAnsi" w:hAnsiTheme="minorHAnsi" w:cstheme="minorHAnsi"/>
          <w:szCs w:val="24"/>
        </w:rPr>
      </w:pPr>
    </w:p>
    <w:p w14:paraId="6E444FF9"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Na kraju je važno ukazati i na Strateški pristup međunarodnom upravljanju hemikalijama (Strategic Approach to International Chemicals Management – SAICM) koji obavezuje države da </w:t>
      </w:r>
      <w:r w:rsidRPr="00C86111">
        <w:rPr>
          <w:rFonts w:asciiTheme="minorHAnsi" w:hAnsiTheme="minorHAnsi" w:cstheme="minorHAnsi"/>
          <w:szCs w:val="24"/>
        </w:rPr>
        <w:lastRenderedPageBreak/>
        <w:t xml:space="preserve">naprave procjenu situacije i izrade nacionalne programe bezbjednog upravljanja hemikalijama. U skladu sa navedenim programom Vlada Crne Gore donijela Nacionalnu strategiju upravljanja hemikalijama 2024-2026, ali kako  su POPs  hemikalije vrlo specifične, a imajući u vidu i zahtjeve Stokholsmke konvencije neophodno je donijeti Nacionalni plan implementacije Stokholsmke konvencije i na taj način dati širi pristup upravljanju POPs supstancama. </w:t>
      </w:r>
    </w:p>
    <w:p w14:paraId="4DBCE84F" w14:textId="77777777" w:rsidR="004F6023" w:rsidRPr="00C86111" w:rsidRDefault="004F6023" w:rsidP="004F6023">
      <w:pPr>
        <w:jc w:val="both"/>
        <w:rPr>
          <w:rFonts w:asciiTheme="minorHAnsi" w:hAnsiTheme="minorHAnsi" w:cstheme="minorHAnsi"/>
          <w:szCs w:val="24"/>
        </w:rPr>
      </w:pPr>
    </w:p>
    <w:p w14:paraId="5902D964" w14:textId="2025D9CD" w:rsidR="004F6023" w:rsidRPr="00C86111" w:rsidRDefault="007A23C1" w:rsidP="00EA6904">
      <w:pPr>
        <w:pStyle w:val="Heading1"/>
      </w:pPr>
      <w:bookmarkStart w:id="473" w:name="_Toc220542003"/>
      <w:r w:rsidRPr="00C86111">
        <w:t>TEHNIČKA I FINANSIJSKA POMOĆ</w:t>
      </w:r>
      <w:bookmarkStart w:id="474" w:name="_GoBack"/>
      <w:bookmarkEnd w:id="473"/>
      <w:bookmarkEnd w:id="474"/>
    </w:p>
    <w:p w14:paraId="5D5ABE59" w14:textId="77777777" w:rsidR="004F6023" w:rsidRPr="00C86111" w:rsidRDefault="004F6023" w:rsidP="004F6023">
      <w:pPr>
        <w:jc w:val="both"/>
        <w:rPr>
          <w:rFonts w:asciiTheme="minorHAnsi" w:hAnsiTheme="minorHAnsi" w:cstheme="minorHAnsi"/>
          <w:b/>
          <w:bCs/>
          <w:szCs w:val="24"/>
          <w:lang w:val="en-GB"/>
        </w:rPr>
      </w:pPr>
    </w:p>
    <w:p w14:paraId="7D45412F"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Upravljanje hemikalijama koje predstavljaju dugotrajne organske zagađujuće supstance (POPs) jedno je od ključnih pitanja zaštite životne sredine i javnog zdravlja u Crnoj Gori. Ove supstance su prepoznate na globalnom nivou zbog svoje visoke toksičnosti, dugotrajne postojanosti i sposobnosti bioakumulacije, što ih čini posebno opasnim i zahtijeva poseban tretman, precizno planiranje i stroge mjere kontrole. Crna Gora, kao potpisnica Stokholmske konvencije, ima obavezu da osigura njihovo bezbjedno upravljanje, kontrolisano skladištenje i postepeno uklanjanje iz upotrebe, u skladu sa međunarodnim standardima, najboljim praksama i procesom evropskih integracija.</w:t>
      </w:r>
    </w:p>
    <w:p w14:paraId="64E294A5" w14:textId="77777777" w:rsidR="004F6023" w:rsidRPr="00C86111" w:rsidRDefault="004F6023" w:rsidP="004F6023">
      <w:pPr>
        <w:jc w:val="both"/>
        <w:rPr>
          <w:rFonts w:asciiTheme="minorHAnsi" w:hAnsiTheme="minorHAnsi" w:cstheme="minorHAnsi"/>
          <w:szCs w:val="24"/>
        </w:rPr>
      </w:pPr>
    </w:p>
    <w:p w14:paraId="636D5F6C"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Ovaj izvještaj pruža sveobuhvatan pregled tehničke i finansijske pomoći koja je obezbijeđena Crnoj Gori u oblasti upravljanja POPs hemikalijama, kroz saradnju sa međunarodnim partnerima, kao i kroz nacionalne inicijative i programe. Poseban fokus stavljen je na projekte realizovane uz podršku UNDP-a, UNEP-a, GEF-a i MedWaves-a, kao i na aktivnosti sprovedene kroz državne programe i civilni sektor, koje doprinose razvoju održivog sistema upravljanja POPs supstancama.</w:t>
      </w:r>
    </w:p>
    <w:p w14:paraId="75F29822"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Cilj izvještaja je da:</w:t>
      </w:r>
    </w:p>
    <w:p w14:paraId="76C351C0" w14:textId="77777777" w:rsidR="004F6023" w:rsidRPr="00C86111" w:rsidRDefault="004F6023" w:rsidP="00833A40">
      <w:pPr>
        <w:numPr>
          <w:ilvl w:val="0"/>
          <w:numId w:val="81"/>
        </w:numPr>
        <w:jc w:val="both"/>
        <w:rPr>
          <w:rFonts w:asciiTheme="minorHAnsi" w:hAnsiTheme="minorHAnsi" w:cstheme="minorHAnsi"/>
          <w:szCs w:val="24"/>
        </w:rPr>
      </w:pPr>
      <w:r w:rsidRPr="00C86111">
        <w:rPr>
          <w:rFonts w:asciiTheme="minorHAnsi" w:hAnsiTheme="minorHAnsi" w:cstheme="minorHAnsi"/>
          <w:szCs w:val="24"/>
        </w:rPr>
        <w:t>dokumentuje ključne projekte, njihove rezultate i finansijsku vrijednost;</w:t>
      </w:r>
    </w:p>
    <w:p w14:paraId="3E242744" w14:textId="77777777" w:rsidR="004F6023" w:rsidRPr="00C86111" w:rsidRDefault="004F6023" w:rsidP="00833A40">
      <w:pPr>
        <w:numPr>
          <w:ilvl w:val="0"/>
          <w:numId w:val="81"/>
        </w:numPr>
        <w:jc w:val="both"/>
        <w:rPr>
          <w:rFonts w:asciiTheme="minorHAnsi" w:hAnsiTheme="minorHAnsi" w:cstheme="minorHAnsi"/>
          <w:szCs w:val="24"/>
        </w:rPr>
      </w:pPr>
      <w:r w:rsidRPr="00C86111">
        <w:rPr>
          <w:rFonts w:asciiTheme="minorHAnsi" w:hAnsiTheme="minorHAnsi" w:cstheme="minorHAnsi"/>
          <w:szCs w:val="24"/>
        </w:rPr>
        <w:t>identifikuje postignuća i izazove u dosadašnjoj implementaciji;</w:t>
      </w:r>
    </w:p>
    <w:p w14:paraId="0C032091" w14:textId="77777777" w:rsidR="004F6023" w:rsidRPr="00C86111" w:rsidRDefault="004F6023" w:rsidP="00833A40">
      <w:pPr>
        <w:numPr>
          <w:ilvl w:val="0"/>
          <w:numId w:val="81"/>
        </w:numPr>
        <w:jc w:val="both"/>
        <w:rPr>
          <w:rFonts w:asciiTheme="minorHAnsi" w:hAnsiTheme="minorHAnsi" w:cstheme="minorHAnsi"/>
          <w:szCs w:val="24"/>
        </w:rPr>
      </w:pPr>
      <w:r w:rsidRPr="00C86111">
        <w:rPr>
          <w:rFonts w:asciiTheme="minorHAnsi" w:hAnsiTheme="minorHAnsi" w:cstheme="minorHAnsi"/>
          <w:szCs w:val="24"/>
        </w:rPr>
        <w:t>predstavi naučene lekcije koje mogu poslužiti za unapređenje budućih inicijativa;</w:t>
      </w:r>
    </w:p>
    <w:p w14:paraId="6F050B60" w14:textId="77777777" w:rsidR="004F6023" w:rsidRPr="00C86111" w:rsidRDefault="004F6023" w:rsidP="00833A40">
      <w:pPr>
        <w:numPr>
          <w:ilvl w:val="0"/>
          <w:numId w:val="81"/>
        </w:numPr>
        <w:jc w:val="both"/>
        <w:rPr>
          <w:rFonts w:asciiTheme="minorHAnsi" w:hAnsiTheme="minorHAnsi" w:cstheme="minorHAnsi"/>
          <w:szCs w:val="24"/>
        </w:rPr>
      </w:pPr>
      <w:r w:rsidRPr="00C86111">
        <w:rPr>
          <w:rFonts w:asciiTheme="minorHAnsi" w:hAnsiTheme="minorHAnsi" w:cstheme="minorHAnsi"/>
          <w:szCs w:val="24"/>
        </w:rPr>
        <w:t>ponudi preporuke za planiranje novih projekata i obezbjeđivanje stabilnih i održivih izvora finansiranja.</w:t>
      </w:r>
    </w:p>
    <w:p w14:paraId="2F9264A0"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Izvještaj je pripremljen na osnovu projektnih dokumenata, izvještaja međunarodnih partnera i nacionalnih institucija, kao i iskustava stečenih kroz realizovane aktivnosti. Dokument je namijenjen kreatorima politika, međunarodnim partnerima, stručnoj javnosti i zainteresovanim građanima, sa ciljem da pruži sveobuhvatan pregled dosadašnjeg rada i da doprinese daljem jačanju i razvoju održivog sistema za upravljanje POPs hemikalijama u Crnoj Gori.</w:t>
      </w:r>
    </w:p>
    <w:p w14:paraId="1E2B269E" w14:textId="77777777" w:rsidR="004F6023" w:rsidRPr="00C86111" w:rsidRDefault="004F6023" w:rsidP="004F6023">
      <w:pPr>
        <w:jc w:val="both"/>
        <w:rPr>
          <w:rFonts w:asciiTheme="minorHAnsi" w:hAnsiTheme="minorHAnsi" w:cstheme="minorHAnsi"/>
          <w:szCs w:val="24"/>
        </w:rPr>
      </w:pPr>
    </w:p>
    <w:p w14:paraId="787542BA" w14:textId="49F74E67" w:rsidR="004F6023" w:rsidRPr="00C86111" w:rsidRDefault="004F6023" w:rsidP="00EA6904">
      <w:pPr>
        <w:pStyle w:val="Heading3"/>
      </w:pPr>
      <w:bookmarkStart w:id="475" w:name="_Toc220542005"/>
      <w:r w:rsidRPr="00C86111">
        <w:t>Realizovani projekti, projekti u toku i ostale značajne aktivnosti</w:t>
      </w:r>
      <w:bookmarkEnd w:id="475"/>
    </w:p>
    <w:p w14:paraId="6D7557D9" w14:textId="77777777" w:rsidR="004F6023" w:rsidRPr="00C86111" w:rsidRDefault="004F6023" w:rsidP="00EA6904">
      <w:pPr>
        <w:pStyle w:val="Heading4"/>
        <w:rPr>
          <w:u w:val="single"/>
        </w:rPr>
      </w:pPr>
      <w:bookmarkStart w:id="476" w:name="_Toc220542006"/>
      <w:r w:rsidRPr="00C86111">
        <w:rPr>
          <w:rStyle w:val="Heading3Char"/>
        </w:rPr>
        <w:t>Projekat „Ekološki prihvatljivo upravljanje PCB-om u Crnoj Gori“ (2017–2021)</w:t>
      </w:r>
      <w:bookmarkEnd w:id="476"/>
      <w:r w:rsidRPr="00C86111">
        <w:rPr>
          <w:rStyle w:val="FootnoteReference"/>
          <w:rFonts w:eastAsiaTheme="majorEastAsia"/>
          <w:szCs w:val="24"/>
          <w:u w:val="single"/>
        </w:rPr>
        <w:footnoteReference w:id="1"/>
      </w:r>
    </w:p>
    <w:p w14:paraId="34A10E66"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szCs w:val="24"/>
        </w:rPr>
        <w:lastRenderedPageBreak/>
        <w:t xml:space="preserve">Finansiran uz podršku GEF-a i implementiran od strane UNDP-a u saradnji sa relevantnim institucijama i industrijskim subjektima. </w:t>
      </w:r>
      <w:r w:rsidRPr="00C86111">
        <w:rPr>
          <w:rFonts w:asciiTheme="minorHAnsi" w:hAnsiTheme="minorHAnsi" w:cstheme="minorHAnsi"/>
          <w:bCs/>
          <w:szCs w:val="24"/>
          <w:lang w:val="en-GB"/>
        </w:rPr>
        <w:t>Ukupna vrijednost projekta</w:t>
      </w:r>
      <w:r w:rsidRPr="00C86111">
        <w:rPr>
          <w:rFonts w:asciiTheme="minorHAnsi" w:hAnsiTheme="minorHAnsi" w:cstheme="minorHAnsi"/>
          <w:szCs w:val="24"/>
          <w:lang w:val="en-GB"/>
        </w:rPr>
        <w:t xml:space="preserve"> iznosi </w:t>
      </w:r>
      <w:r w:rsidRPr="00C86111">
        <w:rPr>
          <w:rFonts w:asciiTheme="minorHAnsi" w:hAnsiTheme="minorHAnsi" w:cstheme="minorHAnsi"/>
          <w:b/>
          <w:bCs/>
          <w:szCs w:val="24"/>
          <w:lang w:val="en-GB"/>
        </w:rPr>
        <w:t>23.353.691 USD</w:t>
      </w:r>
      <w:r w:rsidRPr="00C86111">
        <w:rPr>
          <w:rFonts w:asciiTheme="minorHAnsi" w:hAnsiTheme="minorHAnsi" w:cstheme="minorHAnsi"/>
          <w:szCs w:val="24"/>
          <w:lang w:val="en-GB"/>
        </w:rPr>
        <w:t>, od čega je:</w:t>
      </w:r>
    </w:p>
    <w:p w14:paraId="21B22C88" w14:textId="77777777" w:rsidR="004F6023" w:rsidRPr="00C86111" w:rsidRDefault="004F6023" w:rsidP="00833A40">
      <w:pPr>
        <w:numPr>
          <w:ilvl w:val="0"/>
          <w:numId w:val="67"/>
        </w:numPr>
        <w:jc w:val="both"/>
        <w:rPr>
          <w:rFonts w:asciiTheme="minorHAnsi" w:hAnsiTheme="minorHAnsi" w:cstheme="minorHAnsi"/>
          <w:szCs w:val="24"/>
          <w:lang w:val="en-GB"/>
        </w:rPr>
      </w:pPr>
      <w:r w:rsidRPr="00C86111">
        <w:rPr>
          <w:rFonts w:asciiTheme="minorHAnsi" w:hAnsiTheme="minorHAnsi" w:cstheme="minorHAnsi"/>
          <w:b/>
          <w:bCs/>
          <w:szCs w:val="24"/>
          <w:lang w:val="en-GB"/>
        </w:rPr>
        <w:t>3.500.000 USD</w:t>
      </w:r>
      <w:r w:rsidRPr="00C86111">
        <w:rPr>
          <w:rFonts w:asciiTheme="minorHAnsi" w:hAnsiTheme="minorHAnsi" w:cstheme="minorHAnsi"/>
          <w:szCs w:val="24"/>
          <w:lang w:val="en-GB"/>
        </w:rPr>
        <w:t xml:space="preserve"> obezbijeđeno kroz grant Globalnog fonda za životnu sredinu (GEF),</w:t>
      </w:r>
    </w:p>
    <w:p w14:paraId="4B633034" w14:textId="77777777" w:rsidR="004F6023" w:rsidRPr="00C86111" w:rsidRDefault="004F6023" w:rsidP="00833A40">
      <w:pPr>
        <w:numPr>
          <w:ilvl w:val="0"/>
          <w:numId w:val="67"/>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a preostalih </w:t>
      </w:r>
      <w:r w:rsidRPr="00C86111">
        <w:rPr>
          <w:rFonts w:asciiTheme="minorHAnsi" w:hAnsiTheme="minorHAnsi" w:cstheme="minorHAnsi"/>
          <w:b/>
          <w:bCs/>
          <w:szCs w:val="24"/>
          <w:lang w:val="en-GB"/>
        </w:rPr>
        <w:t>19.853.691 USD</w:t>
      </w:r>
      <w:r w:rsidRPr="00C86111">
        <w:rPr>
          <w:rFonts w:asciiTheme="minorHAnsi" w:hAnsiTheme="minorHAnsi" w:cstheme="minorHAnsi"/>
          <w:szCs w:val="24"/>
          <w:lang w:val="en-GB"/>
        </w:rPr>
        <w:t xml:space="preserve"> osigurali su Vlada Crne Gore, UNDP, KAP (Kombinat aluminijuma Podgorica) i CEDIS (Crnogorski elektrodistributivni sistem)</w:t>
      </w:r>
    </w:p>
    <w:p w14:paraId="373D09B7" w14:textId="77777777" w:rsidR="004F6023" w:rsidRPr="00C86111" w:rsidRDefault="004F6023" w:rsidP="004F6023">
      <w:pPr>
        <w:jc w:val="both"/>
        <w:rPr>
          <w:rFonts w:asciiTheme="minorHAnsi" w:hAnsiTheme="minorHAnsi" w:cstheme="minorHAnsi"/>
          <w:szCs w:val="24"/>
        </w:rPr>
      </w:pPr>
    </w:p>
    <w:p w14:paraId="3BAA8E9E"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Kroz navedni projekat realizovane su sljedeće aktivnosti:</w:t>
      </w:r>
    </w:p>
    <w:p w14:paraId="192E14C6" w14:textId="77777777" w:rsidR="004F6023" w:rsidRPr="00C86111" w:rsidRDefault="004F6023" w:rsidP="00833A40">
      <w:pPr>
        <w:pStyle w:val="ListParagraph"/>
        <w:numPr>
          <w:ilvl w:val="0"/>
          <w:numId w:val="62"/>
        </w:numPr>
        <w:jc w:val="both"/>
        <w:rPr>
          <w:rFonts w:asciiTheme="minorHAnsi" w:hAnsiTheme="minorHAnsi" w:cstheme="minorHAnsi"/>
          <w:szCs w:val="24"/>
        </w:rPr>
      </w:pPr>
      <w:r w:rsidRPr="00C86111">
        <w:rPr>
          <w:rFonts w:asciiTheme="minorHAnsi" w:hAnsiTheme="minorHAnsi" w:cstheme="minorHAnsi"/>
          <w:szCs w:val="24"/>
        </w:rPr>
        <w:t>Uspostavljen nacionalni inventar PCB opreme i otpada (preko 4.500 jedinica analizirano i uneseno u bazu).</w:t>
      </w:r>
    </w:p>
    <w:p w14:paraId="17DFAD73" w14:textId="77777777" w:rsidR="004F6023" w:rsidRPr="00C86111" w:rsidRDefault="004F6023" w:rsidP="00833A40">
      <w:pPr>
        <w:pStyle w:val="ListParagraph"/>
        <w:numPr>
          <w:ilvl w:val="0"/>
          <w:numId w:val="62"/>
        </w:numPr>
        <w:jc w:val="both"/>
        <w:rPr>
          <w:rFonts w:asciiTheme="minorHAnsi" w:hAnsiTheme="minorHAnsi" w:cstheme="minorHAnsi"/>
          <w:szCs w:val="24"/>
        </w:rPr>
      </w:pPr>
      <w:r w:rsidRPr="00C86111">
        <w:rPr>
          <w:rFonts w:asciiTheme="minorHAnsi" w:hAnsiTheme="minorHAnsi" w:cstheme="minorHAnsi"/>
          <w:szCs w:val="24"/>
        </w:rPr>
        <w:t>Obučeno osoblje industrije, inspekcije i državnih institucija.</w:t>
      </w:r>
    </w:p>
    <w:p w14:paraId="7B0DCD1F" w14:textId="77777777" w:rsidR="004F6023" w:rsidRPr="00C86111" w:rsidRDefault="004F6023" w:rsidP="00833A40">
      <w:pPr>
        <w:pStyle w:val="ListParagraph"/>
        <w:numPr>
          <w:ilvl w:val="0"/>
          <w:numId w:val="62"/>
        </w:numPr>
        <w:jc w:val="both"/>
        <w:rPr>
          <w:rFonts w:asciiTheme="minorHAnsi" w:hAnsiTheme="minorHAnsi" w:cstheme="minorHAnsi"/>
          <w:szCs w:val="24"/>
        </w:rPr>
      </w:pPr>
      <w:r w:rsidRPr="00C86111">
        <w:rPr>
          <w:rFonts w:asciiTheme="minorHAnsi" w:hAnsiTheme="minorHAnsi" w:cstheme="minorHAnsi"/>
          <w:szCs w:val="24"/>
        </w:rPr>
        <w:t>Rekonstruisano skladište na lokaciji KAP-a.</w:t>
      </w:r>
    </w:p>
    <w:p w14:paraId="5B830EE1" w14:textId="77777777" w:rsidR="004F6023" w:rsidRPr="00C86111" w:rsidRDefault="004F6023" w:rsidP="00833A40">
      <w:pPr>
        <w:pStyle w:val="ListParagraph"/>
        <w:numPr>
          <w:ilvl w:val="0"/>
          <w:numId w:val="62"/>
        </w:numPr>
        <w:jc w:val="both"/>
        <w:rPr>
          <w:rFonts w:asciiTheme="minorHAnsi" w:hAnsiTheme="minorHAnsi" w:cstheme="minorHAnsi"/>
          <w:szCs w:val="24"/>
        </w:rPr>
      </w:pPr>
      <w:r w:rsidRPr="00C86111">
        <w:rPr>
          <w:rFonts w:asciiTheme="minorHAnsi" w:hAnsiTheme="minorHAnsi" w:cstheme="minorHAnsi"/>
          <w:szCs w:val="24"/>
        </w:rPr>
        <w:t>Deponovano 475 tona PCB opreme i otpada; 80 tona dekontaminisano.</w:t>
      </w:r>
    </w:p>
    <w:p w14:paraId="4DDEA7E0" w14:textId="77777777" w:rsidR="004F6023" w:rsidRPr="00C86111" w:rsidRDefault="004F6023" w:rsidP="00833A40">
      <w:pPr>
        <w:pStyle w:val="ListParagraph"/>
        <w:numPr>
          <w:ilvl w:val="0"/>
          <w:numId w:val="62"/>
        </w:numPr>
        <w:jc w:val="both"/>
        <w:rPr>
          <w:rFonts w:asciiTheme="minorHAnsi" w:hAnsiTheme="minorHAnsi" w:cstheme="minorHAnsi"/>
          <w:szCs w:val="24"/>
        </w:rPr>
      </w:pPr>
      <w:r w:rsidRPr="00C86111">
        <w:rPr>
          <w:rFonts w:asciiTheme="minorHAnsi" w:hAnsiTheme="minorHAnsi" w:cstheme="minorHAnsi"/>
          <w:szCs w:val="24"/>
        </w:rPr>
        <w:t>Remedijacija zemljišta na KAP-u (1.050 tona PCB kontaminisanog zemljišta je uklonjeno).</w:t>
      </w:r>
    </w:p>
    <w:p w14:paraId="71DB29EB"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Projekat je uspješno završen 2022. godine.</w:t>
      </w:r>
      <w:r w:rsidRPr="00C86111">
        <w:rPr>
          <w:rStyle w:val="FootnoteReference"/>
          <w:rFonts w:cstheme="minorHAnsi"/>
          <w:szCs w:val="24"/>
        </w:rPr>
        <w:footnoteReference w:id="2"/>
      </w:r>
    </w:p>
    <w:p w14:paraId="6A9F6260" w14:textId="77777777" w:rsidR="004F6023" w:rsidRPr="00C86111" w:rsidRDefault="004F6023" w:rsidP="00EA6904">
      <w:pPr>
        <w:pStyle w:val="Heading4"/>
      </w:pPr>
      <w:r w:rsidRPr="00C86111">
        <w:t>Projekat „Jačanje sinergije između Bazelske, Roterdamske, Stokholmske i Minamata konvencije“</w:t>
      </w:r>
    </w:p>
    <w:p w14:paraId="02081E69"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Vrijednost ovog projekta je </w:t>
      </w:r>
      <w:r w:rsidRPr="00C86111">
        <w:rPr>
          <w:rFonts w:asciiTheme="minorHAnsi" w:hAnsiTheme="minorHAnsi" w:cstheme="minorHAnsi"/>
          <w:b/>
          <w:szCs w:val="24"/>
        </w:rPr>
        <w:t>249.737 USD</w:t>
      </w:r>
      <w:r w:rsidRPr="00C86111">
        <w:rPr>
          <w:rFonts w:asciiTheme="minorHAnsi" w:hAnsiTheme="minorHAnsi" w:cstheme="minorHAnsi"/>
          <w:szCs w:val="24"/>
        </w:rPr>
        <w:t xml:space="preserve"> uz in-kind kofinansiranje Ministarstva ekologije, održivog razvoja i razvoja sjevera. Implementiraju ga Ministarstvo ekologije i UNDP u saradnji sa UNEP-om. Projekat ima za cilj povezivanje četiri konvencije na nacionalnom nivou, uz unapređenje saradnje između institucija, zdravstvenog sektora i organizacija civilnog društva, kao i da unaprijedi trenutna zakonodavna rješenja u oblasti upravljanja hemikalijama i otpadom.</w:t>
      </w:r>
    </w:p>
    <w:p w14:paraId="0C83606A" w14:textId="77777777" w:rsidR="004F6023" w:rsidRPr="00C86111" w:rsidRDefault="004F6023" w:rsidP="004F6023">
      <w:pPr>
        <w:jc w:val="both"/>
        <w:rPr>
          <w:rFonts w:asciiTheme="minorHAnsi" w:hAnsiTheme="minorHAnsi" w:cstheme="minorHAnsi"/>
          <w:szCs w:val="24"/>
        </w:rPr>
      </w:pPr>
    </w:p>
    <w:p w14:paraId="271673D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Navedeno će se postići kroz: </w:t>
      </w:r>
    </w:p>
    <w:p w14:paraId="2365D0F7" w14:textId="77777777" w:rsidR="004F6023" w:rsidRPr="00C86111" w:rsidRDefault="004F6023" w:rsidP="00833A40">
      <w:pPr>
        <w:pStyle w:val="ListParagraph"/>
        <w:numPr>
          <w:ilvl w:val="0"/>
          <w:numId w:val="63"/>
        </w:numPr>
        <w:jc w:val="both"/>
        <w:rPr>
          <w:rFonts w:asciiTheme="minorHAnsi" w:hAnsiTheme="minorHAnsi" w:cstheme="minorHAnsi"/>
          <w:szCs w:val="24"/>
        </w:rPr>
      </w:pPr>
      <w:r w:rsidRPr="00C86111">
        <w:rPr>
          <w:rFonts w:asciiTheme="minorHAnsi" w:hAnsiTheme="minorHAnsi" w:cstheme="minorHAnsi"/>
          <w:szCs w:val="24"/>
        </w:rPr>
        <w:t xml:space="preserve">izradu i usvajanje javnih politika i regulatornih dokumenata o hemikalijama i otpadu; </w:t>
      </w:r>
    </w:p>
    <w:p w14:paraId="140E593B" w14:textId="77777777" w:rsidR="004F6023" w:rsidRPr="00C86111" w:rsidRDefault="004F6023" w:rsidP="00833A40">
      <w:pPr>
        <w:pStyle w:val="ListParagraph"/>
        <w:numPr>
          <w:ilvl w:val="0"/>
          <w:numId w:val="63"/>
        </w:numPr>
        <w:jc w:val="both"/>
        <w:rPr>
          <w:rFonts w:asciiTheme="minorHAnsi" w:hAnsiTheme="minorHAnsi" w:cstheme="minorHAnsi"/>
          <w:szCs w:val="24"/>
        </w:rPr>
      </w:pPr>
      <w:r w:rsidRPr="00C86111">
        <w:rPr>
          <w:rFonts w:asciiTheme="minorHAnsi" w:hAnsiTheme="minorHAnsi" w:cstheme="minorHAnsi"/>
          <w:szCs w:val="24"/>
        </w:rPr>
        <w:t xml:space="preserve">izgradnju kapaciteta i podizanja svijesti u cilju obezbjeđivanja sinergijskog pristupa upravljanju hemikalijama i otpadom u Crnoj Gori; </w:t>
      </w:r>
    </w:p>
    <w:p w14:paraId="0581DED4" w14:textId="77777777" w:rsidR="004F6023" w:rsidRPr="00C86111" w:rsidRDefault="004F6023" w:rsidP="00833A40">
      <w:pPr>
        <w:pStyle w:val="ListParagraph"/>
        <w:numPr>
          <w:ilvl w:val="0"/>
          <w:numId w:val="63"/>
        </w:numPr>
        <w:jc w:val="both"/>
        <w:rPr>
          <w:rFonts w:asciiTheme="minorHAnsi" w:hAnsiTheme="minorHAnsi" w:cstheme="minorHAnsi"/>
          <w:szCs w:val="24"/>
        </w:rPr>
      </w:pPr>
      <w:r w:rsidRPr="00C86111">
        <w:rPr>
          <w:rFonts w:asciiTheme="minorHAnsi" w:hAnsiTheme="minorHAnsi" w:cstheme="minorHAnsi"/>
          <w:szCs w:val="24"/>
        </w:rPr>
        <w:t>uspostavljanje efikasnog nacionalnog mehanizma za izvještavanje prema BRS i Minamata konvencijama.</w:t>
      </w:r>
    </w:p>
    <w:p w14:paraId="624E1131" w14:textId="77777777" w:rsidR="004F6023" w:rsidRPr="00C86111" w:rsidRDefault="004F6023" w:rsidP="004F6023">
      <w:pPr>
        <w:jc w:val="both"/>
        <w:rPr>
          <w:rFonts w:asciiTheme="minorHAnsi" w:hAnsiTheme="minorHAnsi" w:cstheme="minorHAnsi"/>
          <w:szCs w:val="24"/>
        </w:rPr>
      </w:pPr>
    </w:p>
    <w:p w14:paraId="67F66066"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U okrivu projekta su u prethodnom periodu izađena značajna dokumenta, kao što su: </w:t>
      </w:r>
    </w:p>
    <w:p w14:paraId="71DD183F" w14:textId="77777777" w:rsidR="004F6023" w:rsidRPr="00C86111" w:rsidRDefault="004F6023" w:rsidP="00833A40">
      <w:pPr>
        <w:pStyle w:val="ListParagraph"/>
        <w:numPr>
          <w:ilvl w:val="0"/>
          <w:numId w:val="64"/>
        </w:numPr>
        <w:jc w:val="both"/>
        <w:rPr>
          <w:rFonts w:asciiTheme="minorHAnsi" w:hAnsiTheme="minorHAnsi" w:cstheme="minorHAnsi"/>
          <w:szCs w:val="24"/>
        </w:rPr>
      </w:pPr>
      <w:r w:rsidRPr="00C86111">
        <w:rPr>
          <w:rFonts w:asciiTheme="minorHAnsi" w:hAnsiTheme="minorHAnsi" w:cstheme="minorHAnsi"/>
          <w:szCs w:val="24"/>
        </w:rPr>
        <w:t>Analiza nedostataka i potreba za implementaciju Bazelske, Roterdamske, Stokholmske i Minamata konvencije;</w:t>
      </w:r>
    </w:p>
    <w:p w14:paraId="49F81801" w14:textId="77777777" w:rsidR="004F6023" w:rsidRPr="00C86111" w:rsidRDefault="004F6023" w:rsidP="00833A40">
      <w:pPr>
        <w:pStyle w:val="ListParagraph"/>
        <w:numPr>
          <w:ilvl w:val="0"/>
          <w:numId w:val="64"/>
        </w:numPr>
        <w:jc w:val="both"/>
        <w:rPr>
          <w:rFonts w:asciiTheme="minorHAnsi" w:hAnsiTheme="minorHAnsi" w:cstheme="minorHAnsi"/>
          <w:szCs w:val="24"/>
        </w:rPr>
      </w:pPr>
      <w:r w:rsidRPr="00C86111">
        <w:rPr>
          <w:rFonts w:asciiTheme="minorHAnsi" w:hAnsiTheme="minorHAnsi" w:cstheme="minorHAnsi"/>
          <w:szCs w:val="24"/>
        </w:rPr>
        <w:t>Podzakonski akt vezan za otpad koji sadrži živu;</w:t>
      </w:r>
    </w:p>
    <w:p w14:paraId="4DBDC697" w14:textId="77777777" w:rsidR="004F6023" w:rsidRPr="00C86111" w:rsidRDefault="004F6023" w:rsidP="00833A40">
      <w:pPr>
        <w:pStyle w:val="ListParagraph"/>
        <w:numPr>
          <w:ilvl w:val="0"/>
          <w:numId w:val="64"/>
        </w:numPr>
        <w:jc w:val="both"/>
        <w:rPr>
          <w:rFonts w:asciiTheme="minorHAnsi" w:hAnsiTheme="minorHAnsi" w:cstheme="minorHAnsi"/>
          <w:szCs w:val="24"/>
        </w:rPr>
      </w:pPr>
      <w:r w:rsidRPr="00C86111">
        <w:rPr>
          <w:rFonts w:asciiTheme="minorHAnsi" w:hAnsiTheme="minorHAnsi" w:cstheme="minorHAnsi"/>
          <w:szCs w:val="24"/>
        </w:rPr>
        <w:t>Podzakonski akt vezan za otpad koji sadrži dugotrajne organske zagađujuće supstance;</w:t>
      </w:r>
      <w:r w:rsidRPr="00C86111">
        <w:rPr>
          <w:rStyle w:val="FootnoteReference"/>
          <w:rFonts w:cstheme="minorHAnsi"/>
          <w:szCs w:val="24"/>
        </w:rPr>
        <w:footnoteReference w:id="3"/>
      </w:r>
    </w:p>
    <w:p w14:paraId="04785BBC" w14:textId="77777777" w:rsidR="004F6023" w:rsidRPr="00C86111" w:rsidRDefault="004F6023" w:rsidP="00833A40">
      <w:pPr>
        <w:pStyle w:val="ListParagraph"/>
        <w:numPr>
          <w:ilvl w:val="0"/>
          <w:numId w:val="64"/>
        </w:numPr>
        <w:jc w:val="both"/>
        <w:rPr>
          <w:rFonts w:asciiTheme="minorHAnsi" w:hAnsiTheme="minorHAnsi" w:cstheme="minorHAnsi"/>
          <w:szCs w:val="24"/>
        </w:rPr>
      </w:pPr>
      <w:r w:rsidRPr="00C86111">
        <w:rPr>
          <w:rFonts w:asciiTheme="minorHAnsi" w:hAnsiTheme="minorHAnsi" w:cstheme="minorHAnsi"/>
          <w:szCs w:val="24"/>
        </w:rPr>
        <w:t>Zajednički akcioni plan za implementaciju BRS i Minamata konvencija;</w:t>
      </w:r>
    </w:p>
    <w:p w14:paraId="1863FCB6" w14:textId="77777777" w:rsidR="004F6023" w:rsidRPr="00C86111" w:rsidRDefault="004F6023" w:rsidP="00833A40">
      <w:pPr>
        <w:pStyle w:val="ListParagraph"/>
        <w:numPr>
          <w:ilvl w:val="0"/>
          <w:numId w:val="64"/>
        </w:numPr>
        <w:jc w:val="both"/>
        <w:rPr>
          <w:rFonts w:asciiTheme="minorHAnsi" w:hAnsiTheme="minorHAnsi" w:cstheme="minorHAnsi"/>
          <w:szCs w:val="24"/>
        </w:rPr>
      </w:pPr>
      <w:r w:rsidRPr="00C86111">
        <w:rPr>
          <w:rFonts w:asciiTheme="minorHAnsi" w:hAnsiTheme="minorHAnsi" w:cstheme="minorHAnsi"/>
          <w:szCs w:val="24"/>
        </w:rPr>
        <w:t>Upustvo za implementaciju Bazelske konvencije;</w:t>
      </w:r>
    </w:p>
    <w:p w14:paraId="4EE29B8C" w14:textId="77777777" w:rsidR="004F6023" w:rsidRPr="00C86111" w:rsidRDefault="004F6023" w:rsidP="00833A40">
      <w:pPr>
        <w:pStyle w:val="ListParagraph"/>
        <w:numPr>
          <w:ilvl w:val="0"/>
          <w:numId w:val="64"/>
        </w:numPr>
        <w:jc w:val="both"/>
        <w:rPr>
          <w:rFonts w:asciiTheme="minorHAnsi" w:hAnsiTheme="minorHAnsi" w:cstheme="minorHAnsi"/>
          <w:szCs w:val="24"/>
        </w:rPr>
      </w:pPr>
      <w:r w:rsidRPr="00C86111">
        <w:rPr>
          <w:rFonts w:asciiTheme="minorHAnsi" w:hAnsiTheme="minorHAnsi" w:cstheme="minorHAnsi"/>
          <w:szCs w:val="24"/>
        </w:rPr>
        <w:t>Upustvo za upravljanje dentalnim amalgamom;</w:t>
      </w:r>
    </w:p>
    <w:p w14:paraId="667623FF" w14:textId="77777777" w:rsidR="004F6023" w:rsidRPr="00C86111" w:rsidRDefault="004F6023" w:rsidP="00833A40">
      <w:pPr>
        <w:pStyle w:val="ListParagraph"/>
        <w:numPr>
          <w:ilvl w:val="0"/>
          <w:numId w:val="64"/>
        </w:numPr>
        <w:jc w:val="both"/>
        <w:rPr>
          <w:rFonts w:asciiTheme="minorHAnsi" w:hAnsiTheme="minorHAnsi" w:cstheme="minorHAnsi"/>
          <w:szCs w:val="24"/>
        </w:rPr>
      </w:pPr>
      <w:r w:rsidRPr="00C86111">
        <w:rPr>
          <w:rFonts w:asciiTheme="minorHAnsi" w:hAnsiTheme="minorHAnsi" w:cstheme="minorHAnsi"/>
          <w:szCs w:val="24"/>
        </w:rPr>
        <w:lastRenderedPageBreak/>
        <w:t>Upustvo za dugotrajne organske supstance (POPs) u e-otpadu;</w:t>
      </w:r>
      <w:r w:rsidRPr="00C86111">
        <w:rPr>
          <w:rStyle w:val="FootnoteReference"/>
          <w:rFonts w:cstheme="minorHAnsi"/>
          <w:szCs w:val="24"/>
        </w:rPr>
        <w:footnoteReference w:id="4"/>
      </w:r>
    </w:p>
    <w:p w14:paraId="5D4FDB2E" w14:textId="77777777" w:rsidR="004F6023" w:rsidRPr="00C86111" w:rsidRDefault="004F6023" w:rsidP="00833A40">
      <w:pPr>
        <w:pStyle w:val="ListParagraph"/>
        <w:numPr>
          <w:ilvl w:val="0"/>
          <w:numId w:val="64"/>
        </w:numPr>
        <w:jc w:val="both"/>
        <w:rPr>
          <w:rFonts w:asciiTheme="minorHAnsi" w:hAnsiTheme="minorHAnsi" w:cstheme="minorHAnsi"/>
          <w:szCs w:val="24"/>
        </w:rPr>
      </w:pPr>
      <w:r w:rsidRPr="00C86111">
        <w:rPr>
          <w:rFonts w:asciiTheme="minorHAnsi" w:hAnsiTheme="minorHAnsi" w:cstheme="minorHAnsi"/>
          <w:szCs w:val="24"/>
        </w:rPr>
        <w:t>Upustvo za implementaciju Roterdamske i Minamate konvencije za carinu.</w:t>
      </w:r>
    </w:p>
    <w:p w14:paraId="5B9862FA" w14:textId="77777777" w:rsidR="004F6023" w:rsidRPr="00C86111" w:rsidRDefault="004F6023" w:rsidP="004F6023">
      <w:pPr>
        <w:jc w:val="both"/>
        <w:rPr>
          <w:rFonts w:asciiTheme="minorHAnsi" w:hAnsiTheme="minorHAnsi" w:cstheme="minorHAnsi"/>
          <w:szCs w:val="24"/>
        </w:rPr>
      </w:pPr>
    </w:p>
    <w:p w14:paraId="0187D65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Komponentom 3 ovog projekta do kraja 2025 planirano je uspostavljanje efikasnog mehanizma za izvještavanje o BRS i Minamata konvenciji. U okviru ove komponente treba realizovati nekoliko aktivnosti:</w:t>
      </w:r>
    </w:p>
    <w:p w14:paraId="53358159" w14:textId="77777777" w:rsidR="004F6023" w:rsidRPr="00C86111" w:rsidRDefault="004F6023" w:rsidP="00833A40">
      <w:pPr>
        <w:pStyle w:val="ListParagraph"/>
        <w:numPr>
          <w:ilvl w:val="0"/>
          <w:numId w:val="65"/>
        </w:numPr>
        <w:jc w:val="both"/>
        <w:rPr>
          <w:rFonts w:asciiTheme="minorHAnsi" w:hAnsiTheme="minorHAnsi" w:cstheme="minorHAnsi"/>
          <w:szCs w:val="24"/>
        </w:rPr>
      </w:pPr>
      <w:r w:rsidRPr="00C86111">
        <w:rPr>
          <w:rFonts w:asciiTheme="minorHAnsi" w:hAnsiTheme="minorHAnsi" w:cstheme="minorHAnsi"/>
          <w:szCs w:val="24"/>
        </w:rPr>
        <w:t>Aktivnost 3.1. Izrada softvera za obradu podataka i izvještavanje</w:t>
      </w:r>
    </w:p>
    <w:p w14:paraId="46B003B8" w14:textId="77777777" w:rsidR="004F6023" w:rsidRPr="00C86111" w:rsidRDefault="004F6023" w:rsidP="00833A40">
      <w:pPr>
        <w:pStyle w:val="ListParagraph"/>
        <w:numPr>
          <w:ilvl w:val="0"/>
          <w:numId w:val="65"/>
        </w:numPr>
        <w:jc w:val="both"/>
        <w:rPr>
          <w:rFonts w:asciiTheme="minorHAnsi" w:hAnsiTheme="minorHAnsi" w:cstheme="minorHAnsi"/>
          <w:szCs w:val="24"/>
        </w:rPr>
      </w:pPr>
      <w:r w:rsidRPr="00C86111">
        <w:rPr>
          <w:rFonts w:asciiTheme="minorHAnsi" w:hAnsiTheme="minorHAnsi" w:cstheme="minorHAnsi"/>
          <w:szCs w:val="24"/>
        </w:rPr>
        <w:t>Aktivnosti 3.2. Definisanje postupaka za izvještavanje u skladu sa BRS i Minamata konvencije</w:t>
      </w:r>
    </w:p>
    <w:p w14:paraId="26001C80" w14:textId="51C747CA" w:rsidR="004F6023" w:rsidRPr="008015BD" w:rsidRDefault="004F6023" w:rsidP="009756DA">
      <w:pPr>
        <w:pStyle w:val="ListParagraph"/>
        <w:numPr>
          <w:ilvl w:val="0"/>
          <w:numId w:val="65"/>
        </w:numPr>
        <w:jc w:val="both"/>
        <w:rPr>
          <w:rFonts w:asciiTheme="minorHAnsi" w:hAnsiTheme="minorHAnsi" w:cstheme="minorHAnsi"/>
          <w:szCs w:val="24"/>
        </w:rPr>
      </w:pPr>
      <w:r w:rsidRPr="008015BD">
        <w:rPr>
          <w:rFonts w:asciiTheme="minorHAnsi" w:hAnsiTheme="minorHAnsi" w:cstheme="minorHAnsi"/>
          <w:szCs w:val="24"/>
        </w:rPr>
        <w:t xml:space="preserve">Aktivnost 3.3. Organizovati i održati obuke za službenike crnogorske administracije u vezi izvještavanja u skladu sa BRS i Minamata konvencijom </w:t>
      </w:r>
    </w:p>
    <w:p w14:paraId="0480ECDC" w14:textId="77777777" w:rsidR="004F6023" w:rsidRPr="00C86111" w:rsidRDefault="004F6023" w:rsidP="00EA6904">
      <w:pPr>
        <w:pStyle w:val="Heading4"/>
      </w:pPr>
      <w:r w:rsidRPr="00C86111">
        <w:t>Projekat MED (UNEP MAP) „Smanjenje zagađenja štetnim hemikalijama i otpadom u kritičnim tačkama Mediterana“</w:t>
      </w:r>
    </w:p>
    <w:p w14:paraId="0F1733E2"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szCs w:val="24"/>
          <w:lang w:val="en-GB"/>
        </w:rPr>
        <w:t xml:space="preserve">Projekat je strukturiran kao regionalni, fokusirajući se na više mediteranskih zemalja pod jednim okvirom </w:t>
      </w:r>
      <w:r w:rsidRPr="00C86111">
        <w:rPr>
          <w:rFonts w:asciiTheme="minorHAnsi" w:hAnsiTheme="minorHAnsi" w:cstheme="minorHAnsi"/>
          <w:szCs w:val="24"/>
          <w:lang w:val="sr-Latn-ME"/>
        </w:rPr>
        <w:t>(Albanija, Crna Gora i Bosna i Hercegovina)</w:t>
      </w:r>
      <w:r w:rsidRPr="00C86111">
        <w:rPr>
          <w:rFonts w:asciiTheme="minorHAnsi" w:hAnsiTheme="minorHAnsi" w:cstheme="minorHAnsi"/>
          <w:szCs w:val="24"/>
          <w:lang w:val="en-GB"/>
        </w:rPr>
        <w:t>.</w:t>
      </w:r>
    </w:p>
    <w:p w14:paraId="082E1EE0" w14:textId="77777777" w:rsidR="004F6023" w:rsidRPr="00C86111" w:rsidRDefault="004F6023" w:rsidP="004F6023">
      <w:pPr>
        <w:jc w:val="both"/>
        <w:rPr>
          <w:rFonts w:asciiTheme="minorHAnsi" w:hAnsiTheme="minorHAnsi" w:cstheme="minorHAnsi"/>
          <w:b/>
          <w:szCs w:val="24"/>
          <w:lang w:val="en-GB"/>
        </w:rPr>
      </w:pPr>
      <w:r w:rsidRPr="00C86111">
        <w:rPr>
          <w:rFonts w:asciiTheme="minorHAnsi" w:hAnsiTheme="minorHAnsi" w:cstheme="minorHAnsi"/>
          <w:szCs w:val="24"/>
          <w:lang w:val="en-GB"/>
        </w:rPr>
        <w:t xml:space="preserve">Ukupna vrijednost projekta (engl. </w:t>
      </w:r>
      <w:r w:rsidRPr="00C86111">
        <w:rPr>
          <w:rFonts w:asciiTheme="minorHAnsi" w:hAnsiTheme="minorHAnsi" w:cstheme="minorHAnsi"/>
          <w:i/>
          <w:iCs/>
          <w:szCs w:val="24"/>
          <w:lang w:val="en-GB"/>
        </w:rPr>
        <w:t>"Reducing Pollution from Harmful Chemicals and Wastes in Mediterranean Hot Spots and Measuring Progress to Impacts"</w:t>
      </w:r>
      <w:r w:rsidRPr="00C86111">
        <w:rPr>
          <w:rFonts w:asciiTheme="minorHAnsi" w:hAnsiTheme="minorHAnsi" w:cstheme="minorHAnsi"/>
          <w:szCs w:val="24"/>
          <w:lang w:val="en-GB"/>
        </w:rPr>
        <w:t xml:space="preserve">) iznosi otprilike </w:t>
      </w:r>
      <w:r w:rsidRPr="00C86111">
        <w:rPr>
          <w:rFonts w:asciiTheme="minorHAnsi" w:hAnsiTheme="minorHAnsi" w:cstheme="minorHAnsi"/>
          <w:b/>
          <w:bCs/>
          <w:szCs w:val="24"/>
          <w:lang w:val="en-GB"/>
        </w:rPr>
        <w:t>67.396.727 USD</w:t>
      </w:r>
      <w:r w:rsidRPr="00C86111">
        <w:rPr>
          <w:rFonts w:asciiTheme="minorHAnsi" w:hAnsiTheme="minorHAnsi" w:cstheme="minorHAnsi"/>
          <w:b/>
          <w:szCs w:val="24"/>
          <w:lang w:val="en-GB"/>
        </w:rPr>
        <w:t>.</w:t>
      </w:r>
    </w:p>
    <w:p w14:paraId="33B1DBE5"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szCs w:val="24"/>
          <w:lang w:val="en-GB"/>
        </w:rPr>
        <w:t>Ta brojka uključuje:</w:t>
      </w:r>
    </w:p>
    <w:p w14:paraId="494DA799" w14:textId="77777777" w:rsidR="004F6023" w:rsidRPr="00C86111" w:rsidRDefault="004F6023" w:rsidP="00833A40">
      <w:pPr>
        <w:numPr>
          <w:ilvl w:val="0"/>
          <w:numId w:val="70"/>
        </w:numPr>
        <w:jc w:val="both"/>
        <w:rPr>
          <w:rFonts w:asciiTheme="minorHAnsi" w:hAnsiTheme="minorHAnsi" w:cstheme="minorHAnsi"/>
          <w:szCs w:val="24"/>
          <w:lang w:val="en-GB"/>
        </w:rPr>
      </w:pPr>
      <w:r w:rsidRPr="00C86111">
        <w:rPr>
          <w:rFonts w:asciiTheme="minorHAnsi" w:hAnsiTheme="minorHAnsi" w:cstheme="minorHAnsi"/>
          <w:bCs/>
          <w:szCs w:val="24"/>
          <w:lang w:val="en-GB"/>
        </w:rPr>
        <w:t>Grant GEF sredstva</w:t>
      </w:r>
      <w:r w:rsidRPr="00C86111">
        <w:rPr>
          <w:rFonts w:asciiTheme="minorHAnsi" w:hAnsiTheme="minorHAnsi" w:cstheme="minorHAnsi"/>
          <w:szCs w:val="24"/>
          <w:lang w:val="en-GB"/>
        </w:rPr>
        <w:t xml:space="preserve">: </w:t>
      </w:r>
      <w:r w:rsidRPr="00C86111">
        <w:rPr>
          <w:rFonts w:asciiTheme="minorHAnsi" w:hAnsiTheme="minorHAnsi" w:cstheme="minorHAnsi"/>
          <w:b/>
          <w:bCs/>
          <w:szCs w:val="24"/>
          <w:lang w:val="en-GB"/>
        </w:rPr>
        <w:t>14.250.000 USD</w:t>
      </w:r>
    </w:p>
    <w:p w14:paraId="43237664" w14:textId="77777777" w:rsidR="004F6023" w:rsidRPr="00C86111" w:rsidRDefault="004F6023" w:rsidP="00833A40">
      <w:pPr>
        <w:numPr>
          <w:ilvl w:val="0"/>
          <w:numId w:val="70"/>
        </w:numPr>
        <w:jc w:val="both"/>
        <w:rPr>
          <w:rFonts w:asciiTheme="minorHAnsi" w:hAnsiTheme="minorHAnsi" w:cstheme="minorHAnsi"/>
          <w:b/>
          <w:szCs w:val="24"/>
          <w:lang w:val="en-GB"/>
        </w:rPr>
      </w:pPr>
      <w:r w:rsidRPr="00C86111">
        <w:rPr>
          <w:rFonts w:asciiTheme="minorHAnsi" w:hAnsiTheme="minorHAnsi" w:cstheme="minorHAnsi"/>
          <w:bCs/>
          <w:szCs w:val="24"/>
          <w:lang w:val="en-GB"/>
        </w:rPr>
        <w:t>Ko-finansiranje</w:t>
      </w:r>
      <w:r w:rsidRPr="00C86111">
        <w:rPr>
          <w:rFonts w:asciiTheme="minorHAnsi" w:hAnsiTheme="minorHAnsi" w:cstheme="minorHAnsi"/>
          <w:szCs w:val="24"/>
          <w:lang w:val="en-GB"/>
        </w:rPr>
        <w:t xml:space="preserve"> (doprinos partnera, zemalja učesnica i drugih izvora): </w:t>
      </w:r>
      <w:r w:rsidRPr="00C86111">
        <w:rPr>
          <w:rFonts w:asciiTheme="minorHAnsi" w:hAnsiTheme="minorHAnsi" w:cstheme="minorHAnsi"/>
          <w:b/>
          <w:bCs/>
          <w:szCs w:val="24"/>
          <w:lang w:val="en-GB"/>
        </w:rPr>
        <w:t>53.146.727 USD</w:t>
      </w:r>
      <w:r w:rsidRPr="00C86111">
        <w:rPr>
          <w:rFonts w:asciiTheme="minorHAnsi" w:hAnsiTheme="minorHAnsi" w:cstheme="minorHAnsi"/>
          <w:b/>
          <w:szCs w:val="24"/>
          <w:lang w:val="en-GB"/>
        </w:rPr>
        <w:t>.</w:t>
      </w:r>
    </w:p>
    <w:p w14:paraId="4281C40D" w14:textId="77777777" w:rsidR="004F6023" w:rsidRPr="00C86111" w:rsidRDefault="004F6023" w:rsidP="004F6023">
      <w:pPr>
        <w:jc w:val="both"/>
        <w:rPr>
          <w:rFonts w:asciiTheme="minorHAnsi" w:hAnsiTheme="minorHAnsi" w:cstheme="minorHAnsi"/>
          <w:b/>
          <w:szCs w:val="24"/>
        </w:rPr>
      </w:pPr>
    </w:p>
    <w:p w14:paraId="074B0BE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Prema projektnom dokumentu, Crna Gora je uključena u dvije aktivnosti koje se odnose na hemikalije i otpad, jednu za odlaganje PCB-a i jednu koja se odnosi na procjenu zagađenosti lokacije Bokokotorskog zaliva koja razmatra opcije za sanaciju kontaminiranih morskih sedimenata (teški metali, PAH i PCB)“.</w:t>
      </w:r>
    </w:p>
    <w:p w14:paraId="65137274" w14:textId="77777777" w:rsidR="004F6023" w:rsidRPr="00C86111" w:rsidRDefault="004F6023" w:rsidP="004F6023">
      <w:pPr>
        <w:jc w:val="both"/>
        <w:rPr>
          <w:rFonts w:asciiTheme="minorHAnsi" w:hAnsiTheme="minorHAnsi" w:cstheme="minorHAnsi"/>
          <w:szCs w:val="24"/>
        </w:rPr>
      </w:pPr>
    </w:p>
    <w:p w14:paraId="361AC36D"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Tokom 2023. godine urađene su analize od strane CETI-ja na lokacijama Porto Montenegro, Brodogradilište i marina „Navar“, Aerodrom Tivat, Luka Risan. Rezultati su pokazali da u Porto Montenegru postoji visoko zagađenje Hg, PAH i PCB, u Luci Risan je prisutno zagađenje, ali ukupni ekološki rizik procijenjen kao nizak, dok je na lokacijama Navar i Aerodrom Tivat nizak ekološki rizik – hrom i nikal vjerovatno prirodnog porijekla.</w:t>
      </w:r>
    </w:p>
    <w:p w14:paraId="3BC80D08" w14:textId="77777777" w:rsidR="004F6023" w:rsidRPr="00C86111" w:rsidRDefault="004F6023" w:rsidP="004F6023">
      <w:pPr>
        <w:jc w:val="both"/>
        <w:rPr>
          <w:rFonts w:asciiTheme="minorHAnsi" w:hAnsiTheme="minorHAnsi" w:cstheme="minorHAnsi"/>
          <w:szCs w:val="24"/>
        </w:rPr>
      </w:pPr>
    </w:p>
    <w:p w14:paraId="04A8BCFC"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Druga aktivnost projekta obuhvata izvoz zaostale količine opreme koja sadrži polihlorovane bifenile (PCB-a) sa lokacija KAP-a (35t PCB opreme) i CEDIS-a (40t). Izvoz ovih količina planiran je do kraja 2025. godine. Izvoz ovog otpada će se sprovesti kroz zajednički regionalni tender za uklanjanje PCB-a iz Albanije, BiH i CG. Usluge moraju biti u skladu sa svim nacionalnim relevantnim i važećim zakonima u Albaniji, Bosni i Hercegovini i Crnoj Gori zajedno sa zahtjevima i specifikacijama procedura izvoza – uvoza otpada, predviđenih Bazelskom konvencijom. Eliminacija transformatora i kondenzatora koji sadrže PCB u Albaniji, Bosni i Hercegovini i Crnoj </w:t>
      </w:r>
      <w:r w:rsidRPr="00C86111">
        <w:rPr>
          <w:rFonts w:asciiTheme="minorHAnsi" w:hAnsiTheme="minorHAnsi" w:cstheme="minorHAnsi"/>
          <w:szCs w:val="24"/>
        </w:rPr>
        <w:lastRenderedPageBreak/>
        <w:t>Gori i</w:t>
      </w:r>
      <w:r w:rsidRPr="00C86111">
        <w:rPr>
          <w:rFonts w:asciiTheme="minorHAnsi" w:hAnsiTheme="minorHAnsi" w:cstheme="minorHAnsi"/>
          <w:szCs w:val="24"/>
          <w:lang w:val="sr-Latn-ME"/>
        </w:rPr>
        <w:t xml:space="preserve">zvršiće se </w:t>
      </w:r>
      <w:r w:rsidRPr="00C86111">
        <w:rPr>
          <w:rFonts w:asciiTheme="minorHAnsi" w:hAnsiTheme="minorHAnsi" w:cstheme="minorHAnsi"/>
          <w:szCs w:val="24"/>
        </w:rPr>
        <w:t>kroz odvodnjavanje, etiketiranje, pakovanje, transport, otpremu i zvučno odlaganje PCB otpada (za opremu koja se povlači iz upotrebe).</w:t>
      </w:r>
    </w:p>
    <w:p w14:paraId="5866B130" w14:textId="77777777" w:rsidR="004F6023" w:rsidRPr="00C86111" w:rsidRDefault="004F6023" w:rsidP="004F6023">
      <w:pPr>
        <w:jc w:val="both"/>
        <w:rPr>
          <w:rFonts w:asciiTheme="minorHAnsi" w:hAnsiTheme="minorHAnsi" w:cstheme="minorHAnsi"/>
          <w:szCs w:val="24"/>
        </w:rPr>
      </w:pPr>
    </w:p>
    <w:p w14:paraId="76A86DA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Takođe, u novembru 2023. godine Crnu Goru je posjetio producent angažovan od strane UNEP/MAP, koji je pripremio kratak video na temu ovog projekta. Video je pripremljen i može se naći na sljedećem linku: Montenegro -- </w:t>
      </w:r>
      <w:hyperlink r:id="rId77" w:history="1">
        <w:r w:rsidRPr="00C86111">
          <w:rPr>
            <w:rStyle w:val="Hyperlink"/>
            <w:rFonts w:asciiTheme="minorHAnsi" w:hAnsiTheme="minorHAnsi" w:cstheme="minorHAnsi"/>
            <w:szCs w:val="24"/>
          </w:rPr>
          <w:t>https://vimeo.com/905362400/d1dda07e42</w:t>
        </w:r>
      </w:hyperlink>
      <w:r w:rsidRPr="00C86111">
        <w:rPr>
          <w:rFonts w:asciiTheme="minorHAnsi" w:hAnsiTheme="minorHAnsi" w:cstheme="minorHAnsi"/>
          <w:szCs w:val="24"/>
        </w:rPr>
        <w:t xml:space="preserve"> </w:t>
      </w:r>
    </w:p>
    <w:p w14:paraId="3682A89C" w14:textId="77777777" w:rsidR="004F6023" w:rsidRPr="00C86111" w:rsidRDefault="004F6023" w:rsidP="004F6023">
      <w:pPr>
        <w:jc w:val="both"/>
        <w:rPr>
          <w:rFonts w:asciiTheme="minorHAnsi" w:hAnsiTheme="minorHAnsi" w:cstheme="minorHAnsi"/>
          <w:szCs w:val="24"/>
        </w:rPr>
      </w:pPr>
    </w:p>
    <w:p w14:paraId="4D8B2A89"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U okviru ovog projekta sprovedena je i edukacija ranjivih grupa (RAI populacija) u saradnji sa MED WAVES i NVO „Koračajte sa nama – Phiren Amenca“. Radionice su održane 3. juna u Beranama i 12. juna u Podgorici, uz podršku Romske organizacije mladih "Koračajte sa nama – Phiren Amenca", koja vodi terenski rad sa zajednicom, i konsultantske kuće Tauw, koja je pripremila edukativni sadržaj prilagođen potrebama ove ciljne grupe. Ove aktivnosti predstavljaju važan korak u jačanju kapaciteta lokalnih zajednica i podizanju ekološke svijesti, posebno unutar ranjivih grupa poput RAI populacije.</w:t>
      </w:r>
      <w:r w:rsidRPr="00C86111">
        <w:rPr>
          <w:rStyle w:val="FootnoteReference"/>
          <w:rFonts w:cstheme="minorHAnsi"/>
          <w:szCs w:val="24"/>
        </w:rPr>
        <w:footnoteReference w:id="5"/>
      </w:r>
    </w:p>
    <w:p w14:paraId="6EEB96A5" w14:textId="77777777" w:rsidR="004F6023" w:rsidRPr="00C86111" w:rsidRDefault="004F6023" w:rsidP="004F6023">
      <w:pPr>
        <w:jc w:val="both"/>
        <w:rPr>
          <w:rFonts w:asciiTheme="minorHAnsi" w:hAnsiTheme="minorHAnsi" w:cstheme="minorHAnsi"/>
          <w:szCs w:val="24"/>
        </w:rPr>
      </w:pPr>
    </w:p>
    <w:p w14:paraId="5EFF1FB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J</w:t>
      </w:r>
      <w:r w:rsidRPr="00C86111">
        <w:rPr>
          <w:rFonts w:asciiTheme="minorHAnsi" w:hAnsiTheme="minorHAnsi" w:cstheme="minorHAnsi"/>
          <w:szCs w:val="24"/>
          <w:lang w:val="sr-Latn-ME"/>
        </w:rPr>
        <w:t>oš jedna značajna komponenta koja je realizovana kroz navedni p</w:t>
      </w:r>
      <w:r w:rsidRPr="00C86111">
        <w:rPr>
          <w:rFonts w:asciiTheme="minorHAnsi" w:hAnsiTheme="minorHAnsi" w:cstheme="minorHAnsi"/>
          <w:szCs w:val="24"/>
        </w:rPr>
        <w:t>rojekat je i „Istraživanje prisustva PFAS u pjenama za gašenje požara u Crnoj Gori“. Cilj ove aktivnosti je bila identifikacija i procjena prisustva per- i polifluoroalkilnih supstanci (PFAS) u pjenama za gašenje požara korišćenim u Crnoj Gori, sa fokusom na zaštitu životne sredine i zdravlja ljudi. Za realizovanje ovog istraživanja angažovana je akreditovana laboratorija CETI-ja, koja je prikupila uzorke iz vatrogasnih jedinica i industrijskih objekata. Sprovedeno istraživanje ukazalo je na prisustvo per- i polifluoroalkilnih supstanci (PFAS) u određenim vrstama pjena koje se koriste u vatrogasnim jedinicama i industrijskim postrojenjima širom Crne Gore. Ovi rezultati potvrđuju da se značajne količine pjena koje sadrže PFAS još uvijek nalaze u upotrebi, čime predstavljaju potencijalni rizik po zdravlje ljudi i životnu sredinu.</w:t>
      </w:r>
    </w:p>
    <w:p w14:paraId="7C709F58" w14:textId="77777777" w:rsidR="004F6023" w:rsidRPr="00C86111" w:rsidRDefault="004F6023" w:rsidP="004F6023">
      <w:pPr>
        <w:jc w:val="both"/>
        <w:rPr>
          <w:rFonts w:asciiTheme="minorHAnsi" w:hAnsiTheme="minorHAnsi" w:cstheme="minorHAnsi"/>
          <w:szCs w:val="24"/>
        </w:rPr>
      </w:pPr>
    </w:p>
    <w:p w14:paraId="079DFA71"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Nalazi istraživanja ukazuju na potrebu hitne zamjene postojećih pjena ekološki prihvatljivijim alternativama, posebno u kritičnim sektorima gdje je njihova upotreba najintenzivnija. Istovremeno, ustanovljeno je da u zemlji ne postoji dovoljno razvijen sistem za praćenje i vođenje evidencije o zalihama, distribuciji i upotrebi ovih materijala. Ovaj nedostatak otežava planiranje adekvatnih mjera sanacije i kontrolu budućih tokova PFAS supstanci.</w:t>
      </w:r>
    </w:p>
    <w:p w14:paraId="529D841C" w14:textId="77777777" w:rsidR="004F6023" w:rsidRPr="00C86111" w:rsidRDefault="004F6023" w:rsidP="004F6023">
      <w:pPr>
        <w:jc w:val="both"/>
        <w:rPr>
          <w:rFonts w:asciiTheme="minorHAnsi" w:hAnsiTheme="minorHAnsi" w:cstheme="minorHAnsi"/>
          <w:szCs w:val="24"/>
        </w:rPr>
      </w:pPr>
    </w:p>
    <w:p w14:paraId="7FE215D0"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Istraživanje je takođe pokazalo da je nivo informisanosti i stručne osposobljenosti zaposlenih u vatrogasnim jedinicama, kao i predstavnika industrije, nedovoljan za efikasno i bezbjedno upravljanje ovim hemikalijama. Uočena je potreba za jačanjem regulatornog okvira kroz donošenje jasnih zabrana i ograničenja upotrebe PFAS pjena, usklađenih sa zahtjevima Evropske unije i međunarodnih konvencija, prvenstveno Stokholmske konvencije.</w:t>
      </w:r>
    </w:p>
    <w:p w14:paraId="1F6BBF21" w14:textId="77777777" w:rsidR="004F6023" w:rsidRPr="00C86111" w:rsidRDefault="004F6023" w:rsidP="007A23C1"/>
    <w:p w14:paraId="0390247E" w14:textId="77777777" w:rsidR="004F6023" w:rsidRPr="00C86111" w:rsidRDefault="004F6023" w:rsidP="007A23C1">
      <w:pPr>
        <w:rPr>
          <w:lang w:val="sr-Latn-ME"/>
        </w:rPr>
      </w:pPr>
      <w:r w:rsidRPr="00C86111">
        <w:rPr>
          <w:rStyle w:val="Heading4Char"/>
        </w:rPr>
        <w:lastRenderedPageBreak/>
        <w:t>Uputstvo namijenjeno operaterima i reciklerima otpada o rizicima koje nosi rukovanje otpadom koji sadrži PBDEs, HBB i HBCD hemikalije</w:t>
      </w:r>
      <w:r w:rsidRPr="00C86111">
        <w:rPr>
          <w:rStyle w:val="FootnoteReference"/>
          <w:rFonts w:eastAsiaTheme="majorEastAsia"/>
          <w:szCs w:val="24"/>
          <w:u w:val="single"/>
          <w:lang w:val="sr-Latn-ME"/>
        </w:rPr>
        <w:footnoteReference w:id="6"/>
      </w:r>
    </w:p>
    <w:p w14:paraId="4BD49E89" w14:textId="77777777" w:rsidR="004F6023" w:rsidRPr="00C86111" w:rsidRDefault="004F6023" w:rsidP="007A23C1">
      <w:pPr>
        <w:rPr>
          <w:rFonts w:asciiTheme="minorHAnsi" w:hAnsiTheme="minorHAnsi" w:cstheme="minorHAnsi"/>
          <w:b/>
          <w:szCs w:val="24"/>
          <w:lang w:val="sr-Latn-ME"/>
        </w:rPr>
      </w:pPr>
    </w:p>
    <w:p w14:paraId="36D2C06B" w14:textId="77777777" w:rsidR="004F6023" w:rsidRPr="00C86111" w:rsidRDefault="004F6023" w:rsidP="004F6023">
      <w:pPr>
        <w:jc w:val="both"/>
        <w:rPr>
          <w:rFonts w:asciiTheme="minorHAnsi" w:hAnsiTheme="minorHAnsi" w:cstheme="minorHAnsi"/>
          <w:szCs w:val="24"/>
          <w:lang w:val="sr-Latn-ME"/>
        </w:rPr>
      </w:pPr>
      <w:r w:rsidRPr="00C86111">
        <w:rPr>
          <w:rFonts w:asciiTheme="minorHAnsi" w:hAnsiTheme="minorHAnsi" w:cstheme="minorHAnsi"/>
          <w:szCs w:val="24"/>
          <w:lang w:val="sr-Latn-ME"/>
        </w:rPr>
        <w:t>Dokument je tadašnje Ministarstvo ekologije, prostornog planiranja i urbanizma pripremilo kao jednu od aktivnosti koja je planirana prošlim NIPom i isto je finansirano kroz nabavku male vrijednosti iz budžeta Ministarstva.</w:t>
      </w:r>
    </w:p>
    <w:p w14:paraId="4E2C89C2" w14:textId="77777777" w:rsidR="004F6023" w:rsidRPr="00C86111" w:rsidRDefault="004F6023" w:rsidP="004F6023">
      <w:pPr>
        <w:jc w:val="both"/>
        <w:rPr>
          <w:rFonts w:asciiTheme="minorHAnsi" w:hAnsiTheme="minorHAnsi" w:cstheme="minorHAnsi"/>
          <w:szCs w:val="24"/>
          <w:lang w:val="sr-Latn-ME"/>
        </w:rPr>
      </w:pPr>
    </w:p>
    <w:p w14:paraId="1DADBCDB"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Uputstvo se fokusira na bezbjedno rukovanje otpadom koji sadrži opasne bromovane usporivače sagorijevanja – prvenstveno PBDEs (polibromovani difenil etri), HBB (heksabromobifenil) i HBCD (heksabromociklododekan). Ove hemikalije su klasifikovane kao dugotrajni organski zagađivači (POPs) i zabranjene su ili ograničene prema Stokholmskoj konvenciji zbog svoje toksičnosti, bioakumulacije i dugotrajne postojanosti u životnoj sredini.</w:t>
      </w:r>
    </w:p>
    <w:p w14:paraId="2D32EE2F" w14:textId="77777777" w:rsidR="004F6023" w:rsidRPr="00C86111" w:rsidRDefault="004F6023" w:rsidP="004F6023">
      <w:pPr>
        <w:jc w:val="both"/>
        <w:rPr>
          <w:rFonts w:asciiTheme="minorHAnsi" w:hAnsiTheme="minorHAnsi" w:cstheme="minorHAnsi"/>
          <w:szCs w:val="24"/>
        </w:rPr>
      </w:pPr>
    </w:p>
    <w:p w14:paraId="15E845A3"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U cilju smanjenja izloženosti, uputstvo daje jasne preporuke za radnike:</w:t>
      </w:r>
    </w:p>
    <w:p w14:paraId="0AC43969" w14:textId="77777777" w:rsidR="004F6023" w:rsidRPr="00C86111" w:rsidRDefault="004F6023" w:rsidP="00833A40">
      <w:pPr>
        <w:pStyle w:val="ListParagraph"/>
        <w:numPr>
          <w:ilvl w:val="0"/>
          <w:numId w:val="72"/>
        </w:numPr>
        <w:jc w:val="both"/>
        <w:rPr>
          <w:rFonts w:asciiTheme="minorHAnsi" w:hAnsiTheme="minorHAnsi" w:cstheme="minorHAnsi"/>
          <w:szCs w:val="24"/>
        </w:rPr>
      </w:pPr>
      <w:r w:rsidRPr="00C86111">
        <w:rPr>
          <w:rFonts w:asciiTheme="minorHAnsi" w:hAnsiTheme="minorHAnsi" w:cstheme="minorHAnsi"/>
          <w:szCs w:val="24"/>
        </w:rPr>
        <w:t>Pri prikupljanju i istovaru kabastog otpada – koristiti ličnu zaštitnu opremu i izbjegavati kontakt s potencijalno kontaminiranim materijalima.</w:t>
      </w:r>
    </w:p>
    <w:p w14:paraId="24DB37A7" w14:textId="77777777" w:rsidR="004F6023" w:rsidRPr="00C86111" w:rsidRDefault="004F6023" w:rsidP="00833A40">
      <w:pPr>
        <w:pStyle w:val="ListParagraph"/>
        <w:numPr>
          <w:ilvl w:val="0"/>
          <w:numId w:val="72"/>
        </w:numPr>
        <w:jc w:val="both"/>
        <w:rPr>
          <w:rFonts w:asciiTheme="minorHAnsi" w:hAnsiTheme="minorHAnsi" w:cstheme="minorHAnsi"/>
          <w:szCs w:val="24"/>
        </w:rPr>
      </w:pPr>
      <w:r w:rsidRPr="00C86111">
        <w:rPr>
          <w:rFonts w:asciiTheme="minorHAnsi" w:hAnsiTheme="minorHAnsi" w:cstheme="minorHAnsi"/>
          <w:szCs w:val="24"/>
        </w:rPr>
        <w:t>U reciklažnim centrima – sprovoditi selekciju, koristiti ventilaciju i edukovati zaposlene o hemijskim rizicima.</w:t>
      </w:r>
    </w:p>
    <w:p w14:paraId="08F2D897" w14:textId="77777777" w:rsidR="004F6023" w:rsidRPr="00C86111" w:rsidRDefault="004F6023" w:rsidP="00833A40">
      <w:pPr>
        <w:pStyle w:val="ListParagraph"/>
        <w:numPr>
          <w:ilvl w:val="0"/>
          <w:numId w:val="72"/>
        </w:numPr>
        <w:jc w:val="both"/>
        <w:rPr>
          <w:rFonts w:asciiTheme="minorHAnsi" w:hAnsiTheme="minorHAnsi" w:cstheme="minorHAnsi"/>
          <w:szCs w:val="24"/>
        </w:rPr>
      </w:pPr>
      <w:r w:rsidRPr="00C86111">
        <w:rPr>
          <w:rFonts w:asciiTheme="minorHAnsi" w:hAnsiTheme="minorHAnsi" w:cstheme="minorHAnsi"/>
          <w:szCs w:val="24"/>
        </w:rPr>
        <w:t>Uvedene su i rodnosenzitivne mjere zaštite, koje uzimaju u obzir biološke i socijalne razlike u izloženosti između muškaraca i žena.</w:t>
      </w:r>
    </w:p>
    <w:p w14:paraId="676BC0F1" w14:textId="77777777" w:rsidR="004F6023" w:rsidRPr="00C86111" w:rsidRDefault="004F6023" w:rsidP="004F6023">
      <w:pPr>
        <w:jc w:val="both"/>
        <w:rPr>
          <w:rFonts w:asciiTheme="minorHAnsi" w:hAnsiTheme="minorHAnsi" w:cstheme="minorHAnsi"/>
          <w:szCs w:val="24"/>
        </w:rPr>
      </w:pPr>
    </w:p>
    <w:p w14:paraId="2BD5BE36"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szCs w:val="24"/>
          <w:lang w:val="en-GB"/>
        </w:rPr>
        <w:t>Dokument predstavlja važan alat za:</w:t>
      </w:r>
    </w:p>
    <w:p w14:paraId="41EEDD3B" w14:textId="77777777" w:rsidR="004F6023" w:rsidRPr="00C86111" w:rsidRDefault="004F6023" w:rsidP="00833A40">
      <w:pPr>
        <w:numPr>
          <w:ilvl w:val="0"/>
          <w:numId w:val="68"/>
        </w:numPr>
        <w:jc w:val="both"/>
        <w:rPr>
          <w:rFonts w:asciiTheme="minorHAnsi" w:hAnsiTheme="minorHAnsi" w:cstheme="minorHAnsi"/>
          <w:szCs w:val="24"/>
          <w:lang w:val="en-GB"/>
        </w:rPr>
      </w:pPr>
      <w:r w:rsidRPr="00C86111">
        <w:rPr>
          <w:rFonts w:asciiTheme="minorHAnsi" w:hAnsiTheme="minorHAnsi" w:cstheme="minorHAnsi"/>
          <w:b/>
          <w:bCs/>
          <w:szCs w:val="24"/>
          <w:lang w:val="en-GB"/>
        </w:rPr>
        <w:t>Operatere</w:t>
      </w:r>
      <w:r w:rsidRPr="00C86111">
        <w:rPr>
          <w:rFonts w:asciiTheme="minorHAnsi" w:hAnsiTheme="minorHAnsi" w:cstheme="minorHAnsi"/>
          <w:szCs w:val="24"/>
          <w:lang w:val="en-GB"/>
        </w:rPr>
        <w:t>, koji upravljaju otpadom u ranoj fazi (prikupljanje, transport),</w:t>
      </w:r>
    </w:p>
    <w:p w14:paraId="03AA0272" w14:textId="77777777" w:rsidR="004F6023" w:rsidRPr="00C86111" w:rsidRDefault="004F6023" w:rsidP="00833A40">
      <w:pPr>
        <w:numPr>
          <w:ilvl w:val="0"/>
          <w:numId w:val="68"/>
        </w:numPr>
        <w:jc w:val="both"/>
        <w:rPr>
          <w:rFonts w:asciiTheme="minorHAnsi" w:hAnsiTheme="minorHAnsi" w:cstheme="minorHAnsi"/>
          <w:szCs w:val="24"/>
          <w:lang w:val="en-GB"/>
        </w:rPr>
      </w:pPr>
      <w:r w:rsidRPr="00C86111">
        <w:rPr>
          <w:rFonts w:asciiTheme="minorHAnsi" w:hAnsiTheme="minorHAnsi" w:cstheme="minorHAnsi"/>
          <w:b/>
          <w:bCs/>
          <w:szCs w:val="24"/>
          <w:lang w:val="en-GB"/>
        </w:rPr>
        <w:t>Reciklere</w:t>
      </w:r>
      <w:r w:rsidRPr="00C86111">
        <w:rPr>
          <w:rFonts w:asciiTheme="minorHAnsi" w:hAnsiTheme="minorHAnsi" w:cstheme="minorHAnsi"/>
          <w:szCs w:val="24"/>
          <w:lang w:val="en-GB"/>
        </w:rPr>
        <w:t>, koji rukuju i obrađuju specifične vrste otpada (elektronika, tekstil, vozila),</w:t>
      </w:r>
    </w:p>
    <w:p w14:paraId="2C2C7302" w14:textId="77777777" w:rsidR="004F6023" w:rsidRPr="00C86111" w:rsidRDefault="004F6023" w:rsidP="00833A40">
      <w:pPr>
        <w:numPr>
          <w:ilvl w:val="0"/>
          <w:numId w:val="68"/>
        </w:numPr>
        <w:jc w:val="both"/>
        <w:rPr>
          <w:rFonts w:asciiTheme="minorHAnsi" w:hAnsiTheme="minorHAnsi" w:cstheme="minorHAnsi"/>
          <w:szCs w:val="24"/>
          <w:lang w:val="en-GB"/>
        </w:rPr>
      </w:pPr>
      <w:r w:rsidRPr="00C86111">
        <w:rPr>
          <w:rFonts w:asciiTheme="minorHAnsi" w:hAnsiTheme="minorHAnsi" w:cstheme="minorHAnsi"/>
          <w:b/>
          <w:bCs/>
          <w:szCs w:val="24"/>
          <w:lang w:val="en-GB"/>
        </w:rPr>
        <w:t>Nadležne institucije</w:t>
      </w:r>
      <w:r w:rsidRPr="00C86111">
        <w:rPr>
          <w:rFonts w:asciiTheme="minorHAnsi" w:hAnsiTheme="minorHAnsi" w:cstheme="minorHAnsi"/>
          <w:szCs w:val="24"/>
          <w:lang w:val="en-GB"/>
        </w:rPr>
        <w:t>, koje planiraju i sprovode politiku zaštite životne sredine i zdravlja na radu.</w:t>
      </w:r>
    </w:p>
    <w:p w14:paraId="4044D1EB"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szCs w:val="24"/>
          <w:lang w:val="en-GB"/>
        </w:rPr>
        <w:t>Uputstvo je posebno vrijedno zbog:</w:t>
      </w:r>
    </w:p>
    <w:p w14:paraId="2B35F512" w14:textId="77777777" w:rsidR="004F6023" w:rsidRPr="00C86111" w:rsidRDefault="004F6023" w:rsidP="00833A40">
      <w:pPr>
        <w:numPr>
          <w:ilvl w:val="0"/>
          <w:numId w:val="69"/>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Uključivanja </w:t>
      </w:r>
      <w:r w:rsidRPr="00C86111">
        <w:rPr>
          <w:rFonts w:asciiTheme="minorHAnsi" w:hAnsiTheme="minorHAnsi" w:cstheme="minorHAnsi"/>
          <w:b/>
          <w:bCs/>
          <w:szCs w:val="24"/>
          <w:lang w:val="en-GB"/>
        </w:rPr>
        <w:t>rodnosenzitivnog pristupa</w:t>
      </w:r>
      <w:r w:rsidRPr="00C86111">
        <w:rPr>
          <w:rFonts w:asciiTheme="minorHAnsi" w:hAnsiTheme="minorHAnsi" w:cstheme="minorHAnsi"/>
          <w:szCs w:val="24"/>
          <w:lang w:val="en-GB"/>
        </w:rPr>
        <w:t>,</w:t>
      </w:r>
    </w:p>
    <w:p w14:paraId="50077F11" w14:textId="77777777" w:rsidR="004F6023" w:rsidRPr="00C86111" w:rsidRDefault="004F6023" w:rsidP="00833A40">
      <w:pPr>
        <w:numPr>
          <w:ilvl w:val="0"/>
          <w:numId w:val="69"/>
        </w:numPr>
        <w:jc w:val="both"/>
        <w:rPr>
          <w:rFonts w:asciiTheme="minorHAnsi" w:hAnsiTheme="minorHAnsi" w:cstheme="minorHAnsi"/>
          <w:szCs w:val="24"/>
          <w:lang w:val="en-GB"/>
        </w:rPr>
      </w:pPr>
      <w:r w:rsidRPr="00C86111">
        <w:rPr>
          <w:rFonts w:asciiTheme="minorHAnsi" w:hAnsiTheme="minorHAnsi" w:cstheme="minorHAnsi"/>
          <w:szCs w:val="24"/>
          <w:lang w:val="en-GB"/>
        </w:rPr>
        <w:t>Praktičnih preporuka za zaštitu radnika,</w:t>
      </w:r>
    </w:p>
    <w:p w14:paraId="4AA28C9C" w14:textId="77777777" w:rsidR="004F6023" w:rsidRPr="00C86111" w:rsidRDefault="004F6023" w:rsidP="00833A40">
      <w:pPr>
        <w:numPr>
          <w:ilvl w:val="0"/>
          <w:numId w:val="69"/>
        </w:numPr>
        <w:jc w:val="both"/>
        <w:rPr>
          <w:rFonts w:asciiTheme="minorHAnsi" w:hAnsiTheme="minorHAnsi" w:cstheme="minorHAnsi"/>
          <w:szCs w:val="24"/>
          <w:lang w:val="en-GB"/>
        </w:rPr>
      </w:pPr>
      <w:r w:rsidRPr="00C86111">
        <w:rPr>
          <w:rFonts w:asciiTheme="minorHAnsi" w:hAnsiTheme="minorHAnsi" w:cstheme="minorHAnsi"/>
          <w:szCs w:val="24"/>
          <w:lang w:val="en-GB"/>
        </w:rPr>
        <w:t>Primjene savremenih metoda identifikacije opasnog otpada.</w:t>
      </w:r>
    </w:p>
    <w:p w14:paraId="58F929EB" w14:textId="77777777" w:rsidR="004F6023" w:rsidRPr="00C86111" w:rsidRDefault="004F6023" w:rsidP="004F6023">
      <w:pPr>
        <w:jc w:val="both"/>
        <w:rPr>
          <w:rFonts w:asciiTheme="minorHAnsi" w:hAnsiTheme="minorHAnsi" w:cstheme="minorHAnsi"/>
          <w:b/>
          <w:szCs w:val="24"/>
        </w:rPr>
      </w:pPr>
    </w:p>
    <w:p w14:paraId="0300126A" w14:textId="7FDB0F59" w:rsidR="004F6023" w:rsidRPr="00C86111" w:rsidRDefault="004F6023" w:rsidP="00EA6904">
      <w:pPr>
        <w:pStyle w:val="Heading3"/>
      </w:pPr>
      <w:bookmarkStart w:id="477" w:name="_Toc220542007"/>
      <w:r w:rsidRPr="00C86111">
        <w:t>Projekti koje su sprovele nevladine organizacije u cilju sprovođenja edukativnih kampanja o bezbjednom upravljanju dugotrajnim organskim zagađujućim supstancama (POPs) u Crnoj Gori</w:t>
      </w:r>
      <w:bookmarkEnd w:id="477"/>
    </w:p>
    <w:p w14:paraId="34CF28AD" w14:textId="77777777" w:rsidR="004F6023" w:rsidRPr="00C86111" w:rsidRDefault="004F6023" w:rsidP="004F6023">
      <w:pPr>
        <w:jc w:val="both"/>
        <w:rPr>
          <w:rFonts w:asciiTheme="minorHAnsi" w:hAnsiTheme="minorHAnsi" w:cstheme="minorHAnsi"/>
          <w:szCs w:val="24"/>
        </w:rPr>
      </w:pPr>
    </w:p>
    <w:p w14:paraId="0A584939"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Tadašnje Ministarstvo ekologije, prostornog planiranja i urbanizma je 2021. godine izvršilo raspodjelu sredstava u ukupnom iznosu od </w:t>
      </w:r>
      <w:r w:rsidRPr="00C86111">
        <w:rPr>
          <w:rFonts w:asciiTheme="minorHAnsi" w:hAnsiTheme="minorHAnsi" w:cstheme="minorHAnsi"/>
          <w:b/>
          <w:szCs w:val="24"/>
        </w:rPr>
        <w:t>50.000e</w:t>
      </w:r>
      <w:r w:rsidRPr="00C86111">
        <w:rPr>
          <w:rFonts w:asciiTheme="minorHAnsi" w:hAnsiTheme="minorHAnsi" w:cstheme="minorHAnsi"/>
          <w:szCs w:val="24"/>
        </w:rPr>
        <w:t xml:space="preserve"> za realizaciju projekata nevladinih organizacija na temu sprovođenja edukativnih kampanja o bezbjednom upravljanju dugotrajnim organskim zagađujućim supstancama (POPs) u Crnoj Gori.</w:t>
      </w:r>
    </w:p>
    <w:p w14:paraId="5DF08B5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 xml:space="preserve">Projekti koji su se realizovali su sljedeći: </w:t>
      </w:r>
    </w:p>
    <w:p w14:paraId="701E62BE" w14:textId="77777777" w:rsidR="004F6023" w:rsidRPr="00C86111" w:rsidRDefault="004F6023" w:rsidP="004F6023">
      <w:pPr>
        <w:jc w:val="both"/>
        <w:rPr>
          <w:rFonts w:asciiTheme="minorHAnsi" w:hAnsiTheme="minorHAnsi" w:cstheme="minorHAnsi"/>
          <w:szCs w:val="24"/>
        </w:rPr>
      </w:pPr>
    </w:p>
    <w:p w14:paraId="58BF0091" w14:textId="77777777" w:rsidR="004F6023" w:rsidRPr="00C86111" w:rsidRDefault="004F6023" w:rsidP="00833A40">
      <w:pPr>
        <w:pStyle w:val="ListParagraph"/>
        <w:numPr>
          <w:ilvl w:val="0"/>
          <w:numId w:val="66"/>
        </w:numPr>
        <w:jc w:val="both"/>
        <w:rPr>
          <w:rFonts w:asciiTheme="minorHAnsi" w:hAnsiTheme="minorHAnsi" w:cstheme="minorHAnsi"/>
          <w:szCs w:val="24"/>
        </w:rPr>
      </w:pPr>
      <w:r w:rsidRPr="00C86111">
        <w:rPr>
          <w:rFonts w:asciiTheme="minorHAnsi" w:hAnsiTheme="minorHAnsi" w:cstheme="minorHAnsi"/>
          <w:b/>
          <w:szCs w:val="24"/>
        </w:rPr>
        <w:lastRenderedPageBreak/>
        <w:t>„Adekvatno informisanje o POPs hemikalijama u cilju edukacije javnosti“</w:t>
      </w:r>
      <w:r w:rsidRPr="00C86111">
        <w:rPr>
          <w:rFonts w:asciiTheme="minorHAnsi" w:hAnsiTheme="minorHAnsi" w:cstheme="minorHAnsi"/>
          <w:szCs w:val="24"/>
        </w:rPr>
        <w:t xml:space="preserve"> NVO „Đakomo Adriatic“ iz Bijelog Polja.</w:t>
      </w:r>
    </w:p>
    <w:p w14:paraId="3285AA18" w14:textId="77777777" w:rsidR="004F6023" w:rsidRPr="00C86111" w:rsidRDefault="004F6023" w:rsidP="00833A40">
      <w:pPr>
        <w:pStyle w:val="ListParagraph"/>
        <w:numPr>
          <w:ilvl w:val="0"/>
          <w:numId w:val="66"/>
        </w:numPr>
        <w:jc w:val="both"/>
        <w:rPr>
          <w:rFonts w:asciiTheme="minorHAnsi" w:hAnsiTheme="minorHAnsi" w:cstheme="minorHAnsi"/>
          <w:szCs w:val="24"/>
        </w:rPr>
      </w:pPr>
      <w:r w:rsidRPr="00C86111">
        <w:rPr>
          <w:rFonts w:asciiTheme="minorHAnsi" w:hAnsiTheme="minorHAnsi" w:cstheme="minorHAnsi"/>
          <w:b/>
          <w:szCs w:val="24"/>
        </w:rPr>
        <w:t>„Upravljanje otpadom - mladi kao čuvari životne sredine“</w:t>
      </w:r>
      <w:r w:rsidRPr="00C86111">
        <w:rPr>
          <w:rFonts w:asciiTheme="minorHAnsi" w:hAnsiTheme="minorHAnsi" w:cstheme="minorHAnsi"/>
          <w:szCs w:val="24"/>
        </w:rPr>
        <w:t xml:space="preserve"> NVO „Centar kreativnih vještina“ iz Berana.</w:t>
      </w:r>
    </w:p>
    <w:p w14:paraId="4CDB3861" w14:textId="77777777" w:rsidR="004F6023" w:rsidRPr="00C86111" w:rsidRDefault="004F6023" w:rsidP="00833A40">
      <w:pPr>
        <w:pStyle w:val="ListParagraph"/>
        <w:numPr>
          <w:ilvl w:val="0"/>
          <w:numId w:val="66"/>
        </w:numPr>
        <w:jc w:val="both"/>
        <w:rPr>
          <w:rFonts w:asciiTheme="minorHAnsi" w:hAnsiTheme="minorHAnsi" w:cstheme="minorHAnsi"/>
          <w:szCs w:val="24"/>
        </w:rPr>
      </w:pPr>
      <w:r w:rsidRPr="00C86111">
        <w:rPr>
          <w:rFonts w:asciiTheme="minorHAnsi" w:hAnsiTheme="minorHAnsi" w:cstheme="minorHAnsi"/>
          <w:b/>
          <w:szCs w:val="24"/>
        </w:rPr>
        <w:t>„Ekološkom etiketom do cilja – sačuvajmo životnu sredinu i zdravlje“</w:t>
      </w:r>
      <w:r w:rsidRPr="00C86111">
        <w:rPr>
          <w:rFonts w:asciiTheme="minorHAnsi" w:hAnsiTheme="minorHAnsi" w:cstheme="minorHAnsi"/>
          <w:szCs w:val="24"/>
        </w:rPr>
        <w:t xml:space="preserve"> NVO „Centar za ruralni razvoj Crne Gore“ iz Podgorice.</w:t>
      </w:r>
    </w:p>
    <w:p w14:paraId="110EBD07" w14:textId="77777777" w:rsidR="004F6023" w:rsidRPr="00C86111" w:rsidRDefault="004F6023" w:rsidP="00833A40">
      <w:pPr>
        <w:pStyle w:val="ListParagraph"/>
        <w:numPr>
          <w:ilvl w:val="0"/>
          <w:numId w:val="66"/>
        </w:numPr>
        <w:jc w:val="both"/>
        <w:rPr>
          <w:rFonts w:asciiTheme="minorHAnsi" w:hAnsiTheme="minorHAnsi" w:cstheme="minorHAnsi"/>
          <w:szCs w:val="24"/>
        </w:rPr>
      </w:pPr>
      <w:r w:rsidRPr="00C86111">
        <w:rPr>
          <w:rFonts w:asciiTheme="minorHAnsi" w:hAnsiTheme="minorHAnsi" w:cstheme="minorHAnsi"/>
          <w:b/>
          <w:szCs w:val="24"/>
        </w:rPr>
        <w:t>„Upravljanje POPs-ovima na ekološki prihvatljiv način“</w:t>
      </w:r>
      <w:r w:rsidRPr="00C86111">
        <w:rPr>
          <w:rFonts w:asciiTheme="minorHAnsi" w:hAnsiTheme="minorHAnsi" w:cstheme="minorHAnsi"/>
          <w:szCs w:val="24"/>
        </w:rPr>
        <w:t xml:space="preserve"> NVO „Društvo mladih ekologa“ iz Nikšića.</w:t>
      </w:r>
    </w:p>
    <w:p w14:paraId="7D767C92" w14:textId="77777777" w:rsidR="004F6023" w:rsidRPr="00C86111" w:rsidRDefault="004F6023" w:rsidP="00833A40">
      <w:pPr>
        <w:pStyle w:val="ListParagraph"/>
        <w:numPr>
          <w:ilvl w:val="0"/>
          <w:numId w:val="66"/>
        </w:numPr>
        <w:jc w:val="both"/>
        <w:rPr>
          <w:rFonts w:asciiTheme="minorHAnsi" w:hAnsiTheme="minorHAnsi" w:cstheme="minorHAnsi"/>
          <w:szCs w:val="24"/>
        </w:rPr>
      </w:pPr>
      <w:r w:rsidRPr="00C86111">
        <w:rPr>
          <w:rFonts w:asciiTheme="minorHAnsi" w:hAnsiTheme="minorHAnsi" w:cstheme="minorHAnsi"/>
          <w:b/>
          <w:szCs w:val="24"/>
        </w:rPr>
        <w:t xml:space="preserve">„Upoznaj štetne hemikalije“ </w:t>
      </w:r>
      <w:r w:rsidRPr="00C86111">
        <w:rPr>
          <w:rFonts w:asciiTheme="minorHAnsi" w:hAnsiTheme="minorHAnsi" w:cstheme="minorHAnsi"/>
          <w:szCs w:val="24"/>
        </w:rPr>
        <w:t>NVO „Zeleni dom – Green home“ iz Podgorice.</w:t>
      </w:r>
    </w:p>
    <w:p w14:paraId="4595F4BC" w14:textId="77777777" w:rsidR="004F6023" w:rsidRPr="00C86111" w:rsidRDefault="004F6023" w:rsidP="00833A40">
      <w:pPr>
        <w:pStyle w:val="ListParagraph"/>
        <w:numPr>
          <w:ilvl w:val="0"/>
          <w:numId w:val="66"/>
        </w:numPr>
        <w:jc w:val="both"/>
        <w:rPr>
          <w:rFonts w:asciiTheme="minorHAnsi" w:hAnsiTheme="minorHAnsi" w:cstheme="minorHAnsi"/>
          <w:szCs w:val="24"/>
        </w:rPr>
      </w:pPr>
      <w:r w:rsidRPr="00C86111">
        <w:rPr>
          <w:rFonts w:asciiTheme="minorHAnsi" w:hAnsiTheme="minorHAnsi" w:cstheme="minorHAnsi"/>
          <w:b/>
          <w:szCs w:val="24"/>
        </w:rPr>
        <w:t>„Edukacija o POPs hemikalijama i upravljanje na održiv, efikasan i ekološki prihvatljiv način“</w:t>
      </w:r>
      <w:r w:rsidRPr="00C86111">
        <w:rPr>
          <w:rFonts w:asciiTheme="minorHAnsi" w:hAnsiTheme="minorHAnsi" w:cstheme="minorHAnsi"/>
          <w:szCs w:val="24"/>
        </w:rPr>
        <w:t xml:space="preserve"> NVO „Građanski aktivizam“ iz Podgorice.</w:t>
      </w:r>
    </w:p>
    <w:p w14:paraId="24DAA857" w14:textId="77777777" w:rsidR="004F6023" w:rsidRPr="00C86111" w:rsidRDefault="004F6023" w:rsidP="004F6023">
      <w:pPr>
        <w:jc w:val="both"/>
        <w:rPr>
          <w:rFonts w:asciiTheme="minorHAnsi" w:hAnsiTheme="minorHAnsi" w:cstheme="minorHAnsi"/>
          <w:szCs w:val="24"/>
        </w:rPr>
      </w:pPr>
    </w:p>
    <w:p w14:paraId="7378D57D"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Edukativne kampanje o bezbjednom upravljanju dugotrajnim organskim zagađujućim supstancama (POPs) imaju ključnu ulogu u zaštiti zdravlja ljudi i očuvanju životne sredine. One omogućavaju građanima, lokalnim zajednicama i institucijama da prepoznaju rizike povezane sa opasnim hemikalijama. Osim što podižu svijest i jačaju kapacitet lokalnih aktera, ovakve inicijative doprinose i usklađivanju nacionalnih praksi sa međunarodnim i EU standardima, što je od posebnog značaja za Crnu Goru u kontekstu njenog daljeg razvoja i integracije u Evropsku uniju.</w:t>
      </w:r>
    </w:p>
    <w:p w14:paraId="2429DEF0" w14:textId="77777777" w:rsidR="004F6023" w:rsidRPr="00C86111" w:rsidRDefault="004F6023" w:rsidP="00EA6904">
      <w:pPr>
        <w:pStyle w:val="Heading3"/>
        <w:rPr>
          <w:rStyle w:val="Strong"/>
          <w:b/>
          <w:bCs/>
        </w:rPr>
      </w:pPr>
      <w:bookmarkStart w:id="478" w:name="_Toc220542008"/>
      <w:r w:rsidRPr="00C86111">
        <w:rPr>
          <w:rStyle w:val="Strong"/>
          <w:bCs/>
        </w:rPr>
        <w:t>Projekti izrade i ažuriranja Nacionalnog implementacionog plana (NIP) za implementaciju Stokhoklmske konvencije u Crnoj Gori</w:t>
      </w:r>
      <w:bookmarkEnd w:id="478"/>
    </w:p>
    <w:p w14:paraId="27B25A74" w14:textId="77777777" w:rsidR="004F6023" w:rsidRPr="00C86111" w:rsidRDefault="004F6023" w:rsidP="004F6023">
      <w:pPr>
        <w:pStyle w:val="NormalWeb"/>
        <w:jc w:val="both"/>
        <w:rPr>
          <w:rFonts w:asciiTheme="minorHAnsi" w:hAnsiTheme="minorHAnsi" w:cstheme="minorHAnsi"/>
        </w:rPr>
      </w:pPr>
      <w:r w:rsidRPr="00C86111">
        <w:rPr>
          <w:rFonts w:asciiTheme="minorHAnsi" w:hAnsiTheme="minorHAnsi" w:cstheme="minorHAnsi"/>
        </w:rPr>
        <w:t>Crna Gora je u kontinuitetu radila na izradi i ažuriranju Nacionalnih implementacionih planova (NIP) u skladu sa obavezama Stokholmske konvencije. NIP predstavlja osnovni strateški dokument kojim se identifikuju izvori zagađenja, prioritetne mjere, institucionalni i finansijski mehanizmi za upravljanje POPs hemikalijama.</w:t>
      </w:r>
    </w:p>
    <w:p w14:paraId="0044DE8C" w14:textId="77777777" w:rsidR="004F6023" w:rsidRPr="00C86111" w:rsidRDefault="004F6023" w:rsidP="004F6023">
      <w:pPr>
        <w:pStyle w:val="NormalWeb"/>
        <w:jc w:val="both"/>
        <w:rPr>
          <w:rFonts w:asciiTheme="minorHAnsi" w:hAnsiTheme="minorHAnsi" w:cstheme="minorHAnsi"/>
        </w:rPr>
      </w:pPr>
      <w:r w:rsidRPr="00C86111">
        <w:rPr>
          <w:rStyle w:val="Strong"/>
          <w:rFonts w:asciiTheme="minorHAnsi" w:hAnsiTheme="minorHAnsi" w:cstheme="minorHAnsi"/>
        </w:rPr>
        <w:t>NIP iz 2013</w:t>
      </w:r>
      <w:r w:rsidRPr="00C86111">
        <w:rPr>
          <w:rFonts w:asciiTheme="minorHAnsi" w:hAnsiTheme="minorHAnsi" w:cstheme="minorHAnsi"/>
        </w:rPr>
        <w:t xml:space="preserve"> bio je prvi dokument ove vrste u Crnoj Gori, kojim su definisane početne obaveze i procijenjene količine PCB opreme i otpada.</w:t>
      </w:r>
    </w:p>
    <w:p w14:paraId="6D1A627E" w14:textId="77777777" w:rsidR="004F6023" w:rsidRPr="00C86111" w:rsidRDefault="004F6023" w:rsidP="004F6023">
      <w:pPr>
        <w:pStyle w:val="NormalWeb"/>
        <w:jc w:val="both"/>
        <w:rPr>
          <w:rFonts w:asciiTheme="minorHAnsi" w:hAnsiTheme="minorHAnsi" w:cstheme="minorHAnsi"/>
        </w:rPr>
      </w:pPr>
      <w:r w:rsidRPr="00C86111">
        <w:rPr>
          <w:rStyle w:val="Strong"/>
          <w:rFonts w:asciiTheme="minorHAnsi" w:hAnsiTheme="minorHAnsi" w:cstheme="minorHAnsi"/>
        </w:rPr>
        <w:t>Projekat ažuriranja NIP-a (2016–2018)</w:t>
      </w:r>
      <w:r w:rsidRPr="00C86111">
        <w:rPr>
          <w:rFonts w:asciiTheme="minorHAnsi" w:hAnsiTheme="minorHAnsi" w:cstheme="minorHAnsi"/>
        </w:rPr>
        <w:t xml:space="preserve"> realizovan je uz podršku UNDP-a i GEF-a, a tehnički ga je sproveo Centar za ekotoksikološka ispitivanja (CETI). Rezultat ovog projekta bio je </w:t>
      </w:r>
      <w:r w:rsidRPr="00C86111">
        <w:rPr>
          <w:rStyle w:val="Strong"/>
          <w:rFonts w:asciiTheme="minorHAnsi" w:hAnsiTheme="minorHAnsi" w:cstheme="minorHAnsi"/>
        </w:rPr>
        <w:t>ažurirani NIP usvojen 2019. godine</w:t>
      </w:r>
      <w:r w:rsidRPr="00C86111">
        <w:rPr>
          <w:rFonts w:asciiTheme="minorHAnsi" w:hAnsiTheme="minorHAnsi" w:cstheme="minorHAnsi"/>
        </w:rPr>
        <w:t xml:space="preserve"> (za period 2019–2023), kojim su u plan uvrštene nove POPs supstance sa globalne liste, uvedeni zahtjevi za harmonizaciju sa EU regulativom, te definisane mjere za monitoring i izvještavanje.</w:t>
      </w:r>
    </w:p>
    <w:p w14:paraId="73EA7E31" w14:textId="77777777" w:rsidR="004F6023" w:rsidRPr="00C86111" w:rsidRDefault="004F6023" w:rsidP="004F6023">
      <w:pPr>
        <w:pStyle w:val="NormalWeb"/>
        <w:jc w:val="both"/>
        <w:rPr>
          <w:rFonts w:asciiTheme="minorHAnsi" w:hAnsiTheme="minorHAnsi" w:cstheme="minorHAnsi"/>
        </w:rPr>
      </w:pPr>
      <w:r w:rsidRPr="00C86111">
        <w:rPr>
          <w:rStyle w:val="Strong"/>
          <w:rFonts w:asciiTheme="minorHAnsi" w:hAnsiTheme="minorHAnsi" w:cstheme="minorHAnsi"/>
        </w:rPr>
        <w:t>Novi projekat (2022-2024)</w:t>
      </w:r>
      <w:r w:rsidRPr="00C86111">
        <w:rPr>
          <w:rFonts w:asciiTheme="minorHAnsi" w:hAnsiTheme="minorHAnsi" w:cstheme="minorHAnsi"/>
        </w:rPr>
        <w:t xml:space="preserve"> pokrenut je zahvaljujući podršci UNEP-a preko centra </w:t>
      </w:r>
      <w:r w:rsidRPr="00C86111">
        <w:rPr>
          <w:rStyle w:val="Strong"/>
          <w:rFonts w:asciiTheme="minorHAnsi" w:hAnsiTheme="minorHAnsi" w:cstheme="minorHAnsi"/>
        </w:rPr>
        <w:t>RECETOX</w:t>
      </w:r>
      <w:r w:rsidRPr="00C86111">
        <w:rPr>
          <w:rFonts w:asciiTheme="minorHAnsi" w:hAnsiTheme="minorHAnsi" w:cstheme="minorHAnsi"/>
        </w:rPr>
        <w:t xml:space="preserve"> iz Češke Republike, uz neposrednu realizaciju koju vodi CETI. Ovaj projekat ima za cilj pripremu </w:t>
      </w:r>
      <w:r w:rsidRPr="00C86111">
        <w:rPr>
          <w:rStyle w:val="Strong"/>
          <w:rFonts w:asciiTheme="minorHAnsi" w:hAnsiTheme="minorHAnsi" w:cstheme="minorHAnsi"/>
        </w:rPr>
        <w:t>sljedeće verzije NIP-a za period 2026–2028</w:t>
      </w:r>
      <w:r w:rsidRPr="00C86111">
        <w:rPr>
          <w:rFonts w:asciiTheme="minorHAnsi" w:hAnsiTheme="minorHAnsi" w:cstheme="minorHAnsi"/>
        </w:rPr>
        <w:t>, koja će:</w:t>
      </w:r>
    </w:p>
    <w:p w14:paraId="05F80EA6" w14:textId="77777777" w:rsidR="004F6023" w:rsidRPr="00C86111" w:rsidRDefault="004F6023" w:rsidP="00833A40">
      <w:pPr>
        <w:pStyle w:val="NormalWeb"/>
        <w:numPr>
          <w:ilvl w:val="0"/>
          <w:numId w:val="80"/>
        </w:numPr>
        <w:jc w:val="both"/>
        <w:rPr>
          <w:rFonts w:asciiTheme="minorHAnsi" w:hAnsiTheme="minorHAnsi" w:cstheme="minorHAnsi"/>
        </w:rPr>
      </w:pPr>
      <w:r w:rsidRPr="00C86111">
        <w:rPr>
          <w:rFonts w:asciiTheme="minorHAnsi" w:hAnsiTheme="minorHAnsi" w:cstheme="minorHAnsi"/>
        </w:rPr>
        <w:t>uključiti najnovije POPs supstance (PFAS, dicofol, decaBDE i druge),</w:t>
      </w:r>
    </w:p>
    <w:p w14:paraId="185698B3" w14:textId="77777777" w:rsidR="004F6023" w:rsidRPr="00C86111" w:rsidRDefault="004F6023" w:rsidP="00833A40">
      <w:pPr>
        <w:pStyle w:val="NormalWeb"/>
        <w:numPr>
          <w:ilvl w:val="0"/>
          <w:numId w:val="80"/>
        </w:numPr>
        <w:jc w:val="both"/>
        <w:rPr>
          <w:rFonts w:asciiTheme="minorHAnsi" w:hAnsiTheme="minorHAnsi" w:cstheme="minorHAnsi"/>
        </w:rPr>
      </w:pPr>
      <w:r w:rsidRPr="00C86111">
        <w:rPr>
          <w:rFonts w:asciiTheme="minorHAnsi" w:hAnsiTheme="minorHAnsi" w:cstheme="minorHAnsi"/>
        </w:rPr>
        <w:t>reflektovati rezultate završenih i tekućih projekata (PCB, MedProgramme, edukacije i zakonodavne reforme),</w:t>
      </w:r>
    </w:p>
    <w:p w14:paraId="4D2CCCD0" w14:textId="77777777" w:rsidR="004F6023" w:rsidRPr="00C86111" w:rsidRDefault="004F6023" w:rsidP="00833A40">
      <w:pPr>
        <w:pStyle w:val="NormalWeb"/>
        <w:numPr>
          <w:ilvl w:val="0"/>
          <w:numId w:val="80"/>
        </w:numPr>
        <w:jc w:val="both"/>
        <w:rPr>
          <w:rFonts w:asciiTheme="minorHAnsi" w:hAnsiTheme="minorHAnsi" w:cstheme="minorHAnsi"/>
        </w:rPr>
      </w:pPr>
      <w:r w:rsidRPr="00C86111">
        <w:rPr>
          <w:rFonts w:asciiTheme="minorHAnsi" w:hAnsiTheme="minorHAnsi" w:cstheme="minorHAnsi"/>
        </w:rPr>
        <w:t>definisati nove prioritete za remedijaciju kontaminiranih lokacija i tretman otpada,</w:t>
      </w:r>
    </w:p>
    <w:p w14:paraId="4ABA33D5" w14:textId="77777777" w:rsidR="004F6023" w:rsidRPr="00C86111" w:rsidRDefault="004F6023" w:rsidP="00833A40">
      <w:pPr>
        <w:pStyle w:val="NormalWeb"/>
        <w:numPr>
          <w:ilvl w:val="0"/>
          <w:numId w:val="80"/>
        </w:numPr>
        <w:jc w:val="both"/>
        <w:rPr>
          <w:rFonts w:asciiTheme="minorHAnsi" w:hAnsiTheme="minorHAnsi" w:cstheme="minorHAnsi"/>
        </w:rPr>
      </w:pPr>
      <w:r w:rsidRPr="00C86111">
        <w:rPr>
          <w:rFonts w:asciiTheme="minorHAnsi" w:hAnsiTheme="minorHAnsi" w:cstheme="minorHAnsi"/>
        </w:rPr>
        <w:lastRenderedPageBreak/>
        <w:t>postaviti okvir za trajni monitoring i izvještavanje prema Stokholmskoj, BRS i Minamata konvencijama,</w:t>
      </w:r>
    </w:p>
    <w:p w14:paraId="64635E46" w14:textId="77777777" w:rsidR="004F6023" w:rsidRPr="00C86111" w:rsidRDefault="004F6023" w:rsidP="00833A40">
      <w:pPr>
        <w:pStyle w:val="NormalWeb"/>
        <w:numPr>
          <w:ilvl w:val="0"/>
          <w:numId w:val="80"/>
        </w:numPr>
        <w:jc w:val="both"/>
        <w:rPr>
          <w:rFonts w:asciiTheme="minorHAnsi" w:hAnsiTheme="minorHAnsi" w:cstheme="minorHAnsi"/>
        </w:rPr>
      </w:pPr>
      <w:r w:rsidRPr="00C86111">
        <w:rPr>
          <w:rFonts w:asciiTheme="minorHAnsi" w:hAnsiTheme="minorHAnsi" w:cstheme="minorHAnsi"/>
        </w:rPr>
        <w:t>ojačati povezanost sa EU procesom u Poglavlju 27 i implementacijom EU Uredbe o POPs (2019/1021).</w:t>
      </w:r>
    </w:p>
    <w:p w14:paraId="532492D9" w14:textId="77777777" w:rsidR="004F6023" w:rsidRPr="00C86111" w:rsidRDefault="004F6023" w:rsidP="004F6023">
      <w:pPr>
        <w:pStyle w:val="NormalWeb"/>
        <w:jc w:val="both"/>
        <w:rPr>
          <w:rFonts w:asciiTheme="minorHAnsi" w:hAnsiTheme="minorHAnsi" w:cstheme="minorHAnsi"/>
        </w:rPr>
      </w:pPr>
      <w:r w:rsidRPr="00C86111">
        <w:rPr>
          <w:rFonts w:asciiTheme="minorHAnsi" w:hAnsiTheme="minorHAnsi" w:cstheme="minorHAnsi"/>
        </w:rPr>
        <w:t>Realizacija ovog projekta obezbijediće Crnoj Gori da na sistematičan način planira mjere i projekte u narednom trogodišnjem periodu (2026–2028), čime se osigurava kontinuitet u sprovođenju međunarodnih obaveza i približavanju evropskim standardima u oblasti zaštite životne sredine.</w:t>
      </w:r>
    </w:p>
    <w:p w14:paraId="6CA8F98F" w14:textId="77777777" w:rsidR="004F6023" w:rsidRPr="00C86111" w:rsidRDefault="004F6023" w:rsidP="00EA6904">
      <w:pPr>
        <w:pStyle w:val="Heading3"/>
      </w:pPr>
      <w:bookmarkStart w:id="479" w:name="_Toc220542009"/>
      <w:r w:rsidRPr="00C86111">
        <w:t>Preporuke za planiranje budućih projekata u oblasti POPs hemikalija u Crnoj Gori</w:t>
      </w:r>
      <w:bookmarkEnd w:id="479"/>
    </w:p>
    <w:p w14:paraId="297AD059" w14:textId="77777777" w:rsidR="004F6023" w:rsidRPr="00C86111" w:rsidRDefault="004F6023" w:rsidP="004F6023">
      <w:pPr>
        <w:jc w:val="both"/>
        <w:rPr>
          <w:rFonts w:asciiTheme="minorHAnsi" w:hAnsiTheme="minorHAnsi" w:cstheme="minorHAnsi"/>
          <w:b/>
          <w:szCs w:val="24"/>
        </w:rPr>
      </w:pPr>
    </w:p>
    <w:p w14:paraId="6797A14C"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U cilju zaštite zdravlja ljudi i životne sredine, te ispunjavanja međunarodnih obaveza u skladu sa EU standardima i globalnim konvencijama, budući projekti u oblasti POPs hemikalija i otpada trebalo bi da budu planirani na način da obezbijede sistemski i održiv pristup.</w:t>
      </w:r>
    </w:p>
    <w:p w14:paraId="3F13DEF0" w14:textId="77777777" w:rsidR="004F6023" w:rsidRPr="00C86111" w:rsidRDefault="004F6023" w:rsidP="004F6023">
      <w:pPr>
        <w:jc w:val="both"/>
        <w:rPr>
          <w:rFonts w:asciiTheme="minorHAnsi" w:hAnsiTheme="minorHAnsi" w:cstheme="minorHAnsi"/>
          <w:szCs w:val="24"/>
        </w:rPr>
      </w:pPr>
    </w:p>
    <w:p w14:paraId="785C807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Za održivo i efikasno upravljanje POPs hemikalijama u Crnoj Gori preporučuje se uspostavljanje trajnog nacionalnog sistema koji bi obuhvatio institucionalno jačanje i koordinaciju nadležnih tijela. Ključni korak u tom procesu je formiranje stalne jedinice unutar Agencije za zaštitu životne sredine, koja bi bila zadužena za centralizovano planiranje, praćenje i izvještavanje. Ova jedinica bi upravljala sveobuhvatnim registrom POPs hemikalija, otpada i opreme, koji bi se redovno ažurirao i koristio kao osnova za donošenje politika i strateških odluka.</w:t>
      </w:r>
    </w:p>
    <w:p w14:paraId="0FB948EC" w14:textId="77777777" w:rsidR="004F6023" w:rsidRPr="00C86111" w:rsidRDefault="004F6023" w:rsidP="004F6023">
      <w:pPr>
        <w:jc w:val="both"/>
        <w:rPr>
          <w:rFonts w:asciiTheme="minorHAnsi" w:hAnsiTheme="minorHAnsi" w:cstheme="minorHAnsi"/>
          <w:szCs w:val="24"/>
        </w:rPr>
      </w:pPr>
    </w:p>
    <w:p w14:paraId="522F4A98"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Poseban fokus treba usmjeriti na unapređenje nacionalnih inventara i sistema monitoringa. To podrazumijeva kontinuirano ažuriranje podataka, uključivanje novih supstanci sa globalnih lista i uspostavljanje pouzdane baze podataka o zalihama, otpadu i industrijskim emisijama. Redovno izvještavanje u skladu sa zahtjevima Stokholmske konvencije i evropskim standardima trebalo bi da postane sastavni dio ovog sistema.</w:t>
      </w:r>
    </w:p>
    <w:p w14:paraId="7B4D8048" w14:textId="77777777" w:rsidR="004F6023" w:rsidRPr="00C86111" w:rsidRDefault="004F6023" w:rsidP="004F6023">
      <w:pPr>
        <w:jc w:val="both"/>
        <w:rPr>
          <w:rFonts w:asciiTheme="minorHAnsi" w:hAnsiTheme="minorHAnsi" w:cstheme="minorHAnsi"/>
          <w:szCs w:val="24"/>
        </w:rPr>
      </w:pPr>
    </w:p>
    <w:p w14:paraId="673F4CE7"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Dalji razvoj infrastrukture za tretman i skladištenje POPs otpada predstavlja još jedan prioritet, uz razmatranje mogućnosti regionalne saradnje radi smanjenja troškova i povećanja efikasnosti zbrinjavanja. Istovremeno, potrebno je kontinuirano jačati kapacitete institucija, inspekcijskih službi i laboratorija kroz obuke, nabavku moderne opreme i razvoj metodologija za identifikaciju i kontrolu POPs hemikalija.</w:t>
      </w:r>
    </w:p>
    <w:p w14:paraId="027638C7" w14:textId="77777777" w:rsidR="004F6023" w:rsidRPr="00C86111" w:rsidRDefault="004F6023" w:rsidP="004F6023">
      <w:pPr>
        <w:jc w:val="both"/>
        <w:rPr>
          <w:rFonts w:asciiTheme="minorHAnsi" w:hAnsiTheme="minorHAnsi" w:cstheme="minorHAnsi"/>
          <w:szCs w:val="24"/>
        </w:rPr>
      </w:pPr>
    </w:p>
    <w:p w14:paraId="0C6CCB44"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Podizanje svijesti javnosti i edukacija su neophodni elementi dugoročnog upravljanja. Preporučuje se proširenje edukativnih kampanja na škole, univerzitete, industriju i lokalne zajednice, kao i razvoj digitalnih platformi i e-learning programa. Uvođenje tema o POPs hemikalijama u obrazovne programe doprinijelo bi stvaranju šire društvene odgovornosti i razumijevanja ovog pitanja.</w:t>
      </w:r>
    </w:p>
    <w:p w14:paraId="44BEA02F" w14:textId="77777777" w:rsidR="004F6023" w:rsidRPr="00C86111" w:rsidRDefault="004F6023" w:rsidP="004F6023">
      <w:pPr>
        <w:jc w:val="both"/>
        <w:rPr>
          <w:rFonts w:asciiTheme="minorHAnsi" w:hAnsiTheme="minorHAnsi" w:cstheme="minorHAnsi"/>
          <w:szCs w:val="24"/>
        </w:rPr>
      </w:pPr>
    </w:p>
    <w:p w14:paraId="6014098C"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Kako bi se osiguralo usklađivanje sa međunarodnim obavezama, potrebno je dalje harmonizovati zakonodavstvo sa EU Uredbom o POPs (EU 2019/1021) i relevantnim konvencijama. Paralelno, preporučuje se pružanje tehničkih i finansijskih podsticaja privatnom sektoru za zamjenu opreme i primjenu inovativnih tehnologija dekontaminacije i reciklaže.</w:t>
      </w:r>
    </w:p>
    <w:p w14:paraId="7BBF32A5" w14:textId="77777777" w:rsidR="004F6023" w:rsidRPr="00C86111" w:rsidRDefault="004F6023" w:rsidP="004F6023">
      <w:pPr>
        <w:jc w:val="both"/>
        <w:rPr>
          <w:rFonts w:asciiTheme="minorHAnsi" w:hAnsiTheme="minorHAnsi" w:cstheme="minorHAnsi"/>
          <w:szCs w:val="24"/>
        </w:rPr>
      </w:pPr>
    </w:p>
    <w:p w14:paraId="7106EEA2"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Važan aspekt budućih aktivnosti je i jačanje saradnje sa nevladinim sektorom, međunarodnim organizacijama (UNEP, ECHA, FAO) i regionalnim mrežama, što može doprinijeti bržoj i kvalitetnijoj implementaciji mjera. Projekti u ovoj oblasti trebalo bi da budu integrisani u šire okvire zaštite životne sredine, posebno u segmentima otpada, hemikalija i održivog razvoja.</w:t>
      </w:r>
    </w:p>
    <w:p w14:paraId="31FD9F15" w14:textId="77777777" w:rsidR="004F6023" w:rsidRPr="00C86111" w:rsidRDefault="004F6023" w:rsidP="004F6023">
      <w:pPr>
        <w:jc w:val="both"/>
        <w:rPr>
          <w:rFonts w:asciiTheme="minorHAnsi" w:hAnsiTheme="minorHAnsi" w:cstheme="minorHAnsi"/>
          <w:szCs w:val="24"/>
        </w:rPr>
      </w:pPr>
    </w:p>
    <w:p w14:paraId="69CCC790"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Konačno, preporučuje se uspostavljanje sistema evaluacije i indikatora za mjerenje efekata sprovedenih projekata, kao i razvoj platformi za javno praćenje stanja POPs hemikalija. Aktivno uključivanje građana i civilnog sektora u procese donošenja odluka dodatno bi povećalo transparentnost i dugoročnu održivost svih aktivnosti.</w:t>
      </w:r>
    </w:p>
    <w:p w14:paraId="7010BE78" w14:textId="77777777" w:rsidR="004F6023" w:rsidRPr="00C86111" w:rsidRDefault="004F6023" w:rsidP="004F6023">
      <w:pPr>
        <w:jc w:val="both"/>
        <w:rPr>
          <w:rFonts w:asciiTheme="minorHAnsi" w:hAnsiTheme="minorHAnsi" w:cstheme="minorHAnsi"/>
          <w:szCs w:val="24"/>
        </w:rPr>
      </w:pPr>
    </w:p>
    <w:p w14:paraId="4D67F5A8" w14:textId="77777777" w:rsidR="004F6023" w:rsidRPr="00C86111" w:rsidRDefault="004F6023" w:rsidP="004F6023">
      <w:pPr>
        <w:jc w:val="both"/>
        <w:rPr>
          <w:rFonts w:asciiTheme="minorHAnsi" w:hAnsiTheme="minorHAnsi" w:cstheme="minorHAnsi"/>
          <w:szCs w:val="24"/>
        </w:rPr>
      </w:pPr>
      <w:r w:rsidRPr="00C86111">
        <w:rPr>
          <w:rFonts w:asciiTheme="minorHAnsi" w:hAnsiTheme="minorHAnsi" w:cstheme="minorHAnsi"/>
          <w:szCs w:val="24"/>
        </w:rPr>
        <w:t>Ove preporuke su usmjerene na sistemski i održiv pristup upravljanju POPs hemikalijama u Crnoj Gori, sa ciljem zaštite zdravlja ljudi i životne sredine u skladu sa međunarodnim standardima.</w:t>
      </w:r>
    </w:p>
    <w:p w14:paraId="7DBC4DA0" w14:textId="0465BD5A" w:rsidR="004F6023" w:rsidRPr="00C86111" w:rsidRDefault="004F6023" w:rsidP="00912C4C">
      <w:pPr>
        <w:pStyle w:val="Heading1"/>
      </w:pPr>
      <w:bookmarkStart w:id="480" w:name="_Toc220542010"/>
      <w:r w:rsidRPr="00C86111">
        <w:t>Procjena napretka u odnosu na prethodne NIP-ove i zvanične evidencije</w:t>
      </w:r>
      <w:bookmarkEnd w:id="480"/>
    </w:p>
    <w:p w14:paraId="3BFAE0BF" w14:textId="77777777" w:rsidR="004F6023" w:rsidRPr="00C86111" w:rsidRDefault="004F6023" w:rsidP="004F6023">
      <w:pPr>
        <w:jc w:val="both"/>
        <w:rPr>
          <w:rFonts w:asciiTheme="minorHAnsi" w:hAnsiTheme="minorHAnsi" w:cstheme="minorHAnsi"/>
          <w:b/>
          <w:bCs/>
          <w:szCs w:val="24"/>
          <w:lang w:val="en-GB"/>
        </w:rPr>
      </w:pPr>
    </w:p>
    <w:p w14:paraId="228CCF56"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b/>
          <w:bCs/>
          <w:szCs w:val="24"/>
          <w:lang w:val="en-GB"/>
        </w:rPr>
        <w:t>Metod:</w:t>
      </w:r>
      <w:r w:rsidRPr="00C86111">
        <w:rPr>
          <w:rFonts w:asciiTheme="minorHAnsi" w:hAnsiTheme="minorHAnsi" w:cstheme="minorHAnsi"/>
          <w:szCs w:val="24"/>
          <w:lang w:val="en-GB"/>
        </w:rPr>
        <w:t xml:space="preserve"> upoređeni su prioriteti i mjere iz važećeg NIP-a za POPs (2019–2023) i starijeg NIP-a (2012), sa realizacijom prema završnim evaluacijama projekata, izvještajima institucija i međunarodnih programa. </w:t>
      </w:r>
    </w:p>
    <w:p w14:paraId="0EFAE8D1" w14:textId="77777777" w:rsidR="004F6023" w:rsidRPr="00C86111" w:rsidRDefault="004F6023" w:rsidP="004F6023">
      <w:pPr>
        <w:jc w:val="both"/>
        <w:rPr>
          <w:rFonts w:asciiTheme="minorHAnsi" w:hAnsiTheme="minorHAnsi" w:cstheme="minorHAnsi"/>
          <w:b/>
          <w:bCs/>
          <w:szCs w:val="24"/>
          <w:lang w:val="en-GB"/>
        </w:rPr>
      </w:pPr>
    </w:p>
    <w:p w14:paraId="4AC253D8" w14:textId="77777777" w:rsidR="004F6023" w:rsidRPr="00C86111" w:rsidRDefault="004F6023" w:rsidP="004F6023">
      <w:pPr>
        <w:rPr>
          <w:b/>
          <w:bCs/>
          <w:color w:val="002060"/>
          <w:lang w:val="en-GB"/>
        </w:rPr>
      </w:pPr>
      <w:r w:rsidRPr="00C86111">
        <w:rPr>
          <w:b/>
          <w:bCs/>
          <w:color w:val="002060"/>
          <w:lang w:val="en-GB"/>
        </w:rPr>
        <w:t>Sažetak nalaza (2019–2023):</w:t>
      </w:r>
    </w:p>
    <w:p w14:paraId="1C176EF8" w14:textId="77777777" w:rsidR="004F6023" w:rsidRPr="00C86111" w:rsidRDefault="004F6023" w:rsidP="004F6023">
      <w:pPr>
        <w:rPr>
          <w:b/>
          <w:bCs/>
          <w:color w:val="002060"/>
          <w:lang w:val="en-GB"/>
        </w:rPr>
      </w:pPr>
    </w:p>
    <w:p w14:paraId="4A08F057" w14:textId="77777777" w:rsidR="004F6023" w:rsidRPr="00C86111" w:rsidRDefault="004F6023" w:rsidP="00833A40">
      <w:pPr>
        <w:numPr>
          <w:ilvl w:val="0"/>
          <w:numId w:val="74"/>
        </w:numPr>
        <w:jc w:val="both"/>
        <w:rPr>
          <w:rFonts w:asciiTheme="minorHAnsi" w:hAnsiTheme="minorHAnsi" w:cstheme="minorHAnsi"/>
          <w:szCs w:val="24"/>
          <w:lang w:val="en-GB"/>
        </w:rPr>
      </w:pPr>
      <w:r w:rsidRPr="00C86111">
        <w:rPr>
          <w:rFonts w:asciiTheme="minorHAnsi" w:hAnsiTheme="minorHAnsi" w:cstheme="minorHAnsi"/>
          <w:szCs w:val="24"/>
          <w:lang w:val="en-GB"/>
        </w:rPr>
        <w:t>U NIP ciklusu 2019–2023 evidentiran je napredak, uz otvorena pitanja u otpadu i prirodi.</w:t>
      </w:r>
      <w:r w:rsidRPr="00C86111">
        <w:rPr>
          <w:rStyle w:val="FootnoteReference"/>
          <w:rFonts w:cstheme="minorHAnsi"/>
          <w:szCs w:val="24"/>
          <w:lang w:val="en-GB"/>
        </w:rPr>
        <w:footnoteReference w:id="7"/>
      </w:r>
    </w:p>
    <w:p w14:paraId="53F9280D" w14:textId="77777777" w:rsidR="004F6023" w:rsidRPr="00C86111" w:rsidRDefault="004F6023" w:rsidP="00833A40">
      <w:pPr>
        <w:numPr>
          <w:ilvl w:val="0"/>
          <w:numId w:val="74"/>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U domenu PCB/POPs postignuti su ključni rezultati kroz UNDP/GEF projekat: uspostavljen i digitalizovan inventar (≈5.000 uzoraka/analiza), uklonjeno i zbrinuto </w:t>
      </w:r>
      <w:r w:rsidRPr="00C86111">
        <w:rPr>
          <w:rFonts w:asciiTheme="minorHAnsi" w:hAnsiTheme="minorHAnsi" w:cstheme="minorHAnsi"/>
          <w:b/>
          <w:bCs/>
          <w:szCs w:val="24"/>
          <w:lang w:val="en-GB"/>
        </w:rPr>
        <w:t>≈555 t</w:t>
      </w:r>
      <w:r w:rsidRPr="00C86111">
        <w:rPr>
          <w:rFonts w:asciiTheme="minorHAnsi" w:hAnsiTheme="minorHAnsi" w:cstheme="minorHAnsi"/>
          <w:szCs w:val="24"/>
          <w:lang w:val="en-GB"/>
        </w:rPr>
        <w:t xml:space="preserve"> čvrstog otpada/ulja/opreme sa PCB i </w:t>
      </w:r>
      <w:r w:rsidRPr="00C86111">
        <w:rPr>
          <w:rFonts w:asciiTheme="minorHAnsi" w:hAnsiTheme="minorHAnsi" w:cstheme="minorHAnsi"/>
          <w:b/>
          <w:bCs/>
          <w:szCs w:val="24"/>
          <w:lang w:val="en-GB"/>
        </w:rPr>
        <w:t>≈1.050 t</w:t>
      </w:r>
      <w:r w:rsidRPr="00C86111">
        <w:rPr>
          <w:rFonts w:asciiTheme="minorHAnsi" w:hAnsiTheme="minorHAnsi" w:cstheme="minorHAnsi"/>
          <w:szCs w:val="24"/>
          <w:lang w:val="en-GB"/>
        </w:rPr>
        <w:t xml:space="preserve"> kontaminisanog zemljišta. Ovi rezultati prevazilaze početne planove iz NIP-a i PIF procjena.</w:t>
      </w:r>
      <w:r w:rsidRPr="00C86111">
        <w:rPr>
          <w:rStyle w:val="FootnoteReference"/>
          <w:rFonts w:cstheme="minorHAnsi"/>
          <w:szCs w:val="24"/>
          <w:lang w:val="en-GB"/>
        </w:rPr>
        <w:footnoteReference w:id="8"/>
      </w:r>
    </w:p>
    <w:p w14:paraId="18824A86" w14:textId="77777777" w:rsidR="004F6023" w:rsidRPr="00C86111" w:rsidRDefault="004F6023" w:rsidP="00833A40">
      <w:pPr>
        <w:numPr>
          <w:ilvl w:val="0"/>
          <w:numId w:val="74"/>
        </w:numPr>
        <w:jc w:val="both"/>
        <w:rPr>
          <w:rFonts w:asciiTheme="minorHAnsi" w:hAnsiTheme="minorHAnsi" w:cstheme="minorHAnsi"/>
          <w:szCs w:val="24"/>
          <w:lang w:val="en-GB"/>
        </w:rPr>
      </w:pPr>
      <w:r w:rsidRPr="00C86111">
        <w:rPr>
          <w:rFonts w:asciiTheme="minorHAnsi" w:hAnsiTheme="minorHAnsi" w:cstheme="minorHAnsi"/>
          <w:szCs w:val="24"/>
          <w:lang w:val="en-GB"/>
        </w:rPr>
        <w:t>Prema državnim i međunarodnim izvorima, procijenjene početne količine PCB-opreme/otpada (≈518 t + &gt;200 t kontaminiranog zemlji</w:t>
      </w:r>
      <w:r w:rsidRPr="00C86111">
        <w:rPr>
          <w:rFonts w:asciiTheme="minorHAnsi" w:hAnsiTheme="minorHAnsi" w:cstheme="minorHAnsi"/>
          <w:szCs w:val="24"/>
          <w:lang w:val="sr-Latn-ME"/>
        </w:rPr>
        <w:t>šta</w:t>
      </w:r>
      <w:r w:rsidRPr="00C86111">
        <w:rPr>
          <w:rFonts w:asciiTheme="minorHAnsi" w:hAnsiTheme="minorHAnsi" w:cstheme="minorHAnsi"/>
          <w:szCs w:val="24"/>
          <w:lang w:val="en-GB"/>
        </w:rPr>
        <w:t>) iz ranijih NIP i PIF faza postepeno su adresirane kroz projekte i izvoz opasnog otpada.</w:t>
      </w:r>
      <w:r w:rsidRPr="00C86111">
        <w:rPr>
          <w:rStyle w:val="FootnoteReference"/>
          <w:rFonts w:cstheme="minorHAnsi"/>
          <w:szCs w:val="24"/>
          <w:lang w:val="en-GB"/>
        </w:rPr>
        <w:footnoteReference w:id="9"/>
      </w:r>
    </w:p>
    <w:p w14:paraId="5971BB50" w14:textId="77777777" w:rsidR="004F6023" w:rsidRPr="00C86111" w:rsidRDefault="004F6023" w:rsidP="00833A40">
      <w:pPr>
        <w:numPr>
          <w:ilvl w:val="0"/>
          <w:numId w:val="74"/>
        </w:numPr>
        <w:jc w:val="both"/>
        <w:rPr>
          <w:rFonts w:asciiTheme="minorHAnsi" w:hAnsiTheme="minorHAnsi" w:cstheme="minorHAnsi"/>
          <w:szCs w:val="24"/>
          <w:lang w:val="en-GB"/>
        </w:rPr>
      </w:pPr>
      <w:r w:rsidRPr="00C86111">
        <w:rPr>
          <w:rFonts w:asciiTheme="minorHAnsi" w:hAnsiTheme="minorHAnsi" w:cstheme="minorHAnsi"/>
          <w:szCs w:val="24"/>
          <w:lang w:val="en-GB"/>
        </w:rPr>
        <w:t>Trendovi izvoza opasnog otpada pokazuju kontinuirano rješavanje zaostalih tokova.</w:t>
      </w:r>
      <w:r w:rsidRPr="00C86111">
        <w:rPr>
          <w:rStyle w:val="FootnoteReference"/>
          <w:rFonts w:cstheme="minorHAnsi"/>
          <w:szCs w:val="24"/>
          <w:lang w:val="en-GB"/>
        </w:rPr>
        <w:footnoteReference w:id="10"/>
      </w:r>
    </w:p>
    <w:p w14:paraId="7B2BD496" w14:textId="77777777" w:rsidR="004F6023" w:rsidRPr="00C86111" w:rsidRDefault="004F6023" w:rsidP="00EA6904">
      <w:pPr>
        <w:pStyle w:val="Heading3"/>
      </w:pPr>
    </w:p>
    <w:p w14:paraId="5B87673E" w14:textId="77777777" w:rsidR="004F6023" w:rsidRPr="00C86111" w:rsidRDefault="004F6023" w:rsidP="004F6023">
      <w:pPr>
        <w:rPr>
          <w:b/>
          <w:bCs/>
          <w:color w:val="002060"/>
          <w:lang w:val="en-GB"/>
        </w:rPr>
      </w:pPr>
      <w:r w:rsidRPr="00C86111">
        <w:rPr>
          <w:b/>
          <w:bCs/>
          <w:color w:val="002060"/>
          <w:lang w:val="en-GB"/>
        </w:rPr>
        <w:t>Napredak po ključnim oblastima (rezime):</w:t>
      </w:r>
    </w:p>
    <w:p w14:paraId="74908CF6" w14:textId="77777777" w:rsidR="004F6023" w:rsidRPr="00C86111" w:rsidRDefault="004F6023" w:rsidP="004F6023">
      <w:pPr>
        <w:jc w:val="both"/>
        <w:rPr>
          <w:rFonts w:asciiTheme="minorHAnsi" w:hAnsiTheme="minorHAnsi" w:cstheme="minorHAnsi"/>
          <w:szCs w:val="24"/>
          <w:lang w:val="en-GB"/>
        </w:rPr>
      </w:pPr>
    </w:p>
    <w:p w14:paraId="687CB898" w14:textId="77777777" w:rsidR="004F6023" w:rsidRPr="00C86111" w:rsidRDefault="004F6023" w:rsidP="00833A40">
      <w:pPr>
        <w:numPr>
          <w:ilvl w:val="0"/>
          <w:numId w:val="75"/>
        </w:numPr>
        <w:jc w:val="both"/>
        <w:rPr>
          <w:rFonts w:asciiTheme="minorHAnsi" w:hAnsiTheme="minorHAnsi" w:cstheme="minorHAnsi"/>
          <w:szCs w:val="24"/>
          <w:lang w:val="en-GB"/>
        </w:rPr>
      </w:pPr>
      <w:r w:rsidRPr="00C86111">
        <w:rPr>
          <w:rFonts w:asciiTheme="minorHAnsi" w:hAnsiTheme="minorHAnsi" w:cstheme="minorHAnsi"/>
          <w:b/>
          <w:bCs/>
          <w:szCs w:val="24"/>
          <w:lang w:val="en-GB"/>
        </w:rPr>
        <w:lastRenderedPageBreak/>
        <w:t>Inventar i evidencije:</w:t>
      </w:r>
      <w:r w:rsidRPr="00C86111">
        <w:rPr>
          <w:rFonts w:asciiTheme="minorHAnsi" w:hAnsiTheme="minorHAnsi" w:cstheme="minorHAnsi"/>
          <w:szCs w:val="24"/>
          <w:lang w:val="en-GB"/>
        </w:rPr>
        <w:t xml:space="preserve"> Nacionalni inventar PCB je uspostavljen i nadograđen; a (on-line rješenja iz projekta).</w:t>
      </w:r>
      <w:r w:rsidRPr="00C86111">
        <w:rPr>
          <w:rStyle w:val="FootnoteReference"/>
          <w:rFonts w:cstheme="minorHAnsi"/>
          <w:szCs w:val="24"/>
          <w:lang w:val="en-GB"/>
        </w:rPr>
        <w:footnoteReference w:id="11"/>
      </w:r>
    </w:p>
    <w:p w14:paraId="13C2898C" w14:textId="77777777" w:rsidR="004F6023" w:rsidRPr="00C86111" w:rsidRDefault="004F6023" w:rsidP="00833A40">
      <w:pPr>
        <w:numPr>
          <w:ilvl w:val="0"/>
          <w:numId w:val="75"/>
        </w:numPr>
        <w:jc w:val="both"/>
        <w:rPr>
          <w:rFonts w:asciiTheme="minorHAnsi" w:hAnsiTheme="minorHAnsi" w:cstheme="minorHAnsi"/>
          <w:szCs w:val="24"/>
          <w:lang w:val="en-GB"/>
        </w:rPr>
      </w:pPr>
      <w:r w:rsidRPr="00C86111">
        <w:rPr>
          <w:rFonts w:asciiTheme="minorHAnsi" w:hAnsiTheme="minorHAnsi" w:cstheme="minorHAnsi"/>
          <w:b/>
          <w:bCs/>
          <w:szCs w:val="24"/>
          <w:lang w:val="en-GB"/>
        </w:rPr>
        <w:t>Uklanjanje/odlaganje PCB:</w:t>
      </w:r>
      <w:r w:rsidRPr="00C86111">
        <w:rPr>
          <w:rFonts w:asciiTheme="minorHAnsi" w:hAnsiTheme="minorHAnsi" w:cstheme="minorHAnsi"/>
          <w:szCs w:val="24"/>
          <w:lang w:val="en-GB"/>
        </w:rPr>
        <w:t xml:space="preserve"> Velike količine su izvezene i zbrinute; slijedi dodatnih ~60–70 t kroz regionalni MedProgramme tender do kraja 2025.</w:t>
      </w:r>
      <w:r w:rsidRPr="00C86111">
        <w:rPr>
          <w:rStyle w:val="FootnoteReference"/>
          <w:rFonts w:cstheme="minorHAnsi"/>
          <w:szCs w:val="24"/>
          <w:lang w:val="en-GB"/>
        </w:rPr>
        <w:footnoteReference w:id="12"/>
      </w:r>
    </w:p>
    <w:p w14:paraId="292369AC" w14:textId="77777777" w:rsidR="004F6023" w:rsidRPr="00C86111" w:rsidRDefault="004F6023" w:rsidP="00833A40">
      <w:pPr>
        <w:numPr>
          <w:ilvl w:val="0"/>
          <w:numId w:val="75"/>
        </w:numPr>
        <w:jc w:val="both"/>
        <w:rPr>
          <w:rFonts w:asciiTheme="minorHAnsi" w:hAnsiTheme="minorHAnsi" w:cstheme="minorHAnsi"/>
          <w:szCs w:val="24"/>
          <w:lang w:val="en-GB"/>
        </w:rPr>
      </w:pPr>
      <w:r w:rsidRPr="00C86111">
        <w:rPr>
          <w:rFonts w:asciiTheme="minorHAnsi" w:hAnsiTheme="minorHAnsi" w:cstheme="minorHAnsi"/>
          <w:b/>
          <w:bCs/>
          <w:szCs w:val="24"/>
          <w:lang w:val="en-GB"/>
        </w:rPr>
        <w:t>Jačanje kapaciteta:</w:t>
      </w:r>
      <w:r w:rsidRPr="00C86111">
        <w:rPr>
          <w:rFonts w:asciiTheme="minorHAnsi" w:hAnsiTheme="minorHAnsi" w:cstheme="minorHAnsi"/>
          <w:szCs w:val="24"/>
          <w:lang w:val="en-GB"/>
        </w:rPr>
        <w:t xml:space="preserve"> Obuke industrije/inspekcija/laboratorija sprovedene u okviru projekata; i dalje je potreban stalni program i oprema.</w:t>
      </w:r>
      <w:r w:rsidRPr="00C86111">
        <w:rPr>
          <w:rStyle w:val="FootnoteReference"/>
          <w:rFonts w:cstheme="minorHAnsi"/>
          <w:szCs w:val="24"/>
          <w:lang w:val="en-GB"/>
        </w:rPr>
        <w:footnoteReference w:id="13"/>
      </w:r>
    </w:p>
    <w:p w14:paraId="4E99AC99" w14:textId="77777777" w:rsidR="004F6023" w:rsidRPr="00C86111" w:rsidRDefault="004F6023" w:rsidP="00833A40">
      <w:pPr>
        <w:numPr>
          <w:ilvl w:val="0"/>
          <w:numId w:val="75"/>
        </w:numPr>
        <w:jc w:val="both"/>
        <w:rPr>
          <w:rFonts w:asciiTheme="minorHAnsi" w:hAnsiTheme="minorHAnsi" w:cstheme="minorHAnsi"/>
          <w:szCs w:val="24"/>
          <w:lang w:val="en-GB"/>
        </w:rPr>
      </w:pPr>
      <w:r w:rsidRPr="00C86111">
        <w:rPr>
          <w:rFonts w:asciiTheme="minorHAnsi" w:hAnsiTheme="minorHAnsi" w:cstheme="minorHAnsi"/>
          <w:b/>
          <w:bCs/>
          <w:szCs w:val="24"/>
          <w:lang w:val="en-GB"/>
        </w:rPr>
        <w:t>Monitoring i “hot-spotovi”:</w:t>
      </w:r>
      <w:r w:rsidRPr="00C86111">
        <w:rPr>
          <w:rFonts w:asciiTheme="minorHAnsi" w:hAnsiTheme="minorHAnsi" w:cstheme="minorHAnsi"/>
          <w:szCs w:val="24"/>
          <w:lang w:val="en-GB"/>
        </w:rPr>
        <w:t xml:space="preserve"> Procjene morskih sedimenata u Boki potvrđuju prisustvo Hg/PAH/PCB na više lokacija; potrebni su dalji monitorinzi, planovi remedijacije i finansiranje.</w:t>
      </w:r>
    </w:p>
    <w:p w14:paraId="787F3D80" w14:textId="77777777" w:rsidR="004F6023" w:rsidRPr="00C86111" w:rsidRDefault="004F6023" w:rsidP="00833A40">
      <w:pPr>
        <w:numPr>
          <w:ilvl w:val="0"/>
          <w:numId w:val="75"/>
        </w:numPr>
        <w:jc w:val="both"/>
        <w:rPr>
          <w:rFonts w:asciiTheme="minorHAnsi" w:hAnsiTheme="minorHAnsi" w:cstheme="minorHAnsi"/>
          <w:szCs w:val="24"/>
          <w:lang w:val="en-GB"/>
        </w:rPr>
      </w:pPr>
      <w:r w:rsidRPr="00C86111">
        <w:rPr>
          <w:rFonts w:asciiTheme="minorHAnsi" w:hAnsiTheme="minorHAnsi" w:cstheme="minorHAnsi"/>
          <w:b/>
          <w:bCs/>
          <w:szCs w:val="24"/>
          <w:lang w:val="en-GB"/>
        </w:rPr>
        <w:t>Zakonodavstvo/usklađivanje:</w:t>
      </w:r>
      <w:r w:rsidRPr="00C86111">
        <w:rPr>
          <w:rFonts w:asciiTheme="minorHAnsi" w:hAnsiTheme="minorHAnsi" w:cstheme="minorHAnsi"/>
          <w:szCs w:val="24"/>
          <w:lang w:val="en-GB"/>
        </w:rPr>
        <w:t xml:space="preserve"> Donijet novi Zakon o upravljanju otpadom (2024) sa jačom transpozicijom EU pravila (uklj. POPs), kao i podzakonski akt i operativne procedure.</w:t>
      </w:r>
    </w:p>
    <w:p w14:paraId="4467421F" w14:textId="77777777" w:rsidR="004F6023" w:rsidRPr="00C86111" w:rsidRDefault="004F6023" w:rsidP="00833A40">
      <w:pPr>
        <w:numPr>
          <w:ilvl w:val="0"/>
          <w:numId w:val="75"/>
        </w:numPr>
        <w:jc w:val="both"/>
        <w:rPr>
          <w:rFonts w:asciiTheme="minorHAnsi" w:hAnsiTheme="minorHAnsi" w:cstheme="minorHAnsi"/>
          <w:szCs w:val="24"/>
          <w:lang w:val="en-GB"/>
        </w:rPr>
      </w:pPr>
      <w:r w:rsidRPr="00C86111">
        <w:rPr>
          <w:rFonts w:asciiTheme="minorHAnsi" w:hAnsiTheme="minorHAnsi" w:cstheme="minorHAnsi"/>
          <w:b/>
          <w:bCs/>
          <w:szCs w:val="24"/>
          <w:lang w:val="en-GB"/>
        </w:rPr>
        <w:t>Izvještavanje po konvencijama:</w:t>
      </w:r>
      <w:r w:rsidRPr="00C86111">
        <w:rPr>
          <w:rFonts w:asciiTheme="minorHAnsi" w:hAnsiTheme="minorHAnsi" w:cstheme="minorHAnsi"/>
          <w:szCs w:val="24"/>
          <w:lang w:val="en-GB"/>
        </w:rPr>
        <w:t xml:space="preserve"> Pokrenute aktivnosti za softver/procedure i obuke (BRS/Minamata), ali sistem treba institucionalizovati.</w:t>
      </w:r>
      <w:r w:rsidRPr="00C86111">
        <w:rPr>
          <w:rStyle w:val="FootnoteReference"/>
          <w:rFonts w:cstheme="minorHAnsi"/>
          <w:szCs w:val="24"/>
          <w:lang w:val="en-GB"/>
        </w:rPr>
        <w:footnoteReference w:id="14"/>
      </w:r>
      <w:r w:rsidRPr="00C86111">
        <w:rPr>
          <w:rFonts w:asciiTheme="minorHAnsi" w:hAnsiTheme="minorHAnsi" w:cstheme="minorHAnsi"/>
          <w:szCs w:val="24"/>
          <w:lang w:val="en-GB"/>
        </w:rPr>
        <w:t xml:space="preserve"> </w:t>
      </w:r>
    </w:p>
    <w:p w14:paraId="48608B62" w14:textId="77777777" w:rsidR="004F6023" w:rsidRPr="00C86111" w:rsidRDefault="004F6023" w:rsidP="004F6023">
      <w:pPr>
        <w:ind w:left="720"/>
        <w:jc w:val="both"/>
        <w:rPr>
          <w:rFonts w:asciiTheme="minorHAnsi" w:hAnsiTheme="minorHAnsi" w:cstheme="minorHAnsi"/>
          <w:szCs w:val="24"/>
          <w:lang w:val="en-GB"/>
        </w:rPr>
      </w:pPr>
    </w:p>
    <w:p w14:paraId="3AD00C90"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b/>
          <w:bCs/>
          <w:szCs w:val="24"/>
          <w:lang w:val="en-GB"/>
        </w:rPr>
        <w:t>Glavne prepreke:</w:t>
      </w:r>
      <w:r w:rsidRPr="00C86111">
        <w:rPr>
          <w:rFonts w:asciiTheme="minorHAnsi" w:hAnsiTheme="minorHAnsi" w:cstheme="minorHAnsi"/>
          <w:szCs w:val="24"/>
          <w:lang w:val="en-GB"/>
        </w:rPr>
        <w:t xml:space="preserve"> finansiranje remedijacije i izvoza “istorijskog” otpada; složene prekogranične procedure (Bazelska) u slučaju uklanjanja i izvoza otpada; nedostatak trajnih kapaciteta za monitoring/izvještavanje.</w:t>
      </w:r>
    </w:p>
    <w:p w14:paraId="5A7EC19C" w14:textId="77777777" w:rsidR="004F6023" w:rsidRDefault="004F6023" w:rsidP="004F6023">
      <w:pPr>
        <w:jc w:val="both"/>
        <w:rPr>
          <w:rFonts w:asciiTheme="minorHAnsi" w:hAnsiTheme="minorHAnsi" w:cstheme="minorHAnsi"/>
          <w:b/>
          <w:bCs/>
          <w:szCs w:val="24"/>
          <w:lang w:val="en-GB"/>
        </w:rPr>
      </w:pPr>
    </w:p>
    <w:p w14:paraId="0CF5A32A" w14:textId="77777777" w:rsidR="00D611ED" w:rsidRDefault="00D611ED" w:rsidP="004F6023">
      <w:pPr>
        <w:jc w:val="both"/>
        <w:rPr>
          <w:rFonts w:asciiTheme="minorHAnsi" w:hAnsiTheme="minorHAnsi" w:cstheme="minorHAnsi"/>
          <w:b/>
          <w:bCs/>
          <w:szCs w:val="24"/>
          <w:lang w:val="en-GB"/>
        </w:rPr>
      </w:pPr>
    </w:p>
    <w:p w14:paraId="2548B22F" w14:textId="77777777" w:rsidR="00D611ED" w:rsidRDefault="00D611ED" w:rsidP="004F6023">
      <w:pPr>
        <w:jc w:val="both"/>
        <w:rPr>
          <w:rFonts w:asciiTheme="minorHAnsi" w:hAnsiTheme="minorHAnsi" w:cstheme="minorHAnsi"/>
          <w:b/>
          <w:bCs/>
          <w:szCs w:val="24"/>
          <w:lang w:val="en-GB"/>
        </w:rPr>
      </w:pPr>
    </w:p>
    <w:p w14:paraId="68E33DEE" w14:textId="77777777" w:rsidR="00D611ED" w:rsidRDefault="00D611ED" w:rsidP="004F6023">
      <w:pPr>
        <w:jc w:val="both"/>
        <w:rPr>
          <w:rFonts w:asciiTheme="minorHAnsi" w:hAnsiTheme="minorHAnsi" w:cstheme="minorHAnsi"/>
          <w:b/>
          <w:bCs/>
          <w:szCs w:val="24"/>
          <w:lang w:val="en-GB"/>
        </w:rPr>
      </w:pPr>
    </w:p>
    <w:p w14:paraId="282C0B42" w14:textId="77777777" w:rsidR="00D611ED" w:rsidRDefault="00D611ED" w:rsidP="004F6023">
      <w:pPr>
        <w:jc w:val="both"/>
        <w:rPr>
          <w:rFonts w:asciiTheme="minorHAnsi" w:hAnsiTheme="minorHAnsi" w:cstheme="minorHAnsi"/>
          <w:b/>
          <w:bCs/>
          <w:szCs w:val="24"/>
          <w:lang w:val="en-GB"/>
        </w:rPr>
      </w:pPr>
    </w:p>
    <w:p w14:paraId="6D9CEDC3" w14:textId="77777777" w:rsidR="00D611ED" w:rsidRDefault="00D611ED" w:rsidP="004F6023">
      <w:pPr>
        <w:jc w:val="both"/>
        <w:rPr>
          <w:rFonts w:asciiTheme="minorHAnsi" w:hAnsiTheme="minorHAnsi" w:cstheme="minorHAnsi"/>
          <w:b/>
          <w:bCs/>
          <w:szCs w:val="24"/>
          <w:lang w:val="en-GB"/>
        </w:rPr>
      </w:pPr>
    </w:p>
    <w:p w14:paraId="1F971FEB" w14:textId="77777777" w:rsidR="00D611ED" w:rsidRDefault="00D611ED" w:rsidP="004F6023">
      <w:pPr>
        <w:jc w:val="both"/>
        <w:rPr>
          <w:rFonts w:asciiTheme="minorHAnsi" w:hAnsiTheme="minorHAnsi" w:cstheme="minorHAnsi"/>
          <w:b/>
          <w:bCs/>
          <w:szCs w:val="24"/>
          <w:lang w:val="en-GB"/>
        </w:rPr>
      </w:pPr>
    </w:p>
    <w:p w14:paraId="4EABF2E6" w14:textId="77777777" w:rsidR="00D611ED" w:rsidRDefault="00D611ED" w:rsidP="004F6023">
      <w:pPr>
        <w:jc w:val="both"/>
        <w:rPr>
          <w:rFonts w:asciiTheme="minorHAnsi" w:hAnsiTheme="minorHAnsi" w:cstheme="minorHAnsi"/>
          <w:b/>
          <w:bCs/>
          <w:szCs w:val="24"/>
          <w:lang w:val="en-GB"/>
        </w:rPr>
      </w:pPr>
    </w:p>
    <w:p w14:paraId="1CAEBE78" w14:textId="77777777" w:rsidR="00D611ED" w:rsidRDefault="00D611ED" w:rsidP="004F6023">
      <w:pPr>
        <w:jc w:val="both"/>
        <w:rPr>
          <w:rFonts w:asciiTheme="minorHAnsi" w:hAnsiTheme="minorHAnsi" w:cstheme="minorHAnsi"/>
          <w:b/>
          <w:bCs/>
          <w:szCs w:val="24"/>
          <w:lang w:val="en-GB"/>
        </w:rPr>
      </w:pPr>
    </w:p>
    <w:p w14:paraId="48C3477E" w14:textId="77777777" w:rsidR="00D611ED" w:rsidRDefault="00D611ED" w:rsidP="004F6023">
      <w:pPr>
        <w:jc w:val="both"/>
        <w:rPr>
          <w:rFonts w:asciiTheme="minorHAnsi" w:hAnsiTheme="minorHAnsi" w:cstheme="minorHAnsi"/>
          <w:b/>
          <w:bCs/>
          <w:szCs w:val="24"/>
          <w:lang w:val="en-GB"/>
        </w:rPr>
      </w:pPr>
    </w:p>
    <w:p w14:paraId="3775AB7A" w14:textId="77777777" w:rsidR="00D611ED" w:rsidRDefault="00D611ED" w:rsidP="004F6023">
      <w:pPr>
        <w:jc w:val="both"/>
        <w:rPr>
          <w:rFonts w:asciiTheme="minorHAnsi" w:hAnsiTheme="minorHAnsi" w:cstheme="minorHAnsi"/>
          <w:b/>
          <w:bCs/>
          <w:szCs w:val="24"/>
          <w:lang w:val="en-GB"/>
        </w:rPr>
      </w:pPr>
    </w:p>
    <w:p w14:paraId="5B6F1FDF" w14:textId="77777777" w:rsidR="00D611ED" w:rsidRDefault="00D611ED" w:rsidP="004F6023">
      <w:pPr>
        <w:jc w:val="both"/>
        <w:rPr>
          <w:rFonts w:asciiTheme="minorHAnsi" w:hAnsiTheme="minorHAnsi" w:cstheme="minorHAnsi"/>
          <w:b/>
          <w:bCs/>
          <w:szCs w:val="24"/>
          <w:lang w:val="en-GB"/>
        </w:rPr>
      </w:pPr>
    </w:p>
    <w:p w14:paraId="45A2A537" w14:textId="77777777" w:rsidR="00D611ED" w:rsidRDefault="00D611ED" w:rsidP="004F6023">
      <w:pPr>
        <w:jc w:val="both"/>
        <w:rPr>
          <w:rFonts w:asciiTheme="minorHAnsi" w:hAnsiTheme="minorHAnsi" w:cstheme="minorHAnsi"/>
          <w:b/>
          <w:bCs/>
          <w:szCs w:val="24"/>
          <w:lang w:val="en-GB"/>
        </w:rPr>
      </w:pPr>
    </w:p>
    <w:p w14:paraId="6C7A0DEC" w14:textId="77777777" w:rsidR="00D611ED" w:rsidRDefault="00D611ED" w:rsidP="004F6023">
      <w:pPr>
        <w:jc w:val="both"/>
        <w:rPr>
          <w:rFonts w:asciiTheme="minorHAnsi" w:hAnsiTheme="minorHAnsi" w:cstheme="minorHAnsi"/>
          <w:b/>
          <w:bCs/>
          <w:szCs w:val="24"/>
          <w:lang w:val="en-GB"/>
        </w:rPr>
      </w:pPr>
    </w:p>
    <w:p w14:paraId="563439C1" w14:textId="77777777" w:rsidR="00D611ED" w:rsidRPr="00C86111" w:rsidRDefault="00D611ED" w:rsidP="004F6023">
      <w:pPr>
        <w:jc w:val="both"/>
        <w:rPr>
          <w:rFonts w:asciiTheme="minorHAnsi" w:hAnsiTheme="minorHAnsi" w:cstheme="minorHAnsi"/>
          <w:b/>
          <w:bCs/>
          <w:szCs w:val="24"/>
          <w:lang w:val="en-GB"/>
        </w:rPr>
      </w:pPr>
    </w:p>
    <w:p w14:paraId="22BEEF40" w14:textId="68EFB1C6" w:rsidR="004F6023" w:rsidRPr="00C86111" w:rsidRDefault="007A23C1" w:rsidP="00912C4C">
      <w:pPr>
        <w:pStyle w:val="Heading1"/>
        <w:rPr>
          <w:lang w:val="en-GB"/>
        </w:rPr>
      </w:pPr>
      <w:bookmarkStart w:id="481" w:name="_Toc220542011"/>
      <w:r w:rsidRPr="00C86111">
        <w:rPr>
          <w:lang w:val="en-GB"/>
        </w:rPr>
        <w:t>USKLAĐENOST SA MEĐUNARODNIM OBAVEZAMA I EU ACQUIS</w:t>
      </w:r>
      <w:bookmarkEnd w:id="481"/>
    </w:p>
    <w:p w14:paraId="11ED21A0" w14:textId="77777777" w:rsidR="004F6023" w:rsidRPr="00C86111" w:rsidRDefault="004F6023" w:rsidP="00EA6904">
      <w:pPr>
        <w:pStyle w:val="Heading3"/>
      </w:pPr>
      <w:bookmarkStart w:id="482" w:name="_Toc220542012"/>
      <w:r w:rsidRPr="00C86111">
        <w:t>Međunarodne obaveze:</w:t>
      </w:r>
      <w:bookmarkEnd w:id="482"/>
    </w:p>
    <w:p w14:paraId="512FB384" w14:textId="77777777" w:rsidR="004F6023" w:rsidRPr="00C86111" w:rsidRDefault="004F6023" w:rsidP="004F6023">
      <w:pPr>
        <w:jc w:val="both"/>
        <w:rPr>
          <w:rFonts w:asciiTheme="minorHAnsi" w:hAnsiTheme="minorHAnsi" w:cstheme="minorHAnsi"/>
          <w:szCs w:val="24"/>
          <w:lang w:val="en-GB"/>
        </w:rPr>
      </w:pPr>
    </w:p>
    <w:p w14:paraId="2E06B83B" w14:textId="77777777" w:rsidR="004F6023" w:rsidRPr="00C86111" w:rsidRDefault="004F6023" w:rsidP="00833A40">
      <w:pPr>
        <w:numPr>
          <w:ilvl w:val="0"/>
          <w:numId w:val="76"/>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Crna Gora kontinuirano učestvuje u sprovođenju Stokholmske konvencije (NIP 2012; ažurirani NIP 2019–2023) i regionalnih MAP/GEF inicijativa (MedProgramme 2020–2026). </w:t>
      </w:r>
      <w:r w:rsidRPr="00C86111">
        <w:rPr>
          <w:rFonts w:asciiTheme="minorHAnsi" w:hAnsiTheme="minorHAnsi" w:cstheme="minorHAnsi"/>
          <w:szCs w:val="24"/>
          <w:lang w:val="en-GB"/>
        </w:rPr>
        <w:lastRenderedPageBreak/>
        <w:t>Planirani regionalni rezultati uključuju odlaganje POPs (do ~2.000 t na nivou Programa), uz nacionalne aktivnosti za PCB i morske sedimente.</w:t>
      </w:r>
      <w:r w:rsidRPr="00C86111">
        <w:rPr>
          <w:rStyle w:val="FootnoteReference"/>
          <w:rFonts w:cstheme="minorHAnsi"/>
          <w:szCs w:val="24"/>
          <w:lang w:val="en-GB"/>
        </w:rPr>
        <w:footnoteReference w:id="15"/>
      </w:r>
    </w:p>
    <w:p w14:paraId="52D66AC7" w14:textId="77777777" w:rsidR="004F6023" w:rsidRPr="00C86111" w:rsidRDefault="004F6023" w:rsidP="00833A40">
      <w:pPr>
        <w:numPr>
          <w:ilvl w:val="0"/>
          <w:numId w:val="76"/>
        </w:numPr>
        <w:jc w:val="both"/>
        <w:rPr>
          <w:rFonts w:asciiTheme="minorHAnsi" w:hAnsiTheme="minorHAnsi" w:cstheme="minorHAnsi"/>
          <w:szCs w:val="24"/>
          <w:lang w:val="en-GB"/>
        </w:rPr>
      </w:pPr>
      <w:r w:rsidRPr="00C86111">
        <w:rPr>
          <w:rFonts w:asciiTheme="minorHAnsi" w:hAnsiTheme="minorHAnsi" w:cstheme="minorHAnsi"/>
          <w:szCs w:val="24"/>
          <w:lang w:val="en-GB"/>
        </w:rPr>
        <w:t>U toku je uspostavljanje nacionalnog mehanizma izvještavanja prema BRS/Minamata (softver, procedure, obuke) - prioritet za punu usklađenost sa obavezama izvještavanja.</w:t>
      </w:r>
      <w:r w:rsidRPr="00C86111">
        <w:rPr>
          <w:rStyle w:val="FootnoteReference"/>
          <w:rFonts w:cstheme="minorHAnsi"/>
          <w:szCs w:val="24"/>
          <w:lang w:val="en-GB"/>
        </w:rPr>
        <w:footnoteReference w:id="16"/>
      </w:r>
    </w:p>
    <w:p w14:paraId="3AE6A956" w14:textId="77777777" w:rsidR="004F6023" w:rsidRPr="00C86111" w:rsidRDefault="004F6023" w:rsidP="00EA6904">
      <w:pPr>
        <w:pStyle w:val="Heading3"/>
      </w:pPr>
      <w:bookmarkStart w:id="483" w:name="_Toc220542013"/>
      <w:r w:rsidRPr="00C86111">
        <w:t>Usklađivanje sa EU acquis (POPs i otpad):</w:t>
      </w:r>
      <w:bookmarkEnd w:id="483"/>
    </w:p>
    <w:p w14:paraId="3DFB1771" w14:textId="77777777" w:rsidR="004F6023" w:rsidRPr="00C86111" w:rsidRDefault="004F6023" w:rsidP="004F6023">
      <w:pPr>
        <w:jc w:val="both"/>
        <w:rPr>
          <w:rFonts w:asciiTheme="minorHAnsi" w:hAnsiTheme="minorHAnsi" w:cstheme="minorHAnsi"/>
          <w:szCs w:val="24"/>
          <w:lang w:val="en-GB"/>
        </w:rPr>
      </w:pPr>
    </w:p>
    <w:p w14:paraId="64BF23AA" w14:textId="77777777" w:rsidR="004F6023" w:rsidRPr="00C86111" w:rsidRDefault="004F6023" w:rsidP="00833A40">
      <w:pPr>
        <w:numPr>
          <w:ilvl w:val="0"/>
          <w:numId w:val="77"/>
        </w:numPr>
        <w:jc w:val="both"/>
        <w:rPr>
          <w:rFonts w:asciiTheme="minorHAnsi" w:hAnsiTheme="minorHAnsi" w:cstheme="minorHAnsi"/>
          <w:szCs w:val="24"/>
          <w:lang w:val="en-GB"/>
        </w:rPr>
      </w:pPr>
      <w:r w:rsidRPr="00C86111">
        <w:rPr>
          <w:rFonts w:asciiTheme="minorHAnsi" w:hAnsiTheme="minorHAnsi" w:cstheme="minorHAnsi"/>
          <w:b/>
          <w:bCs/>
          <w:szCs w:val="24"/>
          <w:lang w:val="en-GB"/>
        </w:rPr>
        <w:t>Pravni okvir:</w:t>
      </w:r>
      <w:r w:rsidRPr="00C86111">
        <w:rPr>
          <w:rFonts w:asciiTheme="minorHAnsi" w:hAnsiTheme="minorHAnsi" w:cstheme="minorHAnsi"/>
          <w:szCs w:val="24"/>
          <w:lang w:val="en-GB"/>
        </w:rPr>
        <w:t xml:space="preserve"> Novi </w:t>
      </w:r>
      <w:r w:rsidRPr="00C86111">
        <w:rPr>
          <w:rFonts w:asciiTheme="minorHAnsi" w:hAnsiTheme="minorHAnsi" w:cstheme="minorHAnsi"/>
          <w:b/>
          <w:bCs/>
          <w:szCs w:val="24"/>
          <w:lang w:val="en-GB"/>
        </w:rPr>
        <w:t>Zakon o upravljanju otpadom (2024)</w:t>
      </w:r>
      <w:r w:rsidRPr="00C86111">
        <w:rPr>
          <w:rFonts w:asciiTheme="minorHAnsi" w:hAnsiTheme="minorHAnsi" w:cstheme="minorHAnsi"/>
          <w:szCs w:val="24"/>
          <w:lang w:val="en-GB"/>
        </w:rPr>
        <w:t xml:space="preserve"> unapređuje transpoziciju EU pravila, uključujući tretman tokova koji sadrže POPs; donesen podzakonski akt (kriterijumi/granične vrijednosti za POPs u otpadu, evidencije i praćenje).</w:t>
      </w:r>
    </w:p>
    <w:p w14:paraId="13C813E4" w14:textId="77777777" w:rsidR="004F6023" w:rsidRPr="00C86111" w:rsidRDefault="004F6023" w:rsidP="00833A40">
      <w:pPr>
        <w:numPr>
          <w:ilvl w:val="0"/>
          <w:numId w:val="77"/>
        </w:numPr>
        <w:jc w:val="both"/>
        <w:rPr>
          <w:rFonts w:asciiTheme="minorHAnsi" w:hAnsiTheme="minorHAnsi" w:cstheme="minorHAnsi"/>
          <w:szCs w:val="24"/>
          <w:lang w:val="en-GB"/>
        </w:rPr>
      </w:pPr>
      <w:r w:rsidRPr="00C86111">
        <w:rPr>
          <w:rFonts w:asciiTheme="minorHAnsi" w:hAnsiTheme="minorHAnsi" w:cstheme="minorHAnsi"/>
          <w:b/>
          <w:bCs/>
          <w:szCs w:val="24"/>
          <w:lang w:val="en-GB"/>
        </w:rPr>
        <w:t>Strategijski dokumenti i učinak:</w:t>
      </w:r>
      <w:r w:rsidRPr="00C86111">
        <w:rPr>
          <w:rFonts w:asciiTheme="minorHAnsi" w:hAnsiTheme="minorHAnsi" w:cstheme="minorHAnsi"/>
          <w:szCs w:val="24"/>
          <w:lang w:val="en-GB"/>
        </w:rPr>
        <w:t xml:space="preserve"> U skladu s pregledima EPR (UNECE, 2024), transpozicija EU pravne tekovine napreduje, ali su u “Poglavlju 27” i dalje prioriteti: otpad/POPs, infrastruktura i institucionalne sposobnosti.</w:t>
      </w:r>
      <w:r w:rsidRPr="00C86111">
        <w:rPr>
          <w:rStyle w:val="FootnoteReference"/>
          <w:rFonts w:cstheme="minorHAnsi"/>
          <w:szCs w:val="24"/>
          <w:lang w:val="en-GB"/>
        </w:rPr>
        <w:footnoteReference w:id="17"/>
      </w:r>
    </w:p>
    <w:p w14:paraId="7DAFD137" w14:textId="77777777" w:rsidR="004F6023" w:rsidRPr="00C86111" w:rsidRDefault="004F6023" w:rsidP="00833A40">
      <w:pPr>
        <w:numPr>
          <w:ilvl w:val="0"/>
          <w:numId w:val="77"/>
        </w:numPr>
        <w:jc w:val="both"/>
        <w:rPr>
          <w:rFonts w:asciiTheme="minorHAnsi" w:hAnsiTheme="minorHAnsi" w:cstheme="minorHAnsi"/>
          <w:szCs w:val="24"/>
          <w:lang w:val="en-GB"/>
        </w:rPr>
      </w:pPr>
      <w:r w:rsidRPr="00C86111">
        <w:rPr>
          <w:rFonts w:asciiTheme="minorHAnsi" w:hAnsiTheme="minorHAnsi" w:cstheme="minorHAnsi"/>
          <w:b/>
          <w:bCs/>
          <w:szCs w:val="24"/>
          <w:lang w:val="en-GB"/>
        </w:rPr>
        <w:t>Operativna usklađenost:</w:t>
      </w:r>
      <w:r w:rsidRPr="00C86111">
        <w:rPr>
          <w:rFonts w:asciiTheme="minorHAnsi" w:hAnsiTheme="minorHAnsi" w:cstheme="minorHAnsi"/>
          <w:szCs w:val="24"/>
          <w:lang w:val="en-GB"/>
        </w:rPr>
        <w:t xml:space="preserve"> Kroz UNDP/GEF projekat riješen je problem PCB opreme i kontaminiranog </w:t>
      </w:r>
      <w:r w:rsidRPr="00C86111">
        <w:rPr>
          <w:rFonts w:asciiTheme="minorHAnsi" w:hAnsiTheme="minorHAnsi" w:cstheme="minorHAnsi"/>
          <w:szCs w:val="24"/>
          <w:lang w:val="sr-Latn-ME"/>
        </w:rPr>
        <w:t>zemljišta</w:t>
      </w:r>
      <w:r w:rsidRPr="00C86111">
        <w:rPr>
          <w:rFonts w:asciiTheme="minorHAnsi" w:hAnsiTheme="minorHAnsi" w:cstheme="minorHAnsi"/>
          <w:szCs w:val="24"/>
          <w:lang w:val="en-GB"/>
        </w:rPr>
        <w:t>, u skladu sa EU Uredbom (EU) 2019/1021 o POPs (cilj: eliminacija/upotreba ispod granica, sigurno odlaganje). Dodatna količina PCB opreme predviđena je za izvoz u okviru MedProgramme do 2025.</w:t>
      </w:r>
      <w:r w:rsidRPr="00C86111">
        <w:rPr>
          <w:rStyle w:val="FootnoteReference"/>
          <w:rFonts w:cstheme="minorHAnsi"/>
          <w:szCs w:val="24"/>
          <w:lang w:val="en-GB"/>
        </w:rPr>
        <w:footnoteReference w:id="18"/>
      </w:r>
      <w:r w:rsidRPr="00C86111">
        <w:rPr>
          <w:rFonts w:asciiTheme="minorHAnsi" w:hAnsiTheme="minorHAnsi" w:cstheme="minorHAnsi"/>
          <w:szCs w:val="24"/>
          <w:lang w:val="en-GB"/>
        </w:rPr>
        <w:t xml:space="preserve"> </w:t>
      </w:r>
    </w:p>
    <w:p w14:paraId="5CFA1E72" w14:textId="77777777" w:rsidR="004F6023" w:rsidRPr="00C86111" w:rsidRDefault="004F6023" w:rsidP="004F6023">
      <w:pPr>
        <w:jc w:val="both"/>
        <w:rPr>
          <w:rFonts w:asciiTheme="minorHAnsi" w:hAnsiTheme="minorHAnsi" w:cstheme="minorHAnsi"/>
          <w:szCs w:val="24"/>
          <w:lang w:val="en-GB"/>
        </w:rPr>
      </w:pPr>
    </w:p>
    <w:p w14:paraId="026ED1CF" w14:textId="77777777" w:rsidR="004F6023" w:rsidRPr="00C86111" w:rsidRDefault="004F6023" w:rsidP="00EA6904">
      <w:pPr>
        <w:pStyle w:val="Heading3"/>
      </w:pPr>
      <w:bookmarkStart w:id="484" w:name="_Toc220542014"/>
      <w:r w:rsidRPr="00C86111">
        <w:t>Preporuke u skladu sa nalazima:</w:t>
      </w:r>
      <w:bookmarkEnd w:id="484"/>
    </w:p>
    <w:p w14:paraId="7073B63B" w14:textId="77777777" w:rsidR="004F6023" w:rsidRPr="00C86111" w:rsidRDefault="004F6023" w:rsidP="004F6023">
      <w:pPr>
        <w:jc w:val="both"/>
        <w:rPr>
          <w:rFonts w:asciiTheme="minorHAnsi" w:hAnsiTheme="minorHAnsi" w:cstheme="minorHAnsi"/>
          <w:szCs w:val="24"/>
          <w:lang w:val="en-GB"/>
        </w:rPr>
      </w:pPr>
    </w:p>
    <w:p w14:paraId="2222F2F1" w14:textId="77777777" w:rsidR="004F6023" w:rsidRPr="00C86111" w:rsidRDefault="004F6023" w:rsidP="00833A40">
      <w:pPr>
        <w:numPr>
          <w:ilvl w:val="0"/>
          <w:numId w:val="78"/>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Institucionalizovati nacionalni mehanizam izvještavanja (softver + procedure + obuke) i osigurati stalno finansiranje. </w:t>
      </w:r>
    </w:p>
    <w:p w14:paraId="31CEDB8C" w14:textId="77777777" w:rsidR="004F6023" w:rsidRPr="00C86111" w:rsidRDefault="004F6023" w:rsidP="00833A40">
      <w:pPr>
        <w:numPr>
          <w:ilvl w:val="0"/>
          <w:numId w:val="78"/>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Ubrzati realizaciju MedProgramme izvoza preostalih količina PCB-opreme i pripremiti projekte remedijacije sedimenata u Boki (projekti spremni za finansiranje). </w:t>
      </w:r>
    </w:p>
    <w:p w14:paraId="637952BC" w14:textId="092818BD" w:rsidR="004F6023" w:rsidRPr="00C86111" w:rsidRDefault="004F6023" w:rsidP="00BC765B">
      <w:pPr>
        <w:numPr>
          <w:ilvl w:val="0"/>
          <w:numId w:val="78"/>
        </w:numPr>
        <w:jc w:val="both"/>
        <w:rPr>
          <w:rFonts w:asciiTheme="minorHAnsi" w:hAnsiTheme="minorHAnsi" w:cstheme="minorHAnsi"/>
          <w:szCs w:val="24"/>
        </w:rPr>
      </w:pPr>
      <w:r w:rsidRPr="00C86111">
        <w:rPr>
          <w:rFonts w:asciiTheme="minorHAnsi" w:hAnsiTheme="minorHAnsi" w:cstheme="minorHAnsi"/>
          <w:szCs w:val="24"/>
          <w:lang w:val="en-GB"/>
        </w:rPr>
        <w:t xml:space="preserve">Uvesti redovan program monitoringa POPs u otpadu, vodi/sedimentima i biomonitoring, uz javno dostupne baze (transparentnost i usklađenost sa EU pristupom). </w:t>
      </w:r>
    </w:p>
    <w:p w14:paraId="4067EE8F" w14:textId="7B52F97E" w:rsidR="004F6023" w:rsidRPr="00C86111" w:rsidRDefault="004F6023" w:rsidP="007A23C1">
      <w:pPr>
        <w:ind w:left="450" w:hanging="90"/>
        <w:jc w:val="both"/>
        <w:rPr>
          <w:rFonts w:asciiTheme="minorHAnsi" w:hAnsiTheme="minorHAnsi" w:cstheme="minorHAnsi"/>
          <w:szCs w:val="24"/>
          <w:lang w:val="en-GB"/>
        </w:rPr>
      </w:pPr>
      <w:r w:rsidRPr="00C86111">
        <w:rPr>
          <w:rFonts w:asciiTheme="minorHAnsi" w:hAnsiTheme="minorHAnsi" w:cstheme="minorHAnsi"/>
          <w:szCs w:val="24"/>
          <w:lang w:val="en-GB"/>
        </w:rPr>
        <w:t xml:space="preserve">4. </w:t>
      </w:r>
      <w:r w:rsidR="007A23C1" w:rsidRPr="00C86111">
        <w:rPr>
          <w:rFonts w:asciiTheme="minorHAnsi" w:hAnsiTheme="minorHAnsi" w:cstheme="minorHAnsi"/>
          <w:szCs w:val="24"/>
          <w:lang w:val="en-GB"/>
        </w:rPr>
        <w:t xml:space="preserve">  </w:t>
      </w:r>
      <w:r w:rsidRPr="00C86111">
        <w:rPr>
          <w:rFonts w:asciiTheme="minorHAnsi" w:hAnsiTheme="minorHAnsi" w:cstheme="minorHAnsi"/>
          <w:szCs w:val="24"/>
          <w:lang w:val="en-GB"/>
        </w:rPr>
        <w:t>Preporuke za izvore finansiranja aktivnosti upravljanja POPs hemikalijama</w:t>
      </w:r>
    </w:p>
    <w:p w14:paraId="6E37ABE1" w14:textId="77777777" w:rsidR="004F6023" w:rsidRPr="00C86111" w:rsidRDefault="004F6023" w:rsidP="004F6023">
      <w:pPr>
        <w:jc w:val="both"/>
        <w:rPr>
          <w:rFonts w:asciiTheme="minorHAnsi" w:hAnsiTheme="minorHAnsi" w:cstheme="minorHAnsi"/>
          <w:b/>
          <w:bCs/>
          <w:szCs w:val="24"/>
          <w:lang w:val="en-GB"/>
        </w:rPr>
      </w:pPr>
    </w:p>
    <w:p w14:paraId="68C9BEF6" w14:textId="77777777" w:rsidR="004F6023" w:rsidRPr="00C86111" w:rsidRDefault="004F6023" w:rsidP="004F6023">
      <w:pPr>
        <w:jc w:val="both"/>
        <w:rPr>
          <w:rFonts w:asciiTheme="minorHAnsi" w:hAnsiTheme="minorHAnsi" w:cstheme="minorHAnsi"/>
          <w:bCs/>
          <w:szCs w:val="24"/>
          <w:lang w:val="en-GB"/>
        </w:rPr>
      </w:pPr>
      <w:r w:rsidRPr="00C86111">
        <w:rPr>
          <w:rFonts w:asciiTheme="minorHAnsi" w:hAnsiTheme="minorHAnsi" w:cstheme="minorHAnsi"/>
          <w:bCs/>
          <w:szCs w:val="24"/>
          <w:lang w:val="en-GB"/>
        </w:rPr>
        <w:t>Efikasno i održivo upravljanje POPs hemikalijama zahtijeva ne samo tehničke i institucionalne kapacitete, već i stabilne izvore finansiranja. S obzirom na to da je riječ o složenim i dugoročnim procesima koji uključuju inventarizaciju, monitoring, izgradnju infrastrukture, dekontaminaciju i bezbjedno odlaganje, neophodno je planirati kombinaciju nacionalnih i međunarodnih izvora podrške. Poseban značaj imaju međunarodni fondovi i donatorski programi, budući da omogućavaju transfer znanja, tehnologija i dobre prakse, dok nacionalni budžet i privatni sektor osiguravaju kontinuitet i održivost aktivnosti.</w:t>
      </w:r>
    </w:p>
    <w:p w14:paraId="1EAFD6AF" w14:textId="77777777" w:rsidR="004F6023" w:rsidRPr="00C86111" w:rsidRDefault="004F6023" w:rsidP="004F6023">
      <w:pPr>
        <w:jc w:val="both"/>
        <w:rPr>
          <w:rFonts w:asciiTheme="minorHAnsi" w:hAnsiTheme="minorHAnsi" w:cstheme="minorHAnsi"/>
          <w:bCs/>
          <w:szCs w:val="24"/>
          <w:lang w:val="en-GB"/>
        </w:rPr>
      </w:pPr>
    </w:p>
    <w:p w14:paraId="5ACBBFF4" w14:textId="77777777" w:rsidR="004F6023" w:rsidRPr="00C86111" w:rsidRDefault="004F6023" w:rsidP="004F6023">
      <w:pPr>
        <w:jc w:val="both"/>
        <w:rPr>
          <w:rFonts w:asciiTheme="minorHAnsi" w:hAnsiTheme="minorHAnsi" w:cstheme="minorHAnsi"/>
          <w:bCs/>
          <w:szCs w:val="24"/>
          <w:lang w:val="en-GB"/>
        </w:rPr>
      </w:pPr>
      <w:r w:rsidRPr="00C86111">
        <w:rPr>
          <w:rFonts w:asciiTheme="minorHAnsi" w:hAnsiTheme="minorHAnsi" w:cstheme="minorHAnsi"/>
          <w:bCs/>
          <w:szCs w:val="24"/>
          <w:lang w:val="en-GB"/>
        </w:rPr>
        <w:t>Ove preporuke imaju za cilj da usmjere institucije u Crnoj Gori ka raznovrsnim finansijskim mehanizmima, koji će omogućiti dugoročnu i održivu realizaciju obaveza u oblasti POPs hemikalija, u skladu sa međunarodnim konvencijama i procesom evropskih integracija.</w:t>
      </w:r>
    </w:p>
    <w:p w14:paraId="558FDF50" w14:textId="77777777" w:rsidR="004F6023" w:rsidRPr="00C86111" w:rsidRDefault="004F6023" w:rsidP="004F6023">
      <w:pPr>
        <w:jc w:val="both"/>
        <w:rPr>
          <w:rFonts w:asciiTheme="minorHAnsi" w:hAnsiTheme="minorHAnsi" w:cstheme="minorHAnsi"/>
          <w:b/>
          <w:bCs/>
          <w:szCs w:val="24"/>
          <w:lang w:val="en-GB"/>
        </w:rPr>
      </w:pPr>
    </w:p>
    <w:p w14:paraId="0B76DA94" w14:textId="77777777" w:rsidR="004F6023" w:rsidRPr="00C86111" w:rsidRDefault="004F6023" w:rsidP="00833A40">
      <w:pPr>
        <w:numPr>
          <w:ilvl w:val="0"/>
          <w:numId w:val="71"/>
        </w:numPr>
        <w:jc w:val="both"/>
        <w:rPr>
          <w:rFonts w:asciiTheme="minorHAnsi" w:hAnsiTheme="minorHAnsi" w:cstheme="minorHAnsi"/>
          <w:color w:val="002060"/>
          <w:szCs w:val="24"/>
          <w:lang w:val="en-GB"/>
        </w:rPr>
      </w:pPr>
      <w:r w:rsidRPr="00C86111">
        <w:rPr>
          <w:rFonts w:asciiTheme="minorHAnsi" w:hAnsiTheme="minorHAnsi" w:cstheme="minorHAnsi"/>
          <w:b/>
          <w:bCs/>
          <w:color w:val="002060"/>
          <w:szCs w:val="24"/>
          <w:lang w:val="en-GB"/>
        </w:rPr>
        <w:t>Međunarodni fondovi i programi</w:t>
      </w:r>
    </w:p>
    <w:p w14:paraId="69AC236C" w14:textId="77777777" w:rsidR="004F6023" w:rsidRPr="00C86111" w:rsidRDefault="004F6023" w:rsidP="00004F34">
      <w:pPr>
        <w:pStyle w:val="ListParagraph"/>
        <w:numPr>
          <w:ilvl w:val="1"/>
          <w:numId w:val="226"/>
        </w:numPr>
        <w:jc w:val="both"/>
        <w:rPr>
          <w:rFonts w:asciiTheme="minorHAnsi" w:hAnsiTheme="minorHAnsi" w:cstheme="minorHAnsi"/>
          <w:szCs w:val="24"/>
          <w:lang w:val="en-GB"/>
        </w:rPr>
      </w:pPr>
      <w:r w:rsidRPr="00C86111">
        <w:rPr>
          <w:rFonts w:asciiTheme="minorHAnsi" w:hAnsiTheme="minorHAnsi" w:cstheme="minorHAnsi"/>
          <w:b/>
          <w:bCs/>
          <w:szCs w:val="24"/>
          <w:lang w:val="en-GB"/>
        </w:rPr>
        <w:t>Global Environment Facility (GEF)</w:t>
      </w:r>
      <w:r w:rsidRPr="00C86111">
        <w:rPr>
          <w:rFonts w:asciiTheme="minorHAnsi" w:hAnsiTheme="minorHAnsi" w:cstheme="minorHAnsi"/>
          <w:szCs w:val="24"/>
          <w:lang w:val="en-GB"/>
        </w:rPr>
        <w:t xml:space="preserve"> — finansira projekte u oblasti zaštite životne sredine, uključujući upravljanje POPs i opasnim hemikalijama.</w:t>
      </w:r>
    </w:p>
    <w:p w14:paraId="0BD7E744" w14:textId="77777777" w:rsidR="004F6023" w:rsidRPr="00C86111" w:rsidRDefault="004F6023" w:rsidP="00004F34">
      <w:pPr>
        <w:pStyle w:val="ListParagraph"/>
        <w:numPr>
          <w:ilvl w:val="1"/>
          <w:numId w:val="226"/>
        </w:numPr>
        <w:jc w:val="both"/>
        <w:rPr>
          <w:rFonts w:asciiTheme="minorHAnsi" w:hAnsiTheme="minorHAnsi" w:cstheme="minorHAnsi"/>
          <w:szCs w:val="24"/>
          <w:lang w:val="en-GB"/>
        </w:rPr>
      </w:pPr>
      <w:r w:rsidRPr="00C86111">
        <w:rPr>
          <w:rFonts w:asciiTheme="minorHAnsi" w:hAnsiTheme="minorHAnsi" w:cstheme="minorHAnsi"/>
          <w:b/>
          <w:bCs/>
          <w:szCs w:val="24"/>
          <w:lang w:val="en-GB"/>
        </w:rPr>
        <w:t>UNEP (United Nations Environment Programme)</w:t>
      </w:r>
      <w:r w:rsidRPr="00C86111">
        <w:rPr>
          <w:rFonts w:asciiTheme="minorHAnsi" w:hAnsiTheme="minorHAnsi" w:cstheme="minorHAnsi"/>
          <w:szCs w:val="24"/>
          <w:lang w:val="en-GB"/>
        </w:rPr>
        <w:t xml:space="preserve"> — podržava regionalne i nacionalne projekte za smanjenje zagađenja i upravljanje opasnim hemikalijama.</w:t>
      </w:r>
    </w:p>
    <w:p w14:paraId="74CFC6EF" w14:textId="77777777" w:rsidR="004F6023" w:rsidRPr="00C86111" w:rsidRDefault="004F6023" w:rsidP="00004F34">
      <w:pPr>
        <w:pStyle w:val="ListParagraph"/>
        <w:numPr>
          <w:ilvl w:val="1"/>
          <w:numId w:val="226"/>
        </w:numPr>
        <w:jc w:val="both"/>
        <w:rPr>
          <w:rFonts w:asciiTheme="minorHAnsi" w:hAnsiTheme="minorHAnsi" w:cstheme="minorHAnsi"/>
          <w:szCs w:val="24"/>
          <w:lang w:val="en-GB"/>
        </w:rPr>
      </w:pPr>
      <w:r w:rsidRPr="00C86111">
        <w:rPr>
          <w:rFonts w:asciiTheme="minorHAnsi" w:hAnsiTheme="minorHAnsi" w:cstheme="minorHAnsi"/>
          <w:b/>
          <w:bCs/>
          <w:szCs w:val="24"/>
          <w:lang w:val="en-GB"/>
        </w:rPr>
        <w:t>MedProgram (UNEP MAP)</w:t>
      </w:r>
      <w:r w:rsidRPr="00C86111">
        <w:rPr>
          <w:rFonts w:asciiTheme="minorHAnsi" w:hAnsiTheme="minorHAnsi" w:cstheme="minorHAnsi"/>
          <w:szCs w:val="24"/>
          <w:lang w:val="en-GB"/>
        </w:rPr>
        <w:t xml:space="preserve"> — posebno usmjeren na Mediteran, sa podrškom za smanjenje štetnih hemikalija i otpada u kritičnim tačkama.</w:t>
      </w:r>
    </w:p>
    <w:p w14:paraId="620FB79B" w14:textId="77777777" w:rsidR="004F6023" w:rsidRPr="00C86111" w:rsidRDefault="004F6023" w:rsidP="00004F34">
      <w:pPr>
        <w:pStyle w:val="ListParagraph"/>
        <w:numPr>
          <w:ilvl w:val="1"/>
          <w:numId w:val="226"/>
        </w:numPr>
        <w:jc w:val="both"/>
        <w:rPr>
          <w:rFonts w:asciiTheme="minorHAnsi" w:hAnsiTheme="minorHAnsi" w:cstheme="minorHAnsi"/>
          <w:szCs w:val="24"/>
          <w:lang w:val="en-GB"/>
        </w:rPr>
      </w:pPr>
      <w:r w:rsidRPr="00C86111">
        <w:rPr>
          <w:rFonts w:asciiTheme="minorHAnsi" w:hAnsiTheme="minorHAnsi" w:cstheme="minorHAnsi"/>
          <w:b/>
          <w:bCs/>
          <w:szCs w:val="24"/>
          <w:lang w:val="en-GB"/>
        </w:rPr>
        <w:t>EU fondovi (Instrument for Pre-Accession Assistance - IPA)</w:t>
      </w:r>
      <w:r w:rsidRPr="00C86111">
        <w:rPr>
          <w:rFonts w:asciiTheme="minorHAnsi" w:hAnsiTheme="minorHAnsi" w:cstheme="minorHAnsi"/>
          <w:szCs w:val="24"/>
          <w:lang w:val="en-GB"/>
        </w:rPr>
        <w:t xml:space="preserve"> — podrška zemljama kandidatima za EU u oblasti životne sredine i upravljanja hemikalijama.</w:t>
      </w:r>
    </w:p>
    <w:p w14:paraId="1003AE05" w14:textId="77777777" w:rsidR="004F6023" w:rsidRPr="00C86111" w:rsidRDefault="004F6023" w:rsidP="004F6023">
      <w:pPr>
        <w:ind w:left="720"/>
        <w:jc w:val="both"/>
        <w:rPr>
          <w:rFonts w:asciiTheme="minorHAnsi" w:hAnsiTheme="minorHAnsi" w:cstheme="minorHAnsi"/>
          <w:szCs w:val="24"/>
          <w:lang w:val="en-GB"/>
        </w:rPr>
      </w:pPr>
    </w:p>
    <w:p w14:paraId="7837C131" w14:textId="77777777" w:rsidR="004F6023" w:rsidRPr="00C86111" w:rsidRDefault="004F6023" w:rsidP="00833A40">
      <w:pPr>
        <w:numPr>
          <w:ilvl w:val="0"/>
          <w:numId w:val="71"/>
        </w:numPr>
        <w:jc w:val="both"/>
        <w:rPr>
          <w:rFonts w:asciiTheme="minorHAnsi" w:hAnsiTheme="minorHAnsi" w:cstheme="minorHAnsi"/>
          <w:color w:val="002060"/>
          <w:szCs w:val="24"/>
          <w:lang w:val="en-GB"/>
        </w:rPr>
      </w:pPr>
      <w:r w:rsidRPr="00C86111">
        <w:rPr>
          <w:rFonts w:asciiTheme="minorHAnsi" w:hAnsiTheme="minorHAnsi" w:cstheme="minorHAnsi"/>
          <w:b/>
          <w:bCs/>
          <w:color w:val="002060"/>
          <w:szCs w:val="24"/>
          <w:lang w:val="en-GB"/>
        </w:rPr>
        <w:t>Regionalni i bilateralni donatori</w:t>
      </w:r>
    </w:p>
    <w:p w14:paraId="0DFB6AAB" w14:textId="77777777" w:rsidR="004F6023" w:rsidRPr="00C86111" w:rsidRDefault="004F6023" w:rsidP="00004F34">
      <w:pPr>
        <w:pStyle w:val="ListParagraph"/>
        <w:numPr>
          <w:ilvl w:val="1"/>
          <w:numId w:val="227"/>
        </w:numPr>
        <w:jc w:val="both"/>
        <w:rPr>
          <w:rFonts w:asciiTheme="minorHAnsi" w:hAnsiTheme="minorHAnsi" w:cstheme="minorHAnsi"/>
          <w:szCs w:val="24"/>
          <w:lang w:val="en-GB"/>
        </w:rPr>
      </w:pPr>
      <w:r w:rsidRPr="00C86111">
        <w:rPr>
          <w:rFonts w:asciiTheme="minorHAnsi" w:hAnsiTheme="minorHAnsi" w:cstheme="minorHAnsi"/>
          <w:szCs w:val="24"/>
          <w:lang w:val="en-GB"/>
        </w:rPr>
        <w:t>Programi i grantovi od regionalnih razvojnih banaka (npr. EBRD, EIB, WB).</w:t>
      </w:r>
    </w:p>
    <w:p w14:paraId="0137CAF6" w14:textId="77777777" w:rsidR="004F6023" w:rsidRPr="00C86111" w:rsidRDefault="004F6023" w:rsidP="00004F34">
      <w:pPr>
        <w:pStyle w:val="ListParagraph"/>
        <w:numPr>
          <w:ilvl w:val="1"/>
          <w:numId w:val="227"/>
        </w:numPr>
        <w:jc w:val="both"/>
        <w:rPr>
          <w:rFonts w:asciiTheme="minorHAnsi" w:hAnsiTheme="minorHAnsi" w:cstheme="minorHAnsi"/>
          <w:szCs w:val="24"/>
          <w:lang w:val="en-GB"/>
        </w:rPr>
      </w:pPr>
      <w:r w:rsidRPr="00C86111">
        <w:rPr>
          <w:rFonts w:asciiTheme="minorHAnsi" w:hAnsiTheme="minorHAnsi" w:cstheme="minorHAnsi"/>
          <w:szCs w:val="24"/>
          <w:lang w:val="en-GB"/>
        </w:rPr>
        <w:t>Bilateralna saradnja sa zemljama članicama EU i međunarodnim agencijama koje pružaju tehničku i finansijsku podršku.</w:t>
      </w:r>
    </w:p>
    <w:p w14:paraId="5471F29E" w14:textId="77777777" w:rsidR="004F6023" w:rsidRPr="00C86111" w:rsidRDefault="004F6023" w:rsidP="004F6023">
      <w:pPr>
        <w:ind w:left="1440"/>
        <w:jc w:val="both"/>
        <w:rPr>
          <w:rFonts w:asciiTheme="minorHAnsi" w:hAnsiTheme="minorHAnsi" w:cstheme="minorHAnsi"/>
          <w:szCs w:val="24"/>
          <w:lang w:val="en-GB"/>
        </w:rPr>
      </w:pPr>
    </w:p>
    <w:p w14:paraId="32757A88" w14:textId="77777777" w:rsidR="004F6023" w:rsidRPr="00C86111" w:rsidRDefault="004F6023" w:rsidP="00833A40">
      <w:pPr>
        <w:numPr>
          <w:ilvl w:val="0"/>
          <w:numId w:val="71"/>
        </w:numPr>
        <w:jc w:val="both"/>
        <w:rPr>
          <w:rFonts w:asciiTheme="minorHAnsi" w:hAnsiTheme="minorHAnsi" w:cstheme="minorHAnsi"/>
          <w:szCs w:val="24"/>
          <w:lang w:val="en-GB"/>
        </w:rPr>
      </w:pPr>
      <w:r w:rsidRPr="00C86111">
        <w:rPr>
          <w:rFonts w:asciiTheme="minorHAnsi" w:hAnsiTheme="minorHAnsi" w:cstheme="minorHAnsi"/>
          <w:b/>
          <w:bCs/>
          <w:color w:val="002060"/>
          <w:szCs w:val="24"/>
          <w:lang w:val="en-GB"/>
        </w:rPr>
        <w:t>Nacionalni budžetski resursi i javno-privatna partnerstva</w:t>
      </w:r>
    </w:p>
    <w:p w14:paraId="5FEA7E42" w14:textId="77777777" w:rsidR="004F6023" w:rsidRPr="00C86111" w:rsidRDefault="004F6023" w:rsidP="00004F34">
      <w:pPr>
        <w:pStyle w:val="ListParagraph"/>
        <w:numPr>
          <w:ilvl w:val="1"/>
          <w:numId w:val="228"/>
        </w:numPr>
        <w:jc w:val="both"/>
        <w:rPr>
          <w:rFonts w:asciiTheme="minorHAnsi" w:hAnsiTheme="minorHAnsi" w:cstheme="minorHAnsi"/>
          <w:szCs w:val="24"/>
          <w:lang w:val="en-GB"/>
        </w:rPr>
      </w:pPr>
      <w:r w:rsidRPr="00C86111">
        <w:rPr>
          <w:rFonts w:asciiTheme="minorHAnsi" w:hAnsiTheme="minorHAnsi" w:cstheme="minorHAnsi"/>
          <w:szCs w:val="24"/>
          <w:lang w:val="en-GB"/>
        </w:rPr>
        <w:t>Alokacija sredstava iz državnog budžeta za strateške ekološke projekte i podršku institucijama.</w:t>
      </w:r>
    </w:p>
    <w:p w14:paraId="41FA956D" w14:textId="77777777" w:rsidR="004F6023" w:rsidRPr="00C86111" w:rsidRDefault="004F6023" w:rsidP="00004F34">
      <w:pPr>
        <w:pStyle w:val="ListParagraph"/>
        <w:numPr>
          <w:ilvl w:val="1"/>
          <w:numId w:val="228"/>
        </w:numPr>
        <w:jc w:val="both"/>
        <w:rPr>
          <w:rFonts w:asciiTheme="minorHAnsi" w:hAnsiTheme="minorHAnsi" w:cstheme="minorHAnsi"/>
          <w:szCs w:val="24"/>
          <w:lang w:val="en-GB"/>
        </w:rPr>
      </w:pPr>
      <w:r w:rsidRPr="00C86111">
        <w:rPr>
          <w:rFonts w:asciiTheme="minorHAnsi" w:hAnsiTheme="minorHAnsi" w:cstheme="minorHAnsi"/>
          <w:szCs w:val="24"/>
          <w:lang w:val="en-GB"/>
        </w:rPr>
        <w:t>Podsticanje javno-privatnih partnerstava za ulaganja u zelenu infrastrukturu i tehnologije bezbjednog upravljanja POPs otpadom.</w:t>
      </w:r>
    </w:p>
    <w:p w14:paraId="45433C35" w14:textId="77777777" w:rsidR="004F6023" w:rsidRPr="00C86111" w:rsidRDefault="004F6023" w:rsidP="007A23C1">
      <w:pPr>
        <w:ind w:left="1440"/>
        <w:jc w:val="both"/>
        <w:rPr>
          <w:rFonts w:asciiTheme="minorHAnsi" w:hAnsiTheme="minorHAnsi" w:cstheme="minorHAnsi"/>
          <w:szCs w:val="24"/>
          <w:lang w:val="en-GB"/>
        </w:rPr>
      </w:pPr>
    </w:p>
    <w:p w14:paraId="3F698D47" w14:textId="77777777" w:rsidR="004F6023" w:rsidRPr="00C86111" w:rsidRDefault="004F6023" w:rsidP="00833A40">
      <w:pPr>
        <w:numPr>
          <w:ilvl w:val="0"/>
          <w:numId w:val="71"/>
        </w:numPr>
        <w:jc w:val="both"/>
        <w:rPr>
          <w:rFonts w:asciiTheme="minorHAnsi" w:hAnsiTheme="minorHAnsi" w:cstheme="minorHAnsi"/>
          <w:color w:val="002060"/>
          <w:szCs w:val="24"/>
          <w:lang w:val="en-GB"/>
        </w:rPr>
      </w:pPr>
      <w:r w:rsidRPr="00C86111">
        <w:rPr>
          <w:rFonts w:asciiTheme="minorHAnsi" w:hAnsiTheme="minorHAnsi" w:cstheme="minorHAnsi"/>
          <w:b/>
          <w:bCs/>
          <w:color w:val="002060"/>
          <w:szCs w:val="24"/>
          <w:lang w:val="en-GB"/>
        </w:rPr>
        <w:t>Fondovi za klimatske promjene i zelenu tranziciju</w:t>
      </w:r>
    </w:p>
    <w:p w14:paraId="4F5DB655" w14:textId="77777777" w:rsidR="004F6023" w:rsidRPr="00C86111" w:rsidRDefault="004F6023" w:rsidP="00004F34">
      <w:pPr>
        <w:pStyle w:val="ListParagraph"/>
        <w:numPr>
          <w:ilvl w:val="1"/>
          <w:numId w:val="229"/>
        </w:numPr>
        <w:jc w:val="both"/>
        <w:rPr>
          <w:rFonts w:asciiTheme="minorHAnsi" w:hAnsiTheme="minorHAnsi" w:cstheme="minorHAnsi"/>
          <w:szCs w:val="24"/>
          <w:lang w:val="en-GB"/>
        </w:rPr>
      </w:pPr>
      <w:r w:rsidRPr="00C86111">
        <w:rPr>
          <w:rFonts w:asciiTheme="minorHAnsi" w:hAnsiTheme="minorHAnsi" w:cstheme="minorHAnsi"/>
          <w:szCs w:val="24"/>
          <w:lang w:val="en-GB"/>
        </w:rPr>
        <w:t>Instrumenti kao što su Zeleni klimatski fond (Green Climate Fund) i fondovi za održivi razvoj koji podržavaju projekte smanjenja zagađenja i unapređenja infrastrukture.</w:t>
      </w:r>
    </w:p>
    <w:p w14:paraId="5928B70A" w14:textId="77777777" w:rsidR="004F6023" w:rsidRPr="00C86111" w:rsidRDefault="004F6023" w:rsidP="004F6023">
      <w:pPr>
        <w:ind w:left="1440"/>
        <w:jc w:val="both"/>
        <w:rPr>
          <w:rFonts w:asciiTheme="minorHAnsi" w:hAnsiTheme="minorHAnsi" w:cstheme="minorHAnsi"/>
          <w:szCs w:val="24"/>
          <w:lang w:val="en-GB"/>
        </w:rPr>
      </w:pPr>
    </w:p>
    <w:p w14:paraId="0A02E483" w14:textId="77777777" w:rsidR="004F6023" w:rsidRPr="00C86111" w:rsidRDefault="004F6023" w:rsidP="00833A40">
      <w:pPr>
        <w:numPr>
          <w:ilvl w:val="0"/>
          <w:numId w:val="71"/>
        </w:numPr>
        <w:jc w:val="both"/>
        <w:rPr>
          <w:rFonts w:asciiTheme="minorHAnsi" w:hAnsiTheme="minorHAnsi" w:cstheme="minorHAnsi"/>
          <w:color w:val="002060"/>
          <w:szCs w:val="24"/>
          <w:lang w:val="en-GB"/>
        </w:rPr>
      </w:pPr>
      <w:r w:rsidRPr="00C86111">
        <w:rPr>
          <w:rFonts w:asciiTheme="minorHAnsi" w:hAnsiTheme="minorHAnsi" w:cstheme="minorHAnsi"/>
          <w:b/>
          <w:bCs/>
          <w:color w:val="002060"/>
          <w:szCs w:val="24"/>
          <w:lang w:val="en-GB"/>
        </w:rPr>
        <w:t>Privatni sektor i industrijski fondovi</w:t>
      </w:r>
    </w:p>
    <w:p w14:paraId="2C051BF4" w14:textId="77777777" w:rsidR="004F6023" w:rsidRPr="00C86111" w:rsidRDefault="004F6023" w:rsidP="00004F34">
      <w:pPr>
        <w:pStyle w:val="ListParagraph"/>
        <w:numPr>
          <w:ilvl w:val="1"/>
          <w:numId w:val="229"/>
        </w:numPr>
        <w:jc w:val="both"/>
        <w:rPr>
          <w:rFonts w:asciiTheme="minorHAnsi" w:hAnsiTheme="minorHAnsi" w:cstheme="minorHAnsi"/>
          <w:szCs w:val="24"/>
          <w:lang w:val="en-GB"/>
        </w:rPr>
      </w:pPr>
      <w:r w:rsidRPr="00C86111">
        <w:rPr>
          <w:rFonts w:asciiTheme="minorHAnsi" w:hAnsiTheme="minorHAnsi" w:cstheme="minorHAnsi"/>
          <w:szCs w:val="24"/>
          <w:lang w:val="en-GB"/>
        </w:rPr>
        <w:t>Investicije i samofinansiranje kompanija koje posjeduju opremu sa POPs hemikalijama, kroz pristup povoljnim kreditima i subvencijama za modernizaciju.</w:t>
      </w:r>
    </w:p>
    <w:p w14:paraId="5B0E397A" w14:textId="77777777" w:rsidR="004F6023" w:rsidRPr="00C86111" w:rsidRDefault="004F6023" w:rsidP="00004F34">
      <w:pPr>
        <w:pStyle w:val="ListParagraph"/>
        <w:numPr>
          <w:ilvl w:val="1"/>
          <w:numId w:val="229"/>
        </w:numPr>
        <w:jc w:val="both"/>
        <w:rPr>
          <w:rFonts w:asciiTheme="minorHAnsi" w:hAnsiTheme="minorHAnsi" w:cstheme="minorHAnsi"/>
          <w:szCs w:val="24"/>
          <w:lang w:val="en-GB"/>
        </w:rPr>
      </w:pPr>
      <w:r w:rsidRPr="00C86111">
        <w:rPr>
          <w:rFonts w:asciiTheme="minorHAnsi" w:hAnsiTheme="minorHAnsi" w:cstheme="minorHAnsi"/>
          <w:szCs w:val="24"/>
          <w:lang w:val="en-GB"/>
        </w:rPr>
        <w:t>Fondovi za društvenu odgovornost kompanija (CSR) usmjereni na zaštitu životne sredine.</w:t>
      </w:r>
    </w:p>
    <w:p w14:paraId="4BBFF55B" w14:textId="77777777" w:rsidR="004F6023" w:rsidRPr="00C86111" w:rsidRDefault="004F6023" w:rsidP="004F6023">
      <w:pPr>
        <w:jc w:val="both"/>
        <w:rPr>
          <w:rFonts w:asciiTheme="minorHAnsi" w:hAnsiTheme="minorHAnsi" w:cstheme="minorHAnsi"/>
          <w:szCs w:val="24"/>
          <w:lang w:val="en-GB"/>
        </w:rPr>
      </w:pPr>
    </w:p>
    <w:p w14:paraId="1E347D73"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szCs w:val="24"/>
          <w:lang w:val="en-GB"/>
        </w:rPr>
        <w:t>Kombinovanjem ovih izvora moguće je obezbijediti stabilno finansiranje za razvoj i održavanje sistema upravljanja POPs hemikalijama, podizanje kapaciteta i implementaciju inovativnih tehnologija u Crnoj Gori.</w:t>
      </w:r>
    </w:p>
    <w:p w14:paraId="5EBD7300" w14:textId="77777777" w:rsidR="004F6023" w:rsidRPr="00C86111" w:rsidRDefault="004F6023" w:rsidP="004F6023">
      <w:pPr>
        <w:jc w:val="both"/>
        <w:rPr>
          <w:rFonts w:asciiTheme="minorHAnsi" w:hAnsiTheme="minorHAnsi" w:cstheme="minorHAnsi"/>
          <w:szCs w:val="24"/>
        </w:rPr>
      </w:pPr>
    </w:p>
    <w:p w14:paraId="68577FE0" w14:textId="77777777" w:rsidR="004F6023" w:rsidRPr="00C86111" w:rsidRDefault="004F6023" w:rsidP="00EA6904">
      <w:pPr>
        <w:pStyle w:val="Heading3"/>
      </w:pPr>
      <w:bookmarkStart w:id="485" w:name="_Toc220542015"/>
      <w:r w:rsidRPr="00C86111">
        <w:t>Zaključak</w:t>
      </w:r>
      <w:bookmarkEnd w:id="485"/>
    </w:p>
    <w:p w14:paraId="7FD19541" w14:textId="77777777" w:rsidR="004F6023" w:rsidRPr="00C86111" w:rsidRDefault="004F6023" w:rsidP="004F6023">
      <w:pPr>
        <w:jc w:val="both"/>
        <w:rPr>
          <w:rFonts w:asciiTheme="minorHAnsi" w:hAnsiTheme="minorHAnsi" w:cstheme="minorHAnsi"/>
          <w:szCs w:val="24"/>
          <w:lang w:val="en-GB"/>
        </w:rPr>
      </w:pPr>
    </w:p>
    <w:p w14:paraId="2657D97F"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szCs w:val="24"/>
          <w:lang w:val="en-GB"/>
        </w:rPr>
        <w:t xml:space="preserve">Crna Gora je u proteklom periodu ostvarila značajan napredak u oblasti upravljanja POPs hemikalijama kroz realizaciju brojnih projekata uz podršku međunarodnih partnera i nacionalnih institucija. Rezultati poput uspostavljanja nacionalnih inventara, izvoza i dekontaminacije PCB opreme i zemljišta, izrade regulatornih dokumenata, podizanja kapaciteta i sprovođenja </w:t>
      </w:r>
      <w:r w:rsidRPr="00C86111">
        <w:rPr>
          <w:rFonts w:asciiTheme="minorHAnsi" w:hAnsiTheme="minorHAnsi" w:cstheme="minorHAnsi"/>
          <w:szCs w:val="24"/>
          <w:lang w:val="en-GB"/>
        </w:rPr>
        <w:lastRenderedPageBreak/>
        <w:t>edukativnih aktivnosti potvrđuju posvećenost ispunjavanju obaveza iz međunarodnih konvencija i približavanju evropskim standardima.</w:t>
      </w:r>
    </w:p>
    <w:p w14:paraId="133FB2C8"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szCs w:val="24"/>
          <w:lang w:val="en-GB"/>
        </w:rPr>
        <w:t>Međutim, proces uspostavljanja trajnog i održivog sistema i dalje je u toku. Ključni izazovi odnose se na nedovoljno razvijenu infrastrukturu za tretman i skladištenje POPs otpada, potrebu za jačanjem institucionalnih kapaciteta i laboratorijskih mogućnosti, kao i na obezbjeđivanje stabilnih finansijskih izvora. Pored toga, važan zadatak ostaje kontinuirana edukacija i uključivanje lokalnih zajednica, privatnog sektora i civilnog društva.</w:t>
      </w:r>
    </w:p>
    <w:p w14:paraId="0DBA6DBD" w14:textId="77777777" w:rsidR="004F6023" w:rsidRPr="00C86111" w:rsidRDefault="004F6023" w:rsidP="004F6023">
      <w:pPr>
        <w:jc w:val="both"/>
        <w:rPr>
          <w:rFonts w:asciiTheme="minorHAnsi" w:hAnsiTheme="minorHAnsi" w:cstheme="minorHAnsi"/>
          <w:szCs w:val="24"/>
          <w:lang w:val="en-GB"/>
        </w:rPr>
      </w:pPr>
    </w:p>
    <w:p w14:paraId="44109F49"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szCs w:val="24"/>
          <w:lang w:val="en-GB"/>
        </w:rPr>
        <w:t>Za naredni period prioriteti treba da budu:</w:t>
      </w:r>
    </w:p>
    <w:p w14:paraId="4CBB9321" w14:textId="77777777" w:rsidR="004F6023" w:rsidRPr="00C86111" w:rsidRDefault="004F6023" w:rsidP="00833A40">
      <w:pPr>
        <w:numPr>
          <w:ilvl w:val="0"/>
          <w:numId w:val="73"/>
        </w:numPr>
        <w:jc w:val="both"/>
        <w:rPr>
          <w:rFonts w:asciiTheme="minorHAnsi" w:hAnsiTheme="minorHAnsi" w:cstheme="minorHAnsi"/>
          <w:szCs w:val="24"/>
          <w:lang w:val="en-GB"/>
        </w:rPr>
      </w:pPr>
      <w:r w:rsidRPr="00C86111">
        <w:rPr>
          <w:rFonts w:asciiTheme="minorHAnsi" w:hAnsiTheme="minorHAnsi" w:cstheme="minorHAnsi"/>
          <w:szCs w:val="24"/>
          <w:lang w:val="en-GB"/>
        </w:rPr>
        <w:t>jačanje institucionalnih i tehničkih kapaciteta,</w:t>
      </w:r>
    </w:p>
    <w:p w14:paraId="53082A23" w14:textId="77777777" w:rsidR="004F6023" w:rsidRPr="00C86111" w:rsidRDefault="004F6023" w:rsidP="00833A40">
      <w:pPr>
        <w:numPr>
          <w:ilvl w:val="0"/>
          <w:numId w:val="73"/>
        </w:numPr>
        <w:jc w:val="both"/>
        <w:rPr>
          <w:rFonts w:asciiTheme="minorHAnsi" w:hAnsiTheme="minorHAnsi" w:cstheme="minorHAnsi"/>
          <w:szCs w:val="24"/>
          <w:lang w:val="en-GB"/>
        </w:rPr>
      </w:pPr>
      <w:r w:rsidRPr="00C86111">
        <w:rPr>
          <w:rFonts w:asciiTheme="minorHAnsi" w:hAnsiTheme="minorHAnsi" w:cstheme="minorHAnsi"/>
          <w:szCs w:val="24"/>
          <w:lang w:val="en-GB"/>
        </w:rPr>
        <w:t>unapređenje zakonodavnog okvira i harmonizacija sa EU regulativom,</w:t>
      </w:r>
    </w:p>
    <w:p w14:paraId="7B454FB0" w14:textId="77777777" w:rsidR="004F6023" w:rsidRPr="00C86111" w:rsidRDefault="004F6023" w:rsidP="00833A40">
      <w:pPr>
        <w:numPr>
          <w:ilvl w:val="0"/>
          <w:numId w:val="73"/>
        </w:numPr>
        <w:jc w:val="both"/>
        <w:rPr>
          <w:rFonts w:asciiTheme="minorHAnsi" w:hAnsiTheme="minorHAnsi" w:cstheme="minorHAnsi"/>
          <w:szCs w:val="24"/>
          <w:lang w:val="en-GB"/>
        </w:rPr>
      </w:pPr>
      <w:r w:rsidRPr="00C86111">
        <w:rPr>
          <w:rFonts w:asciiTheme="minorHAnsi" w:hAnsiTheme="minorHAnsi" w:cstheme="minorHAnsi"/>
          <w:szCs w:val="24"/>
          <w:lang w:val="en-GB"/>
        </w:rPr>
        <w:t>obezbjeđivanje održivog finansiranja kroz kombinaciju nacionalnih resursa i međunarodnih fondova,</w:t>
      </w:r>
    </w:p>
    <w:p w14:paraId="2D0EFE03" w14:textId="77777777" w:rsidR="004F6023" w:rsidRPr="00C86111" w:rsidRDefault="004F6023" w:rsidP="00833A40">
      <w:pPr>
        <w:numPr>
          <w:ilvl w:val="0"/>
          <w:numId w:val="73"/>
        </w:numPr>
        <w:jc w:val="both"/>
        <w:rPr>
          <w:rFonts w:asciiTheme="minorHAnsi" w:hAnsiTheme="minorHAnsi" w:cstheme="minorHAnsi"/>
          <w:szCs w:val="24"/>
          <w:lang w:val="en-GB"/>
        </w:rPr>
      </w:pPr>
      <w:r w:rsidRPr="00C86111">
        <w:rPr>
          <w:rFonts w:asciiTheme="minorHAnsi" w:hAnsiTheme="minorHAnsi" w:cstheme="minorHAnsi"/>
          <w:szCs w:val="24"/>
          <w:lang w:val="en-GB"/>
        </w:rPr>
        <w:t>razvoj regionalne saradnje i razmjene iskustava,</w:t>
      </w:r>
    </w:p>
    <w:p w14:paraId="3333824C" w14:textId="77777777" w:rsidR="004F6023" w:rsidRPr="00C86111" w:rsidRDefault="004F6023" w:rsidP="00833A40">
      <w:pPr>
        <w:numPr>
          <w:ilvl w:val="0"/>
          <w:numId w:val="73"/>
        </w:numPr>
        <w:jc w:val="both"/>
        <w:rPr>
          <w:rFonts w:asciiTheme="minorHAnsi" w:hAnsiTheme="minorHAnsi" w:cstheme="minorHAnsi"/>
          <w:szCs w:val="24"/>
          <w:lang w:val="en-GB"/>
        </w:rPr>
      </w:pPr>
      <w:r w:rsidRPr="00C86111">
        <w:rPr>
          <w:rFonts w:asciiTheme="minorHAnsi" w:hAnsiTheme="minorHAnsi" w:cstheme="minorHAnsi"/>
          <w:szCs w:val="24"/>
          <w:lang w:val="en-GB"/>
        </w:rPr>
        <w:t>sistemsko uključivanje javnosti i civilnog sektora.</w:t>
      </w:r>
    </w:p>
    <w:p w14:paraId="5A1A62D8" w14:textId="77777777" w:rsidR="004F6023" w:rsidRPr="00C86111" w:rsidRDefault="004F6023" w:rsidP="004F6023">
      <w:pPr>
        <w:jc w:val="both"/>
        <w:rPr>
          <w:rFonts w:asciiTheme="minorHAnsi" w:hAnsiTheme="minorHAnsi" w:cstheme="minorHAnsi"/>
          <w:szCs w:val="24"/>
          <w:lang w:val="en-GB"/>
        </w:rPr>
      </w:pPr>
      <w:r w:rsidRPr="00C86111">
        <w:rPr>
          <w:rFonts w:asciiTheme="minorHAnsi" w:hAnsiTheme="minorHAnsi" w:cstheme="minorHAnsi"/>
          <w:szCs w:val="24"/>
          <w:lang w:val="en-GB"/>
        </w:rPr>
        <w:t>Realizacija ovih koraka doprinijeće stvaranju trajnog i efikasnog sistema za upravljanje POPs hemikalijama u Crnoj Gori, čime će se značajno unaprijediti zaštita zdravlja ljudi, očuvanje životne sredine i ispunjavanje međunarodnih obaveza.</w:t>
      </w:r>
    </w:p>
    <w:p w14:paraId="414ECC04" w14:textId="77777777" w:rsidR="004F6023" w:rsidRPr="00C86111" w:rsidRDefault="004F6023" w:rsidP="004F6023">
      <w:pPr>
        <w:jc w:val="both"/>
        <w:rPr>
          <w:rFonts w:asciiTheme="minorHAnsi" w:hAnsiTheme="minorHAnsi" w:cstheme="minorHAnsi"/>
          <w:szCs w:val="24"/>
        </w:rPr>
      </w:pPr>
    </w:p>
    <w:p w14:paraId="06F57D3D" w14:textId="77777777" w:rsidR="004F6023" w:rsidRPr="00C86111" w:rsidRDefault="004F6023" w:rsidP="004F6023">
      <w:pPr>
        <w:jc w:val="both"/>
        <w:rPr>
          <w:rFonts w:asciiTheme="minorHAnsi" w:hAnsiTheme="minorHAnsi" w:cstheme="minorHAnsi"/>
          <w:bCs/>
          <w:szCs w:val="24"/>
          <w:u w:val="single"/>
          <w:lang w:val="en-GB"/>
        </w:rPr>
      </w:pPr>
      <w:r w:rsidRPr="00C86111">
        <w:rPr>
          <w:rFonts w:asciiTheme="minorHAnsi" w:hAnsiTheme="minorHAnsi" w:cstheme="minorHAnsi"/>
          <w:bCs/>
          <w:szCs w:val="24"/>
          <w:u w:val="single"/>
          <w:lang w:val="en-GB"/>
        </w:rPr>
        <w:t>Napomena o izvorima:</w:t>
      </w:r>
    </w:p>
    <w:p w14:paraId="12D24117" w14:textId="77777777" w:rsidR="004F6023" w:rsidRPr="00C86111" w:rsidRDefault="004F6023" w:rsidP="004F6023">
      <w:pPr>
        <w:jc w:val="both"/>
        <w:rPr>
          <w:rFonts w:asciiTheme="minorHAnsi" w:hAnsiTheme="minorHAnsi" w:cstheme="minorHAnsi"/>
          <w:szCs w:val="24"/>
          <w:lang w:val="en-GB"/>
        </w:rPr>
      </w:pPr>
    </w:p>
    <w:p w14:paraId="2717BE1D" w14:textId="77777777" w:rsidR="004F6023" w:rsidRPr="00C86111" w:rsidRDefault="004F6023" w:rsidP="00833A40">
      <w:pPr>
        <w:numPr>
          <w:ilvl w:val="0"/>
          <w:numId w:val="79"/>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NIP (2019–2023) – zvanična veb-stranica Vlade Crne Gore (status i finansije). </w:t>
      </w:r>
    </w:p>
    <w:p w14:paraId="54E51F33" w14:textId="77777777" w:rsidR="004F6023" w:rsidRPr="00C86111" w:rsidRDefault="004F6023" w:rsidP="00833A40">
      <w:pPr>
        <w:numPr>
          <w:ilvl w:val="0"/>
          <w:numId w:val="79"/>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UNDP/GEF PCB Crna Gora – završna evaluacija (inventar, količine zbrinutog otpada i zemljišta). </w:t>
      </w:r>
    </w:p>
    <w:p w14:paraId="74EAB7FF" w14:textId="77777777" w:rsidR="004F6023" w:rsidRPr="00C86111" w:rsidRDefault="004F6023" w:rsidP="00833A40">
      <w:pPr>
        <w:numPr>
          <w:ilvl w:val="0"/>
          <w:numId w:val="79"/>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FAOLEX NIP (2012) – polazna osnova i procjene količina PCB. </w:t>
      </w:r>
    </w:p>
    <w:p w14:paraId="6BA1B4FC" w14:textId="77777777" w:rsidR="004F6023" w:rsidRPr="00C86111" w:rsidRDefault="004F6023" w:rsidP="00833A40">
      <w:pPr>
        <w:numPr>
          <w:ilvl w:val="0"/>
          <w:numId w:val="79"/>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UNEP/MAP MedProgramme (2020–2026) – okvir, ciljevi i očekivani rezultati. </w:t>
      </w:r>
    </w:p>
    <w:p w14:paraId="35A9116C" w14:textId="77777777" w:rsidR="004F6023" w:rsidRPr="00C86111" w:rsidRDefault="004F6023" w:rsidP="00833A40">
      <w:pPr>
        <w:numPr>
          <w:ilvl w:val="0"/>
          <w:numId w:val="79"/>
        </w:numPr>
        <w:jc w:val="both"/>
        <w:rPr>
          <w:rFonts w:asciiTheme="minorHAnsi" w:hAnsiTheme="minorHAnsi" w:cstheme="minorHAnsi"/>
          <w:szCs w:val="24"/>
          <w:lang w:val="en-GB"/>
        </w:rPr>
      </w:pPr>
      <w:r w:rsidRPr="00C86111">
        <w:rPr>
          <w:rFonts w:asciiTheme="minorHAnsi" w:hAnsiTheme="minorHAnsi" w:cstheme="minorHAnsi"/>
          <w:szCs w:val="24"/>
          <w:lang w:val="en-GB"/>
        </w:rPr>
        <w:t xml:space="preserve">OSCE/izvještaj o otpadu – trendovi izvoza opasnog otpada (2021–2022). </w:t>
      </w:r>
    </w:p>
    <w:p w14:paraId="320E2909" w14:textId="77777777" w:rsidR="004F6023" w:rsidRPr="00C86111" w:rsidRDefault="004F6023" w:rsidP="00833A40">
      <w:pPr>
        <w:numPr>
          <w:ilvl w:val="0"/>
          <w:numId w:val="79"/>
        </w:numPr>
        <w:jc w:val="both"/>
        <w:rPr>
          <w:rFonts w:asciiTheme="minorHAnsi" w:hAnsiTheme="minorHAnsi" w:cstheme="minorHAnsi"/>
          <w:szCs w:val="24"/>
        </w:rPr>
      </w:pPr>
      <w:r w:rsidRPr="00C86111">
        <w:rPr>
          <w:rFonts w:asciiTheme="minorHAnsi" w:hAnsiTheme="minorHAnsi" w:cstheme="minorHAnsi"/>
          <w:szCs w:val="24"/>
          <w:lang w:val="en-GB"/>
        </w:rPr>
        <w:t xml:space="preserve">UNECE 4th EPR (2024) – sveukupna ocjena usklađivanja i potrebe po “Poglavlju 27”. </w:t>
      </w:r>
    </w:p>
    <w:p w14:paraId="64491F13" w14:textId="77777777" w:rsidR="004F6023" w:rsidRPr="00C86111" w:rsidRDefault="004F6023" w:rsidP="004F6023">
      <w:pPr>
        <w:jc w:val="both"/>
        <w:rPr>
          <w:rFonts w:asciiTheme="minorHAnsi" w:hAnsiTheme="minorHAnsi" w:cstheme="minorHAnsi"/>
          <w:szCs w:val="24"/>
        </w:rPr>
      </w:pPr>
      <w:bookmarkStart w:id="486" w:name="_Hlk215432888"/>
    </w:p>
    <w:p w14:paraId="227D9EB1" w14:textId="77777777" w:rsidR="004F6023" w:rsidRDefault="004F6023" w:rsidP="004F6023">
      <w:pPr>
        <w:jc w:val="both"/>
        <w:rPr>
          <w:rFonts w:asciiTheme="minorHAnsi" w:hAnsiTheme="minorHAnsi" w:cstheme="minorHAnsi"/>
          <w:szCs w:val="24"/>
        </w:rPr>
      </w:pPr>
    </w:p>
    <w:p w14:paraId="0BCAB1DE" w14:textId="77777777" w:rsidR="00D611ED" w:rsidRDefault="00D611ED" w:rsidP="004F6023">
      <w:pPr>
        <w:jc w:val="both"/>
        <w:rPr>
          <w:rFonts w:asciiTheme="minorHAnsi" w:hAnsiTheme="minorHAnsi" w:cstheme="minorHAnsi"/>
          <w:szCs w:val="24"/>
        </w:rPr>
      </w:pPr>
    </w:p>
    <w:p w14:paraId="784BF06D" w14:textId="77777777" w:rsidR="00D611ED" w:rsidRDefault="00D611ED" w:rsidP="004F6023">
      <w:pPr>
        <w:jc w:val="both"/>
        <w:rPr>
          <w:rFonts w:asciiTheme="minorHAnsi" w:hAnsiTheme="minorHAnsi" w:cstheme="minorHAnsi"/>
          <w:szCs w:val="24"/>
        </w:rPr>
      </w:pPr>
    </w:p>
    <w:p w14:paraId="13CD0011" w14:textId="77777777" w:rsidR="00D611ED" w:rsidRDefault="00D611ED" w:rsidP="004F6023">
      <w:pPr>
        <w:jc w:val="both"/>
        <w:rPr>
          <w:rFonts w:asciiTheme="minorHAnsi" w:hAnsiTheme="minorHAnsi" w:cstheme="minorHAnsi"/>
          <w:szCs w:val="24"/>
        </w:rPr>
      </w:pPr>
    </w:p>
    <w:p w14:paraId="6F2CDE7C" w14:textId="77777777" w:rsidR="00D611ED" w:rsidRDefault="00D611ED" w:rsidP="004F6023">
      <w:pPr>
        <w:jc w:val="both"/>
        <w:rPr>
          <w:rFonts w:asciiTheme="minorHAnsi" w:hAnsiTheme="minorHAnsi" w:cstheme="minorHAnsi"/>
          <w:szCs w:val="24"/>
        </w:rPr>
      </w:pPr>
    </w:p>
    <w:p w14:paraId="479082E2" w14:textId="77777777" w:rsidR="00D611ED" w:rsidRPr="00C86111" w:rsidRDefault="00D611ED" w:rsidP="004F6023">
      <w:pPr>
        <w:jc w:val="both"/>
        <w:rPr>
          <w:rFonts w:asciiTheme="minorHAnsi" w:hAnsiTheme="minorHAnsi" w:cstheme="minorHAnsi"/>
          <w:szCs w:val="24"/>
        </w:rPr>
      </w:pPr>
    </w:p>
    <w:p w14:paraId="483DB701" w14:textId="77777777" w:rsidR="004F6023" w:rsidRPr="00C86111" w:rsidRDefault="004F6023" w:rsidP="00912C4C">
      <w:pPr>
        <w:pStyle w:val="Heading1"/>
      </w:pPr>
      <w:bookmarkStart w:id="487" w:name="_Toc220542016"/>
      <w:r w:rsidRPr="00C86111">
        <w:t>EDUKACIJA JAVNOSTI</w:t>
      </w:r>
      <w:bookmarkEnd w:id="487"/>
    </w:p>
    <w:p w14:paraId="7111B48D" w14:textId="77777777" w:rsidR="004F6023" w:rsidRDefault="004F6023" w:rsidP="00EA6904">
      <w:pPr>
        <w:pStyle w:val="Heading3"/>
      </w:pPr>
      <w:bookmarkStart w:id="488" w:name="_Toc220542017"/>
      <w:bookmarkEnd w:id="486"/>
      <w:r w:rsidRPr="00C86111">
        <w:t>Uvod</w:t>
      </w:r>
      <w:bookmarkEnd w:id="488"/>
    </w:p>
    <w:p w14:paraId="5941D490" w14:textId="77777777" w:rsidR="00D611ED" w:rsidRPr="00D611ED" w:rsidRDefault="00D611ED" w:rsidP="00D611ED">
      <w:pPr>
        <w:rPr>
          <w:lang w:val="sr-Latn-ME"/>
        </w:rPr>
      </w:pPr>
    </w:p>
    <w:p w14:paraId="4F488187" w14:textId="77777777" w:rsidR="004F6023" w:rsidRPr="00C86111" w:rsidRDefault="004F6023" w:rsidP="004F6023">
      <w:pPr>
        <w:pStyle w:val="Text"/>
        <w:jc w:val="both"/>
        <w:outlineLvl w:val="3"/>
        <w:rPr>
          <w:rFonts w:asciiTheme="minorHAnsi" w:hAnsiTheme="minorHAnsi" w:cstheme="minorHAnsi"/>
          <w:sz w:val="24"/>
          <w:szCs w:val="24"/>
        </w:rPr>
      </w:pPr>
      <w:r w:rsidRPr="00C86111">
        <w:rPr>
          <w:rFonts w:asciiTheme="minorHAnsi" w:hAnsiTheme="minorHAnsi" w:cstheme="minorHAnsi"/>
          <w:sz w:val="24"/>
          <w:szCs w:val="24"/>
        </w:rPr>
        <w:t xml:space="preserve">Crna Gora, kao potpisnica Stokholmske konvencije od marta 2011. godine, preduzela je značajne korake ka ispunjavanju svojih obaveza kroz razvoj nacionalnih politika, aktivnu saradnju sa zainteresovanim stranama i aktivnosti uključivanja javnosti. Nacionalni implementacioni plan </w:t>
      </w:r>
      <w:r w:rsidRPr="00C86111">
        <w:rPr>
          <w:rFonts w:asciiTheme="minorHAnsi" w:hAnsiTheme="minorHAnsi" w:cstheme="minorHAnsi"/>
          <w:sz w:val="24"/>
          <w:szCs w:val="24"/>
        </w:rPr>
        <w:lastRenderedPageBreak/>
        <w:t>(NIP) iz 2019. godine predstavljao je ključni temeljni dokument u identifikovanju prioritetnih pitanja vezanih za POPs, uspostavljanju osnovnih mehanizama praćenja i definisanju institucionalnih odgovornosti. Ipak, NIP je imao ograničen fokus na član 10 Konvencije, posebno u pogledu učešća javnosti i implementacije mjera za podizanje svijesti. Mehanizmi razmjene informacija sa javnošću u tom periodu bili su nedovoljno razvijeni, dok je angažman zainteresovanih strana — posebno iz civilnog društva — bio minimalan, sporadičan i nedosljedan.</w:t>
      </w:r>
    </w:p>
    <w:p w14:paraId="2B9DFF12" w14:textId="77777777" w:rsidR="004F6023" w:rsidRPr="00C86111" w:rsidRDefault="004F6023" w:rsidP="004F6023">
      <w:pPr>
        <w:pStyle w:val="Text"/>
        <w:jc w:val="both"/>
        <w:outlineLvl w:val="3"/>
        <w:rPr>
          <w:rFonts w:asciiTheme="minorHAnsi" w:hAnsiTheme="minorHAnsi" w:cstheme="minorHAnsi"/>
          <w:sz w:val="24"/>
          <w:szCs w:val="24"/>
        </w:rPr>
      </w:pPr>
      <w:r w:rsidRPr="00C86111">
        <w:rPr>
          <w:rFonts w:asciiTheme="minorHAnsi" w:hAnsiTheme="minorHAnsi" w:cstheme="minorHAnsi"/>
          <w:sz w:val="24"/>
          <w:szCs w:val="24"/>
        </w:rPr>
        <w:t>Ovaj dio NIP-a pruža sveobuhvatan pregled aktivnosti koje su preduzete u Crnoj Gori u oblastima razmjene informacija, podizanja svijesti i angažovanja civilnog društva u vezi sa postojanim organskim zagađivačima (POPs), u okviru Stokholmske konvencije. U njemu su jasno definisane uloge i doprinosi ključnih aktera, uključujući Ministarstvo ekologije, nacionalne i lokalne vladine institucije, nevladine organizacije (NVO) i šire civilno društvo. Tekst takođe služi kao osnova za izradu pratećih akcionih planova za implementaciju koji će početi od 2026. godine i koji će biti usmjereni na postizanje efektivnog uključivanja javnosti u proces upravljanja POPs-ima.</w:t>
      </w:r>
    </w:p>
    <w:p w14:paraId="674F2603" w14:textId="77777777" w:rsidR="004F6023" w:rsidRPr="00C86111" w:rsidRDefault="004F6023" w:rsidP="004F6023">
      <w:pPr>
        <w:pStyle w:val="Text"/>
        <w:jc w:val="both"/>
        <w:outlineLvl w:val="3"/>
        <w:rPr>
          <w:rFonts w:asciiTheme="minorHAnsi" w:hAnsiTheme="minorHAnsi" w:cstheme="minorHAnsi"/>
          <w:sz w:val="24"/>
          <w:szCs w:val="24"/>
        </w:rPr>
      </w:pPr>
      <w:r w:rsidRPr="00C86111">
        <w:rPr>
          <w:rFonts w:asciiTheme="minorHAnsi" w:hAnsiTheme="minorHAnsi" w:cstheme="minorHAnsi"/>
          <w:sz w:val="24"/>
          <w:szCs w:val="24"/>
        </w:rPr>
        <w:t>Ova procjena aktivnosti se nadovezuje na temelje postavljene tokom implementacije prethodnog NIP-a (2007–2014), koji je inicijalno uveo osnovne mehanizme za širenje informacija prema javnosti i informisanje zainteresovanih strana o pitanjima vezanim za POPs. Period revizije 2017–2024. odražava dalji razvoj i sazrijevanje tih ranijih napora, obilježen poboljšanom institucionalnom koordinacijom, povećanom transparentnošću i proširenim mehanizmima za aktivno uključivanje javnosti. Značajan napredak se ogleda u povećanoj učestalosti komunikacionih kampanja, boljem pristupu podacima vezanim za POPs i sistematskom uključivanju aktera civilnog društva u inicijative za edukaciju, informisanje i podizanje svijesti.</w:t>
      </w:r>
    </w:p>
    <w:p w14:paraId="62721E13" w14:textId="77777777" w:rsidR="004F6023" w:rsidRPr="00C86111" w:rsidRDefault="004F6023" w:rsidP="004F6023">
      <w:pPr>
        <w:pStyle w:val="Text"/>
        <w:jc w:val="both"/>
        <w:outlineLvl w:val="3"/>
        <w:rPr>
          <w:rFonts w:asciiTheme="minorHAnsi" w:hAnsiTheme="minorHAnsi" w:cstheme="minorHAnsi"/>
          <w:sz w:val="24"/>
          <w:szCs w:val="24"/>
        </w:rPr>
      </w:pPr>
      <w:r w:rsidRPr="00C86111">
        <w:rPr>
          <w:rFonts w:asciiTheme="minorHAnsi" w:hAnsiTheme="minorHAnsi" w:cstheme="minorHAnsi"/>
          <w:sz w:val="24"/>
          <w:szCs w:val="24"/>
        </w:rPr>
        <w:t>Kritički su analizirani rezultati prethodnog ciklusa NIP-a, identifikovani su novi trendovi, naučene lekcije i prioritetna područja za buduće intervencije. Procjena je rezultat nacionalnih samoprocjena, konsultacija sa širokim spektrom zainteresovanih strana i participativnih procesa koji uključuju civilno društvo i lokalne zajednice, sprovedenih tokom perioda 2017–2024.</w:t>
      </w:r>
    </w:p>
    <w:p w14:paraId="4EF8A8B3" w14:textId="77777777" w:rsidR="004F6023" w:rsidRPr="00C86111" w:rsidRDefault="004F6023" w:rsidP="004F6023">
      <w:pPr>
        <w:pStyle w:val="Text"/>
        <w:jc w:val="both"/>
        <w:outlineLvl w:val="3"/>
        <w:rPr>
          <w:rFonts w:asciiTheme="minorHAnsi" w:hAnsiTheme="minorHAnsi" w:cstheme="minorHAnsi"/>
          <w:sz w:val="24"/>
          <w:szCs w:val="24"/>
        </w:rPr>
      </w:pPr>
      <w:r w:rsidRPr="00C86111">
        <w:rPr>
          <w:rFonts w:asciiTheme="minorHAnsi" w:hAnsiTheme="minorHAnsi" w:cstheme="minorHAnsi"/>
          <w:sz w:val="24"/>
          <w:szCs w:val="24"/>
        </w:rPr>
        <w:t>Poseban akcenat stavljen je na Odjeljak 2.3.14 modula za ažuriranje NIP-a, koji detaljno analizira trenutnu dostupnost informacija, nivo javne svijesti i obrazovanja o POPs među ključnim ciljanim grupama. Analiza se fokusira i na efikasnost komunikacionih strategija, prepreke koje se javljaju u aktivnostima informisanja i angažovanja, kao i razvoj institucionalnog okruženja, uključujući uloge vladinih i nevladinih aktera u sprovođenju mjera za podizanje svijesti i edukaciju.</w:t>
      </w:r>
    </w:p>
    <w:p w14:paraId="346CC726" w14:textId="77777777" w:rsidR="004F6023" w:rsidRPr="00C86111" w:rsidRDefault="004F6023" w:rsidP="004F6023">
      <w:pPr>
        <w:pStyle w:val="Text"/>
        <w:jc w:val="both"/>
        <w:outlineLvl w:val="3"/>
        <w:rPr>
          <w:rFonts w:asciiTheme="minorHAnsi" w:hAnsiTheme="minorHAnsi" w:cstheme="minorHAnsi"/>
          <w:sz w:val="24"/>
          <w:szCs w:val="24"/>
        </w:rPr>
      </w:pPr>
      <w:r w:rsidRPr="00C86111">
        <w:rPr>
          <w:rFonts w:asciiTheme="minorHAnsi" w:hAnsiTheme="minorHAnsi" w:cstheme="minorHAnsi"/>
          <w:sz w:val="24"/>
          <w:szCs w:val="24"/>
        </w:rPr>
        <w:t>Cilj ove procjene je da pruži čvrstu osnovu za strateška i na dokazima zasnovana unapređenja budućih aktivnosti u oblasti razmjene informacija i angažovanja javnosti. To će omogućiti bolju usklađenost Crne Gore sa obavezama proisteklim iz Stokholmske konvencije, istovremeno jačajući posvećenost zemlje zdravom upravljanju POPs-ima kroz inkluzivne, transparentne i participativne pristupe. Implementacija ovih mjera doprinosi formiranju održivog sistema u kojem su javnost i ključni akteri aktivno uključeni, a informacije o rizicima i prevenciji široko dostupne, što predstavlja osnov za dugoročno očuvanje zdravlja ljudi i životne sredine.</w:t>
      </w:r>
    </w:p>
    <w:p w14:paraId="23756281" w14:textId="77777777" w:rsidR="004F6023" w:rsidRPr="00C86111" w:rsidRDefault="004F6023" w:rsidP="00EA6904">
      <w:pPr>
        <w:pStyle w:val="Heading3"/>
      </w:pPr>
      <w:r w:rsidRPr="00C86111">
        <w:lastRenderedPageBreak/>
        <w:t xml:space="preserve"> </w:t>
      </w:r>
      <w:bookmarkStart w:id="489" w:name="_Toc220542018"/>
      <w:r w:rsidRPr="00C86111">
        <w:t>Pregled izazova POPs-a u Crnoj Gori</w:t>
      </w:r>
      <w:bookmarkEnd w:id="489"/>
    </w:p>
    <w:p w14:paraId="55E68FF9"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U Crnoj Gori, naslijeđe industrijskih aktivnosti, nepravilno upravljanje otpadom i nedostatak svijesti o opasnostima POPs-a doveli su do kontaminacije životne sredine, posebno zemljišta i sedimenta na određenim lokacijama. Posebno je neophodno unaprijediti prakse odlaganja otpada i spriječiti dalju akumulaciju opasnih supstanci u ekosistemima. Rješavanje ovih izazova zahtijeva koordinisanu i sveobuhvatnu akciju različitih sektora društva, uključujući državne institucije, lokalne vlasti, nevladine organizacije, akademsku zajednicu i širu javnost. Takav pristup omogućava integraciju naučnih saznanja, regulatornih mjera i obrazovnih inicijativa, čime se stvara održiv sistem zaštite životne sredine i zdravlja ljudi, a istovremeno podstiče participacija građana i jačanje njihove svijesti o rizicima POPs-a</w:t>
      </w:r>
    </w:p>
    <w:p w14:paraId="092E33B4" w14:textId="77777777" w:rsidR="004F6023" w:rsidRPr="00C86111" w:rsidRDefault="004F6023" w:rsidP="004F6023">
      <w:pPr>
        <w:jc w:val="both"/>
        <w:rPr>
          <w:rFonts w:asciiTheme="minorHAnsi" w:hAnsiTheme="minorHAnsi" w:cstheme="minorHAnsi"/>
          <w:szCs w:val="24"/>
        </w:rPr>
      </w:pPr>
    </w:p>
    <w:p w14:paraId="4C82379D" w14:textId="77777777" w:rsidR="004F6023" w:rsidRPr="00C86111" w:rsidRDefault="004F6023" w:rsidP="00EA6904">
      <w:pPr>
        <w:pStyle w:val="Heading3"/>
      </w:pPr>
      <w:bookmarkStart w:id="490" w:name="_Toc220542019"/>
      <w:r w:rsidRPr="00C86111">
        <w:t>Ključne zainteresovane strane uključene u upravljanje POPs zagađivačima u Crnoj Gori u vezi sa podizanjem svijesti</w:t>
      </w:r>
      <w:bookmarkEnd w:id="490"/>
    </w:p>
    <w:p w14:paraId="53E38AE0" w14:textId="77777777" w:rsidR="007A23C1" w:rsidRPr="00C86111" w:rsidRDefault="007A23C1" w:rsidP="007A23C1">
      <w:pPr>
        <w:rPr>
          <w:lang w:val="sr-Latn-ME"/>
        </w:rPr>
      </w:pPr>
    </w:p>
    <w:p w14:paraId="3A9C56DB" w14:textId="77777777" w:rsidR="004F6023" w:rsidRPr="00C86111" w:rsidRDefault="004F6023" w:rsidP="007A23C1">
      <w:pPr>
        <w:rPr>
          <w:rFonts w:eastAsia="Times New Roman"/>
          <w:color w:val="002060"/>
        </w:rPr>
      </w:pPr>
      <w:r w:rsidRPr="00C86111">
        <w:rPr>
          <w:color w:val="002060"/>
        </w:rPr>
        <w:t>Ministarstvo ekologije, održivog razvoja i razvoja sjevera</w:t>
      </w:r>
    </w:p>
    <w:p w14:paraId="1ABCDAB7"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Ministarstvo ekologije, održivog razvoja i razvoja sjevera vrši poslove uprave koji se odnose na: pripremu i praćenje propisa i strateško planiranje sistema u oblasti ekologije, održivog razvoja i razvoja sjevera; sistem integralne zaštite životne sredine i održivog korišćenja prirodnih resursa; oblast procjene uticaja i strateške procjene uticaja na životnu sredinu, integrisano sprečavanje i kontrolu zagađivanja kao i zaštitu prirode. Uloga ministarstva uključuje sprovođenje obaveza Crne Gore prema međunarodnim ugovorima poput Stokholmske konvencije. Takođe nadgleda nacionalno zakonodavstvo koje se odnosi na opasne hemikalije i upravljanje otpadom.</w:t>
      </w:r>
    </w:p>
    <w:p w14:paraId="5A1F5913" w14:textId="77777777" w:rsidR="004F6023" w:rsidRPr="00C86111" w:rsidRDefault="004F6023" w:rsidP="00833A40">
      <w:pPr>
        <w:pStyle w:val="Text"/>
        <w:numPr>
          <w:ilvl w:val="0"/>
          <w:numId w:val="88"/>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b/>
          <w:bCs/>
          <w:sz w:val="24"/>
          <w:szCs w:val="24"/>
        </w:rPr>
        <w:t>Razvoj Nacionalnih planova implementacije (NIP)</w:t>
      </w:r>
      <w:r w:rsidRPr="00C86111">
        <w:rPr>
          <w:rFonts w:asciiTheme="minorHAnsi" w:hAnsiTheme="minorHAnsi" w:cstheme="minorHAnsi"/>
          <w:sz w:val="24"/>
          <w:szCs w:val="24"/>
        </w:rPr>
        <w:t>: Ministarstvo ekologije, održivog razvoja i razvoja sjevera odgovorno je za ažuriranje i implementaciju Nacionalnog plana implementacije (NIP) Crne Gore u skladu sa Stokholmskom konvencijom. Ovaj dokument opisuje strategije za postepeno ukidanje i upravljanje POP-ovima, s naglaskom na sprječavanje proizvodnje, upotrebe i odlaganja ovih hemikalija.</w:t>
      </w:r>
    </w:p>
    <w:p w14:paraId="7FA90963" w14:textId="77777777" w:rsidR="004F6023" w:rsidRPr="00C86111" w:rsidRDefault="004F6023" w:rsidP="00833A40">
      <w:pPr>
        <w:pStyle w:val="Text"/>
        <w:numPr>
          <w:ilvl w:val="0"/>
          <w:numId w:val="88"/>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b/>
          <w:bCs/>
          <w:sz w:val="24"/>
          <w:szCs w:val="24"/>
        </w:rPr>
        <w:t xml:space="preserve">Razmjena informacija </w:t>
      </w:r>
      <w:r w:rsidRPr="00C86111">
        <w:rPr>
          <w:rFonts w:asciiTheme="minorHAnsi" w:hAnsiTheme="minorHAnsi" w:cstheme="minorHAnsi"/>
          <w:sz w:val="24"/>
          <w:szCs w:val="24"/>
        </w:rPr>
        <w:t>: Ministarstvo olakšava razmjenu informacija s međunarodnim organizacijama i susjednim zemljama o statusu POPs-a u Crnoj Gori. Dostavlja izvještaje o POPs-ima relevantnim tijelima UN-a i podstiče saradnju na regionalnom nivou.</w:t>
      </w:r>
    </w:p>
    <w:p w14:paraId="12DA12DA" w14:textId="3D7612F8" w:rsidR="004F6023" w:rsidRPr="00C86111" w:rsidRDefault="004F6023" w:rsidP="00833A40">
      <w:pPr>
        <w:pStyle w:val="Text"/>
        <w:numPr>
          <w:ilvl w:val="0"/>
          <w:numId w:val="88"/>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b/>
          <w:bCs/>
          <w:sz w:val="24"/>
          <w:szCs w:val="24"/>
        </w:rPr>
        <w:t xml:space="preserve">Inicijative za podizanje javne svijesti </w:t>
      </w:r>
      <w:r w:rsidRPr="00C86111">
        <w:rPr>
          <w:rFonts w:asciiTheme="minorHAnsi" w:hAnsiTheme="minorHAnsi" w:cstheme="minorHAnsi"/>
          <w:sz w:val="24"/>
          <w:szCs w:val="24"/>
        </w:rPr>
        <w:t xml:space="preserve">: Ministarstvo radi u partnerstvu sa organizacijama civilnog društva, uključujući nevladine organizacije, na podizanju svijesti javnosti o POPs zagađivačima i njihovom štetnom uticaju na zdravlje i životnu sredinu. Ministarstvo finansijski podržava nevladine organizacije putem javnih konkursa u svrhu </w:t>
      </w:r>
      <w:r w:rsidR="000D1995" w:rsidRPr="00C86111">
        <w:rPr>
          <w:rFonts w:asciiTheme="minorHAnsi" w:hAnsiTheme="minorHAnsi" w:cstheme="minorHAnsi"/>
          <w:sz w:val="24"/>
          <w:szCs w:val="24"/>
        </w:rPr>
        <w:t>emisije</w:t>
      </w:r>
      <w:r w:rsidRPr="00C86111">
        <w:rPr>
          <w:rFonts w:asciiTheme="minorHAnsi" w:hAnsiTheme="minorHAnsi" w:cstheme="minorHAnsi"/>
          <w:sz w:val="24"/>
          <w:szCs w:val="24"/>
        </w:rPr>
        <w:t xml:space="preserve"> projekata i organizacije edukativnih kampanja vezanih za sigurno upravljanje POPs zagađivačima u Crnoj Gori.</w:t>
      </w:r>
    </w:p>
    <w:p w14:paraId="4B1C9383" w14:textId="77777777" w:rsidR="007A23C1" w:rsidRPr="00C86111" w:rsidRDefault="007A23C1" w:rsidP="007A23C1">
      <w:pPr>
        <w:rPr>
          <w:rFonts w:eastAsia="Times New Roman"/>
          <w:color w:val="002060"/>
        </w:rPr>
      </w:pPr>
      <w:r w:rsidRPr="00C86111">
        <w:rPr>
          <w:color w:val="002060"/>
        </w:rPr>
        <w:t>Agencija za zaštitu životne sredine</w:t>
      </w:r>
    </w:p>
    <w:p w14:paraId="2253D684" w14:textId="77777777" w:rsidR="007A23C1" w:rsidRPr="00C86111" w:rsidRDefault="007A23C1" w:rsidP="007A23C1">
      <w:pPr>
        <w:pStyle w:val="ListParagraph"/>
        <w:numPr>
          <w:ilvl w:val="0"/>
          <w:numId w:val="92"/>
        </w:numPr>
        <w:pBdr>
          <w:top w:val="nil"/>
          <w:left w:val="nil"/>
          <w:bottom w:val="nil"/>
          <w:right w:val="nil"/>
          <w:between w:val="nil"/>
          <w:bar w:val="nil"/>
        </w:pBdr>
        <w:spacing w:before="100" w:after="100"/>
        <w:jc w:val="both"/>
        <w:rPr>
          <w:rFonts w:asciiTheme="minorHAnsi" w:hAnsiTheme="minorHAnsi" w:cstheme="minorHAnsi"/>
          <w:szCs w:val="24"/>
        </w:rPr>
      </w:pPr>
      <w:r w:rsidRPr="00C86111">
        <w:rPr>
          <w:rFonts w:asciiTheme="minorHAnsi" w:hAnsiTheme="minorHAnsi" w:cstheme="minorHAnsi"/>
          <w:szCs w:val="24"/>
        </w:rPr>
        <w:t xml:space="preserve">Agencija za zaštitu životne sredine Crne Gore je još jedan značajan akter, prvenstveno odgovoran za praćenje zagađivača životne sredine, uključujući POPs. </w:t>
      </w:r>
      <w:r w:rsidRPr="00C86111">
        <w:rPr>
          <w:rFonts w:asciiTheme="minorHAnsi" w:hAnsiTheme="minorHAnsi" w:cstheme="minorHAnsi"/>
          <w:szCs w:val="24"/>
        </w:rPr>
        <w:lastRenderedPageBreak/>
        <w:t>Agencija vodi inventar POPs-ova i procjenjuje njihovo prisustvo u različitim djelovima životne sredine.</w:t>
      </w:r>
    </w:p>
    <w:p w14:paraId="1DC4A8D6" w14:textId="77777777" w:rsidR="007A23C1" w:rsidRPr="00C86111" w:rsidRDefault="007A23C1" w:rsidP="007A23C1">
      <w:pPr>
        <w:pStyle w:val="ListParagraph"/>
        <w:pBdr>
          <w:top w:val="nil"/>
          <w:left w:val="nil"/>
          <w:bottom w:val="nil"/>
          <w:right w:val="nil"/>
          <w:between w:val="nil"/>
          <w:bar w:val="nil"/>
        </w:pBdr>
        <w:spacing w:before="100" w:after="100"/>
        <w:ind w:left="1440"/>
        <w:contextualSpacing w:val="0"/>
        <w:jc w:val="both"/>
        <w:rPr>
          <w:rFonts w:asciiTheme="minorHAnsi" w:hAnsiTheme="minorHAnsi" w:cstheme="minorHAnsi"/>
          <w:szCs w:val="24"/>
        </w:rPr>
      </w:pPr>
    </w:p>
    <w:p w14:paraId="74AFB6C5" w14:textId="77777777" w:rsidR="004F6023" w:rsidRPr="00C86111" w:rsidRDefault="004F6023" w:rsidP="004F6023">
      <w:pPr>
        <w:pStyle w:val="Text"/>
        <w:spacing w:before="100" w:after="100" w:line="240" w:lineRule="auto"/>
        <w:jc w:val="both"/>
        <w:rPr>
          <w:rFonts w:asciiTheme="minorHAnsi" w:eastAsia="Times New Roman" w:hAnsiTheme="minorHAnsi" w:cstheme="minorHAnsi"/>
          <w:color w:val="002060"/>
          <w:sz w:val="24"/>
          <w:szCs w:val="24"/>
        </w:rPr>
      </w:pPr>
      <w:r w:rsidRPr="00C86111">
        <w:rPr>
          <w:rFonts w:asciiTheme="minorHAnsi" w:hAnsiTheme="minorHAnsi" w:cstheme="minorHAnsi"/>
          <w:color w:val="002060"/>
          <w:sz w:val="24"/>
          <w:szCs w:val="24"/>
          <w:lang w:val="it-IT"/>
        </w:rPr>
        <w:t>Centar za ekotoksikološka ispitivanja Podgorica - CETI</w:t>
      </w:r>
    </w:p>
    <w:p w14:paraId="140394F0" w14:textId="77777777" w:rsidR="004F6023" w:rsidRPr="00C86111" w:rsidRDefault="004F6023" w:rsidP="00833A40">
      <w:pPr>
        <w:pStyle w:val="Text"/>
        <w:numPr>
          <w:ilvl w:val="1"/>
          <w:numId w:val="90"/>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sz w:val="24"/>
          <w:szCs w:val="24"/>
        </w:rPr>
        <w:t>Sprovodi opsežna istraživanja i analize POPs-a u životnoj sredini kao što su vazduh, voda, zermljište i biota</w:t>
      </w:r>
    </w:p>
    <w:p w14:paraId="687567EB" w14:textId="77777777" w:rsidR="004F6023" w:rsidRPr="00C86111" w:rsidRDefault="004F6023" w:rsidP="00833A40">
      <w:pPr>
        <w:pStyle w:val="Text"/>
        <w:numPr>
          <w:ilvl w:val="1"/>
          <w:numId w:val="90"/>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sz w:val="24"/>
          <w:szCs w:val="24"/>
        </w:rPr>
        <w:t>Pregleda i ažurira nacionalne planove implementacije Stokholmske konvencije o dugotrajnim organskim zagađivačima (POPs) u Crnoj Gori</w:t>
      </w:r>
    </w:p>
    <w:p w14:paraId="7B208D11" w14:textId="77777777" w:rsidR="004F6023" w:rsidRPr="00C86111" w:rsidRDefault="004F6023" w:rsidP="00833A40">
      <w:pPr>
        <w:pStyle w:val="Text"/>
        <w:numPr>
          <w:ilvl w:val="1"/>
          <w:numId w:val="90"/>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sz w:val="24"/>
          <w:szCs w:val="24"/>
        </w:rPr>
        <w:t>Sarađuje sa Ministarstvom ekologije, održivog razvoja i razvoj sjevera i svim drugim relevantnim institucijama u vezi sa prisustvom POPs supstanci u životnoj sredini, kao i na aktivnostima koje se odnose na ažuriranje Nacionalnih implementacionih planova o POPs supstancama u Crnoj Gori</w:t>
      </w:r>
    </w:p>
    <w:p w14:paraId="6D713625"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color w:val="002060"/>
          <w:sz w:val="24"/>
          <w:szCs w:val="24"/>
        </w:rPr>
        <w:t>Uprava Carina</w:t>
      </w:r>
    </w:p>
    <w:p w14:paraId="2B3724B3" w14:textId="77777777" w:rsidR="004F6023" w:rsidRPr="00C86111" w:rsidRDefault="004F6023" w:rsidP="00833A40">
      <w:pPr>
        <w:pStyle w:val="ListParagraph"/>
        <w:numPr>
          <w:ilvl w:val="0"/>
          <w:numId w:val="92"/>
        </w:numPr>
        <w:pBdr>
          <w:top w:val="nil"/>
          <w:left w:val="nil"/>
          <w:bottom w:val="nil"/>
          <w:right w:val="nil"/>
          <w:between w:val="nil"/>
          <w:bar w:val="nil"/>
        </w:pBdr>
        <w:spacing w:before="100" w:after="100"/>
        <w:contextualSpacing w:val="0"/>
        <w:jc w:val="both"/>
        <w:rPr>
          <w:rFonts w:asciiTheme="minorHAnsi" w:hAnsiTheme="minorHAnsi" w:cstheme="minorHAnsi"/>
          <w:b/>
          <w:bCs/>
          <w:szCs w:val="24"/>
        </w:rPr>
      </w:pPr>
      <w:r w:rsidRPr="00C86111">
        <w:rPr>
          <w:rFonts w:asciiTheme="minorHAnsi" w:hAnsiTheme="minorHAnsi" w:cstheme="minorHAnsi"/>
          <w:szCs w:val="24"/>
        </w:rPr>
        <w:t>Kontroliše uvoz hemikalija u Crnu Goru</w:t>
      </w:r>
    </w:p>
    <w:p w14:paraId="7D87B938" w14:textId="77777777" w:rsidR="004F6023" w:rsidRPr="00C86111" w:rsidRDefault="004F6023" w:rsidP="00833A40">
      <w:pPr>
        <w:pStyle w:val="ListParagraph"/>
        <w:numPr>
          <w:ilvl w:val="0"/>
          <w:numId w:val="92"/>
        </w:numPr>
        <w:pBdr>
          <w:top w:val="nil"/>
          <w:left w:val="nil"/>
          <w:bottom w:val="nil"/>
          <w:right w:val="nil"/>
          <w:between w:val="nil"/>
          <w:bar w:val="nil"/>
        </w:pBdr>
        <w:spacing w:before="100" w:after="100"/>
        <w:contextualSpacing w:val="0"/>
        <w:jc w:val="both"/>
        <w:rPr>
          <w:rFonts w:asciiTheme="minorHAnsi" w:hAnsiTheme="minorHAnsi" w:cstheme="minorHAnsi"/>
          <w:b/>
          <w:bCs/>
          <w:szCs w:val="24"/>
        </w:rPr>
      </w:pPr>
      <w:r w:rsidRPr="00C86111">
        <w:rPr>
          <w:rFonts w:asciiTheme="minorHAnsi" w:hAnsiTheme="minorHAnsi" w:cstheme="minorHAnsi"/>
          <w:szCs w:val="24"/>
        </w:rPr>
        <w:t>Pruža tarifne brojeve proizvoda koji se uvoze i sadrže POPs</w:t>
      </w:r>
    </w:p>
    <w:p w14:paraId="6A62B054" w14:textId="77777777" w:rsidR="004F6023" w:rsidRPr="00C86111" w:rsidRDefault="004F6023" w:rsidP="004F6023">
      <w:pPr>
        <w:pStyle w:val="Text"/>
        <w:spacing w:before="100" w:after="100" w:line="240" w:lineRule="auto"/>
        <w:jc w:val="both"/>
        <w:rPr>
          <w:rFonts w:asciiTheme="minorHAnsi" w:eastAsia="Times New Roman" w:hAnsiTheme="minorHAnsi" w:cstheme="minorHAnsi"/>
          <w:color w:val="002060"/>
          <w:sz w:val="24"/>
          <w:szCs w:val="24"/>
        </w:rPr>
      </w:pPr>
      <w:r w:rsidRPr="00C86111">
        <w:rPr>
          <w:rFonts w:asciiTheme="minorHAnsi" w:hAnsiTheme="minorHAnsi" w:cstheme="minorHAnsi"/>
          <w:color w:val="002060"/>
          <w:sz w:val="24"/>
          <w:szCs w:val="24"/>
        </w:rPr>
        <w:t>Inspekcije</w:t>
      </w:r>
    </w:p>
    <w:p w14:paraId="67137B40" w14:textId="77777777" w:rsidR="004F6023" w:rsidRPr="00C86111" w:rsidRDefault="004F6023" w:rsidP="00833A40">
      <w:pPr>
        <w:pStyle w:val="ListParagraph"/>
        <w:numPr>
          <w:ilvl w:val="0"/>
          <w:numId w:val="92"/>
        </w:numPr>
        <w:pBdr>
          <w:top w:val="nil"/>
          <w:left w:val="nil"/>
          <w:bottom w:val="nil"/>
          <w:right w:val="nil"/>
          <w:between w:val="nil"/>
          <w:bar w:val="nil"/>
        </w:pBdr>
        <w:spacing w:before="100" w:after="100"/>
        <w:contextualSpacing w:val="0"/>
        <w:jc w:val="both"/>
        <w:rPr>
          <w:rFonts w:asciiTheme="minorHAnsi" w:hAnsiTheme="minorHAnsi" w:cstheme="minorHAnsi"/>
          <w:b/>
          <w:bCs/>
          <w:szCs w:val="24"/>
        </w:rPr>
      </w:pPr>
      <w:r w:rsidRPr="00C86111">
        <w:rPr>
          <w:rFonts w:asciiTheme="minorHAnsi" w:hAnsiTheme="minorHAnsi" w:cstheme="minorHAnsi"/>
          <w:szCs w:val="24"/>
        </w:rPr>
        <w:t>Kontrolišu prisustvo opasnih hemikalija na tržištu i u životnoj sredini</w:t>
      </w:r>
    </w:p>
    <w:p w14:paraId="61D1E212" w14:textId="77777777" w:rsidR="004F6023" w:rsidRPr="00C86111" w:rsidRDefault="004F6023" w:rsidP="004F6023">
      <w:pPr>
        <w:jc w:val="both"/>
        <w:rPr>
          <w:rFonts w:asciiTheme="minorHAnsi" w:hAnsiTheme="minorHAnsi" w:cstheme="minorHAnsi"/>
          <w:color w:val="002060"/>
          <w:szCs w:val="24"/>
        </w:rPr>
      </w:pPr>
      <w:r w:rsidRPr="00C86111">
        <w:rPr>
          <w:rFonts w:asciiTheme="minorHAnsi" w:hAnsiTheme="minorHAnsi" w:cstheme="minorHAnsi"/>
          <w:color w:val="002060"/>
          <w:szCs w:val="24"/>
        </w:rPr>
        <w:t>Ministarstvo zdravlja</w:t>
      </w:r>
    </w:p>
    <w:p w14:paraId="4BDAAE2C" w14:textId="77777777" w:rsidR="004F6023" w:rsidRPr="00C86111" w:rsidRDefault="004F6023" w:rsidP="00833A40">
      <w:pPr>
        <w:pStyle w:val="ListParagraph"/>
        <w:numPr>
          <w:ilvl w:val="0"/>
          <w:numId w:val="106"/>
        </w:numPr>
        <w:pBdr>
          <w:top w:val="nil"/>
          <w:left w:val="nil"/>
          <w:bottom w:val="nil"/>
          <w:right w:val="nil"/>
          <w:between w:val="nil"/>
          <w:bar w:val="nil"/>
        </w:pBdr>
        <w:spacing w:after="160" w:line="259" w:lineRule="auto"/>
        <w:ind w:left="1418"/>
        <w:contextualSpacing w:val="0"/>
        <w:jc w:val="both"/>
        <w:rPr>
          <w:rFonts w:asciiTheme="minorHAnsi" w:hAnsiTheme="minorHAnsi" w:cstheme="minorHAnsi"/>
          <w:szCs w:val="24"/>
        </w:rPr>
      </w:pPr>
      <w:r w:rsidRPr="00C86111">
        <w:rPr>
          <w:rFonts w:asciiTheme="minorHAnsi" w:hAnsiTheme="minorHAnsi" w:cstheme="minorHAnsi"/>
          <w:szCs w:val="24"/>
        </w:rPr>
        <w:t>Procjenjuje rizike za javno zdravlje koje predstavljaju POPs-ovi i učestvuje u kampanjama usmjerenim na edukaciju medicinskih stručnjaka i javnosti o povezanim zdravstvenim rizicima. Doprinosi razvoju politika sa zdravstvenim podacima.</w:t>
      </w:r>
    </w:p>
    <w:p w14:paraId="2550D0AA" w14:textId="77777777" w:rsidR="004F6023" w:rsidRPr="00C86111" w:rsidRDefault="004F6023" w:rsidP="004F6023">
      <w:pPr>
        <w:spacing w:before="100" w:after="100"/>
        <w:jc w:val="both"/>
        <w:rPr>
          <w:rFonts w:asciiTheme="minorHAnsi" w:hAnsiTheme="minorHAnsi" w:cstheme="minorHAnsi"/>
          <w:color w:val="002060"/>
          <w:szCs w:val="24"/>
        </w:rPr>
      </w:pPr>
      <w:r w:rsidRPr="00C86111">
        <w:rPr>
          <w:rFonts w:asciiTheme="minorHAnsi" w:hAnsiTheme="minorHAnsi" w:cstheme="minorHAnsi"/>
          <w:color w:val="002060"/>
          <w:szCs w:val="24"/>
        </w:rPr>
        <w:t>Ministarstvo prosvjete, nauke i inovacija</w:t>
      </w:r>
    </w:p>
    <w:p w14:paraId="2861D896" w14:textId="77777777" w:rsidR="004F6023" w:rsidRPr="00C86111" w:rsidRDefault="004F6023" w:rsidP="00833A40">
      <w:pPr>
        <w:pStyle w:val="ListParagraph"/>
        <w:numPr>
          <w:ilvl w:val="0"/>
          <w:numId w:val="106"/>
        </w:numPr>
        <w:pBdr>
          <w:top w:val="nil"/>
          <w:left w:val="nil"/>
          <w:bottom w:val="nil"/>
          <w:right w:val="nil"/>
          <w:between w:val="nil"/>
          <w:bar w:val="nil"/>
        </w:pBdr>
        <w:spacing w:before="100" w:after="100" w:line="259" w:lineRule="auto"/>
        <w:ind w:left="1418"/>
        <w:contextualSpacing w:val="0"/>
        <w:jc w:val="both"/>
        <w:rPr>
          <w:rFonts w:asciiTheme="minorHAnsi" w:hAnsiTheme="minorHAnsi" w:cstheme="minorHAnsi"/>
          <w:szCs w:val="24"/>
        </w:rPr>
      </w:pPr>
      <w:r w:rsidRPr="00C86111">
        <w:rPr>
          <w:rFonts w:asciiTheme="minorHAnsi" w:hAnsiTheme="minorHAnsi" w:cstheme="minorHAnsi"/>
          <w:szCs w:val="24"/>
        </w:rPr>
        <w:t>Koordinira sa nevladinim organizacijama i institucijama kako bi se teme obrazovanja o životnoj sredini, uključujući i POPs, integrisale u školske nastavne planove i programe. Podržava aktivnosti podizanja svijesti u školama i olakšava učestvovanje učenika u projektima.</w:t>
      </w:r>
    </w:p>
    <w:p w14:paraId="4CBEA944" w14:textId="77777777" w:rsidR="004F6023" w:rsidRPr="00C86111" w:rsidRDefault="004F6023" w:rsidP="004F6023">
      <w:pPr>
        <w:pStyle w:val="Text"/>
        <w:spacing w:before="100" w:after="100" w:line="240" w:lineRule="auto"/>
        <w:jc w:val="both"/>
        <w:rPr>
          <w:rFonts w:asciiTheme="minorHAnsi" w:eastAsia="Times New Roman" w:hAnsiTheme="minorHAnsi" w:cstheme="minorHAnsi"/>
          <w:i/>
          <w:iCs/>
          <w:color w:val="002060"/>
          <w:sz w:val="24"/>
          <w:szCs w:val="24"/>
        </w:rPr>
      </w:pPr>
      <w:r w:rsidRPr="00C86111">
        <w:rPr>
          <w:rFonts w:asciiTheme="minorHAnsi" w:hAnsiTheme="minorHAnsi" w:cstheme="minorHAnsi"/>
          <w:i/>
          <w:iCs/>
          <w:color w:val="002060"/>
          <w:sz w:val="24"/>
          <w:szCs w:val="24"/>
        </w:rPr>
        <w:t>Univerzitet Crne Gore:</w:t>
      </w:r>
    </w:p>
    <w:p w14:paraId="49706713" w14:textId="77777777" w:rsidR="004F6023" w:rsidRPr="00C86111" w:rsidRDefault="004F6023" w:rsidP="00833A40">
      <w:pPr>
        <w:pStyle w:val="Text"/>
        <w:numPr>
          <w:ilvl w:val="0"/>
          <w:numId w:val="94"/>
        </w:numPr>
        <w:spacing w:before="100" w:after="100" w:line="240" w:lineRule="auto"/>
        <w:jc w:val="both"/>
        <w:rPr>
          <w:rFonts w:asciiTheme="minorHAnsi" w:hAnsiTheme="minorHAnsi" w:cstheme="minorHAnsi"/>
          <w:i/>
          <w:iCs/>
          <w:color w:val="002060"/>
          <w:sz w:val="24"/>
          <w:szCs w:val="24"/>
        </w:rPr>
      </w:pPr>
      <w:r w:rsidRPr="00C86111">
        <w:rPr>
          <w:rFonts w:asciiTheme="minorHAnsi" w:hAnsiTheme="minorHAnsi" w:cstheme="minorHAnsi"/>
          <w:i/>
          <w:iCs/>
          <w:color w:val="002060"/>
          <w:sz w:val="24"/>
          <w:szCs w:val="24"/>
        </w:rPr>
        <w:t>Institut za biologiju mora</w:t>
      </w:r>
    </w:p>
    <w:p w14:paraId="782F27C7" w14:textId="77777777" w:rsidR="004F6023" w:rsidRPr="00C86111" w:rsidRDefault="004F6023" w:rsidP="00833A40">
      <w:pPr>
        <w:pStyle w:val="Text"/>
        <w:numPr>
          <w:ilvl w:val="1"/>
          <w:numId w:val="94"/>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sz w:val="24"/>
          <w:szCs w:val="24"/>
        </w:rPr>
        <w:t>Fokusira se na uticaj POPs-a na morske ekosisteme, posebno u Jadranskom moru.</w:t>
      </w:r>
    </w:p>
    <w:p w14:paraId="4416025E" w14:textId="77777777" w:rsidR="004F6023" w:rsidRPr="00C86111" w:rsidRDefault="004F6023" w:rsidP="00833A40">
      <w:pPr>
        <w:pStyle w:val="Text"/>
        <w:numPr>
          <w:ilvl w:val="1"/>
          <w:numId w:val="94"/>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sz w:val="24"/>
          <w:szCs w:val="24"/>
        </w:rPr>
        <w:t>Istraživački projekti uključuju procjenu bioakumulacije POPs-a u morskim organizmima i njihovog potencijalnog uticaja na morski biodiverzitet i ljudsko zdravlje.</w:t>
      </w:r>
    </w:p>
    <w:p w14:paraId="23E13B7C" w14:textId="77777777" w:rsidR="004F6023" w:rsidRPr="00C86111" w:rsidRDefault="004F6023" w:rsidP="004F6023">
      <w:pPr>
        <w:pStyle w:val="Text"/>
        <w:spacing w:before="100" w:after="100" w:line="240" w:lineRule="auto"/>
        <w:jc w:val="both"/>
        <w:rPr>
          <w:rFonts w:asciiTheme="minorHAnsi" w:eastAsia="Times New Roman" w:hAnsiTheme="minorHAnsi" w:cstheme="minorHAnsi"/>
          <w:i/>
          <w:iCs/>
          <w:color w:val="002060"/>
          <w:sz w:val="24"/>
          <w:szCs w:val="24"/>
        </w:rPr>
      </w:pPr>
      <w:r w:rsidRPr="00C86111">
        <w:rPr>
          <w:rFonts w:asciiTheme="minorHAnsi" w:hAnsiTheme="minorHAnsi" w:cstheme="minorHAnsi"/>
          <w:i/>
          <w:iCs/>
          <w:color w:val="002060"/>
          <w:sz w:val="24"/>
          <w:szCs w:val="24"/>
        </w:rPr>
        <w:t>Institut za javno zdravlje:</w:t>
      </w:r>
    </w:p>
    <w:p w14:paraId="12B3C443" w14:textId="77777777" w:rsidR="004F6023" w:rsidRPr="00C86111" w:rsidRDefault="004F6023" w:rsidP="00833A40">
      <w:pPr>
        <w:pStyle w:val="Text"/>
        <w:numPr>
          <w:ilvl w:val="0"/>
          <w:numId w:val="96"/>
        </w:numPr>
        <w:spacing w:before="100" w:after="100" w:line="240" w:lineRule="auto"/>
        <w:jc w:val="both"/>
        <w:rPr>
          <w:rFonts w:asciiTheme="minorHAnsi" w:hAnsiTheme="minorHAnsi" w:cstheme="minorHAnsi"/>
          <w:i/>
          <w:iCs/>
          <w:color w:val="002060"/>
          <w:sz w:val="24"/>
          <w:szCs w:val="24"/>
        </w:rPr>
      </w:pPr>
      <w:r w:rsidRPr="00C86111">
        <w:rPr>
          <w:rFonts w:asciiTheme="minorHAnsi" w:hAnsiTheme="minorHAnsi" w:cstheme="minorHAnsi"/>
          <w:i/>
          <w:iCs/>
          <w:color w:val="002060"/>
          <w:sz w:val="24"/>
          <w:szCs w:val="24"/>
        </w:rPr>
        <w:t>Odsjek za toksikologiju i zdravlje životne sredine:</w:t>
      </w:r>
    </w:p>
    <w:p w14:paraId="157D0B5E" w14:textId="77777777" w:rsidR="004F6023" w:rsidRPr="00C86111" w:rsidRDefault="004F6023" w:rsidP="00833A40">
      <w:pPr>
        <w:pStyle w:val="Text"/>
        <w:numPr>
          <w:ilvl w:val="1"/>
          <w:numId w:val="96"/>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sz w:val="24"/>
          <w:szCs w:val="24"/>
        </w:rPr>
        <w:t>Istražuje uticaj izloženosti POPs supstancama na zdravlje stanovništva.</w:t>
      </w:r>
    </w:p>
    <w:p w14:paraId="7929E47F" w14:textId="77777777" w:rsidR="004F6023" w:rsidRPr="00C86111" w:rsidRDefault="004F6023" w:rsidP="00833A40">
      <w:pPr>
        <w:pStyle w:val="Text"/>
        <w:numPr>
          <w:ilvl w:val="1"/>
          <w:numId w:val="96"/>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sz w:val="24"/>
          <w:szCs w:val="24"/>
        </w:rPr>
        <w:lastRenderedPageBreak/>
        <w:t>Sprovodi epidemiološke studije kako bi utvrdio veze između izloženosti POPs-ima i zdravstvenih posljedica poput raka, endokrinih poremećaja i neuroloških poremećaja.</w:t>
      </w:r>
    </w:p>
    <w:p w14:paraId="572FC3B0" w14:textId="77777777" w:rsidR="004F6023" w:rsidRPr="00C86111" w:rsidRDefault="004F6023" w:rsidP="00833A40">
      <w:pPr>
        <w:pStyle w:val="Text"/>
        <w:numPr>
          <w:ilvl w:val="1"/>
          <w:numId w:val="96"/>
        </w:numPr>
        <w:spacing w:before="100" w:after="100" w:line="240" w:lineRule="auto"/>
        <w:jc w:val="both"/>
        <w:rPr>
          <w:rFonts w:asciiTheme="minorHAnsi" w:hAnsiTheme="minorHAnsi" w:cstheme="minorHAnsi"/>
          <w:sz w:val="24"/>
          <w:szCs w:val="24"/>
        </w:rPr>
      </w:pPr>
      <w:r w:rsidRPr="00C86111">
        <w:rPr>
          <w:rFonts w:asciiTheme="minorHAnsi" w:hAnsiTheme="minorHAnsi" w:cstheme="minorHAnsi"/>
          <w:sz w:val="24"/>
          <w:szCs w:val="24"/>
        </w:rPr>
        <w:t>Pruža podatke i preporuke kreatorima politika za razvoj intervencija i propisa u javnom zdravstvu.</w:t>
      </w:r>
    </w:p>
    <w:p w14:paraId="5E7311F9" w14:textId="77777777" w:rsidR="004F6023" w:rsidRPr="00C86111" w:rsidRDefault="004F6023" w:rsidP="004F6023">
      <w:pPr>
        <w:rPr>
          <w:color w:val="002060"/>
          <w:lang w:val="en-GB" w:eastAsia="en-GB"/>
        </w:rPr>
      </w:pPr>
      <w:r w:rsidRPr="00C86111">
        <w:rPr>
          <w:color w:val="002060"/>
          <w:lang w:val="en-GB" w:eastAsia="en-GB"/>
        </w:rPr>
        <w:t>Akademske ustanove, škole i naučne institucije</w:t>
      </w:r>
    </w:p>
    <w:p w14:paraId="7F8571E4" w14:textId="77777777"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 xml:space="preserve">Akademska i naučna tijela u Crnoj Gori igraju fundamentalnu ulogu u </w:t>
      </w:r>
      <w:r w:rsidRPr="00C86111">
        <w:rPr>
          <w:rFonts w:asciiTheme="minorHAnsi" w:eastAsia="Times New Roman" w:hAnsiTheme="minorHAnsi" w:cstheme="minorHAnsi"/>
          <w:b/>
          <w:bCs/>
          <w:szCs w:val="24"/>
          <w:lang w:val="en-GB" w:eastAsia="en-GB"/>
        </w:rPr>
        <w:t xml:space="preserve">generisanju znanja </w:t>
      </w:r>
      <w:r w:rsidRPr="00C86111">
        <w:rPr>
          <w:rFonts w:asciiTheme="minorHAnsi" w:eastAsia="Times New Roman" w:hAnsiTheme="minorHAnsi" w:cstheme="minorHAnsi"/>
          <w:szCs w:val="24"/>
          <w:lang w:val="en-GB" w:eastAsia="en-GB"/>
        </w:rPr>
        <w:t xml:space="preserve">i </w:t>
      </w:r>
      <w:r w:rsidRPr="00C86111">
        <w:rPr>
          <w:rFonts w:asciiTheme="minorHAnsi" w:eastAsia="Times New Roman" w:hAnsiTheme="minorHAnsi" w:cstheme="minorHAnsi"/>
          <w:b/>
          <w:bCs/>
          <w:szCs w:val="24"/>
          <w:lang w:val="en-GB" w:eastAsia="en-GB"/>
        </w:rPr>
        <w:t xml:space="preserve">edukaciji javnosti </w:t>
      </w:r>
      <w:r w:rsidRPr="00C86111">
        <w:rPr>
          <w:rFonts w:asciiTheme="minorHAnsi" w:eastAsia="Times New Roman" w:hAnsiTheme="minorHAnsi" w:cstheme="minorHAnsi"/>
          <w:szCs w:val="24"/>
          <w:lang w:val="en-GB" w:eastAsia="en-GB"/>
        </w:rPr>
        <w:t>o POPs-ima. Univerziteti i istraživačke institucije doprinose kroz naučna istraživanja, razvoj nastavnih planova i programa i izgradnju kapaciteta.</w:t>
      </w:r>
    </w:p>
    <w:p w14:paraId="3D6F425F" w14:textId="77777777" w:rsidR="004F6023" w:rsidRPr="00C86111" w:rsidRDefault="004F6023" w:rsidP="004F6023">
      <w:pPr>
        <w:rPr>
          <w:b/>
          <w:bCs/>
          <w:color w:val="002060"/>
          <w:lang w:val="en-GB" w:eastAsia="en-GB"/>
        </w:rPr>
      </w:pPr>
      <w:r w:rsidRPr="00C86111">
        <w:rPr>
          <w:b/>
          <w:bCs/>
          <w:color w:val="002060"/>
          <w:lang w:val="en-GB" w:eastAsia="en-GB"/>
        </w:rPr>
        <w:t>Ključni doprinosi:</w:t>
      </w:r>
    </w:p>
    <w:p w14:paraId="70520ACE" w14:textId="77777777" w:rsidR="004F6023" w:rsidRPr="00C86111" w:rsidRDefault="004F6023" w:rsidP="00833A40">
      <w:pPr>
        <w:numPr>
          <w:ilvl w:val="0"/>
          <w:numId w:val="99"/>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 xml:space="preserve">Integracija sadržaja vezanog za POPs u programe iz oblasti nauke o </w:t>
      </w:r>
      <w:r w:rsidRPr="00C86111">
        <w:rPr>
          <w:rFonts w:asciiTheme="minorHAnsi" w:hAnsiTheme="minorHAnsi" w:cstheme="minorHAnsi"/>
          <w:szCs w:val="24"/>
        </w:rPr>
        <w:t>životnoj sredini</w:t>
      </w:r>
      <w:r w:rsidRPr="00C86111">
        <w:rPr>
          <w:rFonts w:asciiTheme="minorHAnsi" w:eastAsia="Times New Roman" w:hAnsiTheme="minorHAnsi" w:cstheme="minorHAnsi"/>
          <w:szCs w:val="24"/>
          <w:lang w:val="en-GB" w:eastAsia="en-GB"/>
        </w:rPr>
        <w:t>, hemije i javnog zdravlja.</w:t>
      </w:r>
    </w:p>
    <w:p w14:paraId="167567F1" w14:textId="77777777" w:rsidR="004F6023" w:rsidRPr="00C86111" w:rsidRDefault="004F6023" w:rsidP="00833A40">
      <w:pPr>
        <w:numPr>
          <w:ilvl w:val="0"/>
          <w:numId w:val="99"/>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 xml:space="preserve">Istraživanje izvora POPs-a, puteva u </w:t>
      </w:r>
      <w:r w:rsidRPr="00C86111">
        <w:rPr>
          <w:rFonts w:asciiTheme="minorHAnsi" w:hAnsiTheme="minorHAnsi" w:cstheme="minorHAnsi"/>
          <w:szCs w:val="24"/>
        </w:rPr>
        <w:t>životnoj sredini</w:t>
      </w:r>
      <w:r w:rsidRPr="00C86111">
        <w:rPr>
          <w:rFonts w:asciiTheme="minorHAnsi" w:eastAsia="Times New Roman" w:hAnsiTheme="minorHAnsi" w:cstheme="minorHAnsi"/>
          <w:szCs w:val="24"/>
          <w:lang w:val="en-GB" w:eastAsia="en-GB"/>
        </w:rPr>
        <w:t xml:space="preserve"> i uticaja na ljudsko zdravlje.</w:t>
      </w:r>
    </w:p>
    <w:p w14:paraId="312139A1" w14:textId="77777777" w:rsidR="004F6023" w:rsidRPr="00C86111" w:rsidRDefault="004F6023" w:rsidP="00833A40">
      <w:pPr>
        <w:numPr>
          <w:ilvl w:val="0"/>
          <w:numId w:val="99"/>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Uključenost studenata u kampanje za podizanje svijesti i informiranje zajednice.</w:t>
      </w:r>
    </w:p>
    <w:p w14:paraId="62ACAE5A" w14:textId="77777777" w:rsidR="004F6023" w:rsidRPr="00C86111" w:rsidRDefault="004F6023" w:rsidP="00833A40">
      <w:pPr>
        <w:numPr>
          <w:ilvl w:val="0"/>
          <w:numId w:val="99"/>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Stručne konsultacije i publikacije koje podržavaju politiku i razumijevanje javnosti.</w:t>
      </w:r>
    </w:p>
    <w:p w14:paraId="15A99CDF" w14:textId="77777777" w:rsidR="004F6023" w:rsidRPr="00C86111" w:rsidRDefault="004F6023" w:rsidP="004F6023">
      <w:pPr>
        <w:spacing w:before="100" w:beforeAutospacing="1" w:after="100" w:afterAutospacing="1"/>
        <w:jc w:val="both"/>
        <w:rPr>
          <w:rFonts w:asciiTheme="minorHAnsi" w:eastAsia="Times New Roman" w:hAnsiTheme="minorHAnsi" w:cstheme="minorHAnsi"/>
          <w:color w:val="002060"/>
          <w:szCs w:val="24"/>
          <w:lang w:val="en-GB" w:eastAsia="en-GB"/>
        </w:rPr>
      </w:pPr>
      <w:r w:rsidRPr="00C86111">
        <w:rPr>
          <w:rFonts w:asciiTheme="minorHAnsi" w:eastAsia="Times New Roman" w:hAnsiTheme="minorHAnsi" w:cstheme="minorHAnsi"/>
          <w:b/>
          <w:bCs/>
          <w:color w:val="002060"/>
          <w:szCs w:val="24"/>
          <w:lang w:val="en-GB" w:eastAsia="en-GB"/>
        </w:rPr>
        <w:t>Ključne institucije:</w:t>
      </w:r>
    </w:p>
    <w:p w14:paraId="26F3D940" w14:textId="77777777" w:rsidR="004F6023" w:rsidRPr="00C86111" w:rsidRDefault="004F6023" w:rsidP="00833A40">
      <w:pPr>
        <w:numPr>
          <w:ilvl w:val="0"/>
          <w:numId w:val="100"/>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i/>
          <w:iCs/>
          <w:szCs w:val="24"/>
          <w:lang w:val="en-GB" w:eastAsia="en-GB"/>
        </w:rPr>
        <w:t xml:space="preserve">Univerzitet Crne Gore </w:t>
      </w:r>
    </w:p>
    <w:p w14:paraId="73E2359A" w14:textId="77777777" w:rsidR="004F6023" w:rsidRPr="00C86111" w:rsidRDefault="004F6023" w:rsidP="00833A40">
      <w:pPr>
        <w:numPr>
          <w:ilvl w:val="0"/>
          <w:numId w:val="100"/>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i/>
          <w:iCs/>
          <w:szCs w:val="24"/>
          <w:lang w:val="en-GB" w:eastAsia="en-GB"/>
        </w:rPr>
        <w:t xml:space="preserve">Crnogorska akademija nauka i umjetnosti (CANU) </w:t>
      </w:r>
      <w:r w:rsidRPr="00C86111">
        <w:rPr>
          <w:rFonts w:asciiTheme="minorHAnsi" w:eastAsia="Times New Roman" w:hAnsiTheme="minorHAnsi" w:cstheme="minorHAnsi"/>
          <w:szCs w:val="24"/>
          <w:lang w:val="en-GB" w:eastAsia="en-GB"/>
        </w:rPr>
        <w:t>– doprinos naučnim smjernicama o zagađivačima životne sredine.</w:t>
      </w:r>
    </w:p>
    <w:p w14:paraId="482F4E7B" w14:textId="77777777" w:rsidR="004F6023" w:rsidRPr="00C86111" w:rsidRDefault="004F6023" w:rsidP="004F6023">
      <w:pPr>
        <w:jc w:val="both"/>
        <w:rPr>
          <w:rFonts w:asciiTheme="minorHAnsi" w:eastAsia="Times New Roman" w:hAnsiTheme="minorHAnsi" w:cstheme="minorHAnsi"/>
          <w:i/>
          <w:iCs/>
          <w:color w:val="002060"/>
          <w:szCs w:val="24"/>
          <w:lang w:val="en-GB" w:eastAsia="en-GB"/>
        </w:rPr>
      </w:pPr>
      <w:r w:rsidRPr="00C86111">
        <w:rPr>
          <w:rFonts w:asciiTheme="minorHAnsi" w:eastAsia="Times New Roman" w:hAnsiTheme="minorHAnsi" w:cstheme="minorHAnsi"/>
          <w:b/>
          <w:bCs/>
          <w:i/>
          <w:iCs/>
          <w:color w:val="002060"/>
          <w:szCs w:val="24"/>
          <w:lang w:val="en-GB" w:eastAsia="en-GB"/>
        </w:rPr>
        <w:t>Sektor civilnog društva</w:t>
      </w:r>
    </w:p>
    <w:p w14:paraId="59E29023" w14:textId="77777777"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Organizacije civilnog društva su ključne za podizanje svijesti javnosti i zagovaranje poboljšanih politika zaštite</w:t>
      </w:r>
      <w:r w:rsidRPr="00C86111">
        <w:rPr>
          <w:rFonts w:asciiTheme="minorHAnsi" w:hAnsiTheme="minorHAnsi" w:cstheme="minorHAnsi"/>
          <w:szCs w:val="24"/>
        </w:rPr>
        <w:t xml:space="preserve"> </w:t>
      </w:r>
      <w:r w:rsidRPr="00C86111">
        <w:rPr>
          <w:rFonts w:asciiTheme="minorHAnsi" w:eastAsia="Times New Roman" w:hAnsiTheme="minorHAnsi" w:cstheme="minorHAnsi"/>
          <w:szCs w:val="24"/>
          <w:lang w:val="en-GB" w:eastAsia="en-GB"/>
        </w:rPr>
        <w:t>životne sredine vezanih za POPs. Njihove aktivnosti često premošćuju jaz između tehničkih informacija i lokalnih zajednica, osiguravajući širi društveni angažman.</w:t>
      </w:r>
    </w:p>
    <w:p w14:paraId="66F68713" w14:textId="77777777" w:rsidR="004F6023" w:rsidRPr="00C86111" w:rsidRDefault="004F6023" w:rsidP="007A23C1">
      <w:pPr>
        <w:rPr>
          <w:b/>
          <w:bCs/>
          <w:color w:val="002060"/>
          <w:lang w:val="en-GB" w:eastAsia="en-GB"/>
        </w:rPr>
      </w:pPr>
      <w:r w:rsidRPr="00C86111">
        <w:rPr>
          <w:b/>
          <w:bCs/>
          <w:color w:val="002060"/>
          <w:lang w:val="en-GB" w:eastAsia="en-GB"/>
        </w:rPr>
        <w:t>Ključni doprinosi:</w:t>
      </w:r>
    </w:p>
    <w:p w14:paraId="1AA8DD4A" w14:textId="77777777" w:rsidR="004F6023" w:rsidRPr="00C86111" w:rsidRDefault="004F6023" w:rsidP="00833A40">
      <w:pPr>
        <w:numPr>
          <w:ilvl w:val="0"/>
          <w:numId w:val="101"/>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 xml:space="preserve">Organizacija kampanja za podizanje svijesti, javnih foruma i inicijativa za edukaciju o </w:t>
      </w:r>
      <w:r w:rsidRPr="00C86111">
        <w:rPr>
          <w:rFonts w:asciiTheme="minorHAnsi" w:hAnsiTheme="minorHAnsi" w:cstheme="minorHAnsi"/>
          <w:szCs w:val="24"/>
        </w:rPr>
        <w:t>životnoj sredini</w:t>
      </w:r>
      <w:r w:rsidRPr="00C86111">
        <w:rPr>
          <w:rFonts w:asciiTheme="minorHAnsi" w:eastAsia="Times New Roman" w:hAnsiTheme="minorHAnsi" w:cstheme="minorHAnsi"/>
          <w:szCs w:val="24"/>
          <w:lang w:val="en-GB" w:eastAsia="en-GB"/>
        </w:rPr>
        <w:t>.</w:t>
      </w:r>
    </w:p>
    <w:p w14:paraId="5B3E1D3F" w14:textId="77777777" w:rsidR="004F6023" w:rsidRPr="00C86111" w:rsidRDefault="004F6023" w:rsidP="00833A40">
      <w:pPr>
        <w:numPr>
          <w:ilvl w:val="0"/>
          <w:numId w:val="101"/>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Praćenje i zagovaranje upravljanja POPs-ima, uključujući transparentnost u sprovođenju politika.</w:t>
      </w:r>
    </w:p>
    <w:p w14:paraId="78F4F105" w14:textId="77777777" w:rsidR="004F6023" w:rsidRPr="00C86111" w:rsidRDefault="004F6023" w:rsidP="00833A40">
      <w:pPr>
        <w:numPr>
          <w:ilvl w:val="0"/>
          <w:numId w:val="101"/>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Razvoj informativnih materijala (brošura, web stranica, videa) prilagođenih lokalnoj publici.</w:t>
      </w:r>
    </w:p>
    <w:p w14:paraId="67CF45AC" w14:textId="77777777" w:rsidR="004F6023" w:rsidRPr="00C86111" w:rsidRDefault="004F6023" w:rsidP="00833A40">
      <w:pPr>
        <w:numPr>
          <w:ilvl w:val="0"/>
          <w:numId w:val="101"/>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Učešće u konsultacijama o implementaciji Stokholmske konvencije u Crnoj Gori i ažuriranju Nacionalnog plana implementacije (NIP).</w:t>
      </w:r>
    </w:p>
    <w:p w14:paraId="15B0D73D" w14:textId="77777777" w:rsidR="004F6023" w:rsidRPr="00C86111" w:rsidRDefault="004F6023" w:rsidP="004F6023">
      <w:pPr>
        <w:spacing w:before="100" w:beforeAutospacing="1" w:after="100" w:afterAutospacing="1"/>
        <w:jc w:val="both"/>
        <w:rPr>
          <w:rFonts w:asciiTheme="minorHAnsi" w:eastAsia="Times New Roman" w:hAnsiTheme="minorHAnsi" w:cstheme="minorHAnsi"/>
          <w:color w:val="002060"/>
          <w:szCs w:val="24"/>
          <w:lang w:val="en-GB" w:eastAsia="en-GB"/>
        </w:rPr>
      </w:pPr>
      <w:r w:rsidRPr="00C86111">
        <w:rPr>
          <w:rFonts w:asciiTheme="minorHAnsi" w:eastAsia="Times New Roman" w:hAnsiTheme="minorHAnsi" w:cstheme="minorHAnsi"/>
          <w:b/>
          <w:bCs/>
          <w:color w:val="002060"/>
          <w:szCs w:val="24"/>
          <w:lang w:val="en-GB" w:eastAsia="en-GB"/>
        </w:rPr>
        <w:t>Aktivne nevladine organizacije i inicijative:</w:t>
      </w:r>
    </w:p>
    <w:p w14:paraId="3C3E0D63" w14:textId="77777777" w:rsidR="004F6023" w:rsidRPr="00C86111" w:rsidRDefault="004F6023" w:rsidP="00833A40">
      <w:pPr>
        <w:numPr>
          <w:ilvl w:val="0"/>
          <w:numId w:val="102"/>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i/>
          <w:iCs/>
          <w:szCs w:val="24"/>
          <w:lang w:val="en-GB" w:eastAsia="en-GB"/>
        </w:rPr>
        <w:lastRenderedPageBreak/>
        <w:t xml:space="preserve">Green home </w:t>
      </w:r>
      <w:r w:rsidRPr="00C86111">
        <w:rPr>
          <w:rFonts w:asciiTheme="minorHAnsi" w:eastAsia="Times New Roman" w:hAnsiTheme="minorHAnsi" w:cstheme="minorHAnsi"/>
          <w:szCs w:val="24"/>
          <w:lang w:val="en-GB" w:eastAsia="en-GB"/>
        </w:rPr>
        <w:t>– promocija svijesti i građanskog angažmana u zaštiti životne sredine.</w:t>
      </w:r>
    </w:p>
    <w:p w14:paraId="33945AB8" w14:textId="77777777" w:rsidR="004F6023" w:rsidRPr="00C86111" w:rsidRDefault="004F6023" w:rsidP="00833A40">
      <w:pPr>
        <w:numPr>
          <w:ilvl w:val="0"/>
          <w:numId w:val="102"/>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i/>
          <w:iCs/>
          <w:szCs w:val="24"/>
          <w:lang w:val="en-GB" w:eastAsia="en-GB"/>
        </w:rPr>
        <w:t xml:space="preserve">MANS (Mreža za afirmaciju nevladinog sektora) </w:t>
      </w:r>
      <w:r w:rsidRPr="00C86111">
        <w:rPr>
          <w:rFonts w:asciiTheme="minorHAnsi" w:eastAsia="Times New Roman" w:hAnsiTheme="minorHAnsi" w:cstheme="minorHAnsi"/>
          <w:szCs w:val="24"/>
          <w:lang w:val="en-GB" w:eastAsia="en-GB"/>
        </w:rPr>
        <w:t>– praćenje upravljanja zaštitom životne sredine i javne potrošnje na otpad i opasne materije.</w:t>
      </w:r>
    </w:p>
    <w:p w14:paraId="5D6910D2" w14:textId="77777777" w:rsidR="004F6023" w:rsidRPr="00C86111" w:rsidRDefault="004F6023" w:rsidP="00833A40">
      <w:pPr>
        <w:numPr>
          <w:ilvl w:val="0"/>
          <w:numId w:val="102"/>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i/>
          <w:iCs/>
          <w:szCs w:val="24"/>
          <w:lang w:val="en-GB" w:eastAsia="en-GB"/>
        </w:rPr>
        <w:t xml:space="preserve">Ekološke nevladine organizacije </w:t>
      </w:r>
      <w:r w:rsidRPr="00C86111">
        <w:rPr>
          <w:rFonts w:asciiTheme="minorHAnsi" w:eastAsia="Times New Roman" w:hAnsiTheme="minorHAnsi" w:cstheme="minorHAnsi"/>
          <w:szCs w:val="24"/>
          <w:lang w:val="en-GB" w:eastAsia="en-GB"/>
        </w:rPr>
        <w:t>koje učestvuju u nacionalnim i regionalnim ekološkim mrežama.</w:t>
      </w:r>
    </w:p>
    <w:p w14:paraId="22B7292C" w14:textId="77777777" w:rsidR="004F6023" w:rsidRPr="00C86111" w:rsidRDefault="004F6023" w:rsidP="004F6023">
      <w:pPr>
        <w:jc w:val="both"/>
        <w:rPr>
          <w:rFonts w:asciiTheme="minorHAnsi" w:eastAsia="Times New Roman" w:hAnsiTheme="minorHAnsi" w:cstheme="minorHAnsi"/>
          <w:color w:val="002060"/>
          <w:szCs w:val="24"/>
          <w:lang w:val="en-GB" w:eastAsia="en-GB"/>
        </w:rPr>
      </w:pPr>
      <w:r w:rsidRPr="00C86111">
        <w:rPr>
          <w:rFonts w:asciiTheme="minorHAnsi" w:eastAsia="Times New Roman" w:hAnsiTheme="minorHAnsi" w:cstheme="minorHAnsi"/>
          <w:b/>
          <w:bCs/>
          <w:color w:val="002060"/>
          <w:szCs w:val="24"/>
          <w:lang w:val="en-GB" w:eastAsia="en-GB"/>
        </w:rPr>
        <w:t>Zainteresovane strane privatnog sektora</w:t>
      </w:r>
    </w:p>
    <w:p w14:paraId="67B35180" w14:textId="77777777"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 xml:space="preserve">Privatni sektor, posebno industrije koje se bave </w:t>
      </w:r>
      <w:r w:rsidRPr="00C86111">
        <w:rPr>
          <w:rFonts w:asciiTheme="minorHAnsi" w:eastAsia="Times New Roman" w:hAnsiTheme="minorHAnsi" w:cstheme="minorHAnsi"/>
          <w:b/>
          <w:bCs/>
          <w:szCs w:val="24"/>
          <w:lang w:val="en-GB" w:eastAsia="en-GB"/>
        </w:rPr>
        <w:t>upravljanjem otpadom</w:t>
      </w:r>
      <w:r w:rsidRPr="00C86111">
        <w:rPr>
          <w:rFonts w:asciiTheme="minorHAnsi" w:eastAsia="Times New Roman" w:hAnsiTheme="minorHAnsi" w:cstheme="minorHAnsi"/>
          <w:szCs w:val="24"/>
          <w:lang w:val="en-GB" w:eastAsia="en-GB"/>
        </w:rPr>
        <w:t xml:space="preserve">, </w:t>
      </w:r>
      <w:r w:rsidRPr="00C86111">
        <w:rPr>
          <w:rFonts w:asciiTheme="minorHAnsi" w:eastAsia="Times New Roman" w:hAnsiTheme="minorHAnsi" w:cstheme="minorHAnsi"/>
          <w:b/>
          <w:bCs/>
          <w:szCs w:val="24"/>
          <w:lang w:val="en-GB" w:eastAsia="en-GB"/>
        </w:rPr>
        <w:t>građevinarstvom</w:t>
      </w:r>
      <w:r w:rsidRPr="00C86111">
        <w:rPr>
          <w:rFonts w:asciiTheme="minorHAnsi" w:eastAsia="Times New Roman" w:hAnsiTheme="minorHAnsi" w:cstheme="minorHAnsi"/>
          <w:szCs w:val="24"/>
          <w:lang w:val="en-GB" w:eastAsia="en-GB"/>
        </w:rPr>
        <w:t xml:space="preserve">, </w:t>
      </w:r>
      <w:r w:rsidRPr="00C86111">
        <w:rPr>
          <w:rFonts w:asciiTheme="minorHAnsi" w:eastAsia="Times New Roman" w:hAnsiTheme="minorHAnsi" w:cstheme="minorHAnsi"/>
          <w:b/>
          <w:bCs/>
          <w:szCs w:val="24"/>
          <w:lang w:val="en-GB" w:eastAsia="en-GB"/>
        </w:rPr>
        <w:t xml:space="preserve">upotrebom hemikalija </w:t>
      </w:r>
      <w:r w:rsidRPr="00C86111">
        <w:rPr>
          <w:rFonts w:asciiTheme="minorHAnsi" w:eastAsia="Times New Roman" w:hAnsiTheme="minorHAnsi" w:cstheme="minorHAnsi"/>
          <w:szCs w:val="24"/>
          <w:lang w:val="en-GB" w:eastAsia="en-GB"/>
        </w:rPr>
        <w:t xml:space="preserve">i </w:t>
      </w:r>
      <w:r w:rsidRPr="00C86111">
        <w:rPr>
          <w:rFonts w:asciiTheme="minorHAnsi" w:eastAsia="Times New Roman" w:hAnsiTheme="minorHAnsi" w:cstheme="minorHAnsi"/>
          <w:b/>
          <w:bCs/>
          <w:szCs w:val="24"/>
          <w:lang w:val="en-GB" w:eastAsia="en-GB"/>
        </w:rPr>
        <w:t>proizvodnjom energije</w:t>
      </w:r>
      <w:r w:rsidRPr="00C86111">
        <w:rPr>
          <w:rFonts w:asciiTheme="minorHAnsi" w:eastAsia="Times New Roman" w:hAnsiTheme="minorHAnsi" w:cstheme="minorHAnsi"/>
          <w:szCs w:val="24"/>
          <w:lang w:val="en-GB" w:eastAsia="en-GB"/>
        </w:rPr>
        <w:t>, važni su i kao potencijalni izvori POPs-ova i kao ključni partneri u smanjenju emisija i podizanju svijesti.</w:t>
      </w:r>
    </w:p>
    <w:p w14:paraId="654A9781" w14:textId="77777777" w:rsidR="004F6023" w:rsidRPr="00C86111" w:rsidRDefault="004F6023" w:rsidP="007A23C1">
      <w:pPr>
        <w:rPr>
          <w:b/>
          <w:bCs/>
          <w:color w:val="002060"/>
          <w:lang w:val="en-GB" w:eastAsia="en-GB"/>
        </w:rPr>
      </w:pPr>
      <w:r w:rsidRPr="00C86111">
        <w:rPr>
          <w:b/>
          <w:bCs/>
          <w:color w:val="002060"/>
          <w:lang w:val="en-GB" w:eastAsia="en-GB"/>
        </w:rPr>
        <w:t>Ključni doprinosi:</w:t>
      </w:r>
    </w:p>
    <w:p w14:paraId="79A3214D" w14:textId="77777777" w:rsidR="004F6023" w:rsidRPr="00C86111" w:rsidRDefault="004F6023" w:rsidP="00833A40">
      <w:pPr>
        <w:numPr>
          <w:ilvl w:val="0"/>
          <w:numId w:val="103"/>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Usvajanje ekološki prihvatljivih tehnologija i praksi upravljanja otpadom sigurnih od POPs zagađivača.</w:t>
      </w:r>
    </w:p>
    <w:p w14:paraId="02418754" w14:textId="77777777" w:rsidR="004F6023" w:rsidRPr="00C86111" w:rsidRDefault="004F6023" w:rsidP="00833A40">
      <w:pPr>
        <w:numPr>
          <w:ilvl w:val="0"/>
          <w:numId w:val="103"/>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Obuka osoblja i implementacija internih programa za podizanje ekološke svijesti.</w:t>
      </w:r>
    </w:p>
    <w:p w14:paraId="26F15AD6" w14:textId="77777777" w:rsidR="004F6023" w:rsidRPr="00C86111" w:rsidRDefault="004F6023" w:rsidP="00833A40">
      <w:pPr>
        <w:numPr>
          <w:ilvl w:val="0"/>
          <w:numId w:val="103"/>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Podrška inicijativama za javno obrazovanje i učešće u dijalozima sa više zainteresovanih strana.</w:t>
      </w:r>
    </w:p>
    <w:p w14:paraId="14369BDD" w14:textId="77777777" w:rsidR="004F6023" w:rsidRPr="00C86111" w:rsidRDefault="004F6023" w:rsidP="00833A40">
      <w:pPr>
        <w:numPr>
          <w:ilvl w:val="0"/>
          <w:numId w:val="103"/>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Saradnja s vladom i organizacijama civilnog društva u aktivnostima sanacije, praćenja i izvještavanja.</w:t>
      </w:r>
    </w:p>
    <w:p w14:paraId="0E0628C8" w14:textId="77777777" w:rsidR="004F6023" w:rsidRPr="00C86111" w:rsidRDefault="004F6023" w:rsidP="007A23C1">
      <w:pPr>
        <w:rPr>
          <w:b/>
          <w:bCs/>
          <w:color w:val="002060"/>
          <w:lang w:val="en-GB" w:eastAsia="en-GB"/>
        </w:rPr>
      </w:pPr>
      <w:r w:rsidRPr="00C86111">
        <w:rPr>
          <w:b/>
          <w:bCs/>
          <w:color w:val="002060"/>
          <w:lang w:val="en-GB" w:eastAsia="en-GB"/>
        </w:rPr>
        <w:t>Uključene zainteresovane strane:</w:t>
      </w:r>
    </w:p>
    <w:p w14:paraId="1D573CAD" w14:textId="77777777" w:rsidR="004F6023" w:rsidRPr="00C86111" w:rsidRDefault="004F6023" w:rsidP="00833A40">
      <w:pPr>
        <w:numPr>
          <w:ilvl w:val="0"/>
          <w:numId w:val="104"/>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Industrijski objekti koji podliježu propisima vezanim za POPs.</w:t>
      </w:r>
    </w:p>
    <w:p w14:paraId="36BF7F48" w14:textId="77777777" w:rsidR="004F6023" w:rsidRPr="00C86111" w:rsidRDefault="004F6023" w:rsidP="00833A40">
      <w:pPr>
        <w:numPr>
          <w:ilvl w:val="0"/>
          <w:numId w:val="104"/>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 xml:space="preserve">Kompanije za zaštitu </w:t>
      </w:r>
      <w:bookmarkStart w:id="491" w:name="_Hlk210652190"/>
      <w:r w:rsidRPr="00C86111">
        <w:rPr>
          <w:rFonts w:asciiTheme="minorHAnsi" w:eastAsia="Times New Roman" w:hAnsiTheme="minorHAnsi" w:cstheme="minorHAnsi"/>
          <w:szCs w:val="24"/>
          <w:lang w:val="en-GB" w:eastAsia="en-GB"/>
        </w:rPr>
        <w:t xml:space="preserve">životne sredine </w:t>
      </w:r>
      <w:bookmarkEnd w:id="491"/>
      <w:r w:rsidRPr="00C86111">
        <w:rPr>
          <w:rFonts w:asciiTheme="minorHAnsi" w:eastAsia="Times New Roman" w:hAnsiTheme="minorHAnsi" w:cstheme="minorHAnsi"/>
          <w:szCs w:val="24"/>
          <w:lang w:val="en-GB" w:eastAsia="en-GB"/>
        </w:rPr>
        <w:t>i upravljanje otpadom.</w:t>
      </w:r>
    </w:p>
    <w:p w14:paraId="6B82BD1A" w14:textId="77777777" w:rsidR="004F6023" w:rsidRPr="00C86111" w:rsidRDefault="004F6023" w:rsidP="00833A40">
      <w:pPr>
        <w:numPr>
          <w:ilvl w:val="0"/>
          <w:numId w:val="104"/>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Privatne konsultantske firme za zaštitu životne sredine koje savjetuju o strategijama usklađenosti i komunikacije.</w:t>
      </w:r>
    </w:p>
    <w:p w14:paraId="21C193D6" w14:textId="77777777" w:rsidR="004F6023" w:rsidRPr="00C86111" w:rsidRDefault="004F6023" w:rsidP="00EA6904">
      <w:pPr>
        <w:pStyle w:val="Heading3"/>
        <w:rPr>
          <w:lang w:eastAsia="en-GB"/>
        </w:rPr>
      </w:pPr>
      <w:bookmarkStart w:id="492" w:name="_Toc220542020"/>
      <w:r w:rsidRPr="00C86111">
        <w:rPr>
          <w:lang w:eastAsia="en-GB"/>
        </w:rPr>
        <w:t>Međusektorska koordinacija i međunarodna podrška</w:t>
      </w:r>
      <w:bookmarkEnd w:id="492"/>
    </w:p>
    <w:p w14:paraId="1A514180" w14:textId="77777777"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Učinkovitost aktivnosti podizanja svijesti pojačava se koordiniranim naporima koje podržavaju:</w:t>
      </w:r>
    </w:p>
    <w:p w14:paraId="3A4A8D4A" w14:textId="77777777" w:rsidR="004F6023" w:rsidRPr="00C86111" w:rsidRDefault="004F6023" w:rsidP="00833A40">
      <w:pPr>
        <w:numPr>
          <w:ilvl w:val="0"/>
          <w:numId w:val="105"/>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hAnsiTheme="minorHAnsi" w:cstheme="minorHAnsi"/>
          <w:b/>
          <w:bCs/>
          <w:color w:val="002060"/>
          <w:szCs w:val="24"/>
        </w:rPr>
        <w:t>Ministarstvo ekologije, održivog razvoja i razvoja sjevera</w:t>
      </w:r>
      <w:r w:rsidRPr="00C86111">
        <w:rPr>
          <w:rFonts w:asciiTheme="minorHAnsi" w:eastAsia="Times New Roman" w:hAnsiTheme="minorHAnsi" w:cstheme="minorHAnsi"/>
          <w:szCs w:val="24"/>
          <w:lang w:val="en-GB" w:eastAsia="en-GB"/>
        </w:rPr>
        <w:t>, kao vodeće tijelo za POPs.</w:t>
      </w:r>
    </w:p>
    <w:p w14:paraId="591B15CA" w14:textId="7564B3F5" w:rsidR="004F6023" w:rsidRPr="00C86111" w:rsidRDefault="004F6023" w:rsidP="00833A40">
      <w:pPr>
        <w:numPr>
          <w:ilvl w:val="0"/>
          <w:numId w:val="105"/>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 xml:space="preserve">Implementacija </w:t>
      </w:r>
      <w:r w:rsidRPr="00C86111">
        <w:rPr>
          <w:rFonts w:asciiTheme="minorHAnsi" w:eastAsia="Times New Roman" w:hAnsiTheme="minorHAnsi" w:cstheme="minorHAnsi"/>
          <w:b/>
          <w:bCs/>
          <w:color w:val="002060"/>
          <w:szCs w:val="24"/>
          <w:lang w:val="en-GB" w:eastAsia="en-GB"/>
        </w:rPr>
        <w:t>Nacionalnog plana implementacije Stokholmsk</w:t>
      </w:r>
      <w:r w:rsidR="00B908DB" w:rsidRPr="00C86111">
        <w:rPr>
          <w:rFonts w:asciiTheme="minorHAnsi" w:eastAsia="Times New Roman" w:hAnsiTheme="minorHAnsi" w:cstheme="minorHAnsi"/>
          <w:b/>
          <w:bCs/>
          <w:color w:val="002060"/>
          <w:szCs w:val="24"/>
          <w:lang w:val="en-GB" w:eastAsia="en-GB"/>
        </w:rPr>
        <w:t>E</w:t>
      </w:r>
      <w:r w:rsidRPr="00C86111">
        <w:rPr>
          <w:rFonts w:asciiTheme="minorHAnsi" w:eastAsia="Times New Roman" w:hAnsiTheme="minorHAnsi" w:cstheme="minorHAnsi"/>
          <w:b/>
          <w:bCs/>
          <w:color w:val="002060"/>
          <w:szCs w:val="24"/>
          <w:lang w:val="en-GB" w:eastAsia="en-GB"/>
        </w:rPr>
        <w:t>konvencij</w:t>
      </w:r>
      <w:r w:rsidR="00B908DB" w:rsidRPr="00C86111">
        <w:rPr>
          <w:rFonts w:asciiTheme="minorHAnsi" w:eastAsia="Times New Roman" w:hAnsiTheme="minorHAnsi" w:cstheme="minorHAnsi"/>
          <w:b/>
          <w:bCs/>
          <w:color w:val="002060"/>
          <w:szCs w:val="24"/>
          <w:lang w:val="en-GB" w:eastAsia="en-GB"/>
        </w:rPr>
        <w:t>e</w:t>
      </w:r>
      <w:r w:rsidRPr="00C86111">
        <w:rPr>
          <w:rFonts w:asciiTheme="minorHAnsi" w:eastAsia="Times New Roman" w:hAnsiTheme="minorHAnsi" w:cstheme="minorHAnsi"/>
          <w:b/>
          <w:bCs/>
          <w:color w:val="002060"/>
          <w:szCs w:val="24"/>
          <w:lang w:val="en-GB" w:eastAsia="en-GB"/>
        </w:rPr>
        <w:t xml:space="preserve"> </w:t>
      </w:r>
      <w:r w:rsidRPr="00C86111">
        <w:rPr>
          <w:rFonts w:asciiTheme="minorHAnsi" w:eastAsia="Times New Roman" w:hAnsiTheme="minorHAnsi" w:cstheme="minorHAnsi"/>
          <w:szCs w:val="24"/>
          <w:lang w:val="en-GB" w:eastAsia="en-GB"/>
        </w:rPr>
        <w:t>.</w:t>
      </w:r>
    </w:p>
    <w:p w14:paraId="7F1FD247" w14:textId="77777777" w:rsidR="004F6023" w:rsidRPr="00C86111" w:rsidRDefault="004F6023" w:rsidP="00833A40">
      <w:pPr>
        <w:numPr>
          <w:ilvl w:val="0"/>
          <w:numId w:val="105"/>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b/>
          <w:bCs/>
          <w:color w:val="002060"/>
          <w:szCs w:val="24"/>
          <w:lang w:val="en-GB" w:eastAsia="en-GB"/>
        </w:rPr>
        <w:t xml:space="preserve">Međunarodne organizacije </w:t>
      </w:r>
      <w:r w:rsidRPr="00C86111">
        <w:rPr>
          <w:rFonts w:asciiTheme="minorHAnsi" w:eastAsia="Times New Roman" w:hAnsiTheme="minorHAnsi" w:cstheme="minorHAnsi"/>
          <w:szCs w:val="24"/>
          <w:lang w:val="en-GB" w:eastAsia="en-GB"/>
        </w:rPr>
        <w:t>poput UNDP-a, UNEP-a i GEF-a, koje su finansirale projekte informisanja javnosti i izgradnje kapaciteta zainteresovanih strana u vezi s POP-ovima.</w:t>
      </w:r>
    </w:p>
    <w:p w14:paraId="6E7D3E5A" w14:textId="6E842384" w:rsidR="004F6023" w:rsidRPr="00C86111" w:rsidRDefault="004F6023" w:rsidP="00EA6904">
      <w:pPr>
        <w:pStyle w:val="Heading3"/>
        <w:rPr>
          <w:rFonts w:eastAsia="Times New Roman"/>
        </w:rPr>
      </w:pPr>
      <w:bookmarkStart w:id="493" w:name="_Toc220542021"/>
      <w:r w:rsidRPr="00C86111">
        <w:t>Pregled inicijativa za razmjenu informacija i podizanje svijesti koje se sprovode u Crnoj Gori u periodu 2017-2024</w:t>
      </w:r>
      <w:bookmarkEnd w:id="493"/>
    </w:p>
    <w:p w14:paraId="55CDE574" w14:textId="77777777" w:rsidR="004F6023" w:rsidRPr="00C86111" w:rsidRDefault="004F6023" w:rsidP="00B908DB">
      <w:pPr>
        <w:jc w:val="both"/>
      </w:pPr>
      <w:r w:rsidRPr="00C86111">
        <w:rPr>
          <w:iCs/>
        </w:rPr>
        <w:br/>
      </w:r>
      <w:r w:rsidRPr="00C86111">
        <w:t xml:space="preserve">Tokom perioda 2017–2024, Crna Gora je preduzela nekoliko inicijativa usmjerenih na poboljšanje svijesti javnosti i angažmana zainteresovanih strana o pitanjima vezanim za dugotrajne organske zagađivače (POPs), u skladu sa svojim obavezama prema Stokholmskoj konvenciji. Ovaj dio pruža </w:t>
      </w:r>
      <w:r w:rsidRPr="00C86111">
        <w:lastRenderedPageBreak/>
        <w:t>pregled glavnih sprovedenih aktivnosti zasnovan na zainteresovanim stranama, kao i procjenu njihovog obima, efikasnosti i integracije u nacionalne strategije. U poređenju sa ciklusom 2007–2014, došlo je do umjerenog, ali stalnog porasta informisanja javnosti i razmjene informacija, posebno na lokalnom nivou.</w:t>
      </w:r>
    </w:p>
    <w:p w14:paraId="56E86D21" w14:textId="77777777" w:rsidR="004F6023" w:rsidRPr="00C86111" w:rsidRDefault="004F6023" w:rsidP="004F6023"/>
    <w:p w14:paraId="2DAF6A99" w14:textId="77777777" w:rsidR="004F6023" w:rsidRPr="00C86111" w:rsidRDefault="004F6023" w:rsidP="004F6023">
      <w:pPr>
        <w:rPr>
          <w:b/>
          <w:bCs/>
          <w:color w:val="002060"/>
          <w:lang w:val="en-GB" w:eastAsia="en-GB"/>
        </w:rPr>
      </w:pPr>
      <w:r w:rsidRPr="00C86111">
        <w:rPr>
          <w:b/>
          <w:bCs/>
          <w:color w:val="002060"/>
          <w:lang w:val="en-GB" w:eastAsia="en-GB"/>
        </w:rPr>
        <w:t xml:space="preserve"> Vladine institucije</w:t>
      </w:r>
    </w:p>
    <w:p w14:paraId="3D9940BB" w14:textId="77777777" w:rsidR="004F6023" w:rsidRPr="00C86111" w:rsidRDefault="004F6023" w:rsidP="004F6023">
      <w:pPr>
        <w:spacing w:before="100" w:beforeAutospacing="1" w:after="100" w:afterAutospacing="1"/>
        <w:jc w:val="both"/>
        <w:rPr>
          <w:rFonts w:asciiTheme="minorHAnsi" w:hAnsiTheme="minorHAnsi" w:cstheme="minorHAnsi"/>
          <w:b/>
          <w:bCs/>
          <w:color w:val="002060"/>
          <w:szCs w:val="24"/>
        </w:rPr>
      </w:pPr>
      <w:r w:rsidRPr="00C86111">
        <w:rPr>
          <w:rFonts w:asciiTheme="minorHAnsi" w:hAnsiTheme="minorHAnsi" w:cstheme="minorHAnsi"/>
          <w:b/>
          <w:bCs/>
          <w:color w:val="002060"/>
          <w:szCs w:val="24"/>
        </w:rPr>
        <w:t>Ministarstvo ekologije, održivog razvoja i razvoja sjevera</w:t>
      </w:r>
    </w:p>
    <w:p w14:paraId="3B5514E9" w14:textId="4EC83673"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Ministarstvo služi kao nacionalna kontaktna tačka za Stokholmsku konvenciju i igra centralnu ulogu u planiranju i koordinaciji. Pruža finansijsku podršku za podizanje svijesti putem godišnjih javnih poziva za nevladine organizacije za zaštitu životne sredine i podržava razvoj edukativnih i promotivnih materijala. Međutim, Ministarstvo trenutno ne sprovodi namjenske kampanje za podizanje svijesti o POPs-ima. Koordinacija sa sektorskim ministarstvima (npr. zdravstvo, poljoprivreda i prosvjetu) u vezi sa informisanjem javnosti o POPs-ima i dalje je slaba i predstavlja područje za dalji institucionalni razvoj.</w:t>
      </w:r>
    </w:p>
    <w:p w14:paraId="4A0FF35A" w14:textId="77777777" w:rsidR="004F6023" w:rsidRPr="00C86111" w:rsidRDefault="004F6023" w:rsidP="004F6023">
      <w:pPr>
        <w:spacing w:before="100" w:beforeAutospacing="1" w:after="100" w:afterAutospacing="1"/>
        <w:jc w:val="both"/>
        <w:rPr>
          <w:rFonts w:asciiTheme="minorHAnsi" w:eastAsia="Times New Roman" w:hAnsiTheme="minorHAnsi" w:cstheme="minorHAnsi"/>
          <w:b/>
          <w:bCs/>
          <w:color w:val="002060"/>
          <w:szCs w:val="24"/>
          <w:lang w:val="en-GB" w:eastAsia="en-GB"/>
        </w:rPr>
      </w:pPr>
      <w:r w:rsidRPr="00C86111">
        <w:rPr>
          <w:rFonts w:asciiTheme="minorHAnsi" w:eastAsia="Times New Roman" w:hAnsiTheme="minorHAnsi" w:cstheme="minorHAnsi"/>
          <w:b/>
          <w:bCs/>
          <w:color w:val="002060"/>
          <w:szCs w:val="24"/>
          <w:lang w:val="en-GB" w:eastAsia="en-GB"/>
        </w:rPr>
        <w:t>Agencija za zaštitu životne sredine</w:t>
      </w:r>
    </w:p>
    <w:p w14:paraId="60F7B330" w14:textId="12C5F156" w:rsidR="004F6023"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Agencija za zaštitu životne sredine upravlja nacionalnim informacijama vezanih za hemikalije, nudeći opšte smjernice o upravljanju hemikalijama, uključujući ograničene informacije o POPs-ovima. Iako su informacije dostupne, nedostaje mu prilagođen sadržaj za nestručne korisnike ili ranjive grupe. Agencija nije razvila komunikacijsku strategiju specifičnu za POP-ove, što ograničava vidljivost problema POPs-ova među širom javnošću i profesionalnim korisnicima. Integracija modula specifičnih za POPs-ove u širu komunikacijsku platformu agencije trebala bi se razmotriti za sljedeći ciklus NIP-a.</w:t>
      </w:r>
    </w:p>
    <w:p w14:paraId="19A21D12" w14:textId="77777777" w:rsidR="004F6023" w:rsidRPr="00C86111" w:rsidRDefault="004F6023" w:rsidP="004F6023">
      <w:pPr>
        <w:rPr>
          <w:b/>
          <w:bCs/>
          <w:color w:val="002060"/>
          <w:lang w:val="en-GB" w:eastAsia="en-GB"/>
        </w:rPr>
      </w:pPr>
      <w:r w:rsidRPr="00C86111">
        <w:rPr>
          <w:b/>
          <w:bCs/>
          <w:color w:val="002060"/>
          <w:lang w:val="en-GB" w:eastAsia="en-GB"/>
        </w:rPr>
        <w:t>Akademske i istraživačke institucije</w:t>
      </w:r>
    </w:p>
    <w:p w14:paraId="7B41ECD7" w14:textId="77777777" w:rsidR="004F6023" w:rsidRPr="00D611ED" w:rsidRDefault="004F6023" w:rsidP="004F6023">
      <w:pPr>
        <w:spacing w:before="100" w:beforeAutospacing="1" w:after="100" w:afterAutospacing="1"/>
        <w:jc w:val="both"/>
        <w:rPr>
          <w:rFonts w:asciiTheme="minorHAnsi" w:eastAsia="Times New Roman" w:hAnsiTheme="minorHAnsi" w:cstheme="minorHAnsi"/>
          <w:b/>
          <w:bCs/>
          <w:color w:val="002060"/>
          <w:szCs w:val="24"/>
          <w:lang w:val="en-GB" w:eastAsia="en-GB"/>
        </w:rPr>
      </w:pPr>
      <w:r w:rsidRPr="00D611ED">
        <w:rPr>
          <w:rFonts w:asciiTheme="minorHAnsi" w:eastAsia="Times New Roman" w:hAnsiTheme="minorHAnsi" w:cstheme="minorHAnsi"/>
          <w:b/>
          <w:bCs/>
          <w:color w:val="002060"/>
          <w:szCs w:val="24"/>
          <w:lang w:val="en-GB" w:eastAsia="en-GB"/>
        </w:rPr>
        <w:t xml:space="preserve">Univerzitet Crne Gore i pridruženi instituti </w:t>
      </w:r>
    </w:p>
    <w:p w14:paraId="2B27E1E1" w14:textId="77777777"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Naučna istraživanja vezana za POPs – posebno u kontekstu zagađenja mora i bioakumulacije – sprovode institucije poput Instituta za biologiju mora. Međutim, prevođenje rezultata istraživanja u materijale za javnu komunikaciju ili obrazovni sadržaj ostaje minimalno. Veće učešće institucija u aktivnostima podizanja svijesti moglo bi se postići strukturiranom saradnjom s Ministarstvom prosvjete, nauke i inovacija povezivanjem nastavnih planova i programa s temama vezanim za POPs i uključivanjem studenata i akademskog osoblja u projekte informisanja javnosti.</w:t>
      </w:r>
    </w:p>
    <w:p w14:paraId="34112C43" w14:textId="77777777" w:rsidR="004F6023" w:rsidRPr="00C86111" w:rsidRDefault="004F6023" w:rsidP="004F6023">
      <w:pPr>
        <w:rPr>
          <w:b/>
          <w:bCs/>
          <w:color w:val="002060"/>
          <w:lang w:val="en-GB" w:eastAsia="en-GB"/>
        </w:rPr>
      </w:pPr>
      <w:r w:rsidRPr="00C86111">
        <w:rPr>
          <w:b/>
          <w:bCs/>
          <w:color w:val="002060"/>
          <w:lang w:val="en-GB" w:eastAsia="en-GB"/>
        </w:rPr>
        <w:t>Industrijski i privatni sektor</w:t>
      </w:r>
    </w:p>
    <w:p w14:paraId="4A8B61ED" w14:textId="77777777" w:rsidR="00D611ED" w:rsidRDefault="004F6023" w:rsidP="004F6023">
      <w:pPr>
        <w:spacing w:before="100" w:beforeAutospacing="1" w:after="100" w:afterAutospacing="1"/>
        <w:jc w:val="both"/>
        <w:rPr>
          <w:rFonts w:asciiTheme="minorHAnsi" w:eastAsia="Times New Roman" w:hAnsiTheme="minorHAnsi" w:cstheme="minorHAnsi"/>
          <w:b/>
          <w:bCs/>
          <w:szCs w:val="24"/>
          <w:lang w:val="en-GB" w:eastAsia="en-GB"/>
        </w:rPr>
      </w:pPr>
      <w:r w:rsidRPr="00C86111">
        <w:rPr>
          <w:rFonts w:asciiTheme="minorHAnsi" w:eastAsia="Times New Roman" w:hAnsiTheme="minorHAnsi" w:cstheme="minorHAnsi"/>
          <w:b/>
          <w:bCs/>
          <w:szCs w:val="24"/>
          <w:lang w:val="en-GB" w:eastAsia="en-GB"/>
        </w:rPr>
        <w:t xml:space="preserve">Zainteresovane strane u industriji (upravljanje otpadom, poljoprivreda, hemikalije) </w:t>
      </w:r>
    </w:p>
    <w:p w14:paraId="11DBD0AC" w14:textId="6AFD40D7"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 xml:space="preserve">Učešće industrije u podizanju svijesti i izgradnji kapaciteta u vezi sa POPs-ovima bilo je nedosljedno. Određeno angažovanje se odvijalo kroz učešće na okruglim stolovima, radionicama </w:t>
      </w:r>
      <w:r w:rsidRPr="00C86111">
        <w:rPr>
          <w:rFonts w:asciiTheme="minorHAnsi" w:eastAsia="Times New Roman" w:hAnsiTheme="minorHAnsi" w:cstheme="minorHAnsi"/>
          <w:szCs w:val="24"/>
          <w:lang w:val="en-GB" w:eastAsia="en-GB"/>
        </w:rPr>
        <w:lastRenderedPageBreak/>
        <w:t>i obukama - obično onima koje organizuju nevladine organizacije ili kroz projekte finansirane od strane donatora. Međutim, ne postoji strategija informisanja ili komunikacije specifična za sektor. Buduće akcije Nacionalnog implementacionog plana (NIP) trebale bi dati prioritet razvoju smjernica i materijala za podizanje svijesti usmjerenih na industrije visokog rizika (npr. spaljivanje otpada) uz podršku mehanizama za usklađenost i sprovođenje propisa.</w:t>
      </w:r>
    </w:p>
    <w:p w14:paraId="38E11127" w14:textId="77777777" w:rsidR="004F6023" w:rsidRPr="00C86111" w:rsidRDefault="004F6023" w:rsidP="004F6023">
      <w:pPr>
        <w:rPr>
          <w:b/>
          <w:bCs/>
          <w:color w:val="002060"/>
          <w:lang w:val="en-GB" w:eastAsia="en-GB"/>
        </w:rPr>
      </w:pPr>
      <w:r w:rsidRPr="00C86111">
        <w:rPr>
          <w:b/>
          <w:bCs/>
          <w:color w:val="002060"/>
          <w:lang w:val="en-GB" w:eastAsia="en-GB"/>
        </w:rPr>
        <w:t>Organizacije civilnog društva</w:t>
      </w:r>
    </w:p>
    <w:p w14:paraId="2D5BE7A0" w14:textId="77777777" w:rsidR="004F6023" w:rsidRPr="00C86111" w:rsidRDefault="004F6023" w:rsidP="004F6023">
      <w:pPr>
        <w:spacing w:before="100" w:beforeAutospacing="1" w:after="100" w:afterAutospacing="1"/>
        <w:jc w:val="both"/>
        <w:rPr>
          <w:rFonts w:asciiTheme="minorHAnsi" w:eastAsia="Times New Roman" w:hAnsiTheme="minorHAnsi" w:cstheme="minorHAnsi"/>
          <w:b/>
          <w:bCs/>
          <w:color w:val="002060"/>
          <w:szCs w:val="24"/>
          <w:lang w:val="en-GB" w:eastAsia="en-GB"/>
        </w:rPr>
      </w:pPr>
      <w:r w:rsidRPr="00C86111">
        <w:rPr>
          <w:rFonts w:asciiTheme="minorHAnsi" w:eastAsia="Times New Roman" w:hAnsiTheme="minorHAnsi" w:cstheme="minorHAnsi"/>
          <w:b/>
          <w:bCs/>
          <w:color w:val="002060"/>
          <w:szCs w:val="24"/>
          <w:lang w:val="en-GB" w:eastAsia="en-GB"/>
        </w:rPr>
        <w:t xml:space="preserve">Nevladine organizacije (NVO) </w:t>
      </w:r>
    </w:p>
    <w:p w14:paraId="39D1B287" w14:textId="77777777"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 xml:space="preserve">Civilno društvo je odigralo najdinamičniju i najdosljedniju ulogu u podizanju javne svijesti o POPs-ovima tokom perioda pregleda. Nevladine organizacije poput </w:t>
      </w:r>
      <w:r w:rsidRPr="00C86111">
        <w:rPr>
          <w:rFonts w:asciiTheme="minorHAnsi" w:eastAsia="Times New Roman" w:hAnsiTheme="minorHAnsi" w:cstheme="minorHAnsi"/>
          <w:i/>
          <w:iCs/>
          <w:szCs w:val="24"/>
          <w:lang w:val="en-GB" w:eastAsia="en-GB"/>
        </w:rPr>
        <w:t>Green Home</w:t>
      </w:r>
      <w:r w:rsidRPr="00C86111">
        <w:rPr>
          <w:rFonts w:asciiTheme="minorHAnsi" w:eastAsia="Times New Roman" w:hAnsiTheme="minorHAnsi" w:cstheme="minorHAnsi"/>
          <w:szCs w:val="24"/>
          <w:lang w:val="en-GB" w:eastAsia="en-GB"/>
        </w:rPr>
        <w:t xml:space="preserve">, </w:t>
      </w:r>
      <w:r w:rsidRPr="00C86111">
        <w:rPr>
          <w:rFonts w:asciiTheme="minorHAnsi" w:eastAsia="Times New Roman" w:hAnsiTheme="minorHAnsi" w:cstheme="minorHAnsi"/>
          <w:i/>
          <w:iCs/>
          <w:szCs w:val="24"/>
          <w:lang w:val="en-GB" w:eastAsia="en-GB"/>
        </w:rPr>
        <w:t>Djakomo Adriatic</w:t>
      </w:r>
      <w:r w:rsidRPr="00C86111">
        <w:rPr>
          <w:rFonts w:asciiTheme="minorHAnsi" w:eastAsia="Times New Roman" w:hAnsiTheme="minorHAnsi" w:cstheme="minorHAnsi"/>
          <w:szCs w:val="24"/>
          <w:lang w:val="en-GB" w:eastAsia="en-GB"/>
        </w:rPr>
        <w:t xml:space="preserve">, </w:t>
      </w:r>
      <w:r w:rsidRPr="00C86111">
        <w:rPr>
          <w:rFonts w:asciiTheme="minorHAnsi" w:eastAsia="Times New Roman" w:hAnsiTheme="minorHAnsi" w:cstheme="minorHAnsi"/>
          <w:i/>
          <w:iCs/>
          <w:szCs w:val="24"/>
          <w:lang w:val="en-GB" w:eastAsia="en-GB"/>
        </w:rPr>
        <w:t xml:space="preserve">Ozon </w:t>
      </w:r>
      <w:r w:rsidRPr="00C86111">
        <w:rPr>
          <w:rFonts w:asciiTheme="minorHAnsi" w:eastAsia="Times New Roman" w:hAnsiTheme="minorHAnsi" w:cstheme="minorHAnsi"/>
          <w:szCs w:val="24"/>
          <w:lang w:val="en-GB" w:eastAsia="en-GB"/>
        </w:rPr>
        <w:t>i druge su implementirale raznolik portfolio aktivnosti podizanja svijesti, često finansiranih putem javnih poziva Ministarstva ekologije, održivog razvoja i razvoja sjevera i uz podršku međunarodnih donatora. Ključne inicijative uključuju:</w:t>
      </w:r>
    </w:p>
    <w:p w14:paraId="3CBAB0DF" w14:textId="77777777" w:rsidR="004F6023" w:rsidRPr="00C86111" w:rsidRDefault="004F6023" w:rsidP="00833A40">
      <w:pPr>
        <w:numPr>
          <w:ilvl w:val="0"/>
          <w:numId w:val="107"/>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Razvoj i distribucija brošura, letaka i postera prilagođenih lokalnim kontekstima</w:t>
      </w:r>
    </w:p>
    <w:p w14:paraId="61202DF5" w14:textId="77777777" w:rsidR="004F6023" w:rsidRPr="00C86111" w:rsidRDefault="004F6023" w:rsidP="00833A40">
      <w:pPr>
        <w:numPr>
          <w:ilvl w:val="0"/>
          <w:numId w:val="107"/>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Sesije obuke i radionice za izgradnju kapaciteta u ranjivim i udaljenim zajednicama</w:t>
      </w:r>
    </w:p>
    <w:p w14:paraId="2A8FECC4" w14:textId="77777777" w:rsidR="004F6023" w:rsidRPr="00C86111" w:rsidRDefault="004F6023" w:rsidP="00833A40">
      <w:pPr>
        <w:numPr>
          <w:ilvl w:val="0"/>
          <w:numId w:val="107"/>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Okrugli stolovi sa više zainteresovanih strana olakšavaju dijalog između civilnog društva i nacionalnih vlasti</w:t>
      </w:r>
    </w:p>
    <w:p w14:paraId="6E7AF018" w14:textId="77777777" w:rsidR="004F6023" w:rsidRPr="00C86111" w:rsidRDefault="004F6023" w:rsidP="00833A40">
      <w:pPr>
        <w:numPr>
          <w:ilvl w:val="0"/>
          <w:numId w:val="107"/>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Kampanje za podizanje svijesti na društvenim mrežama i putem digitalnih platformi</w:t>
      </w:r>
    </w:p>
    <w:p w14:paraId="7D59C133" w14:textId="77777777" w:rsidR="004F6023" w:rsidRPr="00C86111" w:rsidRDefault="004F6023" w:rsidP="00833A40">
      <w:pPr>
        <w:numPr>
          <w:ilvl w:val="0"/>
          <w:numId w:val="107"/>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Obrazovni programi usmjereni na škole, poljoprivrednike, neformalne reciklere i druge prioritetne grupe</w:t>
      </w:r>
    </w:p>
    <w:p w14:paraId="7755C4B9" w14:textId="77777777"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Ove aktivnosti su značajno doprinijele povećanju javnog razumijevanja POPs-a, iako i dalje postoje izazovi u postizanju nacionalne pokrivenosti i dugoročnog uticaja. Većina napora bila je zasnovana na projektima i geografski ograničena.</w:t>
      </w:r>
    </w:p>
    <w:p w14:paraId="3068EF82" w14:textId="77777777" w:rsidR="004F6023" w:rsidRPr="00C86111" w:rsidRDefault="004F6023" w:rsidP="004F6023">
      <w:pPr>
        <w:pStyle w:val="Text"/>
        <w:spacing w:before="100" w:after="100" w:line="240" w:lineRule="auto"/>
        <w:jc w:val="both"/>
        <w:rPr>
          <w:rFonts w:asciiTheme="minorHAnsi" w:eastAsia="Times New Roman" w:hAnsiTheme="minorHAnsi" w:cstheme="minorHAnsi"/>
          <w:b/>
          <w:bCs/>
          <w:color w:val="002060"/>
          <w:sz w:val="24"/>
          <w:szCs w:val="24"/>
        </w:rPr>
      </w:pPr>
      <w:r w:rsidRPr="00C86111">
        <w:rPr>
          <w:rFonts w:asciiTheme="minorHAnsi" w:hAnsiTheme="minorHAnsi" w:cstheme="minorHAnsi"/>
          <w:b/>
          <w:bCs/>
          <w:color w:val="002060"/>
          <w:sz w:val="24"/>
          <w:szCs w:val="24"/>
        </w:rPr>
        <w:t>NVO Green home</w:t>
      </w:r>
    </w:p>
    <w:p w14:paraId="44B92345"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Green Home, jedna od vodećih crnogorskih nevladinih organizacija za zaštitu životne sredine, igra ključnu ulogu u rješavanju ekoloških problema, uključujući upravljanje i smanjenje POPs zagađivača. Green Home aktivno učestvuje u podizanju svijesti javnosti, zalaganju za promjene politika i saradnji s lokalnim zajednicama na očuvanju životne sredine. Organizacija je odigrala ključnu ulogu u širenju informacija o POPs zagađivačima među javnošću i osiguravanju uključenosti civilnog društva u rješavanje problema ovih zagađivača.</w:t>
      </w:r>
    </w:p>
    <w:p w14:paraId="0D8AEE21"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NVO Green home osnovali su studenti biologije 14. februara 2000. godine, kao nevladinu i neprofitnu organizaciju.</w:t>
      </w:r>
    </w:p>
    <w:p w14:paraId="25DE1639"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Organizacija je nastala iz želje za aktivnim učešćem u očuvanju i unapređenju životne sredine, kao i preuzimanjem aktivne uloge u razvoju civilnog društva kroz zaštitu biodiverziteta i realizaciju koncepta održivog razvoja Crne Gore u praksi.</w:t>
      </w:r>
    </w:p>
    <w:p w14:paraId="54073EF4"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 xml:space="preserve">Više informacija o nevladinoj organizaciji Green Home možete pronaći ovdje: </w:t>
      </w:r>
      <w:hyperlink r:id="rId78" w:history="1">
        <w:r w:rsidRPr="00C86111">
          <w:rPr>
            <w:rStyle w:val="Hyperlink0"/>
            <w:rFonts w:asciiTheme="minorHAnsi" w:eastAsia="Arial Unicode MS" w:hAnsiTheme="minorHAnsi" w:cstheme="minorHAnsi"/>
          </w:rPr>
          <w:t>https://www.greenhome.co.me/en</w:t>
        </w:r>
      </w:hyperlink>
    </w:p>
    <w:p w14:paraId="350703F6"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lastRenderedPageBreak/>
        <w:t xml:space="preserve">Green Home je posebno pokrenuo nekoliko </w:t>
      </w:r>
      <w:r w:rsidRPr="00C86111">
        <w:rPr>
          <w:rFonts w:asciiTheme="minorHAnsi" w:hAnsiTheme="minorHAnsi" w:cstheme="minorHAnsi"/>
          <w:b/>
          <w:bCs/>
          <w:sz w:val="24"/>
          <w:szCs w:val="24"/>
        </w:rPr>
        <w:t xml:space="preserve">javnih kampanja </w:t>
      </w:r>
      <w:r w:rsidRPr="00C86111">
        <w:rPr>
          <w:rFonts w:asciiTheme="minorHAnsi" w:hAnsiTheme="minorHAnsi" w:cstheme="minorHAnsi"/>
          <w:sz w:val="24"/>
          <w:szCs w:val="24"/>
        </w:rPr>
        <w:t>za podizanje svijesti o opasnostima POPs-ova, posebno u vezi s ljudskim zdravljem i održivošću zaštite životne sredine. Ove kampanje su uključivale distribuciju informativnih brošura, angažman na društvenim mrežama i radio/TV spotove.</w:t>
      </w:r>
    </w:p>
    <w:p w14:paraId="692FCEBB"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 xml:space="preserve">Specifične aktivnosti koje provodi </w:t>
      </w:r>
      <w:r w:rsidRPr="00C86111">
        <w:rPr>
          <w:rFonts w:asciiTheme="minorHAnsi" w:hAnsiTheme="minorHAnsi" w:cstheme="minorHAnsi"/>
          <w:b/>
          <w:bCs/>
          <w:sz w:val="24"/>
          <w:szCs w:val="24"/>
        </w:rPr>
        <w:t xml:space="preserve">Green Home </w:t>
      </w:r>
      <w:r w:rsidRPr="00C86111">
        <w:rPr>
          <w:rFonts w:asciiTheme="minorHAnsi" w:hAnsiTheme="minorHAnsi" w:cstheme="minorHAnsi"/>
          <w:sz w:val="24"/>
          <w:szCs w:val="24"/>
        </w:rPr>
        <w:t>uključuju:</w:t>
      </w:r>
    </w:p>
    <w:p w14:paraId="6A1AB805"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 xml:space="preserve">Projekat </w:t>
      </w:r>
      <w:r w:rsidRPr="00C86111">
        <w:rPr>
          <w:rFonts w:asciiTheme="minorHAnsi" w:hAnsiTheme="minorHAnsi" w:cstheme="minorHAnsi"/>
          <w:b/>
          <w:bCs/>
          <w:sz w:val="24"/>
          <w:szCs w:val="24"/>
        </w:rPr>
        <w:t>„Upoznajte štetne hemikalije!“</w:t>
      </w:r>
      <w:r w:rsidRPr="00C86111">
        <w:rPr>
          <w:rFonts w:asciiTheme="minorHAnsi" w:hAnsiTheme="minorHAnsi" w:cstheme="minorHAnsi"/>
          <w:sz w:val="24"/>
          <w:szCs w:val="24"/>
        </w:rPr>
        <w:t>, koji je finansijski podržalo Ministarstvo ekologije, održivog razvoja i razvoja sjevera, realizovan je u periodu januar 2022 – septembar 2022. godine.</w:t>
      </w:r>
    </w:p>
    <w:p w14:paraId="1E127AB9"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Cilj projekta bio je poboljšati svijest građana o negativnom uticaju POPs-a na životnu sredinu i ljudsko zdravlje, te pokrenuti javni dijalog o tom pitanju.</w:t>
      </w:r>
    </w:p>
    <w:p w14:paraId="45FADC0E"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 xml:space="preserve">U okviru projekta održan je okrugli sto na temu: „ </w:t>
      </w:r>
      <w:r w:rsidRPr="00C86111">
        <w:rPr>
          <w:rFonts w:asciiTheme="minorHAnsi" w:hAnsiTheme="minorHAnsi" w:cstheme="minorHAnsi"/>
          <w:b/>
          <w:bCs/>
          <w:sz w:val="24"/>
          <w:szCs w:val="24"/>
        </w:rPr>
        <w:t xml:space="preserve">POPs hemikalije – </w:t>
      </w:r>
      <w:r w:rsidRPr="00C86111">
        <w:rPr>
          <w:rFonts w:asciiTheme="minorHAnsi" w:hAnsiTheme="minorHAnsi" w:cstheme="minorHAnsi"/>
          <w:b/>
          <w:bCs/>
          <w:sz w:val="24"/>
          <w:szCs w:val="24"/>
          <w:lang w:val="it-IT"/>
        </w:rPr>
        <w:t xml:space="preserve">globalni problem </w:t>
      </w:r>
      <w:r w:rsidRPr="00C86111">
        <w:rPr>
          <w:rFonts w:asciiTheme="minorHAnsi" w:hAnsiTheme="minorHAnsi" w:cstheme="minorHAnsi"/>
          <w:sz w:val="24"/>
          <w:szCs w:val="24"/>
        </w:rPr>
        <w:t xml:space="preserve">“. Okruglom stolu su prisustvovali predstavnici Ministarstva ekologije, održivog razvoja i razvoja sjevera, Centra za ekotoksikološka ispitivanja, Agencije za zaštitu životne sredine, državnih inspekcija, kao i nevladinog sektora. Link - </w:t>
      </w:r>
      <w:hyperlink r:id="rId79" w:history="1">
        <w:r w:rsidRPr="00C86111">
          <w:rPr>
            <w:rStyle w:val="Hyperlink0"/>
            <w:rFonts w:asciiTheme="minorHAnsi" w:eastAsia="Arial Unicode MS" w:hAnsiTheme="minorHAnsi" w:cstheme="minorHAnsi"/>
          </w:rPr>
          <w:t xml:space="preserve">https://www.greenhome.co.me/en/vulnerable-groups-that-are-most-exposed-to-danger- </w:t>
        </w:r>
      </w:hyperlink>
      <w:hyperlink r:id="rId80" w:history="1">
        <w:r w:rsidRPr="00C86111">
          <w:rPr>
            <w:rStyle w:val="Hyperlink0"/>
            <w:rFonts w:asciiTheme="minorHAnsi" w:eastAsia="Arial Unicode MS" w:hAnsiTheme="minorHAnsi" w:cstheme="minorHAnsi"/>
          </w:rPr>
          <w:t>should-be-informed-andtrained-to-properly-handle-and-protect-themselves-from-pops-chemicals/</w:t>
        </w:r>
      </w:hyperlink>
    </w:p>
    <w:p w14:paraId="43D8DE8D"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Na ovom okruglom stolu razmatrane su POPs hemikalije (perzistentni zagađivači), njihov uticaj na ljudsko zdravlje i okolinu, sistem kontrole zagađenja POPs supstancama, kao i izazovi u ovoj oblasti, sa posebnim osvrtom na grupe koje su najizloženije ovoj opasnosti, kao što su poljoprivrednici, sakupljači sekundarnih sirovina, kao i službe zaštite i spašavanja.</w:t>
      </w:r>
    </w:p>
    <w:p w14:paraId="71DE9C6A"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 xml:space="preserve">Imajući u vidu izloženost sakupljača reciklabilnog materijala POPs hemikalijama, Green Home je pripremio Vodič koji uključuje osnovne informacije o POPs-ovima, njihovim negativnim efektima i rizicima koje rukovanje njima nosi, te mjerama zaštite. Vodič se može preuzeti na ovom linku </w:t>
      </w:r>
      <w:hyperlink r:id="rId81" w:history="1">
        <w:r w:rsidRPr="00C86111">
          <w:rPr>
            <w:rStyle w:val="Hyperlink0"/>
            <w:rFonts w:asciiTheme="minorHAnsi" w:eastAsia="Arial Unicode MS" w:hAnsiTheme="minorHAnsi" w:cstheme="minorHAnsi"/>
          </w:rPr>
          <w:t>https://www.greenhome.co.me/wp-content/uploads/2022/07/vodic-POPs-Green-Home.pdf</w:t>
        </w:r>
      </w:hyperlink>
    </w:p>
    <w:p w14:paraId="04237C82"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Green Home nastavlja da bude aktivan akter u nevladinom sektoru kada je u pitanju podizanje svijesti o POPs hemikalijama u Crnoj Gori, kao i generalno uključen u aktivnosti vezane za zaštitu životne sredine.</w:t>
      </w:r>
    </w:p>
    <w:p w14:paraId="606C2D37" w14:textId="77777777" w:rsidR="004F6023" w:rsidRPr="00C86111" w:rsidRDefault="004F6023" w:rsidP="004F6023">
      <w:pPr>
        <w:pStyle w:val="Text"/>
        <w:spacing w:before="100" w:after="100" w:line="240" w:lineRule="auto"/>
        <w:jc w:val="both"/>
        <w:rPr>
          <w:rFonts w:asciiTheme="minorHAnsi" w:eastAsia="Times New Roman" w:hAnsiTheme="minorHAnsi" w:cstheme="minorHAnsi"/>
          <w:b/>
          <w:bCs/>
          <w:color w:val="002060"/>
          <w:sz w:val="24"/>
          <w:szCs w:val="24"/>
        </w:rPr>
      </w:pPr>
      <w:r w:rsidRPr="00C86111">
        <w:rPr>
          <w:rFonts w:asciiTheme="minorHAnsi" w:hAnsiTheme="minorHAnsi" w:cstheme="minorHAnsi"/>
          <w:b/>
          <w:bCs/>
          <w:color w:val="002060"/>
          <w:sz w:val="24"/>
          <w:szCs w:val="24"/>
        </w:rPr>
        <w:t>Aktivnosti drugih nevladinih organizacija u Crnoj Gori</w:t>
      </w:r>
    </w:p>
    <w:p w14:paraId="310F7458" w14:textId="41C0B309"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 xml:space="preserve">Druge aktivnosti podizanja svijesti uključuju projekte različitih nevladinih organizacija. Projekte je finansiralo Ministarstvo ekologije, održivog razvoja i razvoja sjevera putem „Javnog konkursa za raspodjelu sredstava nevladinim organizacijama u cilju </w:t>
      </w:r>
      <w:r w:rsidR="000D1995" w:rsidRPr="00C86111">
        <w:rPr>
          <w:rFonts w:asciiTheme="minorHAnsi" w:hAnsiTheme="minorHAnsi" w:cstheme="minorHAnsi"/>
          <w:sz w:val="24"/>
          <w:szCs w:val="24"/>
        </w:rPr>
        <w:t>emisije</w:t>
      </w:r>
      <w:r w:rsidRPr="00C86111">
        <w:rPr>
          <w:rFonts w:asciiTheme="minorHAnsi" w:hAnsiTheme="minorHAnsi" w:cstheme="minorHAnsi"/>
          <w:sz w:val="24"/>
          <w:szCs w:val="24"/>
        </w:rPr>
        <w:t xml:space="preserve"> edukativnih kampanja o sigurnom upravljanju dugoročnim organskim zagađivačima (POP) u Crnoj Gori“.</w:t>
      </w:r>
    </w:p>
    <w:p w14:paraId="38EF13E2"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sz w:val="24"/>
          <w:szCs w:val="24"/>
        </w:rPr>
        <w:t xml:space="preserve">Spisak finansiranih projekata možete pronaći na ovom linku </w:t>
      </w:r>
      <w:hyperlink r:id="rId82" w:history="1">
        <w:r w:rsidRPr="00C86111">
          <w:rPr>
            <w:rStyle w:val="Hyperlink0"/>
            <w:rFonts w:asciiTheme="minorHAnsi" w:eastAsia="Arial Unicode MS" w:hAnsiTheme="minorHAnsi" w:cstheme="minorHAnsi"/>
          </w:rPr>
          <w:t>https://wapi.gov.me/download/cf8c7988-155a-46a2-aa54-61b41b04ece8?version=1.0</w:t>
        </w:r>
      </w:hyperlink>
    </w:p>
    <w:p w14:paraId="46DA9C9E" w14:textId="77777777" w:rsidR="004F6023" w:rsidRPr="00C86111" w:rsidRDefault="004F6023" w:rsidP="00833A40">
      <w:pPr>
        <w:pStyle w:val="ListParagraph"/>
        <w:numPr>
          <w:ilvl w:val="0"/>
          <w:numId w:val="98"/>
        </w:numPr>
        <w:pBdr>
          <w:top w:val="nil"/>
          <w:left w:val="nil"/>
          <w:bottom w:val="nil"/>
          <w:right w:val="nil"/>
          <w:between w:val="nil"/>
          <w:bar w:val="nil"/>
        </w:pBdr>
        <w:spacing w:before="100" w:after="100"/>
        <w:contextualSpacing w:val="0"/>
        <w:jc w:val="both"/>
        <w:rPr>
          <w:rFonts w:asciiTheme="minorHAnsi" w:hAnsiTheme="minorHAnsi" w:cstheme="minorHAnsi"/>
          <w:szCs w:val="24"/>
        </w:rPr>
      </w:pPr>
      <w:r w:rsidRPr="00C86111">
        <w:rPr>
          <w:rFonts w:asciiTheme="minorHAnsi" w:hAnsiTheme="minorHAnsi" w:cstheme="minorHAnsi"/>
          <w:szCs w:val="24"/>
        </w:rPr>
        <w:t>Projekat „Adekvatne informacije o hemikalijama za gazirana pića u cilju edukacije javnosti“ NVO Djakomo Adriatic iz Bijelog Polja</w:t>
      </w:r>
    </w:p>
    <w:p w14:paraId="4BB7393B" w14:textId="77777777" w:rsidR="004F6023" w:rsidRPr="00C86111" w:rsidRDefault="004F6023" w:rsidP="00833A40">
      <w:pPr>
        <w:pStyle w:val="ListParagraph"/>
        <w:numPr>
          <w:ilvl w:val="0"/>
          <w:numId w:val="98"/>
        </w:numPr>
        <w:pBdr>
          <w:top w:val="nil"/>
          <w:left w:val="nil"/>
          <w:bottom w:val="nil"/>
          <w:right w:val="nil"/>
          <w:between w:val="nil"/>
          <w:bar w:val="nil"/>
        </w:pBdr>
        <w:spacing w:before="100" w:after="100"/>
        <w:contextualSpacing w:val="0"/>
        <w:jc w:val="both"/>
        <w:rPr>
          <w:rFonts w:asciiTheme="minorHAnsi" w:hAnsiTheme="minorHAnsi" w:cstheme="minorHAnsi"/>
          <w:szCs w:val="24"/>
        </w:rPr>
      </w:pPr>
      <w:r w:rsidRPr="00C86111">
        <w:rPr>
          <w:rFonts w:asciiTheme="minorHAnsi" w:hAnsiTheme="minorHAnsi" w:cstheme="minorHAnsi"/>
          <w:szCs w:val="24"/>
        </w:rPr>
        <w:t>Projekat „Upravljanje otpadom - mladi kao čuvari životne sredine“ – NVO Centar za kreativne vještine iz Berana</w:t>
      </w:r>
    </w:p>
    <w:p w14:paraId="4F1B727C" w14:textId="77777777" w:rsidR="004F6023" w:rsidRPr="00C86111" w:rsidRDefault="004F6023" w:rsidP="00833A40">
      <w:pPr>
        <w:pStyle w:val="ListParagraph"/>
        <w:numPr>
          <w:ilvl w:val="0"/>
          <w:numId w:val="98"/>
        </w:numPr>
        <w:pBdr>
          <w:top w:val="nil"/>
          <w:left w:val="nil"/>
          <w:bottom w:val="nil"/>
          <w:right w:val="nil"/>
          <w:between w:val="nil"/>
          <w:bar w:val="nil"/>
        </w:pBdr>
        <w:spacing w:before="100" w:after="100"/>
        <w:contextualSpacing w:val="0"/>
        <w:jc w:val="both"/>
        <w:rPr>
          <w:rFonts w:asciiTheme="minorHAnsi" w:hAnsiTheme="minorHAnsi" w:cstheme="minorHAnsi"/>
          <w:szCs w:val="24"/>
        </w:rPr>
      </w:pPr>
      <w:r w:rsidRPr="00C86111">
        <w:rPr>
          <w:rFonts w:asciiTheme="minorHAnsi" w:hAnsiTheme="minorHAnsi" w:cstheme="minorHAnsi"/>
          <w:szCs w:val="24"/>
        </w:rPr>
        <w:t>Projekat „S ekološkom oznakom do cilja - sačuvajmo okolinu i zdravlje“ – NVO Centar za ruralni razvoj Crne Gore</w:t>
      </w:r>
    </w:p>
    <w:p w14:paraId="6B03E805" w14:textId="77777777" w:rsidR="004F6023" w:rsidRPr="00C86111" w:rsidRDefault="004F6023" w:rsidP="00833A40">
      <w:pPr>
        <w:pStyle w:val="ListParagraph"/>
        <w:numPr>
          <w:ilvl w:val="0"/>
          <w:numId w:val="98"/>
        </w:numPr>
        <w:pBdr>
          <w:top w:val="nil"/>
          <w:left w:val="nil"/>
          <w:bottom w:val="nil"/>
          <w:right w:val="nil"/>
          <w:between w:val="nil"/>
          <w:bar w:val="nil"/>
        </w:pBdr>
        <w:spacing w:before="100" w:after="100"/>
        <w:contextualSpacing w:val="0"/>
        <w:jc w:val="both"/>
        <w:rPr>
          <w:rFonts w:asciiTheme="minorHAnsi" w:hAnsiTheme="minorHAnsi" w:cstheme="minorHAnsi"/>
          <w:szCs w:val="24"/>
        </w:rPr>
      </w:pPr>
      <w:r w:rsidRPr="00C86111">
        <w:rPr>
          <w:rFonts w:asciiTheme="minorHAnsi" w:hAnsiTheme="minorHAnsi" w:cstheme="minorHAnsi"/>
          <w:szCs w:val="24"/>
        </w:rPr>
        <w:lastRenderedPageBreak/>
        <w:t>Projekat „Upravljanje POPs-ima na ekološki prihvatljiv način“ NVO Društvo mladih ekologa</w:t>
      </w:r>
    </w:p>
    <w:p w14:paraId="0FE8F404" w14:textId="77777777" w:rsidR="004F6023" w:rsidRPr="00C86111" w:rsidRDefault="004F6023" w:rsidP="00833A40">
      <w:pPr>
        <w:pStyle w:val="ListParagraph"/>
        <w:numPr>
          <w:ilvl w:val="0"/>
          <w:numId w:val="98"/>
        </w:numPr>
        <w:pBdr>
          <w:top w:val="nil"/>
          <w:left w:val="nil"/>
          <w:bottom w:val="nil"/>
          <w:right w:val="nil"/>
          <w:between w:val="nil"/>
          <w:bar w:val="nil"/>
        </w:pBdr>
        <w:spacing w:before="100" w:after="100"/>
        <w:contextualSpacing w:val="0"/>
        <w:jc w:val="both"/>
        <w:rPr>
          <w:rFonts w:asciiTheme="minorHAnsi" w:hAnsiTheme="minorHAnsi" w:cstheme="minorHAnsi"/>
          <w:szCs w:val="24"/>
        </w:rPr>
      </w:pPr>
      <w:r w:rsidRPr="00C86111">
        <w:rPr>
          <w:rFonts w:asciiTheme="minorHAnsi" w:hAnsiTheme="minorHAnsi" w:cstheme="minorHAnsi"/>
          <w:szCs w:val="24"/>
        </w:rPr>
        <w:t>Projekat „Edukacija o POPs hemikalijama i upravljanju na održiv, efikasan i ekološki prihvatljiv način“ NVO Građanski aktivizam</w:t>
      </w:r>
    </w:p>
    <w:p w14:paraId="76E5FC04" w14:textId="77777777" w:rsidR="004F6023" w:rsidRPr="00C86111" w:rsidRDefault="004F6023" w:rsidP="00833A40">
      <w:pPr>
        <w:pStyle w:val="ListParagraph"/>
        <w:numPr>
          <w:ilvl w:val="0"/>
          <w:numId w:val="98"/>
        </w:numPr>
        <w:pBdr>
          <w:top w:val="nil"/>
          <w:left w:val="nil"/>
          <w:bottom w:val="nil"/>
          <w:right w:val="nil"/>
          <w:between w:val="nil"/>
          <w:bar w:val="nil"/>
        </w:pBdr>
        <w:spacing w:before="100" w:after="100"/>
        <w:contextualSpacing w:val="0"/>
        <w:jc w:val="both"/>
        <w:rPr>
          <w:rFonts w:asciiTheme="minorHAnsi" w:hAnsiTheme="minorHAnsi" w:cstheme="minorHAnsi"/>
          <w:szCs w:val="24"/>
        </w:rPr>
      </w:pPr>
      <w:r w:rsidRPr="00C86111">
        <w:rPr>
          <w:rFonts w:asciiTheme="minorHAnsi" w:hAnsiTheme="minorHAnsi" w:cstheme="minorHAnsi"/>
          <w:szCs w:val="24"/>
        </w:rPr>
        <w:t>Projekat „Edukativna kampanja o porijeklu POPS jedinjenja i njihovim negativnim uticajima na ljudsko zdravlje i životnu sredinu u Bijelom Polju“ NVO Ronilački klub – Team Shark Bijelo Polje</w:t>
      </w:r>
    </w:p>
    <w:p w14:paraId="700218FD"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r w:rsidRPr="00C86111">
        <w:rPr>
          <w:rFonts w:asciiTheme="minorHAnsi" w:hAnsiTheme="minorHAnsi" w:cstheme="minorHAnsi"/>
          <w:b/>
          <w:bCs/>
          <w:sz w:val="24"/>
          <w:szCs w:val="24"/>
        </w:rPr>
        <w:t xml:space="preserve">NVO Centar za kreativne vještine </w:t>
      </w:r>
      <w:r w:rsidRPr="00C86111">
        <w:rPr>
          <w:rFonts w:asciiTheme="minorHAnsi" w:hAnsiTheme="minorHAnsi" w:cstheme="minorHAnsi"/>
          <w:sz w:val="24"/>
          <w:szCs w:val="24"/>
        </w:rPr>
        <w:t xml:space="preserve">iz Berana održala je predavanje za mlade pod nazivom „Odlaganje otpada u prirodi“ koje se odnosilo na POPs hemikalije i njihovu štetnost po okolinu sa posebnim akcentom na ljude. Cilj predavanja bio je podizanje svijesti o štetnosti ovih hemikalija koje su rasprostranjene svuda oko nas i koje imaju veliki uticaj na zdravlje ljudi, a posebno djece. Učenici nisu bili upoznati sa POPs hemikalijama, kao ni sa činjenicom gdje se mogu naći i na koji način se mogu prenijeti i širiti. Link - </w:t>
      </w:r>
      <w:hyperlink r:id="rId83" w:history="1">
        <w:r w:rsidRPr="00C86111">
          <w:rPr>
            <w:rStyle w:val="Hyperlink0"/>
            <w:rFonts w:asciiTheme="minorHAnsi" w:eastAsia="Arial Unicode MS" w:hAnsiTheme="minorHAnsi" w:cstheme="minorHAnsi"/>
          </w:rPr>
          <w:t xml:space="preserve">https://www.cekrev.me/aktuelno/645-odlaganje-otpada-u-prirodu-pops-hemikalije </w:t>
        </w:r>
      </w:hyperlink>
      <w:r w:rsidRPr="00C86111">
        <w:rPr>
          <w:rFonts w:asciiTheme="minorHAnsi" w:hAnsiTheme="minorHAnsi" w:cstheme="minorHAnsi"/>
          <w:sz w:val="24"/>
          <w:szCs w:val="24"/>
        </w:rPr>
        <w:t xml:space="preserve">. Druge aktivnosti ove NVO uključuju fokus grupe sa poljoprivrednim proizvođačima u Beranama o upoznavanju sa POPs hemikalijama i njihovim uticajem na žive organizme, kao i njihovom svakodnevnom upotrebom u životu. Link - </w:t>
      </w:r>
      <w:hyperlink r:id="rId84" w:history="1">
        <w:r w:rsidRPr="00C86111">
          <w:rPr>
            <w:rStyle w:val="Hyperlink0"/>
            <w:rFonts w:asciiTheme="minorHAnsi" w:eastAsia="Arial Unicode MS" w:hAnsiTheme="minorHAnsi" w:cstheme="minorHAnsi"/>
          </w:rPr>
          <w:t>https://www.cekrev.me/en/aktuelno/628-slaba-informisanost-u-vezi-pops-hemikalija</w:t>
        </w:r>
      </w:hyperlink>
    </w:p>
    <w:p w14:paraId="1B85A5B6" w14:textId="77777777" w:rsidR="004F6023" w:rsidRPr="00C86111" w:rsidRDefault="004F6023" w:rsidP="004F6023">
      <w:pPr>
        <w:pStyle w:val="Text"/>
        <w:spacing w:before="100" w:after="100" w:line="240" w:lineRule="auto"/>
        <w:jc w:val="both"/>
        <w:rPr>
          <w:rFonts w:asciiTheme="minorHAnsi" w:hAnsiTheme="minorHAnsi" w:cstheme="minorHAnsi"/>
          <w:sz w:val="24"/>
          <w:szCs w:val="24"/>
        </w:rPr>
      </w:pPr>
      <w:r w:rsidRPr="00C86111">
        <w:rPr>
          <w:rFonts w:asciiTheme="minorHAnsi" w:hAnsiTheme="minorHAnsi" w:cstheme="minorHAnsi"/>
          <w:b/>
          <w:bCs/>
          <w:sz w:val="24"/>
          <w:szCs w:val="24"/>
        </w:rPr>
        <w:t xml:space="preserve">NVO Društvo mladih ekologa Nikšić </w:t>
      </w:r>
      <w:r w:rsidRPr="00C86111">
        <w:rPr>
          <w:rFonts w:asciiTheme="minorHAnsi" w:hAnsiTheme="minorHAnsi" w:cstheme="minorHAnsi"/>
          <w:sz w:val="24"/>
          <w:szCs w:val="24"/>
        </w:rPr>
        <w:t xml:space="preserve">održala je predavanje o POPs - dugotrajnim organskim zagađivačima za predstavnike lokalnih i državnih institucija i nevladinog sektora. Predavanju su prisustvovali predstavnici Agencije za zaštitu životne sredine, Sekretarijata za prostorno planiranje i zaštitu životne sredine Nikšić, Sekretarijata za komunalne poslove i saobraćaj Nikšić, NVO Medijski tim, NVO Pandurica i NVO Green Home. Predavanje je organizovano u dva modula. Tokom prvog dijela, publici se obratila dr Tamara Popović na temu "Pravilna upotreba pesticida u cilju zaštite biljaka, zdravlja ljudi i životne sredine". U drugom dijelu predavanja, čiji je fokus bio na POPs supstancama u sekciji hemikalija, Goran Tripković iz Službe zaštite i spašavanja opštine Nikšić govorio je na temu "Primjeri i problemi na terenu u radu vezanom za POPs supstance". Link - </w:t>
      </w:r>
      <w:hyperlink r:id="rId85" w:history="1">
        <w:r w:rsidRPr="00C86111">
          <w:rPr>
            <w:rStyle w:val="Hyperlink0"/>
            <w:rFonts w:asciiTheme="minorHAnsi" w:eastAsia="Arial Unicode MS" w:hAnsiTheme="minorHAnsi" w:cstheme="minorHAnsi"/>
          </w:rPr>
          <w:t>https://dmen.me/2022/03/08/pops-supstancama-upravljati-na-ekoloski-prihvatljiv-nacin/</w:t>
        </w:r>
      </w:hyperlink>
    </w:p>
    <w:p w14:paraId="7132FE12" w14:textId="77777777" w:rsidR="004F6023" w:rsidRPr="00C86111" w:rsidRDefault="004F6023" w:rsidP="004F6023">
      <w:pPr>
        <w:pStyle w:val="Text"/>
        <w:spacing w:before="100" w:after="100" w:line="240" w:lineRule="auto"/>
        <w:jc w:val="both"/>
        <w:rPr>
          <w:rFonts w:asciiTheme="minorHAnsi" w:eastAsia="Times New Roman" w:hAnsiTheme="minorHAnsi" w:cstheme="minorHAnsi"/>
          <w:sz w:val="24"/>
          <w:szCs w:val="24"/>
        </w:rPr>
      </w:pPr>
    </w:p>
    <w:p w14:paraId="2B9BE659" w14:textId="77777777" w:rsidR="00B908DB" w:rsidRPr="00C86111" w:rsidRDefault="00B908DB" w:rsidP="004F6023">
      <w:pPr>
        <w:pStyle w:val="Text"/>
        <w:spacing w:before="100" w:after="100" w:line="240" w:lineRule="auto"/>
        <w:jc w:val="both"/>
        <w:rPr>
          <w:rFonts w:asciiTheme="minorHAnsi" w:eastAsia="Times New Roman" w:hAnsiTheme="minorHAnsi" w:cstheme="minorHAnsi"/>
          <w:sz w:val="24"/>
          <w:szCs w:val="24"/>
        </w:rPr>
      </w:pPr>
    </w:p>
    <w:p w14:paraId="4C49F944" w14:textId="77777777" w:rsidR="004F6023" w:rsidRPr="00C86111" w:rsidRDefault="004F6023" w:rsidP="00EA6904">
      <w:pPr>
        <w:pStyle w:val="Heading3"/>
        <w:rPr>
          <w:lang w:eastAsia="en-GB"/>
        </w:rPr>
      </w:pPr>
      <w:bookmarkStart w:id="494" w:name="_Toc220542022"/>
      <w:r w:rsidRPr="00C86111">
        <w:rPr>
          <w:lang w:eastAsia="en-GB"/>
        </w:rPr>
        <w:t>Ključni izazovi i preporuke</w:t>
      </w:r>
      <w:bookmarkEnd w:id="494"/>
    </w:p>
    <w:p w14:paraId="4CEC81F0" w14:textId="77777777"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Uprkos ovim naporima, Crna Gora se i dalje suočava s nekoliko izazova u potpunoj institucionalizaciji podizanja svijesti i razmjene informacija o POPs-ovima:</w:t>
      </w:r>
    </w:p>
    <w:p w14:paraId="2841C508" w14:textId="77777777" w:rsidR="004F6023" w:rsidRPr="00C86111" w:rsidRDefault="004F6023" w:rsidP="00833A40">
      <w:pPr>
        <w:numPr>
          <w:ilvl w:val="0"/>
          <w:numId w:val="108"/>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b/>
          <w:bCs/>
          <w:szCs w:val="24"/>
          <w:lang w:val="en-GB" w:eastAsia="en-GB"/>
        </w:rPr>
        <w:t xml:space="preserve">Fragmentacija odgovornosti </w:t>
      </w:r>
      <w:r w:rsidRPr="00C86111">
        <w:rPr>
          <w:rFonts w:asciiTheme="minorHAnsi" w:eastAsia="Times New Roman" w:hAnsiTheme="minorHAnsi" w:cstheme="minorHAnsi"/>
          <w:szCs w:val="24"/>
          <w:lang w:val="en-GB" w:eastAsia="en-GB"/>
        </w:rPr>
        <w:t>među institucijama ograničava stratešku koordinaciju napora u informativnoj kampanji.</w:t>
      </w:r>
    </w:p>
    <w:p w14:paraId="7E308C82" w14:textId="77777777" w:rsidR="004F6023" w:rsidRPr="00C86111" w:rsidRDefault="004F6023" w:rsidP="00833A40">
      <w:pPr>
        <w:numPr>
          <w:ilvl w:val="0"/>
          <w:numId w:val="108"/>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b/>
          <w:bCs/>
          <w:szCs w:val="24"/>
          <w:lang w:val="en-GB" w:eastAsia="en-GB"/>
        </w:rPr>
        <w:t>Ograničena integracija tema</w:t>
      </w:r>
      <w:r w:rsidRPr="00C86111">
        <w:rPr>
          <w:rFonts w:asciiTheme="minorHAnsi" w:eastAsia="Times New Roman" w:hAnsiTheme="minorHAnsi" w:cstheme="minorHAnsi"/>
          <w:szCs w:val="24"/>
          <w:lang w:val="en-GB" w:eastAsia="en-GB"/>
        </w:rPr>
        <w:t xml:space="preserve"> o POPs-ovima u nastavne planove i programe</w:t>
      </w:r>
      <w:r w:rsidRPr="00C86111">
        <w:rPr>
          <w:rFonts w:asciiTheme="minorHAnsi" w:eastAsia="Times New Roman" w:hAnsiTheme="minorHAnsi" w:cstheme="minorHAnsi"/>
          <w:b/>
          <w:bCs/>
          <w:szCs w:val="24"/>
          <w:lang w:val="en-GB" w:eastAsia="en-GB"/>
        </w:rPr>
        <w:t xml:space="preserve"> </w:t>
      </w:r>
      <w:r w:rsidRPr="00C86111">
        <w:rPr>
          <w:rFonts w:asciiTheme="minorHAnsi" w:eastAsia="Times New Roman" w:hAnsiTheme="minorHAnsi" w:cstheme="minorHAnsi"/>
          <w:szCs w:val="24"/>
          <w:lang w:val="en-GB" w:eastAsia="en-GB"/>
        </w:rPr>
        <w:t>formalnog obrazovanja smanjuje dugoročnu svijest i pripremljenost.</w:t>
      </w:r>
    </w:p>
    <w:p w14:paraId="278B57CE" w14:textId="77777777" w:rsidR="004F6023" w:rsidRPr="00C86111" w:rsidRDefault="004F6023" w:rsidP="00833A40">
      <w:pPr>
        <w:numPr>
          <w:ilvl w:val="0"/>
          <w:numId w:val="108"/>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b/>
          <w:bCs/>
          <w:szCs w:val="24"/>
          <w:lang w:val="en-GB" w:eastAsia="en-GB"/>
        </w:rPr>
        <w:t xml:space="preserve">Nedovoljna upotreba digitalnih alata i multimedija </w:t>
      </w:r>
      <w:r w:rsidRPr="00C86111">
        <w:rPr>
          <w:rFonts w:asciiTheme="minorHAnsi" w:eastAsia="Times New Roman" w:hAnsiTheme="minorHAnsi" w:cstheme="minorHAnsi"/>
          <w:szCs w:val="24"/>
          <w:lang w:val="en-GB" w:eastAsia="en-GB"/>
        </w:rPr>
        <w:t>otežava dosezanje mladih i urbanog stanovništva.</w:t>
      </w:r>
    </w:p>
    <w:p w14:paraId="27B447FD" w14:textId="77777777" w:rsidR="004F6023" w:rsidRPr="00C86111" w:rsidRDefault="004F6023" w:rsidP="00833A40">
      <w:pPr>
        <w:numPr>
          <w:ilvl w:val="0"/>
          <w:numId w:val="108"/>
        </w:num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b/>
          <w:bCs/>
          <w:szCs w:val="24"/>
          <w:lang w:val="en-GB" w:eastAsia="en-GB"/>
        </w:rPr>
        <w:lastRenderedPageBreak/>
        <w:t xml:space="preserve">Nedostatak ciljanih poruka za profesionalne korisnike </w:t>
      </w:r>
      <w:r w:rsidRPr="00C86111">
        <w:rPr>
          <w:rFonts w:asciiTheme="minorHAnsi" w:eastAsia="Times New Roman" w:hAnsiTheme="minorHAnsi" w:cstheme="minorHAnsi"/>
          <w:szCs w:val="24"/>
          <w:lang w:val="en-GB" w:eastAsia="en-GB"/>
        </w:rPr>
        <w:t>(npr. one koji primjenjuju pesticide, industrijske operatere) slabi komunikaciju o riziku na izvoru.</w:t>
      </w:r>
    </w:p>
    <w:p w14:paraId="4A3A79B2" w14:textId="77777777" w:rsidR="004F6023" w:rsidRPr="00C86111" w:rsidRDefault="004F6023" w:rsidP="004F6023">
      <w:pPr>
        <w:spacing w:before="100" w:beforeAutospacing="1" w:after="100" w:afterAutospacing="1"/>
        <w:jc w:val="both"/>
        <w:rPr>
          <w:rFonts w:asciiTheme="minorHAnsi" w:eastAsia="Times New Roman" w:hAnsiTheme="minorHAnsi" w:cstheme="minorHAnsi"/>
          <w:szCs w:val="24"/>
          <w:lang w:val="en-GB" w:eastAsia="en-GB"/>
        </w:rPr>
      </w:pPr>
      <w:r w:rsidRPr="00C86111">
        <w:rPr>
          <w:rFonts w:asciiTheme="minorHAnsi" w:eastAsia="Times New Roman" w:hAnsiTheme="minorHAnsi" w:cstheme="minorHAnsi"/>
          <w:szCs w:val="24"/>
          <w:lang w:val="en-GB" w:eastAsia="en-GB"/>
        </w:rPr>
        <w:t>Kako bi se riješili ovi nedostaci, predstojeći Nacionalni implementacioni planovi (2025–2040) trebali bi uključivati namjensku komponentu podizanja svijesti s jasnim institucionalnim ulogama, mehanizmima finansiranja i pokazateljima uspjeha. Nacionalna komunikacijska strategija o POPs-ovima, podržana međusektorskom koordinacijom i usklađena s ciljevima zaštite životne sredine i zdravlja, biće ključna za unapređenje javnog razumijevanja i promjene ponašanja u vezi s POPs-ovima.</w:t>
      </w:r>
    </w:p>
    <w:p w14:paraId="405B71C3" w14:textId="7BFBECD4" w:rsidR="004F6023" w:rsidRPr="00C86111" w:rsidRDefault="004F6023" w:rsidP="00EA6904">
      <w:pPr>
        <w:pStyle w:val="Heading3"/>
        <w:rPr>
          <w:rFonts w:eastAsia="Times New Roman"/>
          <w:lang w:val="en-GB" w:eastAsia="en-GB"/>
        </w:rPr>
      </w:pPr>
      <w:bookmarkStart w:id="495" w:name="_Toc220542023"/>
      <w:r w:rsidRPr="00C86111">
        <w:t>Diskusija o nalazima</w:t>
      </w:r>
      <w:bookmarkEnd w:id="495"/>
    </w:p>
    <w:p w14:paraId="0F28265A" w14:textId="77777777" w:rsidR="004F6023" w:rsidRPr="00C86111" w:rsidRDefault="004F6023" w:rsidP="004F6023">
      <w:pPr>
        <w:pStyle w:val="NormalWeb"/>
        <w:jc w:val="both"/>
        <w:rPr>
          <w:rFonts w:asciiTheme="minorHAnsi" w:hAnsiTheme="minorHAnsi" w:cstheme="minorHAnsi"/>
        </w:rPr>
      </w:pPr>
      <w:r w:rsidRPr="00C86111">
        <w:rPr>
          <w:rFonts w:asciiTheme="minorHAnsi" w:hAnsiTheme="minorHAnsi" w:cstheme="minorHAnsi"/>
        </w:rPr>
        <w:t>Nalazi sprovedenih aktivnosti i doprinosi prikupljeni od zainteresovanih strana ukazuju na to da se Crna Gora i dalje suočava sa značajnim izazovima u efikasnom upravljanju dugotrajnim organskim zagađivačima (POPs). Iako je postignut napredak kroz zakonodavstvo usklađeno sa Stokholmskom konvencijom i kroz napore organizacija civilnog društva, ukupna efikasnost upravljanja POPs-ovima ostaje ograničena zbog sistemskih nedostataka.</w:t>
      </w:r>
    </w:p>
    <w:p w14:paraId="3C517793" w14:textId="77777777" w:rsidR="00215B11" w:rsidRPr="00C86111" w:rsidRDefault="00215B11" w:rsidP="00215B11">
      <w:pPr>
        <w:jc w:val="both"/>
        <w:rPr>
          <w:rFonts w:asciiTheme="minorHAnsi" w:hAnsiTheme="minorHAnsi" w:cstheme="minorHAnsi"/>
          <w:b/>
          <w:bCs/>
          <w:i/>
          <w:iCs/>
          <w:szCs w:val="24"/>
        </w:rPr>
      </w:pPr>
    </w:p>
    <w:p w14:paraId="6DC86A64" w14:textId="77777777" w:rsidR="00215B11" w:rsidRPr="00C86111" w:rsidRDefault="00215B11" w:rsidP="00215B11">
      <w:pPr>
        <w:jc w:val="both"/>
        <w:rPr>
          <w:rFonts w:asciiTheme="minorHAnsi" w:hAnsiTheme="minorHAnsi" w:cstheme="minorHAnsi"/>
          <w:b/>
          <w:bCs/>
          <w:i/>
          <w:iCs/>
          <w:szCs w:val="24"/>
        </w:rPr>
      </w:pPr>
    </w:p>
    <w:p w14:paraId="2599AF8A" w14:textId="77777777" w:rsidR="00B908DB" w:rsidRPr="00C86111" w:rsidRDefault="00B908DB" w:rsidP="00215B11">
      <w:pPr>
        <w:jc w:val="both"/>
        <w:rPr>
          <w:rFonts w:asciiTheme="minorHAnsi" w:hAnsiTheme="minorHAnsi" w:cstheme="minorHAnsi"/>
          <w:b/>
          <w:bCs/>
          <w:i/>
          <w:iCs/>
          <w:szCs w:val="24"/>
        </w:rPr>
      </w:pPr>
    </w:p>
    <w:p w14:paraId="78F4E5EB" w14:textId="77777777" w:rsidR="00B908DB" w:rsidRPr="00C86111" w:rsidRDefault="00B908DB" w:rsidP="00215B11">
      <w:pPr>
        <w:jc w:val="both"/>
        <w:rPr>
          <w:rFonts w:asciiTheme="minorHAnsi" w:hAnsiTheme="minorHAnsi" w:cstheme="minorHAnsi"/>
          <w:b/>
          <w:bCs/>
          <w:i/>
          <w:iCs/>
          <w:szCs w:val="24"/>
        </w:rPr>
      </w:pPr>
    </w:p>
    <w:p w14:paraId="4066AC66" w14:textId="77777777" w:rsidR="00B908DB" w:rsidRPr="00C86111" w:rsidRDefault="00B908DB" w:rsidP="00215B11">
      <w:pPr>
        <w:jc w:val="both"/>
        <w:rPr>
          <w:rFonts w:asciiTheme="minorHAnsi" w:hAnsiTheme="minorHAnsi" w:cstheme="minorHAnsi"/>
          <w:b/>
          <w:bCs/>
          <w:i/>
          <w:iCs/>
          <w:szCs w:val="24"/>
        </w:rPr>
      </w:pPr>
    </w:p>
    <w:p w14:paraId="52E72A8B" w14:textId="77777777" w:rsidR="00B908DB" w:rsidRPr="00C86111" w:rsidRDefault="00B908DB" w:rsidP="00215B11">
      <w:pPr>
        <w:jc w:val="both"/>
        <w:rPr>
          <w:rFonts w:asciiTheme="minorHAnsi" w:hAnsiTheme="minorHAnsi" w:cstheme="minorHAnsi"/>
          <w:b/>
          <w:bCs/>
          <w:i/>
          <w:iCs/>
          <w:szCs w:val="24"/>
        </w:rPr>
      </w:pPr>
    </w:p>
    <w:p w14:paraId="0FE22B71" w14:textId="77777777" w:rsidR="00B908DB" w:rsidRPr="00C86111" w:rsidRDefault="00B908DB" w:rsidP="00215B11">
      <w:pPr>
        <w:jc w:val="both"/>
        <w:rPr>
          <w:rFonts w:asciiTheme="minorHAnsi" w:hAnsiTheme="minorHAnsi" w:cstheme="minorHAnsi"/>
          <w:b/>
          <w:bCs/>
          <w:i/>
          <w:iCs/>
          <w:szCs w:val="24"/>
        </w:rPr>
      </w:pPr>
    </w:p>
    <w:p w14:paraId="6143D539" w14:textId="77777777" w:rsidR="00B908DB" w:rsidRPr="00C86111" w:rsidRDefault="00B908DB" w:rsidP="00215B11">
      <w:pPr>
        <w:jc w:val="both"/>
        <w:rPr>
          <w:rFonts w:asciiTheme="minorHAnsi" w:hAnsiTheme="minorHAnsi" w:cstheme="minorHAnsi"/>
          <w:b/>
          <w:bCs/>
          <w:i/>
          <w:iCs/>
          <w:szCs w:val="24"/>
        </w:rPr>
      </w:pPr>
    </w:p>
    <w:p w14:paraId="7F6CF90F" w14:textId="77777777" w:rsidR="00B908DB" w:rsidRPr="00C86111" w:rsidRDefault="00B908DB" w:rsidP="00215B11">
      <w:pPr>
        <w:jc w:val="both"/>
        <w:rPr>
          <w:rFonts w:asciiTheme="minorHAnsi" w:hAnsiTheme="minorHAnsi" w:cstheme="minorHAnsi"/>
          <w:b/>
          <w:bCs/>
          <w:i/>
          <w:iCs/>
          <w:szCs w:val="24"/>
        </w:rPr>
      </w:pPr>
    </w:p>
    <w:p w14:paraId="78ADE784" w14:textId="77777777" w:rsidR="00B908DB" w:rsidRPr="00C86111" w:rsidRDefault="00B908DB" w:rsidP="00215B11">
      <w:pPr>
        <w:jc w:val="both"/>
        <w:rPr>
          <w:rFonts w:asciiTheme="minorHAnsi" w:hAnsiTheme="minorHAnsi" w:cstheme="minorHAnsi"/>
          <w:b/>
          <w:bCs/>
          <w:i/>
          <w:iCs/>
          <w:szCs w:val="24"/>
        </w:rPr>
      </w:pPr>
    </w:p>
    <w:p w14:paraId="4DEF57AA" w14:textId="77777777" w:rsidR="00B908DB" w:rsidRPr="00C86111" w:rsidRDefault="00B908DB" w:rsidP="00215B11">
      <w:pPr>
        <w:jc w:val="both"/>
        <w:rPr>
          <w:rFonts w:asciiTheme="minorHAnsi" w:hAnsiTheme="minorHAnsi" w:cstheme="minorHAnsi"/>
          <w:b/>
          <w:bCs/>
          <w:i/>
          <w:iCs/>
          <w:szCs w:val="24"/>
        </w:rPr>
      </w:pPr>
    </w:p>
    <w:p w14:paraId="7540587C" w14:textId="77777777" w:rsidR="00B908DB" w:rsidRPr="00C86111" w:rsidRDefault="00B908DB" w:rsidP="00215B11">
      <w:pPr>
        <w:jc w:val="both"/>
        <w:rPr>
          <w:rFonts w:asciiTheme="minorHAnsi" w:hAnsiTheme="minorHAnsi" w:cstheme="minorHAnsi"/>
          <w:b/>
          <w:bCs/>
          <w:i/>
          <w:iCs/>
          <w:szCs w:val="24"/>
        </w:rPr>
      </w:pPr>
    </w:p>
    <w:p w14:paraId="593FE55D" w14:textId="77777777" w:rsidR="00215B11" w:rsidRPr="00C86111" w:rsidRDefault="00215B11" w:rsidP="00215B11">
      <w:pPr>
        <w:jc w:val="both"/>
        <w:rPr>
          <w:rFonts w:asciiTheme="minorHAnsi" w:hAnsiTheme="minorHAnsi" w:cstheme="minorHAnsi"/>
          <w:b/>
          <w:bCs/>
          <w:i/>
          <w:iCs/>
          <w:szCs w:val="24"/>
        </w:rPr>
      </w:pPr>
    </w:p>
    <w:p w14:paraId="090E30FF" w14:textId="77777777" w:rsidR="00215B11" w:rsidRPr="00C86111" w:rsidRDefault="00215B11" w:rsidP="00215B11">
      <w:pPr>
        <w:jc w:val="both"/>
        <w:rPr>
          <w:rFonts w:asciiTheme="minorHAnsi" w:hAnsiTheme="minorHAnsi" w:cstheme="minorHAnsi"/>
          <w:b/>
          <w:bCs/>
          <w:i/>
          <w:iCs/>
          <w:szCs w:val="24"/>
        </w:rPr>
      </w:pPr>
    </w:p>
    <w:p w14:paraId="72E83BCA" w14:textId="77777777" w:rsidR="00215B11" w:rsidRPr="00C86111" w:rsidRDefault="00215B11" w:rsidP="00215B11">
      <w:pPr>
        <w:jc w:val="both"/>
        <w:rPr>
          <w:rFonts w:asciiTheme="minorHAnsi" w:hAnsiTheme="minorHAnsi" w:cstheme="minorHAnsi"/>
          <w:b/>
          <w:bCs/>
          <w:i/>
          <w:iCs/>
          <w:szCs w:val="24"/>
        </w:rPr>
      </w:pPr>
    </w:p>
    <w:p w14:paraId="187E1126" w14:textId="7F6833C9" w:rsidR="00215B11" w:rsidRPr="00C86111" w:rsidRDefault="00B908DB" w:rsidP="00912C4C">
      <w:pPr>
        <w:pStyle w:val="Heading1"/>
      </w:pPr>
      <w:bookmarkStart w:id="496" w:name="_Toc220542024"/>
      <w:r w:rsidRPr="00C86111">
        <w:t>PROCES PRIORITIZACIJE U CRNOJ GORI</w:t>
      </w:r>
      <w:bookmarkEnd w:id="496"/>
    </w:p>
    <w:p w14:paraId="42CA604C" w14:textId="5C2D7469" w:rsidR="00B908DB" w:rsidRPr="00C86111" w:rsidRDefault="00B908DB" w:rsidP="00EA6904">
      <w:pPr>
        <w:pStyle w:val="Heading3"/>
      </w:pPr>
      <w:bookmarkStart w:id="497" w:name="_Toc220542025"/>
      <w:r w:rsidRPr="00C86111">
        <w:t>Uvod</w:t>
      </w:r>
      <w:bookmarkEnd w:id="497"/>
    </w:p>
    <w:p w14:paraId="3764991A"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Proces prioritizacije u okviru Nacionalnog implementacionog plana (NIP) za Stokholmsku konvenciju u Crnoj Gori zasniva se na integrisanom pristupu koji povezuje rezultate inventara POPs supstanci, identifikovane izazove i praznine u upravljanju, te zahtjeve međunarodnih obaveza i nacionalnog konteksta.</w:t>
      </w:r>
    </w:p>
    <w:p w14:paraId="29523A10"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Cilj ovog procesa bio je da se na transparentan i dosljedan način utvrde ključne oblasti djelovanja koje imaju najveći potencijal da smanje rizike po zdravlje ljudi i životnu sredinu, uz istovremeno jačanje institucionalnih i tehničkih kapaciteta države.</w:t>
      </w:r>
    </w:p>
    <w:p w14:paraId="528A3374" w14:textId="77777777" w:rsidR="00215B11" w:rsidRPr="00C86111" w:rsidRDefault="00215B11" w:rsidP="00215B11">
      <w:pPr>
        <w:jc w:val="both"/>
        <w:rPr>
          <w:rFonts w:asciiTheme="minorHAnsi" w:hAnsiTheme="minorHAnsi" w:cstheme="minorHAnsi"/>
          <w:b/>
          <w:bCs/>
          <w:color w:val="2F5496" w:themeColor="accent1" w:themeShade="BF"/>
          <w:szCs w:val="24"/>
        </w:rPr>
      </w:pPr>
      <w:r w:rsidRPr="00C86111">
        <w:rPr>
          <w:rFonts w:asciiTheme="minorHAnsi" w:hAnsiTheme="minorHAnsi" w:cstheme="minorHAnsi"/>
          <w:b/>
          <w:bCs/>
          <w:szCs w:val="24"/>
        </w:rPr>
        <w:lastRenderedPageBreak/>
        <w:t>I Faza-Polazna osnova: Inventari POPs</w:t>
      </w:r>
    </w:p>
    <w:p w14:paraId="1AE4D976"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Kao prva faza, izvršen je pregled i ažuriranje nacionalnih inventara za:</w:t>
      </w:r>
    </w:p>
    <w:p w14:paraId="5877420E" w14:textId="77777777" w:rsidR="00215B11" w:rsidRPr="00C86111" w:rsidRDefault="00215B11" w:rsidP="00004F34">
      <w:pPr>
        <w:numPr>
          <w:ilvl w:val="0"/>
          <w:numId w:val="215"/>
        </w:numPr>
        <w:jc w:val="both"/>
        <w:rPr>
          <w:rFonts w:asciiTheme="minorHAnsi" w:hAnsiTheme="minorHAnsi" w:cstheme="minorHAnsi"/>
          <w:color w:val="auto"/>
          <w:szCs w:val="24"/>
        </w:rPr>
      </w:pPr>
      <w:r w:rsidRPr="00C86111">
        <w:rPr>
          <w:rFonts w:asciiTheme="minorHAnsi" w:hAnsiTheme="minorHAnsi" w:cstheme="minorHAnsi"/>
          <w:color w:val="auto"/>
          <w:szCs w:val="24"/>
        </w:rPr>
        <w:t>početnih 12 POPs iz Konvencije (POP pesticidi, PCB i nenamjerno proizvedeni POPs),</w:t>
      </w:r>
    </w:p>
    <w:p w14:paraId="722E0A25" w14:textId="77777777" w:rsidR="00215B11" w:rsidRPr="00C86111" w:rsidRDefault="00215B11" w:rsidP="00004F34">
      <w:pPr>
        <w:numPr>
          <w:ilvl w:val="0"/>
          <w:numId w:val="215"/>
        </w:numPr>
        <w:jc w:val="both"/>
        <w:rPr>
          <w:rFonts w:asciiTheme="minorHAnsi" w:hAnsiTheme="minorHAnsi" w:cstheme="minorHAnsi"/>
          <w:color w:val="auto"/>
          <w:szCs w:val="24"/>
        </w:rPr>
      </w:pPr>
      <w:r w:rsidRPr="00C86111">
        <w:rPr>
          <w:rFonts w:asciiTheme="minorHAnsi" w:hAnsiTheme="minorHAnsi" w:cstheme="minorHAnsi"/>
          <w:color w:val="auto"/>
          <w:szCs w:val="24"/>
        </w:rPr>
        <w:t>POPs supstance uvrštene u periodu 2009–2013,</w:t>
      </w:r>
    </w:p>
    <w:p w14:paraId="6B481F55" w14:textId="77777777" w:rsidR="00215B11" w:rsidRPr="00C86111" w:rsidRDefault="00215B11" w:rsidP="00004F34">
      <w:pPr>
        <w:numPr>
          <w:ilvl w:val="0"/>
          <w:numId w:val="215"/>
        </w:numPr>
        <w:jc w:val="both"/>
        <w:rPr>
          <w:rFonts w:asciiTheme="minorHAnsi" w:hAnsiTheme="minorHAnsi" w:cstheme="minorHAnsi"/>
          <w:color w:val="auto"/>
          <w:szCs w:val="24"/>
        </w:rPr>
      </w:pPr>
      <w:r w:rsidRPr="00C86111">
        <w:rPr>
          <w:rFonts w:asciiTheme="minorHAnsi" w:hAnsiTheme="minorHAnsi" w:cstheme="minorHAnsi"/>
          <w:color w:val="auto"/>
          <w:szCs w:val="24"/>
        </w:rPr>
        <w:t>nove POPs supstance identifikovane u periodu 2015–2019,</w:t>
      </w:r>
    </w:p>
    <w:p w14:paraId="48E6DD50" w14:textId="77777777" w:rsidR="00215B11" w:rsidRPr="00C86111" w:rsidRDefault="00215B11" w:rsidP="00004F34">
      <w:pPr>
        <w:numPr>
          <w:ilvl w:val="0"/>
          <w:numId w:val="215"/>
        </w:numPr>
        <w:jc w:val="both"/>
        <w:rPr>
          <w:rFonts w:asciiTheme="minorHAnsi" w:hAnsiTheme="minorHAnsi" w:cstheme="minorHAnsi"/>
          <w:color w:val="auto"/>
          <w:szCs w:val="24"/>
        </w:rPr>
      </w:pPr>
      <w:r w:rsidRPr="00C86111">
        <w:rPr>
          <w:rFonts w:asciiTheme="minorHAnsi" w:hAnsiTheme="minorHAnsi" w:cstheme="minorHAnsi"/>
          <w:color w:val="auto"/>
          <w:szCs w:val="24"/>
        </w:rPr>
        <w:t>nove POPs supstance uvrštene nakon 2020. godine.</w:t>
      </w:r>
    </w:p>
    <w:p w14:paraId="5BC53362"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Ovi inventari su dali kvantitativni i kvalitativni uvid u:</w:t>
      </w:r>
    </w:p>
    <w:p w14:paraId="375110F7" w14:textId="77777777" w:rsidR="00215B11" w:rsidRPr="00C86111" w:rsidRDefault="00215B11" w:rsidP="00004F34">
      <w:pPr>
        <w:numPr>
          <w:ilvl w:val="0"/>
          <w:numId w:val="216"/>
        </w:numPr>
        <w:jc w:val="both"/>
        <w:rPr>
          <w:rFonts w:asciiTheme="minorHAnsi" w:hAnsiTheme="minorHAnsi" w:cstheme="minorHAnsi"/>
          <w:color w:val="auto"/>
          <w:szCs w:val="24"/>
        </w:rPr>
      </w:pPr>
      <w:r w:rsidRPr="00C86111">
        <w:rPr>
          <w:rFonts w:asciiTheme="minorHAnsi" w:hAnsiTheme="minorHAnsi" w:cstheme="minorHAnsi"/>
          <w:color w:val="auto"/>
          <w:szCs w:val="24"/>
        </w:rPr>
        <w:t>postojeće zalihe i tokove otpada,</w:t>
      </w:r>
    </w:p>
    <w:p w14:paraId="3C04AFD1" w14:textId="77777777" w:rsidR="00215B11" w:rsidRPr="00C86111" w:rsidRDefault="00215B11" w:rsidP="00004F34">
      <w:pPr>
        <w:numPr>
          <w:ilvl w:val="0"/>
          <w:numId w:val="216"/>
        </w:numPr>
        <w:jc w:val="both"/>
        <w:rPr>
          <w:rFonts w:asciiTheme="minorHAnsi" w:hAnsiTheme="minorHAnsi" w:cstheme="minorHAnsi"/>
          <w:color w:val="auto"/>
          <w:szCs w:val="24"/>
        </w:rPr>
      </w:pPr>
      <w:r w:rsidRPr="00C86111">
        <w:rPr>
          <w:rFonts w:asciiTheme="minorHAnsi" w:hAnsiTheme="minorHAnsi" w:cstheme="minorHAnsi"/>
          <w:color w:val="auto"/>
          <w:szCs w:val="24"/>
        </w:rPr>
        <w:t>sektore upotrebe,</w:t>
      </w:r>
    </w:p>
    <w:p w14:paraId="1AD9C7D5" w14:textId="77777777" w:rsidR="00215B11" w:rsidRPr="00C86111" w:rsidRDefault="00215B11" w:rsidP="00004F34">
      <w:pPr>
        <w:numPr>
          <w:ilvl w:val="0"/>
          <w:numId w:val="216"/>
        </w:numPr>
        <w:jc w:val="both"/>
        <w:rPr>
          <w:rFonts w:asciiTheme="minorHAnsi" w:hAnsiTheme="minorHAnsi" w:cstheme="minorHAnsi"/>
          <w:color w:val="auto"/>
          <w:szCs w:val="24"/>
        </w:rPr>
      </w:pPr>
      <w:r w:rsidRPr="00C86111">
        <w:rPr>
          <w:rFonts w:asciiTheme="minorHAnsi" w:hAnsiTheme="minorHAnsi" w:cstheme="minorHAnsi"/>
          <w:color w:val="auto"/>
          <w:szCs w:val="24"/>
        </w:rPr>
        <w:t>potencijalne emisije,</w:t>
      </w:r>
    </w:p>
    <w:p w14:paraId="2FD4073A" w14:textId="77777777" w:rsidR="00215B11" w:rsidRPr="00C86111" w:rsidRDefault="00215B11" w:rsidP="00004F34">
      <w:pPr>
        <w:numPr>
          <w:ilvl w:val="0"/>
          <w:numId w:val="216"/>
        </w:numPr>
        <w:jc w:val="both"/>
        <w:rPr>
          <w:rFonts w:asciiTheme="minorHAnsi" w:hAnsiTheme="minorHAnsi" w:cstheme="minorHAnsi"/>
          <w:color w:val="auto"/>
          <w:szCs w:val="24"/>
        </w:rPr>
      </w:pPr>
      <w:r w:rsidRPr="00C86111">
        <w:rPr>
          <w:rFonts w:asciiTheme="minorHAnsi" w:hAnsiTheme="minorHAnsi" w:cstheme="minorHAnsi"/>
          <w:color w:val="auto"/>
          <w:szCs w:val="24"/>
        </w:rPr>
        <w:t>i rizične tačke u životnom ciklusu hemikalija.</w:t>
      </w:r>
    </w:p>
    <w:p w14:paraId="74261588"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Na ovaj način obezbijeđena je jedinstvena baza podataka za sve grupe POPs (pesticidi, industrijske hemikalije i nenamjerni POPs).</w:t>
      </w:r>
    </w:p>
    <w:p w14:paraId="7414FDF6" w14:textId="77777777" w:rsidR="00215B11" w:rsidRPr="00C86111" w:rsidRDefault="00215B11" w:rsidP="00215B11">
      <w:pPr>
        <w:jc w:val="both"/>
        <w:rPr>
          <w:rFonts w:asciiTheme="minorHAnsi" w:hAnsiTheme="minorHAnsi" w:cstheme="minorHAnsi"/>
          <w:b/>
          <w:bCs/>
          <w:color w:val="2F5496" w:themeColor="accent1" w:themeShade="BF"/>
          <w:szCs w:val="24"/>
        </w:rPr>
      </w:pPr>
      <w:r w:rsidRPr="00C86111">
        <w:rPr>
          <w:rFonts w:asciiTheme="minorHAnsi" w:hAnsiTheme="minorHAnsi" w:cstheme="minorHAnsi"/>
          <w:b/>
          <w:bCs/>
          <w:szCs w:val="24"/>
        </w:rPr>
        <w:t>II Faza- Identifikacija izazova i praznina</w:t>
      </w:r>
    </w:p>
    <w:p w14:paraId="645FB46F"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U drugoj fazi, za svaku ključnu grupu POPs identifikovani su specifični izazovi i praznine, uključujući:</w:t>
      </w:r>
    </w:p>
    <w:p w14:paraId="469A0015" w14:textId="77777777" w:rsidR="00215B11" w:rsidRPr="00C86111" w:rsidRDefault="00215B11" w:rsidP="00004F34">
      <w:pPr>
        <w:numPr>
          <w:ilvl w:val="0"/>
          <w:numId w:val="217"/>
        </w:numPr>
        <w:jc w:val="both"/>
        <w:rPr>
          <w:rFonts w:asciiTheme="minorHAnsi" w:hAnsiTheme="minorHAnsi" w:cstheme="minorHAnsi"/>
          <w:color w:val="auto"/>
          <w:szCs w:val="24"/>
        </w:rPr>
      </w:pPr>
      <w:r w:rsidRPr="00C86111">
        <w:rPr>
          <w:rFonts w:asciiTheme="minorHAnsi" w:hAnsiTheme="minorHAnsi" w:cstheme="minorHAnsi"/>
          <w:color w:val="auto"/>
          <w:szCs w:val="24"/>
        </w:rPr>
        <w:t>zaostalu kontaminaciju iz istorijske upotrebe (npr. DDT, PCB),</w:t>
      </w:r>
    </w:p>
    <w:p w14:paraId="1D0205D7" w14:textId="77777777" w:rsidR="00215B11" w:rsidRPr="00C86111" w:rsidRDefault="00215B11" w:rsidP="00004F34">
      <w:pPr>
        <w:numPr>
          <w:ilvl w:val="0"/>
          <w:numId w:val="217"/>
        </w:numPr>
        <w:jc w:val="both"/>
        <w:rPr>
          <w:rFonts w:asciiTheme="minorHAnsi" w:hAnsiTheme="minorHAnsi" w:cstheme="minorHAnsi"/>
          <w:color w:val="auto"/>
          <w:szCs w:val="24"/>
        </w:rPr>
      </w:pPr>
      <w:r w:rsidRPr="00C86111">
        <w:rPr>
          <w:rFonts w:asciiTheme="minorHAnsi" w:hAnsiTheme="minorHAnsi" w:cstheme="minorHAnsi"/>
          <w:color w:val="auto"/>
          <w:szCs w:val="24"/>
        </w:rPr>
        <w:t>prisustvo POPs u proizvodima i otpadu (PBDE, HBCD, SCCP, PFAS),</w:t>
      </w:r>
    </w:p>
    <w:p w14:paraId="71A6C545" w14:textId="77777777" w:rsidR="00215B11" w:rsidRPr="00C86111" w:rsidRDefault="00215B11" w:rsidP="00004F34">
      <w:pPr>
        <w:numPr>
          <w:ilvl w:val="0"/>
          <w:numId w:val="217"/>
        </w:numPr>
        <w:jc w:val="both"/>
        <w:rPr>
          <w:rFonts w:asciiTheme="minorHAnsi" w:hAnsiTheme="minorHAnsi" w:cstheme="minorHAnsi"/>
          <w:color w:val="auto"/>
          <w:szCs w:val="24"/>
        </w:rPr>
      </w:pPr>
      <w:r w:rsidRPr="00C86111">
        <w:rPr>
          <w:rFonts w:asciiTheme="minorHAnsi" w:hAnsiTheme="minorHAnsi" w:cstheme="minorHAnsi"/>
          <w:color w:val="auto"/>
          <w:szCs w:val="24"/>
        </w:rPr>
        <w:t>nedostatke u sistemima upravljanja otpadom,</w:t>
      </w:r>
    </w:p>
    <w:p w14:paraId="25EAE2CD" w14:textId="77777777" w:rsidR="00215B11" w:rsidRPr="00C86111" w:rsidRDefault="00215B11" w:rsidP="00004F34">
      <w:pPr>
        <w:numPr>
          <w:ilvl w:val="0"/>
          <w:numId w:val="217"/>
        </w:numPr>
        <w:jc w:val="both"/>
        <w:rPr>
          <w:rFonts w:asciiTheme="minorHAnsi" w:hAnsiTheme="minorHAnsi" w:cstheme="minorHAnsi"/>
          <w:color w:val="auto"/>
          <w:szCs w:val="24"/>
        </w:rPr>
      </w:pPr>
      <w:r w:rsidRPr="00C86111">
        <w:rPr>
          <w:rFonts w:asciiTheme="minorHAnsi" w:hAnsiTheme="minorHAnsi" w:cstheme="minorHAnsi"/>
          <w:color w:val="auto"/>
          <w:szCs w:val="24"/>
        </w:rPr>
        <w:t>ograničen monitoring životne sredine, hrane i biomarkera,</w:t>
      </w:r>
    </w:p>
    <w:p w14:paraId="3F0B9A54" w14:textId="77777777" w:rsidR="00215B11" w:rsidRPr="00C86111" w:rsidRDefault="00215B11" w:rsidP="00004F34">
      <w:pPr>
        <w:numPr>
          <w:ilvl w:val="0"/>
          <w:numId w:val="217"/>
        </w:numPr>
        <w:jc w:val="both"/>
        <w:rPr>
          <w:rFonts w:asciiTheme="minorHAnsi" w:hAnsiTheme="minorHAnsi" w:cstheme="minorHAnsi"/>
          <w:color w:val="auto"/>
          <w:szCs w:val="24"/>
        </w:rPr>
      </w:pPr>
      <w:r w:rsidRPr="00C86111">
        <w:rPr>
          <w:rFonts w:asciiTheme="minorHAnsi" w:hAnsiTheme="minorHAnsi" w:cstheme="minorHAnsi"/>
          <w:color w:val="auto"/>
          <w:szCs w:val="24"/>
        </w:rPr>
        <w:t>institucionalne i regulatorne praznine,</w:t>
      </w:r>
    </w:p>
    <w:p w14:paraId="3B2C69C6" w14:textId="77777777" w:rsidR="00215B11" w:rsidRPr="00C86111" w:rsidRDefault="00215B11" w:rsidP="00004F34">
      <w:pPr>
        <w:numPr>
          <w:ilvl w:val="0"/>
          <w:numId w:val="217"/>
        </w:numPr>
        <w:jc w:val="both"/>
        <w:rPr>
          <w:rFonts w:asciiTheme="minorHAnsi" w:hAnsiTheme="minorHAnsi" w:cstheme="minorHAnsi"/>
          <w:color w:val="auto"/>
          <w:szCs w:val="24"/>
        </w:rPr>
      </w:pPr>
      <w:r w:rsidRPr="00C86111">
        <w:rPr>
          <w:rFonts w:asciiTheme="minorHAnsi" w:hAnsiTheme="minorHAnsi" w:cstheme="minorHAnsi"/>
          <w:color w:val="auto"/>
          <w:szCs w:val="24"/>
        </w:rPr>
        <w:t>nisku svijest javnosti i industrije.</w:t>
      </w:r>
    </w:p>
    <w:p w14:paraId="31E2A1EE" w14:textId="77777777" w:rsidR="00215B11" w:rsidRPr="00C86111" w:rsidRDefault="00215B11" w:rsidP="00215B11">
      <w:pPr>
        <w:jc w:val="both"/>
        <w:rPr>
          <w:rFonts w:asciiTheme="minorHAnsi" w:hAnsiTheme="minorHAnsi" w:cstheme="minorHAnsi"/>
          <w:color w:val="2F5496" w:themeColor="accent1" w:themeShade="BF"/>
          <w:szCs w:val="24"/>
        </w:rPr>
      </w:pPr>
      <w:r w:rsidRPr="00C86111">
        <w:rPr>
          <w:rFonts w:asciiTheme="minorHAnsi" w:hAnsiTheme="minorHAnsi" w:cstheme="minorHAnsi"/>
          <w:color w:val="auto"/>
          <w:szCs w:val="24"/>
        </w:rPr>
        <w:t>Ovi nalazi su pokazali da se POPs problematika u Crnoj Gori ne odnosi samo na pojedinačne supstance, već na sistemske slabosti u kontroli proizvoda, otpada, monitoringa i informisanosti</w:t>
      </w:r>
      <w:r w:rsidRPr="00C86111">
        <w:rPr>
          <w:rFonts w:asciiTheme="minorHAnsi" w:hAnsiTheme="minorHAnsi" w:cstheme="minorHAnsi"/>
          <w:szCs w:val="24"/>
        </w:rPr>
        <w:t>.</w:t>
      </w:r>
    </w:p>
    <w:p w14:paraId="5E6AE87F" w14:textId="77777777" w:rsidR="00215B11" w:rsidRPr="00C86111" w:rsidRDefault="00215B11" w:rsidP="00215B11">
      <w:pPr>
        <w:jc w:val="both"/>
        <w:rPr>
          <w:rFonts w:asciiTheme="minorHAnsi" w:hAnsiTheme="minorHAnsi" w:cstheme="minorHAnsi"/>
          <w:szCs w:val="24"/>
        </w:rPr>
      </w:pPr>
    </w:p>
    <w:p w14:paraId="46664374" w14:textId="77777777" w:rsidR="00215B11" w:rsidRPr="00C86111" w:rsidRDefault="00215B11" w:rsidP="00215B11">
      <w:pPr>
        <w:jc w:val="both"/>
        <w:rPr>
          <w:rFonts w:asciiTheme="minorHAnsi" w:hAnsiTheme="minorHAnsi" w:cstheme="minorHAnsi"/>
          <w:b/>
          <w:bCs/>
          <w:szCs w:val="24"/>
        </w:rPr>
      </w:pPr>
      <w:r w:rsidRPr="00C86111">
        <w:rPr>
          <w:rFonts w:asciiTheme="minorHAnsi" w:hAnsiTheme="minorHAnsi" w:cstheme="minorHAnsi"/>
          <w:b/>
          <w:bCs/>
          <w:szCs w:val="24"/>
        </w:rPr>
        <w:t>III Faza- Identifikacija zajedničkih obrazaca rizika</w:t>
      </w:r>
    </w:p>
    <w:p w14:paraId="5C368185" w14:textId="77777777" w:rsidR="00215B11" w:rsidRPr="00C86111" w:rsidRDefault="00215B11" w:rsidP="00215B11">
      <w:pPr>
        <w:jc w:val="both"/>
        <w:rPr>
          <w:rFonts w:asciiTheme="minorHAnsi" w:hAnsiTheme="minorHAnsi" w:cstheme="minorHAnsi"/>
          <w:b/>
          <w:bCs/>
          <w:szCs w:val="24"/>
        </w:rPr>
      </w:pPr>
    </w:p>
    <w:p w14:paraId="3213B6FD"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Umjesto da se svaka POP supstanca tretira izolovano, izvršena je analiza zajedničkih obrazaca kroz sve inventare i sektore. Utvrđeno je da se većina rizika grupiše oko nekoliko ključnih tačaka:</w:t>
      </w:r>
    </w:p>
    <w:p w14:paraId="395FE26D" w14:textId="77777777" w:rsidR="00215B11" w:rsidRPr="00C86111" w:rsidRDefault="00215B11" w:rsidP="00004F34">
      <w:pPr>
        <w:numPr>
          <w:ilvl w:val="0"/>
          <w:numId w:val="218"/>
        </w:numPr>
        <w:jc w:val="both"/>
        <w:rPr>
          <w:rFonts w:asciiTheme="minorHAnsi" w:hAnsiTheme="minorHAnsi" w:cstheme="minorHAnsi"/>
          <w:color w:val="auto"/>
          <w:szCs w:val="24"/>
        </w:rPr>
      </w:pPr>
      <w:r w:rsidRPr="00C86111">
        <w:rPr>
          <w:rFonts w:asciiTheme="minorHAnsi" w:hAnsiTheme="minorHAnsi" w:cstheme="minorHAnsi"/>
          <w:color w:val="auto"/>
          <w:szCs w:val="24"/>
        </w:rPr>
        <w:t>ulazak POPs u sistem putem uvezenih proizvoda,</w:t>
      </w:r>
    </w:p>
    <w:p w14:paraId="2E7E3342" w14:textId="77777777" w:rsidR="00215B11" w:rsidRPr="00C86111" w:rsidRDefault="00215B11" w:rsidP="00004F34">
      <w:pPr>
        <w:numPr>
          <w:ilvl w:val="0"/>
          <w:numId w:val="218"/>
        </w:numPr>
        <w:jc w:val="both"/>
        <w:rPr>
          <w:rFonts w:asciiTheme="minorHAnsi" w:hAnsiTheme="minorHAnsi" w:cstheme="minorHAnsi"/>
          <w:color w:val="auto"/>
          <w:szCs w:val="24"/>
        </w:rPr>
      </w:pPr>
      <w:r w:rsidRPr="00C86111">
        <w:rPr>
          <w:rFonts w:asciiTheme="minorHAnsi" w:hAnsiTheme="minorHAnsi" w:cstheme="minorHAnsi"/>
          <w:color w:val="auto"/>
          <w:szCs w:val="24"/>
        </w:rPr>
        <w:t>akumulacija u otpadu (EEE otpad, građevinski otpad, pjene, ambalaža),</w:t>
      </w:r>
    </w:p>
    <w:p w14:paraId="3A8145A4" w14:textId="77777777" w:rsidR="00215B11" w:rsidRPr="00C86111" w:rsidRDefault="00215B11" w:rsidP="00004F34">
      <w:pPr>
        <w:numPr>
          <w:ilvl w:val="0"/>
          <w:numId w:val="218"/>
        </w:numPr>
        <w:jc w:val="both"/>
        <w:rPr>
          <w:rFonts w:asciiTheme="minorHAnsi" w:hAnsiTheme="minorHAnsi" w:cstheme="minorHAnsi"/>
          <w:color w:val="auto"/>
          <w:szCs w:val="24"/>
        </w:rPr>
      </w:pPr>
      <w:r w:rsidRPr="00C86111">
        <w:rPr>
          <w:rFonts w:asciiTheme="minorHAnsi" w:hAnsiTheme="minorHAnsi" w:cstheme="minorHAnsi"/>
          <w:color w:val="auto"/>
          <w:szCs w:val="24"/>
        </w:rPr>
        <w:t>nekontrolisana reciklaža i neformalne prakse,</w:t>
      </w:r>
    </w:p>
    <w:p w14:paraId="0C59762E" w14:textId="77777777" w:rsidR="00215B11" w:rsidRPr="00C86111" w:rsidRDefault="00215B11" w:rsidP="00004F34">
      <w:pPr>
        <w:numPr>
          <w:ilvl w:val="0"/>
          <w:numId w:val="218"/>
        </w:numPr>
        <w:jc w:val="both"/>
        <w:rPr>
          <w:rFonts w:asciiTheme="minorHAnsi" w:hAnsiTheme="minorHAnsi" w:cstheme="minorHAnsi"/>
          <w:color w:val="auto"/>
          <w:szCs w:val="24"/>
        </w:rPr>
      </w:pPr>
      <w:r w:rsidRPr="00C86111">
        <w:rPr>
          <w:rFonts w:asciiTheme="minorHAnsi" w:hAnsiTheme="minorHAnsi" w:cstheme="minorHAnsi"/>
          <w:color w:val="auto"/>
          <w:szCs w:val="24"/>
        </w:rPr>
        <w:t>emisije u životnu sredinu i lanac ishrane,</w:t>
      </w:r>
    </w:p>
    <w:p w14:paraId="5F176EC4" w14:textId="77777777" w:rsidR="00215B11" w:rsidRPr="00C86111" w:rsidRDefault="00215B11" w:rsidP="00004F34">
      <w:pPr>
        <w:numPr>
          <w:ilvl w:val="0"/>
          <w:numId w:val="218"/>
        </w:numPr>
        <w:jc w:val="both"/>
        <w:rPr>
          <w:rFonts w:asciiTheme="minorHAnsi" w:hAnsiTheme="minorHAnsi" w:cstheme="minorHAnsi"/>
          <w:color w:val="auto"/>
          <w:szCs w:val="24"/>
        </w:rPr>
      </w:pPr>
      <w:r w:rsidRPr="00C86111">
        <w:rPr>
          <w:rFonts w:asciiTheme="minorHAnsi" w:hAnsiTheme="minorHAnsi" w:cstheme="minorHAnsi"/>
          <w:color w:val="auto"/>
          <w:szCs w:val="24"/>
        </w:rPr>
        <w:t>nedovoljno praćenje i slaba detekcija novih zagađivača.</w:t>
      </w:r>
    </w:p>
    <w:p w14:paraId="21014DEA"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Na osnovu toga definisani su </w:t>
      </w:r>
      <w:r w:rsidRPr="00C86111">
        <w:rPr>
          <w:rFonts w:asciiTheme="minorHAnsi" w:hAnsiTheme="minorHAnsi" w:cstheme="minorHAnsi"/>
          <w:b/>
          <w:bCs/>
          <w:color w:val="auto"/>
          <w:szCs w:val="24"/>
        </w:rPr>
        <w:t>horizontalni, strateški ciljevi</w:t>
      </w:r>
      <w:r w:rsidRPr="00C86111">
        <w:rPr>
          <w:rFonts w:asciiTheme="minorHAnsi" w:hAnsiTheme="minorHAnsi" w:cstheme="minorHAnsi"/>
          <w:color w:val="auto"/>
          <w:szCs w:val="24"/>
        </w:rPr>
        <w:t xml:space="preserve"> koji adresiraju više POPs supstanci istovremeno.</w:t>
      </w:r>
    </w:p>
    <w:p w14:paraId="69050676" w14:textId="0156FC1A" w:rsidR="00215B11" w:rsidRPr="00C86111" w:rsidRDefault="00215B11" w:rsidP="00EA6904">
      <w:pPr>
        <w:pStyle w:val="Heading3"/>
      </w:pPr>
      <w:bookmarkStart w:id="498" w:name="_Toc220542026"/>
      <w:r w:rsidRPr="00C86111">
        <w:t>Operacionalizacija kroz akcione planove</w:t>
      </w:r>
      <w:r w:rsidR="00B908DB" w:rsidRPr="00C86111">
        <w:t xml:space="preserve">/ </w:t>
      </w:r>
      <w:r w:rsidRPr="00C86111">
        <w:t>Iterativni pristup i veza sa akcionim planom</w:t>
      </w:r>
      <w:bookmarkEnd w:id="498"/>
    </w:p>
    <w:p w14:paraId="1491975D" w14:textId="77777777" w:rsidR="00B908DB" w:rsidRPr="00C86111" w:rsidRDefault="00B908DB" w:rsidP="00B908DB">
      <w:pPr>
        <w:rPr>
          <w:lang w:val="sr-Latn-ME"/>
        </w:rPr>
      </w:pPr>
    </w:p>
    <w:p w14:paraId="00D5D25C"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Prioriteti nisu određeni linearnim redoslijedom „inventar → prioritet → akcioni plan“. Umjesto toga, proces je bio </w:t>
      </w:r>
      <w:r w:rsidRPr="00C86111">
        <w:rPr>
          <w:rFonts w:asciiTheme="minorHAnsi" w:hAnsiTheme="minorHAnsi" w:cstheme="minorHAnsi"/>
          <w:b/>
          <w:bCs/>
          <w:color w:val="auto"/>
          <w:szCs w:val="24"/>
        </w:rPr>
        <w:t>iterativan i obostran</w:t>
      </w:r>
      <w:r w:rsidRPr="00C86111">
        <w:rPr>
          <w:rFonts w:asciiTheme="minorHAnsi" w:hAnsiTheme="minorHAnsi" w:cstheme="minorHAnsi"/>
          <w:color w:val="auto"/>
          <w:szCs w:val="24"/>
        </w:rPr>
        <w:t>:</w:t>
      </w:r>
    </w:p>
    <w:p w14:paraId="25F3BFB5" w14:textId="77777777" w:rsidR="00215B11" w:rsidRPr="00C86111" w:rsidRDefault="00215B11" w:rsidP="00004F34">
      <w:pPr>
        <w:numPr>
          <w:ilvl w:val="0"/>
          <w:numId w:val="219"/>
        </w:numPr>
        <w:jc w:val="both"/>
        <w:rPr>
          <w:rFonts w:asciiTheme="minorHAnsi" w:hAnsiTheme="minorHAnsi" w:cstheme="minorHAnsi"/>
          <w:color w:val="auto"/>
          <w:szCs w:val="24"/>
        </w:rPr>
      </w:pPr>
      <w:r w:rsidRPr="00C86111">
        <w:rPr>
          <w:rFonts w:asciiTheme="minorHAnsi" w:hAnsiTheme="minorHAnsi" w:cstheme="minorHAnsi"/>
          <w:color w:val="auto"/>
          <w:szCs w:val="24"/>
        </w:rPr>
        <w:t>Iz akcijskog plana su se identifikovali aktivnosti koje imaju najveći potencijal za smanjenje rizika;</w:t>
      </w:r>
    </w:p>
    <w:p w14:paraId="130E43A5" w14:textId="77777777" w:rsidR="00215B11" w:rsidRPr="00C86111" w:rsidRDefault="00215B11" w:rsidP="00004F34">
      <w:pPr>
        <w:numPr>
          <w:ilvl w:val="0"/>
          <w:numId w:val="219"/>
        </w:num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Analiza inventara i identifikovanih izazova povratno je uticala na redefinisanje prioriteta u akcijskom planu;</w:t>
      </w:r>
    </w:p>
    <w:p w14:paraId="2545DB76" w14:textId="77777777" w:rsidR="00215B11" w:rsidRPr="00C86111" w:rsidRDefault="00215B11" w:rsidP="00004F34">
      <w:pPr>
        <w:numPr>
          <w:ilvl w:val="0"/>
          <w:numId w:val="219"/>
        </w:num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Na taj način se osigurava </w:t>
      </w:r>
      <w:r w:rsidRPr="00C86111">
        <w:rPr>
          <w:rFonts w:asciiTheme="minorHAnsi" w:hAnsiTheme="minorHAnsi" w:cstheme="minorHAnsi"/>
          <w:b/>
          <w:bCs/>
          <w:color w:val="auto"/>
          <w:szCs w:val="24"/>
        </w:rPr>
        <w:t>dosljednost između planiranih aktivnosti i stvarnih potreba upravljanja POPs supstancama</w:t>
      </w:r>
      <w:r w:rsidRPr="00C86111">
        <w:rPr>
          <w:rFonts w:asciiTheme="minorHAnsi" w:hAnsiTheme="minorHAnsi" w:cstheme="minorHAnsi"/>
          <w:color w:val="auto"/>
          <w:szCs w:val="24"/>
        </w:rPr>
        <w:t>.</w:t>
      </w:r>
    </w:p>
    <w:p w14:paraId="0400F6C7" w14:textId="7B1289F5"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Ovaj pristup omogućava da se prioriteti formiraju uzimajući u obzir i realne kapacitete implementacije i ključne izazove u upravljanju hemikalijama</w:t>
      </w:r>
      <w:r w:rsidR="00B908DB" w:rsidRPr="00C86111">
        <w:rPr>
          <w:rFonts w:asciiTheme="minorHAnsi" w:hAnsiTheme="minorHAnsi" w:cstheme="minorHAnsi"/>
          <w:color w:val="auto"/>
          <w:szCs w:val="24"/>
        </w:rPr>
        <w:t xml:space="preserve"> (Tabela 1</w:t>
      </w:r>
      <w:r w:rsidR="0042690B">
        <w:rPr>
          <w:rFonts w:asciiTheme="minorHAnsi" w:hAnsiTheme="minorHAnsi" w:cstheme="minorHAnsi"/>
          <w:color w:val="auto"/>
          <w:szCs w:val="24"/>
        </w:rPr>
        <w:t>20</w:t>
      </w:r>
      <w:r w:rsidR="00B908DB" w:rsidRPr="00C86111">
        <w:rPr>
          <w:rFonts w:asciiTheme="minorHAnsi" w:hAnsiTheme="minorHAnsi" w:cstheme="minorHAnsi"/>
          <w:color w:val="auto"/>
          <w:szCs w:val="24"/>
        </w:rPr>
        <w:t>)</w:t>
      </w:r>
      <w:r w:rsidRPr="00C86111">
        <w:rPr>
          <w:rFonts w:asciiTheme="minorHAnsi" w:hAnsiTheme="minorHAnsi" w:cstheme="minorHAnsi"/>
          <w:color w:val="auto"/>
          <w:szCs w:val="24"/>
        </w:rPr>
        <w:t>.</w:t>
      </w:r>
    </w:p>
    <w:p w14:paraId="3407F544" w14:textId="77777777" w:rsidR="00215B11" w:rsidRPr="00C86111" w:rsidRDefault="00215B11" w:rsidP="00215B11">
      <w:pPr>
        <w:jc w:val="both"/>
        <w:rPr>
          <w:rFonts w:asciiTheme="minorHAnsi" w:hAnsiTheme="minorHAnsi" w:cstheme="minorHAnsi"/>
          <w:color w:val="2F5496" w:themeColor="accent1" w:themeShade="BF"/>
          <w:szCs w:val="24"/>
        </w:rPr>
      </w:pPr>
    </w:p>
    <w:p w14:paraId="3059000B" w14:textId="205DF2CC" w:rsidR="00215B11" w:rsidRPr="00C86111" w:rsidRDefault="00B908DB" w:rsidP="00215B11">
      <w:pPr>
        <w:jc w:val="both"/>
        <w:rPr>
          <w:rFonts w:asciiTheme="minorHAnsi" w:hAnsiTheme="minorHAnsi" w:cstheme="minorHAnsi"/>
          <w:b/>
          <w:bCs/>
          <w:szCs w:val="24"/>
        </w:rPr>
      </w:pPr>
      <w:r w:rsidRPr="00C86111">
        <w:rPr>
          <w:rFonts w:asciiTheme="minorHAnsi" w:hAnsiTheme="minorHAnsi" w:cstheme="minorHAnsi"/>
          <w:b/>
          <w:bCs/>
          <w:szCs w:val="24"/>
        </w:rPr>
        <w:t>Tabela 1</w:t>
      </w:r>
      <w:r w:rsidR="0042690B">
        <w:rPr>
          <w:rFonts w:asciiTheme="minorHAnsi" w:hAnsiTheme="minorHAnsi" w:cstheme="minorHAnsi"/>
          <w:b/>
          <w:bCs/>
          <w:szCs w:val="24"/>
        </w:rPr>
        <w:t>20</w:t>
      </w:r>
      <w:r w:rsidRPr="00C86111">
        <w:rPr>
          <w:rFonts w:asciiTheme="minorHAnsi" w:hAnsiTheme="minorHAnsi" w:cstheme="minorHAnsi"/>
          <w:b/>
          <w:bCs/>
          <w:szCs w:val="24"/>
        </w:rPr>
        <w:t xml:space="preserve">. </w:t>
      </w:r>
      <w:r w:rsidRPr="00C86111">
        <w:rPr>
          <w:rFonts w:asciiTheme="minorHAnsi" w:hAnsiTheme="minorHAnsi" w:cstheme="minorHAnsi"/>
          <w:szCs w:val="24"/>
        </w:rPr>
        <w:t>Prikaz</w:t>
      </w:r>
      <w:r w:rsidR="00215B11" w:rsidRPr="00C86111">
        <w:rPr>
          <w:rFonts w:asciiTheme="minorHAnsi" w:hAnsiTheme="minorHAnsi" w:cstheme="minorHAnsi"/>
          <w:szCs w:val="24"/>
        </w:rPr>
        <w:t xml:space="preserve"> aktivnosti po supstancama i horizontalnim temama</w:t>
      </w:r>
    </w:p>
    <w:tbl>
      <w:tblPr>
        <w:tblStyle w:val="GridTable5Dark-Accent6"/>
        <w:tblW w:w="0" w:type="auto"/>
        <w:tblLook w:val="04A0" w:firstRow="1" w:lastRow="0" w:firstColumn="1" w:lastColumn="0" w:noHBand="0" w:noVBand="1"/>
      </w:tblPr>
      <w:tblGrid>
        <w:gridCol w:w="1493"/>
        <w:gridCol w:w="1092"/>
        <w:gridCol w:w="1276"/>
        <w:gridCol w:w="1119"/>
        <w:gridCol w:w="984"/>
        <w:gridCol w:w="1453"/>
        <w:gridCol w:w="1060"/>
        <w:gridCol w:w="873"/>
      </w:tblGrid>
      <w:tr w:rsidR="00215B11" w:rsidRPr="00C86111" w14:paraId="44D7047F" w14:textId="77777777" w:rsidTr="00215B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FFFFFF" w:themeColor="background1"/>
            </w:tcBorders>
            <w:hideMark/>
          </w:tcPr>
          <w:p w14:paraId="61636905" w14:textId="77777777" w:rsidR="00215B11" w:rsidRPr="00C86111" w:rsidRDefault="00215B11">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Akcioni plan</w:t>
            </w:r>
          </w:p>
        </w:tc>
        <w:tc>
          <w:tcPr>
            <w:tcW w:w="0" w:type="auto"/>
            <w:tcBorders>
              <w:bottom w:val="single" w:sz="4" w:space="0" w:color="FFFFFF" w:themeColor="background1"/>
            </w:tcBorders>
            <w:hideMark/>
          </w:tcPr>
          <w:p w14:paraId="3DC0BDCB" w14:textId="77777777" w:rsidR="00215B11" w:rsidRPr="00C86111" w:rsidRDefault="00215B1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Edukacija / podizanje svijesti</w:t>
            </w:r>
          </w:p>
        </w:tc>
        <w:tc>
          <w:tcPr>
            <w:tcW w:w="0" w:type="auto"/>
            <w:tcBorders>
              <w:bottom w:val="single" w:sz="4" w:space="0" w:color="FFFFFF" w:themeColor="background1"/>
            </w:tcBorders>
            <w:hideMark/>
          </w:tcPr>
          <w:p w14:paraId="263DF628" w14:textId="77777777" w:rsidR="00215B11" w:rsidRPr="00C86111" w:rsidRDefault="00215B1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Upravljanje otpadom / otpadne frakcije</w:t>
            </w:r>
          </w:p>
        </w:tc>
        <w:tc>
          <w:tcPr>
            <w:tcW w:w="0" w:type="auto"/>
            <w:tcBorders>
              <w:bottom w:val="single" w:sz="4" w:space="0" w:color="FFFFFF" w:themeColor="background1"/>
            </w:tcBorders>
            <w:hideMark/>
          </w:tcPr>
          <w:p w14:paraId="3219151A" w14:textId="77777777" w:rsidR="00215B11" w:rsidRPr="00C86111" w:rsidRDefault="00215B1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Izrada akata / pravilnika / vodiča</w:t>
            </w:r>
          </w:p>
        </w:tc>
        <w:tc>
          <w:tcPr>
            <w:tcW w:w="0" w:type="auto"/>
            <w:tcBorders>
              <w:bottom w:val="single" w:sz="4" w:space="0" w:color="FFFFFF" w:themeColor="background1"/>
            </w:tcBorders>
            <w:hideMark/>
          </w:tcPr>
          <w:p w14:paraId="074B659C" w14:textId="77777777" w:rsidR="00215B11" w:rsidRPr="00C86111" w:rsidRDefault="00215B1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Saradnja sa carinom</w:t>
            </w:r>
          </w:p>
        </w:tc>
        <w:tc>
          <w:tcPr>
            <w:tcW w:w="0" w:type="auto"/>
            <w:tcBorders>
              <w:bottom w:val="single" w:sz="4" w:space="0" w:color="FFFFFF" w:themeColor="background1"/>
            </w:tcBorders>
            <w:hideMark/>
          </w:tcPr>
          <w:p w14:paraId="7285B902" w14:textId="77777777" w:rsidR="00215B11" w:rsidRPr="00C86111" w:rsidRDefault="00215B1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Monitoring / biomonitoring</w:t>
            </w:r>
          </w:p>
        </w:tc>
        <w:tc>
          <w:tcPr>
            <w:tcW w:w="0" w:type="auto"/>
            <w:tcBorders>
              <w:bottom w:val="single" w:sz="4" w:space="0" w:color="FFFFFF" w:themeColor="background1"/>
            </w:tcBorders>
            <w:hideMark/>
          </w:tcPr>
          <w:p w14:paraId="0F17696E" w14:textId="77777777" w:rsidR="00215B11" w:rsidRPr="00C86111" w:rsidRDefault="00215B1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Druge aktivnosti</w:t>
            </w:r>
          </w:p>
        </w:tc>
        <w:tc>
          <w:tcPr>
            <w:tcW w:w="835" w:type="dxa"/>
            <w:tcBorders>
              <w:bottom w:val="single" w:sz="4" w:space="0" w:color="FFFFFF" w:themeColor="background1"/>
            </w:tcBorders>
            <w:hideMark/>
          </w:tcPr>
          <w:p w14:paraId="1034636D" w14:textId="77777777" w:rsidR="00215B11" w:rsidRPr="00C86111" w:rsidRDefault="00215B1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Ukupno</w:t>
            </w:r>
          </w:p>
        </w:tc>
      </w:tr>
      <w:tr w:rsidR="00215B11" w:rsidRPr="00C86111" w14:paraId="494408E9" w14:textId="77777777" w:rsidTr="00215B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07D442F3" w14:textId="77777777" w:rsidR="00215B11" w:rsidRPr="00C86111" w:rsidRDefault="00215B11">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NIP – POPs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190A57"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CAE8FEF"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FD4A60E"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BF345F3"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ECF2D1C"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D0236A1"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w:t>
            </w:r>
          </w:p>
        </w:tc>
        <w:tc>
          <w:tcPr>
            <w:tcW w:w="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F6A5D1"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15</w:t>
            </w:r>
          </w:p>
        </w:tc>
      </w:tr>
      <w:tr w:rsidR="00215B11" w:rsidRPr="00C86111" w14:paraId="479BC522" w14:textId="77777777" w:rsidTr="00215B1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52169F25" w14:textId="77777777" w:rsidR="00215B11" w:rsidRPr="00C86111" w:rsidRDefault="00215B11">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PBDE, HBB, HBCDD</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8E439BD"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687E5B1"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683B5EE"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5E74467"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437EE32"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0B9D8A4"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4B8FBAD"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w:t>
            </w:r>
          </w:p>
        </w:tc>
      </w:tr>
      <w:tr w:rsidR="00215B11" w:rsidRPr="00C86111" w14:paraId="03F90EEC" w14:textId="77777777" w:rsidTr="00215B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3DE6866A" w14:textId="77777777" w:rsidR="00215B11" w:rsidRPr="00C86111" w:rsidRDefault="00215B11">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PFAS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FBF5AE9"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B0F84A4"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D608C47"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BF24DA5"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9998237"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1255890"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0C36B53"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12</w:t>
            </w:r>
          </w:p>
        </w:tc>
      </w:tr>
      <w:tr w:rsidR="00215B11" w:rsidRPr="00C86111" w14:paraId="4E049D26" w14:textId="77777777" w:rsidTr="00215B1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04BE16F4" w14:textId="77777777" w:rsidR="00215B11" w:rsidRPr="00C86111" w:rsidRDefault="00215B11">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SCCP / MCCP</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B83505B"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7AE7200"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5833A8"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4C27CB5"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437334C"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4B7DB14"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C5C5A65"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10</w:t>
            </w:r>
          </w:p>
        </w:tc>
      </w:tr>
      <w:tr w:rsidR="00215B11" w:rsidRPr="00C86111" w14:paraId="3CAEFECA" w14:textId="77777777" w:rsidTr="00215B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220D8715" w14:textId="77777777" w:rsidR="00215B11" w:rsidRPr="00C86111" w:rsidRDefault="00215B11">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POPs pesticidi</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C040705"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18E3537"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79C5620"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3A0C69F"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9F06FB2"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7F9C067"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35706DD"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w:t>
            </w:r>
          </w:p>
        </w:tc>
      </w:tr>
      <w:tr w:rsidR="00215B11" w:rsidRPr="00C86111" w14:paraId="1FE49CB6" w14:textId="77777777" w:rsidTr="00215B1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20714F32" w14:textId="77777777" w:rsidR="00215B11" w:rsidRPr="00C86111" w:rsidRDefault="00215B11">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Nenamjerne emisije POPs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5F7F367"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4417FC7"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FCFA219"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B8A8AC0"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CF9B048"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1EC8D67"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F97AB1"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6</w:t>
            </w:r>
          </w:p>
        </w:tc>
      </w:tr>
      <w:tr w:rsidR="00215B11" w:rsidRPr="00C86111" w14:paraId="4B7967EF" w14:textId="77777777" w:rsidTr="00215B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205CC5BD" w14:textId="77777777" w:rsidR="00215B11" w:rsidRPr="00C86111" w:rsidRDefault="00215B11">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Monitoring POPs i novih zagađivača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21AB269"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3B3C4F"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C859E8D"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D20912B"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56DE188"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372001C"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3</w:t>
            </w:r>
          </w:p>
        </w:tc>
        <w:tc>
          <w:tcPr>
            <w:tcW w:w="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77B2CFA"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r>
      <w:tr w:rsidR="00215B11" w:rsidRPr="00C86111" w14:paraId="562A00F3" w14:textId="77777777" w:rsidTr="00215B1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bottom w:val="single" w:sz="4" w:space="0" w:color="FFFFFF" w:themeColor="background1"/>
              <w:right w:val="single" w:sz="4" w:space="0" w:color="FFFFFF" w:themeColor="background1"/>
            </w:tcBorders>
            <w:hideMark/>
          </w:tcPr>
          <w:p w14:paraId="0B951212" w14:textId="77777777" w:rsidR="00215B11" w:rsidRPr="00C86111" w:rsidRDefault="00215B11">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PCB</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0E2F2A2"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D833699"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DD26E43"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CDCE2A5"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0EFB9C5"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7B68EA4"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2</w:t>
            </w:r>
          </w:p>
        </w:tc>
        <w:tc>
          <w:tcPr>
            <w:tcW w:w="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18AD569" w14:textId="77777777" w:rsidR="00215B11" w:rsidRPr="00C86111" w:rsidRDefault="00215B1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8</w:t>
            </w:r>
          </w:p>
        </w:tc>
      </w:tr>
      <w:tr w:rsidR="00215B11" w:rsidRPr="00C86111" w14:paraId="78F375BF" w14:textId="77777777" w:rsidTr="00215B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right w:val="single" w:sz="4" w:space="0" w:color="FFFFFF" w:themeColor="background1"/>
            </w:tcBorders>
            <w:hideMark/>
          </w:tcPr>
          <w:p w14:paraId="24734205" w14:textId="77777777" w:rsidR="00215B11" w:rsidRPr="00C86111" w:rsidRDefault="00215B11">
            <w:pPr>
              <w:jc w:val="both"/>
              <w:rPr>
                <w:rFonts w:asciiTheme="minorHAnsi" w:hAnsiTheme="minorHAnsi" w:cstheme="minorHAnsi"/>
                <w:color w:val="auto"/>
                <w:sz w:val="20"/>
                <w:szCs w:val="20"/>
              </w:rPr>
            </w:pPr>
            <w:r w:rsidRPr="00C86111">
              <w:rPr>
                <w:rFonts w:asciiTheme="minorHAnsi" w:hAnsiTheme="minorHAnsi" w:cstheme="minorHAnsi"/>
                <w:color w:val="auto"/>
                <w:sz w:val="20"/>
                <w:szCs w:val="20"/>
              </w:rPr>
              <w:t>Podizanje svijesti o POPs i drugim opasnim hemikalijama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4B88830"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64D997D"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A063A95"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C024EBA"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F93254A"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B0A5B21"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4</w:t>
            </w:r>
          </w:p>
        </w:tc>
        <w:tc>
          <w:tcPr>
            <w:tcW w:w="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756D343" w14:textId="77777777" w:rsidR="00215B11" w:rsidRPr="00C86111" w:rsidRDefault="00215B1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C86111">
              <w:rPr>
                <w:rFonts w:asciiTheme="minorHAnsi" w:hAnsiTheme="minorHAnsi" w:cstheme="minorHAnsi"/>
                <w:color w:val="auto"/>
                <w:sz w:val="20"/>
                <w:szCs w:val="20"/>
              </w:rPr>
              <w:t>11</w:t>
            </w:r>
          </w:p>
        </w:tc>
      </w:tr>
    </w:tbl>
    <w:p w14:paraId="2EF91A5F" w14:textId="77777777" w:rsidR="00215B11" w:rsidRPr="00C86111" w:rsidRDefault="00215B11" w:rsidP="00215B11">
      <w:pPr>
        <w:jc w:val="both"/>
        <w:rPr>
          <w:rFonts w:asciiTheme="minorHAnsi" w:hAnsiTheme="minorHAnsi" w:cstheme="minorHAnsi"/>
          <w:color w:val="2F5496" w:themeColor="accent1" w:themeShade="BF"/>
          <w:szCs w:val="24"/>
        </w:rPr>
      </w:pPr>
      <w:r w:rsidRPr="00C86111">
        <w:rPr>
          <w:rFonts w:asciiTheme="minorHAnsi" w:hAnsiTheme="minorHAnsi" w:cstheme="minorHAnsi"/>
          <w:b/>
          <w:bCs/>
          <w:szCs w:val="24"/>
        </w:rPr>
        <w:t>Tumačenje tabele:</w:t>
      </w:r>
    </w:p>
    <w:p w14:paraId="25757D43" w14:textId="77777777" w:rsidR="00215B11" w:rsidRPr="00C86111" w:rsidRDefault="00215B11" w:rsidP="00004F34">
      <w:pPr>
        <w:numPr>
          <w:ilvl w:val="0"/>
          <w:numId w:val="220"/>
        </w:numPr>
        <w:jc w:val="both"/>
        <w:rPr>
          <w:rFonts w:asciiTheme="minorHAnsi" w:hAnsiTheme="minorHAnsi" w:cstheme="minorHAnsi"/>
          <w:color w:val="auto"/>
          <w:szCs w:val="24"/>
        </w:rPr>
      </w:pPr>
      <w:r w:rsidRPr="00C86111">
        <w:rPr>
          <w:rFonts w:asciiTheme="minorHAnsi" w:hAnsiTheme="minorHAnsi" w:cstheme="minorHAnsi"/>
          <w:color w:val="auto"/>
          <w:szCs w:val="24"/>
        </w:rPr>
        <w:t>Iterativni pristup pokazuje da se planirane aktivnosti ne određuju samo inventarom ili rizicima, već i na osnovu postojećih kapaciteta i mjera definisanih u akcijskom planu.</w:t>
      </w:r>
    </w:p>
    <w:p w14:paraId="27534982" w14:textId="77777777" w:rsidR="00215B11" w:rsidRPr="00C86111" w:rsidRDefault="00215B11" w:rsidP="00004F34">
      <w:pPr>
        <w:numPr>
          <w:ilvl w:val="0"/>
          <w:numId w:val="220"/>
        </w:numPr>
        <w:jc w:val="both"/>
        <w:rPr>
          <w:rFonts w:asciiTheme="minorHAnsi" w:hAnsiTheme="minorHAnsi" w:cstheme="minorHAnsi"/>
          <w:color w:val="auto"/>
          <w:szCs w:val="24"/>
        </w:rPr>
      </w:pPr>
      <w:r w:rsidRPr="00C86111">
        <w:rPr>
          <w:rFonts w:asciiTheme="minorHAnsi" w:hAnsiTheme="minorHAnsi" w:cstheme="minorHAnsi"/>
          <w:color w:val="auto"/>
          <w:szCs w:val="24"/>
        </w:rPr>
        <w:t>PFAS i monitoring novih zagađivača ističu se kao ključni prioriteti zbog visokog rizika i potrebe za hitnim intervencijama.</w:t>
      </w:r>
    </w:p>
    <w:p w14:paraId="4137D5B8" w14:textId="77777777" w:rsidR="00215B11" w:rsidRPr="00C86111" w:rsidRDefault="00215B11" w:rsidP="00004F34">
      <w:pPr>
        <w:numPr>
          <w:ilvl w:val="0"/>
          <w:numId w:val="220"/>
        </w:numPr>
        <w:jc w:val="both"/>
        <w:rPr>
          <w:rFonts w:asciiTheme="minorHAnsi" w:hAnsiTheme="minorHAnsi" w:cstheme="minorHAnsi"/>
          <w:color w:val="auto"/>
          <w:szCs w:val="24"/>
        </w:rPr>
      </w:pPr>
      <w:r w:rsidRPr="00C86111">
        <w:rPr>
          <w:rFonts w:asciiTheme="minorHAnsi" w:hAnsiTheme="minorHAnsi" w:cstheme="minorHAnsi"/>
          <w:color w:val="auto"/>
          <w:szCs w:val="24"/>
        </w:rPr>
        <w:t>POPs u otpadu (PBDE, HBCD, SCCP) imaju značajan fokus u kategoriji upravljanja otpadom, što reflektuje stvarne tokove POPs u životnoj sredini.</w:t>
      </w:r>
    </w:p>
    <w:p w14:paraId="160ED75A" w14:textId="77777777" w:rsidR="00215B11" w:rsidRPr="00C86111" w:rsidRDefault="00215B11" w:rsidP="00004F34">
      <w:pPr>
        <w:numPr>
          <w:ilvl w:val="0"/>
          <w:numId w:val="220"/>
        </w:numPr>
        <w:jc w:val="both"/>
        <w:rPr>
          <w:rFonts w:asciiTheme="minorHAnsi" w:hAnsiTheme="minorHAnsi" w:cstheme="minorHAnsi"/>
          <w:color w:val="auto"/>
          <w:szCs w:val="24"/>
        </w:rPr>
      </w:pPr>
      <w:r w:rsidRPr="00C86111">
        <w:rPr>
          <w:rFonts w:asciiTheme="minorHAnsi" w:hAnsiTheme="minorHAnsi" w:cstheme="minorHAnsi"/>
          <w:color w:val="auto"/>
          <w:szCs w:val="24"/>
        </w:rPr>
        <w:t>Edukacija i podizanje svijesti primjenjuje se horizontalno za sve supstance, osiguravajući informisanu javnost i industriju.</w:t>
      </w:r>
    </w:p>
    <w:p w14:paraId="52685390" w14:textId="77777777" w:rsidR="00215B11" w:rsidRPr="00C86111" w:rsidRDefault="00215B11" w:rsidP="00004F34">
      <w:pPr>
        <w:numPr>
          <w:ilvl w:val="0"/>
          <w:numId w:val="220"/>
        </w:numPr>
        <w:jc w:val="both"/>
        <w:rPr>
          <w:rFonts w:asciiTheme="minorHAnsi" w:hAnsiTheme="minorHAnsi" w:cstheme="minorHAnsi"/>
          <w:color w:val="auto"/>
          <w:szCs w:val="24"/>
        </w:rPr>
      </w:pPr>
      <w:r w:rsidRPr="00C86111">
        <w:rPr>
          <w:rFonts w:asciiTheme="minorHAnsi" w:hAnsiTheme="minorHAnsi" w:cstheme="minorHAnsi"/>
          <w:color w:val="auto"/>
          <w:szCs w:val="24"/>
        </w:rPr>
        <w:t>Ova raspodjela omogućava transparentno praćenje implementacije, identifikaciju kritičnih supstanci i efikasnu alokaciju resursa i fokusa NKT-a i operativnog tima.</w:t>
      </w:r>
    </w:p>
    <w:p w14:paraId="39D9622D" w14:textId="77777777" w:rsidR="00215B11" w:rsidRPr="00C86111" w:rsidRDefault="00215B11" w:rsidP="00EA6904">
      <w:pPr>
        <w:pStyle w:val="Heading3"/>
      </w:pPr>
      <w:bookmarkStart w:id="499" w:name="_Toc220542027"/>
      <w:r w:rsidRPr="00C86111">
        <w:t>Definisanje strateških prioriteta</w:t>
      </w:r>
      <w:bookmarkEnd w:id="499"/>
    </w:p>
    <w:p w14:paraId="5F969AF2"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Na osnovu inventara i analize izazova, utvrđene su tri centralne prioritetne oblasti:</w:t>
      </w:r>
    </w:p>
    <w:p w14:paraId="2FC32243" w14:textId="77777777" w:rsidR="00215B11" w:rsidRPr="00C86111" w:rsidRDefault="00215B11" w:rsidP="00215B11">
      <w:pPr>
        <w:jc w:val="both"/>
        <w:rPr>
          <w:rFonts w:asciiTheme="minorHAnsi" w:hAnsiTheme="minorHAnsi" w:cstheme="minorHAnsi"/>
          <w:color w:val="2F5496" w:themeColor="accent1" w:themeShade="BF"/>
          <w:szCs w:val="24"/>
        </w:rPr>
      </w:pPr>
    </w:p>
    <w:p w14:paraId="6C0630D7" w14:textId="77777777" w:rsidR="00215B11" w:rsidRPr="00C86111" w:rsidRDefault="00215B11" w:rsidP="00215B11">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A. Upravljanje otpadom</w:t>
      </w:r>
    </w:p>
    <w:p w14:paraId="448C9367"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jer je najveći dio POPs u Crnoj Gori danas vezan za proizvode i otpad (EEE, izolacioni materijali, pjene, plastika, građevinski otpad).</w:t>
      </w:r>
    </w:p>
    <w:p w14:paraId="5FFFB474" w14:textId="77777777" w:rsidR="00215B11" w:rsidRPr="00C86111" w:rsidRDefault="00215B11" w:rsidP="00215B11">
      <w:pPr>
        <w:rPr>
          <w:rFonts w:asciiTheme="minorHAnsi" w:hAnsiTheme="minorHAnsi" w:cstheme="minorHAnsi"/>
          <w:b/>
          <w:bCs/>
          <w:color w:val="auto"/>
          <w:szCs w:val="24"/>
        </w:rPr>
      </w:pPr>
      <w:r w:rsidRPr="00C86111">
        <w:rPr>
          <w:rFonts w:asciiTheme="minorHAnsi" w:hAnsiTheme="minorHAnsi" w:cstheme="minorHAnsi"/>
          <w:b/>
          <w:bCs/>
          <w:color w:val="auto"/>
          <w:szCs w:val="24"/>
        </w:rPr>
        <w:lastRenderedPageBreak/>
        <w:t>Strateški cilj:</w:t>
      </w:r>
    </w:p>
    <w:p w14:paraId="6FBA9E67" w14:textId="77777777" w:rsidR="00215B11" w:rsidRPr="00C86111" w:rsidRDefault="00215B11" w:rsidP="00215B11">
      <w:pPr>
        <w:jc w:val="both"/>
        <w:rPr>
          <w:rFonts w:asciiTheme="minorHAnsi" w:hAnsiTheme="minorHAnsi" w:cstheme="minorHAnsi"/>
          <w:b/>
          <w:bCs/>
          <w:color w:val="auto"/>
          <w:szCs w:val="24"/>
        </w:rPr>
      </w:pPr>
      <w:r w:rsidRPr="00C86111">
        <w:rPr>
          <w:rFonts w:asciiTheme="minorHAnsi" w:hAnsiTheme="minorHAnsi" w:cstheme="minorHAnsi"/>
          <w:color w:val="auto"/>
          <w:szCs w:val="24"/>
        </w:rPr>
        <w:t>Osigurati sigurno i trajno zbrinjavanje POPs otpada i kontaminirane opreme u skladu sa međunarodnim standardima i Stokholmskom konvencijom.</w:t>
      </w:r>
    </w:p>
    <w:p w14:paraId="655BD492" w14:textId="77777777" w:rsidR="00215B11" w:rsidRPr="00C86111" w:rsidRDefault="00215B11" w:rsidP="00215B11">
      <w:pPr>
        <w:jc w:val="both"/>
        <w:rPr>
          <w:rFonts w:asciiTheme="minorHAnsi" w:hAnsiTheme="minorHAnsi" w:cstheme="minorHAnsi"/>
          <w:color w:val="auto"/>
          <w:szCs w:val="24"/>
        </w:rPr>
      </w:pPr>
    </w:p>
    <w:p w14:paraId="0EF6C853" w14:textId="77777777" w:rsidR="00215B11" w:rsidRPr="00C86111" w:rsidRDefault="00215B11" w:rsidP="00215B11">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B. Monitoring i biomonitoring</w:t>
      </w:r>
    </w:p>
    <w:p w14:paraId="2C6FBF1E"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jer bez pouzdanih podataka nije moguće upravljati rizicima, pratiti trendove niti ispunjavati obaveze prema EU i BRS konvencijama.</w:t>
      </w:r>
    </w:p>
    <w:p w14:paraId="5603A6C2" w14:textId="77777777" w:rsidR="00215B11" w:rsidRPr="00C86111" w:rsidRDefault="00215B11" w:rsidP="00215B11">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Strateški cilj:</w:t>
      </w:r>
    </w:p>
    <w:p w14:paraId="6521378B"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Ojačati kapacitete i efikasnost sistema monitoringa i analize POPs i novih zagađivača u Crnoj Gori.</w:t>
      </w:r>
    </w:p>
    <w:p w14:paraId="465CABE2" w14:textId="77777777" w:rsidR="00215B11" w:rsidRPr="00C86111" w:rsidRDefault="00215B11" w:rsidP="00215B11">
      <w:pPr>
        <w:jc w:val="both"/>
        <w:rPr>
          <w:rFonts w:asciiTheme="minorHAnsi" w:hAnsiTheme="minorHAnsi" w:cstheme="minorHAnsi"/>
          <w:color w:val="auto"/>
          <w:szCs w:val="24"/>
        </w:rPr>
      </w:pPr>
    </w:p>
    <w:p w14:paraId="6C3AD584" w14:textId="77777777" w:rsidR="00215B11" w:rsidRPr="00C86111" w:rsidRDefault="00215B11" w:rsidP="00215B11">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C. Edukacija i podizanje svijesti</w:t>
      </w:r>
    </w:p>
    <w:p w14:paraId="281E0FAE"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jer su niska svijest i nedostatak znanja ključni uzrok neadekvatnog upravljanja POPs supstancama u praksi.</w:t>
      </w:r>
    </w:p>
    <w:p w14:paraId="244C6140" w14:textId="77777777" w:rsidR="00215B11" w:rsidRPr="00C86111" w:rsidRDefault="00215B11" w:rsidP="00215B11">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Strateški cilj:</w:t>
      </w:r>
    </w:p>
    <w:p w14:paraId="213BA254"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Jačanje javne svijesti i obrazovanja o POPs supstancama i njihovim rizicima.</w:t>
      </w:r>
    </w:p>
    <w:p w14:paraId="32314719" w14:textId="77777777" w:rsidR="00215B11" w:rsidRPr="00C86111" w:rsidRDefault="00215B11" w:rsidP="00EA6904">
      <w:pPr>
        <w:pStyle w:val="Heading4"/>
      </w:pPr>
      <w:r w:rsidRPr="00C86111">
        <w:t>Operacionalizacija kroz akcione planove</w:t>
      </w:r>
    </w:p>
    <w:p w14:paraId="2AD49B8B"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 xml:space="preserve">Prioriteti su dalje operacionalizovani kroz akcione planove po grupama supstanci (PBDE, PFAS, SCCP/MCCP, PCB, pesticidi, nenamjerne emisije) i po horizontalnim temama (monitoring, edukacija). </w:t>
      </w:r>
    </w:p>
    <w:p w14:paraId="395FFBFD"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Broj i struktura planiranih aktivnosti pokazuju da su najveći prioriteti:</w:t>
      </w:r>
    </w:p>
    <w:p w14:paraId="3252E03E" w14:textId="77777777" w:rsidR="00215B11" w:rsidRPr="00C86111" w:rsidRDefault="00215B11" w:rsidP="00004F34">
      <w:pPr>
        <w:numPr>
          <w:ilvl w:val="0"/>
          <w:numId w:val="221"/>
        </w:numPr>
        <w:jc w:val="both"/>
        <w:rPr>
          <w:rFonts w:asciiTheme="minorHAnsi" w:hAnsiTheme="minorHAnsi" w:cstheme="minorHAnsi"/>
          <w:color w:val="auto"/>
          <w:szCs w:val="24"/>
        </w:rPr>
      </w:pPr>
      <w:r w:rsidRPr="00C86111">
        <w:rPr>
          <w:rFonts w:asciiTheme="minorHAnsi" w:hAnsiTheme="minorHAnsi" w:cstheme="minorHAnsi"/>
          <w:color w:val="auto"/>
          <w:szCs w:val="24"/>
        </w:rPr>
        <w:t>PFAS,</w:t>
      </w:r>
    </w:p>
    <w:p w14:paraId="3071815E" w14:textId="77777777" w:rsidR="00215B11" w:rsidRPr="00C86111" w:rsidRDefault="00215B11" w:rsidP="00004F34">
      <w:pPr>
        <w:numPr>
          <w:ilvl w:val="0"/>
          <w:numId w:val="221"/>
        </w:numPr>
        <w:jc w:val="both"/>
        <w:rPr>
          <w:rFonts w:asciiTheme="minorHAnsi" w:hAnsiTheme="minorHAnsi" w:cstheme="minorHAnsi"/>
          <w:color w:val="auto"/>
          <w:szCs w:val="24"/>
        </w:rPr>
      </w:pPr>
      <w:r w:rsidRPr="00C86111">
        <w:rPr>
          <w:rFonts w:asciiTheme="minorHAnsi" w:hAnsiTheme="minorHAnsi" w:cstheme="minorHAnsi"/>
          <w:color w:val="auto"/>
          <w:szCs w:val="24"/>
        </w:rPr>
        <w:t>monitoring novih zagađivača,</w:t>
      </w:r>
    </w:p>
    <w:p w14:paraId="0D7CBAA2" w14:textId="77777777" w:rsidR="00215B11" w:rsidRPr="00C86111" w:rsidRDefault="00215B11" w:rsidP="00004F34">
      <w:pPr>
        <w:numPr>
          <w:ilvl w:val="0"/>
          <w:numId w:val="221"/>
        </w:numPr>
        <w:jc w:val="both"/>
        <w:rPr>
          <w:rFonts w:asciiTheme="minorHAnsi" w:hAnsiTheme="minorHAnsi" w:cstheme="minorHAnsi"/>
          <w:color w:val="auto"/>
          <w:szCs w:val="24"/>
        </w:rPr>
      </w:pPr>
      <w:r w:rsidRPr="00C86111">
        <w:rPr>
          <w:rFonts w:asciiTheme="minorHAnsi" w:hAnsiTheme="minorHAnsi" w:cstheme="minorHAnsi"/>
          <w:color w:val="auto"/>
          <w:szCs w:val="24"/>
        </w:rPr>
        <w:t>POPs u otpadu (PBDE, HBCD, SCCP),</w:t>
      </w:r>
    </w:p>
    <w:p w14:paraId="05109745" w14:textId="77777777" w:rsidR="00215B11" w:rsidRPr="00C86111" w:rsidRDefault="00215B11" w:rsidP="00004F34">
      <w:pPr>
        <w:numPr>
          <w:ilvl w:val="0"/>
          <w:numId w:val="221"/>
        </w:numPr>
        <w:jc w:val="both"/>
        <w:rPr>
          <w:rFonts w:asciiTheme="minorHAnsi" w:hAnsiTheme="minorHAnsi" w:cstheme="minorHAnsi"/>
          <w:color w:val="auto"/>
          <w:szCs w:val="24"/>
        </w:rPr>
      </w:pPr>
      <w:r w:rsidRPr="00C86111">
        <w:rPr>
          <w:rFonts w:asciiTheme="minorHAnsi" w:hAnsiTheme="minorHAnsi" w:cstheme="minorHAnsi"/>
          <w:color w:val="auto"/>
          <w:szCs w:val="24"/>
        </w:rPr>
        <w:t>jačanje institucionalnog i regulatornog okvira.</w:t>
      </w:r>
    </w:p>
    <w:p w14:paraId="6887F14E" w14:textId="77777777" w:rsidR="00215B11" w:rsidRPr="00C86111" w:rsidRDefault="00215B11" w:rsidP="00215B11">
      <w:pPr>
        <w:jc w:val="both"/>
        <w:rPr>
          <w:rFonts w:asciiTheme="minorHAnsi" w:hAnsiTheme="minorHAnsi" w:cstheme="minorHAnsi"/>
          <w:b/>
          <w:bCs/>
          <w:color w:val="2F5496" w:themeColor="accent1" w:themeShade="BF"/>
          <w:szCs w:val="24"/>
        </w:rPr>
      </w:pPr>
      <w:r w:rsidRPr="00C86111">
        <w:rPr>
          <w:rFonts w:asciiTheme="minorHAnsi" w:hAnsiTheme="minorHAnsi" w:cstheme="minorHAnsi"/>
          <w:b/>
          <w:bCs/>
          <w:szCs w:val="24"/>
        </w:rPr>
        <w:t>Institucionalna podrška prioritetima</w:t>
      </w:r>
    </w:p>
    <w:p w14:paraId="424122DD"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Da bi se osigurala održivost prioriteta, predloženo je formiranje Nacionalnog koordinacionog tijela (NKT), koje bi funkcionisalo na dva komplementarna nivoa: rukovodnom (Steering/Strategic Committee) i operativnom timu.</w:t>
      </w:r>
    </w:p>
    <w:p w14:paraId="57E356D8" w14:textId="77777777" w:rsidR="00215B11" w:rsidRPr="00C86111" w:rsidRDefault="00215B11" w:rsidP="00215B11">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1. Rukovodni nivo (Steering/Strategic Committee)</w:t>
      </w:r>
    </w:p>
    <w:p w14:paraId="47877F26"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Odgovornosti rukovodnog nivoa uključuju:</w:t>
      </w:r>
    </w:p>
    <w:p w14:paraId="3425B71D" w14:textId="77777777" w:rsidR="00215B11" w:rsidRPr="00C86111" w:rsidRDefault="00215B11" w:rsidP="00004F34">
      <w:pPr>
        <w:numPr>
          <w:ilvl w:val="0"/>
          <w:numId w:val="222"/>
        </w:numPr>
        <w:jc w:val="both"/>
        <w:rPr>
          <w:rFonts w:asciiTheme="minorHAnsi" w:hAnsiTheme="minorHAnsi" w:cstheme="minorHAnsi"/>
          <w:color w:val="auto"/>
          <w:szCs w:val="24"/>
        </w:rPr>
      </w:pPr>
      <w:r w:rsidRPr="00C86111">
        <w:rPr>
          <w:rFonts w:asciiTheme="minorHAnsi" w:hAnsiTheme="minorHAnsi" w:cstheme="minorHAnsi"/>
          <w:color w:val="auto"/>
          <w:szCs w:val="24"/>
        </w:rPr>
        <w:t>Definisanje strateških ciljeva i prioriteta NKT-a;</w:t>
      </w:r>
    </w:p>
    <w:p w14:paraId="25EE9300" w14:textId="77777777" w:rsidR="00215B11" w:rsidRPr="00C86111" w:rsidRDefault="00215B11" w:rsidP="00004F34">
      <w:pPr>
        <w:numPr>
          <w:ilvl w:val="0"/>
          <w:numId w:val="222"/>
        </w:numPr>
        <w:jc w:val="both"/>
        <w:rPr>
          <w:rFonts w:asciiTheme="minorHAnsi" w:hAnsiTheme="minorHAnsi" w:cstheme="minorHAnsi"/>
          <w:color w:val="auto"/>
          <w:szCs w:val="24"/>
        </w:rPr>
      </w:pPr>
      <w:r w:rsidRPr="00C86111">
        <w:rPr>
          <w:rFonts w:asciiTheme="minorHAnsi" w:hAnsiTheme="minorHAnsi" w:cstheme="minorHAnsi"/>
          <w:color w:val="auto"/>
          <w:szCs w:val="24"/>
        </w:rPr>
        <w:t>Odobravanje godišnjih akcionih planova i budžeta;</w:t>
      </w:r>
    </w:p>
    <w:p w14:paraId="4C8A3B12" w14:textId="77777777" w:rsidR="00215B11" w:rsidRPr="00C86111" w:rsidRDefault="00215B11" w:rsidP="00004F34">
      <w:pPr>
        <w:numPr>
          <w:ilvl w:val="0"/>
          <w:numId w:val="222"/>
        </w:numPr>
        <w:jc w:val="both"/>
        <w:rPr>
          <w:rFonts w:asciiTheme="minorHAnsi" w:hAnsiTheme="minorHAnsi" w:cstheme="minorHAnsi"/>
          <w:color w:val="auto"/>
          <w:szCs w:val="24"/>
        </w:rPr>
      </w:pPr>
      <w:r w:rsidRPr="00C86111">
        <w:rPr>
          <w:rFonts w:asciiTheme="minorHAnsi" w:hAnsiTheme="minorHAnsi" w:cstheme="minorHAnsi"/>
          <w:color w:val="auto"/>
          <w:szCs w:val="24"/>
        </w:rPr>
        <w:t>Koordinaciju sa Vladom i parlamentom;</w:t>
      </w:r>
    </w:p>
    <w:p w14:paraId="6E08F3BC" w14:textId="77777777" w:rsidR="00215B11" w:rsidRPr="00C86111" w:rsidRDefault="00215B11" w:rsidP="00004F34">
      <w:pPr>
        <w:numPr>
          <w:ilvl w:val="0"/>
          <w:numId w:val="222"/>
        </w:numPr>
        <w:jc w:val="both"/>
        <w:rPr>
          <w:rFonts w:asciiTheme="minorHAnsi" w:hAnsiTheme="minorHAnsi" w:cstheme="minorHAnsi"/>
          <w:color w:val="auto"/>
          <w:szCs w:val="24"/>
        </w:rPr>
      </w:pPr>
      <w:r w:rsidRPr="00C86111">
        <w:rPr>
          <w:rFonts w:asciiTheme="minorHAnsi" w:hAnsiTheme="minorHAnsi" w:cstheme="minorHAnsi"/>
          <w:color w:val="auto"/>
          <w:szCs w:val="24"/>
        </w:rPr>
        <w:t>Praćenje implementacije ključnih politika i zakonske regulative u oblasti POPs i hemikalija.</w:t>
      </w:r>
    </w:p>
    <w:p w14:paraId="687B5719"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Rukovodni nivo osigurava da strateški pravci i prioriteti budu u skladu sa nacionalnim politikama i međunarodnim obavezama Crne Gore.</w:t>
      </w:r>
    </w:p>
    <w:p w14:paraId="6D48F7CF" w14:textId="77777777" w:rsidR="00215B11" w:rsidRPr="00C86111" w:rsidRDefault="00215B11" w:rsidP="00215B11">
      <w:pPr>
        <w:jc w:val="both"/>
        <w:rPr>
          <w:rFonts w:asciiTheme="minorHAnsi" w:hAnsiTheme="minorHAnsi" w:cstheme="minorHAnsi"/>
          <w:b/>
          <w:bCs/>
          <w:color w:val="auto"/>
          <w:szCs w:val="24"/>
        </w:rPr>
      </w:pPr>
      <w:r w:rsidRPr="00C86111">
        <w:rPr>
          <w:rFonts w:asciiTheme="minorHAnsi" w:hAnsiTheme="minorHAnsi" w:cstheme="minorHAnsi"/>
          <w:b/>
          <w:bCs/>
          <w:color w:val="auto"/>
          <w:szCs w:val="24"/>
        </w:rPr>
        <w:t>2. Operativni tim</w:t>
      </w:r>
    </w:p>
    <w:p w14:paraId="2357C041"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Odgovornosti operativnog tima su:</w:t>
      </w:r>
    </w:p>
    <w:p w14:paraId="7877416C" w14:textId="77777777" w:rsidR="00215B11" w:rsidRPr="00C86111" w:rsidRDefault="00215B11" w:rsidP="00004F34">
      <w:pPr>
        <w:numPr>
          <w:ilvl w:val="0"/>
          <w:numId w:val="223"/>
        </w:numPr>
        <w:jc w:val="both"/>
        <w:rPr>
          <w:rFonts w:asciiTheme="minorHAnsi" w:hAnsiTheme="minorHAnsi" w:cstheme="minorHAnsi"/>
          <w:color w:val="auto"/>
          <w:szCs w:val="24"/>
        </w:rPr>
      </w:pPr>
      <w:r w:rsidRPr="00C86111">
        <w:rPr>
          <w:rFonts w:asciiTheme="minorHAnsi" w:hAnsiTheme="minorHAnsi" w:cstheme="minorHAnsi"/>
          <w:color w:val="auto"/>
          <w:szCs w:val="24"/>
        </w:rPr>
        <w:t>Davanje stručnih mišljenja i smjernica radi poboljšanog dizajna programa monitoringa (životna sredina, otpad, hemikalijski biomonitoring);</w:t>
      </w:r>
    </w:p>
    <w:p w14:paraId="1215B4D6" w14:textId="77777777" w:rsidR="00215B11" w:rsidRPr="00C86111" w:rsidRDefault="00215B11" w:rsidP="00004F34">
      <w:pPr>
        <w:numPr>
          <w:ilvl w:val="0"/>
          <w:numId w:val="223"/>
        </w:numPr>
        <w:jc w:val="both"/>
        <w:rPr>
          <w:rFonts w:asciiTheme="minorHAnsi" w:hAnsiTheme="minorHAnsi" w:cstheme="minorHAnsi"/>
          <w:color w:val="auto"/>
          <w:szCs w:val="24"/>
        </w:rPr>
      </w:pPr>
      <w:r w:rsidRPr="00C86111">
        <w:rPr>
          <w:rFonts w:asciiTheme="minorHAnsi" w:hAnsiTheme="minorHAnsi" w:cstheme="minorHAnsi"/>
          <w:color w:val="auto"/>
          <w:szCs w:val="24"/>
        </w:rPr>
        <w:t>Priprema tehničkih izvještaja i procjena rizika;</w:t>
      </w:r>
    </w:p>
    <w:p w14:paraId="65C73F18" w14:textId="77777777" w:rsidR="00215B11" w:rsidRPr="00C86111" w:rsidRDefault="00215B11" w:rsidP="00004F34">
      <w:pPr>
        <w:numPr>
          <w:ilvl w:val="0"/>
          <w:numId w:val="223"/>
        </w:numPr>
        <w:jc w:val="both"/>
        <w:rPr>
          <w:rFonts w:asciiTheme="minorHAnsi" w:hAnsiTheme="minorHAnsi" w:cstheme="minorHAnsi"/>
          <w:color w:val="auto"/>
          <w:szCs w:val="24"/>
        </w:rPr>
      </w:pPr>
      <w:r w:rsidRPr="00C86111">
        <w:rPr>
          <w:rFonts w:asciiTheme="minorHAnsi" w:hAnsiTheme="minorHAnsi" w:cstheme="minorHAnsi"/>
          <w:color w:val="auto"/>
          <w:szCs w:val="24"/>
        </w:rPr>
        <w:t>Razvoj i implementacija operativnih smjernica i procedura;</w:t>
      </w:r>
    </w:p>
    <w:p w14:paraId="27CC7541" w14:textId="77777777" w:rsidR="00215B11" w:rsidRPr="00C86111" w:rsidRDefault="00215B11" w:rsidP="00004F34">
      <w:pPr>
        <w:numPr>
          <w:ilvl w:val="0"/>
          <w:numId w:val="223"/>
        </w:numPr>
        <w:jc w:val="both"/>
        <w:rPr>
          <w:rFonts w:asciiTheme="minorHAnsi" w:hAnsiTheme="minorHAnsi" w:cstheme="minorHAnsi"/>
          <w:color w:val="auto"/>
          <w:szCs w:val="24"/>
        </w:rPr>
      </w:pPr>
      <w:r w:rsidRPr="00C86111">
        <w:rPr>
          <w:rFonts w:asciiTheme="minorHAnsi" w:hAnsiTheme="minorHAnsi" w:cstheme="minorHAnsi"/>
          <w:color w:val="auto"/>
          <w:szCs w:val="24"/>
        </w:rPr>
        <w:lastRenderedPageBreak/>
        <w:t>Praćenje trendova i evaluacija efekata propisa, BRS obaveza, akcionih planova i preporuka u oblasti upravljanja hemikalijama;</w:t>
      </w:r>
    </w:p>
    <w:p w14:paraId="69BB09EA" w14:textId="77777777" w:rsidR="00215B11" w:rsidRPr="00C86111" w:rsidRDefault="00215B11" w:rsidP="00004F34">
      <w:pPr>
        <w:numPr>
          <w:ilvl w:val="0"/>
          <w:numId w:val="223"/>
        </w:numPr>
        <w:jc w:val="both"/>
        <w:rPr>
          <w:rFonts w:asciiTheme="minorHAnsi" w:hAnsiTheme="minorHAnsi" w:cstheme="minorHAnsi"/>
          <w:color w:val="auto"/>
          <w:szCs w:val="24"/>
        </w:rPr>
      </w:pPr>
      <w:r w:rsidRPr="00C86111">
        <w:rPr>
          <w:rFonts w:asciiTheme="minorHAnsi" w:hAnsiTheme="minorHAnsi" w:cstheme="minorHAnsi"/>
          <w:color w:val="auto"/>
          <w:szCs w:val="24"/>
        </w:rPr>
        <w:t>Podrška edukaciji i podizanju svijesti u javnosti i industriji.</w:t>
      </w:r>
    </w:p>
    <w:p w14:paraId="477844E7"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color w:val="auto"/>
          <w:szCs w:val="24"/>
        </w:rPr>
        <w:t>Operativni tim obezbjeđuje tehničku i stručnu osnovu za efikasnu implementaciju akcionih planova i praćenje statusa POPs supstanci u Crnoj Gori.</w:t>
      </w:r>
    </w:p>
    <w:p w14:paraId="6BF82529" w14:textId="77777777" w:rsidR="00215B11" w:rsidRPr="00C86111" w:rsidRDefault="00215B11" w:rsidP="00215B11">
      <w:pPr>
        <w:jc w:val="both"/>
        <w:rPr>
          <w:rFonts w:asciiTheme="minorHAnsi" w:hAnsiTheme="minorHAnsi" w:cstheme="minorHAnsi"/>
          <w:color w:val="auto"/>
          <w:szCs w:val="24"/>
        </w:rPr>
      </w:pPr>
      <w:r w:rsidRPr="00C86111">
        <w:rPr>
          <w:rFonts w:asciiTheme="minorHAnsi" w:hAnsiTheme="minorHAnsi" w:cstheme="minorHAnsi"/>
          <w:b/>
          <w:bCs/>
          <w:color w:val="auto"/>
          <w:szCs w:val="24"/>
        </w:rPr>
        <w:t xml:space="preserve"> </w:t>
      </w:r>
      <w:r w:rsidRPr="00C86111">
        <w:rPr>
          <w:rFonts w:asciiTheme="minorHAnsi" w:hAnsiTheme="minorHAnsi" w:cstheme="minorHAnsi"/>
          <w:color w:val="auto"/>
          <w:szCs w:val="24"/>
        </w:rPr>
        <w:t>Prednosti ovako predložene strukture NKT-a:</w:t>
      </w:r>
    </w:p>
    <w:p w14:paraId="29B68E88" w14:textId="77777777" w:rsidR="00215B11" w:rsidRPr="00C86111" w:rsidRDefault="00215B11" w:rsidP="00004F34">
      <w:pPr>
        <w:numPr>
          <w:ilvl w:val="0"/>
          <w:numId w:val="224"/>
        </w:numPr>
        <w:jc w:val="both"/>
        <w:rPr>
          <w:rFonts w:asciiTheme="minorHAnsi" w:hAnsiTheme="minorHAnsi" w:cstheme="minorHAnsi"/>
          <w:color w:val="auto"/>
          <w:szCs w:val="24"/>
        </w:rPr>
      </w:pPr>
      <w:r w:rsidRPr="00C86111">
        <w:rPr>
          <w:rFonts w:asciiTheme="minorHAnsi" w:hAnsiTheme="minorHAnsi" w:cstheme="minorHAnsi"/>
          <w:color w:val="auto"/>
          <w:szCs w:val="24"/>
        </w:rPr>
        <w:t>Jasna podjela odgovornosti između donošenja politika i njihove implementacije;</w:t>
      </w:r>
    </w:p>
    <w:p w14:paraId="5B86BBF7" w14:textId="77777777" w:rsidR="00215B11" w:rsidRPr="00C86111" w:rsidRDefault="00215B11" w:rsidP="00004F34">
      <w:pPr>
        <w:numPr>
          <w:ilvl w:val="0"/>
          <w:numId w:val="224"/>
        </w:numPr>
        <w:jc w:val="both"/>
        <w:rPr>
          <w:rFonts w:asciiTheme="minorHAnsi" w:hAnsiTheme="minorHAnsi" w:cstheme="minorHAnsi"/>
          <w:color w:val="auto"/>
          <w:szCs w:val="24"/>
        </w:rPr>
      </w:pPr>
      <w:r w:rsidRPr="00C86111">
        <w:rPr>
          <w:rFonts w:asciiTheme="minorHAnsi" w:hAnsiTheme="minorHAnsi" w:cstheme="minorHAnsi"/>
          <w:color w:val="auto"/>
          <w:szCs w:val="24"/>
        </w:rPr>
        <w:t>Brža i efikasnija operativna realizacija monitoringa i akcija;</w:t>
      </w:r>
    </w:p>
    <w:p w14:paraId="5AE5D449" w14:textId="77777777" w:rsidR="00215B11" w:rsidRPr="00C86111" w:rsidRDefault="00215B11" w:rsidP="00004F34">
      <w:pPr>
        <w:numPr>
          <w:ilvl w:val="0"/>
          <w:numId w:val="224"/>
        </w:numPr>
        <w:jc w:val="both"/>
        <w:rPr>
          <w:rFonts w:asciiTheme="minorHAnsi" w:hAnsiTheme="minorHAnsi" w:cstheme="minorHAnsi"/>
          <w:color w:val="auto"/>
          <w:szCs w:val="24"/>
        </w:rPr>
      </w:pPr>
      <w:r w:rsidRPr="00C86111">
        <w:rPr>
          <w:rFonts w:asciiTheme="minorHAnsi" w:hAnsiTheme="minorHAnsi" w:cstheme="minorHAnsi"/>
          <w:color w:val="auto"/>
          <w:szCs w:val="24"/>
        </w:rPr>
        <w:t>Omogućava formiranje fokusiranih radnih grupa po supstancama ili sektorima (pesticidi, HBCD, PBDE, PFAS, PCB, SCCP/MCCP, otpad);</w:t>
      </w:r>
    </w:p>
    <w:p w14:paraId="3E0DE164" w14:textId="77777777" w:rsidR="00215B11" w:rsidRPr="00C86111" w:rsidRDefault="00215B11" w:rsidP="00004F34">
      <w:pPr>
        <w:numPr>
          <w:ilvl w:val="0"/>
          <w:numId w:val="224"/>
        </w:numPr>
        <w:jc w:val="both"/>
        <w:rPr>
          <w:rFonts w:asciiTheme="minorHAnsi" w:hAnsiTheme="minorHAnsi" w:cstheme="minorHAnsi"/>
          <w:color w:val="auto"/>
          <w:szCs w:val="24"/>
        </w:rPr>
      </w:pPr>
      <w:r w:rsidRPr="00C86111">
        <w:rPr>
          <w:rFonts w:asciiTheme="minorHAnsi" w:hAnsiTheme="minorHAnsi" w:cstheme="minorHAnsi"/>
          <w:color w:val="auto"/>
          <w:szCs w:val="24"/>
        </w:rPr>
        <w:t>Olakšava izvještavanje rukovodnom nivou i Vladi, čime se poboljšava praćenje i donošenje strateških odluka.</w:t>
      </w:r>
    </w:p>
    <w:p w14:paraId="358C903F" w14:textId="77777777" w:rsidR="00215B11" w:rsidRPr="00C86111" w:rsidRDefault="00215B11" w:rsidP="00215B11">
      <w:pPr>
        <w:rPr>
          <w:color w:val="auto"/>
        </w:rPr>
      </w:pPr>
    </w:p>
    <w:p w14:paraId="6C868F56" w14:textId="77777777" w:rsidR="00215B11" w:rsidRPr="00C86111" w:rsidRDefault="00215B11" w:rsidP="00215B11">
      <w:pPr>
        <w:tabs>
          <w:tab w:val="left" w:pos="1302"/>
        </w:tabs>
        <w:rPr>
          <w:color w:val="2F5496" w:themeColor="accent1" w:themeShade="BF"/>
        </w:rPr>
      </w:pPr>
      <w:r w:rsidRPr="00C86111">
        <w:tab/>
      </w:r>
    </w:p>
    <w:p w14:paraId="0135B6E7" w14:textId="7F3175A9" w:rsidR="00215B11" w:rsidRPr="00C86111" w:rsidRDefault="00B908DB" w:rsidP="00B908DB">
      <w:pPr>
        <w:tabs>
          <w:tab w:val="left" w:pos="1302"/>
        </w:tabs>
        <w:jc w:val="center"/>
      </w:pPr>
      <w:r w:rsidRPr="00C86111">
        <w:rPr>
          <w:noProof/>
        </w:rPr>
        <w:drawing>
          <wp:inline distT="0" distB="0" distL="0" distR="0" wp14:anchorId="277BD5DF" wp14:editId="4CF6C20D">
            <wp:extent cx="4337050" cy="1933575"/>
            <wp:effectExtent l="0" t="0" r="635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337050" cy="1933575"/>
                    </a:xfrm>
                    <a:prstGeom prst="rect">
                      <a:avLst/>
                    </a:prstGeom>
                    <a:noFill/>
                    <a:ln>
                      <a:noFill/>
                    </a:ln>
                  </pic:spPr>
                </pic:pic>
              </a:graphicData>
            </a:graphic>
          </wp:inline>
        </w:drawing>
      </w:r>
    </w:p>
    <w:p w14:paraId="04B67BB0" w14:textId="27344427" w:rsidR="00215B11" w:rsidRPr="00C86111" w:rsidRDefault="00215B11" w:rsidP="00215B11"/>
    <w:p w14:paraId="67B3B227" w14:textId="675F64D0" w:rsidR="00215B11" w:rsidRDefault="00B908DB" w:rsidP="00B908DB">
      <w:pPr>
        <w:jc w:val="center"/>
      </w:pPr>
      <w:r w:rsidRPr="00C86111">
        <w:rPr>
          <w:b/>
          <w:bCs/>
        </w:rPr>
        <w:t xml:space="preserve">Slika 5. </w:t>
      </w:r>
      <w:r w:rsidRPr="00C86111">
        <w:t>Proces prioritizacije POPs u Crnoj Gori</w:t>
      </w:r>
    </w:p>
    <w:p w14:paraId="6843D396" w14:textId="77777777" w:rsidR="00D611ED" w:rsidRDefault="00D611ED" w:rsidP="00B908DB">
      <w:pPr>
        <w:jc w:val="center"/>
      </w:pPr>
    </w:p>
    <w:p w14:paraId="2D30AAB0" w14:textId="77777777" w:rsidR="00D611ED" w:rsidRDefault="00D611ED" w:rsidP="00B908DB">
      <w:pPr>
        <w:jc w:val="center"/>
      </w:pPr>
    </w:p>
    <w:p w14:paraId="7E01ACEA" w14:textId="77777777" w:rsidR="00D611ED" w:rsidRDefault="00D611ED" w:rsidP="00B908DB">
      <w:pPr>
        <w:jc w:val="center"/>
      </w:pPr>
    </w:p>
    <w:p w14:paraId="3D4E3CFC" w14:textId="77777777" w:rsidR="00D611ED" w:rsidRDefault="00D611ED" w:rsidP="00B908DB">
      <w:pPr>
        <w:jc w:val="center"/>
      </w:pPr>
    </w:p>
    <w:p w14:paraId="42BFC5D3" w14:textId="77777777" w:rsidR="00D611ED" w:rsidRDefault="00D611ED" w:rsidP="00B908DB">
      <w:pPr>
        <w:jc w:val="center"/>
      </w:pPr>
    </w:p>
    <w:p w14:paraId="61DB6FF7" w14:textId="77777777" w:rsidR="00D611ED" w:rsidRPr="00C86111" w:rsidRDefault="00D611ED" w:rsidP="00B908DB">
      <w:pPr>
        <w:jc w:val="center"/>
      </w:pPr>
    </w:p>
    <w:p w14:paraId="3A1200A6" w14:textId="42DE6D17" w:rsidR="00C4574D" w:rsidRPr="00C86111" w:rsidRDefault="00C4574D" w:rsidP="00912C4C">
      <w:pPr>
        <w:pStyle w:val="Heading1"/>
      </w:pPr>
      <w:bookmarkStart w:id="500" w:name="_Toc220542028"/>
      <w:r w:rsidRPr="00C86111">
        <w:t>PRAĆENJE SPROVOĐENJA NIP</w:t>
      </w:r>
      <w:r w:rsidR="00D611ED">
        <w:t>-</w:t>
      </w:r>
      <w:r w:rsidRPr="00C86111">
        <w:t>a, IZVJEŠTAVANJE I EVALUACIJA</w:t>
      </w:r>
      <w:bookmarkEnd w:id="500"/>
    </w:p>
    <w:p w14:paraId="74CF803D" w14:textId="77777777" w:rsidR="00C4574D" w:rsidRPr="00C86111" w:rsidRDefault="00C4574D" w:rsidP="00C4574D">
      <w:pPr>
        <w:jc w:val="both"/>
        <w:rPr>
          <w:color w:val="auto"/>
        </w:rPr>
      </w:pPr>
    </w:p>
    <w:p w14:paraId="041CE80D" w14:textId="5FAFC2C2" w:rsidR="00C4574D" w:rsidRPr="00C86111" w:rsidRDefault="00C4574D" w:rsidP="00C4574D">
      <w:pPr>
        <w:jc w:val="both"/>
        <w:rPr>
          <w:color w:val="auto"/>
        </w:rPr>
      </w:pPr>
      <w:r w:rsidRPr="00C86111">
        <w:rPr>
          <w:color w:val="auto"/>
        </w:rPr>
        <w:t>Ciljevi definisani u ovom Nacionalnom implementacionom planu osmišljeni su tako da obezbijede sistemsko, koordinisano i efektivno upravljanje dugotrajnim organskim zagađujućim supstancama (POPs) u Crnoj Gori, u skladu sa obavezama iz Stokholmske konvencije, drugih relevantnih međunarodnih sporazuma i standarda Evropske unije. Navedeni ciljevi su grupisani kroz strateške i operativne komponente, uz jasno definisane indikatore uspjeha koji se prate kroz period implementacije do 2027. godine.</w:t>
      </w:r>
    </w:p>
    <w:p w14:paraId="63FEFB75" w14:textId="77777777" w:rsidR="00C4574D" w:rsidRPr="00C86111" w:rsidRDefault="00C4574D" w:rsidP="00C4574D">
      <w:pPr>
        <w:jc w:val="both"/>
        <w:rPr>
          <w:color w:val="auto"/>
        </w:rPr>
      </w:pPr>
    </w:p>
    <w:p w14:paraId="4801B54F" w14:textId="77777777" w:rsidR="00C4574D" w:rsidRPr="00C86111" w:rsidRDefault="00C4574D" w:rsidP="00C4574D">
      <w:pPr>
        <w:rPr>
          <w:b/>
          <w:bCs/>
          <w:color w:val="002060"/>
        </w:rPr>
      </w:pPr>
      <w:r w:rsidRPr="00C86111">
        <w:rPr>
          <w:b/>
          <w:bCs/>
          <w:color w:val="002060"/>
        </w:rPr>
        <w:lastRenderedPageBreak/>
        <w:t>STRATEŠKI CILJ 1</w:t>
      </w:r>
    </w:p>
    <w:p w14:paraId="04957091" w14:textId="77777777" w:rsidR="00C4574D" w:rsidRPr="00C86111" w:rsidRDefault="00C4574D" w:rsidP="00C4574D">
      <w:pPr>
        <w:rPr>
          <w:b/>
          <w:bCs/>
          <w:color w:val="002060"/>
        </w:rPr>
      </w:pPr>
      <w:r w:rsidRPr="00C86111">
        <w:rPr>
          <w:b/>
          <w:bCs/>
          <w:color w:val="002060"/>
        </w:rPr>
        <w:t>Uspostavljanje održivog, efikasnog i usklađenog nacionalnog sistema za upravljanje POPs supstancama.</w:t>
      </w:r>
    </w:p>
    <w:p w14:paraId="740C2E7C" w14:textId="77777777" w:rsidR="00C4574D" w:rsidRPr="00C86111" w:rsidRDefault="00C4574D" w:rsidP="00C4574D">
      <w:pPr>
        <w:jc w:val="both"/>
        <w:rPr>
          <w:color w:val="auto"/>
        </w:rPr>
      </w:pPr>
      <w:r w:rsidRPr="00C86111">
        <w:rPr>
          <w:color w:val="auto"/>
        </w:rPr>
        <w:t>Ovaj strateški cilj obuhvata razvoj pravnog okvira, jačanje institucionalnih kapaciteta, međuresornu koordinaciju i međunarodnu saradnju, kao i unapređenje regulatornih i upravljačkih instrumenata.</w:t>
      </w:r>
    </w:p>
    <w:p w14:paraId="126033A6" w14:textId="77777777" w:rsidR="00C4574D" w:rsidRPr="00C86111" w:rsidRDefault="00C4574D" w:rsidP="00C4574D">
      <w:pPr>
        <w:rPr>
          <w:color w:val="auto"/>
        </w:rPr>
      </w:pPr>
    </w:p>
    <w:p w14:paraId="0FAA30AA" w14:textId="77777777" w:rsidR="00C4574D" w:rsidRPr="00C86111" w:rsidRDefault="00C4574D" w:rsidP="00C4574D">
      <w:pPr>
        <w:rPr>
          <w:color w:val="auto"/>
        </w:rPr>
      </w:pPr>
      <w:r w:rsidRPr="00C86111">
        <w:rPr>
          <w:b/>
          <w:bCs/>
          <w:color w:val="002060"/>
        </w:rPr>
        <w:t>Operativni cilj 1.1:</w:t>
      </w:r>
      <w:r w:rsidRPr="00C86111">
        <w:rPr>
          <w:color w:val="002060"/>
        </w:rPr>
        <w:t xml:space="preserve"> </w:t>
      </w:r>
      <w:r w:rsidRPr="00C86111">
        <w:rPr>
          <w:color w:val="auto"/>
        </w:rPr>
        <w:t>Uspostaviti pravni osnov za upravljanje POPs supstancama i remedijaciju kontaminiranih lokacija.</w:t>
      </w:r>
    </w:p>
    <w:p w14:paraId="0F199691" w14:textId="77777777" w:rsidR="00C4574D" w:rsidRPr="00C86111" w:rsidRDefault="00C4574D" w:rsidP="00C4574D">
      <w:pPr>
        <w:rPr>
          <w:color w:val="auto"/>
        </w:rPr>
      </w:pPr>
    </w:p>
    <w:tbl>
      <w:tblPr>
        <w:tblStyle w:val="GridTable4-Accent2"/>
        <w:tblW w:w="0" w:type="auto"/>
        <w:tblLook w:val="04A0" w:firstRow="1" w:lastRow="0" w:firstColumn="1" w:lastColumn="0" w:noHBand="0" w:noVBand="1"/>
      </w:tblPr>
      <w:tblGrid>
        <w:gridCol w:w="2041"/>
        <w:gridCol w:w="1419"/>
        <w:gridCol w:w="1600"/>
        <w:gridCol w:w="2037"/>
        <w:gridCol w:w="2253"/>
      </w:tblGrid>
      <w:tr w:rsidR="00C4574D" w:rsidRPr="00C86111" w14:paraId="2B09555C"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B203FA" w14:textId="77777777" w:rsidR="00C4574D" w:rsidRPr="00C86111" w:rsidRDefault="00C4574D" w:rsidP="00033AB8">
            <w:pPr>
              <w:rPr>
                <w:color w:val="auto"/>
              </w:rPr>
            </w:pPr>
            <w:r w:rsidRPr="00C86111">
              <w:rPr>
                <w:color w:val="auto"/>
              </w:rPr>
              <w:t>Indikator uspjeha</w:t>
            </w:r>
          </w:p>
        </w:tc>
        <w:tc>
          <w:tcPr>
            <w:tcW w:w="0" w:type="auto"/>
            <w:hideMark/>
          </w:tcPr>
          <w:p w14:paraId="3F4F7CB7"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Polazna vrijednost 2025</w:t>
            </w:r>
          </w:p>
        </w:tc>
        <w:tc>
          <w:tcPr>
            <w:tcW w:w="0" w:type="auto"/>
            <w:hideMark/>
          </w:tcPr>
          <w:p w14:paraId="67704BB9"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Ciljna vrijednost 2027</w:t>
            </w:r>
          </w:p>
        </w:tc>
        <w:tc>
          <w:tcPr>
            <w:tcW w:w="0" w:type="auto"/>
            <w:hideMark/>
          </w:tcPr>
          <w:p w14:paraId="5A15F0D7"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Aktivnosti</w:t>
            </w:r>
          </w:p>
        </w:tc>
        <w:tc>
          <w:tcPr>
            <w:tcW w:w="0" w:type="auto"/>
            <w:hideMark/>
          </w:tcPr>
          <w:p w14:paraId="16C552E2"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Praćenje / Izvještavanje</w:t>
            </w:r>
          </w:p>
        </w:tc>
      </w:tr>
      <w:tr w:rsidR="00C4574D" w:rsidRPr="00C86111" w14:paraId="049556C6"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1C792C" w14:textId="77777777" w:rsidR="00C4574D" w:rsidRPr="00C86111" w:rsidRDefault="00C4574D" w:rsidP="00033AB8">
            <w:pPr>
              <w:rPr>
                <w:color w:val="auto"/>
              </w:rPr>
            </w:pPr>
            <w:r w:rsidRPr="00C86111">
              <w:rPr>
                <w:color w:val="auto"/>
              </w:rPr>
              <w:t>Postojanje zakonodavnog okvira za POPs</w:t>
            </w:r>
          </w:p>
        </w:tc>
        <w:tc>
          <w:tcPr>
            <w:tcW w:w="0" w:type="auto"/>
            <w:hideMark/>
          </w:tcPr>
          <w:p w14:paraId="7F61632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0</w:t>
            </w:r>
          </w:p>
        </w:tc>
        <w:tc>
          <w:tcPr>
            <w:tcW w:w="0" w:type="auto"/>
            <w:hideMark/>
          </w:tcPr>
          <w:p w14:paraId="5625A4A9"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Zakon usvojen i primjenjuje se</w:t>
            </w:r>
          </w:p>
        </w:tc>
        <w:tc>
          <w:tcPr>
            <w:tcW w:w="0" w:type="auto"/>
            <w:hideMark/>
          </w:tcPr>
          <w:p w14:paraId="7D2ACAF9"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Izrada zakona o zaštiti zemljišta i POPs, podzakonski akti</w:t>
            </w:r>
          </w:p>
        </w:tc>
        <w:tc>
          <w:tcPr>
            <w:tcW w:w="0" w:type="auto"/>
            <w:hideMark/>
          </w:tcPr>
          <w:p w14:paraId="6DB99BA7"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Redovni izvještaji MERS, izvještavanje ka Stokholmskoj konvenciji</w:t>
            </w:r>
          </w:p>
        </w:tc>
      </w:tr>
    </w:tbl>
    <w:p w14:paraId="702E9C34" w14:textId="77777777" w:rsidR="00C4574D" w:rsidRPr="00C86111" w:rsidRDefault="00C4574D" w:rsidP="00C4574D">
      <w:pPr>
        <w:rPr>
          <w:color w:val="auto"/>
        </w:rPr>
      </w:pPr>
      <w:r w:rsidRPr="00C86111">
        <w:rPr>
          <w:b/>
          <w:bCs/>
          <w:color w:val="002060"/>
        </w:rPr>
        <w:t>Operativni cilj 1.2:</w:t>
      </w:r>
      <w:r w:rsidRPr="00C86111">
        <w:rPr>
          <w:color w:val="002060"/>
        </w:rPr>
        <w:t xml:space="preserve"> </w:t>
      </w:r>
      <w:r w:rsidRPr="00C86111">
        <w:rPr>
          <w:color w:val="auto"/>
        </w:rPr>
        <w:t>Revizija zakona o hemikalijama radi usklađenosti sa EU propisima (REACH, CLP, POPs).</w:t>
      </w:r>
    </w:p>
    <w:tbl>
      <w:tblPr>
        <w:tblStyle w:val="GridTable4-Accent2"/>
        <w:tblW w:w="0" w:type="auto"/>
        <w:tblLook w:val="04A0" w:firstRow="1" w:lastRow="0" w:firstColumn="1" w:lastColumn="0" w:noHBand="0" w:noVBand="1"/>
      </w:tblPr>
      <w:tblGrid>
        <w:gridCol w:w="2112"/>
        <w:gridCol w:w="1472"/>
        <w:gridCol w:w="1432"/>
        <w:gridCol w:w="1886"/>
        <w:gridCol w:w="2448"/>
      </w:tblGrid>
      <w:tr w:rsidR="00C4574D" w:rsidRPr="00C86111" w14:paraId="034293AC"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2B7286" w14:textId="77777777" w:rsidR="00C4574D" w:rsidRPr="00C86111" w:rsidRDefault="00C4574D" w:rsidP="00033AB8">
            <w:pPr>
              <w:rPr>
                <w:color w:val="auto"/>
              </w:rPr>
            </w:pPr>
            <w:r w:rsidRPr="00C86111">
              <w:rPr>
                <w:color w:val="auto"/>
              </w:rPr>
              <w:t>Indikator uspjeha</w:t>
            </w:r>
          </w:p>
        </w:tc>
        <w:tc>
          <w:tcPr>
            <w:tcW w:w="0" w:type="auto"/>
            <w:hideMark/>
          </w:tcPr>
          <w:p w14:paraId="68D54D6D"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Polazna vrijednost 2025</w:t>
            </w:r>
          </w:p>
        </w:tc>
        <w:tc>
          <w:tcPr>
            <w:tcW w:w="0" w:type="auto"/>
            <w:hideMark/>
          </w:tcPr>
          <w:p w14:paraId="5A084B21"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Ciljna vrijednost 2027</w:t>
            </w:r>
          </w:p>
        </w:tc>
        <w:tc>
          <w:tcPr>
            <w:tcW w:w="0" w:type="auto"/>
            <w:hideMark/>
          </w:tcPr>
          <w:p w14:paraId="0B37067C"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Aktivnosti</w:t>
            </w:r>
          </w:p>
        </w:tc>
        <w:tc>
          <w:tcPr>
            <w:tcW w:w="0" w:type="auto"/>
            <w:hideMark/>
          </w:tcPr>
          <w:p w14:paraId="59008030"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Praćenje / Izvještavanje</w:t>
            </w:r>
          </w:p>
        </w:tc>
      </w:tr>
      <w:tr w:rsidR="00C4574D" w:rsidRPr="00C86111" w14:paraId="4BFD5178"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27E5FB" w14:textId="77777777" w:rsidR="00C4574D" w:rsidRPr="00C86111" w:rsidRDefault="00C4574D" w:rsidP="00033AB8">
            <w:pPr>
              <w:rPr>
                <w:color w:val="auto"/>
              </w:rPr>
            </w:pPr>
            <w:r w:rsidRPr="00C86111">
              <w:rPr>
                <w:color w:val="auto"/>
              </w:rPr>
              <w:t>Stepen usklađenosti sa EU pravnom tekovinom</w:t>
            </w:r>
          </w:p>
        </w:tc>
        <w:tc>
          <w:tcPr>
            <w:tcW w:w="0" w:type="auto"/>
            <w:hideMark/>
          </w:tcPr>
          <w:p w14:paraId="11AEA66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80%</w:t>
            </w:r>
          </w:p>
        </w:tc>
        <w:tc>
          <w:tcPr>
            <w:tcW w:w="0" w:type="auto"/>
            <w:hideMark/>
          </w:tcPr>
          <w:p w14:paraId="743199B2"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100%</w:t>
            </w:r>
          </w:p>
        </w:tc>
        <w:tc>
          <w:tcPr>
            <w:tcW w:w="0" w:type="auto"/>
            <w:hideMark/>
          </w:tcPr>
          <w:p w14:paraId="2DE2464A"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Revizija zakona i priprema nacrta novog zakona</w:t>
            </w:r>
          </w:p>
        </w:tc>
        <w:tc>
          <w:tcPr>
            <w:tcW w:w="0" w:type="auto"/>
            <w:hideMark/>
          </w:tcPr>
          <w:p w14:paraId="5CAF4BD7"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Redovni izvještaji MERS, izvještavanje ka Stokholmskoj konvenciji</w:t>
            </w:r>
          </w:p>
        </w:tc>
      </w:tr>
    </w:tbl>
    <w:p w14:paraId="502B44AE" w14:textId="77777777" w:rsidR="00C4574D" w:rsidRPr="00C86111" w:rsidRDefault="00C4574D" w:rsidP="00C4574D">
      <w:pPr>
        <w:rPr>
          <w:color w:val="auto"/>
        </w:rPr>
      </w:pPr>
      <w:r w:rsidRPr="00C86111">
        <w:rPr>
          <w:b/>
          <w:bCs/>
          <w:color w:val="002060"/>
        </w:rPr>
        <w:t>Operativni cilj 1.3:</w:t>
      </w:r>
      <w:r w:rsidRPr="00C86111">
        <w:rPr>
          <w:color w:val="002060"/>
        </w:rPr>
        <w:t xml:space="preserve"> </w:t>
      </w:r>
      <w:r w:rsidRPr="00C86111">
        <w:rPr>
          <w:color w:val="auto"/>
        </w:rPr>
        <w:t>Ojačani administrativni i tehnički kapaciteti institucija.</w:t>
      </w:r>
    </w:p>
    <w:tbl>
      <w:tblPr>
        <w:tblStyle w:val="GridTable4-Accent2"/>
        <w:tblW w:w="0" w:type="auto"/>
        <w:tblLook w:val="04A0" w:firstRow="1" w:lastRow="0" w:firstColumn="1" w:lastColumn="0" w:noHBand="0" w:noVBand="1"/>
      </w:tblPr>
      <w:tblGrid>
        <w:gridCol w:w="1970"/>
        <w:gridCol w:w="1378"/>
        <w:gridCol w:w="1666"/>
        <w:gridCol w:w="2400"/>
        <w:gridCol w:w="1936"/>
      </w:tblGrid>
      <w:tr w:rsidR="00C4574D" w:rsidRPr="00C86111" w14:paraId="0A2039B9"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F6AA1E" w14:textId="77777777" w:rsidR="00C4574D" w:rsidRPr="00C86111" w:rsidRDefault="00C4574D" w:rsidP="00033AB8">
            <w:pPr>
              <w:rPr>
                <w:color w:val="auto"/>
              </w:rPr>
            </w:pPr>
            <w:r w:rsidRPr="00C86111">
              <w:rPr>
                <w:color w:val="auto"/>
              </w:rPr>
              <w:t>Indikator uspjeha</w:t>
            </w:r>
          </w:p>
        </w:tc>
        <w:tc>
          <w:tcPr>
            <w:tcW w:w="0" w:type="auto"/>
            <w:hideMark/>
          </w:tcPr>
          <w:p w14:paraId="5FE911BF"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Polazna vrijednost 2025</w:t>
            </w:r>
          </w:p>
        </w:tc>
        <w:tc>
          <w:tcPr>
            <w:tcW w:w="0" w:type="auto"/>
            <w:hideMark/>
          </w:tcPr>
          <w:p w14:paraId="0B5AA5DB"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Ciljna vrijednost 2027</w:t>
            </w:r>
          </w:p>
        </w:tc>
        <w:tc>
          <w:tcPr>
            <w:tcW w:w="0" w:type="auto"/>
            <w:hideMark/>
          </w:tcPr>
          <w:p w14:paraId="2F997164"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Aktivnosti</w:t>
            </w:r>
          </w:p>
        </w:tc>
        <w:tc>
          <w:tcPr>
            <w:tcW w:w="0" w:type="auto"/>
            <w:hideMark/>
          </w:tcPr>
          <w:p w14:paraId="2C9FD0F6"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Praćenje / Izvještavanje</w:t>
            </w:r>
          </w:p>
        </w:tc>
      </w:tr>
      <w:tr w:rsidR="00C4574D" w:rsidRPr="00C86111" w14:paraId="12C6F09F"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532535" w14:textId="77777777" w:rsidR="00C4574D" w:rsidRPr="00C86111" w:rsidRDefault="00C4574D" w:rsidP="00033AB8">
            <w:pPr>
              <w:rPr>
                <w:color w:val="auto"/>
              </w:rPr>
            </w:pPr>
            <w:r w:rsidRPr="00C86111">
              <w:rPr>
                <w:color w:val="auto"/>
              </w:rPr>
              <w:t>Broj obučenih službenika</w:t>
            </w:r>
          </w:p>
        </w:tc>
        <w:tc>
          <w:tcPr>
            <w:tcW w:w="0" w:type="auto"/>
            <w:hideMark/>
          </w:tcPr>
          <w:p w14:paraId="3DC7222B"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0</w:t>
            </w:r>
          </w:p>
        </w:tc>
        <w:tc>
          <w:tcPr>
            <w:tcW w:w="0" w:type="auto"/>
            <w:hideMark/>
          </w:tcPr>
          <w:p w14:paraId="1B76A324"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Kontinuirani sistem obuke</w:t>
            </w:r>
          </w:p>
        </w:tc>
        <w:tc>
          <w:tcPr>
            <w:tcW w:w="0" w:type="auto"/>
            <w:hideMark/>
          </w:tcPr>
          <w:p w14:paraId="315D558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Obuke i sertifikacije, uspostavljanje Centra za kontrolu trovanja</w:t>
            </w:r>
          </w:p>
        </w:tc>
        <w:tc>
          <w:tcPr>
            <w:tcW w:w="0" w:type="auto"/>
            <w:hideMark/>
          </w:tcPr>
          <w:p w14:paraId="64A7C1E9"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Izvještaji MERS i institucija, Stokholmska konvencija</w:t>
            </w:r>
          </w:p>
        </w:tc>
      </w:tr>
      <w:tr w:rsidR="00C4574D" w:rsidRPr="00C86111" w14:paraId="2F8BBCC2"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7509C998" w14:textId="77777777" w:rsidR="00C4574D" w:rsidRPr="00C86111" w:rsidRDefault="00C4574D" w:rsidP="00033AB8">
            <w:pPr>
              <w:rPr>
                <w:color w:val="auto"/>
              </w:rPr>
            </w:pPr>
            <w:r w:rsidRPr="00C86111">
              <w:rPr>
                <w:color w:val="auto"/>
              </w:rPr>
              <w:t>Broj akreditovanih metoda za ispitivanje POPs</w:t>
            </w:r>
          </w:p>
        </w:tc>
        <w:tc>
          <w:tcPr>
            <w:tcW w:w="0" w:type="auto"/>
            <w:hideMark/>
          </w:tcPr>
          <w:p w14:paraId="1387B126"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w:t>
            </w:r>
          </w:p>
        </w:tc>
        <w:tc>
          <w:tcPr>
            <w:tcW w:w="0" w:type="auto"/>
            <w:hideMark/>
          </w:tcPr>
          <w:p w14:paraId="57A3CC0E"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Akreditovane metode</w:t>
            </w:r>
          </w:p>
        </w:tc>
        <w:tc>
          <w:tcPr>
            <w:tcW w:w="0" w:type="auto"/>
            <w:hideMark/>
          </w:tcPr>
          <w:p w14:paraId="41D81957"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Uvođenje standardizovanih laboratorijskih metoda</w:t>
            </w:r>
          </w:p>
        </w:tc>
        <w:tc>
          <w:tcPr>
            <w:tcW w:w="0" w:type="auto"/>
            <w:hideMark/>
          </w:tcPr>
          <w:p w14:paraId="1A50F9CC"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Izvještaji laboratorija</w:t>
            </w:r>
          </w:p>
        </w:tc>
      </w:tr>
    </w:tbl>
    <w:p w14:paraId="1ED53A6A" w14:textId="77777777" w:rsidR="00C4574D" w:rsidRPr="00C86111" w:rsidRDefault="00C4574D" w:rsidP="00C4574D">
      <w:pPr>
        <w:rPr>
          <w:color w:val="auto"/>
        </w:rPr>
      </w:pPr>
    </w:p>
    <w:p w14:paraId="752EC979" w14:textId="77777777" w:rsidR="00C4574D" w:rsidRPr="00C86111" w:rsidRDefault="00C4574D" w:rsidP="00C4574D">
      <w:pPr>
        <w:rPr>
          <w:b/>
          <w:bCs/>
          <w:color w:val="002060"/>
        </w:rPr>
      </w:pPr>
      <w:r w:rsidRPr="00C86111">
        <w:rPr>
          <w:b/>
          <w:bCs/>
          <w:color w:val="002060"/>
        </w:rPr>
        <w:t>STRATEŠKI CILJ 2</w:t>
      </w:r>
    </w:p>
    <w:p w14:paraId="1EF4266A" w14:textId="77777777" w:rsidR="00C4574D" w:rsidRPr="00C86111" w:rsidRDefault="00C4574D" w:rsidP="00C4574D">
      <w:pPr>
        <w:rPr>
          <w:b/>
          <w:bCs/>
          <w:color w:val="002060"/>
        </w:rPr>
      </w:pPr>
      <w:r w:rsidRPr="00C86111">
        <w:rPr>
          <w:b/>
          <w:bCs/>
          <w:color w:val="002060"/>
        </w:rPr>
        <w:t>Jačanje javne svijesti i obrazovanja o POPs supstancama i njihovim rizicima.</w:t>
      </w:r>
    </w:p>
    <w:p w14:paraId="177262F0" w14:textId="77777777" w:rsidR="00C4574D" w:rsidRPr="00C86111" w:rsidRDefault="00C4574D" w:rsidP="00C4574D">
      <w:pPr>
        <w:jc w:val="both"/>
        <w:rPr>
          <w:color w:val="auto"/>
        </w:rPr>
      </w:pPr>
      <w:r w:rsidRPr="00C86111">
        <w:rPr>
          <w:color w:val="auto"/>
        </w:rPr>
        <w:t>Cilj je postići povećanje nivoa informisanosti građana, ranjivih grupa i stručnjaka o rizicima i mjerama upravljanja POPs supstancama.</w:t>
      </w:r>
    </w:p>
    <w:p w14:paraId="1A4A4E08" w14:textId="77777777" w:rsidR="00C4574D" w:rsidRPr="00C86111" w:rsidRDefault="00C4574D" w:rsidP="00C4574D">
      <w:pPr>
        <w:rPr>
          <w:color w:val="auto"/>
        </w:rPr>
      </w:pPr>
    </w:p>
    <w:p w14:paraId="2FA04F44" w14:textId="77777777" w:rsidR="00C4574D" w:rsidRPr="00C86111" w:rsidRDefault="00C4574D" w:rsidP="00C4574D">
      <w:pPr>
        <w:rPr>
          <w:color w:val="auto"/>
        </w:rPr>
      </w:pPr>
      <w:r w:rsidRPr="00C86111">
        <w:rPr>
          <w:b/>
          <w:bCs/>
          <w:color w:val="002060"/>
        </w:rPr>
        <w:t>Operativni cilj 2.1:</w:t>
      </w:r>
      <w:r w:rsidRPr="00C86111">
        <w:rPr>
          <w:color w:val="002060"/>
        </w:rPr>
        <w:t xml:space="preserve"> </w:t>
      </w:r>
      <w:r w:rsidRPr="00C86111">
        <w:rPr>
          <w:color w:val="auto"/>
        </w:rPr>
        <w:t>Povećati nivo informisanosti javnosti, ranjivih grupa i profesionalaca.</w:t>
      </w:r>
    </w:p>
    <w:tbl>
      <w:tblPr>
        <w:tblStyle w:val="GridTable4-Accent2"/>
        <w:tblW w:w="0" w:type="auto"/>
        <w:tblLook w:val="04A0" w:firstRow="1" w:lastRow="0" w:firstColumn="1" w:lastColumn="0" w:noHBand="0" w:noVBand="1"/>
      </w:tblPr>
      <w:tblGrid>
        <w:gridCol w:w="1910"/>
        <w:gridCol w:w="1495"/>
        <w:gridCol w:w="1450"/>
        <w:gridCol w:w="2345"/>
        <w:gridCol w:w="2150"/>
      </w:tblGrid>
      <w:tr w:rsidR="00C4574D" w:rsidRPr="00C86111" w14:paraId="22DFB4E4"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0DACAF" w14:textId="77777777" w:rsidR="00C4574D" w:rsidRPr="00C86111" w:rsidRDefault="00C4574D" w:rsidP="00033AB8">
            <w:pPr>
              <w:rPr>
                <w:color w:val="auto"/>
              </w:rPr>
            </w:pPr>
            <w:r w:rsidRPr="00C86111">
              <w:rPr>
                <w:color w:val="auto"/>
              </w:rPr>
              <w:t>Indikator uspjeha</w:t>
            </w:r>
          </w:p>
        </w:tc>
        <w:tc>
          <w:tcPr>
            <w:tcW w:w="0" w:type="auto"/>
            <w:hideMark/>
          </w:tcPr>
          <w:p w14:paraId="0BA68C45"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Polazna vrijednost 2025</w:t>
            </w:r>
          </w:p>
        </w:tc>
        <w:tc>
          <w:tcPr>
            <w:tcW w:w="0" w:type="auto"/>
            <w:hideMark/>
          </w:tcPr>
          <w:p w14:paraId="0F5FEC9D"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Ciljna vrijednost 2027</w:t>
            </w:r>
          </w:p>
        </w:tc>
        <w:tc>
          <w:tcPr>
            <w:tcW w:w="0" w:type="auto"/>
            <w:hideMark/>
          </w:tcPr>
          <w:p w14:paraId="6E0509B1"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Aktivnosti</w:t>
            </w:r>
          </w:p>
        </w:tc>
        <w:tc>
          <w:tcPr>
            <w:tcW w:w="0" w:type="auto"/>
            <w:hideMark/>
          </w:tcPr>
          <w:p w14:paraId="5251B027"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Praćenje / Izvještavanje</w:t>
            </w:r>
          </w:p>
        </w:tc>
      </w:tr>
      <w:tr w:rsidR="00C4574D" w:rsidRPr="00C86111" w14:paraId="360EF191"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2B57CE" w14:textId="77777777" w:rsidR="00C4574D" w:rsidRPr="00C86111" w:rsidRDefault="00C4574D" w:rsidP="00033AB8">
            <w:pPr>
              <w:rPr>
                <w:color w:val="auto"/>
              </w:rPr>
            </w:pPr>
            <w:r w:rsidRPr="00C86111">
              <w:rPr>
                <w:color w:val="auto"/>
              </w:rPr>
              <w:t>% građana informisanih o POPs</w:t>
            </w:r>
          </w:p>
        </w:tc>
        <w:tc>
          <w:tcPr>
            <w:tcW w:w="0" w:type="auto"/>
            <w:hideMark/>
          </w:tcPr>
          <w:p w14:paraId="48D476E4"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20%</w:t>
            </w:r>
          </w:p>
        </w:tc>
        <w:tc>
          <w:tcPr>
            <w:tcW w:w="0" w:type="auto"/>
            <w:hideMark/>
          </w:tcPr>
          <w:p w14:paraId="19E1E8D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80%</w:t>
            </w:r>
          </w:p>
        </w:tc>
        <w:tc>
          <w:tcPr>
            <w:tcW w:w="0" w:type="auto"/>
            <w:hideMark/>
          </w:tcPr>
          <w:p w14:paraId="0AAD413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Edukativne kampanje, multimedijalni materijali</w:t>
            </w:r>
          </w:p>
        </w:tc>
        <w:tc>
          <w:tcPr>
            <w:tcW w:w="0" w:type="auto"/>
            <w:hideMark/>
          </w:tcPr>
          <w:p w14:paraId="33AAAF2C"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Izvještaji AZŽS, MERS, Stokholmska konvencija</w:t>
            </w:r>
          </w:p>
        </w:tc>
      </w:tr>
      <w:tr w:rsidR="00C4574D" w:rsidRPr="00C86111" w14:paraId="3D00093B"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7656258F" w14:textId="77777777" w:rsidR="00C4574D" w:rsidRPr="00C86111" w:rsidRDefault="00C4574D" w:rsidP="00033AB8">
            <w:pPr>
              <w:rPr>
                <w:color w:val="auto"/>
              </w:rPr>
            </w:pPr>
            <w:r w:rsidRPr="00C86111">
              <w:rPr>
                <w:color w:val="auto"/>
              </w:rPr>
              <w:t>Broj edukativnih kampanja</w:t>
            </w:r>
          </w:p>
        </w:tc>
        <w:tc>
          <w:tcPr>
            <w:tcW w:w="0" w:type="auto"/>
            <w:hideMark/>
          </w:tcPr>
          <w:p w14:paraId="61EBCFA4"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2</w:t>
            </w:r>
          </w:p>
        </w:tc>
        <w:tc>
          <w:tcPr>
            <w:tcW w:w="0" w:type="auto"/>
            <w:hideMark/>
          </w:tcPr>
          <w:p w14:paraId="2E89A79D"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6</w:t>
            </w:r>
          </w:p>
        </w:tc>
        <w:tc>
          <w:tcPr>
            <w:tcW w:w="0" w:type="auto"/>
            <w:hideMark/>
          </w:tcPr>
          <w:p w14:paraId="71EFEE2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Organizacija kampanja</w:t>
            </w:r>
          </w:p>
        </w:tc>
        <w:tc>
          <w:tcPr>
            <w:tcW w:w="0" w:type="auto"/>
            <w:hideMark/>
          </w:tcPr>
          <w:p w14:paraId="1C8F3564"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Izvještaji institucija</w:t>
            </w:r>
          </w:p>
        </w:tc>
      </w:tr>
      <w:tr w:rsidR="00C4574D" w:rsidRPr="00C86111" w14:paraId="13EB9EB8"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6EF659" w14:textId="77777777" w:rsidR="00C4574D" w:rsidRPr="00C86111" w:rsidRDefault="00C4574D" w:rsidP="00033AB8">
            <w:pPr>
              <w:rPr>
                <w:color w:val="auto"/>
              </w:rPr>
            </w:pPr>
            <w:r w:rsidRPr="00C86111">
              <w:rPr>
                <w:color w:val="auto"/>
              </w:rPr>
              <w:t>Broj uključenih škola i univerziteta</w:t>
            </w:r>
          </w:p>
        </w:tc>
        <w:tc>
          <w:tcPr>
            <w:tcW w:w="0" w:type="auto"/>
            <w:hideMark/>
          </w:tcPr>
          <w:p w14:paraId="4CED8CF9"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0</w:t>
            </w:r>
          </w:p>
        </w:tc>
        <w:tc>
          <w:tcPr>
            <w:tcW w:w="0" w:type="auto"/>
            <w:hideMark/>
          </w:tcPr>
          <w:p w14:paraId="504601BA"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5</w:t>
            </w:r>
          </w:p>
        </w:tc>
        <w:tc>
          <w:tcPr>
            <w:tcW w:w="0" w:type="auto"/>
            <w:hideMark/>
          </w:tcPr>
          <w:p w14:paraId="28BD0B2C"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Implementacija obrazovnih programa</w:t>
            </w:r>
          </w:p>
        </w:tc>
        <w:tc>
          <w:tcPr>
            <w:tcW w:w="0" w:type="auto"/>
            <w:hideMark/>
          </w:tcPr>
          <w:p w14:paraId="77625F3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Redovno praćenje, izvještaji</w:t>
            </w:r>
          </w:p>
        </w:tc>
      </w:tr>
    </w:tbl>
    <w:p w14:paraId="5134B54F" w14:textId="77777777" w:rsidR="00C4574D" w:rsidRPr="00C86111" w:rsidRDefault="00C4574D" w:rsidP="00C4574D">
      <w:pPr>
        <w:rPr>
          <w:color w:val="auto"/>
        </w:rPr>
      </w:pPr>
    </w:p>
    <w:p w14:paraId="6E1C87F0" w14:textId="77777777" w:rsidR="00C4574D" w:rsidRPr="00C86111" w:rsidRDefault="00C4574D" w:rsidP="00C4574D">
      <w:pPr>
        <w:rPr>
          <w:b/>
          <w:bCs/>
          <w:color w:val="002060"/>
        </w:rPr>
      </w:pPr>
      <w:r w:rsidRPr="00C86111">
        <w:rPr>
          <w:b/>
          <w:bCs/>
          <w:color w:val="002060"/>
        </w:rPr>
        <w:t>STRATEŠKI CILJEVI ZA SPECIFIČNE POPs SUPSTANCE</w:t>
      </w:r>
    </w:p>
    <w:p w14:paraId="57980623" w14:textId="77777777" w:rsidR="00C4574D" w:rsidRPr="00C86111" w:rsidRDefault="00C4574D" w:rsidP="00C4574D">
      <w:pPr>
        <w:rPr>
          <w:b/>
          <w:bCs/>
          <w:color w:val="002060"/>
        </w:rPr>
      </w:pPr>
      <w:r w:rsidRPr="00C86111">
        <w:rPr>
          <w:b/>
          <w:bCs/>
          <w:color w:val="002060"/>
        </w:rPr>
        <w:t>1. PBDE, HBB, HBCDD</w:t>
      </w:r>
    </w:p>
    <w:p w14:paraId="7E30419B" w14:textId="77777777" w:rsidR="00C4574D" w:rsidRPr="00C86111" w:rsidRDefault="00C4574D" w:rsidP="00C4574D">
      <w:pPr>
        <w:rPr>
          <w:color w:val="auto"/>
        </w:rPr>
      </w:pPr>
      <w:r w:rsidRPr="00C86111">
        <w:rPr>
          <w:b/>
          <w:bCs/>
          <w:color w:val="002060"/>
        </w:rPr>
        <w:t>Operativni cilj 1:</w:t>
      </w:r>
      <w:r w:rsidRPr="00C86111">
        <w:rPr>
          <w:color w:val="auto"/>
        </w:rPr>
        <w:t xml:space="preserve"> Uspostaviti kontrolu proizvoda koji sadrže ove supstance.</w:t>
      </w:r>
    </w:p>
    <w:tbl>
      <w:tblPr>
        <w:tblStyle w:val="GridTable4-Accent2"/>
        <w:tblW w:w="0" w:type="auto"/>
        <w:tblLook w:val="04A0" w:firstRow="1" w:lastRow="0" w:firstColumn="1" w:lastColumn="0" w:noHBand="0" w:noVBand="1"/>
      </w:tblPr>
      <w:tblGrid>
        <w:gridCol w:w="2194"/>
        <w:gridCol w:w="1451"/>
        <w:gridCol w:w="1770"/>
        <w:gridCol w:w="1979"/>
        <w:gridCol w:w="1956"/>
      </w:tblGrid>
      <w:tr w:rsidR="00C4574D" w:rsidRPr="00C86111" w14:paraId="4C4CA1CA"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51CFCC" w14:textId="77777777" w:rsidR="00C4574D" w:rsidRPr="00C86111" w:rsidRDefault="00C4574D" w:rsidP="00033AB8">
            <w:pPr>
              <w:rPr>
                <w:color w:val="auto"/>
              </w:rPr>
            </w:pPr>
            <w:r w:rsidRPr="00C86111">
              <w:rPr>
                <w:color w:val="auto"/>
              </w:rPr>
              <w:t>Indikator uspjeha</w:t>
            </w:r>
          </w:p>
        </w:tc>
        <w:tc>
          <w:tcPr>
            <w:tcW w:w="0" w:type="auto"/>
            <w:hideMark/>
          </w:tcPr>
          <w:p w14:paraId="099D7B96"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Polazna vrijednost 2025</w:t>
            </w:r>
          </w:p>
        </w:tc>
        <w:tc>
          <w:tcPr>
            <w:tcW w:w="0" w:type="auto"/>
            <w:hideMark/>
          </w:tcPr>
          <w:p w14:paraId="799ADEFD"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Ciljna vrijednost 2027</w:t>
            </w:r>
          </w:p>
        </w:tc>
        <w:tc>
          <w:tcPr>
            <w:tcW w:w="0" w:type="auto"/>
            <w:hideMark/>
          </w:tcPr>
          <w:p w14:paraId="45698446"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Aktivnosti</w:t>
            </w:r>
          </w:p>
        </w:tc>
        <w:tc>
          <w:tcPr>
            <w:tcW w:w="0" w:type="auto"/>
            <w:hideMark/>
          </w:tcPr>
          <w:p w14:paraId="7C044EB6"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Praćenje / Izvještavanje</w:t>
            </w:r>
          </w:p>
        </w:tc>
      </w:tr>
      <w:tr w:rsidR="00C4574D" w:rsidRPr="00C86111" w14:paraId="741C216B"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E79E05" w14:textId="77777777" w:rsidR="00C4574D" w:rsidRPr="00C86111" w:rsidRDefault="00C4574D" w:rsidP="00033AB8">
            <w:pPr>
              <w:rPr>
                <w:color w:val="auto"/>
              </w:rPr>
            </w:pPr>
            <w:r w:rsidRPr="00C86111">
              <w:rPr>
                <w:color w:val="auto"/>
              </w:rPr>
              <w:t>Broj uspostavljenih regulatornih instrumenata</w:t>
            </w:r>
          </w:p>
        </w:tc>
        <w:tc>
          <w:tcPr>
            <w:tcW w:w="0" w:type="auto"/>
            <w:hideMark/>
          </w:tcPr>
          <w:p w14:paraId="7AA6054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0</w:t>
            </w:r>
          </w:p>
        </w:tc>
        <w:tc>
          <w:tcPr>
            <w:tcW w:w="0" w:type="auto"/>
            <w:hideMark/>
          </w:tcPr>
          <w:p w14:paraId="4E25380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Funkcionalan sistem kontrole</w:t>
            </w:r>
          </w:p>
        </w:tc>
        <w:tc>
          <w:tcPr>
            <w:tcW w:w="0" w:type="auto"/>
            <w:hideMark/>
          </w:tcPr>
          <w:p w14:paraId="04E255A9"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Izrada akta sa HS kodovima, carinske obuke</w:t>
            </w:r>
          </w:p>
        </w:tc>
        <w:tc>
          <w:tcPr>
            <w:tcW w:w="0" w:type="auto"/>
            <w:hideMark/>
          </w:tcPr>
          <w:p w14:paraId="79FCD8F5"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MERS, carina, Stokholmska konvencija</w:t>
            </w:r>
          </w:p>
        </w:tc>
      </w:tr>
      <w:tr w:rsidR="00C4574D" w:rsidRPr="00C86111" w14:paraId="06E1027C"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763AEDCB" w14:textId="77777777" w:rsidR="00C4574D" w:rsidRPr="00C86111" w:rsidRDefault="00C4574D" w:rsidP="00033AB8">
            <w:pPr>
              <w:rPr>
                <w:color w:val="auto"/>
              </w:rPr>
            </w:pPr>
            <w:r w:rsidRPr="00C86111">
              <w:rPr>
                <w:color w:val="auto"/>
              </w:rPr>
              <w:t>Broj obučenih službenika</w:t>
            </w:r>
          </w:p>
        </w:tc>
        <w:tc>
          <w:tcPr>
            <w:tcW w:w="0" w:type="auto"/>
            <w:hideMark/>
          </w:tcPr>
          <w:p w14:paraId="4DC1828D"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0</w:t>
            </w:r>
          </w:p>
        </w:tc>
        <w:tc>
          <w:tcPr>
            <w:tcW w:w="0" w:type="auto"/>
            <w:hideMark/>
          </w:tcPr>
          <w:p w14:paraId="13BA342A"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Kontinuirani sistem obuke</w:t>
            </w:r>
          </w:p>
        </w:tc>
        <w:tc>
          <w:tcPr>
            <w:tcW w:w="0" w:type="auto"/>
            <w:hideMark/>
          </w:tcPr>
          <w:p w14:paraId="696FFA09"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Obuke za inspektore i carinike</w:t>
            </w:r>
          </w:p>
        </w:tc>
        <w:tc>
          <w:tcPr>
            <w:tcW w:w="0" w:type="auto"/>
            <w:hideMark/>
          </w:tcPr>
          <w:p w14:paraId="07D80FC1"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Izvještaji obuka, Stokholmska konvencija</w:t>
            </w:r>
          </w:p>
        </w:tc>
      </w:tr>
      <w:tr w:rsidR="00C4574D" w:rsidRPr="00C86111" w14:paraId="742815EF"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28F856" w14:textId="77777777" w:rsidR="00C4574D" w:rsidRPr="00C86111" w:rsidRDefault="00C4574D" w:rsidP="00033AB8">
            <w:pPr>
              <w:rPr>
                <w:color w:val="auto"/>
              </w:rPr>
            </w:pPr>
            <w:r w:rsidRPr="00C86111">
              <w:rPr>
                <w:color w:val="auto"/>
              </w:rPr>
              <w:t>Broj kampanja podizanja svijesti</w:t>
            </w:r>
          </w:p>
        </w:tc>
        <w:tc>
          <w:tcPr>
            <w:tcW w:w="0" w:type="auto"/>
            <w:hideMark/>
          </w:tcPr>
          <w:p w14:paraId="1BCBB1F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0</w:t>
            </w:r>
          </w:p>
        </w:tc>
        <w:tc>
          <w:tcPr>
            <w:tcW w:w="0" w:type="auto"/>
            <w:hideMark/>
          </w:tcPr>
          <w:p w14:paraId="707634F4"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Redovne godišnje kampanje</w:t>
            </w:r>
          </w:p>
        </w:tc>
        <w:tc>
          <w:tcPr>
            <w:tcW w:w="0" w:type="auto"/>
            <w:hideMark/>
          </w:tcPr>
          <w:p w14:paraId="01DA682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Informativne kampanje</w:t>
            </w:r>
          </w:p>
        </w:tc>
        <w:tc>
          <w:tcPr>
            <w:tcW w:w="0" w:type="auto"/>
            <w:hideMark/>
          </w:tcPr>
          <w:p w14:paraId="32DA1A1A"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Izvještaji institucija</w:t>
            </w:r>
          </w:p>
        </w:tc>
      </w:tr>
    </w:tbl>
    <w:p w14:paraId="51234E38" w14:textId="77777777" w:rsidR="00C4574D" w:rsidRPr="00C86111" w:rsidRDefault="00C4574D" w:rsidP="00C4574D">
      <w:pPr>
        <w:rPr>
          <w:b/>
          <w:bCs/>
          <w:color w:val="002060"/>
        </w:rPr>
      </w:pPr>
    </w:p>
    <w:p w14:paraId="0EE930C9" w14:textId="77777777" w:rsidR="00C4574D" w:rsidRPr="00C86111" w:rsidRDefault="00C4574D" w:rsidP="00C4574D">
      <w:pPr>
        <w:rPr>
          <w:b/>
          <w:bCs/>
          <w:color w:val="002060"/>
        </w:rPr>
      </w:pPr>
    </w:p>
    <w:p w14:paraId="0426FF61" w14:textId="77777777" w:rsidR="00C4574D" w:rsidRPr="00C86111" w:rsidRDefault="00C4574D" w:rsidP="00C4574D">
      <w:pPr>
        <w:rPr>
          <w:b/>
          <w:bCs/>
          <w:color w:val="002060"/>
        </w:rPr>
      </w:pPr>
    </w:p>
    <w:p w14:paraId="4CED401E" w14:textId="77777777" w:rsidR="00C4574D" w:rsidRPr="00C86111" w:rsidRDefault="00C4574D" w:rsidP="00C4574D">
      <w:pPr>
        <w:rPr>
          <w:b/>
          <w:bCs/>
          <w:color w:val="002060"/>
        </w:rPr>
      </w:pPr>
    </w:p>
    <w:p w14:paraId="40DE7566" w14:textId="671FE050" w:rsidR="00C4574D" w:rsidRPr="00C86111" w:rsidRDefault="00C4574D" w:rsidP="00C4574D">
      <w:pPr>
        <w:rPr>
          <w:color w:val="auto"/>
        </w:rPr>
      </w:pPr>
      <w:r w:rsidRPr="00C86111">
        <w:rPr>
          <w:b/>
          <w:bCs/>
          <w:color w:val="002060"/>
        </w:rPr>
        <w:t>Operativni cilj 2:</w:t>
      </w:r>
      <w:r w:rsidRPr="00C86111">
        <w:rPr>
          <w:color w:val="002060"/>
        </w:rPr>
        <w:t xml:space="preserve"> </w:t>
      </w:r>
      <w:r w:rsidRPr="00C86111">
        <w:rPr>
          <w:color w:val="auto"/>
        </w:rPr>
        <w:t>Podstaći supstituciju alternativnim proizvodima.</w:t>
      </w:r>
    </w:p>
    <w:tbl>
      <w:tblPr>
        <w:tblStyle w:val="GridTable4-Accent2"/>
        <w:tblW w:w="0" w:type="auto"/>
        <w:tblLook w:val="04A0" w:firstRow="1" w:lastRow="0" w:firstColumn="1" w:lastColumn="0" w:noHBand="0" w:noVBand="1"/>
      </w:tblPr>
      <w:tblGrid>
        <w:gridCol w:w="1903"/>
        <w:gridCol w:w="1620"/>
        <w:gridCol w:w="1555"/>
        <w:gridCol w:w="1999"/>
        <w:gridCol w:w="2273"/>
      </w:tblGrid>
      <w:tr w:rsidR="00C4574D" w:rsidRPr="00C86111" w14:paraId="327AA1E2"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4AA265" w14:textId="77777777" w:rsidR="00C4574D" w:rsidRPr="00C86111" w:rsidRDefault="00C4574D" w:rsidP="00033AB8">
            <w:pPr>
              <w:rPr>
                <w:color w:val="auto"/>
              </w:rPr>
            </w:pPr>
            <w:r w:rsidRPr="00C86111">
              <w:rPr>
                <w:color w:val="auto"/>
              </w:rPr>
              <w:t>Indikator uspjeha</w:t>
            </w:r>
          </w:p>
        </w:tc>
        <w:tc>
          <w:tcPr>
            <w:tcW w:w="0" w:type="auto"/>
            <w:hideMark/>
          </w:tcPr>
          <w:p w14:paraId="1744DC74"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Polazna vrijednost 2025</w:t>
            </w:r>
          </w:p>
        </w:tc>
        <w:tc>
          <w:tcPr>
            <w:tcW w:w="0" w:type="auto"/>
            <w:hideMark/>
          </w:tcPr>
          <w:p w14:paraId="47CA06DC"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Ciljna vrijednost 2027</w:t>
            </w:r>
          </w:p>
        </w:tc>
        <w:tc>
          <w:tcPr>
            <w:tcW w:w="0" w:type="auto"/>
            <w:hideMark/>
          </w:tcPr>
          <w:p w14:paraId="2C761305"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Aktivnosti</w:t>
            </w:r>
          </w:p>
        </w:tc>
        <w:tc>
          <w:tcPr>
            <w:tcW w:w="0" w:type="auto"/>
            <w:hideMark/>
          </w:tcPr>
          <w:p w14:paraId="48C46C46"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Praćenje / Izvještavanje</w:t>
            </w:r>
          </w:p>
        </w:tc>
      </w:tr>
      <w:tr w:rsidR="00C4574D" w:rsidRPr="00C86111" w14:paraId="711AD81A"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A11686" w14:textId="77777777" w:rsidR="00C4574D" w:rsidRPr="00C86111" w:rsidRDefault="00C4574D" w:rsidP="00033AB8">
            <w:pPr>
              <w:rPr>
                <w:color w:val="auto"/>
              </w:rPr>
            </w:pPr>
            <w:r w:rsidRPr="00C86111">
              <w:rPr>
                <w:color w:val="auto"/>
              </w:rPr>
              <w:t>Broj obučenih korisnika</w:t>
            </w:r>
          </w:p>
        </w:tc>
        <w:tc>
          <w:tcPr>
            <w:tcW w:w="0" w:type="auto"/>
            <w:hideMark/>
          </w:tcPr>
          <w:p w14:paraId="2FE9C7BB"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w:t>
            </w:r>
          </w:p>
        </w:tc>
        <w:tc>
          <w:tcPr>
            <w:tcW w:w="0" w:type="auto"/>
            <w:hideMark/>
          </w:tcPr>
          <w:p w14:paraId="36A01B7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 20</w:t>
            </w:r>
          </w:p>
        </w:tc>
        <w:tc>
          <w:tcPr>
            <w:tcW w:w="0" w:type="auto"/>
            <w:hideMark/>
          </w:tcPr>
          <w:p w14:paraId="374B59FC"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Obuke krajnjih korisnika</w:t>
            </w:r>
          </w:p>
        </w:tc>
        <w:tc>
          <w:tcPr>
            <w:tcW w:w="0" w:type="auto"/>
            <w:hideMark/>
          </w:tcPr>
          <w:p w14:paraId="60C7EEA3"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Izvještaji MERS, Stokholmska konvencija</w:t>
            </w:r>
          </w:p>
        </w:tc>
      </w:tr>
      <w:tr w:rsidR="00C4574D" w:rsidRPr="00C86111" w14:paraId="6834ADBD"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2DE14513" w14:textId="77777777" w:rsidR="00C4574D" w:rsidRPr="00C86111" w:rsidRDefault="00C4574D" w:rsidP="00033AB8">
            <w:pPr>
              <w:rPr>
                <w:color w:val="auto"/>
              </w:rPr>
            </w:pPr>
            <w:r w:rsidRPr="00C86111">
              <w:rPr>
                <w:color w:val="auto"/>
              </w:rPr>
              <w:lastRenderedPageBreak/>
              <w:t>Broj promotivnih materijala</w:t>
            </w:r>
          </w:p>
        </w:tc>
        <w:tc>
          <w:tcPr>
            <w:tcW w:w="0" w:type="auto"/>
            <w:hideMark/>
          </w:tcPr>
          <w:p w14:paraId="3623A579"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w:t>
            </w:r>
          </w:p>
        </w:tc>
        <w:tc>
          <w:tcPr>
            <w:tcW w:w="0" w:type="auto"/>
            <w:hideMark/>
          </w:tcPr>
          <w:p w14:paraId="108FD5F2"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 3</w:t>
            </w:r>
          </w:p>
        </w:tc>
        <w:tc>
          <w:tcPr>
            <w:tcW w:w="0" w:type="auto"/>
            <w:hideMark/>
          </w:tcPr>
          <w:p w14:paraId="790F6739"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Distribucija edukativnih materijala</w:t>
            </w:r>
          </w:p>
        </w:tc>
        <w:tc>
          <w:tcPr>
            <w:tcW w:w="0" w:type="auto"/>
            <w:hideMark/>
          </w:tcPr>
          <w:p w14:paraId="5EF7EC64"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Izvještaji institucija</w:t>
            </w:r>
          </w:p>
        </w:tc>
      </w:tr>
    </w:tbl>
    <w:p w14:paraId="47FA1DB3" w14:textId="77777777" w:rsidR="00C4574D" w:rsidRPr="00C86111" w:rsidRDefault="00C4574D" w:rsidP="00C4574D">
      <w:pPr>
        <w:rPr>
          <w:b/>
          <w:bCs/>
          <w:color w:val="002060"/>
        </w:rPr>
      </w:pPr>
      <w:r w:rsidRPr="00C86111">
        <w:rPr>
          <w:b/>
          <w:bCs/>
          <w:color w:val="002060"/>
        </w:rPr>
        <w:t>2. PFAS supstance</w:t>
      </w:r>
    </w:p>
    <w:p w14:paraId="61524766" w14:textId="77777777" w:rsidR="00C4574D" w:rsidRPr="00C86111" w:rsidRDefault="00C4574D" w:rsidP="00C4574D">
      <w:pPr>
        <w:rPr>
          <w:color w:val="auto"/>
        </w:rPr>
      </w:pPr>
      <w:r w:rsidRPr="00C86111">
        <w:rPr>
          <w:b/>
          <w:bCs/>
          <w:color w:val="002060"/>
        </w:rPr>
        <w:t>Operativni cilj 1:</w:t>
      </w:r>
      <w:r w:rsidRPr="00C86111">
        <w:rPr>
          <w:color w:val="002060"/>
        </w:rPr>
        <w:t xml:space="preserve"> </w:t>
      </w:r>
      <w:r w:rsidRPr="00C86111">
        <w:rPr>
          <w:color w:val="auto"/>
        </w:rPr>
        <w:t>Uspostaviti identifikaciju i kontrolu proizvoda sa PFAS.</w:t>
      </w:r>
    </w:p>
    <w:tbl>
      <w:tblPr>
        <w:tblStyle w:val="GridTable4-Accent2"/>
        <w:tblW w:w="0" w:type="auto"/>
        <w:tblLook w:val="04A0" w:firstRow="1" w:lastRow="0" w:firstColumn="1" w:lastColumn="0" w:noHBand="0" w:noVBand="1"/>
      </w:tblPr>
      <w:tblGrid>
        <w:gridCol w:w="2159"/>
        <w:gridCol w:w="1555"/>
        <w:gridCol w:w="1768"/>
        <w:gridCol w:w="1764"/>
        <w:gridCol w:w="2104"/>
      </w:tblGrid>
      <w:tr w:rsidR="00C4574D" w:rsidRPr="00C86111" w14:paraId="5DEC4F11"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89F90F" w14:textId="77777777" w:rsidR="00C4574D" w:rsidRPr="00C86111" w:rsidRDefault="00C4574D" w:rsidP="00033AB8">
            <w:pPr>
              <w:rPr>
                <w:color w:val="auto"/>
              </w:rPr>
            </w:pPr>
            <w:r w:rsidRPr="00C86111">
              <w:rPr>
                <w:color w:val="auto"/>
              </w:rPr>
              <w:t>Indikator uspjeha</w:t>
            </w:r>
          </w:p>
        </w:tc>
        <w:tc>
          <w:tcPr>
            <w:tcW w:w="0" w:type="auto"/>
            <w:hideMark/>
          </w:tcPr>
          <w:p w14:paraId="44248898"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Polazna vrijednost 2025</w:t>
            </w:r>
          </w:p>
        </w:tc>
        <w:tc>
          <w:tcPr>
            <w:tcW w:w="0" w:type="auto"/>
            <w:hideMark/>
          </w:tcPr>
          <w:p w14:paraId="48990862"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Ciljna vrijednost 2027</w:t>
            </w:r>
          </w:p>
        </w:tc>
        <w:tc>
          <w:tcPr>
            <w:tcW w:w="0" w:type="auto"/>
            <w:hideMark/>
          </w:tcPr>
          <w:p w14:paraId="31E37749"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Aktivnosti</w:t>
            </w:r>
          </w:p>
        </w:tc>
        <w:tc>
          <w:tcPr>
            <w:tcW w:w="0" w:type="auto"/>
            <w:hideMark/>
          </w:tcPr>
          <w:p w14:paraId="7E6403A2"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Praćenje / Izvještavanje</w:t>
            </w:r>
          </w:p>
        </w:tc>
      </w:tr>
      <w:tr w:rsidR="00C4574D" w:rsidRPr="00C86111" w14:paraId="09C9BBA2"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A22AB3" w14:textId="77777777" w:rsidR="00C4574D" w:rsidRPr="00C86111" w:rsidRDefault="00C4574D" w:rsidP="00033AB8">
            <w:pPr>
              <w:rPr>
                <w:color w:val="auto"/>
              </w:rPr>
            </w:pPr>
            <w:r w:rsidRPr="00C86111">
              <w:rPr>
                <w:color w:val="auto"/>
              </w:rPr>
              <w:t>Broj usvojenih regulatornih dokumenata</w:t>
            </w:r>
          </w:p>
        </w:tc>
        <w:tc>
          <w:tcPr>
            <w:tcW w:w="0" w:type="auto"/>
            <w:hideMark/>
          </w:tcPr>
          <w:p w14:paraId="614CE19A"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0</w:t>
            </w:r>
          </w:p>
        </w:tc>
        <w:tc>
          <w:tcPr>
            <w:tcW w:w="0" w:type="auto"/>
            <w:hideMark/>
          </w:tcPr>
          <w:p w14:paraId="5D77C33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Funkcionalni dokumenti</w:t>
            </w:r>
          </w:p>
        </w:tc>
        <w:tc>
          <w:tcPr>
            <w:tcW w:w="0" w:type="auto"/>
            <w:hideMark/>
          </w:tcPr>
          <w:p w14:paraId="5688C888"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Izrada pravilnika sa HS kodovima</w:t>
            </w:r>
          </w:p>
        </w:tc>
        <w:tc>
          <w:tcPr>
            <w:tcW w:w="0" w:type="auto"/>
            <w:hideMark/>
          </w:tcPr>
          <w:p w14:paraId="5881E20C"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MERS, carina, Stokholmska konvencija</w:t>
            </w:r>
          </w:p>
        </w:tc>
      </w:tr>
      <w:tr w:rsidR="00C4574D" w:rsidRPr="00C86111" w14:paraId="373D73CE"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1B2FDE17" w14:textId="77777777" w:rsidR="00C4574D" w:rsidRPr="00C86111" w:rsidRDefault="00C4574D" w:rsidP="00033AB8">
            <w:pPr>
              <w:rPr>
                <w:color w:val="auto"/>
              </w:rPr>
            </w:pPr>
            <w:r w:rsidRPr="00C86111">
              <w:rPr>
                <w:color w:val="auto"/>
              </w:rPr>
              <w:t>Broj obučenih službenika</w:t>
            </w:r>
          </w:p>
        </w:tc>
        <w:tc>
          <w:tcPr>
            <w:tcW w:w="0" w:type="auto"/>
            <w:hideMark/>
          </w:tcPr>
          <w:p w14:paraId="1667E097"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0</w:t>
            </w:r>
          </w:p>
        </w:tc>
        <w:tc>
          <w:tcPr>
            <w:tcW w:w="0" w:type="auto"/>
            <w:hideMark/>
          </w:tcPr>
          <w:p w14:paraId="2A1FB83B"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Kontinuirani sistem obuke</w:t>
            </w:r>
          </w:p>
        </w:tc>
        <w:tc>
          <w:tcPr>
            <w:tcW w:w="0" w:type="auto"/>
            <w:hideMark/>
          </w:tcPr>
          <w:p w14:paraId="1DEB6BD4"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Obuke carinskih službenika</w:t>
            </w:r>
          </w:p>
        </w:tc>
        <w:tc>
          <w:tcPr>
            <w:tcW w:w="0" w:type="auto"/>
            <w:hideMark/>
          </w:tcPr>
          <w:p w14:paraId="6B9466ED"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Izvještaji obuka</w:t>
            </w:r>
          </w:p>
        </w:tc>
      </w:tr>
    </w:tbl>
    <w:p w14:paraId="4B907A48" w14:textId="77777777" w:rsidR="00C4574D" w:rsidRPr="00C86111" w:rsidRDefault="00C4574D" w:rsidP="00C4574D">
      <w:pPr>
        <w:rPr>
          <w:color w:val="auto"/>
        </w:rPr>
      </w:pPr>
      <w:r w:rsidRPr="00C86111">
        <w:rPr>
          <w:b/>
          <w:bCs/>
          <w:color w:val="002060"/>
        </w:rPr>
        <w:t>Operativni cilj 2:</w:t>
      </w:r>
      <w:r w:rsidRPr="00C86111">
        <w:rPr>
          <w:color w:val="002060"/>
        </w:rPr>
        <w:t xml:space="preserve"> </w:t>
      </w:r>
      <w:r w:rsidRPr="00C86111">
        <w:rPr>
          <w:color w:val="auto"/>
        </w:rPr>
        <w:t>Postepeno ukidanje PFAS pjena i bezbjedno upravljanje otpadom.</w:t>
      </w:r>
    </w:p>
    <w:tbl>
      <w:tblPr>
        <w:tblStyle w:val="GridTable4-Accent2"/>
        <w:tblW w:w="0" w:type="auto"/>
        <w:tblLook w:val="04A0" w:firstRow="1" w:lastRow="0" w:firstColumn="1" w:lastColumn="0" w:noHBand="0" w:noVBand="1"/>
      </w:tblPr>
      <w:tblGrid>
        <w:gridCol w:w="2323"/>
        <w:gridCol w:w="1439"/>
        <w:gridCol w:w="1403"/>
        <w:gridCol w:w="2072"/>
        <w:gridCol w:w="2113"/>
      </w:tblGrid>
      <w:tr w:rsidR="00C4574D" w:rsidRPr="00C86111" w14:paraId="5E12B82E"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AFEAD6" w14:textId="77777777" w:rsidR="00C4574D" w:rsidRPr="00C86111" w:rsidRDefault="00C4574D" w:rsidP="00033AB8">
            <w:pPr>
              <w:rPr>
                <w:color w:val="auto"/>
              </w:rPr>
            </w:pPr>
            <w:r w:rsidRPr="00C86111">
              <w:rPr>
                <w:color w:val="auto"/>
              </w:rPr>
              <w:t>Indikator uspjeha</w:t>
            </w:r>
          </w:p>
        </w:tc>
        <w:tc>
          <w:tcPr>
            <w:tcW w:w="0" w:type="auto"/>
            <w:hideMark/>
          </w:tcPr>
          <w:p w14:paraId="77D0BC93"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Polazna vrijednost 2025</w:t>
            </w:r>
          </w:p>
        </w:tc>
        <w:tc>
          <w:tcPr>
            <w:tcW w:w="0" w:type="auto"/>
            <w:hideMark/>
          </w:tcPr>
          <w:p w14:paraId="1DDF5362"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Ciljna vrijednost 2027</w:t>
            </w:r>
          </w:p>
        </w:tc>
        <w:tc>
          <w:tcPr>
            <w:tcW w:w="0" w:type="auto"/>
            <w:hideMark/>
          </w:tcPr>
          <w:p w14:paraId="1B8E9EE9"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Aktivnosti</w:t>
            </w:r>
          </w:p>
        </w:tc>
        <w:tc>
          <w:tcPr>
            <w:tcW w:w="0" w:type="auto"/>
            <w:hideMark/>
          </w:tcPr>
          <w:p w14:paraId="49730EFC"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Praćenje / Izvještavanje</w:t>
            </w:r>
          </w:p>
        </w:tc>
      </w:tr>
      <w:tr w:rsidR="00C4574D" w:rsidRPr="00C86111" w14:paraId="690606CD"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30A65D" w14:textId="77777777" w:rsidR="00C4574D" w:rsidRPr="00C86111" w:rsidRDefault="00C4574D" w:rsidP="00033AB8">
            <w:pPr>
              <w:rPr>
                <w:color w:val="auto"/>
              </w:rPr>
            </w:pPr>
            <w:r w:rsidRPr="00C86111">
              <w:rPr>
                <w:color w:val="auto"/>
              </w:rPr>
              <w:t>Količina povučenih PFAS pjena</w:t>
            </w:r>
          </w:p>
        </w:tc>
        <w:tc>
          <w:tcPr>
            <w:tcW w:w="0" w:type="auto"/>
            <w:hideMark/>
          </w:tcPr>
          <w:p w14:paraId="586AF59B"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Nije utvrđeno</w:t>
            </w:r>
          </w:p>
        </w:tc>
        <w:tc>
          <w:tcPr>
            <w:tcW w:w="0" w:type="auto"/>
            <w:hideMark/>
          </w:tcPr>
          <w:p w14:paraId="1A5D2183"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100% povučeno</w:t>
            </w:r>
          </w:p>
        </w:tc>
        <w:tc>
          <w:tcPr>
            <w:tcW w:w="0" w:type="auto"/>
            <w:hideMark/>
          </w:tcPr>
          <w:p w14:paraId="01DB6F24"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Povlačenje i zbrinjavanje pjena</w:t>
            </w:r>
          </w:p>
        </w:tc>
        <w:tc>
          <w:tcPr>
            <w:tcW w:w="0" w:type="auto"/>
            <w:hideMark/>
          </w:tcPr>
          <w:p w14:paraId="5A4375AB"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Izvještaji vatrogasnih službi, Stokholmska konvencija</w:t>
            </w:r>
          </w:p>
        </w:tc>
      </w:tr>
      <w:tr w:rsidR="00C4574D" w:rsidRPr="00C86111" w14:paraId="7C8F3EF2"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273FC39C" w14:textId="77777777" w:rsidR="00C4574D" w:rsidRPr="00C86111" w:rsidRDefault="00C4574D" w:rsidP="00033AB8">
            <w:pPr>
              <w:rPr>
                <w:color w:val="auto"/>
              </w:rPr>
            </w:pPr>
            <w:r w:rsidRPr="00C86111">
              <w:rPr>
                <w:color w:val="auto"/>
              </w:rPr>
              <w:t>Broj dekontaminiranih vozila i sistema</w:t>
            </w:r>
          </w:p>
        </w:tc>
        <w:tc>
          <w:tcPr>
            <w:tcW w:w="0" w:type="auto"/>
            <w:hideMark/>
          </w:tcPr>
          <w:p w14:paraId="5440090B"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0</w:t>
            </w:r>
          </w:p>
        </w:tc>
        <w:tc>
          <w:tcPr>
            <w:tcW w:w="0" w:type="auto"/>
            <w:hideMark/>
          </w:tcPr>
          <w:p w14:paraId="37A7CEE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Svi relevantni sistemi</w:t>
            </w:r>
          </w:p>
        </w:tc>
        <w:tc>
          <w:tcPr>
            <w:tcW w:w="0" w:type="auto"/>
            <w:hideMark/>
          </w:tcPr>
          <w:p w14:paraId="3BB84616"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Dekontaminacija</w:t>
            </w:r>
          </w:p>
        </w:tc>
        <w:tc>
          <w:tcPr>
            <w:tcW w:w="0" w:type="auto"/>
            <w:hideMark/>
          </w:tcPr>
          <w:p w14:paraId="2765843F"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Izvještaji MERS</w:t>
            </w:r>
          </w:p>
        </w:tc>
      </w:tr>
    </w:tbl>
    <w:p w14:paraId="1E6ED6DB" w14:textId="77777777" w:rsidR="00C4574D" w:rsidRPr="00C86111" w:rsidRDefault="00C4574D" w:rsidP="00C4574D">
      <w:pPr>
        <w:rPr>
          <w:b/>
          <w:bCs/>
          <w:color w:val="002060"/>
        </w:rPr>
      </w:pPr>
      <w:r w:rsidRPr="00C86111">
        <w:rPr>
          <w:b/>
          <w:bCs/>
          <w:color w:val="002060"/>
        </w:rPr>
        <w:t>3. SCCP i MCCP, POPs pesticidi, PCB, nenamjerno emitovane POPs</w:t>
      </w:r>
    </w:p>
    <w:p w14:paraId="1D355CAA" w14:textId="77777777" w:rsidR="00C4574D" w:rsidRPr="00C86111" w:rsidRDefault="00C4574D" w:rsidP="00C4574D">
      <w:pPr>
        <w:rPr>
          <w:color w:val="auto"/>
        </w:rPr>
      </w:pPr>
      <w:r w:rsidRPr="00C86111">
        <w:rPr>
          <w:b/>
          <w:bCs/>
          <w:color w:val="002060"/>
        </w:rPr>
        <w:t>Operativni cilj 1:</w:t>
      </w:r>
      <w:r w:rsidRPr="00C86111">
        <w:rPr>
          <w:color w:val="002060"/>
        </w:rPr>
        <w:t xml:space="preserve"> </w:t>
      </w:r>
      <w:r w:rsidRPr="00C86111">
        <w:rPr>
          <w:color w:val="auto"/>
        </w:rPr>
        <w:t>Regulatorne mjere, monitoring, obuke i sanacija.</w:t>
      </w:r>
    </w:p>
    <w:tbl>
      <w:tblPr>
        <w:tblStyle w:val="GridTable4-Accent2"/>
        <w:tblW w:w="0" w:type="auto"/>
        <w:tblLook w:val="04A0" w:firstRow="1" w:lastRow="0" w:firstColumn="1" w:lastColumn="0" w:noHBand="0" w:noVBand="1"/>
      </w:tblPr>
      <w:tblGrid>
        <w:gridCol w:w="2060"/>
        <w:gridCol w:w="1487"/>
        <w:gridCol w:w="1751"/>
        <w:gridCol w:w="1964"/>
        <w:gridCol w:w="2088"/>
      </w:tblGrid>
      <w:tr w:rsidR="00C4574D" w:rsidRPr="00C86111" w14:paraId="39E398F3"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3095B7" w14:textId="77777777" w:rsidR="00C4574D" w:rsidRPr="00C86111" w:rsidRDefault="00C4574D" w:rsidP="00033AB8">
            <w:pPr>
              <w:rPr>
                <w:color w:val="auto"/>
              </w:rPr>
            </w:pPr>
            <w:r w:rsidRPr="00C86111">
              <w:rPr>
                <w:color w:val="auto"/>
              </w:rPr>
              <w:t>Indikator uspjeha</w:t>
            </w:r>
          </w:p>
        </w:tc>
        <w:tc>
          <w:tcPr>
            <w:tcW w:w="0" w:type="auto"/>
            <w:hideMark/>
          </w:tcPr>
          <w:p w14:paraId="19EC4A8D"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Polazna vrijednost 2025</w:t>
            </w:r>
          </w:p>
        </w:tc>
        <w:tc>
          <w:tcPr>
            <w:tcW w:w="0" w:type="auto"/>
            <w:hideMark/>
          </w:tcPr>
          <w:p w14:paraId="18F4B820"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Ciljna vrijednost 2027</w:t>
            </w:r>
          </w:p>
        </w:tc>
        <w:tc>
          <w:tcPr>
            <w:tcW w:w="0" w:type="auto"/>
            <w:hideMark/>
          </w:tcPr>
          <w:p w14:paraId="7F48603D"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Aktivnosti</w:t>
            </w:r>
          </w:p>
        </w:tc>
        <w:tc>
          <w:tcPr>
            <w:tcW w:w="0" w:type="auto"/>
            <w:hideMark/>
          </w:tcPr>
          <w:p w14:paraId="16A10258"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color w:val="auto"/>
              </w:rPr>
            </w:pPr>
            <w:r w:rsidRPr="00C86111">
              <w:rPr>
                <w:color w:val="auto"/>
              </w:rPr>
              <w:t>Praćenje / Izvještavanje</w:t>
            </w:r>
          </w:p>
        </w:tc>
      </w:tr>
      <w:tr w:rsidR="00C4574D" w:rsidRPr="00C86111" w14:paraId="11A34F51"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6F77D8" w14:textId="77777777" w:rsidR="00C4574D" w:rsidRPr="00C86111" w:rsidRDefault="00C4574D" w:rsidP="00033AB8">
            <w:pPr>
              <w:rPr>
                <w:color w:val="auto"/>
              </w:rPr>
            </w:pPr>
            <w:r w:rsidRPr="00C86111">
              <w:rPr>
                <w:color w:val="auto"/>
              </w:rPr>
              <w:t>Broj regulatornih instrumenata i vodiča</w:t>
            </w:r>
          </w:p>
        </w:tc>
        <w:tc>
          <w:tcPr>
            <w:tcW w:w="0" w:type="auto"/>
            <w:hideMark/>
          </w:tcPr>
          <w:p w14:paraId="2E5583F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0</w:t>
            </w:r>
          </w:p>
        </w:tc>
        <w:tc>
          <w:tcPr>
            <w:tcW w:w="0" w:type="auto"/>
            <w:hideMark/>
          </w:tcPr>
          <w:p w14:paraId="21B392B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Funkcionalan sistem</w:t>
            </w:r>
          </w:p>
        </w:tc>
        <w:tc>
          <w:tcPr>
            <w:tcW w:w="0" w:type="auto"/>
            <w:hideMark/>
          </w:tcPr>
          <w:p w14:paraId="01111C8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Izrada propisa, vodiča, carinske obuke</w:t>
            </w:r>
          </w:p>
        </w:tc>
        <w:tc>
          <w:tcPr>
            <w:tcW w:w="0" w:type="auto"/>
            <w:hideMark/>
          </w:tcPr>
          <w:p w14:paraId="087F2B0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MERS, Stokholmska konvencija</w:t>
            </w:r>
          </w:p>
        </w:tc>
      </w:tr>
      <w:tr w:rsidR="00C4574D" w:rsidRPr="00C86111" w14:paraId="378BA17A"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4126A13E" w14:textId="77777777" w:rsidR="00C4574D" w:rsidRPr="00C86111" w:rsidRDefault="00C4574D" w:rsidP="00033AB8">
            <w:pPr>
              <w:rPr>
                <w:color w:val="auto"/>
              </w:rPr>
            </w:pPr>
            <w:r w:rsidRPr="00C86111">
              <w:rPr>
                <w:color w:val="auto"/>
              </w:rPr>
              <w:t>Broj obučenih službenika</w:t>
            </w:r>
          </w:p>
        </w:tc>
        <w:tc>
          <w:tcPr>
            <w:tcW w:w="0" w:type="auto"/>
            <w:hideMark/>
          </w:tcPr>
          <w:p w14:paraId="02049C4F"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0</w:t>
            </w:r>
          </w:p>
        </w:tc>
        <w:tc>
          <w:tcPr>
            <w:tcW w:w="0" w:type="auto"/>
            <w:hideMark/>
          </w:tcPr>
          <w:p w14:paraId="05ED3727"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Kontinuirani sistem obuke</w:t>
            </w:r>
          </w:p>
        </w:tc>
        <w:tc>
          <w:tcPr>
            <w:tcW w:w="0" w:type="auto"/>
            <w:hideMark/>
          </w:tcPr>
          <w:p w14:paraId="78698C56"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Obuke i trening</w:t>
            </w:r>
          </w:p>
        </w:tc>
        <w:tc>
          <w:tcPr>
            <w:tcW w:w="0" w:type="auto"/>
            <w:hideMark/>
          </w:tcPr>
          <w:p w14:paraId="0439C6C8"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Izvještaji institucija</w:t>
            </w:r>
          </w:p>
        </w:tc>
      </w:tr>
      <w:tr w:rsidR="00C4574D" w:rsidRPr="00C86111" w14:paraId="0DBD4124"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BE8F5B" w14:textId="77777777" w:rsidR="00C4574D" w:rsidRPr="00C86111" w:rsidRDefault="00C4574D" w:rsidP="00033AB8">
            <w:pPr>
              <w:rPr>
                <w:color w:val="auto"/>
              </w:rPr>
            </w:pPr>
            <w:r w:rsidRPr="00C86111">
              <w:rPr>
                <w:color w:val="auto"/>
              </w:rPr>
              <w:t>Broj monitoringa i sanacija</w:t>
            </w:r>
          </w:p>
        </w:tc>
        <w:tc>
          <w:tcPr>
            <w:tcW w:w="0" w:type="auto"/>
            <w:hideMark/>
          </w:tcPr>
          <w:p w14:paraId="638E34DA"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Delimično</w:t>
            </w:r>
          </w:p>
        </w:tc>
        <w:tc>
          <w:tcPr>
            <w:tcW w:w="0" w:type="auto"/>
            <w:hideMark/>
          </w:tcPr>
          <w:p w14:paraId="618E8223"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Svi prioritetni objekti</w:t>
            </w:r>
          </w:p>
        </w:tc>
        <w:tc>
          <w:tcPr>
            <w:tcW w:w="0" w:type="auto"/>
            <w:hideMark/>
          </w:tcPr>
          <w:p w14:paraId="33235B9F"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Monitoring, primjena BAT, sanacija lokacija</w:t>
            </w:r>
          </w:p>
        </w:tc>
        <w:tc>
          <w:tcPr>
            <w:tcW w:w="0" w:type="auto"/>
            <w:hideMark/>
          </w:tcPr>
          <w:p w14:paraId="6E7EB39B"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color w:val="auto"/>
              </w:rPr>
            </w:pPr>
            <w:r w:rsidRPr="00C86111">
              <w:rPr>
                <w:color w:val="auto"/>
              </w:rPr>
              <w:t>MERS, laboratorije, Stokholmska konvencija</w:t>
            </w:r>
          </w:p>
        </w:tc>
      </w:tr>
      <w:tr w:rsidR="00C4574D" w:rsidRPr="00C86111" w14:paraId="5EFCA314"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3078B10F" w14:textId="77777777" w:rsidR="00C4574D" w:rsidRPr="00C86111" w:rsidRDefault="00C4574D" w:rsidP="00033AB8">
            <w:pPr>
              <w:rPr>
                <w:color w:val="auto"/>
              </w:rPr>
            </w:pPr>
            <w:r w:rsidRPr="00C86111">
              <w:rPr>
                <w:color w:val="auto"/>
              </w:rPr>
              <w:t>Broj kampanja i edukacija</w:t>
            </w:r>
          </w:p>
        </w:tc>
        <w:tc>
          <w:tcPr>
            <w:tcW w:w="0" w:type="auto"/>
            <w:hideMark/>
          </w:tcPr>
          <w:p w14:paraId="212D6205"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0</w:t>
            </w:r>
          </w:p>
        </w:tc>
        <w:tc>
          <w:tcPr>
            <w:tcW w:w="0" w:type="auto"/>
            <w:hideMark/>
          </w:tcPr>
          <w:p w14:paraId="65161DED"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Kontinuirane</w:t>
            </w:r>
          </w:p>
        </w:tc>
        <w:tc>
          <w:tcPr>
            <w:tcW w:w="0" w:type="auto"/>
            <w:hideMark/>
          </w:tcPr>
          <w:p w14:paraId="1C86EB36"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Kampanje, edukativni programi</w:t>
            </w:r>
          </w:p>
        </w:tc>
        <w:tc>
          <w:tcPr>
            <w:tcW w:w="0" w:type="auto"/>
            <w:hideMark/>
          </w:tcPr>
          <w:p w14:paraId="7EFA2F7C"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color w:val="auto"/>
              </w:rPr>
            </w:pPr>
            <w:r w:rsidRPr="00C86111">
              <w:rPr>
                <w:color w:val="auto"/>
              </w:rPr>
              <w:t>AZŽS, MERS, Stokholmska konvencija</w:t>
            </w:r>
          </w:p>
        </w:tc>
      </w:tr>
    </w:tbl>
    <w:p w14:paraId="1D0919FF" w14:textId="77777777" w:rsidR="00C4574D" w:rsidRPr="00C86111" w:rsidRDefault="00C4574D" w:rsidP="00C4574D">
      <w:pPr>
        <w:rPr>
          <w:color w:val="auto"/>
        </w:rPr>
      </w:pPr>
    </w:p>
    <w:p w14:paraId="01371C6A" w14:textId="77777777" w:rsidR="00C4574D" w:rsidRPr="00C86111" w:rsidRDefault="00C4574D" w:rsidP="00C4574D">
      <w:pPr>
        <w:jc w:val="both"/>
        <w:rPr>
          <w:b/>
          <w:bCs/>
          <w:color w:val="002060"/>
        </w:rPr>
      </w:pPr>
      <w:r w:rsidRPr="00C86111">
        <w:rPr>
          <w:b/>
          <w:bCs/>
          <w:color w:val="002060"/>
        </w:rPr>
        <w:lastRenderedPageBreak/>
        <w:t>Praćenje sprovođenja, izvještavanje i evaluacija</w:t>
      </w:r>
    </w:p>
    <w:p w14:paraId="3A49BAA4" w14:textId="77777777" w:rsidR="00C4574D" w:rsidRPr="00C86111" w:rsidRDefault="00C4574D" w:rsidP="00C4574D">
      <w:pPr>
        <w:jc w:val="both"/>
        <w:rPr>
          <w:color w:val="auto"/>
        </w:rPr>
      </w:pPr>
      <w:r w:rsidRPr="00C86111">
        <w:rPr>
          <w:color w:val="auto"/>
        </w:rPr>
        <w:t>Praćenje sprovođenja NIP</w:t>
      </w:r>
      <w:r w:rsidRPr="00C86111">
        <w:rPr>
          <w:color w:val="auto"/>
        </w:rPr>
        <w:noBreakHyphen/>
        <w:t>a realizuje se kroz:</w:t>
      </w:r>
    </w:p>
    <w:p w14:paraId="3989FEE5" w14:textId="77777777" w:rsidR="00C4574D" w:rsidRPr="00C86111" w:rsidRDefault="00C4574D" w:rsidP="00004F34">
      <w:pPr>
        <w:pStyle w:val="ListParagraph"/>
        <w:numPr>
          <w:ilvl w:val="0"/>
          <w:numId w:val="237"/>
        </w:numPr>
        <w:jc w:val="both"/>
        <w:rPr>
          <w:color w:val="auto"/>
        </w:rPr>
      </w:pPr>
      <w:r w:rsidRPr="00C86111">
        <w:rPr>
          <w:color w:val="auto"/>
        </w:rPr>
        <w:t>redovno prikupljanje podataka o indikatorima učinka;</w:t>
      </w:r>
    </w:p>
    <w:p w14:paraId="7E0469E9" w14:textId="77777777" w:rsidR="00C4574D" w:rsidRPr="00C86111" w:rsidRDefault="00C4574D" w:rsidP="00004F34">
      <w:pPr>
        <w:pStyle w:val="ListParagraph"/>
        <w:numPr>
          <w:ilvl w:val="0"/>
          <w:numId w:val="237"/>
        </w:numPr>
        <w:jc w:val="both"/>
        <w:rPr>
          <w:color w:val="auto"/>
        </w:rPr>
      </w:pPr>
      <w:r w:rsidRPr="00C86111">
        <w:rPr>
          <w:color w:val="auto"/>
        </w:rPr>
        <w:t>kvartalne i godi</w:t>
      </w:r>
      <w:r w:rsidRPr="00C86111">
        <w:rPr>
          <w:rFonts w:cs="Calibri"/>
          <w:color w:val="auto"/>
        </w:rPr>
        <w:t>š</w:t>
      </w:r>
      <w:r w:rsidRPr="00C86111">
        <w:rPr>
          <w:color w:val="auto"/>
        </w:rPr>
        <w:t>nje izvje</w:t>
      </w:r>
      <w:r w:rsidRPr="00C86111">
        <w:rPr>
          <w:rFonts w:cs="Calibri"/>
          <w:color w:val="auto"/>
        </w:rPr>
        <w:t>š</w:t>
      </w:r>
      <w:r w:rsidRPr="00C86111">
        <w:rPr>
          <w:color w:val="auto"/>
        </w:rPr>
        <w:t>taje nadle</w:t>
      </w:r>
      <w:r w:rsidRPr="00C86111">
        <w:rPr>
          <w:rFonts w:cs="Calibri"/>
          <w:color w:val="auto"/>
        </w:rPr>
        <w:t>ž</w:t>
      </w:r>
      <w:r w:rsidRPr="00C86111">
        <w:rPr>
          <w:color w:val="auto"/>
        </w:rPr>
        <w:t>nih institucija;</w:t>
      </w:r>
    </w:p>
    <w:p w14:paraId="0A5FFDDE" w14:textId="77777777" w:rsidR="00C4574D" w:rsidRPr="00C86111" w:rsidRDefault="00C4574D" w:rsidP="00004F34">
      <w:pPr>
        <w:pStyle w:val="ListParagraph"/>
        <w:numPr>
          <w:ilvl w:val="0"/>
          <w:numId w:val="237"/>
        </w:numPr>
        <w:jc w:val="both"/>
        <w:rPr>
          <w:color w:val="auto"/>
        </w:rPr>
      </w:pPr>
      <w:r w:rsidRPr="00C86111">
        <w:rPr>
          <w:color w:val="auto"/>
        </w:rPr>
        <w:t>evaluaciju rezultata u odnosu na polazne, prelazne i ciljne vrijednosti;</w:t>
      </w:r>
    </w:p>
    <w:p w14:paraId="1F9AE89F" w14:textId="77777777" w:rsidR="00C4574D" w:rsidRPr="00C86111" w:rsidRDefault="00C4574D" w:rsidP="00004F34">
      <w:pPr>
        <w:pStyle w:val="ListParagraph"/>
        <w:numPr>
          <w:ilvl w:val="0"/>
          <w:numId w:val="237"/>
        </w:numPr>
        <w:jc w:val="both"/>
        <w:rPr>
          <w:color w:val="auto"/>
        </w:rPr>
      </w:pPr>
      <w:r w:rsidRPr="00C86111">
        <w:rPr>
          <w:color w:val="auto"/>
        </w:rPr>
        <w:t>periodi</w:t>
      </w:r>
      <w:r w:rsidRPr="00C86111">
        <w:rPr>
          <w:rFonts w:cs="Calibri"/>
          <w:color w:val="auto"/>
        </w:rPr>
        <w:t>č</w:t>
      </w:r>
      <w:r w:rsidRPr="00C86111">
        <w:rPr>
          <w:color w:val="auto"/>
        </w:rPr>
        <w:t>ne revizije i prilago</w:t>
      </w:r>
      <w:r w:rsidRPr="00C86111">
        <w:rPr>
          <w:rFonts w:cs="Calibri"/>
          <w:color w:val="auto"/>
        </w:rPr>
        <w:t>đ</w:t>
      </w:r>
      <w:r w:rsidRPr="00C86111">
        <w:rPr>
          <w:color w:val="auto"/>
        </w:rPr>
        <w:t>avanje aktivnosti u skladu sa potrebama i novim saznanjima.</w:t>
      </w:r>
    </w:p>
    <w:p w14:paraId="14DACD5E" w14:textId="77777777" w:rsidR="00C4574D" w:rsidRPr="00C86111" w:rsidRDefault="00C4574D" w:rsidP="00C4574D">
      <w:pPr>
        <w:jc w:val="both"/>
        <w:rPr>
          <w:color w:val="auto"/>
        </w:rPr>
      </w:pPr>
      <w:r w:rsidRPr="00C86111">
        <w:rPr>
          <w:color w:val="auto"/>
        </w:rPr>
        <w:t>Izvještavanje o napretku realizacije dostavlja se Vladi Crne Gore i Sekretarijatu Stokholmske konvencije u skladu sa međunarodnim obavezama i dobrom međunarodnom praksom.</w:t>
      </w:r>
    </w:p>
    <w:p w14:paraId="29054C11" w14:textId="77777777" w:rsidR="00C4574D" w:rsidRPr="00C86111" w:rsidRDefault="00C4574D" w:rsidP="00C4574D">
      <w:pPr>
        <w:jc w:val="both"/>
        <w:rPr>
          <w:color w:val="auto"/>
        </w:rPr>
      </w:pPr>
      <w:r w:rsidRPr="00C86111">
        <w:rPr>
          <w:color w:val="auto"/>
        </w:rPr>
        <w:t>Sve institucije nadležne za implementaciju POPs supstanci su obavezne redovno izvještavati Stokholmskoj konvenciji o postignutim rezultatima, aktivnostima, monitoringu i primjeni BAT/BEP mjera, u skladu sa čl. 15 i 16 Konvencije.</w:t>
      </w:r>
    </w:p>
    <w:p w14:paraId="2BD31D23" w14:textId="77777777" w:rsidR="00C4574D" w:rsidRDefault="00C4574D" w:rsidP="00B908DB">
      <w:pPr>
        <w:jc w:val="center"/>
      </w:pPr>
    </w:p>
    <w:p w14:paraId="7BB6C1D4" w14:textId="77777777" w:rsidR="006830BB" w:rsidRDefault="006830BB" w:rsidP="00B908DB">
      <w:pPr>
        <w:jc w:val="center"/>
      </w:pPr>
    </w:p>
    <w:p w14:paraId="2A7513FE" w14:textId="77777777" w:rsidR="006830BB" w:rsidRDefault="006830BB" w:rsidP="00B908DB">
      <w:pPr>
        <w:jc w:val="center"/>
      </w:pPr>
    </w:p>
    <w:p w14:paraId="781D724E" w14:textId="77777777" w:rsidR="006830BB" w:rsidRDefault="006830BB" w:rsidP="00B908DB">
      <w:pPr>
        <w:jc w:val="center"/>
      </w:pPr>
    </w:p>
    <w:p w14:paraId="37F7CC81" w14:textId="77777777" w:rsidR="006830BB" w:rsidRDefault="006830BB" w:rsidP="00B908DB">
      <w:pPr>
        <w:jc w:val="center"/>
      </w:pPr>
    </w:p>
    <w:p w14:paraId="5173689C" w14:textId="77777777" w:rsidR="006830BB" w:rsidRDefault="006830BB" w:rsidP="00B908DB">
      <w:pPr>
        <w:jc w:val="center"/>
      </w:pPr>
    </w:p>
    <w:p w14:paraId="168995EE" w14:textId="77777777" w:rsidR="006830BB" w:rsidRDefault="006830BB" w:rsidP="00B908DB">
      <w:pPr>
        <w:jc w:val="center"/>
      </w:pPr>
    </w:p>
    <w:p w14:paraId="1AA8A293" w14:textId="77777777" w:rsidR="006830BB" w:rsidRDefault="006830BB" w:rsidP="00B908DB">
      <w:pPr>
        <w:jc w:val="center"/>
      </w:pPr>
    </w:p>
    <w:p w14:paraId="6EE9F98C" w14:textId="77777777" w:rsidR="006830BB" w:rsidRDefault="006830BB" w:rsidP="00B908DB">
      <w:pPr>
        <w:jc w:val="center"/>
      </w:pPr>
    </w:p>
    <w:p w14:paraId="1AB18D75" w14:textId="77777777" w:rsidR="006830BB" w:rsidRDefault="006830BB" w:rsidP="00B908DB">
      <w:pPr>
        <w:jc w:val="center"/>
      </w:pPr>
    </w:p>
    <w:p w14:paraId="3081A692" w14:textId="77777777" w:rsidR="006830BB" w:rsidRDefault="006830BB" w:rsidP="00B908DB">
      <w:pPr>
        <w:jc w:val="center"/>
      </w:pPr>
    </w:p>
    <w:p w14:paraId="44825FC4" w14:textId="77777777" w:rsidR="006830BB" w:rsidRDefault="006830BB" w:rsidP="00B908DB">
      <w:pPr>
        <w:jc w:val="center"/>
      </w:pPr>
    </w:p>
    <w:p w14:paraId="28DC495C" w14:textId="77777777" w:rsidR="006830BB" w:rsidRDefault="006830BB" w:rsidP="00B908DB">
      <w:pPr>
        <w:jc w:val="center"/>
      </w:pPr>
    </w:p>
    <w:p w14:paraId="142CB6E5" w14:textId="77777777" w:rsidR="006830BB" w:rsidRDefault="006830BB" w:rsidP="00B908DB">
      <w:pPr>
        <w:jc w:val="center"/>
      </w:pPr>
    </w:p>
    <w:p w14:paraId="1D289F4F" w14:textId="77777777" w:rsidR="006830BB" w:rsidRDefault="006830BB" w:rsidP="00B908DB">
      <w:pPr>
        <w:jc w:val="center"/>
      </w:pPr>
    </w:p>
    <w:p w14:paraId="1AF546B2" w14:textId="77777777" w:rsidR="006830BB" w:rsidRDefault="006830BB" w:rsidP="00B908DB">
      <w:pPr>
        <w:jc w:val="center"/>
      </w:pPr>
    </w:p>
    <w:p w14:paraId="4A328921" w14:textId="77777777" w:rsidR="006830BB" w:rsidRDefault="006830BB" w:rsidP="00B908DB">
      <w:pPr>
        <w:jc w:val="center"/>
      </w:pPr>
    </w:p>
    <w:p w14:paraId="5C7B27FB" w14:textId="77777777" w:rsidR="006830BB" w:rsidRDefault="006830BB" w:rsidP="00B908DB">
      <w:pPr>
        <w:jc w:val="center"/>
      </w:pPr>
    </w:p>
    <w:p w14:paraId="1BE58DB7" w14:textId="77777777" w:rsidR="006830BB" w:rsidRDefault="006830BB" w:rsidP="00B908DB">
      <w:pPr>
        <w:jc w:val="center"/>
      </w:pPr>
    </w:p>
    <w:p w14:paraId="03E3DBF4" w14:textId="77777777" w:rsidR="006830BB" w:rsidRDefault="006830BB" w:rsidP="00B908DB">
      <w:pPr>
        <w:jc w:val="center"/>
      </w:pPr>
    </w:p>
    <w:p w14:paraId="74A859F8" w14:textId="77777777" w:rsidR="006830BB" w:rsidRDefault="006830BB" w:rsidP="00B908DB">
      <w:pPr>
        <w:jc w:val="center"/>
      </w:pPr>
    </w:p>
    <w:p w14:paraId="34EC7553" w14:textId="77777777" w:rsidR="006830BB" w:rsidRDefault="006830BB" w:rsidP="00B908DB">
      <w:pPr>
        <w:jc w:val="center"/>
      </w:pPr>
    </w:p>
    <w:p w14:paraId="209A346E" w14:textId="77777777" w:rsidR="006830BB" w:rsidRDefault="006830BB" w:rsidP="00B908DB">
      <w:pPr>
        <w:jc w:val="center"/>
      </w:pPr>
    </w:p>
    <w:p w14:paraId="07BDFAA3" w14:textId="77777777" w:rsidR="006830BB" w:rsidRDefault="006830BB" w:rsidP="00B908DB">
      <w:pPr>
        <w:jc w:val="center"/>
      </w:pPr>
    </w:p>
    <w:p w14:paraId="586F6755" w14:textId="77777777" w:rsidR="006830BB" w:rsidRDefault="006830BB" w:rsidP="00B908DB">
      <w:pPr>
        <w:jc w:val="center"/>
      </w:pPr>
    </w:p>
    <w:p w14:paraId="466BCAD4" w14:textId="77777777" w:rsidR="006830BB" w:rsidRDefault="006830BB" w:rsidP="00B908DB">
      <w:pPr>
        <w:jc w:val="center"/>
      </w:pPr>
    </w:p>
    <w:p w14:paraId="2D027599" w14:textId="77777777" w:rsidR="006830BB" w:rsidRDefault="006830BB" w:rsidP="00B908DB">
      <w:pPr>
        <w:jc w:val="center"/>
      </w:pPr>
    </w:p>
    <w:p w14:paraId="3499DB16" w14:textId="77777777" w:rsidR="006830BB" w:rsidRDefault="006830BB" w:rsidP="00B908DB">
      <w:pPr>
        <w:jc w:val="center"/>
      </w:pPr>
    </w:p>
    <w:p w14:paraId="1C1B770A" w14:textId="77777777" w:rsidR="006830BB" w:rsidRDefault="006830BB" w:rsidP="00B908DB">
      <w:pPr>
        <w:jc w:val="center"/>
      </w:pPr>
    </w:p>
    <w:p w14:paraId="2DA6E94B" w14:textId="77777777" w:rsidR="006830BB" w:rsidRDefault="006830BB" w:rsidP="00B908DB">
      <w:pPr>
        <w:jc w:val="center"/>
      </w:pPr>
    </w:p>
    <w:p w14:paraId="6AEB5C19" w14:textId="77777777" w:rsidR="006830BB" w:rsidRDefault="006830BB" w:rsidP="00B908DB">
      <w:pPr>
        <w:jc w:val="center"/>
      </w:pPr>
    </w:p>
    <w:p w14:paraId="4591E907" w14:textId="77777777" w:rsidR="006830BB" w:rsidRDefault="006830BB" w:rsidP="00B908DB">
      <w:pPr>
        <w:jc w:val="center"/>
      </w:pPr>
    </w:p>
    <w:p w14:paraId="2CAAB9C1" w14:textId="77777777" w:rsidR="006830BB" w:rsidRDefault="006830BB" w:rsidP="00B908DB">
      <w:pPr>
        <w:jc w:val="center"/>
      </w:pPr>
    </w:p>
    <w:p w14:paraId="4B59CC92" w14:textId="77777777" w:rsidR="006830BB" w:rsidRDefault="006830BB" w:rsidP="00B908DB">
      <w:pPr>
        <w:jc w:val="center"/>
      </w:pPr>
    </w:p>
    <w:p w14:paraId="45E47A2A" w14:textId="77777777" w:rsidR="006830BB" w:rsidRDefault="006830BB" w:rsidP="00B908DB">
      <w:pPr>
        <w:jc w:val="center"/>
      </w:pPr>
    </w:p>
    <w:p w14:paraId="5A77C898" w14:textId="77777777" w:rsidR="006830BB" w:rsidRDefault="006830BB" w:rsidP="00B908DB">
      <w:pPr>
        <w:jc w:val="center"/>
      </w:pPr>
    </w:p>
    <w:p w14:paraId="6F4739DE" w14:textId="77777777" w:rsidR="006830BB" w:rsidRDefault="006830BB" w:rsidP="00B908DB">
      <w:pPr>
        <w:jc w:val="center"/>
      </w:pPr>
    </w:p>
    <w:p w14:paraId="54AD4B03" w14:textId="221CBF5D" w:rsidR="006830BB" w:rsidRPr="00C86111" w:rsidRDefault="006830BB" w:rsidP="006830BB">
      <w:pPr>
        <w:pStyle w:val="Title"/>
      </w:pPr>
      <w:r>
        <w:t>REZIME</w:t>
      </w:r>
    </w:p>
    <w:p w14:paraId="4FA074BE" w14:textId="77777777" w:rsidR="00C4574D" w:rsidRPr="00C86111" w:rsidRDefault="00C4574D" w:rsidP="006830BB">
      <w:pPr>
        <w:pStyle w:val="Title"/>
      </w:pPr>
    </w:p>
    <w:p w14:paraId="20947E20" w14:textId="77777777" w:rsidR="00C4574D" w:rsidRPr="00C86111" w:rsidRDefault="00C4574D" w:rsidP="00B908DB">
      <w:pPr>
        <w:jc w:val="center"/>
      </w:pPr>
    </w:p>
    <w:p w14:paraId="43470C92" w14:textId="77777777" w:rsidR="00C4574D" w:rsidRPr="00C86111" w:rsidRDefault="00C4574D" w:rsidP="00B908DB">
      <w:pPr>
        <w:jc w:val="center"/>
      </w:pPr>
    </w:p>
    <w:p w14:paraId="59AD802B" w14:textId="77777777" w:rsidR="00C4574D" w:rsidRPr="00C86111" w:rsidRDefault="00C4574D" w:rsidP="00B908DB">
      <w:pPr>
        <w:jc w:val="center"/>
      </w:pPr>
    </w:p>
    <w:p w14:paraId="4ED40159" w14:textId="77777777" w:rsidR="00C4574D" w:rsidRPr="00C86111" w:rsidRDefault="00C4574D" w:rsidP="00B908DB">
      <w:pPr>
        <w:jc w:val="center"/>
      </w:pPr>
    </w:p>
    <w:p w14:paraId="01BD0212" w14:textId="77777777" w:rsidR="00C4574D" w:rsidRPr="00C86111" w:rsidRDefault="00C4574D" w:rsidP="00B908DB">
      <w:pPr>
        <w:jc w:val="center"/>
      </w:pPr>
    </w:p>
    <w:p w14:paraId="1E315090" w14:textId="77777777" w:rsidR="00C4574D" w:rsidRPr="00C86111" w:rsidRDefault="00C4574D" w:rsidP="00B908DB">
      <w:pPr>
        <w:jc w:val="center"/>
      </w:pPr>
    </w:p>
    <w:p w14:paraId="5A834B75" w14:textId="77777777" w:rsidR="00C4574D" w:rsidRPr="00C86111" w:rsidRDefault="00C4574D" w:rsidP="00B908DB">
      <w:pPr>
        <w:jc w:val="center"/>
      </w:pPr>
    </w:p>
    <w:p w14:paraId="6F12BCE2" w14:textId="77777777" w:rsidR="00C4574D" w:rsidRPr="00C86111" w:rsidRDefault="00C4574D" w:rsidP="00B908DB">
      <w:pPr>
        <w:jc w:val="center"/>
      </w:pPr>
    </w:p>
    <w:p w14:paraId="3E4FC730" w14:textId="77777777" w:rsidR="00C4574D" w:rsidRPr="00C86111" w:rsidRDefault="00C4574D" w:rsidP="00B908DB">
      <w:pPr>
        <w:jc w:val="center"/>
      </w:pPr>
    </w:p>
    <w:p w14:paraId="351CE426" w14:textId="77777777" w:rsidR="00C4574D" w:rsidRPr="00C86111" w:rsidRDefault="00C4574D" w:rsidP="00B908DB">
      <w:pPr>
        <w:jc w:val="center"/>
      </w:pPr>
    </w:p>
    <w:p w14:paraId="54A3F8D4" w14:textId="77777777" w:rsidR="00C4574D" w:rsidRPr="00C86111" w:rsidRDefault="00C4574D" w:rsidP="00B908DB">
      <w:pPr>
        <w:jc w:val="center"/>
      </w:pPr>
    </w:p>
    <w:p w14:paraId="276741CE" w14:textId="77777777" w:rsidR="00C4574D" w:rsidRPr="00C86111" w:rsidRDefault="00C4574D" w:rsidP="00B908DB">
      <w:pPr>
        <w:jc w:val="center"/>
      </w:pPr>
    </w:p>
    <w:p w14:paraId="20BE0727" w14:textId="77777777" w:rsidR="00C4574D" w:rsidRPr="00C86111" w:rsidRDefault="00C4574D" w:rsidP="00B908DB">
      <w:pPr>
        <w:jc w:val="center"/>
      </w:pPr>
    </w:p>
    <w:p w14:paraId="6CC29403" w14:textId="77777777" w:rsidR="00C4574D" w:rsidRPr="00C86111" w:rsidRDefault="00C4574D" w:rsidP="00B908DB">
      <w:pPr>
        <w:jc w:val="center"/>
      </w:pPr>
    </w:p>
    <w:p w14:paraId="665EE6AF" w14:textId="77777777" w:rsidR="00C4574D" w:rsidRPr="00C86111" w:rsidRDefault="00C4574D" w:rsidP="00B908DB">
      <w:pPr>
        <w:jc w:val="center"/>
      </w:pPr>
    </w:p>
    <w:p w14:paraId="51319D01" w14:textId="77777777" w:rsidR="00C4574D" w:rsidRPr="00C86111" w:rsidRDefault="00C4574D" w:rsidP="00B908DB">
      <w:pPr>
        <w:jc w:val="center"/>
      </w:pPr>
    </w:p>
    <w:p w14:paraId="61FE124D" w14:textId="77777777" w:rsidR="00C4574D" w:rsidRPr="00C86111" w:rsidRDefault="00C4574D" w:rsidP="00B908DB">
      <w:pPr>
        <w:jc w:val="center"/>
      </w:pPr>
    </w:p>
    <w:p w14:paraId="054C018C" w14:textId="77777777" w:rsidR="00C4574D" w:rsidRPr="00C86111" w:rsidRDefault="00C4574D" w:rsidP="00B908DB">
      <w:pPr>
        <w:jc w:val="center"/>
      </w:pPr>
    </w:p>
    <w:p w14:paraId="797440D8" w14:textId="77777777" w:rsidR="00C4574D" w:rsidRPr="00C86111" w:rsidRDefault="00C4574D" w:rsidP="00B908DB">
      <w:pPr>
        <w:jc w:val="center"/>
      </w:pPr>
    </w:p>
    <w:p w14:paraId="248F5015" w14:textId="77777777" w:rsidR="00C4574D" w:rsidRPr="00C86111" w:rsidRDefault="00C4574D" w:rsidP="00B908DB">
      <w:pPr>
        <w:jc w:val="center"/>
      </w:pPr>
    </w:p>
    <w:p w14:paraId="7C98C2BC" w14:textId="77777777" w:rsidR="00C4574D" w:rsidRPr="00C86111" w:rsidRDefault="00C4574D" w:rsidP="00B908DB">
      <w:pPr>
        <w:jc w:val="center"/>
      </w:pPr>
    </w:p>
    <w:p w14:paraId="6FF240CB" w14:textId="77777777" w:rsidR="00C4574D" w:rsidRPr="00C86111" w:rsidRDefault="00C4574D" w:rsidP="00B908DB">
      <w:pPr>
        <w:jc w:val="center"/>
      </w:pPr>
    </w:p>
    <w:p w14:paraId="6A4A7B3A" w14:textId="77777777" w:rsidR="00C4574D" w:rsidRPr="00C86111" w:rsidRDefault="00C4574D" w:rsidP="00B908DB">
      <w:pPr>
        <w:jc w:val="center"/>
      </w:pPr>
    </w:p>
    <w:p w14:paraId="5D6BF2EC" w14:textId="77777777" w:rsidR="00C4574D" w:rsidRPr="00C86111" w:rsidRDefault="00C4574D" w:rsidP="00B908DB">
      <w:pPr>
        <w:jc w:val="center"/>
      </w:pPr>
    </w:p>
    <w:p w14:paraId="418304CD" w14:textId="77777777" w:rsidR="00C4574D" w:rsidRPr="00C86111" w:rsidRDefault="00C4574D" w:rsidP="00B908DB">
      <w:pPr>
        <w:jc w:val="center"/>
      </w:pPr>
    </w:p>
    <w:p w14:paraId="17C418BA" w14:textId="77777777" w:rsidR="00C4574D" w:rsidRPr="00C86111" w:rsidRDefault="00C4574D" w:rsidP="00B908DB">
      <w:pPr>
        <w:jc w:val="center"/>
      </w:pPr>
    </w:p>
    <w:p w14:paraId="10FF2FC1" w14:textId="3A93338A" w:rsidR="006830BB" w:rsidRDefault="006830BB" w:rsidP="00912C4C">
      <w:pPr>
        <w:pStyle w:val="Heading1"/>
        <w:rPr>
          <w:rStyle w:val="Strong"/>
          <w:rFonts w:asciiTheme="minorHAnsi" w:hAnsiTheme="minorHAnsi" w:cstheme="minorHAnsi"/>
          <w:b/>
          <w:bCs w:val="0"/>
        </w:rPr>
      </w:pPr>
      <w:bookmarkStart w:id="501" w:name="_Toc220542029"/>
      <w:r>
        <w:rPr>
          <w:rStyle w:val="Strong"/>
          <w:rFonts w:asciiTheme="minorHAnsi" w:hAnsiTheme="minorHAnsi" w:cstheme="minorHAnsi"/>
          <w:b/>
        </w:rPr>
        <w:t>KRATKA INFORMACIJA O CILJEVIMA I OČEKIVANIM REZULTATIMA NIP-a</w:t>
      </w:r>
      <w:bookmarkEnd w:id="501"/>
    </w:p>
    <w:p w14:paraId="0B2C14C8" w14:textId="0B171EA4" w:rsidR="006830BB" w:rsidRPr="000842AC" w:rsidRDefault="006830BB" w:rsidP="006830BB">
      <w:pPr>
        <w:pStyle w:val="NormalWeb"/>
        <w:jc w:val="both"/>
        <w:rPr>
          <w:rStyle w:val="relative"/>
          <w:rFonts w:asciiTheme="minorHAnsi" w:hAnsiTheme="minorHAnsi" w:cstheme="minorHAnsi"/>
        </w:rPr>
      </w:pPr>
      <w:r w:rsidRPr="000842AC">
        <w:rPr>
          <w:rStyle w:val="Strong"/>
          <w:rFonts w:asciiTheme="minorHAnsi" w:hAnsiTheme="minorHAnsi" w:cstheme="minorHAnsi"/>
          <w:b w:val="0"/>
          <w:bCs w:val="0"/>
        </w:rPr>
        <w:t xml:space="preserve">Nacionalni plan za implementaciju Stokholmske konvencije za </w:t>
      </w:r>
      <w:r w:rsidRPr="00865AD1">
        <w:rPr>
          <w:rStyle w:val="Strong"/>
          <w:rFonts w:asciiTheme="minorHAnsi" w:hAnsiTheme="minorHAnsi" w:cstheme="minorHAnsi"/>
          <w:b w:val="0"/>
          <w:bCs w:val="0"/>
        </w:rPr>
        <w:t xml:space="preserve">period 2025–2027. </w:t>
      </w:r>
      <w:r w:rsidRPr="000842AC">
        <w:rPr>
          <w:rStyle w:val="Strong"/>
          <w:rFonts w:asciiTheme="minorHAnsi" w:hAnsiTheme="minorHAnsi" w:cstheme="minorHAnsi"/>
          <w:b w:val="0"/>
          <w:bCs w:val="0"/>
        </w:rPr>
        <w:t>godine (NIP)</w:t>
      </w:r>
      <w:r w:rsidRPr="000842AC">
        <w:rPr>
          <w:rFonts w:asciiTheme="minorHAnsi" w:hAnsiTheme="minorHAnsi" w:cstheme="minorHAnsi"/>
        </w:rPr>
        <w:t xml:space="preserve"> predstavlja temeljni strateško-operativni dokument kojim se definiše okvir za sprovođenje obaveza Crne Gore u oblasti upravljanja dugotrajnim organskim zagađujućim supstancama (POPs), u cilju zaštite zdravlja ljudi i životne sredine. POPs supstance, zbog svoje postojanosti, </w:t>
      </w:r>
      <w:r w:rsidRPr="000842AC">
        <w:rPr>
          <w:rFonts w:asciiTheme="minorHAnsi" w:hAnsiTheme="minorHAnsi" w:cstheme="minorHAnsi"/>
        </w:rPr>
        <w:lastRenderedPageBreak/>
        <w:t xml:space="preserve">toksičnosti, bioakumulacije i sposobnosti prekograničnog transporta, predstavljaju globalni ekološki i zdravstveni izazov, što zahtijeva koordinisano djelovanje na međunarodnom, evropskom i nacionalnom nivou. Stokholmska konvencija, kao ključni međunarodni instrument u ovoj oblasti, obavezuje države potpisnice na eliminaciju, ograničavanje i smanjenje emisija POPs supstanci tokom cijelog njihovog životnog ciklusa, kao i na izradu i periodično ažuriranje nacionalnih planova implementacije u skladu sa članom 7 Konvencije. NIP Crne Gore izrađen je uz tehničku i finansijsku podršku Globalnog fonda za životnu sredinu (GEF) i Programa Ujedinjenih nacija za životnu sredinu (UNEP), kroz globalni projekat ažuriranja NIP-ova, uz učešće nacionalnih institucija i stručne javnosti. </w:t>
      </w:r>
    </w:p>
    <w:p w14:paraId="3525E86A" w14:textId="77777777" w:rsidR="006830BB" w:rsidRPr="000842AC" w:rsidRDefault="006830BB" w:rsidP="006830BB">
      <w:pPr>
        <w:pStyle w:val="NormalWeb"/>
        <w:jc w:val="both"/>
        <w:rPr>
          <w:rStyle w:val="relative"/>
          <w:rFonts w:asciiTheme="minorHAnsi" w:hAnsiTheme="minorHAnsi" w:cstheme="minorHAnsi"/>
        </w:rPr>
      </w:pPr>
      <w:r w:rsidRPr="000842AC">
        <w:rPr>
          <w:rFonts w:asciiTheme="minorHAnsi" w:hAnsiTheme="minorHAnsi" w:cstheme="minorHAnsi"/>
        </w:rPr>
        <w:t xml:space="preserve">U kontekstu evropskih integracija, implementacija Konvencije usklađuje se sa pravnom tekovinom EU, posebno sa Uredbom (EU) 2019/1021 o POPs supstancama, REACH i CLP regulativom, propisima o otpadu, industrijskim emisijama i kontroli opasnih supstanci u proizvodima, u okviru obaveza iz Poglavlja 27 – Životna sredina i klimatske promjene. Time se NIP pozicionira kao važan instrument harmonizacije nacionalnog sistema upravljanja hemikalijama sa EU standardima i principima održivog razvoja. </w:t>
      </w:r>
    </w:p>
    <w:p w14:paraId="0A520759" w14:textId="77777777" w:rsidR="006830BB" w:rsidRPr="000842AC" w:rsidRDefault="006830BB" w:rsidP="006830BB">
      <w:pPr>
        <w:pStyle w:val="NormalWeb"/>
        <w:jc w:val="both"/>
        <w:rPr>
          <w:rStyle w:val="relative"/>
          <w:rFonts w:asciiTheme="minorHAnsi" w:hAnsiTheme="minorHAnsi" w:cstheme="minorHAnsi"/>
        </w:rPr>
      </w:pPr>
      <w:r w:rsidRPr="000842AC">
        <w:rPr>
          <w:rFonts w:asciiTheme="minorHAnsi" w:hAnsiTheme="minorHAnsi" w:cstheme="minorHAnsi"/>
        </w:rPr>
        <w:t>Na nacionalnom nivou, Plan se zasniva na sveobuhvatnoj analizi stanja i ažuriranim inventarima POPs supstanci, uključujući POPs pesticide, polihlorovane bifenile (PCB), nenamjerno proizvedene POPs (PCDD/PCDF, HCB, PCB</w:t>
      </w:r>
      <w:r>
        <w:rPr>
          <w:rFonts w:asciiTheme="minorHAnsi" w:hAnsiTheme="minorHAnsi" w:cstheme="minorHAnsi"/>
        </w:rPr>
        <w:t>…</w:t>
      </w:r>
      <w:r w:rsidRPr="000842AC">
        <w:rPr>
          <w:rFonts w:asciiTheme="minorHAnsi" w:hAnsiTheme="minorHAnsi" w:cstheme="minorHAnsi"/>
        </w:rPr>
        <w:t xml:space="preserve">), PBDE, HBB, HBCD, PFOS, PFOA, PFHxS, SCCP/MCCP i druge supstance dodate odlukama Konferencije strana. Dokument obuhvata procjenu emisija, identifikaciju proizvoda, otpada i potencijalno kontaminiranih tokova, analizu postojećeg zakonodavnog i institucionalnog okvira, tehničkih i finansijskih kapaciteta, kao i pregled sistema monitoringa, istraživačkih i obrazovnih aktivnosti. Posebna pažnja posvećena je procjeni kapaciteta institucija, međusektorskoj koordinaciji i potrebama za daljim jačanjem sistema kontrole i nadzora. </w:t>
      </w:r>
    </w:p>
    <w:p w14:paraId="07F096D6" w14:textId="77777777" w:rsidR="006830BB" w:rsidRPr="000842AC" w:rsidRDefault="006830BB" w:rsidP="006830BB">
      <w:pPr>
        <w:pStyle w:val="NormalWeb"/>
        <w:jc w:val="both"/>
        <w:rPr>
          <w:rFonts w:asciiTheme="minorHAnsi" w:hAnsiTheme="minorHAnsi" w:cstheme="minorHAnsi"/>
        </w:rPr>
      </w:pPr>
      <w:r w:rsidRPr="000842AC">
        <w:rPr>
          <w:rFonts w:asciiTheme="minorHAnsi" w:hAnsiTheme="minorHAnsi" w:cstheme="minorHAnsi"/>
        </w:rPr>
        <w:t>Opšti cilj NIP-a jeste unapređenje nacionalnog sistema upravljanja POPs supstancama kroz njihovu postupnu eliminaciju, smanjenje emisija i uspostavljanje ekološki prihvatljivog upravljanja zalihama, proizvodima i otpadom koji ih sadrži. Ovaj cilj se operacionalizuje kroz skup strateških i operativnih pravaca koji obuhvataju: dalje usklađivanje zakonodavstva sa međunarodnim i EU propisima; razvoj regulatornih i kontrolnih mehanizama za proizvode koji sadrže PBDE, HBB, HBCDD, PFAS, SCCP/MCCP i druge POPs; jačanje administrativnih i tehničkih kapaciteta nadležnih institucija, uključujući inspekcijske službe i laboratorije; unapređenje sistema inventarizacije, baza podataka i monitoringa u životnoj sredini, hrani i otpadu; bezbjedno upravljanje POPs otpadom i kontaminiranim lokacijama; te podizanje svijesti javnosti i edukaciju stručnjaka i ranjivih grupa.</w:t>
      </w:r>
    </w:p>
    <w:p w14:paraId="33D73761" w14:textId="77777777" w:rsidR="006830BB" w:rsidRPr="000842AC" w:rsidRDefault="006830BB" w:rsidP="006830BB">
      <w:pPr>
        <w:pStyle w:val="NormalWeb"/>
        <w:jc w:val="both"/>
        <w:rPr>
          <w:rStyle w:val="relative"/>
          <w:rFonts w:asciiTheme="minorHAnsi" w:hAnsiTheme="minorHAnsi" w:cstheme="minorHAnsi"/>
        </w:rPr>
      </w:pPr>
      <w:r w:rsidRPr="000842AC">
        <w:rPr>
          <w:rFonts w:asciiTheme="minorHAnsi" w:hAnsiTheme="minorHAnsi" w:cstheme="minorHAnsi"/>
        </w:rPr>
        <w:t xml:space="preserve">Sastavni dio NIP-a čine prateći akcioni planovi, kojima se strateški ciljevi prevode u konkretne mjere, rokove, nosioce aktivnosti i indikatore učinka. Akcioni plan za implementaciju NIP-a usmjeren je na uspostavljanje održivog i usklađenog sistema upravljanja POPs, kroz jačanje pravnog okvira, razvoj institucionalnih kapaciteta, međuresornu koordinaciju i međunarodnu saradnju, kao i programe edukacije i informisanja javnosti. Specifični akcioni planovi za proizvode koji sadrže PBDE/HBB/HBCDD, PFAS i SCCP/MCCP usmjereni su na identifikaciju i kontrolu uvoza </w:t>
      </w:r>
      <w:r w:rsidRPr="000842AC">
        <w:rPr>
          <w:rFonts w:asciiTheme="minorHAnsi" w:hAnsiTheme="minorHAnsi" w:cstheme="minorHAnsi"/>
        </w:rPr>
        <w:lastRenderedPageBreak/>
        <w:t xml:space="preserve">kroz HS kodove, obuku carinskih i inspekcijskih službi, postupno ukidanje određenih upotreba (npr. PFAS u protivpožarnim pjenama), bezbjedno upravljanje otpadom, monitoring kritičnih lokacija i biomonitoring izloženih grupa. </w:t>
      </w:r>
    </w:p>
    <w:p w14:paraId="62746173" w14:textId="77777777" w:rsidR="006830BB" w:rsidRPr="000842AC" w:rsidRDefault="006830BB" w:rsidP="006830BB">
      <w:pPr>
        <w:pStyle w:val="NormalWeb"/>
        <w:jc w:val="both"/>
        <w:rPr>
          <w:rFonts w:asciiTheme="minorHAnsi" w:hAnsiTheme="minorHAnsi" w:cstheme="minorHAnsi"/>
        </w:rPr>
      </w:pPr>
      <w:r w:rsidRPr="000842AC">
        <w:rPr>
          <w:rFonts w:asciiTheme="minorHAnsi" w:hAnsiTheme="minorHAnsi" w:cstheme="minorHAnsi"/>
        </w:rPr>
        <w:t>Implementacijom NIP-a i pratećih akcionih planova očekuje se smanjenje rizika od izloženosti stanovništva i ekosistema POPs supstancama, unapređenje sistema kontrole, izvještavanja i nadzora, jačanje institucionalne i međusektorske koordinacije, kao i dalje usklađivanje sa međunarodnim obavezama i EU zahtjevima. Time se doprinosi visokom nivou zaštite zdravlja ljudi i životne sredine, jačanju nacionalnih kapaciteta za upravljanje opasnim hemikalijama i ostvarivanju ciljeva održivog razvoja Crne Gore.</w:t>
      </w:r>
    </w:p>
    <w:p w14:paraId="19DAAC7B" w14:textId="77777777" w:rsidR="00C4574D" w:rsidRDefault="00C4574D" w:rsidP="00B908DB">
      <w:pPr>
        <w:jc w:val="center"/>
      </w:pPr>
    </w:p>
    <w:p w14:paraId="6FD7CCF8" w14:textId="77777777" w:rsidR="006830BB" w:rsidRDefault="006830BB" w:rsidP="00B908DB">
      <w:pPr>
        <w:jc w:val="center"/>
      </w:pPr>
    </w:p>
    <w:p w14:paraId="407C92B1" w14:textId="77777777" w:rsidR="006830BB" w:rsidRDefault="006830BB" w:rsidP="00B908DB">
      <w:pPr>
        <w:jc w:val="center"/>
      </w:pPr>
    </w:p>
    <w:p w14:paraId="5544BAC3" w14:textId="77777777" w:rsidR="006830BB" w:rsidRDefault="006830BB" w:rsidP="00B908DB">
      <w:pPr>
        <w:jc w:val="center"/>
      </w:pPr>
    </w:p>
    <w:p w14:paraId="2FC508FA" w14:textId="77777777" w:rsidR="006830BB" w:rsidRDefault="006830BB" w:rsidP="00B908DB">
      <w:pPr>
        <w:jc w:val="center"/>
      </w:pPr>
    </w:p>
    <w:p w14:paraId="639DEBF0" w14:textId="77777777" w:rsidR="006830BB" w:rsidRDefault="006830BB" w:rsidP="00B908DB">
      <w:pPr>
        <w:jc w:val="center"/>
      </w:pPr>
    </w:p>
    <w:p w14:paraId="5F435795" w14:textId="77777777" w:rsidR="006830BB" w:rsidRDefault="006830BB" w:rsidP="00B908DB">
      <w:pPr>
        <w:jc w:val="center"/>
      </w:pPr>
    </w:p>
    <w:p w14:paraId="1CD87739" w14:textId="77777777" w:rsidR="006830BB" w:rsidRDefault="006830BB" w:rsidP="00B908DB">
      <w:pPr>
        <w:jc w:val="center"/>
      </w:pPr>
    </w:p>
    <w:p w14:paraId="5B144C1C" w14:textId="77777777" w:rsidR="006830BB" w:rsidRDefault="006830BB" w:rsidP="00B908DB">
      <w:pPr>
        <w:jc w:val="center"/>
      </w:pPr>
    </w:p>
    <w:p w14:paraId="2F427C86" w14:textId="77777777" w:rsidR="006830BB" w:rsidRDefault="006830BB" w:rsidP="00B908DB">
      <w:pPr>
        <w:jc w:val="center"/>
      </w:pPr>
    </w:p>
    <w:p w14:paraId="0DB4B74B" w14:textId="77777777" w:rsidR="006830BB" w:rsidRDefault="006830BB" w:rsidP="00B908DB">
      <w:pPr>
        <w:jc w:val="center"/>
      </w:pPr>
    </w:p>
    <w:p w14:paraId="39BB2FE3" w14:textId="77777777" w:rsidR="006830BB" w:rsidRDefault="006830BB" w:rsidP="00B908DB">
      <w:pPr>
        <w:jc w:val="center"/>
      </w:pPr>
    </w:p>
    <w:p w14:paraId="0345D6F9" w14:textId="77777777" w:rsidR="006830BB" w:rsidRDefault="006830BB" w:rsidP="00B908DB">
      <w:pPr>
        <w:jc w:val="center"/>
      </w:pPr>
    </w:p>
    <w:p w14:paraId="34AC1379" w14:textId="77777777" w:rsidR="006830BB" w:rsidRDefault="006830BB" w:rsidP="00B908DB">
      <w:pPr>
        <w:jc w:val="center"/>
      </w:pPr>
    </w:p>
    <w:p w14:paraId="1E80586D" w14:textId="77777777" w:rsidR="006830BB" w:rsidRDefault="006830BB" w:rsidP="00B908DB">
      <w:pPr>
        <w:jc w:val="center"/>
      </w:pPr>
    </w:p>
    <w:p w14:paraId="205B7FD1" w14:textId="77777777" w:rsidR="006830BB" w:rsidRDefault="006830BB" w:rsidP="00B908DB">
      <w:pPr>
        <w:jc w:val="center"/>
      </w:pPr>
    </w:p>
    <w:p w14:paraId="3B90E523" w14:textId="77777777" w:rsidR="006830BB" w:rsidRDefault="006830BB" w:rsidP="00B908DB">
      <w:pPr>
        <w:jc w:val="center"/>
      </w:pPr>
    </w:p>
    <w:p w14:paraId="39D195FB" w14:textId="77777777" w:rsidR="006830BB" w:rsidRDefault="006830BB" w:rsidP="00B908DB">
      <w:pPr>
        <w:jc w:val="center"/>
      </w:pPr>
    </w:p>
    <w:p w14:paraId="4642A85A" w14:textId="77777777" w:rsidR="006830BB" w:rsidRDefault="006830BB" w:rsidP="00B908DB">
      <w:pPr>
        <w:jc w:val="center"/>
      </w:pPr>
    </w:p>
    <w:p w14:paraId="13700F7B" w14:textId="77777777" w:rsidR="006830BB" w:rsidRDefault="006830BB" w:rsidP="00B908DB">
      <w:pPr>
        <w:jc w:val="center"/>
      </w:pPr>
    </w:p>
    <w:p w14:paraId="45434322" w14:textId="77777777" w:rsidR="006830BB" w:rsidRDefault="006830BB" w:rsidP="00B908DB">
      <w:pPr>
        <w:jc w:val="center"/>
      </w:pPr>
    </w:p>
    <w:p w14:paraId="21E2AD71" w14:textId="77777777" w:rsidR="006830BB" w:rsidRDefault="006830BB" w:rsidP="00B908DB">
      <w:pPr>
        <w:jc w:val="center"/>
      </w:pPr>
    </w:p>
    <w:p w14:paraId="6361732D" w14:textId="77777777" w:rsidR="006830BB" w:rsidRDefault="006830BB" w:rsidP="00B908DB">
      <w:pPr>
        <w:jc w:val="center"/>
      </w:pPr>
    </w:p>
    <w:p w14:paraId="2556CA9F" w14:textId="77777777" w:rsidR="006830BB" w:rsidRDefault="006830BB" w:rsidP="00B908DB">
      <w:pPr>
        <w:jc w:val="center"/>
      </w:pPr>
    </w:p>
    <w:p w14:paraId="00F8B4D0" w14:textId="77777777" w:rsidR="006830BB" w:rsidRDefault="006830BB" w:rsidP="00B908DB">
      <w:pPr>
        <w:jc w:val="center"/>
      </w:pPr>
    </w:p>
    <w:p w14:paraId="2B978D68" w14:textId="77777777" w:rsidR="006830BB" w:rsidRDefault="006830BB" w:rsidP="00B908DB">
      <w:pPr>
        <w:jc w:val="center"/>
      </w:pPr>
    </w:p>
    <w:p w14:paraId="7CB6512E" w14:textId="77777777" w:rsidR="006830BB" w:rsidRDefault="006830BB" w:rsidP="00B908DB">
      <w:pPr>
        <w:jc w:val="center"/>
      </w:pPr>
    </w:p>
    <w:p w14:paraId="59CF88C5" w14:textId="77777777" w:rsidR="006830BB" w:rsidRDefault="006830BB" w:rsidP="00B908DB">
      <w:pPr>
        <w:jc w:val="center"/>
      </w:pPr>
    </w:p>
    <w:p w14:paraId="7916D9E1" w14:textId="77777777" w:rsidR="006830BB" w:rsidRDefault="006830BB" w:rsidP="00B908DB">
      <w:pPr>
        <w:jc w:val="center"/>
      </w:pPr>
    </w:p>
    <w:p w14:paraId="400BE73B" w14:textId="77777777" w:rsidR="006830BB" w:rsidRDefault="006830BB" w:rsidP="00B908DB">
      <w:pPr>
        <w:jc w:val="center"/>
      </w:pPr>
    </w:p>
    <w:p w14:paraId="1849E246" w14:textId="77777777" w:rsidR="006830BB" w:rsidRDefault="006830BB" w:rsidP="00B908DB">
      <w:pPr>
        <w:jc w:val="center"/>
      </w:pPr>
    </w:p>
    <w:p w14:paraId="21AF1FE7" w14:textId="77777777" w:rsidR="006830BB" w:rsidRDefault="006830BB" w:rsidP="00B908DB">
      <w:pPr>
        <w:jc w:val="center"/>
      </w:pPr>
    </w:p>
    <w:p w14:paraId="5EC037D8" w14:textId="77777777" w:rsidR="006830BB" w:rsidRDefault="006830BB" w:rsidP="00B908DB">
      <w:pPr>
        <w:jc w:val="center"/>
      </w:pPr>
    </w:p>
    <w:p w14:paraId="0A924A63" w14:textId="77777777" w:rsidR="006830BB" w:rsidRDefault="006830BB" w:rsidP="00B908DB">
      <w:pPr>
        <w:jc w:val="center"/>
      </w:pPr>
    </w:p>
    <w:p w14:paraId="0F798E23" w14:textId="77777777" w:rsidR="006830BB" w:rsidRDefault="006830BB" w:rsidP="00B908DB">
      <w:pPr>
        <w:jc w:val="center"/>
      </w:pPr>
    </w:p>
    <w:p w14:paraId="72F93861" w14:textId="77777777" w:rsidR="006830BB" w:rsidRDefault="006830BB" w:rsidP="00B908DB">
      <w:pPr>
        <w:jc w:val="center"/>
      </w:pPr>
    </w:p>
    <w:p w14:paraId="1753F3F9" w14:textId="77777777" w:rsidR="006830BB" w:rsidRDefault="006830BB" w:rsidP="00B908DB">
      <w:pPr>
        <w:jc w:val="center"/>
      </w:pPr>
    </w:p>
    <w:p w14:paraId="0127241D" w14:textId="77777777" w:rsidR="006830BB" w:rsidRDefault="006830BB" w:rsidP="00B908DB">
      <w:pPr>
        <w:jc w:val="center"/>
      </w:pPr>
    </w:p>
    <w:p w14:paraId="1F6A5AE1" w14:textId="77777777" w:rsidR="006830BB" w:rsidRDefault="006830BB" w:rsidP="00B908DB">
      <w:pPr>
        <w:jc w:val="center"/>
      </w:pPr>
    </w:p>
    <w:p w14:paraId="378C6D33" w14:textId="77777777" w:rsidR="006830BB" w:rsidRDefault="006830BB" w:rsidP="00B908DB">
      <w:pPr>
        <w:jc w:val="center"/>
      </w:pPr>
    </w:p>
    <w:p w14:paraId="186009CE" w14:textId="77777777" w:rsidR="006830BB" w:rsidRDefault="006830BB" w:rsidP="00B908DB">
      <w:pPr>
        <w:jc w:val="center"/>
      </w:pPr>
    </w:p>
    <w:p w14:paraId="372E357D" w14:textId="77777777" w:rsidR="006830BB" w:rsidRDefault="006830BB" w:rsidP="00B908DB">
      <w:pPr>
        <w:jc w:val="center"/>
      </w:pPr>
    </w:p>
    <w:p w14:paraId="1EBA8215" w14:textId="77777777" w:rsidR="006830BB" w:rsidRDefault="006830BB" w:rsidP="00B908DB">
      <w:pPr>
        <w:jc w:val="center"/>
      </w:pPr>
    </w:p>
    <w:p w14:paraId="1D97B746" w14:textId="77777777" w:rsidR="006830BB" w:rsidRDefault="006830BB" w:rsidP="00B908DB">
      <w:pPr>
        <w:jc w:val="center"/>
      </w:pPr>
    </w:p>
    <w:p w14:paraId="2ED84835" w14:textId="77777777" w:rsidR="006830BB" w:rsidRDefault="006830BB" w:rsidP="00B908DB">
      <w:pPr>
        <w:jc w:val="center"/>
      </w:pPr>
    </w:p>
    <w:p w14:paraId="33B03D4A" w14:textId="77777777" w:rsidR="006830BB" w:rsidRPr="00C86111" w:rsidRDefault="006830BB" w:rsidP="00B908DB">
      <w:pPr>
        <w:jc w:val="center"/>
      </w:pPr>
    </w:p>
    <w:p w14:paraId="254F45C0" w14:textId="77777777" w:rsidR="00C4574D" w:rsidRPr="00C86111" w:rsidRDefault="00C4574D" w:rsidP="00B908DB">
      <w:pPr>
        <w:jc w:val="center"/>
      </w:pPr>
    </w:p>
    <w:p w14:paraId="70D6FBDF" w14:textId="77777777" w:rsidR="00C4574D" w:rsidRPr="00C86111" w:rsidRDefault="00C4574D" w:rsidP="00B908DB">
      <w:pPr>
        <w:jc w:val="center"/>
      </w:pPr>
    </w:p>
    <w:p w14:paraId="7432FE9F" w14:textId="77777777" w:rsidR="00C4574D" w:rsidRPr="00C86111" w:rsidRDefault="00C4574D" w:rsidP="00B908DB">
      <w:pPr>
        <w:jc w:val="center"/>
      </w:pPr>
    </w:p>
    <w:p w14:paraId="501B3C82" w14:textId="07E75E98" w:rsidR="00C4574D" w:rsidRPr="00B943CA" w:rsidRDefault="00C4574D" w:rsidP="00B943CA">
      <w:pPr>
        <w:pStyle w:val="Title"/>
      </w:pPr>
      <w:r w:rsidRPr="00B943CA">
        <w:t>AKCIONI PLAN</w:t>
      </w:r>
    </w:p>
    <w:p w14:paraId="52FB3C06" w14:textId="77777777" w:rsidR="00C4574D" w:rsidRPr="00C86111" w:rsidRDefault="00C4574D" w:rsidP="00C4574D"/>
    <w:p w14:paraId="5F7974BB" w14:textId="77777777" w:rsidR="00C4574D" w:rsidRPr="00C86111" w:rsidRDefault="00C4574D" w:rsidP="00C4574D"/>
    <w:p w14:paraId="37235458" w14:textId="77777777" w:rsidR="00C4574D" w:rsidRPr="00C86111" w:rsidRDefault="00C4574D" w:rsidP="00C4574D"/>
    <w:p w14:paraId="5B6A9EDF" w14:textId="77777777" w:rsidR="00C4574D" w:rsidRPr="00C86111" w:rsidRDefault="00C4574D" w:rsidP="00C4574D"/>
    <w:p w14:paraId="3B05611F" w14:textId="77777777" w:rsidR="00C4574D" w:rsidRPr="00C86111" w:rsidRDefault="00C4574D" w:rsidP="00C4574D"/>
    <w:p w14:paraId="39B9F07F" w14:textId="77777777" w:rsidR="00C4574D" w:rsidRPr="00C86111" w:rsidRDefault="00C4574D" w:rsidP="00C4574D"/>
    <w:p w14:paraId="5797554E" w14:textId="77777777" w:rsidR="00C4574D" w:rsidRPr="00C86111" w:rsidRDefault="00C4574D" w:rsidP="00C4574D"/>
    <w:p w14:paraId="046DD39B" w14:textId="77777777" w:rsidR="00C4574D" w:rsidRPr="00C86111" w:rsidRDefault="00C4574D" w:rsidP="00C4574D"/>
    <w:p w14:paraId="49A3E677" w14:textId="77777777" w:rsidR="00C4574D" w:rsidRPr="00C86111" w:rsidRDefault="00C4574D" w:rsidP="00C4574D"/>
    <w:p w14:paraId="70A9A1D4" w14:textId="77777777" w:rsidR="00C4574D" w:rsidRPr="00C86111" w:rsidRDefault="00C4574D" w:rsidP="00C4574D"/>
    <w:p w14:paraId="6CF70EDE" w14:textId="77777777" w:rsidR="00C4574D" w:rsidRPr="00C86111" w:rsidRDefault="00C4574D" w:rsidP="00C4574D"/>
    <w:p w14:paraId="3CE02054" w14:textId="77777777" w:rsidR="00C4574D" w:rsidRPr="00C86111" w:rsidRDefault="00C4574D" w:rsidP="00C4574D"/>
    <w:p w14:paraId="5AA3067C" w14:textId="77777777" w:rsidR="00C4574D" w:rsidRPr="00C86111" w:rsidRDefault="00C4574D" w:rsidP="00C4574D"/>
    <w:p w14:paraId="1F83C054" w14:textId="77777777" w:rsidR="00C4574D" w:rsidRPr="00C86111" w:rsidRDefault="00C4574D" w:rsidP="00C4574D"/>
    <w:p w14:paraId="7A3306DF" w14:textId="77777777" w:rsidR="00C4574D" w:rsidRPr="00C86111" w:rsidRDefault="00C4574D" w:rsidP="00C4574D"/>
    <w:p w14:paraId="4736B503" w14:textId="77777777" w:rsidR="00C4574D" w:rsidRPr="00C86111" w:rsidRDefault="00C4574D" w:rsidP="00C4574D">
      <w:pPr>
        <w:sectPr w:rsidR="00C4574D" w:rsidRPr="00C86111">
          <w:footerReference w:type="default" r:id="rId87"/>
          <w:pgSz w:w="12240" w:h="15840"/>
          <w:pgMar w:top="1440" w:right="1440" w:bottom="1440" w:left="1440" w:header="720" w:footer="720" w:gutter="0"/>
          <w:cols w:space="720"/>
          <w:docGrid w:linePitch="360"/>
        </w:sectPr>
      </w:pPr>
    </w:p>
    <w:p w14:paraId="06E03751" w14:textId="77777777" w:rsidR="002773F8" w:rsidRDefault="002773F8" w:rsidP="00912C4C">
      <w:pPr>
        <w:pStyle w:val="Heading1"/>
      </w:pPr>
      <w:bookmarkStart w:id="502" w:name="_Toc220542030"/>
      <w:r w:rsidRPr="00C86111">
        <w:lastRenderedPageBreak/>
        <w:t>AKCIONI PLAN ZA IMPLEMENTACIJU NACIONALNOG IMPLEMENTACIONOG PLANA (NIP) – POPs</w:t>
      </w:r>
      <w:bookmarkEnd w:id="502"/>
    </w:p>
    <w:p w14:paraId="1B34D5DE" w14:textId="77777777" w:rsidR="002773F8" w:rsidRPr="002773F8" w:rsidRDefault="002773F8" w:rsidP="002773F8"/>
    <w:p w14:paraId="3B27D2CB" w14:textId="1A22FE80" w:rsidR="002773F8" w:rsidRPr="002773F8" w:rsidRDefault="002773F8" w:rsidP="002773F8">
      <w:pPr>
        <w:jc w:val="both"/>
      </w:pPr>
      <w:r w:rsidRPr="002773F8">
        <w:t>Radi sprovođenja Nacionalnog implementacionog plana (NIP) za dugotrajne organske zagađujuće supstance (POPs), ovim Akcionim planom definišu se aktivnosti za period 202</w:t>
      </w:r>
      <w:r w:rsidR="009756DA">
        <w:t>6</w:t>
      </w:r>
      <w:r w:rsidRPr="002773F8">
        <w:t>–2027, koje su usmjerene na jačanje nacionalnog sistema upravljanja POPs supstancama u Crnoj Gori, u skladu sa obavezama koje proizilaze iz Stokholmske konvencije, drugih relevantnih međunarodnih instrumenata i propisa Evropske unije.</w:t>
      </w:r>
    </w:p>
    <w:p w14:paraId="01CE8733" w14:textId="77777777" w:rsidR="002773F8" w:rsidRPr="002773F8" w:rsidRDefault="002773F8" w:rsidP="002773F8">
      <w:pPr>
        <w:jc w:val="both"/>
      </w:pPr>
      <w:r w:rsidRPr="002773F8">
        <w:t>Akcioni plan obuhvata skup normativnih, institucionalnih, tehničkih i edukativnih mjera, raspoređenih po tematskim oblastima, uključujući: unapređenje pravnog okvira, jačanje administrativnih i stručnih kapaciteta, kontrolu proizvoda koji sadrže POPs supstance, upravljanje specifičnim grupama hemikalija (PFAS, PBDEs, SCCP, MCCP, PCB), monitoring stanja životne sredine i zdravlja stanovništva, kao i aktivnosti podizanja svijesti javnosti i ranjivih grupa.</w:t>
      </w:r>
    </w:p>
    <w:p w14:paraId="6B254DA5" w14:textId="77777777" w:rsidR="002773F8" w:rsidRPr="002773F8" w:rsidRDefault="002773F8" w:rsidP="002773F8">
      <w:pPr>
        <w:jc w:val="both"/>
      </w:pPr>
      <w:r w:rsidRPr="002773F8">
        <w:t>Po isteku perioda obuhvaćenog ovim Akcionim planom, biće izrađen novi Akcioni plan za naredni planski period, koji će se zasnivati na procjeni ostvarenih rezultata, identifikovanim izazovima u implementaciji, kao i eventualnim izmjenama međunarodnih obaveza i regulatornog okvira. Na ovaj način obezbjeđuje se kontinuitet u planiranju i sprovođenju mjera, uz mogućnost prilagođavanja aktivnosti stvarnim potrebama i kapacitetima institucija uključenih u sprovođenje NIP-a.</w:t>
      </w:r>
    </w:p>
    <w:p w14:paraId="1120B3E6" w14:textId="77777777" w:rsidR="002773F8" w:rsidRDefault="002773F8" w:rsidP="002773F8">
      <w:pPr>
        <w:jc w:val="both"/>
      </w:pPr>
      <w:r w:rsidRPr="002773F8">
        <w:t>Ovim pristupom omogućava se postepeno i sistematsko unapređenje upravljanja POPs supstancama u Crnoj Gori, kroz jasno definisane ciljeve, odgovornosti i rokove za realizaciju planiranih aktivnosti.</w:t>
      </w:r>
    </w:p>
    <w:p w14:paraId="18A117A9" w14:textId="77777777" w:rsidR="002773F8" w:rsidRDefault="002773F8" w:rsidP="002773F8">
      <w:pPr>
        <w:jc w:val="both"/>
      </w:pPr>
    </w:p>
    <w:p w14:paraId="09898300" w14:textId="77777777" w:rsidR="002773F8" w:rsidRDefault="002773F8" w:rsidP="002773F8">
      <w:pPr>
        <w:jc w:val="both"/>
      </w:pPr>
    </w:p>
    <w:p w14:paraId="0F6A8E1A" w14:textId="77777777" w:rsidR="002773F8" w:rsidRDefault="002773F8" w:rsidP="002773F8">
      <w:pPr>
        <w:jc w:val="both"/>
      </w:pPr>
    </w:p>
    <w:p w14:paraId="1E74E357" w14:textId="77777777" w:rsidR="002773F8" w:rsidRDefault="002773F8" w:rsidP="002773F8">
      <w:pPr>
        <w:jc w:val="both"/>
      </w:pPr>
    </w:p>
    <w:p w14:paraId="59618974" w14:textId="77777777" w:rsidR="002773F8" w:rsidRDefault="002773F8" w:rsidP="002773F8">
      <w:pPr>
        <w:jc w:val="both"/>
      </w:pPr>
    </w:p>
    <w:p w14:paraId="599AE3FE" w14:textId="77777777" w:rsidR="002773F8" w:rsidRDefault="002773F8" w:rsidP="002773F8">
      <w:pPr>
        <w:jc w:val="both"/>
      </w:pPr>
    </w:p>
    <w:p w14:paraId="1C4BA98A" w14:textId="77777777" w:rsidR="002773F8" w:rsidRDefault="002773F8" w:rsidP="002773F8">
      <w:pPr>
        <w:jc w:val="both"/>
      </w:pPr>
    </w:p>
    <w:p w14:paraId="14642585" w14:textId="77777777" w:rsidR="002773F8" w:rsidRDefault="002773F8" w:rsidP="002773F8">
      <w:pPr>
        <w:jc w:val="both"/>
      </w:pPr>
    </w:p>
    <w:p w14:paraId="5C817489" w14:textId="77777777" w:rsidR="002773F8" w:rsidRDefault="002773F8" w:rsidP="002773F8">
      <w:pPr>
        <w:jc w:val="both"/>
      </w:pPr>
    </w:p>
    <w:p w14:paraId="2CB2EF2C" w14:textId="77777777" w:rsidR="002773F8" w:rsidRDefault="002773F8" w:rsidP="002773F8">
      <w:pPr>
        <w:jc w:val="both"/>
      </w:pPr>
    </w:p>
    <w:p w14:paraId="538C5705" w14:textId="77777777" w:rsidR="002773F8" w:rsidRDefault="002773F8" w:rsidP="002773F8">
      <w:pPr>
        <w:jc w:val="both"/>
      </w:pPr>
    </w:p>
    <w:p w14:paraId="12C79C3D" w14:textId="77777777" w:rsidR="002773F8" w:rsidRDefault="002773F8" w:rsidP="002773F8">
      <w:pPr>
        <w:jc w:val="both"/>
      </w:pPr>
    </w:p>
    <w:p w14:paraId="34702D05" w14:textId="77777777" w:rsidR="002773F8" w:rsidRPr="002773F8" w:rsidRDefault="002773F8" w:rsidP="002773F8">
      <w:pPr>
        <w:jc w:val="both"/>
      </w:pPr>
    </w:p>
    <w:p w14:paraId="046E0B3F" w14:textId="77777777" w:rsidR="00C4574D" w:rsidRPr="00C86111" w:rsidRDefault="00C4574D" w:rsidP="00C4574D"/>
    <w:p w14:paraId="531AA2E1" w14:textId="77777777" w:rsidR="00C4574D" w:rsidRPr="00C86111" w:rsidRDefault="00C4574D" w:rsidP="00C4574D">
      <w:pPr>
        <w:rPr>
          <w:rFonts w:asciiTheme="minorHAnsi" w:hAnsiTheme="minorHAnsi" w:cstheme="minorHAnsi"/>
          <w:b/>
          <w:bCs/>
        </w:rPr>
      </w:pPr>
      <w:r w:rsidRPr="002773F8">
        <w:rPr>
          <w:rFonts w:asciiTheme="minorHAnsi" w:hAnsiTheme="minorHAnsi" w:cstheme="minorHAnsi"/>
          <w:b/>
          <w:bCs/>
          <w:color w:val="002060"/>
        </w:rPr>
        <w:lastRenderedPageBreak/>
        <w:t xml:space="preserve">STRATEŠKI CILJ 1: </w:t>
      </w:r>
      <w:r w:rsidRPr="00C86111">
        <w:rPr>
          <w:rFonts w:asciiTheme="minorHAnsi" w:hAnsiTheme="minorHAnsi" w:cstheme="minorHAnsi"/>
          <w:b/>
          <w:bCs/>
        </w:rPr>
        <w:t>Uspostavljanje održivog, efikasnog i usklađenog nacionalnog sistema za upravljanje dugotrajnim organskim zagađujućim supstancama (POPs) u Crnoj Gori, u skladu sa međunarodnim konvencijama i EU standardima, radi zaštite zdravlja ljudi i životne sredine.</w:t>
      </w:r>
    </w:p>
    <w:p w14:paraId="3FE765CF" w14:textId="77777777" w:rsidR="00C4574D" w:rsidRPr="00C86111" w:rsidRDefault="00C4574D" w:rsidP="00C4574D">
      <w:pPr>
        <w:rPr>
          <w:rFonts w:asciiTheme="minorHAnsi" w:hAnsiTheme="minorHAnsi" w:cstheme="minorHAnsi"/>
        </w:rPr>
      </w:pPr>
    </w:p>
    <w:p w14:paraId="2B398866" w14:textId="77777777" w:rsidR="00C4574D" w:rsidRPr="00C86111" w:rsidRDefault="00C4574D" w:rsidP="00C4574D">
      <w:pPr>
        <w:rPr>
          <w:rFonts w:asciiTheme="minorHAnsi" w:hAnsiTheme="minorHAnsi" w:cstheme="minorHAnsi"/>
        </w:rPr>
      </w:pPr>
      <w:r w:rsidRPr="00C86111">
        <w:rPr>
          <w:rFonts w:asciiTheme="minorHAnsi" w:hAnsiTheme="minorHAnsi" w:cstheme="minorHAnsi"/>
          <w:b/>
          <w:bCs/>
        </w:rPr>
        <w:t xml:space="preserve">Operativni cilj 1: </w:t>
      </w:r>
      <w:r w:rsidRPr="00C86111">
        <w:rPr>
          <w:rFonts w:asciiTheme="minorHAnsi" w:hAnsiTheme="minorHAnsi" w:cstheme="minorHAnsi"/>
        </w:rPr>
        <w:t>Uspostaviti pravni osnov za zaštitu zemljišta i remedijaciju kontaminiranih lokacija.</w:t>
      </w:r>
    </w:p>
    <w:tbl>
      <w:tblPr>
        <w:tblStyle w:val="GridTable4-Accent6"/>
        <w:tblW w:w="0" w:type="auto"/>
        <w:tblLook w:val="04A0" w:firstRow="1" w:lastRow="0" w:firstColumn="1" w:lastColumn="0" w:noHBand="0" w:noVBand="1"/>
      </w:tblPr>
      <w:tblGrid>
        <w:gridCol w:w="4121"/>
        <w:gridCol w:w="992"/>
        <w:gridCol w:w="1573"/>
        <w:gridCol w:w="584"/>
        <w:gridCol w:w="584"/>
        <w:gridCol w:w="2671"/>
        <w:gridCol w:w="2425"/>
      </w:tblGrid>
      <w:tr w:rsidR="00C4574D" w:rsidRPr="00C86111" w14:paraId="48F47D40"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7EC5D5E0"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gridSpan w:val="2"/>
            <w:hideMark/>
          </w:tcPr>
          <w:p w14:paraId="06AAE71E"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gridSpan w:val="2"/>
            <w:hideMark/>
          </w:tcPr>
          <w:p w14:paraId="65711D5F"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0" w:type="auto"/>
            <w:hideMark/>
          </w:tcPr>
          <w:p w14:paraId="3F80BD8C"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C86111" w14:paraId="24483648"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6675CE79"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Postojanje zakona o zaštiti zemljišta koji uključuje mjere remedijacije POPs kontaminacije</w:t>
            </w:r>
          </w:p>
        </w:tc>
        <w:tc>
          <w:tcPr>
            <w:tcW w:w="0" w:type="auto"/>
            <w:gridSpan w:val="2"/>
            <w:hideMark/>
          </w:tcPr>
          <w:p w14:paraId="507EEA12"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0</w:t>
            </w:r>
          </w:p>
        </w:tc>
        <w:tc>
          <w:tcPr>
            <w:tcW w:w="0" w:type="auto"/>
            <w:gridSpan w:val="2"/>
            <w:hideMark/>
          </w:tcPr>
          <w:p w14:paraId="2FE6A6E2"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Nacrt zakona izrađen</w:t>
            </w:r>
          </w:p>
        </w:tc>
        <w:tc>
          <w:tcPr>
            <w:tcW w:w="0" w:type="auto"/>
            <w:hideMark/>
          </w:tcPr>
          <w:p w14:paraId="3E9CE69F"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Zakon usvojen i primjenjuje se</w:t>
            </w:r>
          </w:p>
        </w:tc>
      </w:tr>
      <w:tr w:rsidR="00C4574D" w:rsidRPr="00C86111" w14:paraId="06536FAC" w14:textId="77777777" w:rsidTr="00F50788">
        <w:tc>
          <w:tcPr>
            <w:cnfStyle w:val="001000000000" w:firstRow="0" w:lastRow="0" w:firstColumn="1" w:lastColumn="0" w:oddVBand="0" w:evenVBand="0" w:oddHBand="0" w:evenHBand="0" w:firstRowFirstColumn="0" w:firstRowLastColumn="0" w:lastRowFirstColumn="0" w:lastRowLastColumn="0"/>
            <w:tcW w:w="0" w:type="auto"/>
            <w:hideMark/>
          </w:tcPr>
          <w:p w14:paraId="0AEAAC8E"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Aktivnost</w:t>
            </w:r>
          </w:p>
        </w:tc>
        <w:tc>
          <w:tcPr>
            <w:tcW w:w="0" w:type="auto"/>
            <w:hideMark/>
          </w:tcPr>
          <w:p w14:paraId="67EA7736"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Početak</w:t>
            </w:r>
          </w:p>
        </w:tc>
        <w:tc>
          <w:tcPr>
            <w:tcW w:w="0" w:type="auto"/>
            <w:hideMark/>
          </w:tcPr>
          <w:p w14:paraId="28EC3DBB"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Završetak</w:t>
            </w:r>
          </w:p>
        </w:tc>
        <w:tc>
          <w:tcPr>
            <w:tcW w:w="1176" w:type="dxa"/>
            <w:gridSpan w:val="2"/>
            <w:hideMark/>
          </w:tcPr>
          <w:p w14:paraId="0A08E855"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aktivnosti</w:t>
            </w:r>
          </w:p>
        </w:tc>
        <w:tc>
          <w:tcPr>
            <w:tcW w:w="2671" w:type="dxa"/>
            <w:hideMark/>
          </w:tcPr>
          <w:p w14:paraId="12C5BD9A"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2425" w:type="dxa"/>
            <w:hideMark/>
          </w:tcPr>
          <w:p w14:paraId="470783AD"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C4574D" w:rsidRPr="00C86111" w14:paraId="47691972" w14:textId="77777777" w:rsidTr="00F50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EFDB92"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1.1 Iniciranje i izrada Zakona o zaštiti zemljišta sa akcentom na prevenciju i remedijaciju POPs kontaminacije</w:t>
            </w:r>
          </w:p>
        </w:tc>
        <w:tc>
          <w:tcPr>
            <w:tcW w:w="0" w:type="auto"/>
            <w:hideMark/>
          </w:tcPr>
          <w:p w14:paraId="11C751D3"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2026</w:t>
            </w:r>
          </w:p>
        </w:tc>
        <w:tc>
          <w:tcPr>
            <w:tcW w:w="0" w:type="auto"/>
            <w:hideMark/>
          </w:tcPr>
          <w:p w14:paraId="269AC0B4"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2027</w:t>
            </w:r>
          </w:p>
        </w:tc>
        <w:tc>
          <w:tcPr>
            <w:tcW w:w="1176" w:type="dxa"/>
            <w:gridSpan w:val="2"/>
            <w:hideMark/>
          </w:tcPr>
          <w:p w14:paraId="19DF83F2"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MERS</w:t>
            </w:r>
          </w:p>
        </w:tc>
        <w:tc>
          <w:tcPr>
            <w:tcW w:w="2671" w:type="dxa"/>
            <w:hideMark/>
          </w:tcPr>
          <w:p w14:paraId="2ED5AA7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Zakon objavljen u Službenom listu</w:t>
            </w:r>
          </w:p>
        </w:tc>
        <w:tc>
          <w:tcPr>
            <w:tcW w:w="2425" w:type="dxa"/>
            <w:hideMark/>
          </w:tcPr>
          <w:p w14:paraId="55FA538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Aktivnost pokrivena iz</w:t>
            </w:r>
          </w:p>
          <w:p w14:paraId="7F624A62"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Budžeta CG - nijesu</w:t>
            </w:r>
          </w:p>
          <w:p w14:paraId="78CC9F9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potrebna dodatna</w:t>
            </w:r>
          </w:p>
          <w:p w14:paraId="5D1345C9"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finansijska sredstva</w:t>
            </w:r>
          </w:p>
        </w:tc>
      </w:tr>
      <w:tr w:rsidR="00C4574D" w:rsidRPr="00C86111" w14:paraId="44FF3571" w14:textId="77777777" w:rsidTr="00F50788">
        <w:tc>
          <w:tcPr>
            <w:cnfStyle w:val="001000000000" w:firstRow="0" w:lastRow="0" w:firstColumn="1" w:lastColumn="0" w:oddVBand="0" w:evenVBand="0" w:oddHBand="0" w:evenHBand="0" w:firstRowFirstColumn="0" w:firstRowLastColumn="0" w:lastRowFirstColumn="0" w:lastRowLastColumn="0"/>
            <w:tcW w:w="0" w:type="auto"/>
            <w:hideMark/>
          </w:tcPr>
          <w:p w14:paraId="2601F3B2"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1.2 Izrada podzakonskog akta o remedijaciji kontaminiranih lokacija i upravljanju POPs u zemljištu</w:t>
            </w:r>
          </w:p>
        </w:tc>
        <w:tc>
          <w:tcPr>
            <w:tcW w:w="0" w:type="auto"/>
            <w:hideMark/>
          </w:tcPr>
          <w:p w14:paraId="33EEBFDE"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2026</w:t>
            </w:r>
          </w:p>
        </w:tc>
        <w:tc>
          <w:tcPr>
            <w:tcW w:w="0" w:type="auto"/>
            <w:hideMark/>
          </w:tcPr>
          <w:p w14:paraId="69437712"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2027</w:t>
            </w:r>
          </w:p>
        </w:tc>
        <w:tc>
          <w:tcPr>
            <w:tcW w:w="1176" w:type="dxa"/>
            <w:gridSpan w:val="2"/>
            <w:hideMark/>
          </w:tcPr>
          <w:p w14:paraId="5C3BDC0F"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MERS</w:t>
            </w:r>
          </w:p>
        </w:tc>
        <w:tc>
          <w:tcPr>
            <w:tcW w:w="2671" w:type="dxa"/>
            <w:hideMark/>
          </w:tcPr>
          <w:p w14:paraId="7F760236"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Registar funkcionalan</w:t>
            </w:r>
          </w:p>
        </w:tc>
        <w:tc>
          <w:tcPr>
            <w:tcW w:w="2425" w:type="dxa"/>
            <w:hideMark/>
          </w:tcPr>
          <w:p w14:paraId="6D3FDEDB"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Aktivnost pokrivena iz</w:t>
            </w:r>
          </w:p>
          <w:p w14:paraId="46556088"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Budžeta CG - nijesu</w:t>
            </w:r>
          </w:p>
          <w:p w14:paraId="54652DAD"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potrebna dodatna</w:t>
            </w:r>
          </w:p>
          <w:p w14:paraId="489631BF"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finansijska sredstva</w:t>
            </w:r>
          </w:p>
        </w:tc>
      </w:tr>
    </w:tbl>
    <w:p w14:paraId="02C4DAE9" w14:textId="46264BC8" w:rsidR="00C4574D" w:rsidRPr="00C86111" w:rsidRDefault="00C4574D" w:rsidP="00C4574D">
      <w:pPr>
        <w:rPr>
          <w:rFonts w:asciiTheme="minorHAnsi" w:hAnsiTheme="minorHAnsi" w:cstheme="minorHAnsi"/>
        </w:rPr>
      </w:pPr>
      <w:r w:rsidRPr="00C86111">
        <w:rPr>
          <w:rFonts w:asciiTheme="minorHAnsi" w:hAnsiTheme="minorHAnsi" w:cstheme="minorHAnsi"/>
          <w:b/>
          <w:bCs/>
        </w:rPr>
        <w:t xml:space="preserve">Operativni cilj 2: </w:t>
      </w:r>
      <w:r w:rsidRPr="00C86111">
        <w:rPr>
          <w:rFonts w:asciiTheme="minorHAnsi" w:hAnsiTheme="minorHAnsi" w:cstheme="minorHAnsi"/>
        </w:rPr>
        <w:t>Revizija Zakona o hemikalijama radi pune usklađenosti sa EU propisima (REACH, CLP, POPs).</w:t>
      </w:r>
    </w:p>
    <w:tbl>
      <w:tblPr>
        <w:tblStyle w:val="GridTable4-Accent6"/>
        <w:tblW w:w="0" w:type="auto"/>
        <w:tblLook w:val="04A0" w:firstRow="1" w:lastRow="0" w:firstColumn="1" w:lastColumn="0" w:noHBand="0" w:noVBand="1"/>
      </w:tblPr>
      <w:tblGrid>
        <w:gridCol w:w="3659"/>
        <w:gridCol w:w="992"/>
        <w:gridCol w:w="577"/>
        <w:gridCol w:w="577"/>
        <w:gridCol w:w="2594"/>
        <w:gridCol w:w="2671"/>
        <w:gridCol w:w="1880"/>
      </w:tblGrid>
      <w:tr w:rsidR="00C4574D" w:rsidRPr="00C86111" w14:paraId="493BFA70"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31818766"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gridSpan w:val="2"/>
            <w:hideMark/>
          </w:tcPr>
          <w:p w14:paraId="51341CA9"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hideMark/>
          </w:tcPr>
          <w:p w14:paraId="573C599B"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0" w:type="auto"/>
            <w:hideMark/>
          </w:tcPr>
          <w:p w14:paraId="414683D3"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C86111" w14:paraId="52BB63F1"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1D036ACA"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Stepen usklađenosti Zakona o hemikalijama sa EU pravnom tekovinom</w:t>
            </w:r>
          </w:p>
        </w:tc>
        <w:tc>
          <w:tcPr>
            <w:tcW w:w="0" w:type="auto"/>
            <w:gridSpan w:val="2"/>
            <w:hideMark/>
          </w:tcPr>
          <w:p w14:paraId="27248187"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80%</w:t>
            </w:r>
          </w:p>
        </w:tc>
        <w:tc>
          <w:tcPr>
            <w:tcW w:w="0" w:type="auto"/>
            <w:hideMark/>
          </w:tcPr>
          <w:p w14:paraId="3E89F01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90%</w:t>
            </w:r>
          </w:p>
        </w:tc>
        <w:tc>
          <w:tcPr>
            <w:tcW w:w="0" w:type="auto"/>
            <w:hideMark/>
          </w:tcPr>
          <w:p w14:paraId="4CCC3FE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100%</w:t>
            </w:r>
          </w:p>
        </w:tc>
      </w:tr>
      <w:tr w:rsidR="00C4574D" w:rsidRPr="00C86111" w14:paraId="4237C8A9" w14:textId="77777777" w:rsidTr="00F50788">
        <w:tc>
          <w:tcPr>
            <w:cnfStyle w:val="001000000000" w:firstRow="0" w:lastRow="0" w:firstColumn="1" w:lastColumn="0" w:oddVBand="0" w:evenVBand="0" w:oddHBand="0" w:evenHBand="0" w:firstRowFirstColumn="0" w:firstRowLastColumn="0" w:lastRowFirstColumn="0" w:lastRowLastColumn="0"/>
            <w:tcW w:w="0" w:type="auto"/>
            <w:hideMark/>
          </w:tcPr>
          <w:p w14:paraId="6D708559"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Aktivnost</w:t>
            </w:r>
          </w:p>
        </w:tc>
        <w:tc>
          <w:tcPr>
            <w:tcW w:w="0" w:type="auto"/>
            <w:hideMark/>
          </w:tcPr>
          <w:p w14:paraId="10B8958E"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Početak</w:t>
            </w:r>
          </w:p>
        </w:tc>
        <w:tc>
          <w:tcPr>
            <w:tcW w:w="1154" w:type="dxa"/>
            <w:gridSpan w:val="2"/>
            <w:hideMark/>
          </w:tcPr>
          <w:p w14:paraId="144E238F"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Završetak</w:t>
            </w:r>
          </w:p>
        </w:tc>
        <w:tc>
          <w:tcPr>
            <w:tcW w:w="2594" w:type="dxa"/>
            <w:hideMark/>
          </w:tcPr>
          <w:p w14:paraId="14B6D68E"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aktivnosti</w:t>
            </w:r>
          </w:p>
        </w:tc>
        <w:tc>
          <w:tcPr>
            <w:tcW w:w="2671" w:type="dxa"/>
            <w:hideMark/>
          </w:tcPr>
          <w:p w14:paraId="4551C281"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1880" w:type="dxa"/>
            <w:hideMark/>
          </w:tcPr>
          <w:p w14:paraId="6C9F9C3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C4574D" w:rsidRPr="00C86111" w14:paraId="4CEE3184" w14:textId="77777777" w:rsidTr="00F50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19D289"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2.1 Revizija postojećeg Zakona o hemikalijama i priprema novog nacrta zakona</w:t>
            </w:r>
          </w:p>
        </w:tc>
        <w:tc>
          <w:tcPr>
            <w:tcW w:w="0" w:type="auto"/>
            <w:hideMark/>
          </w:tcPr>
          <w:p w14:paraId="06AEB52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2025</w:t>
            </w:r>
          </w:p>
        </w:tc>
        <w:tc>
          <w:tcPr>
            <w:tcW w:w="1154" w:type="dxa"/>
            <w:gridSpan w:val="2"/>
            <w:hideMark/>
          </w:tcPr>
          <w:p w14:paraId="7767611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2026</w:t>
            </w:r>
          </w:p>
        </w:tc>
        <w:tc>
          <w:tcPr>
            <w:tcW w:w="2594" w:type="dxa"/>
            <w:hideMark/>
          </w:tcPr>
          <w:p w14:paraId="5403BE3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MERS</w:t>
            </w:r>
          </w:p>
        </w:tc>
        <w:tc>
          <w:tcPr>
            <w:tcW w:w="2671" w:type="dxa"/>
            <w:hideMark/>
          </w:tcPr>
          <w:p w14:paraId="2EA51355"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Revidovan Zakon objavljen u Službenom listu</w:t>
            </w:r>
          </w:p>
        </w:tc>
        <w:tc>
          <w:tcPr>
            <w:tcW w:w="1880" w:type="dxa"/>
            <w:hideMark/>
          </w:tcPr>
          <w:p w14:paraId="0DE36512"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Aktivnost pokrivena iz</w:t>
            </w:r>
          </w:p>
          <w:p w14:paraId="67A9181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Budžeta CG - nijesu</w:t>
            </w:r>
          </w:p>
          <w:p w14:paraId="5D0D045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lastRenderedPageBreak/>
              <w:t>potrebna dodatna</w:t>
            </w:r>
          </w:p>
          <w:p w14:paraId="576B5D7C"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finansijska sredstva</w:t>
            </w:r>
          </w:p>
        </w:tc>
      </w:tr>
    </w:tbl>
    <w:p w14:paraId="0E4009CD" w14:textId="121C9095" w:rsidR="00C4574D" w:rsidRPr="00292255" w:rsidRDefault="00C4574D" w:rsidP="00C4574D">
      <w:pPr>
        <w:rPr>
          <w:rFonts w:asciiTheme="minorHAnsi" w:hAnsiTheme="minorHAnsi" w:cstheme="minorHAnsi"/>
          <w:color w:val="auto"/>
        </w:rPr>
      </w:pPr>
      <w:r w:rsidRPr="00292255">
        <w:rPr>
          <w:rFonts w:asciiTheme="minorHAnsi" w:hAnsiTheme="minorHAnsi" w:cstheme="minorHAnsi"/>
          <w:b/>
          <w:bCs/>
          <w:color w:val="auto"/>
        </w:rPr>
        <w:lastRenderedPageBreak/>
        <w:t xml:space="preserve">Operativni cilj 3: </w:t>
      </w:r>
      <w:r w:rsidRPr="00292255">
        <w:rPr>
          <w:rFonts w:asciiTheme="minorHAnsi" w:hAnsiTheme="minorHAnsi" w:cstheme="minorHAnsi"/>
          <w:color w:val="auto"/>
        </w:rPr>
        <w:t>Ojačani administrativni kapaciteti institucija nadležnih za upravljanje POPs supstancama.</w:t>
      </w:r>
    </w:p>
    <w:tbl>
      <w:tblPr>
        <w:tblStyle w:val="GridTable4-Accent6"/>
        <w:tblW w:w="0" w:type="auto"/>
        <w:tblLook w:val="04A0" w:firstRow="1" w:lastRow="0" w:firstColumn="1" w:lastColumn="0" w:noHBand="0" w:noVBand="1"/>
      </w:tblPr>
      <w:tblGrid>
        <w:gridCol w:w="3553"/>
        <w:gridCol w:w="992"/>
        <w:gridCol w:w="577"/>
        <w:gridCol w:w="577"/>
        <w:gridCol w:w="2594"/>
        <w:gridCol w:w="2671"/>
        <w:gridCol w:w="1986"/>
      </w:tblGrid>
      <w:tr w:rsidR="00C4574D" w:rsidRPr="00292255" w14:paraId="23A4821C"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1C462F1D" w14:textId="77777777" w:rsidR="00C4574D" w:rsidRPr="00292255" w:rsidRDefault="00C4574D" w:rsidP="00033AB8">
            <w:pPr>
              <w:rPr>
                <w:rFonts w:asciiTheme="minorHAnsi" w:hAnsiTheme="minorHAnsi" w:cstheme="minorHAnsi"/>
                <w:color w:val="auto"/>
              </w:rPr>
            </w:pPr>
            <w:r w:rsidRPr="00292255">
              <w:rPr>
                <w:rFonts w:asciiTheme="minorHAnsi" w:hAnsiTheme="minorHAnsi" w:cstheme="minorHAnsi"/>
                <w:color w:val="auto"/>
              </w:rPr>
              <w:t>Indikator učinka</w:t>
            </w:r>
          </w:p>
        </w:tc>
        <w:tc>
          <w:tcPr>
            <w:tcW w:w="0" w:type="auto"/>
            <w:gridSpan w:val="2"/>
            <w:hideMark/>
          </w:tcPr>
          <w:p w14:paraId="4B8A2049" w14:textId="77777777" w:rsidR="00C4574D" w:rsidRPr="00292255"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Polazna vrijednost 2025</w:t>
            </w:r>
          </w:p>
        </w:tc>
        <w:tc>
          <w:tcPr>
            <w:tcW w:w="0" w:type="auto"/>
            <w:hideMark/>
          </w:tcPr>
          <w:p w14:paraId="0D056591" w14:textId="77777777" w:rsidR="00C4574D" w:rsidRPr="00292255"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Prelazna vrijednost 2026</w:t>
            </w:r>
          </w:p>
        </w:tc>
        <w:tc>
          <w:tcPr>
            <w:tcW w:w="0" w:type="auto"/>
            <w:hideMark/>
          </w:tcPr>
          <w:p w14:paraId="2316255F" w14:textId="77777777" w:rsidR="00C4574D" w:rsidRPr="00292255"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Ciljna vrijednost 2027</w:t>
            </w:r>
          </w:p>
        </w:tc>
      </w:tr>
      <w:tr w:rsidR="00C4574D" w:rsidRPr="00292255" w14:paraId="2B8F79EB"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7920226B" w14:textId="77777777" w:rsidR="00C4574D" w:rsidRPr="00292255" w:rsidRDefault="00C4574D" w:rsidP="00033AB8">
            <w:pPr>
              <w:rPr>
                <w:rFonts w:asciiTheme="minorHAnsi" w:hAnsiTheme="minorHAnsi" w:cstheme="minorHAnsi"/>
                <w:color w:val="auto"/>
              </w:rPr>
            </w:pPr>
            <w:r w:rsidRPr="00292255">
              <w:rPr>
                <w:rFonts w:asciiTheme="minorHAnsi" w:hAnsiTheme="minorHAnsi" w:cstheme="minorHAnsi"/>
                <w:color w:val="auto"/>
              </w:rPr>
              <w:t>Broj zaposlenih službenika u institucijama koje se bave POPs pitanjima</w:t>
            </w:r>
          </w:p>
        </w:tc>
        <w:tc>
          <w:tcPr>
            <w:tcW w:w="0" w:type="auto"/>
            <w:gridSpan w:val="2"/>
            <w:hideMark/>
          </w:tcPr>
          <w:p w14:paraId="60D55031" w14:textId="258AB7B4" w:rsidR="00C4574D" w:rsidRPr="00292255" w:rsidRDefault="00781655"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2</w:t>
            </w:r>
          </w:p>
        </w:tc>
        <w:tc>
          <w:tcPr>
            <w:tcW w:w="0" w:type="auto"/>
            <w:hideMark/>
          </w:tcPr>
          <w:p w14:paraId="7272423D" w14:textId="10349655" w:rsidR="00C4574D" w:rsidRPr="00292255" w:rsidRDefault="00781655"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3</w:t>
            </w:r>
          </w:p>
        </w:tc>
        <w:tc>
          <w:tcPr>
            <w:tcW w:w="0" w:type="auto"/>
            <w:hideMark/>
          </w:tcPr>
          <w:p w14:paraId="24640138" w14:textId="2F61D1D8" w:rsidR="00C4574D" w:rsidRPr="00292255" w:rsidRDefault="00781655"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4</w:t>
            </w:r>
          </w:p>
        </w:tc>
      </w:tr>
      <w:tr w:rsidR="00C4574D" w:rsidRPr="00292255" w14:paraId="63705C5E" w14:textId="77777777" w:rsidTr="00F50788">
        <w:tc>
          <w:tcPr>
            <w:cnfStyle w:val="001000000000" w:firstRow="0" w:lastRow="0" w:firstColumn="1" w:lastColumn="0" w:oddVBand="0" w:evenVBand="0" w:oddHBand="0" w:evenHBand="0" w:firstRowFirstColumn="0" w:firstRowLastColumn="0" w:lastRowFirstColumn="0" w:lastRowLastColumn="0"/>
            <w:tcW w:w="0" w:type="auto"/>
            <w:hideMark/>
          </w:tcPr>
          <w:p w14:paraId="12FAC795" w14:textId="77777777" w:rsidR="00C4574D" w:rsidRPr="00292255" w:rsidRDefault="00C4574D" w:rsidP="00033AB8">
            <w:pPr>
              <w:rPr>
                <w:rFonts w:asciiTheme="minorHAnsi" w:hAnsiTheme="minorHAnsi" w:cstheme="minorHAnsi"/>
                <w:color w:val="auto"/>
              </w:rPr>
            </w:pPr>
            <w:r w:rsidRPr="00292255">
              <w:rPr>
                <w:rFonts w:asciiTheme="minorHAnsi" w:hAnsiTheme="minorHAnsi" w:cstheme="minorHAnsi"/>
                <w:color w:val="auto"/>
              </w:rPr>
              <w:t>Aktivnost</w:t>
            </w:r>
          </w:p>
        </w:tc>
        <w:tc>
          <w:tcPr>
            <w:tcW w:w="0" w:type="auto"/>
            <w:hideMark/>
          </w:tcPr>
          <w:p w14:paraId="39C75B86"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Početak</w:t>
            </w:r>
          </w:p>
        </w:tc>
        <w:tc>
          <w:tcPr>
            <w:tcW w:w="1154" w:type="dxa"/>
            <w:gridSpan w:val="2"/>
            <w:hideMark/>
          </w:tcPr>
          <w:p w14:paraId="300EE698"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Završetak</w:t>
            </w:r>
          </w:p>
        </w:tc>
        <w:tc>
          <w:tcPr>
            <w:tcW w:w="2594" w:type="dxa"/>
            <w:hideMark/>
          </w:tcPr>
          <w:p w14:paraId="46B11090"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Nosioci aktivnosti</w:t>
            </w:r>
          </w:p>
        </w:tc>
        <w:tc>
          <w:tcPr>
            <w:tcW w:w="2671" w:type="dxa"/>
            <w:hideMark/>
          </w:tcPr>
          <w:p w14:paraId="11D538C3"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Indikator rezultata</w:t>
            </w:r>
          </w:p>
        </w:tc>
        <w:tc>
          <w:tcPr>
            <w:tcW w:w="1986" w:type="dxa"/>
            <w:hideMark/>
          </w:tcPr>
          <w:p w14:paraId="3BEF3927"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Izvor finansiranja</w:t>
            </w:r>
          </w:p>
        </w:tc>
      </w:tr>
      <w:tr w:rsidR="00C4574D" w:rsidRPr="00292255" w14:paraId="35D46525" w14:textId="77777777" w:rsidTr="00F50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945BC3" w14:textId="77777777" w:rsidR="00C4574D" w:rsidRPr="00292255" w:rsidRDefault="00C4574D" w:rsidP="00033AB8">
            <w:pPr>
              <w:rPr>
                <w:rFonts w:asciiTheme="minorHAnsi" w:hAnsiTheme="minorHAnsi" w:cstheme="minorHAnsi"/>
                <w:color w:val="auto"/>
              </w:rPr>
            </w:pPr>
            <w:r w:rsidRPr="00292255">
              <w:rPr>
                <w:rFonts w:asciiTheme="minorHAnsi" w:hAnsiTheme="minorHAnsi" w:cstheme="minorHAnsi"/>
                <w:color w:val="auto"/>
              </w:rPr>
              <w:t>3.1 Povećati broj zaposlenih u ključnim institucijama (AZŽS, Ministarstvo ekologije)</w:t>
            </w:r>
          </w:p>
        </w:tc>
        <w:tc>
          <w:tcPr>
            <w:tcW w:w="0" w:type="auto"/>
            <w:hideMark/>
          </w:tcPr>
          <w:p w14:paraId="1E912AF9"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w:t>
            </w:r>
          </w:p>
        </w:tc>
        <w:tc>
          <w:tcPr>
            <w:tcW w:w="1154" w:type="dxa"/>
            <w:gridSpan w:val="2"/>
            <w:hideMark/>
          </w:tcPr>
          <w:p w14:paraId="422A51D9"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w:t>
            </w:r>
          </w:p>
        </w:tc>
        <w:tc>
          <w:tcPr>
            <w:tcW w:w="2594" w:type="dxa"/>
            <w:hideMark/>
          </w:tcPr>
          <w:p w14:paraId="6C92BEEE"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w:t>
            </w:r>
          </w:p>
        </w:tc>
        <w:tc>
          <w:tcPr>
            <w:tcW w:w="2671" w:type="dxa"/>
            <w:hideMark/>
          </w:tcPr>
          <w:p w14:paraId="54B3AD24"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Broj novozaposlenih stručnjaka</w:t>
            </w:r>
          </w:p>
        </w:tc>
        <w:tc>
          <w:tcPr>
            <w:tcW w:w="1986" w:type="dxa"/>
            <w:hideMark/>
          </w:tcPr>
          <w:p w14:paraId="0C062183" w14:textId="0190CE86"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 xml:space="preserve">Aktivnost </w:t>
            </w:r>
            <w:r w:rsidR="00781655" w:rsidRPr="00292255">
              <w:rPr>
                <w:rFonts w:asciiTheme="minorHAnsi" w:hAnsiTheme="minorHAnsi" w:cstheme="minorHAnsi"/>
                <w:color w:val="auto"/>
              </w:rPr>
              <w:t xml:space="preserve">planirana kroz </w:t>
            </w:r>
            <w:r w:rsidRPr="00292255">
              <w:rPr>
                <w:rFonts w:asciiTheme="minorHAnsi" w:hAnsiTheme="minorHAnsi" w:cstheme="minorHAnsi"/>
                <w:color w:val="auto"/>
              </w:rPr>
              <w:t xml:space="preserve"> Budžet CG - nijesu</w:t>
            </w:r>
          </w:p>
          <w:p w14:paraId="6240537D"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potrebna dodatna</w:t>
            </w:r>
          </w:p>
          <w:p w14:paraId="58CFC564"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finansijska sredstva</w:t>
            </w:r>
          </w:p>
        </w:tc>
      </w:tr>
      <w:tr w:rsidR="00C4574D" w:rsidRPr="00292255" w14:paraId="00D2B1EE" w14:textId="77777777" w:rsidTr="00F50788">
        <w:tc>
          <w:tcPr>
            <w:cnfStyle w:val="001000000000" w:firstRow="0" w:lastRow="0" w:firstColumn="1" w:lastColumn="0" w:oddVBand="0" w:evenVBand="0" w:oddHBand="0" w:evenHBand="0" w:firstRowFirstColumn="0" w:firstRowLastColumn="0" w:lastRowFirstColumn="0" w:lastRowLastColumn="0"/>
            <w:tcW w:w="0" w:type="auto"/>
            <w:hideMark/>
          </w:tcPr>
          <w:p w14:paraId="303911C9" w14:textId="77777777" w:rsidR="00C4574D" w:rsidRPr="00292255" w:rsidRDefault="00C4574D" w:rsidP="00033AB8">
            <w:pPr>
              <w:rPr>
                <w:rFonts w:asciiTheme="minorHAnsi" w:hAnsiTheme="minorHAnsi" w:cstheme="minorHAnsi"/>
                <w:color w:val="auto"/>
              </w:rPr>
            </w:pPr>
            <w:r w:rsidRPr="00292255">
              <w:rPr>
                <w:rFonts w:asciiTheme="minorHAnsi" w:hAnsiTheme="minorHAnsi" w:cstheme="minorHAnsi"/>
                <w:color w:val="auto"/>
              </w:rPr>
              <w:t>3.2 Organizovanje kontinuiranih obuka i sertifikacija za inspektore i stručnjake za POPs</w:t>
            </w:r>
          </w:p>
        </w:tc>
        <w:tc>
          <w:tcPr>
            <w:tcW w:w="0" w:type="auto"/>
            <w:hideMark/>
          </w:tcPr>
          <w:p w14:paraId="186C2197"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w:t>
            </w:r>
          </w:p>
        </w:tc>
        <w:tc>
          <w:tcPr>
            <w:tcW w:w="1154" w:type="dxa"/>
            <w:gridSpan w:val="2"/>
            <w:hideMark/>
          </w:tcPr>
          <w:p w14:paraId="075161F8"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w:t>
            </w:r>
          </w:p>
        </w:tc>
        <w:tc>
          <w:tcPr>
            <w:tcW w:w="2594" w:type="dxa"/>
            <w:hideMark/>
          </w:tcPr>
          <w:p w14:paraId="58281ED7"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w:t>
            </w:r>
          </w:p>
        </w:tc>
        <w:tc>
          <w:tcPr>
            <w:tcW w:w="2671" w:type="dxa"/>
            <w:hideMark/>
          </w:tcPr>
          <w:p w14:paraId="1633FD58"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Broj sprovedenih obuka i obučenih lica</w:t>
            </w:r>
          </w:p>
        </w:tc>
        <w:tc>
          <w:tcPr>
            <w:tcW w:w="1986" w:type="dxa"/>
            <w:hideMark/>
          </w:tcPr>
          <w:p w14:paraId="638AC746"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Izvor: TAIEX, IPA-ECHA I dr</w:t>
            </w:r>
          </w:p>
          <w:p w14:paraId="5E0BAC02"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20.000 €</w:t>
            </w:r>
          </w:p>
        </w:tc>
      </w:tr>
      <w:tr w:rsidR="00C4574D" w:rsidRPr="00C86111" w14:paraId="2F13317F" w14:textId="77777777" w:rsidTr="00F50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00ABD6"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3.3 Formalno uspostaviti i operativno osposobiti Centar za kontrolu trovanja</w:t>
            </w:r>
          </w:p>
        </w:tc>
        <w:tc>
          <w:tcPr>
            <w:tcW w:w="0" w:type="auto"/>
            <w:hideMark/>
          </w:tcPr>
          <w:p w14:paraId="6ACD094E"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2026</w:t>
            </w:r>
          </w:p>
        </w:tc>
        <w:tc>
          <w:tcPr>
            <w:tcW w:w="1154" w:type="dxa"/>
            <w:gridSpan w:val="2"/>
            <w:hideMark/>
          </w:tcPr>
          <w:p w14:paraId="56EAF58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2027</w:t>
            </w:r>
          </w:p>
        </w:tc>
        <w:tc>
          <w:tcPr>
            <w:tcW w:w="2594" w:type="dxa"/>
            <w:hideMark/>
          </w:tcPr>
          <w:p w14:paraId="0ED910FC"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MZ, KCCG</w:t>
            </w:r>
          </w:p>
        </w:tc>
        <w:tc>
          <w:tcPr>
            <w:tcW w:w="2671" w:type="dxa"/>
            <w:hideMark/>
          </w:tcPr>
          <w:p w14:paraId="386D531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Centar operativan</w:t>
            </w:r>
          </w:p>
        </w:tc>
        <w:tc>
          <w:tcPr>
            <w:tcW w:w="1986" w:type="dxa"/>
            <w:hideMark/>
          </w:tcPr>
          <w:p w14:paraId="55194E07"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Sredstva će se</w:t>
            </w:r>
          </w:p>
          <w:p w14:paraId="46D356FB"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obezbijediti iz budžeta</w:t>
            </w:r>
          </w:p>
          <w:p w14:paraId="34BCBF5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i/ili donatorskih fondova u skladu sa planovima</w:t>
            </w:r>
          </w:p>
          <w:p w14:paraId="4806270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MZ</w:t>
            </w:r>
          </w:p>
        </w:tc>
      </w:tr>
    </w:tbl>
    <w:p w14:paraId="0E5EB0B4" w14:textId="77777777" w:rsidR="00C4574D" w:rsidRDefault="00C4574D" w:rsidP="00C4574D">
      <w:pPr>
        <w:rPr>
          <w:rFonts w:asciiTheme="minorHAnsi" w:hAnsiTheme="minorHAnsi" w:cstheme="minorHAnsi"/>
        </w:rPr>
      </w:pPr>
    </w:p>
    <w:p w14:paraId="1E54DA93" w14:textId="77777777" w:rsidR="00F50788" w:rsidRDefault="00F50788" w:rsidP="00C4574D">
      <w:pPr>
        <w:rPr>
          <w:rFonts w:asciiTheme="minorHAnsi" w:hAnsiTheme="minorHAnsi" w:cstheme="minorHAnsi"/>
        </w:rPr>
      </w:pPr>
    </w:p>
    <w:p w14:paraId="3AEABA8C" w14:textId="77777777" w:rsidR="00F50788" w:rsidRPr="00C86111" w:rsidRDefault="00F50788" w:rsidP="00C4574D">
      <w:pPr>
        <w:rPr>
          <w:rFonts w:asciiTheme="minorHAnsi" w:hAnsiTheme="minorHAnsi" w:cstheme="minorHAnsi"/>
        </w:rPr>
      </w:pPr>
    </w:p>
    <w:p w14:paraId="61AD9B84" w14:textId="77777777" w:rsidR="00C4574D" w:rsidRPr="00C86111" w:rsidRDefault="00C4574D" w:rsidP="00C4574D">
      <w:pPr>
        <w:rPr>
          <w:rFonts w:asciiTheme="minorHAnsi" w:hAnsiTheme="minorHAnsi" w:cstheme="minorHAnsi"/>
        </w:rPr>
      </w:pPr>
      <w:r w:rsidRPr="00C86111">
        <w:rPr>
          <w:rFonts w:asciiTheme="minorHAnsi" w:hAnsiTheme="minorHAnsi" w:cstheme="minorHAnsi"/>
          <w:b/>
          <w:bCs/>
        </w:rPr>
        <w:lastRenderedPageBreak/>
        <w:t>Operativni cilj 4: Povezivanje sektorskih zakona i jačanje međuresorne saradnje u oblasti POPs.</w:t>
      </w:r>
    </w:p>
    <w:tbl>
      <w:tblPr>
        <w:tblStyle w:val="GridTable4-Accent6"/>
        <w:tblW w:w="0" w:type="auto"/>
        <w:tblLook w:val="04A0" w:firstRow="1" w:lastRow="0" w:firstColumn="1" w:lastColumn="0" w:noHBand="0" w:noVBand="1"/>
      </w:tblPr>
      <w:tblGrid>
        <w:gridCol w:w="5429"/>
        <w:gridCol w:w="992"/>
        <w:gridCol w:w="1154"/>
        <w:gridCol w:w="1366"/>
        <w:gridCol w:w="1854"/>
        <w:gridCol w:w="2155"/>
      </w:tblGrid>
      <w:tr w:rsidR="00C4574D" w:rsidRPr="00C86111" w14:paraId="051C3726"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52A32B25"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gridSpan w:val="2"/>
            <w:hideMark/>
          </w:tcPr>
          <w:p w14:paraId="58BB1849"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hideMark/>
          </w:tcPr>
          <w:p w14:paraId="1C9F8D4D"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0" w:type="auto"/>
            <w:hideMark/>
          </w:tcPr>
          <w:p w14:paraId="2FFC8237"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C86111" w14:paraId="2530E1BA"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267C6501"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sektorskih propisa usklađenih i međusobno povezanih (zdravlje, poljoprivreda, životna sredina)</w:t>
            </w:r>
          </w:p>
        </w:tc>
        <w:tc>
          <w:tcPr>
            <w:tcW w:w="0" w:type="auto"/>
            <w:gridSpan w:val="2"/>
            <w:hideMark/>
          </w:tcPr>
          <w:p w14:paraId="0D3B93AF"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0</w:t>
            </w:r>
          </w:p>
        </w:tc>
        <w:tc>
          <w:tcPr>
            <w:tcW w:w="0" w:type="auto"/>
            <w:hideMark/>
          </w:tcPr>
          <w:p w14:paraId="419D5C84"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w:t>
            </w:r>
          </w:p>
        </w:tc>
        <w:tc>
          <w:tcPr>
            <w:tcW w:w="0" w:type="auto"/>
            <w:hideMark/>
          </w:tcPr>
          <w:p w14:paraId="4CF319C8"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w:t>
            </w:r>
          </w:p>
        </w:tc>
      </w:tr>
      <w:tr w:rsidR="00C4574D" w:rsidRPr="00C86111" w14:paraId="1D5564F1"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2BB63902"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Aktivnost</w:t>
            </w:r>
          </w:p>
        </w:tc>
        <w:tc>
          <w:tcPr>
            <w:tcW w:w="0" w:type="auto"/>
            <w:hideMark/>
          </w:tcPr>
          <w:p w14:paraId="08B5D979"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Početak</w:t>
            </w:r>
          </w:p>
        </w:tc>
        <w:tc>
          <w:tcPr>
            <w:tcW w:w="0" w:type="auto"/>
            <w:hideMark/>
          </w:tcPr>
          <w:p w14:paraId="43649EF8"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Završetak</w:t>
            </w:r>
          </w:p>
        </w:tc>
        <w:tc>
          <w:tcPr>
            <w:tcW w:w="0" w:type="auto"/>
            <w:hideMark/>
          </w:tcPr>
          <w:p w14:paraId="063369C9"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aktivnosti</w:t>
            </w:r>
          </w:p>
        </w:tc>
        <w:tc>
          <w:tcPr>
            <w:tcW w:w="1854" w:type="dxa"/>
            <w:hideMark/>
          </w:tcPr>
          <w:p w14:paraId="7D6E07C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2155" w:type="dxa"/>
            <w:hideMark/>
          </w:tcPr>
          <w:p w14:paraId="012C58C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C4574D" w:rsidRPr="00C86111" w14:paraId="6597B273"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0E24F3"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4.1 Izrada prijedloga akta za međusektorsku harmonizaciju zakona iz oblasti zdravlja, poljoprivrede i životne sredine u dijelu koji se odnosi na POPs pesticide</w:t>
            </w:r>
          </w:p>
        </w:tc>
        <w:tc>
          <w:tcPr>
            <w:tcW w:w="0" w:type="auto"/>
            <w:hideMark/>
          </w:tcPr>
          <w:p w14:paraId="69AC7AD8"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2026</w:t>
            </w:r>
          </w:p>
        </w:tc>
        <w:tc>
          <w:tcPr>
            <w:tcW w:w="0" w:type="auto"/>
            <w:hideMark/>
          </w:tcPr>
          <w:p w14:paraId="18F19CBE"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2027</w:t>
            </w:r>
          </w:p>
        </w:tc>
        <w:tc>
          <w:tcPr>
            <w:tcW w:w="0" w:type="auto"/>
            <w:hideMark/>
          </w:tcPr>
          <w:p w14:paraId="0816EA9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w:t>
            </w:r>
          </w:p>
        </w:tc>
        <w:tc>
          <w:tcPr>
            <w:tcW w:w="1854" w:type="dxa"/>
            <w:hideMark/>
          </w:tcPr>
          <w:p w14:paraId="7231390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Prijedlog akta usvojen</w:t>
            </w:r>
          </w:p>
        </w:tc>
        <w:tc>
          <w:tcPr>
            <w:tcW w:w="2155" w:type="dxa"/>
            <w:hideMark/>
          </w:tcPr>
          <w:p w14:paraId="6564B90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Aktivnost pokrivena iz</w:t>
            </w:r>
          </w:p>
          <w:p w14:paraId="641AF71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Budžeta CG - nijesu</w:t>
            </w:r>
          </w:p>
          <w:p w14:paraId="79870ED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potrebna dodatna</w:t>
            </w:r>
          </w:p>
          <w:p w14:paraId="4D5233B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finansijska sredstva</w:t>
            </w:r>
          </w:p>
        </w:tc>
      </w:tr>
      <w:tr w:rsidR="00C4574D" w:rsidRPr="00292255" w14:paraId="2B895221"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07A5C8FC" w14:textId="77777777" w:rsidR="00C4574D" w:rsidRPr="00292255" w:rsidRDefault="00C4574D" w:rsidP="00033AB8">
            <w:pPr>
              <w:rPr>
                <w:rFonts w:asciiTheme="minorHAnsi" w:hAnsiTheme="minorHAnsi" w:cstheme="minorHAnsi"/>
                <w:color w:val="auto"/>
              </w:rPr>
            </w:pPr>
            <w:r w:rsidRPr="00292255">
              <w:rPr>
                <w:rFonts w:asciiTheme="minorHAnsi" w:hAnsiTheme="minorHAnsi" w:cstheme="minorHAnsi"/>
                <w:color w:val="auto"/>
              </w:rPr>
              <w:t>4.2 Formiranje stalnog Nacionalno koordinacionog tijela za praćenje stanja u oblasti upravljanja hemikalijama i otpadom</w:t>
            </w:r>
          </w:p>
        </w:tc>
        <w:tc>
          <w:tcPr>
            <w:tcW w:w="0" w:type="auto"/>
            <w:hideMark/>
          </w:tcPr>
          <w:p w14:paraId="7E1C31E7"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2026</w:t>
            </w:r>
          </w:p>
        </w:tc>
        <w:tc>
          <w:tcPr>
            <w:tcW w:w="0" w:type="auto"/>
            <w:hideMark/>
          </w:tcPr>
          <w:p w14:paraId="1AB35A44" w14:textId="336B8E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202</w:t>
            </w:r>
            <w:r w:rsidR="00292255">
              <w:rPr>
                <w:rFonts w:asciiTheme="minorHAnsi" w:hAnsiTheme="minorHAnsi" w:cstheme="minorHAnsi"/>
                <w:color w:val="auto"/>
              </w:rPr>
              <w:t>7</w:t>
            </w:r>
          </w:p>
        </w:tc>
        <w:tc>
          <w:tcPr>
            <w:tcW w:w="0" w:type="auto"/>
            <w:hideMark/>
          </w:tcPr>
          <w:p w14:paraId="6D9A932E"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w:t>
            </w:r>
          </w:p>
        </w:tc>
        <w:tc>
          <w:tcPr>
            <w:tcW w:w="1854" w:type="dxa"/>
            <w:hideMark/>
          </w:tcPr>
          <w:p w14:paraId="5E0D398E"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Nacionalni koordinacioni mehanizam u funkciji</w:t>
            </w:r>
          </w:p>
        </w:tc>
        <w:tc>
          <w:tcPr>
            <w:tcW w:w="2155" w:type="dxa"/>
            <w:hideMark/>
          </w:tcPr>
          <w:p w14:paraId="7D04F6A2" w14:textId="5A2BC46B" w:rsidR="00781655" w:rsidRPr="00292255" w:rsidRDefault="00781655" w:rsidP="0078165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Aktivnost pokrivena iz</w:t>
            </w:r>
          </w:p>
          <w:p w14:paraId="4276A91A" w14:textId="369151DD" w:rsidR="00781655" w:rsidRPr="00292255" w:rsidRDefault="00781655" w:rsidP="0078165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 xml:space="preserve">Budžeta CG </w:t>
            </w:r>
          </w:p>
          <w:p w14:paraId="3C65E184" w14:textId="01936F43" w:rsidR="00C4574D" w:rsidRPr="00292255" w:rsidRDefault="00C4574D" w:rsidP="0078165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r>
    </w:tbl>
    <w:p w14:paraId="4E209946" w14:textId="77777777" w:rsidR="00C4574D" w:rsidRPr="00C86111" w:rsidRDefault="00C4574D" w:rsidP="00C4574D">
      <w:pPr>
        <w:rPr>
          <w:rFonts w:asciiTheme="minorHAnsi" w:hAnsiTheme="minorHAnsi" w:cstheme="minorHAnsi"/>
          <w:b/>
          <w:bCs/>
          <w:color w:val="EE0000"/>
        </w:rPr>
      </w:pPr>
    </w:p>
    <w:p w14:paraId="4A8CC905" w14:textId="0EA26BCB" w:rsidR="00C4574D" w:rsidRPr="00C86111" w:rsidRDefault="00C4574D" w:rsidP="00C4574D">
      <w:pPr>
        <w:rPr>
          <w:rFonts w:asciiTheme="minorHAnsi" w:hAnsiTheme="minorHAnsi" w:cstheme="minorHAnsi"/>
          <w:b/>
          <w:bCs/>
        </w:rPr>
      </w:pPr>
      <w:r w:rsidRPr="006D5D17">
        <w:rPr>
          <w:rFonts w:asciiTheme="minorHAnsi" w:hAnsiTheme="minorHAnsi" w:cstheme="minorHAnsi"/>
          <w:b/>
          <w:bCs/>
          <w:color w:val="002060"/>
        </w:rPr>
        <w:t xml:space="preserve">STRATEŠKI CILJ </w:t>
      </w:r>
      <w:r w:rsidR="006D5D17" w:rsidRPr="006D5D17">
        <w:rPr>
          <w:rFonts w:asciiTheme="minorHAnsi" w:hAnsiTheme="minorHAnsi" w:cstheme="minorHAnsi"/>
          <w:b/>
          <w:bCs/>
          <w:color w:val="002060"/>
        </w:rPr>
        <w:t>2</w:t>
      </w:r>
      <w:r w:rsidRPr="006D5D17">
        <w:rPr>
          <w:rFonts w:asciiTheme="minorHAnsi" w:hAnsiTheme="minorHAnsi" w:cstheme="minorHAnsi"/>
          <w:b/>
          <w:bCs/>
          <w:color w:val="002060"/>
        </w:rPr>
        <w:t xml:space="preserve"> : </w:t>
      </w:r>
      <w:r w:rsidRPr="00C86111">
        <w:rPr>
          <w:rFonts w:asciiTheme="minorHAnsi" w:hAnsiTheme="minorHAnsi" w:cstheme="minorHAnsi"/>
          <w:b/>
          <w:bCs/>
        </w:rPr>
        <w:t>Ojačati kontrolu, upravljanje i svijest o proizvodima koji sadrže PBDEs, HBB</w:t>
      </w:r>
      <w:r w:rsidR="006D5D17">
        <w:rPr>
          <w:rFonts w:asciiTheme="minorHAnsi" w:hAnsiTheme="minorHAnsi" w:cstheme="minorHAnsi"/>
          <w:b/>
          <w:bCs/>
        </w:rPr>
        <w:t>,</w:t>
      </w:r>
      <w:r w:rsidR="006D5D17" w:rsidRPr="006D5D17">
        <w:t xml:space="preserve"> </w:t>
      </w:r>
      <w:r w:rsidR="006D5D17" w:rsidRPr="006D5D17">
        <w:rPr>
          <w:rFonts w:asciiTheme="minorHAnsi" w:hAnsiTheme="minorHAnsi" w:cstheme="minorHAnsi"/>
          <w:b/>
          <w:bCs/>
        </w:rPr>
        <w:t>SCCP/MCCP</w:t>
      </w:r>
      <w:r w:rsidR="006D5D17">
        <w:rPr>
          <w:rFonts w:asciiTheme="minorHAnsi" w:hAnsiTheme="minorHAnsi" w:cstheme="minorHAnsi"/>
          <w:b/>
          <w:bCs/>
        </w:rPr>
        <w:t>,</w:t>
      </w:r>
      <w:r w:rsidR="006D5D17" w:rsidRPr="006D5D17">
        <w:t xml:space="preserve"> </w:t>
      </w:r>
      <w:r w:rsidR="006D5D17" w:rsidRPr="006D5D17">
        <w:rPr>
          <w:rFonts w:asciiTheme="minorHAnsi" w:hAnsiTheme="minorHAnsi" w:cstheme="minorHAnsi"/>
          <w:b/>
          <w:bCs/>
        </w:rPr>
        <w:t>PFAS</w:t>
      </w:r>
      <w:r w:rsidRPr="00C86111">
        <w:rPr>
          <w:rFonts w:asciiTheme="minorHAnsi" w:hAnsiTheme="minorHAnsi" w:cstheme="minorHAnsi"/>
          <w:b/>
          <w:bCs/>
        </w:rPr>
        <w:t xml:space="preserve"> i HBCDD u Crnoj Gori, u skladu sa Stokholmskom konvencijom, radi zaštite zdravlja ljudi i životne sredine.</w:t>
      </w:r>
    </w:p>
    <w:p w14:paraId="1608A69A" w14:textId="77777777" w:rsidR="00C4574D" w:rsidRPr="00C86111" w:rsidRDefault="00C4574D" w:rsidP="00C4574D">
      <w:pPr>
        <w:rPr>
          <w:rFonts w:asciiTheme="minorHAnsi" w:hAnsiTheme="minorHAnsi" w:cstheme="minorHAnsi"/>
        </w:rPr>
      </w:pPr>
    </w:p>
    <w:p w14:paraId="64EC16FE" w14:textId="77777777" w:rsidR="00C4574D" w:rsidRPr="00C86111" w:rsidRDefault="00C4574D" w:rsidP="00C4574D">
      <w:pPr>
        <w:rPr>
          <w:rFonts w:asciiTheme="minorHAnsi" w:hAnsiTheme="minorHAnsi" w:cstheme="minorHAnsi"/>
        </w:rPr>
      </w:pPr>
      <w:r w:rsidRPr="00C86111">
        <w:rPr>
          <w:rFonts w:asciiTheme="minorHAnsi" w:hAnsiTheme="minorHAnsi" w:cstheme="minorHAnsi"/>
          <w:b/>
          <w:bCs/>
        </w:rPr>
        <w:t xml:space="preserve">Operativni cilj  1: </w:t>
      </w:r>
      <w:r w:rsidRPr="00C86111">
        <w:rPr>
          <w:rFonts w:asciiTheme="minorHAnsi" w:hAnsiTheme="minorHAnsi" w:cstheme="minorHAnsi"/>
        </w:rPr>
        <w:t>Pravilno upravljanje proizvodima koji sadrže PBDEs, HBB i HBCDD hemikalije, u skladu sa smjernicama Stokholmske konvencije.</w:t>
      </w:r>
    </w:p>
    <w:tbl>
      <w:tblPr>
        <w:tblStyle w:val="GridTable4-Accent6"/>
        <w:tblW w:w="0" w:type="auto"/>
        <w:tblLook w:val="04A0" w:firstRow="1" w:lastRow="0" w:firstColumn="1" w:lastColumn="0" w:noHBand="0" w:noVBand="1"/>
      </w:tblPr>
      <w:tblGrid>
        <w:gridCol w:w="4475"/>
        <w:gridCol w:w="2037"/>
        <w:gridCol w:w="1664"/>
        <w:gridCol w:w="716"/>
        <w:gridCol w:w="714"/>
        <w:gridCol w:w="1819"/>
        <w:gridCol w:w="1525"/>
      </w:tblGrid>
      <w:tr w:rsidR="00C4574D" w:rsidRPr="00C86111" w14:paraId="258B1B56"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025CCA61"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gridSpan w:val="2"/>
            <w:hideMark/>
          </w:tcPr>
          <w:p w14:paraId="3CCC9AF8"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gridSpan w:val="2"/>
            <w:hideMark/>
          </w:tcPr>
          <w:p w14:paraId="1061EAA0"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0" w:type="auto"/>
            <w:hideMark/>
          </w:tcPr>
          <w:p w14:paraId="1772AE08"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C86111" w14:paraId="7F018B0A"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64A46F15" w14:textId="1B3ED184" w:rsidR="00C4574D" w:rsidRPr="00C86111" w:rsidRDefault="00C4574D" w:rsidP="00033AB8">
            <w:pPr>
              <w:rPr>
                <w:rFonts w:asciiTheme="minorHAnsi" w:hAnsiTheme="minorHAnsi" w:cstheme="minorHAnsi"/>
              </w:rPr>
            </w:pPr>
            <w:r w:rsidRPr="00C86111">
              <w:rPr>
                <w:rFonts w:asciiTheme="minorHAnsi" w:hAnsiTheme="minorHAnsi" w:cstheme="minorHAnsi"/>
              </w:rPr>
              <w:t>Broj uspostavljenih i primijenjenih regulatornih i tehničkih instrumenata za kontrolu proizvoda sa HBCDD/PBDEs/HBB</w:t>
            </w:r>
            <w:r w:rsidR="006D5D17">
              <w:rPr>
                <w:rFonts w:asciiTheme="minorHAnsi" w:hAnsiTheme="minorHAnsi" w:cstheme="minorHAnsi"/>
              </w:rPr>
              <w:t>/</w:t>
            </w:r>
            <w:r w:rsidR="006D5D17" w:rsidRPr="00C86111">
              <w:rPr>
                <w:rFonts w:asciiTheme="minorHAnsi" w:hAnsiTheme="minorHAnsi" w:cstheme="minorHAnsi"/>
              </w:rPr>
              <w:t xml:space="preserve"> SCCP/MCCP</w:t>
            </w:r>
            <w:r w:rsidR="006D5D17">
              <w:rPr>
                <w:rFonts w:asciiTheme="minorHAnsi" w:hAnsiTheme="minorHAnsi" w:cstheme="minorHAnsi"/>
              </w:rPr>
              <w:t>/</w:t>
            </w:r>
            <w:r w:rsidR="006D5D17" w:rsidRPr="00C86111">
              <w:rPr>
                <w:rFonts w:asciiTheme="minorHAnsi" w:hAnsiTheme="minorHAnsi" w:cstheme="minorHAnsi"/>
              </w:rPr>
              <w:t xml:space="preserve"> PFAS</w:t>
            </w:r>
          </w:p>
        </w:tc>
        <w:tc>
          <w:tcPr>
            <w:tcW w:w="0" w:type="auto"/>
            <w:gridSpan w:val="2"/>
            <w:hideMark/>
          </w:tcPr>
          <w:p w14:paraId="1346655A"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0</w:t>
            </w:r>
          </w:p>
        </w:tc>
        <w:tc>
          <w:tcPr>
            <w:tcW w:w="0" w:type="auto"/>
            <w:gridSpan w:val="2"/>
            <w:hideMark/>
          </w:tcPr>
          <w:p w14:paraId="0EAAF6AE"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Min. 2 instrumenta</w:t>
            </w:r>
          </w:p>
        </w:tc>
        <w:tc>
          <w:tcPr>
            <w:tcW w:w="0" w:type="auto"/>
            <w:hideMark/>
          </w:tcPr>
          <w:p w14:paraId="4FC6218A"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Potpuno funkcionalan sistem kontrole</w:t>
            </w:r>
          </w:p>
        </w:tc>
      </w:tr>
      <w:tr w:rsidR="00C4574D" w:rsidRPr="00C86111" w14:paraId="0396D10B" w14:textId="77777777" w:rsidTr="00033AB8">
        <w:tc>
          <w:tcPr>
            <w:cnfStyle w:val="001000000000" w:firstRow="0" w:lastRow="0" w:firstColumn="1" w:lastColumn="0" w:oddVBand="0" w:evenVBand="0" w:oddHBand="0" w:evenHBand="0" w:firstRowFirstColumn="0" w:firstRowLastColumn="0" w:lastRowFirstColumn="0" w:lastRowLastColumn="0"/>
            <w:tcW w:w="0" w:type="auto"/>
            <w:gridSpan w:val="2"/>
            <w:hideMark/>
          </w:tcPr>
          <w:p w14:paraId="793FEBA6"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obučenih službenika (carina, inspekcije, relevantne institucije)</w:t>
            </w:r>
          </w:p>
        </w:tc>
        <w:tc>
          <w:tcPr>
            <w:tcW w:w="0" w:type="auto"/>
            <w:gridSpan w:val="2"/>
            <w:hideMark/>
          </w:tcPr>
          <w:p w14:paraId="24404A99"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0</w:t>
            </w:r>
          </w:p>
        </w:tc>
        <w:tc>
          <w:tcPr>
            <w:tcW w:w="0" w:type="auto"/>
            <w:gridSpan w:val="2"/>
            <w:hideMark/>
          </w:tcPr>
          <w:p w14:paraId="517A9CD5"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 20</w:t>
            </w:r>
          </w:p>
        </w:tc>
        <w:tc>
          <w:tcPr>
            <w:tcW w:w="0" w:type="auto"/>
            <w:hideMark/>
          </w:tcPr>
          <w:p w14:paraId="67DF7BA1"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Kontinuiran sistem obuke</w:t>
            </w:r>
          </w:p>
        </w:tc>
      </w:tr>
      <w:tr w:rsidR="00C4574D" w:rsidRPr="00C86111" w14:paraId="22FEEC43"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BDE48A5"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lastRenderedPageBreak/>
              <w:t>Broj sprovedenih aktivnosti podizanja svijesti o POPs hemikalijama</w:t>
            </w:r>
          </w:p>
        </w:tc>
        <w:tc>
          <w:tcPr>
            <w:tcW w:w="0" w:type="auto"/>
            <w:gridSpan w:val="2"/>
            <w:hideMark/>
          </w:tcPr>
          <w:p w14:paraId="2995BDE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0</w:t>
            </w:r>
          </w:p>
        </w:tc>
        <w:tc>
          <w:tcPr>
            <w:tcW w:w="0" w:type="auto"/>
            <w:gridSpan w:val="2"/>
            <w:hideMark/>
          </w:tcPr>
          <w:p w14:paraId="70A235B4"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 2</w:t>
            </w:r>
          </w:p>
        </w:tc>
        <w:tc>
          <w:tcPr>
            <w:tcW w:w="0" w:type="auto"/>
            <w:hideMark/>
          </w:tcPr>
          <w:p w14:paraId="19F339D9"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Redovne godišnje kampanje</w:t>
            </w:r>
          </w:p>
        </w:tc>
      </w:tr>
      <w:tr w:rsidR="00C4574D" w:rsidRPr="00C86111" w14:paraId="44FB19F0" w14:textId="77777777" w:rsidTr="00F50788">
        <w:tc>
          <w:tcPr>
            <w:cnfStyle w:val="001000000000" w:firstRow="0" w:lastRow="0" w:firstColumn="1" w:lastColumn="0" w:oddVBand="0" w:evenVBand="0" w:oddHBand="0" w:evenHBand="0" w:firstRowFirstColumn="0" w:firstRowLastColumn="0" w:lastRowFirstColumn="0" w:lastRowLastColumn="0"/>
            <w:tcW w:w="4853" w:type="dxa"/>
            <w:hideMark/>
          </w:tcPr>
          <w:p w14:paraId="1647686F"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Aktivnost</w:t>
            </w:r>
          </w:p>
        </w:tc>
        <w:tc>
          <w:tcPr>
            <w:tcW w:w="1835" w:type="dxa"/>
            <w:hideMark/>
          </w:tcPr>
          <w:p w14:paraId="4C7E334E"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realizacije</w:t>
            </w:r>
          </w:p>
        </w:tc>
        <w:tc>
          <w:tcPr>
            <w:tcW w:w="1536" w:type="dxa"/>
            <w:hideMark/>
          </w:tcPr>
          <w:p w14:paraId="20830E08"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Datum početka</w:t>
            </w:r>
          </w:p>
        </w:tc>
        <w:tc>
          <w:tcPr>
            <w:tcW w:w="1431" w:type="dxa"/>
            <w:gridSpan w:val="2"/>
            <w:hideMark/>
          </w:tcPr>
          <w:p w14:paraId="5EBE0273"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1655" w:type="dxa"/>
            <w:hideMark/>
          </w:tcPr>
          <w:p w14:paraId="3A70E2CC"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Planirani završetak</w:t>
            </w:r>
          </w:p>
        </w:tc>
        <w:tc>
          <w:tcPr>
            <w:tcW w:w="1640" w:type="dxa"/>
            <w:hideMark/>
          </w:tcPr>
          <w:p w14:paraId="17B990F7"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C4574D" w:rsidRPr="00C86111" w14:paraId="2777D8C5" w14:textId="77777777" w:rsidTr="00F50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3" w:type="dxa"/>
            <w:hideMark/>
          </w:tcPr>
          <w:p w14:paraId="701EED97" w14:textId="39AD22D6" w:rsidR="00C4574D" w:rsidRPr="00C86111" w:rsidRDefault="00C4574D" w:rsidP="00033AB8">
            <w:pPr>
              <w:rPr>
                <w:rFonts w:asciiTheme="minorHAnsi" w:hAnsiTheme="minorHAnsi" w:cstheme="minorHAnsi"/>
              </w:rPr>
            </w:pPr>
            <w:r w:rsidRPr="00C86111">
              <w:rPr>
                <w:rFonts w:asciiTheme="minorHAnsi" w:hAnsiTheme="minorHAnsi" w:cstheme="minorHAnsi"/>
              </w:rPr>
              <w:t>1.1 Izrada i usvajanje akta sa definisanim HS kodovima i kriterijumima za identifikaciju proizvoda koji sadrže HBCDD</w:t>
            </w:r>
            <w:r w:rsidR="006D5D17">
              <w:rPr>
                <w:rFonts w:asciiTheme="minorHAnsi" w:hAnsiTheme="minorHAnsi" w:cstheme="minorHAnsi"/>
              </w:rPr>
              <w:t>,</w:t>
            </w:r>
            <w:r w:rsidR="006D5D17" w:rsidRPr="00C86111">
              <w:rPr>
                <w:rFonts w:asciiTheme="minorHAnsi" w:hAnsiTheme="minorHAnsi" w:cstheme="minorHAnsi"/>
              </w:rPr>
              <w:t xml:space="preserve"> SCCP/MCCP</w:t>
            </w:r>
            <w:r w:rsidRPr="00C86111">
              <w:rPr>
                <w:rFonts w:asciiTheme="minorHAnsi" w:hAnsiTheme="minorHAnsi" w:cstheme="minorHAnsi"/>
              </w:rPr>
              <w:t>,</w:t>
            </w:r>
            <w:r w:rsidR="006D5D17" w:rsidRPr="00C86111">
              <w:rPr>
                <w:rFonts w:asciiTheme="minorHAnsi" w:hAnsiTheme="minorHAnsi" w:cstheme="minorHAnsi"/>
              </w:rPr>
              <w:t xml:space="preserve"> PFAS</w:t>
            </w:r>
            <w:r w:rsidRPr="00C86111">
              <w:rPr>
                <w:rFonts w:asciiTheme="minorHAnsi" w:hAnsiTheme="minorHAnsi" w:cstheme="minorHAnsi"/>
              </w:rPr>
              <w:t xml:space="preserve"> uz sprovođenje stručne obuke</w:t>
            </w:r>
          </w:p>
        </w:tc>
        <w:tc>
          <w:tcPr>
            <w:tcW w:w="1835" w:type="dxa"/>
            <w:hideMark/>
          </w:tcPr>
          <w:p w14:paraId="6D8DBF27"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MERS, POPs eksperti</w:t>
            </w:r>
          </w:p>
        </w:tc>
        <w:tc>
          <w:tcPr>
            <w:tcW w:w="1536" w:type="dxa"/>
            <w:hideMark/>
          </w:tcPr>
          <w:p w14:paraId="71EB1A6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2026</w:t>
            </w:r>
          </w:p>
        </w:tc>
        <w:tc>
          <w:tcPr>
            <w:tcW w:w="1431" w:type="dxa"/>
            <w:gridSpan w:val="2"/>
            <w:hideMark/>
          </w:tcPr>
          <w:p w14:paraId="6360B629"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Akt izrađen, usvojen i primjenjiv u praksi</w:t>
            </w:r>
          </w:p>
        </w:tc>
        <w:tc>
          <w:tcPr>
            <w:tcW w:w="1655" w:type="dxa"/>
            <w:hideMark/>
          </w:tcPr>
          <w:p w14:paraId="10392D85" w14:textId="1DBFA593"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w:t>
            </w:r>
            <w:r w:rsidR="00781655">
              <w:rPr>
                <w:rFonts w:asciiTheme="minorHAnsi" w:hAnsiTheme="minorHAnsi" w:cstheme="minorHAnsi"/>
              </w:rPr>
              <w:t>7</w:t>
            </w:r>
          </w:p>
        </w:tc>
        <w:tc>
          <w:tcPr>
            <w:tcW w:w="1640" w:type="dxa"/>
            <w:hideMark/>
          </w:tcPr>
          <w:p w14:paraId="7C940CFF" w14:textId="6DC4C81A"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 xml:space="preserve"> GEF, IPA, UNDP</w:t>
            </w:r>
          </w:p>
          <w:p w14:paraId="56C38FFE" w14:textId="04109F85" w:rsidR="00C4574D" w:rsidRPr="00C86111" w:rsidRDefault="006D5D17"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E65986">
              <w:rPr>
                <w:rFonts w:asciiTheme="minorHAnsi" w:hAnsiTheme="minorHAnsi" w:cstheme="minorHAnsi"/>
              </w:rPr>
              <w:t>5</w:t>
            </w:r>
            <w:r w:rsidR="00C4574D" w:rsidRPr="00C86111">
              <w:rPr>
                <w:rFonts w:asciiTheme="minorHAnsi" w:hAnsiTheme="minorHAnsi" w:cstheme="minorHAnsi"/>
              </w:rPr>
              <w:t>.000€</w:t>
            </w:r>
          </w:p>
        </w:tc>
      </w:tr>
      <w:tr w:rsidR="00C4574D" w:rsidRPr="00C86111" w14:paraId="7645585F" w14:textId="77777777" w:rsidTr="00F50788">
        <w:tc>
          <w:tcPr>
            <w:cnfStyle w:val="001000000000" w:firstRow="0" w:lastRow="0" w:firstColumn="1" w:lastColumn="0" w:oddVBand="0" w:evenVBand="0" w:oddHBand="0" w:evenHBand="0" w:firstRowFirstColumn="0" w:firstRowLastColumn="0" w:lastRowFirstColumn="0" w:lastRowLastColumn="0"/>
            <w:tcW w:w="4853" w:type="dxa"/>
            <w:hideMark/>
          </w:tcPr>
          <w:p w14:paraId="3BC3BAB5" w14:textId="6D8BBBB8" w:rsidR="00C4574D" w:rsidRPr="00C86111" w:rsidRDefault="00C4574D" w:rsidP="00033AB8">
            <w:pPr>
              <w:rPr>
                <w:rFonts w:asciiTheme="minorHAnsi" w:hAnsiTheme="minorHAnsi" w:cstheme="minorHAnsi"/>
              </w:rPr>
            </w:pPr>
            <w:r w:rsidRPr="00C86111">
              <w:rPr>
                <w:rFonts w:asciiTheme="minorHAnsi" w:hAnsiTheme="minorHAnsi" w:cstheme="minorHAnsi"/>
              </w:rPr>
              <w:t>1.2 Sprovođenje ciljane obuke carinskih službenika za tumačenje tehničkih specifikacija proizvoda radi pravovremenog prepoznavanja prisustva HBCDD</w:t>
            </w:r>
            <w:r w:rsidR="006D5D17">
              <w:rPr>
                <w:rFonts w:asciiTheme="minorHAnsi" w:hAnsiTheme="minorHAnsi" w:cstheme="minorHAnsi"/>
              </w:rPr>
              <w:t>,</w:t>
            </w:r>
            <w:r w:rsidR="006D5D17" w:rsidRPr="00C86111">
              <w:rPr>
                <w:rFonts w:asciiTheme="minorHAnsi" w:hAnsiTheme="minorHAnsi" w:cstheme="minorHAnsi"/>
              </w:rPr>
              <w:t xml:space="preserve"> SCCP/MCCP</w:t>
            </w:r>
            <w:r w:rsidR="006D5D17">
              <w:rPr>
                <w:rFonts w:asciiTheme="minorHAnsi" w:hAnsiTheme="minorHAnsi" w:cstheme="minorHAnsi"/>
              </w:rPr>
              <w:t>,</w:t>
            </w:r>
            <w:r w:rsidR="006D5D17" w:rsidRPr="00C86111">
              <w:rPr>
                <w:rFonts w:asciiTheme="minorHAnsi" w:hAnsiTheme="minorHAnsi" w:cstheme="minorHAnsi"/>
              </w:rPr>
              <w:t xml:space="preserve"> PFAS</w:t>
            </w:r>
            <w:r w:rsidRPr="00C86111">
              <w:rPr>
                <w:rFonts w:asciiTheme="minorHAnsi" w:hAnsiTheme="minorHAnsi" w:cstheme="minorHAnsi"/>
              </w:rPr>
              <w:t xml:space="preserve"> i zabrane uvoza neusklađenih proizvoda</w:t>
            </w:r>
          </w:p>
        </w:tc>
        <w:tc>
          <w:tcPr>
            <w:tcW w:w="1835" w:type="dxa"/>
            <w:hideMark/>
          </w:tcPr>
          <w:p w14:paraId="5EDE93FC"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MERS, POPs eksperti</w:t>
            </w:r>
          </w:p>
        </w:tc>
        <w:tc>
          <w:tcPr>
            <w:tcW w:w="1536" w:type="dxa"/>
            <w:hideMark/>
          </w:tcPr>
          <w:p w14:paraId="1BE00969"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2026</w:t>
            </w:r>
          </w:p>
        </w:tc>
        <w:tc>
          <w:tcPr>
            <w:tcW w:w="1431" w:type="dxa"/>
            <w:gridSpan w:val="2"/>
            <w:hideMark/>
          </w:tcPr>
          <w:p w14:paraId="7CD5B2F8"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Izvještaj o sprovedenoj obuci i lista učesnika</w:t>
            </w:r>
          </w:p>
        </w:tc>
        <w:tc>
          <w:tcPr>
            <w:tcW w:w="1655" w:type="dxa"/>
            <w:hideMark/>
          </w:tcPr>
          <w:p w14:paraId="2D3FCC48"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2027</w:t>
            </w:r>
          </w:p>
        </w:tc>
        <w:tc>
          <w:tcPr>
            <w:tcW w:w="1640" w:type="dxa"/>
            <w:hideMark/>
          </w:tcPr>
          <w:p w14:paraId="038CA72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GEF, IPA, UNDP</w:t>
            </w:r>
          </w:p>
          <w:p w14:paraId="45F4163F" w14:textId="67BFD5DF" w:rsidR="00C4574D" w:rsidRPr="00C86111" w:rsidRDefault="006D5D17"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w:t>
            </w:r>
            <w:r w:rsidR="00E65986">
              <w:rPr>
                <w:rFonts w:asciiTheme="minorHAnsi" w:hAnsiTheme="minorHAnsi" w:cstheme="minorHAnsi"/>
              </w:rPr>
              <w:t>5</w:t>
            </w:r>
            <w:r w:rsidR="00C4574D" w:rsidRPr="00C86111">
              <w:rPr>
                <w:rFonts w:asciiTheme="minorHAnsi" w:hAnsiTheme="minorHAnsi" w:cstheme="minorHAnsi"/>
              </w:rPr>
              <w:t>.000€</w:t>
            </w:r>
          </w:p>
          <w:p w14:paraId="40063B64"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A213043"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11ED1B99" w14:textId="77777777" w:rsidR="00C4574D" w:rsidRPr="00C86111" w:rsidRDefault="00C4574D" w:rsidP="00C4574D">
      <w:pPr>
        <w:rPr>
          <w:rFonts w:asciiTheme="minorHAnsi" w:hAnsiTheme="minorHAnsi" w:cstheme="minorHAnsi"/>
        </w:rPr>
      </w:pPr>
      <w:r w:rsidRPr="00C86111">
        <w:rPr>
          <w:rFonts w:asciiTheme="minorHAnsi" w:hAnsiTheme="minorHAnsi" w:cstheme="minorHAnsi"/>
          <w:b/>
          <w:bCs/>
        </w:rPr>
        <w:t xml:space="preserve">Operativni cilj  2: </w:t>
      </w:r>
      <w:r w:rsidRPr="00C86111">
        <w:rPr>
          <w:rFonts w:asciiTheme="minorHAnsi" w:hAnsiTheme="minorHAnsi" w:cstheme="minorHAnsi"/>
        </w:rPr>
        <w:t>Supstitucija i alternativni proizvodi – podstaći upotrebu alternativnih proizvoda koji ne sadrže HBCDD, PBDEs i HBB kroz ciljane obuke i informisanje korisnika.</w:t>
      </w:r>
    </w:p>
    <w:tbl>
      <w:tblPr>
        <w:tblStyle w:val="GridTable4-Accent6"/>
        <w:tblW w:w="12955" w:type="dxa"/>
        <w:tblLook w:val="04A0" w:firstRow="1" w:lastRow="0" w:firstColumn="1" w:lastColumn="0" w:noHBand="0" w:noVBand="1"/>
      </w:tblPr>
      <w:tblGrid>
        <w:gridCol w:w="5025"/>
        <w:gridCol w:w="1611"/>
        <w:gridCol w:w="1198"/>
        <w:gridCol w:w="1712"/>
        <w:gridCol w:w="1330"/>
        <w:gridCol w:w="2079"/>
      </w:tblGrid>
      <w:tr w:rsidR="00C4574D" w:rsidRPr="00C86111" w14:paraId="04A1D39C" w14:textId="77777777" w:rsidTr="006D5D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97EEC3"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hideMark/>
          </w:tcPr>
          <w:p w14:paraId="6AAF5820"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gridSpan w:val="2"/>
            <w:hideMark/>
          </w:tcPr>
          <w:p w14:paraId="63D4A0AF"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3409" w:type="dxa"/>
            <w:gridSpan w:val="2"/>
            <w:hideMark/>
          </w:tcPr>
          <w:p w14:paraId="6F254A57"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C86111" w14:paraId="0D1ADCDD" w14:textId="77777777" w:rsidTr="006D5D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3FBFA5"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obučenih korisnika</w:t>
            </w:r>
          </w:p>
        </w:tc>
        <w:tc>
          <w:tcPr>
            <w:tcW w:w="0" w:type="auto"/>
            <w:hideMark/>
          </w:tcPr>
          <w:p w14:paraId="5BA7EAB7"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w:t>
            </w:r>
          </w:p>
        </w:tc>
        <w:tc>
          <w:tcPr>
            <w:tcW w:w="0" w:type="auto"/>
            <w:gridSpan w:val="2"/>
            <w:hideMark/>
          </w:tcPr>
          <w:p w14:paraId="53E45D2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 10</w:t>
            </w:r>
          </w:p>
        </w:tc>
        <w:tc>
          <w:tcPr>
            <w:tcW w:w="3409" w:type="dxa"/>
            <w:gridSpan w:val="2"/>
            <w:hideMark/>
          </w:tcPr>
          <w:p w14:paraId="7AD65F81"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 20</w:t>
            </w:r>
          </w:p>
        </w:tc>
      </w:tr>
      <w:tr w:rsidR="00C4574D" w:rsidRPr="00C86111" w14:paraId="02A20A21" w14:textId="77777777" w:rsidTr="006D5D17">
        <w:tc>
          <w:tcPr>
            <w:cnfStyle w:val="001000000000" w:firstRow="0" w:lastRow="0" w:firstColumn="1" w:lastColumn="0" w:oddVBand="0" w:evenVBand="0" w:oddHBand="0" w:evenHBand="0" w:firstRowFirstColumn="0" w:firstRowLastColumn="0" w:lastRowFirstColumn="0" w:lastRowLastColumn="0"/>
            <w:tcW w:w="0" w:type="auto"/>
            <w:hideMark/>
          </w:tcPr>
          <w:p w14:paraId="5A97CDA5"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promotivnih/edukativnih materijala</w:t>
            </w:r>
          </w:p>
        </w:tc>
        <w:tc>
          <w:tcPr>
            <w:tcW w:w="0" w:type="auto"/>
            <w:hideMark/>
          </w:tcPr>
          <w:p w14:paraId="0CB91819"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w:t>
            </w:r>
          </w:p>
        </w:tc>
        <w:tc>
          <w:tcPr>
            <w:tcW w:w="0" w:type="auto"/>
            <w:gridSpan w:val="2"/>
            <w:hideMark/>
          </w:tcPr>
          <w:p w14:paraId="33DE32CD"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Min. 1</w:t>
            </w:r>
          </w:p>
        </w:tc>
        <w:tc>
          <w:tcPr>
            <w:tcW w:w="3409" w:type="dxa"/>
            <w:gridSpan w:val="2"/>
            <w:hideMark/>
          </w:tcPr>
          <w:p w14:paraId="6E4FB365"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Min. 3</w:t>
            </w:r>
          </w:p>
        </w:tc>
      </w:tr>
      <w:tr w:rsidR="00C4574D" w:rsidRPr="00C86111" w14:paraId="43F86D22" w14:textId="77777777" w:rsidTr="00F50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B39FFE"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Aktivnost</w:t>
            </w:r>
          </w:p>
        </w:tc>
        <w:tc>
          <w:tcPr>
            <w:tcW w:w="0" w:type="auto"/>
            <w:hideMark/>
          </w:tcPr>
          <w:p w14:paraId="390DB9B3"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realizacije</w:t>
            </w:r>
          </w:p>
        </w:tc>
        <w:tc>
          <w:tcPr>
            <w:tcW w:w="0" w:type="auto"/>
            <w:hideMark/>
          </w:tcPr>
          <w:p w14:paraId="5E99ED7B"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Datum početka</w:t>
            </w:r>
          </w:p>
        </w:tc>
        <w:tc>
          <w:tcPr>
            <w:tcW w:w="0" w:type="auto"/>
            <w:hideMark/>
          </w:tcPr>
          <w:p w14:paraId="52385F4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1330" w:type="dxa"/>
            <w:hideMark/>
          </w:tcPr>
          <w:p w14:paraId="57ABE73B"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Planirani završetak</w:t>
            </w:r>
          </w:p>
        </w:tc>
        <w:tc>
          <w:tcPr>
            <w:tcW w:w="2079" w:type="dxa"/>
            <w:hideMark/>
          </w:tcPr>
          <w:p w14:paraId="78D2A45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C4574D" w:rsidRPr="00C86111" w14:paraId="669B7E02" w14:textId="77777777" w:rsidTr="00F50788">
        <w:tc>
          <w:tcPr>
            <w:cnfStyle w:val="001000000000" w:firstRow="0" w:lastRow="0" w:firstColumn="1" w:lastColumn="0" w:oddVBand="0" w:evenVBand="0" w:oddHBand="0" w:evenHBand="0" w:firstRowFirstColumn="0" w:firstRowLastColumn="0" w:lastRowFirstColumn="0" w:lastRowLastColumn="0"/>
            <w:tcW w:w="0" w:type="auto"/>
            <w:hideMark/>
          </w:tcPr>
          <w:p w14:paraId="2C7F9A2E"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2.1 Obuka krajnjih korisnika i relevantnih sektora o upotrebi alternativnih proizvoda koji ne sadrže HBCDD</w:t>
            </w:r>
          </w:p>
        </w:tc>
        <w:tc>
          <w:tcPr>
            <w:tcW w:w="0" w:type="auto"/>
            <w:hideMark/>
          </w:tcPr>
          <w:p w14:paraId="364A8E9C"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MERS</w:t>
            </w:r>
          </w:p>
        </w:tc>
        <w:tc>
          <w:tcPr>
            <w:tcW w:w="0" w:type="auto"/>
            <w:hideMark/>
          </w:tcPr>
          <w:p w14:paraId="654DBD7A"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2027</w:t>
            </w:r>
          </w:p>
        </w:tc>
        <w:tc>
          <w:tcPr>
            <w:tcW w:w="0" w:type="auto"/>
            <w:hideMark/>
          </w:tcPr>
          <w:p w14:paraId="726AE41C"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Izvještaj o obuci i lista prisutnih</w:t>
            </w:r>
          </w:p>
        </w:tc>
        <w:tc>
          <w:tcPr>
            <w:tcW w:w="1330" w:type="dxa"/>
            <w:hideMark/>
          </w:tcPr>
          <w:p w14:paraId="09BDEA81"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2028</w:t>
            </w:r>
          </w:p>
        </w:tc>
        <w:tc>
          <w:tcPr>
            <w:tcW w:w="2079" w:type="dxa"/>
            <w:hideMark/>
          </w:tcPr>
          <w:p w14:paraId="55DA12BB"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GEF, IPA, UNDP</w:t>
            </w:r>
          </w:p>
          <w:p w14:paraId="2A0D6ECB"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10.000€</w:t>
            </w:r>
          </w:p>
          <w:p w14:paraId="606039EF"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763DFA0D" w14:textId="77777777" w:rsidR="00C4574D" w:rsidRDefault="00C4574D" w:rsidP="00C4574D">
      <w:pPr>
        <w:rPr>
          <w:rFonts w:asciiTheme="minorHAnsi" w:hAnsiTheme="minorHAnsi" w:cstheme="minorHAnsi"/>
        </w:rPr>
      </w:pPr>
    </w:p>
    <w:p w14:paraId="4F53F507" w14:textId="77777777" w:rsidR="00F50788" w:rsidRDefault="00F50788" w:rsidP="00C4574D">
      <w:pPr>
        <w:rPr>
          <w:rFonts w:asciiTheme="minorHAnsi" w:hAnsiTheme="minorHAnsi" w:cstheme="minorHAnsi"/>
        </w:rPr>
      </w:pPr>
    </w:p>
    <w:p w14:paraId="0EA57173" w14:textId="77777777" w:rsidR="00F50788" w:rsidRPr="00C86111" w:rsidRDefault="00F50788" w:rsidP="00C4574D">
      <w:pPr>
        <w:rPr>
          <w:rFonts w:asciiTheme="minorHAnsi" w:hAnsiTheme="minorHAnsi" w:cstheme="minorHAnsi"/>
        </w:rPr>
      </w:pPr>
    </w:p>
    <w:p w14:paraId="004B87CD" w14:textId="7BFE0730" w:rsidR="00C4574D" w:rsidRPr="00C86111" w:rsidRDefault="00C4574D" w:rsidP="00C4574D">
      <w:pPr>
        <w:rPr>
          <w:rFonts w:asciiTheme="minorHAnsi" w:hAnsiTheme="minorHAnsi" w:cstheme="minorHAnsi"/>
        </w:rPr>
      </w:pPr>
      <w:r w:rsidRPr="00C86111">
        <w:rPr>
          <w:rFonts w:asciiTheme="minorHAnsi" w:hAnsiTheme="minorHAnsi" w:cstheme="minorHAnsi"/>
          <w:b/>
          <w:bCs/>
        </w:rPr>
        <w:lastRenderedPageBreak/>
        <w:t xml:space="preserve">Operativni cilj </w:t>
      </w:r>
      <w:r w:rsidR="00E65986">
        <w:rPr>
          <w:rFonts w:asciiTheme="minorHAnsi" w:hAnsiTheme="minorHAnsi" w:cstheme="minorHAnsi"/>
          <w:b/>
          <w:bCs/>
        </w:rPr>
        <w:t>3</w:t>
      </w:r>
      <w:r w:rsidRPr="00C86111">
        <w:rPr>
          <w:rFonts w:asciiTheme="minorHAnsi" w:hAnsiTheme="minorHAnsi" w:cstheme="minorHAnsi"/>
          <w:b/>
          <w:bCs/>
        </w:rPr>
        <w:t xml:space="preserve">: </w:t>
      </w:r>
      <w:r w:rsidRPr="00C86111">
        <w:rPr>
          <w:rFonts w:asciiTheme="minorHAnsi" w:hAnsiTheme="minorHAnsi" w:cstheme="minorHAnsi"/>
        </w:rPr>
        <w:t>Postepeno ukinuti upotrebu PFAS u protivpožarnim pjenama i osigurati bezbjedno upravljanje postojećim zalihama i opremom.</w:t>
      </w:r>
    </w:p>
    <w:tbl>
      <w:tblPr>
        <w:tblStyle w:val="GridTable4-Accent6"/>
        <w:tblW w:w="12955" w:type="dxa"/>
        <w:tblLook w:val="04A0" w:firstRow="1" w:lastRow="0" w:firstColumn="1" w:lastColumn="0" w:noHBand="0" w:noVBand="1"/>
      </w:tblPr>
      <w:tblGrid>
        <w:gridCol w:w="3675"/>
        <w:gridCol w:w="1841"/>
        <w:gridCol w:w="1109"/>
        <w:gridCol w:w="2192"/>
        <w:gridCol w:w="596"/>
        <w:gridCol w:w="596"/>
        <w:gridCol w:w="2946"/>
      </w:tblGrid>
      <w:tr w:rsidR="00C4574D" w:rsidRPr="00C86111" w14:paraId="3FF739E0" w14:textId="77777777" w:rsidTr="006D5D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A57CCA"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gridSpan w:val="2"/>
            <w:hideMark/>
          </w:tcPr>
          <w:p w14:paraId="23B14FDE"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gridSpan w:val="2"/>
            <w:hideMark/>
          </w:tcPr>
          <w:p w14:paraId="6451AA86"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2946" w:type="dxa"/>
            <w:gridSpan w:val="2"/>
            <w:hideMark/>
          </w:tcPr>
          <w:p w14:paraId="2C07BD55"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C86111" w14:paraId="1FF4AFA6" w14:textId="77777777" w:rsidTr="006D5D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74119B"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Količina PFAS pjena povučenih iz upotrebe</w:t>
            </w:r>
          </w:p>
        </w:tc>
        <w:tc>
          <w:tcPr>
            <w:tcW w:w="0" w:type="auto"/>
            <w:gridSpan w:val="2"/>
            <w:hideMark/>
          </w:tcPr>
          <w:p w14:paraId="21D428DF"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Nije utvrđeno</w:t>
            </w:r>
          </w:p>
        </w:tc>
        <w:tc>
          <w:tcPr>
            <w:tcW w:w="0" w:type="auto"/>
            <w:gridSpan w:val="2"/>
            <w:hideMark/>
          </w:tcPr>
          <w:p w14:paraId="6330CA6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Evidencija uspostavljena</w:t>
            </w:r>
          </w:p>
        </w:tc>
        <w:tc>
          <w:tcPr>
            <w:tcW w:w="2946" w:type="dxa"/>
            <w:gridSpan w:val="2"/>
            <w:hideMark/>
          </w:tcPr>
          <w:p w14:paraId="61D0BD22"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100% povučeno</w:t>
            </w:r>
          </w:p>
        </w:tc>
      </w:tr>
      <w:tr w:rsidR="00C4574D" w:rsidRPr="00C86111" w14:paraId="3622F6D4" w14:textId="77777777" w:rsidTr="006D5D17">
        <w:tc>
          <w:tcPr>
            <w:cnfStyle w:val="001000000000" w:firstRow="0" w:lastRow="0" w:firstColumn="1" w:lastColumn="0" w:oddVBand="0" w:evenVBand="0" w:oddHBand="0" w:evenHBand="0" w:firstRowFirstColumn="0" w:firstRowLastColumn="0" w:lastRowFirstColumn="0" w:lastRowLastColumn="0"/>
            <w:tcW w:w="0" w:type="auto"/>
            <w:hideMark/>
          </w:tcPr>
          <w:p w14:paraId="0903352C"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službi koje koriste fluorine-free pjene</w:t>
            </w:r>
          </w:p>
        </w:tc>
        <w:tc>
          <w:tcPr>
            <w:tcW w:w="0" w:type="auto"/>
            <w:gridSpan w:val="2"/>
            <w:hideMark/>
          </w:tcPr>
          <w:p w14:paraId="5B1B7F7F"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0</w:t>
            </w:r>
          </w:p>
        </w:tc>
        <w:tc>
          <w:tcPr>
            <w:tcW w:w="0" w:type="auto"/>
            <w:gridSpan w:val="2"/>
            <w:hideMark/>
          </w:tcPr>
          <w:p w14:paraId="48F712EA"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Min. 50%</w:t>
            </w:r>
          </w:p>
        </w:tc>
        <w:tc>
          <w:tcPr>
            <w:tcW w:w="2946" w:type="dxa"/>
            <w:gridSpan w:val="2"/>
            <w:hideMark/>
          </w:tcPr>
          <w:p w14:paraId="499D647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100%</w:t>
            </w:r>
          </w:p>
        </w:tc>
      </w:tr>
      <w:tr w:rsidR="00C4574D" w:rsidRPr="00C86111" w14:paraId="0F69A960" w14:textId="77777777" w:rsidTr="006D5D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63EA32"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dekontaminiranih vozila i sistema</w:t>
            </w:r>
          </w:p>
        </w:tc>
        <w:tc>
          <w:tcPr>
            <w:tcW w:w="0" w:type="auto"/>
            <w:gridSpan w:val="2"/>
            <w:hideMark/>
          </w:tcPr>
          <w:p w14:paraId="721C6F6E"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0</w:t>
            </w:r>
          </w:p>
        </w:tc>
        <w:tc>
          <w:tcPr>
            <w:tcW w:w="0" w:type="auto"/>
            <w:gridSpan w:val="2"/>
            <w:hideMark/>
          </w:tcPr>
          <w:p w14:paraId="47EBC51F"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Pilot dekontaminacija</w:t>
            </w:r>
          </w:p>
        </w:tc>
        <w:tc>
          <w:tcPr>
            <w:tcW w:w="2946" w:type="dxa"/>
            <w:gridSpan w:val="2"/>
            <w:hideMark/>
          </w:tcPr>
          <w:p w14:paraId="3AF62156"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Svi relevantni sistemi</w:t>
            </w:r>
          </w:p>
        </w:tc>
      </w:tr>
      <w:tr w:rsidR="00C4574D" w:rsidRPr="00C86111" w14:paraId="57EB56B7" w14:textId="77777777" w:rsidTr="006D5D17">
        <w:tc>
          <w:tcPr>
            <w:cnfStyle w:val="001000000000" w:firstRow="0" w:lastRow="0" w:firstColumn="1" w:lastColumn="0" w:oddVBand="0" w:evenVBand="0" w:oddHBand="0" w:evenHBand="0" w:firstRowFirstColumn="0" w:firstRowLastColumn="0" w:lastRowFirstColumn="0" w:lastRowLastColumn="0"/>
            <w:tcW w:w="0" w:type="auto"/>
            <w:hideMark/>
          </w:tcPr>
          <w:p w14:paraId="2D8DEABF"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Aktivnost</w:t>
            </w:r>
          </w:p>
        </w:tc>
        <w:tc>
          <w:tcPr>
            <w:tcW w:w="0" w:type="auto"/>
            <w:hideMark/>
          </w:tcPr>
          <w:p w14:paraId="387368CB"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realizacije</w:t>
            </w:r>
          </w:p>
        </w:tc>
        <w:tc>
          <w:tcPr>
            <w:tcW w:w="0" w:type="auto"/>
            <w:hideMark/>
          </w:tcPr>
          <w:p w14:paraId="3E88118F"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Datum početka</w:t>
            </w:r>
          </w:p>
        </w:tc>
        <w:tc>
          <w:tcPr>
            <w:tcW w:w="0" w:type="auto"/>
            <w:hideMark/>
          </w:tcPr>
          <w:p w14:paraId="05165E5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1488" w:type="dxa"/>
            <w:gridSpan w:val="2"/>
            <w:hideMark/>
          </w:tcPr>
          <w:p w14:paraId="462CE1DA"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Planirani završetak</w:t>
            </w:r>
          </w:p>
        </w:tc>
        <w:tc>
          <w:tcPr>
            <w:tcW w:w="1885" w:type="dxa"/>
            <w:hideMark/>
          </w:tcPr>
          <w:p w14:paraId="42E14A47"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C4574D" w:rsidRPr="00292255" w14:paraId="5AFB96F0" w14:textId="77777777" w:rsidTr="006D5D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6A8AE9" w14:textId="2DA184CD" w:rsidR="00C4574D" w:rsidRPr="00292255" w:rsidRDefault="00E65986" w:rsidP="00033AB8">
            <w:pPr>
              <w:rPr>
                <w:rFonts w:asciiTheme="minorHAnsi" w:hAnsiTheme="minorHAnsi" w:cstheme="minorHAnsi"/>
                <w:color w:val="auto"/>
              </w:rPr>
            </w:pPr>
            <w:r>
              <w:rPr>
                <w:rFonts w:asciiTheme="minorHAnsi" w:hAnsiTheme="minorHAnsi" w:cstheme="minorHAnsi"/>
                <w:color w:val="auto"/>
              </w:rPr>
              <w:t>3</w:t>
            </w:r>
            <w:r w:rsidR="00C4574D" w:rsidRPr="00292255">
              <w:rPr>
                <w:rFonts w:asciiTheme="minorHAnsi" w:hAnsiTheme="minorHAnsi" w:cstheme="minorHAnsi"/>
                <w:color w:val="auto"/>
              </w:rPr>
              <w:t>.1 Identifikacija, povlačenje i ekološki prihvatljivo odlaganje PFAS pjena kojima je istekao rok ili nisu u skladu sa propisima</w:t>
            </w:r>
          </w:p>
        </w:tc>
        <w:tc>
          <w:tcPr>
            <w:tcW w:w="0" w:type="auto"/>
            <w:hideMark/>
          </w:tcPr>
          <w:p w14:paraId="64600414"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Vatrogasne službe, lokalna samouprava</w:t>
            </w:r>
          </w:p>
        </w:tc>
        <w:tc>
          <w:tcPr>
            <w:tcW w:w="0" w:type="auto"/>
            <w:hideMark/>
          </w:tcPr>
          <w:p w14:paraId="528961C9"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2026</w:t>
            </w:r>
          </w:p>
        </w:tc>
        <w:tc>
          <w:tcPr>
            <w:tcW w:w="0" w:type="auto"/>
            <w:hideMark/>
          </w:tcPr>
          <w:p w14:paraId="7B7932C8"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Evidencija povučenih i zbrinutih pjena</w:t>
            </w:r>
          </w:p>
        </w:tc>
        <w:tc>
          <w:tcPr>
            <w:tcW w:w="1488" w:type="dxa"/>
            <w:gridSpan w:val="2"/>
            <w:hideMark/>
          </w:tcPr>
          <w:p w14:paraId="739E2FE5"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2027</w:t>
            </w:r>
          </w:p>
        </w:tc>
        <w:tc>
          <w:tcPr>
            <w:tcW w:w="1885" w:type="dxa"/>
            <w:hideMark/>
          </w:tcPr>
          <w:p w14:paraId="16A04D2B" w14:textId="77777777" w:rsidR="00C4574D" w:rsidRPr="00292255"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GEF, UNEP, UNDP</w:t>
            </w:r>
          </w:p>
          <w:p w14:paraId="1EBD3088" w14:textId="42F9E044" w:rsidR="00C4574D" w:rsidRPr="00292255" w:rsidRDefault="00781655"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50.000</w:t>
            </w:r>
            <w:r w:rsidR="00C4574D" w:rsidRPr="00292255">
              <w:rPr>
                <w:rFonts w:asciiTheme="minorHAnsi" w:hAnsiTheme="minorHAnsi" w:cstheme="minorHAnsi"/>
                <w:color w:val="auto"/>
              </w:rPr>
              <w:t>€</w:t>
            </w:r>
          </w:p>
        </w:tc>
      </w:tr>
      <w:tr w:rsidR="00C4574D" w:rsidRPr="00292255" w14:paraId="424534BD" w14:textId="77777777" w:rsidTr="006D5D17">
        <w:tc>
          <w:tcPr>
            <w:cnfStyle w:val="001000000000" w:firstRow="0" w:lastRow="0" w:firstColumn="1" w:lastColumn="0" w:oddVBand="0" w:evenVBand="0" w:oddHBand="0" w:evenHBand="0" w:firstRowFirstColumn="0" w:firstRowLastColumn="0" w:lastRowFirstColumn="0" w:lastRowLastColumn="0"/>
            <w:tcW w:w="0" w:type="auto"/>
            <w:hideMark/>
          </w:tcPr>
          <w:p w14:paraId="2A13E24A" w14:textId="7C14C850" w:rsidR="00C4574D" w:rsidRPr="00292255" w:rsidRDefault="00E65986" w:rsidP="00033AB8">
            <w:pPr>
              <w:rPr>
                <w:rFonts w:asciiTheme="minorHAnsi" w:hAnsiTheme="minorHAnsi" w:cstheme="minorHAnsi"/>
                <w:color w:val="auto"/>
              </w:rPr>
            </w:pPr>
            <w:r>
              <w:rPr>
                <w:rFonts w:asciiTheme="minorHAnsi" w:hAnsiTheme="minorHAnsi" w:cstheme="minorHAnsi"/>
                <w:color w:val="auto"/>
              </w:rPr>
              <w:t>3</w:t>
            </w:r>
            <w:r w:rsidR="00C4574D" w:rsidRPr="00292255">
              <w:rPr>
                <w:rFonts w:asciiTheme="minorHAnsi" w:hAnsiTheme="minorHAnsi" w:cstheme="minorHAnsi"/>
                <w:color w:val="auto"/>
              </w:rPr>
              <w:t>.</w:t>
            </w:r>
            <w:r w:rsidR="00292255" w:rsidRPr="00292255">
              <w:rPr>
                <w:rFonts w:asciiTheme="minorHAnsi" w:hAnsiTheme="minorHAnsi" w:cstheme="minorHAnsi"/>
                <w:color w:val="auto"/>
              </w:rPr>
              <w:t>2</w:t>
            </w:r>
            <w:r w:rsidR="00C4574D" w:rsidRPr="00292255">
              <w:rPr>
                <w:rFonts w:asciiTheme="minorHAnsi" w:hAnsiTheme="minorHAnsi" w:cstheme="minorHAnsi"/>
                <w:color w:val="auto"/>
              </w:rPr>
              <w:t xml:space="preserve"> Dekontaminacija vatrogasnih vozila, sistema i opreme korišćenih sa PFAS pjenama</w:t>
            </w:r>
          </w:p>
        </w:tc>
        <w:tc>
          <w:tcPr>
            <w:tcW w:w="0" w:type="auto"/>
            <w:hideMark/>
          </w:tcPr>
          <w:p w14:paraId="57DCF3A5"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Vatrogasne službe, lokalna samouprava</w:t>
            </w:r>
          </w:p>
        </w:tc>
        <w:tc>
          <w:tcPr>
            <w:tcW w:w="0" w:type="auto"/>
            <w:hideMark/>
          </w:tcPr>
          <w:p w14:paraId="527BD4B6" w14:textId="7234D588"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202</w:t>
            </w:r>
            <w:r w:rsidR="00781655" w:rsidRPr="00292255">
              <w:rPr>
                <w:rFonts w:asciiTheme="minorHAnsi" w:hAnsiTheme="minorHAnsi" w:cstheme="minorHAnsi"/>
                <w:color w:val="auto"/>
              </w:rPr>
              <w:t>7</w:t>
            </w:r>
          </w:p>
        </w:tc>
        <w:tc>
          <w:tcPr>
            <w:tcW w:w="0" w:type="auto"/>
            <w:hideMark/>
          </w:tcPr>
          <w:p w14:paraId="739C26CD"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Izvještaj o sprovedenoj dekontaminaciji</w:t>
            </w:r>
          </w:p>
        </w:tc>
        <w:tc>
          <w:tcPr>
            <w:tcW w:w="1488" w:type="dxa"/>
            <w:gridSpan w:val="2"/>
            <w:hideMark/>
          </w:tcPr>
          <w:p w14:paraId="48897AC3"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2027</w:t>
            </w:r>
          </w:p>
        </w:tc>
        <w:tc>
          <w:tcPr>
            <w:tcW w:w="1885" w:type="dxa"/>
            <w:hideMark/>
          </w:tcPr>
          <w:p w14:paraId="5D376115" w14:textId="77777777" w:rsidR="00C4574D" w:rsidRPr="00292255"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GEF, UNEP, UNDP</w:t>
            </w:r>
          </w:p>
          <w:p w14:paraId="30943F17" w14:textId="606904C9" w:rsidR="00C4574D" w:rsidRPr="00292255" w:rsidRDefault="00781655"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292255">
              <w:rPr>
                <w:rFonts w:asciiTheme="minorHAnsi" w:hAnsiTheme="minorHAnsi" w:cstheme="minorHAnsi"/>
                <w:color w:val="auto"/>
              </w:rPr>
              <w:t>50.000</w:t>
            </w:r>
            <w:r w:rsidR="00C4574D" w:rsidRPr="00292255">
              <w:rPr>
                <w:rFonts w:asciiTheme="minorHAnsi" w:hAnsiTheme="minorHAnsi" w:cstheme="minorHAnsi"/>
                <w:color w:val="auto"/>
              </w:rPr>
              <w:t>€</w:t>
            </w:r>
          </w:p>
        </w:tc>
      </w:tr>
    </w:tbl>
    <w:p w14:paraId="6D09BFFF" w14:textId="77777777" w:rsidR="00C4574D" w:rsidRDefault="00C4574D" w:rsidP="00C4574D">
      <w:pPr>
        <w:rPr>
          <w:rFonts w:asciiTheme="minorHAnsi" w:hAnsiTheme="minorHAnsi" w:cstheme="minorHAnsi"/>
        </w:rPr>
      </w:pPr>
    </w:p>
    <w:p w14:paraId="1122FCF3" w14:textId="77777777" w:rsidR="00F50788" w:rsidRDefault="00F50788" w:rsidP="00C4574D">
      <w:pPr>
        <w:rPr>
          <w:rFonts w:asciiTheme="minorHAnsi" w:hAnsiTheme="minorHAnsi" w:cstheme="minorHAnsi"/>
        </w:rPr>
      </w:pPr>
    </w:p>
    <w:p w14:paraId="13883AA4" w14:textId="77777777" w:rsidR="00F50788" w:rsidRDefault="00F50788" w:rsidP="00C4574D">
      <w:pPr>
        <w:rPr>
          <w:rFonts w:asciiTheme="minorHAnsi" w:hAnsiTheme="minorHAnsi" w:cstheme="minorHAnsi"/>
        </w:rPr>
      </w:pPr>
    </w:p>
    <w:p w14:paraId="30301125" w14:textId="77777777" w:rsidR="00F50788" w:rsidRDefault="00F50788" w:rsidP="00C4574D">
      <w:pPr>
        <w:rPr>
          <w:rFonts w:asciiTheme="minorHAnsi" w:hAnsiTheme="minorHAnsi" w:cstheme="minorHAnsi"/>
        </w:rPr>
      </w:pPr>
    </w:p>
    <w:p w14:paraId="2C342FA9" w14:textId="77777777" w:rsidR="00F50788" w:rsidRDefault="00F50788" w:rsidP="00C4574D">
      <w:pPr>
        <w:rPr>
          <w:rFonts w:asciiTheme="minorHAnsi" w:hAnsiTheme="minorHAnsi" w:cstheme="minorHAnsi"/>
        </w:rPr>
      </w:pPr>
    </w:p>
    <w:p w14:paraId="6A6E8798" w14:textId="77777777" w:rsidR="00F50788" w:rsidRDefault="00F50788" w:rsidP="00C4574D">
      <w:pPr>
        <w:rPr>
          <w:rFonts w:asciiTheme="minorHAnsi" w:hAnsiTheme="minorHAnsi" w:cstheme="minorHAnsi"/>
        </w:rPr>
      </w:pPr>
    </w:p>
    <w:p w14:paraId="27DA64C6" w14:textId="77777777" w:rsidR="00F50788" w:rsidRDefault="00F50788" w:rsidP="00C4574D">
      <w:pPr>
        <w:rPr>
          <w:rFonts w:asciiTheme="minorHAnsi" w:hAnsiTheme="minorHAnsi" w:cstheme="minorHAnsi"/>
        </w:rPr>
      </w:pPr>
    </w:p>
    <w:p w14:paraId="689F0F27" w14:textId="77777777" w:rsidR="00F50788" w:rsidRDefault="00F50788" w:rsidP="00C4574D">
      <w:pPr>
        <w:rPr>
          <w:rFonts w:asciiTheme="minorHAnsi" w:hAnsiTheme="minorHAnsi" w:cstheme="minorHAnsi"/>
        </w:rPr>
      </w:pPr>
    </w:p>
    <w:p w14:paraId="00EDDC17" w14:textId="77777777" w:rsidR="00F50788" w:rsidRDefault="00F50788" w:rsidP="00C4574D">
      <w:pPr>
        <w:rPr>
          <w:rFonts w:asciiTheme="minorHAnsi" w:hAnsiTheme="minorHAnsi" w:cstheme="minorHAnsi"/>
        </w:rPr>
      </w:pPr>
    </w:p>
    <w:p w14:paraId="516516A7" w14:textId="77777777" w:rsidR="00F50788" w:rsidRPr="00C86111" w:rsidRDefault="00F50788" w:rsidP="00C4574D">
      <w:pPr>
        <w:rPr>
          <w:rFonts w:asciiTheme="minorHAnsi" w:hAnsiTheme="minorHAnsi" w:cstheme="minorHAnsi"/>
        </w:rPr>
      </w:pPr>
    </w:p>
    <w:p w14:paraId="3CEE30BC" w14:textId="77777777" w:rsidR="003B38C2" w:rsidRDefault="003B38C2" w:rsidP="00C4574D">
      <w:pPr>
        <w:rPr>
          <w:rFonts w:asciiTheme="minorHAnsi" w:hAnsiTheme="minorHAnsi" w:cstheme="minorHAnsi"/>
          <w:b/>
          <w:bCs/>
        </w:rPr>
      </w:pPr>
    </w:p>
    <w:p w14:paraId="65870BD6" w14:textId="5A9186C1" w:rsidR="00C4574D" w:rsidRPr="00C86111" w:rsidRDefault="00C4574D" w:rsidP="00C4574D">
      <w:pPr>
        <w:rPr>
          <w:rFonts w:asciiTheme="minorHAnsi" w:hAnsiTheme="minorHAnsi" w:cstheme="minorHAnsi"/>
          <w:b/>
          <w:bCs/>
        </w:rPr>
      </w:pPr>
      <w:r w:rsidRPr="00E65986">
        <w:rPr>
          <w:rFonts w:asciiTheme="minorHAnsi" w:hAnsiTheme="minorHAnsi" w:cstheme="minorHAnsi"/>
          <w:b/>
          <w:bCs/>
          <w:color w:val="002060"/>
        </w:rPr>
        <w:lastRenderedPageBreak/>
        <w:t xml:space="preserve">STRATEŠKI CILJ </w:t>
      </w:r>
      <w:r w:rsidR="00E65986" w:rsidRPr="00E65986">
        <w:rPr>
          <w:rFonts w:asciiTheme="minorHAnsi" w:hAnsiTheme="minorHAnsi" w:cstheme="minorHAnsi"/>
          <w:b/>
          <w:bCs/>
          <w:color w:val="002060"/>
        </w:rPr>
        <w:t>3</w:t>
      </w:r>
      <w:r w:rsidRPr="00E65986">
        <w:rPr>
          <w:rFonts w:asciiTheme="minorHAnsi" w:hAnsiTheme="minorHAnsi" w:cstheme="minorHAnsi"/>
          <w:b/>
          <w:bCs/>
          <w:color w:val="002060"/>
        </w:rPr>
        <w:t xml:space="preserve">: </w:t>
      </w:r>
      <w:r w:rsidRPr="00C86111">
        <w:rPr>
          <w:rFonts w:asciiTheme="minorHAnsi" w:hAnsiTheme="minorHAnsi" w:cstheme="minorHAnsi"/>
          <w:b/>
          <w:bCs/>
        </w:rPr>
        <w:t>Osigurati sigurno i trajno zbrinjavanje PCB otpada i kontaminirane opreme u skladu sa međunarodnim standardima i Stokholmskom konvencijom, uz očuvanje zdravlja ljudi i životne sredine.</w:t>
      </w:r>
    </w:p>
    <w:p w14:paraId="08DDEC75" w14:textId="77777777" w:rsidR="00C4574D" w:rsidRPr="00C86111" w:rsidRDefault="00C4574D" w:rsidP="00C4574D">
      <w:pPr>
        <w:rPr>
          <w:rFonts w:asciiTheme="minorHAnsi" w:hAnsiTheme="minorHAnsi" w:cstheme="minorHAnsi"/>
          <w:b/>
          <w:bCs/>
        </w:rPr>
      </w:pPr>
    </w:p>
    <w:p w14:paraId="44C50491" w14:textId="77777777" w:rsidR="00C4574D" w:rsidRPr="00C86111" w:rsidRDefault="00C4574D" w:rsidP="00C4574D">
      <w:pPr>
        <w:rPr>
          <w:rFonts w:asciiTheme="minorHAnsi" w:hAnsiTheme="minorHAnsi" w:cstheme="minorHAnsi"/>
          <w:b/>
          <w:bCs/>
        </w:rPr>
      </w:pPr>
      <w:r w:rsidRPr="00C86111">
        <w:rPr>
          <w:rFonts w:asciiTheme="minorHAnsi" w:hAnsiTheme="minorHAnsi" w:cstheme="minorHAnsi"/>
          <w:b/>
          <w:bCs/>
        </w:rPr>
        <w:t xml:space="preserve">Operativni cilj 1: </w:t>
      </w:r>
      <w:r w:rsidRPr="00C86111">
        <w:rPr>
          <w:rFonts w:asciiTheme="minorHAnsi" w:hAnsiTheme="minorHAnsi" w:cstheme="minorHAnsi"/>
        </w:rPr>
        <w:t>Finalizirati zbrinjavanje preostale PCB opreme i otpada</w:t>
      </w:r>
      <w:r w:rsidRPr="00C86111">
        <w:rPr>
          <w:rFonts w:asciiTheme="minorHAnsi" w:hAnsiTheme="minorHAnsi" w:cstheme="minorHAnsi"/>
          <w:b/>
          <w:bCs/>
        </w:rPr>
        <w:t>.</w:t>
      </w:r>
    </w:p>
    <w:tbl>
      <w:tblPr>
        <w:tblStyle w:val="GridTable4-Accent6"/>
        <w:tblW w:w="0" w:type="auto"/>
        <w:tblLook w:val="04A0" w:firstRow="1" w:lastRow="0" w:firstColumn="1" w:lastColumn="0" w:noHBand="0" w:noVBand="1"/>
      </w:tblPr>
      <w:tblGrid>
        <w:gridCol w:w="5181"/>
        <w:gridCol w:w="2594"/>
        <w:gridCol w:w="2671"/>
        <w:gridCol w:w="2371"/>
      </w:tblGrid>
      <w:tr w:rsidR="00C4574D" w:rsidRPr="00C86111" w14:paraId="7887C4A8"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4D1421"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hideMark/>
          </w:tcPr>
          <w:p w14:paraId="090A0D95"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hideMark/>
          </w:tcPr>
          <w:p w14:paraId="61B7CD91"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2025</w:t>
            </w:r>
          </w:p>
        </w:tc>
        <w:tc>
          <w:tcPr>
            <w:tcW w:w="0" w:type="auto"/>
            <w:hideMark/>
          </w:tcPr>
          <w:p w14:paraId="6356159B"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2026</w:t>
            </w:r>
          </w:p>
        </w:tc>
      </w:tr>
      <w:tr w:rsidR="00C4574D" w:rsidRPr="00C86111" w14:paraId="6FD6FB18"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9049B6"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Količina preostale PCB opreme zbrinute i izvezene</w:t>
            </w:r>
          </w:p>
        </w:tc>
        <w:tc>
          <w:tcPr>
            <w:tcW w:w="0" w:type="auto"/>
            <w:hideMark/>
          </w:tcPr>
          <w:p w14:paraId="39687527"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86111">
              <w:rPr>
                <w:rFonts w:asciiTheme="minorHAnsi" w:hAnsiTheme="minorHAnsi" w:cstheme="minorHAnsi"/>
                <w:b/>
                <w:bCs/>
              </w:rPr>
              <w:t>~80 t</w:t>
            </w:r>
          </w:p>
        </w:tc>
        <w:tc>
          <w:tcPr>
            <w:tcW w:w="0" w:type="auto"/>
            <w:hideMark/>
          </w:tcPr>
          <w:p w14:paraId="77632F2F"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p>
        </w:tc>
        <w:tc>
          <w:tcPr>
            <w:tcW w:w="0" w:type="auto"/>
            <w:hideMark/>
          </w:tcPr>
          <w:p w14:paraId="33160BFF"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86111">
              <w:rPr>
                <w:rFonts w:asciiTheme="minorHAnsi" w:hAnsiTheme="minorHAnsi" w:cstheme="minorHAnsi"/>
                <w:b/>
                <w:bCs/>
              </w:rPr>
              <w:t>0 t</w:t>
            </w:r>
          </w:p>
        </w:tc>
      </w:tr>
    </w:tbl>
    <w:p w14:paraId="256BB02C" w14:textId="77777777" w:rsidR="00C4574D" w:rsidRPr="00C86111" w:rsidRDefault="00C4574D" w:rsidP="00C4574D">
      <w:pPr>
        <w:rPr>
          <w:rFonts w:asciiTheme="minorHAnsi" w:hAnsiTheme="minorHAnsi" w:cstheme="minorHAnsi"/>
          <w:b/>
          <w:bCs/>
          <w:vanish/>
        </w:rPr>
      </w:pPr>
    </w:p>
    <w:tbl>
      <w:tblPr>
        <w:tblStyle w:val="GridTable4-Accent6"/>
        <w:tblW w:w="0" w:type="auto"/>
        <w:tblLook w:val="04A0" w:firstRow="1" w:lastRow="0" w:firstColumn="1" w:lastColumn="0" w:noHBand="0" w:noVBand="1"/>
      </w:tblPr>
      <w:tblGrid>
        <w:gridCol w:w="5417"/>
        <w:gridCol w:w="1011"/>
        <w:gridCol w:w="1182"/>
        <w:gridCol w:w="1443"/>
        <w:gridCol w:w="1788"/>
        <w:gridCol w:w="2109"/>
      </w:tblGrid>
      <w:tr w:rsidR="00C4574D" w:rsidRPr="00C86111" w14:paraId="38B66DF6"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F66193"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Aktivnost</w:t>
            </w:r>
          </w:p>
        </w:tc>
        <w:tc>
          <w:tcPr>
            <w:tcW w:w="0" w:type="auto"/>
            <w:hideMark/>
          </w:tcPr>
          <w:p w14:paraId="640A06B6"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Početak</w:t>
            </w:r>
          </w:p>
        </w:tc>
        <w:tc>
          <w:tcPr>
            <w:tcW w:w="0" w:type="auto"/>
            <w:hideMark/>
          </w:tcPr>
          <w:p w14:paraId="6FB06ACE"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Završetak</w:t>
            </w:r>
          </w:p>
        </w:tc>
        <w:tc>
          <w:tcPr>
            <w:tcW w:w="0" w:type="auto"/>
            <w:hideMark/>
          </w:tcPr>
          <w:p w14:paraId="5DFE46E3"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aktivnosti</w:t>
            </w:r>
          </w:p>
        </w:tc>
        <w:tc>
          <w:tcPr>
            <w:tcW w:w="0" w:type="auto"/>
            <w:hideMark/>
          </w:tcPr>
          <w:p w14:paraId="7EF25B96"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0" w:type="auto"/>
            <w:hideMark/>
          </w:tcPr>
          <w:p w14:paraId="32B083A0"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C4574D" w:rsidRPr="00C86111" w14:paraId="10DC3198"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A5523B" w14:textId="1C76BA81" w:rsidR="00C4574D" w:rsidRPr="00C86111" w:rsidRDefault="00C4574D" w:rsidP="00033AB8">
            <w:pPr>
              <w:rPr>
                <w:rFonts w:asciiTheme="minorHAnsi" w:hAnsiTheme="minorHAnsi" w:cstheme="minorHAnsi"/>
              </w:rPr>
            </w:pPr>
            <w:r w:rsidRPr="00C86111">
              <w:rPr>
                <w:rFonts w:asciiTheme="minorHAnsi" w:hAnsiTheme="minorHAnsi" w:cstheme="minorHAnsi"/>
              </w:rPr>
              <w:t>1.1 Priprema preostale PCB opreme za zbrinjavanje (odvodnjavanje, označavanje, pakovanje)</w:t>
            </w:r>
            <w:r w:rsidR="00B5295B" w:rsidRPr="00C86111">
              <w:rPr>
                <w:rFonts w:asciiTheme="minorHAnsi" w:hAnsiTheme="minorHAnsi" w:cstheme="minorHAnsi"/>
              </w:rPr>
              <w:t xml:space="preserve"> Izvoz i finalno zbrinjavanje PCB opreme</w:t>
            </w:r>
          </w:p>
        </w:tc>
        <w:tc>
          <w:tcPr>
            <w:tcW w:w="0" w:type="auto"/>
            <w:hideMark/>
          </w:tcPr>
          <w:p w14:paraId="66506F6F"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86111">
              <w:rPr>
                <w:rFonts w:asciiTheme="minorHAnsi" w:hAnsiTheme="minorHAnsi" w:cstheme="minorHAnsi"/>
                <w:b/>
                <w:bCs/>
              </w:rPr>
              <w:t>2024</w:t>
            </w:r>
          </w:p>
        </w:tc>
        <w:tc>
          <w:tcPr>
            <w:tcW w:w="0" w:type="auto"/>
            <w:hideMark/>
          </w:tcPr>
          <w:p w14:paraId="36CFD289"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86111">
              <w:rPr>
                <w:rFonts w:asciiTheme="minorHAnsi" w:hAnsiTheme="minorHAnsi" w:cstheme="minorHAnsi"/>
                <w:b/>
                <w:bCs/>
              </w:rPr>
              <w:t>2026</w:t>
            </w:r>
          </w:p>
        </w:tc>
        <w:tc>
          <w:tcPr>
            <w:tcW w:w="0" w:type="auto"/>
            <w:hideMark/>
          </w:tcPr>
          <w:p w14:paraId="5DCCAA1C"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86111">
              <w:rPr>
                <w:rFonts w:asciiTheme="minorHAnsi" w:hAnsiTheme="minorHAnsi" w:cstheme="minorHAnsi"/>
                <w:b/>
                <w:bCs/>
              </w:rPr>
              <w:t>KAP, CEDIS</w:t>
            </w:r>
          </w:p>
        </w:tc>
        <w:tc>
          <w:tcPr>
            <w:tcW w:w="0" w:type="auto"/>
            <w:hideMark/>
          </w:tcPr>
          <w:p w14:paraId="0FA6D3EF"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86111">
              <w:rPr>
                <w:rFonts w:asciiTheme="minorHAnsi" w:hAnsiTheme="minorHAnsi" w:cstheme="minorHAnsi"/>
                <w:b/>
                <w:bCs/>
              </w:rPr>
              <w:t>Oprema spremna za transport</w:t>
            </w:r>
          </w:p>
        </w:tc>
        <w:tc>
          <w:tcPr>
            <w:tcW w:w="0" w:type="auto"/>
            <w:hideMark/>
          </w:tcPr>
          <w:p w14:paraId="736614BA" w14:textId="77777777" w:rsidR="00C4574D"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86111">
              <w:rPr>
                <w:rFonts w:asciiTheme="minorHAnsi" w:hAnsiTheme="minorHAnsi" w:cstheme="minorHAnsi"/>
                <w:b/>
                <w:bCs/>
              </w:rPr>
              <w:t>UN/GEF MedProgramme</w:t>
            </w:r>
          </w:p>
          <w:p w14:paraId="54DE0EB8" w14:textId="64DAD51D" w:rsidR="00B5295B" w:rsidRDefault="00B5295B"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120.000</w:t>
            </w:r>
          </w:p>
          <w:p w14:paraId="0E1D308C" w14:textId="28792073" w:rsidR="00B5295B" w:rsidRPr="00C86111" w:rsidRDefault="00B5295B"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p>
        </w:tc>
      </w:tr>
    </w:tbl>
    <w:p w14:paraId="073DAB1A" w14:textId="77777777" w:rsidR="00C4574D" w:rsidRDefault="00C4574D" w:rsidP="00C4574D">
      <w:pPr>
        <w:rPr>
          <w:rFonts w:asciiTheme="minorHAnsi" w:hAnsiTheme="minorHAnsi" w:cstheme="minorHAnsi"/>
          <w:b/>
          <w:bCs/>
        </w:rPr>
      </w:pPr>
    </w:p>
    <w:p w14:paraId="799D5613" w14:textId="7BAA5246" w:rsidR="00C4574D" w:rsidRPr="00C86111" w:rsidRDefault="00C4574D" w:rsidP="00C4574D">
      <w:pPr>
        <w:jc w:val="both"/>
        <w:rPr>
          <w:rFonts w:asciiTheme="minorHAnsi" w:hAnsiTheme="minorHAnsi" w:cstheme="minorHAnsi"/>
          <w:b/>
          <w:bCs/>
        </w:rPr>
      </w:pPr>
      <w:r w:rsidRPr="00E65986">
        <w:rPr>
          <w:rFonts w:asciiTheme="minorHAnsi" w:hAnsiTheme="minorHAnsi" w:cstheme="minorHAnsi"/>
          <w:b/>
          <w:bCs/>
          <w:color w:val="002060"/>
        </w:rPr>
        <w:t xml:space="preserve">STRATEŠKI CILJ </w:t>
      </w:r>
      <w:r w:rsidR="00E65986">
        <w:rPr>
          <w:rFonts w:asciiTheme="minorHAnsi" w:hAnsiTheme="minorHAnsi" w:cstheme="minorHAnsi"/>
          <w:b/>
          <w:bCs/>
          <w:color w:val="002060"/>
        </w:rPr>
        <w:t>4</w:t>
      </w:r>
      <w:r w:rsidRPr="00E65986">
        <w:rPr>
          <w:rFonts w:asciiTheme="minorHAnsi" w:hAnsiTheme="minorHAnsi" w:cstheme="minorHAnsi"/>
          <w:b/>
          <w:bCs/>
          <w:color w:val="002060"/>
        </w:rPr>
        <w:t xml:space="preserve">: </w:t>
      </w:r>
      <w:r w:rsidRPr="00C86111">
        <w:rPr>
          <w:rFonts w:asciiTheme="minorHAnsi" w:hAnsiTheme="minorHAnsi" w:cstheme="minorHAnsi"/>
          <w:b/>
          <w:bCs/>
        </w:rPr>
        <w:t>Smanjenje nenamjernih emisija POPs supstanci u životnu sredinu kroz preventivne mjere, primjenu najboljih dostupnih tehnologija (BAT), edukaciju, statističko praćenje i brzu intervenciju u slučaju požara, sa fokusom na zaštitu zdravlja ljudi i životne sredine.</w:t>
      </w:r>
    </w:p>
    <w:p w14:paraId="23FC1DED" w14:textId="77777777" w:rsidR="00C4574D" w:rsidRPr="00C86111" w:rsidRDefault="00C4574D" w:rsidP="00C4574D">
      <w:pPr>
        <w:rPr>
          <w:rFonts w:asciiTheme="minorHAnsi" w:hAnsiTheme="minorHAnsi" w:cstheme="minorHAnsi"/>
        </w:rPr>
      </w:pPr>
    </w:p>
    <w:p w14:paraId="1A14CCDD" w14:textId="77777777" w:rsidR="00C4574D" w:rsidRPr="00C86111" w:rsidRDefault="00C4574D" w:rsidP="00C4574D">
      <w:pPr>
        <w:rPr>
          <w:rFonts w:asciiTheme="minorHAnsi" w:hAnsiTheme="minorHAnsi" w:cstheme="minorHAnsi"/>
        </w:rPr>
      </w:pPr>
      <w:r w:rsidRPr="00C86111">
        <w:rPr>
          <w:rFonts w:asciiTheme="minorHAnsi" w:hAnsiTheme="minorHAnsi" w:cstheme="minorHAnsi"/>
          <w:b/>
          <w:bCs/>
        </w:rPr>
        <w:t xml:space="preserve">Operativni cilj 1: </w:t>
      </w:r>
      <w:r w:rsidRPr="00C86111">
        <w:rPr>
          <w:rFonts w:asciiTheme="minorHAnsi" w:hAnsiTheme="minorHAnsi" w:cstheme="minorHAnsi"/>
        </w:rPr>
        <w:t>Prevencija i hitno reagovanje na požare komunalnog i drugog otpada</w:t>
      </w:r>
    </w:p>
    <w:tbl>
      <w:tblPr>
        <w:tblStyle w:val="GridTable4-Accent6"/>
        <w:tblW w:w="0" w:type="auto"/>
        <w:tblLook w:val="04A0" w:firstRow="1" w:lastRow="0" w:firstColumn="1" w:lastColumn="0" w:noHBand="0" w:noVBand="1"/>
      </w:tblPr>
      <w:tblGrid>
        <w:gridCol w:w="3801"/>
        <w:gridCol w:w="976"/>
        <w:gridCol w:w="937"/>
        <w:gridCol w:w="1928"/>
        <w:gridCol w:w="1992"/>
        <w:gridCol w:w="1341"/>
        <w:gridCol w:w="1975"/>
      </w:tblGrid>
      <w:tr w:rsidR="00C4574D" w:rsidRPr="00C86111" w14:paraId="1DFB5FEF"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54151D5C"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gridSpan w:val="2"/>
            <w:hideMark/>
          </w:tcPr>
          <w:p w14:paraId="491437BA" w14:textId="087C34E6"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w:t>
            </w:r>
            <w:r w:rsidR="009A331D">
              <w:rPr>
                <w:rFonts w:asciiTheme="minorHAnsi" w:hAnsiTheme="minorHAnsi" w:cstheme="minorHAnsi"/>
              </w:rPr>
              <w:t>6</w:t>
            </w:r>
            <w:r w:rsidRPr="00C86111">
              <w:rPr>
                <w:rFonts w:asciiTheme="minorHAnsi" w:hAnsiTheme="minorHAnsi" w:cstheme="minorHAnsi"/>
              </w:rPr>
              <w:t>)</w:t>
            </w:r>
          </w:p>
        </w:tc>
        <w:tc>
          <w:tcPr>
            <w:tcW w:w="0" w:type="auto"/>
            <w:gridSpan w:val="2"/>
            <w:hideMark/>
          </w:tcPr>
          <w:p w14:paraId="27AAA43A" w14:textId="253623AA"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w:t>
            </w:r>
            <w:r w:rsidR="009A331D">
              <w:rPr>
                <w:rFonts w:asciiTheme="minorHAnsi" w:hAnsiTheme="minorHAnsi" w:cstheme="minorHAnsi"/>
              </w:rPr>
              <w:t>7</w:t>
            </w:r>
            <w:r w:rsidRPr="00C86111">
              <w:rPr>
                <w:rFonts w:asciiTheme="minorHAnsi" w:hAnsiTheme="minorHAnsi" w:cstheme="minorHAnsi"/>
              </w:rPr>
              <w:t>)</w:t>
            </w:r>
          </w:p>
        </w:tc>
        <w:tc>
          <w:tcPr>
            <w:tcW w:w="0" w:type="auto"/>
            <w:hideMark/>
          </w:tcPr>
          <w:p w14:paraId="586B0DC0"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9A331D" w14:paraId="78E379A0"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F9C1DDA" w14:textId="77777777" w:rsidR="00C4574D" w:rsidRPr="009A331D" w:rsidRDefault="00C4574D" w:rsidP="00033AB8">
            <w:pPr>
              <w:rPr>
                <w:rFonts w:asciiTheme="minorHAnsi" w:hAnsiTheme="minorHAnsi" w:cstheme="minorHAnsi"/>
                <w:color w:val="auto"/>
              </w:rPr>
            </w:pPr>
            <w:r w:rsidRPr="009A331D">
              <w:rPr>
                <w:rFonts w:asciiTheme="minorHAnsi" w:hAnsiTheme="minorHAnsi" w:cstheme="minorHAnsi"/>
                <w:color w:val="auto"/>
              </w:rPr>
              <w:t>Broj neuređenih odlagališta sa implementiranim preventivnim mjerama</w:t>
            </w:r>
          </w:p>
        </w:tc>
        <w:tc>
          <w:tcPr>
            <w:tcW w:w="0" w:type="auto"/>
            <w:gridSpan w:val="2"/>
            <w:hideMark/>
          </w:tcPr>
          <w:p w14:paraId="33321FB8" w14:textId="77777777" w:rsidR="00C4574D" w:rsidRPr="009A331D"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Nedefinisano</w:t>
            </w:r>
          </w:p>
        </w:tc>
        <w:tc>
          <w:tcPr>
            <w:tcW w:w="0" w:type="auto"/>
            <w:gridSpan w:val="2"/>
            <w:hideMark/>
          </w:tcPr>
          <w:p w14:paraId="24F7A26C" w14:textId="57145B0E" w:rsidR="00C4574D" w:rsidRPr="009A331D"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 xml:space="preserve">Min. </w:t>
            </w:r>
            <w:r w:rsidR="009A331D" w:rsidRPr="009A331D">
              <w:rPr>
                <w:rFonts w:asciiTheme="minorHAnsi" w:hAnsiTheme="minorHAnsi" w:cstheme="minorHAnsi"/>
                <w:color w:val="auto"/>
              </w:rPr>
              <w:t>10</w:t>
            </w:r>
            <w:r w:rsidRPr="009A331D">
              <w:rPr>
                <w:rFonts w:asciiTheme="minorHAnsi" w:hAnsiTheme="minorHAnsi" w:cstheme="minorHAnsi"/>
                <w:color w:val="auto"/>
              </w:rPr>
              <w:t>% pokrivenih</w:t>
            </w:r>
          </w:p>
        </w:tc>
        <w:tc>
          <w:tcPr>
            <w:tcW w:w="0" w:type="auto"/>
            <w:hideMark/>
          </w:tcPr>
          <w:p w14:paraId="4B1ED523" w14:textId="1C27D023" w:rsidR="00C4574D" w:rsidRPr="009A331D"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Minimun 10%</w:t>
            </w:r>
            <w:r w:rsidR="00C4574D" w:rsidRPr="009A331D">
              <w:rPr>
                <w:rFonts w:asciiTheme="minorHAnsi" w:hAnsiTheme="minorHAnsi" w:cstheme="minorHAnsi"/>
                <w:color w:val="auto"/>
              </w:rPr>
              <w:t xml:space="preserve"> rizičn</w:t>
            </w:r>
            <w:r>
              <w:rPr>
                <w:rFonts w:asciiTheme="minorHAnsi" w:hAnsiTheme="minorHAnsi" w:cstheme="minorHAnsi"/>
                <w:color w:val="auto"/>
              </w:rPr>
              <w:t>ih</w:t>
            </w:r>
            <w:r w:rsidR="00C4574D" w:rsidRPr="009A331D">
              <w:rPr>
                <w:rFonts w:asciiTheme="minorHAnsi" w:hAnsiTheme="minorHAnsi" w:cstheme="minorHAnsi"/>
                <w:color w:val="auto"/>
              </w:rPr>
              <w:t xml:space="preserve"> odlagališta uređen</w:t>
            </w:r>
            <w:r>
              <w:rPr>
                <w:rFonts w:asciiTheme="minorHAnsi" w:hAnsiTheme="minorHAnsi" w:cstheme="minorHAnsi"/>
                <w:color w:val="auto"/>
              </w:rPr>
              <w:t>o</w:t>
            </w:r>
          </w:p>
        </w:tc>
      </w:tr>
      <w:tr w:rsidR="00C4574D" w:rsidRPr="009A331D" w14:paraId="555D157B"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1B7EAA6C" w14:textId="77777777" w:rsidR="00C4574D" w:rsidRPr="009A331D" w:rsidRDefault="00C4574D" w:rsidP="00033AB8">
            <w:pPr>
              <w:rPr>
                <w:rFonts w:asciiTheme="minorHAnsi" w:hAnsiTheme="minorHAnsi" w:cstheme="minorHAnsi"/>
                <w:color w:val="auto"/>
              </w:rPr>
            </w:pPr>
            <w:r w:rsidRPr="009A331D">
              <w:rPr>
                <w:rFonts w:asciiTheme="minorHAnsi" w:hAnsiTheme="minorHAnsi" w:cstheme="minorHAnsi"/>
                <w:color w:val="auto"/>
              </w:rPr>
              <w:t>Aktivnost</w:t>
            </w:r>
          </w:p>
        </w:tc>
        <w:tc>
          <w:tcPr>
            <w:tcW w:w="0" w:type="auto"/>
            <w:gridSpan w:val="2"/>
            <w:hideMark/>
          </w:tcPr>
          <w:p w14:paraId="655CC3F4" w14:textId="77777777" w:rsidR="00C4574D" w:rsidRPr="009A331D"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Nosioci realizacije</w:t>
            </w:r>
          </w:p>
        </w:tc>
        <w:tc>
          <w:tcPr>
            <w:tcW w:w="0" w:type="auto"/>
            <w:hideMark/>
          </w:tcPr>
          <w:p w14:paraId="32D655DC" w14:textId="77777777" w:rsidR="00C4574D" w:rsidRPr="009A331D"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Datum početka</w:t>
            </w:r>
          </w:p>
        </w:tc>
        <w:tc>
          <w:tcPr>
            <w:tcW w:w="0" w:type="auto"/>
            <w:hideMark/>
          </w:tcPr>
          <w:p w14:paraId="63A8BA2D" w14:textId="77777777" w:rsidR="00C4574D" w:rsidRPr="009A331D"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Indikator rezultata</w:t>
            </w:r>
          </w:p>
        </w:tc>
        <w:tc>
          <w:tcPr>
            <w:tcW w:w="1341" w:type="dxa"/>
            <w:hideMark/>
          </w:tcPr>
          <w:p w14:paraId="5AFB47B5" w14:textId="77777777" w:rsidR="00C4574D" w:rsidRPr="009A331D"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Planirani završetak</w:t>
            </w:r>
          </w:p>
        </w:tc>
        <w:tc>
          <w:tcPr>
            <w:tcW w:w="1975" w:type="dxa"/>
            <w:hideMark/>
          </w:tcPr>
          <w:p w14:paraId="74FAD227" w14:textId="77777777" w:rsidR="00C4574D" w:rsidRPr="009A331D"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Izvor finansiranja</w:t>
            </w:r>
          </w:p>
        </w:tc>
      </w:tr>
      <w:tr w:rsidR="00C4574D" w:rsidRPr="009A331D" w14:paraId="241657AF"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0DFE80" w14:textId="4264F28E" w:rsidR="00C4574D" w:rsidRPr="009A331D" w:rsidRDefault="009A331D" w:rsidP="00033AB8">
            <w:pPr>
              <w:rPr>
                <w:rFonts w:asciiTheme="minorHAnsi" w:hAnsiTheme="minorHAnsi" w:cstheme="minorHAnsi"/>
                <w:color w:val="auto"/>
              </w:rPr>
            </w:pPr>
            <w:r w:rsidRPr="009A331D">
              <w:rPr>
                <w:rFonts w:asciiTheme="minorHAnsi" w:hAnsiTheme="minorHAnsi" w:cstheme="minorHAnsi"/>
                <w:color w:val="auto"/>
              </w:rPr>
              <w:t>Zatvaranje i sanacija svih nesanitarnih deponija</w:t>
            </w:r>
          </w:p>
        </w:tc>
        <w:tc>
          <w:tcPr>
            <w:tcW w:w="0" w:type="auto"/>
            <w:gridSpan w:val="2"/>
            <w:hideMark/>
          </w:tcPr>
          <w:p w14:paraId="06E96725" w14:textId="77777777" w:rsidR="00C4574D" w:rsidRPr="009A331D"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MERS, lokalne samouprave</w:t>
            </w:r>
          </w:p>
        </w:tc>
        <w:tc>
          <w:tcPr>
            <w:tcW w:w="0" w:type="auto"/>
            <w:hideMark/>
          </w:tcPr>
          <w:p w14:paraId="4326A69F" w14:textId="77777777" w:rsidR="00C4574D" w:rsidRPr="009A331D"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2026</w:t>
            </w:r>
          </w:p>
        </w:tc>
        <w:tc>
          <w:tcPr>
            <w:tcW w:w="0" w:type="auto"/>
            <w:hideMark/>
          </w:tcPr>
          <w:p w14:paraId="3CD2F3BC" w14:textId="77777777" w:rsidR="00C4574D" w:rsidRPr="009A331D"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Evidencija sprovedenih mjera</w:t>
            </w:r>
          </w:p>
        </w:tc>
        <w:tc>
          <w:tcPr>
            <w:tcW w:w="1341" w:type="dxa"/>
            <w:hideMark/>
          </w:tcPr>
          <w:p w14:paraId="03DD4233" w14:textId="4B6B389D" w:rsidR="00C4574D" w:rsidRPr="009A331D"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20</w:t>
            </w:r>
            <w:r w:rsidR="009A331D" w:rsidRPr="009A331D">
              <w:rPr>
                <w:rFonts w:asciiTheme="minorHAnsi" w:hAnsiTheme="minorHAnsi" w:cstheme="minorHAnsi"/>
                <w:color w:val="auto"/>
              </w:rPr>
              <w:t>30</w:t>
            </w:r>
          </w:p>
        </w:tc>
        <w:tc>
          <w:tcPr>
            <w:tcW w:w="1975" w:type="dxa"/>
            <w:hideMark/>
          </w:tcPr>
          <w:p w14:paraId="187D9052" w14:textId="1F46CE99" w:rsidR="00C4574D" w:rsidRPr="009A331D" w:rsidRDefault="00D46D3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9A331D">
              <w:rPr>
                <w:rFonts w:asciiTheme="minorHAnsi" w:hAnsiTheme="minorHAnsi" w:cstheme="minorHAnsi"/>
                <w:color w:val="auto"/>
              </w:rPr>
              <w:t>Aktivnost planirana kroz  Budžet CG</w:t>
            </w:r>
            <w:r w:rsidR="009A331D" w:rsidRPr="009A331D">
              <w:rPr>
                <w:rFonts w:asciiTheme="minorHAnsi" w:hAnsiTheme="minorHAnsi" w:cstheme="minorHAnsi"/>
                <w:color w:val="auto"/>
              </w:rPr>
              <w:t xml:space="preserve">, budžet lokalnih samouprava I </w:t>
            </w:r>
          </w:p>
        </w:tc>
      </w:tr>
    </w:tbl>
    <w:p w14:paraId="348CB7F2" w14:textId="77777777" w:rsidR="00C4574D" w:rsidRDefault="00C4574D" w:rsidP="00C4574D">
      <w:pPr>
        <w:rPr>
          <w:rFonts w:asciiTheme="minorHAnsi" w:hAnsiTheme="minorHAnsi" w:cstheme="minorHAnsi"/>
        </w:rPr>
      </w:pPr>
    </w:p>
    <w:p w14:paraId="7202F342" w14:textId="7141290C" w:rsidR="00C4574D" w:rsidRPr="00C86111" w:rsidRDefault="00C4574D" w:rsidP="00C4574D">
      <w:pPr>
        <w:jc w:val="both"/>
        <w:rPr>
          <w:rFonts w:asciiTheme="minorHAnsi" w:hAnsiTheme="minorHAnsi" w:cstheme="minorHAnsi"/>
          <w:b/>
          <w:bCs/>
        </w:rPr>
      </w:pPr>
      <w:r w:rsidRPr="00E65986">
        <w:rPr>
          <w:rFonts w:asciiTheme="minorHAnsi" w:hAnsiTheme="minorHAnsi" w:cstheme="minorHAnsi"/>
          <w:b/>
          <w:bCs/>
          <w:color w:val="002060"/>
        </w:rPr>
        <w:lastRenderedPageBreak/>
        <w:t xml:space="preserve">STRATEŠKI CILJ </w:t>
      </w:r>
      <w:r w:rsidR="00E65986">
        <w:rPr>
          <w:rFonts w:asciiTheme="minorHAnsi" w:hAnsiTheme="minorHAnsi" w:cstheme="minorHAnsi"/>
          <w:b/>
          <w:bCs/>
          <w:color w:val="002060"/>
        </w:rPr>
        <w:t>5</w:t>
      </w:r>
      <w:r w:rsidRPr="00C86111">
        <w:rPr>
          <w:rFonts w:asciiTheme="minorHAnsi" w:hAnsiTheme="minorHAnsi" w:cstheme="minorHAnsi"/>
          <w:b/>
          <w:bCs/>
        </w:rPr>
        <w:t>: Ojačati kapacitete i efikasnost sistema monitoringa i analize POPs i novih zagađivača u Crnoj Gori, kako bi se smanjili rizici po zdravlje ljudi i životnu sredinu, osigurala usklađenost sa EU regulativama i međunarodnim konvencijama, te unaprijedila prekogranična saradnja.</w:t>
      </w:r>
    </w:p>
    <w:p w14:paraId="763B1B5E" w14:textId="77777777" w:rsidR="00C4574D" w:rsidRPr="00C86111" w:rsidRDefault="00C4574D" w:rsidP="00C4574D">
      <w:pPr>
        <w:rPr>
          <w:rFonts w:asciiTheme="minorHAnsi" w:hAnsiTheme="minorHAnsi" w:cstheme="minorHAnsi"/>
        </w:rPr>
      </w:pPr>
    </w:p>
    <w:p w14:paraId="5495D0AB" w14:textId="77777777" w:rsidR="00C4574D" w:rsidRPr="00C86111" w:rsidRDefault="00C4574D" w:rsidP="00C4574D">
      <w:pPr>
        <w:rPr>
          <w:rFonts w:asciiTheme="minorHAnsi" w:hAnsiTheme="minorHAnsi" w:cstheme="minorHAnsi"/>
          <w:b/>
          <w:bCs/>
        </w:rPr>
      </w:pPr>
      <w:r w:rsidRPr="00C86111">
        <w:rPr>
          <w:rFonts w:asciiTheme="minorHAnsi" w:hAnsiTheme="minorHAnsi" w:cstheme="minorHAnsi"/>
          <w:b/>
          <w:bCs/>
        </w:rPr>
        <w:t xml:space="preserve">Operativni cilj 1: </w:t>
      </w:r>
      <w:r w:rsidRPr="00C86111">
        <w:rPr>
          <w:rFonts w:asciiTheme="minorHAnsi" w:hAnsiTheme="minorHAnsi" w:cstheme="minorHAnsi"/>
        </w:rPr>
        <w:t>Pojačati i proširiti monitoring POPs i novih zagađivača</w:t>
      </w:r>
    </w:p>
    <w:tbl>
      <w:tblPr>
        <w:tblStyle w:val="GridTable4-Accent6"/>
        <w:tblW w:w="0" w:type="auto"/>
        <w:tblLook w:val="04A0" w:firstRow="1" w:lastRow="0" w:firstColumn="1" w:lastColumn="0" w:noHBand="0" w:noVBand="1"/>
      </w:tblPr>
      <w:tblGrid>
        <w:gridCol w:w="2279"/>
        <w:gridCol w:w="1563"/>
        <w:gridCol w:w="1851"/>
        <w:gridCol w:w="641"/>
        <w:gridCol w:w="640"/>
        <w:gridCol w:w="2545"/>
        <w:gridCol w:w="3431"/>
      </w:tblGrid>
      <w:tr w:rsidR="00C4574D" w:rsidRPr="00C86111" w14:paraId="2E98A650"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17C895"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hideMark/>
          </w:tcPr>
          <w:p w14:paraId="3976F849"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gridSpan w:val="2"/>
            <w:hideMark/>
          </w:tcPr>
          <w:p w14:paraId="241FE189"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0" w:type="auto"/>
            <w:gridSpan w:val="3"/>
            <w:hideMark/>
          </w:tcPr>
          <w:p w14:paraId="761C1683"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C86111" w14:paraId="64FD6389"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311551"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Obuhvat mjesečnog monitoringa voda, tla, hrane i biote</w:t>
            </w:r>
          </w:p>
        </w:tc>
        <w:tc>
          <w:tcPr>
            <w:tcW w:w="0" w:type="auto"/>
            <w:hideMark/>
          </w:tcPr>
          <w:p w14:paraId="430B9E7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Delimično prisutan</w:t>
            </w:r>
          </w:p>
        </w:tc>
        <w:tc>
          <w:tcPr>
            <w:tcW w:w="0" w:type="auto"/>
            <w:gridSpan w:val="2"/>
            <w:hideMark/>
          </w:tcPr>
          <w:p w14:paraId="2FCC07F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Sistemski monitoring u fazi implementacije</w:t>
            </w:r>
          </w:p>
        </w:tc>
        <w:tc>
          <w:tcPr>
            <w:tcW w:w="0" w:type="auto"/>
            <w:gridSpan w:val="3"/>
            <w:hideMark/>
          </w:tcPr>
          <w:p w14:paraId="415B41F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Kontinuiran, sveobuhvatan monitoring</w:t>
            </w:r>
          </w:p>
        </w:tc>
      </w:tr>
      <w:tr w:rsidR="00C4574D" w:rsidRPr="00C86111" w14:paraId="709D5E95"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67E06651"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novih zagađivača uključeni u monitoring</w:t>
            </w:r>
          </w:p>
        </w:tc>
        <w:tc>
          <w:tcPr>
            <w:tcW w:w="0" w:type="auto"/>
            <w:hideMark/>
          </w:tcPr>
          <w:p w14:paraId="26C232AE"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Nedefinisano</w:t>
            </w:r>
          </w:p>
        </w:tc>
        <w:tc>
          <w:tcPr>
            <w:tcW w:w="0" w:type="auto"/>
            <w:gridSpan w:val="2"/>
            <w:hideMark/>
          </w:tcPr>
          <w:p w14:paraId="031EFD5B"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Min. 3 nova zagađivača</w:t>
            </w:r>
          </w:p>
        </w:tc>
        <w:tc>
          <w:tcPr>
            <w:tcW w:w="0" w:type="auto"/>
            <w:gridSpan w:val="3"/>
            <w:hideMark/>
          </w:tcPr>
          <w:p w14:paraId="56EA2BC1"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Svi relevantni POPs i novi zagađivači uključeni u monitoring</w:t>
            </w:r>
          </w:p>
        </w:tc>
      </w:tr>
      <w:tr w:rsidR="00C4574D" w:rsidRPr="00C86111" w14:paraId="300169DF"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42784E"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Implementacija bioeseja i ekotoksikoloških testiranja</w:t>
            </w:r>
          </w:p>
        </w:tc>
        <w:tc>
          <w:tcPr>
            <w:tcW w:w="0" w:type="auto"/>
            <w:hideMark/>
          </w:tcPr>
          <w:p w14:paraId="710E440A"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Nije primijenjeno</w:t>
            </w:r>
          </w:p>
        </w:tc>
        <w:tc>
          <w:tcPr>
            <w:tcW w:w="0" w:type="auto"/>
            <w:gridSpan w:val="2"/>
            <w:hideMark/>
          </w:tcPr>
          <w:p w14:paraId="4B552F9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Pilot program</w:t>
            </w:r>
          </w:p>
        </w:tc>
        <w:tc>
          <w:tcPr>
            <w:tcW w:w="0" w:type="auto"/>
            <w:gridSpan w:val="3"/>
            <w:hideMark/>
          </w:tcPr>
          <w:p w14:paraId="1E0E91F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Standardna praksa u svim relevantnim laboratorijama</w:t>
            </w:r>
          </w:p>
        </w:tc>
      </w:tr>
      <w:tr w:rsidR="00C4574D" w:rsidRPr="00C86111" w14:paraId="5C9ADD07" w14:textId="77777777" w:rsidTr="00F50788">
        <w:tc>
          <w:tcPr>
            <w:cnfStyle w:val="001000000000" w:firstRow="0" w:lastRow="0" w:firstColumn="1" w:lastColumn="0" w:oddVBand="0" w:evenVBand="0" w:oddHBand="0" w:evenHBand="0" w:firstRowFirstColumn="0" w:firstRowLastColumn="0" w:lastRowFirstColumn="0" w:lastRowLastColumn="0"/>
            <w:tcW w:w="0" w:type="auto"/>
            <w:hideMark/>
          </w:tcPr>
          <w:p w14:paraId="064748DF"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Aktivnost</w:t>
            </w:r>
          </w:p>
        </w:tc>
        <w:tc>
          <w:tcPr>
            <w:tcW w:w="0" w:type="auto"/>
            <w:hideMark/>
          </w:tcPr>
          <w:p w14:paraId="77C34E94"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realizacije</w:t>
            </w:r>
          </w:p>
        </w:tc>
        <w:tc>
          <w:tcPr>
            <w:tcW w:w="0" w:type="auto"/>
            <w:hideMark/>
          </w:tcPr>
          <w:p w14:paraId="1AAA6D1E"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Datum početka</w:t>
            </w:r>
          </w:p>
        </w:tc>
        <w:tc>
          <w:tcPr>
            <w:tcW w:w="1282" w:type="dxa"/>
            <w:gridSpan w:val="2"/>
            <w:hideMark/>
          </w:tcPr>
          <w:p w14:paraId="1728DA5D"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2545" w:type="dxa"/>
            <w:hideMark/>
          </w:tcPr>
          <w:p w14:paraId="154DD9AF"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Planirani završetak</w:t>
            </w:r>
          </w:p>
        </w:tc>
        <w:tc>
          <w:tcPr>
            <w:tcW w:w="3431" w:type="dxa"/>
            <w:hideMark/>
          </w:tcPr>
          <w:p w14:paraId="66A4D561"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C4574D" w:rsidRPr="00C86111" w14:paraId="0F3CB70D" w14:textId="77777777" w:rsidTr="00F50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1E39DF" w14:textId="0FC1D96A" w:rsidR="00C4574D" w:rsidRPr="00C86111" w:rsidRDefault="00C4574D" w:rsidP="00033AB8">
            <w:pPr>
              <w:rPr>
                <w:rFonts w:asciiTheme="minorHAnsi" w:hAnsiTheme="minorHAnsi" w:cstheme="minorHAnsi"/>
              </w:rPr>
            </w:pPr>
            <w:r w:rsidRPr="00C86111">
              <w:rPr>
                <w:rFonts w:asciiTheme="minorHAnsi" w:hAnsiTheme="minorHAnsi" w:cstheme="minorHAnsi"/>
              </w:rPr>
              <w:t xml:space="preserve">1.1 </w:t>
            </w:r>
            <w:r w:rsidR="006D5D17">
              <w:rPr>
                <w:rFonts w:asciiTheme="minorHAnsi" w:hAnsiTheme="minorHAnsi" w:cstheme="minorHAnsi"/>
              </w:rPr>
              <w:t>Sistematski monitoring program svih segmenata životne sredine, hrane, hrane za životinje na POPs</w:t>
            </w:r>
          </w:p>
        </w:tc>
        <w:tc>
          <w:tcPr>
            <w:tcW w:w="0" w:type="auto"/>
            <w:hideMark/>
          </w:tcPr>
          <w:p w14:paraId="6E9F022A" w14:textId="58BDFAED"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 xml:space="preserve">MERS, </w:t>
            </w:r>
            <w:r w:rsidR="006D5D17">
              <w:rPr>
                <w:rFonts w:asciiTheme="minorHAnsi" w:hAnsiTheme="minorHAnsi" w:cstheme="minorHAnsi"/>
              </w:rPr>
              <w:t xml:space="preserve">UBH, </w:t>
            </w:r>
            <w:r w:rsidRPr="00C86111">
              <w:rPr>
                <w:rFonts w:asciiTheme="minorHAnsi" w:hAnsiTheme="minorHAnsi" w:cstheme="minorHAnsi"/>
              </w:rPr>
              <w:t>laboratorije</w:t>
            </w:r>
          </w:p>
        </w:tc>
        <w:tc>
          <w:tcPr>
            <w:tcW w:w="0" w:type="auto"/>
            <w:hideMark/>
          </w:tcPr>
          <w:p w14:paraId="65230383"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2026</w:t>
            </w:r>
          </w:p>
        </w:tc>
        <w:tc>
          <w:tcPr>
            <w:tcW w:w="1282" w:type="dxa"/>
            <w:gridSpan w:val="2"/>
            <w:hideMark/>
          </w:tcPr>
          <w:p w14:paraId="0B4A94FB"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Redovni mjesečni izvještaji</w:t>
            </w:r>
          </w:p>
        </w:tc>
        <w:tc>
          <w:tcPr>
            <w:tcW w:w="2545" w:type="dxa"/>
            <w:hideMark/>
          </w:tcPr>
          <w:p w14:paraId="4742133C"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Kontinuirano</w:t>
            </w:r>
          </w:p>
        </w:tc>
        <w:tc>
          <w:tcPr>
            <w:tcW w:w="3431" w:type="dxa"/>
            <w:hideMark/>
          </w:tcPr>
          <w:p w14:paraId="19D4AEA5" w14:textId="39639ADF" w:rsidR="00C4574D" w:rsidRPr="00C86111" w:rsidRDefault="00292255"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92255">
              <w:rPr>
                <w:rFonts w:asciiTheme="minorHAnsi" w:hAnsiTheme="minorHAnsi" w:cstheme="minorHAnsi"/>
                <w:color w:val="auto"/>
              </w:rPr>
              <w:t xml:space="preserve">Aktivnost planirana kroz  Budžet CG </w:t>
            </w:r>
          </w:p>
        </w:tc>
      </w:tr>
      <w:tr w:rsidR="00C4574D" w:rsidRPr="00C86111" w14:paraId="6E97B07C" w14:textId="77777777" w:rsidTr="00F50788">
        <w:tc>
          <w:tcPr>
            <w:cnfStyle w:val="001000000000" w:firstRow="0" w:lastRow="0" w:firstColumn="1" w:lastColumn="0" w:oddVBand="0" w:evenVBand="0" w:oddHBand="0" w:evenHBand="0" w:firstRowFirstColumn="0" w:firstRowLastColumn="0" w:lastRowFirstColumn="0" w:lastRowLastColumn="0"/>
            <w:tcW w:w="0" w:type="auto"/>
            <w:hideMark/>
          </w:tcPr>
          <w:p w14:paraId="27472FA9"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1.2 Sistematsko uključivanje novih zagađivača u monitoring</w:t>
            </w:r>
          </w:p>
        </w:tc>
        <w:tc>
          <w:tcPr>
            <w:tcW w:w="0" w:type="auto"/>
            <w:hideMark/>
          </w:tcPr>
          <w:p w14:paraId="70FC3A3D"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MERS, UBH, laboratorije</w:t>
            </w:r>
          </w:p>
        </w:tc>
        <w:tc>
          <w:tcPr>
            <w:tcW w:w="0" w:type="auto"/>
            <w:hideMark/>
          </w:tcPr>
          <w:p w14:paraId="175319D1"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2026</w:t>
            </w:r>
          </w:p>
        </w:tc>
        <w:tc>
          <w:tcPr>
            <w:tcW w:w="1282" w:type="dxa"/>
            <w:gridSpan w:val="2"/>
            <w:hideMark/>
          </w:tcPr>
          <w:p w14:paraId="6A1230E1"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Lista i evidencija novih zagađivača</w:t>
            </w:r>
          </w:p>
        </w:tc>
        <w:tc>
          <w:tcPr>
            <w:tcW w:w="2545" w:type="dxa"/>
            <w:hideMark/>
          </w:tcPr>
          <w:p w14:paraId="56EA0C4A"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Kontinuirano</w:t>
            </w:r>
          </w:p>
        </w:tc>
        <w:tc>
          <w:tcPr>
            <w:tcW w:w="3431" w:type="dxa"/>
            <w:hideMark/>
          </w:tcPr>
          <w:p w14:paraId="017B3472" w14:textId="3D3930EF" w:rsidR="00C4574D" w:rsidRPr="00C86111" w:rsidRDefault="00292255"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2255">
              <w:rPr>
                <w:rFonts w:asciiTheme="minorHAnsi" w:hAnsiTheme="minorHAnsi" w:cstheme="minorHAnsi"/>
                <w:color w:val="auto"/>
              </w:rPr>
              <w:t xml:space="preserve">Aktivnost planirana kroz  Budžet CG </w:t>
            </w:r>
          </w:p>
        </w:tc>
      </w:tr>
    </w:tbl>
    <w:p w14:paraId="0BBEC764" w14:textId="77777777" w:rsidR="00F50788" w:rsidRDefault="00F50788" w:rsidP="00C4574D">
      <w:pPr>
        <w:rPr>
          <w:rFonts w:asciiTheme="minorHAnsi" w:hAnsiTheme="minorHAnsi" w:cstheme="minorHAnsi"/>
          <w:b/>
          <w:bCs/>
        </w:rPr>
      </w:pPr>
    </w:p>
    <w:p w14:paraId="1D5F0630" w14:textId="77777777" w:rsidR="00F50788" w:rsidRDefault="00F50788" w:rsidP="00C4574D">
      <w:pPr>
        <w:rPr>
          <w:rFonts w:asciiTheme="minorHAnsi" w:hAnsiTheme="minorHAnsi" w:cstheme="minorHAnsi"/>
          <w:b/>
          <w:bCs/>
        </w:rPr>
      </w:pPr>
    </w:p>
    <w:p w14:paraId="18F4AE08" w14:textId="77777777" w:rsidR="00F50788" w:rsidRDefault="00F50788" w:rsidP="00C4574D">
      <w:pPr>
        <w:rPr>
          <w:rFonts w:asciiTheme="minorHAnsi" w:hAnsiTheme="minorHAnsi" w:cstheme="minorHAnsi"/>
          <w:b/>
          <w:bCs/>
        </w:rPr>
      </w:pPr>
    </w:p>
    <w:p w14:paraId="10E9AA3B" w14:textId="77777777" w:rsidR="00F50788" w:rsidRDefault="00F50788" w:rsidP="00C4574D">
      <w:pPr>
        <w:rPr>
          <w:rFonts w:asciiTheme="minorHAnsi" w:hAnsiTheme="minorHAnsi" w:cstheme="minorHAnsi"/>
          <w:b/>
          <w:bCs/>
        </w:rPr>
      </w:pPr>
    </w:p>
    <w:p w14:paraId="4DDB2E49" w14:textId="7DC530AF" w:rsidR="00C4574D" w:rsidRPr="00C86111" w:rsidRDefault="00C4574D" w:rsidP="00C4574D">
      <w:pPr>
        <w:rPr>
          <w:rFonts w:asciiTheme="minorHAnsi" w:hAnsiTheme="minorHAnsi" w:cstheme="minorHAnsi"/>
          <w:b/>
          <w:bCs/>
        </w:rPr>
      </w:pPr>
      <w:r w:rsidRPr="00C86111">
        <w:rPr>
          <w:rFonts w:asciiTheme="minorHAnsi" w:hAnsiTheme="minorHAnsi" w:cstheme="minorHAnsi"/>
          <w:b/>
          <w:bCs/>
        </w:rPr>
        <w:t xml:space="preserve">Operativni cilj </w:t>
      </w:r>
      <w:r w:rsidR="003B38C2">
        <w:rPr>
          <w:rFonts w:asciiTheme="minorHAnsi" w:hAnsiTheme="minorHAnsi" w:cstheme="minorHAnsi"/>
          <w:b/>
          <w:bCs/>
        </w:rPr>
        <w:t>2</w:t>
      </w:r>
      <w:r w:rsidRPr="00C86111">
        <w:rPr>
          <w:rFonts w:asciiTheme="minorHAnsi" w:hAnsiTheme="minorHAnsi" w:cstheme="minorHAnsi"/>
          <w:b/>
          <w:bCs/>
        </w:rPr>
        <w:t>: Humani biomonitoring i komunikacija rizika</w:t>
      </w:r>
    </w:p>
    <w:tbl>
      <w:tblPr>
        <w:tblStyle w:val="GridTable4-Accent6"/>
        <w:tblW w:w="0" w:type="auto"/>
        <w:tblLook w:val="04A0" w:firstRow="1" w:lastRow="0" w:firstColumn="1" w:lastColumn="0" w:noHBand="0" w:noVBand="1"/>
      </w:tblPr>
      <w:tblGrid>
        <w:gridCol w:w="3590"/>
        <w:gridCol w:w="1838"/>
        <w:gridCol w:w="498"/>
        <w:gridCol w:w="498"/>
        <w:gridCol w:w="2821"/>
        <w:gridCol w:w="1658"/>
        <w:gridCol w:w="2047"/>
      </w:tblGrid>
      <w:tr w:rsidR="00C4574D" w:rsidRPr="00C86111" w14:paraId="5333017D"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22A70F"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gridSpan w:val="2"/>
            <w:hideMark/>
          </w:tcPr>
          <w:p w14:paraId="2F6FB89A"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gridSpan w:val="2"/>
            <w:hideMark/>
          </w:tcPr>
          <w:p w14:paraId="6C09B0BA"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0" w:type="auto"/>
            <w:gridSpan w:val="2"/>
            <w:hideMark/>
          </w:tcPr>
          <w:p w14:paraId="4ACDC608"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C86111" w14:paraId="3477E169"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CCF76B"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Uspostavljen program humanog biomonitoringa</w:t>
            </w:r>
          </w:p>
        </w:tc>
        <w:tc>
          <w:tcPr>
            <w:tcW w:w="0" w:type="auto"/>
            <w:gridSpan w:val="2"/>
            <w:hideMark/>
          </w:tcPr>
          <w:p w14:paraId="603CA9FF"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Ne postoji</w:t>
            </w:r>
          </w:p>
        </w:tc>
        <w:tc>
          <w:tcPr>
            <w:tcW w:w="0" w:type="auto"/>
            <w:gridSpan w:val="2"/>
            <w:hideMark/>
          </w:tcPr>
          <w:p w14:paraId="12528B95"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Pilot program</w:t>
            </w:r>
          </w:p>
        </w:tc>
        <w:tc>
          <w:tcPr>
            <w:tcW w:w="0" w:type="auto"/>
            <w:gridSpan w:val="2"/>
            <w:hideMark/>
          </w:tcPr>
          <w:p w14:paraId="03C194D8"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Redovan, sistematski biomonitoring</w:t>
            </w:r>
          </w:p>
        </w:tc>
      </w:tr>
      <w:tr w:rsidR="00C4574D" w:rsidRPr="00C86111" w14:paraId="6F918E82" w14:textId="77777777" w:rsidTr="00033AB8">
        <w:tc>
          <w:tcPr>
            <w:cnfStyle w:val="001000000000" w:firstRow="0" w:lastRow="0" w:firstColumn="1" w:lastColumn="0" w:oddVBand="0" w:evenVBand="0" w:oddHBand="0" w:evenHBand="0" w:firstRowFirstColumn="0" w:firstRowLastColumn="0" w:lastRowFirstColumn="0" w:lastRowLastColumn="0"/>
            <w:tcW w:w="0" w:type="auto"/>
            <w:hideMark/>
          </w:tcPr>
          <w:p w14:paraId="760F42CC"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kampanja i materijala za podizanje svijesti javnosti</w:t>
            </w:r>
          </w:p>
        </w:tc>
        <w:tc>
          <w:tcPr>
            <w:tcW w:w="0" w:type="auto"/>
            <w:gridSpan w:val="2"/>
            <w:hideMark/>
          </w:tcPr>
          <w:p w14:paraId="42827B27"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Ograničeno</w:t>
            </w:r>
          </w:p>
        </w:tc>
        <w:tc>
          <w:tcPr>
            <w:tcW w:w="0" w:type="auto"/>
            <w:gridSpan w:val="2"/>
            <w:hideMark/>
          </w:tcPr>
          <w:p w14:paraId="22BB688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Min. 2 kampanje</w:t>
            </w:r>
          </w:p>
        </w:tc>
        <w:tc>
          <w:tcPr>
            <w:tcW w:w="0" w:type="auto"/>
            <w:gridSpan w:val="2"/>
            <w:hideMark/>
          </w:tcPr>
          <w:p w14:paraId="0AA4CE78"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Kontinuirane aktivnosti i široka dostupnost informacija</w:t>
            </w:r>
          </w:p>
        </w:tc>
      </w:tr>
      <w:tr w:rsidR="00C4574D" w:rsidRPr="00C86111" w14:paraId="4FD1BF45" w14:textId="77777777" w:rsidTr="00F50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6A703B"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Aktivnost</w:t>
            </w:r>
          </w:p>
        </w:tc>
        <w:tc>
          <w:tcPr>
            <w:tcW w:w="0" w:type="auto"/>
            <w:hideMark/>
          </w:tcPr>
          <w:p w14:paraId="59605E80"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realizacije</w:t>
            </w:r>
          </w:p>
        </w:tc>
        <w:tc>
          <w:tcPr>
            <w:tcW w:w="875" w:type="dxa"/>
            <w:gridSpan w:val="2"/>
            <w:hideMark/>
          </w:tcPr>
          <w:p w14:paraId="611630E3"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Datum početka</w:t>
            </w:r>
          </w:p>
        </w:tc>
        <w:tc>
          <w:tcPr>
            <w:tcW w:w="2204" w:type="dxa"/>
            <w:hideMark/>
          </w:tcPr>
          <w:p w14:paraId="2B5E4CE2"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0" w:type="auto"/>
            <w:hideMark/>
          </w:tcPr>
          <w:p w14:paraId="5BB83A77"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Planirani završetak</w:t>
            </w:r>
          </w:p>
        </w:tc>
        <w:tc>
          <w:tcPr>
            <w:tcW w:w="0" w:type="auto"/>
            <w:hideMark/>
          </w:tcPr>
          <w:p w14:paraId="45A7C232"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C4574D" w:rsidRPr="00C86111" w14:paraId="08BE781F" w14:textId="77777777" w:rsidTr="00F50788">
        <w:tc>
          <w:tcPr>
            <w:cnfStyle w:val="001000000000" w:firstRow="0" w:lastRow="0" w:firstColumn="1" w:lastColumn="0" w:oddVBand="0" w:evenVBand="0" w:oddHBand="0" w:evenHBand="0" w:firstRowFirstColumn="0" w:firstRowLastColumn="0" w:lastRowFirstColumn="0" w:lastRowLastColumn="0"/>
            <w:tcW w:w="0" w:type="auto"/>
            <w:hideMark/>
          </w:tcPr>
          <w:p w14:paraId="3CA3A25E" w14:textId="5391325C" w:rsidR="00C4574D" w:rsidRPr="00C86111" w:rsidRDefault="003B38C2" w:rsidP="00033AB8">
            <w:pPr>
              <w:rPr>
                <w:rFonts w:asciiTheme="minorHAnsi" w:hAnsiTheme="minorHAnsi" w:cstheme="minorHAnsi"/>
              </w:rPr>
            </w:pPr>
            <w:r>
              <w:rPr>
                <w:rFonts w:asciiTheme="minorHAnsi" w:hAnsiTheme="minorHAnsi" w:cstheme="minorHAnsi"/>
              </w:rPr>
              <w:t>2</w:t>
            </w:r>
            <w:r w:rsidR="00C4574D" w:rsidRPr="00C86111">
              <w:rPr>
                <w:rFonts w:asciiTheme="minorHAnsi" w:hAnsiTheme="minorHAnsi" w:cstheme="minorHAnsi"/>
              </w:rPr>
              <w:t>.1 Uspostavljanje programa humanog biomonitoringa za rizične populacije</w:t>
            </w:r>
          </w:p>
        </w:tc>
        <w:tc>
          <w:tcPr>
            <w:tcW w:w="0" w:type="auto"/>
            <w:hideMark/>
          </w:tcPr>
          <w:p w14:paraId="6C98C3FE" w14:textId="582F0813"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Ministarstvo zdravlja</w:t>
            </w:r>
          </w:p>
        </w:tc>
        <w:tc>
          <w:tcPr>
            <w:tcW w:w="875" w:type="dxa"/>
            <w:gridSpan w:val="2"/>
            <w:hideMark/>
          </w:tcPr>
          <w:p w14:paraId="3BA3CAEE" w14:textId="15764E2C"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w:t>
            </w:r>
            <w:r w:rsidR="00B5295B">
              <w:rPr>
                <w:rFonts w:asciiTheme="minorHAnsi" w:hAnsiTheme="minorHAnsi" w:cstheme="minorHAnsi"/>
              </w:rPr>
              <w:t>7</w:t>
            </w:r>
          </w:p>
        </w:tc>
        <w:tc>
          <w:tcPr>
            <w:tcW w:w="2204" w:type="dxa"/>
            <w:hideMark/>
          </w:tcPr>
          <w:p w14:paraId="15ACD66B"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Izvještaji i rezultati biomonitoringa</w:t>
            </w:r>
          </w:p>
        </w:tc>
        <w:tc>
          <w:tcPr>
            <w:tcW w:w="0" w:type="auto"/>
            <w:hideMark/>
          </w:tcPr>
          <w:p w14:paraId="22AA851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Kontinuirano</w:t>
            </w:r>
          </w:p>
        </w:tc>
        <w:tc>
          <w:tcPr>
            <w:tcW w:w="0" w:type="auto"/>
            <w:hideMark/>
          </w:tcPr>
          <w:p w14:paraId="618D22BC" w14:textId="77777777" w:rsidR="00A916C3" w:rsidRDefault="00A916C3" w:rsidP="00A916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C86111">
              <w:rPr>
                <w:rFonts w:asciiTheme="minorHAnsi" w:hAnsiTheme="minorHAnsi" w:cstheme="minorHAnsi"/>
              </w:rPr>
              <w:t xml:space="preserve">Državni budžet / </w:t>
            </w:r>
            <w:r w:rsidRPr="00A916C3">
              <w:rPr>
                <w:rFonts w:asciiTheme="minorHAnsi" w:hAnsiTheme="minorHAnsi" w:cstheme="minorHAnsi"/>
                <w:color w:val="auto"/>
              </w:rPr>
              <w:t>GEF, UNEP, UNDP</w:t>
            </w:r>
          </w:p>
          <w:p w14:paraId="3B5067A6" w14:textId="2B437B75" w:rsidR="00A916C3" w:rsidRPr="00A916C3" w:rsidRDefault="00A916C3" w:rsidP="00A916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A916C3">
              <w:rPr>
                <w:rFonts w:asciiTheme="minorHAnsi" w:hAnsiTheme="minorHAnsi" w:cstheme="minorHAnsi"/>
                <w:color w:val="auto"/>
              </w:rPr>
              <w:t>100.000€</w:t>
            </w:r>
          </w:p>
          <w:p w14:paraId="02BF8784" w14:textId="456F7FF8"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3CC07B19" w14:textId="77777777" w:rsidR="00E65986" w:rsidRDefault="00E65986" w:rsidP="00C4574D">
      <w:pPr>
        <w:rPr>
          <w:rFonts w:asciiTheme="minorHAnsi" w:hAnsiTheme="minorHAnsi" w:cstheme="minorHAnsi"/>
          <w:b/>
          <w:bCs/>
        </w:rPr>
      </w:pPr>
    </w:p>
    <w:p w14:paraId="3EC98A36" w14:textId="771C1868" w:rsidR="00C4574D" w:rsidRPr="00C86111" w:rsidRDefault="00C4574D" w:rsidP="00C4574D">
      <w:pPr>
        <w:rPr>
          <w:rFonts w:asciiTheme="minorHAnsi" w:hAnsiTheme="minorHAnsi" w:cstheme="minorHAnsi"/>
          <w:b/>
          <w:bCs/>
        </w:rPr>
      </w:pPr>
      <w:r w:rsidRPr="00E65986">
        <w:rPr>
          <w:rFonts w:asciiTheme="minorHAnsi" w:hAnsiTheme="minorHAnsi" w:cstheme="minorHAnsi"/>
          <w:b/>
          <w:bCs/>
          <w:color w:val="002060"/>
        </w:rPr>
        <w:t xml:space="preserve">STRATEŠKI CILJ </w:t>
      </w:r>
      <w:r w:rsidR="00E65986" w:rsidRPr="00E65986">
        <w:rPr>
          <w:rFonts w:asciiTheme="minorHAnsi" w:hAnsiTheme="minorHAnsi" w:cstheme="minorHAnsi"/>
          <w:b/>
          <w:bCs/>
          <w:color w:val="002060"/>
        </w:rPr>
        <w:t>6</w:t>
      </w:r>
      <w:r w:rsidRPr="00E65986">
        <w:rPr>
          <w:rFonts w:asciiTheme="minorHAnsi" w:hAnsiTheme="minorHAnsi" w:cstheme="minorHAnsi"/>
          <w:b/>
          <w:bCs/>
          <w:color w:val="002060"/>
        </w:rPr>
        <w:t xml:space="preserve">: </w:t>
      </w:r>
      <w:r w:rsidRPr="00C86111">
        <w:rPr>
          <w:rFonts w:asciiTheme="minorHAnsi" w:hAnsiTheme="minorHAnsi" w:cstheme="minorHAnsi"/>
          <w:b/>
          <w:bCs/>
        </w:rPr>
        <w:t>Unaprijediti javno razumijevanje i svijest o opasnostima POPs i drugih opasnih hemikalija, kroz institucionalno koordinisane aktivnosti, civilni sektor i obrazovanje, radi zaštite zdravlja ljudi i životne sredine.</w:t>
      </w:r>
    </w:p>
    <w:p w14:paraId="54C8212B" w14:textId="77777777" w:rsidR="00C4574D" w:rsidRPr="00C86111" w:rsidRDefault="00C4574D" w:rsidP="00C4574D">
      <w:pPr>
        <w:rPr>
          <w:rFonts w:asciiTheme="minorHAnsi" w:hAnsiTheme="minorHAnsi" w:cstheme="minorHAnsi"/>
          <w:b/>
          <w:bCs/>
        </w:rPr>
      </w:pPr>
    </w:p>
    <w:p w14:paraId="68427F5F" w14:textId="0727DAC3" w:rsidR="00C4574D" w:rsidRPr="00C86111" w:rsidRDefault="00C4574D" w:rsidP="00C4574D">
      <w:pPr>
        <w:rPr>
          <w:rFonts w:asciiTheme="minorHAnsi" w:hAnsiTheme="minorHAnsi" w:cstheme="minorHAnsi"/>
        </w:rPr>
      </w:pPr>
      <w:r w:rsidRPr="00C86111">
        <w:rPr>
          <w:rFonts w:asciiTheme="minorHAnsi" w:hAnsiTheme="minorHAnsi" w:cstheme="minorHAnsi"/>
          <w:b/>
          <w:bCs/>
        </w:rPr>
        <w:t xml:space="preserve">Operativni cilj </w:t>
      </w:r>
      <w:r w:rsidR="003B38C2">
        <w:rPr>
          <w:rFonts w:asciiTheme="minorHAnsi" w:hAnsiTheme="minorHAnsi" w:cstheme="minorHAnsi"/>
          <w:b/>
          <w:bCs/>
        </w:rPr>
        <w:t>1</w:t>
      </w:r>
      <w:r w:rsidRPr="00C86111">
        <w:rPr>
          <w:rFonts w:asciiTheme="minorHAnsi" w:hAnsiTheme="minorHAnsi" w:cstheme="minorHAnsi"/>
          <w:b/>
          <w:bCs/>
        </w:rPr>
        <w:t xml:space="preserve">: </w:t>
      </w:r>
      <w:r w:rsidRPr="00C86111">
        <w:rPr>
          <w:rFonts w:asciiTheme="minorHAnsi" w:hAnsiTheme="minorHAnsi" w:cstheme="minorHAnsi"/>
        </w:rPr>
        <w:t>Podstaći aktivno učešće civilnog društva i NVO u podizanju svijesti i razmjeni informacija o POPs.</w:t>
      </w:r>
    </w:p>
    <w:tbl>
      <w:tblPr>
        <w:tblStyle w:val="GridTable4-Accent6"/>
        <w:tblW w:w="0" w:type="auto"/>
        <w:tblLook w:val="04A0" w:firstRow="1" w:lastRow="0" w:firstColumn="1" w:lastColumn="0" w:noHBand="0" w:noVBand="1"/>
      </w:tblPr>
      <w:tblGrid>
        <w:gridCol w:w="5064"/>
        <w:gridCol w:w="2594"/>
        <w:gridCol w:w="2671"/>
        <w:gridCol w:w="2371"/>
      </w:tblGrid>
      <w:tr w:rsidR="00C4574D" w:rsidRPr="00C86111" w14:paraId="6F7672B0"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2D29D1"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hideMark/>
          </w:tcPr>
          <w:p w14:paraId="66AA17E2" w14:textId="5CF5543E"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w:t>
            </w:r>
            <w:r w:rsidR="00E65986">
              <w:rPr>
                <w:rFonts w:asciiTheme="minorHAnsi" w:hAnsiTheme="minorHAnsi" w:cstheme="minorHAnsi"/>
              </w:rPr>
              <w:t>6</w:t>
            </w:r>
          </w:p>
        </w:tc>
        <w:tc>
          <w:tcPr>
            <w:tcW w:w="0" w:type="auto"/>
            <w:hideMark/>
          </w:tcPr>
          <w:p w14:paraId="26631497"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0" w:type="auto"/>
            <w:hideMark/>
          </w:tcPr>
          <w:p w14:paraId="4219B661"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C86111" w14:paraId="1E5A96F7"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1AC6C5"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aktivnih NVO uključenih u kampanje o POPs</w:t>
            </w:r>
          </w:p>
        </w:tc>
        <w:tc>
          <w:tcPr>
            <w:tcW w:w="0" w:type="auto"/>
            <w:hideMark/>
          </w:tcPr>
          <w:p w14:paraId="54483EB8" w14:textId="03C4A217" w:rsidR="00C4574D" w:rsidRPr="00C86111" w:rsidRDefault="00E65986"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3</w:t>
            </w:r>
          </w:p>
        </w:tc>
        <w:tc>
          <w:tcPr>
            <w:tcW w:w="0" w:type="auto"/>
          </w:tcPr>
          <w:p w14:paraId="729AF9CC" w14:textId="62C821A8" w:rsidR="00C4574D" w:rsidRPr="00C86111" w:rsidRDefault="00E65986"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4</w:t>
            </w:r>
          </w:p>
        </w:tc>
        <w:tc>
          <w:tcPr>
            <w:tcW w:w="0" w:type="auto"/>
          </w:tcPr>
          <w:p w14:paraId="3E6E08F6" w14:textId="32C004C5" w:rsidR="00C4574D" w:rsidRPr="00C86111" w:rsidRDefault="00E65986"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w:t>
            </w:r>
          </w:p>
        </w:tc>
      </w:tr>
    </w:tbl>
    <w:p w14:paraId="145E5428" w14:textId="1DDA8730" w:rsidR="00C4574D" w:rsidRPr="00E65986" w:rsidRDefault="00C4574D" w:rsidP="00C4574D">
      <w:pPr>
        <w:rPr>
          <w:rFonts w:asciiTheme="minorHAnsi" w:hAnsiTheme="minorHAnsi" w:cstheme="minorHAnsi"/>
          <w:b/>
          <w:bCs/>
          <w:vanish/>
        </w:rPr>
      </w:pPr>
    </w:p>
    <w:tbl>
      <w:tblPr>
        <w:tblStyle w:val="GridTable4-Accent6"/>
        <w:tblW w:w="0" w:type="auto"/>
        <w:tblLook w:val="04A0" w:firstRow="1" w:lastRow="0" w:firstColumn="1" w:lastColumn="0" w:noHBand="0" w:noVBand="1"/>
      </w:tblPr>
      <w:tblGrid>
        <w:gridCol w:w="3956"/>
        <w:gridCol w:w="1011"/>
        <w:gridCol w:w="1472"/>
        <w:gridCol w:w="1585"/>
        <w:gridCol w:w="2681"/>
        <w:gridCol w:w="2245"/>
      </w:tblGrid>
      <w:tr w:rsidR="00C4574D" w:rsidRPr="00E65986" w14:paraId="30E68567" w14:textId="77777777" w:rsidTr="00033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CF2E85" w14:textId="77777777" w:rsidR="00C4574D" w:rsidRPr="00E65986" w:rsidRDefault="00C4574D" w:rsidP="00033AB8">
            <w:pPr>
              <w:rPr>
                <w:rFonts w:asciiTheme="minorHAnsi" w:hAnsiTheme="minorHAnsi" w:cstheme="minorHAnsi"/>
              </w:rPr>
            </w:pPr>
            <w:r w:rsidRPr="00E65986">
              <w:rPr>
                <w:rFonts w:asciiTheme="minorHAnsi" w:hAnsiTheme="minorHAnsi" w:cstheme="minorHAnsi"/>
              </w:rPr>
              <w:t>Aktivnost</w:t>
            </w:r>
          </w:p>
        </w:tc>
        <w:tc>
          <w:tcPr>
            <w:tcW w:w="0" w:type="auto"/>
            <w:hideMark/>
          </w:tcPr>
          <w:p w14:paraId="04384956" w14:textId="77777777" w:rsidR="00C4574D" w:rsidRPr="00E65986"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65986">
              <w:rPr>
                <w:rFonts w:asciiTheme="minorHAnsi" w:hAnsiTheme="minorHAnsi" w:cstheme="minorHAnsi"/>
              </w:rPr>
              <w:t>Početak</w:t>
            </w:r>
          </w:p>
        </w:tc>
        <w:tc>
          <w:tcPr>
            <w:tcW w:w="0" w:type="auto"/>
            <w:hideMark/>
          </w:tcPr>
          <w:p w14:paraId="7E621160" w14:textId="77777777" w:rsidR="00C4574D" w:rsidRPr="00E65986"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65986">
              <w:rPr>
                <w:rFonts w:asciiTheme="minorHAnsi" w:hAnsiTheme="minorHAnsi" w:cstheme="minorHAnsi"/>
              </w:rPr>
              <w:t>Završetak</w:t>
            </w:r>
          </w:p>
        </w:tc>
        <w:tc>
          <w:tcPr>
            <w:tcW w:w="0" w:type="auto"/>
            <w:hideMark/>
          </w:tcPr>
          <w:p w14:paraId="13419C5C" w14:textId="77777777" w:rsidR="00C4574D" w:rsidRPr="00E65986"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65986">
              <w:rPr>
                <w:rFonts w:asciiTheme="minorHAnsi" w:hAnsiTheme="minorHAnsi" w:cstheme="minorHAnsi"/>
              </w:rPr>
              <w:t>Nosioci aktivnosti</w:t>
            </w:r>
          </w:p>
        </w:tc>
        <w:tc>
          <w:tcPr>
            <w:tcW w:w="2681" w:type="dxa"/>
            <w:hideMark/>
          </w:tcPr>
          <w:p w14:paraId="57182FCA" w14:textId="77777777" w:rsidR="00C4574D" w:rsidRPr="00E65986"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65986">
              <w:rPr>
                <w:rFonts w:asciiTheme="minorHAnsi" w:hAnsiTheme="minorHAnsi" w:cstheme="minorHAnsi"/>
              </w:rPr>
              <w:t>Indikator rezultata</w:t>
            </w:r>
          </w:p>
        </w:tc>
        <w:tc>
          <w:tcPr>
            <w:tcW w:w="2245" w:type="dxa"/>
            <w:hideMark/>
          </w:tcPr>
          <w:p w14:paraId="55EE4554" w14:textId="77777777" w:rsidR="00C4574D" w:rsidRPr="00E65986"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65986">
              <w:rPr>
                <w:rFonts w:asciiTheme="minorHAnsi" w:hAnsiTheme="minorHAnsi" w:cstheme="minorHAnsi"/>
              </w:rPr>
              <w:t>Izvor finansiranja</w:t>
            </w:r>
          </w:p>
        </w:tc>
      </w:tr>
      <w:tr w:rsidR="009A331D" w:rsidRPr="003B38C2" w14:paraId="5DF05EAD" w14:textId="77777777" w:rsidTr="00033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988AC0" w14:textId="63A32F12" w:rsidR="009A331D" w:rsidRPr="003B38C2" w:rsidRDefault="003B38C2" w:rsidP="00033AB8">
            <w:pPr>
              <w:rPr>
                <w:rFonts w:asciiTheme="minorHAnsi" w:hAnsiTheme="minorHAnsi" w:cstheme="minorHAnsi"/>
              </w:rPr>
            </w:pPr>
            <w:r>
              <w:rPr>
                <w:rFonts w:asciiTheme="minorHAnsi" w:hAnsiTheme="minorHAnsi" w:cstheme="minorHAnsi"/>
              </w:rPr>
              <w:t>1</w:t>
            </w:r>
            <w:r w:rsidR="009A331D" w:rsidRPr="003B38C2">
              <w:rPr>
                <w:rFonts w:asciiTheme="minorHAnsi" w:hAnsiTheme="minorHAnsi" w:cstheme="minorHAnsi"/>
              </w:rPr>
              <w:t>.1 Jačanje kapaciteta NVO za komunikaciju i edukaciju o POPs</w:t>
            </w:r>
          </w:p>
        </w:tc>
        <w:tc>
          <w:tcPr>
            <w:tcW w:w="0" w:type="auto"/>
            <w:hideMark/>
          </w:tcPr>
          <w:p w14:paraId="750FA26A" w14:textId="5B2130A6" w:rsidR="009A331D" w:rsidRPr="003B38C2"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202</w:t>
            </w:r>
            <w:r w:rsidR="00E65986">
              <w:rPr>
                <w:rFonts w:asciiTheme="minorHAnsi" w:hAnsiTheme="minorHAnsi" w:cstheme="minorHAnsi"/>
              </w:rPr>
              <w:t>6</w:t>
            </w:r>
          </w:p>
        </w:tc>
        <w:tc>
          <w:tcPr>
            <w:tcW w:w="0" w:type="auto"/>
            <w:hideMark/>
          </w:tcPr>
          <w:p w14:paraId="73D6C553" w14:textId="7390492E" w:rsidR="009A331D" w:rsidRPr="003B38C2"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202</w:t>
            </w:r>
            <w:r w:rsidR="00E65986">
              <w:rPr>
                <w:rFonts w:asciiTheme="minorHAnsi" w:hAnsiTheme="minorHAnsi" w:cstheme="minorHAnsi"/>
              </w:rPr>
              <w:t>7</w:t>
            </w:r>
          </w:p>
        </w:tc>
        <w:tc>
          <w:tcPr>
            <w:tcW w:w="0" w:type="auto"/>
            <w:hideMark/>
          </w:tcPr>
          <w:p w14:paraId="115CF512" w14:textId="77777777" w:rsidR="009A331D" w:rsidRPr="003B38C2"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AZŽS, Koalicija 27</w:t>
            </w:r>
          </w:p>
        </w:tc>
        <w:tc>
          <w:tcPr>
            <w:tcW w:w="2681" w:type="dxa"/>
            <w:hideMark/>
          </w:tcPr>
          <w:p w14:paraId="36326704" w14:textId="77777777" w:rsidR="009A331D" w:rsidRPr="003B38C2"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Broj obučenih NVO i izrađenih materijala</w:t>
            </w:r>
          </w:p>
        </w:tc>
        <w:tc>
          <w:tcPr>
            <w:tcW w:w="2245" w:type="dxa"/>
            <w:vMerge w:val="restart"/>
            <w:hideMark/>
          </w:tcPr>
          <w:p w14:paraId="46A6D620" w14:textId="77777777" w:rsidR="009A331D" w:rsidRPr="003B38C2"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Budžet CG/GEF, UNDP, IPA</w:t>
            </w:r>
          </w:p>
          <w:p w14:paraId="09716305" w14:textId="4F9BEB93" w:rsidR="009A331D" w:rsidRPr="003B38C2"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color w:val="auto"/>
              </w:rPr>
              <w:t>50.000€</w:t>
            </w:r>
          </w:p>
        </w:tc>
      </w:tr>
      <w:tr w:rsidR="009A331D" w:rsidRPr="00B5295B" w14:paraId="13072CD3" w14:textId="77777777" w:rsidTr="009A331D">
        <w:tc>
          <w:tcPr>
            <w:cnfStyle w:val="001000000000" w:firstRow="0" w:lastRow="0" w:firstColumn="1" w:lastColumn="0" w:oddVBand="0" w:evenVBand="0" w:oddHBand="0" w:evenHBand="0" w:firstRowFirstColumn="0" w:firstRowLastColumn="0" w:lastRowFirstColumn="0" w:lastRowLastColumn="0"/>
            <w:tcW w:w="0" w:type="auto"/>
            <w:hideMark/>
          </w:tcPr>
          <w:p w14:paraId="696D04F6" w14:textId="04593E0B" w:rsidR="009A331D" w:rsidRPr="003B38C2" w:rsidRDefault="003B38C2" w:rsidP="00033AB8">
            <w:pPr>
              <w:rPr>
                <w:rFonts w:asciiTheme="minorHAnsi" w:hAnsiTheme="minorHAnsi" w:cstheme="minorHAnsi"/>
              </w:rPr>
            </w:pPr>
            <w:r>
              <w:rPr>
                <w:rFonts w:asciiTheme="minorHAnsi" w:hAnsiTheme="minorHAnsi" w:cstheme="minorHAnsi"/>
              </w:rPr>
              <w:t>1</w:t>
            </w:r>
            <w:r w:rsidR="009A331D" w:rsidRPr="003B38C2">
              <w:rPr>
                <w:rFonts w:asciiTheme="minorHAnsi" w:hAnsiTheme="minorHAnsi" w:cstheme="minorHAnsi"/>
              </w:rPr>
              <w:t>.2 Realizacija zajedničkih kampanja NVO i institucija</w:t>
            </w:r>
          </w:p>
        </w:tc>
        <w:tc>
          <w:tcPr>
            <w:tcW w:w="0" w:type="auto"/>
            <w:hideMark/>
          </w:tcPr>
          <w:p w14:paraId="166443B6" w14:textId="1F8C9B07" w:rsidR="009A331D" w:rsidRPr="003B38C2" w:rsidRDefault="009A331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202</w:t>
            </w:r>
            <w:r w:rsidR="00E65986">
              <w:rPr>
                <w:rFonts w:asciiTheme="minorHAnsi" w:hAnsiTheme="minorHAnsi" w:cstheme="minorHAnsi"/>
              </w:rPr>
              <w:t>6</w:t>
            </w:r>
          </w:p>
        </w:tc>
        <w:tc>
          <w:tcPr>
            <w:tcW w:w="0" w:type="auto"/>
            <w:hideMark/>
          </w:tcPr>
          <w:p w14:paraId="1F8657A3" w14:textId="77777777" w:rsidR="009A331D" w:rsidRPr="003B38C2" w:rsidRDefault="009A331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2027</w:t>
            </w:r>
          </w:p>
        </w:tc>
        <w:tc>
          <w:tcPr>
            <w:tcW w:w="0" w:type="auto"/>
            <w:hideMark/>
          </w:tcPr>
          <w:p w14:paraId="7FDCDCBB" w14:textId="77777777" w:rsidR="009A331D" w:rsidRPr="003B38C2" w:rsidRDefault="009A331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AZŽS, Koalicija 27</w:t>
            </w:r>
          </w:p>
        </w:tc>
        <w:tc>
          <w:tcPr>
            <w:tcW w:w="2681" w:type="dxa"/>
            <w:hideMark/>
          </w:tcPr>
          <w:p w14:paraId="570CEDF0" w14:textId="77777777" w:rsidR="009A331D" w:rsidRPr="003B38C2" w:rsidRDefault="009A331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Broj kampanja i dostignutih ciljnih grupa</w:t>
            </w:r>
          </w:p>
        </w:tc>
        <w:tc>
          <w:tcPr>
            <w:tcW w:w="2245" w:type="dxa"/>
            <w:vMerge/>
          </w:tcPr>
          <w:p w14:paraId="757B3758" w14:textId="3E688BDB" w:rsidR="009A331D" w:rsidRPr="003B38C2" w:rsidRDefault="009A331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A331D" w:rsidRPr="00C86111" w14:paraId="2B518E93" w14:textId="77777777" w:rsidTr="009A33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4F45E4" w14:textId="1FEFD04B" w:rsidR="009A331D" w:rsidRPr="003B38C2" w:rsidRDefault="003B38C2" w:rsidP="00033AB8">
            <w:pPr>
              <w:rPr>
                <w:rFonts w:asciiTheme="minorHAnsi" w:hAnsiTheme="minorHAnsi" w:cstheme="minorHAnsi"/>
              </w:rPr>
            </w:pPr>
            <w:r w:rsidRPr="003B38C2">
              <w:rPr>
                <w:rFonts w:asciiTheme="minorHAnsi" w:hAnsiTheme="minorHAnsi" w:cstheme="minorHAnsi"/>
              </w:rPr>
              <w:t>1</w:t>
            </w:r>
            <w:r w:rsidR="009A331D" w:rsidRPr="003B38C2">
              <w:rPr>
                <w:rFonts w:asciiTheme="minorHAnsi" w:hAnsiTheme="minorHAnsi" w:cstheme="minorHAnsi"/>
              </w:rPr>
              <w:t>.3 Publikacija i distribucija brošura, vodiča i online materijala</w:t>
            </w:r>
          </w:p>
        </w:tc>
        <w:tc>
          <w:tcPr>
            <w:tcW w:w="0" w:type="auto"/>
            <w:hideMark/>
          </w:tcPr>
          <w:p w14:paraId="1D38E7E3" w14:textId="29603723" w:rsidR="009A331D" w:rsidRPr="003B38C2"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202</w:t>
            </w:r>
            <w:r w:rsidR="00E65986">
              <w:rPr>
                <w:rFonts w:asciiTheme="minorHAnsi" w:hAnsiTheme="minorHAnsi" w:cstheme="minorHAnsi"/>
              </w:rPr>
              <w:t>6</w:t>
            </w:r>
          </w:p>
        </w:tc>
        <w:tc>
          <w:tcPr>
            <w:tcW w:w="0" w:type="auto"/>
            <w:hideMark/>
          </w:tcPr>
          <w:p w14:paraId="2B24C1D0" w14:textId="77777777" w:rsidR="009A331D" w:rsidRPr="003B38C2"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kontinuirano</w:t>
            </w:r>
          </w:p>
        </w:tc>
        <w:tc>
          <w:tcPr>
            <w:tcW w:w="0" w:type="auto"/>
            <w:hideMark/>
          </w:tcPr>
          <w:p w14:paraId="3C2C13F1" w14:textId="77777777" w:rsidR="009A331D" w:rsidRPr="003B38C2"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AZŽS, NVO</w:t>
            </w:r>
          </w:p>
        </w:tc>
        <w:tc>
          <w:tcPr>
            <w:tcW w:w="2681" w:type="dxa"/>
            <w:hideMark/>
          </w:tcPr>
          <w:p w14:paraId="0205D40E" w14:textId="77777777" w:rsidR="009A331D" w:rsidRPr="003B38C2"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B38C2">
              <w:rPr>
                <w:rFonts w:asciiTheme="minorHAnsi" w:hAnsiTheme="minorHAnsi" w:cstheme="minorHAnsi"/>
              </w:rPr>
              <w:t>Broj distribuiranih publikacija</w:t>
            </w:r>
          </w:p>
        </w:tc>
        <w:tc>
          <w:tcPr>
            <w:tcW w:w="2245" w:type="dxa"/>
            <w:vMerge/>
          </w:tcPr>
          <w:p w14:paraId="3046E87B" w14:textId="4BCA32CA" w:rsidR="009A331D" w:rsidRPr="00C86111" w:rsidRDefault="009A331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72D779B6" w14:textId="77777777" w:rsidR="00C4574D" w:rsidRPr="00C86111" w:rsidRDefault="00C4574D" w:rsidP="00C4574D">
      <w:pPr>
        <w:rPr>
          <w:rFonts w:asciiTheme="minorHAnsi" w:hAnsiTheme="minorHAnsi" w:cstheme="minorHAnsi"/>
          <w:vanish/>
        </w:rPr>
      </w:pPr>
    </w:p>
    <w:p w14:paraId="602224C8" w14:textId="54825AC5" w:rsidR="00C4574D" w:rsidRPr="00C86111" w:rsidRDefault="00C4574D" w:rsidP="00C4574D">
      <w:pPr>
        <w:rPr>
          <w:rFonts w:asciiTheme="minorHAnsi" w:hAnsiTheme="minorHAnsi" w:cstheme="minorHAnsi"/>
        </w:rPr>
      </w:pPr>
      <w:r w:rsidRPr="00C86111">
        <w:rPr>
          <w:rFonts w:asciiTheme="minorHAnsi" w:hAnsiTheme="minorHAnsi" w:cstheme="minorHAnsi"/>
          <w:b/>
          <w:bCs/>
        </w:rPr>
        <w:t xml:space="preserve">Operativni cilj  </w:t>
      </w:r>
      <w:r w:rsidR="003B38C2">
        <w:rPr>
          <w:rFonts w:asciiTheme="minorHAnsi" w:hAnsiTheme="minorHAnsi" w:cstheme="minorHAnsi"/>
          <w:b/>
          <w:bCs/>
        </w:rPr>
        <w:t>2</w:t>
      </w:r>
      <w:r w:rsidRPr="00C86111">
        <w:rPr>
          <w:rFonts w:asciiTheme="minorHAnsi" w:hAnsiTheme="minorHAnsi" w:cstheme="minorHAnsi"/>
          <w:b/>
          <w:bCs/>
        </w:rPr>
        <w:t xml:space="preserve">: </w:t>
      </w:r>
      <w:r w:rsidRPr="00C86111">
        <w:rPr>
          <w:rFonts w:asciiTheme="minorHAnsi" w:hAnsiTheme="minorHAnsi" w:cstheme="minorHAnsi"/>
        </w:rPr>
        <w:t>Podizanje svijesti i zaštita ranjivih grupa – povećati nivo svijesti javnosti i posebno ranjivih grupa o rizicima POP hemikalija, sa fokusom na neformalnu reciklažu i upravljanje otpadom.</w:t>
      </w:r>
    </w:p>
    <w:tbl>
      <w:tblPr>
        <w:tblStyle w:val="GridTable4-Accent6"/>
        <w:tblW w:w="12955" w:type="dxa"/>
        <w:tblLook w:val="04A0" w:firstRow="1" w:lastRow="0" w:firstColumn="1" w:lastColumn="0" w:noHBand="0" w:noVBand="1"/>
      </w:tblPr>
      <w:tblGrid>
        <w:gridCol w:w="4366"/>
        <w:gridCol w:w="1522"/>
        <w:gridCol w:w="1151"/>
        <w:gridCol w:w="2550"/>
        <w:gridCol w:w="1299"/>
        <w:gridCol w:w="2067"/>
      </w:tblGrid>
      <w:tr w:rsidR="00C4574D" w:rsidRPr="00C86111" w14:paraId="77E6ECEC" w14:textId="77777777" w:rsidTr="00E659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611816"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Indikator učinka</w:t>
            </w:r>
          </w:p>
        </w:tc>
        <w:tc>
          <w:tcPr>
            <w:tcW w:w="0" w:type="auto"/>
            <w:hideMark/>
          </w:tcPr>
          <w:p w14:paraId="7BE5EB3D"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gridSpan w:val="2"/>
            <w:hideMark/>
          </w:tcPr>
          <w:p w14:paraId="3E7E8EE7"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3366" w:type="dxa"/>
            <w:gridSpan w:val="2"/>
            <w:hideMark/>
          </w:tcPr>
          <w:p w14:paraId="183D049E" w14:textId="77777777" w:rsidR="00C4574D" w:rsidRPr="00C86111" w:rsidRDefault="00C4574D" w:rsidP="00033AB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C4574D" w:rsidRPr="00C86111" w14:paraId="2C702771" w14:textId="77777777" w:rsidTr="00E659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1C1D88"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sprovedenih kampanja</w:t>
            </w:r>
          </w:p>
        </w:tc>
        <w:tc>
          <w:tcPr>
            <w:tcW w:w="0" w:type="auto"/>
            <w:hideMark/>
          </w:tcPr>
          <w:p w14:paraId="5EA5D7BA"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w:t>
            </w:r>
          </w:p>
        </w:tc>
        <w:tc>
          <w:tcPr>
            <w:tcW w:w="0" w:type="auto"/>
            <w:gridSpan w:val="2"/>
            <w:hideMark/>
          </w:tcPr>
          <w:p w14:paraId="1B51D503"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Min. 1</w:t>
            </w:r>
          </w:p>
        </w:tc>
        <w:tc>
          <w:tcPr>
            <w:tcW w:w="3366" w:type="dxa"/>
            <w:gridSpan w:val="2"/>
            <w:hideMark/>
          </w:tcPr>
          <w:p w14:paraId="2D6590C9"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Min. 3</w:t>
            </w:r>
          </w:p>
        </w:tc>
      </w:tr>
      <w:tr w:rsidR="00C4574D" w:rsidRPr="00C86111" w14:paraId="36306868" w14:textId="77777777" w:rsidTr="00E65986">
        <w:tc>
          <w:tcPr>
            <w:cnfStyle w:val="001000000000" w:firstRow="0" w:lastRow="0" w:firstColumn="1" w:lastColumn="0" w:oddVBand="0" w:evenVBand="0" w:oddHBand="0" w:evenHBand="0" w:firstRowFirstColumn="0" w:firstRowLastColumn="0" w:lastRowFirstColumn="0" w:lastRowLastColumn="0"/>
            <w:tcW w:w="0" w:type="auto"/>
            <w:hideMark/>
          </w:tcPr>
          <w:p w14:paraId="65A5EB45"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Broj uključenih pripadnika RAI populacije</w:t>
            </w:r>
          </w:p>
        </w:tc>
        <w:tc>
          <w:tcPr>
            <w:tcW w:w="0" w:type="auto"/>
            <w:hideMark/>
          </w:tcPr>
          <w:p w14:paraId="293FB260"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w:t>
            </w:r>
          </w:p>
        </w:tc>
        <w:tc>
          <w:tcPr>
            <w:tcW w:w="0" w:type="auto"/>
            <w:gridSpan w:val="2"/>
            <w:hideMark/>
          </w:tcPr>
          <w:p w14:paraId="0BAACD77"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w:t>
            </w:r>
          </w:p>
        </w:tc>
        <w:tc>
          <w:tcPr>
            <w:tcW w:w="3366" w:type="dxa"/>
            <w:gridSpan w:val="2"/>
            <w:hideMark/>
          </w:tcPr>
          <w:p w14:paraId="329917BC" w14:textId="77777777" w:rsidR="00C4574D" w:rsidRPr="00C86111"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w:t>
            </w:r>
          </w:p>
        </w:tc>
      </w:tr>
      <w:tr w:rsidR="00C4574D" w:rsidRPr="00C86111" w14:paraId="2297FBA4" w14:textId="77777777" w:rsidTr="00E659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52C7C1" w14:textId="77777777" w:rsidR="00C4574D" w:rsidRPr="00C86111" w:rsidRDefault="00C4574D" w:rsidP="00033AB8">
            <w:pPr>
              <w:rPr>
                <w:rFonts w:asciiTheme="minorHAnsi" w:hAnsiTheme="minorHAnsi" w:cstheme="minorHAnsi"/>
              </w:rPr>
            </w:pPr>
            <w:r w:rsidRPr="00C86111">
              <w:rPr>
                <w:rFonts w:asciiTheme="minorHAnsi" w:hAnsiTheme="minorHAnsi" w:cstheme="minorHAnsi"/>
              </w:rPr>
              <w:t>Aktivnost</w:t>
            </w:r>
          </w:p>
        </w:tc>
        <w:tc>
          <w:tcPr>
            <w:tcW w:w="0" w:type="auto"/>
            <w:hideMark/>
          </w:tcPr>
          <w:p w14:paraId="24C5DD1B"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realizacije</w:t>
            </w:r>
          </w:p>
        </w:tc>
        <w:tc>
          <w:tcPr>
            <w:tcW w:w="0" w:type="auto"/>
            <w:hideMark/>
          </w:tcPr>
          <w:p w14:paraId="55C00BCE"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Datum početka</w:t>
            </w:r>
          </w:p>
        </w:tc>
        <w:tc>
          <w:tcPr>
            <w:tcW w:w="0" w:type="auto"/>
            <w:hideMark/>
          </w:tcPr>
          <w:p w14:paraId="4391C41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1299" w:type="dxa"/>
            <w:hideMark/>
          </w:tcPr>
          <w:p w14:paraId="4A1D640D"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Planirani završetak</w:t>
            </w:r>
          </w:p>
        </w:tc>
        <w:tc>
          <w:tcPr>
            <w:tcW w:w="1615" w:type="dxa"/>
            <w:hideMark/>
          </w:tcPr>
          <w:p w14:paraId="6494268E" w14:textId="77777777" w:rsidR="00C4574D" w:rsidRPr="00C86111" w:rsidRDefault="00C4574D" w:rsidP="00033A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C4574D" w:rsidRPr="003B38C2" w14:paraId="3998BB1D" w14:textId="77777777" w:rsidTr="00E65986">
        <w:tc>
          <w:tcPr>
            <w:cnfStyle w:val="001000000000" w:firstRow="0" w:lastRow="0" w:firstColumn="1" w:lastColumn="0" w:oddVBand="0" w:evenVBand="0" w:oddHBand="0" w:evenHBand="0" w:firstRowFirstColumn="0" w:firstRowLastColumn="0" w:lastRowFirstColumn="0" w:lastRowLastColumn="0"/>
            <w:tcW w:w="0" w:type="auto"/>
            <w:hideMark/>
          </w:tcPr>
          <w:p w14:paraId="3DD92664" w14:textId="008DD2A6" w:rsidR="00C4574D" w:rsidRPr="003B38C2" w:rsidRDefault="003B38C2" w:rsidP="00033AB8">
            <w:pPr>
              <w:rPr>
                <w:rFonts w:asciiTheme="minorHAnsi" w:hAnsiTheme="minorHAnsi" w:cstheme="minorHAnsi"/>
                <w:color w:val="auto"/>
              </w:rPr>
            </w:pPr>
            <w:r>
              <w:rPr>
                <w:rFonts w:asciiTheme="minorHAnsi" w:hAnsiTheme="minorHAnsi" w:cstheme="minorHAnsi"/>
                <w:color w:val="auto"/>
              </w:rPr>
              <w:t>2</w:t>
            </w:r>
            <w:r w:rsidR="00C4574D" w:rsidRPr="003B38C2">
              <w:rPr>
                <w:rFonts w:asciiTheme="minorHAnsi" w:hAnsiTheme="minorHAnsi" w:cstheme="minorHAnsi"/>
                <w:color w:val="auto"/>
              </w:rPr>
              <w:t>.</w:t>
            </w:r>
            <w:r w:rsidRPr="003B38C2">
              <w:rPr>
                <w:rFonts w:asciiTheme="minorHAnsi" w:hAnsiTheme="minorHAnsi" w:cstheme="minorHAnsi"/>
                <w:color w:val="auto"/>
              </w:rPr>
              <w:t>1</w:t>
            </w:r>
            <w:r w:rsidR="00C4574D" w:rsidRPr="003B38C2">
              <w:rPr>
                <w:rFonts w:asciiTheme="minorHAnsi" w:hAnsiTheme="minorHAnsi" w:cstheme="minorHAnsi"/>
                <w:color w:val="auto"/>
              </w:rPr>
              <w:t xml:space="preserve"> Ciljano informisanje i obuka RAI populacije o zdravstvenim i ekološkim rizicima izloženosti POPs hemikalijama tokom neformalne reciklaže</w:t>
            </w:r>
          </w:p>
        </w:tc>
        <w:tc>
          <w:tcPr>
            <w:tcW w:w="0" w:type="auto"/>
            <w:hideMark/>
          </w:tcPr>
          <w:p w14:paraId="4EA2A18B" w14:textId="77777777" w:rsidR="00C4574D" w:rsidRPr="003B38C2"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B38C2">
              <w:rPr>
                <w:rFonts w:asciiTheme="minorHAnsi" w:hAnsiTheme="minorHAnsi" w:cstheme="minorHAnsi"/>
                <w:color w:val="auto"/>
              </w:rPr>
              <w:t>MERS, POPs eksperti</w:t>
            </w:r>
          </w:p>
        </w:tc>
        <w:tc>
          <w:tcPr>
            <w:tcW w:w="0" w:type="auto"/>
            <w:hideMark/>
          </w:tcPr>
          <w:p w14:paraId="501C3BD2" w14:textId="77777777" w:rsidR="00C4574D" w:rsidRPr="003B38C2"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B38C2">
              <w:rPr>
                <w:rFonts w:asciiTheme="minorHAnsi" w:hAnsiTheme="minorHAnsi" w:cstheme="minorHAnsi"/>
                <w:color w:val="auto"/>
              </w:rPr>
              <w:t>2026</w:t>
            </w:r>
          </w:p>
        </w:tc>
        <w:tc>
          <w:tcPr>
            <w:tcW w:w="0" w:type="auto"/>
            <w:hideMark/>
          </w:tcPr>
          <w:p w14:paraId="662FB776" w14:textId="77777777" w:rsidR="00C4574D" w:rsidRPr="003B38C2"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B38C2">
              <w:rPr>
                <w:rFonts w:asciiTheme="minorHAnsi" w:hAnsiTheme="minorHAnsi" w:cstheme="minorHAnsi"/>
                <w:color w:val="auto"/>
              </w:rPr>
              <w:t>Izvještaj o sprovedenim obukama i informativnim sesijama</w:t>
            </w:r>
          </w:p>
        </w:tc>
        <w:tc>
          <w:tcPr>
            <w:tcW w:w="1299" w:type="dxa"/>
            <w:hideMark/>
          </w:tcPr>
          <w:p w14:paraId="4F9E1158" w14:textId="77777777" w:rsidR="00C4574D" w:rsidRPr="003B38C2"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B38C2">
              <w:rPr>
                <w:rFonts w:asciiTheme="minorHAnsi" w:hAnsiTheme="minorHAnsi" w:cstheme="minorHAnsi"/>
                <w:color w:val="auto"/>
              </w:rPr>
              <w:t>2027</w:t>
            </w:r>
          </w:p>
        </w:tc>
        <w:tc>
          <w:tcPr>
            <w:tcW w:w="1615" w:type="dxa"/>
            <w:hideMark/>
          </w:tcPr>
          <w:p w14:paraId="7E0C30E3" w14:textId="77777777" w:rsidR="00C4574D" w:rsidRPr="003B38C2"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B38C2">
              <w:rPr>
                <w:rFonts w:asciiTheme="minorHAnsi" w:hAnsiTheme="minorHAnsi" w:cstheme="minorHAnsi"/>
                <w:color w:val="auto"/>
              </w:rPr>
              <w:t>GEF</w:t>
            </w:r>
          </w:p>
          <w:p w14:paraId="34BC5F17" w14:textId="1021F635" w:rsidR="00C4574D" w:rsidRPr="003B38C2" w:rsidRDefault="00C4574D" w:rsidP="00033AB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B38C2">
              <w:rPr>
                <w:rFonts w:asciiTheme="minorHAnsi" w:hAnsiTheme="minorHAnsi" w:cstheme="minorHAnsi"/>
                <w:color w:val="auto"/>
              </w:rPr>
              <w:t>€</w:t>
            </w:r>
            <w:r w:rsidR="00B5295B" w:rsidRPr="003B38C2">
              <w:rPr>
                <w:rFonts w:asciiTheme="minorHAnsi" w:hAnsiTheme="minorHAnsi" w:cstheme="minorHAnsi"/>
                <w:color w:val="auto"/>
              </w:rPr>
              <w:t>30,000</w:t>
            </w:r>
          </w:p>
        </w:tc>
      </w:tr>
    </w:tbl>
    <w:p w14:paraId="187A16D5" w14:textId="2D290EBE" w:rsidR="006D5D17" w:rsidRPr="00C86111" w:rsidRDefault="006D5D17" w:rsidP="006D5D17">
      <w:pPr>
        <w:rPr>
          <w:rFonts w:asciiTheme="minorHAnsi" w:hAnsiTheme="minorHAnsi" w:cstheme="minorHAnsi"/>
        </w:rPr>
      </w:pPr>
      <w:r w:rsidRPr="00C86111">
        <w:rPr>
          <w:rFonts w:asciiTheme="minorHAnsi" w:hAnsiTheme="minorHAnsi" w:cstheme="minorHAnsi"/>
          <w:b/>
          <w:bCs/>
        </w:rPr>
        <w:t xml:space="preserve">Operativni cilj </w:t>
      </w:r>
      <w:r w:rsidR="00E65986">
        <w:rPr>
          <w:rFonts w:asciiTheme="minorHAnsi" w:hAnsiTheme="minorHAnsi" w:cstheme="minorHAnsi"/>
          <w:b/>
          <w:bCs/>
        </w:rPr>
        <w:t>3</w:t>
      </w:r>
      <w:r w:rsidRPr="00C86111">
        <w:rPr>
          <w:rFonts w:asciiTheme="minorHAnsi" w:hAnsiTheme="minorHAnsi" w:cstheme="minorHAnsi"/>
          <w:b/>
          <w:bCs/>
        </w:rPr>
        <w:t xml:space="preserve">: </w:t>
      </w:r>
      <w:r w:rsidRPr="00C86111">
        <w:rPr>
          <w:rFonts w:asciiTheme="minorHAnsi" w:hAnsiTheme="minorHAnsi" w:cstheme="minorHAnsi"/>
        </w:rPr>
        <w:t>Izgradnja kapaciteta i podizanje svijesti o održivim praksama u poljoprivredi.</w:t>
      </w:r>
    </w:p>
    <w:tbl>
      <w:tblPr>
        <w:tblStyle w:val="GridTable4-Accent6"/>
        <w:tblW w:w="0" w:type="auto"/>
        <w:tblLook w:val="04A0" w:firstRow="1" w:lastRow="0" w:firstColumn="1" w:lastColumn="0" w:noHBand="0" w:noVBand="1"/>
      </w:tblPr>
      <w:tblGrid>
        <w:gridCol w:w="4483"/>
        <w:gridCol w:w="1174"/>
        <w:gridCol w:w="1084"/>
        <w:gridCol w:w="1566"/>
        <w:gridCol w:w="1700"/>
        <w:gridCol w:w="1238"/>
        <w:gridCol w:w="1705"/>
      </w:tblGrid>
      <w:tr w:rsidR="006D5D17" w:rsidRPr="00C86111" w14:paraId="7F8EE291" w14:textId="77777777" w:rsidTr="009756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5E520AD5" w14:textId="77777777" w:rsidR="006D5D17" w:rsidRPr="00C86111" w:rsidRDefault="006D5D17" w:rsidP="009756DA">
            <w:pPr>
              <w:rPr>
                <w:rFonts w:asciiTheme="minorHAnsi" w:hAnsiTheme="minorHAnsi" w:cstheme="minorHAnsi"/>
              </w:rPr>
            </w:pPr>
            <w:r w:rsidRPr="00C86111">
              <w:rPr>
                <w:rFonts w:asciiTheme="minorHAnsi" w:hAnsiTheme="minorHAnsi" w:cstheme="minorHAnsi"/>
              </w:rPr>
              <w:t>Indikator učinka</w:t>
            </w:r>
          </w:p>
        </w:tc>
        <w:tc>
          <w:tcPr>
            <w:tcW w:w="0" w:type="auto"/>
            <w:gridSpan w:val="2"/>
            <w:hideMark/>
          </w:tcPr>
          <w:p w14:paraId="0C76741C" w14:textId="77777777" w:rsidR="006D5D17" w:rsidRPr="00C86111" w:rsidRDefault="006D5D17" w:rsidP="009756D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Polazna vrijednost (2025)</w:t>
            </w:r>
          </w:p>
        </w:tc>
        <w:tc>
          <w:tcPr>
            <w:tcW w:w="0" w:type="auto"/>
            <w:gridSpan w:val="2"/>
            <w:hideMark/>
          </w:tcPr>
          <w:p w14:paraId="37510AC6" w14:textId="77777777" w:rsidR="006D5D17" w:rsidRPr="00C86111" w:rsidRDefault="006D5D17" w:rsidP="009756D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Prelazna vrijednost (2026)</w:t>
            </w:r>
          </w:p>
        </w:tc>
        <w:tc>
          <w:tcPr>
            <w:tcW w:w="0" w:type="auto"/>
            <w:hideMark/>
          </w:tcPr>
          <w:p w14:paraId="3B17150A" w14:textId="77777777" w:rsidR="006D5D17" w:rsidRPr="00C86111" w:rsidRDefault="006D5D17" w:rsidP="009756D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Ciljna vrijednost (2027)</w:t>
            </w:r>
          </w:p>
        </w:tc>
      </w:tr>
      <w:tr w:rsidR="006D5D17" w:rsidRPr="00C86111" w14:paraId="37C7A413" w14:textId="77777777" w:rsidTr="009756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2796CEE3" w14:textId="77777777" w:rsidR="006D5D17" w:rsidRPr="00C86111" w:rsidRDefault="006D5D17" w:rsidP="009756DA">
            <w:pPr>
              <w:rPr>
                <w:rFonts w:asciiTheme="minorHAnsi" w:hAnsiTheme="minorHAnsi" w:cstheme="minorHAnsi"/>
              </w:rPr>
            </w:pPr>
            <w:r w:rsidRPr="00C86111">
              <w:rPr>
                <w:rFonts w:asciiTheme="minorHAnsi" w:hAnsiTheme="minorHAnsi" w:cstheme="minorHAnsi"/>
              </w:rPr>
              <w:t>Broj organizovanih obuka za poljoprivrednike i druge zainteresovane strane</w:t>
            </w:r>
          </w:p>
        </w:tc>
        <w:tc>
          <w:tcPr>
            <w:tcW w:w="0" w:type="auto"/>
            <w:gridSpan w:val="2"/>
            <w:hideMark/>
          </w:tcPr>
          <w:p w14:paraId="5F8B97D4" w14:textId="77777777" w:rsidR="006D5D17" w:rsidRPr="00C86111" w:rsidRDefault="006D5D17" w:rsidP="009756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0</w:t>
            </w:r>
          </w:p>
        </w:tc>
        <w:tc>
          <w:tcPr>
            <w:tcW w:w="0" w:type="auto"/>
            <w:gridSpan w:val="2"/>
            <w:hideMark/>
          </w:tcPr>
          <w:p w14:paraId="094C9728" w14:textId="77777777" w:rsidR="006D5D17" w:rsidRPr="00C86111" w:rsidRDefault="006D5D17" w:rsidP="009756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 2</w:t>
            </w:r>
          </w:p>
        </w:tc>
        <w:tc>
          <w:tcPr>
            <w:tcW w:w="0" w:type="auto"/>
            <w:hideMark/>
          </w:tcPr>
          <w:p w14:paraId="5A4F85AA" w14:textId="77777777" w:rsidR="006D5D17" w:rsidRPr="00C86111" w:rsidRDefault="006D5D17" w:rsidP="009756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 3</w:t>
            </w:r>
          </w:p>
        </w:tc>
      </w:tr>
      <w:tr w:rsidR="006D5D17" w:rsidRPr="00C86111" w14:paraId="0141CF86" w14:textId="77777777" w:rsidTr="009756DA">
        <w:tc>
          <w:tcPr>
            <w:cnfStyle w:val="001000000000" w:firstRow="0" w:lastRow="0" w:firstColumn="1" w:lastColumn="0" w:oddVBand="0" w:evenVBand="0" w:oddHBand="0" w:evenHBand="0" w:firstRowFirstColumn="0" w:firstRowLastColumn="0" w:lastRowFirstColumn="0" w:lastRowLastColumn="0"/>
            <w:tcW w:w="0" w:type="auto"/>
            <w:hideMark/>
          </w:tcPr>
          <w:p w14:paraId="4D53D8C5" w14:textId="77777777" w:rsidR="006D5D17" w:rsidRPr="00C86111" w:rsidRDefault="006D5D17" w:rsidP="009756DA">
            <w:pPr>
              <w:rPr>
                <w:rFonts w:asciiTheme="minorHAnsi" w:hAnsiTheme="minorHAnsi" w:cstheme="minorHAnsi"/>
              </w:rPr>
            </w:pPr>
            <w:r w:rsidRPr="00C86111">
              <w:rPr>
                <w:rFonts w:asciiTheme="minorHAnsi" w:hAnsiTheme="minorHAnsi" w:cstheme="minorHAnsi"/>
              </w:rPr>
              <w:t>Aktivnost</w:t>
            </w:r>
          </w:p>
        </w:tc>
        <w:tc>
          <w:tcPr>
            <w:tcW w:w="0" w:type="auto"/>
            <w:gridSpan w:val="2"/>
            <w:hideMark/>
          </w:tcPr>
          <w:p w14:paraId="24AFC92C" w14:textId="77777777" w:rsidR="006D5D17" w:rsidRPr="00C86111" w:rsidRDefault="006D5D17" w:rsidP="009756D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Nosioci realizacije</w:t>
            </w:r>
          </w:p>
        </w:tc>
        <w:tc>
          <w:tcPr>
            <w:tcW w:w="0" w:type="auto"/>
            <w:hideMark/>
          </w:tcPr>
          <w:p w14:paraId="06C5667E" w14:textId="77777777" w:rsidR="006D5D17" w:rsidRPr="00C86111" w:rsidRDefault="006D5D17" w:rsidP="009756D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Datum početka</w:t>
            </w:r>
          </w:p>
        </w:tc>
        <w:tc>
          <w:tcPr>
            <w:tcW w:w="0" w:type="auto"/>
            <w:hideMark/>
          </w:tcPr>
          <w:p w14:paraId="5DF9AA84" w14:textId="77777777" w:rsidR="006D5D17" w:rsidRPr="00C86111" w:rsidRDefault="006D5D17" w:rsidP="009756D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Indikator rezultata</w:t>
            </w:r>
          </w:p>
        </w:tc>
        <w:tc>
          <w:tcPr>
            <w:tcW w:w="1238" w:type="dxa"/>
            <w:hideMark/>
          </w:tcPr>
          <w:p w14:paraId="4E0F7360" w14:textId="77777777" w:rsidR="006D5D17" w:rsidRPr="00C86111" w:rsidRDefault="006D5D17" w:rsidP="009756D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Planirani završetak</w:t>
            </w:r>
          </w:p>
        </w:tc>
        <w:tc>
          <w:tcPr>
            <w:tcW w:w="1705" w:type="dxa"/>
            <w:hideMark/>
          </w:tcPr>
          <w:p w14:paraId="41CA1985" w14:textId="77777777" w:rsidR="006D5D17" w:rsidRPr="00C86111" w:rsidRDefault="006D5D17" w:rsidP="009756D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Izvor finansiranja</w:t>
            </w:r>
          </w:p>
        </w:tc>
      </w:tr>
      <w:tr w:rsidR="006D5D17" w:rsidRPr="00C86111" w14:paraId="5C955102" w14:textId="77777777" w:rsidTr="009756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C2F0BD" w14:textId="52113668" w:rsidR="006D5D17" w:rsidRPr="00C86111" w:rsidRDefault="00E65986" w:rsidP="009756DA">
            <w:pPr>
              <w:rPr>
                <w:rFonts w:asciiTheme="minorHAnsi" w:hAnsiTheme="minorHAnsi" w:cstheme="minorHAnsi"/>
              </w:rPr>
            </w:pPr>
            <w:r>
              <w:rPr>
                <w:rFonts w:asciiTheme="minorHAnsi" w:hAnsiTheme="minorHAnsi" w:cstheme="minorHAnsi"/>
              </w:rPr>
              <w:t>3</w:t>
            </w:r>
            <w:r w:rsidR="006D5D17" w:rsidRPr="00C86111">
              <w:rPr>
                <w:rFonts w:asciiTheme="minorHAnsi" w:hAnsiTheme="minorHAnsi" w:cstheme="minorHAnsi"/>
              </w:rPr>
              <w:t>.1 Organizovati obuke i radionice o integrisanom upravljanju štetočinama (IPM) i alternativnim nehemijskim metodama zaštite bilja</w:t>
            </w:r>
          </w:p>
        </w:tc>
        <w:tc>
          <w:tcPr>
            <w:tcW w:w="0" w:type="auto"/>
            <w:gridSpan w:val="2"/>
            <w:hideMark/>
          </w:tcPr>
          <w:p w14:paraId="559A712E" w14:textId="77777777" w:rsidR="006D5D17" w:rsidRPr="00C86111" w:rsidRDefault="006D5D17" w:rsidP="009756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MERS, Poljoprivredna savjetodavna služba</w:t>
            </w:r>
          </w:p>
        </w:tc>
        <w:tc>
          <w:tcPr>
            <w:tcW w:w="0" w:type="auto"/>
            <w:hideMark/>
          </w:tcPr>
          <w:p w14:paraId="20F4D3F2" w14:textId="77777777" w:rsidR="006D5D17" w:rsidRPr="00C86111" w:rsidRDefault="006D5D17" w:rsidP="009756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2026</w:t>
            </w:r>
          </w:p>
        </w:tc>
        <w:tc>
          <w:tcPr>
            <w:tcW w:w="0" w:type="auto"/>
            <w:hideMark/>
          </w:tcPr>
          <w:p w14:paraId="6B73A368" w14:textId="77777777" w:rsidR="006D5D17" w:rsidRPr="00C86111" w:rsidRDefault="006D5D17" w:rsidP="009756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Izvještaji o obukama i lista učesnika</w:t>
            </w:r>
          </w:p>
        </w:tc>
        <w:tc>
          <w:tcPr>
            <w:tcW w:w="1238" w:type="dxa"/>
            <w:hideMark/>
          </w:tcPr>
          <w:p w14:paraId="4E50CB56" w14:textId="77777777" w:rsidR="006D5D17" w:rsidRPr="00C86111" w:rsidRDefault="006D5D17" w:rsidP="009756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6111">
              <w:rPr>
                <w:rFonts w:asciiTheme="minorHAnsi" w:hAnsiTheme="minorHAnsi" w:cstheme="minorHAnsi"/>
              </w:rPr>
              <w:t>2027</w:t>
            </w:r>
          </w:p>
        </w:tc>
        <w:tc>
          <w:tcPr>
            <w:tcW w:w="1705" w:type="dxa"/>
            <w:hideMark/>
          </w:tcPr>
          <w:p w14:paraId="0C957424" w14:textId="77777777" w:rsidR="006D5D17" w:rsidRPr="00C86111" w:rsidRDefault="006D5D17" w:rsidP="009756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92255">
              <w:rPr>
                <w:rFonts w:asciiTheme="minorHAnsi" w:hAnsiTheme="minorHAnsi" w:cstheme="minorHAnsi"/>
                <w:color w:val="auto"/>
              </w:rPr>
              <w:t xml:space="preserve">Aktivnost planirana kroz  Budžet CG </w:t>
            </w:r>
          </w:p>
        </w:tc>
      </w:tr>
    </w:tbl>
    <w:p w14:paraId="0D9C8DF2" w14:textId="77777777" w:rsidR="003B38C2" w:rsidRPr="00C86111" w:rsidRDefault="003B38C2" w:rsidP="003B38C2">
      <w:pPr>
        <w:rPr>
          <w:rFonts w:asciiTheme="minorHAnsi" w:hAnsiTheme="minorHAnsi" w:cstheme="minorHAnsi"/>
          <w:b/>
          <w:bCs/>
        </w:rPr>
      </w:pPr>
    </w:p>
    <w:sectPr w:rsidR="003B38C2" w:rsidRPr="00C86111" w:rsidSect="00C4574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8A896E" w14:textId="77777777" w:rsidR="00004F34" w:rsidRDefault="00004F34" w:rsidP="002330D2">
      <w:r>
        <w:separator/>
      </w:r>
    </w:p>
  </w:endnote>
  <w:endnote w:type="continuationSeparator" w:id="0">
    <w:p w14:paraId="5493733D" w14:textId="77777777" w:rsidR="00004F34" w:rsidRDefault="00004F34" w:rsidP="00233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Unicode MS">
    <w:altName w:val="Arial"/>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U45 Univers Light">
    <w:altName w:val="Arial"/>
    <w:panose1 w:val="00000000000000000000"/>
    <w:charset w:val="00"/>
    <w:family w:val="swiss"/>
    <w:notTrueType/>
    <w:pitch w:val="default"/>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 w:name="Myriad Pro">
    <w:altName w:val="Arial"/>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9709952"/>
      <w:docPartObj>
        <w:docPartGallery w:val="Page Numbers (Bottom of Page)"/>
        <w:docPartUnique/>
      </w:docPartObj>
    </w:sdtPr>
    <w:sdtEndPr>
      <w:rPr>
        <w:noProof/>
      </w:rPr>
    </w:sdtEndPr>
    <w:sdtContent>
      <w:p w14:paraId="501FA9D3" w14:textId="5CC82B09" w:rsidR="009756DA" w:rsidRDefault="009756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169B61" w14:textId="77777777" w:rsidR="009756DA" w:rsidRDefault="00975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2D5913" w14:textId="77777777" w:rsidR="00004F34" w:rsidRDefault="00004F34" w:rsidP="002330D2">
      <w:r>
        <w:separator/>
      </w:r>
    </w:p>
  </w:footnote>
  <w:footnote w:type="continuationSeparator" w:id="0">
    <w:p w14:paraId="1AE086F4" w14:textId="77777777" w:rsidR="00004F34" w:rsidRDefault="00004F34" w:rsidP="002330D2">
      <w:r>
        <w:continuationSeparator/>
      </w:r>
    </w:p>
  </w:footnote>
  <w:footnote w:id="1">
    <w:p w14:paraId="64A7AC0B" w14:textId="77777777" w:rsidR="009756DA" w:rsidRPr="00B135DE" w:rsidRDefault="009756DA" w:rsidP="00746115">
      <w:pPr>
        <w:pStyle w:val="FootnoteText"/>
        <w:ind w:left="-90"/>
      </w:pPr>
      <w:r>
        <w:rPr>
          <w:rStyle w:val="FootnoteReference"/>
        </w:rPr>
        <w:footnoteRef/>
      </w:r>
      <w:r>
        <w:t xml:space="preserve"> </w:t>
      </w:r>
      <w:hyperlink r:id="rId1" w:history="1">
        <w:r w:rsidRPr="00B73C35">
          <w:rPr>
            <w:rStyle w:val="Hyperlink"/>
          </w:rPr>
          <w:t>https://www.undp.org/cnr/montenegro/projects/upravljanje-pcb-om</w:t>
        </w:r>
      </w:hyperlink>
      <w:r>
        <w:t xml:space="preserve"> </w:t>
      </w:r>
    </w:p>
  </w:footnote>
  <w:footnote w:id="2">
    <w:p w14:paraId="0F800D99" w14:textId="77777777" w:rsidR="009756DA" w:rsidRPr="00D87BBD" w:rsidRDefault="009756DA" w:rsidP="00746115">
      <w:pPr>
        <w:pStyle w:val="FootnoteText"/>
        <w:ind w:left="-90"/>
      </w:pPr>
      <w:r>
        <w:rPr>
          <w:rStyle w:val="FootnoteReference"/>
        </w:rPr>
        <w:footnoteRef/>
      </w:r>
      <w:r>
        <w:t xml:space="preserve"> </w:t>
      </w:r>
      <w:hyperlink r:id="rId2" w:history="1">
        <w:r w:rsidRPr="006A0AAD">
          <w:rPr>
            <w:rStyle w:val="Hyperlink"/>
          </w:rPr>
          <w:t>file:///C:/Users/User/Downloads/UNDP-GEF_PCB-Montenegro%20TE-report.pdf</w:t>
        </w:r>
      </w:hyperlink>
      <w:r>
        <w:t xml:space="preserve"> </w:t>
      </w:r>
    </w:p>
  </w:footnote>
  <w:footnote w:id="3">
    <w:p w14:paraId="3E9653C4" w14:textId="77777777" w:rsidR="009756DA" w:rsidRPr="0064490B" w:rsidRDefault="009756DA" w:rsidP="00746115">
      <w:pPr>
        <w:pStyle w:val="FootnoteText"/>
        <w:ind w:left="-90"/>
        <w:jc w:val="both"/>
      </w:pPr>
      <w:r>
        <w:rPr>
          <w:rStyle w:val="FootnoteReference"/>
        </w:rPr>
        <w:footnoteRef/>
      </w:r>
      <w:r>
        <w:t xml:space="preserve"> </w:t>
      </w:r>
      <w:r w:rsidRPr="0064490B">
        <w:t>Pravilnik o listi POPs supstanci, načinu i postupku za upravljanje POPs otpadom i granične vrijednosti koncentracija POPs materija koje se odnose na preradu i odstranjivanje otpada koji sadrži ili je kontaminiran POPs supstancama ("Službeni list Crne Gore", br. 098/24)</w:t>
      </w:r>
    </w:p>
  </w:footnote>
  <w:footnote w:id="4">
    <w:p w14:paraId="28184DFC" w14:textId="77777777" w:rsidR="009756DA" w:rsidRPr="00D73954" w:rsidRDefault="009756DA" w:rsidP="00746115">
      <w:pPr>
        <w:pStyle w:val="FootnoteText"/>
        <w:ind w:left="-90"/>
        <w:jc w:val="both"/>
        <w:rPr>
          <w:lang w:val="sr-Latn-ME"/>
        </w:rPr>
      </w:pPr>
      <w:r>
        <w:rPr>
          <w:rStyle w:val="FootnoteReference"/>
        </w:rPr>
        <w:footnoteRef/>
      </w:r>
      <w:r>
        <w:t xml:space="preserve"> </w:t>
      </w:r>
      <w:hyperlink r:id="rId3" w:history="1">
        <w:r w:rsidRPr="00B73C35">
          <w:rPr>
            <w:rStyle w:val="Hyperlink"/>
          </w:rPr>
          <w:t>https://epa.org.me/wp-content/uploads/2024/09/UNDP-Smjernice-PBDE-otpad.pdf</w:t>
        </w:r>
      </w:hyperlink>
      <w:r>
        <w:t xml:space="preserve"> </w:t>
      </w:r>
    </w:p>
  </w:footnote>
  <w:footnote w:id="5">
    <w:p w14:paraId="477496D6" w14:textId="77777777" w:rsidR="009756DA" w:rsidRPr="00925787" w:rsidRDefault="009756DA" w:rsidP="00746115">
      <w:pPr>
        <w:pStyle w:val="FootnoteText"/>
        <w:ind w:left="0"/>
      </w:pPr>
      <w:r>
        <w:rPr>
          <w:rStyle w:val="FootnoteReference"/>
        </w:rPr>
        <w:footnoteRef/>
      </w:r>
      <w:r>
        <w:t xml:space="preserve"> </w:t>
      </w:r>
      <w:hyperlink r:id="rId4" w:history="1">
        <w:r w:rsidRPr="00E10F54">
          <w:rPr>
            <w:rStyle w:val="Hyperlink"/>
          </w:rPr>
          <w:t>https://www.gov.me/clanak/radionice-za-re-populaciju-znanje-protiv-zagadenja-edukacija-o-pops-hemikalijama-i-pravilnom-upravljanju-otpadom-ministarstvo-ekologije-odrzivog-razvoja-i-razvoja-sjevera-kroz-projekat</w:t>
        </w:r>
      </w:hyperlink>
      <w:r>
        <w:t xml:space="preserve"> </w:t>
      </w:r>
    </w:p>
  </w:footnote>
  <w:footnote w:id="6">
    <w:p w14:paraId="5ECB64DC" w14:textId="77777777" w:rsidR="009756DA" w:rsidRPr="00923B43" w:rsidRDefault="009756DA" w:rsidP="00746115">
      <w:pPr>
        <w:pStyle w:val="FootnoteText"/>
        <w:ind w:left="0"/>
        <w:rPr>
          <w:lang w:val="sr-Latn-ME"/>
        </w:rPr>
      </w:pPr>
      <w:r>
        <w:rPr>
          <w:rStyle w:val="FootnoteReference"/>
        </w:rPr>
        <w:footnoteRef/>
      </w:r>
      <w:r>
        <w:t xml:space="preserve"> </w:t>
      </w:r>
      <w:hyperlink r:id="rId5" w:history="1">
        <w:r w:rsidRPr="00923B43">
          <w:rPr>
            <w:rStyle w:val="Hyperlink"/>
          </w:rPr>
          <w:t>UPUTSTVO namjenjeno operaterima i reciklerima otpada o rizicima koje nosi rukovanje otpadom koji sadrži PBDEs, HBB i HBCD hemikalije</w:t>
        </w:r>
      </w:hyperlink>
    </w:p>
  </w:footnote>
  <w:footnote w:id="7">
    <w:p w14:paraId="3BE932F3" w14:textId="77777777" w:rsidR="009756DA" w:rsidRPr="00D814CC" w:rsidRDefault="009756DA" w:rsidP="00746115">
      <w:pPr>
        <w:pStyle w:val="FootnoteText"/>
        <w:ind w:left="0"/>
      </w:pPr>
      <w:r>
        <w:rPr>
          <w:rStyle w:val="FootnoteReference"/>
        </w:rPr>
        <w:footnoteRef/>
      </w:r>
      <w:r>
        <w:t xml:space="preserve"> </w:t>
      </w:r>
      <w:hyperlink r:id="rId6" w:history="1">
        <w:r w:rsidRPr="00C31B5C">
          <w:rPr>
            <w:rStyle w:val="Hyperlink"/>
          </w:rPr>
          <w:t>https://unece.org/sites/default/files/2024-10/4th_EPR_of_Montenegro_ECE.CEP_.202_ENG_0.pdf</w:t>
        </w:r>
      </w:hyperlink>
      <w:r>
        <w:t xml:space="preserve"> </w:t>
      </w:r>
    </w:p>
  </w:footnote>
  <w:footnote w:id="8">
    <w:p w14:paraId="7C5464BF" w14:textId="77777777" w:rsidR="009756DA" w:rsidRPr="00D814CC" w:rsidRDefault="009756DA" w:rsidP="00746115">
      <w:pPr>
        <w:pStyle w:val="FootnoteText"/>
        <w:ind w:left="0"/>
      </w:pPr>
      <w:r>
        <w:rPr>
          <w:rStyle w:val="FootnoteReference"/>
        </w:rPr>
        <w:footnoteRef/>
      </w:r>
      <w:r>
        <w:t xml:space="preserve"> </w:t>
      </w:r>
      <w:hyperlink r:id="rId7" w:history="1">
        <w:r w:rsidRPr="00C31B5C">
          <w:rPr>
            <w:rStyle w:val="Hyperlink"/>
          </w:rPr>
          <w:t>https://www.gefieo.org/sites/default/files/documents/projects/tes/9045-terminal-evaluation.pdf</w:t>
        </w:r>
      </w:hyperlink>
      <w:r>
        <w:t xml:space="preserve"> </w:t>
      </w:r>
    </w:p>
  </w:footnote>
  <w:footnote w:id="9">
    <w:p w14:paraId="4CA9F6BC" w14:textId="77777777" w:rsidR="009756DA" w:rsidRPr="00D814CC" w:rsidRDefault="009756DA" w:rsidP="00746115">
      <w:pPr>
        <w:pStyle w:val="FootnoteText"/>
        <w:ind w:left="0"/>
      </w:pPr>
      <w:r>
        <w:rPr>
          <w:rStyle w:val="FootnoteReference"/>
        </w:rPr>
        <w:footnoteRef/>
      </w:r>
      <w:r>
        <w:t xml:space="preserve"> </w:t>
      </w:r>
      <w:hyperlink r:id="rId8" w:history="1">
        <w:r w:rsidRPr="00C31B5C">
          <w:rPr>
            <w:rStyle w:val="Hyperlink"/>
          </w:rPr>
          <w:t>https://faolex.fao.org/docs/pdf/mne220111.pdf?utm</w:t>
        </w:r>
      </w:hyperlink>
      <w:r>
        <w:t xml:space="preserve"> </w:t>
      </w:r>
    </w:p>
  </w:footnote>
  <w:footnote w:id="10">
    <w:p w14:paraId="2F6B742C" w14:textId="77777777" w:rsidR="009756DA" w:rsidRPr="00D814CC" w:rsidRDefault="009756DA" w:rsidP="00746115">
      <w:pPr>
        <w:pStyle w:val="FootnoteText"/>
        <w:ind w:left="0"/>
        <w:rPr>
          <w:lang w:val="sr-Latn-ME"/>
        </w:rPr>
      </w:pPr>
      <w:r>
        <w:rPr>
          <w:rStyle w:val="FootnoteReference"/>
        </w:rPr>
        <w:footnoteRef/>
      </w:r>
      <w:r>
        <w:t xml:space="preserve"> </w:t>
      </w:r>
      <w:hyperlink r:id="rId9" w:history="1">
        <w:r w:rsidRPr="00C31B5C">
          <w:rPr>
            <w:rStyle w:val="Hyperlink"/>
          </w:rPr>
          <w:t>https://www.osce.org/files/f/documents/c/8/570285.pdf?utm</w:t>
        </w:r>
      </w:hyperlink>
      <w:r>
        <w:t xml:space="preserve"> </w:t>
      </w:r>
    </w:p>
  </w:footnote>
  <w:footnote w:id="11">
    <w:p w14:paraId="485488B6" w14:textId="77777777" w:rsidR="009756DA" w:rsidRPr="00D814CC" w:rsidRDefault="009756DA" w:rsidP="00746115">
      <w:pPr>
        <w:pStyle w:val="FootnoteText"/>
        <w:ind w:left="0"/>
        <w:rPr>
          <w:lang w:val="sr-Latn-ME"/>
        </w:rPr>
      </w:pPr>
      <w:r>
        <w:rPr>
          <w:rStyle w:val="FootnoteReference"/>
        </w:rPr>
        <w:footnoteRef/>
      </w:r>
      <w:r>
        <w:t xml:space="preserve"> </w:t>
      </w:r>
      <w:hyperlink r:id="rId10" w:history="1">
        <w:r w:rsidRPr="00C31B5C">
          <w:rPr>
            <w:rStyle w:val="Hyperlink"/>
          </w:rPr>
          <w:t>https://www.gefieo.org/sites/default/files/documents/projects/tes/9045-terminal-evaluation.pdf</w:t>
        </w:r>
      </w:hyperlink>
      <w:r>
        <w:t xml:space="preserve"> </w:t>
      </w:r>
    </w:p>
  </w:footnote>
  <w:footnote w:id="12">
    <w:p w14:paraId="6E0D87F4" w14:textId="77777777" w:rsidR="009756DA" w:rsidRPr="00D814CC" w:rsidRDefault="009756DA" w:rsidP="00746115">
      <w:pPr>
        <w:pStyle w:val="FootnoteText"/>
        <w:ind w:left="0"/>
        <w:rPr>
          <w:lang w:val="sr-Latn-ME"/>
        </w:rPr>
      </w:pPr>
      <w:r>
        <w:rPr>
          <w:rStyle w:val="FootnoteReference"/>
        </w:rPr>
        <w:footnoteRef/>
      </w:r>
      <w:r>
        <w:t xml:space="preserve"> </w:t>
      </w:r>
      <w:hyperlink r:id="rId11" w:history="1">
        <w:r w:rsidRPr="00C31B5C">
          <w:rPr>
            <w:rStyle w:val="Hyperlink"/>
          </w:rPr>
          <w:t>https://www.unep.org/unepmap/what-we-do/projects/MedProgramme</w:t>
        </w:r>
      </w:hyperlink>
      <w:r>
        <w:t xml:space="preserve"> </w:t>
      </w:r>
    </w:p>
  </w:footnote>
  <w:footnote w:id="13">
    <w:p w14:paraId="182593AE" w14:textId="77777777" w:rsidR="009756DA" w:rsidRPr="00D814CC" w:rsidRDefault="009756DA" w:rsidP="00746115">
      <w:pPr>
        <w:pStyle w:val="FootnoteText"/>
        <w:ind w:left="0"/>
        <w:rPr>
          <w:lang w:val="sr-Latn-ME"/>
        </w:rPr>
      </w:pPr>
      <w:r>
        <w:rPr>
          <w:rStyle w:val="FootnoteReference"/>
        </w:rPr>
        <w:footnoteRef/>
      </w:r>
      <w:r>
        <w:t xml:space="preserve"> </w:t>
      </w:r>
      <w:hyperlink r:id="rId12" w:history="1">
        <w:r w:rsidRPr="00D814CC">
          <w:rPr>
            <w:rStyle w:val="Hyperlink"/>
          </w:rPr>
          <w:t>https://www.gefieo.org/sites/default/files/documents/projects/tes/9045-terminal-evaluation.pdf</w:t>
        </w:r>
      </w:hyperlink>
      <w:r w:rsidRPr="00D814CC">
        <w:t xml:space="preserve"> </w:t>
      </w:r>
    </w:p>
  </w:footnote>
  <w:footnote w:id="14">
    <w:p w14:paraId="749F2D62" w14:textId="77777777" w:rsidR="009756DA" w:rsidRPr="005717DB" w:rsidRDefault="009756DA" w:rsidP="00746115">
      <w:pPr>
        <w:pStyle w:val="FootnoteText"/>
        <w:ind w:left="0"/>
        <w:rPr>
          <w:lang w:val="sr-Latn-ME"/>
        </w:rPr>
      </w:pPr>
      <w:r>
        <w:rPr>
          <w:rStyle w:val="FootnoteReference"/>
        </w:rPr>
        <w:footnoteRef/>
      </w:r>
      <w:r>
        <w:t xml:space="preserve"> </w:t>
      </w:r>
      <w:hyperlink r:id="rId13" w:history="1">
        <w:r w:rsidRPr="00C31B5C">
          <w:rPr>
            <w:rStyle w:val="Hyperlink"/>
          </w:rPr>
          <w:t>https://wapi.gov.me/download/113f9714-2521-4455-b752-fc9afa6e140e?version=1.0</w:t>
        </w:r>
      </w:hyperlink>
      <w:r>
        <w:t xml:space="preserve"> </w:t>
      </w:r>
    </w:p>
  </w:footnote>
  <w:footnote w:id="15">
    <w:p w14:paraId="199D0B21" w14:textId="77777777" w:rsidR="009756DA" w:rsidRPr="005717DB" w:rsidRDefault="009756DA" w:rsidP="00746115">
      <w:pPr>
        <w:pStyle w:val="FootnoteText"/>
        <w:ind w:left="0"/>
        <w:rPr>
          <w:lang w:val="sr-Latn-ME"/>
        </w:rPr>
      </w:pPr>
      <w:r>
        <w:rPr>
          <w:rStyle w:val="FootnoteReference"/>
        </w:rPr>
        <w:footnoteRef/>
      </w:r>
      <w:r>
        <w:t xml:space="preserve"> </w:t>
      </w:r>
      <w:hyperlink r:id="rId14" w:history="1">
        <w:r w:rsidRPr="00C31B5C">
          <w:rPr>
            <w:rStyle w:val="Hyperlink"/>
          </w:rPr>
          <w:t>https://www.unep.org/unepmap/what-we-do/projects/MedProgramme</w:t>
        </w:r>
      </w:hyperlink>
      <w:r>
        <w:t xml:space="preserve"> </w:t>
      </w:r>
    </w:p>
  </w:footnote>
  <w:footnote w:id="16">
    <w:p w14:paraId="38C0B4A6" w14:textId="77777777" w:rsidR="009756DA" w:rsidRPr="005717DB" w:rsidRDefault="009756DA" w:rsidP="00746115">
      <w:pPr>
        <w:pStyle w:val="FootnoteText"/>
        <w:ind w:left="0"/>
        <w:rPr>
          <w:lang w:val="sr-Latn-ME"/>
        </w:rPr>
      </w:pPr>
      <w:r>
        <w:rPr>
          <w:rStyle w:val="FootnoteReference"/>
        </w:rPr>
        <w:footnoteRef/>
      </w:r>
      <w:r>
        <w:t xml:space="preserve"> </w:t>
      </w:r>
      <w:hyperlink r:id="rId15" w:history="1">
        <w:r w:rsidRPr="00C31B5C">
          <w:rPr>
            <w:rStyle w:val="Hyperlink"/>
          </w:rPr>
          <w:t>https://wapi.gov.me/download/113f9714-2521-4455-b752-fc9afa6e140e?version=1.0</w:t>
        </w:r>
      </w:hyperlink>
      <w:r>
        <w:t xml:space="preserve"> </w:t>
      </w:r>
    </w:p>
  </w:footnote>
  <w:footnote w:id="17">
    <w:p w14:paraId="53DF1EF8" w14:textId="77777777" w:rsidR="009756DA" w:rsidRPr="005717DB" w:rsidRDefault="009756DA" w:rsidP="00746115">
      <w:pPr>
        <w:pStyle w:val="FootnoteText"/>
        <w:ind w:left="0"/>
        <w:rPr>
          <w:lang w:val="sr-Latn-ME"/>
        </w:rPr>
      </w:pPr>
      <w:r>
        <w:rPr>
          <w:rStyle w:val="FootnoteReference"/>
        </w:rPr>
        <w:footnoteRef/>
      </w:r>
      <w:r>
        <w:t xml:space="preserve"> </w:t>
      </w:r>
      <w:hyperlink r:id="rId16" w:history="1">
        <w:r w:rsidRPr="00C31B5C">
          <w:rPr>
            <w:rStyle w:val="Hyperlink"/>
          </w:rPr>
          <w:t>https://unece.org/sites/default/files/2024-10/4th_EPR_of_Montenegro_ECE.CEP_.202_ENG_0.pdf</w:t>
        </w:r>
      </w:hyperlink>
      <w:r>
        <w:t xml:space="preserve"> </w:t>
      </w:r>
    </w:p>
  </w:footnote>
  <w:footnote w:id="18">
    <w:p w14:paraId="31B3E1B1" w14:textId="77777777" w:rsidR="009756DA" w:rsidRPr="005717DB" w:rsidRDefault="009756DA" w:rsidP="00746115">
      <w:pPr>
        <w:pStyle w:val="FootnoteText"/>
        <w:ind w:left="0"/>
        <w:rPr>
          <w:lang w:val="sr-Latn-ME"/>
        </w:rPr>
      </w:pPr>
      <w:r>
        <w:rPr>
          <w:rStyle w:val="FootnoteReference"/>
        </w:rPr>
        <w:footnoteRef/>
      </w:r>
      <w:r>
        <w:t xml:space="preserve"> </w:t>
      </w:r>
      <w:hyperlink r:id="rId17" w:history="1">
        <w:r w:rsidRPr="00C31B5C">
          <w:rPr>
            <w:rStyle w:val="Hyperlink"/>
          </w:rPr>
          <w:t>https://www.unep.org/unepmap/what-we-do/projects/MedProgramme</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F7E9F"/>
    <w:multiLevelType w:val="multilevel"/>
    <w:tmpl w:val="B6B6F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355CB"/>
    <w:multiLevelType w:val="multilevel"/>
    <w:tmpl w:val="482A0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D6112"/>
    <w:multiLevelType w:val="hybridMultilevel"/>
    <w:tmpl w:val="772C64AC"/>
    <w:styleLink w:val="Importovanstyl6"/>
    <w:lvl w:ilvl="0" w:tplc="88D4B02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61406E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67612E8">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1D85ED6">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9C1C8484">
      <w:start w:val="1"/>
      <w:numFmt w:val="bullet"/>
      <w:lvlText w:val="▪"/>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4B0C5EA">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FA81B9C">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3B829D0">
      <w:start w:val="1"/>
      <w:numFmt w:val="bullet"/>
      <w:lvlText w:val="▪"/>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D34A46E">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03AE5B29"/>
    <w:multiLevelType w:val="multilevel"/>
    <w:tmpl w:val="5FC6C6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26561A"/>
    <w:multiLevelType w:val="hybridMultilevel"/>
    <w:tmpl w:val="CBFE7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973456"/>
    <w:multiLevelType w:val="multilevel"/>
    <w:tmpl w:val="04B8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FD023C"/>
    <w:multiLevelType w:val="multilevel"/>
    <w:tmpl w:val="BFA2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0B16FF"/>
    <w:multiLevelType w:val="hybridMultilevel"/>
    <w:tmpl w:val="BB54F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6B664D"/>
    <w:multiLevelType w:val="multilevel"/>
    <w:tmpl w:val="B6C8C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893238"/>
    <w:multiLevelType w:val="multilevel"/>
    <w:tmpl w:val="60B67D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280DE3"/>
    <w:multiLevelType w:val="hybridMultilevel"/>
    <w:tmpl w:val="29B424B8"/>
    <w:lvl w:ilvl="0" w:tplc="E4FC1F06">
      <w:start w:val="1"/>
      <w:numFmt w:val="decimal"/>
      <w:lvlText w:val="%1."/>
      <w:lvlJc w:val="left"/>
      <w:pPr>
        <w:tabs>
          <w:tab w:val="num" w:pos="4851"/>
        </w:tabs>
        <w:ind w:left="4851" w:hanging="360"/>
      </w:pPr>
      <w:rPr>
        <w:rFonts w:ascii="Times New Roman" w:hAnsi="Times New Roman" w:hint="default"/>
        <w:b w:val="0"/>
        <w:i w:val="0"/>
        <w:color w:val="auto"/>
        <w:sz w:val="20"/>
        <w:szCs w:val="20"/>
      </w:rPr>
    </w:lvl>
    <w:lvl w:ilvl="1" w:tplc="0E1EEDD8">
      <w:start w:val="1"/>
      <w:numFmt w:val="decimal"/>
      <w:pStyle w:val="Paralevel1"/>
      <w:lvlText w:val="%2."/>
      <w:lvlJc w:val="left"/>
      <w:pPr>
        <w:tabs>
          <w:tab w:val="num" w:pos="2687"/>
        </w:tabs>
        <w:ind w:left="2687" w:hanging="360"/>
      </w:pPr>
      <w:rPr>
        <w:rFonts w:ascii="Times New Roman" w:hAnsi="Times New Roman" w:hint="default"/>
        <w:b w:val="0"/>
        <w:i w:val="0"/>
        <w:color w:val="auto"/>
        <w:sz w:val="20"/>
        <w:szCs w:val="20"/>
      </w:rPr>
    </w:lvl>
    <w:lvl w:ilvl="2" w:tplc="0409001B" w:tentative="1">
      <w:start w:val="1"/>
      <w:numFmt w:val="lowerRoman"/>
      <w:lvlText w:val="%3."/>
      <w:lvlJc w:val="right"/>
      <w:pPr>
        <w:tabs>
          <w:tab w:val="num" w:pos="3407"/>
        </w:tabs>
        <w:ind w:left="3407" w:hanging="180"/>
      </w:pPr>
    </w:lvl>
    <w:lvl w:ilvl="3" w:tplc="0409000F" w:tentative="1">
      <w:start w:val="1"/>
      <w:numFmt w:val="decimal"/>
      <w:lvlText w:val="%4."/>
      <w:lvlJc w:val="left"/>
      <w:pPr>
        <w:tabs>
          <w:tab w:val="num" w:pos="4127"/>
        </w:tabs>
        <w:ind w:left="4127" w:hanging="360"/>
      </w:pPr>
    </w:lvl>
    <w:lvl w:ilvl="4" w:tplc="04090019" w:tentative="1">
      <w:start w:val="1"/>
      <w:numFmt w:val="lowerLetter"/>
      <w:lvlText w:val="%5."/>
      <w:lvlJc w:val="left"/>
      <w:pPr>
        <w:tabs>
          <w:tab w:val="num" w:pos="4847"/>
        </w:tabs>
        <w:ind w:left="4847" w:hanging="360"/>
      </w:pPr>
    </w:lvl>
    <w:lvl w:ilvl="5" w:tplc="0409001B" w:tentative="1">
      <w:start w:val="1"/>
      <w:numFmt w:val="lowerRoman"/>
      <w:lvlText w:val="%6."/>
      <w:lvlJc w:val="right"/>
      <w:pPr>
        <w:tabs>
          <w:tab w:val="num" w:pos="5567"/>
        </w:tabs>
        <w:ind w:left="5567" w:hanging="180"/>
      </w:pPr>
    </w:lvl>
    <w:lvl w:ilvl="6" w:tplc="0409000F" w:tentative="1">
      <w:start w:val="1"/>
      <w:numFmt w:val="decimal"/>
      <w:lvlText w:val="%7."/>
      <w:lvlJc w:val="left"/>
      <w:pPr>
        <w:tabs>
          <w:tab w:val="num" w:pos="6287"/>
        </w:tabs>
        <w:ind w:left="6287" w:hanging="360"/>
      </w:pPr>
    </w:lvl>
    <w:lvl w:ilvl="7" w:tplc="04090019" w:tentative="1">
      <w:start w:val="1"/>
      <w:numFmt w:val="lowerLetter"/>
      <w:lvlText w:val="%8."/>
      <w:lvlJc w:val="left"/>
      <w:pPr>
        <w:tabs>
          <w:tab w:val="num" w:pos="7007"/>
        </w:tabs>
        <w:ind w:left="7007" w:hanging="360"/>
      </w:pPr>
    </w:lvl>
    <w:lvl w:ilvl="8" w:tplc="0409001B" w:tentative="1">
      <w:start w:val="1"/>
      <w:numFmt w:val="lowerRoman"/>
      <w:lvlText w:val="%9."/>
      <w:lvlJc w:val="right"/>
      <w:pPr>
        <w:tabs>
          <w:tab w:val="num" w:pos="7727"/>
        </w:tabs>
        <w:ind w:left="7727" w:hanging="180"/>
      </w:pPr>
    </w:lvl>
  </w:abstractNum>
  <w:abstractNum w:abstractNumId="11" w15:restartNumberingAfterBreak="0">
    <w:nsid w:val="089B4A2F"/>
    <w:multiLevelType w:val="multilevel"/>
    <w:tmpl w:val="7D1C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BE1462"/>
    <w:multiLevelType w:val="hybridMultilevel"/>
    <w:tmpl w:val="47F87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DC12C6"/>
    <w:multiLevelType w:val="multilevel"/>
    <w:tmpl w:val="EBF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437B0B"/>
    <w:multiLevelType w:val="multilevel"/>
    <w:tmpl w:val="4C90A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9E1DC2"/>
    <w:multiLevelType w:val="hybridMultilevel"/>
    <w:tmpl w:val="807470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CB6DC7"/>
    <w:multiLevelType w:val="hybridMultilevel"/>
    <w:tmpl w:val="7DBC0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A686AA4"/>
    <w:multiLevelType w:val="multilevel"/>
    <w:tmpl w:val="60B67D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8D7489"/>
    <w:multiLevelType w:val="multilevel"/>
    <w:tmpl w:val="0A2489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AB74114"/>
    <w:multiLevelType w:val="multilevel"/>
    <w:tmpl w:val="C54EB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A90FCC"/>
    <w:multiLevelType w:val="multilevel"/>
    <w:tmpl w:val="60B67D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B722D6"/>
    <w:multiLevelType w:val="multilevel"/>
    <w:tmpl w:val="4DEE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843723"/>
    <w:multiLevelType w:val="multilevel"/>
    <w:tmpl w:val="D1C8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867D25"/>
    <w:multiLevelType w:val="hybridMultilevel"/>
    <w:tmpl w:val="68308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D867E2D"/>
    <w:multiLevelType w:val="hybridMultilevel"/>
    <w:tmpl w:val="AC20D8F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E5910E8"/>
    <w:multiLevelType w:val="multilevel"/>
    <w:tmpl w:val="B518D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FD34E20"/>
    <w:multiLevelType w:val="hybridMultilevel"/>
    <w:tmpl w:val="8E2E027E"/>
    <w:lvl w:ilvl="0" w:tplc="4EC4423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197791C"/>
    <w:multiLevelType w:val="hybridMultilevel"/>
    <w:tmpl w:val="E434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4327077"/>
    <w:multiLevelType w:val="hybridMultilevel"/>
    <w:tmpl w:val="AF560F62"/>
    <w:lvl w:ilvl="0" w:tplc="67CC677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15906724"/>
    <w:multiLevelType w:val="multilevel"/>
    <w:tmpl w:val="5FFA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71113A7"/>
    <w:multiLevelType w:val="multilevel"/>
    <w:tmpl w:val="48241D10"/>
    <w:numStyleLink w:val="Normallist"/>
  </w:abstractNum>
  <w:abstractNum w:abstractNumId="31" w15:restartNumberingAfterBreak="0">
    <w:nsid w:val="173C0618"/>
    <w:multiLevelType w:val="hybridMultilevel"/>
    <w:tmpl w:val="0330A942"/>
    <w:lvl w:ilvl="0" w:tplc="67CC677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17943123"/>
    <w:multiLevelType w:val="hybridMultilevel"/>
    <w:tmpl w:val="708C15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7C054F4"/>
    <w:multiLevelType w:val="multilevel"/>
    <w:tmpl w:val="B4F6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7FF3624"/>
    <w:multiLevelType w:val="hybridMultilevel"/>
    <w:tmpl w:val="7D8252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C4409F"/>
    <w:multiLevelType w:val="hybridMultilevel"/>
    <w:tmpl w:val="BEEA97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9602200"/>
    <w:multiLevelType w:val="hybridMultilevel"/>
    <w:tmpl w:val="772C64AC"/>
    <w:numStyleLink w:val="Importovanstyl6"/>
  </w:abstractNum>
  <w:abstractNum w:abstractNumId="37" w15:restartNumberingAfterBreak="0">
    <w:nsid w:val="196D3060"/>
    <w:multiLevelType w:val="multilevel"/>
    <w:tmpl w:val="066237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19E87E57"/>
    <w:multiLevelType w:val="multilevel"/>
    <w:tmpl w:val="2E9C7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AD62906"/>
    <w:multiLevelType w:val="multilevel"/>
    <w:tmpl w:val="F218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AEE51CD"/>
    <w:multiLevelType w:val="hybridMultilevel"/>
    <w:tmpl w:val="BEBCC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B315FD1"/>
    <w:multiLevelType w:val="multilevel"/>
    <w:tmpl w:val="30CE9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BEF490D"/>
    <w:multiLevelType w:val="multilevel"/>
    <w:tmpl w:val="7948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59490F"/>
    <w:multiLevelType w:val="hybridMultilevel"/>
    <w:tmpl w:val="2E24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C7F6B0E"/>
    <w:multiLevelType w:val="multilevel"/>
    <w:tmpl w:val="8924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9D4009"/>
    <w:multiLevelType w:val="multilevel"/>
    <w:tmpl w:val="9C82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DBB3C30"/>
    <w:multiLevelType w:val="hybridMultilevel"/>
    <w:tmpl w:val="63682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DC3716D"/>
    <w:multiLevelType w:val="multilevel"/>
    <w:tmpl w:val="53BE0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DFE5114"/>
    <w:multiLevelType w:val="multilevel"/>
    <w:tmpl w:val="7D42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E196B92"/>
    <w:multiLevelType w:val="hybridMultilevel"/>
    <w:tmpl w:val="379602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E9C7738"/>
    <w:multiLevelType w:val="hybridMultilevel"/>
    <w:tmpl w:val="43AED22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1F0A0657"/>
    <w:multiLevelType w:val="multilevel"/>
    <w:tmpl w:val="AB94B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F9F3C63"/>
    <w:multiLevelType w:val="multilevel"/>
    <w:tmpl w:val="A8F2E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FBF2578"/>
    <w:multiLevelType w:val="multilevel"/>
    <w:tmpl w:val="5BE4A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0A04E88"/>
    <w:multiLevelType w:val="hybridMultilevel"/>
    <w:tmpl w:val="62DE5DFC"/>
    <w:lvl w:ilvl="0" w:tplc="427E28F0">
      <w:start w:val="1"/>
      <w:numFmt w:val="decimal"/>
      <w:pStyle w:val="Tabele"/>
      <w:lvlText w:val="Tabela %1."/>
      <w:lvlJc w:val="left"/>
      <w:pPr>
        <w:ind w:left="1920" w:hanging="360"/>
      </w:pPr>
      <w:rPr>
        <w:rFonts w:ascii="Cambria" w:hAnsi="Cambria" w:cs="Times New Roman" w:hint="default"/>
        <w:b/>
        <w:i/>
        <w:color w:val="auto"/>
        <w:sz w:val="20"/>
        <w:szCs w:val="20"/>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5" w15:restartNumberingAfterBreak="0">
    <w:nsid w:val="20F80E63"/>
    <w:multiLevelType w:val="hybridMultilevel"/>
    <w:tmpl w:val="217E6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14D2D3C"/>
    <w:multiLevelType w:val="multilevel"/>
    <w:tmpl w:val="229C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C94617"/>
    <w:multiLevelType w:val="hybridMultilevel"/>
    <w:tmpl w:val="260015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8" w15:restartNumberingAfterBreak="0">
    <w:nsid w:val="21D10B74"/>
    <w:multiLevelType w:val="multilevel"/>
    <w:tmpl w:val="1654F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35C2DEB"/>
    <w:multiLevelType w:val="hybridMultilevel"/>
    <w:tmpl w:val="A6825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3D30AA9"/>
    <w:multiLevelType w:val="multilevel"/>
    <w:tmpl w:val="4B22D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4367134"/>
    <w:multiLevelType w:val="multilevel"/>
    <w:tmpl w:val="69264A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47B4262"/>
    <w:multiLevelType w:val="multilevel"/>
    <w:tmpl w:val="E6AC0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4922059"/>
    <w:multiLevelType w:val="multilevel"/>
    <w:tmpl w:val="4A147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55C0001"/>
    <w:multiLevelType w:val="hybridMultilevel"/>
    <w:tmpl w:val="C3DA3F8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55C7E92"/>
    <w:multiLevelType w:val="multilevel"/>
    <w:tmpl w:val="D9CE65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5CD749D"/>
    <w:multiLevelType w:val="multilevel"/>
    <w:tmpl w:val="17C8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5E74AD4"/>
    <w:multiLevelType w:val="multilevel"/>
    <w:tmpl w:val="C1B60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6F132F0"/>
    <w:multiLevelType w:val="hybridMultilevel"/>
    <w:tmpl w:val="D0F61C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27F636DA"/>
    <w:multiLevelType w:val="multilevel"/>
    <w:tmpl w:val="ECF4C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8197439"/>
    <w:multiLevelType w:val="multilevel"/>
    <w:tmpl w:val="21D44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BC614C"/>
    <w:multiLevelType w:val="multilevel"/>
    <w:tmpl w:val="F1620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94F7DE1"/>
    <w:multiLevelType w:val="hybridMultilevel"/>
    <w:tmpl w:val="FC32C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99504CB"/>
    <w:multiLevelType w:val="hybridMultilevel"/>
    <w:tmpl w:val="D4EE4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9BF42F0"/>
    <w:multiLevelType w:val="multilevel"/>
    <w:tmpl w:val="7786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9EB4AFF"/>
    <w:multiLevelType w:val="hybridMultilevel"/>
    <w:tmpl w:val="DB0045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ACC0AD1"/>
    <w:multiLevelType w:val="multilevel"/>
    <w:tmpl w:val="4DB8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BBE4458"/>
    <w:multiLevelType w:val="multilevel"/>
    <w:tmpl w:val="42DA2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BFA4631"/>
    <w:multiLevelType w:val="hybridMultilevel"/>
    <w:tmpl w:val="2842D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C794A7E"/>
    <w:multiLevelType w:val="multilevel"/>
    <w:tmpl w:val="2362E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0C6AF6"/>
    <w:multiLevelType w:val="multilevel"/>
    <w:tmpl w:val="74684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2D2D6580"/>
    <w:multiLevelType w:val="multilevel"/>
    <w:tmpl w:val="7CCC3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C64DC3"/>
    <w:multiLevelType w:val="multilevel"/>
    <w:tmpl w:val="0728E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E5E036E"/>
    <w:multiLevelType w:val="hybridMultilevel"/>
    <w:tmpl w:val="834A4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EAE0152"/>
    <w:multiLevelType w:val="multilevel"/>
    <w:tmpl w:val="8CDA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F405BC9"/>
    <w:multiLevelType w:val="hybridMultilevel"/>
    <w:tmpl w:val="CBDC71C4"/>
    <w:numStyleLink w:val="Importovanstyl2"/>
  </w:abstractNum>
  <w:abstractNum w:abstractNumId="86" w15:restartNumberingAfterBreak="0">
    <w:nsid w:val="2F755CD8"/>
    <w:multiLevelType w:val="hybridMultilevel"/>
    <w:tmpl w:val="81169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F77124B"/>
    <w:multiLevelType w:val="multilevel"/>
    <w:tmpl w:val="098C8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FC7111D"/>
    <w:multiLevelType w:val="hybridMultilevel"/>
    <w:tmpl w:val="78F4C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025261B"/>
    <w:multiLevelType w:val="multilevel"/>
    <w:tmpl w:val="4A76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04D2F5C"/>
    <w:multiLevelType w:val="multilevel"/>
    <w:tmpl w:val="1878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0630101"/>
    <w:multiLevelType w:val="hybridMultilevel"/>
    <w:tmpl w:val="7A0CA5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19601E0"/>
    <w:multiLevelType w:val="multilevel"/>
    <w:tmpl w:val="3C60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DD0125"/>
    <w:multiLevelType w:val="multilevel"/>
    <w:tmpl w:val="3E5A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3B60931"/>
    <w:multiLevelType w:val="multilevel"/>
    <w:tmpl w:val="926CB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3BD2832"/>
    <w:multiLevelType w:val="hybridMultilevel"/>
    <w:tmpl w:val="89FE6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3C307AB"/>
    <w:multiLevelType w:val="multilevel"/>
    <w:tmpl w:val="A75A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3D76FE9"/>
    <w:multiLevelType w:val="hybridMultilevel"/>
    <w:tmpl w:val="1D36F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4416207"/>
    <w:multiLevelType w:val="hybridMultilevel"/>
    <w:tmpl w:val="FD428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1A6963"/>
    <w:multiLevelType w:val="multilevel"/>
    <w:tmpl w:val="B1C68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5DC675B"/>
    <w:multiLevelType w:val="hybridMultilevel"/>
    <w:tmpl w:val="C3BE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6213E28"/>
    <w:multiLevelType w:val="hybridMultilevel"/>
    <w:tmpl w:val="A55EA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62E2EB6"/>
    <w:multiLevelType w:val="multilevel"/>
    <w:tmpl w:val="5ABE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69A6C62"/>
    <w:multiLevelType w:val="multilevel"/>
    <w:tmpl w:val="58E26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6F81796"/>
    <w:multiLevelType w:val="hybridMultilevel"/>
    <w:tmpl w:val="32D80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6FD354D"/>
    <w:multiLevelType w:val="multilevel"/>
    <w:tmpl w:val="345AE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72D7A19"/>
    <w:multiLevelType w:val="hybridMultilevel"/>
    <w:tmpl w:val="CC9E8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7CD6887"/>
    <w:multiLevelType w:val="hybridMultilevel"/>
    <w:tmpl w:val="7CEE1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387D5290"/>
    <w:multiLevelType w:val="hybridMultilevel"/>
    <w:tmpl w:val="5F141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9787588"/>
    <w:multiLevelType w:val="hybridMultilevel"/>
    <w:tmpl w:val="3FF28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9A526AA"/>
    <w:multiLevelType w:val="hybridMultilevel"/>
    <w:tmpl w:val="01768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9EB2651"/>
    <w:multiLevelType w:val="multilevel"/>
    <w:tmpl w:val="B20E6F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A410DDB"/>
    <w:multiLevelType w:val="hybridMultilevel"/>
    <w:tmpl w:val="073E190A"/>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3AD36834"/>
    <w:multiLevelType w:val="hybridMultilevel"/>
    <w:tmpl w:val="E3A85C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3C375005"/>
    <w:multiLevelType w:val="multilevel"/>
    <w:tmpl w:val="3C16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C45682B"/>
    <w:multiLevelType w:val="hybridMultilevel"/>
    <w:tmpl w:val="2A44B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D2034BF"/>
    <w:multiLevelType w:val="multilevel"/>
    <w:tmpl w:val="7A1E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D2C75E7"/>
    <w:multiLevelType w:val="hybridMultilevel"/>
    <w:tmpl w:val="EAA4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E132F6C"/>
    <w:multiLevelType w:val="multilevel"/>
    <w:tmpl w:val="FFC6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E613D6A"/>
    <w:multiLevelType w:val="multilevel"/>
    <w:tmpl w:val="BB90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F293E2D"/>
    <w:multiLevelType w:val="multilevel"/>
    <w:tmpl w:val="FC0A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F6F43AF"/>
    <w:multiLevelType w:val="hybridMultilevel"/>
    <w:tmpl w:val="04C09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3FA1476A"/>
    <w:multiLevelType w:val="hybridMultilevel"/>
    <w:tmpl w:val="F23A2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3FA67EB7"/>
    <w:multiLevelType w:val="multilevel"/>
    <w:tmpl w:val="48DEE870"/>
    <w:lvl w:ilvl="0">
      <w:numFmt w:val="bullet"/>
      <w:lvlText w:val="•"/>
      <w:lvlJc w:val="left"/>
      <w:pPr>
        <w:tabs>
          <w:tab w:val="num" w:pos="720"/>
        </w:tabs>
        <w:ind w:left="720" w:hanging="360"/>
      </w:pPr>
      <w:rPr>
        <w:rFonts w:ascii="Calibri" w:eastAsia="Times New Roman" w:hAnsi="Calibri" w:cs="Calibri"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0901F3B"/>
    <w:multiLevelType w:val="hybridMultilevel"/>
    <w:tmpl w:val="F5A67C20"/>
    <w:lvl w:ilvl="0" w:tplc="67CC677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11A3C02"/>
    <w:multiLevelType w:val="multilevel"/>
    <w:tmpl w:val="9980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13C6599"/>
    <w:multiLevelType w:val="hybridMultilevel"/>
    <w:tmpl w:val="BEE4C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32360FB"/>
    <w:multiLevelType w:val="multilevel"/>
    <w:tmpl w:val="B0EE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4745128"/>
    <w:multiLevelType w:val="multilevel"/>
    <w:tmpl w:val="82D4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51E6542"/>
    <w:multiLevelType w:val="multilevel"/>
    <w:tmpl w:val="AA6EC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52E4924"/>
    <w:multiLevelType w:val="hybridMultilevel"/>
    <w:tmpl w:val="6BFAF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45936974"/>
    <w:multiLevelType w:val="multilevel"/>
    <w:tmpl w:val="BAC6F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45CE3819"/>
    <w:multiLevelType w:val="multilevel"/>
    <w:tmpl w:val="C804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63D44D6"/>
    <w:multiLevelType w:val="multilevel"/>
    <w:tmpl w:val="05F6E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71362C3"/>
    <w:multiLevelType w:val="hybridMultilevel"/>
    <w:tmpl w:val="3C421586"/>
    <w:styleLink w:val="Importovanstyl5"/>
    <w:lvl w:ilvl="0" w:tplc="23BC407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6F050F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F0E9EF4">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1CB998">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8B4FAE4">
      <w:start w:val="1"/>
      <w:numFmt w:val="bullet"/>
      <w:lvlText w:val="▪"/>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6641CC0">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0822300">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783562">
      <w:start w:val="1"/>
      <w:numFmt w:val="bullet"/>
      <w:lvlText w:val="▪"/>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FCCA2EE">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5" w15:restartNumberingAfterBreak="0">
    <w:nsid w:val="47403697"/>
    <w:multiLevelType w:val="multilevel"/>
    <w:tmpl w:val="1312F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7AA7DD4"/>
    <w:multiLevelType w:val="hybridMultilevel"/>
    <w:tmpl w:val="A5401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7B701AF"/>
    <w:multiLevelType w:val="hybridMultilevel"/>
    <w:tmpl w:val="D4A8CF4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8" w15:restartNumberingAfterBreak="0">
    <w:nsid w:val="48632F7B"/>
    <w:multiLevelType w:val="multilevel"/>
    <w:tmpl w:val="7680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9E5255B"/>
    <w:multiLevelType w:val="multilevel"/>
    <w:tmpl w:val="993C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A7F1C94"/>
    <w:multiLevelType w:val="multilevel"/>
    <w:tmpl w:val="F0069C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AB4330D"/>
    <w:multiLevelType w:val="hybridMultilevel"/>
    <w:tmpl w:val="699A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4AF30D92"/>
    <w:multiLevelType w:val="multilevel"/>
    <w:tmpl w:val="55FE5B40"/>
    <w:lvl w:ilvl="0">
      <w:numFmt w:val="bullet"/>
      <w:lvlText w:val="•"/>
      <w:lvlJc w:val="left"/>
      <w:pPr>
        <w:tabs>
          <w:tab w:val="num" w:pos="720"/>
        </w:tabs>
        <w:ind w:left="720" w:hanging="360"/>
      </w:pPr>
      <w:rPr>
        <w:rFonts w:ascii="Calibri" w:eastAsia="Times New Roman" w:hAnsi="Calibri" w:cs="Calibri"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B7A56F2"/>
    <w:multiLevelType w:val="multilevel"/>
    <w:tmpl w:val="B178F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BA36A6D"/>
    <w:multiLevelType w:val="multilevel"/>
    <w:tmpl w:val="686A2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C5219CD"/>
    <w:multiLevelType w:val="hybridMultilevel"/>
    <w:tmpl w:val="0BD2EB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D3E0245"/>
    <w:multiLevelType w:val="multilevel"/>
    <w:tmpl w:val="E3F6E4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4E7B0038"/>
    <w:multiLevelType w:val="multilevel"/>
    <w:tmpl w:val="187A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F221755"/>
    <w:multiLevelType w:val="multilevel"/>
    <w:tmpl w:val="AC6E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F6B0390"/>
    <w:multiLevelType w:val="hybridMultilevel"/>
    <w:tmpl w:val="982C3A52"/>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50550984"/>
    <w:multiLevelType w:val="hybridMultilevel"/>
    <w:tmpl w:val="74FC647A"/>
    <w:styleLink w:val="Importovanstyl8"/>
    <w:lvl w:ilvl="0" w:tplc="0CA0AD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672952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AAD27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936D4A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525A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C38C40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47CF21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04D5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D6622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1" w15:restartNumberingAfterBreak="0">
    <w:nsid w:val="51EA532F"/>
    <w:multiLevelType w:val="multilevel"/>
    <w:tmpl w:val="EAA09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2235247"/>
    <w:multiLevelType w:val="hybridMultilevel"/>
    <w:tmpl w:val="694AD8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52315FEF"/>
    <w:multiLevelType w:val="hybridMultilevel"/>
    <w:tmpl w:val="BAD4E4E8"/>
    <w:lvl w:ilvl="0" w:tplc="C90A1BFE">
      <w:start w:val="1"/>
      <w:numFmt w:val="bullet"/>
      <w:lvlText w:val="o"/>
      <w:lvlJc w:val="left"/>
      <w:pPr>
        <w:ind w:left="720" w:hanging="360"/>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155" w15:restartNumberingAfterBreak="0">
    <w:nsid w:val="52CD5111"/>
    <w:multiLevelType w:val="multilevel"/>
    <w:tmpl w:val="A30234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40D31C6"/>
    <w:multiLevelType w:val="multilevel"/>
    <w:tmpl w:val="5CDAA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4132BB5"/>
    <w:multiLevelType w:val="multilevel"/>
    <w:tmpl w:val="03EEF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5429794C"/>
    <w:multiLevelType w:val="hybridMultilevel"/>
    <w:tmpl w:val="6D746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5073EEE"/>
    <w:multiLevelType w:val="hybridMultilevel"/>
    <w:tmpl w:val="19C85440"/>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0" w15:restartNumberingAfterBreak="0">
    <w:nsid w:val="55D62CF5"/>
    <w:multiLevelType w:val="multilevel"/>
    <w:tmpl w:val="E9BC7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5F31103"/>
    <w:multiLevelType w:val="multilevel"/>
    <w:tmpl w:val="AD6EE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5F72A59"/>
    <w:multiLevelType w:val="multilevel"/>
    <w:tmpl w:val="AB44D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65D7360"/>
    <w:multiLevelType w:val="hybridMultilevel"/>
    <w:tmpl w:val="F3AEE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56641565"/>
    <w:multiLevelType w:val="multilevel"/>
    <w:tmpl w:val="029C5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7825CF6"/>
    <w:multiLevelType w:val="hybridMultilevel"/>
    <w:tmpl w:val="1946F3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593E6917"/>
    <w:multiLevelType w:val="multilevel"/>
    <w:tmpl w:val="E3CA6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94A3013"/>
    <w:multiLevelType w:val="hybridMultilevel"/>
    <w:tmpl w:val="E6F8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59B074C9"/>
    <w:multiLevelType w:val="multilevel"/>
    <w:tmpl w:val="6466FD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9" w15:restartNumberingAfterBreak="0">
    <w:nsid w:val="59E43BCB"/>
    <w:multiLevelType w:val="hybridMultilevel"/>
    <w:tmpl w:val="38E4D6A6"/>
    <w:styleLink w:val="Importovanstyl3"/>
    <w:lvl w:ilvl="0" w:tplc="39CA8864">
      <w:start w:val="1"/>
      <w:numFmt w:val="bullet"/>
      <w:lvlText w:val="o"/>
      <w:lvlJc w:val="left"/>
      <w:pPr>
        <w:ind w:left="753" w:hanging="39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F04498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08E672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A729A6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7C4ECB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42AD50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2087BE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332C81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AACABC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0" w15:restartNumberingAfterBreak="0">
    <w:nsid w:val="59FA20DC"/>
    <w:multiLevelType w:val="multilevel"/>
    <w:tmpl w:val="7452E2D2"/>
    <w:lvl w:ilvl="0">
      <w:start w:val="1"/>
      <w:numFmt w:val="decimal"/>
      <w:pStyle w:val="Pedja1"/>
      <w:lvlText w:val="%1."/>
      <w:lvlJc w:val="left"/>
      <w:pPr>
        <w:ind w:left="2520" w:hanging="360"/>
      </w:pPr>
      <w:rPr>
        <w:rFonts w:cs="Times New Roman" w:hint="default"/>
        <w:b/>
      </w:rPr>
    </w:lvl>
    <w:lvl w:ilvl="1">
      <w:start w:val="1"/>
      <w:numFmt w:val="decimal"/>
      <w:pStyle w:val="Pedja2"/>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1" w15:restartNumberingAfterBreak="0">
    <w:nsid w:val="5A0C3C4B"/>
    <w:multiLevelType w:val="multilevel"/>
    <w:tmpl w:val="60B67D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A274547"/>
    <w:multiLevelType w:val="hybridMultilevel"/>
    <w:tmpl w:val="BD6A25B0"/>
    <w:lvl w:ilvl="0" w:tplc="04090001">
      <w:start w:val="1"/>
      <w:numFmt w:val="bullet"/>
      <w:lvlText w:val=""/>
      <w:lvlJc w:val="left"/>
      <w:pPr>
        <w:ind w:left="720" w:hanging="360"/>
      </w:pPr>
      <w:rPr>
        <w:rFonts w:ascii="Symbol" w:hAnsi="Symbol" w:hint="default"/>
      </w:rPr>
    </w:lvl>
    <w:lvl w:ilvl="1" w:tplc="36DA9EEC">
      <w:start w:val="5"/>
      <w:numFmt w:val="bullet"/>
      <w:lvlText w:val="•"/>
      <w:lvlJc w:val="left"/>
      <w:pPr>
        <w:ind w:left="1440" w:hanging="360"/>
      </w:pPr>
      <w:rPr>
        <w:rFonts w:ascii="Calibri" w:eastAsiaTheme="minorHAnsi" w:hAnsi="Calibri" w:cs="Calibri"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5B290361"/>
    <w:multiLevelType w:val="multilevel"/>
    <w:tmpl w:val="80024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B2C0098"/>
    <w:multiLevelType w:val="hybridMultilevel"/>
    <w:tmpl w:val="E078E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5C3E7A97"/>
    <w:multiLevelType w:val="multilevel"/>
    <w:tmpl w:val="245EB660"/>
    <w:lvl w:ilvl="0">
      <w:start w:val="1"/>
      <w:numFmt w:val="decimal"/>
      <w:pStyle w:val="Heading1"/>
      <w:lvlText w:val="%1."/>
      <w:lvlJc w:val="left"/>
      <w:pPr>
        <w:ind w:left="45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6" w15:restartNumberingAfterBreak="0">
    <w:nsid w:val="5C707374"/>
    <w:multiLevelType w:val="multilevel"/>
    <w:tmpl w:val="EB943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CAD32D2"/>
    <w:multiLevelType w:val="hybridMultilevel"/>
    <w:tmpl w:val="3062AEC2"/>
    <w:lvl w:ilvl="0" w:tplc="846EE0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8" w15:restartNumberingAfterBreak="0">
    <w:nsid w:val="5D106AE7"/>
    <w:multiLevelType w:val="multilevel"/>
    <w:tmpl w:val="F8D46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D8C0D16"/>
    <w:multiLevelType w:val="multilevel"/>
    <w:tmpl w:val="5F8AB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E45596B"/>
    <w:multiLevelType w:val="multilevel"/>
    <w:tmpl w:val="3ADC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EA94D95"/>
    <w:multiLevelType w:val="hybridMultilevel"/>
    <w:tmpl w:val="2FF089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5F6453E0"/>
    <w:multiLevelType w:val="multilevel"/>
    <w:tmpl w:val="11E256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F824AE9"/>
    <w:multiLevelType w:val="multilevel"/>
    <w:tmpl w:val="2FE0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10A0B35"/>
    <w:multiLevelType w:val="hybridMultilevel"/>
    <w:tmpl w:val="4DBCB14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5" w15:restartNumberingAfterBreak="0">
    <w:nsid w:val="621A3C05"/>
    <w:multiLevelType w:val="multilevel"/>
    <w:tmpl w:val="B0F4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25A5653"/>
    <w:multiLevelType w:val="multilevel"/>
    <w:tmpl w:val="E2EE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2785A2E"/>
    <w:multiLevelType w:val="multilevel"/>
    <w:tmpl w:val="9D52F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27B4C39"/>
    <w:multiLevelType w:val="multilevel"/>
    <w:tmpl w:val="EAFC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27E4E34"/>
    <w:multiLevelType w:val="hybridMultilevel"/>
    <w:tmpl w:val="A7888174"/>
    <w:lvl w:ilvl="0" w:tplc="0409000F">
      <w:start w:val="1"/>
      <w:numFmt w:val="decimal"/>
      <w:lvlText w:val="%1."/>
      <w:lvlJc w:val="left"/>
      <w:pPr>
        <w:ind w:left="1440" w:hanging="360"/>
      </w:pPr>
    </w:lvl>
    <w:lvl w:ilvl="1" w:tplc="1166CE1A">
      <w:numFmt w:val="bullet"/>
      <w:lvlText w:val="•"/>
      <w:lvlJc w:val="left"/>
      <w:pPr>
        <w:ind w:left="2520" w:hanging="720"/>
      </w:pPr>
      <w:rPr>
        <w:rFonts w:ascii="Times New Roman" w:eastAsia="Times New Roman" w:hAnsi="Times New Roman" w:cs="Times New Roman"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0" w15:restartNumberingAfterBreak="0">
    <w:nsid w:val="62E6633D"/>
    <w:multiLevelType w:val="multilevel"/>
    <w:tmpl w:val="B9BC0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38C2BDE"/>
    <w:multiLevelType w:val="hybridMultilevel"/>
    <w:tmpl w:val="20444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641410BC"/>
    <w:multiLevelType w:val="hybridMultilevel"/>
    <w:tmpl w:val="7F4A9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64821FF3"/>
    <w:multiLevelType w:val="hybridMultilevel"/>
    <w:tmpl w:val="CBDC71C4"/>
    <w:styleLink w:val="Importovanstyl2"/>
    <w:lvl w:ilvl="0" w:tplc="DE76EAB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7EE972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0DA0C3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840F69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6703A8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23C905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C5A86D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468C2C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ED256F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4" w15:restartNumberingAfterBreak="0">
    <w:nsid w:val="65FC452C"/>
    <w:multiLevelType w:val="hybridMultilevel"/>
    <w:tmpl w:val="4DAC2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663D6E19"/>
    <w:multiLevelType w:val="hybridMultilevel"/>
    <w:tmpl w:val="25E8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675D340F"/>
    <w:multiLevelType w:val="hybridMultilevel"/>
    <w:tmpl w:val="FF68E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67FD166D"/>
    <w:multiLevelType w:val="hybridMultilevel"/>
    <w:tmpl w:val="3C421586"/>
    <w:numStyleLink w:val="Importovanstyl5"/>
  </w:abstractNum>
  <w:abstractNum w:abstractNumId="198" w15:restartNumberingAfterBreak="0">
    <w:nsid w:val="69CB6E32"/>
    <w:multiLevelType w:val="multilevel"/>
    <w:tmpl w:val="A36A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A423358"/>
    <w:multiLevelType w:val="multilevel"/>
    <w:tmpl w:val="ED906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B16688E"/>
    <w:multiLevelType w:val="hybridMultilevel"/>
    <w:tmpl w:val="90E07A4A"/>
    <w:lvl w:ilvl="0" w:tplc="AD68EC0E">
      <w:start w:val="1"/>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6CC8163E"/>
    <w:multiLevelType w:val="multilevel"/>
    <w:tmpl w:val="F55C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CF6583C"/>
    <w:multiLevelType w:val="hybridMultilevel"/>
    <w:tmpl w:val="653286D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6D0352F5"/>
    <w:multiLevelType w:val="hybridMultilevel"/>
    <w:tmpl w:val="74FC647A"/>
    <w:numStyleLink w:val="Importovanstyl8"/>
  </w:abstractNum>
  <w:abstractNum w:abstractNumId="204" w15:restartNumberingAfterBreak="0">
    <w:nsid w:val="6D202E6A"/>
    <w:multiLevelType w:val="multilevel"/>
    <w:tmpl w:val="BC36D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D2B67BE"/>
    <w:multiLevelType w:val="multilevel"/>
    <w:tmpl w:val="48DEE870"/>
    <w:lvl w:ilvl="0">
      <w:numFmt w:val="bullet"/>
      <w:lvlText w:val="•"/>
      <w:lvlJc w:val="left"/>
      <w:pPr>
        <w:tabs>
          <w:tab w:val="num" w:pos="720"/>
        </w:tabs>
        <w:ind w:left="720" w:hanging="360"/>
      </w:pPr>
      <w:rPr>
        <w:rFonts w:ascii="Calibri" w:eastAsia="Times New Roman" w:hAnsi="Calibri" w:cs="Calibri"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6D41332C"/>
    <w:multiLevelType w:val="hybridMultilevel"/>
    <w:tmpl w:val="A3CE8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6D7620EE"/>
    <w:multiLevelType w:val="hybridMultilevel"/>
    <w:tmpl w:val="0AA4A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6DF470D5"/>
    <w:multiLevelType w:val="hybridMultilevel"/>
    <w:tmpl w:val="765E8DDA"/>
    <w:lvl w:ilvl="0" w:tplc="4FDADB94">
      <w:start w:val="1"/>
      <w:numFmt w:val="decimal"/>
      <w:pStyle w:val="Aneksi"/>
      <w:lvlText w:val="Aneks %1"/>
      <w:lvlJc w:val="left"/>
      <w:pPr>
        <w:tabs>
          <w:tab w:val="num" w:pos="1985"/>
        </w:tabs>
        <w:ind w:left="1985" w:hanging="1985"/>
      </w:pPr>
      <w:rPr>
        <w:rFonts w:ascii="Verdana" w:hAnsi="Verdana" w:cs="Times New Roman" w:hint="default"/>
        <w:b/>
        <w:i w:val="0"/>
        <w:sz w:val="28"/>
        <w:szCs w:val="2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9" w15:restartNumberingAfterBreak="0">
    <w:nsid w:val="6FBD6377"/>
    <w:multiLevelType w:val="hybridMultilevel"/>
    <w:tmpl w:val="51C69CAC"/>
    <w:styleLink w:val="Importovanstyl4"/>
    <w:lvl w:ilvl="0" w:tplc="1D92BFF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0CA24FE">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DE61E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ADC368A">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C04CCC8">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DE8EE1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3820F8C">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C61CCA">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7FEE466">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0" w15:restartNumberingAfterBreak="0">
    <w:nsid w:val="70123142"/>
    <w:multiLevelType w:val="hybridMultilevel"/>
    <w:tmpl w:val="BA0607D0"/>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1E538DE"/>
    <w:multiLevelType w:val="hybridMultilevel"/>
    <w:tmpl w:val="51C69CAC"/>
    <w:numStyleLink w:val="Importovanstyl4"/>
  </w:abstractNum>
  <w:abstractNum w:abstractNumId="212" w15:restartNumberingAfterBreak="0">
    <w:nsid w:val="755E6A36"/>
    <w:multiLevelType w:val="multilevel"/>
    <w:tmpl w:val="60B67D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5DC46B4"/>
    <w:multiLevelType w:val="hybridMultilevel"/>
    <w:tmpl w:val="38E4D6A6"/>
    <w:numStyleLink w:val="Importovanstyl3"/>
  </w:abstractNum>
  <w:abstractNum w:abstractNumId="214" w15:restartNumberingAfterBreak="0">
    <w:nsid w:val="75EF34E9"/>
    <w:multiLevelType w:val="hybridMultilevel"/>
    <w:tmpl w:val="811693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76590869"/>
    <w:multiLevelType w:val="multilevel"/>
    <w:tmpl w:val="CFB4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6AA2D7C"/>
    <w:multiLevelType w:val="multilevel"/>
    <w:tmpl w:val="52808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6F27457"/>
    <w:multiLevelType w:val="multilevel"/>
    <w:tmpl w:val="D78CD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752626E"/>
    <w:multiLevelType w:val="multilevel"/>
    <w:tmpl w:val="AD8C7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8A06AD9"/>
    <w:multiLevelType w:val="multilevel"/>
    <w:tmpl w:val="85E2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9B44741"/>
    <w:multiLevelType w:val="multilevel"/>
    <w:tmpl w:val="A9B2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9E34AEA"/>
    <w:multiLevelType w:val="multilevel"/>
    <w:tmpl w:val="6CB03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9EE6D2D"/>
    <w:multiLevelType w:val="multilevel"/>
    <w:tmpl w:val="FCA61A94"/>
    <w:lvl w:ilvl="0">
      <w:start w:val="2"/>
      <w:numFmt w:val="decimal"/>
      <w:lvlText w:val="%1"/>
      <w:lvlJc w:val="left"/>
      <w:pPr>
        <w:tabs>
          <w:tab w:val="num" w:pos="360"/>
        </w:tabs>
        <w:ind w:left="360" w:hanging="360"/>
      </w:pPr>
      <w:rPr>
        <w:rFonts w:cs="Times New Roman" w:hint="default"/>
      </w:rPr>
    </w:lvl>
    <w:lvl w:ilvl="1">
      <w:start w:val="1"/>
      <w:numFmt w:val="decimal"/>
      <w:pStyle w:val="Stil1"/>
      <w:lvlText w:val="%1.%2"/>
      <w:lvlJc w:val="left"/>
      <w:pPr>
        <w:tabs>
          <w:tab w:val="num" w:pos="720"/>
        </w:tabs>
        <w:ind w:left="720" w:hanging="720"/>
      </w:pPr>
      <w:rPr>
        <w:rFonts w:ascii="Lucida Sans" w:hAnsi="Lucida Sans"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3" w15:restartNumberingAfterBreak="0">
    <w:nsid w:val="79F44B41"/>
    <w:multiLevelType w:val="hybridMultilevel"/>
    <w:tmpl w:val="A754E6A2"/>
    <w:lvl w:ilvl="0" w:tplc="26D62A1A">
      <w:start w:val="3"/>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79FA47CE"/>
    <w:multiLevelType w:val="hybridMultilevel"/>
    <w:tmpl w:val="DAEC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7A573497"/>
    <w:multiLevelType w:val="multilevel"/>
    <w:tmpl w:val="692C5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A9E61FE"/>
    <w:multiLevelType w:val="multilevel"/>
    <w:tmpl w:val="2D2C6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7ACA6F77"/>
    <w:multiLevelType w:val="hybridMultilevel"/>
    <w:tmpl w:val="FF587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8" w15:restartNumberingAfterBreak="0">
    <w:nsid w:val="7ACB1A70"/>
    <w:multiLevelType w:val="multilevel"/>
    <w:tmpl w:val="FE5E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BD72B3F"/>
    <w:multiLevelType w:val="hybridMultilevel"/>
    <w:tmpl w:val="19066842"/>
    <w:lvl w:ilvl="0" w:tplc="5AA6FD60">
      <w:start w:val="1"/>
      <w:numFmt w:val="decimal"/>
      <w:pStyle w:val="Grafikon"/>
      <w:lvlText w:val="Grafikon %1."/>
      <w:lvlJc w:val="left"/>
      <w:pPr>
        <w:ind w:left="360" w:hanging="360"/>
      </w:pPr>
      <w:rPr>
        <w:rFonts w:ascii="Calibri" w:hAnsi="Calibri" w:cs="Times New Roman" w:hint="default"/>
        <w:b/>
        <w:i/>
        <w:color w:val="000000" w:themeColor="text1"/>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0" w15:restartNumberingAfterBreak="0">
    <w:nsid w:val="7C3A135A"/>
    <w:multiLevelType w:val="hybridMultilevel"/>
    <w:tmpl w:val="19D8C3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7CF51BBA"/>
    <w:multiLevelType w:val="hybridMultilevel"/>
    <w:tmpl w:val="D3447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2" w15:restartNumberingAfterBreak="0">
    <w:nsid w:val="7DC42C73"/>
    <w:multiLevelType w:val="multilevel"/>
    <w:tmpl w:val="FF14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E4145A6"/>
    <w:multiLevelType w:val="hybridMultilevel"/>
    <w:tmpl w:val="3FF288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7E901D50"/>
    <w:multiLevelType w:val="hybridMultilevel"/>
    <w:tmpl w:val="59A45E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15:restartNumberingAfterBreak="0">
    <w:nsid w:val="7EC3522A"/>
    <w:multiLevelType w:val="hybridMultilevel"/>
    <w:tmpl w:val="B3DC7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7F8739D8"/>
    <w:multiLevelType w:val="multilevel"/>
    <w:tmpl w:val="AB08D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7FC759B7"/>
    <w:multiLevelType w:val="hybridMultilevel"/>
    <w:tmpl w:val="0144E9AA"/>
    <w:lvl w:ilvl="0" w:tplc="67CC677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7"/>
  </w:num>
  <w:num w:numId="2">
    <w:abstractNumId w:val="176"/>
  </w:num>
  <w:num w:numId="3">
    <w:abstractNumId w:val="11"/>
  </w:num>
  <w:num w:numId="4">
    <w:abstractNumId w:val="120"/>
  </w:num>
  <w:num w:numId="5">
    <w:abstractNumId w:val="152"/>
  </w:num>
  <w:num w:numId="6">
    <w:abstractNumId w:val="15"/>
  </w:num>
  <w:num w:numId="7">
    <w:abstractNumId w:val="234"/>
  </w:num>
  <w:num w:numId="8">
    <w:abstractNumId w:val="32"/>
  </w:num>
  <w:num w:numId="9">
    <w:abstractNumId w:val="191"/>
  </w:num>
  <w:num w:numId="10">
    <w:abstractNumId w:val="49"/>
  </w:num>
  <w:num w:numId="11">
    <w:abstractNumId w:val="34"/>
  </w:num>
  <w:num w:numId="12">
    <w:abstractNumId w:val="21"/>
  </w:num>
  <w:num w:numId="13">
    <w:abstractNumId w:val="93"/>
  </w:num>
  <w:num w:numId="14">
    <w:abstractNumId w:val="198"/>
  </w:num>
  <w:num w:numId="15">
    <w:abstractNumId w:val="42"/>
  </w:num>
  <w:num w:numId="16">
    <w:abstractNumId w:val="154"/>
  </w:num>
  <w:num w:numId="17">
    <w:abstractNumId w:val="30"/>
  </w:num>
  <w:num w:numId="18">
    <w:abstractNumId w:val="10"/>
  </w:num>
  <w:num w:numId="19">
    <w:abstractNumId w:val="222"/>
  </w:num>
  <w:num w:numId="20">
    <w:abstractNumId w:val="231"/>
  </w:num>
  <w:num w:numId="21">
    <w:abstractNumId w:val="101"/>
  </w:num>
  <w:num w:numId="22">
    <w:abstractNumId w:val="61"/>
  </w:num>
  <w:num w:numId="23">
    <w:abstractNumId w:val="73"/>
  </w:num>
  <w:num w:numId="24">
    <w:abstractNumId w:val="4"/>
  </w:num>
  <w:num w:numId="25">
    <w:abstractNumId w:val="208"/>
  </w:num>
  <w:num w:numId="26">
    <w:abstractNumId w:val="54"/>
  </w:num>
  <w:num w:numId="27">
    <w:abstractNumId w:val="229"/>
  </w:num>
  <w:num w:numId="28">
    <w:abstractNumId w:val="194"/>
  </w:num>
  <w:num w:numId="29">
    <w:abstractNumId w:val="210"/>
  </w:num>
  <w:num w:numId="30">
    <w:abstractNumId w:val="136"/>
  </w:num>
  <w:num w:numId="31">
    <w:abstractNumId w:val="163"/>
  </w:num>
  <w:num w:numId="32">
    <w:abstractNumId w:val="200"/>
  </w:num>
  <w:num w:numId="33">
    <w:abstractNumId w:val="223"/>
  </w:num>
  <w:num w:numId="34">
    <w:abstractNumId w:val="177"/>
  </w:num>
  <w:num w:numId="35">
    <w:abstractNumId w:val="170"/>
  </w:num>
  <w:num w:numId="36">
    <w:abstractNumId w:val="81"/>
  </w:num>
  <w:num w:numId="37">
    <w:abstractNumId w:val="131"/>
  </w:num>
  <w:num w:numId="38">
    <w:abstractNumId w:val="82"/>
  </w:num>
  <w:num w:numId="39">
    <w:abstractNumId w:val="5"/>
  </w:num>
  <w:num w:numId="40">
    <w:abstractNumId w:val="186"/>
  </w:num>
  <w:num w:numId="41">
    <w:abstractNumId w:val="96"/>
  </w:num>
  <w:num w:numId="42">
    <w:abstractNumId w:val="48"/>
  </w:num>
  <w:num w:numId="43">
    <w:abstractNumId w:val="139"/>
  </w:num>
  <w:num w:numId="44">
    <w:abstractNumId w:val="89"/>
  </w:num>
  <w:num w:numId="45">
    <w:abstractNumId w:val="69"/>
  </w:num>
  <w:num w:numId="46">
    <w:abstractNumId w:val="138"/>
  </w:num>
  <w:num w:numId="47">
    <w:abstractNumId w:val="157"/>
  </w:num>
  <w:num w:numId="48">
    <w:abstractNumId w:val="114"/>
  </w:num>
  <w:num w:numId="49">
    <w:abstractNumId w:val="94"/>
  </w:num>
  <w:num w:numId="50">
    <w:abstractNumId w:val="132"/>
  </w:num>
  <w:num w:numId="51">
    <w:abstractNumId w:val="206"/>
  </w:num>
  <w:num w:numId="52">
    <w:abstractNumId w:val="27"/>
  </w:num>
  <w:num w:numId="53">
    <w:abstractNumId w:val="7"/>
  </w:num>
  <w:num w:numId="54">
    <w:abstractNumId w:val="43"/>
  </w:num>
  <w:num w:numId="55">
    <w:abstractNumId w:val="126"/>
  </w:num>
  <w:num w:numId="56">
    <w:abstractNumId w:val="189"/>
  </w:num>
  <w:num w:numId="57">
    <w:abstractNumId w:val="228"/>
  </w:num>
  <w:num w:numId="58">
    <w:abstractNumId w:val="0"/>
  </w:num>
  <w:num w:numId="59">
    <w:abstractNumId w:val="74"/>
  </w:num>
  <w:num w:numId="60">
    <w:abstractNumId w:val="188"/>
  </w:num>
  <w:num w:numId="61">
    <w:abstractNumId w:val="29"/>
  </w:num>
  <w:num w:numId="62">
    <w:abstractNumId w:val="149"/>
  </w:num>
  <w:num w:numId="63">
    <w:abstractNumId w:val="35"/>
  </w:num>
  <w:num w:numId="64">
    <w:abstractNumId w:val="40"/>
  </w:num>
  <w:num w:numId="65">
    <w:abstractNumId w:val="68"/>
  </w:num>
  <w:num w:numId="66">
    <w:abstractNumId w:val="107"/>
  </w:num>
  <w:num w:numId="67">
    <w:abstractNumId w:val="180"/>
  </w:num>
  <w:num w:numId="68">
    <w:abstractNumId w:val="84"/>
  </w:num>
  <w:num w:numId="69">
    <w:abstractNumId w:val="1"/>
  </w:num>
  <w:num w:numId="70">
    <w:abstractNumId w:val="220"/>
  </w:num>
  <w:num w:numId="71">
    <w:abstractNumId w:val="18"/>
  </w:num>
  <w:num w:numId="72">
    <w:abstractNumId w:val="64"/>
  </w:num>
  <w:num w:numId="73">
    <w:abstractNumId w:val="90"/>
  </w:num>
  <w:num w:numId="74">
    <w:abstractNumId w:val="62"/>
  </w:num>
  <w:num w:numId="75">
    <w:abstractNumId w:val="232"/>
  </w:num>
  <w:num w:numId="76">
    <w:abstractNumId w:val="44"/>
  </w:num>
  <w:num w:numId="77">
    <w:abstractNumId w:val="38"/>
  </w:num>
  <w:num w:numId="78">
    <w:abstractNumId w:val="80"/>
  </w:num>
  <w:num w:numId="79">
    <w:abstractNumId w:val="116"/>
  </w:num>
  <w:num w:numId="80">
    <w:abstractNumId w:val="179"/>
  </w:num>
  <w:num w:numId="81">
    <w:abstractNumId w:val="125"/>
  </w:num>
  <w:num w:numId="82">
    <w:abstractNumId w:val="135"/>
  </w:num>
  <w:num w:numId="83">
    <w:abstractNumId w:val="6"/>
  </w:num>
  <w:num w:numId="84">
    <w:abstractNumId w:val="119"/>
  </w:num>
  <w:num w:numId="85">
    <w:abstractNumId w:val="92"/>
  </w:num>
  <w:num w:numId="86">
    <w:abstractNumId w:val="102"/>
  </w:num>
  <w:num w:numId="87">
    <w:abstractNumId w:val="193"/>
  </w:num>
  <w:num w:numId="88">
    <w:abstractNumId w:val="85"/>
  </w:num>
  <w:num w:numId="89">
    <w:abstractNumId w:val="169"/>
  </w:num>
  <w:num w:numId="90">
    <w:abstractNumId w:val="213"/>
  </w:num>
  <w:num w:numId="91">
    <w:abstractNumId w:val="209"/>
  </w:num>
  <w:num w:numId="92">
    <w:abstractNumId w:val="211"/>
  </w:num>
  <w:num w:numId="93">
    <w:abstractNumId w:val="134"/>
  </w:num>
  <w:num w:numId="94">
    <w:abstractNumId w:val="197"/>
  </w:num>
  <w:num w:numId="95">
    <w:abstractNumId w:val="2"/>
  </w:num>
  <w:num w:numId="96">
    <w:abstractNumId w:val="36"/>
  </w:num>
  <w:num w:numId="97">
    <w:abstractNumId w:val="150"/>
  </w:num>
  <w:num w:numId="98">
    <w:abstractNumId w:val="203"/>
  </w:num>
  <w:num w:numId="99">
    <w:abstractNumId w:val="52"/>
  </w:num>
  <w:num w:numId="100">
    <w:abstractNumId w:val="47"/>
  </w:num>
  <w:num w:numId="101">
    <w:abstractNumId w:val="33"/>
  </w:num>
  <w:num w:numId="102">
    <w:abstractNumId w:val="118"/>
  </w:num>
  <w:num w:numId="103">
    <w:abstractNumId w:val="127"/>
  </w:num>
  <w:num w:numId="104">
    <w:abstractNumId w:val="148"/>
  </w:num>
  <w:num w:numId="105">
    <w:abstractNumId w:val="22"/>
  </w:num>
  <w:num w:numId="106">
    <w:abstractNumId w:val="153"/>
  </w:num>
  <w:num w:numId="107">
    <w:abstractNumId w:val="219"/>
  </w:num>
  <w:num w:numId="108">
    <w:abstractNumId w:val="39"/>
  </w:num>
  <w:num w:numId="109">
    <w:abstractNumId w:val="145"/>
  </w:num>
  <w:num w:numId="110">
    <w:abstractNumId w:val="91"/>
  </w:num>
  <w:num w:numId="111">
    <w:abstractNumId w:val="75"/>
  </w:num>
  <w:num w:numId="112">
    <w:abstractNumId w:val="113"/>
  </w:num>
  <w:num w:numId="113">
    <w:abstractNumId w:val="230"/>
  </w:num>
  <w:num w:numId="114">
    <w:abstractNumId w:val="3"/>
  </w:num>
  <w:num w:numId="115">
    <w:abstractNumId w:val="124"/>
  </w:num>
  <w:num w:numId="116">
    <w:abstractNumId w:val="121"/>
  </w:num>
  <w:num w:numId="117">
    <w:abstractNumId w:val="237"/>
  </w:num>
  <w:num w:numId="118">
    <w:abstractNumId w:val="28"/>
  </w:num>
  <w:num w:numId="119">
    <w:abstractNumId w:val="31"/>
  </w:num>
  <w:num w:numId="120">
    <w:abstractNumId w:val="111"/>
  </w:num>
  <w:num w:numId="121">
    <w:abstractNumId w:val="205"/>
  </w:num>
  <w:num w:numId="122">
    <w:abstractNumId w:val="142"/>
  </w:num>
  <w:num w:numId="123">
    <w:abstractNumId w:val="123"/>
  </w:num>
  <w:num w:numId="124">
    <w:abstractNumId w:val="26"/>
  </w:num>
  <w:num w:numId="125">
    <w:abstractNumId w:val="50"/>
  </w:num>
  <w:num w:numId="126">
    <w:abstractNumId w:val="16"/>
  </w:num>
  <w:num w:numId="127">
    <w:abstractNumId w:val="207"/>
  </w:num>
  <w:num w:numId="128">
    <w:abstractNumId w:val="196"/>
  </w:num>
  <w:num w:numId="129">
    <w:abstractNumId w:val="95"/>
  </w:num>
  <w:num w:numId="130">
    <w:abstractNumId w:val="159"/>
  </w:num>
  <w:num w:numId="131">
    <w:abstractNumId w:val="172"/>
  </w:num>
  <w:num w:numId="132">
    <w:abstractNumId w:val="167"/>
  </w:num>
  <w:num w:numId="133">
    <w:abstractNumId w:val="192"/>
  </w:num>
  <w:num w:numId="134">
    <w:abstractNumId w:val="112"/>
  </w:num>
  <w:num w:numId="135">
    <w:abstractNumId w:val="183"/>
  </w:num>
  <w:num w:numId="136">
    <w:abstractNumId w:val="158"/>
  </w:num>
  <w:num w:numId="137">
    <w:abstractNumId w:val="165"/>
  </w:num>
  <w:num w:numId="138">
    <w:abstractNumId w:val="83"/>
  </w:num>
  <w:num w:numId="139">
    <w:abstractNumId w:val="108"/>
  </w:num>
  <w:num w:numId="140">
    <w:abstractNumId w:val="174"/>
  </w:num>
  <w:num w:numId="141">
    <w:abstractNumId w:val="23"/>
  </w:num>
  <w:num w:numId="142">
    <w:abstractNumId w:val="117"/>
  </w:num>
  <w:num w:numId="143">
    <w:abstractNumId w:val="115"/>
  </w:num>
  <w:num w:numId="144">
    <w:abstractNumId w:val="181"/>
  </w:num>
  <w:num w:numId="145">
    <w:abstractNumId w:val="106"/>
  </w:num>
  <w:num w:numId="146">
    <w:abstractNumId w:val="100"/>
  </w:num>
  <w:num w:numId="147">
    <w:abstractNumId w:val="72"/>
  </w:num>
  <w:num w:numId="148">
    <w:abstractNumId w:val="88"/>
  </w:num>
  <w:num w:numId="149">
    <w:abstractNumId w:val="141"/>
  </w:num>
  <w:num w:numId="150">
    <w:abstractNumId w:val="202"/>
  </w:num>
  <w:num w:numId="151">
    <w:abstractNumId w:val="78"/>
  </w:num>
  <w:num w:numId="152">
    <w:abstractNumId w:val="109"/>
  </w:num>
  <w:num w:numId="153">
    <w:abstractNumId w:val="235"/>
  </w:num>
  <w:num w:numId="154">
    <w:abstractNumId w:val="233"/>
  </w:num>
  <w:num w:numId="155">
    <w:abstractNumId w:val="86"/>
  </w:num>
  <w:num w:numId="156">
    <w:abstractNumId w:val="195"/>
  </w:num>
  <w:num w:numId="157">
    <w:abstractNumId w:val="55"/>
  </w:num>
  <w:num w:numId="158">
    <w:abstractNumId w:val="97"/>
  </w:num>
  <w:num w:numId="159">
    <w:abstractNumId w:val="59"/>
  </w:num>
  <w:num w:numId="160">
    <w:abstractNumId w:val="214"/>
  </w:num>
  <w:num w:numId="161">
    <w:abstractNumId w:val="46"/>
  </w:num>
  <w:num w:numId="162">
    <w:abstractNumId w:val="24"/>
  </w:num>
  <w:num w:numId="163">
    <w:abstractNumId w:val="104"/>
  </w:num>
  <w:num w:numId="164">
    <w:abstractNumId w:val="224"/>
  </w:num>
  <w:num w:numId="165">
    <w:abstractNumId w:val="98"/>
  </w:num>
  <w:num w:numId="166">
    <w:abstractNumId w:val="122"/>
  </w:num>
  <w:num w:numId="167">
    <w:abstractNumId w:val="110"/>
  </w:num>
  <w:num w:numId="168">
    <w:abstractNumId w:val="130"/>
  </w:num>
  <w:num w:numId="169">
    <w:abstractNumId w:val="184"/>
  </w:num>
  <w:num w:numId="170">
    <w:abstractNumId w:val="137"/>
  </w:num>
  <w:num w:numId="171">
    <w:abstractNumId w:val="45"/>
  </w:num>
  <w:num w:numId="172">
    <w:abstractNumId w:val="216"/>
  </w:num>
  <w:num w:numId="173">
    <w:abstractNumId w:val="160"/>
  </w:num>
  <w:num w:numId="174">
    <w:abstractNumId w:val="13"/>
  </w:num>
  <w:num w:numId="175">
    <w:abstractNumId w:val="226"/>
  </w:num>
  <w:num w:numId="176">
    <w:abstractNumId w:val="215"/>
  </w:num>
  <w:num w:numId="177">
    <w:abstractNumId w:val="76"/>
  </w:num>
  <w:num w:numId="178">
    <w:abstractNumId w:val="201"/>
  </w:num>
  <w:num w:numId="179">
    <w:abstractNumId w:val="236"/>
  </w:num>
  <w:num w:numId="180">
    <w:abstractNumId w:val="199"/>
  </w:num>
  <w:num w:numId="181">
    <w:abstractNumId w:val="144"/>
  </w:num>
  <w:num w:numId="182">
    <w:abstractNumId w:val="71"/>
  </w:num>
  <w:num w:numId="183">
    <w:abstractNumId w:val="129"/>
  </w:num>
  <w:num w:numId="184">
    <w:abstractNumId w:val="8"/>
  </w:num>
  <w:num w:numId="185">
    <w:abstractNumId w:val="51"/>
  </w:num>
  <w:num w:numId="186">
    <w:abstractNumId w:val="41"/>
  </w:num>
  <w:num w:numId="187">
    <w:abstractNumId w:val="173"/>
  </w:num>
  <w:num w:numId="188">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90"/>
  </w:num>
  <w:num w:numId="190">
    <w:abstractNumId w:val="70"/>
  </w:num>
  <w:num w:numId="19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04"/>
  </w:num>
  <w:num w:numId="193">
    <w:abstractNumId w:val="151"/>
  </w:num>
  <w:num w:numId="194">
    <w:abstractNumId w:val="133"/>
  </w:num>
  <w:num w:numId="195">
    <w:abstractNumId w:val="161"/>
  </w:num>
  <w:num w:numId="196">
    <w:abstractNumId w:val="19"/>
  </w:num>
  <w:num w:numId="197">
    <w:abstractNumId w:val="99"/>
  </w:num>
  <w:num w:numId="198">
    <w:abstractNumId w:val="164"/>
  </w:num>
  <w:num w:numId="199">
    <w:abstractNumId w:val="140"/>
  </w:num>
  <w:num w:numId="200">
    <w:abstractNumId w:val="218"/>
  </w:num>
  <w:num w:numId="201">
    <w:abstractNumId w:val="217"/>
  </w:num>
  <w:num w:numId="202">
    <w:abstractNumId w:val="155"/>
  </w:num>
  <w:num w:numId="203">
    <w:abstractNumId w:val="225"/>
  </w:num>
  <w:num w:numId="204">
    <w:abstractNumId w:val="166"/>
  </w:num>
  <w:num w:numId="205">
    <w:abstractNumId w:val="67"/>
  </w:num>
  <w:num w:numId="206">
    <w:abstractNumId w:val="14"/>
  </w:num>
  <w:num w:numId="207">
    <w:abstractNumId w:val="221"/>
  </w:num>
  <w:num w:numId="208">
    <w:abstractNumId w:val="182"/>
  </w:num>
  <w:num w:numId="209">
    <w:abstractNumId w:val="53"/>
  </w:num>
  <w:num w:numId="210">
    <w:abstractNumId w:val="79"/>
  </w:num>
  <w:num w:numId="211">
    <w:abstractNumId w:val="227"/>
  </w:num>
  <w:num w:numId="212">
    <w:abstractNumId w:val="77"/>
  </w:num>
  <w:num w:numId="213">
    <w:abstractNumId w:val="143"/>
  </w:num>
  <w:num w:numId="214">
    <w:abstractNumId w:val="60"/>
  </w:num>
  <w:num w:numId="215">
    <w:abstractNumId w:val="65"/>
  </w:num>
  <w:num w:numId="216">
    <w:abstractNumId w:val="103"/>
  </w:num>
  <w:num w:numId="217">
    <w:abstractNumId w:val="56"/>
  </w:num>
  <w:num w:numId="218">
    <w:abstractNumId w:val="178"/>
  </w:num>
  <w:num w:numId="219">
    <w:abstractNumId w:val="187"/>
  </w:num>
  <w:num w:numId="220">
    <w:abstractNumId w:val="156"/>
  </w:num>
  <w:num w:numId="221">
    <w:abstractNumId w:val="25"/>
  </w:num>
  <w:num w:numId="222">
    <w:abstractNumId w:val="63"/>
  </w:num>
  <w:num w:numId="223">
    <w:abstractNumId w:val="87"/>
  </w:num>
  <w:num w:numId="224">
    <w:abstractNumId w:val="105"/>
  </w:num>
  <w:num w:numId="225">
    <w:abstractNumId w:val="9"/>
  </w:num>
  <w:num w:numId="226">
    <w:abstractNumId w:val="171"/>
  </w:num>
  <w:num w:numId="227">
    <w:abstractNumId w:val="17"/>
  </w:num>
  <w:num w:numId="228">
    <w:abstractNumId w:val="212"/>
  </w:num>
  <w:num w:numId="229">
    <w:abstractNumId w:val="20"/>
  </w:num>
  <w:num w:numId="230">
    <w:abstractNumId w:val="66"/>
  </w:num>
  <w:num w:numId="231">
    <w:abstractNumId w:val="185"/>
  </w:num>
  <w:num w:numId="232">
    <w:abstractNumId w:val="162"/>
  </w:num>
  <w:num w:numId="233">
    <w:abstractNumId w:val="128"/>
  </w:num>
  <w:num w:numId="234">
    <w:abstractNumId w:val="58"/>
  </w:num>
  <w:num w:numId="235">
    <w:abstractNumId w:val="146"/>
  </w:num>
  <w:num w:numId="236">
    <w:abstractNumId w:val="57"/>
  </w:num>
  <w:num w:numId="237">
    <w:abstractNumId w:val="12"/>
  </w:num>
  <w:num w:numId="238">
    <w:abstractNumId w:val="175"/>
  </w:num>
  <w:num w:numId="23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9B1"/>
    <w:rsid w:val="00004F34"/>
    <w:rsid w:val="00033AB8"/>
    <w:rsid w:val="00056E0C"/>
    <w:rsid w:val="000707F6"/>
    <w:rsid w:val="000D1995"/>
    <w:rsid w:val="000E102A"/>
    <w:rsid w:val="001433E9"/>
    <w:rsid w:val="001600F4"/>
    <w:rsid w:val="00161DDA"/>
    <w:rsid w:val="001636B5"/>
    <w:rsid w:val="00180BB0"/>
    <w:rsid w:val="001D13C8"/>
    <w:rsid w:val="001E0396"/>
    <w:rsid w:val="00201FE9"/>
    <w:rsid w:val="002030D4"/>
    <w:rsid w:val="00215B11"/>
    <w:rsid w:val="002307C2"/>
    <w:rsid w:val="00232723"/>
    <w:rsid w:val="002330D2"/>
    <w:rsid w:val="00260C62"/>
    <w:rsid w:val="002773F8"/>
    <w:rsid w:val="00287359"/>
    <w:rsid w:val="00292255"/>
    <w:rsid w:val="00294C52"/>
    <w:rsid w:val="002A416E"/>
    <w:rsid w:val="002B19B1"/>
    <w:rsid w:val="002B20A9"/>
    <w:rsid w:val="002C17A7"/>
    <w:rsid w:val="002C477F"/>
    <w:rsid w:val="002D171D"/>
    <w:rsid w:val="002E5AB7"/>
    <w:rsid w:val="00301CC2"/>
    <w:rsid w:val="00341131"/>
    <w:rsid w:val="0037538F"/>
    <w:rsid w:val="00375D24"/>
    <w:rsid w:val="003B38C2"/>
    <w:rsid w:val="003B5212"/>
    <w:rsid w:val="003E0663"/>
    <w:rsid w:val="003F2793"/>
    <w:rsid w:val="0042690B"/>
    <w:rsid w:val="004313BC"/>
    <w:rsid w:val="00450A19"/>
    <w:rsid w:val="004748D1"/>
    <w:rsid w:val="004A37AE"/>
    <w:rsid w:val="004B3F97"/>
    <w:rsid w:val="004C4490"/>
    <w:rsid w:val="004D1159"/>
    <w:rsid w:val="004D1F54"/>
    <w:rsid w:val="004F6023"/>
    <w:rsid w:val="00517A49"/>
    <w:rsid w:val="00527FCF"/>
    <w:rsid w:val="00546BBA"/>
    <w:rsid w:val="00547278"/>
    <w:rsid w:val="00585516"/>
    <w:rsid w:val="005B7BBD"/>
    <w:rsid w:val="005C49B8"/>
    <w:rsid w:val="005F6AB6"/>
    <w:rsid w:val="00605352"/>
    <w:rsid w:val="006128C8"/>
    <w:rsid w:val="00626D74"/>
    <w:rsid w:val="00627937"/>
    <w:rsid w:val="00630BD2"/>
    <w:rsid w:val="00632BFA"/>
    <w:rsid w:val="00641C52"/>
    <w:rsid w:val="00660305"/>
    <w:rsid w:val="00664035"/>
    <w:rsid w:val="006705AC"/>
    <w:rsid w:val="00676A94"/>
    <w:rsid w:val="00682D20"/>
    <w:rsid w:val="006830BB"/>
    <w:rsid w:val="006D5D17"/>
    <w:rsid w:val="006E5F06"/>
    <w:rsid w:val="006F5A10"/>
    <w:rsid w:val="007271C9"/>
    <w:rsid w:val="00746115"/>
    <w:rsid w:val="00781655"/>
    <w:rsid w:val="007A23C1"/>
    <w:rsid w:val="007A344F"/>
    <w:rsid w:val="007C0CAC"/>
    <w:rsid w:val="007D1895"/>
    <w:rsid w:val="007E2AA5"/>
    <w:rsid w:val="007E4F27"/>
    <w:rsid w:val="007E6885"/>
    <w:rsid w:val="007F77A3"/>
    <w:rsid w:val="008015BD"/>
    <w:rsid w:val="0081146A"/>
    <w:rsid w:val="0081267C"/>
    <w:rsid w:val="00833A40"/>
    <w:rsid w:val="00855068"/>
    <w:rsid w:val="00862B9D"/>
    <w:rsid w:val="00873864"/>
    <w:rsid w:val="00876F1D"/>
    <w:rsid w:val="00880E62"/>
    <w:rsid w:val="008A4EEC"/>
    <w:rsid w:val="008C6146"/>
    <w:rsid w:val="008D701E"/>
    <w:rsid w:val="008F0594"/>
    <w:rsid w:val="00912C4C"/>
    <w:rsid w:val="0092561C"/>
    <w:rsid w:val="00974D2C"/>
    <w:rsid w:val="009756DA"/>
    <w:rsid w:val="00980FDF"/>
    <w:rsid w:val="00986418"/>
    <w:rsid w:val="009A331D"/>
    <w:rsid w:val="00A0529E"/>
    <w:rsid w:val="00A12257"/>
    <w:rsid w:val="00A225C0"/>
    <w:rsid w:val="00A370B8"/>
    <w:rsid w:val="00A4236D"/>
    <w:rsid w:val="00A46C29"/>
    <w:rsid w:val="00A83A7D"/>
    <w:rsid w:val="00A84005"/>
    <w:rsid w:val="00A916C3"/>
    <w:rsid w:val="00AA7D50"/>
    <w:rsid w:val="00AC407B"/>
    <w:rsid w:val="00AE0746"/>
    <w:rsid w:val="00B103DD"/>
    <w:rsid w:val="00B3420B"/>
    <w:rsid w:val="00B5295B"/>
    <w:rsid w:val="00B728FE"/>
    <w:rsid w:val="00B908DB"/>
    <w:rsid w:val="00B943CA"/>
    <w:rsid w:val="00BA2796"/>
    <w:rsid w:val="00BC765B"/>
    <w:rsid w:val="00BE6866"/>
    <w:rsid w:val="00C13F69"/>
    <w:rsid w:val="00C23D65"/>
    <w:rsid w:val="00C262FD"/>
    <w:rsid w:val="00C323EA"/>
    <w:rsid w:val="00C32CF1"/>
    <w:rsid w:val="00C4574D"/>
    <w:rsid w:val="00C86111"/>
    <w:rsid w:val="00C97FE5"/>
    <w:rsid w:val="00CB2BBA"/>
    <w:rsid w:val="00CC3651"/>
    <w:rsid w:val="00CC4EBF"/>
    <w:rsid w:val="00CD48E4"/>
    <w:rsid w:val="00D22FA2"/>
    <w:rsid w:val="00D4157B"/>
    <w:rsid w:val="00D46D3D"/>
    <w:rsid w:val="00D53DC7"/>
    <w:rsid w:val="00D611ED"/>
    <w:rsid w:val="00D95B9C"/>
    <w:rsid w:val="00D966EC"/>
    <w:rsid w:val="00DA1E30"/>
    <w:rsid w:val="00DB6429"/>
    <w:rsid w:val="00DE40D4"/>
    <w:rsid w:val="00E001F7"/>
    <w:rsid w:val="00E00B36"/>
    <w:rsid w:val="00E14B32"/>
    <w:rsid w:val="00E2027B"/>
    <w:rsid w:val="00E60765"/>
    <w:rsid w:val="00E65986"/>
    <w:rsid w:val="00E71878"/>
    <w:rsid w:val="00E90B7F"/>
    <w:rsid w:val="00E97913"/>
    <w:rsid w:val="00EA4C9D"/>
    <w:rsid w:val="00EA6904"/>
    <w:rsid w:val="00EC44A9"/>
    <w:rsid w:val="00F20120"/>
    <w:rsid w:val="00F47757"/>
    <w:rsid w:val="00F50788"/>
    <w:rsid w:val="00F562F0"/>
    <w:rsid w:val="00F57E42"/>
    <w:rsid w:val="00F603AA"/>
    <w:rsid w:val="00F75D97"/>
    <w:rsid w:val="00F8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D118D"/>
  <w15:chartTrackingRefBased/>
  <w15:docId w15:val="{3E1F8D92-0F69-4A53-BCEC-94FC6050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19B1"/>
    <w:rPr>
      <w:rFonts w:ascii="Calibri" w:hAnsi="Calibri" w:cstheme="minorBidi"/>
      <w:color w:val="000000" w:themeColor="text1"/>
      <w:sz w:val="24"/>
      <w:szCs w:val="22"/>
    </w:rPr>
  </w:style>
  <w:style w:type="paragraph" w:styleId="Heading1">
    <w:name w:val="heading 1"/>
    <w:basedOn w:val="Normal"/>
    <w:next w:val="Normal"/>
    <w:link w:val="Heading1Char"/>
    <w:autoRedefine/>
    <w:uiPriority w:val="9"/>
    <w:qFormat/>
    <w:rsid w:val="00912C4C"/>
    <w:pPr>
      <w:keepNext/>
      <w:keepLines/>
      <w:numPr>
        <w:numId w:val="238"/>
      </w:numPr>
      <w:spacing w:before="360" w:after="80"/>
      <w:ind w:left="360"/>
      <w:outlineLvl w:val="0"/>
    </w:pPr>
    <w:rPr>
      <w:rFonts w:asciiTheme="majorHAnsi" w:eastAsiaTheme="majorEastAsia" w:hAnsiTheme="majorHAnsi" w:cstheme="majorBidi"/>
      <w:b/>
      <w:color w:val="002060"/>
      <w:sz w:val="32"/>
      <w:szCs w:val="40"/>
    </w:rPr>
  </w:style>
  <w:style w:type="paragraph" w:styleId="Heading2">
    <w:name w:val="heading 2"/>
    <w:basedOn w:val="Normal"/>
    <w:next w:val="Normal"/>
    <w:link w:val="Heading2Char"/>
    <w:autoRedefine/>
    <w:uiPriority w:val="9"/>
    <w:qFormat/>
    <w:rsid w:val="00EA6904"/>
    <w:pPr>
      <w:keepNext/>
      <w:outlineLvl w:val="1"/>
    </w:pPr>
    <w:rPr>
      <w:b/>
      <w:bCs/>
      <w:color w:val="002060"/>
      <w:kern w:val="2"/>
      <w:sz w:val="28"/>
      <w14:ligatures w14:val="standardContextual"/>
    </w:rPr>
  </w:style>
  <w:style w:type="paragraph" w:styleId="Heading3">
    <w:name w:val="heading 3"/>
    <w:basedOn w:val="Normal"/>
    <w:next w:val="Normal"/>
    <w:link w:val="Heading3Char"/>
    <w:autoRedefine/>
    <w:uiPriority w:val="9"/>
    <w:qFormat/>
    <w:rsid w:val="00EA6904"/>
    <w:pPr>
      <w:keepNext/>
      <w:keepLines/>
      <w:spacing w:before="200"/>
      <w:jc w:val="both"/>
      <w:outlineLvl w:val="2"/>
    </w:pPr>
    <w:rPr>
      <w:rFonts w:asciiTheme="minorHAnsi" w:hAnsiTheme="minorHAnsi" w:cstheme="minorHAnsi"/>
      <w:b/>
      <w:bCs/>
      <w:iCs/>
      <w:color w:val="002060"/>
      <w:szCs w:val="24"/>
      <w:lang w:val="sr-Latn-ME"/>
    </w:rPr>
  </w:style>
  <w:style w:type="paragraph" w:styleId="Heading4">
    <w:name w:val="heading 4"/>
    <w:basedOn w:val="Normal"/>
    <w:link w:val="Heading4Char"/>
    <w:autoRedefine/>
    <w:uiPriority w:val="9"/>
    <w:qFormat/>
    <w:rsid w:val="00EA6904"/>
    <w:pPr>
      <w:spacing w:before="100" w:beforeAutospacing="1" w:after="100" w:afterAutospacing="1"/>
      <w:outlineLvl w:val="3"/>
    </w:pPr>
    <w:rPr>
      <w:rFonts w:asciiTheme="minorHAnsi" w:hAnsiTheme="minorHAnsi" w:cstheme="minorHAnsi"/>
      <w:bCs/>
      <w:i/>
      <w:iCs/>
      <w:color w:val="002060"/>
      <w:szCs w:val="24"/>
      <w:lang w:eastAsia="en-GB"/>
    </w:rPr>
  </w:style>
  <w:style w:type="paragraph" w:styleId="Heading5">
    <w:name w:val="heading 5"/>
    <w:basedOn w:val="Normal"/>
    <w:next w:val="Normal"/>
    <w:link w:val="Heading5Char"/>
    <w:uiPriority w:val="9"/>
    <w:unhideWhenUsed/>
    <w:qFormat/>
    <w:rsid w:val="002B19B1"/>
    <w:pPr>
      <w:keepNext/>
      <w:keepLines/>
      <w:spacing w:before="80" w:after="40"/>
      <w:outlineLvl w:val="4"/>
    </w:pPr>
    <w:rPr>
      <w:rFonts w:asciiTheme="minorHAnsi" w:eastAsiaTheme="majorEastAsia" w:hAnsiTheme="minorHAnsi" w:cstheme="majorBidi"/>
    </w:rPr>
  </w:style>
  <w:style w:type="paragraph" w:styleId="Heading6">
    <w:name w:val="heading 6"/>
    <w:basedOn w:val="Normal"/>
    <w:next w:val="Normal"/>
    <w:link w:val="Heading6Char"/>
    <w:uiPriority w:val="9"/>
    <w:unhideWhenUsed/>
    <w:qFormat/>
    <w:rsid w:val="002B19B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2B19B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2B19B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2B19B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A6904"/>
    <w:rPr>
      <w:rFonts w:ascii="Calibri" w:hAnsi="Calibri" w:cstheme="minorBidi"/>
      <w:b/>
      <w:bCs/>
      <w:color w:val="002060"/>
      <w:kern w:val="2"/>
      <w:sz w:val="28"/>
      <w:szCs w:val="22"/>
      <w14:ligatures w14:val="standardContextual"/>
    </w:rPr>
  </w:style>
  <w:style w:type="character" w:customStyle="1" w:styleId="Heading3Char">
    <w:name w:val="Heading 3 Char"/>
    <w:basedOn w:val="DefaultParagraphFont"/>
    <w:link w:val="Heading3"/>
    <w:uiPriority w:val="9"/>
    <w:rsid w:val="00EA6904"/>
    <w:rPr>
      <w:rFonts w:asciiTheme="minorHAnsi" w:hAnsiTheme="minorHAnsi" w:cstheme="minorHAnsi"/>
      <w:b/>
      <w:bCs/>
      <w:iCs/>
      <w:color w:val="002060"/>
      <w:sz w:val="24"/>
      <w:szCs w:val="24"/>
      <w:lang w:val="sr-Latn-ME"/>
    </w:rPr>
  </w:style>
  <w:style w:type="character" w:customStyle="1" w:styleId="Heading4Char">
    <w:name w:val="Heading 4 Char"/>
    <w:basedOn w:val="DefaultParagraphFont"/>
    <w:link w:val="Heading4"/>
    <w:uiPriority w:val="9"/>
    <w:rsid w:val="00EA6904"/>
    <w:rPr>
      <w:rFonts w:asciiTheme="minorHAnsi" w:hAnsiTheme="minorHAnsi" w:cstheme="minorHAnsi"/>
      <w:bCs/>
      <w:i/>
      <w:iCs/>
      <w:color w:val="002060"/>
      <w:sz w:val="24"/>
      <w:szCs w:val="24"/>
      <w:lang w:eastAsia="en-GB"/>
    </w:rPr>
  </w:style>
  <w:style w:type="paragraph" w:customStyle="1" w:styleId="Heading">
    <w:name w:val="Heading"/>
    <w:next w:val="Normal"/>
    <w:qFormat/>
    <w:rsid w:val="00CC4EBF"/>
    <w:pPr>
      <w:keepNext/>
      <w:outlineLvl w:val="0"/>
    </w:pPr>
    <w:rPr>
      <w:rFonts w:asciiTheme="minorHAnsi" w:eastAsia="Arial Unicode MS" w:hAnsiTheme="minorHAnsi" w:cs="Arial Unicode MS"/>
      <w:bCs/>
      <w:i/>
      <w:sz w:val="24"/>
      <w:szCs w:val="36"/>
    </w:rPr>
  </w:style>
  <w:style w:type="paragraph" w:styleId="NoSpacing">
    <w:name w:val="No Spacing"/>
    <w:link w:val="NoSpacingChar"/>
    <w:uiPriority w:val="1"/>
    <w:qFormat/>
    <w:rsid w:val="00D22FA2"/>
    <w:pPr>
      <w:keepLines/>
      <w:widowControl w:val="0"/>
      <w:tabs>
        <w:tab w:val="left" w:pos="1134"/>
        <w:tab w:val="left" w:pos="2268"/>
      </w:tabs>
      <w:autoSpaceDE w:val="0"/>
      <w:autoSpaceDN w:val="0"/>
      <w:jc w:val="both"/>
    </w:pPr>
    <w:rPr>
      <w:rFonts w:ascii="Calibri" w:hAnsi="Calibri" w:cs="Arial"/>
      <w:sz w:val="24"/>
      <w:szCs w:val="24"/>
      <w:lang w:val="sr-Latn-CS"/>
    </w:rPr>
  </w:style>
  <w:style w:type="character" w:customStyle="1" w:styleId="Heading1Char">
    <w:name w:val="Heading 1 Char"/>
    <w:basedOn w:val="DefaultParagraphFont"/>
    <w:link w:val="Heading1"/>
    <w:uiPriority w:val="9"/>
    <w:rsid w:val="00912C4C"/>
    <w:rPr>
      <w:rFonts w:asciiTheme="majorHAnsi" w:eastAsiaTheme="majorEastAsia" w:hAnsiTheme="majorHAnsi" w:cstheme="majorBidi"/>
      <w:b/>
      <w:color w:val="002060"/>
      <w:sz w:val="32"/>
      <w:szCs w:val="40"/>
    </w:rPr>
  </w:style>
  <w:style w:type="character" w:customStyle="1" w:styleId="Heading5Char">
    <w:name w:val="Heading 5 Char"/>
    <w:basedOn w:val="DefaultParagraphFont"/>
    <w:link w:val="Heading5"/>
    <w:uiPriority w:val="9"/>
    <w:rsid w:val="002B19B1"/>
    <w:rPr>
      <w:rFonts w:asciiTheme="minorHAnsi" w:eastAsiaTheme="majorEastAsia" w:hAnsiTheme="minorHAnsi" w:cstheme="majorBidi"/>
      <w:color w:val="2F5496" w:themeColor="accent1" w:themeShade="BF"/>
      <w:sz w:val="24"/>
      <w:szCs w:val="22"/>
    </w:rPr>
  </w:style>
  <w:style w:type="character" w:customStyle="1" w:styleId="Heading6Char">
    <w:name w:val="Heading 6 Char"/>
    <w:basedOn w:val="DefaultParagraphFont"/>
    <w:link w:val="Heading6"/>
    <w:uiPriority w:val="9"/>
    <w:rsid w:val="002B19B1"/>
    <w:rPr>
      <w:rFonts w:asciiTheme="minorHAnsi" w:eastAsiaTheme="majorEastAsia" w:hAnsiTheme="minorHAnsi" w:cstheme="majorBidi"/>
      <w:i/>
      <w:iCs/>
      <w:color w:val="595959" w:themeColor="text1" w:themeTint="A6"/>
      <w:sz w:val="24"/>
      <w:szCs w:val="22"/>
    </w:rPr>
  </w:style>
  <w:style w:type="character" w:customStyle="1" w:styleId="Heading7Char">
    <w:name w:val="Heading 7 Char"/>
    <w:basedOn w:val="DefaultParagraphFont"/>
    <w:link w:val="Heading7"/>
    <w:uiPriority w:val="9"/>
    <w:rsid w:val="002B19B1"/>
    <w:rPr>
      <w:rFonts w:asciiTheme="minorHAnsi" w:eastAsiaTheme="majorEastAsia" w:hAnsiTheme="minorHAnsi" w:cstheme="majorBidi"/>
      <w:color w:val="595959" w:themeColor="text1" w:themeTint="A6"/>
      <w:sz w:val="24"/>
      <w:szCs w:val="22"/>
    </w:rPr>
  </w:style>
  <w:style w:type="character" w:customStyle="1" w:styleId="Heading8Char">
    <w:name w:val="Heading 8 Char"/>
    <w:basedOn w:val="DefaultParagraphFont"/>
    <w:link w:val="Heading8"/>
    <w:uiPriority w:val="9"/>
    <w:rsid w:val="002B19B1"/>
    <w:rPr>
      <w:rFonts w:asciiTheme="minorHAnsi" w:eastAsiaTheme="majorEastAsia" w:hAnsiTheme="minorHAnsi" w:cstheme="majorBidi"/>
      <w:i/>
      <w:iCs/>
      <w:color w:val="272727" w:themeColor="text1" w:themeTint="D8"/>
      <w:sz w:val="24"/>
      <w:szCs w:val="22"/>
    </w:rPr>
  </w:style>
  <w:style w:type="character" w:customStyle="1" w:styleId="Heading9Char">
    <w:name w:val="Heading 9 Char"/>
    <w:basedOn w:val="DefaultParagraphFont"/>
    <w:link w:val="Heading9"/>
    <w:uiPriority w:val="9"/>
    <w:rsid w:val="002B19B1"/>
    <w:rPr>
      <w:rFonts w:asciiTheme="minorHAnsi" w:eastAsiaTheme="majorEastAsia" w:hAnsiTheme="minorHAnsi" w:cstheme="majorBidi"/>
      <w:color w:val="272727" w:themeColor="text1" w:themeTint="D8"/>
      <w:sz w:val="24"/>
      <w:szCs w:val="22"/>
    </w:rPr>
  </w:style>
  <w:style w:type="paragraph" w:styleId="Title">
    <w:name w:val="Title"/>
    <w:aliases w:val="Title 1"/>
    <w:basedOn w:val="Normal"/>
    <w:next w:val="Normal"/>
    <w:link w:val="TitleChar"/>
    <w:autoRedefine/>
    <w:uiPriority w:val="10"/>
    <w:qFormat/>
    <w:rsid w:val="006830BB"/>
    <w:pPr>
      <w:spacing w:after="80"/>
      <w:contextualSpacing/>
      <w:jc w:val="center"/>
    </w:pPr>
    <w:rPr>
      <w:rFonts w:asciiTheme="majorHAnsi" w:eastAsiaTheme="majorEastAsia" w:hAnsiTheme="majorHAnsi" w:cstheme="majorBidi"/>
      <w:b/>
      <w:color w:val="002060"/>
      <w:spacing w:val="-10"/>
      <w:kern w:val="28"/>
      <w:sz w:val="52"/>
      <w:szCs w:val="56"/>
    </w:rPr>
  </w:style>
  <w:style w:type="character" w:customStyle="1" w:styleId="TitleChar">
    <w:name w:val="Title Char"/>
    <w:aliases w:val="Title 1 Char"/>
    <w:basedOn w:val="DefaultParagraphFont"/>
    <w:link w:val="Title"/>
    <w:uiPriority w:val="10"/>
    <w:rsid w:val="006830BB"/>
    <w:rPr>
      <w:rFonts w:asciiTheme="majorHAnsi" w:eastAsiaTheme="majorEastAsia" w:hAnsiTheme="majorHAnsi" w:cstheme="majorBidi"/>
      <w:b/>
      <w:color w:val="002060"/>
      <w:spacing w:val="-10"/>
      <w:kern w:val="28"/>
      <w:sz w:val="52"/>
      <w:szCs w:val="56"/>
    </w:rPr>
  </w:style>
  <w:style w:type="paragraph" w:styleId="Subtitle">
    <w:name w:val="Subtitle"/>
    <w:basedOn w:val="Normal"/>
    <w:next w:val="Normal"/>
    <w:link w:val="SubtitleChar"/>
    <w:uiPriority w:val="11"/>
    <w:qFormat/>
    <w:rsid w:val="002B19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9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B19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19B1"/>
    <w:rPr>
      <w:rFonts w:ascii="Calibri" w:hAnsi="Calibri" w:cstheme="minorBidi"/>
      <w:i/>
      <w:iCs/>
      <w:color w:val="404040" w:themeColor="text1" w:themeTint="BF"/>
      <w:sz w:val="24"/>
      <w:szCs w:val="22"/>
    </w:rPr>
  </w:style>
  <w:style w:type="paragraph" w:styleId="ListParagraph">
    <w:name w:val="List Paragraph"/>
    <w:aliases w:val="List1,List Paragraph (numbered (a)),References,Heading 2_sj,Dot pt,Bullets,Numbered paragraph,Desmond 2,Liste 1,Medium Grid 1 - Accent 21,List Paragraph nowy,Numbered List Paragraph,Liste couleur - Accent 11"/>
    <w:basedOn w:val="Normal"/>
    <w:link w:val="ListParagraphChar"/>
    <w:uiPriority w:val="34"/>
    <w:qFormat/>
    <w:rsid w:val="002B19B1"/>
    <w:pPr>
      <w:ind w:left="720"/>
      <w:contextualSpacing/>
    </w:pPr>
  </w:style>
  <w:style w:type="character" w:styleId="IntenseEmphasis">
    <w:name w:val="Intense Emphasis"/>
    <w:basedOn w:val="DefaultParagraphFont"/>
    <w:uiPriority w:val="21"/>
    <w:qFormat/>
    <w:rsid w:val="002B19B1"/>
    <w:rPr>
      <w:i/>
      <w:iCs/>
      <w:color w:val="2F5496" w:themeColor="accent1" w:themeShade="BF"/>
    </w:rPr>
  </w:style>
  <w:style w:type="paragraph" w:styleId="IntenseQuote">
    <w:name w:val="Intense Quote"/>
    <w:basedOn w:val="Normal"/>
    <w:next w:val="Normal"/>
    <w:link w:val="IntenseQuoteChar"/>
    <w:uiPriority w:val="30"/>
    <w:qFormat/>
    <w:rsid w:val="002B19B1"/>
    <w:pPr>
      <w:pBdr>
        <w:top w:val="single" w:sz="4" w:space="10" w:color="2F5496" w:themeColor="accent1" w:themeShade="BF"/>
        <w:bottom w:val="single" w:sz="4" w:space="10" w:color="2F5496" w:themeColor="accent1" w:themeShade="BF"/>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2B19B1"/>
    <w:rPr>
      <w:rFonts w:ascii="Calibri" w:hAnsi="Calibri" w:cstheme="minorBidi"/>
      <w:i/>
      <w:iCs/>
      <w:color w:val="2F5496" w:themeColor="accent1" w:themeShade="BF"/>
      <w:sz w:val="24"/>
      <w:szCs w:val="22"/>
    </w:rPr>
  </w:style>
  <w:style w:type="character" w:styleId="IntenseReference">
    <w:name w:val="Intense Reference"/>
    <w:basedOn w:val="DefaultParagraphFont"/>
    <w:uiPriority w:val="32"/>
    <w:qFormat/>
    <w:rsid w:val="002B19B1"/>
    <w:rPr>
      <w:b/>
      <w:bCs/>
      <w:smallCaps/>
      <w:color w:val="2F5496" w:themeColor="accent1" w:themeShade="BF"/>
      <w:spacing w:val="5"/>
    </w:rPr>
  </w:style>
  <w:style w:type="character" w:styleId="CommentReference">
    <w:name w:val="annotation reference"/>
    <w:basedOn w:val="DefaultParagraphFont"/>
    <w:uiPriority w:val="99"/>
    <w:unhideWhenUsed/>
    <w:rsid w:val="002B19B1"/>
    <w:rPr>
      <w:sz w:val="16"/>
      <w:szCs w:val="16"/>
    </w:rPr>
  </w:style>
  <w:style w:type="paragraph" w:styleId="CommentText">
    <w:name w:val="annotation text"/>
    <w:aliases w:val="Char,Char Char,Char Char Char Char Char Char Char Char,Char Char Char Char Char Char Char Char Char,Kommentartext1,Char Char Char Char Char Char Char Char1,Char3 Char Char Char Char Ch Char,Char1,Char Char1,Kommentartext11 Char Char"/>
    <w:basedOn w:val="Normal"/>
    <w:link w:val="CommentTextChar"/>
    <w:uiPriority w:val="99"/>
    <w:unhideWhenUsed/>
    <w:rsid w:val="002B19B1"/>
    <w:rPr>
      <w:sz w:val="20"/>
      <w:szCs w:val="20"/>
    </w:rPr>
  </w:style>
  <w:style w:type="character" w:customStyle="1" w:styleId="CommentTextChar">
    <w:name w:val="Comment Text Char"/>
    <w:aliases w:val="Char Char3,Char Char Char,Char Char Char Char Char Char Char Char Char3,Char Char Char Char Char Char Char Char Char Char1,Kommentartext1 Char1,Char Char Char Char Char Char Char Char1 Char1,Char3 Char Char Char Char Ch Char Char"/>
    <w:basedOn w:val="DefaultParagraphFont"/>
    <w:link w:val="CommentText"/>
    <w:uiPriority w:val="99"/>
    <w:rsid w:val="002B19B1"/>
    <w:rPr>
      <w:rFonts w:ascii="Calibri" w:hAnsi="Calibri" w:cstheme="minorBidi"/>
      <w:color w:val="000000" w:themeColor="text1"/>
    </w:rPr>
  </w:style>
  <w:style w:type="paragraph" w:styleId="CommentSubject">
    <w:name w:val="annotation subject"/>
    <w:basedOn w:val="CommentText"/>
    <w:next w:val="CommentText"/>
    <w:link w:val="CommentSubjectChar"/>
    <w:uiPriority w:val="99"/>
    <w:unhideWhenUsed/>
    <w:rsid w:val="002B19B1"/>
    <w:rPr>
      <w:b/>
      <w:bCs/>
    </w:rPr>
  </w:style>
  <w:style w:type="character" w:customStyle="1" w:styleId="CommentSubjectChar">
    <w:name w:val="Comment Subject Char"/>
    <w:basedOn w:val="CommentTextChar"/>
    <w:link w:val="CommentSubject"/>
    <w:uiPriority w:val="99"/>
    <w:rsid w:val="002B19B1"/>
    <w:rPr>
      <w:rFonts w:ascii="Calibri" w:hAnsi="Calibri" w:cstheme="minorBidi"/>
      <w:b/>
      <w:bCs/>
      <w:color w:val="000000" w:themeColor="text1"/>
    </w:rPr>
  </w:style>
  <w:style w:type="paragraph" w:styleId="Header">
    <w:name w:val="header"/>
    <w:basedOn w:val="Normal"/>
    <w:link w:val="HeaderChar"/>
    <w:uiPriority w:val="99"/>
    <w:unhideWhenUsed/>
    <w:rsid w:val="002B19B1"/>
    <w:pPr>
      <w:tabs>
        <w:tab w:val="center" w:pos="4680"/>
        <w:tab w:val="right" w:pos="9360"/>
      </w:tabs>
    </w:pPr>
  </w:style>
  <w:style w:type="character" w:customStyle="1" w:styleId="HeaderChar">
    <w:name w:val="Header Char"/>
    <w:basedOn w:val="DefaultParagraphFont"/>
    <w:link w:val="Header"/>
    <w:uiPriority w:val="99"/>
    <w:rsid w:val="002B19B1"/>
    <w:rPr>
      <w:rFonts w:ascii="Calibri" w:hAnsi="Calibri" w:cstheme="minorBidi"/>
      <w:color w:val="000000" w:themeColor="text1"/>
      <w:sz w:val="24"/>
      <w:szCs w:val="22"/>
    </w:rPr>
  </w:style>
  <w:style w:type="paragraph" w:styleId="Footer">
    <w:name w:val="footer"/>
    <w:basedOn w:val="Normal"/>
    <w:link w:val="FooterChar"/>
    <w:uiPriority w:val="99"/>
    <w:unhideWhenUsed/>
    <w:rsid w:val="002B19B1"/>
    <w:pPr>
      <w:tabs>
        <w:tab w:val="center" w:pos="4680"/>
        <w:tab w:val="right" w:pos="9360"/>
      </w:tabs>
    </w:pPr>
  </w:style>
  <w:style w:type="character" w:customStyle="1" w:styleId="FooterChar">
    <w:name w:val="Footer Char"/>
    <w:basedOn w:val="DefaultParagraphFont"/>
    <w:link w:val="Footer"/>
    <w:uiPriority w:val="99"/>
    <w:rsid w:val="002B19B1"/>
    <w:rPr>
      <w:rFonts w:ascii="Calibri" w:hAnsi="Calibri" w:cstheme="minorBidi"/>
      <w:color w:val="000000" w:themeColor="text1"/>
      <w:sz w:val="24"/>
      <w:szCs w:val="22"/>
    </w:rPr>
  </w:style>
  <w:style w:type="paragraph" w:styleId="NormalWeb">
    <w:name w:val="Normal (Web)"/>
    <w:basedOn w:val="Normal"/>
    <w:uiPriority w:val="99"/>
    <w:unhideWhenUsed/>
    <w:rsid w:val="002B19B1"/>
    <w:pPr>
      <w:spacing w:before="100" w:beforeAutospacing="1" w:after="100" w:afterAutospacing="1"/>
    </w:pPr>
    <w:rPr>
      <w:rFonts w:ascii="Times New Roman" w:eastAsia="Times New Roman" w:hAnsi="Times New Roman" w:cs="Times New Roman"/>
      <w:color w:val="auto"/>
      <w:szCs w:val="24"/>
    </w:rPr>
  </w:style>
  <w:style w:type="character" w:styleId="Hyperlink">
    <w:name w:val="Hyperlink"/>
    <w:basedOn w:val="DefaultParagraphFont"/>
    <w:uiPriority w:val="99"/>
    <w:unhideWhenUsed/>
    <w:rsid w:val="002B19B1"/>
    <w:rPr>
      <w:color w:val="0563C1" w:themeColor="hyperlink"/>
      <w:u w:val="single"/>
    </w:rPr>
  </w:style>
  <w:style w:type="character" w:styleId="UnresolvedMention">
    <w:name w:val="Unresolved Mention"/>
    <w:basedOn w:val="DefaultParagraphFont"/>
    <w:uiPriority w:val="99"/>
    <w:semiHidden/>
    <w:unhideWhenUsed/>
    <w:rsid w:val="002B19B1"/>
    <w:rPr>
      <w:color w:val="605E5C"/>
      <w:shd w:val="clear" w:color="auto" w:fill="E1DFDD"/>
    </w:rPr>
  </w:style>
  <w:style w:type="character" w:styleId="Strong">
    <w:name w:val="Strong"/>
    <w:basedOn w:val="DefaultParagraphFont"/>
    <w:uiPriority w:val="22"/>
    <w:qFormat/>
    <w:rsid w:val="002B19B1"/>
    <w:rPr>
      <w:b/>
      <w:bCs/>
    </w:rPr>
  </w:style>
  <w:style w:type="table" w:styleId="TableGrid">
    <w:name w:val="Table Grid"/>
    <w:basedOn w:val="TableNormal"/>
    <w:uiPriority w:val="39"/>
    <w:rsid w:val="002B19B1"/>
    <w:rPr>
      <w:rFonts w:cstheme="minorBidi"/>
      <w:color w:val="2F5496" w:themeColor="accent1" w:themeShade="BF"/>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uiPriority w:val="99"/>
    <w:rsid w:val="002B19B1"/>
    <w:pPr>
      <w:pBdr>
        <w:top w:val="nil"/>
        <w:left w:val="nil"/>
        <w:bottom w:val="nil"/>
        <w:right w:val="nil"/>
        <w:between w:val="nil"/>
        <w:bar w:val="nil"/>
      </w:pBdr>
      <w:spacing w:after="160" w:line="259" w:lineRule="auto"/>
    </w:pPr>
    <w:rPr>
      <w:rFonts w:ascii="Calibri" w:eastAsia="Calibri" w:hAnsi="Calibri" w:cs="Calibri"/>
      <w:color w:val="000000"/>
      <w:kern w:val="2"/>
      <w:sz w:val="22"/>
      <w:szCs w:val="22"/>
      <w:u w:color="000000"/>
      <w:bdr w:val="nil"/>
      <w14:textOutline w14:w="0" w14:cap="flat" w14:cmpd="sng" w14:algn="ctr">
        <w14:noFill/>
        <w14:prstDash w14:val="solid"/>
        <w14:bevel/>
      </w14:textOutline>
    </w:rPr>
  </w:style>
  <w:style w:type="character" w:customStyle="1" w:styleId="Hyperlink1">
    <w:name w:val="Hyperlink.1"/>
    <w:basedOn w:val="DefaultParagraphFont"/>
    <w:rsid w:val="002B19B1"/>
    <w:rPr>
      <w:rFonts w:ascii="Calibri" w:eastAsia="Calibri" w:hAnsi="Calibri" w:cs="Calibri"/>
      <w:outline w:val="0"/>
      <w:color w:val="0563C1"/>
      <w:u w:val="single" w:color="0563C1"/>
    </w:rPr>
  </w:style>
  <w:style w:type="table" w:styleId="GridTable1Light-Accent1">
    <w:name w:val="Grid Table 1 Light Accent 1"/>
    <w:basedOn w:val="TableNormal"/>
    <w:uiPriority w:val="46"/>
    <w:rsid w:val="002B19B1"/>
    <w:pPr>
      <w:pBdr>
        <w:top w:val="nil"/>
        <w:left w:val="nil"/>
        <w:bottom w:val="nil"/>
        <w:right w:val="nil"/>
        <w:between w:val="nil"/>
        <w:bar w:val="nil"/>
      </w:pBdr>
    </w:pPr>
    <w:rPr>
      <w:rFonts w:eastAsia="Arial Unicode MS"/>
      <w:bdr w:val="ni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2B19B1"/>
    <w:rPr>
      <w:i/>
      <w:iCs/>
    </w:rPr>
  </w:style>
  <w:style w:type="table" w:styleId="GridTable1Light-Accent6">
    <w:name w:val="Grid Table 1 Light Accent 6"/>
    <w:basedOn w:val="TableNormal"/>
    <w:uiPriority w:val="46"/>
    <w:rsid w:val="002B19B1"/>
    <w:rPr>
      <w:rFonts w:cstheme="minorBidi"/>
      <w:color w:val="2F5496" w:themeColor="accent1" w:themeShade="BF"/>
      <w:sz w:val="22"/>
      <w:szCs w:val="22"/>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2B19B1"/>
    <w:rPr>
      <w:rFonts w:cstheme="minorBidi"/>
      <w:color w:val="2F5496" w:themeColor="accent1" w:themeShade="BF"/>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6">
    <w:name w:val="Grid Table 5 Dark Accent 6"/>
    <w:basedOn w:val="TableNormal"/>
    <w:uiPriority w:val="50"/>
    <w:rsid w:val="002B19B1"/>
    <w:rPr>
      <w:rFonts w:cstheme="minorBidi"/>
      <w:color w:val="2F5496" w:themeColor="accent1" w:themeShade="BF"/>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PageNumber">
    <w:name w:val="page number"/>
    <w:uiPriority w:val="99"/>
    <w:rsid w:val="002B19B1"/>
    <w:rPr>
      <w:rFonts w:ascii="Times New Roman" w:hAnsi="Times New Roman"/>
      <w:b/>
      <w:sz w:val="18"/>
    </w:rPr>
  </w:style>
  <w:style w:type="table" w:customStyle="1" w:styleId="Tabledocright">
    <w:name w:val="Table_doc_right"/>
    <w:basedOn w:val="TableNormal"/>
    <w:rsid w:val="002B19B1"/>
    <w:pPr>
      <w:spacing w:before="40" w:after="40" w:line="259" w:lineRule="auto"/>
    </w:pPr>
    <w:rPr>
      <w:rFonts w:asciiTheme="minorHAnsi" w:eastAsiaTheme="minorEastAsia" w:hAnsiTheme="minorHAnsi" w:cstheme="minorBidi"/>
      <w:sz w:val="18"/>
      <w:szCs w:val="18"/>
      <w:lang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2B19B1"/>
    <w:pPr>
      <w:ind w:left="1000"/>
    </w:pPr>
    <w:rPr>
      <w:rFonts w:asciiTheme="minorHAnsi" w:eastAsiaTheme="minorEastAsia" w:hAnsiTheme="minorHAnsi"/>
      <w:color w:val="auto"/>
      <w:sz w:val="18"/>
      <w:szCs w:val="18"/>
      <w:lang w:val="en-GB" w:eastAsia="zh-CN"/>
    </w:rPr>
  </w:style>
  <w:style w:type="paragraph" w:styleId="TOC7">
    <w:name w:val="toc 7"/>
    <w:basedOn w:val="Normal"/>
    <w:next w:val="Normal"/>
    <w:autoRedefine/>
    <w:uiPriority w:val="39"/>
    <w:rsid w:val="002B19B1"/>
    <w:pPr>
      <w:ind w:left="1200"/>
    </w:pPr>
    <w:rPr>
      <w:rFonts w:asciiTheme="minorHAnsi" w:eastAsiaTheme="minorEastAsia" w:hAnsiTheme="minorHAnsi"/>
      <w:color w:val="auto"/>
      <w:sz w:val="18"/>
      <w:szCs w:val="18"/>
      <w:lang w:val="en-GB" w:eastAsia="zh-CN"/>
    </w:rPr>
  </w:style>
  <w:style w:type="paragraph" w:styleId="TOC8">
    <w:name w:val="toc 8"/>
    <w:basedOn w:val="Normal"/>
    <w:next w:val="Normal"/>
    <w:autoRedefine/>
    <w:uiPriority w:val="39"/>
    <w:rsid w:val="002B19B1"/>
    <w:pPr>
      <w:ind w:left="1400"/>
    </w:pPr>
    <w:rPr>
      <w:rFonts w:asciiTheme="minorHAnsi" w:eastAsiaTheme="minorEastAsia" w:hAnsiTheme="minorHAnsi"/>
      <w:color w:val="auto"/>
      <w:sz w:val="18"/>
      <w:szCs w:val="18"/>
      <w:lang w:val="en-GB" w:eastAsia="zh-CN"/>
    </w:rPr>
  </w:style>
  <w:style w:type="paragraph" w:styleId="TOC9">
    <w:name w:val="toc 9"/>
    <w:basedOn w:val="Normal"/>
    <w:next w:val="Normal"/>
    <w:autoRedefine/>
    <w:uiPriority w:val="39"/>
    <w:rsid w:val="002B19B1"/>
    <w:pPr>
      <w:ind w:left="1600"/>
    </w:pPr>
    <w:rPr>
      <w:rFonts w:asciiTheme="minorHAnsi" w:eastAsiaTheme="minorEastAsia" w:hAnsiTheme="minorHAnsi"/>
      <w:color w:val="auto"/>
      <w:sz w:val="18"/>
      <w:szCs w:val="18"/>
      <w:lang w:val="en-GB" w:eastAsia="zh-CN"/>
    </w:rPr>
  </w:style>
  <w:style w:type="paragraph" w:customStyle="1" w:styleId="Titlefigure">
    <w:name w:val="Title_figure"/>
    <w:basedOn w:val="Titletable"/>
    <w:next w:val="NormalNonumber"/>
    <w:rsid w:val="002B19B1"/>
    <w:rPr>
      <w:bCs w:val="0"/>
    </w:rPr>
  </w:style>
  <w:style w:type="paragraph" w:styleId="TableofFigures">
    <w:name w:val="table of figures"/>
    <w:basedOn w:val="Normal"/>
    <w:next w:val="Normal"/>
    <w:autoRedefine/>
    <w:uiPriority w:val="99"/>
    <w:rsid w:val="002B19B1"/>
    <w:pPr>
      <w:ind w:left="400" w:hanging="400"/>
    </w:pPr>
    <w:rPr>
      <w:rFonts w:asciiTheme="minorHAnsi" w:eastAsiaTheme="minorEastAsia" w:hAnsiTheme="minorHAnsi"/>
      <w:smallCaps/>
      <w:color w:val="auto"/>
      <w:sz w:val="20"/>
      <w:szCs w:val="20"/>
      <w:lang w:val="en-GB" w:eastAsia="zh-CN"/>
    </w:rPr>
  </w:style>
  <w:style w:type="paragraph" w:customStyle="1" w:styleId="CH1">
    <w:name w:val="CH1"/>
    <w:basedOn w:val="Normal"/>
    <w:next w:val="CH2"/>
    <w:uiPriority w:val="99"/>
    <w:rsid w:val="002B19B1"/>
    <w:pPr>
      <w:keepNext/>
      <w:keepLines/>
      <w:tabs>
        <w:tab w:val="right" w:pos="851"/>
        <w:tab w:val="left" w:pos="1247"/>
      </w:tabs>
      <w:suppressAutoHyphens/>
      <w:spacing w:before="240" w:after="120"/>
      <w:ind w:left="1247" w:right="284" w:hanging="1247"/>
    </w:pPr>
    <w:rPr>
      <w:rFonts w:asciiTheme="minorHAnsi" w:eastAsiaTheme="minorEastAsia" w:hAnsiTheme="minorHAnsi"/>
      <w:b/>
      <w:color w:val="auto"/>
      <w:sz w:val="28"/>
      <w:szCs w:val="28"/>
      <w:lang w:val="en-GB" w:eastAsia="zh-CN"/>
    </w:rPr>
  </w:style>
  <w:style w:type="paragraph" w:customStyle="1" w:styleId="CH2">
    <w:name w:val="CH2"/>
    <w:basedOn w:val="Normal"/>
    <w:next w:val="Normalnumber"/>
    <w:uiPriority w:val="99"/>
    <w:rsid w:val="002B19B1"/>
    <w:pPr>
      <w:keepNext/>
      <w:keepLines/>
      <w:tabs>
        <w:tab w:val="right" w:pos="851"/>
        <w:tab w:val="left" w:pos="1247"/>
      </w:tabs>
      <w:suppressAutoHyphens/>
      <w:spacing w:before="80" w:after="120"/>
      <w:ind w:left="1247" w:right="284" w:hanging="1247"/>
    </w:pPr>
    <w:rPr>
      <w:rFonts w:asciiTheme="minorHAnsi" w:eastAsiaTheme="minorEastAsia" w:hAnsiTheme="minorHAnsi"/>
      <w:b/>
      <w:color w:val="auto"/>
      <w:sz w:val="20"/>
      <w:szCs w:val="24"/>
      <w:lang w:val="en-GB" w:eastAsia="zh-CN"/>
    </w:rPr>
  </w:style>
  <w:style w:type="paragraph" w:customStyle="1" w:styleId="CH3">
    <w:name w:val="CH3"/>
    <w:basedOn w:val="Normal"/>
    <w:next w:val="Normalnumber"/>
    <w:uiPriority w:val="99"/>
    <w:rsid w:val="002B19B1"/>
    <w:pPr>
      <w:keepNext/>
      <w:keepLines/>
      <w:tabs>
        <w:tab w:val="right" w:pos="851"/>
        <w:tab w:val="left" w:pos="1247"/>
      </w:tabs>
      <w:suppressAutoHyphens/>
      <w:spacing w:after="120"/>
      <w:ind w:left="1247" w:right="284" w:hanging="1247"/>
    </w:pPr>
    <w:rPr>
      <w:rFonts w:asciiTheme="minorHAnsi" w:eastAsiaTheme="minorEastAsia" w:hAnsiTheme="minorHAnsi"/>
      <w:b/>
      <w:color w:val="auto"/>
      <w:sz w:val="20"/>
      <w:lang w:val="en-GB" w:eastAsia="zh-CN"/>
    </w:rPr>
  </w:style>
  <w:style w:type="paragraph" w:customStyle="1" w:styleId="CH4">
    <w:name w:val="CH4"/>
    <w:basedOn w:val="Normal"/>
    <w:next w:val="Normalnumber"/>
    <w:uiPriority w:val="99"/>
    <w:rsid w:val="002B19B1"/>
    <w:pPr>
      <w:keepNext/>
      <w:keepLines/>
      <w:tabs>
        <w:tab w:val="right" w:pos="851"/>
        <w:tab w:val="left" w:pos="1247"/>
      </w:tabs>
      <w:suppressAutoHyphens/>
      <w:spacing w:after="120"/>
      <w:ind w:left="1247" w:right="284" w:hanging="1247"/>
    </w:pPr>
    <w:rPr>
      <w:rFonts w:asciiTheme="minorHAnsi" w:eastAsiaTheme="minorEastAsia" w:hAnsiTheme="minorHAnsi"/>
      <w:b/>
      <w:color w:val="auto"/>
      <w:sz w:val="20"/>
      <w:lang w:val="en-GB" w:eastAsia="zh-CN"/>
    </w:rPr>
  </w:style>
  <w:style w:type="table" w:customStyle="1" w:styleId="Footertable">
    <w:name w:val="Footer_table"/>
    <w:basedOn w:val="TableNormal"/>
    <w:semiHidden/>
    <w:rsid w:val="002B19B1"/>
    <w:pPr>
      <w:spacing w:after="160" w:line="259" w:lineRule="auto"/>
    </w:pPr>
    <w:rPr>
      <w:rFonts w:ascii="Arial" w:eastAsiaTheme="minorEastAsia" w:hAnsi="Arial" w:cstheme="minorBidi"/>
      <w:sz w:val="16"/>
      <w:szCs w:val="22"/>
      <w:lang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iPriority w:val="99"/>
    <w:semiHidden/>
    <w:rsid w:val="002B19B1"/>
    <w:pPr>
      <w:keepNext/>
      <w:keepLines/>
      <w:tabs>
        <w:tab w:val="right" w:pos="851"/>
        <w:tab w:val="left" w:pos="1247"/>
      </w:tabs>
      <w:suppressAutoHyphens/>
      <w:spacing w:after="120"/>
      <w:ind w:left="1247" w:right="284" w:hanging="1247"/>
    </w:pPr>
    <w:rPr>
      <w:rFonts w:asciiTheme="minorHAnsi" w:eastAsiaTheme="minorEastAsia" w:hAnsiTheme="minorHAnsi"/>
      <w:b/>
      <w:color w:val="auto"/>
      <w:sz w:val="20"/>
      <w:lang w:val="en-GB" w:eastAsia="zh-CN"/>
    </w:rPr>
  </w:style>
  <w:style w:type="paragraph" w:styleId="Caption">
    <w:name w:val="caption"/>
    <w:aliases w:val="Table"/>
    <w:basedOn w:val="Normal"/>
    <w:next w:val="Normal"/>
    <w:link w:val="CaptionChar"/>
    <w:uiPriority w:val="35"/>
    <w:unhideWhenUsed/>
    <w:qFormat/>
    <w:rsid w:val="002B19B1"/>
    <w:pPr>
      <w:snapToGrid w:val="0"/>
      <w:spacing w:after="120"/>
    </w:pPr>
    <w:rPr>
      <w:rFonts w:asciiTheme="minorHAnsi" w:eastAsiaTheme="minorEastAsia" w:hAnsiTheme="minorHAnsi"/>
      <w:b/>
      <w:iCs/>
      <w:color w:val="auto"/>
      <w:sz w:val="20"/>
      <w:szCs w:val="18"/>
      <w:lang w:val="en-GB" w:eastAsia="zh-CN"/>
    </w:rPr>
  </w:style>
  <w:style w:type="paragraph" w:customStyle="1" w:styleId="main">
    <w:name w:val="main"/>
    <w:basedOn w:val="Normal"/>
    <w:autoRedefine/>
    <w:uiPriority w:val="99"/>
    <w:rsid w:val="002B19B1"/>
    <w:pPr>
      <w:spacing w:after="120"/>
    </w:pPr>
    <w:rPr>
      <w:rFonts w:asciiTheme="minorHAnsi" w:eastAsiaTheme="minorEastAsia" w:hAnsiTheme="minorHAnsi"/>
      <w:b/>
      <w:color w:val="auto"/>
      <w:sz w:val="20"/>
      <w:lang w:val="en-GB" w:eastAsia="zh-CN"/>
    </w:rPr>
  </w:style>
  <w:style w:type="paragraph" w:customStyle="1" w:styleId="Paralevel1">
    <w:name w:val="Para level1"/>
    <w:basedOn w:val="Normal"/>
    <w:link w:val="Paralevel1Char"/>
    <w:autoRedefine/>
    <w:uiPriority w:val="99"/>
    <w:rsid w:val="002B19B1"/>
    <w:pPr>
      <w:numPr>
        <w:ilvl w:val="1"/>
        <w:numId w:val="18"/>
      </w:numPr>
      <w:tabs>
        <w:tab w:val="clear" w:pos="2687"/>
        <w:tab w:val="left" w:pos="624"/>
      </w:tabs>
      <w:suppressAutoHyphens/>
      <w:spacing w:after="120"/>
      <w:ind w:left="0" w:firstLine="0"/>
    </w:pPr>
    <w:rPr>
      <w:rFonts w:asciiTheme="minorHAnsi" w:eastAsiaTheme="minorEastAsia" w:hAnsiTheme="minorHAnsi"/>
      <w:color w:val="auto"/>
      <w:sz w:val="20"/>
      <w:lang w:val="x-none" w:eastAsia="zh-CN"/>
    </w:rPr>
  </w:style>
  <w:style w:type="character" w:customStyle="1" w:styleId="Paralevel1Char">
    <w:name w:val="Para level1 Char"/>
    <w:link w:val="Paralevel1"/>
    <w:uiPriority w:val="99"/>
    <w:rsid w:val="002B19B1"/>
    <w:rPr>
      <w:rFonts w:asciiTheme="minorHAnsi" w:eastAsiaTheme="minorEastAsia" w:hAnsiTheme="minorHAnsi" w:cstheme="minorBidi"/>
      <w:szCs w:val="22"/>
      <w:lang w:val="x-none" w:eastAsia="zh-CN"/>
    </w:rPr>
  </w:style>
  <w:style w:type="paragraph" w:customStyle="1" w:styleId="Paralevel2">
    <w:name w:val="Para level2"/>
    <w:basedOn w:val="Paralevel1"/>
    <w:link w:val="Paralevel2Char"/>
    <w:autoRedefine/>
    <w:rsid w:val="002B19B1"/>
    <w:pPr>
      <w:numPr>
        <w:ilvl w:val="0"/>
        <w:numId w:val="0"/>
      </w:numPr>
      <w:ind w:left="1253"/>
    </w:pPr>
  </w:style>
  <w:style w:type="character" w:styleId="FootnoteReference">
    <w:name w:val="footnote reference"/>
    <w:aliases w:val="16 Point,Superscript 6 Point,ftref,(Ref. de nota al pie),number,SUPERS,Footnote Reference Superscript,Ref,de nota al pie,註腳內容,de nota al pie + (Asian) MS Mincho,11 pt,Ref. de nota de rodapé1,Footnote number,IOEW,E FNZ,-E Fußnotenzeic"/>
    <w:link w:val="BVIfnrCharCharCharChar"/>
    <w:uiPriority w:val="99"/>
    <w:qFormat/>
    <w:rsid w:val="002B19B1"/>
    <w:rPr>
      <w:rFonts w:asciiTheme="minorHAnsi" w:hAnsiTheme="minorHAnsi"/>
      <w:sz w:val="18"/>
      <w:szCs w:val="18"/>
      <w:vertAlign w:val="superscript"/>
    </w:rPr>
  </w:style>
  <w:style w:type="paragraph" w:styleId="FootnoteText">
    <w:name w:val="footnote text"/>
    <w:aliases w:val="Geneva 9,Font: Geneva 9,Boston 10,f,Footnote Text1,93,single space,Footnote Text Rail EIS,ft,footnote3,Footnotes,Footnote ak,fn cafc,Footnotes Char Char,Footnote Text Char Char,fn Char Char,Footnote Text Char Char Char Char,footnote text,C"/>
    <w:basedOn w:val="Normal"/>
    <w:link w:val="FootnoteTextChar"/>
    <w:uiPriority w:val="99"/>
    <w:qFormat/>
    <w:rsid w:val="002B19B1"/>
    <w:pPr>
      <w:snapToGrid w:val="0"/>
      <w:spacing w:before="20" w:after="40"/>
      <w:ind w:left="1253"/>
    </w:pPr>
    <w:rPr>
      <w:rFonts w:asciiTheme="minorHAnsi" w:eastAsiaTheme="minorEastAsia" w:hAnsiTheme="minorHAnsi"/>
      <w:color w:val="auto"/>
      <w:sz w:val="18"/>
      <w:lang w:val="en-GB" w:eastAsia="zh-CN"/>
    </w:rPr>
  </w:style>
  <w:style w:type="character" w:customStyle="1" w:styleId="FootnoteTextChar">
    <w:name w:val="Footnote Text Char"/>
    <w:aliases w:val="Geneva 9 Char,Font: Geneva 9 Char,Boston 10 Char,f Char,Footnote Text1 Char,93 Char,single space Char,Footnote Text Rail EIS Char,ft Char,footnote3 Char,Footnotes Char,Footnote ak Char,fn cafc Char,Footnotes Char Char Char,C Char"/>
    <w:basedOn w:val="DefaultParagraphFont"/>
    <w:link w:val="FootnoteText"/>
    <w:uiPriority w:val="99"/>
    <w:rsid w:val="002B19B1"/>
    <w:rPr>
      <w:rFonts w:asciiTheme="minorHAnsi" w:eastAsiaTheme="minorEastAsia" w:hAnsiTheme="minorHAnsi" w:cstheme="minorBidi"/>
      <w:sz w:val="18"/>
      <w:szCs w:val="22"/>
      <w:lang w:val="en-GB" w:eastAsia="zh-CN"/>
    </w:rPr>
  </w:style>
  <w:style w:type="character" w:customStyle="1" w:styleId="Paralevel2Char">
    <w:name w:val="Para level2 Char"/>
    <w:basedOn w:val="Paralevel1Char"/>
    <w:link w:val="Paralevel2"/>
    <w:rsid w:val="002B19B1"/>
    <w:rPr>
      <w:rFonts w:asciiTheme="minorHAnsi" w:eastAsiaTheme="minorEastAsia" w:hAnsiTheme="minorHAnsi" w:cstheme="minorBidi"/>
      <w:szCs w:val="22"/>
      <w:lang w:val="x-none" w:eastAsia="zh-CN"/>
    </w:rPr>
  </w:style>
  <w:style w:type="paragraph" w:customStyle="1" w:styleId="Subtitle0">
    <w:name w:val="Sub title"/>
    <w:basedOn w:val="Heading2"/>
    <w:uiPriority w:val="99"/>
    <w:rsid w:val="002B19B1"/>
    <w:pPr>
      <w:numPr>
        <w:ilvl w:val="1"/>
      </w:numPr>
      <w:tabs>
        <w:tab w:val="num" w:pos="0"/>
      </w:tabs>
      <w:snapToGrid w:val="0"/>
      <w:spacing w:after="120" w:line="271" w:lineRule="auto"/>
      <w:ind w:left="720" w:hanging="720"/>
      <w:jc w:val="both"/>
    </w:pPr>
    <w:rPr>
      <w:rFonts w:asciiTheme="minorHAnsi" w:eastAsia="Times New Roman" w:hAnsiTheme="minorHAnsi" w:cstheme="minorHAnsi"/>
      <w:b w:val="0"/>
      <w:bCs w:val="0"/>
      <w:i/>
      <w:color w:val="4F81BD"/>
      <w:kern w:val="0"/>
      <w:szCs w:val="28"/>
      <w:lang w:val="en-GB"/>
      <w14:ligatures w14:val="none"/>
    </w:rPr>
  </w:style>
  <w:style w:type="paragraph" w:customStyle="1" w:styleId="Anxhead">
    <w:name w:val="Anx head"/>
    <w:basedOn w:val="Normal"/>
    <w:uiPriority w:val="99"/>
    <w:rsid w:val="002B19B1"/>
    <w:pPr>
      <w:spacing w:after="120"/>
    </w:pPr>
    <w:rPr>
      <w:rFonts w:asciiTheme="minorHAnsi" w:eastAsiaTheme="minorEastAsia" w:hAnsiTheme="minorHAnsi"/>
      <w:b/>
      <w:bCs/>
      <w:color w:val="auto"/>
      <w:sz w:val="28"/>
      <w:lang w:val="en-GB" w:eastAsia="zh-CN"/>
    </w:rPr>
  </w:style>
  <w:style w:type="character" w:customStyle="1" w:styleId="Paralevel1Char1">
    <w:name w:val="Para level1 Char1"/>
    <w:rsid w:val="002B19B1"/>
    <w:rPr>
      <w:lang w:val="en-GB" w:eastAsia="en-US" w:bidi="ar-SA"/>
    </w:rPr>
  </w:style>
  <w:style w:type="paragraph" w:styleId="BalloonText">
    <w:name w:val="Balloon Text"/>
    <w:basedOn w:val="Normal"/>
    <w:link w:val="BalloonTextChar"/>
    <w:uiPriority w:val="99"/>
    <w:semiHidden/>
    <w:rsid w:val="002B19B1"/>
    <w:pPr>
      <w:spacing w:after="120"/>
    </w:pPr>
    <w:rPr>
      <w:rFonts w:ascii="Tahoma" w:eastAsiaTheme="minorEastAsia" w:hAnsi="Tahoma"/>
      <w:color w:val="auto"/>
      <w:sz w:val="16"/>
      <w:szCs w:val="16"/>
      <w:lang w:val="x-none" w:eastAsia="zh-CN"/>
    </w:rPr>
  </w:style>
  <w:style w:type="character" w:customStyle="1" w:styleId="BalloonTextChar">
    <w:name w:val="Balloon Text Char"/>
    <w:basedOn w:val="DefaultParagraphFont"/>
    <w:link w:val="BalloonText"/>
    <w:uiPriority w:val="99"/>
    <w:semiHidden/>
    <w:rsid w:val="002B19B1"/>
    <w:rPr>
      <w:rFonts w:ascii="Tahoma" w:eastAsiaTheme="minorEastAsia" w:hAnsi="Tahoma" w:cstheme="minorBidi"/>
      <w:sz w:val="16"/>
      <w:szCs w:val="16"/>
      <w:lang w:val="x-none" w:eastAsia="zh-CN"/>
    </w:rPr>
  </w:style>
  <w:style w:type="paragraph" w:customStyle="1" w:styleId="Anxtitle">
    <w:name w:val="Anx title"/>
    <w:basedOn w:val="Normal"/>
    <w:link w:val="AnxtitleChar"/>
    <w:rsid w:val="002B19B1"/>
    <w:pPr>
      <w:spacing w:after="120"/>
      <w:ind w:left="1247"/>
    </w:pPr>
    <w:rPr>
      <w:rFonts w:asciiTheme="minorHAnsi" w:eastAsiaTheme="minorEastAsia" w:hAnsiTheme="minorHAnsi"/>
      <w:b/>
      <w:bCs/>
      <w:color w:val="auto"/>
      <w:sz w:val="28"/>
      <w:szCs w:val="26"/>
      <w:lang w:val="en-GB" w:eastAsia="zh-CN"/>
    </w:rPr>
  </w:style>
  <w:style w:type="character" w:customStyle="1" w:styleId="AnxtitleChar">
    <w:name w:val="Anx title Char"/>
    <w:link w:val="Anxtitle"/>
    <w:rsid w:val="002B19B1"/>
    <w:rPr>
      <w:rFonts w:asciiTheme="minorHAnsi" w:eastAsiaTheme="minorEastAsia" w:hAnsiTheme="minorHAnsi" w:cstheme="minorBidi"/>
      <w:b/>
      <w:bCs/>
      <w:sz w:val="28"/>
      <w:szCs w:val="26"/>
      <w:lang w:val="en-GB" w:eastAsia="zh-CN"/>
    </w:rPr>
  </w:style>
  <w:style w:type="paragraph" w:customStyle="1" w:styleId="Normal-pool">
    <w:name w:val="Normal-pool"/>
    <w:link w:val="Normal-poolChar"/>
    <w:qFormat/>
    <w:rsid w:val="002B19B1"/>
    <w:pPr>
      <w:tabs>
        <w:tab w:val="left" w:pos="1247"/>
        <w:tab w:val="left" w:pos="1814"/>
        <w:tab w:val="left" w:pos="2381"/>
        <w:tab w:val="left" w:pos="2948"/>
        <w:tab w:val="left" w:pos="3515"/>
      </w:tabs>
      <w:spacing w:after="160" w:line="259" w:lineRule="auto"/>
    </w:pPr>
    <w:rPr>
      <w:rFonts w:asciiTheme="minorHAnsi" w:eastAsiaTheme="minorEastAsia" w:hAnsiTheme="minorHAnsi" w:cstheme="minorBidi"/>
      <w:sz w:val="22"/>
      <w:szCs w:val="22"/>
      <w:lang w:val="en-GB"/>
    </w:rPr>
  </w:style>
  <w:style w:type="paragraph" w:customStyle="1" w:styleId="Rvision1">
    <w:name w:val="Révision1"/>
    <w:hidden/>
    <w:uiPriority w:val="99"/>
    <w:semiHidden/>
    <w:rsid w:val="002B19B1"/>
    <w:pPr>
      <w:spacing w:after="160" w:line="259" w:lineRule="auto"/>
    </w:pPr>
    <w:rPr>
      <w:rFonts w:asciiTheme="minorHAnsi" w:eastAsiaTheme="minorEastAsia" w:hAnsiTheme="minorHAnsi" w:cstheme="minorBidi"/>
      <w:sz w:val="24"/>
      <w:szCs w:val="22"/>
      <w:lang w:val="en-GB"/>
    </w:rPr>
  </w:style>
  <w:style w:type="character" w:customStyle="1" w:styleId="NormalnumberChar">
    <w:name w:val="Normal_number Char"/>
    <w:link w:val="Normalnumber"/>
    <w:uiPriority w:val="99"/>
    <w:rsid w:val="002B19B1"/>
    <w:rPr>
      <w:color w:val="000000" w:themeColor="text1"/>
      <w:lang w:val="x-none"/>
    </w:rPr>
  </w:style>
  <w:style w:type="table" w:customStyle="1" w:styleId="AATable">
    <w:name w:val="AA_Table"/>
    <w:basedOn w:val="TableNormal"/>
    <w:rsid w:val="002B19B1"/>
    <w:pPr>
      <w:spacing w:after="160" w:line="259" w:lineRule="auto"/>
    </w:pPr>
    <w:rPr>
      <w:rFonts w:asciiTheme="minorHAnsi" w:eastAsiaTheme="minorEastAsia" w:hAnsiTheme="minorHAnsi" w:cstheme="minorBidi"/>
      <w:sz w:val="22"/>
      <w:szCs w:val="22"/>
      <w:lang w:eastAsia="zh-CN"/>
    </w:rPr>
    <w:tblPr>
      <w:tblStyleRowBandSize w:val="1"/>
      <w:tblStyleColBandSize w:val="1"/>
      <w:jc w:val="right"/>
    </w:tblPr>
    <w:trPr>
      <w:jc w:val="right"/>
    </w:trPr>
    <w:tblStylePr w:type="firstRow">
      <w:pPr>
        <w:wordWrap/>
        <w:spacing w:beforeLines="0" w:beforeAutospacing="0" w:afterLines="0" w:afterAutospacing="0"/>
        <w:contextualSpacing w:val="0"/>
        <w:jc w:val="left"/>
      </w:pPr>
      <w:rPr>
        <w:rFonts w:ascii="Courier New" w:hAnsi="Courier New"/>
        <w:b/>
        <w:i w:val="0"/>
        <w:caps/>
        <w:smallCaps w:val="0"/>
        <w:color w:val="auto"/>
        <w:sz w:val="27"/>
        <w:szCs w:val="27"/>
      </w:rPr>
    </w:tblStylePr>
    <w:tblStylePr w:type="lastRow">
      <w:pPr>
        <w:wordWrap/>
        <w:ind w:rightChars="0" w:right="567"/>
      </w:pPr>
      <w:rPr>
        <w:rFonts w:ascii="Courier New" w:hAnsi="Courier New"/>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Courier New" w:hAnsi="Courier New"/>
        <w:b/>
        <w:i w:val="0"/>
        <w:color w:val="auto"/>
        <w:sz w:val="64"/>
        <w:szCs w:val="64"/>
      </w:rPr>
    </w:tblStylePr>
    <w:tblStylePr w:type="nwCell">
      <w:rPr>
        <w:rFonts w:ascii="Courier New" w:hAnsi="Courier New"/>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
    <w:uiPriority w:val="99"/>
    <w:rsid w:val="002B19B1"/>
    <w:pPr>
      <w:keepNext/>
      <w:keepLines/>
      <w:suppressAutoHyphens/>
      <w:spacing w:after="120"/>
      <w:ind w:right="3402"/>
    </w:pPr>
    <w:rPr>
      <w:rFonts w:asciiTheme="minorHAnsi" w:eastAsiaTheme="minorEastAsia" w:hAnsiTheme="minorHAnsi"/>
      <w:b/>
      <w:color w:val="auto"/>
      <w:sz w:val="20"/>
      <w:lang w:val="en-GB" w:eastAsia="zh-CN"/>
    </w:rPr>
  </w:style>
  <w:style w:type="paragraph" w:customStyle="1" w:styleId="AATitle2">
    <w:name w:val="AA_Title2"/>
    <w:basedOn w:val="AATitle"/>
    <w:uiPriority w:val="99"/>
    <w:rsid w:val="002B19B1"/>
    <w:pPr>
      <w:spacing w:before="120"/>
      <w:ind w:right="1701"/>
    </w:pPr>
  </w:style>
  <w:style w:type="paragraph" w:customStyle="1" w:styleId="BBTitle">
    <w:name w:val="BB_Title"/>
    <w:basedOn w:val="Normal"/>
    <w:link w:val="BBTitleChar"/>
    <w:rsid w:val="002B19B1"/>
    <w:pPr>
      <w:keepNext/>
      <w:keepLines/>
      <w:suppressAutoHyphens/>
      <w:spacing w:before="320" w:after="240"/>
      <w:ind w:left="1247" w:right="567"/>
    </w:pPr>
    <w:rPr>
      <w:rFonts w:asciiTheme="minorHAnsi" w:eastAsiaTheme="minorEastAsia" w:hAnsiTheme="minorHAnsi"/>
      <w:b/>
      <w:color w:val="auto"/>
      <w:sz w:val="28"/>
      <w:szCs w:val="28"/>
      <w:lang w:val="en-GB" w:eastAsia="zh-CN"/>
    </w:rPr>
  </w:style>
  <w:style w:type="numbering" w:customStyle="1" w:styleId="Normallist">
    <w:name w:val="Normal_list"/>
    <w:basedOn w:val="NoList"/>
    <w:rsid w:val="002B19B1"/>
    <w:pPr>
      <w:numPr>
        <w:numId w:val="16"/>
      </w:numPr>
    </w:pPr>
  </w:style>
  <w:style w:type="paragraph" w:customStyle="1" w:styleId="NormalNonumber">
    <w:name w:val="Normal_No_number"/>
    <w:basedOn w:val="Normal"/>
    <w:uiPriority w:val="99"/>
    <w:rsid w:val="002B19B1"/>
    <w:pPr>
      <w:spacing w:after="120"/>
      <w:ind w:left="1247"/>
    </w:pPr>
    <w:rPr>
      <w:rFonts w:asciiTheme="minorHAnsi" w:eastAsiaTheme="minorEastAsia" w:hAnsiTheme="minorHAnsi"/>
      <w:color w:val="auto"/>
      <w:sz w:val="20"/>
      <w:lang w:val="en-GB" w:eastAsia="zh-CN"/>
    </w:rPr>
  </w:style>
  <w:style w:type="paragraph" w:customStyle="1" w:styleId="Normalnumber">
    <w:name w:val="Normal_number"/>
    <w:basedOn w:val="Normal"/>
    <w:link w:val="NormalnumberChar"/>
    <w:uiPriority w:val="99"/>
    <w:rsid w:val="002B19B1"/>
    <w:pPr>
      <w:numPr>
        <w:numId w:val="17"/>
      </w:numPr>
      <w:tabs>
        <w:tab w:val="clear" w:pos="567"/>
      </w:tabs>
      <w:spacing w:after="120"/>
      <w:ind w:left="0"/>
    </w:pPr>
    <w:rPr>
      <w:rFonts w:ascii="Times New Roman" w:hAnsi="Times New Roman" w:cs="Times New Roman"/>
      <w:sz w:val="20"/>
      <w:szCs w:val="20"/>
      <w:lang w:val="x-none"/>
    </w:rPr>
  </w:style>
  <w:style w:type="paragraph" w:customStyle="1" w:styleId="Titletable">
    <w:name w:val="Title_table"/>
    <w:basedOn w:val="Normal"/>
    <w:uiPriority w:val="99"/>
    <w:rsid w:val="002B19B1"/>
    <w:pPr>
      <w:keepNext/>
      <w:keepLines/>
      <w:suppressAutoHyphens/>
      <w:spacing w:after="60"/>
      <w:ind w:left="1247"/>
    </w:pPr>
    <w:rPr>
      <w:rFonts w:asciiTheme="minorHAnsi" w:eastAsiaTheme="minorEastAsia" w:hAnsiTheme="minorHAnsi"/>
      <w:b/>
      <w:bCs/>
      <w:color w:val="auto"/>
      <w:sz w:val="20"/>
      <w:lang w:val="en-GB" w:eastAsia="zh-CN"/>
    </w:rPr>
  </w:style>
  <w:style w:type="paragraph" w:styleId="TOC1">
    <w:name w:val="toc 1"/>
    <w:basedOn w:val="Normal"/>
    <w:next w:val="Normal"/>
    <w:uiPriority w:val="39"/>
    <w:rsid w:val="002B19B1"/>
    <w:pPr>
      <w:spacing w:before="120" w:after="120"/>
    </w:pPr>
    <w:rPr>
      <w:rFonts w:asciiTheme="minorHAnsi" w:eastAsiaTheme="minorEastAsia" w:hAnsiTheme="minorHAnsi"/>
      <w:b/>
      <w:bCs/>
      <w:caps/>
      <w:color w:val="auto"/>
      <w:sz w:val="20"/>
      <w:szCs w:val="20"/>
      <w:lang w:val="en-GB" w:eastAsia="zh-CN"/>
    </w:rPr>
  </w:style>
  <w:style w:type="paragraph" w:styleId="TOC2">
    <w:name w:val="toc 2"/>
    <w:basedOn w:val="Normal"/>
    <w:next w:val="Normal"/>
    <w:uiPriority w:val="39"/>
    <w:rsid w:val="002B19B1"/>
    <w:pPr>
      <w:ind w:left="200"/>
    </w:pPr>
    <w:rPr>
      <w:rFonts w:asciiTheme="minorHAnsi" w:eastAsiaTheme="minorEastAsia" w:hAnsiTheme="minorHAnsi"/>
      <w:smallCaps/>
      <w:color w:val="auto"/>
      <w:sz w:val="20"/>
      <w:szCs w:val="20"/>
      <w:lang w:val="en-GB" w:eastAsia="zh-CN"/>
    </w:rPr>
  </w:style>
  <w:style w:type="paragraph" w:styleId="TOC3">
    <w:name w:val="toc 3"/>
    <w:basedOn w:val="Normal"/>
    <w:next w:val="Normal"/>
    <w:uiPriority w:val="39"/>
    <w:rsid w:val="002B19B1"/>
    <w:pPr>
      <w:ind w:left="400"/>
    </w:pPr>
    <w:rPr>
      <w:rFonts w:asciiTheme="minorHAnsi" w:eastAsiaTheme="minorEastAsia" w:hAnsiTheme="minorHAnsi"/>
      <w:i/>
      <w:iCs/>
      <w:color w:val="auto"/>
      <w:sz w:val="20"/>
      <w:szCs w:val="20"/>
      <w:lang w:val="en-GB" w:eastAsia="zh-CN"/>
    </w:rPr>
  </w:style>
  <w:style w:type="paragraph" w:styleId="TOC4">
    <w:name w:val="toc 4"/>
    <w:basedOn w:val="Normal"/>
    <w:next w:val="Normal"/>
    <w:uiPriority w:val="39"/>
    <w:rsid w:val="002B19B1"/>
    <w:pPr>
      <w:ind w:left="600"/>
    </w:pPr>
    <w:rPr>
      <w:rFonts w:asciiTheme="minorHAnsi" w:eastAsiaTheme="minorEastAsia" w:hAnsiTheme="minorHAnsi"/>
      <w:color w:val="auto"/>
      <w:sz w:val="18"/>
      <w:szCs w:val="18"/>
      <w:lang w:val="en-GB" w:eastAsia="zh-CN"/>
    </w:rPr>
  </w:style>
  <w:style w:type="paragraph" w:styleId="TOC5">
    <w:name w:val="toc 5"/>
    <w:basedOn w:val="Normal"/>
    <w:next w:val="Normal"/>
    <w:autoRedefine/>
    <w:uiPriority w:val="39"/>
    <w:rsid w:val="002B19B1"/>
    <w:pPr>
      <w:ind w:left="800"/>
    </w:pPr>
    <w:rPr>
      <w:rFonts w:asciiTheme="minorHAnsi" w:eastAsiaTheme="minorEastAsia" w:hAnsiTheme="minorHAnsi"/>
      <w:color w:val="auto"/>
      <w:sz w:val="18"/>
      <w:szCs w:val="18"/>
      <w:lang w:val="en-GB" w:eastAsia="zh-CN"/>
    </w:rPr>
  </w:style>
  <w:style w:type="paragraph" w:customStyle="1" w:styleId="ZZAnxheader">
    <w:name w:val="ZZ_Anx_header"/>
    <w:basedOn w:val="Normal"/>
    <w:uiPriority w:val="99"/>
    <w:rsid w:val="002B19B1"/>
    <w:pPr>
      <w:spacing w:after="120"/>
    </w:pPr>
    <w:rPr>
      <w:rFonts w:asciiTheme="minorHAnsi" w:eastAsiaTheme="minorEastAsia" w:hAnsiTheme="minorHAnsi"/>
      <w:b/>
      <w:bCs/>
      <w:color w:val="auto"/>
      <w:sz w:val="28"/>
      <w:lang w:val="en-GB" w:eastAsia="zh-CN"/>
    </w:rPr>
  </w:style>
  <w:style w:type="paragraph" w:customStyle="1" w:styleId="ZZAnxtitle">
    <w:name w:val="ZZ_Anx_title"/>
    <w:basedOn w:val="Normal"/>
    <w:link w:val="ZZAnxtitleChar"/>
    <w:rsid w:val="002B19B1"/>
    <w:pPr>
      <w:spacing w:before="360" w:after="120"/>
      <w:ind w:left="1247"/>
    </w:pPr>
    <w:rPr>
      <w:rFonts w:asciiTheme="minorHAnsi" w:eastAsiaTheme="minorEastAsia" w:hAnsiTheme="minorHAnsi"/>
      <w:b/>
      <w:bCs/>
      <w:color w:val="auto"/>
      <w:sz w:val="28"/>
      <w:szCs w:val="26"/>
      <w:lang w:val="en-GB" w:eastAsia="zh-CN"/>
    </w:rPr>
  </w:style>
  <w:style w:type="character" w:customStyle="1" w:styleId="overflow-hidden">
    <w:name w:val="overflow-hidden"/>
    <w:basedOn w:val="DefaultParagraphFont"/>
    <w:rsid w:val="002B19B1"/>
  </w:style>
  <w:style w:type="paragraph" w:customStyle="1" w:styleId="ListParagraph3">
    <w:name w:val="List Paragraph3"/>
    <w:aliases w:val="Listeavsnitt1,List Paragraph 2"/>
    <w:basedOn w:val="Normal"/>
    <w:uiPriority w:val="99"/>
    <w:rsid w:val="002B19B1"/>
    <w:pPr>
      <w:spacing w:after="120"/>
      <w:ind w:left="720"/>
      <w:contextualSpacing/>
    </w:pPr>
    <w:rPr>
      <w:rFonts w:asciiTheme="minorHAnsi" w:eastAsia="SimSun" w:hAnsiTheme="minorHAnsi"/>
      <w:color w:val="auto"/>
      <w:sz w:val="20"/>
      <w:lang w:val="nb-NO" w:eastAsia="nb-NO"/>
    </w:rPr>
  </w:style>
  <w:style w:type="paragraph" w:customStyle="1" w:styleId="ListParagraph1">
    <w:name w:val="List Paragraph1"/>
    <w:aliases w:val="List Paragraph31"/>
    <w:basedOn w:val="Normal"/>
    <w:autoRedefine/>
    <w:uiPriority w:val="99"/>
    <w:qFormat/>
    <w:rsid w:val="002B19B1"/>
    <w:pPr>
      <w:spacing w:after="120"/>
      <w:ind w:left="720"/>
    </w:pPr>
    <w:rPr>
      <w:rFonts w:eastAsia="SimSun" w:cs="Calibri"/>
      <w:color w:val="auto"/>
      <w:sz w:val="20"/>
      <w:lang w:val="nb-NO" w:eastAsia="zh-CN"/>
    </w:rPr>
  </w:style>
  <w:style w:type="character" w:customStyle="1" w:styleId="CaptionChar">
    <w:name w:val="Caption Char"/>
    <w:aliases w:val="Table Char"/>
    <w:link w:val="Caption"/>
    <w:uiPriority w:val="35"/>
    <w:locked/>
    <w:rsid w:val="002B19B1"/>
    <w:rPr>
      <w:rFonts w:asciiTheme="minorHAnsi" w:eastAsiaTheme="minorEastAsia" w:hAnsiTheme="minorHAnsi" w:cstheme="minorBidi"/>
      <w:b/>
      <w:iCs/>
      <w:szCs w:val="18"/>
      <w:lang w:val="en-GB" w:eastAsia="zh-CN"/>
    </w:rPr>
  </w:style>
  <w:style w:type="paragraph" w:styleId="BodyText">
    <w:name w:val="Body Text"/>
    <w:basedOn w:val="Normal"/>
    <w:link w:val="BodyTextChar"/>
    <w:uiPriority w:val="99"/>
    <w:rsid w:val="002B19B1"/>
    <w:pPr>
      <w:spacing w:after="120" w:line="276" w:lineRule="auto"/>
    </w:pPr>
    <w:rPr>
      <w:rFonts w:eastAsia="SimSun"/>
      <w:color w:val="auto"/>
      <w:sz w:val="20"/>
      <w:lang w:val="nb-NO" w:eastAsia="zh-CN"/>
    </w:rPr>
  </w:style>
  <w:style w:type="character" w:customStyle="1" w:styleId="BodyTextChar">
    <w:name w:val="Body Text Char"/>
    <w:basedOn w:val="DefaultParagraphFont"/>
    <w:link w:val="BodyText"/>
    <w:uiPriority w:val="99"/>
    <w:rsid w:val="002B19B1"/>
    <w:rPr>
      <w:rFonts w:ascii="Calibri" w:eastAsia="SimSun" w:hAnsi="Calibri" w:cstheme="minorBidi"/>
      <w:szCs w:val="22"/>
      <w:lang w:val="nb-NO" w:eastAsia="zh-CN"/>
    </w:rPr>
  </w:style>
  <w:style w:type="paragraph" w:customStyle="1" w:styleId="yiv272510692msonormal">
    <w:name w:val="yiv272510692msonormal"/>
    <w:basedOn w:val="Normal"/>
    <w:uiPriority w:val="99"/>
    <w:rsid w:val="002B19B1"/>
    <w:pPr>
      <w:spacing w:before="100" w:beforeAutospacing="1" w:after="100" w:afterAutospacing="1"/>
    </w:pPr>
    <w:rPr>
      <w:rFonts w:asciiTheme="minorHAnsi" w:eastAsia="SimSun" w:hAnsiTheme="minorHAnsi"/>
      <w:color w:val="auto"/>
      <w:sz w:val="20"/>
      <w:szCs w:val="24"/>
      <w:lang w:val="nb-NO" w:eastAsia="nb-NO"/>
    </w:rPr>
  </w:style>
  <w:style w:type="paragraph" w:customStyle="1" w:styleId="Stil1">
    <w:name w:val="Stil1"/>
    <w:basedOn w:val="Heading2"/>
    <w:link w:val="Stil1Tegn"/>
    <w:uiPriority w:val="99"/>
    <w:rsid w:val="002B19B1"/>
    <w:pPr>
      <w:numPr>
        <w:ilvl w:val="1"/>
        <w:numId w:val="19"/>
      </w:numPr>
      <w:tabs>
        <w:tab w:val="clear" w:pos="720"/>
      </w:tabs>
      <w:snapToGrid w:val="0"/>
      <w:spacing w:after="60" w:line="271" w:lineRule="auto"/>
      <w:ind w:left="0" w:firstLine="0"/>
      <w:jc w:val="both"/>
    </w:pPr>
    <w:rPr>
      <w:rFonts w:ascii="Lucida Sans" w:eastAsia="MS Gothic" w:hAnsi="Lucida Sans" w:cstheme="minorHAnsi"/>
      <w:bCs w:val="0"/>
      <w:i/>
      <w:color w:val="4F81BD"/>
      <w:kern w:val="0"/>
      <w:szCs w:val="28"/>
      <w:lang w:val="en-CA" w:eastAsia="nb-NO"/>
      <w14:ligatures w14:val="none"/>
    </w:rPr>
  </w:style>
  <w:style w:type="character" w:customStyle="1" w:styleId="Stil1Tegn">
    <w:name w:val="Stil1 Tegn"/>
    <w:link w:val="Stil1"/>
    <w:uiPriority w:val="99"/>
    <w:locked/>
    <w:rsid w:val="002B19B1"/>
    <w:rPr>
      <w:rFonts w:ascii="Lucida Sans" w:eastAsia="MS Gothic" w:hAnsi="Lucida Sans" w:cstheme="minorHAnsi"/>
      <w:b/>
      <w:i/>
      <w:color w:val="4F81BD"/>
      <w:sz w:val="28"/>
      <w:szCs w:val="28"/>
      <w:lang w:val="en-CA" w:eastAsia="nb-NO"/>
    </w:rPr>
  </w:style>
  <w:style w:type="paragraph" w:customStyle="1" w:styleId="Listeavsnitt11">
    <w:name w:val="Listeavsnitt11"/>
    <w:basedOn w:val="Normal"/>
    <w:uiPriority w:val="99"/>
    <w:rsid w:val="002B19B1"/>
    <w:pPr>
      <w:spacing w:after="200" w:line="276" w:lineRule="auto"/>
      <w:ind w:left="720"/>
    </w:pPr>
    <w:rPr>
      <w:rFonts w:eastAsia="SimSun" w:cs="Calibri"/>
      <w:color w:val="auto"/>
      <w:sz w:val="20"/>
      <w:lang w:val="nb-NO" w:eastAsia="zh-CN"/>
    </w:rPr>
  </w:style>
  <w:style w:type="paragraph" w:styleId="ListBullet2">
    <w:name w:val="List Bullet 2"/>
    <w:basedOn w:val="Normal"/>
    <w:uiPriority w:val="99"/>
    <w:rsid w:val="002B19B1"/>
    <w:pPr>
      <w:tabs>
        <w:tab w:val="num" w:pos="643"/>
      </w:tabs>
      <w:spacing w:after="200" w:line="276" w:lineRule="auto"/>
      <w:ind w:left="643" w:hanging="360"/>
      <w:contextualSpacing/>
    </w:pPr>
    <w:rPr>
      <w:rFonts w:eastAsia="SimSun"/>
      <w:color w:val="auto"/>
      <w:sz w:val="20"/>
      <w:lang w:val="nb-NO" w:eastAsia="zh-CN"/>
    </w:rPr>
  </w:style>
  <w:style w:type="character" w:customStyle="1" w:styleId="yshortcuts1">
    <w:name w:val="yshortcuts1"/>
    <w:uiPriority w:val="99"/>
    <w:rsid w:val="002B19B1"/>
    <w:rPr>
      <w:color w:val="366388"/>
    </w:rPr>
  </w:style>
  <w:style w:type="paragraph" w:styleId="PlainText">
    <w:name w:val="Plain Text"/>
    <w:basedOn w:val="Normal"/>
    <w:link w:val="PlainTextChar"/>
    <w:uiPriority w:val="99"/>
    <w:rsid w:val="002B19B1"/>
    <w:pPr>
      <w:spacing w:after="120"/>
    </w:pPr>
    <w:rPr>
      <w:rFonts w:ascii="Consolas" w:eastAsia="SimSun" w:hAnsi="Consolas"/>
      <w:color w:val="auto"/>
      <w:sz w:val="21"/>
      <w:szCs w:val="21"/>
      <w:lang w:val="nb-NO" w:eastAsia="zh-CN"/>
    </w:rPr>
  </w:style>
  <w:style w:type="character" w:customStyle="1" w:styleId="PlainTextChar">
    <w:name w:val="Plain Text Char"/>
    <w:basedOn w:val="DefaultParagraphFont"/>
    <w:link w:val="PlainText"/>
    <w:uiPriority w:val="99"/>
    <w:rsid w:val="002B19B1"/>
    <w:rPr>
      <w:rFonts w:ascii="Consolas" w:eastAsia="SimSun" w:hAnsi="Consolas" w:cstheme="minorBidi"/>
      <w:sz w:val="21"/>
      <w:szCs w:val="21"/>
      <w:lang w:val="nb-NO" w:eastAsia="zh-CN"/>
    </w:rPr>
  </w:style>
  <w:style w:type="paragraph" w:styleId="List3">
    <w:name w:val="List 3"/>
    <w:basedOn w:val="Normal"/>
    <w:uiPriority w:val="99"/>
    <w:rsid w:val="002B19B1"/>
    <w:pPr>
      <w:spacing w:after="120"/>
      <w:ind w:left="1080" w:hanging="360"/>
    </w:pPr>
    <w:rPr>
      <w:rFonts w:asciiTheme="minorHAnsi" w:eastAsia="SimSun" w:hAnsiTheme="minorHAnsi"/>
      <w:color w:val="auto"/>
      <w:sz w:val="20"/>
      <w:lang w:val="nb-NO" w:eastAsia="nb-NO"/>
    </w:rPr>
  </w:style>
  <w:style w:type="paragraph" w:customStyle="1" w:styleId="Default">
    <w:name w:val="Default"/>
    <w:uiPriority w:val="99"/>
    <w:rsid w:val="002B19B1"/>
    <w:pPr>
      <w:autoSpaceDE w:val="0"/>
      <w:autoSpaceDN w:val="0"/>
      <w:adjustRightInd w:val="0"/>
      <w:spacing w:after="160" w:line="259" w:lineRule="auto"/>
    </w:pPr>
    <w:rPr>
      <w:rFonts w:ascii="U45 Univers Light" w:eastAsia="SimSun" w:hAnsi="U45 Univers Light" w:cs="U45 Univers Light"/>
      <w:color w:val="000000"/>
      <w:sz w:val="24"/>
      <w:szCs w:val="24"/>
      <w:lang w:val="nb-NO"/>
    </w:rPr>
  </w:style>
  <w:style w:type="paragraph" w:customStyle="1" w:styleId="yiv148691247msonormal">
    <w:name w:val="yiv148691247msonormal"/>
    <w:basedOn w:val="Normal"/>
    <w:uiPriority w:val="99"/>
    <w:rsid w:val="002B19B1"/>
    <w:pPr>
      <w:spacing w:before="100" w:beforeAutospacing="1" w:after="100" w:afterAutospacing="1"/>
    </w:pPr>
    <w:rPr>
      <w:rFonts w:asciiTheme="minorHAnsi" w:eastAsia="SimSun" w:hAnsiTheme="minorHAnsi"/>
      <w:color w:val="auto"/>
      <w:sz w:val="20"/>
      <w:szCs w:val="24"/>
      <w:lang w:val="nb-NO" w:eastAsia="nb-NO"/>
    </w:rPr>
  </w:style>
  <w:style w:type="paragraph" w:customStyle="1" w:styleId="yiv1589261709normalnumber">
    <w:name w:val="yiv1589261709normalnumber"/>
    <w:basedOn w:val="Normal"/>
    <w:uiPriority w:val="99"/>
    <w:rsid w:val="002B19B1"/>
    <w:pPr>
      <w:spacing w:before="100" w:beforeAutospacing="1" w:after="100" w:afterAutospacing="1"/>
    </w:pPr>
    <w:rPr>
      <w:rFonts w:asciiTheme="minorHAnsi" w:eastAsia="SimSun" w:hAnsiTheme="minorHAnsi"/>
      <w:color w:val="auto"/>
      <w:sz w:val="20"/>
      <w:szCs w:val="24"/>
      <w:lang w:val="nb-NO" w:eastAsia="nb-NO"/>
    </w:rPr>
  </w:style>
  <w:style w:type="paragraph" w:customStyle="1" w:styleId="ListParagraph2">
    <w:name w:val="List Paragraph2"/>
    <w:basedOn w:val="Normal"/>
    <w:uiPriority w:val="99"/>
    <w:rsid w:val="002B19B1"/>
    <w:pPr>
      <w:spacing w:after="120"/>
      <w:ind w:left="720"/>
      <w:contextualSpacing/>
    </w:pPr>
    <w:rPr>
      <w:rFonts w:asciiTheme="minorHAnsi" w:eastAsia="SimSun" w:hAnsiTheme="minorHAnsi"/>
      <w:color w:val="auto"/>
      <w:sz w:val="20"/>
      <w:lang w:val="nb-NO" w:eastAsia="nb-NO"/>
    </w:rPr>
  </w:style>
  <w:style w:type="paragraph" w:customStyle="1" w:styleId="CM21">
    <w:name w:val="CM21"/>
    <w:basedOn w:val="Default"/>
    <w:next w:val="Default"/>
    <w:uiPriority w:val="99"/>
    <w:rsid w:val="002B19B1"/>
    <w:rPr>
      <w:rFonts w:ascii="Times New Roman" w:hAnsi="Times New Roman" w:cs="Times New Roman"/>
      <w:color w:val="auto"/>
      <w:lang w:eastAsia="nb-NO"/>
    </w:rPr>
  </w:style>
  <w:style w:type="paragraph" w:styleId="Date">
    <w:name w:val="Date"/>
    <w:basedOn w:val="Normal"/>
    <w:next w:val="Normal"/>
    <w:link w:val="DateChar"/>
    <w:uiPriority w:val="99"/>
    <w:rsid w:val="002B19B1"/>
    <w:pPr>
      <w:spacing w:after="120"/>
    </w:pPr>
    <w:rPr>
      <w:rFonts w:asciiTheme="minorHAnsi" w:eastAsia="SimSun" w:hAnsiTheme="minorHAnsi"/>
      <w:color w:val="auto"/>
      <w:sz w:val="20"/>
      <w:szCs w:val="24"/>
      <w:lang w:val="en-GB" w:eastAsia="zh-CN"/>
    </w:rPr>
  </w:style>
  <w:style w:type="character" w:customStyle="1" w:styleId="DateChar">
    <w:name w:val="Date Char"/>
    <w:basedOn w:val="DefaultParagraphFont"/>
    <w:link w:val="Date"/>
    <w:uiPriority w:val="99"/>
    <w:rsid w:val="002B19B1"/>
    <w:rPr>
      <w:rFonts w:asciiTheme="minorHAnsi" w:eastAsia="SimSun" w:hAnsiTheme="minorHAnsi" w:cstheme="minorBidi"/>
      <w:szCs w:val="24"/>
      <w:lang w:val="en-GB" w:eastAsia="zh-CN"/>
    </w:rPr>
  </w:style>
  <w:style w:type="paragraph" w:styleId="List2">
    <w:name w:val="List 2"/>
    <w:basedOn w:val="Normal"/>
    <w:uiPriority w:val="99"/>
    <w:rsid w:val="002B19B1"/>
    <w:pPr>
      <w:spacing w:after="120"/>
      <w:ind w:left="566" w:hanging="283"/>
      <w:contextualSpacing/>
    </w:pPr>
    <w:rPr>
      <w:rFonts w:asciiTheme="minorHAnsi" w:eastAsia="SimSun" w:hAnsiTheme="minorHAnsi"/>
      <w:color w:val="auto"/>
      <w:sz w:val="20"/>
      <w:lang w:val="nb-NO" w:eastAsia="nb-NO"/>
    </w:rPr>
  </w:style>
  <w:style w:type="paragraph" w:customStyle="1" w:styleId="Overskriftforinnholdsfortegnelse1">
    <w:name w:val="Overskrift for innholdsfortegnelse1"/>
    <w:basedOn w:val="Heading1"/>
    <w:next w:val="Normal"/>
    <w:uiPriority w:val="99"/>
    <w:rsid w:val="002B19B1"/>
    <w:pPr>
      <w:snapToGrid w:val="0"/>
      <w:spacing w:before="480" w:after="240"/>
      <w:outlineLvl w:val="9"/>
    </w:pPr>
    <w:rPr>
      <w:rFonts w:ascii="Lucida Sans" w:eastAsia="MS Gothic" w:hAnsi="Lucida Sans" w:cstheme="minorHAnsi"/>
      <w:b w:val="0"/>
      <w:bCs/>
      <w:color w:val="365F91"/>
      <w:sz w:val="28"/>
      <w:szCs w:val="28"/>
      <w:lang w:val="en-GB" w:eastAsia="zh-CN"/>
    </w:rPr>
  </w:style>
  <w:style w:type="paragraph" w:styleId="List">
    <w:name w:val="List"/>
    <w:basedOn w:val="Normal"/>
    <w:uiPriority w:val="99"/>
    <w:rsid w:val="002B19B1"/>
    <w:pPr>
      <w:spacing w:after="120"/>
      <w:ind w:left="360" w:hanging="360"/>
    </w:pPr>
    <w:rPr>
      <w:rFonts w:asciiTheme="minorHAnsi" w:eastAsia="SimSun" w:hAnsiTheme="minorHAnsi"/>
      <w:color w:val="auto"/>
      <w:sz w:val="20"/>
      <w:lang w:val="nb-NO" w:eastAsia="nb-NO"/>
    </w:rPr>
  </w:style>
  <w:style w:type="paragraph" w:customStyle="1" w:styleId="paragraphnumbered">
    <w:name w:val="paragraphnumbered"/>
    <w:basedOn w:val="Normal"/>
    <w:uiPriority w:val="99"/>
    <w:rsid w:val="002B19B1"/>
    <w:pPr>
      <w:tabs>
        <w:tab w:val="num" w:pos="720"/>
      </w:tabs>
      <w:spacing w:after="120"/>
      <w:ind w:left="360"/>
    </w:pPr>
    <w:rPr>
      <w:rFonts w:asciiTheme="minorHAnsi" w:eastAsia="SimSun" w:hAnsiTheme="minorHAnsi"/>
      <w:color w:val="auto"/>
      <w:sz w:val="20"/>
      <w:lang w:val="en-GB" w:eastAsia="zh-CN"/>
    </w:rPr>
  </w:style>
  <w:style w:type="paragraph" w:styleId="ListBullet">
    <w:name w:val="List Bullet"/>
    <w:basedOn w:val="Normal"/>
    <w:uiPriority w:val="99"/>
    <w:rsid w:val="002B19B1"/>
    <w:pPr>
      <w:tabs>
        <w:tab w:val="num" w:pos="360"/>
      </w:tabs>
      <w:spacing w:after="120"/>
      <w:ind w:left="360" w:hanging="360"/>
      <w:contextualSpacing/>
    </w:pPr>
    <w:rPr>
      <w:rFonts w:asciiTheme="minorHAnsi" w:eastAsia="SimSun" w:hAnsiTheme="minorHAnsi"/>
      <w:color w:val="auto"/>
      <w:sz w:val="20"/>
      <w:lang w:val="nb-NO" w:eastAsia="nb-NO"/>
    </w:rPr>
  </w:style>
  <w:style w:type="paragraph" w:styleId="BodyTextFirstIndent">
    <w:name w:val="Body Text First Indent"/>
    <w:basedOn w:val="BodyText"/>
    <w:link w:val="BodyTextFirstIndentChar"/>
    <w:uiPriority w:val="99"/>
    <w:rsid w:val="002B19B1"/>
    <w:pPr>
      <w:spacing w:after="0" w:line="240" w:lineRule="auto"/>
      <w:ind w:firstLine="360"/>
    </w:pPr>
    <w:rPr>
      <w:sz w:val="24"/>
      <w:lang w:eastAsia="nb-NO"/>
    </w:rPr>
  </w:style>
  <w:style w:type="character" w:customStyle="1" w:styleId="BodyTextFirstIndentChar">
    <w:name w:val="Body Text First Indent Char"/>
    <w:basedOn w:val="BodyTextChar"/>
    <w:link w:val="BodyTextFirstIndent"/>
    <w:uiPriority w:val="99"/>
    <w:rsid w:val="002B19B1"/>
    <w:rPr>
      <w:rFonts w:ascii="Calibri" w:eastAsia="SimSun" w:hAnsi="Calibri" w:cstheme="minorBidi"/>
      <w:sz w:val="24"/>
      <w:szCs w:val="22"/>
      <w:lang w:val="nb-NO" w:eastAsia="nb-NO"/>
    </w:rPr>
  </w:style>
  <w:style w:type="paragraph" w:styleId="BodyTextIndent">
    <w:name w:val="Body Text Indent"/>
    <w:basedOn w:val="Normal"/>
    <w:link w:val="BodyTextIndentChar"/>
    <w:uiPriority w:val="99"/>
    <w:rsid w:val="002B19B1"/>
    <w:pPr>
      <w:spacing w:after="120"/>
      <w:ind w:left="283"/>
    </w:pPr>
    <w:rPr>
      <w:rFonts w:asciiTheme="minorHAnsi" w:eastAsia="SimSun" w:hAnsiTheme="minorHAnsi"/>
      <w:color w:val="auto"/>
      <w:sz w:val="20"/>
      <w:lang w:val="nb-NO" w:eastAsia="nb-NO"/>
    </w:rPr>
  </w:style>
  <w:style w:type="character" w:customStyle="1" w:styleId="BodyTextIndentChar">
    <w:name w:val="Body Text Indent Char"/>
    <w:basedOn w:val="DefaultParagraphFont"/>
    <w:link w:val="BodyTextIndent"/>
    <w:uiPriority w:val="99"/>
    <w:rsid w:val="002B19B1"/>
    <w:rPr>
      <w:rFonts w:asciiTheme="minorHAnsi" w:eastAsia="SimSun" w:hAnsiTheme="minorHAnsi" w:cstheme="minorBidi"/>
      <w:szCs w:val="22"/>
      <w:lang w:val="nb-NO" w:eastAsia="nb-NO"/>
    </w:rPr>
  </w:style>
  <w:style w:type="paragraph" w:styleId="BodyTextFirstIndent2">
    <w:name w:val="Body Text First Indent 2"/>
    <w:aliases w:val=" Char2"/>
    <w:basedOn w:val="BodyTextIndent"/>
    <w:link w:val="BodyTextFirstIndent2Char"/>
    <w:uiPriority w:val="99"/>
    <w:rsid w:val="002B19B1"/>
    <w:pPr>
      <w:spacing w:after="0"/>
      <w:ind w:left="360" w:firstLine="360"/>
    </w:pPr>
  </w:style>
  <w:style w:type="character" w:customStyle="1" w:styleId="BodyTextFirstIndent2Char">
    <w:name w:val="Body Text First Indent 2 Char"/>
    <w:aliases w:val=" Char2 Char"/>
    <w:basedOn w:val="BodyTextIndentChar"/>
    <w:link w:val="BodyTextFirstIndent2"/>
    <w:uiPriority w:val="99"/>
    <w:rsid w:val="002B19B1"/>
    <w:rPr>
      <w:rFonts w:asciiTheme="minorHAnsi" w:eastAsia="SimSun" w:hAnsiTheme="minorHAnsi" w:cstheme="minorBidi"/>
      <w:szCs w:val="22"/>
      <w:lang w:val="nb-NO" w:eastAsia="nb-NO"/>
    </w:rPr>
  </w:style>
  <w:style w:type="paragraph" w:customStyle="1" w:styleId="Listeavsnitt2">
    <w:name w:val="Listeavsnitt2"/>
    <w:basedOn w:val="Normal"/>
    <w:uiPriority w:val="99"/>
    <w:rsid w:val="002B19B1"/>
    <w:pPr>
      <w:spacing w:after="120"/>
      <w:ind w:left="720"/>
      <w:contextualSpacing/>
    </w:pPr>
    <w:rPr>
      <w:rFonts w:asciiTheme="minorHAnsi" w:eastAsia="SimSun" w:hAnsiTheme="minorHAnsi"/>
      <w:color w:val="auto"/>
      <w:sz w:val="20"/>
      <w:lang w:val="nb-NO" w:eastAsia="nb-NO"/>
    </w:rPr>
  </w:style>
  <w:style w:type="paragraph" w:customStyle="1" w:styleId="Ingenmellomrom1">
    <w:name w:val="Ingen mellomrom1"/>
    <w:uiPriority w:val="99"/>
    <w:rsid w:val="002B19B1"/>
    <w:pPr>
      <w:spacing w:after="160" w:line="259" w:lineRule="auto"/>
    </w:pPr>
    <w:rPr>
      <w:rFonts w:asciiTheme="minorHAnsi" w:eastAsia="SimSun" w:hAnsiTheme="minorHAnsi" w:cstheme="minorBidi"/>
      <w:sz w:val="24"/>
      <w:szCs w:val="22"/>
      <w:lang w:val="nb-NO" w:eastAsia="nb-NO"/>
    </w:rPr>
  </w:style>
  <w:style w:type="character" w:customStyle="1" w:styleId="Svakutheving1">
    <w:name w:val="Svak utheving1"/>
    <w:uiPriority w:val="99"/>
    <w:rsid w:val="002B19B1"/>
    <w:rPr>
      <w:i/>
      <w:color w:val="808080"/>
    </w:rPr>
  </w:style>
  <w:style w:type="character" w:customStyle="1" w:styleId="Sterkutheving1">
    <w:name w:val="Sterk utheving1"/>
    <w:uiPriority w:val="99"/>
    <w:rsid w:val="002B19B1"/>
    <w:rPr>
      <w:b/>
      <w:i/>
      <w:color w:val="4F81BD"/>
    </w:rPr>
  </w:style>
  <w:style w:type="character" w:customStyle="1" w:styleId="yiv148691247msofootnotereference">
    <w:name w:val="yiv148691247msofootnotereference"/>
    <w:uiPriority w:val="99"/>
    <w:rsid w:val="002B19B1"/>
  </w:style>
  <w:style w:type="paragraph" w:customStyle="1" w:styleId="yiv1589261709msonormal">
    <w:name w:val="yiv1589261709msonormal"/>
    <w:basedOn w:val="Normal"/>
    <w:uiPriority w:val="99"/>
    <w:rsid w:val="002B19B1"/>
    <w:pPr>
      <w:spacing w:before="100" w:beforeAutospacing="1" w:after="100" w:afterAutospacing="1"/>
    </w:pPr>
    <w:rPr>
      <w:rFonts w:asciiTheme="minorHAnsi" w:eastAsia="SimSun" w:hAnsiTheme="minorHAnsi"/>
      <w:color w:val="auto"/>
      <w:sz w:val="20"/>
      <w:szCs w:val="24"/>
      <w:lang w:val="nb-NO" w:eastAsia="nb-NO"/>
    </w:rPr>
  </w:style>
  <w:style w:type="character" w:customStyle="1" w:styleId="citation-abbreviation">
    <w:name w:val="citation-abbreviation"/>
    <w:uiPriority w:val="99"/>
    <w:rsid w:val="002B19B1"/>
    <w:rPr>
      <w:rFonts w:cs="Times New Roman"/>
    </w:rPr>
  </w:style>
  <w:style w:type="character" w:customStyle="1" w:styleId="citation-publication-date">
    <w:name w:val="citation-publication-date"/>
    <w:uiPriority w:val="99"/>
    <w:rsid w:val="002B19B1"/>
    <w:rPr>
      <w:rFonts w:cs="Times New Roman"/>
    </w:rPr>
  </w:style>
  <w:style w:type="character" w:customStyle="1" w:styleId="citation-volume">
    <w:name w:val="citation-volume"/>
    <w:uiPriority w:val="99"/>
    <w:rsid w:val="002B19B1"/>
    <w:rPr>
      <w:rFonts w:cs="Times New Roman"/>
    </w:rPr>
  </w:style>
  <w:style w:type="character" w:customStyle="1" w:styleId="citation-flpages">
    <w:name w:val="citation-flpages"/>
    <w:uiPriority w:val="99"/>
    <w:rsid w:val="002B19B1"/>
    <w:rPr>
      <w:rFonts w:cs="Times New Roman"/>
    </w:rPr>
  </w:style>
  <w:style w:type="character" w:customStyle="1" w:styleId="fm-vol-iss-date">
    <w:name w:val="fm-vol-iss-date"/>
    <w:uiPriority w:val="99"/>
    <w:rsid w:val="002B19B1"/>
    <w:rPr>
      <w:rFonts w:cs="Times New Roman"/>
    </w:rPr>
  </w:style>
  <w:style w:type="character" w:customStyle="1" w:styleId="pages">
    <w:name w:val="pages"/>
    <w:uiPriority w:val="99"/>
    <w:rsid w:val="002B19B1"/>
    <w:rPr>
      <w:rFonts w:cs="Times New Roman"/>
    </w:rPr>
  </w:style>
  <w:style w:type="paragraph" w:customStyle="1" w:styleId="ColorfulShading-Accent11">
    <w:name w:val="Colorful Shading - Accent 11"/>
    <w:hidden/>
    <w:uiPriority w:val="99"/>
    <w:semiHidden/>
    <w:rsid w:val="002B19B1"/>
    <w:pPr>
      <w:spacing w:after="160" w:line="259" w:lineRule="auto"/>
    </w:pPr>
    <w:rPr>
      <w:rFonts w:asciiTheme="minorHAnsi" w:eastAsia="SimSun" w:hAnsiTheme="minorHAnsi" w:cstheme="minorBidi"/>
      <w:sz w:val="24"/>
      <w:szCs w:val="24"/>
      <w:lang w:val="en-GB" w:eastAsia="zh-CN"/>
    </w:rPr>
  </w:style>
  <w:style w:type="paragraph" w:customStyle="1" w:styleId="ColorfulList-Accent11">
    <w:name w:val="Colorful List - Accent 11"/>
    <w:basedOn w:val="Normal"/>
    <w:uiPriority w:val="99"/>
    <w:rsid w:val="002B19B1"/>
    <w:pPr>
      <w:spacing w:after="120"/>
      <w:ind w:left="720"/>
      <w:contextualSpacing/>
    </w:pPr>
    <w:rPr>
      <w:rFonts w:asciiTheme="minorHAnsi" w:eastAsia="SimSun" w:hAnsiTheme="minorHAnsi"/>
      <w:color w:val="auto"/>
      <w:sz w:val="20"/>
      <w:szCs w:val="24"/>
      <w:lang w:val="en-GB" w:eastAsia="zh-CN"/>
    </w:rPr>
  </w:style>
  <w:style w:type="character" w:styleId="FollowedHyperlink">
    <w:name w:val="FollowedHyperlink"/>
    <w:uiPriority w:val="99"/>
    <w:rsid w:val="002B19B1"/>
    <w:rPr>
      <w:rFonts w:cs="Times New Roman"/>
      <w:color w:val="800080"/>
      <w:u w:val="single"/>
    </w:rPr>
  </w:style>
  <w:style w:type="character" w:customStyle="1" w:styleId="CommentTextChar1">
    <w:name w:val="Comment Text Char1"/>
    <w:aliases w:val="Comment Text Char Char,Char Char Char Char Char Char Char Char Char1,Char Char Char Char Char Char Char Char Char Char,Kommentartext1 Char,Char Char Char Char Char Char Char Char1 Char,Char3 Char Char Char Char Ch Char1"/>
    <w:locked/>
    <w:rsid w:val="002B19B1"/>
    <w:rPr>
      <w:rFonts w:ascii="Calibri" w:hAnsi="Calibri"/>
      <w:lang w:val="en-CA" w:eastAsia="en-US" w:bidi="ar-SA"/>
    </w:rPr>
  </w:style>
  <w:style w:type="character" w:customStyle="1" w:styleId="Kommentartext2">
    <w:name w:val="Kommentartext2"/>
    <w:aliases w:val="Char2,Char Char2,Char Char Char Char Char Char Char Char2,Char Char Char Char Char Char Char Char Char2,Kommentartext11,Char Char Char Char Char Char Char Char11,Char3 Char Char Char Char Ch Char2,Char11,Char Char11"/>
    <w:locked/>
    <w:rsid w:val="002B19B1"/>
    <w:rPr>
      <w:rFonts w:eastAsia="SimSun"/>
      <w:sz w:val="24"/>
      <w:szCs w:val="24"/>
      <w:lang w:val="nb-NO" w:eastAsia="nb-NO" w:bidi="ar-SA"/>
    </w:rPr>
  </w:style>
  <w:style w:type="paragraph" w:styleId="DocumentMap">
    <w:name w:val="Document Map"/>
    <w:basedOn w:val="Normal"/>
    <w:link w:val="DocumentMapChar"/>
    <w:uiPriority w:val="99"/>
    <w:rsid w:val="002B19B1"/>
    <w:pPr>
      <w:spacing w:after="120"/>
    </w:pPr>
    <w:rPr>
      <w:rFonts w:ascii="Lucida Grande" w:eastAsiaTheme="minorEastAsia" w:hAnsi="Lucida Grande" w:cs="Lucida Grande"/>
      <w:color w:val="auto"/>
      <w:sz w:val="20"/>
      <w:szCs w:val="24"/>
      <w:lang w:val="en-GB" w:eastAsia="zh-CN"/>
    </w:rPr>
  </w:style>
  <w:style w:type="character" w:customStyle="1" w:styleId="DocumentMapChar">
    <w:name w:val="Document Map Char"/>
    <w:basedOn w:val="DefaultParagraphFont"/>
    <w:link w:val="DocumentMap"/>
    <w:uiPriority w:val="99"/>
    <w:rsid w:val="002B19B1"/>
    <w:rPr>
      <w:rFonts w:ascii="Lucida Grande" w:eastAsiaTheme="minorEastAsia" w:hAnsi="Lucida Grande" w:cs="Lucida Grande"/>
      <w:szCs w:val="24"/>
      <w:lang w:val="en-GB" w:eastAsia="zh-CN"/>
    </w:rPr>
  </w:style>
  <w:style w:type="character" w:customStyle="1" w:styleId="Ratkaisematonmaininta1">
    <w:name w:val="Ratkaisematon maininta1"/>
    <w:basedOn w:val="DefaultParagraphFont"/>
    <w:uiPriority w:val="99"/>
    <w:semiHidden/>
    <w:unhideWhenUsed/>
    <w:rsid w:val="002B19B1"/>
    <w:rPr>
      <w:color w:val="605E5C"/>
      <w:shd w:val="clear" w:color="auto" w:fill="E1DFDD"/>
    </w:rPr>
  </w:style>
  <w:style w:type="character" w:customStyle="1" w:styleId="BBTitleChar">
    <w:name w:val="BB_Title Char"/>
    <w:link w:val="BBTitle"/>
    <w:rsid w:val="002B19B1"/>
    <w:rPr>
      <w:rFonts w:asciiTheme="minorHAnsi" w:eastAsiaTheme="minorEastAsia" w:hAnsiTheme="minorHAnsi" w:cstheme="minorBidi"/>
      <w:b/>
      <w:sz w:val="28"/>
      <w:szCs w:val="28"/>
      <w:lang w:val="en-GB" w:eastAsia="zh-CN"/>
    </w:rPr>
  </w:style>
  <w:style w:type="character" w:customStyle="1" w:styleId="UnresolvedMention1">
    <w:name w:val="Unresolved Mention1"/>
    <w:basedOn w:val="DefaultParagraphFont"/>
    <w:uiPriority w:val="99"/>
    <w:semiHidden/>
    <w:unhideWhenUsed/>
    <w:rsid w:val="002B19B1"/>
    <w:rPr>
      <w:color w:val="605E5C"/>
      <w:shd w:val="clear" w:color="auto" w:fill="E1DFDD"/>
    </w:rPr>
  </w:style>
  <w:style w:type="paragraph" w:styleId="Revision">
    <w:name w:val="Revision"/>
    <w:hidden/>
    <w:uiPriority w:val="99"/>
    <w:semiHidden/>
    <w:rsid w:val="002B19B1"/>
    <w:pPr>
      <w:spacing w:after="160" w:line="259" w:lineRule="auto"/>
    </w:pPr>
    <w:rPr>
      <w:rFonts w:asciiTheme="minorHAnsi" w:eastAsiaTheme="minorEastAsia" w:hAnsiTheme="minorHAnsi" w:cstheme="minorBidi"/>
      <w:sz w:val="24"/>
      <w:szCs w:val="22"/>
      <w:lang w:val="en-GB"/>
    </w:rPr>
  </w:style>
  <w:style w:type="paragraph" w:customStyle="1" w:styleId="paralevel10">
    <w:name w:val="para level1"/>
    <w:basedOn w:val="Normal"/>
    <w:uiPriority w:val="99"/>
    <w:rsid w:val="002B19B1"/>
    <w:pPr>
      <w:suppressAutoHyphens/>
      <w:spacing w:after="120"/>
      <w:ind w:left="1247"/>
    </w:pPr>
    <w:rPr>
      <w:rFonts w:ascii="Arial" w:eastAsia="MS Mincho" w:hAnsi="Arial" w:cs="Arial"/>
      <w:color w:val="auto"/>
      <w:sz w:val="20"/>
      <w:lang w:val="en-GB" w:eastAsia="zh-CN"/>
    </w:rPr>
  </w:style>
  <w:style w:type="character" w:customStyle="1" w:styleId="containertitle4">
    <w:name w:val="containertitle4"/>
    <w:basedOn w:val="DefaultParagraphFont"/>
    <w:rsid w:val="002B19B1"/>
    <w:rPr>
      <w:rFonts w:ascii="inherit" w:hAnsi="inherit" w:hint="default"/>
      <w:b/>
      <w:bCs/>
      <w:color w:val="4D4D4D"/>
    </w:rPr>
  </w:style>
  <w:style w:type="character" w:customStyle="1" w:styleId="Ratkaisematonmaininta2">
    <w:name w:val="Ratkaisematon maininta2"/>
    <w:basedOn w:val="DefaultParagraphFont"/>
    <w:uiPriority w:val="99"/>
    <w:semiHidden/>
    <w:unhideWhenUsed/>
    <w:rsid w:val="002B19B1"/>
    <w:rPr>
      <w:color w:val="808080"/>
      <w:shd w:val="clear" w:color="auto" w:fill="E6E6E6"/>
    </w:rPr>
  </w:style>
  <w:style w:type="paragraph" w:styleId="TOCHeading">
    <w:name w:val="TOC Heading"/>
    <w:basedOn w:val="Heading1"/>
    <w:next w:val="Normal"/>
    <w:uiPriority w:val="39"/>
    <w:unhideWhenUsed/>
    <w:qFormat/>
    <w:rsid w:val="002B19B1"/>
    <w:pPr>
      <w:spacing w:before="240" w:after="120"/>
      <w:outlineLvl w:val="9"/>
    </w:pPr>
    <w:rPr>
      <w:rFonts w:ascii="Cambria" w:hAnsi="Cambria" w:cstheme="minorHAnsi"/>
      <w:b w:val="0"/>
      <w:color w:val="auto"/>
      <w:sz w:val="28"/>
      <w:szCs w:val="28"/>
      <w:lang w:val="en-GB" w:eastAsia="zh-CN"/>
    </w:rPr>
  </w:style>
  <w:style w:type="character" w:styleId="SubtleEmphasis">
    <w:name w:val="Subtle Emphasis"/>
    <w:basedOn w:val="DefaultParagraphFont"/>
    <w:uiPriority w:val="19"/>
    <w:qFormat/>
    <w:rsid w:val="002B19B1"/>
    <w:rPr>
      <w:i/>
      <w:iCs/>
      <w:color w:val="404040" w:themeColor="text1" w:themeTint="BF"/>
    </w:rPr>
  </w:style>
  <w:style w:type="character" w:styleId="SubtleReference">
    <w:name w:val="Subtle Reference"/>
    <w:basedOn w:val="DefaultParagraphFont"/>
    <w:uiPriority w:val="31"/>
    <w:qFormat/>
    <w:rsid w:val="002B19B1"/>
    <w:rPr>
      <w:smallCaps/>
      <w:color w:val="5A5A5A" w:themeColor="text1" w:themeTint="A5"/>
    </w:rPr>
  </w:style>
  <w:style w:type="character" w:styleId="BookTitle">
    <w:name w:val="Book Title"/>
    <w:basedOn w:val="DefaultParagraphFont"/>
    <w:uiPriority w:val="33"/>
    <w:qFormat/>
    <w:rsid w:val="002B19B1"/>
    <w:rPr>
      <w:b/>
      <w:bCs/>
      <w:i/>
      <w:iCs/>
      <w:spacing w:val="5"/>
    </w:rPr>
  </w:style>
  <w:style w:type="paragraph" w:customStyle="1" w:styleId="Formatvorlage3">
    <w:name w:val="Formatvorlage3"/>
    <w:basedOn w:val="Heading2"/>
    <w:uiPriority w:val="99"/>
    <w:qFormat/>
    <w:rsid w:val="002B19B1"/>
    <w:pPr>
      <w:numPr>
        <w:ilvl w:val="1"/>
      </w:numPr>
      <w:tabs>
        <w:tab w:val="num" w:pos="0"/>
        <w:tab w:val="num" w:pos="567"/>
      </w:tabs>
      <w:snapToGrid w:val="0"/>
      <w:spacing w:after="60" w:line="276" w:lineRule="auto"/>
      <w:ind w:left="1247" w:firstLine="567"/>
      <w:jc w:val="both"/>
    </w:pPr>
    <w:rPr>
      <w:rFonts w:eastAsia="SimSun" w:cstheme="minorHAnsi"/>
      <w:bCs w:val="0"/>
      <w:i/>
      <w:color w:val="auto"/>
      <w:kern w:val="0"/>
      <w:szCs w:val="24"/>
      <w:lang w:val="en-GB" w:eastAsia="de-DE"/>
      <w14:ligatures w14:val="none"/>
    </w:rPr>
  </w:style>
  <w:style w:type="table" w:customStyle="1" w:styleId="TableGrid0">
    <w:name w:val="TableGrid"/>
    <w:rsid w:val="002B19B1"/>
    <w:rPr>
      <w:rFonts w:ascii="Calibri" w:eastAsia="MS Mincho" w:hAnsi="Calibri"/>
      <w:sz w:val="22"/>
      <w:szCs w:val="22"/>
    </w:rPr>
    <w:tblPr>
      <w:tblCellMar>
        <w:top w:w="0" w:type="dxa"/>
        <w:left w:w="0" w:type="dxa"/>
        <w:bottom w:w="0" w:type="dxa"/>
        <w:right w:w="0" w:type="dxa"/>
      </w:tblCellMar>
    </w:tblPr>
  </w:style>
  <w:style w:type="character" w:customStyle="1" w:styleId="NichtaufgelsteErwhnung1">
    <w:name w:val="Nicht aufgelöste Erwähnung1"/>
    <w:basedOn w:val="DefaultParagraphFont"/>
    <w:uiPriority w:val="99"/>
    <w:semiHidden/>
    <w:unhideWhenUsed/>
    <w:rsid w:val="002B19B1"/>
    <w:rPr>
      <w:color w:val="605E5C"/>
      <w:shd w:val="clear" w:color="auto" w:fill="E1DFDD"/>
    </w:rPr>
  </w:style>
  <w:style w:type="character" w:customStyle="1" w:styleId="ls5">
    <w:name w:val="ls5"/>
    <w:basedOn w:val="DefaultParagraphFont"/>
    <w:rsid w:val="002B19B1"/>
  </w:style>
  <w:style w:type="character" w:customStyle="1" w:styleId="ls6">
    <w:name w:val="ls6"/>
    <w:basedOn w:val="DefaultParagraphFont"/>
    <w:rsid w:val="002B19B1"/>
  </w:style>
  <w:style w:type="character" w:customStyle="1" w:styleId="viiyi">
    <w:name w:val="viiyi"/>
    <w:basedOn w:val="DefaultParagraphFont"/>
    <w:rsid w:val="002B19B1"/>
  </w:style>
  <w:style w:type="character" w:customStyle="1" w:styleId="jlqj4b">
    <w:name w:val="jlqj4b"/>
    <w:basedOn w:val="DefaultParagraphFont"/>
    <w:rsid w:val="002B19B1"/>
  </w:style>
  <w:style w:type="character" w:customStyle="1" w:styleId="acopre">
    <w:name w:val="acopre"/>
    <w:basedOn w:val="DefaultParagraphFont"/>
    <w:rsid w:val="002B19B1"/>
  </w:style>
  <w:style w:type="character" w:customStyle="1" w:styleId="hscoswrapper">
    <w:name w:val="hs_cos_wrapper"/>
    <w:basedOn w:val="DefaultParagraphFont"/>
    <w:rsid w:val="002B19B1"/>
  </w:style>
  <w:style w:type="paragraph" w:customStyle="1" w:styleId="AFWBody">
    <w:name w:val="AFW Body"/>
    <w:aliases w:val="Body,Normal Arial,AFW Mins,AFW Memo Body"/>
    <w:uiPriority w:val="99"/>
    <w:qFormat/>
    <w:rsid w:val="002B19B1"/>
    <w:pPr>
      <w:spacing w:after="160" w:line="240" w:lineRule="atLeast"/>
    </w:pPr>
    <w:rPr>
      <w:rFonts w:ascii="Arial" w:hAnsi="Arial" w:cstheme="minorBidi"/>
      <w:color w:val="000000"/>
      <w:szCs w:val="22"/>
      <w:lang w:val="en-GB"/>
    </w:rPr>
  </w:style>
  <w:style w:type="paragraph" w:customStyle="1" w:styleId="AFWBullets">
    <w:name w:val="AFW Bullets"/>
    <w:aliases w:val="Bullets 1"/>
    <w:basedOn w:val="AFWBody"/>
    <w:uiPriority w:val="99"/>
    <w:qFormat/>
    <w:rsid w:val="002B19B1"/>
  </w:style>
  <w:style w:type="character" w:customStyle="1" w:styleId="ZZAnxtitleChar">
    <w:name w:val="ZZ_Anx_title Char"/>
    <w:link w:val="ZZAnxtitle"/>
    <w:rsid w:val="002B19B1"/>
    <w:rPr>
      <w:rFonts w:asciiTheme="minorHAnsi" w:eastAsiaTheme="minorEastAsia" w:hAnsiTheme="minorHAnsi" w:cstheme="minorBidi"/>
      <w:b/>
      <w:bCs/>
      <w:sz w:val="28"/>
      <w:szCs w:val="26"/>
      <w:lang w:val="en-GB" w:eastAsia="zh-CN"/>
    </w:rPr>
  </w:style>
  <w:style w:type="character" w:customStyle="1" w:styleId="Normal-poolChar">
    <w:name w:val="Normal-pool Char"/>
    <w:link w:val="Normal-pool"/>
    <w:locked/>
    <w:rsid w:val="002B19B1"/>
    <w:rPr>
      <w:rFonts w:asciiTheme="minorHAnsi" w:eastAsiaTheme="minorEastAsia" w:hAnsiTheme="minorHAnsi" w:cstheme="minorBidi"/>
      <w:sz w:val="22"/>
      <w:szCs w:val="22"/>
      <w:lang w:val="en-GB"/>
    </w:r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w:basedOn w:val="Normal"/>
    <w:link w:val="FootnoteReference"/>
    <w:uiPriority w:val="99"/>
    <w:semiHidden/>
    <w:rsid w:val="002B19B1"/>
    <w:pPr>
      <w:spacing w:before="120" w:after="160" w:line="240" w:lineRule="exact"/>
    </w:pPr>
    <w:rPr>
      <w:rFonts w:asciiTheme="minorHAnsi" w:hAnsiTheme="minorHAnsi" w:cs="Times New Roman"/>
      <w:color w:val="auto"/>
      <w:sz w:val="18"/>
      <w:szCs w:val="18"/>
      <w:vertAlign w:val="superscript"/>
    </w:rPr>
  </w:style>
  <w:style w:type="character" w:customStyle="1" w:styleId="ListParagraphChar">
    <w:name w:val="List Paragraph Char"/>
    <w:aliases w:val="List1 Char,List Paragraph (numbered (a)) Char,References Char,Heading 2_sj Char,Dot pt Char,Bullets Char,Numbered paragraph Char,Desmond 2 Char,Liste 1 Char,Medium Grid 1 - Accent 21 Char,List Paragraph nowy Char"/>
    <w:link w:val="ListParagraph"/>
    <w:qFormat/>
    <w:locked/>
    <w:rsid w:val="002B19B1"/>
    <w:rPr>
      <w:rFonts w:ascii="Calibri" w:hAnsi="Calibri" w:cstheme="minorBidi"/>
      <w:color w:val="2F5496" w:themeColor="accent1" w:themeShade="BF"/>
      <w:sz w:val="24"/>
      <w:szCs w:val="22"/>
    </w:rPr>
  </w:style>
  <w:style w:type="character" w:customStyle="1" w:styleId="markedcontent">
    <w:name w:val="markedcontent"/>
    <w:basedOn w:val="DefaultParagraphFont"/>
    <w:rsid w:val="002B19B1"/>
  </w:style>
  <w:style w:type="character" w:customStyle="1" w:styleId="hgkelc">
    <w:name w:val="hgkelc"/>
    <w:basedOn w:val="DefaultParagraphFont"/>
    <w:rsid w:val="002B19B1"/>
  </w:style>
  <w:style w:type="table" w:customStyle="1" w:styleId="Tabellenraster1">
    <w:name w:val="Tabellenraster1"/>
    <w:basedOn w:val="TableNormal"/>
    <w:next w:val="TableGrid"/>
    <w:uiPriority w:val="59"/>
    <w:rsid w:val="002B19B1"/>
    <w:pPr>
      <w:spacing w:after="160" w:line="259" w:lineRule="auto"/>
    </w:pPr>
    <w:rPr>
      <w:rFonts w:asciiTheme="minorHAnsi" w:eastAsia="SimSun"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59"/>
    <w:rsid w:val="002B19B1"/>
    <w:pPr>
      <w:spacing w:after="160" w:line="259" w:lineRule="auto"/>
    </w:pPr>
    <w:rPr>
      <w:rFonts w:asciiTheme="minorHAnsi" w:eastAsia="SimSun"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semiHidden/>
    <w:unhideWhenUsed/>
    <w:rsid w:val="002B19B1"/>
    <w:rPr>
      <w:vertAlign w:val="superscript"/>
    </w:rPr>
  </w:style>
  <w:style w:type="paragraph" w:styleId="z-TopofForm">
    <w:name w:val="HTML Top of Form"/>
    <w:basedOn w:val="Normal"/>
    <w:next w:val="Normal"/>
    <w:link w:val="z-TopofFormChar"/>
    <w:hidden/>
    <w:uiPriority w:val="99"/>
    <w:semiHidden/>
    <w:unhideWhenUsed/>
    <w:rsid w:val="002B19B1"/>
    <w:pPr>
      <w:pBdr>
        <w:bottom w:val="single" w:sz="6" w:space="1" w:color="auto"/>
      </w:pBdr>
      <w:jc w:val="center"/>
    </w:pPr>
    <w:rPr>
      <w:rFonts w:ascii="Arial" w:eastAsia="Times New Roman" w:hAnsi="Arial" w:cs="Arial"/>
      <w:vanish/>
      <w:color w:val="auto"/>
      <w:sz w:val="16"/>
      <w:szCs w:val="16"/>
      <w:lang w:val="en-GB" w:eastAsia="en-GB"/>
    </w:rPr>
  </w:style>
  <w:style w:type="character" w:customStyle="1" w:styleId="z-TopofFormChar">
    <w:name w:val="z-Top of Form Char"/>
    <w:basedOn w:val="DefaultParagraphFont"/>
    <w:link w:val="z-TopofForm"/>
    <w:uiPriority w:val="99"/>
    <w:semiHidden/>
    <w:rsid w:val="002B19B1"/>
    <w:rPr>
      <w:rFonts w:ascii="Arial" w:eastAsia="Times New Roman" w:hAnsi="Arial" w:cs="Arial"/>
      <w:vanish/>
      <w:sz w:val="16"/>
      <w:szCs w:val="16"/>
      <w:lang w:val="en-GB" w:eastAsia="en-GB"/>
    </w:rPr>
  </w:style>
  <w:style w:type="paragraph" w:customStyle="1" w:styleId="placeholder">
    <w:name w:val="placeholder"/>
    <w:basedOn w:val="Normal"/>
    <w:uiPriority w:val="99"/>
    <w:rsid w:val="002B19B1"/>
    <w:pPr>
      <w:spacing w:before="100" w:beforeAutospacing="1" w:after="100" w:afterAutospacing="1"/>
    </w:pPr>
    <w:rPr>
      <w:rFonts w:ascii="Times New Roman" w:eastAsia="Times New Roman" w:hAnsi="Times New Roman" w:cs="Times New Roman"/>
      <w:color w:val="auto"/>
      <w:szCs w:val="24"/>
      <w:lang w:val="en-GB" w:eastAsia="en-GB"/>
    </w:rPr>
  </w:style>
  <w:style w:type="paragraph" w:styleId="z-BottomofForm">
    <w:name w:val="HTML Bottom of Form"/>
    <w:basedOn w:val="Normal"/>
    <w:next w:val="Normal"/>
    <w:link w:val="z-BottomofFormChar"/>
    <w:hidden/>
    <w:uiPriority w:val="99"/>
    <w:semiHidden/>
    <w:unhideWhenUsed/>
    <w:rsid w:val="002B19B1"/>
    <w:pPr>
      <w:pBdr>
        <w:top w:val="single" w:sz="6" w:space="1" w:color="auto"/>
      </w:pBdr>
      <w:jc w:val="center"/>
    </w:pPr>
    <w:rPr>
      <w:rFonts w:ascii="Arial" w:eastAsia="Times New Roman" w:hAnsi="Arial" w:cs="Arial"/>
      <w:vanish/>
      <w:color w:val="auto"/>
      <w:sz w:val="16"/>
      <w:szCs w:val="16"/>
      <w:lang w:val="en-GB" w:eastAsia="en-GB"/>
    </w:rPr>
  </w:style>
  <w:style w:type="character" w:customStyle="1" w:styleId="z-BottomofFormChar">
    <w:name w:val="z-Bottom of Form Char"/>
    <w:basedOn w:val="DefaultParagraphFont"/>
    <w:link w:val="z-BottomofForm"/>
    <w:uiPriority w:val="99"/>
    <w:semiHidden/>
    <w:rsid w:val="002B19B1"/>
    <w:rPr>
      <w:rFonts w:ascii="Arial" w:eastAsia="Times New Roman" w:hAnsi="Arial" w:cs="Arial"/>
      <w:vanish/>
      <w:sz w:val="16"/>
      <w:szCs w:val="16"/>
      <w:lang w:val="en-GB" w:eastAsia="en-GB"/>
    </w:rPr>
  </w:style>
  <w:style w:type="paragraph" w:customStyle="1" w:styleId="Normal-pool-Table">
    <w:name w:val="Normal-pool-Table"/>
    <w:basedOn w:val="Normal"/>
    <w:uiPriority w:val="99"/>
    <w:rsid w:val="002B19B1"/>
    <w:pPr>
      <w:tabs>
        <w:tab w:val="left" w:pos="624"/>
        <w:tab w:val="left" w:pos="1247"/>
        <w:tab w:val="left" w:pos="1871"/>
        <w:tab w:val="left" w:pos="2495"/>
        <w:tab w:val="left" w:pos="3119"/>
        <w:tab w:val="left" w:pos="3742"/>
        <w:tab w:val="left" w:pos="4366"/>
      </w:tabs>
      <w:spacing w:before="40" w:after="40"/>
    </w:pPr>
    <w:rPr>
      <w:rFonts w:ascii="Times New Roman" w:eastAsia="Times New Roman" w:hAnsi="Times New Roman" w:cs="Times New Roman"/>
      <w:color w:val="auto"/>
      <w:sz w:val="18"/>
      <w:szCs w:val="20"/>
      <w:lang w:val="en-GB"/>
    </w:rPr>
  </w:style>
  <w:style w:type="table" w:styleId="MediumGrid3-Accent1">
    <w:name w:val="Medium Grid 3 Accent 1"/>
    <w:basedOn w:val="TableNormal"/>
    <w:uiPriority w:val="69"/>
    <w:rsid w:val="002B19B1"/>
    <w:rPr>
      <w:rFonts w:eastAsia="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Shading1-Accent2">
    <w:name w:val="Medium Shading 1 Accent 2"/>
    <w:basedOn w:val="TableNormal"/>
    <w:uiPriority w:val="63"/>
    <w:rsid w:val="002B19B1"/>
    <w:rPr>
      <w:rFonts w:eastAsia="Times New Roman"/>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paragraph" w:customStyle="1" w:styleId="Aneksi">
    <w:name w:val="Aneksi"/>
    <w:basedOn w:val="Heading1"/>
    <w:uiPriority w:val="99"/>
    <w:rsid w:val="002B19B1"/>
    <w:pPr>
      <w:keepLines w:val="0"/>
      <w:pageBreakBefore/>
      <w:numPr>
        <w:numId w:val="25"/>
      </w:numPr>
      <w:shd w:val="clear" w:color="auto" w:fill="9CC2E5" w:themeFill="accent5" w:themeFillTint="99"/>
      <w:tabs>
        <w:tab w:val="clear" w:pos="1985"/>
        <w:tab w:val="left" w:pos="851"/>
      </w:tabs>
      <w:spacing w:before="600" w:after="360"/>
      <w:ind w:left="0" w:firstLine="0"/>
    </w:pPr>
    <w:rPr>
      <w:rFonts w:ascii="Myriad Pro" w:eastAsia="Times New Roman" w:hAnsi="Myriad Pro" w:cs="Arial"/>
      <w:bCs/>
      <w:noProof/>
      <w:kern w:val="32"/>
      <w:sz w:val="24"/>
      <w:szCs w:val="32"/>
      <w:lang w:val="sr-Latn-CS"/>
    </w:rPr>
  </w:style>
  <w:style w:type="table" w:styleId="TableColumns5">
    <w:name w:val="Table Columns 5"/>
    <w:basedOn w:val="TableNormal"/>
    <w:uiPriority w:val="99"/>
    <w:rsid w:val="002B19B1"/>
    <w:pPr>
      <w:spacing w:before="120" w:after="120"/>
      <w:jc w:val="both"/>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lassic1">
    <w:name w:val="Table Classic 1"/>
    <w:basedOn w:val="TableNormal"/>
    <w:uiPriority w:val="99"/>
    <w:rsid w:val="002B19B1"/>
    <w:pPr>
      <w:spacing w:before="120" w:after="120"/>
      <w:jc w:val="both"/>
    </w:pPr>
    <w:rPr>
      <w:rFonts w:eastAsia="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Tabele">
    <w:name w:val="Tabele"/>
    <w:basedOn w:val="Normal"/>
    <w:uiPriority w:val="99"/>
    <w:qFormat/>
    <w:rsid w:val="002B19B1"/>
    <w:pPr>
      <w:numPr>
        <w:numId w:val="26"/>
      </w:numPr>
      <w:spacing w:before="120" w:after="360"/>
      <w:ind w:left="0" w:firstLine="0"/>
    </w:pPr>
    <w:rPr>
      <w:rFonts w:ascii="Myriad Pro" w:eastAsia="Times New Roman" w:hAnsi="Myriad Pro" w:cs="Times New Roman"/>
      <w:i/>
      <w:noProof/>
      <w:color w:val="auto"/>
      <w:sz w:val="20"/>
      <w:szCs w:val="24"/>
      <w:lang w:val="sr-Latn-CS"/>
    </w:rPr>
  </w:style>
  <w:style w:type="table" w:styleId="Table3Deffects3">
    <w:name w:val="Table 3D effects 3"/>
    <w:basedOn w:val="TableNormal"/>
    <w:uiPriority w:val="99"/>
    <w:rsid w:val="002B19B1"/>
    <w:pPr>
      <w:spacing w:before="120" w:after="120"/>
      <w:jc w:val="both"/>
    </w:pPr>
    <w:rPr>
      <w:rFonts w:eastAsia="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rsid w:val="002B19B1"/>
    <w:pPr>
      <w:spacing w:before="120" w:after="120"/>
      <w:jc w:val="both"/>
    </w:pPr>
    <w:rPr>
      <w:rFonts w:eastAsia="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paragraph" w:customStyle="1" w:styleId="Grafikon">
    <w:name w:val="Grafikon"/>
    <w:basedOn w:val="Normal"/>
    <w:uiPriority w:val="99"/>
    <w:qFormat/>
    <w:rsid w:val="002B19B1"/>
    <w:pPr>
      <w:numPr>
        <w:numId w:val="27"/>
      </w:numPr>
      <w:spacing w:after="120"/>
      <w:ind w:left="0" w:firstLine="0"/>
      <w:jc w:val="center"/>
    </w:pPr>
    <w:rPr>
      <w:rFonts w:ascii="Myriad Pro" w:eastAsia="Times New Roman" w:hAnsi="Myriad Pro" w:cs="Times New Roman"/>
      <w:i/>
      <w:noProof/>
      <w:color w:val="auto"/>
      <w:sz w:val="20"/>
      <w:szCs w:val="24"/>
      <w:lang w:val="sr-Latn-CS"/>
    </w:rPr>
  </w:style>
  <w:style w:type="character" w:customStyle="1" w:styleId="NoSpacingChar">
    <w:name w:val="No Spacing Char"/>
    <w:basedOn w:val="DefaultParagraphFont"/>
    <w:link w:val="NoSpacing"/>
    <w:uiPriority w:val="1"/>
    <w:rsid w:val="002B19B1"/>
    <w:rPr>
      <w:rFonts w:ascii="Calibri" w:hAnsi="Calibri" w:cs="Arial"/>
      <w:sz w:val="24"/>
      <w:szCs w:val="24"/>
      <w:lang w:val="sr-Latn-CS"/>
    </w:rPr>
  </w:style>
  <w:style w:type="table" w:styleId="LightShading-Accent3">
    <w:name w:val="Light Shading Accent 3"/>
    <w:basedOn w:val="TableNormal"/>
    <w:uiPriority w:val="60"/>
    <w:rsid w:val="002B19B1"/>
    <w:rPr>
      <w:rFonts w:eastAsia="Times New Roman"/>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2B19B1"/>
    <w:rPr>
      <w:rFonts w:eastAsia="Times New Roman"/>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MediumShading2-Accent3">
    <w:name w:val="Medium Shading 2 Accent 3"/>
    <w:basedOn w:val="TableNormal"/>
    <w:uiPriority w:val="64"/>
    <w:rsid w:val="002B19B1"/>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rsid w:val="002B19B1"/>
    <w:rPr>
      <w:rFonts w:eastAsia="Times New Roman"/>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Grid3-Accent5">
    <w:name w:val="Medium Grid 3 Accent 5"/>
    <w:basedOn w:val="TableNormal"/>
    <w:uiPriority w:val="69"/>
    <w:rsid w:val="002B19B1"/>
    <w:rPr>
      <w:rFonts w:eastAsia="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2-Accent2">
    <w:name w:val="Medium Grid 2 Accent 2"/>
    <w:basedOn w:val="TableNormal"/>
    <w:uiPriority w:val="68"/>
    <w:rsid w:val="002B19B1"/>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LightList-Accent4">
    <w:name w:val="Light List Accent 4"/>
    <w:basedOn w:val="TableNormal"/>
    <w:uiPriority w:val="61"/>
    <w:rsid w:val="002B19B1"/>
    <w:rPr>
      <w:rFonts w:eastAsia="Times New Roma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MediumShading2-Accent1">
    <w:name w:val="Medium Shading 2 Accent 1"/>
    <w:basedOn w:val="TableNormal"/>
    <w:uiPriority w:val="64"/>
    <w:rsid w:val="002B19B1"/>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B19B1"/>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edja1">
    <w:name w:val="Pedja1"/>
    <w:basedOn w:val="ListParagraph"/>
    <w:uiPriority w:val="99"/>
    <w:rsid w:val="002B19B1"/>
    <w:pPr>
      <w:numPr>
        <w:numId w:val="35"/>
      </w:numPr>
      <w:ind w:left="0" w:firstLine="0"/>
    </w:pPr>
    <w:rPr>
      <w:rFonts w:ascii="Times New Roman" w:eastAsia="Times New Roman" w:hAnsi="Times New Roman" w:cs="Times New Roman"/>
      <w:noProof/>
      <w:color w:val="auto"/>
      <w:szCs w:val="20"/>
      <w:lang w:val="sr-Latn-RS" w:eastAsia="hr-HR"/>
    </w:rPr>
  </w:style>
  <w:style w:type="paragraph" w:customStyle="1" w:styleId="Pedja2">
    <w:name w:val="Pedja2"/>
    <w:basedOn w:val="ListParagraph"/>
    <w:uiPriority w:val="99"/>
    <w:rsid w:val="002B19B1"/>
    <w:pPr>
      <w:numPr>
        <w:ilvl w:val="1"/>
        <w:numId w:val="35"/>
      </w:numPr>
      <w:ind w:left="0" w:firstLine="0"/>
      <w:jc w:val="both"/>
    </w:pPr>
    <w:rPr>
      <w:rFonts w:ascii="Times New Roman" w:eastAsia="Times New Roman" w:hAnsi="Times New Roman" w:cs="Times New Roman"/>
      <w:noProof/>
      <w:color w:val="auto"/>
      <w:szCs w:val="20"/>
      <w:lang w:val="sr-Latn-RS" w:eastAsia="hr-HR"/>
    </w:rPr>
  </w:style>
  <w:style w:type="numbering" w:customStyle="1" w:styleId="Importovanstyl2">
    <w:name w:val="Importovaný styl 2"/>
    <w:rsid w:val="002B19B1"/>
    <w:pPr>
      <w:numPr>
        <w:numId w:val="87"/>
      </w:numPr>
    </w:pPr>
  </w:style>
  <w:style w:type="numbering" w:customStyle="1" w:styleId="Importovanstyl3">
    <w:name w:val="Importovaný styl 3"/>
    <w:rsid w:val="002B19B1"/>
    <w:pPr>
      <w:numPr>
        <w:numId w:val="89"/>
      </w:numPr>
    </w:pPr>
  </w:style>
  <w:style w:type="numbering" w:customStyle="1" w:styleId="Importovanstyl4">
    <w:name w:val="Importovaný styl 4"/>
    <w:rsid w:val="002B19B1"/>
    <w:pPr>
      <w:numPr>
        <w:numId w:val="91"/>
      </w:numPr>
    </w:pPr>
  </w:style>
  <w:style w:type="numbering" w:customStyle="1" w:styleId="Importovanstyl5">
    <w:name w:val="Importovaný styl 5"/>
    <w:rsid w:val="002B19B1"/>
    <w:pPr>
      <w:numPr>
        <w:numId w:val="93"/>
      </w:numPr>
    </w:pPr>
  </w:style>
  <w:style w:type="numbering" w:customStyle="1" w:styleId="Importovanstyl6">
    <w:name w:val="Importovaný styl 6"/>
    <w:rsid w:val="002B19B1"/>
    <w:pPr>
      <w:numPr>
        <w:numId w:val="95"/>
      </w:numPr>
    </w:pPr>
  </w:style>
  <w:style w:type="character" w:customStyle="1" w:styleId="Hyperlink0">
    <w:name w:val="Hyperlink.0"/>
    <w:basedOn w:val="DefaultParagraphFont"/>
    <w:rsid w:val="002B19B1"/>
    <w:rPr>
      <w:rFonts w:ascii="Times New Roman" w:eastAsia="Times New Roman" w:hAnsi="Times New Roman" w:cs="Times New Roman"/>
      <w:outline w:val="0"/>
      <w:color w:val="0563C1"/>
      <w:sz w:val="24"/>
      <w:szCs w:val="24"/>
      <w:u w:val="single" w:color="0563C1"/>
    </w:rPr>
  </w:style>
  <w:style w:type="numbering" w:customStyle="1" w:styleId="Importovanstyl8">
    <w:name w:val="Importovaný styl 8"/>
    <w:rsid w:val="002B19B1"/>
    <w:pPr>
      <w:numPr>
        <w:numId w:val="97"/>
      </w:numPr>
    </w:pPr>
  </w:style>
  <w:style w:type="table" w:styleId="GridTable2-Accent6">
    <w:name w:val="Grid Table 2 Accent 6"/>
    <w:basedOn w:val="TableNormal"/>
    <w:uiPriority w:val="47"/>
    <w:rsid w:val="002B20A9"/>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uiPriority w:val="99"/>
    <w:rsid w:val="00C23D65"/>
    <w:pPr>
      <w:spacing w:before="100" w:beforeAutospacing="1" w:after="100" w:afterAutospacing="1"/>
    </w:pPr>
    <w:rPr>
      <w:rFonts w:ascii="Times New Roman" w:eastAsia="Times New Roman" w:hAnsi="Times New Roman" w:cs="Times New Roman"/>
      <w:color w:val="auto"/>
      <w:szCs w:val="24"/>
    </w:rPr>
  </w:style>
  <w:style w:type="character" w:customStyle="1" w:styleId="FootnoteTextChar1">
    <w:name w:val="Footnote Text Char1"/>
    <w:aliases w:val="Geneva 9 Char1,Font: Geneva 9 Char1,Boston 10 Char1,f Char1,Footnote Text1 Char1,93 Char1,single space Char1,Footnote Text Rail EIS Char1,ft Char1,footnote3 Char1,Footnotes Char1,Footnote ak Char1,fn cafc Char1,fn Char Char Char"/>
    <w:basedOn w:val="DefaultParagraphFont"/>
    <w:uiPriority w:val="99"/>
    <w:semiHidden/>
    <w:rsid w:val="00C23D65"/>
    <w:rPr>
      <w:rFonts w:ascii="Calibri" w:hAnsi="Calibri" w:cstheme="minorBidi"/>
      <w:color w:val="000000" w:themeColor="text1"/>
    </w:rPr>
  </w:style>
  <w:style w:type="character" w:customStyle="1" w:styleId="TitleChar1">
    <w:name w:val="Title Char1"/>
    <w:aliases w:val="Title 1 Char1"/>
    <w:basedOn w:val="DefaultParagraphFont"/>
    <w:uiPriority w:val="10"/>
    <w:rsid w:val="00C23D65"/>
    <w:rPr>
      <w:rFonts w:asciiTheme="majorHAnsi" w:eastAsiaTheme="majorEastAsia" w:hAnsiTheme="majorHAnsi" w:cstheme="majorBidi"/>
      <w:spacing w:val="-10"/>
      <w:kern w:val="28"/>
      <w:sz w:val="56"/>
      <w:szCs w:val="56"/>
    </w:rPr>
  </w:style>
  <w:style w:type="character" w:customStyle="1" w:styleId="BodyTextFirstIndent2Char1">
    <w:name w:val="Body Text First Indent 2 Char1"/>
    <w:aliases w:val="Char2 Char1"/>
    <w:basedOn w:val="BodyTextIndentChar"/>
    <w:uiPriority w:val="99"/>
    <w:semiHidden/>
    <w:rsid w:val="00C23D65"/>
    <w:rPr>
      <w:rFonts w:asciiTheme="minorHAnsi" w:eastAsia="SimSun" w:hAnsiTheme="minorHAnsi" w:cstheme="minorBidi"/>
      <w:szCs w:val="22"/>
      <w:lang w:val="nb-NO" w:eastAsia="nb-NO"/>
    </w:rPr>
  </w:style>
  <w:style w:type="table" w:styleId="GridTable4-Accent2">
    <w:name w:val="Grid Table 4 Accent 2"/>
    <w:basedOn w:val="TableNormal"/>
    <w:uiPriority w:val="49"/>
    <w:rsid w:val="00C4574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relative">
    <w:name w:val="relative"/>
    <w:basedOn w:val="DefaultParagraphFont"/>
    <w:rsid w:val="00683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780965">
      <w:bodyDiv w:val="1"/>
      <w:marLeft w:val="0"/>
      <w:marRight w:val="0"/>
      <w:marTop w:val="0"/>
      <w:marBottom w:val="0"/>
      <w:divBdr>
        <w:top w:val="none" w:sz="0" w:space="0" w:color="auto"/>
        <w:left w:val="none" w:sz="0" w:space="0" w:color="auto"/>
        <w:bottom w:val="none" w:sz="0" w:space="0" w:color="auto"/>
        <w:right w:val="none" w:sz="0" w:space="0" w:color="auto"/>
      </w:divBdr>
    </w:div>
    <w:div w:id="707292206">
      <w:bodyDiv w:val="1"/>
      <w:marLeft w:val="0"/>
      <w:marRight w:val="0"/>
      <w:marTop w:val="0"/>
      <w:marBottom w:val="0"/>
      <w:divBdr>
        <w:top w:val="none" w:sz="0" w:space="0" w:color="auto"/>
        <w:left w:val="none" w:sz="0" w:space="0" w:color="auto"/>
        <w:bottom w:val="none" w:sz="0" w:space="0" w:color="auto"/>
        <w:right w:val="none" w:sz="0" w:space="0" w:color="auto"/>
      </w:divBdr>
    </w:div>
    <w:div w:id="1028871809">
      <w:bodyDiv w:val="1"/>
      <w:marLeft w:val="0"/>
      <w:marRight w:val="0"/>
      <w:marTop w:val="0"/>
      <w:marBottom w:val="0"/>
      <w:divBdr>
        <w:top w:val="none" w:sz="0" w:space="0" w:color="auto"/>
        <w:left w:val="none" w:sz="0" w:space="0" w:color="auto"/>
        <w:bottom w:val="none" w:sz="0" w:space="0" w:color="auto"/>
        <w:right w:val="none" w:sz="0" w:space="0" w:color="auto"/>
      </w:divBdr>
    </w:div>
    <w:div w:id="205202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hyperlink" Target="https://jkpkotor.com/me/usluge/kompostana/%20" TargetMode="External"/><Relationship Id="rId42" Type="http://schemas.openxmlformats.org/officeDocument/2006/relationships/chart" Target="charts/chart16.xml"/><Relationship Id="rId47" Type="http://schemas.openxmlformats.org/officeDocument/2006/relationships/chart" Target="charts/chart21.xml"/><Relationship Id="rId63" Type="http://schemas.openxmlformats.org/officeDocument/2006/relationships/chart" Target="charts/chart36.xml"/><Relationship Id="rId68" Type="http://schemas.openxmlformats.org/officeDocument/2006/relationships/chart" Target="charts/chart41.xml"/><Relationship Id="rId84" Type="http://schemas.openxmlformats.org/officeDocument/2006/relationships/hyperlink" Target="https://www.cekrev.me/en/aktuelno/628-slaba-informisanost-u-vezi-pops-hemikalija" TargetMode="External"/><Relationship Id="rId89" Type="http://schemas.openxmlformats.org/officeDocument/2006/relationships/theme" Target="theme/theme1.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14.jpeg"/><Relationship Id="rId37" Type="http://schemas.openxmlformats.org/officeDocument/2006/relationships/chart" Target="charts/chart11.xml"/><Relationship Id="rId53" Type="http://schemas.openxmlformats.org/officeDocument/2006/relationships/chart" Target="charts/chart27.xml"/><Relationship Id="rId58" Type="http://schemas.openxmlformats.org/officeDocument/2006/relationships/chart" Target="charts/chart32.xml"/><Relationship Id="rId74" Type="http://schemas.openxmlformats.org/officeDocument/2006/relationships/chart" Target="charts/chart47.xml"/><Relationship Id="rId79" Type="http://schemas.openxmlformats.org/officeDocument/2006/relationships/hyperlink" Target="https://www.greenhome.co.me/en/vulnerable-groups-that-are-most-exposed-to-danger-should-be-informed-andtrained-to-properly-handle-and-protect-themselves-from-pops-chemicals/" TargetMode="External"/><Relationship Id="rId5" Type="http://schemas.openxmlformats.org/officeDocument/2006/relationships/webSettings" Target="webSettings.xml"/><Relationship Id="rId14" Type="http://schemas.openxmlformats.org/officeDocument/2006/relationships/image" Target="media/image6.png"/><Relationship Id="rId22" Type="http://schemas.openxmlformats.org/officeDocument/2006/relationships/hyperlink" Target="https://pops.int/" TargetMode="External"/><Relationship Id="rId27" Type="http://schemas.openxmlformats.org/officeDocument/2006/relationships/chart" Target="charts/chart5.xml"/><Relationship Id="rId30" Type="http://schemas.openxmlformats.org/officeDocument/2006/relationships/image" Target="media/image12.jpeg"/><Relationship Id="rId35" Type="http://schemas.openxmlformats.org/officeDocument/2006/relationships/chart" Target="charts/chart9.xml"/><Relationship Id="rId43" Type="http://schemas.openxmlformats.org/officeDocument/2006/relationships/chart" Target="charts/chart17.xml"/><Relationship Id="rId48" Type="http://schemas.openxmlformats.org/officeDocument/2006/relationships/chart" Target="charts/chart22.xml"/><Relationship Id="rId56" Type="http://schemas.openxmlformats.org/officeDocument/2006/relationships/chart" Target="charts/chart30.xml"/><Relationship Id="rId64" Type="http://schemas.openxmlformats.org/officeDocument/2006/relationships/chart" Target="charts/chart37.xml"/><Relationship Id="rId69" Type="http://schemas.openxmlformats.org/officeDocument/2006/relationships/chart" Target="charts/chart42.xml"/><Relationship Id="rId77" Type="http://schemas.openxmlformats.org/officeDocument/2006/relationships/hyperlink" Target="https://vimeo.com/905362400/d1dda07e42" TargetMode="External"/><Relationship Id="rId8" Type="http://schemas.openxmlformats.org/officeDocument/2006/relationships/hyperlink" Target="https://monstat.org/uploads/files/BDP/2021/Annual%20GDP%202021_eng.pdf?utm_source=chatgpt.com" TargetMode="External"/><Relationship Id="rId51" Type="http://schemas.openxmlformats.org/officeDocument/2006/relationships/chart" Target="charts/chart25.xml"/><Relationship Id="rId72" Type="http://schemas.openxmlformats.org/officeDocument/2006/relationships/chart" Target="charts/chart45.xml"/><Relationship Id="rId80" Type="http://schemas.openxmlformats.org/officeDocument/2006/relationships/hyperlink" Target="https://www.greenhome.co.me/en/vulnerable-groups-that-are-most-exposed-to-danger-should-be-informed-andtrained-to-properly-handle-and-protect-themselves-from-pops-chemicals/" TargetMode="External"/><Relationship Id="rId85" Type="http://schemas.openxmlformats.org/officeDocument/2006/relationships/hyperlink" Target="https://dmen.me/2022/03/08/pops-supstancama-upravljati-na-ekoloski-prihvatljiv-nacin/"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hart" Target="charts/chart3.xml"/><Relationship Id="rId33" Type="http://schemas.openxmlformats.org/officeDocument/2006/relationships/image" Target="media/image15.jpeg"/><Relationship Id="rId38" Type="http://schemas.openxmlformats.org/officeDocument/2006/relationships/chart" Target="charts/chart12.xml"/><Relationship Id="rId46" Type="http://schemas.openxmlformats.org/officeDocument/2006/relationships/chart" Target="charts/chart20.xml"/><Relationship Id="rId59" Type="http://schemas.openxmlformats.org/officeDocument/2006/relationships/chart" Target="charts/chart33.xml"/><Relationship Id="rId67" Type="http://schemas.openxmlformats.org/officeDocument/2006/relationships/chart" Target="charts/chart40.xml"/><Relationship Id="rId20" Type="http://schemas.openxmlformats.org/officeDocument/2006/relationships/chart" Target="charts/chart2.xml"/><Relationship Id="rId41" Type="http://schemas.openxmlformats.org/officeDocument/2006/relationships/chart" Target="charts/chart15.xml"/><Relationship Id="rId54" Type="http://schemas.openxmlformats.org/officeDocument/2006/relationships/chart" Target="charts/chart28.xml"/><Relationship Id="rId62" Type="http://schemas.openxmlformats.org/officeDocument/2006/relationships/image" Target="media/image16.png"/><Relationship Id="rId70" Type="http://schemas.openxmlformats.org/officeDocument/2006/relationships/chart" Target="charts/chart43.xml"/><Relationship Id="rId75" Type="http://schemas.openxmlformats.org/officeDocument/2006/relationships/chart" Target="charts/chart48.xml"/><Relationship Id="rId83" Type="http://schemas.openxmlformats.org/officeDocument/2006/relationships/hyperlink" Target="https://www.cekrev.me/aktuelno/645-odlaganje-otpada-u-prirodu-pops-hemikalije"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chart" Target="charts/chart6.xml"/><Relationship Id="rId36" Type="http://schemas.openxmlformats.org/officeDocument/2006/relationships/chart" Target="charts/chart10.xml"/><Relationship Id="rId49" Type="http://schemas.openxmlformats.org/officeDocument/2006/relationships/chart" Target="charts/chart23.xml"/><Relationship Id="rId57" Type="http://schemas.openxmlformats.org/officeDocument/2006/relationships/chart" Target="charts/chart31.xml"/><Relationship Id="rId10" Type="http://schemas.openxmlformats.org/officeDocument/2006/relationships/image" Target="media/image2.png"/><Relationship Id="rId31" Type="http://schemas.openxmlformats.org/officeDocument/2006/relationships/image" Target="media/image13.jpeg"/><Relationship Id="rId44" Type="http://schemas.openxmlformats.org/officeDocument/2006/relationships/chart" Target="charts/chart18.xml"/><Relationship Id="rId52" Type="http://schemas.openxmlformats.org/officeDocument/2006/relationships/chart" Target="charts/chart26.xml"/><Relationship Id="rId60" Type="http://schemas.openxmlformats.org/officeDocument/2006/relationships/chart" Target="charts/chart34.xml"/><Relationship Id="rId65" Type="http://schemas.openxmlformats.org/officeDocument/2006/relationships/chart" Target="charts/chart38.xml"/><Relationship Id="rId73" Type="http://schemas.openxmlformats.org/officeDocument/2006/relationships/chart" Target="charts/chart46.xml"/><Relationship Id="rId78" Type="http://schemas.openxmlformats.org/officeDocument/2006/relationships/hyperlink" Target="https://www.greenhome.co.me/en" TargetMode="External"/><Relationship Id="rId81" Type="http://schemas.openxmlformats.org/officeDocument/2006/relationships/hyperlink" Target="https://www.greenhome.co.me/wp-content/uploads/2022/07/vodic-POPs-Green-Home.pdf" TargetMode="External"/><Relationship Id="rId86"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chm.pops.int/Implementation/Alternatives/AlternativestoPOPs/ChemicalslistedinAnnexA/Dicofol/tabid/8291/Default.aspx" TargetMode="External"/><Relationship Id="rId39" Type="http://schemas.openxmlformats.org/officeDocument/2006/relationships/chart" Target="charts/chart13.xml"/><Relationship Id="rId34" Type="http://schemas.openxmlformats.org/officeDocument/2006/relationships/chart" Target="charts/chart8.xml"/><Relationship Id="rId50" Type="http://schemas.openxmlformats.org/officeDocument/2006/relationships/chart" Target="charts/chart24.xml"/><Relationship Id="rId55" Type="http://schemas.openxmlformats.org/officeDocument/2006/relationships/chart" Target="charts/chart29.xml"/><Relationship Id="rId76" Type="http://schemas.openxmlformats.org/officeDocument/2006/relationships/chart" Target="charts/chart49.xml"/><Relationship Id="rId7" Type="http://schemas.openxmlformats.org/officeDocument/2006/relationships/endnotes" Target="endnotes.xml"/><Relationship Id="rId71" Type="http://schemas.openxmlformats.org/officeDocument/2006/relationships/chart" Target="charts/chart44.xml"/><Relationship Id="rId2" Type="http://schemas.openxmlformats.org/officeDocument/2006/relationships/numbering" Target="numbering.xml"/><Relationship Id="rId29" Type="http://schemas.openxmlformats.org/officeDocument/2006/relationships/chart" Target="charts/chart7.xml"/><Relationship Id="rId24" Type="http://schemas.openxmlformats.org/officeDocument/2006/relationships/image" Target="media/image11.png"/><Relationship Id="rId40" Type="http://schemas.openxmlformats.org/officeDocument/2006/relationships/chart" Target="charts/chart14.xml"/><Relationship Id="rId45" Type="http://schemas.openxmlformats.org/officeDocument/2006/relationships/chart" Target="charts/chart19.xml"/><Relationship Id="rId66" Type="http://schemas.openxmlformats.org/officeDocument/2006/relationships/chart" Target="charts/chart39.xml"/><Relationship Id="rId87" Type="http://schemas.openxmlformats.org/officeDocument/2006/relationships/footer" Target="footer1.xml"/><Relationship Id="rId61" Type="http://schemas.openxmlformats.org/officeDocument/2006/relationships/chart" Target="charts/chart35.xml"/><Relationship Id="rId82" Type="http://schemas.openxmlformats.org/officeDocument/2006/relationships/hyperlink" Target="https://wapi.gov.me/download/cf8c7988-155a-46a2-aa54-61b41b04ece8?version=1.0" TargetMode="External"/><Relationship Id="rId19" Type="http://schemas.openxmlformats.org/officeDocument/2006/relationships/chart" Target="charts/chart1.xml"/></Relationships>
</file>

<file path=word/_rels/footnotes.xml.rels><?xml version="1.0" encoding="UTF-8" standalone="yes"?>
<Relationships xmlns="http://schemas.openxmlformats.org/package/2006/relationships"><Relationship Id="rId8" Type="http://schemas.openxmlformats.org/officeDocument/2006/relationships/hyperlink" Target="https://faolex.fao.org/docs/pdf/mne220111.pdf?utm" TargetMode="External"/><Relationship Id="rId13" Type="http://schemas.openxmlformats.org/officeDocument/2006/relationships/hyperlink" Target="https://wapi.gov.me/download/113f9714-2521-4455-b752-fc9afa6e140e?version=1.0" TargetMode="External"/><Relationship Id="rId3" Type="http://schemas.openxmlformats.org/officeDocument/2006/relationships/hyperlink" Target="https://epa.org.me/wp-content/uploads/2024/09/UNDP-Smjernice-PBDE-otpad.pdf" TargetMode="External"/><Relationship Id="rId7" Type="http://schemas.openxmlformats.org/officeDocument/2006/relationships/hyperlink" Target="https://www.gefieo.org/sites/default/files/documents/projects/tes/9045-terminal-evaluation.pdf" TargetMode="External"/><Relationship Id="rId12" Type="http://schemas.openxmlformats.org/officeDocument/2006/relationships/hyperlink" Target="https://www.gefieo.org/sites/default/files/documents/projects/tes/9045-terminal-evaluation.pdf" TargetMode="External"/><Relationship Id="rId17" Type="http://schemas.openxmlformats.org/officeDocument/2006/relationships/hyperlink" Target="https://www.unep.org/unepmap/what-we-do/projects/MedProgramme" TargetMode="External"/><Relationship Id="rId2" Type="http://schemas.openxmlformats.org/officeDocument/2006/relationships/hyperlink" Target="file:///C:/Users/User/Downloads/UNDP-GEF_PCB-Montenegro%20TE-report.pdf" TargetMode="External"/><Relationship Id="rId16" Type="http://schemas.openxmlformats.org/officeDocument/2006/relationships/hyperlink" Target="https://unece.org/sites/default/files/2024-10/4th_EPR_of_Montenegro_ECE.CEP_.202_ENG_0.pdf" TargetMode="External"/><Relationship Id="rId1" Type="http://schemas.openxmlformats.org/officeDocument/2006/relationships/hyperlink" Target="https://www.undp.org/cnr/montenegro/projects/upravljanje-pcb-om" TargetMode="External"/><Relationship Id="rId6" Type="http://schemas.openxmlformats.org/officeDocument/2006/relationships/hyperlink" Target="https://unece.org/sites/default/files/2024-10/4th_EPR_of_Montenegro_ECE.CEP_.202_ENG_0.pdf" TargetMode="External"/><Relationship Id="rId11" Type="http://schemas.openxmlformats.org/officeDocument/2006/relationships/hyperlink" Target="https://www.unep.org/unepmap/what-we-do/projects/MedProgramme" TargetMode="External"/><Relationship Id="rId5" Type="http://schemas.openxmlformats.org/officeDocument/2006/relationships/hyperlink" Target="https://epa.org.me/wp-content/uploads/2023/12/UPUTSTVO-namijenjeno-operaterima-i-reciklerima-otpada-PBDEs.pdf" TargetMode="External"/><Relationship Id="rId15" Type="http://schemas.openxmlformats.org/officeDocument/2006/relationships/hyperlink" Target="https://wapi.gov.me/download/113f9714-2521-4455-b752-fc9afa6e140e?version=1.0" TargetMode="External"/><Relationship Id="rId10" Type="http://schemas.openxmlformats.org/officeDocument/2006/relationships/hyperlink" Target="https://www.gefieo.org/sites/default/files/documents/projects/tes/9045-terminal-evaluation.pdf" TargetMode="External"/><Relationship Id="rId4" Type="http://schemas.openxmlformats.org/officeDocument/2006/relationships/hyperlink" Target="https://www.gov.me/clanak/radionice-za-re-populaciju-znanje-protiv-zagadenja-edukacija-o-pops-hemikalijama-i-pravilnom-upravljanju-otpadom-ministarstvo-ekologije-odrzivog-razvoja-i-razvoja-sjevera-kroz-projekat" TargetMode="External"/><Relationship Id="rId9" Type="http://schemas.openxmlformats.org/officeDocument/2006/relationships/hyperlink" Target="https://www.osce.org/files/f/documents/c/8/570285.pdf?utm" TargetMode="External"/><Relationship Id="rId14" Type="http://schemas.openxmlformats.org/officeDocument/2006/relationships/hyperlink" Target="https://www.unep.org/unepmap/what-we-do/projects/MedProgramm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Documents\emisija-izv\Izvje&#353;taji%202023\POP%20nenamjerni%202023-2025\POP%20project%202023\Prezentacija\Za%20dijagram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Documents\emisija-izv\Izvje&#353;taji%202023\POP%20nenamjerni%202023-2025\POP%20project%202023\Prezentacija\Za%20dijagram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anijela%20Sukovic\Desktop\NIP%20CRNA%20GORA\Book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4.xml.rels><?xml version="1.0" encoding="UTF-8" standalone="yes"?>
<Relationships xmlns="http://schemas.openxmlformats.org/package/2006/relationships"><Relationship Id="rId3" Type="http://schemas.openxmlformats.org/officeDocument/2006/relationships/oleObject" Target="file:///C:\Users\Danijela%20Sukovic\Desktop\NIP%20CRNA%20GORA\Book1.xlsx" TargetMode="External"/><Relationship Id="rId2" Type="http://schemas.microsoft.com/office/2011/relationships/chartColorStyle" Target="colors8.xml"/><Relationship Id="rId1" Type="http://schemas.microsoft.com/office/2011/relationships/chartStyle" Target="style8.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Danijela%20Sukovic\Desktop\baza%20projekata\NIP%20STOCKHOLM\POPs%202025\registrovani%20i%20uvezeni.xlsx" TargetMode="External"/><Relationship Id="rId2" Type="http://schemas.microsoft.com/office/2011/relationships/chartColorStyle" Target="colors9.xml"/><Relationship Id="rId1" Type="http://schemas.microsoft.com/office/2011/relationships/chartStyle" Target="style9.xml"/></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8.xml.rels><?xml version="1.0" encoding="UTF-8" standalone="yes"?>
<Relationships xmlns="http://schemas.openxmlformats.org/package/2006/relationships"><Relationship Id="rId3" Type="http://schemas.openxmlformats.org/officeDocument/2006/relationships/oleObject" Target="file:///C:\Users\Danijela%20Sukovic\Desktop\NIP%20CRNA%20GORA\Book1.xlsx" TargetMode="External"/><Relationship Id="rId2" Type="http://schemas.microsoft.com/office/2011/relationships/chartColorStyle" Target="colors10.xml"/><Relationship Id="rId1" Type="http://schemas.microsoft.com/office/2011/relationships/chartStyle" Target="style10.xml"/></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21.xml.rels><?xml version="1.0" encoding="UTF-8" standalone="yes"?>
<Relationships xmlns="http://schemas.openxmlformats.org/package/2006/relationships"><Relationship Id="rId3" Type="http://schemas.openxmlformats.org/officeDocument/2006/relationships/oleObject" Target="file:///I:\PROJEKTI\NIP%20POPs\NIP%20POPs%202023\Copy%20of%20CETI%20SUMA%20PO%20TAR%20OZN.xlsx" TargetMode="External"/><Relationship Id="rId2" Type="http://schemas.microsoft.com/office/2011/relationships/chartColorStyle" Target="colors11.xml"/><Relationship Id="rId1" Type="http://schemas.microsoft.com/office/2011/relationships/chartStyle" Target="style11.xml"/></Relationships>
</file>

<file path=word/charts/_rels/chart22.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12.xml"/><Relationship Id="rId1" Type="http://schemas.microsoft.com/office/2011/relationships/chartStyle" Target="style12.xml"/></Relationships>
</file>

<file path=word/charts/_rels/chart23.xml.rels><?xml version="1.0" encoding="UTF-8" standalone="yes"?>
<Relationships xmlns="http://schemas.openxmlformats.org/package/2006/relationships"><Relationship Id="rId3" Type="http://schemas.openxmlformats.org/officeDocument/2006/relationships/oleObject" Target="file:///H:\PROJEKTI\NIP%20POPs\NIP%20POPs%202023\221124.xlsx" TargetMode="External"/><Relationship Id="rId2" Type="http://schemas.microsoft.com/office/2011/relationships/chartColorStyle" Target="colors13.xml"/><Relationship Id="rId1" Type="http://schemas.microsoft.com/office/2011/relationships/chartStyle" Target="style13.xml"/></Relationships>
</file>

<file path=word/charts/_rels/chart24.xml.rels><?xml version="1.0" encoding="UTF-8" standalone="yes"?>
<Relationships xmlns="http://schemas.openxmlformats.org/package/2006/relationships"><Relationship Id="rId3" Type="http://schemas.openxmlformats.org/officeDocument/2006/relationships/oleObject" Target="file:///I:\PROJEKTI\NIP%20POPs\NIP%20POPs%202023\221124.xlsx" TargetMode="External"/><Relationship Id="rId2" Type="http://schemas.microsoft.com/office/2011/relationships/chartColorStyle" Target="colors14.xml"/><Relationship Id="rId1" Type="http://schemas.microsoft.com/office/2011/relationships/chartStyle" Target="style14.xml"/></Relationships>
</file>

<file path=word/charts/_rels/chart25.xml.rels><?xml version="1.0" encoding="UTF-8" standalone="yes"?>
<Relationships xmlns="http://schemas.openxmlformats.org/package/2006/relationships"><Relationship Id="rId3" Type="http://schemas.openxmlformats.org/officeDocument/2006/relationships/oleObject" Target="file:///I:\PROJEKTI\NIP%20POPs\NIP%20POPs%202023\221124.xlsx" TargetMode="External"/><Relationship Id="rId2" Type="http://schemas.microsoft.com/office/2011/relationships/chartColorStyle" Target="colors15.xml"/><Relationship Id="rId1" Type="http://schemas.microsoft.com/office/2011/relationships/chartStyle" Target="style15.xml"/></Relationships>
</file>

<file path=word/charts/_rels/chart26.xml.rels><?xml version="1.0" encoding="UTF-8" standalone="yes"?>
<Relationships xmlns="http://schemas.openxmlformats.org/package/2006/relationships"><Relationship Id="rId3" Type="http://schemas.openxmlformats.org/officeDocument/2006/relationships/oleObject" Target="file:///I:\PROJEKTI\NIP%20POPs\NIP%20POPs%202023\221124.xlsx" TargetMode="External"/><Relationship Id="rId2" Type="http://schemas.microsoft.com/office/2011/relationships/chartColorStyle" Target="colors16.xml"/><Relationship Id="rId1" Type="http://schemas.microsoft.com/office/2011/relationships/chartStyle" Target="style16.xml"/></Relationships>
</file>

<file path=word/charts/_rels/chart27.xml.rels><?xml version="1.0" encoding="UTF-8" standalone="yes"?>
<Relationships xmlns="http://schemas.openxmlformats.org/package/2006/relationships"><Relationship Id="rId3" Type="http://schemas.openxmlformats.org/officeDocument/2006/relationships/oleObject" Target="file:///I:\PROJEKTI\NIP%20POPs\NIP%20POPs%202023\221124.xlsx" TargetMode="External"/><Relationship Id="rId2" Type="http://schemas.microsoft.com/office/2011/relationships/chartColorStyle" Target="colors17.xml"/><Relationship Id="rId1" Type="http://schemas.microsoft.com/office/2011/relationships/chartStyle" Target="style17.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30.xml.rels><?xml version="1.0" encoding="UTF-8" standalone="yes"?>
<Relationships xmlns="http://schemas.openxmlformats.org/package/2006/relationships"><Relationship Id="rId3" Type="http://schemas.openxmlformats.org/officeDocument/2006/relationships/oleObject" Target="file:///H:\PROJEKTI\NIP%20POPs\NIP%20POPs%202023\221124.xlsx" TargetMode="External"/><Relationship Id="rId2" Type="http://schemas.microsoft.com/office/2011/relationships/chartColorStyle" Target="colors18.xml"/><Relationship Id="rId1" Type="http://schemas.microsoft.com/office/2011/relationships/chartStyle" Target="style18.xml"/></Relationships>
</file>

<file path=word/charts/_rels/chart31.xml.rels><?xml version="1.0" encoding="UTF-8" standalone="yes"?>
<Relationships xmlns="http://schemas.openxmlformats.org/package/2006/relationships"><Relationship Id="rId3" Type="http://schemas.openxmlformats.org/officeDocument/2006/relationships/oleObject" Target="file:///H:\PROJEKTI\NIP%20POPs\NIP%20POPs%202023\221124.xlsx" TargetMode="External"/><Relationship Id="rId2" Type="http://schemas.microsoft.com/office/2011/relationships/chartColorStyle" Target="colors19.xml"/><Relationship Id="rId1" Type="http://schemas.microsoft.com/office/2011/relationships/chartStyle" Target="style19.xml"/></Relationships>
</file>

<file path=word/charts/_rels/chart32.xml.rels><?xml version="1.0" encoding="UTF-8" standalone="yes"?>
<Relationships xmlns="http://schemas.openxmlformats.org/package/2006/relationships"><Relationship Id="rId1" Type="http://schemas.openxmlformats.org/officeDocument/2006/relationships/oleObject" Target="file:///C:\Users\Vladimir%20Zivkovic\Desktop\NIP-2024\Carine\PFOS-PFOA-PFHxS-Uvoz%20proizvoda%202017-2023.xls"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Vladimir%20Zivkovic\Desktop\NIP-2024\Carine\PFOS-PFOA-PFHxS-Uvoz%20proizvoda%202017-2023.xls" TargetMode="External"/></Relationships>
</file>

<file path=word/charts/_rels/chart34.xml.rels><?xml version="1.0" encoding="UTF-8" standalone="yes"?>
<Relationships xmlns="http://schemas.openxmlformats.org/package/2006/relationships"><Relationship Id="rId3" Type="http://schemas.openxmlformats.org/officeDocument/2006/relationships/oleObject" Target="file:///C:\Users\Vladimir%20Zivkovic\Desktop\NIP-2024\Carine\PFOS-PFOA-PFHxS-Uvoz%20proizvoda%202017-2023.xls" TargetMode="External"/><Relationship Id="rId2" Type="http://schemas.microsoft.com/office/2011/relationships/chartColorStyle" Target="colors20.xml"/><Relationship Id="rId1" Type="http://schemas.microsoft.com/office/2011/relationships/chartStyle" Target="style20.xml"/></Relationships>
</file>

<file path=word/charts/_rels/chart35.xml.rels><?xml version="1.0" encoding="UTF-8" standalone="yes"?>
<Relationships xmlns="http://schemas.openxmlformats.org/package/2006/relationships"><Relationship Id="rId3" Type="http://schemas.openxmlformats.org/officeDocument/2006/relationships/oleObject" Target="file:///C:\Users\Vladimir%20Zivkovic\Desktop\NIP-2024\Carine\PFOS-PFOA-PFHxS-Uvoz%20proizvoda%202017-2023.xls" TargetMode="External"/><Relationship Id="rId2" Type="http://schemas.microsoft.com/office/2011/relationships/chartColorStyle" Target="colors21.xml"/><Relationship Id="rId1" Type="http://schemas.microsoft.com/office/2011/relationships/chartStyle" Target="style21.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22.xml"/><Relationship Id="rId1" Type="http://schemas.microsoft.com/office/2011/relationships/chartStyle" Target="style22.xml"/></Relationships>
</file>

<file path=word/charts/_rels/chart37.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23.xml"/><Relationship Id="rId1" Type="http://schemas.microsoft.com/office/2011/relationships/chartStyle" Target="style23.xml"/></Relationships>
</file>

<file path=word/charts/_rels/chart38.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24.xml"/><Relationship Id="rId1" Type="http://schemas.microsoft.com/office/2011/relationships/chartStyle" Target="style24.xml"/></Relationships>
</file>

<file path=word/charts/_rels/chart39.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25.xml"/><Relationship Id="rId1" Type="http://schemas.microsoft.com/office/2011/relationships/chartStyle" Target="style25.xml"/></Relationships>
</file>

<file path=word/charts/_rels/chart40.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26.xml"/><Relationship Id="rId1" Type="http://schemas.microsoft.com/office/2011/relationships/chartStyle" Target="style26.xml"/></Relationships>
</file>

<file path=word/charts/_rels/chart4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7.xml"/><Relationship Id="rId1" Type="http://schemas.microsoft.com/office/2011/relationships/chartStyle" Target="style27.xml"/></Relationships>
</file>

<file path=word/charts/_rels/chart42.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28.xml"/><Relationship Id="rId1" Type="http://schemas.microsoft.com/office/2011/relationships/chartStyle" Target="style28.xml"/></Relationships>
</file>

<file path=word/charts/_rels/chart43.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29.xml"/><Relationship Id="rId1" Type="http://schemas.microsoft.com/office/2011/relationships/chartStyle" Target="style29.xml"/></Relationships>
</file>

<file path=word/charts/_rels/chart44.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30.xml"/><Relationship Id="rId1" Type="http://schemas.microsoft.com/office/2011/relationships/chartStyle" Target="style30.xml"/></Relationships>
</file>

<file path=word/charts/_rels/chart45.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31.xml"/><Relationship Id="rId1" Type="http://schemas.microsoft.com/office/2011/relationships/chartStyle" Target="style31.xml"/></Relationships>
</file>

<file path=word/charts/_rels/chart46.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32.xml"/><Relationship Id="rId1" Type="http://schemas.microsoft.com/office/2011/relationships/chartStyle" Target="style32.xml"/></Relationships>
</file>

<file path=word/charts/_rels/chart47.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33.xml"/><Relationship Id="rId1" Type="http://schemas.microsoft.com/office/2011/relationships/chartStyle" Target="style33.xml"/></Relationships>
</file>

<file path=word/charts/_rels/chart48.xml.rels><?xml version="1.0" encoding="UTF-8" standalone="yes"?>
<Relationships xmlns="http://schemas.openxmlformats.org/package/2006/relationships"><Relationship Id="rId3" Type="http://schemas.openxmlformats.org/officeDocument/2006/relationships/oleObject" Target="file:///C:\Users\Vladimir%20Zivkovic\Desktop\NIP-2024\SCCP\CETI\SCCP-Carine%20-082025.xlsx" TargetMode="External"/><Relationship Id="rId2" Type="http://schemas.microsoft.com/office/2011/relationships/chartColorStyle" Target="colors34.xml"/><Relationship Id="rId1" Type="http://schemas.microsoft.com/office/2011/relationships/chartStyle" Target="style34.xml"/></Relationships>
</file>

<file path=word/charts/_rels/chart4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5.xml"/><Relationship Id="rId1" Type="http://schemas.microsoft.com/office/2011/relationships/chartStyle" Target="style3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1"/>
              <a:t>g TEQ/</a:t>
            </a:r>
            <a:r>
              <a:rPr lang="sr-Latn-RS" sz="1000" b="1"/>
              <a:t>god</a:t>
            </a:r>
            <a:endParaRPr lang="en-US" sz="1000" b="1"/>
          </a:p>
        </c:rich>
      </c:tx>
      <c:layout>
        <c:manualLayout>
          <c:xMode val="edge"/>
          <c:yMode val="edge"/>
          <c:x val="1.1951224846894112E-2"/>
          <c:y val="2.314814814814814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Sheet2!$F$5</c:f>
              <c:strCache>
                <c:ptCount val="1"/>
                <c:pt idx="0">
                  <c:v>g TEQ/god</c:v>
                </c:pt>
              </c:strCache>
            </c:strRef>
          </c:tx>
          <c:spPr>
            <a:solidFill>
              <a:schemeClr val="accent1"/>
            </a:solidFill>
            <a:ln>
              <a:noFill/>
            </a:ln>
            <a:effectLst/>
          </c:spPr>
          <c:invertIfNegative val="0"/>
          <c:cat>
            <c:numRef>
              <c:f>Sheet2!$G$4:$W$4</c:f>
              <c:numCache>
                <c:formatCode>0</c:formatCode>
                <c:ptCount val="17"/>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numCache>
            </c:numRef>
          </c:cat>
          <c:val>
            <c:numRef>
              <c:f>Sheet2!$G$5:$W$5</c:f>
              <c:numCache>
                <c:formatCode>0</c:formatCode>
                <c:ptCount val="17"/>
                <c:pt idx="0">
                  <c:v>54</c:v>
                </c:pt>
                <c:pt idx="1">
                  <c:v>56</c:v>
                </c:pt>
                <c:pt idx="2">
                  <c:v>47</c:v>
                </c:pt>
                <c:pt idx="3">
                  <c:v>46</c:v>
                </c:pt>
                <c:pt idx="4">
                  <c:v>43</c:v>
                </c:pt>
                <c:pt idx="5">
                  <c:v>42</c:v>
                </c:pt>
                <c:pt idx="6">
                  <c:v>30</c:v>
                </c:pt>
                <c:pt idx="7">
                  <c:v>23</c:v>
                </c:pt>
                <c:pt idx="8">
                  <c:v>28</c:v>
                </c:pt>
                <c:pt idx="9">
                  <c:v>30</c:v>
                </c:pt>
                <c:pt idx="10">
                  <c:v>29</c:v>
                </c:pt>
                <c:pt idx="11">
                  <c:v>28</c:v>
                </c:pt>
                <c:pt idx="12">
                  <c:v>28</c:v>
                </c:pt>
                <c:pt idx="13">
                  <c:v>29</c:v>
                </c:pt>
                <c:pt idx="14">
                  <c:v>29</c:v>
                </c:pt>
                <c:pt idx="15">
                  <c:v>28</c:v>
                </c:pt>
                <c:pt idx="16">
                  <c:v>29</c:v>
                </c:pt>
              </c:numCache>
            </c:numRef>
          </c:val>
          <c:extLst>
            <c:ext xmlns:c16="http://schemas.microsoft.com/office/drawing/2014/chart" uri="{C3380CC4-5D6E-409C-BE32-E72D297353CC}">
              <c16:uniqueId val="{00000000-9B9A-4039-9007-9D98F359E35F}"/>
            </c:ext>
          </c:extLst>
        </c:ser>
        <c:dLbls>
          <c:showLegendKey val="0"/>
          <c:showVal val="0"/>
          <c:showCatName val="0"/>
          <c:showSerName val="0"/>
          <c:showPercent val="0"/>
          <c:showBubbleSize val="0"/>
        </c:dLbls>
        <c:gapWidth val="219"/>
        <c:overlap val="-27"/>
        <c:axId val="624211855"/>
        <c:axId val="624212335"/>
      </c:barChart>
      <c:dateAx>
        <c:axId val="624211855"/>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Godina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4212335"/>
        <c:crosses val="autoZero"/>
        <c:auto val="0"/>
        <c:lblOffset val="100"/>
        <c:baseTimeUnit val="days"/>
      </c:dateAx>
      <c:valAx>
        <c:axId val="62421233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42118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Sheet2!$F$32</c:f>
              <c:strCache>
                <c:ptCount val="1"/>
                <c:pt idx="0">
                  <c:v>Vazduh</c:v>
                </c:pt>
              </c:strCache>
            </c:strRef>
          </c:tx>
          <c:spPr>
            <a:ln w="28575" cap="rnd">
              <a:solidFill>
                <a:srgbClr val="FF0000"/>
              </a:solidFill>
              <a:round/>
            </a:ln>
            <a:effectLst/>
          </c:spPr>
          <c:marker>
            <c:symbol val="none"/>
          </c:marker>
          <c:cat>
            <c:numRef>
              <c:f>Sheet2!$G$31:$W$31</c:f>
              <c:numCache>
                <c:formatCode>General</c:formatCode>
                <c:ptCount val="17"/>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numCache>
            </c:numRef>
          </c:cat>
          <c:val>
            <c:numRef>
              <c:f>Sheet2!$G$32:$W$32</c:f>
              <c:numCache>
                <c:formatCode>#,#00</c:formatCode>
                <c:ptCount val="17"/>
                <c:pt idx="0">
                  <c:v>36.208895838890001</c:v>
                </c:pt>
                <c:pt idx="1">
                  <c:v>36.117443203329998</c:v>
                </c:pt>
                <c:pt idx="2">
                  <c:v>28.009740385850002</c:v>
                </c:pt>
                <c:pt idx="3">
                  <c:v>28.817400224630003</c:v>
                </c:pt>
                <c:pt idx="4">
                  <c:v>27.577498974689998</c:v>
                </c:pt>
                <c:pt idx="5">
                  <c:v>26.912207333111198</c:v>
                </c:pt>
                <c:pt idx="6">
                  <c:v>16.014923972400002</c:v>
                </c:pt>
                <c:pt idx="7">
                  <c:v>9.6887443690000001</c:v>
                </c:pt>
                <c:pt idx="8">
                  <c:v>12.644407567000002</c:v>
                </c:pt>
                <c:pt idx="9">
                  <c:v>13.734809070999999</c:v>
                </c:pt>
                <c:pt idx="10">
                  <c:v>13.154837742000002</c:v>
                </c:pt>
                <c:pt idx="11">
                  <c:v>13.171655453</c:v>
                </c:pt>
                <c:pt idx="12">
                  <c:v>13.044507043000001</c:v>
                </c:pt>
                <c:pt idx="13">
                  <c:v>13.002287455999998</c:v>
                </c:pt>
                <c:pt idx="14">
                  <c:v>12.980710004000001</c:v>
                </c:pt>
                <c:pt idx="15">
                  <c:v>12.977374182000002</c:v>
                </c:pt>
                <c:pt idx="16">
                  <c:v>12.907115307999998</c:v>
                </c:pt>
              </c:numCache>
            </c:numRef>
          </c:val>
          <c:smooth val="0"/>
          <c:extLst>
            <c:ext xmlns:c16="http://schemas.microsoft.com/office/drawing/2014/chart" uri="{C3380CC4-5D6E-409C-BE32-E72D297353CC}">
              <c16:uniqueId val="{00000000-61BF-4646-A6C6-A07858FC30C4}"/>
            </c:ext>
          </c:extLst>
        </c:ser>
        <c:ser>
          <c:idx val="1"/>
          <c:order val="1"/>
          <c:tx>
            <c:strRef>
              <c:f>Sheet2!$F$33</c:f>
              <c:strCache>
                <c:ptCount val="1"/>
                <c:pt idx="0">
                  <c:v>Voda</c:v>
                </c:pt>
              </c:strCache>
            </c:strRef>
          </c:tx>
          <c:spPr>
            <a:ln w="28575" cap="rnd">
              <a:solidFill>
                <a:schemeClr val="accent2"/>
              </a:solidFill>
              <a:round/>
            </a:ln>
            <a:effectLst/>
          </c:spPr>
          <c:marker>
            <c:symbol val="none"/>
          </c:marker>
          <c:cat>
            <c:numRef>
              <c:f>Sheet2!$G$31:$W$31</c:f>
              <c:numCache>
                <c:formatCode>General</c:formatCode>
                <c:ptCount val="17"/>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numCache>
            </c:numRef>
          </c:cat>
          <c:val>
            <c:numRef>
              <c:f>Sheet2!$G$33:$W$33</c:f>
              <c:numCache>
                <c:formatCode>#,#00</c:formatCode>
                <c:ptCount val="17"/>
                <c:pt idx="0">
                  <c:v>0.13773006599999998</c:v>
                </c:pt>
                <c:pt idx="1">
                  <c:v>0.15193629479999998</c:v>
                </c:pt>
                <c:pt idx="2">
                  <c:v>0.14186388239999997</c:v>
                </c:pt>
                <c:pt idx="3">
                  <c:v>0.14524423879999998</c:v>
                </c:pt>
                <c:pt idx="4">
                  <c:v>0.13643297837343998</c:v>
                </c:pt>
                <c:pt idx="5">
                  <c:v>0.13016985157344002</c:v>
                </c:pt>
                <c:pt idx="6">
                  <c:v>0.12814047837344</c:v>
                </c:pt>
                <c:pt idx="7">
                  <c:v>0.12775747837344001</c:v>
                </c:pt>
                <c:pt idx="8">
                  <c:v>0.14230079999999998</c:v>
                </c:pt>
                <c:pt idx="9">
                  <c:v>0.14780996256159998</c:v>
                </c:pt>
                <c:pt idx="10">
                  <c:v>0.1425255</c:v>
                </c:pt>
                <c:pt idx="11">
                  <c:v>0.13810540000000002</c:v>
                </c:pt>
                <c:pt idx="12">
                  <c:v>0.13515579999999999</c:v>
                </c:pt>
                <c:pt idx="13">
                  <c:v>0.14605140000000003</c:v>
                </c:pt>
                <c:pt idx="14">
                  <c:v>0.14643920000000002</c:v>
                </c:pt>
                <c:pt idx="15">
                  <c:v>0.145232</c:v>
                </c:pt>
                <c:pt idx="16">
                  <c:v>0.15475749999999999</c:v>
                </c:pt>
              </c:numCache>
            </c:numRef>
          </c:val>
          <c:smooth val="0"/>
          <c:extLst>
            <c:ext xmlns:c16="http://schemas.microsoft.com/office/drawing/2014/chart" uri="{C3380CC4-5D6E-409C-BE32-E72D297353CC}">
              <c16:uniqueId val="{00000001-61BF-4646-A6C6-A07858FC30C4}"/>
            </c:ext>
          </c:extLst>
        </c:ser>
        <c:ser>
          <c:idx val="2"/>
          <c:order val="2"/>
          <c:tx>
            <c:strRef>
              <c:f>Sheet2!$F$34</c:f>
              <c:strCache>
                <c:ptCount val="1"/>
                <c:pt idx="0">
                  <c:v>Zemljište</c:v>
                </c:pt>
              </c:strCache>
            </c:strRef>
          </c:tx>
          <c:spPr>
            <a:ln w="28575" cap="rnd">
              <a:solidFill>
                <a:schemeClr val="accent3"/>
              </a:solidFill>
              <a:round/>
            </a:ln>
            <a:effectLst/>
          </c:spPr>
          <c:marker>
            <c:symbol val="none"/>
          </c:marker>
          <c:cat>
            <c:numRef>
              <c:f>Sheet2!$G$31:$W$31</c:f>
              <c:numCache>
                <c:formatCode>General</c:formatCode>
                <c:ptCount val="17"/>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numCache>
            </c:numRef>
          </c:cat>
          <c:val>
            <c:numRef>
              <c:f>Sheet2!$G$34:$W$34</c:f>
              <c:numCache>
                <c:formatCode>#,#00</c:formatCode>
                <c:ptCount val="17"/>
                <c:pt idx="0">
                  <c:v>1.2299429500000001</c:v>
                </c:pt>
                <c:pt idx="1">
                  <c:v>1.2423805000000001</c:v>
                </c:pt>
                <c:pt idx="2">
                  <c:v>0.94030899999999995</c:v>
                </c:pt>
                <c:pt idx="3">
                  <c:v>1.0053540999999999</c:v>
                </c:pt>
                <c:pt idx="4">
                  <c:v>0.99538970000000004</c:v>
                </c:pt>
                <c:pt idx="5">
                  <c:v>0.95999524150000004</c:v>
                </c:pt>
                <c:pt idx="6">
                  <c:v>0.66606904999999994</c:v>
                </c:pt>
                <c:pt idx="7">
                  <c:v>0.39734750000000008</c:v>
                </c:pt>
                <c:pt idx="8">
                  <c:v>0.49360360000000003</c:v>
                </c:pt>
                <c:pt idx="9">
                  <c:v>0.55410229999999994</c:v>
                </c:pt>
                <c:pt idx="10">
                  <c:v>0.52871710000000005</c:v>
                </c:pt>
                <c:pt idx="11">
                  <c:v>0.51363639999999988</c:v>
                </c:pt>
                <c:pt idx="12">
                  <c:v>0.51536755000000001</c:v>
                </c:pt>
                <c:pt idx="13">
                  <c:v>0.53516550000000007</c:v>
                </c:pt>
                <c:pt idx="14">
                  <c:v>0.52058359999999992</c:v>
                </c:pt>
                <c:pt idx="15">
                  <c:v>0.51999729999999988</c:v>
                </c:pt>
                <c:pt idx="16">
                  <c:v>0.50335979999999991</c:v>
                </c:pt>
              </c:numCache>
            </c:numRef>
          </c:val>
          <c:smooth val="0"/>
          <c:extLst>
            <c:ext xmlns:c16="http://schemas.microsoft.com/office/drawing/2014/chart" uri="{C3380CC4-5D6E-409C-BE32-E72D297353CC}">
              <c16:uniqueId val="{00000002-61BF-4646-A6C6-A07858FC30C4}"/>
            </c:ext>
          </c:extLst>
        </c:ser>
        <c:ser>
          <c:idx val="3"/>
          <c:order val="3"/>
          <c:tx>
            <c:strRef>
              <c:f>Sheet2!$F$35</c:f>
              <c:strCache>
                <c:ptCount val="1"/>
                <c:pt idx="0">
                  <c:v>Proizvodi</c:v>
                </c:pt>
              </c:strCache>
            </c:strRef>
          </c:tx>
          <c:spPr>
            <a:ln w="28575" cap="rnd">
              <a:solidFill>
                <a:schemeClr val="accent4"/>
              </a:solidFill>
              <a:round/>
            </a:ln>
            <a:effectLst/>
          </c:spPr>
          <c:marker>
            <c:symbol val="none"/>
          </c:marker>
          <c:cat>
            <c:numRef>
              <c:f>Sheet2!$G$31:$W$31</c:f>
              <c:numCache>
                <c:formatCode>General</c:formatCode>
                <c:ptCount val="17"/>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numCache>
            </c:numRef>
          </c:cat>
          <c:val>
            <c:numRef>
              <c:f>Sheet2!$G$35:$W$35</c:f>
              <c:numCache>
                <c:formatCode>#,#00</c:formatCode>
                <c:ptCount val="17"/>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numCache>
            </c:numRef>
          </c:val>
          <c:smooth val="0"/>
          <c:extLst>
            <c:ext xmlns:c16="http://schemas.microsoft.com/office/drawing/2014/chart" uri="{C3380CC4-5D6E-409C-BE32-E72D297353CC}">
              <c16:uniqueId val="{00000003-61BF-4646-A6C6-A07858FC30C4}"/>
            </c:ext>
          </c:extLst>
        </c:ser>
        <c:ser>
          <c:idx val="4"/>
          <c:order val="4"/>
          <c:tx>
            <c:strRef>
              <c:f>Sheet2!$F$36</c:f>
              <c:strCache>
                <c:ptCount val="1"/>
                <c:pt idx="0">
                  <c:v>Ostaci iz procesa </c:v>
                </c:pt>
              </c:strCache>
            </c:strRef>
          </c:tx>
          <c:spPr>
            <a:ln w="28575" cap="rnd">
              <a:solidFill>
                <a:schemeClr val="tx1">
                  <a:lumMod val="85000"/>
                  <a:lumOff val="15000"/>
                </a:schemeClr>
              </a:solidFill>
              <a:round/>
            </a:ln>
            <a:effectLst/>
          </c:spPr>
          <c:marker>
            <c:symbol val="none"/>
          </c:marker>
          <c:cat>
            <c:numRef>
              <c:f>Sheet2!$G$31:$W$31</c:f>
              <c:numCache>
                <c:formatCode>General</c:formatCode>
                <c:ptCount val="17"/>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numCache>
            </c:numRef>
          </c:cat>
          <c:val>
            <c:numRef>
              <c:f>Sheet2!$G$36:$W$36</c:f>
              <c:numCache>
                <c:formatCode>#,#00</c:formatCode>
                <c:ptCount val="17"/>
                <c:pt idx="0">
                  <c:v>16.445109287323998</c:v>
                </c:pt>
                <c:pt idx="1">
                  <c:v>18.200742404</c:v>
                </c:pt>
                <c:pt idx="2">
                  <c:v>17.564971257539998</c:v>
                </c:pt>
                <c:pt idx="3">
                  <c:v>16.200516074799999</c:v>
                </c:pt>
                <c:pt idx="4">
                  <c:v>14.599202689895998</c:v>
                </c:pt>
                <c:pt idx="5">
                  <c:v>14.22250632598</c:v>
                </c:pt>
                <c:pt idx="6">
                  <c:v>13.425268932932001</c:v>
                </c:pt>
                <c:pt idx="7">
                  <c:v>13.099847895000002</c:v>
                </c:pt>
                <c:pt idx="8">
                  <c:v>14.657882360000002</c:v>
                </c:pt>
                <c:pt idx="9">
                  <c:v>15.460373190666667</c:v>
                </c:pt>
                <c:pt idx="10">
                  <c:v>14.707038859999999</c:v>
                </c:pt>
                <c:pt idx="11">
                  <c:v>14.47786974195</c:v>
                </c:pt>
                <c:pt idx="12">
                  <c:v>13.94650794</c:v>
                </c:pt>
                <c:pt idx="13">
                  <c:v>14.928902238500003</c:v>
                </c:pt>
                <c:pt idx="14">
                  <c:v>14.852684200000002</c:v>
                </c:pt>
                <c:pt idx="15">
                  <c:v>14.50536052</c:v>
                </c:pt>
                <c:pt idx="16">
                  <c:v>15.444357160000001</c:v>
                </c:pt>
              </c:numCache>
            </c:numRef>
          </c:val>
          <c:smooth val="0"/>
          <c:extLst>
            <c:ext xmlns:c16="http://schemas.microsoft.com/office/drawing/2014/chart" uri="{C3380CC4-5D6E-409C-BE32-E72D297353CC}">
              <c16:uniqueId val="{00000004-61BF-4646-A6C6-A07858FC30C4}"/>
            </c:ext>
          </c:extLst>
        </c:ser>
        <c:dLbls>
          <c:showLegendKey val="0"/>
          <c:showVal val="0"/>
          <c:showCatName val="0"/>
          <c:showSerName val="0"/>
          <c:showPercent val="0"/>
          <c:showBubbleSize val="0"/>
        </c:dLbls>
        <c:smooth val="0"/>
        <c:axId val="1028927871"/>
        <c:axId val="1028929311"/>
      </c:lineChart>
      <c:catAx>
        <c:axId val="1028927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8929311"/>
        <c:crosses val="autoZero"/>
        <c:auto val="1"/>
        <c:lblAlgn val="ctr"/>
        <c:lblOffset val="100"/>
        <c:noMultiLvlLbl val="0"/>
      </c:catAx>
      <c:valAx>
        <c:axId val="10289293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a:t>
                </a:r>
                <a:r>
                  <a:rPr lang="sr-Latn-RS"/>
                  <a:t>gTEQ/god</a:t>
                </a:r>
                <a:endParaRPr lang="en-US"/>
              </a:p>
            </c:rich>
          </c:tx>
          <c:layout>
            <c:manualLayout>
              <c:xMode val="edge"/>
              <c:yMode val="edge"/>
              <c:x val="3.0555555555555555E-2"/>
              <c:y val="6.2875473899095778E-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89278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Rezultati ankete :„Da li vaše domaćinstvo ima CRT televizor (televizor sa katodnom cijevi) i da li je u upotrebi?“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Sheet1!$H$2</c:f>
              <c:strCache>
                <c:ptCount val="1"/>
                <c:pt idx="0">
                  <c:v>%</c:v>
                </c:pt>
              </c:strCache>
            </c:strRef>
          </c:tx>
          <c:spPr>
            <a:solidFill>
              <a:schemeClr val="accent1"/>
            </a:solidFill>
            <a:ln>
              <a:noFill/>
            </a:ln>
            <a:effectLst/>
          </c:spPr>
          <c:invertIfNegative val="0"/>
          <c:cat>
            <c:strRef>
              <c:f>Sheet1!$G$3:$G$5</c:f>
              <c:strCache>
                <c:ptCount val="3"/>
                <c:pt idx="0">
                  <c:v> „Da, i u upotrebi je.“</c:v>
                </c:pt>
                <c:pt idx="1">
                  <c:v>„Da, ali nije u upotrebi.“</c:v>
                </c:pt>
                <c:pt idx="2">
                  <c:v>„Ne.“</c:v>
                </c:pt>
              </c:strCache>
            </c:strRef>
          </c:cat>
          <c:val>
            <c:numRef>
              <c:f>Sheet1!$H$3:$H$5</c:f>
              <c:numCache>
                <c:formatCode>General</c:formatCode>
                <c:ptCount val="3"/>
                <c:pt idx="0">
                  <c:v>11</c:v>
                </c:pt>
                <c:pt idx="1">
                  <c:v>14.4</c:v>
                </c:pt>
                <c:pt idx="2">
                  <c:v>74.599999999999994</c:v>
                </c:pt>
              </c:numCache>
            </c:numRef>
          </c:val>
          <c:extLst>
            <c:ext xmlns:c16="http://schemas.microsoft.com/office/drawing/2014/chart" uri="{C3380CC4-5D6E-409C-BE32-E72D297353CC}">
              <c16:uniqueId val="{00000000-B283-4C5B-8D81-912200F27269}"/>
            </c:ext>
          </c:extLst>
        </c:ser>
        <c:dLbls>
          <c:showLegendKey val="0"/>
          <c:showVal val="0"/>
          <c:showCatName val="0"/>
          <c:showSerName val="0"/>
          <c:showPercent val="0"/>
          <c:showBubbleSize val="0"/>
        </c:dLbls>
        <c:gapWidth val="182"/>
        <c:axId val="1146638287"/>
        <c:axId val="1146621967"/>
      </c:barChart>
      <c:catAx>
        <c:axId val="11466382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6621967"/>
        <c:crosses val="autoZero"/>
        <c:auto val="1"/>
        <c:lblAlgn val="ctr"/>
        <c:lblOffset val="100"/>
        <c:noMultiLvlLbl val="0"/>
      </c:catAx>
      <c:valAx>
        <c:axId val="114662196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663828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Rezultati ankete:„Da li vaše domaćinstvo ima CRT računar­ski monitor?“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Sheet1!$E$8</c:f>
              <c:strCache>
                <c:ptCount val="1"/>
                <c:pt idx="0">
                  <c:v>%</c:v>
                </c:pt>
              </c:strCache>
            </c:strRef>
          </c:tx>
          <c:spPr>
            <a:solidFill>
              <a:schemeClr val="accent1"/>
            </a:solidFill>
            <a:ln>
              <a:noFill/>
            </a:ln>
            <a:effectLst/>
          </c:spPr>
          <c:invertIfNegative val="0"/>
          <c:cat>
            <c:strRef>
              <c:f>Sheet1!$D$9:$D$11</c:f>
              <c:strCache>
                <c:ptCount val="3"/>
                <c:pt idx="0">
                  <c:v>Da ali nije u upotrebi</c:v>
                </c:pt>
                <c:pt idx="1">
                  <c:v>Ne</c:v>
                </c:pt>
                <c:pt idx="2">
                  <c:v>Da i u upotrebi je </c:v>
                </c:pt>
              </c:strCache>
            </c:strRef>
          </c:cat>
          <c:val>
            <c:numRef>
              <c:f>Sheet1!$E$9:$E$11</c:f>
              <c:numCache>
                <c:formatCode>General</c:formatCode>
                <c:ptCount val="3"/>
                <c:pt idx="0">
                  <c:v>12</c:v>
                </c:pt>
                <c:pt idx="1">
                  <c:v>86.4</c:v>
                </c:pt>
                <c:pt idx="2">
                  <c:v>1.6</c:v>
                </c:pt>
              </c:numCache>
            </c:numRef>
          </c:val>
          <c:extLst>
            <c:ext xmlns:c16="http://schemas.microsoft.com/office/drawing/2014/chart" uri="{C3380CC4-5D6E-409C-BE32-E72D297353CC}">
              <c16:uniqueId val="{00000000-F8B9-408B-B784-32625D1E11B0}"/>
            </c:ext>
          </c:extLst>
        </c:ser>
        <c:dLbls>
          <c:showLegendKey val="0"/>
          <c:showVal val="0"/>
          <c:showCatName val="0"/>
          <c:showSerName val="0"/>
          <c:showPercent val="0"/>
          <c:showBubbleSize val="0"/>
        </c:dLbls>
        <c:gapWidth val="182"/>
        <c:axId val="1072110895"/>
        <c:axId val="1072111855"/>
      </c:barChart>
      <c:catAx>
        <c:axId val="10721108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111855"/>
        <c:crosses val="autoZero"/>
        <c:auto val="1"/>
        <c:lblAlgn val="ctr"/>
        <c:lblOffset val="100"/>
        <c:noMultiLvlLbl val="0"/>
      </c:catAx>
      <c:valAx>
        <c:axId val="10721118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11089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Sadržaj PBDE u CRT televizorima u upotrebi, na zalihama i u CRT monitorima</a:t>
            </a:r>
            <a:r>
              <a:rPr lang="sr-Latn-RS" sz="1400" b="0" i="0" u="none" strike="noStrike" baseline="0">
                <a:effectLst/>
              </a:rPr>
              <a:t> u 2023.</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Sheet1!$C$23</c:f>
              <c:strCache>
                <c:ptCount val="1"/>
                <c:pt idx="0">
                  <c:v>Količina heksa/heptaBDE (kg)</c:v>
                </c:pt>
              </c:strCache>
            </c:strRef>
          </c:tx>
          <c:spPr>
            <a:solidFill>
              <a:schemeClr val="accent1"/>
            </a:solidFill>
            <a:ln>
              <a:noFill/>
            </a:ln>
            <a:effectLst/>
          </c:spPr>
          <c:invertIfNegative val="0"/>
          <c:cat>
            <c:strRef>
              <c:f>Sheet1!$B$24:$B$27</c:f>
              <c:strCache>
                <c:ptCount val="4"/>
                <c:pt idx="0">
                  <c:v>CRT monitor</c:v>
                </c:pt>
                <c:pt idx="1">
                  <c:v>CRT TV (na zalihama)</c:v>
                </c:pt>
                <c:pt idx="2">
                  <c:v>CRT TV (u upotrebi)</c:v>
                </c:pt>
                <c:pt idx="3">
                  <c:v>Ukupno</c:v>
                </c:pt>
              </c:strCache>
            </c:strRef>
          </c:cat>
          <c:val>
            <c:numRef>
              <c:f>Sheet1!$C$24:$C$27</c:f>
              <c:numCache>
                <c:formatCode>General</c:formatCode>
                <c:ptCount val="4"/>
                <c:pt idx="0">
                  <c:v>303</c:v>
                </c:pt>
                <c:pt idx="1">
                  <c:v>110</c:v>
                </c:pt>
                <c:pt idx="2">
                  <c:v>84</c:v>
                </c:pt>
                <c:pt idx="3">
                  <c:v>497</c:v>
                </c:pt>
              </c:numCache>
            </c:numRef>
          </c:val>
          <c:extLst>
            <c:ext xmlns:c16="http://schemas.microsoft.com/office/drawing/2014/chart" uri="{C3380CC4-5D6E-409C-BE32-E72D297353CC}">
              <c16:uniqueId val="{00000000-2D88-498F-A412-AEF22B474166}"/>
            </c:ext>
          </c:extLst>
        </c:ser>
        <c:ser>
          <c:idx val="1"/>
          <c:order val="1"/>
          <c:tx>
            <c:strRef>
              <c:f>Sheet1!$D$23</c:f>
              <c:strCache>
                <c:ptCount val="1"/>
                <c:pt idx="0">
                  <c:v>Količina dekaBDE (kg)</c:v>
                </c:pt>
              </c:strCache>
            </c:strRef>
          </c:tx>
          <c:spPr>
            <a:solidFill>
              <a:schemeClr val="accent2"/>
            </a:solidFill>
            <a:ln>
              <a:noFill/>
            </a:ln>
            <a:effectLst/>
          </c:spPr>
          <c:invertIfNegative val="0"/>
          <c:cat>
            <c:strRef>
              <c:f>Sheet1!$B$24:$B$27</c:f>
              <c:strCache>
                <c:ptCount val="4"/>
                <c:pt idx="0">
                  <c:v>CRT monitor</c:v>
                </c:pt>
                <c:pt idx="1">
                  <c:v>CRT TV (na zalihama)</c:v>
                </c:pt>
                <c:pt idx="2">
                  <c:v>CRT TV (u upotrebi)</c:v>
                </c:pt>
                <c:pt idx="3">
                  <c:v>Ukupno</c:v>
                </c:pt>
              </c:strCache>
            </c:strRef>
          </c:cat>
          <c:val>
            <c:numRef>
              <c:f>Sheet1!$D$24:$D$27</c:f>
              <c:numCache>
                <c:formatCode>General</c:formatCode>
                <c:ptCount val="4"/>
                <c:pt idx="0">
                  <c:v>976</c:v>
                </c:pt>
                <c:pt idx="1">
                  <c:v>1033</c:v>
                </c:pt>
                <c:pt idx="2">
                  <c:v>788</c:v>
                </c:pt>
                <c:pt idx="3">
                  <c:v>2797</c:v>
                </c:pt>
              </c:numCache>
            </c:numRef>
          </c:val>
          <c:extLst>
            <c:ext xmlns:c16="http://schemas.microsoft.com/office/drawing/2014/chart" uri="{C3380CC4-5D6E-409C-BE32-E72D297353CC}">
              <c16:uniqueId val="{00000001-2D88-498F-A412-AEF22B474166}"/>
            </c:ext>
          </c:extLst>
        </c:ser>
        <c:dLbls>
          <c:showLegendKey val="0"/>
          <c:showVal val="0"/>
          <c:showCatName val="0"/>
          <c:showSerName val="0"/>
          <c:showPercent val="0"/>
          <c:showBubbleSize val="0"/>
        </c:dLbls>
        <c:gapWidth val="219"/>
        <c:overlap val="-27"/>
        <c:axId val="1072099855"/>
        <c:axId val="1072094095"/>
      </c:barChart>
      <c:catAx>
        <c:axId val="1072099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094095"/>
        <c:crosses val="autoZero"/>
        <c:auto val="1"/>
        <c:lblAlgn val="ctr"/>
        <c:lblOffset val="100"/>
        <c:noMultiLvlLbl val="0"/>
      </c:catAx>
      <c:valAx>
        <c:axId val="10720940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0998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Količina PBDE u kg u uvezenim uređajima</a:t>
            </a:r>
            <a:r>
              <a:rPr lang="sr-Latn-RS" baseline="0"/>
              <a:t> izuzimajući CRT uređaje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Sheet2!$M$3:$V$3</c:f>
              <c:strCache>
                <c:ptCount val="10"/>
                <c:pt idx="0">
                  <c:v>Količina heksa/heptaBDE (kg) u uvezenim telefonima</c:v>
                </c:pt>
                <c:pt idx="1">
                  <c:v>Količina dekaBDE (kg) u uvezenim telefonima</c:v>
                </c:pt>
                <c:pt idx="2">
                  <c:v>Količina heksa/heptaBDE (kg) u uvezenim veš mašinama</c:v>
                </c:pt>
                <c:pt idx="3">
                  <c:v>Količina dekaBDE (kg) u uvezenim veš mašinama</c:v>
                </c:pt>
                <c:pt idx="4">
                  <c:v>Količina heksa/heptaBDE (kg) u opremi za grijanje i ventilaciju</c:v>
                </c:pt>
                <c:pt idx="5">
                  <c:v>Količina dekaBDE (kg) u opremi za grijanje i ventilaciju</c:v>
                </c:pt>
                <c:pt idx="6">
                  <c:v>Količina heksa/heptaBDE (kg) u uvezenim frižiderima</c:v>
                </c:pt>
                <c:pt idx="7">
                  <c:v>Količina dekaBDE (kg) u uvezenim frižiderima</c:v>
                </c:pt>
                <c:pt idx="8">
                  <c:v>Količina heksa/heptaBDE (kg) u uvezenim klima uređajima</c:v>
                </c:pt>
                <c:pt idx="9">
                  <c:v>Količina dekaBDE (kg) u uvezenim klima uređajima</c:v>
                </c:pt>
              </c:strCache>
            </c:strRef>
          </c:cat>
          <c:val>
            <c:numRef>
              <c:f>Sheet2!$M$4:$V$4</c:f>
              <c:numCache>
                <c:formatCode>General</c:formatCode>
                <c:ptCount val="10"/>
                <c:pt idx="0">
                  <c:v>3.46</c:v>
                </c:pt>
                <c:pt idx="1">
                  <c:v>34.57</c:v>
                </c:pt>
                <c:pt idx="2">
                  <c:v>6.2E-2</c:v>
                </c:pt>
                <c:pt idx="3">
                  <c:v>6.2E-2</c:v>
                </c:pt>
                <c:pt idx="4">
                  <c:v>0.55000000000000004</c:v>
                </c:pt>
                <c:pt idx="5">
                  <c:v>8.7200000000000006</c:v>
                </c:pt>
                <c:pt idx="6">
                  <c:v>0.13</c:v>
                </c:pt>
                <c:pt idx="7">
                  <c:v>0.13</c:v>
                </c:pt>
                <c:pt idx="8">
                  <c:v>0.8</c:v>
                </c:pt>
                <c:pt idx="9">
                  <c:v>0.8</c:v>
                </c:pt>
              </c:numCache>
            </c:numRef>
          </c:val>
          <c:extLst>
            <c:ext xmlns:c16="http://schemas.microsoft.com/office/drawing/2014/chart" uri="{C3380CC4-5D6E-409C-BE32-E72D297353CC}">
              <c16:uniqueId val="{00000000-19A5-4980-9FBE-DA565E862310}"/>
            </c:ext>
          </c:extLst>
        </c:ser>
        <c:ser>
          <c:idx val="1"/>
          <c:order val="1"/>
          <c:spPr>
            <a:solidFill>
              <a:schemeClr val="accent2"/>
            </a:solidFill>
            <a:ln>
              <a:noFill/>
            </a:ln>
            <a:effectLst/>
          </c:spPr>
          <c:invertIfNegative val="0"/>
          <c:cat>
            <c:strRef>
              <c:f>Sheet2!$M$3:$V$3</c:f>
              <c:strCache>
                <c:ptCount val="10"/>
                <c:pt idx="0">
                  <c:v>Količina heksa/heptaBDE (kg) u uvezenim telefonima</c:v>
                </c:pt>
                <c:pt idx="1">
                  <c:v>Količina dekaBDE (kg) u uvezenim telefonima</c:v>
                </c:pt>
                <c:pt idx="2">
                  <c:v>Količina heksa/heptaBDE (kg) u uvezenim veš mašinama</c:v>
                </c:pt>
                <c:pt idx="3">
                  <c:v>Količina dekaBDE (kg) u uvezenim veš mašinama</c:v>
                </c:pt>
                <c:pt idx="4">
                  <c:v>Količina heksa/heptaBDE (kg) u opremi za grijanje i ventilaciju</c:v>
                </c:pt>
                <c:pt idx="5">
                  <c:v>Količina dekaBDE (kg) u opremi za grijanje i ventilaciju</c:v>
                </c:pt>
                <c:pt idx="6">
                  <c:v>Količina heksa/heptaBDE (kg) u uvezenim frižiderima</c:v>
                </c:pt>
                <c:pt idx="7">
                  <c:v>Količina dekaBDE (kg) u uvezenim frižiderima</c:v>
                </c:pt>
                <c:pt idx="8">
                  <c:v>Količina heksa/heptaBDE (kg) u uvezenim klima uređajima</c:v>
                </c:pt>
                <c:pt idx="9">
                  <c:v>Količina dekaBDE (kg) u uvezenim klima uređajima</c:v>
                </c:pt>
              </c:strCache>
            </c:strRef>
          </c:cat>
          <c:val>
            <c:numRef>
              <c:f>Sheet2!$M$5:$V$5</c:f>
              <c:numCache>
                <c:formatCode>General</c:formatCode>
                <c:ptCount val="10"/>
                <c:pt idx="0">
                  <c:v>0.12</c:v>
                </c:pt>
                <c:pt idx="1">
                  <c:v>1.2</c:v>
                </c:pt>
                <c:pt idx="2">
                  <c:v>4.2000000000000003E-2</c:v>
                </c:pt>
                <c:pt idx="3">
                  <c:v>4.2000000000000003E-2</c:v>
                </c:pt>
                <c:pt idx="4">
                  <c:v>0.26</c:v>
                </c:pt>
                <c:pt idx="5">
                  <c:v>4.21</c:v>
                </c:pt>
                <c:pt idx="6">
                  <c:v>0.28000000000000003</c:v>
                </c:pt>
                <c:pt idx="7">
                  <c:v>0.28000000000000003</c:v>
                </c:pt>
                <c:pt idx="8">
                  <c:v>2.2599999999999998</c:v>
                </c:pt>
                <c:pt idx="9">
                  <c:v>2.2599999999999998</c:v>
                </c:pt>
              </c:numCache>
            </c:numRef>
          </c:val>
          <c:extLst>
            <c:ext xmlns:c16="http://schemas.microsoft.com/office/drawing/2014/chart" uri="{C3380CC4-5D6E-409C-BE32-E72D297353CC}">
              <c16:uniqueId val="{00000001-19A5-4980-9FBE-DA565E862310}"/>
            </c:ext>
          </c:extLst>
        </c:ser>
        <c:ser>
          <c:idx val="2"/>
          <c:order val="2"/>
          <c:spPr>
            <a:solidFill>
              <a:schemeClr val="accent3"/>
            </a:solidFill>
            <a:ln>
              <a:noFill/>
            </a:ln>
            <a:effectLst/>
          </c:spPr>
          <c:invertIfNegative val="0"/>
          <c:cat>
            <c:strRef>
              <c:f>Sheet2!$M$3:$V$3</c:f>
              <c:strCache>
                <c:ptCount val="10"/>
                <c:pt idx="0">
                  <c:v>Količina heksa/heptaBDE (kg) u uvezenim telefonima</c:v>
                </c:pt>
                <c:pt idx="1">
                  <c:v>Količina dekaBDE (kg) u uvezenim telefonima</c:v>
                </c:pt>
                <c:pt idx="2">
                  <c:v>Količina heksa/heptaBDE (kg) u uvezenim veš mašinama</c:v>
                </c:pt>
                <c:pt idx="3">
                  <c:v>Količina dekaBDE (kg) u uvezenim veš mašinama</c:v>
                </c:pt>
                <c:pt idx="4">
                  <c:v>Količina heksa/heptaBDE (kg) u opremi za grijanje i ventilaciju</c:v>
                </c:pt>
                <c:pt idx="5">
                  <c:v>Količina dekaBDE (kg) u opremi za grijanje i ventilaciju</c:v>
                </c:pt>
                <c:pt idx="6">
                  <c:v>Količina heksa/heptaBDE (kg) u uvezenim frižiderima</c:v>
                </c:pt>
                <c:pt idx="7">
                  <c:v>Količina dekaBDE (kg) u uvezenim frižiderima</c:v>
                </c:pt>
                <c:pt idx="8">
                  <c:v>Količina heksa/heptaBDE (kg) u uvezenim klima uređajima</c:v>
                </c:pt>
                <c:pt idx="9">
                  <c:v>Količina dekaBDE (kg) u uvezenim klima uređajima</c:v>
                </c:pt>
              </c:strCache>
            </c:strRef>
          </c:cat>
          <c:val>
            <c:numRef>
              <c:f>Sheet2!$M$6:$V$6</c:f>
              <c:numCache>
                <c:formatCode>General</c:formatCode>
                <c:ptCount val="10"/>
                <c:pt idx="0">
                  <c:v>0.47</c:v>
                </c:pt>
                <c:pt idx="1">
                  <c:v>4.72</c:v>
                </c:pt>
                <c:pt idx="2">
                  <c:v>0.17299999999999999</c:v>
                </c:pt>
                <c:pt idx="3">
                  <c:v>0.17299999999999999</c:v>
                </c:pt>
                <c:pt idx="4">
                  <c:v>0.5</c:v>
                </c:pt>
                <c:pt idx="5">
                  <c:v>8.0500000000000007</c:v>
                </c:pt>
                <c:pt idx="6">
                  <c:v>0.18</c:v>
                </c:pt>
                <c:pt idx="7">
                  <c:v>0.18</c:v>
                </c:pt>
                <c:pt idx="8">
                  <c:v>0.93</c:v>
                </c:pt>
                <c:pt idx="9">
                  <c:v>0.93</c:v>
                </c:pt>
              </c:numCache>
            </c:numRef>
          </c:val>
          <c:extLst>
            <c:ext xmlns:c16="http://schemas.microsoft.com/office/drawing/2014/chart" uri="{C3380CC4-5D6E-409C-BE32-E72D297353CC}">
              <c16:uniqueId val="{00000002-19A5-4980-9FBE-DA565E862310}"/>
            </c:ext>
          </c:extLst>
        </c:ser>
        <c:ser>
          <c:idx val="3"/>
          <c:order val="3"/>
          <c:spPr>
            <a:solidFill>
              <a:schemeClr val="accent4"/>
            </a:solidFill>
            <a:ln>
              <a:noFill/>
            </a:ln>
            <a:effectLst/>
          </c:spPr>
          <c:invertIfNegative val="0"/>
          <c:cat>
            <c:strRef>
              <c:f>Sheet2!$M$3:$V$3</c:f>
              <c:strCache>
                <c:ptCount val="10"/>
                <c:pt idx="0">
                  <c:v>Količina heksa/heptaBDE (kg) u uvezenim telefonima</c:v>
                </c:pt>
                <c:pt idx="1">
                  <c:v>Količina dekaBDE (kg) u uvezenim telefonima</c:v>
                </c:pt>
                <c:pt idx="2">
                  <c:v>Količina heksa/heptaBDE (kg) u uvezenim veš mašinama</c:v>
                </c:pt>
                <c:pt idx="3">
                  <c:v>Količina dekaBDE (kg) u uvezenim veš mašinama</c:v>
                </c:pt>
                <c:pt idx="4">
                  <c:v>Količina heksa/heptaBDE (kg) u opremi za grijanje i ventilaciju</c:v>
                </c:pt>
                <c:pt idx="5">
                  <c:v>Količina dekaBDE (kg) u opremi za grijanje i ventilaciju</c:v>
                </c:pt>
                <c:pt idx="6">
                  <c:v>Količina heksa/heptaBDE (kg) u uvezenim frižiderima</c:v>
                </c:pt>
                <c:pt idx="7">
                  <c:v>Količina dekaBDE (kg) u uvezenim frižiderima</c:v>
                </c:pt>
                <c:pt idx="8">
                  <c:v>Količina heksa/heptaBDE (kg) u uvezenim klima uređajima</c:v>
                </c:pt>
                <c:pt idx="9">
                  <c:v>Količina dekaBDE (kg) u uvezenim klima uređajima</c:v>
                </c:pt>
              </c:strCache>
            </c:strRef>
          </c:cat>
          <c:val>
            <c:numRef>
              <c:f>Sheet2!$M$7:$V$7</c:f>
              <c:numCache>
                <c:formatCode>General</c:formatCode>
                <c:ptCount val="10"/>
                <c:pt idx="0">
                  <c:v>0.25</c:v>
                </c:pt>
                <c:pt idx="1">
                  <c:v>2.5299999999999998</c:v>
                </c:pt>
                <c:pt idx="2">
                  <c:v>8.1000000000000003E-2</c:v>
                </c:pt>
                <c:pt idx="3">
                  <c:v>8.1000000000000003E-2</c:v>
                </c:pt>
                <c:pt idx="4">
                  <c:v>0.22</c:v>
                </c:pt>
                <c:pt idx="5">
                  <c:v>3.48</c:v>
                </c:pt>
                <c:pt idx="6">
                  <c:v>0.3</c:v>
                </c:pt>
                <c:pt idx="7">
                  <c:v>0.3</c:v>
                </c:pt>
                <c:pt idx="8">
                  <c:v>1.01</c:v>
                </c:pt>
                <c:pt idx="9">
                  <c:v>1.01</c:v>
                </c:pt>
              </c:numCache>
            </c:numRef>
          </c:val>
          <c:extLst>
            <c:ext xmlns:c16="http://schemas.microsoft.com/office/drawing/2014/chart" uri="{C3380CC4-5D6E-409C-BE32-E72D297353CC}">
              <c16:uniqueId val="{00000003-19A5-4980-9FBE-DA565E862310}"/>
            </c:ext>
          </c:extLst>
        </c:ser>
        <c:ser>
          <c:idx val="4"/>
          <c:order val="4"/>
          <c:spPr>
            <a:solidFill>
              <a:schemeClr val="accent5"/>
            </a:solidFill>
            <a:ln>
              <a:noFill/>
            </a:ln>
            <a:effectLst/>
          </c:spPr>
          <c:invertIfNegative val="0"/>
          <c:cat>
            <c:strRef>
              <c:f>Sheet2!$M$3:$V$3</c:f>
              <c:strCache>
                <c:ptCount val="10"/>
                <c:pt idx="0">
                  <c:v>Količina heksa/heptaBDE (kg) u uvezenim telefonima</c:v>
                </c:pt>
                <c:pt idx="1">
                  <c:v>Količina dekaBDE (kg) u uvezenim telefonima</c:v>
                </c:pt>
                <c:pt idx="2">
                  <c:v>Količina heksa/heptaBDE (kg) u uvezenim veš mašinama</c:v>
                </c:pt>
                <c:pt idx="3">
                  <c:v>Količina dekaBDE (kg) u uvezenim veš mašinama</c:v>
                </c:pt>
                <c:pt idx="4">
                  <c:v>Količina heksa/heptaBDE (kg) u opremi za grijanje i ventilaciju</c:v>
                </c:pt>
                <c:pt idx="5">
                  <c:v>Količina dekaBDE (kg) u opremi za grijanje i ventilaciju</c:v>
                </c:pt>
                <c:pt idx="6">
                  <c:v>Količina heksa/heptaBDE (kg) u uvezenim frižiderima</c:v>
                </c:pt>
                <c:pt idx="7">
                  <c:v>Količina dekaBDE (kg) u uvezenim frižiderima</c:v>
                </c:pt>
                <c:pt idx="8">
                  <c:v>Količina heksa/heptaBDE (kg) u uvezenim klima uređajima</c:v>
                </c:pt>
                <c:pt idx="9">
                  <c:v>Količina dekaBDE (kg) u uvezenim klima uređajima</c:v>
                </c:pt>
              </c:strCache>
            </c:strRef>
          </c:cat>
          <c:val>
            <c:numRef>
              <c:f>Sheet2!$M$8:$V$8</c:f>
              <c:numCache>
                <c:formatCode>General</c:formatCode>
                <c:ptCount val="10"/>
                <c:pt idx="0">
                  <c:v>0.01</c:v>
                </c:pt>
                <c:pt idx="1">
                  <c:v>0.13</c:v>
                </c:pt>
                <c:pt idx="2">
                  <c:v>0.157</c:v>
                </c:pt>
                <c:pt idx="3">
                  <c:v>0.157</c:v>
                </c:pt>
                <c:pt idx="4">
                  <c:v>0.13</c:v>
                </c:pt>
                <c:pt idx="5">
                  <c:v>2.02</c:v>
                </c:pt>
                <c:pt idx="6">
                  <c:v>0.37</c:v>
                </c:pt>
                <c:pt idx="7">
                  <c:v>0.37</c:v>
                </c:pt>
                <c:pt idx="8">
                  <c:v>1.05</c:v>
                </c:pt>
                <c:pt idx="9">
                  <c:v>1.05</c:v>
                </c:pt>
              </c:numCache>
            </c:numRef>
          </c:val>
          <c:extLst>
            <c:ext xmlns:c16="http://schemas.microsoft.com/office/drawing/2014/chart" uri="{C3380CC4-5D6E-409C-BE32-E72D297353CC}">
              <c16:uniqueId val="{00000004-19A5-4980-9FBE-DA565E862310}"/>
            </c:ext>
          </c:extLst>
        </c:ser>
        <c:ser>
          <c:idx val="5"/>
          <c:order val="5"/>
          <c:spPr>
            <a:solidFill>
              <a:schemeClr val="accent6"/>
            </a:solidFill>
            <a:ln>
              <a:noFill/>
            </a:ln>
            <a:effectLst/>
          </c:spPr>
          <c:invertIfNegative val="0"/>
          <c:cat>
            <c:strRef>
              <c:f>Sheet2!$M$3:$V$3</c:f>
              <c:strCache>
                <c:ptCount val="10"/>
                <c:pt idx="0">
                  <c:v>Količina heksa/heptaBDE (kg) u uvezenim telefonima</c:v>
                </c:pt>
                <c:pt idx="1">
                  <c:v>Količina dekaBDE (kg) u uvezenim telefonima</c:v>
                </c:pt>
                <c:pt idx="2">
                  <c:v>Količina heksa/heptaBDE (kg) u uvezenim veš mašinama</c:v>
                </c:pt>
                <c:pt idx="3">
                  <c:v>Količina dekaBDE (kg) u uvezenim veš mašinama</c:v>
                </c:pt>
                <c:pt idx="4">
                  <c:v>Količina heksa/heptaBDE (kg) u opremi za grijanje i ventilaciju</c:v>
                </c:pt>
                <c:pt idx="5">
                  <c:v>Količina dekaBDE (kg) u opremi za grijanje i ventilaciju</c:v>
                </c:pt>
                <c:pt idx="6">
                  <c:v>Količina heksa/heptaBDE (kg) u uvezenim frižiderima</c:v>
                </c:pt>
                <c:pt idx="7">
                  <c:v>Količina dekaBDE (kg) u uvezenim frižiderima</c:v>
                </c:pt>
                <c:pt idx="8">
                  <c:v>Količina heksa/heptaBDE (kg) u uvezenim klima uređajima</c:v>
                </c:pt>
                <c:pt idx="9">
                  <c:v>Količina dekaBDE (kg) u uvezenim klima uređajima</c:v>
                </c:pt>
              </c:strCache>
            </c:strRef>
          </c:cat>
          <c:val>
            <c:numRef>
              <c:f>Sheet2!$M$9:$V$9</c:f>
              <c:numCache>
                <c:formatCode>General</c:formatCode>
                <c:ptCount val="10"/>
                <c:pt idx="0">
                  <c:v>7.0000000000000007E-2</c:v>
                </c:pt>
                <c:pt idx="1">
                  <c:v>0.73</c:v>
                </c:pt>
                <c:pt idx="2">
                  <c:v>6.6000000000000003E-2</c:v>
                </c:pt>
                <c:pt idx="3">
                  <c:v>6.6000000000000003E-2</c:v>
                </c:pt>
                <c:pt idx="4">
                  <c:v>0.39</c:v>
                </c:pt>
                <c:pt idx="5">
                  <c:v>6.3</c:v>
                </c:pt>
                <c:pt idx="6">
                  <c:v>0.39</c:v>
                </c:pt>
                <c:pt idx="7">
                  <c:v>0.39</c:v>
                </c:pt>
                <c:pt idx="8">
                  <c:v>1.28</c:v>
                </c:pt>
                <c:pt idx="9">
                  <c:v>1.28</c:v>
                </c:pt>
              </c:numCache>
            </c:numRef>
          </c:val>
          <c:extLst>
            <c:ext xmlns:c16="http://schemas.microsoft.com/office/drawing/2014/chart" uri="{C3380CC4-5D6E-409C-BE32-E72D297353CC}">
              <c16:uniqueId val="{00000005-19A5-4980-9FBE-DA565E862310}"/>
            </c:ext>
          </c:extLst>
        </c:ser>
        <c:ser>
          <c:idx val="6"/>
          <c:order val="6"/>
          <c:spPr>
            <a:solidFill>
              <a:schemeClr val="accent1">
                <a:lumMod val="60000"/>
              </a:schemeClr>
            </a:solidFill>
            <a:ln>
              <a:noFill/>
            </a:ln>
            <a:effectLst/>
          </c:spPr>
          <c:invertIfNegative val="0"/>
          <c:cat>
            <c:strRef>
              <c:f>Sheet2!$M$3:$V$3</c:f>
              <c:strCache>
                <c:ptCount val="10"/>
                <c:pt idx="0">
                  <c:v>Količina heksa/heptaBDE (kg) u uvezenim telefonima</c:v>
                </c:pt>
                <c:pt idx="1">
                  <c:v>Količina dekaBDE (kg) u uvezenim telefonima</c:v>
                </c:pt>
                <c:pt idx="2">
                  <c:v>Količina heksa/heptaBDE (kg) u uvezenim veš mašinama</c:v>
                </c:pt>
                <c:pt idx="3">
                  <c:v>Količina dekaBDE (kg) u uvezenim veš mašinama</c:v>
                </c:pt>
                <c:pt idx="4">
                  <c:v>Količina heksa/heptaBDE (kg) u opremi za grijanje i ventilaciju</c:v>
                </c:pt>
                <c:pt idx="5">
                  <c:v>Količina dekaBDE (kg) u opremi za grijanje i ventilaciju</c:v>
                </c:pt>
                <c:pt idx="6">
                  <c:v>Količina heksa/heptaBDE (kg) u uvezenim frižiderima</c:v>
                </c:pt>
                <c:pt idx="7">
                  <c:v>Količina dekaBDE (kg) u uvezenim frižiderima</c:v>
                </c:pt>
                <c:pt idx="8">
                  <c:v>Količina heksa/heptaBDE (kg) u uvezenim klima uređajima</c:v>
                </c:pt>
                <c:pt idx="9">
                  <c:v>Količina dekaBDE (kg) u uvezenim klima uređajima</c:v>
                </c:pt>
              </c:strCache>
            </c:strRef>
          </c:cat>
          <c:val>
            <c:numRef>
              <c:f>Sheet2!$M$10:$V$10</c:f>
              <c:numCache>
                <c:formatCode>General</c:formatCode>
                <c:ptCount val="10"/>
                <c:pt idx="0">
                  <c:v>0.09</c:v>
                </c:pt>
                <c:pt idx="1">
                  <c:v>0.92</c:v>
                </c:pt>
                <c:pt idx="2">
                  <c:v>0.38600000000000001</c:v>
                </c:pt>
                <c:pt idx="3">
                  <c:v>0.38600000000000001</c:v>
                </c:pt>
                <c:pt idx="4">
                  <c:v>0.53</c:v>
                </c:pt>
                <c:pt idx="5">
                  <c:v>8.4499999999999993</c:v>
                </c:pt>
                <c:pt idx="6">
                  <c:v>0.53</c:v>
                </c:pt>
                <c:pt idx="7">
                  <c:v>0.53</c:v>
                </c:pt>
                <c:pt idx="8">
                  <c:v>1.88</c:v>
                </c:pt>
                <c:pt idx="9">
                  <c:v>1.88</c:v>
                </c:pt>
              </c:numCache>
            </c:numRef>
          </c:val>
          <c:extLst>
            <c:ext xmlns:c16="http://schemas.microsoft.com/office/drawing/2014/chart" uri="{C3380CC4-5D6E-409C-BE32-E72D297353CC}">
              <c16:uniqueId val="{00000006-19A5-4980-9FBE-DA565E862310}"/>
            </c:ext>
          </c:extLst>
        </c:ser>
        <c:dLbls>
          <c:showLegendKey val="0"/>
          <c:showVal val="0"/>
          <c:showCatName val="0"/>
          <c:showSerName val="0"/>
          <c:showPercent val="0"/>
          <c:showBubbleSize val="0"/>
        </c:dLbls>
        <c:gapWidth val="219"/>
        <c:overlap val="-27"/>
        <c:axId val="1385968879"/>
        <c:axId val="1385969359"/>
      </c:barChart>
      <c:catAx>
        <c:axId val="1385968879"/>
        <c:scaling>
          <c:orientation val="minMax"/>
        </c:scaling>
        <c:delete val="0"/>
        <c:axPos val="b"/>
        <c:numFmt formatCode="General" sourceLinked="1"/>
        <c:majorTickMark val="none"/>
        <c:minorTickMark val="none"/>
        <c:tickLblPos val="nextTo"/>
        <c:spPr>
          <a:noFill/>
          <a:ln w="12700" cap="sq" cmpd="sng" algn="ctr">
            <a:solidFill>
              <a:schemeClr val="tx1">
                <a:lumMod val="15000"/>
                <a:lumOff val="85000"/>
              </a:schemeClr>
            </a:solidFill>
            <a:round/>
          </a:ln>
          <a:effectLst/>
        </c:spPr>
        <c:txPr>
          <a:bodyPr rot="5400000" spcFirstLastPara="1" vertOverflow="ellipsis" wrap="square" anchor="b"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1385969359"/>
        <c:crosses val="autoZero"/>
        <c:auto val="1"/>
        <c:lblAlgn val="ctr"/>
        <c:lblOffset val="100"/>
        <c:noMultiLvlLbl val="0"/>
      </c:catAx>
      <c:valAx>
        <c:axId val="13859693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596887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Sadržaj dekaBDE (kg)</a:t>
            </a:r>
            <a:r>
              <a:rPr lang="sr-Latn-RS"/>
              <a:t> u otpadu EEE generisanom u periodu 2011-2023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Sheet5!$A$8</c:f>
              <c:strCache>
                <c:ptCount val="1"/>
                <c:pt idx="0">
                  <c:v>Sadržaj dekaBDE (kg)</c:v>
                </c:pt>
              </c:strCache>
            </c:strRef>
          </c:tx>
          <c:spPr>
            <a:solidFill>
              <a:schemeClr val="accent1"/>
            </a:solidFill>
            <a:ln>
              <a:noFill/>
            </a:ln>
            <a:effectLst/>
          </c:spPr>
          <c:invertIfNegative val="0"/>
          <c:trendline>
            <c:spPr>
              <a:ln w="19050" cap="rnd">
                <a:solidFill>
                  <a:schemeClr val="accent1"/>
                </a:solidFill>
                <a:prstDash val="sysDot"/>
              </a:ln>
              <a:effectLst/>
            </c:spPr>
            <c:trendlineType val="linear"/>
            <c:dispRSqr val="0"/>
            <c:dispEq val="0"/>
          </c:trendline>
          <c:cat>
            <c:strRef>
              <c:f>Sheet5!$B$7:$N$7</c:f>
              <c:strCache>
                <c:ptCount val="13"/>
                <c:pt idx="0">
                  <c:v>2011g</c:v>
                </c:pt>
                <c:pt idx="1">
                  <c:v>2012g</c:v>
                </c:pt>
                <c:pt idx="2">
                  <c:v>2013g</c:v>
                </c:pt>
                <c:pt idx="3">
                  <c:v>2014g</c:v>
                </c:pt>
                <c:pt idx="4">
                  <c:v>2015g</c:v>
                </c:pt>
                <c:pt idx="5">
                  <c:v>2016g</c:v>
                </c:pt>
                <c:pt idx="6">
                  <c:v>2017g</c:v>
                </c:pt>
                <c:pt idx="7">
                  <c:v>2018g</c:v>
                </c:pt>
                <c:pt idx="8">
                  <c:v>2019g</c:v>
                </c:pt>
                <c:pt idx="9">
                  <c:v>2020g</c:v>
                </c:pt>
                <c:pt idx="10">
                  <c:v>2021g</c:v>
                </c:pt>
                <c:pt idx="11">
                  <c:v>2022g</c:v>
                </c:pt>
                <c:pt idx="12">
                  <c:v>2023g</c:v>
                </c:pt>
              </c:strCache>
            </c:strRef>
          </c:cat>
          <c:val>
            <c:numRef>
              <c:f>Sheet5!$B$8:$N$8</c:f>
              <c:numCache>
                <c:formatCode>General</c:formatCode>
                <c:ptCount val="13"/>
                <c:pt idx="0">
                  <c:v>41</c:v>
                </c:pt>
                <c:pt idx="1">
                  <c:v>4.5</c:v>
                </c:pt>
                <c:pt idx="2">
                  <c:v>2.9</c:v>
                </c:pt>
                <c:pt idx="3">
                  <c:v>5.7</c:v>
                </c:pt>
                <c:pt idx="4">
                  <c:v>5.3</c:v>
                </c:pt>
                <c:pt idx="5">
                  <c:v>11</c:v>
                </c:pt>
                <c:pt idx="6">
                  <c:v>6.6</c:v>
                </c:pt>
                <c:pt idx="7">
                  <c:v>19</c:v>
                </c:pt>
                <c:pt idx="8">
                  <c:v>15</c:v>
                </c:pt>
                <c:pt idx="9">
                  <c:v>11</c:v>
                </c:pt>
                <c:pt idx="10">
                  <c:v>19</c:v>
                </c:pt>
                <c:pt idx="11">
                  <c:v>7.6</c:v>
                </c:pt>
                <c:pt idx="12">
                  <c:v>16</c:v>
                </c:pt>
              </c:numCache>
            </c:numRef>
          </c:val>
          <c:extLst>
            <c:ext xmlns:c16="http://schemas.microsoft.com/office/drawing/2014/chart" uri="{C3380CC4-5D6E-409C-BE32-E72D297353CC}">
              <c16:uniqueId val="{00000001-C611-4F9E-B726-29806765C552}"/>
            </c:ext>
          </c:extLst>
        </c:ser>
        <c:dLbls>
          <c:showLegendKey val="0"/>
          <c:showVal val="0"/>
          <c:showCatName val="0"/>
          <c:showSerName val="0"/>
          <c:showPercent val="0"/>
          <c:showBubbleSize val="0"/>
        </c:dLbls>
        <c:gapWidth val="219"/>
        <c:overlap val="-27"/>
        <c:axId val="142306655"/>
        <c:axId val="142298975"/>
      </c:barChart>
      <c:catAx>
        <c:axId val="142306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298975"/>
        <c:crosses val="autoZero"/>
        <c:auto val="1"/>
        <c:lblAlgn val="ctr"/>
        <c:lblOffset val="100"/>
        <c:noMultiLvlLbl val="0"/>
      </c:catAx>
      <c:valAx>
        <c:axId val="1422989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3066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lgn="ctr">
              <a:defRPr sz="1400" b="0" i="0" u="none" strike="noStrike">
                <a:solidFill>
                  <a:srgbClr val="595959"/>
                </a:solidFill>
                <a:latin typeface="Calibri"/>
              </a:defRPr>
            </a:pPr>
            <a:r>
              <a:rPr lang="en-US" sz="1400" b="0" i="0" u="none" strike="noStrike" baseline="0"/>
              <a:t>Sadržaj PBDE-a u putničkim automobilima (t) u upotrebi u periodu 2017–2023.</a:t>
            </a:r>
            <a:endParaRPr lang="en-US" sz="1400" b="0" i="0" u="none" strike="noStrike">
              <a:solidFill>
                <a:srgbClr val="595959"/>
              </a:solidFill>
              <a:latin typeface="Calibri"/>
            </a:endParaRPr>
          </a:p>
        </c:rich>
      </c:tx>
      <c:layout>
        <c:manualLayout>
          <c:xMode val="edge"/>
          <c:yMode val="edge"/>
          <c:x val="0"/>
          <c:y val="0"/>
          <c:w val="1"/>
          <c:h val="0.25211"/>
        </c:manualLayout>
      </c:layout>
      <c:overlay val="1"/>
      <c:spPr>
        <a:noFill/>
        <a:effectLst/>
      </c:spPr>
    </c:title>
    <c:autoTitleDeleted val="0"/>
    <c:plotArea>
      <c:layout>
        <c:manualLayout>
          <c:layoutTarget val="inner"/>
          <c:xMode val="edge"/>
          <c:yMode val="edge"/>
          <c:x val="7.9935900000000004E-2"/>
          <c:y val="0.25211"/>
          <c:w val="0.91506399999999999"/>
          <c:h val="0.65139100000000005"/>
        </c:manualLayout>
      </c:layout>
      <c:barChart>
        <c:barDir val="col"/>
        <c:grouping val="clustered"/>
        <c:varyColors val="0"/>
        <c:ser>
          <c:idx val="0"/>
          <c:order val="0"/>
          <c:tx>
            <c:strRef>
              <c:f>Sheet1!$A$2</c:f>
              <c:strCache>
                <c:ptCount val="1"/>
                <c:pt idx="0">
                  <c:v>Kolicina PBDE (t)</c:v>
                </c:pt>
              </c:strCache>
            </c:strRef>
          </c:tx>
          <c:spPr>
            <a:solidFill>
              <a:schemeClr val="accent1"/>
            </a:solidFill>
            <a:ln w="12700" cap="flat">
              <a:noFill/>
              <a:miter lim="400000"/>
            </a:ln>
            <a:effectLst/>
          </c:spPr>
          <c:invertIfNegative val="0"/>
          <c:cat>
            <c:strRef>
              <c:f>Sheet1!$B$1:$H$1</c:f>
              <c:strCache>
                <c:ptCount val="7"/>
                <c:pt idx="0">
                  <c:v>2017g</c:v>
                </c:pt>
                <c:pt idx="1">
                  <c:v>2018g</c:v>
                </c:pt>
                <c:pt idx="2">
                  <c:v>2019g</c:v>
                </c:pt>
                <c:pt idx="3">
                  <c:v>2020g</c:v>
                </c:pt>
                <c:pt idx="4">
                  <c:v>2021g</c:v>
                </c:pt>
                <c:pt idx="5">
                  <c:v>2022g</c:v>
                </c:pt>
                <c:pt idx="6">
                  <c:v>2023g</c:v>
                </c:pt>
              </c:strCache>
            </c:strRef>
          </c:cat>
          <c:val>
            <c:numRef>
              <c:f>Sheet1!$B$2:$H$2</c:f>
              <c:numCache>
                <c:formatCode>General</c:formatCode>
                <c:ptCount val="7"/>
                <c:pt idx="0">
                  <c:v>10.89306</c:v>
                </c:pt>
                <c:pt idx="1">
                  <c:v>11.027200000000001</c:v>
                </c:pt>
                <c:pt idx="2">
                  <c:v>10.77642</c:v>
                </c:pt>
                <c:pt idx="3">
                  <c:v>9.9956800000000001</c:v>
                </c:pt>
                <c:pt idx="4">
                  <c:v>9.8966200000000004</c:v>
                </c:pt>
                <c:pt idx="5">
                  <c:v>9.4936000000000007</c:v>
                </c:pt>
                <c:pt idx="6">
                  <c:v>9.2461800000000007</c:v>
                </c:pt>
              </c:numCache>
            </c:numRef>
          </c:val>
          <c:extLst>
            <c:ext xmlns:c16="http://schemas.microsoft.com/office/drawing/2014/chart" uri="{C3380CC4-5D6E-409C-BE32-E72D297353CC}">
              <c16:uniqueId val="{00000000-CBB6-40FA-A37E-C397B42F0E15}"/>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2094734552"/>
        <c:crosses val="autoZero"/>
        <c:crossBetween val="between"/>
        <c:majorUnit val="0.75"/>
        <c:minorUnit val="0.375"/>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400" b="0" i="0" u="none" strike="noStrike">
                <a:solidFill>
                  <a:srgbClr val="595959"/>
                </a:solidFill>
                <a:latin typeface="Calibri"/>
              </a:defRPr>
            </a:pPr>
            <a:r>
              <a:rPr lang="en-US" sz="1400" b="0" i="0" u="none" strike="noStrike" baseline="0"/>
              <a:t>Sadržaj PBDE-a (t) u putničkim automobilima u periodu 2006–2023.</a:t>
            </a:r>
            <a:endParaRPr lang="en-US" sz="1400" b="0" i="0" u="none" strike="noStrike">
              <a:solidFill>
                <a:srgbClr val="595959"/>
              </a:solidFill>
              <a:latin typeface="Calibri"/>
            </a:endParaRPr>
          </a:p>
        </c:rich>
      </c:tx>
      <c:layout>
        <c:manualLayout>
          <c:xMode val="edge"/>
          <c:yMode val="edge"/>
          <c:x val="0.14595900000000001"/>
          <c:y val="0"/>
          <c:w val="0.70808300000000002"/>
          <c:h val="0.21029999999999999"/>
        </c:manualLayout>
      </c:layout>
      <c:overlay val="1"/>
      <c:spPr>
        <a:noFill/>
        <a:effectLst/>
      </c:spPr>
    </c:title>
    <c:autoTitleDeleted val="0"/>
    <c:plotArea>
      <c:layout>
        <c:manualLayout>
          <c:layoutTarget val="inner"/>
          <c:xMode val="edge"/>
          <c:yMode val="edge"/>
          <c:x val="7.1576600000000004E-2"/>
          <c:y val="0.21029999999999999"/>
          <c:w val="0.92342299999999999"/>
          <c:h val="0.66459100000000004"/>
        </c:manualLayout>
      </c:layout>
      <c:barChart>
        <c:barDir val="col"/>
        <c:grouping val="clustered"/>
        <c:varyColors val="0"/>
        <c:ser>
          <c:idx val="0"/>
          <c:order val="0"/>
          <c:tx>
            <c:strRef>
              <c:f>Sheet1!$A$2</c:f>
              <c:strCache>
                <c:ptCount val="1"/>
                <c:pt idx="0">
                  <c:v>Sadrzaj PBDE (t) u putnickim automobilima registrovanim u periodu 2006-2023</c:v>
                </c:pt>
              </c:strCache>
            </c:strRef>
          </c:tx>
          <c:spPr>
            <a:solidFill>
              <a:schemeClr val="accent1"/>
            </a:solidFill>
            <a:ln w="12700" cap="flat">
              <a:noFill/>
              <a:miter lim="400000"/>
            </a:ln>
            <a:effectLst/>
          </c:spPr>
          <c:invertIfNegative val="0"/>
          <c:trendline>
            <c:spPr>
              <a:ln w="19050" cap="rnd">
                <a:solidFill>
                  <a:schemeClr val="accent1"/>
                </a:solidFill>
                <a:prstDash val="sysDot"/>
                <a:miter lim="800000"/>
              </a:ln>
              <a:effectLst>
                <a:outerShdw blurRad="12700" dist="25400" dir="7320000" algn="tl">
                  <a:srgbClr val="000000">
                    <a:alpha val="25000"/>
                  </a:srgbClr>
                </a:outerShdw>
              </a:effectLst>
            </c:spPr>
            <c:trendlineType val="linear"/>
            <c:dispRSqr val="0"/>
            <c:dispEq val="0"/>
          </c:trendline>
          <c:cat>
            <c:strRef>
              <c:f>Sheet1!$B$1:$S$1</c:f>
              <c:strCache>
                <c:ptCount val="18"/>
                <c:pt idx="0">
                  <c:v>2006g</c:v>
                </c:pt>
                <c:pt idx="1">
                  <c:v>2007g</c:v>
                </c:pt>
                <c:pt idx="2">
                  <c:v>2008g</c:v>
                </c:pt>
                <c:pt idx="3">
                  <c:v>2009g</c:v>
                </c:pt>
                <c:pt idx="4">
                  <c:v>2010g</c:v>
                </c:pt>
                <c:pt idx="5">
                  <c:v>2011g</c:v>
                </c:pt>
                <c:pt idx="6">
                  <c:v>2012g</c:v>
                </c:pt>
                <c:pt idx="7">
                  <c:v>2013g</c:v>
                </c:pt>
                <c:pt idx="8">
                  <c:v>2014g</c:v>
                </c:pt>
                <c:pt idx="9">
                  <c:v>2015g</c:v>
                </c:pt>
                <c:pt idx="10">
                  <c:v>2016g</c:v>
                </c:pt>
                <c:pt idx="11">
                  <c:v>2017g</c:v>
                </c:pt>
                <c:pt idx="12">
                  <c:v>2018g</c:v>
                </c:pt>
                <c:pt idx="13">
                  <c:v>2019g</c:v>
                </c:pt>
                <c:pt idx="14">
                  <c:v>2020g</c:v>
                </c:pt>
                <c:pt idx="15">
                  <c:v>2021g</c:v>
                </c:pt>
                <c:pt idx="16">
                  <c:v>2022g</c:v>
                </c:pt>
                <c:pt idx="17">
                  <c:v>2023g</c:v>
                </c:pt>
              </c:strCache>
            </c:strRef>
          </c:cat>
          <c:val>
            <c:numRef>
              <c:f>Sheet1!$B$2:$S$2</c:f>
              <c:numCache>
                <c:formatCode>General</c:formatCode>
                <c:ptCount val="18"/>
                <c:pt idx="0">
                  <c:v>14.385439999999999</c:v>
                </c:pt>
                <c:pt idx="1">
                  <c:v>14.70776</c:v>
                </c:pt>
                <c:pt idx="2">
                  <c:v>14.6104</c:v>
                </c:pt>
                <c:pt idx="3">
                  <c:v>13.496320000000001</c:v>
                </c:pt>
                <c:pt idx="4">
                  <c:v>12.022080000000001</c:v>
                </c:pt>
                <c:pt idx="5">
                  <c:v>11.804880000000001</c:v>
                </c:pt>
                <c:pt idx="6">
                  <c:v>11.56528</c:v>
                </c:pt>
                <c:pt idx="7">
                  <c:v>11.650399999999999</c:v>
                </c:pt>
                <c:pt idx="8">
                  <c:v>10.6228</c:v>
                </c:pt>
                <c:pt idx="9">
                  <c:v>10.230399999999999</c:v>
                </c:pt>
                <c:pt idx="10">
                  <c:v>10.754799999999999</c:v>
                </c:pt>
                <c:pt idx="11">
                  <c:v>10.89306</c:v>
                </c:pt>
                <c:pt idx="12">
                  <c:v>11.027200000000001</c:v>
                </c:pt>
                <c:pt idx="13">
                  <c:v>10.77642</c:v>
                </c:pt>
                <c:pt idx="14">
                  <c:v>9.9956800000000001</c:v>
                </c:pt>
                <c:pt idx="15">
                  <c:v>9.8966200000000004</c:v>
                </c:pt>
                <c:pt idx="16">
                  <c:v>9.4936000000000007</c:v>
                </c:pt>
                <c:pt idx="17">
                  <c:v>9.2461800000000007</c:v>
                </c:pt>
              </c:numCache>
            </c:numRef>
          </c:val>
          <c:extLst>
            <c:ext xmlns:c16="http://schemas.microsoft.com/office/drawing/2014/chart" uri="{C3380CC4-5D6E-409C-BE32-E72D297353CC}">
              <c16:uniqueId val="{00000001-47EA-4271-A083-5ED780358100}"/>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2094734552"/>
        <c:crosses val="autoZero"/>
        <c:crossBetween val="between"/>
        <c:majorUnit val="3.75"/>
        <c:minorUnit val="1.875"/>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400" b="0" i="0" u="none" strike="noStrike">
                <a:solidFill>
                  <a:srgbClr val="595959"/>
                </a:solidFill>
                <a:latin typeface="Calibri"/>
              </a:defRPr>
            </a:pPr>
            <a:r>
              <a:rPr lang="en-US" sz="1400" b="0" i="0" u="none" strike="noStrike">
                <a:solidFill>
                  <a:srgbClr val="595959"/>
                </a:solidFill>
                <a:latin typeface="Calibri"/>
              </a:rPr>
              <a:t>PBDE </a:t>
            </a:r>
            <a:r>
              <a:rPr lang="sr-Latn-RS" sz="1400" b="0" i="0" u="none" strike="noStrike">
                <a:solidFill>
                  <a:srgbClr val="595959"/>
                </a:solidFill>
                <a:latin typeface="Calibri"/>
              </a:rPr>
              <a:t>sadržaj u kamionima</a:t>
            </a:r>
            <a:r>
              <a:rPr lang="en-US" sz="1400" b="0" i="0" u="none" strike="noStrike">
                <a:solidFill>
                  <a:srgbClr val="595959"/>
                </a:solidFill>
                <a:latin typeface="Calibri"/>
              </a:rPr>
              <a:t>(kg)</a:t>
            </a:r>
          </a:p>
        </c:rich>
      </c:tx>
      <c:layout>
        <c:manualLayout>
          <c:xMode val="edge"/>
          <c:yMode val="edge"/>
          <c:x val="0.30119200000000002"/>
          <c:y val="0"/>
          <c:w val="0.39761600000000002"/>
          <c:h val="0.241394"/>
        </c:manualLayout>
      </c:layout>
      <c:overlay val="1"/>
      <c:spPr>
        <a:noFill/>
        <a:effectLst/>
      </c:spPr>
    </c:title>
    <c:autoTitleDeleted val="0"/>
    <c:plotArea>
      <c:layout>
        <c:manualLayout>
          <c:layoutTarget val="inner"/>
          <c:xMode val="edge"/>
          <c:yMode val="edge"/>
          <c:x val="7.6777499999999999E-2"/>
          <c:y val="0.241394"/>
          <c:w val="0.91822199999999998"/>
          <c:h val="0.61684700000000003"/>
        </c:manualLayout>
      </c:layout>
      <c:barChart>
        <c:barDir val="col"/>
        <c:grouping val="clustered"/>
        <c:varyColors val="0"/>
        <c:ser>
          <c:idx val="0"/>
          <c:order val="0"/>
          <c:tx>
            <c:strRef>
              <c:f>Sheet1!$A$2</c:f>
              <c:strCache>
                <c:ptCount val="1"/>
                <c:pt idx="0">
                  <c:v>Kolicina PBDE u teretnim vozilima (kg)</c:v>
                </c:pt>
              </c:strCache>
            </c:strRef>
          </c:tx>
          <c:spPr>
            <a:solidFill>
              <a:schemeClr val="accent1"/>
            </a:solidFill>
            <a:ln w="12700" cap="flat">
              <a:noFill/>
              <a:miter lim="400000"/>
            </a:ln>
            <a:effectLst/>
          </c:spPr>
          <c:invertIfNegative val="0"/>
          <c:cat>
            <c:strRef>
              <c:f>Sheet1!$B$1:$H$1</c:f>
              <c:strCache>
                <c:ptCount val="7"/>
                <c:pt idx="0">
                  <c:v>2017g</c:v>
                </c:pt>
                <c:pt idx="1">
                  <c:v>2018g</c:v>
                </c:pt>
                <c:pt idx="2">
                  <c:v>2019g</c:v>
                </c:pt>
                <c:pt idx="3">
                  <c:v>2020g</c:v>
                </c:pt>
                <c:pt idx="4">
                  <c:v>2021g</c:v>
                </c:pt>
                <c:pt idx="5">
                  <c:v>2022g</c:v>
                </c:pt>
                <c:pt idx="6">
                  <c:v>2023g</c:v>
                </c:pt>
              </c:strCache>
            </c:strRef>
          </c:cat>
          <c:val>
            <c:numRef>
              <c:f>Sheet1!$B$2:$H$2</c:f>
              <c:numCache>
                <c:formatCode>General</c:formatCode>
                <c:ptCount val="7"/>
                <c:pt idx="0">
                  <c:v>7277</c:v>
                </c:pt>
                <c:pt idx="1">
                  <c:v>7564.6</c:v>
                </c:pt>
                <c:pt idx="2">
                  <c:v>7573.6</c:v>
                </c:pt>
                <c:pt idx="3">
                  <c:v>7207</c:v>
                </c:pt>
                <c:pt idx="4">
                  <c:v>7463.6</c:v>
                </c:pt>
                <c:pt idx="5">
                  <c:v>7156.4</c:v>
                </c:pt>
                <c:pt idx="6">
                  <c:v>7083.8</c:v>
                </c:pt>
              </c:numCache>
            </c:numRef>
          </c:val>
          <c:extLst>
            <c:ext xmlns:c16="http://schemas.microsoft.com/office/drawing/2014/chart" uri="{C3380CC4-5D6E-409C-BE32-E72D297353CC}">
              <c16:uniqueId val="{00000000-95C8-4467-B997-AAD32DFCA8A1}"/>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2094734552"/>
        <c:crosses val="autoZero"/>
        <c:crossBetween val="between"/>
        <c:majorUnit val="150"/>
        <c:minorUnit val="75"/>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400" b="0" i="0" u="none" strike="noStrike">
                <a:solidFill>
                  <a:srgbClr val="595959"/>
                </a:solidFill>
                <a:latin typeface="Calibri"/>
              </a:defRPr>
            </a:pPr>
            <a:r>
              <a:rPr lang="en-US" sz="1400" b="0" i="0" u="none" strike="noStrike">
                <a:solidFill>
                  <a:srgbClr val="595959"/>
                </a:solidFill>
                <a:latin typeface="Calibri"/>
              </a:rPr>
              <a:t> PBDE </a:t>
            </a:r>
            <a:r>
              <a:rPr lang="sr-Latn-RS" sz="1400" b="0" i="0" u="none" strike="noStrike">
                <a:solidFill>
                  <a:srgbClr val="595959"/>
                </a:solidFill>
                <a:latin typeface="Calibri"/>
              </a:rPr>
              <a:t>sadržaj </a:t>
            </a:r>
            <a:r>
              <a:rPr lang="en-US" sz="1400" b="0" i="0" u="none" strike="noStrike">
                <a:solidFill>
                  <a:srgbClr val="595959"/>
                </a:solidFill>
                <a:latin typeface="Calibri"/>
              </a:rPr>
              <a:t> (g) </a:t>
            </a:r>
            <a:r>
              <a:rPr lang="sr-Latn-RS" sz="1400" b="0" i="0" u="none" strike="noStrike">
                <a:solidFill>
                  <a:srgbClr val="595959"/>
                </a:solidFill>
                <a:latin typeface="Calibri"/>
              </a:rPr>
              <a:t>u kamionima u upotrebi u periodu </a:t>
            </a:r>
            <a:r>
              <a:rPr lang="en-US" sz="1400" b="0" i="0" u="none" strike="noStrike">
                <a:solidFill>
                  <a:srgbClr val="595959"/>
                </a:solidFill>
                <a:latin typeface="Calibri"/>
              </a:rPr>
              <a:t>2006-2023</a:t>
            </a:r>
          </a:p>
        </c:rich>
      </c:tx>
      <c:layout>
        <c:manualLayout>
          <c:xMode val="edge"/>
          <c:yMode val="edge"/>
          <c:x val="8.4877900000000006E-2"/>
          <c:y val="0"/>
          <c:w val="0.83024399999999998"/>
          <c:h val="0.24649399999999999"/>
        </c:manualLayout>
      </c:layout>
      <c:overlay val="1"/>
      <c:spPr>
        <a:noFill/>
        <a:effectLst/>
      </c:spPr>
    </c:title>
    <c:autoTitleDeleted val="0"/>
    <c:plotArea>
      <c:layout>
        <c:manualLayout>
          <c:layoutTarget val="inner"/>
          <c:xMode val="edge"/>
          <c:yMode val="edge"/>
          <c:x val="0.11790399999999999"/>
          <c:y val="0.24649399999999999"/>
          <c:w val="0.87709599999999999"/>
          <c:h val="0.609016"/>
        </c:manualLayout>
      </c:layout>
      <c:barChart>
        <c:barDir val="col"/>
        <c:grouping val="clustered"/>
        <c:varyColors val="0"/>
        <c:ser>
          <c:idx val="0"/>
          <c:order val="0"/>
          <c:tx>
            <c:strRef>
              <c:f>Sheet1!$A$2</c:f>
              <c:strCache>
                <c:ptCount val="1"/>
                <c:pt idx="0">
                  <c:v>Sadrzaj PBDE (g) u teretnim vozilima u upotrebi</c:v>
                </c:pt>
              </c:strCache>
            </c:strRef>
          </c:tx>
          <c:spPr>
            <a:solidFill>
              <a:schemeClr val="accent1"/>
            </a:solidFill>
            <a:ln w="12700" cap="flat">
              <a:noFill/>
              <a:miter lim="400000"/>
            </a:ln>
            <a:effectLst/>
          </c:spPr>
          <c:invertIfNegative val="0"/>
          <c:trendline>
            <c:spPr>
              <a:ln w="19050" cap="rnd">
                <a:solidFill>
                  <a:schemeClr val="accent1"/>
                </a:solidFill>
                <a:prstDash val="sysDot"/>
                <a:miter lim="800000"/>
              </a:ln>
              <a:effectLst>
                <a:outerShdw blurRad="12700" dist="25400" dir="7320000" algn="tl">
                  <a:srgbClr val="000000">
                    <a:alpha val="25000"/>
                  </a:srgbClr>
                </a:outerShdw>
              </a:effectLst>
            </c:spPr>
            <c:trendlineType val="linear"/>
            <c:dispRSqr val="0"/>
            <c:dispEq val="0"/>
          </c:trendline>
          <c:cat>
            <c:strRef>
              <c:f>Sheet1!$B$1:$S$1</c:f>
              <c:strCache>
                <c:ptCount val="18"/>
                <c:pt idx="0">
                  <c:v>2006g</c:v>
                </c:pt>
                <c:pt idx="1">
                  <c:v>2007g</c:v>
                </c:pt>
                <c:pt idx="2">
                  <c:v>2008g</c:v>
                </c:pt>
                <c:pt idx="3">
                  <c:v>2009g</c:v>
                </c:pt>
                <c:pt idx="4">
                  <c:v>2010g</c:v>
                </c:pt>
                <c:pt idx="5">
                  <c:v>2011g</c:v>
                </c:pt>
                <c:pt idx="6">
                  <c:v>2012g</c:v>
                </c:pt>
                <c:pt idx="7">
                  <c:v>2013g</c:v>
                </c:pt>
                <c:pt idx="8">
                  <c:v>2014g</c:v>
                </c:pt>
                <c:pt idx="9">
                  <c:v>2015g</c:v>
                </c:pt>
                <c:pt idx="10">
                  <c:v>2016g</c:v>
                </c:pt>
                <c:pt idx="11">
                  <c:v>2017g</c:v>
                </c:pt>
                <c:pt idx="12">
                  <c:v>2018g</c:v>
                </c:pt>
                <c:pt idx="13">
                  <c:v>2019g</c:v>
                </c:pt>
                <c:pt idx="14">
                  <c:v>2020g</c:v>
                </c:pt>
                <c:pt idx="15">
                  <c:v>2021g</c:v>
                </c:pt>
                <c:pt idx="16">
                  <c:v>2022g</c:v>
                </c:pt>
                <c:pt idx="17">
                  <c:v>2023g</c:v>
                </c:pt>
              </c:strCache>
            </c:strRef>
          </c:cat>
          <c:val>
            <c:numRef>
              <c:f>Sheet1!$B$2:$S$2</c:f>
              <c:numCache>
                <c:formatCode>General</c:formatCode>
                <c:ptCount val="18"/>
                <c:pt idx="0">
                  <c:v>940000</c:v>
                </c:pt>
                <c:pt idx="1">
                  <c:v>1030400</c:v>
                </c:pt>
                <c:pt idx="2">
                  <c:v>1025760</c:v>
                </c:pt>
                <c:pt idx="3">
                  <c:v>909600</c:v>
                </c:pt>
                <c:pt idx="4">
                  <c:v>839440</c:v>
                </c:pt>
                <c:pt idx="5">
                  <c:v>798640</c:v>
                </c:pt>
                <c:pt idx="6">
                  <c:v>783920</c:v>
                </c:pt>
                <c:pt idx="7">
                  <c:v>778560</c:v>
                </c:pt>
                <c:pt idx="8">
                  <c:v>676880</c:v>
                </c:pt>
                <c:pt idx="9">
                  <c:v>651920</c:v>
                </c:pt>
                <c:pt idx="10">
                  <c:v>651040</c:v>
                </c:pt>
                <c:pt idx="11">
                  <c:v>727700</c:v>
                </c:pt>
                <c:pt idx="12">
                  <c:v>756460</c:v>
                </c:pt>
                <c:pt idx="13">
                  <c:v>757360</c:v>
                </c:pt>
                <c:pt idx="14">
                  <c:v>720700</c:v>
                </c:pt>
                <c:pt idx="15">
                  <c:v>746360</c:v>
                </c:pt>
                <c:pt idx="16">
                  <c:v>715640</c:v>
                </c:pt>
                <c:pt idx="17">
                  <c:v>708380</c:v>
                </c:pt>
              </c:numCache>
            </c:numRef>
          </c:val>
          <c:extLst>
            <c:ext xmlns:c16="http://schemas.microsoft.com/office/drawing/2014/chart" uri="{C3380CC4-5D6E-409C-BE32-E72D297353CC}">
              <c16:uniqueId val="{00000001-AB8E-4950-A12C-49504725E029}"/>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2094734552"/>
        <c:crosses val="autoZero"/>
        <c:crossBetween val="between"/>
        <c:majorUnit val="275000"/>
        <c:minorUnit val="137500"/>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400" b="0" i="0" u="none" strike="noStrike">
                <a:solidFill>
                  <a:srgbClr val="595959"/>
                </a:solidFill>
                <a:latin typeface="Calibri"/>
              </a:defRPr>
            </a:pPr>
            <a:r>
              <a:rPr lang="en-US" sz="1400" b="0" i="0" u="none" strike="noStrike">
                <a:solidFill>
                  <a:srgbClr val="595959"/>
                </a:solidFill>
                <a:latin typeface="Calibri"/>
              </a:rPr>
              <a:t>PBDE </a:t>
            </a:r>
            <a:r>
              <a:rPr lang="sr-Latn-RS" sz="1400" b="0" i="0" u="none" strike="noStrike">
                <a:solidFill>
                  <a:srgbClr val="595959"/>
                </a:solidFill>
                <a:latin typeface="Calibri"/>
              </a:rPr>
              <a:t>sadržaj (g)u autobusima</a:t>
            </a:r>
            <a:r>
              <a:rPr lang="sr-Latn-RS" sz="1400" b="0" i="0" u="none" strike="noStrike" baseline="0">
                <a:solidFill>
                  <a:srgbClr val="595959"/>
                </a:solidFill>
                <a:latin typeface="Calibri"/>
              </a:rPr>
              <a:t> u periodu </a:t>
            </a:r>
            <a:r>
              <a:rPr lang="en-US" sz="1400" b="0" i="0" u="none" strike="noStrike">
                <a:solidFill>
                  <a:srgbClr val="595959"/>
                </a:solidFill>
                <a:latin typeface="Calibri"/>
              </a:rPr>
              <a:t>2017-2023 (kg)</a:t>
            </a:r>
          </a:p>
        </c:rich>
      </c:tx>
      <c:layout>
        <c:manualLayout>
          <c:xMode val="edge"/>
          <c:yMode val="edge"/>
          <c:x val="4.4736600000000001E-2"/>
          <c:y val="0"/>
          <c:w val="0.91052699999999998"/>
          <c:h val="0.19788900000000001"/>
        </c:manualLayout>
      </c:layout>
      <c:overlay val="1"/>
      <c:spPr>
        <a:noFill/>
        <a:effectLst/>
      </c:spPr>
    </c:title>
    <c:autoTitleDeleted val="0"/>
    <c:plotArea>
      <c:layout>
        <c:manualLayout>
          <c:layoutTarget val="inner"/>
          <c:xMode val="edge"/>
          <c:yMode val="edge"/>
          <c:x val="6.0089299999999998E-2"/>
          <c:y val="0.19788900000000001"/>
          <c:w val="0.93491100000000005"/>
          <c:h val="0.683647"/>
        </c:manualLayout>
      </c:layout>
      <c:barChart>
        <c:barDir val="col"/>
        <c:grouping val="clustered"/>
        <c:varyColors val="0"/>
        <c:ser>
          <c:idx val="0"/>
          <c:order val="0"/>
          <c:tx>
            <c:strRef>
              <c:f>Sheet1!$A$2</c:f>
              <c:strCache>
                <c:ptCount val="1"/>
                <c:pt idx="0">
                  <c:v>Kolicina PBDE u autobusima u kg</c:v>
                </c:pt>
              </c:strCache>
            </c:strRef>
          </c:tx>
          <c:spPr>
            <a:solidFill>
              <a:schemeClr val="accent1"/>
            </a:solidFill>
            <a:ln w="12700" cap="flat">
              <a:noFill/>
              <a:miter lim="400000"/>
            </a:ln>
            <a:effectLst/>
          </c:spPr>
          <c:invertIfNegative val="0"/>
          <c:cat>
            <c:strRef>
              <c:f>Sheet1!$B$1:$H$1</c:f>
              <c:strCache>
                <c:ptCount val="7"/>
                <c:pt idx="0">
                  <c:v>2017g</c:v>
                </c:pt>
                <c:pt idx="1">
                  <c:v>2018g</c:v>
                </c:pt>
                <c:pt idx="2">
                  <c:v>2019g</c:v>
                </c:pt>
                <c:pt idx="3">
                  <c:v>2020g</c:v>
                </c:pt>
                <c:pt idx="4">
                  <c:v>2021g</c:v>
                </c:pt>
                <c:pt idx="5">
                  <c:v>2022g</c:v>
                </c:pt>
                <c:pt idx="6">
                  <c:v>2023g</c:v>
                </c:pt>
              </c:strCache>
            </c:strRef>
          </c:cat>
          <c:val>
            <c:numRef>
              <c:f>Sheet1!$B$2:$H$2</c:f>
              <c:numCache>
                <c:formatCode>General</c:formatCode>
                <c:ptCount val="7"/>
                <c:pt idx="0">
                  <c:v>76.400000000000006</c:v>
                </c:pt>
                <c:pt idx="1">
                  <c:v>77.98</c:v>
                </c:pt>
                <c:pt idx="2">
                  <c:v>72.12</c:v>
                </c:pt>
                <c:pt idx="3">
                  <c:v>43.34</c:v>
                </c:pt>
                <c:pt idx="4">
                  <c:v>50.9</c:v>
                </c:pt>
                <c:pt idx="5">
                  <c:v>54.56</c:v>
                </c:pt>
                <c:pt idx="6">
                  <c:v>51.78</c:v>
                </c:pt>
              </c:numCache>
            </c:numRef>
          </c:val>
          <c:extLst>
            <c:ext xmlns:c16="http://schemas.microsoft.com/office/drawing/2014/chart" uri="{C3380CC4-5D6E-409C-BE32-E72D297353CC}">
              <c16:uniqueId val="{00000000-80E5-4109-9B1C-4731B9F79B74}"/>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2094734552"/>
        <c:crosses val="autoZero"/>
        <c:crossBetween val="between"/>
        <c:majorUnit val="20"/>
        <c:minorUnit val="10"/>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400" b="0" i="0" u="none" strike="noStrike">
                <a:solidFill>
                  <a:srgbClr val="595959"/>
                </a:solidFill>
                <a:latin typeface="Calibri"/>
              </a:defRPr>
            </a:pPr>
            <a:r>
              <a:rPr lang="en-US" sz="1400" b="0" i="0" u="none" strike="noStrike">
                <a:solidFill>
                  <a:srgbClr val="595959"/>
                </a:solidFill>
                <a:latin typeface="Calibri"/>
              </a:rPr>
              <a:t> PBDE </a:t>
            </a:r>
            <a:r>
              <a:rPr lang="sr-Latn-RS" sz="1400" b="0" i="0" u="none" strike="noStrike">
                <a:solidFill>
                  <a:srgbClr val="595959"/>
                </a:solidFill>
                <a:latin typeface="Calibri"/>
              </a:rPr>
              <a:t>sadržaj </a:t>
            </a:r>
            <a:r>
              <a:rPr lang="en-US" sz="1400" b="0" i="0" u="none" strike="noStrike">
                <a:solidFill>
                  <a:srgbClr val="595959"/>
                </a:solidFill>
                <a:latin typeface="Calibri"/>
              </a:rPr>
              <a:t> (g) </a:t>
            </a:r>
            <a:r>
              <a:rPr lang="sr-Latn-RS" sz="1400" b="0" i="0" u="none" strike="noStrike">
                <a:solidFill>
                  <a:srgbClr val="595959"/>
                </a:solidFill>
                <a:latin typeface="Calibri"/>
              </a:rPr>
              <a:t>u autobusima</a:t>
            </a:r>
            <a:r>
              <a:rPr lang="sr-Latn-RS" sz="1400" b="0" i="0" u="none" strike="noStrike" baseline="0">
                <a:solidFill>
                  <a:srgbClr val="595959"/>
                </a:solidFill>
                <a:latin typeface="Calibri"/>
              </a:rPr>
              <a:t> </a:t>
            </a:r>
            <a:r>
              <a:rPr lang="sr-Latn-RS" sz="1400" b="0" i="0" u="none" strike="noStrike">
                <a:solidFill>
                  <a:srgbClr val="595959"/>
                </a:solidFill>
                <a:latin typeface="Calibri"/>
              </a:rPr>
              <a:t>u periodu </a:t>
            </a:r>
            <a:r>
              <a:rPr lang="en-US" sz="1400" b="0" i="0" u="none" strike="noStrike">
                <a:solidFill>
                  <a:srgbClr val="595959"/>
                </a:solidFill>
                <a:latin typeface="Calibri"/>
              </a:rPr>
              <a:t>2006-2023</a:t>
            </a:r>
            <a:r>
              <a:rPr lang="sr-Latn-RS" sz="1400" b="0" i="0" u="none" strike="noStrike">
                <a:solidFill>
                  <a:srgbClr val="595959"/>
                </a:solidFill>
                <a:latin typeface="Calibri"/>
              </a:rPr>
              <a:t>.</a:t>
            </a:r>
            <a:endParaRPr lang="en-US" sz="1400" b="0" i="0" u="none" strike="noStrike">
              <a:solidFill>
                <a:srgbClr val="595959"/>
              </a:solidFill>
              <a:latin typeface="Calibri"/>
            </a:endParaRPr>
          </a:p>
        </c:rich>
      </c:tx>
      <c:layout>
        <c:manualLayout>
          <c:xMode val="edge"/>
          <c:yMode val="edge"/>
          <c:x val="0.157281"/>
          <c:y val="0"/>
          <c:w val="0.68543799999999999"/>
          <c:h val="0.22232299999999999"/>
        </c:manualLayout>
      </c:layout>
      <c:overlay val="1"/>
      <c:spPr>
        <a:noFill/>
        <a:effectLst/>
      </c:spPr>
    </c:title>
    <c:autoTitleDeleted val="0"/>
    <c:plotArea>
      <c:layout>
        <c:manualLayout>
          <c:layoutTarget val="inner"/>
          <c:xMode val="edge"/>
          <c:yMode val="edge"/>
          <c:x val="7.6039200000000001E-2"/>
          <c:y val="0.22232299999999999"/>
          <c:w val="0.91896100000000003"/>
          <c:h val="0.64612999999999998"/>
        </c:manualLayout>
      </c:layout>
      <c:barChart>
        <c:barDir val="col"/>
        <c:grouping val="clustered"/>
        <c:varyColors val="0"/>
        <c:ser>
          <c:idx val="0"/>
          <c:order val="0"/>
          <c:tx>
            <c:strRef>
              <c:f>Sheet1!$A$2</c:f>
              <c:strCache>
                <c:ptCount val="1"/>
                <c:pt idx="0">
                  <c:v>Sadrzaj PBDE (g) u autobusima u upotrebi</c:v>
                </c:pt>
              </c:strCache>
            </c:strRef>
          </c:tx>
          <c:spPr>
            <a:solidFill>
              <a:schemeClr val="accent1"/>
            </a:solidFill>
            <a:ln w="12700" cap="flat">
              <a:noFill/>
              <a:miter lim="400000"/>
            </a:ln>
            <a:effectLst/>
          </c:spPr>
          <c:invertIfNegative val="0"/>
          <c:trendline>
            <c:spPr>
              <a:ln w="19050" cap="rnd">
                <a:solidFill>
                  <a:schemeClr val="accent1"/>
                </a:solidFill>
                <a:prstDash val="sysDot"/>
                <a:miter lim="800000"/>
              </a:ln>
              <a:effectLst>
                <a:outerShdw blurRad="12700" dist="25400" dir="7320000" algn="tl">
                  <a:srgbClr val="000000">
                    <a:alpha val="25000"/>
                  </a:srgbClr>
                </a:outerShdw>
              </a:effectLst>
            </c:spPr>
            <c:trendlineType val="linear"/>
            <c:dispRSqr val="0"/>
            <c:dispEq val="0"/>
          </c:trendline>
          <c:cat>
            <c:strRef>
              <c:f>Sheet1!$B$1:$S$1</c:f>
              <c:strCache>
                <c:ptCount val="18"/>
                <c:pt idx="0">
                  <c:v>2006g</c:v>
                </c:pt>
                <c:pt idx="1">
                  <c:v>2007g</c:v>
                </c:pt>
                <c:pt idx="2">
                  <c:v>2008g</c:v>
                </c:pt>
                <c:pt idx="3">
                  <c:v>2009g</c:v>
                </c:pt>
                <c:pt idx="4">
                  <c:v>2010g</c:v>
                </c:pt>
                <c:pt idx="5">
                  <c:v>2011g</c:v>
                </c:pt>
                <c:pt idx="6">
                  <c:v>2012g</c:v>
                </c:pt>
                <c:pt idx="7">
                  <c:v>2013g</c:v>
                </c:pt>
                <c:pt idx="8">
                  <c:v>2014g</c:v>
                </c:pt>
                <c:pt idx="9">
                  <c:v>2015g</c:v>
                </c:pt>
                <c:pt idx="10">
                  <c:v>2016g</c:v>
                </c:pt>
                <c:pt idx="11">
                  <c:v>2017g</c:v>
                </c:pt>
                <c:pt idx="12">
                  <c:v>2018g</c:v>
                </c:pt>
                <c:pt idx="13">
                  <c:v>2019g</c:v>
                </c:pt>
                <c:pt idx="14">
                  <c:v>2020g</c:v>
                </c:pt>
                <c:pt idx="15">
                  <c:v>2021g</c:v>
                </c:pt>
                <c:pt idx="16">
                  <c:v>2022g</c:v>
                </c:pt>
                <c:pt idx="17">
                  <c:v>2023g</c:v>
                </c:pt>
              </c:strCache>
            </c:strRef>
          </c:cat>
          <c:val>
            <c:numRef>
              <c:f>Sheet1!$B$2:$S$2</c:f>
              <c:numCache>
                <c:formatCode>General</c:formatCode>
                <c:ptCount val="18"/>
                <c:pt idx="0">
                  <c:v>68040</c:v>
                </c:pt>
                <c:pt idx="1">
                  <c:v>88280</c:v>
                </c:pt>
                <c:pt idx="2">
                  <c:v>89000</c:v>
                </c:pt>
                <c:pt idx="3">
                  <c:v>83560</c:v>
                </c:pt>
                <c:pt idx="4">
                  <c:v>79400</c:v>
                </c:pt>
                <c:pt idx="5">
                  <c:v>75720</c:v>
                </c:pt>
                <c:pt idx="6">
                  <c:v>72760</c:v>
                </c:pt>
                <c:pt idx="7">
                  <c:v>73480</c:v>
                </c:pt>
                <c:pt idx="8">
                  <c:v>68440</c:v>
                </c:pt>
                <c:pt idx="9">
                  <c:v>63960</c:v>
                </c:pt>
                <c:pt idx="10">
                  <c:v>65960</c:v>
                </c:pt>
                <c:pt idx="11">
                  <c:v>76400</c:v>
                </c:pt>
                <c:pt idx="12">
                  <c:v>77980</c:v>
                </c:pt>
                <c:pt idx="13">
                  <c:v>72120</c:v>
                </c:pt>
                <c:pt idx="14">
                  <c:v>43340</c:v>
                </c:pt>
                <c:pt idx="15">
                  <c:v>50900</c:v>
                </c:pt>
                <c:pt idx="16">
                  <c:v>54560</c:v>
                </c:pt>
                <c:pt idx="17">
                  <c:v>51780</c:v>
                </c:pt>
              </c:numCache>
            </c:numRef>
          </c:val>
          <c:extLst>
            <c:ext xmlns:c16="http://schemas.microsoft.com/office/drawing/2014/chart" uri="{C3380CC4-5D6E-409C-BE32-E72D297353CC}">
              <c16:uniqueId val="{00000001-4333-4DE6-B915-4FCC1AC91F6E}"/>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2094734552"/>
        <c:crosses val="autoZero"/>
        <c:crossBetween val="between"/>
        <c:majorUnit val="22500"/>
        <c:minorUnit val="11250"/>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Poređenje sadržaja PBDA u putničkim automobilima, autobusima i kamionima u upotrebi u periodu 2017-2023.</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Sheet6!$B$1</c:f>
              <c:strCache>
                <c:ptCount val="1"/>
                <c:pt idx="0">
                  <c:v>PBDE sadržaj u putničkim automobilima (kg)</c:v>
                </c:pt>
              </c:strCache>
            </c:strRef>
          </c:tx>
          <c:spPr>
            <a:solidFill>
              <a:schemeClr val="accent1"/>
            </a:solidFill>
            <a:ln>
              <a:noFill/>
            </a:ln>
            <a:effectLst/>
          </c:spPr>
          <c:invertIfNegative val="0"/>
          <c:cat>
            <c:strRef>
              <c:f>Sheet6!$A$2:$A$8</c:f>
              <c:strCache>
                <c:ptCount val="7"/>
                <c:pt idx="0">
                  <c:v>2017g</c:v>
                </c:pt>
                <c:pt idx="1">
                  <c:v>2018g</c:v>
                </c:pt>
                <c:pt idx="2">
                  <c:v>2019g</c:v>
                </c:pt>
                <c:pt idx="3">
                  <c:v>2020g</c:v>
                </c:pt>
                <c:pt idx="4">
                  <c:v>2021g</c:v>
                </c:pt>
                <c:pt idx="5">
                  <c:v>2022g</c:v>
                </c:pt>
                <c:pt idx="6">
                  <c:v>2023g</c:v>
                </c:pt>
              </c:strCache>
            </c:strRef>
          </c:cat>
          <c:val>
            <c:numRef>
              <c:f>Sheet6!$B$2:$B$8</c:f>
              <c:numCache>
                <c:formatCode>General</c:formatCode>
                <c:ptCount val="7"/>
                <c:pt idx="0">
                  <c:v>10.893000000000001</c:v>
                </c:pt>
                <c:pt idx="1">
                  <c:v>11.026999999999999</c:v>
                </c:pt>
                <c:pt idx="2">
                  <c:v>10.776</c:v>
                </c:pt>
                <c:pt idx="3">
                  <c:v>9.9960000000000004</c:v>
                </c:pt>
                <c:pt idx="4">
                  <c:v>9.8960000000000008</c:v>
                </c:pt>
                <c:pt idx="5">
                  <c:v>9.4930000000000003</c:v>
                </c:pt>
                <c:pt idx="6">
                  <c:v>9.2460000000000004</c:v>
                </c:pt>
              </c:numCache>
            </c:numRef>
          </c:val>
          <c:extLst>
            <c:ext xmlns:c16="http://schemas.microsoft.com/office/drawing/2014/chart" uri="{C3380CC4-5D6E-409C-BE32-E72D297353CC}">
              <c16:uniqueId val="{00000000-1913-4841-B422-50859E6CF9AC}"/>
            </c:ext>
          </c:extLst>
        </c:ser>
        <c:ser>
          <c:idx val="1"/>
          <c:order val="1"/>
          <c:tx>
            <c:strRef>
              <c:f>Sheet6!$C$1</c:f>
              <c:strCache>
                <c:ptCount val="1"/>
                <c:pt idx="0">
                  <c:v>PBDE sadržaj u autobusima (kg)</c:v>
                </c:pt>
              </c:strCache>
            </c:strRef>
          </c:tx>
          <c:spPr>
            <a:solidFill>
              <a:schemeClr val="accent2"/>
            </a:solidFill>
            <a:ln>
              <a:noFill/>
            </a:ln>
            <a:effectLst/>
          </c:spPr>
          <c:invertIfNegative val="0"/>
          <c:cat>
            <c:strRef>
              <c:f>Sheet6!$A$2:$A$8</c:f>
              <c:strCache>
                <c:ptCount val="7"/>
                <c:pt idx="0">
                  <c:v>2017g</c:v>
                </c:pt>
                <c:pt idx="1">
                  <c:v>2018g</c:v>
                </c:pt>
                <c:pt idx="2">
                  <c:v>2019g</c:v>
                </c:pt>
                <c:pt idx="3">
                  <c:v>2020g</c:v>
                </c:pt>
                <c:pt idx="4">
                  <c:v>2021g</c:v>
                </c:pt>
                <c:pt idx="5">
                  <c:v>2022g</c:v>
                </c:pt>
                <c:pt idx="6">
                  <c:v>2023g</c:v>
                </c:pt>
              </c:strCache>
            </c:strRef>
          </c:cat>
          <c:val>
            <c:numRef>
              <c:f>Sheet6!$C$2:$C$8</c:f>
              <c:numCache>
                <c:formatCode>General</c:formatCode>
                <c:ptCount val="7"/>
                <c:pt idx="0">
                  <c:v>76</c:v>
                </c:pt>
                <c:pt idx="1">
                  <c:v>78</c:v>
                </c:pt>
                <c:pt idx="2">
                  <c:v>72</c:v>
                </c:pt>
                <c:pt idx="3">
                  <c:v>43</c:v>
                </c:pt>
                <c:pt idx="4">
                  <c:v>51</c:v>
                </c:pt>
                <c:pt idx="5">
                  <c:v>55</c:v>
                </c:pt>
                <c:pt idx="6">
                  <c:v>52</c:v>
                </c:pt>
              </c:numCache>
            </c:numRef>
          </c:val>
          <c:extLst>
            <c:ext xmlns:c16="http://schemas.microsoft.com/office/drawing/2014/chart" uri="{C3380CC4-5D6E-409C-BE32-E72D297353CC}">
              <c16:uniqueId val="{00000001-1913-4841-B422-50859E6CF9AC}"/>
            </c:ext>
          </c:extLst>
        </c:ser>
        <c:ser>
          <c:idx val="2"/>
          <c:order val="2"/>
          <c:tx>
            <c:strRef>
              <c:f>Sheet6!$D$1</c:f>
              <c:strCache>
                <c:ptCount val="1"/>
                <c:pt idx="0">
                  <c:v>PBDE sadržaj u registrovanim kamionima (kg)</c:v>
                </c:pt>
              </c:strCache>
            </c:strRef>
          </c:tx>
          <c:spPr>
            <a:solidFill>
              <a:schemeClr val="accent3"/>
            </a:solidFill>
            <a:ln>
              <a:noFill/>
            </a:ln>
            <a:effectLst/>
          </c:spPr>
          <c:invertIfNegative val="0"/>
          <c:trendline>
            <c:spPr>
              <a:ln w="19050" cap="rnd">
                <a:solidFill>
                  <a:schemeClr val="accent3"/>
                </a:solidFill>
                <a:prstDash val="sysDot"/>
              </a:ln>
              <a:effectLst/>
            </c:spPr>
            <c:trendlineType val="linear"/>
            <c:dispRSqr val="0"/>
            <c:dispEq val="0"/>
          </c:trendline>
          <c:cat>
            <c:strRef>
              <c:f>Sheet6!$A$2:$A$8</c:f>
              <c:strCache>
                <c:ptCount val="7"/>
                <c:pt idx="0">
                  <c:v>2017g</c:v>
                </c:pt>
                <c:pt idx="1">
                  <c:v>2018g</c:v>
                </c:pt>
                <c:pt idx="2">
                  <c:v>2019g</c:v>
                </c:pt>
                <c:pt idx="3">
                  <c:v>2020g</c:v>
                </c:pt>
                <c:pt idx="4">
                  <c:v>2021g</c:v>
                </c:pt>
                <c:pt idx="5">
                  <c:v>2022g</c:v>
                </c:pt>
                <c:pt idx="6">
                  <c:v>2023g</c:v>
                </c:pt>
              </c:strCache>
            </c:strRef>
          </c:cat>
          <c:val>
            <c:numRef>
              <c:f>Sheet6!$D$2:$D$8</c:f>
              <c:numCache>
                <c:formatCode>General</c:formatCode>
                <c:ptCount val="7"/>
                <c:pt idx="0">
                  <c:v>728</c:v>
                </c:pt>
                <c:pt idx="1">
                  <c:v>756</c:v>
                </c:pt>
                <c:pt idx="2">
                  <c:v>757</c:v>
                </c:pt>
                <c:pt idx="3">
                  <c:v>721</c:v>
                </c:pt>
                <c:pt idx="4">
                  <c:v>746</c:v>
                </c:pt>
                <c:pt idx="5">
                  <c:v>716</c:v>
                </c:pt>
                <c:pt idx="6">
                  <c:v>708</c:v>
                </c:pt>
              </c:numCache>
            </c:numRef>
          </c:val>
          <c:extLst>
            <c:ext xmlns:c16="http://schemas.microsoft.com/office/drawing/2014/chart" uri="{C3380CC4-5D6E-409C-BE32-E72D297353CC}">
              <c16:uniqueId val="{00000003-1913-4841-B422-50859E6CF9AC}"/>
            </c:ext>
          </c:extLst>
        </c:ser>
        <c:dLbls>
          <c:showLegendKey val="0"/>
          <c:showVal val="0"/>
          <c:showCatName val="0"/>
          <c:showSerName val="0"/>
          <c:showPercent val="0"/>
          <c:showBubbleSize val="0"/>
        </c:dLbls>
        <c:gapWidth val="219"/>
        <c:overlap val="-27"/>
        <c:axId val="319223887"/>
        <c:axId val="319224367"/>
      </c:barChart>
      <c:catAx>
        <c:axId val="3192238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9224367"/>
        <c:crosses val="autoZero"/>
        <c:auto val="1"/>
        <c:lblAlgn val="ctr"/>
        <c:lblOffset val="100"/>
        <c:noMultiLvlLbl val="0"/>
      </c:catAx>
      <c:valAx>
        <c:axId val="3192243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9223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sr-Latn-RS" sz="1400" b="0" i="0" u="none" strike="noStrike" kern="1200" spc="0" baseline="0">
                <a:solidFill>
                  <a:sysClr val="windowText" lastClr="000000">
                    <a:lumMod val="65000"/>
                    <a:lumOff val="35000"/>
                  </a:sysClr>
                </a:solidFill>
              </a:rPr>
              <a:t>PBDE sadržaj u uvezenim automobilima2017-2023 (kg)</a:t>
            </a:r>
            <a:endParaRPr lang="en-US" sz="1400" b="0" i="0" u="none" strike="noStrike" kern="1200" spc="0" baseline="0">
              <a:solidFill>
                <a:sysClr val="windowText" lastClr="000000">
                  <a:lumMod val="65000"/>
                  <a:lumOff val="35000"/>
                </a:sysClr>
              </a:solidFill>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uporedo!$AE$7</c:f>
              <c:strCache>
                <c:ptCount val="1"/>
                <c:pt idx="0">
                  <c:v>PBDE content (kg)</c:v>
                </c:pt>
              </c:strCache>
            </c:strRef>
          </c:tx>
          <c:spPr>
            <a:solidFill>
              <a:schemeClr val="accent1"/>
            </a:solidFill>
            <a:ln>
              <a:noFill/>
            </a:ln>
            <a:effectLst/>
          </c:spPr>
          <c:invertIfNegative val="0"/>
          <c:trendline>
            <c:spPr>
              <a:ln w="19050" cap="rnd">
                <a:solidFill>
                  <a:schemeClr val="accent1"/>
                </a:solidFill>
                <a:prstDash val="sysDot"/>
              </a:ln>
              <a:effectLst/>
            </c:spPr>
            <c:trendlineType val="linear"/>
            <c:dispRSqr val="0"/>
            <c:dispEq val="0"/>
          </c:trendline>
          <c:cat>
            <c:strRef>
              <c:f>uporedo!$AF$6:$AL$6</c:f>
              <c:strCache>
                <c:ptCount val="7"/>
                <c:pt idx="0">
                  <c:v>2017g</c:v>
                </c:pt>
                <c:pt idx="1">
                  <c:v>2018g</c:v>
                </c:pt>
                <c:pt idx="2">
                  <c:v>2019g</c:v>
                </c:pt>
                <c:pt idx="3">
                  <c:v>2020g</c:v>
                </c:pt>
                <c:pt idx="4">
                  <c:v>2021g</c:v>
                </c:pt>
                <c:pt idx="5">
                  <c:v>2022g</c:v>
                </c:pt>
                <c:pt idx="6">
                  <c:v>2023g</c:v>
                </c:pt>
              </c:strCache>
            </c:strRef>
          </c:cat>
          <c:val>
            <c:numRef>
              <c:f>uporedo!$AF$7:$AL$7</c:f>
              <c:numCache>
                <c:formatCode>General</c:formatCode>
                <c:ptCount val="7"/>
                <c:pt idx="0">
                  <c:v>748.3</c:v>
                </c:pt>
                <c:pt idx="1">
                  <c:v>724.56</c:v>
                </c:pt>
                <c:pt idx="2">
                  <c:v>362.96</c:v>
                </c:pt>
                <c:pt idx="3">
                  <c:v>247.78</c:v>
                </c:pt>
                <c:pt idx="4">
                  <c:v>264.72000000000003</c:v>
                </c:pt>
                <c:pt idx="5">
                  <c:v>317.44</c:v>
                </c:pt>
                <c:pt idx="6">
                  <c:v>400.5</c:v>
                </c:pt>
              </c:numCache>
            </c:numRef>
          </c:val>
          <c:extLst>
            <c:ext xmlns:c16="http://schemas.microsoft.com/office/drawing/2014/chart" uri="{C3380CC4-5D6E-409C-BE32-E72D297353CC}">
              <c16:uniqueId val="{00000001-D684-4AB8-9BA9-6C644A0A6818}"/>
            </c:ext>
          </c:extLst>
        </c:ser>
        <c:dLbls>
          <c:showLegendKey val="0"/>
          <c:showVal val="0"/>
          <c:showCatName val="0"/>
          <c:showSerName val="0"/>
          <c:showPercent val="0"/>
          <c:showBubbleSize val="0"/>
        </c:dLbls>
        <c:gapWidth val="219"/>
        <c:overlap val="-27"/>
        <c:axId val="1332468160"/>
        <c:axId val="1332484960"/>
      </c:barChart>
      <c:catAx>
        <c:axId val="1332468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484960"/>
        <c:crosses val="autoZero"/>
        <c:auto val="1"/>
        <c:lblAlgn val="ctr"/>
        <c:lblOffset val="100"/>
        <c:noMultiLvlLbl val="0"/>
      </c:catAx>
      <c:valAx>
        <c:axId val="1332484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468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400" b="0" i="0" u="none" strike="noStrike">
                <a:solidFill>
                  <a:srgbClr val="595959"/>
                </a:solidFill>
                <a:latin typeface="Calibri"/>
              </a:defRPr>
            </a:pPr>
            <a:r>
              <a:rPr lang="en-US" sz="1400" b="0" i="0" u="none" strike="noStrike">
                <a:solidFill>
                  <a:srgbClr val="595959"/>
                </a:solidFill>
                <a:latin typeface="Calibri"/>
              </a:rPr>
              <a:t>PBDE </a:t>
            </a:r>
            <a:r>
              <a:rPr lang="sr-Latn-RS" sz="1400" b="0" i="0" u="none" strike="noStrike">
                <a:solidFill>
                  <a:srgbClr val="595959"/>
                </a:solidFill>
                <a:latin typeface="Calibri"/>
              </a:rPr>
              <a:t>sadržaj u uvezenim autobusima u</a:t>
            </a:r>
            <a:r>
              <a:rPr lang="en-US" sz="1400" b="0" i="0" u="none" strike="noStrike">
                <a:solidFill>
                  <a:srgbClr val="595959"/>
                </a:solidFill>
                <a:latin typeface="Calibri"/>
              </a:rPr>
              <a:t> period</a:t>
            </a:r>
            <a:r>
              <a:rPr lang="sr-Latn-RS" sz="1400" b="0" i="0" u="none" strike="noStrike">
                <a:solidFill>
                  <a:srgbClr val="595959"/>
                </a:solidFill>
                <a:latin typeface="Calibri"/>
              </a:rPr>
              <a:t>u</a:t>
            </a:r>
            <a:r>
              <a:rPr lang="en-US" sz="1400" b="0" i="0" u="none" strike="noStrike">
                <a:solidFill>
                  <a:srgbClr val="595959"/>
                </a:solidFill>
                <a:latin typeface="Calibri"/>
              </a:rPr>
              <a:t> 2017-2023 (kg)</a:t>
            </a:r>
          </a:p>
        </c:rich>
      </c:tx>
      <c:layout>
        <c:manualLayout>
          <c:xMode val="edge"/>
          <c:yMode val="edge"/>
          <c:x val="7.3733199999999999E-2"/>
          <c:y val="0"/>
          <c:w val="0.85253400000000001"/>
          <c:h val="0.217219"/>
        </c:manualLayout>
      </c:layout>
      <c:overlay val="1"/>
      <c:spPr>
        <a:noFill/>
        <a:effectLst/>
      </c:spPr>
    </c:title>
    <c:autoTitleDeleted val="0"/>
    <c:plotArea>
      <c:layout>
        <c:manualLayout>
          <c:layoutTarget val="inner"/>
          <c:xMode val="edge"/>
          <c:yMode val="edge"/>
          <c:x val="5.8725399999999997E-2"/>
          <c:y val="0.217219"/>
          <c:w val="0.93627499999999997"/>
          <c:h val="0.65396699999999996"/>
        </c:manualLayout>
      </c:layout>
      <c:barChart>
        <c:barDir val="col"/>
        <c:grouping val="clustered"/>
        <c:varyColors val="0"/>
        <c:ser>
          <c:idx val="0"/>
          <c:order val="0"/>
          <c:tx>
            <c:strRef>
              <c:f>Sheet1!$B$1</c:f>
              <c:strCache>
                <c:ptCount val="1"/>
                <c:pt idx="0">
                  <c:v>PBDE u uvezenim autobusima (kg)</c:v>
                </c:pt>
              </c:strCache>
            </c:strRef>
          </c:tx>
          <c:spPr>
            <a:solidFill>
              <a:schemeClr val="accent1"/>
            </a:solidFill>
            <a:ln w="12700" cap="flat">
              <a:noFill/>
              <a:miter lim="400000"/>
            </a:ln>
            <a:effectLst/>
          </c:spPr>
          <c:invertIfNegative val="0"/>
          <c:cat>
            <c:strRef>
              <c:f>Sheet1!$A$2:$A$8</c:f>
              <c:strCache>
                <c:ptCount val="7"/>
                <c:pt idx="0">
                  <c:v>2017g</c:v>
                </c:pt>
                <c:pt idx="1">
                  <c:v>2018g</c:v>
                </c:pt>
                <c:pt idx="2">
                  <c:v>2019g</c:v>
                </c:pt>
                <c:pt idx="3">
                  <c:v>2020g</c:v>
                </c:pt>
                <c:pt idx="4">
                  <c:v>2021g</c:v>
                </c:pt>
                <c:pt idx="5">
                  <c:v>2022g</c:v>
                </c:pt>
                <c:pt idx="6">
                  <c:v>2023g</c:v>
                </c:pt>
              </c:strCache>
            </c:strRef>
          </c:cat>
          <c:val>
            <c:numRef>
              <c:f>Sheet1!$B$2:$B$8</c:f>
              <c:numCache>
                <c:formatCode>General</c:formatCode>
                <c:ptCount val="7"/>
                <c:pt idx="0">
                  <c:v>4.68</c:v>
                </c:pt>
                <c:pt idx="1">
                  <c:v>5.48</c:v>
                </c:pt>
                <c:pt idx="2">
                  <c:v>1.28</c:v>
                </c:pt>
                <c:pt idx="3">
                  <c:v>0.68</c:v>
                </c:pt>
                <c:pt idx="4">
                  <c:v>0.52</c:v>
                </c:pt>
                <c:pt idx="5">
                  <c:v>0.24</c:v>
                </c:pt>
                <c:pt idx="6">
                  <c:v>0.4</c:v>
                </c:pt>
              </c:numCache>
            </c:numRef>
          </c:val>
          <c:extLst>
            <c:ext xmlns:c16="http://schemas.microsoft.com/office/drawing/2014/chart" uri="{C3380CC4-5D6E-409C-BE32-E72D297353CC}">
              <c16:uniqueId val="{00000000-5C05-47A3-98B2-5AF638BB21E4}"/>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2094734552"/>
        <c:crosses val="autoZero"/>
        <c:crossBetween val="between"/>
        <c:majorUnit val="1.5"/>
        <c:minorUnit val="0.75"/>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400" b="0" i="0" u="none" strike="noStrike">
                <a:solidFill>
                  <a:srgbClr val="595959"/>
                </a:solidFill>
                <a:latin typeface="Calibri"/>
              </a:defRPr>
            </a:pPr>
            <a:r>
              <a:rPr lang="en-US" sz="1400" b="0" i="0" u="none" strike="noStrike">
                <a:solidFill>
                  <a:srgbClr val="595959"/>
                </a:solidFill>
                <a:latin typeface="Calibri"/>
              </a:rPr>
              <a:t>PBDE </a:t>
            </a:r>
            <a:r>
              <a:rPr lang="sr-Latn-RS" sz="1400" b="0" i="0" u="none" strike="noStrike">
                <a:solidFill>
                  <a:srgbClr val="595959"/>
                </a:solidFill>
                <a:latin typeface="Calibri"/>
              </a:rPr>
              <a:t>sadržaj</a:t>
            </a:r>
            <a:r>
              <a:rPr lang="sr-Latn-RS" sz="1400" b="0" i="0" u="none" strike="noStrike" baseline="0">
                <a:solidFill>
                  <a:srgbClr val="595959"/>
                </a:solidFill>
                <a:latin typeface="Calibri"/>
              </a:rPr>
              <a:t> u uvezenim kamionima u periodu </a:t>
            </a:r>
            <a:r>
              <a:rPr lang="en-US" sz="1400" b="0" i="0" u="none" strike="noStrike">
                <a:solidFill>
                  <a:srgbClr val="595959"/>
                </a:solidFill>
                <a:latin typeface="Calibri"/>
              </a:rPr>
              <a:t>2017-2023 (kg)</a:t>
            </a:r>
          </a:p>
        </c:rich>
      </c:tx>
      <c:layout>
        <c:manualLayout>
          <c:xMode val="edge"/>
          <c:yMode val="edge"/>
          <c:x val="0.104337"/>
          <c:y val="0"/>
          <c:w val="0.79132499999999995"/>
          <c:h val="0.281555"/>
        </c:manualLayout>
      </c:layout>
      <c:overlay val="1"/>
      <c:spPr>
        <a:noFill/>
        <a:effectLst/>
      </c:spPr>
    </c:title>
    <c:autoTitleDeleted val="0"/>
    <c:plotArea>
      <c:layout>
        <c:manualLayout>
          <c:layoutTarget val="inner"/>
          <c:xMode val="edge"/>
          <c:yMode val="edge"/>
          <c:x val="6.0655599999999997E-2"/>
          <c:y val="0.281555"/>
          <c:w val="0.93434399999999995"/>
          <c:h val="0.55518100000000004"/>
        </c:manualLayout>
      </c:layout>
      <c:barChart>
        <c:barDir val="col"/>
        <c:grouping val="clustered"/>
        <c:varyColors val="0"/>
        <c:ser>
          <c:idx val="0"/>
          <c:order val="0"/>
          <c:tx>
            <c:strRef>
              <c:f>Sheet1!$A$2</c:f>
              <c:strCache>
                <c:ptCount val="1"/>
                <c:pt idx="0">
                  <c:v>Kolicina PBDE u teretnim vozilima u kg</c:v>
                </c:pt>
              </c:strCache>
            </c:strRef>
          </c:tx>
          <c:spPr>
            <a:solidFill>
              <a:schemeClr val="accent1"/>
            </a:solidFill>
            <a:ln w="12700" cap="flat">
              <a:noFill/>
              <a:miter lim="400000"/>
            </a:ln>
            <a:effectLst/>
          </c:spPr>
          <c:invertIfNegative val="0"/>
          <c:cat>
            <c:strRef>
              <c:f>Sheet1!$B$1:$H$1</c:f>
              <c:strCache>
                <c:ptCount val="7"/>
                <c:pt idx="0">
                  <c:v>2017g</c:v>
                </c:pt>
                <c:pt idx="1">
                  <c:v>2018g</c:v>
                </c:pt>
                <c:pt idx="2">
                  <c:v>2019g</c:v>
                </c:pt>
                <c:pt idx="3">
                  <c:v>2020g</c:v>
                </c:pt>
                <c:pt idx="4">
                  <c:v>2021g</c:v>
                </c:pt>
                <c:pt idx="5">
                  <c:v>2022g</c:v>
                </c:pt>
                <c:pt idx="6">
                  <c:v>2023g</c:v>
                </c:pt>
              </c:strCache>
            </c:strRef>
          </c:cat>
          <c:val>
            <c:numRef>
              <c:f>Sheet1!$B$2:$H$2</c:f>
              <c:numCache>
                <c:formatCode>General</c:formatCode>
                <c:ptCount val="7"/>
                <c:pt idx="0">
                  <c:v>101</c:v>
                </c:pt>
                <c:pt idx="1">
                  <c:v>96</c:v>
                </c:pt>
                <c:pt idx="2">
                  <c:v>49</c:v>
                </c:pt>
                <c:pt idx="3">
                  <c:v>30</c:v>
                </c:pt>
                <c:pt idx="4">
                  <c:v>32</c:v>
                </c:pt>
                <c:pt idx="5">
                  <c:v>36</c:v>
                </c:pt>
                <c:pt idx="6">
                  <c:v>48</c:v>
                </c:pt>
              </c:numCache>
            </c:numRef>
          </c:val>
          <c:extLst>
            <c:ext xmlns:c16="http://schemas.microsoft.com/office/drawing/2014/chart" uri="{C3380CC4-5D6E-409C-BE32-E72D297353CC}">
              <c16:uniqueId val="{00000000-6EA4-49A1-AE2D-D1753DACACD7}"/>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2094734552"/>
        <c:crosses val="autoZero"/>
        <c:crossBetween val="between"/>
        <c:majorUnit val="27.5"/>
        <c:minorUnit val="13.75"/>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sz="1100" b="0" i="0" u="none" strike="noStrike" kern="1200" spc="0" baseline="0">
                <a:solidFill>
                  <a:sysClr val="windowText" lastClr="000000">
                    <a:lumMod val="65000"/>
                    <a:lumOff val="35000"/>
                  </a:sysClr>
                </a:solidFill>
              </a:rPr>
              <a:t>Komparativni prikaz sadržaja PBDE u različitim tipovima vozila u periodu 2017-2023</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Sheet7!$A$24</c:f>
              <c:strCache>
                <c:ptCount val="1"/>
                <c:pt idx="0">
                  <c:v>Sadržaj PBDE u putničkim vozilima (kg)</c:v>
                </c:pt>
              </c:strCache>
            </c:strRef>
          </c:tx>
          <c:spPr>
            <a:solidFill>
              <a:schemeClr val="accent1"/>
            </a:solidFill>
            <a:ln>
              <a:noFill/>
            </a:ln>
            <a:effectLst/>
          </c:spPr>
          <c:invertIfNegative val="0"/>
          <c:cat>
            <c:strRef>
              <c:f>Sheet7!$B$23:$H$23</c:f>
              <c:strCache>
                <c:ptCount val="7"/>
                <c:pt idx="0">
                  <c:v>2017g</c:v>
                </c:pt>
                <c:pt idx="1">
                  <c:v>2018g</c:v>
                </c:pt>
                <c:pt idx="2">
                  <c:v>2019g</c:v>
                </c:pt>
                <c:pt idx="3">
                  <c:v>2020g</c:v>
                </c:pt>
                <c:pt idx="4">
                  <c:v>2021g</c:v>
                </c:pt>
                <c:pt idx="5">
                  <c:v>2022g</c:v>
                </c:pt>
                <c:pt idx="6">
                  <c:v>2023g</c:v>
                </c:pt>
              </c:strCache>
            </c:strRef>
          </c:cat>
          <c:val>
            <c:numRef>
              <c:f>Sheet7!$B$24:$H$24</c:f>
              <c:numCache>
                <c:formatCode>General</c:formatCode>
                <c:ptCount val="7"/>
                <c:pt idx="0">
                  <c:v>748.3</c:v>
                </c:pt>
                <c:pt idx="1">
                  <c:v>724.56</c:v>
                </c:pt>
                <c:pt idx="2">
                  <c:v>362.96</c:v>
                </c:pt>
                <c:pt idx="3">
                  <c:v>247.78</c:v>
                </c:pt>
                <c:pt idx="4">
                  <c:v>264.72000000000003</c:v>
                </c:pt>
                <c:pt idx="5">
                  <c:v>317.44</c:v>
                </c:pt>
                <c:pt idx="6">
                  <c:v>400.5</c:v>
                </c:pt>
              </c:numCache>
            </c:numRef>
          </c:val>
          <c:extLst>
            <c:ext xmlns:c16="http://schemas.microsoft.com/office/drawing/2014/chart" uri="{C3380CC4-5D6E-409C-BE32-E72D297353CC}">
              <c16:uniqueId val="{00000000-8DCF-4235-908D-BFEDEC125265}"/>
            </c:ext>
          </c:extLst>
        </c:ser>
        <c:ser>
          <c:idx val="1"/>
          <c:order val="1"/>
          <c:tx>
            <c:strRef>
              <c:f>Sheet7!$A$25</c:f>
              <c:strCache>
                <c:ptCount val="1"/>
                <c:pt idx="0">
                  <c:v>Sadržaj PBDE u autobusima (kg)</c:v>
                </c:pt>
              </c:strCache>
            </c:strRef>
          </c:tx>
          <c:spPr>
            <a:solidFill>
              <a:schemeClr val="accent2"/>
            </a:solidFill>
            <a:ln>
              <a:noFill/>
            </a:ln>
            <a:effectLst/>
          </c:spPr>
          <c:invertIfNegative val="0"/>
          <c:cat>
            <c:strRef>
              <c:f>Sheet7!$B$23:$H$23</c:f>
              <c:strCache>
                <c:ptCount val="7"/>
                <c:pt idx="0">
                  <c:v>2017g</c:v>
                </c:pt>
                <c:pt idx="1">
                  <c:v>2018g</c:v>
                </c:pt>
                <c:pt idx="2">
                  <c:v>2019g</c:v>
                </c:pt>
                <c:pt idx="3">
                  <c:v>2020g</c:v>
                </c:pt>
                <c:pt idx="4">
                  <c:v>2021g</c:v>
                </c:pt>
                <c:pt idx="5">
                  <c:v>2022g</c:v>
                </c:pt>
                <c:pt idx="6">
                  <c:v>2023g</c:v>
                </c:pt>
              </c:strCache>
            </c:strRef>
          </c:cat>
          <c:val>
            <c:numRef>
              <c:f>Sheet7!$B$25:$H$25</c:f>
              <c:numCache>
                <c:formatCode>General</c:formatCode>
                <c:ptCount val="7"/>
                <c:pt idx="0">
                  <c:v>4.68</c:v>
                </c:pt>
                <c:pt idx="1">
                  <c:v>5.48</c:v>
                </c:pt>
                <c:pt idx="2">
                  <c:v>1.28</c:v>
                </c:pt>
                <c:pt idx="3">
                  <c:v>0.68</c:v>
                </c:pt>
                <c:pt idx="4">
                  <c:v>0.52</c:v>
                </c:pt>
                <c:pt idx="5">
                  <c:v>0.24</c:v>
                </c:pt>
                <c:pt idx="6">
                  <c:v>0.4</c:v>
                </c:pt>
              </c:numCache>
            </c:numRef>
          </c:val>
          <c:extLst>
            <c:ext xmlns:c16="http://schemas.microsoft.com/office/drawing/2014/chart" uri="{C3380CC4-5D6E-409C-BE32-E72D297353CC}">
              <c16:uniqueId val="{00000001-8DCF-4235-908D-BFEDEC125265}"/>
            </c:ext>
          </c:extLst>
        </c:ser>
        <c:ser>
          <c:idx val="2"/>
          <c:order val="2"/>
          <c:tx>
            <c:strRef>
              <c:f>Sheet7!$A$26</c:f>
              <c:strCache>
                <c:ptCount val="1"/>
                <c:pt idx="0">
                  <c:v>Sadržaj PBDE u kamionima (kg)</c:v>
                </c:pt>
              </c:strCache>
            </c:strRef>
          </c:tx>
          <c:spPr>
            <a:solidFill>
              <a:schemeClr val="accent3"/>
            </a:solidFill>
            <a:ln>
              <a:noFill/>
            </a:ln>
            <a:effectLst/>
          </c:spPr>
          <c:invertIfNegative val="0"/>
          <c:cat>
            <c:strRef>
              <c:f>Sheet7!$B$23:$H$23</c:f>
              <c:strCache>
                <c:ptCount val="7"/>
                <c:pt idx="0">
                  <c:v>2017g</c:v>
                </c:pt>
                <c:pt idx="1">
                  <c:v>2018g</c:v>
                </c:pt>
                <c:pt idx="2">
                  <c:v>2019g</c:v>
                </c:pt>
                <c:pt idx="3">
                  <c:v>2020g</c:v>
                </c:pt>
                <c:pt idx="4">
                  <c:v>2021g</c:v>
                </c:pt>
                <c:pt idx="5">
                  <c:v>2022g</c:v>
                </c:pt>
                <c:pt idx="6">
                  <c:v>2023g</c:v>
                </c:pt>
              </c:strCache>
            </c:strRef>
          </c:cat>
          <c:val>
            <c:numRef>
              <c:f>Sheet7!$B$26:$H$26</c:f>
              <c:numCache>
                <c:formatCode>General</c:formatCode>
                <c:ptCount val="7"/>
                <c:pt idx="0">
                  <c:v>4.68</c:v>
                </c:pt>
                <c:pt idx="1">
                  <c:v>5.48</c:v>
                </c:pt>
                <c:pt idx="2">
                  <c:v>1.28</c:v>
                </c:pt>
                <c:pt idx="3">
                  <c:v>0.68</c:v>
                </c:pt>
                <c:pt idx="4">
                  <c:v>0.52</c:v>
                </c:pt>
                <c:pt idx="5">
                  <c:v>0.24</c:v>
                </c:pt>
                <c:pt idx="6">
                  <c:v>0.4</c:v>
                </c:pt>
              </c:numCache>
            </c:numRef>
          </c:val>
          <c:extLst>
            <c:ext xmlns:c16="http://schemas.microsoft.com/office/drawing/2014/chart" uri="{C3380CC4-5D6E-409C-BE32-E72D297353CC}">
              <c16:uniqueId val="{00000002-8DCF-4235-908D-BFEDEC125265}"/>
            </c:ext>
          </c:extLst>
        </c:ser>
        <c:dLbls>
          <c:showLegendKey val="0"/>
          <c:showVal val="0"/>
          <c:showCatName val="0"/>
          <c:showSerName val="0"/>
          <c:showPercent val="0"/>
          <c:showBubbleSize val="0"/>
        </c:dLbls>
        <c:gapWidth val="219"/>
        <c:overlap val="-27"/>
        <c:axId val="309345663"/>
        <c:axId val="309346143"/>
      </c:barChart>
      <c:catAx>
        <c:axId val="309345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346143"/>
        <c:crosses val="autoZero"/>
        <c:auto val="1"/>
        <c:lblAlgn val="ctr"/>
        <c:lblOffset val="100"/>
        <c:noMultiLvlLbl val="0"/>
      </c:catAx>
      <c:valAx>
        <c:axId val="3093461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345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400" b="0" i="0" u="none" strike="noStrike">
                <a:solidFill>
                  <a:srgbClr val="595959"/>
                </a:solidFill>
                <a:latin typeface="Calibri"/>
              </a:defRPr>
            </a:pPr>
            <a:r>
              <a:rPr lang="en-US" sz="1400" b="0" i="0" u="none" strike="noStrike">
                <a:solidFill>
                  <a:srgbClr val="595959"/>
                </a:solidFill>
                <a:latin typeface="Calibri"/>
              </a:rPr>
              <a:t>PBDE  </a:t>
            </a:r>
            <a:r>
              <a:rPr lang="sr-Latn-RS" sz="1400" b="0" i="0" u="none" strike="noStrike">
                <a:solidFill>
                  <a:srgbClr val="595959"/>
                </a:solidFill>
                <a:latin typeface="Calibri"/>
              </a:rPr>
              <a:t>sadržaj</a:t>
            </a:r>
            <a:r>
              <a:rPr lang="en-US" sz="1400" b="0" i="0" u="none" strike="noStrike">
                <a:solidFill>
                  <a:srgbClr val="595959"/>
                </a:solidFill>
                <a:latin typeface="Calibri"/>
              </a:rPr>
              <a:t> (g) </a:t>
            </a:r>
            <a:r>
              <a:rPr lang="sr-Latn-RS" sz="1400" b="0" i="0" u="none" strike="noStrike">
                <a:solidFill>
                  <a:srgbClr val="595959"/>
                </a:solidFill>
                <a:latin typeface="Calibri"/>
              </a:rPr>
              <a:t>u uvezenim vozilima u </a:t>
            </a:r>
            <a:r>
              <a:rPr lang="en-US" sz="1400" b="0" i="0" u="none" strike="noStrike">
                <a:solidFill>
                  <a:srgbClr val="595959"/>
                </a:solidFill>
                <a:latin typeface="Calibri"/>
              </a:rPr>
              <a:t>period</a:t>
            </a:r>
            <a:r>
              <a:rPr lang="sr-Latn-RS" sz="1400" b="0" i="0" u="none" strike="noStrike">
                <a:solidFill>
                  <a:srgbClr val="595959"/>
                </a:solidFill>
                <a:latin typeface="Calibri"/>
              </a:rPr>
              <a:t>u</a:t>
            </a:r>
            <a:r>
              <a:rPr lang="en-US" sz="1400" b="0" i="0" u="none" strike="noStrike">
                <a:solidFill>
                  <a:srgbClr val="595959"/>
                </a:solidFill>
                <a:latin typeface="Calibri"/>
              </a:rPr>
              <a:t> 2008-2023</a:t>
            </a:r>
          </a:p>
        </c:rich>
      </c:tx>
      <c:layout>
        <c:manualLayout>
          <c:xMode val="edge"/>
          <c:yMode val="edge"/>
          <c:x val="0.127549"/>
          <c:y val="0"/>
          <c:w val="0.74490299999999998"/>
          <c:h val="0.22232299999999999"/>
        </c:manualLayout>
      </c:layout>
      <c:overlay val="1"/>
      <c:spPr>
        <a:noFill/>
        <a:effectLst/>
      </c:spPr>
    </c:title>
    <c:autoTitleDeleted val="0"/>
    <c:plotArea>
      <c:layout>
        <c:manualLayout>
          <c:layoutTarget val="inner"/>
          <c:xMode val="edge"/>
          <c:yMode val="edge"/>
          <c:x val="5.5814900000000001E-2"/>
          <c:y val="0.22232299999999999"/>
          <c:w val="0.93918500000000005"/>
          <c:h val="0.64612999999999998"/>
        </c:manualLayout>
      </c:layout>
      <c:barChart>
        <c:barDir val="col"/>
        <c:grouping val="clustered"/>
        <c:varyColors val="0"/>
        <c:ser>
          <c:idx val="0"/>
          <c:order val="0"/>
          <c:tx>
            <c:strRef>
              <c:f>Sheet1!$A$2</c:f>
              <c:strCache>
                <c:ptCount val="1"/>
                <c:pt idx="0">
                  <c:v>Sadrzaj PBDE (g) u uvezenim vozilima u periodu 2008-2023</c:v>
                </c:pt>
              </c:strCache>
            </c:strRef>
          </c:tx>
          <c:spPr>
            <a:solidFill>
              <a:schemeClr val="accent1"/>
            </a:solidFill>
            <a:ln w="12700" cap="flat">
              <a:noFill/>
              <a:miter lim="400000"/>
            </a:ln>
            <a:effectLst/>
          </c:spPr>
          <c:invertIfNegative val="0"/>
          <c:trendline>
            <c:spPr>
              <a:ln w="19050" cap="rnd">
                <a:solidFill>
                  <a:schemeClr val="accent1"/>
                </a:solidFill>
                <a:prstDash val="sysDot"/>
                <a:miter lim="800000"/>
              </a:ln>
              <a:effectLst>
                <a:outerShdw blurRad="12700" dist="25400" dir="7320000" algn="tl">
                  <a:srgbClr val="000000">
                    <a:alpha val="25000"/>
                  </a:srgbClr>
                </a:outerShdw>
              </a:effectLst>
            </c:spPr>
            <c:trendlineType val="linear"/>
            <c:dispRSqr val="0"/>
            <c:dispEq val="0"/>
          </c:trendline>
          <c:cat>
            <c:strRef>
              <c:f>Sheet1!$B$1:$Q$1</c:f>
              <c:strCache>
                <c:ptCount val="16"/>
                <c:pt idx="0">
                  <c:v>2008g</c:v>
                </c:pt>
                <c:pt idx="1">
                  <c:v>2009g</c:v>
                </c:pt>
                <c:pt idx="2">
                  <c:v>2010g</c:v>
                </c:pt>
                <c:pt idx="3">
                  <c:v>2011g</c:v>
                </c:pt>
                <c:pt idx="4">
                  <c:v>2012g</c:v>
                </c:pt>
                <c:pt idx="5">
                  <c:v>2013g</c:v>
                </c:pt>
                <c:pt idx="6">
                  <c:v>2014g</c:v>
                </c:pt>
                <c:pt idx="7">
                  <c:v>2015g</c:v>
                </c:pt>
                <c:pt idx="8">
                  <c:v>2016g</c:v>
                </c:pt>
                <c:pt idx="9">
                  <c:v>2017g</c:v>
                </c:pt>
                <c:pt idx="10">
                  <c:v>2018g</c:v>
                </c:pt>
                <c:pt idx="11">
                  <c:v>2019g</c:v>
                </c:pt>
                <c:pt idx="12">
                  <c:v>2020g</c:v>
                </c:pt>
                <c:pt idx="13">
                  <c:v>2021g</c:v>
                </c:pt>
                <c:pt idx="14">
                  <c:v>2022g</c:v>
                </c:pt>
                <c:pt idx="15">
                  <c:v>2023g</c:v>
                </c:pt>
              </c:strCache>
            </c:strRef>
          </c:cat>
          <c:val>
            <c:numRef>
              <c:f>Sheet1!$B$2:$Q$2</c:f>
              <c:numCache>
                <c:formatCode>General</c:formatCode>
                <c:ptCount val="16"/>
                <c:pt idx="0">
                  <c:v>657.2</c:v>
                </c:pt>
                <c:pt idx="1">
                  <c:v>365.52</c:v>
                </c:pt>
                <c:pt idx="2">
                  <c:v>442.48</c:v>
                </c:pt>
                <c:pt idx="3">
                  <c:v>510.8</c:v>
                </c:pt>
                <c:pt idx="4">
                  <c:v>560.96</c:v>
                </c:pt>
                <c:pt idx="5">
                  <c:v>614.32000000000005</c:v>
                </c:pt>
                <c:pt idx="6">
                  <c:v>634.64</c:v>
                </c:pt>
                <c:pt idx="7">
                  <c:v>626.79999999999995</c:v>
                </c:pt>
                <c:pt idx="8">
                  <c:v>721.92</c:v>
                </c:pt>
                <c:pt idx="9">
                  <c:v>757.66</c:v>
                </c:pt>
                <c:pt idx="10">
                  <c:v>735.52</c:v>
                </c:pt>
                <c:pt idx="11">
                  <c:v>365.52</c:v>
                </c:pt>
                <c:pt idx="12">
                  <c:v>249.14</c:v>
                </c:pt>
                <c:pt idx="13">
                  <c:v>265.76</c:v>
                </c:pt>
                <c:pt idx="14">
                  <c:v>317.92</c:v>
                </c:pt>
                <c:pt idx="15">
                  <c:v>401.3</c:v>
                </c:pt>
              </c:numCache>
            </c:numRef>
          </c:val>
          <c:extLst>
            <c:ext xmlns:c16="http://schemas.microsoft.com/office/drawing/2014/chart" uri="{C3380CC4-5D6E-409C-BE32-E72D297353CC}">
              <c16:uniqueId val="{00000001-5EA6-4906-9892-215049A87657}"/>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2094734552"/>
        <c:crosses val="autoZero"/>
        <c:crossBetween val="between"/>
        <c:majorUnit val="200"/>
        <c:minorUnit val="100"/>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400" b="0" i="0" u="none" strike="noStrike">
                <a:solidFill>
                  <a:srgbClr val="595959"/>
                </a:solidFill>
                <a:latin typeface="Calibri"/>
              </a:defRPr>
            </a:pPr>
            <a:r>
              <a:rPr lang="sr-Latn-RS" sz="1400" b="0" i="0" u="none" strike="noStrike">
                <a:solidFill>
                  <a:srgbClr val="595959"/>
                </a:solidFill>
                <a:latin typeface="Calibri"/>
              </a:rPr>
              <a:t>Procijenjena količina </a:t>
            </a:r>
            <a:r>
              <a:rPr lang="en-US" sz="1400" b="0" i="0" u="none" strike="noStrike">
                <a:solidFill>
                  <a:srgbClr val="595959"/>
                </a:solidFill>
                <a:latin typeface="Calibri"/>
              </a:rPr>
              <a:t>decaBDE </a:t>
            </a:r>
            <a:r>
              <a:rPr lang="sr-Latn-RS" sz="1400" b="0" i="0" u="none" strike="noStrike">
                <a:solidFill>
                  <a:srgbClr val="595959"/>
                </a:solidFill>
                <a:latin typeface="Calibri"/>
              </a:rPr>
              <a:t>u otpadu od automobila u</a:t>
            </a:r>
            <a:r>
              <a:rPr lang="sr-Latn-RS" sz="1400" b="0" i="0" u="none" strike="noStrike" baseline="0">
                <a:solidFill>
                  <a:srgbClr val="595959"/>
                </a:solidFill>
                <a:latin typeface="Calibri"/>
              </a:rPr>
              <a:t> </a:t>
            </a:r>
            <a:r>
              <a:rPr lang="en-US" sz="1400" b="0" i="0" u="none" strike="noStrike">
                <a:solidFill>
                  <a:srgbClr val="595959"/>
                </a:solidFill>
                <a:latin typeface="Calibri"/>
              </a:rPr>
              <a:t>period</a:t>
            </a:r>
            <a:r>
              <a:rPr lang="sr-Latn-RS" sz="1400" b="0" i="0" u="none" strike="noStrike">
                <a:solidFill>
                  <a:srgbClr val="595959"/>
                </a:solidFill>
                <a:latin typeface="Calibri"/>
              </a:rPr>
              <a:t>u</a:t>
            </a:r>
            <a:r>
              <a:rPr lang="sr-Latn-RS" sz="1400" b="0" i="0" u="none" strike="noStrike" baseline="0">
                <a:solidFill>
                  <a:srgbClr val="595959"/>
                </a:solidFill>
                <a:latin typeface="Calibri"/>
              </a:rPr>
              <a:t> </a:t>
            </a:r>
            <a:r>
              <a:rPr lang="en-US" sz="1400" b="0" i="0" u="none" strike="noStrike">
                <a:solidFill>
                  <a:srgbClr val="595959"/>
                </a:solidFill>
                <a:latin typeface="Calibri"/>
              </a:rPr>
              <a:t>2017-2023</a:t>
            </a:r>
          </a:p>
        </c:rich>
      </c:tx>
      <c:layout>
        <c:manualLayout>
          <c:xMode val="edge"/>
          <c:yMode val="edge"/>
          <c:x val="0"/>
          <c:y val="0"/>
          <c:w val="1"/>
          <c:h val="0.226771"/>
        </c:manualLayout>
      </c:layout>
      <c:overlay val="1"/>
      <c:spPr>
        <a:noFill/>
        <a:effectLst/>
      </c:spPr>
    </c:title>
    <c:autoTitleDeleted val="0"/>
    <c:plotArea>
      <c:layout>
        <c:manualLayout>
          <c:layoutTarget val="inner"/>
          <c:xMode val="edge"/>
          <c:yMode val="edge"/>
          <c:x val="7.8626199999999993E-2"/>
          <c:y val="0.226771"/>
          <c:w val="0.91637400000000002"/>
          <c:h val="0.54101299999999997"/>
        </c:manualLayout>
      </c:layout>
      <c:barChart>
        <c:barDir val="col"/>
        <c:grouping val="stacked"/>
        <c:varyColors val="0"/>
        <c:ser>
          <c:idx val="0"/>
          <c:order val="0"/>
          <c:tx>
            <c:strRef>
              <c:f>Sheet1!$A$2</c:f>
              <c:strCache>
                <c:ptCount val="1"/>
                <c:pt idx="0">
                  <c:v>Sadržaj decaBDE (bolji scenario) (g)</c:v>
                </c:pt>
              </c:strCache>
            </c:strRef>
          </c:tx>
          <c:spPr>
            <a:solidFill>
              <a:schemeClr val="accent1"/>
            </a:solidFill>
            <a:ln w="12700" cap="flat">
              <a:noFill/>
              <a:miter lim="400000"/>
            </a:ln>
            <a:effectLst/>
          </c:spPr>
          <c:invertIfNegative val="0"/>
          <c:cat>
            <c:strRef>
              <c:f>Sheet1!$B$1:$H$1</c:f>
              <c:strCache>
                <c:ptCount val="7"/>
                <c:pt idx="0">
                  <c:v>2017g</c:v>
                </c:pt>
                <c:pt idx="1">
                  <c:v>2018g</c:v>
                </c:pt>
                <c:pt idx="2">
                  <c:v>2019g</c:v>
                </c:pt>
                <c:pt idx="3">
                  <c:v>2020g</c:v>
                </c:pt>
                <c:pt idx="4">
                  <c:v>2021g</c:v>
                </c:pt>
                <c:pt idx="5">
                  <c:v>2022g</c:v>
                </c:pt>
                <c:pt idx="6">
                  <c:v>2023g</c:v>
                </c:pt>
              </c:strCache>
            </c:strRef>
          </c:cat>
          <c:val>
            <c:numRef>
              <c:f>Sheet1!$B$2:$H$2</c:f>
              <c:numCache>
                <c:formatCode>General</c:formatCode>
                <c:ptCount val="7"/>
                <c:pt idx="0">
                  <c:v>507.47618</c:v>
                </c:pt>
                <c:pt idx="1">
                  <c:v>532.85699999999997</c:v>
                </c:pt>
                <c:pt idx="2">
                  <c:v>565.94766000000004</c:v>
                </c:pt>
                <c:pt idx="3">
                  <c:v>525.73098000000005</c:v>
                </c:pt>
                <c:pt idx="4">
                  <c:v>562.83864000000005</c:v>
                </c:pt>
                <c:pt idx="5">
                  <c:v>579.35028</c:v>
                </c:pt>
                <c:pt idx="6">
                  <c:v>618.70008000000007</c:v>
                </c:pt>
              </c:numCache>
            </c:numRef>
          </c:val>
          <c:extLst>
            <c:ext xmlns:c16="http://schemas.microsoft.com/office/drawing/2014/chart" uri="{C3380CC4-5D6E-409C-BE32-E72D297353CC}">
              <c16:uniqueId val="{00000000-F9CF-474F-9596-80654977511C}"/>
            </c:ext>
          </c:extLst>
        </c:ser>
        <c:ser>
          <c:idx val="1"/>
          <c:order val="1"/>
          <c:tx>
            <c:strRef>
              <c:f>Sheet1!$A$3</c:f>
              <c:strCache>
                <c:ptCount val="1"/>
                <c:pt idx="0">
                  <c:v>Sadržaj decaBDE (gori scenario) (g)</c:v>
                </c:pt>
              </c:strCache>
            </c:strRef>
          </c:tx>
          <c:spPr>
            <a:solidFill>
              <a:schemeClr val="accent2"/>
            </a:solidFill>
            <a:ln w="12700" cap="flat">
              <a:noFill/>
              <a:miter lim="400000"/>
            </a:ln>
            <a:effectLst/>
          </c:spPr>
          <c:invertIfNegative val="0"/>
          <c:cat>
            <c:strRef>
              <c:f>Sheet1!$B$1:$H$1</c:f>
              <c:strCache>
                <c:ptCount val="7"/>
                <c:pt idx="0">
                  <c:v>2017g</c:v>
                </c:pt>
                <c:pt idx="1">
                  <c:v>2018g</c:v>
                </c:pt>
                <c:pt idx="2">
                  <c:v>2019g</c:v>
                </c:pt>
                <c:pt idx="3">
                  <c:v>2020g</c:v>
                </c:pt>
                <c:pt idx="4">
                  <c:v>2021g</c:v>
                </c:pt>
                <c:pt idx="5">
                  <c:v>2022g</c:v>
                </c:pt>
                <c:pt idx="6">
                  <c:v>2023g</c:v>
                </c:pt>
              </c:strCache>
            </c:strRef>
          </c:cat>
          <c:val>
            <c:numRef>
              <c:f>Sheet1!$B$3:$H$3</c:f>
              <c:numCache>
                <c:formatCode>General</c:formatCode>
                <c:ptCount val="7"/>
                <c:pt idx="0">
                  <c:v>2733.1418484000001</c:v>
                </c:pt>
                <c:pt idx="1">
                  <c:v>2866.7706600000001</c:v>
                </c:pt>
                <c:pt idx="2">
                  <c:v>3044.7984108000001</c:v>
                </c:pt>
                <c:pt idx="3">
                  <c:v>2828.4326723999998</c:v>
                </c:pt>
                <c:pt idx="4">
                  <c:v>3028.0718831999998</c:v>
                </c:pt>
                <c:pt idx="5">
                  <c:v>3116.9045064000002</c:v>
                </c:pt>
                <c:pt idx="6">
                  <c:v>3328.6064304000001</c:v>
                </c:pt>
              </c:numCache>
            </c:numRef>
          </c:val>
          <c:extLst>
            <c:ext xmlns:c16="http://schemas.microsoft.com/office/drawing/2014/chart" uri="{C3380CC4-5D6E-409C-BE32-E72D297353CC}">
              <c16:uniqueId val="{00000001-F9CF-474F-9596-80654977511C}"/>
            </c:ext>
          </c:extLst>
        </c:ser>
        <c:dLbls>
          <c:showLegendKey val="0"/>
          <c:showVal val="0"/>
          <c:showCatName val="0"/>
          <c:showSerName val="0"/>
          <c:showPercent val="0"/>
          <c:showBubbleSize val="0"/>
        </c:dLbls>
        <c:gapWidth val="150"/>
        <c:overlap val="100"/>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2094734552"/>
        <c:crosses val="autoZero"/>
        <c:crossBetween val="between"/>
        <c:majorUnit val="1000"/>
        <c:minorUnit val="500"/>
      </c:valAx>
      <c:spPr>
        <a:noFill/>
        <a:ln w="12700" cap="flat">
          <a:noFill/>
          <a:miter lim="400000"/>
        </a:ln>
        <a:effectLst/>
      </c:spPr>
    </c:plotArea>
    <c:legend>
      <c:legendPos val="b"/>
      <c:layout>
        <c:manualLayout>
          <c:xMode val="edge"/>
          <c:yMode val="edge"/>
          <c:x val="0.27616600000000002"/>
          <c:y val="0.87663400000000002"/>
          <c:w val="0.48911300000000002"/>
          <c:h val="0.123366"/>
        </c:manualLayout>
      </c:layout>
      <c:overlay val="1"/>
      <c:spPr>
        <a:noFill/>
        <a:ln w="12700" cap="flat">
          <a:noFill/>
          <a:miter lim="400000"/>
        </a:ln>
        <a:effectLst/>
      </c:spPr>
      <c:txPr>
        <a:bodyPr rot="0"/>
        <a:lstStyle/>
        <a:p>
          <a:pPr>
            <a:defRPr sz="900" b="0" i="0" u="none" strike="noStrike">
              <a:solidFill>
                <a:srgbClr val="595959"/>
              </a:solidFill>
              <a:latin typeface="Calibri"/>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21C6-4270-ADAC-11506231D120}"/>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21C6-4270-ADAC-11506231D120}"/>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21C6-4270-ADAC-11506231D120}"/>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21C6-4270-ADAC-11506231D120}"/>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21C6-4270-ADAC-11506231D120}"/>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B-21C6-4270-ADAC-11506231D120}"/>
              </c:ext>
            </c:extLst>
          </c:dPt>
          <c:dPt>
            <c:idx val="6"/>
            <c:bubble3D val="0"/>
            <c:spPr>
              <a:solidFill>
                <a:schemeClr val="accent1">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D-21C6-4270-ADAC-11506231D120}"/>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extLst>
                <c:ext xmlns:c16="http://schemas.microsoft.com/office/drawing/2014/chart" uri="{C3380CC4-5D6E-409C-BE32-E72D297353CC}">
                  <c16:uniqueId val="{00000001-21C6-4270-ADAC-11506231D12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numRef>
              <c:f>Sheet3!$A$1:$A$7</c:f>
              <c:numCache>
                <c:formatCode>General</c:formatCode>
                <c:ptCount val="7"/>
                <c:pt idx="0">
                  <c:v>2017</c:v>
                </c:pt>
                <c:pt idx="1">
                  <c:v>2018</c:v>
                </c:pt>
                <c:pt idx="2">
                  <c:v>2019</c:v>
                </c:pt>
                <c:pt idx="3">
                  <c:v>2020</c:v>
                </c:pt>
                <c:pt idx="4">
                  <c:v>2021</c:v>
                </c:pt>
                <c:pt idx="5">
                  <c:v>2022</c:v>
                </c:pt>
                <c:pt idx="6">
                  <c:v>2023</c:v>
                </c:pt>
              </c:numCache>
            </c:numRef>
          </c:cat>
          <c:val>
            <c:numRef>
              <c:f>Sheet3!$B$1:$B$7</c:f>
              <c:numCache>
                <c:formatCode>0.0</c:formatCode>
                <c:ptCount val="7"/>
                <c:pt idx="0">
                  <c:v>6.4</c:v>
                </c:pt>
                <c:pt idx="1">
                  <c:v>23.8</c:v>
                </c:pt>
                <c:pt idx="2">
                  <c:v>24.6</c:v>
                </c:pt>
                <c:pt idx="3">
                  <c:v>76</c:v>
                </c:pt>
                <c:pt idx="4">
                  <c:v>186.8</c:v>
                </c:pt>
                <c:pt idx="5">
                  <c:v>54.3</c:v>
                </c:pt>
                <c:pt idx="6">
                  <c:v>35.700000000000003</c:v>
                </c:pt>
              </c:numCache>
            </c:numRef>
          </c:val>
          <c:extLst>
            <c:ext xmlns:c16="http://schemas.microsoft.com/office/drawing/2014/chart" uri="{C3380CC4-5D6E-409C-BE32-E72D297353CC}">
              <c16:uniqueId val="{0000000E-21C6-4270-ADAC-11506231D12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DB26-44BF-A7EB-62AEEBA745D0}"/>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DB26-44BF-A7EB-62AEEBA745D0}"/>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DB26-44BF-A7EB-62AEEBA745D0}"/>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DB26-44BF-A7EB-62AEEBA745D0}"/>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DB26-44BF-A7EB-62AEEBA745D0}"/>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B-DB26-44BF-A7EB-62AEEBA745D0}"/>
              </c:ext>
            </c:extLst>
          </c:dPt>
          <c:dPt>
            <c:idx val="6"/>
            <c:bubble3D val="0"/>
            <c:spPr>
              <a:solidFill>
                <a:schemeClr val="accent1">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D-DB26-44BF-A7EB-62AEEBA745D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numRef>
              <c:f>Sheet1!$J$2:$J$8</c:f>
              <c:numCache>
                <c:formatCode>General</c:formatCode>
                <c:ptCount val="7"/>
                <c:pt idx="0">
                  <c:v>2017</c:v>
                </c:pt>
                <c:pt idx="1">
                  <c:v>2018</c:v>
                </c:pt>
                <c:pt idx="2">
                  <c:v>2019</c:v>
                </c:pt>
                <c:pt idx="3">
                  <c:v>2020</c:v>
                </c:pt>
                <c:pt idx="4">
                  <c:v>2021</c:v>
                </c:pt>
                <c:pt idx="5">
                  <c:v>2022</c:v>
                </c:pt>
                <c:pt idx="6">
                  <c:v>2023</c:v>
                </c:pt>
              </c:numCache>
            </c:numRef>
          </c:cat>
          <c:val>
            <c:numRef>
              <c:f>Sheet1!$K$2:$K$8</c:f>
              <c:numCache>
                <c:formatCode>0.000</c:formatCode>
                <c:ptCount val="7"/>
                <c:pt idx="0">
                  <c:v>3.581</c:v>
                </c:pt>
                <c:pt idx="1">
                  <c:v>3.85</c:v>
                </c:pt>
                <c:pt idx="2">
                  <c:v>3.665</c:v>
                </c:pt>
                <c:pt idx="3">
                  <c:v>3.403</c:v>
                </c:pt>
                <c:pt idx="4">
                  <c:v>3.0249999999999999</c:v>
                </c:pt>
                <c:pt idx="5">
                  <c:v>3.1230000000000002</c:v>
                </c:pt>
                <c:pt idx="6">
                  <c:v>3.5339999999999998</c:v>
                </c:pt>
              </c:numCache>
            </c:numRef>
          </c:val>
          <c:extLst>
            <c:ext xmlns:c16="http://schemas.microsoft.com/office/drawing/2014/chart" uri="{C3380CC4-5D6E-409C-BE32-E72D297353CC}">
              <c16:uniqueId val="{0000000E-DB26-44BF-A7EB-62AEEBA745D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38739506490663"/>
          <c:y val="0.11524595240201717"/>
          <c:w val="0.84792674590986161"/>
          <c:h val="0.76458683535344596"/>
        </c:manualLayout>
      </c:layout>
      <c:barChart>
        <c:barDir val="col"/>
        <c:grouping val="clustered"/>
        <c:varyColors val="0"/>
        <c:ser>
          <c:idx val="0"/>
          <c:order val="0"/>
          <c:tx>
            <c:v>Proizvodnja/Production</c:v>
          </c:tx>
          <c:spPr>
            <a:solidFill>
              <a:schemeClr val="accent1"/>
            </a:solidFill>
            <a:ln>
              <a:noFill/>
            </a:ln>
            <a:effectLst/>
          </c:spPr>
          <c:invertIfNegative val="0"/>
          <c:cat>
            <c:numRef>
              <c:f>Sheet1!$B$92:$B$108</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Sheet1!$C$92:$C$108</c:f>
              <c:numCache>
                <c:formatCode>General</c:formatCode>
                <c:ptCount val="17"/>
                <c:pt idx="0">
                  <c:v>9.4</c:v>
                </c:pt>
                <c:pt idx="1">
                  <c:v>33.1</c:v>
                </c:pt>
                <c:pt idx="2">
                  <c:v>18.600000000000001</c:v>
                </c:pt>
                <c:pt idx="3">
                  <c:v>11.9</c:v>
                </c:pt>
                <c:pt idx="4">
                  <c:v>22</c:v>
                </c:pt>
                <c:pt idx="5">
                  <c:v>21.9</c:v>
                </c:pt>
                <c:pt idx="6">
                  <c:v>87</c:v>
                </c:pt>
                <c:pt idx="7">
                  <c:v>92.4</c:v>
                </c:pt>
                <c:pt idx="8">
                  <c:v>115.5</c:v>
                </c:pt>
                <c:pt idx="9">
                  <c:v>23.1</c:v>
                </c:pt>
                <c:pt idx="10">
                  <c:v>6.4</c:v>
                </c:pt>
                <c:pt idx="11">
                  <c:v>23.8</c:v>
                </c:pt>
                <c:pt idx="12">
                  <c:v>24.6</c:v>
                </c:pt>
                <c:pt idx="13">
                  <c:v>76</c:v>
                </c:pt>
                <c:pt idx="14">
                  <c:v>186.8</c:v>
                </c:pt>
                <c:pt idx="15">
                  <c:v>54.3</c:v>
                </c:pt>
                <c:pt idx="16">
                  <c:v>35.700000000000003</c:v>
                </c:pt>
              </c:numCache>
            </c:numRef>
          </c:val>
          <c:extLst>
            <c:ext xmlns:c16="http://schemas.microsoft.com/office/drawing/2014/chart" uri="{C3380CC4-5D6E-409C-BE32-E72D297353CC}">
              <c16:uniqueId val="{00000000-0531-44A8-8B6A-3A4EEED20B72}"/>
            </c:ext>
          </c:extLst>
        </c:ser>
        <c:ser>
          <c:idx val="1"/>
          <c:order val="1"/>
          <c:tx>
            <c:v>Uvoz/Import</c:v>
          </c:tx>
          <c:spPr>
            <a:solidFill>
              <a:schemeClr val="accent2"/>
            </a:solidFill>
            <a:ln>
              <a:noFill/>
            </a:ln>
            <a:effectLst/>
          </c:spPr>
          <c:invertIfNegative val="0"/>
          <c:cat>
            <c:numRef>
              <c:f>Sheet1!$B$92:$B$108</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Sheet1!$D$92:$D$108</c:f>
              <c:numCache>
                <c:formatCode>General</c:formatCode>
                <c:ptCount val="17"/>
                <c:pt idx="0">
                  <c:v>1812</c:v>
                </c:pt>
                <c:pt idx="1">
                  <c:v>2816</c:v>
                </c:pt>
                <c:pt idx="2">
                  <c:v>2049</c:v>
                </c:pt>
                <c:pt idx="3">
                  <c:v>1531</c:v>
                </c:pt>
                <c:pt idx="4">
                  <c:v>1845</c:v>
                </c:pt>
                <c:pt idx="5">
                  <c:v>1710</c:v>
                </c:pt>
                <c:pt idx="6">
                  <c:v>2057</c:v>
                </c:pt>
                <c:pt idx="7">
                  <c:v>2054</c:v>
                </c:pt>
                <c:pt idx="8">
                  <c:v>1662</c:v>
                </c:pt>
                <c:pt idx="9">
                  <c:v>2230</c:v>
                </c:pt>
                <c:pt idx="10">
                  <c:v>3581</c:v>
                </c:pt>
                <c:pt idx="11">
                  <c:v>3850</c:v>
                </c:pt>
                <c:pt idx="12">
                  <c:v>3665</c:v>
                </c:pt>
                <c:pt idx="13">
                  <c:v>3403</c:v>
                </c:pt>
                <c:pt idx="14">
                  <c:v>3025</c:v>
                </c:pt>
                <c:pt idx="15">
                  <c:v>3123</c:v>
                </c:pt>
                <c:pt idx="16">
                  <c:v>3534</c:v>
                </c:pt>
              </c:numCache>
            </c:numRef>
          </c:val>
          <c:extLst>
            <c:ext xmlns:c16="http://schemas.microsoft.com/office/drawing/2014/chart" uri="{C3380CC4-5D6E-409C-BE32-E72D297353CC}">
              <c16:uniqueId val="{00000001-0531-44A8-8B6A-3A4EEED20B72}"/>
            </c:ext>
          </c:extLst>
        </c:ser>
        <c:dLbls>
          <c:showLegendKey val="0"/>
          <c:showVal val="0"/>
          <c:showCatName val="0"/>
          <c:showSerName val="0"/>
          <c:showPercent val="0"/>
          <c:showBubbleSize val="0"/>
        </c:dLbls>
        <c:gapWidth val="219"/>
        <c:overlap val="-27"/>
        <c:axId val="1832918288"/>
        <c:axId val="1574254224"/>
      </c:barChart>
      <c:catAx>
        <c:axId val="183291828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1574254224"/>
        <c:crosses val="autoZero"/>
        <c:auto val="1"/>
        <c:lblAlgn val="ctr"/>
        <c:lblOffset val="100"/>
        <c:noMultiLvlLbl val="0"/>
      </c:catAx>
      <c:valAx>
        <c:axId val="1574254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RS">
                    <a:latin typeface="Cambria" panose="02040503050406030204" pitchFamily="18" charset="0"/>
                    <a:ea typeface="Cambria" panose="02040503050406030204" pitchFamily="18" charset="0"/>
                  </a:rPr>
                  <a:t>tone/tons</a:t>
                </a:r>
                <a:endParaRPr lang="en-US">
                  <a:latin typeface="Cambria" panose="02040503050406030204" pitchFamily="18" charset="0"/>
                  <a:ea typeface="Cambria" panose="02040503050406030204" pitchFamily="18" charset="0"/>
                </a:endParaRPr>
              </a:p>
            </c:rich>
          </c:tx>
          <c:layout>
            <c:manualLayout>
              <c:xMode val="edge"/>
              <c:yMode val="edge"/>
              <c:x val="1.2767682506428523E-2"/>
              <c:y val="0.4340419415118749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1832918288"/>
        <c:crosses val="autoZero"/>
        <c:crossBetween val="between"/>
      </c:valAx>
      <c:spPr>
        <a:noFill/>
        <a:ln>
          <a:noFill/>
        </a:ln>
        <a:effectLst/>
      </c:spPr>
    </c:plotArea>
    <c:legend>
      <c:legendPos val="r"/>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Entry>
      <c:layout>
        <c:manualLayout>
          <c:xMode val="edge"/>
          <c:yMode val="edge"/>
          <c:x val="0.14831526837048412"/>
          <c:y val="1.4345328544458259E-2"/>
          <c:w val="0.58298875267423589"/>
          <c:h val="9.4116360454943135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1"/>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DFF4-42F5-A363-03459522A7C2}"/>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DFF4-42F5-A363-03459522A7C2}"/>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DFF4-42F5-A363-03459522A7C2}"/>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DFF4-42F5-A363-03459522A7C2}"/>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DFF4-42F5-A363-03459522A7C2}"/>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B-DFF4-42F5-A363-03459522A7C2}"/>
              </c:ext>
            </c:extLst>
          </c:dPt>
          <c:dPt>
            <c:idx val="6"/>
            <c:bubble3D val="0"/>
            <c:spPr>
              <a:solidFill>
                <a:schemeClr val="accent1">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D-DFF4-42F5-A363-03459522A7C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extLst>
          </c:dLbls>
          <c:cat>
            <c:numRef>
              <c:f>Sheet1!$A$78:$A$84</c:f>
              <c:numCache>
                <c:formatCode>General</c:formatCode>
                <c:ptCount val="7"/>
                <c:pt idx="0">
                  <c:v>2017</c:v>
                </c:pt>
                <c:pt idx="1">
                  <c:v>2018</c:v>
                </c:pt>
                <c:pt idx="2">
                  <c:v>2019</c:v>
                </c:pt>
                <c:pt idx="3">
                  <c:v>2020</c:v>
                </c:pt>
                <c:pt idx="4">
                  <c:v>2021</c:v>
                </c:pt>
                <c:pt idx="5">
                  <c:v>2022</c:v>
                </c:pt>
                <c:pt idx="6">
                  <c:v>2023</c:v>
                </c:pt>
              </c:numCache>
            </c:numRef>
          </c:cat>
          <c:val>
            <c:numRef>
              <c:f>Sheet1!$B$78:$B$84</c:f>
              <c:numCache>
                <c:formatCode>0.00</c:formatCode>
                <c:ptCount val="7"/>
                <c:pt idx="0">
                  <c:v>5.83</c:v>
                </c:pt>
                <c:pt idx="1">
                  <c:v>6.3</c:v>
                </c:pt>
                <c:pt idx="2">
                  <c:v>6</c:v>
                </c:pt>
                <c:pt idx="3">
                  <c:v>5.65</c:v>
                </c:pt>
                <c:pt idx="4">
                  <c:v>5.22</c:v>
                </c:pt>
                <c:pt idx="5">
                  <c:v>5.16</c:v>
                </c:pt>
                <c:pt idx="6">
                  <c:v>5.8</c:v>
                </c:pt>
              </c:numCache>
            </c:numRef>
          </c:val>
          <c:extLst>
            <c:ext xmlns:c16="http://schemas.microsoft.com/office/drawing/2014/chart" uri="{C3380CC4-5D6E-409C-BE32-E72D297353CC}">
              <c16:uniqueId val="{0000000E-DFF4-42F5-A363-03459522A7C2}"/>
            </c:ext>
          </c:extLst>
        </c:ser>
        <c:dLbls>
          <c:dLblPos val="inEnd"/>
          <c:showLegendKey val="0"/>
          <c:showVal val="0"/>
          <c:showCatName val="0"/>
          <c:showSerName val="0"/>
          <c:showPercent val="1"/>
          <c:showBubbleSize val="0"/>
          <c:showLeaderLines val="0"/>
        </c:dLbls>
        <c:firstSliceAng val="0"/>
        <c:extLst>
          <c:ext xmlns:c15="http://schemas.microsoft.com/office/drawing/2012/chart" uri="{02D57815-91ED-43cb-92C2-25804820EDAC}">
            <c15:filteredPieSeries>
              <c15: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DFF4-42F5-A363-03459522A7C2}"/>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DFF4-42F5-A363-03459522A7C2}"/>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DFF4-42F5-A363-03459522A7C2}"/>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6-DFF4-42F5-A363-03459522A7C2}"/>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8-DFF4-42F5-A363-03459522A7C2}"/>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A-DFF4-42F5-A363-03459522A7C2}"/>
                    </c:ext>
                  </c:extLst>
                </c:dPt>
                <c:dPt>
                  <c:idx val="6"/>
                  <c:bubble3D val="0"/>
                  <c:spPr>
                    <a:solidFill>
                      <a:schemeClr val="accent1">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C-DFF4-42F5-A363-03459522A7C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uri="{CE6537A1-D6FC-4f65-9D91-7224C49458BB}"/>
                  </c:extLst>
                </c:dLbls>
                <c:cat>
                  <c:numRef>
                    <c:extLst>
                      <c:ext uri="{02D57815-91ED-43cb-92C2-25804820EDAC}">
                        <c15:formulaRef>
                          <c15:sqref>Sheet1!$A$78:$A$84</c15:sqref>
                        </c15:formulaRef>
                      </c:ext>
                    </c:extLst>
                    <c:numCache>
                      <c:formatCode>General</c:formatCode>
                      <c:ptCount val="7"/>
                      <c:pt idx="0">
                        <c:v>2017</c:v>
                      </c:pt>
                      <c:pt idx="1">
                        <c:v>2018</c:v>
                      </c:pt>
                      <c:pt idx="2">
                        <c:v>2019</c:v>
                      </c:pt>
                      <c:pt idx="3">
                        <c:v>2020</c:v>
                      </c:pt>
                      <c:pt idx="4">
                        <c:v>2021</c:v>
                      </c:pt>
                      <c:pt idx="5">
                        <c:v>2022</c:v>
                      </c:pt>
                      <c:pt idx="6">
                        <c:v>2023</c:v>
                      </c:pt>
                    </c:numCache>
                  </c:numRef>
                </c:cat>
                <c:val>
                  <c:numRef>
                    <c:extLst>
                      <c:ext uri="{02D57815-91ED-43cb-92C2-25804820EDAC}">
                        <c15:formulaRef>
                          <c15:sqref>Sheet1!$A$78:$A$84</c15:sqref>
                        </c15:formulaRef>
                      </c:ext>
                    </c:extLst>
                    <c:numCache>
                      <c:formatCode>General</c:formatCode>
                      <c:ptCount val="7"/>
                      <c:pt idx="0">
                        <c:v>2017</c:v>
                      </c:pt>
                      <c:pt idx="1">
                        <c:v>2018</c:v>
                      </c:pt>
                      <c:pt idx="2">
                        <c:v>2019</c:v>
                      </c:pt>
                      <c:pt idx="3">
                        <c:v>2020</c:v>
                      </c:pt>
                      <c:pt idx="4">
                        <c:v>2021</c:v>
                      </c:pt>
                      <c:pt idx="5">
                        <c:v>2022</c:v>
                      </c:pt>
                      <c:pt idx="6">
                        <c:v>2023</c:v>
                      </c:pt>
                    </c:numCache>
                  </c:numRef>
                </c:val>
                <c:extLst>
                  <c:ext xmlns:c16="http://schemas.microsoft.com/office/drawing/2014/chart" uri="{C3380CC4-5D6E-409C-BE32-E72D297353CC}">
                    <c16:uniqueId val="{0000001D-DFF4-42F5-A363-03459522A7C2}"/>
                  </c:ext>
                </c:extLst>
              </c15:ser>
            </c15:filteredPieSeries>
          </c:ext>
        </c:extLst>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extLst>
              <c:ext xmlns:c16="http://schemas.microsoft.com/office/drawing/2014/chart" uri="{C3380CC4-5D6E-409C-BE32-E72D297353CC}">
                <c16:uniqueId val="{00000001-746C-49C9-9673-7652BAB82E29}"/>
              </c:ext>
            </c:extLst>
          </c:dPt>
          <c:cat>
            <c:strRef>
              <c:f>Sheet1!$B$28:$C$28</c:f>
              <c:strCache>
                <c:ptCount val="2"/>
                <c:pt idx="0">
                  <c:v>2007-2016</c:v>
                </c:pt>
                <c:pt idx="1">
                  <c:v>2017-2023</c:v>
                </c:pt>
              </c:strCache>
            </c:strRef>
          </c:cat>
          <c:val>
            <c:numRef>
              <c:f>Sheet1!$B$29:$C$29</c:f>
              <c:numCache>
                <c:formatCode>General</c:formatCode>
                <c:ptCount val="2"/>
                <c:pt idx="0">
                  <c:v>39.5</c:v>
                </c:pt>
                <c:pt idx="1">
                  <c:v>58.2</c:v>
                </c:pt>
              </c:numCache>
            </c:numRef>
          </c:val>
          <c:extLst>
            <c:ext xmlns:c16="http://schemas.microsoft.com/office/drawing/2014/chart" uri="{C3380CC4-5D6E-409C-BE32-E72D297353CC}">
              <c16:uniqueId val="{00000002-746C-49C9-9673-7652BAB82E29}"/>
            </c:ext>
          </c:extLst>
        </c:ser>
        <c:dLbls>
          <c:showLegendKey val="0"/>
          <c:showVal val="0"/>
          <c:showCatName val="0"/>
          <c:showSerName val="0"/>
          <c:showPercent val="0"/>
          <c:showBubbleSize val="0"/>
        </c:dLbls>
        <c:gapWidth val="219"/>
        <c:overlap val="-27"/>
        <c:axId val="1209990032"/>
        <c:axId val="1210000112"/>
      </c:barChart>
      <c:catAx>
        <c:axId val="1209990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sz="1000" b="0" i="1" u="none" strike="noStrike" kern="1200" baseline="0">
                    <a:solidFill>
                      <a:sysClr val="windowText" lastClr="000000">
                        <a:lumMod val="65000"/>
                        <a:lumOff val="35000"/>
                      </a:sysClr>
                    </a:solidFill>
                    <a:latin typeface="Cambria" panose="02040503050406030204" pitchFamily="18" charset="0"/>
                    <a:ea typeface="Cambria" panose="02040503050406030204" pitchFamily="18" charset="0"/>
                  </a:rPr>
                  <a:t>period</a:t>
                </a:r>
                <a:endParaRPr lang="en-US" sz="1000" b="0" i="1" u="none" strike="noStrike" kern="1200" baseline="0">
                  <a:solidFill>
                    <a:sysClr val="windowText" lastClr="000000">
                      <a:lumMod val="65000"/>
                      <a:lumOff val="35000"/>
                    </a:sysClr>
                  </a:solidFill>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1210000112"/>
        <c:crosses val="autoZero"/>
        <c:auto val="1"/>
        <c:lblAlgn val="ctr"/>
        <c:lblOffset val="100"/>
        <c:noMultiLvlLbl val="0"/>
      </c:catAx>
      <c:valAx>
        <c:axId val="1210000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sz="1000" b="0" i="1" u="none" strike="noStrike" kern="1200" baseline="0">
                    <a:solidFill>
                      <a:sysClr val="windowText" lastClr="000000">
                        <a:lumMod val="65000"/>
                        <a:lumOff val="35000"/>
                      </a:sysClr>
                    </a:solidFill>
                    <a:latin typeface="Cambria" panose="02040503050406030204" pitchFamily="18" charset="0"/>
                    <a:ea typeface="Cambria" panose="02040503050406030204" pitchFamily="18" charset="0"/>
                  </a:rPr>
                  <a:t>tone/tons</a:t>
                </a:r>
                <a:endParaRPr lang="en-US" sz="1000" b="0" i="1" u="none" strike="noStrike" kern="1200" baseline="0">
                  <a:solidFill>
                    <a:sysClr val="windowText" lastClr="000000">
                      <a:lumMod val="65000"/>
                      <a:lumOff val="35000"/>
                    </a:sysClr>
                  </a:solidFill>
                  <a:latin typeface="Cambria" panose="02040503050406030204" pitchFamily="18" charset="0"/>
                  <a:ea typeface="Cambria" panose="020405030504060302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12099900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extLst>
              <c:ext xmlns:c16="http://schemas.microsoft.com/office/drawing/2014/chart" uri="{C3380CC4-5D6E-409C-BE32-E72D297353CC}">
                <c16:uniqueId val="{00000001-EF8D-4789-85F8-3777848B7D1E}"/>
              </c:ext>
            </c:extLst>
          </c:dPt>
          <c:cat>
            <c:strRef>
              <c:f>Sheet1!$B$28:$C$28</c:f>
              <c:strCache>
                <c:ptCount val="2"/>
                <c:pt idx="0">
                  <c:v>2007-2016</c:v>
                </c:pt>
                <c:pt idx="1">
                  <c:v>2017-2023</c:v>
                </c:pt>
              </c:strCache>
            </c:strRef>
          </c:cat>
          <c:val>
            <c:numRef>
              <c:f>Sheet1!$B$30:$C$30</c:f>
              <c:numCache>
                <c:formatCode>#,##0</c:formatCode>
                <c:ptCount val="2"/>
                <c:pt idx="0">
                  <c:v>1882</c:v>
                </c:pt>
                <c:pt idx="1">
                  <c:v>3454</c:v>
                </c:pt>
              </c:numCache>
            </c:numRef>
          </c:val>
          <c:extLst>
            <c:ext xmlns:c16="http://schemas.microsoft.com/office/drawing/2014/chart" uri="{C3380CC4-5D6E-409C-BE32-E72D297353CC}">
              <c16:uniqueId val="{00000002-EF8D-4789-85F8-3777848B7D1E}"/>
            </c:ext>
          </c:extLst>
        </c:ser>
        <c:dLbls>
          <c:showLegendKey val="0"/>
          <c:showVal val="0"/>
          <c:showCatName val="0"/>
          <c:showSerName val="0"/>
          <c:showPercent val="0"/>
          <c:showBubbleSize val="0"/>
        </c:dLbls>
        <c:gapWidth val="219"/>
        <c:overlap val="-27"/>
        <c:axId val="1209990032"/>
        <c:axId val="1210000112"/>
      </c:barChart>
      <c:catAx>
        <c:axId val="1209990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sz="1000" b="0" i="1" u="none" strike="noStrike" kern="1200" baseline="0">
                    <a:solidFill>
                      <a:sysClr val="windowText" lastClr="000000">
                        <a:lumMod val="65000"/>
                        <a:lumOff val="35000"/>
                      </a:sysClr>
                    </a:solidFill>
                    <a:latin typeface="Cambria" panose="02040503050406030204" pitchFamily="18" charset="0"/>
                    <a:ea typeface="Cambria" panose="02040503050406030204" pitchFamily="18" charset="0"/>
                  </a:rPr>
                  <a:t>period</a:t>
                </a:r>
                <a:endParaRPr lang="en-US" sz="1000" b="0" i="1" u="none" strike="noStrike" kern="1200" baseline="0">
                  <a:solidFill>
                    <a:sysClr val="windowText" lastClr="000000">
                      <a:lumMod val="65000"/>
                      <a:lumOff val="35000"/>
                    </a:sysClr>
                  </a:solidFill>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1210000112"/>
        <c:crosses val="autoZero"/>
        <c:auto val="1"/>
        <c:lblAlgn val="ctr"/>
        <c:lblOffset val="100"/>
        <c:noMultiLvlLbl val="0"/>
      </c:catAx>
      <c:valAx>
        <c:axId val="1210000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sz="1000" b="0" i="1" u="none" strike="noStrike" kern="1200" baseline="0">
                    <a:solidFill>
                      <a:sysClr val="windowText" lastClr="000000">
                        <a:lumMod val="65000"/>
                        <a:lumOff val="35000"/>
                      </a:sysClr>
                    </a:solidFill>
                    <a:latin typeface="Cambria" panose="02040503050406030204" pitchFamily="18" charset="0"/>
                    <a:ea typeface="Cambria" panose="02040503050406030204" pitchFamily="18" charset="0"/>
                  </a:rPr>
                  <a:t>tone/tons</a:t>
                </a:r>
                <a:endParaRPr lang="en-US" sz="1000" b="0" i="1" u="none" strike="noStrike" kern="1200" baseline="0">
                  <a:solidFill>
                    <a:sysClr val="windowText" lastClr="000000">
                      <a:lumMod val="65000"/>
                      <a:lumOff val="35000"/>
                    </a:sysClr>
                  </a:solidFill>
                  <a:latin typeface="Cambria" panose="02040503050406030204" pitchFamily="18" charset="0"/>
                  <a:ea typeface="Cambria" panose="020405030504060302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12099900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extLst>
              <c:ext xmlns:c16="http://schemas.microsoft.com/office/drawing/2014/chart" uri="{C3380CC4-5D6E-409C-BE32-E72D297353CC}">
                <c16:uniqueId val="{00000001-D37E-4CD9-A826-130FD89D99A0}"/>
              </c:ext>
            </c:extLst>
          </c:dPt>
          <c:cat>
            <c:strRef>
              <c:f>Sheet1!$B$28:$C$28</c:f>
              <c:strCache>
                <c:ptCount val="2"/>
                <c:pt idx="0">
                  <c:v>2007-2016</c:v>
                </c:pt>
                <c:pt idx="1">
                  <c:v>2017-2023</c:v>
                </c:pt>
              </c:strCache>
            </c:strRef>
          </c:cat>
          <c:val>
            <c:numRef>
              <c:f>Sheet1!$B$31:$C$31</c:f>
              <c:numCache>
                <c:formatCode>General</c:formatCode>
                <c:ptCount val="2"/>
                <c:pt idx="0">
                  <c:v>3.12</c:v>
                </c:pt>
                <c:pt idx="1">
                  <c:v>5.71</c:v>
                </c:pt>
              </c:numCache>
            </c:numRef>
          </c:val>
          <c:extLst>
            <c:ext xmlns:c16="http://schemas.microsoft.com/office/drawing/2014/chart" uri="{C3380CC4-5D6E-409C-BE32-E72D297353CC}">
              <c16:uniqueId val="{00000002-D37E-4CD9-A826-130FD89D99A0}"/>
            </c:ext>
          </c:extLst>
        </c:ser>
        <c:dLbls>
          <c:showLegendKey val="0"/>
          <c:showVal val="0"/>
          <c:showCatName val="0"/>
          <c:showSerName val="0"/>
          <c:showPercent val="0"/>
          <c:showBubbleSize val="0"/>
        </c:dLbls>
        <c:gapWidth val="219"/>
        <c:overlap val="-27"/>
        <c:axId val="1209990032"/>
        <c:axId val="1210000112"/>
      </c:barChart>
      <c:catAx>
        <c:axId val="1209990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i="1">
                    <a:latin typeface="Cambria" panose="02040503050406030204" pitchFamily="18" charset="0"/>
                    <a:ea typeface="Cambria" panose="02040503050406030204" pitchFamily="18" charset="0"/>
                  </a:rPr>
                  <a:t>period</a:t>
                </a:r>
                <a:endParaRPr lang="en-US" i="1">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1210000112"/>
        <c:crosses val="autoZero"/>
        <c:auto val="1"/>
        <c:lblAlgn val="ctr"/>
        <c:lblOffset val="100"/>
        <c:noMultiLvlLbl val="0"/>
      </c:catAx>
      <c:valAx>
        <c:axId val="1210000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i="1">
                    <a:latin typeface="Cambria" panose="02040503050406030204" pitchFamily="18" charset="0"/>
                    <a:ea typeface="Cambria" panose="02040503050406030204" pitchFamily="18" charset="0"/>
                  </a:rPr>
                  <a:t>tone/tons</a:t>
                </a:r>
                <a:endParaRPr lang="en-US" i="1">
                  <a:latin typeface="Cambria" panose="02040503050406030204" pitchFamily="18" charset="0"/>
                  <a:ea typeface="Cambria" panose="020405030504060302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12099900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04300000000001"/>
          <c:y val="0.25549100000000002"/>
          <c:w val="0.84395699999999996"/>
          <c:h val="0.66487700000000005"/>
        </c:manualLayout>
      </c:layout>
      <c:barChart>
        <c:barDir val="col"/>
        <c:grouping val="clustered"/>
        <c:varyColors val="0"/>
        <c:ser>
          <c:idx val="0"/>
          <c:order val="0"/>
          <c:tx>
            <c:strRef>
              <c:f>Sheet1!$A$2</c:f>
              <c:strCache>
                <c:ptCount val="1"/>
                <c:pt idx="0">
                  <c:v>HBCD iz građevinskog otpada/HBCD from construction waste</c:v>
                </c:pt>
              </c:strCache>
            </c:strRef>
          </c:tx>
          <c:spPr>
            <a:solidFill>
              <a:schemeClr val="accent1"/>
            </a:solidFill>
            <a:ln w="12700" cap="flat">
              <a:noFill/>
              <a:miter lim="400000"/>
            </a:ln>
            <a:effectLst/>
          </c:spPr>
          <c:invertIfNegative val="0"/>
          <c:cat>
            <c:strRef>
              <c:f>Sheet1!$B$1:$N$1</c:f>
              <c:strCach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strCache>
            </c:strRef>
          </c:cat>
          <c:val>
            <c:numRef>
              <c:f>Sheet1!$B$2:$N$2</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val>
          <c:extLst>
            <c:ext xmlns:c16="http://schemas.microsoft.com/office/drawing/2014/chart" uri="{C3380CC4-5D6E-409C-BE32-E72D297353CC}">
              <c16:uniqueId val="{00000000-4DFE-4817-BED8-ABA70BC029AA}"/>
            </c:ext>
          </c:extLst>
        </c:ser>
        <c:ser>
          <c:idx val="1"/>
          <c:order val="1"/>
          <c:tx>
            <c:strRef>
              <c:f>Sheet1!$A$3</c:f>
              <c:strCache>
                <c:ptCount val="1"/>
                <c:pt idx="0">
                  <c:v>Količina građevinskog otpada/Quantity of construction waste</c:v>
                </c:pt>
              </c:strCache>
            </c:strRef>
          </c:tx>
          <c:spPr>
            <a:solidFill>
              <a:schemeClr val="accent2"/>
            </a:solidFill>
            <a:ln w="12700" cap="flat">
              <a:noFill/>
              <a:miter lim="400000"/>
            </a:ln>
            <a:effectLst/>
          </c:spPr>
          <c:invertIfNegative val="0"/>
          <c:cat>
            <c:strRef>
              <c:f>Sheet1!$B$1:$N$1</c:f>
              <c:strCach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strCache>
            </c:strRef>
          </c:cat>
          <c:val>
            <c:numRef>
              <c:f>Sheet1!$B$3:$N$3</c:f>
              <c:numCache>
                <c:formatCode>General</c:formatCode>
                <c:ptCount val="13"/>
                <c:pt idx="0">
                  <c:v>95762.2</c:v>
                </c:pt>
                <c:pt idx="1">
                  <c:v>106069.3</c:v>
                </c:pt>
                <c:pt idx="2">
                  <c:v>122577</c:v>
                </c:pt>
                <c:pt idx="3">
                  <c:v>115371</c:v>
                </c:pt>
                <c:pt idx="4">
                  <c:v>108024.8</c:v>
                </c:pt>
                <c:pt idx="5">
                  <c:v>146258.70000000001</c:v>
                </c:pt>
                <c:pt idx="6">
                  <c:v>156221.5</c:v>
                </c:pt>
                <c:pt idx="7">
                  <c:v>160238.70000000001</c:v>
                </c:pt>
                <c:pt idx="8">
                  <c:v>197191</c:v>
                </c:pt>
                <c:pt idx="9">
                  <c:v>250466.8</c:v>
                </c:pt>
                <c:pt idx="10">
                  <c:v>456843.5</c:v>
                </c:pt>
                <c:pt idx="11">
                  <c:v>418124</c:v>
                </c:pt>
                <c:pt idx="12">
                  <c:v>220786.5</c:v>
                </c:pt>
              </c:numCache>
            </c:numRef>
          </c:val>
          <c:extLst>
            <c:ext xmlns:c16="http://schemas.microsoft.com/office/drawing/2014/chart" uri="{C3380CC4-5D6E-409C-BE32-E72D297353CC}">
              <c16:uniqueId val="{00000001-4DFE-4817-BED8-ABA70BC029AA}"/>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mbria"/>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title>
          <c:tx>
            <c:rich>
              <a:bodyPr rot="-5400000"/>
              <a:lstStyle/>
              <a:p>
                <a:pPr>
                  <a:defRPr sz="1000" b="0" i="0" u="none" strike="noStrike">
                    <a:solidFill>
                      <a:srgbClr val="595959"/>
                    </a:solidFill>
                    <a:latin typeface="Cambria"/>
                  </a:defRPr>
                </a:pPr>
                <a:r>
                  <a:rPr lang="en-US" sz="1000" b="0" i="0" u="none" strike="noStrike">
                    <a:solidFill>
                      <a:srgbClr val="595959"/>
                    </a:solidFill>
                    <a:latin typeface="Cambria"/>
                  </a:rPr>
                  <a:t>tone/tons</a:t>
                </a:r>
              </a:p>
            </c:rich>
          </c:tx>
          <c:overlay val="1"/>
        </c:title>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mbria"/>
              </a:defRPr>
            </a:pPr>
            <a:endParaRPr lang="en-US"/>
          </a:p>
        </c:txPr>
        <c:crossAx val="2094734552"/>
        <c:crosses val="autoZero"/>
        <c:crossBetween val="between"/>
        <c:majorUnit val="125000"/>
        <c:minorUnit val="62500"/>
      </c:valAx>
      <c:spPr>
        <a:noFill/>
        <a:ln w="12700" cap="flat">
          <a:noFill/>
          <a:miter lim="400000"/>
        </a:ln>
        <a:effectLst/>
      </c:spPr>
    </c:plotArea>
    <c:legend>
      <c:legendPos val="t"/>
      <c:layout>
        <c:manualLayout>
          <c:xMode val="edge"/>
          <c:yMode val="edge"/>
          <c:x val="0.17852899999999999"/>
          <c:y val="0"/>
          <c:w val="0.67186100000000004"/>
          <c:h val="0.124955"/>
        </c:manualLayout>
      </c:layout>
      <c:overlay val="1"/>
      <c:spPr>
        <a:noFill/>
        <a:ln w="12700" cap="flat">
          <a:noFill/>
          <a:miter lim="400000"/>
        </a:ln>
        <a:effectLst/>
      </c:spPr>
      <c:txPr>
        <a:bodyPr rot="0"/>
        <a:lstStyle/>
        <a:p>
          <a:pPr>
            <a:defRPr sz="900" b="0" i="0" u="none" strike="noStrike">
              <a:solidFill>
                <a:srgbClr val="595959"/>
              </a:solidFill>
              <a:latin typeface="Cambria"/>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07799999999999"/>
          <c:y val="0.17876900000000001"/>
          <c:w val="0.84192199999999995"/>
          <c:h val="0.73804099999999995"/>
        </c:manualLayout>
      </c:layout>
      <c:barChart>
        <c:barDir val="col"/>
        <c:grouping val="clustered"/>
        <c:varyColors val="0"/>
        <c:ser>
          <c:idx val="0"/>
          <c:order val="0"/>
          <c:tx>
            <c:strRef>
              <c:f>Sheet1!$A$2</c:f>
              <c:strCache>
                <c:ptCount val="1"/>
                <c:pt idx="0">
                  <c:v>Količina građevinskog otpada/Quantity of construction waste</c:v>
                </c:pt>
              </c:strCache>
            </c:strRef>
          </c:tx>
          <c:spPr>
            <a:solidFill>
              <a:schemeClr val="accent2"/>
            </a:solidFill>
            <a:ln w="12700" cap="flat">
              <a:noFill/>
              <a:miter lim="400000"/>
            </a:ln>
            <a:effectLst/>
          </c:spPr>
          <c:invertIfNegative val="0"/>
          <c:cat>
            <c:strRef>
              <c:f>Sheet1!$B$1:$N$1</c:f>
              <c:strCach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strCache>
            </c:strRef>
          </c:cat>
          <c:val>
            <c:numRef>
              <c:f>Sheet1!$B$2:$N$2</c:f>
              <c:numCache>
                <c:formatCode>General</c:formatCode>
                <c:ptCount val="13"/>
                <c:pt idx="0">
                  <c:v>95762.2</c:v>
                </c:pt>
                <c:pt idx="1">
                  <c:v>106069.3</c:v>
                </c:pt>
                <c:pt idx="2">
                  <c:v>122577</c:v>
                </c:pt>
                <c:pt idx="3">
                  <c:v>115371</c:v>
                </c:pt>
                <c:pt idx="4">
                  <c:v>108024.8</c:v>
                </c:pt>
                <c:pt idx="5">
                  <c:v>146258.70000000001</c:v>
                </c:pt>
                <c:pt idx="6">
                  <c:v>156221.5</c:v>
                </c:pt>
                <c:pt idx="7">
                  <c:v>160238.70000000001</c:v>
                </c:pt>
                <c:pt idx="8">
                  <c:v>197191</c:v>
                </c:pt>
                <c:pt idx="9">
                  <c:v>250466.8</c:v>
                </c:pt>
                <c:pt idx="10">
                  <c:v>456843.5</c:v>
                </c:pt>
                <c:pt idx="11">
                  <c:v>418124</c:v>
                </c:pt>
                <c:pt idx="12">
                  <c:v>220786.5</c:v>
                </c:pt>
              </c:numCache>
            </c:numRef>
          </c:val>
          <c:extLst>
            <c:ext xmlns:c16="http://schemas.microsoft.com/office/drawing/2014/chart" uri="{C3380CC4-5D6E-409C-BE32-E72D297353CC}">
              <c16:uniqueId val="{00000000-70BA-4287-A8DD-A4C22B942A61}"/>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mbria"/>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title>
          <c:tx>
            <c:rich>
              <a:bodyPr rot="-5400000"/>
              <a:lstStyle/>
              <a:p>
                <a:pPr>
                  <a:defRPr sz="1000" b="0" i="0" u="none" strike="noStrike">
                    <a:solidFill>
                      <a:srgbClr val="595959"/>
                    </a:solidFill>
                    <a:latin typeface="Cambria"/>
                  </a:defRPr>
                </a:pPr>
                <a:r>
                  <a:rPr lang="en-US" sz="1000" b="0" i="0" u="none" strike="noStrike">
                    <a:solidFill>
                      <a:srgbClr val="595959"/>
                    </a:solidFill>
                    <a:latin typeface="Cambria"/>
                  </a:rPr>
                  <a:t>tone/tons</a:t>
                </a:r>
              </a:p>
            </c:rich>
          </c:tx>
          <c:overlay val="1"/>
        </c:title>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mbria"/>
              </a:defRPr>
            </a:pPr>
            <a:endParaRPr lang="en-US"/>
          </a:p>
        </c:txPr>
        <c:crossAx val="2094734552"/>
        <c:crosses val="autoZero"/>
        <c:crossBetween val="between"/>
        <c:majorUnit val="125000"/>
        <c:minorUnit val="62500"/>
      </c:valAx>
      <c:spPr>
        <a:noFill/>
        <a:ln w="12700" cap="flat">
          <a:noFill/>
          <a:miter lim="400000"/>
        </a:ln>
        <a:effectLst/>
      </c:spPr>
    </c:plotArea>
    <c:legend>
      <c:legendPos val="t"/>
      <c:layout>
        <c:manualLayout>
          <c:xMode val="edge"/>
          <c:yMode val="edge"/>
          <c:x val="0.17943700000000001"/>
          <c:y val="0"/>
          <c:w val="0.65866599999999997"/>
          <c:h val="7.7626100000000003E-2"/>
        </c:manualLayout>
      </c:layout>
      <c:overlay val="1"/>
      <c:spPr>
        <a:noFill/>
        <a:ln w="12700" cap="flat">
          <a:noFill/>
          <a:miter lim="400000"/>
        </a:ln>
        <a:effectLst/>
      </c:spPr>
      <c:txPr>
        <a:bodyPr rot="0"/>
        <a:lstStyle/>
        <a:p>
          <a:pPr>
            <a:defRPr sz="900" b="0" i="0" u="none" strike="noStrike">
              <a:solidFill>
                <a:srgbClr val="595959"/>
              </a:solidFill>
              <a:latin typeface="Cambria"/>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HBCD iz građevinskog otpada/HBCD from construction waste</c:v>
          </c:tx>
          <c:spPr>
            <a:solidFill>
              <a:schemeClr val="accent1"/>
            </a:solidFill>
            <a:ln>
              <a:noFill/>
            </a:ln>
            <a:effectLst/>
          </c:spPr>
          <c:invertIfNegative val="0"/>
          <c:cat>
            <c:numRef>
              <c:f>Sheet3!$C$33:$O$33</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Sheet3!$C$39:$O$39</c:f>
              <c:numCache>
                <c:formatCode>General</c:formatCode>
                <c:ptCount val="13"/>
                <c:pt idx="0">
                  <c:v>1.1970274999999999</c:v>
                </c:pt>
                <c:pt idx="1">
                  <c:v>1.32586625</c:v>
                </c:pt>
                <c:pt idx="2">
                  <c:v>1.5322125</c:v>
                </c:pt>
                <c:pt idx="3">
                  <c:v>1.4421375000000001</c:v>
                </c:pt>
                <c:pt idx="4">
                  <c:v>1.3503100000000001</c:v>
                </c:pt>
                <c:pt idx="5">
                  <c:v>1.8282337500000003</c:v>
                </c:pt>
                <c:pt idx="6">
                  <c:v>1.9527687500000004</c:v>
                </c:pt>
                <c:pt idx="7">
                  <c:v>2.0029837499999998</c:v>
                </c:pt>
                <c:pt idx="8">
                  <c:v>2.4648874999999997</c:v>
                </c:pt>
                <c:pt idx="9">
                  <c:v>3.1308350000000003</c:v>
                </c:pt>
                <c:pt idx="10">
                  <c:v>5.7105437500000011</c:v>
                </c:pt>
                <c:pt idx="11">
                  <c:v>5.2265500000000005</c:v>
                </c:pt>
                <c:pt idx="12">
                  <c:v>2.7598312500000004</c:v>
                </c:pt>
              </c:numCache>
            </c:numRef>
          </c:val>
          <c:extLst>
            <c:ext xmlns:c16="http://schemas.microsoft.com/office/drawing/2014/chart" uri="{C3380CC4-5D6E-409C-BE32-E72D297353CC}">
              <c16:uniqueId val="{00000000-817E-40F7-80B3-A008CB099D11}"/>
            </c:ext>
          </c:extLst>
        </c:ser>
        <c:dLbls>
          <c:showLegendKey val="0"/>
          <c:showVal val="0"/>
          <c:showCatName val="0"/>
          <c:showSerName val="0"/>
          <c:showPercent val="0"/>
          <c:showBubbleSize val="0"/>
        </c:dLbls>
        <c:gapWidth val="219"/>
        <c:overlap val="-27"/>
        <c:axId val="1578851872"/>
        <c:axId val="2076062704"/>
      </c:barChart>
      <c:catAx>
        <c:axId val="1578851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6062704"/>
        <c:crosses val="autoZero"/>
        <c:auto val="1"/>
        <c:lblAlgn val="ctr"/>
        <c:lblOffset val="100"/>
        <c:noMultiLvlLbl val="0"/>
      </c:catAx>
      <c:valAx>
        <c:axId val="2076062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RS"/>
                  <a:t>tone/tons</a:t>
                </a:r>
                <a:endParaRPr lang="en-US"/>
              </a:p>
            </c:rich>
          </c:tx>
          <c:layout>
            <c:manualLayout>
              <c:xMode val="edge"/>
              <c:yMode val="edge"/>
              <c:x val="1.1111111111111112E-2"/>
              <c:y val="0.3754206765820938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8851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extLst>
              <c:ext xmlns:c16="http://schemas.microsoft.com/office/drawing/2014/chart" uri="{C3380CC4-5D6E-409C-BE32-E72D297353CC}">
                <c16:uniqueId val="{00000001-ED3B-48D4-BE97-CB404EF9BE8D}"/>
              </c:ext>
            </c:extLst>
          </c:dPt>
          <c:cat>
            <c:strRef>
              <c:f>Sheet1!$B$28:$C$28</c:f>
              <c:strCache>
                <c:ptCount val="2"/>
                <c:pt idx="0">
                  <c:v>2009-2016</c:v>
                </c:pt>
                <c:pt idx="1">
                  <c:v>2017-2023</c:v>
                </c:pt>
              </c:strCache>
            </c:strRef>
          </c:cat>
          <c:val>
            <c:numRef>
              <c:f>Sheet1!$B$31:$C$31</c:f>
              <c:numCache>
                <c:formatCode>General</c:formatCode>
                <c:ptCount val="2"/>
                <c:pt idx="0">
                  <c:v>3.12</c:v>
                </c:pt>
                <c:pt idx="1">
                  <c:v>5.71</c:v>
                </c:pt>
              </c:numCache>
            </c:numRef>
          </c:val>
          <c:extLst>
            <c:ext xmlns:c16="http://schemas.microsoft.com/office/drawing/2014/chart" uri="{C3380CC4-5D6E-409C-BE32-E72D297353CC}">
              <c16:uniqueId val="{00000002-ED3B-48D4-BE97-CB404EF9BE8D}"/>
            </c:ext>
          </c:extLst>
        </c:ser>
        <c:dLbls>
          <c:showLegendKey val="0"/>
          <c:showVal val="0"/>
          <c:showCatName val="0"/>
          <c:showSerName val="0"/>
          <c:showPercent val="0"/>
          <c:showBubbleSize val="0"/>
        </c:dLbls>
        <c:gapWidth val="219"/>
        <c:overlap val="-27"/>
        <c:axId val="1209990032"/>
        <c:axId val="1210000112"/>
      </c:barChart>
      <c:catAx>
        <c:axId val="1209990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RS">
                    <a:latin typeface="Cambria" panose="02040503050406030204" pitchFamily="18" charset="0"/>
                    <a:ea typeface="Cambria" panose="02040503050406030204" pitchFamily="18" charset="0"/>
                  </a:rPr>
                  <a:t>period</a:t>
                </a:r>
                <a:endParaRPr lang="en-US">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1210000112"/>
        <c:crosses val="autoZero"/>
        <c:auto val="1"/>
        <c:lblAlgn val="ctr"/>
        <c:lblOffset val="100"/>
        <c:noMultiLvlLbl val="0"/>
      </c:catAx>
      <c:valAx>
        <c:axId val="1210000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RS">
                    <a:latin typeface="Cambria" panose="02040503050406030204" pitchFamily="18" charset="0"/>
                    <a:ea typeface="Cambria" panose="02040503050406030204" pitchFamily="18" charset="0"/>
                  </a:rPr>
                  <a:t>tone/tones</a:t>
                </a:r>
                <a:endParaRPr lang="en-US">
                  <a:latin typeface="Cambria" panose="02040503050406030204" pitchFamily="18" charset="0"/>
                  <a:ea typeface="Cambria" panose="020405030504060302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12099900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PFOS (</a:t>
            </a:r>
            <a:r>
              <a:rPr lang="sr-Latn-ME"/>
              <a:t>t</a:t>
            </a:r>
            <a:r>
              <a:rPr lang="en-GB"/>
              <a:t>)</a:t>
            </a:r>
          </a:p>
        </c:rich>
      </c:tx>
      <c:overlay val="0"/>
      <c:spPr>
        <a:noFill/>
        <a:ln w="25400">
          <a:noFill/>
        </a:ln>
      </c:spPr>
    </c:title>
    <c:autoTitleDeleted val="0"/>
    <c:plotArea>
      <c:layout/>
      <c:barChart>
        <c:barDir val="col"/>
        <c:grouping val="clustered"/>
        <c:varyColors val="0"/>
        <c:ser>
          <c:idx val="0"/>
          <c:order val="0"/>
          <c:tx>
            <c:strRef>
              <c:f>'Sintetički tepisi'!$C$160</c:f>
              <c:strCache>
                <c:ptCount val="1"/>
                <c:pt idx="0">
                  <c:v>PFOS (kg)</c:v>
                </c:pt>
              </c:strCache>
            </c:strRef>
          </c:tx>
          <c:spPr>
            <a:solidFill>
              <a:srgbClr val="0070C0"/>
            </a:solidFill>
            <a:ln w="25400">
              <a:noFill/>
            </a:ln>
          </c:spPr>
          <c:invertIfNegative val="0"/>
          <c:trendline>
            <c:trendlineType val="linear"/>
            <c:dispRSqr val="0"/>
            <c:dispEq val="0"/>
          </c:trendline>
          <c:trendline>
            <c:spPr>
              <a:ln w="25400">
                <a:solidFill>
                  <a:srgbClr val="FFC000"/>
                </a:solidFill>
              </a:ln>
            </c:spPr>
            <c:trendlineType val="linear"/>
            <c:dispRSqr val="0"/>
            <c:dispEq val="0"/>
          </c:trendline>
          <c:cat>
            <c:numRef>
              <c:f>'Sintetički tepisi'!$B$164:$B$170</c:f>
              <c:numCache>
                <c:formatCode>General</c:formatCode>
                <c:ptCount val="7"/>
                <c:pt idx="0">
                  <c:v>2017</c:v>
                </c:pt>
                <c:pt idx="1">
                  <c:v>2018</c:v>
                </c:pt>
                <c:pt idx="2">
                  <c:v>2019</c:v>
                </c:pt>
                <c:pt idx="3">
                  <c:v>2020</c:v>
                </c:pt>
                <c:pt idx="4">
                  <c:v>2021</c:v>
                </c:pt>
                <c:pt idx="5">
                  <c:v>2022</c:v>
                </c:pt>
                <c:pt idx="6">
                  <c:v>2023</c:v>
                </c:pt>
              </c:numCache>
            </c:numRef>
          </c:cat>
          <c:val>
            <c:numRef>
              <c:f>'Sintetički tepisi'!$C$164:$C$170</c:f>
              <c:numCache>
                <c:formatCode>General</c:formatCode>
                <c:ptCount val="7"/>
                <c:pt idx="0">
                  <c:v>7.4</c:v>
                </c:pt>
                <c:pt idx="1">
                  <c:v>6.7</c:v>
                </c:pt>
                <c:pt idx="2">
                  <c:v>8.6999999999999993</c:v>
                </c:pt>
                <c:pt idx="3">
                  <c:v>7.9</c:v>
                </c:pt>
                <c:pt idx="4">
                  <c:v>8</c:v>
                </c:pt>
                <c:pt idx="5">
                  <c:v>12.2</c:v>
                </c:pt>
                <c:pt idx="6">
                  <c:v>11.1</c:v>
                </c:pt>
              </c:numCache>
            </c:numRef>
          </c:val>
          <c:extLst>
            <c:ext xmlns:c16="http://schemas.microsoft.com/office/drawing/2014/chart" uri="{C3380CC4-5D6E-409C-BE32-E72D297353CC}">
              <c16:uniqueId val="{00000002-78EE-45FB-89B9-49B0F60E0574}"/>
            </c:ext>
          </c:extLst>
        </c:ser>
        <c:dLbls>
          <c:showLegendKey val="0"/>
          <c:showVal val="0"/>
          <c:showCatName val="0"/>
          <c:showSerName val="0"/>
          <c:showPercent val="0"/>
          <c:showBubbleSize val="0"/>
        </c:dLbls>
        <c:gapWidth val="219"/>
        <c:overlap val="-27"/>
        <c:axId val="727695135"/>
        <c:axId val="1"/>
      </c:barChart>
      <c:catAx>
        <c:axId val="727695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sr-Latn-ME"/>
                  <a:t>t/godini</a:t>
                </a:r>
                <a:endParaRPr lang="en-GB"/>
              </a:p>
            </c:rich>
          </c:tx>
          <c:overlay val="0"/>
        </c:title>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7695135"/>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25400">
          <a:noFill/>
        </a:ln>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Papir!$C$142</c:f>
              <c:strCache>
                <c:ptCount val="1"/>
                <c:pt idx="0">
                  <c:v>PFOS (kg)</c:v>
                </c:pt>
              </c:strCache>
            </c:strRef>
          </c:tx>
          <c:spPr>
            <a:solidFill>
              <a:srgbClr val="4F81BD"/>
            </a:solidFill>
            <a:ln w="25400">
              <a:noFill/>
            </a:ln>
          </c:spPr>
          <c:invertIfNegative val="0"/>
          <c:trendline>
            <c:spPr>
              <a:ln w="25400">
                <a:solidFill>
                  <a:srgbClr val="FFC000"/>
                </a:solidFill>
              </a:ln>
            </c:spPr>
            <c:trendlineType val="linear"/>
            <c:dispRSqr val="0"/>
            <c:dispEq val="0"/>
          </c:trendline>
          <c:cat>
            <c:numRef>
              <c:f>Papir!$B$146:$B$152</c:f>
              <c:numCache>
                <c:formatCode>General</c:formatCode>
                <c:ptCount val="7"/>
                <c:pt idx="0">
                  <c:v>2017</c:v>
                </c:pt>
                <c:pt idx="1">
                  <c:v>2018</c:v>
                </c:pt>
                <c:pt idx="2">
                  <c:v>2019</c:v>
                </c:pt>
                <c:pt idx="3">
                  <c:v>2020</c:v>
                </c:pt>
                <c:pt idx="4">
                  <c:v>2021</c:v>
                </c:pt>
                <c:pt idx="5">
                  <c:v>2022</c:v>
                </c:pt>
                <c:pt idx="6">
                  <c:v>2023</c:v>
                </c:pt>
              </c:numCache>
            </c:numRef>
          </c:cat>
          <c:val>
            <c:numRef>
              <c:f>Papir!$C$146:$C$152</c:f>
              <c:numCache>
                <c:formatCode>General</c:formatCode>
                <c:ptCount val="7"/>
                <c:pt idx="0">
                  <c:v>457.22149999999999</c:v>
                </c:pt>
                <c:pt idx="1">
                  <c:v>306.55590000000001</c:v>
                </c:pt>
                <c:pt idx="2">
                  <c:v>412.51189999999997</c:v>
                </c:pt>
                <c:pt idx="3">
                  <c:v>364.5206</c:v>
                </c:pt>
                <c:pt idx="4">
                  <c:v>654.78189999999995</c:v>
                </c:pt>
                <c:pt idx="5">
                  <c:v>658.19470000000001</c:v>
                </c:pt>
                <c:pt idx="6">
                  <c:v>946.06349999999998</c:v>
                </c:pt>
              </c:numCache>
            </c:numRef>
          </c:val>
          <c:extLst>
            <c:ext xmlns:c16="http://schemas.microsoft.com/office/drawing/2014/chart" uri="{C3380CC4-5D6E-409C-BE32-E72D297353CC}">
              <c16:uniqueId val="{00000001-744D-4228-AC38-A58EEBCB2838}"/>
            </c:ext>
          </c:extLst>
        </c:ser>
        <c:dLbls>
          <c:showLegendKey val="0"/>
          <c:showVal val="0"/>
          <c:showCatName val="0"/>
          <c:showSerName val="0"/>
          <c:showPercent val="0"/>
          <c:showBubbleSize val="0"/>
        </c:dLbls>
        <c:gapWidth val="219"/>
        <c:overlap val="-27"/>
        <c:axId val="727704287"/>
        <c:axId val="1"/>
      </c:barChart>
      <c:catAx>
        <c:axId val="727704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sr-Latn-ME"/>
                  <a:t>kg/godini</a:t>
                </a:r>
                <a:endParaRPr lang="en-GB"/>
              </a:p>
            </c:rich>
          </c:tx>
          <c:overlay val="0"/>
        </c:title>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7704287"/>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'Sintetički tepisi'!$L$98</c:f>
              <c:strCache>
                <c:ptCount val="1"/>
                <c:pt idx="0">
                  <c:v>PFOA (kg)</c:v>
                </c:pt>
              </c:strCache>
            </c:strRef>
          </c:tx>
          <c:spPr>
            <a:solidFill>
              <a:schemeClr val="accent1"/>
            </a:solidFill>
            <a:ln>
              <a:noFill/>
            </a:ln>
            <a:effectLst/>
          </c:spPr>
          <c:invertIfNegative val="0"/>
          <c:trendline>
            <c:spPr>
              <a:ln w="31750" cap="rnd">
                <a:solidFill>
                  <a:srgbClr val="FFC000"/>
                </a:solidFill>
                <a:prstDash val="solid"/>
              </a:ln>
              <a:effectLst/>
            </c:spPr>
            <c:trendlineType val="linear"/>
            <c:dispRSqr val="0"/>
            <c:dispEq val="0"/>
          </c:trendline>
          <c:cat>
            <c:numRef>
              <c:f>'Sintetički tepisi'!$K$99:$K$105</c:f>
              <c:numCache>
                <c:formatCode>General</c:formatCode>
                <c:ptCount val="7"/>
                <c:pt idx="0">
                  <c:v>2017</c:v>
                </c:pt>
                <c:pt idx="1">
                  <c:v>2018</c:v>
                </c:pt>
                <c:pt idx="2">
                  <c:v>2019</c:v>
                </c:pt>
                <c:pt idx="3">
                  <c:v>2020</c:v>
                </c:pt>
                <c:pt idx="4">
                  <c:v>2021</c:v>
                </c:pt>
                <c:pt idx="5">
                  <c:v>2022</c:v>
                </c:pt>
                <c:pt idx="6">
                  <c:v>2023</c:v>
                </c:pt>
              </c:numCache>
            </c:numRef>
          </c:cat>
          <c:val>
            <c:numRef>
              <c:f>'Sintetički tepisi'!$L$99:$L$105</c:f>
              <c:numCache>
                <c:formatCode>0</c:formatCode>
                <c:ptCount val="7"/>
                <c:pt idx="0">
                  <c:v>86.774853780000001</c:v>
                </c:pt>
                <c:pt idx="1">
                  <c:v>77.840533640000004</c:v>
                </c:pt>
                <c:pt idx="2">
                  <c:v>100.9238256</c:v>
                </c:pt>
                <c:pt idx="3">
                  <c:v>89.634680379999992</c:v>
                </c:pt>
                <c:pt idx="4">
                  <c:v>94.092853560000023</c:v>
                </c:pt>
                <c:pt idx="5">
                  <c:v>150.10239966</c:v>
                </c:pt>
                <c:pt idx="6">
                  <c:v>135.55232529999998</c:v>
                </c:pt>
              </c:numCache>
            </c:numRef>
          </c:val>
          <c:extLst>
            <c:ext xmlns:c16="http://schemas.microsoft.com/office/drawing/2014/chart" uri="{C3380CC4-5D6E-409C-BE32-E72D297353CC}">
              <c16:uniqueId val="{00000001-4E62-4C7F-A1C1-FC631FA2BB96}"/>
            </c:ext>
          </c:extLst>
        </c:ser>
        <c:dLbls>
          <c:showLegendKey val="0"/>
          <c:showVal val="0"/>
          <c:showCatName val="0"/>
          <c:showSerName val="0"/>
          <c:showPercent val="0"/>
          <c:showBubbleSize val="0"/>
        </c:dLbls>
        <c:gapWidth val="219"/>
        <c:overlap val="-27"/>
        <c:axId val="1209754255"/>
        <c:axId val="1209775471"/>
      </c:barChart>
      <c:catAx>
        <c:axId val="12097542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9775471"/>
        <c:crosses val="autoZero"/>
        <c:auto val="1"/>
        <c:lblAlgn val="ctr"/>
        <c:lblOffset val="100"/>
        <c:noMultiLvlLbl val="0"/>
      </c:catAx>
      <c:valAx>
        <c:axId val="12097754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sr-Latn-ME" b="1" i="0"/>
                  <a:t>kg/godini</a:t>
                </a:r>
                <a:endParaRPr lang="en-GB" b="1" i="0"/>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97542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Papir!$K$87</c:f>
              <c:strCache>
                <c:ptCount val="1"/>
                <c:pt idx="0">
                  <c:v>PFOA (kg)</c:v>
                </c:pt>
              </c:strCache>
            </c:strRef>
          </c:tx>
          <c:spPr>
            <a:solidFill>
              <a:schemeClr val="accent1"/>
            </a:solidFill>
            <a:ln>
              <a:noFill/>
            </a:ln>
            <a:effectLst/>
          </c:spPr>
          <c:invertIfNegative val="0"/>
          <c:trendline>
            <c:spPr>
              <a:ln w="31750" cap="rnd">
                <a:solidFill>
                  <a:srgbClr val="FFC000"/>
                </a:solidFill>
                <a:prstDash val="solid"/>
              </a:ln>
              <a:effectLst/>
            </c:spPr>
            <c:trendlineType val="linear"/>
            <c:dispRSqr val="0"/>
            <c:dispEq val="0"/>
          </c:trendline>
          <c:cat>
            <c:numRef>
              <c:f>Papir!$J$88:$J$94</c:f>
              <c:numCache>
                <c:formatCode>General</c:formatCode>
                <c:ptCount val="7"/>
                <c:pt idx="0">
                  <c:v>2017</c:v>
                </c:pt>
                <c:pt idx="1">
                  <c:v>2018</c:v>
                </c:pt>
                <c:pt idx="2">
                  <c:v>2019</c:v>
                </c:pt>
                <c:pt idx="3">
                  <c:v>2020</c:v>
                </c:pt>
                <c:pt idx="4">
                  <c:v>2021</c:v>
                </c:pt>
                <c:pt idx="5">
                  <c:v>2022</c:v>
                </c:pt>
                <c:pt idx="6">
                  <c:v>2023</c:v>
                </c:pt>
              </c:numCache>
            </c:numRef>
          </c:cat>
          <c:val>
            <c:numRef>
              <c:f>Papir!$K$88:$K$94</c:f>
              <c:numCache>
                <c:formatCode>0</c:formatCode>
                <c:ptCount val="7"/>
                <c:pt idx="0">
                  <c:v>457.22149999999999</c:v>
                </c:pt>
                <c:pt idx="1">
                  <c:v>306.55590000000001</c:v>
                </c:pt>
                <c:pt idx="2">
                  <c:v>412.51189999999997</c:v>
                </c:pt>
                <c:pt idx="3">
                  <c:v>364.5206</c:v>
                </c:pt>
                <c:pt idx="4">
                  <c:v>654.78189999999995</c:v>
                </c:pt>
                <c:pt idx="5">
                  <c:v>658.19470000000001</c:v>
                </c:pt>
                <c:pt idx="6">
                  <c:v>946.06349999999998</c:v>
                </c:pt>
              </c:numCache>
            </c:numRef>
          </c:val>
          <c:extLst>
            <c:ext xmlns:c16="http://schemas.microsoft.com/office/drawing/2014/chart" uri="{C3380CC4-5D6E-409C-BE32-E72D297353CC}">
              <c16:uniqueId val="{00000001-8F11-44E6-A362-2B1119DDEBEE}"/>
            </c:ext>
          </c:extLst>
        </c:ser>
        <c:dLbls>
          <c:showLegendKey val="0"/>
          <c:showVal val="0"/>
          <c:showCatName val="0"/>
          <c:showSerName val="0"/>
          <c:showPercent val="0"/>
          <c:showBubbleSize val="0"/>
        </c:dLbls>
        <c:gapWidth val="219"/>
        <c:overlap val="-27"/>
        <c:axId val="730126655"/>
        <c:axId val="730114175"/>
      </c:barChart>
      <c:catAx>
        <c:axId val="730126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0114175"/>
        <c:crosses val="autoZero"/>
        <c:auto val="1"/>
        <c:lblAlgn val="ctr"/>
        <c:lblOffset val="100"/>
        <c:noMultiLvlLbl val="0"/>
      </c:catAx>
      <c:valAx>
        <c:axId val="7301141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sr-Latn-ME" b="1"/>
                  <a:t>kg/godini</a:t>
                </a:r>
                <a:endParaRPr lang="en-GB"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01266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ME" sz="1000" b="1">
                <a:latin typeface="Cambria" panose="02040503050406030204" pitchFamily="18" charset="0"/>
                <a:ea typeface="Cambria" panose="02040503050406030204" pitchFamily="18" charset="0"/>
              </a:rPr>
              <a:t>HS 4008</a:t>
            </a:r>
            <a:endParaRPr lang="en-GB" sz="1000" b="1">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'Rubber-grafici'!$J$14</c:f>
              <c:strCache>
                <c:ptCount val="1"/>
                <c:pt idx="0">
                  <c:v>SCCP</c:v>
                </c:pt>
              </c:strCache>
            </c:strRef>
          </c:tx>
          <c:spPr>
            <a:solidFill>
              <a:schemeClr val="accent1"/>
            </a:solidFill>
            <a:ln>
              <a:noFill/>
            </a:ln>
            <a:effectLst/>
          </c:spPr>
          <c:invertIfNegative val="0"/>
          <c:cat>
            <c:numRef>
              <c:f>'Rubber-grafici'!$K$13:$Q$13</c:f>
              <c:numCache>
                <c:formatCode>General</c:formatCode>
                <c:ptCount val="7"/>
                <c:pt idx="0">
                  <c:v>2017</c:v>
                </c:pt>
                <c:pt idx="1">
                  <c:v>2018</c:v>
                </c:pt>
                <c:pt idx="2">
                  <c:v>2019</c:v>
                </c:pt>
                <c:pt idx="3">
                  <c:v>2020</c:v>
                </c:pt>
                <c:pt idx="4">
                  <c:v>2021</c:v>
                </c:pt>
                <c:pt idx="5">
                  <c:v>2022</c:v>
                </c:pt>
                <c:pt idx="6">
                  <c:v>2023</c:v>
                </c:pt>
              </c:numCache>
            </c:numRef>
          </c:cat>
          <c:val>
            <c:numRef>
              <c:f>'Rubber-grafici'!$K$14:$Q$14</c:f>
              <c:numCache>
                <c:formatCode>0.0</c:formatCode>
                <c:ptCount val="7"/>
                <c:pt idx="0">
                  <c:v>3.4275959999999999</c:v>
                </c:pt>
                <c:pt idx="1">
                  <c:v>26.12444399999999</c:v>
                </c:pt>
                <c:pt idx="2">
                  <c:v>17.553995999999998</c:v>
                </c:pt>
                <c:pt idx="3">
                  <c:v>39.252761999999997</c:v>
                </c:pt>
                <c:pt idx="4">
                  <c:v>80.007425999999995</c:v>
                </c:pt>
                <c:pt idx="5">
                  <c:v>35.959788000000003</c:v>
                </c:pt>
                <c:pt idx="6">
                  <c:v>89.143091999999996</c:v>
                </c:pt>
              </c:numCache>
            </c:numRef>
          </c:val>
          <c:extLst>
            <c:ext xmlns:c16="http://schemas.microsoft.com/office/drawing/2014/chart" uri="{C3380CC4-5D6E-409C-BE32-E72D297353CC}">
              <c16:uniqueId val="{00000000-9980-4252-9DC7-AD9555579B73}"/>
            </c:ext>
          </c:extLst>
        </c:ser>
        <c:ser>
          <c:idx val="1"/>
          <c:order val="1"/>
          <c:tx>
            <c:strRef>
              <c:f>'Rubber-grafici'!$J$15</c:f>
              <c:strCache>
                <c:ptCount val="1"/>
                <c:pt idx="0">
                  <c:v>MCCP</c:v>
                </c:pt>
              </c:strCache>
            </c:strRef>
          </c:tx>
          <c:spPr>
            <a:solidFill>
              <a:schemeClr val="accent2"/>
            </a:solidFill>
            <a:ln>
              <a:noFill/>
            </a:ln>
            <a:effectLst/>
          </c:spPr>
          <c:invertIfNegative val="0"/>
          <c:cat>
            <c:numRef>
              <c:f>'Rubber-grafici'!$K$13:$Q$13</c:f>
              <c:numCache>
                <c:formatCode>General</c:formatCode>
                <c:ptCount val="7"/>
                <c:pt idx="0">
                  <c:v>2017</c:v>
                </c:pt>
                <c:pt idx="1">
                  <c:v>2018</c:v>
                </c:pt>
                <c:pt idx="2">
                  <c:v>2019</c:v>
                </c:pt>
                <c:pt idx="3">
                  <c:v>2020</c:v>
                </c:pt>
                <c:pt idx="4">
                  <c:v>2021</c:v>
                </c:pt>
                <c:pt idx="5">
                  <c:v>2022</c:v>
                </c:pt>
                <c:pt idx="6">
                  <c:v>2023</c:v>
                </c:pt>
              </c:numCache>
            </c:numRef>
          </c:cat>
          <c:val>
            <c:numRef>
              <c:f>'Rubber-grafici'!$K$15:$Q$15</c:f>
              <c:numCache>
                <c:formatCode>0.0</c:formatCode>
                <c:ptCount val="7"/>
                <c:pt idx="0">
                  <c:v>12.885222000000001</c:v>
                </c:pt>
                <c:pt idx="1">
                  <c:v>98.208557999999954</c:v>
                </c:pt>
                <c:pt idx="2">
                  <c:v>65.990021999999996</c:v>
                </c:pt>
                <c:pt idx="3">
                  <c:v>147.56130899999997</c:v>
                </c:pt>
                <c:pt idx="4">
                  <c:v>300.76865699999996</c:v>
                </c:pt>
                <c:pt idx="5">
                  <c:v>135.182166</c:v>
                </c:pt>
                <c:pt idx="6">
                  <c:v>335.11199399999998</c:v>
                </c:pt>
              </c:numCache>
            </c:numRef>
          </c:val>
          <c:extLst>
            <c:ext xmlns:c16="http://schemas.microsoft.com/office/drawing/2014/chart" uri="{C3380CC4-5D6E-409C-BE32-E72D297353CC}">
              <c16:uniqueId val="{00000001-9980-4252-9DC7-AD9555579B73}"/>
            </c:ext>
          </c:extLst>
        </c:ser>
        <c:dLbls>
          <c:showLegendKey val="0"/>
          <c:showVal val="0"/>
          <c:showCatName val="0"/>
          <c:showSerName val="0"/>
          <c:showPercent val="0"/>
          <c:showBubbleSize val="0"/>
        </c:dLbls>
        <c:gapWidth val="219"/>
        <c:overlap val="-27"/>
        <c:axId val="256740223"/>
        <c:axId val="256738559"/>
      </c:barChart>
      <c:catAx>
        <c:axId val="256740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6738559"/>
        <c:crosses val="autoZero"/>
        <c:auto val="1"/>
        <c:lblAlgn val="ctr"/>
        <c:lblOffset val="100"/>
        <c:noMultiLvlLbl val="0"/>
      </c:catAx>
      <c:valAx>
        <c:axId val="2567385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6740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ME" sz="1000" b="1">
                <a:latin typeface="Cambria" panose="02040503050406030204" pitchFamily="18" charset="0"/>
                <a:ea typeface="Cambria" panose="02040503050406030204" pitchFamily="18" charset="0"/>
              </a:rPr>
              <a:t>HS</a:t>
            </a:r>
            <a:r>
              <a:rPr lang="sr-Latn-ME" sz="1000" b="1" baseline="0">
                <a:latin typeface="Cambria" panose="02040503050406030204" pitchFamily="18" charset="0"/>
                <a:ea typeface="Cambria" panose="02040503050406030204" pitchFamily="18" charset="0"/>
              </a:rPr>
              <a:t> 4009</a:t>
            </a:r>
            <a:endParaRPr lang="en-GB" sz="1000" b="1">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'Rubber-grafici'!$J$24</c:f>
              <c:strCache>
                <c:ptCount val="1"/>
                <c:pt idx="0">
                  <c:v>SCCP</c:v>
                </c:pt>
              </c:strCache>
            </c:strRef>
          </c:tx>
          <c:spPr>
            <a:solidFill>
              <a:schemeClr val="accent1"/>
            </a:solidFill>
            <a:ln>
              <a:noFill/>
            </a:ln>
            <a:effectLst/>
          </c:spPr>
          <c:invertIfNegative val="0"/>
          <c:cat>
            <c:numRef>
              <c:f>'Rubber-grafici'!$K$23:$Q$23</c:f>
              <c:numCache>
                <c:formatCode>General</c:formatCode>
                <c:ptCount val="7"/>
                <c:pt idx="0">
                  <c:v>2017</c:v>
                </c:pt>
                <c:pt idx="1">
                  <c:v>2018</c:v>
                </c:pt>
                <c:pt idx="2">
                  <c:v>2019</c:v>
                </c:pt>
                <c:pt idx="3">
                  <c:v>2020</c:v>
                </c:pt>
                <c:pt idx="4">
                  <c:v>2021</c:v>
                </c:pt>
                <c:pt idx="5">
                  <c:v>2022</c:v>
                </c:pt>
                <c:pt idx="6">
                  <c:v>2023</c:v>
                </c:pt>
              </c:numCache>
            </c:numRef>
          </c:cat>
          <c:val>
            <c:numRef>
              <c:f>'Rubber-grafici'!$K$24:$Q$24</c:f>
              <c:numCache>
                <c:formatCode>0.00</c:formatCode>
                <c:ptCount val="7"/>
                <c:pt idx="0">
                  <c:v>0.73792599999999997</c:v>
                </c:pt>
                <c:pt idx="1">
                  <c:v>2.5518240000000003</c:v>
                </c:pt>
                <c:pt idx="2">
                  <c:v>2.9859340000000003</c:v>
                </c:pt>
                <c:pt idx="3">
                  <c:v>2.6650480000000014</c:v>
                </c:pt>
                <c:pt idx="4">
                  <c:v>2.1470979999999993</c:v>
                </c:pt>
                <c:pt idx="5">
                  <c:v>2.4754880000000021</c:v>
                </c:pt>
                <c:pt idx="6">
                  <c:v>2.4038100000000022</c:v>
                </c:pt>
              </c:numCache>
            </c:numRef>
          </c:val>
          <c:extLst>
            <c:ext xmlns:c16="http://schemas.microsoft.com/office/drawing/2014/chart" uri="{C3380CC4-5D6E-409C-BE32-E72D297353CC}">
              <c16:uniqueId val="{00000000-0111-4075-8B6E-4C0C33082196}"/>
            </c:ext>
          </c:extLst>
        </c:ser>
        <c:ser>
          <c:idx val="1"/>
          <c:order val="1"/>
          <c:tx>
            <c:strRef>
              <c:f>'Rubber-grafici'!$J$25</c:f>
              <c:strCache>
                <c:ptCount val="1"/>
                <c:pt idx="0">
                  <c:v>MCCP</c:v>
                </c:pt>
              </c:strCache>
            </c:strRef>
          </c:tx>
          <c:spPr>
            <a:solidFill>
              <a:schemeClr val="accent2"/>
            </a:solidFill>
            <a:ln>
              <a:noFill/>
            </a:ln>
            <a:effectLst/>
          </c:spPr>
          <c:invertIfNegative val="0"/>
          <c:cat>
            <c:numRef>
              <c:f>'Rubber-grafici'!$K$23:$Q$23</c:f>
              <c:numCache>
                <c:formatCode>General</c:formatCode>
                <c:ptCount val="7"/>
                <c:pt idx="0">
                  <c:v>2017</c:v>
                </c:pt>
                <c:pt idx="1">
                  <c:v>2018</c:v>
                </c:pt>
                <c:pt idx="2">
                  <c:v>2019</c:v>
                </c:pt>
                <c:pt idx="3">
                  <c:v>2020</c:v>
                </c:pt>
                <c:pt idx="4">
                  <c:v>2021</c:v>
                </c:pt>
                <c:pt idx="5">
                  <c:v>2022</c:v>
                </c:pt>
                <c:pt idx="6">
                  <c:v>2023</c:v>
                </c:pt>
              </c:numCache>
            </c:numRef>
          </c:cat>
          <c:val>
            <c:numRef>
              <c:f>'Rubber-grafici'!$K$25:$Q$25</c:f>
              <c:numCache>
                <c:formatCode>0.00</c:formatCode>
                <c:ptCount val="7"/>
                <c:pt idx="0">
                  <c:v>0.36896299999999999</c:v>
                </c:pt>
                <c:pt idx="1">
                  <c:v>1.2759120000000002</c:v>
                </c:pt>
                <c:pt idx="2">
                  <c:v>1.4929670000000002</c:v>
                </c:pt>
                <c:pt idx="3">
                  <c:v>1.3325240000000007</c:v>
                </c:pt>
                <c:pt idx="4">
                  <c:v>1.0735489999999996</c:v>
                </c:pt>
                <c:pt idx="5">
                  <c:v>1.2377440000000011</c:v>
                </c:pt>
                <c:pt idx="6">
                  <c:v>1.2019050000000011</c:v>
                </c:pt>
              </c:numCache>
            </c:numRef>
          </c:val>
          <c:extLst>
            <c:ext xmlns:c16="http://schemas.microsoft.com/office/drawing/2014/chart" uri="{C3380CC4-5D6E-409C-BE32-E72D297353CC}">
              <c16:uniqueId val="{00000001-0111-4075-8B6E-4C0C33082196}"/>
            </c:ext>
          </c:extLst>
        </c:ser>
        <c:dLbls>
          <c:showLegendKey val="0"/>
          <c:showVal val="0"/>
          <c:showCatName val="0"/>
          <c:showSerName val="0"/>
          <c:showPercent val="0"/>
          <c:showBubbleSize val="0"/>
        </c:dLbls>
        <c:gapWidth val="219"/>
        <c:overlap val="-27"/>
        <c:axId val="258219599"/>
        <c:axId val="258204207"/>
      </c:barChart>
      <c:catAx>
        <c:axId val="258219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8204207"/>
        <c:crosses val="autoZero"/>
        <c:auto val="1"/>
        <c:lblAlgn val="ctr"/>
        <c:lblOffset val="100"/>
        <c:noMultiLvlLbl val="0"/>
      </c:catAx>
      <c:valAx>
        <c:axId val="2582042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82195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ME" sz="1000" b="1">
                <a:latin typeface="Cambria" panose="02040503050406030204" pitchFamily="18" charset="0"/>
                <a:ea typeface="Cambria" panose="02040503050406030204" pitchFamily="18" charset="0"/>
              </a:rPr>
              <a:t>HS</a:t>
            </a:r>
            <a:r>
              <a:rPr lang="sr-Latn-ME" sz="1000" b="1" baseline="0">
                <a:latin typeface="Cambria" panose="02040503050406030204" pitchFamily="18" charset="0"/>
                <a:ea typeface="Cambria" panose="02040503050406030204" pitchFamily="18" charset="0"/>
              </a:rPr>
              <a:t> 4015</a:t>
            </a:r>
            <a:endParaRPr lang="en-GB" sz="1000" b="1">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'Rubber-grafici'!$I$52</c:f>
              <c:strCache>
                <c:ptCount val="1"/>
                <c:pt idx="0">
                  <c:v>SCCP</c:v>
                </c:pt>
              </c:strCache>
            </c:strRef>
          </c:tx>
          <c:spPr>
            <a:solidFill>
              <a:schemeClr val="accent1"/>
            </a:solidFill>
            <a:ln>
              <a:noFill/>
            </a:ln>
            <a:effectLst/>
          </c:spPr>
          <c:invertIfNegative val="0"/>
          <c:cat>
            <c:numRef>
              <c:f>'Rubber-grafici'!$J$51:$P$51</c:f>
              <c:numCache>
                <c:formatCode>General</c:formatCode>
                <c:ptCount val="7"/>
                <c:pt idx="0">
                  <c:v>2017</c:v>
                </c:pt>
                <c:pt idx="1">
                  <c:v>2018</c:v>
                </c:pt>
                <c:pt idx="2">
                  <c:v>2019</c:v>
                </c:pt>
                <c:pt idx="3">
                  <c:v>2020</c:v>
                </c:pt>
                <c:pt idx="4">
                  <c:v>2021</c:v>
                </c:pt>
                <c:pt idx="5">
                  <c:v>2022</c:v>
                </c:pt>
                <c:pt idx="6">
                  <c:v>2023</c:v>
                </c:pt>
              </c:numCache>
            </c:numRef>
          </c:cat>
          <c:val>
            <c:numRef>
              <c:f>'Rubber-grafici'!$J$52:$P$52</c:f>
              <c:numCache>
                <c:formatCode>0.0</c:formatCode>
                <c:ptCount val="7"/>
                <c:pt idx="0">
                  <c:v>154.24754400000006</c:v>
                </c:pt>
                <c:pt idx="1">
                  <c:v>407.39543999999984</c:v>
                </c:pt>
                <c:pt idx="2">
                  <c:v>413.67887999999994</c:v>
                </c:pt>
                <c:pt idx="3">
                  <c:v>455.4765000000001</c:v>
                </c:pt>
                <c:pt idx="4">
                  <c:v>616.52145600000028</c:v>
                </c:pt>
                <c:pt idx="5">
                  <c:v>475.82229599999982</c:v>
                </c:pt>
                <c:pt idx="6">
                  <c:v>432.07343999999983</c:v>
                </c:pt>
              </c:numCache>
            </c:numRef>
          </c:val>
          <c:extLst>
            <c:ext xmlns:c16="http://schemas.microsoft.com/office/drawing/2014/chart" uri="{C3380CC4-5D6E-409C-BE32-E72D297353CC}">
              <c16:uniqueId val="{00000000-779B-4B6E-A38A-7D0996CE6DE5}"/>
            </c:ext>
          </c:extLst>
        </c:ser>
        <c:ser>
          <c:idx val="1"/>
          <c:order val="1"/>
          <c:tx>
            <c:strRef>
              <c:f>'Rubber-grafici'!$I$53</c:f>
              <c:strCache>
                <c:ptCount val="1"/>
                <c:pt idx="0">
                  <c:v>MCCP</c:v>
                </c:pt>
              </c:strCache>
            </c:strRef>
          </c:tx>
          <c:spPr>
            <a:solidFill>
              <a:schemeClr val="accent2"/>
            </a:solidFill>
            <a:ln>
              <a:noFill/>
            </a:ln>
            <a:effectLst/>
          </c:spPr>
          <c:invertIfNegative val="0"/>
          <c:cat>
            <c:numRef>
              <c:f>'Rubber-grafici'!$J$51:$P$51</c:f>
              <c:numCache>
                <c:formatCode>General</c:formatCode>
                <c:ptCount val="7"/>
                <c:pt idx="0">
                  <c:v>2017</c:v>
                </c:pt>
                <c:pt idx="1">
                  <c:v>2018</c:v>
                </c:pt>
                <c:pt idx="2">
                  <c:v>2019</c:v>
                </c:pt>
                <c:pt idx="3">
                  <c:v>2020</c:v>
                </c:pt>
                <c:pt idx="4">
                  <c:v>2021</c:v>
                </c:pt>
                <c:pt idx="5">
                  <c:v>2022</c:v>
                </c:pt>
                <c:pt idx="6">
                  <c:v>2023</c:v>
                </c:pt>
              </c:numCache>
            </c:numRef>
          </c:cat>
          <c:val>
            <c:numRef>
              <c:f>'Rubber-grafici'!$J$53:$P$53</c:f>
              <c:numCache>
                <c:formatCode>0.0</c:formatCode>
                <c:ptCount val="7"/>
                <c:pt idx="0">
                  <c:v>825.51000400000021</c:v>
                </c:pt>
                <c:pt idx="1">
                  <c:v>2180.3200399999987</c:v>
                </c:pt>
                <c:pt idx="2">
                  <c:v>2213.9480799999997</c:v>
                </c:pt>
                <c:pt idx="3">
                  <c:v>2437.6427500000004</c:v>
                </c:pt>
                <c:pt idx="4">
                  <c:v>3299.5314960000014</c:v>
                </c:pt>
                <c:pt idx="5">
                  <c:v>2546.5304359999986</c:v>
                </c:pt>
                <c:pt idx="6">
                  <c:v>2312.3930399999986</c:v>
                </c:pt>
              </c:numCache>
            </c:numRef>
          </c:val>
          <c:extLst>
            <c:ext xmlns:c16="http://schemas.microsoft.com/office/drawing/2014/chart" uri="{C3380CC4-5D6E-409C-BE32-E72D297353CC}">
              <c16:uniqueId val="{00000001-779B-4B6E-A38A-7D0996CE6DE5}"/>
            </c:ext>
          </c:extLst>
        </c:ser>
        <c:dLbls>
          <c:showLegendKey val="0"/>
          <c:showVal val="0"/>
          <c:showCatName val="0"/>
          <c:showSerName val="0"/>
          <c:showPercent val="0"/>
          <c:showBubbleSize val="0"/>
        </c:dLbls>
        <c:gapWidth val="219"/>
        <c:overlap val="-27"/>
        <c:axId val="73680207"/>
        <c:axId val="73689775"/>
      </c:barChart>
      <c:catAx>
        <c:axId val="73680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689775"/>
        <c:crosses val="autoZero"/>
        <c:auto val="1"/>
        <c:lblAlgn val="ctr"/>
        <c:lblOffset val="100"/>
        <c:noMultiLvlLbl val="0"/>
      </c:catAx>
      <c:valAx>
        <c:axId val="736897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6802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ME" sz="1000" b="1">
                <a:latin typeface="Cambria" panose="02040503050406030204" pitchFamily="18" charset="0"/>
                <a:ea typeface="Cambria" panose="02040503050406030204" pitchFamily="18" charset="0"/>
              </a:rPr>
              <a:t>HS</a:t>
            </a:r>
            <a:r>
              <a:rPr lang="sr-Latn-ME" sz="1000" b="1" baseline="0">
                <a:latin typeface="Cambria" panose="02040503050406030204" pitchFamily="18" charset="0"/>
                <a:ea typeface="Cambria" panose="02040503050406030204" pitchFamily="18" charset="0"/>
              </a:rPr>
              <a:t> 4016</a:t>
            </a:r>
            <a:endParaRPr lang="en-GB" sz="1000" b="1">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'Rubber-grafici'!$I$62</c:f>
              <c:strCache>
                <c:ptCount val="1"/>
                <c:pt idx="0">
                  <c:v>SCCP</c:v>
                </c:pt>
              </c:strCache>
            </c:strRef>
          </c:tx>
          <c:spPr>
            <a:solidFill>
              <a:schemeClr val="accent1"/>
            </a:solidFill>
            <a:ln>
              <a:noFill/>
            </a:ln>
            <a:effectLst/>
          </c:spPr>
          <c:invertIfNegative val="0"/>
          <c:cat>
            <c:numRef>
              <c:f>'Rubber-grafici'!$J$61:$P$61</c:f>
              <c:numCache>
                <c:formatCode>General</c:formatCode>
                <c:ptCount val="7"/>
                <c:pt idx="0">
                  <c:v>2017</c:v>
                </c:pt>
                <c:pt idx="1">
                  <c:v>2018</c:v>
                </c:pt>
                <c:pt idx="2">
                  <c:v>2019</c:v>
                </c:pt>
                <c:pt idx="3">
                  <c:v>2020</c:v>
                </c:pt>
                <c:pt idx="4">
                  <c:v>2021</c:v>
                </c:pt>
                <c:pt idx="5">
                  <c:v>2022</c:v>
                </c:pt>
                <c:pt idx="6">
                  <c:v>2023</c:v>
                </c:pt>
              </c:numCache>
            </c:numRef>
          </c:cat>
          <c:val>
            <c:numRef>
              <c:f>'Rubber-grafici'!$J$62:$P$62</c:f>
              <c:numCache>
                <c:formatCode>0.0</c:formatCode>
                <c:ptCount val="7"/>
                <c:pt idx="0">
                  <c:v>856.80151199999955</c:v>
                </c:pt>
                <c:pt idx="1">
                  <c:v>466.22573199999971</c:v>
                </c:pt>
                <c:pt idx="2">
                  <c:v>474.59731199999942</c:v>
                </c:pt>
                <c:pt idx="3">
                  <c:v>351.36855599999939</c:v>
                </c:pt>
                <c:pt idx="4">
                  <c:v>205.92767999999953</c:v>
                </c:pt>
                <c:pt idx="5">
                  <c:v>255.98101200000008</c:v>
                </c:pt>
                <c:pt idx="6">
                  <c:v>328.02621599999947</c:v>
                </c:pt>
              </c:numCache>
            </c:numRef>
          </c:val>
          <c:extLst>
            <c:ext xmlns:c16="http://schemas.microsoft.com/office/drawing/2014/chart" uri="{C3380CC4-5D6E-409C-BE32-E72D297353CC}">
              <c16:uniqueId val="{00000000-FDBA-4424-9B16-53DCEBC7B218}"/>
            </c:ext>
          </c:extLst>
        </c:ser>
        <c:ser>
          <c:idx val="1"/>
          <c:order val="1"/>
          <c:tx>
            <c:strRef>
              <c:f>'Rubber-grafici'!$I$63</c:f>
              <c:strCache>
                <c:ptCount val="1"/>
                <c:pt idx="0">
                  <c:v>MCCP</c:v>
                </c:pt>
              </c:strCache>
            </c:strRef>
          </c:tx>
          <c:spPr>
            <a:solidFill>
              <a:schemeClr val="accent2"/>
            </a:solidFill>
            <a:ln>
              <a:noFill/>
            </a:ln>
            <a:effectLst/>
          </c:spPr>
          <c:invertIfNegative val="0"/>
          <c:cat>
            <c:numRef>
              <c:f>'Rubber-grafici'!$J$61:$P$61</c:f>
              <c:numCache>
                <c:formatCode>General</c:formatCode>
                <c:ptCount val="7"/>
                <c:pt idx="0">
                  <c:v>2017</c:v>
                </c:pt>
                <c:pt idx="1">
                  <c:v>2018</c:v>
                </c:pt>
                <c:pt idx="2">
                  <c:v>2019</c:v>
                </c:pt>
                <c:pt idx="3">
                  <c:v>2020</c:v>
                </c:pt>
                <c:pt idx="4">
                  <c:v>2021</c:v>
                </c:pt>
                <c:pt idx="5">
                  <c:v>2022</c:v>
                </c:pt>
                <c:pt idx="6">
                  <c:v>2023</c:v>
                </c:pt>
              </c:numCache>
            </c:numRef>
          </c:cat>
          <c:val>
            <c:numRef>
              <c:f>'Rubber-grafici'!$J$63:$P$63</c:f>
              <c:numCache>
                <c:formatCode>0.0</c:formatCode>
                <c:ptCount val="7"/>
                <c:pt idx="0">
                  <c:v>37454.466095999989</c:v>
                </c:pt>
                <c:pt idx="1">
                  <c:v>20380.72485599999</c:v>
                </c:pt>
                <c:pt idx="2">
                  <c:v>20746.682495999976</c:v>
                </c:pt>
                <c:pt idx="3">
                  <c:v>15359.825447999974</c:v>
                </c:pt>
                <c:pt idx="4">
                  <c:v>9001.9814399999796</c:v>
                </c:pt>
                <c:pt idx="5">
                  <c:v>11190.027096000005</c:v>
                </c:pt>
                <c:pt idx="6">
                  <c:v>14339.43172799998</c:v>
                </c:pt>
              </c:numCache>
            </c:numRef>
          </c:val>
          <c:extLst>
            <c:ext xmlns:c16="http://schemas.microsoft.com/office/drawing/2014/chart" uri="{C3380CC4-5D6E-409C-BE32-E72D297353CC}">
              <c16:uniqueId val="{00000001-FDBA-4424-9B16-53DCEBC7B218}"/>
            </c:ext>
          </c:extLst>
        </c:ser>
        <c:dLbls>
          <c:showLegendKey val="0"/>
          <c:showVal val="0"/>
          <c:showCatName val="0"/>
          <c:showSerName val="0"/>
          <c:showPercent val="0"/>
          <c:showBubbleSize val="0"/>
        </c:dLbls>
        <c:gapWidth val="219"/>
        <c:overlap val="-27"/>
        <c:axId val="2029692175"/>
        <c:axId val="2029688847"/>
      </c:barChart>
      <c:catAx>
        <c:axId val="2029692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9688847"/>
        <c:crosses val="autoZero"/>
        <c:auto val="1"/>
        <c:lblAlgn val="ctr"/>
        <c:lblOffset val="100"/>
        <c:noMultiLvlLbl val="0"/>
      </c:catAx>
      <c:valAx>
        <c:axId val="20296888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96921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055555555555558E-2"/>
          <c:y val="0.24776969587823119"/>
          <c:w val="0.81388888888888888"/>
          <c:h val="0.6093944578401651"/>
        </c:manualLayout>
      </c:layout>
      <c:pie3DChart>
        <c:varyColors val="1"/>
        <c:ser>
          <c:idx val="0"/>
          <c:order val="0"/>
          <c:tx>
            <c:strRef>
              <c:f>'Rubber (2)'!$D$76</c:f>
              <c:strCache>
                <c:ptCount val="1"/>
                <c:pt idx="0">
                  <c:v>Rubber</c:v>
                </c:pt>
              </c:strCache>
            </c:strRef>
          </c:tx>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1E73-4DFC-B021-F8C387D0726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E73-4DFC-B021-F8C387D0726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E73-4DFC-B021-F8C387D0726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E73-4DFC-B021-F8C387D0726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E73-4DFC-B021-F8C387D0726F}"/>
              </c:ext>
            </c:extLst>
          </c:dPt>
          <c:dLbls>
            <c:dLbl>
              <c:idx val="2"/>
              <c:layout>
                <c:manualLayout>
                  <c:x val="1.3888888888888888E-2"/>
                  <c:y val="3.388394747988140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E73-4DFC-B021-F8C387D0726F}"/>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'Rubber (2)'!$E$75:$I$75</c:f>
              <c:strCache>
                <c:ptCount val="5"/>
                <c:pt idx="0">
                  <c:v>HS 4008</c:v>
                </c:pt>
                <c:pt idx="1">
                  <c:v>HS 4009</c:v>
                </c:pt>
                <c:pt idx="2">
                  <c:v>HS 4010</c:v>
                </c:pt>
                <c:pt idx="3">
                  <c:v>HS 4015</c:v>
                </c:pt>
                <c:pt idx="4">
                  <c:v>HS 4016</c:v>
                </c:pt>
              </c:strCache>
            </c:strRef>
          </c:cat>
          <c:val>
            <c:numRef>
              <c:f>'Rubber (2)'!$E$76:$I$76</c:f>
              <c:numCache>
                <c:formatCode>General</c:formatCode>
                <c:ptCount val="5"/>
                <c:pt idx="0">
                  <c:v>17991.919999999998</c:v>
                </c:pt>
                <c:pt idx="1">
                  <c:v>79835.640000000014</c:v>
                </c:pt>
                <c:pt idx="2">
                  <c:v>62465.520000000026</c:v>
                </c:pt>
                <c:pt idx="3">
                  <c:v>273631.07</c:v>
                </c:pt>
                <c:pt idx="4">
                  <c:v>1049617.149999999</c:v>
                </c:pt>
              </c:numCache>
            </c:numRef>
          </c:val>
          <c:extLst>
            <c:ext xmlns:c16="http://schemas.microsoft.com/office/drawing/2014/chart" uri="{C3380CC4-5D6E-409C-BE32-E72D297353CC}">
              <c16:uniqueId val="{0000000A-1E73-4DFC-B021-F8C387D0726F}"/>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167804024496938"/>
          <c:y val="0.11711711711711711"/>
          <c:w val="0.82498862642169724"/>
          <c:h val="0.64739448109526854"/>
        </c:manualLayout>
      </c:layout>
      <c:barChart>
        <c:barDir val="col"/>
        <c:grouping val="clustered"/>
        <c:varyColors val="0"/>
        <c:ser>
          <c:idx val="1"/>
          <c:order val="1"/>
          <c:tx>
            <c:strRef>
              <c:f>Sheet1!$E$1</c:f>
              <c:strCache>
                <c:ptCount val="1"/>
                <c:pt idx="0">
                  <c:v> SCCP </c:v>
                </c:pt>
              </c:strCache>
            </c:strRef>
          </c:tx>
          <c:spPr>
            <a:solidFill>
              <a:srgbClr val="0066CC"/>
            </a:solidFill>
            <a:ln>
              <a:noFill/>
            </a:ln>
            <a:effectLst/>
          </c:spPr>
          <c:invertIfNegative val="0"/>
          <c:cat>
            <c:numRef>
              <c:f>Sheet1!$B$2:$B$8</c:f>
              <c:numCache>
                <c:formatCode>General</c:formatCode>
                <c:ptCount val="7"/>
                <c:pt idx="0">
                  <c:v>2017</c:v>
                </c:pt>
                <c:pt idx="1">
                  <c:v>2018</c:v>
                </c:pt>
                <c:pt idx="2">
                  <c:v>2019</c:v>
                </c:pt>
                <c:pt idx="3">
                  <c:v>2020</c:v>
                </c:pt>
                <c:pt idx="4">
                  <c:v>2021</c:v>
                </c:pt>
                <c:pt idx="5">
                  <c:v>2022</c:v>
                </c:pt>
                <c:pt idx="6">
                  <c:v>2023</c:v>
                </c:pt>
              </c:numCache>
            </c:numRef>
          </c:cat>
          <c:val>
            <c:numRef>
              <c:f>Sheet1!$E$2:$E$8</c:f>
              <c:numCache>
                <c:formatCode>General</c:formatCode>
                <c:ptCount val="7"/>
                <c:pt idx="0">
                  <c:v>2.25</c:v>
                </c:pt>
                <c:pt idx="1">
                  <c:v>2.66</c:v>
                </c:pt>
                <c:pt idx="2">
                  <c:v>5.14</c:v>
                </c:pt>
                <c:pt idx="3">
                  <c:v>6.88</c:v>
                </c:pt>
                <c:pt idx="4">
                  <c:v>9.51</c:v>
                </c:pt>
                <c:pt idx="5">
                  <c:v>11.32</c:v>
                </c:pt>
                <c:pt idx="6">
                  <c:v>14.94</c:v>
                </c:pt>
              </c:numCache>
            </c:numRef>
          </c:val>
          <c:extLst>
            <c:ext xmlns:c16="http://schemas.microsoft.com/office/drawing/2014/chart" uri="{C3380CC4-5D6E-409C-BE32-E72D297353CC}">
              <c16:uniqueId val="{00000000-CB93-4FCD-8742-8130071B4120}"/>
            </c:ext>
          </c:extLst>
        </c:ser>
        <c:ser>
          <c:idx val="2"/>
          <c:order val="2"/>
          <c:tx>
            <c:strRef>
              <c:f>Sheet1!$G$1</c:f>
              <c:strCache>
                <c:ptCount val="1"/>
                <c:pt idx="0">
                  <c:v>MCCP</c:v>
                </c:pt>
              </c:strCache>
            </c:strRef>
          </c:tx>
          <c:spPr>
            <a:solidFill>
              <a:schemeClr val="accent2"/>
            </a:solidFill>
            <a:ln>
              <a:noFill/>
            </a:ln>
            <a:effectLst/>
          </c:spPr>
          <c:invertIfNegative val="0"/>
          <c:cat>
            <c:numRef>
              <c:f>Sheet1!$B$2:$B$8</c:f>
              <c:numCache>
                <c:formatCode>General</c:formatCode>
                <c:ptCount val="7"/>
                <c:pt idx="0">
                  <c:v>2017</c:v>
                </c:pt>
                <c:pt idx="1">
                  <c:v>2018</c:v>
                </c:pt>
                <c:pt idx="2">
                  <c:v>2019</c:v>
                </c:pt>
                <c:pt idx="3">
                  <c:v>2020</c:v>
                </c:pt>
                <c:pt idx="4">
                  <c:v>2021</c:v>
                </c:pt>
                <c:pt idx="5">
                  <c:v>2022</c:v>
                </c:pt>
                <c:pt idx="6">
                  <c:v>2023</c:v>
                </c:pt>
              </c:numCache>
            </c:numRef>
          </c:cat>
          <c:val>
            <c:numRef>
              <c:f>Sheet1!$G$2:$G$8</c:f>
              <c:numCache>
                <c:formatCode>General</c:formatCode>
                <c:ptCount val="7"/>
                <c:pt idx="0">
                  <c:v>0.28000000000000003</c:v>
                </c:pt>
                <c:pt idx="1">
                  <c:v>0.33</c:v>
                </c:pt>
                <c:pt idx="2">
                  <c:v>0.64</c:v>
                </c:pt>
                <c:pt idx="3">
                  <c:v>0.86</c:v>
                </c:pt>
                <c:pt idx="4">
                  <c:v>1.19</c:v>
                </c:pt>
                <c:pt idx="5">
                  <c:v>1.42</c:v>
                </c:pt>
                <c:pt idx="6">
                  <c:v>1.87</c:v>
                </c:pt>
              </c:numCache>
            </c:numRef>
          </c:val>
          <c:extLst>
            <c:ext xmlns:c16="http://schemas.microsoft.com/office/drawing/2014/chart" uri="{C3380CC4-5D6E-409C-BE32-E72D297353CC}">
              <c16:uniqueId val="{00000001-CB93-4FCD-8742-8130071B4120}"/>
            </c:ext>
          </c:extLst>
        </c:ser>
        <c:dLbls>
          <c:showLegendKey val="0"/>
          <c:showVal val="0"/>
          <c:showCatName val="0"/>
          <c:showSerName val="0"/>
          <c:showPercent val="0"/>
          <c:showBubbleSize val="0"/>
        </c:dLbls>
        <c:gapWidth val="219"/>
        <c:overlap val="-27"/>
        <c:axId val="672670031"/>
        <c:axId val="672671471"/>
        <c:extLst>
          <c:ext xmlns:c15="http://schemas.microsoft.com/office/drawing/2012/chart" uri="{02D57815-91ED-43cb-92C2-25804820EDAC}">
            <c15:filteredBarSeries>
              <c15:ser>
                <c:idx val="0"/>
                <c:order val="0"/>
                <c:tx>
                  <c:strRef>
                    <c:extLst>
                      <c:ext uri="{02D57815-91ED-43cb-92C2-25804820EDAC}">
                        <c15:formulaRef>
                          <c15:sqref>Sheet1!$B$1</c15:sqref>
                        </c15:formulaRef>
                      </c:ext>
                    </c:extLst>
                    <c:strCache>
                      <c:ptCount val="1"/>
                      <c:pt idx="0">
                        <c:v>Year</c:v>
                      </c:pt>
                    </c:strCache>
                  </c:strRef>
                </c:tx>
                <c:spPr>
                  <a:solidFill>
                    <a:schemeClr val="accent1"/>
                  </a:solidFill>
                  <a:ln>
                    <a:noFill/>
                  </a:ln>
                  <a:effectLst/>
                </c:spPr>
                <c:invertIfNegative val="0"/>
                <c:cat>
                  <c:numRef>
                    <c:extLst>
                      <c:ext uri="{02D57815-91ED-43cb-92C2-25804820EDAC}">
                        <c15:formulaRef>
                          <c15:sqref>Sheet1!$B$2:$B$8</c15:sqref>
                        </c15:formulaRef>
                      </c:ext>
                    </c:extLst>
                    <c:numCache>
                      <c:formatCode>General</c:formatCode>
                      <c:ptCount val="7"/>
                      <c:pt idx="0">
                        <c:v>2017</c:v>
                      </c:pt>
                      <c:pt idx="1">
                        <c:v>2018</c:v>
                      </c:pt>
                      <c:pt idx="2">
                        <c:v>2019</c:v>
                      </c:pt>
                      <c:pt idx="3">
                        <c:v>2020</c:v>
                      </c:pt>
                      <c:pt idx="4">
                        <c:v>2021</c:v>
                      </c:pt>
                      <c:pt idx="5">
                        <c:v>2022</c:v>
                      </c:pt>
                      <c:pt idx="6">
                        <c:v>2023</c:v>
                      </c:pt>
                    </c:numCache>
                  </c:numRef>
                </c:cat>
                <c:val>
                  <c:numRef>
                    <c:extLst>
                      <c:ext uri="{02D57815-91ED-43cb-92C2-25804820EDAC}">
                        <c15:formulaRef>
                          <c15:sqref>Sheet1!$B$2:$B$8</c15:sqref>
                        </c15:formulaRef>
                      </c:ext>
                    </c:extLst>
                    <c:numCache>
                      <c:formatCode>General</c:formatCode>
                      <c:ptCount val="7"/>
                      <c:pt idx="0">
                        <c:v>2017</c:v>
                      </c:pt>
                      <c:pt idx="1">
                        <c:v>2018</c:v>
                      </c:pt>
                      <c:pt idx="2">
                        <c:v>2019</c:v>
                      </c:pt>
                      <c:pt idx="3">
                        <c:v>2020</c:v>
                      </c:pt>
                      <c:pt idx="4">
                        <c:v>2021</c:v>
                      </c:pt>
                      <c:pt idx="5">
                        <c:v>2022</c:v>
                      </c:pt>
                      <c:pt idx="6">
                        <c:v>2023</c:v>
                      </c:pt>
                    </c:numCache>
                  </c:numRef>
                </c:val>
                <c:extLst>
                  <c:ext xmlns:c16="http://schemas.microsoft.com/office/drawing/2014/chart" uri="{C3380CC4-5D6E-409C-BE32-E72D297353CC}">
                    <c16:uniqueId val="{00000002-CB93-4FCD-8742-8130071B4120}"/>
                  </c:ext>
                </c:extLst>
              </c15:ser>
            </c15:filteredBarSeries>
          </c:ext>
        </c:extLst>
      </c:barChart>
      <c:catAx>
        <c:axId val="672670031"/>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US" sz="1000" b="1" i="0" u="none" strike="noStrike" baseline="0">
                    <a:effectLst/>
                    <a:latin typeface="Cambria" panose="02040503050406030204" pitchFamily="18" charset="0"/>
                    <a:ea typeface="Cambria" panose="02040503050406030204" pitchFamily="18" charset="0"/>
                  </a:rPr>
                  <a:t>HS 3921120000 </a:t>
                </a:r>
                <a:endParaRPr lang="en-US" sz="1000" b="1">
                  <a:latin typeface="Cambria" panose="02040503050406030204" pitchFamily="18" charset="0"/>
                  <a:ea typeface="Cambria" panose="02040503050406030204" pitchFamily="18" charset="0"/>
                </a:endParaRPr>
              </a:p>
            </c:rich>
          </c:tx>
          <c:layout>
            <c:manualLayout>
              <c:xMode val="edge"/>
              <c:yMode val="edge"/>
              <c:x val="0.44254724409448826"/>
              <c:y val="2.2161452791374023E-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2671471"/>
        <c:crosses val="autoZero"/>
        <c:auto val="1"/>
        <c:lblAlgn val="ctr"/>
        <c:lblOffset val="100"/>
        <c:noMultiLvlLbl val="0"/>
      </c:catAx>
      <c:valAx>
        <c:axId val="6726714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2670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ME" sz="1000" b="1">
                <a:latin typeface="Cambria" panose="02040503050406030204" pitchFamily="18" charset="0"/>
                <a:ea typeface="Cambria" panose="02040503050406030204" pitchFamily="18" charset="0"/>
              </a:rPr>
              <a:t>HS 3920499000</a:t>
            </a:r>
            <a:endParaRPr lang="en-GB" sz="1000" b="1">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'PVC-grafici '!$J$36</c:f>
              <c:strCache>
                <c:ptCount val="1"/>
                <c:pt idx="0">
                  <c:v>SCCP</c:v>
                </c:pt>
              </c:strCache>
            </c:strRef>
          </c:tx>
          <c:spPr>
            <a:solidFill>
              <a:schemeClr val="accent1"/>
            </a:solidFill>
            <a:ln>
              <a:noFill/>
            </a:ln>
            <a:effectLst/>
          </c:spPr>
          <c:invertIfNegative val="0"/>
          <c:cat>
            <c:numRef>
              <c:f>'PVC-grafici '!$K$35:$Q$35</c:f>
              <c:numCache>
                <c:formatCode>General</c:formatCode>
                <c:ptCount val="7"/>
                <c:pt idx="0">
                  <c:v>2017</c:v>
                </c:pt>
                <c:pt idx="1">
                  <c:v>2018</c:v>
                </c:pt>
                <c:pt idx="2">
                  <c:v>2019</c:v>
                </c:pt>
                <c:pt idx="3">
                  <c:v>2020</c:v>
                </c:pt>
                <c:pt idx="4">
                  <c:v>2021</c:v>
                </c:pt>
                <c:pt idx="5">
                  <c:v>2022</c:v>
                </c:pt>
                <c:pt idx="6">
                  <c:v>2023</c:v>
                </c:pt>
              </c:numCache>
            </c:numRef>
          </c:cat>
          <c:val>
            <c:numRef>
              <c:f>'PVC-grafici '!$K$36:$Q$36</c:f>
              <c:numCache>
                <c:formatCode>0.0</c:formatCode>
                <c:ptCount val="7"/>
                <c:pt idx="0">
                  <c:v>0</c:v>
                </c:pt>
                <c:pt idx="1">
                  <c:v>1278.5940000000001</c:v>
                </c:pt>
                <c:pt idx="2">
                  <c:v>17.447400000000002</c:v>
                </c:pt>
                <c:pt idx="3">
                  <c:v>13.617000000000003</c:v>
                </c:pt>
                <c:pt idx="4">
                  <c:v>123.21899999999998</c:v>
                </c:pt>
                <c:pt idx="5">
                  <c:v>626.86079999999993</c:v>
                </c:pt>
                <c:pt idx="6">
                  <c:v>722.37599999999998</c:v>
                </c:pt>
              </c:numCache>
            </c:numRef>
          </c:val>
          <c:extLst>
            <c:ext xmlns:c16="http://schemas.microsoft.com/office/drawing/2014/chart" uri="{C3380CC4-5D6E-409C-BE32-E72D297353CC}">
              <c16:uniqueId val="{00000000-2C0C-4878-B622-B4BE44BB42E1}"/>
            </c:ext>
          </c:extLst>
        </c:ser>
        <c:ser>
          <c:idx val="1"/>
          <c:order val="1"/>
          <c:tx>
            <c:strRef>
              <c:f>'PVC-grafici '!$J$37</c:f>
              <c:strCache>
                <c:ptCount val="1"/>
                <c:pt idx="0">
                  <c:v>MCCP</c:v>
                </c:pt>
              </c:strCache>
            </c:strRef>
          </c:tx>
          <c:spPr>
            <a:solidFill>
              <a:schemeClr val="accent2"/>
            </a:solidFill>
            <a:ln>
              <a:noFill/>
            </a:ln>
            <a:effectLst/>
          </c:spPr>
          <c:invertIfNegative val="0"/>
          <c:cat>
            <c:numRef>
              <c:f>'PVC-grafici '!$K$35:$Q$35</c:f>
              <c:numCache>
                <c:formatCode>General</c:formatCode>
                <c:ptCount val="7"/>
                <c:pt idx="0">
                  <c:v>2017</c:v>
                </c:pt>
                <c:pt idx="1">
                  <c:v>2018</c:v>
                </c:pt>
                <c:pt idx="2">
                  <c:v>2019</c:v>
                </c:pt>
                <c:pt idx="3">
                  <c:v>2020</c:v>
                </c:pt>
                <c:pt idx="4">
                  <c:v>2021</c:v>
                </c:pt>
                <c:pt idx="5">
                  <c:v>2022</c:v>
                </c:pt>
                <c:pt idx="6">
                  <c:v>2023</c:v>
                </c:pt>
              </c:numCache>
            </c:numRef>
          </c:cat>
          <c:val>
            <c:numRef>
              <c:f>'PVC-grafici '!$K$37:$Q$37</c:f>
              <c:numCache>
                <c:formatCode>0.0</c:formatCode>
                <c:ptCount val="7"/>
                <c:pt idx="0">
                  <c:v>0</c:v>
                </c:pt>
                <c:pt idx="1">
                  <c:v>728.7985799999999</c:v>
                </c:pt>
                <c:pt idx="2">
                  <c:v>9.9450179999999992</c:v>
                </c:pt>
                <c:pt idx="3">
                  <c:v>7.7616900000000006</c:v>
                </c:pt>
                <c:pt idx="4">
                  <c:v>70.234829999999988</c:v>
                </c:pt>
                <c:pt idx="5">
                  <c:v>357.31065599999988</c:v>
                </c:pt>
                <c:pt idx="6">
                  <c:v>411.75431999999995</c:v>
                </c:pt>
              </c:numCache>
            </c:numRef>
          </c:val>
          <c:extLst>
            <c:ext xmlns:c16="http://schemas.microsoft.com/office/drawing/2014/chart" uri="{C3380CC4-5D6E-409C-BE32-E72D297353CC}">
              <c16:uniqueId val="{00000001-2C0C-4878-B622-B4BE44BB42E1}"/>
            </c:ext>
          </c:extLst>
        </c:ser>
        <c:dLbls>
          <c:showLegendKey val="0"/>
          <c:showVal val="0"/>
          <c:showCatName val="0"/>
          <c:showSerName val="0"/>
          <c:showPercent val="0"/>
          <c:showBubbleSize val="0"/>
        </c:dLbls>
        <c:gapWidth val="219"/>
        <c:overlap val="-27"/>
        <c:axId val="256740223"/>
        <c:axId val="256738559"/>
      </c:barChart>
      <c:catAx>
        <c:axId val="256740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6738559"/>
        <c:crosses val="autoZero"/>
        <c:auto val="1"/>
        <c:lblAlgn val="ctr"/>
        <c:lblOffset val="100"/>
        <c:noMultiLvlLbl val="0"/>
      </c:catAx>
      <c:valAx>
        <c:axId val="2567385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6740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ME" sz="1000" b="1">
                <a:latin typeface="Cambria" panose="02040503050406030204" pitchFamily="18" charset="0"/>
                <a:ea typeface="Cambria" panose="02040503050406030204" pitchFamily="18" charset="0"/>
              </a:rPr>
              <a:t>HS</a:t>
            </a:r>
            <a:r>
              <a:rPr lang="sr-Latn-ME" sz="1000" b="1" baseline="0">
                <a:latin typeface="Cambria" panose="02040503050406030204" pitchFamily="18" charset="0"/>
                <a:ea typeface="Cambria" panose="02040503050406030204" pitchFamily="18" charset="0"/>
              </a:rPr>
              <a:t> 3920491000</a:t>
            </a:r>
            <a:endParaRPr lang="en-GB" sz="1000" b="1">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'PVC-grafici '!$J$46</c:f>
              <c:strCache>
                <c:ptCount val="1"/>
                <c:pt idx="0">
                  <c:v>SCCP</c:v>
                </c:pt>
              </c:strCache>
            </c:strRef>
          </c:tx>
          <c:spPr>
            <a:solidFill>
              <a:schemeClr val="accent1"/>
            </a:solidFill>
            <a:ln>
              <a:noFill/>
            </a:ln>
            <a:effectLst/>
          </c:spPr>
          <c:invertIfNegative val="0"/>
          <c:cat>
            <c:numRef>
              <c:f>'PVC-grafici '!$K$45:$Q$45</c:f>
              <c:numCache>
                <c:formatCode>General</c:formatCode>
                <c:ptCount val="7"/>
                <c:pt idx="0">
                  <c:v>2017</c:v>
                </c:pt>
                <c:pt idx="1">
                  <c:v>2018</c:v>
                </c:pt>
                <c:pt idx="2">
                  <c:v>2019</c:v>
                </c:pt>
                <c:pt idx="3">
                  <c:v>2020</c:v>
                </c:pt>
                <c:pt idx="4">
                  <c:v>2021</c:v>
                </c:pt>
                <c:pt idx="5">
                  <c:v>2022</c:v>
                </c:pt>
                <c:pt idx="6">
                  <c:v>2023</c:v>
                </c:pt>
              </c:numCache>
            </c:numRef>
          </c:cat>
          <c:val>
            <c:numRef>
              <c:f>'PVC-grafici '!$K$46:$Q$46</c:f>
              <c:numCache>
                <c:formatCode>0.00</c:formatCode>
                <c:ptCount val="7"/>
                <c:pt idx="0">
                  <c:v>1470.78</c:v>
                </c:pt>
                <c:pt idx="1">
                  <c:v>868.57199999999989</c:v>
                </c:pt>
                <c:pt idx="2">
                  <c:v>568.38240000000008</c:v>
                </c:pt>
                <c:pt idx="3">
                  <c:v>6.7715999999999994</c:v>
                </c:pt>
                <c:pt idx="4">
                  <c:v>151.05600000000001</c:v>
                </c:pt>
                <c:pt idx="5">
                  <c:v>252.33300000000003</c:v>
                </c:pt>
                <c:pt idx="6">
                  <c:v>336.5532</c:v>
                </c:pt>
              </c:numCache>
            </c:numRef>
          </c:val>
          <c:extLst>
            <c:ext xmlns:c16="http://schemas.microsoft.com/office/drawing/2014/chart" uri="{C3380CC4-5D6E-409C-BE32-E72D297353CC}">
              <c16:uniqueId val="{00000000-ACA2-46A9-BBDB-00C30F3181DF}"/>
            </c:ext>
          </c:extLst>
        </c:ser>
        <c:ser>
          <c:idx val="1"/>
          <c:order val="1"/>
          <c:tx>
            <c:strRef>
              <c:f>'PVC-grafici '!$J$47</c:f>
              <c:strCache>
                <c:ptCount val="1"/>
                <c:pt idx="0">
                  <c:v>MCCP</c:v>
                </c:pt>
              </c:strCache>
            </c:strRef>
          </c:tx>
          <c:spPr>
            <a:solidFill>
              <a:schemeClr val="accent2"/>
            </a:solidFill>
            <a:ln>
              <a:noFill/>
            </a:ln>
            <a:effectLst/>
          </c:spPr>
          <c:invertIfNegative val="0"/>
          <c:cat>
            <c:numRef>
              <c:f>'PVC-grafici '!$K$45:$Q$45</c:f>
              <c:numCache>
                <c:formatCode>General</c:formatCode>
                <c:ptCount val="7"/>
                <c:pt idx="0">
                  <c:v>2017</c:v>
                </c:pt>
                <c:pt idx="1">
                  <c:v>2018</c:v>
                </c:pt>
                <c:pt idx="2">
                  <c:v>2019</c:v>
                </c:pt>
                <c:pt idx="3">
                  <c:v>2020</c:v>
                </c:pt>
                <c:pt idx="4">
                  <c:v>2021</c:v>
                </c:pt>
                <c:pt idx="5">
                  <c:v>2022</c:v>
                </c:pt>
                <c:pt idx="6">
                  <c:v>2023</c:v>
                </c:pt>
              </c:numCache>
            </c:numRef>
          </c:cat>
          <c:val>
            <c:numRef>
              <c:f>'PVC-grafici '!$K$47:$Q$47</c:f>
              <c:numCache>
                <c:formatCode>0.00</c:formatCode>
                <c:ptCount val="7"/>
                <c:pt idx="0">
                  <c:v>838.34460000000001</c:v>
                </c:pt>
                <c:pt idx="1">
                  <c:v>495.08603999999991</c:v>
                </c:pt>
                <c:pt idx="2">
                  <c:v>323.97796799999998</c:v>
                </c:pt>
                <c:pt idx="3">
                  <c:v>3.8598119999999994</c:v>
                </c:pt>
                <c:pt idx="4">
                  <c:v>86.101919999999993</c:v>
                </c:pt>
                <c:pt idx="5">
                  <c:v>143.82981000000001</c:v>
                </c:pt>
                <c:pt idx="6">
                  <c:v>191.83532399999999</c:v>
                </c:pt>
              </c:numCache>
            </c:numRef>
          </c:val>
          <c:extLst>
            <c:ext xmlns:c16="http://schemas.microsoft.com/office/drawing/2014/chart" uri="{C3380CC4-5D6E-409C-BE32-E72D297353CC}">
              <c16:uniqueId val="{00000001-ACA2-46A9-BBDB-00C30F3181DF}"/>
            </c:ext>
          </c:extLst>
        </c:ser>
        <c:dLbls>
          <c:showLegendKey val="0"/>
          <c:showVal val="0"/>
          <c:showCatName val="0"/>
          <c:showSerName val="0"/>
          <c:showPercent val="0"/>
          <c:showBubbleSize val="0"/>
        </c:dLbls>
        <c:gapWidth val="219"/>
        <c:overlap val="-27"/>
        <c:axId val="258219599"/>
        <c:axId val="258204207"/>
      </c:barChart>
      <c:catAx>
        <c:axId val="258219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8204207"/>
        <c:crosses val="autoZero"/>
        <c:auto val="1"/>
        <c:lblAlgn val="ctr"/>
        <c:lblOffset val="100"/>
        <c:noMultiLvlLbl val="0"/>
      </c:catAx>
      <c:valAx>
        <c:axId val="2582042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82195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ME" sz="1000" b="1">
                <a:latin typeface="Cambria" panose="02040503050406030204" pitchFamily="18" charset="0"/>
                <a:ea typeface="Cambria" panose="02040503050406030204" pitchFamily="18" charset="0"/>
              </a:rPr>
              <a:t>HS 3920439000</a:t>
            </a:r>
            <a:endParaRPr lang="en-GB" sz="1000" b="1">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'PVC-grafici '!$I$64</c:f>
              <c:strCache>
                <c:ptCount val="1"/>
                <c:pt idx="0">
                  <c:v>SCCP</c:v>
                </c:pt>
              </c:strCache>
            </c:strRef>
          </c:tx>
          <c:spPr>
            <a:solidFill>
              <a:schemeClr val="accent1"/>
            </a:solidFill>
            <a:ln>
              <a:noFill/>
            </a:ln>
            <a:effectLst/>
          </c:spPr>
          <c:invertIfNegative val="0"/>
          <c:cat>
            <c:numRef>
              <c:f>'PVC-grafici '!$J$63:$P$63</c:f>
              <c:numCache>
                <c:formatCode>General</c:formatCode>
                <c:ptCount val="7"/>
                <c:pt idx="0">
                  <c:v>2017</c:v>
                </c:pt>
                <c:pt idx="1">
                  <c:v>2018</c:v>
                </c:pt>
                <c:pt idx="2">
                  <c:v>2019</c:v>
                </c:pt>
                <c:pt idx="3">
                  <c:v>2020</c:v>
                </c:pt>
                <c:pt idx="4">
                  <c:v>2021</c:v>
                </c:pt>
                <c:pt idx="5">
                  <c:v>2022</c:v>
                </c:pt>
                <c:pt idx="6">
                  <c:v>2023</c:v>
                </c:pt>
              </c:numCache>
            </c:numRef>
          </c:cat>
          <c:val>
            <c:numRef>
              <c:f>'PVC-grafici '!$J$64:$P$64</c:f>
              <c:numCache>
                <c:formatCode>0.00</c:formatCode>
                <c:ptCount val="7"/>
                <c:pt idx="0">
                  <c:v>519.71400000000006</c:v>
                </c:pt>
                <c:pt idx="1">
                  <c:v>1937.2266000000002</c:v>
                </c:pt>
                <c:pt idx="2">
                  <c:v>2288.0573999999997</c:v>
                </c:pt>
                <c:pt idx="3">
                  <c:v>2349.2574</c:v>
                </c:pt>
                <c:pt idx="4">
                  <c:v>1479.4325999999999</c:v>
                </c:pt>
                <c:pt idx="5">
                  <c:v>1035.3024</c:v>
                </c:pt>
                <c:pt idx="6">
                  <c:v>354.024</c:v>
                </c:pt>
              </c:numCache>
            </c:numRef>
          </c:val>
          <c:extLst>
            <c:ext xmlns:c16="http://schemas.microsoft.com/office/drawing/2014/chart" uri="{C3380CC4-5D6E-409C-BE32-E72D297353CC}">
              <c16:uniqueId val="{00000000-9FCC-43D1-862F-FA509BAA2BAE}"/>
            </c:ext>
          </c:extLst>
        </c:ser>
        <c:ser>
          <c:idx val="1"/>
          <c:order val="1"/>
          <c:tx>
            <c:strRef>
              <c:f>'PVC-grafici '!$I$65</c:f>
              <c:strCache>
                <c:ptCount val="1"/>
                <c:pt idx="0">
                  <c:v>MCCP</c:v>
                </c:pt>
              </c:strCache>
            </c:strRef>
          </c:tx>
          <c:spPr>
            <a:solidFill>
              <a:schemeClr val="accent2"/>
            </a:solidFill>
            <a:ln>
              <a:noFill/>
            </a:ln>
            <a:effectLst/>
          </c:spPr>
          <c:invertIfNegative val="0"/>
          <c:cat>
            <c:numRef>
              <c:f>'PVC-grafici '!$J$63:$P$63</c:f>
              <c:numCache>
                <c:formatCode>General</c:formatCode>
                <c:ptCount val="7"/>
                <c:pt idx="0">
                  <c:v>2017</c:v>
                </c:pt>
                <c:pt idx="1">
                  <c:v>2018</c:v>
                </c:pt>
                <c:pt idx="2">
                  <c:v>2019</c:v>
                </c:pt>
                <c:pt idx="3">
                  <c:v>2020</c:v>
                </c:pt>
                <c:pt idx="4">
                  <c:v>2021</c:v>
                </c:pt>
                <c:pt idx="5">
                  <c:v>2022</c:v>
                </c:pt>
                <c:pt idx="6">
                  <c:v>2023</c:v>
                </c:pt>
              </c:numCache>
            </c:numRef>
          </c:cat>
          <c:val>
            <c:numRef>
              <c:f>'PVC-grafici '!$J$65:$P$65</c:f>
              <c:numCache>
                <c:formatCode>0.00</c:formatCode>
                <c:ptCount val="7"/>
                <c:pt idx="0">
                  <c:v>296.23697999999996</c:v>
                </c:pt>
                <c:pt idx="1">
                  <c:v>1104.2191620000001</c:v>
                </c:pt>
                <c:pt idx="2">
                  <c:v>1304.1927179999998</c:v>
                </c:pt>
                <c:pt idx="3">
                  <c:v>1339.0767179999998</c:v>
                </c:pt>
                <c:pt idx="4">
                  <c:v>843.27658199999996</c:v>
                </c:pt>
                <c:pt idx="5">
                  <c:v>590.12236800000005</c:v>
                </c:pt>
                <c:pt idx="6">
                  <c:v>201.79367999999999</c:v>
                </c:pt>
              </c:numCache>
            </c:numRef>
          </c:val>
          <c:extLst>
            <c:ext xmlns:c16="http://schemas.microsoft.com/office/drawing/2014/chart" uri="{C3380CC4-5D6E-409C-BE32-E72D297353CC}">
              <c16:uniqueId val="{00000001-9FCC-43D1-862F-FA509BAA2BAE}"/>
            </c:ext>
          </c:extLst>
        </c:ser>
        <c:dLbls>
          <c:showLegendKey val="0"/>
          <c:showVal val="0"/>
          <c:showCatName val="0"/>
          <c:showSerName val="0"/>
          <c:showPercent val="0"/>
          <c:showBubbleSize val="0"/>
        </c:dLbls>
        <c:gapWidth val="219"/>
        <c:overlap val="-27"/>
        <c:axId val="258207951"/>
        <c:axId val="258222511"/>
      </c:barChart>
      <c:catAx>
        <c:axId val="258207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8222511"/>
        <c:crosses val="autoZero"/>
        <c:auto val="1"/>
        <c:lblAlgn val="ctr"/>
        <c:lblOffset val="100"/>
        <c:noMultiLvlLbl val="0"/>
      </c:catAx>
      <c:valAx>
        <c:axId val="2582225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8207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ME" sz="1000" b="1">
                <a:latin typeface="Cambria" panose="02040503050406030204" pitchFamily="18" charset="0"/>
                <a:ea typeface="Cambria" panose="02040503050406030204" pitchFamily="18" charset="0"/>
              </a:rPr>
              <a:t>HS</a:t>
            </a:r>
            <a:r>
              <a:rPr lang="sr-Latn-ME" sz="1000" b="1" baseline="0">
                <a:latin typeface="Cambria" panose="02040503050406030204" pitchFamily="18" charset="0"/>
                <a:ea typeface="Cambria" panose="02040503050406030204" pitchFamily="18" charset="0"/>
              </a:rPr>
              <a:t> 3920431000</a:t>
            </a:r>
            <a:endParaRPr lang="en-GB" sz="1000" b="1">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'PVC-grafici '!$I$74</c:f>
              <c:strCache>
                <c:ptCount val="1"/>
                <c:pt idx="0">
                  <c:v>SCCP</c:v>
                </c:pt>
              </c:strCache>
            </c:strRef>
          </c:tx>
          <c:spPr>
            <a:solidFill>
              <a:schemeClr val="accent1"/>
            </a:solidFill>
            <a:ln>
              <a:noFill/>
            </a:ln>
            <a:effectLst/>
          </c:spPr>
          <c:invertIfNegative val="0"/>
          <c:cat>
            <c:numRef>
              <c:f>'PVC-grafici '!$J$73:$P$73</c:f>
              <c:numCache>
                <c:formatCode>General</c:formatCode>
                <c:ptCount val="7"/>
                <c:pt idx="0">
                  <c:v>2017</c:v>
                </c:pt>
                <c:pt idx="1">
                  <c:v>2018</c:v>
                </c:pt>
                <c:pt idx="2">
                  <c:v>2019</c:v>
                </c:pt>
                <c:pt idx="3">
                  <c:v>2020</c:v>
                </c:pt>
                <c:pt idx="4">
                  <c:v>2021</c:v>
                </c:pt>
                <c:pt idx="5">
                  <c:v>2022</c:v>
                </c:pt>
                <c:pt idx="6">
                  <c:v>2023</c:v>
                </c:pt>
              </c:numCache>
            </c:numRef>
          </c:cat>
          <c:val>
            <c:numRef>
              <c:f>'PVC-grafici '!$J$74:$P$74</c:f>
              <c:numCache>
                <c:formatCode>0.0</c:formatCode>
                <c:ptCount val="7"/>
                <c:pt idx="0">
                  <c:v>110.88</c:v>
                </c:pt>
                <c:pt idx="1">
                  <c:v>308.08979999999997</c:v>
                </c:pt>
                <c:pt idx="2">
                  <c:v>314.83620000000002</c:v>
                </c:pt>
                <c:pt idx="3">
                  <c:v>700.04699999999991</c:v>
                </c:pt>
                <c:pt idx="4">
                  <c:v>243.774</c:v>
                </c:pt>
                <c:pt idx="5">
                  <c:v>55.252799999999993</c:v>
                </c:pt>
                <c:pt idx="6">
                  <c:v>137.11679999999998</c:v>
                </c:pt>
              </c:numCache>
            </c:numRef>
          </c:val>
          <c:extLst>
            <c:ext xmlns:c16="http://schemas.microsoft.com/office/drawing/2014/chart" uri="{C3380CC4-5D6E-409C-BE32-E72D297353CC}">
              <c16:uniqueId val="{00000000-9DC0-4AB9-A7CF-0073B5E765E0}"/>
            </c:ext>
          </c:extLst>
        </c:ser>
        <c:ser>
          <c:idx val="1"/>
          <c:order val="1"/>
          <c:tx>
            <c:strRef>
              <c:f>'PVC-grafici '!$I$75</c:f>
              <c:strCache>
                <c:ptCount val="1"/>
                <c:pt idx="0">
                  <c:v>MCCP</c:v>
                </c:pt>
              </c:strCache>
            </c:strRef>
          </c:tx>
          <c:spPr>
            <a:solidFill>
              <a:schemeClr val="accent2"/>
            </a:solidFill>
            <a:ln>
              <a:noFill/>
            </a:ln>
            <a:effectLst/>
          </c:spPr>
          <c:invertIfNegative val="0"/>
          <c:cat>
            <c:numRef>
              <c:f>'PVC-grafici '!$J$73:$P$73</c:f>
              <c:numCache>
                <c:formatCode>General</c:formatCode>
                <c:ptCount val="7"/>
                <c:pt idx="0">
                  <c:v>2017</c:v>
                </c:pt>
                <c:pt idx="1">
                  <c:v>2018</c:v>
                </c:pt>
                <c:pt idx="2">
                  <c:v>2019</c:v>
                </c:pt>
                <c:pt idx="3">
                  <c:v>2020</c:v>
                </c:pt>
                <c:pt idx="4">
                  <c:v>2021</c:v>
                </c:pt>
                <c:pt idx="5">
                  <c:v>2022</c:v>
                </c:pt>
                <c:pt idx="6">
                  <c:v>2023</c:v>
                </c:pt>
              </c:numCache>
            </c:numRef>
          </c:cat>
          <c:val>
            <c:numRef>
              <c:f>'PVC-grafici '!$J$75:$P$75</c:f>
              <c:numCache>
                <c:formatCode>0.0</c:formatCode>
                <c:ptCount val="7"/>
                <c:pt idx="0">
                  <c:v>63.201599999999999</c:v>
                </c:pt>
                <c:pt idx="1">
                  <c:v>175.61118599999998</c:v>
                </c:pt>
                <c:pt idx="2">
                  <c:v>179.45663399999998</c:v>
                </c:pt>
                <c:pt idx="3">
                  <c:v>399.02678999999995</c:v>
                </c:pt>
                <c:pt idx="4">
                  <c:v>138.95117999999999</c:v>
                </c:pt>
                <c:pt idx="5">
                  <c:v>31.494095999999999</c:v>
                </c:pt>
                <c:pt idx="6">
                  <c:v>78.156576000000001</c:v>
                </c:pt>
              </c:numCache>
            </c:numRef>
          </c:val>
          <c:extLst>
            <c:ext xmlns:c16="http://schemas.microsoft.com/office/drawing/2014/chart" uri="{C3380CC4-5D6E-409C-BE32-E72D297353CC}">
              <c16:uniqueId val="{00000001-9DC0-4AB9-A7CF-0073B5E765E0}"/>
            </c:ext>
          </c:extLst>
        </c:ser>
        <c:dLbls>
          <c:showLegendKey val="0"/>
          <c:showVal val="0"/>
          <c:showCatName val="0"/>
          <c:showSerName val="0"/>
          <c:showPercent val="0"/>
          <c:showBubbleSize val="0"/>
        </c:dLbls>
        <c:gapWidth val="219"/>
        <c:overlap val="-27"/>
        <c:axId val="73680207"/>
        <c:axId val="73689775"/>
      </c:barChart>
      <c:catAx>
        <c:axId val="73680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689775"/>
        <c:crosses val="autoZero"/>
        <c:auto val="1"/>
        <c:lblAlgn val="ctr"/>
        <c:lblOffset val="100"/>
        <c:noMultiLvlLbl val="0"/>
      </c:catAx>
      <c:valAx>
        <c:axId val="736897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6802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sr-Latn-ME" sz="1000" b="1" i="0" baseline="0">
                <a:effectLst/>
                <a:latin typeface="Cambria" panose="02040503050406030204" pitchFamily="18" charset="0"/>
                <a:ea typeface="Cambria" panose="02040503050406030204" pitchFamily="18" charset="0"/>
              </a:rPr>
              <a:t>HS 3918101000</a:t>
            </a:r>
            <a:endParaRPr lang="en-GB" sz="1000" b="1">
              <a:effectLst/>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'PVC-grafici '!$L$130</c:f>
              <c:strCache>
                <c:ptCount val="1"/>
                <c:pt idx="0">
                  <c:v>SCCP</c:v>
                </c:pt>
              </c:strCache>
            </c:strRef>
          </c:tx>
          <c:spPr>
            <a:solidFill>
              <a:schemeClr val="accent1"/>
            </a:solidFill>
            <a:ln>
              <a:noFill/>
            </a:ln>
            <a:effectLst/>
          </c:spPr>
          <c:invertIfNegative val="0"/>
          <c:cat>
            <c:numRef>
              <c:f>'PVC-grafici '!$M$129:$S$129</c:f>
              <c:numCache>
                <c:formatCode>General</c:formatCode>
                <c:ptCount val="7"/>
                <c:pt idx="0">
                  <c:v>2017</c:v>
                </c:pt>
                <c:pt idx="1">
                  <c:v>2018</c:v>
                </c:pt>
                <c:pt idx="2">
                  <c:v>2019</c:v>
                </c:pt>
                <c:pt idx="3">
                  <c:v>2020</c:v>
                </c:pt>
                <c:pt idx="4">
                  <c:v>2021</c:v>
                </c:pt>
                <c:pt idx="5">
                  <c:v>2022</c:v>
                </c:pt>
                <c:pt idx="6">
                  <c:v>2023</c:v>
                </c:pt>
              </c:numCache>
            </c:numRef>
          </c:cat>
          <c:val>
            <c:numRef>
              <c:f>'PVC-grafici '!$M$130:$S$130</c:f>
              <c:numCache>
                <c:formatCode>0.0</c:formatCode>
                <c:ptCount val="7"/>
                <c:pt idx="0">
                  <c:v>6.5369079999999995</c:v>
                </c:pt>
                <c:pt idx="1">
                  <c:v>22.351496000000008</c:v>
                </c:pt>
                <c:pt idx="2">
                  <c:v>28.632840000000002</c:v>
                </c:pt>
                <c:pt idx="3">
                  <c:v>10.529956</c:v>
                </c:pt>
                <c:pt idx="4">
                  <c:v>37.36957000000001</c:v>
                </c:pt>
                <c:pt idx="5">
                  <c:v>57.298105999999997</c:v>
                </c:pt>
                <c:pt idx="6">
                  <c:v>80.763618000000008</c:v>
                </c:pt>
              </c:numCache>
            </c:numRef>
          </c:val>
          <c:extLst>
            <c:ext xmlns:c16="http://schemas.microsoft.com/office/drawing/2014/chart" uri="{C3380CC4-5D6E-409C-BE32-E72D297353CC}">
              <c16:uniqueId val="{00000000-4B32-4AF2-B4A0-ABA19DD27F35}"/>
            </c:ext>
          </c:extLst>
        </c:ser>
        <c:ser>
          <c:idx val="1"/>
          <c:order val="1"/>
          <c:tx>
            <c:strRef>
              <c:f>'PVC-grafici '!$L$131</c:f>
              <c:strCache>
                <c:ptCount val="1"/>
                <c:pt idx="0">
                  <c:v>MCCP</c:v>
                </c:pt>
              </c:strCache>
            </c:strRef>
          </c:tx>
          <c:spPr>
            <a:solidFill>
              <a:schemeClr val="accent2"/>
            </a:solidFill>
            <a:ln>
              <a:noFill/>
            </a:ln>
            <a:effectLst/>
          </c:spPr>
          <c:invertIfNegative val="0"/>
          <c:cat>
            <c:numRef>
              <c:f>'PVC-grafici '!$M$129:$S$129</c:f>
              <c:numCache>
                <c:formatCode>General</c:formatCode>
                <c:ptCount val="7"/>
                <c:pt idx="0">
                  <c:v>2017</c:v>
                </c:pt>
                <c:pt idx="1">
                  <c:v>2018</c:v>
                </c:pt>
                <c:pt idx="2">
                  <c:v>2019</c:v>
                </c:pt>
                <c:pt idx="3">
                  <c:v>2020</c:v>
                </c:pt>
                <c:pt idx="4">
                  <c:v>2021</c:v>
                </c:pt>
                <c:pt idx="5">
                  <c:v>2022</c:v>
                </c:pt>
                <c:pt idx="6">
                  <c:v>2023</c:v>
                </c:pt>
              </c:numCache>
            </c:numRef>
          </c:cat>
          <c:val>
            <c:numRef>
              <c:f>'PVC-grafici '!$M$131:$S$131</c:f>
              <c:numCache>
                <c:formatCode>0.0</c:formatCode>
                <c:ptCount val="7"/>
                <c:pt idx="0">
                  <c:v>8.9618899999999986</c:v>
                </c:pt>
                <c:pt idx="1">
                  <c:v>30.643180000000008</c:v>
                </c:pt>
                <c:pt idx="2">
                  <c:v>39.2547</c:v>
                </c:pt>
                <c:pt idx="3">
                  <c:v>14.43623</c:v>
                </c:pt>
                <c:pt idx="4">
                  <c:v>51.232475000000015</c:v>
                </c:pt>
                <c:pt idx="5">
                  <c:v>78.553854999999999</c:v>
                </c:pt>
                <c:pt idx="6">
                  <c:v>110.724315</c:v>
                </c:pt>
              </c:numCache>
            </c:numRef>
          </c:val>
          <c:extLst>
            <c:ext xmlns:c16="http://schemas.microsoft.com/office/drawing/2014/chart" uri="{C3380CC4-5D6E-409C-BE32-E72D297353CC}">
              <c16:uniqueId val="{00000001-4B32-4AF2-B4A0-ABA19DD27F35}"/>
            </c:ext>
          </c:extLst>
        </c:ser>
        <c:dLbls>
          <c:showLegendKey val="0"/>
          <c:showVal val="0"/>
          <c:showCatName val="0"/>
          <c:showSerName val="0"/>
          <c:showPercent val="0"/>
          <c:showBubbleSize val="0"/>
        </c:dLbls>
        <c:gapWidth val="219"/>
        <c:overlap val="-27"/>
        <c:axId val="258218767"/>
        <c:axId val="258208367"/>
      </c:barChart>
      <c:catAx>
        <c:axId val="2582187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8208367"/>
        <c:crosses val="autoZero"/>
        <c:auto val="1"/>
        <c:lblAlgn val="ctr"/>
        <c:lblOffset val="100"/>
        <c:noMultiLvlLbl val="0"/>
      </c:catAx>
      <c:valAx>
        <c:axId val="2582083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82187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055555555555558E-2"/>
          <c:y val="0.24776969587823119"/>
          <c:w val="0.81388888888888888"/>
          <c:h val="0.6093944578401651"/>
        </c:manualLayout>
      </c:layout>
      <c:pie3DChart>
        <c:varyColors val="1"/>
        <c:ser>
          <c:idx val="0"/>
          <c:order val="0"/>
          <c:tx>
            <c:strRef>
              <c:f>'PVC-grafici '!$D$98</c:f>
              <c:strCache>
                <c:ptCount val="1"/>
                <c:pt idx="0">
                  <c:v>PVC</c:v>
                </c:pt>
              </c:strCache>
            </c:strRef>
          </c:tx>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A2E6-4C32-B5DD-C8A7FC8898F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2E6-4C32-B5DD-C8A7FC8898F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2E6-4C32-B5DD-C8A7FC8898F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2E6-4C32-B5DD-C8A7FC8898F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2E6-4C32-B5DD-C8A7FC8898F2}"/>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A2E6-4C32-B5DD-C8A7FC8898F2}"/>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A2E6-4C32-B5DD-C8A7FC8898F2}"/>
              </c:ext>
            </c:extLst>
          </c:dPt>
          <c:dLbls>
            <c:dLbl>
              <c:idx val="2"/>
              <c:layout>
                <c:manualLayout>
                  <c:x val="-3.9215686274509727E-2"/>
                  <c:y val="-6.417112299465241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2E6-4C32-B5DD-C8A7FC8898F2}"/>
                </c:ext>
              </c:extLst>
            </c:dLbl>
            <c:dLbl>
              <c:idx val="4"/>
              <c:layout>
                <c:manualLayout>
                  <c:x val="-4.3572984749455342E-3"/>
                  <c:y val="5.347593582887700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A2E6-4C32-B5DD-C8A7FC8898F2}"/>
                </c:ext>
              </c:extLst>
            </c:dLbl>
            <c:dLbl>
              <c:idx val="5"/>
              <c:layout>
                <c:manualLayout>
                  <c:x val="2.1786492374727671E-3"/>
                  <c:y val="-2.495543672014260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A2E6-4C32-B5DD-C8A7FC8898F2}"/>
                </c:ext>
              </c:extLst>
            </c:dLbl>
            <c:dLbl>
              <c:idx val="6"/>
              <c:layout>
                <c:manualLayout>
                  <c:x val="3.9215686274509762E-2"/>
                  <c:y val="-2.852049910873443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A2E6-4C32-B5DD-C8A7FC8898F2}"/>
                </c:ext>
              </c:extLst>
            </c:dLbl>
            <c:spPr>
              <a:solidFill>
                <a:sysClr val="window" lastClr="FFFFFF"/>
              </a:solidFill>
              <a:ln>
                <a:solidFill>
                  <a:sysClr val="windowText" lastClr="000000">
                    <a:lumMod val="25000"/>
                    <a:lumOff val="75000"/>
                  </a:sysClr>
                </a:solidFill>
              </a:ln>
              <a:effectLst/>
            </c:spPr>
            <c:txPr>
              <a:bodyPr rot="0" spcFirstLastPara="1" vertOverflow="overflow" horzOverflow="overflow"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'PVC-grafici '!$E$97:$K$97</c:f>
              <c:strCache>
                <c:ptCount val="7"/>
                <c:pt idx="0">
                  <c:v>HS 3921120000</c:v>
                </c:pt>
                <c:pt idx="1">
                  <c:v>HS 3920499000</c:v>
                </c:pt>
                <c:pt idx="2">
                  <c:v>HS 3920491000</c:v>
                </c:pt>
                <c:pt idx="3">
                  <c:v>HS 3920439000</c:v>
                </c:pt>
                <c:pt idx="4">
                  <c:v>HS 3920431000</c:v>
                </c:pt>
                <c:pt idx="5">
                  <c:v>HS 3904220000</c:v>
                </c:pt>
                <c:pt idx="6">
                  <c:v>HS 3918101000</c:v>
                </c:pt>
              </c:strCache>
            </c:strRef>
          </c:cat>
          <c:val>
            <c:numRef>
              <c:f>'PVC-grafici '!$E$98:$K$98</c:f>
              <c:numCache>
                <c:formatCode>General</c:formatCode>
                <c:ptCount val="7"/>
                <c:pt idx="0">
                  <c:v>65883.97</c:v>
                </c:pt>
                <c:pt idx="1">
                  <c:v>15456.189999999999</c:v>
                </c:pt>
                <c:pt idx="2">
                  <c:v>20302.490000000002</c:v>
                </c:pt>
                <c:pt idx="3">
                  <c:v>55350.080000000002</c:v>
                </c:pt>
                <c:pt idx="4">
                  <c:v>10388.869999999999</c:v>
                </c:pt>
                <c:pt idx="5">
                  <c:v>131.75</c:v>
                </c:pt>
                <c:pt idx="6">
                  <c:v>39271.370000000003</c:v>
                </c:pt>
              </c:numCache>
            </c:numRef>
          </c:val>
          <c:extLst>
            <c:ext xmlns:c16="http://schemas.microsoft.com/office/drawing/2014/chart" uri="{C3380CC4-5D6E-409C-BE32-E72D297353CC}">
              <c16:uniqueId val="{0000000E-A2E6-4C32-B5DD-C8A7FC8898F2}"/>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US" sz="1000" b="1" i="0" u="none" strike="noStrike" baseline="0">
                <a:effectLst/>
                <a:latin typeface="Cambria" panose="02040503050406030204" pitchFamily="18" charset="0"/>
                <a:ea typeface="Cambria" panose="02040503050406030204" pitchFamily="18" charset="0"/>
              </a:rPr>
              <a:t>PUR foam </a:t>
            </a:r>
            <a:endParaRPr lang="en-GB" sz="1000" b="1">
              <a:latin typeface="Cambria" panose="02040503050406030204" pitchFamily="18" charset="0"/>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'pur pjena'!$B$38</c:f>
              <c:strCache>
                <c:ptCount val="1"/>
                <c:pt idx="0">
                  <c:v>SCCP</c:v>
                </c:pt>
              </c:strCache>
            </c:strRef>
          </c:tx>
          <c:spPr>
            <a:solidFill>
              <a:schemeClr val="accent1"/>
            </a:solidFill>
            <a:ln>
              <a:noFill/>
            </a:ln>
            <a:effectLst/>
          </c:spPr>
          <c:invertIfNegative val="0"/>
          <c:cat>
            <c:numRef>
              <c:f>'pur pjena'!$C$37:$I$37</c:f>
              <c:numCache>
                <c:formatCode>General</c:formatCode>
                <c:ptCount val="7"/>
                <c:pt idx="0">
                  <c:v>2017</c:v>
                </c:pt>
                <c:pt idx="1">
                  <c:v>2018</c:v>
                </c:pt>
                <c:pt idx="2">
                  <c:v>2019</c:v>
                </c:pt>
                <c:pt idx="3">
                  <c:v>2020</c:v>
                </c:pt>
                <c:pt idx="4">
                  <c:v>2021</c:v>
                </c:pt>
                <c:pt idx="5">
                  <c:v>2022</c:v>
                </c:pt>
                <c:pt idx="6">
                  <c:v>2023</c:v>
                </c:pt>
              </c:numCache>
            </c:numRef>
          </c:cat>
          <c:val>
            <c:numRef>
              <c:f>'pur pjena'!$C$38:$I$38</c:f>
              <c:numCache>
                <c:formatCode>0.0</c:formatCode>
                <c:ptCount val="7"/>
                <c:pt idx="0">
                  <c:v>20.435200000000002</c:v>
                </c:pt>
                <c:pt idx="1">
                  <c:v>30.652800000000003</c:v>
                </c:pt>
                <c:pt idx="3" formatCode="0.00">
                  <c:v>0.18128000000000002</c:v>
                </c:pt>
                <c:pt idx="6" formatCode="0.00">
                  <c:v>0.24720000000000003</c:v>
                </c:pt>
              </c:numCache>
            </c:numRef>
          </c:val>
          <c:extLst>
            <c:ext xmlns:c16="http://schemas.microsoft.com/office/drawing/2014/chart" uri="{C3380CC4-5D6E-409C-BE32-E72D297353CC}">
              <c16:uniqueId val="{00000000-2FC3-400C-996D-40612DB7AE58}"/>
            </c:ext>
          </c:extLst>
        </c:ser>
        <c:ser>
          <c:idx val="1"/>
          <c:order val="1"/>
          <c:tx>
            <c:strRef>
              <c:f>'pur pjena'!$B$39</c:f>
              <c:strCache>
                <c:ptCount val="1"/>
                <c:pt idx="0">
                  <c:v>MCCP</c:v>
                </c:pt>
              </c:strCache>
            </c:strRef>
          </c:tx>
          <c:spPr>
            <a:solidFill>
              <a:schemeClr val="accent2"/>
            </a:solidFill>
            <a:ln>
              <a:noFill/>
            </a:ln>
            <a:effectLst/>
          </c:spPr>
          <c:invertIfNegative val="0"/>
          <c:cat>
            <c:numRef>
              <c:f>'pur pjena'!$C$37:$I$37</c:f>
              <c:numCache>
                <c:formatCode>General</c:formatCode>
                <c:ptCount val="7"/>
                <c:pt idx="0">
                  <c:v>2017</c:v>
                </c:pt>
                <c:pt idx="1">
                  <c:v>2018</c:v>
                </c:pt>
                <c:pt idx="2">
                  <c:v>2019</c:v>
                </c:pt>
                <c:pt idx="3">
                  <c:v>2020</c:v>
                </c:pt>
                <c:pt idx="4">
                  <c:v>2021</c:v>
                </c:pt>
                <c:pt idx="5">
                  <c:v>2022</c:v>
                </c:pt>
                <c:pt idx="6">
                  <c:v>2023</c:v>
                </c:pt>
              </c:numCache>
            </c:numRef>
          </c:cat>
          <c:val>
            <c:numRef>
              <c:f>'pur pjena'!$C$39:$I$39</c:f>
              <c:numCache>
                <c:formatCode>0.0</c:formatCode>
                <c:ptCount val="7"/>
                <c:pt idx="0">
                  <c:v>17.7072</c:v>
                </c:pt>
                <c:pt idx="1">
                  <c:v>26.560800000000004</c:v>
                </c:pt>
                <c:pt idx="3" formatCode="0.00">
                  <c:v>0.15708000000000003</c:v>
                </c:pt>
                <c:pt idx="6" formatCode="0.00">
                  <c:v>0.21420000000000003</c:v>
                </c:pt>
              </c:numCache>
            </c:numRef>
          </c:val>
          <c:extLst>
            <c:ext xmlns:c16="http://schemas.microsoft.com/office/drawing/2014/chart" uri="{C3380CC4-5D6E-409C-BE32-E72D297353CC}">
              <c16:uniqueId val="{00000001-2FC3-400C-996D-40612DB7AE58}"/>
            </c:ext>
          </c:extLst>
        </c:ser>
        <c:dLbls>
          <c:showLegendKey val="0"/>
          <c:showVal val="0"/>
          <c:showCatName val="0"/>
          <c:showSerName val="0"/>
          <c:showPercent val="0"/>
          <c:showBubbleSize val="0"/>
        </c:dLbls>
        <c:gapWidth val="219"/>
        <c:overlap val="-27"/>
        <c:axId val="1740243648"/>
        <c:axId val="1977099264"/>
      </c:barChart>
      <c:catAx>
        <c:axId val="1740243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7099264"/>
        <c:crosses val="autoZero"/>
        <c:auto val="1"/>
        <c:lblAlgn val="ctr"/>
        <c:lblOffset val="100"/>
        <c:noMultiLvlLbl val="0"/>
      </c:catAx>
      <c:valAx>
        <c:axId val="1977099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0243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spc="0" baseline="0">
                <a:solidFill>
                  <a:sysClr val="windowText" lastClr="000000">
                    <a:lumMod val="65000"/>
                    <a:lumOff val="35000"/>
                  </a:sysClr>
                </a:solidFill>
                <a:latin typeface="Cambria" panose="02040503050406030204" pitchFamily="18" charset="0"/>
                <a:ea typeface="Cambria" panose="02040503050406030204" pitchFamily="18" charset="0"/>
                <a:cs typeface="+mn-cs"/>
              </a:defRPr>
            </a:pPr>
            <a:r>
              <a:rPr lang="en-GB" sz="1000" b="1">
                <a:latin typeface="Cambria" panose="02040503050406030204" pitchFamily="18" charset="0"/>
                <a:ea typeface="Cambria" panose="02040503050406030204" pitchFamily="18" charset="0"/>
              </a:rPr>
              <a:t>SCCP</a:t>
            </a:r>
            <a:r>
              <a:rPr lang="sr-Latn-ME" sz="1000" b="1">
                <a:latin typeface="Cambria" panose="02040503050406030204" pitchFamily="18" charset="0"/>
                <a:ea typeface="Cambria" panose="02040503050406030204" pitchFamily="18" charset="0"/>
              </a:rPr>
              <a:t>s</a:t>
            </a:r>
            <a:r>
              <a:rPr lang="en-GB" sz="1000" b="1">
                <a:latin typeface="Cambria" panose="02040503050406030204" pitchFamily="18" charset="0"/>
                <a:ea typeface="Cambria" panose="02040503050406030204" pitchFamily="18" charset="0"/>
              </a:rPr>
              <a:t> in WEEE </a:t>
            </a:r>
          </a:p>
        </c:rich>
      </c:tx>
      <c:layout>
        <c:manualLayout>
          <c:xMode val="edge"/>
          <c:yMode val="edge"/>
          <c:x val="0.39574999999999999"/>
          <c:y val="3.8626258471422419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spc="0" baseline="0">
              <a:solidFill>
                <a:sysClr val="windowText" lastClr="000000">
                  <a:lumMod val="65000"/>
                  <a:lumOff val="35000"/>
                </a:sys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Sheet1!$B$4</c:f>
              <c:strCache>
                <c:ptCount val="1"/>
                <c:pt idx="0">
                  <c:v>SCCP content(kg)</c:v>
                </c:pt>
              </c:strCache>
            </c:strRef>
          </c:tx>
          <c:spPr>
            <a:solidFill>
              <a:schemeClr val="accent1"/>
            </a:solidFill>
            <a:ln>
              <a:noFill/>
            </a:ln>
            <a:effectLst/>
          </c:spPr>
          <c:invertIfNegative val="0"/>
          <c:cat>
            <c:numRef>
              <c:f>Sheet1!$C$3:$N$3</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Sheet1!$C$4:$N$4</c:f>
              <c:numCache>
                <c:formatCode>General</c:formatCode>
                <c:ptCount val="12"/>
                <c:pt idx="0">
                  <c:v>0.3</c:v>
                </c:pt>
                <c:pt idx="1">
                  <c:v>0.2</c:v>
                </c:pt>
                <c:pt idx="2">
                  <c:v>0.4</c:v>
                </c:pt>
                <c:pt idx="3">
                  <c:v>0.3</c:v>
                </c:pt>
                <c:pt idx="4">
                  <c:v>0.7</c:v>
                </c:pt>
                <c:pt idx="5">
                  <c:v>0.5</c:v>
                </c:pt>
                <c:pt idx="6">
                  <c:v>1.3</c:v>
                </c:pt>
                <c:pt idx="7">
                  <c:v>0.9</c:v>
                </c:pt>
                <c:pt idx="8">
                  <c:v>0.7</c:v>
                </c:pt>
                <c:pt idx="9">
                  <c:v>1.3</c:v>
                </c:pt>
                <c:pt idx="10">
                  <c:v>0.5</c:v>
                </c:pt>
                <c:pt idx="11">
                  <c:v>1</c:v>
                </c:pt>
              </c:numCache>
            </c:numRef>
          </c:val>
          <c:extLst>
            <c:ext xmlns:c16="http://schemas.microsoft.com/office/drawing/2014/chart" uri="{C3380CC4-5D6E-409C-BE32-E72D297353CC}">
              <c16:uniqueId val="{00000000-369A-4950-B299-C24CAE04C049}"/>
            </c:ext>
          </c:extLst>
        </c:ser>
        <c:dLbls>
          <c:showLegendKey val="0"/>
          <c:showVal val="0"/>
          <c:showCatName val="0"/>
          <c:showSerName val="0"/>
          <c:showPercent val="0"/>
          <c:showBubbleSize val="0"/>
        </c:dLbls>
        <c:gapWidth val="219"/>
        <c:overlap val="-27"/>
        <c:axId val="2109799423"/>
        <c:axId val="2109796927"/>
      </c:barChart>
      <c:catAx>
        <c:axId val="2109799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9796927"/>
        <c:crosses val="autoZero"/>
        <c:auto val="1"/>
        <c:lblAlgn val="ctr"/>
        <c:lblOffset val="100"/>
        <c:noMultiLvlLbl val="0"/>
      </c:catAx>
      <c:valAx>
        <c:axId val="21097969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r-Latn-ME"/>
                  <a:t>Kg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979942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A4207-A865-4742-B325-D65591253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270</Pages>
  <Words>91086</Words>
  <Characters>519192</Characters>
  <Application>Microsoft Office Word</Application>
  <DocSecurity>0</DocSecurity>
  <Lines>4326</Lines>
  <Paragraphs>1218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Sukovic</dc:creator>
  <cp:keywords/>
  <dc:description/>
  <cp:lastModifiedBy>Suzana Otasevic</cp:lastModifiedBy>
  <cp:revision>7</cp:revision>
  <dcterms:created xsi:type="dcterms:W3CDTF">2026-01-29T00:18:00Z</dcterms:created>
  <dcterms:modified xsi:type="dcterms:W3CDTF">2026-01-30T11:33:00Z</dcterms:modified>
</cp:coreProperties>
</file>