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5.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6.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7.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8.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9.xml" ContentType="application/vnd.openxmlformats-officedocument.drawingml.chart+xml"/>
  <Override PartName="/word/charts/style35.xml" ContentType="application/vnd.ms-office.chartstyle+xml"/>
  <Override PartName="/word/charts/colors3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8648D" w14:textId="77777777" w:rsidR="0092561C" w:rsidRDefault="0092561C" w:rsidP="002B19B1">
      <w:pPr>
        <w:jc w:val="both"/>
        <w:rPr>
          <w:rFonts w:asciiTheme="minorHAnsi" w:hAnsiTheme="minorHAnsi" w:cstheme="minorHAnsi"/>
          <w:b/>
          <w:bCs/>
          <w:color w:val="4472C4" w:themeColor="accent1"/>
          <w:szCs w:val="24"/>
        </w:rPr>
      </w:pPr>
    </w:p>
    <w:p w14:paraId="60F4EDCB" w14:textId="77777777" w:rsidR="0092561C" w:rsidRDefault="0092561C" w:rsidP="002B19B1">
      <w:pPr>
        <w:jc w:val="both"/>
        <w:rPr>
          <w:rFonts w:asciiTheme="minorHAnsi" w:hAnsiTheme="minorHAnsi" w:cstheme="minorHAnsi"/>
          <w:b/>
          <w:bCs/>
          <w:color w:val="4472C4" w:themeColor="accent1"/>
          <w:szCs w:val="24"/>
        </w:rPr>
      </w:pPr>
    </w:p>
    <w:p w14:paraId="2EA7F7EA" w14:textId="77777777" w:rsidR="0092561C" w:rsidRDefault="0092561C" w:rsidP="002B19B1">
      <w:pPr>
        <w:jc w:val="both"/>
        <w:rPr>
          <w:rFonts w:asciiTheme="minorHAnsi" w:hAnsiTheme="minorHAnsi" w:cstheme="minorHAnsi"/>
          <w:b/>
          <w:bCs/>
          <w:color w:val="4472C4" w:themeColor="accent1"/>
          <w:szCs w:val="24"/>
        </w:rPr>
      </w:pPr>
    </w:p>
    <w:p w14:paraId="7FD8DDB0" w14:textId="77777777" w:rsidR="0092561C" w:rsidRDefault="0092561C" w:rsidP="002B19B1">
      <w:pPr>
        <w:jc w:val="both"/>
        <w:rPr>
          <w:rFonts w:asciiTheme="minorHAnsi" w:hAnsiTheme="minorHAnsi" w:cstheme="minorHAnsi"/>
          <w:b/>
          <w:bCs/>
          <w:color w:val="4472C4" w:themeColor="accent1"/>
          <w:szCs w:val="24"/>
        </w:rPr>
      </w:pPr>
    </w:p>
    <w:p w14:paraId="300E9BD4" w14:textId="77777777" w:rsidR="0092561C" w:rsidRDefault="0092561C" w:rsidP="002B19B1">
      <w:pPr>
        <w:jc w:val="both"/>
        <w:rPr>
          <w:rFonts w:asciiTheme="minorHAnsi" w:hAnsiTheme="minorHAnsi" w:cstheme="minorHAnsi"/>
          <w:b/>
          <w:bCs/>
          <w:color w:val="4472C4" w:themeColor="accent1"/>
          <w:szCs w:val="24"/>
        </w:rPr>
      </w:pPr>
    </w:p>
    <w:p w14:paraId="3DF81332" w14:textId="77777777" w:rsidR="0092561C" w:rsidRDefault="0092561C" w:rsidP="002B19B1">
      <w:pPr>
        <w:jc w:val="both"/>
        <w:rPr>
          <w:rFonts w:asciiTheme="minorHAnsi" w:hAnsiTheme="minorHAnsi" w:cstheme="minorHAnsi"/>
          <w:b/>
          <w:bCs/>
          <w:color w:val="4472C4" w:themeColor="accent1"/>
          <w:szCs w:val="24"/>
        </w:rPr>
      </w:pPr>
    </w:p>
    <w:p w14:paraId="6F40D2B3" w14:textId="77777777" w:rsidR="0092561C" w:rsidRDefault="0092561C" w:rsidP="002B19B1">
      <w:pPr>
        <w:jc w:val="both"/>
        <w:rPr>
          <w:rFonts w:asciiTheme="minorHAnsi" w:hAnsiTheme="minorHAnsi" w:cstheme="minorHAnsi"/>
          <w:b/>
          <w:bCs/>
          <w:color w:val="4472C4" w:themeColor="accent1"/>
          <w:szCs w:val="24"/>
        </w:rPr>
      </w:pPr>
    </w:p>
    <w:p w14:paraId="42C8C976" w14:textId="77777777" w:rsidR="0092561C" w:rsidRDefault="0092561C" w:rsidP="002B19B1">
      <w:pPr>
        <w:jc w:val="both"/>
        <w:rPr>
          <w:rFonts w:asciiTheme="minorHAnsi" w:hAnsiTheme="minorHAnsi" w:cstheme="minorHAnsi"/>
          <w:b/>
          <w:bCs/>
          <w:color w:val="4472C4" w:themeColor="accent1"/>
          <w:szCs w:val="24"/>
        </w:rPr>
      </w:pPr>
    </w:p>
    <w:p w14:paraId="1DA2EB26" w14:textId="77777777" w:rsidR="0092561C" w:rsidRDefault="0092561C" w:rsidP="002B19B1">
      <w:pPr>
        <w:jc w:val="both"/>
        <w:rPr>
          <w:rFonts w:asciiTheme="minorHAnsi" w:hAnsiTheme="minorHAnsi" w:cstheme="minorHAnsi"/>
          <w:b/>
          <w:bCs/>
          <w:color w:val="4472C4" w:themeColor="accent1"/>
          <w:szCs w:val="24"/>
        </w:rPr>
      </w:pPr>
    </w:p>
    <w:p w14:paraId="0E2224D7" w14:textId="77777777" w:rsidR="0092561C" w:rsidRDefault="0092561C" w:rsidP="002B19B1">
      <w:pPr>
        <w:jc w:val="both"/>
        <w:rPr>
          <w:rFonts w:asciiTheme="minorHAnsi" w:hAnsiTheme="minorHAnsi" w:cstheme="minorHAnsi"/>
          <w:b/>
          <w:bCs/>
          <w:color w:val="4472C4" w:themeColor="accent1"/>
          <w:szCs w:val="24"/>
        </w:rPr>
      </w:pPr>
    </w:p>
    <w:p w14:paraId="4DE6F23E" w14:textId="77777777" w:rsidR="0092561C" w:rsidRDefault="0092561C" w:rsidP="002B19B1">
      <w:pPr>
        <w:jc w:val="both"/>
        <w:rPr>
          <w:rFonts w:asciiTheme="minorHAnsi" w:hAnsiTheme="minorHAnsi" w:cstheme="minorHAnsi"/>
          <w:b/>
          <w:bCs/>
          <w:color w:val="4472C4" w:themeColor="accent1"/>
          <w:szCs w:val="24"/>
        </w:rPr>
      </w:pPr>
    </w:p>
    <w:p w14:paraId="7381C2B5" w14:textId="77777777" w:rsidR="0092561C" w:rsidRDefault="0092561C" w:rsidP="002B19B1">
      <w:pPr>
        <w:jc w:val="both"/>
        <w:rPr>
          <w:rFonts w:asciiTheme="minorHAnsi" w:hAnsiTheme="minorHAnsi" w:cstheme="minorHAnsi"/>
          <w:b/>
          <w:bCs/>
          <w:color w:val="4472C4" w:themeColor="accent1"/>
          <w:szCs w:val="24"/>
        </w:rPr>
      </w:pPr>
    </w:p>
    <w:p w14:paraId="24A5E9ED" w14:textId="77777777" w:rsidR="0092561C" w:rsidRDefault="0092561C" w:rsidP="002B19B1">
      <w:pPr>
        <w:jc w:val="both"/>
        <w:rPr>
          <w:rFonts w:asciiTheme="minorHAnsi" w:hAnsiTheme="minorHAnsi" w:cstheme="minorHAnsi"/>
          <w:b/>
          <w:bCs/>
          <w:color w:val="4472C4" w:themeColor="accent1"/>
          <w:szCs w:val="24"/>
        </w:rPr>
      </w:pPr>
    </w:p>
    <w:p w14:paraId="43BFA406" w14:textId="77777777" w:rsidR="0092561C" w:rsidRDefault="0092561C" w:rsidP="002B19B1">
      <w:pPr>
        <w:jc w:val="both"/>
        <w:rPr>
          <w:rFonts w:asciiTheme="minorHAnsi" w:hAnsiTheme="minorHAnsi" w:cstheme="minorHAnsi"/>
          <w:b/>
          <w:bCs/>
          <w:color w:val="4472C4" w:themeColor="accent1"/>
          <w:szCs w:val="24"/>
        </w:rPr>
      </w:pPr>
    </w:p>
    <w:p w14:paraId="02D5F878" w14:textId="77777777" w:rsidR="0092561C" w:rsidRDefault="0092561C" w:rsidP="002B19B1">
      <w:pPr>
        <w:jc w:val="both"/>
        <w:rPr>
          <w:rFonts w:asciiTheme="minorHAnsi" w:hAnsiTheme="minorHAnsi" w:cstheme="minorHAnsi"/>
          <w:b/>
          <w:bCs/>
          <w:color w:val="4472C4" w:themeColor="accent1"/>
          <w:szCs w:val="24"/>
        </w:rPr>
      </w:pPr>
    </w:p>
    <w:p w14:paraId="3A2A930A" w14:textId="77777777" w:rsidR="0092561C" w:rsidRDefault="0092561C" w:rsidP="002B19B1">
      <w:pPr>
        <w:jc w:val="both"/>
        <w:rPr>
          <w:rFonts w:asciiTheme="minorHAnsi" w:hAnsiTheme="minorHAnsi" w:cstheme="minorHAnsi"/>
          <w:b/>
          <w:bCs/>
          <w:color w:val="4472C4" w:themeColor="accent1"/>
          <w:szCs w:val="24"/>
        </w:rPr>
      </w:pPr>
    </w:p>
    <w:p w14:paraId="53B9DF15" w14:textId="3F976FEB" w:rsidR="0092561C" w:rsidRPr="00C86111" w:rsidRDefault="0092561C" w:rsidP="0092561C">
      <w:pPr>
        <w:jc w:val="right"/>
        <w:rPr>
          <w:rFonts w:asciiTheme="minorHAnsi" w:hAnsiTheme="minorHAnsi" w:cstheme="minorHAnsi"/>
          <w:b/>
          <w:bCs/>
          <w:color w:val="auto"/>
          <w:sz w:val="36"/>
          <w:szCs w:val="36"/>
        </w:rPr>
      </w:pPr>
      <w:r w:rsidRPr="00C86111">
        <w:rPr>
          <w:rFonts w:asciiTheme="minorHAnsi" w:hAnsiTheme="minorHAnsi" w:cstheme="minorHAnsi"/>
          <w:b/>
          <w:bCs/>
          <w:color w:val="auto"/>
          <w:sz w:val="36"/>
          <w:szCs w:val="36"/>
        </w:rPr>
        <w:t>Predlog</w:t>
      </w:r>
    </w:p>
    <w:p w14:paraId="27D441D6" w14:textId="77777777" w:rsidR="0092561C" w:rsidRPr="00C86111" w:rsidRDefault="0092561C" w:rsidP="002B19B1">
      <w:pPr>
        <w:jc w:val="both"/>
        <w:rPr>
          <w:rFonts w:asciiTheme="minorHAnsi" w:hAnsiTheme="minorHAnsi" w:cstheme="minorHAnsi"/>
          <w:b/>
          <w:bCs/>
          <w:color w:val="4472C4" w:themeColor="accent1"/>
          <w:szCs w:val="24"/>
        </w:rPr>
      </w:pPr>
    </w:p>
    <w:p w14:paraId="1AF83076" w14:textId="77777777" w:rsidR="0092561C" w:rsidRPr="00C86111" w:rsidRDefault="0092561C" w:rsidP="002B19B1">
      <w:pPr>
        <w:jc w:val="both"/>
        <w:rPr>
          <w:rFonts w:asciiTheme="minorHAnsi" w:hAnsiTheme="minorHAnsi" w:cstheme="minorHAnsi"/>
          <w:b/>
          <w:bCs/>
          <w:color w:val="4472C4" w:themeColor="accent1"/>
          <w:szCs w:val="24"/>
        </w:rPr>
      </w:pPr>
    </w:p>
    <w:p w14:paraId="3475582C" w14:textId="77777777" w:rsidR="0092561C" w:rsidRPr="00C86111" w:rsidRDefault="0092561C" w:rsidP="0092561C">
      <w:pPr>
        <w:jc w:val="center"/>
        <w:rPr>
          <w:rFonts w:asciiTheme="minorHAnsi" w:hAnsiTheme="minorHAnsi" w:cstheme="minorHAnsi"/>
          <w:b/>
          <w:bCs/>
          <w:color w:val="4472C4" w:themeColor="accent1"/>
          <w:sz w:val="36"/>
          <w:szCs w:val="36"/>
        </w:rPr>
      </w:pPr>
    </w:p>
    <w:p w14:paraId="562AF886" w14:textId="77777777" w:rsidR="00A12257" w:rsidRPr="00C86111" w:rsidRDefault="0092561C" w:rsidP="0092561C">
      <w:pPr>
        <w:jc w:val="center"/>
        <w:rPr>
          <w:rFonts w:asciiTheme="minorHAnsi" w:hAnsiTheme="minorHAnsi" w:cstheme="minorHAnsi"/>
          <w:b/>
          <w:bCs/>
          <w:color w:val="4472C4" w:themeColor="accent1"/>
          <w:sz w:val="36"/>
          <w:szCs w:val="36"/>
        </w:rPr>
      </w:pPr>
      <w:r w:rsidRPr="00C86111">
        <w:rPr>
          <w:rFonts w:asciiTheme="minorHAnsi" w:hAnsiTheme="minorHAnsi" w:cstheme="minorHAnsi"/>
          <w:b/>
          <w:bCs/>
          <w:color w:val="4472C4" w:themeColor="accent1"/>
          <w:sz w:val="36"/>
          <w:szCs w:val="36"/>
        </w:rPr>
        <w:t xml:space="preserve">NACIONALNI PLAN ZA IMPLEMENTACIJU </w:t>
      </w:r>
    </w:p>
    <w:p w14:paraId="4A804F7D" w14:textId="60FC9D4A" w:rsidR="0092561C" w:rsidRPr="00C86111" w:rsidRDefault="0092561C" w:rsidP="0092561C">
      <w:pPr>
        <w:jc w:val="center"/>
        <w:rPr>
          <w:rFonts w:asciiTheme="minorHAnsi" w:hAnsiTheme="minorHAnsi" w:cstheme="minorHAnsi"/>
          <w:b/>
          <w:bCs/>
          <w:color w:val="4472C4" w:themeColor="accent1"/>
          <w:sz w:val="36"/>
          <w:szCs w:val="36"/>
        </w:rPr>
      </w:pPr>
      <w:r w:rsidRPr="00C86111">
        <w:rPr>
          <w:rFonts w:asciiTheme="minorHAnsi" w:hAnsiTheme="minorHAnsi" w:cstheme="minorHAnsi"/>
          <w:b/>
          <w:bCs/>
          <w:color w:val="4472C4" w:themeColor="accent1"/>
          <w:sz w:val="36"/>
          <w:szCs w:val="36"/>
        </w:rPr>
        <w:t>STOKHOLMSKE KONVENCIJE</w:t>
      </w:r>
    </w:p>
    <w:p w14:paraId="49B5C805" w14:textId="15835F86" w:rsidR="0092561C" w:rsidRPr="00C86111" w:rsidRDefault="0092561C" w:rsidP="0092561C">
      <w:pPr>
        <w:jc w:val="center"/>
        <w:rPr>
          <w:rFonts w:asciiTheme="minorHAnsi" w:hAnsiTheme="minorHAnsi" w:cstheme="minorHAnsi"/>
          <w:b/>
          <w:bCs/>
          <w:color w:val="4472C4" w:themeColor="accent1"/>
          <w:sz w:val="36"/>
          <w:szCs w:val="36"/>
          <w:lang w:val="sr-Latn-RS"/>
        </w:rPr>
      </w:pPr>
      <w:r w:rsidRPr="00C86111">
        <w:rPr>
          <w:rFonts w:asciiTheme="minorHAnsi" w:hAnsiTheme="minorHAnsi" w:cstheme="minorHAnsi"/>
          <w:b/>
          <w:bCs/>
          <w:color w:val="4472C4" w:themeColor="accent1"/>
          <w:sz w:val="36"/>
          <w:szCs w:val="36"/>
        </w:rPr>
        <w:t>ZA PERIOD 202</w:t>
      </w:r>
      <w:r w:rsidR="00301CC2">
        <w:rPr>
          <w:rFonts w:asciiTheme="minorHAnsi" w:hAnsiTheme="minorHAnsi" w:cstheme="minorHAnsi"/>
          <w:b/>
          <w:bCs/>
          <w:color w:val="4472C4" w:themeColor="accent1"/>
          <w:sz w:val="36"/>
          <w:szCs w:val="36"/>
        </w:rPr>
        <w:t>6</w:t>
      </w:r>
      <w:r w:rsidRPr="00C86111">
        <w:rPr>
          <w:rFonts w:asciiTheme="minorHAnsi" w:hAnsiTheme="minorHAnsi" w:cstheme="minorHAnsi"/>
          <w:b/>
          <w:bCs/>
          <w:color w:val="4472C4" w:themeColor="accent1"/>
          <w:sz w:val="36"/>
          <w:szCs w:val="36"/>
        </w:rPr>
        <w:t>-2027</w:t>
      </w:r>
    </w:p>
    <w:p w14:paraId="40BE553D" w14:textId="77777777" w:rsidR="0092561C" w:rsidRPr="00C86111" w:rsidRDefault="0092561C" w:rsidP="0092561C">
      <w:pPr>
        <w:jc w:val="center"/>
        <w:rPr>
          <w:rFonts w:asciiTheme="minorHAnsi" w:hAnsiTheme="minorHAnsi" w:cstheme="minorHAnsi"/>
          <w:b/>
          <w:bCs/>
          <w:color w:val="4472C4" w:themeColor="accent1"/>
          <w:sz w:val="36"/>
          <w:szCs w:val="36"/>
        </w:rPr>
      </w:pPr>
    </w:p>
    <w:p w14:paraId="78BC6E04" w14:textId="77777777" w:rsidR="0092561C" w:rsidRPr="00C86111" w:rsidRDefault="0092561C" w:rsidP="002B19B1">
      <w:pPr>
        <w:jc w:val="both"/>
        <w:rPr>
          <w:rFonts w:asciiTheme="minorHAnsi" w:hAnsiTheme="minorHAnsi" w:cstheme="minorHAnsi"/>
          <w:b/>
          <w:bCs/>
          <w:color w:val="4472C4" w:themeColor="accent1"/>
          <w:szCs w:val="24"/>
        </w:rPr>
      </w:pPr>
    </w:p>
    <w:p w14:paraId="6F342EEE" w14:textId="77777777" w:rsidR="0092561C" w:rsidRPr="00C86111" w:rsidRDefault="0092561C" w:rsidP="002B19B1">
      <w:pPr>
        <w:jc w:val="both"/>
        <w:rPr>
          <w:rFonts w:asciiTheme="minorHAnsi" w:hAnsiTheme="minorHAnsi" w:cstheme="minorHAnsi"/>
          <w:b/>
          <w:bCs/>
          <w:color w:val="4472C4" w:themeColor="accent1"/>
          <w:szCs w:val="24"/>
        </w:rPr>
      </w:pPr>
    </w:p>
    <w:p w14:paraId="5BE4782D" w14:textId="77777777" w:rsidR="0092561C" w:rsidRPr="00C86111" w:rsidRDefault="0092561C" w:rsidP="002B19B1">
      <w:pPr>
        <w:jc w:val="both"/>
        <w:rPr>
          <w:rFonts w:asciiTheme="minorHAnsi" w:hAnsiTheme="minorHAnsi" w:cstheme="minorHAnsi"/>
          <w:b/>
          <w:bCs/>
          <w:color w:val="4472C4" w:themeColor="accent1"/>
          <w:szCs w:val="24"/>
        </w:rPr>
      </w:pPr>
    </w:p>
    <w:p w14:paraId="38BEA4F1" w14:textId="77777777" w:rsidR="0092561C" w:rsidRPr="00C86111" w:rsidRDefault="0092561C" w:rsidP="002B19B1">
      <w:pPr>
        <w:jc w:val="both"/>
        <w:rPr>
          <w:rFonts w:asciiTheme="minorHAnsi" w:hAnsiTheme="minorHAnsi" w:cstheme="minorHAnsi"/>
          <w:b/>
          <w:bCs/>
          <w:color w:val="4472C4" w:themeColor="accent1"/>
          <w:szCs w:val="24"/>
        </w:rPr>
      </w:pPr>
    </w:p>
    <w:p w14:paraId="673E84EC" w14:textId="77777777" w:rsidR="0092561C" w:rsidRPr="00C86111" w:rsidRDefault="0092561C" w:rsidP="002B19B1">
      <w:pPr>
        <w:jc w:val="both"/>
        <w:rPr>
          <w:rFonts w:asciiTheme="minorHAnsi" w:hAnsiTheme="minorHAnsi" w:cstheme="minorHAnsi"/>
          <w:b/>
          <w:bCs/>
          <w:color w:val="4472C4" w:themeColor="accent1"/>
          <w:szCs w:val="24"/>
        </w:rPr>
      </w:pPr>
    </w:p>
    <w:p w14:paraId="5C4E1F0A" w14:textId="77777777" w:rsidR="0092561C" w:rsidRPr="00C86111" w:rsidRDefault="0092561C" w:rsidP="002B19B1">
      <w:pPr>
        <w:jc w:val="both"/>
        <w:rPr>
          <w:rFonts w:asciiTheme="minorHAnsi" w:hAnsiTheme="minorHAnsi" w:cstheme="minorHAnsi"/>
          <w:b/>
          <w:bCs/>
          <w:color w:val="4472C4" w:themeColor="accent1"/>
          <w:szCs w:val="24"/>
        </w:rPr>
      </w:pPr>
    </w:p>
    <w:p w14:paraId="5B4E16E4" w14:textId="77777777" w:rsidR="0092561C" w:rsidRPr="00C86111" w:rsidRDefault="0092561C" w:rsidP="002B19B1">
      <w:pPr>
        <w:jc w:val="both"/>
        <w:rPr>
          <w:rFonts w:asciiTheme="minorHAnsi" w:hAnsiTheme="minorHAnsi" w:cstheme="minorHAnsi"/>
          <w:b/>
          <w:bCs/>
          <w:color w:val="4472C4" w:themeColor="accent1"/>
          <w:szCs w:val="24"/>
        </w:rPr>
      </w:pPr>
    </w:p>
    <w:p w14:paraId="373D81D6" w14:textId="77777777" w:rsidR="0092561C" w:rsidRPr="00C86111" w:rsidRDefault="0092561C" w:rsidP="002B19B1">
      <w:pPr>
        <w:jc w:val="both"/>
        <w:rPr>
          <w:rFonts w:asciiTheme="minorHAnsi" w:hAnsiTheme="minorHAnsi" w:cstheme="minorHAnsi"/>
          <w:b/>
          <w:bCs/>
          <w:color w:val="4472C4" w:themeColor="accent1"/>
          <w:szCs w:val="24"/>
        </w:rPr>
      </w:pPr>
    </w:p>
    <w:p w14:paraId="2A3D008E" w14:textId="77777777" w:rsidR="0092561C" w:rsidRPr="00C86111" w:rsidRDefault="0092561C" w:rsidP="002B19B1">
      <w:pPr>
        <w:jc w:val="both"/>
        <w:rPr>
          <w:rFonts w:asciiTheme="minorHAnsi" w:hAnsiTheme="minorHAnsi" w:cstheme="minorHAnsi"/>
          <w:b/>
          <w:bCs/>
          <w:color w:val="4472C4" w:themeColor="accent1"/>
          <w:szCs w:val="24"/>
        </w:rPr>
      </w:pPr>
    </w:p>
    <w:p w14:paraId="37CD211C" w14:textId="77777777" w:rsidR="0092561C" w:rsidRPr="00C86111" w:rsidRDefault="0092561C" w:rsidP="002B19B1">
      <w:pPr>
        <w:jc w:val="both"/>
        <w:rPr>
          <w:rFonts w:asciiTheme="minorHAnsi" w:hAnsiTheme="minorHAnsi" w:cstheme="minorHAnsi"/>
          <w:b/>
          <w:bCs/>
          <w:color w:val="4472C4" w:themeColor="accent1"/>
          <w:szCs w:val="24"/>
        </w:rPr>
      </w:pPr>
    </w:p>
    <w:p w14:paraId="581F38FA" w14:textId="77777777" w:rsidR="0092561C" w:rsidRPr="00C86111" w:rsidRDefault="0092561C" w:rsidP="002B19B1">
      <w:pPr>
        <w:jc w:val="both"/>
        <w:rPr>
          <w:rFonts w:asciiTheme="minorHAnsi" w:hAnsiTheme="minorHAnsi" w:cstheme="minorHAnsi"/>
          <w:b/>
          <w:bCs/>
          <w:color w:val="4472C4" w:themeColor="accent1"/>
          <w:szCs w:val="24"/>
        </w:rPr>
      </w:pPr>
    </w:p>
    <w:p w14:paraId="788CF40C" w14:textId="77777777" w:rsidR="0092561C" w:rsidRPr="00C86111" w:rsidRDefault="0092561C" w:rsidP="002B19B1">
      <w:pPr>
        <w:jc w:val="both"/>
        <w:rPr>
          <w:rFonts w:asciiTheme="minorHAnsi" w:hAnsiTheme="minorHAnsi" w:cstheme="minorHAnsi"/>
          <w:b/>
          <w:bCs/>
          <w:color w:val="4472C4" w:themeColor="accent1"/>
          <w:szCs w:val="24"/>
        </w:rPr>
      </w:pPr>
    </w:p>
    <w:p w14:paraId="6363A406" w14:textId="77777777" w:rsidR="0092561C" w:rsidRPr="00C86111" w:rsidRDefault="0092561C" w:rsidP="002B19B1">
      <w:pPr>
        <w:jc w:val="both"/>
        <w:rPr>
          <w:rFonts w:asciiTheme="minorHAnsi" w:hAnsiTheme="minorHAnsi" w:cstheme="minorHAnsi"/>
          <w:b/>
          <w:bCs/>
          <w:color w:val="4472C4" w:themeColor="accent1"/>
          <w:szCs w:val="24"/>
        </w:rPr>
      </w:pPr>
    </w:p>
    <w:p w14:paraId="734B8267" w14:textId="77777777" w:rsidR="0092561C" w:rsidRPr="00C86111" w:rsidRDefault="0092561C" w:rsidP="002B19B1">
      <w:pPr>
        <w:jc w:val="both"/>
        <w:rPr>
          <w:rFonts w:asciiTheme="minorHAnsi" w:hAnsiTheme="minorHAnsi" w:cstheme="minorHAnsi"/>
          <w:b/>
          <w:bCs/>
          <w:color w:val="4472C4" w:themeColor="accent1"/>
          <w:szCs w:val="24"/>
        </w:rPr>
      </w:pPr>
    </w:p>
    <w:p w14:paraId="6DA99354" w14:textId="77777777" w:rsidR="0092561C" w:rsidRPr="00C86111" w:rsidRDefault="0092561C" w:rsidP="002B19B1">
      <w:pPr>
        <w:jc w:val="both"/>
        <w:rPr>
          <w:rFonts w:asciiTheme="minorHAnsi" w:hAnsiTheme="minorHAnsi" w:cstheme="minorHAnsi"/>
          <w:b/>
          <w:bCs/>
          <w:color w:val="4472C4" w:themeColor="accent1"/>
          <w:szCs w:val="24"/>
        </w:rPr>
      </w:pPr>
    </w:p>
    <w:p w14:paraId="34A058D7" w14:textId="77777777" w:rsidR="0092561C" w:rsidRPr="00C86111" w:rsidRDefault="0092561C" w:rsidP="002B19B1">
      <w:pPr>
        <w:jc w:val="both"/>
        <w:rPr>
          <w:rFonts w:asciiTheme="minorHAnsi" w:hAnsiTheme="minorHAnsi" w:cstheme="minorHAnsi"/>
          <w:b/>
          <w:bCs/>
          <w:color w:val="4472C4" w:themeColor="accent1"/>
          <w:szCs w:val="24"/>
        </w:rPr>
      </w:pPr>
    </w:p>
    <w:p w14:paraId="05CDFC45" w14:textId="77777777" w:rsidR="0092561C" w:rsidRPr="00C86111" w:rsidRDefault="0092561C" w:rsidP="002B19B1">
      <w:pPr>
        <w:jc w:val="both"/>
        <w:rPr>
          <w:rFonts w:asciiTheme="minorHAnsi" w:hAnsiTheme="minorHAnsi" w:cstheme="minorHAnsi"/>
          <w:b/>
          <w:bCs/>
          <w:color w:val="4472C4" w:themeColor="accent1"/>
          <w:szCs w:val="24"/>
        </w:rPr>
      </w:pPr>
    </w:p>
    <w:bookmarkStart w:id="0" w:name="_Toc220541835" w:displacedByCustomXml="next"/>
    <w:sdt>
      <w:sdtPr>
        <w:rPr>
          <w:rFonts w:ascii="Calibri" w:eastAsiaTheme="minorHAnsi" w:hAnsi="Calibri" w:cstheme="minorBidi"/>
          <w:b w:val="0"/>
          <w:color w:val="000000" w:themeColor="text1"/>
          <w:sz w:val="24"/>
          <w:szCs w:val="22"/>
        </w:rPr>
        <w:id w:val="1575242766"/>
        <w:docPartObj>
          <w:docPartGallery w:val="Table of Contents"/>
          <w:docPartUnique/>
        </w:docPartObj>
      </w:sdtPr>
      <w:sdtEndPr>
        <w:rPr>
          <w:bCs/>
          <w:noProof/>
        </w:rPr>
      </w:sdtEndPr>
      <w:sdtContent>
        <w:p w14:paraId="5C7F5363" w14:textId="4E3277F7" w:rsidR="00974D2C" w:rsidRPr="00605352" w:rsidRDefault="00974D2C" w:rsidP="00912C4C">
          <w:pPr>
            <w:pStyle w:val="Heading1"/>
            <w:rPr>
              <w:rFonts w:asciiTheme="minorHAnsi" w:hAnsiTheme="minorHAnsi" w:cstheme="minorHAnsi"/>
            </w:rPr>
          </w:pPr>
          <w:r w:rsidRPr="00605352">
            <w:rPr>
              <w:rFonts w:asciiTheme="minorHAnsi" w:hAnsiTheme="minorHAnsi" w:cstheme="minorHAnsi"/>
            </w:rPr>
            <w:t>Sadržaj</w:t>
          </w:r>
          <w:bookmarkEnd w:id="0"/>
        </w:p>
        <w:p w14:paraId="2D892438" w14:textId="68F18378" w:rsidR="00605352" w:rsidRPr="00605352" w:rsidRDefault="00974D2C">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r w:rsidRPr="00605352">
            <w:rPr>
              <w:rFonts w:cstheme="minorHAnsi"/>
              <w:color w:val="002060"/>
              <w:sz w:val="24"/>
              <w:szCs w:val="24"/>
            </w:rPr>
            <w:fldChar w:fldCharType="begin"/>
          </w:r>
          <w:r w:rsidRPr="00605352">
            <w:rPr>
              <w:rFonts w:cstheme="minorHAnsi"/>
              <w:color w:val="002060"/>
              <w:sz w:val="24"/>
              <w:szCs w:val="24"/>
            </w:rPr>
            <w:instrText xml:space="preserve"> TOC \o "1-3" \h \z \u </w:instrText>
          </w:r>
          <w:r w:rsidRPr="00605352">
            <w:rPr>
              <w:rFonts w:cstheme="minorHAnsi"/>
              <w:color w:val="002060"/>
              <w:sz w:val="24"/>
              <w:szCs w:val="24"/>
            </w:rPr>
            <w:fldChar w:fldCharType="separate"/>
          </w:r>
          <w:hyperlink w:anchor="_Toc220541835" w:history="1">
            <w:r w:rsidR="00605352" w:rsidRPr="00605352">
              <w:rPr>
                <w:rStyle w:val="Hyperlink"/>
                <w:rFonts w:cstheme="minorHAnsi"/>
                <w:noProof/>
                <w:color w:val="002060"/>
              </w:rPr>
              <w:t>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Sadržaj</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_Toc220541835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w:t>
            </w:r>
            <w:r w:rsidR="00605352" w:rsidRPr="00605352">
              <w:rPr>
                <w:rFonts w:cstheme="minorHAnsi"/>
                <w:noProof/>
                <w:webHidden/>
                <w:color w:val="002060"/>
              </w:rPr>
              <w:fldChar w:fldCharType="end"/>
            </w:r>
          </w:hyperlink>
        </w:p>
        <w:p w14:paraId="013F3544" w14:textId="7DD1DB9E"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836" w:history="1">
            <w:r w:rsidR="00605352" w:rsidRPr="00605352">
              <w:rPr>
                <w:rStyle w:val="Hyperlink"/>
                <w:rFonts w:cstheme="minorHAnsi"/>
                <w:noProof/>
                <w:color w:val="002060"/>
              </w:rPr>
              <w:t>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_Toc220541836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16</w:t>
            </w:r>
            <w:r w:rsidR="00605352" w:rsidRPr="00605352">
              <w:rPr>
                <w:rFonts w:cstheme="minorHAnsi"/>
                <w:noProof/>
                <w:webHidden/>
                <w:color w:val="002060"/>
              </w:rPr>
              <w:fldChar w:fldCharType="end"/>
            </w:r>
          </w:hyperlink>
        </w:p>
        <w:p w14:paraId="70EB18AA" w14:textId="039EF40B"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37" w:history="1">
            <w:r w:rsidR="00605352" w:rsidRPr="00605352">
              <w:rPr>
                <w:rStyle w:val="Hyperlink"/>
                <w:rFonts w:cstheme="minorHAnsi"/>
                <w:noProof/>
                <w:color w:val="002060"/>
              </w:rPr>
              <w:t>1.1.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Međunarodni kontekst Stokholmske konvencije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_Toc220541837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w:t>
            </w:r>
            <w:r w:rsidR="00605352" w:rsidRPr="00605352">
              <w:rPr>
                <w:rFonts w:cstheme="minorHAnsi"/>
                <w:noProof/>
                <w:webHidden/>
                <w:color w:val="002060"/>
              </w:rPr>
              <w:fldChar w:fldCharType="end"/>
            </w:r>
          </w:hyperlink>
        </w:p>
        <w:p w14:paraId="061E1CFC" w14:textId="4D746887"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38" w:history="1">
            <w:r w:rsidR="00605352" w:rsidRPr="00605352">
              <w:rPr>
                <w:rStyle w:val="Hyperlink"/>
                <w:rFonts w:cstheme="minorHAnsi"/>
                <w:noProof/>
                <w:color w:val="002060"/>
              </w:rPr>
              <w:t>1.2.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EU kontekst Stokholmske konvencije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_Toc220541838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22</w:t>
            </w:r>
            <w:r w:rsidR="00605352" w:rsidRPr="00605352">
              <w:rPr>
                <w:rFonts w:cstheme="minorHAnsi"/>
                <w:noProof/>
                <w:webHidden/>
                <w:color w:val="002060"/>
              </w:rPr>
              <w:fldChar w:fldCharType="end"/>
            </w:r>
          </w:hyperlink>
        </w:p>
        <w:p w14:paraId="4C4AABDD" w14:textId="379AE44F"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39" w:history="1">
            <w:r w:rsidR="00605352" w:rsidRPr="00605352">
              <w:rPr>
                <w:rStyle w:val="Hyperlink"/>
                <w:rFonts w:cstheme="minorHAnsi"/>
                <w:noProof/>
                <w:color w:val="002060"/>
              </w:rPr>
              <w:t>1.3.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Nacionalni kontekst primjene Stokholmske konvencije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_Toc220541839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w:t>
            </w:r>
            <w:r w:rsidR="00605352" w:rsidRPr="00605352">
              <w:rPr>
                <w:rFonts w:cstheme="minorHAnsi"/>
                <w:noProof/>
                <w:webHidden/>
                <w:color w:val="002060"/>
              </w:rPr>
              <w:fldChar w:fldCharType="end"/>
            </w:r>
          </w:hyperlink>
        </w:p>
        <w:p w14:paraId="67B01F97" w14:textId="3C9D6EA2"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840" w:history="1">
            <w:r w:rsidR="00605352" w:rsidRPr="00605352">
              <w:rPr>
                <w:rStyle w:val="Hyperlink"/>
                <w:rFonts w:cstheme="minorHAnsi"/>
                <w:noProof/>
                <w:color w:val="002060"/>
              </w:rPr>
              <w:t>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METODOLOGIJA I SADRŽINA NACIONALNOG IMPLEMENTACIONOG PLANA (NIP)</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w:t>
            </w:r>
            <w:r w:rsidR="00605352" w:rsidRPr="00605352">
              <w:rPr>
                <w:rFonts w:cstheme="minorHAnsi"/>
                <w:noProof/>
                <w:webHidden/>
                <w:color w:val="002060"/>
              </w:rPr>
              <w:fldChar w:fldCharType="end"/>
            </w:r>
          </w:hyperlink>
        </w:p>
        <w:p w14:paraId="6AB8C9AE" w14:textId="5C6F2A68"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41" w:history="1">
            <w:r w:rsidR="00605352" w:rsidRPr="00605352">
              <w:rPr>
                <w:rStyle w:val="Hyperlink"/>
                <w:rFonts w:cstheme="minorHAnsi"/>
                <w:noProof/>
                <w:color w:val="002060"/>
              </w:rPr>
              <w:t>2.1.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Međunarodni metodološki okvir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w:t>
            </w:r>
            <w:r w:rsidR="00605352" w:rsidRPr="00605352">
              <w:rPr>
                <w:rFonts w:cstheme="minorHAnsi"/>
                <w:noProof/>
                <w:webHidden/>
                <w:color w:val="002060"/>
              </w:rPr>
              <w:fldChar w:fldCharType="end"/>
            </w:r>
          </w:hyperlink>
        </w:p>
        <w:p w14:paraId="4E1E12A5" w14:textId="28037506"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42" w:history="1">
            <w:r w:rsidR="00605352" w:rsidRPr="00605352">
              <w:rPr>
                <w:rStyle w:val="Hyperlink"/>
                <w:rFonts w:cstheme="minorHAnsi"/>
                <w:noProof/>
                <w:color w:val="002060"/>
              </w:rPr>
              <w:t>2.2.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Nacionalni pravni i strateški okvir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w:t>
            </w:r>
            <w:r w:rsidR="00605352" w:rsidRPr="00605352">
              <w:rPr>
                <w:rFonts w:cstheme="minorHAnsi"/>
                <w:noProof/>
                <w:webHidden/>
                <w:color w:val="002060"/>
              </w:rPr>
              <w:fldChar w:fldCharType="end"/>
            </w:r>
          </w:hyperlink>
        </w:p>
        <w:p w14:paraId="72BE1623" w14:textId="37ADA7A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43" w:history="1">
            <w:r w:rsidR="00605352" w:rsidRPr="00605352">
              <w:rPr>
                <w:rStyle w:val="Hyperlink"/>
                <w:rFonts w:cstheme="minorHAnsi"/>
                <w:noProof/>
                <w:color w:val="002060"/>
              </w:rPr>
              <w:t>Primjena metodološkog okvira u izradi NIP-a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w:t>
            </w:r>
            <w:r w:rsidR="00605352" w:rsidRPr="00605352">
              <w:rPr>
                <w:rFonts w:cstheme="minorHAnsi"/>
                <w:noProof/>
                <w:webHidden/>
                <w:color w:val="002060"/>
              </w:rPr>
              <w:fldChar w:fldCharType="end"/>
            </w:r>
          </w:hyperlink>
        </w:p>
        <w:p w14:paraId="01642086" w14:textId="18B7EF14"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44" w:history="1">
            <w:r w:rsidR="00605352" w:rsidRPr="00605352">
              <w:rPr>
                <w:rStyle w:val="Hyperlink"/>
                <w:rFonts w:cstheme="minorHAnsi"/>
                <w:noProof/>
                <w:color w:val="002060"/>
              </w:rPr>
              <w:t>2.3.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Struktura sadržaja NIP-a i njena metodološka osnova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26</w:t>
            </w:r>
            <w:r w:rsidR="00605352" w:rsidRPr="00605352">
              <w:rPr>
                <w:rFonts w:cstheme="minorHAnsi"/>
                <w:noProof/>
                <w:webHidden/>
                <w:color w:val="002060"/>
              </w:rPr>
              <w:fldChar w:fldCharType="end"/>
            </w:r>
          </w:hyperlink>
        </w:p>
        <w:p w14:paraId="7940660E" w14:textId="4A574DFD"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45" w:history="1">
            <w:r w:rsidR="00605352" w:rsidRPr="00605352">
              <w:rPr>
                <w:rStyle w:val="Hyperlink"/>
                <w:rFonts w:cstheme="minorHAnsi"/>
                <w:noProof/>
                <w:color w:val="002060"/>
              </w:rPr>
              <w:t>2.4.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Usklađenost sa postojećim finansijskim okvirom</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26</w:t>
            </w:r>
            <w:r w:rsidR="00605352" w:rsidRPr="00605352">
              <w:rPr>
                <w:rFonts w:cstheme="minorHAnsi"/>
                <w:noProof/>
                <w:webHidden/>
                <w:color w:val="002060"/>
              </w:rPr>
              <w:fldChar w:fldCharType="end"/>
            </w:r>
          </w:hyperlink>
        </w:p>
        <w:p w14:paraId="36981BD4" w14:textId="48A67DCE"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46" w:history="1">
            <w:r w:rsidR="00605352" w:rsidRPr="00605352">
              <w:rPr>
                <w:rStyle w:val="Hyperlink"/>
                <w:rFonts w:cstheme="minorHAnsi"/>
                <w:noProof/>
                <w:color w:val="002060"/>
              </w:rPr>
              <w:t>2.5.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Usklađenost sa postojećim strateškim okvirom</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27</w:t>
            </w:r>
            <w:r w:rsidR="00605352" w:rsidRPr="00605352">
              <w:rPr>
                <w:rFonts w:cstheme="minorHAnsi"/>
                <w:noProof/>
                <w:webHidden/>
                <w:color w:val="002060"/>
              </w:rPr>
              <w:fldChar w:fldCharType="end"/>
            </w:r>
          </w:hyperlink>
        </w:p>
        <w:p w14:paraId="047052E2" w14:textId="2ECA01FD"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847" w:history="1">
            <w:r w:rsidR="00605352" w:rsidRPr="00605352">
              <w:rPr>
                <w:rStyle w:val="Hyperlink"/>
                <w:rFonts w:cstheme="minorHAnsi"/>
                <w:noProof/>
                <w:color w:val="002060"/>
              </w:rPr>
              <w:t>2.5.1.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Međunarodni okvir: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27</w:t>
            </w:r>
            <w:r w:rsidR="00605352" w:rsidRPr="00605352">
              <w:rPr>
                <w:rFonts w:cstheme="minorHAnsi"/>
                <w:noProof/>
                <w:webHidden/>
                <w:color w:val="002060"/>
              </w:rPr>
              <w:fldChar w:fldCharType="end"/>
            </w:r>
          </w:hyperlink>
        </w:p>
        <w:p w14:paraId="64286AC9" w14:textId="203561D8"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848" w:history="1">
            <w:r w:rsidR="00605352" w:rsidRPr="00605352">
              <w:rPr>
                <w:rStyle w:val="Hyperlink"/>
                <w:rFonts w:cstheme="minorHAnsi"/>
                <w:noProof/>
                <w:color w:val="002060"/>
              </w:rPr>
              <w:t>2.5.2.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Nacionalni okvir: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28</w:t>
            </w:r>
            <w:r w:rsidR="00605352" w:rsidRPr="00605352">
              <w:rPr>
                <w:rFonts w:cstheme="minorHAnsi"/>
                <w:noProof/>
                <w:webHidden/>
                <w:color w:val="002060"/>
              </w:rPr>
              <w:fldChar w:fldCharType="end"/>
            </w:r>
          </w:hyperlink>
        </w:p>
        <w:p w14:paraId="7D95942E" w14:textId="3DE41CD8"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849" w:history="1">
            <w:r w:rsidR="00605352" w:rsidRPr="00605352">
              <w:rPr>
                <w:rStyle w:val="Hyperlink"/>
                <w:rFonts w:cstheme="minorHAnsi"/>
                <w:noProof/>
                <w:color w:val="002060"/>
              </w:rPr>
              <w:t>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OPŠTE INFORMACIJE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_Toc220541849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31</w:t>
            </w:r>
            <w:r w:rsidR="00605352" w:rsidRPr="00605352">
              <w:rPr>
                <w:rFonts w:cstheme="minorHAnsi"/>
                <w:noProof/>
                <w:webHidden/>
                <w:color w:val="002060"/>
              </w:rPr>
              <w:fldChar w:fldCharType="end"/>
            </w:r>
          </w:hyperlink>
        </w:p>
        <w:p w14:paraId="6E62AFE1" w14:textId="14208D72"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0" w:history="1">
            <w:r w:rsidR="00605352" w:rsidRPr="00605352">
              <w:rPr>
                <w:rStyle w:val="Hyperlink"/>
                <w:rFonts w:cstheme="minorHAnsi"/>
                <w:noProof/>
                <w:color w:val="002060"/>
              </w:rPr>
              <w:t>3.1.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Prirodno-geografske, demografske i društveno-političke karakteristike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31</w:t>
            </w:r>
            <w:r w:rsidR="00605352" w:rsidRPr="00605352">
              <w:rPr>
                <w:rFonts w:cstheme="minorHAnsi"/>
                <w:noProof/>
                <w:webHidden/>
                <w:color w:val="002060"/>
              </w:rPr>
              <w:fldChar w:fldCharType="end"/>
            </w:r>
          </w:hyperlink>
        </w:p>
        <w:p w14:paraId="5B023EA7" w14:textId="6A554E1E"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1" w:history="1">
            <w:r w:rsidR="00605352" w:rsidRPr="00605352">
              <w:rPr>
                <w:rStyle w:val="Hyperlink"/>
                <w:rFonts w:cstheme="minorHAnsi"/>
                <w:noProof/>
                <w:color w:val="002060"/>
              </w:rPr>
              <w:t>3.2.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Uvod u ekonomski (privredni) kontekst Crne Gore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32</w:t>
            </w:r>
            <w:r w:rsidR="00605352" w:rsidRPr="00605352">
              <w:rPr>
                <w:rFonts w:cstheme="minorHAnsi"/>
                <w:noProof/>
                <w:webHidden/>
                <w:color w:val="002060"/>
              </w:rPr>
              <w:fldChar w:fldCharType="end"/>
            </w:r>
          </w:hyperlink>
        </w:p>
        <w:p w14:paraId="002A6683" w14:textId="3029F6E6"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852" w:history="1">
            <w:r w:rsidR="00605352" w:rsidRPr="00605352">
              <w:rPr>
                <w:rStyle w:val="Hyperlink"/>
                <w:rFonts w:cstheme="minorHAnsi"/>
                <w:noProof/>
                <w:color w:val="002060"/>
              </w:rPr>
              <w:t>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INVENTARIZACIJA POPs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37</w:t>
            </w:r>
            <w:r w:rsidR="00605352" w:rsidRPr="00605352">
              <w:rPr>
                <w:rFonts w:cstheme="minorHAnsi"/>
                <w:noProof/>
                <w:webHidden/>
                <w:color w:val="002060"/>
              </w:rPr>
              <w:fldChar w:fldCharType="end"/>
            </w:r>
          </w:hyperlink>
        </w:p>
        <w:p w14:paraId="75AB5AE5" w14:textId="545324D9"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3" w:history="1">
            <w:r w:rsidR="00605352" w:rsidRPr="00605352">
              <w:rPr>
                <w:rStyle w:val="Hyperlink"/>
                <w:rFonts w:cstheme="minorHAnsi"/>
                <w:noProof/>
                <w:color w:val="002060"/>
              </w:rPr>
              <w:t>4.1.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POPs PESTICIDI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37</w:t>
            </w:r>
            <w:r w:rsidR="00605352" w:rsidRPr="00605352">
              <w:rPr>
                <w:rFonts w:cstheme="minorHAnsi"/>
                <w:noProof/>
                <w:webHidden/>
                <w:color w:val="002060"/>
              </w:rPr>
              <w:fldChar w:fldCharType="end"/>
            </w:r>
          </w:hyperlink>
        </w:p>
        <w:p w14:paraId="49CB02F2" w14:textId="2C342258"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54"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37</w:t>
            </w:r>
            <w:r w:rsidR="00605352" w:rsidRPr="00605352">
              <w:rPr>
                <w:rFonts w:cstheme="minorHAnsi"/>
                <w:noProof/>
                <w:webHidden/>
                <w:color w:val="002060"/>
              </w:rPr>
              <w:fldChar w:fldCharType="end"/>
            </w:r>
          </w:hyperlink>
        </w:p>
        <w:p w14:paraId="0C3CDA9B" w14:textId="5E7BEAD7"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5" w:history="1">
            <w:r w:rsidR="00605352" w:rsidRPr="00605352">
              <w:rPr>
                <w:rStyle w:val="Hyperlink"/>
                <w:rFonts w:cstheme="minorHAnsi"/>
                <w:noProof/>
                <w:color w:val="002060"/>
              </w:rPr>
              <w:t>4.2.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Zakonodavni okvir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37</w:t>
            </w:r>
            <w:r w:rsidR="00605352" w:rsidRPr="00605352">
              <w:rPr>
                <w:rFonts w:cstheme="minorHAnsi"/>
                <w:noProof/>
                <w:webHidden/>
                <w:color w:val="002060"/>
              </w:rPr>
              <w:fldChar w:fldCharType="end"/>
            </w:r>
          </w:hyperlink>
        </w:p>
        <w:p w14:paraId="159B13E0" w14:textId="6C6DB939"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6" w:history="1">
            <w:r w:rsidR="00605352" w:rsidRPr="00605352">
              <w:rPr>
                <w:rStyle w:val="Hyperlink"/>
                <w:rFonts w:cstheme="minorHAnsi"/>
                <w:noProof/>
                <w:color w:val="002060"/>
              </w:rPr>
              <w:t>4.3.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Proizvodnja pesticida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38</w:t>
            </w:r>
            <w:r w:rsidR="00605352" w:rsidRPr="00605352">
              <w:rPr>
                <w:rFonts w:cstheme="minorHAnsi"/>
                <w:noProof/>
                <w:webHidden/>
                <w:color w:val="002060"/>
              </w:rPr>
              <w:fldChar w:fldCharType="end"/>
            </w:r>
          </w:hyperlink>
        </w:p>
        <w:p w14:paraId="79562840" w14:textId="4A99D4AC"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7" w:history="1">
            <w:r w:rsidR="00605352" w:rsidRPr="00605352">
              <w:rPr>
                <w:rStyle w:val="Hyperlink"/>
                <w:rFonts w:cstheme="minorHAnsi"/>
                <w:noProof/>
                <w:color w:val="002060"/>
              </w:rPr>
              <w:t>4.4.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Istorija upotrebe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38</w:t>
            </w:r>
            <w:r w:rsidR="00605352" w:rsidRPr="00605352">
              <w:rPr>
                <w:rFonts w:cstheme="minorHAnsi"/>
                <w:noProof/>
                <w:webHidden/>
                <w:color w:val="002060"/>
              </w:rPr>
              <w:fldChar w:fldCharType="end"/>
            </w:r>
          </w:hyperlink>
        </w:p>
        <w:p w14:paraId="79532212" w14:textId="06A25981"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8" w:history="1">
            <w:r w:rsidR="00605352" w:rsidRPr="00605352">
              <w:rPr>
                <w:rStyle w:val="Hyperlink"/>
                <w:rFonts w:cstheme="minorHAnsi"/>
                <w:noProof/>
                <w:color w:val="002060"/>
              </w:rPr>
              <w:t>4.5.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Izvoz pesticida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38</w:t>
            </w:r>
            <w:r w:rsidR="00605352" w:rsidRPr="00605352">
              <w:rPr>
                <w:rFonts w:cstheme="minorHAnsi"/>
                <w:noProof/>
                <w:webHidden/>
                <w:color w:val="002060"/>
              </w:rPr>
              <w:fldChar w:fldCharType="end"/>
            </w:r>
          </w:hyperlink>
        </w:p>
        <w:p w14:paraId="054F1271" w14:textId="31C2E5A1"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59" w:history="1">
            <w:r w:rsidR="00605352" w:rsidRPr="00605352">
              <w:rPr>
                <w:rStyle w:val="Hyperlink"/>
                <w:rFonts w:cstheme="minorHAnsi"/>
                <w:noProof/>
                <w:color w:val="002060"/>
              </w:rPr>
              <w:t>4.6.</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Uvoz pesticida u Crnu Goru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_Toc220541859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38</w:t>
            </w:r>
            <w:r w:rsidR="00605352" w:rsidRPr="00605352">
              <w:rPr>
                <w:rFonts w:cstheme="minorHAnsi"/>
                <w:noProof/>
                <w:webHidden/>
                <w:color w:val="002060"/>
              </w:rPr>
              <w:fldChar w:fldCharType="end"/>
            </w:r>
          </w:hyperlink>
        </w:p>
        <w:p w14:paraId="45831CF1" w14:textId="4206465B"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60" w:history="1">
            <w:r w:rsidR="00605352" w:rsidRPr="00605352">
              <w:rPr>
                <w:rStyle w:val="Hyperlink"/>
                <w:rFonts w:cstheme="minorHAnsi"/>
                <w:noProof/>
                <w:color w:val="002060"/>
              </w:rPr>
              <w:t>4.7.</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Evaluacija nalaza inventara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45</w:t>
            </w:r>
            <w:r w:rsidR="00605352" w:rsidRPr="00605352">
              <w:rPr>
                <w:rFonts w:cstheme="minorHAnsi"/>
                <w:noProof/>
                <w:webHidden/>
                <w:color w:val="002060"/>
              </w:rPr>
              <w:fldChar w:fldCharType="end"/>
            </w:r>
          </w:hyperlink>
        </w:p>
        <w:p w14:paraId="51FA239D" w14:textId="141C3361"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61" w:history="1">
            <w:r w:rsidR="00605352" w:rsidRPr="00605352">
              <w:rPr>
                <w:rStyle w:val="Hyperlink"/>
                <w:rFonts w:cstheme="minorHAnsi"/>
                <w:noProof/>
                <w:color w:val="002060"/>
              </w:rPr>
              <w:t>4.8.</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Monitoring ostataka pesticida u hrani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46</w:t>
            </w:r>
            <w:r w:rsidR="00605352" w:rsidRPr="00605352">
              <w:rPr>
                <w:rFonts w:cstheme="minorHAnsi"/>
                <w:noProof/>
                <w:webHidden/>
                <w:color w:val="002060"/>
              </w:rPr>
              <w:fldChar w:fldCharType="end"/>
            </w:r>
          </w:hyperlink>
        </w:p>
        <w:p w14:paraId="0435249E" w14:textId="2658C552"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62" w:history="1">
            <w:r w:rsidR="00605352" w:rsidRPr="00605352">
              <w:rPr>
                <w:rStyle w:val="Hyperlink"/>
                <w:rFonts w:cstheme="minorHAnsi"/>
                <w:noProof/>
                <w:color w:val="002060"/>
              </w:rPr>
              <w:t>4.9.</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Opšti zaključak</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47</w:t>
            </w:r>
            <w:r w:rsidR="00605352" w:rsidRPr="00605352">
              <w:rPr>
                <w:rFonts w:cstheme="minorHAnsi"/>
                <w:noProof/>
                <w:webHidden/>
                <w:color w:val="002060"/>
              </w:rPr>
              <w:fldChar w:fldCharType="end"/>
            </w:r>
          </w:hyperlink>
        </w:p>
        <w:p w14:paraId="05CA6811" w14:textId="4B40DCD4"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863" w:history="1">
            <w:r w:rsidR="00605352" w:rsidRPr="00605352">
              <w:rPr>
                <w:rStyle w:val="Hyperlink"/>
                <w:rFonts w:cstheme="minorHAnsi"/>
                <w:noProof/>
                <w:color w:val="002060"/>
              </w:rPr>
              <w:t>4.10.</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Preporučene mjere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48</w:t>
            </w:r>
            <w:r w:rsidR="00605352" w:rsidRPr="00605352">
              <w:rPr>
                <w:rFonts w:cstheme="minorHAnsi"/>
                <w:noProof/>
                <w:webHidden/>
                <w:color w:val="002060"/>
              </w:rPr>
              <w:fldChar w:fldCharType="end"/>
            </w:r>
          </w:hyperlink>
        </w:p>
        <w:p w14:paraId="4106FD29" w14:textId="36CDDE1E"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864" w:history="1">
            <w:r w:rsidR="00605352" w:rsidRPr="00605352">
              <w:rPr>
                <w:rStyle w:val="Hyperlink"/>
                <w:rFonts w:cstheme="minorHAnsi"/>
                <w:noProof/>
                <w:color w:val="002060"/>
              </w:rPr>
              <w:t>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POLIHLOROVANI BIFENILI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48</w:t>
            </w:r>
            <w:r w:rsidR="00605352" w:rsidRPr="00605352">
              <w:rPr>
                <w:rFonts w:cstheme="minorHAnsi"/>
                <w:noProof/>
                <w:webHidden/>
                <w:color w:val="002060"/>
              </w:rPr>
              <w:fldChar w:fldCharType="end"/>
            </w:r>
          </w:hyperlink>
        </w:p>
        <w:p w14:paraId="442AF572" w14:textId="2A854508" w:rsidR="00605352" w:rsidRPr="00605352" w:rsidRDefault="009756DA">
          <w:pPr>
            <w:pStyle w:val="TOC2"/>
            <w:tabs>
              <w:tab w:val="right" w:leader="dot" w:pos="9350"/>
            </w:tabs>
            <w:rPr>
              <w:rFonts w:cstheme="minorHAnsi"/>
              <w:smallCaps w:val="0"/>
              <w:noProof/>
              <w:color w:val="002060"/>
              <w:kern w:val="2"/>
              <w:sz w:val="24"/>
              <w:szCs w:val="24"/>
              <w:lang w:val="en-US" w:eastAsia="en-US"/>
              <w14:ligatures w14:val="standardContextual"/>
            </w:rPr>
          </w:pPr>
          <w:hyperlink w:anchor="_Toc220541865"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48</w:t>
            </w:r>
            <w:r w:rsidR="00605352" w:rsidRPr="00605352">
              <w:rPr>
                <w:rFonts w:cstheme="minorHAnsi"/>
                <w:noProof/>
                <w:webHidden/>
                <w:color w:val="002060"/>
              </w:rPr>
              <w:fldChar w:fldCharType="end"/>
            </w:r>
          </w:hyperlink>
        </w:p>
        <w:p w14:paraId="3F16F14D" w14:textId="443BB59B"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66" w:history="1">
            <w:r w:rsidR="00605352" w:rsidRPr="00605352">
              <w:rPr>
                <w:rStyle w:val="Hyperlink"/>
                <w:rFonts w:cstheme="minorHAnsi"/>
                <w:noProof/>
                <w:color w:val="002060"/>
              </w:rPr>
              <w:t>5.1.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Poređenje sa prethodnim NIP-ovima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49</w:t>
            </w:r>
            <w:r w:rsidR="00605352" w:rsidRPr="00605352">
              <w:rPr>
                <w:rFonts w:cstheme="minorHAnsi"/>
                <w:noProof/>
                <w:webHidden/>
                <w:color w:val="002060"/>
              </w:rPr>
              <w:fldChar w:fldCharType="end"/>
            </w:r>
          </w:hyperlink>
        </w:p>
        <w:p w14:paraId="6E33FD79" w14:textId="03E74D25"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67" w:history="1">
            <w:r w:rsidR="00605352" w:rsidRPr="00605352">
              <w:rPr>
                <w:rStyle w:val="Hyperlink"/>
                <w:rFonts w:cstheme="minorHAnsi"/>
                <w:noProof/>
                <w:color w:val="002060"/>
              </w:rPr>
              <w:t>5.2.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Stanje implementacije planova aktivnosti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50</w:t>
            </w:r>
            <w:r w:rsidR="00605352" w:rsidRPr="00605352">
              <w:rPr>
                <w:rFonts w:cstheme="minorHAnsi"/>
                <w:noProof/>
                <w:webHidden/>
                <w:color w:val="002060"/>
              </w:rPr>
              <w:fldChar w:fldCharType="end"/>
            </w:r>
          </w:hyperlink>
        </w:p>
        <w:p w14:paraId="5B8FF760" w14:textId="6E8A17C1"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68" w:history="1">
            <w:r w:rsidR="00605352" w:rsidRPr="00605352">
              <w:rPr>
                <w:rStyle w:val="Hyperlink"/>
                <w:rFonts w:cstheme="minorHAnsi"/>
                <w:noProof/>
                <w:color w:val="002060"/>
              </w:rPr>
              <w:t>5.3.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Proces inventarizacije polihlorovanih bifenila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50</w:t>
            </w:r>
            <w:r w:rsidR="00605352" w:rsidRPr="00605352">
              <w:rPr>
                <w:rFonts w:cstheme="minorHAnsi"/>
                <w:noProof/>
                <w:webHidden/>
                <w:color w:val="002060"/>
              </w:rPr>
              <w:fldChar w:fldCharType="end"/>
            </w:r>
          </w:hyperlink>
        </w:p>
        <w:p w14:paraId="3D1217C9" w14:textId="1783AE75"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69" w:history="1">
            <w:r w:rsidR="00605352" w:rsidRPr="00605352">
              <w:rPr>
                <w:rStyle w:val="Hyperlink"/>
                <w:rFonts w:cstheme="minorHAnsi"/>
                <w:noProof/>
                <w:color w:val="002060"/>
              </w:rPr>
              <w:t>Rezultati projekta „Sveobuhvatno ekološki prihvatljivo upravljanje PCB-ovima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_Toc220541869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52</w:t>
            </w:r>
            <w:r w:rsidR="00605352" w:rsidRPr="00605352">
              <w:rPr>
                <w:rFonts w:cstheme="minorHAnsi"/>
                <w:noProof/>
                <w:webHidden/>
                <w:color w:val="002060"/>
              </w:rPr>
              <w:fldChar w:fldCharType="end"/>
            </w:r>
          </w:hyperlink>
        </w:p>
        <w:p w14:paraId="7A2741CC" w14:textId="714821AC"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70" w:history="1">
            <w:r w:rsidR="00605352" w:rsidRPr="00605352">
              <w:rPr>
                <w:rStyle w:val="Hyperlink"/>
                <w:rFonts w:cstheme="minorHAnsi"/>
                <w:noProof/>
                <w:color w:val="002060"/>
              </w:rPr>
              <w:t>5.4.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ZAKLJUČAK</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55</w:t>
            </w:r>
            <w:r w:rsidR="00605352" w:rsidRPr="00605352">
              <w:rPr>
                <w:rFonts w:cstheme="minorHAnsi"/>
                <w:noProof/>
                <w:webHidden/>
                <w:color w:val="002060"/>
              </w:rPr>
              <w:fldChar w:fldCharType="end"/>
            </w:r>
          </w:hyperlink>
        </w:p>
        <w:p w14:paraId="4F142FC3" w14:textId="099A7462"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871" w:history="1">
            <w:r w:rsidR="00605352" w:rsidRPr="00605352">
              <w:rPr>
                <w:rStyle w:val="Hyperlink"/>
                <w:rFonts w:cstheme="minorHAnsi"/>
                <w:noProof/>
                <w:color w:val="002060"/>
              </w:rPr>
              <w:t>6.</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NENAMJERNO PROIZVEDENI POP‘s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55</w:t>
            </w:r>
            <w:r w:rsidR="00605352" w:rsidRPr="00605352">
              <w:rPr>
                <w:rFonts w:cstheme="minorHAnsi"/>
                <w:noProof/>
                <w:webHidden/>
                <w:color w:val="002060"/>
              </w:rPr>
              <w:fldChar w:fldCharType="end"/>
            </w:r>
          </w:hyperlink>
        </w:p>
        <w:p w14:paraId="54792108" w14:textId="2144EB75"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72" w:history="1">
            <w:r w:rsidR="00605352" w:rsidRPr="00605352">
              <w:rPr>
                <w:rStyle w:val="Hyperlink"/>
                <w:rFonts w:cstheme="minorHAnsi"/>
                <w:noProof/>
                <w:color w:val="002060"/>
                <w:lang w:val="sr-Latn-RS"/>
              </w:rPr>
              <w:t>6.1.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val="sr-Latn-RS"/>
              </w:rPr>
              <w:t>Procjena nenamjerno proizvedenih POP’s iz Aneksa C (PCDD/PCDF, HCB i PCB) Stokholmske konvencije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56</w:t>
            </w:r>
            <w:r w:rsidR="00605352" w:rsidRPr="00605352">
              <w:rPr>
                <w:rFonts w:cstheme="minorHAnsi"/>
                <w:noProof/>
                <w:webHidden/>
                <w:color w:val="002060"/>
              </w:rPr>
              <w:fldChar w:fldCharType="end"/>
            </w:r>
          </w:hyperlink>
        </w:p>
        <w:p w14:paraId="45F51DE7" w14:textId="4C98E6A9"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73" w:history="1">
            <w:r w:rsidR="00605352" w:rsidRPr="00605352">
              <w:rPr>
                <w:rStyle w:val="Hyperlink"/>
                <w:rFonts w:cstheme="minorHAnsi"/>
                <w:noProof/>
                <w:color w:val="002060"/>
              </w:rPr>
              <w:t>Procjena nenamjerno proizvedenih POP's (PCDD/PCDF, HCB i PCB) za period 2006-2022.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58</w:t>
            </w:r>
            <w:r w:rsidR="00605352" w:rsidRPr="00605352">
              <w:rPr>
                <w:rFonts w:cstheme="minorHAnsi"/>
                <w:noProof/>
                <w:webHidden/>
                <w:color w:val="002060"/>
              </w:rPr>
              <w:fldChar w:fldCharType="end"/>
            </w:r>
          </w:hyperlink>
        </w:p>
        <w:p w14:paraId="6788F345" w14:textId="407755BF"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74" w:history="1">
            <w:r w:rsidR="00605352" w:rsidRPr="00605352">
              <w:rPr>
                <w:rStyle w:val="Hyperlink"/>
                <w:rFonts w:cstheme="minorHAnsi"/>
                <w:noProof/>
                <w:color w:val="002060"/>
              </w:rPr>
              <w:t>Ukupne procijenjene emisije nenamjerno proizvedenih POP’s (PCDD/PCDF) za period 2006 -2022.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59</w:t>
            </w:r>
            <w:r w:rsidR="00605352" w:rsidRPr="00605352">
              <w:rPr>
                <w:rFonts w:cstheme="minorHAnsi"/>
                <w:noProof/>
                <w:webHidden/>
                <w:color w:val="002060"/>
              </w:rPr>
              <w:fldChar w:fldCharType="end"/>
            </w:r>
          </w:hyperlink>
        </w:p>
        <w:p w14:paraId="0BE97B6E" w14:textId="456C5F4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75" w:history="1">
            <w:r w:rsidR="00605352" w:rsidRPr="00605352">
              <w:rPr>
                <w:rStyle w:val="Hyperlink"/>
                <w:rFonts w:cstheme="minorHAnsi"/>
                <w:noProof/>
                <w:color w:val="002060"/>
              </w:rPr>
              <w:t>Procjene emisije nenamjerno proizvedenih POP‘s (PCDD/PCDF) u vazduh za period 2006 -2022.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60</w:t>
            </w:r>
            <w:r w:rsidR="00605352" w:rsidRPr="00605352">
              <w:rPr>
                <w:rFonts w:cstheme="minorHAnsi"/>
                <w:noProof/>
                <w:webHidden/>
                <w:color w:val="002060"/>
              </w:rPr>
              <w:fldChar w:fldCharType="end"/>
            </w:r>
          </w:hyperlink>
        </w:p>
        <w:p w14:paraId="1730EAE1" w14:textId="4F9B506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76" w:history="1">
            <w:r w:rsidR="00605352" w:rsidRPr="00605352">
              <w:rPr>
                <w:rStyle w:val="Hyperlink"/>
                <w:rFonts w:cstheme="minorHAnsi"/>
                <w:noProof/>
                <w:color w:val="002060"/>
              </w:rPr>
              <w:t>Procjene emisije nenamjerno proizvedenih POP‘s (PCDD/PCDF) u zemljište za period 2006 -2022.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61</w:t>
            </w:r>
            <w:r w:rsidR="00605352" w:rsidRPr="00605352">
              <w:rPr>
                <w:rFonts w:cstheme="minorHAnsi"/>
                <w:noProof/>
                <w:webHidden/>
                <w:color w:val="002060"/>
              </w:rPr>
              <w:fldChar w:fldCharType="end"/>
            </w:r>
          </w:hyperlink>
        </w:p>
        <w:p w14:paraId="4AAF6AE4" w14:textId="733A772B"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77" w:history="1">
            <w:r w:rsidR="00605352" w:rsidRPr="00605352">
              <w:rPr>
                <w:rStyle w:val="Hyperlink"/>
                <w:rFonts w:cstheme="minorHAnsi"/>
                <w:noProof/>
                <w:color w:val="002060"/>
              </w:rPr>
              <w:t>Procjene emisije nenamjerno proizvedenih POP‘s (PCDD/PCDF) koje su dospjele u proizvode za period 2006 -2022.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62</w:t>
            </w:r>
            <w:r w:rsidR="00605352" w:rsidRPr="00605352">
              <w:rPr>
                <w:rFonts w:cstheme="minorHAnsi"/>
                <w:noProof/>
                <w:webHidden/>
                <w:color w:val="002060"/>
              </w:rPr>
              <w:fldChar w:fldCharType="end"/>
            </w:r>
          </w:hyperlink>
        </w:p>
        <w:p w14:paraId="46A48CA9" w14:textId="3BAE9B79"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78" w:history="1">
            <w:r w:rsidR="00605352" w:rsidRPr="00605352">
              <w:rPr>
                <w:rStyle w:val="Hyperlink"/>
                <w:rFonts w:cstheme="minorHAnsi"/>
                <w:noProof/>
                <w:color w:val="002060"/>
              </w:rPr>
              <w:t>Procjene emisije nenamjerno proizvedenih POP‘s (PCDD/PCDF) koje su dospjele u ostatke iz procesa proizvodnje za period 2006 -2022.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62</w:t>
            </w:r>
            <w:r w:rsidR="00605352" w:rsidRPr="00605352">
              <w:rPr>
                <w:rFonts w:cstheme="minorHAnsi"/>
                <w:noProof/>
                <w:webHidden/>
                <w:color w:val="002060"/>
              </w:rPr>
              <w:fldChar w:fldCharType="end"/>
            </w:r>
          </w:hyperlink>
        </w:p>
        <w:p w14:paraId="31B51573" w14:textId="79C4D3CD"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79" w:history="1">
            <w:r w:rsidR="00605352" w:rsidRPr="00605352">
              <w:rPr>
                <w:rStyle w:val="Hyperlink"/>
                <w:rFonts w:cstheme="minorHAnsi"/>
                <w:noProof/>
                <w:color w:val="002060"/>
              </w:rPr>
              <w:t>Procjena emisija nenamjerno proizvedenih POP's (PCDD/PCDF) po glavnim grupama za period 2006 -2022.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_Toc220541879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63</w:t>
            </w:r>
            <w:r w:rsidR="00605352" w:rsidRPr="00605352">
              <w:rPr>
                <w:rFonts w:cstheme="minorHAnsi"/>
                <w:noProof/>
                <w:webHidden/>
                <w:color w:val="002060"/>
              </w:rPr>
              <w:fldChar w:fldCharType="end"/>
            </w:r>
          </w:hyperlink>
        </w:p>
        <w:p w14:paraId="0B049F64" w14:textId="4FFC9DC5"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80" w:history="1">
            <w:r w:rsidR="00605352" w:rsidRPr="00605352">
              <w:rPr>
                <w:rStyle w:val="Hyperlink"/>
                <w:rFonts w:cstheme="minorHAnsi"/>
                <w:noProof/>
                <w:color w:val="002060"/>
              </w:rPr>
              <w:t>Inventar nenamjerno emitovanih POP’s (HCBD, PecB, PCN) za period 2015 -2022.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79</w:t>
            </w:r>
            <w:r w:rsidR="00605352" w:rsidRPr="00605352">
              <w:rPr>
                <w:rFonts w:cstheme="minorHAnsi"/>
                <w:noProof/>
                <w:webHidden/>
                <w:color w:val="002060"/>
              </w:rPr>
              <w:fldChar w:fldCharType="end"/>
            </w:r>
          </w:hyperlink>
        </w:p>
        <w:p w14:paraId="4B638529" w14:textId="332057DC"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81" w:history="1">
            <w:r w:rsidR="00605352" w:rsidRPr="00605352">
              <w:rPr>
                <w:rStyle w:val="Hyperlink"/>
                <w:rFonts w:cstheme="minorHAnsi"/>
                <w:noProof/>
                <w:color w:val="002060"/>
              </w:rPr>
              <w:t>Preporuke/elementi za akcioni plan</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80</w:t>
            </w:r>
            <w:r w:rsidR="00605352" w:rsidRPr="00605352">
              <w:rPr>
                <w:rFonts w:cstheme="minorHAnsi"/>
                <w:noProof/>
                <w:webHidden/>
                <w:color w:val="002060"/>
              </w:rPr>
              <w:fldChar w:fldCharType="end"/>
            </w:r>
          </w:hyperlink>
        </w:p>
        <w:p w14:paraId="43F85AD3" w14:textId="35492874"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882" w:history="1">
            <w:r w:rsidR="00605352" w:rsidRPr="00605352">
              <w:rPr>
                <w:rStyle w:val="Hyperlink"/>
                <w:rFonts w:cstheme="minorHAnsi"/>
                <w:noProof/>
                <w:color w:val="002060"/>
              </w:rPr>
              <w:t>7.</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INVENTAR POLIBROMOVANIH DIFENIL ETARA (PBDE) I HEKSABROMODIFENILA (HBB)</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81</w:t>
            </w:r>
            <w:r w:rsidR="00605352" w:rsidRPr="00605352">
              <w:rPr>
                <w:rFonts w:cstheme="minorHAnsi"/>
                <w:noProof/>
                <w:webHidden/>
                <w:color w:val="002060"/>
              </w:rPr>
              <w:fldChar w:fldCharType="end"/>
            </w:r>
          </w:hyperlink>
        </w:p>
        <w:p w14:paraId="29C11DD5" w14:textId="209DE03D"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83" w:history="1">
            <w:r w:rsidR="00605352" w:rsidRPr="00605352">
              <w:rPr>
                <w:rStyle w:val="Hyperlink"/>
                <w:rFonts w:cstheme="minorHAnsi"/>
                <w:noProof/>
                <w:color w:val="002060"/>
              </w:rPr>
              <w:t>Uvod u PBDE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81</w:t>
            </w:r>
            <w:r w:rsidR="00605352" w:rsidRPr="00605352">
              <w:rPr>
                <w:rFonts w:cstheme="minorHAnsi"/>
                <w:noProof/>
                <w:webHidden/>
                <w:color w:val="002060"/>
              </w:rPr>
              <w:fldChar w:fldCharType="end"/>
            </w:r>
          </w:hyperlink>
        </w:p>
        <w:p w14:paraId="70A22B4C" w14:textId="7F833E22"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84" w:history="1">
            <w:r w:rsidR="00605352" w:rsidRPr="00605352">
              <w:rPr>
                <w:rStyle w:val="Hyperlink"/>
                <w:rFonts w:cstheme="minorHAnsi"/>
                <w:noProof/>
                <w:color w:val="002060"/>
              </w:rPr>
              <w:t>7.1.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POP-PBDE i HBB prema Stokholmskoj konvenciji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82</w:t>
            </w:r>
            <w:r w:rsidR="00605352" w:rsidRPr="00605352">
              <w:rPr>
                <w:rFonts w:cstheme="minorHAnsi"/>
                <w:noProof/>
                <w:webHidden/>
                <w:color w:val="002060"/>
              </w:rPr>
              <w:fldChar w:fldCharType="end"/>
            </w:r>
          </w:hyperlink>
        </w:p>
        <w:p w14:paraId="18640849" w14:textId="67276789"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85" w:history="1">
            <w:r w:rsidR="00605352" w:rsidRPr="00605352">
              <w:rPr>
                <w:rStyle w:val="Hyperlink"/>
                <w:rFonts w:cstheme="minorHAnsi"/>
                <w:noProof/>
                <w:color w:val="002060"/>
              </w:rPr>
              <w:t>7.2.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Prošla i sadašnja upotreba POP-PBDE i HBB</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83</w:t>
            </w:r>
            <w:r w:rsidR="00605352" w:rsidRPr="00605352">
              <w:rPr>
                <w:rFonts w:cstheme="minorHAnsi"/>
                <w:noProof/>
                <w:webHidden/>
                <w:color w:val="002060"/>
              </w:rPr>
              <w:fldChar w:fldCharType="end"/>
            </w:r>
          </w:hyperlink>
        </w:p>
        <w:p w14:paraId="509E8DCB" w14:textId="5AF8539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86" w:history="1">
            <w:r w:rsidR="00605352" w:rsidRPr="00605352">
              <w:rPr>
                <w:rStyle w:val="Hyperlink"/>
                <w:rFonts w:cstheme="minorHAnsi"/>
                <w:noProof/>
                <w:color w:val="002060"/>
              </w:rPr>
              <w:t>Prošla i sadašnja upotreba POP-PBDE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83</w:t>
            </w:r>
            <w:r w:rsidR="00605352" w:rsidRPr="00605352">
              <w:rPr>
                <w:rFonts w:cstheme="minorHAnsi"/>
                <w:noProof/>
                <w:webHidden/>
                <w:color w:val="002060"/>
              </w:rPr>
              <w:fldChar w:fldCharType="end"/>
            </w:r>
          </w:hyperlink>
        </w:p>
        <w:p w14:paraId="6DB28434" w14:textId="51FDD47D"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87" w:history="1">
            <w:r w:rsidR="00605352" w:rsidRPr="00605352">
              <w:rPr>
                <w:rStyle w:val="Hyperlink"/>
                <w:rFonts w:cstheme="minorHAnsi"/>
                <w:noProof/>
                <w:color w:val="002060"/>
              </w:rPr>
              <w:t>Upotreba HBB-a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85</w:t>
            </w:r>
            <w:r w:rsidR="00605352" w:rsidRPr="00605352">
              <w:rPr>
                <w:rFonts w:cstheme="minorHAnsi"/>
                <w:noProof/>
                <w:webHidden/>
                <w:color w:val="002060"/>
              </w:rPr>
              <w:fldChar w:fldCharType="end"/>
            </w:r>
          </w:hyperlink>
        </w:p>
        <w:p w14:paraId="7486A876" w14:textId="1A7F5B4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88" w:history="1">
            <w:r w:rsidR="00605352" w:rsidRPr="00605352">
              <w:rPr>
                <w:rStyle w:val="Hyperlink"/>
                <w:rFonts w:cstheme="minorHAnsi"/>
                <w:noProof/>
                <w:color w:val="002060"/>
              </w:rPr>
              <w:t>Proizvodnja PBDE-a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86</w:t>
            </w:r>
            <w:r w:rsidR="00605352" w:rsidRPr="00605352">
              <w:rPr>
                <w:rFonts w:cstheme="minorHAnsi"/>
                <w:noProof/>
                <w:webHidden/>
                <w:color w:val="002060"/>
              </w:rPr>
              <w:fldChar w:fldCharType="end"/>
            </w:r>
          </w:hyperlink>
        </w:p>
        <w:p w14:paraId="6CF9B485" w14:textId="128F303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89" w:history="1">
            <w:r w:rsidR="00605352" w:rsidRPr="00605352">
              <w:rPr>
                <w:rStyle w:val="Hyperlink"/>
                <w:rFonts w:cstheme="minorHAnsi"/>
                <w:noProof/>
                <w:color w:val="002060"/>
              </w:rPr>
              <w:t>Proizvodnja  HBB-a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_Toc220541889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87</w:t>
            </w:r>
            <w:r w:rsidR="00605352" w:rsidRPr="00605352">
              <w:rPr>
                <w:rFonts w:cstheme="minorHAnsi"/>
                <w:noProof/>
                <w:webHidden/>
                <w:color w:val="002060"/>
              </w:rPr>
              <w:fldChar w:fldCharType="end"/>
            </w:r>
          </w:hyperlink>
        </w:p>
        <w:p w14:paraId="428F43AF" w14:textId="09CBE02F"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90" w:history="1">
            <w:r w:rsidR="00605352" w:rsidRPr="00605352">
              <w:rPr>
                <w:rStyle w:val="Hyperlink"/>
                <w:rFonts w:cstheme="minorHAnsi"/>
                <w:noProof/>
                <w:color w:val="002060"/>
              </w:rPr>
              <w:t>7.3.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Proizvodnja i prethodna upotreba HBB-a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87</w:t>
            </w:r>
            <w:r w:rsidR="00605352" w:rsidRPr="00605352">
              <w:rPr>
                <w:rFonts w:cstheme="minorHAnsi"/>
                <w:noProof/>
                <w:webHidden/>
                <w:color w:val="002060"/>
              </w:rPr>
              <w:fldChar w:fldCharType="end"/>
            </w:r>
          </w:hyperlink>
        </w:p>
        <w:p w14:paraId="0D2463AC" w14:textId="3681870C" w:rsidR="00605352" w:rsidRPr="00605352" w:rsidRDefault="009756DA">
          <w:pPr>
            <w:pStyle w:val="TOC2"/>
            <w:tabs>
              <w:tab w:val="right" w:leader="dot" w:pos="9350"/>
            </w:tabs>
            <w:rPr>
              <w:rFonts w:cstheme="minorHAnsi"/>
              <w:smallCaps w:val="0"/>
              <w:noProof/>
              <w:color w:val="002060"/>
              <w:kern w:val="2"/>
              <w:sz w:val="24"/>
              <w:szCs w:val="24"/>
              <w:lang w:val="en-US" w:eastAsia="en-US"/>
              <w14:ligatures w14:val="standardContextual"/>
            </w:rPr>
          </w:pPr>
          <w:hyperlink w:anchor="_Toc220541891" w:history="1">
            <w:r w:rsidR="00605352" w:rsidRPr="00605352">
              <w:rPr>
                <w:rStyle w:val="Hyperlink"/>
                <w:rFonts w:cstheme="minorHAnsi"/>
                <w:noProof/>
                <w:color w:val="002060"/>
              </w:rPr>
              <w:t>Tokovi POP-PBDE: uvoz i izvoz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87</w:t>
            </w:r>
            <w:r w:rsidR="00605352" w:rsidRPr="00605352">
              <w:rPr>
                <w:rFonts w:cstheme="minorHAnsi"/>
                <w:noProof/>
                <w:webHidden/>
                <w:color w:val="002060"/>
              </w:rPr>
              <w:fldChar w:fldCharType="end"/>
            </w:r>
          </w:hyperlink>
        </w:p>
        <w:p w14:paraId="481081D2" w14:textId="425A3856"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92" w:history="1">
            <w:r w:rsidR="00605352" w:rsidRPr="00605352">
              <w:rPr>
                <w:rStyle w:val="Hyperlink"/>
                <w:rFonts w:cstheme="minorHAnsi"/>
                <w:noProof/>
                <w:color w:val="002060"/>
              </w:rPr>
              <w:t>7.4.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Proces inventarizacije POP-PBDE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88</w:t>
            </w:r>
            <w:r w:rsidR="00605352" w:rsidRPr="00605352">
              <w:rPr>
                <w:rFonts w:cstheme="minorHAnsi"/>
                <w:noProof/>
                <w:webHidden/>
                <w:color w:val="002060"/>
              </w:rPr>
              <w:fldChar w:fldCharType="end"/>
            </w:r>
          </w:hyperlink>
        </w:p>
        <w:p w14:paraId="3C5121F1" w14:textId="4171DAA1"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93" w:history="1">
            <w:r w:rsidR="00605352" w:rsidRPr="00605352">
              <w:rPr>
                <w:rStyle w:val="Hyperlink"/>
                <w:rFonts w:cstheme="minorHAnsi"/>
                <w:noProof/>
                <w:color w:val="002060"/>
              </w:rPr>
              <w:t>Višestepeni pristup i nivoi inventara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88</w:t>
            </w:r>
            <w:r w:rsidR="00605352" w:rsidRPr="00605352">
              <w:rPr>
                <w:rFonts w:cstheme="minorHAnsi"/>
                <w:noProof/>
                <w:webHidden/>
                <w:color w:val="002060"/>
              </w:rPr>
              <w:fldChar w:fldCharType="end"/>
            </w:r>
          </w:hyperlink>
        </w:p>
        <w:p w14:paraId="0F8FED6D" w14:textId="0A87695D"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94" w:history="1">
            <w:r w:rsidR="00605352" w:rsidRPr="00605352">
              <w:rPr>
                <w:rStyle w:val="Hyperlink"/>
                <w:rFonts w:cstheme="minorHAnsi"/>
                <w:noProof/>
                <w:color w:val="002060"/>
              </w:rPr>
              <w:t>Prilagođavanje crnogorskim uslovima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89</w:t>
            </w:r>
            <w:r w:rsidR="00605352" w:rsidRPr="00605352">
              <w:rPr>
                <w:rFonts w:cstheme="minorHAnsi"/>
                <w:noProof/>
                <w:webHidden/>
                <w:color w:val="002060"/>
              </w:rPr>
              <w:fldChar w:fldCharType="end"/>
            </w:r>
          </w:hyperlink>
        </w:p>
        <w:p w14:paraId="1F941E08" w14:textId="7D703120"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95" w:history="1">
            <w:r w:rsidR="00605352" w:rsidRPr="00605352">
              <w:rPr>
                <w:rStyle w:val="Hyperlink"/>
                <w:rFonts w:cstheme="minorHAnsi"/>
                <w:noProof/>
                <w:color w:val="002060"/>
              </w:rPr>
              <w:t>7.5.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SEKTOR EEE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90</w:t>
            </w:r>
            <w:r w:rsidR="00605352" w:rsidRPr="00605352">
              <w:rPr>
                <w:rFonts w:cstheme="minorHAnsi"/>
                <w:noProof/>
                <w:webHidden/>
                <w:color w:val="002060"/>
              </w:rPr>
              <w:fldChar w:fldCharType="end"/>
            </w:r>
          </w:hyperlink>
        </w:p>
        <w:p w14:paraId="1050CB90" w14:textId="76C93A9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96" w:history="1">
            <w:r w:rsidR="00605352" w:rsidRPr="00605352">
              <w:rPr>
                <w:rStyle w:val="Hyperlink"/>
                <w:rFonts w:cstheme="minorHAnsi"/>
                <w:noProof/>
                <w:color w:val="002060"/>
              </w:rPr>
              <w:t>Inventar POP-PBDE u električnoj i elektronskoj opremi (EEE) i povezanim otpadom (WEEE)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90</w:t>
            </w:r>
            <w:r w:rsidR="00605352" w:rsidRPr="00605352">
              <w:rPr>
                <w:rFonts w:cstheme="minorHAnsi"/>
                <w:noProof/>
                <w:webHidden/>
                <w:color w:val="002060"/>
              </w:rPr>
              <w:fldChar w:fldCharType="end"/>
            </w:r>
          </w:hyperlink>
        </w:p>
        <w:p w14:paraId="069DFEB3" w14:textId="51962169"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97" w:history="1">
            <w:r w:rsidR="00605352" w:rsidRPr="00605352">
              <w:rPr>
                <w:rStyle w:val="Hyperlink"/>
                <w:rFonts w:cstheme="minorHAnsi"/>
                <w:noProof/>
                <w:color w:val="002060"/>
              </w:rPr>
              <w:t>Definisanje obima inventara POP-PBDE u EEE/WEEE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90</w:t>
            </w:r>
            <w:r w:rsidR="00605352" w:rsidRPr="00605352">
              <w:rPr>
                <w:rFonts w:cstheme="minorHAnsi"/>
                <w:noProof/>
                <w:webHidden/>
                <w:color w:val="002060"/>
              </w:rPr>
              <w:fldChar w:fldCharType="end"/>
            </w:r>
          </w:hyperlink>
        </w:p>
        <w:p w14:paraId="7640D305" w14:textId="3AE091D3"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898" w:history="1">
            <w:r w:rsidR="00605352" w:rsidRPr="00605352">
              <w:rPr>
                <w:rStyle w:val="Hyperlink"/>
                <w:rFonts w:cstheme="minorHAnsi"/>
                <w:noProof/>
                <w:color w:val="002060"/>
              </w:rPr>
              <w:t>7.6.</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PBDE U SEKTORU EEE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91</w:t>
            </w:r>
            <w:r w:rsidR="00605352" w:rsidRPr="00605352">
              <w:rPr>
                <w:rFonts w:cstheme="minorHAnsi"/>
                <w:noProof/>
                <w:webHidden/>
                <w:color w:val="002060"/>
              </w:rPr>
              <w:fldChar w:fldCharType="end"/>
            </w:r>
          </w:hyperlink>
        </w:p>
        <w:p w14:paraId="2FEC5749" w14:textId="4A16F1B1"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899" w:history="1">
            <w:r w:rsidR="00605352" w:rsidRPr="00605352">
              <w:rPr>
                <w:rStyle w:val="Hyperlink"/>
                <w:rFonts w:cstheme="minorHAnsi"/>
                <w:noProof/>
                <w:color w:val="002060"/>
              </w:rPr>
              <w:t>EEE u upotrebi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_Toc220541899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91</w:t>
            </w:r>
            <w:r w:rsidR="00605352" w:rsidRPr="00605352">
              <w:rPr>
                <w:rFonts w:cstheme="minorHAnsi"/>
                <w:noProof/>
                <w:webHidden/>
                <w:color w:val="002060"/>
              </w:rPr>
              <w:fldChar w:fldCharType="end"/>
            </w:r>
          </w:hyperlink>
        </w:p>
        <w:p w14:paraId="18DD57B9" w14:textId="3DEED47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00" w:history="1">
            <w:r w:rsidR="00605352" w:rsidRPr="00605352">
              <w:rPr>
                <w:rStyle w:val="Hyperlink"/>
                <w:rFonts w:cstheme="minorHAnsi"/>
                <w:noProof/>
                <w:color w:val="002060"/>
              </w:rPr>
              <w:t>Uvoz električne i elektronske opreme (EEE)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93</w:t>
            </w:r>
            <w:r w:rsidR="00605352" w:rsidRPr="00605352">
              <w:rPr>
                <w:rFonts w:cstheme="minorHAnsi"/>
                <w:noProof/>
                <w:webHidden/>
                <w:color w:val="002060"/>
              </w:rPr>
              <w:fldChar w:fldCharType="end"/>
            </w:r>
          </w:hyperlink>
        </w:p>
        <w:p w14:paraId="7E7B23A1" w14:textId="1E54F7F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01" w:history="1">
            <w:r w:rsidR="00605352" w:rsidRPr="00605352">
              <w:rPr>
                <w:rStyle w:val="Hyperlink"/>
                <w:rFonts w:cstheme="minorHAnsi"/>
                <w:noProof/>
                <w:color w:val="002060"/>
              </w:rPr>
              <w:t>Otpad od električne i elektronske opreme (EEE)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94</w:t>
            </w:r>
            <w:r w:rsidR="00605352" w:rsidRPr="00605352">
              <w:rPr>
                <w:rFonts w:cstheme="minorHAnsi"/>
                <w:noProof/>
                <w:webHidden/>
                <w:color w:val="002060"/>
              </w:rPr>
              <w:fldChar w:fldCharType="end"/>
            </w:r>
          </w:hyperlink>
        </w:p>
        <w:p w14:paraId="5512C602" w14:textId="2C8564CC"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02" w:history="1">
            <w:r w:rsidR="00605352" w:rsidRPr="00605352">
              <w:rPr>
                <w:rStyle w:val="Hyperlink"/>
                <w:rFonts w:cstheme="minorHAnsi"/>
                <w:noProof/>
                <w:color w:val="002060"/>
              </w:rPr>
              <w:t>7.7.</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TRANSPORTNI SEKTOR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97</w:t>
            </w:r>
            <w:r w:rsidR="00605352" w:rsidRPr="00605352">
              <w:rPr>
                <w:rFonts w:cstheme="minorHAnsi"/>
                <w:noProof/>
                <w:webHidden/>
                <w:color w:val="002060"/>
              </w:rPr>
              <w:fldChar w:fldCharType="end"/>
            </w:r>
          </w:hyperlink>
        </w:p>
        <w:p w14:paraId="4C431191" w14:textId="73ED870A"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03" w:history="1">
            <w:r w:rsidR="00605352" w:rsidRPr="00605352">
              <w:rPr>
                <w:rStyle w:val="Hyperlink"/>
                <w:rFonts w:cstheme="minorHAnsi"/>
                <w:noProof/>
                <w:color w:val="002060"/>
              </w:rPr>
              <w:t>Upotreba PBDE u vozilima: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98</w:t>
            </w:r>
            <w:r w:rsidR="00605352" w:rsidRPr="00605352">
              <w:rPr>
                <w:rFonts w:cstheme="minorHAnsi"/>
                <w:noProof/>
                <w:webHidden/>
                <w:color w:val="002060"/>
              </w:rPr>
              <w:fldChar w:fldCharType="end"/>
            </w:r>
          </w:hyperlink>
        </w:p>
        <w:p w14:paraId="4405D585" w14:textId="2D5EB491"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04" w:history="1">
            <w:r w:rsidR="00605352" w:rsidRPr="00605352">
              <w:rPr>
                <w:rStyle w:val="Hyperlink"/>
                <w:rFonts w:cstheme="minorHAnsi"/>
                <w:noProof/>
                <w:color w:val="002060"/>
              </w:rPr>
              <w:t>7.8.</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PROCES INVENTARIZACIJE TRANSPORTNOG SEKTORA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98</w:t>
            </w:r>
            <w:r w:rsidR="00605352" w:rsidRPr="00605352">
              <w:rPr>
                <w:rFonts w:cstheme="minorHAnsi"/>
                <w:noProof/>
                <w:webHidden/>
                <w:color w:val="002060"/>
              </w:rPr>
              <w:fldChar w:fldCharType="end"/>
            </w:r>
          </w:hyperlink>
        </w:p>
        <w:p w14:paraId="2EDD3419" w14:textId="6ABA61BB"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05" w:history="1">
            <w:r w:rsidR="00605352" w:rsidRPr="00605352">
              <w:rPr>
                <w:rStyle w:val="Hyperlink"/>
                <w:rFonts w:cstheme="minorHAnsi"/>
                <w:noProof/>
                <w:color w:val="002060"/>
              </w:rPr>
              <w:t>7.9.</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PBDE U TRANSPORTNOM SEKTORU CRNE GORE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99</w:t>
            </w:r>
            <w:r w:rsidR="00605352" w:rsidRPr="00605352">
              <w:rPr>
                <w:rFonts w:cstheme="minorHAnsi"/>
                <w:noProof/>
                <w:webHidden/>
                <w:color w:val="002060"/>
              </w:rPr>
              <w:fldChar w:fldCharType="end"/>
            </w:r>
          </w:hyperlink>
        </w:p>
        <w:p w14:paraId="77246252" w14:textId="5485AAC0"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06" w:history="1">
            <w:r w:rsidR="00605352" w:rsidRPr="00605352">
              <w:rPr>
                <w:rStyle w:val="Hyperlink"/>
                <w:rFonts w:cstheme="minorHAnsi"/>
                <w:noProof/>
                <w:color w:val="002060"/>
              </w:rPr>
              <w:t>Vozila u upotrebi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99</w:t>
            </w:r>
            <w:r w:rsidR="00605352" w:rsidRPr="00605352">
              <w:rPr>
                <w:rFonts w:cstheme="minorHAnsi"/>
                <w:noProof/>
                <w:webHidden/>
                <w:color w:val="002060"/>
              </w:rPr>
              <w:fldChar w:fldCharType="end"/>
            </w:r>
          </w:hyperlink>
        </w:p>
        <w:p w14:paraId="49DCC951" w14:textId="070EBE0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07" w:history="1">
            <w:r w:rsidR="00605352" w:rsidRPr="00605352">
              <w:rPr>
                <w:rStyle w:val="Hyperlink"/>
                <w:rFonts w:cstheme="minorHAnsi"/>
                <w:noProof/>
                <w:color w:val="002060"/>
              </w:rPr>
              <w:t>Uvezena vozila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103</w:t>
            </w:r>
            <w:r w:rsidR="00605352" w:rsidRPr="00605352">
              <w:rPr>
                <w:rFonts w:cstheme="minorHAnsi"/>
                <w:noProof/>
                <w:webHidden/>
                <w:color w:val="002060"/>
              </w:rPr>
              <w:fldChar w:fldCharType="end"/>
            </w:r>
          </w:hyperlink>
        </w:p>
        <w:p w14:paraId="36240710" w14:textId="174304D8"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08" w:history="1">
            <w:r w:rsidR="00605352" w:rsidRPr="00605352">
              <w:rPr>
                <w:rStyle w:val="Hyperlink"/>
                <w:rFonts w:cstheme="minorHAnsi"/>
                <w:noProof/>
                <w:color w:val="002060"/>
              </w:rPr>
              <w:t>Otpad od vozila na kraju životnog vijeka (ELV)</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106</w:t>
            </w:r>
            <w:r w:rsidR="00605352" w:rsidRPr="00605352">
              <w:rPr>
                <w:rFonts w:cstheme="minorHAnsi"/>
                <w:noProof/>
                <w:webHidden/>
                <w:color w:val="002060"/>
              </w:rPr>
              <w:fldChar w:fldCharType="end"/>
            </w:r>
          </w:hyperlink>
        </w:p>
        <w:p w14:paraId="1F2FB41A" w14:textId="6429EC4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09" w:history="1">
            <w:r w:rsidR="00605352" w:rsidRPr="00605352">
              <w:rPr>
                <w:rStyle w:val="Hyperlink"/>
                <w:rFonts w:cstheme="minorHAnsi"/>
                <w:noProof/>
                <w:color w:val="002060"/>
              </w:rPr>
              <w:t>Upravljanje otpadom u Crnoj Gori i rizici izloženosti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_Toc220541909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108</w:t>
            </w:r>
            <w:r w:rsidR="00605352" w:rsidRPr="00605352">
              <w:rPr>
                <w:rFonts w:cstheme="minorHAnsi"/>
                <w:noProof/>
                <w:webHidden/>
                <w:color w:val="002060"/>
              </w:rPr>
              <w:fldChar w:fldCharType="end"/>
            </w:r>
          </w:hyperlink>
        </w:p>
        <w:p w14:paraId="041D0145" w14:textId="19BE2BDF"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10" w:history="1">
            <w:r w:rsidR="00605352" w:rsidRPr="00605352">
              <w:rPr>
                <w:rStyle w:val="Hyperlink"/>
                <w:rFonts w:cstheme="minorHAnsi"/>
                <w:noProof/>
                <w:color w:val="002060"/>
              </w:rPr>
              <w:t>7.10.</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Zaključci i elementi za djelovanje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109</w:t>
            </w:r>
            <w:r w:rsidR="00605352" w:rsidRPr="00605352">
              <w:rPr>
                <w:rFonts w:cstheme="minorHAnsi"/>
                <w:noProof/>
                <w:webHidden/>
                <w:color w:val="002060"/>
              </w:rPr>
              <w:fldChar w:fldCharType="end"/>
            </w:r>
          </w:hyperlink>
        </w:p>
        <w:p w14:paraId="67C673E7" w14:textId="070C7770"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11" w:history="1">
            <w:r w:rsidR="00605352" w:rsidRPr="00605352">
              <w:rPr>
                <w:rStyle w:val="Hyperlink"/>
                <w:rFonts w:cstheme="minorHAnsi"/>
                <w:noProof/>
                <w:color w:val="002060"/>
              </w:rPr>
              <w:t>7.11.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Preporučene aktivnosti: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109</w:t>
            </w:r>
            <w:r w:rsidR="00605352" w:rsidRPr="00605352">
              <w:rPr>
                <w:rFonts w:cstheme="minorHAnsi"/>
                <w:noProof/>
                <w:webHidden/>
                <w:color w:val="002060"/>
              </w:rPr>
              <w:fldChar w:fldCharType="end"/>
            </w:r>
          </w:hyperlink>
        </w:p>
        <w:p w14:paraId="43595BD4" w14:textId="5820D719"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12" w:history="1">
            <w:r w:rsidR="00605352" w:rsidRPr="00605352">
              <w:rPr>
                <w:rStyle w:val="Hyperlink"/>
                <w:rFonts w:cstheme="minorHAnsi"/>
                <w:noProof/>
                <w:color w:val="002060"/>
              </w:rPr>
              <w:t>7.12.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Implementacija planiranih aktivnosti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110</w:t>
            </w:r>
            <w:r w:rsidR="00605352" w:rsidRPr="00605352">
              <w:rPr>
                <w:rFonts w:cstheme="minorHAnsi"/>
                <w:noProof/>
                <w:webHidden/>
                <w:color w:val="002060"/>
              </w:rPr>
              <w:fldChar w:fldCharType="end"/>
            </w:r>
          </w:hyperlink>
        </w:p>
        <w:p w14:paraId="5624B7F8" w14:textId="3F961E8E"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913" w:history="1">
            <w:r w:rsidR="00605352" w:rsidRPr="00605352">
              <w:rPr>
                <w:rStyle w:val="Hyperlink"/>
                <w:rFonts w:cstheme="minorHAnsi"/>
                <w:noProof/>
                <w:color w:val="002060"/>
                <w:lang w:val="sr-Latn-ME"/>
              </w:rPr>
              <w:t>8.</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val="sr-Latn-ME"/>
              </w:rPr>
              <w:t>INVENTARIZACIJA HEKSABROMOCIKLODODEKANA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110</w:t>
            </w:r>
            <w:r w:rsidR="00605352" w:rsidRPr="00605352">
              <w:rPr>
                <w:rFonts w:cstheme="minorHAnsi"/>
                <w:noProof/>
                <w:webHidden/>
                <w:color w:val="002060"/>
              </w:rPr>
              <w:fldChar w:fldCharType="end"/>
            </w:r>
          </w:hyperlink>
        </w:p>
        <w:p w14:paraId="59B28AC5" w14:textId="2908424F"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14"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110</w:t>
            </w:r>
            <w:r w:rsidR="00605352" w:rsidRPr="00605352">
              <w:rPr>
                <w:rFonts w:cstheme="minorHAnsi"/>
                <w:noProof/>
                <w:webHidden/>
                <w:color w:val="002060"/>
              </w:rPr>
              <w:fldChar w:fldCharType="end"/>
            </w:r>
          </w:hyperlink>
        </w:p>
        <w:p w14:paraId="31829410" w14:textId="277B6F54"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15" w:history="1">
            <w:r w:rsidR="00605352" w:rsidRPr="00605352">
              <w:rPr>
                <w:rStyle w:val="Hyperlink"/>
                <w:rFonts w:cstheme="minorHAnsi"/>
                <w:noProof/>
                <w:color w:val="002060"/>
              </w:rPr>
              <w:t>8.1.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METODOLOGIJA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112</w:t>
            </w:r>
            <w:r w:rsidR="00605352" w:rsidRPr="00605352">
              <w:rPr>
                <w:rFonts w:cstheme="minorHAnsi"/>
                <w:noProof/>
                <w:webHidden/>
                <w:color w:val="002060"/>
              </w:rPr>
              <w:fldChar w:fldCharType="end"/>
            </w:r>
          </w:hyperlink>
        </w:p>
        <w:p w14:paraId="7977043F" w14:textId="2AB018EC"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16" w:history="1">
            <w:r w:rsidR="00605352" w:rsidRPr="00605352">
              <w:rPr>
                <w:rStyle w:val="Hyperlink"/>
                <w:rFonts w:cstheme="minorHAnsi"/>
                <w:noProof/>
                <w:color w:val="002060"/>
              </w:rPr>
              <w:t>Izvori i prikupljanje podataka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112</w:t>
            </w:r>
            <w:r w:rsidR="00605352" w:rsidRPr="00605352">
              <w:rPr>
                <w:rFonts w:cstheme="minorHAnsi"/>
                <w:noProof/>
                <w:webHidden/>
                <w:color w:val="002060"/>
              </w:rPr>
              <w:fldChar w:fldCharType="end"/>
            </w:r>
          </w:hyperlink>
        </w:p>
        <w:p w14:paraId="65EAEE4E" w14:textId="117B2FB3"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17" w:history="1">
            <w:r w:rsidR="00605352" w:rsidRPr="00605352">
              <w:rPr>
                <w:rStyle w:val="Hyperlink"/>
                <w:rFonts w:cstheme="minorHAnsi"/>
                <w:noProof/>
                <w:color w:val="002060"/>
              </w:rPr>
              <w:t>Izbor sektora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112</w:t>
            </w:r>
            <w:r w:rsidR="00605352" w:rsidRPr="00605352">
              <w:rPr>
                <w:rFonts w:cstheme="minorHAnsi"/>
                <w:noProof/>
                <w:webHidden/>
                <w:color w:val="002060"/>
              </w:rPr>
              <w:fldChar w:fldCharType="end"/>
            </w:r>
          </w:hyperlink>
        </w:p>
        <w:p w14:paraId="00C50546" w14:textId="12C4FBCC"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18" w:history="1">
            <w:r w:rsidR="00605352" w:rsidRPr="00605352">
              <w:rPr>
                <w:rStyle w:val="Hyperlink"/>
                <w:rFonts w:cstheme="minorHAnsi"/>
                <w:noProof/>
                <w:color w:val="002060"/>
              </w:rPr>
              <w:t>Analiza uvoza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112</w:t>
            </w:r>
            <w:r w:rsidR="00605352" w:rsidRPr="00605352">
              <w:rPr>
                <w:rFonts w:cstheme="minorHAnsi"/>
                <w:noProof/>
                <w:webHidden/>
                <w:color w:val="002060"/>
              </w:rPr>
              <w:fldChar w:fldCharType="end"/>
            </w:r>
          </w:hyperlink>
        </w:p>
        <w:p w14:paraId="2168073A" w14:textId="563C62B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19" w:history="1">
            <w:r w:rsidR="00605352" w:rsidRPr="00605352">
              <w:rPr>
                <w:rStyle w:val="Hyperlink"/>
                <w:rFonts w:cstheme="minorHAnsi"/>
                <w:noProof/>
                <w:color w:val="002060"/>
              </w:rPr>
              <w:t>Procjena upotrebe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_Toc220541919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112</w:t>
            </w:r>
            <w:r w:rsidR="00605352" w:rsidRPr="00605352">
              <w:rPr>
                <w:rFonts w:cstheme="minorHAnsi"/>
                <w:noProof/>
                <w:webHidden/>
                <w:color w:val="002060"/>
              </w:rPr>
              <w:fldChar w:fldCharType="end"/>
            </w:r>
          </w:hyperlink>
        </w:p>
        <w:p w14:paraId="2EEA09C6" w14:textId="59D3479E"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0" w:history="1">
            <w:r w:rsidR="00605352" w:rsidRPr="00605352">
              <w:rPr>
                <w:rStyle w:val="Hyperlink"/>
                <w:rFonts w:cstheme="minorHAnsi"/>
                <w:noProof/>
                <w:color w:val="002060"/>
              </w:rPr>
              <w:t>Procjena otpada i kontaminiranih lokacija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113</w:t>
            </w:r>
            <w:r w:rsidR="00605352" w:rsidRPr="00605352">
              <w:rPr>
                <w:rFonts w:cstheme="minorHAnsi"/>
                <w:noProof/>
                <w:webHidden/>
                <w:color w:val="002060"/>
              </w:rPr>
              <w:fldChar w:fldCharType="end"/>
            </w:r>
          </w:hyperlink>
        </w:p>
        <w:p w14:paraId="6385BDC4" w14:textId="5F313A2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1" w:history="1">
            <w:r w:rsidR="00605352" w:rsidRPr="00605352">
              <w:rPr>
                <w:rStyle w:val="Hyperlink"/>
                <w:rFonts w:cstheme="minorHAnsi"/>
                <w:noProof/>
                <w:color w:val="002060"/>
              </w:rPr>
              <w:t>Osiguranje kvaliteta i ograničenja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113</w:t>
            </w:r>
            <w:r w:rsidR="00605352" w:rsidRPr="00605352">
              <w:rPr>
                <w:rFonts w:cstheme="minorHAnsi"/>
                <w:noProof/>
                <w:webHidden/>
                <w:color w:val="002060"/>
              </w:rPr>
              <w:fldChar w:fldCharType="end"/>
            </w:r>
          </w:hyperlink>
        </w:p>
        <w:p w14:paraId="1CCDFFAE" w14:textId="02FE47B8"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22" w:history="1">
            <w:r w:rsidR="00605352" w:rsidRPr="00605352">
              <w:rPr>
                <w:rStyle w:val="Hyperlink"/>
                <w:rFonts w:cstheme="minorHAnsi"/>
                <w:noProof/>
                <w:color w:val="002060"/>
              </w:rPr>
              <w:t>8.2.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INVENTAR HBCD U CRNOJ GORI ZA PERIOD 2017-2023.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113</w:t>
            </w:r>
            <w:r w:rsidR="00605352" w:rsidRPr="00605352">
              <w:rPr>
                <w:rFonts w:cstheme="minorHAnsi"/>
                <w:noProof/>
                <w:webHidden/>
                <w:color w:val="002060"/>
              </w:rPr>
              <w:fldChar w:fldCharType="end"/>
            </w:r>
          </w:hyperlink>
        </w:p>
        <w:p w14:paraId="25D66E8F" w14:textId="7DD9635C"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3" w:history="1">
            <w:r w:rsidR="00605352" w:rsidRPr="00605352">
              <w:rPr>
                <w:rStyle w:val="Hyperlink"/>
                <w:rFonts w:cstheme="minorHAnsi"/>
                <w:noProof/>
                <w:color w:val="002060"/>
              </w:rPr>
              <w:t>Proizvodi koji potencijalno sadrže HBCD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113</w:t>
            </w:r>
            <w:r w:rsidR="00605352" w:rsidRPr="00605352">
              <w:rPr>
                <w:rFonts w:cstheme="minorHAnsi"/>
                <w:noProof/>
                <w:webHidden/>
                <w:color w:val="002060"/>
              </w:rPr>
              <w:fldChar w:fldCharType="end"/>
            </w:r>
          </w:hyperlink>
        </w:p>
        <w:p w14:paraId="2E5C2E34" w14:textId="1819D04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4" w:history="1">
            <w:r w:rsidR="00605352" w:rsidRPr="00605352">
              <w:rPr>
                <w:rStyle w:val="Hyperlink"/>
                <w:rFonts w:cstheme="minorHAnsi"/>
                <w:noProof/>
                <w:color w:val="002060"/>
              </w:rPr>
              <w:t>Uvoz granulata ekspandiranog polistirena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114</w:t>
            </w:r>
            <w:r w:rsidR="00605352" w:rsidRPr="00605352">
              <w:rPr>
                <w:rFonts w:cstheme="minorHAnsi"/>
                <w:noProof/>
                <w:webHidden/>
                <w:color w:val="002060"/>
              </w:rPr>
              <w:fldChar w:fldCharType="end"/>
            </w:r>
          </w:hyperlink>
        </w:p>
        <w:p w14:paraId="21655AF5" w14:textId="0D8AC1BA"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5" w:history="1">
            <w:r w:rsidR="00605352" w:rsidRPr="00605352">
              <w:rPr>
                <w:rStyle w:val="Hyperlink"/>
                <w:rFonts w:cstheme="minorHAnsi"/>
                <w:noProof/>
                <w:color w:val="002060"/>
              </w:rPr>
              <w:t>Procjena količine HBCD u uvezenom EPS granulatu i proizvodima od polistirena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116</w:t>
            </w:r>
            <w:r w:rsidR="00605352" w:rsidRPr="00605352">
              <w:rPr>
                <w:rFonts w:cstheme="minorHAnsi"/>
                <w:noProof/>
                <w:webHidden/>
                <w:color w:val="002060"/>
              </w:rPr>
              <w:fldChar w:fldCharType="end"/>
            </w:r>
          </w:hyperlink>
        </w:p>
        <w:p w14:paraId="485F2938" w14:textId="0EB0BDAF"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6" w:history="1">
            <w:r w:rsidR="00605352" w:rsidRPr="00605352">
              <w:rPr>
                <w:rStyle w:val="Hyperlink"/>
                <w:rFonts w:cstheme="minorHAnsi"/>
                <w:noProof/>
                <w:color w:val="002060"/>
              </w:rPr>
              <w:t>HBCD u otpadu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119</w:t>
            </w:r>
            <w:r w:rsidR="00605352" w:rsidRPr="00605352">
              <w:rPr>
                <w:rFonts w:cstheme="minorHAnsi"/>
                <w:noProof/>
                <w:webHidden/>
                <w:color w:val="002060"/>
              </w:rPr>
              <w:fldChar w:fldCharType="end"/>
            </w:r>
          </w:hyperlink>
        </w:p>
        <w:p w14:paraId="05BD1660" w14:textId="469A234D"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7" w:history="1">
            <w:r w:rsidR="00605352" w:rsidRPr="00605352">
              <w:rPr>
                <w:rStyle w:val="Hyperlink"/>
                <w:rFonts w:cstheme="minorHAnsi"/>
                <w:noProof/>
                <w:color w:val="002060"/>
              </w:rPr>
              <w:t>Procijenjena količina HBCD u Crnoj Gori za period 2017-2023.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122</w:t>
            </w:r>
            <w:r w:rsidR="00605352" w:rsidRPr="00605352">
              <w:rPr>
                <w:rFonts w:cstheme="minorHAnsi"/>
                <w:noProof/>
                <w:webHidden/>
                <w:color w:val="002060"/>
              </w:rPr>
              <w:fldChar w:fldCharType="end"/>
            </w:r>
          </w:hyperlink>
        </w:p>
        <w:p w14:paraId="421009DC" w14:textId="6818206F"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28" w:history="1">
            <w:r w:rsidR="00605352" w:rsidRPr="00605352">
              <w:rPr>
                <w:rStyle w:val="Hyperlink"/>
                <w:rFonts w:cstheme="minorHAnsi"/>
                <w:noProof/>
                <w:color w:val="002060"/>
              </w:rPr>
              <w:t>8.3.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DISKUSIJA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122</w:t>
            </w:r>
            <w:r w:rsidR="00605352" w:rsidRPr="00605352">
              <w:rPr>
                <w:rFonts w:cstheme="minorHAnsi"/>
                <w:noProof/>
                <w:webHidden/>
                <w:color w:val="002060"/>
              </w:rPr>
              <w:fldChar w:fldCharType="end"/>
            </w:r>
          </w:hyperlink>
        </w:p>
        <w:p w14:paraId="7C572478" w14:textId="415796B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29" w:history="1">
            <w:r w:rsidR="00605352" w:rsidRPr="00605352">
              <w:rPr>
                <w:rStyle w:val="Hyperlink"/>
                <w:rFonts w:cstheme="minorHAnsi"/>
                <w:noProof/>
                <w:color w:val="002060"/>
              </w:rPr>
              <w:t>Manjkavosti i izazovi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_Toc220541929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122</w:t>
            </w:r>
            <w:r w:rsidR="00605352" w:rsidRPr="00605352">
              <w:rPr>
                <w:rFonts w:cstheme="minorHAnsi"/>
                <w:noProof/>
                <w:webHidden/>
                <w:color w:val="002060"/>
              </w:rPr>
              <w:fldChar w:fldCharType="end"/>
            </w:r>
          </w:hyperlink>
        </w:p>
        <w:p w14:paraId="361F10D9" w14:textId="36F9D07A"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30" w:history="1">
            <w:r w:rsidR="00605352" w:rsidRPr="00605352">
              <w:rPr>
                <w:rStyle w:val="Hyperlink"/>
                <w:rFonts w:cstheme="minorHAnsi"/>
                <w:noProof/>
                <w:color w:val="002060"/>
              </w:rPr>
              <w:t>8.4.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ZAKLJUČCI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123</w:t>
            </w:r>
            <w:r w:rsidR="00605352" w:rsidRPr="00605352">
              <w:rPr>
                <w:rFonts w:cstheme="minorHAnsi"/>
                <w:noProof/>
                <w:webHidden/>
                <w:color w:val="002060"/>
              </w:rPr>
              <w:fldChar w:fldCharType="end"/>
            </w:r>
          </w:hyperlink>
        </w:p>
        <w:p w14:paraId="60D6150B" w14:textId="5A2602F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31" w:history="1">
            <w:r w:rsidR="00605352" w:rsidRPr="00605352">
              <w:rPr>
                <w:rStyle w:val="Hyperlink"/>
                <w:rFonts w:cstheme="minorHAnsi"/>
                <w:noProof/>
                <w:color w:val="002060"/>
              </w:rPr>
              <w:t>Preporuke/Elementi Akcionog plana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123</w:t>
            </w:r>
            <w:r w:rsidR="00605352" w:rsidRPr="00605352">
              <w:rPr>
                <w:rFonts w:cstheme="minorHAnsi"/>
                <w:noProof/>
                <w:webHidden/>
                <w:color w:val="002060"/>
              </w:rPr>
              <w:fldChar w:fldCharType="end"/>
            </w:r>
          </w:hyperlink>
        </w:p>
        <w:p w14:paraId="0FF23A64" w14:textId="3B9B6877" w:rsidR="00605352" w:rsidRPr="00605352" w:rsidRDefault="009756DA">
          <w:pPr>
            <w:pStyle w:val="TOC1"/>
            <w:tabs>
              <w:tab w:val="left" w:pos="400"/>
              <w:tab w:val="right" w:leader="dot" w:pos="9350"/>
            </w:tabs>
            <w:rPr>
              <w:rFonts w:cstheme="minorHAnsi"/>
              <w:b w:val="0"/>
              <w:bCs w:val="0"/>
              <w:caps w:val="0"/>
              <w:noProof/>
              <w:color w:val="002060"/>
              <w:kern w:val="2"/>
              <w:sz w:val="24"/>
              <w:szCs w:val="24"/>
              <w:lang w:val="en-US" w:eastAsia="en-US"/>
              <w14:ligatures w14:val="standardContextual"/>
            </w:rPr>
          </w:pPr>
          <w:hyperlink w:anchor="_Toc220541932" w:history="1">
            <w:r w:rsidR="00605352" w:rsidRPr="00605352">
              <w:rPr>
                <w:rStyle w:val="Hyperlink"/>
                <w:rFonts w:cstheme="minorHAnsi"/>
                <w:noProof/>
                <w:color w:val="002060"/>
              </w:rPr>
              <w:t>9.</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Ažurirani inventar Perfluorooktan sulfonske kiseline (PFOS), njehih soli i perfluorooktan sulfonil fluorida (PFOSF)</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124</w:t>
            </w:r>
            <w:r w:rsidR="00605352" w:rsidRPr="00605352">
              <w:rPr>
                <w:rFonts w:cstheme="minorHAnsi"/>
                <w:noProof/>
                <w:webHidden/>
                <w:color w:val="002060"/>
              </w:rPr>
              <w:fldChar w:fldCharType="end"/>
            </w:r>
          </w:hyperlink>
        </w:p>
        <w:p w14:paraId="5AB6B750" w14:textId="244C3B9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33"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124</w:t>
            </w:r>
            <w:r w:rsidR="00605352" w:rsidRPr="00605352">
              <w:rPr>
                <w:rFonts w:cstheme="minorHAnsi"/>
                <w:noProof/>
                <w:webHidden/>
                <w:color w:val="002060"/>
              </w:rPr>
              <w:fldChar w:fldCharType="end"/>
            </w:r>
          </w:hyperlink>
        </w:p>
        <w:p w14:paraId="2EA35F9D" w14:textId="077364A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34" w:history="1">
            <w:r w:rsidR="00605352" w:rsidRPr="00605352">
              <w:rPr>
                <w:rStyle w:val="Hyperlink"/>
                <w:rFonts w:cstheme="minorHAnsi"/>
                <w:noProof/>
                <w:color w:val="002060"/>
              </w:rPr>
              <w:t>Primjena PFOS-a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124</w:t>
            </w:r>
            <w:r w:rsidR="00605352" w:rsidRPr="00605352">
              <w:rPr>
                <w:rFonts w:cstheme="minorHAnsi"/>
                <w:noProof/>
                <w:webHidden/>
                <w:color w:val="002060"/>
              </w:rPr>
              <w:fldChar w:fldCharType="end"/>
            </w:r>
          </w:hyperlink>
        </w:p>
        <w:p w14:paraId="4C97E4EC" w14:textId="1B6DBA0D"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35" w:history="1">
            <w:r w:rsidR="00605352" w:rsidRPr="00605352">
              <w:rPr>
                <w:rStyle w:val="Hyperlink"/>
                <w:rFonts w:cstheme="minorHAnsi"/>
                <w:noProof/>
                <w:color w:val="002060"/>
              </w:rPr>
              <w:t>Status PFOS, njegove soli i PFOSF u okviru Stokholmske konvencije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125</w:t>
            </w:r>
            <w:r w:rsidR="00605352" w:rsidRPr="00605352">
              <w:rPr>
                <w:rFonts w:cstheme="minorHAnsi"/>
                <w:noProof/>
                <w:webHidden/>
                <w:color w:val="002060"/>
              </w:rPr>
              <w:fldChar w:fldCharType="end"/>
            </w:r>
          </w:hyperlink>
        </w:p>
        <w:p w14:paraId="7A36183C" w14:textId="70B42978"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36" w:history="1">
            <w:r w:rsidR="00605352" w:rsidRPr="00605352">
              <w:rPr>
                <w:rStyle w:val="Hyperlink"/>
                <w:rFonts w:cstheme="minorHAnsi"/>
                <w:noProof/>
                <w:color w:val="002060"/>
              </w:rPr>
              <w:t>9.1.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Proces Inventarizacije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126</w:t>
            </w:r>
            <w:r w:rsidR="00605352" w:rsidRPr="00605352">
              <w:rPr>
                <w:rFonts w:cstheme="minorHAnsi"/>
                <w:noProof/>
                <w:webHidden/>
                <w:color w:val="002060"/>
              </w:rPr>
              <w:fldChar w:fldCharType="end"/>
            </w:r>
          </w:hyperlink>
        </w:p>
        <w:p w14:paraId="084CA239" w14:textId="226B2642"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37" w:history="1">
            <w:r w:rsidR="00605352" w:rsidRPr="00605352">
              <w:rPr>
                <w:rStyle w:val="Hyperlink"/>
                <w:rFonts w:cstheme="minorHAnsi"/>
                <w:noProof/>
                <w:color w:val="002060"/>
              </w:rPr>
              <w:t>9.2.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PFOS, njegovih soli i PFOSF za period 2017-2023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128</w:t>
            </w:r>
            <w:r w:rsidR="00605352" w:rsidRPr="00605352">
              <w:rPr>
                <w:rFonts w:cstheme="minorHAnsi"/>
                <w:noProof/>
                <w:webHidden/>
                <w:color w:val="002060"/>
              </w:rPr>
              <w:fldChar w:fldCharType="end"/>
            </w:r>
          </w:hyperlink>
        </w:p>
        <w:p w14:paraId="7EF811E3" w14:textId="4C33138A"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38" w:history="1">
            <w:r w:rsidR="00605352" w:rsidRPr="00605352">
              <w:rPr>
                <w:rStyle w:val="Hyperlink"/>
                <w:rFonts w:cstheme="minorHAnsi"/>
                <w:noProof/>
                <w:color w:val="002060"/>
              </w:rPr>
              <w:t>Rezultati analize protivpožarnih pjena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132</w:t>
            </w:r>
            <w:r w:rsidR="00605352" w:rsidRPr="00605352">
              <w:rPr>
                <w:rFonts w:cstheme="minorHAnsi"/>
                <w:noProof/>
                <w:webHidden/>
                <w:color w:val="002060"/>
              </w:rPr>
              <w:fldChar w:fldCharType="end"/>
            </w:r>
          </w:hyperlink>
        </w:p>
        <w:p w14:paraId="0DD31F9D" w14:textId="26E4341F"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39" w:history="1">
            <w:r w:rsidR="00605352" w:rsidRPr="00605352">
              <w:rPr>
                <w:rStyle w:val="Hyperlink"/>
                <w:rFonts w:cstheme="minorHAnsi"/>
                <w:noProof/>
                <w:color w:val="002060"/>
                <w:lang w:eastAsia="en-GB"/>
              </w:rPr>
              <w:t>9.3.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eastAsia="en-GB"/>
              </w:rPr>
              <w:t>Zaključak – PFOS u protivpožarnim pjenama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_Toc220541939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134</w:t>
            </w:r>
            <w:r w:rsidR="00605352" w:rsidRPr="00605352">
              <w:rPr>
                <w:rFonts w:cstheme="minorHAnsi"/>
                <w:noProof/>
                <w:webHidden/>
                <w:color w:val="002060"/>
              </w:rPr>
              <w:fldChar w:fldCharType="end"/>
            </w:r>
          </w:hyperlink>
        </w:p>
        <w:p w14:paraId="77707E1B" w14:textId="56DFA4C0"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40" w:history="1">
            <w:r w:rsidR="00605352" w:rsidRPr="00605352">
              <w:rPr>
                <w:rStyle w:val="Hyperlink"/>
                <w:rFonts w:cstheme="minorHAnsi"/>
                <w:noProof/>
                <w:color w:val="002060"/>
              </w:rPr>
              <w:t>9.4.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PFOS, njegovih soli i PFOSF u proizvodima na potrošačkom tržištu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135</w:t>
            </w:r>
            <w:r w:rsidR="00605352" w:rsidRPr="00605352">
              <w:rPr>
                <w:rFonts w:cstheme="minorHAnsi"/>
                <w:noProof/>
                <w:webHidden/>
                <w:color w:val="002060"/>
              </w:rPr>
              <w:fldChar w:fldCharType="end"/>
            </w:r>
          </w:hyperlink>
        </w:p>
        <w:p w14:paraId="31A2DB3A" w14:textId="534EA79F"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41" w:history="1">
            <w:r w:rsidR="00605352" w:rsidRPr="00605352">
              <w:rPr>
                <w:rStyle w:val="Hyperlink"/>
                <w:rFonts w:cstheme="minorHAnsi"/>
                <w:noProof/>
                <w:color w:val="002060"/>
                <w:lang w:eastAsia="en-GB"/>
              </w:rPr>
              <w:t>9.5.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eastAsia="en-GB"/>
              </w:rPr>
              <w:t>Zaključak – PFOS u proizvodima na potrošačkom tržištu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137</w:t>
            </w:r>
            <w:r w:rsidR="00605352" w:rsidRPr="00605352">
              <w:rPr>
                <w:rFonts w:cstheme="minorHAnsi"/>
                <w:noProof/>
                <w:webHidden/>
                <w:color w:val="002060"/>
              </w:rPr>
              <w:fldChar w:fldCharType="end"/>
            </w:r>
          </w:hyperlink>
        </w:p>
        <w:p w14:paraId="4FC11F01" w14:textId="00330F74"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42" w:history="1">
            <w:r w:rsidR="00605352" w:rsidRPr="00605352">
              <w:rPr>
                <w:rStyle w:val="Hyperlink"/>
                <w:rFonts w:cstheme="minorHAnsi"/>
                <w:noProof/>
                <w:color w:val="002060"/>
              </w:rPr>
              <w:t>9.6.</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PFOS, njegovih soli i PFOSF u otpadu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139</w:t>
            </w:r>
            <w:r w:rsidR="00605352" w:rsidRPr="00605352">
              <w:rPr>
                <w:rFonts w:cstheme="minorHAnsi"/>
                <w:noProof/>
                <w:webHidden/>
                <w:color w:val="002060"/>
              </w:rPr>
              <w:fldChar w:fldCharType="end"/>
            </w:r>
          </w:hyperlink>
        </w:p>
        <w:p w14:paraId="3ECF4886" w14:textId="75461EFE"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43" w:history="1">
            <w:r w:rsidR="00605352" w:rsidRPr="00605352">
              <w:rPr>
                <w:rStyle w:val="Hyperlink"/>
                <w:rFonts w:cstheme="minorHAnsi"/>
                <w:noProof/>
                <w:color w:val="002060"/>
                <w:lang w:eastAsia="en-GB"/>
              </w:rPr>
              <w:t>9.7.</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eastAsia="en-GB"/>
              </w:rPr>
              <w:t>Zaključak – PFOS u otpadu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141</w:t>
            </w:r>
            <w:r w:rsidR="00605352" w:rsidRPr="00605352">
              <w:rPr>
                <w:rFonts w:cstheme="minorHAnsi"/>
                <w:noProof/>
                <w:webHidden/>
                <w:color w:val="002060"/>
              </w:rPr>
              <w:fldChar w:fldCharType="end"/>
            </w:r>
          </w:hyperlink>
        </w:p>
        <w:p w14:paraId="311E0A62" w14:textId="4C9B4858"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44" w:history="1">
            <w:r w:rsidR="00605352" w:rsidRPr="00605352">
              <w:rPr>
                <w:rStyle w:val="Hyperlink"/>
                <w:rFonts w:cstheme="minorHAnsi"/>
                <w:noProof/>
                <w:color w:val="002060"/>
              </w:rPr>
              <w:t>9.8.</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Zaključci i preporuke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142</w:t>
            </w:r>
            <w:r w:rsidR="00605352" w:rsidRPr="00605352">
              <w:rPr>
                <w:rFonts w:cstheme="minorHAnsi"/>
                <w:noProof/>
                <w:webHidden/>
                <w:color w:val="002060"/>
              </w:rPr>
              <w:fldChar w:fldCharType="end"/>
            </w:r>
          </w:hyperlink>
        </w:p>
        <w:p w14:paraId="688112F0" w14:textId="52FC448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45" w:history="1">
            <w:r w:rsidR="00605352" w:rsidRPr="00605352">
              <w:rPr>
                <w:rStyle w:val="Hyperlink"/>
                <w:rFonts w:cstheme="minorHAnsi"/>
                <w:noProof/>
                <w:color w:val="002060"/>
              </w:rPr>
              <w:t>Opšti zaključak</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143</w:t>
            </w:r>
            <w:r w:rsidR="00605352" w:rsidRPr="00605352">
              <w:rPr>
                <w:rFonts w:cstheme="minorHAnsi"/>
                <w:noProof/>
                <w:webHidden/>
                <w:color w:val="002060"/>
              </w:rPr>
              <w:fldChar w:fldCharType="end"/>
            </w:r>
          </w:hyperlink>
        </w:p>
        <w:p w14:paraId="3AC06A03" w14:textId="73393B7F"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46" w:history="1">
            <w:r w:rsidR="00605352" w:rsidRPr="00605352">
              <w:rPr>
                <w:rStyle w:val="Hyperlink"/>
                <w:rFonts w:cstheme="minorHAnsi"/>
                <w:noProof/>
                <w:color w:val="002060"/>
              </w:rPr>
              <w:t>10.</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Inventar PFOA, njegovih soli i PFOA-sličnih jedinjenja, PFHxS, njegovih soli i PFHxS-sličnih jedinjenja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144</w:t>
            </w:r>
            <w:r w:rsidR="00605352" w:rsidRPr="00605352">
              <w:rPr>
                <w:rFonts w:cstheme="minorHAnsi"/>
                <w:noProof/>
                <w:webHidden/>
                <w:color w:val="002060"/>
              </w:rPr>
              <w:fldChar w:fldCharType="end"/>
            </w:r>
          </w:hyperlink>
        </w:p>
        <w:p w14:paraId="02AFD35B" w14:textId="7454176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47"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144</w:t>
            </w:r>
            <w:r w:rsidR="00605352" w:rsidRPr="00605352">
              <w:rPr>
                <w:rFonts w:cstheme="minorHAnsi"/>
                <w:noProof/>
                <w:webHidden/>
                <w:color w:val="002060"/>
              </w:rPr>
              <w:fldChar w:fldCharType="end"/>
            </w:r>
          </w:hyperlink>
        </w:p>
        <w:p w14:paraId="2E4BEA81" w14:textId="2463508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48" w:history="1">
            <w:r w:rsidR="00605352" w:rsidRPr="00605352">
              <w:rPr>
                <w:rStyle w:val="Hyperlink"/>
                <w:rFonts w:cstheme="minorHAnsi"/>
                <w:noProof/>
                <w:color w:val="002060"/>
              </w:rPr>
              <w:t>Primjena PFOA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144</w:t>
            </w:r>
            <w:r w:rsidR="00605352" w:rsidRPr="00605352">
              <w:rPr>
                <w:rFonts w:cstheme="minorHAnsi"/>
                <w:noProof/>
                <w:webHidden/>
                <w:color w:val="002060"/>
              </w:rPr>
              <w:fldChar w:fldCharType="end"/>
            </w:r>
          </w:hyperlink>
        </w:p>
        <w:p w14:paraId="3170234B" w14:textId="5ECDCEC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49" w:history="1">
            <w:r w:rsidR="00605352" w:rsidRPr="00605352">
              <w:rPr>
                <w:rStyle w:val="Hyperlink"/>
                <w:rFonts w:cstheme="minorHAnsi"/>
                <w:noProof/>
                <w:color w:val="002060"/>
              </w:rPr>
              <w:t>Status PFOA, njegovih soli i jedinjenja sličnih PFOA u okviru Stokholmske konvencije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_Toc220541949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146</w:t>
            </w:r>
            <w:r w:rsidR="00605352" w:rsidRPr="00605352">
              <w:rPr>
                <w:rFonts w:cstheme="minorHAnsi"/>
                <w:noProof/>
                <w:webHidden/>
                <w:color w:val="002060"/>
              </w:rPr>
              <w:fldChar w:fldCharType="end"/>
            </w:r>
          </w:hyperlink>
        </w:p>
        <w:p w14:paraId="3606C937" w14:textId="4608439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50" w:history="1">
            <w:r w:rsidR="00605352" w:rsidRPr="00605352">
              <w:rPr>
                <w:rStyle w:val="Hyperlink"/>
                <w:rFonts w:cstheme="minorHAnsi"/>
                <w:noProof/>
                <w:color w:val="002060"/>
              </w:rPr>
              <w:t>Status PFHxS, njegovih soli i jedinjenja sličnih PFHxS u okviru Stokholmske konvencije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147</w:t>
            </w:r>
            <w:r w:rsidR="00605352" w:rsidRPr="00605352">
              <w:rPr>
                <w:rFonts w:cstheme="minorHAnsi"/>
                <w:noProof/>
                <w:webHidden/>
                <w:color w:val="002060"/>
              </w:rPr>
              <w:fldChar w:fldCharType="end"/>
            </w:r>
          </w:hyperlink>
        </w:p>
        <w:p w14:paraId="3D621C12" w14:textId="4AD0313A"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1" w:history="1">
            <w:r w:rsidR="00605352" w:rsidRPr="00605352">
              <w:rPr>
                <w:rStyle w:val="Hyperlink"/>
                <w:rFonts w:eastAsia="SimSun" w:cstheme="minorHAnsi"/>
                <w:i/>
                <w:iCs/>
                <w:noProof/>
                <w:color w:val="002060"/>
              </w:rPr>
              <w:t>10.1.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Proces Inventarizacije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147</w:t>
            </w:r>
            <w:r w:rsidR="00605352" w:rsidRPr="00605352">
              <w:rPr>
                <w:rFonts w:cstheme="minorHAnsi"/>
                <w:noProof/>
                <w:webHidden/>
                <w:color w:val="002060"/>
              </w:rPr>
              <w:fldChar w:fldCharType="end"/>
            </w:r>
          </w:hyperlink>
        </w:p>
        <w:p w14:paraId="77DBB740" w14:textId="27CB98AB"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2" w:history="1">
            <w:r w:rsidR="00605352" w:rsidRPr="00605352">
              <w:rPr>
                <w:rStyle w:val="Hyperlink"/>
                <w:rFonts w:cstheme="minorHAnsi"/>
                <w:noProof/>
                <w:color w:val="002060"/>
              </w:rPr>
              <w:t>10.2.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PFOA, njenih soli i jedinjenja sličnih PFOA I PFHxS, njegove soli i jedinjenja slični PFHxS za period 2017-2023 godina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150</w:t>
            </w:r>
            <w:r w:rsidR="00605352" w:rsidRPr="00605352">
              <w:rPr>
                <w:rFonts w:cstheme="minorHAnsi"/>
                <w:noProof/>
                <w:webHidden/>
                <w:color w:val="002060"/>
              </w:rPr>
              <w:fldChar w:fldCharType="end"/>
            </w:r>
          </w:hyperlink>
        </w:p>
        <w:p w14:paraId="431214DA" w14:textId="217F3B35"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53" w:history="1">
            <w:r w:rsidR="00605352" w:rsidRPr="00605352">
              <w:rPr>
                <w:rStyle w:val="Hyperlink"/>
                <w:rFonts w:cstheme="minorHAnsi"/>
                <w:noProof/>
                <w:color w:val="002060"/>
              </w:rPr>
              <w:t>Metodologija procjene sadržaja PFOA i PFHxS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153</w:t>
            </w:r>
            <w:r w:rsidR="00605352" w:rsidRPr="00605352">
              <w:rPr>
                <w:rFonts w:cstheme="minorHAnsi"/>
                <w:noProof/>
                <w:webHidden/>
                <w:color w:val="002060"/>
              </w:rPr>
              <w:fldChar w:fldCharType="end"/>
            </w:r>
          </w:hyperlink>
        </w:p>
        <w:p w14:paraId="27B6B9C0" w14:textId="477F648A"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4" w:history="1">
            <w:r w:rsidR="00605352" w:rsidRPr="00605352">
              <w:rPr>
                <w:rStyle w:val="Hyperlink"/>
                <w:rFonts w:cstheme="minorHAnsi"/>
                <w:noProof/>
                <w:color w:val="002060"/>
                <w:lang w:eastAsia="en-GB"/>
              </w:rPr>
              <w:t>10.3.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eastAsia="en-GB"/>
              </w:rPr>
              <w:t>Zaključak – PFOA i PFHxS u protivpožarnim pjenama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157</w:t>
            </w:r>
            <w:r w:rsidR="00605352" w:rsidRPr="00605352">
              <w:rPr>
                <w:rFonts w:cstheme="minorHAnsi"/>
                <w:noProof/>
                <w:webHidden/>
                <w:color w:val="002060"/>
              </w:rPr>
              <w:fldChar w:fldCharType="end"/>
            </w:r>
          </w:hyperlink>
        </w:p>
        <w:p w14:paraId="2800CA53" w14:textId="3ADC614C"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5" w:history="1">
            <w:r w:rsidR="00605352" w:rsidRPr="00605352">
              <w:rPr>
                <w:rStyle w:val="Hyperlink"/>
                <w:rFonts w:cstheme="minorHAnsi"/>
                <w:noProof/>
                <w:color w:val="002060"/>
              </w:rPr>
              <w:t>10.4.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PFOA, PFHxS, njihovih soli i sličnih jedinjenja u proizvodima na potrošačkom tržištu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158</w:t>
            </w:r>
            <w:r w:rsidR="00605352" w:rsidRPr="00605352">
              <w:rPr>
                <w:rFonts w:cstheme="minorHAnsi"/>
                <w:noProof/>
                <w:webHidden/>
                <w:color w:val="002060"/>
              </w:rPr>
              <w:fldChar w:fldCharType="end"/>
            </w:r>
          </w:hyperlink>
        </w:p>
        <w:p w14:paraId="415EA83F" w14:textId="5246C5FD"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6" w:history="1">
            <w:r w:rsidR="00605352" w:rsidRPr="00605352">
              <w:rPr>
                <w:rStyle w:val="Hyperlink"/>
                <w:rFonts w:cstheme="minorHAnsi"/>
                <w:noProof/>
                <w:color w:val="002060"/>
                <w:lang w:eastAsia="en-GB"/>
              </w:rPr>
              <w:t>10.5.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eastAsia="en-GB"/>
              </w:rPr>
              <w:t>Zaključak – PFOA i PFHxS u proizvodima na potrošačkom tržištu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161</w:t>
            </w:r>
            <w:r w:rsidR="00605352" w:rsidRPr="00605352">
              <w:rPr>
                <w:rFonts w:cstheme="minorHAnsi"/>
                <w:noProof/>
                <w:webHidden/>
                <w:color w:val="002060"/>
              </w:rPr>
              <w:fldChar w:fldCharType="end"/>
            </w:r>
          </w:hyperlink>
        </w:p>
        <w:p w14:paraId="67694769" w14:textId="598E1B6C"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7" w:history="1">
            <w:r w:rsidR="00605352" w:rsidRPr="00605352">
              <w:rPr>
                <w:rStyle w:val="Hyperlink"/>
                <w:rFonts w:cstheme="minorHAnsi"/>
                <w:noProof/>
                <w:color w:val="002060"/>
              </w:rPr>
              <w:t>10.6.</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PFOA, PFHxS, njihovih soli i sličnih jedinjenja u otpadu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162</w:t>
            </w:r>
            <w:r w:rsidR="00605352" w:rsidRPr="00605352">
              <w:rPr>
                <w:rFonts w:cstheme="minorHAnsi"/>
                <w:noProof/>
                <w:webHidden/>
                <w:color w:val="002060"/>
              </w:rPr>
              <w:fldChar w:fldCharType="end"/>
            </w:r>
          </w:hyperlink>
        </w:p>
        <w:p w14:paraId="4CE56EC5" w14:textId="2362F1BD"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8" w:history="1">
            <w:r w:rsidR="00605352" w:rsidRPr="00605352">
              <w:rPr>
                <w:rStyle w:val="Hyperlink"/>
                <w:rFonts w:cstheme="minorHAnsi"/>
                <w:noProof/>
                <w:color w:val="002060"/>
                <w:lang w:eastAsia="en-GB"/>
              </w:rPr>
              <w:t>10.7.</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lang w:eastAsia="en-GB"/>
              </w:rPr>
              <w:t>Zaključak – PFOA i PFHxS u otpadu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165</w:t>
            </w:r>
            <w:r w:rsidR="00605352" w:rsidRPr="00605352">
              <w:rPr>
                <w:rFonts w:cstheme="minorHAnsi"/>
                <w:noProof/>
                <w:webHidden/>
                <w:color w:val="002060"/>
              </w:rPr>
              <w:fldChar w:fldCharType="end"/>
            </w:r>
          </w:hyperlink>
        </w:p>
        <w:p w14:paraId="18D75D6D" w14:textId="3664D5C3"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59" w:history="1">
            <w:r w:rsidR="00605352" w:rsidRPr="00605352">
              <w:rPr>
                <w:rStyle w:val="Hyperlink"/>
                <w:rFonts w:cstheme="minorHAnsi"/>
                <w:noProof/>
                <w:color w:val="002060"/>
              </w:rPr>
              <w:t>10.8.</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Završni zaključci i preporuke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_Toc220541959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166</w:t>
            </w:r>
            <w:r w:rsidR="00605352" w:rsidRPr="00605352">
              <w:rPr>
                <w:rFonts w:cstheme="minorHAnsi"/>
                <w:noProof/>
                <w:webHidden/>
                <w:color w:val="002060"/>
              </w:rPr>
              <w:fldChar w:fldCharType="end"/>
            </w:r>
          </w:hyperlink>
        </w:p>
        <w:p w14:paraId="1927DA9E" w14:textId="49DDE801"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60" w:history="1">
            <w:r w:rsidR="00605352" w:rsidRPr="00605352">
              <w:rPr>
                <w:rStyle w:val="Hyperlink"/>
                <w:rFonts w:cstheme="minorHAnsi"/>
                <w:noProof/>
                <w:color w:val="002060"/>
              </w:rPr>
              <w:t>11.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INVENTARIZACIJA HLOROVANIH PARAFINA KRATKOG LANCA (SCCPs)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168</w:t>
            </w:r>
            <w:r w:rsidR="00605352" w:rsidRPr="00605352">
              <w:rPr>
                <w:rFonts w:cstheme="minorHAnsi"/>
                <w:noProof/>
                <w:webHidden/>
                <w:color w:val="002060"/>
              </w:rPr>
              <w:fldChar w:fldCharType="end"/>
            </w:r>
          </w:hyperlink>
        </w:p>
        <w:p w14:paraId="28FAA5D5" w14:textId="46F7D415"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61"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168</w:t>
            </w:r>
            <w:r w:rsidR="00605352" w:rsidRPr="00605352">
              <w:rPr>
                <w:rFonts w:cstheme="minorHAnsi"/>
                <w:noProof/>
                <w:webHidden/>
                <w:color w:val="002060"/>
              </w:rPr>
              <w:fldChar w:fldCharType="end"/>
            </w:r>
          </w:hyperlink>
        </w:p>
        <w:p w14:paraId="32B8AC54" w14:textId="2B2FAC49"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62" w:history="1">
            <w:r w:rsidR="00605352" w:rsidRPr="00605352">
              <w:rPr>
                <w:rStyle w:val="Hyperlink"/>
                <w:rFonts w:cstheme="minorHAnsi"/>
                <w:noProof/>
                <w:color w:val="002060"/>
              </w:rPr>
              <w:t>Proizvodnja i upotreba SCCP</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170</w:t>
            </w:r>
            <w:r w:rsidR="00605352" w:rsidRPr="00605352">
              <w:rPr>
                <w:rFonts w:cstheme="minorHAnsi"/>
                <w:noProof/>
                <w:webHidden/>
                <w:color w:val="002060"/>
              </w:rPr>
              <w:fldChar w:fldCharType="end"/>
            </w:r>
          </w:hyperlink>
        </w:p>
        <w:p w14:paraId="71B7E515" w14:textId="671FA05F"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63" w:history="1">
            <w:r w:rsidR="00605352" w:rsidRPr="00605352">
              <w:rPr>
                <w:rStyle w:val="Hyperlink"/>
                <w:rFonts w:cstheme="minorHAnsi"/>
                <w:noProof/>
                <w:color w:val="002060"/>
              </w:rPr>
              <w:t>Status SCCPs prema Stokholmskoj konvenciji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170</w:t>
            </w:r>
            <w:r w:rsidR="00605352" w:rsidRPr="00605352">
              <w:rPr>
                <w:rFonts w:cstheme="minorHAnsi"/>
                <w:noProof/>
                <w:webHidden/>
                <w:color w:val="002060"/>
              </w:rPr>
              <w:fldChar w:fldCharType="end"/>
            </w:r>
          </w:hyperlink>
        </w:p>
        <w:p w14:paraId="36DC5D47" w14:textId="2C0716E7"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64" w:history="1">
            <w:r w:rsidR="00605352" w:rsidRPr="00605352">
              <w:rPr>
                <w:rStyle w:val="Hyperlink"/>
                <w:rFonts w:cstheme="minorHAnsi"/>
                <w:noProof/>
                <w:color w:val="002060"/>
              </w:rPr>
              <w:t>11.1.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Proces inventarizacije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172</w:t>
            </w:r>
            <w:r w:rsidR="00605352" w:rsidRPr="00605352">
              <w:rPr>
                <w:rFonts w:cstheme="minorHAnsi"/>
                <w:noProof/>
                <w:webHidden/>
                <w:color w:val="002060"/>
              </w:rPr>
              <w:fldChar w:fldCharType="end"/>
            </w:r>
          </w:hyperlink>
        </w:p>
        <w:p w14:paraId="3EF33001" w14:textId="39069D05"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65" w:history="1">
            <w:r w:rsidR="00605352" w:rsidRPr="00605352">
              <w:rPr>
                <w:rStyle w:val="Hyperlink"/>
                <w:rFonts w:cstheme="minorHAnsi"/>
                <w:noProof/>
                <w:color w:val="002060"/>
              </w:rPr>
              <w:t>11.2.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SCCP i MCCP u proizvodima sa tržišta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174</w:t>
            </w:r>
            <w:r w:rsidR="00605352" w:rsidRPr="00605352">
              <w:rPr>
                <w:rFonts w:cstheme="minorHAnsi"/>
                <w:noProof/>
                <w:webHidden/>
                <w:color w:val="002060"/>
              </w:rPr>
              <w:fldChar w:fldCharType="end"/>
            </w:r>
          </w:hyperlink>
        </w:p>
        <w:p w14:paraId="12856D95" w14:textId="3B6BC0CB"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66" w:history="1">
            <w:r w:rsidR="00605352" w:rsidRPr="00605352">
              <w:rPr>
                <w:rStyle w:val="Hyperlink"/>
                <w:rFonts w:cstheme="minorHAnsi"/>
                <w:noProof/>
                <w:color w:val="002060"/>
              </w:rPr>
              <w:t>Zaključci – SCCP/MCCP u proizvodima na tržištu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189</w:t>
            </w:r>
            <w:r w:rsidR="00605352" w:rsidRPr="00605352">
              <w:rPr>
                <w:rFonts w:cstheme="minorHAnsi"/>
                <w:noProof/>
                <w:webHidden/>
                <w:color w:val="002060"/>
              </w:rPr>
              <w:fldChar w:fldCharType="end"/>
            </w:r>
          </w:hyperlink>
        </w:p>
        <w:p w14:paraId="23C9B117" w14:textId="5C1C8A06"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67" w:history="1">
            <w:r w:rsidR="00605352" w:rsidRPr="00605352">
              <w:rPr>
                <w:rStyle w:val="Hyperlink"/>
                <w:rFonts w:cstheme="minorHAnsi"/>
                <w:noProof/>
                <w:color w:val="002060"/>
              </w:rPr>
              <w:t>11.3.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Opšti zaključci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190</w:t>
            </w:r>
            <w:r w:rsidR="00605352" w:rsidRPr="00605352">
              <w:rPr>
                <w:rFonts w:cstheme="minorHAnsi"/>
                <w:noProof/>
                <w:webHidden/>
                <w:color w:val="002060"/>
              </w:rPr>
              <w:fldChar w:fldCharType="end"/>
            </w:r>
          </w:hyperlink>
        </w:p>
        <w:p w14:paraId="0B9B8F88" w14:textId="545AE58A"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68" w:history="1">
            <w:r w:rsidR="00605352" w:rsidRPr="00605352">
              <w:rPr>
                <w:rStyle w:val="Hyperlink"/>
                <w:rFonts w:cstheme="minorHAnsi"/>
                <w:noProof/>
                <w:color w:val="002060"/>
              </w:rPr>
              <w:t>11.4.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SCCP u otpadnoj električnoj i elektronskoj opremi (W)EEE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190</w:t>
            </w:r>
            <w:r w:rsidR="00605352" w:rsidRPr="00605352">
              <w:rPr>
                <w:rFonts w:cstheme="minorHAnsi"/>
                <w:noProof/>
                <w:webHidden/>
                <w:color w:val="002060"/>
              </w:rPr>
              <w:fldChar w:fldCharType="end"/>
            </w:r>
          </w:hyperlink>
        </w:p>
        <w:p w14:paraId="69DE1584" w14:textId="221DF707"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69" w:history="1">
            <w:r w:rsidR="00605352" w:rsidRPr="00605352">
              <w:rPr>
                <w:rStyle w:val="Hyperlink"/>
                <w:rFonts w:cstheme="minorHAnsi"/>
                <w:noProof/>
                <w:color w:val="002060"/>
              </w:rPr>
              <w:t>11.5.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i/>
                <w:noProof/>
                <w:color w:val="002060"/>
              </w:rPr>
              <w:t xml:space="preserve">Zaključci – Inventar SCCP </w:t>
            </w:r>
            <w:r w:rsidR="00605352" w:rsidRPr="00605352">
              <w:rPr>
                <w:rStyle w:val="Hyperlink"/>
                <w:rFonts w:cstheme="minorHAnsi"/>
                <w:noProof/>
                <w:color w:val="002060"/>
              </w:rPr>
              <w:t>u otpadnoj električnoj i elektronskoj opremi (WEEE)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_Toc220541969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191</w:t>
            </w:r>
            <w:r w:rsidR="00605352" w:rsidRPr="00605352">
              <w:rPr>
                <w:rFonts w:cstheme="minorHAnsi"/>
                <w:noProof/>
                <w:webHidden/>
                <w:color w:val="002060"/>
              </w:rPr>
              <w:fldChar w:fldCharType="end"/>
            </w:r>
          </w:hyperlink>
        </w:p>
        <w:p w14:paraId="07EC633D" w14:textId="2DC9E555"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70" w:history="1">
            <w:r w:rsidR="00605352" w:rsidRPr="00605352">
              <w:rPr>
                <w:rStyle w:val="Hyperlink"/>
                <w:rFonts w:cstheme="minorHAnsi"/>
                <w:noProof/>
                <w:color w:val="002060"/>
              </w:rPr>
              <w:t>11.6.</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 SCCP  u sektoru vozila i transporta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192</w:t>
            </w:r>
            <w:r w:rsidR="00605352" w:rsidRPr="00605352">
              <w:rPr>
                <w:rFonts w:cstheme="minorHAnsi"/>
                <w:noProof/>
                <w:webHidden/>
                <w:color w:val="002060"/>
              </w:rPr>
              <w:fldChar w:fldCharType="end"/>
            </w:r>
          </w:hyperlink>
        </w:p>
        <w:p w14:paraId="12A7DF6C" w14:textId="19065548"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71" w:history="1">
            <w:r w:rsidR="00605352" w:rsidRPr="00605352">
              <w:rPr>
                <w:rStyle w:val="Hyperlink"/>
                <w:rFonts w:cstheme="minorHAnsi"/>
                <w:noProof/>
                <w:color w:val="002060"/>
              </w:rPr>
              <w:t>11.7.</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Diskusija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194</w:t>
            </w:r>
            <w:r w:rsidR="00605352" w:rsidRPr="00605352">
              <w:rPr>
                <w:rFonts w:cstheme="minorHAnsi"/>
                <w:noProof/>
                <w:webHidden/>
                <w:color w:val="002060"/>
              </w:rPr>
              <w:fldChar w:fldCharType="end"/>
            </w:r>
          </w:hyperlink>
        </w:p>
        <w:p w14:paraId="4D32F7EB" w14:textId="2F0066FD"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72" w:history="1">
            <w:r w:rsidR="00605352" w:rsidRPr="00605352">
              <w:rPr>
                <w:rStyle w:val="Hyperlink"/>
                <w:rFonts w:cstheme="minorHAnsi"/>
                <w:noProof/>
                <w:color w:val="002060"/>
              </w:rPr>
              <w:t>11.8.</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Manjkavosti i izazovi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194</w:t>
            </w:r>
            <w:r w:rsidR="00605352" w:rsidRPr="00605352">
              <w:rPr>
                <w:rFonts w:cstheme="minorHAnsi"/>
                <w:noProof/>
                <w:webHidden/>
                <w:color w:val="002060"/>
              </w:rPr>
              <w:fldChar w:fldCharType="end"/>
            </w:r>
          </w:hyperlink>
        </w:p>
        <w:p w14:paraId="375DC95D" w14:textId="4EEEA9AB"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73" w:history="1">
            <w:r w:rsidR="00605352" w:rsidRPr="00605352">
              <w:rPr>
                <w:rStyle w:val="Hyperlink"/>
                <w:rFonts w:cstheme="minorHAnsi"/>
                <w:noProof/>
                <w:color w:val="002060"/>
              </w:rPr>
              <w:t>11.9.</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Rezultati  inventara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195</w:t>
            </w:r>
            <w:r w:rsidR="00605352" w:rsidRPr="00605352">
              <w:rPr>
                <w:rFonts w:cstheme="minorHAnsi"/>
                <w:noProof/>
                <w:webHidden/>
                <w:color w:val="002060"/>
              </w:rPr>
              <w:fldChar w:fldCharType="end"/>
            </w:r>
          </w:hyperlink>
        </w:p>
        <w:p w14:paraId="2402CA35" w14:textId="70DC19F3"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74" w:history="1">
            <w:r w:rsidR="00605352" w:rsidRPr="00605352">
              <w:rPr>
                <w:rStyle w:val="Hyperlink"/>
                <w:rFonts w:cstheme="minorHAnsi"/>
                <w:noProof/>
                <w:color w:val="002060"/>
              </w:rPr>
              <w:t>11.10.</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Zaključci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195</w:t>
            </w:r>
            <w:r w:rsidR="00605352" w:rsidRPr="00605352">
              <w:rPr>
                <w:rFonts w:cstheme="minorHAnsi"/>
                <w:noProof/>
                <w:webHidden/>
                <w:color w:val="002060"/>
              </w:rPr>
              <w:fldChar w:fldCharType="end"/>
            </w:r>
          </w:hyperlink>
        </w:p>
        <w:p w14:paraId="1A14096E" w14:textId="147ADEC7"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75" w:history="1">
            <w:r w:rsidR="00605352" w:rsidRPr="00605352">
              <w:rPr>
                <w:rStyle w:val="Hyperlink"/>
                <w:rFonts w:cstheme="minorHAnsi"/>
                <w:i/>
                <w:iCs/>
                <w:noProof/>
                <w:color w:val="002060"/>
              </w:rPr>
              <w:t>11.11.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Preporuke/Elementi Akcionog plana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195</w:t>
            </w:r>
            <w:r w:rsidR="00605352" w:rsidRPr="00605352">
              <w:rPr>
                <w:rFonts w:cstheme="minorHAnsi"/>
                <w:noProof/>
                <w:webHidden/>
                <w:color w:val="002060"/>
              </w:rPr>
              <w:fldChar w:fldCharType="end"/>
            </w:r>
          </w:hyperlink>
        </w:p>
        <w:p w14:paraId="0DBA80F4" w14:textId="37768232"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76" w:history="1">
            <w:r w:rsidR="00605352" w:rsidRPr="00605352">
              <w:rPr>
                <w:rStyle w:val="Hyperlink"/>
                <w:rFonts w:cstheme="minorHAnsi"/>
                <w:noProof/>
                <w:color w:val="002060"/>
              </w:rPr>
              <w:t>12.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MONITORING POPs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196</w:t>
            </w:r>
            <w:r w:rsidR="00605352" w:rsidRPr="00605352">
              <w:rPr>
                <w:rFonts w:cstheme="minorHAnsi"/>
                <w:noProof/>
                <w:webHidden/>
                <w:color w:val="002060"/>
              </w:rPr>
              <w:fldChar w:fldCharType="end"/>
            </w:r>
          </w:hyperlink>
        </w:p>
        <w:p w14:paraId="46F1C8C3" w14:textId="7AB88DE0"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77"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196</w:t>
            </w:r>
            <w:r w:rsidR="00605352" w:rsidRPr="00605352">
              <w:rPr>
                <w:rFonts w:cstheme="minorHAnsi"/>
                <w:noProof/>
                <w:webHidden/>
                <w:color w:val="002060"/>
              </w:rPr>
              <w:fldChar w:fldCharType="end"/>
            </w:r>
          </w:hyperlink>
        </w:p>
        <w:p w14:paraId="44AFBC8D" w14:textId="2F26A908"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78" w:history="1">
            <w:r w:rsidR="00605352" w:rsidRPr="00605352">
              <w:rPr>
                <w:rStyle w:val="Hyperlink"/>
                <w:rFonts w:cstheme="minorHAnsi"/>
                <w:noProof/>
                <w:color w:val="002060"/>
              </w:rPr>
              <w:t>Institucionalni kapaciteti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196</w:t>
            </w:r>
            <w:r w:rsidR="00605352" w:rsidRPr="00605352">
              <w:rPr>
                <w:rFonts w:cstheme="minorHAnsi"/>
                <w:noProof/>
                <w:webHidden/>
                <w:color w:val="002060"/>
              </w:rPr>
              <w:fldChar w:fldCharType="end"/>
            </w:r>
          </w:hyperlink>
        </w:p>
        <w:p w14:paraId="24E153A7" w14:textId="2CD5166E"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79" w:history="1">
            <w:r w:rsidR="00605352" w:rsidRPr="00605352">
              <w:rPr>
                <w:rStyle w:val="Hyperlink"/>
                <w:rFonts w:cstheme="minorHAnsi"/>
                <w:noProof/>
                <w:color w:val="002060"/>
              </w:rPr>
              <w:t>12.1.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Programi monitoringa POPs-a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_Toc220541979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198</w:t>
            </w:r>
            <w:r w:rsidR="00605352" w:rsidRPr="00605352">
              <w:rPr>
                <w:rFonts w:cstheme="minorHAnsi"/>
                <w:noProof/>
                <w:webHidden/>
                <w:color w:val="002060"/>
              </w:rPr>
              <w:fldChar w:fldCharType="end"/>
            </w:r>
          </w:hyperlink>
        </w:p>
        <w:p w14:paraId="7352ECC1" w14:textId="3BFE082A"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80" w:history="1">
            <w:r w:rsidR="00605352" w:rsidRPr="00605352">
              <w:rPr>
                <w:rStyle w:val="Hyperlink"/>
                <w:rFonts w:cstheme="minorHAnsi"/>
                <w:noProof/>
                <w:color w:val="002060"/>
              </w:rPr>
              <w:t>Monitoring zemljišta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198</w:t>
            </w:r>
            <w:r w:rsidR="00605352" w:rsidRPr="00605352">
              <w:rPr>
                <w:rFonts w:cstheme="minorHAnsi"/>
                <w:noProof/>
                <w:webHidden/>
                <w:color w:val="002060"/>
              </w:rPr>
              <w:fldChar w:fldCharType="end"/>
            </w:r>
          </w:hyperlink>
        </w:p>
        <w:p w14:paraId="4F51A611" w14:textId="67804282"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81" w:history="1">
            <w:r w:rsidR="00605352" w:rsidRPr="00605352">
              <w:rPr>
                <w:rStyle w:val="Hyperlink"/>
                <w:rFonts w:cstheme="minorHAnsi"/>
                <w:noProof/>
                <w:color w:val="002060"/>
              </w:rPr>
              <w:t>12.2.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Projekti praćenja i upravljanja POP-s i drugim zagađivačima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204</w:t>
            </w:r>
            <w:r w:rsidR="00605352" w:rsidRPr="00605352">
              <w:rPr>
                <w:rFonts w:cstheme="minorHAnsi"/>
                <w:noProof/>
                <w:webHidden/>
                <w:color w:val="002060"/>
              </w:rPr>
              <w:fldChar w:fldCharType="end"/>
            </w:r>
          </w:hyperlink>
        </w:p>
        <w:p w14:paraId="0A5CC10E" w14:textId="7A719071"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82" w:history="1">
            <w:r w:rsidR="00605352" w:rsidRPr="00605352">
              <w:rPr>
                <w:rStyle w:val="Hyperlink"/>
                <w:rFonts w:cstheme="minorHAnsi"/>
                <w:noProof/>
                <w:color w:val="002060"/>
              </w:rPr>
              <w:t>12.3.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Opšti zaključci: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205</w:t>
            </w:r>
            <w:r w:rsidR="00605352" w:rsidRPr="00605352">
              <w:rPr>
                <w:rFonts w:cstheme="minorHAnsi"/>
                <w:noProof/>
                <w:webHidden/>
                <w:color w:val="002060"/>
              </w:rPr>
              <w:fldChar w:fldCharType="end"/>
            </w:r>
          </w:hyperlink>
        </w:p>
        <w:p w14:paraId="2366F8A0" w14:textId="4DFF13FC"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83" w:history="1">
            <w:r w:rsidR="00605352" w:rsidRPr="00605352">
              <w:rPr>
                <w:rStyle w:val="Hyperlink"/>
                <w:rFonts w:cstheme="minorHAnsi"/>
                <w:noProof/>
                <w:color w:val="002060"/>
              </w:rPr>
              <w:t>12.4.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Opšte preporuke: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206</w:t>
            </w:r>
            <w:r w:rsidR="00605352" w:rsidRPr="00605352">
              <w:rPr>
                <w:rFonts w:cstheme="minorHAnsi"/>
                <w:noProof/>
                <w:webHidden/>
                <w:color w:val="002060"/>
              </w:rPr>
              <w:fldChar w:fldCharType="end"/>
            </w:r>
          </w:hyperlink>
        </w:p>
        <w:p w14:paraId="405CD0FD" w14:textId="3BAF14EA"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84" w:history="1">
            <w:r w:rsidR="00605352" w:rsidRPr="00605352">
              <w:rPr>
                <w:rStyle w:val="Hyperlink"/>
                <w:rFonts w:cstheme="minorHAnsi"/>
                <w:noProof/>
                <w:color w:val="002060"/>
              </w:rPr>
              <w:t>13.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ISTRAŽIVAČKE I OBRAZOVNE AKTIVNOSTI VEZANE ZA POPs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207</w:t>
            </w:r>
            <w:r w:rsidR="00605352" w:rsidRPr="00605352">
              <w:rPr>
                <w:rFonts w:cstheme="minorHAnsi"/>
                <w:noProof/>
                <w:webHidden/>
                <w:color w:val="002060"/>
              </w:rPr>
              <w:fldChar w:fldCharType="end"/>
            </w:r>
          </w:hyperlink>
        </w:p>
        <w:p w14:paraId="43CA62F6" w14:textId="1F1C741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85"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207</w:t>
            </w:r>
            <w:r w:rsidR="00605352" w:rsidRPr="00605352">
              <w:rPr>
                <w:rFonts w:cstheme="minorHAnsi"/>
                <w:noProof/>
                <w:webHidden/>
                <w:color w:val="002060"/>
              </w:rPr>
              <w:fldChar w:fldCharType="end"/>
            </w:r>
          </w:hyperlink>
        </w:p>
        <w:p w14:paraId="4643442B" w14:textId="4434CFCB"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86" w:history="1">
            <w:r w:rsidR="00605352" w:rsidRPr="00605352">
              <w:rPr>
                <w:rStyle w:val="Hyperlink"/>
                <w:rFonts w:cstheme="minorHAnsi"/>
                <w:noProof/>
                <w:color w:val="002060"/>
              </w:rPr>
              <w:t>POPs u obrazovnim programima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207</w:t>
            </w:r>
            <w:r w:rsidR="00605352" w:rsidRPr="00605352">
              <w:rPr>
                <w:rFonts w:cstheme="minorHAnsi"/>
                <w:noProof/>
                <w:webHidden/>
                <w:color w:val="002060"/>
              </w:rPr>
              <w:fldChar w:fldCharType="end"/>
            </w:r>
          </w:hyperlink>
        </w:p>
        <w:p w14:paraId="1D9B066E" w14:textId="5FCAB68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87" w:history="1">
            <w:r w:rsidR="00605352" w:rsidRPr="00605352">
              <w:rPr>
                <w:rStyle w:val="Hyperlink"/>
                <w:rFonts w:cstheme="minorHAnsi"/>
                <w:noProof/>
                <w:color w:val="002060"/>
              </w:rPr>
              <w:t>Izazovi u zdravstvenoj zaštiti i javnoj svijesti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207</w:t>
            </w:r>
            <w:r w:rsidR="00605352" w:rsidRPr="00605352">
              <w:rPr>
                <w:rFonts w:cstheme="minorHAnsi"/>
                <w:noProof/>
                <w:webHidden/>
                <w:color w:val="002060"/>
              </w:rPr>
              <w:fldChar w:fldCharType="end"/>
            </w:r>
          </w:hyperlink>
        </w:p>
        <w:p w14:paraId="5F527783" w14:textId="091649BE"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88" w:history="1">
            <w:r w:rsidR="00605352" w:rsidRPr="00605352">
              <w:rPr>
                <w:rStyle w:val="Hyperlink"/>
                <w:rFonts w:cstheme="minorHAnsi"/>
                <w:noProof/>
                <w:color w:val="002060"/>
              </w:rPr>
              <w:t>Upravljanje i istraživanje POPs-a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208</w:t>
            </w:r>
            <w:r w:rsidR="00605352" w:rsidRPr="00605352">
              <w:rPr>
                <w:rFonts w:cstheme="minorHAnsi"/>
                <w:noProof/>
                <w:webHidden/>
                <w:color w:val="002060"/>
              </w:rPr>
              <w:fldChar w:fldCharType="end"/>
            </w:r>
          </w:hyperlink>
        </w:p>
        <w:p w14:paraId="79BFB65A" w14:textId="211E62E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89" w:history="1">
            <w:r w:rsidR="00605352" w:rsidRPr="00605352">
              <w:rPr>
                <w:rStyle w:val="Hyperlink"/>
                <w:rFonts w:cstheme="minorHAnsi"/>
                <w:noProof/>
                <w:color w:val="002060"/>
              </w:rPr>
              <w:t>Sistematsko praćenje životne sredine i ljudi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_Toc220541989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208</w:t>
            </w:r>
            <w:r w:rsidR="00605352" w:rsidRPr="00605352">
              <w:rPr>
                <w:rFonts w:cstheme="minorHAnsi"/>
                <w:noProof/>
                <w:webHidden/>
                <w:color w:val="002060"/>
              </w:rPr>
              <w:fldChar w:fldCharType="end"/>
            </w:r>
          </w:hyperlink>
        </w:p>
        <w:p w14:paraId="4AC38BC3" w14:textId="0EBB110A"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90" w:history="1">
            <w:r w:rsidR="00605352" w:rsidRPr="00605352">
              <w:rPr>
                <w:rStyle w:val="Hyperlink"/>
                <w:rFonts w:cstheme="minorHAnsi"/>
                <w:noProof/>
                <w:color w:val="002060"/>
              </w:rPr>
              <w:t>Globalni plan praćenja (GMP)</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209</w:t>
            </w:r>
            <w:r w:rsidR="00605352" w:rsidRPr="00605352">
              <w:rPr>
                <w:rFonts w:cstheme="minorHAnsi"/>
                <w:noProof/>
                <w:webHidden/>
                <w:color w:val="002060"/>
              </w:rPr>
              <w:fldChar w:fldCharType="end"/>
            </w:r>
          </w:hyperlink>
        </w:p>
        <w:p w14:paraId="4AD5956D" w14:textId="66896038"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91" w:history="1">
            <w:r w:rsidR="00605352" w:rsidRPr="00605352">
              <w:rPr>
                <w:rStyle w:val="Hyperlink"/>
                <w:rFonts w:cstheme="minorHAnsi"/>
                <w:noProof/>
                <w:color w:val="002060"/>
              </w:rPr>
              <w:t>13.1.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Preporuke i strateške mjere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210</w:t>
            </w:r>
            <w:r w:rsidR="00605352" w:rsidRPr="00605352">
              <w:rPr>
                <w:rFonts w:cstheme="minorHAnsi"/>
                <w:noProof/>
                <w:webHidden/>
                <w:color w:val="002060"/>
              </w:rPr>
              <w:fldChar w:fldCharType="end"/>
            </w:r>
          </w:hyperlink>
        </w:p>
        <w:p w14:paraId="7ED24B6A" w14:textId="2C5EC1D3"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92" w:history="1">
            <w:r w:rsidR="00605352" w:rsidRPr="00605352">
              <w:rPr>
                <w:rStyle w:val="Hyperlink"/>
                <w:rFonts w:cstheme="minorHAnsi"/>
                <w:noProof/>
                <w:color w:val="002060"/>
              </w:rPr>
              <w:t>14.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PROCJENA NACIONALNIH POLITIKA I KAPACITETA ZA UPRAVLJANJE POPs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211</w:t>
            </w:r>
            <w:r w:rsidR="00605352" w:rsidRPr="00605352">
              <w:rPr>
                <w:rFonts w:cstheme="minorHAnsi"/>
                <w:noProof/>
                <w:webHidden/>
                <w:color w:val="002060"/>
              </w:rPr>
              <w:fldChar w:fldCharType="end"/>
            </w:r>
          </w:hyperlink>
        </w:p>
        <w:p w14:paraId="64A41306" w14:textId="5E55D04E" w:rsidR="00605352" w:rsidRPr="00605352" w:rsidRDefault="009756DA">
          <w:pPr>
            <w:pStyle w:val="TOC1"/>
            <w:tabs>
              <w:tab w:val="right" w:leader="dot" w:pos="9350"/>
            </w:tabs>
            <w:rPr>
              <w:rFonts w:cstheme="minorHAnsi"/>
              <w:b w:val="0"/>
              <w:bCs w:val="0"/>
              <w:caps w:val="0"/>
              <w:noProof/>
              <w:color w:val="002060"/>
              <w:kern w:val="2"/>
              <w:sz w:val="24"/>
              <w:szCs w:val="24"/>
              <w:lang w:val="en-US" w:eastAsia="en-US"/>
              <w14:ligatures w14:val="standardContextual"/>
            </w:rPr>
          </w:pPr>
          <w:hyperlink w:anchor="_Toc220541993" w:history="1">
            <w:r w:rsidR="00605352" w:rsidRPr="00605352">
              <w:rPr>
                <w:rStyle w:val="Hyperlink"/>
                <w:rFonts w:cstheme="minorHAnsi"/>
                <w:noProof/>
                <w:color w:val="002060"/>
              </w:rPr>
              <w:t>NACIONALNI OKVIR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211</w:t>
            </w:r>
            <w:r w:rsidR="00605352" w:rsidRPr="00605352">
              <w:rPr>
                <w:rFonts w:cstheme="minorHAnsi"/>
                <w:noProof/>
                <w:webHidden/>
                <w:color w:val="002060"/>
              </w:rPr>
              <w:fldChar w:fldCharType="end"/>
            </w:r>
          </w:hyperlink>
        </w:p>
        <w:p w14:paraId="057AAE37" w14:textId="36949D8D"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1994" w:history="1">
            <w:r w:rsidR="00605352" w:rsidRPr="00605352">
              <w:rPr>
                <w:rStyle w:val="Hyperlink"/>
                <w:rFonts w:cstheme="minorHAnsi"/>
                <w:noProof/>
                <w:color w:val="002060"/>
              </w:rPr>
              <w:t>15.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PROCJENA KAPACITETA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213</w:t>
            </w:r>
            <w:r w:rsidR="00605352" w:rsidRPr="00605352">
              <w:rPr>
                <w:rFonts w:cstheme="minorHAnsi"/>
                <w:noProof/>
                <w:webHidden/>
                <w:color w:val="002060"/>
              </w:rPr>
              <w:fldChar w:fldCharType="end"/>
            </w:r>
          </w:hyperlink>
        </w:p>
        <w:p w14:paraId="4E7A3013" w14:textId="35813FA9"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95" w:history="1">
            <w:r w:rsidR="00605352" w:rsidRPr="00605352">
              <w:rPr>
                <w:rStyle w:val="Hyperlink"/>
                <w:rFonts w:cstheme="minorHAnsi"/>
                <w:noProof/>
                <w:color w:val="002060"/>
              </w:rPr>
              <w:t>15.1.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Nadležne institucije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213</w:t>
            </w:r>
            <w:r w:rsidR="00605352" w:rsidRPr="00605352">
              <w:rPr>
                <w:rFonts w:cstheme="minorHAnsi"/>
                <w:noProof/>
                <w:webHidden/>
                <w:color w:val="002060"/>
              </w:rPr>
              <w:fldChar w:fldCharType="end"/>
            </w:r>
          </w:hyperlink>
        </w:p>
        <w:p w14:paraId="4093164E" w14:textId="102FB007"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96" w:history="1">
            <w:r w:rsidR="00605352" w:rsidRPr="00605352">
              <w:rPr>
                <w:rStyle w:val="Hyperlink"/>
                <w:rFonts w:cstheme="minorHAnsi"/>
                <w:noProof/>
                <w:color w:val="002060"/>
              </w:rPr>
              <w:t>15.2.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Administrativni  kapaciteti: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214</w:t>
            </w:r>
            <w:r w:rsidR="00605352" w:rsidRPr="00605352">
              <w:rPr>
                <w:rFonts w:cstheme="minorHAnsi"/>
                <w:noProof/>
                <w:webHidden/>
                <w:color w:val="002060"/>
              </w:rPr>
              <w:fldChar w:fldCharType="end"/>
            </w:r>
          </w:hyperlink>
        </w:p>
        <w:p w14:paraId="65CB7A29" w14:textId="326C52D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97" w:history="1">
            <w:r w:rsidR="00605352" w:rsidRPr="00605352">
              <w:rPr>
                <w:rStyle w:val="Hyperlink"/>
                <w:rFonts w:cstheme="minorHAnsi"/>
                <w:noProof/>
                <w:color w:val="002060"/>
              </w:rPr>
              <w:t>Izazovi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214</w:t>
            </w:r>
            <w:r w:rsidR="00605352" w:rsidRPr="00605352">
              <w:rPr>
                <w:rFonts w:cstheme="minorHAnsi"/>
                <w:noProof/>
                <w:webHidden/>
                <w:color w:val="002060"/>
              </w:rPr>
              <w:fldChar w:fldCharType="end"/>
            </w:r>
          </w:hyperlink>
        </w:p>
        <w:p w14:paraId="4A1A7034" w14:textId="4861988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1998" w:history="1">
            <w:r w:rsidR="00605352" w:rsidRPr="00605352">
              <w:rPr>
                <w:rStyle w:val="Hyperlink"/>
                <w:rFonts w:cstheme="minorHAnsi"/>
                <w:noProof/>
                <w:color w:val="002060"/>
              </w:rPr>
              <w:t>Tehnički kapaciteti: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215</w:t>
            </w:r>
            <w:r w:rsidR="00605352" w:rsidRPr="00605352">
              <w:rPr>
                <w:rFonts w:cstheme="minorHAnsi"/>
                <w:noProof/>
                <w:webHidden/>
                <w:color w:val="002060"/>
              </w:rPr>
              <w:fldChar w:fldCharType="end"/>
            </w:r>
          </w:hyperlink>
        </w:p>
        <w:p w14:paraId="734F57A6" w14:textId="28A19BA3" w:rsidR="00605352" w:rsidRPr="00605352" w:rsidRDefault="009756DA">
          <w:pPr>
            <w:pStyle w:val="TOC1"/>
            <w:tabs>
              <w:tab w:val="left" w:pos="800"/>
              <w:tab w:val="right" w:leader="dot" w:pos="9350"/>
            </w:tabs>
            <w:rPr>
              <w:rFonts w:cstheme="minorHAnsi"/>
              <w:b w:val="0"/>
              <w:bCs w:val="0"/>
              <w:caps w:val="0"/>
              <w:noProof/>
              <w:color w:val="002060"/>
              <w:kern w:val="2"/>
              <w:sz w:val="24"/>
              <w:szCs w:val="24"/>
              <w:lang w:val="en-US" w:eastAsia="en-US"/>
              <w14:ligatures w14:val="standardContextual"/>
            </w:rPr>
          </w:pPr>
          <w:hyperlink w:anchor="_Toc220541999" w:history="1">
            <w:r w:rsidR="00605352" w:rsidRPr="00605352">
              <w:rPr>
                <w:rStyle w:val="Hyperlink"/>
                <w:rFonts w:cstheme="minorHAnsi"/>
                <w:noProof/>
                <w:color w:val="002060"/>
              </w:rPr>
              <w:t>15.3.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Zaključak</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_Toc220541999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215</w:t>
            </w:r>
            <w:r w:rsidR="00605352" w:rsidRPr="00605352">
              <w:rPr>
                <w:rFonts w:cstheme="minorHAnsi"/>
                <w:noProof/>
                <w:webHidden/>
                <w:color w:val="002060"/>
              </w:rPr>
              <w:fldChar w:fldCharType="end"/>
            </w:r>
          </w:hyperlink>
        </w:p>
        <w:p w14:paraId="45E27690" w14:textId="5830EE64"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00" w:history="1">
            <w:r w:rsidR="00605352" w:rsidRPr="00605352">
              <w:rPr>
                <w:rStyle w:val="Hyperlink"/>
                <w:rFonts w:cstheme="minorHAnsi"/>
                <w:noProof/>
                <w:color w:val="002060"/>
              </w:rPr>
              <w:t>16.</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Finansijski resursi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216</w:t>
            </w:r>
            <w:r w:rsidR="00605352" w:rsidRPr="00605352">
              <w:rPr>
                <w:rFonts w:cstheme="minorHAnsi"/>
                <w:noProof/>
                <w:webHidden/>
                <w:color w:val="002060"/>
              </w:rPr>
              <w:fldChar w:fldCharType="end"/>
            </w:r>
          </w:hyperlink>
        </w:p>
        <w:p w14:paraId="1BEB4483" w14:textId="0781EEDF"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01" w:history="1">
            <w:r w:rsidR="00605352" w:rsidRPr="00605352">
              <w:rPr>
                <w:rStyle w:val="Hyperlink"/>
                <w:rFonts w:cstheme="minorHAnsi"/>
                <w:noProof/>
                <w:color w:val="002060"/>
              </w:rPr>
              <w:t>Izazovi u  finansiranju</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217</w:t>
            </w:r>
            <w:r w:rsidR="00605352" w:rsidRPr="00605352">
              <w:rPr>
                <w:rFonts w:cstheme="minorHAnsi"/>
                <w:noProof/>
                <w:webHidden/>
                <w:color w:val="002060"/>
              </w:rPr>
              <w:fldChar w:fldCharType="end"/>
            </w:r>
          </w:hyperlink>
        </w:p>
        <w:p w14:paraId="2BB01308" w14:textId="390B1A31"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02" w:history="1">
            <w:r w:rsidR="00605352" w:rsidRPr="00605352">
              <w:rPr>
                <w:rStyle w:val="Hyperlink"/>
                <w:rFonts w:cstheme="minorHAnsi"/>
                <w:noProof/>
                <w:color w:val="002060"/>
              </w:rPr>
              <w:t>17.</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ZAKONODAVNI OKVIR</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218</w:t>
            </w:r>
            <w:r w:rsidR="00605352" w:rsidRPr="00605352">
              <w:rPr>
                <w:rFonts w:cstheme="minorHAnsi"/>
                <w:noProof/>
                <w:webHidden/>
                <w:color w:val="002060"/>
              </w:rPr>
              <w:fldChar w:fldCharType="end"/>
            </w:r>
          </w:hyperlink>
        </w:p>
        <w:p w14:paraId="1CD6F1A6" w14:textId="52853DEE"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03" w:history="1">
            <w:r w:rsidR="00605352" w:rsidRPr="00605352">
              <w:rPr>
                <w:rStyle w:val="Hyperlink"/>
                <w:rFonts w:cstheme="minorHAnsi"/>
                <w:noProof/>
                <w:color w:val="002060"/>
              </w:rPr>
              <w:t>18.</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TEHNIČKA I FINANSIJSKA POMOĆ</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228</w:t>
            </w:r>
            <w:r w:rsidR="00605352" w:rsidRPr="00605352">
              <w:rPr>
                <w:rFonts w:cstheme="minorHAnsi"/>
                <w:noProof/>
                <w:webHidden/>
                <w:color w:val="002060"/>
              </w:rPr>
              <w:fldChar w:fldCharType="end"/>
            </w:r>
          </w:hyperlink>
        </w:p>
        <w:p w14:paraId="7D013BAD" w14:textId="5D2F5B09"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04"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228</w:t>
            </w:r>
            <w:r w:rsidR="00605352" w:rsidRPr="00605352">
              <w:rPr>
                <w:rFonts w:cstheme="minorHAnsi"/>
                <w:noProof/>
                <w:webHidden/>
                <w:color w:val="002060"/>
              </w:rPr>
              <w:fldChar w:fldCharType="end"/>
            </w:r>
          </w:hyperlink>
        </w:p>
        <w:p w14:paraId="335B5BE7" w14:textId="144ACE41"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05" w:history="1">
            <w:r w:rsidR="00605352" w:rsidRPr="00605352">
              <w:rPr>
                <w:rStyle w:val="Hyperlink"/>
                <w:rFonts w:cstheme="minorHAnsi"/>
                <w:noProof/>
                <w:color w:val="002060"/>
              </w:rPr>
              <w:t>Realizovani projekti, projekti u toku i ostale značajne aktivnosti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229</w:t>
            </w:r>
            <w:r w:rsidR="00605352" w:rsidRPr="00605352">
              <w:rPr>
                <w:rFonts w:cstheme="minorHAnsi"/>
                <w:noProof/>
                <w:webHidden/>
                <w:color w:val="002060"/>
              </w:rPr>
              <w:fldChar w:fldCharType="end"/>
            </w:r>
          </w:hyperlink>
        </w:p>
        <w:p w14:paraId="52E170BA" w14:textId="2475708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06" w:history="1">
            <w:r w:rsidR="00605352" w:rsidRPr="00605352">
              <w:rPr>
                <w:rStyle w:val="Hyperlink"/>
                <w:rFonts w:cstheme="minorHAnsi"/>
                <w:noProof/>
                <w:color w:val="002060"/>
                <w:lang w:eastAsia="en-GB"/>
              </w:rPr>
              <w:t>Projekat „Ekološki prihvatljivo upravljanje PCB-om u Crnoj Gori“ (2017–2021)</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229</w:t>
            </w:r>
            <w:r w:rsidR="00605352" w:rsidRPr="00605352">
              <w:rPr>
                <w:rFonts w:cstheme="minorHAnsi"/>
                <w:noProof/>
                <w:webHidden/>
                <w:color w:val="002060"/>
              </w:rPr>
              <w:fldChar w:fldCharType="end"/>
            </w:r>
          </w:hyperlink>
        </w:p>
        <w:p w14:paraId="2DAE782C" w14:textId="243A86E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07" w:history="1">
            <w:r w:rsidR="00605352" w:rsidRPr="00605352">
              <w:rPr>
                <w:rStyle w:val="Hyperlink"/>
                <w:rFonts w:cstheme="minorHAnsi"/>
                <w:noProof/>
                <w:color w:val="002060"/>
              </w:rPr>
              <w:t>Projekti koje su sprovele nevladine organizacije u cilju sprovođenja edukativnih kampanja o bezbjednom upravljanju dugotrajnim organskim zagađujućim supstancama (POPs)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232</w:t>
            </w:r>
            <w:r w:rsidR="00605352" w:rsidRPr="00605352">
              <w:rPr>
                <w:rFonts w:cstheme="minorHAnsi"/>
                <w:noProof/>
                <w:webHidden/>
                <w:color w:val="002060"/>
              </w:rPr>
              <w:fldChar w:fldCharType="end"/>
            </w:r>
          </w:hyperlink>
        </w:p>
        <w:p w14:paraId="1944F958" w14:textId="27C55738"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08" w:history="1">
            <w:r w:rsidR="00605352" w:rsidRPr="00605352">
              <w:rPr>
                <w:rStyle w:val="Hyperlink"/>
                <w:rFonts w:cstheme="minorHAnsi"/>
                <w:noProof/>
                <w:color w:val="002060"/>
              </w:rPr>
              <w:t>Projekti izrade i ažuriranja Nacionalnog implementacionog plana (NIP) za implementaciju Stokhoklmske konvencije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233</w:t>
            </w:r>
            <w:r w:rsidR="00605352" w:rsidRPr="00605352">
              <w:rPr>
                <w:rFonts w:cstheme="minorHAnsi"/>
                <w:noProof/>
                <w:webHidden/>
                <w:color w:val="002060"/>
              </w:rPr>
              <w:fldChar w:fldCharType="end"/>
            </w:r>
          </w:hyperlink>
        </w:p>
        <w:p w14:paraId="061E51C8" w14:textId="6B8244E2"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09" w:history="1">
            <w:r w:rsidR="00605352" w:rsidRPr="00605352">
              <w:rPr>
                <w:rStyle w:val="Hyperlink"/>
                <w:rFonts w:cstheme="minorHAnsi"/>
                <w:noProof/>
                <w:color w:val="002060"/>
              </w:rPr>
              <w:t>Preporuke za planiranje budućih projekata u oblasti POPs hemikalija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_Toc220542009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234</w:t>
            </w:r>
            <w:r w:rsidR="00605352" w:rsidRPr="00605352">
              <w:rPr>
                <w:rFonts w:cstheme="minorHAnsi"/>
                <w:noProof/>
                <w:webHidden/>
                <w:color w:val="002060"/>
              </w:rPr>
              <w:fldChar w:fldCharType="end"/>
            </w:r>
          </w:hyperlink>
        </w:p>
        <w:p w14:paraId="54340A98" w14:textId="40E7D395"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10" w:history="1">
            <w:r w:rsidR="00605352" w:rsidRPr="00605352">
              <w:rPr>
                <w:rStyle w:val="Hyperlink"/>
                <w:rFonts w:cstheme="minorHAnsi"/>
                <w:noProof/>
                <w:color w:val="002060"/>
              </w:rPr>
              <w:t>19.</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Procjena napretka u odnosu na prethodne NIP-ove i zvanične evidencije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235</w:t>
            </w:r>
            <w:r w:rsidR="00605352" w:rsidRPr="00605352">
              <w:rPr>
                <w:rFonts w:cstheme="minorHAnsi"/>
                <w:noProof/>
                <w:webHidden/>
                <w:color w:val="002060"/>
              </w:rPr>
              <w:fldChar w:fldCharType="end"/>
            </w:r>
          </w:hyperlink>
        </w:p>
        <w:p w14:paraId="6B87581C" w14:textId="3BC32520"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11" w:history="1">
            <w:r w:rsidR="00605352" w:rsidRPr="00605352">
              <w:rPr>
                <w:rStyle w:val="Hyperlink"/>
                <w:rFonts w:cstheme="minorHAnsi"/>
                <w:noProof/>
                <w:color w:val="002060"/>
              </w:rPr>
              <w:t>20.</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USKLAĐENOST SA MEĐUNARODNIM OBAVEZAMA I EU ACQUIS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237</w:t>
            </w:r>
            <w:r w:rsidR="00605352" w:rsidRPr="00605352">
              <w:rPr>
                <w:rFonts w:cstheme="minorHAnsi"/>
                <w:noProof/>
                <w:webHidden/>
                <w:color w:val="002060"/>
              </w:rPr>
              <w:fldChar w:fldCharType="end"/>
            </w:r>
          </w:hyperlink>
        </w:p>
        <w:p w14:paraId="424C23C8" w14:textId="27BFAE3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12" w:history="1">
            <w:r w:rsidR="00605352" w:rsidRPr="00605352">
              <w:rPr>
                <w:rStyle w:val="Hyperlink"/>
                <w:rFonts w:cstheme="minorHAnsi"/>
                <w:noProof/>
                <w:color w:val="002060"/>
              </w:rPr>
              <w:t>Međunarodne obaveze: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237</w:t>
            </w:r>
            <w:r w:rsidR="00605352" w:rsidRPr="00605352">
              <w:rPr>
                <w:rFonts w:cstheme="minorHAnsi"/>
                <w:noProof/>
                <w:webHidden/>
                <w:color w:val="002060"/>
              </w:rPr>
              <w:fldChar w:fldCharType="end"/>
            </w:r>
          </w:hyperlink>
        </w:p>
        <w:p w14:paraId="7E058200" w14:textId="1C9D155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13" w:history="1">
            <w:r w:rsidR="00605352" w:rsidRPr="00605352">
              <w:rPr>
                <w:rStyle w:val="Hyperlink"/>
                <w:rFonts w:cstheme="minorHAnsi"/>
                <w:noProof/>
                <w:color w:val="002060"/>
              </w:rPr>
              <w:t>Usklađivanje sa EU acquis (POPs i otpad):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237</w:t>
            </w:r>
            <w:r w:rsidR="00605352" w:rsidRPr="00605352">
              <w:rPr>
                <w:rFonts w:cstheme="minorHAnsi"/>
                <w:noProof/>
                <w:webHidden/>
                <w:color w:val="002060"/>
              </w:rPr>
              <w:fldChar w:fldCharType="end"/>
            </w:r>
          </w:hyperlink>
        </w:p>
        <w:p w14:paraId="34592BBE" w14:textId="507353E8"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14" w:history="1">
            <w:r w:rsidR="00605352" w:rsidRPr="00605352">
              <w:rPr>
                <w:rStyle w:val="Hyperlink"/>
                <w:rFonts w:cstheme="minorHAnsi"/>
                <w:noProof/>
                <w:color w:val="002060"/>
              </w:rPr>
              <w:t>Preporuke u skladu sa nalazima: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237</w:t>
            </w:r>
            <w:r w:rsidR="00605352" w:rsidRPr="00605352">
              <w:rPr>
                <w:rFonts w:cstheme="minorHAnsi"/>
                <w:noProof/>
                <w:webHidden/>
                <w:color w:val="002060"/>
              </w:rPr>
              <w:fldChar w:fldCharType="end"/>
            </w:r>
          </w:hyperlink>
        </w:p>
        <w:p w14:paraId="5BEFE7AC" w14:textId="4C7C1BB4"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15" w:history="1">
            <w:r w:rsidR="00605352" w:rsidRPr="00605352">
              <w:rPr>
                <w:rStyle w:val="Hyperlink"/>
                <w:rFonts w:cstheme="minorHAnsi"/>
                <w:noProof/>
                <w:color w:val="002060"/>
              </w:rPr>
              <w:t>Zaključak</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239</w:t>
            </w:r>
            <w:r w:rsidR="00605352" w:rsidRPr="00605352">
              <w:rPr>
                <w:rFonts w:cstheme="minorHAnsi"/>
                <w:noProof/>
                <w:webHidden/>
                <w:color w:val="002060"/>
              </w:rPr>
              <w:fldChar w:fldCharType="end"/>
            </w:r>
          </w:hyperlink>
        </w:p>
        <w:p w14:paraId="1D978E8C" w14:textId="35AF728D"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16" w:history="1">
            <w:r w:rsidR="00605352" w:rsidRPr="00605352">
              <w:rPr>
                <w:rStyle w:val="Hyperlink"/>
                <w:rFonts w:cstheme="minorHAnsi"/>
                <w:noProof/>
                <w:color w:val="002060"/>
              </w:rPr>
              <w:t>21.</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EDUKACIJA JAVNOSTI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240</w:t>
            </w:r>
            <w:r w:rsidR="00605352" w:rsidRPr="00605352">
              <w:rPr>
                <w:rFonts w:cstheme="minorHAnsi"/>
                <w:noProof/>
                <w:webHidden/>
                <w:color w:val="002060"/>
              </w:rPr>
              <w:fldChar w:fldCharType="end"/>
            </w:r>
          </w:hyperlink>
        </w:p>
        <w:p w14:paraId="5A445B43" w14:textId="3EF298B5"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17"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240</w:t>
            </w:r>
            <w:r w:rsidR="00605352" w:rsidRPr="00605352">
              <w:rPr>
                <w:rFonts w:cstheme="minorHAnsi"/>
                <w:noProof/>
                <w:webHidden/>
                <w:color w:val="002060"/>
              </w:rPr>
              <w:fldChar w:fldCharType="end"/>
            </w:r>
          </w:hyperlink>
        </w:p>
        <w:p w14:paraId="0B6E0158" w14:textId="55A3EDA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18" w:history="1">
            <w:r w:rsidR="00605352" w:rsidRPr="00605352">
              <w:rPr>
                <w:rStyle w:val="Hyperlink"/>
                <w:rFonts w:cstheme="minorHAnsi"/>
                <w:noProof/>
                <w:color w:val="002060"/>
              </w:rPr>
              <w:t>Pregled izazova POPs-a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241</w:t>
            </w:r>
            <w:r w:rsidR="00605352" w:rsidRPr="00605352">
              <w:rPr>
                <w:rFonts w:cstheme="minorHAnsi"/>
                <w:noProof/>
                <w:webHidden/>
                <w:color w:val="002060"/>
              </w:rPr>
              <w:fldChar w:fldCharType="end"/>
            </w:r>
          </w:hyperlink>
        </w:p>
        <w:p w14:paraId="163644F1" w14:textId="2A94E725"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19" w:history="1">
            <w:r w:rsidR="00605352" w:rsidRPr="00605352">
              <w:rPr>
                <w:rStyle w:val="Hyperlink"/>
                <w:rFonts w:cstheme="minorHAnsi"/>
                <w:noProof/>
                <w:color w:val="002060"/>
              </w:rPr>
              <w:t>Ključne zainteresovane strane uključene u upravljanje POPs zagađivačima u Crnoj Gori u vezi sa podizanjem svijesti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_Toc220542019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241</w:t>
            </w:r>
            <w:r w:rsidR="00605352" w:rsidRPr="00605352">
              <w:rPr>
                <w:rFonts w:cstheme="minorHAnsi"/>
                <w:noProof/>
                <w:webHidden/>
                <w:color w:val="002060"/>
              </w:rPr>
              <w:fldChar w:fldCharType="end"/>
            </w:r>
          </w:hyperlink>
        </w:p>
        <w:p w14:paraId="3AFF9F54" w14:textId="61CB70BE"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20" w:history="1">
            <w:r w:rsidR="00605352" w:rsidRPr="00605352">
              <w:rPr>
                <w:rStyle w:val="Hyperlink"/>
                <w:rFonts w:cstheme="minorHAnsi"/>
                <w:noProof/>
                <w:color w:val="002060"/>
                <w:lang w:eastAsia="en-GB"/>
              </w:rPr>
              <w:t>Međusektorska koordinacija i međunarodna podrška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244</w:t>
            </w:r>
            <w:r w:rsidR="00605352" w:rsidRPr="00605352">
              <w:rPr>
                <w:rFonts w:cstheme="minorHAnsi"/>
                <w:noProof/>
                <w:webHidden/>
                <w:color w:val="002060"/>
              </w:rPr>
              <w:fldChar w:fldCharType="end"/>
            </w:r>
          </w:hyperlink>
        </w:p>
        <w:p w14:paraId="7B9021D1" w14:textId="262F254E"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21" w:history="1">
            <w:r w:rsidR="00605352" w:rsidRPr="00605352">
              <w:rPr>
                <w:rStyle w:val="Hyperlink"/>
                <w:rFonts w:cstheme="minorHAnsi"/>
                <w:noProof/>
                <w:color w:val="002060"/>
              </w:rPr>
              <w:t>Pregled inicijativa za razmjenu informacija i podizanje svijesti koje se sprovode u Crnoj Gori u periodu 2017-2024</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_Toc220542021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245</w:t>
            </w:r>
            <w:r w:rsidR="00605352" w:rsidRPr="00605352">
              <w:rPr>
                <w:rFonts w:cstheme="minorHAnsi"/>
                <w:noProof/>
                <w:webHidden/>
                <w:color w:val="002060"/>
              </w:rPr>
              <w:fldChar w:fldCharType="end"/>
            </w:r>
          </w:hyperlink>
        </w:p>
        <w:p w14:paraId="636E59FE" w14:textId="76C13937"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22" w:history="1">
            <w:r w:rsidR="00605352" w:rsidRPr="00605352">
              <w:rPr>
                <w:rStyle w:val="Hyperlink"/>
                <w:rFonts w:cstheme="minorHAnsi"/>
                <w:noProof/>
                <w:color w:val="002060"/>
                <w:lang w:eastAsia="en-GB"/>
              </w:rPr>
              <w:t>Ključni izazovi i preporuke</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_Toc220542022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249</w:t>
            </w:r>
            <w:r w:rsidR="00605352" w:rsidRPr="00605352">
              <w:rPr>
                <w:rFonts w:cstheme="minorHAnsi"/>
                <w:noProof/>
                <w:webHidden/>
                <w:color w:val="002060"/>
              </w:rPr>
              <w:fldChar w:fldCharType="end"/>
            </w:r>
          </w:hyperlink>
        </w:p>
        <w:p w14:paraId="1B7F43E9" w14:textId="00ED5050"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23" w:history="1">
            <w:r w:rsidR="00605352" w:rsidRPr="00605352">
              <w:rPr>
                <w:rStyle w:val="Hyperlink"/>
                <w:rFonts w:cstheme="minorHAnsi"/>
                <w:noProof/>
                <w:color w:val="002060"/>
              </w:rPr>
              <w:t>Diskusija o nalazima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_Toc220542023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249</w:t>
            </w:r>
            <w:r w:rsidR="00605352" w:rsidRPr="00605352">
              <w:rPr>
                <w:rFonts w:cstheme="minorHAnsi"/>
                <w:noProof/>
                <w:webHidden/>
                <w:color w:val="002060"/>
              </w:rPr>
              <w:fldChar w:fldCharType="end"/>
            </w:r>
          </w:hyperlink>
        </w:p>
        <w:p w14:paraId="7C5D04ED" w14:textId="3C553788"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24" w:history="1">
            <w:r w:rsidR="00605352" w:rsidRPr="00605352">
              <w:rPr>
                <w:rStyle w:val="Hyperlink"/>
                <w:rFonts w:cstheme="minorHAnsi"/>
                <w:noProof/>
                <w:color w:val="002060"/>
              </w:rPr>
              <w:t>22.</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PROCES PRIORITIZACIJE U CRNOJ GORI</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_Toc220542024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250</w:t>
            </w:r>
            <w:r w:rsidR="00605352" w:rsidRPr="00605352">
              <w:rPr>
                <w:rFonts w:cstheme="minorHAnsi"/>
                <w:noProof/>
                <w:webHidden/>
                <w:color w:val="002060"/>
              </w:rPr>
              <w:fldChar w:fldCharType="end"/>
            </w:r>
          </w:hyperlink>
        </w:p>
        <w:p w14:paraId="1792FCA6" w14:textId="330E1776"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25" w:history="1">
            <w:r w:rsidR="00605352" w:rsidRPr="00605352">
              <w:rPr>
                <w:rStyle w:val="Hyperlink"/>
                <w:rFonts w:cstheme="minorHAnsi"/>
                <w:noProof/>
                <w:color w:val="002060"/>
              </w:rPr>
              <w:t>Uvod</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_Toc220542025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250</w:t>
            </w:r>
            <w:r w:rsidR="00605352" w:rsidRPr="00605352">
              <w:rPr>
                <w:rFonts w:cstheme="minorHAnsi"/>
                <w:noProof/>
                <w:webHidden/>
                <w:color w:val="002060"/>
              </w:rPr>
              <w:fldChar w:fldCharType="end"/>
            </w:r>
          </w:hyperlink>
        </w:p>
        <w:p w14:paraId="7CF32C37" w14:textId="1FCB92D9"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26" w:history="1">
            <w:r w:rsidR="00605352" w:rsidRPr="00605352">
              <w:rPr>
                <w:rStyle w:val="Hyperlink"/>
                <w:rFonts w:cstheme="minorHAnsi"/>
                <w:noProof/>
                <w:color w:val="002060"/>
              </w:rPr>
              <w:t>Operacionalizacija kroz akcione planove/ Iterativni pristup i veza sa akcionim planom</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_Toc220542026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251</w:t>
            </w:r>
            <w:r w:rsidR="00605352" w:rsidRPr="00605352">
              <w:rPr>
                <w:rFonts w:cstheme="minorHAnsi"/>
                <w:noProof/>
                <w:webHidden/>
                <w:color w:val="002060"/>
              </w:rPr>
              <w:fldChar w:fldCharType="end"/>
            </w:r>
          </w:hyperlink>
        </w:p>
        <w:p w14:paraId="17F437DD" w14:textId="61BD53A0" w:rsidR="00605352" w:rsidRPr="00605352" w:rsidRDefault="009756DA">
          <w:pPr>
            <w:pStyle w:val="TOC3"/>
            <w:tabs>
              <w:tab w:val="right" w:leader="dot" w:pos="9350"/>
            </w:tabs>
            <w:rPr>
              <w:rFonts w:cstheme="minorHAnsi"/>
              <w:i w:val="0"/>
              <w:iCs w:val="0"/>
              <w:noProof/>
              <w:color w:val="002060"/>
              <w:kern w:val="2"/>
              <w:sz w:val="24"/>
              <w:szCs w:val="24"/>
              <w:lang w:val="en-US" w:eastAsia="en-US"/>
              <w14:ligatures w14:val="standardContextual"/>
            </w:rPr>
          </w:pPr>
          <w:hyperlink w:anchor="_Toc220542027" w:history="1">
            <w:r w:rsidR="00605352" w:rsidRPr="00605352">
              <w:rPr>
                <w:rStyle w:val="Hyperlink"/>
                <w:rFonts w:cstheme="minorHAnsi"/>
                <w:noProof/>
                <w:color w:val="002060"/>
              </w:rPr>
              <w:t>Definisanje strateških prioriteta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_Toc220542027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252</w:t>
            </w:r>
            <w:r w:rsidR="00605352" w:rsidRPr="00605352">
              <w:rPr>
                <w:rFonts w:cstheme="minorHAnsi"/>
                <w:noProof/>
                <w:webHidden/>
                <w:color w:val="002060"/>
              </w:rPr>
              <w:fldChar w:fldCharType="end"/>
            </w:r>
          </w:hyperlink>
        </w:p>
        <w:p w14:paraId="0F0FD2C2" w14:textId="6415F642"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28" w:history="1">
            <w:r w:rsidR="00605352" w:rsidRPr="00605352">
              <w:rPr>
                <w:rStyle w:val="Hyperlink"/>
                <w:rFonts w:cstheme="minorHAnsi"/>
                <w:noProof/>
                <w:color w:val="002060"/>
              </w:rPr>
              <w:t>23.</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PRAĆENJE SPROVOĐENJA NIP-a, IZVJEŠTAVANJE I EVALUACIJA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_Toc220542028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254</w:t>
            </w:r>
            <w:r w:rsidR="00605352" w:rsidRPr="00605352">
              <w:rPr>
                <w:rFonts w:cstheme="minorHAnsi"/>
                <w:noProof/>
                <w:webHidden/>
                <w:color w:val="002060"/>
              </w:rPr>
              <w:fldChar w:fldCharType="end"/>
            </w:r>
          </w:hyperlink>
        </w:p>
        <w:p w14:paraId="6D151C2A" w14:textId="2950277A"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29" w:history="1">
            <w:r w:rsidR="00605352" w:rsidRPr="00605352">
              <w:rPr>
                <w:rStyle w:val="Hyperlink"/>
                <w:rFonts w:cstheme="minorHAnsi"/>
                <w:noProof/>
                <w:color w:val="002060"/>
              </w:rPr>
              <w:t>24.</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KRATKA INFORMACIJA O CILJEVIMA I OČEKIVANIM REZULTATIMA NIP-a</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_Toc220542029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259</w:t>
            </w:r>
            <w:r w:rsidR="00605352" w:rsidRPr="00605352">
              <w:rPr>
                <w:rFonts w:cstheme="minorHAnsi"/>
                <w:noProof/>
                <w:webHidden/>
                <w:color w:val="002060"/>
              </w:rPr>
              <w:fldChar w:fldCharType="end"/>
            </w:r>
          </w:hyperlink>
        </w:p>
        <w:p w14:paraId="5DE6603B" w14:textId="48B8001F" w:rsidR="00605352" w:rsidRPr="00605352" w:rsidRDefault="009756DA">
          <w:pPr>
            <w:pStyle w:val="TOC1"/>
            <w:tabs>
              <w:tab w:val="left" w:pos="600"/>
              <w:tab w:val="right" w:leader="dot" w:pos="9350"/>
            </w:tabs>
            <w:rPr>
              <w:rFonts w:cstheme="minorHAnsi"/>
              <w:b w:val="0"/>
              <w:bCs w:val="0"/>
              <w:caps w:val="0"/>
              <w:noProof/>
              <w:color w:val="002060"/>
              <w:kern w:val="2"/>
              <w:sz w:val="24"/>
              <w:szCs w:val="24"/>
              <w:lang w:val="en-US" w:eastAsia="en-US"/>
              <w14:ligatures w14:val="standardContextual"/>
            </w:rPr>
          </w:pPr>
          <w:hyperlink w:anchor="_Toc220542030" w:history="1">
            <w:r w:rsidR="00605352" w:rsidRPr="00605352">
              <w:rPr>
                <w:rStyle w:val="Hyperlink"/>
                <w:rFonts w:cstheme="minorHAnsi"/>
                <w:noProof/>
                <w:color w:val="002060"/>
              </w:rPr>
              <w:t>25.</w:t>
            </w:r>
            <w:r w:rsidR="00605352" w:rsidRPr="00605352">
              <w:rPr>
                <w:rFonts w:cstheme="minorHAnsi"/>
                <w:b w:val="0"/>
                <w:bCs w:val="0"/>
                <w:caps w:val="0"/>
                <w:noProof/>
                <w:color w:val="002060"/>
                <w:kern w:val="2"/>
                <w:sz w:val="24"/>
                <w:szCs w:val="24"/>
                <w:lang w:val="en-US" w:eastAsia="en-US"/>
                <w14:ligatures w14:val="standardContextual"/>
              </w:rPr>
              <w:tab/>
            </w:r>
            <w:r w:rsidR="00605352" w:rsidRPr="00605352">
              <w:rPr>
                <w:rStyle w:val="Hyperlink"/>
                <w:rFonts w:cstheme="minorHAnsi"/>
                <w:noProof/>
                <w:color w:val="002060"/>
              </w:rPr>
              <w:t>AKCIONI PLAN ZA IMPLEMENTACIJU NACIONALNOG IMPLEMENTACIONOG PLANA (NIP) – POPs</w:t>
            </w:r>
            <w:r w:rsidR="00605352" w:rsidRPr="00605352">
              <w:rPr>
                <w:rFonts w:cstheme="minorHAnsi"/>
                <w:noProof/>
                <w:webHidden/>
                <w:color w:val="002060"/>
              </w:rPr>
              <w:tab/>
            </w:r>
            <w:r w:rsidR="00605352" w:rsidRPr="00605352">
              <w:rPr>
                <w:rFonts w:cstheme="minorHAnsi"/>
                <w:noProof/>
                <w:webHidden/>
                <w:color w:val="002060"/>
              </w:rPr>
              <w:fldChar w:fldCharType="begin"/>
            </w:r>
            <w:r w:rsidR="00605352" w:rsidRPr="00605352">
              <w:rPr>
                <w:rFonts w:cstheme="minorHAnsi"/>
                <w:noProof/>
                <w:webHidden/>
                <w:color w:val="002060"/>
              </w:rPr>
              <w:instrText xml:space="preserve"> PAGEREF _Toc220542030 \h </w:instrText>
            </w:r>
            <w:r w:rsidR="00605352" w:rsidRPr="00605352">
              <w:rPr>
                <w:rFonts w:cstheme="minorHAnsi"/>
                <w:noProof/>
                <w:webHidden/>
                <w:color w:val="002060"/>
              </w:rPr>
            </w:r>
            <w:r w:rsidR="00605352" w:rsidRPr="00605352">
              <w:rPr>
                <w:rFonts w:cstheme="minorHAnsi"/>
                <w:noProof/>
                <w:webHidden/>
                <w:color w:val="002060"/>
              </w:rPr>
              <w:fldChar w:fldCharType="separate"/>
            </w:r>
            <w:r w:rsidR="00605352" w:rsidRPr="00605352">
              <w:rPr>
                <w:rFonts w:cstheme="minorHAnsi"/>
                <w:noProof/>
                <w:webHidden/>
                <w:color w:val="002060"/>
              </w:rPr>
              <w:t>262</w:t>
            </w:r>
            <w:r w:rsidR="00605352" w:rsidRPr="00605352">
              <w:rPr>
                <w:rFonts w:cstheme="minorHAnsi"/>
                <w:noProof/>
                <w:webHidden/>
                <w:color w:val="002060"/>
              </w:rPr>
              <w:fldChar w:fldCharType="end"/>
            </w:r>
          </w:hyperlink>
        </w:p>
        <w:p w14:paraId="1BAEDC34" w14:textId="6A06A3B4" w:rsidR="00974D2C" w:rsidRPr="00C86111" w:rsidRDefault="00974D2C">
          <w:r w:rsidRPr="00605352">
            <w:rPr>
              <w:rFonts w:asciiTheme="minorHAnsi" w:hAnsiTheme="minorHAnsi" w:cstheme="minorHAnsi"/>
              <w:b/>
              <w:bCs/>
              <w:noProof/>
              <w:color w:val="002060"/>
              <w:szCs w:val="24"/>
            </w:rPr>
            <w:fldChar w:fldCharType="end"/>
          </w:r>
        </w:p>
      </w:sdtContent>
    </w:sdt>
    <w:p w14:paraId="05F96AB2" w14:textId="77777777" w:rsidR="0092561C" w:rsidRPr="00C86111" w:rsidRDefault="0092561C" w:rsidP="002B19B1">
      <w:pPr>
        <w:jc w:val="both"/>
        <w:rPr>
          <w:rFonts w:asciiTheme="minorHAnsi" w:hAnsiTheme="minorHAnsi" w:cstheme="minorHAnsi"/>
          <w:b/>
          <w:bCs/>
          <w:color w:val="4472C4" w:themeColor="accent1"/>
          <w:szCs w:val="24"/>
        </w:rPr>
      </w:pPr>
    </w:p>
    <w:p w14:paraId="7C8A37B0" w14:textId="77777777" w:rsidR="0092561C" w:rsidRPr="00C86111" w:rsidRDefault="0092561C" w:rsidP="002B19B1">
      <w:pPr>
        <w:jc w:val="both"/>
        <w:rPr>
          <w:rFonts w:asciiTheme="minorHAnsi" w:hAnsiTheme="minorHAnsi" w:cstheme="minorHAnsi"/>
          <w:b/>
          <w:bCs/>
          <w:color w:val="4472C4" w:themeColor="accent1"/>
          <w:szCs w:val="24"/>
        </w:rPr>
      </w:pPr>
    </w:p>
    <w:p w14:paraId="2E023758" w14:textId="30BD9B60" w:rsidR="0092561C" w:rsidRDefault="00033AB8" w:rsidP="002B19B1">
      <w:pPr>
        <w:jc w:val="both"/>
        <w:rPr>
          <w:rFonts w:asciiTheme="minorHAnsi" w:hAnsiTheme="minorHAnsi" w:cstheme="minorHAnsi"/>
          <w:b/>
          <w:bCs/>
          <w:color w:val="4472C4" w:themeColor="accent1"/>
          <w:szCs w:val="24"/>
        </w:rPr>
      </w:pPr>
      <w:r>
        <w:rPr>
          <w:rFonts w:asciiTheme="minorHAnsi" w:hAnsiTheme="minorHAnsi" w:cstheme="minorHAnsi"/>
          <w:b/>
          <w:bCs/>
          <w:color w:val="4472C4" w:themeColor="accent1"/>
          <w:szCs w:val="24"/>
        </w:rPr>
        <w:t>LISTA TABELA I GRAFIKA</w:t>
      </w:r>
    </w:p>
    <w:p w14:paraId="0BB36AF4" w14:textId="77777777" w:rsidR="00033AB8" w:rsidRPr="00DE693E" w:rsidRDefault="00033AB8" w:rsidP="00033AB8">
      <w:pPr>
        <w:rPr>
          <w:rFonts w:asciiTheme="minorHAnsi" w:hAnsiTheme="minorHAnsi" w:cstheme="minorHAnsi"/>
          <w:color w:val="auto"/>
          <w:szCs w:val="24"/>
        </w:rPr>
      </w:pPr>
      <w:r w:rsidRPr="00DE693E">
        <w:rPr>
          <w:rFonts w:asciiTheme="minorHAnsi" w:hAnsiTheme="minorHAnsi" w:cstheme="minorHAnsi"/>
          <w:b/>
          <w:bCs/>
          <w:color w:val="auto"/>
          <w:szCs w:val="24"/>
        </w:rPr>
        <w:t>Tabela 1:</w:t>
      </w:r>
      <w:r w:rsidRPr="00DE693E">
        <w:rPr>
          <w:rFonts w:asciiTheme="minorHAnsi" w:hAnsiTheme="minorHAnsi" w:cstheme="minorHAnsi"/>
          <w:color w:val="auto"/>
          <w:szCs w:val="24"/>
        </w:rPr>
        <w:t xml:space="preserve"> Hemikalije obuhvaćene Stokholmskom konvencijom prema aneksima</w:t>
      </w:r>
    </w:p>
    <w:p w14:paraId="7D1ABBD9"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Tabela 2:</w:t>
      </w:r>
      <w:r w:rsidRPr="00DE693E">
        <w:rPr>
          <w:rFonts w:asciiTheme="minorHAnsi" w:hAnsiTheme="minorHAnsi" w:cstheme="minorHAnsi"/>
          <w:szCs w:val="24"/>
        </w:rPr>
        <w:t xml:space="preserve"> Nove supstance i odluke COP-a</w:t>
      </w:r>
    </w:p>
    <w:p w14:paraId="05A5704B" w14:textId="77777777" w:rsidR="00033AB8" w:rsidRPr="00DE693E" w:rsidRDefault="00033AB8" w:rsidP="00033AB8">
      <w:pPr>
        <w:shd w:val="clear" w:color="auto" w:fill="FFFFFF"/>
        <w:jc w:val="both"/>
        <w:rPr>
          <w:rFonts w:asciiTheme="minorHAnsi" w:hAnsiTheme="minorHAnsi" w:cstheme="minorHAnsi"/>
          <w:szCs w:val="24"/>
        </w:rPr>
      </w:pPr>
      <w:r w:rsidRPr="00DE693E">
        <w:rPr>
          <w:rFonts w:asciiTheme="minorHAnsi" w:eastAsia="Times New Roman" w:hAnsiTheme="minorHAnsi" w:cstheme="minorHAnsi"/>
          <w:b/>
          <w:bCs/>
          <w:color w:val="0A0A0A"/>
          <w:szCs w:val="24"/>
          <w:lang w:eastAsia="en-GB"/>
        </w:rPr>
        <w:t>Tabela 3.</w:t>
      </w:r>
      <w:r w:rsidRPr="00DE693E">
        <w:rPr>
          <w:rFonts w:asciiTheme="minorHAnsi" w:eastAsia="Times New Roman" w:hAnsiTheme="minorHAnsi" w:cstheme="minorHAnsi"/>
          <w:color w:val="0A0A0A"/>
          <w:szCs w:val="24"/>
          <w:lang w:eastAsia="en-GB"/>
        </w:rPr>
        <w:t xml:space="preserve"> Spoljnotrgovinska robna razmjena Crne Gore po kontinentima i odabranim zemljama </w:t>
      </w:r>
      <w:r w:rsidRPr="00DE693E">
        <w:rPr>
          <w:rFonts w:asciiTheme="minorHAnsi" w:hAnsiTheme="minorHAnsi" w:cstheme="minorHAnsi"/>
          <w:b/>
          <w:bCs/>
          <w:szCs w:val="24"/>
        </w:rPr>
        <w:t>Tabela 4.</w:t>
      </w:r>
      <w:r w:rsidRPr="00DE693E">
        <w:rPr>
          <w:rFonts w:asciiTheme="minorHAnsi" w:hAnsiTheme="minorHAnsi" w:cstheme="minorHAnsi"/>
          <w:szCs w:val="24"/>
        </w:rPr>
        <w:t xml:space="preserve"> Spoljnotrgovinska robna razmjena Crne Gore prema odsjeku Kombinovane nomenklature - KN, u hilj. EUR </w:t>
      </w:r>
    </w:p>
    <w:p w14:paraId="36D1957C"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5.</w:t>
      </w:r>
      <w:r w:rsidRPr="00DE693E">
        <w:rPr>
          <w:rFonts w:asciiTheme="minorHAnsi" w:hAnsiTheme="minorHAnsi" w:cstheme="minorHAnsi"/>
          <w:color w:val="auto"/>
          <w:szCs w:val="24"/>
        </w:rPr>
        <w:t xml:space="preserve"> Osnovne informacije o hlordekonu</w:t>
      </w:r>
    </w:p>
    <w:p w14:paraId="21607E48"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6.</w:t>
      </w:r>
      <w:r w:rsidRPr="00DE693E">
        <w:rPr>
          <w:rFonts w:asciiTheme="minorHAnsi" w:hAnsiTheme="minorHAnsi" w:cstheme="minorHAnsi"/>
          <w:color w:val="auto"/>
          <w:szCs w:val="24"/>
        </w:rPr>
        <w:t xml:space="preserve"> Osnovne informacije o endosulfanu</w:t>
      </w:r>
    </w:p>
    <w:p w14:paraId="0DD94788"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7</w:t>
      </w:r>
      <w:r w:rsidRPr="00DE693E">
        <w:rPr>
          <w:rFonts w:asciiTheme="minorHAnsi" w:hAnsiTheme="minorHAnsi" w:cstheme="minorHAnsi"/>
          <w:color w:val="auto"/>
          <w:szCs w:val="24"/>
        </w:rPr>
        <w:t>. Osnovne informacije o alfa/beta/gama heksahlorocikloheksanu</w:t>
      </w:r>
    </w:p>
    <w:p w14:paraId="6399E8CC"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8.</w:t>
      </w:r>
      <w:r w:rsidRPr="00DE693E">
        <w:rPr>
          <w:rFonts w:asciiTheme="minorHAnsi" w:hAnsiTheme="minorHAnsi" w:cstheme="minorHAnsi"/>
          <w:color w:val="auto"/>
          <w:szCs w:val="24"/>
        </w:rPr>
        <w:t xml:space="preserve"> Osnovne informacije o pentahlorofenolu i njegovim solima i esterima</w:t>
      </w:r>
    </w:p>
    <w:p w14:paraId="2284C363"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9.</w:t>
      </w:r>
      <w:r w:rsidRPr="00DE693E">
        <w:rPr>
          <w:rFonts w:asciiTheme="minorHAnsi" w:hAnsiTheme="minorHAnsi" w:cstheme="minorHAnsi"/>
          <w:color w:val="auto"/>
          <w:szCs w:val="24"/>
        </w:rPr>
        <w:t xml:space="preserve"> Osnovne karakteristike dikofola</w:t>
      </w:r>
    </w:p>
    <w:p w14:paraId="5A48684F"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10. </w:t>
      </w:r>
      <w:r w:rsidRPr="00DE693E">
        <w:rPr>
          <w:rFonts w:asciiTheme="minorHAnsi" w:hAnsiTheme="minorHAnsi" w:cstheme="minorHAnsi"/>
          <w:color w:val="auto"/>
          <w:szCs w:val="24"/>
        </w:rPr>
        <w:t>Pregled sve inventarisane opreme, broj testova i vlasnici opreme u Crnoj Gori (važi do decembra 2024.)</w:t>
      </w:r>
    </w:p>
    <w:p w14:paraId="26D67325" w14:textId="77777777" w:rsidR="00033AB8" w:rsidRPr="00DE693E" w:rsidRDefault="00033AB8" w:rsidP="00033AB8">
      <w:pPr>
        <w:jc w:val="both"/>
        <w:rPr>
          <w:rFonts w:asciiTheme="minorHAnsi" w:hAnsiTheme="minorHAnsi" w:cstheme="minorHAnsi"/>
          <w:i/>
          <w:iCs/>
          <w:szCs w:val="24"/>
          <w:lang w:val="sr-Latn-RS"/>
        </w:rPr>
      </w:pPr>
      <w:r w:rsidRPr="00DE693E">
        <w:rPr>
          <w:rFonts w:asciiTheme="minorHAnsi" w:hAnsiTheme="minorHAnsi" w:cstheme="minorHAnsi"/>
          <w:b/>
          <w:bCs/>
          <w:iCs/>
          <w:szCs w:val="24"/>
          <w:lang w:val="sr-Latn-RS"/>
        </w:rPr>
        <w:t>Tabela 11.</w:t>
      </w:r>
      <w:r w:rsidRPr="00DE693E">
        <w:rPr>
          <w:rFonts w:asciiTheme="minorHAnsi" w:hAnsiTheme="minorHAnsi" w:cstheme="minorHAnsi"/>
          <w:iCs/>
          <w:szCs w:val="24"/>
          <w:lang w:val="sr-Latn-RS"/>
        </w:rPr>
        <w:t xml:space="preserve"> Ukupne godišnje emisije dioksina i furana (PCDD/PCDF), 2006-2022. godina (gTEQ/god)</w:t>
      </w:r>
    </w:p>
    <w:p w14:paraId="0C0C211F" w14:textId="77777777" w:rsidR="00033AB8" w:rsidRPr="00DE693E" w:rsidRDefault="00033AB8" w:rsidP="00033AB8">
      <w:pPr>
        <w:pStyle w:val="Tabele"/>
        <w:numPr>
          <w:ilvl w:val="0"/>
          <w:numId w:val="0"/>
        </w:numPr>
        <w:spacing w:before="0" w:after="0"/>
        <w:jc w:val="both"/>
        <w:rPr>
          <w:rFonts w:asciiTheme="minorHAnsi" w:hAnsiTheme="minorHAnsi" w:cstheme="minorHAnsi"/>
          <w:i w:val="0"/>
          <w:sz w:val="24"/>
          <w:lang w:val="sr-Latn-RS"/>
        </w:rPr>
      </w:pPr>
      <w:r w:rsidRPr="00DE693E">
        <w:rPr>
          <w:rFonts w:asciiTheme="minorHAnsi" w:hAnsiTheme="minorHAnsi" w:cstheme="minorHAnsi"/>
          <w:b/>
          <w:bCs/>
          <w:i w:val="0"/>
          <w:sz w:val="24"/>
          <w:lang w:val="sr-Latn-RS"/>
        </w:rPr>
        <w:t>Tabela 12.</w:t>
      </w:r>
      <w:r w:rsidRPr="00DE693E">
        <w:rPr>
          <w:rFonts w:asciiTheme="minorHAnsi" w:hAnsiTheme="minorHAnsi" w:cstheme="minorHAnsi"/>
          <w:i w:val="0"/>
          <w:sz w:val="24"/>
          <w:lang w:val="sr-Latn-RS"/>
        </w:rPr>
        <w:t xml:space="preserve"> Ukupne godišnje emisije dioksina i furana (PCDD/PCDF) u vazduh, vodu, zemljište, proizvode i ostatke od proizvodnih procesa, 2006-2022. godina (gTEQ/god)</w:t>
      </w:r>
    </w:p>
    <w:p w14:paraId="485F4B19" w14:textId="77777777" w:rsidR="00033AB8" w:rsidRPr="00DE693E" w:rsidRDefault="00033AB8" w:rsidP="00033AB8">
      <w:pPr>
        <w:pStyle w:val="Tabele"/>
        <w:numPr>
          <w:ilvl w:val="0"/>
          <w:numId w:val="0"/>
        </w:numPr>
        <w:spacing w:before="0" w:after="0"/>
        <w:jc w:val="both"/>
        <w:rPr>
          <w:rFonts w:asciiTheme="minorHAnsi" w:hAnsiTheme="minorHAnsi" w:cstheme="minorHAnsi"/>
          <w:sz w:val="24"/>
          <w:lang w:val="sr-Latn-RS"/>
        </w:rPr>
      </w:pPr>
      <w:r w:rsidRPr="00DE693E">
        <w:rPr>
          <w:rFonts w:asciiTheme="minorHAnsi" w:hAnsiTheme="minorHAnsi" w:cstheme="minorHAnsi"/>
          <w:b/>
          <w:bCs/>
          <w:sz w:val="24"/>
          <w:lang w:val="sr-Latn-RS"/>
        </w:rPr>
        <w:t>Tabela 13.</w:t>
      </w:r>
      <w:r w:rsidRPr="00DE693E">
        <w:rPr>
          <w:rFonts w:asciiTheme="minorHAnsi" w:hAnsiTheme="minorHAnsi" w:cstheme="minorHAnsi"/>
          <w:sz w:val="24"/>
          <w:lang w:val="sr-Latn-RS"/>
        </w:rPr>
        <w:t>Godišnje emisije dioksina i furana (PCDD/PCDF) u vazduh. 2006-2022. godina (gTEQ/god)</w:t>
      </w:r>
    </w:p>
    <w:p w14:paraId="0AD0D7B3" w14:textId="77777777" w:rsidR="00033AB8" w:rsidRPr="00DE693E"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14.</w:t>
      </w:r>
      <w:r w:rsidRPr="00DE693E">
        <w:rPr>
          <w:rFonts w:asciiTheme="minorHAnsi" w:hAnsiTheme="minorHAnsi" w:cstheme="minorHAnsi"/>
          <w:i w:val="0"/>
          <w:iCs/>
          <w:sz w:val="24"/>
          <w:lang w:val="sr-Latn-RS"/>
        </w:rPr>
        <w:t xml:space="preserve"> Godišnje emisije dioksina i furana (PCDD/PCDF) u vodu. 2006-2022. godina (gTEQ/god)</w:t>
      </w:r>
    </w:p>
    <w:p w14:paraId="08EFAACC" w14:textId="77777777" w:rsidR="00033AB8" w:rsidRPr="00DE693E"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15.</w:t>
      </w:r>
      <w:r w:rsidRPr="00DE693E">
        <w:rPr>
          <w:rFonts w:asciiTheme="minorHAnsi" w:hAnsiTheme="minorHAnsi" w:cstheme="minorHAnsi"/>
          <w:i w:val="0"/>
          <w:iCs/>
          <w:sz w:val="24"/>
          <w:lang w:val="sr-Latn-RS"/>
        </w:rPr>
        <w:t xml:space="preserve"> Godišnje emisije dioksina i furana (PCDD/PCDF) u zemljište. 2006-2022. godina (gTEQ/god)</w:t>
      </w:r>
    </w:p>
    <w:p w14:paraId="6D78137F" w14:textId="77777777" w:rsidR="00033AB8" w:rsidRPr="00DE693E"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16.</w:t>
      </w:r>
      <w:r w:rsidRPr="00DE693E">
        <w:rPr>
          <w:rFonts w:asciiTheme="minorHAnsi" w:hAnsiTheme="minorHAnsi" w:cstheme="minorHAnsi"/>
          <w:i w:val="0"/>
          <w:iCs/>
          <w:sz w:val="24"/>
          <w:lang w:val="sr-Latn-RS"/>
        </w:rPr>
        <w:t xml:space="preserve"> Godišnje emisije dioksina i furana (PCDD/PCDF) koje su dospjele u ostatke iz procesa proizvodnje. 2006-2022. godina (gTEQ/god)</w:t>
      </w:r>
    </w:p>
    <w:p w14:paraId="3290E29A" w14:textId="77777777" w:rsidR="00033AB8"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17.</w:t>
      </w:r>
      <w:r w:rsidRPr="00DE693E">
        <w:rPr>
          <w:rFonts w:asciiTheme="minorHAnsi" w:hAnsiTheme="minorHAnsi" w:cstheme="minorHAnsi"/>
          <w:i w:val="0"/>
          <w:iCs/>
          <w:sz w:val="24"/>
          <w:lang w:val="sr-Latn-RS"/>
        </w:rPr>
        <w:t xml:space="preserve"> Ukupne godišnje POP's emisije (PCDD/PCDF) iz postrojenja za proizvodnju čelika. 2006-2022. godina (gTEQ/god)</w:t>
      </w:r>
    </w:p>
    <w:p w14:paraId="7B520456" w14:textId="77777777" w:rsidR="00033AB8"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18.</w:t>
      </w:r>
      <w:r w:rsidRPr="00DE693E">
        <w:rPr>
          <w:rFonts w:asciiTheme="minorHAnsi" w:hAnsiTheme="minorHAnsi" w:cstheme="minorHAnsi"/>
          <w:i w:val="0"/>
          <w:iCs/>
          <w:sz w:val="24"/>
          <w:lang w:val="sr-Latn-RS"/>
        </w:rPr>
        <w:t xml:space="preserve"> Godišnja proizvodnja u postrojenju livnice za proizvodnju čelika i željeza. 2006-2022.godina. (t)</w:t>
      </w:r>
    </w:p>
    <w:p w14:paraId="147D41A5" w14:textId="77777777" w:rsidR="00033AB8" w:rsidRPr="00DE693E"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lastRenderedPageBreak/>
        <w:t>Tabela 19.</w:t>
      </w:r>
      <w:r w:rsidRPr="00DE693E">
        <w:rPr>
          <w:rFonts w:asciiTheme="minorHAnsi" w:hAnsiTheme="minorHAnsi" w:cstheme="minorHAnsi"/>
          <w:i w:val="0"/>
          <w:iCs/>
          <w:sz w:val="24"/>
          <w:lang w:val="sr-Latn-RS"/>
        </w:rPr>
        <w:t xml:space="preserve"> Ukupne godišnje POP's emisije (PCDD/PCDF) iz postrojenja za proizvodnju aluminijuma iz sekundarnih sirovina. 2006-2022. godina (gTEQ/god)</w:t>
      </w:r>
    </w:p>
    <w:p w14:paraId="244C07B9" w14:textId="77777777" w:rsidR="00033AB8" w:rsidRDefault="00033AB8" w:rsidP="00033AB8">
      <w:pPr>
        <w:rPr>
          <w:rFonts w:asciiTheme="minorHAnsi" w:hAnsiTheme="minorHAnsi" w:cstheme="minorHAnsi"/>
          <w:szCs w:val="24"/>
          <w:lang w:val="sr-Latn-RS"/>
        </w:rPr>
      </w:pPr>
      <w:r w:rsidRPr="00DE693E">
        <w:rPr>
          <w:rFonts w:asciiTheme="minorHAnsi" w:hAnsiTheme="minorHAnsi" w:cstheme="minorHAnsi"/>
          <w:b/>
          <w:bCs/>
          <w:szCs w:val="24"/>
          <w:lang w:val="sr-Latn-RS"/>
        </w:rPr>
        <w:t>Tabela 20.</w:t>
      </w:r>
      <w:r w:rsidRPr="00DE693E">
        <w:rPr>
          <w:rFonts w:asciiTheme="minorHAnsi" w:hAnsiTheme="minorHAnsi" w:cstheme="minorHAnsi"/>
          <w:szCs w:val="24"/>
          <w:lang w:val="sr-Latn-RS"/>
        </w:rPr>
        <w:t xml:space="preserve"> Godišnja proizvodnja u postrojenju za proizvodnju aluminijuma iz sekundarnih sirovina. 2006-2022. godina (t)</w:t>
      </w:r>
    </w:p>
    <w:p w14:paraId="13D10134" w14:textId="77777777" w:rsidR="00033AB8" w:rsidRPr="00DE693E" w:rsidRDefault="00033AB8" w:rsidP="00033AB8">
      <w:pPr>
        <w:rPr>
          <w:rFonts w:asciiTheme="minorHAnsi" w:hAnsiTheme="minorHAnsi" w:cstheme="minorHAnsi"/>
          <w:i/>
          <w:iCs/>
          <w:szCs w:val="24"/>
          <w:lang w:val="sr-Latn-RS"/>
        </w:rPr>
      </w:pPr>
      <w:r w:rsidRPr="00DE693E">
        <w:rPr>
          <w:rFonts w:asciiTheme="minorHAnsi" w:hAnsiTheme="minorHAnsi" w:cstheme="minorHAnsi"/>
          <w:b/>
          <w:bCs/>
          <w:iCs/>
          <w:szCs w:val="24"/>
          <w:lang w:val="sr-Latn-RS"/>
        </w:rPr>
        <w:t>Tabela 21.</w:t>
      </w:r>
      <w:r w:rsidRPr="00DE693E">
        <w:rPr>
          <w:rFonts w:asciiTheme="minorHAnsi" w:hAnsiTheme="minorHAnsi" w:cstheme="minorHAnsi"/>
          <w:iCs/>
          <w:szCs w:val="24"/>
          <w:lang w:val="sr-Latn-RS"/>
        </w:rPr>
        <w:t xml:space="preserve"> Ukupne godišnje POP's emisije (PCDD/PCDF) usled sagorijevanja uglja. 2006-2022. godina (gTEQ/god)</w:t>
      </w:r>
    </w:p>
    <w:p w14:paraId="5427D5D2" w14:textId="77777777" w:rsidR="00033AB8" w:rsidRDefault="00033AB8" w:rsidP="00033AB8">
      <w:pPr>
        <w:jc w:val="both"/>
        <w:rPr>
          <w:rFonts w:asciiTheme="minorHAnsi" w:hAnsiTheme="minorHAnsi" w:cstheme="minorHAnsi"/>
          <w:szCs w:val="24"/>
          <w:lang w:val="sr-Latn-RS"/>
        </w:rPr>
      </w:pPr>
      <w:r w:rsidRPr="00DE693E">
        <w:rPr>
          <w:rFonts w:asciiTheme="minorHAnsi" w:hAnsiTheme="minorHAnsi" w:cstheme="minorHAnsi"/>
          <w:b/>
          <w:bCs/>
          <w:szCs w:val="24"/>
          <w:lang w:val="sr-Latn-RS"/>
        </w:rPr>
        <w:t>Tabela 22.</w:t>
      </w:r>
      <w:r w:rsidRPr="00DE693E">
        <w:rPr>
          <w:rFonts w:asciiTheme="minorHAnsi" w:hAnsiTheme="minorHAnsi" w:cstheme="minorHAnsi"/>
          <w:szCs w:val="24"/>
          <w:lang w:val="sr-Latn-RS"/>
        </w:rPr>
        <w:t xml:space="preserve"> Ukupna potrošnja uglja, 2006-2022. godina (TJ)</w:t>
      </w:r>
    </w:p>
    <w:p w14:paraId="1742C065"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23.</w:t>
      </w:r>
      <w:r w:rsidRPr="00DE693E">
        <w:rPr>
          <w:rFonts w:asciiTheme="minorHAnsi" w:hAnsiTheme="minorHAnsi" w:cstheme="minorHAnsi"/>
          <w:iCs/>
          <w:szCs w:val="24"/>
          <w:lang w:val="sr-Latn-RS"/>
        </w:rPr>
        <w:t xml:space="preserve"> Ukupne godišnje POP's emisije (PCDD/PCDF) usled sagorijevanja biomase. 2006-2022.  godina (gTEQ/god)</w:t>
      </w:r>
    </w:p>
    <w:p w14:paraId="76DB93C4"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24.</w:t>
      </w:r>
      <w:r w:rsidRPr="00DE693E">
        <w:rPr>
          <w:rFonts w:asciiTheme="minorHAnsi" w:hAnsiTheme="minorHAnsi" w:cstheme="minorHAnsi"/>
          <w:iCs/>
          <w:szCs w:val="24"/>
          <w:lang w:val="sr-Latn-RS"/>
        </w:rPr>
        <w:t xml:space="preserve"> Ukupna potrošnja biomase, 2006-2022. godina (TJ)</w:t>
      </w:r>
    </w:p>
    <w:p w14:paraId="60C0C56E"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25.</w:t>
      </w:r>
      <w:r w:rsidRPr="00DE693E">
        <w:rPr>
          <w:rFonts w:asciiTheme="minorHAnsi" w:hAnsiTheme="minorHAnsi" w:cstheme="minorHAnsi"/>
          <w:iCs/>
          <w:szCs w:val="24"/>
          <w:lang w:val="sr-Latn-RS"/>
        </w:rPr>
        <w:t xml:space="preserve"> Proizvodnja asfaltne mase, 2006-2022. godina (t)</w:t>
      </w:r>
    </w:p>
    <w:p w14:paraId="5E62F748"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27.</w:t>
      </w:r>
      <w:r w:rsidRPr="00DE693E">
        <w:rPr>
          <w:rFonts w:asciiTheme="minorHAnsi" w:hAnsiTheme="minorHAnsi" w:cstheme="minorHAnsi"/>
          <w:iCs/>
          <w:szCs w:val="24"/>
          <w:lang w:val="sr-Latn-RS"/>
        </w:rPr>
        <w:t>Ukupna potrošnja dizela, 2006-2022. godina (t)</w:t>
      </w:r>
    </w:p>
    <w:p w14:paraId="15B57BB2"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28.</w:t>
      </w:r>
      <w:r w:rsidRPr="00DE693E">
        <w:rPr>
          <w:rFonts w:asciiTheme="minorHAnsi" w:hAnsiTheme="minorHAnsi" w:cstheme="minorHAnsi"/>
          <w:iCs/>
          <w:szCs w:val="24"/>
          <w:lang w:val="sr-Latn-RS"/>
        </w:rPr>
        <w:t xml:space="preserve"> Ukupne godišnje POP's emisije (PCDD/PCDF) usled šumskih požara, 2006-2022. godina (gTEQ/god)</w:t>
      </w:r>
    </w:p>
    <w:p w14:paraId="6E571CC6" w14:textId="77777777" w:rsidR="00033AB8" w:rsidRPr="00DE693E" w:rsidRDefault="00033AB8" w:rsidP="00033AB8">
      <w:pPr>
        <w:jc w:val="both"/>
        <w:rPr>
          <w:rFonts w:asciiTheme="minorHAnsi" w:hAnsiTheme="minorHAnsi" w:cstheme="minorHAnsi"/>
          <w:i/>
          <w:iCs/>
          <w:szCs w:val="24"/>
          <w:lang w:val="sr-Latn-RS"/>
        </w:rPr>
      </w:pPr>
      <w:r w:rsidRPr="00DE693E">
        <w:rPr>
          <w:rFonts w:asciiTheme="minorHAnsi" w:hAnsiTheme="minorHAnsi" w:cstheme="minorHAnsi"/>
          <w:b/>
          <w:bCs/>
          <w:iCs/>
          <w:szCs w:val="24"/>
          <w:lang w:val="sr-Latn-RS"/>
        </w:rPr>
        <w:t>Tabela 29.</w:t>
      </w:r>
      <w:r w:rsidRPr="00DE693E">
        <w:rPr>
          <w:rFonts w:asciiTheme="minorHAnsi" w:hAnsiTheme="minorHAnsi" w:cstheme="minorHAnsi"/>
          <w:iCs/>
          <w:szCs w:val="24"/>
          <w:lang w:val="sr-Latn-RS"/>
        </w:rPr>
        <w:t xml:space="preserve"> Količina spaljenog šumskog materijala u šumama u državnom vlasništvu (suva masa), 2006-2022. godina (t)</w:t>
      </w:r>
    </w:p>
    <w:p w14:paraId="1EF7D237" w14:textId="77777777" w:rsidR="00033AB8"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30.</w:t>
      </w:r>
      <w:r w:rsidRPr="00DE693E">
        <w:rPr>
          <w:rFonts w:asciiTheme="minorHAnsi" w:hAnsiTheme="minorHAnsi" w:cstheme="minorHAnsi"/>
          <w:i w:val="0"/>
          <w:iCs/>
          <w:sz w:val="24"/>
          <w:lang w:val="sr-Latn-RS"/>
        </w:rPr>
        <w:t xml:space="preserve"> Broj izlazaka vatrogasnih jedinica na gašenju požara na deponijama po opštinama</w:t>
      </w:r>
    </w:p>
    <w:p w14:paraId="24484C3E" w14:textId="77777777" w:rsidR="00033AB8"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31.</w:t>
      </w:r>
      <w:r w:rsidRPr="00DE693E">
        <w:rPr>
          <w:rFonts w:asciiTheme="minorHAnsi" w:hAnsiTheme="minorHAnsi" w:cstheme="minorHAnsi"/>
          <w:i w:val="0"/>
          <w:iCs/>
          <w:sz w:val="24"/>
          <w:lang w:val="sr-Latn-RS"/>
        </w:rPr>
        <w:t xml:space="preserve"> Ukupne godišnje POP's emisije (PCDD/PCDF) usled sagorijevanja otpada na otvorenom, 2006-2022. godina (gTEQ/god)</w:t>
      </w:r>
    </w:p>
    <w:p w14:paraId="04A1AC36" w14:textId="77777777" w:rsidR="00033AB8" w:rsidRPr="00DE693E" w:rsidRDefault="00033AB8" w:rsidP="00033AB8">
      <w:pPr>
        <w:pStyle w:val="Tabele"/>
        <w:numPr>
          <w:ilvl w:val="0"/>
          <w:numId w:val="0"/>
        </w:numPr>
        <w:spacing w:before="0" w:after="0"/>
        <w:jc w:val="both"/>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Tabela 32.</w:t>
      </w:r>
      <w:r w:rsidRPr="00DE693E">
        <w:rPr>
          <w:rFonts w:asciiTheme="minorHAnsi" w:hAnsiTheme="minorHAnsi" w:cstheme="minorHAnsi"/>
          <w:i w:val="0"/>
          <w:iCs/>
          <w:sz w:val="24"/>
          <w:lang w:val="sr-Latn-RS"/>
        </w:rPr>
        <w:t xml:space="preserve"> Sagoreli otpad na otvorenom, 2006-2022. godina (t)</w:t>
      </w:r>
    </w:p>
    <w:p w14:paraId="4958443F"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33.</w:t>
      </w:r>
      <w:r w:rsidRPr="00DE693E">
        <w:rPr>
          <w:rFonts w:asciiTheme="minorHAnsi" w:hAnsiTheme="minorHAnsi" w:cstheme="minorHAnsi"/>
          <w:iCs/>
          <w:szCs w:val="24"/>
          <w:lang w:val="sr-Latn-RS"/>
        </w:rPr>
        <w:t xml:space="preserve"> Broj izlazaka vatrogasnih jedinica na gašenju požara na motornim vozilima, stambenim i poslovnim prostorima i fabrikama po godinama</w:t>
      </w:r>
    </w:p>
    <w:p w14:paraId="5A3EFA4E"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34.</w:t>
      </w:r>
      <w:r w:rsidRPr="00DE693E">
        <w:rPr>
          <w:rFonts w:asciiTheme="minorHAnsi" w:hAnsiTheme="minorHAnsi" w:cstheme="minorHAnsi"/>
          <w:iCs/>
          <w:szCs w:val="24"/>
          <w:lang w:val="sr-Latn-RS"/>
        </w:rPr>
        <w:t xml:space="preserve"> Ukupne godišnje POP's emisije (PCDD/PCDF) usled akcidentnih požara na motornim vozilima, stambenim i poslovnim prostorima i fabrikama, 2006-2022. godina (gTEQ/god)</w:t>
      </w:r>
    </w:p>
    <w:p w14:paraId="3D155EDF"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35.</w:t>
      </w:r>
      <w:r w:rsidRPr="00DE693E">
        <w:rPr>
          <w:rFonts w:asciiTheme="minorHAnsi" w:hAnsiTheme="minorHAnsi" w:cstheme="minorHAnsi"/>
          <w:iCs/>
          <w:szCs w:val="24"/>
          <w:lang w:val="sr-Latn-RS"/>
        </w:rPr>
        <w:t xml:space="preserve"> Ukupne godišnje POP's emisije (PCDD/PCDF) usled odlaganja miješanog komunalnog otpada, 2006-2022. godina (gTEQ/god)</w:t>
      </w:r>
    </w:p>
    <w:p w14:paraId="77E5775C"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36.</w:t>
      </w:r>
      <w:r w:rsidRPr="00DE693E">
        <w:rPr>
          <w:rFonts w:asciiTheme="minorHAnsi" w:hAnsiTheme="minorHAnsi" w:cstheme="minorHAnsi"/>
          <w:iCs/>
          <w:szCs w:val="24"/>
          <w:lang w:val="sr-Latn-RS"/>
        </w:rPr>
        <w:t xml:space="preserve"> Količina odloženog miješanog komunalnog otpada.2006-2022, godina (t)</w:t>
      </w:r>
    </w:p>
    <w:p w14:paraId="39210945"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37.</w:t>
      </w:r>
      <w:r w:rsidRPr="00DE693E">
        <w:rPr>
          <w:rFonts w:asciiTheme="minorHAnsi" w:hAnsiTheme="minorHAnsi" w:cstheme="minorHAnsi"/>
          <w:iCs/>
          <w:szCs w:val="24"/>
          <w:lang w:val="sr-Latn-RS"/>
        </w:rPr>
        <w:t xml:space="preserve"> Ukupne godišnje POP's emisije (PCDD/PCDF) usled stvorenog kanalizacionog mulja, 2006-2022. godina (gTEQ/god)</w:t>
      </w:r>
    </w:p>
    <w:p w14:paraId="436D77DB" w14:textId="77777777" w:rsidR="00033AB8" w:rsidRDefault="00033AB8" w:rsidP="00033AB8">
      <w:pPr>
        <w:jc w:val="both"/>
        <w:rPr>
          <w:rFonts w:asciiTheme="minorHAnsi" w:hAnsiTheme="minorHAnsi" w:cstheme="minorHAnsi"/>
          <w:iCs/>
          <w:szCs w:val="24"/>
          <w:lang w:val="sr-Latn-RS"/>
        </w:rPr>
      </w:pPr>
      <w:r w:rsidRPr="00DE693E">
        <w:rPr>
          <w:rFonts w:asciiTheme="minorHAnsi" w:hAnsiTheme="minorHAnsi" w:cstheme="minorHAnsi"/>
          <w:b/>
          <w:bCs/>
          <w:iCs/>
          <w:szCs w:val="24"/>
          <w:lang w:val="sr-Latn-RS"/>
        </w:rPr>
        <w:t>Tabela 38.</w:t>
      </w:r>
      <w:r w:rsidRPr="00DE693E">
        <w:rPr>
          <w:rFonts w:asciiTheme="minorHAnsi" w:hAnsiTheme="minorHAnsi" w:cstheme="minorHAnsi"/>
          <w:iCs/>
          <w:szCs w:val="24"/>
          <w:lang w:val="sr-Latn-RS"/>
        </w:rPr>
        <w:t xml:space="preserve"> Količine stvorenog kanalizacionog mulja, 2006-2022. godina (t)</w:t>
      </w:r>
    </w:p>
    <w:p w14:paraId="599BD397" w14:textId="77777777" w:rsidR="00033AB8" w:rsidRPr="00DE693E" w:rsidRDefault="00033AB8" w:rsidP="00033AB8">
      <w:pPr>
        <w:jc w:val="both"/>
        <w:rPr>
          <w:rFonts w:asciiTheme="minorHAnsi" w:hAnsiTheme="minorHAnsi" w:cstheme="minorHAnsi"/>
          <w:i/>
          <w:iCs/>
          <w:szCs w:val="24"/>
          <w:lang w:val="sr-Latn-RS"/>
        </w:rPr>
      </w:pPr>
      <w:r w:rsidRPr="00DE693E">
        <w:rPr>
          <w:rFonts w:asciiTheme="minorHAnsi" w:hAnsiTheme="minorHAnsi" w:cstheme="minorHAnsi"/>
          <w:b/>
          <w:bCs/>
          <w:iCs/>
          <w:szCs w:val="24"/>
          <w:lang w:val="sr-Latn-RS"/>
        </w:rPr>
        <w:t>Tabela 39.</w:t>
      </w:r>
      <w:r w:rsidRPr="00DE693E">
        <w:rPr>
          <w:rFonts w:asciiTheme="minorHAnsi" w:hAnsiTheme="minorHAnsi" w:cstheme="minorHAnsi"/>
          <w:iCs/>
          <w:szCs w:val="24"/>
          <w:lang w:val="sr-Latn-RS"/>
        </w:rPr>
        <w:t xml:space="preserve"> Ukupne godišnje HCB i PCB emisije, 2006 – 2022, godina (g/god)</w:t>
      </w:r>
    </w:p>
    <w:p w14:paraId="4A112930" w14:textId="77777777" w:rsidR="00033AB8" w:rsidRPr="00DE693E" w:rsidRDefault="00033AB8" w:rsidP="00033AB8">
      <w:pPr>
        <w:rPr>
          <w:rFonts w:asciiTheme="minorHAnsi" w:hAnsiTheme="minorHAnsi" w:cstheme="minorHAnsi"/>
          <w:iCs/>
          <w:szCs w:val="24"/>
          <w:lang w:val="sr-Latn-RS"/>
        </w:rPr>
      </w:pPr>
      <w:r w:rsidRPr="00DE693E">
        <w:rPr>
          <w:rFonts w:asciiTheme="minorHAnsi" w:hAnsiTheme="minorHAnsi" w:cstheme="minorHAnsi"/>
          <w:b/>
          <w:bCs/>
          <w:iCs/>
          <w:szCs w:val="24"/>
          <w:lang w:val="sr-Latn-RS"/>
        </w:rPr>
        <w:t>Tabela 40.</w:t>
      </w:r>
      <w:r w:rsidRPr="00DE693E">
        <w:rPr>
          <w:rFonts w:asciiTheme="minorHAnsi" w:hAnsiTheme="minorHAnsi" w:cstheme="minorHAnsi"/>
          <w:iCs/>
          <w:szCs w:val="24"/>
          <w:lang w:val="sr-Latn-RS"/>
        </w:rPr>
        <w:t xml:space="preserve"> Procijenjene nacionalne emisije PeCB u vazduh usled sagorijevanja ukupno utrošene biomase i uglja u komercijalnom sektoru i sektoru 2015 – 2022, godina</w:t>
      </w:r>
    </w:p>
    <w:p w14:paraId="0F65EE68" w14:textId="77777777" w:rsidR="00033AB8" w:rsidRPr="00DE693E" w:rsidRDefault="00033AB8" w:rsidP="00033AB8">
      <w:pPr>
        <w:rPr>
          <w:rFonts w:asciiTheme="minorHAnsi" w:hAnsiTheme="minorHAnsi" w:cstheme="minorHAnsi"/>
          <w:iCs/>
          <w:szCs w:val="24"/>
          <w:lang w:val="sr-Latn-RS"/>
        </w:rPr>
      </w:pPr>
      <w:r w:rsidRPr="00DE693E">
        <w:rPr>
          <w:rFonts w:asciiTheme="minorHAnsi" w:hAnsiTheme="minorHAnsi" w:cstheme="minorHAnsi"/>
          <w:b/>
          <w:bCs/>
          <w:iCs/>
          <w:szCs w:val="24"/>
          <w:lang w:val="sr-Latn-RS"/>
        </w:rPr>
        <w:t>Tabela 41.</w:t>
      </w:r>
      <w:r w:rsidRPr="00DE693E">
        <w:rPr>
          <w:rFonts w:asciiTheme="minorHAnsi" w:hAnsiTheme="minorHAnsi" w:cstheme="minorHAnsi"/>
          <w:iCs/>
          <w:szCs w:val="24"/>
          <w:lang w:val="sr-Latn-RS"/>
        </w:rPr>
        <w:t xml:space="preserve"> Ukupne godišnje PCN emisije, 2015 – 2022, godina (g/god)</w:t>
      </w:r>
    </w:p>
    <w:p w14:paraId="5477C8B2" w14:textId="77777777" w:rsidR="00033AB8" w:rsidRPr="00DE693E" w:rsidRDefault="00033AB8" w:rsidP="00033AB8">
      <w:pPr>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42. </w:t>
      </w:r>
      <w:r w:rsidRPr="00DE693E">
        <w:rPr>
          <w:rFonts w:asciiTheme="minorHAnsi" w:hAnsiTheme="minorHAnsi" w:cstheme="minorHAnsi"/>
          <w:color w:val="auto"/>
          <w:szCs w:val="24"/>
        </w:rPr>
        <w:t>Hemijski identitet/imena, CAS brojevi, trgovačka imena i struktura PBDE</w:t>
      </w:r>
    </w:p>
    <w:p w14:paraId="125B485B" w14:textId="77777777" w:rsidR="00033AB8" w:rsidRPr="00DE693E" w:rsidRDefault="00033AB8" w:rsidP="00033AB8">
      <w:pPr>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43. </w:t>
      </w:r>
      <w:r w:rsidRPr="00DE693E">
        <w:rPr>
          <w:rFonts w:asciiTheme="minorHAnsi" w:hAnsiTheme="minorHAnsi" w:cstheme="minorHAnsi"/>
          <w:color w:val="auto"/>
          <w:szCs w:val="24"/>
        </w:rPr>
        <w:t>Upotreba pentaBDE u PUR pjeni</w:t>
      </w:r>
    </w:p>
    <w:p w14:paraId="52F38FEB"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44: </w:t>
      </w:r>
      <w:r w:rsidRPr="00DE693E">
        <w:rPr>
          <w:rFonts w:asciiTheme="minorHAnsi" w:hAnsiTheme="minorHAnsi" w:cstheme="minorHAnsi"/>
          <w:color w:val="auto"/>
          <w:szCs w:val="24"/>
        </w:rPr>
        <w:t>Prijašnje upotrebe c-octaBDE u polimerima/materijalima, primjene i proizvodi (ESWI 2011)</w:t>
      </w:r>
    </w:p>
    <w:p w14:paraId="64E50170"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45: </w:t>
      </w:r>
      <w:r w:rsidRPr="00DE693E">
        <w:rPr>
          <w:rFonts w:asciiTheme="minorHAnsi" w:hAnsiTheme="minorHAnsi" w:cstheme="minorHAnsi"/>
          <w:color w:val="auto"/>
          <w:szCs w:val="24"/>
        </w:rPr>
        <w:t>Pregled sektora/industrija u kojima se koristi/decaBDE, identifikovane krajnje upotrebe i primjene</w:t>
      </w:r>
    </w:p>
    <w:p w14:paraId="40750213" w14:textId="77777777" w:rsidR="00033AB8" w:rsidRPr="00DE693E" w:rsidRDefault="00033AB8" w:rsidP="00033AB8">
      <w:pPr>
        <w:jc w:val="both"/>
        <w:rPr>
          <w:rFonts w:asciiTheme="minorHAnsi" w:hAnsiTheme="minorHAnsi" w:cstheme="minorHAnsi"/>
          <w:szCs w:val="24"/>
        </w:rPr>
      </w:pPr>
      <w:r w:rsidRPr="00DE693E">
        <w:rPr>
          <w:rFonts w:asciiTheme="minorHAnsi" w:hAnsiTheme="minorHAnsi" w:cstheme="minorHAnsi"/>
          <w:b/>
          <w:bCs/>
          <w:szCs w:val="24"/>
        </w:rPr>
        <w:t>Tabela 46.</w:t>
      </w:r>
      <w:r w:rsidRPr="00DE693E">
        <w:rPr>
          <w:rFonts w:asciiTheme="minorHAnsi" w:hAnsiTheme="minorHAnsi" w:cstheme="minorHAnsi"/>
          <w:szCs w:val="24"/>
        </w:rPr>
        <w:t xml:space="preserve"> Prikaz nivoa inventarizacije</w:t>
      </w:r>
    </w:p>
    <w:p w14:paraId="63DD6B51" w14:textId="77777777" w:rsidR="00033AB8" w:rsidRPr="00DE693E" w:rsidRDefault="00033AB8" w:rsidP="00033AB8">
      <w:pPr>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47. </w:t>
      </w:r>
      <w:r w:rsidRPr="00DE693E">
        <w:rPr>
          <w:rFonts w:asciiTheme="minorHAnsi" w:hAnsiTheme="minorHAnsi" w:cstheme="minorHAnsi"/>
          <w:color w:val="auto"/>
          <w:szCs w:val="24"/>
        </w:rPr>
        <w:t>Sadržaj PBDE u CRT televizorima u upotrebi, na zalihama i u CRT monitorima</w:t>
      </w:r>
    </w:p>
    <w:p w14:paraId="406AE927"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48. </w:t>
      </w:r>
      <w:r w:rsidRPr="00DE693E">
        <w:rPr>
          <w:rFonts w:asciiTheme="minorHAnsi" w:hAnsiTheme="minorHAnsi" w:cstheme="minorHAnsi"/>
          <w:color w:val="auto"/>
          <w:szCs w:val="24"/>
        </w:rPr>
        <w:t>Pregled količine generisanog EEE otpada u periodu 2011–2023 i pripadajući sadržaj dekaBDE (podaci MONSTAT)</w:t>
      </w:r>
    </w:p>
    <w:p w14:paraId="607F5821"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lastRenderedPageBreak/>
        <w:t xml:space="preserve">Tabela 49. </w:t>
      </w:r>
      <w:r w:rsidRPr="00DE693E">
        <w:rPr>
          <w:rFonts w:asciiTheme="minorHAnsi" w:hAnsiTheme="minorHAnsi" w:cstheme="minorHAnsi"/>
          <w:color w:val="auto"/>
          <w:szCs w:val="24"/>
        </w:rPr>
        <w:t>Pregled količine generisanog EEE otpada u periodu 2017–2023 i pripadajući sadržaj dekaBDE (podaci iz nacrta DPUO 2023–2028)</w:t>
      </w:r>
    </w:p>
    <w:p w14:paraId="1064D776"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50. </w:t>
      </w:r>
      <w:r w:rsidRPr="00DE693E">
        <w:rPr>
          <w:rFonts w:asciiTheme="minorHAnsi" w:hAnsiTheme="minorHAnsi" w:cstheme="minorHAnsi"/>
          <w:color w:val="auto"/>
          <w:szCs w:val="24"/>
        </w:rPr>
        <w:t>Prosječan sadržaj POP-PBDE po vozilu</w:t>
      </w:r>
    </w:p>
    <w:p w14:paraId="07AA8BCF"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51. </w:t>
      </w:r>
      <w:r w:rsidRPr="00DE693E">
        <w:rPr>
          <w:rFonts w:asciiTheme="minorHAnsi" w:hAnsiTheme="minorHAnsi" w:cstheme="minorHAnsi"/>
          <w:color w:val="auto"/>
          <w:szCs w:val="24"/>
        </w:rPr>
        <w:t>PBDE sadržaj u putničkim automobilima u upotrebi (2017–2023)</w:t>
      </w:r>
    </w:p>
    <w:p w14:paraId="34C231AF" w14:textId="77777777" w:rsidR="00033AB8" w:rsidRPr="00DE693E" w:rsidRDefault="00033AB8" w:rsidP="00033AB8">
      <w:pPr>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52. </w:t>
      </w:r>
      <w:r w:rsidRPr="00DE693E">
        <w:rPr>
          <w:rFonts w:asciiTheme="minorHAnsi" w:hAnsiTheme="minorHAnsi" w:cstheme="minorHAnsi"/>
          <w:color w:val="auto"/>
          <w:szCs w:val="24"/>
        </w:rPr>
        <w:t>Broj registrovanih kamiona u periodu 2017–2023</w:t>
      </w:r>
    </w:p>
    <w:p w14:paraId="18F8C3DE" w14:textId="77777777" w:rsidR="00033AB8" w:rsidRDefault="00033AB8" w:rsidP="00033AB8">
      <w:pPr>
        <w:pStyle w:val="Text"/>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 xml:space="preserve">Tabela 53. </w:t>
      </w:r>
      <w:r w:rsidRPr="00DE693E">
        <w:rPr>
          <w:rFonts w:asciiTheme="minorHAnsi" w:hAnsiTheme="minorHAnsi" w:cstheme="minorHAnsi"/>
          <w:sz w:val="24"/>
          <w:szCs w:val="24"/>
        </w:rPr>
        <w:t>Pregled količina PBDE-a u autobusima (period registracije 2017–2023)</w:t>
      </w:r>
    </w:p>
    <w:p w14:paraId="1A7EE575" w14:textId="77777777" w:rsidR="00033AB8" w:rsidRPr="00DE693E" w:rsidRDefault="00033AB8" w:rsidP="00033AB8">
      <w:pPr>
        <w:pStyle w:val="Text"/>
        <w:spacing w:after="0" w:line="240" w:lineRule="auto"/>
        <w:rPr>
          <w:rFonts w:asciiTheme="minorHAnsi" w:hAnsiTheme="minorHAnsi" w:cstheme="minorHAnsi"/>
          <w:b/>
          <w:bCs/>
          <w:color w:val="auto"/>
          <w:sz w:val="24"/>
          <w:szCs w:val="24"/>
        </w:rPr>
      </w:pPr>
      <w:r w:rsidRPr="00DE693E">
        <w:rPr>
          <w:rFonts w:asciiTheme="minorHAnsi" w:hAnsiTheme="minorHAnsi" w:cstheme="minorHAnsi"/>
          <w:b/>
          <w:bCs/>
          <w:color w:val="auto"/>
          <w:sz w:val="24"/>
          <w:szCs w:val="24"/>
        </w:rPr>
        <w:t xml:space="preserve">Tabela 54. </w:t>
      </w:r>
      <w:r w:rsidRPr="00DE693E">
        <w:rPr>
          <w:rFonts w:asciiTheme="minorHAnsi" w:hAnsiTheme="minorHAnsi" w:cstheme="minorHAnsi"/>
          <w:color w:val="auto"/>
          <w:sz w:val="24"/>
          <w:szCs w:val="24"/>
        </w:rPr>
        <w:t>Komparativni prikaz PBDE po kategorijama vozila (2017–2023)</w:t>
      </w:r>
    </w:p>
    <w:p w14:paraId="113569C3" w14:textId="77777777" w:rsidR="00033AB8" w:rsidRPr="00DE693E" w:rsidRDefault="00033AB8" w:rsidP="00033AB8">
      <w:pPr>
        <w:pStyle w:val="Text"/>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 xml:space="preserve">Tabela 55. </w:t>
      </w:r>
      <w:r w:rsidRPr="00DE693E">
        <w:rPr>
          <w:rFonts w:asciiTheme="minorHAnsi" w:hAnsiTheme="minorHAnsi" w:cstheme="minorHAnsi"/>
          <w:sz w:val="24"/>
          <w:szCs w:val="24"/>
        </w:rPr>
        <w:t>Pregled sadržaja PBDE u uvezenim putničkim vozilima u periodu 2017–2023</w:t>
      </w:r>
    </w:p>
    <w:p w14:paraId="4927106B" w14:textId="77777777" w:rsidR="00033AB8" w:rsidRPr="00DE693E" w:rsidRDefault="00033AB8" w:rsidP="00033AB8">
      <w:pPr>
        <w:pStyle w:val="Text"/>
        <w:tabs>
          <w:tab w:val="left" w:pos="3510"/>
        </w:tabs>
        <w:spacing w:after="0" w:line="240" w:lineRule="auto"/>
        <w:jc w:val="both"/>
        <w:rPr>
          <w:rFonts w:asciiTheme="minorHAnsi" w:hAnsiTheme="minorHAnsi" w:cstheme="minorHAnsi"/>
          <w:b/>
          <w:bCs/>
          <w:sz w:val="24"/>
          <w:szCs w:val="24"/>
        </w:rPr>
      </w:pPr>
      <w:r w:rsidRPr="00DE693E">
        <w:rPr>
          <w:rFonts w:asciiTheme="minorHAnsi" w:hAnsiTheme="minorHAnsi" w:cstheme="minorHAnsi"/>
          <w:b/>
          <w:bCs/>
          <w:sz w:val="24"/>
          <w:szCs w:val="24"/>
        </w:rPr>
        <w:t xml:space="preserve">Tabela 56. </w:t>
      </w:r>
      <w:r w:rsidRPr="00DE693E">
        <w:rPr>
          <w:rFonts w:asciiTheme="minorHAnsi" w:hAnsiTheme="minorHAnsi" w:cstheme="minorHAnsi"/>
          <w:sz w:val="24"/>
          <w:szCs w:val="24"/>
        </w:rPr>
        <w:t>Pregled sadržaja PBDE u uvezenim autobusima u periodu 2017–2023</w:t>
      </w:r>
    </w:p>
    <w:p w14:paraId="7AADA3A5" w14:textId="77777777" w:rsidR="00033AB8" w:rsidRPr="00DE693E" w:rsidRDefault="00033AB8" w:rsidP="00033AB8">
      <w:pPr>
        <w:pStyle w:val="Text"/>
        <w:tabs>
          <w:tab w:val="left" w:pos="3510"/>
        </w:tabs>
        <w:spacing w:after="60" w:line="240" w:lineRule="auto"/>
        <w:jc w:val="both"/>
        <w:rPr>
          <w:rFonts w:asciiTheme="minorHAnsi" w:hAnsiTheme="minorHAnsi" w:cstheme="minorHAnsi"/>
          <w:b/>
          <w:bCs/>
          <w:i/>
          <w:iCs/>
          <w:sz w:val="24"/>
          <w:szCs w:val="24"/>
        </w:rPr>
      </w:pPr>
      <w:r w:rsidRPr="00DE693E">
        <w:rPr>
          <w:rFonts w:asciiTheme="minorHAnsi" w:hAnsiTheme="minorHAnsi" w:cstheme="minorHAnsi"/>
          <w:b/>
          <w:bCs/>
          <w:sz w:val="24"/>
          <w:szCs w:val="24"/>
        </w:rPr>
        <w:t xml:space="preserve">Tabela 57. </w:t>
      </w:r>
      <w:r w:rsidRPr="00DE693E">
        <w:rPr>
          <w:rFonts w:asciiTheme="minorHAnsi" w:hAnsiTheme="minorHAnsi" w:cstheme="minorHAnsi"/>
          <w:sz w:val="24"/>
          <w:szCs w:val="24"/>
        </w:rPr>
        <w:t>Tabelarni prikaz broja uvezenih kamiona i sadržaja PBDE u istim</w:t>
      </w:r>
    </w:p>
    <w:p w14:paraId="726BFBC8" w14:textId="77777777" w:rsidR="00033AB8" w:rsidRPr="00DE693E" w:rsidRDefault="00033AB8" w:rsidP="00033AB8">
      <w:pPr>
        <w:pStyle w:val="Text"/>
        <w:spacing w:after="0" w:line="240" w:lineRule="auto"/>
        <w:rPr>
          <w:rFonts w:asciiTheme="minorHAnsi" w:hAnsiTheme="minorHAnsi" w:cstheme="minorHAnsi"/>
          <w:b/>
          <w:bCs/>
          <w:sz w:val="24"/>
          <w:szCs w:val="24"/>
        </w:rPr>
      </w:pPr>
      <w:r w:rsidRPr="00DE693E">
        <w:rPr>
          <w:rFonts w:asciiTheme="minorHAnsi" w:hAnsiTheme="minorHAnsi" w:cstheme="minorHAnsi"/>
          <w:b/>
          <w:bCs/>
          <w:sz w:val="24"/>
          <w:szCs w:val="24"/>
        </w:rPr>
        <w:t xml:space="preserve">Tabela 58. </w:t>
      </w:r>
      <w:r w:rsidRPr="00DE693E">
        <w:rPr>
          <w:rFonts w:asciiTheme="minorHAnsi" w:hAnsiTheme="minorHAnsi" w:cstheme="minorHAnsi"/>
          <w:sz w:val="24"/>
          <w:szCs w:val="24"/>
        </w:rPr>
        <w:t>Pregled sadržaja PBDE u svim kategorijama uvezenih vozila</w:t>
      </w:r>
    </w:p>
    <w:p w14:paraId="33A717D3"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 xml:space="preserve">Tabela 59. </w:t>
      </w:r>
      <w:r w:rsidRPr="00DE693E">
        <w:rPr>
          <w:rFonts w:asciiTheme="minorHAnsi" w:hAnsiTheme="minorHAnsi" w:cstheme="minorHAnsi"/>
          <w:color w:val="auto"/>
          <w:szCs w:val="24"/>
        </w:rPr>
        <w:t>Količina decaBDE u procijenjenim end-of-life vozilima (ELVs) u periodu 2017–2023</w:t>
      </w:r>
    </w:p>
    <w:p w14:paraId="2C49D059" w14:textId="77777777" w:rsidR="00033AB8" w:rsidRPr="00DE693E" w:rsidRDefault="00033AB8" w:rsidP="00033AB8">
      <w:pPr>
        <w:jc w:val="both"/>
        <w:rPr>
          <w:rFonts w:asciiTheme="minorHAnsi" w:hAnsiTheme="minorHAnsi" w:cstheme="minorHAnsi"/>
          <w:szCs w:val="24"/>
          <w:lang w:val="sr-Latn-ME"/>
        </w:rPr>
      </w:pPr>
      <w:r w:rsidRPr="00DE693E">
        <w:rPr>
          <w:rFonts w:asciiTheme="minorHAnsi" w:hAnsiTheme="minorHAnsi" w:cstheme="minorHAnsi"/>
          <w:b/>
          <w:bCs/>
          <w:szCs w:val="24"/>
          <w:lang w:val="sr-Latn-ME"/>
        </w:rPr>
        <w:t>Tabela 60.</w:t>
      </w:r>
      <w:r w:rsidRPr="00DE693E">
        <w:rPr>
          <w:rFonts w:asciiTheme="minorHAnsi" w:hAnsiTheme="minorHAnsi" w:cstheme="minorHAnsi"/>
          <w:szCs w:val="24"/>
          <w:lang w:val="sr-Latn-ME"/>
        </w:rPr>
        <w:t xml:space="preserve"> Sektori i za njih nadležne zainteresovane strane koje su uključene u različite procese upravljanja proizvodima koji potencijalno sadrže HBCD</w:t>
      </w:r>
    </w:p>
    <w:p w14:paraId="26CA9FE1" w14:textId="77777777" w:rsidR="00033AB8" w:rsidRPr="00DE693E" w:rsidRDefault="00033AB8" w:rsidP="00033AB8">
      <w:pPr>
        <w:jc w:val="both"/>
        <w:rPr>
          <w:rFonts w:asciiTheme="minorHAnsi" w:hAnsiTheme="minorHAnsi" w:cstheme="minorHAnsi"/>
          <w:iCs/>
          <w:color w:val="000000"/>
          <w:szCs w:val="24"/>
          <w:lang w:val="sr-Latn-RS"/>
        </w:rPr>
      </w:pPr>
      <w:r w:rsidRPr="00DE693E">
        <w:rPr>
          <w:rFonts w:asciiTheme="minorHAnsi" w:hAnsiTheme="minorHAnsi" w:cstheme="minorHAnsi"/>
          <w:b/>
          <w:bCs/>
          <w:iCs/>
          <w:color w:val="000000"/>
          <w:szCs w:val="24"/>
          <w:lang w:val="sr-Latn-RS"/>
        </w:rPr>
        <w:t>Tabela 61.</w:t>
      </w:r>
      <w:r w:rsidRPr="00DE693E">
        <w:rPr>
          <w:rFonts w:asciiTheme="minorHAnsi" w:hAnsiTheme="minorHAnsi" w:cstheme="minorHAnsi"/>
          <w:iCs/>
          <w:color w:val="000000"/>
          <w:szCs w:val="24"/>
          <w:lang w:val="sr-Latn-RS"/>
        </w:rPr>
        <w:t xml:space="preserve"> Količina uvezenog granulata ekspandiranog polistirena (t) u periodu   2017-2023. godina</w:t>
      </w:r>
    </w:p>
    <w:p w14:paraId="46644165" w14:textId="77777777" w:rsidR="00033AB8" w:rsidRPr="00DE693E" w:rsidRDefault="00033AB8" w:rsidP="00033AB8">
      <w:pPr>
        <w:jc w:val="both"/>
        <w:rPr>
          <w:rFonts w:asciiTheme="minorHAnsi" w:hAnsiTheme="minorHAnsi" w:cstheme="minorHAnsi"/>
          <w:szCs w:val="24"/>
          <w:lang w:val="sr-Latn-ME"/>
        </w:rPr>
      </w:pPr>
      <w:r w:rsidRPr="00DE693E">
        <w:rPr>
          <w:rFonts w:asciiTheme="minorHAnsi" w:hAnsiTheme="minorHAnsi" w:cstheme="minorHAnsi"/>
          <w:b/>
          <w:bCs/>
          <w:szCs w:val="24"/>
          <w:lang w:val="sr-Latn-ME"/>
        </w:rPr>
        <w:t>Tabela 62.</w:t>
      </w:r>
      <w:r w:rsidRPr="00DE693E">
        <w:rPr>
          <w:rFonts w:asciiTheme="minorHAnsi" w:hAnsiTheme="minorHAnsi" w:cstheme="minorHAnsi"/>
          <w:szCs w:val="24"/>
          <w:lang w:val="sr-Latn-ME"/>
        </w:rPr>
        <w:t xml:space="preserve"> Količine uvezenih proizvoda na bazi polistirena (t) u periodu 2017-2023. godina</w:t>
      </w:r>
    </w:p>
    <w:p w14:paraId="0F2DA48C" w14:textId="77777777" w:rsidR="00033AB8" w:rsidRPr="00DE693E" w:rsidRDefault="00033AB8" w:rsidP="00033AB8">
      <w:pPr>
        <w:jc w:val="both"/>
        <w:rPr>
          <w:rFonts w:asciiTheme="minorHAnsi" w:hAnsiTheme="minorHAnsi" w:cstheme="minorHAnsi"/>
          <w:iCs/>
          <w:color w:val="000000"/>
          <w:szCs w:val="24"/>
          <w:lang w:val="sr-Latn-RS"/>
        </w:rPr>
      </w:pPr>
      <w:r w:rsidRPr="00DE693E">
        <w:rPr>
          <w:rFonts w:asciiTheme="minorHAnsi" w:hAnsiTheme="minorHAnsi" w:cstheme="minorHAnsi"/>
          <w:b/>
          <w:bCs/>
          <w:iCs/>
          <w:color w:val="000000"/>
          <w:szCs w:val="24"/>
          <w:lang w:val="sr-Latn-RS"/>
        </w:rPr>
        <w:t>Tabela 63.</w:t>
      </w:r>
      <w:r w:rsidRPr="00DE693E">
        <w:rPr>
          <w:rFonts w:asciiTheme="minorHAnsi" w:hAnsiTheme="minorHAnsi" w:cstheme="minorHAnsi"/>
          <w:iCs/>
          <w:color w:val="000000"/>
          <w:szCs w:val="24"/>
          <w:lang w:val="sr-Latn-RS"/>
        </w:rPr>
        <w:t xml:space="preserve"> Procjenjena količina HBCD u Crnoj Gori po godinama (2017-2023.)</w:t>
      </w:r>
    </w:p>
    <w:p w14:paraId="650E5511" w14:textId="77777777" w:rsidR="00033AB8" w:rsidRPr="00DE693E" w:rsidRDefault="00033AB8" w:rsidP="00033AB8">
      <w:pPr>
        <w:jc w:val="both"/>
        <w:rPr>
          <w:rFonts w:asciiTheme="minorHAnsi" w:hAnsiTheme="minorHAnsi" w:cstheme="minorHAnsi"/>
          <w:iCs/>
          <w:color w:val="000000"/>
          <w:szCs w:val="24"/>
          <w:lang w:val="sr-Latn-RS"/>
        </w:rPr>
      </w:pPr>
      <w:r w:rsidRPr="00DE693E">
        <w:rPr>
          <w:rFonts w:asciiTheme="minorHAnsi" w:hAnsiTheme="minorHAnsi" w:cstheme="minorHAnsi"/>
          <w:b/>
          <w:bCs/>
          <w:iCs/>
          <w:color w:val="000000"/>
          <w:szCs w:val="24"/>
          <w:lang w:val="sr-Latn-RS"/>
        </w:rPr>
        <w:t>Tabela 64.</w:t>
      </w:r>
      <w:r w:rsidRPr="00DE693E">
        <w:rPr>
          <w:rFonts w:asciiTheme="minorHAnsi" w:hAnsiTheme="minorHAnsi" w:cstheme="minorHAnsi"/>
          <w:iCs/>
          <w:color w:val="000000"/>
          <w:szCs w:val="24"/>
          <w:lang w:val="sr-Latn-RS"/>
        </w:rPr>
        <w:t xml:space="preserve"> Trend uvoza proizvoda na bazi polistirena i procijenje količine HBCD u Crnoj Gori</w:t>
      </w:r>
    </w:p>
    <w:p w14:paraId="71E24E94" w14:textId="77777777" w:rsidR="00033AB8" w:rsidRPr="00DE693E" w:rsidRDefault="00033AB8" w:rsidP="00033AB8">
      <w:pPr>
        <w:jc w:val="both"/>
        <w:rPr>
          <w:rFonts w:asciiTheme="minorHAnsi" w:hAnsiTheme="minorHAnsi" w:cstheme="minorHAnsi"/>
          <w:color w:val="000000"/>
          <w:szCs w:val="24"/>
          <w:lang w:val="sr-Latn-RS"/>
        </w:rPr>
      </w:pPr>
      <w:r w:rsidRPr="00DE693E">
        <w:rPr>
          <w:rFonts w:asciiTheme="minorHAnsi" w:hAnsiTheme="minorHAnsi" w:cstheme="minorHAnsi"/>
          <w:b/>
          <w:bCs/>
          <w:color w:val="000000"/>
          <w:szCs w:val="24"/>
          <w:lang w:val="sr-Latn-RS"/>
        </w:rPr>
        <w:t>Tabela 65.</w:t>
      </w:r>
      <w:r w:rsidRPr="00DE693E">
        <w:rPr>
          <w:rFonts w:asciiTheme="minorHAnsi" w:hAnsiTheme="minorHAnsi" w:cstheme="minorHAnsi"/>
          <w:color w:val="000000"/>
          <w:szCs w:val="24"/>
          <w:lang w:val="sr-Latn-RS"/>
        </w:rPr>
        <w:t xml:space="preserve"> Količine generisanog građevinskog otpada (građevinski sektor, uslužne djelatnosti i domaćinstva) i procijenjene količine HBCD u ovoj vrsti otpada u Crnoj Gori za period                      2017-2023. godina</w:t>
      </w:r>
    </w:p>
    <w:p w14:paraId="11ED8911" w14:textId="77777777" w:rsidR="00033AB8" w:rsidRPr="00DE693E" w:rsidRDefault="00033AB8" w:rsidP="00033AB8">
      <w:pPr>
        <w:jc w:val="both"/>
        <w:rPr>
          <w:rFonts w:asciiTheme="minorHAnsi" w:hAnsiTheme="minorHAnsi" w:cstheme="minorHAnsi"/>
          <w:iCs/>
          <w:szCs w:val="24"/>
          <w:lang w:val="sr-Latn-ME"/>
        </w:rPr>
      </w:pPr>
      <w:r w:rsidRPr="00DE693E">
        <w:rPr>
          <w:rFonts w:asciiTheme="minorHAnsi" w:hAnsiTheme="minorHAnsi" w:cstheme="minorHAnsi"/>
          <w:b/>
          <w:bCs/>
          <w:iCs/>
          <w:color w:val="000000"/>
          <w:szCs w:val="24"/>
          <w:lang w:val="sr-Latn-RS"/>
        </w:rPr>
        <w:t>Tabela 66.</w:t>
      </w:r>
      <w:r w:rsidRPr="00DE693E">
        <w:rPr>
          <w:rFonts w:asciiTheme="minorHAnsi" w:hAnsiTheme="minorHAnsi" w:cstheme="minorHAnsi"/>
          <w:iCs/>
          <w:color w:val="000000"/>
          <w:szCs w:val="24"/>
          <w:lang w:val="sr-Latn-RS"/>
        </w:rPr>
        <w:t xml:space="preserve"> Trend procjenjenih količina HBCD u otpadu u Crnoj Gori </w:t>
      </w:r>
      <w:r w:rsidRPr="00DE693E">
        <w:rPr>
          <w:rFonts w:asciiTheme="minorHAnsi" w:hAnsiTheme="minorHAnsi" w:cstheme="minorHAnsi"/>
          <w:iCs/>
          <w:szCs w:val="24"/>
          <w:lang w:val="sr-Latn-ME"/>
        </w:rPr>
        <w:t xml:space="preserve">za periode 2007-2016. godina i 2017-2023. godina </w:t>
      </w:r>
    </w:p>
    <w:p w14:paraId="60B00A0B" w14:textId="77777777" w:rsidR="00033AB8" w:rsidRPr="00DE693E" w:rsidRDefault="00033AB8" w:rsidP="00033AB8">
      <w:pPr>
        <w:jc w:val="both"/>
        <w:rPr>
          <w:rFonts w:asciiTheme="minorHAnsi" w:hAnsiTheme="minorHAnsi" w:cstheme="minorHAnsi"/>
          <w:szCs w:val="24"/>
        </w:rPr>
      </w:pPr>
      <w:r w:rsidRPr="00DE693E">
        <w:rPr>
          <w:rFonts w:asciiTheme="minorHAnsi" w:hAnsiTheme="minorHAnsi" w:cstheme="minorHAnsi"/>
          <w:b/>
          <w:bCs/>
          <w:szCs w:val="24"/>
        </w:rPr>
        <w:t>Tabela 67:</w:t>
      </w:r>
      <w:r w:rsidRPr="00DE693E">
        <w:rPr>
          <w:rFonts w:asciiTheme="minorHAnsi" w:hAnsiTheme="minorHAnsi" w:cstheme="minorHAnsi"/>
          <w:szCs w:val="24"/>
        </w:rPr>
        <w:t xml:space="preserve"> Uvrštavanje PFOS-a, njegovih soli i PFOSF-a u Stokholmsku konvenciju prema odluci SC-9/4</w:t>
      </w:r>
    </w:p>
    <w:p w14:paraId="5C7E4307"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68.</w:t>
      </w:r>
      <w:r w:rsidRPr="00DE693E">
        <w:rPr>
          <w:rFonts w:asciiTheme="minorHAnsi" w:eastAsia="SimSun" w:hAnsiTheme="minorHAnsi" w:cstheme="minorHAnsi"/>
          <w:color w:val="auto"/>
          <w:szCs w:val="24"/>
        </w:rPr>
        <w:t xml:space="preserve"> Pregled vatrogasnih jedinica koje posjeduju protivpožarne pjene, njene količine u skladištu, datum proizvodnje kao i tip pjene</w:t>
      </w:r>
    </w:p>
    <w:p w14:paraId="72DE471F" w14:textId="77777777" w:rsidR="00033AB8" w:rsidRPr="00DE693E" w:rsidRDefault="00033AB8" w:rsidP="00033AB8">
      <w:pPr>
        <w:jc w:val="both"/>
        <w:rPr>
          <w:rFonts w:asciiTheme="minorHAnsi" w:eastAsia="Times New Roman" w:hAnsiTheme="minorHAnsi" w:cstheme="minorHAnsi"/>
          <w:color w:val="auto"/>
          <w:szCs w:val="24"/>
          <w:lang w:eastAsia="en-GB"/>
        </w:rPr>
      </w:pPr>
      <w:r w:rsidRPr="00DE693E">
        <w:rPr>
          <w:rFonts w:asciiTheme="minorHAnsi" w:eastAsia="Times New Roman" w:hAnsiTheme="minorHAnsi" w:cstheme="minorHAnsi"/>
          <w:b/>
          <w:bCs/>
          <w:color w:val="auto"/>
          <w:szCs w:val="24"/>
          <w:lang w:eastAsia="en-GB"/>
        </w:rPr>
        <w:t>Tabela 69:</w:t>
      </w:r>
      <w:r w:rsidRPr="00DE693E">
        <w:rPr>
          <w:rFonts w:asciiTheme="minorHAnsi" w:eastAsia="Times New Roman" w:hAnsiTheme="minorHAnsi" w:cstheme="minorHAnsi"/>
          <w:color w:val="auto"/>
          <w:szCs w:val="24"/>
          <w:lang w:eastAsia="en-GB"/>
        </w:rPr>
        <w:t xml:space="preserve"> Rezultati prisustva PFOS-a u protivpožarnim pjenama opštinskih službi zaštite i spašavanja.</w:t>
      </w:r>
    </w:p>
    <w:p w14:paraId="545B5976" w14:textId="77777777" w:rsidR="00033AB8" w:rsidRPr="00DE693E" w:rsidRDefault="00033AB8" w:rsidP="00033AB8">
      <w:pPr>
        <w:jc w:val="both"/>
        <w:rPr>
          <w:rFonts w:asciiTheme="minorHAnsi" w:eastAsia="Times New Roman" w:hAnsiTheme="minorHAnsi" w:cstheme="minorHAnsi"/>
          <w:color w:val="auto"/>
          <w:szCs w:val="24"/>
          <w:lang w:eastAsia="en-GB"/>
        </w:rPr>
      </w:pPr>
      <w:r w:rsidRPr="00DE693E">
        <w:rPr>
          <w:rFonts w:asciiTheme="minorHAnsi" w:eastAsia="Times New Roman" w:hAnsiTheme="minorHAnsi" w:cstheme="minorHAnsi"/>
          <w:b/>
          <w:bCs/>
          <w:color w:val="auto"/>
          <w:szCs w:val="24"/>
          <w:lang w:eastAsia="en-GB"/>
        </w:rPr>
        <w:t>Tabela 70:</w:t>
      </w:r>
      <w:r w:rsidRPr="00DE693E">
        <w:rPr>
          <w:rFonts w:asciiTheme="minorHAnsi" w:eastAsia="Times New Roman" w:hAnsiTheme="minorHAnsi" w:cstheme="minorHAnsi"/>
          <w:color w:val="auto"/>
          <w:szCs w:val="24"/>
          <w:lang w:eastAsia="en-GB"/>
        </w:rPr>
        <w:t xml:space="preserve"> Rezultati prisustva PFOS-a u protivpožarnim pjenama specijalizovanih vatrogasnih službi (Luke, Aerodromi, Industrija).</w:t>
      </w:r>
    </w:p>
    <w:p w14:paraId="4F83DE9B"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71:</w:t>
      </w:r>
      <w:r w:rsidRPr="00DE693E">
        <w:rPr>
          <w:rFonts w:asciiTheme="minorHAnsi" w:hAnsiTheme="minorHAnsi" w:cstheme="minorHAnsi"/>
          <w:color w:val="auto"/>
          <w:szCs w:val="24"/>
        </w:rPr>
        <w:t xml:space="preserve"> Pregled broja analiziranih uzoraka i uzoraka sa potvrđenim prisustvom PFOS</w:t>
      </w:r>
    </w:p>
    <w:p w14:paraId="10FFB8E1" w14:textId="77777777" w:rsidR="00033AB8" w:rsidRPr="00DE693E" w:rsidRDefault="00033AB8" w:rsidP="00033AB8">
      <w:pPr>
        <w:jc w:val="both"/>
        <w:rPr>
          <w:rFonts w:asciiTheme="minorHAnsi" w:eastAsia="Times New Roman" w:hAnsiTheme="minorHAnsi" w:cstheme="minorHAnsi"/>
          <w:color w:val="auto"/>
          <w:szCs w:val="24"/>
          <w:lang w:eastAsia="en-GB"/>
        </w:rPr>
      </w:pPr>
      <w:r w:rsidRPr="00DE693E">
        <w:rPr>
          <w:rFonts w:asciiTheme="minorHAnsi" w:eastAsia="Times New Roman" w:hAnsiTheme="minorHAnsi" w:cstheme="minorHAnsi"/>
          <w:b/>
          <w:bCs/>
          <w:color w:val="auto"/>
          <w:szCs w:val="24"/>
          <w:lang w:eastAsia="en-GB"/>
        </w:rPr>
        <w:t>Tabela 72:</w:t>
      </w:r>
      <w:r w:rsidRPr="00DE693E">
        <w:rPr>
          <w:rFonts w:asciiTheme="minorHAnsi" w:eastAsia="Times New Roman" w:hAnsiTheme="minorHAnsi" w:cstheme="minorHAnsi"/>
          <w:color w:val="auto"/>
          <w:szCs w:val="24"/>
          <w:lang w:eastAsia="en-GB"/>
        </w:rPr>
        <w:t xml:space="preserve"> Sadržaj PFOS-a u protivpožarnim pjenama iz skladišnih objekata i vatrogasnih vozila vatrogasnih jedinica.</w:t>
      </w:r>
    </w:p>
    <w:p w14:paraId="3D6437AD"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73.</w:t>
      </w:r>
      <w:r w:rsidRPr="00DE693E">
        <w:rPr>
          <w:rFonts w:asciiTheme="minorHAnsi" w:eastAsia="SimSun" w:hAnsiTheme="minorHAnsi" w:cstheme="minorHAnsi"/>
          <w:color w:val="auto"/>
          <w:szCs w:val="24"/>
        </w:rPr>
        <w:t xml:space="preserve"> Količine uvezenih sintetičkih tepiha za period 2017-2023 godina i procijenjene količine PFOS-a</w:t>
      </w:r>
    </w:p>
    <w:p w14:paraId="48B8BA91"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74.</w:t>
      </w:r>
      <w:r w:rsidRPr="00DE693E">
        <w:rPr>
          <w:rFonts w:asciiTheme="minorHAnsi" w:eastAsia="SimSun" w:hAnsiTheme="minorHAnsi" w:cstheme="minorHAnsi"/>
          <w:color w:val="auto"/>
          <w:szCs w:val="24"/>
        </w:rPr>
        <w:t xml:space="preserve"> Količine uvezenog presvučenog i impregniranog papira za period 2017-2023 godina kao i procijenjene količine PFOS-a</w:t>
      </w:r>
    </w:p>
    <w:p w14:paraId="71DA3AE5"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75.</w:t>
      </w:r>
      <w:r w:rsidRPr="00DE693E">
        <w:rPr>
          <w:rFonts w:asciiTheme="minorHAnsi" w:eastAsia="SimSun" w:hAnsiTheme="minorHAnsi" w:cstheme="minorHAnsi"/>
          <w:color w:val="auto"/>
          <w:szCs w:val="24"/>
        </w:rPr>
        <w:t xml:space="preserve"> Količine uvezenog impregniranog tekstila za period 2017-2023 godina kao i procijenjene količine PFOS-a</w:t>
      </w:r>
    </w:p>
    <w:p w14:paraId="5C124472"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76.</w:t>
      </w:r>
      <w:r w:rsidRPr="00DE693E">
        <w:rPr>
          <w:rFonts w:asciiTheme="minorHAnsi" w:eastAsia="SimSun" w:hAnsiTheme="minorHAnsi" w:cstheme="minorHAnsi"/>
          <w:color w:val="auto"/>
          <w:szCs w:val="24"/>
        </w:rPr>
        <w:t xml:space="preserve"> Količine uvezene impregnirane odjeće za period 2017-2023 godina kao i procijenjene količine PFOS-a</w:t>
      </w:r>
    </w:p>
    <w:p w14:paraId="43D8C0ED"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77.</w:t>
      </w:r>
      <w:r w:rsidRPr="00DE693E">
        <w:rPr>
          <w:rFonts w:asciiTheme="minorHAnsi" w:hAnsiTheme="minorHAnsi" w:cstheme="minorHAnsi"/>
          <w:color w:val="auto"/>
          <w:szCs w:val="24"/>
        </w:rPr>
        <w:t xml:space="preserve"> Generisane količine otpada po grupama otpada za period 2017-2022 godina</w:t>
      </w:r>
    </w:p>
    <w:p w14:paraId="6D6E1312"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lastRenderedPageBreak/>
        <w:t>Tabela 78.</w:t>
      </w:r>
      <w:r w:rsidRPr="00DE693E">
        <w:rPr>
          <w:rFonts w:asciiTheme="minorHAnsi" w:hAnsiTheme="minorHAnsi" w:cstheme="minorHAnsi"/>
          <w:color w:val="auto"/>
          <w:szCs w:val="24"/>
        </w:rPr>
        <w:t xml:space="preserve"> Potencijalni sadržaj PFOS u generisanom otpadnom papiru/kartonu za period 2017-2022 godina</w:t>
      </w:r>
    </w:p>
    <w:p w14:paraId="32DE849D"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79.</w:t>
      </w:r>
      <w:r w:rsidRPr="00DE693E">
        <w:rPr>
          <w:rFonts w:asciiTheme="minorHAnsi" w:hAnsiTheme="minorHAnsi" w:cstheme="minorHAnsi"/>
          <w:color w:val="auto"/>
          <w:szCs w:val="24"/>
        </w:rPr>
        <w:t xml:space="preserve"> Potencijalni sadržaj PFOS u generisanom otpadnom tekstilu za period 2017-2022 godina </w:t>
      </w:r>
    </w:p>
    <w:p w14:paraId="1D92443E"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80.</w:t>
      </w:r>
      <w:r w:rsidRPr="00DE693E">
        <w:rPr>
          <w:rFonts w:asciiTheme="minorHAnsi" w:hAnsiTheme="minorHAnsi" w:cstheme="minorHAnsi"/>
          <w:color w:val="auto"/>
          <w:szCs w:val="24"/>
        </w:rPr>
        <w:t xml:space="preserve"> Primjena PFOA i PFHxS </w:t>
      </w:r>
    </w:p>
    <w:p w14:paraId="0F50C3C3"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81:</w:t>
      </w:r>
      <w:r w:rsidRPr="00DE693E">
        <w:rPr>
          <w:rFonts w:asciiTheme="minorHAnsi" w:hAnsiTheme="minorHAnsi" w:cstheme="minorHAnsi"/>
          <w:color w:val="auto"/>
          <w:szCs w:val="24"/>
        </w:rPr>
        <w:t xml:space="preserve"> Uvrštavanje PFOA, njegovih soli i PFOA-sličnih jedinjenja u Stokholmsku konvenciju (SC-9/12).</w:t>
      </w:r>
    </w:p>
    <w:p w14:paraId="2872BD06"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82.</w:t>
      </w:r>
      <w:r w:rsidRPr="00DE693E">
        <w:rPr>
          <w:rFonts w:asciiTheme="minorHAnsi" w:eastAsia="SimSun" w:hAnsiTheme="minorHAnsi" w:cstheme="minorHAnsi"/>
          <w:color w:val="auto"/>
          <w:szCs w:val="24"/>
        </w:rPr>
        <w:t xml:space="preserve"> Pregled vatrogasnih jedinica koje posjeduju protivpožarne pjene, njene količine u skladištu, datum proizvodnje kao i tip pjene</w:t>
      </w:r>
    </w:p>
    <w:p w14:paraId="54CA56F6" w14:textId="77777777" w:rsidR="00033AB8" w:rsidRPr="00DE693E" w:rsidRDefault="00033AB8" w:rsidP="00033AB8">
      <w:pPr>
        <w:jc w:val="both"/>
        <w:rPr>
          <w:rFonts w:asciiTheme="minorHAnsi" w:eastAsia="Times New Roman" w:hAnsiTheme="minorHAnsi" w:cstheme="minorHAnsi"/>
          <w:color w:val="auto"/>
          <w:szCs w:val="24"/>
          <w:lang w:eastAsia="en-GB"/>
        </w:rPr>
      </w:pPr>
      <w:r w:rsidRPr="00DE693E">
        <w:rPr>
          <w:rFonts w:asciiTheme="minorHAnsi" w:eastAsia="Times New Roman" w:hAnsiTheme="minorHAnsi" w:cstheme="minorHAnsi"/>
          <w:b/>
          <w:bCs/>
          <w:color w:val="auto"/>
          <w:szCs w:val="24"/>
          <w:lang w:eastAsia="en-GB"/>
        </w:rPr>
        <w:t>Tabela 83:</w:t>
      </w:r>
      <w:r w:rsidRPr="00DE693E">
        <w:rPr>
          <w:rFonts w:asciiTheme="minorHAnsi" w:eastAsia="Times New Roman" w:hAnsiTheme="minorHAnsi" w:cstheme="minorHAnsi"/>
          <w:color w:val="auto"/>
          <w:szCs w:val="24"/>
          <w:lang w:eastAsia="en-GB"/>
        </w:rPr>
        <w:t xml:space="preserve"> Rezultati prisustva PFOA i PFHxS u protivpožarnim pjenama opštinskih službi zaštite i spašavanja.</w:t>
      </w:r>
    </w:p>
    <w:p w14:paraId="7176F5A7" w14:textId="77777777" w:rsidR="00033AB8" w:rsidRPr="00DE693E" w:rsidRDefault="00033AB8" w:rsidP="00033AB8">
      <w:pPr>
        <w:jc w:val="both"/>
        <w:rPr>
          <w:rFonts w:asciiTheme="minorHAnsi" w:eastAsia="Times New Roman" w:hAnsiTheme="minorHAnsi" w:cstheme="minorHAnsi"/>
          <w:color w:val="auto"/>
          <w:szCs w:val="24"/>
          <w:lang w:eastAsia="en-GB"/>
        </w:rPr>
      </w:pPr>
      <w:r w:rsidRPr="00DE693E">
        <w:rPr>
          <w:rFonts w:asciiTheme="minorHAnsi" w:eastAsia="Times New Roman" w:hAnsiTheme="minorHAnsi" w:cstheme="minorHAnsi"/>
          <w:b/>
          <w:bCs/>
          <w:color w:val="auto"/>
          <w:szCs w:val="24"/>
          <w:lang w:eastAsia="en-GB"/>
        </w:rPr>
        <w:t>Tabela 84:</w:t>
      </w:r>
      <w:r w:rsidRPr="00DE693E">
        <w:rPr>
          <w:rFonts w:asciiTheme="minorHAnsi" w:eastAsia="Times New Roman" w:hAnsiTheme="minorHAnsi" w:cstheme="minorHAnsi"/>
          <w:color w:val="auto"/>
          <w:szCs w:val="24"/>
          <w:lang w:eastAsia="en-GB"/>
        </w:rPr>
        <w:t xml:space="preserve"> Rezultati prisustva PFOA i PFHxS u protivpožarnim pjenama specijalizovanih vatrogasnih službi (Luke, Aerodromi, Industrija).</w:t>
      </w:r>
    </w:p>
    <w:p w14:paraId="7BBB0325" w14:textId="77777777" w:rsidR="00033AB8" w:rsidRPr="00DE693E" w:rsidRDefault="00033AB8" w:rsidP="00033AB8">
      <w:pPr>
        <w:jc w:val="both"/>
        <w:rPr>
          <w:rFonts w:asciiTheme="minorHAnsi" w:eastAsia="Times New Roman" w:hAnsiTheme="minorHAnsi" w:cstheme="minorHAnsi"/>
          <w:color w:val="auto"/>
          <w:szCs w:val="24"/>
          <w:lang w:eastAsia="en-GB"/>
        </w:rPr>
      </w:pPr>
      <w:r w:rsidRPr="00DE693E">
        <w:rPr>
          <w:rFonts w:asciiTheme="minorHAnsi" w:eastAsia="Times New Roman" w:hAnsiTheme="minorHAnsi" w:cstheme="minorHAnsi"/>
          <w:b/>
          <w:bCs/>
          <w:color w:val="auto"/>
          <w:szCs w:val="24"/>
          <w:lang w:eastAsia="en-GB"/>
        </w:rPr>
        <w:t>Tabela 85:</w:t>
      </w:r>
      <w:r w:rsidRPr="00DE693E">
        <w:rPr>
          <w:rFonts w:asciiTheme="minorHAnsi" w:eastAsia="Times New Roman" w:hAnsiTheme="minorHAnsi" w:cstheme="minorHAnsi"/>
          <w:color w:val="auto"/>
          <w:szCs w:val="24"/>
          <w:lang w:eastAsia="en-GB"/>
        </w:rPr>
        <w:t xml:space="preserve"> Pregled broja analiziranih uzoraka i uzoraka sa potvrđenim prisustvom PFOA i PFHxS</w:t>
      </w:r>
    </w:p>
    <w:p w14:paraId="5074AFD5" w14:textId="77777777" w:rsidR="00033AB8" w:rsidRPr="00DE693E" w:rsidRDefault="00033AB8" w:rsidP="00033AB8">
      <w:pPr>
        <w:jc w:val="both"/>
        <w:rPr>
          <w:rFonts w:asciiTheme="minorHAnsi" w:eastAsia="Times New Roman" w:hAnsiTheme="minorHAnsi" w:cstheme="minorHAnsi"/>
          <w:color w:val="auto"/>
          <w:szCs w:val="24"/>
          <w:lang w:eastAsia="en-GB"/>
        </w:rPr>
      </w:pPr>
      <w:r w:rsidRPr="00DE693E">
        <w:rPr>
          <w:rFonts w:asciiTheme="minorHAnsi" w:eastAsia="Times New Roman" w:hAnsiTheme="minorHAnsi" w:cstheme="minorHAnsi"/>
          <w:b/>
          <w:bCs/>
          <w:color w:val="auto"/>
          <w:szCs w:val="24"/>
          <w:lang w:eastAsia="en-GB"/>
        </w:rPr>
        <w:t>Tabela 86:</w:t>
      </w:r>
      <w:r w:rsidRPr="00DE693E">
        <w:rPr>
          <w:rFonts w:asciiTheme="minorHAnsi" w:eastAsia="Times New Roman" w:hAnsiTheme="minorHAnsi" w:cstheme="minorHAnsi"/>
          <w:color w:val="auto"/>
          <w:szCs w:val="24"/>
          <w:lang w:eastAsia="en-GB"/>
        </w:rPr>
        <w:t xml:space="preserve"> Sadržaj PFOA i PFHxS u protivpožarnim pjenama iz skladišnih objekata i vatrogasnih vozila vatrogasnih jedinica.</w:t>
      </w:r>
    </w:p>
    <w:p w14:paraId="278A4EEE"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87.</w:t>
      </w:r>
      <w:r w:rsidRPr="00DE693E">
        <w:rPr>
          <w:rFonts w:asciiTheme="minorHAnsi" w:eastAsia="SimSun" w:hAnsiTheme="minorHAnsi" w:cstheme="minorHAnsi"/>
          <w:color w:val="auto"/>
          <w:szCs w:val="24"/>
        </w:rPr>
        <w:t xml:space="preserve"> Količine uvezenih sintetičkih tepiha za period 2017-2023 godina i procijenjene količine PFOA</w:t>
      </w:r>
    </w:p>
    <w:p w14:paraId="0002BE0E"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88.</w:t>
      </w:r>
      <w:r w:rsidRPr="00DE693E">
        <w:rPr>
          <w:rFonts w:asciiTheme="minorHAnsi" w:eastAsia="SimSun" w:hAnsiTheme="minorHAnsi" w:cstheme="minorHAnsi"/>
          <w:color w:val="auto"/>
          <w:szCs w:val="24"/>
        </w:rPr>
        <w:t xml:space="preserve"> Količine uvezenog presvučenog i impregniranog papira za period 2017-2023 godina kao i procijenjene količine PFOA</w:t>
      </w:r>
    </w:p>
    <w:p w14:paraId="0441DE68"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89.</w:t>
      </w:r>
      <w:r w:rsidRPr="00DE693E">
        <w:rPr>
          <w:rFonts w:asciiTheme="minorHAnsi" w:eastAsia="SimSun" w:hAnsiTheme="minorHAnsi" w:cstheme="minorHAnsi"/>
          <w:color w:val="auto"/>
          <w:szCs w:val="24"/>
        </w:rPr>
        <w:t xml:space="preserve"> Količine uvezenog impregniranog tekstila za period 2017-2023 godina kao i procijenjene količine PFOA</w:t>
      </w:r>
    </w:p>
    <w:p w14:paraId="6DFDDB8D"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90.</w:t>
      </w:r>
      <w:r w:rsidRPr="00DE693E">
        <w:rPr>
          <w:rFonts w:asciiTheme="minorHAnsi" w:eastAsia="SimSun" w:hAnsiTheme="minorHAnsi" w:cstheme="minorHAnsi"/>
          <w:color w:val="auto"/>
          <w:szCs w:val="24"/>
        </w:rPr>
        <w:t xml:space="preserve"> Količine uvezene impregnirane odjeće za period 2017-2023 godina kao i procijenjene količine PFOA</w:t>
      </w:r>
    </w:p>
    <w:p w14:paraId="3EDC987F"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91.</w:t>
      </w:r>
      <w:r w:rsidRPr="00DE693E">
        <w:rPr>
          <w:rFonts w:asciiTheme="minorHAnsi" w:eastAsia="SimSun" w:hAnsiTheme="minorHAnsi" w:cstheme="minorHAnsi"/>
          <w:color w:val="auto"/>
          <w:szCs w:val="24"/>
        </w:rPr>
        <w:t xml:space="preserve"> Količine uvezenih sintetičkih tepiha za period 2017-2023 godina i procijenjene količine PFHxS</w:t>
      </w:r>
    </w:p>
    <w:p w14:paraId="2FD30CA4"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92.</w:t>
      </w:r>
      <w:r w:rsidRPr="00DE693E">
        <w:rPr>
          <w:rFonts w:asciiTheme="minorHAnsi" w:eastAsia="SimSun" w:hAnsiTheme="minorHAnsi" w:cstheme="minorHAnsi"/>
          <w:color w:val="auto"/>
          <w:szCs w:val="24"/>
        </w:rPr>
        <w:t xml:space="preserve"> Količine uvezenog impregniranog tekstila za period 2017-2023 godina kao i procijenjene količine PFHxS</w:t>
      </w:r>
    </w:p>
    <w:p w14:paraId="4E98B483" w14:textId="77777777" w:rsidR="00033AB8" w:rsidRPr="00DE693E" w:rsidRDefault="00033AB8" w:rsidP="00033AB8">
      <w:pPr>
        <w:jc w:val="both"/>
        <w:rPr>
          <w:rFonts w:asciiTheme="minorHAnsi" w:eastAsia="SimSun" w:hAnsiTheme="minorHAnsi" w:cstheme="minorHAnsi"/>
          <w:color w:val="auto"/>
          <w:szCs w:val="24"/>
        </w:rPr>
      </w:pPr>
      <w:r w:rsidRPr="00DE693E">
        <w:rPr>
          <w:rFonts w:asciiTheme="minorHAnsi" w:eastAsia="SimSun" w:hAnsiTheme="minorHAnsi" w:cstheme="minorHAnsi"/>
          <w:b/>
          <w:bCs/>
          <w:color w:val="auto"/>
          <w:szCs w:val="24"/>
        </w:rPr>
        <w:t>Tabela 93</w:t>
      </w:r>
      <w:r w:rsidRPr="00DE693E">
        <w:rPr>
          <w:rFonts w:asciiTheme="minorHAnsi" w:eastAsia="SimSun" w:hAnsiTheme="minorHAnsi" w:cstheme="minorHAnsi"/>
          <w:color w:val="auto"/>
          <w:szCs w:val="24"/>
        </w:rPr>
        <w:t>. Količine uvezene impregnirane odjeće za period 2017-2023 godina kao i procijenjene količine PFHxS</w:t>
      </w:r>
    </w:p>
    <w:p w14:paraId="5351E3A0"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94.</w:t>
      </w:r>
      <w:r w:rsidRPr="00DE693E">
        <w:rPr>
          <w:rFonts w:asciiTheme="minorHAnsi" w:hAnsiTheme="minorHAnsi" w:cstheme="minorHAnsi"/>
          <w:color w:val="auto"/>
          <w:szCs w:val="24"/>
        </w:rPr>
        <w:t xml:space="preserve"> Generisane količine otpada po grupama otpada za period 2017-2022 godina</w:t>
      </w:r>
    </w:p>
    <w:p w14:paraId="07964965"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95.</w:t>
      </w:r>
      <w:r w:rsidRPr="00DE693E">
        <w:rPr>
          <w:rFonts w:asciiTheme="minorHAnsi" w:hAnsiTheme="minorHAnsi" w:cstheme="minorHAnsi"/>
          <w:color w:val="auto"/>
          <w:szCs w:val="24"/>
        </w:rPr>
        <w:t xml:space="preserve"> Potencijalni sadržaj PFOA u generisanom otpadnom papiru/kartonu za period 2017-2022 godina</w:t>
      </w:r>
    </w:p>
    <w:p w14:paraId="2B8A5A1F" w14:textId="77777777" w:rsidR="00033AB8" w:rsidRPr="00DE693E"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96.</w:t>
      </w:r>
      <w:r w:rsidRPr="00DE693E">
        <w:rPr>
          <w:rFonts w:asciiTheme="minorHAnsi" w:hAnsiTheme="minorHAnsi" w:cstheme="minorHAnsi"/>
          <w:color w:val="auto"/>
          <w:szCs w:val="24"/>
        </w:rPr>
        <w:t xml:space="preserve"> Potencijalni sadržaj PFOA u generisanom otpadnom tekstilu za period 2017-2022 godina</w:t>
      </w:r>
    </w:p>
    <w:p w14:paraId="75B0141A" w14:textId="77777777" w:rsidR="00033AB8" w:rsidRDefault="00033AB8" w:rsidP="00033AB8">
      <w:pPr>
        <w:jc w:val="both"/>
        <w:rPr>
          <w:rFonts w:asciiTheme="minorHAnsi" w:hAnsiTheme="minorHAnsi" w:cstheme="minorHAnsi"/>
          <w:color w:val="auto"/>
          <w:szCs w:val="24"/>
        </w:rPr>
      </w:pPr>
      <w:r w:rsidRPr="00DE693E">
        <w:rPr>
          <w:rFonts w:asciiTheme="minorHAnsi" w:hAnsiTheme="minorHAnsi" w:cstheme="minorHAnsi"/>
          <w:b/>
          <w:bCs/>
          <w:color w:val="auto"/>
          <w:szCs w:val="24"/>
        </w:rPr>
        <w:t>Tabela 97.</w:t>
      </w:r>
      <w:r w:rsidRPr="00DE693E">
        <w:rPr>
          <w:rFonts w:asciiTheme="minorHAnsi" w:hAnsiTheme="minorHAnsi" w:cstheme="minorHAnsi"/>
          <w:color w:val="auto"/>
          <w:szCs w:val="24"/>
        </w:rPr>
        <w:t xml:space="preserve"> Potencijalni sadržaj PFHxS u generisanom otpadnom tekstilu za period 2017-2022 godina</w:t>
      </w:r>
    </w:p>
    <w:p w14:paraId="7F00162A"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98.</w:t>
      </w:r>
      <w:r w:rsidRPr="00DE693E">
        <w:rPr>
          <w:rFonts w:asciiTheme="minorHAnsi" w:hAnsiTheme="minorHAnsi" w:cstheme="minorHAnsi"/>
          <w:bCs/>
          <w:szCs w:val="24"/>
        </w:rPr>
        <w:t xml:space="preserve"> Nazivi, sinonimi i CAS brojevi i odabrane karakteristike SCCP</w:t>
      </w:r>
    </w:p>
    <w:p w14:paraId="415F38AD"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99</w:t>
      </w:r>
      <w:r w:rsidRPr="00DE693E">
        <w:rPr>
          <w:rFonts w:asciiTheme="minorHAnsi" w:hAnsiTheme="minorHAnsi" w:cstheme="minorHAnsi"/>
          <w:bCs/>
          <w:szCs w:val="24"/>
        </w:rPr>
        <w:t>.</w:t>
      </w:r>
      <w:r w:rsidRPr="00DE693E">
        <w:rPr>
          <w:rFonts w:asciiTheme="minorHAnsi" w:hAnsiTheme="minorHAnsi" w:cstheme="minorHAnsi"/>
          <w:szCs w:val="24"/>
        </w:rPr>
        <w:t xml:space="preserve"> </w:t>
      </w:r>
      <w:r w:rsidRPr="00DE693E">
        <w:rPr>
          <w:rFonts w:asciiTheme="minorHAnsi" w:hAnsiTheme="minorHAnsi" w:cstheme="minorHAnsi"/>
          <w:bCs/>
          <w:szCs w:val="24"/>
        </w:rPr>
        <w:t>Lista specifičnih izuzeća SCCP</w:t>
      </w:r>
    </w:p>
    <w:p w14:paraId="7D0E2294"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100.</w:t>
      </w:r>
      <w:r w:rsidRPr="00DE693E">
        <w:rPr>
          <w:rFonts w:asciiTheme="minorHAnsi" w:hAnsiTheme="minorHAnsi" w:cstheme="minorHAnsi"/>
          <w:szCs w:val="24"/>
        </w:rPr>
        <w:t xml:space="preserve"> </w:t>
      </w:r>
      <w:r w:rsidRPr="00DE693E">
        <w:rPr>
          <w:rFonts w:asciiTheme="minorHAnsi" w:hAnsiTheme="minorHAnsi" w:cstheme="minorHAnsi"/>
          <w:bCs/>
          <w:szCs w:val="24"/>
        </w:rPr>
        <w:t>Proizvodi uvezeni iz Kine i njihovi HS kodovi</w:t>
      </w:r>
    </w:p>
    <w:p w14:paraId="225190E3"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101.</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gumenih proizvoda sa HS kodom 4008 za period 2017-2023 i procijenjene količine SCCP i MCCP</w:t>
      </w:r>
    </w:p>
    <w:p w14:paraId="2E301787"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102.</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proizvoda od gume sa HS kodom 4009 za period 2017-2023 i procijenjene količine SCCP i MCCP</w:t>
      </w:r>
    </w:p>
    <w:p w14:paraId="06035F54"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lastRenderedPageBreak/>
        <w:t>Tabela 103.</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proizvoda od gume sa HS kodom 4010 za period 2017-2023 i procijenjene količine SCCP i MCCP</w:t>
      </w:r>
    </w:p>
    <w:p w14:paraId="4A6CBF5B"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104.</w:t>
      </w:r>
      <w:r w:rsidRPr="00DE693E">
        <w:rPr>
          <w:rFonts w:asciiTheme="minorHAnsi" w:hAnsiTheme="minorHAnsi" w:cstheme="minorHAnsi"/>
          <w:bCs/>
          <w:szCs w:val="24"/>
        </w:rPr>
        <w:t xml:space="preserve"> Količine uvezenih gumenih proizvoda sa HS kodom 4015 za period 2017-2023 i procijenjene količine SCCP i MCCP</w:t>
      </w:r>
    </w:p>
    <w:p w14:paraId="48F5D57B"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105</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gumenih proizvoda sa HS kodom 4016 za period 2017-2023 i procijenjene količine SCCP i MCCP</w:t>
      </w:r>
    </w:p>
    <w:p w14:paraId="1A0BBE35" w14:textId="77777777" w:rsidR="00033AB8" w:rsidRDefault="00033AB8" w:rsidP="00033AB8">
      <w:pPr>
        <w:jc w:val="both"/>
        <w:rPr>
          <w:rFonts w:asciiTheme="minorHAnsi" w:hAnsiTheme="minorHAnsi" w:cstheme="minorHAnsi"/>
          <w:bCs/>
          <w:szCs w:val="24"/>
        </w:rPr>
      </w:pPr>
      <w:r w:rsidRPr="00DE693E">
        <w:rPr>
          <w:rFonts w:asciiTheme="minorHAnsi" w:hAnsiTheme="minorHAnsi" w:cstheme="minorHAnsi"/>
          <w:bCs/>
          <w:szCs w:val="24"/>
        </w:rPr>
        <w:t>T</w:t>
      </w:r>
      <w:r w:rsidRPr="00D85B0A">
        <w:rPr>
          <w:rFonts w:asciiTheme="minorHAnsi" w:hAnsiTheme="minorHAnsi" w:cstheme="minorHAnsi"/>
          <w:b/>
          <w:szCs w:val="24"/>
        </w:rPr>
        <w:t xml:space="preserve">abela 106. </w:t>
      </w:r>
      <w:r w:rsidRPr="00DE693E">
        <w:rPr>
          <w:rFonts w:asciiTheme="minorHAnsi" w:hAnsiTheme="minorHAnsi" w:cstheme="minorHAnsi"/>
          <w:bCs/>
          <w:szCs w:val="24"/>
        </w:rPr>
        <w:t>Količine uvezenih gumenih proizvoda sa HS kodom 3921120000 za period 2017-2023 i procijenjene količine SCCP i MCCP</w:t>
      </w:r>
    </w:p>
    <w:p w14:paraId="4F8CA7A8"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 xml:space="preserve">Tabela </w:t>
      </w:r>
      <w:r w:rsidRPr="00D85B0A">
        <w:rPr>
          <w:rFonts w:asciiTheme="minorHAnsi" w:hAnsiTheme="minorHAnsi" w:cstheme="minorHAnsi"/>
          <w:b/>
          <w:szCs w:val="24"/>
        </w:rPr>
        <w:fldChar w:fldCharType="begin"/>
      </w:r>
      <w:r w:rsidRPr="00D85B0A">
        <w:rPr>
          <w:rFonts w:asciiTheme="minorHAnsi" w:hAnsiTheme="minorHAnsi" w:cstheme="minorHAnsi"/>
          <w:b/>
          <w:szCs w:val="24"/>
        </w:rPr>
        <w:instrText xml:space="preserve"> SEQ Tabela \* ARABIC </w:instrText>
      </w:r>
      <w:r w:rsidRPr="00D85B0A">
        <w:rPr>
          <w:rFonts w:asciiTheme="minorHAnsi" w:hAnsiTheme="minorHAnsi" w:cstheme="minorHAnsi"/>
          <w:b/>
          <w:szCs w:val="24"/>
        </w:rPr>
        <w:fldChar w:fldCharType="separate"/>
      </w:r>
      <w:r w:rsidRPr="00D85B0A">
        <w:rPr>
          <w:rFonts w:asciiTheme="minorHAnsi" w:hAnsiTheme="minorHAnsi" w:cstheme="minorHAnsi"/>
          <w:b/>
          <w:noProof/>
          <w:szCs w:val="24"/>
        </w:rPr>
        <w:t>10</w:t>
      </w:r>
      <w:r w:rsidRPr="00D85B0A">
        <w:rPr>
          <w:rFonts w:asciiTheme="minorHAnsi" w:hAnsiTheme="minorHAnsi" w:cstheme="minorHAnsi"/>
          <w:b/>
          <w:szCs w:val="24"/>
        </w:rPr>
        <w:fldChar w:fldCharType="end"/>
      </w:r>
      <w:r w:rsidRPr="00D85B0A">
        <w:rPr>
          <w:rFonts w:asciiTheme="minorHAnsi" w:hAnsiTheme="minorHAnsi" w:cstheme="minorHAnsi"/>
          <w:b/>
          <w:szCs w:val="24"/>
        </w:rPr>
        <w:t>7.</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PVC proizvoda sa HS kodom 3920499000 za period 2017-2023 i procijenjene količine SCCP i MCCP</w:t>
      </w:r>
    </w:p>
    <w:p w14:paraId="6208BEE8"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108</w:t>
      </w:r>
      <w:r w:rsidRPr="00D85B0A">
        <w:rPr>
          <w:rFonts w:asciiTheme="minorHAnsi" w:hAnsiTheme="minorHAnsi" w:cstheme="minorHAnsi"/>
          <w:b/>
          <w:szCs w:val="24"/>
        </w:rPr>
        <w:fldChar w:fldCharType="begin"/>
      </w:r>
      <w:r w:rsidRPr="00D85B0A">
        <w:rPr>
          <w:rFonts w:asciiTheme="minorHAnsi" w:hAnsiTheme="minorHAnsi" w:cstheme="minorHAnsi"/>
          <w:b/>
          <w:szCs w:val="24"/>
        </w:rPr>
        <w:instrText xml:space="preserve"> SEQ Tabela \* ARABIC </w:instrText>
      </w:r>
      <w:r w:rsidRPr="00D85B0A">
        <w:rPr>
          <w:rFonts w:asciiTheme="minorHAnsi" w:hAnsiTheme="minorHAnsi" w:cstheme="minorHAnsi"/>
          <w:b/>
          <w:szCs w:val="24"/>
        </w:rPr>
        <w:fldChar w:fldCharType="end"/>
      </w:r>
      <w:r w:rsidRPr="00D85B0A">
        <w:rPr>
          <w:rFonts w:asciiTheme="minorHAnsi" w:hAnsiTheme="minorHAnsi" w:cstheme="minorHAnsi"/>
          <w:b/>
          <w:szCs w:val="24"/>
        </w:rPr>
        <w:t>.</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PVC proizvoda sa HS kodom 3920491000 za period 2017-2023. i procenjene količine SCCP i MCCP</w:t>
      </w:r>
    </w:p>
    <w:p w14:paraId="0490B32F" w14:textId="77777777" w:rsidR="00033AB8" w:rsidRDefault="00033AB8" w:rsidP="00033AB8">
      <w:pPr>
        <w:jc w:val="both"/>
        <w:rPr>
          <w:rFonts w:asciiTheme="minorHAnsi" w:hAnsiTheme="minorHAnsi" w:cstheme="minorHAnsi"/>
          <w:bCs/>
          <w:szCs w:val="24"/>
        </w:rPr>
      </w:pPr>
      <w:r w:rsidRPr="00D85B0A">
        <w:rPr>
          <w:rFonts w:asciiTheme="minorHAnsi" w:hAnsiTheme="minorHAnsi" w:cstheme="minorHAnsi"/>
          <w:b/>
          <w:szCs w:val="24"/>
        </w:rPr>
        <w:t>Tabela 109.</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PVC proizvoda sa HS kodom 3920439000 za period 2017-2023 i procenjene količine SCCP i MCCP</w:t>
      </w:r>
    </w:p>
    <w:p w14:paraId="3E36D0F1" w14:textId="77777777" w:rsidR="00033AB8" w:rsidRPr="00DE693E" w:rsidRDefault="00033AB8" w:rsidP="00033AB8">
      <w:pPr>
        <w:jc w:val="both"/>
        <w:rPr>
          <w:rFonts w:asciiTheme="minorHAnsi" w:hAnsiTheme="minorHAnsi" w:cstheme="minorHAnsi"/>
          <w:b/>
          <w:bCs/>
          <w:szCs w:val="24"/>
        </w:rPr>
      </w:pPr>
      <w:r w:rsidRPr="00D85B0A">
        <w:rPr>
          <w:rFonts w:asciiTheme="minorHAnsi" w:hAnsiTheme="minorHAnsi" w:cstheme="minorHAnsi"/>
          <w:b/>
          <w:szCs w:val="24"/>
        </w:rPr>
        <w:t>Tabela 110</w:t>
      </w:r>
      <w:r w:rsidRPr="00D85B0A">
        <w:rPr>
          <w:rFonts w:asciiTheme="minorHAnsi" w:hAnsiTheme="minorHAnsi" w:cstheme="minorHAnsi"/>
          <w:b/>
          <w:szCs w:val="24"/>
        </w:rPr>
        <w:fldChar w:fldCharType="begin"/>
      </w:r>
      <w:r w:rsidRPr="00D85B0A">
        <w:rPr>
          <w:rFonts w:asciiTheme="minorHAnsi" w:hAnsiTheme="minorHAnsi" w:cstheme="minorHAnsi"/>
          <w:b/>
          <w:szCs w:val="24"/>
        </w:rPr>
        <w:instrText xml:space="preserve"> SEQ Tabela \* ARABIC </w:instrText>
      </w:r>
      <w:r w:rsidRPr="00D85B0A">
        <w:rPr>
          <w:rFonts w:asciiTheme="minorHAnsi" w:hAnsiTheme="minorHAnsi" w:cstheme="minorHAnsi"/>
          <w:b/>
          <w:szCs w:val="24"/>
        </w:rPr>
        <w:fldChar w:fldCharType="end"/>
      </w:r>
      <w:r w:rsidRPr="00D85B0A">
        <w:rPr>
          <w:rFonts w:asciiTheme="minorHAnsi" w:hAnsiTheme="minorHAnsi" w:cstheme="minorHAnsi"/>
          <w:b/>
          <w:szCs w:val="24"/>
        </w:rPr>
        <w:t>.</w:t>
      </w:r>
      <w:r w:rsidRPr="00DE693E">
        <w:rPr>
          <w:rFonts w:asciiTheme="minorHAnsi" w:hAnsiTheme="minorHAnsi" w:cstheme="minorHAnsi"/>
          <w:szCs w:val="24"/>
        </w:rPr>
        <w:t xml:space="preserve"> </w:t>
      </w:r>
      <w:r w:rsidRPr="00DE693E">
        <w:rPr>
          <w:rFonts w:asciiTheme="minorHAnsi" w:hAnsiTheme="minorHAnsi" w:cstheme="minorHAnsi"/>
          <w:bCs/>
          <w:szCs w:val="24"/>
        </w:rPr>
        <w:t>Količine uvezenih PVC proizvoda sa HS kodom 3920431000 za period 2017-2023. i procenjene količine SCCP i MCCP</w:t>
      </w:r>
    </w:p>
    <w:p w14:paraId="57FA703C" w14:textId="77777777" w:rsidR="00033AB8" w:rsidRPr="00DE693E" w:rsidRDefault="00033AB8" w:rsidP="00033AB8">
      <w:pPr>
        <w:rPr>
          <w:rFonts w:asciiTheme="minorHAnsi" w:hAnsiTheme="minorHAnsi" w:cstheme="minorHAnsi"/>
          <w:bCs/>
          <w:szCs w:val="24"/>
        </w:rPr>
      </w:pPr>
      <w:r w:rsidRPr="00DE693E">
        <w:rPr>
          <w:rFonts w:asciiTheme="minorHAnsi" w:hAnsiTheme="minorHAnsi" w:cstheme="minorHAnsi"/>
          <w:b/>
          <w:szCs w:val="24"/>
        </w:rPr>
        <w:t xml:space="preserve">Tabela </w:t>
      </w:r>
      <w:r w:rsidRPr="00DE693E">
        <w:rPr>
          <w:rFonts w:asciiTheme="minorHAnsi" w:hAnsiTheme="minorHAnsi" w:cstheme="minorHAnsi"/>
          <w:b/>
          <w:szCs w:val="24"/>
        </w:rPr>
        <w:fldChar w:fldCharType="begin"/>
      </w:r>
      <w:r w:rsidRPr="00DE693E">
        <w:rPr>
          <w:rFonts w:asciiTheme="minorHAnsi" w:hAnsiTheme="minorHAnsi" w:cstheme="minorHAnsi"/>
          <w:b/>
          <w:szCs w:val="24"/>
        </w:rPr>
        <w:instrText xml:space="preserve"> SEQ Tabela \* ARABIC </w:instrText>
      </w:r>
      <w:r w:rsidRPr="00DE693E">
        <w:rPr>
          <w:rFonts w:asciiTheme="minorHAnsi" w:hAnsiTheme="minorHAnsi" w:cstheme="minorHAnsi"/>
          <w:b/>
          <w:szCs w:val="24"/>
        </w:rPr>
        <w:fldChar w:fldCharType="separate"/>
      </w:r>
      <w:r w:rsidRPr="00DE693E">
        <w:rPr>
          <w:rFonts w:asciiTheme="minorHAnsi" w:hAnsiTheme="minorHAnsi" w:cstheme="minorHAnsi"/>
          <w:b/>
          <w:noProof/>
          <w:szCs w:val="24"/>
        </w:rPr>
        <w:t>111</w:t>
      </w:r>
      <w:r w:rsidRPr="00DE693E">
        <w:rPr>
          <w:rFonts w:asciiTheme="minorHAnsi" w:hAnsiTheme="minorHAnsi" w:cstheme="minorHAnsi"/>
          <w:b/>
          <w:szCs w:val="24"/>
        </w:rPr>
        <w:fldChar w:fldCharType="end"/>
      </w:r>
      <w:r w:rsidRPr="00DE693E">
        <w:rPr>
          <w:rFonts w:asciiTheme="minorHAnsi" w:hAnsiTheme="minorHAnsi" w:cstheme="minorHAnsi"/>
          <w:b/>
          <w:szCs w:val="24"/>
        </w:rPr>
        <w:t>.</w:t>
      </w:r>
      <w:r w:rsidRPr="00DE693E">
        <w:rPr>
          <w:rFonts w:asciiTheme="minorHAnsi" w:hAnsiTheme="minorHAnsi" w:cstheme="minorHAnsi"/>
          <w:bCs/>
          <w:szCs w:val="24"/>
        </w:rPr>
        <w:t xml:space="preserve"> Količine uvezenih PVC proizvoda sa HS kodom 3904220000 za period 2017-2023 i procijenjene količine SCCP i MCCP</w:t>
      </w:r>
    </w:p>
    <w:p w14:paraId="3DB0A0F6" w14:textId="77777777" w:rsidR="00033AB8" w:rsidRDefault="00033AB8" w:rsidP="00033AB8">
      <w:pPr>
        <w:pStyle w:val="Caption"/>
        <w:spacing w:after="0"/>
        <w:rPr>
          <w:rFonts w:cstheme="minorHAnsi"/>
          <w:b w:val="0"/>
          <w:bCs/>
          <w:sz w:val="24"/>
          <w:szCs w:val="24"/>
        </w:rPr>
      </w:pPr>
      <w:r w:rsidRPr="00DE693E">
        <w:rPr>
          <w:rFonts w:cstheme="minorHAnsi"/>
          <w:bCs/>
          <w:sz w:val="24"/>
          <w:szCs w:val="24"/>
        </w:rPr>
        <w:t xml:space="preserve">Tabela </w:t>
      </w:r>
      <w:r w:rsidRPr="00DE693E">
        <w:rPr>
          <w:rFonts w:cstheme="minorHAnsi"/>
          <w:b w:val="0"/>
          <w:bCs/>
          <w:sz w:val="24"/>
          <w:szCs w:val="24"/>
        </w:rPr>
        <w:fldChar w:fldCharType="begin"/>
      </w:r>
      <w:r w:rsidRPr="00DE693E">
        <w:rPr>
          <w:rFonts w:cstheme="minorHAnsi"/>
          <w:bCs/>
          <w:sz w:val="24"/>
          <w:szCs w:val="24"/>
        </w:rPr>
        <w:instrText xml:space="preserve"> SEQ Tabela \* ARABIC </w:instrText>
      </w:r>
      <w:r w:rsidRPr="00DE693E">
        <w:rPr>
          <w:rFonts w:cstheme="minorHAnsi"/>
          <w:b w:val="0"/>
          <w:bCs/>
          <w:sz w:val="24"/>
          <w:szCs w:val="24"/>
        </w:rPr>
        <w:fldChar w:fldCharType="separate"/>
      </w:r>
      <w:r w:rsidRPr="00DE693E">
        <w:rPr>
          <w:rFonts w:cstheme="minorHAnsi"/>
          <w:bCs/>
          <w:noProof/>
          <w:sz w:val="24"/>
          <w:szCs w:val="24"/>
        </w:rPr>
        <w:t>1</w:t>
      </w:r>
      <w:r w:rsidRPr="00DE693E">
        <w:rPr>
          <w:rFonts w:cstheme="minorHAnsi"/>
          <w:b w:val="0"/>
          <w:bCs/>
          <w:sz w:val="24"/>
          <w:szCs w:val="24"/>
        </w:rPr>
        <w:fldChar w:fldCharType="end"/>
      </w:r>
      <w:r w:rsidRPr="00DE693E">
        <w:rPr>
          <w:rFonts w:cstheme="minorHAnsi"/>
          <w:sz w:val="24"/>
          <w:szCs w:val="24"/>
        </w:rPr>
        <w:t>12</w:t>
      </w:r>
      <w:r w:rsidRPr="00DE693E">
        <w:rPr>
          <w:rFonts w:cstheme="minorHAnsi"/>
          <w:bCs/>
          <w:sz w:val="24"/>
          <w:szCs w:val="24"/>
        </w:rPr>
        <w:t>.</w:t>
      </w:r>
      <w:r w:rsidRPr="00DE693E">
        <w:rPr>
          <w:rFonts w:cstheme="minorHAnsi"/>
          <w:sz w:val="24"/>
          <w:szCs w:val="24"/>
        </w:rPr>
        <w:t xml:space="preserve"> </w:t>
      </w:r>
      <w:r w:rsidRPr="00DE693E">
        <w:rPr>
          <w:rFonts w:cstheme="minorHAnsi"/>
          <w:b w:val="0"/>
          <w:bCs/>
          <w:sz w:val="24"/>
          <w:szCs w:val="24"/>
        </w:rPr>
        <w:t>Količine uvezenih PVC proizvoda sa HS kodom 3918101000 za period 2017-2023 i procenjene količine SCCP i MCCP</w:t>
      </w:r>
    </w:p>
    <w:p w14:paraId="3C1BDE2D" w14:textId="77777777" w:rsidR="00033AB8" w:rsidRPr="00DE693E" w:rsidRDefault="00033AB8" w:rsidP="00033AB8">
      <w:pPr>
        <w:pStyle w:val="Caption"/>
        <w:spacing w:after="0"/>
        <w:rPr>
          <w:rFonts w:cstheme="minorHAnsi"/>
          <w:sz w:val="24"/>
          <w:szCs w:val="24"/>
        </w:rPr>
      </w:pPr>
      <w:r w:rsidRPr="00DE693E">
        <w:rPr>
          <w:rFonts w:cstheme="minorHAnsi"/>
          <w:bCs/>
          <w:sz w:val="24"/>
          <w:szCs w:val="24"/>
        </w:rPr>
        <w:t>Tabela 113</w:t>
      </w:r>
      <w:r w:rsidRPr="00DE693E">
        <w:rPr>
          <w:rFonts w:cstheme="minorHAnsi"/>
          <w:b w:val="0"/>
          <w:bCs/>
          <w:sz w:val="24"/>
          <w:szCs w:val="24"/>
        </w:rPr>
        <w:fldChar w:fldCharType="begin"/>
      </w:r>
      <w:r w:rsidRPr="00DE693E">
        <w:rPr>
          <w:rFonts w:cstheme="minorHAnsi"/>
          <w:bCs/>
          <w:sz w:val="24"/>
          <w:szCs w:val="24"/>
        </w:rPr>
        <w:instrText xml:space="preserve"> SEQ Tabela \* ARABIC </w:instrText>
      </w:r>
      <w:r w:rsidRPr="00DE693E">
        <w:rPr>
          <w:rFonts w:cstheme="minorHAnsi"/>
          <w:b w:val="0"/>
          <w:bCs/>
          <w:sz w:val="24"/>
          <w:szCs w:val="24"/>
        </w:rPr>
        <w:fldChar w:fldCharType="end"/>
      </w:r>
      <w:r w:rsidRPr="00DE693E">
        <w:rPr>
          <w:rFonts w:cstheme="minorHAnsi"/>
          <w:bCs/>
          <w:sz w:val="24"/>
          <w:szCs w:val="24"/>
        </w:rPr>
        <w:t>.</w:t>
      </w:r>
      <w:r w:rsidRPr="00DE693E">
        <w:rPr>
          <w:rFonts w:cstheme="minorHAnsi"/>
          <w:sz w:val="24"/>
          <w:szCs w:val="24"/>
        </w:rPr>
        <w:t xml:space="preserve"> </w:t>
      </w:r>
      <w:r w:rsidRPr="00DE693E">
        <w:rPr>
          <w:rFonts w:cstheme="minorHAnsi"/>
          <w:b w:val="0"/>
          <w:bCs/>
          <w:sz w:val="24"/>
          <w:szCs w:val="24"/>
        </w:rPr>
        <w:t>Količine uvezenih adhezivnih PUR pjena za period 2017-2023 i procenjene količine SCCP i MCCP</w:t>
      </w:r>
    </w:p>
    <w:p w14:paraId="142731E7" w14:textId="77777777" w:rsidR="00033AB8" w:rsidRPr="00DE693E" w:rsidRDefault="00033AB8" w:rsidP="00033AB8">
      <w:pPr>
        <w:rPr>
          <w:rFonts w:asciiTheme="minorHAnsi" w:hAnsiTheme="minorHAnsi" w:cstheme="minorHAnsi"/>
          <w:color w:val="auto"/>
          <w:szCs w:val="24"/>
          <w:lang w:val="sr-Latn-ME"/>
        </w:rPr>
      </w:pPr>
      <w:r w:rsidRPr="00DE693E">
        <w:rPr>
          <w:rFonts w:asciiTheme="minorHAnsi" w:hAnsiTheme="minorHAnsi" w:cstheme="minorHAnsi"/>
          <w:b/>
          <w:bCs/>
          <w:color w:val="auto"/>
          <w:szCs w:val="24"/>
          <w:lang w:val="sr-Latn-ME"/>
        </w:rPr>
        <w:t xml:space="preserve">Tabela 114. </w:t>
      </w:r>
      <w:r w:rsidRPr="00DE693E">
        <w:rPr>
          <w:rFonts w:asciiTheme="minorHAnsi" w:hAnsiTheme="minorHAnsi" w:cstheme="minorHAnsi"/>
          <w:color w:val="auto"/>
          <w:szCs w:val="24"/>
          <w:lang w:val="sr-Latn-ME"/>
        </w:rPr>
        <w:t>Količine SCCP u otpadu od elektronske i električne opreme na osnovu predloženog faktora uticaja od 25 mg/kg</w:t>
      </w:r>
    </w:p>
    <w:p w14:paraId="3EB21E52" w14:textId="77777777" w:rsidR="00033AB8" w:rsidRPr="00DE693E" w:rsidRDefault="00033AB8" w:rsidP="00033AB8">
      <w:pPr>
        <w:rPr>
          <w:rFonts w:asciiTheme="minorHAnsi" w:hAnsiTheme="minorHAnsi" w:cstheme="minorHAnsi"/>
          <w:color w:val="auto"/>
          <w:szCs w:val="24"/>
          <w:lang w:val="sr-Latn-ME"/>
        </w:rPr>
      </w:pPr>
      <w:r w:rsidRPr="00DE693E">
        <w:rPr>
          <w:rFonts w:asciiTheme="minorHAnsi" w:hAnsiTheme="minorHAnsi" w:cstheme="minorHAnsi"/>
          <w:b/>
          <w:bCs/>
          <w:color w:val="auto"/>
          <w:szCs w:val="24"/>
          <w:lang w:val="sr-Latn-ME"/>
        </w:rPr>
        <w:t>Tabela 115</w:t>
      </w:r>
      <w:r w:rsidRPr="00DE693E">
        <w:rPr>
          <w:rFonts w:asciiTheme="minorHAnsi" w:hAnsiTheme="minorHAnsi" w:cstheme="minorHAnsi"/>
          <w:color w:val="auto"/>
          <w:szCs w:val="24"/>
          <w:lang w:val="sr-Latn-ME"/>
        </w:rPr>
        <w:t>. Količina SCCP u vozilima u upotrebi bazirano na aproksimaciji od 2,4 g po vozilu</w:t>
      </w:r>
    </w:p>
    <w:p w14:paraId="5241FA7E" w14:textId="77777777" w:rsidR="00033AB8" w:rsidRPr="00DE693E" w:rsidRDefault="00033AB8" w:rsidP="00033AB8">
      <w:pPr>
        <w:rPr>
          <w:rFonts w:asciiTheme="minorHAnsi" w:hAnsiTheme="minorHAnsi" w:cstheme="minorHAnsi"/>
          <w:color w:val="auto"/>
          <w:szCs w:val="24"/>
          <w:lang w:val="sr-Latn-ME"/>
        </w:rPr>
      </w:pPr>
      <w:r w:rsidRPr="00DE693E">
        <w:rPr>
          <w:rFonts w:asciiTheme="minorHAnsi" w:hAnsiTheme="minorHAnsi" w:cstheme="minorHAnsi"/>
          <w:b/>
          <w:bCs/>
          <w:color w:val="auto"/>
          <w:szCs w:val="24"/>
          <w:lang w:val="sr-Latn-ME"/>
        </w:rPr>
        <w:t>Tabela 116</w:t>
      </w:r>
      <w:r w:rsidRPr="00DE693E">
        <w:rPr>
          <w:rFonts w:asciiTheme="minorHAnsi" w:hAnsiTheme="minorHAnsi" w:cstheme="minorHAnsi"/>
          <w:color w:val="auto"/>
          <w:szCs w:val="24"/>
          <w:lang w:val="sr-Latn-ME"/>
        </w:rPr>
        <w:t>. Količina SCCP u uvezenim vozilima bazirano na aproksimaciji od 2,4 g po vozilu</w:t>
      </w:r>
    </w:p>
    <w:p w14:paraId="48339149" w14:textId="77777777" w:rsidR="00033AB8" w:rsidRPr="00DE693E" w:rsidRDefault="00033AB8" w:rsidP="00033AB8">
      <w:pPr>
        <w:jc w:val="both"/>
        <w:rPr>
          <w:rFonts w:asciiTheme="minorHAnsi" w:hAnsiTheme="minorHAnsi" w:cstheme="minorHAnsi"/>
          <w:szCs w:val="24"/>
        </w:rPr>
      </w:pPr>
      <w:r w:rsidRPr="00DE693E">
        <w:rPr>
          <w:rFonts w:asciiTheme="minorHAnsi" w:hAnsiTheme="minorHAnsi" w:cstheme="minorHAnsi"/>
          <w:b/>
          <w:bCs/>
          <w:szCs w:val="24"/>
        </w:rPr>
        <w:t>Tabela 117.</w:t>
      </w:r>
      <w:r w:rsidRPr="00DE693E">
        <w:rPr>
          <w:rFonts w:asciiTheme="minorHAnsi" w:hAnsiTheme="minorHAnsi" w:cstheme="minorHAnsi"/>
          <w:szCs w:val="24"/>
        </w:rPr>
        <w:t xml:space="preserve"> Sažeti rezultati za POPs – monitoring zemljišta</w:t>
      </w:r>
    </w:p>
    <w:p w14:paraId="7D596B5E" w14:textId="77777777" w:rsidR="00033AB8" w:rsidRPr="00DE693E" w:rsidRDefault="00033AB8" w:rsidP="00033AB8">
      <w:pPr>
        <w:jc w:val="both"/>
        <w:rPr>
          <w:rFonts w:asciiTheme="minorHAnsi" w:hAnsiTheme="minorHAnsi" w:cstheme="minorHAnsi"/>
          <w:szCs w:val="24"/>
        </w:rPr>
      </w:pPr>
      <w:r w:rsidRPr="00DE693E">
        <w:rPr>
          <w:rFonts w:asciiTheme="minorHAnsi" w:hAnsiTheme="minorHAnsi" w:cstheme="minorHAnsi"/>
          <w:b/>
          <w:bCs/>
          <w:szCs w:val="24"/>
        </w:rPr>
        <w:t>Tabela 118</w:t>
      </w:r>
      <w:r w:rsidRPr="00DE693E">
        <w:rPr>
          <w:rFonts w:asciiTheme="minorHAnsi" w:hAnsiTheme="minorHAnsi" w:cstheme="minorHAnsi"/>
          <w:szCs w:val="24"/>
        </w:rPr>
        <w:t>. Pregled – Monitoring POPs-a u vodi, sedimentu i bioti</w:t>
      </w:r>
    </w:p>
    <w:p w14:paraId="6A78EAC9"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 xml:space="preserve">Tabela 119. </w:t>
      </w:r>
      <w:r w:rsidRPr="00DE693E">
        <w:rPr>
          <w:rFonts w:asciiTheme="minorHAnsi" w:hAnsiTheme="minorHAnsi" w:cstheme="minorHAnsi"/>
          <w:szCs w:val="24"/>
        </w:rPr>
        <w:t>Pregled – Ekološko stanje po regionima</w:t>
      </w:r>
    </w:p>
    <w:p w14:paraId="3BD401C1" w14:textId="77777777" w:rsidR="00033AB8" w:rsidRPr="00DE693E" w:rsidRDefault="00033AB8" w:rsidP="00033AB8">
      <w:pPr>
        <w:jc w:val="both"/>
        <w:rPr>
          <w:rFonts w:asciiTheme="minorHAnsi" w:hAnsiTheme="minorHAnsi" w:cstheme="minorHAnsi"/>
          <w:b/>
          <w:bCs/>
          <w:szCs w:val="24"/>
        </w:rPr>
      </w:pPr>
      <w:r w:rsidRPr="00DE693E">
        <w:rPr>
          <w:rFonts w:asciiTheme="minorHAnsi" w:hAnsiTheme="minorHAnsi" w:cstheme="minorHAnsi"/>
          <w:b/>
          <w:bCs/>
          <w:szCs w:val="24"/>
        </w:rPr>
        <w:t xml:space="preserve">Tabela 120. </w:t>
      </w:r>
      <w:r w:rsidRPr="00DE693E">
        <w:rPr>
          <w:rFonts w:asciiTheme="minorHAnsi" w:hAnsiTheme="minorHAnsi" w:cstheme="minorHAnsi"/>
          <w:szCs w:val="24"/>
        </w:rPr>
        <w:t>Prikaz aktivnosti po supstancama i horizontalnim temama</w:t>
      </w:r>
    </w:p>
    <w:p w14:paraId="4F540FB2" w14:textId="77777777" w:rsidR="00033AB8" w:rsidRPr="00DE693E" w:rsidRDefault="00033AB8" w:rsidP="00033AB8">
      <w:pPr>
        <w:pStyle w:val="Grafikon"/>
        <w:numPr>
          <w:ilvl w:val="0"/>
          <w:numId w:val="0"/>
        </w:numPr>
        <w:spacing w:after="0"/>
        <w:jc w:val="left"/>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Grafik 1.</w:t>
      </w:r>
      <w:r w:rsidRPr="00DE693E">
        <w:rPr>
          <w:rFonts w:asciiTheme="minorHAnsi" w:hAnsiTheme="minorHAnsi" w:cstheme="minorHAnsi"/>
          <w:sz w:val="24"/>
          <w:lang w:val="sr-Latn-RS"/>
        </w:rPr>
        <w:t xml:space="preserve"> </w:t>
      </w:r>
      <w:r w:rsidRPr="00DE693E">
        <w:rPr>
          <w:rFonts w:asciiTheme="minorHAnsi" w:hAnsiTheme="minorHAnsi" w:cstheme="minorHAnsi"/>
          <w:i w:val="0"/>
          <w:iCs/>
          <w:sz w:val="24"/>
          <w:lang w:val="sr-Latn-RS"/>
        </w:rPr>
        <w:t>Ukupne godišnje emisije dioksina i furana (PCDD/PCDF), 2006-2022. godina (gTEQ)</w:t>
      </w:r>
    </w:p>
    <w:p w14:paraId="66EAFD8C" w14:textId="77777777" w:rsidR="00033AB8" w:rsidRPr="00DE693E" w:rsidRDefault="00033AB8" w:rsidP="00033AB8">
      <w:pPr>
        <w:pStyle w:val="Grafikon"/>
        <w:numPr>
          <w:ilvl w:val="0"/>
          <w:numId w:val="0"/>
        </w:numPr>
        <w:spacing w:after="0"/>
        <w:jc w:val="left"/>
        <w:rPr>
          <w:rFonts w:asciiTheme="minorHAnsi" w:hAnsiTheme="minorHAnsi" w:cstheme="minorHAnsi"/>
          <w:i w:val="0"/>
          <w:iCs/>
          <w:sz w:val="24"/>
          <w:lang w:val="sr-Latn-RS"/>
        </w:rPr>
      </w:pPr>
      <w:r w:rsidRPr="00DE693E">
        <w:rPr>
          <w:rFonts w:asciiTheme="minorHAnsi" w:hAnsiTheme="minorHAnsi" w:cstheme="minorHAnsi"/>
          <w:b/>
          <w:bCs/>
          <w:i w:val="0"/>
          <w:iCs/>
          <w:sz w:val="24"/>
          <w:lang w:val="sr-Latn-RS"/>
        </w:rPr>
        <w:t>Grafik 2.</w:t>
      </w:r>
      <w:r w:rsidRPr="00DE693E">
        <w:rPr>
          <w:rFonts w:asciiTheme="minorHAnsi" w:hAnsiTheme="minorHAnsi" w:cstheme="minorHAnsi"/>
          <w:i w:val="0"/>
          <w:iCs/>
          <w:sz w:val="24"/>
          <w:lang w:val="sr-Latn-RS"/>
        </w:rPr>
        <w:t xml:space="preserve"> Ukupne godišnje emisije dioksina i furana (PCDD/PCDF) u vazduh, vodu, zemljište, proizvode i ostatke od proizvodnih procesa, 2006-2022. godina (gTEQ/god)</w:t>
      </w:r>
    </w:p>
    <w:p w14:paraId="600DD48D" w14:textId="77777777" w:rsidR="00033AB8" w:rsidRPr="00DE693E" w:rsidRDefault="00033AB8" w:rsidP="00033AB8">
      <w:pPr>
        <w:pStyle w:val="Text"/>
        <w:tabs>
          <w:tab w:val="left" w:pos="3510"/>
        </w:tabs>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Grafik 3.</w:t>
      </w:r>
      <w:r w:rsidRPr="00DE693E">
        <w:rPr>
          <w:rFonts w:asciiTheme="minorHAnsi" w:hAnsiTheme="minorHAnsi" w:cstheme="minorHAnsi"/>
          <w:sz w:val="24"/>
          <w:szCs w:val="24"/>
        </w:rPr>
        <w:t xml:space="preserve"> Rezultati ankete o CRT TV u 2024</w:t>
      </w:r>
    </w:p>
    <w:p w14:paraId="0DA00642" w14:textId="77777777" w:rsidR="00033AB8" w:rsidRPr="00DE693E" w:rsidRDefault="00033AB8" w:rsidP="00033AB8">
      <w:pPr>
        <w:pStyle w:val="Text"/>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Grafik 4.</w:t>
      </w:r>
      <w:r w:rsidRPr="00DE693E">
        <w:rPr>
          <w:rFonts w:asciiTheme="minorHAnsi" w:hAnsiTheme="minorHAnsi" w:cstheme="minorHAnsi"/>
          <w:sz w:val="24"/>
          <w:szCs w:val="24"/>
        </w:rPr>
        <w:t xml:space="preserve"> Rezultati ankete o CRT monitorima u 2024</w:t>
      </w:r>
    </w:p>
    <w:p w14:paraId="4F1CCE12" w14:textId="77777777" w:rsidR="00033AB8" w:rsidRPr="00DE693E" w:rsidRDefault="00033AB8" w:rsidP="00033AB8">
      <w:pPr>
        <w:pStyle w:val="Text"/>
        <w:spacing w:after="0" w:line="240" w:lineRule="auto"/>
        <w:rPr>
          <w:rFonts w:asciiTheme="minorHAnsi" w:hAnsiTheme="minorHAnsi" w:cstheme="minorHAnsi"/>
          <w:b/>
          <w:bCs/>
          <w:sz w:val="24"/>
          <w:szCs w:val="24"/>
        </w:rPr>
      </w:pPr>
      <w:r w:rsidRPr="00DE693E">
        <w:rPr>
          <w:rFonts w:asciiTheme="minorHAnsi" w:hAnsiTheme="minorHAnsi" w:cstheme="minorHAnsi"/>
          <w:b/>
          <w:bCs/>
          <w:sz w:val="24"/>
          <w:szCs w:val="24"/>
        </w:rPr>
        <w:t>Grafik 5.</w:t>
      </w:r>
      <w:r w:rsidRPr="00DE693E">
        <w:rPr>
          <w:rFonts w:asciiTheme="minorHAnsi" w:hAnsiTheme="minorHAnsi" w:cstheme="minorHAnsi"/>
          <w:color w:val="auto"/>
          <w:sz w:val="24"/>
          <w:szCs w:val="24"/>
        </w:rPr>
        <w:t xml:space="preserve"> Sadržaj PBDE u CRT televizorima u upotrebi, na zalihama i u CRT monitorima</w:t>
      </w:r>
    </w:p>
    <w:p w14:paraId="1F1A55F1"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Grafik 6:</w:t>
      </w:r>
      <w:r w:rsidRPr="00DE693E">
        <w:rPr>
          <w:rFonts w:asciiTheme="minorHAnsi" w:hAnsiTheme="minorHAnsi" w:cstheme="minorHAnsi"/>
          <w:szCs w:val="24"/>
        </w:rPr>
        <w:t xml:space="preserve"> Prikaz sadržaja </w:t>
      </w:r>
      <w:r w:rsidRPr="00DE693E">
        <w:rPr>
          <w:rFonts w:asciiTheme="minorHAnsi" w:hAnsiTheme="minorHAnsi" w:cstheme="minorHAnsi"/>
          <w:szCs w:val="24"/>
          <w:lang w:val="sr-Latn-RS"/>
        </w:rPr>
        <w:t>PBDE u kg u uvezenim uređajima izuzimajući CRT uređaje</w:t>
      </w:r>
    </w:p>
    <w:p w14:paraId="505FCA61"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Grafik 7</w:t>
      </w:r>
      <w:r w:rsidRPr="00DE693E">
        <w:rPr>
          <w:rFonts w:asciiTheme="minorHAnsi" w:hAnsiTheme="minorHAnsi" w:cstheme="minorHAnsi"/>
          <w:szCs w:val="24"/>
        </w:rPr>
        <w:t>:  Sadržaj dekaBDE (kg) u otpadu EEE generisanom u periodu 2011-2023</w:t>
      </w:r>
    </w:p>
    <w:p w14:paraId="05E3BE30" w14:textId="77777777" w:rsidR="00033AB8" w:rsidRPr="00DE693E" w:rsidRDefault="00033AB8" w:rsidP="00033AB8">
      <w:pPr>
        <w:pStyle w:val="Text"/>
        <w:tabs>
          <w:tab w:val="left" w:pos="3510"/>
        </w:tabs>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Grafik 8.</w:t>
      </w:r>
      <w:r w:rsidRPr="00DE693E">
        <w:rPr>
          <w:rFonts w:asciiTheme="minorHAnsi" w:hAnsiTheme="minorHAnsi" w:cstheme="minorHAnsi"/>
          <w:sz w:val="24"/>
          <w:szCs w:val="24"/>
        </w:rPr>
        <w:t xml:space="preserve"> Grafički prikaz sadržaja PBDE (t) u putničkim automobilima u upotrebi u periodu (2017-2023)</w:t>
      </w:r>
    </w:p>
    <w:p w14:paraId="0D03EDD7" w14:textId="77777777" w:rsidR="00033AB8" w:rsidRPr="00DE693E" w:rsidRDefault="00033AB8" w:rsidP="00033AB8">
      <w:pPr>
        <w:pStyle w:val="Text"/>
        <w:tabs>
          <w:tab w:val="left" w:pos="3510"/>
        </w:tabs>
        <w:spacing w:after="0" w:line="240" w:lineRule="auto"/>
        <w:rPr>
          <w:rFonts w:asciiTheme="minorHAnsi" w:hAnsiTheme="minorHAnsi" w:cstheme="minorHAnsi"/>
          <w:b/>
          <w:bCs/>
          <w:i/>
          <w:iCs/>
          <w:sz w:val="24"/>
          <w:szCs w:val="24"/>
        </w:rPr>
      </w:pPr>
      <w:r w:rsidRPr="00DE693E">
        <w:rPr>
          <w:rFonts w:asciiTheme="minorHAnsi" w:hAnsiTheme="minorHAnsi" w:cstheme="minorHAnsi"/>
          <w:b/>
          <w:bCs/>
          <w:sz w:val="24"/>
          <w:szCs w:val="24"/>
        </w:rPr>
        <w:t>Grafik 9.</w:t>
      </w:r>
      <w:r w:rsidRPr="00DE693E">
        <w:rPr>
          <w:rFonts w:asciiTheme="minorHAnsi" w:hAnsiTheme="minorHAnsi" w:cstheme="minorHAnsi"/>
          <w:sz w:val="24"/>
          <w:szCs w:val="24"/>
        </w:rPr>
        <w:t xml:space="preserve"> Sadržaj PBDE u vozilima u periodu 2006-2023</w:t>
      </w:r>
    </w:p>
    <w:p w14:paraId="6AC7FFA2" w14:textId="77777777" w:rsidR="00033AB8" w:rsidRPr="00DE693E" w:rsidRDefault="00033AB8" w:rsidP="00033AB8">
      <w:pPr>
        <w:pStyle w:val="Text"/>
        <w:tabs>
          <w:tab w:val="left" w:pos="3510"/>
        </w:tabs>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lang w:val="it-IT"/>
        </w:rPr>
        <w:t>Grafik 10.</w:t>
      </w:r>
      <w:r w:rsidRPr="00DE693E">
        <w:rPr>
          <w:rFonts w:asciiTheme="minorHAnsi" w:hAnsiTheme="minorHAnsi" w:cstheme="minorHAnsi"/>
          <w:sz w:val="24"/>
          <w:szCs w:val="24"/>
        </w:rPr>
        <w:t xml:space="preserve"> Grafički prikaz sadržaja PBDE-a u kamionima u upotrebi u periodu 2017–2023</w:t>
      </w:r>
    </w:p>
    <w:p w14:paraId="15A6E257" w14:textId="77777777" w:rsidR="00033AB8" w:rsidRPr="00DE693E" w:rsidRDefault="00033AB8" w:rsidP="00033AB8">
      <w:pPr>
        <w:pStyle w:val="Text"/>
        <w:tabs>
          <w:tab w:val="left" w:pos="3510"/>
        </w:tabs>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lang w:val="it-IT"/>
        </w:rPr>
        <w:t>Grafik 11.</w:t>
      </w:r>
      <w:r w:rsidRPr="00DE693E">
        <w:rPr>
          <w:rFonts w:asciiTheme="minorHAnsi" w:hAnsiTheme="minorHAnsi" w:cstheme="minorHAnsi"/>
          <w:sz w:val="24"/>
          <w:szCs w:val="24"/>
        </w:rPr>
        <w:t xml:space="preserve"> Sadržaj PBDE-a u kamionima u upotrebi u periodu 2006–2023</w:t>
      </w:r>
    </w:p>
    <w:p w14:paraId="3E45DA14" w14:textId="77777777" w:rsidR="00033AB8" w:rsidRPr="00DE693E" w:rsidRDefault="00033AB8" w:rsidP="00033AB8">
      <w:pPr>
        <w:pStyle w:val="Text"/>
        <w:tabs>
          <w:tab w:val="left" w:pos="3510"/>
        </w:tabs>
        <w:spacing w:after="0" w:line="240" w:lineRule="auto"/>
        <w:rPr>
          <w:rFonts w:asciiTheme="minorHAnsi" w:hAnsiTheme="minorHAnsi" w:cstheme="minorHAnsi"/>
          <w:b/>
          <w:bCs/>
          <w:sz w:val="24"/>
          <w:szCs w:val="24"/>
        </w:rPr>
      </w:pPr>
      <w:r w:rsidRPr="00DE693E">
        <w:rPr>
          <w:rFonts w:asciiTheme="minorHAnsi" w:hAnsiTheme="minorHAnsi" w:cstheme="minorHAnsi"/>
          <w:b/>
          <w:bCs/>
          <w:sz w:val="24"/>
          <w:szCs w:val="24"/>
        </w:rPr>
        <w:t xml:space="preserve">Grafik 12. </w:t>
      </w:r>
      <w:r w:rsidRPr="00DE693E">
        <w:rPr>
          <w:rFonts w:asciiTheme="minorHAnsi" w:hAnsiTheme="minorHAnsi" w:cstheme="minorHAnsi"/>
          <w:sz w:val="24"/>
          <w:szCs w:val="24"/>
        </w:rPr>
        <w:t>Grafički prikaz količina PBDE-a u autobusima (period registracije 2017–2023)</w:t>
      </w:r>
    </w:p>
    <w:p w14:paraId="18CC0D21" w14:textId="77777777" w:rsidR="00033AB8" w:rsidRPr="00DE693E" w:rsidRDefault="00033AB8" w:rsidP="00033AB8">
      <w:pPr>
        <w:rPr>
          <w:rFonts w:asciiTheme="minorHAnsi" w:eastAsia="Arial Unicode MS" w:hAnsiTheme="minorHAnsi" w:cstheme="minorHAnsi"/>
          <w:color w:val="000000"/>
          <w:szCs w:val="24"/>
          <w:bdr w:val="none" w:sz="0" w:space="0" w:color="auto" w:frame="1"/>
          <w14:textOutline w14:w="0" w14:cap="flat" w14:cmpd="sng" w14:algn="ctr">
            <w14:noFill/>
            <w14:prstDash w14:val="solid"/>
            <w14:bevel/>
          </w14:textOutline>
        </w:rPr>
      </w:pPr>
      <w:r w:rsidRPr="00DE693E">
        <w:rPr>
          <w:rFonts w:asciiTheme="minorHAnsi" w:eastAsia="Arial Unicode MS" w:hAnsiTheme="minorHAnsi" w:cstheme="minorHAnsi"/>
          <w:b/>
          <w:bCs/>
          <w:color w:val="000000"/>
          <w:szCs w:val="24"/>
          <w:bdr w:val="none" w:sz="0" w:space="0" w:color="auto" w:frame="1"/>
          <w14:textOutline w14:w="0" w14:cap="flat" w14:cmpd="sng" w14:algn="ctr">
            <w14:noFill/>
            <w14:prstDash w14:val="solid"/>
            <w14:bevel/>
          </w14:textOutline>
        </w:rPr>
        <w:lastRenderedPageBreak/>
        <w:t xml:space="preserve">Grafik 13. </w:t>
      </w:r>
      <w:r w:rsidRPr="00DE693E">
        <w:rPr>
          <w:rFonts w:asciiTheme="minorHAnsi" w:eastAsia="Arial Unicode MS" w:hAnsiTheme="minorHAnsi" w:cstheme="minorHAnsi"/>
          <w:color w:val="000000"/>
          <w:szCs w:val="24"/>
          <w:bdr w:val="none" w:sz="0" w:space="0" w:color="auto" w:frame="1"/>
          <w14:textOutline w14:w="0" w14:cap="flat" w14:cmpd="sng" w14:algn="ctr">
            <w14:noFill/>
            <w14:prstDash w14:val="solid"/>
            <w14:bevel/>
          </w14:textOutline>
        </w:rPr>
        <w:t>Sadržaj PBDE-a u autobusima u upotrebi u periodu 2006–2023</w:t>
      </w:r>
    </w:p>
    <w:p w14:paraId="672078FD" w14:textId="77777777" w:rsidR="00033AB8" w:rsidRPr="00DE693E" w:rsidRDefault="00033AB8" w:rsidP="00033AB8">
      <w:pPr>
        <w:rPr>
          <w:rFonts w:asciiTheme="minorHAnsi" w:hAnsiTheme="minorHAnsi" w:cstheme="minorHAnsi"/>
          <w:b/>
          <w:bCs/>
          <w:szCs w:val="24"/>
        </w:rPr>
      </w:pPr>
      <w:r w:rsidRPr="00DE693E">
        <w:rPr>
          <w:rFonts w:asciiTheme="minorHAnsi" w:hAnsiTheme="minorHAnsi" w:cstheme="minorHAnsi"/>
          <w:b/>
          <w:bCs/>
          <w:szCs w:val="24"/>
        </w:rPr>
        <w:t>Grafik 14.</w:t>
      </w:r>
      <w:r w:rsidRPr="00DE693E">
        <w:rPr>
          <w:rFonts w:asciiTheme="minorHAnsi" w:hAnsiTheme="minorHAnsi" w:cstheme="minorHAnsi"/>
          <w:szCs w:val="24"/>
        </w:rPr>
        <w:t xml:space="preserve"> Komparativni prikaz PBDE po kategorijama vozila (2017–2023)</w:t>
      </w:r>
    </w:p>
    <w:p w14:paraId="63CE5F1E" w14:textId="77777777" w:rsidR="00033AB8" w:rsidRPr="00DE693E" w:rsidRDefault="00033AB8" w:rsidP="00033AB8">
      <w:pPr>
        <w:pStyle w:val="Text"/>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 xml:space="preserve">Grafik 15. </w:t>
      </w:r>
      <w:r w:rsidRPr="00DE693E">
        <w:rPr>
          <w:rFonts w:asciiTheme="minorHAnsi" w:hAnsiTheme="minorHAnsi" w:cstheme="minorHAnsi"/>
          <w:sz w:val="24"/>
          <w:szCs w:val="24"/>
        </w:rPr>
        <w:t>Grafički prikaz sadržaja PBDE u uvezenim putničkim vozilima u periodu 2017–2023</w:t>
      </w:r>
    </w:p>
    <w:p w14:paraId="7F240099" w14:textId="77777777" w:rsidR="00033AB8" w:rsidRPr="00DE693E" w:rsidRDefault="00033AB8" w:rsidP="00033AB8">
      <w:pPr>
        <w:pStyle w:val="Text"/>
        <w:tabs>
          <w:tab w:val="left" w:pos="3510"/>
        </w:tabs>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 xml:space="preserve">Grafika 16. </w:t>
      </w:r>
      <w:r w:rsidRPr="00DE693E">
        <w:rPr>
          <w:rFonts w:asciiTheme="minorHAnsi" w:hAnsiTheme="minorHAnsi" w:cstheme="minorHAnsi"/>
          <w:sz w:val="24"/>
          <w:szCs w:val="24"/>
        </w:rPr>
        <w:t>Grafički prikaz sadržaja PBDE u uvezenim autobusima</w:t>
      </w:r>
    </w:p>
    <w:p w14:paraId="2337F3B5" w14:textId="77777777" w:rsidR="00033AB8" w:rsidRPr="00DE693E" w:rsidRDefault="00033AB8" w:rsidP="00033AB8">
      <w:pPr>
        <w:pStyle w:val="Text"/>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 xml:space="preserve">Grafik 17. </w:t>
      </w:r>
      <w:r w:rsidRPr="00DE693E">
        <w:rPr>
          <w:rFonts w:asciiTheme="minorHAnsi" w:hAnsiTheme="minorHAnsi" w:cstheme="minorHAnsi"/>
          <w:sz w:val="24"/>
          <w:szCs w:val="24"/>
        </w:rPr>
        <w:t>Grafički prikaz sadržaja PBDE u uvezenim kamionima</w:t>
      </w:r>
    </w:p>
    <w:p w14:paraId="348D1FA0" w14:textId="77777777" w:rsidR="00033AB8" w:rsidRPr="00DE693E" w:rsidRDefault="00033AB8" w:rsidP="00033AB8">
      <w:pPr>
        <w:pStyle w:val="Text"/>
        <w:spacing w:after="0" w:line="240" w:lineRule="auto"/>
        <w:rPr>
          <w:rFonts w:asciiTheme="minorHAnsi" w:hAnsiTheme="minorHAnsi" w:cstheme="minorHAnsi"/>
          <w:sz w:val="24"/>
          <w:szCs w:val="24"/>
          <w:lang w:val="sr-Latn-RS"/>
        </w:rPr>
      </w:pPr>
      <w:r w:rsidRPr="00DE693E">
        <w:rPr>
          <w:rFonts w:asciiTheme="minorHAnsi" w:hAnsiTheme="minorHAnsi" w:cstheme="minorHAnsi"/>
          <w:b/>
          <w:bCs/>
          <w:sz w:val="24"/>
          <w:szCs w:val="24"/>
          <w:lang w:val="it-IT"/>
        </w:rPr>
        <w:t xml:space="preserve">Grafik 18. </w:t>
      </w:r>
      <w:r w:rsidRPr="00DE693E">
        <w:rPr>
          <w:rFonts w:asciiTheme="minorHAnsi" w:hAnsiTheme="minorHAnsi" w:cstheme="minorHAnsi"/>
          <w:sz w:val="24"/>
          <w:szCs w:val="24"/>
          <w:lang w:val="sr-Latn-RS"/>
        </w:rPr>
        <w:t>Komparativni prikaz sadržaja PBDE u različitim tipovima vozila u periodu 2017-2023</w:t>
      </w:r>
    </w:p>
    <w:p w14:paraId="250311CC" w14:textId="77777777" w:rsidR="00033AB8" w:rsidRPr="00DE693E" w:rsidRDefault="00033AB8" w:rsidP="00033AB8">
      <w:pPr>
        <w:pStyle w:val="Text"/>
        <w:spacing w:after="0" w:line="240" w:lineRule="auto"/>
        <w:rPr>
          <w:rFonts w:asciiTheme="minorHAnsi" w:hAnsiTheme="minorHAnsi" w:cstheme="minorHAnsi"/>
          <w:b/>
          <w:bCs/>
          <w:sz w:val="24"/>
          <w:szCs w:val="24"/>
        </w:rPr>
      </w:pPr>
      <w:r w:rsidRPr="00DE693E">
        <w:rPr>
          <w:rFonts w:asciiTheme="minorHAnsi" w:hAnsiTheme="minorHAnsi" w:cstheme="minorHAnsi"/>
          <w:b/>
          <w:bCs/>
          <w:sz w:val="24"/>
          <w:szCs w:val="24"/>
        </w:rPr>
        <w:t xml:space="preserve">Grafik 19. </w:t>
      </w:r>
      <w:r w:rsidRPr="00DE693E">
        <w:rPr>
          <w:rFonts w:asciiTheme="minorHAnsi" w:hAnsiTheme="minorHAnsi" w:cstheme="minorHAnsi"/>
          <w:sz w:val="24"/>
          <w:szCs w:val="24"/>
        </w:rPr>
        <w:t>Pregled sadržaja PBDE u svim kategorijama uvezenih vozila u periodu 2008–2023</w:t>
      </w:r>
    </w:p>
    <w:p w14:paraId="01CE7C54" w14:textId="77777777" w:rsidR="00033AB8" w:rsidRPr="00DE693E" w:rsidRDefault="00033AB8" w:rsidP="00033AB8">
      <w:pPr>
        <w:pStyle w:val="Text"/>
        <w:spacing w:after="0" w:line="240" w:lineRule="auto"/>
        <w:rPr>
          <w:rFonts w:asciiTheme="minorHAnsi" w:hAnsiTheme="minorHAnsi" w:cstheme="minorHAnsi"/>
          <w:sz w:val="24"/>
          <w:szCs w:val="24"/>
        </w:rPr>
      </w:pPr>
      <w:r w:rsidRPr="00DE693E">
        <w:rPr>
          <w:rFonts w:asciiTheme="minorHAnsi" w:hAnsiTheme="minorHAnsi" w:cstheme="minorHAnsi"/>
          <w:b/>
          <w:bCs/>
          <w:sz w:val="24"/>
          <w:szCs w:val="24"/>
        </w:rPr>
        <w:t xml:space="preserve">Grafik 20. </w:t>
      </w:r>
      <w:r w:rsidRPr="00DE693E">
        <w:rPr>
          <w:rFonts w:asciiTheme="minorHAnsi" w:hAnsiTheme="minorHAnsi" w:cstheme="minorHAnsi"/>
          <w:sz w:val="24"/>
          <w:szCs w:val="24"/>
        </w:rPr>
        <w:t>Grafički prikaz sadržaja dekaBDE u procijenjenoj količini vozila na kraju životnog vijeka (2017–2023)</w:t>
      </w:r>
    </w:p>
    <w:p w14:paraId="69846559" w14:textId="77777777" w:rsidR="00033AB8" w:rsidRPr="00DE693E" w:rsidRDefault="00033AB8" w:rsidP="00033AB8">
      <w:pPr>
        <w:rPr>
          <w:rFonts w:asciiTheme="minorHAnsi" w:hAnsiTheme="minorHAnsi" w:cstheme="minorHAnsi"/>
          <w:iCs/>
          <w:color w:val="000000"/>
          <w:szCs w:val="24"/>
          <w:lang w:val="sr-Latn-RS"/>
        </w:rPr>
      </w:pPr>
      <w:r w:rsidRPr="00DE693E">
        <w:rPr>
          <w:rFonts w:asciiTheme="minorHAnsi" w:hAnsiTheme="minorHAnsi" w:cstheme="minorHAnsi"/>
          <w:b/>
          <w:bCs/>
          <w:iCs/>
          <w:color w:val="000000"/>
          <w:szCs w:val="24"/>
          <w:lang w:val="sr-Latn-RS"/>
        </w:rPr>
        <w:t>Grafik 21.</w:t>
      </w:r>
      <w:r w:rsidRPr="00DE693E">
        <w:rPr>
          <w:rFonts w:asciiTheme="minorHAnsi" w:hAnsiTheme="minorHAnsi" w:cstheme="minorHAnsi"/>
          <w:iCs/>
          <w:color w:val="000000"/>
          <w:szCs w:val="24"/>
          <w:lang w:val="sr-Latn-RS"/>
        </w:rPr>
        <w:t xml:space="preserve"> Količina uvezenog granulata ekspandiranog polistirena (t) za proizvodnju izolacionih ploča u periodu 2017-2023. godina</w:t>
      </w:r>
    </w:p>
    <w:p w14:paraId="17310870"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Grafik 22.</w:t>
      </w:r>
      <w:r w:rsidRPr="00DE693E">
        <w:rPr>
          <w:rFonts w:asciiTheme="minorHAnsi" w:hAnsiTheme="minorHAnsi" w:cstheme="minorHAnsi"/>
          <w:szCs w:val="24"/>
          <w:lang w:val="sr-Latn-ME"/>
        </w:rPr>
        <w:t xml:space="preserve"> Količine uvezenih proizvoda na bazi polistirena (t) u periodu 2017-2023. godina</w:t>
      </w:r>
    </w:p>
    <w:p w14:paraId="4F1D79E4" w14:textId="77777777" w:rsidR="00033AB8" w:rsidRPr="00DE693E" w:rsidRDefault="00033AB8" w:rsidP="00033AB8">
      <w:pPr>
        <w:rPr>
          <w:rFonts w:asciiTheme="minorHAnsi" w:hAnsiTheme="minorHAnsi" w:cstheme="minorHAnsi"/>
          <w:szCs w:val="24"/>
          <w:lang w:val="sr-Latn-RS"/>
        </w:rPr>
      </w:pPr>
      <w:r w:rsidRPr="00DE693E">
        <w:rPr>
          <w:rFonts w:asciiTheme="minorHAnsi" w:hAnsiTheme="minorHAnsi" w:cstheme="minorHAnsi"/>
          <w:b/>
          <w:bCs/>
          <w:szCs w:val="24"/>
          <w:lang w:val="sr-Latn-RS"/>
        </w:rPr>
        <w:t>Grafik 23.</w:t>
      </w:r>
      <w:r w:rsidRPr="00DE693E">
        <w:rPr>
          <w:rFonts w:asciiTheme="minorHAnsi" w:hAnsiTheme="minorHAnsi" w:cstheme="minorHAnsi"/>
          <w:szCs w:val="24"/>
          <w:lang w:val="sr-Latn-RS"/>
        </w:rPr>
        <w:t xml:space="preserve"> Uporedni prikaz proizvedenih i uvezenih proizvoda na bazi polistirena (t) u periodu 2007-2023. godina</w:t>
      </w:r>
    </w:p>
    <w:p w14:paraId="38DA0B6D" w14:textId="77777777" w:rsidR="00033AB8" w:rsidRPr="00DE693E" w:rsidRDefault="00033AB8" w:rsidP="00033AB8">
      <w:pPr>
        <w:rPr>
          <w:rFonts w:asciiTheme="minorHAnsi" w:hAnsiTheme="minorHAnsi" w:cstheme="minorHAnsi"/>
          <w:szCs w:val="24"/>
          <w:lang w:val="sr-Latn-RS"/>
        </w:rPr>
      </w:pPr>
      <w:r w:rsidRPr="00DE693E">
        <w:rPr>
          <w:rFonts w:asciiTheme="minorHAnsi" w:hAnsiTheme="minorHAnsi" w:cstheme="minorHAnsi"/>
          <w:b/>
          <w:bCs/>
          <w:szCs w:val="24"/>
          <w:lang w:val="sr-Latn-RS"/>
        </w:rPr>
        <w:t>Grafik 24.</w:t>
      </w:r>
      <w:r w:rsidRPr="00DE693E">
        <w:rPr>
          <w:rFonts w:asciiTheme="minorHAnsi" w:hAnsiTheme="minorHAnsi" w:cstheme="minorHAnsi"/>
          <w:szCs w:val="24"/>
          <w:lang w:val="sr-Latn-RS"/>
        </w:rPr>
        <w:t xml:space="preserve"> Procjenjena količina HBCD u Crnoj Gori po godinama (2017-2023.)</w:t>
      </w:r>
    </w:p>
    <w:p w14:paraId="1FF52825"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Grafik 25.</w:t>
      </w:r>
      <w:r w:rsidRPr="00DE693E">
        <w:rPr>
          <w:rFonts w:asciiTheme="minorHAnsi" w:hAnsiTheme="minorHAnsi" w:cstheme="minorHAnsi"/>
          <w:szCs w:val="24"/>
          <w:lang w:val="sr-Latn-ME"/>
        </w:rPr>
        <w:t xml:space="preserve"> Prosječna godišnja količina uvezenih granulata ekspandiranog polistirena za proizvodnju izolacionih ploča (t) za periode 2007-2016 and 2017-2023 </w:t>
      </w:r>
    </w:p>
    <w:p w14:paraId="1B11DB3A"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Grafik 26.</w:t>
      </w:r>
      <w:r w:rsidRPr="00DE693E">
        <w:rPr>
          <w:rFonts w:asciiTheme="minorHAnsi" w:hAnsiTheme="minorHAnsi" w:cstheme="minorHAnsi"/>
          <w:szCs w:val="24"/>
          <w:lang w:val="sr-Latn-ME"/>
        </w:rPr>
        <w:t xml:space="preserve"> Prosječna godišnja količina uvezenih proizvoda na bazi polistirena (t) za periode 2007-2016 and 2017-2023</w:t>
      </w:r>
    </w:p>
    <w:p w14:paraId="1713F400"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Grafik 27.</w:t>
      </w:r>
      <w:r w:rsidRPr="00DE693E">
        <w:rPr>
          <w:rFonts w:asciiTheme="minorHAnsi" w:hAnsiTheme="minorHAnsi" w:cstheme="minorHAnsi"/>
          <w:szCs w:val="24"/>
          <w:lang w:val="sr-Latn-ME"/>
        </w:rPr>
        <w:t xml:space="preserve"> Procijenjena prosječna godišnja količina HBCD u Crnoj Gori (t) za periode 2007-2016. godina i 2017-2023. godina </w:t>
      </w:r>
    </w:p>
    <w:p w14:paraId="738452C1" w14:textId="77777777" w:rsidR="00033AB8" w:rsidRPr="00DE693E" w:rsidRDefault="00033AB8" w:rsidP="00033AB8">
      <w:pPr>
        <w:rPr>
          <w:rFonts w:asciiTheme="minorHAnsi" w:hAnsiTheme="minorHAnsi" w:cstheme="minorHAnsi"/>
          <w:iCs/>
          <w:szCs w:val="24"/>
          <w:lang w:val="sr-Latn-ME"/>
        </w:rPr>
      </w:pPr>
      <w:r w:rsidRPr="00DE693E">
        <w:rPr>
          <w:rFonts w:asciiTheme="minorHAnsi" w:hAnsiTheme="minorHAnsi" w:cstheme="minorHAnsi"/>
          <w:b/>
          <w:bCs/>
          <w:iCs/>
          <w:color w:val="000000"/>
          <w:szCs w:val="24"/>
          <w:lang w:val="sr-Latn-RS"/>
        </w:rPr>
        <w:t>Grafik 28.</w:t>
      </w:r>
      <w:r w:rsidRPr="00DE693E">
        <w:rPr>
          <w:rFonts w:asciiTheme="minorHAnsi" w:hAnsiTheme="minorHAnsi" w:cstheme="minorHAnsi"/>
          <w:iCs/>
          <w:color w:val="000000"/>
          <w:szCs w:val="24"/>
          <w:lang w:val="sr-Latn-RS"/>
        </w:rPr>
        <w:t xml:space="preserve"> Količine građevinskog otpada i procjenjenih količina HBCD u otpadu u Crnoj Gori </w:t>
      </w:r>
      <w:r w:rsidRPr="00DE693E">
        <w:rPr>
          <w:rFonts w:asciiTheme="minorHAnsi" w:hAnsiTheme="minorHAnsi" w:cstheme="minorHAnsi"/>
          <w:iCs/>
          <w:szCs w:val="24"/>
          <w:lang w:val="sr-Latn-ME"/>
        </w:rPr>
        <w:t xml:space="preserve">za periode 2011-2023. godina </w:t>
      </w:r>
    </w:p>
    <w:p w14:paraId="36679D24" w14:textId="77777777" w:rsidR="00033AB8" w:rsidRPr="00DE693E" w:rsidRDefault="00033AB8" w:rsidP="00033AB8">
      <w:pPr>
        <w:rPr>
          <w:rFonts w:asciiTheme="minorHAnsi" w:hAnsiTheme="minorHAnsi" w:cstheme="minorHAnsi"/>
          <w:iCs/>
          <w:szCs w:val="24"/>
          <w:lang w:val="sr-Latn-ME"/>
        </w:rPr>
      </w:pPr>
      <w:r w:rsidRPr="00DE693E">
        <w:rPr>
          <w:rFonts w:asciiTheme="minorHAnsi" w:hAnsiTheme="minorHAnsi" w:cstheme="minorHAnsi"/>
          <w:b/>
          <w:bCs/>
          <w:iCs/>
          <w:color w:val="000000"/>
          <w:szCs w:val="24"/>
          <w:lang w:val="sr-Latn-RS"/>
        </w:rPr>
        <w:t>Grafik 29.</w:t>
      </w:r>
      <w:r w:rsidRPr="00DE693E">
        <w:rPr>
          <w:rFonts w:asciiTheme="minorHAnsi" w:hAnsiTheme="minorHAnsi" w:cstheme="minorHAnsi"/>
          <w:iCs/>
          <w:color w:val="000000"/>
          <w:szCs w:val="24"/>
          <w:lang w:val="sr-Latn-RS"/>
        </w:rPr>
        <w:t xml:space="preserve"> Količine građevinskog otpada u Crnoj Gori </w:t>
      </w:r>
      <w:r w:rsidRPr="00DE693E">
        <w:rPr>
          <w:rFonts w:asciiTheme="minorHAnsi" w:hAnsiTheme="minorHAnsi" w:cstheme="minorHAnsi"/>
          <w:iCs/>
          <w:szCs w:val="24"/>
          <w:lang w:val="sr-Latn-ME"/>
        </w:rPr>
        <w:t xml:space="preserve">za period 2011-2023. godina </w:t>
      </w:r>
    </w:p>
    <w:p w14:paraId="40043EA0" w14:textId="77777777" w:rsidR="00033AB8" w:rsidRPr="00DE693E" w:rsidRDefault="00033AB8" w:rsidP="00033AB8">
      <w:pPr>
        <w:rPr>
          <w:rFonts w:asciiTheme="minorHAnsi" w:hAnsiTheme="minorHAnsi" w:cstheme="minorHAnsi"/>
          <w:iCs/>
          <w:szCs w:val="24"/>
          <w:lang w:val="sr-Latn-ME"/>
        </w:rPr>
      </w:pPr>
      <w:r w:rsidRPr="00DE693E">
        <w:rPr>
          <w:rFonts w:asciiTheme="minorHAnsi" w:hAnsiTheme="minorHAnsi" w:cstheme="minorHAnsi"/>
          <w:b/>
          <w:bCs/>
          <w:iCs/>
          <w:color w:val="000000"/>
          <w:szCs w:val="24"/>
          <w:lang w:val="sr-Latn-RS"/>
        </w:rPr>
        <w:t>Grafik 30.</w:t>
      </w:r>
      <w:r w:rsidRPr="00DE693E">
        <w:rPr>
          <w:rFonts w:asciiTheme="minorHAnsi" w:hAnsiTheme="minorHAnsi" w:cstheme="minorHAnsi"/>
          <w:iCs/>
          <w:color w:val="000000"/>
          <w:szCs w:val="24"/>
          <w:lang w:val="sr-Latn-RS"/>
        </w:rPr>
        <w:t xml:space="preserve"> Količine HBCD iz građevinskog otpada u Crnoj Gori </w:t>
      </w:r>
      <w:r w:rsidRPr="00DE693E">
        <w:rPr>
          <w:rFonts w:asciiTheme="minorHAnsi" w:hAnsiTheme="minorHAnsi" w:cstheme="minorHAnsi"/>
          <w:iCs/>
          <w:szCs w:val="24"/>
          <w:lang w:val="sr-Latn-ME"/>
        </w:rPr>
        <w:t xml:space="preserve">za period 2011-2023. godina </w:t>
      </w:r>
    </w:p>
    <w:p w14:paraId="7DE36413" w14:textId="77777777" w:rsidR="00033AB8" w:rsidRPr="00DE693E" w:rsidRDefault="00033AB8" w:rsidP="00033AB8">
      <w:pPr>
        <w:rPr>
          <w:rFonts w:asciiTheme="minorHAnsi" w:hAnsiTheme="minorHAnsi" w:cstheme="minorHAnsi"/>
          <w:iCs/>
          <w:szCs w:val="24"/>
          <w:lang w:val="sr-Latn-ME"/>
        </w:rPr>
      </w:pPr>
      <w:r w:rsidRPr="00DE693E">
        <w:rPr>
          <w:rFonts w:asciiTheme="minorHAnsi" w:hAnsiTheme="minorHAnsi" w:cstheme="minorHAnsi"/>
          <w:b/>
          <w:bCs/>
          <w:iCs/>
          <w:color w:val="000000"/>
          <w:szCs w:val="24"/>
          <w:lang w:val="sr-Latn-RS"/>
        </w:rPr>
        <w:t>Grafik 31.</w:t>
      </w:r>
      <w:r w:rsidRPr="00DE693E">
        <w:rPr>
          <w:rFonts w:asciiTheme="minorHAnsi" w:hAnsiTheme="minorHAnsi" w:cstheme="minorHAnsi"/>
          <w:iCs/>
          <w:color w:val="000000"/>
          <w:szCs w:val="24"/>
          <w:lang w:val="sr-Latn-RS"/>
        </w:rPr>
        <w:t xml:space="preserve"> Trend procjenjenih količina HBCD u otpadu u Crnoj Gori </w:t>
      </w:r>
      <w:r w:rsidRPr="00DE693E">
        <w:rPr>
          <w:rFonts w:asciiTheme="minorHAnsi" w:hAnsiTheme="minorHAnsi" w:cstheme="minorHAnsi"/>
          <w:iCs/>
          <w:szCs w:val="24"/>
          <w:lang w:val="sr-Latn-ME"/>
        </w:rPr>
        <w:t xml:space="preserve">za periode  2007-2016. godina i 2017-2023. godina </w:t>
      </w:r>
    </w:p>
    <w:p w14:paraId="178338F2"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Grafik 32.</w:t>
      </w:r>
      <w:r w:rsidRPr="00DE693E">
        <w:rPr>
          <w:rFonts w:asciiTheme="minorHAnsi" w:hAnsiTheme="minorHAnsi" w:cstheme="minorHAnsi"/>
          <w:szCs w:val="24"/>
        </w:rPr>
        <w:t xml:space="preserve"> Maksimalno procijenjena količina PFOS-a u sintetičkim tepisima iz uvoza za period 2017-2023 godina</w:t>
      </w:r>
    </w:p>
    <w:p w14:paraId="202C6220"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Grafik 33.</w:t>
      </w:r>
      <w:r w:rsidRPr="00DE693E">
        <w:rPr>
          <w:rFonts w:asciiTheme="minorHAnsi" w:hAnsiTheme="minorHAnsi" w:cstheme="minorHAnsi"/>
          <w:szCs w:val="24"/>
        </w:rPr>
        <w:t xml:space="preserve"> Maksimalno procijenjena količina PFOS-a u </w:t>
      </w:r>
      <w:r w:rsidRPr="00DE693E">
        <w:rPr>
          <w:rFonts w:asciiTheme="minorHAnsi" w:eastAsia="SimSun" w:hAnsiTheme="minorHAnsi" w:cstheme="minorHAnsi"/>
          <w:szCs w:val="24"/>
        </w:rPr>
        <w:t xml:space="preserve">presvučenom i impregniranog papiru </w:t>
      </w:r>
      <w:r w:rsidRPr="00DE693E">
        <w:rPr>
          <w:rFonts w:asciiTheme="minorHAnsi" w:hAnsiTheme="minorHAnsi" w:cstheme="minorHAnsi"/>
          <w:szCs w:val="24"/>
        </w:rPr>
        <w:t>iz uvoza za period 2017-2023 godina</w:t>
      </w:r>
    </w:p>
    <w:p w14:paraId="61BD20AB"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Grafik 34.</w:t>
      </w:r>
      <w:r w:rsidRPr="00DE693E">
        <w:rPr>
          <w:rFonts w:asciiTheme="minorHAnsi" w:hAnsiTheme="minorHAnsi" w:cstheme="minorHAnsi"/>
          <w:szCs w:val="24"/>
        </w:rPr>
        <w:t xml:space="preserve"> Maksimalno procijenjena količina PFOA u sintetičkim tepisima iz uvoza za period 2017-2023 godina</w:t>
      </w:r>
    </w:p>
    <w:p w14:paraId="2F9B1F0E" w14:textId="77777777" w:rsidR="00033AB8" w:rsidRPr="00DE693E" w:rsidRDefault="00033AB8" w:rsidP="00033AB8">
      <w:pPr>
        <w:rPr>
          <w:rFonts w:asciiTheme="minorHAnsi" w:hAnsiTheme="minorHAnsi" w:cstheme="minorHAnsi"/>
          <w:szCs w:val="24"/>
        </w:rPr>
      </w:pPr>
      <w:r w:rsidRPr="00DE693E">
        <w:rPr>
          <w:rFonts w:asciiTheme="minorHAnsi" w:hAnsiTheme="minorHAnsi" w:cstheme="minorHAnsi"/>
          <w:b/>
          <w:bCs/>
          <w:szCs w:val="24"/>
        </w:rPr>
        <w:t>Grafik 35.</w:t>
      </w:r>
      <w:r w:rsidRPr="00DE693E">
        <w:rPr>
          <w:rFonts w:asciiTheme="minorHAnsi" w:hAnsiTheme="minorHAnsi" w:cstheme="minorHAnsi"/>
          <w:szCs w:val="24"/>
        </w:rPr>
        <w:t xml:space="preserve"> Maksimalno procijenjena količina PFOA-a u </w:t>
      </w:r>
      <w:r w:rsidRPr="00DE693E">
        <w:rPr>
          <w:rFonts w:asciiTheme="minorHAnsi" w:eastAsia="SimSun" w:hAnsiTheme="minorHAnsi" w:cstheme="minorHAnsi"/>
          <w:szCs w:val="24"/>
        </w:rPr>
        <w:t xml:space="preserve">presvučenom i impregniranog papiru </w:t>
      </w:r>
      <w:r w:rsidRPr="00DE693E">
        <w:rPr>
          <w:rFonts w:asciiTheme="minorHAnsi" w:hAnsiTheme="minorHAnsi" w:cstheme="minorHAnsi"/>
          <w:szCs w:val="24"/>
        </w:rPr>
        <w:t>iz uvoza za period 2017-2023 godina</w:t>
      </w:r>
    </w:p>
    <w:p w14:paraId="6D033B3E"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36. </w:t>
      </w:r>
      <w:r w:rsidRPr="00DE693E">
        <w:rPr>
          <w:rFonts w:asciiTheme="minorHAnsi" w:hAnsiTheme="minorHAnsi" w:cstheme="minorHAnsi"/>
          <w:szCs w:val="24"/>
          <w:lang w:val="sr-Latn-ME"/>
        </w:rPr>
        <w:t>Procijenjena količina SCCP i MCCP u proizvodima sa HS kodom 4008 uvezenim u periodu 2017-2023</w:t>
      </w:r>
    </w:p>
    <w:p w14:paraId="3004AD97"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37. </w:t>
      </w:r>
      <w:r w:rsidRPr="00DE693E">
        <w:rPr>
          <w:rFonts w:asciiTheme="minorHAnsi" w:hAnsiTheme="minorHAnsi" w:cstheme="minorHAnsi"/>
          <w:szCs w:val="24"/>
          <w:lang w:val="sr-Latn-ME"/>
        </w:rPr>
        <w:t>Procijenjena količina SCCP i MCCP u proizvodima sa HS kodom 4009 uvezenim u periodu 2017-2023</w:t>
      </w:r>
    </w:p>
    <w:p w14:paraId="3E843B45" w14:textId="77777777" w:rsidR="00033AB8" w:rsidRPr="00DE693E" w:rsidRDefault="00033AB8" w:rsidP="00033AB8">
      <w:pPr>
        <w:rPr>
          <w:rFonts w:asciiTheme="minorHAnsi" w:hAnsiTheme="minorHAnsi" w:cstheme="minorHAnsi"/>
          <w:i/>
          <w:iCs/>
          <w:szCs w:val="24"/>
          <w:lang w:val="sr-Latn-ME"/>
        </w:rPr>
      </w:pPr>
      <w:r w:rsidRPr="00DE693E">
        <w:rPr>
          <w:rFonts w:asciiTheme="minorHAnsi" w:hAnsiTheme="minorHAnsi" w:cstheme="minorHAnsi"/>
          <w:b/>
          <w:bCs/>
          <w:szCs w:val="24"/>
          <w:lang w:val="sr-Latn-ME"/>
        </w:rPr>
        <w:t xml:space="preserve">Grafik 38. </w:t>
      </w:r>
      <w:r w:rsidRPr="00DE693E">
        <w:rPr>
          <w:rFonts w:asciiTheme="minorHAnsi" w:hAnsiTheme="minorHAnsi" w:cstheme="minorHAnsi"/>
          <w:szCs w:val="24"/>
          <w:lang w:val="sr-Latn-ME"/>
        </w:rPr>
        <w:t>Procijenjena količina SCCP i MCCP u proizvodima sa HS kodom 4015 uvezenim u periodu 2017-2023</w:t>
      </w:r>
    </w:p>
    <w:p w14:paraId="71E28F7E"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39. </w:t>
      </w:r>
      <w:r w:rsidRPr="00DE693E">
        <w:rPr>
          <w:rFonts w:asciiTheme="minorHAnsi" w:hAnsiTheme="minorHAnsi" w:cstheme="minorHAnsi"/>
          <w:szCs w:val="24"/>
          <w:lang w:val="sr-Latn-ME"/>
        </w:rPr>
        <w:t>Procijenjena količina SCCP i MCCP u proizvodima sa HS kodom 4016 uvezenim u periodu 2017-2023</w:t>
      </w:r>
    </w:p>
    <w:p w14:paraId="1BA7D547"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lastRenderedPageBreak/>
        <w:t xml:space="preserve">Grafik 40. </w:t>
      </w:r>
      <w:r w:rsidRPr="00DE693E">
        <w:rPr>
          <w:rFonts w:asciiTheme="minorHAnsi" w:hAnsiTheme="minorHAnsi" w:cstheme="minorHAnsi"/>
          <w:szCs w:val="24"/>
          <w:lang w:val="sr-Latn-ME"/>
        </w:rPr>
        <w:t>Procentualna raspodčela različitih kategorija gume uvezene iz Kine za period 2017-2023</w:t>
      </w:r>
    </w:p>
    <w:p w14:paraId="10ADCC0E"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41. </w:t>
      </w:r>
      <w:r w:rsidRPr="00DE693E">
        <w:rPr>
          <w:rFonts w:asciiTheme="minorHAnsi" w:hAnsiTheme="minorHAnsi" w:cstheme="minorHAnsi"/>
          <w:szCs w:val="24"/>
          <w:lang w:val="sr-Latn-ME"/>
        </w:rPr>
        <w:t>Procijenjena količina SCCP i MCCP u proizvodu sa HS kodom 3921120000 uvezenim tokom perioda 2017-2023.</w:t>
      </w:r>
    </w:p>
    <w:p w14:paraId="7679DE98"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42. </w:t>
      </w:r>
      <w:r w:rsidRPr="00DE693E">
        <w:rPr>
          <w:rFonts w:asciiTheme="minorHAnsi" w:hAnsiTheme="minorHAnsi" w:cstheme="minorHAnsi"/>
          <w:szCs w:val="24"/>
          <w:lang w:val="sr-Latn-ME"/>
        </w:rPr>
        <w:t>Procijenjena količina SCCP i MCCP u proizvodu sa HS kodom 3920499000 uvezenim tokom perioda 2017-2023</w:t>
      </w:r>
    </w:p>
    <w:p w14:paraId="3C5D5F2F"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43. </w:t>
      </w:r>
      <w:r w:rsidRPr="00DE693E">
        <w:rPr>
          <w:rFonts w:asciiTheme="minorHAnsi" w:hAnsiTheme="minorHAnsi" w:cstheme="minorHAnsi"/>
          <w:szCs w:val="24"/>
          <w:lang w:val="sr-Latn-ME"/>
        </w:rPr>
        <w:t xml:space="preserve">Procenjena količina SCCP i MCCP u proizvodu sa HS kodom 3920491000 uvezenim </w:t>
      </w:r>
      <w:bookmarkStart w:id="1" w:name="_Hlk220482053"/>
      <w:r w:rsidRPr="00DE693E">
        <w:rPr>
          <w:rFonts w:asciiTheme="minorHAnsi" w:hAnsiTheme="minorHAnsi" w:cstheme="minorHAnsi"/>
          <w:szCs w:val="24"/>
          <w:lang w:val="sr-Latn-ME"/>
        </w:rPr>
        <w:t>tokom perioda 2017-2023</w:t>
      </w:r>
    </w:p>
    <w:bookmarkEnd w:id="1"/>
    <w:p w14:paraId="6519728D"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44. </w:t>
      </w:r>
      <w:r w:rsidRPr="00DE693E">
        <w:rPr>
          <w:rFonts w:asciiTheme="minorHAnsi" w:hAnsiTheme="minorHAnsi" w:cstheme="minorHAnsi"/>
          <w:szCs w:val="24"/>
          <w:lang w:val="sr-Latn-ME"/>
        </w:rPr>
        <w:t xml:space="preserve">Procenjena količina SCCP i MCCP u proizvodu sa HS kodom </w:t>
      </w:r>
      <w:r w:rsidRPr="00DE693E">
        <w:rPr>
          <w:rFonts w:asciiTheme="minorHAnsi" w:eastAsia="Times New Roman" w:hAnsiTheme="minorHAnsi" w:cstheme="minorHAnsi"/>
          <w:szCs w:val="24"/>
          <w:lang w:val="sr-Latn-ME"/>
        </w:rPr>
        <w:t>3920439000</w:t>
      </w:r>
      <w:r w:rsidRPr="00DE693E">
        <w:rPr>
          <w:rFonts w:asciiTheme="minorHAnsi" w:hAnsiTheme="minorHAnsi" w:cstheme="minorHAnsi"/>
          <w:szCs w:val="24"/>
          <w:lang w:val="sr-Latn-ME"/>
        </w:rPr>
        <w:t xml:space="preserve"> uvezenim tokom perioda 2017-2023</w:t>
      </w:r>
    </w:p>
    <w:p w14:paraId="1C4C7B51"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45. </w:t>
      </w:r>
      <w:r w:rsidRPr="00DE693E">
        <w:rPr>
          <w:rFonts w:asciiTheme="minorHAnsi" w:hAnsiTheme="minorHAnsi" w:cstheme="minorHAnsi"/>
          <w:szCs w:val="24"/>
          <w:lang w:val="sr-Latn-ME"/>
        </w:rPr>
        <w:t xml:space="preserve">Procenjena količina SCCP i MCCP u proizvodu sa HS kodom </w:t>
      </w:r>
      <w:r w:rsidRPr="00DE693E">
        <w:rPr>
          <w:rFonts w:asciiTheme="minorHAnsi" w:eastAsia="Times New Roman" w:hAnsiTheme="minorHAnsi" w:cstheme="minorHAnsi"/>
          <w:szCs w:val="24"/>
          <w:lang w:val="sr-Latn-ME"/>
        </w:rPr>
        <w:t>3920431000</w:t>
      </w:r>
      <w:r w:rsidRPr="00DE693E">
        <w:rPr>
          <w:rFonts w:asciiTheme="minorHAnsi" w:hAnsiTheme="minorHAnsi" w:cstheme="minorHAnsi"/>
          <w:szCs w:val="24"/>
          <w:lang w:val="sr-Latn-ME"/>
        </w:rPr>
        <w:t xml:space="preserve"> uvezenim tokom perioda 2017-2023</w:t>
      </w:r>
    </w:p>
    <w:p w14:paraId="3D23A213"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46. </w:t>
      </w:r>
      <w:r w:rsidRPr="00DE693E">
        <w:rPr>
          <w:rFonts w:asciiTheme="minorHAnsi" w:hAnsiTheme="minorHAnsi" w:cstheme="minorHAnsi"/>
          <w:szCs w:val="24"/>
          <w:lang w:val="sr-Latn-ME"/>
        </w:rPr>
        <w:t xml:space="preserve">Procenjena količina SCCP i MCCP u proizvodu sa HS kodom </w:t>
      </w:r>
      <w:r w:rsidRPr="00DE693E">
        <w:rPr>
          <w:rFonts w:asciiTheme="minorHAnsi" w:eastAsia="Times New Roman" w:hAnsiTheme="minorHAnsi" w:cstheme="minorHAnsi"/>
          <w:szCs w:val="24"/>
          <w:lang w:val="sr-Latn-ME"/>
        </w:rPr>
        <w:t>3918101000</w:t>
      </w:r>
      <w:r w:rsidRPr="00DE693E">
        <w:rPr>
          <w:rFonts w:asciiTheme="minorHAnsi" w:hAnsiTheme="minorHAnsi" w:cstheme="minorHAnsi"/>
          <w:szCs w:val="24"/>
          <w:lang w:val="sr-Latn-ME"/>
        </w:rPr>
        <w:t xml:space="preserve"> uvezenim tokom perioda 2017-2023</w:t>
      </w:r>
    </w:p>
    <w:p w14:paraId="1B0D8FF7" w14:textId="77777777" w:rsidR="00033AB8" w:rsidRPr="00DE693E"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 xml:space="preserve">Grafik 47. </w:t>
      </w:r>
      <w:r w:rsidRPr="00DE693E">
        <w:rPr>
          <w:rFonts w:asciiTheme="minorHAnsi" w:hAnsiTheme="minorHAnsi" w:cstheme="minorHAnsi"/>
          <w:szCs w:val="24"/>
          <w:lang w:val="sr-Latn-ME"/>
        </w:rPr>
        <w:t>Procentualna raspodjela različitih kategorija PVC uvezenih iz Kine za period 2017-2023</w:t>
      </w:r>
    </w:p>
    <w:p w14:paraId="7258C122" w14:textId="77777777" w:rsidR="00033AB8" w:rsidRPr="00DE693E" w:rsidRDefault="00033AB8" w:rsidP="00033AB8">
      <w:pPr>
        <w:rPr>
          <w:rFonts w:asciiTheme="minorHAnsi" w:hAnsiTheme="minorHAnsi" w:cstheme="minorHAnsi"/>
          <w:i/>
          <w:iCs/>
          <w:szCs w:val="24"/>
          <w:lang w:val="sr-Latn-ME"/>
        </w:rPr>
      </w:pPr>
      <w:r w:rsidRPr="00DE693E">
        <w:rPr>
          <w:rFonts w:asciiTheme="minorHAnsi" w:hAnsiTheme="minorHAnsi" w:cstheme="minorHAnsi"/>
          <w:b/>
          <w:bCs/>
          <w:i/>
          <w:iCs/>
          <w:szCs w:val="24"/>
          <w:lang w:val="sr-Latn-ME"/>
        </w:rPr>
        <w:t xml:space="preserve">Grafik 48. </w:t>
      </w:r>
      <w:r w:rsidRPr="00DE693E">
        <w:rPr>
          <w:rFonts w:asciiTheme="minorHAnsi" w:hAnsiTheme="minorHAnsi" w:cstheme="minorHAnsi"/>
          <w:i/>
          <w:iCs/>
          <w:szCs w:val="24"/>
          <w:lang w:val="sr-Latn-ME"/>
        </w:rPr>
        <w:t>Procijenjena količina SCCPS i MCCPS u adhezivnim PUR pjenama uvezenim tokom perioda 2017-2023</w:t>
      </w:r>
    </w:p>
    <w:p w14:paraId="51F61D5A" w14:textId="77777777" w:rsidR="00033AB8" w:rsidRDefault="00033AB8" w:rsidP="00033AB8">
      <w:pPr>
        <w:rPr>
          <w:rFonts w:asciiTheme="minorHAnsi" w:hAnsiTheme="minorHAnsi" w:cstheme="minorHAnsi"/>
          <w:szCs w:val="24"/>
          <w:lang w:val="sr-Latn-ME"/>
        </w:rPr>
      </w:pPr>
      <w:r w:rsidRPr="00DE693E">
        <w:rPr>
          <w:rFonts w:asciiTheme="minorHAnsi" w:hAnsiTheme="minorHAnsi" w:cstheme="minorHAnsi"/>
          <w:b/>
          <w:bCs/>
          <w:szCs w:val="24"/>
          <w:lang w:val="sr-Latn-ME"/>
        </w:rPr>
        <w:t>Grafik 49</w:t>
      </w:r>
      <w:r w:rsidRPr="00DE693E">
        <w:rPr>
          <w:rFonts w:asciiTheme="minorHAnsi" w:hAnsiTheme="minorHAnsi" w:cstheme="minorHAnsi"/>
          <w:b/>
          <w:bCs/>
          <w:i/>
          <w:iCs/>
          <w:szCs w:val="24"/>
          <w:lang w:val="sr-Latn-ME"/>
        </w:rPr>
        <w:t>.</w:t>
      </w:r>
      <w:r w:rsidRPr="00DE693E">
        <w:rPr>
          <w:rFonts w:asciiTheme="minorHAnsi" w:hAnsiTheme="minorHAnsi" w:cstheme="minorHAnsi"/>
          <w:szCs w:val="24"/>
          <w:lang w:val="sr-Latn-ME"/>
        </w:rPr>
        <w:t xml:space="preserve"> Količine SCCP (kg) za period 2012-2023</w:t>
      </w:r>
    </w:p>
    <w:p w14:paraId="0929EAD0" w14:textId="77777777" w:rsidR="00033AB8" w:rsidRPr="00DE693E" w:rsidRDefault="00033AB8" w:rsidP="00033AB8">
      <w:pPr>
        <w:rPr>
          <w:rFonts w:asciiTheme="minorHAnsi" w:hAnsiTheme="minorHAnsi" w:cstheme="minorHAnsi"/>
          <w:szCs w:val="24"/>
          <w:lang w:val="sr-Latn-ME"/>
        </w:rPr>
      </w:pPr>
    </w:p>
    <w:p w14:paraId="5FB3B1A8" w14:textId="079409BE" w:rsidR="00033AB8" w:rsidRDefault="00033AB8" w:rsidP="002B19B1">
      <w:pPr>
        <w:jc w:val="both"/>
        <w:rPr>
          <w:rFonts w:asciiTheme="minorHAnsi" w:hAnsiTheme="minorHAnsi" w:cstheme="minorHAnsi"/>
          <w:b/>
          <w:bCs/>
          <w:color w:val="4472C4" w:themeColor="accent1"/>
          <w:szCs w:val="24"/>
        </w:rPr>
      </w:pPr>
      <w:r>
        <w:rPr>
          <w:rFonts w:asciiTheme="minorHAnsi" w:hAnsiTheme="minorHAnsi" w:cstheme="minorHAnsi"/>
          <w:b/>
          <w:bCs/>
          <w:color w:val="4472C4" w:themeColor="accent1"/>
          <w:szCs w:val="24"/>
        </w:rPr>
        <w:t>LISTA SKRAĆENICA</w:t>
      </w:r>
    </w:p>
    <w:tbl>
      <w:tblPr>
        <w:tblW w:w="9360" w:type="dxa"/>
        <w:tblLook w:val="04A0" w:firstRow="1" w:lastRow="0" w:firstColumn="1" w:lastColumn="0" w:noHBand="0" w:noVBand="1"/>
      </w:tblPr>
      <w:tblGrid>
        <w:gridCol w:w="9360"/>
      </w:tblGrid>
      <w:tr w:rsidR="00E90B7F" w:rsidRPr="00565E60" w14:paraId="7AA35070" w14:textId="77777777" w:rsidTr="009756DA">
        <w:trPr>
          <w:trHeight w:val="312"/>
        </w:trPr>
        <w:tc>
          <w:tcPr>
            <w:tcW w:w="9360" w:type="dxa"/>
            <w:tcBorders>
              <w:top w:val="nil"/>
              <w:left w:val="nil"/>
              <w:bottom w:val="nil"/>
              <w:right w:val="nil"/>
            </w:tcBorders>
            <w:noWrap/>
            <w:vAlign w:val="center"/>
            <w:hideMark/>
          </w:tcPr>
          <w:p w14:paraId="379217AE"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BAT (Best Available Techniques) – najbolje dostupne tehnike</w:t>
            </w:r>
          </w:p>
        </w:tc>
      </w:tr>
      <w:tr w:rsidR="00E90B7F" w:rsidRPr="00565E60" w14:paraId="6DBB0BFC" w14:textId="77777777" w:rsidTr="009756DA">
        <w:trPr>
          <w:trHeight w:val="312"/>
        </w:trPr>
        <w:tc>
          <w:tcPr>
            <w:tcW w:w="9360" w:type="dxa"/>
            <w:tcBorders>
              <w:top w:val="nil"/>
              <w:left w:val="nil"/>
              <w:bottom w:val="nil"/>
              <w:right w:val="nil"/>
            </w:tcBorders>
            <w:noWrap/>
            <w:vAlign w:val="center"/>
            <w:hideMark/>
          </w:tcPr>
          <w:p w14:paraId="6651DDE8"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BDP - bruto domaći proizod</w:t>
            </w:r>
          </w:p>
        </w:tc>
      </w:tr>
      <w:tr w:rsidR="00E90B7F" w:rsidRPr="00565E60" w14:paraId="74AA6991" w14:textId="77777777" w:rsidTr="009756DA">
        <w:trPr>
          <w:trHeight w:val="312"/>
        </w:trPr>
        <w:tc>
          <w:tcPr>
            <w:tcW w:w="9360" w:type="dxa"/>
            <w:tcBorders>
              <w:top w:val="nil"/>
              <w:left w:val="nil"/>
              <w:bottom w:val="nil"/>
              <w:right w:val="nil"/>
            </w:tcBorders>
            <w:noWrap/>
            <w:vAlign w:val="center"/>
            <w:hideMark/>
          </w:tcPr>
          <w:p w14:paraId="3BC7A24E"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BPR (Biocidal Products Regulation)- Uredba (EC) 528/2012 o biocidnim proizvodima</w:t>
            </w:r>
          </w:p>
        </w:tc>
      </w:tr>
      <w:tr w:rsidR="00E90B7F" w:rsidRPr="00565E60" w14:paraId="5DF3357B" w14:textId="77777777" w:rsidTr="009756DA">
        <w:trPr>
          <w:trHeight w:val="312"/>
        </w:trPr>
        <w:tc>
          <w:tcPr>
            <w:tcW w:w="9360" w:type="dxa"/>
            <w:tcBorders>
              <w:top w:val="nil"/>
              <w:left w:val="nil"/>
              <w:bottom w:val="nil"/>
              <w:right w:val="nil"/>
            </w:tcBorders>
            <w:noWrap/>
            <w:vAlign w:val="center"/>
            <w:hideMark/>
          </w:tcPr>
          <w:p w14:paraId="48A0DAB5"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CETI - DOO Centar za ekotoksikološka ispitivanja</w:t>
            </w:r>
          </w:p>
        </w:tc>
      </w:tr>
      <w:tr w:rsidR="00E90B7F" w:rsidRPr="00565E60" w14:paraId="7BA798C8" w14:textId="77777777" w:rsidTr="009756DA">
        <w:trPr>
          <w:trHeight w:val="312"/>
        </w:trPr>
        <w:tc>
          <w:tcPr>
            <w:tcW w:w="9360" w:type="dxa"/>
            <w:tcBorders>
              <w:top w:val="nil"/>
              <w:left w:val="nil"/>
              <w:bottom w:val="nil"/>
              <w:right w:val="nil"/>
            </w:tcBorders>
            <w:noWrap/>
            <w:vAlign w:val="center"/>
            <w:hideMark/>
          </w:tcPr>
          <w:p w14:paraId="5657A6D2"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DDT (Dichlorodiphenyltrichloroethane) – dihlordifeniltrihloretan</w:t>
            </w:r>
          </w:p>
        </w:tc>
      </w:tr>
      <w:tr w:rsidR="00E90B7F" w:rsidRPr="00565E60" w14:paraId="14541A81" w14:textId="77777777" w:rsidTr="009756DA">
        <w:trPr>
          <w:trHeight w:val="312"/>
        </w:trPr>
        <w:tc>
          <w:tcPr>
            <w:tcW w:w="9360" w:type="dxa"/>
            <w:tcBorders>
              <w:top w:val="nil"/>
              <w:left w:val="nil"/>
              <w:bottom w:val="nil"/>
              <w:right w:val="nil"/>
            </w:tcBorders>
            <w:noWrap/>
            <w:vAlign w:val="center"/>
            <w:hideMark/>
          </w:tcPr>
          <w:p w14:paraId="679D3055"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DecaBDE (Decabromodiphenyl ether) – dekabromodifenil etar</w:t>
            </w:r>
          </w:p>
        </w:tc>
      </w:tr>
      <w:tr w:rsidR="00E90B7F" w:rsidRPr="00565E60" w14:paraId="28A8DE7B" w14:textId="77777777" w:rsidTr="009756DA">
        <w:trPr>
          <w:trHeight w:val="312"/>
        </w:trPr>
        <w:tc>
          <w:tcPr>
            <w:tcW w:w="9360" w:type="dxa"/>
            <w:tcBorders>
              <w:top w:val="nil"/>
              <w:left w:val="nil"/>
              <w:bottom w:val="nil"/>
              <w:right w:val="nil"/>
            </w:tcBorders>
            <w:noWrap/>
            <w:vAlign w:val="center"/>
            <w:hideMark/>
          </w:tcPr>
          <w:p w14:paraId="7989705F"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DP (Dechlorane Plus) – dehloran plus</w:t>
            </w:r>
          </w:p>
        </w:tc>
      </w:tr>
      <w:tr w:rsidR="00E90B7F" w:rsidRPr="00565E60" w14:paraId="5082CC34" w14:textId="77777777" w:rsidTr="009756DA">
        <w:trPr>
          <w:trHeight w:val="312"/>
        </w:trPr>
        <w:tc>
          <w:tcPr>
            <w:tcW w:w="9360" w:type="dxa"/>
            <w:tcBorders>
              <w:top w:val="nil"/>
              <w:left w:val="nil"/>
              <w:bottom w:val="nil"/>
              <w:right w:val="nil"/>
            </w:tcBorders>
            <w:noWrap/>
            <w:vAlign w:val="center"/>
            <w:hideMark/>
          </w:tcPr>
          <w:p w14:paraId="716BD2CC"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ECHA (European Chemicals Agency) - Evropska agencija za hemikalije</w:t>
            </w:r>
          </w:p>
        </w:tc>
      </w:tr>
      <w:tr w:rsidR="00E90B7F" w:rsidRPr="00565E60" w14:paraId="7BC7A931" w14:textId="77777777" w:rsidTr="009756DA">
        <w:trPr>
          <w:trHeight w:val="312"/>
        </w:trPr>
        <w:tc>
          <w:tcPr>
            <w:tcW w:w="9360" w:type="dxa"/>
            <w:tcBorders>
              <w:top w:val="nil"/>
              <w:left w:val="nil"/>
              <w:bottom w:val="nil"/>
              <w:right w:val="nil"/>
            </w:tcBorders>
            <w:noWrap/>
            <w:vAlign w:val="center"/>
            <w:hideMark/>
          </w:tcPr>
          <w:p w14:paraId="44E0B68A"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EU – Evropska Unija</w:t>
            </w:r>
          </w:p>
        </w:tc>
      </w:tr>
      <w:tr w:rsidR="00E90B7F" w:rsidRPr="00565E60" w14:paraId="22B97BC1" w14:textId="77777777" w:rsidTr="009756DA">
        <w:trPr>
          <w:trHeight w:val="312"/>
        </w:trPr>
        <w:tc>
          <w:tcPr>
            <w:tcW w:w="9360" w:type="dxa"/>
            <w:tcBorders>
              <w:top w:val="nil"/>
              <w:left w:val="nil"/>
              <w:bottom w:val="nil"/>
              <w:right w:val="nil"/>
            </w:tcBorders>
            <w:noWrap/>
            <w:vAlign w:val="center"/>
            <w:hideMark/>
          </w:tcPr>
          <w:p w14:paraId="35B2AD92"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GEF (Global Environmental Fund)-Globalni fond za životnu sredinu</w:t>
            </w:r>
          </w:p>
        </w:tc>
      </w:tr>
      <w:tr w:rsidR="00E90B7F" w:rsidRPr="00565E60" w14:paraId="210494BE" w14:textId="77777777" w:rsidTr="009756DA">
        <w:trPr>
          <w:trHeight w:val="312"/>
        </w:trPr>
        <w:tc>
          <w:tcPr>
            <w:tcW w:w="9360" w:type="dxa"/>
            <w:tcBorders>
              <w:top w:val="nil"/>
              <w:left w:val="nil"/>
              <w:bottom w:val="nil"/>
              <w:right w:val="nil"/>
            </w:tcBorders>
            <w:noWrap/>
            <w:vAlign w:val="center"/>
            <w:hideMark/>
          </w:tcPr>
          <w:p w14:paraId="40CD5A0E"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HBB (Hexabromobiphenyl) – heksabromobifenil</w:t>
            </w:r>
          </w:p>
        </w:tc>
      </w:tr>
      <w:tr w:rsidR="00E90B7F" w:rsidRPr="00565E60" w14:paraId="52A6AB92" w14:textId="77777777" w:rsidTr="009756DA">
        <w:trPr>
          <w:trHeight w:val="312"/>
        </w:trPr>
        <w:tc>
          <w:tcPr>
            <w:tcW w:w="9360" w:type="dxa"/>
            <w:tcBorders>
              <w:top w:val="nil"/>
              <w:left w:val="nil"/>
              <w:bottom w:val="nil"/>
              <w:right w:val="nil"/>
            </w:tcBorders>
            <w:noWrap/>
            <w:vAlign w:val="center"/>
            <w:hideMark/>
          </w:tcPr>
          <w:p w14:paraId="47CB05B4"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HBCDD (Hexabromocyclododecane) – heksabromociklododekan</w:t>
            </w:r>
          </w:p>
        </w:tc>
      </w:tr>
      <w:tr w:rsidR="00E90B7F" w:rsidRPr="00565E60" w14:paraId="27E4977C" w14:textId="77777777" w:rsidTr="009756DA">
        <w:trPr>
          <w:trHeight w:val="312"/>
        </w:trPr>
        <w:tc>
          <w:tcPr>
            <w:tcW w:w="9360" w:type="dxa"/>
            <w:tcBorders>
              <w:top w:val="nil"/>
              <w:left w:val="nil"/>
              <w:bottom w:val="nil"/>
              <w:right w:val="nil"/>
            </w:tcBorders>
            <w:noWrap/>
            <w:vAlign w:val="center"/>
            <w:hideMark/>
          </w:tcPr>
          <w:p w14:paraId="5F10F06E"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HCB (Hexachlorobenzene) – heksahlorbenzen</w:t>
            </w:r>
          </w:p>
        </w:tc>
      </w:tr>
      <w:tr w:rsidR="00E90B7F" w:rsidRPr="00565E60" w14:paraId="5CE69207" w14:textId="77777777" w:rsidTr="009756DA">
        <w:trPr>
          <w:trHeight w:val="312"/>
        </w:trPr>
        <w:tc>
          <w:tcPr>
            <w:tcW w:w="9360" w:type="dxa"/>
            <w:tcBorders>
              <w:top w:val="nil"/>
              <w:left w:val="nil"/>
              <w:bottom w:val="nil"/>
              <w:right w:val="nil"/>
            </w:tcBorders>
            <w:noWrap/>
            <w:vAlign w:val="center"/>
            <w:hideMark/>
          </w:tcPr>
          <w:p w14:paraId="07943CA1"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HCBD (Hexachlorobutadiene) – heksahlorbutadien</w:t>
            </w:r>
          </w:p>
        </w:tc>
      </w:tr>
      <w:tr w:rsidR="00E90B7F" w:rsidRPr="00565E60" w14:paraId="18219126" w14:textId="77777777" w:rsidTr="009756DA">
        <w:trPr>
          <w:trHeight w:val="312"/>
        </w:trPr>
        <w:tc>
          <w:tcPr>
            <w:tcW w:w="9360" w:type="dxa"/>
            <w:tcBorders>
              <w:top w:val="nil"/>
              <w:left w:val="nil"/>
              <w:bottom w:val="nil"/>
              <w:right w:val="nil"/>
            </w:tcBorders>
            <w:noWrap/>
            <w:vAlign w:val="center"/>
            <w:hideMark/>
          </w:tcPr>
          <w:p w14:paraId="147CF076"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HCH-α (Alpha-hexachlorocyclohexane) – alfa-heksahlorcikloheksan</w:t>
            </w:r>
          </w:p>
        </w:tc>
      </w:tr>
      <w:tr w:rsidR="00E90B7F" w:rsidRPr="00565E60" w14:paraId="147CCDB8" w14:textId="77777777" w:rsidTr="009756DA">
        <w:trPr>
          <w:trHeight w:val="312"/>
        </w:trPr>
        <w:tc>
          <w:tcPr>
            <w:tcW w:w="9360" w:type="dxa"/>
            <w:tcBorders>
              <w:top w:val="nil"/>
              <w:left w:val="nil"/>
              <w:bottom w:val="nil"/>
              <w:right w:val="nil"/>
            </w:tcBorders>
            <w:noWrap/>
            <w:vAlign w:val="center"/>
            <w:hideMark/>
          </w:tcPr>
          <w:p w14:paraId="5ACA0DB5"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HCH-β (Beta-hexachlorocyclohexane) – beta-heksahlorcikloheksan</w:t>
            </w:r>
          </w:p>
        </w:tc>
      </w:tr>
      <w:tr w:rsidR="00E90B7F" w:rsidRPr="00565E60" w14:paraId="2290BAA4" w14:textId="77777777" w:rsidTr="009756DA">
        <w:trPr>
          <w:trHeight w:val="312"/>
        </w:trPr>
        <w:tc>
          <w:tcPr>
            <w:tcW w:w="9360" w:type="dxa"/>
            <w:tcBorders>
              <w:top w:val="nil"/>
              <w:left w:val="nil"/>
              <w:bottom w:val="nil"/>
              <w:right w:val="nil"/>
            </w:tcBorders>
            <w:noWrap/>
            <w:vAlign w:val="center"/>
            <w:hideMark/>
          </w:tcPr>
          <w:p w14:paraId="12ECD414"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HexaBDE / HeptaBDE – heksa- i heptabromodifenil etri</w:t>
            </w:r>
          </w:p>
        </w:tc>
      </w:tr>
      <w:tr w:rsidR="00E90B7F" w:rsidRPr="00565E60" w14:paraId="446DD05E" w14:textId="77777777" w:rsidTr="009756DA">
        <w:trPr>
          <w:trHeight w:val="312"/>
        </w:trPr>
        <w:tc>
          <w:tcPr>
            <w:tcW w:w="9360" w:type="dxa"/>
            <w:tcBorders>
              <w:top w:val="nil"/>
              <w:left w:val="nil"/>
              <w:bottom w:val="nil"/>
              <w:right w:val="nil"/>
            </w:tcBorders>
            <w:noWrap/>
            <w:vAlign w:val="center"/>
            <w:hideMark/>
          </w:tcPr>
          <w:p w14:paraId="2554E1F9"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ICCM (International Conference on Chemical Management)- Međunarodna konferencija o upravljanju hemikalijama</w:t>
            </w:r>
          </w:p>
        </w:tc>
      </w:tr>
      <w:tr w:rsidR="00E90B7F" w:rsidRPr="00565E60" w14:paraId="716BB100" w14:textId="77777777" w:rsidTr="009756DA">
        <w:trPr>
          <w:trHeight w:val="312"/>
        </w:trPr>
        <w:tc>
          <w:tcPr>
            <w:tcW w:w="9360" w:type="dxa"/>
            <w:tcBorders>
              <w:top w:val="nil"/>
              <w:left w:val="nil"/>
              <w:bottom w:val="nil"/>
              <w:right w:val="nil"/>
            </w:tcBorders>
            <w:noWrap/>
            <w:vAlign w:val="center"/>
            <w:hideMark/>
          </w:tcPr>
          <w:p w14:paraId="43DF87DB"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IJZCG – Institut za javno zdravlje Crne Gore</w:t>
            </w:r>
          </w:p>
        </w:tc>
      </w:tr>
      <w:tr w:rsidR="00E90B7F" w:rsidRPr="00565E60" w14:paraId="795C48FB" w14:textId="77777777" w:rsidTr="009756DA">
        <w:trPr>
          <w:trHeight w:val="312"/>
        </w:trPr>
        <w:tc>
          <w:tcPr>
            <w:tcW w:w="9360" w:type="dxa"/>
            <w:tcBorders>
              <w:top w:val="nil"/>
              <w:left w:val="nil"/>
              <w:bottom w:val="nil"/>
              <w:right w:val="nil"/>
            </w:tcBorders>
            <w:noWrap/>
            <w:vAlign w:val="center"/>
            <w:hideMark/>
          </w:tcPr>
          <w:p w14:paraId="4B72420A"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IPA (Instrument for Pre-accession Assistance) – Instrument za predpristupnu podršku</w:t>
            </w:r>
          </w:p>
        </w:tc>
      </w:tr>
      <w:tr w:rsidR="00E90B7F" w:rsidRPr="00565E60" w14:paraId="1EB78356" w14:textId="77777777" w:rsidTr="009756DA">
        <w:trPr>
          <w:trHeight w:val="312"/>
        </w:trPr>
        <w:tc>
          <w:tcPr>
            <w:tcW w:w="9360" w:type="dxa"/>
            <w:tcBorders>
              <w:top w:val="nil"/>
              <w:left w:val="nil"/>
              <w:bottom w:val="nil"/>
              <w:right w:val="nil"/>
            </w:tcBorders>
            <w:noWrap/>
            <w:vAlign w:val="center"/>
            <w:hideMark/>
          </w:tcPr>
          <w:p w14:paraId="6468ACBC"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lastRenderedPageBreak/>
              <w:t>ISO - (International Organization for Standardization) - Svjetska organizacija za standardizaciju</w:t>
            </w:r>
          </w:p>
        </w:tc>
      </w:tr>
      <w:tr w:rsidR="00E90B7F" w:rsidRPr="00565E60" w14:paraId="1A812F9C" w14:textId="77777777" w:rsidTr="009756DA">
        <w:trPr>
          <w:trHeight w:val="312"/>
        </w:trPr>
        <w:tc>
          <w:tcPr>
            <w:tcW w:w="9360" w:type="dxa"/>
            <w:tcBorders>
              <w:top w:val="nil"/>
              <w:left w:val="nil"/>
              <w:bottom w:val="nil"/>
              <w:right w:val="nil"/>
            </w:tcBorders>
            <w:noWrap/>
            <w:vAlign w:val="center"/>
            <w:hideMark/>
          </w:tcPr>
          <w:p w14:paraId="01364852"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LC-PFCAs (Long-chain Perfluorocarboxylic Acids) – dugolančane perfluorokarboksilne kiseline</w:t>
            </w:r>
          </w:p>
        </w:tc>
      </w:tr>
      <w:tr w:rsidR="00E90B7F" w:rsidRPr="00565E60" w14:paraId="116F23AE" w14:textId="77777777" w:rsidTr="009756DA">
        <w:trPr>
          <w:trHeight w:val="312"/>
        </w:trPr>
        <w:tc>
          <w:tcPr>
            <w:tcW w:w="9360" w:type="dxa"/>
            <w:tcBorders>
              <w:top w:val="nil"/>
              <w:left w:val="nil"/>
              <w:bottom w:val="nil"/>
              <w:right w:val="nil"/>
            </w:tcBorders>
            <w:noWrap/>
            <w:vAlign w:val="center"/>
            <w:hideMark/>
          </w:tcPr>
          <w:p w14:paraId="690C2187"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Lindane (γ-HCH) – lindan</w:t>
            </w:r>
          </w:p>
        </w:tc>
      </w:tr>
      <w:tr w:rsidR="00E90B7F" w:rsidRPr="00565E60" w14:paraId="16301E4A" w14:textId="77777777" w:rsidTr="009756DA">
        <w:trPr>
          <w:trHeight w:val="312"/>
        </w:trPr>
        <w:tc>
          <w:tcPr>
            <w:tcW w:w="9360" w:type="dxa"/>
            <w:tcBorders>
              <w:top w:val="nil"/>
              <w:left w:val="nil"/>
              <w:bottom w:val="nil"/>
              <w:right w:val="nil"/>
            </w:tcBorders>
            <w:noWrap/>
            <w:vAlign w:val="center"/>
            <w:hideMark/>
          </w:tcPr>
          <w:p w14:paraId="6FB88E18"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MCCPs (Medium-chain Chlorinated Paraffins) – srednjelančani hlorovani parafini</w:t>
            </w:r>
          </w:p>
        </w:tc>
      </w:tr>
      <w:tr w:rsidR="00E90B7F" w:rsidRPr="00565E60" w14:paraId="5154AC50" w14:textId="77777777" w:rsidTr="009756DA">
        <w:trPr>
          <w:trHeight w:val="312"/>
        </w:trPr>
        <w:tc>
          <w:tcPr>
            <w:tcW w:w="9360" w:type="dxa"/>
            <w:tcBorders>
              <w:top w:val="nil"/>
              <w:left w:val="nil"/>
              <w:bottom w:val="nil"/>
              <w:right w:val="nil"/>
            </w:tcBorders>
            <w:noWrap/>
            <w:vAlign w:val="center"/>
            <w:hideMark/>
          </w:tcPr>
          <w:p w14:paraId="4F06C231"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MDK – maksimalno dozvoljene koncentracije</w:t>
            </w:r>
          </w:p>
        </w:tc>
      </w:tr>
      <w:tr w:rsidR="00E90B7F" w:rsidRPr="00565E60" w14:paraId="57DD1DA7" w14:textId="77777777" w:rsidTr="009756DA">
        <w:trPr>
          <w:trHeight w:val="312"/>
        </w:trPr>
        <w:tc>
          <w:tcPr>
            <w:tcW w:w="9360" w:type="dxa"/>
            <w:tcBorders>
              <w:top w:val="nil"/>
              <w:left w:val="nil"/>
              <w:bottom w:val="nil"/>
              <w:right w:val="nil"/>
            </w:tcBorders>
            <w:noWrap/>
            <w:vAlign w:val="center"/>
            <w:hideMark/>
          </w:tcPr>
          <w:p w14:paraId="38636316"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MONSTAT - Uprava za statistiku Crne Gore</w:t>
            </w:r>
          </w:p>
        </w:tc>
      </w:tr>
      <w:tr w:rsidR="00E90B7F" w:rsidRPr="00565E60" w14:paraId="79AAFDE8" w14:textId="77777777" w:rsidTr="009756DA">
        <w:trPr>
          <w:trHeight w:val="312"/>
        </w:trPr>
        <w:tc>
          <w:tcPr>
            <w:tcW w:w="9360" w:type="dxa"/>
            <w:tcBorders>
              <w:top w:val="nil"/>
              <w:left w:val="nil"/>
              <w:bottom w:val="nil"/>
              <w:right w:val="nil"/>
            </w:tcBorders>
            <w:noWrap/>
            <w:vAlign w:val="center"/>
            <w:hideMark/>
          </w:tcPr>
          <w:p w14:paraId="58C787A1"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MUP – Ministarstvo unutrašnjih poslova</w:t>
            </w:r>
          </w:p>
        </w:tc>
      </w:tr>
      <w:tr w:rsidR="00E90B7F" w:rsidRPr="00565E60" w14:paraId="187BCCBB" w14:textId="77777777" w:rsidTr="009756DA">
        <w:trPr>
          <w:trHeight w:val="312"/>
        </w:trPr>
        <w:tc>
          <w:tcPr>
            <w:tcW w:w="9360" w:type="dxa"/>
            <w:tcBorders>
              <w:top w:val="nil"/>
              <w:left w:val="nil"/>
              <w:bottom w:val="nil"/>
              <w:right w:val="nil"/>
            </w:tcBorders>
            <w:noWrap/>
            <w:vAlign w:val="center"/>
            <w:hideMark/>
          </w:tcPr>
          <w:p w14:paraId="2FDBA5FE"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NIP - Nacionalni plan za implementaciju Stokholmske konvencije</w:t>
            </w:r>
          </w:p>
        </w:tc>
      </w:tr>
      <w:tr w:rsidR="00E90B7F" w:rsidRPr="00565E60" w14:paraId="56AB94A3" w14:textId="77777777" w:rsidTr="009756DA">
        <w:trPr>
          <w:trHeight w:val="312"/>
        </w:trPr>
        <w:tc>
          <w:tcPr>
            <w:tcW w:w="9360" w:type="dxa"/>
            <w:tcBorders>
              <w:top w:val="nil"/>
              <w:left w:val="nil"/>
              <w:bottom w:val="nil"/>
              <w:right w:val="nil"/>
            </w:tcBorders>
            <w:noWrap/>
            <w:vAlign w:val="center"/>
            <w:hideMark/>
          </w:tcPr>
          <w:p w14:paraId="6069D209"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NVO – Nevladine organizacije</w:t>
            </w:r>
          </w:p>
        </w:tc>
      </w:tr>
      <w:tr w:rsidR="00E90B7F" w:rsidRPr="00565E60" w14:paraId="24195587" w14:textId="77777777" w:rsidTr="009756DA">
        <w:trPr>
          <w:trHeight w:val="312"/>
        </w:trPr>
        <w:tc>
          <w:tcPr>
            <w:tcW w:w="9360" w:type="dxa"/>
            <w:tcBorders>
              <w:top w:val="nil"/>
              <w:left w:val="nil"/>
              <w:bottom w:val="nil"/>
              <w:right w:val="nil"/>
            </w:tcBorders>
            <w:noWrap/>
            <w:vAlign w:val="center"/>
            <w:hideMark/>
          </w:tcPr>
          <w:p w14:paraId="0F72043D"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PAH (Polycyclic aromatic Hydrocarbons)- policiklični aromatični ugljovodonici</w:t>
            </w:r>
          </w:p>
        </w:tc>
      </w:tr>
      <w:tr w:rsidR="00E90B7F" w:rsidRPr="00565E60" w14:paraId="5473E06C" w14:textId="77777777" w:rsidTr="009756DA">
        <w:trPr>
          <w:trHeight w:val="312"/>
        </w:trPr>
        <w:tc>
          <w:tcPr>
            <w:tcW w:w="9360" w:type="dxa"/>
            <w:tcBorders>
              <w:top w:val="nil"/>
              <w:left w:val="nil"/>
              <w:bottom w:val="nil"/>
              <w:right w:val="nil"/>
            </w:tcBorders>
            <w:noWrap/>
            <w:vAlign w:val="center"/>
            <w:hideMark/>
          </w:tcPr>
          <w:p w14:paraId="7AF2ECD0"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PBDE (Polybrominated Diphenyl Ethers) – polibromovani difenil etri</w:t>
            </w:r>
          </w:p>
        </w:tc>
      </w:tr>
      <w:tr w:rsidR="00E90B7F" w:rsidRPr="00565E60" w14:paraId="3F3B905A" w14:textId="77777777" w:rsidTr="009756DA">
        <w:trPr>
          <w:trHeight w:val="312"/>
        </w:trPr>
        <w:tc>
          <w:tcPr>
            <w:tcW w:w="9360" w:type="dxa"/>
            <w:tcBorders>
              <w:top w:val="nil"/>
              <w:left w:val="nil"/>
              <w:bottom w:val="nil"/>
              <w:right w:val="nil"/>
            </w:tcBorders>
            <w:noWrap/>
            <w:vAlign w:val="center"/>
            <w:hideMark/>
          </w:tcPr>
          <w:p w14:paraId="7C75689F"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PBT (Persistent, Bioaccumulative and Toxic) – perzistentme, bioakumulativne i toksične supstance</w:t>
            </w:r>
          </w:p>
        </w:tc>
      </w:tr>
      <w:tr w:rsidR="00E90B7F" w:rsidRPr="00565E60" w14:paraId="696E3FC1" w14:textId="77777777" w:rsidTr="009756DA">
        <w:trPr>
          <w:trHeight w:val="312"/>
        </w:trPr>
        <w:tc>
          <w:tcPr>
            <w:tcW w:w="9360" w:type="dxa"/>
            <w:tcBorders>
              <w:top w:val="nil"/>
              <w:left w:val="nil"/>
              <w:bottom w:val="nil"/>
              <w:right w:val="nil"/>
            </w:tcBorders>
            <w:noWrap/>
            <w:vAlign w:val="center"/>
            <w:hideMark/>
          </w:tcPr>
          <w:p w14:paraId="6B1D9872"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PCB (Polychlorinated Biphenyl) - polihlorovani bifenili</w:t>
            </w:r>
          </w:p>
        </w:tc>
      </w:tr>
      <w:tr w:rsidR="00E90B7F" w:rsidRPr="00565E60" w14:paraId="5AC25DE5" w14:textId="77777777" w:rsidTr="009756DA">
        <w:trPr>
          <w:trHeight w:val="312"/>
        </w:trPr>
        <w:tc>
          <w:tcPr>
            <w:tcW w:w="9360" w:type="dxa"/>
            <w:tcBorders>
              <w:top w:val="nil"/>
              <w:left w:val="nil"/>
              <w:bottom w:val="nil"/>
              <w:right w:val="nil"/>
            </w:tcBorders>
            <w:noWrap/>
            <w:vAlign w:val="center"/>
            <w:hideMark/>
          </w:tcPr>
          <w:p w14:paraId="4590B025"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PCB (Polychlorinated Biphenyls) – polihlorovani bifenili</w:t>
            </w:r>
          </w:p>
        </w:tc>
      </w:tr>
      <w:tr w:rsidR="00E90B7F" w:rsidRPr="00565E60" w14:paraId="23B93BD5" w14:textId="77777777" w:rsidTr="009756DA">
        <w:trPr>
          <w:trHeight w:val="312"/>
        </w:trPr>
        <w:tc>
          <w:tcPr>
            <w:tcW w:w="9360" w:type="dxa"/>
            <w:tcBorders>
              <w:top w:val="nil"/>
              <w:left w:val="nil"/>
              <w:bottom w:val="nil"/>
              <w:right w:val="nil"/>
            </w:tcBorders>
            <w:noWrap/>
            <w:vAlign w:val="center"/>
            <w:hideMark/>
          </w:tcPr>
          <w:p w14:paraId="6D990DF4"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PCDD (Polychlorinated Dibenzo-p-dioxins) – polihlorovani dibenzo-p-dioksini</w:t>
            </w:r>
          </w:p>
        </w:tc>
      </w:tr>
      <w:tr w:rsidR="00E90B7F" w:rsidRPr="00565E60" w14:paraId="708CA5E9" w14:textId="77777777" w:rsidTr="009756DA">
        <w:trPr>
          <w:trHeight w:val="312"/>
        </w:trPr>
        <w:tc>
          <w:tcPr>
            <w:tcW w:w="9360" w:type="dxa"/>
            <w:tcBorders>
              <w:top w:val="nil"/>
              <w:left w:val="nil"/>
              <w:bottom w:val="nil"/>
              <w:right w:val="nil"/>
            </w:tcBorders>
            <w:noWrap/>
            <w:vAlign w:val="center"/>
            <w:hideMark/>
          </w:tcPr>
          <w:p w14:paraId="14392D54"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PCDF (Polychlorinated Dibenzofurans) – polihlorovani dibenzofurani</w:t>
            </w:r>
          </w:p>
        </w:tc>
      </w:tr>
      <w:tr w:rsidR="00E90B7F" w:rsidRPr="00565E60" w14:paraId="66D22E1D" w14:textId="77777777" w:rsidTr="009756DA">
        <w:trPr>
          <w:trHeight w:val="312"/>
        </w:trPr>
        <w:tc>
          <w:tcPr>
            <w:tcW w:w="9360" w:type="dxa"/>
            <w:tcBorders>
              <w:top w:val="nil"/>
              <w:left w:val="nil"/>
              <w:bottom w:val="nil"/>
              <w:right w:val="nil"/>
            </w:tcBorders>
            <w:noWrap/>
            <w:vAlign w:val="center"/>
            <w:hideMark/>
          </w:tcPr>
          <w:p w14:paraId="5EC5D6E6"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PCNs (Polychlorinated Naphthalenes) – polihlorovani naftaleni</w:t>
            </w:r>
          </w:p>
        </w:tc>
      </w:tr>
      <w:tr w:rsidR="00E90B7F" w:rsidRPr="00565E60" w14:paraId="3840CB59" w14:textId="77777777" w:rsidTr="009756DA">
        <w:trPr>
          <w:trHeight w:val="312"/>
        </w:trPr>
        <w:tc>
          <w:tcPr>
            <w:tcW w:w="9360" w:type="dxa"/>
            <w:tcBorders>
              <w:top w:val="nil"/>
              <w:left w:val="nil"/>
              <w:bottom w:val="nil"/>
              <w:right w:val="nil"/>
            </w:tcBorders>
            <w:noWrap/>
            <w:vAlign w:val="center"/>
            <w:hideMark/>
          </w:tcPr>
          <w:p w14:paraId="283FF257"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PCP (Pentachlorophenol) – pentahlorfenol</w:t>
            </w:r>
          </w:p>
        </w:tc>
      </w:tr>
      <w:tr w:rsidR="00E90B7F" w:rsidRPr="00565E60" w14:paraId="4ABD7071" w14:textId="77777777" w:rsidTr="009756DA">
        <w:trPr>
          <w:trHeight w:val="312"/>
        </w:trPr>
        <w:tc>
          <w:tcPr>
            <w:tcW w:w="9360" w:type="dxa"/>
            <w:tcBorders>
              <w:top w:val="nil"/>
              <w:left w:val="nil"/>
              <w:bottom w:val="nil"/>
              <w:right w:val="nil"/>
            </w:tcBorders>
            <w:noWrap/>
            <w:vAlign w:val="center"/>
            <w:hideMark/>
          </w:tcPr>
          <w:p w14:paraId="28C5E3B5"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PeCB (Pentachlorobenzene) – pentahlorbenzen</w:t>
            </w:r>
          </w:p>
        </w:tc>
      </w:tr>
      <w:tr w:rsidR="00E90B7F" w:rsidRPr="00565E60" w14:paraId="7D8D586F" w14:textId="77777777" w:rsidTr="009756DA">
        <w:trPr>
          <w:trHeight w:val="312"/>
        </w:trPr>
        <w:tc>
          <w:tcPr>
            <w:tcW w:w="9360" w:type="dxa"/>
            <w:tcBorders>
              <w:top w:val="nil"/>
              <w:left w:val="nil"/>
              <w:bottom w:val="nil"/>
              <w:right w:val="nil"/>
            </w:tcBorders>
            <w:noWrap/>
            <w:vAlign w:val="center"/>
            <w:hideMark/>
          </w:tcPr>
          <w:p w14:paraId="608F8926"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PFHxS (Perfluorohexane Sulfonic Acid) – perfluoroheksansulfonska kiselina</w:t>
            </w:r>
          </w:p>
        </w:tc>
      </w:tr>
      <w:tr w:rsidR="00E90B7F" w:rsidRPr="00565E60" w14:paraId="6F08B433" w14:textId="77777777" w:rsidTr="009756DA">
        <w:trPr>
          <w:trHeight w:val="312"/>
        </w:trPr>
        <w:tc>
          <w:tcPr>
            <w:tcW w:w="9360" w:type="dxa"/>
            <w:tcBorders>
              <w:top w:val="nil"/>
              <w:left w:val="nil"/>
              <w:bottom w:val="nil"/>
              <w:right w:val="nil"/>
            </w:tcBorders>
            <w:noWrap/>
            <w:vAlign w:val="center"/>
            <w:hideMark/>
          </w:tcPr>
          <w:p w14:paraId="32868E2A"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PFOA (Perfluorooctanoic Acid) – perfluorooktanska kiselina</w:t>
            </w:r>
          </w:p>
        </w:tc>
      </w:tr>
      <w:tr w:rsidR="00E90B7F" w:rsidRPr="00565E60" w14:paraId="6929DAB6" w14:textId="77777777" w:rsidTr="009756DA">
        <w:trPr>
          <w:trHeight w:val="312"/>
        </w:trPr>
        <w:tc>
          <w:tcPr>
            <w:tcW w:w="9360" w:type="dxa"/>
            <w:tcBorders>
              <w:top w:val="nil"/>
              <w:left w:val="nil"/>
              <w:bottom w:val="nil"/>
              <w:right w:val="nil"/>
            </w:tcBorders>
            <w:noWrap/>
            <w:vAlign w:val="center"/>
            <w:hideMark/>
          </w:tcPr>
          <w:p w14:paraId="3BF60BA7"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PFOS (Perfluorooctane Sulfonic Acid) – perfluorooktansulfonska kiselina</w:t>
            </w:r>
          </w:p>
        </w:tc>
      </w:tr>
      <w:tr w:rsidR="00E90B7F" w:rsidRPr="00565E60" w14:paraId="0C1B8AF2" w14:textId="77777777" w:rsidTr="009756DA">
        <w:trPr>
          <w:trHeight w:val="312"/>
        </w:trPr>
        <w:tc>
          <w:tcPr>
            <w:tcW w:w="9360" w:type="dxa"/>
            <w:tcBorders>
              <w:top w:val="nil"/>
              <w:left w:val="nil"/>
              <w:bottom w:val="nil"/>
              <w:right w:val="nil"/>
            </w:tcBorders>
            <w:noWrap/>
            <w:vAlign w:val="center"/>
            <w:hideMark/>
          </w:tcPr>
          <w:p w14:paraId="05B8582E"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PFOSF (Perfluorooctane Sulfonyl Fluoride) – perfluorooktansulfonil-fluorid</w:t>
            </w:r>
          </w:p>
        </w:tc>
      </w:tr>
      <w:tr w:rsidR="00E90B7F" w:rsidRPr="00565E60" w14:paraId="0D7B3E38" w14:textId="77777777" w:rsidTr="009756DA">
        <w:trPr>
          <w:trHeight w:val="312"/>
        </w:trPr>
        <w:tc>
          <w:tcPr>
            <w:tcW w:w="9360" w:type="dxa"/>
            <w:tcBorders>
              <w:top w:val="nil"/>
              <w:left w:val="nil"/>
              <w:bottom w:val="nil"/>
              <w:right w:val="nil"/>
            </w:tcBorders>
            <w:noWrap/>
            <w:vAlign w:val="center"/>
            <w:hideMark/>
          </w:tcPr>
          <w:p w14:paraId="17AE1C2A"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POPs (Persistent Organic Pollutants) – dugotrajne organske zagađujuće supstance</w:t>
            </w:r>
          </w:p>
        </w:tc>
      </w:tr>
      <w:tr w:rsidR="00E90B7F" w:rsidRPr="00565E60" w14:paraId="67DD720E" w14:textId="77777777" w:rsidTr="009756DA">
        <w:trPr>
          <w:trHeight w:val="312"/>
        </w:trPr>
        <w:tc>
          <w:tcPr>
            <w:tcW w:w="9360" w:type="dxa"/>
            <w:tcBorders>
              <w:top w:val="nil"/>
              <w:left w:val="nil"/>
              <w:bottom w:val="nil"/>
              <w:right w:val="nil"/>
            </w:tcBorders>
            <w:noWrap/>
            <w:vAlign w:val="center"/>
            <w:hideMark/>
          </w:tcPr>
          <w:p w14:paraId="4C0E9E58"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PPCG - Program pristupanja Crne Gore Evropskoj uniji</w:t>
            </w:r>
          </w:p>
        </w:tc>
      </w:tr>
      <w:tr w:rsidR="00E90B7F" w:rsidRPr="00565E60" w14:paraId="40EE921F" w14:textId="77777777" w:rsidTr="009756DA">
        <w:trPr>
          <w:trHeight w:val="312"/>
        </w:trPr>
        <w:tc>
          <w:tcPr>
            <w:tcW w:w="9360" w:type="dxa"/>
            <w:tcBorders>
              <w:top w:val="nil"/>
              <w:left w:val="nil"/>
              <w:bottom w:val="nil"/>
              <w:right w:val="nil"/>
            </w:tcBorders>
            <w:noWrap/>
            <w:vAlign w:val="center"/>
            <w:hideMark/>
          </w:tcPr>
          <w:p w14:paraId="356D65FE"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SAICM (Strategic Approach to International Chemicals Management) - Strateški pristup međunarodnom upravljanju hemikalijama</w:t>
            </w:r>
          </w:p>
        </w:tc>
      </w:tr>
      <w:tr w:rsidR="00E90B7F" w:rsidRPr="00565E60" w14:paraId="14521CC4" w14:textId="77777777" w:rsidTr="009756DA">
        <w:trPr>
          <w:trHeight w:val="312"/>
        </w:trPr>
        <w:tc>
          <w:tcPr>
            <w:tcW w:w="9360" w:type="dxa"/>
            <w:tcBorders>
              <w:top w:val="nil"/>
              <w:left w:val="nil"/>
              <w:bottom w:val="nil"/>
              <w:right w:val="nil"/>
            </w:tcBorders>
            <w:noWrap/>
            <w:vAlign w:val="center"/>
            <w:hideMark/>
          </w:tcPr>
          <w:p w14:paraId="1B6888BB"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SCCPs (Short-chain Chlorinated Paraffins) – kratkolančani hlorovani parafini</w:t>
            </w:r>
          </w:p>
        </w:tc>
      </w:tr>
      <w:tr w:rsidR="00E90B7F" w:rsidRPr="00565E60" w14:paraId="3244A818" w14:textId="77777777" w:rsidTr="009756DA">
        <w:trPr>
          <w:trHeight w:val="312"/>
        </w:trPr>
        <w:tc>
          <w:tcPr>
            <w:tcW w:w="9360" w:type="dxa"/>
            <w:tcBorders>
              <w:top w:val="nil"/>
              <w:left w:val="nil"/>
              <w:bottom w:val="nil"/>
              <w:right w:val="nil"/>
            </w:tcBorders>
            <w:noWrap/>
            <w:vAlign w:val="center"/>
            <w:hideMark/>
          </w:tcPr>
          <w:p w14:paraId="2D2652D6"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TAIEX (Technical Assistance and Information Exchange) -Instrument za tehničku pomoć i razmjenu informacija</w:t>
            </w:r>
          </w:p>
        </w:tc>
      </w:tr>
      <w:tr w:rsidR="00E90B7F" w:rsidRPr="00565E60" w14:paraId="617EAB8B" w14:textId="77777777" w:rsidTr="009756DA">
        <w:trPr>
          <w:trHeight w:val="312"/>
        </w:trPr>
        <w:tc>
          <w:tcPr>
            <w:tcW w:w="9360" w:type="dxa"/>
            <w:tcBorders>
              <w:top w:val="nil"/>
              <w:left w:val="nil"/>
              <w:bottom w:val="nil"/>
              <w:right w:val="nil"/>
            </w:tcBorders>
            <w:noWrap/>
            <w:vAlign w:val="center"/>
            <w:hideMark/>
          </w:tcPr>
          <w:p w14:paraId="0EF17E15"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TetraBDE / PentaBDE – tetra- i pentabromodifenil etri</w:t>
            </w:r>
          </w:p>
        </w:tc>
      </w:tr>
      <w:tr w:rsidR="00E90B7F" w:rsidRPr="00565E60" w14:paraId="1B8411ED" w14:textId="77777777" w:rsidTr="009756DA">
        <w:trPr>
          <w:trHeight w:val="312"/>
        </w:trPr>
        <w:tc>
          <w:tcPr>
            <w:tcW w:w="9360" w:type="dxa"/>
            <w:tcBorders>
              <w:top w:val="nil"/>
              <w:left w:val="nil"/>
              <w:bottom w:val="nil"/>
              <w:right w:val="nil"/>
            </w:tcBorders>
            <w:noWrap/>
            <w:vAlign w:val="center"/>
            <w:hideMark/>
          </w:tcPr>
          <w:p w14:paraId="5387CB03"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UNDP (United Nations Development Programme) - Program Ujedinjenih nacija za razvoj</w:t>
            </w:r>
          </w:p>
        </w:tc>
      </w:tr>
      <w:tr w:rsidR="00E90B7F" w:rsidRPr="00565E60" w14:paraId="6FE3B7FE" w14:textId="77777777" w:rsidTr="009756DA">
        <w:trPr>
          <w:trHeight w:val="312"/>
        </w:trPr>
        <w:tc>
          <w:tcPr>
            <w:tcW w:w="9360" w:type="dxa"/>
            <w:tcBorders>
              <w:top w:val="nil"/>
              <w:left w:val="nil"/>
              <w:bottom w:val="nil"/>
              <w:right w:val="nil"/>
            </w:tcBorders>
            <w:noWrap/>
            <w:vAlign w:val="center"/>
            <w:hideMark/>
          </w:tcPr>
          <w:p w14:paraId="34B070CA"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UNEP (United Nations Environment Programme) - Program Ujedinjenih naciija za zaštitu životne sredine</w:t>
            </w:r>
          </w:p>
        </w:tc>
      </w:tr>
      <w:tr w:rsidR="00E90B7F" w:rsidRPr="00565E60" w14:paraId="0EF21B87" w14:textId="77777777" w:rsidTr="009756DA">
        <w:trPr>
          <w:trHeight w:val="312"/>
        </w:trPr>
        <w:tc>
          <w:tcPr>
            <w:tcW w:w="9360" w:type="dxa"/>
            <w:tcBorders>
              <w:top w:val="nil"/>
              <w:left w:val="nil"/>
              <w:bottom w:val="nil"/>
              <w:right w:val="nil"/>
            </w:tcBorders>
            <w:noWrap/>
            <w:vAlign w:val="center"/>
            <w:hideMark/>
          </w:tcPr>
          <w:p w14:paraId="0E167779"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WHO (World Health Organisation) – Svjetska zdravstvena organiza</w:t>
            </w:r>
          </w:p>
        </w:tc>
      </w:tr>
      <w:tr w:rsidR="00E90B7F" w:rsidRPr="00565E60" w14:paraId="768B9ED7" w14:textId="77777777" w:rsidTr="009756DA">
        <w:trPr>
          <w:trHeight w:val="312"/>
        </w:trPr>
        <w:tc>
          <w:tcPr>
            <w:tcW w:w="9360" w:type="dxa"/>
            <w:tcBorders>
              <w:top w:val="nil"/>
              <w:left w:val="nil"/>
              <w:bottom w:val="nil"/>
              <w:right w:val="nil"/>
            </w:tcBorders>
            <w:noWrap/>
            <w:vAlign w:val="center"/>
            <w:hideMark/>
          </w:tcPr>
          <w:p w14:paraId="7916B0DA" w14:textId="77777777" w:rsidR="00E90B7F" w:rsidRPr="00565E60" w:rsidRDefault="00E90B7F" w:rsidP="009756DA">
            <w:pPr>
              <w:rPr>
                <w:rFonts w:eastAsia="Times New Roman" w:cs="Calibri"/>
                <w:color w:val="auto"/>
                <w:szCs w:val="24"/>
              </w:rPr>
            </w:pPr>
            <w:r w:rsidRPr="00565E60">
              <w:rPr>
                <w:rFonts w:eastAsia="Times New Roman" w:cs="Calibri"/>
                <w:color w:val="auto"/>
                <w:szCs w:val="24"/>
              </w:rPr>
              <w:t>ZHMS - Zavod za hidrometeorologiju i seizmologiju</w:t>
            </w:r>
          </w:p>
        </w:tc>
      </w:tr>
    </w:tbl>
    <w:p w14:paraId="60B607D4" w14:textId="77777777" w:rsidR="0092561C" w:rsidRPr="00C86111" w:rsidRDefault="0092561C" w:rsidP="002B19B1">
      <w:pPr>
        <w:jc w:val="both"/>
        <w:rPr>
          <w:rFonts w:asciiTheme="minorHAnsi" w:hAnsiTheme="minorHAnsi" w:cstheme="minorHAnsi"/>
          <w:b/>
          <w:bCs/>
          <w:color w:val="4472C4" w:themeColor="accent1"/>
          <w:szCs w:val="24"/>
        </w:rPr>
      </w:pPr>
    </w:p>
    <w:p w14:paraId="29E40F12" w14:textId="77777777" w:rsidR="0092561C" w:rsidRPr="00C86111" w:rsidRDefault="0092561C" w:rsidP="002B19B1">
      <w:pPr>
        <w:jc w:val="both"/>
        <w:rPr>
          <w:rFonts w:asciiTheme="minorHAnsi" w:hAnsiTheme="minorHAnsi" w:cstheme="minorHAnsi"/>
          <w:b/>
          <w:bCs/>
          <w:color w:val="4472C4" w:themeColor="accent1"/>
          <w:szCs w:val="24"/>
        </w:rPr>
      </w:pPr>
    </w:p>
    <w:p w14:paraId="2FD79E80" w14:textId="77777777" w:rsidR="0092561C" w:rsidRPr="00C86111" w:rsidRDefault="0092561C" w:rsidP="002B19B1">
      <w:pPr>
        <w:jc w:val="both"/>
        <w:rPr>
          <w:rFonts w:asciiTheme="minorHAnsi" w:hAnsiTheme="minorHAnsi" w:cstheme="minorHAnsi"/>
          <w:b/>
          <w:bCs/>
          <w:color w:val="4472C4" w:themeColor="accent1"/>
          <w:szCs w:val="24"/>
        </w:rPr>
      </w:pPr>
    </w:p>
    <w:p w14:paraId="59340D65" w14:textId="77777777" w:rsidR="0092561C" w:rsidRPr="00C86111" w:rsidRDefault="0092561C" w:rsidP="002B19B1">
      <w:pPr>
        <w:jc w:val="both"/>
        <w:rPr>
          <w:rFonts w:asciiTheme="minorHAnsi" w:hAnsiTheme="minorHAnsi" w:cstheme="minorHAnsi"/>
          <w:b/>
          <w:bCs/>
          <w:color w:val="4472C4" w:themeColor="accent1"/>
          <w:szCs w:val="24"/>
        </w:rPr>
      </w:pPr>
    </w:p>
    <w:p w14:paraId="4A91C162" w14:textId="77777777" w:rsidR="0092561C" w:rsidRPr="00C86111" w:rsidRDefault="0092561C" w:rsidP="002B19B1">
      <w:pPr>
        <w:jc w:val="both"/>
        <w:rPr>
          <w:rFonts w:asciiTheme="minorHAnsi" w:hAnsiTheme="minorHAnsi" w:cstheme="minorHAnsi"/>
          <w:b/>
          <w:bCs/>
          <w:color w:val="4472C4" w:themeColor="accent1"/>
          <w:szCs w:val="24"/>
        </w:rPr>
      </w:pPr>
    </w:p>
    <w:p w14:paraId="30AFD6BE" w14:textId="77777777" w:rsidR="0092561C" w:rsidRPr="00C86111" w:rsidRDefault="0092561C" w:rsidP="002B19B1">
      <w:pPr>
        <w:jc w:val="both"/>
        <w:rPr>
          <w:rFonts w:asciiTheme="minorHAnsi" w:hAnsiTheme="minorHAnsi" w:cstheme="minorHAnsi"/>
          <w:b/>
          <w:bCs/>
          <w:color w:val="4472C4" w:themeColor="accent1"/>
          <w:szCs w:val="24"/>
        </w:rPr>
      </w:pPr>
    </w:p>
    <w:p w14:paraId="4E64573C" w14:textId="77777777" w:rsidR="0092561C" w:rsidRPr="00C86111" w:rsidRDefault="0092561C" w:rsidP="002B19B1">
      <w:pPr>
        <w:jc w:val="both"/>
        <w:rPr>
          <w:rFonts w:asciiTheme="minorHAnsi" w:hAnsiTheme="minorHAnsi" w:cstheme="minorHAnsi"/>
          <w:b/>
          <w:bCs/>
          <w:color w:val="4472C4" w:themeColor="accent1"/>
          <w:szCs w:val="24"/>
        </w:rPr>
      </w:pPr>
    </w:p>
    <w:p w14:paraId="3BDED36B" w14:textId="77777777" w:rsidR="0092561C" w:rsidRPr="00C86111" w:rsidRDefault="0092561C" w:rsidP="002B19B1">
      <w:pPr>
        <w:jc w:val="both"/>
        <w:rPr>
          <w:rFonts w:asciiTheme="minorHAnsi" w:hAnsiTheme="minorHAnsi" w:cstheme="minorHAnsi"/>
          <w:b/>
          <w:bCs/>
          <w:color w:val="4472C4" w:themeColor="accent1"/>
          <w:szCs w:val="24"/>
        </w:rPr>
      </w:pPr>
    </w:p>
    <w:p w14:paraId="67439224" w14:textId="77777777" w:rsidR="0092561C" w:rsidRDefault="0092561C" w:rsidP="002B19B1">
      <w:pPr>
        <w:jc w:val="both"/>
        <w:rPr>
          <w:rFonts w:asciiTheme="minorHAnsi" w:hAnsiTheme="minorHAnsi" w:cstheme="minorHAnsi"/>
          <w:b/>
          <w:bCs/>
          <w:color w:val="4472C4" w:themeColor="accent1"/>
          <w:szCs w:val="24"/>
        </w:rPr>
      </w:pPr>
    </w:p>
    <w:p w14:paraId="0ED03B25" w14:textId="77777777" w:rsidR="00E90B7F" w:rsidRDefault="00E90B7F" w:rsidP="002B19B1">
      <w:pPr>
        <w:jc w:val="both"/>
        <w:rPr>
          <w:rFonts w:asciiTheme="minorHAnsi" w:hAnsiTheme="minorHAnsi" w:cstheme="minorHAnsi"/>
          <w:b/>
          <w:bCs/>
          <w:color w:val="4472C4" w:themeColor="accent1"/>
          <w:szCs w:val="24"/>
        </w:rPr>
      </w:pPr>
    </w:p>
    <w:p w14:paraId="086AFE0A" w14:textId="77777777" w:rsidR="00E90B7F" w:rsidRDefault="00E90B7F" w:rsidP="002B19B1">
      <w:pPr>
        <w:jc w:val="both"/>
        <w:rPr>
          <w:rFonts w:asciiTheme="minorHAnsi" w:hAnsiTheme="minorHAnsi" w:cstheme="minorHAnsi"/>
          <w:b/>
          <w:bCs/>
          <w:color w:val="4472C4" w:themeColor="accent1"/>
          <w:szCs w:val="24"/>
        </w:rPr>
      </w:pPr>
    </w:p>
    <w:p w14:paraId="245BEF7A" w14:textId="77777777" w:rsidR="00E90B7F" w:rsidRDefault="00E90B7F" w:rsidP="002B19B1">
      <w:pPr>
        <w:jc w:val="both"/>
        <w:rPr>
          <w:rFonts w:asciiTheme="minorHAnsi" w:hAnsiTheme="minorHAnsi" w:cstheme="minorHAnsi"/>
          <w:b/>
          <w:bCs/>
          <w:color w:val="4472C4" w:themeColor="accent1"/>
          <w:szCs w:val="24"/>
        </w:rPr>
      </w:pPr>
    </w:p>
    <w:p w14:paraId="4FD6A5AA" w14:textId="77777777" w:rsidR="00E90B7F" w:rsidRDefault="00E90B7F" w:rsidP="002B19B1">
      <w:pPr>
        <w:jc w:val="both"/>
        <w:rPr>
          <w:rFonts w:asciiTheme="minorHAnsi" w:hAnsiTheme="minorHAnsi" w:cstheme="minorHAnsi"/>
          <w:b/>
          <w:bCs/>
          <w:color w:val="4472C4" w:themeColor="accent1"/>
          <w:szCs w:val="24"/>
        </w:rPr>
      </w:pPr>
    </w:p>
    <w:p w14:paraId="68FFC72B" w14:textId="77777777" w:rsidR="00E90B7F" w:rsidRDefault="00E90B7F" w:rsidP="002B19B1">
      <w:pPr>
        <w:jc w:val="both"/>
        <w:rPr>
          <w:rFonts w:asciiTheme="minorHAnsi" w:hAnsiTheme="minorHAnsi" w:cstheme="minorHAnsi"/>
          <w:b/>
          <w:bCs/>
          <w:color w:val="4472C4" w:themeColor="accent1"/>
          <w:szCs w:val="24"/>
        </w:rPr>
      </w:pPr>
    </w:p>
    <w:p w14:paraId="110EDB5E" w14:textId="77777777" w:rsidR="00E90B7F" w:rsidRDefault="00E90B7F" w:rsidP="002B19B1">
      <w:pPr>
        <w:jc w:val="both"/>
        <w:rPr>
          <w:rFonts w:asciiTheme="minorHAnsi" w:hAnsiTheme="minorHAnsi" w:cstheme="minorHAnsi"/>
          <w:b/>
          <w:bCs/>
          <w:color w:val="4472C4" w:themeColor="accent1"/>
          <w:szCs w:val="24"/>
        </w:rPr>
      </w:pPr>
    </w:p>
    <w:p w14:paraId="2DBB930F" w14:textId="77777777" w:rsidR="00E90B7F" w:rsidRDefault="00E90B7F" w:rsidP="002B19B1">
      <w:pPr>
        <w:jc w:val="both"/>
        <w:rPr>
          <w:rFonts w:asciiTheme="minorHAnsi" w:hAnsiTheme="minorHAnsi" w:cstheme="minorHAnsi"/>
          <w:b/>
          <w:bCs/>
          <w:color w:val="4472C4" w:themeColor="accent1"/>
          <w:szCs w:val="24"/>
        </w:rPr>
      </w:pPr>
    </w:p>
    <w:p w14:paraId="26EFEF11" w14:textId="77777777" w:rsidR="0092561C" w:rsidRPr="00C86111" w:rsidRDefault="0092561C" w:rsidP="002B19B1">
      <w:pPr>
        <w:jc w:val="both"/>
        <w:rPr>
          <w:rFonts w:asciiTheme="minorHAnsi" w:hAnsiTheme="minorHAnsi" w:cstheme="minorHAnsi"/>
          <w:b/>
          <w:bCs/>
          <w:color w:val="4472C4" w:themeColor="accent1"/>
          <w:szCs w:val="24"/>
        </w:rPr>
      </w:pPr>
    </w:p>
    <w:p w14:paraId="3C776477" w14:textId="77777777" w:rsidR="0092561C" w:rsidRPr="00C86111" w:rsidRDefault="0092561C" w:rsidP="002B19B1">
      <w:pPr>
        <w:jc w:val="both"/>
        <w:rPr>
          <w:rFonts w:asciiTheme="minorHAnsi" w:hAnsiTheme="minorHAnsi" w:cstheme="minorHAnsi"/>
          <w:b/>
          <w:bCs/>
          <w:color w:val="4472C4" w:themeColor="accent1"/>
          <w:szCs w:val="24"/>
        </w:rPr>
      </w:pPr>
    </w:p>
    <w:p w14:paraId="3EC06FB4" w14:textId="77777777" w:rsidR="0092561C" w:rsidRPr="00C86111" w:rsidRDefault="0092561C" w:rsidP="0092561C">
      <w:pPr>
        <w:pStyle w:val="Title"/>
      </w:pPr>
    </w:p>
    <w:p w14:paraId="069F3D00" w14:textId="27F6196F" w:rsidR="0092561C" w:rsidRPr="006830BB" w:rsidRDefault="0092561C" w:rsidP="006830BB">
      <w:pPr>
        <w:pStyle w:val="Title"/>
      </w:pPr>
      <w:r w:rsidRPr="006830BB">
        <w:t>UVOD</w:t>
      </w:r>
    </w:p>
    <w:p w14:paraId="1A0A2737" w14:textId="77777777" w:rsidR="0092561C" w:rsidRPr="00C86111" w:rsidRDefault="0092561C" w:rsidP="002B19B1">
      <w:pPr>
        <w:jc w:val="both"/>
        <w:rPr>
          <w:rFonts w:asciiTheme="minorHAnsi" w:hAnsiTheme="minorHAnsi" w:cstheme="minorHAnsi"/>
          <w:b/>
          <w:bCs/>
          <w:color w:val="4472C4" w:themeColor="accent1"/>
          <w:szCs w:val="24"/>
        </w:rPr>
      </w:pPr>
    </w:p>
    <w:p w14:paraId="19B06A3E" w14:textId="77777777" w:rsidR="0092561C" w:rsidRPr="00C86111" w:rsidRDefault="0092561C" w:rsidP="002B19B1">
      <w:pPr>
        <w:jc w:val="both"/>
        <w:rPr>
          <w:rFonts w:asciiTheme="minorHAnsi" w:hAnsiTheme="minorHAnsi" w:cstheme="minorHAnsi"/>
          <w:b/>
          <w:bCs/>
          <w:color w:val="4472C4" w:themeColor="accent1"/>
          <w:szCs w:val="24"/>
        </w:rPr>
      </w:pPr>
    </w:p>
    <w:p w14:paraId="3A06DDAF" w14:textId="77777777" w:rsidR="0092561C" w:rsidRPr="00C86111" w:rsidRDefault="0092561C" w:rsidP="002B19B1">
      <w:pPr>
        <w:jc w:val="both"/>
        <w:rPr>
          <w:rFonts w:asciiTheme="minorHAnsi" w:hAnsiTheme="minorHAnsi" w:cstheme="minorHAnsi"/>
          <w:b/>
          <w:bCs/>
          <w:color w:val="4472C4" w:themeColor="accent1"/>
          <w:szCs w:val="24"/>
        </w:rPr>
      </w:pPr>
    </w:p>
    <w:p w14:paraId="478DAD1D" w14:textId="77777777" w:rsidR="0092561C" w:rsidRPr="00C86111" w:rsidRDefault="0092561C" w:rsidP="002B19B1">
      <w:pPr>
        <w:jc w:val="both"/>
        <w:rPr>
          <w:rFonts w:asciiTheme="minorHAnsi" w:hAnsiTheme="minorHAnsi" w:cstheme="minorHAnsi"/>
          <w:b/>
          <w:bCs/>
          <w:color w:val="4472C4" w:themeColor="accent1"/>
          <w:szCs w:val="24"/>
        </w:rPr>
      </w:pPr>
    </w:p>
    <w:p w14:paraId="562F8565" w14:textId="77777777" w:rsidR="0092561C" w:rsidRPr="00C86111" w:rsidRDefault="0092561C" w:rsidP="002B19B1">
      <w:pPr>
        <w:jc w:val="both"/>
        <w:rPr>
          <w:rFonts w:asciiTheme="minorHAnsi" w:hAnsiTheme="minorHAnsi" w:cstheme="minorHAnsi"/>
          <w:b/>
          <w:bCs/>
          <w:color w:val="4472C4" w:themeColor="accent1"/>
          <w:szCs w:val="24"/>
        </w:rPr>
      </w:pPr>
    </w:p>
    <w:p w14:paraId="1620387F" w14:textId="77777777" w:rsidR="0092561C" w:rsidRPr="00C86111" w:rsidRDefault="0092561C" w:rsidP="002B19B1">
      <w:pPr>
        <w:jc w:val="both"/>
        <w:rPr>
          <w:rFonts w:asciiTheme="minorHAnsi" w:hAnsiTheme="minorHAnsi" w:cstheme="minorHAnsi"/>
          <w:b/>
          <w:bCs/>
          <w:color w:val="4472C4" w:themeColor="accent1"/>
          <w:szCs w:val="24"/>
        </w:rPr>
      </w:pPr>
    </w:p>
    <w:p w14:paraId="1DD1AB89" w14:textId="77777777" w:rsidR="0092561C" w:rsidRPr="00C86111" w:rsidRDefault="0092561C" w:rsidP="002B19B1">
      <w:pPr>
        <w:jc w:val="both"/>
        <w:rPr>
          <w:rFonts w:asciiTheme="minorHAnsi" w:hAnsiTheme="minorHAnsi" w:cstheme="minorHAnsi"/>
          <w:b/>
          <w:bCs/>
          <w:color w:val="4472C4" w:themeColor="accent1"/>
          <w:szCs w:val="24"/>
        </w:rPr>
      </w:pPr>
    </w:p>
    <w:p w14:paraId="3021E50A" w14:textId="77777777" w:rsidR="0092561C" w:rsidRDefault="0092561C" w:rsidP="002B19B1">
      <w:pPr>
        <w:jc w:val="both"/>
        <w:rPr>
          <w:rFonts w:asciiTheme="minorHAnsi" w:hAnsiTheme="minorHAnsi" w:cstheme="minorHAnsi"/>
          <w:b/>
          <w:bCs/>
          <w:color w:val="4472C4" w:themeColor="accent1"/>
          <w:szCs w:val="24"/>
        </w:rPr>
      </w:pPr>
    </w:p>
    <w:p w14:paraId="60768912" w14:textId="77777777" w:rsidR="003B5212" w:rsidRDefault="003B5212" w:rsidP="002B19B1">
      <w:pPr>
        <w:jc w:val="both"/>
        <w:rPr>
          <w:rFonts w:asciiTheme="minorHAnsi" w:hAnsiTheme="minorHAnsi" w:cstheme="minorHAnsi"/>
          <w:b/>
          <w:bCs/>
          <w:color w:val="4472C4" w:themeColor="accent1"/>
          <w:szCs w:val="24"/>
        </w:rPr>
      </w:pPr>
    </w:p>
    <w:p w14:paraId="36E4FAB8" w14:textId="77777777" w:rsidR="003B5212" w:rsidRDefault="003B5212" w:rsidP="002B19B1">
      <w:pPr>
        <w:jc w:val="both"/>
        <w:rPr>
          <w:rFonts w:asciiTheme="minorHAnsi" w:hAnsiTheme="minorHAnsi" w:cstheme="minorHAnsi"/>
          <w:b/>
          <w:bCs/>
          <w:color w:val="4472C4" w:themeColor="accent1"/>
          <w:szCs w:val="24"/>
        </w:rPr>
      </w:pPr>
    </w:p>
    <w:p w14:paraId="25668F2E" w14:textId="77777777" w:rsidR="003B5212" w:rsidRDefault="003B5212" w:rsidP="002B19B1">
      <w:pPr>
        <w:jc w:val="both"/>
        <w:rPr>
          <w:rFonts w:asciiTheme="minorHAnsi" w:hAnsiTheme="minorHAnsi" w:cstheme="minorHAnsi"/>
          <w:b/>
          <w:bCs/>
          <w:color w:val="4472C4" w:themeColor="accent1"/>
          <w:szCs w:val="24"/>
        </w:rPr>
      </w:pPr>
    </w:p>
    <w:p w14:paraId="21683044" w14:textId="77777777" w:rsidR="003B5212" w:rsidRDefault="003B5212" w:rsidP="002B19B1">
      <w:pPr>
        <w:jc w:val="both"/>
        <w:rPr>
          <w:rFonts w:asciiTheme="minorHAnsi" w:hAnsiTheme="minorHAnsi" w:cstheme="minorHAnsi"/>
          <w:b/>
          <w:bCs/>
          <w:color w:val="4472C4" w:themeColor="accent1"/>
          <w:szCs w:val="24"/>
        </w:rPr>
      </w:pPr>
    </w:p>
    <w:p w14:paraId="4F6BAF85" w14:textId="77777777" w:rsidR="003B5212" w:rsidRDefault="003B5212" w:rsidP="002B19B1">
      <w:pPr>
        <w:jc w:val="both"/>
        <w:rPr>
          <w:rFonts w:asciiTheme="minorHAnsi" w:hAnsiTheme="minorHAnsi" w:cstheme="minorHAnsi"/>
          <w:b/>
          <w:bCs/>
          <w:color w:val="4472C4" w:themeColor="accent1"/>
          <w:szCs w:val="24"/>
        </w:rPr>
      </w:pPr>
    </w:p>
    <w:p w14:paraId="40372188" w14:textId="77777777" w:rsidR="003B5212" w:rsidRDefault="003B5212" w:rsidP="002B19B1">
      <w:pPr>
        <w:jc w:val="both"/>
        <w:rPr>
          <w:rFonts w:asciiTheme="minorHAnsi" w:hAnsiTheme="minorHAnsi" w:cstheme="minorHAnsi"/>
          <w:b/>
          <w:bCs/>
          <w:color w:val="4472C4" w:themeColor="accent1"/>
          <w:szCs w:val="24"/>
        </w:rPr>
      </w:pPr>
    </w:p>
    <w:p w14:paraId="221D9FBC" w14:textId="77777777" w:rsidR="003B5212" w:rsidRDefault="003B5212" w:rsidP="002B19B1">
      <w:pPr>
        <w:jc w:val="both"/>
        <w:rPr>
          <w:rFonts w:asciiTheme="minorHAnsi" w:hAnsiTheme="minorHAnsi" w:cstheme="minorHAnsi"/>
          <w:b/>
          <w:bCs/>
          <w:color w:val="4472C4" w:themeColor="accent1"/>
          <w:szCs w:val="24"/>
        </w:rPr>
      </w:pPr>
    </w:p>
    <w:p w14:paraId="546604B8" w14:textId="77777777" w:rsidR="003B5212" w:rsidRDefault="003B5212" w:rsidP="002B19B1">
      <w:pPr>
        <w:jc w:val="both"/>
        <w:rPr>
          <w:rFonts w:asciiTheme="minorHAnsi" w:hAnsiTheme="minorHAnsi" w:cstheme="minorHAnsi"/>
          <w:b/>
          <w:bCs/>
          <w:color w:val="4472C4" w:themeColor="accent1"/>
          <w:szCs w:val="24"/>
        </w:rPr>
      </w:pPr>
    </w:p>
    <w:p w14:paraId="0BABD713" w14:textId="77777777" w:rsidR="003B5212" w:rsidRDefault="003B5212" w:rsidP="002B19B1">
      <w:pPr>
        <w:jc w:val="both"/>
        <w:rPr>
          <w:rFonts w:asciiTheme="minorHAnsi" w:hAnsiTheme="minorHAnsi" w:cstheme="minorHAnsi"/>
          <w:b/>
          <w:bCs/>
          <w:color w:val="4472C4" w:themeColor="accent1"/>
          <w:szCs w:val="24"/>
        </w:rPr>
      </w:pPr>
    </w:p>
    <w:p w14:paraId="308336A7" w14:textId="77777777" w:rsidR="003B5212" w:rsidRDefault="003B5212" w:rsidP="002B19B1">
      <w:pPr>
        <w:jc w:val="both"/>
        <w:rPr>
          <w:rFonts w:asciiTheme="minorHAnsi" w:hAnsiTheme="minorHAnsi" w:cstheme="minorHAnsi"/>
          <w:b/>
          <w:bCs/>
          <w:color w:val="4472C4" w:themeColor="accent1"/>
          <w:szCs w:val="24"/>
        </w:rPr>
      </w:pPr>
    </w:p>
    <w:p w14:paraId="5312406C" w14:textId="77777777" w:rsidR="003B5212" w:rsidRDefault="003B5212" w:rsidP="002B19B1">
      <w:pPr>
        <w:jc w:val="both"/>
        <w:rPr>
          <w:rFonts w:asciiTheme="minorHAnsi" w:hAnsiTheme="minorHAnsi" w:cstheme="minorHAnsi"/>
          <w:b/>
          <w:bCs/>
          <w:color w:val="4472C4" w:themeColor="accent1"/>
          <w:szCs w:val="24"/>
        </w:rPr>
      </w:pPr>
    </w:p>
    <w:p w14:paraId="3560FCC4" w14:textId="77777777" w:rsidR="003B5212" w:rsidRDefault="003B5212" w:rsidP="002B19B1">
      <w:pPr>
        <w:jc w:val="both"/>
        <w:rPr>
          <w:rFonts w:asciiTheme="minorHAnsi" w:hAnsiTheme="minorHAnsi" w:cstheme="minorHAnsi"/>
          <w:b/>
          <w:bCs/>
          <w:color w:val="4472C4" w:themeColor="accent1"/>
          <w:szCs w:val="24"/>
        </w:rPr>
      </w:pPr>
    </w:p>
    <w:p w14:paraId="44BC8C4A" w14:textId="77777777" w:rsidR="003B5212" w:rsidRDefault="003B5212" w:rsidP="002B19B1">
      <w:pPr>
        <w:jc w:val="both"/>
        <w:rPr>
          <w:rFonts w:asciiTheme="minorHAnsi" w:hAnsiTheme="minorHAnsi" w:cstheme="minorHAnsi"/>
          <w:b/>
          <w:bCs/>
          <w:color w:val="4472C4" w:themeColor="accent1"/>
          <w:szCs w:val="24"/>
        </w:rPr>
      </w:pPr>
    </w:p>
    <w:p w14:paraId="1FDAE724" w14:textId="77777777" w:rsidR="003B5212" w:rsidRPr="00C86111" w:rsidRDefault="003B5212" w:rsidP="002B19B1">
      <w:pPr>
        <w:jc w:val="both"/>
        <w:rPr>
          <w:rFonts w:asciiTheme="minorHAnsi" w:hAnsiTheme="minorHAnsi" w:cstheme="minorHAnsi"/>
          <w:b/>
          <w:bCs/>
          <w:color w:val="4472C4" w:themeColor="accent1"/>
          <w:szCs w:val="24"/>
        </w:rPr>
      </w:pPr>
    </w:p>
    <w:p w14:paraId="3CC8CF2A" w14:textId="77777777" w:rsidR="0092561C" w:rsidRDefault="0092561C" w:rsidP="002B19B1">
      <w:pPr>
        <w:jc w:val="both"/>
        <w:rPr>
          <w:rFonts w:asciiTheme="minorHAnsi" w:hAnsiTheme="minorHAnsi" w:cstheme="minorHAnsi"/>
          <w:b/>
          <w:bCs/>
          <w:color w:val="4472C4" w:themeColor="accent1"/>
          <w:szCs w:val="24"/>
        </w:rPr>
      </w:pPr>
    </w:p>
    <w:p w14:paraId="601E9653" w14:textId="77777777" w:rsidR="00E90B7F" w:rsidRDefault="00E90B7F" w:rsidP="002B19B1">
      <w:pPr>
        <w:jc w:val="both"/>
        <w:rPr>
          <w:rFonts w:asciiTheme="minorHAnsi" w:hAnsiTheme="minorHAnsi" w:cstheme="minorHAnsi"/>
          <w:b/>
          <w:bCs/>
          <w:color w:val="4472C4" w:themeColor="accent1"/>
          <w:szCs w:val="24"/>
        </w:rPr>
      </w:pPr>
    </w:p>
    <w:p w14:paraId="2094F74F" w14:textId="3A948977" w:rsidR="002B19B1" w:rsidRPr="00C86111" w:rsidRDefault="002B19B1" w:rsidP="00004F34">
      <w:pPr>
        <w:pStyle w:val="Heading1"/>
        <w:numPr>
          <w:ilvl w:val="0"/>
          <w:numId w:val="239"/>
        </w:numPr>
      </w:pPr>
      <w:bookmarkStart w:id="2" w:name="_Toc220541836"/>
      <w:r w:rsidRPr="00C86111">
        <w:lastRenderedPageBreak/>
        <w:t>Uvod</w:t>
      </w:r>
      <w:bookmarkEnd w:id="2"/>
    </w:p>
    <w:p w14:paraId="0DE04720" w14:textId="77777777" w:rsidR="002B19B1" w:rsidRPr="00C86111" w:rsidRDefault="002B19B1" w:rsidP="002B19B1">
      <w:pPr>
        <w:jc w:val="both"/>
        <w:rPr>
          <w:rFonts w:asciiTheme="minorHAnsi" w:hAnsiTheme="minorHAnsi" w:cstheme="minorHAnsi"/>
          <w:b/>
          <w:bCs/>
          <w:color w:val="auto"/>
          <w:szCs w:val="24"/>
        </w:rPr>
      </w:pPr>
    </w:p>
    <w:p w14:paraId="70155DA8"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Dugotrajne organske zagađujuće supstance (POPs) predstavljaju jednu od najsloženijih prijetnji savremenoj životnoj sredini. Njihova izuzetna postojanost i sposobnost da se akumuliraju u živim organizmima dovode do dugoročnih i kumulativnih efekata, kako u ekosistemima, tako i u lancu ishrane ljudi. Zbog svoje mobilnosti, ove supstance mogu prelaziti granice država, što čini problem globalnim i zahtijeva koordinisani međunarodni odgovor.</w:t>
      </w:r>
    </w:p>
    <w:p w14:paraId="7EB6D75C" w14:textId="77777777" w:rsidR="002B19B1" w:rsidRPr="00C86111" w:rsidRDefault="002B19B1" w:rsidP="002B19B1">
      <w:pPr>
        <w:jc w:val="both"/>
        <w:rPr>
          <w:rFonts w:asciiTheme="minorHAnsi" w:hAnsiTheme="minorHAnsi" w:cstheme="minorHAnsi"/>
          <w:color w:val="4472C4" w:themeColor="accent1"/>
          <w:szCs w:val="24"/>
        </w:rPr>
      </w:pPr>
      <w:r w:rsidRPr="00C86111">
        <w:rPr>
          <w:rFonts w:asciiTheme="minorHAnsi" w:hAnsiTheme="minorHAnsi" w:cstheme="minorHAnsi"/>
          <w:color w:val="auto"/>
          <w:szCs w:val="24"/>
        </w:rPr>
        <w:t xml:space="preserve">U tom kontekstu, Stokholmska konvencija o postojanim organskim zagađujućim supstancama, usvojena 2001. godine i stupila na snagu 2004., predstavlja ključni međunarodni instrument za zaštitu ljudskog zdravlja i životne sredine. </w:t>
      </w:r>
    </w:p>
    <w:p w14:paraId="4770E2D3" w14:textId="77777777" w:rsidR="002B19B1" w:rsidRPr="00C86111" w:rsidRDefault="002B19B1" w:rsidP="002B19B1">
      <w:pPr>
        <w:jc w:val="both"/>
        <w:rPr>
          <w:color w:val="auto"/>
        </w:rPr>
      </w:pPr>
      <w:r w:rsidRPr="00C86111">
        <w:rPr>
          <w:color w:val="auto"/>
        </w:rPr>
        <w:t>Stokholmska konvencija razvijena je s ciljem zaštite ljudi i životne sredine od postojanih organskih zagađivača – supstanci koje su toksične, dugo opstaju u prirodi, šire se na velike udaljenosti i akumuliraju u živim organizmima. Ove hemikalije, poznate kao POPs, predstavljaju ozbiljnu prijetnju jer se njihova prisutnost u životnoj sredini i prehrambenom lancu može odraziti na zdravlje ljudi i životinjskih vrsta tokom mnogo godina.</w:t>
      </w:r>
    </w:p>
    <w:p w14:paraId="50BAA2FA" w14:textId="77777777" w:rsidR="002B19B1" w:rsidRPr="00C86111" w:rsidRDefault="002B19B1" w:rsidP="002B19B1">
      <w:pPr>
        <w:jc w:val="both"/>
        <w:rPr>
          <w:color w:val="auto"/>
        </w:rPr>
      </w:pPr>
      <w:r w:rsidRPr="00C86111">
        <w:rPr>
          <w:color w:val="auto"/>
        </w:rPr>
        <w:t>Pregovori o konvenciji održani su 2001. godine pod okriljem Programa Ujedinjenih nacija za životnu sredinu (UNEP), a na globalnom nivou stupila je na snagu 17. maja 2004. godine. Danas je potpisalo 186 država, uključujući i Evropsku uniju, čime je stvoren okvir za međunarodnu saradnju u kontroli i eliminaciji ovih opasnih supstanci.</w:t>
      </w:r>
    </w:p>
    <w:p w14:paraId="230B20FF" w14:textId="77777777" w:rsidR="002B19B1" w:rsidRPr="00C86111" w:rsidRDefault="002B19B1" w:rsidP="002B19B1">
      <w:pPr>
        <w:jc w:val="both"/>
        <w:rPr>
          <w:color w:val="auto"/>
        </w:rPr>
      </w:pPr>
      <w:r w:rsidRPr="00C86111">
        <w:rPr>
          <w:color w:val="auto"/>
        </w:rPr>
        <w:t>Supstance regulisane ovom konvencijom svrstane su u tri aneksa:</w:t>
      </w:r>
    </w:p>
    <w:p w14:paraId="7CFD97BF" w14:textId="77777777" w:rsidR="002B19B1" w:rsidRPr="00C86111" w:rsidRDefault="002B19B1" w:rsidP="007E2AA5">
      <w:pPr>
        <w:numPr>
          <w:ilvl w:val="0"/>
          <w:numId w:val="14"/>
        </w:numPr>
        <w:jc w:val="both"/>
        <w:rPr>
          <w:color w:val="auto"/>
        </w:rPr>
      </w:pPr>
      <w:r w:rsidRPr="00C86111">
        <w:rPr>
          <w:b/>
          <w:bCs/>
          <w:color w:val="auto"/>
        </w:rPr>
        <w:t>Aneks A</w:t>
      </w:r>
      <w:r w:rsidRPr="00C86111">
        <w:rPr>
          <w:color w:val="auto"/>
        </w:rPr>
        <w:t xml:space="preserve"> sadrži supstance čija je proizvodnja i upotreba zabranjena. Ipak, konvencija omogućava određene posebne izuzetke, koje države moraju registrirati i periodično preispitivati.</w:t>
      </w:r>
    </w:p>
    <w:p w14:paraId="27B374AC" w14:textId="77777777" w:rsidR="002B19B1" w:rsidRPr="00C86111" w:rsidRDefault="002B19B1" w:rsidP="007E2AA5">
      <w:pPr>
        <w:numPr>
          <w:ilvl w:val="0"/>
          <w:numId w:val="14"/>
        </w:numPr>
        <w:jc w:val="both"/>
        <w:rPr>
          <w:color w:val="auto"/>
        </w:rPr>
      </w:pPr>
      <w:r w:rsidRPr="00C86111">
        <w:rPr>
          <w:b/>
          <w:bCs/>
          <w:color w:val="auto"/>
        </w:rPr>
        <w:t>Aneks B</w:t>
      </w:r>
      <w:r w:rsidRPr="00C86111">
        <w:rPr>
          <w:color w:val="auto"/>
        </w:rPr>
        <w:t xml:space="preserve"> obuhvata supstance čija je upotreba ograničena, ali za njih su dopuštene </w:t>
      </w:r>
      <w:r w:rsidRPr="00C86111">
        <w:rPr>
          <w:b/>
          <w:bCs/>
          <w:color w:val="auto"/>
        </w:rPr>
        <w:t>prihvatljive namjene</w:t>
      </w:r>
      <w:r w:rsidRPr="00C86111">
        <w:rPr>
          <w:color w:val="auto"/>
        </w:rPr>
        <w:t>, često dugoročne, uz stalne mjere za smanjenje njihove upotrebe.</w:t>
      </w:r>
    </w:p>
    <w:p w14:paraId="2A8FAEBF" w14:textId="77777777" w:rsidR="002B19B1" w:rsidRPr="00C86111" w:rsidRDefault="002B19B1" w:rsidP="007E2AA5">
      <w:pPr>
        <w:numPr>
          <w:ilvl w:val="0"/>
          <w:numId w:val="14"/>
        </w:numPr>
        <w:jc w:val="both"/>
        <w:rPr>
          <w:color w:val="auto"/>
        </w:rPr>
      </w:pPr>
      <w:r w:rsidRPr="00C86111">
        <w:rPr>
          <w:b/>
          <w:bCs/>
          <w:color w:val="auto"/>
        </w:rPr>
        <w:t>Aneks C</w:t>
      </w:r>
      <w:r w:rsidRPr="00C86111">
        <w:rPr>
          <w:color w:val="auto"/>
        </w:rPr>
        <w:t xml:space="preserve"> se odnosi na supstance koje nastaju kao neželjeni nusproizvodi. Države su obavezne poduzeti mjere za smanjenje njihovog ispuštanja u okoliš i, gdje je moguće, potpuno ih eliminirati.</w:t>
      </w:r>
    </w:p>
    <w:p w14:paraId="652F9B11" w14:textId="77777777" w:rsidR="002B19B1" w:rsidRPr="00C86111" w:rsidRDefault="002B19B1" w:rsidP="002B19B1">
      <w:pPr>
        <w:jc w:val="both"/>
        <w:rPr>
          <w:color w:val="auto"/>
        </w:rPr>
      </w:pPr>
      <w:r w:rsidRPr="00C86111">
        <w:rPr>
          <w:color w:val="auto"/>
        </w:rPr>
        <w:t>Konvencija pokriva cijeli životni ciklus supstanci – od njihove proizvodnje, preko upotrebe i ispuštanja u životnu sredinu, do upravljanja zalihama i otpadom. Lista supstanci se vremenom proširuje odlukama Konferencije strana ugovornica (COP), na osnovu preporuka naučnog Komiteta za razmatranje POPs supstanci (POPRC).</w:t>
      </w:r>
    </w:p>
    <w:p w14:paraId="6E5CD887" w14:textId="77777777" w:rsidR="002B19B1" w:rsidRPr="00C86111" w:rsidRDefault="002B19B1" w:rsidP="002B19B1">
      <w:pPr>
        <w:jc w:val="both"/>
        <w:rPr>
          <w:color w:val="auto"/>
        </w:rPr>
      </w:pPr>
      <w:r w:rsidRPr="00C86111">
        <w:rPr>
          <w:color w:val="auto"/>
        </w:rPr>
        <w:t>Za supstance iz Aneksa A i B postoje posebni izuzeci i prihvatljive namjene. Posebni izuzeci obično traju pet godina, s mogućnošću produženja, dok prihvatljive namjene nemaju vremensko ograničenje. Strane su obavezne stalno raditi na smanjenju upotrebe i periodično preispitivati opravdanost izuzetaka.</w:t>
      </w:r>
    </w:p>
    <w:p w14:paraId="0BCABEF6" w14:textId="77777777" w:rsidR="00F75D97" w:rsidRDefault="002B19B1" w:rsidP="002B19B1">
      <w:pPr>
        <w:jc w:val="both"/>
        <w:rPr>
          <w:color w:val="auto"/>
        </w:rPr>
      </w:pPr>
      <w:r w:rsidRPr="00C86111">
        <w:rPr>
          <w:color w:val="auto"/>
        </w:rPr>
        <w:t xml:space="preserve">Jedan od primjera je polihlorovani bifenil (PCB). Njegova upotreba u opremi kao što su transformatori i kondenzatori morala bi biti potpuno eliminisana do </w:t>
      </w:r>
    </w:p>
    <w:p w14:paraId="7AEBAED2" w14:textId="4D88950C" w:rsidR="002B19B1" w:rsidRPr="00C86111" w:rsidRDefault="002B19B1" w:rsidP="002B19B1">
      <w:pPr>
        <w:jc w:val="both"/>
        <w:rPr>
          <w:color w:val="auto"/>
        </w:rPr>
      </w:pPr>
      <w:r w:rsidRPr="00C86111">
        <w:rPr>
          <w:color w:val="auto"/>
        </w:rPr>
        <w:t>. godine, dok je ekološko upravljanje otpadom koji sadrži PCB planirano do 2028. godine. Strane moraju dostavljati izvještaje o napretku svakih pet godina.</w:t>
      </w:r>
    </w:p>
    <w:p w14:paraId="3E9EB130" w14:textId="77777777" w:rsidR="002B19B1" w:rsidRPr="00C86111" w:rsidRDefault="002B19B1" w:rsidP="002B19B1">
      <w:pPr>
        <w:jc w:val="both"/>
        <w:rPr>
          <w:color w:val="auto"/>
        </w:rPr>
      </w:pPr>
      <w:r w:rsidRPr="00C86111">
        <w:rPr>
          <w:color w:val="auto"/>
        </w:rPr>
        <w:t>Konvencija detaljno propisuje mjere i za druge opasne supstance:</w:t>
      </w:r>
    </w:p>
    <w:p w14:paraId="690064DD" w14:textId="77777777" w:rsidR="002B19B1" w:rsidRPr="00C86111" w:rsidRDefault="002B19B1" w:rsidP="007E2AA5">
      <w:pPr>
        <w:numPr>
          <w:ilvl w:val="0"/>
          <w:numId w:val="15"/>
        </w:numPr>
        <w:jc w:val="both"/>
        <w:rPr>
          <w:color w:val="auto"/>
        </w:rPr>
      </w:pPr>
      <w:r w:rsidRPr="00C86111">
        <w:rPr>
          <w:color w:val="auto"/>
        </w:rPr>
        <w:t>Polibromirani difenileteri (Dijelovi III–V) – preciziraju koje supstance spadaju pod konvenciju i uslove upotrebe za specifične izuzetke;</w:t>
      </w:r>
    </w:p>
    <w:p w14:paraId="4F2A57BD" w14:textId="77777777" w:rsidR="002B19B1" w:rsidRPr="00C86111" w:rsidRDefault="002B19B1" w:rsidP="007E2AA5">
      <w:pPr>
        <w:numPr>
          <w:ilvl w:val="0"/>
          <w:numId w:val="15"/>
        </w:numPr>
        <w:jc w:val="both"/>
        <w:rPr>
          <w:color w:val="auto"/>
        </w:rPr>
      </w:pPr>
      <w:r w:rsidRPr="00C86111">
        <w:rPr>
          <w:color w:val="auto"/>
        </w:rPr>
        <w:lastRenderedPageBreak/>
        <w:t>Endosulfan (Dio VI) – daje popis biljaka i štetočina protiv kojih je dozvoljena upotreba;</w:t>
      </w:r>
    </w:p>
    <w:p w14:paraId="2674C541" w14:textId="77777777" w:rsidR="002B19B1" w:rsidRPr="00C86111" w:rsidRDefault="002B19B1" w:rsidP="007E2AA5">
      <w:pPr>
        <w:numPr>
          <w:ilvl w:val="0"/>
          <w:numId w:val="15"/>
        </w:numPr>
        <w:jc w:val="both"/>
        <w:rPr>
          <w:color w:val="auto"/>
        </w:rPr>
      </w:pPr>
      <w:r w:rsidRPr="00C86111">
        <w:rPr>
          <w:color w:val="auto"/>
        </w:rPr>
        <w:t>Heksabromociklododekan (Dio VII) – propisuje obavezu označavanja polistirena u građevinskim objektima radi praćenja tokom cijelog životnog ciklusa;</w:t>
      </w:r>
    </w:p>
    <w:p w14:paraId="68C00F0D" w14:textId="77777777" w:rsidR="002B19B1" w:rsidRPr="00C86111" w:rsidRDefault="002B19B1" w:rsidP="007E2AA5">
      <w:pPr>
        <w:numPr>
          <w:ilvl w:val="0"/>
          <w:numId w:val="15"/>
        </w:numPr>
        <w:jc w:val="both"/>
        <w:rPr>
          <w:color w:val="auto"/>
        </w:rPr>
      </w:pPr>
      <w:r w:rsidRPr="00C86111">
        <w:rPr>
          <w:color w:val="auto"/>
        </w:rPr>
        <w:t>Pentahlorofenol (Dio VIII) – predviđa označavanje stubova i nosača, kao i zabranu njihove ponovne upotrebe u neodobrene svrhe;</w:t>
      </w:r>
    </w:p>
    <w:p w14:paraId="2B0E47A8" w14:textId="77777777" w:rsidR="002B19B1" w:rsidRPr="00C86111" w:rsidRDefault="002B19B1" w:rsidP="007E2AA5">
      <w:pPr>
        <w:numPr>
          <w:ilvl w:val="0"/>
          <w:numId w:val="15"/>
        </w:numPr>
        <w:jc w:val="both"/>
        <w:rPr>
          <w:color w:val="auto"/>
        </w:rPr>
      </w:pPr>
      <w:r w:rsidRPr="00C86111">
        <w:rPr>
          <w:color w:val="auto"/>
        </w:rPr>
        <w:t>Dekabromodifenileter (Dio IX) – dopuštene komponente;</w:t>
      </w:r>
    </w:p>
    <w:p w14:paraId="5DDFBB04" w14:textId="77777777" w:rsidR="002B19B1" w:rsidRPr="00C86111" w:rsidRDefault="002B19B1" w:rsidP="007E2AA5">
      <w:pPr>
        <w:numPr>
          <w:ilvl w:val="0"/>
          <w:numId w:val="15"/>
        </w:numPr>
        <w:jc w:val="both"/>
        <w:rPr>
          <w:color w:val="auto"/>
        </w:rPr>
      </w:pPr>
      <w:r w:rsidRPr="00C86111">
        <w:rPr>
          <w:color w:val="auto"/>
        </w:rPr>
        <w:t>PFOA-bazirana jedinjenja (Dio X) – propisuju ograničenja, naročito u vezi sa pjenama za gašenje požara;</w:t>
      </w:r>
    </w:p>
    <w:p w14:paraId="6B167120" w14:textId="77777777" w:rsidR="002B19B1" w:rsidRPr="00C86111" w:rsidRDefault="002B19B1" w:rsidP="007E2AA5">
      <w:pPr>
        <w:numPr>
          <w:ilvl w:val="0"/>
          <w:numId w:val="15"/>
        </w:numPr>
        <w:jc w:val="both"/>
        <w:rPr>
          <w:color w:val="auto"/>
        </w:rPr>
      </w:pPr>
      <w:r w:rsidRPr="00C86111">
        <w:rPr>
          <w:color w:val="auto"/>
        </w:rPr>
        <w:t>Rezervni dijelovi koji sadrže Dehloran Plus i UV-328 (Dijelovi XI–XII) – detaljne specifikacije izuzetaka.</w:t>
      </w:r>
    </w:p>
    <w:p w14:paraId="56FECF4F" w14:textId="77777777" w:rsidR="002B19B1" w:rsidRPr="00C86111" w:rsidRDefault="002B19B1" w:rsidP="002B19B1">
      <w:pPr>
        <w:jc w:val="both"/>
        <w:rPr>
          <w:color w:val="auto"/>
        </w:rPr>
      </w:pPr>
      <w:r w:rsidRPr="00C86111">
        <w:rPr>
          <w:color w:val="auto"/>
        </w:rPr>
        <w:t>Aneks B propisuje dodatne mjere za DDT, uključujući uspostaljanje registra, upotrebu u skladu sa smjernicama Svjetske zdravstvene organizacije, periodično izvještavanje i razvoj sigurnih alternativnih proizvoda. Dio III Aneksa B sadrži dopunske mjere za jedinjenja bazirana na PFOS, s obavezom postupnog ograničavanja njihove proizvodnje i upotrebe, uz izvještavanje o napretku.</w:t>
      </w:r>
    </w:p>
    <w:p w14:paraId="0863FF1E" w14:textId="77777777" w:rsidR="002B19B1" w:rsidRPr="00C86111" w:rsidRDefault="002B19B1" w:rsidP="002B19B1">
      <w:pPr>
        <w:jc w:val="both"/>
        <w:rPr>
          <w:color w:val="auto"/>
        </w:rPr>
      </w:pPr>
      <w:r w:rsidRPr="00C86111">
        <w:rPr>
          <w:color w:val="auto"/>
        </w:rPr>
        <w:t>Aneks C (Nenamjerna proizvodnja) navodi izvore iz kojih se POPs supstance oslobađaju, daje opće definicije i smjernice za primjenu Najboljih dostupnih tehnika i praksi zaštite životne sredine (BAT/BEP). Ove mjere pomažu u sprječavanju i ograničavanju oslobađanja opasnih supstanci u životnu sredinu.</w:t>
      </w:r>
    </w:p>
    <w:p w14:paraId="7F3EC736" w14:textId="77777777" w:rsidR="002B19B1" w:rsidRPr="00C86111" w:rsidRDefault="002B19B1" w:rsidP="002B19B1">
      <w:pPr>
        <w:jc w:val="both"/>
        <w:rPr>
          <w:color w:val="auto"/>
        </w:rPr>
      </w:pPr>
      <w:r w:rsidRPr="00C86111">
        <w:rPr>
          <w:color w:val="auto"/>
        </w:rPr>
        <w:t>Sve mjere konvencije omogućavaju balans između fleksibilnosti u primjeni i stroge kontrole opasnih supstanci. Na ovaj način se kontinuirano smanjuju rizici po ljudsko zdravlje i životnu sredinu, dok se globalna zaštita od štetnih POPs supstanci stalno unapređuje.</w:t>
      </w:r>
    </w:p>
    <w:p w14:paraId="266D4DFE" w14:textId="77777777" w:rsidR="002B19B1" w:rsidRPr="00C86111" w:rsidRDefault="002B19B1" w:rsidP="002B19B1">
      <w:pPr>
        <w:rPr>
          <w:rFonts w:asciiTheme="minorHAnsi" w:hAnsiTheme="minorHAnsi" w:cstheme="minorHAnsi"/>
          <w:color w:val="auto"/>
          <w:szCs w:val="24"/>
        </w:rPr>
      </w:pPr>
    </w:p>
    <w:p w14:paraId="4A55C7FD" w14:textId="77777777" w:rsidR="002B19B1" w:rsidRPr="00C86111" w:rsidRDefault="002B19B1" w:rsidP="002B19B1">
      <w:pPr>
        <w:rPr>
          <w:color w:val="auto"/>
        </w:rPr>
      </w:pPr>
      <w:r w:rsidRPr="00C86111">
        <w:rPr>
          <w:b/>
          <w:bCs/>
          <w:color w:val="auto"/>
        </w:rPr>
        <w:t>Tabela 1:</w:t>
      </w:r>
      <w:r w:rsidRPr="00C86111">
        <w:rPr>
          <w:color w:val="auto"/>
        </w:rPr>
        <w:t xml:space="preserve"> Hemikalije obuhvaćene Stokholmskom konvencijom prema aneksima</w:t>
      </w:r>
    </w:p>
    <w:p w14:paraId="57E61006" w14:textId="77777777" w:rsidR="002B19B1" w:rsidRPr="00C86111" w:rsidRDefault="002B19B1" w:rsidP="002B19B1">
      <w:pPr>
        <w:rPr>
          <w:color w:val="auto"/>
        </w:rPr>
      </w:pPr>
    </w:p>
    <w:tbl>
      <w:tblPr>
        <w:tblStyle w:val="GridTable5Dark-Accent6"/>
        <w:tblW w:w="0" w:type="auto"/>
        <w:tblLook w:val="04A0" w:firstRow="1" w:lastRow="0" w:firstColumn="1" w:lastColumn="0" w:noHBand="0" w:noVBand="1"/>
      </w:tblPr>
      <w:tblGrid>
        <w:gridCol w:w="1728"/>
        <w:gridCol w:w="1728"/>
        <w:gridCol w:w="1728"/>
        <w:gridCol w:w="1728"/>
        <w:gridCol w:w="1728"/>
      </w:tblGrid>
      <w:tr w:rsidR="002B19B1" w:rsidRPr="00C86111" w14:paraId="03673BA0" w14:textId="77777777" w:rsidTr="00375D2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0018B39" w14:textId="77777777" w:rsidR="002B19B1" w:rsidRPr="00C86111" w:rsidRDefault="002B19B1" w:rsidP="00BC765B">
            <w:pPr>
              <w:rPr>
                <w:color w:val="auto"/>
                <w:sz w:val="20"/>
                <w:szCs w:val="20"/>
              </w:rPr>
            </w:pPr>
            <w:r w:rsidRPr="00C86111">
              <w:rPr>
                <w:color w:val="auto"/>
                <w:sz w:val="20"/>
                <w:szCs w:val="20"/>
              </w:rPr>
              <w:t>Aneks</w:t>
            </w:r>
          </w:p>
        </w:tc>
        <w:tc>
          <w:tcPr>
            <w:tcW w:w="1728" w:type="dxa"/>
            <w:vAlign w:val="center"/>
          </w:tcPr>
          <w:p w14:paraId="4646E9C4"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Naziv aneksa</w:t>
            </w:r>
          </w:p>
        </w:tc>
        <w:tc>
          <w:tcPr>
            <w:tcW w:w="1728" w:type="dxa"/>
            <w:vAlign w:val="center"/>
          </w:tcPr>
          <w:p w14:paraId="2982D8CD"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Vrsta mjera</w:t>
            </w:r>
          </w:p>
        </w:tc>
        <w:tc>
          <w:tcPr>
            <w:tcW w:w="1728" w:type="dxa"/>
            <w:vAlign w:val="center"/>
          </w:tcPr>
          <w:p w14:paraId="1BC3E6B9"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Primjeri supstanci</w:t>
            </w:r>
          </w:p>
        </w:tc>
        <w:tc>
          <w:tcPr>
            <w:tcW w:w="1728" w:type="dxa"/>
            <w:vAlign w:val="center"/>
          </w:tcPr>
          <w:p w14:paraId="45770E2A"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Napomena</w:t>
            </w:r>
          </w:p>
        </w:tc>
      </w:tr>
      <w:tr w:rsidR="002B19B1" w:rsidRPr="00C86111" w14:paraId="5E7A5EC4"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A671EDA" w14:textId="77777777" w:rsidR="002B19B1" w:rsidRPr="00C86111" w:rsidRDefault="002B19B1" w:rsidP="00BC765B">
            <w:pPr>
              <w:rPr>
                <w:color w:val="auto"/>
                <w:sz w:val="20"/>
                <w:szCs w:val="20"/>
              </w:rPr>
            </w:pPr>
            <w:r w:rsidRPr="00C86111">
              <w:rPr>
                <w:color w:val="auto"/>
                <w:sz w:val="20"/>
                <w:szCs w:val="20"/>
              </w:rPr>
              <w:t>A</w:t>
            </w:r>
          </w:p>
        </w:tc>
        <w:tc>
          <w:tcPr>
            <w:tcW w:w="1728" w:type="dxa"/>
          </w:tcPr>
          <w:p w14:paraId="51174DBD"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Eliminacija</w:t>
            </w:r>
          </w:p>
        </w:tc>
        <w:tc>
          <w:tcPr>
            <w:tcW w:w="1728" w:type="dxa"/>
          </w:tcPr>
          <w:p w14:paraId="060E1C83"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Potpuna zabrana proizvodnje i upotrebe</w:t>
            </w:r>
          </w:p>
        </w:tc>
        <w:tc>
          <w:tcPr>
            <w:tcW w:w="1728" w:type="dxa"/>
          </w:tcPr>
          <w:p w14:paraId="666880B0"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Aldrin, hlordan, dieldrin, endrin, heptahlor, mireks, toksafen, PCB, HCB, lindan, endosulfan, dikofol, HBCDD, dekaBDE, SCCP, MCCP, PFOA, PFHxS, pentahlorfenol, metoksihlor, dehloran plus, UV-328</w:t>
            </w:r>
          </w:p>
        </w:tc>
        <w:tc>
          <w:tcPr>
            <w:tcW w:w="1728" w:type="dxa"/>
          </w:tcPr>
          <w:p w14:paraId="521DDB7E"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Najstroži režim kontrole</w:t>
            </w:r>
          </w:p>
        </w:tc>
      </w:tr>
      <w:tr w:rsidR="002B19B1" w:rsidRPr="00C86111" w14:paraId="76C2CB20" w14:textId="77777777" w:rsidTr="00BC765B">
        <w:tc>
          <w:tcPr>
            <w:cnfStyle w:val="001000000000" w:firstRow="0" w:lastRow="0" w:firstColumn="1" w:lastColumn="0" w:oddVBand="0" w:evenVBand="0" w:oddHBand="0" w:evenHBand="0" w:firstRowFirstColumn="0" w:firstRowLastColumn="0" w:lastRowFirstColumn="0" w:lastRowLastColumn="0"/>
            <w:tcW w:w="1728" w:type="dxa"/>
          </w:tcPr>
          <w:p w14:paraId="179277EC" w14:textId="77777777" w:rsidR="002B19B1" w:rsidRPr="00C86111" w:rsidRDefault="002B19B1" w:rsidP="00BC765B">
            <w:pPr>
              <w:rPr>
                <w:color w:val="auto"/>
                <w:sz w:val="20"/>
                <w:szCs w:val="20"/>
              </w:rPr>
            </w:pPr>
            <w:r w:rsidRPr="00C86111">
              <w:rPr>
                <w:color w:val="auto"/>
                <w:sz w:val="20"/>
                <w:szCs w:val="20"/>
              </w:rPr>
              <w:t>B</w:t>
            </w:r>
          </w:p>
        </w:tc>
        <w:tc>
          <w:tcPr>
            <w:tcW w:w="1728" w:type="dxa"/>
          </w:tcPr>
          <w:p w14:paraId="690F4FBB"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Ograničenje</w:t>
            </w:r>
          </w:p>
        </w:tc>
        <w:tc>
          <w:tcPr>
            <w:tcW w:w="1728" w:type="dxa"/>
          </w:tcPr>
          <w:p w14:paraId="0B729F37"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Ograničena proizvodnja i upotreba</w:t>
            </w:r>
          </w:p>
        </w:tc>
        <w:tc>
          <w:tcPr>
            <w:tcW w:w="1728" w:type="dxa"/>
          </w:tcPr>
          <w:p w14:paraId="4752B222"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DDT, PFOS i njegove soli, PFOSF</w:t>
            </w:r>
          </w:p>
        </w:tc>
        <w:tc>
          <w:tcPr>
            <w:tcW w:w="1728" w:type="dxa"/>
          </w:tcPr>
          <w:p w14:paraId="4A88A22F"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Dozvoljena samo prihvatljiva namjena</w:t>
            </w:r>
          </w:p>
        </w:tc>
      </w:tr>
      <w:tr w:rsidR="002B19B1" w:rsidRPr="00C86111" w14:paraId="0C5EFDA5"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9F7739A" w14:textId="77777777" w:rsidR="002B19B1" w:rsidRPr="00C86111" w:rsidRDefault="002B19B1" w:rsidP="00BC765B">
            <w:pPr>
              <w:rPr>
                <w:color w:val="auto"/>
                <w:sz w:val="20"/>
                <w:szCs w:val="20"/>
              </w:rPr>
            </w:pPr>
            <w:r w:rsidRPr="00C86111">
              <w:rPr>
                <w:color w:val="auto"/>
                <w:sz w:val="20"/>
                <w:szCs w:val="20"/>
              </w:rPr>
              <w:t>C</w:t>
            </w:r>
          </w:p>
        </w:tc>
        <w:tc>
          <w:tcPr>
            <w:tcW w:w="1728" w:type="dxa"/>
          </w:tcPr>
          <w:p w14:paraId="151AA0DB"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Nenamjerna proizvodnja</w:t>
            </w:r>
          </w:p>
        </w:tc>
        <w:tc>
          <w:tcPr>
            <w:tcW w:w="1728" w:type="dxa"/>
          </w:tcPr>
          <w:p w14:paraId="3999B718"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Smanjenje i eliminacija emisija</w:t>
            </w:r>
          </w:p>
        </w:tc>
        <w:tc>
          <w:tcPr>
            <w:tcW w:w="1728" w:type="dxa"/>
          </w:tcPr>
          <w:p w14:paraId="5911DCC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HCB, HCBD, pentahlorbenzen, PCB, PCDD, PCDF, polihlorovani naftaleni</w:t>
            </w:r>
          </w:p>
        </w:tc>
        <w:tc>
          <w:tcPr>
            <w:tcW w:w="1728" w:type="dxa"/>
          </w:tcPr>
          <w:p w14:paraId="1D4F7598"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Nusproizvodi sagorijevanja i industrije</w:t>
            </w:r>
          </w:p>
        </w:tc>
      </w:tr>
    </w:tbl>
    <w:p w14:paraId="333569F9" w14:textId="77777777" w:rsidR="002B19B1" w:rsidRPr="00C86111" w:rsidRDefault="002B19B1" w:rsidP="002B19B1">
      <w:pPr>
        <w:jc w:val="both"/>
        <w:rPr>
          <w:rFonts w:asciiTheme="minorHAnsi" w:hAnsiTheme="minorHAnsi" w:cstheme="minorHAnsi"/>
          <w:color w:val="auto"/>
          <w:szCs w:val="24"/>
        </w:rPr>
      </w:pPr>
    </w:p>
    <w:p w14:paraId="232F56CA" w14:textId="77777777" w:rsidR="002B19B1" w:rsidRPr="00C86111" w:rsidRDefault="002B19B1" w:rsidP="002B19B1">
      <w:pPr>
        <w:jc w:val="both"/>
        <w:rPr>
          <w:rFonts w:asciiTheme="minorHAnsi" w:hAnsiTheme="minorHAnsi" w:cstheme="minorHAnsi"/>
          <w:color w:val="auto"/>
          <w:szCs w:val="24"/>
        </w:rPr>
      </w:pPr>
    </w:p>
    <w:p w14:paraId="6A215B59" w14:textId="77777777" w:rsidR="002B19B1" w:rsidRPr="00C86111" w:rsidRDefault="002B19B1" w:rsidP="002B19B1">
      <w:r w:rsidRPr="00C86111">
        <w:rPr>
          <w:b/>
          <w:bCs/>
        </w:rPr>
        <w:t>Tabela 2:</w:t>
      </w:r>
      <w:r w:rsidRPr="00C86111">
        <w:t xml:space="preserve"> Nove supstance i odluke COP-a</w:t>
      </w:r>
    </w:p>
    <w:p w14:paraId="1CBA489D" w14:textId="77777777" w:rsidR="002B19B1" w:rsidRPr="00C86111" w:rsidRDefault="002B19B1" w:rsidP="002B19B1"/>
    <w:tbl>
      <w:tblPr>
        <w:tblStyle w:val="GridTable5Dark-Accent6"/>
        <w:tblW w:w="0" w:type="auto"/>
        <w:tblLook w:val="04A0" w:firstRow="1" w:lastRow="0" w:firstColumn="1" w:lastColumn="0" w:noHBand="0" w:noVBand="1"/>
      </w:tblPr>
      <w:tblGrid>
        <w:gridCol w:w="1009"/>
        <w:gridCol w:w="1871"/>
        <w:gridCol w:w="2160"/>
        <w:gridCol w:w="1080"/>
        <w:gridCol w:w="2901"/>
      </w:tblGrid>
      <w:tr w:rsidR="002B19B1" w:rsidRPr="00C86111" w14:paraId="43698701"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31807C5D" w14:textId="77777777" w:rsidR="002B19B1" w:rsidRPr="00C86111" w:rsidRDefault="002B19B1" w:rsidP="00BC765B">
            <w:pPr>
              <w:rPr>
                <w:color w:val="auto"/>
                <w:sz w:val="20"/>
                <w:szCs w:val="20"/>
              </w:rPr>
            </w:pPr>
            <w:r w:rsidRPr="00C86111">
              <w:rPr>
                <w:color w:val="auto"/>
                <w:sz w:val="20"/>
                <w:szCs w:val="20"/>
              </w:rPr>
              <w:t>Sastanak COP</w:t>
            </w:r>
          </w:p>
        </w:tc>
        <w:tc>
          <w:tcPr>
            <w:tcW w:w="1871" w:type="dxa"/>
          </w:tcPr>
          <w:p w14:paraId="292FC0A5"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Datum</w:t>
            </w:r>
          </w:p>
        </w:tc>
        <w:tc>
          <w:tcPr>
            <w:tcW w:w="2160" w:type="dxa"/>
          </w:tcPr>
          <w:p w14:paraId="27FE5103"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Supstanca</w:t>
            </w:r>
          </w:p>
        </w:tc>
        <w:tc>
          <w:tcPr>
            <w:tcW w:w="1080" w:type="dxa"/>
          </w:tcPr>
          <w:p w14:paraId="6276961D"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Aneks</w:t>
            </w:r>
          </w:p>
        </w:tc>
        <w:tc>
          <w:tcPr>
            <w:tcW w:w="2901" w:type="dxa"/>
          </w:tcPr>
          <w:p w14:paraId="7A69AEF3" w14:textId="77777777" w:rsidR="002B19B1" w:rsidRPr="00C86111" w:rsidRDefault="002B19B1" w:rsidP="00BC765B">
            <w:pPr>
              <w:cnfStyle w:val="100000000000" w:firstRow="1"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Izuzeci / Odluka</w:t>
            </w:r>
          </w:p>
        </w:tc>
      </w:tr>
      <w:tr w:rsidR="002B19B1" w:rsidRPr="00C86111" w14:paraId="368C1C8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426D0C67" w14:textId="77777777" w:rsidR="002B19B1" w:rsidRPr="00C86111" w:rsidRDefault="002B19B1" w:rsidP="00BC765B">
            <w:pPr>
              <w:rPr>
                <w:color w:val="auto"/>
                <w:sz w:val="20"/>
                <w:szCs w:val="20"/>
              </w:rPr>
            </w:pPr>
            <w:r w:rsidRPr="00C86111">
              <w:rPr>
                <w:color w:val="auto"/>
                <w:sz w:val="20"/>
                <w:szCs w:val="20"/>
              </w:rPr>
              <w:t>11</w:t>
            </w:r>
          </w:p>
        </w:tc>
        <w:tc>
          <w:tcPr>
            <w:tcW w:w="1871" w:type="dxa"/>
          </w:tcPr>
          <w:p w14:paraId="6C81997E"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1-12.05.2023</w:t>
            </w:r>
          </w:p>
        </w:tc>
        <w:tc>
          <w:tcPr>
            <w:tcW w:w="2160" w:type="dxa"/>
          </w:tcPr>
          <w:p w14:paraId="42EA5AF4"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Methoxychlor</w:t>
            </w:r>
          </w:p>
        </w:tc>
        <w:tc>
          <w:tcPr>
            <w:tcW w:w="1080" w:type="dxa"/>
          </w:tcPr>
          <w:p w14:paraId="33B016F0"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056CB5EE"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Bez izuzetaka (SC-11/9)</w:t>
            </w:r>
          </w:p>
        </w:tc>
      </w:tr>
      <w:tr w:rsidR="002B19B1" w:rsidRPr="00C86111" w14:paraId="48BD08BD"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382FB300" w14:textId="77777777" w:rsidR="002B19B1" w:rsidRPr="00C86111" w:rsidRDefault="002B19B1" w:rsidP="00BC765B">
            <w:pPr>
              <w:rPr>
                <w:color w:val="auto"/>
                <w:sz w:val="20"/>
                <w:szCs w:val="20"/>
              </w:rPr>
            </w:pPr>
            <w:r w:rsidRPr="00C86111">
              <w:rPr>
                <w:color w:val="auto"/>
                <w:sz w:val="20"/>
                <w:szCs w:val="20"/>
              </w:rPr>
              <w:t>11</w:t>
            </w:r>
          </w:p>
        </w:tc>
        <w:tc>
          <w:tcPr>
            <w:tcW w:w="1871" w:type="dxa"/>
          </w:tcPr>
          <w:p w14:paraId="18F2CAD0"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1-12.05.2023</w:t>
            </w:r>
          </w:p>
        </w:tc>
        <w:tc>
          <w:tcPr>
            <w:tcW w:w="2160" w:type="dxa"/>
          </w:tcPr>
          <w:p w14:paraId="355B4FCD"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Dechlorane Plus</w:t>
            </w:r>
          </w:p>
        </w:tc>
        <w:tc>
          <w:tcPr>
            <w:tcW w:w="1080" w:type="dxa"/>
          </w:tcPr>
          <w:p w14:paraId="0B1134D5"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2E247C30"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Specifični izuzeci (SC-11/10)</w:t>
            </w:r>
          </w:p>
        </w:tc>
      </w:tr>
      <w:tr w:rsidR="002B19B1" w:rsidRPr="00C86111" w14:paraId="4F604016"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1705298F" w14:textId="77777777" w:rsidR="002B19B1" w:rsidRPr="00C86111" w:rsidRDefault="002B19B1" w:rsidP="00BC765B">
            <w:pPr>
              <w:rPr>
                <w:color w:val="auto"/>
                <w:sz w:val="20"/>
                <w:szCs w:val="20"/>
              </w:rPr>
            </w:pPr>
            <w:r w:rsidRPr="00C86111">
              <w:rPr>
                <w:color w:val="auto"/>
                <w:sz w:val="20"/>
                <w:szCs w:val="20"/>
              </w:rPr>
              <w:t>11</w:t>
            </w:r>
          </w:p>
        </w:tc>
        <w:tc>
          <w:tcPr>
            <w:tcW w:w="1871" w:type="dxa"/>
          </w:tcPr>
          <w:p w14:paraId="3C17FFD5"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1-12.05.2023</w:t>
            </w:r>
          </w:p>
        </w:tc>
        <w:tc>
          <w:tcPr>
            <w:tcW w:w="2160" w:type="dxa"/>
          </w:tcPr>
          <w:p w14:paraId="7FBE60A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UV-328</w:t>
            </w:r>
          </w:p>
        </w:tc>
        <w:tc>
          <w:tcPr>
            <w:tcW w:w="1080" w:type="dxa"/>
          </w:tcPr>
          <w:p w14:paraId="458EAB14"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0D45F1F7"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Specifični izuzeci (SC-11/11)</w:t>
            </w:r>
          </w:p>
        </w:tc>
      </w:tr>
      <w:tr w:rsidR="002B19B1" w:rsidRPr="00C86111" w14:paraId="4BFEE2D1"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3A875E0A" w14:textId="77777777" w:rsidR="002B19B1" w:rsidRPr="00C86111" w:rsidRDefault="002B19B1" w:rsidP="00BC765B">
            <w:pPr>
              <w:rPr>
                <w:color w:val="auto"/>
                <w:sz w:val="20"/>
                <w:szCs w:val="20"/>
              </w:rPr>
            </w:pPr>
            <w:r w:rsidRPr="00C86111">
              <w:rPr>
                <w:color w:val="auto"/>
                <w:sz w:val="20"/>
                <w:szCs w:val="20"/>
              </w:rPr>
              <w:t>10</w:t>
            </w:r>
          </w:p>
        </w:tc>
        <w:tc>
          <w:tcPr>
            <w:tcW w:w="1871" w:type="dxa"/>
          </w:tcPr>
          <w:p w14:paraId="762F7B7F"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6-17.06.2022</w:t>
            </w:r>
          </w:p>
        </w:tc>
        <w:tc>
          <w:tcPr>
            <w:tcW w:w="2160" w:type="dxa"/>
          </w:tcPr>
          <w:p w14:paraId="16A1BD7C"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PFHxS i srodna jedinjenja</w:t>
            </w:r>
          </w:p>
        </w:tc>
        <w:tc>
          <w:tcPr>
            <w:tcW w:w="1080" w:type="dxa"/>
          </w:tcPr>
          <w:p w14:paraId="55EF0BBF"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4EA28616"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Bez izuzetaka (SC-10/13)</w:t>
            </w:r>
          </w:p>
        </w:tc>
      </w:tr>
      <w:tr w:rsidR="002B19B1" w:rsidRPr="00C86111" w14:paraId="15B1E6F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0C504A30" w14:textId="77777777" w:rsidR="002B19B1" w:rsidRPr="00C86111" w:rsidRDefault="002B19B1" w:rsidP="00BC765B">
            <w:pPr>
              <w:rPr>
                <w:color w:val="auto"/>
                <w:sz w:val="20"/>
                <w:szCs w:val="20"/>
              </w:rPr>
            </w:pPr>
            <w:r w:rsidRPr="00C86111">
              <w:rPr>
                <w:color w:val="auto"/>
                <w:sz w:val="20"/>
                <w:szCs w:val="20"/>
              </w:rPr>
              <w:t>9</w:t>
            </w:r>
          </w:p>
        </w:tc>
        <w:tc>
          <w:tcPr>
            <w:tcW w:w="1871" w:type="dxa"/>
          </w:tcPr>
          <w:p w14:paraId="7F3ADA3E"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29.04-10.05.2019</w:t>
            </w:r>
          </w:p>
        </w:tc>
        <w:tc>
          <w:tcPr>
            <w:tcW w:w="2160" w:type="dxa"/>
          </w:tcPr>
          <w:p w14:paraId="0FD36F51"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Dicofol</w:t>
            </w:r>
          </w:p>
        </w:tc>
        <w:tc>
          <w:tcPr>
            <w:tcW w:w="1080" w:type="dxa"/>
          </w:tcPr>
          <w:p w14:paraId="3D623464"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7B80C27B"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Bez izuzetaka (SC-9/11)</w:t>
            </w:r>
          </w:p>
        </w:tc>
      </w:tr>
      <w:tr w:rsidR="002B19B1" w:rsidRPr="00C86111" w14:paraId="01AAB50D"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64F56192" w14:textId="77777777" w:rsidR="002B19B1" w:rsidRPr="00C86111" w:rsidRDefault="002B19B1" w:rsidP="00BC765B">
            <w:pPr>
              <w:rPr>
                <w:color w:val="auto"/>
                <w:sz w:val="20"/>
                <w:szCs w:val="20"/>
              </w:rPr>
            </w:pPr>
            <w:r w:rsidRPr="00C86111">
              <w:rPr>
                <w:color w:val="auto"/>
                <w:sz w:val="20"/>
                <w:szCs w:val="20"/>
              </w:rPr>
              <w:t>9</w:t>
            </w:r>
          </w:p>
        </w:tc>
        <w:tc>
          <w:tcPr>
            <w:tcW w:w="1871" w:type="dxa"/>
          </w:tcPr>
          <w:p w14:paraId="34AD1CD2"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29.04-10.05.2019</w:t>
            </w:r>
          </w:p>
        </w:tc>
        <w:tc>
          <w:tcPr>
            <w:tcW w:w="2160" w:type="dxa"/>
          </w:tcPr>
          <w:p w14:paraId="703764A6"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PFOA i srodna jedinjenja</w:t>
            </w:r>
          </w:p>
        </w:tc>
        <w:tc>
          <w:tcPr>
            <w:tcW w:w="1080" w:type="dxa"/>
          </w:tcPr>
          <w:p w14:paraId="181D35A2"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339F4F1C"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Specifični izuzeci (SC-9/12)</w:t>
            </w:r>
          </w:p>
        </w:tc>
      </w:tr>
      <w:tr w:rsidR="002B19B1" w:rsidRPr="00C86111" w14:paraId="16C65B72"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0CF058F7" w14:textId="77777777" w:rsidR="002B19B1" w:rsidRPr="00C86111" w:rsidRDefault="002B19B1" w:rsidP="00BC765B">
            <w:pPr>
              <w:rPr>
                <w:color w:val="auto"/>
                <w:sz w:val="20"/>
                <w:szCs w:val="20"/>
              </w:rPr>
            </w:pPr>
            <w:r w:rsidRPr="00C86111">
              <w:rPr>
                <w:color w:val="auto"/>
                <w:sz w:val="20"/>
                <w:szCs w:val="20"/>
              </w:rPr>
              <w:t>9</w:t>
            </w:r>
          </w:p>
        </w:tc>
        <w:tc>
          <w:tcPr>
            <w:tcW w:w="1871" w:type="dxa"/>
          </w:tcPr>
          <w:p w14:paraId="7B91B9C5"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29.04-10.05.2019</w:t>
            </w:r>
          </w:p>
        </w:tc>
        <w:tc>
          <w:tcPr>
            <w:tcW w:w="2160" w:type="dxa"/>
          </w:tcPr>
          <w:p w14:paraId="2090BAB0"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PFOS, njegove soli i PFOSF</w:t>
            </w:r>
          </w:p>
        </w:tc>
        <w:tc>
          <w:tcPr>
            <w:tcW w:w="1080" w:type="dxa"/>
          </w:tcPr>
          <w:p w14:paraId="6B56AD81"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w:t>
            </w:r>
          </w:p>
        </w:tc>
        <w:tc>
          <w:tcPr>
            <w:tcW w:w="2901" w:type="dxa"/>
          </w:tcPr>
          <w:p w14:paraId="774B173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Prihvatljive namjene i specifični izuzeci (SC-9/4)</w:t>
            </w:r>
          </w:p>
        </w:tc>
      </w:tr>
      <w:tr w:rsidR="002B19B1" w:rsidRPr="00C86111" w14:paraId="68B4F18B"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52AEDC62" w14:textId="77777777" w:rsidR="002B19B1" w:rsidRPr="00C86111" w:rsidRDefault="002B19B1" w:rsidP="00BC765B">
            <w:pPr>
              <w:rPr>
                <w:color w:val="auto"/>
                <w:sz w:val="20"/>
                <w:szCs w:val="20"/>
              </w:rPr>
            </w:pPr>
            <w:r w:rsidRPr="00C86111">
              <w:rPr>
                <w:color w:val="auto"/>
                <w:sz w:val="20"/>
                <w:szCs w:val="20"/>
              </w:rPr>
              <w:t>8</w:t>
            </w:r>
          </w:p>
        </w:tc>
        <w:tc>
          <w:tcPr>
            <w:tcW w:w="1871" w:type="dxa"/>
          </w:tcPr>
          <w:p w14:paraId="19498FBE"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24.04-5.05.2017</w:t>
            </w:r>
          </w:p>
        </w:tc>
        <w:tc>
          <w:tcPr>
            <w:tcW w:w="2160" w:type="dxa"/>
          </w:tcPr>
          <w:p w14:paraId="361C3455"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DecaBDE</w:t>
            </w:r>
          </w:p>
        </w:tc>
        <w:tc>
          <w:tcPr>
            <w:tcW w:w="1080" w:type="dxa"/>
          </w:tcPr>
          <w:p w14:paraId="73105F37"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5621C5FA"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Specifični izuzeci (SC-8/10)</w:t>
            </w:r>
          </w:p>
        </w:tc>
      </w:tr>
      <w:tr w:rsidR="002B19B1" w:rsidRPr="00C86111" w14:paraId="520C70A5"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00A346A7" w14:textId="77777777" w:rsidR="002B19B1" w:rsidRPr="00C86111" w:rsidRDefault="002B19B1" w:rsidP="00BC765B">
            <w:pPr>
              <w:rPr>
                <w:color w:val="auto"/>
                <w:sz w:val="20"/>
                <w:szCs w:val="20"/>
              </w:rPr>
            </w:pPr>
            <w:r w:rsidRPr="00C86111">
              <w:rPr>
                <w:color w:val="auto"/>
                <w:sz w:val="20"/>
                <w:szCs w:val="20"/>
              </w:rPr>
              <w:t>8</w:t>
            </w:r>
          </w:p>
        </w:tc>
        <w:tc>
          <w:tcPr>
            <w:tcW w:w="1871" w:type="dxa"/>
          </w:tcPr>
          <w:p w14:paraId="12DA3064"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24.04-5.05.2017</w:t>
            </w:r>
          </w:p>
        </w:tc>
        <w:tc>
          <w:tcPr>
            <w:tcW w:w="2160" w:type="dxa"/>
          </w:tcPr>
          <w:p w14:paraId="577F16E3"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Kratkolančani hlorovani parafini</w:t>
            </w:r>
          </w:p>
        </w:tc>
        <w:tc>
          <w:tcPr>
            <w:tcW w:w="1080" w:type="dxa"/>
          </w:tcPr>
          <w:p w14:paraId="419DEE6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62CF9ED0"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Specifični izuzeci (SC-8/11)</w:t>
            </w:r>
          </w:p>
        </w:tc>
      </w:tr>
      <w:tr w:rsidR="002B19B1" w:rsidRPr="00C86111" w14:paraId="4E7CC01E"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424A570A" w14:textId="77777777" w:rsidR="002B19B1" w:rsidRPr="00C86111" w:rsidRDefault="002B19B1" w:rsidP="00BC765B">
            <w:pPr>
              <w:rPr>
                <w:color w:val="auto"/>
                <w:sz w:val="20"/>
                <w:szCs w:val="20"/>
              </w:rPr>
            </w:pPr>
            <w:r w:rsidRPr="00C86111">
              <w:rPr>
                <w:color w:val="auto"/>
                <w:sz w:val="20"/>
                <w:szCs w:val="20"/>
              </w:rPr>
              <w:t>8</w:t>
            </w:r>
          </w:p>
        </w:tc>
        <w:tc>
          <w:tcPr>
            <w:tcW w:w="1871" w:type="dxa"/>
          </w:tcPr>
          <w:p w14:paraId="38F9E018"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24.04-5.05.2017</w:t>
            </w:r>
          </w:p>
        </w:tc>
        <w:tc>
          <w:tcPr>
            <w:tcW w:w="2160" w:type="dxa"/>
          </w:tcPr>
          <w:p w14:paraId="6516BACE"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HCBD</w:t>
            </w:r>
          </w:p>
        </w:tc>
        <w:tc>
          <w:tcPr>
            <w:tcW w:w="1080" w:type="dxa"/>
          </w:tcPr>
          <w:p w14:paraId="3409529E"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C</w:t>
            </w:r>
          </w:p>
        </w:tc>
        <w:tc>
          <w:tcPr>
            <w:tcW w:w="2901" w:type="dxa"/>
          </w:tcPr>
          <w:p w14:paraId="64B352CF"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SC-8/12</w:t>
            </w:r>
          </w:p>
        </w:tc>
      </w:tr>
      <w:tr w:rsidR="002B19B1" w:rsidRPr="00C86111" w14:paraId="7E80D9F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22E30E79" w14:textId="77777777" w:rsidR="002B19B1" w:rsidRPr="00C86111" w:rsidRDefault="002B19B1" w:rsidP="00BC765B">
            <w:pPr>
              <w:rPr>
                <w:color w:val="auto"/>
                <w:sz w:val="20"/>
                <w:szCs w:val="20"/>
              </w:rPr>
            </w:pPr>
            <w:r w:rsidRPr="00C86111">
              <w:rPr>
                <w:color w:val="auto"/>
                <w:sz w:val="20"/>
                <w:szCs w:val="20"/>
              </w:rPr>
              <w:t>7</w:t>
            </w:r>
          </w:p>
        </w:tc>
        <w:tc>
          <w:tcPr>
            <w:tcW w:w="1871" w:type="dxa"/>
          </w:tcPr>
          <w:p w14:paraId="7BAF0E0C"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4-15.05.2015</w:t>
            </w:r>
          </w:p>
        </w:tc>
        <w:tc>
          <w:tcPr>
            <w:tcW w:w="2160" w:type="dxa"/>
          </w:tcPr>
          <w:p w14:paraId="05BAD740"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HCBD</w:t>
            </w:r>
          </w:p>
        </w:tc>
        <w:tc>
          <w:tcPr>
            <w:tcW w:w="1080" w:type="dxa"/>
          </w:tcPr>
          <w:p w14:paraId="6BE07383"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1CBC4A73"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Bez izuzetaka (SC-7/12)</w:t>
            </w:r>
          </w:p>
        </w:tc>
      </w:tr>
      <w:tr w:rsidR="002B19B1" w:rsidRPr="00C86111" w14:paraId="05DCE833"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3035ED49" w14:textId="77777777" w:rsidR="002B19B1" w:rsidRPr="00C86111" w:rsidRDefault="002B19B1" w:rsidP="00BC765B">
            <w:pPr>
              <w:rPr>
                <w:color w:val="auto"/>
                <w:sz w:val="20"/>
                <w:szCs w:val="20"/>
              </w:rPr>
            </w:pPr>
            <w:r w:rsidRPr="00C86111">
              <w:rPr>
                <w:color w:val="auto"/>
                <w:sz w:val="20"/>
                <w:szCs w:val="20"/>
              </w:rPr>
              <w:t>7</w:t>
            </w:r>
          </w:p>
        </w:tc>
        <w:tc>
          <w:tcPr>
            <w:tcW w:w="1871" w:type="dxa"/>
          </w:tcPr>
          <w:p w14:paraId="1FDCD161"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4-15.05.2015</w:t>
            </w:r>
          </w:p>
        </w:tc>
        <w:tc>
          <w:tcPr>
            <w:tcW w:w="2160" w:type="dxa"/>
          </w:tcPr>
          <w:p w14:paraId="75593121"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Pentahlorfenol i njegovi esteri</w:t>
            </w:r>
          </w:p>
        </w:tc>
        <w:tc>
          <w:tcPr>
            <w:tcW w:w="1080" w:type="dxa"/>
          </w:tcPr>
          <w:p w14:paraId="79BEB659"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24665BCF"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Specifični izuzeci (SC-7/13)</w:t>
            </w:r>
          </w:p>
        </w:tc>
      </w:tr>
      <w:tr w:rsidR="002B19B1" w:rsidRPr="00C86111" w14:paraId="62ADDB2C"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06C49165" w14:textId="77777777" w:rsidR="002B19B1" w:rsidRPr="00C86111" w:rsidRDefault="002B19B1" w:rsidP="00BC765B">
            <w:pPr>
              <w:rPr>
                <w:color w:val="auto"/>
                <w:sz w:val="20"/>
                <w:szCs w:val="20"/>
              </w:rPr>
            </w:pPr>
            <w:r w:rsidRPr="00C86111">
              <w:rPr>
                <w:color w:val="auto"/>
                <w:sz w:val="20"/>
                <w:szCs w:val="20"/>
              </w:rPr>
              <w:t>7</w:t>
            </w:r>
          </w:p>
        </w:tc>
        <w:tc>
          <w:tcPr>
            <w:tcW w:w="1871" w:type="dxa"/>
          </w:tcPr>
          <w:p w14:paraId="3E0A9141"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4-15.05.2015</w:t>
            </w:r>
          </w:p>
        </w:tc>
        <w:tc>
          <w:tcPr>
            <w:tcW w:w="2160" w:type="dxa"/>
          </w:tcPr>
          <w:p w14:paraId="367341FB"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Polihlorovani naftaleni</w:t>
            </w:r>
          </w:p>
        </w:tc>
        <w:tc>
          <w:tcPr>
            <w:tcW w:w="1080" w:type="dxa"/>
          </w:tcPr>
          <w:p w14:paraId="7EB70C14"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 i C</w:t>
            </w:r>
          </w:p>
        </w:tc>
        <w:tc>
          <w:tcPr>
            <w:tcW w:w="2901" w:type="dxa"/>
          </w:tcPr>
          <w:p w14:paraId="4F57498F"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Specifični izuzeci (SC-7/14)</w:t>
            </w:r>
          </w:p>
        </w:tc>
      </w:tr>
      <w:tr w:rsidR="002B19B1" w:rsidRPr="00C86111" w14:paraId="31B245A1"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42BE1A39" w14:textId="77777777" w:rsidR="002B19B1" w:rsidRPr="00C86111" w:rsidRDefault="002B19B1" w:rsidP="00BC765B">
            <w:pPr>
              <w:rPr>
                <w:color w:val="auto"/>
                <w:sz w:val="20"/>
                <w:szCs w:val="20"/>
              </w:rPr>
            </w:pPr>
            <w:r w:rsidRPr="00C86111">
              <w:rPr>
                <w:color w:val="auto"/>
                <w:sz w:val="20"/>
                <w:szCs w:val="20"/>
              </w:rPr>
              <w:t>6</w:t>
            </w:r>
          </w:p>
        </w:tc>
        <w:tc>
          <w:tcPr>
            <w:tcW w:w="1871" w:type="dxa"/>
          </w:tcPr>
          <w:p w14:paraId="1200E47C"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28.04-10.05.2013</w:t>
            </w:r>
          </w:p>
        </w:tc>
        <w:tc>
          <w:tcPr>
            <w:tcW w:w="2160" w:type="dxa"/>
          </w:tcPr>
          <w:p w14:paraId="474A327A"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HBCDD</w:t>
            </w:r>
          </w:p>
        </w:tc>
        <w:tc>
          <w:tcPr>
            <w:tcW w:w="1080" w:type="dxa"/>
          </w:tcPr>
          <w:p w14:paraId="047F4C77"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22A5120D"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Specifični izuzeci (SC-6/13)</w:t>
            </w:r>
          </w:p>
        </w:tc>
      </w:tr>
      <w:tr w:rsidR="002B19B1" w:rsidRPr="00C86111" w14:paraId="7D10D966"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1F260137" w14:textId="77777777" w:rsidR="002B19B1" w:rsidRPr="00C86111" w:rsidRDefault="002B19B1" w:rsidP="00BC765B">
            <w:pPr>
              <w:rPr>
                <w:color w:val="auto"/>
                <w:sz w:val="20"/>
                <w:szCs w:val="20"/>
              </w:rPr>
            </w:pPr>
            <w:r w:rsidRPr="00C86111">
              <w:rPr>
                <w:color w:val="auto"/>
                <w:sz w:val="20"/>
                <w:szCs w:val="20"/>
              </w:rPr>
              <w:t>5</w:t>
            </w:r>
          </w:p>
        </w:tc>
        <w:tc>
          <w:tcPr>
            <w:tcW w:w="1871" w:type="dxa"/>
          </w:tcPr>
          <w:p w14:paraId="100958A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25-29.05.2011</w:t>
            </w:r>
          </w:p>
        </w:tc>
        <w:tc>
          <w:tcPr>
            <w:tcW w:w="2160" w:type="dxa"/>
          </w:tcPr>
          <w:p w14:paraId="519A9E9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Tehnički endosulfan i izomeri</w:t>
            </w:r>
          </w:p>
        </w:tc>
        <w:tc>
          <w:tcPr>
            <w:tcW w:w="1080" w:type="dxa"/>
          </w:tcPr>
          <w:p w14:paraId="33C2C8DE"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52A0C77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Specifični izuzeci (SC-5/3)</w:t>
            </w:r>
          </w:p>
        </w:tc>
      </w:tr>
      <w:tr w:rsidR="002B19B1" w:rsidRPr="00C86111" w14:paraId="5EEE7F66"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0A710E9A"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2E49D6D4"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61C35549"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Alpha-HCH</w:t>
            </w:r>
          </w:p>
        </w:tc>
        <w:tc>
          <w:tcPr>
            <w:tcW w:w="1080" w:type="dxa"/>
          </w:tcPr>
          <w:p w14:paraId="1DABBC4B"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60635CDD"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Bez izuzetaka (SC-4/10)</w:t>
            </w:r>
          </w:p>
        </w:tc>
      </w:tr>
      <w:tr w:rsidR="002B19B1" w:rsidRPr="00C86111" w14:paraId="1A28C1B0"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7E9A4238"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7EEB5A32"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25F03A1C"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Beta-HCH</w:t>
            </w:r>
          </w:p>
        </w:tc>
        <w:tc>
          <w:tcPr>
            <w:tcW w:w="1080" w:type="dxa"/>
          </w:tcPr>
          <w:p w14:paraId="0BF2071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5F069255"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Bez izuzetaka (SC-4/11)</w:t>
            </w:r>
          </w:p>
        </w:tc>
      </w:tr>
      <w:tr w:rsidR="002B19B1" w:rsidRPr="00C86111" w14:paraId="67A27E53"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289B4B9D"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68B0953B"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5959F869"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Chlordecone</w:t>
            </w:r>
          </w:p>
        </w:tc>
        <w:tc>
          <w:tcPr>
            <w:tcW w:w="1080" w:type="dxa"/>
          </w:tcPr>
          <w:p w14:paraId="6B9BB746"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4FD2DE2F"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Bez izuzetaka (SC-4/12)</w:t>
            </w:r>
          </w:p>
        </w:tc>
      </w:tr>
      <w:tr w:rsidR="002B19B1" w:rsidRPr="00C86111" w14:paraId="39849F26"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5FD51A68"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0D62E2F9"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25AA201C"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Hexabromobiphenyl</w:t>
            </w:r>
          </w:p>
        </w:tc>
        <w:tc>
          <w:tcPr>
            <w:tcW w:w="1080" w:type="dxa"/>
          </w:tcPr>
          <w:p w14:paraId="0A9E87C0"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7ECA7F5A"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Bez izuzetaka (SC-4/13)</w:t>
            </w:r>
          </w:p>
        </w:tc>
      </w:tr>
      <w:tr w:rsidR="002B19B1" w:rsidRPr="00C86111" w14:paraId="5FCC06CF"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2FDA4D99"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64DFA36C"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728D52F4"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Hexabromodiphenyl ether i heptabromodiphenyl ether</w:t>
            </w:r>
          </w:p>
        </w:tc>
        <w:tc>
          <w:tcPr>
            <w:tcW w:w="1080" w:type="dxa"/>
          </w:tcPr>
          <w:p w14:paraId="32B449FC"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49871F63"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Specifični izuzeci (SC-4/14)</w:t>
            </w:r>
          </w:p>
        </w:tc>
      </w:tr>
      <w:tr w:rsidR="002B19B1" w:rsidRPr="00C86111" w14:paraId="67AF879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312E17FB"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505AB76C"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433B8FC3"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Lindane</w:t>
            </w:r>
          </w:p>
        </w:tc>
        <w:tc>
          <w:tcPr>
            <w:tcW w:w="1080" w:type="dxa"/>
          </w:tcPr>
          <w:p w14:paraId="5F070A66"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2C26CDBD"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Specifični izuzeci (SC-4/15)</w:t>
            </w:r>
          </w:p>
        </w:tc>
      </w:tr>
      <w:tr w:rsidR="002B19B1" w:rsidRPr="00C86111" w14:paraId="289AB41E"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53F204C6"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06ADF401"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5A767632"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Pentahlorbenzen</w:t>
            </w:r>
          </w:p>
        </w:tc>
        <w:tc>
          <w:tcPr>
            <w:tcW w:w="1080" w:type="dxa"/>
          </w:tcPr>
          <w:p w14:paraId="0DA13FF9"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 i C</w:t>
            </w:r>
          </w:p>
        </w:tc>
        <w:tc>
          <w:tcPr>
            <w:tcW w:w="2901" w:type="dxa"/>
          </w:tcPr>
          <w:p w14:paraId="7E1FE4D5"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Bez izuzetaka (SC-4/16)</w:t>
            </w:r>
          </w:p>
        </w:tc>
      </w:tr>
      <w:tr w:rsidR="002B19B1" w:rsidRPr="00C86111" w14:paraId="24677BF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51FCBCBD"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67E17054"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4E9F4645"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PFOS, njegove soli i PFOSF</w:t>
            </w:r>
          </w:p>
        </w:tc>
        <w:tc>
          <w:tcPr>
            <w:tcW w:w="1080" w:type="dxa"/>
          </w:tcPr>
          <w:p w14:paraId="4F57934A"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B</w:t>
            </w:r>
          </w:p>
        </w:tc>
        <w:tc>
          <w:tcPr>
            <w:tcW w:w="2901" w:type="dxa"/>
          </w:tcPr>
          <w:p w14:paraId="6DBA6FFF" w14:textId="77777777" w:rsidR="002B19B1" w:rsidRPr="00C86111" w:rsidRDefault="002B19B1" w:rsidP="00BC765B">
            <w:pPr>
              <w:cnfStyle w:val="000000100000" w:firstRow="0" w:lastRow="0" w:firstColumn="0" w:lastColumn="0" w:oddVBand="0" w:evenVBand="0" w:oddHBand="1" w:evenHBand="0" w:firstRowFirstColumn="0" w:firstRowLastColumn="0" w:lastRowFirstColumn="0" w:lastRowLastColumn="0"/>
              <w:rPr>
                <w:color w:val="auto"/>
                <w:sz w:val="20"/>
                <w:szCs w:val="20"/>
              </w:rPr>
            </w:pPr>
            <w:r w:rsidRPr="00C86111">
              <w:rPr>
                <w:color w:val="auto"/>
                <w:sz w:val="20"/>
                <w:szCs w:val="20"/>
              </w:rPr>
              <w:t>Prihvatljive namjene i specifični izuzeci (SC-4/17)</w:t>
            </w:r>
          </w:p>
        </w:tc>
      </w:tr>
      <w:tr w:rsidR="002B19B1" w:rsidRPr="00C86111" w14:paraId="696ED77A" w14:textId="77777777" w:rsidTr="00BC765B">
        <w:tc>
          <w:tcPr>
            <w:cnfStyle w:val="001000000000" w:firstRow="0" w:lastRow="0" w:firstColumn="1" w:lastColumn="0" w:oddVBand="0" w:evenVBand="0" w:oddHBand="0" w:evenHBand="0" w:firstRowFirstColumn="0" w:firstRowLastColumn="0" w:lastRowFirstColumn="0" w:lastRowLastColumn="0"/>
            <w:tcW w:w="1009" w:type="dxa"/>
          </w:tcPr>
          <w:p w14:paraId="310C06DB" w14:textId="77777777" w:rsidR="002B19B1" w:rsidRPr="00C86111" w:rsidRDefault="002B19B1" w:rsidP="00BC765B">
            <w:pPr>
              <w:rPr>
                <w:color w:val="auto"/>
                <w:sz w:val="20"/>
                <w:szCs w:val="20"/>
              </w:rPr>
            </w:pPr>
            <w:r w:rsidRPr="00C86111">
              <w:rPr>
                <w:color w:val="auto"/>
                <w:sz w:val="20"/>
                <w:szCs w:val="20"/>
              </w:rPr>
              <w:t>4</w:t>
            </w:r>
          </w:p>
        </w:tc>
        <w:tc>
          <w:tcPr>
            <w:tcW w:w="1871" w:type="dxa"/>
          </w:tcPr>
          <w:p w14:paraId="356FBBA7"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4-8.05.2009</w:t>
            </w:r>
          </w:p>
        </w:tc>
        <w:tc>
          <w:tcPr>
            <w:tcW w:w="2160" w:type="dxa"/>
          </w:tcPr>
          <w:p w14:paraId="1A7EC312"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Tetrabromodiphenyl ether i pentabromodiphenyl ether</w:t>
            </w:r>
          </w:p>
        </w:tc>
        <w:tc>
          <w:tcPr>
            <w:tcW w:w="1080" w:type="dxa"/>
          </w:tcPr>
          <w:p w14:paraId="0C0E555F"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A</w:t>
            </w:r>
          </w:p>
        </w:tc>
        <w:tc>
          <w:tcPr>
            <w:tcW w:w="2901" w:type="dxa"/>
          </w:tcPr>
          <w:p w14:paraId="1CEDCA19" w14:textId="77777777" w:rsidR="002B19B1" w:rsidRPr="00C86111" w:rsidRDefault="002B19B1" w:rsidP="00BC765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86111">
              <w:rPr>
                <w:color w:val="auto"/>
                <w:sz w:val="20"/>
                <w:szCs w:val="20"/>
              </w:rPr>
              <w:t>Specifični izuzeci (SC-4/18)</w:t>
            </w:r>
          </w:p>
        </w:tc>
      </w:tr>
    </w:tbl>
    <w:p w14:paraId="5C4D5E93" w14:textId="77777777" w:rsidR="002B19B1" w:rsidRPr="00C86111" w:rsidRDefault="002B19B1" w:rsidP="002B19B1"/>
    <w:p w14:paraId="1F3225E4"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Jedna od centralnih obaveza za države potpisnice, prema članu 7 Konvencije, je razvoj, revizija i periodično ažuriranje Nacionalnog plana implementacije (NIP). Nacionalni Implementacioni Plan  predstavlja strateški okvir za sprovođenje kontrolnih mjera, razvoj akcijskionih planova, vođenje inventara i upravljanje zalihama POPs hemikalija i periodično izvještavanje o efektivnosti Konvencije.  </w:t>
      </w:r>
    </w:p>
    <w:p w14:paraId="61E4524D"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Države ugovornice Stokholmske konvencije dužne su da pripreme plan u kojem objašnjavaju kako će sprovesti obaveze iz Konvencije i da ulože napore da takav plan stave u funkciju (Član 7 Konvencije). U skladu sa odredbama Člana 7 Stokholmske konvencije, države imaju obavezu da periodično preispituju i ažuriraju svoje nacionalne planove implementacije (NIP). Ovaj proces je neophodan kako bi se NIP uskladio sa novim okolnostima, međunarodnim obavezama i nacionalnim prioritetima. Potreba za ažuriranjem može proisteći iz različitih spoljnih i unutrašnjih faktora.</w:t>
      </w:r>
    </w:p>
    <w:p w14:paraId="0F362FD7"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Spoljni faktori obuhvataju izmjene Konvencije i njenih aneksa, uključujući uvrštavanje novih hemikalija na liste zabranjenih ili ograničenih supstanci, zatim odluke Konferencije strana koje utiču na način sprovođenja konvencijskih obaveza, kao i promjene u dostupnosti tehničke i finansijske podrške. Takođe, pristup relevantnoj infrastrukturi van države (npr. objektima za tretman i odlaganje otpada) može značajno uticati na sprovođenje planiranih mjera. </w:t>
      </w:r>
    </w:p>
    <w:p w14:paraId="2CD5F2BE"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Unutrašnji faktori podrazumijevaju nalaze iz izvještavanja prema Članu 15 Konvencije koji mogu ukazivati na nedostatke u postojećem planu, promjene u nacionalnim razvojnim i sektorskim prioritetima, kao i značajne promjene u institucionalnim ili infrastrukturnim uslovima. Dodatno, unaprijeđeni ili ažurirani inventari POPs-a mogu ukazati na promjene u obimu problema koji je potrebno adresirati.</w:t>
      </w:r>
    </w:p>
    <w:p w14:paraId="26CE403C"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Tokom procesa revizije, države su dužne da ocijene i efikasnost već sprovedenih mjera, strategija i akcionih planova iz prethodnih verzija NIP-a. Posebno je važno redovno preispitivanje mjera koje se odnose na nenamjerne emisije POPs-a, što je zahtjev eksplicitno naveden u Članu 5 Konvencije, koji propisuje petogodišnji ciklus evaluacije ovih aktivnosti.</w:t>
      </w:r>
    </w:p>
    <w:p w14:paraId="51831623"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Ovakav sistematski pristup omogućava da NIP ostane relevantan, primjenljiv i usklađen sa međunarodnim zahtjevima, ali i sa razvojnim potrebama i mogućnostima države. </w:t>
      </w:r>
    </w:p>
    <w:p w14:paraId="2CF51C7A"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U okviru globalnog napora da se podrži implementacija Konvencije, razvijen je Globalni projekat ažuriranja NIP-a (GEF ID 10875) zajedno sa satelitskim projektima (GEF ID 10924), koji se sprovode u zemljama Centralne i Istočne Evrope i zemljama u tranziciji. Projekti, implementirani od strane UNEP-a u saradnji sa izvršnim agencijama i Regionalnim centrima Stokholmske konvencije, uključuju tehničku i operativnu podršku zemljama korisnicama, a jedan od ključnih partnera u ovom regionu je RECETOX pri Masarykovom univerzitetu u Brnu. Za Crnu Goru, saradnja između RECETOX-a i Centra za ekotoksikološka ispitivanja Podgorica (CETI) formalizovana je Ugovorom o saradnji potpisanim u septembru 2023. godine. Ugovor je definisao  zajedničke zadatke i obaveze, uključujući:</w:t>
      </w:r>
    </w:p>
    <w:p w14:paraId="52522D0A" w14:textId="77777777" w:rsidR="002B19B1" w:rsidRPr="00C86111" w:rsidRDefault="002B19B1" w:rsidP="007E2AA5">
      <w:pPr>
        <w:numPr>
          <w:ilvl w:val="0"/>
          <w:numId w:val="1"/>
        </w:numPr>
        <w:jc w:val="both"/>
        <w:rPr>
          <w:rFonts w:asciiTheme="minorHAnsi" w:hAnsiTheme="minorHAnsi" w:cstheme="minorHAnsi"/>
          <w:color w:val="auto"/>
          <w:szCs w:val="24"/>
        </w:rPr>
      </w:pPr>
      <w:r w:rsidRPr="00C86111">
        <w:rPr>
          <w:rFonts w:asciiTheme="minorHAnsi" w:hAnsiTheme="minorHAnsi" w:cstheme="minorHAnsi"/>
          <w:color w:val="auto"/>
          <w:szCs w:val="24"/>
        </w:rPr>
        <w:t>saradnju sa nacionalnom fokalnom tačkom Stokholmske konvencije i relevantnim institucijama,</w:t>
      </w:r>
    </w:p>
    <w:p w14:paraId="3596C5BB" w14:textId="77777777" w:rsidR="002B19B1" w:rsidRPr="00C86111" w:rsidRDefault="002B19B1" w:rsidP="007E2AA5">
      <w:pPr>
        <w:numPr>
          <w:ilvl w:val="0"/>
          <w:numId w:val="1"/>
        </w:numPr>
        <w:jc w:val="both"/>
        <w:rPr>
          <w:rFonts w:asciiTheme="minorHAnsi" w:hAnsiTheme="minorHAnsi" w:cstheme="minorHAnsi"/>
          <w:color w:val="auto"/>
          <w:szCs w:val="24"/>
        </w:rPr>
      </w:pPr>
      <w:r w:rsidRPr="00C86111">
        <w:rPr>
          <w:rFonts w:asciiTheme="minorHAnsi" w:hAnsiTheme="minorHAnsi" w:cstheme="minorHAnsi"/>
          <w:color w:val="auto"/>
          <w:szCs w:val="24"/>
        </w:rPr>
        <w:t>pripremu inventara POPs hemikalija i akcione planove,</w:t>
      </w:r>
    </w:p>
    <w:p w14:paraId="742C5C64" w14:textId="77777777" w:rsidR="002B19B1" w:rsidRPr="00C86111" w:rsidRDefault="002B19B1" w:rsidP="007E2AA5">
      <w:pPr>
        <w:numPr>
          <w:ilvl w:val="0"/>
          <w:numId w:val="1"/>
        </w:numPr>
        <w:jc w:val="both"/>
        <w:rPr>
          <w:rFonts w:asciiTheme="minorHAnsi" w:hAnsiTheme="minorHAnsi" w:cstheme="minorHAnsi"/>
          <w:color w:val="auto"/>
          <w:szCs w:val="24"/>
        </w:rPr>
      </w:pPr>
      <w:r w:rsidRPr="00C86111">
        <w:rPr>
          <w:rFonts w:asciiTheme="minorHAnsi" w:hAnsiTheme="minorHAnsi" w:cstheme="minorHAnsi"/>
          <w:color w:val="auto"/>
          <w:szCs w:val="24"/>
        </w:rPr>
        <w:t>organizaciju radionica, sastanaka i nacionalnih konsultacija,</w:t>
      </w:r>
    </w:p>
    <w:p w14:paraId="64E150C7" w14:textId="77777777" w:rsidR="002B19B1" w:rsidRPr="00C86111" w:rsidRDefault="002B19B1" w:rsidP="007E2AA5">
      <w:pPr>
        <w:numPr>
          <w:ilvl w:val="0"/>
          <w:numId w:val="1"/>
        </w:numPr>
        <w:jc w:val="both"/>
        <w:rPr>
          <w:rFonts w:asciiTheme="minorHAnsi" w:hAnsiTheme="minorHAnsi" w:cstheme="minorHAnsi"/>
          <w:color w:val="auto"/>
          <w:szCs w:val="24"/>
        </w:rPr>
      </w:pPr>
      <w:r w:rsidRPr="00C86111">
        <w:rPr>
          <w:rFonts w:asciiTheme="minorHAnsi" w:hAnsiTheme="minorHAnsi" w:cstheme="minorHAnsi"/>
          <w:color w:val="auto"/>
          <w:szCs w:val="24"/>
        </w:rPr>
        <w:t>saradnju sa ekspertima i državnim organima,</w:t>
      </w:r>
    </w:p>
    <w:p w14:paraId="32E4C43A" w14:textId="77777777" w:rsidR="002B19B1" w:rsidRPr="00C86111" w:rsidRDefault="002B19B1" w:rsidP="007E2AA5">
      <w:pPr>
        <w:numPr>
          <w:ilvl w:val="0"/>
          <w:numId w:val="1"/>
        </w:numPr>
        <w:jc w:val="both"/>
        <w:rPr>
          <w:rFonts w:asciiTheme="minorHAnsi" w:hAnsiTheme="minorHAnsi" w:cstheme="minorHAnsi"/>
          <w:color w:val="auto"/>
          <w:szCs w:val="24"/>
        </w:rPr>
      </w:pPr>
      <w:r w:rsidRPr="00C86111">
        <w:rPr>
          <w:rFonts w:asciiTheme="minorHAnsi" w:hAnsiTheme="minorHAnsi" w:cstheme="minorHAnsi"/>
          <w:color w:val="auto"/>
          <w:szCs w:val="24"/>
        </w:rPr>
        <w:t>podizanje javne svijesti i informisanje dionika,</w:t>
      </w:r>
    </w:p>
    <w:p w14:paraId="0D48A80F" w14:textId="77777777" w:rsidR="002B19B1" w:rsidRPr="00C86111" w:rsidRDefault="002B19B1" w:rsidP="007E2AA5">
      <w:pPr>
        <w:numPr>
          <w:ilvl w:val="0"/>
          <w:numId w:val="1"/>
        </w:numPr>
        <w:jc w:val="both"/>
        <w:rPr>
          <w:rFonts w:asciiTheme="minorHAnsi" w:hAnsiTheme="minorHAnsi" w:cstheme="minorHAnsi"/>
          <w:color w:val="auto"/>
          <w:szCs w:val="24"/>
        </w:rPr>
      </w:pPr>
      <w:r w:rsidRPr="00C86111">
        <w:rPr>
          <w:rFonts w:asciiTheme="minorHAnsi" w:hAnsiTheme="minorHAnsi" w:cstheme="minorHAnsi"/>
          <w:color w:val="auto"/>
          <w:szCs w:val="24"/>
        </w:rPr>
        <w:t>redovno izvještavanje o sprovedenim aktivnostima i finansijama.</w:t>
      </w:r>
    </w:p>
    <w:p w14:paraId="376409C3"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Vrijednost ugovora iznosi 300.750 USD, dok je rok za završetak svih aktivnosti 30. novembar 2025., a ugovor ostaje na snazi do 30. juna 2026.</w:t>
      </w:r>
    </w:p>
    <w:p w14:paraId="13D74E2A"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Glavni cilj projekta je doprinos sprovođenju Stokholmske konvencije i zaštiti zdravlja ljudi i životne sredine od rizika povezanih sa POPs hemikalijama. Projekat teži da osigura usklađenost </w:t>
      </w:r>
      <w:r w:rsidRPr="00C86111">
        <w:rPr>
          <w:rFonts w:asciiTheme="minorHAnsi" w:hAnsiTheme="minorHAnsi" w:cstheme="minorHAnsi"/>
          <w:color w:val="auto"/>
          <w:szCs w:val="24"/>
        </w:rPr>
        <w:lastRenderedPageBreak/>
        <w:t>NIP-a sa članom 7 Konvencije i unaprijedi kvalitet nacionalnog izvještavanja prema članu 15, uključujući nove hemikalije dodate od 2009. do 2023. godine.</w:t>
      </w:r>
    </w:p>
    <w:p w14:paraId="45DE704F"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Struktura projekta podijeljena je u pet komponenti, među kojima su politička podrška, uključivanje zainteresovanih strana, razvoj metodologija, revizija i ažuriranje NIP-a, te izvještavanje i monitoring. Kroz ove aktivnosti, Crna Gora jača institucionalne kapacitete, razvija nacionalne baze podataka o POPs hemikalijama, obučava stručnjake i podiže svijest javnosti, čime direktno doprinosi globalnim naporima u eliminaciji ovih opasnih supstanci.</w:t>
      </w:r>
    </w:p>
    <w:p w14:paraId="01875262"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Glavni rezultat projekta jeste ažurirani Nacionalni Implementacioni Plan koji obuhvata hemikalije iz originalnog plana, dodatne supstance dodate do 2019. godine, uz preliminarno uključivanje novih hemikalija iz 2022–2023. godine.  Proces izrade NIP-a uključuje nekoliko ključnih aktivnosti. Jedna od ključnih aktivnosti jeste izrada inventara POPs hemikalija, koji sadrži podatke o proizvodnji, uvozu, izvozu, zalihama, kontaminiranim lokacijama i postojećim regulatornim mjerama. Na osnovu inventara, definisani se prioriteti i ciljevi, a potom se pripremio nacrt NIP-a koji se razmatra i validije uz podršku nacionalnih zainteresovanih strana i relevantnih institucija.</w:t>
      </w:r>
    </w:p>
    <w:p w14:paraId="3F70183F"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Pored samog NIP-a, projekat predviđa i pripremu nacionalnih izvještaja prema članu 15 Konvencije, koji sistematizuju podatke prikupljene tokom izrade inventara i konsultacija sa zainteresovanim stranama. Ovi izvještaji omogućavaju transparentno praćenje napretka u implementaciji Konvencije i pomažu u identifikaciji potreba za dodatnim mjerama ili prilagođavanjem akcijskionih planova.</w:t>
      </w:r>
    </w:p>
    <w:p w14:paraId="4A5F0DE4"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Drugi važan segment koji je proistekao iz projekta uključuje razne podržavajuće izvještaje i analize, među kojima su:</w:t>
      </w:r>
    </w:p>
    <w:p w14:paraId="3BA4C370" w14:textId="77777777" w:rsidR="002B19B1" w:rsidRPr="00C86111" w:rsidRDefault="002B19B1" w:rsidP="007E2AA5">
      <w:pPr>
        <w:numPr>
          <w:ilvl w:val="0"/>
          <w:numId w:val="2"/>
        </w:numPr>
        <w:jc w:val="both"/>
        <w:rPr>
          <w:rFonts w:asciiTheme="minorHAnsi" w:hAnsiTheme="minorHAnsi" w:cstheme="minorHAnsi"/>
          <w:color w:val="auto"/>
          <w:szCs w:val="24"/>
        </w:rPr>
      </w:pPr>
      <w:r w:rsidRPr="00C86111">
        <w:rPr>
          <w:rFonts w:asciiTheme="minorHAnsi" w:hAnsiTheme="minorHAnsi" w:cstheme="minorHAnsi"/>
          <w:color w:val="auto"/>
          <w:szCs w:val="24"/>
        </w:rPr>
        <w:t>pravna analiza nedostataka u zakonodavstvu i preporuke za poboljšanja,</w:t>
      </w:r>
    </w:p>
    <w:p w14:paraId="3AEA70D6" w14:textId="77777777" w:rsidR="002B19B1" w:rsidRPr="00C86111" w:rsidRDefault="002B19B1" w:rsidP="007E2AA5">
      <w:pPr>
        <w:numPr>
          <w:ilvl w:val="0"/>
          <w:numId w:val="2"/>
        </w:numPr>
        <w:jc w:val="both"/>
        <w:rPr>
          <w:rFonts w:asciiTheme="minorHAnsi" w:hAnsiTheme="minorHAnsi" w:cstheme="minorHAnsi"/>
          <w:color w:val="auto"/>
          <w:szCs w:val="24"/>
        </w:rPr>
      </w:pPr>
      <w:r w:rsidRPr="00C86111">
        <w:rPr>
          <w:rFonts w:asciiTheme="minorHAnsi" w:hAnsiTheme="minorHAnsi" w:cstheme="minorHAnsi"/>
          <w:color w:val="auto"/>
          <w:szCs w:val="24"/>
        </w:rPr>
        <w:t>izvještaji o nenamjerno proizvedenim POPs hemikalijama i o postojećim programima monitoringa,</w:t>
      </w:r>
    </w:p>
    <w:p w14:paraId="4EF790B7" w14:textId="77777777" w:rsidR="002B19B1" w:rsidRPr="00C86111" w:rsidRDefault="002B19B1" w:rsidP="007E2AA5">
      <w:pPr>
        <w:numPr>
          <w:ilvl w:val="0"/>
          <w:numId w:val="2"/>
        </w:numPr>
        <w:jc w:val="both"/>
        <w:rPr>
          <w:rFonts w:asciiTheme="minorHAnsi" w:hAnsiTheme="minorHAnsi" w:cstheme="minorHAnsi"/>
          <w:color w:val="auto"/>
          <w:szCs w:val="24"/>
        </w:rPr>
      </w:pPr>
      <w:r w:rsidRPr="00C86111">
        <w:rPr>
          <w:rFonts w:asciiTheme="minorHAnsi" w:hAnsiTheme="minorHAnsi" w:cstheme="minorHAnsi"/>
          <w:color w:val="auto"/>
          <w:szCs w:val="24"/>
        </w:rPr>
        <w:t>izvještaji o istraživanju, edukaciji i podizanju svijesti javnosti,</w:t>
      </w:r>
    </w:p>
    <w:p w14:paraId="0A77A78E" w14:textId="77777777" w:rsidR="002B19B1" w:rsidRPr="00C86111" w:rsidRDefault="002B19B1" w:rsidP="007E2AA5">
      <w:pPr>
        <w:numPr>
          <w:ilvl w:val="0"/>
          <w:numId w:val="2"/>
        </w:numPr>
        <w:jc w:val="both"/>
        <w:rPr>
          <w:rFonts w:asciiTheme="minorHAnsi" w:hAnsiTheme="minorHAnsi" w:cstheme="minorHAnsi"/>
          <w:color w:val="auto"/>
          <w:szCs w:val="24"/>
        </w:rPr>
      </w:pPr>
      <w:r w:rsidRPr="00C86111">
        <w:rPr>
          <w:rFonts w:asciiTheme="minorHAnsi" w:hAnsiTheme="minorHAnsi" w:cstheme="minorHAnsi"/>
          <w:color w:val="auto"/>
          <w:szCs w:val="24"/>
        </w:rPr>
        <w:t>izvještaji o tehničkoj i finansijskoj podršci,</w:t>
      </w:r>
    </w:p>
    <w:p w14:paraId="2B63BBB8" w14:textId="77777777" w:rsidR="002B19B1" w:rsidRPr="00C86111" w:rsidRDefault="002B19B1" w:rsidP="007E2AA5">
      <w:pPr>
        <w:numPr>
          <w:ilvl w:val="0"/>
          <w:numId w:val="2"/>
        </w:numPr>
        <w:jc w:val="both"/>
        <w:rPr>
          <w:rFonts w:asciiTheme="minorHAnsi" w:hAnsiTheme="minorHAnsi" w:cstheme="minorHAnsi"/>
          <w:color w:val="auto"/>
          <w:szCs w:val="24"/>
        </w:rPr>
      </w:pPr>
      <w:r w:rsidRPr="00C86111">
        <w:rPr>
          <w:rFonts w:asciiTheme="minorHAnsi" w:hAnsiTheme="minorHAnsi" w:cstheme="minorHAnsi"/>
          <w:color w:val="auto"/>
          <w:szCs w:val="24"/>
        </w:rPr>
        <w:t>izvještaji o prioritizaciji aktivnosti i listi akcijskih planova, koji definišu kratkoročne i dugoročne mjere za upravljanje POPs.</w:t>
      </w:r>
    </w:p>
    <w:p w14:paraId="2C25401C"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Sve ove aktivnosti i dokumenti su omogućile integrisan i participativan proces, u kojem se nacionalni kapaciteti jačaju kroz obuku stručnjaka, saradnju sa institucijama, izradu baza podataka i koordinaciju sa međunarodnim partnerima. Na taj način, Crna Gora ne samo da ispunjava svoje obaveze prema Stokholmskoj konvenciji, već i stvara funkcionalan sistem za kontinuirano praćenje i upravljanje POPs hemikalijama, čime doprinosi zaštiti zdravlja ljudi i očuvanju životne sredine.</w:t>
      </w:r>
    </w:p>
    <w:p w14:paraId="61328483" w14:textId="77777777" w:rsidR="002B19B1" w:rsidRPr="00C86111" w:rsidRDefault="002B19B1" w:rsidP="00004F34">
      <w:pPr>
        <w:pStyle w:val="Heading1"/>
        <w:numPr>
          <w:ilvl w:val="1"/>
          <w:numId w:val="238"/>
        </w:numPr>
      </w:pPr>
      <w:bookmarkStart w:id="3" w:name="_Toc220541837"/>
      <w:r w:rsidRPr="00C86111">
        <w:t>Međunarodni kontekst Stokholmske konvencije</w:t>
      </w:r>
      <w:bookmarkEnd w:id="3"/>
    </w:p>
    <w:p w14:paraId="6A127366" w14:textId="77777777" w:rsidR="002B19B1" w:rsidRPr="00C86111" w:rsidRDefault="002B19B1" w:rsidP="002B19B1">
      <w:pPr>
        <w:jc w:val="both"/>
        <w:rPr>
          <w:rFonts w:asciiTheme="minorHAnsi" w:hAnsiTheme="minorHAnsi" w:cstheme="minorHAnsi"/>
          <w:b/>
          <w:bCs/>
          <w:color w:val="4472C4" w:themeColor="accent1"/>
          <w:szCs w:val="24"/>
        </w:rPr>
      </w:pPr>
    </w:p>
    <w:p w14:paraId="60E1F9C7"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Sve države članice UN su kroz različite međunarodne sporazume i inicijative preuzele obavezu da upravljaju hemikalijama i postojanim organskim zagađujućim materijama (POPs) na način koji štiti ljudsko zdravlje i životnu sredinu. Jedan od ključnih međunarodnih okvira u ovom kontekstu je Stokholmska konvencija, koja postavlja globalne standarde za kontrolu, ograničavanje i eliminaciju POPs hemikalija.</w:t>
      </w:r>
    </w:p>
    <w:p w14:paraId="58382C72"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Stokholmska konvencija, usvojena 2001. godine i stupila na snagu 2004. godine, zahtijeva od država ugovornica da razviju, implementiraju i periodično ažuriraju Nacionalne planove implementacije (NIP), kroz koje se planiraju aktivnosti za smanjenje rizika od POPs-a. Ova konvencija doprinosi globalnoj koordinaciji u praćenju, kontroli i upravljanju ovim opasnim supstancama, uz poseban fokus na zaštitu osjetljivih grupa, kao što su djeca i žene, te očuvanje ekosistema.</w:t>
      </w:r>
    </w:p>
    <w:p w14:paraId="7E0DF37E"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U međunarodnom kontekstu, Stokholmska konvencija se nadovezuje na druge ključne konvencije o hemikalijama i opasnom otpadu, uključujući Roterdamsku, Bazelsku i Minamatsku konvenciju, čime se stvara sveobuhvatan okvir za kontrolu hemikalija i sigurnu upravljačku praksu na globalnom nivou. Pored toga, kroz programe podrške UNEP-a i finansiranje iz Globalnog fonda za životnu sredinu (GEF), države članice imaju mogućnost razvoja kapaciteta i sprovođenja aktivnosti potrebnih za implementaciju konvencije.</w:t>
      </w:r>
    </w:p>
    <w:p w14:paraId="4231BFE2" w14:textId="611EAB5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Stokholmska konvencija, kroz NIP-ove i pripadajuće smjernice, podstiče države da integrišu aktivnosti u nacionalne strategije održivog razvoja i da primjenjuju najbolje prakse u kontroli POPs-a. Na ovaj način, globalni okvir konvencije doprinosi smanjenju rizika od opasnih hemikalija, jača institucionalne kapacitete i omogućava koordinisano djelovanje država širom svijeta u skladu sa principima održivog razvoja i međunarodnim standardima zaštite životne sredine i zdravlja ljudi.</w:t>
      </w:r>
    </w:p>
    <w:p w14:paraId="099B1241" w14:textId="77777777" w:rsidR="002B19B1" w:rsidRPr="00C86111" w:rsidRDefault="002B19B1" w:rsidP="00004F34">
      <w:pPr>
        <w:pStyle w:val="Heading1"/>
        <w:numPr>
          <w:ilvl w:val="1"/>
          <w:numId w:val="238"/>
        </w:numPr>
        <w:rPr>
          <w:color w:val="auto"/>
        </w:rPr>
      </w:pPr>
      <w:bookmarkStart w:id="4" w:name="_Toc220541838"/>
      <w:r w:rsidRPr="00C86111">
        <w:t>EU kontekst Stokholmske konvencije</w:t>
      </w:r>
      <w:bookmarkEnd w:id="4"/>
    </w:p>
    <w:p w14:paraId="1D17F03A" w14:textId="77777777" w:rsidR="002B19B1" w:rsidRPr="00C86111" w:rsidRDefault="002B19B1" w:rsidP="00EA6904">
      <w:pPr>
        <w:pStyle w:val="Heading2"/>
      </w:pPr>
    </w:p>
    <w:p w14:paraId="3A67A5C8"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Evropska unija je uspostavila sveobuhvatan pravni i institucionalni okvir za implementaciju obaveza iz Stokholmske konvencije, s ciljem zaštite zdravlja ljudi i životne sredine od postojanih organskih zagađujućih supstanci (POPs). Glavni instrument za upravljanje POPs u EU je Regulativa (EZ) 2019/1021, koja zabranjuje, ograničava ili postupno ukida proizvodnju, stavljanje na tržište i upotrebu supstanci obuhvaćenih Stokholmskom konvencijom, Protokolom o POPs i Konvencijom o dalekosežnom prekograničnom zagađivanju vazduha.</w:t>
      </w:r>
    </w:p>
    <w:p w14:paraId="354FB2CA"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Pored toga, REACH uredba (EZ) 1907/2006 povećava znanje o osobinama hemikalija i doprinosi identifikaciji i kontroli supstanci koje pokazuju karakteristike POPs, dok Uredba (EZ) 689/2008 reguliše uvoz i izvoz opasnih hemikalija u skladu sa Roterdamskom konvencijom, uključujući zabrane uvoza 10 POPs supstanci trenutno obuhvaćenih Stokholmskom konvencijom.</w:t>
      </w:r>
    </w:p>
    <w:p w14:paraId="4D8AADA6"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EU pravni okvir obuhvata i direktive koje se odnose na specifične POPs supstance i izvore emisija, uključujući:</w:t>
      </w:r>
    </w:p>
    <w:p w14:paraId="5C3490F8" w14:textId="77777777" w:rsidR="002B19B1" w:rsidRPr="00C86111" w:rsidRDefault="002B19B1" w:rsidP="007E2AA5">
      <w:pPr>
        <w:numPr>
          <w:ilvl w:val="0"/>
          <w:numId w:val="3"/>
        </w:numPr>
        <w:jc w:val="both"/>
        <w:rPr>
          <w:rFonts w:asciiTheme="minorHAnsi" w:hAnsiTheme="minorHAnsi" w:cstheme="minorHAnsi"/>
          <w:color w:val="auto"/>
          <w:szCs w:val="24"/>
        </w:rPr>
      </w:pPr>
      <w:r w:rsidRPr="00C86111">
        <w:rPr>
          <w:rFonts w:asciiTheme="minorHAnsi" w:hAnsiTheme="minorHAnsi" w:cstheme="minorHAnsi"/>
          <w:color w:val="auto"/>
          <w:szCs w:val="24"/>
        </w:rPr>
        <w:t>Direktiva 96/59/EC o odlaganju PCB i PCT, koja propisuje mjere za uklanjanje, dekontaminaciju i sigurno odlaganje opreme koja sadrži PCB;</w:t>
      </w:r>
    </w:p>
    <w:p w14:paraId="67AA67DD" w14:textId="77777777" w:rsidR="002B19B1" w:rsidRPr="00C86111" w:rsidRDefault="002B19B1" w:rsidP="007E2AA5">
      <w:pPr>
        <w:numPr>
          <w:ilvl w:val="0"/>
          <w:numId w:val="3"/>
        </w:numPr>
        <w:jc w:val="both"/>
        <w:rPr>
          <w:rFonts w:asciiTheme="minorHAnsi" w:hAnsiTheme="minorHAnsi" w:cstheme="minorHAnsi"/>
          <w:color w:val="auto"/>
          <w:szCs w:val="24"/>
        </w:rPr>
      </w:pPr>
      <w:r w:rsidRPr="00C86111">
        <w:rPr>
          <w:rFonts w:asciiTheme="minorHAnsi" w:hAnsiTheme="minorHAnsi" w:cstheme="minorHAnsi"/>
          <w:color w:val="auto"/>
          <w:szCs w:val="24"/>
        </w:rPr>
        <w:t>CLP Regulativa, Direktiva o sredstvima za zaštitu bilja i Uredba o biocidnim proizvodima, koje regulišu označavanje, stavljanje u promet i upotrebu novih POPs supstanci;</w:t>
      </w:r>
    </w:p>
    <w:p w14:paraId="0F5F6719" w14:textId="77777777" w:rsidR="002B19B1" w:rsidRPr="00C86111" w:rsidRDefault="002B19B1" w:rsidP="007E2AA5">
      <w:pPr>
        <w:numPr>
          <w:ilvl w:val="0"/>
          <w:numId w:val="3"/>
        </w:numPr>
        <w:jc w:val="both"/>
        <w:rPr>
          <w:rFonts w:asciiTheme="minorHAnsi" w:hAnsiTheme="minorHAnsi" w:cstheme="minorHAnsi"/>
          <w:color w:val="auto"/>
          <w:szCs w:val="24"/>
        </w:rPr>
      </w:pPr>
      <w:r w:rsidRPr="00C86111">
        <w:rPr>
          <w:rFonts w:asciiTheme="minorHAnsi" w:hAnsiTheme="minorHAnsi" w:cstheme="minorHAnsi"/>
          <w:color w:val="auto"/>
          <w:szCs w:val="24"/>
        </w:rPr>
        <w:t>Direktiva 2010/75/EC o industrijskim emisijama, koja postavlja pravila za sprečavanje i smanjenje emisija POPs supstanci u vazduh, vodu i zemljište, uključujući emisije iz industrijskih postrojenja;</w:t>
      </w:r>
    </w:p>
    <w:p w14:paraId="5A02ED71" w14:textId="77777777" w:rsidR="002B19B1" w:rsidRPr="00C86111" w:rsidRDefault="002B19B1" w:rsidP="007E2AA5">
      <w:pPr>
        <w:numPr>
          <w:ilvl w:val="0"/>
          <w:numId w:val="3"/>
        </w:numPr>
        <w:jc w:val="both"/>
        <w:rPr>
          <w:rFonts w:asciiTheme="minorHAnsi" w:hAnsiTheme="minorHAnsi" w:cstheme="minorHAnsi"/>
          <w:color w:val="auto"/>
          <w:szCs w:val="24"/>
        </w:rPr>
      </w:pPr>
      <w:r w:rsidRPr="00C86111">
        <w:rPr>
          <w:rFonts w:asciiTheme="minorHAnsi" w:hAnsiTheme="minorHAnsi" w:cstheme="minorHAnsi"/>
          <w:color w:val="auto"/>
          <w:szCs w:val="24"/>
        </w:rPr>
        <w:t>Direktiva 2000/76/EC o spaljivanju otpada i Direktiva 2001/80/EC o sagorijevanju iz velikih postrojenja, koje definišu granične vrijednosti emisija dioksina, furana i drugih POPs;</w:t>
      </w:r>
    </w:p>
    <w:p w14:paraId="3D5BED34" w14:textId="77777777" w:rsidR="002B19B1" w:rsidRPr="00C86111" w:rsidRDefault="002B19B1" w:rsidP="007E2AA5">
      <w:pPr>
        <w:numPr>
          <w:ilvl w:val="0"/>
          <w:numId w:val="3"/>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Direktiva 2000/53/EC o otpadnim vozilima, Direktiva 2002/96/EC i 2012/19/EC o električnoj i elektronskoj opremi (WEEE) i RoHS Direktiva 2011/65/EU, koje regulišu kontrolu i odlaganje opasnih supstanci u proizvodima i otpadu;</w:t>
      </w:r>
    </w:p>
    <w:p w14:paraId="0AA7C5FA" w14:textId="77777777" w:rsidR="002B19B1" w:rsidRPr="00C86111" w:rsidRDefault="002B19B1" w:rsidP="007E2AA5">
      <w:pPr>
        <w:numPr>
          <w:ilvl w:val="0"/>
          <w:numId w:val="3"/>
        </w:numPr>
        <w:jc w:val="both"/>
        <w:rPr>
          <w:rFonts w:asciiTheme="minorHAnsi" w:hAnsiTheme="minorHAnsi" w:cstheme="minorHAnsi"/>
          <w:color w:val="auto"/>
          <w:szCs w:val="24"/>
        </w:rPr>
      </w:pPr>
      <w:r w:rsidRPr="00C86111">
        <w:rPr>
          <w:rFonts w:asciiTheme="minorHAnsi" w:hAnsiTheme="minorHAnsi" w:cstheme="minorHAnsi"/>
          <w:color w:val="auto"/>
          <w:szCs w:val="24"/>
        </w:rPr>
        <w:t>Direktiva 2002/32/EC o nepoželjnim supstancama u hrani za životinje i Direktiva 2013/39/EU o prioritetnim supstancama u vodama, koje definišu nadzor i ograničenja POPs supstanci u prehrambenom lancu i životnoj sredini;</w:t>
      </w:r>
    </w:p>
    <w:p w14:paraId="6162B261" w14:textId="77777777" w:rsidR="002B19B1" w:rsidRPr="00C86111" w:rsidRDefault="002B19B1" w:rsidP="007E2AA5">
      <w:pPr>
        <w:numPr>
          <w:ilvl w:val="0"/>
          <w:numId w:val="3"/>
        </w:numPr>
        <w:jc w:val="both"/>
        <w:rPr>
          <w:rFonts w:asciiTheme="minorHAnsi" w:hAnsiTheme="minorHAnsi" w:cstheme="minorHAnsi"/>
          <w:color w:val="auto"/>
          <w:szCs w:val="24"/>
        </w:rPr>
      </w:pPr>
      <w:r w:rsidRPr="00C86111">
        <w:rPr>
          <w:rFonts w:asciiTheme="minorHAnsi" w:hAnsiTheme="minorHAnsi" w:cstheme="minorHAnsi"/>
          <w:color w:val="auto"/>
          <w:szCs w:val="24"/>
        </w:rPr>
        <w:t>Direktiva 2008/98/EC o upravljanju otpadom i Regulativa 1013/2006 o prekograničnom kretanju otpada, koja obuhvata POPs u otpadu i definiše kontrolu transporta i odlaganja opasnog otpada.</w:t>
      </w:r>
    </w:p>
    <w:p w14:paraId="226213AC"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U okviru procesa pristupanja EU, Poglavlje 27 – Životna sredina i klimatske promjene je ključno za implementaciju Stokholmske konvencije u Crnoj Gori. Zajednička pozicija EU za Poglavlje 27 potvrđuje da Crna Gora prihvata svu relevantnu pravnu tekovinu u ovoj oblasti i mora je implementirati od dana pristupanja, uz određene prelazne rokove. Na primjer, prelazni rok za član 3 Direktive 96/59/EZ o odlaganju PCB-a i PCT-a je do 31. decembra 2025. godine.</w:t>
      </w:r>
    </w:p>
    <w:p w14:paraId="27997E8F"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Implementacija EU zakonodavstva omogućava Crnoj Gori da:</w:t>
      </w:r>
    </w:p>
    <w:p w14:paraId="4698FBF5" w14:textId="77777777" w:rsidR="002B19B1" w:rsidRPr="00C86111" w:rsidRDefault="002B19B1" w:rsidP="007E2AA5">
      <w:pPr>
        <w:numPr>
          <w:ilvl w:val="0"/>
          <w:numId w:val="4"/>
        </w:numPr>
        <w:jc w:val="both"/>
        <w:rPr>
          <w:rFonts w:asciiTheme="minorHAnsi" w:hAnsiTheme="minorHAnsi" w:cstheme="minorHAnsi"/>
          <w:color w:val="auto"/>
          <w:szCs w:val="24"/>
        </w:rPr>
      </w:pPr>
      <w:r w:rsidRPr="00C86111">
        <w:rPr>
          <w:rFonts w:asciiTheme="minorHAnsi" w:hAnsiTheme="minorHAnsi" w:cstheme="minorHAnsi"/>
          <w:color w:val="auto"/>
          <w:szCs w:val="24"/>
        </w:rPr>
        <w:t>uspostavi pravni okvir i institucionalne kapacitete za upravljanje POPs;</w:t>
      </w:r>
    </w:p>
    <w:p w14:paraId="7606AED5" w14:textId="77777777" w:rsidR="002B19B1" w:rsidRPr="00C86111" w:rsidRDefault="002B19B1" w:rsidP="007E2AA5">
      <w:pPr>
        <w:numPr>
          <w:ilvl w:val="0"/>
          <w:numId w:val="4"/>
        </w:numPr>
        <w:jc w:val="both"/>
        <w:rPr>
          <w:rFonts w:asciiTheme="minorHAnsi" w:hAnsiTheme="minorHAnsi" w:cstheme="minorHAnsi"/>
          <w:color w:val="auto"/>
          <w:szCs w:val="24"/>
        </w:rPr>
      </w:pPr>
      <w:r w:rsidRPr="00C86111">
        <w:rPr>
          <w:rFonts w:asciiTheme="minorHAnsi" w:hAnsiTheme="minorHAnsi" w:cstheme="minorHAnsi"/>
          <w:color w:val="auto"/>
          <w:szCs w:val="24"/>
        </w:rPr>
        <w:t>izradi i ažurira nacionalne inventare POPs;</w:t>
      </w:r>
    </w:p>
    <w:p w14:paraId="796E107F" w14:textId="77777777" w:rsidR="002B19B1" w:rsidRPr="00C86111" w:rsidRDefault="002B19B1" w:rsidP="007E2AA5">
      <w:pPr>
        <w:numPr>
          <w:ilvl w:val="0"/>
          <w:numId w:val="4"/>
        </w:numPr>
        <w:jc w:val="both"/>
        <w:rPr>
          <w:rFonts w:asciiTheme="minorHAnsi" w:hAnsiTheme="minorHAnsi" w:cstheme="minorHAnsi"/>
          <w:color w:val="auto"/>
          <w:szCs w:val="24"/>
        </w:rPr>
      </w:pPr>
      <w:r w:rsidRPr="00C86111">
        <w:rPr>
          <w:rFonts w:asciiTheme="minorHAnsi" w:hAnsiTheme="minorHAnsi" w:cstheme="minorHAnsi"/>
          <w:color w:val="auto"/>
          <w:szCs w:val="24"/>
        </w:rPr>
        <w:t>implementira mjere za prevenciju emisija i kontrolu upotrebe POPs;</w:t>
      </w:r>
    </w:p>
    <w:p w14:paraId="0E7BC05E" w14:textId="77777777" w:rsidR="002B19B1" w:rsidRPr="00C86111" w:rsidRDefault="002B19B1" w:rsidP="007E2AA5">
      <w:pPr>
        <w:numPr>
          <w:ilvl w:val="0"/>
          <w:numId w:val="4"/>
        </w:numPr>
        <w:jc w:val="both"/>
        <w:rPr>
          <w:rFonts w:asciiTheme="minorHAnsi" w:hAnsiTheme="minorHAnsi" w:cstheme="minorHAnsi"/>
          <w:color w:val="auto"/>
          <w:szCs w:val="24"/>
        </w:rPr>
      </w:pPr>
      <w:r w:rsidRPr="00C86111">
        <w:rPr>
          <w:rFonts w:asciiTheme="minorHAnsi" w:hAnsiTheme="minorHAnsi" w:cstheme="minorHAnsi"/>
          <w:color w:val="auto"/>
          <w:szCs w:val="24"/>
        </w:rPr>
        <w:t>prati emisije i nadzire primjenu zakona kroz izvještavanje i registre, uključujući Evropski registar emisija zagađivača (EPER) i izvještavanje o PCB;</w:t>
      </w:r>
    </w:p>
    <w:p w14:paraId="3C8F7CBD" w14:textId="77777777" w:rsidR="002B19B1" w:rsidRPr="00C86111" w:rsidRDefault="002B19B1" w:rsidP="007E2AA5">
      <w:pPr>
        <w:numPr>
          <w:ilvl w:val="0"/>
          <w:numId w:val="4"/>
        </w:numPr>
        <w:jc w:val="both"/>
        <w:rPr>
          <w:rFonts w:asciiTheme="minorHAnsi" w:hAnsiTheme="minorHAnsi" w:cstheme="minorHAnsi"/>
          <w:color w:val="auto"/>
          <w:szCs w:val="24"/>
        </w:rPr>
      </w:pPr>
      <w:r w:rsidRPr="00C86111">
        <w:rPr>
          <w:rFonts w:asciiTheme="minorHAnsi" w:hAnsiTheme="minorHAnsi" w:cstheme="minorHAnsi"/>
          <w:color w:val="auto"/>
          <w:szCs w:val="24"/>
        </w:rPr>
        <w:t>integriše upravljanje POPs u širi kontekst zaštite životne sredine, otpada i cirkularne ekonomije;</w:t>
      </w:r>
    </w:p>
    <w:p w14:paraId="67B1270A" w14:textId="77777777" w:rsidR="002B19B1" w:rsidRPr="00C86111" w:rsidRDefault="002B19B1" w:rsidP="007E2AA5">
      <w:pPr>
        <w:numPr>
          <w:ilvl w:val="0"/>
          <w:numId w:val="4"/>
        </w:numPr>
        <w:jc w:val="both"/>
        <w:rPr>
          <w:rFonts w:asciiTheme="minorHAnsi" w:hAnsiTheme="minorHAnsi" w:cstheme="minorHAnsi"/>
          <w:color w:val="auto"/>
          <w:szCs w:val="24"/>
        </w:rPr>
      </w:pPr>
      <w:r w:rsidRPr="00C86111">
        <w:rPr>
          <w:rFonts w:asciiTheme="minorHAnsi" w:hAnsiTheme="minorHAnsi" w:cstheme="minorHAnsi"/>
          <w:color w:val="auto"/>
          <w:szCs w:val="24"/>
        </w:rPr>
        <w:t>osigura postupno uklanjanje najopasnijih supstanci i prelazak na sigurnije alternative u proizvodima, industriji i životnoj sredini.</w:t>
      </w:r>
    </w:p>
    <w:p w14:paraId="1233964F"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Indikativni strateški dokument Crne Gore za IPA 2014-2020 ukazuje na sve oblasti u kojima EU planira da pruži finansijsku podršku tokom procesa integracije, uključujući bezbjedno upravljanje hemikalijama i POPs supstancama. Aktivnosti predviđene ovim dokumentom direktno utiču na jačanje nacionalnog sistema za sprovođenje Stokholmske konvencije, uključujući identifikaciju potreba, monitoring, prevenciju i kontrolu emisija, edukaciju i uključivanje relevantnih zainteresovanih strana.</w:t>
      </w:r>
    </w:p>
    <w:p w14:paraId="61D256DB" w14:textId="70A013AD"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Na ovaj način, EU kontekst Stokholmske konvencije za Crnu Goru predstavlja ključni okvir za harmonizaciju zakonodavstva, jačanje kapaciteta i osiguranje efikasnog i održivog upravljanja POPs hemikalijama, u skladu sa međunarodnim obavezama i strateškim ciljevima EU.</w:t>
      </w:r>
    </w:p>
    <w:p w14:paraId="5D5AEA38" w14:textId="77777777" w:rsidR="002B19B1" w:rsidRPr="00C86111" w:rsidRDefault="002B19B1" w:rsidP="00004F34">
      <w:pPr>
        <w:pStyle w:val="Heading1"/>
        <w:numPr>
          <w:ilvl w:val="1"/>
          <w:numId w:val="238"/>
        </w:numPr>
      </w:pPr>
      <w:bookmarkStart w:id="5" w:name="_Toc220541839"/>
      <w:r w:rsidRPr="00C86111">
        <w:t>Nacionalni kontekst primjene Stokholmske konvencije</w:t>
      </w:r>
      <w:bookmarkEnd w:id="5"/>
    </w:p>
    <w:p w14:paraId="03D85E4F" w14:textId="77777777" w:rsidR="002B19B1" w:rsidRPr="00C86111" w:rsidRDefault="002B19B1" w:rsidP="002B19B1">
      <w:pPr>
        <w:jc w:val="both"/>
        <w:rPr>
          <w:rFonts w:asciiTheme="minorHAnsi" w:hAnsiTheme="minorHAnsi" w:cstheme="minorHAnsi"/>
          <w:b/>
          <w:bCs/>
          <w:color w:val="auto"/>
          <w:szCs w:val="24"/>
        </w:rPr>
      </w:pPr>
    </w:p>
    <w:p w14:paraId="1EA6A8C2"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Crna Gora je u martu 2011. godine pristupila Stokholmskoj konvenciji o dugotrajnim organskim zagađujućim supstancama (POPs), čime je preuzela međunarodne obaveze u cilju smanjenja i eliminacije supstanci koje predstavljaju visok rizik za zdravlje ljudi i životnu sredinu. Ratifikacijom Konvencije stvoren je osnov za sistemsko upravljanje POPs hemikalijama i jačanje nacionalnih kapaciteta u skladu sa međunarodnim standardima.</w:t>
      </w:r>
    </w:p>
    <w:p w14:paraId="7AA4ECD2"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Primjena Konvencije zahtijevala je usklađivanje nacionalnog zakonodavstva sa pravnom tekovinom Evropske unije i relevantnim globalnim sporazumima u oblasti hemikalija i zaštite </w:t>
      </w:r>
      <w:r w:rsidRPr="00C86111">
        <w:rPr>
          <w:rFonts w:asciiTheme="minorHAnsi" w:hAnsiTheme="minorHAnsi" w:cstheme="minorHAnsi"/>
          <w:color w:val="auto"/>
          <w:szCs w:val="24"/>
        </w:rPr>
        <w:lastRenderedPageBreak/>
        <w:t>životne sredine. U tom kontekstu, Crna Gora je uspostavila obuhvatan zakonodavni okvir koji uređuje upravljanje POPs supstancama u svim fazama njihovog životnog ciklusa — od proizvodnje i uvoza do upotrebe, skladištenja, transporta i odlaganja otpada. Pored Zakona o hemikalijama, ovaj okvir čine propisi iz oblasti zaštite vazduha, upravljanja otpadom, pesticida, industrijskih emisija, zaštite radnika i drugih povezanih oblasti.</w:t>
      </w:r>
    </w:p>
    <w:p w14:paraId="241E2608"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Crna Gora je takođe potpisnica i drugih međunarodnih konvencija relevantnih za oblast POPs supstanci, uključujući Roterdamsku, Bazelsku, Aarhusku i Barselonsku konvenciju. Njihova implementacija doprinosi kontroli prekograničnog kretanja opasnih hemikalija i otpada, unapređenju transparentnosti, učešću javnosti i jačanju regionalne saradnje u zaštiti životne sredine.</w:t>
      </w:r>
    </w:p>
    <w:p w14:paraId="33A5D08E"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Značajan doprinos razumijevanju stanja u oblasti POPs hemikalija ostvaren je kroz projekte finansirane putem Globalnog fonda za životnu sredinu (GEF) i drugih međunarodnih mehanizama. Ovi projekti omogućili su izradu nacionalnih inventara, procjenu rizika, unapređenje institucionalnih i tehničkih kapaciteta, kao i uspostavljanje praksi za odgovorno upravljanje POPs supstancama. Posebno važan rezultat postignut je u oblasti upravljanja polihlorovanim bifenilima (PCB). U saradnji sa ključnim industrijskim subjektima, sprovedene su aktivnosti identifikacije, obilježavanja, bezbjednog skladištenja i zamjene opreme koja sadrži PCB ulja, čime je smanjen rizik od ispuštanja ovih supstanci u životnu sredinu.</w:t>
      </w:r>
    </w:p>
    <w:p w14:paraId="7B3EB4A5"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Proces daljeg usklađivanja sa EU zahtjevima odvija se kroz harmonizaciju sa REACH, CLP regulativom, kao i sa Uredbom (EU) 2019/1021 o POPs supstancama. Ove obaveze su usklađene sa širim strateškim procesima, uključujući implementaciju Evropskog zelenog dogovora i Zelene agende za Zapadni Balkan, što zahtijeva primjenu najboljih dostupnih tehnika, kontrolu supstanci koje izazivaju zabrinutost i postepenu eliminaciju POPs hemikalija iz upotrebe.</w:t>
      </w:r>
    </w:p>
    <w:p w14:paraId="2FA50EB6"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Sve navedene aktivnosti doprinose razvoju efikasnog sistema upravljanja POPs hemikalijama, koji obezbjeđuje visok nivo zaštite zdravlja ljudi i životne sredine i omogućava ispunjavanje međunarodnih obaveza preuzetih ratifikacijom Stokholmske konvencije.</w:t>
      </w:r>
    </w:p>
    <w:p w14:paraId="77053ACC" w14:textId="77777777" w:rsidR="00BC765B" w:rsidRPr="00C86111" w:rsidRDefault="00BC765B" w:rsidP="00912C4C">
      <w:pPr>
        <w:pStyle w:val="Heading1"/>
      </w:pPr>
      <w:bookmarkStart w:id="6" w:name="_Toc220541840"/>
      <w:r w:rsidRPr="00C86111">
        <w:t>METODOLOGIJA I SADRŽINA NACIONALNOG IMPLEMENTACIONOG PLANA (NIP)</w:t>
      </w:r>
      <w:bookmarkEnd w:id="6"/>
    </w:p>
    <w:p w14:paraId="1EADA4FD" w14:textId="77777777" w:rsidR="00BC765B" w:rsidRPr="00C86111" w:rsidRDefault="00BC765B" w:rsidP="00EA6904">
      <w:pPr>
        <w:pStyle w:val="Heading2"/>
      </w:pPr>
    </w:p>
    <w:p w14:paraId="069F4193" w14:textId="77777777" w:rsidR="00BC765B" w:rsidRPr="00C86111" w:rsidRDefault="00BC765B" w:rsidP="00BC765B">
      <w:pPr>
        <w:jc w:val="both"/>
        <w:rPr>
          <w:color w:val="auto"/>
        </w:rPr>
      </w:pPr>
      <w:r w:rsidRPr="00C86111">
        <w:rPr>
          <w:color w:val="auto"/>
        </w:rPr>
        <w:t>Ažurirani Nacionalni implementacioni plan (NIP) za sprovođenje Stokholmske konvencije u Crnoj Gori izrađen je primjenom sveobuhvatnog metodološkog okvira koji se zasniva na međunarodnim smjernicama Konvencije, kao i na nacionalnom zakonodavnom i strateškom okviru za izradu strateških dokumenata.</w:t>
      </w:r>
    </w:p>
    <w:p w14:paraId="638EC2FC" w14:textId="77777777" w:rsidR="00BC765B" w:rsidRPr="00C86111" w:rsidRDefault="00BC765B" w:rsidP="00004F34">
      <w:pPr>
        <w:pStyle w:val="Heading1"/>
        <w:numPr>
          <w:ilvl w:val="1"/>
          <w:numId w:val="238"/>
        </w:numPr>
      </w:pPr>
      <w:bookmarkStart w:id="7" w:name="_Toc220541841"/>
      <w:r w:rsidRPr="00C86111">
        <w:t>Međunarodni metodološki okvir</w:t>
      </w:r>
      <w:bookmarkEnd w:id="7"/>
    </w:p>
    <w:p w14:paraId="55132B1A" w14:textId="77777777" w:rsidR="00876F1D" w:rsidRPr="00C86111" w:rsidRDefault="00876F1D" w:rsidP="00876F1D">
      <w:pPr>
        <w:rPr>
          <w:lang w:val="sr-Latn-ME"/>
        </w:rPr>
      </w:pPr>
    </w:p>
    <w:p w14:paraId="76DB3654" w14:textId="77777777" w:rsidR="00BC765B" w:rsidRPr="00C86111" w:rsidRDefault="00BC765B" w:rsidP="00BC765B">
      <w:pPr>
        <w:jc w:val="both"/>
        <w:rPr>
          <w:color w:val="auto"/>
        </w:rPr>
      </w:pPr>
      <w:r w:rsidRPr="00C86111">
        <w:rPr>
          <w:color w:val="auto"/>
        </w:rPr>
        <w:t>Primarna međunarodna referenca u izradi i ažuriranju NIP-a su smjernice Sekretarijata Stokholmske konvencije za razvoj, pregled i ažuriranje nacionalnih implementacionih planova („Guidance for developing, reviewing and updating National Implementation Plans“). Ove smjernice su izrađene u cilju podrške Strankama Konvencije da ispune obaveze koje proizilaze iz Člana 7 Konvencije, posebno:</w:t>
      </w:r>
    </w:p>
    <w:p w14:paraId="52C02D39" w14:textId="77777777" w:rsidR="00BC765B" w:rsidRPr="00C86111" w:rsidRDefault="00BC765B" w:rsidP="00004F34">
      <w:pPr>
        <w:numPr>
          <w:ilvl w:val="0"/>
          <w:numId w:val="230"/>
        </w:numPr>
        <w:jc w:val="both"/>
        <w:rPr>
          <w:color w:val="auto"/>
        </w:rPr>
      </w:pPr>
      <w:r w:rsidRPr="00C86111">
        <w:rPr>
          <w:color w:val="auto"/>
        </w:rPr>
        <w:lastRenderedPageBreak/>
        <w:t>obavezu pripreme i redovnog ažuriranja NIP-ova;</w:t>
      </w:r>
    </w:p>
    <w:p w14:paraId="3193D586" w14:textId="77777777" w:rsidR="00BC765B" w:rsidRPr="00C86111" w:rsidRDefault="00BC765B" w:rsidP="00004F34">
      <w:pPr>
        <w:numPr>
          <w:ilvl w:val="0"/>
          <w:numId w:val="230"/>
        </w:numPr>
        <w:jc w:val="both"/>
        <w:rPr>
          <w:color w:val="auto"/>
        </w:rPr>
      </w:pPr>
      <w:r w:rsidRPr="00C86111">
        <w:rPr>
          <w:color w:val="auto"/>
        </w:rPr>
        <w:t>sistematsko prikupljanje, obradu i analizu podataka o POPs supstancama;</w:t>
      </w:r>
    </w:p>
    <w:p w14:paraId="0F734C26" w14:textId="77777777" w:rsidR="00BC765B" w:rsidRPr="00C86111" w:rsidRDefault="00BC765B" w:rsidP="00004F34">
      <w:pPr>
        <w:numPr>
          <w:ilvl w:val="0"/>
          <w:numId w:val="230"/>
        </w:numPr>
        <w:jc w:val="both"/>
        <w:rPr>
          <w:color w:val="auto"/>
        </w:rPr>
      </w:pPr>
      <w:r w:rsidRPr="00C86111">
        <w:rPr>
          <w:color w:val="auto"/>
        </w:rPr>
        <w:t>definisanje inventara POPs supstanci u različitim sektorima (npr. pesticidi, industrijska upotreba, emisije iz procesa);</w:t>
      </w:r>
    </w:p>
    <w:p w14:paraId="553D18CF" w14:textId="77777777" w:rsidR="00BC765B" w:rsidRPr="00C86111" w:rsidRDefault="00BC765B" w:rsidP="00004F34">
      <w:pPr>
        <w:numPr>
          <w:ilvl w:val="0"/>
          <w:numId w:val="230"/>
        </w:numPr>
        <w:jc w:val="both"/>
        <w:rPr>
          <w:color w:val="auto"/>
        </w:rPr>
      </w:pPr>
      <w:r w:rsidRPr="00C86111">
        <w:rPr>
          <w:color w:val="auto"/>
        </w:rPr>
        <w:t>identifikaciju problema, prioriteta i mjera za smanjenje ili eliminaciju upotrebe i emisija POPs;</w:t>
      </w:r>
    </w:p>
    <w:p w14:paraId="23ED9039" w14:textId="77777777" w:rsidR="00BC765B" w:rsidRPr="00C86111" w:rsidRDefault="00BC765B" w:rsidP="00004F34">
      <w:pPr>
        <w:numPr>
          <w:ilvl w:val="0"/>
          <w:numId w:val="230"/>
        </w:numPr>
        <w:jc w:val="both"/>
        <w:rPr>
          <w:color w:val="auto"/>
        </w:rPr>
      </w:pPr>
      <w:r w:rsidRPr="00C86111">
        <w:rPr>
          <w:color w:val="auto"/>
        </w:rPr>
        <w:t>povezivanje nacionalnih aktivnosti sa međunarodnim obavezama i najboljom međunarodnom praksom.</w:t>
      </w:r>
    </w:p>
    <w:p w14:paraId="6BC29812" w14:textId="77777777" w:rsidR="00BC765B" w:rsidRPr="00C86111" w:rsidRDefault="00BC765B" w:rsidP="00BC765B">
      <w:pPr>
        <w:jc w:val="both"/>
        <w:rPr>
          <w:color w:val="auto"/>
        </w:rPr>
      </w:pPr>
      <w:r w:rsidRPr="00C86111">
        <w:rPr>
          <w:color w:val="auto"/>
        </w:rPr>
        <w:t>Ove smjernice se koriste kao referentna metodološka podrška i predstavljaju najvažniji međunarodni standard za kvalitetnu, transparentnu i usporedivu pripremu NIP-a, iako nisu striktno preskriptivne u formi.</w:t>
      </w:r>
    </w:p>
    <w:p w14:paraId="2350E1AD" w14:textId="77777777" w:rsidR="00BC765B" w:rsidRPr="00C86111" w:rsidRDefault="00BC765B" w:rsidP="00BC765B">
      <w:pPr>
        <w:jc w:val="both"/>
        <w:rPr>
          <w:color w:val="auto"/>
        </w:rPr>
      </w:pPr>
      <w:r w:rsidRPr="00C86111">
        <w:rPr>
          <w:color w:val="auto"/>
        </w:rPr>
        <w:t>Preporučeni proces iz smjernica uključuje logičke faze koje obuhvataju:</w:t>
      </w:r>
    </w:p>
    <w:p w14:paraId="70EE7C7E" w14:textId="77777777" w:rsidR="00BC765B" w:rsidRPr="00C86111" w:rsidRDefault="00BC765B" w:rsidP="00004F34">
      <w:pPr>
        <w:numPr>
          <w:ilvl w:val="0"/>
          <w:numId w:val="235"/>
        </w:numPr>
        <w:jc w:val="both"/>
        <w:rPr>
          <w:color w:val="auto"/>
        </w:rPr>
      </w:pPr>
      <w:r w:rsidRPr="00C86111">
        <w:rPr>
          <w:color w:val="auto"/>
        </w:rPr>
        <w:t>organizaciju procesa i koordinaciju između nadležnih institucija;</w:t>
      </w:r>
    </w:p>
    <w:p w14:paraId="082AD507" w14:textId="77777777" w:rsidR="00BC765B" w:rsidRPr="00C86111" w:rsidRDefault="00BC765B" w:rsidP="00004F34">
      <w:pPr>
        <w:numPr>
          <w:ilvl w:val="0"/>
          <w:numId w:val="235"/>
        </w:numPr>
        <w:jc w:val="both"/>
        <w:rPr>
          <w:color w:val="auto"/>
        </w:rPr>
      </w:pPr>
      <w:r w:rsidRPr="00C86111">
        <w:rPr>
          <w:color w:val="auto"/>
        </w:rPr>
        <w:t>identifikaciju potreba za ažuriranjem postojećeg NIP-a;</w:t>
      </w:r>
    </w:p>
    <w:p w14:paraId="6E3B2CB4" w14:textId="77777777" w:rsidR="00BC765B" w:rsidRPr="00C86111" w:rsidRDefault="00BC765B" w:rsidP="00004F34">
      <w:pPr>
        <w:numPr>
          <w:ilvl w:val="0"/>
          <w:numId w:val="235"/>
        </w:numPr>
        <w:jc w:val="both"/>
        <w:rPr>
          <w:color w:val="auto"/>
        </w:rPr>
      </w:pPr>
      <w:r w:rsidRPr="00C86111">
        <w:rPr>
          <w:color w:val="auto"/>
        </w:rPr>
        <w:t>prikupljanje i verificiranje podataka o POPs supstancama (količine, uvoz, upotreba, emisije i otpad);</w:t>
      </w:r>
    </w:p>
    <w:p w14:paraId="6F2EFA50" w14:textId="77777777" w:rsidR="00BC765B" w:rsidRPr="00C86111" w:rsidRDefault="00BC765B" w:rsidP="00004F34">
      <w:pPr>
        <w:numPr>
          <w:ilvl w:val="0"/>
          <w:numId w:val="235"/>
        </w:numPr>
        <w:jc w:val="both"/>
        <w:rPr>
          <w:color w:val="auto"/>
        </w:rPr>
      </w:pPr>
      <w:r w:rsidRPr="00C86111">
        <w:rPr>
          <w:color w:val="auto"/>
        </w:rPr>
        <w:t>analizu prioriteta i procjenu rizika;</w:t>
      </w:r>
    </w:p>
    <w:p w14:paraId="7845B1E4" w14:textId="77777777" w:rsidR="00BC765B" w:rsidRPr="00C86111" w:rsidRDefault="00BC765B" w:rsidP="00004F34">
      <w:pPr>
        <w:numPr>
          <w:ilvl w:val="0"/>
          <w:numId w:val="235"/>
        </w:numPr>
        <w:jc w:val="both"/>
        <w:rPr>
          <w:color w:val="auto"/>
        </w:rPr>
      </w:pPr>
      <w:r w:rsidRPr="00C86111">
        <w:rPr>
          <w:color w:val="auto"/>
        </w:rPr>
        <w:t>formulaciju ažuriranog plana aktivnosti sa jasnim ciljevima, rokovima i nadležnostima;</w:t>
      </w:r>
    </w:p>
    <w:p w14:paraId="24C66826" w14:textId="77777777" w:rsidR="00BC765B" w:rsidRPr="00C86111" w:rsidRDefault="00BC765B" w:rsidP="00004F34">
      <w:pPr>
        <w:numPr>
          <w:ilvl w:val="0"/>
          <w:numId w:val="235"/>
        </w:numPr>
        <w:tabs>
          <w:tab w:val="clear" w:pos="720"/>
        </w:tabs>
        <w:jc w:val="both"/>
        <w:rPr>
          <w:color w:val="auto"/>
        </w:rPr>
      </w:pPr>
      <w:r w:rsidRPr="00C86111">
        <w:rPr>
          <w:color w:val="auto"/>
        </w:rPr>
        <w:t>verifikaciju i usvajanje dokumenta te dostavljanje Sekretarijatu Konvencije.</w:t>
      </w:r>
    </w:p>
    <w:p w14:paraId="6A963811" w14:textId="77777777" w:rsidR="00BC765B" w:rsidRPr="00C86111" w:rsidRDefault="00BC765B" w:rsidP="00BC765B">
      <w:pPr>
        <w:jc w:val="both"/>
        <w:rPr>
          <w:color w:val="auto"/>
        </w:rPr>
      </w:pPr>
      <w:r w:rsidRPr="00C86111">
        <w:rPr>
          <w:color w:val="auto"/>
        </w:rPr>
        <w:t>Ovaj sekvencijalni pristup doprinosi da proces izrade i ažuriranja bude strukturan, transparentan i utemeljen na dokazima.</w:t>
      </w:r>
    </w:p>
    <w:p w14:paraId="1FF1E235" w14:textId="77777777" w:rsidR="00BC765B" w:rsidRPr="00C86111" w:rsidRDefault="00BC765B" w:rsidP="00BC765B">
      <w:pPr>
        <w:jc w:val="both"/>
        <w:rPr>
          <w:color w:val="auto"/>
        </w:rPr>
      </w:pPr>
      <w:r w:rsidRPr="00C86111">
        <w:rPr>
          <w:color w:val="auto"/>
        </w:rPr>
        <w:t>Smjernice takođe  uključuju specifične module koji pružaju tehničku podršku za:</w:t>
      </w:r>
    </w:p>
    <w:p w14:paraId="1D7FD2AA" w14:textId="77777777" w:rsidR="00BC765B" w:rsidRPr="00C86111" w:rsidRDefault="00BC765B" w:rsidP="00004F34">
      <w:pPr>
        <w:numPr>
          <w:ilvl w:val="0"/>
          <w:numId w:val="231"/>
        </w:numPr>
        <w:jc w:val="both"/>
        <w:rPr>
          <w:color w:val="auto"/>
        </w:rPr>
      </w:pPr>
      <w:r w:rsidRPr="00C86111">
        <w:rPr>
          <w:color w:val="auto"/>
        </w:rPr>
        <w:t>izradu inventara za različite grupe POPs supstanci (npr. PFOS, PBDE, HBCD, SCCP itd.);</w:t>
      </w:r>
    </w:p>
    <w:p w14:paraId="4BC17B34" w14:textId="77777777" w:rsidR="00BC765B" w:rsidRPr="00C86111" w:rsidRDefault="00BC765B" w:rsidP="00004F34">
      <w:pPr>
        <w:numPr>
          <w:ilvl w:val="0"/>
          <w:numId w:val="231"/>
        </w:numPr>
        <w:jc w:val="both"/>
        <w:rPr>
          <w:color w:val="auto"/>
        </w:rPr>
      </w:pPr>
      <w:r w:rsidRPr="00C86111">
        <w:rPr>
          <w:color w:val="auto"/>
        </w:rPr>
        <w:t>procjenu emisija PCDD/PCDF, HCB i drugih nenamjerno proizvedenih POPs supstanci;</w:t>
      </w:r>
    </w:p>
    <w:p w14:paraId="58A0639D" w14:textId="77777777" w:rsidR="00BC765B" w:rsidRPr="00C86111" w:rsidRDefault="00BC765B" w:rsidP="00004F34">
      <w:pPr>
        <w:numPr>
          <w:ilvl w:val="0"/>
          <w:numId w:val="231"/>
        </w:numPr>
        <w:jc w:val="both"/>
        <w:rPr>
          <w:color w:val="auto"/>
        </w:rPr>
      </w:pPr>
      <w:r w:rsidRPr="00C86111">
        <w:rPr>
          <w:color w:val="auto"/>
        </w:rPr>
        <w:t>procjenu socio-ekonomskih troškova i resursa potrebnih za implementaciju mjera;</w:t>
      </w:r>
    </w:p>
    <w:p w14:paraId="3B5C0A85" w14:textId="5B33D983" w:rsidR="00BC765B" w:rsidRPr="00912C4C" w:rsidRDefault="00BC765B" w:rsidP="00004F34">
      <w:pPr>
        <w:numPr>
          <w:ilvl w:val="0"/>
          <w:numId w:val="231"/>
        </w:numPr>
        <w:jc w:val="both"/>
        <w:rPr>
          <w:color w:val="auto"/>
        </w:rPr>
      </w:pPr>
      <w:r w:rsidRPr="00912C4C">
        <w:rPr>
          <w:color w:val="auto"/>
        </w:rPr>
        <w:t>preporuke o najboljim dostupnim tehnikama i ekološki prihvatljivim praksama (BAT/BEP).</w:t>
      </w:r>
    </w:p>
    <w:p w14:paraId="550C613D" w14:textId="77777777" w:rsidR="00BC765B" w:rsidRPr="00C86111" w:rsidRDefault="00BC765B" w:rsidP="00004F34">
      <w:pPr>
        <w:pStyle w:val="Heading1"/>
        <w:numPr>
          <w:ilvl w:val="1"/>
          <w:numId w:val="238"/>
        </w:numPr>
      </w:pPr>
      <w:bookmarkStart w:id="8" w:name="_Toc220541842"/>
      <w:r w:rsidRPr="00C86111">
        <w:t>Nacionalni pravni i strateški okvir</w:t>
      </w:r>
      <w:bookmarkEnd w:id="8"/>
    </w:p>
    <w:p w14:paraId="56FB4197" w14:textId="77777777" w:rsidR="00BC765B" w:rsidRPr="00C86111" w:rsidRDefault="00BC765B" w:rsidP="00BC765B">
      <w:pPr>
        <w:jc w:val="both"/>
        <w:rPr>
          <w:i/>
          <w:iCs/>
          <w:color w:val="auto"/>
        </w:rPr>
      </w:pPr>
    </w:p>
    <w:p w14:paraId="0010354C" w14:textId="77777777" w:rsidR="00BC765B" w:rsidRPr="00C86111" w:rsidRDefault="00BC765B" w:rsidP="00BC765B">
      <w:pPr>
        <w:jc w:val="both"/>
        <w:rPr>
          <w:color w:val="auto"/>
        </w:rPr>
      </w:pPr>
      <w:r w:rsidRPr="00C86111">
        <w:rPr>
          <w:color w:val="auto"/>
        </w:rPr>
        <w:t>Metodologija izrade i ažuriranja NIP-a u Crnoj Gori takođe se u potpunosti usklađuje sa principima i zahtjevima propisanim:</w:t>
      </w:r>
    </w:p>
    <w:p w14:paraId="08D94642" w14:textId="77777777" w:rsidR="00BC765B" w:rsidRPr="00C86111" w:rsidRDefault="00BC765B" w:rsidP="00004F34">
      <w:pPr>
        <w:numPr>
          <w:ilvl w:val="0"/>
          <w:numId w:val="232"/>
        </w:numPr>
        <w:jc w:val="both"/>
        <w:rPr>
          <w:color w:val="auto"/>
        </w:rPr>
      </w:pPr>
      <w:r w:rsidRPr="00C86111">
        <w:rPr>
          <w:color w:val="auto"/>
        </w:rPr>
        <w:t>Uredbom o načinu i postupku izrade, usklađivanja i praćenja sprovođenja strateških dokumenata („Službeni list CG“, br. 54/18);</w:t>
      </w:r>
    </w:p>
    <w:p w14:paraId="1268F473" w14:textId="77777777" w:rsidR="00BC765B" w:rsidRPr="00C86111" w:rsidRDefault="00BC765B" w:rsidP="00004F34">
      <w:pPr>
        <w:numPr>
          <w:ilvl w:val="0"/>
          <w:numId w:val="232"/>
        </w:numPr>
        <w:jc w:val="both"/>
        <w:rPr>
          <w:color w:val="auto"/>
        </w:rPr>
      </w:pPr>
      <w:r w:rsidRPr="00C86111">
        <w:rPr>
          <w:color w:val="auto"/>
        </w:rPr>
        <w:t>Metodologijom razvijanja politika, izrade i praćenja sprovođenja strateških dokumenata.</w:t>
      </w:r>
    </w:p>
    <w:p w14:paraId="5F768FD3" w14:textId="77777777" w:rsidR="00BC765B" w:rsidRPr="00C86111" w:rsidRDefault="00BC765B" w:rsidP="00BC765B">
      <w:pPr>
        <w:jc w:val="both"/>
        <w:rPr>
          <w:color w:val="auto"/>
        </w:rPr>
      </w:pPr>
      <w:r w:rsidRPr="00C86111">
        <w:rPr>
          <w:color w:val="auto"/>
        </w:rPr>
        <w:t>Ovaj nacionalni okvir osigurava da proces izrade NIP-a bude:</w:t>
      </w:r>
    </w:p>
    <w:p w14:paraId="62787433" w14:textId="77777777" w:rsidR="00BC765B" w:rsidRPr="00C86111" w:rsidRDefault="00BC765B" w:rsidP="00004F34">
      <w:pPr>
        <w:pStyle w:val="ListParagraph"/>
        <w:numPr>
          <w:ilvl w:val="0"/>
          <w:numId w:val="236"/>
        </w:numPr>
        <w:rPr>
          <w:color w:val="auto"/>
        </w:rPr>
      </w:pPr>
      <w:r w:rsidRPr="00C86111">
        <w:rPr>
          <w:color w:val="auto"/>
        </w:rPr>
        <w:t>planski i koherentan sa drugim strateškim dokumentima;</w:t>
      </w:r>
    </w:p>
    <w:p w14:paraId="420EBB65" w14:textId="77777777" w:rsidR="00BC765B" w:rsidRPr="00C86111" w:rsidRDefault="00BC765B" w:rsidP="00004F34">
      <w:pPr>
        <w:pStyle w:val="ListParagraph"/>
        <w:numPr>
          <w:ilvl w:val="0"/>
          <w:numId w:val="236"/>
        </w:numPr>
        <w:rPr>
          <w:color w:val="auto"/>
        </w:rPr>
      </w:pPr>
      <w:r w:rsidRPr="00C86111">
        <w:rPr>
          <w:color w:val="auto"/>
        </w:rPr>
        <w:t xml:space="preserve"> transparentan i zasnovan na evidencijama;</w:t>
      </w:r>
    </w:p>
    <w:p w14:paraId="4A37D6A0" w14:textId="77777777" w:rsidR="00BC765B" w:rsidRPr="00C86111" w:rsidRDefault="00BC765B" w:rsidP="00004F34">
      <w:pPr>
        <w:pStyle w:val="ListParagraph"/>
        <w:numPr>
          <w:ilvl w:val="0"/>
          <w:numId w:val="236"/>
        </w:numPr>
        <w:rPr>
          <w:color w:val="auto"/>
        </w:rPr>
      </w:pPr>
      <w:r w:rsidRPr="00C86111">
        <w:rPr>
          <w:color w:val="auto"/>
        </w:rPr>
        <w:t xml:space="preserve"> povezan sa postoje</w:t>
      </w:r>
      <w:r w:rsidRPr="00C86111">
        <w:rPr>
          <w:rFonts w:cs="Calibri"/>
          <w:color w:val="auto"/>
        </w:rPr>
        <w:t>ć</w:t>
      </w:r>
      <w:r w:rsidRPr="00C86111">
        <w:rPr>
          <w:color w:val="auto"/>
        </w:rPr>
        <w:t>im prioritetima javnih politika;</w:t>
      </w:r>
    </w:p>
    <w:p w14:paraId="5B319629" w14:textId="77777777" w:rsidR="00BC765B" w:rsidRPr="00C86111" w:rsidRDefault="00BC765B" w:rsidP="00004F34">
      <w:pPr>
        <w:pStyle w:val="ListParagraph"/>
        <w:numPr>
          <w:ilvl w:val="0"/>
          <w:numId w:val="236"/>
        </w:numPr>
        <w:rPr>
          <w:color w:val="auto"/>
        </w:rPr>
      </w:pPr>
      <w:r w:rsidRPr="00C86111">
        <w:rPr>
          <w:color w:val="auto"/>
        </w:rPr>
        <w:t xml:space="preserve"> u skladu sa principima ekonomi</w:t>
      </w:r>
      <w:r w:rsidRPr="00C86111">
        <w:rPr>
          <w:rFonts w:cs="Calibri"/>
          <w:color w:val="auto"/>
        </w:rPr>
        <w:t>č</w:t>
      </w:r>
      <w:r w:rsidRPr="00C86111">
        <w:rPr>
          <w:color w:val="auto"/>
        </w:rPr>
        <w:t>nosti, odgovornosti i uklju</w:t>
      </w:r>
      <w:r w:rsidRPr="00C86111">
        <w:rPr>
          <w:rFonts w:cs="Calibri"/>
          <w:color w:val="auto"/>
        </w:rPr>
        <w:t>č</w:t>
      </w:r>
      <w:r w:rsidRPr="00C86111">
        <w:rPr>
          <w:color w:val="auto"/>
        </w:rPr>
        <w:t>ivanja relevantnih donosioca odluka.</w:t>
      </w:r>
    </w:p>
    <w:p w14:paraId="185A7B2A" w14:textId="77777777" w:rsidR="00BC765B" w:rsidRPr="00C86111" w:rsidRDefault="00BC765B" w:rsidP="00BC765B">
      <w:pPr>
        <w:jc w:val="both"/>
        <w:rPr>
          <w:color w:val="auto"/>
        </w:rPr>
      </w:pPr>
      <w:r w:rsidRPr="00C86111">
        <w:rPr>
          <w:color w:val="auto"/>
        </w:rPr>
        <w:t xml:space="preserve">U skladu sa Uredbom, posebna pažnja posvećena je usklađenosti NIP-a s drugim nacionalnim strateškim i finansijskim okvirima, kao i potrebama za njegovu praktičnu primjenjivost i praćenje </w:t>
      </w:r>
      <w:r w:rsidRPr="00C86111">
        <w:rPr>
          <w:color w:val="auto"/>
        </w:rPr>
        <w:lastRenderedPageBreak/>
        <w:t>rezultata. To podrazumijeva jasno definirane indikatore, mehanizme praćenja i evaluacije, te nadležne institucije za sprovođenje i koordinaciju aktivnosti.</w:t>
      </w:r>
    </w:p>
    <w:p w14:paraId="737498C7" w14:textId="55306257" w:rsidR="00BC765B" w:rsidRDefault="00BC765B" w:rsidP="00912C4C">
      <w:pPr>
        <w:pStyle w:val="Heading3"/>
      </w:pPr>
      <w:bookmarkStart w:id="9" w:name="_Toc220541843"/>
      <w:r w:rsidRPr="00912C4C">
        <w:t>Primjena metodološkog okvira u izradi NIP-a</w:t>
      </w:r>
      <w:bookmarkEnd w:id="9"/>
    </w:p>
    <w:p w14:paraId="0E1D0A8C" w14:textId="77777777" w:rsidR="00912C4C" w:rsidRPr="00912C4C" w:rsidRDefault="00912C4C" w:rsidP="00912C4C">
      <w:pPr>
        <w:rPr>
          <w:lang w:val="sr-Latn-ME"/>
        </w:rPr>
      </w:pPr>
    </w:p>
    <w:p w14:paraId="5B15F703" w14:textId="77777777" w:rsidR="00BC765B" w:rsidRDefault="00BC765B" w:rsidP="00BC765B">
      <w:pPr>
        <w:jc w:val="both"/>
        <w:rPr>
          <w:color w:val="auto"/>
        </w:rPr>
      </w:pPr>
      <w:r w:rsidRPr="00C86111">
        <w:rPr>
          <w:color w:val="auto"/>
        </w:rPr>
        <w:t>Na osnovu navedenih međunarodnih smjernica i nacionalnih principa, metodologija izrade i ažuriranja NIP-a u Crnoj Gori obuhvatila je:</w:t>
      </w:r>
    </w:p>
    <w:p w14:paraId="74B21D81" w14:textId="77777777" w:rsidR="00BC765B" w:rsidRDefault="00BC765B" w:rsidP="00BC765B">
      <w:pPr>
        <w:jc w:val="both"/>
        <w:rPr>
          <w:b/>
          <w:bCs/>
          <w:color w:val="002060"/>
        </w:rPr>
      </w:pPr>
      <w:r w:rsidRPr="00C86111">
        <w:rPr>
          <w:b/>
          <w:bCs/>
          <w:color w:val="002060"/>
        </w:rPr>
        <w:t>a) Organizaciju i koordinaciju rada</w:t>
      </w:r>
    </w:p>
    <w:p w14:paraId="7022E1E2" w14:textId="77777777" w:rsidR="00BC765B" w:rsidRDefault="00BC765B" w:rsidP="00BC765B">
      <w:pPr>
        <w:jc w:val="both"/>
        <w:rPr>
          <w:color w:val="auto"/>
        </w:rPr>
      </w:pPr>
      <w:r w:rsidRPr="00C86111">
        <w:rPr>
          <w:color w:val="auto"/>
        </w:rPr>
        <w:t>Formirana je međuresorna radna grupa sa predstavnicima nadležnih institucija (ministarstva, Agencije za zaštitu životne sredine, statistike, veterine, carina i drugih), privrednih komora, naučnih institucija i organizacija civilnog društva — kako bi se obezbijedila izbalansirana ekspertiza i multidisciplinarni pristup.</w:t>
      </w:r>
    </w:p>
    <w:p w14:paraId="05409D68" w14:textId="5FD9EEE2" w:rsidR="00BC765B" w:rsidRDefault="00BC765B" w:rsidP="00BC765B">
      <w:pPr>
        <w:jc w:val="both"/>
        <w:rPr>
          <w:b/>
          <w:bCs/>
          <w:color w:val="002060"/>
        </w:rPr>
      </w:pPr>
      <w:r w:rsidRPr="00C86111">
        <w:rPr>
          <w:b/>
          <w:bCs/>
          <w:color w:val="002060"/>
        </w:rPr>
        <w:t>b) Prikupljanje i obrad</w:t>
      </w:r>
      <w:r w:rsidR="00876F1D" w:rsidRPr="00C86111">
        <w:rPr>
          <w:b/>
          <w:bCs/>
          <w:color w:val="002060"/>
        </w:rPr>
        <w:t>u</w:t>
      </w:r>
      <w:r w:rsidRPr="00C86111">
        <w:rPr>
          <w:b/>
          <w:bCs/>
          <w:color w:val="002060"/>
        </w:rPr>
        <w:t xml:space="preserve"> podataka</w:t>
      </w:r>
    </w:p>
    <w:p w14:paraId="1AE34D77" w14:textId="77777777" w:rsidR="00BC765B" w:rsidRPr="00C86111" w:rsidRDefault="00BC765B" w:rsidP="00BC765B">
      <w:pPr>
        <w:jc w:val="both"/>
        <w:rPr>
          <w:color w:val="auto"/>
        </w:rPr>
      </w:pPr>
      <w:r w:rsidRPr="00C86111">
        <w:rPr>
          <w:color w:val="auto"/>
        </w:rPr>
        <w:t>Korišćeni su standardizovani obrasci i međunarodne metodološke smjernice za:</w:t>
      </w:r>
    </w:p>
    <w:p w14:paraId="1D1F87ED" w14:textId="77777777" w:rsidR="00BC765B" w:rsidRPr="00C86111" w:rsidRDefault="00BC765B" w:rsidP="00004F34">
      <w:pPr>
        <w:numPr>
          <w:ilvl w:val="0"/>
          <w:numId w:val="233"/>
        </w:numPr>
        <w:jc w:val="both"/>
        <w:rPr>
          <w:color w:val="auto"/>
        </w:rPr>
      </w:pPr>
      <w:r w:rsidRPr="00C86111">
        <w:rPr>
          <w:color w:val="auto"/>
        </w:rPr>
        <w:t>prikupljanje podataka o uvozu, upotrebi, emisijama i otpadnim tokovima POPs supstanci;</w:t>
      </w:r>
    </w:p>
    <w:p w14:paraId="5DAE63B1" w14:textId="77777777" w:rsidR="00BC765B" w:rsidRPr="00C86111" w:rsidRDefault="00BC765B" w:rsidP="00004F34">
      <w:pPr>
        <w:numPr>
          <w:ilvl w:val="0"/>
          <w:numId w:val="233"/>
        </w:numPr>
        <w:jc w:val="both"/>
        <w:rPr>
          <w:color w:val="auto"/>
        </w:rPr>
      </w:pPr>
      <w:r w:rsidRPr="00C86111">
        <w:rPr>
          <w:color w:val="auto"/>
        </w:rPr>
        <w:t>identifikaciju i kvantifikaciju POPs supstanci u proizvodima i emisijama;</w:t>
      </w:r>
    </w:p>
    <w:p w14:paraId="063359EA" w14:textId="77777777" w:rsidR="00BC765B" w:rsidRDefault="00BC765B" w:rsidP="00004F34">
      <w:pPr>
        <w:numPr>
          <w:ilvl w:val="0"/>
          <w:numId w:val="233"/>
        </w:numPr>
        <w:jc w:val="both"/>
        <w:rPr>
          <w:color w:val="auto"/>
        </w:rPr>
      </w:pPr>
      <w:r w:rsidRPr="00C86111">
        <w:rPr>
          <w:color w:val="auto"/>
        </w:rPr>
        <w:t>izradu i evaluaciju inventara po supstancama i sektorima.</w:t>
      </w:r>
    </w:p>
    <w:p w14:paraId="7B0D2CF6" w14:textId="0C066211" w:rsidR="00BC765B" w:rsidRDefault="00BC765B" w:rsidP="00BC765B">
      <w:pPr>
        <w:jc w:val="both"/>
        <w:rPr>
          <w:b/>
          <w:bCs/>
          <w:color w:val="002060"/>
        </w:rPr>
      </w:pPr>
      <w:r w:rsidRPr="00C86111">
        <w:rPr>
          <w:b/>
          <w:bCs/>
          <w:color w:val="002060"/>
        </w:rPr>
        <w:t>c) Analiz</w:t>
      </w:r>
      <w:r w:rsidR="00876F1D" w:rsidRPr="00C86111">
        <w:rPr>
          <w:b/>
          <w:bCs/>
          <w:color w:val="002060"/>
        </w:rPr>
        <w:t>u</w:t>
      </w:r>
      <w:r w:rsidRPr="00C86111">
        <w:rPr>
          <w:b/>
          <w:bCs/>
          <w:color w:val="002060"/>
        </w:rPr>
        <w:t xml:space="preserve"> prioriteta i procjen</w:t>
      </w:r>
      <w:r w:rsidR="00876F1D" w:rsidRPr="00C86111">
        <w:rPr>
          <w:b/>
          <w:bCs/>
          <w:color w:val="002060"/>
        </w:rPr>
        <w:t>u</w:t>
      </w:r>
      <w:r w:rsidRPr="00C86111">
        <w:rPr>
          <w:b/>
          <w:bCs/>
          <w:color w:val="002060"/>
        </w:rPr>
        <w:t xml:space="preserve"> rizika</w:t>
      </w:r>
    </w:p>
    <w:p w14:paraId="4382DA18" w14:textId="77777777" w:rsidR="00BC765B" w:rsidRDefault="00BC765B" w:rsidP="00BC765B">
      <w:pPr>
        <w:jc w:val="both"/>
        <w:rPr>
          <w:color w:val="auto"/>
        </w:rPr>
      </w:pPr>
      <w:r w:rsidRPr="00C86111">
        <w:rPr>
          <w:color w:val="auto"/>
        </w:rPr>
        <w:t>Podaci su analizirani kako bi se identifikovali ključni izazovi u upravljanju POPs supstancama, uključujući potencijalne rizike za zdravlje ljudi i životnu sredinu, te kako bi se utvrdile prioritetne oblasti za intervencije.</w:t>
      </w:r>
    </w:p>
    <w:p w14:paraId="0DF5A6F5" w14:textId="77777777" w:rsidR="00BC765B" w:rsidRDefault="00BC765B" w:rsidP="00BC765B">
      <w:pPr>
        <w:jc w:val="both"/>
        <w:rPr>
          <w:b/>
          <w:bCs/>
          <w:color w:val="002060"/>
        </w:rPr>
      </w:pPr>
      <w:r w:rsidRPr="00C86111">
        <w:rPr>
          <w:b/>
          <w:bCs/>
          <w:color w:val="002060"/>
        </w:rPr>
        <w:t>d) Definisanje ciljeva i mjera</w:t>
      </w:r>
    </w:p>
    <w:p w14:paraId="2412CF7C" w14:textId="77777777" w:rsidR="00BC765B" w:rsidRDefault="00BC765B" w:rsidP="00BC765B">
      <w:pPr>
        <w:jc w:val="both"/>
        <w:rPr>
          <w:color w:val="auto"/>
        </w:rPr>
      </w:pPr>
      <w:r w:rsidRPr="00C86111">
        <w:rPr>
          <w:color w:val="auto"/>
        </w:rPr>
        <w:t>Na osnovu rezultata inventarizacije i procjene rizika, utvrđeni su jasno strukturirani ciljevi, mjere, indikatori i nadležnosti — sve u cilju efikasnog sprovođenja NIP-a u narednom periodu.</w:t>
      </w:r>
    </w:p>
    <w:p w14:paraId="00AE90A8" w14:textId="77777777" w:rsidR="00BC765B" w:rsidRDefault="00BC765B" w:rsidP="00BC765B">
      <w:pPr>
        <w:jc w:val="both"/>
        <w:rPr>
          <w:b/>
          <w:bCs/>
          <w:color w:val="002060"/>
        </w:rPr>
      </w:pPr>
      <w:r w:rsidRPr="00C86111">
        <w:rPr>
          <w:b/>
          <w:bCs/>
          <w:color w:val="002060"/>
        </w:rPr>
        <w:t>e) Usklađivanje sa EU acquis i međunarodnim standardima</w:t>
      </w:r>
    </w:p>
    <w:p w14:paraId="43F030E2" w14:textId="77777777" w:rsidR="00BC765B" w:rsidRPr="00C86111" w:rsidRDefault="00BC765B" w:rsidP="00BC765B">
      <w:pPr>
        <w:jc w:val="both"/>
        <w:rPr>
          <w:color w:val="auto"/>
        </w:rPr>
      </w:pPr>
      <w:r w:rsidRPr="00C86111">
        <w:rPr>
          <w:color w:val="auto"/>
        </w:rPr>
        <w:t>Pri formulaciji aktivnosti posebno je uzet u obzir proces pristupanja Crne Gore Evropskoj uniji, kao i zahtjevi EU acquis-a u oblasti POPs, otpada i hemikalija, radi postizanja visokog nivoa usklađenosti sa EU praksama i propisima.</w:t>
      </w:r>
    </w:p>
    <w:p w14:paraId="6398B9DC" w14:textId="13EF9DB8" w:rsidR="00BC765B" w:rsidRPr="00C86111" w:rsidRDefault="00BC765B" w:rsidP="00004F34">
      <w:pPr>
        <w:pStyle w:val="Heading1"/>
        <w:numPr>
          <w:ilvl w:val="1"/>
          <w:numId w:val="238"/>
        </w:numPr>
      </w:pPr>
      <w:bookmarkStart w:id="10" w:name="_Toc220541844"/>
      <w:r w:rsidRPr="00C86111">
        <w:t>Struktura sadržaja NIP-a i njena metodološka osnova</w:t>
      </w:r>
      <w:bookmarkEnd w:id="10"/>
    </w:p>
    <w:p w14:paraId="1EEA0753" w14:textId="77777777" w:rsidR="00876F1D" w:rsidRPr="00C86111" w:rsidRDefault="00876F1D" w:rsidP="00876F1D">
      <w:pPr>
        <w:rPr>
          <w:lang w:val="sr-Latn-ME"/>
        </w:rPr>
      </w:pPr>
    </w:p>
    <w:p w14:paraId="751F1B70" w14:textId="77777777" w:rsidR="00BC765B" w:rsidRPr="00C86111" w:rsidRDefault="00BC765B" w:rsidP="00BC765B">
      <w:pPr>
        <w:jc w:val="both"/>
        <w:rPr>
          <w:color w:val="auto"/>
        </w:rPr>
      </w:pPr>
      <w:r w:rsidRPr="00C86111">
        <w:rPr>
          <w:color w:val="auto"/>
        </w:rPr>
        <w:t>Struktura ažuriranog NIP-a reflektuje metodološke zahtjeve kako međunarodnih smjernica, tako i nacionalne Uredbe o strateškom planiranju i uključuje sljedeće logičke cjeline:</w:t>
      </w:r>
    </w:p>
    <w:p w14:paraId="456C94D1" w14:textId="77777777" w:rsidR="00BC765B" w:rsidRPr="00C86111" w:rsidRDefault="00BC765B" w:rsidP="00004F34">
      <w:pPr>
        <w:numPr>
          <w:ilvl w:val="0"/>
          <w:numId w:val="234"/>
        </w:numPr>
        <w:jc w:val="both"/>
        <w:rPr>
          <w:color w:val="auto"/>
        </w:rPr>
      </w:pPr>
      <w:r w:rsidRPr="00C86111">
        <w:rPr>
          <w:color w:val="auto"/>
        </w:rPr>
        <w:t>međunarodni, EU i nacionalni kontekst;</w:t>
      </w:r>
    </w:p>
    <w:p w14:paraId="7195FCF3" w14:textId="77777777" w:rsidR="00BC765B" w:rsidRPr="00C86111" w:rsidRDefault="00BC765B" w:rsidP="00004F34">
      <w:pPr>
        <w:numPr>
          <w:ilvl w:val="0"/>
          <w:numId w:val="234"/>
        </w:numPr>
        <w:jc w:val="both"/>
        <w:rPr>
          <w:color w:val="auto"/>
        </w:rPr>
      </w:pPr>
      <w:r w:rsidRPr="00C86111">
        <w:rPr>
          <w:color w:val="auto"/>
        </w:rPr>
        <w:t>analiza statusa i inventarizacija POPs supstanci;</w:t>
      </w:r>
    </w:p>
    <w:p w14:paraId="2215ED1E" w14:textId="77777777" w:rsidR="00BC765B" w:rsidRPr="00C86111" w:rsidRDefault="00BC765B" w:rsidP="00004F34">
      <w:pPr>
        <w:numPr>
          <w:ilvl w:val="0"/>
          <w:numId w:val="234"/>
        </w:numPr>
        <w:jc w:val="both"/>
        <w:rPr>
          <w:color w:val="auto"/>
        </w:rPr>
      </w:pPr>
      <w:r w:rsidRPr="00C86111">
        <w:rPr>
          <w:color w:val="auto"/>
        </w:rPr>
        <w:t>prostorno-vremenska i sektorska procjena emisija;</w:t>
      </w:r>
    </w:p>
    <w:p w14:paraId="3E364EAC" w14:textId="77777777" w:rsidR="00BC765B" w:rsidRPr="00C86111" w:rsidRDefault="00BC765B" w:rsidP="00004F34">
      <w:pPr>
        <w:numPr>
          <w:ilvl w:val="0"/>
          <w:numId w:val="234"/>
        </w:numPr>
        <w:jc w:val="both"/>
        <w:rPr>
          <w:color w:val="auto"/>
        </w:rPr>
      </w:pPr>
      <w:r w:rsidRPr="00C86111">
        <w:rPr>
          <w:color w:val="auto"/>
        </w:rPr>
        <w:t>institucionalni, pravni i finansijski kapaciteti;</w:t>
      </w:r>
    </w:p>
    <w:p w14:paraId="4474EDDB" w14:textId="77777777" w:rsidR="00BC765B" w:rsidRPr="00C86111" w:rsidRDefault="00BC765B" w:rsidP="00004F34">
      <w:pPr>
        <w:numPr>
          <w:ilvl w:val="0"/>
          <w:numId w:val="234"/>
        </w:numPr>
        <w:jc w:val="both"/>
        <w:rPr>
          <w:color w:val="auto"/>
        </w:rPr>
      </w:pPr>
      <w:r w:rsidRPr="00C86111">
        <w:rPr>
          <w:color w:val="auto"/>
        </w:rPr>
        <w:t>monitoring i evaluacija;</w:t>
      </w:r>
    </w:p>
    <w:p w14:paraId="54D5CE70" w14:textId="77777777" w:rsidR="00BC765B" w:rsidRPr="00C86111" w:rsidRDefault="00BC765B" w:rsidP="00004F34">
      <w:pPr>
        <w:numPr>
          <w:ilvl w:val="0"/>
          <w:numId w:val="234"/>
        </w:numPr>
        <w:jc w:val="both"/>
        <w:rPr>
          <w:color w:val="auto"/>
        </w:rPr>
      </w:pPr>
      <w:r w:rsidRPr="00C86111">
        <w:rPr>
          <w:color w:val="auto"/>
        </w:rPr>
        <w:t>plan aktivnosti i preporučene mjere.</w:t>
      </w:r>
    </w:p>
    <w:p w14:paraId="295D7D66" w14:textId="77777777" w:rsidR="00BC765B" w:rsidRPr="00C86111" w:rsidRDefault="00BC765B" w:rsidP="00BC765B">
      <w:pPr>
        <w:jc w:val="both"/>
        <w:rPr>
          <w:color w:val="auto"/>
        </w:rPr>
      </w:pPr>
      <w:r w:rsidRPr="00C86111">
        <w:rPr>
          <w:color w:val="auto"/>
        </w:rPr>
        <w:t>Ova organizaciona struktura osigurava da sadržaj NIP-a bude sistematičan, transparentan, uporediv i praktično usmjeren prema realizaciji obaveza i poboljšanju upravljanja POPs supstancama u Crnoj Gori — u skladu sa međunarodnim standardima i nacionalnim strateškim ciljevima.</w:t>
      </w:r>
    </w:p>
    <w:p w14:paraId="083EF48E" w14:textId="1CF73C05" w:rsidR="006705AC" w:rsidRPr="00C86111" w:rsidRDefault="006705AC" w:rsidP="00004F34">
      <w:pPr>
        <w:pStyle w:val="Heading1"/>
        <w:numPr>
          <w:ilvl w:val="1"/>
          <w:numId w:val="238"/>
        </w:numPr>
      </w:pPr>
      <w:bookmarkStart w:id="11" w:name="_Toc220541845"/>
      <w:r w:rsidRPr="00C86111">
        <w:lastRenderedPageBreak/>
        <w:t>Usklađenost sa postojećim finansijskim okvirom</w:t>
      </w:r>
      <w:bookmarkEnd w:id="11"/>
    </w:p>
    <w:p w14:paraId="1F509A72" w14:textId="77777777" w:rsidR="002B19B1" w:rsidRDefault="002B19B1" w:rsidP="002B19B1">
      <w:pPr>
        <w:jc w:val="both"/>
        <w:rPr>
          <w:rFonts w:asciiTheme="minorHAnsi" w:hAnsiTheme="minorHAnsi" w:cstheme="minorHAnsi"/>
          <w:color w:val="4472C4" w:themeColor="accent1"/>
          <w:szCs w:val="24"/>
          <w:lang w:val="sr-Latn-ME"/>
        </w:rPr>
      </w:pPr>
    </w:p>
    <w:p w14:paraId="7152D7EF" w14:textId="77777777" w:rsidR="002773F8" w:rsidRPr="002773F8" w:rsidRDefault="002773F8" w:rsidP="002773F8">
      <w:pPr>
        <w:jc w:val="both"/>
        <w:rPr>
          <w:rFonts w:asciiTheme="minorHAnsi" w:hAnsiTheme="minorHAnsi" w:cstheme="minorHAnsi"/>
          <w:color w:val="auto"/>
          <w:szCs w:val="24"/>
        </w:rPr>
      </w:pPr>
      <w:r w:rsidRPr="002773F8">
        <w:rPr>
          <w:rFonts w:asciiTheme="minorHAnsi" w:hAnsiTheme="minorHAnsi" w:cstheme="minorHAnsi"/>
          <w:color w:val="auto"/>
          <w:szCs w:val="24"/>
        </w:rPr>
        <w:t>S obzirom na to da je veliki dio aktivnosti predviđenih Akcionim planom za implementaciju Nacionalnog implementacionog plana (NIP) za POPs u nadležnosti državnih organa i institucija, značajan dio finansiranja planiran je iz Budžeta Crne Gore. Ovo se posebno odnosi na aktivnosti koje obuhvataju izradu i reviziju zakonskih i podzakonskih akata, jačanje administrativnih kapaciteta, uspostavljanje nacionalnih koordinacionih mehanizama, kao i sprovođenje redovnog monitoringa POPs supstanci i novih zagađivača u vodi, zemljištu, hrani i bioti.</w:t>
      </w:r>
    </w:p>
    <w:p w14:paraId="1232CEA8" w14:textId="77777777" w:rsidR="002773F8" w:rsidRPr="002773F8" w:rsidRDefault="002773F8" w:rsidP="002773F8">
      <w:pPr>
        <w:jc w:val="both"/>
        <w:rPr>
          <w:rFonts w:asciiTheme="minorHAnsi" w:hAnsiTheme="minorHAnsi" w:cstheme="minorHAnsi"/>
          <w:color w:val="auto"/>
          <w:szCs w:val="24"/>
        </w:rPr>
      </w:pPr>
      <w:r w:rsidRPr="002773F8">
        <w:rPr>
          <w:rFonts w:asciiTheme="minorHAnsi" w:hAnsiTheme="minorHAnsi" w:cstheme="minorHAnsi"/>
          <w:color w:val="auto"/>
          <w:szCs w:val="24"/>
        </w:rPr>
        <w:t>Aktivnosti koje se odnose na izradu, izmjene i dopune zakonskih i podzakonskih akata (uključujući Zakon o zaštiti zemljišta, Zakon o hemikalijama, kao i prateće pravilnike i uputstva) predstavljaju dio redovnih, sistematizovanih poslova zaposlenih u nadležnim organima državne uprave i realizuju se u okviru postojećih institucionalnih kapaciteta. Shodno tome, za ove aktivnosti nijesu potrebna dodatna finansijska sredstva, već se sprovode u okviru tekućih budžetskih aproprijacija i redovnog rada zaposlenih.</w:t>
      </w:r>
    </w:p>
    <w:p w14:paraId="422ECCFC" w14:textId="77777777" w:rsidR="002773F8" w:rsidRPr="002773F8" w:rsidRDefault="002773F8" w:rsidP="002773F8">
      <w:pPr>
        <w:jc w:val="both"/>
        <w:rPr>
          <w:rFonts w:asciiTheme="minorHAnsi" w:hAnsiTheme="minorHAnsi" w:cstheme="minorHAnsi"/>
          <w:color w:val="auto"/>
          <w:szCs w:val="24"/>
        </w:rPr>
      </w:pPr>
      <w:r w:rsidRPr="002773F8">
        <w:rPr>
          <w:rFonts w:asciiTheme="minorHAnsi" w:hAnsiTheme="minorHAnsi" w:cstheme="minorHAnsi"/>
          <w:color w:val="auto"/>
          <w:szCs w:val="24"/>
        </w:rPr>
        <w:t>Imajući u vidu da je sprovođenje NIP-a direktno povezano sa obavezama Crne Gore koje proizilaze iz Stokholmske konvencije, kao i sa procesom usklađivanja sa pravnom tekovinom Evropske unije, značajan dio aktivnosti planiran je da se finansira iz međunarodnih donatorskih izvora. Ključni izvori eksternog finansiranja predviđeni Akcionim planom su sredstva Globalnog fonda za životnu sredinu (GEF), kao i podrška kroz programe UNEP-a i UNDP-a, uz mogućnost korišćenja sredstava iz IPA fondova Evropske unije.</w:t>
      </w:r>
    </w:p>
    <w:p w14:paraId="187AC41A" w14:textId="77777777" w:rsidR="002773F8" w:rsidRPr="002773F8" w:rsidRDefault="002773F8" w:rsidP="002773F8">
      <w:pPr>
        <w:jc w:val="both"/>
        <w:rPr>
          <w:rFonts w:asciiTheme="minorHAnsi" w:hAnsiTheme="minorHAnsi" w:cstheme="minorHAnsi"/>
          <w:color w:val="auto"/>
          <w:szCs w:val="24"/>
        </w:rPr>
      </w:pPr>
      <w:r w:rsidRPr="002773F8">
        <w:rPr>
          <w:rFonts w:asciiTheme="minorHAnsi" w:hAnsiTheme="minorHAnsi" w:cstheme="minorHAnsi"/>
          <w:color w:val="auto"/>
          <w:szCs w:val="24"/>
        </w:rPr>
        <w:t>GEF sredstva su planirana za finansiranje niza tehničkih i operativnih aktivnosti, uključujući izradu regulatornih instrumenata i vodiča za identifikaciju proizvoda koji sadrže PBDEs, HBB, HBCDD, PFAS, SCCP i MCCP, obuke carinskih službenika i inspekcija, aktivnosti supstitucije opasnih supstanci, dekontaminaciju opreme, upravljanje PFAS protivpožarnim pjenama, kao i za sprovođenje programa humanog biomonitoringa i ciljane kampanje podizanja svijesti za ranjive grupe stanovništva.</w:t>
      </w:r>
    </w:p>
    <w:p w14:paraId="38C1EA25" w14:textId="77777777" w:rsidR="002773F8" w:rsidRPr="002773F8" w:rsidRDefault="002773F8" w:rsidP="002773F8">
      <w:pPr>
        <w:jc w:val="both"/>
        <w:rPr>
          <w:rFonts w:asciiTheme="minorHAnsi" w:hAnsiTheme="minorHAnsi" w:cstheme="minorHAnsi"/>
          <w:color w:val="auto"/>
          <w:szCs w:val="24"/>
        </w:rPr>
      </w:pPr>
      <w:r w:rsidRPr="002773F8">
        <w:rPr>
          <w:rFonts w:asciiTheme="minorHAnsi" w:hAnsiTheme="minorHAnsi" w:cstheme="minorHAnsi"/>
          <w:color w:val="auto"/>
          <w:szCs w:val="24"/>
        </w:rPr>
        <w:t>Pored toga, za jačanje institucionalnih i administrativnih kapaciteta, naročito kroz obuke inspektora, carinskih službenika i stručnjaka za upravljanje POPs supstancama, predviđeno je korišćenje sredstava iz programa tehničke pomoći Evropske unije, uključujući TAIEX i IPA-ECHA. Ovi instrumenti omogućavaju kratkoročnu ekspertsku podršku, organizovanje obuka, ekspertskih misija i studijskih posjeta, sa ciljem unapređenja znanja i praktičnih vještina u oblasti primjene EU propisa o hemikalijama i POPs supstancama.</w:t>
      </w:r>
    </w:p>
    <w:p w14:paraId="024058F9" w14:textId="77777777" w:rsidR="002773F8" w:rsidRPr="002773F8" w:rsidRDefault="002773F8" w:rsidP="002773F8">
      <w:pPr>
        <w:jc w:val="both"/>
        <w:rPr>
          <w:rFonts w:asciiTheme="minorHAnsi" w:hAnsiTheme="minorHAnsi" w:cstheme="minorHAnsi"/>
          <w:color w:val="auto"/>
          <w:szCs w:val="24"/>
        </w:rPr>
      </w:pPr>
      <w:r w:rsidRPr="002773F8">
        <w:rPr>
          <w:rFonts w:asciiTheme="minorHAnsi" w:hAnsiTheme="minorHAnsi" w:cstheme="minorHAnsi"/>
          <w:color w:val="auto"/>
          <w:szCs w:val="24"/>
        </w:rPr>
        <w:t>Dodatno, određene specifične aktivnosti, poput finalnog zbrinjavanja preostale PCB opreme, planirane su da se finansiraju iz posebnih međunarodnih programa, kao što je UN/GEF MedProgramme, u okviru kojeg su već obezbijeđena sredstva za izvoz i trajno zbrinjavanje PCB otpada.</w:t>
      </w:r>
    </w:p>
    <w:p w14:paraId="3ECC4E39" w14:textId="69D32780" w:rsidR="002773F8" w:rsidRPr="00C86111" w:rsidRDefault="002773F8" w:rsidP="002B19B1">
      <w:pPr>
        <w:jc w:val="both"/>
        <w:rPr>
          <w:rFonts w:asciiTheme="minorHAnsi" w:hAnsiTheme="minorHAnsi" w:cstheme="minorHAnsi"/>
          <w:color w:val="4472C4" w:themeColor="accent1"/>
          <w:szCs w:val="24"/>
          <w:lang w:val="sr-Latn-ME"/>
        </w:rPr>
      </w:pPr>
      <w:r w:rsidRPr="002773F8">
        <w:rPr>
          <w:rFonts w:asciiTheme="minorHAnsi" w:hAnsiTheme="minorHAnsi" w:cstheme="minorHAnsi"/>
          <w:color w:val="auto"/>
          <w:szCs w:val="24"/>
        </w:rPr>
        <w:t xml:space="preserve">Ukupno posmatrano, finansijski okvir za sprovođenje NIP-a za POPs zasniva se na kombinaciji nacionalnih budžetskih sredstava i međunarodne donatorske podrške, pri čemu se budžetska sredstva koriste prvenstveno za normativne i institucionalne aktivnosti koje su dio redovnog rada državne uprave, dok se donatorska sredstva koriste za tehnički zahtjevne, specijalizovane i investicione aktivnosti koje zahtijevaju dodatne kapacitete, ekspertizu i opremu. Ovakav pristup omogućava da se proces normativnog usklađivanja realizuje bez dodatnog fiskalnog opterećenja, </w:t>
      </w:r>
      <w:r w:rsidRPr="002773F8">
        <w:rPr>
          <w:rFonts w:asciiTheme="minorHAnsi" w:hAnsiTheme="minorHAnsi" w:cstheme="minorHAnsi"/>
          <w:color w:val="auto"/>
          <w:szCs w:val="24"/>
        </w:rPr>
        <w:lastRenderedPageBreak/>
        <w:t>uz efikasno korišćenje raspoloživih međunarodnih fondova za ostale segmente implementacije NIP-a.</w:t>
      </w:r>
    </w:p>
    <w:p w14:paraId="61D909E6" w14:textId="77777777" w:rsidR="002B19B1" w:rsidRPr="00C86111" w:rsidRDefault="002B19B1" w:rsidP="00004F34">
      <w:pPr>
        <w:pStyle w:val="Heading1"/>
        <w:numPr>
          <w:ilvl w:val="1"/>
          <w:numId w:val="238"/>
        </w:numPr>
      </w:pPr>
      <w:bookmarkStart w:id="12" w:name="_Toc220541846"/>
      <w:r w:rsidRPr="00C86111">
        <w:t>Usklađenost sa postojećim strateškim okvirom</w:t>
      </w:r>
      <w:bookmarkEnd w:id="12"/>
    </w:p>
    <w:p w14:paraId="5E5DAD05" w14:textId="77777777" w:rsidR="002B19B1" w:rsidRPr="00C86111" w:rsidRDefault="002B19B1" w:rsidP="002B19B1">
      <w:pPr>
        <w:jc w:val="both"/>
        <w:rPr>
          <w:rFonts w:asciiTheme="minorHAnsi" w:hAnsiTheme="minorHAnsi" w:cstheme="minorHAnsi"/>
          <w:b/>
          <w:bCs/>
          <w:szCs w:val="24"/>
        </w:rPr>
      </w:pPr>
    </w:p>
    <w:p w14:paraId="783A2348" w14:textId="649F4B04" w:rsidR="00CC365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Upravljanje perzistentnim organskim zagađivačima (POPs) u Crnoj Gori zasniva se na primjeni međunarodnih obaveza i usklađivanju sa nacionalnim strateškim dokumentima koji uređuju oblast hemikalija, zaštite životne sredine i održivog razvoja. Nacionalni implementacioni plan za POPs (NIP) izrađen je uzimajući u obzir sljedeće strateške i planske dokumente:</w:t>
      </w:r>
    </w:p>
    <w:p w14:paraId="60C5B0CE" w14:textId="58492780" w:rsidR="002B19B1" w:rsidRPr="00912C4C" w:rsidRDefault="002B19B1" w:rsidP="00004F34">
      <w:pPr>
        <w:pStyle w:val="Heading1"/>
        <w:numPr>
          <w:ilvl w:val="2"/>
          <w:numId w:val="238"/>
        </w:numPr>
        <w:jc w:val="both"/>
        <w:rPr>
          <w:rFonts w:asciiTheme="minorHAnsi" w:hAnsiTheme="minorHAnsi" w:cstheme="minorHAnsi"/>
          <w:bCs/>
          <w:color w:val="auto"/>
          <w:szCs w:val="24"/>
        </w:rPr>
      </w:pPr>
      <w:bookmarkStart w:id="13" w:name="_Toc220541847"/>
      <w:r w:rsidRPr="00C86111">
        <w:t>Međunarodni okvir:</w:t>
      </w:r>
      <w:bookmarkEnd w:id="13"/>
    </w:p>
    <w:p w14:paraId="1B1CCB98" w14:textId="77777777" w:rsidR="002B19B1" w:rsidRPr="00C86111" w:rsidRDefault="002B19B1" w:rsidP="00833A40">
      <w:pPr>
        <w:pStyle w:val="ListParagraph"/>
        <w:numPr>
          <w:ilvl w:val="0"/>
          <w:numId w:val="109"/>
        </w:numPr>
        <w:jc w:val="both"/>
        <w:rPr>
          <w:rFonts w:asciiTheme="minorHAnsi" w:hAnsiTheme="minorHAnsi" w:cstheme="minorHAnsi"/>
          <w:b/>
          <w:bCs/>
          <w:color w:val="auto"/>
          <w:szCs w:val="24"/>
        </w:rPr>
      </w:pPr>
      <w:r w:rsidRPr="00C86111">
        <w:rPr>
          <w:rFonts w:asciiTheme="minorHAnsi" w:hAnsiTheme="minorHAnsi" w:cstheme="minorHAnsi"/>
          <w:b/>
          <w:bCs/>
          <w:color w:val="auto"/>
          <w:szCs w:val="24"/>
        </w:rPr>
        <w:t>Strategijski pristup međunarodnom upravljanju hemikalijama (SAICM)</w:t>
      </w:r>
    </w:p>
    <w:p w14:paraId="3E1C76C1" w14:textId="4E0DD06A" w:rsidR="002B19B1" w:rsidRPr="00C86111" w:rsidRDefault="002B19B1" w:rsidP="002B19B1">
      <w:pPr>
        <w:jc w:val="both"/>
        <w:rPr>
          <w:rFonts w:asciiTheme="minorHAnsi" w:hAnsiTheme="minorHAnsi" w:cstheme="minorHAnsi"/>
          <w:b/>
          <w:bCs/>
          <w:color w:val="auto"/>
          <w:szCs w:val="24"/>
        </w:rPr>
      </w:pPr>
      <w:r w:rsidRPr="00C86111">
        <w:rPr>
          <w:rFonts w:asciiTheme="minorHAnsi" w:hAnsiTheme="minorHAnsi" w:cstheme="minorHAnsi"/>
          <w:color w:val="auto"/>
          <w:szCs w:val="24"/>
        </w:rPr>
        <w:t>SAICM postavlja globalni okvir za bezbjedno upravljanje hemikalijama tokom čitavog životnog ciklusa, a posebno naglašava obavezu država da sprovedu procjenu stanja, uspostave adekvatne mehanizme kontrole i izrade nacionalne programe za racionalno upravljanje hemikalijama. NIP je u potpunosti usklađen sa SAICM principima, posebno u dijelu koji se odnosi na identifikaciju prioritetnih hemikalija, razvoj inventara, jačanje institucija i smanjenje rizika od štetnih emisija.</w:t>
      </w:r>
    </w:p>
    <w:p w14:paraId="7F7FA8E2" w14:textId="0D3566B6" w:rsidR="002B19B1" w:rsidRPr="00912C4C" w:rsidRDefault="002B19B1" w:rsidP="00004F34">
      <w:pPr>
        <w:pStyle w:val="Heading1"/>
        <w:numPr>
          <w:ilvl w:val="2"/>
          <w:numId w:val="238"/>
        </w:numPr>
        <w:jc w:val="both"/>
        <w:rPr>
          <w:rFonts w:asciiTheme="minorHAnsi" w:hAnsiTheme="minorHAnsi" w:cstheme="minorHAnsi"/>
          <w:bCs/>
          <w:color w:val="auto"/>
          <w:szCs w:val="24"/>
        </w:rPr>
      </w:pPr>
      <w:bookmarkStart w:id="14" w:name="_Toc220541848"/>
      <w:r w:rsidRPr="00C86111">
        <w:t>Nacionalni okvir:</w:t>
      </w:r>
      <w:bookmarkEnd w:id="14"/>
    </w:p>
    <w:p w14:paraId="5F7EF391" w14:textId="77777777" w:rsidR="002B19B1" w:rsidRPr="00C86111" w:rsidRDefault="002B19B1" w:rsidP="00833A40">
      <w:pPr>
        <w:pStyle w:val="ListParagraph"/>
        <w:numPr>
          <w:ilvl w:val="0"/>
          <w:numId w:val="110"/>
        </w:numPr>
        <w:jc w:val="both"/>
        <w:rPr>
          <w:rFonts w:asciiTheme="minorHAnsi" w:hAnsiTheme="minorHAnsi" w:cstheme="minorHAnsi"/>
          <w:b/>
          <w:bCs/>
          <w:color w:val="auto"/>
          <w:szCs w:val="24"/>
        </w:rPr>
      </w:pPr>
      <w:r w:rsidRPr="00C86111">
        <w:rPr>
          <w:rFonts w:asciiTheme="minorHAnsi" w:hAnsiTheme="minorHAnsi" w:cstheme="minorHAnsi"/>
          <w:b/>
          <w:bCs/>
          <w:color w:val="auto"/>
          <w:szCs w:val="24"/>
        </w:rPr>
        <w:t>Nacionalna strategija upravljanja hemikalijama za period 2024–2026.</w:t>
      </w:r>
    </w:p>
    <w:p w14:paraId="2452D91E"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Ova strategija predstavlja osnovni nacionalni dokument u oblasti hemikalija. Uključuje mjere za inventarizaciju, monitoring, prevenciju emisija, upravljanje otpadom, reciklažu i bezbjedno zbrinjavanje opasnih supstanci. Poseban naglasak stavlja na usklađivanje sa EU propisima, razvoj administrativnih kapaciteta i podršku privredi kroz uvođenje bezbjednijih hemikalija i tehnoloških procesa.</w:t>
      </w:r>
      <w:r w:rsidRPr="00C86111">
        <w:rPr>
          <w:rFonts w:asciiTheme="minorHAnsi" w:hAnsiTheme="minorHAnsi" w:cstheme="minorHAnsi"/>
          <w:color w:val="auto"/>
          <w:szCs w:val="24"/>
        </w:rPr>
        <w:br/>
        <w:t>NIP doprinosi sprovođenju ove strategije kroz ciljane aktivnosti usmjerene na eliminaciju i kontrolu POPs supstanci, koje zbog svoje toksičnosti, postojanosti i bioakumulativnosti zahtijevaju specifične mjere u skladu sa Stokholmskom konvencijom.</w:t>
      </w:r>
    </w:p>
    <w:p w14:paraId="19602CC4" w14:textId="77777777" w:rsidR="002B19B1" w:rsidRPr="00C86111" w:rsidRDefault="002B19B1" w:rsidP="002B19B1">
      <w:pPr>
        <w:jc w:val="both"/>
        <w:rPr>
          <w:rFonts w:asciiTheme="minorHAnsi" w:hAnsiTheme="minorHAnsi" w:cstheme="minorHAnsi"/>
          <w:color w:val="auto"/>
          <w:szCs w:val="24"/>
        </w:rPr>
      </w:pPr>
    </w:p>
    <w:p w14:paraId="19A21F04" w14:textId="77777777" w:rsidR="002B19B1" w:rsidRPr="00C86111" w:rsidRDefault="002B19B1" w:rsidP="00833A40">
      <w:pPr>
        <w:pStyle w:val="ListParagraph"/>
        <w:numPr>
          <w:ilvl w:val="0"/>
          <w:numId w:val="111"/>
        </w:numPr>
        <w:jc w:val="both"/>
        <w:rPr>
          <w:rFonts w:asciiTheme="minorHAnsi" w:hAnsiTheme="minorHAnsi" w:cstheme="minorHAnsi"/>
          <w:b/>
          <w:bCs/>
          <w:color w:val="auto"/>
          <w:szCs w:val="24"/>
        </w:rPr>
      </w:pPr>
      <w:r w:rsidRPr="00C86111">
        <w:rPr>
          <w:rFonts w:asciiTheme="minorHAnsi" w:hAnsiTheme="minorHAnsi" w:cstheme="minorHAnsi"/>
          <w:b/>
          <w:bCs/>
          <w:color w:val="auto"/>
          <w:szCs w:val="24"/>
        </w:rPr>
        <w:t>Program pristupanja Crne Gore Evropskoj uniji (2024–2027.)</w:t>
      </w:r>
    </w:p>
    <w:p w14:paraId="7B8C9EB0" w14:textId="77777777" w:rsidR="002B19B1" w:rsidRPr="00C86111" w:rsidRDefault="002B19B1" w:rsidP="002B19B1">
      <w:pPr>
        <w:rPr>
          <w:rFonts w:asciiTheme="minorHAnsi" w:hAnsiTheme="minorHAnsi" w:cstheme="minorHAnsi"/>
          <w:color w:val="auto"/>
          <w:szCs w:val="24"/>
        </w:rPr>
      </w:pPr>
      <w:r w:rsidRPr="00C86111">
        <w:rPr>
          <w:rFonts w:asciiTheme="minorHAnsi" w:hAnsiTheme="minorHAnsi" w:cstheme="minorHAnsi"/>
          <w:color w:val="auto"/>
          <w:szCs w:val="24"/>
        </w:rPr>
        <w:t>Program pristupanja definiše dinamiku usklađivanja nacionalnog zakonodavstva sa relevantnim EU propisima, uključujući regulative REACH, CLP i EU Uredbu o POPs supstancama. Ovaj dokument predviđa dalje jačanje administrativnih kapaciteta, nadzor nad opasnim supstancama i unapređenje sistema evidencije hemikalija.</w:t>
      </w:r>
      <w:r w:rsidRPr="00C86111">
        <w:rPr>
          <w:rFonts w:asciiTheme="minorHAnsi" w:hAnsiTheme="minorHAnsi" w:cstheme="minorHAnsi"/>
          <w:color w:val="auto"/>
          <w:szCs w:val="24"/>
        </w:rPr>
        <w:br/>
        <w:t>NIP je usklađen sa ovim procesima, posebno u segmentima koji se odnose na monitoring POPs emisija, sprovođenje mjera za zaštitu zdravlja i životne sredine te harmonizaciju sa evropskim standardima.</w:t>
      </w:r>
    </w:p>
    <w:p w14:paraId="75694B11" w14:textId="77777777" w:rsidR="006830BB" w:rsidRDefault="006830BB" w:rsidP="002B19B1">
      <w:pPr>
        <w:jc w:val="both"/>
        <w:rPr>
          <w:rFonts w:asciiTheme="minorHAnsi" w:hAnsiTheme="minorHAnsi" w:cstheme="minorHAnsi"/>
          <w:color w:val="auto"/>
          <w:szCs w:val="24"/>
        </w:rPr>
      </w:pPr>
    </w:p>
    <w:p w14:paraId="7893A7E8" w14:textId="77777777" w:rsidR="00912C4C" w:rsidRDefault="00912C4C" w:rsidP="002B19B1">
      <w:pPr>
        <w:jc w:val="both"/>
        <w:rPr>
          <w:rFonts w:asciiTheme="minorHAnsi" w:hAnsiTheme="minorHAnsi" w:cstheme="minorHAnsi"/>
          <w:color w:val="auto"/>
          <w:szCs w:val="24"/>
        </w:rPr>
      </w:pPr>
    </w:p>
    <w:p w14:paraId="5940C000" w14:textId="77777777" w:rsidR="00912C4C" w:rsidRPr="00C86111" w:rsidRDefault="00912C4C" w:rsidP="002B19B1">
      <w:pPr>
        <w:jc w:val="both"/>
        <w:rPr>
          <w:rFonts w:asciiTheme="minorHAnsi" w:hAnsiTheme="minorHAnsi" w:cstheme="minorHAnsi"/>
          <w:color w:val="auto"/>
          <w:szCs w:val="24"/>
        </w:rPr>
      </w:pPr>
    </w:p>
    <w:p w14:paraId="0235C148" w14:textId="77777777" w:rsidR="002B19B1" w:rsidRPr="00C86111" w:rsidRDefault="002B19B1" w:rsidP="00833A40">
      <w:pPr>
        <w:pStyle w:val="ListParagraph"/>
        <w:numPr>
          <w:ilvl w:val="0"/>
          <w:numId w:val="112"/>
        </w:numPr>
        <w:jc w:val="both"/>
        <w:rPr>
          <w:rFonts w:asciiTheme="minorHAnsi" w:hAnsiTheme="minorHAnsi" w:cstheme="minorHAnsi"/>
          <w:b/>
          <w:bCs/>
          <w:color w:val="auto"/>
          <w:szCs w:val="24"/>
        </w:rPr>
      </w:pPr>
      <w:r w:rsidRPr="00C86111">
        <w:rPr>
          <w:rFonts w:asciiTheme="minorHAnsi" w:hAnsiTheme="minorHAnsi" w:cstheme="minorHAnsi"/>
          <w:b/>
          <w:bCs/>
          <w:color w:val="auto"/>
          <w:szCs w:val="24"/>
        </w:rPr>
        <w:lastRenderedPageBreak/>
        <w:t>Akcioni plan za ispunjavanje završnih mjerila u pregovaračkom poglavlju 27 – Životna sredina i klimatske promjene</w:t>
      </w:r>
    </w:p>
    <w:p w14:paraId="63449310" w14:textId="77777777" w:rsidR="002B19B1" w:rsidRPr="00C86111" w:rsidRDefault="002B19B1" w:rsidP="002B19B1">
      <w:pPr>
        <w:pStyle w:val="ListParagraph"/>
        <w:jc w:val="both"/>
        <w:rPr>
          <w:rFonts w:asciiTheme="minorHAnsi" w:hAnsiTheme="minorHAnsi" w:cstheme="minorHAnsi"/>
          <w:b/>
          <w:bCs/>
          <w:color w:val="auto"/>
          <w:szCs w:val="24"/>
        </w:rPr>
      </w:pPr>
    </w:p>
    <w:p w14:paraId="58CAB796"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Akcioni plan definiše niz obaveza u oblasti hemikalija, od kojih je značajan broj direktno povezan sa POPs supstancama. U oblasti upravljanja POPs hemikalijama predviđeno je sprovođenje 27 aktivnosti, uključujući:</w:t>
      </w:r>
    </w:p>
    <w:p w14:paraId="73F1E01D" w14:textId="77777777" w:rsidR="002B19B1" w:rsidRPr="00C86111" w:rsidRDefault="002B19B1" w:rsidP="007E2AA5">
      <w:pPr>
        <w:numPr>
          <w:ilvl w:val="0"/>
          <w:numId w:val="12"/>
        </w:numPr>
        <w:jc w:val="both"/>
        <w:rPr>
          <w:rFonts w:asciiTheme="minorHAnsi" w:hAnsiTheme="minorHAnsi" w:cstheme="minorHAnsi"/>
          <w:color w:val="auto"/>
          <w:szCs w:val="24"/>
        </w:rPr>
      </w:pPr>
      <w:r w:rsidRPr="00C86111">
        <w:rPr>
          <w:rFonts w:asciiTheme="minorHAnsi" w:hAnsiTheme="minorHAnsi" w:cstheme="minorHAnsi"/>
          <w:color w:val="auto"/>
          <w:szCs w:val="24"/>
        </w:rPr>
        <w:t>realizaciju projekta „Održivo ekološko upravljanje PCB-jem u Crnoj Gori“,</w:t>
      </w:r>
    </w:p>
    <w:p w14:paraId="212FA495" w14:textId="77777777" w:rsidR="002B19B1" w:rsidRPr="00C86111" w:rsidRDefault="002B19B1" w:rsidP="007E2AA5">
      <w:pPr>
        <w:numPr>
          <w:ilvl w:val="0"/>
          <w:numId w:val="12"/>
        </w:numPr>
        <w:jc w:val="both"/>
        <w:rPr>
          <w:rFonts w:asciiTheme="minorHAnsi" w:hAnsiTheme="minorHAnsi" w:cstheme="minorHAnsi"/>
          <w:color w:val="auto"/>
          <w:szCs w:val="24"/>
        </w:rPr>
      </w:pPr>
      <w:r w:rsidRPr="00C86111">
        <w:rPr>
          <w:rFonts w:asciiTheme="minorHAnsi" w:hAnsiTheme="minorHAnsi" w:cstheme="minorHAnsi"/>
          <w:color w:val="auto"/>
          <w:szCs w:val="24"/>
        </w:rPr>
        <w:t>ažuriranje inventara PCB i drugih POPs supstanci,</w:t>
      </w:r>
    </w:p>
    <w:p w14:paraId="3BC9BF45" w14:textId="77777777" w:rsidR="002B19B1" w:rsidRPr="00C86111" w:rsidRDefault="002B19B1" w:rsidP="007E2AA5">
      <w:pPr>
        <w:numPr>
          <w:ilvl w:val="0"/>
          <w:numId w:val="12"/>
        </w:numPr>
        <w:jc w:val="both"/>
        <w:rPr>
          <w:rFonts w:asciiTheme="minorHAnsi" w:hAnsiTheme="minorHAnsi" w:cstheme="minorHAnsi"/>
          <w:color w:val="auto"/>
          <w:szCs w:val="24"/>
        </w:rPr>
      </w:pPr>
      <w:r w:rsidRPr="00C86111">
        <w:rPr>
          <w:rFonts w:asciiTheme="minorHAnsi" w:hAnsiTheme="minorHAnsi" w:cstheme="minorHAnsi"/>
          <w:color w:val="auto"/>
          <w:szCs w:val="24"/>
        </w:rPr>
        <w:t>identifikovanje izvora finansiranja i sprovođenje trajnog zbrinjavanja preostalih količina PCB,</w:t>
      </w:r>
    </w:p>
    <w:p w14:paraId="45BB9D6C" w14:textId="77777777" w:rsidR="002B19B1" w:rsidRPr="00C86111" w:rsidRDefault="002B19B1" w:rsidP="007E2AA5">
      <w:pPr>
        <w:numPr>
          <w:ilvl w:val="0"/>
          <w:numId w:val="12"/>
        </w:numPr>
        <w:jc w:val="both"/>
        <w:rPr>
          <w:rFonts w:asciiTheme="minorHAnsi" w:hAnsiTheme="minorHAnsi" w:cstheme="minorHAnsi"/>
          <w:color w:val="auto"/>
          <w:szCs w:val="24"/>
        </w:rPr>
      </w:pPr>
      <w:r w:rsidRPr="00C86111">
        <w:rPr>
          <w:rFonts w:asciiTheme="minorHAnsi" w:hAnsiTheme="minorHAnsi" w:cstheme="minorHAnsi"/>
          <w:color w:val="auto"/>
          <w:szCs w:val="24"/>
        </w:rPr>
        <w:t>unapređenje monitoringa ispuštanja POPs u vodu, kao i monitoringa emisija u vazduh i zemljište,</w:t>
      </w:r>
    </w:p>
    <w:p w14:paraId="49930C87" w14:textId="77777777" w:rsidR="002B19B1" w:rsidRPr="00C86111" w:rsidRDefault="002B19B1" w:rsidP="007E2AA5">
      <w:pPr>
        <w:numPr>
          <w:ilvl w:val="0"/>
          <w:numId w:val="12"/>
        </w:numPr>
        <w:jc w:val="both"/>
        <w:rPr>
          <w:rFonts w:asciiTheme="minorHAnsi" w:hAnsiTheme="minorHAnsi" w:cstheme="minorHAnsi"/>
          <w:color w:val="auto"/>
          <w:szCs w:val="24"/>
        </w:rPr>
      </w:pPr>
      <w:r w:rsidRPr="00C86111">
        <w:rPr>
          <w:rFonts w:asciiTheme="minorHAnsi" w:hAnsiTheme="minorHAnsi" w:cstheme="minorHAnsi"/>
          <w:color w:val="auto"/>
          <w:szCs w:val="24"/>
        </w:rPr>
        <w:t>jačanje kapaciteta nadležnih institucija.</w:t>
      </w:r>
    </w:p>
    <w:p w14:paraId="29547E25"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Sve predviđene mjere direktno doprinose realizaciji ciljeva NIP-a, posebno u dijelu identifikacije, nadzora, smanjenja emisija i bezbjednog zbrinjavanja POPs otpada.</w:t>
      </w:r>
    </w:p>
    <w:p w14:paraId="297828E2" w14:textId="77777777" w:rsidR="002B19B1" w:rsidRPr="00C86111" w:rsidRDefault="002B19B1" w:rsidP="002B19B1">
      <w:pPr>
        <w:jc w:val="both"/>
        <w:rPr>
          <w:rFonts w:asciiTheme="minorHAnsi" w:hAnsiTheme="minorHAnsi" w:cstheme="minorHAnsi"/>
          <w:color w:val="auto"/>
          <w:szCs w:val="24"/>
        </w:rPr>
      </w:pPr>
    </w:p>
    <w:p w14:paraId="01C53EF8" w14:textId="77777777" w:rsidR="002B19B1" w:rsidRPr="00C86111" w:rsidRDefault="002B19B1" w:rsidP="00833A40">
      <w:pPr>
        <w:pStyle w:val="ListParagraph"/>
        <w:numPr>
          <w:ilvl w:val="0"/>
          <w:numId w:val="113"/>
        </w:numPr>
        <w:jc w:val="both"/>
        <w:rPr>
          <w:rFonts w:asciiTheme="minorHAnsi" w:hAnsiTheme="minorHAnsi" w:cstheme="minorHAnsi"/>
          <w:b/>
          <w:bCs/>
          <w:color w:val="auto"/>
          <w:szCs w:val="24"/>
        </w:rPr>
      </w:pPr>
      <w:r w:rsidRPr="00C86111">
        <w:rPr>
          <w:rFonts w:asciiTheme="minorHAnsi" w:hAnsiTheme="minorHAnsi" w:cstheme="minorHAnsi"/>
          <w:b/>
          <w:bCs/>
          <w:color w:val="auto"/>
          <w:szCs w:val="24"/>
        </w:rPr>
        <w:t>Nacionalna strategija održivog razvoja do 2030. Godine</w:t>
      </w:r>
    </w:p>
    <w:p w14:paraId="070D73E8" w14:textId="77777777" w:rsidR="002B19B1" w:rsidRPr="00C86111" w:rsidRDefault="002B19B1" w:rsidP="002B19B1">
      <w:pPr>
        <w:pStyle w:val="ListParagraph"/>
        <w:jc w:val="both"/>
        <w:rPr>
          <w:rFonts w:asciiTheme="minorHAnsi" w:hAnsiTheme="minorHAnsi" w:cstheme="minorHAnsi"/>
          <w:b/>
          <w:bCs/>
          <w:color w:val="auto"/>
          <w:szCs w:val="24"/>
        </w:rPr>
      </w:pPr>
    </w:p>
    <w:p w14:paraId="2A244D86"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Nacionalna strategija održivog razvoja (NSOR) definiše ključne smjernice za integraciju zaštite životne sredine, javnog zdravlja i održivog korišćenja resursa u sve sektorske politike. Poseban značaj ima oblast bezbjednog upravljanja hemikalijama, koja je direktno povezana sa ciljevima održivog razvoja, naročito SDG 12 (održiva potrošnja i proizvodnja), SDG 3 (zdravlje i blagostanje), SDG 9 (industrija, inovacije i infrastruktura) i SDG 11 (održivi gradovi i zajednice).</w:t>
      </w:r>
      <w:r w:rsidRPr="00C86111">
        <w:rPr>
          <w:rFonts w:asciiTheme="minorHAnsi" w:hAnsiTheme="minorHAnsi" w:cstheme="minorHAnsi"/>
          <w:color w:val="auto"/>
          <w:szCs w:val="24"/>
        </w:rPr>
        <w:br/>
        <w:t>Implementacija NIP-a doprinosi ostvarenju ovih ciljeva kroz:</w:t>
      </w:r>
    </w:p>
    <w:p w14:paraId="4DBEC7AA" w14:textId="77777777" w:rsidR="002B19B1" w:rsidRPr="00C86111" w:rsidRDefault="002B19B1" w:rsidP="007E2AA5">
      <w:pPr>
        <w:numPr>
          <w:ilvl w:val="0"/>
          <w:numId w:val="13"/>
        </w:numPr>
        <w:jc w:val="both"/>
        <w:rPr>
          <w:rFonts w:asciiTheme="minorHAnsi" w:hAnsiTheme="minorHAnsi" w:cstheme="minorHAnsi"/>
          <w:color w:val="auto"/>
          <w:szCs w:val="24"/>
        </w:rPr>
      </w:pPr>
      <w:r w:rsidRPr="00C86111">
        <w:rPr>
          <w:rFonts w:asciiTheme="minorHAnsi" w:hAnsiTheme="minorHAnsi" w:cstheme="minorHAnsi"/>
          <w:color w:val="auto"/>
          <w:szCs w:val="24"/>
        </w:rPr>
        <w:t>smanjenje rizika od štetnih hemikalija,</w:t>
      </w:r>
    </w:p>
    <w:p w14:paraId="2AFEA5FB" w14:textId="77777777" w:rsidR="002B19B1" w:rsidRPr="00C86111" w:rsidRDefault="002B19B1" w:rsidP="007E2AA5">
      <w:pPr>
        <w:numPr>
          <w:ilvl w:val="0"/>
          <w:numId w:val="13"/>
        </w:numPr>
        <w:jc w:val="both"/>
        <w:rPr>
          <w:rFonts w:asciiTheme="minorHAnsi" w:hAnsiTheme="minorHAnsi" w:cstheme="minorHAnsi"/>
          <w:color w:val="auto"/>
          <w:szCs w:val="24"/>
        </w:rPr>
      </w:pPr>
      <w:r w:rsidRPr="00C86111">
        <w:rPr>
          <w:rFonts w:asciiTheme="minorHAnsi" w:hAnsiTheme="minorHAnsi" w:cstheme="minorHAnsi"/>
          <w:color w:val="auto"/>
          <w:szCs w:val="24"/>
        </w:rPr>
        <w:t>kontrolu emisija i ispuštanja u životnu sredinu,</w:t>
      </w:r>
    </w:p>
    <w:p w14:paraId="0632487B" w14:textId="77777777" w:rsidR="002B19B1" w:rsidRPr="00C86111" w:rsidRDefault="002B19B1" w:rsidP="007E2AA5">
      <w:pPr>
        <w:numPr>
          <w:ilvl w:val="0"/>
          <w:numId w:val="13"/>
        </w:numPr>
        <w:jc w:val="both"/>
        <w:rPr>
          <w:rFonts w:asciiTheme="minorHAnsi" w:hAnsiTheme="minorHAnsi" w:cstheme="minorHAnsi"/>
          <w:color w:val="auto"/>
          <w:szCs w:val="24"/>
        </w:rPr>
      </w:pPr>
      <w:r w:rsidRPr="00C86111">
        <w:rPr>
          <w:rFonts w:asciiTheme="minorHAnsi" w:hAnsiTheme="minorHAnsi" w:cstheme="minorHAnsi"/>
          <w:color w:val="auto"/>
          <w:szCs w:val="24"/>
        </w:rPr>
        <w:t>eliminaciju ili ograničavanje upotrebe POPs supstanci,</w:t>
      </w:r>
    </w:p>
    <w:p w14:paraId="5213564C" w14:textId="77777777" w:rsidR="002B19B1" w:rsidRPr="00C86111" w:rsidRDefault="002B19B1" w:rsidP="007E2AA5">
      <w:pPr>
        <w:numPr>
          <w:ilvl w:val="0"/>
          <w:numId w:val="13"/>
        </w:numPr>
        <w:jc w:val="both"/>
        <w:rPr>
          <w:rFonts w:asciiTheme="minorHAnsi" w:hAnsiTheme="minorHAnsi" w:cstheme="minorHAnsi"/>
          <w:color w:val="auto"/>
          <w:szCs w:val="24"/>
        </w:rPr>
      </w:pPr>
      <w:r w:rsidRPr="00C86111">
        <w:rPr>
          <w:rFonts w:asciiTheme="minorHAnsi" w:hAnsiTheme="minorHAnsi" w:cstheme="minorHAnsi"/>
          <w:color w:val="auto"/>
          <w:szCs w:val="24"/>
        </w:rPr>
        <w:t>podršku prelasku na održive tehnologije i proizvode.</w:t>
      </w:r>
    </w:p>
    <w:p w14:paraId="4AE2839E"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Polazeći od navedenih strateških okvira, Nacionalni implementacioni plan za POPs doprinosi:</w:t>
      </w:r>
    </w:p>
    <w:p w14:paraId="6EE00E5A"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sprovođenju međunarodnih obaveza iz Stokholmske konvencije,</w:t>
      </w:r>
    </w:p>
    <w:p w14:paraId="24937740"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jačanju sistema upravljanja hemikalijama u skladu sa zahtjevima EU,</w:t>
      </w:r>
    </w:p>
    <w:p w14:paraId="4852A319"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smanjenju rizika po zdravlje ljudi i životnu sredinu,</w:t>
      </w:r>
    </w:p>
    <w:p w14:paraId="2547CF8C"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ostvarenju ciljeva održivog razvoja,</w:t>
      </w:r>
    </w:p>
    <w:p w14:paraId="4EF2030D"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unapređenju konkurentnosti privrede kroz uvođenje bezbjednijih supstanci i tehnologija.</w:t>
      </w:r>
    </w:p>
    <w:p w14:paraId="356BF7B8" w14:textId="77777777" w:rsidR="002B19B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NIP se nadovezuje na postojeće strategije i planove, dopunjuje ih specifičnim mjerama za POPs hemikalije i daje jasan okvir za njihovu eliminaciju, monitoring i ekološki prihvatljivo upravljanje u narednom planskom periodu.</w:t>
      </w:r>
    </w:p>
    <w:p w14:paraId="5C9D26BD" w14:textId="77777777" w:rsidR="006830BB" w:rsidRPr="00C86111" w:rsidRDefault="006830BB" w:rsidP="002B19B1">
      <w:pPr>
        <w:jc w:val="both"/>
        <w:rPr>
          <w:rFonts w:asciiTheme="minorHAnsi" w:hAnsiTheme="minorHAnsi" w:cstheme="minorHAnsi"/>
          <w:color w:val="auto"/>
          <w:szCs w:val="24"/>
        </w:rPr>
      </w:pPr>
    </w:p>
    <w:p w14:paraId="0A0B1A33" w14:textId="77777777" w:rsidR="002B19B1" w:rsidRDefault="002B19B1" w:rsidP="002B19B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Dodatni strateški dokumenti</w:t>
      </w:r>
    </w:p>
    <w:p w14:paraId="2CFC6770" w14:textId="77777777" w:rsidR="006830BB" w:rsidRPr="00C86111" w:rsidRDefault="006830BB" w:rsidP="002B19B1">
      <w:pPr>
        <w:jc w:val="both"/>
        <w:rPr>
          <w:rFonts w:asciiTheme="minorHAnsi" w:hAnsiTheme="minorHAnsi" w:cstheme="minorHAnsi"/>
          <w:b/>
          <w:bCs/>
          <w:color w:val="auto"/>
          <w:szCs w:val="24"/>
        </w:rPr>
      </w:pPr>
    </w:p>
    <w:p w14:paraId="66F8CD86"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NIP je također usklađen sa relevantnim nacionalnim politikama i strategijama koje doprinose održivom upravljanju hemikalijama i opasnim otpadom:</w:t>
      </w:r>
    </w:p>
    <w:p w14:paraId="71F173F4" w14:textId="77777777" w:rsidR="002B19B1" w:rsidRPr="00C86111" w:rsidRDefault="002B19B1" w:rsidP="00833A40">
      <w:pPr>
        <w:numPr>
          <w:ilvl w:val="0"/>
          <w:numId w:val="114"/>
        </w:numPr>
        <w:jc w:val="both"/>
        <w:rPr>
          <w:rFonts w:asciiTheme="minorHAnsi" w:hAnsiTheme="minorHAnsi" w:cstheme="minorHAnsi"/>
          <w:color w:val="auto"/>
          <w:szCs w:val="24"/>
        </w:rPr>
      </w:pPr>
      <w:r w:rsidRPr="00C86111">
        <w:rPr>
          <w:rFonts w:asciiTheme="minorHAnsi" w:hAnsiTheme="minorHAnsi" w:cstheme="minorHAnsi"/>
          <w:b/>
          <w:bCs/>
          <w:color w:val="auto"/>
          <w:szCs w:val="24"/>
        </w:rPr>
        <w:t>Strategija upravljanja otpadom do 2030.</w:t>
      </w:r>
      <w:r w:rsidRPr="00C86111">
        <w:rPr>
          <w:rFonts w:asciiTheme="minorHAnsi" w:hAnsiTheme="minorHAnsi" w:cstheme="minorHAnsi"/>
          <w:color w:val="auto"/>
          <w:szCs w:val="24"/>
        </w:rPr>
        <w:t xml:space="preserve"> – definiše ciljeve za održivo upravljanje otpadom, uključujući opasan otpad i POPs supstance.</w:t>
      </w:r>
    </w:p>
    <w:p w14:paraId="56FA5585" w14:textId="77777777" w:rsidR="002B19B1" w:rsidRPr="00C86111" w:rsidRDefault="002B19B1" w:rsidP="00833A40">
      <w:pPr>
        <w:numPr>
          <w:ilvl w:val="0"/>
          <w:numId w:val="114"/>
        </w:numPr>
        <w:jc w:val="both"/>
        <w:rPr>
          <w:rFonts w:asciiTheme="minorHAnsi" w:hAnsiTheme="minorHAnsi" w:cstheme="minorHAnsi"/>
          <w:color w:val="auto"/>
          <w:szCs w:val="24"/>
        </w:rPr>
      </w:pPr>
      <w:r w:rsidRPr="00C86111">
        <w:rPr>
          <w:rFonts w:asciiTheme="minorHAnsi" w:hAnsiTheme="minorHAnsi" w:cstheme="minorHAnsi"/>
          <w:b/>
          <w:bCs/>
          <w:color w:val="auto"/>
          <w:szCs w:val="24"/>
        </w:rPr>
        <w:lastRenderedPageBreak/>
        <w:t>Nacionalna strategija cirkularne tranzicije do 2030.</w:t>
      </w:r>
      <w:r w:rsidRPr="00C86111">
        <w:rPr>
          <w:rFonts w:asciiTheme="minorHAnsi" w:hAnsiTheme="minorHAnsi" w:cstheme="minorHAnsi"/>
          <w:color w:val="auto"/>
          <w:szCs w:val="24"/>
        </w:rPr>
        <w:t xml:space="preserve"> – promoviše unapređenje tehnoloških procesa, odgovorno upravljanje otpadom i podizanje svijesti o principima cirkularne ekonomije.</w:t>
      </w:r>
    </w:p>
    <w:p w14:paraId="5CAFAF26" w14:textId="77777777" w:rsidR="002B19B1" w:rsidRPr="00C86111" w:rsidRDefault="002B19B1" w:rsidP="00833A40">
      <w:pPr>
        <w:numPr>
          <w:ilvl w:val="0"/>
          <w:numId w:val="114"/>
        </w:numPr>
        <w:jc w:val="both"/>
        <w:rPr>
          <w:rFonts w:asciiTheme="minorHAnsi" w:hAnsiTheme="minorHAnsi" w:cstheme="minorHAnsi"/>
          <w:color w:val="auto"/>
          <w:szCs w:val="24"/>
        </w:rPr>
      </w:pPr>
      <w:r w:rsidRPr="00C86111">
        <w:rPr>
          <w:rFonts w:asciiTheme="minorHAnsi" w:hAnsiTheme="minorHAnsi" w:cstheme="minorHAnsi"/>
          <w:b/>
          <w:bCs/>
          <w:color w:val="auto"/>
          <w:szCs w:val="24"/>
        </w:rPr>
        <w:t>Industrijska politika Crne Gore 2019–2023.</w:t>
      </w:r>
      <w:r w:rsidRPr="00C86111">
        <w:rPr>
          <w:rFonts w:asciiTheme="minorHAnsi" w:hAnsiTheme="minorHAnsi" w:cstheme="minorHAnsi"/>
          <w:color w:val="auto"/>
          <w:szCs w:val="24"/>
        </w:rPr>
        <w:t xml:space="preserve"> – podržava zelenu ekonomiju kroz unaprjeđenje zakonodavnog okvira, identifikaciju postrojenja koja podležu regulativi, sanaciju industrijskog otpada, uvođenje međunarodnih ekoloških standarda i ekološki prihvatljivo zbrinjavanje otpada.</w:t>
      </w:r>
    </w:p>
    <w:p w14:paraId="5ADF2ADB" w14:textId="77777777" w:rsidR="002B19B1" w:rsidRPr="00C86111" w:rsidRDefault="002B19B1" w:rsidP="00833A40">
      <w:pPr>
        <w:numPr>
          <w:ilvl w:val="0"/>
          <w:numId w:val="114"/>
        </w:numPr>
        <w:jc w:val="both"/>
        <w:rPr>
          <w:rFonts w:asciiTheme="minorHAnsi" w:hAnsiTheme="minorHAnsi" w:cstheme="minorHAnsi"/>
          <w:color w:val="auto"/>
          <w:szCs w:val="24"/>
        </w:rPr>
      </w:pPr>
      <w:r w:rsidRPr="00C86111">
        <w:rPr>
          <w:rFonts w:asciiTheme="minorHAnsi" w:hAnsiTheme="minorHAnsi" w:cstheme="minorHAnsi"/>
          <w:b/>
          <w:bCs/>
          <w:color w:val="auto"/>
          <w:szCs w:val="24"/>
        </w:rPr>
        <w:t>Strategija za smanjenje rizika od katastrofa 2018–2023.</w:t>
      </w:r>
      <w:r w:rsidRPr="00C86111">
        <w:rPr>
          <w:rFonts w:asciiTheme="minorHAnsi" w:hAnsiTheme="minorHAnsi" w:cstheme="minorHAnsi"/>
          <w:color w:val="auto"/>
          <w:szCs w:val="24"/>
        </w:rPr>
        <w:t xml:space="preserve"> – adresira hemijske akcidente i osigurava odgovarajući sistem zaštite i odgovora u kriznim situacijama.</w:t>
      </w:r>
    </w:p>
    <w:p w14:paraId="3E7BFC89" w14:textId="77777777" w:rsidR="002B19B1" w:rsidRPr="00C86111" w:rsidRDefault="002B19B1" w:rsidP="00833A40">
      <w:pPr>
        <w:numPr>
          <w:ilvl w:val="0"/>
          <w:numId w:val="114"/>
        </w:numPr>
        <w:jc w:val="both"/>
        <w:rPr>
          <w:rFonts w:asciiTheme="minorHAnsi" w:hAnsiTheme="minorHAnsi" w:cstheme="minorHAnsi"/>
          <w:color w:val="auto"/>
          <w:szCs w:val="24"/>
        </w:rPr>
      </w:pPr>
      <w:r w:rsidRPr="00C86111">
        <w:rPr>
          <w:rFonts w:asciiTheme="minorHAnsi" w:hAnsiTheme="minorHAnsi" w:cstheme="minorHAnsi"/>
          <w:b/>
          <w:bCs/>
          <w:color w:val="auto"/>
          <w:szCs w:val="24"/>
        </w:rPr>
        <w:t>Strategija za unaprjeđenje zaštite i zdravlja na radu 2022–2027.</w:t>
      </w:r>
      <w:r w:rsidRPr="00C86111">
        <w:rPr>
          <w:rFonts w:asciiTheme="minorHAnsi" w:hAnsiTheme="minorHAnsi" w:cstheme="minorHAnsi"/>
          <w:color w:val="auto"/>
          <w:szCs w:val="24"/>
        </w:rPr>
        <w:t xml:space="preserve"> – predviđa prevenciju štetnog djelovanja hemikalija na zaposlenima i smanjenje rizika od profesionalnih bolesti i povreda.</w:t>
      </w:r>
    </w:p>
    <w:p w14:paraId="3593D99B" w14:textId="77777777" w:rsidR="002B19B1" w:rsidRPr="00C86111" w:rsidRDefault="002B19B1" w:rsidP="00833A40">
      <w:pPr>
        <w:numPr>
          <w:ilvl w:val="0"/>
          <w:numId w:val="114"/>
        </w:numPr>
        <w:jc w:val="both"/>
        <w:rPr>
          <w:rFonts w:asciiTheme="minorHAnsi" w:hAnsiTheme="minorHAnsi" w:cstheme="minorHAnsi"/>
          <w:color w:val="auto"/>
          <w:szCs w:val="24"/>
        </w:rPr>
      </w:pPr>
      <w:r w:rsidRPr="00C86111">
        <w:rPr>
          <w:rFonts w:asciiTheme="minorHAnsi" w:hAnsiTheme="minorHAnsi" w:cstheme="minorHAnsi"/>
          <w:b/>
          <w:bCs/>
          <w:color w:val="auto"/>
          <w:szCs w:val="24"/>
        </w:rPr>
        <w:t>Nacionalni plan za održivu upotrebu sredstava za zaštitu bilja 2021–2026.</w:t>
      </w:r>
      <w:r w:rsidRPr="00C86111">
        <w:rPr>
          <w:rFonts w:asciiTheme="minorHAnsi" w:hAnsiTheme="minorHAnsi" w:cstheme="minorHAnsi"/>
          <w:color w:val="auto"/>
          <w:szCs w:val="24"/>
        </w:rPr>
        <w:t xml:space="preserve"> – promoviše odgovornu upotrebu pesticida, edukaciju poljoprivrednika i primjenu principa integralnog suzbijanja štetnih organizama.</w:t>
      </w:r>
    </w:p>
    <w:p w14:paraId="040FCDE1" w14:textId="77777777" w:rsidR="002B19B1" w:rsidRPr="00C86111" w:rsidRDefault="002B19B1" w:rsidP="002B19B1">
      <w:pPr>
        <w:jc w:val="both"/>
        <w:rPr>
          <w:rFonts w:asciiTheme="minorHAnsi" w:hAnsiTheme="minorHAnsi" w:cstheme="minorHAnsi"/>
          <w:color w:val="auto"/>
          <w:szCs w:val="24"/>
        </w:rPr>
      </w:pPr>
    </w:p>
    <w:p w14:paraId="6D59D78C" w14:textId="77777777" w:rsidR="002B19B1" w:rsidRPr="00C86111" w:rsidRDefault="002B19B1" w:rsidP="002B19B1">
      <w:pPr>
        <w:jc w:val="both"/>
        <w:rPr>
          <w:rFonts w:asciiTheme="minorHAnsi" w:hAnsiTheme="minorHAnsi" w:cstheme="minorHAnsi"/>
          <w:color w:val="auto"/>
          <w:szCs w:val="24"/>
        </w:rPr>
      </w:pPr>
      <w:r w:rsidRPr="00C86111">
        <w:rPr>
          <w:rFonts w:asciiTheme="minorHAnsi" w:hAnsiTheme="minorHAnsi" w:cstheme="minorHAnsi"/>
          <w:color w:val="auto"/>
          <w:szCs w:val="24"/>
        </w:rPr>
        <w:t>Ovim pristupom Crna Gora osigurava koordinisanu, integrisanu i dugoročnu strategiju upravljanja POPs supstancama i drugim opasnim hemikalijama, doprinoseći sigurnijem, ekološki prihvatljivom i održivom sistemu zaštite životne sredine i javnog zdravlja.</w:t>
      </w:r>
    </w:p>
    <w:p w14:paraId="524A6AD0" w14:textId="77777777" w:rsidR="00A12257" w:rsidRPr="00C86111" w:rsidRDefault="00A12257" w:rsidP="002B19B1">
      <w:pPr>
        <w:jc w:val="both"/>
        <w:rPr>
          <w:rFonts w:asciiTheme="minorHAnsi" w:hAnsiTheme="minorHAnsi" w:cstheme="minorHAnsi"/>
          <w:color w:val="auto"/>
          <w:szCs w:val="24"/>
        </w:rPr>
      </w:pPr>
    </w:p>
    <w:p w14:paraId="2645038E" w14:textId="77777777" w:rsidR="00A12257" w:rsidRPr="00C86111" w:rsidRDefault="00A12257" w:rsidP="002B19B1">
      <w:pPr>
        <w:jc w:val="both"/>
        <w:rPr>
          <w:rFonts w:asciiTheme="minorHAnsi" w:hAnsiTheme="minorHAnsi" w:cstheme="minorHAnsi"/>
          <w:color w:val="auto"/>
          <w:szCs w:val="24"/>
        </w:rPr>
      </w:pPr>
    </w:p>
    <w:p w14:paraId="433A05FF" w14:textId="77777777" w:rsidR="00A12257" w:rsidRPr="00C86111" w:rsidRDefault="00A12257" w:rsidP="002B19B1">
      <w:pPr>
        <w:jc w:val="both"/>
        <w:rPr>
          <w:rFonts w:asciiTheme="minorHAnsi" w:hAnsiTheme="minorHAnsi" w:cstheme="minorHAnsi"/>
          <w:color w:val="auto"/>
          <w:szCs w:val="24"/>
        </w:rPr>
      </w:pPr>
    </w:p>
    <w:p w14:paraId="67D8332F" w14:textId="77777777" w:rsidR="00A12257" w:rsidRPr="00C86111" w:rsidRDefault="00A12257" w:rsidP="002B19B1">
      <w:pPr>
        <w:jc w:val="both"/>
        <w:rPr>
          <w:rFonts w:asciiTheme="minorHAnsi" w:hAnsiTheme="minorHAnsi" w:cstheme="minorHAnsi"/>
          <w:color w:val="auto"/>
          <w:szCs w:val="24"/>
        </w:rPr>
      </w:pPr>
    </w:p>
    <w:p w14:paraId="1AFEA6C8" w14:textId="77777777" w:rsidR="00A12257" w:rsidRPr="00C86111" w:rsidRDefault="00A12257" w:rsidP="002B19B1">
      <w:pPr>
        <w:jc w:val="both"/>
        <w:rPr>
          <w:rFonts w:asciiTheme="minorHAnsi" w:hAnsiTheme="minorHAnsi" w:cstheme="minorHAnsi"/>
          <w:color w:val="auto"/>
          <w:szCs w:val="24"/>
        </w:rPr>
      </w:pPr>
    </w:p>
    <w:p w14:paraId="5F531116" w14:textId="77777777" w:rsidR="00A12257" w:rsidRPr="00C86111" w:rsidRDefault="00A12257" w:rsidP="002B19B1">
      <w:pPr>
        <w:jc w:val="both"/>
        <w:rPr>
          <w:rFonts w:asciiTheme="minorHAnsi" w:hAnsiTheme="minorHAnsi" w:cstheme="minorHAnsi"/>
          <w:color w:val="auto"/>
          <w:szCs w:val="24"/>
        </w:rPr>
      </w:pPr>
    </w:p>
    <w:p w14:paraId="322AB195" w14:textId="77777777" w:rsidR="00A12257" w:rsidRPr="00C86111" w:rsidRDefault="00A12257" w:rsidP="002B19B1">
      <w:pPr>
        <w:jc w:val="both"/>
        <w:rPr>
          <w:rFonts w:asciiTheme="minorHAnsi" w:hAnsiTheme="minorHAnsi" w:cstheme="minorHAnsi"/>
          <w:color w:val="auto"/>
          <w:szCs w:val="24"/>
        </w:rPr>
      </w:pPr>
    </w:p>
    <w:p w14:paraId="27BF436C" w14:textId="77777777" w:rsidR="00A12257" w:rsidRPr="00C86111" w:rsidRDefault="00A12257" w:rsidP="002B19B1">
      <w:pPr>
        <w:jc w:val="both"/>
        <w:rPr>
          <w:rFonts w:asciiTheme="minorHAnsi" w:hAnsiTheme="minorHAnsi" w:cstheme="minorHAnsi"/>
          <w:color w:val="auto"/>
          <w:szCs w:val="24"/>
        </w:rPr>
      </w:pPr>
    </w:p>
    <w:p w14:paraId="271972AB" w14:textId="77777777" w:rsidR="00A12257" w:rsidRPr="00C86111" w:rsidRDefault="00A12257" w:rsidP="002B19B1">
      <w:pPr>
        <w:jc w:val="both"/>
        <w:rPr>
          <w:rFonts w:asciiTheme="minorHAnsi" w:hAnsiTheme="minorHAnsi" w:cstheme="minorHAnsi"/>
          <w:color w:val="auto"/>
          <w:szCs w:val="24"/>
        </w:rPr>
      </w:pPr>
    </w:p>
    <w:p w14:paraId="342FD51D" w14:textId="77777777" w:rsidR="00A12257" w:rsidRPr="00C86111" w:rsidRDefault="00A12257" w:rsidP="002B19B1">
      <w:pPr>
        <w:jc w:val="both"/>
        <w:rPr>
          <w:rFonts w:asciiTheme="minorHAnsi" w:hAnsiTheme="minorHAnsi" w:cstheme="minorHAnsi"/>
          <w:color w:val="auto"/>
          <w:szCs w:val="24"/>
        </w:rPr>
      </w:pPr>
    </w:p>
    <w:p w14:paraId="3319D599" w14:textId="77777777" w:rsidR="00A12257" w:rsidRDefault="00A12257" w:rsidP="002B19B1">
      <w:pPr>
        <w:jc w:val="both"/>
        <w:rPr>
          <w:rFonts w:asciiTheme="minorHAnsi" w:hAnsiTheme="minorHAnsi" w:cstheme="minorHAnsi"/>
          <w:color w:val="auto"/>
          <w:szCs w:val="24"/>
        </w:rPr>
      </w:pPr>
    </w:p>
    <w:p w14:paraId="5E9320EE" w14:textId="77777777" w:rsidR="006830BB" w:rsidRDefault="006830BB" w:rsidP="002B19B1">
      <w:pPr>
        <w:jc w:val="both"/>
        <w:rPr>
          <w:rFonts w:asciiTheme="minorHAnsi" w:hAnsiTheme="minorHAnsi" w:cstheme="minorHAnsi"/>
          <w:color w:val="auto"/>
          <w:szCs w:val="24"/>
        </w:rPr>
      </w:pPr>
    </w:p>
    <w:p w14:paraId="6F888EBD" w14:textId="77777777" w:rsidR="006830BB" w:rsidRDefault="006830BB" w:rsidP="002B19B1">
      <w:pPr>
        <w:jc w:val="both"/>
        <w:rPr>
          <w:rFonts w:asciiTheme="minorHAnsi" w:hAnsiTheme="minorHAnsi" w:cstheme="minorHAnsi"/>
          <w:color w:val="auto"/>
          <w:szCs w:val="24"/>
        </w:rPr>
      </w:pPr>
    </w:p>
    <w:p w14:paraId="6C064A85" w14:textId="77777777" w:rsidR="006830BB" w:rsidRDefault="006830BB" w:rsidP="002B19B1">
      <w:pPr>
        <w:jc w:val="both"/>
        <w:rPr>
          <w:rFonts w:asciiTheme="minorHAnsi" w:hAnsiTheme="minorHAnsi" w:cstheme="minorHAnsi"/>
          <w:color w:val="auto"/>
          <w:szCs w:val="24"/>
        </w:rPr>
      </w:pPr>
    </w:p>
    <w:p w14:paraId="04EEF0CA" w14:textId="77777777" w:rsidR="006830BB" w:rsidRDefault="006830BB" w:rsidP="002B19B1">
      <w:pPr>
        <w:jc w:val="both"/>
        <w:rPr>
          <w:rFonts w:asciiTheme="minorHAnsi" w:hAnsiTheme="minorHAnsi" w:cstheme="minorHAnsi"/>
          <w:color w:val="auto"/>
          <w:szCs w:val="24"/>
        </w:rPr>
      </w:pPr>
    </w:p>
    <w:p w14:paraId="30C078F7" w14:textId="77777777" w:rsidR="006830BB" w:rsidRDefault="006830BB" w:rsidP="002B19B1">
      <w:pPr>
        <w:jc w:val="both"/>
        <w:rPr>
          <w:rFonts w:asciiTheme="minorHAnsi" w:hAnsiTheme="minorHAnsi" w:cstheme="minorHAnsi"/>
          <w:color w:val="auto"/>
          <w:szCs w:val="24"/>
        </w:rPr>
      </w:pPr>
    </w:p>
    <w:p w14:paraId="4B680C57" w14:textId="77777777" w:rsidR="006830BB" w:rsidRDefault="006830BB" w:rsidP="002B19B1">
      <w:pPr>
        <w:jc w:val="both"/>
        <w:rPr>
          <w:rFonts w:asciiTheme="minorHAnsi" w:hAnsiTheme="minorHAnsi" w:cstheme="minorHAnsi"/>
          <w:color w:val="auto"/>
          <w:szCs w:val="24"/>
        </w:rPr>
      </w:pPr>
    </w:p>
    <w:p w14:paraId="43FE7302" w14:textId="77777777" w:rsidR="006830BB" w:rsidRDefault="006830BB" w:rsidP="002B19B1">
      <w:pPr>
        <w:jc w:val="both"/>
        <w:rPr>
          <w:rFonts w:asciiTheme="minorHAnsi" w:hAnsiTheme="minorHAnsi" w:cstheme="minorHAnsi"/>
          <w:color w:val="auto"/>
          <w:szCs w:val="24"/>
        </w:rPr>
      </w:pPr>
    </w:p>
    <w:p w14:paraId="6F8CCAB4" w14:textId="77777777" w:rsidR="006830BB" w:rsidRDefault="006830BB" w:rsidP="002B19B1">
      <w:pPr>
        <w:jc w:val="both"/>
        <w:rPr>
          <w:rFonts w:asciiTheme="minorHAnsi" w:hAnsiTheme="minorHAnsi" w:cstheme="minorHAnsi"/>
          <w:color w:val="auto"/>
          <w:szCs w:val="24"/>
        </w:rPr>
      </w:pPr>
    </w:p>
    <w:p w14:paraId="237CB147" w14:textId="77777777" w:rsidR="006830BB" w:rsidRDefault="006830BB" w:rsidP="002B19B1">
      <w:pPr>
        <w:jc w:val="both"/>
        <w:rPr>
          <w:rFonts w:asciiTheme="minorHAnsi" w:hAnsiTheme="minorHAnsi" w:cstheme="minorHAnsi"/>
          <w:color w:val="auto"/>
          <w:szCs w:val="24"/>
        </w:rPr>
      </w:pPr>
    </w:p>
    <w:p w14:paraId="6942A0DC" w14:textId="77777777" w:rsidR="006830BB" w:rsidRDefault="006830BB" w:rsidP="002B19B1">
      <w:pPr>
        <w:jc w:val="both"/>
        <w:rPr>
          <w:rFonts w:asciiTheme="minorHAnsi" w:hAnsiTheme="minorHAnsi" w:cstheme="minorHAnsi"/>
          <w:color w:val="auto"/>
          <w:szCs w:val="24"/>
        </w:rPr>
      </w:pPr>
    </w:p>
    <w:p w14:paraId="7EB7724A" w14:textId="77777777" w:rsidR="006830BB" w:rsidRDefault="006830BB" w:rsidP="002B19B1">
      <w:pPr>
        <w:jc w:val="both"/>
        <w:rPr>
          <w:rFonts w:asciiTheme="minorHAnsi" w:hAnsiTheme="minorHAnsi" w:cstheme="minorHAnsi"/>
          <w:color w:val="auto"/>
          <w:szCs w:val="24"/>
        </w:rPr>
      </w:pPr>
    </w:p>
    <w:p w14:paraId="00F9FFEB" w14:textId="77777777" w:rsidR="006830BB" w:rsidRDefault="006830BB" w:rsidP="002B19B1">
      <w:pPr>
        <w:jc w:val="both"/>
        <w:rPr>
          <w:rFonts w:asciiTheme="minorHAnsi" w:hAnsiTheme="minorHAnsi" w:cstheme="minorHAnsi"/>
          <w:color w:val="auto"/>
          <w:szCs w:val="24"/>
        </w:rPr>
      </w:pPr>
    </w:p>
    <w:p w14:paraId="2BCCD2D0" w14:textId="77777777" w:rsidR="006830BB" w:rsidRDefault="006830BB" w:rsidP="002B19B1">
      <w:pPr>
        <w:jc w:val="both"/>
        <w:rPr>
          <w:rFonts w:asciiTheme="minorHAnsi" w:hAnsiTheme="minorHAnsi" w:cstheme="minorHAnsi"/>
          <w:color w:val="auto"/>
          <w:szCs w:val="24"/>
        </w:rPr>
      </w:pPr>
    </w:p>
    <w:p w14:paraId="497B3DA2" w14:textId="77777777" w:rsidR="006830BB" w:rsidRDefault="006830BB" w:rsidP="002B19B1">
      <w:pPr>
        <w:jc w:val="both"/>
        <w:rPr>
          <w:rFonts w:asciiTheme="minorHAnsi" w:hAnsiTheme="minorHAnsi" w:cstheme="minorHAnsi"/>
          <w:color w:val="auto"/>
          <w:szCs w:val="24"/>
        </w:rPr>
      </w:pPr>
    </w:p>
    <w:p w14:paraId="2980B060" w14:textId="77777777" w:rsidR="006830BB" w:rsidRDefault="006830BB" w:rsidP="002B19B1">
      <w:pPr>
        <w:jc w:val="both"/>
        <w:rPr>
          <w:rFonts w:asciiTheme="minorHAnsi" w:hAnsiTheme="minorHAnsi" w:cstheme="minorHAnsi"/>
          <w:color w:val="auto"/>
          <w:szCs w:val="24"/>
        </w:rPr>
      </w:pPr>
    </w:p>
    <w:p w14:paraId="61C4F5A4" w14:textId="77777777" w:rsidR="006830BB" w:rsidRDefault="006830BB" w:rsidP="002B19B1">
      <w:pPr>
        <w:jc w:val="both"/>
        <w:rPr>
          <w:rFonts w:asciiTheme="minorHAnsi" w:hAnsiTheme="minorHAnsi" w:cstheme="minorHAnsi"/>
          <w:color w:val="auto"/>
          <w:szCs w:val="24"/>
        </w:rPr>
      </w:pPr>
    </w:p>
    <w:p w14:paraId="7FB8F5E6" w14:textId="77777777" w:rsidR="006830BB" w:rsidRDefault="006830BB" w:rsidP="002B19B1">
      <w:pPr>
        <w:jc w:val="both"/>
        <w:rPr>
          <w:rFonts w:asciiTheme="minorHAnsi" w:hAnsiTheme="minorHAnsi" w:cstheme="minorHAnsi"/>
          <w:color w:val="auto"/>
          <w:szCs w:val="24"/>
        </w:rPr>
      </w:pPr>
    </w:p>
    <w:p w14:paraId="265C8589" w14:textId="77777777" w:rsidR="006830BB" w:rsidRDefault="006830BB" w:rsidP="002B19B1">
      <w:pPr>
        <w:jc w:val="both"/>
        <w:rPr>
          <w:rFonts w:asciiTheme="minorHAnsi" w:hAnsiTheme="minorHAnsi" w:cstheme="minorHAnsi"/>
          <w:color w:val="auto"/>
          <w:szCs w:val="24"/>
        </w:rPr>
      </w:pPr>
    </w:p>
    <w:p w14:paraId="11F5E28E" w14:textId="77777777" w:rsidR="006830BB" w:rsidRDefault="006830BB" w:rsidP="002B19B1">
      <w:pPr>
        <w:jc w:val="both"/>
        <w:rPr>
          <w:rFonts w:asciiTheme="minorHAnsi" w:hAnsiTheme="minorHAnsi" w:cstheme="minorHAnsi"/>
          <w:color w:val="auto"/>
          <w:szCs w:val="24"/>
        </w:rPr>
      </w:pPr>
    </w:p>
    <w:p w14:paraId="42668EEA" w14:textId="77777777" w:rsidR="006830BB" w:rsidRDefault="006830BB" w:rsidP="002B19B1">
      <w:pPr>
        <w:jc w:val="both"/>
        <w:rPr>
          <w:rFonts w:asciiTheme="minorHAnsi" w:hAnsiTheme="minorHAnsi" w:cstheme="minorHAnsi"/>
          <w:color w:val="auto"/>
          <w:szCs w:val="24"/>
        </w:rPr>
      </w:pPr>
    </w:p>
    <w:p w14:paraId="63E653EA" w14:textId="77777777" w:rsidR="006830BB" w:rsidRDefault="006830BB" w:rsidP="002B19B1">
      <w:pPr>
        <w:jc w:val="both"/>
        <w:rPr>
          <w:rFonts w:asciiTheme="minorHAnsi" w:hAnsiTheme="minorHAnsi" w:cstheme="minorHAnsi"/>
          <w:color w:val="auto"/>
          <w:szCs w:val="24"/>
        </w:rPr>
      </w:pPr>
    </w:p>
    <w:p w14:paraId="05494BA4" w14:textId="77777777" w:rsidR="006830BB" w:rsidRPr="00C86111" w:rsidRDefault="006830BB" w:rsidP="002B19B1">
      <w:pPr>
        <w:jc w:val="both"/>
        <w:rPr>
          <w:rFonts w:asciiTheme="minorHAnsi" w:hAnsiTheme="minorHAnsi" w:cstheme="minorHAnsi"/>
          <w:color w:val="auto"/>
          <w:szCs w:val="24"/>
        </w:rPr>
      </w:pPr>
    </w:p>
    <w:p w14:paraId="637485CD" w14:textId="77777777" w:rsidR="00A12257" w:rsidRPr="00C86111" w:rsidRDefault="00A12257" w:rsidP="002B19B1">
      <w:pPr>
        <w:jc w:val="both"/>
        <w:rPr>
          <w:rFonts w:asciiTheme="minorHAnsi" w:hAnsiTheme="minorHAnsi" w:cstheme="minorHAnsi"/>
          <w:color w:val="auto"/>
          <w:szCs w:val="24"/>
        </w:rPr>
      </w:pPr>
    </w:p>
    <w:p w14:paraId="4BA1F60A" w14:textId="77777777" w:rsidR="00A12257" w:rsidRPr="00C86111" w:rsidRDefault="00A12257" w:rsidP="002B19B1">
      <w:pPr>
        <w:jc w:val="both"/>
        <w:rPr>
          <w:rFonts w:asciiTheme="minorHAnsi" w:hAnsiTheme="minorHAnsi" w:cstheme="minorHAnsi"/>
          <w:color w:val="auto"/>
          <w:szCs w:val="24"/>
        </w:rPr>
      </w:pPr>
    </w:p>
    <w:p w14:paraId="10984005" w14:textId="77777777" w:rsidR="00A12257" w:rsidRPr="00C86111" w:rsidRDefault="00A12257" w:rsidP="002B19B1">
      <w:pPr>
        <w:jc w:val="both"/>
        <w:rPr>
          <w:rFonts w:asciiTheme="minorHAnsi" w:hAnsiTheme="minorHAnsi" w:cstheme="minorHAnsi"/>
          <w:color w:val="auto"/>
          <w:szCs w:val="24"/>
        </w:rPr>
      </w:pPr>
    </w:p>
    <w:p w14:paraId="1BF9BFE1" w14:textId="77777777" w:rsidR="00A12257" w:rsidRPr="00C86111" w:rsidRDefault="00A12257" w:rsidP="002B19B1">
      <w:pPr>
        <w:jc w:val="both"/>
        <w:rPr>
          <w:rFonts w:asciiTheme="minorHAnsi" w:hAnsiTheme="minorHAnsi" w:cstheme="minorHAnsi"/>
          <w:color w:val="auto"/>
          <w:szCs w:val="24"/>
        </w:rPr>
      </w:pPr>
    </w:p>
    <w:p w14:paraId="71F66735" w14:textId="77777777" w:rsidR="00A12257" w:rsidRPr="00C86111" w:rsidRDefault="00A12257" w:rsidP="002B19B1">
      <w:pPr>
        <w:jc w:val="both"/>
        <w:rPr>
          <w:rFonts w:asciiTheme="minorHAnsi" w:hAnsiTheme="minorHAnsi" w:cstheme="minorHAnsi"/>
          <w:color w:val="auto"/>
          <w:szCs w:val="24"/>
        </w:rPr>
      </w:pPr>
    </w:p>
    <w:p w14:paraId="491EDBFA" w14:textId="77777777" w:rsidR="00A12257" w:rsidRPr="00C86111" w:rsidRDefault="00A12257" w:rsidP="002B19B1">
      <w:pPr>
        <w:jc w:val="both"/>
        <w:rPr>
          <w:rFonts w:asciiTheme="minorHAnsi" w:hAnsiTheme="minorHAnsi" w:cstheme="minorHAnsi"/>
          <w:color w:val="auto"/>
          <w:szCs w:val="24"/>
        </w:rPr>
      </w:pPr>
    </w:p>
    <w:p w14:paraId="0B7539B7" w14:textId="77777777" w:rsidR="00A12257" w:rsidRPr="00C86111" w:rsidRDefault="00A12257" w:rsidP="002B19B1">
      <w:pPr>
        <w:jc w:val="both"/>
        <w:rPr>
          <w:rFonts w:asciiTheme="minorHAnsi" w:hAnsiTheme="minorHAnsi" w:cstheme="minorHAnsi"/>
          <w:color w:val="auto"/>
          <w:szCs w:val="24"/>
        </w:rPr>
      </w:pPr>
    </w:p>
    <w:p w14:paraId="689E48A0" w14:textId="77777777" w:rsidR="00A12257" w:rsidRPr="00C86111" w:rsidRDefault="00A12257" w:rsidP="00A12257">
      <w:pPr>
        <w:pStyle w:val="Title"/>
      </w:pPr>
      <w:r w:rsidRPr="00C86111">
        <w:t>ANALIZA STANJA</w:t>
      </w:r>
    </w:p>
    <w:p w14:paraId="7EDC6868" w14:textId="77777777" w:rsidR="00A12257" w:rsidRPr="00C86111" w:rsidRDefault="00A12257" w:rsidP="002B19B1">
      <w:pPr>
        <w:jc w:val="both"/>
        <w:rPr>
          <w:rFonts w:asciiTheme="minorHAnsi" w:hAnsiTheme="minorHAnsi" w:cstheme="minorHAnsi"/>
          <w:color w:val="auto"/>
          <w:szCs w:val="24"/>
        </w:rPr>
      </w:pPr>
    </w:p>
    <w:p w14:paraId="0895F1DE" w14:textId="77777777" w:rsidR="00A12257" w:rsidRPr="00C86111" w:rsidRDefault="00A12257" w:rsidP="002B19B1">
      <w:pPr>
        <w:jc w:val="both"/>
        <w:rPr>
          <w:rFonts w:asciiTheme="minorHAnsi" w:hAnsiTheme="minorHAnsi" w:cstheme="minorHAnsi"/>
          <w:color w:val="auto"/>
          <w:szCs w:val="24"/>
        </w:rPr>
      </w:pPr>
    </w:p>
    <w:p w14:paraId="0EB47D5C" w14:textId="77777777" w:rsidR="00A12257" w:rsidRPr="00C86111" w:rsidRDefault="00A12257" w:rsidP="002B19B1">
      <w:pPr>
        <w:jc w:val="both"/>
        <w:rPr>
          <w:rFonts w:asciiTheme="minorHAnsi" w:hAnsiTheme="minorHAnsi" w:cstheme="minorHAnsi"/>
          <w:color w:val="auto"/>
          <w:szCs w:val="24"/>
        </w:rPr>
      </w:pPr>
    </w:p>
    <w:p w14:paraId="70BCBFA8" w14:textId="77777777" w:rsidR="00A12257" w:rsidRPr="00C86111" w:rsidRDefault="00A12257" w:rsidP="002B19B1">
      <w:pPr>
        <w:jc w:val="both"/>
        <w:rPr>
          <w:rFonts w:asciiTheme="minorHAnsi" w:hAnsiTheme="minorHAnsi" w:cstheme="minorHAnsi"/>
          <w:color w:val="auto"/>
          <w:szCs w:val="24"/>
        </w:rPr>
      </w:pPr>
    </w:p>
    <w:p w14:paraId="7DF740A6" w14:textId="77777777" w:rsidR="00A12257" w:rsidRDefault="00A12257" w:rsidP="002B19B1">
      <w:pPr>
        <w:jc w:val="both"/>
        <w:rPr>
          <w:rFonts w:asciiTheme="minorHAnsi" w:hAnsiTheme="minorHAnsi" w:cstheme="minorHAnsi"/>
          <w:color w:val="auto"/>
          <w:szCs w:val="24"/>
        </w:rPr>
      </w:pPr>
    </w:p>
    <w:p w14:paraId="7A84A92D" w14:textId="77777777" w:rsidR="00912C4C" w:rsidRDefault="00912C4C" w:rsidP="002B19B1">
      <w:pPr>
        <w:jc w:val="both"/>
        <w:rPr>
          <w:rFonts w:asciiTheme="minorHAnsi" w:hAnsiTheme="minorHAnsi" w:cstheme="minorHAnsi"/>
          <w:color w:val="auto"/>
          <w:szCs w:val="24"/>
        </w:rPr>
      </w:pPr>
    </w:p>
    <w:p w14:paraId="19B786AA" w14:textId="77777777" w:rsidR="00912C4C" w:rsidRDefault="00912C4C" w:rsidP="002B19B1">
      <w:pPr>
        <w:jc w:val="both"/>
        <w:rPr>
          <w:rFonts w:asciiTheme="minorHAnsi" w:hAnsiTheme="minorHAnsi" w:cstheme="minorHAnsi"/>
          <w:color w:val="auto"/>
          <w:szCs w:val="24"/>
        </w:rPr>
      </w:pPr>
    </w:p>
    <w:p w14:paraId="4D65EA6C" w14:textId="77777777" w:rsidR="00912C4C" w:rsidRDefault="00912C4C" w:rsidP="002B19B1">
      <w:pPr>
        <w:jc w:val="both"/>
        <w:rPr>
          <w:rFonts w:asciiTheme="minorHAnsi" w:hAnsiTheme="minorHAnsi" w:cstheme="minorHAnsi"/>
          <w:color w:val="auto"/>
          <w:szCs w:val="24"/>
        </w:rPr>
      </w:pPr>
    </w:p>
    <w:p w14:paraId="5EA9F333" w14:textId="77777777" w:rsidR="00912C4C" w:rsidRDefault="00912C4C" w:rsidP="002B19B1">
      <w:pPr>
        <w:jc w:val="both"/>
        <w:rPr>
          <w:rFonts w:asciiTheme="minorHAnsi" w:hAnsiTheme="minorHAnsi" w:cstheme="minorHAnsi"/>
          <w:color w:val="auto"/>
          <w:szCs w:val="24"/>
        </w:rPr>
      </w:pPr>
    </w:p>
    <w:p w14:paraId="176A7E0D" w14:textId="77777777" w:rsidR="00912C4C" w:rsidRDefault="00912C4C" w:rsidP="002B19B1">
      <w:pPr>
        <w:jc w:val="both"/>
        <w:rPr>
          <w:rFonts w:asciiTheme="minorHAnsi" w:hAnsiTheme="minorHAnsi" w:cstheme="minorHAnsi"/>
          <w:color w:val="auto"/>
          <w:szCs w:val="24"/>
        </w:rPr>
      </w:pPr>
    </w:p>
    <w:p w14:paraId="24006069" w14:textId="77777777" w:rsidR="00912C4C" w:rsidRDefault="00912C4C" w:rsidP="002B19B1">
      <w:pPr>
        <w:jc w:val="both"/>
        <w:rPr>
          <w:rFonts w:asciiTheme="minorHAnsi" w:hAnsiTheme="minorHAnsi" w:cstheme="minorHAnsi"/>
          <w:color w:val="auto"/>
          <w:szCs w:val="24"/>
        </w:rPr>
      </w:pPr>
    </w:p>
    <w:p w14:paraId="5BC1AE88" w14:textId="77777777" w:rsidR="00912C4C" w:rsidRDefault="00912C4C" w:rsidP="002B19B1">
      <w:pPr>
        <w:jc w:val="both"/>
        <w:rPr>
          <w:rFonts w:asciiTheme="minorHAnsi" w:hAnsiTheme="minorHAnsi" w:cstheme="minorHAnsi"/>
          <w:color w:val="auto"/>
          <w:szCs w:val="24"/>
        </w:rPr>
      </w:pPr>
    </w:p>
    <w:p w14:paraId="40808367" w14:textId="77777777" w:rsidR="00912C4C" w:rsidRDefault="00912C4C" w:rsidP="002B19B1">
      <w:pPr>
        <w:jc w:val="both"/>
        <w:rPr>
          <w:rFonts w:asciiTheme="minorHAnsi" w:hAnsiTheme="minorHAnsi" w:cstheme="minorHAnsi"/>
          <w:color w:val="auto"/>
          <w:szCs w:val="24"/>
        </w:rPr>
      </w:pPr>
    </w:p>
    <w:p w14:paraId="69301CE3" w14:textId="77777777" w:rsidR="00912C4C" w:rsidRDefault="00912C4C" w:rsidP="002B19B1">
      <w:pPr>
        <w:jc w:val="both"/>
        <w:rPr>
          <w:rFonts w:asciiTheme="minorHAnsi" w:hAnsiTheme="minorHAnsi" w:cstheme="minorHAnsi"/>
          <w:color w:val="auto"/>
          <w:szCs w:val="24"/>
        </w:rPr>
      </w:pPr>
    </w:p>
    <w:p w14:paraId="754AA188" w14:textId="77777777" w:rsidR="00912C4C" w:rsidRPr="00C86111" w:rsidRDefault="00912C4C" w:rsidP="002B19B1">
      <w:pPr>
        <w:jc w:val="both"/>
        <w:rPr>
          <w:rFonts w:asciiTheme="minorHAnsi" w:hAnsiTheme="minorHAnsi" w:cstheme="minorHAnsi"/>
          <w:color w:val="auto"/>
          <w:szCs w:val="24"/>
        </w:rPr>
      </w:pPr>
    </w:p>
    <w:p w14:paraId="469E22E7" w14:textId="77777777" w:rsidR="00A12257" w:rsidRPr="00C86111" w:rsidRDefault="00A12257" w:rsidP="002B19B1">
      <w:pPr>
        <w:jc w:val="both"/>
        <w:rPr>
          <w:rFonts w:asciiTheme="minorHAnsi" w:hAnsiTheme="minorHAnsi" w:cstheme="minorHAnsi"/>
          <w:color w:val="auto"/>
          <w:szCs w:val="24"/>
        </w:rPr>
      </w:pPr>
    </w:p>
    <w:p w14:paraId="193D4FA8" w14:textId="77777777" w:rsidR="00A12257" w:rsidRPr="00C86111" w:rsidRDefault="00A12257" w:rsidP="002B19B1">
      <w:pPr>
        <w:jc w:val="both"/>
        <w:rPr>
          <w:rFonts w:asciiTheme="minorHAnsi" w:hAnsiTheme="minorHAnsi" w:cstheme="minorHAnsi"/>
          <w:color w:val="auto"/>
          <w:szCs w:val="24"/>
        </w:rPr>
      </w:pPr>
    </w:p>
    <w:p w14:paraId="1D8D08E8" w14:textId="77777777" w:rsidR="00A12257" w:rsidRPr="00C86111" w:rsidRDefault="00A12257" w:rsidP="002B19B1">
      <w:pPr>
        <w:jc w:val="both"/>
        <w:rPr>
          <w:rFonts w:asciiTheme="minorHAnsi" w:hAnsiTheme="minorHAnsi" w:cstheme="minorHAnsi"/>
          <w:color w:val="auto"/>
          <w:szCs w:val="24"/>
        </w:rPr>
      </w:pPr>
    </w:p>
    <w:p w14:paraId="56A34E60" w14:textId="77777777" w:rsidR="00A12257" w:rsidRPr="00C86111" w:rsidRDefault="00A12257" w:rsidP="002B19B1">
      <w:pPr>
        <w:jc w:val="both"/>
        <w:rPr>
          <w:rFonts w:asciiTheme="minorHAnsi" w:hAnsiTheme="minorHAnsi" w:cstheme="minorHAnsi"/>
          <w:color w:val="auto"/>
          <w:szCs w:val="24"/>
        </w:rPr>
      </w:pPr>
    </w:p>
    <w:p w14:paraId="46C93367" w14:textId="77777777" w:rsidR="00A12257" w:rsidRPr="00C86111" w:rsidRDefault="00A12257" w:rsidP="002B19B1">
      <w:pPr>
        <w:jc w:val="both"/>
        <w:rPr>
          <w:rFonts w:asciiTheme="minorHAnsi" w:hAnsiTheme="minorHAnsi" w:cstheme="minorHAnsi"/>
          <w:color w:val="auto"/>
          <w:szCs w:val="24"/>
        </w:rPr>
      </w:pPr>
    </w:p>
    <w:p w14:paraId="54BECF88" w14:textId="77777777" w:rsidR="00A12257" w:rsidRPr="00C86111" w:rsidRDefault="00A12257" w:rsidP="002B19B1">
      <w:pPr>
        <w:jc w:val="both"/>
        <w:rPr>
          <w:rFonts w:asciiTheme="minorHAnsi" w:hAnsiTheme="minorHAnsi" w:cstheme="minorHAnsi"/>
          <w:color w:val="auto"/>
          <w:szCs w:val="24"/>
        </w:rPr>
      </w:pPr>
    </w:p>
    <w:p w14:paraId="421D6F90" w14:textId="77777777" w:rsidR="00A12257" w:rsidRPr="00C86111" w:rsidRDefault="00A12257" w:rsidP="002B19B1">
      <w:pPr>
        <w:jc w:val="both"/>
        <w:rPr>
          <w:rFonts w:asciiTheme="minorHAnsi" w:hAnsiTheme="minorHAnsi" w:cstheme="minorHAnsi"/>
          <w:color w:val="auto"/>
          <w:szCs w:val="24"/>
        </w:rPr>
      </w:pPr>
    </w:p>
    <w:p w14:paraId="0798EB1D" w14:textId="77777777" w:rsidR="00A12257" w:rsidRPr="00C86111" w:rsidRDefault="00A12257" w:rsidP="002B19B1">
      <w:pPr>
        <w:jc w:val="both"/>
        <w:rPr>
          <w:rFonts w:asciiTheme="minorHAnsi" w:hAnsiTheme="minorHAnsi" w:cstheme="minorHAnsi"/>
          <w:color w:val="auto"/>
          <w:szCs w:val="24"/>
        </w:rPr>
      </w:pPr>
    </w:p>
    <w:p w14:paraId="33309647" w14:textId="0124BC2E" w:rsidR="002B19B1" w:rsidRPr="00C86111" w:rsidRDefault="002B19B1" w:rsidP="00912C4C">
      <w:pPr>
        <w:pStyle w:val="Heading1"/>
      </w:pPr>
      <w:bookmarkStart w:id="15" w:name="_Toc220541849"/>
      <w:r w:rsidRPr="00C86111">
        <w:lastRenderedPageBreak/>
        <w:t>OPŠTE INFORMACIJE</w:t>
      </w:r>
      <w:bookmarkEnd w:id="15"/>
    </w:p>
    <w:p w14:paraId="6A01FD21" w14:textId="77777777" w:rsidR="002B19B1" w:rsidRPr="00C86111" w:rsidRDefault="002B19B1" w:rsidP="00004F34">
      <w:pPr>
        <w:pStyle w:val="Heading1"/>
        <w:numPr>
          <w:ilvl w:val="1"/>
          <w:numId w:val="238"/>
        </w:numPr>
      </w:pPr>
      <w:bookmarkStart w:id="16" w:name="_Toc220541850"/>
      <w:r w:rsidRPr="00C86111">
        <w:t>Prirodno-geografske, demografske i društveno-političke karakteristike</w:t>
      </w:r>
      <w:bookmarkEnd w:id="16"/>
    </w:p>
    <w:p w14:paraId="7A71CA43" w14:textId="77777777" w:rsidR="00CC3651" w:rsidRPr="00C86111" w:rsidRDefault="00CC3651" w:rsidP="00CC3651"/>
    <w:p w14:paraId="6958C4EF" w14:textId="77777777" w:rsidR="002B19B1" w:rsidRPr="00C86111" w:rsidRDefault="002B19B1" w:rsidP="002B19B1">
      <w:pPr>
        <w:jc w:val="both"/>
        <w:rPr>
          <w:rFonts w:asciiTheme="minorHAnsi" w:eastAsia="Times New Roman" w:hAnsiTheme="minorHAnsi" w:cstheme="minorHAnsi"/>
          <w:szCs w:val="24"/>
          <w:lang w:eastAsia="en-GB"/>
        </w:rPr>
      </w:pPr>
      <w:r w:rsidRPr="00C86111">
        <w:rPr>
          <w:rFonts w:asciiTheme="minorHAnsi" w:eastAsia="Times New Roman" w:hAnsiTheme="minorHAnsi" w:cstheme="minorHAnsi"/>
          <w:szCs w:val="24"/>
          <w:lang w:eastAsia="en-GB"/>
        </w:rPr>
        <w:t>Crna Gora predstavlja izrazito razuđenu prostorno-geografsku cjelinu pretežno planinskog karaktera, kojom dominiraju visoki masivi Dinarida, dok istovremeno pripada jadransko-mediteranskom području zahvaljujući izlazu na Jadransko more.</w:t>
      </w:r>
    </w:p>
    <w:p w14:paraId="0D87FEE3" w14:textId="77777777" w:rsidR="002B19B1" w:rsidRPr="00C86111" w:rsidRDefault="002B19B1" w:rsidP="002B19B1">
      <w:pPr>
        <w:jc w:val="both"/>
        <w:rPr>
          <w:rFonts w:asciiTheme="minorHAnsi" w:eastAsia="Times New Roman" w:hAnsiTheme="minorHAnsi" w:cstheme="minorHAnsi"/>
          <w:szCs w:val="24"/>
          <w:lang w:eastAsia="en-GB"/>
        </w:rPr>
      </w:pPr>
      <w:r w:rsidRPr="00C86111">
        <w:rPr>
          <w:rFonts w:asciiTheme="minorHAnsi" w:eastAsia="Times New Roman" w:hAnsiTheme="minorHAnsi" w:cstheme="minorHAnsi"/>
          <w:szCs w:val="24"/>
          <w:lang w:eastAsia="en-GB"/>
        </w:rPr>
        <w:t>Ukupna površina državne teritorije iznosi 13.812 km². Morska obala Crne Gore prostire se u dužini od približno 293 km, dok kopnene granice prema susjednim državama iznose ukupno 614 km.</w:t>
      </w:r>
    </w:p>
    <w:p w14:paraId="3549F9D2" w14:textId="77777777" w:rsidR="002B19B1" w:rsidRPr="00C86111" w:rsidRDefault="002B19B1" w:rsidP="002B19B1">
      <w:pPr>
        <w:jc w:val="both"/>
        <w:rPr>
          <w:rFonts w:asciiTheme="minorHAnsi" w:hAnsiTheme="minorHAnsi" w:cstheme="minorHAnsi"/>
          <w:szCs w:val="24"/>
        </w:rPr>
      </w:pPr>
      <w:r w:rsidRPr="00C86111">
        <w:rPr>
          <w:rFonts w:asciiTheme="minorHAnsi" w:hAnsiTheme="minorHAnsi" w:cstheme="minorHAnsi"/>
          <w:szCs w:val="24"/>
        </w:rPr>
        <w:t xml:space="preserve">Prema rezultatima Popisa stanovništva, koji je sproveden krajem 2023. godine, ukupan broj stanovnika u Crna Gora iznosi </w:t>
      </w:r>
      <w:r w:rsidRPr="00C86111">
        <w:rPr>
          <w:rStyle w:val="Strong"/>
          <w:rFonts w:asciiTheme="minorHAnsi" w:hAnsiTheme="minorHAnsi" w:cstheme="minorHAnsi"/>
          <w:b w:val="0"/>
          <w:szCs w:val="24"/>
        </w:rPr>
        <w:t>623.633</w:t>
      </w:r>
      <w:r w:rsidRPr="00C86111">
        <w:rPr>
          <w:rFonts w:asciiTheme="minorHAnsi" w:hAnsiTheme="minorHAnsi" w:cstheme="minorHAnsi"/>
          <w:b/>
          <w:bCs/>
          <w:szCs w:val="24"/>
        </w:rPr>
        <w:t>.</w:t>
      </w:r>
      <w:r w:rsidRPr="00C86111">
        <w:rPr>
          <w:rFonts w:asciiTheme="minorHAnsi" w:hAnsiTheme="minorHAnsi" w:cstheme="minorHAnsi"/>
          <w:szCs w:val="24"/>
        </w:rPr>
        <w:t xml:space="preserve"> Polna struktura pokazuje da žene čine </w:t>
      </w:r>
      <w:r w:rsidRPr="00C86111">
        <w:rPr>
          <w:rStyle w:val="Strong"/>
          <w:rFonts w:asciiTheme="minorHAnsi" w:hAnsiTheme="minorHAnsi" w:cstheme="minorHAnsi"/>
          <w:b w:val="0"/>
          <w:szCs w:val="24"/>
        </w:rPr>
        <w:t>50,8 %</w:t>
      </w:r>
      <w:r w:rsidRPr="00C86111">
        <w:rPr>
          <w:rFonts w:asciiTheme="minorHAnsi" w:hAnsiTheme="minorHAnsi" w:cstheme="minorHAnsi"/>
          <w:b/>
          <w:szCs w:val="24"/>
        </w:rPr>
        <w:t>,</w:t>
      </w:r>
      <w:r w:rsidRPr="00C86111">
        <w:rPr>
          <w:rFonts w:asciiTheme="minorHAnsi" w:hAnsiTheme="minorHAnsi" w:cstheme="minorHAnsi"/>
          <w:szCs w:val="24"/>
        </w:rPr>
        <w:t xml:space="preserve"> što iznosi 316.826 osoba, dok muškarci čine </w:t>
      </w:r>
      <w:r w:rsidRPr="00C86111">
        <w:rPr>
          <w:rStyle w:val="Strong"/>
          <w:rFonts w:asciiTheme="minorHAnsi" w:hAnsiTheme="minorHAnsi" w:cstheme="minorHAnsi"/>
          <w:b w:val="0"/>
          <w:szCs w:val="24"/>
        </w:rPr>
        <w:t>49,2 %</w:t>
      </w:r>
      <w:r w:rsidRPr="00C86111">
        <w:rPr>
          <w:rFonts w:asciiTheme="minorHAnsi" w:hAnsiTheme="minorHAnsi" w:cstheme="minorHAnsi"/>
          <w:b/>
          <w:szCs w:val="24"/>
        </w:rPr>
        <w:t>,</w:t>
      </w:r>
      <w:r w:rsidRPr="00C86111">
        <w:rPr>
          <w:rFonts w:asciiTheme="minorHAnsi" w:hAnsiTheme="minorHAnsi" w:cstheme="minorHAnsi"/>
          <w:szCs w:val="24"/>
        </w:rPr>
        <w:t xml:space="preserve"> odnosno 306.807 osoba. Prosječna starost stanovništva iznosi oko</w:t>
      </w:r>
      <w:r w:rsidRPr="00C86111">
        <w:rPr>
          <w:rFonts w:asciiTheme="minorHAnsi" w:hAnsiTheme="minorHAnsi" w:cstheme="minorHAnsi"/>
          <w:b/>
          <w:szCs w:val="24"/>
        </w:rPr>
        <w:t xml:space="preserve"> </w:t>
      </w:r>
      <w:r w:rsidRPr="00C86111">
        <w:rPr>
          <w:rStyle w:val="Strong"/>
          <w:rFonts w:asciiTheme="minorHAnsi" w:hAnsiTheme="minorHAnsi" w:cstheme="minorHAnsi"/>
          <w:b w:val="0"/>
          <w:szCs w:val="24"/>
        </w:rPr>
        <w:t>39,7 godina</w:t>
      </w:r>
      <w:r w:rsidRPr="00C86111">
        <w:rPr>
          <w:rFonts w:asciiTheme="minorHAnsi" w:hAnsiTheme="minorHAnsi" w:cstheme="minorHAnsi"/>
          <w:b/>
          <w:szCs w:val="24"/>
        </w:rPr>
        <w:t xml:space="preserve">. </w:t>
      </w:r>
    </w:p>
    <w:p w14:paraId="7201BF55" w14:textId="77777777" w:rsidR="002B19B1" w:rsidRPr="00C86111" w:rsidRDefault="002B19B1" w:rsidP="002B19B1">
      <w:pPr>
        <w:jc w:val="both"/>
        <w:rPr>
          <w:rFonts w:asciiTheme="minorHAnsi" w:hAnsiTheme="minorHAnsi" w:cstheme="minorHAnsi"/>
          <w:szCs w:val="24"/>
        </w:rPr>
      </w:pPr>
      <w:r w:rsidRPr="00C86111">
        <w:rPr>
          <w:rFonts w:asciiTheme="minorHAnsi" w:hAnsiTheme="minorHAnsi" w:cstheme="minorHAnsi"/>
          <w:szCs w:val="24"/>
        </w:rPr>
        <w:t>Administrativno-teritorijalna organizacija Crne Gore obuhvata ukupno 23 jedinice lokalne samouprave, među kojima se, pored 21 opštine, nalaze i Glavni grad Podgorica te Prijestonica Cetinje. Podgorica, kao najveći urbani centar, okuplja gotovo trećinu cjelokupnog stanovništva države.</w:t>
      </w:r>
    </w:p>
    <w:p w14:paraId="48161C1C" w14:textId="77777777" w:rsidR="002B19B1" w:rsidRPr="00C86111" w:rsidRDefault="002B19B1" w:rsidP="002B19B1">
      <w:pPr>
        <w:shd w:val="clear" w:color="auto" w:fill="FFFFFF"/>
        <w:jc w:val="both"/>
        <w:rPr>
          <w:rFonts w:asciiTheme="minorHAnsi" w:eastAsia="Times New Roman" w:hAnsiTheme="minorHAnsi" w:cstheme="minorHAnsi"/>
          <w:color w:val="0A0A0A"/>
          <w:szCs w:val="24"/>
          <w:lang w:eastAsia="en-GB"/>
        </w:rPr>
      </w:pPr>
      <w:r w:rsidRPr="00C86111">
        <w:rPr>
          <w:rFonts w:asciiTheme="minorHAnsi" w:eastAsia="Times New Roman" w:hAnsiTheme="minorHAnsi" w:cstheme="minorHAnsi"/>
          <w:color w:val="0A0A0A"/>
          <w:szCs w:val="24"/>
          <w:lang w:eastAsia="en-GB"/>
        </w:rPr>
        <w:t>Državno uređenje Crne Gore zasniva se na principima parlamentarne demokratije. Kao nezavisna i suverena republika, Crna Gora primjenjuje sistem podjele vlasti na zakonodavnu, izvršnu i sudsku granu. Skupština vrši zakonodavna ovlašćenja, Vlada je nadležna za izvršnu vlast, dok sudovi obavljaju sudsku funkciju. Predsjednik Crne Gore bira se neposredno na mandat u trajanju od pet godina, dok predsjednik Vlade rukovodi radom izvršne vlasti.</w:t>
      </w:r>
    </w:p>
    <w:p w14:paraId="13413E4F" w14:textId="77777777" w:rsidR="002B19B1" w:rsidRPr="00C86111" w:rsidRDefault="002B19B1" w:rsidP="002B19B1">
      <w:pPr>
        <w:shd w:val="clear" w:color="auto" w:fill="FFFFFF"/>
        <w:jc w:val="both"/>
        <w:rPr>
          <w:rFonts w:asciiTheme="minorHAnsi" w:eastAsia="Times New Roman" w:hAnsiTheme="minorHAnsi" w:cstheme="minorHAnsi"/>
          <w:color w:val="0A0A0A"/>
          <w:szCs w:val="24"/>
          <w:lang w:eastAsia="en-GB"/>
        </w:rPr>
      </w:pPr>
      <w:r w:rsidRPr="00C86111">
        <w:rPr>
          <w:rFonts w:asciiTheme="minorHAnsi" w:eastAsia="Times New Roman" w:hAnsiTheme="minorHAnsi" w:cstheme="minorHAnsi"/>
          <w:color w:val="0A0A0A"/>
          <w:szCs w:val="24"/>
          <w:lang w:eastAsia="en-GB"/>
        </w:rPr>
        <w:t>Jedan od ključnih strateških prioriteta države jeste pristupanje Evropskoj uniji (EU), što od 2010. godine u značajnoj mjeri usmjerava reformske procese i oblikuje institucionalni razvoj u najrazličitijim sektorima, uključujući i zaštitu životne sredine.</w:t>
      </w:r>
    </w:p>
    <w:p w14:paraId="22BB7D0C" w14:textId="49F81257" w:rsidR="002B19B1" w:rsidRPr="00C86111" w:rsidRDefault="002B19B1" w:rsidP="002B19B1">
      <w:pPr>
        <w:shd w:val="clear" w:color="auto" w:fill="FFFFFF"/>
        <w:jc w:val="both"/>
        <w:rPr>
          <w:rFonts w:asciiTheme="minorHAnsi" w:eastAsia="Times New Roman" w:hAnsiTheme="minorHAnsi" w:cstheme="minorHAnsi"/>
          <w:color w:val="0A0A0A"/>
          <w:szCs w:val="24"/>
          <w:lang w:eastAsia="en-GB"/>
        </w:rPr>
      </w:pPr>
      <w:r w:rsidRPr="00C86111">
        <w:rPr>
          <w:rFonts w:asciiTheme="minorHAnsi" w:eastAsia="Times New Roman" w:hAnsiTheme="minorHAnsi" w:cstheme="minorHAnsi"/>
          <w:color w:val="0A0A0A"/>
          <w:szCs w:val="24"/>
          <w:lang w:eastAsia="en-GB"/>
        </w:rPr>
        <w:t>U oblasti politike zaštite životne sredine, Crna Gora je razvila sveobuhvatan institucionalni i normativni okvir koji je u velikoj mjeri usklađen sa savremenim međunarodnim standardima. Država je aktivno uključena u ključne međunarodne procese i forume posvećene očuvanju životne sredine, čime potvrđuje opredijeljenost ka sprovođenju globalnih i regionalnih inicijativa u domenu održivog razvoja, zaštite ekosistema, upravljanja prirodnim resursima i smanjenja negativnih uticaja na životnu sredinu.</w:t>
      </w:r>
    </w:p>
    <w:p w14:paraId="65D7ED54" w14:textId="77777777" w:rsidR="002B19B1" w:rsidRPr="00C86111" w:rsidRDefault="002B19B1" w:rsidP="00004F34">
      <w:pPr>
        <w:pStyle w:val="Heading1"/>
        <w:numPr>
          <w:ilvl w:val="1"/>
          <w:numId w:val="238"/>
        </w:numPr>
      </w:pPr>
      <w:bookmarkStart w:id="17" w:name="_Toc220541851"/>
      <w:r w:rsidRPr="00C86111">
        <w:t>Uvod u ekonomski (privredni) kontekst Crne Gore</w:t>
      </w:r>
      <w:bookmarkEnd w:id="17"/>
    </w:p>
    <w:p w14:paraId="388463DE" w14:textId="77777777" w:rsidR="00A12257" w:rsidRPr="00C86111" w:rsidRDefault="00A12257" w:rsidP="00A12257"/>
    <w:p w14:paraId="27B88E14" w14:textId="77777777" w:rsidR="002B19B1" w:rsidRPr="00C86111" w:rsidRDefault="002B19B1" w:rsidP="00CC3651">
      <w:pPr>
        <w:jc w:val="both"/>
        <w:rPr>
          <w:rFonts w:asciiTheme="minorHAnsi" w:hAnsiTheme="minorHAnsi" w:cstheme="minorHAnsi"/>
          <w:color w:val="000000"/>
          <w:szCs w:val="24"/>
        </w:rPr>
      </w:pPr>
      <w:r w:rsidRPr="00C86111">
        <w:rPr>
          <w:rFonts w:asciiTheme="minorHAnsi" w:hAnsiTheme="minorHAnsi" w:cstheme="minorHAnsi"/>
          <w:szCs w:val="24"/>
        </w:rPr>
        <w:t>Crna Gora je mala, ali otvorena i dinamična ekonomija koja se značajno oslanja na spoljnu trgovinu i investicije. U proteklom periodu, zahvaljujući rastu turističkog sektora, ulaganjima u infrastrukturu i ekonomskom oporavku, BDP zemlje je bilježio značajne fluktuacije, koje odražavaju globalne šokove, ali i domaće napore u jačanju ekonomske rezilijentnosti.</w:t>
      </w:r>
    </w:p>
    <w:p w14:paraId="6E2F5195" w14:textId="77777777" w:rsidR="002B19B1" w:rsidRPr="00C86111" w:rsidRDefault="002B19B1" w:rsidP="00CC3651">
      <w:pPr>
        <w:jc w:val="both"/>
        <w:rPr>
          <w:rFonts w:asciiTheme="minorHAnsi" w:hAnsiTheme="minorHAnsi" w:cstheme="minorHAnsi"/>
          <w:color w:val="000000"/>
          <w:szCs w:val="24"/>
        </w:rPr>
      </w:pPr>
      <w:r w:rsidRPr="00C86111">
        <w:rPr>
          <w:rFonts w:asciiTheme="minorHAnsi" w:hAnsiTheme="minorHAnsi" w:cstheme="minorHAnsi"/>
          <w:szCs w:val="24"/>
        </w:rPr>
        <w:t xml:space="preserve">Prema podacima MONSTAT-a, bruto domaći proizvod (BDP) Crne Gore u 2018. godini iznosio je 4.663 miliona EUR, dok je u 2019. porastao na 4.951 miliona EUR. U 2020. godini, usljed uticaja </w:t>
      </w:r>
      <w:r w:rsidRPr="00C86111">
        <w:rPr>
          <w:rFonts w:asciiTheme="minorHAnsi" w:hAnsiTheme="minorHAnsi" w:cstheme="minorHAnsi"/>
          <w:szCs w:val="24"/>
        </w:rPr>
        <w:lastRenderedPageBreak/>
        <w:t xml:space="preserve">pandemije, BDP je bio 4.186 miliona EUR. U 2021. je zabilježen snažan oporavak — BDP je narastao na 4.955 miliona EUR, uz realni rast od 13,0% u odnosu na godinu ranije ( </w:t>
      </w:r>
      <w:hyperlink r:id="rId8" w:tgtFrame="_blank" w:history="1">
        <w:r w:rsidRPr="00C86111">
          <w:rPr>
            <w:rStyle w:val="Hyperlink"/>
            <w:rFonts w:asciiTheme="minorHAnsi" w:hAnsiTheme="minorHAnsi" w:cstheme="minorHAnsi"/>
            <w:szCs w:val="24"/>
          </w:rPr>
          <w:t>monstat.org</w:t>
        </w:r>
      </w:hyperlink>
      <w:r w:rsidRPr="00C86111">
        <w:rPr>
          <w:rFonts w:asciiTheme="minorHAnsi" w:hAnsiTheme="minorHAnsi" w:cstheme="minorHAnsi"/>
          <w:color w:val="000000"/>
          <w:szCs w:val="24"/>
        </w:rPr>
        <w:t>).</w:t>
      </w:r>
      <w:r w:rsidRPr="00C86111">
        <w:rPr>
          <w:rFonts w:asciiTheme="minorHAnsi" w:hAnsiTheme="minorHAnsi" w:cstheme="minorHAnsi"/>
          <w:szCs w:val="24"/>
        </w:rPr>
        <w:t xml:space="preserve"> Prema posljednjim objavljenim podacima, u 2022. godini BDP je iznosio 5.924 miliona EUR, dok je realni rast bio 6,4 %. </w:t>
      </w:r>
    </w:p>
    <w:p w14:paraId="2859A370" w14:textId="77777777" w:rsidR="002B19B1" w:rsidRPr="00C86111" w:rsidRDefault="002B19B1" w:rsidP="00CC3651">
      <w:pPr>
        <w:jc w:val="both"/>
        <w:rPr>
          <w:rFonts w:asciiTheme="minorHAnsi" w:hAnsiTheme="minorHAnsi" w:cstheme="minorHAnsi"/>
          <w:color w:val="000000"/>
          <w:szCs w:val="24"/>
        </w:rPr>
      </w:pPr>
      <w:r w:rsidRPr="00C86111">
        <w:rPr>
          <w:rFonts w:asciiTheme="minorHAnsi" w:hAnsiTheme="minorHAnsi" w:cstheme="minorHAnsi"/>
          <w:szCs w:val="24"/>
        </w:rPr>
        <w:t>Ovi trendovi pokazuju da se crnogorska ekonomija uspješno adaptirala nakon šoka pandemije i da je ušla u fazu relativnog rasta. Rast BDP</w:t>
      </w:r>
      <w:r w:rsidRPr="00C86111">
        <w:rPr>
          <w:rFonts w:asciiTheme="minorHAnsi" w:hAnsiTheme="minorHAnsi" w:cstheme="minorHAnsi"/>
          <w:szCs w:val="24"/>
        </w:rPr>
        <w:noBreakHyphen/>
        <w:t>a potpomognut je investicijama, rastom potrošnje i oporavkom turizma.</w:t>
      </w:r>
    </w:p>
    <w:p w14:paraId="11DFBF28" w14:textId="77777777" w:rsidR="002B19B1" w:rsidRPr="00C86111" w:rsidRDefault="002B19B1" w:rsidP="00CC3651">
      <w:pPr>
        <w:jc w:val="both"/>
        <w:rPr>
          <w:rFonts w:asciiTheme="minorHAnsi" w:hAnsiTheme="minorHAnsi" w:cstheme="minorHAnsi"/>
          <w:szCs w:val="24"/>
        </w:rPr>
      </w:pPr>
      <w:r w:rsidRPr="00C86111">
        <w:rPr>
          <w:rFonts w:asciiTheme="minorHAnsi" w:hAnsiTheme="minorHAnsi" w:cstheme="minorHAnsi"/>
          <w:szCs w:val="24"/>
        </w:rPr>
        <w:t xml:space="preserve">S druge strane, struktura spoljnotrgovinske razmjene Crne Gore potvrđuje visok stepen oslonjenosti nacionalne ekonomije na uvoz. Prema podacima MONSTAT-a za 2023. godinu, ukupna robna razmjena iznosila je 4.484,4 miliona EUR, od čega je izvoz dostigao 674,3 miliona EUR, dok je vrijednost uvoza iznosila 3.810,1 miliona EUR. Time je nastavljen negativan trgovinski saldo, koji je dugoročna karakteristika crnogorske ekonomije. </w:t>
      </w:r>
    </w:p>
    <w:p w14:paraId="4FB50F3D" w14:textId="77777777" w:rsidR="002B19B1" w:rsidRPr="00C86111" w:rsidRDefault="002B19B1" w:rsidP="002B19B1">
      <w:pPr>
        <w:jc w:val="both"/>
        <w:rPr>
          <w:rFonts w:asciiTheme="minorHAnsi" w:hAnsiTheme="minorHAnsi" w:cstheme="minorHAnsi"/>
          <w:szCs w:val="24"/>
        </w:rPr>
      </w:pPr>
      <w:r w:rsidRPr="00C86111">
        <w:rPr>
          <w:rFonts w:asciiTheme="minorHAnsi" w:hAnsiTheme="minorHAnsi" w:cstheme="minorHAnsi"/>
          <w:szCs w:val="24"/>
        </w:rPr>
        <w:t>Analiza geografskog usmjerenja trgovinske razmjene pokazuje da uvoz Crne Gore u periodu 2020–2023. bilježi kontinuiran rast u gotovo svim regionalnim i bilateralnim kategorijama. Ukupan uvoz sa svjetskog tržišta porastao je sa 2,105 milijardi EUR u 2020. na 3,810 milijardi EUR u 2023. godini, što predstavlja povećanje od preko 80%. Evropa, kao najznačajniji spoljnotrgovinski partner, učestvovala je u uvozu sa 3,058 milijardi EUR u 2023., dok je uvoz iz zemalja EU-27 dostigao 1,744 milijarde EUR, čineći time centralni segment crnogorskog uvoznog tržišta.</w:t>
      </w:r>
    </w:p>
    <w:p w14:paraId="7016695B" w14:textId="77777777" w:rsidR="002B19B1" w:rsidRPr="00C86111" w:rsidRDefault="002B19B1" w:rsidP="002B19B1">
      <w:pPr>
        <w:jc w:val="both"/>
        <w:rPr>
          <w:rFonts w:asciiTheme="minorHAnsi" w:hAnsiTheme="minorHAnsi" w:cstheme="minorHAnsi"/>
          <w:szCs w:val="24"/>
        </w:rPr>
      </w:pPr>
      <w:r w:rsidRPr="00C86111">
        <w:rPr>
          <w:rFonts w:asciiTheme="minorHAnsi" w:hAnsiTheme="minorHAnsi" w:cstheme="minorHAnsi"/>
          <w:szCs w:val="24"/>
        </w:rPr>
        <w:t>Značajan doprinos ukupnom uvozu imaju i CEFTA partneri, sa rastom sa 606,7 miliona EUR u 2020. na 991,5 miliona EUR u 2023. Uvoz iz Azije, posebno iz Kine i Turske, pokazuje izražen i konstantan rast, kineski uvoz je porastao sa 218 miliona EUR (2020.) na 424,7 miliona EUR (2023.), dok je uvoz iz Turske dostigao 195,1 milion EUR u 2023. godini.</w:t>
      </w:r>
    </w:p>
    <w:p w14:paraId="26D4ABDD" w14:textId="77777777" w:rsidR="002B19B1" w:rsidRPr="00C86111" w:rsidRDefault="002B19B1" w:rsidP="002B19B1">
      <w:pPr>
        <w:jc w:val="both"/>
        <w:rPr>
          <w:rFonts w:asciiTheme="minorHAnsi" w:hAnsiTheme="minorHAnsi" w:cstheme="minorHAnsi"/>
          <w:szCs w:val="24"/>
        </w:rPr>
      </w:pPr>
      <w:r w:rsidRPr="00C86111">
        <w:rPr>
          <w:rFonts w:asciiTheme="minorHAnsi" w:hAnsiTheme="minorHAnsi" w:cstheme="minorHAnsi"/>
          <w:szCs w:val="24"/>
        </w:rPr>
        <w:t>Izvozni potencijal Crne Gore pokazuje znatno skromnije vrijednosti u odnosu na uvoz. Ukupan izvoz je 2023. godine dostigao 674,3 miliona EUR, nakon što je 2022. dosegao rekordnih 700,2 miliona EUR. Evropa ostaje primarno izvozno tržište, sa izvozom u iznosu od 618 miliona EUR u 2023., dok izvoz u zemlje EU-27 iznosi 243,5 miliona EUR. CEFTA region zadržava stabilnu i rastuću ulogu u crnogorskom izvozu, čineći 326,7 miliona EUR u 2023. godini, što je za gotovo duplo više u odnosu na 2020.</w:t>
      </w:r>
    </w:p>
    <w:p w14:paraId="47D21507" w14:textId="77777777" w:rsidR="002B19B1" w:rsidRPr="00C86111" w:rsidRDefault="002B19B1" w:rsidP="002B19B1">
      <w:pPr>
        <w:jc w:val="both"/>
        <w:rPr>
          <w:rFonts w:asciiTheme="minorHAnsi" w:hAnsiTheme="minorHAnsi" w:cstheme="minorHAnsi"/>
          <w:szCs w:val="24"/>
        </w:rPr>
      </w:pPr>
      <w:r w:rsidRPr="00C86111">
        <w:rPr>
          <w:rFonts w:asciiTheme="minorHAnsi" w:hAnsiTheme="minorHAnsi" w:cstheme="minorHAnsi"/>
          <w:szCs w:val="24"/>
        </w:rPr>
        <w:t>Primjetna je i promjena dinamike izvoza prema pojedinim državama. Izvoz u Kinu je zabilježio oscilacije, krećući se od 22,1 miliona EUR (2020.) do 12,9 miliona EUR (2022.), da bi 2023. iznosio 2,49 miliona EUR. Izvoz u Sjedinjene Američke Države pokazuje trend rasta, dostigavši 9,8 miliona EUR u 2023. godine, dok izvoz u Švajcarsku nakon rekordnih 108 miliona EUR u 2022., u 2023. opada na 25,1 milion EUR.</w:t>
      </w:r>
    </w:p>
    <w:p w14:paraId="617D7BEB" w14:textId="77777777" w:rsidR="002B19B1" w:rsidRPr="00C86111" w:rsidRDefault="002B19B1" w:rsidP="002B19B1">
      <w:pPr>
        <w:jc w:val="both"/>
        <w:rPr>
          <w:rFonts w:asciiTheme="minorHAnsi" w:hAnsiTheme="minorHAnsi" w:cstheme="minorHAnsi"/>
          <w:color w:val="FF0000"/>
          <w:szCs w:val="24"/>
        </w:rPr>
      </w:pPr>
      <w:r w:rsidRPr="00C86111">
        <w:rPr>
          <w:rFonts w:asciiTheme="minorHAnsi" w:hAnsiTheme="minorHAnsi" w:cstheme="minorHAnsi"/>
          <w:szCs w:val="24"/>
        </w:rPr>
        <w:t xml:space="preserve">Ovi podaci ukazuju na izrazito nepovoljnu strukturu spoljnotrgovinske razmjene, obilježenu visokim uvozno-zavisnim modelom ekonomije, </w:t>
      </w:r>
      <w:r w:rsidRPr="00C86111">
        <w:rPr>
          <w:rStyle w:val="Strong"/>
          <w:rFonts w:asciiTheme="minorHAnsi" w:hAnsiTheme="minorHAnsi" w:cstheme="minorHAnsi"/>
          <w:b w:val="0"/>
          <w:szCs w:val="24"/>
        </w:rPr>
        <w:t>nedovoljno razgranatom strukturom izvoza</w:t>
      </w:r>
      <w:r w:rsidRPr="00C86111">
        <w:rPr>
          <w:rFonts w:asciiTheme="minorHAnsi" w:hAnsiTheme="minorHAnsi" w:cstheme="minorHAnsi"/>
          <w:szCs w:val="24"/>
        </w:rPr>
        <w:t xml:space="preserve"> i zavisnošću od nekoliko ključnih regionalnih partnera.</w:t>
      </w:r>
    </w:p>
    <w:p w14:paraId="2607C010" w14:textId="7330559C" w:rsidR="002B19B1" w:rsidRPr="00C86111" w:rsidRDefault="002B19B1" w:rsidP="002B19B1">
      <w:pPr>
        <w:spacing w:before="100" w:beforeAutospacing="1" w:after="100" w:afterAutospacing="1"/>
        <w:jc w:val="both"/>
        <w:rPr>
          <w:rFonts w:asciiTheme="minorHAnsi" w:hAnsiTheme="minorHAnsi" w:cstheme="minorHAnsi"/>
          <w:szCs w:val="24"/>
        </w:rPr>
      </w:pPr>
      <w:r w:rsidRPr="00C86111">
        <w:rPr>
          <w:rFonts w:asciiTheme="minorHAnsi" w:hAnsiTheme="minorHAnsi" w:cstheme="minorHAnsi"/>
          <w:szCs w:val="24"/>
        </w:rPr>
        <w:t xml:space="preserve">U tabeli </w:t>
      </w:r>
      <w:r w:rsidR="00A12257" w:rsidRPr="00C86111">
        <w:rPr>
          <w:rFonts w:asciiTheme="minorHAnsi" w:hAnsiTheme="minorHAnsi" w:cstheme="minorHAnsi"/>
          <w:szCs w:val="24"/>
        </w:rPr>
        <w:t>3</w:t>
      </w:r>
      <w:r w:rsidRPr="00C86111">
        <w:rPr>
          <w:rFonts w:asciiTheme="minorHAnsi" w:hAnsiTheme="minorHAnsi" w:cstheme="minorHAnsi"/>
          <w:szCs w:val="24"/>
        </w:rPr>
        <w:t xml:space="preserve"> prikazan je pregled spoljnotrgovinske robne razmjene Crne Gore, raspoređene prema kontinentima i odabranim pojedinačnim državama koje imaju značajniji udio u ukupnom obimu uvoza i izvoza. Podaci obuhvataju period 2020-2023 godina i omogućavaju uočavanje ključnih trendova, promjena u geografskom usmjerenju trgovine, kao i identifikaciju najvažnijih partnera u međunarodnoj razmjeni roba.</w:t>
      </w:r>
    </w:p>
    <w:p w14:paraId="125FE98D" w14:textId="643FCF66" w:rsidR="002B19B1" w:rsidRDefault="002B19B1" w:rsidP="002B19B1">
      <w:pPr>
        <w:shd w:val="clear" w:color="auto" w:fill="FFFFFF"/>
        <w:spacing w:line="360" w:lineRule="atLeast"/>
        <w:jc w:val="both"/>
        <w:rPr>
          <w:rFonts w:asciiTheme="minorHAnsi" w:eastAsia="Times New Roman" w:hAnsiTheme="minorHAnsi" w:cstheme="minorHAnsi"/>
          <w:color w:val="0A0A0A"/>
          <w:szCs w:val="24"/>
          <w:lang w:eastAsia="en-GB"/>
        </w:rPr>
      </w:pPr>
      <w:r w:rsidRPr="00C86111">
        <w:rPr>
          <w:rFonts w:asciiTheme="minorHAnsi" w:eastAsia="Times New Roman" w:hAnsiTheme="minorHAnsi" w:cstheme="minorHAnsi"/>
          <w:b/>
          <w:bCs/>
          <w:color w:val="0A0A0A"/>
          <w:szCs w:val="24"/>
          <w:lang w:eastAsia="en-GB"/>
        </w:rPr>
        <w:lastRenderedPageBreak/>
        <w:t xml:space="preserve"> Tabela </w:t>
      </w:r>
      <w:r w:rsidR="00A12257" w:rsidRPr="00C86111">
        <w:rPr>
          <w:rFonts w:asciiTheme="minorHAnsi" w:eastAsia="Times New Roman" w:hAnsiTheme="minorHAnsi" w:cstheme="minorHAnsi"/>
          <w:b/>
          <w:bCs/>
          <w:color w:val="0A0A0A"/>
          <w:szCs w:val="24"/>
          <w:lang w:eastAsia="en-GB"/>
        </w:rPr>
        <w:t>3</w:t>
      </w:r>
      <w:r w:rsidRPr="00C86111">
        <w:rPr>
          <w:rFonts w:asciiTheme="minorHAnsi" w:eastAsia="Times New Roman" w:hAnsiTheme="minorHAnsi" w:cstheme="minorHAnsi"/>
          <w:b/>
          <w:bCs/>
          <w:color w:val="0A0A0A"/>
          <w:szCs w:val="24"/>
          <w:lang w:eastAsia="en-GB"/>
        </w:rPr>
        <w:t>.</w:t>
      </w:r>
      <w:r w:rsidRPr="00C86111">
        <w:rPr>
          <w:rFonts w:asciiTheme="minorHAnsi" w:eastAsia="Times New Roman" w:hAnsiTheme="minorHAnsi" w:cstheme="minorHAnsi"/>
          <w:color w:val="0A0A0A"/>
          <w:szCs w:val="24"/>
          <w:lang w:eastAsia="en-GB"/>
        </w:rPr>
        <w:t xml:space="preserve"> Spoljnotrgovinska robna razmjena Crne Gore po kontinentima i odabranim zemljama </w:t>
      </w:r>
    </w:p>
    <w:tbl>
      <w:tblPr>
        <w:tblStyle w:val="GridTable5Dark-Accent6"/>
        <w:tblW w:w="9585" w:type="dxa"/>
        <w:tblLook w:val="04A0" w:firstRow="1" w:lastRow="0" w:firstColumn="1" w:lastColumn="0" w:noHBand="0" w:noVBand="1"/>
      </w:tblPr>
      <w:tblGrid>
        <w:gridCol w:w="1284"/>
        <w:gridCol w:w="1070"/>
        <w:gridCol w:w="1069"/>
        <w:gridCol w:w="1026"/>
        <w:gridCol w:w="1026"/>
        <w:gridCol w:w="1069"/>
        <w:gridCol w:w="1069"/>
        <w:gridCol w:w="986"/>
        <w:gridCol w:w="986"/>
      </w:tblGrid>
      <w:tr w:rsidR="002B19B1" w:rsidRPr="00C86111" w14:paraId="1CA52D36" w14:textId="77777777" w:rsidTr="00375D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Merge w:val="restart"/>
            <w:vAlign w:val="center"/>
            <w:hideMark/>
          </w:tcPr>
          <w:p w14:paraId="10678C41" w14:textId="77777777" w:rsidR="002B19B1" w:rsidRPr="00C86111" w:rsidRDefault="002B19B1" w:rsidP="00BC765B">
            <w:pPr>
              <w:jc w:val="center"/>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TRGOVINSKI PARTNERI</w:t>
            </w:r>
          </w:p>
        </w:tc>
        <w:tc>
          <w:tcPr>
            <w:tcW w:w="4191" w:type="dxa"/>
            <w:gridSpan w:val="4"/>
            <w:noWrap/>
            <w:vAlign w:val="center"/>
            <w:hideMark/>
          </w:tcPr>
          <w:p w14:paraId="6F7C460B" w14:textId="77777777" w:rsidR="002B19B1" w:rsidRPr="00C86111" w:rsidRDefault="002B19B1" w:rsidP="00BC765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UVOZ</w:t>
            </w:r>
          </w:p>
        </w:tc>
        <w:tc>
          <w:tcPr>
            <w:tcW w:w="4110" w:type="dxa"/>
            <w:gridSpan w:val="4"/>
            <w:noWrap/>
            <w:vAlign w:val="center"/>
            <w:hideMark/>
          </w:tcPr>
          <w:p w14:paraId="0D980930" w14:textId="77777777" w:rsidR="002B19B1" w:rsidRPr="00C86111" w:rsidRDefault="002B19B1" w:rsidP="00BC765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IZVOZ</w:t>
            </w:r>
          </w:p>
        </w:tc>
      </w:tr>
      <w:tr w:rsidR="002B19B1" w:rsidRPr="00C86111" w14:paraId="3BD02C5E"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Merge/>
            <w:vAlign w:val="center"/>
            <w:hideMark/>
          </w:tcPr>
          <w:p w14:paraId="07C441FE" w14:textId="77777777" w:rsidR="002B19B1" w:rsidRPr="00C86111" w:rsidRDefault="002B19B1" w:rsidP="00BC765B">
            <w:pPr>
              <w:rPr>
                <w:rFonts w:asciiTheme="minorHAnsi" w:eastAsia="Times New Roman" w:hAnsiTheme="minorHAnsi" w:cstheme="minorHAnsi"/>
                <w:b w:val="0"/>
                <w:bCs w:val="0"/>
                <w:color w:val="000000"/>
                <w:sz w:val="20"/>
                <w:szCs w:val="20"/>
                <w:lang w:eastAsia="en-GB"/>
              </w:rPr>
            </w:pPr>
          </w:p>
        </w:tc>
        <w:tc>
          <w:tcPr>
            <w:tcW w:w="1070" w:type="dxa"/>
            <w:noWrap/>
            <w:vAlign w:val="center"/>
            <w:hideMark/>
          </w:tcPr>
          <w:p w14:paraId="0F246ACB"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 - Dec 2020</w:t>
            </w:r>
          </w:p>
        </w:tc>
        <w:tc>
          <w:tcPr>
            <w:tcW w:w="1069" w:type="dxa"/>
            <w:noWrap/>
            <w:vAlign w:val="center"/>
            <w:hideMark/>
          </w:tcPr>
          <w:p w14:paraId="0321A619"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 - Dec 2021</w:t>
            </w:r>
          </w:p>
        </w:tc>
        <w:tc>
          <w:tcPr>
            <w:tcW w:w="1026" w:type="dxa"/>
            <w:noWrap/>
            <w:vAlign w:val="center"/>
            <w:hideMark/>
          </w:tcPr>
          <w:p w14:paraId="3CEDB0F9"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Jan-Dec 2022</w:t>
            </w:r>
          </w:p>
        </w:tc>
        <w:tc>
          <w:tcPr>
            <w:tcW w:w="1026" w:type="dxa"/>
            <w:noWrap/>
            <w:vAlign w:val="center"/>
            <w:hideMark/>
          </w:tcPr>
          <w:p w14:paraId="05AB1A8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Jan-Dec 2023</w:t>
            </w:r>
          </w:p>
        </w:tc>
        <w:tc>
          <w:tcPr>
            <w:tcW w:w="1069" w:type="dxa"/>
            <w:noWrap/>
            <w:vAlign w:val="center"/>
            <w:hideMark/>
          </w:tcPr>
          <w:p w14:paraId="10255DE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 - Dec 2020</w:t>
            </w:r>
          </w:p>
        </w:tc>
        <w:tc>
          <w:tcPr>
            <w:tcW w:w="1069" w:type="dxa"/>
            <w:noWrap/>
            <w:vAlign w:val="center"/>
            <w:hideMark/>
          </w:tcPr>
          <w:p w14:paraId="04900485"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 - Dec 2021</w:t>
            </w:r>
          </w:p>
        </w:tc>
        <w:tc>
          <w:tcPr>
            <w:tcW w:w="986" w:type="dxa"/>
            <w:noWrap/>
            <w:vAlign w:val="center"/>
            <w:hideMark/>
          </w:tcPr>
          <w:p w14:paraId="240A0C2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Jan-Dec 2022</w:t>
            </w:r>
          </w:p>
        </w:tc>
        <w:tc>
          <w:tcPr>
            <w:tcW w:w="986" w:type="dxa"/>
            <w:noWrap/>
            <w:vAlign w:val="center"/>
            <w:hideMark/>
          </w:tcPr>
          <w:p w14:paraId="30800F1A"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GB"/>
              </w:rPr>
            </w:pPr>
            <w:r w:rsidRPr="00C86111">
              <w:rPr>
                <w:rFonts w:asciiTheme="minorHAnsi" w:eastAsia="Times New Roman" w:hAnsiTheme="minorHAnsi" w:cstheme="minorHAnsi"/>
                <w:b/>
                <w:bCs/>
                <w:color w:val="000000"/>
                <w:sz w:val="20"/>
                <w:szCs w:val="20"/>
                <w:lang w:eastAsia="en-GB"/>
              </w:rPr>
              <w:t>Jan-Dec 2023</w:t>
            </w:r>
          </w:p>
        </w:tc>
      </w:tr>
      <w:tr w:rsidR="002B19B1" w:rsidRPr="00C86111" w14:paraId="41364F43"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Merge/>
            <w:vAlign w:val="center"/>
            <w:hideMark/>
          </w:tcPr>
          <w:p w14:paraId="3C42D669" w14:textId="77777777" w:rsidR="002B19B1" w:rsidRPr="00C86111" w:rsidRDefault="002B19B1" w:rsidP="00BC765B">
            <w:pPr>
              <w:rPr>
                <w:rFonts w:asciiTheme="minorHAnsi" w:eastAsia="Times New Roman" w:hAnsiTheme="minorHAnsi" w:cstheme="minorHAnsi"/>
                <w:b w:val="0"/>
                <w:bCs w:val="0"/>
                <w:color w:val="000000"/>
                <w:sz w:val="20"/>
                <w:szCs w:val="20"/>
                <w:lang w:eastAsia="en-GB"/>
              </w:rPr>
            </w:pPr>
          </w:p>
        </w:tc>
        <w:tc>
          <w:tcPr>
            <w:tcW w:w="1070" w:type="dxa"/>
            <w:vAlign w:val="center"/>
            <w:hideMark/>
          </w:tcPr>
          <w:p w14:paraId="6B283FD3"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u hilj. EUR</w:t>
            </w:r>
          </w:p>
        </w:tc>
        <w:tc>
          <w:tcPr>
            <w:tcW w:w="1069" w:type="dxa"/>
            <w:vAlign w:val="center"/>
            <w:hideMark/>
          </w:tcPr>
          <w:p w14:paraId="02257F03"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u hilj. EUR</w:t>
            </w:r>
          </w:p>
        </w:tc>
        <w:tc>
          <w:tcPr>
            <w:tcW w:w="1026" w:type="dxa"/>
            <w:noWrap/>
            <w:vAlign w:val="center"/>
            <w:hideMark/>
          </w:tcPr>
          <w:p w14:paraId="73864538"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u hilj. EUR </w:t>
            </w:r>
          </w:p>
        </w:tc>
        <w:tc>
          <w:tcPr>
            <w:tcW w:w="1026" w:type="dxa"/>
            <w:vAlign w:val="center"/>
            <w:hideMark/>
          </w:tcPr>
          <w:p w14:paraId="011A58DB"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u hilj. EUR</w:t>
            </w:r>
          </w:p>
        </w:tc>
        <w:tc>
          <w:tcPr>
            <w:tcW w:w="1069" w:type="dxa"/>
            <w:vAlign w:val="center"/>
            <w:hideMark/>
          </w:tcPr>
          <w:p w14:paraId="6ACF7623"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u hilj. EUR</w:t>
            </w:r>
          </w:p>
        </w:tc>
        <w:tc>
          <w:tcPr>
            <w:tcW w:w="1069" w:type="dxa"/>
            <w:vAlign w:val="center"/>
            <w:hideMark/>
          </w:tcPr>
          <w:p w14:paraId="33F41FD7"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u hilj. EUR</w:t>
            </w:r>
          </w:p>
        </w:tc>
        <w:tc>
          <w:tcPr>
            <w:tcW w:w="986" w:type="dxa"/>
            <w:vAlign w:val="center"/>
            <w:hideMark/>
          </w:tcPr>
          <w:p w14:paraId="37765B8A"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u hilj. EUR</w:t>
            </w:r>
          </w:p>
        </w:tc>
        <w:tc>
          <w:tcPr>
            <w:tcW w:w="986" w:type="dxa"/>
            <w:vAlign w:val="center"/>
            <w:hideMark/>
          </w:tcPr>
          <w:p w14:paraId="52A28E34"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u hilj. EUR</w:t>
            </w:r>
          </w:p>
        </w:tc>
      </w:tr>
      <w:tr w:rsidR="002B19B1" w:rsidRPr="00C86111" w14:paraId="19EA766D"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5B8B862B"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SVIJET</w:t>
            </w:r>
          </w:p>
        </w:tc>
        <w:tc>
          <w:tcPr>
            <w:tcW w:w="1070" w:type="dxa"/>
            <w:noWrap/>
            <w:vAlign w:val="center"/>
            <w:hideMark/>
          </w:tcPr>
          <w:p w14:paraId="12A70EBE"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2,105,170 </w:t>
            </w:r>
          </w:p>
        </w:tc>
        <w:tc>
          <w:tcPr>
            <w:tcW w:w="1069" w:type="dxa"/>
            <w:noWrap/>
            <w:vAlign w:val="center"/>
            <w:hideMark/>
          </w:tcPr>
          <w:p w14:paraId="2DED50D0"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2,505,115 </w:t>
            </w:r>
          </w:p>
        </w:tc>
        <w:tc>
          <w:tcPr>
            <w:tcW w:w="1026" w:type="dxa"/>
            <w:noWrap/>
            <w:vAlign w:val="center"/>
            <w:hideMark/>
          </w:tcPr>
          <w:p w14:paraId="04420179"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3,533,838 </w:t>
            </w:r>
          </w:p>
        </w:tc>
        <w:tc>
          <w:tcPr>
            <w:tcW w:w="1026" w:type="dxa"/>
            <w:noWrap/>
            <w:vAlign w:val="center"/>
            <w:hideMark/>
          </w:tcPr>
          <w:p w14:paraId="733F447D"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3,810,125 </w:t>
            </w:r>
          </w:p>
        </w:tc>
        <w:tc>
          <w:tcPr>
            <w:tcW w:w="1069" w:type="dxa"/>
            <w:noWrap/>
            <w:vAlign w:val="center"/>
            <w:hideMark/>
          </w:tcPr>
          <w:p w14:paraId="5D335ED4"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366,128 </w:t>
            </w:r>
          </w:p>
        </w:tc>
        <w:tc>
          <w:tcPr>
            <w:tcW w:w="1069" w:type="dxa"/>
            <w:noWrap/>
            <w:vAlign w:val="center"/>
            <w:hideMark/>
          </w:tcPr>
          <w:p w14:paraId="16C9C8C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437,045 </w:t>
            </w:r>
          </w:p>
        </w:tc>
        <w:tc>
          <w:tcPr>
            <w:tcW w:w="986" w:type="dxa"/>
            <w:noWrap/>
            <w:vAlign w:val="center"/>
            <w:hideMark/>
          </w:tcPr>
          <w:p w14:paraId="5627508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700,252 </w:t>
            </w:r>
          </w:p>
        </w:tc>
        <w:tc>
          <w:tcPr>
            <w:tcW w:w="986" w:type="dxa"/>
            <w:noWrap/>
            <w:vAlign w:val="center"/>
            <w:hideMark/>
          </w:tcPr>
          <w:p w14:paraId="3D484E23"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674,331 </w:t>
            </w:r>
          </w:p>
        </w:tc>
      </w:tr>
      <w:tr w:rsidR="002B19B1" w:rsidRPr="00C86111" w14:paraId="3F1AEEB9"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52CDE1AE"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Evropa </w:t>
            </w:r>
          </w:p>
        </w:tc>
        <w:tc>
          <w:tcPr>
            <w:tcW w:w="1070" w:type="dxa"/>
            <w:noWrap/>
            <w:vAlign w:val="center"/>
            <w:hideMark/>
          </w:tcPr>
          <w:p w14:paraId="3F579EE3"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1,723,159 </w:t>
            </w:r>
          </w:p>
        </w:tc>
        <w:tc>
          <w:tcPr>
            <w:tcW w:w="1069" w:type="dxa"/>
            <w:noWrap/>
            <w:vAlign w:val="center"/>
            <w:hideMark/>
          </w:tcPr>
          <w:p w14:paraId="1F7739AB"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2,073,368 </w:t>
            </w:r>
          </w:p>
        </w:tc>
        <w:tc>
          <w:tcPr>
            <w:tcW w:w="1026" w:type="dxa"/>
            <w:noWrap/>
            <w:vAlign w:val="center"/>
            <w:hideMark/>
          </w:tcPr>
          <w:p w14:paraId="3BEC085F"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2,847,110 </w:t>
            </w:r>
          </w:p>
        </w:tc>
        <w:tc>
          <w:tcPr>
            <w:tcW w:w="1026" w:type="dxa"/>
            <w:noWrap/>
            <w:vAlign w:val="center"/>
            <w:hideMark/>
          </w:tcPr>
          <w:p w14:paraId="690A07A4"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3,058,283 </w:t>
            </w:r>
          </w:p>
        </w:tc>
        <w:tc>
          <w:tcPr>
            <w:tcW w:w="1069" w:type="dxa"/>
            <w:noWrap/>
            <w:vAlign w:val="center"/>
            <w:hideMark/>
          </w:tcPr>
          <w:p w14:paraId="40D40455"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331,435 </w:t>
            </w:r>
          </w:p>
        </w:tc>
        <w:tc>
          <w:tcPr>
            <w:tcW w:w="1069" w:type="dxa"/>
            <w:noWrap/>
            <w:vAlign w:val="center"/>
            <w:hideMark/>
          </w:tcPr>
          <w:p w14:paraId="20B6FDFB"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411,091 </w:t>
            </w:r>
          </w:p>
        </w:tc>
        <w:tc>
          <w:tcPr>
            <w:tcW w:w="986" w:type="dxa"/>
            <w:noWrap/>
            <w:vAlign w:val="center"/>
            <w:hideMark/>
          </w:tcPr>
          <w:p w14:paraId="273A5C81"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646,720 </w:t>
            </w:r>
          </w:p>
        </w:tc>
        <w:tc>
          <w:tcPr>
            <w:tcW w:w="986" w:type="dxa"/>
            <w:noWrap/>
            <w:vAlign w:val="center"/>
            <w:hideMark/>
          </w:tcPr>
          <w:p w14:paraId="04FB7DEF"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618,010 </w:t>
            </w:r>
          </w:p>
        </w:tc>
      </w:tr>
      <w:tr w:rsidR="002B19B1" w:rsidRPr="00C86111" w14:paraId="096D6A9C"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07451231"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Eu-27</w:t>
            </w:r>
          </w:p>
        </w:tc>
        <w:tc>
          <w:tcPr>
            <w:tcW w:w="1070" w:type="dxa"/>
            <w:noWrap/>
            <w:vAlign w:val="center"/>
            <w:hideMark/>
          </w:tcPr>
          <w:p w14:paraId="7FD79340"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929,418 </w:t>
            </w:r>
          </w:p>
        </w:tc>
        <w:tc>
          <w:tcPr>
            <w:tcW w:w="1069" w:type="dxa"/>
            <w:noWrap/>
            <w:vAlign w:val="center"/>
            <w:hideMark/>
          </w:tcPr>
          <w:p w14:paraId="0C38F9F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1,144,356 </w:t>
            </w:r>
          </w:p>
        </w:tc>
        <w:tc>
          <w:tcPr>
            <w:tcW w:w="1026" w:type="dxa"/>
            <w:noWrap/>
            <w:vAlign w:val="center"/>
            <w:hideMark/>
          </w:tcPr>
          <w:p w14:paraId="00DA01A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1,560,768 </w:t>
            </w:r>
          </w:p>
        </w:tc>
        <w:tc>
          <w:tcPr>
            <w:tcW w:w="1026" w:type="dxa"/>
            <w:noWrap/>
            <w:vAlign w:val="center"/>
            <w:hideMark/>
          </w:tcPr>
          <w:p w14:paraId="467E0862"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1,744,190 </w:t>
            </w:r>
          </w:p>
        </w:tc>
        <w:tc>
          <w:tcPr>
            <w:tcW w:w="1069" w:type="dxa"/>
            <w:noWrap/>
            <w:vAlign w:val="center"/>
            <w:hideMark/>
          </w:tcPr>
          <w:p w14:paraId="6C14719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137,707 </w:t>
            </w:r>
          </w:p>
        </w:tc>
        <w:tc>
          <w:tcPr>
            <w:tcW w:w="1069" w:type="dxa"/>
            <w:noWrap/>
            <w:vAlign w:val="center"/>
            <w:hideMark/>
          </w:tcPr>
          <w:p w14:paraId="675698ED"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136,103 </w:t>
            </w:r>
          </w:p>
        </w:tc>
        <w:tc>
          <w:tcPr>
            <w:tcW w:w="986" w:type="dxa"/>
            <w:noWrap/>
            <w:vAlign w:val="center"/>
            <w:hideMark/>
          </w:tcPr>
          <w:p w14:paraId="0035ABAC"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212,186 </w:t>
            </w:r>
          </w:p>
        </w:tc>
        <w:tc>
          <w:tcPr>
            <w:tcW w:w="986" w:type="dxa"/>
            <w:noWrap/>
            <w:vAlign w:val="center"/>
            <w:hideMark/>
          </w:tcPr>
          <w:p w14:paraId="2607845B"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243,477 </w:t>
            </w:r>
          </w:p>
        </w:tc>
      </w:tr>
      <w:tr w:rsidR="002B19B1" w:rsidRPr="00C86111" w14:paraId="5FA754D7"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459F927A"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CEFTA</w:t>
            </w:r>
          </w:p>
        </w:tc>
        <w:tc>
          <w:tcPr>
            <w:tcW w:w="1070" w:type="dxa"/>
            <w:noWrap/>
            <w:vAlign w:val="center"/>
            <w:hideMark/>
          </w:tcPr>
          <w:p w14:paraId="15C327D1"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606,694 </w:t>
            </w:r>
          </w:p>
        </w:tc>
        <w:tc>
          <w:tcPr>
            <w:tcW w:w="1069" w:type="dxa"/>
            <w:noWrap/>
            <w:vAlign w:val="center"/>
            <w:hideMark/>
          </w:tcPr>
          <w:p w14:paraId="7ADB3A10"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713,493 </w:t>
            </w:r>
          </w:p>
        </w:tc>
        <w:tc>
          <w:tcPr>
            <w:tcW w:w="1026" w:type="dxa"/>
            <w:noWrap/>
            <w:vAlign w:val="center"/>
            <w:hideMark/>
          </w:tcPr>
          <w:p w14:paraId="474F8068"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925,351 </w:t>
            </w:r>
          </w:p>
        </w:tc>
        <w:tc>
          <w:tcPr>
            <w:tcW w:w="1026" w:type="dxa"/>
            <w:noWrap/>
            <w:vAlign w:val="center"/>
            <w:hideMark/>
          </w:tcPr>
          <w:p w14:paraId="4FFDF4B7"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991,518 </w:t>
            </w:r>
          </w:p>
        </w:tc>
        <w:tc>
          <w:tcPr>
            <w:tcW w:w="1069" w:type="dxa"/>
            <w:noWrap/>
            <w:vAlign w:val="center"/>
            <w:hideMark/>
          </w:tcPr>
          <w:p w14:paraId="5CA1EFA3"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165,074 </w:t>
            </w:r>
          </w:p>
        </w:tc>
        <w:tc>
          <w:tcPr>
            <w:tcW w:w="1069" w:type="dxa"/>
            <w:noWrap/>
            <w:vAlign w:val="center"/>
            <w:hideMark/>
          </w:tcPr>
          <w:p w14:paraId="4B733447"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188,844 </w:t>
            </w:r>
          </w:p>
        </w:tc>
        <w:tc>
          <w:tcPr>
            <w:tcW w:w="986" w:type="dxa"/>
            <w:noWrap/>
            <w:vAlign w:val="center"/>
            <w:hideMark/>
          </w:tcPr>
          <w:p w14:paraId="1DA96F7F"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291,728 </w:t>
            </w:r>
          </w:p>
        </w:tc>
        <w:tc>
          <w:tcPr>
            <w:tcW w:w="986" w:type="dxa"/>
            <w:noWrap/>
            <w:vAlign w:val="center"/>
            <w:hideMark/>
          </w:tcPr>
          <w:p w14:paraId="08271D9A"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326,699 </w:t>
            </w:r>
          </w:p>
        </w:tc>
      </w:tr>
      <w:tr w:rsidR="002B19B1" w:rsidRPr="00C86111" w14:paraId="6EE5BD63"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316EA947"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Afrika </w:t>
            </w:r>
          </w:p>
        </w:tc>
        <w:tc>
          <w:tcPr>
            <w:tcW w:w="1070" w:type="dxa"/>
            <w:noWrap/>
            <w:vAlign w:val="center"/>
            <w:hideMark/>
          </w:tcPr>
          <w:p w14:paraId="7D60D53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7,325 </w:t>
            </w:r>
          </w:p>
        </w:tc>
        <w:tc>
          <w:tcPr>
            <w:tcW w:w="1069" w:type="dxa"/>
            <w:noWrap/>
            <w:vAlign w:val="center"/>
            <w:hideMark/>
          </w:tcPr>
          <w:p w14:paraId="06E0A9AD"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9,359 </w:t>
            </w:r>
          </w:p>
        </w:tc>
        <w:tc>
          <w:tcPr>
            <w:tcW w:w="1026" w:type="dxa"/>
            <w:noWrap/>
            <w:vAlign w:val="center"/>
            <w:hideMark/>
          </w:tcPr>
          <w:p w14:paraId="73DA0DB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15,231 </w:t>
            </w:r>
          </w:p>
        </w:tc>
        <w:tc>
          <w:tcPr>
            <w:tcW w:w="1026" w:type="dxa"/>
            <w:noWrap/>
            <w:vAlign w:val="center"/>
            <w:hideMark/>
          </w:tcPr>
          <w:p w14:paraId="0F4D0458"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11,496 </w:t>
            </w:r>
          </w:p>
        </w:tc>
        <w:tc>
          <w:tcPr>
            <w:tcW w:w="1069" w:type="dxa"/>
            <w:noWrap/>
            <w:vAlign w:val="center"/>
            <w:hideMark/>
          </w:tcPr>
          <w:p w14:paraId="18AC55F3"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4,379 </w:t>
            </w:r>
          </w:p>
        </w:tc>
        <w:tc>
          <w:tcPr>
            <w:tcW w:w="1069" w:type="dxa"/>
            <w:noWrap/>
            <w:vAlign w:val="center"/>
            <w:hideMark/>
          </w:tcPr>
          <w:p w14:paraId="266A04AD"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5,759 </w:t>
            </w:r>
          </w:p>
        </w:tc>
        <w:tc>
          <w:tcPr>
            <w:tcW w:w="986" w:type="dxa"/>
            <w:noWrap/>
            <w:vAlign w:val="center"/>
            <w:hideMark/>
          </w:tcPr>
          <w:p w14:paraId="4C42199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3,280 </w:t>
            </w:r>
          </w:p>
        </w:tc>
        <w:tc>
          <w:tcPr>
            <w:tcW w:w="986" w:type="dxa"/>
            <w:noWrap/>
            <w:vAlign w:val="center"/>
            <w:hideMark/>
          </w:tcPr>
          <w:p w14:paraId="1EDBBCC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2,434 </w:t>
            </w:r>
          </w:p>
        </w:tc>
      </w:tr>
      <w:tr w:rsidR="002B19B1" w:rsidRPr="00C86111" w14:paraId="227DA461"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7E9F6769"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Azija</w:t>
            </w:r>
          </w:p>
        </w:tc>
        <w:tc>
          <w:tcPr>
            <w:tcW w:w="1070" w:type="dxa"/>
            <w:noWrap/>
            <w:vAlign w:val="center"/>
            <w:hideMark/>
          </w:tcPr>
          <w:p w14:paraId="444F2F70"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316,025 </w:t>
            </w:r>
          </w:p>
        </w:tc>
        <w:tc>
          <w:tcPr>
            <w:tcW w:w="1069" w:type="dxa"/>
            <w:noWrap/>
            <w:vAlign w:val="center"/>
            <w:hideMark/>
          </w:tcPr>
          <w:p w14:paraId="2CDBC51D"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355,763 </w:t>
            </w:r>
          </w:p>
        </w:tc>
        <w:tc>
          <w:tcPr>
            <w:tcW w:w="1026" w:type="dxa"/>
            <w:noWrap/>
            <w:vAlign w:val="center"/>
            <w:hideMark/>
          </w:tcPr>
          <w:p w14:paraId="0625B2D2"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508,725 </w:t>
            </w:r>
          </w:p>
        </w:tc>
        <w:tc>
          <w:tcPr>
            <w:tcW w:w="1026" w:type="dxa"/>
            <w:noWrap/>
            <w:vAlign w:val="center"/>
            <w:hideMark/>
          </w:tcPr>
          <w:p w14:paraId="6F49C820"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630,826 </w:t>
            </w:r>
          </w:p>
        </w:tc>
        <w:tc>
          <w:tcPr>
            <w:tcW w:w="1069" w:type="dxa"/>
            <w:noWrap/>
            <w:vAlign w:val="center"/>
            <w:hideMark/>
          </w:tcPr>
          <w:p w14:paraId="7C8F696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27,123 </w:t>
            </w:r>
          </w:p>
        </w:tc>
        <w:tc>
          <w:tcPr>
            <w:tcW w:w="1069" w:type="dxa"/>
            <w:noWrap/>
            <w:vAlign w:val="center"/>
            <w:hideMark/>
          </w:tcPr>
          <w:p w14:paraId="24CBCFAA"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15,448 </w:t>
            </w:r>
          </w:p>
        </w:tc>
        <w:tc>
          <w:tcPr>
            <w:tcW w:w="986" w:type="dxa"/>
            <w:noWrap/>
            <w:vAlign w:val="center"/>
            <w:hideMark/>
          </w:tcPr>
          <w:p w14:paraId="39EA839A"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44,448 </w:t>
            </w:r>
          </w:p>
        </w:tc>
        <w:tc>
          <w:tcPr>
            <w:tcW w:w="986" w:type="dxa"/>
            <w:noWrap/>
            <w:vAlign w:val="center"/>
            <w:hideMark/>
          </w:tcPr>
          <w:p w14:paraId="74C7726D"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43,138 </w:t>
            </w:r>
          </w:p>
        </w:tc>
      </w:tr>
      <w:tr w:rsidR="002B19B1" w:rsidRPr="00C86111" w14:paraId="58F54765"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4917DC8D"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Amerika</w:t>
            </w:r>
          </w:p>
        </w:tc>
        <w:tc>
          <w:tcPr>
            <w:tcW w:w="1070" w:type="dxa"/>
            <w:noWrap/>
            <w:vAlign w:val="center"/>
            <w:hideMark/>
          </w:tcPr>
          <w:p w14:paraId="3374F9B8"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57,850 </w:t>
            </w:r>
          </w:p>
        </w:tc>
        <w:tc>
          <w:tcPr>
            <w:tcW w:w="1069" w:type="dxa"/>
            <w:noWrap/>
            <w:vAlign w:val="center"/>
            <w:hideMark/>
          </w:tcPr>
          <w:p w14:paraId="299CE249"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65,578 </w:t>
            </w:r>
          </w:p>
        </w:tc>
        <w:tc>
          <w:tcPr>
            <w:tcW w:w="1026" w:type="dxa"/>
            <w:noWrap/>
            <w:vAlign w:val="center"/>
            <w:hideMark/>
          </w:tcPr>
          <w:p w14:paraId="02A1C73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161,481 </w:t>
            </w:r>
          </w:p>
        </w:tc>
        <w:tc>
          <w:tcPr>
            <w:tcW w:w="1026" w:type="dxa"/>
            <w:noWrap/>
            <w:vAlign w:val="center"/>
            <w:hideMark/>
          </w:tcPr>
          <w:p w14:paraId="13644168"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107,328 </w:t>
            </w:r>
          </w:p>
        </w:tc>
        <w:tc>
          <w:tcPr>
            <w:tcW w:w="1069" w:type="dxa"/>
            <w:noWrap/>
            <w:vAlign w:val="center"/>
            <w:hideMark/>
          </w:tcPr>
          <w:p w14:paraId="082DDDA5"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3,097 </w:t>
            </w:r>
          </w:p>
        </w:tc>
        <w:tc>
          <w:tcPr>
            <w:tcW w:w="1069" w:type="dxa"/>
            <w:noWrap/>
            <w:vAlign w:val="center"/>
            <w:hideMark/>
          </w:tcPr>
          <w:p w14:paraId="629CC98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4,619 </w:t>
            </w:r>
          </w:p>
        </w:tc>
        <w:tc>
          <w:tcPr>
            <w:tcW w:w="986" w:type="dxa"/>
            <w:noWrap/>
            <w:vAlign w:val="center"/>
            <w:hideMark/>
          </w:tcPr>
          <w:p w14:paraId="33EBF79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5,591 </w:t>
            </w:r>
          </w:p>
        </w:tc>
        <w:tc>
          <w:tcPr>
            <w:tcW w:w="986" w:type="dxa"/>
            <w:noWrap/>
            <w:vAlign w:val="center"/>
            <w:hideMark/>
          </w:tcPr>
          <w:p w14:paraId="7E854000"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10,432 </w:t>
            </w:r>
          </w:p>
        </w:tc>
      </w:tr>
      <w:tr w:rsidR="002B19B1" w:rsidRPr="00C86111" w14:paraId="4DCA0099"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54C0D039"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Okeanija </w:t>
            </w:r>
          </w:p>
        </w:tc>
        <w:tc>
          <w:tcPr>
            <w:tcW w:w="1070" w:type="dxa"/>
            <w:noWrap/>
            <w:vAlign w:val="center"/>
            <w:hideMark/>
          </w:tcPr>
          <w:p w14:paraId="0400EF15"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811 </w:t>
            </w:r>
          </w:p>
        </w:tc>
        <w:tc>
          <w:tcPr>
            <w:tcW w:w="1069" w:type="dxa"/>
            <w:noWrap/>
            <w:vAlign w:val="center"/>
            <w:hideMark/>
          </w:tcPr>
          <w:p w14:paraId="32E099F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1,047 </w:t>
            </w:r>
          </w:p>
        </w:tc>
        <w:tc>
          <w:tcPr>
            <w:tcW w:w="1026" w:type="dxa"/>
            <w:noWrap/>
            <w:vAlign w:val="center"/>
            <w:hideMark/>
          </w:tcPr>
          <w:p w14:paraId="6D7FB8C6"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1,291 </w:t>
            </w:r>
          </w:p>
        </w:tc>
        <w:tc>
          <w:tcPr>
            <w:tcW w:w="1026" w:type="dxa"/>
            <w:noWrap/>
            <w:vAlign w:val="center"/>
            <w:hideMark/>
          </w:tcPr>
          <w:p w14:paraId="57E08388"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2,192 </w:t>
            </w:r>
          </w:p>
        </w:tc>
        <w:tc>
          <w:tcPr>
            <w:tcW w:w="1069" w:type="dxa"/>
            <w:noWrap/>
            <w:vAlign w:val="center"/>
            <w:hideMark/>
          </w:tcPr>
          <w:p w14:paraId="5B22DF22"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93 </w:t>
            </w:r>
          </w:p>
        </w:tc>
        <w:tc>
          <w:tcPr>
            <w:tcW w:w="1069" w:type="dxa"/>
            <w:noWrap/>
            <w:vAlign w:val="center"/>
            <w:hideMark/>
          </w:tcPr>
          <w:p w14:paraId="63D6F650"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127 </w:t>
            </w:r>
          </w:p>
        </w:tc>
        <w:tc>
          <w:tcPr>
            <w:tcW w:w="986" w:type="dxa"/>
            <w:noWrap/>
            <w:vAlign w:val="center"/>
            <w:hideMark/>
          </w:tcPr>
          <w:p w14:paraId="48B44888"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213 </w:t>
            </w:r>
          </w:p>
        </w:tc>
        <w:tc>
          <w:tcPr>
            <w:tcW w:w="986" w:type="dxa"/>
            <w:noWrap/>
            <w:vAlign w:val="center"/>
            <w:hideMark/>
          </w:tcPr>
          <w:p w14:paraId="474F71B5"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318 </w:t>
            </w:r>
          </w:p>
        </w:tc>
      </w:tr>
      <w:tr w:rsidR="002B19B1" w:rsidRPr="00C86111" w14:paraId="5D1E5DDB"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5985D13C"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SAD</w:t>
            </w:r>
          </w:p>
        </w:tc>
        <w:tc>
          <w:tcPr>
            <w:tcW w:w="1070" w:type="dxa"/>
            <w:noWrap/>
            <w:vAlign w:val="center"/>
            <w:hideMark/>
          </w:tcPr>
          <w:p w14:paraId="7DB8DAF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31,955 </w:t>
            </w:r>
          </w:p>
        </w:tc>
        <w:tc>
          <w:tcPr>
            <w:tcW w:w="1069" w:type="dxa"/>
            <w:noWrap/>
            <w:vAlign w:val="center"/>
            <w:hideMark/>
          </w:tcPr>
          <w:p w14:paraId="37B50C59"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29,752 </w:t>
            </w:r>
          </w:p>
        </w:tc>
        <w:tc>
          <w:tcPr>
            <w:tcW w:w="1026" w:type="dxa"/>
            <w:noWrap/>
            <w:vAlign w:val="center"/>
            <w:hideMark/>
          </w:tcPr>
          <w:p w14:paraId="37A78B4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35,791 </w:t>
            </w:r>
          </w:p>
        </w:tc>
        <w:tc>
          <w:tcPr>
            <w:tcW w:w="1026" w:type="dxa"/>
            <w:noWrap/>
            <w:vAlign w:val="center"/>
            <w:hideMark/>
          </w:tcPr>
          <w:p w14:paraId="3196C73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48,098 </w:t>
            </w:r>
          </w:p>
        </w:tc>
        <w:tc>
          <w:tcPr>
            <w:tcW w:w="1069" w:type="dxa"/>
            <w:noWrap/>
            <w:vAlign w:val="center"/>
            <w:hideMark/>
          </w:tcPr>
          <w:p w14:paraId="006520BD"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2,164 </w:t>
            </w:r>
          </w:p>
        </w:tc>
        <w:tc>
          <w:tcPr>
            <w:tcW w:w="1069" w:type="dxa"/>
            <w:noWrap/>
            <w:vAlign w:val="center"/>
            <w:hideMark/>
          </w:tcPr>
          <w:p w14:paraId="42A5960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2,907 </w:t>
            </w:r>
          </w:p>
        </w:tc>
        <w:tc>
          <w:tcPr>
            <w:tcW w:w="986" w:type="dxa"/>
            <w:noWrap/>
            <w:vAlign w:val="center"/>
            <w:hideMark/>
          </w:tcPr>
          <w:p w14:paraId="65795A3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3,612 </w:t>
            </w:r>
          </w:p>
        </w:tc>
        <w:tc>
          <w:tcPr>
            <w:tcW w:w="986" w:type="dxa"/>
            <w:noWrap/>
            <w:vAlign w:val="center"/>
            <w:hideMark/>
          </w:tcPr>
          <w:p w14:paraId="7B85F53F"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9,799 </w:t>
            </w:r>
          </w:p>
        </w:tc>
      </w:tr>
      <w:tr w:rsidR="002B19B1" w:rsidRPr="00C86111" w14:paraId="6834DFBF"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71039104"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Kina</w:t>
            </w:r>
          </w:p>
        </w:tc>
        <w:tc>
          <w:tcPr>
            <w:tcW w:w="1070" w:type="dxa"/>
            <w:noWrap/>
            <w:vAlign w:val="center"/>
            <w:hideMark/>
          </w:tcPr>
          <w:p w14:paraId="30DF4D53"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218,000 </w:t>
            </w:r>
          </w:p>
        </w:tc>
        <w:tc>
          <w:tcPr>
            <w:tcW w:w="1069" w:type="dxa"/>
            <w:noWrap/>
            <w:vAlign w:val="center"/>
            <w:hideMark/>
          </w:tcPr>
          <w:p w14:paraId="01A64132"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245,181 </w:t>
            </w:r>
          </w:p>
        </w:tc>
        <w:tc>
          <w:tcPr>
            <w:tcW w:w="1026" w:type="dxa"/>
            <w:noWrap/>
            <w:vAlign w:val="center"/>
            <w:hideMark/>
          </w:tcPr>
          <w:p w14:paraId="621FDF0C"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330,596 </w:t>
            </w:r>
          </w:p>
        </w:tc>
        <w:tc>
          <w:tcPr>
            <w:tcW w:w="1026" w:type="dxa"/>
            <w:noWrap/>
            <w:vAlign w:val="center"/>
            <w:hideMark/>
          </w:tcPr>
          <w:p w14:paraId="7BBCBEED"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424,719 </w:t>
            </w:r>
          </w:p>
        </w:tc>
        <w:tc>
          <w:tcPr>
            <w:tcW w:w="1069" w:type="dxa"/>
            <w:noWrap/>
            <w:vAlign w:val="center"/>
            <w:hideMark/>
          </w:tcPr>
          <w:p w14:paraId="12F5812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22,136 </w:t>
            </w:r>
          </w:p>
        </w:tc>
        <w:tc>
          <w:tcPr>
            <w:tcW w:w="1069" w:type="dxa"/>
            <w:noWrap/>
            <w:vAlign w:val="center"/>
            <w:hideMark/>
          </w:tcPr>
          <w:p w14:paraId="6F68CD7F"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5,683 </w:t>
            </w:r>
          </w:p>
        </w:tc>
        <w:tc>
          <w:tcPr>
            <w:tcW w:w="986" w:type="dxa"/>
            <w:noWrap/>
            <w:vAlign w:val="center"/>
            <w:hideMark/>
          </w:tcPr>
          <w:p w14:paraId="22A0658B"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12,851 </w:t>
            </w:r>
          </w:p>
        </w:tc>
        <w:tc>
          <w:tcPr>
            <w:tcW w:w="986" w:type="dxa"/>
            <w:noWrap/>
            <w:vAlign w:val="center"/>
            <w:hideMark/>
          </w:tcPr>
          <w:p w14:paraId="7E644841"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2,490 </w:t>
            </w:r>
          </w:p>
        </w:tc>
      </w:tr>
      <w:tr w:rsidR="002B19B1" w:rsidRPr="00C86111" w14:paraId="0C0B6004"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4F787F39"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Rusija</w:t>
            </w:r>
          </w:p>
        </w:tc>
        <w:tc>
          <w:tcPr>
            <w:tcW w:w="1070" w:type="dxa"/>
            <w:noWrap/>
            <w:vAlign w:val="center"/>
            <w:hideMark/>
          </w:tcPr>
          <w:p w14:paraId="5CB5899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9,298 </w:t>
            </w:r>
          </w:p>
        </w:tc>
        <w:tc>
          <w:tcPr>
            <w:tcW w:w="1069" w:type="dxa"/>
            <w:noWrap/>
            <w:vAlign w:val="center"/>
            <w:hideMark/>
          </w:tcPr>
          <w:p w14:paraId="3B6B740A"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10,596 </w:t>
            </w:r>
          </w:p>
        </w:tc>
        <w:tc>
          <w:tcPr>
            <w:tcW w:w="1026" w:type="dxa"/>
            <w:noWrap/>
            <w:vAlign w:val="center"/>
            <w:hideMark/>
          </w:tcPr>
          <w:p w14:paraId="244F80D8"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8,828 </w:t>
            </w:r>
          </w:p>
        </w:tc>
        <w:tc>
          <w:tcPr>
            <w:tcW w:w="1026" w:type="dxa"/>
            <w:noWrap/>
            <w:vAlign w:val="center"/>
            <w:hideMark/>
          </w:tcPr>
          <w:p w14:paraId="190EB6D0"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7,479 </w:t>
            </w:r>
          </w:p>
        </w:tc>
        <w:tc>
          <w:tcPr>
            <w:tcW w:w="1069" w:type="dxa"/>
            <w:noWrap/>
            <w:vAlign w:val="center"/>
            <w:hideMark/>
          </w:tcPr>
          <w:p w14:paraId="648802F5"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1,406 </w:t>
            </w:r>
          </w:p>
        </w:tc>
        <w:tc>
          <w:tcPr>
            <w:tcW w:w="1069" w:type="dxa"/>
            <w:noWrap/>
            <w:vAlign w:val="center"/>
            <w:hideMark/>
          </w:tcPr>
          <w:p w14:paraId="50E65016"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2,348 </w:t>
            </w:r>
          </w:p>
        </w:tc>
        <w:tc>
          <w:tcPr>
            <w:tcW w:w="986" w:type="dxa"/>
            <w:noWrap/>
            <w:vAlign w:val="center"/>
            <w:hideMark/>
          </w:tcPr>
          <w:p w14:paraId="2E9B491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448 </w:t>
            </w:r>
          </w:p>
        </w:tc>
        <w:tc>
          <w:tcPr>
            <w:tcW w:w="986" w:type="dxa"/>
            <w:noWrap/>
            <w:vAlign w:val="center"/>
            <w:hideMark/>
          </w:tcPr>
          <w:p w14:paraId="164FBCD1"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179 </w:t>
            </w:r>
          </w:p>
        </w:tc>
      </w:tr>
      <w:tr w:rsidR="002B19B1" w:rsidRPr="00C86111" w14:paraId="5DD13F47"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2B6F34DF"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Švajcarska</w:t>
            </w:r>
          </w:p>
        </w:tc>
        <w:tc>
          <w:tcPr>
            <w:tcW w:w="1070" w:type="dxa"/>
            <w:noWrap/>
            <w:vAlign w:val="center"/>
            <w:hideMark/>
          </w:tcPr>
          <w:p w14:paraId="644C2A6C"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40,041 </w:t>
            </w:r>
          </w:p>
        </w:tc>
        <w:tc>
          <w:tcPr>
            <w:tcW w:w="1069" w:type="dxa"/>
            <w:noWrap/>
            <w:vAlign w:val="center"/>
            <w:hideMark/>
          </w:tcPr>
          <w:p w14:paraId="59046226"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53,378 </w:t>
            </w:r>
          </w:p>
        </w:tc>
        <w:tc>
          <w:tcPr>
            <w:tcW w:w="1026" w:type="dxa"/>
            <w:noWrap/>
            <w:vAlign w:val="center"/>
            <w:hideMark/>
          </w:tcPr>
          <w:p w14:paraId="183641BF"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134,613 </w:t>
            </w:r>
          </w:p>
        </w:tc>
        <w:tc>
          <w:tcPr>
            <w:tcW w:w="1026" w:type="dxa"/>
            <w:noWrap/>
            <w:vAlign w:val="center"/>
            <w:hideMark/>
          </w:tcPr>
          <w:p w14:paraId="7484EC1D"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70,435 </w:t>
            </w:r>
          </w:p>
        </w:tc>
        <w:tc>
          <w:tcPr>
            <w:tcW w:w="1069" w:type="dxa"/>
            <w:noWrap/>
            <w:vAlign w:val="center"/>
            <w:hideMark/>
          </w:tcPr>
          <w:p w14:paraId="2A63096D"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7,836 </w:t>
            </w:r>
          </w:p>
        </w:tc>
        <w:tc>
          <w:tcPr>
            <w:tcW w:w="1069" w:type="dxa"/>
            <w:noWrap/>
            <w:vAlign w:val="center"/>
            <w:hideMark/>
          </w:tcPr>
          <w:p w14:paraId="346D5BDC"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50,666 </w:t>
            </w:r>
          </w:p>
        </w:tc>
        <w:tc>
          <w:tcPr>
            <w:tcW w:w="986" w:type="dxa"/>
            <w:noWrap/>
            <w:vAlign w:val="center"/>
            <w:hideMark/>
          </w:tcPr>
          <w:p w14:paraId="6269E8C7"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107,951 </w:t>
            </w:r>
          </w:p>
        </w:tc>
        <w:tc>
          <w:tcPr>
            <w:tcW w:w="986" w:type="dxa"/>
            <w:noWrap/>
            <w:vAlign w:val="center"/>
            <w:hideMark/>
          </w:tcPr>
          <w:p w14:paraId="1413FCAD"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25,079 </w:t>
            </w:r>
          </w:p>
        </w:tc>
      </w:tr>
      <w:tr w:rsidR="002B19B1" w:rsidRPr="00C86111" w14:paraId="48883882"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3F757D1B"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Japan</w:t>
            </w:r>
          </w:p>
        </w:tc>
        <w:tc>
          <w:tcPr>
            <w:tcW w:w="1070" w:type="dxa"/>
            <w:noWrap/>
            <w:vAlign w:val="center"/>
            <w:hideMark/>
          </w:tcPr>
          <w:p w14:paraId="194D4762"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17,125 </w:t>
            </w:r>
          </w:p>
        </w:tc>
        <w:tc>
          <w:tcPr>
            <w:tcW w:w="1069" w:type="dxa"/>
            <w:noWrap/>
            <w:vAlign w:val="center"/>
            <w:hideMark/>
          </w:tcPr>
          <w:p w14:paraId="44B83485"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16,049 </w:t>
            </w:r>
          </w:p>
        </w:tc>
        <w:tc>
          <w:tcPr>
            <w:tcW w:w="1026" w:type="dxa"/>
            <w:noWrap/>
            <w:vAlign w:val="center"/>
            <w:hideMark/>
          </w:tcPr>
          <w:p w14:paraId="69C3BBD0"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30,422 </w:t>
            </w:r>
          </w:p>
        </w:tc>
        <w:tc>
          <w:tcPr>
            <w:tcW w:w="1026" w:type="dxa"/>
            <w:noWrap/>
            <w:vAlign w:val="center"/>
            <w:hideMark/>
          </w:tcPr>
          <w:p w14:paraId="1509112D"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29,131 </w:t>
            </w:r>
          </w:p>
        </w:tc>
        <w:tc>
          <w:tcPr>
            <w:tcW w:w="1069" w:type="dxa"/>
            <w:noWrap/>
            <w:vAlign w:val="center"/>
            <w:hideMark/>
          </w:tcPr>
          <w:p w14:paraId="17E4B36E"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360 </w:t>
            </w:r>
          </w:p>
        </w:tc>
        <w:tc>
          <w:tcPr>
            <w:tcW w:w="1069" w:type="dxa"/>
            <w:noWrap/>
            <w:vAlign w:val="center"/>
            <w:hideMark/>
          </w:tcPr>
          <w:p w14:paraId="3BC452C3"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175 </w:t>
            </w:r>
          </w:p>
        </w:tc>
        <w:tc>
          <w:tcPr>
            <w:tcW w:w="986" w:type="dxa"/>
            <w:noWrap/>
            <w:vAlign w:val="center"/>
            <w:hideMark/>
          </w:tcPr>
          <w:p w14:paraId="75A7C779"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331 </w:t>
            </w:r>
          </w:p>
        </w:tc>
        <w:tc>
          <w:tcPr>
            <w:tcW w:w="986" w:type="dxa"/>
            <w:noWrap/>
            <w:vAlign w:val="center"/>
            <w:hideMark/>
          </w:tcPr>
          <w:p w14:paraId="409C557B"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106 </w:t>
            </w:r>
          </w:p>
        </w:tc>
      </w:tr>
      <w:tr w:rsidR="002B19B1" w:rsidRPr="00C86111" w14:paraId="6D940E06"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2CECB17D"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Turska</w:t>
            </w:r>
          </w:p>
        </w:tc>
        <w:tc>
          <w:tcPr>
            <w:tcW w:w="1070" w:type="dxa"/>
            <w:noWrap/>
            <w:vAlign w:val="center"/>
            <w:hideMark/>
          </w:tcPr>
          <w:p w14:paraId="0F61CF38"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108,462 </w:t>
            </w:r>
          </w:p>
        </w:tc>
        <w:tc>
          <w:tcPr>
            <w:tcW w:w="1069" w:type="dxa"/>
            <w:noWrap/>
            <w:vAlign w:val="center"/>
            <w:hideMark/>
          </w:tcPr>
          <w:p w14:paraId="365763C6"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110,640 </w:t>
            </w:r>
          </w:p>
        </w:tc>
        <w:tc>
          <w:tcPr>
            <w:tcW w:w="1026" w:type="dxa"/>
            <w:noWrap/>
            <w:vAlign w:val="center"/>
            <w:hideMark/>
          </w:tcPr>
          <w:p w14:paraId="519B60E5"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170,350 </w:t>
            </w:r>
          </w:p>
        </w:tc>
        <w:tc>
          <w:tcPr>
            <w:tcW w:w="1026" w:type="dxa"/>
            <w:noWrap/>
            <w:vAlign w:val="center"/>
            <w:hideMark/>
          </w:tcPr>
          <w:p w14:paraId="50E1135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195,067 </w:t>
            </w:r>
          </w:p>
        </w:tc>
        <w:tc>
          <w:tcPr>
            <w:tcW w:w="1069" w:type="dxa"/>
            <w:noWrap/>
            <w:vAlign w:val="center"/>
            <w:hideMark/>
          </w:tcPr>
          <w:p w14:paraId="65B0153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13,477 </w:t>
            </w:r>
          </w:p>
        </w:tc>
        <w:tc>
          <w:tcPr>
            <w:tcW w:w="1069" w:type="dxa"/>
            <w:noWrap/>
            <w:vAlign w:val="center"/>
            <w:hideMark/>
          </w:tcPr>
          <w:p w14:paraId="2F2B0805"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24,180 </w:t>
            </w:r>
          </w:p>
        </w:tc>
        <w:tc>
          <w:tcPr>
            <w:tcW w:w="986" w:type="dxa"/>
            <w:noWrap/>
            <w:vAlign w:val="center"/>
            <w:hideMark/>
          </w:tcPr>
          <w:p w14:paraId="20DF7944"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15,761 </w:t>
            </w:r>
          </w:p>
        </w:tc>
        <w:tc>
          <w:tcPr>
            <w:tcW w:w="986" w:type="dxa"/>
            <w:noWrap/>
            <w:vAlign w:val="center"/>
            <w:hideMark/>
          </w:tcPr>
          <w:p w14:paraId="383BEA30"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9,013 </w:t>
            </w:r>
          </w:p>
        </w:tc>
      </w:tr>
      <w:tr w:rsidR="002B19B1" w:rsidRPr="00C86111" w14:paraId="5EB04FBF" w14:textId="77777777" w:rsidTr="00375D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hideMark/>
          </w:tcPr>
          <w:p w14:paraId="63EAED2B"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Brazil </w:t>
            </w:r>
          </w:p>
        </w:tc>
        <w:tc>
          <w:tcPr>
            <w:tcW w:w="1070" w:type="dxa"/>
            <w:noWrap/>
            <w:vAlign w:val="center"/>
            <w:hideMark/>
          </w:tcPr>
          <w:p w14:paraId="46998787"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8,372 </w:t>
            </w:r>
          </w:p>
        </w:tc>
        <w:tc>
          <w:tcPr>
            <w:tcW w:w="1069" w:type="dxa"/>
            <w:noWrap/>
            <w:vAlign w:val="center"/>
            <w:hideMark/>
          </w:tcPr>
          <w:p w14:paraId="0AF11805"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11,929 </w:t>
            </w:r>
          </w:p>
        </w:tc>
        <w:tc>
          <w:tcPr>
            <w:tcW w:w="1026" w:type="dxa"/>
            <w:noWrap/>
            <w:vAlign w:val="center"/>
            <w:hideMark/>
          </w:tcPr>
          <w:p w14:paraId="5E33205A"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23,461 </w:t>
            </w:r>
          </w:p>
        </w:tc>
        <w:tc>
          <w:tcPr>
            <w:tcW w:w="1026" w:type="dxa"/>
            <w:noWrap/>
            <w:vAlign w:val="center"/>
            <w:hideMark/>
          </w:tcPr>
          <w:p w14:paraId="6A6D00CC"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21,905 </w:t>
            </w:r>
          </w:p>
        </w:tc>
        <w:tc>
          <w:tcPr>
            <w:tcW w:w="1069" w:type="dxa"/>
            <w:noWrap/>
            <w:vAlign w:val="center"/>
            <w:hideMark/>
          </w:tcPr>
          <w:p w14:paraId="72C485B9"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11 </w:t>
            </w:r>
          </w:p>
        </w:tc>
        <w:tc>
          <w:tcPr>
            <w:tcW w:w="1069" w:type="dxa"/>
            <w:noWrap/>
            <w:vAlign w:val="center"/>
            <w:hideMark/>
          </w:tcPr>
          <w:p w14:paraId="784AEE75"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15 </w:t>
            </w:r>
          </w:p>
        </w:tc>
        <w:tc>
          <w:tcPr>
            <w:tcW w:w="986" w:type="dxa"/>
            <w:noWrap/>
            <w:vAlign w:val="center"/>
            <w:hideMark/>
          </w:tcPr>
          <w:p w14:paraId="6DAB0034"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22 </w:t>
            </w:r>
          </w:p>
        </w:tc>
        <w:tc>
          <w:tcPr>
            <w:tcW w:w="986" w:type="dxa"/>
            <w:noWrap/>
            <w:vAlign w:val="center"/>
            <w:hideMark/>
          </w:tcPr>
          <w:p w14:paraId="5433B4EA" w14:textId="77777777" w:rsidR="002B19B1" w:rsidRPr="00C86111" w:rsidRDefault="002B19B1" w:rsidP="00BC7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5 </w:t>
            </w:r>
          </w:p>
        </w:tc>
      </w:tr>
      <w:tr w:rsidR="002B19B1" w:rsidRPr="00C86111" w14:paraId="540BC8EA" w14:textId="77777777" w:rsidTr="00375D24">
        <w:trPr>
          <w:trHeight w:val="288"/>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2CF02AF4" w14:textId="77777777" w:rsidR="002B19B1" w:rsidRPr="00C86111" w:rsidRDefault="002B19B1" w:rsidP="00BC765B">
            <w:pPr>
              <w:ind w:firstLineChars="100" w:firstLine="201"/>
              <w:rPr>
                <w:rFonts w:asciiTheme="minorHAnsi" w:eastAsia="Times New Roman" w:hAnsiTheme="minorHAnsi" w:cstheme="minorHAnsi"/>
                <w:b w:val="0"/>
                <w:bCs w:val="0"/>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Ujedino Kraljevstvo </w:t>
            </w:r>
          </w:p>
        </w:tc>
        <w:tc>
          <w:tcPr>
            <w:tcW w:w="1070" w:type="dxa"/>
            <w:noWrap/>
            <w:vAlign w:val="center"/>
          </w:tcPr>
          <w:p w14:paraId="14ACA0F2"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19,421 </w:t>
            </w:r>
          </w:p>
        </w:tc>
        <w:tc>
          <w:tcPr>
            <w:tcW w:w="1069" w:type="dxa"/>
            <w:noWrap/>
            <w:vAlign w:val="center"/>
          </w:tcPr>
          <w:p w14:paraId="3DA71046"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22,424 </w:t>
            </w:r>
          </w:p>
        </w:tc>
        <w:tc>
          <w:tcPr>
            <w:tcW w:w="1026" w:type="dxa"/>
            <w:noWrap/>
            <w:vAlign w:val="center"/>
          </w:tcPr>
          <w:p w14:paraId="4D28154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24,615 </w:t>
            </w:r>
          </w:p>
        </w:tc>
        <w:tc>
          <w:tcPr>
            <w:tcW w:w="1026" w:type="dxa"/>
            <w:noWrap/>
            <w:vAlign w:val="center"/>
          </w:tcPr>
          <w:p w14:paraId="15C572C8"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34,648 </w:t>
            </w:r>
          </w:p>
        </w:tc>
        <w:tc>
          <w:tcPr>
            <w:tcW w:w="1069" w:type="dxa"/>
            <w:noWrap/>
            <w:vAlign w:val="center"/>
          </w:tcPr>
          <w:p w14:paraId="52D10D4A"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3,346 </w:t>
            </w:r>
          </w:p>
        </w:tc>
        <w:tc>
          <w:tcPr>
            <w:tcW w:w="1069" w:type="dxa"/>
            <w:noWrap/>
            <w:vAlign w:val="center"/>
          </w:tcPr>
          <w:p w14:paraId="38F7B74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1,389 </w:t>
            </w:r>
          </w:p>
        </w:tc>
        <w:tc>
          <w:tcPr>
            <w:tcW w:w="986" w:type="dxa"/>
            <w:noWrap/>
            <w:vAlign w:val="center"/>
          </w:tcPr>
          <w:p w14:paraId="123F3879"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3,504 </w:t>
            </w:r>
          </w:p>
        </w:tc>
        <w:tc>
          <w:tcPr>
            <w:tcW w:w="986" w:type="dxa"/>
            <w:noWrap/>
            <w:vAlign w:val="center"/>
          </w:tcPr>
          <w:p w14:paraId="1E664257" w14:textId="77777777" w:rsidR="002B19B1" w:rsidRPr="00C86111" w:rsidRDefault="002B19B1" w:rsidP="00BC765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GB"/>
              </w:rPr>
            </w:pPr>
            <w:r w:rsidRPr="00C86111">
              <w:rPr>
                <w:rFonts w:asciiTheme="minorHAnsi" w:eastAsia="Times New Roman" w:hAnsiTheme="minorHAnsi" w:cstheme="minorHAnsi"/>
                <w:color w:val="000000"/>
                <w:sz w:val="20"/>
                <w:szCs w:val="20"/>
                <w:lang w:eastAsia="en-GB"/>
              </w:rPr>
              <w:t xml:space="preserve">             859 </w:t>
            </w:r>
          </w:p>
        </w:tc>
      </w:tr>
    </w:tbl>
    <w:p w14:paraId="63279385" w14:textId="77777777" w:rsidR="002B19B1" w:rsidRPr="00C86111" w:rsidRDefault="002B19B1" w:rsidP="002B19B1">
      <w:pPr>
        <w:jc w:val="both"/>
        <w:rPr>
          <w:rFonts w:asciiTheme="minorHAnsi" w:hAnsiTheme="minorHAnsi" w:cstheme="minorHAnsi"/>
          <w:color w:val="FF0000"/>
          <w:szCs w:val="24"/>
        </w:rPr>
      </w:pPr>
    </w:p>
    <w:p w14:paraId="00533F58" w14:textId="77777777" w:rsidR="002B19B1" w:rsidRPr="00C86111" w:rsidRDefault="002B19B1" w:rsidP="00CC3651">
      <w:pPr>
        <w:pStyle w:val="NormalWeb"/>
        <w:spacing w:before="0" w:beforeAutospacing="0" w:after="0" w:afterAutospacing="0"/>
        <w:jc w:val="both"/>
        <w:rPr>
          <w:rFonts w:asciiTheme="minorHAnsi" w:hAnsiTheme="minorHAnsi" w:cstheme="minorHAnsi"/>
        </w:rPr>
      </w:pPr>
      <w:r w:rsidRPr="00C86111">
        <w:rPr>
          <w:rFonts w:asciiTheme="minorHAnsi" w:hAnsiTheme="minorHAnsi" w:cstheme="minorHAnsi"/>
        </w:rPr>
        <w:t>Podaci o spoljnotrgovinskoj robnoj razmjeni Crne Gore prema odsjecima Kombinovane nomenklature za period 2020–2023. jasno potvrđuju dugoročno prisutnu strukturnu neravnotežu između uvoza i izvoza, uz izrazitu zavisnost ekonomije od uvoza širokog spektra proizvoda. Ukupan uvoz pokazuje snažan i kontinuiran rast tokom čitavog perioda 2020–2023, pri čemu je njegova vrijednost uvećana za gotovo 1,7 milijardi EUR u svega tri godine. Ovo povećanje reflektuje rast potrošnje, investicionih potreba i energetskih zahtjeva, ali ujedno ukazuje i na ograničene kapacitete domaće privrede da zamijeni uvoz supstitucijom domaćih proizvoda.</w:t>
      </w:r>
    </w:p>
    <w:p w14:paraId="14B1C746" w14:textId="77777777" w:rsidR="002B19B1" w:rsidRPr="00C86111" w:rsidRDefault="002B19B1" w:rsidP="00CC3651">
      <w:pPr>
        <w:pStyle w:val="NormalWeb"/>
        <w:spacing w:before="0" w:beforeAutospacing="0" w:after="0" w:afterAutospacing="0"/>
        <w:jc w:val="both"/>
        <w:rPr>
          <w:rFonts w:asciiTheme="minorHAnsi" w:hAnsiTheme="minorHAnsi" w:cstheme="minorHAnsi"/>
        </w:rPr>
      </w:pPr>
      <w:r w:rsidRPr="00C86111">
        <w:rPr>
          <w:rFonts w:asciiTheme="minorHAnsi" w:hAnsiTheme="minorHAnsi" w:cstheme="minorHAnsi"/>
        </w:rPr>
        <w:t xml:space="preserve">Uvozni rast najizraženiji je u segmentima hrane i prehrambenih proizvoda, energenata, osnovnih metala, mašina i električne opreme, kao i proizvoda hemijske industrije. Ovakva struktura ukazuje </w:t>
      </w:r>
      <w:r w:rsidRPr="00C86111">
        <w:rPr>
          <w:rFonts w:asciiTheme="minorHAnsi" w:hAnsiTheme="minorHAnsi" w:cstheme="minorHAnsi"/>
        </w:rPr>
        <w:lastRenderedPageBreak/>
        <w:t>na činjenicu da se velika većina osnovnih i prerađenih proizvoda ne proizvodi u dovoljnim količinama u Crnoj Gori, čime uvozne potrebe postaju trajna komponenta ekonomskog sistema. Posebno je izraženo povećanje uvoza pripremljene hrane, pića i drugih prehrambenih proizvoda, što pokazuje kontinuiranu zavisnost od inostranih dobavljača i nizak stepen razvijenosti domaće prehrambene industrije. Sličan trend je prisutan i u uvozu mineralnih proizvoda, gdje je rast dodatno podstaknut energetskom krizom i volatilnošću cijena na međunarodnim tržištima, posebno tokom 2022. godine. Uvoz mašina, električne opreme i tehničkih uređaja takođe je znatno povećan, što ukazuje na rast investicione aktivnosti, ali istovremeno potvrđuje dugoročnu tehnološku zavisnost od spoljnog tržišta.</w:t>
      </w:r>
    </w:p>
    <w:p w14:paraId="033673AB" w14:textId="77777777" w:rsidR="002B19B1" w:rsidRPr="00C86111" w:rsidRDefault="002B19B1" w:rsidP="00CC3651">
      <w:pPr>
        <w:pStyle w:val="NormalWeb"/>
        <w:spacing w:before="0" w:beforeAutospacing="0" w:after="0" w:afterAutospacing="0"/>
        <w:jc w:val="both"/>
        <w:rPr>
          <w:rFonts w:asciiTheme="minorHAnsi" w:hAnsiTheme="minorHAnsi" w:cstheme="minorHAnsi"/>
        </w:rPr>
      </w:pPr>
      <w:r w:rsidRPr="00C86111">
        <w:rPr>
          <w:rFonts w:asciiTheme="minorHAnsi" w:hAnsiTheme="minorHAnsi" w:cstheme="minorHAnsi"/>
        </w:rPr>
        <w:t>Suprotno tome, izvoz Crne Gore, iako bilježi određene oscilacije, ostaje neuporedivo nižeg obima u odnosu na uvoz. Ukupan izvoz je u posmatranom periodu rastao od 366 miliona EUR u 2020. godini do 674 miliona EUR u 2023. godini, ali i dalje je u značajnom disproporcionalnom odnosu prema uvozu, što potvrđuje postojanje hroničnog trgovinskog deficita. Izvoz je koncentrisan u relativno mali broj proizvodnih grupa, među kojima dominantnu ulogu imaju mineralni proizvodi, bazni metali, prehrambeni proizvodi i, u pojedinim godinama, proizvodi iz segmenta dragocjenih metala. Istovremeno, izvoz pokazuje značajne godišnje oscilacije, osobito u kategorijama metala i električne energije, što ukazuje na ranjivost izvoznog sektora usljed zavisnosti od međunarodnih tržišnih kretanja i proizvodnih mogućnosti pojedinih sektora, kao i na ograničenu diverzifikaciju crnogorske izvozne strukture.</w:t>
      </w:r>
    </w:p>
    <w:p w14:paraId="5B00218C" w14:textId="77777777" w:rsidR="002B19B1" w:rsidRPr="00C86111" w:rsidRDefault="002B19B1" w:rsidP="00CC3651">
      <w:pPr>
        <w:pStyle w:val="NormalWeb"/>
        <w:spacing w:before="0" w:beforeAutospacing="0" w:after="0" w:afterAutospacing="0"/>
        <w:jc w:val="both"/>
        <w:rPr>
          <w:rFonts w:asciiTheme="minorHAnsi" w:hAnsiTheme="minorHAnsi" w:cstheme="minorHAnsi"/>
        </w:rPr>
      </w:pPr>
      <w:r w:rsidRPr="00C86111">
        <w:rPr>
          <w:rFonts w:asciiTheme="minorHAnsi" w:hAnsiTheme="minorHAnsi" w:cstheme="minorHAnsi"/>
        </w:rPr>
        <w:t>Godina 2022. posebno se ističe kao period u kojem je izvoz dostigao rekordnu vrijednost od 700 miliona EUR, ponajviše zahvaljujući visokim cijenama energenata i povećanom obimu izvoza električne energije. Međutim, već 2023. godine vidljiv je pad u pojedinim ključnim kategorijama, što potvrđuje da izvoz u velikoj mjeri zavisi od spoljašnjih faktora i nije rezultat stabilne, održive domaće proizvodnje.</w:t>
      </w:r>
    </w:p>
    <w:p w14:paraId="2F13CD43" w14:textId="77777777" w:rsidR="002B19B1" w:rsidRPr="00C86111" w:rsidRDefault="002B19B1" w:rsidP="00CC3651">
      <w:pPr>
        <w:pStyle w:val="NormalWeb"/>
        <w:spacing w:before="0" w:beforeAutospacing="0" w:after="0" w:afterAutospacing="0"/>
        <w:jc w:val="both"/>
        <w:rPr>
          <w:rFonts w:asciiTheme="minorHAnsi" w:hAnsiTheme="minorHAnsi" w:cstheme="minorHAnsi"/>
        </w:rPr>
      </w:pPr>
      <w:r w:rsidRPr="00C86111">
        <w:rPr>
          <w:rFonts w:asciiTheme="minorHAnsi" w:hAnsiTheme="minorHAnsi" w:cstheme="minorHAnsi"/>
        </w:rPr>
        <w:t>Kada se sagleda ukupna dinamika posmatranog perioda, jasno je da Crna Gora ostaje izrazito uvozno orijentisana ekonomija, sa uvozom koji višestruko nadmašuje izvoz, i sa strukturom uvoza čvrsto vezanom za osnovne životne namirnice, energiju, industrijsku opremu i hemijske proizvode. Istovremeno, izvoz je ograničen na nekoliko sektora koji su osjetljivi na međunarodne cikluse i čije se vrijednosti značajno mijenjaju iz godine u godinu. Ovakva situacija potvrđuje potrebu za dugoročnim jačanjem domaće proizvodnje, unapređenjem tehnoloških kapaciteta, podsticanjem investicija u prerađivačke i izvozne grane, te smanjenjem zavisnosti od uvoza u ključnim strateškim sektorima. Istovremeno, nužno je raditi na proširivanju asortimana izvoznih proizvoda i unapređenju konkurentnosti domaćih proizvođača, kako bi se ublažile postojeće strukturne disproporcije u spoljnotrgovinskoj bilanci.</w:t>
      </w:r>
    </w:p>
    <w:p w14:paraId="25B65863" w14:textId="48D513CF" w:rsidR="002B19B1" w:rsidRDefault="002B19B1" w:rsidP="002B19B1">
      <w:pPr>
        <w:pStyle w:val="NormalWeb"/>
        <w:jc w:val="both"/>
        <w:rPr>
          <w:rFonts w:asciiTheme="minorHAnsi" w:hAnsiTheme="minorHAnsi" w:cstheme="minorHAnsi"/>
        </w:rPr>
      </w:pPr>
      <w:r w:rsidRPr="00C86111">
        <w:rPr>
          <w:rFonts w:asciiTheme="minorHAnsi" w:hAnsiTheme="minorHAnsi" w:cstheme="minorHAnsi"/>
        </w:rPr>
        <w:t xml:space="preserve">U tabeli </w:t>
      </w:r>
      <w:r w:rsidR="00A12257" w:rsidRPr="00C86111">
        <w:rPr>
          <w:rFonts w:asciiTheme="minorHAnsi" w:hAnsiTheme="minorHAnsi" w:cstheme="minorHAnsi"/>
        </w:rPr>
        <w:t>4</w:t>
      </w:r>
      <w:r w:rsidRPr="00C86111">
        <w:rPr>
          <w:rFonts w:asciiTheme="minorHAnsi" w:hAnsiTheme="minorHAnsi" w:cstheme="minorHAnsi"/>
        </w:rPr>
        <w:t xml:space="preserve"> dat je prikaz pregleda spoljnotrgovinske robne razmjene Crne Gore prema odsjecima Kombinovane nomenklature (KN), izražen u hiljadama eura. Podaci obuhvataju uvoz i izvoz po pojedinačnim produktnim grupama, što omogućava detaljno sagledavanje strukture robne razmjene, identifikaciju sektora sa najvećim učešćem, kao i praćenje ključnih trendova u kretanju trgovine u posmatranom periodu.</w:t>
      </w:r>
    </w:p>
    <w:p w14:paraId="0BA82D4A" w14:textId="77777777" w:rsidR="00F562F0" w:rsidRPr="00C86111" w:rsidRDefault="00F562F0" w:rsidP="002B19B1">
      <w:pPr>
        <w:pStyle w:val="NormalWeb"/>
        <w:jc w:val="both"/>
        <w:rPr>
          <w:rFonts w:asciiTheme="minorHAnsi" w:hAnsiTheme="minorHAnsi" w:cstheme="minorHAnsi"/>
        </w:rPr>
      </w:pPr>
    </w:p>
    <w:p w14:paraId="5F6987A8" w14:textId="2A092CAF" w:rsidR="002B19B1" w:rsidRDefault="002B19B1" w:rsidP="006E5F06">
      <w:pPr>
        <w:pStyle w:val="NormalWeb"/>
        <w:spacing w:before="0" w:beforeAutospacing="0" w:after="0" w:afterAutospacing="0"/>
        <w:rPr>
          <w:rFonts w:asciiTheme="minorHAnsi" w:hAnsiTheme="minorHAnsi" w:cstheme="minorHAnsi"/>
        </w:rPr>
      </w:pPr>
      <w:r w:rsidRPr="00C86111">
        <w:rPr>
          <w:rFonts w:asciiTheme="minorHAnsi" w:hAnsiTheme="minorHAnsi" w:cstheme="minorHAnsi"/>
          <w:b/>
          <w:bCs/>
        </w:rPr>
        <w:lastRenderedPageBreak/>
        <w:t xml:space="preserve">Tabela </w:t>
      </w:r>
      <w:r w:rsidR="00A12257" w:rsidRPr="00C86111">
        <w:rPr>
          <w:rFonts w:asciiTheme="minorHAnsi" w:hAnsiTheme="minorHAnsi" w:cstheme="minorHAnsi"/>
          <w:b/>
          <w:bCs/>
        </w:rPr>
        <w:t>4</w:t>
      </w:r>
      <w:r w:rsidRPr="00C86111">
        <w:rPr>
          <w:rFonts w:asciiTheme="minorHAnsi" w:hAnsiTheme="minorHAnsi" w:cstheme="minorHAnsi"/>
          <w:b/>
          <w:bCs/>
        </w:rPr>
        <w:t>.</w:t>
      </w:r>
      <w:r w:rsidRPr="00C86111">
        <w:rPr>
          <w:rFonts w:asciiTheme="minorHAnsi" w:hAnsiTheme="minorHAnsi" w:cstheme="minorHAnsi"/>
        </w:rPr>
        <w:t xml:space="preserve"> Spoljnotrgovinska robna razmjena Crne Gore prema odsjeku Kombinovane nomenklature - KN, u hilj. EUR </w:t>
      </w:r>
    </w:p>
    <w:tbl>
      <w:tblPr>
        <w:tblStyle w:val="GridTable5Dark-Accent6"/>
        <w:tblW w:w="0" w:type="auto"/>
        <w:tblLook w:val="04A0" w:firstRow="1" w:lastRow="0" w:firstColumn="1" w:lastColumn="0" w:noHBand="0" w:noVBand="1"/>
      </w:tblPr>
      <w:tblGrid>
        <w:gridCol w:w="1607"/>
        <w:gridCol w:w="1030"/>
        <w:gridCol w:w="1031"/>
        <w:gridCol w:w="1031"/>
        <w:gridCol w:w="1031"/>
        <w:gridCol w:w="905"/>
        <w:gridCol w:w="905"/>
        <w:gridCol w:w="905"/>
        <w:gridCol w:w="905"/>
      </w:tblGrid>
      <w:tr w:rsidR="002330D2" w:rsidRPr="00C86111" w14:paraId="270048E2" w14:textId="77777777" w:rsidTr="00A12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vMerge w:val="restart"/>
          </w:tcPr>
          <w:p w14:paraId="7AE21C7C" w14:textId="0DBB2541" w:rsidR="002330D2" w:rsidRPr="00C86111" w:rsidRDefault="002330D2" w:rsidP="002330D2">
            <w:pPr>
              <w:pStyle w:val="NormalWeb"/>
              <w:spacing w:after="0" w:afterAutospacing="0"/>
              <w:jc w:val="center"/>
              <w:rPr>
                <w:rFonts w:asciiTheme="minorHAnsi" w:hAnsiTheme="minorHAnsi" w:cstheme="minorHAnsi"/>
                <w:sz w:val="20"/>
                <w:szCs w:val="20"/>
              </w:rPr>
            </w:pPr>
            <w:r w:rsidRPr="00C86111">
              <w:rPr>
                <w:rFonts w:asciiTheme="minorHAnsi" w:hAnsiTheme="minorHAnsi" w:cstheme="minorHAnsi"/>
                <w:sz w:val="20"/>
                <w:szCs w:val="20"/>
              </w:rPr>
              <w:t>Kombinovana nomenklatura</w:t>
            </w:r>
          </w:p>
        </w:tc>
        <w:tc>
          <w:tcPr>
            <w:tcW w:w="4123" w:type="dxa"/>
            <w:gridSpan w:val="4"/>
          </w:tcPr>
          <w:p w14:paraId="1B87B162" w14:textId="7C6E76A7" w:rsidR="002330D2" w:rsidRPr="00C86111" w:rsidRDefault="002330D2" w:rsidP="002330D2">
            <w:pPr>
              <w:pStyle w:val="NormalWeb"/>
              <w:spacing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GB"/>
              </w:rPr>
            </w:pPr>
            <w:r w:rsidRPr="00C86111">
              <w:rPr>
                <w:rFonts w:asciiTheme="minorHAnsi" w:hAnsiTheme="minorHAnsi" w:cstheme="minorHAnsi"/>
                <w:sz w:val="20"/>
                <w:szCs w:val="20"/>
                <w:lang w:eastAsia="en-GB"/>
              </w:rPr>
              <w:t>Uvoz</w:t>
            </w:r>
          </w:p>
        </w:tc>
        <w:tc>
          <w:tcPr>
            <w:tcW w:w="3620" w:type="dxa"/>
            <w:gridSpan w:val="4"/>
          </w:tcPr>
          <w:p w14:paraId="5B88B7CE" w14:textId="2379FA1D" w:rsidR="002330D2" w:rsidRPr="00C86111" w:rsidRDefault="002330D2" w:rsidP="002330D2">
            <w:pPr>
              <w:pStyle w:val="NormalWeb"/>
              <w:spacing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GB"/>
              </w:rPr>
            </w:pPr>
            <w:r w:rsidRPr="00C86111">
              <w:rPr>
                <w:rFonts w:asciiTheme="minorHAnsi" w:hAnsiTheme="minorHAnsi" w:cstheme="minorHAnsi"/>
                <w:sz w:val="20"/>
                <w:szCs w:val="20"/>
                <w:lang w:eastAsia="en-GB"/>
              </w:rPr>
              <w:t>Izvoz</w:t>
            </w:r>
          </w:p>
        </w:tc>
      </w:tr>
      <w:tr w:rsidR="002330D2" w:rsidRPr="00C86111" w14:paraId="6798C105"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vMerge/>
          </w:tcPr>
          <w:p w14:paraId="29B1364F" w14:textId="77777777" w:rsidR="002330D2" w:rsidRPr="00C86111" w:rsidRDefault="002330D2" w:rsidP="002330D2">
            <w:pPr>
              <w:pStyle w:val="NormalWeb"/>
              <w:spacing w:after="0" w:afterAutospacing="0"/>
              <w:jc w:val="center"/>
              <w:rPr>
                <w:rFonts w:asciiTheme="minorHAnsi" w:hAnsiTheme="minorHAnsi" w:cstheme="minorHAnsi"/>
                <w:sz w:val="20"/>
                <w:szCs w:val="20"/>
              </w:rPr>
            </w:pPr>
          </w:p>
        </w:tc>
        <w:tc>
          <w:tcPr>
            <w:tcW w:w="1030" w:type="dxa"/>
          </w:tcPr>
          <w:p w14:paraId="0E7D3212" w14:textId="00743E88"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 - Dec 2020</w:t>
            </w:r>
          </w:p>
        </w:tc>
        <w:tc>
          <w:tcPr>
            <w:tcW w:w="1031" w:type="dxa"/>
          </w:tcPr>
          <w:p w14:paraId="73F686F2" w14:textId="068F9AD0"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 - Dec  2021</w:t>
            </w:r>
          </w:p>
        </w:tc>
        <w:tc>
          <w:tcPr>
            <w:tcW w:w="1031" w:type="dxa"/>
          </w:tcPr>
          <w:p w14:paraId="53A3EAC6" w14:textId="4E32C1E7"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Jan-Dec 2022</w:t>
            </w:r>
          </w:p>
        </w:tc>
        <w:tc>
          <w:tcPr>
            <w:tcW w:w="1031" w:type="dxa"/>
          </w:tcPr>
          <w:p w14:paraId="52728751" w14:textId="0C45A3EE"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Jan-Dec 2023</w:t>
            </w:r>
          </w:p>
        </w:tc>
        <w:tc>
          <w:tcPr>
            <w:tcW w:w="905" w:type="dxa"/>
          </w:tcPr>
          <w:p w14:paraId="0EBE2304" w14:textId="66AE8FFD"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 - Dec 2020</w:t>
            </w:r>
          </w:p>
        </w:tc>
        <w:tc>
          <w:tcPr>
            <w:tcW w:w="905" w:type="dxa"/>
          </w:tcPr>
          <w:p w14:paraId="2F521C35" w14:textId="51D6D565"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 - Dec  2021</w:t>
            </w:r>
          </w:p>
        </w:tc>
        <w:tc>
          <w:tcPr>
            <w:tcW w:w="905" w:type="dxa"/>
          </w:tcPr>
          <w:p w14:paraId="7C10E93A" w14:textId="39C56087"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Jan-Dec 2022</w:t>
            </w:r>
          </w:p>
        </w:tc>
        <w:tc>
          <w:tcPr>
            <w:tcW w:w="905" w:type="dxa"/>
          </w:tcPr>
          <w:p w14:paraId="2FD05D51" w14:textId="6414F6E7" w:rsidR="002330D2" w:rsidRPr="00C86111" w:rsidRDefault="002330D2" w:rsidP="002330D2">
            <w:pPr>
              <w:pStyle w:val="NormalWeb"/>
              <w:spacing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Jan-Dec 2023</w:t>
            </w:r>
          </w:p>
        </w:tc>
      </w:tr>
      <w:tr w:rsidR="002330D2" w:rsidRPr="00C86111" w14:paraId="71A48B4C" w14:textId="77777777" w:rsidTr="00A12257">
        <w:tc>
          <w:tcPr>
            <w:cnfStyle w:val="001000000000" w:firstRow="0" w:lastRow="0" w:firstColumn="1" w:lastColumn="0" w:oddVBand="0" w:evenVBand="0" w:oddHBand="0" w:evenHBand="0" w:firstRowFirstColumn="0" w:firstRowLastColumn="0" w:lastRowFirstColumn="0" w:lastRowLastColumn="0"/>
            <w:tcW w:w="1607" w:type="dxa"/>
            <w:vMerge/>
          </w:tcPr>
          <w:p w14:paraId="10D87A50" w14:textId="77777777" w:rsidR="002330D2" w:rsidRPr="00C86111" w:rsidRDefault="002330D2" w:rsidP="002330D2">
            <w:pPr>
              <w:pStyle w:val="NormalWeb"/>
              <w:spacing w:after="0" w:afterAutospacing="0"/>
              <w:jc w:val="center"/>
              <w:rPr>
                <w:rFonts w:asciiTheme="minorHAnsi" w:hAnsiTheme="minorHAnsi" w:cstheme="minorHAnsi"/>
                <w:sz w:val="20"/>
                <w:szCs w:val="20"/>
              </w:rPr>
            </w:pPr>
          </w:p>
        </w:tc>
        <w:tc>
          <w:tcPr>
            <w:tcW w:w="1030" w:type="dxa"/>
          </w:tcPr>
          <w:p w14:paraId="5BD9144B" w14:textId="1350F049"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c>
          <w:tcPr>
            <w:tcW w:w="1031" w:type="dxa"/>
          </w:tcPr>
          <w:p w14:paraId="31EC7B28" w14:textId="231ED75E"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c>
          <w:tcPr>
            <w:tcW w:w="1031" w:type="dxa"/>
          </w:tcPr>
          <w:p w14:paraId="583D7550" w14:textId="7139097C"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c>
          <w:tcPr>
            <w:tcW w:w="1031" w:type="dxa"/>
          </w:tcPr>
          <w:p w14:paraId="48CA585A" w14:textId="342DE02B"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c>
          <w:tcPr>
            <w:tcW w:w="905" w:type="dxa"/>
          </w:tcPr>
          <w:p w14:paraId="15AC49D1" w14:textId="5EFDB0DA"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c>
          <w:tcPr>
            <w:tcW w:w="905" w:type="dxa"/>
          </w:tcPr>
          <w:p w14:paraId="0D989798" w14:textId="4576963A"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c>
          <w:tcPr>
            <w:tcW w:w="905" w:type="dxa"/>
          </w:tcPr>
          <w:p w14:paraId="31FC4C54" w14:textId="716E12A6"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c>
          <w:tcPr>
            <w:tcW w:w="905" w:type="dxa"/>
          </w:tcPr>
          <w:p w14:paraId="37090F81" w14:textId="26CE5382" w:rsidR="002330D2" w:rsidRPr="00C86111" w:rsidRDefault="002330D2" w:rsidP="002330D2">
            <w:pPr>
              <w:pStyle w:val="NormalWeb"/>
              <w:spacing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u hilj. EUR</w:t>
            </w:r>
          </w:p>
        </w:tc>
      </w:tr>
      <w:tr w:rsidR="002B19B1" w:rsidRPr="00C86111" w14:paraId="3314EAF0"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5080CEBB" w14:textId="699BD78E"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Ukupno</w:t>
            </w:r>
          </w:p>
        </w:tc>
        <w:tc>
          <w:tcPr>
            <w:tcW w:w="1030" w:type="dxa"/>
          </w:tcPr>
          <w:p w14:paraId="7887B9F7" w14:textId="1AA93EFA"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2,105,170</w:t>
            </w:r>
          </w:p>
        </w:tc>
        <w:tc>
          <w:tcPr>
            <w:tcW w:w="1031" w:type="dxa"/>
          </w:tcPr>
          <w:p w14:paraId="09F6375D" w14:textId="69E1AEDF"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2,505,115</w:t>
            </w:r>
          </w:p>
        </w:tc>
        <w:tc>
          <w:tcPr>
            <w:tcW w:w="1031" w:type="dxa"/>
          </w:tcPr>
          <w:p w14:paraId="45B69D5D" w14:textId="11FE87BE"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3,533,838</w:t>
            </w:r>
          </w:p>
        </w:tc>
        <w:tc>
          <w:tcPr>
            <w:tcW w:w="1031" w:type="dxa"/>
          </w:tcPr>
          <w:p w14:paraId="09BFC391" w14:textId="6CAA389F"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3,810,125</w:t>
            </w:r>
          </w:p>
        </w:tc>
        <w:tc>
          <w:tcPr>
            <w:tcW w:w="905" w:type="dxa"/>
          </w:tcPr>
          <w:p w14:paraId="1CBE4FCB" w14:textId="594B193B"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366,128</w:t>
            </w:r>
          </w:p>
        </w:tc>
        <w:tc>
          <w:tcPr>
            <w:tcW w:w="905" w:type="dxa"/>
          </w:tcPr>
          <w:p w14:paraId="4C07E87A" w14:textId="3113D4CF"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437,045</w:t>
            </w:r>
          </w:p>
        </w:tc>
        <w:tc>
          <w:tcPr>
            <w:tcW w:w="905" w:type="dxa"/>
          </w:tcPr>
          <w:p w14:paraId="666E5FF8" w14:textId="60D7E403"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700,252</w:t>
            </w:r>
          </w:p>
        </w:tc>
        <w:tc>
          <w:tcPr>
            <w:tcW w:w="905" w:type="dxa"/>
          </w:tcPr>
          <w:p w14:paraId="33648A28" w14:textId="5553269F"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b/>
                <w:bCs/>
                <w:sz w:val="20"/>
                <w:szCs w:val="20"/>
                <w:lang w:eastAsia="en-GB"/>
              </w:rPr>
              <w:t>674,331</w:t>
            </w:r>
          </w:p>
        </w:tc>
      </w:tr>
      <w:tr w:rsidR="002B19B1" w:rsidRPr="00C86111" w14:paraId="1C895D52"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4485BAD3" w14:textId="014607B0"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 xml:space="preserve"> Žive životinje i životinjski  proizvodi</w:t>
            </w:r>
          </w:p>
        </w:tc>
        <w:tc>
          <w:tcPr>
            <w:tcW w:w="1030" w:type="dxa"/>
          </w:tcPr>
          <w:p w14:paraId="595D0EFC" w14:textId="39589FB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140,047</w:t>
            </w:r>
          </w:p>
        </w:tc>
        <w:tc>
          <w:tcPr>
            <w:tcW w:w="1031" w:type="dxa"/>
          </w:tcPr>
          <w:p w14:paraId="6214CDAF" w14:textId="17F4C2E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173,629</w:t>
            </w:r>
          </w:p>
        </w:tc>
        <w:tc>
          <w:tcPr>
            <w:tcW w:w="1031" w:type="dxa"/>
          </w:tcPr>
          <w:p w14:paraId="5323A13E" w14:textId="23E6801F"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243,814</w:t>
            </w:r>
          </w:p>
        </w:tc>
        <w:tc>
          <w:tcPr>
            <w:tcW w:w="1031" w:type="dxa"/>
          </w:tcPr>
          <w:p w14:paraId="18EDAC3B" w14:textId="5CCDFB6E"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292,333</w:t>
            </w:r>
          </w:p>
        </w:tc>
        <w:tc>
          <w:tcPr>
            <w:tcW w:w="905" w:type="dxa"/>
          </w:tcPr>
          <w:p w14:paraId="70F50BB4" w14:textId="65338074"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10,740</w:t>
            </w:r>
          </w:p>
        </w:tc>
        <w:tc>
          <w:tcPr>
            <w:tcW w:w="905" w:type="dxa"/>
          </w:tcPr>
          <w:p w14:paraId="03CEE20B" w14:textId="03D3C5A6"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13,224</w:t>
            </w:r>
          </w:p>
        </w:tc>
        <w:tc>
          <w:tcPr>
            <w:tcW w:w="905" w:type="dxa"/>
          </w:tcPr>
          <w:p w14:paraId="32C277F8" w14:textId="6E522D2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22,275</w:t>
            </w:r>
          </w:p>
        </w:tc>
        <w:tc>
          <w:tcPr>
            <w:tcW w:w="905" w:type="dxa"/>
          </w:tcPr>
          <w:p w14:paraId="698132DE" w14:textId="619BCFD8"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26,254</w:t>
            </w:r>
          </w:p>
        </w:tc>
      </w:tr>
      <w:tr w:rsidR="002B19B1" w:rsidRPr="00C86111" w14:paraId="34482899"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5CCDD121" w14:textId="39B977E1"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Povrće</w:t>
            </w:r>
          </w:p>
        </w:tc>
        <w:tc>
          <w:tcPr>
            <w:tcW w:w="1030" w:type="dxa"/>
          </w:tcPr>
          <w:p w14:paraId="5EDCBD9F" w14:textId="4CC509F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93,676</w:t>
            </w:r>
          </w:p>
        </w:tc>
        <w:tc>
          <w:tcPr>
            <w:tcW w:w="1031" w:type="dxa"/>
          </w:tcPr>
          <w:p w14:paraId="55636669" w14:textId="3E1BDB1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107,157</w:t>
            </w:r>
          </w:p>
        </w:tc>
        <w:tc>
          <w:tcPr>
            <w:tcW w:w="1031" w:type="dxa"/>
          </w:tcPr>
          <w:p w14:paraId="615CA854" w14:textId="4DB0C816"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137,111</w:t>
            </w:r>
          </w:p>
        </w:tc>
        <w:tc>
          <w:tcPr>
            <w:tcW w:w="1031" w:type="dxa"/>
          </w:tcPr>
          <w:p w14:paraId="3AB284B8" w14:textId="11F8DFD1"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149,654</w:t>
            </w:r>
          </w:p>
        </w:tc>
        <w:tc>
          <w:tcPr>
            <w:tcW w:w="905" w:type="dxa"/>
          </w:tcPr>
          <w:p w14:paraId="6D9A5764" w14:textId="13AF1704"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8,585</w:t>
            </w:r>
          </w:p>
        </w:tc>
        <w:tc>
          <w:tcPr>
            <w:tcW w:w="905" w:type="dxa"/>
          </w:tcPr>
          <w:p w14:paraId="55177B48" w14:textId="3F12AFDF"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11,136</w:t>
            </w:r>
          </w:p>
        </w:tc>
        <w:tc>
          <w:tcPr>
            <w:tcW w:w="905" w:type="dxa"/>
          </w:tcPr>
          <w:p w14:paraId="00E15EFD" w14:textId="4AF1D96D"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11,093</w:t>
            </w:r>
          </w:p>
        </w:tc>
        <w:tc>
          <w:tcPr>
            <w:tcW w:w="905" w:type="dxa"/>
          </w:tcPr>
          <w:p w14:paraId="6105BD9D" w14:textId="3B2EF52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9,408</w:t>
            </w:r>
          </w:p>
        </w:tc>
      </w:tr>
      <w:tr w:rsidR="002B19B1" w:rsidRPr="00C86111" w14:paraId="26A3BC08"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4F4A3E7D" w14:textId="0F2F4B8D"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 xml:space="preserve">Životinjske ili biljne masti, ulja i  </w:t>
            </w:r>
            <w:r w:rsidR="002330D2" w:rsidRPr="00C86111">
              <w:rPr>
                <w:rFonts w:asciiTheme="minorHAnsi" w:eastAsia="Times New Roman" w:hAnsiTheme="minorHAnsi" w:cstheme="minorHAnsi"/>
                <w:color w:val="auto"/>
                <w:sz w:val="20"/>
                <w:szCs w:val="20"/>
                <w:lang w:eastAsia="en-GB"/>
              </w:rPr>
              <w:t>v</w:t>
            </w:r>
            <w:r w:rsidRPr="00C86111">
              <w:rPr>
                <w:rFonts w:asciiTheme="minorHAnsi" w:eastAsia="Times New Roman" w:hAnsiTheme="minorHAnsi" w:cstheme="minorHAnsi"/>
                <w:color w:val="auto"/>
                <w:sz w:val="20"/>
                <w:szCs w:val="20"/>
                <w:lang w:eastAsia="en-GB"/>
              </w:rPr>
              <w:t>oskovi</w:t>
            </w:r>
          </w:p>
        </w:tc>
        <w:tc>
          <w:tcPr>
            <w:tcW w:w="1030" w:type="dxa"/>
          </w:tcPr>
          <w:p w14:paraId="6E4C1122" w14:textId="010FE86D"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13,873</w:t>
            </w:r>
          </w:p>
        </w:tc>
        <w:tc>
          <w:tcPr>
            <w:tcW w:w="1031" w:type="dxa"/>
          </w:tcPr>
          <w:p w14:paraId="773A2961" w14:textId="5A545ED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21,348</w:t>
            </w:r>
          </w:p>
        </w:tc>
        <w:tc>
          <w:tcPr>
            <w:tcW w:w="1031" w:type="dxa"/>
          </w:tcPr>
          <w:p w14:paraId="0D525AF6" w14:textId="71C7FFC7"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32,195</w:t>
            </w:r>
          </w:p>
        </w:tc>
        <w:tc>
          <w:tcPr>
            <w:tcW w:w="1031" w:type="dxa"/>
          </w:tcPr>
          <w:p w14:paraId="2B78586D" w14:textId="20AC6324"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20,719</w:t>
            </w:r>
          </w:p>
        </w:tc>
        <w:tc>
          <w:tcPr>
            <w:tcW w:w="905" w:type="dxa"/>
          </w:tcPr>
          <w:p w14:paraId="42E504E5" w14:textId="10641AA5"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192</w:t>
            </w:r>
          </w:p>
        </w:tc>
        <w:tc>
          <w:tcPr>
            <w:tcW w:w="905" w:type="dxa"/>
          </w:tcPr>
          <w:p w14:paraId="66F9A0FA" w14:textId="6B5EF91D"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277</w:t>
            </w:r>
          </w:p>
        </w:tc>
        <w:tc>
          <w:tcPr>
            <w:tcW w:w="905" w:type="dxa"/>
          </w:tcPr>
          <w:p w14:paraId="11A18438" w14:textId="3587D12F"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640</w:t>
            </w:r>
          </w:p>
        </w:tc>
        <w:tc>
          <w:tcPr>
            <w:tcW w:w="905" w:type="dxa"/>
          </w:tcPr>
          <w:p w14:paraId="7C5A134F" w14:textId="3670D775"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883</w:t>
            </w:r>
          </w:p>
        </w:tc>
      </w:tr>
      <w:tr w:rsidR="002B19B1" w:rsidRPr="00C86111" w14:paraId="0D6AC596"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72713BF8" w14:textId="5F7F7242"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Pripremljena hrana, pića, duvan</w:t>
            </w:r>
          </w:p>
        </w:tc>
        <w:tc>
          <w:tcPr>
            <w:tcW w:w="1030" w:type="dxa"/>
          </w:tcPr>
          <w:p w14:paraId="7D169AB7" w14:textId="6F53BB8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230,975</w:t>
            </w:r>
          </w:p>
        </w:tc>
        <w:tc>
          <w:tcPr>
            <w:tcW w:w="1031" w:type="dxa"/>
          </w:tcPr>
          <w:p w14:paraId="673A67F9" w14:textId="7A4D542C"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298,466</w:t>
            </w:r>
          </w:p>
        </w:tc>
        <w:tc>
          <w:tcPr>
            <w:tcW w:w="1031" w:type="dxa"/>
          </w:tcPr>
          <w:p w14:paraId="46B3A149" w14:textId="03A3163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385,501</w:t>
            </w:r>
          </w:p>
        </w:tc>
        <w:tc>
          <w:tcPr>
            <w:tcW w:w="1031" w:type="dxa"/>
          </w:tcPr>
          <w:p w14:paraId="743F4196" w14:textId="22973988"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471,640</w:t>
            </w:r>
          </w:p>
        </w:tc>
        <w:tc>
          <w:tcPr>
            <w:tcW w:w="905" w:type="dxa"/>
          </w:tcPr>
          <w:p w14:paraId="39C4100D" w14:textId="1E86E72E"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29,626</w:t>
            </w:r>
          </w:p>
        </w:tc>
        <w:tc>
          <w:tcPr>
            <w:tcW w:w="905" w:type="dxa"/>
          </w:tcPr>
          <w:p w14:paraId="31A8A69A" w14:textId="385FA23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34,999</w:t>
            </w:r>
          </w:p>
        </w:tc>
        <w:tc>
          <w:tcPr>
            <w:tcW w:w="905" w:type="dxa"/>
          </w:tcPr>
          <w:p w14:paraId="2E0C40A8" w14:textId="47DEA491"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29,199</w:t>
            </w:r>
          </w:p>
        </w:tc>
        <w:tc>
          <w:tcPr>
            <w:tcW w:w="905" w:type="dxa"/>
          </w:tcPr>
          <w:p w14:paraId="27193749" w14:textId="435C3C4C"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55,249</w:t>
            </w:r>
          </w:p>
        </w:tc>
      </w:tr>
      <w:tr w:rsidR="002B19B1" w:rsidRPr="00C86111" w14:paraId="1EFE9CAB"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542ACBB4" w14:textId="522AD791"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Mineralni proizvodi</w:t>
            </w:r>
          </w:p>
        </w:tc>
        <w:tc>
          <w:tcPr>
            <w:tcW w:w="1030" w:type="dxa"/>
          </w:tcPr>
          <w:p w14:paraId="08D5ABC9" w14:textId="4A3303A6"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205,676</w:t>
            </w:r>
          </w:p>
        </w:tc>
        <w:tc>
          <w:tcPr>
            <w:tcW w:w="1031" w:type="dxa"/>
          </w:tcPr>
          <w:p w14:paraId="082BE702" w14:textId="221FDBB6"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320,057</w:t>
            </w:r>
          </w:p>
        </w:tc>
        <w:tc>
          <w:tcPr>
            <w:tcW w:w="1031" w:type="dxa"/>
          </w:tcPr>
          <w:p w14:paraId="1749F8EB" w14:textId="3B3C97E1"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659,707</w:t>
            </w:r>
          </w:p>
        </w:tc>
        <w:tc>
          <w:tcPr>
            <w:tcW w:w="1031" w:type="dxa"/>
          </w:tcPr>
          <w:p w14:paraId="0BDF03E6" w14:textId="1E9B6683"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450,708</w:t>
            </w:r>
          </w:p>
        </w:tc>
        <w:tc>
          <w:tcPr>
            <w:tcW w:w="905" w:type="dxa"/>
          </w:tcPr>
          <w:p w14:paraId="05A54EB2" w14:textId="4AB865EA"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94,341</w:t>
            </w:r>
          </w:p>
        </w:tc>
        <w:tc>
          <w:tcPr>
            <w:tcW w:w="905" w:type="dxa"/>
          </w:tcPr>
          <w:p w14:paraId="31C8C8B9" w14:textId="1F2A8FF0"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106,611</w:t>
            </w:r>
          </w:p>
        </w:tc>
        <w:tc>
          <w:tcPr>
            <w:tcW w:w="905" w:type="dxa"/>
          </w:tcPr>
          <w:p w14:paraId="7EC934AC" w14:textId="3EE09A11"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236,582</w:t>
            </w:r>
          </w:p>
        </w:tc>
        <w:tc>
          <w:tcPr>
            <w:tcW w:w="905" w:type="dxa"/>
          </w:tcPr>
          <w:p w14:paraId="07F6B807" w14:textId="49835AA3"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270,050</w:t>
            </w:r>
          </w:p>
        </w:tc>
      </w:tr>
      <w:tr w:rsidR="002B19B1" w:rsidRPr="00C86111" w14:paraId="11C6D224"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28CD0179" w14:textId="3BBC1BC2"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Proizvodi hemijske ili srodne  industrije</w:t>
            </w:r>
          </w:p>
        </w:tc>
        <w:tc>
          <w:tcPr>
            <w:tcW w:w="1030" w:type="dxa"/>
          </w:tcPr>
          <w:p w14:paraId="5BBE3F05" w14:textId="113C0AC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259,274</w:t>
            </w:r>
          </w:p>
        </w:tc>
        <w:tc>
          <w:tcPr>
            <w:tcW w:w="1031" w:type="dxa"/>
          </w:tcPr>
          <w:p w14:paraId="2C848845" w14:textId="477637E1"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315,204</w:t>
            </w:r>
          </w:p>
        </w:tc>
        <w:tc>
          <w:tcPr>
            <w:tcW w:w="1031" w:type="dxa"/>
          </w:tcPr>
          <w:p w14:paraId="736C96A8" w14:textId="1D4A8670"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303,929</w:t>
            </w:r>
          </w:p>
        </w:tc>
        <w:tc>
          <w:tcPr>
            <w:tcW w:w="1031" w:type="dxa"/>
          </w:tcPr>
          <w:p w14:paraId="27DC91D6" w14:textId="4F14260B"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371,259</w:t>
            </w:r>
          </w:p>
        </w:tc>
        <w:tc>
          <w:tcPr>
            <w:tcW w:w="905" w:type="dxa"/>
          </w:tcPr>
          <w:p w14:paraId="53D37A4F" w14:textId="5304460B"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29,018</w:t>
            </w:r>
          </w:p>
        </w:tc>
        <w:tc>
          <w:tcPr>
            <w:tcW w:w="905" w:type="dxa"/>
          </w:tcPr>
          <w:p w14:paraId="7308120C" w14:textId="65FFE9DD"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28,504</w:t>
            </w:r>
          </w:p>
        </w:tc>
        <w:tc>
          <w:tcPr>
            <w:tcW w:w="905" w:type="dxa"/>
          </w:tcPr>
          <w:p w14:paraId="17A93F09" w14:textId="25BBA34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40,321</w:t>
            </w:r>
          </w:p>
        </w:tc>
        <w:tc>
          <w:tcPr>
            <w:tcW w:w="905" w:type="dxa"/>
          </w:tcPr>
          <w:p w14:paraId="52E40CAB" w14:textId="2A735BB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51,502</w:t>
            </w:r>
          </w:p>
        </w:tc>
      </w:tr>
      <w:tr w:rsidR="002B19B1" w:rsidRPr="00C86111" w14:paraId="791ED36B"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137876A3" w14:textId="5A98162D"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Plastika, guma i proizvodi od  gume</w:t>
            </w:r>
          </w:p>
        </w:tc>
        <w:tc>
          <w:tcPr>
            <w:tcW w:w="1030" w:type="dxa"/>
          </w:tcPr>
          <w:p w14:paraId="0F6C109A" w14:textId="3E3C7215"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89,398</w:t>
            </w:r>
          </w:p>
        </w:tc>
        <w:tc>
          <w:tcPr>
            <w:tcW w:w="1031" w:type="dxa"/>
          </w:tcPr>
          <w:p w14:paraId="3FC59F10" w14:textId="2FF159F6"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103,712</w:t>
            </w:r>
          </w:p>
        </w:tc>
        <w:tc>
          <w:tcPr>
            <w:tcW w:w="1031" w:type="dxa"/>
          </w:tcPr>
          <w:p w14:paraId="1B740EB8" w14:textId="5914ED09"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123,201</w:t>
            </w:r>
          </w:p>
        </w:tc>
        <w:tc>
          <w:tcPr>
            <w:tcW w:w="1031" w:type="dxa"/>
          </w:tcPr>
          <w:p w14:paraId="4E655D85" w14:textId="12D654BA"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137,030</w:t>
            </w:r>
          </w:p>
        </w:tc>
        <w:tc>
          <w:tcPr>
            <w:tcW w:w="905" w:type="dxa"/>
          </w:tcPr>
          <w:p w14:paraId="21C18565" w14:textId="437D30F9"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3,671</w:t>
            </w:r>
          </w:p>
        </w:tc>
        <w:tc>
          <w:tcPr>
            <w:tcW w:w="905" w:type="dxa"/>
          </w:tcPr>
          <w:p w14:paraId="18273183" w14:textId="34CC8C49"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3,659</w:t>
            </w:r>
          </w:p>
        </w:tc>
        <w:tc>
          <w:tcPr>
            <w:tcW w:w="905" w:type="dxa"/>
          </w:tcPr>
          <w:p w14:paraId="32A31C72" w14:textId="262E9F78"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5,461</w:t>
            </w:r>
          </w:p>
        </w:tc>
        <w:tc>
          <w:tcPr>
            <w:tcW w:w="905" w:type="dxa"/>
          </w:tcPr>
          <w:p w14:paraId="3687218C" w14:textId="65A874FD"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5,203</w:t>
            </w:r>
          </w:p>
        </w:tc>
      </w:tr>
      <w:tr w:rsidR="002B19B1" w:rsidRPr="00C86111" w14:paraId="60961B31"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2EA1AEBA" w14:textId="1D906558"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Sirove kože, koža i krzno</w:t>
            </w:r>
          </w:p>
        </w:tc>
        <w:tc>
          <w:tcPr>
            <w:tcW w:w="1030" w:type="dxa"/>
          </w:tcPr>
          <w:p w14:paraId="0BB8DCFB" w14:textId="457588BE"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7,552</w:t>
            </w:r>
          </w:p>
        </w:tc>
        <w:tc>
          <w:tcPr>
            <w:tcW w:w="1031" w:type="dxa"/>
          </w:tcPr>
          <w:p w14:paraId="4E0240A1" w14:textId="490BBDDC"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9,015</w:t>
            </w:r>
          </w:p>
        </w:tc>
        <w:tc>
          <w:tcPr>
            <w:tcW w:w="1031" w:type="dxa"/>
          </w:tcPr>
          <w:p w14:paraId="47764A36" w14:textId="627F7CC8"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12,738</w:t>
            </w:r>
          </w:p>
        </w:tc>
        <w:tc>
          <w:tcPr>
            <w:tcW w:w="1031" w:type="dxa"/>
          </w:tcPr>
          <w:p w14:paraId="2009DEC6" w14:textId="4FE2F90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21,636</w:t>
            </w:r>
          </w:p>
        </w:tc>
        <w:tc>
          <w:tcPr>
            <w:tcW w:w="905" w:type="dxa"/>
          </w:tcPr>
          <w:p w14:paraId="35B40DA6" w14:textId="5178120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1,899</w:t>
            </w:r>
          </w:p>
        </w:tc>
        <w:tc>
          <w:tcPr>
            <w:tcW w:w="905" w:type="dxa"/>
          </w:tcPr>
          <w:p w14:paraId="577C6A3A" w14:textId="06586EE3"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2,889</w:t>
            </w:r>
          </w:p>
        </w:tc>
        <w:tc>
          <w:tcPr>
            <w:tcW w:w="905" w:type="dxa"/>
          </w:tcPr>
          <w:p w14:paraId="5B041380" w14:textId="09A2B3DD"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3,351</w:t>
            </w:r>
          </w:p>
        </w:tc>
        <w:tc>
          <w:tcPr>
            <w:tcW w:w="905" w:type="dxa"/>
          </w:tcPr>
          <w:p w14:paraId="466D0CF0" w14:textId="41DADE0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2,347</w:t>
            </w:r>
          </w:p>
        </w:tc>
      </w:tr>
      <w:tr w:rsidR="002B19B1" w:rsidRPr="00C86111" w14:paraId="2E40DAFC"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799E15FE" w14:textId="613652A0"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 xml:space="preserve"> Drvo, proizvodi od drveta, korpe, drveni ugalj, pluta</w:t>
            </w:r>
          </w:p>
        </w:tc>
        <w:tc>
          <w:tcPr>
            <w:tcW w:w="1030" w:type="dxa"/>
          </w:tcPr>
          <w:p w14:paraId="40BEA064" w14:textId="4C62BD9A"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31,901</w:t>
            </w:r>
          </w:p>
        </w:tc>
        <w:tc>
          <w:tcPr>
            <w:tcW w:w="1031" w:type="dxa"/>
          </w:tcPr>
          <w:p w14:paraId="6C1C048D" w14:textId="03109EB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33,999</w:t>
            </w:r>
          </w:p>
        </w:tc>
        <w:tc>
          <w:tcPr>
            <w:tcW w:w="1031" w:type="dxa"/>
          </w:tcPr>
          <w:p w14:paraId="09E78877" w14:textId="2FA620F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42,679</w:t>
            </w:r>
          </w:p>
        </w:tc>
        <w:tc>
          <w:tcPr>
            <w:tcW w:w="1031" w:type="dxa"/>
          </w:tcPr>
          <w:p w14:paraId="126AFECC" w14:textId="134C2E1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55,815</w:t>
            </w:r>
          </w:p>
        </w:tc>
        <w:tc>
          <w:tcPr>
            <w:tcW w:w="905" w:type="dxa"/>
          </w:tcPr>
          <w:p w14:paraId="2DBD891D" w14:textId="6C918205"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31,602</w:t>
            </w:r>
          </w:p>
        </w:tc>
        <w:tc>
          <w:tcPr>
            <w:tcW w:w="905" w:type="dxa"/>
          </w:tcPr>
          <w:p w14:paraId="5B41EF6E" w14:textId="2535ED35"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37,542</w:t>
            </w:r>
          </w:p>
        </w:tc>
        <w:tc>
          <w:tcPr>
            <w:tcW w:w="905" w:type="dxa"/>
          </w:tcPr>
          <w:p w14:paraId="0B8B3D42" w14:textId="20D9D99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48,141</w:t>
            </w:r>
          </w:p>
        </w:tc>
        <w:tc>
          <w:tcPr>
            <w:tcW w:w="905" w:type="dxa"/>
          </w:tcPr>
          <w:p w14:paraId="77B9CED6" w14:textId="607DD07F"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49,707</w:t>
            </w:r>
          </w:p>
        </w:tc>
      </w:tr>
      <w:tr w:rsidR="002B19B1" w:rsidRPr="00C86111" w14:paraId="712195FB"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091DB71D" w14:textId="021BEE83"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Materijali i proizvodi papirne</w:t>
            </w:r>
            <w:r w:rsidR="002330D2" w:rsidRPr="00C86111">
              <w:rPr>
                <w:rFonts w:asciiTheme="minorHAnsi" w:eastAsia="Times New Roman" w:hAnsiTheme="minorHAnsi" w:cstheme="minorHAnsi"/>
                <w:color w:val="auto"/>
                <w:sz w:val="20"/>
                <w:szCs w:val="20"/>
                <w:lang w:eastAsia="en-GB"/>
              </w:rPr>
              <w:t xml:space="preserve"> </w:t>
            </w:r>
            <w:r w:rsidRPr="00C86111">
              <w:rPr>
                <w:rFonts w:asciiTheme="minorHAnsi" w:eastAsia="Times New Roman" w:hAnsiTheme="minorHAnsi" w:cstheme="minorHAnsi"/>
                <w:color w:val="auto"/>
                <w:sz w:val="20"/>
                <w:szCs w:val="20"/>
                <w:lang w:eastAsia="en-GB"/>
              </w:rPr>
              <w:t xml:space="preserve">  industrije</w:t>
            </w:r>
          </w:p>
        </w:tc>
        <w:tc>
          <w:tcPr>
            <w:tcW w:w="1030" w:type="dxa"/>
          </w:tcPr>
          <w:p w14:paraId="5406848A" w14:textId="4C0766A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34,927</w:t>
            </w:r>
          </w:p>
        </w:tc>
        <w:tc>
          <w:tcPr>
            <w:tcW w:w="1031" w:type="dxa"/>
          </w:tcPr>
          <w:p w14:paraId="19177408" w14:textId="52F9285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39,981</w:t>
            </w:r>
          </w:p>
        </w:tc>
        <w:tc>
          <w:tcPr>
            <w:tcW w:w="1031" w:type="dxa"/>
          </w:tcPr>
          <w:p w14:paraId="33CB1ED7" w14:textId="3B8CB8F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56,012</w:t>
            </w:r>
          </w:p>
        </w:tc>
        <w:tc>
          <w:tcPr>
            <w:tcW w:w="1031" w:type="dxa"/>
          </w:tcPr>
          <w:p w14:paraId="126ADFF8" w14:textId="20A0BA24"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63,005</w:t>
            </w:r>
          </w:p>
        </w:tc>
        <w:tc>
          <w:tcPr>
            <w:tcW w:w="905" w:type="dxa"/>
          </w:tcPr>
          <w:p w14:paraId="291EF9F9" w14:textId="5111CBD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3,680</w:t>
            </w:r>
          </w:p>
        </w:tc>
        <w:tc>
          <w:tcPr>
            <w:tcW w:w="905" w:type="dxa"/>
          </w:tcPr>
          <w:p w14:paraId="246886DF" w14:textId="32C521D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5,513</w:t>
            </w:r>
          </w:p>
        </w:tc>
        <w:tc>
          <w:tcPr>
            <w:tcW w:w="905" w:type="dxa"/>
          </w:tcPr>
          <w:p w14:paraId="590AE271" w14:textId="4FAFF3D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7,004</w:t>
            </w:r>
          </w:p>
        </w:tc>
        <w:tc>
          <w:tcPr>
            <w:tcW w:w="905" w:type="dxa"/>
          </w:tcPr>
          <w:p w14:paraId="119DE331" w14:textId="2C299A6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6,424</w:t>
            </w:r>
          </w:p>
        </w:tc>
      </w:tr>
      <w:tr w:rsidR="002B19B1" w:rsidRPr="00C86111" w14:paraId="0B507560"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3083AD74" w14:textId="1C47182E"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Tekstil i tekstilni proizvodi</w:t>
            </w:r>
          </w:p>
        </w:tc>
        <w:tc>
          <w:tcPr>
            <w:tcW w:w="1030" w:type="dxa"/>
          </w:tcPr>
          <w:p w14:paraId="46A20AF0" w14:textId="6FD72CE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84,625</w:t>
            </w:r>
          </w:p>
        </w:tc>
        <w:tc>
          <w:tcPr>
            <w:tcW w:w="1031" w:type="dxa"/>
          </w:tcPr>
          <w:p w14:paraId="518A842F" w14:textId="2CE354B1"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98,928</w:t>
            </w:r>
          </w:p>
        </w:tc>
        <w:tc>
          <w:tcPr>
            <w:tcW w:w="1031" w:type="dxa"/>
          </w:tcPr>
          <w:p w14:paraId="49FDE799" w14:textId="2834E6FD"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126,071</w:t>
            </w:r>
          </w:p>
        </w:tc>
        <w:tc>
          <w:tcPr>
            <w:tcW w:w="1031" w:type="dxa"/>
          </w:tcPr>
          <w:p w14:paraId="2CAAC155" w14:textId="108E45D7"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147,950</w:t>
            </w:r>
          </w:p>
        </w:tc>
        <w:tc>
          <w:tcPr>
            <w:tcW w:w="905" w:type="dxa"/>
          </w:tcPr>
          <w:p w14:paraId="2DC7B12C" w14:textId="3D19F8F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2,732</w:t>
            </w:r>
          </w:p>
        </w:tc>
        <w:tc>
          <w:tcPr>
            <w:tcW w:w="905" w:type="dxa"/>
          </w:tcPr>
          <w:p w14:paraId="60E4AFE9" w14:textId="2871B803"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2,849</w:t>
            </w:r>
          </w:p>
        </w:tc>
        <w:tc>
          <w:tcPr>
            <w:tcW w:w="905" w:type="dxa"/>
          </w:tcPr>
          <w:p w14:paraId="403D700F" w14:textId="2DAD041D"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5,136</w:t>
            </w:r>
          </w:p>
        </w:tc>
        <w:tc>
          <w:tcPr>
            <w:tcW w:w="905" w:type="dxa"/>
          </w:tcPr>
          <w:p w14:paraId="1000D74E" w14:textId="618388C7"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6,627</w:t>
            </w:r>
          </w:p>
        </w:tc>
      </w:tr>
      <w:tr w:rsidR="002B19B1" w:rsidRPr="00C86111" w14:paraId="1940EF61"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28B39388" w14:textId="00FE1953"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 xml:space="preserve"> Obuća, kape i modni dodaci</w:t>
            </w:r>
          </w:p>
        </w:tc>
        <w:tc>
          <w:tcPr>
            <w:tcW w:w="1030" w:type="dxa"/>
          </w:tcPr>
          <w:p w14:paraId="0C2F8FF7" w14:textId="7301AB6F"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32,459</w:t>
            </w:r>
          </w:p>
        </w:tc>
        <w:tc>
          <w:tcPr>
            <w:tcW w:w="1031" w:type="dxa"/>
          </w:tcPr>
          <w:p w14:paraId="17B2BC1E" w14:textId="221ABB62"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34,878</w:t>
            </w:r>
          </w:p>
        </w:tc>
        <w:tc>
          <w:tcPr>
            <w:tcW w:w="1031" w:type="dxa"/>
          </w:tcPr>
          <w:p w14:paraId="3EE78604" w14:textId="76937464"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45,315</w:t>
            </w:r>
          </w:p>
        </w:tc>
        <w:tc>
          <w:tcPr>
            <w:tcW w:w="1031" w:type="dxa"/>
          </w:tcPr>
          <w:p w14:paraId="530D2D5B" w14:textId="11E51FB6"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58,258</w:t>
            </w:r>
          </w:p>
        </w:tc>
        <w:tc>
          <w:tcPr>
            <w:tcW w:w="905" w:type="dxa"/>
          </w:tcPr>
          <w:p w14:paraId="3B91D719" w14:textId="1DFE3481"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564</w:t>
            </w:r>
          </w:p>
        </w:tc>
        <w:tc>
          <w:tcPr>
            <w:tcW w:w="905" w:type="dxa"/>
          </w:tcPr>
          <w:p w14:paraId="64F5A828" w14:textId="3C30F2DC"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587</w:t>
            </w:r>
          </w:p>
        </w:tc>
        <w:tc>
          <w:tcPr>
            <w:tcW w:w="905" w:type="dxa"/>
          </w:tcPr>
          <w:p w14:paraId="3F40EAB6" w14:textId="3CE1AC0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796</w:t>
            </w:r>
          </w:p>
        </w:tc>
        <w:tc>
          <w:tcPr>
            <w:tcW w:w="905" w:type="dxa"/>
          </w:tcPr>
          <w:p w14:paraId="38791C56" w14:textId="389154AC"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832</w:t>
            </w:r>
          </w:p>
        </w:tc>
      </w:tr>
      <w:tr w:rsidR="002B19B1" w:rsidRPr="00C86111" w14:paraId="64E2B4F6"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6B2C116F" w14:textId="2A40ABC9"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Proizvodi od kamena, gipsa, cementa, keramički proizvodi,              stakleni proizvodi</w:t>
            </w:r>
          </w:p>
        </w:tc>
        <w:tc>
          <w:tcPr>
            <w:tcW w:w="1030" w:type="dxa"/>
          </w:tcPr>
          <w:p w14:paraId="14A5CE2E" w14:textId="59196268"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66,937</w:t>
            </w:r>
          </w:p>
        </w:tc>
        <w:tc>
          <w:tcPr>
            <w:tcW w:w="1031" w:type="dxa"/>
          </w:tcPr>
          <w:p w14:paraId="37E3821E" w14:textId="3DE11A2E"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66,443</w:t>
            </w:r>
          </w:p>
        </w:tc>
        <w:tc>
          <w:tcPr>
            <w:tcW w:w="1031" w:type="dxa"/>
          </w:tcPr>
          <w:p w14:paraId="2E0396B6" w14:textId="7FB62DD9"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92,604</w:t>
            </w:r>
          </w:p>
        </w:tc>
        <w:tc>
          <w:tcPr>
            <w:tcW w:w="1031" w:type="dxa"/>
          </w:tcPr>
          <w:p w14:paraId="5AB9877A" w14:textId="0B09E78E"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115,860</w:t>
            </w:r>
          </w:p>
        </w:tc>
        <w:tc>
          <w:tcPr>
            <w:tcW w:w="905" w:type="dxa"/>
          </w:tcPr>
          <w:p w14:paraId="1A8F387A" w14:textId="1604E0A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2,276</w:t>
            </w:r>
          </w:p>
        </w:tc>
        <w:tc>
          <w:tcPr>
            <w:tcW w:w="905" w:type="dxa"/>
          </w:tcPr>
          <w:p w14:paraId="03765C0B" w14:textId="542BCEC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3,810</w:t>
            </w:r>
          </w:p>
        </w:tc>
        <w:tc>
          <w:tcPr>
            <w:tcW w:w="905" w:type="dxa"/>
          </w:tcPr>
          <w:p w14:paraId="6EB5BC8E" w14:textId="2FA9374F"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4,088</w:t>
            </w:r>
          </w:p>
        </w:tc>
        <w:tc>
          <w:tcPr>
            <w:tcW w:w="905" w:type="dxa"/>
          </w:tcPr>
          <w:p w14:paraId="4D0F7405" w14:textId="09BBAB51"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6,037</w:t>
            </w:r>
          </w:p>
        </w:tc>
      </w:tr>
      <w:tr w:rsidR="002B19B1" w:rsidRPr="00C86111" w14:paraId="7566E6C4"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684536B4" w14:textId="256E8590"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 xml:space="preserve"> Biseri, drago kamenje i </w:t>
            </w:r>
            <w:r w:rsidRPr="00C86111">
              <w:rPr>
                <w:rFonts w:asciiTheme="minorHAnsi" w:hAnsiTheme="minorHAnsi" w:cstheme="minorHAnsi"/>
                <w:sz w:val="20"/>
                <w:szCs w:val="20"/>
                <w:lang w:eastAsia="en-GB"/>
              </w:rPr>
              <w:lastRenderedPageBreak/>
              <w:t>metali,             kovanice</w:t>
            </w:r>
          </w:p>
        </w:tc>
        <w:tc>
          <w:tcPr>
            <w:tcW w:w="1030" w:type="dxa"/>
          </w:tcPr>
          <w:p w14:paraId="42508277" w14:textId="6AF5E08D"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lastRenderedPageBreak/>
              <w:t>6,817</w:t>
            </w:r>
          </w:p>
        </w:tc>
        <w:tc>
          <w:tcPr>
            <w:tcW w:w="1031" w:type="dxa"/>
          </w:tcPr>
          <w:p w14:paraId="25A9D85D" w14:textId="75B474D6"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3,205</w:t>
            </w:r>
          </w:p>
        </w:tc>
        <w:tc>
          <w:tcPr>
            <w:tcW w:w="1031" w:type="dxa"/>
          </w:tcPr>
          <w:p w14:paraId="7FDE260C" w14:textId="26F31A13"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9,582</w:t>
            </w:r>
          </w:p>
        </w:tc>
        <w:tc>
          <w:tcPr>
            <w:tcW w:w="1031" w:type="dxa"/>
          </w:tcPr>
          <w:p w14:paraId="08669864" w14:textId="573C06C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22,964</w:t>
            </w:r>
          </w:p>
        </w:tc>
        <w:tc>
          <w:tcPr>
            <w:tcW w:w="905" w:type="dxa"/>
          </w:tcPr>
          <w:p w14:paraId="62F0FBE2" w14:textId="34DC926D"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13,805</w:t>
            </w:r>
          </w:p>
        </w:tc>
        <w:tc>
          <w:tcPr>
            <w:tcW w:w="905" w:type="dxa"/>
          </w:tcPr>
          <w:p w14:paraId="51FBF8D9" w14:textId="0CEA37CB"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802</w:t>
            </w:r>
          </w:p>
        </w:tc>
        <w:tc>
          <w:tcPr>
            <w:tcW w:w="905" w:type="dxa"/>
          </w:tcPr>
          <w:p w14:paraId="4A867E50" w14:textId="106B123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3,708</w:t>
            </w:r>
          </w:p>
        </w:tc>
        <w:tc>
          <w:tcPr>
            <w:tcW w:w="905" w:type="dxa"/>
          </w:tcPr>
          <w:p w14:paraId="24A8A8F8" w14:textId="76A63C37"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10,455</w:t>
            </w:r>
          </w:p>
        </w:tc>
      </w:tr>
      <w:tr w:rsidR="002B19B1" w:rsidRPr="00C86111" w14:paraId="457E6219"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07AFE1A5" w14:textId="23FA8C1E"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 xml:space="preserve"> Bazni metali i proizvodi od           osnovnih metala</w:t>
            </w:r>
          </w:p>
        </w:tc>
        <w:tc>
          <w:tcPr>
            <w:tcW w:w="1030" w:type="dxa"/>
          </w:tcPr>
          <w:p w14:paraId="017034E9" w14:textId="15BD617F"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172,218</w:t>
            </w:r>
          </w:p>
        </w:tc>
        <w:tc>
          <w:tcPr>
            <w:tcW w:w="1031" w:type="dxa"/>
          </w:tcPr>
          <w:p w14:paraId="48AA8A70" w14:textId="1D51F492"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208,135</w:t>
            </w:r>
          </w:p>
        </w:tc>
        <w:tc>
          <w:tcPr>
            <w:tcW w:w="1031" w:type="dxa"/>
          </w:tcPr>
          <w:p w14:paraId="518DC294" w14:textId="6C2037B0"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347,422</w:t>
            </w:r>
          </w:p>
        </w:tc>
        <w:tc>
          <w:tcPr>
            <w:tcW w:w="1031" w:type="dxa"/>
          </w:tcPr>
          <w:p w14:paraId="466E8F8B" w14:textId="2B05530D"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299,883</w:t>
            </w:r>
          </w:p>
        </w:tc>
        <w:tc>
          <w:tcPr>
            <w:tcW w:w="905" w:type="dxa"/>
          </w:tcPr>
          <w:p w14:paraId="1A8590EE" w14:textId="064FD3C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86,087</w:t>
            </w:r>
          </w:p>
        </w:tc>
        <w:tc>
          <w:tcPr>
            <w:tcW w:w="905" w:type="dxa"/>
          </w:tcPr>
          <w:p w14:paraId="1115AE3D" w14:textId="3F7CE3D2"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128,869</w:t>
            </w:r>
          </w:p>
        </w:tc>
        <w:tc>
          <w:tcPr>
            <w:tcW w:w="905" w:type="dxa"/>
          </w:tcPr>
          <w:p w14:paraId="07CA2159" w14:textId="353CB74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204,100</w:t>
            </w:r>
          </w:p>
        </w:tc>
        <w:tc>
          <w:tcPr>
            <w:tcW w:w="905" w:type="dxa"/>
          </w:tcPr>
          <w:p w14:paraId="706DF5DF" w14:textId="7550A770"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97,166</w:t>
            </w:r>
          </w:p>
        </w:tc>
      </w:tr>
      <w:tr w:rsidR="002B19B1" w:rsidRPr="00C86111" w14:paraId="43C9F291"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1C863D1D" w14:textId="73ADD777"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 xml:space="preserve"> Mašine i mehanički uređaji,</w:t>
            </w:r>
            <w:r w:rsidR="002330D2" w:rsidRPr="00C86111">
              <w:rPr>
                <w:rFonts w:asciiTheme="minorHAnsi" w:eastAsia="Times New Roman" w:hAnsiTheme="minorHAnsi" w:cstheme="minorHAnsi"/>
                <w:color w:val="auto"/>
                <w:sz w:val="20"/>
                <w:szCs w:val="20"/>
                <w:lang w:eastAsia="en-GB"/>
              </w:rPr>
              <w:t xml:space="preserve"> e</w:t>
            </w:r>
            <w:r w:rsidRPr="00C86111">
              <w:rPr>
                <w:rFonts w:asciiTheme="minorHAnsi" w:eastAsia="Times New Roman" w:hAnsiTheme="minorHAnsi" w:cstheme="minorHAnsi"/>
                <w:color w:val="auto"/>
                <w:sz w:val="20"/>
                <w:szCs w:val="20"/>
                <w:lang w:eastAsia="en-GB"/>
              </w:rPr>
              <w:t>lektrična oprema</w:t>
            </w:r>
          </w:p>
        </w:tc>
        <w:tc>
          <w:tcPr>
            <w:tcW w:w="1030" w:type="dxa"/>
          </w:tcPr>
          <w:p w14:paraId="64E347D1" w14:textId="2EFB6FB1"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353,986</w:t>
            </w:r>
          </w:p>
        </w:tc>
        <w:tc>
          <w:tcPr>
            <w:tcW w:w="1031" w:type="dxa"/>
          </w:tcPr>
          <w:p w14:paraId="7E47054C" w14:textId="7EF89AB6"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337,450</w:t>
            </w:r>
          </w:p>
        </w:tc>
        <w:tc>
          <w:tcPr>
            <w:tcW w:w="1031" w:type="dxa"/>
          </w:tcPr>
          <w:p w14:paraId="05A335CA" w14:textId="225427EA"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446,527</w:t>
            </w:r>
          </w:p>
        </w:tc>
        <w:tc>
          <w:tcPr>
            <w:tcW w:w="1031" w:type="dxa"/>
          </w:tcPr>
          <w:p w14:paraId="61533F8D" w14:textId="118BEFC9"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524,561</w:t>
            </w:r>
          </w:p>
        </w:tc>
        <w:tc>
          <w:tcPr>
            <w:tcW w:w="905" w:type="dxa"/>
          </w:tcPr>
          <w:p w14:paraId="51B9F4C4" w14:textId="407AB934"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24,172</w:t>
            </w:r>
          </w:p>
        </w:tc>
        <w:tc>
          <w:tcPr>
            <w:tcW w:w="905" w:type="dxa"/>
          </w:tcPr>
          <w:p w14:paraId="65EFD64C" w14:textId="3F1FC8CC"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35,282</w:t>
            </w:r>
          </w:p>
        </w:tc>
        <w:tc>
          <w:tcPr>
            <w:tcW w:w="905" w:type="dxa"/>
          </w:tcPr>
          <w:p w14:paraId="3CFD0C4F" w14:textId="416709D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40,779</w:t>
            </w:r>
          </w:p>
        </w:tc>
        <w:tc>
          <w:tcPr>
            <w:tcW w:w="905" w:type="dxa"/>
          </w:tcPr>
          <w:p w14:paraId="52CDFF5A" w14:textId="28F11469"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37,441</w:t>
            </w:r>
          </w:p>
        </w:tc>
      </w:tr>
      <w:tr w:rsidR="002B19B1" w:rsidRPr="00C86111" w14:paraId="381D19C3"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356B7A78" w14:textId="2542C383"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 xml:space="preserve"> Vozila i prateća transportna  oprema</w:t>
            </w:r>
          </w:p>
        </w:tc>
        <w:tc>
          <w:tcPr>
            <w:tcW w:w="1030" w:type="dxa"/>
          </w:tcPr>
          <w:p w14:paraId="7746269B" w14:textId="3F90CA45"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139,137</w:t>
            </w:r>
          </w:p>
        </w:tc>
        <w:tc>
          <w:tcPr>
            <w:tcW w:w="1031" w:type="dxa"/>
          </w:tcPr>
          <w:p w14:paraId="5944006B" w14:textId="30AC989A"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175,718</w:t>
            </w:r>
          </w:p>
        </w:tc>
        <w:tc>
          <w:tcPr>
            <w:tcW w:w="1031" w:type="dxa"/>
          </w:tcPr>
          <w:p w14:paraId="20D0E94E" w14:textId="6867161F"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263,625</w:t>
            </w:r>
          </w:p>
        </w:tc>
        <w:tc>
          <w:tcPr>
            <w:tcW w:w="1031" w:type="dxa"/>
          </w:tcPr>
          <w:p w14:paraId="09932669" w14:textId="55C89CB8"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360,862</w:t>
            </w:r>
          </w:p>
        </w:tc>
        <w:tc>
          <w:tcPr>
            <w:tcW w:w="905" w:type="dxa"/>
          </w:tcPr>
          <w:p w14:paraId="6D355226" w14:textId="0C31298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13,785</w:t>
            </w:r>
          </w:p>
        </w:tc>
        <w:tc>
          <w:tcPr>
            <w:tcW w:w="905" w:type="dxa"/>
          </w:tcPr>
          <w:p w14:paraId="319D6B00" w14:textId="55138626"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11,265</w:t>
            </w:r>
          </w:p>
        </w:tc>
        <w:tc>
          <w:tcPr>
            <w:tcW w:w="905" w:type="dxa"/>
          </w:tcPr>
          <w:p w14:paraId="7F1EA7C0" w14:textId="690E32AC"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25,792</w:t>
            </w:r>
          </w:p>
        </w:tc>
        <w:tc>
          <w:tcPr>
            <w:tcW w:w="905" w:type="dxa"/>
          </w:tcPr>
          <w:p w14:paraId="56167F43" w14:textId="60BAECA4"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30,018</w:t>
            </w:r>
          </w:p>
        </w:tc>
      </w:tr>
      <w:tr w:rsidR="002B19B1" w:rsidRPr="00C86111" w14:paraId="0D6A203B"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4F72214F" w14:textId="56747111" w:rsidR="002B19B1" w:rsidRPr="00C86111" w:rsidRDefault="002B19B1" w:rsidP="002330D2">
            <w:pPr>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Optički, medicinski i mjerni</w:t>
            </w:r>
            <w:r w:rsidR="002330D2" w:rsidRPr="00C86111">
              <w:rPr>
                <w:rFonts w:asciiTheme="minorHAnsi" w:eastAsia="Times New Roman" w:hAnsiTheme="minorHAnsi" w:cstheme="minorHAnsi"/>
                <w:color w:val="auto"/>
                <w:sz w:val="20"/>
                <w:szCs w:val="20"/>
                <w:lang w:eastAsia="en-GB"/>
              </w:rPr>
              <w:t xml:space="preserve"> </w:t>
            </w:r>
            <w:r w:rsidRPr="00C86111">
              <w:rPr>
                <w:rFonts w:asciiTheme="minorHAnsi" w:eastAsia="Times New Roman" w:hAnsiTheme="minorHAnsi" w:cstheme="minorHAnsi"/>
                <w:color w:val="auto"/>
                <w:sz w:val="20"/>
                <w:szCs w:val="20"/>
                <w:lang w:eastAsia="en-GB"/>
              </w:rPr>
              <w:t>instrumenti, satovi</w:t>
            </w:r>
          </w:p>
        </w:tc>
        <w:tc>
          <w:tcPr>
            <w:tcW w:w="1030" w:type="dxa"/>
          </w:tcPr>
          <w:p w14:paraId="6874BAE0" w14:textId="34D4842A"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38,858</w:t>
            </w:r>
          </w:p>
        </w:tc>
        <w:tc>
          <w:tcPr>
            <w:tcW w:w="1031" w:type="dxa"/>
          </w:tcPr>
          <w:p w14:paraId="613201C8" w14:textId="57DF1054"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40,163</w:t>
            </w:r>
          </w:p>
        </w:tc>
        <w:tc>
          <w:tcPr>
            <w:tcW w:w="1031" w:type="dxa"/>
          </w:tcPr>
          <w:p w14:paraId="567B50C3" w14:textId="238254E3"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51,227</w:t>
            </w:r>
          </w:p>
        </w:tc>
        <w:tc>
          <w:tcPr>
            <w:tcW w:w="1031" w:type="dxa"/>
          </w:tcPr>
          <w:p w14:paraId="53D63363" w14:textId="59FF514B"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59,172</w:t>
            </w:r>
          </w:p>
        </w:tc>
        <w:tc>
          <w:tcPr>
            <w:tcW w:w="905" w:type="dxa"/>
          </w:tcPr>
          <w:p w14:paraId="5B7E420B" w14:textId="32DE995E"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2,999</w:t>
            </w:r>
          </w:p>
        </w:tc>
        <w:tc>
          <w:tcPr>
            <w:tcW w:w="905" w:type="dxa"/>
          </w:tcPr>
          <w:p w14:paraId="15B87B1D" w14:textId="20AE6CF0"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2,936</w:t>
            </w:r>
          </w:p>
        </w:tc>
        <w:tc>
          <w:tcPr>
            <w:tcW w:w="905" w:type="dxa"/>
          </w:tcPr>
          <w:p w14:paraId="6157B637" w14:textId="5E95F918"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4,277</w:t>
            </w:r>
          </w:p>
        </w:tc>
        <w:tc>
          <w:tcPr>
            <w:tcW w:w="905" w:type="dxa"/>
          </w:tcPr>
          <w:p w14:paraId="7CF63C09" w14:textId="3A81F99E"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4,112</w:t>
            </w:r>
          </w:p>
        </w:tc>
      </w:tr>
      <w:tr w:rsidR="002B19B1" w:rsidRPr="00C86111" w14:paraId="4967FA83" w14:textId="77777777" w:rsidTr="00A12257">
        <w:tc>
          <w:tcPr>
            <w:cnfStyle w:val="001000000000" w:firstRow="0" w:lastRow="0" w:firstColumn="1" w:lastColumn="0" w:oddVBand="0" w:evenVBand="0" w:oddHBand="0" w:evenHBand="0" w:firstRowFirstColumn="0" w:firstRowLastColumn="0" w:lastRowFirstColumn="0" w:lastRowLastColumn="0"/>
            <w:tcW w:w="1607" w:type="dxa"/>
          </w:tcPr>
          <w:p w14:paraId="3B632DC2" w14:textId="5ED7F93B"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 xml:space="preserve"> Oružje i municija</w:t>
            </w:r>
          </w:p>
        </w:tc>
        <w:tc>
          <w:tcPr>
            <w:tcW w:w="1030" w:type="dxa"/>
          </w:tcPr>
          <w:p w14:paraId="66DF3966" w14:textId="0CC29ECE"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3,631</w:t>
            </w:r>
          </w:p>
        </w:tc>
        <w:tc>
          <w:tcPr>
            <w:tcW w:w="1031" w:type="dxa"/>
          </w:tcPr>
          <w:p w14:paraId="1CA9FAAA" w14:textId="2152FA43"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9,773</w:t>
            </w:r>
          </w:p>
        </w:tc>
        <w:tc>
          <w:tcPr>
            <w:tcW w:w="1031" w:type="dxa"/>
          </w:tcPr>
          <w:p w14:paraId="400201DB" w14:textId="0757A360"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7,032</w:t>
            </w:r>
          </w:p>
        </w:tc>
        <w:tc>
          <w:tcPr>
            <w:tcW w:w="1031" w:type="dxa"/>
          </w:tcPr>
          <w:p w14:paraId="280E0DF2" w14:textId="482354D8"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2,854</w:t>
            </w:r>
          </w:p>
        </w:tc>
        <w:tc>
          <w:tcPr>
            <w:tcW w:w="905" w:type="dxa"/>
          </w:tcPr>
          <w:p w14:paraId="3E39B928" w14:textId="0E7ABA70"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2,976</w:t>
            </w:r>
          </w:p>
        </w:tc>
        <w:tc>
          <w:tcPr>
            <w:tcW w:w="905" w:type="dxa"/>
          </w:tcPr>
          <w:p w14:paraId="47810EDE" w14:textId="154F179B"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2,722</w:t>
            </w:r>
          </w:p>
        </w:tc>
        <w:tc>
          <w:tcPr>
            <w:tcW w:w="905" w:type="dxa"/>
          </w:tcPr>
          <w:p w14:paraId="3D244499" w14:textId="164962A3"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3,558</w:t>
            </w:r>
          </w:p>
        </w:tc>
        <w:tc>
          <w:tcPr>
            <w:tcW w:w="905" w:type="dxa"/>
          </w:tcPr>
          <w:p w14:paraId="33687547" w14:textId="1859CC14" w:rsidR="002B19B1" w:rsidRPr="00C86111" w:rsidRDefault="002B19B1" w:rsidP="002B19B1">
            <w:pPr>
              <w:pStyle w:val="NormalWeb"/>
              <w:spacing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1,312</w:t>
            </w:r>
          </w:p>
        </w:tc>
      </w:tr>
      <w:tr w:rsidR="002B19B1" w:rsidRPr="00C86111" w14:paraId="412661F2" w14:textId="77777777" w:rsidTr="00A12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350245A3" w14:textId="6F664034" w:rsidR="002B19B1" w:rsidRPr="00C86111" w:rsidRDefault="002B19B1" w:rsidP="002B19B1">
            <w:pPr>
              <w:pStyle w:val="NormalWeb"/>
              <w:spacing w:after="0" w:afterAutospacing="0"/>
              <w:rPr>
                <w:rFonts w:asciiTheme="minorHAnsi" w:hAnsiTheme="minorHAnsi" w:cstheme="minorHAnsi"/>
                <w:sz w:val="20"/>
                <w:szCs w:val="20"/>
              </w:rPr>
            </w:pPr>
            <w:r w:rsidRPr="00C86111">
              <w:rPr>
                <w:rFonts w:asciiTheme="minorHAnsi" w:hAnsiTheme="minorHAnsi" w:cstheme="minorHAnsi"/>
                <w:sz w:val="20"/>
                <w:szCs w:val="20"/>
                <w:lang w:eastAsia="en-GB"/>
              </w:rPr>
              <w:t>Razni proizvodi</w:t>
            </w:r>
          </w:p>
        </w:tc>
        <w:tc>
          <w:tcPr>
            <w:tcW w:w="1030" w:type="dxa"/>
          </w:tcPr>
          <w:p w14:paraId="33365415" w14:textId="61FBC57B"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99,122</w:t>
            </w:r>
          </w:p>
        </w:tc>
        <w:tc>
          <w:tcPr>
            <w:tcW w:w="1031" w:type="dxa"/>
          </w:tcPr>
          <w:p w14:paraId="4644899D" w14:textId="12D3D81A"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107,677</w:t>
            </w:r>
          </w:p>
        </w:tc>
        <w:tc>
          <w:tcPr>
            <w:tcW w:w="1031" w:type="dxa"/>
          </w:tcPr>
          <w:p w14:paraId="4E6019A9" w14:textId="64161DCF"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147,230</w:t>
            </w:r>
          </w:p>
        </w:tc>
        <w:tc>
          <w:tcPr>
            <w:tcW w:w="1031" w:type="dxa"/>
          </w:tcPr>
          <w:p w14:paraId="57C54920" w14:textId="3F82692A"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183,812</w:t>
            </w:r>
          </w:p>
        </w:tc>
        <w:tc>
          <w:tcPr>
            <w:tcW w:w="905" w:type="dxa"/>
          </w:tcPr>
          <w:p w14:paraId="46933D92" w14:textId="0909375E"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3,354</w:t>
            </w:r>
          </w:p>
        </w:tc>
        <w:tc>
          <w:tcPr>
            <w:tcW w:w="905" w:type="dxa"/>
          </w:tcPr>
          <w:p w14:paraId="19ADE7ED" w14:textId="419DD316"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3,518</w:t>
            </w:r>
          </w:p>
        </w:tc>
        <w:tc>
          <w:tcPr>
            <w:tcW w:w="905" w:type="dxa"/>
          </w:tcPr>
          <w:p w14:paraId="3FA7396D" w14:textId="5EB7C6D6"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3,669</w:t>
            </w:r>
          </w:p>
        </w:tc>
        <w:tc>
          <w:tcPr>
            <w:tcW w:w="905" w:type="dxa"/>
          </w:tcPr>
          <w:p w14:paraId="0D52EBA2" w14:textId="4B53E365" w:rsidR="002B19B1" w:rsidRPr="00C86111" w:rsidRDefault="002B19B1" w:rsidP="002B19B1">
            <w:pPr>
              <w:pStyle w:val="NormalWeb"/>
              <w:spacing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eastAsia="en-GB"/>
              </w:rPr>
              <w:t>3,216</w:t>
            </w:r>
          </w:p>
        </w:tc>
      </w:tr>
    </w:tbl>
    <w:p w14:paraId="316CD5AB" w14:textId="77777777" w:rsidR="002B19B1" w:rsidRPr="00C86111" w:rsidRDefault="002B19B1" w:rsidP="002B19B1">
      <w:pPr>
        <w:pStyle w:val="NormalWeb"/>
        <w:spacing w:after="0" w:afterAutospacing="0"/>
        <w:rPr>
          <w:rFonts w:asciiTheme="minorHAnsi" w:hAnsiTheme="minorHAnsi" w:cstheme="minorHAnsi"/>
        </w:rPr>
      </w:pPr>
    </w:p>
    <w:p w14:paraId="2CB520AA" w14:textId="508BFCF2" w:rsidR="006705AC" w:rsidRPr="00C86111" w:rsidRDefault="006705AC" w:rsidP="00912C4C">
      <w:pPr>
        <w:pStyle w:val="Heading1"/>
      </w:pPr>
      <w:bookmarkStart w:id="18" w:name="_Toc220541852"/>
      <w:bookmarkStart w:id="19" w:name="_Hlk215608570"/>
      <w:r w:rsidRPr="00C86111">
        <w:t>INVENT</w:t>
      </w:r>
      <w:r w:rsidR="006E5F06">
        <w:t>A</w:t>
      </w:r>
      <w:r w:rsidRPr="00C86111">
        <w:t>RIZACIJA POPs</w:t>
      </w:r>
      <w:bookmarkEnd w:id="18"/>
    </w:p>
    <w:p w14:paraId="56B0E0F6" w14:textId="3BB2D8C6" w:rsidR="0081146A" w:rsidRPr="00C86111" w:rsidRDefault="0081146A" w:rsidP="00004F34">
      <w:pPr>
        <w:pStyle w:val="Heading1"/>
        <w:numPr>
          <w:ilvl w:val="1"/>
          <w:numId w:val="238"/>
        </w:numPr>
      </w:pPr>
      <w:bookmarkStart w:id="20" w:name="_Toc220541853"/>
      <w:r w:rsidRPr="00C86111">
        <w:t>POPs PESTICIDI U CRNOJ GORI</w:t>
      </w:r>
      <w:bookmarkEnd w:id="20"/>
    </w:p>
    <w:p w14:paraId="27037618" w14:textId="77777777" w:rsidR="0081146A" w:rsidRPr="00C86111" w:rsidRDefault="0081146A" w:rsidP="00EA6904">
      <w:pPr>
        <w:pStyle w:val="Heading3"/>
      </w:pPr>
      <w:bookmarkStart w:id="21" w:name="_Toc220541854"/>
      <w:bookmarkEnd w:id="19"/>
      <w:r w:rsidRPr="00C86111">
        <w:t>Uvod</w:t>
      </w:r>
      <w:bookmarkEnd w:id="21"/>
    </w:p>
    <w:p w14:paraId="4AD64CD0" w14:textId="77777777" w:rsidR="0081146A" w:rsidRPr="00C86111" w:rsidRDefault="0081146A" w:rsidP="0081146A">
      <w:pPr>
        <w:jc w:val="both"/>
        <w:rPr>
          <w:rFonts w:asciiTheme="minorHAnsi" w:hAnsiTheme="minorHAnsi" w:cstheme="minorHAnsi"/>
          <w:b/>
          <w:bCs/>
          <w:color w:val="auto"/>
          <w:szCs w:val="24"/>
        </w:rPr>
      </w:pPr>
    </w:p>
    <w:p w14:paraId="1A4D9617"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Pesticidi, poznati i kao sredstva za zaštitu bilja, imaju značajnu ulogu u poljoprivredi jer štite biljke od štetočina, bolesti i korova. Među njima, perzistentni organski pesticidi (POP pesticidi) predstavljaju posebnu kategoriju zbog svoje otpornosti na razgradnju i sposobnosti akumulacije u životnoj sredini i organizmima. Ovaj pregled fokusira se na upotrebu, zakonodavni okvir, monitoring i upravljanje POP pesticidima u Crnoj Gori.</w:t>
      </w:r>
    </w:p>
    <w:p w14:paraId="3041DC42" w14:textId="77777777" w:rsidR="0081146A" w:rsidRPr="00C86111" w:rsidRDefault="0081146A" w:rsidP="00004F34">
      <w:pPr>
        <w:pStyle w:val="Heading1"/>
        <w:numPr>
          <w:ilvl w:val="1"/>
          <w:numId w:val="238"/>
        </w:numPr>
      </w:pPr>
      <w:bookmarkStart w:id="22" w:name="_Toc220541855"/>
      <w:r w:rsidRPr="00C86111">
        <w:t>Zakonodavni okvir</w:t>
      </w:r>
      <w:bookmarkEnd w:id="22"/>
    </w:p>
    <w:p w14:paraId="69AB8BFE" w14:textId="77777777" w:rsidR="0081146A" w:rsidRPr="00C86111" w:rsidRDefault="0081146A" w:rsidP="0081146A">
      <w:pPr>
        <w:jc w:val="both"/>
        <w:rPr>
          <w:rFonts w:asciiTheme="minorHAnsi" w:hAnsiTheme="minorHAnsi" w:cstheme="minorHAnsi"/>
          <w:b/>
          <w:bCs/>
          <w:color w:val="auto"/>
          <w:szCs w:val="24"/>
        </w:rPr>
      </w:pPr>
    </w:p>
    <w:p w14:paraId="75267C11"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 Crnoj Gori, u oblasti pesticida (sredstava za zaštitu bilja), na snazi je Zakon o sredstvima za zaštitu bilja („Sl. list Crne Gore“, br. 51/2008). Ovaj zakon je usklađen sa Direktivom Savjeta 91/414/EEC. Godine 2014, Zakon je dodatno usklađen sa Uredbom (EU) br. 1107/2009 Evropskog parlamenta i Savjeta  , koja se odnosi na stavljanje sredstava za zaštitu bilja na tržište, uključujući izmjene Direktiva 79/117 i 91/414, kao i sa Direktivom 2009/128/EC Evropskog parlamenta i Savjeta kojom je uspostavljen okvir za zajedničke aktivnosti u cilju postizanja održive upotrebe pesticida. Nakon ovih izmjena i dopuna, Evropska komisija je ocijenila Zakon o sredstvima za </w:t>
      </w:r>
      <w:r w:rsidRPr="00C86111">
        <w:rPr>
          <w:rFonts w:asciiTheme="minorHAnsi" w:hAnsiTheme="minorHAnsi" w:cstheme="minorHAnsi"/>
          <w:color w:val="auto"/>
          <w:szCs w:val="24"/>
        </w:rPr>
        <w:lastRenderedPageBreak/>
        <w:t>zaštitu bilja kao usklađen i u skladu sa kriterijumima za Benchmark 1, čime je omogućeno otvaranje pregovora u ovoj oblasti.</w:t>
      </w:r>
    </w:p>
    <w:p w14:paraId="60728E7C"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Na osnovu navedenog Zakona postoji obaveza izrade Liste aktivnih supstanci dozvoljenih za upotrebu u sredstvima za zaštitu bilja. Lista se objavljuje svake godine, a ukoliko tokom godine dođe do promjene statusa neke aktivne supstance prema podacima Evropske komisije, ažurirani status objavljuje se na sajtu Uprave za bezbjednost hrane, veterinarske i fitosanitarne poslove, gdje predstavlja integralni dio Liste.</w:t>
      </w:r>
    </w:p>
    <w:p w14:paraId="25D1240F"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Prva lista usklađena sa EU listom aktivnih supstanci objavljena je 2009. godine. Nijedna od Listi aktivnih supstanci dozvoljenih za upotrebu u Crnoj Gori nije sadržala supstance opisane kao opasne, uključujući lindan i endosulfan, koje su se nalazile na posljednjoj zajedničkoj listi iz 2004. godine, kada je Crna Gora bila u državnoj zajednici sa Srbijom.</w:t>
      </w:r>
    </w:p>
    <w:p w14:paraId="63611456"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Pored toga, prilikom primjene procedure za registraciju sredstava za zaštitu bilja, zasnovane na principu priznavanja EU registrovanih pesticida, objavljuje se i Lista registrovanih sredstava za zaštitu bilja. Na nijednoj od ovih lista nije registrovan nijedan proizvod koji sadrži aktivnu supstancu klasifikovanu kao POPs.</w:t>
      </w:r>
    </w:p>
    <w:p w14:paraId="342E9A86" w14:textId="77777777" w:rsidR="0081146A" w:rsidRPr="00C86111" w:rsidRDefault="0081146A" w:rsidP="00004F34">
      <w:pPr>
        <w:pStyle w:val="Heading1"/>
        <w:numPr>
          <w:ilvl w:val="1"/>
          <w:numId w:val="238"/>
        </w:numPr>
      </w:pPr>
      <w:bookmarkStart w:id="23" w:name="_Toc220541856"/>
      <w:r w:rsidRPr="00C86111">
        <w:t>Proizvodnja pesticida u Crnoj Gori</w:t>
      </w:r>
      <w:bookmarkEnd w:id="23"/>
    </w:p>
    <w:p w14:paraId="4B0BCF51" w14:textId="77777777" w:rsidR="00CC3651" w:rsidRPr="00C86111" w:rsidRDefault="00CC3651" w:rsidP="00CC3651"/>
    <w:p w14:paraId="7AEAE83C"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 Crnoj Gori ne postoje, niti su ikada postojale, fabrike za proizvodnju pesticida. Ipak, proizvodnju pesticida u ovom kontekstu potrebno je posmatrati šire, s obzirom na to da je Crna Gora bila dio Socijalističke Federativne Republike Jugoslavije (SFRJ) nakon Drugog svjetskog rata, sve do povratka nezavisnosti 2006. godine. Tokom perioda kada je većina POPs pesticida zabranjena za upotrebu, Crna Gora je bila sastavni dio SFRJ, što ima značaj u istorijskom kontekstu proizvodnje i upotrebe ovih supstanci.</w:t>
      </w:r>
    </w:p>
    <w:p w14:paraId="20DC32AB" w14:textId="77777777" w:rsidR="0081146A" w:rsidRPr="00C86111" w:rsidRDefault="0081146A" w:rsidP="00004F34">
      <w:pPr>
        <w:pStyle w:val="Heading1"/>
        <w:numPr>
          <w:ilvl w:val="1"/>
          <w:numId w:val="238"/>
        </w:numPr>
      </w:pPr>
      <w:bookmarkStart w:id="24" w:name="_Toc220541857"/>
      <w:r w:rsidRPr="00C86111">
        <w:t>Istorija upotrebe</w:t>
      </w:r>
      <w:bookmarkEnd w:id="24"/>
    </w:p>
    <w:p w14:paraId="01864E9D" w14:textId="77777777" w:rsidR="00CC3651" w:rsidRPr="00C86111" w:rsidRDefault="00CC3651" w:rsidP="00CC3651"/>
    <w:p w14:paraId="3A90A11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Sve do njihove zabrane, pesticidi sa POPs karakteristikama korišćeni su u skladu sa odobrenim primjenama. Nakon zabrana, problemi u vezi sa upotrebom pesticida su bili minimalni, jer su na tržište uvedeni proizvodi niže toksičnosti i rizika, sa poboljšanom ekološkom prihvatljivošću. Prije zabrane, pesticidi sa POPs karakteristikama korišćeni su za kontrolu mnogih vrsta štetočina, a zbog široke primjene, korišćene su značajne količine.</w:t>
      </w:r>
    </w:p>
    <w:p w14:paraId="5981AAF4"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Do 1992. godine intenzivnija proizvodnja pesticida odvijala se prvenstveno na teritorijama današnje Srbije, Hrvatske i Slovenije, koje su tada bile dio SFRJ. Od 1992. do 2006. godine, kada je Crna Gora bila dio državne zajednice sa Srbijom, značajna proizvodnja pesticida bila je koncentrisana na teritoriji Srbije. Neke od najpoznatijih fabrika tog perioda bile su: </w:t>
      </w:r>
      <w:r w:rsidRPr="00C86111">
        <w:rPr>
          <w:rFonts w:asciiTheme="minorHAnsi" w:hAnsiTheme="minorHAnsi" w:cstheme="minorHAnsi"/>
          <w:i/>
          <w:iCs/>
          <w:color w:val="auto"/>
          <w:szCs w:val="24"/>
        </w:rPr>
        <w:t>„Župa“ u Kruševcu, „Zorka“ u Šapcu, „Galenika“ u Beogradu, „Prva Iskra“ u Bariču, „Agrohem“ u Novom Sadu</w:t>
      </w:r>
      <w:r w:rsidRPr="00C86111">
        <w:rPr>
          <w:rFonts w:asciiTheme="minorHAnsi" w:hAnsiTheme="minorHAnsi" w:cstheme="minorHAnsi"/>
          <w:color w:val="auto"/>
          <w:szCs w:val="24"/>
        </w:rPr>
        <w:t xml:space="preserve"> i druge.</w:t>
      </w:r>
    </w:p>
    <w:p w14:paraId="5E882F2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 osamostaljenju, Crna Gora od 2006. do 2009. godine nije imala sopstvenu listu aktivnih supstanci dozvoljenih za upotrebu u poljoprivredi. Tokom ovog perioda primjenjivali su se zakoni naslijeđeni iz državne zajednice sa Srbijom, a na snazi je bila lista dozvoljenih supstanci iz 2004. </w:t>
      </w:r>
      <w:r w:rsidRPr="00C86111">
        <w:rPr>
          <w:rFonts w:asciiTheme="minorHAnsi" w:hAnsiTheme="minorHAnsi" w:cstheme="minorHAnsi"/>
          <w:color w:val="auto"/>
          <w:szCs w:val="24"/>
        </w:rPr>
        <w:lastRenderedPageBreak/>
        <w:t>godine. Iako Crna Gora nikada nije imala fabrike pesticida, njihova upotreba bila je usko povezana sa širim kontekstom bivše Jugoslavije.</w:t>
      </w:r>
    </w:p>
    <w:p w14:paraId="2986B7B4"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Zaključno, Crna Gora nije imala sopstvenu proizvodnju pesticida, a upotreba POP pesticida bila je ograničena, uglavnom vezana za period SFRJ i kasniji uvoz do 2006. godine.</w:t>
      </w:r>
    </w:p>
    <w:p w14:paraId="30422C83" w14:textId="77777777" w:rsidR="0081146A" w:rsidRPr="00C86111" w:rsidRDefault="0081146A" w:rsidP="00004F34">
      <w:pPr>
        <w:pStyle w:val="Heading1"/>
        <w:numPr>
          <w:ilvl w:val="1"/>
          <w:numId w:val="238"/>
        </w:numPr>
      </w:pPr>
      <w:bookmarkStart w:id="25" w:name="_Toc220541858"/>
      <w:r w:rsidRPr="00C86111">
        <w:t>Izvoz pesticida</w:t>
      </w:r>
      <w:bookmarkEnd w:id="25"/>
    </w:p>
    <w:p w14:paraId="201A9D93" w14:textId="77777777" w:rsidR="00CC3651" w:rsidRPr="00C86111" w:rsidRDefault="00CC3651" w:rsidP="00CC3651"/>
    <w:p w14:paraId="75B2794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Crna Gora nikada nije proizvodila pesticide niti sredstva za zaštitu bilja, uključujući proizvode koji sadrže POPs supstance, te shodno tome izvoz takvih proizvoda iz Crne Gore nije postojao.</w:t>
      </w:r>
    </w:p>
    <w:p w14:paraId="5AE46566" w14:textId="77777777" w:rsidR="0081146A" w:rsidRPr="00C86111" w:rsidRDefault="0081146A" w:rsidP="00004F34">
      <w:pPr>
        <w:pStyle w:val="Heading1"/>
        <w:numPr>
          <w:ilvl w:val="1"/>
          <w:numId w:val="238"/>
        </w:numPr>
      </w:pPr>
      <w:bookmarkStart w:id="26" w:name="_Toc220541859"/>
      <w:r w:rsidRPr="00C86111">
        <w:t>Uvoz pesticida u Crnu Goru</w:t>
      </w:r>
      <w:bookmarkEnd w:id="26"/>
    </w:p>
    <w:p w14:paraId="525F9E5E" w14:textId="77777777" w:rsidR="00CC3651" w:rsidRPr="00C86111" w:rsidRDefault="00CC3651" w:rsidP="00CC3651"/>
    <w:p w14:paraId="0712DF96"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Pesticide u Crnu Goru mogu uvoziti preduzeća, drugi pravni subjekti ili preduzetnici koji su upisani u Registar uvoznika. Uvezena sredstva za zaštitu bilja, u skladu sa Zakonom o sredstvima za zaštitu bilja, mogu se isporučivati pravnim licima upisanim u Registar za veleprodaju i/ili maloprodaju sredstava za zaštitu bilja, pod uslovom da:</w:t>
      </w:r>
    </w:p>
    <w:p w14:paraId="7A1835AF" w14:textId="77777777" w:rsidR="0081146A" w:rsidRPr="00C86111" w:rsidRDefault="0081146A" w:rsidP="00004F34">
      <w:pPr>
        <w:numPr>
          <w:ilvl w:val="0"/>
          <w:numId w:val="171"/>
        </w:numPr>
        <w:jc w:val="both"/>
        <w:rPr>
          <w:rFonts w:asciiTheme="minorHAnsi" w:hAnsiTheme="minorHAnsi" w:cstheme="minorHAnsi"/>
          <w:color w:val="auto"/>
          <w:szCs w:val="24"/>
        </w:rPr>
      </w:pPr>
      <w:r w:rsidRPr="00C86111">
        <w:rPr>
          <w:rFonts w:asciiTheme="minorHAnsi" w:hAnsiTheme="minorHAnsi" w:cstheme="minorHAnsi"/>
          <w:color w:val="auto"/>
          <w:szCs w:val="24"/>
        </w:rPr>
        <w:t>imaju zaposlenog odgovornog za nabavku, distribuciju, plasman, čuvanje i izdavanje sredstava za zaštitu bilja sa završenim stručnim studijama, najčešće na Poljoprivrednom fakultetu (smjer zaštita bilja ili biljna proizvodnja);</w:t>
      </w:r>
    </w:p>
    <w:p w14:paraId="0DD0839F" w14:textId="77777777" w:rsidR="0081146A" w:rsidRPr="00C86111" w:rsidRDefault="0081146A" w:rsidP="00004F34">
      <w:pPr>
        <w:numPr>
          <w:ilvl w:val="0"/>
          <w:numId w:val="171"/>
        </w:numPr>
        <w:jc w:val="both"/>
        <w:rPr>
          <w:rFonts w:asciiTheme="minorHAnsi" w:hAnsiTheme="minorHAnsi" w:cstheme="minorHAnsi"/>
          <w:color w:val="auto"/>
          <w:szCs w:val="24"/>
        </w:rPr>
      </w:pPr>
      <w:r w:rsidRPr="00C86111">
        <w:rPr>
          <w:rFonts w:asciiTheme="minorHAnsi" w:hAnsiTheme="minorHAnsi" w:cstheme="minorHAnsi"/>
          <w:color w:val="auto"/>
          <w:szCs w:val="24"/>
        </w:rPr>
        <w:t>posjeduju odgovarajuću opremu i prostor za skladištenje ili prodaju sredstava za zaštitu bilja.</w:t>
      </w:r>
    </w:p>
    <w:p w14:paraId="135626C8"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Nacionalni plan za održivu upotrebu pesticida definisao je aktivnosti prikupljanja statističkih podataka o uvozu pesticida. Njegovom implementacijom postepeno je uspostavljen sistem administrativnih izvora podataka, uzimajući u obzir da Crna Gora ne proizvodi pesticide, te da su podaci o uvozu ključni i za praćenje njihove upotrebe.</w:t>
      </w:r>
    </w:p>
    <w:p w14:paraId="6B1A8D16"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 saradnji sa Zavodom za statistiku i Upravom carina, utvrđena je potreba da se biocidi i druga dezinfekciona sredstva odvoje od sredstava za zaštitu bilja kroz tarifne brojeve. Radi rješavanja ovog problema, preduzete su brojne aktivnosti koje su rezultirale uspostavljanjem preciznog sistema prikupljanja podataka, fokusiranog isključivo na sredstva za zaštitu bilja. Ovaj sistem omogućava Crnoj Gori da redovno dostavlja izvještaje EUROSTAT-u o upotrebi pesticida od 2017. godine.</w:t>
      </w:r>
    </w:p>
    <w:p w14:paraId="74A37B4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Na inventarskim listama i u zalihama uvoznika i distributera u Crnoj Gori ne postoje pesticidi sa POPs supstancama, što je potvrđeno dostavljenim podacima koji predstavljaju zvanični izvor informacija.</w:t>
      </w:r>
      <w:r w:rsidRPr="00C86111">
        <w:rPr>
          <w:rFonts w:asciiTheme="minorHAnsi" w:hAnsiTheme="minorHAnsi" w:cstheme="minorHAnsi"/>
          <w:vanish/>
          <w:color w:val="auto"/>
          <w:szCs w:val="24"/>
        </w:rPr>
        <w:t>Top of Form</w:t>
      </w:r>
    </w:p>
    <w:p w14:paraId="3EBE31FB" w14:textId="77777777" w:rsidR="0081146A" w:rsidRPr="00C86111" w:rsidRDefault="0081146A" w:rsidP="0081146A">
      <w:pPr>
        <w:jc w:val="both"/>
        <w:rPr>
          <w:rFonts w:asciiTheme="minorHAnsi" w:hAnsiTheme="minorHAnsi" w:cstheme="minorHAnsi"/>
          <w:vanish/>
          <w:color w:val="auto"/>
          <w:szCs w:val="24"/>
        </w:rPr>
      </w:pPr>
    </w:p>
    <w:p w14:paraId="5DBDA437" w14:textId="520FCCBC" w:rsidR="0081146A" w:rsidRPr="00C86111" w:rsidRDefault="0081146A" w:rsidP="00A84005">
      <w:pPr>
        <w:pStyle w:val="Heading4"/>
        <w:rPr>
          <w:b/>
          <w:bCs w:val="0"/>
          <w:color w:val="auto"/>
        </w:rPr>
      </w:pPr>
      <w:r w:rsidRPr="00C86111">
        <w:t>Početnih 9 POP pesticida (aldrin, hlordan, dikloro-difenil-trihloretan (DDT), dieldrin, endrin, heptaklor, heksaklorobenzen, mireks i toksafen)</w:t>
      </w:r>
    </w:p>
    <w:p w14:paraId="4F51B004"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b/>
          <w:bCs/>
          <w:color w:val="auto"/>
          <w:szCs w:val="24"/>
        </w:rPr>
        <w:t>DDT</w:t>
      </w:r>
      <w:r w:rsidRPr="00C86111">
        <w:rPr>
          <w:rFonts w:asciiTheme="minorHAnsi" w:hAnsiTheme="minorHAnsi" w:cstheme="minorHAnsi"/>
          <w:color w:val="auto"/>
          <w:szCs w:val="24"/>
        </w:rPr>
        <w:t xml:space="preserve"> je korišćen za suzbijanje komaraca prenosioca malarije u opštini Podgorica oko 1946. godine. Veća primjena DDT-a zabilježena je 1956. i 1957. godine, kada je korišćen u opštinama Podgorica, Nikšić, Danilovgrad, Cetinje, Ulcinj i Tivat za suzbijanje gusjenice trna u hrastovim šumama. Podaci o ovoj akciji pronađeni su u časopisu </w:t>
      </w:r>
      <w:r w:rsidRPr="00C86111">
        <w:rPr>
          <w:rFonts w:asciiTheme="minorHAnsi" w:hAnsiTheme="minorHAnsi" w:cstheme="minorHAnsi"/>
          <w:i/>
          <w:iCs/>
          <w:color w:val="auto"/>
          <w:szCs w:val="24"/>
        </w:rPr>
        <w:t>Naša poljoprivreda</w:t>
      </w:r>
      <w:r w:rsidRPr="00C86111">
        <w:rPr>
          <w:rFonts w:asciiTheme="minorHAnsi" w:hAnsiTheme="minorHAnsi" w:cstheme="minorHAnsi"/>
          <w:color w:val="auto"/>
          <w:szCs w:val="24"/>
        </w:rPr>
        <w:t xml:space="preserve"> iz 1957. godine.</w:t>
      </w:r>
    </w:p>
    <w:p w14:paraId="0BDA61B9"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U 1956. godini DDT je primijenjen u opštinama Cetinje, Podgorica i Nikšić na površini od 21.011 ha, pri čemu je potrošeno 39.960 kg DDT-a u avionskom prskanju (oko 1,9 kg/ha). Tokom 1957. godine, akcija je proširena i na opštine Tivat i Ulcinj, obuhvatajući 47.036 ha, a potrošeno je 78.070 kg DDT-a (1,66 kg/ha).</w:t>
      </w:r>
    </w:p>
    <w:p w14:paraId="53E3A8A2"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Pored avionskog prskanja, u 1956. godini sprovedeno je i zemaljsko prskanje motorizovanim prskalicama na lokacijama Crmnica i Ostrog (opštine Bar i Danilovgrad).</w:t>
      </w:r>
    </w:p>
    <w:p w14:paraId="5FC9320E"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 opštini Berane, </w:t>
      </w:r>
      <w:r w:rsidRPr="00C86111">
        <w:rPr>
          <w:rFonts w:asciiTheme="minorHAnsi" w:hAnsiTheme="minorHAnsi" w:cstheme="minorHAnsi"/>
          <w:b/>
          <w:bCs/>
          <w:color w:val="auto"/>
          <w:szCs w:val="24"/>
        </w:rPr>
        <w:t>endrin</w:t>
      </w:r>
      <w:r w:rsidRPr="00C86111">
        <w:rPr>
          <w:rFonts w:asciiTheme="minorHAnsi" w:hAnsiTheme="minorHAnsi" w:cstheme="minorHAnsi"/>
          <w:color w:val="auto"/>
          <w:szCs w:val="24"/>
        </w:rPr>
        <w:t xml:space="preserve"> i </w:t>
      </w:r>
      <w:r w:rsidRPr="00C86111">
        <w:rPr>
          <w:rFonts w:asciiTheme="minorHAnsi" w:hAnsiTheme="minorHAnsi" w:cstheme="minorHAnsi"/>
          <w:b/>
          <w:bCs/>
          <w:color w:val="auto"/>
          <w:szCs w:val="24"/>
        </w:rPr>
        <w:t>toksafen</w:t>
      </w:r>
      <w:r w:rsidRPr="00C86111">
        <w:rPr>
          <w:rFonts w:asciiTheme="minorHAnsi" w:hAnsiTheme="minorHAnsi" w:cstheme="minorHAnsi"/>
          <w:color w:val="auto"/>
          <w:szCs w:val="24"/>
        </w:rPr>
        <w:t xml:space="preserve"> korišćeni su za suzbijanje voluharica, dok je toksafen primijenjivan i za suzbijanje buba ružičara (</w:t>
      </w:r>
      <w:r w:rsidRPr="00C86111">
        <w:rPr>
          <w:rFonts w:asciiTheme="minorHAnsi" w:hAnsiTheme="minorHAnsi" w:cstheme="minorHAnsi"/>
          <w:i/>
          <w:iCs/>
          <w:color w:val="auto"/>
          <w:szCs w:val="24"/>
        </w:rPr>
        <w:t>Tropinota hirta</w:t>
      </w:r>
      <w:r w:rsidRPr="00C86111">
        <w:rPr>
          <w:rFonts w:asciiTheme="minorHAnsi" w:hAnsiTheme="minorHAnsi" w:cstheme="minorHAnsi"/>
          <w:color w:val="auto"/>
          <w:szCs w:val="24"/>
        </w:rPr>
        <w:t>) i osa (</w:t>
      </w:r>
      <w:r w:rsidRPr="00C86111">
        <w:rPr>
          <w:rFonts w:asciiTheme="minorHAnsi" w:hAnsiTheme="minorHAnsi" w:cstheme="minorHAnsi"/>
          <w:i/>
          <w:iCs/>
          <w:color w:val="auto"/>
          <w:szCs w:val="24"/>
        </w:rPr>
        <w:t>Vespa sp.</w:t>
      </w:r>
      <w:r w:rsidRPr="00C86111">
        <w:rPr>
          <w:rFonts w:asciiTheme="minorHAnsi" w:hAnsiTheme="minorHAnsi" w:cstheme="minorHAnsi"/>
          <w:color w:val="auto"/>
          <w:szCs w:val="24"/>
        </w:rPr>
        <w:t xml:space="preserve">). </w:t>
      </w:r>
      <w:r w:rsidRPr="00C86111">
        <w:rPr>
          <w:rFonts w:asciiTheme="minorHAnsi" w:hAnsiTheme="minorHAnsi" w:cstheme="minorHAnsi"/>
          <w:b/>
          <w:bCs/>
          <w:color w:val="auto"/>
          <w:szCs w:val="24"/>
        </w:rPr>
        <w:t>Aldrin</w:t>
      </w:r>
      <w:r w:rsidRPr="00C86111">
        <w:rPr>
          <w:rFonts w:asciiTheme="minorHAnsi" w:hAnsiTheme="minorHAnsi" w:cstheme="minorHAnsi"/>
          <w:color w:val="auto"/>
          <w:szCs w:val="24"/>
        </w:rPr>
        <w:t xml:space="preserve"> i </w:t>
      </w:r>
      <w:r w:rsidRPr="00C86111">
        <w:rPr>
          <w:rFonts w:asciiTheme="minorHAnsi" w:hAnsiTheme="minorHAnsi" w:cstheme="minorHAnsi"/>
          <w:b/>
          <w:bCs/>
          <w:color w:val="auto"/>
          <w:szCs w:val="24"/>
        </w:rPr>
        <w:t>dieldrin</w:t>
      </w:r>
      <w:r w:rsidRPr="00C86111">
        <w:rPr>
          <w:rFonts w:asciiTheme="minorHAnsi" w:hAnsiTheme="minorHAnsi" w:cstheme="minorHAnsi"/>
          <w:color w:val="auto"/>
          <w:szCs w:val="24"/>
        </w:rPr>
        <w:t xml:space="preserve"> korišćeni su kao insekticidi za zemljište. Ovi pesticidi primjenjivani su u periodu od 1968. do 1977. godine.</w:t>
      </w:r>
    </w:p>
    <w:p w14:paraId="44922FCF"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Sredstva za zaštitu bilja sa aktivnim komponentama </w:t>
      </w:r>
      <w:r w:rsidRPr="00C86111">
        <w:rPr>
          <w:rFonts w:asciiTheme="minorHAnsi" w:hAnsiTheme="minorHAnsi" w:cstheme="minorHAnsi"/>
          <w:b/>
          <w:bCs/>
          <w:color w:val="auto"/>
          <w:szCs w:val="24"/>
        </w:rPr>
        <w:t>hlordan</w:t>
      </w:r>
      <w:r w:rsidRPr="00C86111">
        <w:rPr>
          <w:rFonts w:asciiTheme="minorHAnsi" w:hAnsiTheme="minorHAnsi" w:cstheme="minorHAnsi"/>
          <w:color w:val="auto"/>
          <w:szCs w:val="24"/>
        </w:rPr>
        <w:t xml:space="preserve"> i </w:t>
      </w:r>
      <w:r w:rsidRPr="00C86111">
        <w:rPr>
          <w:rFonts w:asciiTheme="minorHAnsi" w:hAnsiTheme="minorHAnsi" w:cstheme="minorHAnsi"/>
          <w:b/>
          <w:bCs/>
          <w:color w:val="auto"/>
          <w:szCs w:val="24"/>
        </w:rPr>
        <w:t>heptahlor</w:t>
      </w:r>
      <w:r w:rsidRPr="00C86111">
        <w:rPr>
          <w:rFonts w:asciiTheme="minorHAnsi" w:hAnsiTheme="minorHAnsi" w:cstheme="minorHAnsi"/>
          <w:color w:val="auto"/>
          <w:szCs w:val="24"/>
        </w:rPr>
        <w:t xml:space="preserve"> proizvodila je fabrika </w:t>
      </w:r>
      <w:r w:rsidRPr="00C86111">
        <w:rPr>
          <w:rFonts w:asciiTheme="minorHAnsi" w:hAnsiTheme="minorHAnsi" w:cstheme="minorHAnsi"/>
          <w:i/>
          <w:iCs/>
          <w:color w:val="auto"/>
          <w:szCs w:val="24"/>
        </w:rPr>
        <w:t>Zorka</w:t>
      </w:r>
      <w:r w:rsidRPr="00C86111">
        <w:rPr>
          <w:rFonts w:asciiTheme="minorHAnsi" w:hAnsiTheme="minorHAnsi" w:cstheme="minorHAnsi"/>
          <w:color w:val="auto"/>
          <w:szCs w:val="24"/>
        </w:rPr>
        <w:t xml:space="preserve"> u Šapcu (Srbija) u periodu kada je Crna Gora bila republika u okviru SFRJ. Međutim, nema podataka o njihovoj primjeni u Crnoj Gori. Takođe, </w:t>
      </w:r>
      <w:r w:rsidRPr="00C86111">
        <w:rPr>
          <w:rFonts w:asciiTheme="minorHAnsi" w:hAnsiTheme="minorHAnsi" w:cstheme="minorHAnsi"/>
          <w:b/>
          <w:bCs/>
          <w:color w:val="auto"/>
          <w:szCs w:val="24"/>
        </w:rPr>
        <w:t>nema dokaza</w:t>
      </w:r>
      <w:r w:rsidRPr="00C86111">
        <w:rPr>
          <w:rFonts w:asciiTheme="minorHAnsi" w:hAnsiTheme="minorHAnsi" w:cstheme="minorHAnsi"/>
          <w:color w:val="auto"/>
          <w:szCs w:val="24"/>
        </w:rPr>
        <w:t xml:space="preserve"> da su </w:t>
      </w:r>
      <w:r w:rsidRPr="00C86111">
        <w:rPr>
          <w:rFonts w:asciiTheme="minorHAnsi" w:hAnsiTheme="minorHAnsi" w:cstheme="minorHAnsi"/>
          <w:b/>
          <w:bCs/>
          <w:color w:val="auto"/>
          <w:szCs w:val="24"/>
        </w:rPr>
        <w:t>heksahlorobenzen</w:t>
      </w:r>
      <w:r w:rsidRPr="00C86111">
        <w:rPr>
          <w:rFonts w:asciiTheme="minorHAnsi" w:hAnsiTheme="minorHAnsi" w:cstheme="minorHAnsi"/>
          <w:color w:val="auto"/>
          <w:szCs w:val="24"/>
        </w:rPr>
        <w:t xml:space="preserve"> i </w:t>
      </w:r>
      <w:r w:rsidRPr="00C86111">
        <w:rPr>
          <w:rFonts w:asciiTheme="minorHAnsi" w:hAnsiTheme="minorHAnsi" w:cstheme="minorHAnsi"/>
          <w:b/>
          <w:bCs/>
          <w:color w:val="auto"/>
          <w:szCs w:val="24"/>
        </w:rPr>
        <w:t>mireks</w:t>
      </w:r>
      <w:r w:rsidRPr="00C86111">
        <w:rPr>
          <w:rFonts w:asciiTheme="minorHAnsi" w:hAnsiTheme="minorHAnsi" w:cstheme="minorHAnsi"/>
          <w:color w:val="auto"/>
          <w:szCs w:val="24"/>
        </w:rPr>
        <w:t xml:space="preserve"> ikada korišćeni na teritoriji Crne Gore.</w:t>
      </w:r>
    </w:p>
    <w:p w14:paraId="3740E12E"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Pored ovih pesticida, u narednoj fazi inventara razmatrani su i dodatni POP pesticidi, uključujući </w:t>
      </w:r>
      <w:r w:rsidRPr="00C86111">
        <w:rPr>
          <w:rFonts w:asciiTheme="minorHAnsi" w:hAnsiTheme="minorHAnsi" w:cstheme="minorHAnsi"/>
          <w:b/>
          <w:bCs/>
          <w:color w:val="auto"/>
          <w:szCs w:val="24"/>
        </w:rPr>
        <w:t>hlordekon</w:t>
      </w:r>
      <w:r w:rsidRPr="00C86111">
        <w:rPr>
          <w:rFonts w:asciiTheme="minorHAnsi" w:hAnsiTheme="minorHAnsi" w:cstheme="minorHAnsi"/>
          <w:color w:val="auto"/>
          <w:szCs w:val="24"/>
        </w:rPr>
        <w:t xml:space="preserve">, </w:t>
      </w:r>
      <w:r w:rsidRPr="00C86111">
        <w:rPr>
          <w:rFonts w:asciiTheme="minorHAnsi" w:hAnsiTheme="minorHAnsi" w:cstheme="minorHAnsi"/>
          <w:b/>
          <w:bCs/>
          <w:color w:val="auto"/>
          <w:szCs w:val="24"/>
        </w:rPr>
        <w:t>endosulfan</w:t>
      </w:r>
      <w:r w:rsidRPr="00C86111">
        <w:rPr>
          <w:rFonts w:asciiTheme="minorHAnsi" w:hAnsiTheme="minorHAnsi" w:cstheme="minorHAnsi"/>
          <w:color w:val="auto"/>
          <w:szCs w:val="24"/>
        </w:rPr>
        <w:t xml:space="preserve"> i </w:t>
      </w:r>
      <w:r w:rsidRPr="00C86111">
        <w:rPr>
          <w:rFonts w:asciiTheme="minorHAnsi" w:hAnsiTheme="minorHAnsi" w:cstheme="minorHAnsi"/>
          <w:b/>
          <w:bCs/>
          <w:color w:val="auto"/>
          <w:szCs w:val="24"/>
        </w:rPr>
        <w:t>lindan</w:t>
      </w:r>
      <w:r w:rsidRPr="00C86111">
        <w:rPr>
          <w:rFonts w:asciiTheme="minorHAnsi" w:hAnsiTheme="minorHAnsi" w:cstheme="minorHAnsi"/>
          <w:color w:val="auto"/>
          <w:szCs w:val="24"/>
        </w:rPr>
        <w:t>.</w:t>
      </w:r>
    </w:p>
    <w:p w14:paraId="0616E754" w14:textId="77777777" w:rsidR="0081146A" w:rsidRPr="00C86111" w:rsidRDefault="0081146A" w:rsidP="00EA6904">
      <w:pPr>
        <w:pStyle w:val="Heading4"/>
      </w:pPr>
      <w:r w:rsidRPr="00C86111">
        <w:t>Hlordekon</w:t>
      </w:r>
    </w:p>
    <w:p w14:paraId="37B5482D" w14:textId="5ADDC4C2"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Hlordekon je naveden u Aneksu A Stokholmske konvencije bez specifičnih izuzetaka (odluka SC-4/12). Hemijska struktura, upotreba i proizvodnja, kao i POPs karakteristike hlordecona prikazane su u Tabeli </w:t>
      </w:r>
      <w:r w:rsidR="00A12257" w:rsidRPr="00C86111">
        <w:rPr>
          <w:rFonts w:asciiTheme="minorHAnsi" w:hAnsiTheme="minorHAnsi" w:cstheme="minorHAnsi"/>
          <w:color w:val="auto"/>
          <w:szCs w:val="24"/>
        </w:rPr>
        <w:t>5</w:t>
      </w:r>
      <w:r w:rsidRPr="00C86111">
        <w:rPr>
          <w:rFonts w:asciiTheme="minorHAnsi" w:hAnsiTheme="minorHAnsi" w:cstheme="minorHAnsi"/>
          <w:color w:val="auto"/>
          <w:szCs w:val="24"/>
        </w:rPr>
        <w:t>.</w:t>
      </w:r>
    </w:p>
    <w:p w14:paraId="409EA4D7" w14:textId="77777777" w:rsidR="0081146A" w:rsidRPr="00C86111" w:rsidRDefault="0081146A" w:rsidP="0081146A">
      <w:pPr>
        <w:jc w:val="both"/>
        <w:rPr>
          <w:rFonts w:asciiTheme="minorHAnsi" w:hAnsiTheme="minorHAnsi" w:cstheme="minorHAnsi"/>
          <w:color w:val="auto"/>
          <w:szCs w:val="24"/>
        </w:rPr>
      </w:pPr>
    </w:p>
    <w:p w14:paraId="21269251" w14:textId="01DDC1B4"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A12257" w:rsidRPr="00C86111">
        <w:rPr>
          <w:rFonts w:asciiTheme="minorHAnsi" w:hAnsiTheme="minorHAnsi" w:cstheme="minorHAnsi"/>
          <w:b/>
          <w:bCs/>
          <w:color w:val="auto"/>
          <w:szCs w:val="24"/>
        </w:rPr>
        <w:t>5</w:t>
      </w:r>
      <w:r w:rsidRPr="00C86111">
        <w:rPr>
          <w:rFonts w:asciiTheme="minorHAnsi" w:hAnsiTheme="minorHAnsi" w:cstheme="minorHAnsi"/>
          <w:b/>
          <w:bCs/>
          <w:color w:val="auto"/>
          <w:szCs w:val="24"/>
        </w:rPr>
        <w:t>.</w:t>
      </w:r>
      <w:r w:rsidRPr="00C86111">
        <w:rPr>
          <w:rFonts w:asciiTheme="minorHAnsi" w:hAnsiTheme="minorHAnsi" w:cstheme="minorHAnsi"/>
          <w:color w:val="auto"/>
          <w:szCs w:val="24"/>
        </w:rPr>
        <w:t xml:space="preserve"> Osnovne informacije o hlordekonu</w:t>
      </w:r>
    </w:p>
    <w:tbl>
      <w:tblPr>
        <w:tblStyle w:val="GridTable5Dark-Accent6"/>
        <w:tblW w:w="0" w:type="auto"/>
        <w:tblLook w:val="04A0" w:firstRow="1" w:lastRow="0" w:firstColumn="1" w:lastColumn="0" w:noHBand="0" w:noVBand="1"/>
      </w:tblPr>
      <w:tblGrid>
        <w:gridCol w:w="2335"/>
        <w:gridCol w:w="7015"/>
      </w:tblGrid>
      <w:tr w:rsidR="0081146A" w:rsidRPr="00C86111" w14:paraId="5C49BC97"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32E2288"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Hlordekon</w:t>
            </w:r>
          </w:p>
        </w:tc>
        <w:tc>
          <w:tcPr>
            <w:tcW w:w="7015" w:type="dxa"/>
          </w:tcPr>
          <w:p w14:paraId="6BEF7433" w14:textId="77777777" w:rsidR="0081146A" w:rsidRPr="00C86111" w:rsidRDefault="0081146A"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81146A" w:rsidRPr="00C86111" w14:paraId="568CE84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3D4D4A2"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Struktura</w:t>
            </w:r>
          </w:p>
        </w:tc>
        <w:tc>
          <w:tcPr>
            <w:tcW w:w="7015" w:type="dxa"/>
          </w:tcPr>
          <w:p w14:paraId="66EE1447" w14:textId="77777777" w:rsidR="0081146A" w:rsidRPr="00C86111" w:rsidRDefault="0081146A"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54624475" wp14:editId="58E931BF">
                  <wp:extent cx="929073" cy="942394"/>
                  <wp:effectExtent l="0" t="0" r="0" b="0"/>
                  <wp:docPr id="1073741825" name="officeArt object" descr="Chlordecone - Wikipedia"/>
                  <wp:cNvGraphicFramePr/>
                  <a:graphic xmlns:a="http://schemas.openxmlformats.org/drawingml/2006/main">
                    <a:graphicData uri="http://schemas.openxmlformats.org/drawingml/2006/picture">
                      <pic:pic xmlns:pic="http://schemas.openxmlformats.org/drawingml/2006/picture">
                        <pic:nvPicPr>
                          <pic:cNvPr id="1073741825" name="Chlordecone - Wikipedia" descr="Chlordecone - Wikipedia"/>
                          <pic:cNvPicPr>
                            <a:picLocks noChangeAspect="1"/>
                          </pic:cNvPicPr>
                        </pic:nvPicPr>
                        <pic:blipFill>
                          <a:blip r:embed="rId9"/>
                          <a:stretch>
                            <a:fillRect/>
                          </a:stretch>
                        </pic:blipFill>
                        <pic:spPr>
                          <a:xfrm>
                            <a:off x="0" y="0"/>
                            <a:ext cx="929073" cy="942394"/>
                          </a:xfrm>
                          <a:prstGeom prst="rect">
                            <a:avLst/>
                          </a:prstGeom>
                          <a:ln w="12700" cap="flat">
                            <a:noFill/>
                            <a:miter lim="400000"/>
                          </a:ln>
                          <a:effectLst/>
                        </pic:spPr>
                      </pic:pic>
                    </a:graphicData>
                  </a:graphic>
                </wp:inline>
              </w:drawing>
            </w:r>
          </w:p>
        </w:tc>
      </w:tr>
      <w:tr w:rsidR="0081146A" w:rsidRPr="00C86111" w14:paraId="548B3C77" w14:textId="77777777" w:rsidTr="00BC765B">
        <w:tc>
          <w:tcPr>
            <w:cnfStyle w:val="001000000000" w:firstRow="0" w:lastRow="0" w:firstColumn="1" w:lastColumn="0" w:oddVBand="0" w:evenVBand="0" w:oddHBand="0" w:evenHBand="0" w:firstRowFirstColumn="0" w:firstRowLastColumn="0" w:lastRowFirstColumn="0" w:lastRowLastColumn="0"/>
            <w:tcW w:w="2335" w:type="dxa"/>
          </w:tcPr>
          <w:p w14:paraId="76B872CA"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CAS br.</w:t>
            </w:r>
          </w:p>
        </w:tc>
        <w:tc>
          <w:tcPr>
            <w:tcW w:w="7015" w:type="dxa"/>
          </w:tcPr>
          <w:p w14:paraId="1D189EA7" w14:textId="77777777" w:rsidR="0081146A" w:rsidRPr="00C86111" w:rsidRDefault="0081146A"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143-50-0</w:t>
            </w:r>
          </w:p>
        </w:tc>
      </w:tr>
      <w:tr w:rsidR="0081146A" w:rsidRPr="00C86111" w14:paraId="472F310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7C9B8C3A"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Upotreba i proizvodnja</w:t>
            </w:r>
          </w:p>
        </w:tc>
        <w:tc>
          <w:tcPr>
            <w:tcW w:w="7015" w:type="dxa"/>
          </w:tcPr>
          <w:p w14:paraId="765F7598" w14:textId="77777777" w:rsidR="0081146A" w:rsidRPr="00C86111" w:rsidRDefault="0081146A"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Hlordekon je sintetički hlorisani organski spoj, primarno korišćen kao pesticid. Prvi put je sintetisan 1951. godine, a komercijalno uveden u Sjedinjenim Američkim Državama pod trgovačkim imenom Kepone 1958. godine.</w:t>
            </w:r>
          </w:p>
        </w:tc>
      </w:tr>
      <w:tr w:rsidR="0081146A" w:rsidRPr="00C86111" w14:paraId="54F6B07C" w14:textId="77777777" w:rsidTr="00BC765B">
        <w:tc>
          <w:tcPr>
            <w:cnfStyle w:val="001000000000" w:firstRow="0" w:lastRow="0" w:firstColumn="1" w:lastColumn="0" w:oddVBand="0" w:evenVBand="0" w:oddHBand="0" w:evenHBand="0" w:firstRowFirstColumn="0" w:firstRowLastColumn="0" w:lastRowFirstColumn="0" w:lastRowLastColumn="0"/>
            <w:tcW w:w="2335" w:type="dxa"/>
          </w:tcPr>
          <w:p w14:paraId="78795154"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POPs karakteristike</w:t>
            </w:r>
          </w:p>
        </w:tc>
        <w:tc>
          <w:tcPr>
            <w:tcW w:w="7015" w:type="dxa"/>
          </w:tcPr>
          <w:p w14:paraId="6131F7A7" w14:textId="77777777" w:rsidR="0081146A" w:rsidRPr="00C86111" w:rsidRDefault="0081146A"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Hlordekon je veoma postojan u životnoj sredini, ima visok potencijal za bioakumulaciju i biomagnifikaciju, i na osnovu svojih fizičko-hemijskih svojstava i modelskih podataka, podložan je transportu na velike udaljenosti. Klasifikovan je kao mogući kancerogen za ljude i veoma je toksičan za vodene organizme.</w:t>
            </w:r>
          </w:p>
        </w:tc>
      </w:tr>
      <w:tr w:rsidR="0081146A" w:rsidRPr="00C86111" w14:paraId="08198DE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6DD77B1"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Alternativa</w:t>
            </w:r>
          </w:p>
        </w:tc>
        <w:tc>
          <w:tcPr>
            <w:tcW w:w="7015" w:type="dxa"/>
          </w:tcPr>
          <w:p w14:paraId="49457154" w14:textId="77777777" w:rsidR="0081146A" w:rsidRPr="00C86111" w:rsidRDefault="0081146A"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Upotreba prirodnih predatora, parazita ili bolesti za kontrolu štetočina umesto hemijskih pesticida može biti efikasna alternativa. Rotacija usjeva može smanjiti potrebu za pesticidima jer otežava prilagođavanje štetočina određenim biljkama. Pesticidi na bazi prirodnih sastojaka mogu pružiti alternativu konvencionalnim hemijskim pesticidima.</w:t>
            </w:r>
          </w:p>
        </w:tc>
      </w:tr>
    </w:tbl>
    <w:p w14:paraId="57662126" w14:textId="77777777" w:rsidR="0081146A" w:rsidRPr="00C86111" w:rsidRDefault="0081146A" w:rsidP="0081146A">
      <w:pPr>
        <w:jc w:val="both"/>
        <w:rPr>
          <w:rFonts w:asciiTheme="minorHAnsi" w:hAnsiTheme="minorHAnsi" w:cstheme="minorHAnsi"/>
          <w:color w:val="auto"/>
          <w:sz w:val="20"/>
          <w:szCs w:val="20"/>
        </w:rPr>
      </w:pPr>
    </w:p>
    <w:p w14:paraId="0412922A" w14:textId="77777777" w:rsidR="0081146A" w:rsidRPr="00C86111" w:rsidRDefault="0081146A" w:rsidP="0081146A">
      <w:pPr>
        <w:jc w:val="both"/>
        <w:rPr>
          <w:rFonts w:asciiTheme="minorHAnsi" w:hAnsiTheme="minorHAnsi" w:cstheme="minorHAnsi"/>
          <w:color w:val="auto"/>
          <w:sz w:val="20"/>
          <w:szCs w:val="20"/>
        </w:rPr>
      </w:pPr>
    </w:p>
    <w:p w14:paraId="184D2F8B" w14:textId="4282656E" w:rsidR="0081146A" w:rsidRPr="00C86111" w:rsidRDefault="0081146A" w:rsidP="00A84005">
      <w:pPr>
        <w:pStyle w:val="Heading4"/>
        <w:rPr>
          <w:b/>
          <w:bCs w:val="0"/>
          <w:color w:val="auto"/>
        </w:rPr>
      </w:pPr>
      <w:r w:rsidRPr="00C86111">
        <w:lastRenderedPageBreak/>
        <w:t>Endosulfan</w:t>
      </w:r>
    </w:p>
    <w:p w14:paraId="64259892" w14:textId="016AE714"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Endosulfan je naveden u Aneksu A Stokholmske konvencije sa specifičnim izuzecima za proizvodnju i upotrebu na kompleksima štetočina na usevima navedenim u delu VI tog aneksa (odluka SC-5/3). Hemijska struktura, upotreba i proizvodnja, kao i POPs karakteristike endosulfana prikazane su u Tabeli </w:t>
      </w:r>
      <w:r w:rsidR="00A12257" w:rsidRPr="00C86111">
        <w:rPr>
          <w:rFonts w:asciiTheme="minorHAnsi" w:hAnsiTheme="minorHAnsi" w:cstheme="minorHAnsi"/>
          <w:color w:val="auto"/>
          <w:szCs w:val="24"/>
        </w:rPr>
        <w:t>6</w:t>
      </w:r>
      <w:r w:rsidRPr="00C86111">
        <w:rPr>
          <w:rFonts w:asciiTheme="minorHAnsi" w:hAnsiTheme="minorHAnsi" w:cstheme="minorHAnsi"/>
          <w:color w:val="auto"/>
          <w:szCs w:val="24"/>
        </w:rPr>
        <w:t>.</w:t>
      </w:r>
    </w:p>
    <w:p w14:paraId="115B1845" w14:textId="77777777" w:rsidR="0081146A" w:rsidRPr="00C86111" w:rsidRDefault="0081146A" w:rsidP="0081146A">
      <w:pPr>
        <w:jc w:val="both"/>
        <w:rPr>
          <w:rFonts w:asciiTheme="minorHAnsi" w:hAnsiTheme="minorHAnsi" w:cstheme="minorHAnsi"/>
          <w:color w:val="auto"/>
          <w:szCs w:val="24"/>
        </w:rPr>
      </w:pPr>
    </w:p>
    <w:p w14:paraId="6EBED2E0" w14:textId="24CF2A33"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A12257" w:rsidRPr="00C86111">
        <w:rPr>
          <w:rFonts w:asciiTheme="minorHAnsi" w:hAnsiTheme="minorHAnsi" w:cstheme="minorHAnsi"/>
          <w:b/>
          <w:bCs/>
          <w:color w:val="auto"/>
          <w:szCs w:val="24"/>
        </w:rPr>
        <w:t>6</w:t>
      </w:r>
      <w:r w:rsidRPr="00C86111">
        <w:rPr>
          <w:rFonts w:asciiTheme="minorHAnsi" w:hAnsiTheme="minorHAnsi" w:cstheme="minorHAnsi"/>
          <w:b/>
          <w:bCs/>
          <w:color w:val="auto"/>
          <w:szCs w:val="24"/>
        </w:rPr>
        <w:t>.</w:t>
      </w:r>
      <w:r w:rsidRPr="00C86111">
        <w:rPr>
          <w:rFonts w:asciiTheme="minorHAnsi" w:hAnsiTheme="minorHAnsi" w:cstheme="minorHAnsi"/>
          <w:color w:val="auto"/>
          <w:szCs w:val="24"/>
        </w:rPr>
        <w:t xml:space="preserve"> Osnovne informacije o endosulfanu</w:t>
      </w:r>
    </w:p>
    <w:tbl>
      <w:tblPr>
        <w:tblStyle w:val="GridTable5Dark-Accent6"/>
        <w:tblW w:w="0" w:type="auto"/>
        <w:tblLook w:val="04A0" w:firstRow="1" w:lastRow="0" w:firstColumn="1" w:lastColumn="0" w:noHBand="0" w:noVBand="1"/>
      </w:tblPr>
      <w:tblGrid>
        <w:gridCol w:w="1975"/>
        <w:gridCol w:w="7375"/>
      </w:tblGrid>
      <w:tr w:rsidR="0081146A" w:rsidRPr="00C86111" w14:paraId="0E2E759F"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3E7172C"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Endosulfan</w:t>
            </w:r>
          </w:p>
        </w:tc>
        <w:tc>
          <w:tcPr>
            <w:tcW w:w="7375" w:type="dxa"/>
          </w:tcPr>
          <w:p w14:paraId="3370EC85" w14:textId="77777777" w:rsidR="0081146A" w:rsidRPr="00C86111" w:rsidRDefault="0081146A"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81146A" w:rsidRPr="00C86111" w14:paraId="4178490C"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7631D4B"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Struktura</w:t>
            </w:r>
          </w:p>
        </w:tc>
        <w:tc>
          <w:tcPr>
            <w:tcW w:w="7375" w:type="dxa"/>
          </w:tcPr>
          <w:p w14:paraId="2067997E" w14:textId="77777777" w:rsidR="0081146A" w:rsidRPr="00C86111" w:rsidRDefault="0081146A"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052663D4" wp14:editId="2CD05DA9">
                  <wp:extent cx="1379220" cy="917808"/>
                  <wp:effectExtent l="0" t="0" r="0" b="0"/>
                  <wp:docPr id="1073741826" name="officeArt object" descr="Skeletal formula with undefined stereochemistry at the sulfur atom"/>
                  <wp:cNvGraphicFramePr/>
                  <a:graphic xmlns:a="http://schemas.openxmlformats.org/drawingml/2006/main">
                    <a:graphicData uri="http://schemas.openxmlformats.org/drawingml/2006/picture">
                      <pic:pic xmlns:pic="http://schemas.openxmlformats.org/drawingml/2006/picture">
                        <pic:nvPicPr>
                          <pic:cNvPr id="1073741826" name="Skeletal formula with undefined stereochemistry at the sulfur atom" descr="Skeletal formula with undefined stereochemistry at the sulfur atom"/>
                          <pic:cNvPicPr>
                            <a:picLocks noChangeAspect="1"/>
                          </pic:cNvPicPr>
                        </pic:nvPicPr>
                        <pic:blipFill>
                          <a:blip r:embed="rId10"/>
                          <a:stretch>
                            <a:fillRect/>
                          </a:stretch>
                        </pic:blipFill>
                        <pic:spPr>
                          <a:xfrm>
                            <a:off x="0" y="0"/>
                            <a:ext cx="1379220" cy="917808"/>
                          </a:xfrm>
                          <a:prstGeom prst="rect">
                            <a:avLst/>
                          </a:prstGeom>
                          <a:ln w="12700" cap="flat">
                            <a:noFill/>
                            <a:miter lim="400000"/>
                          </a:ln>
                          <a:effectLst/>
                        </pic:spPr>
                      </pic:pic>
                    </a:graphicData>
                  </a:graphic>
                </wp:inline>
              </w:drawing>
            </w:r>
          </w:p>
        </w:tc>
      </w:tr>
      <w:tr w:rsidR="0081146A" w:rsidRPr="00C86111" w14:paraId="1CCCD231" w14:textId="77777777" w:rsidTr="00BC765B">
        <w:tc>
          <w:tcPr>
            <w:cnfStyle w:val="001000000000" w:firstRow="0" w:lastRow="0" w:firstColumn="1" w:lastColumn="0" w:oddVBand="0" w:evenVBand="0" w:oddHBand="0" w:evenHBand="0" w:firstRowFirstColumn="0" w:firstRowLastColumn="0" w:lastRowFirstColumn="0" w:lastRowLastColumn="0"/>
            <w:tcW w:w="1975" w:type="dxa"/>
          </w:tcPr>
          <w:p w14:paraId="3E9715C5"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CAS br.</w:t>
            </w:r>
          </w:p>
        </w:tc>
        <w:tc>
          <w:tcPr>
            <w:tcW w:w="7375" w:type="dxa"/>
          </w:tcPr>
          <w:p w14:paraId="452AFA30" w14:textId="77777777" w:rsidR="0081146A" w:rsidRPr="00C86111" w:rsidRDefault="0081146A"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115-29-7 (povezani izomeri* CAS br: 959-98-8 i CAS br: 33213-65-9)</w:t>
            </w:r>
          </w:p>
        </w:tc>
      </w:tr>
      <w:tr w:rsidR="0081146A" w:rsidRPr="00C86111" w14:paraId="4073A80D"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8A8519A"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Upotreba i proizvodnja</w:t>
            </w:r>
          </w:p>
        </w:tc>
        <w:tc>
          <w:tcPr>
            <w:tcW w:w="7375" w:type="dxa"/>
          </w:tcPr>
          <w:p w14:paraId="6C4F7CCD" w14:textId="77777777" w:rsidR="0081146A" w:rsidRPr="00C86111" w:rsidRDefault="0081146A"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Endosulfan je insekticid koji se pojavljuje u dva izomera, alfa i beta endosulfan, oba biološki aktivna. Kao širokospektralni insekticid, endosulfan se koristio za kontrolu širokog spektra štetočina na raznim usjevima, uključujući kafu, pamuk, pirinač, sirak i soju. Cirkulacija insekticida koji sadrže aktivnu supstancu endosulfan zabranjena je u Crnoj Gori 2008. godine.</w:t>
            </w:r>
          </w:p>
        </w:tc>
      </w:tr>
      <w:tr w:rsidR="0081146A" w:rsidRPr="00C86111" w14:paraId="4314F76A" w14:textId="77777777" w:rsidTr="00BC765B">
        <w:tc>
          <w:tcPr>
            <w:cnfStyle w:val="001000000000" w:firstRow="0" w:lastRow="0" w:firstColumn="1" w:lastColumn="0" w:oddVBand="0" w:evenVBand="0" w:oddHBand="0" w:evenHBand="0" w:firstRowFirstColumn="0" w:firstRowLastColumn="0" w:lastRowFirstColumn="0" w:lastRowLastColumn="0"/>
            <w:tcW w:w="1975" w:type="dxa"/>
          </w:tcPr>
          <w:p w14:paraId="3002E400"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POPs karakteristike</w:t>
            </w:r>
          </w:p>
        </w:tc>
        <w:tc>
          <w:tcPr>
            <w:tcW w:w="7375" w:type="dxa"/>
          </w:tcPr>
          <w:p w14:paraId="79F18F57" w14:textId="77777777" w:rsidR="0081146A" w:rsidRPr="00C86111" w:rsidRDefault="0081146A"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Endosulfan je poznat po svojoj postojanosti u životnoj sredini. Može ostati u okolini duže vrijeme prije nego što se razloži u druge supstance. Endosulfan ima sposobnost bioakumulacije i biomagnifikacije, što znači da njegova koncentracija raste kako se kreće kroz hranidbeni lanac. Organizmi na višim trofičkim nivoima mogu imati veće koncentracije endosulfana u poređenju sa organizmima na nižim nivoima. Toksičan je za razne organizme, uključujući vodene. Kao i mnogi POPs, endosulfan ima potencijal za transport na velike udaljenosti, na primjjer putem atmosferskog transporta, što mu omogućava da se prenese daleko od mesta primjene.</w:t>
            </w:r>
          </w:p>
        </w:tc>
      </w:tr>
      <w:tr w:rsidR="0081146A" w:rsidRPr="00C86111" w14:paraId="1E84BEF0"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6646C43" w14:textId="77777777" w:rsidR="0081146A" w:rsidRPr="00C86111" w:rsidRDefault="0081146A"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Alternativa</w:t>
            </w:r>
          </w:p>
        </w:tc>
        <w:tc>
          <w:tcPr>
            <w:tcW w:w="7375" w:type="dxa"/>
          </w:tcPr>
          <w:p w14:paraId="2599F625" w14:textId="77777777" w:rsidR="0081146A" w:rsidRPr="00C86111" w:rsidRDefault="0081146A"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Upotreba bioracionalnih pesticida koji ciljaju specifične biološke procese kod štetočina, minimizirajući štetne efekte na druge organizme i životnu sredinu. Korišćenje prirodnih predatora, parazita ili bolesti za kontrolu štetočina umjesto hemijskih pesticida može biti efikasna alternativa. Rotacija usjeva može smanjiti potrebu za pesticidima jer otežava prilagođavanje štetočina određenoj vrsti biljke.</w:t>
            </w:r>
          </w:p>
        </w:tc>
      </w:tr>
    </w:tbl>
    <w:p w14:paraId="6F020ABE" w14:textId="77777777" w:rsidR="0081146A" w:rsidRPr="00C86111" w:rsidRDefault="0081146A" w:rsidP="00EA6904">
      <w:pPr>
        <w:pStyle w:val="Heading4"/>
      </w:pPr>
      <w:r w:rsidRPr="00C86111">
        <w:t>Lindan</w:t>
      </w:r>
    </w:p>
    <w:p w14:paraId="41D8E93A" w14:textId="116E4800" w:rsidR="0081146A"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Lindan je naveden u Aneksu A Stokholmske konvencije sa specifičnim izuzecima za upotrebu lindana kao farmaceutika za ljudsko zdravlje za kontrolu ušiju i šuga kao sekundarna terapija (odluka SC-4/15). Alfa- i beta-HCH su navedeni u Aneksu A Stokholmske konvencije bez specifičnih izuzeća (odluke SC-4/10, SC-4/11). Hemijska struktura, upotreba i proizvodnja, kao i POPs karakteristike lindana prikazane su u Tabeli </w:t>
      </w:r>
      <w:r w:rsidR="00A12257" w:rsidRPr="00C86111">
        <w:rPr>
          <w:rFonts w:asciiTheme="minorHAnsi" w:hAnsiTheme="minorHAnsi" w:cstheme="minorHAnsi"/>
          <w:color w:val="auto"/>
          <w:szCs w:val="24"/>
        </w:rPr>
        <w:t>7</w:t>
      </w:r>
      <w:r w:rsidRPr="00C86111">
        <w:rPr>
          <w:rFonts w:asciiTheme="minorHAnsi" w:hAnsiTheme="minorHAnsi" w:cstheme="minorHAnsi"/>
          <w:color w:val="auto"/>
          <w:szCs w:val="24"/>
        </w:rPr>
        <w:t>.</w:t>
      </w:r>
    </w:p>
    <w:p w14:paraId="2691E196" w14:textId="77777777" w:rsidR="00A84005" w:rsidRDefault="00A84005" w:rsidP="0081146A">
      <w:pPr>
        <w:jc w:val="both"/>
        <w:rPr>
          <w:rFonts w:asciiTheme="minorHAnsi" w:hAnsiTheme="minorHAnsi" w:cstheme="minorHAnsi"/>
          <w:color w:val="auto"/>
          <w:szCs w:val="24"/>
        </w:rPr>
      </w:pPr>
    </w:p>
    <w:p w14:paraId="0F13A6CE" w14:textId="77777777" w:rsidR="00A84005" w:rsidRDefault="00A84005" w:rsidP="0081146A">
      <w:pPr>
        <w:jc w:val="both"/>
        <w:rPr>
          <w:rFonts w:asciiTheme="minorHAnsi" w:hAnsiTheme="minorHAnsi" w:cstheme="minorHAnsi"/>
          <w:color w:val="auto"/>
          <w:szCs w:val="24"/>
        </w:rPr>
      </w:pPr>
    </w:p>
    <w:p w14:paraId="257FB89F" w14:textId="77777777" w:rsidR="00A84005" w:rsidRDefault="00A84005" w:rsidP="0081146A">
      <w:pPr>
        <w:jc w:val="both"/>
        <w:rPr>
          <w:rFonts w:asciiTheme="minorHAnsi" w:hAnsiTheme="minorHAnsi" w:cstheme="minorHAnsi"/>
          <w:color w:val="auto"/>
          <w:szCs w:val="24"/>
        </w:rPr>
      </w:pPr>
    </w:p>
    <w:p w14:paraId="6B168FB4" w14:textId="77777777" w:rsidR="00A84005" w:rsidRDefault="00A84005" w:rsidP="0081146A">
      <w:pPr>
        <w:jc w:val="both"/>
        <w:rPr>
          <w:rFonts w:asciiTheme="minorHAnsi" w:hAnsiTheme="minorHAnsi" w:cstheme="minorHAnsi"/>
          <w:color w:val="auto"/>
          <w:szCs w:val="24"/>
        </w:rPr>
      </w:pPr>
    </w:p>
    <w:p w14:paraId="5CB4C0F7" w14:textId="77777777" w:rsidR="00F562F0" w:rsidRPr="00C86111" w:rsidRDefault="00F562F0" w:rsidP="0081146A">
      <w:pPr>
        <w:jc w:val="both"/>
        <w:rPr>
          <w:rFonts w:asciiTheme="minorHAnsi" w:hAnsiTheme="minorHAnsi" w:cstheme="minorHAnsi"/>
          <w:color w:val="auto"/>
          <w:szCs w:val="24"/>
        </w:rPr>
      </w:pPr>
    </w:p>
    <w:p w14:paraId="397835D4" w14:textId="77777777" w:rsidR="0081146A" w:rsidRPr="00C86111" w:rsidRDefault="0081146A" w:rsidP="0081146A">
      <w:pPr>
        <w:jc w:val="both"/>
        <w:rPr>
          <w:rFonts w:asciiTheme="minorHAnsi" w:hAnsiTheme="minorHAnsi" w:cstheme="minorHAnsi"/>
          <w:color w:val="auto"/>
          <w:szCs w:val="24"/>
        </w:rPr>
      </w:pPr>
    </w:p>
    <w:p w14:paraId="53B5E519" w14:textId="2751235C"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b/>
          <w:bCs/>
          <w:color w:val="auto"/>
          <w:szCs w:val="24"/>
        </w:rPr>
        <w:lastRenderedPageBreak/>
        <w:t xml:space="preserve">Tabela </w:t>
      </w:r>
      <w:r w:rsidR="00A12257" w:rsidRPr="00C86111">
        <w:rPr>
          <w:rFonts w:asciiTheme="minorHAnsi" w:hAnsiTheme="minorHAnsi" w:cstheme="minorHAnsi"/>
          <w:b/>
          <w:bCs/>
          <w:color w:val="auto"/>
          <w:szCs w:val="24"/>
        </w:rPr>
        <w:t>7</w:t>
      </w:r>
      <w:r w:rsidRPr="00C86111">
        <w:rPr>
          <w:rFonts w:asciiTheme="minorHAnsi" w:hAnsiTheme="minorHAnsi" w:cstheme="minorHAnsi"/>
          <w:color w:val="auto"/>
          <w:szCs w:val="24"/>
        </w:rPr>
        <w:t>. Osnovne informacije o alfa/beta/gama heksahlorocikloheksanu</w:t>
      </w:r>
    </w:p>
    <w:tbl>
      <w:tblPr>
        <w:tblStyle w:val="GridTable5Dark-Accent6"/>
        <w:tblW w:w="9350" w:type="dxa"/>
        <w:tblLayout w:type="fixed"/>
        <w:tblLook w:val="04A0" w:firstRow="1" w:lastRow="0" w:firstColumn="1" w:lastColumn="0" w:noHBand="0" w:noVBand="1"/>
      </w:tblPr>
      <w:tblGrid>
        <w:gridCol w:w="1907"/>
        <w:gridCol w:w="2481"/>
        <w:gridCol w:w="2481"/>
        <w:gridCol w:w="2481"/>
      </w:tblGrid>
      <w:tr w:rsidR="0081146A" w:rsidRPr="00C86111" w14:paraId="3BFCA112" w14:textId="77777777" w:rsidTr="00BC765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50" w:type="dxa"/>
            <w:gridSpan w:val="4"/>
          </w:tcPr>
          <w:p w14:paraId="488BF32B" w14:textId="77777777" w:rsidR="0081146A" w:rsidRPr="00C86111" w:rsidRDefault="0081146A" w:rsidP="00BC765B">
            <w:pPr>
              <w:pStyle w:val="Text"/>
              <w:spacing w:before="120" w:after="60"/>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Alpha/beta/gama hexahlorocikloheksane</w:t>
            </w:r>
          </w:p>
        </w:tc>
      </w:tr>
      <w:tr w:rsidR="0081146A" w:rsidRPr="00C86111" w14:paraId="09DA0AE1" w14:textId="77777777" w:rsidTr="00BC765B">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1907" w:type="dxa"/>
            <w:vMerge w:val="restart"/>
          </w:tcPr>
          <w:p w14:paraId="65BC1152"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de-DE"/>
              </w:rPr>
              <w:t>Struktura</w:t>
            </w:r>
          </w:p>
        </w:tc>
        <w:tc>
          <w:tcPr>
            <w:tcW w:w="2481" w:type="dxa"/>
          </w:tcPr>
          <w:p w14:paraId="7AF15233"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50A5E539" wp14:editId="0757AAD4">
                  <wp:extent cx="998220" cy="1024769"/>
                  <wp:effectExtent l="0" t="0" r="0" b="0"/>
                  <wp:docPr id="1723292691" name="officeArt object"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11"/>
                          <a:stretch>
                            <a:fillRect/>
                          </a:stretch>
                        </pic:blipFill>
                        <pic:spPr>
                          <a:xfrm>
                            <a:off x="0" y="0"/>
                            <a:ext cx="998220" cy="1024769"/>
                          </a:xfrm>
                          <a:prstGeom prst="rect">
                            <a:avLst/>
                          </a:prstGeom>
                          <a:ln w="12700" cap="flat">
                            <a:noFill/>
                            <a:miter lim="400000"/>
                          </a:ln>
                          <a:effectLst/>
                        </pic:spPr>
                      </pic:pic>
                    </a:graphicData>
                  </a:graphic>
                </wp:inline>
              </w:drawing>
            </w:r>
          </w:p>
        </w:tc>
        <w:tc>
          <w:tcPr>
            <w:tcW w:w="2481" w:type="dxa"/>
          </w:tcPr>
          <w:p w14:paraId="16EB5F72"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494148CD" wp14:editId="6892CCBE">
                  <wp:extent cx="1036320" cy="1068418"/>
                  <wp:effectExtent l="0" t="0" r="0" b="0"/>
                  <wp:docPr id="511821012" name="officeArt object" descr="upload.wikimedia.org/wikipedia/commons/thumb/2/2f/..."/>
                  <wp:cNvGraphicFramePr/>
                  <a:graphic xmlns:a="http://schemas.openxmlformats.org/drawingml/2006/main">
                    <a:graphicData uri="http://schemas.openxmlformats.org/drawingml/2006/picture">
                      <pic:pic xmlns:pic="http://schemas.openxmlformats.org/drawingml/2006/picture">
                        <pic:nvPicPr>
                          <pic:cNvPr id="1073741828" name="upload.wikimedia.org/wikipedia/commons/thumb/2/2f/..." descr="upload.wikimedia.org/wikipedia/commons/thumb/2/2f/..."/>
                          <pic:cNvPicPr>
                            <a:picLocks noChangeAspect="1"/>
                          </pic:cNvPicPr>
                        </pic:nvPicPr>
                        <pic:blipFill>
                          <a:blip r:embed="rId12"/>
                          <a:stretch>
                            <a:fillRect/>
                          </a:stretch>
                        </pic:blipFill>
                        <pic:spPr>
                          <a:xfrm>
                            <a:off x="0" y="0"/>
                            <a:ext cx="1036320" cy="1068418"/>
                          </a:xfrm>
                          <a:prstGeom prst="rect">
                            <a:avLst/>
                          </a:prstGeom>
                          <a:ln w="12700" cap="flat">
                            <a:noFill/>
                            <a:miter lim="400000"/>
                          </a:ln>
                          <a:effectLst/>
                        </pic:spPr>
                      </pic:pic>
                    </a:graphicData>
                  </a:graphic>
                </wp:inline>
              </w:drawing>
            </w:r>
          </w:p>
        </w:tc>
        <w:tc>
          <w:tcPr>
            <w:tcW w:w="2481" w:type="dxa"/>
          </w:tcPr>
          <w:p w14:paraId="5EB96810"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62C580EB" wp14:editId="4DEFA6CA">
                  <wp:extent cx="1005841" cy="1032591"/>
                  <wp:effectExtent l="0" t="0" r="0" b="0"/>
                  <wp:docPr id="1789133765" name="officeArt object" descr="Picture 3"/>
                  <wp:cNvGraphicFramePr/>
                  <a:graphic xmlns:a="http://schemas.openxmlformats.org/drawingml/2006/main">
                    <a:graphicData uri="http://schemas.openxmlformats.org/drawingml/2006/picture">
                      <pic:pic xmlns:pic="http://schemas.openxmlformats.org/drawingml/2006/picture">
                        <pic:nvPicPr>
                          <pic:cNvPr id="1073741829" name="Picture 3" descr="Picture 3"/>
                          <pic:cNvPicPr>
                            <a:picLocks noChangeAspect="1"/>
                          </pic:cNvPicPr>
                        </pic:nvPicPr>
                        <pic:blipFill>
                          <a:blip r:embed="rId13"/>
                          <a:stretch>
                            <a:fillRect/>
                          </a:stretch>
                        </pic:blipFill>
                        <pic:spPr>
                          <a:xfrm>
                            <a:off x="0" y="0"/>
                            <a:ext cx="1005841" cy="1032591"/>
                          </a:xfrm>
                          <a:prstGeom prst="rect">
                            <a:avLst/>
                          </a:prstGeom>
                          <a:ln w="12700" cap="flat">
                            <a:noFill/>
                            <a:miter lim="400000"/>
                          </a:ln>
                          <a:effectLst/>
                        </pic:spPr>
                      </pic:pic>
                    </a:graphicData>
                  </a:graphic>
                </wp:inline>
              </w:drawing>
            </w:r>
          </w:p>
        </w:tc>
      </w:tr>
      <w:tr w:rsidR="0081146A" w:rsidRPr="00C86111" w14:paraId="5D82EB96" w14:textId="77777777" w:rsidTr="00BC765B">
        <w:trPr>
          <w:trHeight w:val="850"/>
        </w:trPr>
        <w:tc>
          <w:tcPr>
            <w:cnfStyle w:val="001000000000" w:firstRow="0" w:lastRow="0" w:firstColumn="1" w:lastColumn="0" w:oddVBand="0" w:evenVBand="0" w:oddHBand="0" w:evenHBand="0" w:firstRowFirstColumn="0" w:firstRowLastColumn="0" w:lastRowFirstColumn="0" w:lastRowLastColumn="0"/>
            <w:tcW w:w="1907" w:type="dxa"/>
            <w:vMerge/>
          </w:tcPr>
          <w:p w14:paraId="0CDFFDC8" w14:textId="77777777" w:rsidR="0081146A" w:rsidRPr="00C86111" w:rsidRDefault="0081146A" w:rsidP="00BC765B">
            <w:pPr>
              <w:jc w:val="both"/>
              <w:rPr>
                <w:rFonts w:asciiTheme="minorHAnsi" w:hAnsiTheme="minorHAnsi" w:cstheme="minorHAnsi"/>
                <w:color w:val="auto"/>
                <w:sz w:val="20"/>
                <w:szCs w:val="20"/>
              </w:rPr>
            </w:pPr>
          </w:p>
        </w:tc>
        <w:tc>
          <w:tcPr>
            <w:tcW w:w="2481" w:type="dxa"/>
          </w:tcPr>
          <w:p w14:paraId="0817A34C"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Alpha hexahlorocikloheksane</w:t>
            </w:r>
          </w:p>
        </w:tc>
        <w:tc>
          <w:tcPr>
            <w:tcW w:w="2481" w:type="dxa"/>
          </w:tcPr>
          <w:p w14:paraId="0DE05296"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Beta  hexahlorocikloheksane</w:t>
            </w:r>
          </w:p>
        </w:tc>
        <w:tc>
          <w:tcPr>
            <w:tcW w:w="2481" w:type="dxa"/>
          </w:tcPr>
          <w:p w14:paraId="71CCEBE7"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Gama hexahlorocikloheksane (Lindane)</w:t>
            </w:r>
          </w:p>
        </w:tc>
      </w:tr>
      <w:tr w:rsidR="0081146A" w:rsidRPr="00C86111" w14:paraId="682F3656" w14:textId="77777777" w:rsidTr="00BC76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07" w:type="dxa"/>
          </w:tcPr>
          <w:p w14:paraId="0294BE46"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CAS No.</w:t>
            </w:r>
          </w:p>
        </w:tc>
        <w:tc>
          <w:tcPr>
            <w:tcW w:w="2481" w:type="dxa"/>
          </w:tcPr>
          <w:p w14:paraId="1F5442AC"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319-84-6</w:t>
            </w:r>
          </w:p>
        </w:tc>
        <w:tc>
          <w:tcPr>
            <w:tcW w:w="2481" w:type="dxa"/>
          </w:tcPr>
          <w:p w14:paraId="7E8E7FA6"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ru-RU"/>
              </w:rPr>
              <w:t>319-85-7</w:t>
            </w:r>
          </w:p>
        </w:tc>
        <w:tc>
          <w:tcPr>
            <w:tcW w:w="2481" w:type="dxa"/>
          </w:tcPr>
          <w:p w14:paraId="3BC3F8DE"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58-89-9</w:t>
            </w:r>
          </w:p>
        </w:tc>
      </w:tr>
      <w:tr w:rsidR="0081146A" w:rsidRPr="00C86111" w14:paraId="208516CF" w14:textId="77777777" w:rsidTr="00BC765B">
        <w:trPr>
          <w:trHeight w:val="290"/>
        </w:trPr>
        <w:tc>
          <w:tcPr>
            <w:cnfStyle w:val="001000000000" w:firstRow="0" w:lastRow="0" w:firstColumn="1" w:lastColumn="0" w:oddVBand="0" w:evenVBand="0" w:oddHBand="0" w:evenHBand="0" w:firstRowFirstColumn="0" w:firstRowLastColumn="0" w:lastRowFirstColumn="0" w:lastRowLastColumn="0"/>
            <w:tcW w:w="1907" w:type="dxa"/>
          </w:tcPr>
          <w:p w14:paraId="76446B56"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Upotreba i proizvodnja</w:t>
            </w:r>
          </w:p>
        </w:tc>
        <w:tc>
          <w:tcPr>
            <w:tcW w:w="7443" w:type="dxa"/>
            <w:gridSpan w:val="3"/>
          </w:tcPr>
          <w:p w14:paraId="39D6CA3D"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Tehnička smješa heksahlorocikloheksana (HCH) uglavnom sadrži pet oblika izomera: alfa-, beta-, gama-, delta- i epsilon-HCH. Lindan je uobičajeni naziv za gama-izomer HCH.</w:t>
            </w:r>
          </w:p>
          <w:p w14:paraId="001953B7"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Lindan se koristio za kontrolu insekata i štetočina u zemljištu. Proizvodi koji sadrže lindan nisu smjeli biti korišćeni na povrću, duvanu, stočnoj hrani i vinovoj lozi. Njegova upotreba na uljanoj repici bila je dozvoljena samo prije cvjetanja. Upotreba u staklenicima, pod plastičnim pokrivačima i u skladištima nije bila dozvoljena. Sredstva za zaštitu bilja koja sadrže lindan koristila su se samo jednom godišnje na istom polju, osim u šumskim plantažama, gdje su bila dozvoljena dva tretmana godišnje. Praškaste formule nisu smjele biti korišćene za zračno prskanje.</w:t>
            </w:r>
          </w:p>
          <w:p w14:paraId="66AD46E1"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Tehnički HCH (uglavnom sastavljen od alfa i beta izomera) korišćen je kao pesticid u Evropskoj uniji kao alternativa DDT-u od 1940. godine. Tehnički HCH je postepeno zamijenjen lindanom (koji sadrži 99% gama-izomera HCH). Međutim, 2006. godine, IPHA je ukazala na neefikasnost procesa proizvodnje lindana, jer je za svaku tonu proizvedenog lindana generisana i do tona opasnog otpada koji sadrži alfa i beta izomere. Zemlje Evropske unije u kojima se proizvodio lindan su: Austrija, Češka, Francuska, Njemačka, Mađarska, Poljska, Rumunija, Slovačka, Španija i Holandija.</w:t>
            </w:r>
          </w:p>
        </w:tc>
      </w:tr>
      <w:tr w:rsidR="0081146A" w:rsidRPr="00C86111" w14:paraId="50F3632C" w14:textId="77777777" w:rsidTr="00BC76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07" w:type="dxa"/>
          </w:tcPr>
          <w:p w14:paraId="2CC8C7FC"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Karakteristike POPs pesticida</w:t>
            </w:r>
          </w:p>
        </w:tc>
        <w:tc>
          <w:tcPr>
            <w:tcW w:w="7443" w:type="dxa"/>
            <w:gridSpan w:val="3"/>
          </w:tcPr>
          <w:p w14:paraId="2DACDEA6" w14:textId="77777777" w:rsidR="0081146A" w:rsidRPr="00C86111" w:rsidRDefault="0081146A" w:rsidP="00BC765B">
            <w:pPr>
              <w:pStyle w:val="Text"/>
              <w:spacing w:before="120"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Alfa- i beta-HCH su veoma postojani u vodi u hladnijim regionima i mogu se bioakumulirati i biomagnifikovati u bioti i arktičkim hranidbenim lancima. Podložni su transportu na velike udaljenosti, klasifikovani su kao potencijalno kancerogeni za ljude i negativno utiču na divlje životinje i ljudsko zdravlje u zagađenim područjima.</w:t>
            </w:r>
          </w:p>
          <w:p w14:paraId="5BE64073" w14:textId="77777777" w:rsidR="0081146A" w:rsidRPr="00C86111" w:rsidRDefault="0081146A" w:rsidP="00BC765B">
            <w:pPr>
              <w:pStyle w:val="Text"/>
              <w:spacing w:before="120"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Lindan je postojan, lako se bioakumulira u hranidbenom lancu i brzo se nakuplja. Postoje dokazi o transportu na velike udaljenosti i njegovim toksičnim efektima (imunotoksični, reproduktivni i razvojni efekti) kod laboratorijskih životinja i vodenih organizama. Lindan spada u grupu opasnih insekticida i djeluje kontaktno, gastrointestinalno i fumigacijski.</w:t>
            </w:r>
          </w:p>
          <w:p w14:paraId="2B4353D2"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r>
      <w:tr w:rsidR="0081146A" w:rsidRPr="00C86111" w14:paraId="3D6B95D6" w14:textId="77777777" w:rsidTr="00BC765B">
        <w:trPr>
          <w:trHeight w:val="290"/>
        </w:trPr>
        <w:tc>
          <w:tcPr>
            <w:cnfStyle w:val="001000000000" w:firstRow="0" w:lastRow="0" w:firstColumn="1" w:lastColumn="0" w:oddVBand="0" w:evenVBand="0" w:oddHBand="0" w:evenHBand="0" w:firstRowFirstColumn="0" w:firstRowLastColumn="0" w:lastRowFirstColumn="0" w:lastRowLastColumn="0"/>
            <w:tcW w:w="1907" w:type="dxa"/>
          </w:tcPr>
          <w:p w14:paraId="24307E8E"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de-DE"/>
              </w:rPr>
              <w:t>Alternative</w:t>
            </w:r>
          </w:p>
        </w:tc>
        <w:tc>
          <w:tcPr>
            <w:tcW w:w="7443" w:type="dxa"/>
            <w:gridSpan w:val="3"/>
          </w:tcPr>
          <w:p w14:paraId="7373D2D1" w14:textId="77777777" w:rsidR="0081146A" w:rsidRPr="00C86111" w:rsidRDefault="0081146A" w:rsidP="00BC765B">
            <w:pPr>
              <w:pStyle w:val="Text"/>
              <w:spacing w:before="12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Pirtrini i piretroidni insekticidi izvedeni iz cvjetova hrizantema često se koriste kao alternativa zbog niže toksičnosti za ljude i životinje. Prah od dijatomeja, prirodni materijal sastavljen od fosilizovanih dijatomeja, može se koristiti za kontrolu različitih štetočina oštećujući njihov egzoskelet. Sapunski i uljani insekticidi manje su toksični za ljude i životinje, ali i dalje efikasni protiv određenih štetočina.</w:t>
            </w:r>
          </w:p>
        </w:tc>
      </w:tr>
    </w:tbl>
    <w:p w14:paraId="635FFA99" w14:textId="77777777" w:rsidR="0081146A" w:rsidRPr="00C86111" w:rsidRDefault="0081146A" w:rsidP="0081146A">
      <w:pPr>
        <w:jc w:val="both"/>
        <w:rPr>
          <w:rFonts w:asciiTheme="minorHAnsi" w:hAnsiTheme="minorHAnsi" w:cstheme="minorHAnsi"/>
          <w:color w:val="auto"/>
          <w:szCs w:val="24"/>
        </w:rPr>
      </w:pPr>
    </w:p>
    <w:p w14:paraId="741DA0D6" w14:textId="77777777" w:rsidR="0081146A" w:rsidRPr="00C86111" w:rsidRDefault="0081146A" w:rsidP="0081146A">
      <w:pPr>
        <w:jc w:val="both"/>
        <w:rPr>
          <w:rFonts w:asciiTheme="minorHAnsi" w:hAnsiTheme="minorHAnsi" w:cstheme="minorHAnsi"/>
          <w:vanish/>
          <w:color w:val="auto"/>
          <w:szCs w:val="24"/>
        </w:rPr>
      </w:pPr>
      <w:r w:rsidRPr="00C86111">
        <w:rPr>
          <w:rFonts w:asciiTheme="minorHAnsi" w:hAnsiTheme="minorHAnsi" w:cstheme="minorHAnsi"/>
          <w:vanish/>
          <w:color w:val="auto"/>
          <w:szCs w:val="24"/>
        </w:rPr>
        <w:lastRenderedPageBreak/>
        <w:t>Top of Form</w:t>
      </w:r>
    </w:p>
    <w:p w14:paraId="2FB0291B" w14:textId="77777777" w:rsidR="0081146A" w:rsidRPr="00C86111" w:rsidRDefault="0081146A" w:rsidP="0081146A">
      <w:pPr>
        <w:jc w:val="both"/>
        <w:rPr>
          <w:rFonts w:asciiTheme="minorHAnsi" w:hAnsiTheme="minorHAnsi" w:cstheme="minorHAnsi"/>
          <w:vanish/>
          <w:color w:val="auto"/>
          <w:szCs w:val="24"/>
        </w:rPr>
      </w:pPr>
      <w:r w:rsidRPr="00C86111">
        <w:rPr>
          <w:rFonts w:asciiTheme="minorHAnsi" w:hAnsiTheme="minorHAnsi" w:cstheme="minorHAnsi"/>
          <w:vanish/>
          <w:color w:val="auto"/>
          <w:szCs w:val="24"/>
        </w:rPr>
        <w:t>Bottom of Form</w:t>
      </w:r>
    </w:p>
    <w:p w14:paraId="1425B1E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Ne postoje podaci o upotrebi hlordekona u Crnoj Gori. Prema Dimitriju Batrićeviću („Gradacije bubara u Crnoj Gori i mjere preduzete za njihovo suzbijanje“, </w:t>
      </w:r>
      <w:r w:rsidRPr="00C86111">
        <w:rPr>
          <w:rFonts w:asciiTheme="minorHAnsi" w:hAnsiTheme="minorHAnsi" w:cstheme="minorHAnsi"/>
          <w:i/>
          <w:iCs/>
          <w:color w:val="auto"/>
          <w:szCs w:val="24"/>
        </w:rPr>
        <w:t>Naša poljoprivreda</w:t>
      </w:r>
      <w:r w:rsidRPr="00C86111">
        <w:rPr>
          <w:rFonts w:asciiTheme="minorHAnsi" w:hAnsiTheme="minorHAnsi" w:cstheme="minorHAnsi"/>
          <w:color w:val="auto"/>
          <w:szCs w:val="24"/>
        </w:rPr>
        <w:t>, br. 5-6, tom 3, 1975), Lindan (gama-HCH) je korišćen za tretman šuma na površini od oko 650 ha, pri čemu je upotrijebljeno 9.000 kg insekticida Bentox 20.</w:t>
      </w:r>
    </w:p>
    <w:p w14:paraId="05277EA8"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 pregledima sredstava za zaštitu bilja u Jugoslaviji (</w:t>
      </w:r>
      <w:r w:rsidRPr="00C86111">
        <w:rPr>
          <w:rFonts w:asciiTheme="minorHAnsi" w:hAnsiTheme="minorHAnsi" w:cstheme="minorHAnsi"/>
          <w:i/>
          <w:iCs/>
          <w:color w:val="auto"/>
          <w:szCs w:val="24"/>
        </w:rPr>
        <w:t>Glasnik za zaštitu bilja</w:t>
      </w:r>
      <w:r w:rsidRPr="00C86111">
        <w:rPr>
          <w:rFonts w:asciiTheme="minorHAnsi" w:hAnsiTheme="minorHAnsi" w:cstheme="minorHAnsi"/>
          <w:color w:val="auto"/>
          <w:szCs w:val="24"/>
        </w:rPr>
        <w:t>, 1989) ne nalaze se preparati iz grupe organskih hlorisanih jedinjenja osim lindana i endosulfana. Posljednja publikacija koja se odnosi na Crnu Goru (</w:t>
      </w:r>
      <w:r w:rsidRPr="00C86111">
        <w:rPr>
          <w:rFonts w:asciiTheme="minorHAnsi" w:hAnsiTheme="minorHAnsi" w:cstheme="minorHAnsi"/>
          <w:i/>
          <w:iCs/>
          <w:color w:val="auto"/>
          <w:szCs w:val="24"/>
        </w:rPr>
        <w:t>Pesticidi u poljoprivredi i šumarstvu u Srbiji i Crnoj Gori</w:t>
      </w:r>
      <w:r w:rsidRPr="00C86111">
        <w:rPr>
          <w:rFonts w:asciiTheme="minorHAnsi" w:hAnsiTheme="minorHAnsi" w:cstheme="minorHAnsi"/>
          <w:color w:val="auto"/>
          <w:szCs w:val="24"/>
        </w:rPr>
        <w:t>, 2004) potvrđuje da su od organskih hlorisanih preparata prisutni samo lindan (za premazivanje trupaca) i endosulfan (u voćarstvu).</w:t>
      </w:r>
    </w:p>
    <w:p w14:paraId="5732B74A"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Prema podacima Uprave za bezbjednost hrane, veterinarstvo i fitosanitarne poslove, posljednji uvoz sredstava za zaštitu bilja zasnovanih na POPs pesticidima zabilježen je 2006. godine:</w:t>
      </w:r>
    </w:p>
    <w:p w14:paraId="4FAE7DEE" w14:textId="77777777" w:rsidR="0081146A" w:rsidRPr="00C86111" w:rsidRDefault="0081146A" w:rsidP="00004F34">
      <w:pPr>
        <w:numPr>
          <w:ilvl w:val="0"/>
          <w:numId w:val="172"/>
        </w:numPr>
        <w:jc w:val="both"/>
        <w:rPr>
          <w:rFonts w:asciiTheme="minorHAnsi" w:hAnsiTheme="minorHAnsi" w:cstheme="minorHAnsi"/>
          <w:color w:val="auto"/>
          <w:szCs w:val="24"/>
        </w:rPr>
      </w:pPr>
      <w:r w:rsidRPr="00C86111">
        <w:rPr>
          <w:rFonts w:asciiTheme="minorHAnsi" w:hAnsiTheme="minorHAnsi" w:cstheme="minorHAnsi"/>
          <w:b/>
          <w:bCs/>
          <w:color w:val="auto"/>
          <w:szCs w:val="24"/>
        </w:rPr>
        <w:t>Xylolin</w:t>
      </w:r>
      <w:r w:rsidRPr="00C86111">
        <w:rPr>
          <w:rFonts w:asciiTheme="minorHAnsi" w:hAnsiTheme="minorHAnsi" w:cstheme="minorHAnsi"/>
          <w:color w:val="auto"/>
          <w:szCs w:val="24"/>
        </w:rPr>
        <w:t xml:space="preserve"> (lindan) – 1.650 litara</w:t>
      </w:r>
    </w:p>
    <w:p w14:paraId="7421EA73" w14:textId="77777777" w:rsidR="0081146A" w:rsidRPr="00C86111" w:rsidRDefault="0081146A" w:rsidP="00004F34">
      <w:pPr>
        <w:numPr>
          <w:ilvl w:val="0"/>
          <w:numId w:val="172"/>
        </w:numPr>
        <w:jc w:val="both"/>
        <w:rPr>
          <w:rFonts w:asciiTheme="minorHAnsi" w:hAnsiTheme="minorHAnsi" w:cstheme="minorHAnsi"/>
          <w:color w:val="auto"/>
          <w:szCs w:val="24"/>
        </w:rPr>
      </w:pPr>
      <w:r w:rsidRPr="00C86111">
        <w:rPr>
          <w:rFonts w:asciiTheme="minorHAnsi" w:hAnsiTheme="minorHAnsi" w:cstheme="minorHAnsi"/>
          <w:b/>
          <w:bCs/>
          <w:color w:val="auto"/>
          <w:szCs w:val="24"/>
        </w:rPr>
        <w:t>Endofan 35</w:t>
      </w:r>
      <w:r w:rsidRPr="00C86111">
        <w:rPr>
          <w:rFonts w:asciiTheme="minorHAnsi" w:hAnsiTheme="minorHAnsi" w:cstheme="minorHAnsi"/>
          <w:color w:val="auto"/>
          <w:szCs w:val="24"/>
        </w:rPr>
        <w:t xml:space="preserve"> (endosulfan) – 12 litara</w:t>
      </w:r>
    </w:p>
    <w:p w14:paraId="542C398F"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Cijela količina ovih preparata je prodana, a nakon 2006. godine nije izdato nijedno odobrenje za uvoz sredstava za zaštitu bilja zasnovanih na POPs pesticidima.</w:t>
      </w:r>
    </w:p>
    <w:p w14:paraId="3FA8FF7C"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Uvoz biocida na bazi lindana i endosulfana bio je moguć i nakon 2009. godine. Prema Zakonu o hemikalijama (</w:t>
      </w:r>
      <w:r w:rsidRPr="00C86111">
        <w:rPr>
          <w:rFonts w:asciiTheme="minorHAnsi" w:hAnsiTheme="minorHAnsi" w:cstheme="minorHAnsi"/>
          <w:i/>
          <w:iCs/>
          <w:color w:val="auto"/>
          <w:szCs w:val="24"/>
        </w:rPr>
        <w:t>Službeni list Crne Gore</w:t>
      </w:r>
      <w:r w:rsidRPr="00C86111">
        <w:rPr>
          <w:rFonts w:asciiTheme="minorHAnsi" w:hAnsiTheme="minorHAnsi" w:cstheme="minorHAnsi"/>
          <w:color w:val="auto"/>
          <w:szCs w:val="24"/>
        </w:rPr>
        <w:t>, br. 11/2007) i ranijim propisima SRJ, Ministarstvo zdravlja odobrilo je uvoz ukupno 10.000 litara endosulfana (35% EC) u periodu 2007–2013. Od toga je uvezeno 8.000 litara, korišćeno za dezinsekciju staja i podrumskih prostora, a odgovoran uvoznik bio je V.U. „Veterinum“ iz Ulcinja, dok su dobavljači bili IPROCHEM Company Limited i Shenzhen Qinfeng Pesticides Co., Ltd.</w:t>
      </w:r>
    </w:p>
    <w:p w14:paraId="515E1E66"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Nakon 1. marta 2013. godine, odgovornost za uvoz hemikalija prešla je na Agenciju za zaštitu prirode i životne sredine. Prema podacima Agencije, od februara 2024. godine nije izdata nijedna dozvola za uvoz preparata zasnovanih na lindanu i endosulfanu.</w:t>
      </w:r>
    </w:p>
    <w:p w14:paraId="633142D8" w14:textId="77777777" w:rsidR="0081146A" w:rsidRPr="00C86111" w:rsidRDefault="0081146A" w:rsidP="00EA6904">
      <w:pPr>
        <w:pStyle w:val="Heading4"/>
      </w:pPr>
      <w:r w:rsidRPr="00C86111">
        <w:t>Pentahlorofenol</w:t>
      </w:r>
    </w:p>
    <w:p w14:paraId="73DE3EE5" w14:textId="20B9ED84"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Na sedmoj konferenciji ugovornih strana (2015. godine) donesena je odluka o izmjeni Aneksa A i C dodavanjem pentahlorofenola i njegovih soli i estera, čije su karakteristike date u Tabeli </w:t>
      </w:r>
      <w:r w:rsidR="00A12257" w:rsidRPr="00C86111">
        <w:rPr>
          <w:rFonts w:asciiTheme="minorHAnsi" w:hAnsiTheme="minorHAnsi" w:cstheme="minorHAnsi"/>
          <w:color w:val="auto"/>
          <w:szCs w:val="24"/>
        </w:rPr>
        <w:t>8</w:t>
      </w:r>
      <w:r w:rsidRPr="00C86111">
        <w:rPr>
          <w:rFonts w:asciiTheme="minorHAnsi" w:hAnsiTheme="minorHAnsi" w:cstheme="minorHAnsi"/>
          <w:color w:val="auto"/>
          <w:szCs w:val="24"/>
        </w:rPr>
        <w:t>.</w:t>
      </w:r>
    </w:p>
    <w:p w14:paraId="301FBCA5" w14:textId="77777777" w:rsidR="0081146A"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Pentahlorofenol (PCP) i njegove soli i esteri su navedeni u Aneksu A Konvencije sa specifičnim izuzecima za proizvodnju i upotrebu PCP-a za elektro stubove i njihove poprečne grede. Svaka Strana koja je registrovana za izuzetak u skladu sa Članom 4 za proizvodnju i upotrebu pentaklorofenola za elektro stubove i poprečne grede treba preduzeti neophodne mjere kako bi se osiguralo da elektro stubovi i poprečne grede koje sadrže pentahlorofenol mogu biti lako prepoznati putem označavanja ili na drugi način tokom svog životnog ciklusa. Artikli tretirani pentahlorofenolom ne smiju se ponovo koristiti u svrhe koje nisu izuzete.</w:t>
      </w:r>
    </w:p>
    <w:p w14:paraId="53EB6058" w14:textId="77777777" w:rsidR="00A84005" w:rsidRDefault="00A84005" w:rsidP="0081146A">
      <w:pPr>
        <w:jc w:val="both"/>
        <w:rPr>
          <w:rFonts w:asciiTheme="minorHAnsi" w:hAnsiTheme="minorHAnsi" w:cstheme="minorHAnsi"/>
          <w:color w:val="auto"/>
          <w:szCs w:val="24"/>
        </w:rPr>
      </w:pPr>
    </w:p>
    <w:p w14:paraId="1E3A729E" w14:textId="77777777" w:rsidR="00A84005" w:rsidRDefault="00A84005" w:rsidP="0081146A">
      <w:pPr>
        <w:jc w:val="both"/>
        <w:rPr>
          <w:rFonts w:asciiTheme="minorHAnsi" w:hAnsiTheme="minorHAnsi" w:cstheme="minorHAnsi"/>
          <w:color w:val="auto"/>
          <w:szCs w:val="24"/>
        </w:rPr>
      </w:pPr>
    </w:p>
    <w:p w14:paraId="51D77553" w14:textId="77777777" w:rsidR="00A84005" w:rsidRDefault="00A84005" w:rsidP="0081146A">
      <w:pPr>
        <w:jc w:val="both"/>
        <w:rPr>
          <w:rFonts w:asciiTheme="minorHAnsi" w:hAnsiTheme="minorHAnsi" w:cstheme="minorHAnsi"/>
          <w:color w:val="auto"/>
          <w:szCs w:val="24"/>
        </w:rPr>
      </w:pPr>
    </w:p>
    <w:p w14:paraId="54C6CCCC" w14:textId="77777777" w:rsidR="00A84005" w:rsidRDefault="00A84005" w:rsidP="0081146A">
      <w:pPr>
        <w:jc w:val="both"/>
        <w:rPr>
          <w:rFonts w:asciiTheme="minorHAnsi" w:hAnsiTheme="minorHAnsi" w:cstheme="minorHAnsi"/>
          <w:color w:val="auto"/>
          <w:szCs w:val="24"/>
        </w:rPr>
      </w:pPr>
    </w:p>
    <w:p w14:paraId="7329B6DA" w14:textId="77777777" w:rsidR="00A84005" w:rsidRDefault="00A84005" w:rsidP="0081146A">
      <w:pPr>
        <w:jc w:val="both"/>
        <w:rPr>
          <w:rFonts w:asciiTheme="minorHAnsi" w:hAnsiTheme="minorHAnsi" w:cstheme="minorHAnsi"/>
          <w:color w:val="auto"/>
          <w:szCs w:val="24"/>
        </w:rPr>
      </w:pPr>
    </w:p>
    <w:p w14:paraId="60AFC514" w14:textId="77777777" w:rsidR="00F562F0" w:rsidRDefault="00F562F0" w:rsidP="0081146A">
      <w:pPr>
        <w:jc w:val="both"/>
        <w:rPr>
          <w:rFonts w:asciiTheme="minorHAnsi" w:hAnsiTheme="minorHAnsi" w:cstheme="minorHAnsi"/>
          <w:color w:val="auto"/>
          <w:szCs w:val="24"/>
        </w:rPr>
      </w:pPr>
    </w:p>
    <w:p w14:paraId="445B328E" w14:textId="77777777" w:rsidR="00A84005" w:rsidRPr="00C86111" w:rsidRDefault="00A84005" w:rsidP="0081146A">
      <w:pPr>
        <w:jc w:val="both"/>
        <w:rPr>
          <w:rFonts w:asciiTheme="minorHAnsi" w:hAnsiTheme="minorHAnsi" w:cstheme="minorHAnsi"/>
          <w:color w:val="auto"/>
          <w:szCs w:val="24"/>
        </w:rPr>
      </w:pPr>
    </w:p>
    <w:p w14:paraId="58E9BF9E" w14:textId="77777777" w:rsidR="0081146A" w:rsidRPr="00C86111" w:rsidRDefault="0081146A" w:rsidP="0081146A">
      <w:pPr>
        <w:jc w:val="both"/>
        <w:rPr>
          <w:rFonts w:asciiTheme="minorHAnsi" w:hAnsiTheme="minorHAnsi" w:cstheme="minorHAnsi"/>
          <w:color w:val="auto"/>
          <w:szCs w:val="24"/>
        </w:rPr>
      </w:pPr>
    </w:p>
    <w:p w14:paraId="060950F4" w14:textId="588AA2C3"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b/>
          <w:bCs/>
          <w:color w:val="auto"/>
          <w:szCs w:val="24"/>
        </w:rPr>
        <w:lastRenderedPageBreak/>
        <w:t xml:space="preserve">Tabela </w:t>
      </w:r>
      <w:r w:rsidR="00A12257" w:rsidRPr="00C86111">
        <w:rPr>
          <w:rFonts w:asciiTheme="minorHAnsi" w:hAnsiTheme="minorHAnsi" w:cstheme="minorHAnsi"/>
          <w:b/>
          <w:bCs/>
          <w:color w:val="auto"/>
          <w:szCs w:val="24"/>
        </w:rPr>
        <w:t>8</w:t>
      </w:r>
      <w:r w:rsidRPr="00C86111">
        <w:rPr>
          <w:rFonts w:asciiTheme="minorHAnsi" w:hAnsiTheme="minorHAnsi" w:cstheme="minorHAnsi"/>
          <w:b/>
          <w:bCs/>
          <w:color w:val="auto"/>
          <w:szCs w:val="24"/>
        </w:rPr>
        <w:t>.</w:t>
      </w:r>
      <w:r w:rsidRPr="00C86111">
        <w:rPr>
          <w:rFonts w:asciiTheme="minorHAnsi" w:hAnsiTheme="minorHAnsi" w:cstheme="minorHAnsi"/>
          <w:color w:val="auto"/>
          <w:szCs w:val="24"/>
        </w:rPr>
        <w:t xml:space="preserve"> Osnovne informacije o pentahlorofenolu i njegovim solima i esterima</w:t>
      </w:r>
    </w:p>
    <w:tbl>
      <w:tblPr>
        <w:tblStyle w:val="GridTable5Dark-Accent6"/>
        <w:tblW w:w="9350" w:type="dxa"/>
        <w:tblLayout w:type="fixed"/>
        <w:tblLook w:val="04A0" w:firstRow="1" w:lastRow="0" w:firstColumn="1" w:lastColumn="0" w:noHBand="0" w:noVBand="1"/>
      </w:tblPr>
      <w:tblGrid>
        <w:gridCol w:w="2159"/>
        <w:gridCol w:w="3596"/>
        <w:gridCol w:w="3595"/>
      </w:tblGrid>
      <w:tr w:rsidR="0081146A" w:rsidRPr="00C86111" w14:paraId="6F50EAA5" w14:textId="77777777" w:rsidTr="00BC765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50" w:type="dxa"/>
            <w:gridSpan w:val="3"/>
          </w:tcPr>
          <w:p w14:paraId="196914D5" w14:textId="77777777" w:rsidR="0081146A" w:rsidRPr="00C86111" w:rsidRDefault="0081146A" w:rsidP="00BC765B">
            <w:pPr>
              <w:pStyle w:val="Text"/>
              <w:spacing w:before="120" w:after="60"/>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Pentahlorofenol i njegove soli i esteri</w:t>
            </w:r>
          </w:p>
        </w:tc>
      </w:tr>
      <w:tr w:rsidR="0081146A" w:rsidRPr="00C86111" w14:paraId="6B67F2A5" w14:textId="77777777" w:rsidTr="00BC765B">
        <w:trPr>
          <w:cnfStyle w:val="000000100000" w:firstRow="0" w:lastRow="0" w:firstColumn="0" w:lastColumn="0" w:oddVBand="0" w:evenVBand="0" w:oddHBand="1" w:evenHBand="0" w:firstRowFirstColumn="0" w:firstRowLastColumn="0" w:lastRowFirstColumn="0" w:lastRowLastColumn="0"/>
          <w:trHeight w:val="1660"/>
        </w:trPr>
        <w:tc>
          <w:tcPr>
            <w:cnfStyle w:val="001000000000" w:firstRow="0" w:lastRow="0" w:firstColumn="1" w:lastColumn="0" w:oddVBand="0" w:evenVBand="0" w:oddHBand="0" w:evenHBand="0" w:firstRowFirstColumn="0" w:firstRowLastColumn="0" w:lastRowFirstColumn="0" w:lastRowLastColumn="0"/>
            <w:tcW w:w="2159" w:type="dxa"/>
            <w:vMerge w:val="restart"/>
          </w:tcPr>
          <w:p w14:paraId="0E46AFC9"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de-DE"/>
              </w:rPr>
              <w:t>Struktura</w:t>
            </w:r>
          </w:p>
        </w:tc>
        <w:tc>
          <w:tcPr>
            <w:tcW w:w="3596" w:type="dxa"/>
          </w:tcPr>
          <w:p w14:paraId="48D25E9A"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7DDE710A" wp14:editId="59A38EC8">
                  <wp:extent cx="976422" cy="923925"/>
                  <wp:effectExtent l="0" t="0" r="0" b="0"/>
                  <wp:docPr id="1073741830" name="officeArt object" descr="Picture 1683074489"/>
                  <wp:cNvGraphicFramePr/>
                  <a:graphic xmlns:a="http://schemas.openxmlformats.org/drawingml/2006/main">
                    <a:graphicData uri="http://schemas.openxmlformats.org/drawingml/2006/picture">
                      <pic:pic xmlns:pic="http://schemas.openxmlformats.org/drawingml/2006/picture">
                        <pic:nvPicPr>
                          <pic:cNvPr id="1073741830" name="Picture 1683074489" descr="Picture 1683074489"/>
                          <pic:cNvPicPr>
                            <a:picLocks noChangeAspect="1"/>
                          </pic:cNvPicPr>
                        </pic:nvPicPr>
                        <pic:blipFill>
                          <a:blip r:embed="rId14"/>
                          <a:stretch>
                            <a:fillRect/>
                          </a:stretch>
                        </pic:blipFill>
                        <pic:spPr>
                          <a:xfrm>
                            <a:off x="0" y="0"/>
                            <a:ext cx="976422" cy="923925"/>
                          </a:xfrm>
                          <a:prstGeom prst="rect">
                            <a:avLst/>
                          </a:prstGeom>
                          <a:ln w="12700" cap="flat">
                            <a:noFill/>
                            <a:miter lim="400000"/>
                          </a:ln>
                          <a:effectLst/>
                        </pic:spPr>
                      </pic:pic>
                    </a:graphicData>
                  </a:graphic>
                </wp:inline>
              </w:drawing>
            </w:r>
          </w:p>
        </w:tc>
        <w:tc>
          <w:tcPr>
            <w:tcW w:w="3595" w:type="dxa"/>
          </w:tcPr>
          <w:p w14:paraId="498416B5"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noProof/>
                <w:color w:val="auto"/>
                <w:sz w:val="20"/>
                <w:szCs w:val="20"/>
              </w:rPr>
              <w:drawing>
                <wp:inline distT="0" distB="0" distL="0" distR="0" wp14:anchorId="72A97C20" wp14:editId="6B0BBFEC">
                  <wp:extent cx="1190625" cy="1007111"/>
                  <wp:effectExtent l="0" t="0" r="0" b="0"/>
                  <wp:docPr id="1073741831" name="officeArt object" descr="Picture 2026922577"/>
                  <wp:cNvGraphicFramePr/>
                  <a:graphic xmlns:a="http://schemas.openxmlformats.org/drawingml/2006/main">
                    <a:graphicData uri="http://schemas.openxmlformats.org/drawingml/2006/picture">
                      <pic:pic xmlns:pic="http://schemas.openxmlformats.org/drawingml/2006/picture">
                        <pic:nvPicPr>
                          <pic:cNvPr id="1073741831" name="Picture 2026922577" descr="Picture 2026922577"/>
                          <pic:cNvPicPr>
                            <a:picLocks noChangeAspect="1"/>
                          </pic:cNvPicPr>
                        </pic:nvPicPr>
                        <pic:blipFill>
                          <a:blip r:embed="rId15"/>
                          <a:stretch>
                            <a:fillRect/>
                          </a:stretch>
                        </pic:blipFill>
                        <pic:spPr>
                          <a:xfrm>
                            <a:off x="0" y="0"/>
                            <a:ext cx="1190625" cy="1007111"/>
                          </a:xfrm>
                          <a:prstGeom prst="rect">
                            <a:avLst/>
                          </a:prstGeom>
                          <a:ln w="12700" cap="flat">
                            <a:noFill/>
                            <a:miter lim="400000"/>
                          </a:ln>
                          <a:effectLst/>
                        </pic:spPr>
                      </pic:pic>
                    </a:graphicData>
                  </a:graphic>
                </wp:inline>
              </w:drawing>
            </w:r>
          </w:p>
        </w:tc>
      </w:tr>
      <w:tr w:rsidR="0081146A" w:rsidRPr="00C86111" w14:paraId="6E5C136F" w14:textId="77777777" w:rsidTr="00BC765B">
        <w:trPr>
          <w:trHeight w:val="290"/>
        </w:trPr>
        <w:tc>
          <w:tcPr>
            <w:cnfStyle w:val="001000000000" w:firstRow="0" w:lastRow="0" w:firstColumn="1" w:lastColumn="0" w:oddVBand="0" w:evenVBand="0" w:oddHBand="0" w:evenHBand="0" w:firstRowFirstColumn="0" w:firstRowLastColumn="0" w:lastRowFirstColumn="0" w:lastRowLastColumn="0"/>
            <w:tcW w:w="2159" w:type="dxa"/>
            <w:vMerge/>
          </w:tcPr>
          <w:p w14:paraId="0DD49C6E" w14:textId="77777777" w:rsidR="0081146A" w:rsidRPr="00C86111" w:rsidRDefault="0081146A" w:rsidP="00BC765B">
            <w:pPr>
              <w:jc w:val="both"/>
              <w:rPr>
                <w:rFonts w:asciiTheme="minorHAnsi" w:hAnsiTheme="minorHAnsi" w:cstheme="minorHAnsi"/>
                <w:color w:val="auto"/>
                <w:sz w:val="20"/>
                <w:szCs w:val="20"/>
              </w:rPr>
            </w:pPr>
          </w:p>
        </w:tc>
        <w:tc>
          <w:tcPr>
            <w:tcW w:w="3596" w:type="dxa"/>
          </w:tcPr>
          <w:p w14:paraId="3081DE6F"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Pentahlorofenol</w:t>
            </w:r>
          </w:p>
        </w:tc>
        <w:tc>
          <w:tcPr>
            <w:tcW w:w="3595" w:type="dxa"/>
          </w:tcPr>
          <w:p w14:paraId="013F2431"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Natrijum pentahlorofenat</w:t>
            </w:r>
          </w:p>
        </w:tc>
      </w:tr>
      <w:tr w:rsidR="0081146A" w:rsidRPr="00C86111" w14:paraId="3D962F86" w14:textId="77777777" w:rsidTr="00BC76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59" w:type="dxa"/>
          </w:tcPr>
          <w:p w14:paraId="5D628CE6"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CAS No.</w:t>
            </w:r>
          </w:p>
        </w:tc>
        <w:tc>
          <w:tcPr>
            <w:tcW w:w="3596" w:type="dxa"/>
          </w:tcPr>
          <w:p w14:paraId="28C43770"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87-86-5</w:t>
            </w:r>
          </w:p>
        </w:tc>
        <w:tc>
          <w:tcPr>
            <w:tcW w:w="3595" w:type="dxa"/>
          </w:tcPr>
          <w:p w14:paraId="0A8F7C0A"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131-52-2</w:t>
            </w:r>
          </w:p>
        </w:tc>
      </w:tr>
      <w:tr w:rsidR="0081146A" w:rsidRPr="00C86111" w14:paraId="117D2CFA" w14:textId="77777777" w:rsidTr="00BC765B">
        <w:trPr>
          <w:trHeight w:val="1557"/>
        </w:trPr>
        <w:tc>
          <w:tcPr>
            <w:cnfStyle w:val="001000000000" w:firstRow="0" w:lastRow="0" w:firstColumn="1" w:lastColumn="0" w:oddVBand="0" w:evenVBand="0" w:oddHBand="0" w:evenHBand="0" w:firstRowFirstColumn="0" w:firstRowLastColumn="0" w:lastRowFirstColumn="0" w:lastRowLastColumn="0"/>
            <w:tcW w:w="2159" w:type="dxa"/>
          </w:tcPr>
          <w:p w14:paraId="45AA01BE"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Upotreba I proizvodnja</w:t>
            </w:r>
          </w:p>
        </w:tc>
        <w:tc>
          <w:tcPr>
            <w:tcW w:w="7191" w:type="dxa"/>
            <w:gridSpan w:val="2"/>
          </w:tcPr>
          <w:p w14:paraId="2611BC9A" w14:textId="77777777" w:rsidR="0081146A" w:rsidRPr="00C86111" w:rsidRDefault="0081146A" w:rsidP="00BC765B">
            <w:pPr>
              <w:pStyle w:val="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PCP se javlja u dvije forme: sam ili kao natrijumova so PCP-a, koja se lako rastvara u vodi. PCP se koristi kao herbicid, insekticid, fungicid, algicid, dezinfekciono sredstvo i kao sastojak zaštitnih boja. Takođe se primjenjuje na poljoprivrednom sjemenu, koži, za očuvanje šuma itd. Njegova upotreba je značajno smanjena zbog visoke toksičnosti PCP-a i spore biorazgradnje. Prvi put je proizveden 1930. godine i prisutan je na tržištu pod različitim trgovačkim imenima.</w:t>
            </w:r>
          </w:p>
        </w:tc>
      </w:tr>
      <w:tr w:rsidR="0081146A" w:rsidRPr="00C86111" w14:paraId="5B75D1DA" w14:textId="77777777" w:rsidTr="00BC765B">
        <w:trPr>
          <w:cnfStyle w:val="000000100000" w:firstRow="0" w:lastRow="0" w:firstColumn="0" w:lastColumn="0" w:oddVBand="0" w:evenVBand="0" w:oddHBand="1" w:evenHBand="0" w:firstRowFirstColumn="0" w:firstRowLastColumn="0" w:lastRowFirstColumn="0" w:lastRowLastColumn="0"/>
          <w:trHeight w:val="1629"/>
        </w:trPr>
        <w:tc>
          <w:tcPr>
            <w:cnfStyle w:val="001000000000" w:firstRow="0" w:lastRow="0" w:firstColumn="1" w:lastColumn="0" w:oddVBand="0" w:evenVBand="0" w:oddHBand="0" w:evenHBand="0" w:firstRowFirstColumn="0" w:firstRowLastColumn="0" w:lastRowFirstColumn="0" w:lastRowLastColumn="0"/>
            <w:tcW w:w="2159" w:type="dxa"/>
          </w:tcPr>
          <w:p w14:paraId="0A331BCF"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POPs karakteristike</w:t>
            </w:r>
          </w:p>
        </w:tc>
        <w:tc>
          <w:tcPr>
            <w:tcW w:w="7191" w:type="dxa"/>
            <w:gridSpan w:val="2"/>
          </w:tcPr>
          <w:p w14:paraId="65BE9563" w14:textId="77777777" w:rsidR="0081146A" w:rsidRPr="00C86111" w:rsidRDefault="0081146A" w:rsidP="00BC765B">
            <w:pPr>
              <w:pStyle w:val="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Ljudi mogu biti izloženi PCP-u na radnom mjestu udisanjem kontaminiranog zraka, kontaktom sa kožom ili drvetom tretiranim PCP-om. Kratkotrajna izloženost velikim količinama PCP-a može izazvati štetne efekte na jetru, bubrege, krv, pluća, nervni i imunološki sistem. Groznica, pojazano znojenje, neusklađeni pokreti, grčevi mišića i koma su dodatni neželjeni efekti. Kontakt sa PCP-om može iritirati kožu, oči i usta. Izloženost PCP-u povezana je i sa kancerogenim, bubrežnim i neurološkim efektima</w:t>
            </w:r>
          </w:p>
        </w:tc>
      </w:tr>
      <w:tr w:rsidR="0081146A" w:rsidRPr="00C86111" w14:paraId="1A91A277" w14:textId="77777777" w:rsidTr="00BC765B">
        <w:trPr>
          <w:trHeight w:val="290"/>
        </w:trPr>
        <w:tc>
          <w:tcPr>
            <w:cnfStyle w:val="001000000000" w:firstRow="0" w:lastRow="0" w:firstColumn="1" w:lastColumn="0" w:oddVBand="0" w:evenVBand="0" w:oddHBand="0" w:evenHBand="0" w:firstRowFirstColumn="0" w:firstRowLastColumn="0" w:lastRowFirstColumn="0" w:lastRowLastColumn="0"/>
            <w:tcW w:w="2159" w:type="dxa"/>
          </w:tcPr>
          <w:p w14:paraId="52007EB2"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de-DE"/>
              </w:rPr>
              <w:t>Alternative</w:t>
            </w:r>
          </w:p>
        </w:tc>
        <w:tc>
          <w:tcPr>
            <w:tcW w:w="7191" w:type="dxa"/>
            <w:gridSpan w:val="2"/>
          </w:tcPr>
          <w:p w14:paraId="78095F15"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Postoje hemijske i nehemijske alternative.</w:t>
            </w:r>
          </w:p>
        </w:tc>
      </w:tr>
    </w:tbl>
    <w:p w14:paraId="0EB1224F" w14:textId="77777777" w:rsidR="0081146A" w:rsidRPr="00C86111" w:rsidRDefault="0081146A" w:rsidP="00EA6904">
      <w:pPr>
        <w:pStyle w:val="Heading4"/>
      </w:pPr>
      <w:r w:rsidRPr="00C86111">
        <w:t>Dikofol</w:t>
      </w:r>
    </w:p>
    <w:p w14:paraId="3C7DF5A2" w14:textId="3FC0215B"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Dikofol je uključen u Aneks A, dio I, Stokholmske konvencije bez specifičnih izuzetaka. Osnovne karakteristike su date u Tabeli </w:t>
      </w:r>
      <w:r w:rsidR="00A12257" w:rsidRPr="00C86111">
        <w:rPr>
          <w:rFonts w:asciiTheme="minorHAnsi" w:hAnsiTheme="minorHAnsi" w:cstheme="minorHAnsi"/>
          <w:color w:val="auto"/>
          <w:szCs w:val="24"/>
        </w:rPr>
        <w:t>9</w:t>
      </w:r>
      <w:r w:rsidRPr="00C86111">
        <w:rPr>
          <w:rFonts w:asciiTheme="minorHAnsi" w:hAnsiTheme="minorHAnsi" w:cstheme="minorHAnsi"/>
          <w:color w:val="auto"/>
          <w:szCs w:val="24"/>
        </w:rPr>
        <w:t>.</w:t>
      </w:r>
    </w:p>
    <w:p w14:paraId="24EF639F" w14:textId="77777777" w:rsidR="0081146A" w:rsidRPr="00C86111" w:rsidRDefault="0081146A" w:rsidP="0081146A">
      <w:pPr>
        <w:jc w:val="both"/>
        <w:rPr>
          <w:rFonts w:asciiTheme="minorHAnsi" w:hAnsiTheme="minorHAnsi" w:cstheme="minorHAnsi"/>
          <w:color w:val="auto"/>
          <w:szCs w:val="24"/>
        </w:rPr>
      </w:pPr>
    </w:p>
    <w:p w14:paraId="0ECD916C" w14:textId="53003622"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A12257" w:rsidRPr="00C86111">
        <w:rPr>
          <w:rFonts w:asciiTheme="minorHAnsi" w:hAnsiTheme="minorHAnsi" w:cstheme="minorHAnsi"/>
          <w:b/>
          <w:bCs/>
          <w:color w:val="auto"/>
          <w:szCs w:val="24"/>
        </w:rPr>
        <w:t>9</w:t>
      </w:r>
      <w:r w:rsidRPr="00C86111">
        <w:rPr>
          <w:rFonts w:asciiTheme="minorHAnsi" w:hAnsiTheme="minorHAnsi" w:cstheme="minorHAnsi"/>
          <w:b/>
          <w:bCs/>
          <w:color w:val="auto"/>
          <w:szCs w:val="24"/>
        </w:rPr>
        <w:t>.</w:t>
      </w:r>
      <w:r w:rsidRPr="00C86111">
        <w:rPr>
          <w:rFonts w:asciiTheme="minorHAnsi" w:hAnsiTheme="minorHAnsi" w:cstheme="minorHAnsi"/>
          <w:color w:val="auto"/>
          <w:szCs w:val="24"/>
        </w:rPr>
        <w:t xml:space="preserve"> Osnovne karakteristike dikofola</w:t>
      </w:r>
    </w:p>
    <w:tbl>
      <w:tblPr>
        <w:tblStyle w:val="GridTable5Dark-Accent6"/>
        <w:tblW w:w="9350" w:type="dxa"/>
        <w:tblLayout w:type="fixed"/>
        <w:tblLook w:val="04A0" w:firstRow="1" w:lastRow="0" w:firstColumn="1" w:lastColumn="0" w:noHBand="0" w:noVBand="1"/>
      </w:tblPr>
      <w:tblGrid>
        <w:gridCol w:w="1885"/>
        <w:gridCol w:w="3510"/>
        <w:gridCol w:w="3955"/>
      </w:tblGrid>
      <w:tr w:rsidR="0081146A" w:rsidRPr="00C86111" w14:paraId="5F678EC6" w14:textId="77777777" w:rsidTr="00BC765B">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350" w:type="dxa"/>
            <w:gridSpan w:val="3"/>
          </w:tcPr>
          <w:p w14:paraId="524C97C7" w14:textId="77777777" w:rsidR="0081146A" w:rsidRPr="00C86111" w:rsidRDefault="0081146A" w:rsidP="00BC765B">
            <w:pPr>
              <w:pStyle w:val="Text"/>
              <w:spacing w:before="120" w:after="60"/>
              <w:jc w:val="both"/>
              <w:rPr>
                <w:rFonts w:asciiTheme="minorHAnsi" w:hAnsiTheme="minorHAnsi" w:cstheme="minorHAnsi"/>
                <w:b w:val="0"/>
                <w:bCs w:val="0"/>
                <w:color w:val="auto"/>
                <w:sz w:val="20"/>
                <w:szCs w:val="20"/>
              </w:rPr>
            </w:pPr>
            <w:r w:rsidRPr="00C86111">
              <w:rPr>
                <w:rFonts w:asciiTheme="minorHAnsi" w:hAnsiTheme="minorHAnsi" w:cstheme="minorHAnsi"/>
                <w:color w:val="auto"/>
                <w:kern w:val="0"/>
                <w:sz w:val="20"/>
                <w:szCs w:val="20"/>
              </w:rPr>
              <w:t>Dikofol</w:t>
            </w:r>
          </w:p>
        </w:tc>
      </w:tr>
      <w:tr w:rsidR="0081146A" w:rsidRPr="00C86111" w14:paraId="748E1F17" w14:textId="77777777" w:rsidTr="00BC765B">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1885" w:type="dxa"/>
            <w:vMerge w:val="restart"/>
          </w:tcPr>
          <w:p w14:paraId="22DD27D6" w14:textId="77777777" w:rsidR="0081146A" w:rsidRPr="00C86111" w:rsidRDefault="0081146A" w:rsidP="00BC765B">
            <w:pPr>
              <w:pStyle w:val="Text"/>
              <w:spacing w:before="120" w:after="60" w:line="240" w:lineRule="auto"/>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lang w:val="de-DE"/>
              </w:rPr>
              <w:t>Struktura</w:t>
            </w:r>
          </w:p>
        </w:tc>
        <w:tc>
          <w:tcPr>
            <w:tcW w:w="3510" w:type="dxa"/>
          </w:tcPr>
          <w:p w14:paraId="194DF16B"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3CCEBAF1" wp14:editId="61E69347">
                  <wp:extent cx="1859441" cy="807790"/>
                  <wp:effectExtent l="0" t="0" r="0" b="0"/>
                  <wp:docPr id="2" name="officeArt object" descr="Picture 1"/>
                  <wp:cNvGraphicFramePr/>
                  <a:graphic xmlns:a="http://schemas.openxmlformats.org/drawingml/2006/main">
                    <a:graphicData uri="http://schemas.openxmlformats.org/drawingml/2006/picture">
                      <pic:pic xmlns:pic="http://schemas.openxmlformats.org/drawingml/2006/picture">
                        <pic:nvPicPr>
                          <pic:cNvPr id="1073741832" name="Picture 1" descr="Picture 1"/>
                          <pic:cNvPicPr>
                            <a:picLocks noChangeAspect="1"/>
                          </pic:cNvPicPr>
                        </pic:nvPicPr>
                        <pic:blipFill>
                          <a:blip r:embed="rId16"/>
                          <a:stretch>
                            <a:fillRect/>
                          </a:stretch>
                        </pic:blipFill>
                        <pic:spPr>
                          <a:xfrm>
                            <a:off x="0" y="0"/>
                            <a:ext cx="1859441" cy="807790"/>
                          </a:xfrm>
                          <a:prstGeom prst="rect">
                            <a:avLst/>
                          </a:prstGeom>
                          <a:ln w="12700" cap="flat">
                            <a:noFill/>
                            <a:miter lim="400000"/>
                          </a:ln>
                          <a:effectLst/>
                        </pic:spPr>
                      </pic:pic>
                    </a:graphicData>
                  </a:graphic>
                </wp:inline>
              </w:drawing>
            </w:r>
          </w:p>
        </w:tc>
        <w:tc>
          <w:tcPr>
            <w:tcW w:w="3955" w:type="dxa"/>
          </w:tcPr>
          <w:p w14:paraId="5E3363F2"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noProof/>
                <w:color w:val="auto"/>
                <w:sz w:val="20"/>
                <w:szCs w:val="20"/>
              </w:rPr>
              <w:drawing>
                <wp:inline distT="0" distB="0" distL="0" distR="0" wp14:anchorId="65AD01ED" wp14:editId="392FD9F5">
                  <wp:extent cx="1714649" cy="845893"/>
                  <wp:effectExtent l="0" t="0" r="0" b="0"/>
                  <wp:docPr id="107374183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a:blip r:embed="rId17"/>
                          <a:stretch>
                            <a:fillRect/>
                          </a:stretch>
                        </pic:blipFill>
                        <pic:spPr>
                          <a:xfrm>
                            <a:off x="0" y="0"/>
                            <a:ext cx="1714649" cy="845893"/>
                          </a:xfrm>
                          <a:prstGeom prst="rect">
                            <a:avLst/>
                          </a:prstGeom>
                          <a:ln w="12700" cap="flat">
                            <a:noFill/>
                            <a:miter lim="400000"/>
                          </a:ln>
                          <a:effectLst/>
                        </pic:spPr>
                      </pic:pic>
                    </a:graphicData>
                  </a:graphic>
                </wp:inline>
              </w:drawing>
            </w:r>
          </w:p>
        </w:tc>
      </w:tr>
      <w:tr w:rsidR="0081146A" w:rsidRPr="00C86111" w14:paraId="16010057" w14:textId="77777777" w:rsidTr="00BC765B">
        <w:trPr>
          <w:trHeight w:val="290"/>
        </w:trPr>
        <w:tc>
          <w:tcPr>
            <w:cnfStyle w:val="001000000000" w:firstRow="0" w:lastRow="0" w:firstColumn="1" w:lastColumn="0" w:oddVBand="0" w:evenVBand="0" w:oddHBand="0" w:evenHBand="0" w:firstRowFirstColumn="0" w:firstRowLastColumn="0" w:lastRowFirstColumn="0" w:lastRowLastColumn="0"/>
            <w:tcW w:w="1885" w:type="dxa"/>
            <w:vMerge/>
          </w:tcPr>
          <w:p w14:paraId="0B4BAFF1" w14:textId="77777777" w:rsidR="0081146A" w:rsidRPr="00C86111" w:rsidRDefault="0081146A" w:rsidP="00BC765B">
            <w:pPr>
              <w:jc w:val="both"/>
              <w:rPr>
                <w:rFonts w:asciiTheme="minorHAnsi" w:hAnsiTheme="minorHAnsi" w:cstheme="minorHAnsi"/>
                <w:b w:val="0"/>
                <w:bCs w:val="0"/>
                <w:color w:val="auto"/>
                <w:sz w:val="20"/>
                <w:szCs w:val="20"/>
              </w:rPr>
            </w:pPr>
          </w:p>
        </w:tc>
        <w:tc>
          <w:tcPr>
            <w:tcW w:w="3510" w:type="dxa"/>
          </w:tcPr>
          <w:p w14:paraId="71A96A51"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es-ES_tradnl"/>
              </w:rPr>
              <w:t>p,p'-dikofol</w:t>
            </w:r>
          </w:p>
        </w:tc>
        <w:tc>
          <w:tcPr>
            <w:tcW w:w="3955" w:type="dxa"/>
          </w:tcPr>
          <w:p w14:paraId="0B60A75B"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es-ES_tradnl"/>
              </w:rPr>
              <w:t>o,p'-dikofol</w:t>
            </w:r>
          </w:p>
        </w:tc>
      </w:tr>
      <w:tr w:rsidR="0081146A" w:rsidRPr="00C86111" w14:paraId="625738A4" w14:textId="77777777" w:rsidTr="00BC76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5" w:type="dxa"/>
          </w:tcPr>
          <w:p w14:paraId="3F76B883" w14:textId="77777777" w:rsidR="0081146A" w:rsidRPr="00C86111" w:rsidRDefault="0081146A" w:rsidP="00BC765B">
            <w:pPr>
              <w:pStyle w:val="Text"/>
              <w:spacing w:before="120" w:after="60" w:line="240" w:lineRule="auto"/>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CAS No.</w:t>
            </w:r>
          </w:p>
        </w:tc>
        <w:tc>
          <w:tcPr>
            <w:tcW w:w="3510" w:type="dxa"/>
          </w:tcPr>
          <w:p w14:paraId="48914830"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152-32-2</w:t>
            </w:r>
          </w:p>
        </w:tc>
        <w:tc>
          <w:tcPr>
            <w:tcW w:w="3955" w:type="dxa"/>
          </w:tcPr>
          <w:p w14:paraId="088B4809" w14:textId="77777777" w:rsidR="0081146A" w:rsidRPr="00C86111" w:rsidRDefault="0081146A" w:rsidP="00BC765B">
            <w:pPr>
              <w:pStyle w:val="Text"/>
              <w:spacing w:before="120" w:after="6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10606-46-9</w:t>
            </w:r>
          </w:p>
        </w:tc>
      </w:tr>
      <w:tr w:rsidR="0081146A" w:rsidRPr="00C86111" w14:paraId="7C03C5DF" w14:textId="77777777" w:rsidTr="00BC765B">
        <w:trPr>
          <w:trHeight w:val="2250"/>
        </w:trPr>
        <w:tc>
          <w:tcPr>
            <w:cnfStyle w:val="001000000000" w:firstRow="0" w:lastRow="0" w:firstColumn="1" w:lastColumn="0" w:oddVBand="0" w:evenVBand="0" w:oddHBand="0" w:evenHBand="0" w:firstRowFirstColumn="0" w:firstRowLastColumn="0" w:lastRowFirstColumn="0" w:lastRowLastColumn="0"/>
            <w:tcW w:w="1885" w:type="dxa"/>
          </w:tcPr>
          <w:p w14:paraId="4724CE55" w14:textId="77777777" w:rsidR="0081146A" w:rsidRPr="00C86111" w:rsidRDefault="0081146A" w:rsidP="00BC765B">
            <w:pPr>
              <w:pStyle w:val="Text"/>
              <w:spacing w:before="120" w:after="60" w:line="240" w:lineRule="auto"/>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lastRenderedPageBreak/>
              <w:t>Upotreba I proizvodnja</w:t>
            </w:r>
          </w:p>
        </w:tc>
        <w:tc>
          <w:tcPr>
            <w:tcW w:w="7465" w:type="dxa"/>
            <w:gridSpan w:val="2"/>
          </w:tcPr>
          <w:p w14:paraId="6A0C7C27" w14:textId="77777777" w:rsidR="0081146A" w:rsidRPr="00C86111" w:rsidRDefault="0081146A" w:rsidP="00BC765B">
            <w:pPr>
              <w:pStyle w:val="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Dicofol je organohlorni pesticid koji se sastoji od dva izomera (p,p'-dicofol i o,p'-dicofol). Tehnički dicofol sadrži 80–85% p,p'-dicofola i 15–20% o,p'-dicofola uz prijavljeni raspon varijacija u DDT-u i drugim nečistoćama. Dicofol se prodaje od sredine 1950-ih kao pesticid protiv grinja i koristi se prvenstveno u Istočnoj i Jugoistočnoj Aziji, na mediteranskoj obali i u Sjevernoj i Centralnoj Americi. Dicofol je ograničen ili zabranjen u mnogim zemljama, a njegova upotreba se značajno smanjila u posljednjoj deceniji (otprilike 80% od 2000. do 2012.).</w:t>
            </w:r>
          </w:p>
        </w:tc>
      </w:tr>
      <w:tr w:rsidR="0081146A" w:rsidRPr="00C86111" w14:paraId="3CA746CD" w14:textId="77777777" w:rsidTr="00BC765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85" w:type="dxa"/>
          </w:tcPr>
          <w:p w14:paraId="37CAF6D2" w14:textId="77777777" w:rsidR="0081146A" w:rsidRPr="00C86111" w:rsidRDefault="0081146A" w:rsidP="00BC765B">
            <w:pPr>
              <w:pStyle w:val="Text"/>
              <w:spacing w:before="120" w:after="60" w:line="240" w:lineRule="auto"/>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POPs karakteristike</w:t>
            </w:r>
          </w:p>
        </w:tc>
        <w:tc>
          <w:tcPr>
            <w:tcW w:w="7465" w:type="dxa"/>
            <w:gridSpan w:val="2"/>
          </w:tcPr>
          <w:p w14:paraId="006BA50B" w14:textId="77777777" w:rsidR="0081146A" w:rsidRPr="00C86111" w:rsidRDefault="0081146A" w:rsidP="00BC765B">
            <w:pPr>
              <w:pStyle w:val="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Glavni degradati dicofola sa većom postojanošću od samog dicofola uključuju DCBP (dihlorbenzofenon), FW-152 (2,2-dihloro-1,1-bis(4-klorfenil)etanol), DCBH (dihlorbenzhidrol), OH-DCBP (3-hidroksi-dihlorbenzofenon) i DCBA (dihlorbenzilna kiselina). DCBP, FW-152 i DCBH su se akumulirali u studiji voda/sedimenti i mogu se klasifikovati kao postojani u sedimentima. US EPA (2009) predložila je poluvijek od 313 dana u tlu za p,p’-dicofol plus glavne degradate i 32 dana za sam p,p’-dicofol u blago alkalnim uslovima. Dicofol pokazuje umjerenu akutnu toksičnost kod sisara; uobičajeni znaci toksičnosti uključuju smanjenu spontanu motornu aktivnost, ataksiju, pasivnost, pospanost, slabost i povremene tremore. Hronična toksična dejstva pogađaju jetru, štitnu žlijezdu, nadbubrežne žlijezde, mozak, srce i testise. Brojne nedavne in vitro studije pokazuju interakciju sa endokrinim sistemom, aktivnost vezivanja za proteine, indukciju enzima i interferenciju sa drugim hemikalijama. U Evropi je razvijen prioritetni spisak za hemikalije koje ometaju endokrini sistem (EDC) kako bi se pomoglo u djelovanju na one sa najvišim prioritetom. Razmatrane podkategorije bile su: kategorija 1 (dokaz endokrine aktivnosti kod barem jedne vrste koristeći intactne životinje), kategorija 2 (barem neki in vitro dokazi biološke aktivnosti na endokrinu disrupciju) ili kategorija 3 (nema dokaza endokrine disrupcije ili nema dostupnih podataka). Na osnovu pregleda dostupnih dokaza, dicofol je svrstan u kategoriju 2 za divlje životinje i kategoriju 3 za ljude (DHI, 2007). Dicofol je u novije vrijeme takođe razmatran kao primjer u širem pregledu potencijalnih EDC supstanci u Evropi od Kortenkampa et al. (2012), koji se poziva na studiju Robertsa (2007) o razvoju neurotoksičnosti kod djece putem mehanizama endokrine disrupcije uzrokovane dicofolom.</w:t>
            </w:r>
          </w:p>
        </w:tc>
      </w:tr>
      <w:tr w:rsidR="0081146A" w:rsidRPr="00C86111" w14:paraId="7ACDBA8B" w14:textId="77777777" w:rsidTr="00BC765B">
        <w:trPr>
          <w:trHeight w:val="630"/>
        </w:trPr>
        <w:tc>
          <w:tcPr>
            <w:cnfStyle w:val="001000000000" w:firstRow="0" w:lastRow="0" w:firstColumn="1" w:lastColumn="0" w:oddVBand="0" w:evenVBand="0" w:oddHBand="0" w:evenHBand="0" w:firstRowFirstColumn="0" w:firstRowLastColumn="0" w:lastRowFirstColumn="0" w:lastRowLastColumn="0"/>
            <w:tcW w:w="1885" w:type="dxa"/>
          </w:tcPr>
          <w:p w14:paraId="7853FBF7" w14:textId="77777777" w:rsidR="0081146A" w:rsidRPr="00C86111" w:rsidRDefault="0081146A" w:rsidP="00BC765B">
            <w:pPr>
              <w:pStyle w:val="Text"/>
              <w:spacing w:before="120" w:after="60" w:line="240" w:lineRule="auto"/>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de-DE"/>
              </w:rPr>
              <w:t>Alternative</w:t>
            </w:r>
          </w:p>
        </w:tc>
        <w:tc>
          <w:tcPr>
            <w:tcW w:w="7465" w:type="dxa"/>
            <w:gridSpan w:val="2"/>
          </w:tcPr>
          <w:p w14:paraId="48F621B3" w14:textId="77777777" w:rsidR="0081146A" w:rsidRPr="00C86111" w:rsidRDefault="0081146A" w:rsidP="00BC765B">
            <w:pPr>
              <w:pStyle w:val="Text"/>
              <w:spacing w:before="120" w:after="6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kern w:val="0"/>
                <w:sz w:val="20"/>
                <w:szCs w:val="20"/>
              </w:rPr>
            </w:pPr>
            <w:r w:rsidRPr="00C86111">
              <w:rPr>
                <w:rFonts w:asciiTheme="minorHAnsi" w:hAnsiTheme="minorHAnsi" w:cstheme="minorHAnsi"/>
                <w:color w:val="auto"/>
                <w:kern w:val="0"/>
                <w:sz w:val="20"/>
                <w:szCs w:val="20"/>
              </w:rPr>
              <w:t>Postoje hemijske alternative</w:t>
            </w:r>
          </w:p>
          <w:p w14:paraId="2577AA51" w14:textId="77777777" w:rsidR="0081146A" w:rsidRPr="00C86111" w:rsidRDefault="009756DA" w:rsidP="00BC765B">
            <w:pPr>
              <w:pStyle w:val="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18" w:history="1">
              <w:r w:rsidR="0081146A" w:rsidRPr="00C86111">
                <w:rPr>
                  <w:rStyle w:val="Hyperlink1"/>
                  <w:rFonts w:asciiTheme="minorHAnsi" w:hAnsiTheme="minorHAnsi" w:cstheme="minorHAnsi"/>
                  <w:color w:val="auto"/>
                  <w:sz w:val="20"/>
                  <w:szCs w:val="20"/>
                </w:rPr>
                <w:t>https://chm.pops.int/Implementation/Alternatives/AlternativestoPOPs/ChemicalslistedinAnnexA/Dicofol/tabid/8291/Default.aspx</w:t>
              </w:r>
            </w:hyperlink>
          </w:p>
        </w:tc>
      </w:tr>
    </w:tbl>
    <w:p w14:paraId="417A4D86" w14:textId="77777777" w:rsidR="0081146A" w:rsidRPr="00C86111" w:rsidRDefault="0081146A" w:rsidP="0081146A">
      <w:pPr>
        <w:jc w:val="both"/>
        <w:rPr>
          <w:rFonts w:asciiTheme="minorHAnsi" w:hAnsiTheme="minorHAnsi" w:cstheme="minorHAnsi"/>
          <w:color w:val="auto"/>
          <w:szCs w:val="24"/>
        </w:rPr>
      </w:pPr>
    </w:p>
    <w:p w14:paraId="0BFCDE3B"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Dikofol je imao registraciju za upotrebu do 2002. godine u Srbiji i Crnoj Gori (bivša Jugoslavija). Časopis "Biljni lekar", koji objavljuje Poljoprivredni fakultet u Novom Sadu, izdavao je svake dvije godine poseban broj sa spiskom registrovanih poljoprivrednih pripravaka za teritoriju Savezne Republike Jugoslavije. U dostupnim izdanjima iz 1995., 1997., 1999. i 2001. godine mogao se naći registrovani proizvod sa aktivnom supstancom dikofol.</w:t>
      </w:r>
    </w:p>
    <w:p w14:paraId="7EE63B05"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 izdanju iz 1995. godine navedeni su proizvodi Dikofol 200EC (200 g/l) proizveden od strane Zorka-ATH, Subotica, i Kelthane-E (200 g/l), proizveden od strane Rhom and Hass, Milano / Galenika Zemun. Ovi proizvodi su bili registrovani za suzbijanje grinja (akaricid) u voćnjacima, vinogradima i ukrasnim biljkama.</w:t>
      </w:r>
    </w:p>
    <w:p w14:paraId="61733ADB"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 izdanjima iz 1997., 1999. i 2001. godine naveden je samo jedan registrovani proizvod, i to Dikofol 200EC (200 g/l), proizveden od strane Zorka-ATH, Subotica.</w:t>
      </w:r>
    </w:p>
    <w:p w14:paraId="1CA5D022"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U publikaciji "Pesticidi u poljoprivredi i šumarstvu u Jugoslaviji" (četrnaesto, revidirano i prošireno izdanje) iz 2002. godine, nije bilo navedenog proizvoda koji sadrži dikofol među registrovanim pripravcima.</w:t>
      </w:r>
    </w:p>
    <w:p w14:paraId="2EA7F8A0" w14:textId="48CC8656" w:rsidR="0081146A" w:rsidRPr="00C86111" w:rsidRDefault="0081146A" w:rsidP="0081146A">
      <w:pPr>
        <w:jc w:val="both"/>
        <w:rPr>
          <w:rFonts w:asciiTheme="minorHAnsi" w:hAnsiTheme="minorHAnsi" w:cstheme="minorHAnsi"/>
          <w:vanish/>
          <w:color w:val="auto"/>
          <w:szCs w:val="24"/>
        </w:rPr>
      </w:pPr>
      <w:r w:rsidRPr="00C86111">
        <w:rPr>
          <w:rFonts w:asciiTheme="minorHAnsi" w:hAnsiTheme="minorHAnsi" w:cstheme="minorHAnsi"/>
          <w:color w:val="auto"/>
          <w:szCs w:val="24"/>
        </w:rPr>
        <w:t>Od 2008. godine, pentahlorfenol i dikofol se više ne koriste kao sredstva za zaštitu bilja niti se nalaze na listi aktivnih supstanci dozvoljenih za upotrebu u sredstvima za zaštitu bilja.</w:t>
      </w:r>
      <w:r w:rsidRPr="00C86111">
        <w:rPr>
          <w:rFonts w:asciiTheme="minorHAnsi" w:hAnsiTheme="minorHAnsi" w:cstheme="minorHAnsi"/>
          <w:vanish/>
          <w:color w:val="auto"/>
          <w:szCs w:val="24"/>
        </w:rPr>
        <w:t>Top of Form</w:t>
      </w:r>
    </w:p>
    <w:p w14:paraId="7CF9F148" w14:textId="77777777" w:rsidR="0081146A" w:rsidRPr="00C86111" w:rsidRDefault="0081146A" w:rsidP="0081146A">
      <w:pPr>
        <w:jc w:val="both"/>
        <w:rPr>
          <w:rFonts w:asciiTheme="minorHAnsi" w:hAnsiTheme="minorHAnsi" w:cstheme="minorHAnsi"/>
          <w:color w:val="auto"/>
          <w:szCs w:val="24"/>
        </w:rPr>
      </w:pPr>
    </w:p>
    <w:p w14:paraId="6F148B1E" w14:textId="77777777" w:rsidR="0081146A" w:rsidRPr="00C86111" w:rsidRDefault="0081146A" w:rsidP="00004F34">
      <w:pPr>
        <w:pStyle w:val="Heading1"/>
        <w:numPr>
          <w:ilvl w:val="1"/>
          <w:numId w:val="238"/>
        </w:numPr>
      </w:pPr>
      <w:bookmarkStart w:id="27" w:name="_Toc220541860"/>
      <w:r w:rsidRPr="00C86111">
        <w:t>Evaluacija nalaza inventara</w:t>
      </w:r>
      <w:bookmarkEnd w:id="27"/>
    </w:p>
    <w:p w14:paraId="0229EDB2" w14:textId="07A02905" w:rsidR="0081146A" w:rsidRPr="00C86111" w:rsidRDefault="0081146A" w:rsidP="00EA6904">
      <w:pPr>
        <w:pStyle w:val="Heading4"/>
        <w:rPr>
          <w:color w:val="auto"/>
        </w:rPr>
      </w:pPr>
      <w:r w:rsidRPr="00C86111">
        <w:t>Početnih 9 POP pesticida</w:t>
      </w:r>
    </w:p>
    <w:p w14:paraId="4A8FAB3C"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Inventar potvrđuje da je DDT bio najčešće korišćen POP pesticid u Crnoj Gori. Njegova primjena počela je u Podgorici 1946. godine za suzbijanje komaraca prenosioca malarije, a najintenzivnije je korišćen tokom 1956–1957. godine u velikim kampanjama protiv gusjenice u hrastovim šumama. Tokom ovih kampanja ukupno je tretirano 68.047 ha, uz potrošnju 118.030 kg DDT-a. Pored prskanja iz vazduha, sprovođena je i primjena na tlu pomoću motornih prskalica.</w:t>
      </w:r>
    </w:p>
    <w:p w14:paraId="04A8FCB6"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 opštini Berane, između 1968. i 1977. godine, primjenjivani su endrin i toxaphene protiv voluharica, dok je toxaphene korišćen i protiv hrošta (rose chafer) i osa. Aldrin i dieldrin su primjenjivani kao insekticidi za tlo.</w:t>
      </w:r>
    </w:p>
    <w:p w14:paraId="61F37269"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Suprotno tome, nema zapisa o upotrebi chlordane i heptachlor u Crnoj Gori, iako su proizvodili u Srbiji (Zorka Šabac). Isto tako, nema dokaza o upotrebi hexachlorobenzena (HCB) ili mirexa.</w:t>
      </w:r>
    </w:p>
    <w:p w14:paraId="53790AFF"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Chlordecone, Lindan i Endosulfan</w:t>
      </w:r>
    </w:p>
    <w:p w14:paraId="65A7C535"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U drugom dijelu inventara utvrđeno je da chlordecone nikada nije korišćen u Crnoj Gori. Međutim, dokumentovana je upotreba lindana (gamma-HCH) i endosulfana. Lindan je primjenjivan u poljoprivredi i za zaštitu drveta, dok je endosulfan bio registrovan za upotrebu u voćarstvu. Posljednje količine sredstava za zaštitu bilja koja sadrže ove aktivne supstance uvezene su 2006. godine i u potpunosti distribuirane.</w:t>
      </w:r>
    </w:p>
    <w:p w14:paraId="704563A8"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Nakon 2009. godine nisu izdavani dalji dozvoli za uvoz sredstava za zaštitu bilja zasnovanih na POP pesticidima. Ipak, biocidi koji sadrže endosulfan uvozili su se do 2013. godine, uglavnom za dezinfekciju staja i podruma. Tokom ovog perioda uvezeno je ukupno 8.000 litara koncentrata (35% EC). Stupanjem na snagu Zakona o hemikalijama (2013), izdavanje dozvola za uvoz ovih preparata prestalo je, čime je efektivno okončana njihova cirkulacija na tržištu.</w:t>
      </w:r>
    </w:p>
    <w:p w14:paraId="0C614C6C" w14:textId="77777777" w:rsidR="0081146A" w:rsidRPr="00C86111" w:rsidRDefault="0081146A" w:rsidP="00EA6904">
      <w:pPr>
        <w:pStyle w:val="Heading4"/>
      </w:pPr>
      <w:r w:rsidRPr="00C86111">
        <w:t>Dikofol i pentahlorofenol</w:t>
      </w:r>
    </w:p>
    <w:p w14:paraId="01288CFB"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Treći dio inventara se odnosi na dikofol i pentahlorofenol. Dikofol je bio registrovan u Jugoslaviji do 2002. godine kao akaricid u voćnjacima, vinogradima i ukrasnom bilju. Nakon 2002. godine, proizvodi na bazi dikofola nisu bili dostupni na tržištu. Pentahlorofenol, kao i dikofol, nije se koristio niti je bio registrovan kao sredstvo za zaštitu bilja u Crnoj Gori od 2008. godine.</w:t>
      </w:r>
    </w:p>
    <w:p w14:paraId="0BB52D90"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Iako je upotreba POP pesticida zakonski okončana, pitanje njihove moguće prisutnosti u hrani i životnoj sredini i dalje postoji. Stoga je uveden sistem redovnog praćenja.</w:t>
      </w:r>
    </w:p>
    <w:p w14:paraId="40A19F84" w14:textId="77777777" w:rsidR="0081146A" w:rsidRPr="00C86111" w:rsidRDefault="0081146A" w:rsidP="0081146A">
      <w:pPr>
        <w:jc w:val="both"/>
        <w:rPr>
          <w:rFonts w:asciiTheme="minorHAnsi" w:hAnsiTheme="minorHAnsi" w:cstheme="minorHAnsi"/>
          <w:color w:val="auto"/>
          <w:szCs w:val="24"/>
        </w:rPr>
      </w:pPr>
    </w:p>
    <w:p w14:paraId="137164C2" w14:textId="6B767666" w:rsidR="0081146A" w:rsidRPr="00C86111" w:rsidRDefault="0081146A" w:rsidP="00004F34">
      <w:pPr>
        <w:pStyle w:val="Heading1"/>
        <w:numPr>
          <w:ilvl w:val="1"/>
          <w:numId w:val="238"/>
        </w:numPr>
      </w:pPr>
      <w:bookmarkStart w:id="28" w:name="_Toc220541861"/>
      <w:r w:rsidRPr="00C86111">
        <w:lastRenderedPageBreak/>
        <w:t>Monitoring ostataka pesticida u hrani</w:t>
      </w:r>
      <w:bookmarkEnd w:id="28"/>
    </w:p>
    <w:p w14:paraId="4499CA40"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Monitoring ostataka pesticida u hrani se sprovodi u Crnoj Gori. Ovaj program se zasniva na standardnim parametrima i preporukama Evropske komisije u vezi sa koordinisanim programom monitoringa, a nacionalni monitoring program je takođe njegov sastavni dio. Prioriteti za uzimanje uzoraka hrane harmonizovani su sa EU, uz dodatni, nacionalno određeni tip hrane u skladu sa analizom rizika od domaće proizvodnje i uvoza.</w:t>
      </w:r>
    </w:p>
    <w:p w14:paraId="5AF0D869"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Lista aktivnih supstanci za testiranje obuhvata sve organohlorinske pesticide. Ovaj monitoring se u Crnoj Gori sprovodi od 2009. godine, a podaci su od 2013. godine dostavljani EFSI. Najnovije objavljen Program monitoringa ostataka pesticida u hrani biljnog i životinjskog porijekla za 2023. godinu objavljen je u „Službenom listu Crne Gore“, br. 44/2023 od 25. aprila 2023. godine.</w:t>
      </w:r>
    </w:p>
    <w:p w14:paraId="64AB103B"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Do 2024. godine u uzorcima hrane i stočne hrane koji su uzeti nisu pronađeni ostaci organohlorinskih pesticida.</w:t>
      </w:r>
    </w:p>
    <w:p w14:paraId="70B9FC73" w14:textId="77777777" w:rsidR="0081146A" w:rsidRPr="00C86111" w:rsidRDefault="0081146A" w:rsidP="00EA6904">
      <w:pPr>
        <w:pStyle w:val="Heading4"/>
      </w:pPr>
      <w:r w:rsidRPr="00C86111">
        <w:t>Program monitoringa uticaja upotrebe pesticida na životnu sredinu</w:t>
      </w:r>
    </w:p>
    <w:p w14:paraId="46F45AA7"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Program se sprovodi kroz uzimanje uzoraka radi praćenja uticaja upotrebe pesticida na životnu sredinu, procjene prijetnji za ekosisteme i zaštite zdravlja stanovništva. On omogućava kontrolu i uvođenje standarda u korišćenju poljoprivrednog zemljišta, s ciljem proizvodnje bezbjedne hrane i očuvanja ljudskog zdravlja i životne sredine.</w:t>
      </w:r>
    </w:p>
    <w:p w14:paraId="27468E3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Prvi monitoring program vezan za životnu sredinu objavljen je u Programu fitosanitarnih mjera za 2012. godinu („Službeni list Crne Gore“, br. 11/2012). U okviru Programa 2 – Program monitoringa sredstava za zaštitu i ishranu bilja i bezbjednost hrane, predviđena je implementacija Komponente 2.3 – Monitoring zemljišta kao objekta za proizvodnju hrane biljnog porijekla na nivou primarne proizvodnje.</w:t>
      </w:r>
    </w:p>
    <w:p w14:paraId="58CB7E45"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Svi programi su objavljeni u službenim glasnicima, čime je osigurana transparentnost i standardizacija postupaka. Do sada prikupljeni uzorci nisu pokazali prisustvo ostataka POPs pesticida na analiziranim lokacijama i uzorkovnim mjestima.</w:t>
      </w:r>
    </w:p>
    <w:p w14:paraId="5A2BCC95" w14:textId="77777777" w:rsidR="0081146A" w:rsidRPr="00C86111" w:rsidRDefault="0081146A" w:rsidP="00EA6904">
      <w:pPr>
        <w:pStyle w:val="Heading4"/>
      </w:pPr>
      <w:r w:rsidRPr="00C86111">
        <w:t>Nacionalni planovi za održivu upotrebu sredstava za zaštitu bilja u Crnoj Gori</w:t>
      </w:r>
    </w:p>
    <w:p w14:paraId="04E029B1"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Prvi Nacionalni plan za održivu upotrebu sredstava za zaštitu bilja objavljen je u „Službenom listu Crne Gore“, br. 57/2016 od 2. septembra 2016. godine. Plan definiše ciljeve, mjere, indikatore, rokove i aktivnosti s ciljem smanjenja rizika i negativnih efekata pesticida na ljudsko zdravlje i životnu sredinu.</w:t>
      </w:r>
    </w:p>
    <w:p w14:paraId="26AC2E24"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Cilj Nacionalnog plana je ublažavanje negativnog uticaja pesticida uz promociju integrisanih i drugih nekemijskih mjera za suzbijanje štetočina. To uključuje:</w:t>
      </w:r>
    </w:p>
    <w:p w14:paraId="3672CF74" w14:textId="77777777" w:rsidR="0081146A" w:rsidRPr="00C86111" w:rsidRDefault="0081146A" w:rsidP="00004F34">
      <w:pPr>
        <w:numPr>
          <w:ilvl w:val="0"/>
          <w:numId w:val="173"/>
        </w:numPr>
        <w:jc w:val="both"/>
        <w:rPr>
          <w:rFonts w:asciiTheme="minorHAnsi" w:hAnsiTheme="minorHAnsi" w:cstheme="minorHAnsi"/>
          <w:color w:val="auto"/>
          <w:szCs w:val="24"/>
        </w:rPr>
      </w:pPr>
      <w:r w:rsidRPr="00C86111">
        <w:rPr>
          <w:rFonts w:asciiTheme="minorHAnsi" w:hAnsiTheme="minorHAnsi" w:cstheme="minorHAnsi"/>
          <w:color w:val="auto"/>
          <w:szCs w:val="24"/>
        </w:rPr>
        <w:t>unapređenje razumijevanja metoda upotrebe pesticida;</w:t>
      </w:r>
    </w:p>
    <w:p w14:paraId="6D8D6DB4" w14:textId="77777777" w:rsidR="0081146A" w:rsidRPr="00C86111" w:rsidRDefault="0081146A" w:rsidP="00004F34">
      <w:pPr>
        <w:numPr>
          <w:ilvl w:val="0"/>
          <w:numId w:val="173"/>
        </w:numPr>
        <w:jc w:val="both"/>
        <w:rPr>
          <w:rFonts w:asciiTheme="minorHAnsi" w:hAnsiTheme="minorHAnsi" w:cstheme="minorHAnsi"/>
          <w:color w:val="auto"/>
          <w:szCs w:val="24"/>
        </w:rPr>
      </w:pPr>
      <w:r w:rsidRPr="00C86111">
        <w:rPr>
          <w:rFonts w:asciiTheme="minorHAnsi" w:hAnsiTheme="minorHAnsi" w:cstheme="minorHAnsi"/>
          <w:color w:val="auto"/>
          <w:szCs w:val="24"/>
        </w:rPr>
        <w:t>korišćenje naučnih dokaza i procedura za minimiziranje štetnih efekata, omogućavajući ekonomičnu kontrolu štetnih organizama i korova;</w:t>
      </w:r>
    </w:p>
    <w:p w14:paraId="65B6870D" w14:textId="77777777" w:rsidR="0081146A" w:rsidRPr="00C86111" w:rsidRDefault="0081146A" w:rsidP="00004F34">
      <w:pPr>
        <w:numPr>
          <w:ilvl w:val="0"/>
          <w:numId w:val="173"/>
        </w:numPr>
        <w:jc w:val="both"/>
        <w:rPr>
          <w:rFonts w:asciiTheme="minorHAnsi" w:hAnsiTheme="minorHAnsi" w:cstheme="minorHAnsi"/>
          <w:color w:val="auto"/>
          <w:szCs w:val="24"/>
        </w:rPr>
      </w:pPr>
      <w:r w:rsidRPr="00C86111">
        <w:rPr>
          <w:rFonts w:asciiTheme="minorHAnsi" w:hAnsiTheme="minorHAnsi" w:cstheme="minorHAnsi"/>
          <w:color w:val="auto"/>
          <w:szCs w:val="24"/>
        </w:rPr>
        <w:t>prepoznavanje uloga svih učesnika i zainteresovanih strana u postizanju zajedničkog cilja održive upotrebe pesticida;</w:t>
      </w:r>
    </w:p>
    <w:p w14:paraId="2667F6E2" w14:textId="77777777" w:rsidR="0081146A" w:rsidRPr="00C86111" w:rsidRDefault="0081146A" w:rsidP="00004F34">
      <w:pPr>
        <w:numPr>
          <w:ilvl w:val="0"/>
          <w:numId w:val="173"/>
        </w:numPr>
        <w:jc w:val="both"/>
        <w:rPr>
          <w:rFonts w:asciiTheme="minorHAnsi" w:hAnsiTheme="minorHAnsi" w:cstheme="minorHAnsi"/>
          <w:color w:val="auto"/>
          <w:szCs w:val="24"/>
        </w:rPr>
      </w:pPr>
      <w:r w:rsidRPr="00C86111">
        <w:rPr>
          <w:rFonts w:asciiTheme="minorHAnsi" w:hAnsiTheme="minorHAnsi" w:cstheme="minorHAnsi"/>
          <w:color w:val="auto"/>
          <w:szCs w:val="24"/>
        </w:rPr>
        <w:t>implementaciju adekvatnih mjera zaštite na radu;</w:t>
      </w:r>
    </w:p>
    <w:p w14:paraId="7D770AEC" w14:textId="77777777" w:rsidR="0081146A" w:rsidRPr="00C86111" w:rsidRDefault="0081146A" w:rsidP="00004F34">
      <w:pPr>
        <w:numPr>
          <w:ilvl w:val="0"/>
          <w:numId w:val="173"/>
        </w:numPr>
        <w:jc w:val="both"/>
        <w:rPr>
          <w:rFonts w:asciiTheme="minorHAnsi" w:hAnsiTheme="minorHAnsi" w:cstheme="minorHAnsi"/>
          <w:color w:val="auto"/>
          <w:szCs w:val="24"/>
        </w:rPr>
      </w:pPr>
      <w:r w:rsidRPr="00C86111">
        <w:rPr>
          <w:rFonts w:asciiTheme="minorHAnsi" w:hAnsiTheme="minorHAnsi" w:cstheme="minorHAnsi"/>
          <w:color w:val="auto"/>
          <w:szCs w:val="24"/>
        </w:rPr>
        <w:t>monitoring ostataka pesticida u hrani;</w:t>
      </w:r>
    </w:p>
    <w:p w14:paraId="5AEB033B" w14:textId="77777777" w:rsidR="0081146A" w:rsidRPr="00C86111" w:rsidRDefault="0081146A" w:rsidP="00004F34">
      <w:pPr>
        <w:numPr>
          <w:ilvl w:val="0"/>
          <w:numId w:val="173"/>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primjenu specifičnih tehnika upotrebe pesticida na određenim kulturama;</w:t>
      </w:r>
    </w:p>
    <w:p w14:paraId="04E7E63F" w14:textId="77777777" w:rsidR="0081146A" w:rsidRPr="00C86111" w:rsidRDefault="0081146A" w:rsidP="00004F34">
      <w:pPr>
        <w:numPr>
          <w:ilvl w:val="0"/>
          <w:numId w:val="173"/>
        </w:numPr>
        <w:jc w:val="both"/>
        <w:rPr>
          <w:rFonts w:asciiTheme="minorHAnsi" w:hAnsiTheme="minorHAnsi" w:cstheme="minorHAnsi"/>
          <w:color w:val="auto"/>
          <w:szCs w:val="24"/>
        </w:rPr>
      </w:pPr>
      <w:r w:rsidRPr="00C86111">
        <w:rPr>
          <w:rFonts w:asciiTheme="minorHAnsi" w:hAnsiTheme="minorHAnsi" w:cstheme="minorHAnsi"/>
          <w:color w:val="auto"/>
          <w:szCs w:val="24"/>
        </w:rPr>
        <w:t>prikupljanje podataka za praćenje upotrebe pesticida sa aktivnim supstancama od posebnog značaja, uključujući upotrebu alternativnih supstanci i metoda.</w:t>
      </w:r>
    </w:p>
    <w:p w14:paraId="4F78C35F"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Plan takođe definiše aktivnosti i učesnike u vezi sa zdravstvenim, društvenim, ekonomskim i ekološkim efektima, u skladu sa nacionalnim, regionalnim i lokalnim uslovima. Uključuje i aktivnosti predviđene propisima koji regulišu vodu, zaštitu prirode, upravljanje otpadom i druge regulative u kojima pesticidi imaju indirektan uticaj, uključujući zaštitu vode, divljih ptica, prirodnih staništa te divlje flore i faune.</w:t>
      </w:r>
    </w:p>
    <w:p w14:paraId="66EBEE19"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Drugi Nacionalni plan za održivu upotrebu sredstava za zaštitu bilja za period 2021–2026. godine objavljen je u „Službenom listu Crne Gore“, br. 115/2021 od 28. oktobra 2021. godine. Ovaj plan uvodi, između ostalog, usaglašene indikatore rizika, zasnovane na opasnostima povezanim sa aktivnim supstancama u sredstvima za zaštitu bilja, u skladu sa Uredbom (EU) br. 1107/2009.</w:t>
      </w:r>
    </w:p>
    <w:p w14:paraId="24605063" w14:textId="77777777" w:rsidR="0081146A" w:rsidRPr="00C86111" w:rsidRDefault="0081146A" w:rsidP="00004F34">
      <w:pPr>
        <w:pStyle w:val="Heading1"/>
        <w:numPr>
          <w:ilvl w:val="1"/>
          <w:numId w:val="238"/>
        </w:numPr>
      </w:pPr>
      <w:bookmarkStart w:id="29" w:name="_Toc220541862"/>
      <w:bookmarkStart w:id="30" w:name="_Hlk215608640"/>
      <w:r w:rsidRPr="00C86111">
        <w:t>Opšti zaključak</w:t>
      </w:r>
      <w:bookmarkEnd w:id="29"/>
    </w:p>
    <w:p w14:paraId="69452621"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Inventarizacija pesticida iz grupe </w:t>
      </w:r>
      <w:r w:rsidRPr="00C86111">
        <w:rPr>
          <w:rFonts w:asciiTheme="minorHAnsi" w:hAnsiTheme="minorHAnsi" w:cstheme="minorHAnsi"/>
          <w:b/>
          <w:bCs/>
          <w:color w:val="auto"/>
          <w:szCs w:val="24"/>
        </w:rPr>
        <w:t>perzistentnih organskih zagađivača (POP)</w:t>
      </w:r>
      <w:r w:rsidRPr="00C86111">
        <w:rPr>
          <w:rFonts w:asciiTheme="minorHAnsi" w:hAnsiTheme="minorHAnsi" w:cstheme="minorHAnsi"/>
          <w:color w:val="auto"/>
          <w:szCs w:val="24"/>
        </w:rPr>
        <w:t xml:space="preserve"> u Crnoj Gori pokazuje jasan istorijski obrazac. </w:t>
      </w:r>
      <w:r w:rsidRPr="00C86111">
        <w:rPr>
          <w:rFonts w:asciiTheme="minorHAnsi" w:hAnsiTheme="minorHAnsi" w:cstheme="minorHAnsi"/>
          <w:b/>
          <w:bCs/>
          <w:color w:val="auto"/>
          <w:szCs w:val="24"/>
        </w:rPr>
        <w:t>DDT</w:t>
      </w:r>
      <w:r w:rsidRPr="00C86111">
        <w:rPr>
          <w:rFonts w:asciiTheme="minorHAnsi" w:hAnsiTheme="minorHAnsi" w:cstheme="minorHAnsi"/>
          <w:color w:val="auto"/>
          <w:szCs w:val="24"/>
        </w:rPr>
        <w:t xml:space="preserve"> je intenzivno korišćen tokom 1950-ih godina, dok su drugi pesticidi, poput </w:t>
      </w:r>
      <w:r w:rsidRPr="00C86111">
        <w:rPr>
          <w:rFonts w:asciiTheme="minorHAnsi" w:hAnsiTheme="minorHAnsi" w:cstheme="minorHAnsi"/>
          <w:b/>
          <w:bCs/>
          <w:color w:val="auto"/>
          <w:szCs w:val="24"/>
        </w:rPr>
        <w:t>endrina, toksafena, aldrina i dieldrina</w:t>
      </w:r>
      <w:r w:rsidRPr="00C86111">
        <w:rPr>
          <w:rFonts w:asciiTheme="minorHAnsi" w:hAnsiTheme="minorHAnsi" w:cstheme="minorHAnsi"/>
          <w:color w:val="auto"/>
          <w:szCs w:val="24"/>
        </w:rPr>
        <w:t xml:space="preserve">, korišćeni u ograničenijim, lokalnim kontekstima u narednim decenijama. Nema dokaza o upotrebi </w:t>
      </w:r>
      <w:r w:rsidRPr="00C86111">
        <w:rPr>
          <w:rFonts w:asciiTheme="minorHAnsi" w:hAnsiTheme="minorHAnsi" w:cstheme="minorHAnsi"/>
          <w:b/>
          <w:bCs/>
          <w:color w:val="auto"/>
          <w:szCs w:val="24"/>
        </w:rPr>
        <w:t>hlordana, heptahlora, mireksa, heksaklorobenzena (HCB)</w:t>
      </w:r>
      <w:r w:rsidRPr="00C86111">
        <w:rPr>
          <w:rFonts w:asciiTheme="minorHAnsi" w:hAnsiTheme="minorHAnsi" w:cstheme="minorHAnsi"/>
          <w:color w:val="auto"/>
          <w:szCs w:val="24"/>
        </w:rPr>
        <w:t xml:space="preserve"> ili </w:t>
      </w:r>
      <w:r w:rsidRPr="00C86111">
        <w:rPr>
          <w:rFonts w:asciiTheme="minorHAnsi" w:hAnsiTheme="minorHAnsi" w:cstheme="minorHAnsi"/>
          <w:b/>
          <w:bCs/>
          <w:color w:val="auto"/>
          <w:szCs w:val="24"/>
        </w:rPr>
        <w:t>hlordekona</w:t>
      </w:r>
      <w:r w:rsidRPr="00C86111">
        <w:rPr>
          <w:rFonts w:asciiTheme="minorHAnsi" w:hAnsiTheme="minorHAnsi" w:cstheme="minorHAnsi"/>
          <w:color w:val="auto"/>
          <w:szCs w:val="24"/>
        </w:rPr>
        <w:t>.</w:t>
      </w:r>
    </w:p>
    <w:p w14:paraId="1CD4AB5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Noviji podaci pokazuju da su </w:t>
      </w:r>
      <w:r w:rsidRPr="00C86111">
        <w:rPr>
          <w:rFonts w:asciiTheme="minorHAnsi" w:hAnsiTheme="minorHAnsi" w:cstheme="minorHAnsi"/>
          <w:b/>
          <w:bCs/>
          <w:color w:val="auto"/>
          <w:szCs w:val="24"/>
        </w:rPr>
        <w:t>lindan, endosulfan, dikofol i pentahlorofenol</w:t>
      </w:r>
      <w:r w:rsidRPr="00C86111">
        <w:rPr>
          <w:rFonts w:asciiTheme="minorHAnsi" w:hAnsiTheme="minorHAnsi" w:cstheme="minorHAnsi"/>
          <w:color w:val="auto"/>
          <w:szCs w:val="24"/>
        </w:rPr>
        <w:t xml:space="preserve"> postepeno povlačeni iz upotrebe, a njihov uvoz i promet zakonski potpuno obustavljeni nakon 2013. godine.</w:t>
      </w:r>
    </w:p>
    <w:p w14:paraId="25BECD6D"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Trenutni programi monitoringa hrane, stočne hrane i životne sredine </w:t>
      </w:r>
      <w:r w:rsidRPr="00C86111">
        <w:rPr>
          <w:rFonts w:asciiTheme="minorHAnsi" w:hAnsiTheme="minorHAnsi" w:cstheme="minorHAnsi"/>
          <w:b/>
          <w:bCs/>
          <w:color w:val="auto"/>
          <w:szCs w:val="24"/>
        </w:rPr>
        <w:t>nisu detektovali ostatke organskih hlorisanih POP pesticida</w:t>
      </w:r>
      <w:r w:rsidRPr="00C86111">
        <w:rPr>
          <w:rFonts w:asciiTheme="minorHAnsi" w:hAnsiTheme="minorHAnsi" w:cstheme="minorHAnsi"/>
          <w:color w:val="auto"/>
          <w:szCs w:val="24"/>
        </w:rPr>
        <w:t xml:space="preserve">. Ovo ukazuje na efikasnu primjenu zakonskih ograničenja i usklađenost sa zakonodavstvom EU, kao i obavezama iz </w:t>
      </w:r>
      <w:r w:rsidRPr="00C86111">
        <w:rPr>
          <w:rFonts w:asciiTheme="minorHAnsi" w:hAnsiTheme="minorHAnsi" w:cstheme="minorHAnsi"/>
          <w:b/>
          <w:bCs/>
          <w:color w:val="auto"/>
          <w:szCs w:val="24"/>
        </w:rPr>
        <w:t>Stokholmske konvencije</w:t>
      </w:r>
      <w:r w:rsidRPr="00C86111">
        <w:rPr>
          <w:rFonts w:asciiTheme="minorHAnsi" w:hAnsiTheme="minorHAnsi" w:cstheme="minorHAnsi"/>
          <w:color w:val="auto"/>
          <w:szCs w:val="24"/>
        </w:rPr>
        <w:t>. Ipak, istorijski intenzivna upotreba određenih supstanci, naročito DDT-a, naglašava potrebu za kontinuiranom pažnjom kako bi se spriječilo da eventualna zaostala kontaminacija predstavlja rizik po ljudsko zdravlje i životnu sredinu.</w:t>
      </w:r>
    </w:p>
    <w:p w14:paraId="3BFF2C30" w14:textId="77777777" w:rsidR="0081146A" w:rsidRPr="00C86111" w:rsidRDefault="0081146A" w:rsidP="00004F34">
      <w:pPr>
        <w:pStyle w:val="Heading1"/>
        <w:numPr>
          <w:ilvl w:val="1"/>
          <w:numId w:val="238"/>
        </w:numPr>
      </w:pPr>
      <w:bookmarkStart w:id="31" w:name="_Toc220541863"/>
      <w:bookmarkEnd w:id="30"/>
      <w:r w:rsidRPr="00C86111">
        <w:t>Preporučene mjere</w:t>
      </w:r>
      <w:bookmarkEnd w:id="31"/>
    </w:p>
    <w:p w14:paraId="3EB73661" w14:textId="77777777" w:rsidR="0081146A" w:rsidRPr="00C86111" w:rsidRDefault="0081146A" w:rsidP="0081146A">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Kako bi se konsolidovao napredak i smanjio rizik od pojave ili zaostale kontaminacije, preporučuju se sljedeće </w:t>
      </w:r>
      <w:r w:rsidRPr="00C86111">
        <w:rPr>
          <w:rFonts w:asciiTheme="minorHAnsi" w:hAnsiTheme="minorHAnsi" w:cstheme="minorHAnsi"/>
          <w:b/>
          <w:bCs/>
          <w:color w:val="auto"/>
          <w:szCs w:val="24"/>
        </w:rPr>
        <w:t>prioritetne mjere</w:t>
      </w:r>
      <w:r w:rsidRPr="00C86111">
        <w:rPr>
          <w:rFonts w:asciiTheme="minorHAnsi" w:hAnsiTheme="minorHAnsi" w:cstheme="minorHAnsi"/>
          <w:color w:val="auto"/>
          <w:szCs w:val="24"/>
        </w:rPr>
        <w:t>:</w:t>
      </w:r>
    </w:p>
    <w:p w14:paraId="15ADF218" w14:textId="77777777" w:rsidR="0081146A" w:rsidRPr="00C86111" w:rsidRDefault="0081146A" w:rsidP="0081146A">
      <w:pPr>
        <w:jc w:val="both"/>
        <w:rPr>
          <w:rFonts w:asciiTheme="minorHAnsi" w:hAnsiTheme="minorHAnsi" w:cstheme="minorHAnsi"/>
          <w:color w:val="auto"/>
          <w:szCs w:val="24"/>
        </w:rPr>
      </w:pPr>
    </w:p>
    <w:p w14:paraId="4D2D47CD" w14:textId="77777777" w:rsidR="0081146A" w:rsidRPr="00C86111" w:rsidRDefault="0081146A" w:rsidP="0081146A">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1. Jačanje monitoringa i istraživanja</w:t>
      </w:r>
    </w:p>
    <w:p w14:paraId="5D286F71" w14:textId="77777777" w:rsidR="0081146A" w:rsidRPr="00C86111" w:rsidRDefault="0081146A" w:rsidP="00004F34">
      <w:pPr>
        <w:numPr>
          <w:ilvl w:val="0"/>
          <w:numId w:val="174"/>
        </w:numPr>
        <w:jc w:val="both"/>
        <w:rPr>
          <w:rFonts w:asciiTheme="minorHAnsi" w:hAnsiTheme="minorHAnsi" w:cstheme="minorHAnsi"/>
          <w:color w:val="auto"/>
          <w:szCs w:val="24"/>
        </w:rPr>
      </w:pPr>
      <w:r w:rsidRPr="00C86111">
        <w:rPr>
          <w:rFonts w:asciiTheme="minorHAnsi" w:hAnsiTheme="minorHAnsi" w:cstheme="minorHAnsi"/>
          <w:color w:val="auto"/>
          <w:szCs w:val="24"/>
        </w:rPr>
        <w:t>Nastaviti sistematsko praćenje ostataka pesticida u hrani, hrani za životinje, zemljištu i vodi, sa posebnim fokusom na zaostale POP pesticide.</w:t>
      </w:r>
    </w:p>
    <w:p w14:paraId="7348386F" w14:textId="77777777" w:rsidR="0081146A" w:rsidRPr="00C86111" w:rsidRDefault="0081146A" w:rsidP="00004F34">
      <w:pPr>
        <w:numPr>
          <w:ilvl w:val="0"/>
          <w:numId w:val="174"/>
        </w:numPr>
        <w:jc w:val="both"/>
        <w:rPr>
          <w:rFonts w:asciiTheme="minorHAnsi" w:hAnsiTheme="minorHAnsi" w:cstheme="minorHAnsi"/>
          <w:color w:val="auto"/>
          <w:szCs w:val="24"/>
        </w:rPr>
      </w:pPr>
      <w:r w:rsidRPr="00C86111">
        <w:rPr>
          <w:rFonts w:asciiTheme="minorHAnsi" w:hAnsiTheme="minorHAnsi" w:cstheme="minorHAnsi"/>
          <w:color w:val="auto"/>
          <w:szCs w:val="24"/>
        </w:rPr>
        <w:t>Podržati istraživanja o sudbini u životnoj sredini, transportu i dugoročnim efektima prethodno korišćenih pesticida.</w:t>
      </w:r>
    </w:p>
    <w:p w14:paraId="34A9FA3A" w14:textId="77777777" w:rsidR="0081146A" w:rsidRPr="00C86111" w:rsidRDefault="0081146A" w:rsidP="0081146A">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2. Izgradnja kapaciteta i obuka</w:t>
      </w:r>
    </w:p>
    <w:p w14:paraId="77F15F4E" w14:textId="77777777" w:rsidR="0081146A" w:rsidRPr="00C86111" w:rsidRDefault="0081146A" w:rsidP="00004F34">
      <w:pPr>
        <w:numPr>
          <w:ilvl w:val="0"/>
          <w:numId w:val="175"/>
        </w:numPr>
        <w:jc w:val="both"/>
        <w:rPr>
          <w:rFonts w:asciiTheme="minorHAnsi" w:hAnsiTheme="minorHAnsi" w:cstheme="minorHAnsi"/>
          <w:color w:val="auto"/>
          <w:szCs w:val="24"/>
        </w:rPr>
      </w:pPr>
      <w:r w:rsidRPr="00C86111">
        <w:rPr>
          <w:rFonts w:asciiTheme="minorHAnsi" w:hAnsiTheme="minorHAnsi" w:cstheme="minorHAnsi"/>
          <w:color w:val="auto"/>
          <w:szCs w:val="24"/>
        </w:rPr>
        <w:t>Podizati svijest kod poljoprivrednika i drugih zainteresovanih strana o održivim praksama i integrisanom upravljanju štetočinama (IPM).</w:t>
      </w:r>
    </w:p>
    <w:p w14:paraId="01E2242F" w14:textId="77777777" w:rsidR="0081146A" w:rsidRPr="00C86111" w:rsidRDefault="0081146A" w:rsidP="00004F34">
      <w:pPr>
        <w:numPr>
          <w:ilvl w:val="0"/>
          <w:numId w:val="175"/>
        </w:numPr>
        <w:jc w:val="both"/>
        <w:rPr>
          <w:rFonts w:asciiTheme="minorHAnsi" w:hAnsiTheme="minorHAnsi" w:cstheme="minorHAnsi"/>
          <w:color w:val="auto"/>
          <w:szCs w:val="24"/>
        </w:rPr>
      </w:pPr>
      <w:r w:rsidRPr="00C86111">
        <w:rPr>
          <w:rFonts w:asciiTheme="minorHAnsi" w:hAnsiTheme="minorHAnsi" w:cstheme="minorHAnsi"/>
          <w:color w:val="auto"/>
          <w:szCs w:val="24"/>
        </w:rPr>
        <w:t>Organizovati obuke o alternativnim, nehemijskim metodama zaštite bilja, kako bi se smanjila upotreba opasnih pesticida.</w:t>
      </w:r>
    </w:p>
    <w:p w14:paraId="5B92C177" w14:textId="77777777" w:rsidR="0081146A" w:rsidRPr="00C86111" w:rsidRDefault="0081146A" w:rsidP="0081146A">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lastRenderedPageBreak/>
        <w:t>3. Usaglašavanje politike i regulatornog okvira</w:t>
      </w:r>
    </w:p>
    <w:p w14:paraId="2814DA63" w14:textId="77777777" w:rsidR="0081146A" w:rsidRPr="00C86111" w:rsidRDefault="0081146A" w:rsidP="00004F34">
      <w:pPr>
        <w:numPr>
          <w:ilvl w:val="0"/>
          <w:numId w:val="176"/>
        </w:numPr>
        <w:jc w:val="both"/>
        <w:rPr>
          <w:rFonts w:asciiTheme="minorHAnsi" w:hAnsiTheme="minorHAnsi" w:cstheme="minorHAnsi"/>
          <w:color w:val="auto"/>
          <w:szCs w:val="24"/>
        </w:rPr>
      </w:pPr>
      <w:r w:rsidRPr="00C86111">
        <w:rPr>
          <w:rFonts w:asciiTheme="minorHAnsi" w:hAnsiTheme="minorHAnsi" w:cstheme="minorHAnsi"/>
          <w:color w:val="auto"/>
          <w:szCs w:val="24"/>
        </w:rPr>
        <w:t>Osigurati strogu primjenu Zakona o hemikalijama i propisa o pesticidima, u skladu sa EU Uredbom (EC) br. 1107/2009.</w:t>
      </w:r>
    </w:p>
    <w:p w14:paraId="430ABE83" w14:textId="77777777" w:rsidR="0081146A" w:rsidRPr="00C86111" w:rsidRDefault="0081146A" w:rsidP="00004F34">
      <w:pPr>
        <w:numPr>
          <w:ilvl w:val="0"/>
          <w:numId w:val="176"/>
        </w:numPr>
        <w:jc w:val="both"/>
        <w:rPr>
          <w:rFonts w:asciiTheme="minorHAnsi" w:hAnsiTheme="minorHAnsi" w:cstheme="minorHAnsi"/>
          <w:color w:val="auto"/>
          <w:szCs w:val="24"/>
        </w:rPr>
      </w:pPr>
      <w:r w:rsidRPr="00C86111">
        <w:rPr>
          <w:rFonts w:asciiTheme="minorHAnsi" w:hAnsiTheme="minorHAnsi" w:cstheme="minorHAnsi"/>
          <w:color w:val="auto"/>
          <w:szCs w:val="24"/>
        </w:rPr>
        <w:t>Redovno ažurirati nacionalne akcione planove kako bi odražavali promjene u EU i međunarodnim zahtjevima.</w:t>
      </w:r>
    </w:p>
    <w:p w14:paraId="0E3B8A6C" w14:textId="77777777" w:rsidR="0081146A" w:rsidRPr="00C86111" w:rsidRDefault="0081146A" w:rsidP="0081146A">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4. Međusektorska saradnja</w:t>
      </w:r>
    </w:p>
    <w:p w14:paraId="1D3A1B1E" w14:textId="77777777" w:rsidR="0081146A" w:rsidRPr="00C86111" w:rsidRDefault="0081146A" w:rsidP="00004F34">
      <w:pPr>
        <w:numPr>
          <w:ilvl w:val="0"/>
          <w:numId w:val="177"/>
        </w:numPr>
        <w:jc w:val="both"/>
        <w:rPr>
          <w:rFonts w:asciiTheme="minorHAnsi" w:hAnsiTheme="minorHAnsi" w:cstheme="minorHAnsi"/>
          <w:color w:val="auto"/>
          <w:szCs w:val="24"/>
        </w:rPr>
      </w:pPr>
      <w:r w:rsidRPr="00C86111">
        <w:rPr>
          <w:rFonts w:asciiTheme="minorHAnsi" w:hAnsiTheme="minorHAnsi" w:cstheme="minorHAnsi"/>
          <w:color w:val="auto"/>
          <w:szCs w:val="24"/>
        </w:rPr>
        <w:t>Unaprijediti saradnju između poljoprivrednih, zdravstvenih i ekoloških institucija za integrisano upravljanje pesticidima.</w:t>
      </w:r>
    </w:p>
    <w:p w14:paraId="592F051F" w14:textId="77777777" w:rsidR="0081146A" w:rsidRPr="00C86111" w:rsidRDefault="0081146A" w:rsidP="00004F34">
      <w:pPr>
        <w:numPr>
          <w:ilvl w:val="0"/>
          <w:numId w:val="177"/>
        </w:numPr>
        <w:jc w:val="both"/>
        <w:rPr>
          <w:rFonts w:asciiTheme="minorHAnsi" w:hAnsiTheme="minorHAnsi" w:cstheme="minorHAnsi"/>
          <w:color w:val="auto"/>
          <w:szCs w:val="24"/>
        </w:rPr>
      </w:pPr>
      <w:r w:rsidRPr="00C86111">
        <w:rPr>
          <w:rFonts w:asciiTheme="minorHAnsi" w:hAnsiTheme="minorHAnsi" w:cstheme="minorHAnsi"/>
          <w:color w:val="auto"/>
          <w:szCs w:val="24"/>
        </w:rPr>
        <w:t>Uskladiti nacionalne podatke monitoringa sa EU mehanizmima izvještavanja, uključujući platforme EFSA i ECHA.</w:t>
      </w:r>
    </w:p>
    <w:p w14:paraId="7BE44B14" w14:textId="77777777" w:rsidR="0081146A" w:rsidRPr="00C86111" w:rsidRDefault="0081146A" w:rsidP="0081146A">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5. Javna transparentnost i komunikacija</w:t>
      </w:r>
    </w:p>
    <w:p w14:paraId="00212FC9" w14:textId="77777777" w:rsidR="0081146A" w:rsidRPr="00C86111" w:rsidRDefault="0081146A" w:rsidP="00004F34">
      <w:pPr>
        <w:numPr>
          <w:ilvl w:val="0"/>
          <w:numId w:val="178"/>
        </w:numPr>
        <w:jc w:val="both"/>
        <w:rPr>
          <w:rFonts w:asciiTheme="minorHAnsi" w:hAnsiTheme="minorHAnsi" w:cstheme="minorHAnsi"/>
          <w:color w:val="auto"/>
          <w:szCs w:val="24"/>
        </w:rPr>
      </w:pPr>
      <w:r w:rsidRPr="00C86111">
        <w:rPr>
          <w:rFonts w:asciiTheme="minorHAnsi" w:hAnsiTheme="minorHAnsi" w:cstheme="minorHAnsi"/>
          <w:color w:val="auto"/>
          <w:szCs w:val="24"/>
        </w:rPr>
        <w:t>Poboljšati pristup javnosti rezultatima monitoringa, procjenama rizika i nacionalnim izvještajima.</w:t>
      </w:r>
    </w:p>
    <w:p w14:paraId="1432ECB1" w14:textId="77777777" w:rsidR="0081146A" w:rsidRPr="00C86111" w:rsidRDefault="0081146A" w:rsidP="00004F34">
      <w:pPr>
        <w:numPr>
          <w:ilvl w:val="0"/>
          <w:numId w:val="178"/>
        </w:numPr>
        <w:jc w:val="both"/>
        <w:rPr>
          <w:rFonts w:asciiTheme="minorHAnsi" w:hAnsiTheme="minorHAnsi" w:cstheme="minorHAnsi"/>
          <w:color w:val="auto"/>
          <w:szCs w:val="24"/>
        </w:rPr>
      </w:pPr>
      <w:r w:rsidRPr="00C86111">
        <w:rPr>
          <w:rFonts w:asciiTheme="minorHAnsi" w:hAnsiTheme="minorHAnsi" w:cstheme="minorHAnsi"/>
          <w:color w:val="auto"/>
          <w:szCs w:val="24"/>
        </w:rPr>
        <w:t>Promovisati angažman zajednice i svijest o rizicima pesticida, sa posebnim fokusom na ruralne zajednice.</w:t>
      </w:r>
    </w:p>
    <w:p w14:paraId="00AEFE66" w14:textId="77777777" w:rsidR="0081146A" w:rsidRPr="00C86111" w:rsidRDefault="0081146A" w:rsidP="0081146A"/>
    <w:p w14:paraId="1D9192D3" w14:textId="44186D0E" w:rsidR="00C23D65" w:rsidRPr="00C86111" w:rsidRDefault="004C4490" w:rsidP="00912C4C">
      <w:pPr>
        <w:pStyle w:val="Heading1"/>
        <w:rPr>
          <w:bCs/>
        </w:rPr>
      </w:pPr>
      <w:bookmarkStart w:id="32" w:name="_Toc220541864"/>
      <w:r w:rsidRPr="00C86111">
        <w:t>POLIHLOROVANI BIFENILI</w:t>
      </w:r>
      <w:bookmarkEnd w:id="32"/>
    </w:p>
    <w:p w14:paraId="768129A1" w14:textId="04C5E0BB" w:rsidR="0081146A" w:rsidRPr="00C86111" w:rsidRDefault="0081146A" w:rsidP="00201FE9">
      <w:pPr>
        <w:jc w:val="center"/>
        <w:rPr>
          <w:b/>
          <w:bCs/>
          <w:color w:val="auto"/>
          <w:szCs w:val="24"/>
        </w:rPr>
      </w:pPr>
    </w:p>
    <w:p w14:paraId="7E0B75E7" w14:textId="77777777" w:rsidR="001D13C8" w:rsidRPr="00C86111" w:rsidRDefault="001D13C8" w:rsidP="00EA6904">
      <w:pPr>
        <w:pStyle w:val="Heading2"/>
      </w:pPr>
      <w:bookmarkStart w:id="33" w:name="_Toc220541865"/>
      <w:r w:rsidRPr="00C86111">
        <w:t>Uvod</w:t>
      </w:r>
      <w:bookmarkEnd w:id="33"/>
    </w:p>
    <w:p w14:paraId="18B71396" w14:textId="77777777" w:rsidR="001D13C8" w:rsidRPr="00C86111" w:rsidRDefault="001D13C8" w:rsidP="001D13C8">
      <w:pPr>
        <w:jc w:val="both"/>
        <w:rPr>
          <w:rFonts w:asciiTheme="minorHAnsi" w:hAnsiTheme="minorHAnsi" w:cstheme="minorHAnsi"/>
          <w:color w:val="auto"/>
          <w:szCs w:val="24"/>
        </w:rPr>
      </w:pPr>
    </w:p>
    <w:p w14:paraId="42770DED"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Polihlorovani bifenili (PCB) predstavljaju grupu hemikalija koje spadaju u prvobitnih dvanaest postojanih organskih zagađivača (POPs) obuhvaćenih Stokholmskom konvencijom. Ove hemikalije su poznate po svojoj izdržljivosti, otpornosti na toplotu i sposobnosti da na sobnoj temperaturi formiraju uljastu tečnost, što ih je činilo vrijednim za upotrebu u elektroprivredi i raznim industrijskim primjenama.</w:t>
      </w:r>
    </w:p>
    <w:p w14:paraId="6C5E0BEB"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PCB-ovi su aromatični ugljovodonici, koji se sastoje od dva benzenska prstena povezana ugljenik-ugljenik vezom. Atomi vodonika mogu biti zamijenjeni sa do deset atoma hlora. Javljaju se kao viskozne tečnosti ili smole, obično bezbojne ili žućkaste, sa jakim i prepoznatljivim mirisom. Ključne karakteristike PCB-ova uključuju izvanredna dielektrična svojstva, otpornost na hemijsku i termalnu razgradnju (razlažu se tek na temperaturama iznad 1000 °C), stabilnost na svjetlosti i nezapaljivost.</w:t>
      </w:r>
    </w:p>
    <w:p w14:paraId="6EFC39DE"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Zbog ovih osobina, PCB-ovi su se širom svijeta proizvodili za raznovrsne namjene, prvenstveno kao izolacione tečnosti u transformatorima. Takođe su korišćeni u kondenzatorima i raznim „otvorenim primjenama“, uključujući boje, zaptivne mase i karbonski papir.</w:t>
      </w:r>
    </w:p>
    <w:p w14:paraId="5D44F175"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PCB-ovi predstavljaju značajan rizik po zdravlje ljudi i životinja, izazivajući probleme sa reprodukcijom i poremećaje imunološkog sistema. Međunarodna agencija za istraživanje raka (IARC) klasifikuje PCB-ove kao kancerogene supstance iz Grupe 1. Pronađeni su u majčinom mlijeku, a koncentracije indikatorskih PCB-ova u pojedinim slučajevima znatno premašuju granice bezbjednosti koje je postavila Svjetska zdravstvena organizacija (SZO). Jednom kada dospiju u životnu sredinu, PCB-ovi mogu ući u lanac ishrane.</w:t>
      </w:r>
    </w:p>
    <w:p w14:paraId="38F0006D"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PCB-ovi su navedeni u Aneksima A i C Stokholmske konvencije, koja propisuje sljedeće obaveze za države potpisnice:</w:t>
      </w:r>
    </w:p>
    <w:p w14:paraId="6A4D3727" w14:textId="77777777" w:rsidR="001D13C8" w:rsidRPr="00C86111" w:rsidRDefault="001D13C8" w:rsidP="00004F34">
      <w:pPr>
        <w:pStyle w:val="ListParagraph"/>
        <w:numPr>
          <w:ilvl w:val="0"/>
          <w:numId w:val="211"/>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Zabranu proizvodnje i novih upotreba PCB-ova;</w:t>
      </w:r>
    </w:p>
    <w:p w14:paraId="2F49C00A" w14:textId="08E71AF3" w:rsidR="001D13C8" w:rsidRPr="00C86111" w:rsidRDefault="001D13C8" w:rsidP="00004F34">
      <w:pPr>
        <w:pStyle w:val="ListParagraph"/>
        <w:numPr>
          <w:ilvl w:val="0"/>
          <w:numId w:val="211"/>
        </w:num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Obavezu identifikacije, obilježavanja i uklanjanja opreme koja sadrži PCB-ove (kao što su transformatori i kondenzatori) do 2025. </w:t>
      </w:r>
      <w:r w:rsidR="00F75D97">
        <w:rPr>
          <w:rFonts w:asciiTheme="minorHAnsi" w:hAnsiTheme="minorHAnsi" w:cstheme="minorHAnsi"/>
          <w:color w:val="auto"/>
          <w:szCs w:val="24"/>
        </w:rPr>
        <w:t>g</w:t>
      </w:r>
      <w:r w:rsidRPr="00C86111">
        <w:rPr>
          <w:rFonts w:asciiTheme="minorHAnsi" w:hAnsiTheme="minorHAnsi" w:cstheme="minorHAnsi"/>
          <w:color w:val="auto"/>
          <w:szCs w:val="24"/>
        </w:rPr>
        <w:t>odine;</w:t>
      </w:r>
    </w:p>
    <w:p w14:paraId="3B59168D" w14:textId="77777777" w:rsidR="001D13C8" w:rsidRPr="00C86111" w:rsidRDefault="001D13C8" w:rsidP="00004F34">
      <w:pPr>
        <w:pStyle w:val="ListParagraph"/>
        <w:numPr>
          <w:ilvl w:val="0"/>
          <w:numId w:val="211"/>
        </w:numPr>
        <w:jc w:val="both"/>
        <w:rPr>
          <w:rFonts w:asciiTheme="minorHAnsi" w:hAnsiTheme="minorHAnsi" w:cstheme="minorHAnsi"/>
          <w:color w:val="auto"/>
          <w:szCs w:val="24"/>
        </w:rPr>
      </w:pPr>
      <w:r w:rsidRPr="00C86111">
        <w:rPr>
          <w:rFonts w:asciiTheme="minorHAnsi" w:hAnsiTheme="minorHAnsi" w:cstheme="minorHAnsi"/>
          <w:color w:val="auto"/>
          <w:szCs w:val="24"/>
        </w:rPr>
        <w:t>Obavezu ekološki prihvatljivog upravljanja otpadom koji sadrži PCB-ove, kao i opremom kontaminiranom PCB-ovima, do 2028. Godine;</w:t>
      </w:r>
    </w:p>
    <w:p w14:paraId="63C2EDAC" w14:textId="77777777" w:rsidR="001D13C8" w:rsidRPr="00C86111" w:rsidRDefault="001D13C8" w:rsidP="00004F34">
      <w:pPr>
        <w:pStyle w:val="ListParagraph"/>
        <w:numPr>
          <w:ilvl w:val="0"/>
          <w:numId w:val="211"/>
        </w:numPr>
        <w:jc w:val="both"/>
        <w:rPr>
          <w:rFonts w:asciiTheme="minorHAnsi" w:hAnsiTheme="minorHAnsi" w:cstheme="minorHAnsi"/>
          <w:color w:val="auto"/>
          <w:szCs w:val="24"/>
        </w:rPr>
      </w:pPr>
      <w:r w:rsidRPr="00C86111">
        <w:rPr>
          <w:rFonts w:asciiTheme="minorHAnsi" w:hAnsiTheme="minorHAnsi" w:cstheme="minorHAnsi"/>
          <w:color w:val="auto"/>
          <w:szCs w:val="24"/>
        </w:rPr>
        <w:t>Identifikaciju i ekološki prihvatljivo upravljanje drugim predmetima koji sadrže PCB-ove (posebno u „otvorenim primjenama“);</w:t>
      </w:r>
    </w:p>
    <w:p w14:paraId="44EC0B0E" w14:textId="7131E468" w:rsidR="001D13C8" w:rsidRPr="00A84005" w:rsidRDefault="001D13C8" w:rsidP="00004F34">
      <w:pPr>
        <w:pStyle w:val="ListParagraph"/>
        <w:numPr>
          <w:ilvl w:val="0"/>
          <w:numId w:val="211"/>
        </w:numPr>
        <w:jc w:val="both"/>
        <w:rPr>
          <w:rFonts w:asciiTheme="minorHAnsi" w:hAnsiTheme="minorHAnsi" w:cstheme="minorHAnsi"/>
          <w:color w:val="auto"/>
          <w:szCs w:val="24"/>
        </w:rPr>
      </w:pPr>
      <w:r w:rsidRPr="00A84005">
        <w:rPr>
          <w:rFonts w:asciiTheme="minorHAnsi" w:hAnsiTheme="minorHAnsi" w:cstheme="minorHAnsi"/>
          <w:color w:val="auto"/>
          <w:szCs w:val="24"/>
        </w:rPr>
        <w:t>Zabranu izvoza ili uvoza PCB-ova, osim u svrhu ekološki bezbjednog upravljanja otpadom.</w:t>
      </w:r>
    </w:p>
    <w:p w14:paraId="2E70FA18" w14:textId="77777777" w:rsidR="001D13C8" w:rsidRPr="00C86111" w:rsidRDefault="001D13C8" w:rsidP="00004F34">
      <w:pPr>
        <w:pStyle w:val="Heading1"/>
        <w:numPr>
          <w:ilvl w:val="1"/>
          <w:numId w:val="238"/>
        </w:numPr>
      </w:pPr>
      <w:bookmarkStart w:id="34" w:name="_Toc220541866"/>
      <w:r w:rsidRPr="00C86111">
        <w:t>Poređenje sa prethodnim NIP-ovima</w:t>
      </w:r>
      <w:bookmarkEnd w:id="34"/>
    </w:p>
    <w:p w14:paraId="3F3734AC" w14:textId="77777777" w:rsidR="001D13C8" w:rsidRPr="00C86111" w:rsidRDefault="001D13C8" w:rsidP="001D13C8">
      <w:pPr>
        <w:jc w:val="both"/>
        <w:rPr>
          <w:rFonts w:asciiTheme="minorHAnsi" w:hAnsiTheme="minorHAnsi" w:cstheme="minorHAnsi"/>
          <w:color w:val="auto"/>
          <w:szCs w:val="24"/>
        </w:rPr>
      </w:pPr>
    </w:p>
    <w:p w14:paraId="43EC8F0A"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Ovo je treći put da Crna Gora priprema svoj Nacionalni plan implementacije (NIP) u okviru Stokholmske konvencije. Prvi NIP je izrađen ubrzo nakon što je Crna Gora postala potpisnica Konvencije i prvenstveno je bio usmjeren na uspostavljanje pravnog i institucionalnog okvira za upravljanje postojanim organskim zagađivačima (POPs), uključujući i PCB-ove. U toj fazi, inventar opreme koja sadrži PCB-ove nije bio potpun, te se zemlja uglavnom oslanjala na procjene i djelimične informacije dobijene od industrijskih operatera i energetskog sektora. Neki od ranih projekata uključivali su radionice za podizanje svijesti, preliminarne inventare i ograničeno uzorkovanje ulja iz transformatora.</w:t>
      </w:r>
    </w:p>
    <w:p w14:paraId="3A7BDF68" w14:textId="22146591"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Drugi NIP, pripremljen u periodu prije 2017. godine, dodatno je razradio obaveze i predložio konkretne mjere za upravljanje opremom i otpadom koji sadrže PCB-ove. Preduzete su brojne aktivnosti, među kojima i manji obimi izvoza opreme koja sadrži PCB-ove u inostranstvo radi ekološki prihvatljivog odlaganja, izrada pravilnika koji regulišu rukovanje otpadom sa PCB-ovima, te preliminarni planovi za uspostavljanje namjenskih skladišnih kapaciteta. Međutim, sprovođenje je bilo fragmentisano, a izostanak sveobuhvatnog nacionalnog plana upravljanja značio je da je napredak bio ograničen. Nedostatak sistematske identifikacije i obilježavanja opreme sa PCB-ovima, kao i nedovoljni tehnički kapaciteti, dodatno su ograničili rezultate.</w:t>
      </w:r>
    </w:p>
    <w:p w14:paraId="3D367638" w14:textId="77777777" w:rsidR="001D13C8" w:rsidRPr="00C86111" w:rsidRDefault="001D13C8" w:rsidP="00004F34">
      <w:pPr>
        <w:pStyle w:val="Heading1"/>
        <w:numPr>
          <w:ilvl w:val="1"/>
          <w:numId w:val="238"/>
        </w:numPr>
      </w:pPr>
      <w:bookmarkStart w:id="35" w:name="_Toc220541867"/>
      <w:r w:rsidRPr="00C86111">
        <w:t>Stanje implementacije planova aktivnosti</w:t>
      </w:r>
      <w:bookmarkEnd w:id="35"/>
    </w:p>
    <w:p w14:paraId="6D620939" w14:textId="77777777" w:rsidR="001D13C8" w:rsidRPr="00C86111" w:rsidRDefault="001D13C8" w:rsidP="001D13C8">
      <w:pPr>
        <w:jc w:val="both"/>
        <w:rPr>
          <w:rFonts w:asciiTheme="minorHAnsi" w:hAnsiTheme="minorHAnsi" w:cstheme="minorHAnsi"/>
          <w:color w:val="auto"/>
          <w:szCs w:val="24"/>
        </w:rPr>
      </w:pPr>
    </w:p>
    <w:p w14:paraId="6508C977"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Od 2017. godine postignut je značajan napredak u sprovođenju planova aktivnosti povezanih sa upravljanjem polihlorovanim bifenilima. Izrađen je Nacionalni plan upravljanja polihlorovanim bifenilima, a kroz uzastopne projekte koje je implementirao UNDP u saradnji sa CETI, CEDIS-om, UNIPROM KAP-om i drugim partnerima, sprovedeni su sveobuhvatni inventari. Uzorkovano je i obilježeno više od 5.000 komada opreme, a uspostavljena je i u potpunosti funkcionalna elektronska baza podataka (Feniks).</w:t>
      </w:r>
    </w:p>
    <w:p w14:paraId="4B711D17" w14:textId="038921DA"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Plan upravljanja je gotovo u potpunosti sproveden kombinacijom dekontaminacije i izvoza PCB opreme u inostranstvo. Konkretno, koncentrisani PCB otpad je izvezen u Francusku na spaljivanje pri visokim temperaturama, dok su kontaminirana oprema i zemljište poslati na dekontaminaciju i konačno odlaganje u Švajcarsku, Rumuniju, Njemačku i Sjevernu Makedoniju. Do kraja 2024. godine, približno 85% prvobitno identifikovanog PCB otpada i kontaminirane opreme uklonjeno je iz zemlje, a više od 1.000 tona kontaminiranog zemljišta je sanirano. Preostali izazovi uključuju </w:t>
      </w:r>
      <w:r w:rsidRPr="00C86111">
        <w:rPr>
          <w:rFonts w:asciiTheme="minorHAnsi" w:hAnsiTheme="minorHAnsi" w:cstheme="minorHAnsi"/>
          <w:color w:val="auto"/>
          <w:szCs w:val="24"/>
        </w:rPr>
        <w:lastRenderedPageBreak/>
        <w:t>odlaganje oko 40 tona opreme koja sadrži PCB-e i koja se još uvijek nalazi kod CEDIS-a i KAP-a, kao i kontinuirano praćenje kontaminiranih zemljišta.</w:t>
      </w:r>
    </w:p>
    <w:p w14:paraId="4D75CB9A" w14:textId="77777777" w:rsidR="001D13C8" w:rsidRPr="00C86111" w:rsidRDefault="001D13C8" w:rsidP="00004F34">
      <w:pPr>
        <w:pStyle w:val="Heading1"/>
        <w:numPr>
          <w:ilvl w:val="1"/>
          <w:numId w:val="238"/>
        </w:numPr>
      </w:pPr>
      <w:bookmarkStart w:id="36" w:name="_Toc220541868"/>
      <w:r w:rsidRPr="00C86111">
        <w:t>Proces inventarizacije polihlorovanih bifenila</w:t>
      </w:r>
      <w:bookmarkEnd w:id="36"/>
    </w:p>
    <w:p w14:paraId="3B10C164" w14:textId="77777777" w:rsidR="001D13C8" w:rsidRPr="00C86111" w:rsidRDefault="001D13C8" w:rsidP="001D13C8">
      <w:pPr>
        <w:jc w:val="both"/>
        <w:rPr>
          <w:rFonts w:asciiTheme="minorHAnsi" w:hAnsiTheme="minorHAnsi" w:cstheme="minorHAnsi"/>
          <w:b/>
          <w:bCs/>
          <w:color w:val="auto"/>
          <w:szCs w:val="24"/>
        </w:rPr>
      </w:pPr>
    </w:p>
    <w:p w14:paraId="0CD7E921" w14:textId="77777777" w:rsidR="001D13C8" w:rsidRPr="00C86111" w:rsidRDefault="001D13C8" w:rsidP="001D13C8">
      <w:pPr>
        <w:jc w:val="both"/>
        <w:rPr>
          <w:color w:val="auto"/>
        </w:rPr>
      </w:pPr>
      <w:r w:rsidRPr="00C86111">
        <w:rPr>
          <w:color w:val="auto"/>
        </w:rPr>
        <w:t xml:space="preserve">Proces inventarizacije polihlorovanih bifenila (PCB) u Crnoj Gori u značajnoj mjeri je unaprijeđen i olakšan kroz realizaciju projekta </w:t>
      </w:r>
      <w:r w:rsidRPr="00C86111">
        <w:rPr>
          <w:b/>
          <w:bCs/>
          <w:color w:val="auto"/>
        </w:rPr>
        <w:t>„Sveobuhvatno ekološki prihvatljivo upravljanje PCB-ovima u Crnoj Gori“</w:t>
      </w:r>
      <w:r w:rsidRPr="00C86111">
        <w:rPr>
          <w:color w:val="auto"/>
        </w:rPr>
        <w:t>, koji je predstavljao ključnu nacionalnu intervenciju u oblasti trajnih organskih zagađujućih supstanci. Ovaj projekat je po prvi put omogućio sistematsko i sveobuhvatno sagledavanje prisustva PCB-a u zemlji, kroz koordinisano uzorkovanje, laboratorijsku analizu i obilježavanje opreme. Paralelno sa tim, razvijeni su institucionalni i ljudski kapaciteti kroz obuke, priručnike i nacionalne smjernice, čime su domaće institucije i stručnjaci osposobljeni da samostalno vode i redovno ažuriraju nacionalni inventar PCB-ova. Na taj način, proces identifikacije, praćenja i planiranja upravljanja PCB-ovima postao je efikasniji, bezbjedniji i u potpunosti usklađen sa međunarodnim standardima.</w:t>
      </w:r>
    </w:p>
    <w:p w14:paraId="52175B9F" w14:textId="77777777" w:rsidR="001D13C8" w:rsidRPr="00C86111" w:rsidRDefault="001D13C8" w:rsidP="001D13C8">
      <w:pPr>
        <w:jc w:val="both"/>
        <w:rPr>
          <w:color w:val="auto"/>
        </w:rPr>
      </w:pPr>
      <w:r w:rsidRPr="00C86111">
        <w:rPr>
          <w:color w:val="auto"/>
        </w:rPr>
        <w:t>Realizacijom projekta Crna Gora je u velikoj mjeri riješila pitanje upravljanja PCB-ovima, čime je jedno od najosjetljivijih poglavlja u oblasti zaštite životne sredine i zdravlja ljudi gotovo u potpunosti zatvoreno. Projekat je bio osmišljen kao cjelovit i integrisan odgovor na ranije identifikovane izazove, počev od nepostojanja pouzdanog inventara i ograničenih institucionalnih kapaciteta, preko identifikacije kontaminirane opreme i lokacija, do sanacije, izvoza PCB otpada i zagađenog zemljišta, kao i jačanja zakonodavnog i institucionalnog okvira.</w:t>
      </w:r>
    </w:p>
    <w:p w14:paraId="6522CB49" w14:textId="77777777" w:rsidR="001D13C8" w:rsidRPr="00C86111" w:rsidRDefault="001D13C8" w:rsidP="001D13C8">
      <w:pPr>
        <w:jc w:val="both"/>
        <w:rPr>
          <w:color w:val="auto"/>
        </w:rPr>
      </w:pPr>
      <w:r w:rsidRPr="00C86111">
        <w:rPr>
          <w:color w:val="auto"/>
        </w:rPr>
        <w:t>U okviru projekta izrađen je sveobuhvatan nacionalni inventar PCB-ova, zasnovan na terenskom uzorkovanju i analizi opreme u upotrebi i opreme u fazi isključivanja. Ovaj proces je bio praćen intenzivnim jačanjem kapaciteta institucija i industrije kroz brojne obuke, izradu stručnih vodiča, studijske posjete i usvajanje nacionalnih smjernica za ekološki prihvatljivo upravljanje (ESM). Time su postavljeni temelji za dugoročno održiv sistem upravljanja PCB-ovima na nacionalnom nivou, uključujući uspostavljanje funkcionalne saradnje između javnog i privatnog sektora.</w:t>
      </w:r>
    </w:p>
    <w:p w14:paraId="02DD9846" w14:textId="77777777" w:rsidR="001D13C8" w:rsidRPr="00C86111" w:rsidRDefault="001D13C8" w:rsidP="001D13C8">
      <w:pPr>
        <w:jc w:val="both"/>
        <w:rPr>
          <w:color w:val="auto"/>
        </w:rPr>
      </w:pPr>
      <w:r w:rsidRPr="00C86111">
        <w:rPr>
          <w:color w:val="auto"/>
        </w:rPr>
        <w:t>Poseban segment projekta bio je usmjeren na praktično rješavanje problema naslijeđenog PCB otpada i kontaminiranih lokacija. Kroz primjenu najboljih dostupnih tehnologija i ekološki prihvatljivih praksi (BAT/BEP), unaprijeđeni su skladišni kapaciteti, sprovedena dekontaminacija transformatora, te izvršen izvoz nekoliko stotina tona PCB opreme, otpada i zagađenog zemljišta na tretman i konačno zbrinjavanje u inostranstvu. Sve aktivnosti sprovedene su u skladu sa zahtjevima Bazelske i Stokholmske konvencije, bez zabilježenih incidenata, uz kontinuirani nadzor i prenos znanja na nacionalne institucije.</w:t>
      </w:r>
    </w:p>
    <w:p w14:paraId="0A27665D" w14:textId="77777777" w:rsidR="001D13C8" w:rsidRPr="00C86111" w:rsidRDefault="001D13C8" w:rsidP="001D13C8">
      <w:pPr>
        <w:jc w:val="both"/>
        <w:rPr>
          <w:color w:val="auto"/>
        </w:rPr>
      </w:pPr>
      <w:r w:rsidRPr="00C86111">
        <w:rPr>
          <w:color w:val="auto"/>
        </w:rPr>
        <w:t>Rezultati projekta potvrđuju da je Crna Gora uspješno identifikovala, tretirala ili uklonila većinu opreme, otpada i kontaminiranog zemljišta koje sadrži PCB-e, čime su rizici po zdravlje ljudi i životnu sredinu značajno smanjeni. Istovremeno, kroz institucionalnu podršku, obrazovanje i razvoj regulatornog okvira, uspostavljeni su potrebni kapaciteti kako bi se upravljanje PCB-ovima u budućnosti odvijalo na održiv i efikasan način.</w:t>
      </w:r>
    </w:p>
    <w:p w14:paraId="248EA25B" w14:textId="77777777" w:rsidR="001D13C8" w:rsidRPr="00C86111" w:rsidRDefault="001D13C8" w:rsidP="001D13C8">
      <w:pPr>
        <w:jc w:val="both"/>
        <w:rPr>
          <w:color w:val="auto"/>
        </w:rPr>
      </w:pPr>
      <w:r w:rsidRPr="00C86111">
        <w:rPr>
          <w:color w:val="auto"/>
        </w:rPr>
        <w:t xml:space="preserve">U skladu sa Aneksom A, Dijelom II Stokholmske konvencije, upotreba opreme koja sadrži PCB-ove dozvoljena je do 2025. godine, uz poštovanje propisanih mjera bezbjednosti. Međutim, tečnosti i oprema kontaminirani PCB-ima sa sadržajem većim od 0,005% moraju se, što je prije moguće, a najkasnije do 2028. godine, zbrinuti na ekološki prihvatljiv način. U tom kontekstu, </w:t>
      </w:r>
      <w:r w:rsidRPr="00C86111">
        <w:rPr>
          <w:color w:val="auto"/>
        </w:rPr>
        <w:lastRenderedPageBreak/>
        <w:t>projekat je imao ključnu ulogu u obezbjeđivanju tehničke i finansijske podrške Crnoj Gori za identifikaciju i uklanjanje preostalih PCB-a u zemlji, kao i za planiranje završne faze njihovog potpunog isključivanja iz upotrebe.</w:t>
      </w:r>
    </w:p>
    <w:p w14:paraId="0EF739BF" w14:textId="77777777" w:rsidR="001D13C8" w:rsidRPr="00C86111" w:rsidRDefault="001D13C8" w:rsidP="001D13C8">
      <w:pPr>
        <w:jc w:val="both"/>
        <w:rPr>
          <w:color w:val="auto"/>
        </w:rPr>
      </w:pPr>
      <w:r w:rsidRPr="00C86111">
        <w:rPr>
          <w:color w:val="auto"/>
        </w:rPr>
        <w:t>Projekat je dao i značajan doprinos ostvarivanju Cilja održivog razvoja 12, posebno cilja 12.4, koji se odnosi na ekološki prihvatljivo upravljanje hemikalijama i otpadom tokom cijelog njihovog životnog ciklusa, uz značajno smanjenje negativnih uticaja na zdravlje ljudi i životnu sredinu.</w:t>
      </w:r>
    </w:p>
    <w:p w14:paraId="3D6EFD8F" w14:textId="77777777" w:rsidR="001D13C8" w:rsidRPr="00C86111" w:rsidRDefault="001D13C8" w:rsidP="001D13C8">
      <w:pPr>
        <w:jc w:val="both"/>
        <w:rPr>
          <w:color w:val="auto"/>
        </w:rPr>
      </w:pPr>
      <w:r w:rsidRPr="00C86111">
        <w:rPr>
          <w:color w:val="auto"/>
        </w:rPr>
        <w:t>Na početku implementacije projekta, Crna Gora se suočavala sa brojnim izazovima, uključujući opremu sa PCB-ima koja je bila u upotrebi ili neadekvatno skladištena, nepostojanje sistematskog nacionalnog inventara, nedovoljno razvijen regulatorni okvir i izostanak funkcionalnog sistema ekološki prihvatljivog upravljanja PCB-ima. Poseban rizik predstavljala je mogućnost unakrsne kontaminacije energetske opreme, kao i ograničeni nacionalni kapaciteti za dugoročno upravljanje ovom vrstom opasnog otpada.</w:t>
      </w:r>
    </w:p>
    <w:p w14:paraId="66023CBD" w14:textId="77777777" w:rsidR="001D13C8" w:rsidRPr="00C86111" w:rsidRDefault="001D13C8" w:rsidP="001D13C8">
      <w:pPr>
        <w:jc w:val="both"/>
        <w:rPr>
          <w:color w:val="auto"/>
        </w:rPr>
      </w:pPr>
      <w:r w:rsidRPr="00C86111">
        <w:rPr>
          <w:color w:val="auto"/>
        </w:rPr>
        <w:t>Projekat je sprovođen u bliskoj saradnji sa relevantnim institucijama i industrijskim partnerima, uključujući nadležno ministarstvo, CEDIS, UNIPROM KAP i druge vlasnike PCB opreme. Implementaciju je pratila snažna institucionalna podrška UNDP-a, uz tehnički nadzor međunarodnih eksperata i aktivno uključivanje regionalnih stručnjaka, čime je obezbijeđen prenos znanja i primjena najboljih međunarodnih praksi.</w:t>
      </w:r>
    </w:p>
    <w:p w14:paraId="7EE10276" w14:textId="77777777" w:rsidR="001D13C8" w:rsidRPr="00C86111" w:rsidRDefault="001D13C8" w:rsidP="001D13C8">
      <w:pPr>
        <w:jc w:val="both"/>
        <w:rPr>
          <w:color w:val="auto"/>
        </w:rPr>
      </w:pPr>
      <w:r w:rsidRPr="00C86111">
        <w:rPr>
          <w:color w:val="auto"/>
        </w:rPr>
        <w:t>Posebno važnu ulogu u projektu imao je CETI, koji je bio odgovoran za planiranje i sprovođenje uzorkovanja i analiza PCB-a. Uzorkovanjem je obuhvaćeno više od 5.000 jedinica opreme kod ključnih industrijskih subjekata, a uspostavljena je centralizovana elektronska baza podataka sa detaljnim informacijama o PCB i non-PCB opremi. Ova baza je predstavljala osnov za izradu Nacionalnog plana upravljanja PCB-a i omogućila je transparentno, kontinuirano i pouzdano praćenje stanja na nacionalnom nivou.</w:t>
      </w:r>
    </w:p>
    <w:p w14:paraId="192866F9" w14:textId="77777777" w:rsidR="001D13C8" w:rsidRPr="00C86111" w:rsidRDefault="001D13C8" w:rsidP="001D13C8">
      <w:pPr>
        <w:jc w:val="both"/>
        <w:rPr>
          <w:color w:val="auto"/>
        </w:rPr>
      </w:pPr>
      <w:r w:rsidRPr="00C86111">
        <w:rPr>
          <w:color w:val="auto"/>
        </w:rPr>
        <w:t>Ukupni rezultati projekta pokazali su da su planirani ciljevi ne samo ostvareni, već i premašeni, naročito u dijelu uklanjanja kontaminiranog zemljišta. Time je Crna Gora napravila značajan iskorak u ispunjavanju svojih obaveza iz Stokholmske konvencije i uspostavila čvrstu osnovu za dugoročno upravljanje PCB-ima i drugim sličnim opasnim supstancama.</w:t>
      </w:r>
    </w:p>
    <w:p w14:paraId="3E032CE8" w14:textId="77777777" w:rsidR="001D13C8" w:rsidRPr="00C86111" w:rsidRDefault="001D13C8" w:rsidP="001D13C8">
      <w:pPr>
        <w:jc w:val="both"/>
        <w:rPr>
          <w:color w:val="auto"/>
        </w:rPr>
      </w:pPr>
    </w:p>
    <w:p w14:paraId="1ADEA0F1" w14:textId="77777777" w:rsidR="001D13C8" w:rsidRPr="00C86111" w:rsidRDefault="001D13C8" w:rsidP="00EA6904">
      <w:pPr>
        <w:pStyle w:val="Heading3"/>
      </w:pPr>
      <w:bookmarkStart w:id="37" w:name="_Toc220541869"/>
      <w:r w:rsidRPr="00C86111">
        <w:t>Rezultati projekta „Sveobuhvatno ekološki prihvatljivo upravljanje PCB-ovima u Crnoj Gori“</w:t>
      </w:r>
      <w:bookmarkEnd w:id="37"/>
    </w:p>
    <w:p w14:paraId="69D0FD2A" w14:textId="77777777" w:rsidR="001D13C8" w:rsidRPr="00C86111" w:rsidRDefault="001D13C8" w:rsidP="001D13C8">
      <w:pPr>
        <w:jc w:val="both"/>
        <w:rPr>
          <w:b/>
          <w:bCs/>
          <w:color w:val="auto"/>
        </w:rPr>
      </w:pPr>
    </w:p>
    <w:p w14:paraId="118D1644" w14:textId="77777777" w:rsidR="001D13C8" w:rsidRPr="00C86111" w:rsidRDefault="001D13C8" w:rsidP="001D13C8">
      <w:pPr>
        <w:jc w:val="both"/>
        <w:rPr>
          <w:color w:val="auto"/>
        </w:rPr>
      </w:pPr>
      <w:r w:rsidRPr="00C86111">
        <w:rPr>
          <w:color w:val="auto"/>
        </w:rPr>
        <w:t>U okviru projekta sprovedena je prva sveobuhvatna identifikacija, inventarizacija i zbrinjavanje PCB-kontaminirane opreme i otpada u Crnoj Gori, čime je stvorena čvrsta osnova za dugoročno upravljanje ovom vrstom opasnog otpada u skladu sa Stokholmskom konvencijom.</w:t>
      </w:r>
    </w:p>
    <w:p w14:paraId="6C9BF8A8" w14:textId="77777777" w:rsidR="001D13C8" w:rsidRPr="00C86111" w:rsidRDefault="001D13C8" w:rsidP="001D13C8">
      <w:pPr>
        <w:jc w:val="both"/>
        <w:rPr>
          <w:color w:val="auto"/>
        </w:rPr>
      </w:pPr>
      <w:r w:rsidRPr="00C86111">
        <w:rPr>
          <w:color w:val="auto"/>
        </w:rPr>
        <w:t>Inventar i karakterizacija PCB-a.</w:t>
      </w:r>
    </w:p>
    <w:p w14:paraId="369F2996" w14:textId="77777777" w:rsidR="001D13C8" w:rsidRPr="00C86111" w:rsidRDefault="001D13C8" w:rsidP="001D13C8">
      <w:pPr>
        <w:jc w:val="both"/>
        <w:rPr>
          <w:color w:val="auto"/>
        </w:rPr>
      </w:pPr>
      <w:r w:rsidRPr="00C86111">
        <w:rPr>
          <w:color w:val="auto"/>
        </w:rPr>
        <w:t>Tokom projekta uzorkovano je i analizirano više od 5.000 jedinica elektroenergetske opreme, pri čemu je identifikovano ukupno 183 PCB-kontaminirana transformatora u vlasništvu UNIPROM KAP-a, CEDIS-a i kompanije Politropus Alternativa. Ukupna masa ovih transformatora iznosila je 519,5 t, uključujući 140,2 t PCB-kontaminiranog ulja.</w:t>
      </w:r>
    </w:p>
    <w:p w14:paraId="130B3058" w14:textId="77777777" w:rsidR="001D13C8" w:rsidRPr="00C86111" w:rsidRDefault="001D13C8" w:rsidP="001D13C8">
      <w:pPr>
        <w:jc w:val="both"/>
        <w:rPr>
          <w:color w:val="auto"/>
        </w:rPr>
      </w:pPr>
      <w:r w:rsidRPr="00C86111">
        <w:rPr>
          <w:color w:val="auto"/>
        </w:rPr>
        <w:t>Transformatori su razvrstani prema nivou kontaminacije, od niskih koncentracija (50–500 ppm) do veoma visokih vrijednosti (&gt;20.000 ppm), što je omogućilo izbor optimalne metode upravljanja (dekontaminacija ili trajno zbrinjavanje).</w:t>
      </w:r>
    </w:p>
    <w:p w14:paraId="2F4A5312" w14:textId="77777777" w:rsidR="001D13C8" w:rsidRPr="00C86111" w:rsidRDefault="001D13C8" w:rsidP="001D13C8">
      <w:pPr>
        <w:jc w:val="both"/>
        <w:rPr>
          <w:color w:val="auto"/>
        </w:rPr>
      </w:pPr>
      <w:r w:rsidRPr="00C86111">
        <w:rPr>
          <w:color w:val="auto"/>
        </w:rPr>
        <w:t>Inventar je obuhvatio i 1.306 kondenzatora, od kojih je 1.170 potvrđeno kao PCB-kontaminirano, ukupne mase 63,4 t.</w:t>
      </w:r>
    </w:p>
    <w:p w14:paraId="5161AEBB" w14:textId="77777777" w:rsidR="001D13C8" w:rsidRPr="00C86111" w:rsidRDefault="001D13C8" w:rsidP="001D13C8">
      <w:pPr>
        <w:jc w:val="both"/>
        <w:rPr>
          <w:color w:val="auto"/>
        </w:rPr>
      </w:pPr>
      <w:r w:rsidRPr="00C86111">
        <w:rPr>
          <w:color w:val="auto"/>
        </w:rPr>
        <w:lastRenderedPageBreak/>
        <w:t>Dodatno su identifikovane značajne količine PCB otpada u obliku otpadnih ulja, mulja, kontaminiranog zemljišta, čvrstog otpada i ambalaže, čime je ukupna količina PCB-ova u zemlji procijenjena na oko 650 t.</w:t>
      </w:r>
    </w:p>
    <w:p w14:paraId="2B7929EE" w14:textId="77777777" w:rsidR="001D13C8" w:rsidRPr="00C86111" w:rsidRDefault="001D13C8" w:rsidP="001D13C8">
      <w:pPr>
        <w:jc w:val="both"/>
        <w:rPr>
          <w:color w:val="auto"/>
        </w:rPr>
      </w:pPr>
    </w:p>
    <w:p w14:paraId="59B117EC" w14:textId="4ABF759A" w:rsidR="001D13C8" w:rsidRPr="00C86111" w:rsidRDefault="001D13C8" w:rsidP="001D13C8">
      <w:pPr>
        <w:jc w:val="both"/>
        <w:rPr>
          <w:color w:val="auto"/>
        </w:rPr>
      </w:pPr>
      <w:r w:rsidRPr="00C86111">
        <w:rPr>
          <w:b/>
          <w:bCs/>
          <w:color w:val="auto"/>
        </w:rPr>
        <w:t>Analiza uzoraka</w:t>
      </w:r>
      <w:r w:rsidR="004C4490" w:rsidRPr="00C86111">
        <w:rPr>
          <w:b/>
          <w:bCs/>
          <w:color w:val="auto"/>
          <w:lang w:val="sr-Latn-RS"/>
        </w:rPr>
        <w:t>:</w:t>
      </w:r>
      <w:r w:rsidRPr="00C86111">
        <w:rPr>
          <w:color w:val="auto"/>
        </w:rPr>
        <w:t>Za identifikaciju PCB-a korišćene su akreditovane metode:</w:t>
      </w:r>
    </w:p>
    <w:p w14:paraId="79EF9F02" w14:textId="77777777" w:rsidR="001D13C8" w:rsidRPr="00C86111" w:rsidRDefault="001D13C8" w:rsidP="00004F34">
      <w:pPr>
        <w:numPr>
          <w:ilvl w:val="0"/>
          <w:numId w:val="212"/>
        </w:numPr>
        <w:jc w:val="both"/>
        <w:rPr>
          <w:color w:val="auto"/>
        </w:rPr>
      </w:pPr>
      <w:r w:rsidRPr="00C86111">
        <w:rPr>
          <w:color w:val="auto"/>
        </w:rPr>
        <w:t>brza skrining analiza (2.998 uzoraka) i</w:t>
      </w:r>
    </w:p>
    <w:p w14:paraId="78B40D9A" w14:textId="77777777" w:rsidR="001D13C8" w:rsidRPr="00C86111" w:rsidRDefault="001D13C8" w:rsidP="00004F34">
      <w:pPr>
        <w:numPr>
          <w:ilvl w:val="0"/>
          <w:numId w:val="212"/>
        </w:numPr>
        <w:jc w:val="both"/>
        <w:rPr>
          <w:color w:val="auto"/>
        </w:rPr>
      </w:pPr>
      <w:r w:rsidRPr="00C86111">
        <w:rPr>
          <w:color w:val="auto"/>
        </w:rPr>
        <w:t>gasna hromatografija (GC) (1.309 uzoraka).</w:t>
      </w:r>
    </w:p>
    <w:p w14:paraId="2E7AD325" w14:textId="77777777" w:rsidR="001D13C8" w:rsidRPr="00C86111" w:rsidRDefault="001D13C8" w:rsidP="001D13C8">
      <w:pPr>
        <w:jc w:val="both"/>
        <w:rPr>
          <w:color w:val="auto"/>
        </w:rPr>
      </w:pPr>
      <w:r w:rsidRPr="00C86111">
        <w:rPr>
          <w:color w:val="auto"/>
        </w:rPr>
        <w:t>Obje metode bile su akreditovane od strane Akreditacionog tijela Crne Gore, što je obezbijedilo pouzdanost podataka korišćenih za inventar i planiranje mjera.</w:t>
      </w:r>
    </w:p>
    <w:p w14:paraId="3902F235" w14:textId="77777777" w:rsidR="001D13C8" w:rsidRPr="00C86111" w:rsidRDefault="001D13C8" w:rsidP="001D13C8">
      <w:pPr>
        <w:jc w:val="both"/>
        <w:rPr>
          <w:color w:val="auto"/>
        </w:rPr>
      </w:pPr>
    </w:p>
    <w:p w14:paraId="034A6775" w14:textId="3D0AB837" w:rsidR="001D13C8" w:rsidRPr="00C86111" w:rsidRDefault="001D13C8" w:rsidP="001D13C8">
      <w:pPr>
        <w:jc w:val="both"/>
        <w:rPr>
          <w:color w:val="auto"/>
        </w:rPr>
      </w:pPr>
      <w:r w:rsidRPr="00C86111">
        <w:rPr>
          <w:b/>
          <w:bCs/>
          <w:color w:val="auto"/>
        </w:rPr>
        <w:t>Nacionalni inventar PCB-a</w:t>
      </w:r>
      <w:r w:rsidR="004C4490" w:rsidRPr="00C86111">
        <w:rPr>
          <w:b/>
          <w:bCs/>
          <w:color w:val="auto"/>
        </w:rPr>
        <w:t xml:space="preserve">: </w:t>
      </w:r>
      <w:r w:rsidRPr="00C86111">
        <w:rPr>
          <w:color w:val="auto"/>
        </w:rPr>
        <w:t>Na osnovu rezultata projekta formirana je nacionalna baza podataka PCB-a, koja trenutno sadrži 4.538 jedinica opreme. Instaliran je i operativan informacioni sistem FENIKS, a relevantne institucije (CETI, CEDIS i KAP) obučene su za njegovo korišćenje.</w:t>
      </w:r>
    </w:p>
    <w:p w14:paraId="586FB271" w14:textId="77777777" w:rsidR="001D13C8" w:rsidRPr="00C86111" w:rsidRDefault="001D13C8" w:rsidP="001D13C8">
      <w:pPr>
        <w:jc w:val="both"/>
        <w:rPr>
          <w:color w:val="auto"/>
        </w:rPr>
      </w:pPr>
      <w:r w:rsidRPr="00C86111">
        <w:rPr>
          <w:color w:val="auto"/>
        </w:rPr>
        <w:t>Baza je dostupna on-line i predstavlja osnovu za Nacionalni plan upravljanja PCB-ovima, kao i za izvještavanje prema Stokholmskoj konvenciji.</w:t>
      </w:r>
    </w:p>
    <w:p w14:paraId="501D8912" w14:textId="77777777" w:rsidR="001D13C8" w:rsidRPr="00C86111" w:rsidRDefault="001D13C8" w:rsidP="001D13C8">
      <w:pPr>
        <w:jc w:val="both"/>
        <w:rPr>
          <w:color w:val="auto"/>
        </w:rPr>
      </w:pPr>
    </w:p>
    <w:p w14:paraId="2BBEFDD3" w14:textId="6A554A5C" w:rsidR="001D13C8" w:rsidRPr="00C86111" w:rsidRDefault="001D13C8" w:rsidP="001D13C8">
      <w:pPr>
        <w:jc w:val="both"/>
        <w:rPr>
          <w:color w:val="auto"/>
        </w:rPr>
      </w:pPr>
      <w:r w:rsidRPr="00C86111">
        <w:rPr>
          <w:b/>
          <w:bCs/>
          <w:color w:val="auto"/>
        </w:rPr>
        <w:t>Ekološki prihvatljivo upravljanje (ESM)</w:t>
      </w:r>
      <w:r w:rsidR="004C4490" w:rsidRPr="00C86111">
        <w:rPr>
          <w:b/>
          <w:bCs/>
          <w:color w:val="auto"/>
        </w:rPr>
        <w:t xml:space="preserve">: </w:t>
      </w:r>
      <w:r w:rsidRPr="00C86111">
        <w:rPr>
          <w:color w:val="auto"/>
        </w:rPr>
        <w:t>U KAP-u je rekonstruisano skladište za bezbjedno privremeno skladištenje PCB otpada, dok je za CEDIS izrađen glavni projekat skladišta.</w:t>
      </w:r>
      <w:r w:rsidRPr="00C86111">
        <w:rPr>
          <w:color w:val="auto"/>
        </w:rPr>
        <w:br/>
        <w:t>Sva identifikovana PCB oprema i otpad (100%) uklonjeni su iz Crne Gore i izvezeni na konačno zbrinjavanje u ovlašćeno postrojenje u Francuskoj (HTI Tredi, 2019).</w:t>
      </w:r>
    </w:p>
    <w:p w14:paraId="591C5281" w14:textId="77777777" w:rsidR="001D13C8" w:rsidRPr="00C86111" w:rsidRDefault="001D13C8" w:rsidP="001D13C8">
      <w:pPr>
        <w:jc w:val="both"/>
        <w:rPr>
          <w:color w:val="auto"/>
        </w:rPr>
      </w:pPr>
      <w:r w:rsidRPr="00C86111">
        <w:rPr>
          <w:color w:val="auto"/>
        </w:rPr>
        <w:t>Istovremeno je sprovedena dekontaminacija 59 transformatora (82 t), čime su vraćeni u upotrebu uz potpunu usklađenost sa međunarodnim standardima (IEC 60422 i Direktiva 59/96/EEC).</w:t>
      </w:r>
    </w:p>
    <w:p w14:paraId="2E960A50" w14:textId="77777777" w:rsidR="001D13C8" w:rsidRPr="00C86111" w:rsidRDefault="001D13C8" w:rsidP="001D13C8">
      <w:pPr>
        <w:jc w:val="both"/>
        <w:rPr>
          <w:color w:val="auto"/>
        </w:rPr>
      </w:pPr>
      <w:r w:rsidRPr="00C86111">
        <w:rPr>
          <w:color w:val="auto"/>
        </w:rPr>
        <w:t>Transport 248 t PCB otpada izvršen je u skladu sa ADR pravilima i Bazelskom konvencijom, bez zabilježenih bezbjednosnih incidenata.</w:t>
      </w:r>
    </w:p>
    <w:p w14:paraId="4D1664AC" w14:textId="77777777" w:rsidR="001D13C8" w:rsidRPr="00C86111" w:rsidRDefault="001D13C8" w:rsidP="001D13C8">
      <w:pPr>
        <w:jc w:val="both"/>
        <w:rPr>
          <w:color w:val="auto"/>
        </w:rPr>
      </w:pPr>
    </w:p>
    <w:p w14:paraId="5CD156C4" w14:textId="134724BD" w:rsidR="001D13C8" w:rsidRPr="00C86111" w:rsidRDefault="001D13C8" w:rsidP="001D13C8">
      <w:pPr>
        <w:jc w:val="both"/>
        <w:rPr>
          <w:color w:val="auto"/>
        </w:rPr>
      </w:pPr>
      <w:r w:rsidRPr="00C86111">
        <w:rPr>
          <w:b/>
          <w:bCs/>
          <w:color w:val="auto"/>
        </w:rPr>
        <w:t>Sanacija zagađenog zemljišta</w:t>
      </w:r>
      <w:r w:rsidR="004C4490" w:rsidRPr="00C86111">
        <w:rPr>
          <w:b/>
          <w:bCs/>
          <w:color w:val="auto"/>
        </w:rPr>
        <w:t>:</w:t>
      </w:r>
      <w:r w:rsidRPr="00C86111">
        <w:rPr>
          <w:color w:val="auto"/>
        </w:rPr>
        <w:t>Procijenjeno je da je između 3.000 i 4.000 t zemljišta bilo kontaminirano PCB-ovima. Najzagađeniji dio (1.050 t) uklonjen je i izvezen na tretman u Njemačku, čime su eliminisana glavna žarišta rizika po životnu sredinu i zdravlje ljudi.</w:t>
      </w:r>
    </w:p>
    <w:p w14:paraId="5511AE87" w14:textId="77777777" w:rsidR="001D13C8" w:rsidRPr="00C86111" w:rsidRDefault="001D13C8" w:rsidP="00EA6904">
      <w:pPr>
        <w:pStyle w:val="Heading4"/>
      </w:pPr>
      <w:r w:rsidRPr="00C86111">
        <w:t>Ukupni efekti projekta</w:t>
      </w:r>
    </w:p>
    <w:p w14:paraId="21509D44" w14:textId="7DD3C72D" w:rsidR="001D13C8" w:rsidRPr="00C86111" w:rsidRDefault="001D13C8" w:rsidP="004C4490">
      <w:pPr>
        <w:jc w:val="both"/>
        <w:rPr>
          <w:color w:val="auto"/>
        </w:rPr>
      </w:pPr>
      <w:r w:rsidRPr="00C86111">
        <w:rPr>
          <w:color w:val="auto"/>
        </w:rPr>
        <w:t>Realizacijom projekta</w:t>
      </w:r>
      <w:r w:rsidR="004C4490" w:rsidRPr="00C86111">
        <w:rPr>
          <w:color w:val="auto"/>
        </w:rPr>
        <w:t xml:space="preserve"> </w:t>
      </w:r>
      <w:r w:rsidRPr="00C86111">
        <w:rPr>
          <w:color w:val="auto"/>
        </w:rPr>
        <w:t>trajno je zbrinuto 475 t PCB otpada i opreme,80 t transformatora je dekontaminirano i vraćeno u rad,sanirano je 1.050 t zagađenog zemljišta</w:t>
      </w:r>
      <w:r w:rsidR="004C4490" w:rsidRPr="00C86111">
        <w:rPr>
          <w:color w:val="auto"/>
        </w:rPr>
        <w:t xml:space="preserve"> I </w:t>
      </w:r>
      <w:r w:rsidRPr="00C86111">
        <w:rPr>
          <w:color w:val="auto"/>
        </w:rPr>
        <w:t>uklonjeno je približno 85% ukupnih PCB-ova evidentiranih u Crnoj Gori.</w:t>
      </w:r>
    </w:p>
    <w:p w14:paraId="2CADF3ED" w14:textId="77777777" w:rsidR="001D13C8" w:rsidRPr="00C86111" w:rsidRDefault="001D13C8" w:rsidP="001D13C8">
      <w:pPr>
        <w:jc w:val="both"/>
        <w:rPr>
          <w:color w:val="auto"/>
        </w:rPr>
      </w:pPr>
      <w:r w:rsidRPr="00C86111">
        <w:rPr>
          <w:color w:val="auto"/>
        </w:rPr>
        <w:t>Preostale količine (oko 40 t opreme u KAP-u i CEDIS-u) sada su precizno evidentirane, kontrolisane i uključene u sistem daljeg upravljanja u okviru Nacionalnog implementacionog plana.</w:t>
      </w:r>
    </w:p>
    <w:p w14:paraId="7291F626" w14:textId="77777777" w:rsidR="001D13C8" w:rsidRPr="00C86111" w:rsidRDefault="001D13C8" w:rsidP="00EA6904">
      <w:pPr>
        <w:pStyle w:val="Heading4"/>
      </w:pPr>
      <w:r w:rsidRPr="00C86111">
        <w:t>Ključne aktivnosti po godinama:</w:t>
      </w:r>
    </w:p>
    <w:p w14:paraId="649CFFBF" w14:textId="77777777" w:rsidR="001D13C8" w:rsidRPr="00C86111" w:rsidRDefault="001D13C8" w:rsidP="00004F34">
      <w:pPr>
        <w:pStyle w:val="NormalWeb"/>
        <w:numPr>
          <w:ilvl w:val="0"/>
          <w:numId w:val="213"/>
        </w:numPr>
        <w:jc w:val="both"/>
        <w:rPr>
          <w:rFonts w:asciiTheme="minorHAnsi" w:hAnsiTheme="minorHAnsi" w:cstheme="minorHAnsi"/>
        </w:rPr>
      </w:pPr>
      <w:r w:rsidRPr="00C86111">
        <w:rPr>
          <w:rFonts w:asciiTheme="minorHAnsi" w:hAnsiTheme="minorHAnsi" w:cstheme="minorHAnsi"/>
          <w:b/>
          <w:bCs/>
        </w:rPr>
        <w:t>2018:</w:t>
      </w:r>
      <w:r w:rsidRPr="00C86111">
        <w:rPr>
          <w:rFonts w:asciiTheme="minorHAnsi" w:hAnsiTheme="minorHAnsi" w:cstheme="minorHAnsi"/>
        </w:rPr>
        <w:t xml:space="preserve"> Testirano ~1.600 uzoraka, razvijen softver za PCB inventar, organizovana obuka i studijska posjeta Sjevernoj Makedoniji, izvezeno 100 t PCB otpada, razvijen glavni projekat za buduće skladište, kreiran web sajt projekta.</w:t>
      </w:r>
    </w:p>
    <w:p w14:paraId="760C2A9C" w14:textId="77777777" w:rsidR="001D13C8" w:rsidRPr="00C86111" w:rsidRDefault="001D13C8" w:rsidP="00004F34">
      <w:pPr>
        <w:pStyle w:val="NormalWeb"/>
        <w:numPr>
          <w:ilvl w:val="0"/>
          <w:numId w:val="213"/>
        </w:numPr>
        <w:jc w:val="both"/>
        <w:rPr>
          <w:rFonts w:asciiTheme="minorHAnsi" w:hAnsiTheme="minorHAnsi" w:cstheme="minorHAnsi"/>
        </w:rPr>
      </w:pPr>
      <w:r w:rsidRPr="00C86111">
        <w:rPr>
          <w:rFonts w:asciiTheme="minorHAnsi" w:hAnsiTheme="minorHAnsi" w:cstheme="minorHAnsi"/>
          <w:b/>
          <w:bCs/>
        </w:rPr>
        <w:lastRenderedPageBreak/>
        <w:t>2019:</w:t>
      </w:r>
      <w:r w:rsidRPr="00C86111">
        <w:rPr>
          <w:rFonts w:asciiTheme="minorHAnsi" w:hAnsiTheme="minorHAnsi" w:cstheme="minorHAnsi"/>
        </w:rPr>
        <w:t xml:space="preserve"> Završena PCB inventura, analizirane metode dekontaminacije, izgrađen Nacionalni plan upravljanja PCB-om, zbrinuto 248 t PCB otpada u HT incineratoru.</w:t>
      </w:r>
    </w:p>
    <w:p w14:paraId="4BCB95E9" w14:textId="77777777" w:rsidR="001D13C8" w:rsidRPr="00C86111" w:rsidRDefault="001D13C8" w:rsidP="00004F34">
      <w:pPr>
        <w:pStyle w:val="NormalWeb"/>
        <w:numPr>
          <w:ilvl w:val="0"/>
          <w:numId w:val="213"/>
        </w:numPr>
        <w:jc w:val="both"/>
        <w:rPr>
          <w:rFonts w:asciiTheme="minorHAnsi" w:hAnsiTheme="minorHAnsi" w:cstheme="minorHAnsi"/>
        </w:rPr>
      </w:pPr>
      <w:r w:rsidRPr="00C86111">
        <w:rPr>
          <w:rFonts w:asciiTheme="minorHAnsi" w:hAnsiTheme="minorHAnsi" w:cstheme="minorHAnsi"/>
          <w:b/>
          <w:bCs/>
        </w:rPr>
        <w:t>2020:</w:t>
      </w:r>
      <w:r w:rsidRPr="00C86111">
        <w:rPr>
          <w:rFonts w:asciiTheme="minorHAnsi" w:hAnsiTheme="minorHAnsi" w:cstheme="minorHAnsi"/>
        </w:rPr>
        <w:t xml:space="preserve"> Redovno ažuriranje inventara, planirane obuke odložene zbog Covid-19, završena studija o rodnoj dimenziji POPs, pripremljeni tenderi za dekontaminaciju i zbrinjavanje PCB otpada.</w:t>
      </w:r>
    </w:p>
    <w:p w14:paraId="5C42F392" w14:textId="77777777" w:rsidR="001D13C8" w:rsidRPr="00C86111" w:rsidRDefault="001D13C8" w:rsidP="00004F34">
      <w:pPr>
        <w:pStyle w:val="NormalWeb"/>
        <w:numPr>
          <w:ilvl w:val="0"/>
          <w:numId w:val="213"/>
        </w:numPr>
        <w:jc w:val="both"/>
        <w:rPr>
          <w:rFonts w:asciiTheme="minorHAnsi" w:hAnsiTheme="minorHAnsi" w:cstheme="minorHAnsi"/>
        </w:rPr>
      </w:pPr>
      <w:r w:rsidRPr="00C86111">
        <w:rPr>
          <w:rFonts w:asciiTheme="minorHAnsi" w:hAnsiTheme="minorHAnsi" w:cstheme="minorHAnsi"/>
          <w:b/>
          <w:bCs/>
        </w:rPr>
        <w:t>2021:</w:t>
      </w:r>
      <w:r w:rsidRPr="00C86111">
        <w:rPr>
          <w:rFonts w:asciiTheme="minorHAnsi" w:hAnsiTheme="minorHAnsi" w:cstheme="minorHAnsi"/>
        </w:rPr>
        <w:t xml:space="preserve"> Dekontaminirano 82 t PCB opreme, zbrinuto 224 t PCB otpada, pripremljen tender za zbrinjavanje zaraženog zemljišta, istraživanje prisustva PCB-a u krvi radnika, obuke o rukovanju PCB otpadom.</w:t>
      </w:r>
    </w:p>
    <w:p w14:paraId="0F86FF69" w14:textId="77777777" w:rsidR="001D13C8" w:rsidRPr="00C86111" w:rsidRDefault="001D13C8" w:rsidP="00004F34">
      <w:pPr>
        <w:pStyle w:val="NormalWeb"/>
        <w:numPr>
          <w:ilvl w:val="0"/>
          <w:numId w:val="213"/>
        </w:numPr>
        <w:jc w:val="both"/>
        <w:rPr>
          <w:rFonts w:asciiTheme="minorHAnsi" w:hAnsiTheme="minorHAnsi" w:cstheme="minorHAnsi"/>
        </w:rPr>
      </w:pPr>
      <w:r w:rsidRPr="00C86111">
        <w:rPr>
          <w:rFonts w:asciiTheme="minorHAnsi" w:hAnsiTheme="minorHAnsi" w:cstheme="minorHAnsi"/>
          <w:b/>
          <w:bCs/>
        </w:rPr>
        <w:t>2022:</w:t>
      </w:r>
      <w:r w:rsidRPr="00C86111">
        <w:rPr>
          <w:rFonts w:asciiTheme="minorHAnsi" w:hAnsiTheme="minorHAnsi" w:cstheme="minorHAnsi"/>
        </w:rPr>
        <w:t xml:space="preserve"> Uklonjeno i zbrinuto 1.050 t PCB-zaraženog zemljišta, rekonstruisano skladište PCB, organizovana obuka o sanaciji lokacije i studijska posjeta Institutu RECETOX.</w:t>
      </w:r>
    </w:p>
    <w:p w14:paraId="49010AAD" w14:textId="69DDBDF7" w:rsidR="001D13C8" w:rsidRPr="00C86111" w:rsidRDefault="001D13C8" w:rsidP="001D13C8">
      <w:pPr>
        <w:jc w:val="both"/>
        <w:rPr>
          <w:rFonts w:asciiTheme="minorHAnsi" w:hAnsiTheme="minorHAnsi" w:cstheme="minorHAnsi"/>
          <w:color w:val="auto"/>
          <w:szCs w:val="24"/>
        </w:rPr>
      </w:pPr>
      <w:r w:rsidRPr="00C86111">
        <w:rPr>
          <w:rFonts w:asciiTheme="minorHAnsi" w:eastAsia="Times New Roman" w:hAnsiTheme="minorHAnsi" w:cstheme="minorHAnsi"/>
          <w:color w:val="auto"/>
          <w:szCs w:val="24"/>
        </w:rPr>
        <w:t>Ukupno, projekat je značajno unaprijedio monitoring, upravljanje i sigurno zbrinjavanje PCB otpada i opreme, uključujući dekontaminaciju i sanaciju zemljišta.</w:t>
      </w:r>
      <w:r w:rsidRPr="00C86111">
        <w:rPr>
          <w:rFonts w:asciiTheme="minorHAnsi" w:hAnsiTheme="minorHAnsi" w:cstheme="minorHAnsi"/>
        </w:rPr>
        <w:t xml:space="preserve"> </w:t>
      </w:r>
      <w:r w:rsidRPr="00C86111">
        <w:rPr>
          <w:color w:val="auto"/>
        </w:rPr>
        <w:t>U tabeli 1</w:t>
      </w:r>
      <w:r w:rsidR="004C4490" w:rsidRPr="00C86111">
        <w:rPr>
          <w:color w:val="auto"/>
        </w:rPr>
        <w:t>0</w:t>
      </w:r>
      <w:r w:rsidRPr="00C86111">
        <w:rPr>
          <w:color w:val="auto"/>
        </w:rPr>
        <w:t xml:space="preserve"> dat </w:t>
      </w:r>
      <w:r w:rsidRPr="00C86111">
        <w:rPr>
          <w:rFonts w:asciiTheme="minorHAnsi" w:hAnsiTheme="minorHAnsi" w:cstheme="minorHAnsi"/>
          <w:color w:val="auto"/>
          <w:szCs w:val="24"/>
        </w:rPr>
        <w:t>je pregled sve inventarisane opreme, broj testova i vlasnika opreme u Crnoj Gori.</w:t>
      </w:r>
    </w:p>
    <w:p w14:paraId="48E4B64E" w14:textId="77777777" w:rsidR="001D13C8" w:rsidRDefault="001D13C8" w:rsidP="001D13C8">
      <w:pPr>
        <w:jc w:val="both"/>
        <w:rPr>
          <w:rFonts w:asciiTheme="minorHAnsi" w:hAnsiTheme="minorHAnsi" w:cstheme="minorHAnsi"/>
          <w:color w:val="auto"/>
          <w:szCs w:val="24"/>
        </w:rPr>
      </w:pPr>
      <w:r w:rsidRPr="00C86111">
        <w:rPr>
          <w:rFonts w:asciiTheme="minorHAnsi" w:hAnsiTheme="minorHAnsi" w:cstheme="minorHAnsi"/>
          <w:vanish/>
          <w:color w:val="auto"/>
          <w:szCs w:val="24"/>
        </w:rPr>
        <w:t>Bottom of Form</w:t>
      </w:r>
    </w:p>
    <w:p w14:paraId="19ECA8EF" w14:textId="77777777" w:rsidR="00A84005" w:rsidRPr="00C86111" w:rsidRDefault="00A84005" w:rsidP="001D13C8">
      <w:pPr>
        <w:jc w:val="both"/>
        <w:rPr>
          <w:rFonts w:asciiTheme="minorHAnsi" w:hAnsiTheme="minorHAnsi" w:cstheme="minorHAnsi"/>
          <w:vanish/>
          <w:color w:val="auto"/>
          <w:szCs w:val="24"/>
        </w:rPr>
      </w:pPr>
    </w:p>
    <w:p w14:paraId="09329B37" w14:textId="7ACDAA4F"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b/>
          <w:bCs/>
          <w:color w:val="auto"/>
          <w:szCs w:val="24"/>
        </w:rPr>
        <w:t>Tabela 1</w:t>
      </w:r>
      <w:r w:rsidR="004C4490" w:rsidRPr="00C86111">
        <w:rPr>
          <w:rFonts w:asciiTheme="minorHAnsi" w:hAnsiTheme="minorHAnsi" w:cstheme="minorHAnsi"/>
          <w:b/>
          <w:bCs/>
          <w:color w:val="auto"/>
          <w:szCs w:val="24"/>
        </w:rPr>
        <w:t>0</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Pregled sve inventarisane opreme, broj testova i vlasnici opreme u Crnoj Gori (važi do decembra 2024.)</w:t>
      </w:r>
    </w:p>
    <w:tbl>
      <w:tblPr>
        <w:tblStyle w:val="GridTable5Dark-Accent6"/>
        <w:tblW w:w="0" w:type="auto"/>
        <w:tblLayout w:type="fixed"/>
        <w:tblLook w:val="04A0" w:firstRow="1" w:lastRow="0" w:firstColumn="1" w:lastColumn="0" w:noHBand="0" w:noVBand="1"/>
      </w:tblPr>
      <w:tblGrid>
        <w:gridCol w:w="1885"/>
        <w:gridCol w:w="911"/>
        <w:gridCol w:w="871"/>
        <w:gridCol w:w="1278"/>
        <w:gridCol w:w="1170"/>
        <w:gridCol w:w="900"/>
        <w:gridCol w:w="1980"/>
      </w:tblGrid>
      <w:tr w:rsidR="001D13C8" w:rsidRPr="00C86111" w14:paraId="68AA35B3" w14:textId="77777777" w:rsidTr="001D13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FFFFFF" w:themeColor="background1"/>
            </w:tcBorders>
            <w:vAlign w:val="center"/>
            <w:hideMark/>
          </w:tcPr>
          <w:p w14:paraId="75794E64" w14:textId="77777777" w:rsidR="001D13C8" w:rsidRPr="00C86111" w:rsidRDefault="001D13C8">
            <w:pPr>
              <w:jc w:val="center"/>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Vlasnici opreme</w:t>
            </w:r>
          </w:p>
        </w:tc>
        <w:tc>
          <w:tcPr>
            <w:tcW w:w="911" w:type="dxa"/>
            <w:tcBorders>
              <w:bottom w:val="single" w:sz="4" w:space="0" w:color="FFFFFF" w:themeColor="background1"/>
            </w:tcBorders>
            <w:vAlign w:val="center"/>
            <w:hideMark/>
          </w:tcPr>
          <w:p w14:paraId="49C1421F" w14:textId="77777777" w:rsidR="001D13C8" w:rsidRPr="00C86111" w:rsidRDefault="001D13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Inventarisana oprema</w:t>
            </w:r>
          </w:p>
        </w:tc>
        <w:tc>
          <w:tcPr>
            <w:tcW w:w="871" w:type="dxa"/>
            <w:tcBorders>
              <w:bottom w:val="single" w:sz="4" w:space="0" w:color="FFFFFF" w:themeColor="background1"/>
            </w:tcBorders>
            <w:vAlign w:val="center"/>
            <w:hideMark/>
          </w:tcPr>
          <w:p w14:paraId="16127967" w14:textId="77777777" w:rsidR="001D13C8" w:rsidRPr="00C86111" w:rsidRDefault="001D13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Broj skrining testova</w:t>
            </w:r>
          </w:p>
        </w:tc>
        <w:tc>
          <w:tcPr>
            <w:tcW w:w="1278" w:type="dxa"/>
            <w:tcBorders>
              <w:bottom w:val="single" w:sz="4" w:space="0" w:color="FFFFFF" w:themeColor="background1"/>
            </w:tcBorders>
            <w:vAlign w:val="center"/>
            <w:hideMark/>
          </w:tcPr>
          <w:p w14:paraId="5DC82B99" w14:textId="77777777" w:rsidR="001D13C8" w:rsidRPr="00C86111" w:rsidRDefault="001D13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Broj pozitivnih skrining testova</w:t>
            </w:r>
          </w:p>
        </w:tc>
        <w:tc>
          <w:tcPr>
            <w:tcW w:w="1170" w:type="dxa"/>
            <w:tcBorders>
              <w:bottom w:val="single" w:sz="4" w:space="0" w:color="FFFFFF" w:themeColor="background1"/>
            </w:tcBorders>
            <w:vAlign w:val="center"/>
            <w:hideMark/>
          </w:tcPr>
          <w:p w14:paraId="633D7BD9" w14:textId="77777777" w:rsidR="001D13C8" w:rsidRPr="00C86111" w:rsidRDefault="001D13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Broj negativnih skrining testova</w:t>
            </w:r>
          </w:p>
        </w:tc>
        <w:tc>
          <w:tcPr>
            <w:tcW w:w="900" w:type="dxa"/>
            <w:tcBorders>
              <w:bottom w:val="single" w:sz="4" w:space="0" w:color="FFFFFF" w:themeColor="background1"/>
            </w:tcBorders>
            <w:vAlign w:val="center"/>
            <w:hideMark/>
          </w:tcPr>
          <w:p w14:paraId="48C529EB" w14:textId="77777777" w:rsidR="001D13C8" w:rsidRPr="00C86111" w:rsidRDefault="001D13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GC analiza</w:t>
            </w:r>
          </w:p>
        </w:tc>
        <w:tc>
          <w:tcPr>
            <w:tcW w:w="1980" w:type="dxa"/>
            <w:tcBorders>
              <w:bottom w:val="single" w:sz="4" w:space="0" w:color="FFFFFF" w:themeColor="background1"/>
            </w:tcBorders>
            <w:vAlign w:val="center"/>
            <w:hideMark/>
          </w:tcPr>
          <w:p w14:paraId="4EE60066" w14:textId="77777777" w:rsidR="001D13C8" w:rsidRPr="00C86111" w:rsidRDefault="001D13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Broj GC analiza sa sadržajem PCB &gt;50 ppm</w:t>
            </w:r>
          </w:p>
        </w:tc>
      </w:tr>
      <w:tr w:rsidR="001D13C8" w:rsidRPr="00C86111" w14:paraId="0E2E3DC7" w14:textId="77777777" w:rsidTr="001D13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4DAFC67"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KAP transformatori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11D63B"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5474F9"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119</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E181846"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102</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680887"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1BE760"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103</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8840E4"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99</w:t>
            </w:r>
          </w:p>
        </w:tc>
      </w:tr>
      <w:tr w:rsidR="001D13C8" w:rsidRPr="00C86111" w14:paraId="3624A691" w14:textId="77777777" w:rsidTr="001D13C8">
        <w:trPr>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F04B1B1"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KAP kondenzatori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21A833"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1008</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3E5849"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CDC55B"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83</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190FED"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849EBC"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86</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CA6F83"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83</w:t>
            </w:r>
          </w:p>
        </w:tc>
      </w:tr>
      <w:tr w:rsidR="001D13C8" w:rsidRPr="00C86111" w14:paraId="7E8DDB28" w14:textId="77777777" w:rsidTr="001D13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716E86F"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HEMOSAN kondenzatori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DFC96A"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206</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3E87E1"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EF8833"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48CE9D"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2B3ED0"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15B356"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r>
      <w:tr w:rsidR="001D13C8" w:rsidRPr="00C86111" w14:paraId="6EDAB470" w14:textId="77777777" w:rsidTr="001D13C8">
        <w:trPr>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31D838C"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NEKSAN kondenzatori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4C48A2"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85</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8B403A"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2BAE96"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D58F33"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E38825"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EACD81"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r>
      <w:tr w:rsidR="001D13C8" w:rsidRPr="00C86111" w14:paraId="30772356" w14:textId="77777777" w:rsidTr="001D13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57492027"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CEDIS transformatori (skladište Hemosan)</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B634E90"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C9AE5A"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75</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32637A"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29</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1EFC4F"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46</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C25D5B"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56</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845329"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r>
      <w:tr w:rsidR="001D13C8" w:rsidRPr="00C86111" w14:paraId="4B01DE6D" w14:textId="77777777" w:rsidTr="001D13C8">
        <w:trPr>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593731B"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CEDIS transformatori na stubovima</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B3BCFB"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65D1C8"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2DD561"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5F970C"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3272AA"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211</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65C34B"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w:t>
            </w:r>
          </w:p>
        </w:tc>
      </w:tr>
      <w:tr w:rsidR="001D13C8" w:rsidRPr="00C86111" w14:paraId="46F27484" w14:textId="77777777" w:rsidTr="001D13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1BECEB2"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Politropus Alternative transformatori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0C4700"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0C97A6"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22B48B"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74E7EE"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F2481D"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C55248"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r>
      <w:tr w:rsidR="001D13C8" w:rsidRPr="00C86111" w14:paraId="6DD09C18" w14:textId="77777777" w:rsidTr="001D13C8">
        <w:trPr>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5E6CB60E"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KAP PCB otpad (zemljište, ulje iz rezervoara…)</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912994"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F4DB38"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8AE5FB"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A5CAF1"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6743A9"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9B8881"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r>
      <w:tr w:rsidR="001D13C8" w:rsidRPr="00C86111" w14:paraId="34EC3A2E" w14:textId="77777777" w:rsidTr="001D13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77013FBF"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Rudnik Uglja transformatori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F78C7C"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66</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D51B89"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58</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8E09DE"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1D8535"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52</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8C09F6"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66F5B1"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r>
      <w:tr w:rsidR="001D13C8" w:rsidRPr="00C86111" w14:paraId="4D7B7532" w14:textId="77777777" w:rsidTr="001D13C8">
        <w:trPr>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580B6FF"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Rudnik Uglja kondenzatori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5F94EFF"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59</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5857DE"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2FA137"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486BFD"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637472"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770159"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w:t>
            </w:r>
          </w:p>
        </w:tc>
      </w:tr>
      <w:tr w:rsidR="001D13C8" w:rsidRPr="00C86111" w14:paraId="6B750529" w14:textId="77777777" w:rsidTr="001D13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44BCC0B"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Rudnik Uglja prekidači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DF8EE0"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78E8CA"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8756D1"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1A43B3"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A41793"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292B75"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r>
      <w:tr w:rsidR="001D13C8" w:rsidRPr="00C86111" w14:paraId="23D3AAE5" w14:textId="77777777" w:rsidTr="001D13C8">
        <w:trPr>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353F80D"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Luka Bar i Port of Adria transformatori</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5FAB77"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37</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41DC89"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37</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B63841"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98F033"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43C585"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FD55DC" w14:textId="77777777" w:rsidR="001D13C8" w:rsidRPr="00C86111" w:rsidRDefault="001D13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w:t>
            </w:r>
          </w:p>
        </w:tc>
      </w:tr>
      <w:tr w:rsidR="001D13C8" w:rsidRPr="00C86111" w14:paraId="59B3785D" w14:textId="77777777" w:rsidTr="001D13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right w:val="single" w:sz="4" w:space="0" w:color="FFFFFF" w:themeColor="background1"/>
            </w:tcBorders>
            <w:vAlign w:val="center"/>
            <w:hideMark/>
          </w:tcPr>
          <w:p w14:paraId="0A4FE218" w14:textId="77777777" w:rsidR="001D13C8" w:rsidRPr="00C86111" w:rsidRDefault="001D13C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CEDIS ukupno</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A17076"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2.698</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642C1F"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2.553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FD5F27"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754</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38365B"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1.799</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8A1D11"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754</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8A1779" w14:textId="77777777" w:rsidR="001D13C8" w:rsidRPr="00C86111" w:rsidRDefault="001D13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37</w:t>
            </w:r>
          </w:p>
        </w:tc>
      </w:tr>
    </w:tbl>
    <w:p w14:paraId="64287DEE" w14:textId="77777777" w:rsidR="001D13C8" w:rsidRPr="00C86111" w:rsidRDefault="001D13C8" w:rsidP="001D13C8">
      <w:pPr>
        <w:jc w:val="both"/>
        <w:rPr>
          <w:rFonts w:asciiTheme="minorHAnsi" w:hAnsiTheme="minorHAnsi" w:cstheme="minorHAnsi"/>
          <w:b/>
          <w:bCs/>
          <w:color w:val="auto"/>
          <w:szCs w:val="24"/>
        </w:rPr>
      </w:pPr>
    </w:p>
    <w:p w14:paraId="00741252"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Crna Gora učestvuje u projektu pod nazivom </w:t>
      </w:r>
      <w:r w:rsidRPr="00C86111">
        <w:rPr>
          <w:rFonts w:asciiTheme="minorHAnsi" w:hAnsiTheme="minorHAnsi" w:cstheme="minorHAnsi"/>
          <w:b/>
          <w:bCs/>
          <w:color w:val="auto"/>
          <w:szCs w:val="24"/>
        </w:rPr>
        <w:t>„Smanjenje zagađenja štetnim hemikalijama i otpadom na hotspot područjima Mediterana”</w:t>
      </w:r>
      <w:r w:rsidRPr="00C86111">
        <w:rPr>
          <w:rFonts w:asciiTheme="minorHAnsi" w:hAnsiTheme="minorHAnsi" w:cstheme="minorHAnsi"/>
          <w:color w:val="auto"/>
          <w:szCs w:val="24"/>
        </w:rPr>
        <w:t>. Projekat se fokusira na dvije glavne aktivnosti vezane za hemikalije i otpad: jedna uključuje uklanjanje opreme koja sadrži PCB, a druga se bavi procjenom zagađenja u Bokokotorskom zalivu, uključujući opcije za sanaciju kontaminiranih morskih sedimenata (poput teških metala, PAH-ova i PCB-a). Projekat predviđa izvoz i konačno uklanjanje približno 80 tona PCB-zagađene opreme iz Crne Gore do marta 2026. godine. Ovaj proces će uključivati označavanje, pakovanje, transport, otpremu i zbrinjavanje PCB otpada iz opreme koja se povlači iz upotrebe.</w:t>
      </w:r>
    </w:p>
    <w:p w14:paraId="205F0D52"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Centar za ekotoksikološka ispitivanja (CETI) potpisao je Ugovor o finansiranju male skale (Small-Scale Funding Agreement – SSFA) sa UNEP-om za implementaciju komponente projekta pod nazivom: „Smanjenje zagađenja štetnim hemikalijama i otpadom na hotspot područjima Mediterana”.</w:t>
      </w:r>
    </w:p>
    <w:p w14:paraId="798ED5E2"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Cilj ovog projekta je smanjenje zagađenja štetnim hemikalijama i otpadom na hotspot područjima Mediterana. MedProgramme se sprovodi u više zemalja koje ispunjavaju kriterijume Globalnog ekološkog fonda (GEF), uključujući i Crnu Goru.</w:t>
      </w:r>
    </w:p>
    <w:p w14:paraId="77B029CC"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Fokus analiza odnosio se na procjenu zagađenja sedimenata u lukama PCB-om i živom, kao i na procjenu ekološkog rizika povezanog sa Bokom Kotorskom i lukom Risan u Crnoj Gori te lukom Bar. Primarni ishod ove procjene bio je identifikacija potencijalnog zagađenja na dnu luka, na osnovu čega je sprovedena procjena rizika za navedena područja.</w:t>
      </w:r>
    </w:p>
    <w:p w14:paraId="3C406A20"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Izvođenje ugovorenih aktivnosti započelo je temeljnom revizijom dostupne tehničke dokumentacije vezane za trenutno stanje i izazove na istraživačkim lokacijama. Nakon terenskih posjeta i saradnje sa stručnjakom UNEP-a, identifikovana su istraživačka područja, razvijen je konceptualni model lokacije, te je uspostavljen detaljan plan uzorkovanja.</w:t>
      </w:r>
    </w:p>
    <w:p w14:paraId="0E342093"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Prikupljen je značajan broj uzoraka sedimenata koji su analizirani, nakon čega je sprovedena sveobuhvatna evaluacija rezultata. Analizirani su uzorci sedimenata iz Boke Kotorske (Tivatski i Risanski zaliv), kao i iz Luke Bar.</w:t>
      </w:r>
    </w:p>
    <w:p w14:paraId="00D25DCE"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Na osnovu rezultata istraživanja, u 2025. godini razvijen je Plan ekološki prihvatljivog upravljanja za monitoring i sanaciju područja Boke Kotorske (Porto Montenegro) i Luke Bar. U okviru ovog plana predložene su mjere za smanjenje ekoloških rizika od lučkih aktivnosti i kopnenih izvora zagađenja.</w:t>
      </w:r>
    </w:p>
    <w:p w14:paraId="2165565E"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Sveobuhvatan Plan upravljanja zaštitom životne sredine, potpomognut Planom za reagovanje na izlivanja i Planom upravljanja prašinom (za Luku Bar), osmišljen je tako da:</w:t>
      </w:r>
    </w:p>
    <w:p w14:paraId="47AF2645" w14:textId="77777777" w:rsidR="001D13C8" w:rsidRPr="00C86111" w:rsidRDefault="001D13C8" w:rsidP="00004F34">
      <w:pPr>
        <w:numPr>
          <w:ilvl w:val="0"/>
          <w:numId w:val="214"/>
        </w:numPr>
        <w:jc w:val="both"/>
        <w:rPr>
          <w:rFonts w:asciiTheme="minorHAnsi" w:hAnsiTheme="minorHAnsi" w:cstheme="minorHAnsi"/>
          <w:color w:val="auto"/>
          <w:szCs w:val="24"/>
        </w:rPr>
      </w:pPr>
      <w:r w:rsidRPr="00C86111">
        <w:rPr>
          <w:rFonts w:asciiTheme="minorHAnsi" w:hAnsiTheme="minorHAnsi" w:cstheme="minorHAnsi"/>
          <w:color w:val="auto"/>
          <w:szCs w:val="24"/>
        </w:rPr>
        <w:t>minimizira ispuštanje zagađujućih materija u luku</w:t>
      </w:r>
    </w:p>
    <w:p w14:paraId="255C0D68" w14:textId="77777777" w:rsidR="001D13C8" w:rsidRPr="00C86111" w:rsidRDefault="001D13C8" w:rsidP="00004F34">
      <w:pPr>
        <w:numPr>
          <w:ilvl w:val="0"/>
          <w:numId w:val="214"/>
        </w:numPr>
        <w:jc w:val="both"/>
        <w:rPr>
          <w:rFonts w:asciiTheme="minorHAnsi" w:hAnsiTheme="minorHAnsi" w:cstheme="minorHAnsi"/>
          <w:color w:val="auto"/>
          <w:szCs w:val="24"/>
        </w:rPr>
      </w:pPr>
      <w:r w:rsidRPr="00C86111">
        <w:rPr>
          <w:rFonts w:asciiTheme="minorHAnsi" w:hAnsiTheme="minorHAnsi" w:cstheme="minorHAnsi"/>
          <w:color w:val="auto"/>
          <w:szCs w:val="24"/>
        </w:rPr>
        <w:t>zaštiti zdravlje radnika i javnosti</w:t>
      </w:r>
    </w:p>
    <w:p w14:paraId="577B12F7" w14:textId="77777777" w:rsidR="001D13C8" w:rsidRPr="00C86111" w:rsidRDefault="001D13C8" w:rsidP="00004F34">
      <w:pPr>
        <w:numPr>
          <w:ilvl w:val="0"/>
          <w:numId w:val="214"/>
        </w:numPr>
        <w:jc w:val="both"/>
        <w:rPr>
          <w:rFonts w:asciiTheme="minorHAnsi" w:hAnsiTheme="minorHAnsi" w:cstheme="minorHAnsi"/>
          <w:color w:val="auto"/>
          <w:szCs w:val="24"/>
        </w:rPr>
      </w:pPr>
      <w:r w:rsidRPr="00C86111">
        <w:rPr>
          <w:rFonts w:asciiTheme="minorHAnsi" w:hAnsiTheme="minorHAnsi" w:cstheme="minorHAnsi"/>
          <w:color w:val="auto"/>
          <w:szCs w:val="24"/>
        </w:rPr>
        <w:t>osigura potpunu usklađenost sa relevantnim zakonima, propisima i standardima.</w:t>
      </w:r>
    </w:p>
    <w:p w14:paraId="279372D0"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Ovaj pristup predstavlja temelj za kontinuirani monitoring, procjenu rizika i implementaciju preventivnih i korektivnih mjera u cilju očuvanja ekološke bezbjednosti i održivog upravljanja lukama u Crnoj Gori.</w:t>
      </w:r>
    </w:p>
    <w:p w14:paraId="7937B41A" w14:textId="77777777" w:rsidR="001D13C8" w:rsidRPr="00C86111" w:rsidRDefault="001D13C8" w:rsidP="00004F34">
      <w:pPr>
        <w:pStyle w:val="Heading1"/>
        <w:numPr>
          <w:ilvl w:val="1"/>
          <w:numId w:val="238"/>
        </w:numPr>
      </w:pPr>
      <w:bookmarkStart w:id="38" w:name="_Toc220541870"/>
      <w:r w:rsidRPr="00C86111">
        <w:lastRenderedPageBreak/>
        <w:t>ZAKLJUČAK</w:t>
      </w:r>
      <w:bookmarkEnd w:id="38"/>
    </w:p>
    <w:p w14:paraId="69054FDD"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Ovaj odeljak predstavlja zaključke proizašle iz analize inventara PCB-a i diskusije njegovih rezultata. Istaknuti su ključni problemi, praznine, izazovi i sprovedene aktivnosti, pružajući osnovu za razvoj Akcionih planova u okviru ažuriranog Nacionalnog plana implementacije. Nakon završetka ovog odeljka, rad na inventaru PCB-a u Crnoj Gori može se smatrati završenim.</w:t>
      </w:r>
    </w:p>
    <w:p w14:paraId="0BD5CC65"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U okviru projekta „Smanjenje zagađenja štetnim hemikalijama i otpadom u hotspot područjima Mediterana i merenje napretka ka uticajima“, Crna Gora se obavezala na potpunu sanaciju preostalog PCB otpada. Posebna pažnja i dalje će biti posvećena ostacima PCB-a u Bokokotorskom zalivu, posebno u zoni nekadašnje brodogradilišne zone Bijela, gde su svi izazovi na kopnu već rešeni. Kontinuirano praćenje ovih ostataka osiguraće njihovo stalno upravljanje i zaštitu životne sredine.</w:t>
      </w:r>
    </w:p>
    <w:p w14:paraId="240F02E1" w14:textId="77777777" w:rsidR="001D13C8" w:rsidRPr="00C86111" w:rsidRDefault="001D13C8" w:rsidP="001D13C8">
      <w:pPr>
        <w:jc w:val="both"/>
        <w:rPr>
          <w:rFonts w:asciiTheme="minorHAnsi" w:hAnsiTheme="minorHAnsi" w:cstheme="minorHAnsi"/>
          <w:color w:val="auto"/>
          <w:szCs w:val="24"/>
        </w:rPr>
      </w:pPr>
      <w:r w:rsidRPr="00C86111">
        <w:rPr>
          <w:rFonts w:asciiTheme="minorHAnsi" w:hAnsiTheme="minorHAnsi" w:cstheme="minorHAnsi"/>
          <w:color w:val="auto"/>
          <w:szCs w:val="24"/>
        </w:rPr>
        <w:t>Nakon izvoza preostalih približno 80 tona PCB otpada iz Crne Gore, planiranog za prvu polovinu 2026. godine, Crna Gora će moći biti smatrana zemljom slobodnom od PCB-a (PCB-free), u skladu sa obavezama iz Stockholm konvencije i relevantnim međunarodnim standardima.</w:t>
      </w:r>
    </w:p>
    <w:p w14:paraId="08CF9989" w14:textId="01EA003F" w:rsidR="0081146A" w:rsidRPr="00C86111" w:rsidRDefault="001D13C8" w:rsidP="00C323EA">
      <w:pPr>
        <w:jc w:val="both"/>
        <w:rPr>
          <w:b/>
          <w:bCs/>
          <w:color w:val="auto"/>
          <w:szCs w:val="24"/>
        </w:rPr>
      </w:pPr>
      <w:r w:rsidRPr="00C86111">
        <w:rPr>
          <w:rFonts w:asciiTheme="minorHAnsi" w:hAnsiTheme="minorHAnsi" w:cstheme="minorHAnsi"/>
          <w:color w:val="auto"/>
          <w:szCs w:val="24"/>
        </w:rPr>
        <w:t>Ovaj korak predstavlja ključnu fazu u postizanju potpune eliminacije PCB zagađenja, značajno doprinosi unapređenju ekološke sigurnosti, zaštiti javnog zdravlja i održivom upravljanju hemikalijama u Crnoj Gori.</w:t>
      </w:r>
    </w:p>
    <w:p w14:paraId="5E1246AB" w14:textId="3FF57E9F" w:rsidR="00201FE9" w:rsidRPr="00C86111" w:rsidRDefault="00201FE9" w:rsidP="00912C4C">
      <w:pPr>
        <w:pStyle w:val="Heading1"/>
        <w:rPr>
          <w:bCs/>
        </w:rPr>
      </w:pPr>
      <w:bookmarkStart w:id="39" w:name="_Toc220541871"/>
      <w:r w:rsidRPr="00C86111">
        <w:t>NENAMJERNO PROIZVEDENI POP</w:t>
      </w:r>
      <w:r w:rsidRPr="00C86111">
        <w:rPr>
          <w:rFonts w:cs="Arial"/>
        </w:rPr>
        <w:t>‘</w:t>
      </w:r>
      <w:r w:rsidRPr="00C86111">
        <w:t>s</w:t>
      </w:r>
      <w:bookmarkEnd w:id="39"/>
    </w:p>
    <w:p w14:paraId="7E2DF72B" w14:textId="77777777" w:rsidR="00201FE9" w:rsidRPr="00C86111" w:rsidRDefault="00201FE9" w:rsidP="00201FE9">
      <w:pPr>
        <w:jc w:val="center"/>
        <w:rPr>
          <w:b/>
          <w:bCs/>
          <w:color w:val="auto"/>
          <w:szCs w:val="24"/>
        </w:rPr>
      </w:pPr>
    </w:p>
    <w:p w14:paraId="44701FC9" w14:textId="76235DBB" w:rsidR="00201FE9" w:rsidRPr="00C86111" w:rsidRDefault="00201FE9" w:rsidP="00201FE9">
      <w:pPr>
        <w:jc w:val="both"/>
        <w:rPr>
          <w:rFonts w:asciiTheme="minorHAnsi" w:hAnsiTheme="minorHAnsi" w:cstheme="minorHAnsi"/>
          <w:color w:val="auto"/>
        </w:rPr>
      </w:pPr>
      <w:r w:rsidRPr="00C86111">
        <w:rPr>
          <w:rFonts w:asciiTheme="minorHAnsi" w:hAnsiTheme="minorHAnsi" w:cstheme="minorHAnsi"/>
          <w:color w:val="auto"/>
        </w:rPr>
        <w:t xml:space="preserve">Ovaj uvod predstavlja pregled Inventara nenamjerno proizvedenih </w:t>
      </w:r>
      <w:r w:rsidR="004C4490" w:rsidRPr="00C86111">
        <w:rPr>
          <w:rFonts w:asciiTheme="minorHAnsi" w:hAnsiTheme="minorHAnsi" w:cstheme="minorHAnsi"/>
          <w:color w:val="auto"/>
        </w:rPr>
        <w:t>d</w:t>
      </w:r>
      <w:r w:rsidRPr="00C86111">
        <w:rPr>
          <w:rFonts w:asciiTheme="minorHAnsi" w:hAnsiTheme="minorHAnsi" w:cstheme="minorHAnsi"/>
          <w:color w:val="auto"/>
        </w:rPr>
        <w:t>ugotrajnih organskih zagađujućih materija (POPs), uključujući PCDD/PCDF, na teritoriji Crne Gore. Inventar je formiran kroz sistematsku procjenu emisija nastalih u različitim sektorskim aktivnostima u periodu od 2006. do 2022. godine, u skladu sa odredbama Stokholmske konvencije. Njegova svrha je identifikacija i kvantifikacija najznačajnijih izvora zagađenja, kao i njihova karakterizacija, kako bi se omogućilo planiranje mjera za sprječavanje generisanja POPs supstanci i smanjenje njihove prisutnosti u okolišu. Iako Inventar pruža detaljan uvid u emisije, on ne daje potpunu sliku o uticaju na izloženost stanovništva i ekosistema, već predstavlja osnovu za definisanje prioritetnih mjera i aktivnosti u cilju zaštite zdravlja ljudi i životne sredine.</w:t>
      </w:r>
    </w:p>
    <w:p w14:paraId="1C8042E8" w14:textId="77777777" w:rsidR="00201FE9" w:rsidRPr="00C86111" w:rsidRDefault="00201FE9" w:rsidP="00201FE9">
      <w:pPr>
        <w:jc w:val="both"/>
        <w:rPr>
          <w:rFonts w:asciiTheme="minorHAnsi" w:hAnsiTheme="minorHAnsi" w:cstheme="minorHAnsi"/>
          <w:color w:val="auto"/>
        </w:rPr>
      </w:pPr>
    </w:p>
    <w:p w14:paraId="7F936C6F" w14:textId="45CFC7A5" w:rsidR="00201FE9" w:rsidRDefault="00201FE9" w:rsidP="00004F34">
      <w:pPr>
        <w:pStyle w:val="Heading1"/>
        <w:numPr>
          <w:ilvl w:val="1"/>
          <w:numId w:val="238"/>
        </w:numPr>
        <w:rPr>
          <w:lang w:val="sr-Latn-RS"/>
        </w:rPr>
      </w:pPr>
      <w:bookmarkStart w:id="40" w:name="_Toc501437743"/>
      <w:bookmarkStart w:id="41" w:name="_Toc220541872"/>
      <w:r w:rsidRPr="00C86111">
        <w:rPr>
          <w:lang w:val="sr-Latn-RS"/>
        </w:rPr>
        <w:t>Procjena nenamjerno proizvedenih POP’s iz Aneksa C (PCDD/PCDF, HCB i PCB) Stokholmske konvencije</w:t>
      </w:r>
      <w:bookmarkEnd w:id="40"/>
      <w:bookmarkEnd w:id="41"/>
    </w:p>
    <w:p w14:paraId="474527E5" w14:textId="77777777" w:rsidR="00A84005" w:rsidRPr="00A84005" w:rsidRDefault="00A84005" w:rsidP="00A84005">
      <w:pPr>
        <w:rPr>
          <w:lang w:val="sr-Latn-RS"/>
        </w:rPr>
      </w:pPr>
    </w:p>
    <w:p w14:paraId="75ACA5DC" w14:textId="089FDCED"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Za potrebu pripreme i izrade inventara emisija PCDD/PCDF korišćeno je Uputstvo za identifikaciju i kvantifikaciju emisija dioksina, furana i ostalih nenamjerno proizvedenih POP’s (Toolkit for Identification and Quantification of Releases of Dioxins, Furans and Other Unintentional POP's), koje je izdao UNEP u januaru 2013. godine (UNEP. 2013) (u daljem tekstu UNEP-ov vodič). Ova publikacija sadrži detaljno razvijenu metodologiju sa ciljem da pomogne zemljama potpisnicama Stokholmske konvencije u uspostavljanju inventara nenamjerno </w:t>
      </w:r>
      <w:r w:rsidR="004C4490" w:rsidRPr="00C86111">
        <w:rPr>
          <w:rFonts w:asciiTheme="minorHAnsi" w:hAnsiTheme="minorHAnsi" w:cstheme="minorHAnsi"/>
          <w:color w:val="auto"/>
          <w:szCs w:val="24"/>
        </w:rPr>
        <w:t>emitovanih</w:t>
      </w:r>
      <w:r w:rsidRPr="00C86111">
        <w:rPr>
          <w:rFonts w:asciiTheme="minorHAnsi" w:hAnsiTheme="minorHAnsi" w:cstheme="minorHAnsi"/>
          <w:color w:val="auto"/>
          <w:szCs w:val="24"/>
        </w:rPr>
        <w:t xml:space="preserve"> POP's na nacionalnom ili regionalnom nivou. Upotreba UNEP-ovog vodiča je olakšana upotrebom pratećeg </w:t>
      </w:r>
      <w:r w:rsidRPr="00C86111">
        <w:rPr>
          <w:rFonts w:asciiTheme="minorHAnsi" w:hAnsiTheme="minorHAnsi" w:cstheme="minorHAnsi"/>
          <w:color w:val="auto"/>
          <w:szCs w:val="24"/>
        </w:rPr>
        <w:lastRenderedPageBreak/>
        <w:t>Excel softverskog alata (UNEP-POPs-TOOLKIT-PCDD-PCDF-EfsEn,xls) kojim se pojednostavljuje proračun i koji sadrži unaprijed definisane emisione faktore za sve kategorije i podkategorije koje mogu da predstavljaju izvore nenamjerno proizvedenih POP’s u skladu sa UNEP-ovim vodičem.</w:t>
      </w:r>
    </w:p>
    <w:p w14:paraId="7B63EAEB"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UNEP-ova metodologija predlaže pet osnovnih koraka u postupku izrade inventara dioksina i furana:</w:t>
      </w:r>
    </w:p>
    <w:p w14:paraId="43383F45" w14:textId="77777777" w:rsidR="00201FE9" w:rsidRPr="00C86111" w:rsidRDefault="00201FE9" w:rsidP="007E2AA5">
      <w:pPr>
        <w:pStyle w:val="ListParagraph"/>
        <w:numPr>
          <w:ilvl w:val="0"/>
          <w:numId w:val="29"/>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identifikacija osnovnih kategorija izvora emisija PCDD/PCDF;</w:t>
      </w:r>
    </w:p>
    <w:p w14:paraId="5FE00452" w14:textId="77777777" w:rsidR="00201FE9" w:rsidRPr="00C86111" w:rsidRDefault="00201FE9" w:rsidP="007E2AA5">
      <w:pPr>
        <w:pStyle w:val="ListParagraph"/>
        <w:numPr>
          <w:ilvl w:val="0"/>
          <w:numId w:val="29"/>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identifikacija podkategorija, postojećih aktivnosti i potencijalnih pravaca širenja PCDD/PCDF u okolini;</w:t>
      </w:r>
    </w:p>
    <w:p w14:paraId="301297DB" w14:textId="77777777" w:rsidR="00201FE9" w:rsidRPr="00C86111" w:rsidRDefault="00201FE9" w:rsidP="007E2AA5">
      <w:pPr>
        <w:pStyle w:val="ListParagraph"/>
        <w:numPr>
          <w:ilvl w:val="0"/>
          <w:numId w:val="29"/>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sakupljanje podataka o specifičnim procesima;</w:t>
      </w:r>
    </w:p>
    <w:p w14:paraId="54586CC5" w14:textId="77777777" w:rsidR="00201FE9" w:rsidRPr="00C86111" w:rsidRDefault="00201FE9" w:rsidP="007E2AA5">
      <w:pPr>
        <w:pStyle w:val="ListParagraph"/>
        <w:numPr>
          <w:ilvl w:val="0"/>
          <w:numId w:val="29"/>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kvantifikovanje izvora emisija PCDD/PCDF i proračun vrijednosti emisija korišćenjem podataka o emisionim faktorima i</w:t>
      </w:r>
    </w:p>
    <w:p w14:paraId="5F51B4F4" w14:textId="77777777" w:rsidR="00201FE9" w:rsidRPr="00C86111" w:rsidRDefault="00201FE9" w:rsidP="007E2AA5">
      <w:pPr>
        <w:pStyle w:val="ListParagraph"/>
        <w:numPr>
          <w:ilvl w:val="0"/>
          <w:numId w:val="29"/>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pregled pripremljenog inventara.</w:t>
      </w:r>
    </w:p>
    <w:p w14:paraId="5C97EA5A" w14:textId="2BDED65A"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Finalne godišnje </w:t>
      </w:r>
      <w:r w:rsidR="004C4490"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izračunate su množenjem odgovarajućeg emisionog faktora sa podacima koji definišu intenzitet razmatrane aktivnosti. U ovu svrhu su korišćeni isključivo unaprijed definisani emisioni faktori (priloženi u metodologiji), jer ne postoje razvijeni nacionalni emisioni faktori ni za jednu od razmatranih inventarskih podkategorija. Glavni zadatak u pripremi inventara je bio da se dođe do neophodnih podataka o intezitetima pojedinih aktivnosti iz odgovarajućih podkategorija i u skladu sa njima dodijeli emisioni faktor koji najbolje karakteriše tu vrstu aktivnosti/proizvodnje/tehnološkog postupka. Od kvaliteta i preciznosti ovih ulaznih podataka zavisi i tačnost POP’s Inventara.</w:t>
      </w:r>
    </w:p>
    <w:p w14:paraId="4B06663F"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 ovom izvještaju emisije dioksina i furana izražene su ekvivalentima toksičnosti (International Toxity Equivalents – TEQ). Godišnje emisije PCDD/PCDF date su u g/TEQ godišnje. </w:t>
      </w:r>
    </w:p>
    <w:p w14:paraId="4F8D59C6" w14:textId="77650E18"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Prvi nacionalni inventar nenamjerno proizvedenih POP's (PCDD/PCDF, HCB i PCB) koji je podnesen Sekretarijatu konvencije u okviru Nacionalnog plana za implementaciju Stokholmske konvencije za period 2014-2021. godine iz 2013 godine je izrađen prema uputstvu EMEP/EEA Air Pollutant Emission Inventory Guidebook 2009 i uputstvu IPCC-a: 2006 IPCC Guidelines for National Greenhouse Gas Inventories. Prvi POPs nacionalni inventar sadrži izdvojene podatke o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ma nenamjerno proizvedenih POPs (heksahlorbenzen, polihlorovane bifenile, polihlorovani dibenzo-dioksin i polihlorovani dibenzo-furan i policiklične aromatične ugljovodonike) u vazduh iz nacionalnog inventara o emisijama zagađujućih materija u vazduh koji se priprema za potrebe izvještavanja u skladu sa Konvencijom o prekograničnom zagađivanju vazduha na velikim udaljenostima (CLRTAP). </w:t>
      </w:r>
    </w:p>
    <w:p w14:paraId="7CB9E76E"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Sekretarijat Stokholmske konvencije dopušta zemljama potpisnicama da pripremaju i podnose nacionalne inventare nenamjerno proizvedenih/ispuštenih POP’s u skladu sa EMEP/EEA metodologijom ali se zemlje potpisnice podstiču da koriste UNEP- ovu metodologiju i prateći softverski alat iz sledećih razloga:</w:t>
      </w:r>
    </w:p>
    <w:p w14:paraId="02F05363" w14:textId="77777777" w:rsidR="00201FE9" w:rsidRPr="00C86111" w:rsidRDefault="00201FE9" w:rsidP="007E2AA5">
      <w:pPr>
        <w:pStyle w:val="ListParagraph"/>
        <w:numPr>
          <w:ilvl w:val="0"/>
          <w:numId w:val="30"/>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Procjene nenamjerno proizvedenih POP’s-a su lako uporedive;</w:t>
      </w:r>
    </w:p>
    <w:p w14:paraId="58BBAA25" w14:textId="77777777" w:rsidR="00201FE9" w:rsidRPr="00C86111" w:rsidRDefault="00201FE9" w:rsidP="007E2AA5">
      <w:pPr>
        <w:pStyle w:val="ListParagraph"/>
        <w:numPr>
          <w:ilvl w:val="0"/>
          <w:numId w:val="30"/>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 xml:space="preserve">Nacionalni i globalni izvještaji o procjenama emisija mogu se lako pripremiti; </w:t>
      </w:r>
    </w:p>
    <w:p w14:paraId="327B3B97" w14:textId="77777777" w:rsidR="00201FE9" w:rsidRPr="00C86111" w:rsidRDefault="00201FE9" w:rsidP="007E2AA5">
      <w:pPr>
        <w:pStyle w:val="ListParagraph"/>
        <w:numPr>
          <w:ilvl w:val="0"/>
          <w:numId w:val="30"/>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Pored emisija u vazduh procjenjuju se količine dioksina i furana koje se ispuštaju u vodu i zemljište, količine koje dospiju u proizvode putem raznih mehanizama kao i količine u otpadu ili ostatku nastale usljed različitih proizvodnih ili prerađivačkih aktivnosti;</w:t>
      </w:r>
    </w:p>
    <w:p w14:paraId="3CA9DAC9" w14:textId="2EC68FE7" w:rsidR="00201FE9" w:rsidRPr="00C86111" w:rsidRDefault="00201FE9" w:rsidP="007E2AA5">
      <w:pPr>
        <w:pStyle w:val="ListParagraph"/>
        <w:numPr>
          <w:ilvl w:val="0"/>
          <w:numId w:val="30"/>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 xml:space="preserve">Sadrži nove potencijalne podkategorije izvora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i ažurirane emisione faktore u skladu sa novim naučnim saznanjima;</w:t>
      </w:r>
    </w:p>
    <w:p w14:paraId="5B3B1D12" w14:textId="77777777" w:rsidR="00201FE9" w:rsidRPr="00C86111" w:rsidRDefault="00201FE9" w:rsidP="007E2AA5">
      <w:pPr>
        <w:pStyle w:val="ListParagraph"/>
        <w:numPr>
          <w:ilvl w:val="0"/>
          <w:numId w:val="30"/>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Vremenski trendovi se mogu lako razraditi u svrhu procjene efikasnosti prema članu 16. Konvencije.</w:t>
      </w:r>
    </w:p>
    <w:p w14:paraId="05D72365"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Drugo podneseni nacionalni POP’s inventar u okviru Projekta “Nacionalni plan za implementaciju Stokholmske konvencije, s akcionim planom za period 2019 – 2023. godina” je pripremljen u skladu sa UNEP-ovo metodologijom i predstavljao je dobru osnovu za pripremu i ažuriranje trećeg nacionalnog inventara prema zahtjevima Stokholmske konvencije.</w:t>
      </w:r>
    </w:p>
    <w:p w14:paraId="297583BA" w14:textId="06218D78"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Treći nacionalni inventar nenamjerno proizvedenih POP’s izrađen je u sklopu Projekta ”Pregled i ažuriranje Nacionalnog Implementacionog Plana Stokholmske konvencije o postojanim organskim zagađivačima, kroz projekat UN-GEF ID 10785/10924 pod nazivom „Globalni razvoj, pregled i ažuriranje nacionalnih implementacionih planova (NIP) Stokholmske konvencije (SC) o postojanim organskim zagađivačima (POPs)”. U skladu sa zahtjevima projekta izvršena je inventarizacija od 2017. do 2022., godine, tako da sada vremenska serija inventara za hemikalije iz Priloga C Konvencije (PCDD/PCDF, HCB i PCB) pokriva vremenski period od 2006. do 2022. Kao bazna godina na osnovu koju se posmatra trend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POP’s supstanci je zadržana 2006. godina. U skladu sa novim zahtjevima Stokholmske konvencije u ovom izvještaju su po prvi put predstavljeni rezultati inventarizacija tri nova nenamjerno proizvedena POPs-a, dio II (heksahlorobuten, pentahlorobenzen, polihlorovani naftaleni) za period 2015 -2022. </w:t>
      </w:r>
    </w:p>
    <w:p w14:paraId="2F194E58" w14:textId="77777777" w:rsidR="00375D24" w:rsidRPr="00C86111" w:rsidRDefault="00375D24" w:rsidP="00201FE9">
      <w:pPr>
        <w:rPr>
          <w:i/>
          <w:iCs/>
          <w:color w:val="002060"/>
          <w:szCs w:val="24"/>
          <w:lang w:val="sr-Latn-RS"/>
        </w:rPr>
      </w:pPr>
      <w:bookmarkStart w:id="42" w:name="_Toc501437745"/>
    </w:p>
    <w:p w14:paraId="1C4B4C97" w14:textId="6BB7FB9F" w:rsidR="00201FE9" w:rsidRPr="00C86111" w:rsidRDefault="00201FE9" w:rsidP="00EA6904">
      <w:pPr>
        <w:pStyle w:val="Heading3"/>
      </w:pPr>
      <w:bookmarkStart w:id="43" w:name="_Toc220541873"/>
      <w:r w:rsidRPr="00C86111">
        <w:t>Procjena nenamjerno proizvedenih POP's (PCDD/PCDF, HCB i PCB) za period 2006-2022. godina</w:t>
      </w:r>
      <w:bookmarkEnd w:id="42"/>
      <w:bookmarkEnd w:id="43"/>
    </w:p>
    <w:p w14:paraId="232B51AE" w14:textId="77777777" w:rsidR="004748D1" w:rsidRPr="00C86111" w:rsidRDefault="004748D1" w:rsidP="004748D1">
      <w:pPr>
        <w:rPr>
          <w:lang w:val="sr-Latn-RS"/>
        </w:rPr>
      </w:pPr>
    </w:p>
    <w:p w14:paraId="0FC6046A" w14:textId="4994A3BF" w:rsidR="00201FE9" w:rsidRPr="00C86111" w:rsidRDefault="000D1995"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Emisije</w:t>
      </w:r>
      <w:r w:rsidR="00201FE9" w:rsidRPr="00C86111">
        <w:rPr>
          <w:rFonts w:asciiTheme="minorHAnsi" w:hAnsiTheme="minorHAnsi" w:cstheme="minorHAnsi"/>
          <w:color w:val="auto"/>
          <w:szCs w:val="24"/>
        </w:rPr>
        <w:t xml:space="preserve"> PCDD i PCDF praćene su </w:t>
      </w:r>
      <w:r w:rsidRPr="00C86111">
        <w:rPr>
          <w:rFonts w:asciiTheme="minorHAnsi" w:hAnsiTheme="minorHAnsi" w:cstheme="minorHAnsi"/>
          <w:color w:val="auto"/>
          <w:szCs w:val="24"/>
        </w:rPr>
        <w:t>emisija</w:t>
      </w:r>
      <w:r w:rsidR="00201FE9" w:rsidRPr="00C86111">
        <w:rPr>
          <w:rFonts w:asciiTheme="minorHAnsi" w:hAnsiTheme="minorHAnsi" w:cstheme="minorHAnsi"/>
          <w:color w:val="auto"/>
          <w:szCs w:val="24"/>
        </w:rPr>
        <w:t xml:space="preserve">ma i ostalih nenamjerno proizvedenih POP's supstanci, koji se mogu smanjiti ili ukloniti sprovođenjem istih mjera kao i za ispuštanja PCDD i PCDF. Preporuka je UNEP-ovog vodiča da se iz praktičnih razloga, inventar ispuštanja nenamjerno proizvedenih POP’s usmjeri na PCDD/PCDF, jer su oni indikacija za prisutnost ostalih nenamjerno proizvedenih POP’s. Smatra se da su oni dovoljna baza za prepoznavanje izvora i određivanje prioriteta kao i za utvrđivanje kontrolnih mjera i ocjenu njihove djelotvornosti za sve POP's navedene u Aneksu C Stokholmske konvencije. </w:t>
      </w:r>
    </w:p>
    <w:p w14:paraId="3AA41BE4" w14:textId="7998B45D"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Pored proračuna PCDD i PCDF u okviru ovog izvještaja su prikazane i proračunate količine heksahloro-benzena (HCB) i polihlorovanih bifenila (PCB) na osnovu odgovarajućih emisionih faktora iz UNEP-ovog vodiča. Izvještaj sadrži po prvi put informacije o inventarizaciji nenamjerno </w:t>
      </w:r>
      <w:r w:rsidR="000D1995" w:rsidRPr="00C86111">
        <w:rPr>
          <w:rFonts w:asciiTheme="minorHAnsi" w:hAnsiTheme="minorHAnsi" w:cstheme="minorHAnsi"/>
          <w:color w:val="auto"/>
          <w:szCs w:val="24"/>
        </w:rPr>
        <w:t>emitovanih</w:t>
      </w:r>
      <w:r w:rsidRPr="00C86111">
        <w:rPr>
          <w:rFonts w:asciiTheme="minorHAnsi" w:hAnsiTheme="minorHAnsi" w:cstheme="minorHAnsi"/>
          <w:color w:val="auto"/>
          <w:szCs w:val="24"/>
        </w:rPr>
        <w:t xml:space="preserve"> POP’s, dio II (heksahlorobuten, pentahlorobenzen, polihlorovani naftaleni) koja je urađena na osnovu raspoloživih UNEP vodiča. </w:t>
      </w:r>
    </w:p>
    <w:p w14:paraId="44CEDB4F"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sklopu izrade trećeg nacionalnog inventara sprovedena je provjera proračuna prethodnog inventara, u skladu sa time izvršene korekcije za vremenski period 2006-2016. Ispravke i ponovni proračuni u inventaru izvršeni su iz sledećih bitnih razloga:</w:t>
      </w:r>
    </w:p>
    <w:p w14:paraId="4EC04B9A" w14:textId="77777777" w:rsidR="00201FE9" w:rsidRPr="00C86111" w:rsidRDefault="00201FE9" w:rsidP="00833A40">
      <w:pPr>
        <w:pStyle w:val="ListParagraph"/>
        <w:numPr>
          <w:ilvl w:val="0"/>
          <w:numId w:val="124"/>
        </w:numPr>
        <w:jc w:val="both"/>
        <w:rPr>
          <w:rFonts w:asciiTheme="minorHAnsi" w:hAnsiTheme="minorHAnsi" w:cstheme="minorHAnsi"/>
          <w:color w:val="auto"/>
          <w:szCs w:val="24"/>
        </w:rPr>
      </w:pPr>
      <w:r w:rsidRPr="00C86111">
        <w:rPr>
          <w:rFonts w:asciiTheme="minorHAnsi" w:hAnsiTheme="minorHAnsi" w:cstheme="minorHAnsi"/>
          <w:color w:val="auto"/>
          <w:szCs w:val="24"/>
        </w:rPr>
        <w:t>ispravljanje grešaka u proračunu,</w:t>
      </w:r>
    </w:p>
    <w:p w14:paraId="42212DFC" w14:textId="77777777" w:rsidR="00201FE9" w:rsidRPr="00C86111" w:rsidRDefault="00201FE9" w:rsidP="00833A40">
      <w:pPr>
        <w:pStyle w:val="ListParagraph"/>
        <w:numPr>
          <w:ilvl w:val="0"/>
          <w:numId w:val="124"/>
        </w:numPr>
        <w:jc w:val="both"/>
        <w:rPr>
          <w:rFonts w:asciiTheme="minorHAnsi" w:hAnsiTheme="minorHAnsi" w:cstheme="minorHAnsi"/>
          <w:color w:val="auto"/>
          <w:szCs w:val="24"/>
        </w:rPr>
      </w:pPr>
      <w:r w:rsidRPr="00C86111">
        <w:rPr>
          <w:rFonts w:asciiTheme="minorHAnsi" w:hAnsiTheme="minorHAnsi" w:cstheme="minorHAnsi"/>
          <w:color w:val="auto"/>
          <w:szCs w:val="24"/>
        </w:rPr>
        <w:t>dodavanje novih podkategorija u skladu s novo dostupnim podacima o aktivnostima,</w:t>
      </w:r>
    </w:p>
    <w:p w14:paraId="0DEDEAA0" w14:textId="77777777" w:rsidR="00201FE9" w:rsidRPr="00C86111" w:rsidRDefault="00201FE9" w:rsidP="00833A40">
      <w:pPr>
        <w:pStyle w:val="ListParagraph"/>
        <w:numPr>
          <w:ilvl w:val="0"/>
          <w:numId w:val="124"/>
        </w:numPr>
        <w:jc w:val="both"/>
        <w:rPr>
          <w:rFonts w:asciiTheme="minorHAnsi" w:hAnsiTheme="minorHAnsi" w:cstheme="minorHAnsi"/>
          <w:color w:val="auto"/>
          <w:szCs w:val="24"/>
        </w:rPr>
      </w:pPr>
      <w:r w:rsidRPr="00C86111">
        <w:rPr>
          <w:rFonts w:asciiTheme="minorHAnsi" w:hAnsiTheme="minorHAnsi" w:cstheme="minorHAnsi"/>
          <w:color w:val="auto"/>
          <w:szCs w:val="24"/>
        </w:rPr>
        <w:t>ponovnog proračuna vremenskih serija zbog novih informacija i pretpostavki.</w:t>
      </w:r>
    </w:p>
    <w:p w14:paraId="7B4EB9F0"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Na taj način poboljšana je tačnost i kompletnost inventara i za period 2006 -2016 godina.</w:t>
      </w:r>
    </w:p>
    <w:p w14:paraId="164026C6"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Potencijalne kontaminirane lokacije su u ovom izvještaju identifikovane i analizirane na osnovu Tier 1 metodologije prema UNEP-ovom priručniku , sa prikazom fotodokumentacije koja je uzeta tokom obilaska pojedinih lokacija. </w:t>
      </w:r>
    </w:p>
    <w:p w14:paraId="361C33B3" w14:textId="35CB4C0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 xml:space="preserve">Prilikom izrade inventara korišćene su sve dostupne informacije i podaci o značajnim aktivnostima koje se odvijaju u zemlji i glavnim izvorima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Glavni izvor podataka za posmatrani period 2006 - 2022. godina predstavljaju godišnji statistički izvještaji Uprave za statistiku Crne Gore (MONSTAT). Ostali podaci su dobijeni direktno od operatera, korišćenjem podataka nacionalnih inventara (EMEP/EEA, IPCC), svjetske zdravstvene organizacije WHO, strateških nacionalnih dokumenata, evropske statistike EUROSTAT i dr. U poglavljima u kojima se razmatraju PCDD/PCDF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iz kategorija i podkategorija, precizno su navedni korišćeni izvori podataka. Vodeći računa o obimnosti izvještaja, nisu tabelarno prikazani aktivni podaci za kategorije čiji  doprinos nije ključan prema izrađenom inventaru.</w:t>
      </w:r>
    </w:p>
    <w:p w14:paraId="72F83596" w14:textId="77777777" w:rsidR="00201FE9" w:rsidRPr="00C86111" w:rsidRDefault="00201FE9" w:rsidP="00201FE9">
      <w:pPr>
        <w:jc w:val="both"/>
        <w:rPr>
          <w:rFonts w:asciiTheme="minorHAnsi" w:hAnsiTheme="minorHAnsi" w:cstheme="minorHAnsi"/>
          <w:color w:val="auto"/>
          <w:szCs w:val="24"/>
        </w:rPr>
      </w:pPr>
      <w:bookmarkStart w:id="44" w:name="_Hlk206677026"/>
      <w:r w:rsidRPr="00C86111">
        <w:rPr>
          <w:rFonts w:asciiTheme="minorHAnsi" w:hAnsiTheme="minorHAnsi" w:cstheme="minorHAnsi"/>
          <w:color w:val="auto"/>
          <w:szCs w:val="24"/>
        </w:rPr>
        <w:t>U skladu sa metodologijom preporučenom od strane UNEP, pregled i ažuriranje inventara PCDD/PCDF sprovedeno je u sledećim glavnim kategorijskim grupama:</w:t>
      </w:r>
    </w:p>
    <w:bookmarkEnd w:id="44"/>
    <w:p w14:paraId="372CBA59"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Spaljivanje otpada</w:t>
      </w:r>
    </w:p>
    <w:p w14:paraId="49F5AFBD"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Teška i obojena metalurgija</w:t>
      </w:r>
    </w:p>
    <w:p w14:paraId="7163C378"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Proizvodnja električne i toplotne energije</w:t>
      </w:r>
    </w:p>
    <w:p w14:paraId="1B4EBC52"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Industrija mineralnih proizvoda</w:t>
      </w:r>
    </w:p>
    <w:p w14:paraId="369B54A8"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Transport</w:t>
      </w:r>
    </w:p>
    <w:p w14:paraId="000B73B9"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Procesi sa otvorenim sagorijevanjem </w:t>
      </w:r>
    </w:p>
    <w:p w14:paraId="526326A5"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Proizvodnja hemikalija i robe široke potrošnje</w:t>
      </w:r>
    </w:p>
    <w:p w14:paraId="40CE68C0"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Razno</w:t>
      </w:r>
    </w:p>
    <w:p w14:paraId="499568F0"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Deponovanje otpada</w:t>
      </w:r>
    </w:p>
    <w:p w14:paraId="03E79B34" w14:textId="77777777" w:rsidR="00201FE9" w:rsidRPr="00C86111" w:rsidRDefault="00201FE9" w:rsidP="007E2AA5">
      <w:pPr>
        <w:pStyle w:val="ListParagraph"/>
        <w:numPr>
          <w:ilvl w:val="0"/>
          <w:numId w:val="28"/>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Potencijalne kontaminirane lokacije</w:t>
      </w:r>
    </w:p>
    <w:p w14:paraId="6739CF76" w14:textId="4340CF0C"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Kategorije izvora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PCDD/PCDF definisane u UNEP-ovom programskom alatu podijeljene su u deset grupa, od kojih je svaka dodatno podijeljena na nekoliko podgrupa.</w:t>
      </w:r>
    </w:p>
    <w:p w14:paraId="2FD8DD33"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okviru ANEX 1 dat je zbirni prikaz inventarski procijenjenih grupa izvora i njima pridruženih kategorija i klasa u skladu sa UNEP-metodologijom.</w:t>
      </w:r>
    </w:p>
    <w:p w14:paraId="2DAAC69E" w14:textId="77777777" w:rsidR="00201FE9" w:rsidRPr="00C86111" w:rsidRDefault="00201FE9" w:rsidP="00201FE9">
      <w:bookmarkStart w:id="45" w:name="_Toc501437746"/>
    </w:p>
    <w:p w14:paraId="0B92741E" w14:textId="05578EAD" w:rsidR="00201FE9" w:rsidRPr="00C86111" w:rsidRDefault="00201FE9" w:rsidP="00EA6904">
      <w:pPr>
        <w:pStyle w:val="Heading3"/>
      </w:pPr>
      <w:bookmarkStart w:id="46" w:name="_Toc220541874"/>
      <w:r w:rsidRPr="00C86111">
        <w:t xml:space="preserve">Ukupne procijenjene </w:t>
      </w:r>
      <w:r w:rsidR="000D1995" w:rsidRPr="00C86111">
        <w:t>emisije</w:t>
      </w:r>
      <w:r w:rsidRPr="00C86111">
        <w:t xml:space="preserve"> nenamjerno proizvedenih POP’s (PCDD/PCDF)</w:t>
      </w:r>
      <w:bookmarkEnd w:id="45"/>
      <w:r w:rsidRPr="00C86111">
        <w:t xml:space="preserve"> za period 2006 -2022. </w:t>
      </w:r>
      <w:r w:rsidR="004748D1" w:rsidRPr="00C86111">
        <w:t>Godina</w:t>
      </w:r>
      <w:bookmarkEnd w:id="46"/>
    </w:p>
    <w:p w14:paraId="388F4B1B" w14:textId="77777777" w:rsidR="004748D1" w:rsidRPr="00C86111" w:rsidRDefault="004748D1" w:rsidP="004748D1"/>
    <w:p w14:paraId="0C7D58C6" w14:textId="35B474B3"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Ukupne nacionalne godišnje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dioksina i furana (PCDD/PCDF) za period 2006-2022. godina su prikazane tabelom 1</w:t>
      </w:r>
      <w:r w:rsidR="004C4490" w:rsidRPr="00C86111">
        <w:rPr>
          <w:rFonts w:asciiTheme="minorHAnsi" w:hAnsiTheme="minorHAnsi" w:cstheme="minorHAnsi"/>
          <w:color w:val="auto"/>
          <w:szCs w:val="24"/>
        </w:rPr>
        <w:t>1</w:t>
      </w:r>
      <w:r w:rsidRPr="00C86111">
        <w:rPr>
          <w:rFonts w:asciiTheme="minorHAnsi" w:hAnsiTheme="minorHAnsi" w:cstheme="minorHAnsi"/>
          <w:color w:val="auto"/>
          <w:szCs w:val="24"/>
        </w:rPr>
        <w:t xml:space="preserve"> i grafik</w:t>
      </w:r>
      <w:r w:rsidR="004C4490" w:rsidRPr="00C86111">
        <w:rPr>
          <w:rFonts w:asciiTheme="minorHAnsi" w:hAnsiTheme="minorHAnsi" w:cstheme="minorHAnsi"/>
          <w:color w:val="auto"/>
          <w:szCs w:val="24"/>
        </w:rPr>
        <w:t>u</w:t>
      </w:r>
      <w:r w:rsidRPr="00C86111">
        <w:rPr>
          <w:rFonts w:asciiTheme="minorHAnsi" w:hAnsiTheme="minorHAnsi" w:cstheme="minorHAnsi"/>
          <w:color w:val="auto"/>
          <w:szCs w:val="24"/>
        </w:rPr>
        <w:t xml:space="preserve"> 1. U zavisnosti od inteziteta aktivnosti koje proizvode POP’s, varirale su vrijednosti ukupnih godišnjih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w:t>
      </w:r>
    </w:p>
    <w:p w14:paraId="3FC36E69" w14:textId="58A2AFDD" w:rsidR="00201FE9" w:rsidRPr="00C86111" w:rsidRDefault="00201FE9" w:rsidP="00375D24">
      <w:pPr>
        <w:pStyle w:val="Tabele"/>
        <w:numPr>
          <w:ilvl w:val="0"/>
          <w:numId w:val="0"/>
        </w:numPr>
        <w:spacing w:after="0"/>
        <w:ind w:left="90"/>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Tabela 1</w:t>
      </w:r>
      <w:r w:rsidR="004C4490" w:rsidRPr="00C86111">
        <w:rPr>
          <w:rFonts w:asciiTheme="minorHAnsi" w:hAnsiTheme="minorHAnsi" w:cstheme="minorHAnsi"/>
          <w:b/>
          <w:bCs/>
          <w:i w:val="0"/>
          <w:iCs/>
          <w:sz w:val="24"/>
          <w:lang w:val="sr-Latn-RS"/>
        </w:rPr>
        <w:t>1</w:t>
      </w:r>
      <w:r w:rsidRPr="00C86111">
        <w:rPr>
          <w:rFonts w:asciiTheme="minorHAnsi" w:hAnsiTheme="minorHAnsi" w:cstheme="minorHAnsi"/>
          <w:b/>
          <w:bCs/>
          <w:i w:val="0"/>
          <w:iCs/>
          <w:sz w:val="24"/>
          <w:lang w:val="sr-Latn-RS"/>
        </w:rPr>
        <w:t>.</w:t>
      </w:r>
      <w:r w:rsidRPr="00C86111">
        <w:rPr>
          <w:rFonts w:asciiTheme="minorHAnsi" w:hAnsiTheme="minorHAnsi" w:cstheme="minorHAnsi"/>
          <w:i w:val="0"/>
          <w:iCs/>
          <w:sz w:val="24"/>
          <w:lang w:val="sr-Latn-RS"/>
        </w:rPr>
        <w:t xml:space="preserve"> Ukupne godišnje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dioksina i furana (PCDD/PCDF), 2006-2022. godina (gTEQ/god)</w:t>
      </w:r>
    </w:p>
    <w:tbl>
      <w:tblPr>
        <w:tblStyle w:val="GridTable5Dark-Accent6"/>
        <w:tblW w:w="9085" w:type="dxa"/>
        <w:tblLook w:val="04A0" w:firstRow="1" w:lastRow="0" w:firstColumn="1" w:lastColumn="0" w:noHBand="0" w:noVBand="1"/>
      </w:tblPr>
      <w:tblGrid>
        <w:gridCol w:w="1834"/>
        <w:gridCol w:w="738"/>
        <w:gridCol w:w="800"/>
        <w:gridCol w:w="800"/>
        <w:gridCol w:w="800"/>
        <w:gridCol w:w="800"/>
        <w:gridCol w:w="800"/>
        <w:gridCol w:w="800"/>
        <w:gridCol w:w="800"/>
        <w:gridCol w:w="913"/>
      </w:tblGrid>
      <w:tr w:rsidR="00201FE9" w:rsidRPr="00C86111" w14:paraId="180E41FD"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476F7AC0" w14:textId="77777777" w:rsidR="00201FE9" w:rsidRPr="00C86111" w:rsidRDefault="00201FE9" w:rsidP="00BC765B">
            <w:pPr>
              <w:jc w:val="both"/>
              <w:rPr>
                <w:rFonts w:asciiTheme="minorHAnsi" w:hAnsiTheme="minorHAnsi" w:cstheme="minorHAnsi"/>
                <w:color w:val="auto"/>
                <w:szCs w:val="24"/>
              </w:rPr>
            </w:pPr>
            <w:bookmarkStart w:id="47" w:name="_Hlk206663218"/>
            <w:r w:rsidRPr="00C86111">
              <w:rPr>
                <w:rFonts w:asciiTheme="minorHAnsi" w:hAnsiTheme="minorHAnsi" w:cstheme="minorHAnsi"/>
                <w:color w:val="auto"/>
                <w:szCs w:val="24"/>
              </w:rPr>
              <w:t>Godina</w:t>
            </w:r>
          </w:p>
        </w:tc>
        <w:tc>
          <w:tcPr>
            <w:tcW w:w="738" w:type="dxa"/>
          </w:tcPr>
          <w:p w14:paraId="1AC4F1F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2006</w:t>
            </w:r>
          </w:p>
        </w:tc>
        <w:tc>
          <w:tcPr>
            <w:tcW w:w="0" w:type="auto"/>
          </w:tcPr>
          <w:p w14:paraId="10835EE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2007</w:t>
            </w:r>
          </w:p>
        </w:tc>
        <w:tc>
          <w:tcPr>
            <w:tcW w:w="0" w:type="auto"/>
          </w:tcPr>
          <w:p w14:paraId="1ADBC8E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2008</w:t>
            </w:r>
          </w:p>
        </w:tc>
        <w:tc>
          <w:tcPr>
            <w:tcW w:w="0" w:type="auto"/>
          </w:tcPr>
          <w:p w14:paraId="7CB67C8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2009</w:t>
            </w:r>
          </w:p>
        </w:tc>
        <w:tc>
          <w:tcPr>
            <w:tcW w:w="0" w:type="auto"/>
          </w:tcPr>
          <w:p w14:paraId="7FD580D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2010</w:t>
            </w:r>
          </w:p>
        </w:tc>
        <w:tc>
          <w:tcPr>
            <w:tcW w:w="0" w:type="auto"/>
          </w:tcPr>
          <w:p w14:paraId="3CBBD05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2011</w:t>
            </w:r>
          </w:p>
        </w:tc>
        <w:tc>
          <w:tcPr>
            <w:tcW w:w="0" w:type="auto"/>
          </w:tcPr>
          <w:p w14:paraId="0C3410D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2012</w:t>
            </w:r>
          </w:p>
        </w:tc>
        <w:tc>
          <w:tcPr>
            <w:tcW w:w="0" w:type="auto"/>
          </w:tcPr>
          <w:p w14:paraId="4476D84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2013</w:t>
            </w:r>
          </w:p>
        </w:tc>
        <w:tc>
          <w:tcPr>
            <w:tcW w:w="913" w:type="dxa"/>
          </w:tcPr>
          <w:p w14:paraId="1E54034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2014</w:t>
            </w:r>
          </w:p>
        </w:tc>
      </w:tr>
      <w:bookmarkEnd w:id="47"/>
      <w:tr w:rsidR="00201FE9" w:rsidRPr="00C86111" w14:paraId="1C0CE36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76064B2B" w14:textId="77777777" w:rsidR="00201FE9" w:rsidRPr="00C86111" w:rsidRDefault="00201FE9" w:rsidP="00BC765B">
            <w:pPr>
              <w:jc w:val="both"/>
              <w:rPr>
                <w:rFonts w:asciiTheme="minorHAnsi" w:hAnsiTheme="minorHAnsi" w:cstheme="minorHAnsi"/>
                <w:color w:val="auto"/>
                <w:szCs w:val="24"/>
              </w:rPr>
            </w:pPr>
            <w:r w:rsidRPr="00C86111">
              <w:rPr>
                <w:rFonts w:asciiTheme="minorHAnsi" w:hAnsiTheme="minorHAnsi" w:cstheme="minorHAnsi"/>
                <w:color w:val="auto"/>
                <w:szCs w:val="24"/>
              </w:rPr>
              <w:t>PCDD/PCDF, gTEQ</w:t>
            </w:r>
          </w:p>
        </w:tc>
        <w:tc>
          <w:tcPr>
            <w:tcW w:w="738" w:type="dxa"/>
          </w:tcPr>
          <w:p w14:paraId="6A7E9CA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54</w:t>
            </w:r>
          </w:p>
        </w:tc>
        <w:tc>
          <w:tcPr>
            <w:tcW w:w="0" w:type="auto"/>
          </w:tcPr>
          <w:p w14:paraId="164D234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56</w:t>
            </w:r>
          </w:p>
        </w:tc>
        <w:tc>
          <w:tcPr>
            <w:tcW w:w="0" w:type="auto"/>
          </w:tcPr>
          <w:p w14:paraId="284EA4B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47</w:t>
            </w:r>
          </w:p>
        </w:tc>
        <w:tc>
          <w:tcPr>
            <w:tcW w:w="0" w:type="auto"/>
          </w:tcPr>
          <w:p w14:paraId="6C1114F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46</w:t>
            </w:r>
          </w:p>
        </w:tc>
        <w:tc>
          <w:tcPr>
            <w:tcW w:w="0" w:type="auto"/>
          </w:tcPr>
          <w:p w14:paraId="665DE21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43</w:t>
            </w:r>
          </w:p>
        </w:tc>
        <w:tc>
          <w:tcPr>
            <w:tcW w:w="0" w:type="auto"/>
          </w:tcPr>
          <w:p w14:paraId="3AB7FD4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42</w:t>
            </w:r>
          </w:p>
        </w:tc>
        <w:tc>
          <w:tcPr>
            <w:tcW w:w="0" w:type="auto"/>
          </w:tcPr>
          <w:p w14:paraId="3F7B591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30</w:t>
            </w:r>
          </w:p>
        </w:tc>
        <w:tc>
          <w:tcPr>
            <w:tcW w:w="0" w:type="auto"/>
          </w:tcPr>
          <w:p w14:paraId="7A1697B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23</w:t>
            </w:r>
          </w:p>
        </w:tc>
        <w:tc>
          <w:tcPr>
            <w:tcW w:w="913" w:type="dxa"/>
          </w:tcPr>
          <w:p w14:paraId="4FC6E35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28</w:t>
            </w:r>
          </w:p>
        </w:tc>
      </w:tr>
      <w:tr w:rsidR="00201FE9" w:rsidRPr="00C86111" w14:paraId="1ACDA3F3" w14:textId="77777777" w:rsidTr="00BC765B">
        <w:tc>
          <w:tcPr>
            <w:cnfStyle w:val="001000000000" w:firstRow="0" w:lastRow="0" w:firstColumn="1" w:lastColumn="0" w:oddVBand="0" w:evenVBand="0" w:oddHBand="0" w:evenHBand="0" w:firstRowFirstColumn="0" w:firstRowLastColumn="0" w:lastRowFirstColumn="0" w:lastRowLastColumn="0"/>
            <w:tcW w:w="1834" w:type="dxa"/>
          </w:tcPr>
          <w:p w14:paraId="357D2CAE" w14:textId="77777777" w:rsidR="00201FE9" w:rsidRPr="00C86111" w:rsidRDefault="00201FE9" w:rsidP="00BC765B">
            <w:pPr>
              <w:jc w:val="both"/>
              <w:rPr>
                <w:rFonts w:asciiTheme="minorHAnsi" w:hAnsiTheme="minorHAnsi" w:cstheme="minorHAnsi"/>
                <w:color w:val="auto"/>
                <w:szCs w:val="24"/>
              </w:rPr>
            </w:pPr>
            <w:r w:rsidRPr="00C86111">
              <w:rPr>
                <w:rFonts w:asciiTheme="minorHAnsi" w:hAnsiTheme="minorHAnsi" w:cstheme="minorHAnsi"/>
                <w:color w:val="auto"/>
                <w:szCs w:val="24"/>
              </w:rPr>
              <w:t>Godina</w:t>
            </w:r>
          </w:p>
        </w:tc>
        <w:tc>
          <w:tcPr>
            <w:tcW w:w="738" w:type="dxa"/>
          </w:tcPr>
          <w:p w14:paraId="1E27DA8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2015</w:t>
            </w:r>
          </w:p>
        </w:tc>
        <w:tc>
          <w:tcPr>
            <w:tcW w:w="0" w:type="auto"/>
          </w:tcPr>
          <w:p w14:paraId="79F6C27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2016</w:t>
            </w:r>
          </w:p>
        </w:tc>
        <w:tc>
          <w:tcPr>
            <w:tcW w:w="0" w:type="auto"/>
          </w:tcPr>
          <w:p w14:paraId="0A8FE24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2017</w:t>
            </w:r>
          </w:p>
        </w:tc>
        <w:tc>
          <w:tcPr>
            <w:tcW w:w="0" w:type="auto"/>
          </w:tcPr>
          <w:p w14:paraId="4CE9299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2018</w:t>
            </w:r>
          </w:p>
        </w:tc>
        <w:tc>
          <w:tcPr>
            <w:tcW w:w="0" w:type="auto"/>
          </w:tcPr>
          <w:p w14:paraId="27ED779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2019</w:t>
            </w:r>
          </w:p>
        </w:tc>
        <w:tc>
          <w:tcPr>
            <w:tcW w:w="0" w:type="auto"/>
          </w:tcPr>
          <w:p w14:paraId="5C11F81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2020</w:t>
            </w:r>
          </w:p>
        </w:tc>
        <w:tc>
          <w:tcPr>
            <w:tcW w:w="0" w:type="auto"/>
          </w:tcPr>
          <w:p w14:paraId="38670CC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2021</w:t>
            </w:r>
          </w:p>
        </w:tc>
        <w:tc>
          <w:tcPr>
            <w:tcW w:w="0" w:type="auto"/>
          </w:tcPr>
          <w:p w14:paraId="64611AC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2022</w:t>
            </w:r>
          </w:p>
        </w:tc>
        <w:tc>
          <w:tcPr>
            <w:tcW w:w="913" w:type="dxa"/>
          </w:tcPr>
          <w:p w14:paraId="7C4C6BB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Cs w:val="24"/>
              </w:rPr>
            </w:pPr>
            <w:r w:rsidRPr="00C86111">
              <w:rPr>
                <w:rFonts w:asciiTheme="minorHAnsi" w:hAnsiTheme="minorHAnsi" w:cstheme="minorHAnsi"/>
                <w:b/>
                <w:bCs/>
                <w:color w:val="auto"/>
                <w:szCs w:val="24"/>
              </w:rPr>
              <w:t>2023</w:t>
            </w:r>
          </w:p>
        </w:tc>
      </w:tr>
      <w:tr w:rsidR="00201FE9" w:rsidRPr="00C86111" w14:paraId="4F91E36D"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5E1771F9" w14:textId="77777777" w:rsidR="00201FE9" w:rsidRPr="00C86111" w:rsidRDefault="00201FE9" w:rsidP="00BC765B">
            <w:pPr>
              <w:jc w:val="both"/>
              <w:rPr>
                <w:rFonts w:asciiTheme="minorHAnsi" w:hAnsiTheme="minorHAnsi" w:cstheme="minorHAnsi"/>
                <w:color w:val="auto"/>
                <w:szCs w:val="24"/>
              </w:rPr>
            </w:pPr>
            <w:r w:rsidRPr="00C86111">
              <w:rPr>
                <w:rFonts w:asciiTheme="minorHAnsi" w:hAnsiTheme="minorHAnsi" w:cstheme="minorHAnsi"/>
                <w:color w:val="auto"/>
                <w:szCs w:val="24"/>
              </w:rPr>
              <w:t>PCDD/PCDF, gTEQ</w:t>
            </w:r>
          </w:p>
        </w:tc>
        <w:tc>
          <w:tcPr>
            <w:tcW w:w="738" w:type="dxa"/>
          </w:tcPr>
          <w:p w14:paraId="447C4F5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30</w:t>
            </w:r>
          </w:p>
        </w:tc>
        <w:tc>
          <w:tcPr>
            <w:tcW w:w="0" w:type="auto"/>
          </w:tcPr>
          <w:p w14:paraId="6FFCE6C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29</w:t>
            </w:r>
          </w:p>
        </w:tc>
        <w:tc>
          <w:tcPr>
            <w:tcW w:w="0" w:type="auto"/>
          </w:tcPr>
          <w:p w14:paraId="542DDA7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28</w:t>
            </w:r>
          </w:p>
        </w:tc>
        <w:tc>
          <w:tcPr>
            <w:tcW w:w="0" w:type="auto"/>
          </w:tcPr>
          <w:p w14:paraId="7E22415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28</w:t>
            </w:r>
          </w:p>
        </w:tc>
        <w:tc>
          <w:tcPr>
            <w:tcW w:w="0" w:type="auto"/>
          </w:tcPr>
          <w:p w14:paraId="0330D4F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29</w:t>
            </w:r>
          </w:p>
        </w:tc>
        <w:tc>
          <w:tcPr>
            <w:tcW w:w="0" w:type="auto"/>
          </w:tcPr>
          <w:p w14:paraId="0365AF4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29</w:t>
            </w:r>
          </w:p>
        </w:tc>
        <w:tc>
          <w:tcPr>
            <w:tcW w:w="0" w:type="auto"/>
          </w:tcPr>
          <w:p w14:paraId="6F01806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28</w:t>
            </w:r>
          </w:p>
        </w:tc>
        <w:tc>
          <w:tcPr>
            <w:tcW w:w="0" w:type="auto"/>
          </w:tcPr>
          <w:p w14:paraId="27A7987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29</w:t>
            </w:r>
          </w:p>
        </w:tc>
        <w:tc>
          <w:tcPr>
            <w:tcW w:w="913" w:type="dxa"/>
          </w:tcPr>
          <w:p w14:paraId="639112F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4"/>
              </w:rPr>
            </w:pPr>
            <w:r w:rsidRPr="00C86111">
              <w:rPr>
                <w:rFonts w:asciiTheme="minorHAnsi" w:hAnsiTheme="minorHAnsi" w:cstheme="minorHAnsi"/>
                <w:color w:val="auto"/>
                <w:szCs w:val="24"/>
              </w:rPr>
              <w:t>/</w:t>
            </w:r>
          </w:p>
        </w:tc>
      </w:tr>
    </w:tbl>
    <w:p w14:paraId="2ACEA7F0"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noProof/>
          <w:color w:val="auto"/>
          <w:szCs w:val="24"/>
        </w:rPr>
        <w:lastRenderedPageBreak/>
        <w:drawing>
          <wp:inline distT="0" distB="0" distL="0" distR="0" wp14:anchorId="3BA49558" wp14:editId="3402165A">
            <wp:extent cx="5737860" cy="2347768"/>
            <wp:effectExtent l="0" t="0" r="15240" b="14605"/>
            <wp:docPr id="530319526" name="Chart 1">
              <a:extLst xmlns:a="http://schemas.openxmlformats.org/drawingml/2006/main">
                <a:ext uri="{FF2B5EF4-FFF2-40B4-BE49-F238E27FC236}">
                  <a16:creationId xmlns:a16="http://schemas.microsoft.com/office/drawing/2014/main" id="{FAD4B0EE-CC27-A9CC-C4B5-F4C4D6EA6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BBFE96" w14:textId="77777777" w:rsidR="004C4490" w:rsidRPr="00C86111" w:rsidRDefault="004C4490" w:rsidP="004C4490">
      <w:pPr>
        <w:pStyle w:val="Grafikon"/>
        <w:numPr>
          <w:ilvl w:val="0"/>
          <w:numId w:val="0"/>
        </w:numPr>
        <w:jc w:val="both"/>
        <w:rPr>
          <w:rFonts w:asciiTheme="minorHAnsi" w:hAnsiTheme="minorHAnsi" w:cstheme="minorHAnsi"/>
          <w:b/>
          <w:bCs/>
          <w:i w:val="0"/>
          <w:iCs/>
          <w:sz w:val="24"/>
          <w:lang w:val="sr-Latn-RS"/>
        </w:rPr>
      </w:pPr>
    </w:p>
    <w:p w14:paraId="550D65C6" w14:textId="0988E074" w:rsidR="00201FE9" w:rsidRPr="00C86111" w:rsidRDefault="004C4490" w:rsidP="004C4490">
      <w:pPr>
        <w:pStyle w:val="Grafikon"/>
        <w:numPr>
          <w:ilvl w:val="0"/>
          <w:numId w:val="0"/>
        </w:numPr>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Grafik 1.</w:t>
      </w:r>
      <w:r w:rsidRPr="00C86111">
        <w:rPr>
          <w:rFonts w:asciiTheme="minorHAnsi" w:hAnsiTheme="minorHAnsi" w:cstheme="minorHAnsi"/>
          <w:sz w:val="24"/>
          <w:lang w:val="sr-Latn-RS"/>
        </w:rPr>
        <w:t xml:space="preserve"> </w:t>
      </w:r>
      <w:r w:rsidR="00201FE9" w:rsidRPr="00C86111">
        <w:rPr>
          <w:rFonts w:asciiTheme="minorHAnsi" w:hAnsiTheme="minorHAnsi" w:cstheme="minorHAnsi"/>
          <w:i w:val="0"/>
          <w:iCs/>
          <w:sz w:val="24"/>
          <w:lang w:val="sr-Latn-RS"/>
        </w:rPr>
        <w:t xml:space="preserve">Ukupne godišnje </w:t>
      </w:r>
      <w:r w:rsidR="000D1995" w:rsidRPr="00C86111">
        <w:rPr>
          <w:rFonts w:asciiTheme="minorHAnsi" w:hAnsiTheme="minorHAnsi" w:cstheme="minorHAnsi"/>
          <w:i w:val="0"/>
          <w:iCs/>
          <w:sz w:val="24"/>
          <w:lang w:val="sr-Latn-RS"/>
        </w:rPr>
        <w:t>emisije</w:t>
      </w:r>
      <w:r w:rsidR="00201FE9" w:rsidRPr="00C86111">
        <w:rPr>
          <w:rFonts w:asciiTheme="minorHAnsi" w:hAnsiTheme="minorHAnsi" w:cstheme="minorHAnsi"/>
          <w:i w:val="0"/>
          <w:iCs/>
          <w:sz w:val="24"/>
          <w:lang w:val="sr-Latn-RS"/>
        </w:rPr>
        <w:t xml:space="preserve"> dioksina i furana (PCDD/PCDF), 2006-2022. godina (gTEQ)</w:t>
      </w:r>
    </w:p>
    <w:p w14:paraId="36D35612" w14:textId="77777777" w:rsidR="00375D24" w:rsidRPr="00C86111" w:rsidRDefault="00375D24" w:rsidP="00201FE9">
      <w:pPr>
        <w:jc w:val="both"/>
        <w:rPr>
          <w:rFonts w:asciiTheme="minorHAnsi" w:hAnsiTheme="minorHAnsi" w:cstheme="minorHAnsi"/>
          <w:color w:val="auto"/>
          <w:szCs w:val="24"/>
        </w:rPr>
      </w:pPr>
    </w:p>
    <w:p w14:paraId="7E06309F" w14:textId="4279EE04"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Procijenjena je ukupna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svaki medijum pojedinačno kako je preporučila UNEP metodologija. Ukupne godišnje emisije POP’s u vazduh, vodu, zemljište, proizvode i ostatke iz procesa proizvodnje, prikazane su </w:t>
      </w:r>
      <w:r w:rsidR="004748D1" w:rsidRPr="00C86111">
        <w:rPr>
          <w:rFonts w:asciiTheme="minorHAnsi" w:hAnsiTheme="minorHAnsi" w:cstheme="minorHAnsi"/>
          <w:color w:val="auto"/>
          <w:szCs w:val="24"/>
        </w:rPr>
        <w:t xml:space="preserve">u </w:t>
      </w:r>
      <w:r w:rsidRPr="00C86111">
        <w:rPr>
          <w:rFonts w:asciiTheme="minorHAnsi" w:hAnsiTheme="minorHAnsi" w:cstheme="minorHAnsi"/>
          <w:color w:val="auto"/>
          <w:szCs w:val="24"/>
        </w:rPr>
        <w:t>tabel</w:t>
      </w:r>
      <w:r w:rsidR="004748D1" w:rsidRPr="00C86111">
        <w:rPr>
          <w:rFonts w:asciiTheme="minorHAnsi" w:hAnsiTheme="minorHAnsi" w:cstheme="minorHAnsi"/>
          <w:color w:val="auto"/>
          <w:szCs w:val="24"/>
        </w:rPr>
        <w:t>i</w:t>
      </w:r>
      <w:r w:rsidRPr="00C86111">
        <w:rPr>
          <w:rFonts w:asciiTheme="minorHAnsi" w:hAnsiTheme="minorHAnsi" w:cstheme="minorHAnsi"/>
          <w:color w:val="auto"/>
          <w:szCs w:val="24"/>
        </w:rPr>
        <w:t xml:space="preserve"> 2. i grafik</w:t>
      </w:r>
      <w:r w:rsidR="004748D1" w:rsidRPr="00C86111">
        <w:rPr>
          <w:rFonts w:asciiTheme="minorHAnsi" w:hAnsiTheme="minorHAnsi" w:cstheme="minorHAnsi"/>
          <w:color w:val="auto"/>
          <w:szCs w:val="24"/>
        </w:rPr>
        <w:t xml:space="preserve">u </w:t>
      </w:r>
      <w:r w:rsidRPr="00C86111">
        <w:rPr>
          <w:rFonts w:asciiTheme="minorHAnsi" w:hAnsiTheme="minorHAnsi" w:cstheme="minorHAnsi"/>
          <w:color w:val="auto"/>
          <w:szCs w:val="24"/>
        </w:rPr>
        <w:t>2. Zapaža se da se najviše POP’s emituje u vazduh.</w:t>
      </w:r>
    </w:p>
    <w:p w14:paraId="4E843FD8" w14:textId="77777777" w:rsidR="00201FE9" w:rsidRPr="00C86111" w:rsidRDefault="00201FE9" w:rsidP="00201FE9">
      <w:pPr>
        <w:jc w:val="both"/>
        <w:rPr>
          <w:rFonts w:asciiTheme="minorHAnsi" w:hAnsiTheme="minorHAnsi" w:cstheme="minorHAnsi"/>
          <w:color w:val="auto"/>
          <w:szCs w:val="24"/>
        </w:rPr>
      </w:pPr>
    </w:p>
    <w:p w14:paraId="790384D1" w14:textId="6B2601A5" w:rsidR="00201FE9" w:rsidRPr="00C86111" w:rsidRDefault="00201FE9" w:rsidP="00201FE9">
      <w:pPr>
        <w:pStyle w:val="Tabele"/>
        <w:numPr>
          <w:ilvl w:val="0"/>
          <w:numId w:val="0"/>
        </w:numPr>
        <w:spacing w:before="0" w:after="120"/>
        <w:ind w:left="90" w:hanging="90"/>
        <w:jc w:val="both"/>
        <w:rPr>
          <w:rFonts w:asciiTheme="minorHAnsi" w:hAnsiTheme="minorHAnsi" w:cstheme="minorHAnsi"/>
          <w:i w:val="0"/>
          <w:sz w:val="24"/>
          <w:lang w:val="sr-Latn-RS"/>
        </w:rPr>
      </w:pPr>
      <w:bookmarkStart w:id="48" w:name="_Hlk206664839"/>
      <w:r w:rsidRPr="00C86111">
        <w:rPr>
          <w:rFonts w:asciiTheme="minorHAnsi" w:hAnsiTheme="minorHAnsi" w:cstheme="minorHAnsi"/>
          <w:b/>
          <w:bCs/>
          <w:i w:val="0"/>
          <w:sz w:val="24"/>
          <w:lang w:val="sr-Latn-RS"/>
        </w:rPr>
        <w:t xml:space="preserve">Tabela </w:t>
      </w:r>
      <w:r w:rsidR="004748D1" w:rsidRPr="00C86111">
        <w:rPr>
          <w:rFonts w:asciiTheme="minorHAnsi" w:hAnsiTheme="minorHAnsi" w:cstheme="minorHAnsi"/>
          <w:b/>
          <w:bCs/>
          <w:i w:val="0"/>
          <w:sz w:val="24"/>
          <w:lang w:val="sr-Latn-RS"/>
        </w:rPr>
        <w:t>1</w:t>
      </w:r>
      <w:r w:rsidRPr="00C86111">
        <w:rPr>
          <w:rFonts w:asciiTheme="minorHAnsi" w:hAnsiTheme="minorHAnsi" w:cstheme="minorHAnsi"/>
          <w:b/>
          <w:bCs/>
          <w:i w:val="0"/>
          <w:sz w:val="24"/>
          <w:lang w:val="sr-Latn-RS"/>
        </w:rPr>
        <w:t>2.</w:t>
      </w:r>
      <w:r w:rsidRPr="00C86111">
        <w:rPr>
          <w:rFonts w:asciiTheme="minorHAnsi" w:hAnsiTheme="minorHAnsi" w:cstheme="minorHAnsi"/>
          <w:i w:val="0"/>
          <w:sz w:val="24"/>
          <w:lang w:val="sr-Latn-RS"/>
        </w:rPr>
        <w:t xml:space="preserve"> Ukupne godišnje </w:t>
      </w:r>
      <w:r w:rsidR="000D1995" w:rsidRPr="00C86111">
        <w:rPr>
          <w:rFonts w:asciiTheme="minorHAnsi" w:hAnsiTheme="minorHAnsi" w:cstheme="minorHAnsi"/>
          <w:i w:val="0"/>
          <w:sz w:val="24"/>
          <w:lang w:val="sr-Latn-RS"/>
        </w:rPr>
        <w:t>emisije</w:t>
      </w:r>
      <w:r w:rsidRPr="00C86111">
        <w:rPr>
          <w:rFonts w:asciiTheme="minorHAnsi" w:hAnsiTheme="minorHAnsi" w:cstheme="minorHAnsi"/>
          <w:i w:val="0"/>
          <w:sz w:val="24"/>
          <w:lang w:val="sr-Latn-RS"/>
        </w:rPr>
        <w:t xml:space="preserve"> dioksina i furana (PCDD/PCDF) u vazduh, vodu, zemljište, proizvode i ostatke od proizvodnih procesa,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3B389E53"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bookmarkEnd w:id="48"/>
          <w:p w14:paraId="2779E722"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0AA4C4B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6E1A7CC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0931231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3D1C636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051E40C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74A814B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6F309FE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37743E4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0187363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6E7BB2BC"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61E99A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5EF9E6F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36.2</w:t>
            </w:r>
          </w:p>
        </w:tc>
        <w:tc>
          <w:tcPr>
            <w:tcW w:w="780" w:type="dxa"/>
          </w:tcPr>
          <w:p w14:paraId="341DCA1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36.1</w:t>
            </w:r>
          </w:p>
        </w:tc>
        <w:tc>
          <w:tcPr>
            <w:tcW w:w="779" w:type="dxa"/>
          </w:tcPr>
          <w:p w14:paraId="75DF086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28.0</w:t>
            </w:r>
          </w:p>
        </w:tc>
        <w:tc>
          <w:tcPr>
            <w:tcW w:w="779" w:type="dxa"/>
          </w:tcPr>
          <w:p w14:paraId="08526A2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28.8</w:t>
            </w:r>
          </w:p>
        </w:tc>
        <w:tc>
          <w:tcPr>
            <w:tcW w:w="779" w:type="dxa"/>
          </w:tcPr>
          <w:p w14:paraId="5CBE40A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27.6</w:t>
            </w:r>
          </w:p>
        </w:tc>
        <w:tc>
          <w:tcPr>
            <w:tcW w:w="779" w:type="dxa"/>
          </w:tcPr>
          <w:p w14:paraId="09C2A67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26.9</w:t>
            </w:r>
          </w:p>
        </w:tc>
        <w:tc>
          <w:tcPr>
            <w:tcW w:w="779" w:type="dxa"/>
          </w:tcPr>
          <w:p w14:paraId="0B785F9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16.0</w:t>
            </w:r>
          </w:p>
        </w:tc>
        <w:tc>
          <w:tcPr>
            <w:tcW w:w="779" w:type="dxa"/>
          </w:tcPr>
          <w:p w14:paraId="23F73D0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9.7</w:t>
            </w:r>
          </w:p>
        </w:tc>
        <w:tc>
          <w:tcPr>
            <w:tcW w:w="779" w:type="dxa"/>
          </w:tcPr>
          <w:p w14:paraId="5EEE13D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12.6</w:t>
            </w:r>
          </w:p>
        </w:tc>
      </w:tr>
      <w:tr w:rsidR="00201FE9" w:rsidRPr="00C86111" w14:paraId="1ABDF86A"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A84C6C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Voda</w:t>
            </w:r>
          </w:p>
        </w:tc>
        <w:tc>
          <w:tcPr>
            <w:tcW w:w="768" w:type="dxa"/>
          </w:tcPr>
          <w:p w14:paraId="72CA196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80" w:type="dxa"/>
          </w:tcPr>
          <w:p w14:paraId="4E3D7A3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9" w:type="dxa"/>
          </w:tcPr>
          <w:p w14:paraId="27860B6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5C7091E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659A7E8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72F49D3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2D402C3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11ECD66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45E91B0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r>
      <w:tr w:rsidR="00201FE9" w:rsidRPr="00C86111" w14:paraId="3E1FF359" w14:textId="77777777" w:rsidTr="00BC765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784" w:type="dxa"/>
          </w:tcPr>
          <w:p w14:paraId="04EFC870"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Zemljište</w:t>
            </w:r>
          </w:p>
        </w:tc>
        <w:tc>
          <w:tcPr>
            <w:tcW w:w="768" w:type="dxa"/>
          </w:tcPr>
          <w:p w14:paraId="7DE9209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780" w:type="dxa"/>
          </w:tcPr>
          <w:p w14:paraId="7393372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779" w:type="dxa"/>
          </w:tcPr>
          <w:p w14:paraId="71B7193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0.9</w:t>
            </w:r>
          </w:p>
        </w:tc>
        <w:tc>
          <w:tcPr>
            <w:tcW w:w="779" w:type="dxa"/>
          </w:tcPr>
          <w:p w14:paraId="1850768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779" w:type="dxa"/>
          </w:tcPr>
          <w:p w14:paraId="61DF0D0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779" w:type="dxa"/>
          </w:tcPr>
          <w:p w14:paraId="4502A68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779" w:type="dxa"/>
          </w:tcPr>
          <w:p w14:paraId="11BC11C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779" w:type="dxa"/>
          </w:tcPr>
          <w:p w14:paraId="77025BE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w:t>
            </w:r>
          </w:p>
        </w:tc>
        <w:tc>
          <w:tcPr>
            <w:tcW w:w="779" w:type="dxa"/>
          </w:tcPr>
          <w:p w14:paraId="308D772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r>
      <w:tr w:rsidR="00201FE9" w:rsidRPr="00C86111" w14:paraId="25B6847C"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AC7664F"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Proizvodi</w:t>
            </w:r>
          </w:p>
        </w:tc>
        <w:tc>
          <w:tcPr>
            <w:tcW w:w="768" w:type="dxa"/>
          </w:tcPr>
          <w:p w14:paraId="7EACE1C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80" w:type="dxa"/>
          </w:tcPr>
          <w:p w14:paraId="495D891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246151C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448B4D5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2F2384E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00ADB05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2253A69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7E2AE1A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4E1F66C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r>
      <w:tr w:rsidR="00201FE9" w:rsidRPr="00C86111" w14:paraId="63D036FD"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605589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7625A1D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16.4</w:t>
            </w:r>
          </w:p>
        </w:tc>
        <w:tc>
          <w:tcPr>
            <w:tcW w:w="780" w:type="dxa"/>
          </w:tcPr>
          <w:p w14:paraId="1CBF1D1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18.2</w:t>
            </w:r>
          </w:p>
        </w:tc>
        <w:tc>
          <w:tcPr>
            <w:tcW w:w="779" w:type="dxa"/>
          </w:tcPr>
          <w:p w14:paraId="6ACB964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17.6</w:t>
            </w:r>
          </w:p>
        </w:tc>
        <w:tc>
          <w:tcPr>
            <w:tcW w:w="779" w:type="dxa"/>
          </w:tcPr>
          <w:p w14:paraId="1F501D7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16.2</w:t>
            </w:r>
          </w:p>
        </w:tc>
        <w:tc>
          <w:tcPr>
            <w:tcW w:w="779" w:type="dxa"/>
          </w:tcPr>
          <w:p w14:paraId="5F87671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14.6</w:t>
            </w:r>
          </w:p>
        </w:tc>
        <w:tc>
          <w:tcPr>
            <w:tcW w:w="779" w:type="dxa"/>
          </w:tcPr>
          <w:p w14:paraId="688C0AF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14.2</w:t>
            </w:r>
          </w:p>
        </w:tc>
        <w:tc>
          <w:tcPr>
            <w:tcW w:w="779" w:type="dxa"/>
          </w:tcPr>
          <w:p w14:paraId="5F8EA05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13.4</w:t>
            </w:r>
          </w:p>
        </w:tc>
        <w:tc>
          <w:tcPr>
            <w:tcW w:w="779" w:type="dxa"/>
          </w:tcPr>
          <w:p w14:paraId="7DAA234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13.1</w:t>
            </w:r>
          </w:p>
        </w:tc>
        <w:tc>
          <w:tcPr>
            <w:tcW w:w="779" w:type="dxa"/>
          </w:tcPr>
          <w:p w14:paraId="0318A72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14.7</w:t>
            </w:r>
          </w:p>
        </w:tc>
      </w:tr>
      <w:tr w:rsidR="00201FE9" w:rsidRPr="00C86111" w14:paraId="64970FA1"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5DA62E0"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6610097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1048B94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50F8D3D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74E3293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49B1A5A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3F2C129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18D2036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4BDA148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08529E7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C2949E6"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23F74C0"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276E946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13.7</w:t>
            </w:r>
          </w:p>
        </w:tc>
        <w:tc>
          <w:tcPr>
            <w:tcW w:w="780" w:type="dxa"/>
          </w:tcPr>
          <w:p w14:paraId="583F5B0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13.2</w:t>
            </w:r>
          </w:p>
        </w:tc>
        <w:tc>
          <w:tcPr>
            <w:tcW w:w="779" w:type="dxa"/>
          </w:tcPr>
          <w:p w14:paraId="1193025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13.2</w:t>
            </w:r>
          </w:p>
        </w:tc>
        <w:tc>
          <w:tcPr>
            <w:tcW w:w="779" w:type="dxa"/>
          </w:tcPr>
          <w:p w14:paraId="4FCCA5C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w:t>
            </w:r>
          </w:p>
        </w:tc>
        <w:tc>
          <w:tcPr>
            <w:tcW w:w="779" w:type="dxa"/>
          </w:tcPr>
          <w:p w14:paraId="7901BB8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w:t>
            </w:r>
          </w:p>
        </w:tc>
        <w:tc>
          <w:tcPr>
            <w:tcW w:w="779" w:type="dxa"/>
          </w:tcPr>
          <w:p w14:paraId="528344B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w:t>
            </w:r>
          </w:p>
        </w:tc>
        <w:tc>
          <w:tcPr>
            <w:tcW w:w="779" w:type="dxa"/>
          </w:tcPr>
          <w:p w14:paraId="10F0F0B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w:t>
            </w:r>
          </w:p>
        </w:tc>
        <w:tc>
          <w:tcPr>
            <w:tcW w:w="779" w:type="dxa"/>
          </w:tcPr>
          <w:p w14:paraId="064E443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12.9</w:t>
            </w:r>
          </w:p>
        </w:tc>
        <w:tc>
          <w:tcPr>
            <w:tcW w:w="779" w:type="dxa"/>
          </w:tcPr>
          <w:p w14:paraId="039CA9C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514C0363"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704CEE7"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Voda</w:t>
            </w:r>
          </w:p>
        </w:tc>
        <w:tc>
          <w:tcPr>
            <w:tcW w:w="768" w:type="dxa"/>
          </w:tcPr>
          <w:p w14:paraId="1E823F4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80" w:type="dxa"/>
          </w:tcPr>
          <w:p w14:paraId="05C3161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2833FF4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6DD5D94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3FFC79D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53DBF8D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38E5221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9" w:type="dxa"/>
          </w:tcPr>
          <w:p w14:paraId="495AE1F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9" w:type="dxa"/>
          </w:tcPr>
          <w:p w14:paraId="3E9ABCD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6F1F7FA7" w14:textId="77777777" w:rsidTr="00BC765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784" w:type="dxa"/>
          </w:tcPr>
          <w:p w14:paraId="6C2AC10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Zemljište</w:t>
            </w:r>
          </w:p>
        </w:tc>
        <w:tc>
          <w:tcPr>
            <w:tcW w:w="768" w:type="dxa"/>
          </w:tcPr>
          <w:p w14:paraId="3F3C487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w:t>
            </w:r>
          </w:p>
        </w:tc>
        <w:tc>
          <w:tcPr>
            <w:tcW w:w="780" w:type="dxa"/>
          </w:tcPr>
          <w:p w14:paraId="06B4E11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9" w:type="dxa"/>
          </w:tcPr>
          <w:p w14:paraId="642CCDE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9" w:type="dxa"/>
          </w:tcPr>
          <w:p w14:paraId="25E3215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9" w:type="dxa"/>
          </w:tcPr>
          <w:p w14:paraId="15837A2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9" w:type="dxa"/>
          </w:tcPr>
          <w:p w14:paraId="6FF0DDD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9" w:type="dxa"/>
          </w:tcPr>
          <w:p w14:paraId="067B4E2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9" w:type="dxa"/>
          </w:tcPr>
          <w:p w14:paraId="43713DB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9" w:type="dxa"/>
          </w:tcPr>
          <w:p w14:paraId="6A58E39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39AE5896"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2671102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Proizvodi</w:t>
            </w:r>
          </w:p>
        </w:tc>
        <w:tc>
          <w:tcPr>
            <w:tcW w:w="768" w:type="dxa"/>
          </w:tcPr>
          <w:p w14:paraId="5A862E0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80" w:type="dxa"/>
          </w:tcPr>
          <w:p w14:paraId="68A12F7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0AA6CF6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3C6FA73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226DD78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6AF2DA0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01A3BD1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01995D1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9" w:type="dxa"/>
          </w:tcPr>
          <w:p w14:paraId="7395175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73B3261E"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70893F2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5C48415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15.5</w:t>
            </w:r>
          </w:p>
        </w:tc>
        <w:tc>
          <w:tcPr>
            <w:tcW w:w="780" w:type="dxa"/>
          </w:tcPr>
          <w:p w14:paraId="5AFE700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14.7</w:t>
            </w:r>
          </w:p>
        </w:tc>
        <w:tc>
          <w:tcPr>
            <w:tcW w:w="779" w:type="dxa"/>
          </w:tcPr>
          <w:p w14:paraId="6E1BBD5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14.5</w:t>
            </w:r>
          </w:p>
        </w:tc>
        <w:tc>
          <w:tcPr>
            <w:tcW w:w="779" w:type="dxa"/>
          </w:tcPr>
          <w:p w14:paraId="393A95E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13.9</w:t>
            </w:r>
          </w:p>
        </w:tc>
        <w:tc>
          <w:tcPr>
            <w:tcW w:w="779" w:type="dxa"/>
          </w:tcPr>
          <w:p w14:paraId="1796ACA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14.9</w:t>
            </w:r>
          </w:p>
        </w:tc>
        <w:tc>
          <w:tcPr>
            <w:tcW w:w="779" w:type="dxa"/>
          </w:tcPr>
          <w:p w14:paraId="0A69FFF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14.9</w:t>
            </w:r>
          </w:p>
        </w:tc>
        <w:tc>
          <w:tcPr>
            <w:tcW w:w="779" w:type="dxa"/>
          </w:tcPr>
          <w:p w14:paraId="1F8DB89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14.5</w:t>
            </w:r>
          </w:p>
        </w:tc>
        <w:tc>
          <w:tcPr>
            <w:tcW w:w="779" w:type="dxa"/>
          </w:tcPr>
          <w:p w14:paraId="1AF051F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15.4</w:t>
            </w:r>
          </w:p>
        </w:tc>
        <w:tc>
          <w:tcPr>
            <w:tcW w:w="779" w:type="dxa"/>
          </w:tcPr>
          <w:p w14:paraId="1085AFB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3ACA4BE7" w14:textId="77777777" w:rsidR="00201FE9" w:rsidRPr="00C86111" w:rsidRDefault="00201FE9" w:rsidP="00201FE9">
      <w:pPr>
        <w:pStyle w:val="Grafikon"/>
        <w:numPr>
          <w:ilvl w:val="0"/>
          <w:numId w:val="0"/>
        </w:numPr>
        <w:ind w:left="360"/>
        <w:jc w:val="both"/>
        <w:rPr>
          <w:rFonts w:asciiTheme="minorHAnsi" w:hAnsiTheme="minorHAnsi" w:cstheme="minorHAnsi"/>
          <w:i w:val="0"/>
          <w:sz w:val="24"/>
          <w:lang w:val="sr-Latn-RS"/>
        </w:rPr>
      </w:pPr>
    </w:p>
    <w:p w14:paraId="7DCEB242"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noProof/>
          <w:color w:val="auto"/>
          <w:szCs w:val="24"/>
        </w:rPr>
        <w:lastRenderedPageBreak/>
        <w:drawing>
          <wp:inline distT="0" distB="0" distL="0" distR="0" wp14:anchorId="4F205C2D" wp14:editId="277D1041">
            <wp:extent cx="4572000" cy="2265218"/>
            <wp:effectExtent l="0" t="0" r="0" b="1905"/>
            <wp:docPr id="984997594" name="Chart 1">
              <a:extLst xmlns:a="http://schemas.openxmlformats.org/drawingml/2006/main">
                <a:ext uri="{FF2B5EF4-FFF2-40B4-BE49-F238E27FC236}">
                  <a16:creationId xmlns:a16="http://schemas.microsoft.com/office/drawing/2014/main" id="{6034CC19-9D43-F930-E386-15EB39344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AD7DEB" w14:textId="77777777" w:rsidR="004748D1" w:rsidRPr="00C86111" w:rsidRDefault="004748D1" w:rsidP="004748D1">
      <w:pPr>
        <w:pStyle w:val="Grafikon"/>
        <w:numPr>
          <w:ilvl w:val="0"/>
          <w:numId w:val="0"/>
        </w:numPr>
        <w:jc w:val="both"/>
        <w:rPr>
          <w:rFonts w:asciiTheme="minorHAnsi" w:hAnsiTheme="minorHAnsi" w:cstheme="minorHAnsi"/>
          <w:b/>
          <w:bCs/>
          <w:i w:val="0"/>
          <w:iCs/>
          <w:sz w:val="24"/>
          <w:lang w:val="sr-Latn-RS"/>
        </w:rPr>
      </w:pPr>
    </w:p>
    <w:p w14:paraId="7D9989E8" w14:textId="4DCF1623" w:rsidR="00201FE9" w:rsidRPr="00C86111" w:rsidRDefault="004748D1" w:rsidP="004748D1">
      <w:pPr>
        <w:pStyle w:val="Grafikon"/>
        <w:numPr>
          <w:ilvl w:val="0"/>
          <w:numId w:val="0"/>
        </w:numPr>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Grafik 2.</w:t>
      </w:r>
      <w:r w:rsidRPr="00C86111">
        <w:rPr>
          <w:rFonts w:asciiTheme="minorHAnsi" w:hAnsiTheme="minorHAnsi" w:cstheme="minorHAnsi"/>
          <w:i w:val="0"/>
          <w:iCs/>
          <w:sz w:val="24"/>
          <w:lang w:val="sr-Latn-RS"/>
        </w:rPr>
        <w:t xml:space="preserve"> </w:t>
      </w:r>
      <w:r w:rsidR="00201FE9" w:rsidRPr="00C86111">
        <w:rPr>
          <w:rFonts w:asciiTheme="minorHAnsi" w:hAnsiTheme="minorHAnsi" w:cstheme="minorHAnsi"/>
          <w:i w:val="0"/>
          <w:iCs/>
          <w:sz w:val="24"/>
          <w:lang w:val="sr-Latn-RS"/>
        </w:rPr>
        <w:t xml:space="preserve">Ukupne godišnje </w:t>
      </w:r>
      <w:r w:rsidR="000D1995" w:rsidRPr="00C86111">
        <w:rPr>
          <w:rFonts w:asciiTheme="minorHAnsi" w:hAnsiTheme="minorHAnsi" w:cstheme="minorHAnsi"/>
          <w:i w:val="0"/>
          <w:iCs/>
          <w:sz w:val="24"/>
          <w:lang w:val="sr-Latn-RS"/>
        </w:rPr>
        <w:t>emisije</w:t>
      </w:r>
      <w:r w:rsidR="00201FE9" w:rsidRPr="00C86111">
        <w:rPr>
          <w:rFonts w:asciiTheme="minorHAnsi" w:hAnsiTheme="minorHAnsi" w:cstheme="minorHAnsi"/>
          <w:i w:val="0"/>
          <w:iCs/>
          <w:sz w:val="24"/>
          <w:lang w:val="sr-Latn-RS"/>
        </w:rPr>
        <w:t xml:space="preserve"> dioksina i furana (PCDD/PCDF) u vazduh, vodu, zemljište, proizvode i ostatke od proizvodnih procesa, 2006-2022. godina (gTEQ/god)</w:t>
      </w:r>
    </w:p>
    <w:p w14:paraId="1AB4FA85" w14:textId="068826D6" w:rsidR="00201FE9" w:rsidRPr="00C86111" w:rsidRDefault="00201FE9" w:rsidP="00EA6904">
      <w:pPr>
        <w:pStyle w:val="Heading3"/>
      </w:pPr>
      <w:bookmarkStart w:id="49" w:name="_Toc501437747"/>
      <w:bookmarkStart w:id="50" w:name="_Toc220541875"/>
      <w:r w:rsidRPr="00C86111">
        <w:t xml:space="preserve">Procjene </w:t>
      </w:r>
      <w:r w:rsidR="000D1995" w:rsidRPr="00C86111">
        <w:t>emisije</w:t>
      </w:r>
      <w:r w:rsidRPr="00C86111">
        <w:t xml:space="preserve"> nenamjerno proizvedenih POP‘s (PCDD/PCDF) u vazduh</w:t>
      </w:r>
      <w:bookmarkEnd w:id="49"/>
      <w:r w:rsidRPr="00C86111">
        <w:t xml:space="preserve"> za period 2006 -2022. </w:t>
      </w:r>
      <w:r w:rsidR="004748D1" w:rsidRPr="00C86111">
        <w:t>Godina</w:t>
      </w:r>
      <w:bookmarkEnd w:id="50"/>
    </w:p>
    <w:p w14:paraId="5FBEDAF3" w14:textId="77777777" w:rsidR="004748D1" w:rsidRPr="00C86111" w:rsidRDefault="004748D1" w:rsidP="004748D1"/>
    <w:p w14:paraId="690BDF1D" w14:textId="086B6CAF"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Emisije POP’s u vazduh najvećim dijelom potiču iz procesa sa otvorenim sagorijevanjem a manjim dijelom iz proizvodnje teških i obojenih metala, proizvodnje toplotne i električne energije i proizvodnje mineralnih proizvoda (tabela </w:t>
      </w:r>
      <w:r w:rsidR="004748D1" w:rsidRPr="00C86111">
        <w:rPr>
          <w:rFonts w:asciiTheme="minorHAnsi" w:hAnsiTheme="minorHAnsi" w:cstheme="minorHAnsi"/>
          <w:color w:val="auto"/>
          <w:szCs w:val="24"/>
        </w:rPr>
        <w:t>1</w:t>
      </w:r>
      <w:r w:rsidRPr="00C86111">
        <w:rPr>
          <w:rFonts w:asciiTheme="minorHAnsi" w:hAnsiTheme="minorHAnsi" w:cstheme="minorHAnsi"/>
          <w:color w:val="auto"/>
          <w:szCs w:val="24"/>
        </w:rPr>
        <w:t>3.). Ostale aktivnosti unutar kategorija  ili ne dovode do emisija POP‘s u vazduh ili su zanemarljivo male.</w:t>
      </w:r>
    </w:p>
    <w:p w14:paraId="077B4BC8" w14:textId="77777777" w:rsidR="00201FE9" w:rsidRPr="00C86111" w:rsidRDefault="00201FE9" w:rsidP="00201FE9">
      <w:pPr>
        <w:jc w:val="both"/>
        <w:rPr>
          <w:rFonts w:asciiTheme="minorHAnsi" w:hAnsiTheme="minorHAnsi" w:cstheme="minorHAnsi"/>
          <w:color w:val="auto"/>
          <w:szCs w:val="24"/>
        </w:rPr>
      </w:pPr>
    </w:p>
    <w:p w14:paraId="2016EEE1" w14:textId="1C35356A" w:rsidR="00201FE9" w:rsidRPr="00C86111" w:rsidRDefault="00201FE9" w:rsidP="00201FE9">
      <w:pPr>
        <w:rPr>
          <w:lang w:val="sr-Latn-RS"/>
        </w:rPr>
      </w:pPr>
      <w:r w:rsidRPr="00C86111">
        <w:rPr>
          <w:b/>
          <w:bCs/>
          <w:lang w:val="sr-Latn-RS"/>
        </w:rPr>
        <w:t xml:space="preserve">Tabela </w:t>
      </w:r>
      <w:r w:rsidR="004748D1" w:rsidRPr="00C86111">
        <w:rPr>
          <w:b/>
          <w:bCs/>
          <w:lang w:val="sr-Latn-RS"/>
        </w:rPr>
        <w:t>1</w:t>
      </w:r>
      <w:r w:rsidRPr="00C86111">
        <w:rPr>
          <w:b/>
          <w:bCs/>
          <w:lang w:val="sr-Latn-RS"/>
        </w:rPr>
        <w:t>3.</w:t>
      </w:r>
      <w:r w:rsidRPr="00C86111">
        <w:rPr>
          <w:lang w:val="sr-Latn-RS"/>
        </w:rPr>
        <w:t>Godišnje emisije dioksina i furana (PCDD/PCDF) u vazduh. 2006-2022. godina (gTEQ/god)</w:t>
      </w:r>
    </w:p>
    <w:tbl>
      <w:tblPr>
        <w:tblStyle w:val="GridTable5Dark-Accent6"/>
        <w:tblW w:w="8941" w:type="dxa"/>
        <w:tblLayout w:type="fixed"/>
        <w:tblLook w:val="04A0" w:firstRow="1" w:lastRow="0" w:firstColumn="1" w:lastColumn="0" w:noHBand="0" w:noVBand="1"/>
      </w:tblPr>
      <w:tblGrid>
        <w:gridCol w:w="1969"/>
        <w:gridCol w:w="774"/>
        <w:gridCol w:w="775"/>
        <w:gridCol w:w="775"/>
        <w:gridCol w:w="774"/>
        <w:gridCol w:w="775"/>
        <w:gridCol w:w="775"/>
        <w:gridCol w:w="775"/>
        <w:gridCol w:w="774"/>
        <w:gridCol w:w="775"/>
      </w:tblGrid>
      <w:tr w:rsidR="00201FE9" w:rsidRPr="00C86111" w14:paraId="1B176E80" w14:textId="77777777" w:rsidTr="00BC765B">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9" w:type="dxa"/>
          </w:tcPr>
          <w:p w14:paraId="2AD7028F"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74" w:type="dxa"/>
          </w:tcPr>
          <w:p w14:paraId="1589F31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75" w:type="dxa"/>
          </w:tcPr>
          <w:p w14:paraId="68400D6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5" w:type="dxa"/>
          </w:tcPr>
          <w:p w14:paraId="7C4F03E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4" w:type="dxa"/>
          </w:tcPr>
          <w:p w14:paraId="7E55ACC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5" w:type="dxa"/>
          </w:tcPr>
          <w:p w14:paraId="37D3264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5" w:type="dxa"/>
          </w:tcPr>
          <w:p w14:paraId="3A70BB6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5" w:type="dxa"/>
          </w:tcPr>
          <w:p w14:paraId="11D3169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4" w:type="dxa"/>
          </w:tcPr>
          <w:p w14:paraId="6A15ADF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5" w:type="dxa"/>
          </w:tcPr>
          <w:p w14:paraId="5CBEB44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30926807" w14:textId="77777777" w:rsidTr="00BC76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9" w:type="dxa"/>
          </w:tcPr>
          <w:p w14:paraId="6CF6E263"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teških i obojenih metala</w:t>
            </w:r>
          </w:p>
        </w:tc>
        <w:tc>
          <w:tcPr>
            <w:tcW w:w="774" w:type="dxa"/>
          </w:tcPr>
          <w:p w14:paraId="5657F18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w:t>
            </w:r>
          </w:p>
        </w:tc>
        <w:tc>
          <w:tcPr>
            <w:tcW w:w="775" w:type="dxa"/>
          </w:tcPr>
          <w:p w14:paraId="06D9310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w:t>
            </w:r>
          </w:p>
        </w:tc>
        <w:tc>
          <w:tcPr>
            <w:tcW w:w="775" w:type="dxa"/>
          </w:tcPr>
          <w:p w14:paraId="553B2F8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w:t>
            </w:r>
          </w:p>
        </w:tc>
        <w:tc>
          <w:tcPr>
            <w:tcW w:w="774" w:type="dxa"/>
          </w:tcPr>
          <w:p w14:paraId="5A9B91F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775" w:type="dxa"/>
          </w:tcPr>
          <w:p w14:paraId="1D3C23A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w:t>
            </w:r>
          </w:p>
        </w:tc>
        <w:tc>
          <w:tcPr>
            <w:tcW w:w="775" w:type="dxa"/>
          </w:tcPr>
          <w:p w14:paraId="27306C8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w:t>
            </w:r>
          </w:p>
        </w:tc>
        <w:tc>
          <w:tcPr>
            <w:tcW w:w="775" w:type="dxa"/>
          </w:tcPr>
          <w:p w14:paraId="07BF322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4" w:type="dxa"/>
          </w:tcPr>
          <w:p w14:paraId="4CF30EB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2387ECC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r>
      <w:tr w:rsidR="00201FE9" w:rsidRPr="00C86111" w14:paraId="64BBF5A3" w14:textId="77777777" w:rsidTr="00BC765B">
        <w:trPr>
          <w:trHeight w:val="144"/>
        </w:trPr>
        <w:tc>
          <w:tcPr>
            <w:cnfStyle w:val="001000000000" w:firstRow="0" w:lastRow="0" w:firstColumn="1" w:lastColumn="0" w:oddVBand="0" w:evenVBand="0" w:oddHBand="0" w:evenHBand="0" w:firstRowFirstColumn="0" w:firstRowLastColumn="0" w:lastRowFirstColumn="0" w:lastRowLastColumn="0"/>
            <w:tcW w:w="1969" w:type="dxa"/>
          </w:tcPr>
          <w:p w14:paraId="7BADAC0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toplotne i električne energije</w:t>
            </w:r>
          </w:p>
        </w:tc>
        <w:tc>
          <w:tcPr>
            <w:tcW w:w="774" w:type="dxa"/>
          </w:tcPr>
          <w:p w14:paraId="50AE9B4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5" w:type="dxa"/>
          </w:tcPr>
          <w:p w14:paraId="5587FF4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5" w:type="dxa"/>
          </w:tcPr>
          <w:p w14:paraId="5D595D1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4" w:type="dxa"/>
          </w:tcPr>
          <w:p w14:paraId="4855702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5" w:type="dxa"/>
          </w:tcPr>
          <w:p w14:paraId="10BC93D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0.9</w:t>
            </w:r>
          </w:p>
        </w:tc>
        <w:tc>
          <w:tcPr>
            <w:tcW w:w="775" w:type="dxa"/>
          </w:tcPr>
          <w:p w14:paraId="2D80426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0.9</w:t>
            </w:r>
          </w:p>
        </w:tc>
        <w:tc>
          <w:tcPr>
            <w:tcW w:w="775" w:type="dxa"/>
          </w:tcPr>
          <w:p w14:paraId="2C800BB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0.9</w:t>
            </w:r>
          </w:p>
        </w:tc>
        <w:tc>
          <w:tcPr>
            <w:tcW w:w="774" w:type="dxa"/>
          </w:tcPr>
          <w:p w14:paraId="474F0C7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0.9</w:t>
            </w:r>
          </w:p>
        </w:tc>
        <w:tc>
          <w:tcPr>
            <w:tcW w:w="775" w:type="dxa"/>
          </w:tcPr>
          <w:p w14:paraId="3E9E94B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r>
      <w:tr w:rsidR="00201FE9" w:rsidRPr="00C86111" w14:paraId="0A687045" w14:textId="77777777" w:rsidTr="00BC76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9" w:type="dxa"/>
          </w:tcPr>
          <w:p w14:paraId="19CB612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mineralnih proizvoda</w:t>
            </w:r>
          </w:p>
        </w:tc>
        <w:tc>
          <w:tcPr>
            <w:tcW w:w="774" w:type="dxa"/>
          </w:tcPr>
          <w:p w14:paraId="2A5B076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0139073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03D787C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4" w:type="dxa"/>
          </w:tcPr>
          <w:p w14:paraId="7E8198B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4CCD8B1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045EF39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49B48F3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4" w:type="dxa"/>
          </w:tcPr>
          <w:p w14:paraId="2EE7589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7C3EA5B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r>
      <w:tr w:rsidR="00201FE9" w:rsidRPr="00C86111" w14:paraId="16583A82" w14:textId="77777777" w:rsidTr="00BC765B">
        <w:trPr>
          <w:trHeight w:val="720"/>
        </w:trPr>
        <w:tc>
          <w:tcPr>
            <w:cnfStyle w:val="001000000000" w:firstRow="0" w:lastRow="0" w:firstColumn="1" w:lastColumn="0" w:oddVBand="0" w:evenVBand="0" w:oddHBand="0" w:evenHBand="0" w:firstRowFirstColumn="0" w:firstRowLastColumn="0" w:lastRowFirstColumn="0" w:lastRowLastColumn="0"/>
            <w:tcW w:w="1969" w:type="dxa"/>
          </w:tcPr>
          <w:p w14:paraId="63A7B43F" w14:textId="77777777" w:rsidR="00201FE9" w:rsidRPr="00C86111" w:rsidRDefault="00201FE9" w:rsidP="00BC765B">
            <w:pPr>
              <w:jc w:val="both"/>
              <w:rPr>
                <w:rFonts w:asciiTheme="minorHAnsi" w:hAnsiTheme="minorHAnsi" w:cstheme="minorHAnsi"/>
                <w:color w:val="auto"/>
                <w:sz w:val="20"/>
                <w:szCs w:val="20"/>
              </w:rPr>
            </w:pPr>
            <w:bookmarkStart w:id="51" w:name="_Hlk207699114"/>
            <w:r w:rsidRPr="00C86111">
              <w:rPr>
                <w:rFonts w:asciiTheme="minorHAnsi" w:hAnsiTheme="minorHAnsi" w:cstheme="minorHAnsi"/>
                <w:color w:val="auto"/>
                <w:sz w:val="20"/>
                <w:szCs w:val="20"/>
              </w:rPr>
              <w:t>Procesi sa otvorenim sagorijevanjem</w:t>
            </w:r>
            <w:bookmarkEnd w:id="51"/>
          </w:p>
        </w:tc>
        <w:tc>
          <w:tcPr>
            <w:tcW w:w="774" w:type="dxa"/>
          </w:tcPr>
          <w:p w14:paraId="33BAC30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33.5</w:t>
            </w:r>
          </w:p>
        </w:tc>
        <w:tc>
          <w:tcPr>
            <w:tcW w:w="775" w:type="dxa"/>
          </w:tcPr>
          <w:p w14:paraId="1ED8E43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33.2</w:t>
            </w:r>
          </w:p>
        </w:tc>
        <w:tc>
          <w:tcPr>
            <w:tcW w:w="775" w:type="dxa"/>
          </w:tcPr>
          <w:p w14:paraId="01B7274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24.8</w:t>
            </w:r>
          </w:p>
        </w:tc>
        <w:tc>
          <w:tcPr>
            <w:tcW w:w="774" w:type="dxa"/>
          </w:tcPr>
          <w:p w14:paraId="6A6ADC2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26.8</w:t>
            </w:r>
          </w:p>
        </w:tc>
        <w:tc>
          <w:tcPr>
            <w:tcW w:w="775" w:type="dxa"/>
          </w:tcPr>
          <w:p w14:paraId="208DC78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26.3</w:t>
            </w:r>
          </w:p>
        </w:tc>
        <w:tc>
          <w:tcPr>
            <w:tcW w:w="775" w:type="dxa"/>
          </w:tcPr>
          <w:p w14:paraId="7A2D39D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25.6</w:t>
            </w:r>
          </w:p>
        </w:tc>
        <w:tc>
          <w:tcPr>
            <w:tcW w:w="775" w:type="dxa"/>
          </w:tcPr>
          <w:p w14:paraId="34111A9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14.8</w:t>
            </w:r>
          </w:p>
        </w:tc>
        <w:tc>
          <w:tcPr>
            <w:tcW w:w="774" w:type="dxa"/>
          </w:tcPr>
          <w:p w14:paraId="0F34F35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8.6</w:t>
            </w:r>
          </w:p>
        </w:tc>
        <w:tc>
          <w:tcPr>
            <w:tcW w:w="775" w:type="dxa"/>
          </w:tcPr>
          <w:p w14:paraId="7D67E8B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11.6</w:t>
            </w:r>
          </w:p>
        </w:tc>
      </w:tr>
      <w:tr w:rsidR="00201FE9" w:rsidRPr="00C86111" w14:paraId="25EF274B"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9" w:type="dxa"/>
          </w:tcPr>
          <w:p w14:paraId="51C9485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74" w:type="dxa"/>
          </w:tcPr>
          <w:p w14:paraId="31E93DD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75" w:type="dxa"/>
          </w:tcPr>
          <w:p w14:paraId="5BF76F0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5" w:type="dxa"/>
          </w:tcPr>
          <w:p w14:paraId="3E6C13C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4" w:type="dxa"/>
          </w:tcPr>
          <w:p w14:paraId="53405D4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5" w:type="dxa"/>
          </w:tcPr>
          <w:p w14:paraId="6747B41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5" w:type="dxa"/>
          </w:tcPr>
          <w:p w14:paraId="44D5299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5" w:type="dxa"/>
          </w:tcPr>
          <w:p w14:paraId="40A8EE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4" w:type="dxa"/>
          </w:tcPr>
          <w:p w14:paraId="2BCBE50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5" w:type="dxa"/>
          </w:tcPr>
          <w:p w14:paraId="481D450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965D919"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969" w:type="dxa"/>
          </w:tcPr>
          <w:p w14:paraId="62C32FBA"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teških i obojenih metala</w:t>
            </w:r>
          </w:p>
        </w:tc>
        <w:tc>
          <w:tcPr>
            <w:tcW w:w="774" w:type="dxa"/>
          </w:tcPr>
          <w:p w14:paraId="750AD75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3BF456E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27B7F45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4" w:type="dxa"/>
          </w:tcPr>
          <w:p w14:paraId="5725FF4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67BE434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0928768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7058E50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4" w:type="dxa"/>
          </w:tcPr>
          <w:p w14:paraId="1D57F7C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52C9F91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7064D673"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9" w:type="dxa"/>
          </w:tcPr>
          <w:p w14:paraId="43466395"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toplotne i električne energije</w:t>
            </w:r>
          </w:p>
        </w:tc>
        <w:tc>
          <w:tcPr>
            <w:tcW w:w="774" w:type="dxa"/>
          </w:tcPr>
          <w:p w14:paraId="7E671A4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5" w:type="dxa"/>
          </w:tcPr>
          <w:p w14:paraId="5467024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5" w:type="dxa"/>
          </w:tcPr>
          <w:p w14:paraId="0ECE854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4" w:type="dxa"/>
          </w:tcPr>
          <w:p w14:paraId="23DCC75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775" w:type="dxa"/>
          </w:tcPr>
          <w:p w14:paraId="67D7614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775" w:type="dxa"/>
          </w:tcPr>
          <w:p w14:paraId="4CBC3F2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775" w:type="dxa"/>
          </w:tcPr>
          <w:p w14:paraId="6CD0A5B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774" w:type="dxa"/>
          </w:tcPr>
          <w:p w14:paraId="1B7368A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775" w:type="dxa"/>
          </w:tcPr>
          <w:p w14:paraId="3582A79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0528992D"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969" w:type="dxa"/>
          </w:tcPr>
          <w:p w14:paraId="6783DE4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mineralnih proizvoda</w:t>
            </w:r>
          </w:p>
        </w:tc>
        <w:tc>
          <w:tcPr>
            <w:tcW w:w="774" w:type="dxa"/>
          </w:tcPr>
          <w:p w14:paraId="48F253C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1384F64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6EE8B45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4" w:type="dxa"/>
          </w:tcPr>
          <w:p w14:paraId="705C6B4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248CDA8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4AA7AB5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1D64AA4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4" w:type="dxa"/>
          </w:tcPr>
          <w:p w14:paraId="39E4594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0842C91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4335726A"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9" w:type="dxa"/>
          </w:tcPr>
          <w:p w14:paraId="0188FA77"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Procesi sa otvorenim sagorijevanjem</w:t>
            </w:r>
          </w:p>
        </w:tc>
        <w:tc>
          <w:tcPr>
            <w:tcW w:w="774" w:type="dxa"/>
          </w:tcPr>
          <w:p w14:paraId="7EFD53A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12.6</w:t>
            </w:r>
          </w:p>
        </w:tc>
        <w:tc>
          <w:tcPr>
            <w:tcW w:w="775" w:type="dxa"/>
          </w:tcPr>
          <w:p w14:paraId="577F6F9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w:t>
            </w:r>
          </w:p>
        </w:tc>
        <w:tc>
          <w:tcPr>
            <w:tcW w:w="775" w:type="dxa"/>
          </w:tcPr>
          <w:p w14:paraId="4EE88FC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w:t>
            </w:r>
          </w:p>
        </w:tc>
        <w:tc>
          <w:tcPr>
            <w:tcW w:w="774" w:type="dxa"/>
          </w:tcPr>
          <w:p w14:paraId="4AE1A22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w:t>
            </w:r>
          </w:p>
        </w:tc>
        <w:tc>
          <w:tcPr>
            <w:tcW w:w="775" w:type="dxa"/>
          </w:tcPr>
          <w:p w14:paraId="4D16CDF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w:t>
            </w:r>
          </w:p>
        </w:tc>
        <w:tc>
          <w:tcPr>
            <w:tcW w:w="775" w:type="dxa"/>
          </w:tcPr>
          <w:p w14:paraId="7EE7889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w:t>
            </w:r>
          </w:p>
        </w:tc>
        <w:tc>
          <w:tcPr>
            <w:tcW w:w="775" w:type="dxa"/>
          </w:tcPr>
          <w:p w14:paraId="136FF43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w:t>
            </w:r>
          </w:p>
        </w:tc>
        <w:tc>
          <w:tcPr>
            <w:tcW w:w="774" w:type="dxa"/>
          </w:tcPr>
          <w:p w14:paraId="48F93A2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12.1</w:t>
            </w:r>
          </w:p>
        </w:tc>
        <w:tc>
          <w:tcPr>
            <w:tcW w:w="775" w:type="dxa"/>
          </w:tcPr>
          <w:p w14:paraId="1C389EE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74732C90" w14:textId="77777777" w:rsidR="00201FE9" w:rsidRPr="00C86111" w:rsidRDefault="00201FE9" w:rsidP="00201FE9">
      <w:pPr>
        <w:jc w:val="both"/>
      </w:pPr>
      <w:bookmarkStart w:id="52" w:name="_Toc501437748"/>
    </w:p>
    <w:p w14:paraId="63C99F0C" w14:textId="20876621" w:rsidR="00201FE9" w:rsidRPr="00C86111" w:rsidRDefault="00201FE9" w:rsidP="00EA6904">
      <w:pPr>
        <w:pStyle w:val="Heading4"/>
      </w:pPr>
      <w:r w:rsidRPr="00C86111">
        <w:t xml:space="preserve">Procjene </w:t>
      </w:r>
      <w:r w:rsidR="000D1995" w:rsidRPr="00C86111">
        <w:t>emisije</w:t>
      </w:r>
      <w:r w:rsidRPr="00C86111">
        <w:t xml:space="preserve"> nenamjerno proizvedenih POP‘s (PCDD/PCDF) u vodu</w:t>
      </w:r>
      <w:bookmarkEnd w:id="52"/>
      <w:r w:rsidRPr="00C86111">
        <w:t xml:space="preserve"> za period 2006 -2022. godina</w:t>
      </w:r>
    </w:p>
    <w:p w14:paraId="48E78479" w14:textId="3993A24A"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Odlaganje otpada predstavlja jedinu aktivnost koja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vodu (tabela </w:t>
      </w:r>
      <w:r w:rsidR="004748D1" w:rsidRPr="00C86111">
        <w:rPr>
          <w:rFonts w:asciiTheme="minorHAnsi" w:hAnsiTheme="minorHAnsi" w:cstheme="minorHAnsi"/>
          <w:color w:val="auto"/>
          <w:szCs w:val="24"/>
        </w:rPr>
        <w:t>1</w:t>
      </w:r>
      <w:r w:rsidRPr="00C86111">
        <w:rPr>
          <w:rFonts w:asciiTheme="minorHAnsi" w:hAnsiTheme="minorHAnsi" w:cstheme="minorHAnsi"/>
          <w:color w:val="auto"/>
          <w:szCs w:val="24"/>
        </w:rPr>
        <w:t xml:space="preserve">4.). Ostale aktivnosti unutar kategorija  ili ne dovode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vodu ili su zanemarljivo male.</w:t>
      </w:r>
    </w:p>
    <w:p w14:paraId="74D1EC1F" w14:textId="10FF1864"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1</w:t>
      </w:r>
      <w:r w:rsidRPr="00C86111">
        <w:rPr>
          <w:rFonts w:asciiTheme="minorHAnsi" w:hAnsiTheme="minorHAnsi" w:cstheme="minorHAnsi"/>
          <w:b/>
          <w:bCs/>
          <w:i w:val="0"/>
          <w:iCs/>
          <w:sz w:val="24"/>
          <w:lang w:val="sr-Latn-RS"/>
        </w:rPr>
        <w:t>4.</w:t>
      </w:r>
      <w:r w:rsidRPr="00C86111">
        <w:rPr>
          <w:rFonts w:asciiTheme="minorHAnsi" w:hAnsiTheme="minorHAnsi" w:cstheme="minorHAnsi"/>
          <w:i w:val="0"/>
          <w:iCs/>
          <w:sz w:val="24"/>
          <w:lang w:val="sr-Latn-RS"/>
        </w:rPr>
        <w:t xml:space="preserve"> Godišnje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dioksina i furana (PCDD/PCDF) u vodu. 2006-2022. godina (gTEQ/god)</w:t>
      </w:r>
    </w:p>
    <w:p w14:paraId="278314A4" w14:textId="77777777" w:rsidR="004748D1" w:rsidRPr="00C86111" w:rsidRDefault="004748D1" w:rsidP="00375D24">
      <w:pPr>
        <w:pStyle w:val="Tabele"/>
        <w:numPr>
          <w:ilvl w:val="0"/>
          <w:numId w:val="0"/>
        </w:numPr>
        <w:spacing w:after="0"/>
        <w:jc w:val="both"/>
        <w:rPr>
          <w:rFonts w:asciiTheme="minorHAnsi" w:hAnsiTheme="minorHAnsi" w:cstheme="minorHAnsi"/>
          <w:i w:val="0"/>
          <w:iCs/>
          <w:sz w:val="24"/>
          <w:lang w:val="sr-Latn-RS"/>
        </w:rPr>
      </w:pPr>
    </w:p>
    <w:tbl>
      <w:tblPr>
        <w:tblStyle w:val="GridTable5Dark-Accent6"/>
        <w:tblW w:w="8905" w:type="dxa"/>
        <w:tblLayout w:type="fixed"/>
        <w:tblLook w:val="04A0" w:firstRow="1" w:lastRow="0" w:firstColumn="1" w:lastColumn="0" w:noHBand="0" w:noVBand="1"/>
      </w:tblPr>
      <w:tblGrid>
        <w:gridCol w:w="1818"/>
        <w:gridCol w:w="707"/>
        <w:gridCol w:w="708"/>
        <w:gridCol w:w="708"/>
        <w:gridCol w:w="707"/>
        <w:gridCol w:w="708"/>
        <w:gridCol w:w="708"/>
        <w:gridCol w:w="861"/>
        <w:gridCol w:w="810"/>
        <w:gridCol w:w="1170"/>
      </w:tblGrid>
      <w:tr w:rsidR="00201FE9" w:rsidRPr="00C86111" w14:paraId="38F29B82" w14:textId="77777777" w:rsidTr="00C323E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Pr>
          <w:p w14:paraId="345C5D1F"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07" w:type="dxa"/>
          </w:tcPr>
          <w:p w14:paraId="566D2B7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08" w:type="dxa"/>
          </w:tcPr>
          <w:p w14:paraId="3529D08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08" w:type="dxa"/>
          </w:tcPr>
          <w:p w14:paraId="2031590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07" w:type="dxa"/>
          </w:tcPr>
          <w:p w14:paraId="203246A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08" w:type="dxa"/>
          </w:tcPr>
          <w:p w14:paraId="43CD42F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08" w:type="dxa"/>
          </w:tcPr>
          <w:p w14:paraId="348EF6D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61" w:type="dxa"/>
          </w:tcPr>
          <w:p w14:paraId="6B9F77C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810" w:type="dxa"/>
          </w:tcPr>
          <w:p w14:paraId="5FC314E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1170" w:type="dxa"/>
          </w:tcPr>
          <w:p w14:paraId="5A06262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010EAD15" w14:textId="77777777" w:rsidTr="00C323E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Pr>
          <w:p w14:paraId="4E448EEF"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Odlaganje otpada</w:t>
            </w:r>
          </w:p>
        </w:tc>
        <w:tc>
          <w:tcPr>
            <w:tcW w:w="707" w:type="dxa"/>
          </w:tcPr>
          <w:p w14:paraId="372C565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8" w:type="dxa"/>
          </w:tcPr>
          <w:p w14:paraId="3AF8460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08" w:type="dxa"/>
          </w:tcPr>
          <w:p w14:paraId="61A45EC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7" w:type="dxa"/>
          </w:tcPr>
          <w:p w14:paraId="79D3D98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8" w:type="dxa"/>
          </w:tcPr>
          <w:p w14:paraId="4F4CA12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8" w:type="dxa"/>
          </w:tcPr>
          <w:p w14:paraId="49CE325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861" w:type="dxa"/>
          </w:tcPr>
          <w:p w14:paraId="066E657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810" w:type="dxa"/>
          </w:tcPr>
          <w:p w14:paraId="5438282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1170" w:type="dxa"/>
          </w:tcPr>
          <w:p w14:paraId="09684AE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r>
      <w:tr w:rsidR="00201FE9" w:rsidRPr="00C86111" w14:paraId="19CE092D" w14:textId="77777777" w:rsidTr="00C323EA">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2B12A957"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07" w:type="dxa"/>
          </w:tcPr>
          <w:p w14:paraId="05F7369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2015</w:t>
            </w:r>
          </w:p>
        </w:tc>
        <w:tc>
          <w:tcPr>
            <w:tcW w:w="708" w:type="dxa"/>
          </w:tcPr>
          <w:p w14:paraId="77F6F95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2016</w:t>
            </w:r>
          </w:p>
        </w:tc>
        <w:tc>
          <w:tcPr>
            <w:tcW w:w="708" w:type="dxa"/>
          </w:tcPr>
          <w:p w14:paraId="58C9628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2017</w:t>
            </w:r>
          </w:p>
        </w:tc>
        <w:tc>
          <w:tcPr>
            <w:tcW w:w="707" w:type="dxa"/>
          </w:tcPr>
          <w:p w14:paraId="40D6A3E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2018</w:t>
            </w:r>
          </w:p>
        </w:tc>
        <w:tc>
          <w:tcPr>
            <w:tcW w:w="708" w:type="dxa"/>
          </w:tcPr>
          <w:p w14:paraId="055A7EE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2019</w:t>
            </w:r>
          </w:p>
        </w:tc>
        <w:tc>
          <w:tcPr>
            <w:tcW w:w="708" w:type="dxa"/>
          </w:tcPr>
          <w:p w14:paraId="7BC24CC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2020</w:t>
            </w:r>
          </w:p>
        </w:tc>
        <w:tc>
          <w:tcPr>
            <w:tcW w:w="861" w:type="dxa"/>
          </w:tcPr>
          <w:p w14:paraId="6808AD0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2021</w:t>
            </w:r>
          </w:p>
        </w:tc>
        <w:tc>
          <w:tcPr>
            <w:tcW w:w="810" w:type="dxa"/>
          </w:tcPr>
          <w:p w14:paraId="2FE403F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2022</w:t>
            </w:r>
          </w:p>
        </w:tc>
        <w:tc>
          <w:tcPr>
            <w:tcW w:w="1170" w:type="dxa"/>
          </w:tcPr>
          <w:p w14:paraId="5979340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6505E962" w14:textId="77777777" w:rsidTr="00C323E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Pr>
          <w:p w14:paraId="1042B6E7"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Odlaganje otpada</w:t>
            </w:r>
          </w:p>
        </w:tc>
        <w:tc>
          <w:tcPr>
            <w:tcW w:w="707" w:type="dxa"/>
          </w:tcPr>
          <w:p w14:paraId="6A6F6E3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8" w:type="dxa"/>
          </w:tcPr>
          <w:p w14:paraId="4FE3496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8" w:type="dxa"/>
          </w:tcPr>
          <w:p w14:paraId="5D84F5E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7" w:type="dxa"/>
          </w:tcPr>
          <w:p w14:paraId="50DB4D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8" w:type="dxa"/>
          </w:tcPr>
          <w:p w14:paraId="08326D4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08" w:type="dxa"/>
          </w:tcPr>
          <w:p w14:paraId="1196130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861" w:type="dxa"/>
          </w:tcPr>
          <w:p w14:paraId="4563F6A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810" w:type="dxa"/>
          </w:tcPr>
          <w:p w14:paraId="26F9ACE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1170" w:type="dxa"/>
          </w:tcPr>
          <w:p w14:paraId="536BAE2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44506E0" w14:textId="2860B70A" w:rsidR="00201FE9" w:rsidRPr="00C86111" w:rsidRDefault="00201FE9" w:rsidP="00EA6904">
      <w:pPr>
        <w:pStyle w:val="Heading3"/>
      </w:pPr>
      <w:bookmarkStart w:id="53" w:name="_Toc501437749"/>
      <w:bookmarkStart w:id="54" w:name="_Toc220541876"/>
      <w:r w:rsidRPr="00C86111">
        <w:t xml:space="preserve">Procjene </w:t>
      </w:r>
      <w:r w:rsidR="000D1995" w:rsidRPr="00C86111">
        <w:t>emisije</w:t>
      </w:r>
      <w:r w:rsidRPr="00C86111">
        <w:t xml:space="preserve"> nenamjerno proizvedenih POP‘s (PCDD/PCDF) u zemljište</w:t>
      </w:r>
      <w:bookmarkEnd w:id="53"/>
      <w:r w:rsidRPr="00C86111">
        <w:t xml:space="preserve"> za period 2006 -2022. Godina</w:t>
      </w:r>
      <w:bookmarkEnd w:id="54"/>
    </w:p>
    <w:p w14:paraId="0A5134C8" w14:textId="77777777" w:rsidR="004748D1" w:rsidRPr="00C86111" w:rsidRDefault="004748D1" w:rsidP="004748D1"/>
    <w:p w14:paraId="341856D5" w14:textId="3C2C0A55"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Osnovni izvor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zemljište predstavljau procesi sa otvorenim sagorijevanjem (tabela </w:t>
      </w:r>
      <w:r w:rsidR="004748D1" w:rsidRPr="00C86111">
        <w:rPr>
          <w:rFonts w:asciiTheme="minorHAnsi" w:hAnsiTheme="minorHAnsi" w:cstheme="minorHAnsi"/>
          <w:color w:val="auto"/>
          <w:szCs w:val="24"/>
        </w:rPr>
        <w:t>1</w:t>
      </w:r>
      <w:r w:rsidRPr="00C86111">
        <w:rPr>
          <w:rFonts w:asciiTheme="minorHAnsi" w:hAnsiTheme="minorHAnsi" w:cstheme="minorHAnsi"/>
          <w:color w:val="auto"/>
          <w:szCs w:val="24"/>
        </w:rPr>
        <w:t xml:space="preserve">5.). Ostale aktivnosti unutar kategorija  ili ne dovode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zemljište ili su zanemarljivo male.</w:t>
      </w:r>
    </w:p>
    <w:p w14:paraId="24C7F67B" w14:textId="7768BF9E"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1</w:t>
      </w:r>
      <w:r w:rsidRPr="00C86111">
        <w:rPr>
          <w:rFonts w:asciiTheme="minorHAnsi" w:hAnsiTheme="minorHAnsi" w:cstheme="minorHAnsi"/>
          <w:b/>
          <w:bCs/>
          <w:i w:val="0"/>
          <w:iCs/>
          <w:sz w:val="24"/>
          <w:lang w:val="sr-Latn-RS"/>
        </w:rPr>
        <w:t>5.</w:t>
      </w:r>
      <w:r w:rsidRPr="00C86111">
        <w:rPr>
          <w:rFonts w:asciiTheme="minorHAnsi" w:hAnsiTheme="minorHAnsi" w:cstheme="minorHAnsi"/>
          <w:i w:val="0"/>
          <w:iCs/>
          <w:sz w:val="24"/>
          <w:lang w:val="sr-Latn-RS"/>
        </w:rPr>
        <w:t xml:space="preserve"> Godišnje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dioksina i furana (PCDD/PCDF) u zemljište. 2006-2022. godina (gTEQ/god)</w:t>
      </w:r>
    </w:p>
    <w:tbl>
      <w:tblPr>
        <w:tblStyle w:val="GridTable5Dark-Accent6"/>
        <w:tblW w:w="8905" w:type="dxa"/>
        <w:tblLayout w:type="fixed"/>
        <w:tblLook w:val="04A0" w:firstRow="1" w:lastRow="0" w:firstColumn="1" w:lastColumn="0" w:noHBand="0" w:noVBand="1"/>
      </w:tblPr>
      <w:tblGrid>
        <w:gridCol w:w="1818"/>
        <w:gridCol w:w="707"/>
        <w:gridCol w:w="708"/>
        <w:gridCol w:w="708"/>
        <w:gridCol w:w="707"/>
        <w:gridCol w:w="708"/>
        <w:gridCol w:w="759"/>
        <w:gridCol w:w="810"/>
        <w:gridCol w:w="900"/>
        <w:gridCol w:w="1080"/>
      </w:tblGrid>
      <w:tr w:rsidR="00201FE9" w:rsidRPr="00C86111" w14:paraId="0A3A7283" w14:textId="77777777" w:rsidTr="00C323E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Pr>
          <w:p w14:paraId="2647A30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07" w:type="dxa"/>
          </w:tcPr>
          <w:p w14:paraId="25451A6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08" w:type="dxa"/>
          </w:tcPr>
          <w:p w14:paraId="6713C93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08" w:type="dxa"/>
          </w:tcPr>
          <w:p w14:paraId="7D1B72A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07" w:type="dxa"/>
          </w:tcPr>
          <w:p w14:paraId="210BA1C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08" w:type="dxa"/>
          </w:tcPr>
          <w:p w14:paraId="56493E7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59" w:type="dxa"/>
          </w:tcPr>
          <w:p w14:paraId="52EDE41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10" w:type="dxa"/>
          </w:tcPr>
          <w:p w14:paraId="0B53710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900" w:type="dxa"/>
          </w:tcPr>
          <w:p w14:paraId="1B235E3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1080" w:type="dxa"/>
          </w:tcPr>
          <w:p w14:paraId="36E1A9C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77A8AB87" w14:textId="77777777" w:rsidTr="00C323E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Pr>
          <w:p w14:paraId="7F47C8C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Procesi sa otvorenim sagorijevanjem</w:t>
            </w:r>
          </w:p>
        </w:tc>
        <w:tc>
          <w:tcPr>
            <w:tcW w:w="707" w:type="dxa"/>
          </w:tcPr>
          <w:p w14:paraId="7FEF700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708" w:type="dxa"/>
          </w:tcPr>
          <w:p w14:paraId="1FA9E40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708" w:type="dxa"/>
          </w:tcPr>
          <w:p w14:paraId="539CF95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0.9</w:t>
            </w:r>
          </w:p>
        </w:tc>
        <w:tc>
          <w:tcPr>
            <w:tcW w:w="707" w:type="dxa"/>
          </w:tcPr>
          <w:p w14:paraId="4817606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708" w:type="dxa"/>
          </w:tcPr>
          <w:p w14:paraId="43DAB77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759" w:type="dxa"/>
          </w:tcPr>
          <w:p w14:paraId="38BD653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810" w:type="dxa"/>
          </w:tcPr>
          <w:p w14:paraId="54DFC02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900" w:type="dxa"/>
          </w:tcPr>
          <w:p w14:paraId="26DC3AB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w:t>
            </w:r>
          </w:p>
        </w:tc>
        <w:tc>
          <w:tcPr>
            <w:tcW w:w="1080" w:type="dxa"/>
          </w:tcPr>
          <w:p w14:paraId="69C64DE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r>
      <w:tr w:rsidR="00201FE9" w:rsidRPr="00C86111" w14:paraId="1DDAF960" w14:textId="77777777" w:rsidTr="00C323EA">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1CC954DA"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07" w:type="dxa"/>
          </w:tcPr>
          <w:p w14:paraId="72C8FDF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2015</w:t>
            </w:r>
          </w:p>
        </w:tc>
        <w:tc>
          <w:tcPr>
            <w:tcW w:w="708" w:type="dxa"/>
          </w:tcPr>
          <w:p w14:paraId="23C3031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2016</w:t>
            </w:r>
          </w:p>
        </w:tc>
        <w:tc>
          <w:tcPr>
            <w:tcW w:w="708" w:type="dxa"/>
          </w:tcPr>
          <w:p w14:paraId="0B5A124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2017</w:t>
            </w:r>
          </w:p>
        </w:tc>
        <w:tc>
          <w:tcPr>
            <w:tcW w:w="707" w:type="dxa"/>
          </w:tcPr>
          <w:p w14:paraId="197BD28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2018</w:t>
            </w:r>
          </w:p>
        </w:tc>
        <w:tc>
          <w:tcPr>
            <w:tcW w:w="708" w:type="dxa"/>
          </w:tcPr>
          <w:p w14:paraId="3E479F3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2019</w:t>
            </w:r>
          </w:p>
        </w:tc>
        <w:tc>
          <w:tcPr>
            <w:tcW w:w="759" w:type="dxa"/>
          </w:tcPr>
          <w:p w14:paraId="5CB3E09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2020</w:t>
            </w:r>
          </w:p>
        </w:tc>
        <w:tc>
          <w:tcPr>
            <w:tcW w:w="810" w:type="dxa"/>
          </w:tcPr>
          <w:p w14:paraId="7BBBD20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2021</w:t>
            </w:r>
          </w:p>
        </w:tc>
        <w:tc>
          <w:tcPr>
            <w:tcW w:w="900" w:type="dxa"/>
          </w:tcPr>
          <w:p w14:paraId="6F743F5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2022</w:t>
            </w:r>
          </w:p>
        </w:tc>
        <w:tc>
          <w:tcPr>
            <w:tcW w:w="1080" w:type="dxa"/>
          </w:tcPr>
          <w:p w14:paraId="59AEB17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2023</w:t>
            </w:r>
          </w:p>
        </w:tc>
      </w:tr>
      <w:tr w:rsidR="00201FE9" w:rsidRPr="00C86111" w14:paraId="680F9D10" w14:textId="77777777" w:rsidTr="00C323E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Pr>
          <w:p w14:paraId="749D94D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Procesi sa otvorenim sagorijevanjem</w:t>
            </w:r>
          </w:p>
        </w:tc>
        <w:tc>
          <w:tcPr>
            <w:tcW w:w="707" w:type="dxa"/>
          </w:tcPr>
          <w:p w14:paraId="5C64DCF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w:t>
            </w:r>
          </w:p>
        </w:tc>
        <w:tc>
          <w:tcPr>
            <w:tcW w:w="708" w:type="dxa"/>
          </w:tcPr>
          <w:p w14:paraId="247CF0B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08" w:type="dxa"/>
          </w:tcPr>
          <w:p w14:paraId="682BEDF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07" w:type="dxa"/>
          </w:tcPr>
          <w:p w14:paraId="78558AE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08" w:type="dxa"/>
          </w:tcPr>
          <w:p w14:paraId="04BF90A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59" w:type="dxa"/>
          </w:tcPr>
          <w:p w14:paraId="441CEF2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810" w:type="dxa"/>
          </w:tcPr>
          <w:p w14:paraId="25102DA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900" w:type="dxa"/>
          </w:tcPr>
          <w:p w14:paraId="78B4EC4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1080" w:type="dxa"/>
          </w:tcPr>
          <w:p w14:paraId="4FD98D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6F1DE42" w14:textId="0DED3A70" w:rsidR="00201FE9" w:rsidRPr="00C86111" w:rsidRDefault="00201FE9" w:rsidP="00201FE9">
      <w:pPr>
        <w:jc w:val="both"/>
        <w:rPr>
          <w:rFonts w:asciiTheme="minorHAnsi" w:hAnsiTheme="minorHAnsi" w:cstheme="minorHAnsi"/>
          <w:i/>
          <w:color w:val="auto"/>
          <w:szCs w:val="24"/>
        </w:rPr>
      </w:pPr>
    </w:p>
    <w:p w14:paraId="57E8411F" w14:textId="7DE79DF0" w:rsidR="00201FE9" w:rsidRPr="00C86111" w:rsidRDefault="00201FE9" w:rsidP="00EA6904">
      <w:pPr>
        <w:pStyle w:val="Heading3"/>
      </w:pPr>
      <w:bookmarkStart w:id="55" w:name="_Toc501437750"/>
      <w:bookmarkStart w:id="56" w:name="_Toc220541877"/>
      <w:r w:rsidRPr="00C86111">
        <w:t xml:space="preserve">Procjene </w:t>
      </w:r>
      <w:r w:rsidR="000D1995" w:rsidRPr="00C86111">
        <w:t>emisije</w:t>
      </w:r>
      <w:r w:rsidRPr="00C86111">
        <w:t xml:space="preserve"> nenamjerno proizvedenih POP‘s (PCDD/PCDF) koje su dospjele u proizvode</w:t>
      </w:r>
      <w:bookmarkEnd w:id="55"/>
      <w:r w:rsidRPr="00C86111">
        <w:t xml:space="preserve"> za period 2006 -2022. Godina</w:t>
      </w:r>
      <w:bookmarkEnd w:id="56"/>
    </w:p>
    <w:p w14:paraId="12CCE523" w14:textId="77777777" w:rsidR="004748D1" w:rsidRPr="00C86111" w:rsidRDefault="004748D1" w:rsidP="004748D1"/>
    <w:p w14:paraId="0991B599" w14:textId="38C721CA"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Odlaganje otpada kroz proces kompostiranja predstavlja jedinu aktivnost koja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produkte. Proces kompostiranja se javlja poslije 2017. godine i godišnje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nenamjerno proizvedenih POP‘s (PCDD/PCDF) iznose 0.004 gTEQ/god. U Crnoj Gori ne postoje druge industrijske aktivnosti koje mogu dovesti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nenamjerno proizvedenih POP's (PCDD/PCDF) u proizvode.</w:t>
      </w:r>
    </w:p>
    <w:p w14:paraId="35F068CD" w14:textId="77777777" w:rsidR="00201FE9" w:rsidRPr="00C86111" w:rsidRDefault="00201FE9" w:rsidP="00201FE9">
      <w:pPr>
        <w:jc w:val="both"/>
        <w:rPr>
          <w:rFonts w:asciiTheme="minorHAnsi" w:hAnsiTheme="minorHAnsi" w:cstheme="minorHAnsi"/>
          <w:color w:val="auto"/>
          <w:szCs w:val="24"/>
        </w:rPr>
      </w:pPr>
    </w:p>
    <w:p w14:paraId="62F15F7B" w14:textId="1649314E" w:rsidR="00201FE9" w:rsidRPr="00C86111" w:rsidRDefault="00201FE9" w:rsidP="00EA6904">
      <w:pPr>
        <w:pStyle w:val="Heading3"/>
      </w:pPr>
      <w:bookmarkStart w:id="57" w:name="_Toc501437751"/>
      <w:bookmarkStart w:id="58" w:name="_Toc220541878"/>
      <w:r w:rsidRPr="00C86111">
        <w:lastRenderedPageBreak/>
        <w:t xml:space="preserve">Procjene </w:t>
      </w:r>
      <w:r w:rsidR="000D1995" w:rsidRPr="00C86111">
        <w:t>emisije</w:t>
      </w:r>
      <w:r w:rsidRPr="00C86111">
        <w:t xml:space="preserve"> nenamjerno proizvedenih POP‘s (PCDD/PCDF) koje su dospjele u ostatke iz procesa proizvodnje</w:t>
      </w:r>
      <w:bookmarkEnd w:id="57"/>
      <w:r w:rsidRPr="00C86111">
        <w:t xml:space="preserve"> za period 2006 -2022. Godina</w:t>
      </w:r>
      <w:bookmarkEnd w:id="58"/>
    </w:p>
    <w:p w14:paraId="4139110C" w14:textId="77777777" w:rsidR="004748D1" w:rsidRPr="00C86111" w:rsidRDefault="004748D1" w:rsidP="004748D1"/>
    <w:p w14:paraId="5FAC1024" w14:textId="2BABB2B9"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POP’s u ostacima iz procesa proizvodnje dospjeli su najvećim dijelom usled odlaganja otpada, a manjim dijelom usled proizvodnje teških i obojenih metala kao i proizvodnje toplotne i električne energije (tabela </w:t>
      </w:r>
      <w:r w:rsidR="004748D1" w:rsidRPr="00C86111">
        <w:rPr>
          <w:rFonts w:asciiTheme="minorHAnsi" w:hAnsiTheme="minorHAnsi" w:cstheme="minorHAnsi"/>
          <w:color w:val="auto"/>
          <w:szCs w:val="24"/>
        </w:rPr>
        <w:t>1</w:t>
      </w:r>
      <w:r w:rsidRPr="00C86111">
        <w:rPr>
          <w:rFonts w:asciiTheme="minorHAnsi" w:hAnsiTheme="minorHAnsi" w:cstheme="minorHAnsi"/>
          <w:color w:val="auto"/>
          <w:szCs w:val="24"/>
        </w:rPr>
        <w:t xml:space="preserve">6). Ostale aktivnosti unutar kategorija  ili ne dovode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ostatke iz procesa proizvodnje ili su zanemarljivo male.</w:t>
      </w:r>
    </w:p>
    <w:p w14:paraId="53334D5C" w14:textId="77777777" w:rsidR="004748D1" w:rsidRPr="00C86111" w:rsidRDefault="004748D1" w:rsidP="00201FE9">
      <w:pPr>
        <w:jc w:val="both"/>
        <w:rPr>
          <w:rFonts w:asciiTheme="minorHAnsi" w:hAnsiTheme="minorHAnsi" w:cstheme="minorHAnsi"/>
          <w:color w:val="auto"/>
          <w:szCs w:val="24"/>
        </w:rPr>
      </w:pPr>
    </w:p>
    <w:p w14:paraId="66F41D27" w14:textId="58A5E93B"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1</w:t>
      </w:r>
      <w:r w:rsidRPr="00C86111">
        <w:rPr>
          <w:rFonts w:asciiTheme="minorHAnsi" w:hAnsiTheme="minorHAnsi" w:cstheme="minorHAnsi"/>
          <w:b/>
          <w:bCs/>
          <w:i w:val="0"/>
          <w:iCs/>
          <w:sz w:val="24"/>
          <w:lang w:val="sr-Latn-RS"/>
        </w:rPr>
        <w:t>6.</w:t>
      </w:r>
      <w:r w:rsidRPr="00C86111">
        <w:rPr>
          <w:rFonts w:asciiTheme="minorHAnsi" w:hAnsiTheme="minorHAnsi" w:cstheme="minorHAnsi"/>
          <w:i w:val="0"/>
          <w:iCs/>
          <w:sz w:val="24"/>
          <w:lang w:val="sr-Latn-RS"/>
        </w:rPr>
        <w:t xml:space="preserve"> Godišnje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dioksina i furana (PCDD/PCDF) koje su dospjele u ostatke iz procesa proizvodnje. 2006-2022. godina (gTEQ/god)</w:t>
      </w:r>
    </w:p>
    <w:tbl>
      <w:tblPr>
        <w:tblStyle w:val="GridTable5Dark-Accent6"/>
        <w:tblW w:w="8941" w:type="dxa"/>
        <w:tblLayout w:type="fixed"/>
        <w:tblLook w:val="04A0" w:firstRow="1" w:lastRow="0" w:firstColumn="1" w:lastColumn="0" w:noHBand="0" w:noVBand="1"/>
      </w:tblPr>
      <w:tblGrid>
        <w:gridCol w:w="1969"/>
        <w:gridCol w:w="774"/>
        <w:gridCol w:w="775"/>
        <w:gridCol w:w="775"/>
        <w:gridCol w:w="774"/>
        <w:gridCol w:w="775"/>
        <w:gridCol w:w="775"/>
        <w:gridCol w:w="775"/>
        <w:gridCol w:w="774"/>
        <w:gridCol w:w="775"/>
      </w:tblGrid>
      <w:tr w:rsidR="00201FE9" w:rsidRPr="00C86111" w14:paraId="4785C7D0" w14:textId="77777777" w:rsidTr="00BC765B">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9" w:type="dxa"/>
          </w:tcPr>
          <w:p w14:paraId="3E0F467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74" w:type="dxa"/>
          </w:tcPr>
          <w:p w14:paraId="6B0F599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75" w:type="dxa"/>
          </w:tcPr>
          <w:p w14:paraId="46EDA4B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5" w:type="dxa"/>
          </w:tcPr>
          <w:p w14:paraId="25D4E1D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4" w:type="dxa"/>
          </w:tcPr>
          <w:p w14:paraId="72E7C08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5" w:type="dxa"/>
          </w:tcPr>
          <w:p w14:paraId="3FD1DE5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5" w:type="dxa"/>
          </w:tcPr>
          <w:p w14:paraId="714AE38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5" w:type="dxa"/>
          </w:tcPr>
          <w:p w14:paraId="61088A6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4" w:type="dxa"/>
          </w:tcPr>
          <w:p w14:paraId="1FB2D77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5" w:type="dxa"/>
          </w:tcPr>
          <w:p w14:paraId="2B0059E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395C001F" w14:textId="77777777" w:rsidTr="00BC76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9" w:type="dxa"/>
          </w:tcPr>
          <w:p w14:paraId="724F48A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teških i obojenih metala</w:t>
            </w:r>
          </w:p>
        </w:tc>
        <w:tc>
          <w:tcPr>
            <w:tcW w:w="774" w:type="dxa"/>
          </w:tcPr>
          <w:p w14:paraId="66A43E6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2.9</w:t>
            </w:r>
          </w:p>
        </w:tc>
        <w:tc>
          <w:tcPr>
            <w:tcW w:w="775" w:type="dxa"/>
          </w:tcPr>
          <w:p w14:paraId="45FB1E1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3.2</w:t>
            </w:r>
          </w:p>
        </w:tc>
        <w:tc>
          <w:tcPr>
            <w:tcW w:w="775" w:type="dxa"/>
          </w:tcPr>
          <w:p w14:paraId="4DBDE09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3.4</w:t>
            </w:r>
          </w:p>
        </w:tc>
        <w:tc>
          <w:tcPr>
            <w:tcW w:w="774" w:type="dxa"/>
          </w:tcPr>
          <w:p w14:paraId="085E26A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w:t>
            </w:r>
          </w:p>
        </w:tc>
        <w:tc>
          <w:tcPr>
            <w:tcW w:w="775" w:type="dxa"/>
          </w:tcPr>
          <w:p w14:paraId="1EFE6D3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775" w:type="dxa"/>
          </w:tcPr>
          <w:p w14:paraId="21B019C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w:t>
            </w:r>
          </w:p>
        </w:tc>
        <w:tc>
          <w:tcPr>
            <w:tcW w:w="775" w:type="dxa"/>
          </w:tcPr>
          <w:p w14:paraId="7BD93EA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w:t>
            </w:r>
          </w:p>
        </w:tc>
        <w:tc>
          <w:tcPr>
            <w:tcW w:w="774" w:type="dxa"/>
          </w:tcPr>
          <w:p w14:paraId="5846882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5" w:type="dxa"/>
          </w:tcPr>
          <w:p w14:paraId="24E3270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w:t>
            </w:r>
          </w:p>
        </w:tc>
      </w:tr>
      <w:tr w:rsidR="00201FE9" w:rsidRPr="00C86111" w14:paraId="55DCF56F" w14:textId="77777777" w:rsidTr="00BC765B">
        <w:trPr>
          <w:trHeight w:val="144"/>
        </w:trPr>
        <w:tc>
          <w:tcPr>
            <w:cnfStyle w:val="001000000000" w:firstRow="0" w:lastRow="0" w:firstColumn="1" w:lastColumn="0" w:oddVBand="0" w:evenVBand="0" w:oddHBand="0" w:evenHBand="0" w:firstRowFirstColumn="0" w:firstRowLastColumn="0" w:lastRowFirstColumn="0" w:lastRowLastColumn="0"/>
            <w:tcW w:w="1969" w:type="dxa"/>
          </w:tcPr>
          <w:p w14:paraId="197D65E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toplotne i električne energije</w:t>
            </w:r>
          </w:p>
        </w:tc>
        <w:tc>
          <w:tcPr>
            <w:tcW w:w="774" w:type="dxa"/>
          </w:tcPr>
          <w:p w14:paraId="7ABC059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1A2E8F0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0731C30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4" w:type="dxa"/>
          </w:tcPr>
          <w:p w14:paraId="1B14BCD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w:t>
            </w:r>
          </w:p>
        </w:tc>
        <w:tc>
          <w:tcPr>
            <w:tcW w:w="775" w:type="dxa"/>
          </w:tcPr>
          <w:p w14:paraId="059C516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w:t>
            </w:r>
          </w:p>
        </w:tc>
        <w:tc>
          <w:tcPr>
            <w:tcW w:w="775" w:type="dxa"/>
          </w:tcPr>
          <w:p w14:paraId="58EBAE1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w:t>
            </w:r>
          </w:p>
        </w:tc>
        <w:tc>
          <w:tcPr>
            <w:tcW w:w="775" w:type="dxa"/>
          </w:tcPr>
          <w:p w14:paraId="648281B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4" w:type="dxa"/>
          </w:tcPr>
          <w:p w14:paraId="7DB84A9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221334C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r>
      <w:tr w:rsidR="00201FE9" w:rsidRPr="00C86111" w14:paraId="33DD42F4" w14:textId="77777777" w:rsidTr="00BC76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9" w:type="dxa"/>
          </w:tcPr>
          <w:p w14:paraId="18C08B2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Odlaganje otpada</w:t>
            </w:r>
          </w:p>
        </w:tc>
        <w:tc>
          <w:tcPr>
            <w:tcW w:w="774" w:type="dxa"/>
          </w:tcPr>
          <w:p w14:paraId="2DA80DB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13.3</w:t>
            </w:r>
          </w:p>
        </w:tc>
        <w:tc>
          <w:tcPr>
            <w:tcW w:w="775" w:type="dxa"/>
          </w:tcPr>
          <w:p w14:paraId="23242E6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14.8</w:t>
            </w:r>
          </w:p>
        </w:tc>
        <w:tc>
          <w:tcPr>
            <w:tcW w:w="775" w:type="dxa"/>
          </w:tcPr>
          <w:p w14:paraId="3E15135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13.9</w:t>
            </w:r>
          </w:p>
        </w:tc>
        <w:tc>
          <w:tcPr>
            <w:tcW w:w="774" w:type="dxa"/>
          </w:tcPr>
          <w:p w14:paraId="4993B5F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14.2</w:t>
            </w:r>
          </w:p>
        </w:tc>
        <w:tc>
          <w:tcPr>
            <w:tcW w:w="775" w:type="dxa"/>
          </w:tcPr>
          <w:p w14:paraId="42B98C6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13.2</w:t>
            </w:r>
          </w:p>
        </w:tc>
        <w:tc>
          <w:tcPr>
            <w:tcW w:w="775" w:type="dxa"/>
          </w:tcPr>
          <w:p w14:paraId="634BBE3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12.6</w:t>
            </w:r>
          </w:p>
        </w:tc>
        <w:tc>
          <w:tcPr>
            <w:tcW w:w="775" w:type="dxa"/>
          </w:tcPr>
          <w:p w14:paraId="6BCDB87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12.4</w:t>
            </w:r>
          </w:p>
        </w:tc>
        <w:tc>
          <w:tcPr>
            <w:tcW w:w="774" w:type="dxa"/>
          </w:tcPr>
          <w:p w14:paraId="4E2AC80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12.4</w:t>
            </w:r>
          </w:p>
        </w:tc>
        <w:tc>
          <w:tcPr>
            <w:tcW w:w="775" w:type="dxa"/>
          </w:tcPr>
          <w:p w14:paraId="5A48BF3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13.8</w:t>
            </w:r>
          </w:p>
        </w:tc>
      </w:tr>
      <w:tr w:rsidR="00201FE9" w:rsidRPr="00C86111" w14:paraId="118C3821"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969" w:type="dxa"/>
          </w:tcPr>
          <w:p w14:paraId="4A5E628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74" w:type="dxa"/>
          </w:tcPr>
          <w:p w14:paraId="21F6D7B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75" w:type="dxa"/>
          </w:tcPr>
          <w:p w14:paraId="15BE7F4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5" w:type="dxa"/>
          </w:tcPr>
          <w:p w14:paraId="482624B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4" w:type="dxa"/>
          </w:tcPr>
          <w:p w14:paraId="7A5BF48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5" w:type="dxa"/>
          </w:tcPr>
          <w:p w14:paraId="34C0834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5" w:type="dxa"/>
          </w:tcPr>
          <w:p w14:paraId="587A443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5" w:type="dxa"/>
          </w:tcPr>
          <w:p w14:paraId="6598D07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4" w:type="dxa"/>
          </w:tcPr>
          <w:p w14:paraId="3283670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5" w:type="dxa"/>
          </w:tcPr>
          <w:p w14:paraId="7614A85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1498E282"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9" w:type="dxa"/>
          </w:tcPr>
          <w:p w14:paraId="4B5207F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teških i obojenih metala</w:t>
            </w:r>
          </w:p>
        </w:tc>
        <w:tc>
          <w:tcPr>
            <w:tcW w:w="774" w:type="dxa"/>
          </w:tcPr>
          <w:p w14:paraId="2507FDC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w:t>
            </w:r>
          </w:p>
        </w:tc>
        <w:tc>
          <w:tcPr>
            <w:tcW w:w="775" w:type="dxa"/>
          </w:tcPr>
          <w:p w14:paraId="3EA0530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w:t>
            </w:r>
          </w:p>
        </w:tc>
        <w:tc>
          <w:tcPr>
            <w:tcW w:w="775" w:type="dxa"/>
          </w:tcPr>
          <w:p w14:paraId="279D035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w:t>
            </w:r>
          </w:p>
        </w:tc>
        <w:tc>
          <w:tcPr>
            <w:tcW w:w="774" w:type="dxa"/>
          </w:tcPr>
          <w:p w14:paraId="4D94E58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w:t>
            </w:r>
          </w:p>
        </w:tc>
        <w:tc>
          <w:tcPr>
            <w:tcW w:w="775" w:type="dxa"/>
          </w:tcPr>
          <w:p w14:paraId="6435971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w:t>
            </w:r>
          </w:p>
        </w:tc>
        <w:tc>
          <w:tcPr>
            <w:tcW w:w="775" w:type="dxa"/>
          </w:tcPr>
          <w:p w14:paraId="76F18E7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w:t>
            </w:r>
          </w:p>
        </w:tc>
        <w:tc>
          <w:tcPr>
            <w:tcW w:w="775" w:type="dxa"/>
          </w:tcPr>
          <w:p w14:paraId="2BF4426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4" w:type="dxa"/>
          </w:tcPr>
          <w:p w14:paraId="54A43FF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w:t>
            </w:r>
          </w:p>
        </w:tc>
        <w:tc>
          <w:tcPr>
            <w:tcW w:w="775" w:type="dxa"/>
          </w:tcPr>
          <w:p w14:paraId="3C36925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59DD3AE9"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969" w:type="dxa"/>
          </w:tcPr>
          <w:p w14:paraId="483652F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toplotne i električne energije</w:t>
            </w:r>
          </w:p>
        </w:tc>
        <w:tc>
          <w:tcPr>
            <w:tcW w:w="774" w:type="dxa"/>
          </w:tcPr>
          <w:p w14:paraId="6719C15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621B313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483C32E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4" w:type="dxa"/>
          </w:tcPr>
          <w:p w14:paraId="4879573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721341D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67D136F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60373AC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4" w:type="dxa"/>
          </w:tcPr>
          <w:p w14:paraId="41D717A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w:t>
            </w:r>
          </w:p>
        </w:tc>
        <w:tc>
          <w:tcPr>
            <w:tcW w:w="775" w:type="dxa"/>
          </w:tcPr>
          <w:p w14:paraId="73B3F57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29B8382A"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9" w:type="dxa"/>
          </w:tcPr>
          <w:p w14:paraId="1729E493"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Odlaganje otpada</w:t>
            </w:r>
          </w:p>
        </w:tc>
        <w:tc>
          <w:tcPr>
            <w:tcW w:w="774" w:type="dxa"/>
          </w:tcPr>
          <w:p w14:paraId="3D328C6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14.4</w:t>
            </w:r>
          </w:p>
        </w:tc>
        <w:tc>
          <w:tcPr>
            <w:tcW w:w="775" w:type="dxa"/>
          </w:tcPr>
          <w:p w14:paraId="574143A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14.0</w:t>
            </w:r>
          </w:p>
        </w:tc>
        <w:tc>
          <w:tcPr>
            <w:tcW w:w="775" w:type="dxa"/>
          </w:tcPr>
          <w:p w14:paraId="7DCE322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13.7</w:t>
            </w:r>
          </w:p>
        </w:tc>
        <w:tc>
          <w:tcPr>
            <w:tcW w:w="774" w:type="dxa"/>
          </w:tcPr>
          <w:p w14:paraId="6A66774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13.3</w:t>
            </w:r>
          </w:p>
        </w:tc>
        <w:tc>
          <w:tcPr>
            <w:tcW w:w="775" w:type="dxa"/>
          </w:tcPr>
          <w:p w14:paraId="77FBB84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14.3</w:t>
            </w:r>
          </w:p>
        </w:tc>
        <w:tc>
          <w:tcPr>
            <w:tcW w:w="775" w:type="dxa"/>
          </w:tcPr>
          <w:p w14:paraId="0ED9B74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14.2</w:t>
            </w:r>
          </w:p>
        </w:tc>
        <w:tc>
          <w:tcPr>
            <w:tcW w:w="775" w:type="dxa"/>
          </w:tcPr>
          <w:p w14:paraId="5158712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14.2</w:t>
            </w:r>
          </w:p>
        </w:tc>
        <w:tc>
          <w:tcPr>
            <w:tcW w:w="774" w:type="dxa"/>
          </w:tcPr>
          <w:p w14:paraId="48FA1A5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15.1</w:t>
            </w:r>
          </w:p>
        </w:tc>
        <w:tc>
          <w:tcPr>
            <w:tcW w:w="775" w:type="dxa"/>
          </w:tcPr>
          <w:p w14:paraId="3DD183C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B4F6DD0" w14:textId="77777777" w:rsidR="00201FE9" w:rsidRPr="00C86111" w:rsidRDefault="00201FE9" w:rsidP="00201FE9">
      <w:pPr>
        <w:tabs>
          <w:tab w:val="left" w:pos="851"/>
        </w:tabs>
        <w:jc w:val="both"/>
        <w:rPr>
          <w:rFonts w:asciiTheme="minorHAnsi" w:hAnsiTheme="minorHAnsi" w:cstheme="minorHAnsi"/>
          <w:color w:val="auto"/>
          <w:szCs w:val="24"/>
        </w:rPr>
      </w:pPr>
    </w:p>
    <w:p w14:paraId="1F414BBA" w14:textId="4867D4E1" w:rsidR="00201FE9" w:rsidRPr="00C86111" w:rsidRDefault="00201FE9" w:rsidP="00EA6904">
      <w:pPr>
        <w:pStyle w:val="Heading3"/>
      </w:pPr>
      <w:bookmarkStart w:id="59" w:name="_Toc501437752"/>
      <w:bookmarkStart w:id="60" w:name="_Toc220541879"/>
      <w:r w:rsidRPr="00C86111">
        <w:t xml:space="preserve">Procjena </w:t>
      </w:r>
      <w:r w:rsidR="000D1995" w:rsidRPr="00C86111">
        <w:t>emisija</w:t>
      </w:r>
      <w:r w:rsidRPr="00C86111">
        <w:t xml:space="preserve"> nenamjerno proizvedenih POP's (PCDD/PCDF) po glavnim </w:t>
      </w:r>
      <w:bookmarkEnd w:id="59"/>
      <w:r w:rsidRPr="00C86111">
        <w:t>grupama za period 2006 -2022. Godina</w:t>
      </w:r>
      <w:bookmarkEnd w:id="60"/>
    </w:p>
    <w:p w14:paraId="7428D02F" w14:textId="77777777" w:rsidR="004748D1" w:rsidRPr="00C86111" w:rsidRDefault="004748D1" w:rsidP="004748D1"/>
    <w:p w14:paraId="3451D03C" w14:textId="17795943"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 okviru svake grupe izvora za ključne aktivnosti inventara, tabelarno su prikazani korišćeni aktivni podaci i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za period 2006 - 2022. godina. </w:t>
      </w:r>
    </w:p>
    <w:p w14:paraId="41AE702E" w14:textId="77777777" w:rsidR="00201FE9" w:rsidRPr="00C86111" w:rsidRDefault="00201FE9" w:rsidP="00EA6904">
      <w:pPr>
        <w:pStyle w:val="Heading4"/>
        <w:rPr>
          <w:lang w:val="sr-Latn-RS"/>
        </w:rPr>
      </w:pPr>
      <w:bookmarkStart w:id="61" w:name="_Hlk208348881"/>
      <w:bookmarkStart w:id="62" w:name="_Toc501437753"/>
      <w:r w:rsidRPr="00C86111">
        <w:rPr>
          <w:lang w:val="sr-Latn-RS"/>
        </w:rPr>
        <w:t>Grupa</w:t>
      </w:r>
      <w:bookmarkEnd w:id="61"/>
      <w:r w:rsidRPr="00C86111">
        <w:rPr>
          <w:lang w:val="sr-Latn-RS"/>
        </w:rPr>
        <w:t xml:space="preserve"> 1. Spaljivanje otpada</w:t>
      </w:r>
      <w:bookmarkEnd w:id="62"/>
      <w:r w:rsidRPr="00C86111">
        <w:rPr>
          <w:lang w:val="sr-Latn-RS"/>
        </w:rPr>
        <w:t xml:space="preserve"> </w:t>
      </w:r>
    </w:p>
    <w:p w14:paraId="5C125B24"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Crnoj Gori ne postoje spalionice otpada već se generisani otpad odlaže na uređenim sanitarnim deponijama i neuređenim odlagalištima otpada. Opasni otpad iz industrije se ili odlaže na odgovarajućim lokacijama ili prikuplja i po mogućnosti izvozi. Medicinski otpad se sakuplja, obrađuje i steriliše na dvije lokacije (Podgorica i Berane) u autoklavima koji pripadaju BAT tehnici tj. u toku obrade otpada ne dolazi do formiranja i ispuštanja supstanci navedenih u Aneksu C Konvencije.</w:t>
      </w:r>
    </w:p>
    <w:p w14:paraId="473F6A64" w14:textId="77777777" w:rsidR="00201FE9" w:rsidRPr="00C86111" w:rsidRDefault="00201FE9" w:rsidP="00EA6904">
      <w:pPr>
        <w:pStyle w:val="Heading4"/>
        <w:rPr>
          <w:lang w:val="sr-Latn-RS"/>
        </w:rPr>
      </w:pPr>
      <w:bookmarkStart w:id="63" w:name="_Toc501437754"/>
      <w:r w:rsidRPr="00C86111">
        <w:rPr>
          <w:lang w:val="sr-Latn-RS"/>
        </w:rPr>
        <w:t>Grupa 2. Teška i obojena metalurgija</w:t>
      </w:r>
      <w:bookmarkEnd w:id="63"/>
      <w:r w:rsidRPr="00C86111">
        <w:rPr>
          <w:lang w:val="sr-Latn-RS"/>
        </w:rPr>
        <w:t xml:space="preserve"> </w:t>
      </w:r>
    </w:p>
    <w:p w14:paraId="66E150E6"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okviru teške i obojene metalurgije u Crnoj Gori su bila operativna dva metalurška postrojenja:</w:t>
      </w:r>
    </w:p>
    <w:p w14:paraId="6CE967D6"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Željezara Nikšić (Toščelik) i Kombinat aluminijuma Podgorica. </w:t>
      </w:r>
    </w:p>
    <w:p w14:paraId="5141663E"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U Željezari Nikšić, čelik se proizvodio topljenjem čeličnog otpada u Elektrolučnoj peći (ELP). Rad ovog postrojenja u periodu poslije 2006. godini karakteriše konstantno opadanje obima proizvodnje kao i rekonstrukcija i modernizacija pogona čeličane u 2011. godini u okviru kojeg je instaliran novi sistem za otprašivanje (stari sistem prečišćavanja je bio van funkcije). Na osnovu ovih činjenica, emisije dioksina i furana u vazduh za period 2006-2011 su proračunate upotrebom emisionog faktora od 10 µg TEQ/t a za period poslije 2011. za proračun se koristi emisioni faktor od 3µg TEQ/t. Proizvodnja u željezari je obustavljena 2022. godine.</w:t>
      </w:r>
    </w:p>
    <w:p w14:paraId="54FC28C5"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Podaci o proizvodnji čelika su preuzeti iz zvanične nacionalne statistike (Monstat) dok su potrebni tehničko-tehnološki podaci dobijeni od operatora postrojenja.</w:t>
      </w:r>
    </w:p>
    <w:p w14:paraId="68B4FC02" w14:textId="76FBF02A"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Procijenjene POP‘s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iz Elektrolučne peći za posmatrani period prikazane su tabeli </w:t>
      </w:r>
      <w:r w:rsidR="004748D1" w:rsidRPr="00C86111">
        <w:rPr>
          <w:rFonts w:asciiTheme="minorHAnsi" w:hAnsiTheme="minorHAnsi" w:cstheme="minorHAnsi"/>
          <w:color w:val="auto"/>
          <w:szCs w:val="24"/>
        </w:rPr>
        <w:t>1</w:t>
      </w:r>
      <w:r w:rsidRPr="00C86111">
        <w:rPr>
          <w:rFonts w:asciiTheme="minorHAnsi" w:hAnsiTheme="minorHAnsi" w:cstheme="minorHAnsi"/>
          <w:color w:val="auto"/>
          <w:szCs w:val="24"/>
        </w:rPr>
        <w:t xml:space="preserve">7. dok je obim proizvodnje prikazan u tabeli </w:t>
      </w:r>
      <w:r w:rsidR="004748D1" w:rsidRPr="00C86111">
        <w:rPr>
          <w:rFonts w:asciiTheme="minorHAnsi" w:hAnsiTheme="minorHAnsi" w:cstheme="minorHAnsi"/>
          <w:color w:val="auto"/>
          <w:szCs w:val="24"/>
        </w:rPr>
        <w:t>1</w:t>
      </w:r>
      <w:r w:rsidRPr="00C86111">
        <w:rPr>
          <w:rFonts w:asciiTheme="minorHAnsi" w:hAnsiTheme="minorHAnsi" w:cstheme="minorHAnsi"/>
          <w:color w:val="auto"/>
          <w:szCs w:val="24"/>
        </w:rPr>
        <w:t xml:space="preserve">8. Primjećuje se da se POP‘s uglavnom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u ostatke od proizvodnje (šljaka) i jednim dijelom u vazduh, a nivo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zavisi od godišnjeg obima proizvodnje. Proizvodnja čelika ne dovodi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PCDD/PCDF u vodu, zemljište i proizvode.</w:t>
      </w:r>
    </w:p>
    <w:p w14:paraId="0234CEE4" w14:textId="48AFC1B8"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1</w:t>
      </w:r>
      <w:r w:rsidRPr="00C86111">
        <w:rPr>
          <w:rFonts w:asciiTheme="minorHAnsi" w:hAnsiTheme="minorHAnsi" w:cstheme="minorHAnsi"/>
          <w:b/>
          <w:bCs/>
          <w:i w:val="0"/>
          <w:iCs/>
          <w:sz w:val="24"/>
          <w:lang w:val="sr-Latn-RS"/>
        </w:rPr>
        <w:t>7.</w:t>
      </w:r>
      <w:r w:rsidRPr="00C86111">
        <w:rPr>
          <w:rFonts w:asciiTheme="minorHAnsi" w:hAnsiTheme="minorHAnsi" w:cstheme="minorHAnsi"/>
          <w:i w:val="0"/>
          <w:iCs/>
          <w:sz w:val="24"/>
          <w:lang w:val="sr-Latn-RS"/>
        </w:rPr>
        <w:t xml:space="preserve"> Ukupne godišnje POP's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(PCDD/PCDF) iz postrojenja za proizvodnju čelika.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41D429E8"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EF1C57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5C31286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64E7841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20C2E7D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7045884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368B310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14E52DA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3715B53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56D5CC6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630E976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2AE878AF"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358860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761B28E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1.61</w:t>
            </w:r>
          </w:p>
        </w:tc>
        <w:tc>
          <w:tcPr>
            <w:tcW w:w="780" w:type="dxa"/>
          </w:tcPr>
          <w:p w14:paraId="0AFC84F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1.74</w:t>
            </w:r>
          </w:p>
        </w:tc>
        <w:tc>
          <w:tcPr>
            <w:tcW w:w="779" w:type="dxa"/>
          </w:tcPr>
          <w:p w14:paraId="14853B1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w:t>
            </w:r>
          </w:p>
        </w:tc>
        <w:tc>
          <w:tcPr>
            <w:tcW w:w="779" w:type="dxa"/>
          </w:tcPr>
          <w:p w14:paraId="5639A36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1.04</w:t>
            </w:r>
          </w:p>
        </w:tc>
        <w:tc>
          <w:tcPr>
            <w:tcW w:w="779" w:type="dxa"/>
          </w:tcPr>
          <w:p w14:paraId="7C3E4E0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79" w:type="dxa"/>
          </w:tcPr>
          <w:p w14:paraId="7D454C4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0.18</w:t>
            </w:r>
          </w:p>
        </w:tc>
        <w:tc>
          <w:tcPr>
            <w:tcW w:w="779" w:type="dxa"/>
          </w:tcPr>
          <w:p w14:paraId="668CD7F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0.08</w:t>
            </w:r>
          </w:p>
        </w:tc>
        <w:tc>
          <w:tcPr>
            <w:tcW w:w="779" w:type="dxa"/>
          </w:tcPr>
          <w:p w14:paraId="4445651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0.06</w:t>
            </w:r>
          </w:p>
        </w:tc>
        <w:tc>
          <w:tcPr>
            <w:tcW w:w="779" w:type="dxa"/>
          </w:tcPr>
          <w:p w14:paraId="3544C93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0.08</w:t>
            </w:r>
          </w:p>
        </w:tc>
      </w:tr>
      <w:tr w:rsidR="00201FE9" w:rsidRPr="00C86111" w14:paraId="5E7B62AC"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36A976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1B3F55B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2.42</w:t>
            </w:r>
          </w:p>
        </w:tc>
        <w:tc>
          <w:tcPr>
            <w:tcW w:w="780" w:type="dxa"/>
          </w:tcPr>
          <w:p w14:paraId="67C7F44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2.61</w:t>
            </w:r>
          </w:p>
        </w:tc>
        <w:tc>
          <w:tcPr>
            <w:tcW w:w="779" w:type="dxa"/>
          </w:tcPr>
          <w:p w14:paraId="7CF3BE8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3.03</w:t>
            </w:r>
          </w:p>
        </w:tc>
        <w:tc>
          <w:tcPr>
            <w:tcW w:w="779" w:type="dxa"/>
          </w:tcPr>
          <w:p w14:paraId="2DE146B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1.55</w:t>
            </w:r>
          </w:p>
        </w:tc>
        <w:tc>
          <w:tcPr>
            <w:tcW w:w="779" w:type="dxa"/>
          </w:tcPr>
          <w:p w14:paraId="3662B61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0.72</w:t>
            </w:r>
          </w:p>
        </w:tc>
        <w:tc>
          <w:tcPr>
            <w:tcW w:w="779" w:type="dxa"/>
          </w:tcPr>
          <w:p w14:paraId="03F17C5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0.92</w:t>
            </w:r>
          </w:p>
        </w:tc>
        <w:tc>
          <w:tcPr>
            <w:tcW w:w="779" w:type="dxa"/>
          </w:tcPr>
          <w:p w14:paraId="623C98A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0.42</w:t>
            </w:r>
          </w:p>
        </w:tc>
        <w:tc>
          <w:tcPr>
            <w:tcW w:w="779" w:type="dxa"/>
          </w:tcPr>
          <w:p w14:paraId="49B8561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0.30</w:t>
            </w:r>
          </w:p>
        </w:tc>
        <w:tc>
          <w:tcPr>
            <w:tcW w:w="779" w:type="dxa"/>
          </w:tcPr>
          <w:p w14:paraId="3FCAB48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0.42</w:t>
            </w:r>
          </w:p>
        </w:tc>
      </w:tr>
      <w:tr w:rsidR="00201FE9" w:rsidRPr="00C86111" w14:paraId="031AF3CC"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E8547F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1A267C4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517AE72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73023C1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37C96E9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45A578E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781BA6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57C8ED1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523D2A1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0F852CF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64C41C4C"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C079A73"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0ABCF03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80" w:type="dxa"/>
          </w:tcPr>
          <w:p w14:paraId="0D59496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0.08</w:t>
            </w:r>
          </w:p>
        </w:tc>
        <w:tc>
          <w:tcPr>
            <w:tcW w:w="779" w:type="dxa"/>
          </w:tcPr>
          <w:p w14:paraId="3562985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0.08</w:t>
            </w:r>
          </w:p>
        </w:tc>
        <w:tc>
          <w:tcPr>
            <w:tcW w:w="779" w:type="dxa"/>
          </w:tcPr>
          <w:p w14:paraId="227B0ED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0.08</w:t>
            </w:r>
          </w:p>
        </w:tc>
        <w:tc>
          <w:tcPr>
            <w:tcW w:w="779" w:type="dxa"/>
          </w:tcPr>
          <w:p w14:paraId="65F5CBD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0.07</w:t>
            </w:r>
          </w:p>
        </w:tc>
        <w:tc>
          <w:tcPr>
            <w:tcW w:w="779" w:type="dxa"/>
          </w:tcPr>
          <w:p w14:paraId="2198C5C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0.06</w:t>
            </w:r>
          </w:p>
        </w:tc>
        <w:tc>
          <w:tcPr>
            <w:tcW w:w="779" w:type="dxa"/>
          </w:tcPr>
          <w:p w14:paraId="7CE732C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w:t>
            </w:r>
          </w:p>
        </w:tc>
        <w:tc>
          <w:tcPr>
            <w:tcW w:w="779" w:type="dxa"/>
          </w:tcPr>
          <w:p w14:paraId="4C933EC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779" w:type="dxa"/>
          </w:tcPr>
          <w:p w14:paraId="47DC2D5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33D0B0EC" w14:textId="77777777" w:rsidTr="00BC765B">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784" w:type="dxa"/>
          </w:tcPr>
          <w:p w14:paraId="527E8A9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5B96B94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0.55</w:t>
            </w:r>
          </w:p>
        </w:tc>
        <w:tc>
          <w:tcPr>
            <w:tcW w:w="780" w:type="dxa"/>
          </w:tcPr>
          <w:p w14:paraId="404F12D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0.39</w:t>
            </w:r>
          </w:p>
        </w:tc>
        <w:tc>
          <w:tcPr>
            <w:tcW w:w="779" w:type="dxa"/>
          </w:tcPr>
          <w:p w14:paraId="34929C7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0.42</w:t>
            </w:r>
          </w:p>
        </w:tc>
        <w:tc>
          <w:tcPr>
            <w:tcW w:w="779" w:type="dxa"/>
          </w:tcPr>
          <w:p w14:paraId="778983A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718D8D1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0.36</w:t>
            </w:r>
          </w:p>
        </w:tc>
        <w:tc>
          <w:tcPr>
            <w:tcW w:w="779" w:type="dxa"/>
          </w:tcPr>
          <w:p w14:paraId="5E6B88B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0.29</w:t>
            </w:r>
          </w:p>
        </w:tc>
        <w:tc>
          <w:tcPr>
            <w:tcW w:w="779" w:type="dxa"/>
          </w:tcPr>
          <w:p w14:paraId="5E69E0E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0.05</w:t>
            </w:r>
          </w:p>
        </w:tc>
        <w:tc>
          <w:tcPr>
            <w:tcW w:w="779" w:type="dxa"/>
          </w:tcPr>
          <w:p w14:paraId="1EE6C04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779" w:type="dxa"/>
          </w:tcPr>
          <w:p w14:paraId="156A8DD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68202792" w14:textId="77777777" w:rsidR="00201FE9" w:rsidRPr="00C86111" w:rsidRDefault="00201FE9" w:rsidP="004748D1">
      <w:pPr>
        <w:pStyle w:val="Tabele"/>
        <w:numPr>
          <w:ilvl w:val="0"/>
          <w:numId w:val="0"/>
        </w:numPr>
        <w:spacing w:before="0" w:after="0"/>
        <w:rPr>
          <w:rFonts w:asciiTheme="minorHAnsi" w:hAnsiTheme="minorHAnsi" w:cstheme="minorHAnsi"/>
          <w:sz w:val="24"/>
          <w:lang w:val="sr-Latn-RS"/>
        </w:rPr>
      </w:pPr>
      <w:r w:rsidRPr="00C86111">
        <w:rPr>
          <w:rFonts w:asciiTheme="minorHAnsi" w:hAnsiTheme="minorHAnsi" w:cstheme="minorHAnsi"/>
          <w:sz w:val="24"/>
          <w:lang w:val="sr-Latn-RS"/>
        </w:rPr>
        <w:t>NP- Nema proizvodnje</w:t>
      </w:r>
    </w:p>
    <w:p w14:paraId="349B0413" w14:textId="42576F8D"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1</w:t>
      </w:r>
      <w:r w:rsidRPr="00C86111">
        <w:rPr>
          <w:rFonts w:asciiTheme="minorHAnsi" w:hAnsiTheme="minorHAnsi" w:cstheme="minorHAnsi"/>
          <w:b/>
          <w:bCs/>
          <w:i w:val="0"/>
          <w:iCs/>
          <w:sz w:val="24"/>
          <w:lang w:val="sr-Latn-RS"/>
        </w:rPr>
        <w:t>8.</w:t>
      </w:r>
      <w:r w:rsidRPr="00C86111">
        <w:rPr>
          <w:rFonts w:asciiTheme="minorHAnsi" w:hAnsiTheme="minorHAnsi" w:cstheme="minorHAnsi"/>
          <w:i w:val="0"/>
          <w:iCs/>
          <w:sz w:val="24"/>
          <w:lang w:val="sr-Latn-RS"/>
        </w:rPr>
        <w:t xml:space="preserve"> Godišnja proizvodnja u postrojenju livnice za proizvodnju čelika i željeza. 2006-2022.godina. (t)</w:t>
      </w:r>
    </w:p>
    <w:tbl>
      <w:tblPr>
        <w:tblStyle w:val="GridTable5Dark-Accent6"/>
        <w:tblW w:w="8792" w:type="dxa"/>
        <w:tblLook w:val="04A0" w:firstRow="1" w:lastRow="0" w:firstColumn="1" w:lastColumn="0" w:noHBand="0" w:noVBand="1"/>
      </w:tblPr>
      <w:tblGrid>
        <w:gridCol w:w="1556"/>
        <w:gridCol w:w="825"/>
        <w:gridCol w:w="856"/>
        <w:gridCol w:w="856"/>
        <w:gridCol w:w="857"/>
        <w:gridCol w:w="750"/>
        <w:gridCol w:w="750"/>
        <w:gridCol w:w="750"/>
        <w:gridCol w:w="750"/>
        <w:gridCol w:w="842"/>
      </w:tblGrid>
      <w:tr w:rsidR="00201FE9" w:rsidRPr="00C86111" w14:paraId="62DD1FBA"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33" w:type="dxa"/>
          </w:tcPr>
          <w:p w14:paraId="39F8264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380" w:type="dxa"/>
          </w:tcPr>
          <w:p w14:paraId="7FE1D97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881" w:type="dxa"/>
          </w:tcPr>
          <w:p w14:paraId="1660C2B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881" w:type="dxa"/>
          </w:tcPr>
          <w:p w14:paraId="191A8C2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881" w:type="dxa"/>
          </w:tcPr>
          <w:p w14:paraId="2A80357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0" w:type="dxa"/>
          </w:tcPr>
          <w:p w14:paraId="1390335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0" w:type="dxa"/>
          </w:tcPr>
          <w:p w14:paraId="1E0F001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0" w:type="dxa"/>
          </w:tcPr>
          <w:p w14:paraId="4082C6D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0" w:type="dxa"/>
          </w:tcPr>
          <w:p w14:paraId="7412520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856" w:type="dxa"/>
          </w:tcPr>
          <w:p w14:paraId="7DE204B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15139B74"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33" w:type="dxa"/>
          </w:tcPr>
          <w:p w14:paraId="581704A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željeza i čelika (t)</w:t>
            </w:r>
          </w:p>
        </w:tc>
        <w:tc>
          <w:tcPr>
            <w:tcW w:w="380" w:type="dxa"/>
          </w:tcPr>
          <w:p w14:paraId="061A4B9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161333</w:t>
            </w:r>
          </w:p>
        </w:tc>
        <w:tc>
          <w:tcPr>
            <w:tcW w:w="881" w:type="dxa"/>
          </w:tcPr>
          <w:p w14:paraId="39D2C04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173913</w:t>
            </w:r>
          </w:p>
        </w:tc>
        <w:tc>
          <w:tcPr>
            <w:tcW w:w="881" w:type="dxa"/>
          </w:tcPr>
          <w:p w14:paraId="6527A7F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201690</w:t>
            </w:r>
          </w:p>
        </w:tc>
        <w:tc>
          <w:tcPr>
            <w:tcW w:w="881" w:type="dxa"/>
          </w:tcPr>
          <w:p w14:paraId="3D632A0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103479</w:t>
            </w:r>
          </w:p>
        </w:tc>
        <w:tc>
          <w:tcPr>
            <w:tcW w:w="770" w:type="dxa"/>
          </w:tcPr>
          <w:p w14:paraId="204F7DE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48272</w:t>
            </w:r>
          </w:p>
        </w:tc>
        <w:tc>
          <w:tcPr>
            <w:tcW w:w="770" w:type="dxa"/>
          </w:tcPr>
          <w:p w14:paraId="249E8F7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61164</w:t>
            </w:r>
          </w:p>
        </w:tc>
        <w:tc>
          <w:tcPr>
            <w:tcW w:w="770" w:type="dxa"/>
          </w:tcPr>
          <w:p w14:paraId="71F3968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28161</w:t>
            </w:r>
          </w:p>
        </w:tc>
        <w:tc>
          <w:tcPr>
            <w:tcW w:w="770" w:type="dxa"/>
          </w:tcPr>
          <w:p w14:paraId="28E3D83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19723</w:t>
            </w:r>
          </w:p>
        </w:tc>
        <w:tc>
          <w:tcPr>
            <w:tcW w:w="856" w:type="dxa"/>
          </w:tcPr>
          <w:p w14:paraId="47EAC85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27683*</w:t>
            </w:r>
          </w:p>
        </w:tc>
      </w:tr>
      <w:tr w:rsidR="00201FE9" w:rsidRPr="00C86111" w14:paraId="35102BA4"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833" w:type="dxa"/>
          </w:tcPr>
          <w:p w14:paraId="2C3F645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380" w:type="dxa"/>
          </w:tcPr>
          <w:p w14:paraId="16F8539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881" w:type="dxa"/>
          </w:tcPr>
          <w:p w14:paraId="4FAB8B5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881" w:type="dxa"/>
          </w:tcPr>
          <w:p w14:paraId="030E61E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881" w:type="dxa"/>
          </w:tcPr>
          <w:p w14:paraId="59CDA83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0" w:type="dxa"/>
          </w:tcPr>
          <w:p w14:paraId="41BB17A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0" w:type="dxa"/>
          </w:tcPr>
          <w:p w14:paraId="4187521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0" w:type="dxa"/>
          </w:tcPr>
          <w:p w14:paraId="7F63F4F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0" w:type="dxa"/>
          </w:tcPr>
          <w:p w14:paraId="38B9C10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856" w:type="dxa"/>
          </w:tcPr>
          <w:p w14:paraId="492F425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70F604D1"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33" w:type="dxa"/>
          </w:tcPr>
          <w:p w14:paraId="486702FA"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željeza i čelika (t)</w:t>
            </w:r>
          </w:p>
        </w:tc>
        <w:tc>
          <w:tcPr>
            <w:tcW w:w="380" w:type="dxa"/>
          </w:tcPr>
          <w:p w14:paraId="32EA06D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36602</w:t>
            </w:r>
          </w:p>
        </w:tc>
        <w:tc>
          <w:tcPr>
            <w:tcW w:w="881" w:type="dxa"/>
          </w:tcPr>
          <w:p w14:paraId="57152DA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26246</w:t>
            </w:r>
          </w:p>
        </w:tc>
        <w:tc>
          <w:tcPr>
            <w:tcW w:w="881" w:type="dxa"/>
          </w:tcPr>
          <w:p w14:paraId="6285982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27638</w:t>
            </w:r>
          </w:p>
        </w:tc>
        <w:tc>
          <w:tcPr>
            <w:tcW w:w="881" w:type="dxa"/>
          </w:tcPr>
          <w:p w14:paraId="3A2A7E8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26552</w:t>
            </w:r>
          </w:p>
        </w:tc>
        <w:tc>
          <w:tcPr>
            <w:tcW w:w="770" w:type="dxa"/>
          </w:tcPr>
          <w:p w14:paraId="0B4619D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24262</w:t>
            </w:r>
          </w:p>
        </w:tc>
        <w:tc>
          <w:tcPr>
            <w:tcW w:w="770" w:type="dxa"/>
          </w:tcPr>
          <w:p w14:paraId="1B5A9B3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19364</w:t>
            </w:r>
          </w:p>
        </w:tc>
        <w:tc>
          <w:tcPr>
            <w:tcW w:w="770" w:type="dxa"/>
          </w:tcPr>
          <w:p w14:paraId="7E021AD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3042</w:t>
            </w:r>
          </w:p>
        </w:tc>
        <w:tc>
          <w:tcPr>
            <w:tcW w:w="770" w:type="dxa"/>
          </w:tcPr>
          <w:p w14:paraId="31CDC13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856" w:type="dxa"/>
          </w:tcPr>
          <w:p w14:paraId="3D79491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2923C3BB" w14:textId="77777777" w:rsidR="00201FE9" w:rsidRPr="00C86111" w:rsidRDefault="00201FE9" w:rsidP="004748D1">
      <w:pPr>
        <w:pStyle w:val="Tabele"/>
        <w:numPr>
          <w:ilvl w:val="0"/>
          <w:numId w:val="0"/>
        </w:numPr>
        <w:spacing w:before="0" w:after="0"/>
        <w:jc w:val="both"/>
        <w:rPr>
          <w:rFonts w:asciiTheme="minorHAnsi" w:hAnsiTheme="minorHAnsi" w:cstheme="minorHAnsi"/>
          <w:sz w:val="24"/>
          <w:lang w:val="sr-Latn-RS"/>
        </w:rPr>
      </w:pPr>
      <w:r w:rsidRPr="00C86111">
        <w:rPr>
          <w:rFonts w:asciiTheme="minorHAnsi" w:hAnsiTheme="minorHAnsi" w:cstheme="minorHAnsi"/>
          <w:sz w:val="24"/>
          <w:lang w:val="sr-Latn-RS"/>
        </w:rPr>
        <w:t>*Nema zvaničnog podatka. srednja vrijednost iz prethodne 4 godine</w:t>
      </w:r>
    </w:p>
    <w:p w14:paraId="5C18B5DF" w14:textId="77777777" w:rsidR="00201FE9" w:rsidRPr="00C86111" w:rsidRDefault="00201FE9" w:rsidP="004748D1">
      <w:pPr>
        <w:pStyle w:val="Tabele"/>
        <w:numPr>
          <w:ilvl w:val="0"/>
          <w:numId w:val="0"/>
        </w:numPr>
        <w:spacing w:before="0" w:after="0"/>
        <w:jc w:val="both"/>
        <w:rPr>
          <w:rFonts w:asciiTheme="minorHAnsi" w:hAnsiTheme="minorHAnsi" w:cstheme="minorHAnsi"/>
          <w:sz w:val="24"/>
          <w:lang w:val="sr-Latn-RS"/>
        </w:rPr>
      </w:pPr>
      <w:r w:rsidRPr="00C86111">
        <w:rPr>
          <w:rFonts w:asciiTheme="minorHAnsi" w:hAnsiTheme="minorHAnsi" w:cstheme="minorHAnsi"/>
          <w:sz w:val="24"/>
          <w:lang w:val="sr-Latn-RS"/>
        </w:rPr>
        <w:t>NP- nema proizvodnje</w:t>
      </w:r>
    </w:p>
    <w:p w14:paraId="3B061D27"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 Kombinata aluminijuma Podgorica bilo je operativno postrojenje za proizvodnja aluminijuma iz sekundarnih sirovina (pogon Silumina). Radilo se o postrojenju zastarjele tehnologije na kojem je instalisano filtersko postrojenje koje vrši otprašivanje otpadnog gasa sa niskom efikasnošću. Iz tog razloga za razmatranje emisije dioksina i furana u vazduh korišćen je visočiji emisioni faktor od 10 µgTEQ/t. Emisije dioksina i furana pokazuju opadajući trend u poređenju sa baznom </w:t>
      </w:r>
      <w:r w:rsidRPr="00C86111">
        <w:rPr>
          <w:rFonts w:asciiTheme="minorHAnsi" w:hAnsiTheme="minorHAnsi" w:cstheme="minorHAnsi"/>
          <w:color w:val="auto"/>
          <w:szCs w:val="24"/>
        </w:rPr>
        <w:lastRenderedPageBreak/>
        <w:t>godinom usljed značajnog smanjenja obima proizvodnje na postrojenju. Proizvodnja aluminijuma iz sekundarnih sirovina potpuno je obustavljena 2019. godine.</w:t>
      </w:r>
    </w:p>
    <w:p w14:paraId="749945A5"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Podaci o proizvodnji su dobijeni od operatora postrojenja.</w:t>
      </w:r>
    </w:p>
    <w:p w14:paraId="3711BB09" w14:textId="51FF4435"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Nivoi procijenjenih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kao i obim proizvodnje za posmatrani period prikazani su tabelama </w:t>
      </w:r>
      <w:r w:rsidR="004748D1" w:rsidRPr="00C86111">
        <w:rPr>
          <w:rFonts w:asciiTheme="minorHAnsi" w:hAnsiTheme="minorHAnsi" w:cstheme="minorHAnsi"/>
          <w:color w:val="auto"/>
          <w:szCs w:val="24"/>
        </w:rPr>
        <w:t>1</w:t>
      </w:r>
      <w:r w:rsidRPr="00C86111">
        <w:rPr>
          <w:rFonts w:asciiTheme="minorHAnsi" w:hAnsiTheme="minorHAnsi" w:cstheme="minorHAnsi"/>
          <w:color w:val="auto"/>
          <w:szCs w:val="24"/>
        </w:rPr>
        <w:t xml:space="preserve">9. i </w:t>
      </w:r>
      <w:r w:rsidR="004748D1" w:rsidRPr="00C86111">
        <w:rPr>
          <w:rFonts w:asciiTheme="minorHAnsi" w:hAnsiTheme="minorHAnsi" w:cstheme="minorHAnsi"/>
          <w:color w:val="auto"/>
          <w:szCs w:val="24"/>
        </w:rPr>
        <w:t>2</w:t>
      </w:r>
      <w:r w:rsidRPr="00C86111">
        <w:rPr>
          <w:rFonts w:asciiTheme="minorHAnsi" w:hAnsiTheme="minorHAnsi" w:cstheme="minorHAnsi"/>
          <w:color w:val="auto"/>
          <w:szCs w:val="24"/>
        </w:rPr>
        <w:t xml:space="preserve">0. Nenamjerna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POP’s je vršena  u vazduh i ostatke od procesa proizvodnje dok sam tehnološki proces ne dovodi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u vodu, zemljište i proizvode.</w:t>
      </w:r>
    </w:p>
    <w:p w14:paraId="3E4117EB" w14:textId="4A2629B7"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1</w:t>
      </w:r>
      <w:r w:rsidRPr="00C86111">
        <w:rPr>
          <w:rFonts w:asciiTheme="minorHAnsi" w:hAnsiTheme="minorHAnsi" w:cstheme="minorHAnsi"/>
          <w:b/>
          <w:bCs/>
          <w:i w:val="0"/>
          <w:iCs/>
          <w:sz w:val="24"/>
          <w:lang w:val="sr-Latn-RS"/>
        </w:rPr>
        <w:t>9.</w:t>
      </w:r>
      <w:r w:rsidRPr="00C86111">
        <w:rPr>
          <w:rFonts w:asciiTheme="minorHAnsi" w:hAnsiTheme="minorHAnsi" w:cstheme="minorHAnsi"/>
          <w:i w:val="0"/>
          <w:iCs/>
          <w:sz w:val="24"/>
          <w:lang w:val="sr-Latn-RS"/>
        </w:rPr>
        <w:t xml:space="preserve"> Ukupne godišnje POP's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(PCDD/PCDF) iz postrojenja za proizvodnju aluminijuma iz sekundarnih sirovina.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4C0DE253"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23F6F6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36A2BFB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1CA22A9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1448016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29698DA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516C07F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387AC02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582AC38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7B9BFBB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2A13937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087EA0E8"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BB061A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489FBCF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0.23</w:t>
            </w:r>
          </w:p>
        </w:tc>
        <w:tc>
          <w:tcPr>
            <w:tcW w:w="780" w:type="dxa"/>
          </w:tcPr>
          <w:p w14:paraId="3320C2B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0.31</w:t>
            </w:r>
          </w:p>
        </w:tc>
        <w:tc>
          <w:tcPr>
            <w:tcW w:w="779" w:type="dxa"/>
          </w:tcPr>
          <w:p w14:paraId="0AD9E94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0.21</w:t>
            </w:r>
          </w:p>
        </w:tc>
        <w:tc>
          <w:tcPr>
            <w:tcW w:w="779" w:type="dxa"/>
          </w:tcPr>
          <w:p w14:paraId="64D70EA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79" w:type="dxa"/>
          </w:tcPr>
          <w:p w14:paraId="2958F50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0.17</w:t>
            </w:r>
          </w:p>
        </w:tc>
        <w:tc>
          <w:tcPr>
            <w:tcW w:w="779" w:type="dxa"/>
          </w:tcPr>
          <w:p w14:paraId="54BDE74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0.18</w:t>
            </w:r>
          </w:p>
        </w:tc>
        <w:tc>
          <w:tcPr>
            <w:tcW w:w="779" w:type="dxa"/>
          </w:tcPr>
          <w:p w14:paraId="145DD2A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79" w:type="dxa"/>
          </w:tcPr>
          <w:p w14:paraId="6E66236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0.08</w:t>
            </w:r>
          </w:p>
        </w:tc>
        <w:tc>
          <w:tcPr>
            <w:tcW w:w="779" w:type="dxa"/>
          </w:tcPr>
          <w:p w14:paraId="5F6A34F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0.07</w:t>
            </w:r>
          </w:p>
        </w:tc>
      </w:tr>
      <w:tr w:rsidR="00201FE9" w:rsidRPr="00C86111" w14:paraId="30FD2DD4"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7CEF881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0C44FA2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0.50</w:t>
            </w:r>
          </w:p>
        </w:tc>
        <w:tc>
          <w:tcPr>
            <w:tcW w:w="780" w:type="dxa"/>
          </w:tcPr>
          <w:p w14:paraId="4D3E7B1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0.60</w:t>
            </w:r>
          </w:p>
        </w:tc>
        <w:tc>
          <w:tcPr>
            <w:tcW w:w="779" w:type="dxa"/>
          </w:tcPr>
          <w:p w14:paraId="710627E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1434D7D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0.30</w:t>
            </w:r>
          </w:p>
        </w:tc>
        <w:tc>
          <w:tcPr>
            <w:tcW w:w="779" w:type="dxa"/>
          </w:tcPr>
          <w:p w14:paraId="4A499C7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0.34</w:t>
            </w:r>
          </w:p>
        </w:tc>
        <w:tc>
          <w:tcPr>
            <w:tcW w:w="779" w:type="dxa"/>
          </w:tcPr>
          <w:p w14:paraId="0503512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0.36</w:t>
            </w:r>
          </w:p>
        </w:tc>
        <w:tc>
          <w:tcPr>
            <w:tcW w:w="779" w:type="dxa"/>
          </w:tcPr>
          <w:p w14:paraId="6B4CFE3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0.29</w:t>
            </w:r>
          </w:p>
        </w:tc>
        <w:tc>
          <w:tcPr>
            <w:tcW w:w="779" w:type="dxa"/>
          </w:tcPr>
          <w:p w14:paraId="03C05A0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0.17</w:t>
            </w:r>
          </w:p>
        </w:tc>
        <w:tc>
          <w:tcPr>
            <w:tcW w:w="779" w:type="dxa"/>
          </w:tcPr>
          <w:p w14:paraId="054B335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r>
      <w:tr w:rsidR="00201FE9" w:rsidRPr="00C86111" w14:paraId="7997D276"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7BD3F1B5"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0CECA8D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2015</w:t>
            </w:r>
          </w:p>
        </w:tc>
        <w:tc>
          <w:tcPr>
            <w:tcW w:w="780" w:type="dxa"/>
          </w:tcPr>
          <w:p w14:paraId="6E15EBC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2016</w:t>
            </w:r>
          </w:p>
        </w:tc>
        <w:tc>
          <w:tcPr>
            <w:tcW w:w="779" w:type="dxa"/>
          </w:tcPr>
          <w:p w14:paraId="5A037A4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2017</w:t>
            </w:r>
          </w:p>
        </w:tc>
        <w:tc>
          <w:tcPr>
            <w:tcW w:w="779" w:type="dxa"/>
          </w:tcPr>
          <w:p w14:paraId="5275C96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c>
          <w:tcPr>
            <w:tcW w:w="779" w:type="dxa"/>
          </w:tcPr>
          <w:p w14:paraId="0BBB902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c>
          <w:tcPr>
            <w:tcW w:w="779" w:type="dxa"/>
          </w:tcPr>
          <w:p w14:paraId="359673C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c>
          <w:tcPr>
            <w:tcW w:w="779" w:type="dxa"/>
          </w:tcPr>
          <w:p w14:paraId="67E3541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779" w:type="dxa"/>
          </w:tcPr>
          <w:p w14:paraId="171D807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c>
          <w:tcPr>
            <w:tcW w:w="779" w:type="dxa"/>
          </w:tcPr>
          <w:p w14:paraId="61D6697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2023</w:t>
            </w:r>
          </w:p>
        </w:tc>
      </w:tr>
      <w:tr w:rsidR="00201FE9" w:rsidRPr="00C86111" w14:paraId="5110DF56"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507204D5"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413044E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0.10</w:t>
            </w:r>
          </w:p>
        </w:tc>
        <w:tc>
          <w:tcPr>
            <w:tcW w:w="780" w:type="dxa"/>
          </w:tcPr>
          <w:p w14:paraId="73D056D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0.06</w:t>
            </w:r>
          </w:p>
        </w:tc>
        <w:tc>
          <w:tcPr>
            <w:tcW w:w="779" w:type="dxa"/>
          </w:tcPr>
          <w:p w14:paraId="1AA058C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0.09</w:t>
            </w:r>
          </w:p>
        </w:tc>
        <w:tc>
          <w:tcPr>
            <w:tcW w:w="779" w:type="dxa"/>
          </w:tcPr>
          <w:p w14:paraId="147AF96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4CBEAAD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49AD3D2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160F870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6CBB5E5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6B204C0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6B8DF825"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F54D4C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4473139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0.21</w:t>
            </w:r>
          </w:p>
        </w:tc>
        <w:tc>
          <w:tcPr>
            <w:tcW w:w="780" w:type="dxa"/>
          </w:tcPr>
          <w:p w14:paraId="0DC4083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347ADBF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0.18</w:t>
            </w:r>
          </w:p>
        </w:tc>
        <w:tc>
          <w:tcPr>
            <w:tcW w:w="779" w:type="dxa"/>
          </w:tcPr>
          <w:p w14:paraId="6855C4A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3D6756A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407304E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1790D8E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2ADE09D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232C0A2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407580F4" w14:textId="77777777" w:rsidR="00201FE9" w:rsidRPr="00C86111" w:rsidRDefault="00201FE9" w:rsidP="00201FE9">
      <w:pPr>
        <w:jc w:val="both"/>
        <w:rPr>
          <w:rFonts w:asciiTheme="minorHAnsi" w:hAnsiTheme="minorHAnsi" w:cstheme="minorHAnsi"/>
          <w:color w:val="auto"/>
          <w:szCs w:val="24"/>
        </w:rPr>
      </w:pPr>
    </w:p>
    <w:p w14:paraId="2BC4570D" w14:textId="291F6CC4" w:rsidR="00201FE9" w:rsidRPr="00C86111" w:rsidRDefault="00201FE9" w:rsidP="00201FE9">
      <w:pPr>
        <w:rPr>
          <w:lang w:val="sr-Latn-RS"/>
        </w:rPr>
      </w:pPr>
      <w:r w:rsidRPr="00C86111">
        <w:rPr>
          <w:b/>
          <w:bCs/>
          <w:lang w:val="sr-Latn-RS"/>
        </w:rPr>
        <w:t xml:space="preserve">Tabela </w:t>
      </w:r>
      <w:r w:rsidR="004748D1" w:rsidRPr="00C86111">
        <w:rPr>
          <w:b/>
          <w:bCs/>
          <w:lang w:val="sr-Latn-RS"/>
        </w:rPr>
        <w:t>2</w:t>
      </w:r>
      <w:r w:rsidRPr="00C86111">
        <w:rPr>
          <w:b/>
          <w:bCs/>
          <w:lang w:val="sr-Latn-RS"/>
        </w:rPr>
        <w:t>0.</w:t>
      </w:r>
      <w:r w:rsidRPr="00C86111">
        <w:rPr>
          <w:lang w:val="sr-Latn-RS"/>
        </w:rPr>
        <w:t xml:space="preserve"> Godišnja proizvodnja u postrojenju za proizvodnju aluminijuma iz sekundarnih sirovina. 2006-2022. godina (t)</w:t>
      </w:r>
    </w:p>
    <w:tbl>
      <w:tblPr>
        <w:tblStyle w:val="GridTable5Dark-Accent6"/>
        <w:tblW w:w="8785" w:type="dxa"/>
        <w:tblLook w:val="04A0" w:firstRow="1" w:lastRow="0" w:firstColumn="1" w:lastColumn="0" w:noHBand="0" w:noVBand="1"/>
      </w:tblPr>
      <w:tblGrid>
        <w:gridCol w:w="1676"/>
        <w:gridCol w:w="866"/>
        <w:gridCol w:w="710"/>
        <w:gridCol w:w="872"/>
        <w:gridCol w:w="872"/>
        <w:gridCol w:w="769"/>
        <w:gridCol w:w="769"/>
        <w:gridCol w:w="769"/>
        <w:gridCol w:w="768"/>
        <w:gridCol w:w="714"/>
      </w:tblGrid>
      <w:tr w:rsidR="00201FE9" w:rsidRPr="00C86111" w14:paraId="04908899"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76" w:type="dxa"/>
          </w:tcPr>
          <w:p w14:paraId="264C481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66" w:type="dxa"/>
          </w:tcPr>
          <w:p w14:paraId="5776874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10" w:type="dxa"/>
          </w:tcPr>
          <w:p w14:paraId="793172D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872" w:type="dxa"/>
          </w:tcPr>
          <w:p w14:paraId="79102C3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872" w:type="dxa"/>
          </w:tcPr>
          <w:p w14:paraId="7C7E744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69" w:type="dxa"/>
          </w:tcPr>
          <w:p w14:paraId="1A3FD0B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69" w:type="dxa"/>
          </w:tcPr>
          <w:p w14:paraId="1D35C46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69" w:type="dxa"/>
          </w:tcPr>
          <w:p w14:paraId="32BBB24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68" w:type="dxa"/>
          </w:tcPr>
          <w:p w14:paraId="65B31CF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14" w:type="dxa"/>
          </w:tcPr>
          <w:p w14:paraId="236C15E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6BCA9752"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76" w:type="dxa"/>
          </w:tcPr>
          <w:p w14:paraId="37D514F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aluminijuma (t)</w:t>
            </w:r>
          </w:p>
        </w:tc>
        <w:tc>
          <w:tcPr>
            <w:tcW w:w="866" w:type="dxa"/>
          </w:tcPr>
          <w:p w14:paraId="0492619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2282</w:t>
            </w:r>
          </w:p>
        </w:tc>
        <w:tc>
          <w:tcPr>
            <w:tcW w:w="710" w:type="dxa"/>
          </w:tcPr>
          <w:p w14:paraId="7EB5814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3068</w:t>
            </w:r>
          </w:p>
        </w:tc>
        <w:tc>
          <w:tcPr>
            <w:tcW w:w="872" w:type="dxa"/>
          </w:tcPr>
          <w:p w14:paraId="142CF12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2057</w:t>
            </w:r>
          </w:p>
        </w:tc>
        <w:tc>
          <w:tcPr>
            <w:tcW w:w="872" w:type="dxa"/>
          </w:tcPr>
          <w:p w14:paraId="1B2B80B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1511</w:t>
            </w:r>
          </w:p>
        </w:tc>
        <w:tc>
          <w:tcPr>
            <w:tcW w:w="769" w:type="dxa"/>
          </w:tcPr>
          <w:p w14:paraId="6EF4C9E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1690</w:t>
            </w:r>
          </w:p>
        </w:tc>
        <w:tc>
          <w:tcPr>
            <w:tcW w:w="769" w:type="dxa"/>
          </w:tcPr>
          <w:p w14:paraId="3FF1DD2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1797</w:t>
            </w:r>
          </w:p>
        </w:tc>
        <w:tc>
          <w:tcPr>
            <w:tcW w:w="769" w:type="dxa"/>
          </w:tcPr>
          <w:p w14:paraId="3CBE43B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1457</w:t>
            </w:r>
          </w:p>
        </w:tc>
        <w:tc>
          <w:tcPr>
            <w:tcW w:w="768" w:type="dxa"/>
          </w:tcPr>
          <w:p w14:paraId="6A378FF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832</w:t>
            </w:r>
          </w:p>
        </w:tc>
        <w:tc>
          <w:tcPr>
            <w:tcW w:w="714" w:type="dxa"/>
          </w:tcPr>
          <w:p w14:paraId="709A556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732</w:t>
            </w:r>
          </w:p>
        </w:tc>
      </w:tr>
      <w:tr w:rsidR="00201FE9" w:rsidRPr="00C86111" w14:paraId="383F0C4A"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676" w:type="dxa"/>
          </w:tcPr>
          <w:p w14:paraId="561C156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66" w:type="dxa"/>
          </w:tcPr>
          <w:p w14:paraId="0E6E10E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10" w:type="dxa"/>
          </w:tcPr>
          <w:p w14:paraId="2F8BF4E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872" w:type="dxa"/>
          </w:tcPr>
          <w:p w14:paraId="273FA44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872" w:type="dxa"/>
          </w:tcPr>
          <w:p w14:paraId="4F8E078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69" w:type="dxa"/>
          </w:tcPr>
          <w:p w14:paraId="16C336F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69" w:type="dxa"/>
          </w:tcPr>
          <w:p w14:paraId="5A2127D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69" w:type="dxa"/>
          </w:tcPr>
          <w:p w14:paraId="4501D86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68" w:type="dxa"/>
          </w:tcPr>
          <w:p w14:paraId="72D74F2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14" w:type="dxa"/>
          </w:tcPr>
          <w:p w14:paraId="4903F79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3124EC5"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76" w:type="dxa"/>
          </w:tcPr>
          <w:p w14:paraId="65C74CF2"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aluminijuma (t)</w:t>
            </w:r>
          </w:p>
        </w:tc>
        <w:tc>
          <w:tcPr>
            <w:tcW w:w="866" w:type="dxa"/>
          </w:tcPr>
          <w:p w14:paraId="29DFC67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1041</w:t>
            </w:r>
          </w:p>
        </w:tc>
        <w:tc>
          <w:tcPr>
            <w:tcW w:w="710" w:type="dxa"/>
          </w:tcPr>
          <w:p w14:paraId="08CE9CC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581</w:t>
            </w:r>
          </w:p>
        </w:tc>
        <w:tc>
          <w:tcPr>
            <w:tcW w:w="872" w:type="dxa"/>
          </w:tcPr>
          <w:p w14:paraId="796233D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895</w:t>
            </w:r>
          </w:p>
        </w:tc>
        <w:tc>
          <w:tcPr>
            <w:tcW w:w="872" w:type="dxa"/>
          </w:tcPr>
          <w:p w14:paraId="476AE6D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218</w:t>
            </w:r>
          </w:p>
        </w:tc>
        <w:tc>
          <w:tcPr>
            <w:tcW w:w="769" w:type="dxa"/>
          </w:tcPr>
          <w:p w14:paraId="6B26A12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769" w:type="dxa"/>
          </w:tcPr>
          <w:p w14:paraId="4400D68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769" w:type="dxa"/>
          </w:tcPr>
          <w:p w14:paraId="6F326A4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768" w:type="dxa"/>
          </w:tcPr>
          <w:p w14:paraId="7C242E4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714" w:type="dxa"/>
          </w:tcPr>
          <w:p w14:paraId="13118B1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064ABBE" w14:textId="77777777" w:rsidR="00201FE9" w:rsidRPr="00C86111" w:rsidRDefault="00201FE9" w:rsidP="004748D1">
      <w:pPr>
        <w:pStyle w:val="Tabele"/>
        <w:numPr>
          <w:ilvl w:val="0"/>
          <w:numId w:val="0"/>
        </w:numPr>
        <w:spacing w:before="0" w:after="0"/>
        <w:ind w:left="810" w:hanging="360"/>
        <w:jc w:val="both"/>
        <w:rPr>
          <w:rFonts w:asciiTheme="minorHAnsi" w:hAnsiTheme="minorHAnsi" w:cstheme="minorHAnsi"/>
          <w:sz w:val="24"/>
          <w:lang w:val="sr-Latn-RS"/>
        </w:rPr>
      </w:pPr>
      <w:r w:rsidRPr="00C86111">
        <w:rPr>
          <w:rFonts w:asciiTheme="minorHAnsi" w:hAnsiTheme="minorHAnsi" w:cstheme="minorHAnsi"/>
          <w:sz w:val="24"/>
          <w:lang w:val="sr-Latn-RS"/>
        </w:rPr>
        <w:t>NP- nema proizvodnje</w:t>
      </w:r>
    </w:p>
    <w:p w14:paraId="011D5924" w14:textId="7B2BB65D" w:rsidR="00201FE9" w:rsidRPr="00C86111" w:rsidRDefault="00201FE9" w:rsidP="00EA6904">
      <w:pPr>
        <w:pStyle w:val="Heading4"/>
        <w:rPr>
          <w:lang w:val="sr-Latn-RS"/>
        </w:rPr>
      </w:pPr>
      <w:bookmarkStart w:id="64" w:name="_Toc501437755"/>
      <w:r w:rsidRPr="00C86111">
        <w:rPr>
          <w:lang w:val="sr-Latn-RS"/>
        </w:rPr>
        <w:t>Grupa 3. Proizvodnja električne i toplotne energije</w:t>
      </w:r>
      <w:bookmarkEnd w:id="64"/>
    </w:p>
    <w:p w14:paraId="11219C7B" w14:textId="1DDBA54D"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Proizvodnja toplotne i električne energije je važna kategorija u nacionalnom inventaru sa stanovišta doprinosa ukupnim nacionalnim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ma u vazduh nenamjeravano proizvedenih/ispuštenih PCDD/PCDF. Lignit, kao vrsta uglja, se kao gorivo najviše troši u Crnoj Gori zbog rada velikog postrojenja za proizvodnju električne energije (TE Pljevlja). Međutim sa stanovišta inteziteta emisija dioksina i furana u vazduh, značajnija je potrošnja drvne biomase zbog većih emisionih faktora za drvnu biomasu (od 50 do 100 µgTEQ/TJ) u odnosu na emisioni faktor za sagorijevanje uglja (10 µgTEQ/TJ). Potrošnja tečnih goriva na nacionalnom nivou nije značajan izvor POP’s (0,001 gTEQ/god), zbog relativno male potrošnje i niskih emisionih faktora za mazut i lako lož ulje. </w:t>
      </w:r>
    </w:p>
    <w:p w14:paraId="517CC578" w14:textId="6638C088"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Tabelama </w:t>
      </w:r>
      <w:r w:rsidR="004748D1" w:rsidRPr="00C86111">
        <w:rPr>
          <w:rFonts w:asciiTheme="minorHAnsi" w:hAnsiTheme="minorHAnsi" w:cstheme="minorHAnsi"/>
          <w:color w:val="auto"/>
          <w:szCs w:val="24"/>
        </w:rPr>
        <w:t>2</w:t>
      </w:r>
      <w:r w:rsidRPr="00C86111">
        <w:rPr>
          <w:rFonts w:asciiTheme="minorHAnsi" w:hAnsiTheme="minorHAnsi" w:cstheme="minorHAnsi"/>
          <w:color w:val="auto"/>
          <w:szCs w:val="24"/>
        </w:rPr>
        <w:t xml:space="preserve">1. i </w:t>
      </w:r>
      <w:r w:rsidR="004748D1" w:rsidRPr="00C86111">
        <w:rPr>
          <w:rFonts w:asciiTheme="minorHAnsi" w:hAnsiTheme="minorHAnsi" w:cstheme="minorHAnsi"/>
          <w:color w:val="auto"/>
          <w:szCs w:val="24"/>
        </w:rPr>
        <w:t>2</w:t>
      </w:r>
      <w:r w:rsidRPr="00C86111">
        <w:rPr>
          <w:rFonts w:asciiTheme="minorHAnsi" w:hAnsiTheme="minorHAnsi" w:cstheme="minorHAnsi"/>
          <w:color w:val="auto"/>
          <w:szCs w:val="24"/>
        </w:rPr>
        <w:t xml:space="preserve">2. su prikazane procijenjene POP’s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i količine utrošenog lignita energetskom sektoru, industriji, trgovini i javnim uslugama. Prilikom sagorijevanja lignita dolazi </w:t>
      </w:r>
      <w:r w:rsidRPr="00C86111">
        <w:rPr>
          <w:rFonts w:asciiTheme="minorHAnsi" w:hAnsiTheme="minorHAnsi" w:cstheme="minorHAnsi"/>
          <w:color w:val="auto"/>
          <w:szCs w:val="24"/>
        </w:rPr>
        <w:lastRenderedPageBreak/>
        <w:t xml:space="preserve">do emisije POP’s kako u vazduh tako i sa stanovišta značajnog potencijalnog uticaja na okolinu,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u ostatke iz procesa proizvodnje (šljaka).</w:t>
      </w:r>
    </w:p>
    <w:p w14:paraId="71E3CF04" w14:textId="77777777" w:rsidR="004748D1" w:rsidRPr="00C86111" w:rsidRDefault="004748D1" w:rsidP="00201FE9">
      <w:pPr>
        <w:jc w:val="both"/>
        <w:rPr>
          <w:rFonts w:asciiTheme="minorHAnsi" w:hAnsiTheme="minorHAnsi" w:cstheme="minorHAnsi"/>
          <w:color w:val="auto"/>
          <w:szCs w:val="24"/>
        </w:rPr>
      </w:pPr>
    </w:p>
    <w:p w14:paraId="3AB05B92" w14:textId="504FEDFE"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2</w:t>
      </w:r>
      <w:r w:rsidRPr="00C86111">
        <w:rPr>
          <w:rFonts w:asciiTheme="minorHAnsi" w:hAnsiTheme="minorHAnsi" w:cstheme="minorHAnsi"/>
          <w:b/>
          <w:bCs/>
          <w:i w:val="0"/>
          <w:iCs/>
          <w:sz w:val="24"/>
          <w:lang w:val="sr-Latn-RS"/>
        </w:rPr>
        <w:t>1.</w:t>
      </w:r>
      <w:r w:rsidRPr="00C86111">
        <w:rPr>
          <w:rFonts w:asciiTheme="minorHAnsi" w:hAnsiTheme="minorHAnsi" w:cstheme="minorHAnsi"/>
          <w:i w:val="0"/>
          <w:iCs/>
          <w:sz w:val="24"/>
          <w:lang w:val="sr-Latn-RS"/>
        </w:rPr>
        <w:t xml:space="preserve"> Ukupne godišnje POP's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(PCDD/PCDF) usled sagorijevanja uglja.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65DE7F42"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AB5B4C0"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47E3F2E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0EE9865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2FD49BD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0A6A685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2F3162B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14A3E3A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6E61AF8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34986FF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570B418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46E29C2B"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23C4FA4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56C2D7A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80" w:type="dxa"/>
          </w:tcPr>
          <w:p w14:paraId="0BD700C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52466C9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72C1F9C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0.08</w:t>
            </w:r>
          </w:p>
        </w:tc>
        <w:tc>
          <w:tcPr>
            <w:tcW w:w="779" w:type="dxa"/>
          </w:tcPr>
          <w:p w14:paraId="16986EB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0.18</w:t>
            </w:r>
          </w:p>
        </w:tc>
        <w:tc>
          <w:tcPr>
            <w:tcW w:w="779" w:type="dxa"/>
          </w:tcPr>
          <w:p w14:paraId="70DB015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0.18</w:t>
            </w:r>
          </w:p>
        </w:tc>
        <w:tc>
          <w:tcPr>
            <w:tcW w:w="779" w:type="dxa"/>
          </w:tcPr>
          <w:p w14:paraId="1CCE872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3A23870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0001248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r>
      <w:tr w:rsidR="00201FE9" w:rsidRPr="00C86111" w14:paraId="095FFC03"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7E8DEAA5"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256FBF8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0.20</w:t>
            </w:r>
          </w:p>
        </w:tc>
        <w:tc>
          <w:tcPr>
            <w:tcW w:w="780" w:type="dxa"/>
          </w:tcPr>
          <w:p w14:paraId="4B13034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79" w:type="dxa"/>
          </w:tcPr>
          <w:p w14:paraId="3372340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0.23</w:t>
            </w:r>
          </w:p>
        </w:tc>
        <w:tc>
          <w:tcPr>
            <w:tcW w:w="779" w:type="dxa"/>
          </w:tcPr>
          <w:p w14:paraId="3F41E97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5EA5A78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0.25</w:t>
            </w:r>
          </w:p>
        </w:tc>
        <w:tc>
          <w:tcPr>
            <w:tcW w:w="779" w:type="dxa"/>
          </w:tcPr>
          <w:p w14:paraId="1418120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0.26</w:t>
            </w:r>
          </w:p>
        </w:tc>
        <w:tc>
          <w:tcPr>
            <w:tcW w:w="779" w:type="dxa"/>
          </w:tcPr>
          <w:p w14:paraId="7A793EC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0.23</w:t>
            </w:r>
          </w:p>
        </w:tc>
        <w:tc>
          <w:tcPr>
            <w:tcW w:w="779" w:type="dxa"/>
          </w:tcPr>
          <w:p w14:paraId="186B6CF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0.22</w:t>
            </w:r>
          </w:p>
        </w:tc>
        <w:tc>
          <w:tcPr>
            <w:tcW w:w="779" w:type="dxa"/>
          </w:tcPr>
          <w:p w14:paraId="6C40B4A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0.21</w:t>
            </w:r>
          </w:p>
        </w:tc>
      </w:tr>
      <w:tr w:rsidR="00201FE9" w:rsidRPr="00C86111" w14:paraId="4A0C6A21"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253A42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1DCE4F2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0EC062B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0597D98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2D7FE73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1ED6933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28DA2AC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54A6E11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2115106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4024423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7BAD281"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5950586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7A5BDD7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80" w:type="dxa"/>
          </w:tcPr>
          <w:p w14:paraId="314B7EE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38508D7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0550838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7CD35FD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5411582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79" w:type="dxa"/>
          </w:tcPr>
          <w:p w14:paraId="386EE8B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11E1AE1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19DF548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4934C5BC"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52A6452"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proizvodnje </w:t>
            </w:r>
          </w:p>
        </w:tc>
        <w:tc>
          <w:tcPr>
            <w:tcW w:w="768" w:type="dxa"/>
          </w:tcPr>
          <w:p w14:paraId="0657863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0.22</w:t>
            </w:r>
          </w:p>
        </w:tc>
        <w:tc>
          <w:tcPr>
            <w:tcW w:w="780" w:type="dxa"/>
          </w:tcPr>
          <w:p w14:paraId="66C5B3F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0.17</w:t>
            </w:r>
          </w:p>
        </w:tc>
        <w:tc>
          <w:tcPr>
            <w:tcW w:w="779" w:type="dxa"/>
          </w:tcPr>
          <w:p w14:paraId="4994FFF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0.18</w:t>
            </w:r>
          </w:p>
        </w:tc>
        <w:tc>
          <w:tcPr>
            <w:tcW w:w="779" w:type="dxa"/>
          </w:tcPr>
          <w:p w14:paraId="742C714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0.20</w:t>
            </w:r>
          </w:p>
        </w:tc>
        <w:tc>
          <w:tcPr>
            <w:tcW w:w="779" w:type="dxa"/>
          </w:tcPr>
          <w:p w14:paraId="6802CD1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0.19</w:t>
            </w:r>
          </w:p>
        </w:tc>
        <w:tc>
          <w:tcPr>
            <w:tcW w:w="779" w:type="dxa"/>
          </w:tcPr>
          <w:p w14:paraId="4E82E7F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0.20</w:t>
            </w:r>
          </w:p>
        </w:tc>
        <w:tc>
          <w:tcPr>
            <w:tcW w:w="779" w:type="dxa"/>
          </w:tcPr>
          <w:p w14:paraId="0F09A4D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0.18</w:t>
            </w:r>
          </w:p>
        </w:tc>
        <w:tc>
          <w:tcPr>
            <w:tcW w:w="779" w:type="dxa"/>
          </w:tcPr>
          <w:p w14:paraId="0005386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0.19</w:t>
            </w:r>
          </w:p>
        </w:tc>
        <w:tc>
          <w:tcPr>
            <w:tcW w:w="779" w:type="dxa"/>
          </w:tcPr>
          <w:p w14:paraId="635183A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08795246" w14:textId="77777777" w:rsidR="004748D1" w:rsidRPr="00C86111" w:rsidRDefault="004748D1" w:rsidP="00201FE9">
      <w:pPr>
        <w:jc w:val="both"/>
        <w:rPr>
          <w:b/>
          <w:bCs/>
          <w:lang w:val="sr-Latn-RS"/>
        </w:rPr>
      </w:pPr>
    </w:p>
    <w:p w14:paraId="797AF9DE" w14:textId="54E4FCE1" w:rsidR="00201FE9" w:rsidRPr="00C86111" w:rsidRDefault="00201FE9" w:rsidP="00201FE9">
      <w:pPr>
        <w:jc w:val="both"/>
        <w:rPr>
          <w:lang w:val="sr-Latn-RS"/>
        </w:rPr>
      </w:pPr>
      <w:r w:rsidRPr="00C86111">
        <w:rPr>
          <w:b/>
          <w:bCs/>
          <w:lang w:val="sr-Latn-RS"/>
        </w:rPr>
        <w:t xml:space="preserve">Tabela </w:t>
      </w:r>
      <w:r w:rsidR="004748D1" w:rsidRPr="00C86111">
        <w:rPr>
          <w:b/>
          <w:bCs/>
          <w:lang w:val="sr-Latn-RS"/>
        </w:rPr>
        <w:t>2</w:t>
      </w:r>
      <w:r w:rsidRPr="00C86111">
        <w:rPr>
          <w:b/>
          <w:bCs/>
          <w:lang w:val="sr-Latn-RS"/>
        </w:rPr>
        <w:t>2.</w:t>
      </w:r>
      <w:r w:rsidRPr="00C86111">
        <w:rPr>
          <w:lang w:val="sr-Latn-RS"/>
        </w:rPr>
        <w:t xml:space="preserve"> Ukupna potrošnja uglja, 2006-2022. godina (TJ)</w:t>
      </w:r>
    </w:p>
    <w:tbl>
      <w:tblPr>
        <w:tblStyle w:val="GridTable5Dark-Accent6"/>
        <w:tblW w:w="8785" w:type="dxa"/>
        <w:tblLook w:val="04A0" w:firstRow="1" w:lastRow="0" w:firstColumn="1" w:lastColumn="0" w:noHBand="0" w:noVBand="1"/>
      </w:tblPr>
      <w:tblGrid>
        <w:gridCol w:w="1327"/>
        <w:gridCol w:w="840"/>
        <w:gridCol w:w="822"/>
        <w:gridCol w:w="842"/>
        <w:gridCol w:w="785"/>
        <w:gridCol w:w="822"/>
        <w:gridCol w:w="822"/>
        <w:gridCol w:w="881"/>
        <w:gridCol w:w="822"/>
        <w:gridCol w:w="822"/>
      </w:tblGrid>
      <w:tr w:rsidR="00201FE9" w:rsidRPr="00C86111" w14:paraId="0B539F97"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7" w:type="dxa"/>
          </w:tcPr>
          <w:p w14:paraId="7DD0BA9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40" w:type="dxa"/>
          </w:tcPr>
          <w:p w14:paraId="4B9370A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822" w:type="dxa"/>
          </w:tcPr>
          <w:p w14:paraId="72556DE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842" w:type="dxa"/>
          </w:tcPr>
          <w:p w14:paraId="526598A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85" w:type="dxa"/>
          </w:tcPr>
          <w:p w14:paraId="1E9DE37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822" w:type="dxa"/>
          </w:tcPr>
          <w:p w14:paraId="2A2BE07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822" w:type="dxa"/>
          </w:tcPr>
          <w:p w14:paraId="704EEA5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81" w:type="dxa"/>
          </w:tcPr>
          <w:p w14:paraId="1E81769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822" w:type="dxa"/>
          </w:tcPr>
          <w:p w14:paraId="67AEFD9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822" w:type="dxa"/>
          </w:tcPr>
          <w:p w14:paraId="3F43139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2F7741FD"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7" w:type="dxa"/>
          </w:tcPr>
          <w:p w14:paraId="221E108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Sagoreli ugalj (TJ)</w:t>
            </w:r>
          </w:p>
        </w:tc>
        <w:tc>
          <w:tcPr>
            <w:tcW w:w="840" w:type="dxa"/>
          </w:tcPr>
          <w:p w14:paraId="766C555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14017</w:t>
            </w:r>
          </w:p>
        </w:tc>
        <w:tc>
          <w:tcPr>
            <w:tcW w:w="822" w:type="dxa"/>
          </w:tcPr>
          <w:p w14:paraId="3511FB9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11146</w:t>
            </w:r>
          </w:p>
        </w:tc>
        <w:tc>
          <w:tcPr>
            <w:tcW w:w="842" w:type="dxa"/>
          </w:tcPr>
          <w:p w14:paraId="0DEC95F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16045</w:t>
            </w:r>
          </w:p>
        </w:tc>
        <w:tc>
          <w:tcPr>
            <w:tcW w:w="785" w:type="dxa"/>
          </w:tcPr>
          <w:p w14:paraId="4841BF4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8824</w:t>
            </w:r>
          </w:p>
        </w:tc>
        <w:tc>
          <w:tcPr>
            <w:tcW w:w="822" w:type="dxa"/>
          </w:tcPr>
          <w:p w14:paraId="1D5305F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17870</w:t>
            </w:r>
          </w:p>
        </w:tc>
        <w:tc>
          <w:tcPr>
            <w:tcW w:w="822" w:type="dxa"/>
          </w:tcPr>
          <w:p w14:paraId="1519B1E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18193</w:t>
            </w:r>
          </w:p>
        </w:tc>
        <w:tc>
          <w:tcPr>
            <w:tcW w:w="881" w:type="dxa"/>
          </w:tcPr>
          <w:p w14:paraId="15CA891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16469</w:t>
            </w:r>
          </w:p>
        </w:tc>
        <w:tc>
          <w:tcPr>
            <w:tcW w:w="822" w:type="dxa"/>
          </w:tcPr>
          <w:p w14:paraId="15FAFF1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15583</w:t>
            </w:r>
          </w:p>
        </w:tc>
        <w:tc>
          <w:tcPr>
            <w:tcW w:w="822" w:type="dxa"/>
          </w:tcPr>
          <w:p w14:paraId="5919023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15017</w:t>
            </w:r>
          </w:p>
        </w:tc>
      </w:tr>
      <w:tr w:rsidR="00201FE9" w:rsidRPr="00C86111" w14:paraId="5F13B0DB"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327" w:type="dxa"/>
          </w:tcPr>
          <w:p w14:paraId="0D2B555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40" w:type="dxa"/>
          </w:tcPr>
          <w:p w14:paraId="52768B1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822" w:type="dxa"/>
          </w:tcPr>
          <w:p w14:paraId="28C2643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842" w:type="dxa"/>
          </w:tcPr>
          <w:p w14:paraId="448C808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85" w:type="dxa"/>
          </w:tcPr>
          <w:p w14:paraId="5D2BAB5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822" w:type="dxa"/>
          </w:tcPr>
          <w:p w14:paraId="6F59CCF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822" w:type="dxa"/>
          </w:tcPr>
          <w:p w14:paraId="6319638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881" w:type="dxa"/>
          </w:tcPr>
          <w:p w14:paraId="600BB0E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822" w:type="dxa"/>
          </w:tcPr>
          <w:p w14:paraId="3B8F0BC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822" w:type="dxa"/>
          </w:tcPr>
          <w:p w14:paraId="79C3940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06DB1233"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7" w:type="dxa"/>
          </w:tcPr>
          <w:p w14:paraId="11749E6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Sagoreli ugalj (TJ)</w:t>
            </w:r>
          </w:p>
        </w:tc>
        <w:tc>
          <w:tcPr>
            <w:tcW w:w="840" w:type="dxa"/>
          </w:tcPr>
          <w:p w14:paraId="41ED648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15839</w:t>
            </w:r>
          </w:p>
        </w:tc>
        <w:tc>
          <w:tcPr>
            <w:tcW w:w="822" w:type="dxa"/>
          </w:tcPr>
          <w:p w14:paraId="4B37699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12341</w:t>
            </w:r>
          </w:p>
        </w:tc>
        <w:tc>
          <w:tcPr>
            <w:tcW w:w="842" w:type="dxa"/>
          </w:tcPr>
          <w:p w14:paraId="27DA7CB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12628</w:t>
            </w:r>
          </w:p>
        </w:tc>
        <w:tc>
          <w:tcPr>
            <w:tcW w:w="785" w:type="dxa"/>
          </w:tcPr>
          <w:p w14:paraId="03EEDDB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14384</w:t>
            </w:r>
          </w:p>
        </w:tc>
        <w:tc>
          <w:tcPr>
            <w:tcW w:w="822" w:type="dxa"/>
          </w:tcPr>
          <w:p w14:paraId="7DBD2EB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13664</w:t>
            </w:r>
          </w:p>
        </w:tc>
        <w:tc>
          <w:tcPr>
            <w:tcW w:w="822" w:type="dxa"/>
          </w:tcPr>
          <w:p w14:paraId="5DB51B6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14583</w:t>
            </w:r>
          </w:p>
        </w:tc>
        <w:tc>
          <w:tcPr>
            <w:tcW w:w="881" w:type="dxa"/>
          </w:tcPr>
          <w:p w14:paraId="07E86BC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12836</w:t>
            </w:r>
          </w:p>
        </w:tc>
        <w:tc>
          <w:tcPr>
            <w:tcW w:w="822" w:type="dxa"/>
          </w:tcPr>
          <w:p w14:paraId="7A7B575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13541</w:t>
            </w:r>
          </w:p>
        </w:tc>
        <w:tc>
          <w:tcPr>
            <w:tcW w:w="822" w:type="dxa"/>
          </w:tcPr>
          <w:p w14:paraId="68D3226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D55E707" w14:textId="77777777" w:rsidR="00201FE9" w:rsidRPr="00C86111" w:rsidRDefault="00201FE9" w:rsidP="00201FE9">
      <w:pPr>
        <w:jc w:val="both"/>
        <w:rPr>
          <w:rFonts w:asciiTheme="minorHAnsi" w:hAnsiTheme="minorHAnsi" w:cstheme="minorHAnsi"/>
          <w:color w:val="auto"/>
          <w:szCs w:val="24"/>
        </w:rPr>
      </w:pPr>
    </w:p>
    <w:p w14:paraId="038CA960"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Potrošnja uglja za potrebe grijanja domaćinstava je posebno proračunata i emisije nenamjerno proizvedenih POP’s u vazduh se kreću od 0.024 g TEQ u 2006 godini do 0.007 g TEQ  u 2022. god., dok u ostatke iz procesa grijanja (pepeo) ostane 0.013 g TEQ u 2006 godini, odnosno 0.004 g TEQ  u 2022. god. </w:t>
      </w:r>
    </w:p>
    <w:p w14:paraId="464A7355" w14:textId="43D8B1C0" w:rsidR="00201FE9" w:rsidRPr="00C86111" w:rsidRDefault="000D1995"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Emisije</w:t>
      </w:r>
      <w:r w:rsidR="00201FE9" w:rsidRPr="00C86111">
        <w:rPr>
          <w:rFonts w:asciiTheme="minorHAnsi" w:hAnsiTheme="minorHAnsi" w:cstheme="minorHAnsi"/>
          <w:color w:val="auto"/>
          <w:szCs w:val="24"/>
        </w:rPr>
        <w:t xml:space="preserve"> nenamjerno proizvedenih POP’s iz potrošnje biomase obuhvataju </w:t>
      </w:r>
      <w:r w:rsidRPr="00C86111">
        <w:rPr>
          <w:rFonts w:asciiTheme="minorHAnsi" w:hAnsiTheme="minorHAnsi" w:cstheme="minorHAnsi"/>
          <w:color w:val="auto"/>
          <w:szCs w:val="24"/>
        </w:rPr>
        <w:t>emisije</w:t>
      </w:r>
      <w:r w:rsidR="00201FE9" w:rsidRPr="00C86111">
        <w:rPr>
          <w:rFonts w:asciiTheme="minorHAnsi" w:hAnsiTheme="minorHAnsi" w:cstheme="minorHAnsi"/>
          <w:color w:val="auto"/>
          <w:szCs w:val="24"/>
        </w:rPr>
        <w:t xml:space="preserve"> iz toplotnih postrojenja na čistu biomasu i potrošnju ogrijevnog drveta u domaćinstvima pri čemu potrošnja u domaćinstvima čini oko 90% ukupne potrošnje biomase. Sa stanovišta sagorijevanja biomase značajnije su POP’s emisije u vazduh (tabela </w:t>
      </w:r>
      <w:r w:rsidR="004748D1" w:rsidRPr="00C86111">
        <w:rPr>
          <w:rFonts w:asciiTheme="minorHAnsi" w:hAnsiTheme="minorHAnsi" w:cstheme="minorHAnsi"/>
          <w:color w:val="auto"/>
          <w:szCs w:val="24"/>
        </w:rPr>
        <w:t>2</w:t>
      </w:r>
      <w:r w:rsidR="00201FE9" w:rsidRPr="00C86111">
        <w:rPr>
          <w:rFonts w:asciiTheme="minorHAnsi" w:hAnsiTheme="minorHAnsi" w:cstheme="minorHAnsi"/>
          <w:color w:val="auto"/>
          <w:szCs w:val="24"/>
        </w:rPr>
        <w:t xml:space="preserve">3.). Ukupna potrošnja biomase je prikazana tabelom </w:t>
      </w:r>
      <w:r w:rsidR="004748D1" w:rsidRPr="00C86111">
        <w:rPr>
          <w:rFonts w:asciiTheme="minorHAnsi" w:hAnsiTheme="minorHAnsi" w:cstheme="minorHAnsi"/>
          <w:color w:val="auto"/>
          <w:szCs w:val="24"/>
        </w:rPr>
        <w:t>2</w:t>
      </w:r>
      <w:r w:rsidR="00201FE9" w:rsidRPr="00C86111">
        <w:rPr>
          <w:rFonts w:asciiTheme="minorHAnsi" w:hAnsiTheme="minorHAnsi" w:cstheme="minorHAnsi"/>
          <w:color w:val="auto"/>
          <w:szCs w:val="24"/>
        </w:rPr>
        <w:t xml:space="preserve">4. </w:t>
      </w:r>
    </w:p>
    <w:p w14:paraId="31376B35" w14:textId="61B2B236"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2</w:t>
      </w:r>
      <w:r w:rsidRPr="00C86111">
        <w:rPr>
          <w:rFonts w:asciiTheme="minorHAnsi" w:hAnsiTheme="minorHAnsi" w:cstheme="minorHAnsi"/>
          <w:b/>
          <w:bCs/>
          <w:i w:val="0"/>
          <w:iCs/>
          <w:sz w:val="24"/>
          <w:lang w:val="sr-Latn-RS"/>
        </w:rPr>
        <w:t>3.</w:t>
      </w:r>
      <w:r w:rsidRPr="00C86111">
        <w:rPr>
          <w:rFonts w:asciiTheme="minorHAnsi" w:hAnsiTheme="minorHAnsi" w:cstheme="minorHAnsi"/>
          <w:i w:val="0"/>
          <w:iCs/>
          <w:sz w:val="24"/>
          <w:lang w:val="sr-Latn-RS"/>
        </w:rPr>
        <w:t xml:space="preserve"> Ukupne godišnje POP's emisije (PCDD/PCDF) usled sagorijevanja biomase.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084EB40E"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618963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68486EA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3DCA34B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1154485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6967E38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518FCB0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146C3BA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173988C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15401D1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57A8F86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6F789635"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E5E43B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1159B4E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0.61</w:t>
            </w:r>
          </w:p>
        </w:tc>
        <w:tc>
          <w:tcPr>
            <w:tcW w:w="780" w:type="dxa"/>
          </w:tcPr>
          <w:p w14:paraId="397CE1F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0.62</w:t>
            </w:r>
          </w:p>
        </w:tc>
        <w:tc>
          <w:tcPr>
            <w:tcW w:w="779" w:type="dxa"/>
          </w:tcPr>
          <w:p w14:paraId="06F4E25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0.62</w:t>
            </w:r>
          </w:p>
        </w:tc>
        <w:tc>
          <w:tcPr>
            <w:tcW w:w="779" w:type="dxa"/>
          </w:tcPr>
          <w:p w14:paraId="7B9B42B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0.65</w:t>
            </w:r>
          </w:p>
        </w:tc>
        <w:tc>
          <w:tcPr>
            <w:tcW w:w="779" w:type="dxa"/>
          </w:tcPr>
          <w:p w14:paraId="0E5B925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0.67</w:t>
            </w:r>
          </w:p>
        </w:tc>
        <w:tc>
          <w:tcPr>
            <w:tcW w:w="779" w:type="dxa"/>
          </w:tcPr>
          <w:p w14:paraId="6A0AEDF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0.71</w:t>
            </w:r>
          </w:p>
        </w:tc>
        <w:tc>
          <w:tcPr>
            <w:tcW w:w="779" w:type="dxa"/>
          </w:tcPr>
          <w:p w14:paraId="4059454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0.72</w:t>
            </w:r>
          </w:p>
        </w:tc>
        <w:tc>
          <w:tcPr>
            <w:tcW w:w="779" w:type="dxa"/>
          </w:tcPr>
          <w:p w14:paraId="3BC36F0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0.71</w:t>
            </w:r>
          </w:p>
        </w:tc>
        <w:tc>
          <w:tcPr>
            <w:tcW w:w="779" w:type="dxa"/>
          </w:tcPr>
          <w:p w14:paraId="5386A51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0.66</w:t>
            </w:r>
          </w:p>
        </w:tc>
      </w:tr>
      <w:tr w:rsidR="00201FE9" w:rsidRPr="00C86111" w14:paraId="627A4DD8"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0275F33"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w:t>
            </w:r>
          </w:p>
        </w:tc>
        <w:tc>
          <w:tcPr>
            <w:tcW w:w="768" w:type="dxa"/>
          </w:tcPr>
          <w:p w14:paraId="017BE96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0.03</w:t>
            </w:r>
          </w:p>
        </w:tc>
        <w:tc>
          <w:tcPr>
            <w:tcW w:w="780" w:type="dxa"/>
          </w:tcPr>
          <w:p w14:paraId="09B56E3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1051B70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29E7DA3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3EAC4DA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732C8E7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0.05</w:t>
            </w:r>
          </w:p>
        </w:tc>
        <w:tc>
          <w:tcPr>
            <w:tcW w:w="779" w:type="dxa"/>
          </w:tcPr>
          <w:p w14:paraId="0F62099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0.05</w:t>
            </w:r>
          </w:p>
        </w:tc>
        <w:tc>
          <w:tcPr>
            <w:tcW w:w="779" w:type="dxa"/>
          </w:tcPr>
          <w:p w14:paraId="3F163BF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0.05</w:t>
            </w:r>
          </w:p>
        </w:tc>
        <w:tc>
          <w:tcPr>
            <w:tcW w:w="779" w:type="dxa"/>
          </w:tcPr>
          <w:p w14:paraId="530784B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r>
      <w:tr w:rsidR="00201FE9" w:rsidRPr="00C86111" w14:paraId="111A9147"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909459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43C0725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48EEAF4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07C6D11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7150563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320772C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62CB72E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320387E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4C821C3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3681154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377A630"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343F8A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21A710C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0.68</w:t>
            </w:r>
          </w:p>
        </w:tc>
        <w:tc>
          <w:tcPr>
            <w:tcW w:w="780" w:type="dxa"/>
          </w:tcPr>
          <w:p w14:paraId="213BBB0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0.65</w:t>
            </w:r>
          </w:p>
        </w:tc>
        <w:tc>
          <w:tcPr>
            <w:tcW w:w="779" w:type="dxa"/>
          </w:tcPr>
          <w:p w14:paraId="0B81A98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0.64</w:t>
            </w:r>
          </w:p>
        </w:tc>
        <w:tc>
          <w:tcPr>
            <w:tcW w:w="779" w:type="dxa"/>
          </w:tcPr>
          <w:p w14:paraId="085127D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0.58</w:t>
            </w:r>
          </w:p>
        </w:tc>
        <w:tc>
          <w:tcPr>
            <w:tcW w:w="779" w:type="dxa"/>
          </w:tcPr>
          <w:p w14:paraId="2C72126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0.56</w:t>
            </w:r>
          </w:p>
        </w:tc>
        <w:tc>
          <w:tcPr>
            <w:tcW w:w="779" w:type="dxa"/>
          </w:tcPr>
          <w:p w14:paraId="2F382B0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0.57</w:t>
            </w:r>
          </w:p>
        </w:tc>
        <w:tc>
          <w:tcPr>
            <w:tcW w:w="779" w:type="dxa"/>
          </w:tcPr>
          <w:p w14:paraId="18D81EF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0.60</w:t>
            </w:r>
          </w:p>
        </w:tc>
        <w:tc>
          <w:tcPr>
            <w:tcW w:w="779" w:type="dxa"/>
          </w:tcPr>
          <w:p w14:paraId="3629892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0.56</w:t>
            </w:r>
          </w:p>
        </w:tc>
        <w:tc>
          <w:tcPr>
            <w:tcW w:w="779" w:type="dxa"/>
          </w:tcPr>
          <w:p w14:paraId="727F94A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0E4C9D99"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02F444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 xml:space="preserve">Ostaci iz procesa </w:t>
            </w:r>
          </w:p>
        </w:tc>
        <w:tc>
          <w:tcPr>
            <w:tcW w:w="768" w:type="dxa"/>
          </w:tcPr>
          <w:p w14:paraId="705BEEA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80" w:type="dxa"/>
          </w:tcPr>
          <w:p w14:paraId="11E03F3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62E6B94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485F133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0270FBD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4379952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2A5B1E2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049FD49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w:t>
            </w:r>
          </w:p>
        </w:tc>
        <w:tc>
          <w:tcPr>
            <w:tcW w:w="779" w:type="dxa"/>
          </w:tcPr>
          <w:p w14:paraId="02ABA7A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5AAF0328" w14:textId="6DD583BD"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4748D1" w:rsidRPr="00C86111">
        <w:rPr>
          <w:rFonts w:asciiTheme="minorHAnsi" w:hAnsiTheme="minorHAnsi" w:cstheme="minorHAnsi"/>
          <w:b/>
          <w:bCs/>
          <w:i w:val="0"/>
          <w:iCs/>
          <w:sz w:val="24"/>
          <w:lang w:val="sr-Latn-RS"/>
        </w:rPr>
        <w:t>2</w:t>
      </w:r>
      <w:r w:rsidRPr="00C86111">
        <w:rPr>
          <w:rFonts w:asciiTheme="minorHAnsi" w:hAnsiTheme="minorHAnsi" w:cstheme="minorHAnsi"/>
          <w:b/>
          <w:bCs/>
          <w:i w:val="0"/>
          <w:iCs/>
          <w:sz w:val="24"/>
          <w:lang w:val="sr-Latn-RS"/>
        </w:rPr>
        <w:t>4.</w:t>
      </w:r>
      <w:r w:rsidRPr="00C86111">
        <w:rPr>
          <w:rFonts w:asciiTheme="minorHAnsi" w:hAnsiTheme="minorHAnsi" w:cstheme="minorHAnsi"/>
          <w:i w:val="0"/>
          <w:iCs/>
          <w:sz w:val="24"/>
          <w:lang w:val="sr-Latn-RS"/>
        </w:rPr>
        <w:t xml:space="preserve"> Ukupna potrošnja biomase, 2006-2022. godina (TJ)</w:t>
      </w:r>
    </w:p>
    <w:tbl>
      <w:tblPr>
        <w:tblStyle w:val="GridTable5Dark-Accent6"/>
        <w:tblW w:w="8785" w:type="dxa"/>
        <w:tblLook w:val="04A0" w:firstRow="1" w:lastRow="0" w:firstColumn="1" w:lastColumn="0" w:noHBand="0" w:noVBand="1"/>
      </w:tblPr>
      <w:tblGrid>
        <w:gridCol w:w="1329"/>
        <w:gridCol w:w="838"/>
        <w:gridCol w:w="822"/>
        <w:gridCol w:w="842"/>
        <w:gridCol w:w="785"/>
        <w:gridCol w:w="822"/>
        <w:gridCol w:w="822"/>
        <w:gridCol w:w="881"/>
        <w:gridCol w:w="822"/>
        <w:gridCol w:w="822"/>
      </w:tblGrid>
      <w:tr w:rsidR="00201FE9" w:rsidRPr="00C86111" w14:paraId="21D796C6"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9" w:type="dxa"/>
          </w:tcPr>
          <w:p w14:paraId="0718EA0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38" w:type="dxa"/>
          </w:tcPr>
          <w:p w14:paraId="61D7CA5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822" w:type="dxa"/>
          </w:tcPr>
          <w:p w14:paraId="2E7B433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842" w:type="dxa"/>
          </w:tcPr>
          <w:p w14:paraId="49CEE20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85" w:type="dxa"/>
          </w:tcPr>
          <w:p w14:paraId="20C3390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822" w:type="dxa"/>
          </w:tcPr>
          <w:p w14:paraId="7C70C59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822" w:type="dxa"/>
          </w:tcPr>
          <w:p w14:paraId="0D594D8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81" w:type="dxa"/>
          </w:tcPr>
          <w:p w14:paraId="36012BC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822" w:type="dxa"/>
          </w:tcPr>
          <w:p w14:paraId="65FA7B4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822" w:type="dxa"/>
          </w:tcPr>
          <w:p w14:paraId="5557BC1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0AE30CA1"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9" w:type="dxa"/>
          </w:tcPr>
          <w:p w14:paraId="66BFEA4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Sagorjela biomasa (TJ)</w:t>
            </w:r>
          </w:p>
        </w:tc>
        <w:tc>
          <w:tcPr>
            <w:tcW w:w="838" w:type="dxa"/>
          </w:tcPr>
          <w:p w14:paraId="6B8C1A3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6124</w:t>
            </w:r>
          </w:p>
        </w:tc>
        <w:tc>
          <w:tcPr>
            <w:tcW w:w="822" w:type="dxa"/>
          </w:tcPr>
          <w:p w14:paraId="78D650B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6380</w:t>
            </w:r>
          </w:p>
        </w:tc>
        <w:tc>
          <w:tcPr>
            <w:tcW w:w="842" w:type="dxa"/>
          </w:tcPr>
          <w:p w14:paraId="50E3B19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6377</w:t>
            </w:r>
          </w:p>
        </w:tc>
        <w:tc>
          <w:tcPr>
            <w:tcW w:w="785" w:type="dxa"/>
          </w:tcPr>
          <w:p w14:paraId="4A207C0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6673</w:t>
            </w:r>
          </w:p>
        </w:tc>
        <w:tc>
          <w:tcPr>
            <w:tcW w:w="822" w:type="dxa"/>
          </w:tcPr>
          <w:p w14:paraId="5B428BF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6740</w:t>
            </w:r>
          </w:p>
        </w:tc>
        <w:tc>
          <w:tcPr>
            <w:tcW w:w="822" w:type="dxa"/>
          </w:tcPr>
          <w:p w14:paraId="22FFFC1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7346</w:t>
            </w:r>
          </w:p>
        </w:tc>
        <w:tc>
          <w:tcPr>
            <w:tcW w:w="881" w:type="dxa"/>
          </w:tcPr>
          <w:p w14:paraId="5175C54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7445</w:t>
            </w:r>
          </w:p>
        </w:tc>
        <w:tc>
          <w:tcPr>
            <w:tcW w:w="822" w:type="dxa"/>
          </w:tcPr>
          <w:p w14:paraId="2E1E425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7304</w:t>
            </w:r>
          </w:p>
        </w:tc>
        <w:tc>
          <w:tcPr>
            <w:tcW w:w="822" w:type="dxa"/>
          </w:tcPr>
          <w:p w14:paraId="59E3954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6833</w:t>
            </w:r>
          </w:p>
        </w:tc>
      </w:tr>
      <w:tr w:rsidR="00201FE9" w:rsidRPr="00C86111" w14:paraId="1FECABD5"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329" w:type="dxa"/>
          </w:tcPr>
          <w:p w14:paraId="436840A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38" w:type="dxa"/>
          </w:tcPr>
          <w:p w14:paraId="1185EB9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822" w:type="dxa"/>
          </w:tcPr>
          <w:p w14:paraId="59AACE6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842" w:type="dxa"/>
          </w:tcPr>
          <w:p w14:paraId="08BE00A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85" w:type="dxa"/>
          </w:tcPr>
          <w:p w14:paraId="7C2B73A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822" w:type="dxa"/>
          </w:tcPr>
          <w:p w14:paraId="2A0008D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822" w:type="dxa"/>
          </w:tcPr>
          <w:p w14:paraId="5E5EC9E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881" w:type="dxa"/>
          </w:tcPr>
          <w:p w14:paraId="7573D76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822" w:type="dxa"/>
          </w:tcPr>
          <w:p w14:paraId="781AED9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822" w:type="dxa"/>
          </w:tcPr>
          <w:p w14:paraId="3C18D69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410EEE9D"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9" w:type="dxa"/>
          </w:tcPr>
          <w:p w14:paraId="5588C97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Sagorjela biomasa (TJ)</w:t>
            </w:r>
          </w:p>
        </w:tc>
        <w:tc>
          <w:tcPr>
            <w:tcW w:w="838" w:type="dxa"/>
          </w:tcPr>
          <w:p w14:paraId="7BA5D82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7050</w:t>
            </w:r>
          </w:p>
        </w:tc>
        <w:tc>
          <w:tcPr>
            <w:tcW w:w="822" w:type="dxa"/>
          </w:tcPr>
          <w:p w14:paraId="246369E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6803</w:t>
            </w:r>
          </w:p>
        </w:tc>
        <w:tc>
          <w:tcPr>
            <w:tcW w:w="842" w:type="dxa"/>
          </w:tcPr>
          <w:p w14:paraId="14E1984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6688</w:t>
            </w:r>
          </w:p>
        </w:tc>
        <w:tc>
          <w:tcPr>
            <w:tcW w:w="785" w:type="dxa"/>
          </w:tcPr>
          <w:p w14:paraId="2D9CD1B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6129</w:t>
            </w:r>
          </w:p>
        </w:tc>
        <w:tc>
          <w:tcPr>
            <w:tcW w:w="822" w:type="dxa"/>
          </w:tcPr>
          <w:p w14:paraId="74250F3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5919</w:t>
            </w:r>
          </w:p>
        </w:tc>
        <w:tc>
          <w:tcPr>
            <w:tcW w:w="822" w:type="dxa"/>
          </w:tcPr>
          <w:p w14:paraId="4CC6DA9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5990</w:t>
            </w:r>
          </w:p>
        </w:tc>
        <w:tc>
          <w:tcPr>
            <w:tcW w:w="881" w:type="dxa"/>
          </w:tcPr>
          <w:p w14:paraId="03BC087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6366</w:t>
            </w:r>
          </w:p>
        </w:tc>
        <w:tc>
          <w:tcPr>
            <w:tcW w:w="822" w:type="dxa"/>
          </w:tcPr>
          <w:p w14:paraId="5F9D15D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6021</w:t>
            </w:r>
          </w:p>
        </w:tc>
        <w:tc>
          <w:tcPr>
            <w:tcW w:w="822" w:type="dxa"/>
          </w:tcPr>
          <w:p w14:paraId="285ADE4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74E4D12D" w14:textId="77777777" w:rsidR="00201FE9" w:rsidRPr="00C86111" w:rsidRDefault="00201FE9" w:rsidP="00201FE9">
      <w:pPr>
        <w:jc w:val="both"/>
        <w:rPr>
          <w:rFonts w:asciiTheme="minorHAnsi" w:hAnsiTheme="minorHAnsi" w:cstheme="minorHAnsi"/>
          <w:color w:val="auto"/>
          <w:szCs w:val="24"/>
        </w:rPr>
      </w:pPr>
    </w:p>
    <w:p w14:paraId="0939AAE1"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Svi aktivni podaci za period 2006-2022. godina preuzeti su iz nacionalnih energetskih bilansa (Uprava za statistiku Crne Gore - MONSTAT) dok su za prevođenje mase utrošenog goriva u jedinicu energije korišćeni podaci o toplotnim moćima fosilnih goriva i biomase prema IPCC 2006 metodologiji.</w:t>
      </w:r>
    </w:p>
    <w:p w14:paraId="045D3336" w14:textId="77777777" w:rsidR="00201FE9" w:rsidRPr="00C86111" w:rsidRDefault="00201FE9" w:rsidP="00201FE9">
      <w:pPr>
        <w:pStyle w:val="Tabele"/>
        <w:numPr>
          <w:ilvl w:val="0"/>
          <w:numId w:val="0"/>
        </w:numPr>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Inventar sadrži i podatke o količinama sagorelog biogasa sa uređenih deponija Možura i Livade, koje se obavlja bez proizvodnje energije a koje rezultira u zanemarljivo malim procijenjenim emisijama u vazduh (&lt; 0.001 g TEQ/god). Podaci o količinama sagorelog biogasa dobijeni su od operatera postrojenja.</w:t>
      </w:r>
    </w:p>
    <w:p w14:paraId="06825E4F" w14:textId="77777777" w:rsidR="00201FE9" w:rsidRPr="00C86111" w:rsidRDefault="00201FE9" w:rsidP="00EA6904">
      <w:pPr>
        <w:pStyle w:val="Heading4"/>
        <w:rPr>
          <w:lang w:val="sr-Latn-RS"/>
        </w:rPr>
      </w:pPr>
      <w:bookmarkStart w:id="65" w:name="_Toc501437756"/>
      <w:r w:rsidRPr="00C86111">
        <w:rPr>
          <w:lang w:val="sr-Latn-RS"/>
        </w:rPr>
        <w:t>Grupa 4. Industrija mineralnih proizvoda</w:t>
      </w:r>
      <w:bookmarkEnd w:id="65"/>
    </w:p>
    <w:p w14:paraId="178025E6" w14:textId="453395ED"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Proizvodnja cigle u Crnoj Gori je obustavljena 2006 godine.</w:t>
      </w:r>
      <w:r w:rsidR="00180BB0" w:rsidRPr="00C86111">
        <w:rPr>
          <w:rFonts w:asciiTheme="minorHAnsi" w:hAnsiTheme="minorHAnsi" w:cstheme="minorHAnsi"/>
          <w:color w:val="auto"/>
          <w:szCs w:val="24"/>
        </w:rPr>
        <w:t xml:space="preserve"> </w:t>
      </w:r>
      <w:r w:rsidRPr="00C86111">
        <w:rPr>
          <w:rFonts w:asciiTheme="minorHAnsi" w:hAnsiTheme="minorHAnsi" w:cstheme="minorHAnsi"/>
          <w:color w:val="auto"/>
          <w:szCs w:val="24"/>
        </w:rPr>
        <w:t xml:space="preserve">Proizvodnja kreča se u skladu sa nacionalnom statistikom kretala od 8118 t u 2006 (što je proizvodilo emisije u vazduh od 0.081 g TEQ/god) do 3500 tona u 2010. Proizvodnja je obustavljena 2011. godine. Emisije nenamjerno proizvedenih ili ispuštenih PCDD/PCDF u vazduh usled proizvodnje asfalta su proračunate ali su zanemarljive zbog niskog emisionog faktora (0.007 µg TEQ/ t asfalta) dok se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PCDD/PCDF u ostatke iz procesa proizvodnje, zavisno od obima proizvodnje, kreće od 0.004 g TEQ u 2006 godini do 0.018 gTEQ u 2021. god. zbog značajnog povećanja proizvodnje asfalta usled izgradnje autoputa (tabela.</w:t>
      </w:r>
      <w:r w:rsidR="00180BB0" w:rsidRPr="00C86111">
        <w:rPr>
          <w:rFonts w:asciiTheme="minorHAnsi" w:hAnsiTheme="minorHAnsi" w:cstheme="minorHAnsi"/>
          <w:color w:val="auto"/>
          <w:szCs w:val="24"/>
        </w:rPr>
        <w:t>2</w:t>
      </w:r>
      <w:r w:rsidRPr="00C86111">
        <w:rPr>
          <w:rFonts w:asciiTheme="minorHAnsi" w:hAnsiTheme="minorHAnsi" w:cstheme="minorHAnsi"/>
          <w:color w:val="auto"/>
          <w:szCs w:val="24"/>
        </w:rPr>
        <w:t xml:space="preserve">5.). </w:t>
      </w:r>
    </w:p>
    <w:p w14:paraId="2A3AA71F" w14:textId="74A27FF7"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180BB0" w:rsidRPr="00C86111">
        <w:rPr>
          <w:rFonts w:asciiTheme="minorHAnsi" w:hAnsiTheme="minorHAnsi" w:cstheme="minorHAnsi"/>
          <w:b/>
          <w:bCs/>
          <w:i w:val="0"/>
          <w:iCs/>
          <w:sz w:val="24"/>
          <w:lang w:val="sr-Latn-RS"/>
        </w:rPr>
        <w:t>2</w:t>
      </w:r>
      <w:r w:rsidRPr="00C86111">
        <w:rPr>
          <w:rFonts w:asciiTheme="minorHAnsi" w:hAnsiTheme="minorHAnsi" w:cstheme="minorHAnsi"/>
          <w:b/>
          <w:bCs/>
          <w:i w:val="0"/>
          <w:iCs/>
          <w:sz w:val="24"/>
          <w:lang w:val="sr-Latn-RS"/>
        </w:rPr>
        <w:t>5.</w:t>
      </w:r>
      <w:r w:rsidRPr="00C86111">
        <w:rPr>
          <w:rFonts w:asciiTheme="minorHAnsi" w:hAnsiTheme="minorHAnsi" w:cstheme="minorHAnsi"/>
          <w:i w:val="0"/>
          <w:iCs/>
          <w:sz w:val="24"/>
          <w:lang w:val="sr-Latn-RS"/>
        </w:rPr>
        <w:t xml:space="preserve"> Proizvodnja asfaltne mase, 2006-2022. godina (t)</w:t>
      </w:r>
    </w:p>
    <w:tbl>
      <w:tblPr>
        <w:tblStyle w:val="GridTable5Dark-Accent6"/>
        <w:tblW w:w="8785" w:type="dxa"/>
        <w:tblLook w:val="04A0" w:firstRow="1" w:lastRow="0" w:firstColumn="1" w:lastColumn="0" w:noHBand="0" w:noVBand="1"/>
      </w:tblPr>
      <w:tblGrid>
        <w:gridCol w:w="1332"/>
        <w:gridCol w:w="806"/>
        <w:gridCol w:w="799"/>
        <w:gridCol w:w="810"/>
        <w:gridCol w:w="780"/>
        <w:gridCol w:w="800"/>
        <w:gridCol w:w="886"/>
        <w:gridCol w:w="886"/>
        <w:gridCol w:w="886"/>
        <w:gridCol w:w="800"/>
      </w:tblGrid>
      <w:tr w:rsidR="00201FE9" w:rsidRPr="00C86111" w14:paraId="6C814F43"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dxa"/>
          </w:tcPr>
          <w:p w14:paraId="272A1D7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06" w:type="dxa"/>
          </w:tcPr>
          <w:p w14:paraId="15B82EF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99" w:type="dxa"/>
          </w:tcPr>
          <w:p w14:paraId="55EEE5C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810" w:type="dxa"/>
          </w:tcPr>
          <w:p w14:paraId="48F16BD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80" w:type="dxa"/>
          </w:tcPr>
          <w:p w14:paraId="70C2F69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800" w:type="dxa"/>
          </w:tcPr>
          <w:p w14:paraId="0279DBE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886" w:type="dxa"/>
          </w:tcPr>
          <w:p w14:paraId="17F56AC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86" w:type="dxa"/>
          </w:tcPr>
          <w:p w14:paraId="3D0D5F6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886" w:type="dxa"/>
          </w:tcPr>
          <w:p w14:paraId="4511FBD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800" w:type="dxa"/>
          </w:tcPr>
          <w:p w14:paraId="5DF71F8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5BCB0BD9"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dxa"/>
          </w:tcPr>
          <w:p w14:paraId="37CAB9A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asfaltne mase(t)</w:t>
            </w:r>
          </w:p>
        </w:tc>
        <w:tc>
          <w:tcPr>
            <w:tcW w:w="806" w:type="dxa"/>
          </w:tcPr>
          <w:p w14:paraId="7740D5F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64579</w:t>
            </w:r>
          </w:p>
        </w:tc>
        <w:tc>
          <w:tcPr>
            <w:tcW w:w="799" w:type="dxa"/>
          </w:tcPr>
          <w:p w14:paraId="0D5D5B9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64773</w:t>
            </w:r>
          </w:p>
        </w:tc>
        <w:tc>
          <w:tcPr>
            <w:tcW w:w="810" w:type="dxa"/>
          </w:tcPr>
          <w:p w14:paraId="518EA6D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62293</w:t>
            </w:r>
          </w:p>
        </w:tc>
        <w:tc>
          <w:tcPr>
            <w:tcW w:w="780" w:type="dxa"/>
          </w:tcPr>
          <w:p w14:paraId="68A24AE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36177</w:t>
            </w:r>
          </w:p>
        </w:tc>
        <w:tc>
          <w:tcPr>
            <w:tcW w:w="800" w:type="dxa"/>
          </w:tcPr>
          <w:p w14:paraId="352196B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47921</w:t>
            </w:r>
          </w:p>
        </w:tc>
        <w:tc>
          <w:tcPr>
            <w:tcW w:w="886" w:type="dxa"/>
          </w:tcPr>
          <w:p w14:paraId="649F561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52732</w:t>
            </w:r>
          </w:p>
        </w:tc>
        <w:tc>
          <w:tcPr>
            <w:tcW w:w="886" w:type="dxa"/>
          </w:tcPr>
          <w:p w14:paraId="4FB6EDB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42418</w:t>
            </w:r>
          </w:p>
        </w:tc>
        <w:tc>
          <w:tcPr>
            <w:tcW w:w="886" w:type="dxa"/>
          </w:tcPr>
          <w:p w14:paraId="37C9C61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26487</w:t>
            </w:r>
          </w:p>
        </w:tc>
        <w:tc>
          <w:tcPr>
            <w:tcW w:w="800" w:type="dxa"/>
          </w:tcPr>
          <w:p w14:paraId="52C146E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22576</w:t>
            </w:r>
          </w:p>
        </w:tc>
      </w:tr>
      <w:tr w:rsidR="00201FE9" w:rsidRPr="00C86111" w14:paraId="7F5350AA"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332" w:type="dxa"/>
          </w:tcPr>
          <w:p w14:paraId="1792798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06" w:type="dxa"/>
          </w:tcPr>
          <w:p w14:paraId="694DB10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99" w:type="dxa"/>
          </w:tcPr>
          <w:p w14:paraId="648DF43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810" w:type="dxa"/>
          </w:tcPr>
          <w:p w14:paraId="34DFFB6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80" w:type="dxa"/>
          </w:tcPr>
          <w:p w14:paraId="0FBBF16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800" w:type="dxa"/>
          </w:tcPr>
          <w:p w14:paraId="3828367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886" w:type="dxa"/>
          </w:tcPr>
          <w:p w14:paraId="79BD277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886" w:type="dxa"/>
          </w:tcPr>
          <w:p w14:paraId="68A137E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886" w:type="dxa"/>
          </w:tcPr>
          <w:p w14:paraId="0BEABA6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800" w:type="dxa"/>
          </w:tcPr>
          <w:p w14:paraId="46FD528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6B470314"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2" w:type="dxa"/>
          </w:tcPr>
          <w:p w14:paraId="3A4A8B3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asfaltne mase(t)</w:t>
            </w:r>
          </w:p>
        </w:tc>
        <w:tc>
          <w:tcPr>
            <w:tcW w:w="806" w:type="dxa"/>
          </w:tcPr>
          <w:p w14:paraId="58CC51D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21908</w:t>
            </w:r>
          </w:p>
        </w:tc>
        <w:tc>
          <w:tcPr>
            <w:tcW w:w="799" w:type="dxa"/>
          </w:tcPr>
          <w:p w14:paraId="316C852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18665</w:t>
            </w:r>
          </w:p>
        </w:tc>
        <w:tc>
          <w:tcPr>
            <w:tcW w:w="810" w:type="dxa"/>
          </w:tcPr>
          <w:p w14:paraId="2B3D70D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86124</w:t>
            </w:r>
          </w:p>
        </w:tc>
        <w:tc>
          <w:tcPr>
            <w:tcW w:w="780" w:type="dxa"/>
          </w:tcPr>
          <w:p w14:paraId="6F1F37C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40659</w:t>
            </w:r>
          </w:p>
        </w:tc>
        <w:tc>
          <w:tcPr>
            <w:tcW w:w="800" w:type="dxa"/>
          </w:tcPr>
          <w:p w14:paraId="1BACC72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64658</w:t>
            </w:r>
          </w:p>
        </w:tc>
        <w:tc>
          <w:tcPr>
            <w:tcW w:w="886" w:type="dxa"/>
          </w:tcPr>
          <w:p w14:paraId="4E6123F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191122</w:t>
            </w:r>
          </w:p>
        </w:tc>
        <w:tc>
          <w:tcPr>
            <w:tcW w:w="886" w:type="dxa"/>
          </w:tcPr>
          <w:p w14:paraId="7FADC42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307276</w:t>
            </w:r>
          </w:p>
        </w:tc>
        <w:tc>
          <w:tcPr>
            <w:tcW w:w="886" w:type="dxa"/>
          </w:tcPr>
          <w:p w14:paraId="484AC49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163894</w:t>
            </w:r>
          </w:p>
        </w:tc>
        <w:tc>
          <w:tcPr>
            <w:tcW w:w="800" w:type="dxa"/>
          </w:tcPr>
          <w:p w14:paraId="7764A62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E4DF919" w14:textId="77777777" w:rsidR="00201FE9" w:rsidRPr="00C86111" w:rsidRDefault="00201FE9" w:rsidP="00201FE9">
      <w:pPr>
        <w:jc w:val="both"/>
        <w:rPr>
          <w:rFonts w:asciiTheme="minorHAnsi" w:hAnsiTheme="minorHAnsi" w:cstheme="minorHAnsi"/>
          <w:color w:val="auto"/>
          <w:szCs w:val="24"/>
        </w:rPr>
      </w:pPr>
    </w:p>
    <w:p w14:paraId="3059FE0A" w14:textId="40144338"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Za analizu i procjenu POP’s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korišćeni su podaci Uprave za statistiku - MONSTAT.</w:t>
      </w:r>
    </w:p>
    <w:p w14:paraId="077383D4" w14:textId="77777777" w:rsidR="00201FE9" w:rsidRPr="00C86111" w:rsidRDefault="00201FE9" w:rsidP="00201FE9">
      <w:pPr>
        <w:jc w:val="both"/>
        <w:rPr>
          <w:rFonts w:asciiTheme="minorHAnsi" w:hAnsiTheme="minorHAnsi" w:cstheme="minorHAnsi"/>
          <w:color w:val="auto"/>
          <w:szCs w:val="24"/>
        </w:rPr>
      </w:pPr>
    </w:p>
    <w:p w14:paraId="75950659" w14:textId="77777777" w:rsidR="00201FE9" w:rsidRPr="00C86111" w:rsidRDefault="00201FE9" w:rsidP="00EA6904">
      <w:pPr>
        <w:pStyle w:val="Heading4"/>
        <w:rPr>
          <w:lang w:val="sr-Latn-RS"/>
        </w:rPr>
      </w:pPr>
      <w:bookmarkStart w:id="66" w:name="_Toc501437757"/>
      <w:r w:rsidRPr="00C86111">
        <w:rPr>
          <w:lang w:val="sr-Latn-RS"/>
        </w:rPr>
        <w:lastRenderedPageBreak/>
        <w:t>Grupa 5. Saobraćaj</w:t>
      </w:r>
      <w:bookmarkEnd w:id="66"/>
    </w:p>
    <w:p w14:paraId="71217638" w14:textId="7586E735"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Nacionalna statistika o potrošnji goriva u drumskom saobraćaju prepoznaje samo potrošnju benzina i dizela. Ne postoje istorijski podaci o potrošnji olovnog benzina čija je upotreba zakonom zabranjena 2011 godine. UNEP-ova metodologija daje dva emisiona faktora za emisije u vazduh za potrošnju bezolovnog benzina; i to za vozila koja su proizvedena prije 1996. godine i za vozila koja su proizvedena poslije 1996. godine. Razlika u emisionim faktorima je usled činjenice da vozila proizvedena poslije 1996. godine su pretpostavljeno izrađena po EURO 2 i višim ekološkim normama, tj. imaju obavezno ugrađeni katalizator koji za dvije decimale smanjuje emisiju PCDD/PCDF u odnosu na vozila koja nemaju EURO 2 normu. Emisije usled sagorijevanja benzina se kreću od 0.01 g TEQu u 2006. godini do manje od  0.001 g TEQu 2022. godini zbog značajnog smanjenja utroška benzina u drumskom saobraćaju u odnosu na dizel  kao i niže korišćenog emisionog faktora poslije 2012. godine. Tabelama </w:t>
      </w:r>
      <w:r w:rsidR="00180BB0" w:rsidRPr="00C86111">
        <w:rPr>
          <w:rFonts w:asciiTheme="minorHAnsi" w:hAnsiTheme="minorHAnsi" w:cstheme="minorHAnsi"/>
          <w:color w:val="auto"/>
          <w:szCs w:val="24"/>
        </w:rPr>
        <w:t>2</w:t>
      </w:r>
      <w:r w:rsidRPr="00C86111">
        <w:rPr>
          <w:rFonts w:asciiTheme="minorHAnsi" w:hAnsiTheme="minorHAnsi" w:cstheme="minorHAnsi"/>
          <w:color w:val="auto"/>
          <w:szCs w:val="24"/>
        </w:rPr>
        <w:t xml:space="preserve">6. i </w:t>
      </w:r>
      <w:r w:rsidR="00180BB0" w:rsidRPr="00C86111">
        <w:rPr>
          <w:rFonts w:asciiTheme="minorHAnsi" w:hAnsiTheme="minorHAnsi" w:cstheme="minorHAnsi"/>
          <w:color w:val="auto"/>
          <w:szCs w:val="24"/>
        </w:rPr>
        <w:t>2</w:t>
      </w:r>
      <w:r w:rsidRPr="00C86111">
        <w:rPr>
          <w:rFonts w:asciiTheme="minorHAnsi" w:hAnsiTheme="minorHAnsi" w:cstheme="minorHAnsi"/>
          <w:color w:val="auto"/>
          <w:szCs w:val="24"/>
        </w:rPr>
        <w:t xml:space="preserve">7. su prikazane procijenjene POP’s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i količine utrošenog dizela na nacionalnom nivou.</w:t>
      </w:r>
    </w:p>
    <w:p w14:paraId="036DEFAD" w14:textId="77777777" w:rsidR="00180BB0" w:rsidRPr="00C86111" w:rsidRDefault="00180BB0" w:rsidP="00201FE9">
      <w:pPr>
        <w:jc w:val="both"/>
        <w:rPr>
          <w:rFonts w:asciiTheme="minorHAnsi" w:hAnsiTheme="minorHAnsi" w:cstheme="minorHAnsi"/>
          <w:color w:val="auto"/>
          <w:szCs w:val="24"/>
        </w:rPr>
      </w:pPr>
    </w:p>
    <w:p w14:paraId="2BC14625" w14:textId="15AC37E4" w:rsidR="00201FE9" w:rsidRPr="00C86111" w:rsidRDefault="00201FE9" w:rsidP="00201FE9">
      <w:pPr>
        <w:jc w:val="both"/>
        <w:rPr>
          <w:lang w:val="sr-Latn-RS"/>
        </w:rPr>
      </w:pPr>
      <w:r w:rsidRPr="00C86111">
        <w:rPr>
          <w:b/>
          <w:bCs/>
          <w:lang w:val="sr-Latn-RS"/>
        </w:rPr>
        <w:t xml:space="preserve">Tabela </w:t>
      </w:r>
      <w:r w:rsidR="00180BB0" w:rsidRPr="00C86111">
        <w:rPr>
          <w:b/>
          <w:bCs/>
          <w:lang w:val="sr-Latn-RS"/>
        </w:rPr>
        <w:t>2</w:t>
      </w:r>
      <w:r w:rsidRPr="00C86111">
        <w:rPr>
          <w:b/>
          <w:bCs/>
          <w:lang w:val="sr-Latn-RS"/>
        </w:rPr>
        <w:t>6.</w:t>
      </w:r>
      <w:r w:rsidRPr="00C86111">
        <w:rPr>
          <w:lang w:val="sr-Latn-RS"/>
        </w:rPr>
        <w:t xml:space="preserve"> Ukupne godišnje POP's emisije (PCDD/PCDF) usled sagorijevanja dizela, 2006-2022. godina (gTEQ/god)</w:t>
      </w:r>
    </w:p>
    <w:tbl>
      <w:tblPr>
        <w:tblStyle w:val="GridTable5Dark-Accent6"/>
        <w:tblW w:w="9265" w:type="dxa"/>
        <w:tblLook w:val="04A0" w:firstRow="1" w:lastRow="0" w:firstColumn="1" w:lastColumn="0" w:noHBand="0" w:noVBand="1"/>
      </w:tblPr>
      <w:tblGrid>
        <w:gridCol w:w="1784"/>
        <w:gridCol w:w="768"/>
        <w:gridCol w:w="780"/>
        <w:gridCol w:w="779"/>
        <w:gridCol w:w="779"/>
        <w:gridCol w:w="779"/>
        <w:gridCol w:w="779"/>
        <w:gridCol w:w="779"/>
        <w:gridCol w:w="779"/>
        <w:gridCol w:w="1259"/>
      </w:tblGrid>
      <w:tr w:rsidR="00201FE9" w:rsidRPr="00C86111" w14:paraId="7F575ABD"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0ACC06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6E5DE36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22EA5BF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13D6A8F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2D1DA35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6510FC2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57A5538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7C83590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55FC728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1259" w:type="dxa"/>
          </w:tcPr>
          <w:p w14:paraId="50C3B72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76130FC0"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55410E9A"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3BDA133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w:t>
            </w:r>
          </w:p>
        </w:tc>
        <w:tc>
          <w:tcPr>
            <w:tcW w:w="780" w:type="dxa"/>
          </w:tcPr>
          <w:p w14:paraId="38202D0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w:t>
            </w:r>
          </w:p>
        </w:tc>
        <w:tc>
          <w:tcPr>
            <w:tcW w:w="779" w:type="dxa"/>
          </w:tcPr>
          <w:p w14:paraId="456D202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w:t>
            </w:r>
          </w:p>
        </w:tc>
        <w:tc>
          <w:tcPr>
            <w:tcW w:w="779" w:type="dxa"/>
          </w:tcPr>
          <w:p w14:paraId="0677E04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3FE492C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w:t>
            </w:r>
          </w:p>
        </w:tc>
        <w:tc>
          <w:tcPr>
            <w:tcW w:w="779" w:type="dxa"/>
          </w:tcPr>
          <w:p w14:paraId="3EE0E8D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555056B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061AAA0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1259" w:type="dxa"/>
          </w:tcPr>
          <w:p w14:paraId="47FAA83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w:t>
            </w:r>
          </w:p>
        </w:tc>
      </w:tr>
      <w:tr w:rsidR="00201FE9" w:rsidRPr="00C86111" w14:paraId="0048FA12"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5450428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2615A9D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28213A5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1DC77C3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08F4F95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390E2A4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6F792EC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17035BB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76E308F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1259" w:type="dxa"/>
          </w:tcPr>
          <w:p w14:paraId="7EDD065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227C876"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AAE3C8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59543B5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w:t>
            </w:r>
          </w:p>
        </w:tc>
        <w:tc>
          <w:tcPr>
            <w:tcW w:w="780" w:type="dxa"/>
          </w:tcPr>
          <w:p w14:paraId="0F765BD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4AADCB0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0851A9E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3FF0A44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0DDB97C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3C599E0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779" w:type="dxa"/>
          </w:tcPr>
          <w:p w14:paraId="5510675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w:t>
            </w:r>
          </w:p>
        </w:tc>
        <w:tc>
          <w:tcPr>
            <w:tcW w:w="1259" w:type="dxa"/>
          </w:tcPr>
          <w:p w14:paraId="7159EEB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6B421295" w14:textId="0CDC771B"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180BB0" w:rsidRPr="00C86111">
        <w:rPr>
          <w:rFonts w:asciiTheme="minorHAnsi" w:hAnsiTheme="minorHAnsi" w:cstheme="minorHAnsi"/>
          <w:b/>
          <w:bCs/>
          <w:i w:val="0"/>
          <w:iCs/>
          <w:sz w:val="24"/>
          <w:lang w:val="sr-Latn-RS"/>
        </w:rPr>
        <w:t>2</w:t>
      </w:r>
      <w:r w:rsidRPr="00C86111">
        <w:rPr>
          <w:rFonts w:asciiTheme="minorHAnsi" w:hAnsiTheme="minorHAnsi" w:cstheme="minorHAnsi"/>
          <w:b/>
          <w:bCs/>
          <w:i w:val="0"/>
          <w:iCs/>
          <w:sz w:val="24"/>
          <w:lang w:val="sr-Latn-RS"/>
        </w:rPr>
        <w:t>7.</w:t>
      </w:r>
      <w:r w:rsidRPr="00C86111">
        <w:rPr>
          <w:rFonts w:asciiTheme="minorHAnsi" w:hAnsiTheme="minorHAnsi" w:cstheme="minorHAnsi"/>
          <w:i w:val="0"/>
          <w:iCs/>
          <w:sz w:val="24"/>
          <w:lang w:val="sr-Latn-RS"/>
        </w:rPr>
        <w:t>Ukupna potrošnja dizela, 2006-2022. godina (t)</w:t>
      </w:r>
    </w:p>
    <w:tbl>
      <w:tblPr>
        <w:tblStyle w:val="GridTable5Dark-Accent6"/>
        <w:tblW w:w="9350" w:type="dxa"/>
        <w:tblLook w:val="04A0" w:firstRow="1" w:lastRow="0" w:firstColumn="1" w:lastColumn="0" w:noHBand="0" w:noVBand="1"/>
      </w:tblPr>
      <w:tblGrid>
        <w:gridCol w:w="985"/>
        <w:gridCol w:w="876"/>
        <w:gridCol w:w="937"/>
        <w:gridCol w:w="936"/>
        <w:gridCol w:w="936"/>
        <w:gridCol w:w="936"/>
        <w:gridCol w:w="936"/>
        <w:gridCol w:w="936"/>
        <w:gridCol w:w="936"/>
        <w:gridCol w:w="936"/>
      </w:tblGrid>
      <w:tr w:rsidR="00201FE9" w:rsidRPr="00C86111" w14:paraId="6E89CB0B" w14:textId="77777777" w:rsidTr="00375D2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85" w:type="dxa"/>
          </w:tcPr>
          <w:p w14:paraId="60CFD56A" w14:textId="732B1438"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w:t>
            </w:r>
            <w:r w:rsidR="00375D24" w:rsidRPr="00C86111">
              <w:rPr>
                <w:rFonts w:asciiTheme="minorHAnsi" w:hAnsiTheme="minorHAnsi" w:cstheme="minorHAnsi"/>
                <w:color w:val="auto"/>
                <w:sz w:val="20"/>
                <w:szCs w:val="20"/>
              </w:rPr>
              <w:t>a</w:t>
            </w:r>
          </w:p>
        </w:tc>
        <w:tc>
          <w:tcPr>
            <w:tcW w:w="876" w:type="dxa"/>
          </w:tcPr>
          <w:p w14:paraId="203B23F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937" w:type="dxa"/>
          </w:tcPr>
          <w:p w14:paraId="17DEA5A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936" w:type="dxa"/>
          </w:tcPr>
          <w:p w14:paraId="5384B32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936" w:type="dxa"/>
          </w:tcPr>
          <w:p w14:paraId="24D8E82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936" w:type="dxa"/>
          </w:tcPr>
          <w:p w14:paraId="30501BD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936" w:type="dxa"/>
          </w:tcPr>
          <w:p w14:paraId="0C487C2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936" w:type="dxa"/>
          </w:tcPr>
          <w:p w14:paraId="53D0438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936" w:type="dxa"/>
          </w:tcPr>
          <w:p w14:paraId="77BB7DF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936" w:type="dxa"/>
          </w:tcPr>
          <w:p w14:paraId="6EDB4F9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61CF583B" w14:textId="77777777" w:rsidTr="00375D2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85" w:type="dxa"/>
          </w:tcPr>
          <w:p w14:paraId="373F47D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Dizel (t)</w:t>
            </w:r>
          </w:p>
        </w:tc>
        <w:tc>
          <w:tcPr>
            <w:tcW w:w="876" w:type="dxa"/>
          </w:tcPr>
          <w:p w14:paraId="11B359F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76900</w:t>
            </w:r>
          </w:p>
        </w:tc>
        <w:tc>
          <w:tcPr>
            <w:tcW w:w="937" w:type="dxa"/>
          </w:tcPr>
          <w:p w14:paraId="288F63A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106800</w:t>
            </w:r>
          </w:p>
        </w:tc>
        <w:tc>
          <w:tcPr>
            <w:tcW w:w="936" w:type="dxa"/>
          </w:tcPr>
          <w:p w14:paraId="1FEEA80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134130</w:t>
            </w:r>
          </w:p>
        </w:tc>
        <w:tc>
          <w:tcPr>
            <w:tcW w:w="936" w:type="dxa"/>
          </w:tcPr>
          <w:p w14:paraId="21AFF9E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150700</w:t>
            </w:r>
          </w:p>
        </w:tc>
        <w:tc>
          <w:tcPr>
            <w:tcW w:w="936" w:type="dxa"/>
          </w:tcPr>
          <w:p w14:paraId="77127D4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130100</w:t>
            </w:r>
          </w:p>
        </w:tc>
        <w:tc>
          <w:tcPr>
            <w:tcW w:w="936" w:type="dxa"/>
          </w:tcPr>
          <w:p w14:paraId="1B5C609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160000</w:t>
            </w:r>
          </w:p>
        </w:tc>
        <w:tc>
          <w:tcPr>
            <w:tcW w:w="936" w:type="dxa"/>
          </w:tcPr>
          <w:p w14:paraId="41F22E0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156000</w:t>
            </w:r>
          </w:p>
        </w:tc>
        <w:tc>
          <w:tcPr>
            <w:tcW w:w="936" w:type="dxa"/>
          </w:tcPr>
          <w:p w14:paraId="02DCFD6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157600</w:t>
            </w:r>
          </w:p>
        </w:tc>
        <w:tc>
          <w:tcPr>
            <w:tcW w:w="936" w:type="dxa"/>
          </w:tcPr>
          <w:p w14:paraId="72F2A5C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120300</w:t>
            </w:r>
          </w:p>
        </w:tc>
      </w:tr>
      <w:tr w:rsidR="00201FE9" w:rsidRPr="00C86111" w14:paraId="560CBE94" w14:textId="77777777" w:rsidTr="00375D24">
        <w:trPr>
          <w:trHeight w:val="432"/>
        </w:trPr>
        <w:tc>
          <w:tcPr>
            <w:cnfStyle w:val="001000000000" w:firstRow="0" w:lastRow="0" w:firstColumn="1" w:lastColumn="0" w:oddVBand="0" w:evenVBand="0" w:oddHBand="0" w:evenHBand="0" w:firstRowFirstColumn="0" w:firstRowLastColumn="0" w:lastRowFirstColumn="0" w:lastRowLastColumn="0"/>
            <w:tcW w:w="985" w:type="dxa"/>
          </w:tcPr>
          <w:p w14:paraId="6A78A72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76" w:type="dxa"/>
          </w:tcPr>
          <w:p w14:paraId="31B237B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937" w:type="dxa"/>
          </w:tcPr>
          <w:p w14:paraId="1D108DE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936" w:type="dxa"/>
          </w:tcPr>
          <w:p w14:paraId="1F20744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936" w:type="dxa"/>
          </w:tcPr>
          <w:p w14:paraId="3B1A1C8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936" w:type="dxa"/>
          </w:tcPr>
          <w:p w14:paraId="73C4C16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936" w:type="dxa"/>
          </w:tcPr>
          <w:p w14:paraId="5E3D6BC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936" w:type="dxa"/>
          </w:tcPr>
          <w:p w14:paraId="755BC06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936" w:type="dxa"/>
          </w:tcPr>
          <w:p w14:paraId="5BF006F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936" w:type="dxa"/>
          </w:tcPr>
          <w:p w14:paraId="2248987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02EF4286" w14:textId="77777777" w:rsidTr="00375D2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85" w:type="dxa"/>
          </w:tcPr>
          <w:p w14:paraId="41F80EF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Dizel (t)</w:t>
            </w:r>
          </w:p>
        </w:tc>
        <w:tc>
          <w:tcPr>
            <w:tcW w:w="876" w:type="dxa"/>
          </w:tcPr>
          <w:p w14:paraId="646282A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136500</w:t>
            </w:r>
          </w:p>
        </w:tc>
        <w:tc>
          <w:tcPr>
            <w:tcW w:w="937" w:type="dxa"/>
          </w:tcPr>
          <w:p w14:paraId="323B1C9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165000</w:t>
            </w:r>
          </w:p>
        </w:tc>
        <w:tc>
          <w:tcPr>
            <w:tcW w:w="936" w:type="dxa"/>
          </w:tcPr>
          <w:p w14:paraId="20C53B4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183100</w:t>
            </w:r>
          </w:p>
        </w:tc>
        <w:tc>
          <w:tcPr>
            <w:tcW w:w="936" w:type="dxa"/>
          </w:tcPr>
          <w:p w14:paraId="497FEBE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201400</w:t>
            </w:r>
          </w:p>
        </w:tc>
        <w:tc>
          <w:tcPr>
            <w:tcW w:w="936" w:type="dxa"/>
          </w:tcPr>
          <w:p w14:paraId="4B8915D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212000</w:t>
            </w:r>
          </w:p>
        </w:tc>
        <w:tc>
          <w:tcPr>
            <w:tcW w:w="936" w:type="dxa"/>
          </w:tcPr>
          <w:p w14:paraId="6516CF2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184800</w:t>
            </w:r>
          </w:p>
        </w:tc>
        <w:tc>
          <w:tcPr>
            <w:tcW w:w="936" w:type="dxa"/>
          </w:tcPr>
          <w:p w14:paraId="371648B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238200</w:t>
            </w:r>
          </w:p>
        </w:tc>
        <w:tc>
          <w:tcPr>
            <w:tcW w:w="936" w:type="dxa"/>
          </w:tcPr>
          <w:p w14:paraId="6CF1434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243000</w:t>
            </w:r>
          </w:p>
        </w:tc>
        <w:tc>
          <w:tcPr>
            <w:tcW w:w="936" w:type="dxa"/>
          </w:tcPr>
          <w:p w14:paraId="7EAE61E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2FD7D38A" w14:textId="77777777" w:rsidR="00201FE9" w:rsidRPr="00C86111" w:rsidRDefault="00201FE9" w:rsidP="00201FE9">
      <w:pPr>
        <w:jc w:val="both"/>
        <w:rPr>
          <w:rFonts w:asciiTheme="minorHAnsi" w:hAnsiTheme="minorHAnsi" w:cstheme="minorHAnsi"/>
          <w:color w:val="auto"/>
          <w:szCs w:val="24"/>
        </w:rPr>
      </w:pPr>
      <w:bookmarkStart w:id="67" w:name="_Toc501437758"/>
    </w:p>
    <w:p w14:paraId="05DB2C35" w14:textId="71734E5E"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Podkategorija, utrošak dizela velikih brodova nije proračunata u prethodno podnesenom inventaru. Na osnovu podataka o broju, tonaži i vremenu boravka kruzera koji pristaju u luku Kotor, moguće je proračunati utrošak goriva tokom boravka kruzera u luci. Proračunate emisije u vazduh maksimalno iznose 0.005 g TEQ u 2016. godini. Bitno je istaći da zbog nepostojanja podatka o količini utrošenog dizela na godišnjem nivou tokom boravka brodova u luci Bar, nije moguće proračunati emisije nenamjerno </w:t>
      </w:r>
      <w:r w:rsidR="000D1995" w:rsidRPr="00C86111">
        <w:rPr>
          <w:rFonts w:asciiTheme="minorHAnsi" w:hAnsiTheme="minorHAnsi" w:cstheme="minorHAnsi"/>
          <w:color w:val="auto"/>
          <w:szCs w:val="24"/>
        </w:rPr>
        <w:t>emitovanih</w:t>
      </w:r>
      <w:r w:rsidRPr="00C86111">
        <w:rPr>
          <w:rFonts w:asciiTheme="minorHAnsi" w:hAnsiTheme="minorHAnsi" w:cstheme="minorHAnsi"/>
          <w:color w:val="auto"/>
          <w:szCs w:val="24"/>
        </w:rPr>
        <w:t xml:space="preserve"> POP's i za ovu luku. Ukoliko bi bio dostupan  podatak o prosječnom utrošku goriva tokom boravka velikih brodova zajedno sa drugim potrebnim podacima moguće je proračunati i godišnji utrošak goriva i posledično procijeniti emisije PCDD/PCDF. </w:t>
      </w:r>
    </w:p>
    <w:p w14:paraId="02B4D9B6" w14:textId="77777777" w:rsidR="00180BB0" w:rsidRDefault="00180BB0" w:rsidP="00201FE9">
      <w:pPr>
        <w:jc w:val="both"/>
        <w:rPr>
          <w:rFonts w:asciiTheme="minorHAnsi" w:hAnsiTheme="minorHAnsi" w:cstheme="minorHAnsi"/>
          <w:color w:val="auto"/>
          <w:szCs w:val="24"/>
        </w:rPr>
      </w:pPr>
    </w:p>
    <w:p w14:paraId="749232EF" w14:textId="77777777" w:rsidR="00F562F0" w:rsidRPr="00C86111" w:rsidRDefault="00F562F0" w:rsidP="00201FE9">
      <w:pPr>
        <w:jc w:val="both"/>
        <w:rPr>
          <w:rFonts w:asciiTheme="minorHAnsi" w:hAnsiTheme="minorHAnsi" w:cstheme="minorHAnsi"/>
          <w:color w:val="auto"/>
          <w:szCs w:val="24"/>
        </w:rPr>
      </w:pPr>
    </w:p>
    <w:p w14:paraId="443B93EB" w14:textId="77777777" w:rsidR="00201FE9" w:rsidRPr="00C86111" w:rsidRDefault="00201FE9" w:rsidP="00EA6904">
      <w:pPr>
        <w:pStyle w:val="Heading4"/>
        <w:rPr>
          <w:lang w:val="sr-Latn-RS"/>
        </w:rPr>
      </w:pPr>
      <w:r w:rsidRPr="00C86111">
        <w:rPr>
          <w:lang w:val="sr-Latn-RS"/>
        </w:rPr>
        <w:lastRenderedPageBreak/>
        <w:t xml:space="preserve">Grupa 6. </w:t>
      </w:r>
      <w:bookmarkEnd w:id="67"/>
      <w:r w:rsidRPr="00C86111">
        <w:rPr>
          <w:lang w:val="sr-Latn-RS"/>
        </w:rPr>
        <w:t>Procesi sa otvorenim sagorijevanjem</w:t>
      </w:r>
    </w:p>
    <w:p w14:paraId="3CA66DB8" w14:textId="3CAA2B30"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Procesi sa otvorenim (nekotrolisanim) sagorijevanjem predstavljaju dominantnu kategoriju u nacionalnom inventaru jer se u okviru ove kategorije proračunavaju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nenamjerno proizvedenih PCDD/PCDF usled požara na otvorenim deponijama (neuređenim odlagalištima otpada). Pored ove podkategorije proračunate su i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usljed sagorijevanja poljoprivrednih ostataka i šumskih požara. U odnosu na prethodni  inventar, poboljšana je kompletnost inventara, zahvaljujući novodostupnim podacima i procijenjenih sledećih podkategorija u inventaru: akcidentni požari na kolima, akcidentni požari na stambenim i poslovnim prostorima i fabrikama.</w:t>
      </w:r>
    </w:p>
    <w:p w14:paraId="57CC1365" w14:textId="5D366889"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Pretpostavljeno je da ne postoji praksa odvajanja poljoprivrednih ostataka koji su tretirani sa hlorisanim pesticidima od netretiranih poljoprivrednih ostataka, pa su korišćeni veći emisioni faktor (30 µg TEQ/t za vazduh i 10 µg TEQ/t za zemljište). Na osnovu statističkih podataka količina sagorjelih poljoprivrednih ostataka ima stabilan trend za vremenski period 2006-2016. i emisije PCDD/PCDF u vazduh iznose oko 0.013 g TEQ/godini, odnosno u zemljište se realizuje oko 0.004 g TEQ/godini. Poslije 2020. godine ulazni podaci su značajno niži i emisije se kreću oko 0.001 g TEQ/godini. Do smanjenja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dolazi vjerovatno zbog restriktivnije primjene zabrane paljenja vatre na otvorenom poslije 2020. godine ali moguće je i zbog promjene u dokumentovanom izvoru podataka.</w:t>
      </w:r>
    </w:p>
    <w:p w14:paraId="4B10E494"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Za period do 2016. godine izvori podataka o količini sagorele poljoprivredne biomase su bili „Uprava za statistiku Crne Gore – MONSTAT“, „Food and Agriculture Organisation - FAO (Organizacija za poljoprivredu i hranu Ujedinjenih Nacija)“, a poslije 2017 „MONSTAT“, „Narativni izvještaj za potrebe inventara i Četvrta nacionalna komunikacija i prvi dvogodišnji izvještaj o transparentnosti Crne Gore ka Okvirnoj konvenciji Ujedinjenih nacija o promjeni klime – FNC/BTR, IZVJEŠTAJ, Faza III. Izvještajni period: 01.07.2023 – 30.09.2023“. </w:t>
      </w:r>
    </w:p>
    <w:p w14:paraId="621DE844" w14:textId="2546DA90"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Požari u Crnoj Gori su karakteristični za ljetnji sušni period i na osnovu zvaničene statistike samo 2009. godine nisu zabilježeni požari koji bi se vodili statistički. Korišćeni su podaci Uprave za šume Crne Gore. Iako šumski požari ne doprinose značajno nacionalnim emisijama u tabelama </w:t>
      </w:r>
      <w:r w:rsidR="00180BB0" w:rsidRPr="00C86111">
        <w:rPr>
          <w:rFonts w:asciiTheme="minorHAnsi" w:hAnsiTheme="minorHAnsi" w:cstheme="minorHAnsi"/>
          <w:color w:val="auto"/>
          <w:szCs w:val="24"/>
        </w:rPr>
        <w:t>2</w:t>
      </w:r>
      <w:r w:rsidRPr="00C86111">
        <w:rPr>
          <w:rFonts w:asciiTheme="minorHAnsi" w:hAnsiTheme="minorHAnsi" w:cstheme="minorHAnsi"/>
          <w:color w:val="auto"/>
          <w:szCs w:val="24"/>
        </w:rPr>
        <w:t xml:space="preserve">8. i </w:t>
      </w:r>
      <w:r w:rsidR="00180BB0" w:rsidRPr="00C86111">
        <w:rPr>
          <w:rFonts w:asciiTheme="minorHAnsi" w:hAnsiTheme="minorHAnsi" w:cstheme="minorHAnsi"/>
          <w:color w:val="auto"/>
          <w:szCs w:val="24"/>
        </w:rPr>
        <w:t>2</w:t>
      </w:r>
      <w:r w:rsidRPr="00C86111">
        <w:rPr>
          <w:rFonts w:asciiTheme="minorHAnsi" w:hAnsiTheme="minorHAnsi" w:cstheme="minorHAnsi"/>
          <w:color w:val="auto"/>
          <w:szCs w:val="24"/>
        </w:rPr>
        <w:t>9. su prikazani nivoi POP’s emisija u vazduh kao i količina spaljenog šumskog materijala (suva masa) za posmatrani period jer u slučajevima velikih opožarenih šumskih površina, emisije mogu iznositi i do 0.50 gTEQ koliko je izračunato za 2012. godinu.</w:t>
      </w:r>
    </w:p>
    <w:p w14:paraId="30646520" w14:textId="4BDAD115"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180BB0" w:rsidRPr="00C86111">
        <w:rPr>
          <w:rFonts w:asciiTheme="minorHAnsi" w:hAnsiTheme="minorHAnsi" w:cstheme="minorHAnsi"/>
          <w:b/>
          <w:bCs/>
          <w:i w:val="0"/>
          <w:iCs/>
          <w:sz w:val="24"/>
          <w:lang w:val="sr-Latn-RS"/>
        </w:rPr>
        <w:t>2</w:t>
      </w:r>
      <w:r w:rsidRPr="00C86111">
        <w:rPr>
          <w:rFonts w:asciiTheme="minorHAnsi" w:hAnsiTheme="minorHAnsi" w:cstheme="minorHAnsi"/>
          <w:b/>
          <w:bCs/>
          <w:i w:val="0"/>
          <w:iCs/>
          <w:sz w:val="24"/>
          <w:lang w:val="sr-Latn-RS"/>
        </w:rPr>
        <w:t>8.</w:t>
      </w:r>
      <w:r w:rsidRPr="00C86111">
        <w:rPr>
          <w:rFonts w:asciiTheme="minorHAnsi" w:hAnsiTheme="minorHAnsi" w:cstheme="minorHAnsi"/>
          <w:i w:val="0"/>
          <w:iCs/>
          <w:sz w:val="24"/>
          <w:lang w:val="sr-Latn-RS"/>
        </w:rPr>
        <w:t xml:space="preserve"> Ukupne godišnje POP's emisije (PCDD/PCDF) usled šumskih požara,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683D291F"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688501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06758FE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671E229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0A2242B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5F65447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4B012E2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07535CB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241993B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0444407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4969505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3DAABD4D"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D5F779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227B697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0.003</w:t>
            </w:r>
          </w:p>
        </w:tc>
        <w:tc>
          <w:tcPr>
            <w:tcW w:w="780" w:type="dxa"/>
          </w:tcPr>
          <w:p w14:paraId="738AE2D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0.003</w:t>
            </w:r>
          </w:p>
        </w:tc>
        <w:tc>
          <w:tcPr>
            <w:tcW w:w="779" w:type="dxa"/>
          </w:tcPr>
          <w:p w14:paraId="322DF4D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0.002</w:t>
            </w:r>
          </w:p>
        </w:tc>
        <w:tc>
          <w:tcPr>
            <w:tcW w:w="779" w:type="dxa"/>
          </w:tcPr>
          <w:p w14:paraId="281639D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779" w:type="dxa"/>
          </w:tcPr>
          <w:p w14:paraId="77B6ACB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0.035</w:t>
            </w:r>
          </w:p>
        </w:tc>
        <w:tc>
          <w:tcPr>
            <w:tcW w:w="779" w:type="dxa"/>
          </w:tcPr>
          <w:p w14:paraId="360E16F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0.028</w:t>
            </w:r>
          </w:p>
        </w:tc>
        <w:tc>
          <w:tcPr>
            <w:tcW w:w="779" w:type="dxa"/>
          </w:tcPr>
          <w:p w14:paraId="5593099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0.500</w:t>
            </w:r>
          </w:p>
        </w:tc>
        <w:tc>
          <w:tcPr>
            <w:tcW w:w="779" w:type="dxa"/>
          </w:tcPr>
          <w:p w14:paraId="04E4EC1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w:t>
            </w:r>
          </w:p>
        </w:tc>
        <w:tc>
          <w:tcPr>
            <w:tcW w:w="779" w:type="dxa"/>
          </w:tcPr>
          <w:p w14:paraId="5D41BAD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w:t>
            </w:r>
          </w:p>
        </w:tc>
      </w:tr>
      <w:tr w:rsidR="00201FE9" w:rsidRPr="00C86111" w14:paraId="6C4B5E20"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5A2D06F7"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0C71235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6B64E8B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19408BD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5C41D5E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64B6EE9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58EC904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06685AE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6C72FDB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127D4EF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62CA029C"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2266F042"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621BC68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0.041</w:t>
            </w:r>
          </w:p>
        </w:tc>
        <w:tc>
          <w:tcPr>
            <w:tcW w:w="780" w:type="dxa"/>
          </w:tcPr>
          <w:p w14:paraId="5E9D005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0.022</w:t>
            </w:r>
          </w:p>
        </w:tc>
        <w:tc>
          <w:tcPr>
            <w:tcW w:w="779" w:type="dxa"/>
          </w:tcPr>
          <w:p w14:paraId="4823D44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0.021</w:t>
            </w:r>
          </w:p>
        </w:tc>
        <w:tc>
          <w:tcPr>
            <w:tcW w:w="779" w:type="dxa"/>
          </w:tcPr>
          <w:p w14:paraId="2192FE6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0.003</w:t>
            </w:r>
          </w:p>
        </w:tc>
        <w:tc>
          <w:tcPr>
            <w:tcW w:w="779" w:type="dxa"/>
          </w:tcPr>
          <w:p w14:paraId="1F37B7F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0.001</w:t>
            </w:r>
          </w:p>
        </w:tc>
        <w:tc>
          <w:tcPr>
            <w:tcW w:w="779" w:type="dxa"/>
          </w:tcPr>
          <w:p w14:paraId="3799A88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0.005</w:t>
            </w:r>
          </w:p>
        </w:tc>
        <w:tc>
          <w:tcPr>
            <w:tcW w:w="779" w:type="dxa"/>
          </w:tcPr>
          <w:p w14:paraId="1CE2C0B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0.017</w:t>
            </w:r>
          </w:p>
        </w:tc>
        <w:tc>
          <w:tcPr>
            <w:tcW w:w="779" w:type="dxa"/>
          </w:tcPr>
          <w:p w14:paraId="42083AD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0.003</w:t>
            </w:r>
          </w:p>
        </w:tc>
        <w:tc>
          <w:tcPr>
            <w:tcW w:w="779" w:type="dxa"/>
          </w:tcPr>
          <w:p w14:paraId="50C64EC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2FC1BB76" w14:textId="77777777" w:rsidR="00180BB0" w:rsidRPr="00C86111" w:rsidRDefault="00180BB0" w:rsidP="00375D24">
      <w:pPr>
        <w:pStyle w:val="Tabele"/>
        <w:numPr>
          <w:ilvl w:val="0"/>
          <w:numId w:val="0"/>
        </w:numPr>
        <w:spacing w:after="0"/>
        <w:jc w:val="both"/>
        <w:rPr>
          <w:rFonts w:asciiTheme="minorHAnsi" w:hAnsiTheme="minorHAnsi" w:cstheme="minorHAnsi"/>
          <w:b/>
          <w:bCs/>
          <w:i w:val="0"/>
          <w:iCs/>
          <w:sz w:val="24"/>
          <w:lang w:val="sr-Latn-RS"/>
        </w:rPr>
      </w:pPr>
    </w:p>
    <w:p w14:paraId="0566F14A" w14:textId="77777777" w:rsidR="00180BB0" w:rsidRPr="00C86111" w:rsidRDefault="00180BB0" w:rsidP="00375D24">
      <w:pPr>
        <w:pStyle w:val="Tabele"/>
        <w:numPr>
          <w:ilvl w:val="0"/>
          <w:numId w:val="0"/>
        </w:numPr>
        <w:spacing w:after="0"/>
        <w:jc w:val="both"/>
        <w:rPr>
          <w:rFonts w:asciiTheme="minorHAnsi" w:hAnsiTheme="minorHAnsi" w:cstheme="minorHAnsi"/>
          <w:b/>
          <w:bCs/>
          <w:i w:val="0"/>
          <w:iCs/>
          <w:sz w:val="24"/>
          <w:lang w:val="sr-Latn-RS"/>
        </w:rPr>
      </w:pPr>
    </w:p>
    <w:p w14:paraId="7AD30956" w14:textId="3641625A"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lastRenderedPageBreak/>
        <w:t xml:space="preserve">Tabela </w:t>
      </w:r>
      <w:r w:rsidR="00180BB0" w:rsidRPr="00C86111">
        <w:rPr>
          <w:rFonts w:asciiTheme="minorHAnsi" w:hAnsiTheme="minorHAnsi" w:cstheme="minorHAnsi"/>
          <w:b/>
          <w:bCs/>
          <w:i w:val="0"/>
          <w:iCs/>
          <w:sz w:val="24"/>
          <w:lang w:val="sr-Latn-RS"/>
        </w:rPr>
        <w:t>2</w:t>
      </w:r>
      <w:r w:rsidRPr="00C86111">
        <w:rPr>
          <w:rFonts w:asciiTheme="minorHAnsi" w:hAnsiTheme="minorHAnsi" w:cstheme="minorHAnsi"/>
          <w:b/>
          <w:bCs/>
          <w:i w:val="0"/>
          <w:iCs/>
          <w:sz w:val="24"/>
          <w:lang w:val="sr-Latn-RS"/>
        </w:rPr>
        <w:t>9.</w:t>
      </w:r>
      <w:r w:rsidRPr="00C86111">
        <w:rPr>
          <w:rFonts w:asciiTheme="minorHAnsi" w:hAnsiTheme="minorHAnsi" w:cstheme="minorHAnsi"/>
          <w:i w:val="0"/>
          <w:iCs/>
          <w:sz w:val="24"/>
          <w:lang w:val="sr-Latn-RS"/>
        </w:rPr>
        <w:t xml:space="preserve"> Količina spaljenog šumskog materijala u šumama u državnom vlasništvu (suva masa), 2006-2022. godina (t)</w:t>
      </w:r>
    </w:p>
    <w:tbl>
      <w:tblPr>
        <w:tblStyle w:val="GridTable5Dark-Accent6"/>
        <w:tblW w:w="8785" w:type="dxa"/>
        <w:tblLook w:val="04A0" w:firstRow="1" w:lastRow="0" w:firstColumn="1" w:lastColumn="0" w:noHBand="0" w:noVBand="1"/>
      </w:tblPr>
      <w:tblGrid>
        <w:gridCol w:w="1626"/>
        <w:gridCol w:w="754"/>
        <w:gridCol w:w="763"/>
        <w:gridCol w:w="762"/>
        <w:gridCol w:w="761"/>
        <w:gridCol w:w="826"/>
        <w:gridCol w:w="826"/>
        <w:gridCol w:w="947"/>
        <w:gridCol w:w="761"/>
        <w:gridCol w:w="759"/>
      </w:tblGrid>
      <w:tr w:rsidR="00201FE9" w:rsidRPr="00C86111" w14:paraId="4687817C"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6" w:type="dxa"/>
          </w:tcPr>
          <w:p w14:paraId="0D1A3350"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54" w:type="dxa"/>
          </w:tcPr>
          <w:p w14:paraId="412F3C5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63" w:type="dxa"/>
          </w:tcPr>
          <w:p w14:paraId="4C2A728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62" w:type="dxa"/>
          </w:tcPr>
          <w:p w14:paraId="1378833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61" w:type="dxa"/>
          </w:tcPr>
          <w:p w14:paraId="114F2E4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826" w:type="dxa"/>
          </w:tcPr>
          <w:p w14:paraId="25AF03F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826" w:type="dxa"/>
          </w:tcPr>
          <w:p w14:paraId="463871C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947" w:type="dxa"/>
          </w:tcPr>
          <w:p w14:paraId="7E719E9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61" w:type="dxa"/>
          </w:tcPr>
          <w:p w14:paraId="67DE8CC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59" w:type="dxa"/>
          </w:tcPr>
          <w:p w14:paraId="5FCC954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7A133686"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6" w:type="dxa"/>
          </w:tcPr>
          <w:p w14:paraId="577F50D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Spaljeni šumski material (t)</w:t>
            </w:r>
          </w:p>
        </w:tc>
        <w:tc>
          <w:tcPr>
            <w:tcW w:w="754" w:type="dxa"/>
          </w:tcPr>
          <w:p w14:paraId="4A4CCC9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3162</w:t>
            </w:r>
          </w:p>
        </w:tc>
        <w:tc>
          <w:tcPr>
            <w:tcW w:w="763" w:type="dxa"/>
          </w:tcPr>
          <w:p w14:paraId="7F5205E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3162</w:t>
            </w:r>
          </w:p>
        </w:tc>
        <w:tc>
          <w:tcPr>
            <w:tcW w:w="762" w:type="dxa"/>
          </w:tcPr>
          <w:p w14:paraId="08B8BC6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1692</w:t>
            </w:r>
          </w:p>
        </w:tc>
        <w:tc>
          <w:tcPr>
            <w:tcW w:w="761" w:type="dxa"/>
          </w:tcPr>
          <w:p w14:paraId="32211E8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826" w:type="dxa"/>
          </w:tcPr>
          <w:p w14:paraId="3B9CE9B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35466</w:t>
            </w:r>
          </w:p>
        </w:tc>
        <w:tc>
          <w:tcPr>
            <w:tcW w:w="826" w:type="dxa"/>
          </w:tcPr>
          <w:p w14:paraId="0DBF3F6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28236</w:t>
            </w:r>
          </w:p>
        </w:tc>
        <w:tc>
          <w:tcPr>
            <w:tcW w:w="947" w:type="dxa"/>
          </w:tcPr>
          <w:p w14:paraId="7CEFA95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498507</w:t>
            </w:r>
          </w:p>
        </w:tc>
        <w:tc>
          <w:tcPr>
            <w:tcW w:w="761" w:type="dxa"/>
          </w:tcPr>
          <w:p w14:paraId="1140F39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270</w:t>
            </w:r>
          </w:p>
        </w:tc>
        <w:tc>
          <w:tcPr>
            <w:tcW w:w="759" w:type="dxa"/>
          </w:tcPr>
          <w:p w14:paraId="03CD67C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w:t>
            </w:r>
          </w:p>
        </w:tc>
      </w:tr>
      <w:tr w:rsidR="00201FE9" w:rsidRPr="00C86111" w14:paraId="21A735AE"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626" w:type="dxa"/>
          </w:tcPr>
          <w:p w14:paraId="4E1FAED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54" w:type="dxa"/>
          </w:tcPr>
          <w:p w14:paraId="308320D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63" w:type="dxa"/>
          </w:tcPr>
          <w:p w14:paraId="318F641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62" w:type="dxa"/>
          </w:tcPr>
          <w:p w14:paraId="64FFC8F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61" w:type="dxa"/>
          </w:tcPr>
          <w:p w14:paraId="43CD297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826" w:type="dxa"/>
          </w:tcPr>
          <w:p w14:paraId="30BD42A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826" w:type="dxa"/>
          </w:tcPr>
          <w:p w14:paraId="67B2DAE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947" w:type="dxa"/>
          </w:tcPr>
          <w:p w14:paraId="5383DE4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61" w:type="dxa"/>
          </w:tcPr>
          <w:p w14:paraId="04F2286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59" w:type="dxa"/>
          </w:tcPr>
          <w:p w14:paraId="5904A12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3DED89E"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6" w:type="dxa"/>
          </w:tcPr>
          <w:p w14:paraId="26C305E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Spaljeni šumski material (t)</w:t>
            </w:r>
          </w:p>
        </w:tc>
        <w:tc>
          <w:tcPr>
            <w:tcW w:w="754" w:type="dxa"/>
          </w:tcPr>
          <w:p w14:paraId="22C5BFB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21216</w:t>
            </w:r>
          </w:p>
        </w:tc>
        <w:tc>
          <w:tcPr>
            <w:tcW w:w="763" w:type="dxa"/>
          </w:tcPr>
          <w:p w14:paraId="175898B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3417</w:t>
            </w:r>
          </w:p>
        </w:tc>
        <w:tc>
          <w:tcPr>
            <w:tcW w:w="762" w:type="dxa"/>
          </w:tcPr>
          <w:p w14:paraId="3CE65D2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1170</w:t>
            </w:r>
          </w:p>
        </w:tc>
        <w:tc>
          <w:tcPr>
            <w:tcW w:w="761" w:type="dxa"/>
          </w:tcPr>
          <w:p w14:paraId="6C91348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4644</w:t>
            </w:r>
          </w:p>
        </w:tc>
        <w:tc>
          <w:tcPr>
            <w:tcW w:w="826" w:type="dxa"/>
          </w:tcPr>
          <w:p w14:paraId="19990D3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17102</w:t>
            </w:r>
          </w:p>
        </w:tc>
        <w:tc>
          <w:tcPr>
            <w:tcW w:w="826" w:type="dxa"/>
          </w:tcPr>
          <w:p w14:paraId="1F9BC4E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3252</w:t>
            </w:r>
          </w:p>
        </w:tc>
        <w:tc>
          <w:tcPr>
            <w:tcW w:w="947" w:type="dxa"/>
          </w:tcPr>
          <w:p w14:paraId="35DCA86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21216</w:t>
            </w:r>
          </w:p>
        </w:tc>
        <w:tc>
          <w:tcPr>
            <w:tcW w:w="761" w:type="dxa"/>
          </w:tcPr>
          <w:p w14:paraId="6D3662B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3417</w:t>
            </w:r>
          </w:p>
        </w:tc>
        <w:tc>
          <w:tcPr>
            <w:tcW w:w="759" w:type="dxa"/>
          </w:tcPr>
          <w:p w14:paraId="5A770A9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3728E5FD" w14:textId="239B5F11" w:rsidR="00201FE9" w:rsidRPr="00C86111" w:rsidRDefault="00201FE9" w:rsidP="00201FE9">
      <w:pPr>
        <w:jc w:val="both"/>
        <w:rPr>
          <w:rFonts w:asciiTheme="minorHAnsi" w:hAnsiTheme="minorHAnsi" w:cstheme="minorHAnsi"/>
          <w:color w:val="auto"/>
          <w:szCs w:val="24"/>
        </w:rPr>
      </w:pPr>
    </w:p>
    <w:p w14:paraId="0CB23636" w14:textId="77777777" w:rsidR="00375D24" w:rsidRPr="00C86111" w:rsidRDefault="00201FE9" w:rsidP="00201FE9">
      <w:pPr>
        <w:pStyle w:val="NoSpacing"/>
        <w:rPr>
          <w:rFonts w:eastAsia="Times New Roman" w:cstheme="minorHAnsi"/>
          <w:noProof/>
          <w:lang w:val="sr-Latn-RS"/>
        </w:rPr>
      </w:pPr>
      <w:r w:rsidRPr="00C86111">
        <w:rPr>
          <w:rFonts w:eastAsia="Times New Roman" w:cstheme="minorHAnsi"/>
          <w:noProof/>
          <w:lang w:val="sr-Latn-RS"/>
        </w:rPr>
        <w:t>Da bi se procijenili podaci o količinama otpada koji sagori usled pojave nekontrolisanih požara na neuređenim odlagalištima korišćeni su zvanični podaci Monstata: ukupno proizvedena količina komunalnog otpada, ukupno sakupljena količina komunalnog otpada od strane komunalnih preduzeća, podaci o količini komunalnog otpada koji se odlaže na dvije postojeće sanitarne deponije: Deponija doo Podgorica “Livade” i Deponija doo “Možura”.</w:t>
      </w:r>
      <w:r w:rsidRPr="00C86111">
        <w:rPr>
          <w:rFonts w:eastAsia="Calibri" w:cstheme="minorHAnsi"/>
          <w:noProof/>
          <w:kern w:val="2"/>
          <w:lang w:val="sr-Latn-RS"/>
        </w:rPr>
        <w:t xml:space="preserve"> </w:t>
      </w:r>
      <w:r w:rsidRPr="00C86111">
        <w:rPr>
          <w:rFonts w:eastAsia="Times New Roman" w:cstheme="minorHAnsi"/>
          <w:noProof/>
          <w:lang w:val="sr-Latn-RS"/>
        </w:rPr>
        <w:t>Metodologija pretpostavlja da je cjelokupna količina otpada koja se nalazi na deponiji u trenutku sagorijevanja podložna sagorijevanju, pri čemu sav ugljenik u otpadu ne sagori potpuno. Zbog nedostatka podataka o količini otpada koja je podložna sagorijevanju u trenutku izbijanja požara, pretpostavljeno je da je polovina od cjelokupnog neadvekatno odloženog otpada bila podložna sagorijevanju.</w:t>
      </w:r>
    </w:p>
    <w:p w14:paraId="370BE46A" w14:textId="4170AD94" w:rsidR="00201FE9" w:rsidRPr="00C86111" w:rsidRDefault="00201FE9" w:rsidP="00201FE9">
      <w:pPr>
        <w:pStyle w:val="NoSpacing"/>
        <w:rPr>
          <w:rFonts w:cstheme="minorHAnsi"/>
          <w:noProof/>
          <w:lang w:val="sr-Latn-RS"/>
        </w:rPr>
      </w:pPr>
      <w:r w:rsidRPr="00C86111">
        <w:rPr>
          <w:rFonts w:eastAsia="Times New Roman" w:cstheme="minorHAnsi"/>
          <w:noProof/>
          <w:lang w:val="sr-Latn-RS"/>
        </w:rPr>
        <w:t xml:space="preserve"> U prethodnom proračunu pretpostavljeno je </w:t>
      </w:r>
      <w:r w:rsidRPr="00C86111">
        <w:rPr>
          <w:rFonts w:cstheme="minorHAnsi"/>
          <w:noProof/>
          <w:lang w:val="sr-Latn-RS"/>
        </w:rPr>
        <w:t>sagorijevanje</w:t>
      </w:r>
      <w:r w:rsidRPr="00C86111">
        <w:rPr>
          <w:rFonts w:eastAsia="Times New Roman" w:cstheme="minorHAnsi"/>
          <w:noProof/>
          <w:lang w:val="sr-Latn-RS"/>
        </w:rPr>
        <w:t xml:space="preserve"> 100% otpada</w:t>
      </w:r>
      <w:r w:rsidRPr="00C86111">
        <w:rPr>
          <w:rFonts w:cstheme="minorHAnsi"/>
          <w:noProof/>
          <w:lang w:val="sr-Latn-RS"/>
        </w:rPr>
        <w:t xml:space="preserve"> ali je sada uzeto 50% kao manje konzervativna procjena. Zbog činjenice da su požari na neuređenim odlagalištima uobičajena pojava, važno je identifikovati i kvantifikovati ovaj izvor kao i da se sagleda važnost održivog upravljanja komunalnim otpadom u odnosu na POP’s </w:t>
      </w:r>
      <w:r w:rsidR="000D1995" w:rsidRPr="00C86111">
        <w:rPr>
          <w:rFonts w:cstheme="minorHAnsi"/>
          <w:noProof/>
          <w:lang w:val="sr-Latn-RS"/>
        </w:rPr>
        <w:t>emisije</w:t>
      </w:r>
      <w:r w:rsidRPr="00C86111">
        <w:rPr>
          <w:rFonts w:cstheme="minorHAnsi"/>
          <w:noProof/>
          <w:lang w:val="sr-Latn-RS"/>
        </w:rPr>
        <w:t xml:space="preserve">. </w:t>
      </w:r>
    </w:p>
    <w:p w14:paraId="5E46979D" w14:textId="37D32F34" w:rsidR="00201FE9" w:rsidRPr="00C86111" w:rsidRDefault="00201FE9" w:rsidP="00201FE9">
      <w:pPr>
        <w:pStyle w:val="NoSpacing"/>
        <w:rPr>
          <w:rFonts w:cstheme="minorHAnsi"/>
          <w:noProof/>
          <w:lang w:val="sr-Latn-RS"/>
        </w:rPr>
      </w:pPr>
      <w:r w:rsidRPr="00C86111">
        <w:rPr>
          <w:rFonts w:cstheme="minorHAnsi"/>
          <w:noProof/>
          <w:lang w:val="sr-Latn-RS"/>
        </w:rPr>
        <w:t xml:space="preserve">Dodatno u cilju opravdanosti proračuna, prikupljeni su podaci o broju izlazaka opštinskih vatrogasnih jedinica na gašenju požara na deponijama. Podaci su dobijeni od opštinskih službi zaštite i spašavanja i raspoloživi su za period 2017-2022. god (tabela </w:t>
      </w:r>
      <w:r w:rsidR="00180BB0" w:rsidRPr="00C86111">
        <w:rPr>
          <w:rFonts w:cstheme="minorHAnsi"/>
          <w:noProof/>
          <w:lang w:val="sr-Latn-RS"/>
        </w:rPr>
        <w:t>3</w:t>
      </w:r>
      <w:r w:rsidRPr="00C86111">
        <w:rPr>
          <w:rFonts w:cstheme="minorHAnsi"/>
          <w:noProof/>
          <w:lang w:val="sr-Latn-RS"/>
        </w:rPr>
        <w:t>0.).</w:t>
      </w:r>
    </w:p>
    <w:p w14:paraId="55334B75" w14:textId="50FF188E"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180BB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0.</w:t>
      </w:r>
      <w:r w:rsidRPr="00C86111">
        <w:rPr>
          <w:rFonts w:asciiTheme="minorHAnsi" w:hAnsiTheme="minorHAnsi" w:cstheme="minorHAnsi"/>
          <w:i w:val="0"/>
          <w:iCs/>
          <w:sz w:val="24"/>
          <w:lang w:val="sr-Latn-RS"/>
        </w:rPr>
        <w:t xml:space="preserve"> Broj izlazaka vatrogasnih jedinica na gašenju požara na deponijama po opštinama</w:t>
      </w:r>
    </w:p>
    <w:tbl>
      <w:tblPr>
        <w:tblStyle w:val="GridTable5Dark-Accent6"/>
        <w:tblW w:w="8725" w:type="dxa"/>
        <w:tblLook w:val="04A0" w:firstRow="1" w:lastRow="0" w:firstColumn="1" w:lastColumn="0" w:noHBand="0" w:noVBand="1"/>
      </w:tblPr>
      <w:tblGrid>
        <w:gridCol w:w="2785"/>
        <w:gridCol w:w="1080"/>
        <w:gridCol w:w="900"/>
        <w:gridCol w:w="990"/>
        <w:gridCol w:w="990"/>
        <w:gridCol w:w="990"/>
        <w:gridCol w:w="990"/>
      </w:tblGrid>
      <w:tr w:rsidR="00201FE9" w:rsidRPr="00C86111" w14:paraId="7A23223F" w14:textId="77777777" w:rsidTr="006F5A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BE2B726"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Oština</w:t>
            </w:r>
          </w:p>
        </w:tc>
        <w:tc>
          <w:tcPr>
            <w:tcW w:w="1080" w:type="dxa"/>
            <w:vAlign w:val="center"/>
          </w:tcPr>
          <w:p w14:paraId="3398F902"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2017</w:t>
            </w:r>
          </w:p>
        </w:tc>
        <w:tc>
          <w:tcPr>
            <w:tcW w:w="900" w:type="dxa"/>
            <w:vAlign w:val="center"/>
          </w:tcPr>
          <w:p w14:paraId="0E959127"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2018</w:t>
            </w:r>
          </w:p>
        </w:tc>
        <w:tc>
          <w:tcPr>
            <w:tcW w:w="990" w:type="dxa"/>
            <w:vAlign w:val="center"/>
          </w:tcPr>
          <w:p w14:paraId="1AEE4D54"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2019</w:t>
            </w:r>
          </w:p>
        </w:tc>
        <w:tc>
          <w:tcPr>
            <w:tcW w:w="990" w:type="dxa"/>
            <w:vAlign w:val="center"/>
          </w:tcPr>
          <w:p w14:paraId="43193FEB"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2020</w:t>
            </w:r>
          </w:p>
        </w:tc>
        <w:tc>
          <w:tcPr>
            <w:tcW w:w="990" w:type="dxa"/>
            <w:vAlign w:val="center"/>
          </w:tcPr>
          <w:p w14:paraId="3AB60140"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2021</w:t>
            </w:r>
          </w:p>
        </w:tc>
        <w:tc>
          <w:tcPr>
            <w:tcW w:w="990" w:type="dxa"/>
            <w:vAlign w:val="center"/>
          </w:tcPr>
          <w:p w14:paraId="735AB6C9"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2022</w:t>
            </w:r>
          </w:p>
        </w:tc>
      </w:tr>
      <w:tr w:rsidR="00201FE9" w:rsidRPr="00C86111" w14:paraId="3A7051DF"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0E5B403"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Žabljak</w:t>
            </w:r>
          </w:p>
        </w:tc>
        <w:tc>
          <w:tcPr>
            <w:tcW w:w="1080" w:type="dxa"/>
            <w:vAlign w:val="center"/>
          </w:tcPr>
          <w:p w14:paraId="7737AAEE"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900" w:type="dxa"/>
            <w:vAlign w:val="center"/>
          </w:tcPr>
          <w:p w14:paraId="2DA5767B"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c>
          <w:tcPr>
            <w:tcW w:w="990" w:type="dxa"/>
            <w:vAlign w:val="center"/>
          </w:tcPr>
          <w:p w14:paraId="3FBF16A3"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c>
          <w:tcPr>
            <w:tcW w:w="990" w:type="dxa"/>
            <w:vAlign w:val="center"/>
          </w:tcPr>
          <w:p w14:paraId="20D44FC5"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990" w:type="dxa"/>
            <w:vAlign w:val="center"/>
          </w:tcPr>
          <w:p w14:paraId="0C050945"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c>
          <w:tcPr>
            <w:tcW w:w="990" w:type="dxa"/>
            <w:vAlign w:val="center"/>
          </w:tcPr>
          <w:p w14:paraId="3841413B"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r>
      <w:tr w:rsidR="00201FE9" w:rsidRPr="00C86111" w14:paraId="255A767E"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02019EE6"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Ulcinj, Deponija Mavrijan, Bijela Gora, Štoj Velika plaža</w:t>
            </w:r>
          </w:p>
        </w:tc>
        <w:tc>
          <w:tcPr>
            <w:tcW w:w="1080" w:type="dxa"/>
            <w:vAlign w:val="center"/>
          </w:tcPr>
          <w:p w14:paraId="13398A97"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w:t>
            </w:r>
          </w:p>
        </w:tc>
        <w:tc>
          <w:tcPr>
            <w:tcW w:w="900" w:type="dxa"/>
            <w:vAlign w:val="center"/>
          </w:tcPr>
          <w:p w14:paraId="21867CB4"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w:t>
            </w:r>
          </w:p>
        </w:tc>
        <w:tc>
          <w:tcPr>
            <w:tcW w:w="990" w:type="dxa"/>
            <w:vAlign w:val="center"/>
          </w:tcPr>
          <w:p w14:paraId="3F6AD890"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c>
          <w:tcPr>
            <w:tcW w:w="990" w:type="dxa"/>
            <w:vAlign w:val="center"/>
          </w:tcPr>
          <w:p w14:paraId="0102D79F"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c>
          <w:tcPr>
            <w:tcW w:w="990" w:type="dxa"/>
            <w:vAlign w:val="center"/>
          </w:tcPr>
          <w:p w14:paraId="651690ED"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c>
          <w:tcPr>
            <w:tcW w:w="990" w:type="dxa"/>
            <w:vAlign w:val="center"/>
          </w:tcPr>
          <w:p w14:paraId="2DC2CDB5"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w:t>
            </w:r>
          </w:p>
        </w:tc>
      </w:tr>
      <w:tr w:rsidR="00201FE9" w:rsidRPr="00C86111" w14:paraId="71A013C8"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A807C2B"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Tivat kontejneri/deponije</w:t>
            </w:r>
          </w:p>
        </w:tc>
        <w:tc>
          <w:tcPr>
            <w:tcW w:w="1080" w:type="dxa"/>
            <w:vAlign w:val="center"/>
          </w:tcPr>
          <w:p w14:paraId="4E284088"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56</w:t>
            </w:r>
          </w:p>
        </w:tc>
        <w:tc>
          <w:tcPr>
            <w:tcW w:w="900" w:type="dxa"/>
            <w:vAlign w:val="center"/>
          </w:tcPr>
          <w:p w14:paraId="7940831C"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w:t>
            </w:r>
          </w:p>
        </w:tc>
        <w:tc>
          <w:tcPr>
            <w:tcW w:w="990" w:type="dxa"/>
            <w:vAlign w:val="center"/>
          </w:tcPr>
          <w:p w14:paraId="3AF2C3FB"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33</w:t>
            </w:r>
          </w:p>
        </w:tc>
        <w:tc>
          <w:tcPr>
            <w:tcW w:w="990" w:type="dxa"/>
            <w:vAlign w:val="center"/>
          </w:tcPr>
          <w:p w14:paraId="0E5542F0"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49</w:t>
            </w:r>
          </w:p>
        </w:tc>
        <w:tc>
          <w:tcPr>
            <w:tcW w:w="990" w:type="dxa"/>
            <w:vAlign w:val="center"/>
          </w:tcPr>
          <w:p w14:paraId="77F5A0FD"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38</w:t>
            </w:r>
          </w:p>
        </w:tc>
        <w:tc>
          <w:tcPr>
            <w:tcW w:w="990" w:type="dxa"/>
            <w:vAlign w:val="center"/>
          </w:tcPr>
          <w:p w14:paraId="252E05C5"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89</w:t>
            </w:r>
          </w:p>
        </w:tc>
      </w:tr>
      <w:tr w:rsidR="00201FE9" w:rsidRPr="00C86111" w14:paraId="1E2CEEEF"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523C8DC"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Rožaje, kontejneri/deponije</w:t>
            </w:r>
          </w:p>
        </w:tc>
        <w:tc>
          <w:tcPr>
            <w:tcW w:w="1080" w:type="dxa"/>
            <w:vAlign w:val="center"/>
          </w:tcPr>
          <w:p w14:paraId="68DD544B"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w:t>
            </w:r>
          </w:p>
        </w:tc>
        <w:tc>
          <w:tcPr>
            <w:tcW w:w="900" w:type="dxa"/>
            <w:vAlign w:val="center"/>
          </w:tcPr>
          <w:p w14:paraId="0DF7C02E"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990" w:type="dxa"/>
            <w:vAlign w:val="center"/>
          </w:tcPr>
          <w:p w14:paraId="74944CA5"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w:t>
            </w:r>
          </w:p>
        </w:tc>
        <w:tc>
          <w:tcPr>
            <w:tcW w:w="990" w:type="dxa"/>
            <w:vAlign w:val="center"/>
          </w:tcPr>
          <w:p w14:paraId="784D4F06"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990" w:type="dxa"/>
            <w:vAlign w:val="center"/>
          </w:tcPr>
          <w:p w14:paraId="48DD8766"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49</w:t>
            </w:r>
          </w:p>
        </w:tc>
        <w:tc>
          <w:tcPr>
            <w:tcW w:w="990" w:type="dxa"/>
            <w:vAlign w:val="center"/>
          </w:tcPr>
          <w:p w14:paraId="75A03562"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w:t>
            </w:r>
          </w:p>
        </w:tc>
      </w:tr>
      <w:tr w:rsidR="00201FE9" w:rsidRPr="00C86111" w14:paraId="3226EEF5"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CD703E4"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Pljevlja</w:t>
            </w:r>
          </w:p>
        </w:tc>
        <w:tc>
          <w:tcPr>
            <w:tcW w:w="1080" w:type="dxa"/>
            <w:vAlign w:val="center"/>
          </w:tcPr>
          <w:p w14:paraId="1FBD1D18"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900" w:type="dxa"/>
            <w:vAlign w:val="center"/>
          </w:tcPr>
          <w:p w14:paraId="3511DE56"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990" w:type="dxa"/>
            <w:vAlign w:val="center"/>
          </w:tcPr>
          <w:p w14:paraId="098B6110"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c>
          <w:tcPr>
            <w:tcW w:w="990" w:type="dxa"/>
            <w:vAlign w:val="center"/>
          </w:tcPr>
          <w:p w14:paraId="431751CB"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c>
          <w:tcPr>
            <w:tcW w:w="990" w:type="dxa"/>
            <w:vAlign w:val="center"/>
          </w:tcPr>
          <w:p w14:paraId="70A9AE50"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w:t>
            </w:r>
          </w:p>
        </w:tc>
        <w:tc>
          <w:tcPr>
            <w:tcW w:w="990" w:type="dxa"/>
            <w:vAlign w:val="center"/>
          </w:tcPr>
          <w:p w14:paraId="38911D89"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r>
      <w:tr w:rsidR="00201FE9" w:rsidRPr="00C86111" w14:paraId="47C000CF"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AA9ECD8"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Plav</w:t>
            </w:r>
          </w:p>
        </w:tc>
        <w:tc>
          <w:tcPr>
            <w:tcW w:w="1080" w:type="dxa"/>
            <w:vAlign w:val="center"/>
          </w:tcPr>
          <w:p w14:paraId="03EFEB05"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900" w:type="dxa"/>
            <w:vAlign w:val="center"/>
          </w:tcPr>
          <w:p w14:paraId="2617DC69"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w:t>
            </w:r>
          </w:p>
        </w:tc>
        <w:tc>
          <w:tcPr>
            <w:tcW w:w="990" w:type="dxa"/>
            <w:vAlign w:val="center"/>
          </w:tcPr>
          <w:p w14:paraId="7C6F6775"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990" w:type="dxa"/>
            <w:vAlign w:val="center"/>
          </w:tcPr>
          <w:p w14:paraId="58E0E000"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w:t>
            </w:r>
          </w:p>
        </w:tc>
        <w:tc>
          <w:tcPr>
            <w:tcW w:w="990" w:type="dxa"/>
            <w:vAlign w:val="center"/>
          </w:tcPr>
          <w:p w14:paraId="45FE3A70"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47</w:t>
            </w:r>
          </w:p>
        </w:tc>
        <w:tc>
          <w:tcPr>
            <w:tcW w:w="990" w:type="dxa"/>
            <w:vAlign w:val="center"/>
          </w:tcPr>
          <w:p w14:paraId="4514BDBE"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w:t>
            </w:r>
          </w:p>
        </w:tc>
      </w:tr>
      <w:tr w:rsidR="00201FE9" w:rsidRPr="00C86111" w14:paraId="2512E112"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BEBD66C"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b w:val="0"/>
                <w:bCs w:val="0"/>
                <w:color w:val="auto"/>
                <w:sz w:val="20"/>
                <w:szCs w:val="20"/>
              </w:rPr>
              <w:t>Nikšić (Mislov do)</w:t>
            </w:r>
          </w:p>
        </w:tc>
        <w:tc>
          <w:tcPr>
            <w:tcW w:w="1080" w:type="dxa"/>
            <w:vAlign w:val="center"/>
          </w:tcPr>
          <w:p w14:paraId="118DC32E"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19</w:t>
            </w:r>
          </w:p>
        </w:tc>
        <w:tc>
          <w:tcPr>
            <w:tcW w:w="900" w:type="dxa"/>
            <w:vAlign w:val="center"/>
          </w:tcPr>
          <w:p w14:paraId="06857C4E"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25</w:t>
            </w:r>
          </w:p>
        </w:tc>
        <w:tc>
          <w:tcPr>
            <w:tcW w:w="990" w:type="dxa"/>
            <w:vAlign w:val="center"/>
          </w:tcPr>
          <w:p w14:paraId="49FE5F7A"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3</w:t>
            </w:r>
          </w:p>
        </w:tc>
        <w:tc>
          <w:tcPr>
            <w:tcW w:w="990" w:type="dxa"/>
            <w:vAlign w:val="center"/>
          </w:tcPr>
          <w:p w14:paraId="3EA1AC6E"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36</w:t>
            </w:r>
          </w:p>
        </w:tc>
        <w:tc>
          <w:tcPr>
            <w:tcW w:w="990" w:type="dxa"/>
            <w:vAlign w:val="center"/>
          </w:tcPr>
          <w:p w14:paraId="5B60BB05"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24</w:t>
            </w:r>
          </w:p>
        </w:tc>
        <w:tc>
          <w:tcPr>
            <w:tcW w:w="990" w:type="dxa"/>
            <w:vAlign w:val="center"/>
          </w:tcPr>
          <w:p w14:paraId="28F39E76"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color w:val="auto"/>
                <w:sz w:val="20"/>
                <w:szCs w:val="20"/>
              </w:rPr>
              <w:t>21</w:t>
            </w:r>
          </w:p>
        </w:tc>
      </w:tr>
      <w:tr w:rsidR="00201FE9" w:rsidRPr="00C86111" w14:paraId="4E3D3D33"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60513EF6"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Mojkovac, kontejneri/deponije</w:t>
            </w:r>
          </w:p>
        </w:tc>
        <w:tc>
          <w:tcPr>
            <w:tcW w:w="1080" w:type="dxa"/>
            <w:vAlign w:val="center"/>
          </w:tcPr>
          <w:p w14:paraId="27E951E3"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24</w:t>
            </w:r>
          </w:p>
        </w:tc>
        <w:tc>
          <w:tcPr>
            <w:tcW w:w="900" w:type="dxa"/>
            <w:vAlign w:val="center"/>
          </w:tcPr>
          <w:p w14:paraId="3CF7483B"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990" w:type="dxa"/>
            <w:vAlign w:val="center"/>
          </w:tcPr>
          <w:p w14:paraId="759AE64F"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w:t>
            </w:r>
          </w:p>
        </w:tc>
        <w:tc>
          <w:tcPr>
            <w:tcW w:w="990" w:type="dxa"/>
            <w:vAlign w:val="center"/>
          </w:tcPr>
          <w:p w14:paraId="52824D99"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29</w:t>
            </w:r>
          </w:p>
        </w:tc>
        <w:tc>
          <w:tcPr>
            <w:tcW w:w="990" w:type="dxa"/>
            <w:vAlign w:val="center"/>
          </w:tcPr>
          <w:p w14:paraId="6BE7CBCF"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990" w:type="dxa"/>
            <w:vAlign w:val="center"/>
          </w:tcPr>
          <w:p w14:paraId="3682AD40"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r>
      <w:tr w:rsidR="00201FE9" w:rsidRPr="00C86111" w14:paraId="05AE5FAB"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E61BC46"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Kolašin, Bakovići</w:t>
            </w:r>
          </w:p>
        </w:tc>
        <w:tc>
          <w:tcPr>
            <w:tcW w:w="1080" w:type="dxa"/>
            <w:vAlign w:val="center"/>
          </w:tcPr>
          <w:p w14:paraId="26808EBE"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900" w:type="dxa"/>
            <w:vAlign w:val="center"/>
          </w:tcPr>
          <w:p w14:paraId="2CF0C32D"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990" w:type="dxa"/>
            <w:vAlign w:val="center"/>
          </w:tcPr>
          <w:p w14:paraId="2B7C5902"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990" w:type="dxa"/>
            <w:vAlign w:val="center"/>
          </w:tcPr>
          <w:p w14:paraId="5C6F7C63"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990" w:type="dxa"/>
            <w:vAlign w:val="center"/>
          </w:tcPr>
          <w:p w14:paraId="3C03D9ED"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990" w:type="dxa"/>
            <w:vAlign w:val="center"/>
          </w:tcPr>
          <w:p w14:paraId="7ACC2B84"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r>
      <w:tr w:rsidR="00201FE9" w:rsidRPr="00C86111" w14:paraId="23714DB9"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0D98C837"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Gusinje, kontejneri/deponije</w:t>
            </w:r>
          </w:p>
        </w:tc>
        <w:tc>
          <w:tcPr>
            <w:tcW w:w="1080" w:type="dxa"/>
            <w:vAlign w:val="center"/>
          </w:tcPr>
          <w:p w14:paraId="39459616"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w:t>
            </w:r>
          </w:p>
        </w:tc>
        <w:tc>
          <w:tcPr>
            <w:tcW w:w="900" w:type="dxa"/>
            <w:vAlign w:val="center"/>
          </w:tcPr>
          <w:p w14:paraId="3D9B94FF"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w:t>
            </w:r>
          </w:p>
        </w:tc>
        <w:tc>
          <w:tcPr>
            <w:tcW w:w="990" w:type="dxa"/>
            <w:vAlign w:val="center"/>
          </w:tcPr>
          <w:p w14:paraId="14AFCDA9"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32</w:t>
            </w:r>
          </w:p>
        </w:tc>
        <w:tc>
          <w:tcPr>
            <w:tcW w:w="990" w:type="dxa"/>
            <w:vAlign w:val="center"/>
          </w:tcPr>
          <w:p w14:paraId="377189C3"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w:t>
            </w:r>
          </w:p>
        </w:tc>
        <w:tc>
          <w:tcPr>
            <w:tcW w:w="990" w:type="dxa"/>
            <w:vAlign w:val="center"/>
          </w:tcPr>
          <w:p w14:paraId="19BECE9D"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36</w:t>
            </w:r>
          </w:p>
        </w:tc>
        <w:tc>
          <w:tcPr>
            <w:tcW w:w="990" w:type="dxa"/>
            <w:vAlign w:val="center"/>
          </w:tcPr>
          <w:p w14:paraId="48092F88"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34</w:t>
            </w:r>
          </w:p>
        </w:tc>
      </w:tr>
      <w:tr w:rsidR="00201FE9" w:rsidRPr="00C86111" w14:paraId="7CAED975"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4CBF7977"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Cetinje</w:t>
            </w:r>
          </w:p>
        </w:tc>
        <w:tc>
          <w:tcPr>
            <w:tcW w:w="1080" w:type="dxa"/>
            <w:vAlign w:val="center"/>
          </w:tcPr>
          <w:p w14:paraId="68A39A1A"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c>
          <w:tcPr>
            <w:tcW w:w="900" w:type="dxa"/>
            <w:vAlign w:val="center"/>
          </w:tcPr>
          <w:p w14:paraId="675BC969"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990" w:type="dxa"/>
            <w:vAlign w:val="center"/>
          </w:tcPr>
          <w:p w14:paraId="474AA58C"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990" w:type="dxa"/>
            <w:vAlign w:val="center"/>
          </w:tcPr>
          <w:p w14:paraId="15BDD4FD"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w:t>
            </w:r>
          </w:p>
        </w:tc>
        <w:tc>
          <w:tcPr>
            <w:tcW w:w="990" w:type="dxa"/>
            <w:vAlign w:val="center"/>
          </w:tcPr>
          <w:p w14:paraId="2EA09B51"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c>
          <w:tcPr>
            <w:tcW w:w="990" w:type="dxa"/>
            <w:vAlign w:val="center"/>
          </w:tcPr>
          <w:p w14:paraId="62734F1C"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r>
      <w:tr w:rsidR="00201FE9" w:rsidRPr="00C86111" w14:paraId="21540C1A"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5AD95A1C"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Berane</w:t>
            </w:r>
          </w:p>
        </w:tc>
        <w:tc>
          <w:tcPr>
            <w:tcW w:w="1080" w:type="dxa"/>
            <w:vAlign w:val="center"/>
          </w:tcPr>
          <w:p w14:paraId="5F62C0B5"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c>
          <w:tcPr>
            <w:tcW w:w="900" w:type="dxa"/>
            <w:vAlign w:val="center"/>
          </w:tcPr>
          <w:p w14:paraId="6A87C61B"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990" w:type="dxa"/>
            <w:vAlign w:val="center"/>
          </w:tcPr>
          <w:p w14:paraId="75C7D84A"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990" w:type="dxa"/>
            <w:vAlign w:val="center"/>
          </w:tcPr>
          <w:p w14:paraId="0EC190F6"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w:t>
            </w:r>
          </w:p>
        </w:tc>
        <w:tc>
          <w:tcPr>
            <w:tcW w:w="990" w:type="dxa"/>
            <w:vAlign w:val="center"/>
          </w:tcPr>
          <w:p w14:paraId="32E2ED6F"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990" w:type="dxa"/>
            <w:vAlign w:val="center"/>
          </w:tcPr>
          <w:p w14:paraId="46BB7A6A"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r>
      <w:tr w:rsidR="00201FE9" w:rsidRPr="00C86111" w14:paraId="3910F476"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06101E3"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Andrijevica</w:t>
            </w:r>
          </w:p>
        </w:tc>
        <w:tc>
          <w:tcPr>
            <w:tcW w:w="1080" w:type="dxa"/>
            <w:vAlign w:val="center"/>
          </w:tcPr>
          <w:p w14:paraId="14921D09"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w:t>
            </w:r>
          </w:p>
        </w:tc>
        <w:tc>
          <w:tcPr>
            <w:tcW w:w="900" w:type="dxa"/>
            <w:vAlign w:val="center"/>
          </w:tcPr>
          <w:p w14:paraId="4470A541"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c>
          <w:tcPr>
            <w:tcW w:w="990" w:type="dxa"/>
            <w:vAlign w:val="center"/>
          </w:tcPr>
          <w:p w14:paraId="3080974A"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990" w:type="dxa"/>
            <w:vAlign w:val="center"/>
          </w:tcPr>
          <w:p w14:paraId="5038C235"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990" w:type="dxa"/>
            <w:vAlign w:val="center"/>
          </w:tcPr>
          <w:p w14:paraId="2C7F3A4E"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w:t>
            </w:r>
          </w:p>
        </w:tc>
        <w:tc>
          <w:tcPr>
            <w:tcW w:w="990" w:type="dxa"/>
            <w:vAlign w:val="center"/>
          </w:tcPr>
          <w:p w14:paraId="27EC8E04"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w:t>
            </w:r>
          </w:p>
        </w:tc>
      </w:tr>
      <w:tr w:rsidR="00201FE9" w:rsidRPr="00C86111" w14:paraId="0CCD38AC"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5A7F37DF"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Podgorica, Livade</w:t>
            </w:r>
          </w:p>
        </w:tc>
        <w:tc>
          <w:tcPr>
            <w:tcW w:w="1080" w:type="dxa"/>
            <w:vAlign w:val="center"/>
          </w:tcPr>
          <w:p w14:paraId="5D8F3A28"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36</w:t>
            </w:r>
          </w:p>
        </w:tc>
        <w:tc>
          <w:tcPr>
            <w:tcW w:w="900" w:type="dxa"/>
            <w:vAlign w:val="center"/>
          </w:tcPr>
          <w:p w14:paraId="5AB6E9B2"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46</w:t>
            </w:r>
          </w:p>
        </w:tc>
        <w:tc>
          <w:tcPr>
            <w:tcW w:w="990" w:type="dxa"/>
            <w:vAlign w:val="center"/>
          </w:tcPr>
          <w:p w14:paraId="36303159"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65</w:t>
            </w:r>
          </w:p>
        </w:tc>
        <w:tc>
          <w:tcPr>
            <w:tcW w:w="990" w:type="dxa"/>
            <w:vAlign w:val="center"/>
          </w:tcPr>
          <w:p w14:paraId="71E1FB72"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44</w:t>
            </w:r>
          </w:p>
        </w:tc>
        <w:tc>
          <w:tcPr>
            <w:tcW w:w="990" w:type="dxa"/>
            <w:vAlign w:val="center"/>
          </w:tcPr>
          <w:p w14:paraId="057835A2"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c>
          <w:tcPr>
            <w:tcW w:w="990" w:type="dxa"/>
            <w:vAlign w:val="center"/>
          </w:tcPr>
          <w:p w14:paraId="6FAE4D02"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r>
      <w:tr w:rsidR="00201FE9" w:rsidRPr="00C86111" w14:paraId="0DCCC67B"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803C42D"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Podgorica, divlje deponije</w:t>
            </w:r>
          </w:p>
        </w:tc>
        <w:tc>
          <w:tcPr>
            <w:tcW w:w="1080" w:type="dxa"/>
            <w:vAlign w:val="center"/>
          </w:tcPr>
          <w:p w14:paraId="0389B3D7" w14:textId="558C1F30"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tcW w:w="900" w:type="dxa"/>
            <w:vAlign w:val="center"/>
          </w:tcPr>
          <w:p w14:paraId="54C4E924" w14:textId="7B954A4D"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tcW w:w="990" w:type="dxa"/>
            <w:vAlign w:val="center"/>
          </w:tcPr>
          <w:p w14:paraId="2130E019" w14:textId="29507252"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tcW w:w="990" w:type="dxa"/>
            <w:vAlign w:val="center"/>
          </w:tcPr>
          <w:p w14:paraId="6B11E6A3"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45</w:t>
            </w:r>
          </w:p>
        </w:tc>
        <w:tc>
          <w:tcPr>
            <w:tcW w:w="990" w:type="dxa"/>
            <w:vAlign w:val="center"/>
          </w:tcPr>
          <w:p w14:paraId="28C9E6F7"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145</w:t>
            </w:r>
          </w:p>
        </w:tc>
        <w:tc>
          <w:tcPr>
            <w:tcW w:w="990" w:type="dxa"/>
            <w:vAlign w:val="center"/>
          </w:tcPr>
          <w:p w14:paraId="64AE4CFF"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119</w:t>
            </w:r>
          </w:p>
        </w:tc>
      </w:tr>
      <w:tr w:rsidR="00201FE9" w:rsidRPr="00C86111" w14:paraId="7DE612E2"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03E7091F"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Bar, divlje deponije</w:t>
            </w:r>
          </w:p>
        </w:tc>
        <w:tc>
          <w:tcPr>
            <w:tcW w:w="1080" w:type="dxa"/>
            <w:vAlign w:val="center"/>
          </w:tcPr>
          <w:p w14:paraId="515592B9"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19</w:t>
            </w:r>
          </w:p>
        </w:tc>
        <w:tc>
          <w:tcPr>
            <w:tcW w:w="900" w:type="dxa"/>
            <w:vAlign w:val="center"/>
          </w:tcPr>
          <w:p w14:paraId="5AEAA057"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w:t>
            </w:r>
          </w:p>
        </w:tc>
        <w:tc>
          <w:tcPr>
            <w:tcW w:w="990" w:type="dxa"/>
            <w:vAlign w:val="center"/>
          </w:tcPr>
          <w:p w14:paraId="76162157"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w:t>
            </w:r>
          </w:p>
        </w:tc>
        <w:tc>
          <w:tcPr>
            <w:tcW w:w="990" w:type="dxa"/>
            <w:vAlign w:val="center"/>
          </w:tcPr>
          <w:p w14:paraId="4A09EA7C"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990" w:type="dxa"/>
            <w:vAlign w:val="center"/>
          </w:tcPr>
          <w:p w14:paraId="797575D4"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990" w:type="dxa"/>
            <w:vAlign w:val="center"/>
          </w:tcPr>
          <w:p w14:paraId="2A363D9A"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w:t>
            </w:r>
          </w:p>
        </w:tc>
      </w:tr>
    </w:tbl>
    <w:p w14:paraId="7E6F756A" w14:textId="77777777" w:rsidR="00201FE9" w:rsidRPr="00C86111" w:rsidRDefault="00201FE9" w:rsidP="00201FE9">
      <w:pPr>
        <w:pStyle w:val="NoSpacing"/>
        <w:rPr>
          <w:rFonts w:cstheme="minorHAnsi"/>
          <w:noProof/>
          <w:lang w:val="sr-Latn-RS"/>
        </w:rPr>
      </w:pPr>
    </w:p>
    <w:p w14:paraId="14F85387"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Podaci za odlagalište „Mislov do“ boldovani su crveno jer se procijenjene količine odloženog otpada na ovom odlagalištu kreću iznad 25000 tona na godišnjem nivou. Sva veća odlagališta otpada koja su bila podložna višegodišnjem gorenju mogu se smatrati potencijalnim kontaminiranim lokacijama.</w:t>
      </w:r>
    </w:p>
    <w:p w14:paraId="15A92ACD" w14:textId="50267450"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Ukupne godišnje POP’s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usled sagorelog otpada na otvorenom za posmatrani period prikazane su tabelom </w:t>
      </w:r>
      <w:r w:rsidR="006F5A10" w:rsidRPr="00C86111">
        <w:rPr>
          <w:rFonts w:asciiTheme="minorHAnsi" w:hAnsiTheme="minorHAnsi" w:cstheme="minorHAnsi"/>
          <w:color w:val="auto"/>
          <w:szCs w:val="24"/>
        </w:rPr>
        <w:t>3</w:t>
      </w:r>
      <w:r w:rsidRPr="00C86111">
        <w:rPr>
          <w:rFonts w:asciiTheme="minorHAnsi" w:hAnsiTheme="minorHAnsi" w:cstheme="minorHAnsi"/>
          <w:color w:val="auto"/>
          <w:szCs w:val="24"/>
        </w:rPr>
        <w:t xml:space="preserve">1. dok su količine neadekvatno odloženog i sagorelog otpada prikazane tabelom </w:t>
      </w:r>
      <w:r w:rsidR="006F5A10" w:rsidRPr="00C86111">
        <w:rPr>
          <w:rFonts w:asciiTheme="minorHAnsi" w:hAnsiTheme="minorHAnsi" w:cstheme="minorHAnsi"/>
          <w:color w:val="auto"/>
          <w:szCs w:val="24"/>
        </w:rPr>
        <w:t>3</w:t>
      </w:r>
      <w:r w:rsidRPr="00C86111">
        <w:rPr>
          <w:rFonts w:asciiTheme="minorHAnsi" w:hAnsiTheme="minorHAnsi" w:cstheme="minorHAnsi"/>
          <w:color w:val="auto"/>
          <w:szCs w:val="24"/>
        </w:rPr>
        <w:t>2.</w:t>
      </w:r>
    </w:p>
    <w:p w14:paraId="15DBBC43" w14:textId="77777777" w:rsidR="00201FE9" w:rsidRPr="00C86111" w:rsidRDefault="00201FE9" w:rsidP="00201FE9">
      <w:pPr>
        <w:jc w:val="both"/>
        <w:rPr>
          <w:rFonts w:asciiTheme="minorHAnsi" w:hAnsiTheme="minorHAnsi" w:cstheme="minorHAnsi"/>
          <w:color w:val="auto"/>
          <w:szCs w:val="24"/>
        </w:rPr>
      </w:pPr>
    </w:p>
    <w:p w14:paraId="29D21C40" w14:textId="02B40BBD"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bookmarkStart w:id="68" w:name="_Hlk207319025"/>
      <w:r w:rsidRPr="00C86111">
        <w:rPr>
          <w:rFonts w:asciiTheme="minorHAnsi" w:hAnsiTheme="minorHAnsi" w:cstheme="minorHAnsi"/>
          <w:b/>
          <w:bCs/>
          <w:i w:val="0"/>
          <w:iCs/>
          <w:sz w:val="24"/>
          <w:lang w:val="sr-Latn-RS"/>
        </w:rPr>
        <w:t xml:space="preserve">Tabela </w:t>
      </w:r>
      <w:r w:rsidR="006F5A1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1.</w:t>
      </w:r>
      <w:r w:rsidRPr="00C86111">
        <w:rPr>
          <w:rFonts w:asciiTheme="minorHAnsi" w:hAnsiTheme="minorHAnsi" w:cstheme="minorHAnsi"/>
          <w:i w:val="0"/>
          <w:iCs/>
          <w:sz w:val="24"/>
          <w:lang w:val="sr-Latn-RS"/>
        </w:rPr>
        <w:t xml:space="preserve"> Ukupne godišnje POP's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(PCDD/PCDF) usled sagorijevanja otpada na otvorenom,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6F8C3B67"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bookmarkEnd w:id="68"/>
          <w:p w14:paraId="7C9288C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1C96501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4D8AC6A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5FF33DF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119D3C5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5821C3D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22637D0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5DBF5E0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118774D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1499E8F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04E54AA3"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71CFC42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4AA5993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33.24</w:t>
            </w:r>
          </w:p>
        </w:tc>
        <w:tc>
          <w:tcPr>
            <w:tcW w:w="780" w:type="dxa"/>
          </w:tcPr>
          <w:p w14:paraId="4DF4772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32.83</w:t>
            </w:r>
          </w:p>
        </w:tc>
        <w:tc>
          <w:tcPr>
            <w:tcW w:w="779" w:type="dxa"/>
          </w:tcPr>
          <w:p w14:paraId="368AE8C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24.63</w:t>
            </w:r>
          </w:p>
        </w:tc>
        <w:tc>
          <w:tcPr>
            <w:tcW w:w="779" w:type="dxa"/>
          </w:tcPr>
          <w:p w14:paraId="0A11188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26.58</w:t>
            </w:r>
          </w:p>
        </w:tc>
        <w:tc>
          <w:tcPr>
            <w:tcW w:w="779" w:type="dxa"/>
          </w:tcPr>
          <w:p w14:paraId="4CE78F2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26.07</w:t>
            </w:r>
          </w:p>
        </w:tc>
        <w:tc>
          <w:tcPr>
            <w:tcW w:w="779" w:type="dxa"/>
          </w:tcPr>
          <w:p w14:paraId="6A6C5C6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25.32</w:t>
            </w:r>
          </w:p>
        </w:tc>
        <w:tc>
          <w:tcPr>
            <w:tcW w:w="779" w:type="dxa"/>
          </w:tcPr>
          <w:p w14:paraId="5A22D2C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14.14</w:t>
            </w:r>
          </w:p>
        </w:tc>
        <w:tc>
          <w:tcPr>
            <w:tcW w:w="779" w:type="dxa"/>
          </w:tcPr>
          <w:p w14:paraId="04FE29C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8.44</w:t>
            </w:r>
          </w:p>
        </w:tc>
        <w:tc>
          <w:tcPr>
            <w:tcW w:w="779" w:type="dxa"/>
          </w:tcPr>
          <w:p w14:paraId="2595F50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11.46</w:t>
            </w:r>
          </w:p>
        </w:tc>
      </w:tr>
      <w:tr w:rsidR="00201FE9" w:rsidRPr="00C86111" w14:paraId="0D991CCB"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B6CFAD2"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Zemljište </w:t>
            </w:r>
          </w:p>
        </w:tc>
        <w:tc>
          <w:tcPr>
            <w:tcW w:w="768" w:type="dxa"/>
          </w:tcPr>
          <w:p w14:paraId="4EDF3F8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1.11</w:t>
            </w:r>
          </w:p>
        </w:tc>
        <w:tc>
          <w:tcPr>
            <w:tcW w:w="780" w:type="dxa"/>
          </w:tcPr>
          <w:p w14:paraId="6595E86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1.09</w:t>
            </w:r>
          </w:p>
        </w:tc>
        <w:tc>
          <w:tcPr>
            <w:tcW w:w="779" w:type="dxa"/>
          </w:tcPr>
          <w:p w14:paraId="43018BA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0.82</w:t>
            </w:r>
          </w:p>
        </w:tc>
        <w:tc>
          <w:tcPr>
            <w:tcW w:w="779" w:type="dxa"/>
          </w:tcPr>
          <w:p w14:paraId="2D56CC5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0.89</w:t>
            </w:r>
          </w:p>
        </w:tc>
        <w:tc>
          <w:tcPr>
            <w:tcW w:w="779" w:type="dxa"/>
          </w:tcPr>
          <w:p w14:paraId="75EA4DE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0.87</w:t>
            </w:r>
          </w:p>
        </w:tc>
        <w:tc>
          <w:tcPr>
            <w:tcW w:w="779" w:type="dxa"/>
          </w:tcPr>
          <w:p w14:paraId="38BB22A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0.84</w:t>
            </w:r>
          </w:p>
        </w:tc>
        <w:tc>
          <w:tcPr>
            <w:tcW w:w="779" w:type="dxa"/>
          </w:tcPr>
          <w:p w14:paraId="7E2E5AF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0.47</w:t>
            </w:r>
          </w:p>
        </w:tc>
        <w:tc>
          <w:tcPr>
            <w:tcW w:w="779" w:type="dxa"/>
          </w:tcPr>
          <w:p w14:paraId="53652CF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0.28</w:t>
            </w:r>
          </w:p>
        </w:tc>
        <w:tc>
          <w:tcPr>
            <w:tcW w:w="779" w:type="dxa"/>
          </w:tcPr>
          <w:p w14:paraId="6B7BF5F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0.38</w:t>
            </w:r>
          </w:p>
        </w:tc>
      </w:tr>
      <w:tr w:rsidR="00201FE9" w:rsidRPr="00C86111" w14:paraId="6B6D9510"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5F2539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7C7E8CE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1DF0056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1C0B528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7968C06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42AB243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3A98126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77064EB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4806616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37D46D3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52C7F7AE"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5FC83B7"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2355FBE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12.41</w:t>
            </w:r>
          </w:p>
        </w:tc>
        <w:tc>
          <w:tcPr>
            <w:tcW w:w="780" w:type="dxa"/>
          </w:tcPr>
          <w:p w14:paraId="34AD2FB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12.00</w:t>
            </w:r>
          </w:p>
        </w:tc>
        <w:tc>
          <w:tcPr>
            <w:tcW w:w="779" w:type="dxa"/>
          </w:tcPr>
          <w:p w14:paraId="730B9FA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12.00</w:t>
            </w:r>
          </w:p>
        </w:tc>
        <w:tc>
          <w:tcPr>
            <w:tcW w:w="779" w:type="dxa"/>
          </w:tcPr>
          <w:p w14:paraId="1FF870E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12.00</w:t>
            </w:r>
          </w:p>
        </w:tc>
        <w:tc>
          <w:tcPr>
            <w:tcW w:w="779" w:type="dxa"/>
          </w:tcPr>
          <w:p w14:paraId="19113B3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12.00</w:t>
            </w:r>
          </w:p>
        </w:tc>
        <w:tc>
          <w:tcPr>
            <w:tcW w:w="779" w:type="dxa"/>
          </w:tcPr>
          <w:p w14:paraId="4518B3B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12.00</w:t>
            </w:r>
          </w:p>
        </w:tc>
        <w:tc>
          <w:tcPr>
            <w:tcW w:w="779" w:type="dxa"/>
          </w:tcPr>
          <w:p w14:paraId="5FB4844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12.00</w:t>
            </w:r>
          </w:p>
        </w:tc>
        <w:tc>
          <w:tcPr>
            <w:tcW w:w="779" w:type="dxa"/>
          </w:tcPr>
          <w:p w14:paraId="2B433BC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12.00</w:t>
            </w:r>
          </w:p>
        </w:tc>
        <w:tc>
          <w:tcPr>
            <w:tcW w:w="779" w:type="dxa"/>
          </w:tcPr>
          <w:p w14:paraId="4D58628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7BB15B99"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5C75C1F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Zemljište</w:t>
            </w:r>
          </w:p>
        </w:tc>
        <w:tc>
          <w:tcPr>
            <w:tcW w:w="768" w:type="dxa"/>
          </w:tcPr>
          <w:p w14:paraId="2C9F5FA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0.41</w:t>
            </w:r>
          </w:p>
        </w:tc>
        <w:tc>
          <w:tcPr>
            <w:tcW w:w="780" w:type="dxa"/>
          </w:tcPr>
          <w:p w14:paraId="7925363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239F120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2882D22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3DC4426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2D348AB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53BB514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5429B16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0.40</w:t>
            </w:r>
          </w:p>
        </w:tc>
        <w:tc>
          <w:tcPr>
            <w:tcW w:w="779" w:type="dxa"/>
          </w:tcPr>
          <w:p w14:paraId="5E86FD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5E1405D9" w14:textId="3927406C"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6F5A1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2.</w:t>
      </w:r>
      <w:r w:rsidRPr="00C86111">
        <w:rPr>
          <w:rFonts w:asciiTheme="minorHAnsi" w:hAnsiTheme="minorHAnsi" w:cstheme="minorHAnsi"/>
          <w:i w:val="0"/>
          <w:iCs/>
          <w:sz w:val="24"/>
          <w:lang w:val="sr-Latn-RS"/>
        </w:rPr>
        <w:t xml:space="preserve"> Sagoreli otpad na otvorenom, 2006-2022. godina (t)</w:t>
      </w:r>
    </w:p>
    <w:tbl>
      <w:tblPr>
        <w:tblStyle w:val="GridTable5Dark-Accent6"/>
        <w:tblW w:w="8785" w:type="dxa"/>
        <w:tblLook w:val="04A0" w:firstRow="1" w:lastRow="0" w:firstColumn="1" w:lastColumn="0" w:noHBand="0" w:noVBand="1"/>
      </w:tblPr>
      <w:tblGrid>
        <w:gridCol w:w="1424"/>
        <w:gridCol w:w="886"/>
        <w:gridCol w:w="886"/>
        <w:gridCol w:w="774"/>
        <w:gridCol w:w="774"/>
        <w:gridCol w:w="806"/>
        <w:gridCol w:w="806"/>
        <w:gridCol w:w="881"/>
        <w:gridCol w:w="774"/>
        <w:gridCol w:w="774"/>
      </w:tblGrid>
      <w:tr w:rsidR="00201FE9" w:rsidRPr="00C86111" w14:paraId="5B36A9B2"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24" w:type="dxa"/>
          </w:tcPr>
          <w:p w14:paraId="41314D0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86" w:type="dxa"/>
          </w:tcPr>
          <w:p w14:paraId="1B65787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886" w:type="dxa"/>
          </w:tcPr>
          <w:p w14:paraId="1ECB1C1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4" w:type="dxa"/>
          </w:tcPr>
          <w:p w14:paraId="7100597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4" w:type="dxa"/>
          </w:tcPr>
          <w:p w14:paraId="357436C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806" w:type="dxa"/>
          </w:tcPr>
          <w:p w14:paraId="4665DAA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806" w:type="dxa"/>
          </w:tcPr>
          <w:p w14:paraId="4C818C7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81" w:type="dxa"/>
          </w:tcPr>
          <w:p w14:paraId="20F65E4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4" w:type="dxa"/>
          </w:tcPr>
          <w:p w14:paraId="268B108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4" w:type="dxa"/>
          </w:tcPr>
          <w:p w14:paraId="4006AD6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45273568"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24" w:type="dxa"/>
          </w:tcPr>
          <w:p w14:paraId="5B18FFB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Sagorjeli otpad (t)</w:t>
            </w:r>
          </w:p>
        </w:tc>
        <w:tc>
          <w:tcPr>
            <w:tcW w:w="886" w:type="dxa"/>
          </w:tcPr>
          <w:p w14:paraId="6917A29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110793</w:t>
            </w:r>
          </w:p>
        </w:tc>
        <w:tc>
          <w:tcPr>
            <w:tcW w:w="886" w:type="dxa"/>
          </w:tcPr>
          <w:p w14:paraId="4AC660A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109427</w:t>
            </w:r>
          </w:p>
        </w:tc>
        <w:tc>
          <w:tcPr>
            <w:tcW w:w="774" w:type="dxa"/>
          </w:tcPr>
          <w:p w14:paraId="377633D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82115</w:t>
            </w:r>
          </w:p>
        </w:tc>
        <w:tc>
          <w:tcPr>
            <w:tcW w:w="774" w:type="dxa"/>
          </w:tcPr>
          <w:p w14:paraId="4CB09FA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88601</w:t>
            </w:r>
          </w:p>
        </w:tc>
        <w:tc>
          <w:tcPr>
            <w:tcW w:w="806" w:type="dxa"/>
          </w:tcPr>
          <w:p w14:paraId="2EE9482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86912</w:t>
            </w:r>
          </w:p>
        </w:tc>
        <w:tc>
          <w:tcPr>
            <w:tcW w:w="806" w:type="dxa"/>
          </w:tcPr>
          <w:p w14:paraId="4682818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84414</w:t>
            </w:r>
          </w:p>
        </w:tc>
        <w:tc>
          <w:tcPr>
            <w:tcW w:w="881" w:type="dxa"/>
          </w:tcPr>
          <w:p w14:paraId="17B0AF3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47129</w:t>
            </w:r>
          </w:p>
        </w:tc>
        <w:tc>
          <w:tcPr>
            <w:tcW w:w="774" w:type="dxa"/>
          </w:tcPr>
          <w:p w14:paraId="703F15F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28148</w:t>
            </w:r>
          </w:p>
        </w:tc>
        <w:tc>
          <w:tcPr>
            <w:tcW w:w="774" w:type="dxa"/>
          </w:tcPr>
          <w:p w14:paraId="3F3A930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38201</w:t>
            </w:r>
          </w:p>
        </w:tc>
      </w:tr>
      <w:tr w:rsidR="00201FE9" w:rsidRPr="00C86111" w14:paraId="393F82FD"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424" w:type="dxa"/>
          </w:tcPr>
          <w:p w14:paraId="0C38A3A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86" w:type="dxa"/>
          </w:tcPr>
          <w:p w14:paraId="73EB4BC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886" w:type="dxa"/>
          </w:tcPr>
          <w:p w14:paraId="24C80DA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4" w:type="dxa"/>
          </w:tcPr>
          <w:p w14:paraId="29BFB3A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4" w:type="dxa"/>
          </w:tcPr>
          <w:p w14:paraId="3A5AEEA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806" w:type="dxa"/>
          </w:tcPr>
          <w:p w14:paraId="4D83056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806" w:type="dxa"/>
          </w:tcPr>
          <w:p w14:paraId="36729D0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881" w:type="dxa"/>
          </w:tcPr>
          <w:p w14:paraId="65FFDFC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4" w:type="dxa"/>
          </w:tcPr>
          <w:p w14:paraId="2437B56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4" w:type="dxa"/>
          </w:tcPr>
          <w:p w14:paraId="0836CC1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3A39EAED"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24" w:type="dxa"/>
          </w:tcPr>
          <w:p w14:paraId="5491037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Sagorjeli otpad (t) </w:t>
            </w:r>
          </w:p>
        </w:tc>
        <w:tc>
          <w:tcPr>
            <w:tcW w:w="886" w:type="dxa"/>
          </w:tcPr>
          <w:p w14:paraId="5A3DF69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41352</w:t>
            </w:r>
          </w:p>
        </w:tc>
        <w:tc>
          <w:tcPr>
            <w:tcW w:w="886" w:type="dxa"/>
          </w:tcPr>
          <w:p w14:paraId="1629F85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42063</w:t>
            </w:r>
          </w:p>
        </w:tc>
        <w:tc>
          <w:tcPr>
            <w:tcW w:w="774" w:type="dxa"/>
          </w:tcPr>
          <w:p w14:paraId="6327FFC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40000</w:t>
            </w:r>
          </w:p>
        </w:tc>
        <w:tc>
          <w:tcPr>
            <w:tcW w:w="774" w:type="dxa"/>
          </w:tcPr>
          <w:p w14:paraId="108BA87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40000</w:t>
            </w:r>
          </w:p>
        </w:tc>
        <w:tc>
          <w:tcPr>
            <w:tcW w:w="806" w:type="dxa"/>
          </w:tcPr>
          <w:p w14:paraId="58CBBCA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40000</w:t>
            </w:r>
          </w:p>
        </w:tc>
        <w:tc>
          <w:tcPr>
            <w:tcW w:w="806" w:type="dxa"/>
          </w:tcPr>
          <w:p w14:paraId="1B10DBB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40000</w:t>
            </w:r>
          </w:p>
        </w:tc>
        <w:tc>
          <w:tcPr>
            <w:tcW w:w="881" w:type="dxa"/>
          </w:tcPr>
          <w:p w14:paraId="70CA944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40000</w:t>
            </w:r>
          </w:p>
        </w:tc>
        <w:tc>
          <w:tcPr>
            <w:tcW w:w="774" w:type="dxa"/>
          </w:tcPr>
          <w:p w14:paraId="26A892D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40000</w:t>
            </w:r>
          </w:p>
        </w:tc>
        <w:tc>
          <w:tcPr>
            <w:tcW w:w="774" w:type="dxa"/>
          </w:tcPr>
          <w:p w14:paraId="2C14EFA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5AF64E1A" w14:textId="77777777" w:rsidR="00201FE9" w:rsidRPr="00C86111" w:rsidRDefault="00201FE9" w:rsidP="00201FE9">
      <w:pPr>
        <w:jc w:val="both"/>
        <w:rPr>
          <w:rFonts w:asciiTheme="minorHAnsi" w:hAnsiTheme="minorHAnsi" w:cstheme="minorHAnsi"/>
          <w:color w:val="auto"/>
          <w:szCs w:val="24"/>
        </w:rPr>
      </w:pPr>
    </w:p>
    <w:p w14:paraId="361F2AA4"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Ukupna procijenjena količina nenamjerno proizvedenih/ispuštenih PCDD/PCDF u vazduh usled nekotrolisanog sagorijevanje neprikupljenog komunalnog otpada iz domaćinstava se kreće od 0.09 gTEQ u 2006. godini pa do 0.03 gTEQ u 2022. godini. U odnosu na prethodno podneseni inventar, uzet je značajno manje konzervativan pristup po kome se spali 5% od neprikupljenog otpada od strane komunalnih preduzeća. Ova procjena je svakako podložna preispitivanju, uz </w:t>
      </w:r>
      <w:r w:rsidRPr="00C86111">
        <w:rPr>
          <w:rFonts w:asciiTheme="minorHAnsi" w:hAnsiTheme="minorHAnsi" w:cstheme="minorHAnsi"/>
          <w:color w:val="auto"/>
          <w:szCs w:val="24"/>
        </w:rPr>
        <w:lastRenderedPageBreak/>
        <w:t xml:space="preserve">činjenicu da je spaljivanje određene količine komunalnog otpada u ruralnim krajevima zemlje i dalje uobičajena pojava. Realizovane količine nenamjerno proizvedenih/ispuštenih PCDD/PCDF u zemljište po ovoj procjeni se kreću oko 0.002 gTEQ/god. </w:t>
      </w:r>
    </w:p>
    <w:p w14:paraId="64B39E55"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Izvor podataka o količinama neprikupljenog otpada je MONSTAT.</w:t>
      </w:r>
    </w:p>
    <w:p w14:paraId="0202E620" w14:textId="4F676C40" w:rsidR="006F5A10" w:rsidRPr="00C86111" w:rsidRDefault="00201FE9" w:rsidP="00375D24">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Za potrebe ovog inventara a na osnovu pribavljenih podataka o broju intervencija vatrogasnih jedinica na gašenju požara, izvršen je </w:t>
      </w:r>
      <w:r w:rsidRPr="00C86111">
        <w:rPr>
          <w:rFonts w:asciiTheme="minorHAnsi" w:eastAsia="Calibri" w:hAnsiTheme="minorHAnsi" w:cstheme="minorHAnsi"/>
          <w:color w:val="auto"/>
          <w:szCs w:val="24"/>
        </w:rPr>
        <w:t>proračun za podkategorije</w:t>
      </w:r>
      <w:r w:rsidRPr="00C86111">
        <w:rPr>
          <w:rFonts w:asciiTheme="minorHAnsi" w:hAnsiTheme="minorHAnsi" w:cstheme="minorHAnsi"/>
          <w:color w:val="auto"/>
          <w:szCs w:val="24"/>
        </w:rPr>
        <w:t xml:space="preserve"> “</w:t>
      </w:r>
      <w:r w:rsidRPr="00C86111">
        <w:rPr>
          <w:rFonts w:asciiTheme="minorHAnsi" w:eastAsia="Calibri" w:hAnsiTheme="minorHAnsi" w:cstheme="minorHAnsi"/>
          <w:color w:val="auto"/>
          <w:szCs w:val="24"/>
        </w:rPr>
        <w:t xml:space="preserve">Akcidentni požari na motornim vozilima“ i Akcidentni požari na stambenim prostorima i fabrikama“. Kako podaci </w:t>
      </w:r>
      <w:r w:rsidRPr="00C86111">
        <w:rPr>
          <w:rFonts w:asciiTheme="minorHAnsi" w:hAnsiTheme="minorHAnsi" w:cstheme="minorHAnsi"/>
          <w:color w:val="auto"/>
          <w:szCs w:val="24"/>
        </w:rPr>
        <w:t>o broju intervencija vatrogasnih jedinica na gašenju požara</w:t>
      </w:r>
      <w:r w:rsidRPr="00C86111">
        <w:rPr>
          <w:rFonts w:asciiTheme="minorHAnsi" w:eastAsia="Calibri" w:hAnsiTheme="minorHAnsi" w:cstheme="minorHAnsi"/>
          <w:color w:val="auto"/>
          <w:szCs w:val="24"/>
        </w:rPr>
        <w:t xml:space="preserve"> predstavljaju ulazne podatke za inventar, isti su prikazani su u tabeli </w:t>
      </w:r>
      <w:r w:rsidR="006F5A10" w:rsidRPr="00C86111">
        <w:rPr>
          <w:rFonts w:asciiTheme="minorHAnsi" w:eastAsia="Calibri" w:hAnsiTheme="minorHAnsi" w:cstheme="minorHAnsi"/>
          <w:color w:val="auto"/>
          <w:szCs w:val="24"/>
        </w:rPr>
        <w:t>3</w:t>
      </w:r>
      <w:r w:rsidRPr="00C86111">
        <w:rPr>
          <w:rFonts w:asciiTheme="minorHAnsi" w:eastAsia="Calibri" w:hAnsiTheme="minorHAnsi" w:cstheme="minorHAnsi"/>
          <w:color w:val="auto"/>
          <w:szCs w:val="24"/>
        </w:rPr>
        <w:t xml:space="preserve">3. Podaci su dostupni za period  2011 -2022. godina tako da je za period 2006 -2010. godina uzeta srednja vrijednost zbog približnosti podataka po godinama. Podaci su dobijeni od opštinskih službi zaštite i spašavanja. Sumarno proračunate </w:t>
      </w:r>
      <w:r w:rsidR="000D1995" w:rsidRPr="00C86111">
        <w:rPr>
          <w:rFonts w:asciiTheme="minorHAnsi" w:eastAsia="Calibri" w:hAnsiTheme="minorHAnsi" w:cstheme="minorHAnsi"/>
          <w:color w:val="auto"/>
          <w:szCs w:val="24"/>
        </w:rPr>
        <w:t>emisije</w:t>
      </w:r>
      <w:r w:rsidRPr="00C86111">
        <w:rPr>
          <w:rFonts w:asciiTheme="minorHAnsi" w:eastAsia="Calibri" w:hAnsiTheme="minorHAnsi" w:cstheme="minorHAnsi"/>
          <w:color w:val="auto"/>
          <w:szCs w:val="24"/>
        </w:rPr>
        <w:t xml:space="preserve"> za obje kategorije nenamjerno proizvedenih </w:t>
      </w:r>
      <w:r w:rsidRPr="00C86111">
        <w:rPr>
          <w:rFonts w:asciiTheme="minorHAnsi" w:hAnsiTheme="minorHAnsi" w:cstheme="minorHAnsi"/>
          <w:color w:val="auto"/>
          <w:szCs w:val="24"/>
        </w:rPr>
        <w:t xml:space="preserve">POP's su date u tabeli </w:t>
      </w:r>
      <w:r w:rsidR="006F5A10" w:rsidRPr="00C86111">
        <w:rPr>
          <w:rFonts w:asciiTheme="minorHAnsi" w:hAnsiTheme="minorHAnsi" w:cstheme="minorHAnsi"/>
          <w:color w:val="auto"/>
          <w:szCs w:val="24"/>
        </w:rPr>
        <w:t>3</w:t>
      </w:r>
      <w:r w:rsidRPr="00C86111">
        <w:rPr>
          <w:rFonts w:asciiTheme="minorHAnsi" w:hAnsiTheme="minorHAnsi" w:cstheme="minorHAnsi"/>
          <w:color w:val="auto"/>
          <w:szCs w:val="24"/>
        </w:rPr>
        <w:t xml:space="preserve">4. </w:t>
      </w:r>
    </w:p>
    <w:p w14:paraId="4FF63304" w14:textId="77777777" w:rsidR="006F5A10" w:rsidRPr="00C86111" w:rsidRDefault="006F5A10" w:rsidP="00375D24">
      <w:pPr>
        <w:jc w:val="both"/>
        <w:rPr>
          <w:rFonts w:asciiTheme="minorHAnsi" w:hAnsiTheme="minorHAnsi" w:cstheme="minorHAnsi"/>
          <w:b/>
          <w:bCs/>
          <w:iCs/>
          <w:lang w:val="sr-Latn-RS"/>
        </w:rPr>
      </w:pPr>
    </w:p>
    <w:p w14:paraId="663AC1EC" w14:textId="07FED58A" w:rsidR="00201FE9" w:rsidRPr="00C86111" w:rsidRDefault="00201FE9" w:rsidP="00375D24">
      <w:pPr>
        <w:jc w:val="both"/>
        <w:rPr>
          <w:rFonts w:asciiTheme="minorHAnsi" w:hAnsiTheme="minorHAnsi" w:cstheme="minorHAnsi"/>
          <w:iCs/>
          <w:lang w:val="sr-Latn-RS"/>
        </w:rPr>
      </w:pPr>
      <w:r w:rsidRPr="00C86111">
        <w:rPr>
          <w:rFonts w:asciiTheme="minorHAnsi" w:hAnsiTheme="minorHAnsi" w:cstheme="minorHAnsi"/>
          <w:b/>
          <w:bCs/>
          <w:iCs/>
          <w:lang w:val="sr-Latn-RS"/>
        </w:rPr>
        <w:t xml:space="preserve">Tabela </w:t>
      </w:r>
      <w:r w:rsidR="006F5A10" w:rsidRPr="00C86111">
        <w:rPr>
          <w:rFonts w:asciiTheme="minorHAnsi" w:hAnsiTheme="minorHAnsi" w:cstheme="minorHAnsi"/>
          <w:b/>
          <w:bCs/>
          <w:iCs/>
          <w:lang w:val="sr-Latn-RS"/>
        </w:rPr>
        <w:t>3</w:t>
      </w:r>
      <w:r w:rsidRPr="00C86111">
        <w:rPr>
          <w:rFonts w:asciiTheme="minorHAnsi" w:hAnsiTheme="minorHAnsi" w:cstheme="minorHAnsi"/>
          <w:b/>
          <w:bCs/>
          <w:iCs/>
          <w:lang w:val="sr-Latn-RS"/>
        </w:rPr>
        <w:t>3.</w:t>
      </w:r>
      <w:r w:rsidRPr="00C86111">
        <w:rPr>
          <w:rFonts w:asciiTheme="minorHAnsi" w:hAnsiTheme="minorHAnsi" w:cstheme="minorHAnsi"/>
          <w:iCs/>
          <w:lang w:val="sr-Latn-RS"/>
        </w:rPr>
        <w:t xml:space="preserve"> Broj izlazaka vatrogasnih jedinica na gašenju požara na motornim vozilima, stambenim i poslovnim prostorima i fabrikama po godinama</w:t>
      </w:r>
    </w:p>
    <w:tbl>
      <w:tblPr>
        <w:tblStyle w:val="GridTable5Dark-Accent6"/>
        <w:tblW w:w="8545" w:type="dxa"/>
        <w:tblLook w:val="04A0" w:firstRow="1" w:lastRow="0" w:firstColumn="1" w:lastColumn="0" w:noHBand="0" w:noVBand="1"/>
      </w:tblPr>
      <w:tblGrid>
        <w:gridCol w:w="2102"/>
        <w:gridCol w:w="2933"/>
        <w:gridCol w:w="3510"/>
      </w:tblGrid>
      <w:tr w:rsidR="00201FE9" w:rsidRPr="00C86111" w14:paraId="1D8794AF" w14:textId="77777777" w:rsidTr="006F5A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772E5864"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2933" w:type="dxa"/>
            <w:vAlign w:val="center"/>
          </w:tcPr>
          <w:p w14:paraId="4801F67A"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Broj akcidentnih požara na stambenim i poslovnim prostorima, fabrikama (po objektu) na teritoriji Crne Gore</w:t>
            </w:r>
          </w:p>
        </w:tc>
        <w:tc>
          <w:tcPr>
            <w:tcW w:w="3510" w:type="dxa"/>
            <w:vAlign w:val="center"/>
          </w:tcPr>
          <w:p w14:paraId="0E5993CB" w14:textId="77777777" w:rsidR="00201FE9" w:rsidRPr="00C86111" w:rsidRDefault="00201FE9" w:rsidP="006F5A1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Broj akcidentnih požara na motornim vozilima na teritoriji Crne Gore</w:t>
            </w:r>
          </w:p>
        </w:tc>
      </w:tr>
      <w:tr w:rsidR="00201FE9" w:rsidRPr="00C86111" w14:paraId="7DE1F043"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755FD16B"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2933" w:type="dxa"/>
            <w:vAlign w:val="center"/>
          </w:tcPr>
          <w:p w14:paraId="77F1D986"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278*</w:t>
            </w:r>
          </w:p>
        </w:tc>
        <w:tc>
          <w:tcPr>
            <w:tcW w:w="3510" w:type="dxa"/>
            <w:vAlign w:val="center"/>
          </w:tcPr>
          <w:p w14:paraId="1432DA00"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128*</w:t>
            </w:r>
          </w:p>
        </w:tc>
      </w:tr>
      <w:tr w:rsidR="00201FE9" w:rsidRPr="00C86111" w14:paraId="3C5AB637"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5FCB385E"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2933" w:type="dxa"/>
            <w:vAlign w:val="center"/>
          </w:tcPr>
          <w:p w14:paraId="123E5C12"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278*</w:t>
            </w:r>
          </w:p>
        </w:tc>
        <w:tc>
          <w:tcPr>
            <w:tcW w:w="3510" w:type="dxa"/>
            <w:vAlign w:val="center"/>
          </w:tcPr>
          <w:p w14:paraId="7D5EE3EB"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128*</w:t>
            </w:r>
          </w:p>
        </w:tc>
      </w:tr>
      <w:tr w:rsidR="00201FE9" w:rsidRPr="00C86111" w14:paraId="6DDC198C"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7F0D41F4"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2933" w:type="dxa"/>
            <w:vAlign w:val="center"/>
          </w:tcPr>
          <w:p w14:paraId="3AA83603"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278*</w:t>
            </w:r>
          </w:p>
        </w:tc>
        <w:tc>
          <w:tcPr>
            <w:tcW w:w="3510" w:type="dxa"/>
            <w:vAlign w:val="center"/>
          </w:tcPr>
          <w:p w14:paraId="622CDB0B"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128*</w:t>
            </w:r>
          </w:p>
        </w:tc>
      </w:tr>
      <w:tr w:rsidR="00201FE9" w:rsidRPr="00C86111" w14:paraId="52D33D11"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2FCD06EC"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2933" w:type="dxa"/>
            <w:vAlign w:val="center"/>
          </w:tcPr>
          <w:p w14:paraId="678F5756"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278*</w:t>
            </w:r>
          </w:p>
        </w:tc>
        <w:tc>
          <w:tcPr>
            <w:tcW w:w="3510" w:type="dxa"/>
            <w:vAlign w:val="center"/>
          </w:tcPr>
          <w:p w14:paraId="011662A6"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128*</w:t>
            </w:r>
          </w:p>
        </w:tc>
      </w:tr>
      <w:tr w:rsidR="00201FE9" w:rsidRPr="00C86111" w14:paraId="43690F87"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0CDA88F3"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2933" w:type="dxa"/>
            <w:vAlign w:val="center"/>
          </w:tcPr>
          <w:p w14:paraId="36C49411"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278*</w:t>
            </w:r>
          </w:p>
        </w:tc>
        <w:tc>
          <w:tcPr>
            <w:tcW w:w="3510" w:type="dxa"/>
            <w:vAlign w:val="center"/>
          </w:tcPr>
          <w:p w14:paraId="2E711616"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128*</w:t>
            </w:r>
          </w:p>
        </w:tc>
      </w:tr>
      <w:tr w:rsidR="00201FE9" w:rsidRPr="00C86111" w14:paraId="4F714598"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30857719"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2933" w:type="dxa"/>
            <w:vAlign w:val="center"/>
          </w:tcPr>
          <w:p w14:paraId="0B36D7BF"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249</w:t>
            </w:r>
          </w:p>
        </w:tc>
        <w:tc>
          <w:tcPr>
            <w:tcW w:w="3510" w:type="dxa"/>
            <w:vAlign w:val="center"/>
          </w:tcPr>
          <w:p w14:paraId="51FF6FCF"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143</w:t>
            </w:r>
          </w:p>
        </w:tc>
      </w:tr>
      <w:tr w:rsidR="00201FE9" w:rsidRPr="00C86111" w14:paraId="7F1BC22B"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4787B98D"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2933" w:type="dxa"/>
            <w:vAlign w:val="center"/>
          </w:tcPr>
          <w:p w14:paraId="3CE62E30"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278</w:t>
            </w:r>
          </w:p>
        </w:tc>
        <w:tc>
          <w:tcPr>
            <w:tcW w:w="3510" w:type="dxa"/>
            <w:vAlign w:val="center"/>
          </w:tcPr>
          <w:p w14:paraId="6586CAB7"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137</w:t>
            </w:r>
          </w:p>
        </w:tc>
      </w:tr>
      <w:tr w:rsidR="00201FE9" w:rsidRPr="00C86111" w14:paraId="46EA5FD6"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66F4D6D7"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2933" w:type="dxa"/>
            <w:vAlign w:val="center"/>
          </w:tcPr>
          <w:p w14:paraId="59E2F39C"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263</w:t>
            </w:r>
          </w:p>
        </w:tc>
        <w:tc>
          <w:tcPr>
            <w:tcW w:w="3510" w:type="dxa"/>
            <w:vAlign w:val="center"/>
          </w:tcPr>
          <w:p w14:paraId="72A88B06"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133</w:t>
            </w:r>
          </w:p>
        </w:tc>
      </w:tr>
      <w:tr w:rsidR="00201FE9" w:rsidRPr="00C86111" w14:paraId="7A899099"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286B7BEC"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c>
          <w:tcPr>
            <w:tcW w:w="2933" w:type="dxa"/>
            <w:vAlign w:val="center"/>
          </w:tcPr>
          <w:p w14:paraId="3E7DC4C8"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259</w:t>
            </w:r>
          </w:p>
        </w:tc>
        <w:tc>
          <w:tcPr>
            <w:tcW w:w="3510" w:type="dxa"/>
            <w:vAlign w:val="center"/>
          </w:tcPr>
          <w:p w14:paraId="79F30166"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134</w:t>
            </w:r>
          </w:p>
        </w:tc>
      </w:tr>
      <w:tr w:rsidR="00201FE9" w:rsidRPr="00C86111" w14:paraId="1F25813D"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0A7D492D"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2015</w:t>
            </w:r>
          </w:p>
        </w:tc>
        <w:tc>
          <w:tcPr>
            <w:tcW w:w="2933" w:type="dxa"/>
            <w:vAlign w:val="center"/>
          </w:tcPr>
          <w:p w14:paraId="036D061D"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316</w:t>
            </w:r>
          </w:p>
        </w:tc>
        <w:tc>
          <w:tcPr>
            <w:tcW w:w="3510" w:type="dxa"/>
            <w:vAlign w:val="center"/>
          </w:tcPr>
          <w:p w14:paraId="089033F2"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139</w:t>
            </w:r>
          </w:p>
        </w:tc>
      </w:tr>
      <w:tr w:rsidR="00201FE9" w:rsidRPr="00C86111" w14:paraId="7E2D923A"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7CDBCF15"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2016</w:t>
            </w:r>
          </w:p>
        </w:tc>
        <w:tc>
          <w:tcPr>
            <w:tcW w:w="2933" w:type="dxa"/>
            <w:vAlign w:val="center"/>
          </w:tcPr>
          <w:p w14:paraId="17A4553D"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301</w:t>
            </w:r>
          </w:p>
        </w:tc>
        <w:tc>
          <w:tcPr>
            <w:tcW w:w="3510" w:type="dxa"/>
            <w:vAlign w:val="center"/>
          </w:tcPr>
          <w:p w14:paraId="1666BB56"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150</w:t>
            </w:r>
          </w:p>
        </w:tc>
      </w:tr>
      <w:tr w:rsidR="00201FE9" w:rsidRPr="00C86111" w14:paraId="087E6A6F"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354FBFEB"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2017</w:t>
            </w:r>
          </w:p>
        </w:tc>
        <w:tc>
          <w:tcPr>
            <w:tcW w:w="2933" w:type="dxa"/>
            <w:vAlign w:val="center"/>
          </w:tcPr>
          <w:p w14:paraId="4F827628"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258</w:t>
            </w:r>
          </w:p>
        </w:tc>
        <w:tc>
          <w:tcPr>
            <w:tcW w:w="3510" w:type="dxa"/>
            <w:vAlign w:val="center"/>
          </w:tcPr>
          <w:p w14:paraId="5AFBC9ED"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161</w:t>
            </w:r>
          </w:p>
        </w:tc>
      </w:tr>
      <w:tr w:rsidR="00201FE9" w:rsidRPr="00C86111" w14:paraId="5628A568"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74C5D5ED"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c>
          <w:tcPr>
            <w:tcW w:w="2933" w:type="dxa"/>
            <w:vAlign w:val="center"/>
          </w:tcPr>
          <w:p w14:paraId="64ACC860"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271</w:t>
            </w:r>
          </w:p>
        </w:tc>
        <w:tc>
          <w:tcPr>
            <w:tcW w:w="3510" w:type="dxa"/>
            <w:vAlign w:val="center"/>
          </w:tcPr>
          <w:p w14:paraId="538FFEA3"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113</w:t>
            </w:r>
          </w:p>
        </w:tc>
      </w:tr>
      <w:tr w:rsidR="00201FE9" w:rsidRPr="00C86111" w14:paraId="2B2743DE"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705E59B9"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c>
          <w:tcPr>
            <w:tcW w:w="2933" w:type="dxa"/>
            <w:vAlign w:val="center"/>
          </w:tcPr>
          <w:p w14:paraId="6EA51154"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320</w:t>
            </w:r>
          </w:p>
        </w:tc>
        <w:tc>
          <w:tcPr>
            <w:tcW w:w="3510" w:type="dxa"/>
            <w:vAlign w:val="center"/>
          </w:tcPr>
          <w:p w14:paraId="4D96BEEC"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155</w:t>
            </w:r>
          </w:p>
        </w:tc>
      </w:tr>
      <w:tr w:rsidR="00201FE9" w:rsidRPr="00C86111" w14:paraId="15CA63B5"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1C637737"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c>
          <w:tcPr>
            <w:tcW w:w="2933" w:type="dxa"/>
            <w:vAlign w:val="center"/>
          </w:tcPr>
          <w:p w14:paraId="2EE12B1C"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292</w:t>
            </w:r>
          </w:p>
        </w:tc>
        <w:tc>
          <w:tcPr>
            <w:tcW w:w="3510" w:type="dxa"/>
            <w:vAlign w:val="center"/>
          </w:tcPr>
          <w:p w14:paraId="0F3F9882"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108</w:t>
            </w:r>
          </w:p>
        </w:tc>
      </w:tr>
      <w:tr w:rsidR="00201FE9" w:rsidRPr="00C86111" w14:paraId="6142ECE4" w14:textId="77777777" w:rsidTr="006F5A10">
        <w:trPr>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105FDE3D"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2933" w:type="dxa"/>
            <w:vAlign w:val="center"/>
          </w:tcPr>
          <w:p w14:paraId="48DD8893"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286</w:t>
            </w:r>
          </w:p>
        </w:tc>
        <w:tc>
          <w:tcPr>
            <w:tcW w:w="3510" w:type="dxa"/>
            <w:vAlign w:val="center"/>
          </w:tcPr>
          <w:p w14:paraId="75CD5501" w14:textId="77777777" w:rsidR="00201FE9" w:rsidRPr="00C86111" w:rsidRDefault="00201FE9" w:rsidP="006F5A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104</w:t>
            </w:r>
          </w:p>
        </w:tc>
      </w:tr>
      <w:tr w:rsidR="00201FE9" w:rsidRPr="00C86111" w14:paraId="1E59A3EB" w14:textId="77777777" w:rsidTr="006F5A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2" w:type="dxa"/>
            <w:vAlign w:val="center"/>
          </w:tcPr>
          <w:p w14:paraId="5F86C576" w14:textId="77777777" w:rsidR="00201FE9" w:rsidRPr="00C86111" w:rsidRDefault="00201FE9" w:rsidP="006F5A10">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c>
          <w:tcPr>
            <w:tcW w:w="2933" w:type="dxa"/>
            <w:vAlign w:val="center"/>
          </w:tcPr>
          <w:p w14:paraId="50522984"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250</w:t>
            </w:r>
          </w:p>
        </w:tc>
        <w:tc>
          <w:tcPr>
            <w:tcW w:w="3510" w:type="dxa"/>
            <w:vAlign w:val="center"/>
          </w:tcPr>
          <w:p w14:paraId="7B0F8B22" w14:textId="77777777" w:rsidR="00201FE9" w:rsidRPr="00C86111" w:rsidRDefault="00201FE9" w:rsidP="006F5A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102</w:t>
            </w:r>
          </w:p>
        </w:tc>
      </w:tr>
    </w:tbl>
    <w:p w14:paraId="6FF23EEB" w14:textId="77777777" w:rsidR="00201FE9" w:rsidRPr="00C86111" w:rsidRDefault="00201FE9" w:rsidP="00201FE9">
      <w:pPr>
        <w:pStyle w:val="NoSpacing"/>
        <w:ind w:left="720"/>
        <w:rPr>
          <w:rFonts w:cstheme="minorHAnsi"/>
          <w:i/>
          <w:iCs/>
          <w:noProof/>
          <w:lang w:val="sr-Latn-RS"/>
        </w:rPr>
      </w:pPr>
      <w:r w:rsidRPr="00C86111">
        <w:rPr>
          <w:rFonts w:cstheme="minorHAnsi"/>
          <w:i/>
          <w:iCs/>
          <w:noProof/>
          <w:lang w:val="sr-Latn-RS"/>
        </w:rPr>
        <w:lastRenderedPageBreak/>
        <w:t>*srednja vrijednost</w:t>
      </w:r>
    </w:p>
    <w:p w14:paraId="3B64A153" w14:textId="31DE801F" w:rsidR="00201FE9" w:rsidRPr="00C86111" w:rsidRDefault="00201FE9" w:rsidP="00201FE9">
      <w:pPr>
        <w:jc w:val="both"/>
        <w:rPr>
          <w:rFonts w:asciiTheme="minorHAnsi" w:eastAsiaTheme="minorEastAsia" w:hAnsiTheme="minorHAnsi" w:cstheme="minorHAnsi"/>
          <w:color w:val="auto"/>
          <w:szCs w:val="24"/>
        </w:rPr>
      </w:pPr>
    </w:p>
    <w:p w14:paraId="1E8DD2FB" w14:textId="1170D48D"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6F5A1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4.</w:t>
      </w:r>
      <w:r w:rsidRPr="00C86111">
        <w:rPr>
          <w:rFonts w:asciiTheme="minorHAnsi" w:hAnsiTheme="minorHAnsi" w:cstheme="minorHAnsi"/>
          <w:i w:val="0"/>
          <w:iCs/>
          <w:sz w:val="24"/>
          <w:lang w:val="sr-Latn-RS"/>
        </w:rPr>
        <w:t xml:space="preserve"> Ukupne godišnje POP's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(PCDD/PCDF) usled akcidentnih požara na motornim vozilima, stambenim i poslovnim prostorima i fabrikama,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3F30E8A3"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1E3BB4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58937EC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2D74AF0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706A911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434D872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1047EFE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32CBB5A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4C05AD9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10E1BB2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3ED652B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7D53F027"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5259961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51E0119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80" w:type="dxa"/>
          </w:tcPr>
          <w:p w14:paraId="1C10169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303F69E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0BCFCFD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3E643E2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26B1EF2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132FBA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290BED3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4998933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r>
      <w:tr w:rsidR="00201FE9" w:rsidRPr="00C86111" w14:paraId="12990AFC"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8310633"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Zemljište </w:t>
            </w:r>
          </w:p>
        </w:tc>
        <w:tc>
          <w:tcPr>
            <w:tcW w:w="768" w:type="dxa"/>
          </w:tcPr>
          <w:p w14:paraId="2BC79A1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80" w:type="dxa"/>
          </w:tcPr>
          <w:p w14:paraId="236F036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74E15B5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047A97F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6E24936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0C37CAD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0.10</w:t>
            </w:r>
          </w:p>
        </w:tc>
        <w:tc>
          <w:tcPr>
            <w:tcW w:w="779" w:type="dxa"/>
          </w:tcPr>
          <w:p w14:paraId="536E17E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4197419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62BD48A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r>
      <w:tr w:rsidR="00201FE9" w:rsidRPr="00C86111" w14:paraId="29A64FC3"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44710A2"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0555DB5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49CC4CD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3DAC520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16D2ED4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34E5420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5A23488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16A26D8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705007D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4949A75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6DB40C0C"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C4EAF6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Vazduh</w:t>
            </w:r>
          </w:p>
        </w:tc>
        <w:tc>
          <w:tcPr>
            <w:tcW w:w="768" w:type="dxa"/>
          </w:tcPr>
          <w:p w14:paraId="21ACBC4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80" w:type="dxa"/>
          </w:tcPr>
          <w:p w14:paraId="7AC05F0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410ADBA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5899410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0A61701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57159FB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739DBB6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052C0D0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05FD9E7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5F011E3F"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2F3F0EA3"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Zemljište</w:t>
            </w:r>
          </w:p>
        </w:tc>
        <w:tc>
          <w:tcPr>
            <w:tcW w:w="768" w:type="dxa"/>
          </w:tcPr>
          <w:p w14:paraId="21215AC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80" w:type="dxa"/>
          </w:tcPr>
          <w:p w14:paraId="17A577A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41EB8A2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041F96C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0.11</w:t>
            </w:r>
          </w:p>
        </w:tc>
        <w:tc>
          <w:tcPr>
            <w:tcW w:w="779" w:type="dxa"/>
          </w:tcPr>
          <w:p w14:paraId="4AE8AC0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5B1D8BC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1787F9F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568DDDD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0.10</w:t>
            </w:r>
          </w:p>
        </w:tc>
        <w:tc>
          <w:tcPr>
            <w:tcW w:w="779" w:type="dxa"/>
          </w:tcPr>
          <w:p w14:paraId="1B852C4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32968DC" w14:textId="77777777" w:rsidR="00201FE9" w:rsidRPr="00C86111" w:rsidRDefault="00201FE9" w:rsidP="00EA6904">
      <w:pPr>
        <w:pStyle w:val="Heading4"/>
        <w:rPr>
          <w:lang w:val="sr-Latn-RS"/>
        </w:rPr>
      </w:pPr>
      <w:bookmarkStart w:id="69" w:name="_Toc501437759"/>
      <w:r w:rsidRPr="00C86111">
        <w:rPr>
          <w:lang w:val="sr-Latn-RS"/>
        </w:rPr>
        <w:t>Grupa 7. Proizvodnja hemikalija i robe široke potrošnje</w:t>
      </w:r>
      <w:bookmarkEnd w:id="69"/>
    </w:p>
    <w:p w14:paraId="36A8793E" w14:textId="7FC2AB21"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okviru Proizvodnja hemikalija i robe široke potrošnje ne postoje aktivnosti koje dovode do emisija PCDD/PCDF. Fabrika za proizvodnju celuloze i papira koja se nalazila na lokaciji u Beranama obustavila je proizvodnju prije bazne 2006. godine. Na osnovu prikupljenih informacija prostor ove fabrike sa bližom okolinom se može smatrati potencijalnom kontaminiranom lokacijom sa POP’s. Više informacija je dato u okviru grupe 10. „Potencijalne kontaminirane lokacije“.</w:t>
      </w:r>
    </w:p>
    <w:p w14:paraId="784017A3" w14:textId="77777777" w:rsidR="00201FE9" w:rsidRPr="00C86111" w:rsidRDefault="00201FE9" w:rsidP="00EA6904">
      <w:pPr>
        <w:pStyle w:val="Heading4"/>
        <w:rPr>
          <w:lang w:val="sr-Latn-RS"/>
        </w:rPr>
      </w:pPr>
      <w:bookmarkStart w:id="70" w:name="_Toc501437760"/>
      <w:r w:rsidRPr="00C86111">
        <w:rPr>
          <w:lang w:val="sr-Latn-RS"/>
        </w:rPr>
        <w:t>Grupa 8. Razno</w:t>
      </w:r>
      <w:bookmarkEnd w:id="70"/>
    </w:p>
    <w:p w14:paraId="4DD7B96E" w14:textId="281DA484"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 okviru ove kategorije razmatrane su POP’s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usled sušenja dimljenog mesa i potrošnje cigareta. Za aktivnosti unutar ostalih podkategorija je ocijenjeno da se ne javljaju u Crnoj Gori (npr. krematorijumi) ili ako se javljaju, predstavljaju zanemarljive potencijalne izvore POP’s (npr. suvo, hemijsko čišćenje). </w:t>
      </w:r>
    </w:p>
    <w:p w14:paraId="67F19C7B"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Za podkategoriju-Sušare dimljenog mesa, zvanični podaci o količinama sušenog mesa su raspoloživi poslije 2011. godine pa su za period prije 2011.godine procijenjeni preko srednje vrijednosti. Podaci o sušenju ribe nisu dostupni.</w:t>
      </w:r>
    </w:p>
    <w:p w14:paraId="3B0D0DA0"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Izvor podataka: Uprava za statistiku - Monstat.</w:t>
      </w:r>
    </w:p>
    <w:p w14:paraId="7ED07F06"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Kao izvor podataka za potrošnju cigareta iskorišćen je podatak Svjetske asocijacije za pluća. Potrošnja cigareta za 2014. godinu (World Lung Association, Cigarette Consumption 2014 Tobacco Atlas) po kojem je Crna Gora najveći potrošač cigareta po glavi stanovnika na svjetskom nivou sa procijenjenom potrošnjom od 4124 cigarete po glavi stanovnika. </w:t>
      </w:r>
    </w:p>
    <w:p w14:paraId="1FA60976" w14:textId="0AB2E504"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Ukupno količina nenamjerno proizvedenih/ispuštenih PCDD/PCDF u vazduh iz kategorije 8. Razno za 2006. godinu iznosi 0.012 g TEQ/godini. odnosno u ostacima iz procesa proizvodnje 0.039 g TEQ/godini. POP’s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su zbog povećane proizvedene količine suvog mesa u 2022. godini povećane i iznose u vazduh 0.029 g TEQ/godini, odnosno u ostacima iz procesa proizvodnje 0.094 g TEQ/godini.</w:t>
      </w:r>
    </w:p>
    <w:p w14:paraId="4C5C58BE" w14:textId="77777777" w:rsidR="00375D24" w:rsidRPr="00C86111" w:rsidRDefault="00375D24" w:rsidP="00201FE9">
      <w:pPr>
        <w:jc w:val="both"/>
        <w:rPr>
          <w:rFonts w:asciiTheme="minorHAnsi" w:hAnsiTheme="minorHAnsi" w:cstheme="minorHAnsi"/>
          <w:color w:val="auto"/>
          <w:szCs w:val="24"/>
        </w:rPr>
      </w:pPr>
    </w:p>
    <w:p w14:paraId="3FC5A625" w14:textId="77777777" w:rsidR="00201FE9" w:rsidRPr="00C86111" w:rsidRDefault="00201FE9" w:rsidP="00EA6904">
      <w:pPr>
        <w:pStyle w:val="Heading4"/>
        <w:rPr>
          <w:lang w:val="sr-Latn-RS"/>
        </w:rPr>
      </w:pPr>
      <w:bookmarkStart w:id="71" w:name="_Toc501437761"/>
      <w:r w:rsidRPr="00C86111">
        <w:rPr>
          <w:lang w:val="sr-Latn-RS"/>
        </w:rPr>
        <w:lastRenderedPageBreak/>
        <w:t>Grupa 9. Odlaganje otpada</w:t>
      </w:r>
      <w:bookmarkEnd w:id="71"/>
    </w:p>
    <w:p w14:paraId="1C83AEB6"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Crnoj Gori komunalni otpad se odlaže na dvije sanitarne deponije, deponija Livade- Podgorica koja je u funkciji od 2007. godine i deponija Možura pored Bara koja je operativna od 2012. godine, Na teritoriji zemlje postoji 19 kontrolisanih odlagališta, od kojih su dva namijenjena samo za odlaganje građevinskog otpada (lokacija Dragalj u Kotoru i lokacija Brajići u Budvi). Od ostalih 17 kontrolisanih odlagališta, samo osam je pod većom vrstom kontrole. Prema Izvještaju o sprovođenju Državnog plana upravljanja otpadom u 2020. u Crnoj Gori postoje 334 neuređena odlagališta otpada.</w:t>
      </w:r>
    </w:p>
    <w:p w14:paraId="02D24AB9"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Izvor podataka : Monstat, tabela 9. Obrada komunalnog otpada, 2011 - 2022. </w:t>
      </w:r>
    </w:p>
    <w:p w14:paraId="58893D13" w14:textId="5F4C3EC5"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Statistički podaci za period 2011 -2016. su ažurirani u odnosu na statističke ulazne podatke korišćene u prethodnom inventaru. U skladu sa time je izvršena rekalkulacija POP’s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za period 2011-2016. </w:t>
      </w:r>
    </w:p>
    <w:p w14:paraId="23F8DFA4" w14:textId="3F82E639"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Tabelama </w:t>
      </w:r>
      <w:r w:rsidR="006F5A10" w:rsidRPr="00C86111">
        <w:rPr>
          <w:rFonts w:asciiTheme="minorHAnsi" w:hAnsiTheme="minorHAnsi" w:cstheme="minorHAnsi"/>
          <w:color w:val="auto"/>
          <w:szCs w:val="24"/>
        </w:rPr>
        <w:t>3</w:t>
      </w:r>
      <w:r w:rsidRPr="00C86111">
        <w:rPr>
          <w:rFonts w:asciiTheme="minorHAnsi" w:hAnsiTheme="minorHAnsi" w:cstheme="minorHAnsi"/>
          <w:color w:val="auto"/>
          <w:szCs w:val="24"/>
        </w:rPr>
        <w:t xml:space="preserve">5. i </w:t>
      </w:r>
      <w:r w:rsidR="006F5A10" w:rsidRPr="00C86111">
        <w:rPr>
          <w:rFonts w:asciiTheme="minorHAnsi" w:hAnsiTheme="minorHAnsi" w:cstheme="minorHAnsi"/>
          <w:color w:val="auto"/>
          <w:szCs w:val="24"/>
        </w:rPr>
        <w:t>3</w:t>
      </w:r>
      <w:r w:rsidRPr="00C86111">
        <w:rPr>
          <w:rFonts w:asciiTheme="minorHAnsi" w:hAnsiTheme="minorHAnsi" w:cstheme="minorHAnsi"/>
          <w:color w:val="auto"/>
          <w:szCs w:val="24"/>
        </w:rPr>
        <w:t xml:space="preserve">6. su prikazane ukupne godišnje POP’s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usled odlaganja miješanog komunalnog otpada za posmatrani period kao i količene odloženog otpada. Ostaci iz procesa predstavljau obrađeni miješani komunalni otpad koji je odložen na sanitarnim deponijama i uređenim odlagalištima otpada.</w:t>
      </w:r>
    </w:p>
    <w:p w14:paraId="1DA869FA" w14:textId="3C2281B6"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6F5A1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5.</w:t>
      </w:r>
      <w:r w:rsidRPr="00C86111">
        <w:rPr>
          <w:rFonts w:asciiTheme="minorHAnsi" w:hAnsiTheme="minorHAnsi" w:cstheme="minorHAnsi"/>
          <w:i w:val="0"/>
          <w:iCs/>
          <w:sz w:val="24"/>
          <w:lang w:val="sr-Latn-RS"/>
        </w:rPr>
        <w:t xml:space="preserve"> Ukupne godišnje POP's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(PCDD/PCDF) usled odlaganja miješanog komunalnog otpada, 2006-2022. godina (gTEQ/god)</w:t>
      </w:r>
    </w:p>
    <w:tbl>
      <w:tblPr>
        <w:tblStyle w:val="GridTable5Dark-Accent6"/>
        <w:tblW w:w="9265" w:type="dxa"/>
        <w:tblLook w:val="04A0" w:firstRow="1" w:lastRow="0" w:firstColumn="1" w:lastColumn="0" w:noHBand="0" w:noVBand="1"/>
      </w:tblPr>
      <w:tblGrid>
        <w:gridCol w:w="1784"/>
        <w:gridCol w:w="768"/>
        <w:gridCol w:w="780"/>
        <w:gridCol w:w="779"/>
        <w:gridCol w:w="779"/>
        <w:gridCol w:w="779"/>
        <w:gridCol w:w="779"/>
        <w:gridCol w:w="779"/>
        <w:gridCol w:w="779"/>
        <w:gridCol w:w="1259"/>
      </w:tblGrid>
      <w:tr w:rsidR="00201FE9" w:rsidRPr="00C86111" w14:paraId="5C1B8287"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0F655AA"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65413D4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12D9144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2CEAC95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463A221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3F3B656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64AE53C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0ED18D1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181F100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1259" w:type="dxa"/>
          </w:tcPr>
          <w:p w14:paraId="7AB7113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726F7574"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266B6D7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Voda</w:t>
            </w:r>
          </w:p>
        </w:tc>
        <w:tc>
          <w:tcPr>
            <w:tcW w:w="768" w:type="dxa"/>
          </w:tcPr>
          <w:p w14:paraId="0252D10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80" w:type="dxa"/>
          </w:tcPr>
          <w:p w14:paraId="3E2919B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79" w:type="dxa"/>
          </w:tcPr>
          <w:p w14:paraId="49CC28B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3843F8C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22AB0E5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175297C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56952AD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779" w:type="dxa"/>
          </w:tcPr>
          <w:p w14:paraId="3398945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0.12</w:t>
            </w:r>
          </w:p>
        </w:tc>
        <w:tc>
          <w:tcPr>
            <w:tcW w:w="1259" w:type="dxa"/>
          </w:tcPr>
          <w:p w14:paraId="7F80274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r>
      <w:tr w:rsidR="00201FE9" w:rsidRPr="00C86111" w14:paraId="7AD43BD7"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8F9D8D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w:t>
            </w:r>
          </w:p>
        </w:tc>
        <w:tc>
          <w:tcPr>
            <w:tcW w:w="768" w:type="dxa"/>
          </w:tcPr>
          <w:p w14:paraId="64010AD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13.16</w:t>
            </w:r>
          </w:p>
        </w:tc>
        <w:tc>
          <w:tcPr>
            <w:tcW w:w="780" w:type="dxa"/>
          </w:tcPr>
          <w:p w14:paraId="1708FC2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14.61</w:t>
            </w:r>
          </w:p>
        </w:tc>
        <w:tc>
          <w:tcPr>
            <w:tcW w:w="779" w:type="dxa"/>
          </w:tcPr>
          <w:p w14:paraId="4EBDF9D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13.69</w:t>
            </w:r>
          </w:p>
        </w:tc>
        <w:tc>
          <w:tcPr>
            <w:tcW w:w="779" w:type="dxa"/>
          </w:tcPr>
          <w:p w14:paraId="6925DA1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14.01</w:t>
            </w:r>
          </w:p>
        </w:tc>
        <w:tc>
          <w:tcPr>
            <w:tcW w:w="779" w:type="dxa"/>
          </w:tcPr>
          <w:p w14:paraId="6C2C4DF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13.08</w:t>
            </w:r>
          </w:p>
        </w:tc>
        <w:tc>
          <w:tcPr>
            <w:tcW w:w="779" w:type="dxa"/>
          </w:tcPr>
          <w:p w14:paraId="7AB6E91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12.46</w:t>
            </w:r>
          </w:p>
        </w:tc>
        <w:tc>
          <w:tcPr>
            <w:tcW w:w="779" w:type="dxa"/>
          </w:tcPr>
          <w:p w14:paraId="561A2AB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12.25</w:t>
            </w:r>
          </w:p>
        </w:tc>
        <w:tc>
          <w:tcPr>
            <w:tcW w:w="779" w:type="dxa"/>
          </w:tcPr>
          <w:p w14:paraId="44E4BFD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12.21</w:t>
            </w:r>
          </w:p>
        </w:tc>
        <w:tc>
          <w:tcPr>
            <w:tcW w:w="1259" w:type="dxa"/>
          </w:tcPr>
          <w:p w14:paraId="169F5D8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13.61</w:t>
            </w:r>
          </w:p>
        </w:tc>
      </w:tr>
      <w:tr w:rsidR="00201FE9" w:rsidRPr="00C86111" w14:paraId="2E6E060F"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B08969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5386503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62BFFF4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7AB15AE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00FA13E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14DA950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20932C8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491FB18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5FEAB45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1259" w:type="dxa"/>
          </w:tcPr>
          <w:p w14:paraId="4A154E6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34A02D56"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4DEB473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Voda</w:t>
            </w:r>
          </w:p>
        </w:tc>
        <w:tc>
          <w:tcPr>
            <w:tcW w:w="768" w:type="dxa"/>
          </w:tcPr>
          <w:p w14:paraId="5617D3A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80" w:type="dxa"/>
          </w:tcPr>
          <w:p w14:paraId="6B20BE1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779" w:type="dxa"/>
          </w:tcPr>
          <w:p w14:paraId="62291FD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5EB770D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0.13</w:t>
            </w:r>
          </w:p>
        </w:tc>
        <w:tc>
          <w:tcPr>
            <w:tcW w:w="779" w:type="dxa"/>
          </w:tcPr>
          <w:p w14:paraId="3E6FE97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665CC83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10797FC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0.14</w:t>
            </w:r>
          </w:p>
        </w:tc>
        <w:tc>
          <w:tcPr>
            <w:tcW w:w="779" w:type="dxa"/>
          </w:tcPr>
          <w:p w14:paraId="2026FB8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0.15</w:t>
            </w:r>
          </w:p>
        </w:tc>
        <w:tc>
          <w:tcPr>
            <w:tcW w:w="1259" w:type="dxa"/>
          </w:tcPr>
          <w:p w14:paraId="128C8A3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307B1C0B"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7FF81AA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w:t>
            </w:r>
          </w:p>
        </w:tc>
        <w:tc>
          <w:tcPr>
            <w:tcW w:w="768" w:type="dxa"/>
          </w:tcPr>
          <w:p w14:paraId="6C234D6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14.20</w:t>
            </w:r>
          </w:p>
        </w:tc>
        <w:tc>
          <w:tcPr>
            <w:tcW w:w="780" w:type="dxa"/>
          </w:tcPr>
          <w:p w14:paraId="215D9FC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14.59</w:t>
            </w:r>
          </w:p>
        </w:tc>
        <w:tc>
          <w:tcPr>
            <w:tcW w:w="779" w:type="dxa"/>
          </w:tcPr>
          <w:p w14:paraId="1FC70E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13.40</w:t>
            </w:r>
          </w:p>
        </w:tc>
        <w:tc>
          <w:tcPr>
            <w:tcW w:w="779" w:type="dxa"/>
          </w:tcPr>
          <w:p w14:paraId="327D641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13.04</w:t>
            </w:r>
          </w:p>
        </w:tc>
        <w:tc>
          <w:tcPr>
            <w:tcW w:w="779" w:type="dxa"/>
          </w:tcPr>
          <w:p w14:paraId="0F767DD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14.12</w:t>
            </w:r>
          </w:p>
        </w:tc>
        <w:tc>
          <w:tcPr>
            <w:tcW w:w="779" w:type="dxa"/>
          </w:tcPr>
          <w:p w14:paraId="4FC6314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14.12</w:t>
            </w:r>
          </w:p>
        </w:tc>
        <w:tc>
          <w:tcPr>
            <w:tcW w:w="779" w:type="dxa"/>
          </w:tcPr>
          <w:p w14:paraId="015DC6B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14.00</w:t>
            </w:r>
          </w:p>
        </w:tc>
        <w:tc>
          <w:tcPr>
            <w:tcW w:w="779" w:type="dxa"/>
          </w:tcPr>
          <w:p w14:paraId="059D245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14.95</w:t>
            </w:r>
          </w:p>
        </w:tc>
        <w:tc>
          <w:tcPr>
            <w:tcW w:w="1259" w:type="dxa"/>
          </w:tcPr>
          <w:p w14:paraId="7888BB0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7DEFA430" w14:textId="3AC7E80D"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6F5A1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6.</w:t>
      </w:r>
      <w:r w:rsidRPr="00C86111">
        <w:rPr>
          <w:rFonts w:asciiTheme="minorHAnsi" w:hAnsiTheme="minorHAnsi" w:cstheme="minorHAnsi"/>
          <w:i w:val="0"/>
          <w:iCs/>
          <w:sz w:val="24"/>
          <w:lang w:val="sr-Latn-RS"/>
        </w:rPr>
        <w:t xml:space="preserve"> Količina odloženog miješanog komunalnog otpada.2006-2022, godina (t)</w:t>
      </w:r>
    </w:p>
    <w:tbl>
      <w:tblPr>
        <w:tblStyle w:val="GridTable5Dark-Accent6"/>
        <w:tblW w:w="9265" w:type="dxa"/>
        <w:tblLook w:val="04A0" w:firstRow="1" w:lastRow="0" w:firstColumn="1" w:lastColumn="0" w:noHBand="0" w:noVBand="1"/>
      </w:tblPr>
      <w:tblGrid>
        <w:gridCol w:w="1278"/>
        <w:gridCol w:w="868"/>
        <w:gridCol w:w="868"/>
        <w:gridCol w:w="869"/>
        <w:gridCol w:w="869"/>
        <w:gridCol w:w="869"/>
        <w:gridCol w:w="869"/>
        <w:gridCol w:w="869"/>
        <w:gridCol w:w="869"/>
        <w:gridCol w:w="1037"/>
      </w:tblGrid>
      <w:tr w:rsidR="00201FE9" w:rsidRPr="00C86111" w14:paraId="4A95E4CF" w14:textId="77777777" w:rsidTr="00F562F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8" w:type="dxa"/>
          </w:tcPr>
          <w:p w14:paraId="6D7ACF9A"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68" w:type="dxa"/>
          </w:tcPr>
          <w:p w14:paraId="1B7B450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868" w:type="dxa"/>
          </w:tcPr>
          <w:p w14:paraId="6314D22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869" w:type="dxa"/>
          </w:tcPr>
          <w:p w14:paraId="30CFC2A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869" w:type="dxa"/>
          </w:tcPr>
          <w:p w14:paraId="2D6AF38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869" w:type="dxa"/>
          </w:tcPr>
          <w:p w14:paraId="7B0E709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869" w:type="dxa"/>
          </w:tcPr>
          <w:p w14:paraId="7402412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69" w:type="dxa"/>
          </w:tcPr>
          <w:p w14:paraId="158B199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869" w:type="dxa"/>
          </w:tcPr>
          <w:p w14:paraId="146273C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1037" w:type="dxa"/>
          </w:tcPr>
          <w:p w14:paraId="200067A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6D88AA57" w14:textId="77777777" w:rsidTr="00F562F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8" w:type="dxa"/>
          </w:tcPr>
          <w:p w14:paraId="7377C34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Miješani komunalni otpad (t)</w:t>
            </w:r>
          </w:p>
        </w:tc>
        <w:tc>
          <w:tcPr>
            <w:tcW w:w="868" w:type="dxa"/>
          </w:tcPr>
          <w:p w14:paraId="548C1C3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263235</w:t>
            </w:r>
          </w:p>
        </w:tc>
        <w:tc>
          <w:tcPr>
            <w:tcW w:w="868" w:type="dxa"/>
          </w:tcPr>
          <w:p w14:paraId="1E24441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292245</w:t>
            </w:r>
          </w:p>
        </w:tc>
        <w:tc>
          <w:tcPr>
            <w:tcW w:w="869" w:type="dxa"/>
          </w:tcPr>
          <w:p w14:paraId="705466A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273798</w:t>
            </w:r>
          </w:p>
        </w:tc>
        <w:tc>
          <w:tcPr>
            <w:tcW w:w="869" w:type="dxa"/>
          </w:tcPr>
          <w:p w14:paraId="70F378D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280207</w:t>
            </w:r>
          </w:p>
        </w:tc>
        <w:tc>
          <w:tcPr>
            <w:tcW w:w="869" w:type="dxa"/>
          </w:tcPr>
          <w:p w14:paraId="476F143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261542</w:t>
            </w:r>
          </w:p>
        </w:tc>
        <w:tc>
          <w:tcPr>
            <w:tcW w:w="869" w:type="dxa"/>
          </w:tcPr>
          <w:p w14:paraId="0B683D0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232272</w:t>
            </w:r>
          </w:p>
        </w:tc>
        <w:tc>
          <w:tcPr>
            <w:tcW w:w="869" w:type="dxa"/>
          </w:tcPr>
          <w:p w14:paraId="38FB143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232877</w:t>
            </w:r>
          </w:p>
        </w:tc>
        <w:tc>
          <w:tcPr>
            <w:tcW w:w="869" w:type="dxa"/>
          </w:tcPr>
          <w:p w14:paraId="1343121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256931</w:t>
            </w:r>
          </w:p>
        </w:tc>
        <w:tc>
          <w:tcPr>
            <w:tcW w:w="1037" w:type="dxa"/>
          </w:tcPr>
          <w:p w14:paraId="0F19D83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256832</w:t>
            </w:r>
          </w:p>
        </w:tc>
      </w:tr>
      <w:tr w:rsidR="00201FE9" w:rsidRPr="00C86111" w14:paraId="044E0505" w14:textId="77777777" w:rsidTr="00F562F0">
        <w:trPr>
          <w:trHeight w:val="432"/>
        </w:trPr>
        <w:tc>
          <w:tcPr>
            <w:cnfStyle w:val="001000000000" w:firstRow="0" w:lastRow="0" w:firstColumn="1" w:lastColumn="0" w:oddVBand="0" w:evenVBand="0" w:oddHBand="0" w:evenHBand="0" w:firstRowFirstColumn="0" w:firstRowLastColumn="0" w:lastRowFirstColumn="0" w:lastRowLastColumn="0"/>
            <w:tcW w:w="1278" w:type="dxa"/>
          </w:tcPr>
          <w:p w14:paraId="2EFBCF2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68" w:type="dxa"/>
          </w:tcPr>
          <w:p w14:paraId="0D47F00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868" w:type="dxa"/>
          </w:tcPr>
          <w:p w14:paraId="1BD1027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869" w:type="dxa"/>
          </w:tcPr>
          <w:p w14:paraId="3C5907C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869" w:type="dxa"/>
          </w:tcPr>
          <w:p w14:paraId="3E8BD74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869" w:type="dxa"/>
          </w:tcPr>
          <w:p w14:paraId="15CF6A6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869" w:type="dxa"/>
          </w:tcPr>
          <w:p w14:paraId="5132E66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869" w:type="dxa"/>
          </w:tcPr>
          <w:p w14:paraId="28BE2BE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869" w:type="dxa"/>
          </w:tcPr>
          <w:p w14:paraId="22A7FE8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1037" w:type="dxa"/>
          </w:tcPr>
          <w:p w14:paraId="21DBB22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9C02C3D" w14:textId="77777777" w:rsidTr="00F562F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8" w:type="dxa"/>
          </w:tcPr>
          <w:p w14:paraId="4023408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Miješani komunalni otpad (t)</w:t>
            </w:r>
          </w:p>
        </w:tc>
        <w:tc>
          <w:tcPr>
            <w:tcW w:w="868" w:type="dxa"/>
          </w:tcPr>
          <w:p w14:paraId="2370096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268070</w:t>
            </w:r>
          </w:p>
        </w:tc>
        <w:tc>
          <w:tcPr>
            <w:tcW w:w="868" w:type="dxa"/>
          </w:tcPr>
          <w:p w14:paraId="1C24DC3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275001</w:t>
            </w:r>
          </w:p>
        </w:tc>
        <w:tc>
          <w:tcPr>
            <w:tcW w:w="869" w:type="dxa"/>
          </w:tcPr>
          <w:p w14:paraId="4D217EE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268044</w:t>
            </w:r>
          </w:p>
        </w:tc>
        <w:tc>
          <w:tcPr>
            <w:tcW w:w="869" w:type="dxa"/>
          </w:tcPr>
          <w:p w14:paraId="190F2C7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260901</w:t>
            </w:r>
          </w:p>
        </w:tc>
        <w:tc>
          <w:tcPr>
            <w:tcW w:w="869" w:type="dxa"/>
          </w:tcPr>
          <w:p w14:paraId="762A311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282384</w:t>
            </w:r>
          </w:p>
        </w:tc>
        <w:tc>
          <w:tcPr>
            <w:tcW w:w="869" w:type="dxa"/>
          </w:tcPr>
          <w:p w14:paraId="4BAB1BD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250797</w:t>
            </w:r>
          </w:p>
        </w:tc>
        <w:tc>
          <w:tcPr>
            <w:tcW w:w="869" w:type="dxa"/>
          </w:tcPr>
          <w:p w14:paraId="7E58267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279970</w:t>
            </w:r>
          </w:p>
        </w:tc>
        <w:tc>
          <w:tcPr>
            <w:tcW w:w="869" w:type="dxa"/>
          </w:tcPr>
          <w:p w14:paraId="16C8FD9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299022</w:t>
            </w:r>
          </w:p>
        </w:tc>
        <w:tc>
          <w:tcPr>
            <w:tcW w:w="1037" w:type="dxa"/>
          </w:tcPr>
          <w:p w14:paraId="37B4AF9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4C6DDC7A" w14:textId="77777777" w:rsidR="00201FE9" w:rsidRPr="00C86111" w:rsidRDefault="00201FE9" w:rsidP="00201FE9">
      <w:pPr>
        <w:pStyle w:val="NoSpacing"/>
        <w:rPr>
          <w:rFonts w:cstheme="minorHAnsi"/>
          <w:noProof/>
          <w:lang w:val="sr-Latn-RS"/>
        </w:rPr>
      </w:pPr>
    </w:p>
    <w:p w14:paraId="2DB016A1" w14:textId="5AEFC8FB" w:rsidR="00201FE9" w:rsidRPr="00C86111" w:rsidRDefault="00201FE9" w:rsidP="00201FE9">
      <w:pPr>
        <w:pStyle w:val="NoSpacing"/>
        <w:rPr>
          <w:rFonts w:cstheme="minorHAnsi"/>
          <w:noProof/>
          <w:lang w:val="sr-Latn-RS"/>
        </w:rPr>
      </w:pPr>
      <w:r w:rsidRPr="00C86111">
        <w:rPr>
          <w:rFonts w:cstheme="minorHAnsi"/>
          <w:noProof/>
          <w:lang w:val="sr-Latn-RS"/>
        </w:rPr>
        <w:t xml:space="preserve">Ispuštanja prečišćenih otpadnih voda sa uklonjenim kanalizacionim muljem dovodi do </w:t>
      </w:r>
      <w:r w:rsidR="000D1995" w:rsidRPr="00C86111">
        <w:rPr>
          <w:rFonts w:cstheme="minorHAnsi"/>
          <w:noProof/>
          <w:lang w:val="sr-Latn-RS"/>
        </w:rPr>
        <w:t>emisije</w:t>
      </w:r>
      <w:r w:rsidRPr="00C86111">
        <w:rPr>
          <w:rFonts w:cstheme="minorHAnsi"/>
          <w:noProof/>
          <w:lang w:val="sr-Latn-RS"/>
        </w:rPr>
        <w:t xml:space="preserve"> nenamjerno proizvedenih/ispuštenih PCDD/PCDF u vodu i količine se kreću od 0.001 g TEQ u 2006 godini, pa do 0.004 gTEQ u 2022 godini. Do porasta realizovnih količina dolazi zbog povećanja broja sistema (postrojenja) za prikupljanje i prečišćavanje otpadnih voda, odnosno povećanja količine prečišćene u odnosu na neprečišćenu otpadnu vodu.</w:t>
      </w:r>
    </w:p>
    <w:p w14:paraId="5760DDF4" w14:textId="1E21648E" w:rsidR="00201FE9" w:rsidRPr="00C86111" w:rsidRDefault="00201FE9" w:rsidP="00201FE9">
      <w:pPr>
        <w:pStyle w:val="NoSpacing"/>
        <w:rPr>
          <w:rFonts w:cstheme="minorHAnsi"/>
          <w:noProof/>
          <w:lang w:val="sr-Latn-RS"/>
        </w:rPr>
      </w:pPr>
      <w:r w:rsidRPr="00C86111">
        <w:rPr>
          <w:rFonts w:cstheme="minorHAnsi"/>
          <w:noProof/>
          <w:lang w:val="sr-Latn-RS"/>
        </w:rPr>
        <w:lastRenderedPageBreak/>
        <w:t xml:space="preserve">Ispuštanja neprečišćenih otpadnih voda dovodi do </w:t>
      </w:r>
      <w:r w:rsidR="000D1995" w:rsidRPr="00C86111">
        <w:rPr>
          <w:rFonts w:cstheme="minorHAnsi"/>
          <w:noProof/>
          <w:lang w:val="sr-Latn-RS"/>
        </w:rPr>
        <w:t>emisije</w:t>
      </w:r>
      <w:r w:rsidRPr="00C86111">
        <w:rPr>
          <w:rFonts w:cstheme="minorHAnsi"/>
          <w:noProof/>
          <w:lang w:val="sr-Latn-RS"/>
        </w:rPr>
        <w:t xml:space="preserve"> nenamjerno proizvedenih/ispuštenih PCDD/PCDF u vodu i količine su se kretale od 0.005 g TEQ u 2006 godini, pa do 0.001 gTEQ u 2022 godini.</w:t>
      </w:r>
    </w:p>
    <w:p w14:paraId="3A2FADB6" w14:textId="77777777" w:rsidR="00201FE9" w:rsidRPr="00C86111" w:rsidRDefault="00201FE9" w:rsidP="00201FE9">
      <w:pPr>
        <w:pStyle w:val="NoSpacing"/>
        <w:rPr>
          <w:rFonts w:cstheme="minorHAnsi"/>
          <w:noProof/>
          <w:lang w:val="sr-Latn-RS"/>
        </w:rPr>
      </w:pPr>
    </w:p>
    <w:p w14:paraId="5227F150" w14:textId="77777777" w:rsidR="00201FE9" w:rsidRPr="00C86111" w:rsidRDefault="00201FE9" w:rsidP="00201FE9">
      <w:pPr>
        <w:pStyle w:val="NoSpacing"/>
        <w:rPr>
          <w:rFonts w:cstheme="minorHAnsi"/>
          <w:noProof/>
          <w:lang w:val="sr-Latn-RS"/>
        </w:rPr>
      </w:pPr>
      <w:r w:rsidRPr="00C86111">
        <w:rPr>
          <w:rFonts w:cstheme="minorHAnsi"/>
          <w:noProof/>
          <w:lang w:val="sr-Latn-RS"/>
        </w:rPr>
        <w:t>Na osnovu raspoloživih podataka količine stvorenog kanalizacionog mulja su se kretale od oko 8000 tona u 2006. godini pa do maksimalno 13000 tona u 2017. godini. Količine nenamjerno proizvedenih/ispuštenih PCDD/PCDF u ukupno stvorenom kanalizacionom mulju (ostatak od procesa) na teritoriji Crne Gore se kreću od 0.16 g TEQ u 2016. godini, do 0.18 gTEQ u 2022. godini, sa maksimumom u 2017. god i proračunatih 0.26 gTEQ (tabela 27).</w:t>
      </w:r>
    </w:p>
    <w:p w14:paraId="71C0B563" w14:textId="77777777" w:rsidR="00201FE9" w:rsidRPr="00C86111" w:rsidRDefault="00201FE9" w:rsidP="00201FE9">
      <w:pPr>
        <w:pStyle w:val="NoSpacing"/>
        <w:rPr>
          <w:rFonts w:cstheme="minorHAnsi"/>
          <w:noProof/>
          <w:lang w:val="sr-Latn-RS"/>
        </w:rPr>
      </w:pPr>
      <w:r w:rsidRPr="00C86111">
        <w:rPr>
          <w:rFonts w:cstheme="minorHAnsi"/>
          <w:noProof/>
          <w:lang w:val="sr-Latn-RS"/>
        </w:rPr>
        <w:t>Izvori podataka: „Godišnji izvještaj o stanju u oblasti vodosnabdijevanja, upravljanju otpadom i otpadnim vodama, realizaciji prioritetnih aktivnosti u komunalnoj djelatnosti u 2014. godini, sa predlogom prioritetnih projekata za izgradnju komunalne infrastrukture u 2016 u Crnoj Gori”; „Izvještaji o sprovođenju državnog plana upravljanja otpadom za 2017., 2020. i 2022. godina; Monstat, Saopštenje, Snadbijevanje naselja vodom i zaštita voda“.</w:t>
      </w:r>
    </w:p>
    <w:p w14:paraId="352B523B" w14:textId="77777777" w:rsidR="00201FE9" w:rsidRPr="00C86111" w:rsidRDefault="00201FE9" w:rsidP="00201FE9">
      <w:pPr>
        <w:pStyle w:val="NoSpacing"/>
        <w:rPr>
          <w:rFonts w:cstheme="minorHAnsi"/>
          <w:noProof/>
          <w:lang w:val="sr-Latn-RS"/>
        </w:rPr>
      </w:pPr>
      <w:r w:rsidRPr="00C86111">
        <w:rPr>
          <w:rFonts w:cstheme="minorHAnsi"/>
          <w:noProof/>
          <w:lang w:val="sr-Latn-RS"/>
        </w:rPr>
        <w:t>Iako je nacionalna statistika za otpadne vode i kanalizacioni mulj poboljšana u odnosu kad je pripreman prethodni inventar, podaci su i dalje nekozistentni kroz vremensku seriju, objavljuju se periodično za svake tri godine, dokumentovani izvori podataka se mijenjaju. Iz ovih razloga vršene su  interpolacije podataka radi kompletiranja vremenske serije.</w:t>
      </w:r>
    </w:p>
    <w:p w14:paraId="1192AC34" w14:textId="6C8592A7" w:rsidR="00201FE9" w:rsidRPr="00C86111" w:rsidRDefault="006F5A10"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t</w:t>
      </w:r>
      <w:r w:rsidR="00201FE9" w:rsidRPr="00C86111">
        <w:rPr>
          <w:rFonts w:asciiTheme="minorHAnsi" w:hAnsiTheme="minorHAnsi" w:cstheme="minorHAnsi"/>
          <w:color w:val="auto"/>
          <w:szCs w:val="24"/>
        </w:rPr>
        <w:t xml:space="preserve">abelama </w:t>
      </w:r>
      <w:r w:rsidRPr="00C86111">
        <w:rPr>
          <w:rFonts w:asciiTheme="minorHAnsi" w:hAnsiTheme="minorHAnsi" w:cstheme="minorHAnsi"/>
          <w:color w:val="auto"/>
          <w:szCs w:val="24"/>
        </w:rPr>
        <w:t>3</w:t>
      </w:r>
      <w:r w:rsidR="00201FE9" w:rsidRPr="00C86111">
        <w:rPr>
          <w:rFonts w:asciiTheme="minorHAnsi" w:hAnsiTheme="minorHAnsi" w:cstheme="minorHAnsi"/>
          <w:color w:val="auto"/>
          <w:szCs w:val="24"/>
        </w:rPr>
        <w:t xml:space="preserve">7. i </w:t>
      </w:r>
      <w:r w:rsidRPr="00C86111">
        <w:rPr>
          <w:rFonts w:asciiTheme="minorHAnsi" w:hAnsiTheme="minorHAnsi" w:cstheme="minorHAnsi"/>
          <w:color w:val="auto"/>
          <w:szCs w:val="24"/>
        </w:rPr>
        <w:t>3</w:t>
      </w:r>
      <w:r w:rsidR="00201FE9" w:rsidRPr="00C86111">
        <w:rPr>
          <w:rFonts w:asciiTheme="minorHAnsi" w:hAnsiTheme="minorHAnsi" w:cstheme="minorHAnsi"/>
          <w:color w:val="auto"/>
          <w:szCs w:val="24"/>
        </w:rPr>
        <w:t xml:space="preserve">8. su prikazane ukupne godišnje POP’s </w:t>
      </w:r>
      <w:r w:rsidR="000D1995" w:rsidRPr="00C86111">
        <w:rPr>
          <w:rFonts w:asciiTheme="minorHAnsi" w:hAnsiTheme="minorHAnsi" w:cstheme="minorHAnsi"/>
          <w:color w:val="auto"/>
          <w:szCs w:val="24"/>
        </w:rPr>
        <w:t>emisije</w:t>
      </w:r>
      <w:r w:rsidR="00201FE9" w:rsidRPr="00C86111">
        <w:rPr>
          <w:rFonts w:asciiTheme="minorHAnsi" w:hAnsiTheme="minorHAnsi" w:cstheme="minorHAnsi"/>
          <w:color w:val="auto"/>
          <w:szCs w:val="24"/>
        </w:rPr>
        <w:t xml:space="preserve"> u ostatke iz procesa proizvodnje usled stvorenog kanalizacionog mulja kao i količine generisanog kanalizacionog mulja. Nenamjerno proizvedeni POP's  dospijevaju i u vodu i procijenjene </w:t>
      </w:r>
      <w:r w:rsidR="000D1995" w:rsidRPr="00C86111">
        <w:rPr>
          <w:rFonts w:asciiTheme="minorHAnsi" w:hAnsiTheme="minorHAnsi" w:cstheme="minorHAnsi"/>
          <w:color w:val="auto"/>
          <w:szCs w:val="24"/>
        </w:rPr>
        <w:t>emisije</w:t>
      </w:r>
      <w:r w:rsidR="00201FE9" w:rsidRPr="00C86111">
        <w:rPr>
          <w:rFonts w:asciiTheme="minorHAnsi" w:hAnsiTheme="minorHAnsi" w:cstheme="minorHAnsi"/>
          <w:color w:val="auto"/>
          <w:szCs w:val="24"/>
        </w:rPr>
        <w:t xml:space="preserve"> se kreću od 0.001 gTEQ/god do 0.</w:t>
      </w:r>
      <w:bookmarkStart w:id="72" w:name="_Hlk207727455"/>
      <w:r w:rsidR="00201FE9" w:rsidRPr="00C86111">
        <w:rPr>
          <w:rFonts w:asciiTheme="minorHAnsi" w:hAnsiTheme="minorHAnsi" w:cstheme="minorHAnsi"/>
          <w:color w:val="auto"/>
          <w:szCs w:val="24"/>
        </w:rPr>
        <w:t>004 gTEQ/god</w:t>
      </w:r>
      <w:bookmarkEnd w:id="72"/>
      <w:r w:rsidR="00201FE9" w:rsidRPr="00C86111">
        <w:rPr>
          <w:rFonts w:asciiTheme="minorHAnsi" w:hAnsiTheme="minorHAnsi" w:cstheme="minorHAnsi"/>
          <w:color w:val="auto"/>
          <w:szCs w:val="24"/>
        </w:rPr>
        <w:t>.</w:t>
      </w:r>
    </w:p>
    <w:p w14:paraId="42E4EEC1" w14:textId="597B5023"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6F5A1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7.</w:t>
      </w:r>
      <w:r w:rsidRPr="00C86111">
        <w:rPr>
          <w:rFonts w:asciiTheme="minorHAnsi" w:hAnsiTheme="minorHAnsi" w:cstheme="minorHAnsi"/>
          <w:i w:val="0"/>
          <w:iCs/>
          <w:sz w:val="24"/>
          <w:lang w:val="sr-Latn-RS"/>
        </w:rPr>
        <w:t xml:space="preserve"> Ukupne godišnje POP's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(PCDD/PCDF) usled stvorenog kanalizacionog mulja, 2006-2022. godina (gTEQ/god)</w:t>
      </w:r>
    </w:p>
    <w:tbl>
      <w:tblPr>
        <w:tblStyle w:val="GridTable5Dark-Accent6"/>
        <w:tblW w:w="8785" w:type="dxa"/>
        <w:tblLook w:val="04A0" w:firstRow="1" w:lastRow="0" w:firstColumn="1" w:lastColumn="0" w:noHBand="0" w:noVBand="1"/>
      </w:tblPr>
      <w:tblGrid>
        <w:gridCol w:w="1784"/>
        <w:gridCol w:w="768"/>
        <w:gridCol w:w="780"/>
        <w:gridCol w:w="779"/>
        <w:gridCol w:w="779"/>
        <w:gridCol w:w="779"/>
        <w:gridCol w:w="779"/>
        <w:gridCol w:w="779"/>
        <w:gridCol w:w="779"/>
        <w:gridCol w:w="779"/>
      </w:tblGrid>
      <w:tr w:rsidR="00201FE9" w:rsidRPr="00C86111" w14:paraId="28B720C3"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63A82DD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45F469A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780" w:type="dxa"/>
          </w:tcPr>
          <w:p w14:paraId="4C85000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79" w:type="dxa"/>
          </w:tcPr>
          <w:p w14:paraId="255E213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779" w:type="dxa"/>
          </w:tcPr>
          <w:p w14:paraId="272E438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779" w:type="dxa"/>
          </w:tcPr>
          <w:p w14:paraId="34E1837C"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779" w:type="dxa"/>
          </w:tcPr>
          <w:p w14:paraId="4A7E060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779" w:type="dxa"/>
          </w:tcPr>
          <w:p w14:paraId="5FBA66E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779" w:type="dxa"/>
          </w:tcPr>
          <w:p w14:paraId="0D0996E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79" w:type="dxa"/>
          </w:tcPr>
          <w:p w14:paraId="43EE517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0DC67206"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470A1F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Voda</w:t>
            </w:r>
          </w:p>
        </w:tc>
        <w:tc>
          <w:tcPr>
            <w:tcW w:w="768" w:type="dxa"/>
          </w:tcPr>
          <w:p w14:paraId="40028BB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80" w:type="dxa"/>
          </w:tcPr>
          <w:p w14:paraId="3CB70FE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55E8CBC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5EDE957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1C18DFF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015478C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20AAE5D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573FC6F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44BFD11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r>
      <w:tr w:rsidR="00201FE9" w:rsidRPr="00C86111" w14:paraId="750A197B"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11108E7"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w:t>
            </w:r>
          </w:p>
        </w:tc>
        <w:tc>
          <w:tcPr>
            <w:tcW w:w="768" w:type="dxa"/>
          </w:tcPr>
          <w:p w14:paraId="558F4CA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80" w:type="dxa"/>
          </w:tcPr>
          <w:p w14:paraId="757C682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40B37C1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40ABC6D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18F7C2B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73F6423E"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49583B3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58E455A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0.16</w:t>
            </w:r>
          </w:p>
        </w:tc>
        <w:tc>
          <w:tcPr>
            <w:tcW w:w="779" w:type="dxa"/>
          </w:tcPr>
          <w:p w14:paraId="4AB74CC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0.23</w:t>
            </w:r>
          </w:p>
        </w:tc>
      </w:tr>
      <w:tr w:rsidR="00201FE9" w:rsidRPr="00C86111" w14:paraId="4382A6CA"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1F8068B0"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768" w:type="dxa"/>
          </w:tcPr>
          <w:p w14:paraId="1C3CFC1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780" w:type="dxa"/>
          </w:tcPr>
          <w:p w14:paraId="6A9F8AC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79" w:type="dxa"/>
          </w:tcPr>
          <w:p w14:paraId="059C6D6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779" w:type="dxa"/>
          </w:tcPr>
          <w:p w14:paraId="5D1EED1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779" w:type="dxa"/>
          </w:tcPr>
          <w:p w14:paraId="0679E31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779" w:type="dxa"/>
          </w:tcPr>
          <w:p w14:paraId="0D0AE15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779" w:type="dxa"/>
          </w:tcPr>
          <w:p w14:paraId="7573D8F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779" w:type="dxa"/>
          </w:tcPr>
          <w:p w14:paraId="7856659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79" w:type="dxa"/>
          </w:tcPr>
          <w:p w14:paraId="258391F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1127A333"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784" w:type="dxa"/>
          </w:tcPr>
          <w:p w14:paraId="06455DD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Voda</w:t>
            </w:r>
          </w:p>
        </w:tc>
        <w:tc>
          <w:tcPr>
            <w:tcW w:w="768" w:type="dxa"/>
          </w:tcPr>
          <w:p w14:paraId="2E2EAFE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80" w:type="dxa"/>
          </w:tcPr>
          <w:p w14:paraId="501E980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40BBAC2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7AC7F296"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63B25AF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4C58233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6C4C20B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3F8FF29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&lt;0.01</w:t>
            </w:r>
          </w:p>
        </w:tc>
        <w:tc>
          <w:tcPr>
            <w:tcW w:w="779" w:type="dxa"/>
          </w:tcPr>
          <w:p w14:paraId="105B1454"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50CE3AC1"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84" w:type="dxa"/>
          </w:tcPr>
          <w:p w14:paraId="38AC9659"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Ostaci iz procesa </w:t>
            </w:r>
          </w:p>
        </w:tc>
        <w:tc>
          <w:tcPr>
            <w:tcW w:w="768" w:type="dxa"/>
          </w:tcPr>
          <w:p w14:paraId="50109E5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0.24</w:t>
            </w:r>
          </w:p>
        </w:tc>
        <w:tc>
          <w:tcPr>
            <w:tcW w:w="780" w:type="dxa"/>
          </w:tcPr>
          <w:p w14:paraId="28981AF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0.23</w:t>
            </w:r>
          </w:p>
        </w:tc>
        <w:tc>
          <w:tcPr>
            <w:tcW w:w="779" w:type="dxa"/>
          </w:tcPr>
          <w:p w14:paraId="6E4E827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0.26</w:t>
            </w:r>
          </w:p>
        </w:tc>
        <w:tc>
          <w:tcPr>
            <w:tcW w:w="779" w:type="dxa"/>
          </w:tcPr>
          <w:p w14:paraId="54F0E7AD"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0.22</w:t>
            </w:r>
          </w:p>
        </w:tc>
        <w:tc>
          <w:tcPr>
            <w:tcW w:w="779" w:type="dxa"/>
          </w:tcPr>
          <w:p w14:paraId="38F4B1D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0.21</w:t>
            </w:r>
          </w:p>
        </w:tc>
        <w:tc>
          <w:tcPr>
            <w:tcW w:w="779" w:type="dxa"/>
          </w:tcPr>
          <w:p w14:paraId="1E573E5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0.19</w:t>
            </w:r>
          </w:p>
        </w:tc>
        <w:tc>
          <w:tcPr>
            <w:tcW w:w="779" w:type="dxa"/>
          </w:tcPr>
          <w:p w14:paraId="13FFD3D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0.19</w:t>
            </w:r>
          </w:p>
        </w:tc>
        <w:tc>
          <w:tcPr>
            <w:tcW w:w="779" w:type="dxa"/>
          </w:tcPr>
          <w:p w14:paraId="586ED47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0.19</w:t>
            </w:r>
          </w:p>
        </w:tc>
        <w:tc>
          <w:tcPr>
            <w:tcW w:w="779" w:type="dxa"/>
          </w:tcPr>
          <w:p w14:paraId="2ED8DE2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12B0E2BF" w14:textId="2E617459" w:rsidR="00201FE9" w:rsidRPr="00C86111" w:rsidRDefault="00201FE9" w:rsidP="00375D24">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6F5A10"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8.</w:t>
      </w:r>
      <w:r w:rsidRPr="00C86111">
        <w:rPr>
          <w:rFonts w:asciiTheme="minorHAnsi" w:hAnsiTheme="minorHAnsi" w:cstheme="minorHAnsi"/>
          <w:i w:val="0"/>
          <w:iCs/>
          <w:sz w:val="24"/>
          <w:lang w:val="sr-Latn-RS"/>
        </w:rPr>
        <w:t xml:space="preserve"> Količine stvorenog kanalizacionog mulja, 2006-2022. godina (t)</w:t>
      </w:r>
    </w:p>
    <w:tbl>
      <w:tblPr>
        <w:tblStyle w:val="GridTable5Dark-Accent6"/>
        <w:tblW w:w="8815" w:type="dxa"/>
        <w:tblLook w:val="04A0" w:firstRow="1" w:lastRow="0" w:firstColumn="1" w:lastColumn="0" w:noHBand="0" w:noVBand="1"/>
      </w:tblPr>
      <w:tblGrid>
        <w:gridCol w:w="1334"/>
        <w:gridCol w:w="923"/>
        <w:gridCol w:w="923"/>
        <w:gridCol w:w="751"/>
        <w:gridCol w:w="923"/>
        <w:gridCol w:w="923"/>
        <w:gridCol w:w="647"/>
        <w:gridCol w:w="821"/>
        <w:gridCol w:w="847"/>
        <w:gridCol w:w="723"/>
      </w:tblGrid>
      <w:tr w:rsidR="00201FE9" w:rsidRPr="00C86111" w14:paraId="687C7AD2" w14:textId="77777777" w:rsidTr="00F562F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4" w:type="dxa"/>
          </w:tcPr>
          <w:p w14:paraId="26F76AB1"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923" w:type="dxa"/>
          </w:tcPr>
          <w:p w14:paraId="7CC4CFB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923" w:type="dxa"/>
          </w:tcPr>
          <w:p w14:paraId="2561309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751" w:type="dxa"/>
          </w:tcPr>
          <w:p w14:paraId="1C90EE0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923" w:type="dxa"/>
          </w:tcPr>
          <w:p w14:paraId="7F08B46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923" w:type="dxa"/>
          </w:tcPr>
          <w:p w14:paraId="0BFE755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647" w:type="dxa"/>
          </w:tcPr>
          <w:p w14:paraId="3BE7756D"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21" w:type="dxa"/>
          </w:tcPr>
          <w:p w14:paraId="399097A3"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847" w:type="dxa"/>
          </w:tcPr>
          <w:p w14:paraId="7B16152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723" w:type="dxa"/>
          </w:tcPr>
          <w:p w14:paraId="1936DB01"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2DEC7B50" w14:textId="77777777" w:rsidTr="00F562F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4" w:type="dxa"/>
          </w:tcPr>
          <w:p w14:paraId="0A80B2BE"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Kanalizacioni mulj (t)</w:t>
            </w:r>
          </w:p>
        </w:tc>
        <w:tc>
          <w:tcPr>
            <w:tcW w:w="923" w:type="dxa"/>
          </w:tcPr>
          <w:p w14:paraId="0655DE7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923" w:type="dxa"/>
          </w:tcPr>
          <w:p w14:paraId="2743707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751" w:type="dxa"/>
          </w:tcPr>
          <w:p w14:paraId="613E4FC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923" w:type="dxa"/>
          </w:tcPr>
          <w:p w14:paraId="2E87A19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923" w:type="dxa"/>
          </w:tcPr>
          <w:p w14:paraId="244F1A5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647" w:type="dxa"/>
          </w:tcPr>
          <w:p w14:paraId="09B13D9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821" w:type="dxa"/>
          </w:tcPr>
          <w:p w14:paraId="6F948B1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847" w:type="dxa"/>
          </w:tcPr>
          <w:p w14:paraId="30A9DFC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8182**</w:t>
            </w:r>
          </w:p>
        </w:tc>
        <w:tc>
          <w:tcPr>
            <w:tcW w:w="723" w:type="dxa"/>
          </w:tcPr>
          <w:p w14:paraId="7FF9D1A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11307</w:t>
            </w:r>
          </w:p>
        </w:tc>
      </w:tr>
      <w:tr w:rsidR="00201FE9" w:rsidRPr="00C86111" w14:paraId="7676E9FA" w14:textId="77777777" w:rsidTr="00F562F0">
        <w:trPr>
          <w:trHeight w:val="432"/>
        </w:trPr>
        <w:tc>
          <w:tcPr>
            <w:cnfStyle w:val="001000000000" w:firstRow="0" w:lastRow="0" w:firstColumn="1" w:lastColumn="0" w:oddVBand="0" w:evenVBand="0" w:oddHBand="0" w:evenHBand="0" w:firstRowFirstColumn="0" w:firstRowLastColumn="0" w:lastRowFirstColumn="0" w:lastRowLastColumn="0"/>
            <w:tcW w:w="1334" w:type="dxa"/>
          </w:tcPr>
          <w:p w14:paraId="644373EB"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923" w:type="dxa"/>
          </w:tcPr>
          <w:p w14:paraId="0AC2DFA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923" w:type="dxa"/>
          </w:tcPr>
          <w:p w14:paraId="7109F47C"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751" w:type="dxa"/>
          </w:tcPr>
          <w:p w14:paraId="25F5207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923" w:type="dxa"/>
          </w:tcPr>
          <w:p w14:paraId="47EAA8B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923" w:type="dxa"/>
          </w:tcPr>
          <w:p w14:paraId="1057D65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647" w:type="dxa"/>
          </w:tcPr>
          <w:p w14:paraId="14C5A6B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821" w:type="dxa"/>
          </w:tcPr>
          <w:p w14:paraId="7D9A54C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847" w:type="dxa"/>
          </w:tcPr>
          <w:p w14:paraId="24B4733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723" w:type="dxa"/>
          </w:tcPr>
          <w:p w14:paraId="39B52C72"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7C649458" w14:textId="77777777" w:rsidTr="00F562F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34" w:type="dxa"/>
          </w:tcPr>
          <w:p w14:paraId="4AFB107C"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Kanalizacioni mulj (t)</w:t>
            </w:r>
          </w:p>
        </w:tc>
        <w:tc>
          <w:tcPr>
            <w:tcW w:w="923" w:type="dxa"/>
          </w:tcPr>
          <w:p w14:paraId="1CB437D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11857**</w:t>
            </w:r>
          </w:p>
        </w:tc>
        <w:tc>
          <w:tcPr>
            <w:tcW w:w="923" w:type="dxa"/>
          </w:tcPr>
          <w:p w14:paraId="48CF284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11504**</w:t>
            </w:r>
          </w:p>
        </w:tc>
        <w:tc>
          <w:tcPr>
            <w:tcW w:w="751" w:type="dxa"/>
          </w:tcPr>
          <w:p w14:paraId="4E49A26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12939</w:t>
            </w:r>
          </w:p>
        </w:tc>
        <w:tc>
          <w:tcPr>
            <w:tcW w:w="923" w:type="dxa"/>
          </w:tcPr>
          <w:p w14:paraId="79E75AF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10810**</w:t>
            </w:r>
          </w:p>
        </w:tc>
        <w:tc>
          <w:tcPr>
            <w:tcW w:w="923" w:type="dxa"/>
          </w:tcPr>
          <w:p w14:paraId="3B99E656"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10463**</w:t>
            </w:r>
          </w:p>
        </w:tc>
        <w:tc>
          <w:tcPr>
            <w:tcW w:w="647" w:type="dxa"/>
          </w:tcPr>
          <w:p w14:paraId="1A26500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9225</w:t>
            </w:r>
          </w:p>
        </w:tc>
        <w:tc>
          <w:tcPr>
            <w:tcW w:w="821" w:type="dxa"/>
          </w:tcPr>
          <w:p w14:paraId="4AD8EDC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9225**</w:t>
            </w:r>
          </w:p>
        </w:tc>
        <w:tc>
          <w:tcPr>
            <w:tcW w:w="847" w:type="dxa"/>
          </w:tcPr>
          <w:p w14:paraId="7F264E2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9225**</w:t>
            </w:r>
          </w:p>
        </w:tc>
        <w:tc>
          <w:tcPr>
            <w:tcW w:w="723" w:type="dxa"/>
          </w:tcPr>
          <w:p w14:paraId="7B90C86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399BE317" w14:textId="77777777" w:rsidR="00201FE9" w:rsidRPr="00C86111" w:rsidRDefault="00201FE9" w:rsidP="00201FE9">
      <w:pPr>
        <w:pStyle w:val="Tabele"/>
        <w:numPr>
          <w:ilvl w:val="0"/>
          <w:numId w:val="0"/>
        </w:numPr>
        <w:spacing w:before="0" w:after="0"/>
        <w:ind w:left="924" w:hanging="357"/>
        <w:jc w:val="both"/>
        <w:rPr>
          <w:rFonts w:asciiTheme="minorHAnsi" w:hAnsiTheme="minorHAnsi" w:cstheme="minorHAnsi"/>
          <w:sz w:val="24"/>
          <w:lang w:val="sr-Latn-RS"/>
        </w:rPr>
      </w:pPr>
      <w:r w:rsidRPr="00C86111">
        <w:rPr>
          <w:rFonts w:asciiTheme="minorHAnsi" w:hAnsiTheme="minorHAnsi" w:cstheme="minorHAnsi"/>
          <w:sz w:val="24"/>
          <w:lang w:val="sr-Latn-RS"/>
        </w:rPr>
        <w:t>*Procijenjene vrijednosti preuzete iz prethodnog izvještaja</w:t>
      </w:r>
    </w:p>
    <w:p w14:paraId="2C63AB38" w14:textId="77777777" w:rsidR="00201FE9" w:rsidRPr="00C86111" w:rsidRDefault="00201FE9" w:rsidP="00201FE9">
      <w:pPr>
        <w:pStyle w:val="Tabele"/>
        <w:numPr>
          <w:ilvl w:val="0"/>
          <w:numId w:val="0"/>
        </w:numPr>
        <w:spacing w:before="0" w:after="0"/>
        <w:ind w:left="924" w:hanging="357"/>
        <w:jc w:val="both"/>
        <w:rPr>
          <w:rFonts w:asciiTheme="minorHAnsi" w:hAnsiTheme="minorHAnsi" w:cstheme="minorHAnsi"/>
          <w:sz w:val="24"/>
          <w:lang w:val="sr-Latn-RS"/>
        </w:rPr>
      </w:pPr>
      <w:r w:rsidRPr="00C86111">
        <w:rPr>
          <w:rFonts w:asciiTheme="minorHAnsi" w:hAnsiTheme="minorHAnsi" w:cstheme="minorHAnsi"/>
          <w:sz w:val="24"/>
          <w:lang w:val="sr-Latn-RS"/>
        </w:rPr>
        <w:t>** Interpolirane i procijenjene vrijednosti</w:t>
      </w:r>
    </w:p>
    <w:p w14:paraId="06AC5039" w14:textId="77777777" w:rsidR="00201FE9" w:rsidRPr="00C86111" w:rsidRDefault="00201FE9" w:rsidP="00201FE9">
      <w:pPr>
        <w:pStyle w:val="Tabele"/>
        <w:numPr>
          <w:ilvl w:val="0"/>
          <w:numId w:val="0"/>
        </w:numPr>
        <w:spacing w:before="0" w:after="0"/>
        <w:jc w:val="both"/>
        <w:rPr>
          <w:rFonts w:asciiTheme="minorHAnsi" w:hAnsiTheme="minorHAnsi" w:cstheme="minorHAnsi"/>
          <w:sz w:val="24"/>
          <w:lang w:val="sr-Latn-RS"/>
        </w:rPr>
      </w:pPr>
    </w:p>
    <w:p w14:paraId="1B8E5C1F" w14:textId="77777777" w:rsidR="00201FE9" w:rsidRPr="00C86111" w:rsidRDefault="00201FE9" w:rsidP="00201FE9">
      <w:pPr>
        <w:pStyle w:val="Tabele"/>
        <w:numPr>
          <w:ilvl w:val="0"/>
          <w:numId w:val="0"/>
        </w:numPr>
        <w:spacing w:before="0" w:after="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Prva kompostana u Crnoj Gori, izgrađena je na Imanju DOO "Komunalno Kotor" u Kavču - Kotor, u okviru projekta "Uvođenje kompostiranja i primarne selekcije otpada u opštinama Kotor, Tivat, Budva i Herceg Novi" koji je finansiran od strane Delegacije EU u Crnoj Gori.</w:t>
      </w:r>
      <w:r w:rsidRPr="00C86111">
        <w:rPr>
          <w:rFonts w:asciiTheme="minorHAnsi" w:hAnsiTheme="minorHAnsi" w:cstheme="minorHAnsi"/>
          <w:sz w:val="24"/>
          <w:lang w:val="sr-Latn-RS"/>
        </w:rPr>
        <w:t xml:space="preserve"> </w:t>
      </w:r>
      <w:r w:rsidRPr="00C86111">
        <w:rPr>
          <w:rFonts w:asciiTheme="minorHAnsi" w:hAnsiTheme="minorHAnsi" w:cstheme="minorHAnsi"/>
          <w:i w:val="0"/>
          <w:iCs/>
          <w:sz w:val="24"/>
          <w:lang w:val="sr-Latn-RS"/>
        </w:rPr>
        <w:t>Sprovedene analize potvrđuju da je proizvedeni kompost 1. kategorije kvaliteta na osnovu Pravilnika o uslovima za preradu biootpada i kriterijumima za određivanje kvaliteta produkata organskog recikliranja iz biootpada ("Sl.list Crne Gore", br.59/139).</w:t>
      </w:r>
    </w:p>
    <w:p w14:paraId="3F70DAB1" w14:textId="77777777" w:rsidR="00201FE9" w:rsidRPr="00C86111" w:rsidRDefault="00201FE9" w:rsidP="00201FE9">
      <w:pPr>
        <w:pStyle w:val="Tabele"/>
        <w:numPr>
          <w:ilvl w:val="0"/>
          <w:numId w:val="0"/>
        </w:numPr>
        <w:spacing w:before="0" w:after="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 xml:space="preserve">Izvor podataka. Zvanična stranica JKP Kotor; </w:t>
      </w:r>
      <w:hyperlink r:id="rId21" w:history="1">
        <w:r w:rsidRPr="00C86111">
          <w:rPr>
            <w:rStyle w:val="Hyperlink"/>
            <w:rFonts w:asciiTheme="minorHAnsi" w:hAnsiTheme="minorHAnsi" w:cstheme="minorHAnsi"/>
            <w:i w:val="0"/>
            <w:iCs/>
            <w:color w:val="auto"/>
            <w:sz w:val="24"/>
            <w:lang w:val="sr-Latn-RS"/>
          </w:rPr>
          <w:t>https://jkpkotor.com/me/usluge/kompostana/</w:t>
        </w:r>
      </w:hyperlink>
      <w:r w:rsidRPr="00C86111">
        <w:rPr>
          <w:rFonts w:asciiTheme="minorHAnsi" w:hAnsiTheme="minorHAnsi" w:cstheme="minorHAnsi"/>
          <w:i w:val="0"/>
          <w:iCs/>
          <w:sz w:val="24"/>
          <w:lang w:val="sr-Latn-RS"/>
        </w:rPr>
        <w:t xml:space="preserve"> </w:t>
      </w:r>
    </w:p>
    <w:p w14:paraId="67829270" w14:textId="200C1462" w:rsidR="00201FE9" w:rsidRPr="00C86111" w:rsidRDefault="00201FE9" w:rsidP="00201FE9">
      <w:pPr>
        <w:pStyle w:val="Tabele"/>
        <w:numPr>
          <w:ilvl w:val="0"/>
          <w:numId w:val="0"/>
        </w:numPr>
        <w:spacing w:before="0" w:after="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 xml:space="preserve">Na osnovu raspoloživih podataka, kompostana je počela sa radom 2017. godine i ukupna proizvedena količina komposta na godišnjem nivou iznosi oko 700 tona. Ovo dovodi do </w:t>
      </w:r>
      <w:r w:rsidR="000D1995" w:rsidRPr="00C86111">
        <w:rPr>
          <w:rFonts w:asciiTheme="minorHAnsi" w:hAnsiTheme="minorHAnsi" w:cstheme="minorHAnsi"/>
          <w:i w:val="0"/>
          <w:iCs/>
          <w:sz w:val="24"/>
          <w:lang w:val="sr-Latn-RS"/>
        </w:rPr>
        <w:t>emisije</w:t>
      </w:r>
      <w:r w:rsidRPr="00C86111">
        <w:rPr>
          <w:rFonts w:asciiTheme="minorHAnsi" w:hAnsiTheme="minorHAnsi" w:cstheme="minorHAnsi"/>
          <w:i w:val="0"/>
          <w:iCs/>
          <w:sz w:val="24"/>
          <w:lang w:val="sr-Latn-RS"/>
        </w:rPr>
        <w:t xml:space="preserve"> u produkte od 0.004 gTEQ/god.</w:t>
      </w:r>
    </w:p>
    <w:p w14:paraId="773386B3" w14:textId="77777777" w:rsidR="00201FE9" w:rsidRPr="00C86111" w:rsidRDefault="00201FE9" w:rsidP="00EA6904">
      <w:pPr>
        <w:pStyle w:val="Heading4"/>
        <w:rPr>
          <w:lang w:val="sr-Latn-RS"/>
        </w:rPr>
      </w:pPr>
      <w:r w:rsidRPr="00C86111">
        <w:rPr>
          <w:lang w:val="sr-Latn-RS"/>
        </w:rPr>
        <w:t>Grupa 10. Potencijalne kontaminirane lokacije</w:t>
      </w:r>
    </w:p>
    <w:p w14:paraId="7BBD7790"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Član 6. Stockholmske konvencije podstiče države da razviju strategije za identifikaciju lokacija kontaminiranih nenamjerno realizovanim POP’s. Ova kategorija uključuje indikativni popis aktivnosti koje su mogle rezultirati kontaminacijom zemljišta i sedimenata PCDD/PCDF i drugim nenamjerno realizovanim POP’s, uključujući povezane naslage.</w:t>
      </w:r>
    </w:p>
    <w:p w14:paraId="2EA0BBF6"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PCDD/PCDF iz rezervoara, uključujući kontaminirane lokacije i žarišta, danas predstavljaju važan izvor izloženosti ljudi, često putem kontaminacije hrane: nedavne nesreće s hranom i stočnom hranom u Evropi uzrokovane su istorijskom kontaminacijom PCDD/PCDF iz prošle proizvodnje hlorisanih organskih supstanci i kontaminiranih lokacija (Fiedler i sur. 2000b, Torres i sur. 2012, Weber i sur. 2008a,b), ističući da se PCDD/PCDF iz tih izvora ispuštaju u prehrambeni lanac.</w:t>
      </w:r>
    </w:p>
    <w:p w14:paraId="67578E87"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Postupak se sastoji od tri zadatka:</w:t>
      </w:r>
    </w:p>
    <w:p w14:paraId="2503B9CB"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I.Identificiranje izvora aktivnosti koje su mogle uzrokovati kontaminaciju i identifikacija potencijalno kontaminiranih lokacija;</w:t>
      </w:r>
    </w:p>
    <w:p w14:paraId="1AFB780A"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II.Procjena tih mjesta s obzirom na vjerojatnu veličinu kontaminacije i rangiranje prema riziku od izloženosti;</w:t>
      </w:r>
    </w:p>
    <w:p w14:paraId="3C38E290"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III.Procjena stepena kontaminacije najznačajnijih lokacija detaljnom analizom.</w:t>
      </w:r>
    </w:p>
    <w:p w14:paraId="6D587A5D"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početnoj fazi razvoja inventara, lokacije povezane s gore navedenim aktivnostima visokog prioriteta mogu se kategorizirati bez detaljne procjene kao „potencijalno kontaminirane lokacije“. Korišćenjem ovog jednostavnog pristupa (Tier 1), širok raspon „potencijalno kontaminiranih lokacija“ može se u početku navesti. Često se u ovoj fazi samo fabrike i područja oko poznatih ili sumnjivih izvora mogu identifikovati kao „potencijalno kontaminirane“, bez poznavanja detalja o npr. naslagama, kontaminiranom  tlu ili sedimentima. Ove će lokacije biti uključene u popis ili bazu podataka kontaminiranih lokacija, uz napomenu da su potrebna dalja istraživanja (UNEP-ov vodič).</w:t>
      </w:r>
    </w:p>
    <w:p w14:paraId="765B29A2" w14:textId="45CC829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Na osnovu sprovedene inventarizacije, istorijskih podataka o proizvodnim procesima, prateći  uputstva iz UNEP-ovog priručnika, moguće je sprovesti preliminarnu analizu potencijalnih kontaminiranih lokacija po Tier 1 metodologiji. Lokacija može biti kontaminirana usled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nenamjerno proizvedenih POP’s u zemljište, vodu i ostatke iz procesa proizvodnje ako se sa istim ne upravlja na bezbjedan način. U skladu sa inventarizacijom sledeće ključne grupe kategorija dovode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nenamjerno proizvedenih POP’s u zemljište i ostatke iz procesa proizvodnje </w:t>
      </w:r>
      <w:r w:rsidR="00F562F0">
        <w:rPr>
          <w:rFonts w:asciiTheme="minorHAnsi" w:hAnsiTheme="minorHAnsi" w:cstheme="minorHAnsi"/>
          <w:color w:val="auto"/>
          <w:szCs w:val="24"/>
        </w:rPr>
        <w:t>:</w:t>
      </w:r>
    </w:p>
    <w:p w14:paraId="225922C4" w14:textId="77777777" w:rsidR="00201FE9" w:rsidRPr="00C86111" w:rsidRDefault="00201FE9" w:rsidP="007E2AA5">
      <w:pPr>
        <w:pStyle w:val="ListParagraph"/>
        <w:numPr>
          <w:ilvl w:val="0"/>
          <w:numId w:val="33"/>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Procesi sa otvorenim sagorijevanjem;</w:t>
      </w:r>
    </w:p>
    <w:p w14:paraId="509776DE" w14:textId="77777777" w:rsidR="00201FE9" w:rsidRPr="00C86111" w:rsidRDefault="00201FE9" w:rsidP="007E2AA5">
      <w:pPr>
        <w:pStyle w:val="ListParagraph"/>
        <w:numPr>
          <w:ilvl w:val="0"/>
          <w:numId w:val="33"/>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Proizvodnja teških i obojenih metala;</w:t>
      </w:r>
    </w:p>
    <w:p w14:paraId="5DB80F4B" w14:textId="77777777" w:rsidR="00201FE9" w:rsidRPr="00C86111" w:rsidRDefault="00201FE9" w:rsidP="007E2AA5">
      <w:pPr>
        <w:pStyle w:val="ListParagraph"/>
        <w:numPr>
          <w:ilvl w:val="0"/>
          <w:numId w:val="33"/>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Proizvodnja toplotne i električne energije;</w:t>
      </w:r>
    </w:p>
    <w:p w14:paraId="792F989E" w14:textId="77777777" w:rsidR="00201FE9" w:rsidRPr="00C86111" w:rsidRDefault="00201FE9" w:rsidP="007E2AA5">
      <w:pPr>
        <w:pStyle w:val="ListParagraph"/>
        <w:numPr>
          <w:ilvl w:val="0"/>
          <w:numId w:val="33"/>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Odlaganje otpada.</w:t>
      </w:r>
    </w:p>
    <w:p w14:paraId="1AE074F0"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Sledeće potencijalne kontaminirane lokacije su identifikovane na bazi Tier 1:</w:t>
      </w:r>
    </w:p>
    <w:p w14:paraId="2FF2E55E" w14:textId="77777777" w:rsidR="00201FE9" w:rsidRPr="00C86111" w:rsidRDefault="00201FE9" w:rsidP="00201FE9">
      <w:pPr>
        <w:pStyle w:val="ListParagraph"/>
        <w:jc w:val="both"/>
        <w:rPr>
          <w:rFonts w:asciiTheme="minorHAnsi" w:hAnsiTheme="minorHAnsi" w:cstheme="minorHAnsi"/>
          <w:color w:val="auto"/>
          <w:szCs w:val="24"/>
        </w:rPr>
      </w:pPr>
    </w:p>
    <w:p w14:paraId="14561A3F" w14:textId="77777777" w:rsidR="00201FE9" w:rsidRPr="00C86111" w:rsidRDefault="00201FE9" w:rsidP="007E2AA5">
      <w:pPr>
        <w:pStyle w:val="ListParagraph"/>
        <w:numPr>
          <w:ilvl w:val="0"/>
          <w:numId w:val="34"/>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Fabrika za proizvodnju celuloze i papira u Beranama</w:t>
      </w:r>
    </w:p>
    <w:p w14:paraId="4639A739" w14:textId="77777777" w:rsidR="00201FE9" w:rsidRPr="00C86111" w:rsidRDefault="00201FE9" w:rsidP="007E2AA5">
      <w:pPr>
        <w:pStyle w:val="ListParagraph"/>
        <w:numPr>
          <w:ilvl w:val="0"/>
          <w:numId w:val="34"/>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Požari na neuređenim odlagalištima otpada</w:t>
      </w:r>
    </w:p>
    <w:p w14:paraId="2CD1025C" w14:textId="77777777" w:rsidR="00201FE9" w:rsidRPr="00C86111" w:rsidRDefault="00201FE9" w:rsidP="007E2AA5">
      <w:pPr>
        <w:pStyle w:val="ListParagraph"/>
        <w:numPr>
          <w:ilvl w:val="0"/>
          <w:numId w:val="34"/>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Deponija Željezare Nikšić – „Halda“</w:t>
      </w:r>
    </w:p>
    <w:p w14:paraId="6954564A" w14:textId="77777777" w:rsidR="00201FE9" w:rsidRPr="00C86111" w:rsidRDefault="00201FE9" w:rsidP="007E2AA5">
      <w:pPr>
        <w:pStyle w:val="ListParagraph"/>
        <w:numPr>
          <w:ilvl w:val="0"/>
          <w:numId w:val="34"/>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deponija cjelokupnog opasnog i neopasnog otpada iz proizvodnog procesa Kombinata aluminijuma Podgorica</w:t>
      </w:r>
    </w:p>
    <w:p w14:paraId="637F510A" w14:textId="77777777" w:rsidR="00201FE9" w:rsidRPr="00C86111" w:rsidRDefault="00201FE9" w:rsidP="007E2AA5">
      <w:pPr>
        <w:pStyle w:val="ListParagraph"/>
        <w:numPr>
          <w:ilvl w:val="0"/>
          <w:numId w:val="34"/>
        </w:numPr>
        <w:spacing w:after="120"/>
        <w:jc w:val="both"/>
        <w:rPr>
          <w:rFonts w:asciiTheme="minorHAnsi" w:hAnsiTheme="minorHAnsi" w:cstheme="minorHAnsi"/>
          <w:color w:val="auto"/>
          <w:szCs w:val="24"/>
        </w:rPr>
      </w:pPr>
      <w:bookmarkStart w:id="73" w:name="_Hlk208345489"/>
      <w:r w:rsidRPr="00C86111">
        <w:rPr>
          <w:rFonts w:asciiTheme="minorHAnsi" w:hAnsiTheme="minorHAnsi" w:cstheme="minorHAnsi"/>
          <w:color w:val="auto"/>
          <w:szCs w:val="24"/>
        </w:rPr>
        <w:t>Deponija TE Pljevlja „Maljevac</w:t>
      </w:r>
      <w:bookmarkEnd w:id="73"/>
      <w:r w:rsidRPr="00C86111">
        <w:rPr>
          <w:rFonts w:asciiTheme="minorHAnsi" w:hAnsiTheme="minorHAnsi" w:cstheme="minorHAnsi"/>
          <w:color w:val="auto"/>
          <w:szCs w:val="24"/>
        </w:rPr>
        <w:t>“</w:t>
      </w:r>
    </w:p>
    <w:p w14:paraId="2654C5A6" w14:textId="77777777" w:rsidR="00201FE9" w:rsidRPr="00C86111" w:rsidRDefault="00201FE9" w:rsidP="00201FE9">
      <w:pPr>
        <w:pStyle w:val="ListParagraph"/>
        <w:jc w:val="both"/>
        <w:rPr>
          <w:rFonts w:asciiTheme="minorHAnsi" w:hAnsiTheme="minorHAnsi" w:cstheme="minorHAnsi"/>
          <w:color w:val="auto"/>
          <w:szCs w:val="24"/>
        </w:rPr>
      </w:pPr>
    </w:p>
    <w:p w14:paraId="1D2F430E" w14:textId="77777777" w:rsidR="00201FE9" w:rsidRPr="00C86111" w:rsidRDefault="00201FE9" w:rsidP="00201FE9">
      <w:pPr>
        <w:ind w:firstLine="284"/>
        <w:jc w:val="both"/>
        <w:rPr>
          <w:rFonts w:asciiTheme="minorHAnsi" w:hAnsiTheme="minorHAnsi" w:cstheme="minorHAnsi"/>
          <w:color w:val="002060"/>
          <w:szCs w:val="24"/>
          <w:u w:val="single"/>
        </w:rPr>
      </w:pPr>
      <w:r w:rsidRPr="00C86111">
        <w:rPr>
          <w:rFonts w:asciiTheme="minorHAnsi" w:hAnsiTheme="minorHAnsi" w:cstheme="minorHAnsi"/>
          <w:color w:val="002060"/>
          <w:szCs w:val="24"/>
          <w:u w:val="single"/>
        </w:rPr>
        <w:t>Fabrika za proizvodnju celuloze i papira u Beranama</w:t>
      </w:r>
    </w:p>
    <w:p w14:paraId="392C2A15" w14:textId="77777777" w:rsidR="00201FE9" w:rsidRPr="00C86111" w:rsidRDefault="00201FE9" w:rsidP="00201FE9">
      <w:pPr>
        <w:pStyle w:val="ListParagraph"/>
        <w:jc w:val="both"/>
        <w:rPr>
          <w:rFonts w:asciiTheme="minorHAnsi" w:hAnsiTheme="minorHAnsi" w:cstheme="minorHAnsi"/>
          <w:color w:val="auto"/>
          <w:szCs w:val="24"/>
        </w:rPr>
      </w:pPr>
    </w:p>
    <w:p w14:paraId="6E5731BB" w14:textId="0D4F973F"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Fabrika za proizvodnju celuloze i papira u Beranama je puštena u rad 1964. godine a zatvorena 1989. Godine. Fabrika je bila locirana na periferiji Berana u blizini rijeke Lim (slika 1. Anex 2. prikaz lokacije preuzet sa Google Earth). Dio fabrike je privatizovan 1996. godine, pri čemu su pojedini pogoni (papirni blok) kratkotrajno puštani u rad. Nakon neuspješne privatizacije, svi proizvodni procesi su ugašeni poslije 2000. godine, dio fabričkog kruga je privatizovan i pretvoren u biznis zonu za djelatnosti kao što je proizvodnja betonskih blokova. Na osnovu informacija dobijenih od tehničkog lica koje je radilo u fabrici, proizvodnja celuloze i papira se vršila putem Kraft (sulfatnog) procesa uz izbjeljivanje pulpe sa hlorom (Cl</w:t>
      </w:r>
      <w:r w:rsidRPr="00C86111">
        <w:rPr>
          <w:rFonts w:asciiTheme="minorHAnsi" w:hAnsiTheme="minorHAnsi" w:cstheme="minorHAnsi"/>
          <w:color w:val="auto"/>
          <w:szCs w:val="24"/>
          <w:vertAlign w:val="subscript"/>
        </w:rPr>
        <w:t>2</w:t>
      </w:r>
      <w:r w:rsidRPr="00C86111">
        <w:rPr>
          <w:rFonts w:asciiTheme="minorHAnsi" w:hAnsiTheme="minorHAnsi" w:cstheme="minorHAnsi"/>
          <w:color w:val="auto"/>
          <w:szCs w:val="24"/>
        </w:rPr>
        <w:t xml:space="preserve">). Prema UNEP-ovom priručniku, ovaj tehnološki proces dovodi do </w:t>
      </w:r>
      <w:r w:rsidR="000D1995" w:rsidRPr="00C86111">
        <w:rPr>
          <w:rFonts w:asciiTheme="minorHAnsi" w:hAnsiTheme="minorHAnsi" w:cstheme="minorHAnsi"/>
          <w:color w:val="auto"/>
          <w:szCs w:val="24"/>
        </w:rPr>
        <w:t>emisije</w:t>
      </w:r>
      <w:r w:rsidRPr="00C86111">
        <w:rPr>
          <w:rFonts w:asciiTheme="minorHAnsi" w:hAnsiTheme="minorHAnsi" w:cstheme="minorHAnsi"/>
          <w:color w:val="auto"/>
          <w:szCs w:val="24"/>
        </w:rPr>
        <w:t xml:space="preserve"> POP’s u sledeće medijume životne sredine: u vazduh usled proizvodnje energije, ispuštanja u vodu u efluentima iz sistema za prečišćavanje otpadnih voda; ispuštanja u ostatke iz proizvodnje kao mulj i pepeo ili talog iz sistema za prečišćavanje otpadnih voda i ispuštanja u proizvod – celulozu i papir.</w:t>
      </w:r>
    </w:p>
    <w:p w14:paraId="0BF75E2E"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b/>
          <w:bCs/>
          <w:color w:val="auto"/>
          <w:szCs w:val="24"/>
        </w:rPr>
        <w:t>Preporuke:</w:t>
      </w:r>
      <w:r w:rsidRPr="00C86111">
        <w:rPr>
          <w:rFonts w:asciiTheme="minorHAnsi" w:hAnsiTheme="minorHAnsi" w:cstheme="minorHAnsi"/>
          <w:color w:val="auto"/>
          <w:szCs w:val="24"/>
        </w:rPr>
        <w:t xml:space="preserve"> sprovesti istraživanja u skladu sa Tier 2 UNEP metodologijom.</w:t>
      </w:r>
    </w:p>
    <w:p w14:paraId="2BE4CEBF" w14:textId="77777777" w:rsidR="00201FE9" w:rsidRPr="00C86111" w:rsidRDefault="00201FE9" w:rsidP="00201FE9">
      <w:pPr>
        <w:pStyle w:val="ListParagraph"/>
        <w:ind w:left="284"/>
        <w:jc w:val="both"/>
        <w:rPr>
          <w:rFonts w:asciiTheme="minorHAnsi" w:hAnsiTheme="minorHAnsi" w:cstheme="minorHAnsi"/>
          <w:color w:val="auto"/>
          <w:szCs w:val="24"/>
        </w:rPr>
      </w:pPr>
    </w:p>
    <w:p w14:paraId="03DC4C88" w14:textId="77777777" w:rsidR="00201FE9" w:rsidRPr="00C86111" w:rsidRDefault="00201FE9" w:rsidP="00201FE9">
      <w:pPr>
        <w:pStyle w:val="ListParagraph"/>
        <w:ind w:left="284"/>
        <w:jc w:val="both"/>
        <w:rPr>
          <w:rFonts w:asciiTheme="minorHAnsi" w:hAnsiTheme="minorHAnsi" w:cstheme="minorHAnsi"/>
          <w:color w:val="002060"/>
          <w:szCs w:val="24"/>
        </w:rPr>
      </w:pPr>
      <w:r w:rsidRPr="00C86111">
        <w:rPr>
          <w:rFonts w:asciiTheme="minorHAnsi" w:hAnsiTheme="minorHAnsi" w:cstheme="minorHAnsi"/>
          <w:color w:val="002060"/>
          <w:szCs w:val="24"/>
        </w:rPr>
        <w:t>Požari na većim neuređenim odlagalištima otpada</w:t>
      </w:r>
    </w:p>
    <w:p w14:paraId="3570BA66" w14:textId="77777777" w:rsidR="00201FE9" w:rsidRPr="00C86111" w:rsidRDefault="00201FE9" w:rsidP="00201FE9">
      <w:pPr>
        <w:pStyle w:val="ListParagraph"/>
        <w:ind w:left="284"/>
        <w:jc w:val="both"/>
        <w:rPr>
          <w:rFonts w:asciiTheme="minorHAnsi" w:hAnsiTheme="minorHAnsi" w:cstheme="minorHAnsi"/>
          <w:color w:val="auto"/>
          <w:szCs w:val="24"/>
        </w:rPr>
      </w:pPr>
    </w:p>
    <w:p w14:paraId="40ABAF59" w14:textId="2BB9FB33"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Sva veća odlagališta otpada koja su bila podložna višegodišnjem gorenju mogu se smatrati potencijalnim kontaminiranim lokacijama. Prema Izveštaju o sprovođenju Državnog plana upravljanja otpadom za 2020. godinu, u Crnoj Gori postoji 334 nekontrolisana odlagališta otpada od kojih je 50 odlagališta zapremine veće od 1000m</w:t>
      </w:r>
      <w:r w:rsidRPr="00C86111">
        <w:rPr>
          <w:rFonts w:asciiTheme="minorHAnsi" w:hAnsiTheme="minorHAnsi" w:cstheme="minorHAnsi"/>
          <w:color w:val="auto"/>
          <w:szCs w:val="24"/>
          <w:vertAlign w:val="superscript"/>
        </w:rPr>
        <w:t>3</w:t>
      </w:r>
      <w:r w:rsidRPr="00C86111">
        <w:rPr>
          <w:rFonts w:asciiTheme="minorHAnsi" w:hAnsiTheme="minorHAnsi" w:cstheme="minorHAnsi"/>
          <w:color w:val="auto"/>
          <w:szCs w:val="24"/>
        </w:rPr>
        <w:t>. Prema podacima dobijenim putem upitnika, nekontolisano spaljivanje otpada se događalo više puta tokom godina na značajnom broju ovih nekontrolisanih odlagališta otpada, ali i na djelimično kontrolisanim</w:t>
      </w:r>
      <w:r w:rsidR="006F5A10" w:rsidRPr="00C86111">
        <w:rPr>
          <w:rFonts w:asciiTheme="minorHAnsi" w:hAnsiTheme="minorHAnsi" w:cstheme="minorHAnsi"/>
          <w:color w:val="auto"/>
          <w:szCs w:val="24"/>
        </w:rPr>
        <w:t>.</w:t>
      </w:r>
      <w:r w:rsidRPr="00C86111">
        <w:rPr>
          <w:rFonts w:asciiTheme="minorHAnsi" w:hAnsiTheme="minorHAnsi" w:cstheme="minorHAnsi"/>
          <w:color w:val="auto"/>
          <w:szCs w:val="24"/>
        </w:rPr>
        <w:t xml:space="preserve"> Potencijalno curenje PCB-a i PCDD/PCDF-a u životnu sredinu trebalo bi da bude potvrđeno monitoringom.</w:t>
      </w:r>
    </w:p>
    <w:p w14:paraId="70B309C3" w14:textId="77777777" w:rsidR="00201FE9"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b/>
          <w:bCs/>
          <w:color w:val="auto"/>
          <w:szCs w:val="24"/>
        </w:rPr>
        <w:t>Preporuke:</w:t>
      </w:r>
      <w:r w:rsidRPr="00C86111">
        <w:rPr>
          <w:rFonts w:asciiTheme="minorHAnsi" w:hAnsiTheme="minorHAnsi" w:cstheme="minorHAnsi"/>
          <w:color w:val="auto"/>
          <w:szCs w:val="24"/>
        </w:rPr>
        <w:t xml:space="preserve"> sprovesti istraživanja u skladu sa Tier 2 UNEP metodologijom.</w:t>
      </w:r>
    </w:p>
    <w:p w14:paraId="044DEFD9" w14:textId="77777777" w:rsidR="00F562F0" w:rsidRDefault="00F562F0" w:rsidP="00201FE9">
      <w:pPr>
        <w:pStyle w:val="ListParagraph"/>
        <w:ind w:left="284"/>
        <w:jc w:val="both"/>
        <w:rPr>
          <w:rFonts w:asciiTheme="minorHAnsi" w:hAnsiTheme="minorHAnsi" w:cstheme="minorHAnsi"/>
          <w:color w:val="auto"/>
          <w:szCs w:val="24"/>
        </w:rPr>
      </w:pPr>
    </w:p>
    <w:p w14:paraId="6A54A012" w14:textId="77777777" w:rsidR="00F562F0" w:rsidRDefault="00F562F0" w:rsidP="00201FE9">
      <w:pPr>
        <w:pStyle w:val="ListParagraph"/>
        <w:ind w:left="284"/>
        <w:jc w:val="both"/>
        <w:rPr>
          <w:rFonts w:asciiTheme="minorHAnsi" w:hAnsiTheme="minorHAnsi" w:cstheme="minorHAnsi"/>
          <w:color w:val="auto"/>
          <w:szCs w:val="24"/>
        </w:rPr>
      </w:pPr>
    </w:p>
    <w:p w14:paraId="1803556B" w14:textId="77777777" w:rsidR="00F562F0" w:rsidRPr="00C86111" w:rsidRDefault="00F562F0" w:rsidP="00201FE9">
      <w:pPr>
        <w:pStyle w:val="ListParagraph"/>
        <w:ind w:left="284"/>
        <w:jc w:val="both"/>
        <w:rPr>
          <w:rFonts w:asciiTheme="minorHAnsi" w:hAnsiTheme="minorHAnsi" w:cstheme="minorHAnsi"/>
          <w:color w:val="auto"/>
          <w:szCs w:val="24"/>
        </w:rPr>
      </w:pPr>
    </w:p>
    <w:p w14:paraId="1F8A7D12" w14:textId="77777777" w:rsidR="00201FE9" w:rsidRPr="00C86111" w:rsidRDefault="00201FE9" w:rsidP="00201FE9">
      <w:pPr>
        <w:pStyle w:val="ListParagraph"/>
        <w:ind w:left="284"/>
        <w:jc w:val="both"/>
        <w:rPr>
          <w:rFonts w:asciiTheme="minorHAnsi" w:hAnsiTheme="minorHAnsi" w:cstheme="minorHAnsi"/>
          <w:color w:val="auto"/>
          <w:szCs w:val="24"/>
        </w:rPr>
      </w:pPr>
    </w:p>
    <w:p w14:paraId="1EECDF80" w14:textId="77777777" w:rsidR="00201FE9" w:rsidRPr="00C86111" w:rsidRDefault="00201FE9" w:rsidP="00201FE9">
      <w:pPr>
        <w:pStyle w:val="ListParagraph"/>
        <w:ind w:left="284"/>
        <w:jc w:val="both"/>
        <w:rPr>
          <w:rFonts w:asciiTheme="minorHAnsi" w:hAnsiTheme="minorHAnsi" w:cstheme="minorHAnsi"/>
          <w:color w:val="002060"/>
          <w:szCs w:val="24"/>
        </w:rPr>
      </w:pPr>
      <w:r w:rsidRPr="00C86111">
        <w:rPr>
          <w:rFonts w:asciiTheme="minorHAnsi" w:hAnsiTheme="minorHAnsi" w:cstheme="minorHAnsi"/>
          <w:color w:val="002060"/>
          <w:szCs w:val="24"/>
        </w:rPr>
        <w:lastRenderedPageBreak/>
        <w:t>Deponija Željezare Nikšić – „Halda“</w:t>
      </w:r>
    </w:p>
    <w:p w14:paraId="004701AD" w14:textId="77777777" w:rsidR="00201FE9" w:rsidRPr="00C86111" w:rsidRDefault="00201FE9" w:rsidP="00201FE9">
      <w:pPr>
        <w:pStyle w:val="ListParagraph"/>
        <w:ind w:left="284"/>
        <w:jc w:val="both"/>
        <w:rPr>
          <w:rFonts w:asciiTheme="minorHAnsi" w:hAnsiTheme="minorHAnsi" w:cstheme="minorHAnsi"/>
          <w:color w:val="002060"/>
          <w:szCs w:val="24"/>
        </w:rPr>
      </w:pPr>
    </w:p>
    <w:p w14:paraId="3F180AF6"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Deponija opasnog industrijskog otpada nastalog u procesu proizvodnje Željezare – Halda formirana je u drugoj polovini prošlog vijeka i zauzima prostor od oko 12 hektara. Procijenjeno je da je na deponiji odloženo otprilike dva miliona tona industrijskog otpada. Glavne vrste otpada su pepeo iz termoelektrana (12000 t/god.), mulj nakon tretmana otpadnih voda, pepeo i mulj kao opasni otpad koji sadrži teške metale (6000 t/god.) i PCB izmiješan sa nekim drugim materijalima, kao što je pijesak iz procesa kalupljenja/livenja. Deponija nije pravilno obezbijeđena i dostupna je prolaznicima. Njen južni dio se spušta u samo korito rijeke Gračanice i zbog velikog nagiba podložan je eroziji.</w:t>
      </w:r>
    </w:p>
    <w:p w14:paraId="1869534B"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Prema dostupnim informacijama, prašina iz elektrofilterskog postrojenja elektrolučne peći, koje je bilo u funkciji poslije 2011. godine nije odlagana na deponiji već je skupljana u tzv. Jumbo vreće i skladištena u krugu fabrike. </w:t>
      </w:r>
    </w:p>
    <w:p w14:paraId="1BAD1088" w14:textId="18E6A700"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 xml:space="preserve">Deponija Halda je prepoznata kao crna ekološka tačka ali zbog neriješenih pravno imovinskih odnosa (deponija se nalazi na privatnom zemljištu) još uvijek nije urađen sanacioni plan za ovu deponiju tj nije ušla u projekat finansiran od strane Svjetske banke „Upravljanje industrijskim otpadom i čišćenje“. </w:t>
      </w:r>
    </w:p>
    <w:p w14:paraId="595FF24B"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b/>
          <w:bCs/>
          <w:color w:val="auto"/>
          <w:szCs w:val="24"/>
        </w:rPr>
        <w:t>Preporuka:</w:t>
      </w:r>
      <w:r w:rsidRPr="00C86111">
        <w:rPr>
          <w:rFonts w:asciiTheme="minorHAnsi" w:hAnsiTheme="minorHAnsi" w:cstheme="minorHAnsi"/>
          <w:color w:val="auto"/>
          <w:szCs w:val="24"/>
        </w:rPr>
        <w:t xml:space="preserve"> sprovesti monitoring POP’s na prostoru same deponije kao i u životnoj sredini oko deponije.</w:t>
      </w:r>
    </w:p>
    <w:p w14:paraId="50DF0CA0" w14:textId="77777777" w:rsidR="00201FE9" w:rsidRDefault="00201FE9" w:rsidP="00201FE9">
      <w:pPr>
        <w:pStyle w:val="ListParagraph"/>
        <w:ind w:left="284"/>
        <w:jc w:val="both"/>
        <w:rPr>
          <w:rFonts w:asciiTheme="minorHAnsi" w:hAnsiTheme="minorHAnsi" w:cstheme="minorHAnsi"/>
          <w:color w:val="auto"/>
          <w:szCs w:val="24"/>
        </w:rPr>
      </w:pPr>
    </w:p>
    <w:p w14:paraId="17F426C0" w14:textId="77777777" w:rsidR="00201FE9" w:rsidRPr="00C86111" w:rsidRDefault="00201FE9" w:rsidP="00201FE9">
      <w:pPr>
        <w:ind w:left="284"/>
        <w:jc w:val="both"/>
        <w:rPr>
          <w:rFonts w:asciiTheme="minorHAnsi" w:hAnsiTheme="minorHAnsi" w:cstheme="minorHAnsi"/>
          <w:color w:val="002060"/>
          <w:szCs w:val="24"/>
        </w:rPr>
      </w:pPr>
      <w:r w:rsidRPr="00C86111">
        <w:rPr>
          <w:rFonts w:asciiTheme="minorHAnsi" w:hAnsiTheme="minorHAnsi" w:cstheme="minorHAnsi"/>
          <w:color w:val="002060"/>
          <w:szCs w:val="24"/>
        </w:rPr>
        <w:t>Deponija cjelokupnog opasnog i neopasnog otpada iz proizvodnog procesa Kombinata aluminijuma Podgorica (KAP)</w:t>
      </w:r>
    </w:p>
    <w:p w14:paraId="28CBF376" w14:textId="77777777" w:rsidR="003F2793" w:rsidRPr="00C86111" w:rsidRDefault="003F2793" w:rsidP="00201FE9">
      <w:pPr>
        <w:ind w:left="284"/>
        <w:jc w:val="both"/>
        <w:rPr>
          <w:rFonts w:asciiTheme="minorHAnsi" w:hAnsiTheme="minorHAnsi" w:cstheme="minorHAnsi"/>
          <w:color w:val="002060"/>
          <w:szCs w:val="24"/>
        </w:rPr>
      </w:pPr>
    </w:p>
    <w:p w14:paraId="0C7F5850"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Za bazen crvenog mulja i deponiju čvrstog otpada koji se nalaze na lokaciji KAP-a, kroz budžet projekta koji se realizuje u saradnji sa Svjetskom bankom ,,Upravljanje industrijskim otpadom i čišćenje“, obezbijeđena su sredstva za izradu tehničke dokumentacije za remedijaciju. Sva tehnička dokumentacija je pripremljena i odobrena.(Izvještaj o sprovođenju Državnog plana upravljanja otpadom u Crnoj Gori, za 2022. godinu).</w:t>
      </w:r>
    </w:p>
    <w:p w14:paraId="0C6BB042"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Prema dostupnim informacijama od operatora postrojenja, šljaka i tzv.”kolač soli” iz postrojenja za preradua Al iz sekundarnih sirovina su kao opasan otpad takođe odlagani na ovoj deponiji.</w:t>
      </w:r>
    </w:p>
    <w:p w14:paraId="1A559A7D" w14:textId="77777777" w:rsidR="00201FE9" w:rsidRPr="00C86111" w:rsidRDefault="00201FE9" w:rsidP="00201FE9">
      <w:pPr>
        <w:pStyle w:val="ListParagraph"/>
        <w:ind w:left="284"/>
        <w:jc w:val="both"/>
        <w:rPr>
          <w:rFonts w:asciiTheme="minorHAnsi" w:hAnsiTheme="minorHAnsi" w:cstheme="minorHAnsi"/>
          <w:color w:val="002060"/>
          <w:szCs w:val="24"/>
        </w:rPr>
      </w:pPr>
    </w:p>
    <w:p w14:paraId="61145DF6" w14:textId="77777777" w:rsidR="00201FE9" w:rsidRPr="00C86111" w:rsidRDefault="00201FE9" w:rsidP="00201FE9">
      <w:pPr>
        <w:pStyle w:val="ListParagraph"/>
        <w:ind w:left="284"/>
        <w:jc w:val="both"/>
        <w:rPr>
          <w:rFonts w:asciiTheme="minorHAnsi" w:hAnsiTheme="minorHAnsi" w:cstheme="minorHAnsi"/>
          <w:color w:val="002060"/>
          <w:szCs w:val="24"/>
        </w:rPr>
      </w:pPr>
      <w:r w:rsidRPr="00C86111">
        <w:rPr>
          <w:rFonts w:asciiTheme="minorHAnsi" w:hAnsiTheme="minorHAnsi" w:cstheme="minorHAnsi"/>
          <w:color w:val="002060"/>
          <w:szCs w:val="24"/>
        </w:rPr>
        <w:t>Deponija TE Pljevlja „Maljevac”</w:t>
      </w:r>
    </w:p>
    <w:p w14:paraId="65659B2E" w14:textId="77777777" w:rsidR="00201FE9" w:rsidRPr="00C86111" w:rsidRDefault="00201FE9" w:rsidP="00201FE9">
      <w:pPr>
        <w:pStyle w:val="ListParagraph"/>
        <w:ind w:left="284"/>
        <w:jc w:val="both"/>
        <w:rPr>
          <w:rFonts w:asciiTheme="minorHAnsi" w:hAnsiTheme="minorHAnsi" w:cstheme="minorHAnsi"/>
          <w:color w:val="auto"/>
          <w:szCs w:val="24"/>
        </w:rPr>
      </w:pPr>
    </w:p>
    <w:p w14:paraId="05FF145F"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color w:val="auto"/>
          <w:szCs w:val="24"/>
        </w:rPr>
        <w:t>Vlada Crne Gore je dobila kredit od strane Svjetske Banke za potrebe projekta „Upravljanje industrijskim otpadom i čišćenje“, kako bi se sprovela remedijacija pet odabranih deponija industrijskog otpada i upravljalo tekućim procesom odlaganja opasnog industrijskog otpada. Deponija Maljevac na kojoj se vrši odlaganje nusprodukata sagorijevanja uglja iz TE „Pljevlja“ je jedna od pet deponija koje se rešavaju kroz ovaj projekat. Na deponiji se posle ekološke rekonstrukcije TE „Pljevlja“ godišnje odlaže oko 730000m</w:t>
      </w:r>
      <w:r w:rsidRPr="00C86111">
        <w:rPr>
          <w:rFonts w:asciiTheme="minorHAnsi" w:hAnsiTheme="minorHAnsi" w:cstheme="minorHAnsi"/>
          <w:color w:val="auto"/>
          <w:szCs w:val="24"/>
          <w:vertAlign w:val="superscript"/>
        </w:rPr>
        <w:t>3</w:t>
      </w:r>
      <w:r w:rsidRPr="00C86111">
        <w:rPr>
          <w:rFonts w:asciiTheme="minorHAnsi" w:hAnsiTheme="minorHAnsi" w:cstheme="minorHAnsi"/>
          <w:color w:val="auto"/>
          <w:szCs w:val="24"/>
        </w:rPr>
        <w:t xml:space="preserve"> šljake, pepela i gipsa koje prema sprovedenom proračunu kroz  inventarizaciji sadrži oko 0.2. g TEQ.</w:t>
      </w:r>
    </w:p>
    <w:p w14:paraId="6851EDA1" w14:textId="77777777" w:rsidR="00201FE9" w:rsidRPr="00C86111" w:rsidRDefault="00201FE9" w:rsidP="00201FE9">
      <w:pPr>
        <w:pStyle w:val="ListParagraph"/>
        <w:ind w:left="284"/>
        <w:jc w:val="both"/>
        <w:rPr>
          <w:rFonts w:asciiTheme="minorHAnsi" w:hAnsiTheme="minorHAnsi" w:cstheme="minorHAnsi"/>
          <w:color w:val="auto"/>
          <w:szCs w:val="24"/>
        </w:rPr>
      </w:pPr>
      <w:r w:rsidRPr="00C86111">
        <w:rPr>
          <w:rFonts w:asciiTheme="minorHAnsi" w:hAnsiTheme="minorHAnsi" w:cstheme="minorHAnsi"/>
          <w:b/>
          <w:bCs/>
          <w:color w:val="auto"/>
          <w:szCs w:val="24"/>
        </w:rPr>
        <w:t>Preporuka:</w:t>
      </w:r>
      <w:r w:rsidRPr="00C86111">
        <w:rPr>
          <w:rFonts w:asciiTheme="minorHAnsi" w:hAnsiTheme="minorHAnsi" w:cstheme="minorHAnsi"/>
          <w:color w:val="auto"/>
          <w:szCs w:val="24"/>
        </w:rPr>
        <w:t xml:space="preserve"> sprovesti monitoring POP’s na prostoru same deponije kao i u životnoj sredini oko deponije.</w:t>
      </w:r>
    </w:p>
    <w:p w14:paraId="2A1629CF" w14:textId="77777777" w:rsidR="00201FE9" w:rsidRPr="00C86111" w:rsidRDefault="00201FE9" w:rsidP="00201FE9">
      <w:pPr>
        <w:pStyle w:val="ListParagraph"/>
        <w:ind w:left="284"/>
        <w:jc w:val="both"/>
        <w:rPr>
          <w:rFonts w:asciiTheme="minorHAnsi" w:hAnsiTheme="minorHAnsi" w:cstheme="minorHAnsi"/>
          <w:color w:val="auto"/>
          <w:szCs w:val="24"/>
        </w:rPr>
      </w:pPr>
    </w:p>
    <w:p w14:paraId="779ED506" w14:textId="19E0EB2F" w:rsidR="00201FE9" w:rsidRPr="00C86111" w:rsidRDefault="00201FE9" w:rsidP="003F2793">
      <w:pPr>
        <w:ind w:left="270"/>
        <w:rPr>
          <w:b/>
          <w:bCs/>
          <w:color w:val="002060"/>
        </w:rPr>
      </w:pPr>
      <w:r w:rsidRPr="00C86111">
        <w:rPr>
          <w:b/>
          <w:bCs/>
          <w:color w:val="002060"/>
        </w:rPr>
        <w:lastRenderedPageBreak/>
        <w:t xml:space="preserve">Ukupne procijenjene </w:t>
      </w:r>
      <w:r w:rsidR="000D1995" w:rsidRPr="00C86111">
        <w:rPr>
          <w:b/>
          <w:bCs/>
          <w:color w:val="002060"/>
        </w:rPr>
        <w:t>emisije</w:t>
      </w:r>
      <w:r w:rsidRPr="00C86111">
        <w:rPr>
          <w:b/>
          <w:bCs/>
          <w:color w:val="002060"/>
        </w:rPr>
        <w:t xml:space="preserve"> nenamjerno proizvedenih POP’s (PCB i HCB) za period 2006 – 2022. godina</w:t>
      </w:r>
    </w:p>
    <w:p w14:paraId="235F3913" w14:textId="77777777" w:rsidR="00201FE9" w:rsidRPr="00C86111" w:rsidRDefault="00201FE9" w:rsidP="003F2793">
      <w:pPr>
        <w:ind w:left="270"/>
        <w:jc w:val="both"/>
        <w:rPr>
          <w:rFonts w:asciiTheme="minorHAnsi" w:hAnsiTheme="minorHAnsi" w:cstheme="minorHAnsi"/>
          <w:color w:val="auto"/>
          <w:szCs w:val="24"/>
        </w:rPr>
      </w:pPr>
    </w:p>
    <w:p w14:paraId="171D44FA" w14:textId="77777777" w:rsidR="00201FE9" w:rsidRPr="00C86111" w:rsidRDefault="00201FE9" w:rsidP="003F2793">
      <w:pPr>
        <w:ind w:left="270"/>
        <w:jc w:val="both"/>
        <w:rPr>
          <w:rFonts w:asciiTheme="minorHAnsi" w:hAnsiTheme="minorHAnsi" w:cstheme="minorHAnsi"/>
          <w:color w:val="auto"/>
          <w:szCs w:val="24"/>
        </w:rPr>
      </w:pPr>
      <w:r w:rsidRPr="00C86111">
        <w:rPr>
          <w:rFonts w:asciiTheme="minorHAnsi" w:hAnsiTheme="minorHAnsi" w:cstheme="minorHAnsi"/>
          <w:color w:val="auto"/>
          <w:szCs w:val="24"/>
        </w:rPr>
        <w:t>Emisije heksahlorbenzena (HCB) i polihlorovanih bifenila (PCB) su procijenjene korišćenjem emisionih faktora iz UNEP-ovog vodiča. Glavni izvori, po kategorijama, nenamjerno proizvedenih PCB i HCB u Crnoj Gori su:</w:t>
      </w:r>
    </w:p>
    <w:p w14:paraId="58EBF1B4" w14:textId="77777777" w:rsidR="00201FE9" w:rsidRPr="00C86111" w:rsidRDefault="00201FE9" w:rsidP="003F2793">
      <w:pPr>
        <w:pStyle w:val="ListParagraph"/>
        <w:numPr>
          <w:ilvl w:val="0"/>
          <w:numId w:val="31"/>
        </w:numPr>
        <w:spacing w:after="120"/>
        <w:ind w:left="270" w:firstLine="0"/>
        <w:jc w:val="both"/>
        <w:rPr>
          <w:rFonts w:asciiTheme="minorHAnsi" w:hAnsiTheme="minorHAnsi" w:cstheme="minorHAnsi"/>
          <w:color w:val="auto"/>
          <w:szCs w:val="24"/>
        </w:rPr>
      </w:pPr>
      <w:r w:rsidRPr="00C86111">
        <w:rPr>
          <w:rFonts w:asciiTheme="minorHAnsi" w:hAnsiTheme="minorHAnsi" w:cstheme="minorHAnsi"/>
          <w:color w:val="auto"/>
          <w:szCs w:val="24"/>
        </w:rPr>
        <w:t>Kategorija 2. Teška i obojena metalurgija (proizvodnja čelika i aluminijuma);</w:t>
      </w:r>
    </w:p>
    <w:p w14:paraId="6EA459C9" w14:textId="77777777" w:rsidR="00201FE9" w:rsidRPr="00C86111" w:rsidRDefault="00201FE9" w:rsidP="003F2793">
      <w:pPr>
        <w:pStyle w:val="ListParagraph"/>
        <w:numPr>
          <w:ilvl w:val="0"/>
          <w:numId w:val="31"/>
        </w:numPr>
        <w:spacing w:after="120"/>
        <w:ind w:left="270" w:firstLine="0"/>
        <w:jc w:val="both"/>
        <w:rPr>
          <w:rFonts w:asciiTheme="minorHAnsi" w:hAnsiTheme="minorHAnsi" w:cstheme="minorHAnsi"/>
          <w:color w:val="auto"/>
          <w:szCs w:val="24"/>
        </w:rPr>
      </w:pPr>
      <w:r w:rsidRPr="00C86111">
        <w:rPr>
          <w:rFonts w:asciiTheme="minorHAnsi" w:hAnsiTheme="minorHAnsi" w:cstheme="minorHAnsi"/>
          <w:color w:val="auto"/>
          <w:szCs w:val="24"/>
        </w:rPr>
        <w:t xml:space="preserve">Kategorija 3. Proizvodnja električne i toplotne energije (sagorijevanje biomase); </w:t>
      </w:r>
    </w:p>
    <w:p w14:paraId="3215543B" w14:textId="77777777" w:rsidR="00201FE9" w:rsidRPr="00C86111" w:rsidRDefault="00201FE9" w:rsidP="003F2793">
      <w:pPr>
        <w:pStyle w:val="ListParagraph"/>
        <w:numPr>
          <w:ilvl w:val="0"/>
          <w:numId w:val="31"/>
        </w:numPr>
        <w:spacing w:after="120"/>
        <w:ind w:left="270" w:firstLine="0"/>
        <w:jc w:val="both"/>
        <w:rPr>
          <w:rFonts w:asciiTheme="minorHAnsi" w:hAnsiTheme="minorHAnsi" w:cstheme="minorHAnsi"/>
          <w:color w:val="auto"/>
          <w:szCs w:val="24"/>
        </w:rPr>
      </w:pPr>
      <w:r w:rsidRPr="00C86111">
        <w:rPr>
          <w:rFonts w:asciiTheme="minorHAnsi" w:hAnsiTheme="minorHAnsi" w:cstheme="minorHAnsi"/>
          <w:color w:val="auto"/>
          <w:szCs w:val="24"/>
        </w:rPr>
        <w:t>Kategorija 7. Procesi sa otvorenim sagorijevanjem (požari na otvorenim deponijama);</w:t>
      </w:r>
    </w:p>
    <w:p w14:paraId="0A164249" w14:textId="4CB84835" w:rsidR="00201FE9" w:rsidRPr="00C86111" w:rsidRDefault="00201FE9" w:rsidP="003F2793">
      <w:pPr>
        <w:ind w:left="270"/>
        <w:jc w:val="both"/>
        <w:rPr>
          <w:rFonts w:asciiTheme="minorHAnsi" w:hAnsiTheme="minorHAnsi" w:cstheme="minorHAnsi"/>
          <w:color w:val="auto"/>
          <w:szCs w:val="24"/>
        </w:rPr>
      </w:pPr>
      <w:r w:rsidRPr="00C86111">
        <w:rPr>
          <w:rFonts w:asciiTheme="minorHAnsi" w:hAnsiTheme="minorHAnsi" w:cstheme="minorHAnsi"/>
          <w:color w:val="auto"/>
          <w:szCs w:val="24"/>
        </w:rPr>
        <w:t>Najznačajniji izvor emisije nenamjerno ispuštenog HCB u vazduh je proizvodnja čelika sa udjelom u ukupnim emisijama od 86.8 % za 2006, odnosno 11.8% u 2021. godini, Sagorijevanje biomase doprinosi ukupnim HCB emisijama od 13.0 % za 2006 do 100% u 2022 godini, Proizvodnja aluminijuma iz sekundarnih sirovina doprinosi manje od 1% za cijeli vremenski period</w:t>
      </w:r>
      <w:r w:rsidR="003F2793" w:rsidRPr="00C86111">
        <w:rPr>
          <w:rFonts w:asciiTheme="minorHAnsi" w:hAnsiTheme="minorHAnsi" w:cstheme="minorHAnsi"/>
          <w:color w:val="auto"/>
          <w:szCs w:val="24"/>
        </w:rPr>
        <w:t>.</w:t>
      </w:r>
      <w:r w:rsidRPr="00C86111">
        <w:rPr>
          <w:rFonts w:asciiTheme="minorHAnsi" w:hAnsiTheme="minorHAnsi" w:cstheme="minorHAnsi"/>
          <w:color w:val="auto"/>
          <w:szCs w:val="24"/>
        </w:rPr>
        <w:t>Glavni izvor nenamjerno ispuštenih PCB su nekontrolisani procesi sagorijevanja na otvorenim deponijama.</w:t>
      </w:r>
      <w:r w:rsidR="003F2793" w:rsidRPr="00C86111">
        <w:rPr>
          <w:rFonts w:asciiTheme="minorHAnsi" w:hAnsiTheme="minorHAnsi" w:cstheme="minorHAnsi"/>
          <w:color w:val="auto"/>
          <w:szCs w:val="24"/>
        </w:rPr>
        <w:t xml:space="preserve"> </w:t>
      </w:r>
      <w:r w:rsidRPr="00C86111">
        <w:rPr>
          <w:rFonts w:asciiTheme="minorHAnsi" w:hAnsiTheme="minorHAnsi" w:cstheme="minorHAnsi"/>
          <w:color w:val="auto"/>
          <w:szCs w:val="24"/>
        </w:rPr>
        <w:t xml:space="preserve">U tabeli </w:t>
      </w:r>
      <w:r w:rsidR="003F2793" w:rsidRPr="00C86111">
        <w:rPr>
          <w:rFonts w:asciiTheme="minorHAnsi" w:hAnsiTheme="minorHAnsi" w:cstheme="minorHAnsi"/>
          <w:color w:val="auto"/>
          <w:szCs w:val="24"/>
        </w:rPr>
        <w:t>3</w:t>
      </w:r>
      <w:r w:rsidRPr="00C86111">
        <w:rPr>
          <w:rFonts w:asciiTheme="minorHAnsi" w:hAnsiTheme="minorHAnsi" w:cstheme="minorHAnsi"/>
          <w:color w:val="auto"/>
          <w:szCs w:val="24"/>
        </w:rPr>
        <w:t>9. prikazane su ukupne godišnje HCB i PCB emisije (g/god) za period 2006 – 2022. godina.</w:t>
      </w:r>
    </w:p>
    <w:p w14:paraId="0A8466CA" w14:textId="77777777" w:rsidR="003F2793" w:rsidRPr="00C86111" w:rsidRDefault="003F2793" w:rsidP="003F2793">
      <w:pPr>
        <w:ind w:left="270"/>
        <w:jc w:val="both"/>
        <w:rPr>
          <w:rFonts w:asciiTheme="minorHAnsi" w:hAnsiTheme="minorHAnsi" w:cstheme="minorHAnsi"/>
          <w:color w:val="auto"/>
          <w:szCs w:val="24"/>
        </w:rPr>
      </w:pPr>
    </w:p>
    <w:p w14:paraId="3913F571" w14:textId="6EE1A650" w:rsidR="00201FE9" w:rsidRPr="00C86111" w:rsidRDefault="00201FE9" w:rsidP="00527FCF">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3F2793" w:rsidRPr="00C86111">
        <w:rPr>
          <w:rFonts w:asciiTheme="minorHAnsi" w:hAnsiTheme="minorHAnsi" w:cstheme="minorHAnsi"/>
          <w:b/>
          <w:bCs/>
          <w:i w:val="0"/>
          <w:iCs/>
          <w:sz w:val="24"/>
          <w:lang w:val="sr-Latn-RS"/>
        </w:rPr>
        <w:t>3</w:t>
      </w:r>
      <w:r w:rsidRPr="00C86111">
        <w:rPr>
          <w:rFonts w:asciiTheme="minorHAnsi" w:hAnsiTheme="minorHAnsi" w:cstheme="minorHAnsi"/>
          <w:b/>
          <w:bCs/>
          <w:i w:val="0"/>
          <w:iCs/>
          <w:sz w:val="24"/>
          <w:lang w:val="sr-Latn-RS"/>
        </w:rPr>
        <w:t>9.</w:t>
      </w:r>
      <w:r w:rsidRPr="00C86111">
        <w:rPr>
          <w:rFonts w:asciiTheme="minorHAnsi" w:hAnsiTheme="minorHAnsi" w:cstheme="minorHAnsi"/>
          <w:i w:val="0"/>
          <w:iCs/>
          <w:sz w:val="24"/>
          <w:lang w:val="sr-Latn-RS"/>
        </w:rPr>
        <w:t xml:space="preserve"> Ukupne godišnje HCB i PCB emisije, 2006 – 2022, godina (g/god)</w:t>
      </w:r>
    </w:p>
    <w:tbl>
      <w:tblPr>
        <w:tblStyle w:val="GridTable5Dark-Accent6"/>
        <w:tblW w:w="8785" w:type="dxa"/>
        <w:tblLook w:val="04A0" w:firstRow="1" w:lastRow="0" w:firstColumn="1" w:lastColumn="0" w:noHBand="0" w:noVBand="1"/>
      </w:tblPr>
      <w:tblGrid>
        <w:gridCol w:w="1324"/>
        <w:gridCol w:w="829"/>
        <w:gridCol w:w="829"/>
        <w:gridCol w:w="829"/>
        <w:gridCol w:w="829"/>
        <w:gridCol w:w="829"/>
        <w:gridCol w:w="829"/>
        <w:gridCol w:w="829"/>
        <w:gridCol w:w="829"/>
        <w:gridCol w:w="829"/>
      </w:tblGrid>
      <w:tr w:rsidR="00201FE9" w:rsidRPr="00C86111" w14:paraId="074D9B8A"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4" w:type="dxa"/>
          </w:tcPr>
          <w:p w14:paraId="4DBBB3B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29" w:type="dxa"/>
          </w:tcPr>
          <w:p w14:paraId="34EA27C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2006</w:t>
            </w:r>
          </w:p>
        </w:tc>
        <w:tc>
          <w:tcPr>
            <w:tcW w:w="829" w:type="dxa"/>
          </w:tcPr>
          <w:p w14:paraId="1604F542"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2007</w:t>
            </w:r>
          </w:p>
        </w:tc>
        <w:tc>
          <w:tcPr>
            <w:tcW w:w="829" w:type="dxa"/>
          </w:tcPr>
          <w:p w14:paraId="5741910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c>
          <w:tcPr>
            <w:tcW w:w="829" w:type="dxa"/>
          </w:tcPr>
          <w:p w14:paraId="0965D89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2009</w:t>
            </w:r>
          </w:p>
        </w:tc>
        <w:tc>
          <w:tcPr>
            <w:tcW w:w="829" w:type="dxa"/>
          </w:tcPr>
          <w:p w14:paraId="2333F0C7"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c>
          <w:tcPr>
            <w:tcW w:w="829" w:type="dxa"/>
          </w:tcPr>
          <w:p w14:paraId="1AA8D1CB"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2011</w:t>
            </w:r>
          </w:p>
        </w:tc>
        <w:tc>
          <w:tcPr>
            <w:tcW w:w="829" w:type="dxa"/>
          </w:tcPr>
          <w:p w14:paraId="598527D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2012</w:t>
            </w:r>
          </w:p>
        </w:tc>
        <w:tc>
          <w:tcPr>
            <w:tcW w:w="829" w:type="dxa"/>
          </w:tcPr>
          <w:p w14:paraId="645768A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c>
          <w:tcPr>
            <w:tcW w:w="829" w:type="dxa"/>
          </w:tcPr>
          <w:p w14:paraId="0856DC49"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01FE9" w:rsidRPr="00C86111" w14:paraId="1390AB79"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4" w:type="dxa"/>
          </w:tcPr>
          <w:p w14:paraId="4754A76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HCB (g)</w:t>
            </w:r>
          </w:p>
        </w:tc>
        <w:tc>
          <w:tcPr>
            <w:tcW w:w="829" w:type="dxa"/>
          </w:tcPr>
          <w:p w14:paraId="15A6924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464.73</w:t>
            </w:r>
          </w:p>
        </w:tc>
        <w:tc>
          <w:tcPr>
            <w:tcW w:w="829" w:type="dxa"/>
          </w:tcPr>
          <w:p w14:paraId="324582C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497.05</w:t>
            </w:r>
          </w:p>
        </w:tc>
        <w:tc>
          <w:tcPr>
            <w:tcW w:w="829" w:type="dxa"/>
          </w:tcPr>
          <w:p w14:paraId="2FB805B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565.99</w:t>
            </w:r>
          </w:p>
        </w:tc>
        <w:tc>
          <w:tcPr>
            <w:tcW w:w="829" w:type="dxa"/>
          </w:tcPr>
          <w:p w14:paraId="41BFC7A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323.26</w:t>
            </w:r>
          </w:p>
        </w:tc>
        <w:tc>
          <w:tcPr>
            <w:tcW w:w="829" w:type="dxa"/>
          </w:tcPr>
          <w:p w14:paraId="755BDFE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188.15</w:t>
            </w:r>
          </w:p>
        </w:tc>
        <w:tc>
          <w:tcPr>
            <w:tcW w:w="829" w:type="dxa"/>
          </w:tcPr>
          <w:p w14:paraId="60AAB47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222.20</w:t>
            </w:r>
          </w:p>
        </w:tc>
        <w:tc>
          <w:tcPr>
            <w:tcW w:w="829" w:type="dxa"/>
          </w:tcPr>
          <w:p w14:paraId="0FDAB8D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140.39</w:t>
            </w:r>
          </w:p>
        </w:tc>
        <w:tc>
          <w:tcPr>
            <w:tcW w:w="829" w:type="dxa"/>
          </w:tcPr>
          <w:p w14:paraId="54F0CD2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117.41</w:t>
            </w:r>
          </w:p>
        </w:tc>
        <w:tc>
          <w:tcPr>
            <w:tcW w:w="829" w:type="dxa"/>
          </w:tcPr>
          <w:p w14:paraId="34FAC62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132.36</w:t>
            </w:r>
          </w:p>
        </w:tc>
      </w:tr>
      <w:tr w:rsidR="00201FE9" w:rsidRPr="00C86111" w14:paraId="5B781616"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324" w:type="dxa"/>
          </w:tcPr>
          <w:p w14:paraId="300F0A9D"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PCB (g)</w:t>
            </w:r>
          </w:p>
        </w:tc>
        <w:tc>
          <w:tcPr>
            <w:tcW w:w="829" w:type="dxa"/>
          </w:tcPr>
          <w:p w14:paraId="4C16F1B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3.42</w:t>
            </w:r>
          </w:p>
        </w:tc>
        <w:tc>
          <w:tcPr>
            <w:tcW w:w="829" w:type="dxa"/>
          </w:tcPr>
          <w:p w14:paraId="2743DAA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3.41</w:t>
            </w:r>
          </w:p>
        </w:tc>
        <w:tc>
          <w:tcPr>
            <w:tcW w:w="829" w:type="dxa"/>
          </w:tcPr>
          <w:p w14:paraId="712875C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2.55</w:t>
            </w:r>
          </w:p>
        </w:tc>
        <w:tc>
          <w:tcPr>
            <w:tcW w:w="829" w:type="dxa"/>
          </w:tcPr>
          <w:p w14:paraId="383B8B8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2.72</w:t>
            </w:r>
          </w:p>
        </w:tc>
        <w:tc>
          <w:tcPr>
            <w:tcW w:w="829" w:type="dxa"/>
          </w:tcPr>
          <w:p w14:paraId="5F65202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2.68</w:t>
            </w:r>
          </w:p>
        </w:tc>
        <w:tc>
          <w:tcPr>
            <w:tcW w:w="829" w:type="dxa"/>
          </w:tcPr>
          <w:p w14:paraId="458F24A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2.61</w:t>
            </w:r>
          </w:p>
        </w:tc>
        <w:tc>
          <w:tcPr>
            <w:tcW w:w="829" w:type="dxa"/>
          </w:tcPr>
          <w:p w14:paraId="1F7ED6A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1.48</w:t>
            </w:r>
          </w:p>
        </w:tc>
        <w:tc>
          <w:tcPr>
            <w:tcW w:w="829" w:type="dxa"/>
          </w:tcPr>
          <w:p w14:paraId="5FFD2A9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0.88</w:t>
            </w:r>
          </w:p>
        </w:tc>
        <w:tc>
          <w:tcPr>
            <w:tcW w:w="829" w:type="dxa"/>
          </w:tcPr>
          <w:p w14:paraId="0E57DAF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1.18</w:t>
            </w:r>
          </w:p>
        </w:tc>
      </w:tr>
      <w:tr w:rsidR="00201FE9" w:rsidRPr="00C86111" w14:paraId="2ED42C0E"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4" w:type="dxa"/>
          </w:tcPr>
          <w:p w14:paraId="28F43A7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29" w:type="dxa"/>
          </w:tcPr>
          <w:p w14:paraId="3C738CF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2015</w:t>
            </w:r>
          </w:p>
        </w:tc>
        <w:tc>
          <w:tcPr>
            <w:tcW w:w="829" w:type="dxa"/>
          </w:tcPr>
          <w:p w14:paraId="37F4DB1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2016</w:t>
            </w:r>
          </w:p>
        </w:tc>
        <w:tc>
          <w:tcPr>
            <w:tcW w:w="829" w:type="dxa"/>
          </w:tcPr>
          <w:p w14:paraId="4785F3F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2017</w:t>
            </w:r>
          </w:p>
        </w:tc>
        <w:tc>
          <w:tcPr>
            <w:tcW w:w="829" w:type="dxa"/>
          </w:tcPr>
          <w:p w14:paraId="78EE540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2018</w:t>
            </w:r>
          </w:p>
        </w:tc>
        <w:tc>
          <w:tcPr>
            <w:tcW w:w="829" w:type="dxa"/>
          </w:tcPr>
          <w:p w14:paraId="6A1A7AF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2019</w:t>
            </w:r>
          </w:p>
        </w:tc>
        <w:tc>
          <w:tcPr>
            <w:tcW w:w="829" w:type="dxa"/>
          </w:tcPr>
          <w:p w14:paraId="14EB46B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2020</w:t>
            </w:r>
          </w:p>
        </w:tc>
        <w:tc>
          <w:tcPr>
            <w:tcW w:w="829" w:type="dxa"/>
          </w:tcPr>
          <w:p w14:paraId="2103D7A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2021</w:t>
            </w:r>
          </w:p>
        </w:tc>
        <w:tc>
          <w:tcPr>
            <w:tcW w:w="829" w:type="dxa"/>
          </w:tcPr>
          <w:p w14:paraId="2B751C5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2022</w:t>
            </w:r>
          </w:p>
        </w:tc>
        <w:tc>
          <w:tcPr>
            <w:tcW w:w="829" w:type="dxa"/>
          </w:tcPr>
          <w:p w14:paraId="46CC8341"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2023</w:t>
            </w:r>
          </w:p>
        </w:tc>
      </w:tr>
      <w:tr w:rsidR="00201FE9" w:rsidRPr="00C86111" w14:paraId="29A6BBF7"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324" w:type="dxa"/>
          </w:tcPr>
          <w:p w14:paraId="1CAAEDF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HCB (g)</w:t>
            </w:r>
          </w:p>
        </w:tc>
        <w:tc>
          <w:tcPr>
            <w:tcW w:w="829" w:type="dxa"/>
          </w:tcPr>
          <w:p w14:paraId="64776D7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156.23</w:t>
            </w:r>
          </w:p>
        </w:tc>
        <w:tc>
          <w:tcPr>
            <w:tcW w:w="829" w:type="dxa"/>
          </w:tcPr>
          <w:p w14:paraId="54AEBD6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127.67</w:t>
            </w:r>
          </w:p>
        </w:tc>
        <w:tc>
          <w:tcPr>
            <w:tcW w:w="829" w:type="dxa"/>
          </w:tcPr>
          <w:p w14:paraId="4EA3FB98"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130.39</w:t>
            </w:r>
          </w:p>
        </w:tc>
        <w:tc>
          <w:tcPr>
            <w:tcW w:w="829" w:type="dxa"/>
          </w:tcPr>
          <w:p w14:paraId="03F7C965"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121.54</w:t>
            </w:r>
          </w:p>
        </w:tc>
        <w:tc>
          <w:tcPr>
            <w:tcW w:w="829" w:type="dxa"/>
          </w:tcPr>
          <w:p w14:paraId="53F5CCA1"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113.13</w:t>
            </w:r>
          </w:p>
        </w:tc>
        <w:tc>
          <w:tcPr>
            <w:tcW w:w="829" w:type="dxa"/>
          </w:tcPr>
          <w:p w14:paraId="17B82B6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102.30</w:t>
            </w:r>
          </w:p>
        </w:tc>
        <w:tc>
          <w:tcPr>
            <w:tcW w:w="829" w:type="dxa"/>
          </w:tcPr>
          <w:p w14:paraId="0F6521DA"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64.24</w:t>
            </w:r>
          </w:p>
        </w:tc>
        <w:tc>
          <w:tcPr>
            <w:tcW w:w="829" w:type="dxa"/>
          </w:tcPr>
          <w:p w14:paraId="35D0541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51.54</w:t>
            </w:r>
          </w:p>
        </w:tc>
        <w:tc>
          <w:tcPr>
            <w:tcW w:w="829" w:type="dxa"/>
          </w:tcPr>
          <w:p w14:paraId="1437543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r w:rsidR="00201FE9" w:rsidRPr="00C86111" w14:paraId="4C6D1F68"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24" w:type="dxa"/>
          </w:tcPr>
          <w:p w14:paraId="7C85C17A"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PCB (g)</w:t>
            </w:r>
          </w:p>
        </w:tc>
        <w:tc>
          <w:tcPr>
            <w:tcW w:w="829" w:type="dxa"/>
          </w:tcPr>
          <w:p w14:paraId="325C61DA"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1.28</w:t>
            </w:r>
          </w:p>
        </w:tc>
        <w:tc>
          <w:tcPr>
            <w:tcW w:w="829" w:type="dxa"/>
          </w:tcPr>
          <w:p w14:paraId="1D22BDD7"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1.29</w:t>
            </w:r>
          </w:p>
        </w:tc>
        <w:tc>
          <w:tcPr>
            <w:tcW w:w="829" w:type="dxa"/>
          </w:tcPr>
          <w:p w14:paraId="58D9AC2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1.24</w:t>
            </w:r>
          </w:p>
        </w:tc>
        <w:tc>
          <w:tcPr>
            <w:tcW w:w="829" w:type="dxa"/>
          </w:tcPr>
          <w:p w14:paraId="31AF611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1.21</w:t>
            </w:r>
          </w:p>
        </w:tc>
        <w:tc>
          <w:tcPr>
            <w:tcW w:w="829" w:type="dxa"/>
          </w:tcPr>
          <w:p w14:paraId="302B826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w:t>
            </w:r>
          </w:p>
        </w:tc>
        <w:tc>
          <w:tcPr>
            <w:tcW w:w="829" w:type="dxa"/>
          </w:tcPr>
          <w:p w14:paraId="10373A6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w:t>
            </w:r>
          </w:p>
        </w:tc>
        <w:tc>
          <w:tcPr>
            <w:tcW w:w="829" w:type="dxa"/>
          </w:tcPr>
          <w:p w14:paraId="31C7909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w:t>
            </w:r>
          </w:p>
        </w:tc>
        <w:tc>
          <w:tcPr>
            <w:tcW w:w="829" w:type="dxa"/>
          </w:tcPr>
          <w:p w14:paraId="5002427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w:t>
            </w:r>
          </w:p>
        </w:tc>
        <w:tc>
          <w:tcPr>
            <w:tcW w:w="829" w:type="dxa"/>
          </w:tcPr>
          <w:p w14:paraId="01BD0B7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w:t>
            </w:r>
          </w:p>
        </w:tc>
      </w:tr>
    </w:tbl>
    <w:p w14:paraId="6B4419A5" w14:textId="77777777" w:rsidR="00527FCF" w:rsidRPr="00C86111" w:rsidRDefault="00527FCF" w:rsidP="00201FE9">
      <w:pPr>
        <w:rPr>
          <w:b/>
          <w:bCs/>
          <w:color w:val="002060"/>
        </w:rPr>
      </w:pPr>
      <w:bookmarkStart w:id="74" w:name="_Hlk207721844"/>
    </w:p>
    <w:p w14:paraId="5103A82E" w14:textId="5C56ECD7" w:rsidR="00201FE9" w:rsidRPr="00C86111" w:rsidRDefault="00201FE9" w:rsidP="00EA6904">
      <w:pPr>
        <w:pStyle w:val="Heading3"/>
      </w:pPr>
      <w:bookmarkStart w:id="75" w:name="_Toc220541880"/>
      <w:r w:rsidRPr="00C86111">
        <w:t xml:space="preserve">Inventar nenamjerno </w:t>
      </w:r>
      <w:r w:rsidR="000D1995" w:rsidRPr="00C86111">
        <w:t>emitovanih</w:t>
      </w:r>
      <w:r w:rsidRPr="00C86111">
        <w:t xml:space="preserve"> POP’s (HCBD, PecB, PCN) za period 2015 -2022. Godina</w:t>
      </w:r>
      <w:bookmarkEnd w:id="75"/>
    </w:p>
    <w:p w14:paraId="1457D743" w14:textId="77777777" w:rsidR="00201FE9" w:rsidRPr="00C86111" w:rsidRDefault="00201FE9" w:rsidP="00201FE9">
      <w:pPr>
        <w:rPr>
          <w:b/>
          <w:bCs/>
          <w:color w:val="002060"/>
        </w:rPr>
      </w:pPr>
    </w:p>
    <w:bookmarkEnd w:id="74"/>
    <w:p w14:paraId="08E9E40F"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U skladu sa zahtjevima Stokholmske konvencije izvršena je inventarizacija tri nova industrijska POPs koji se nenamjerno proizvode/ispuštaju u životnu sredinu:</w:t>
      </w:r>
    </w:p>
    <w:p w14:paraId="0FDEC834" w14:textId="77777777" w:rsidR="00201FE9" w:rsidRPr="00C86111" w:rsidRDefault="00201FE9" w:rsidP="007E2AA5">
      <w:pPr>
        <w:pStyle w:val="ListParagraph"/>
        <w:numPr>
          <w:ilvl w:val="0"/>
          <w:numId w:val="32"/>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heksahlorbutadien (HCBD);</w:t>
      </w:r>
    </w:p>
    <w:p w14:paraId="70B32191" w14:textId="77777777" w:rsidR="00201FE9" w:rsidRPr="00C86111" w:rsidRDefault="00201FE9" w:rsidP="007E2AA5">
      <w:pPr>
        <w:pStyle w:val="ListParagraph"/>
        <w:numPr>
          <w:ilvl w:val="0"/>
          <w:numId w:val="32"/>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pentahlorobenzen (PecB);</w:t>
      </w:r>
    </w:p>
    <w:p w14:paraId="231BBE19" w14:textId="77777777" w:rsidR="00201FE9" w:rsidRPr="00C86111" w:rsidRDefault="00201FE9" w:rsidP="007E2AA5">
      <w:pPr>
        <w:pStyle w:val="ListParagraph"/>
        <w:numPr>
          <w:ilvl w:val="0"/>
          <w:numId w:val="32"/>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polihlorovani naftaleni (PCN).</w:t>
      </w:r>
    </w:p>
    <w:p w14:paraId="7A5899D3"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Za procjenu emisija u vazduh korišćena su sledeća dokumenta koja se nalaze na zvaničnom sajtu Stokholmske konvencije. </w:t>
      </w:r>
      <w:hyperlink r:id="rId22" w:history="1">
        <w:r w:rsidRPr="00C86111">
          <w:rPr>
            <w:rStyle w:val="Hyperlink"/>
            <w:rFonts w:asciiTheme="minorHAnsi" w:hAnsiTheme="minorHAnsi" w:cstheme="minorHAnsi"/>
            <w:color w:val="auto"/>
            <w:szCs w:val="24"/>
          </w:rPr>
          <w:t>https://pops.int/</w:t>
        </w:r>
      </w:hyperlink>
      <w:r w:rsidRPr="00C86111">
        <w:rPr>
          <w:rFonts w:asciiTheme="minorHAnsi" w:hAnsiTheme="minorHAnsi" w:cstheme="minorHAnsi"/>
          <w:color w:val="auto"/>
          <w:szCs w:val="24"/>
        </w:rPr>
        <w:t>.</w:t>
      </w:r>
    </w:p>
    <w:p w14:paraId="34121E34" w14:textId="77777777" w:rsidR="00201FE9" w:rsidRPr="00C86111" w:rsidRDefault="00201FE9" w:rsidP="007E2AA5">
      <w:pPr>
        <w:pStyle w:val="ListParagraph"/>
        <w:numPr>
          <w:ilvl w:val="0"/>
          <w:numId w:val="32"/>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UNEP-POPS-COP.8-INF “Draft guidance on preparing inventories of hexachlorobutadiene“.</w:t>
      </w:r>
    </w:p>
    <w:p w14:paraId="361D6FC2" w14:textId="77777777" w:rsidR="00201FE9" w:rsidRPr="00C86111" w:rsidRDefault="00201FE9" w:rsidP="007E2AA5">
      <w:pPr>
        <w:pStyle w:val="ListParagraph"/>
        <w:numPr>
          <w:ilvl w:val="0"/>
          <w:numId w:val="32"/>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Pentachlorobenzene World Chlorine Council sources.</w:t>
      </w:r>
    </w:p>
    <w:p w14:paraId="2255282A" w14:textId="77777777" w:rsidR="00201FE9" w:rsidRPr="00C86111" w:rsidRDefault="00201FE9" w:rsidP="007E2AA5">
      <w:pPr>
        <w:pStyle w:val="ListParagraph"/>
        <w:numPr>
          <w:ilvl w:val="0"/>
          <w:numId w:val="32"/>
        </w:numPr>
        <w:spacing w:after="120"/>
        <w:jc w:val="both"/>
        <w:rPr>
          <w:rFonts w:asciiTheme="minorHAnsi" w:hAnsiTheme="minorHAnsi" w:cstheme="minorHAnsi"/>
          <w:color w:val="auto"/>
          <w:szCs w:val="24"/>
        </w:rPr>
      </w:pPr>
      <w:r w:rsidRPr="00C86111">
        <w:rPr>
          <w:rFonts w:asciiTheme="minorHAnsi" w:hAnsiTheme="minorHAnsi" w:cstheme="minorHAnsi"/>
          <w:color w:val="auto"/>
          <w:szCs w:val="24"/>
        </w:rPr>
        <w:t>UNEP-POPS-COP.8-INF 19 “Draft guidance on preparing inventories of polychlorinated naphthalene“.</w:t>
      </w:r>
    </w:p>
    <w:p w14:paraId="37F2A00F"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 xml:space="preserve">Prema projektnom zadatku kao bazna godina je zadata 2015. godina a proračun je izvršen za period 2015-2022. </w:t>
      </w:r>
    </w:p>
    <w:p w14:paraId="71F34041" w14:textId="77777777" w:rsidR="00201FE9" w:rsidRPr="00C86111" w:rsidRDefault="00201FE9" w:rsidP="00EA6904">
      <w:pPr>
        <w:pStyle w:val="Heading4"/>
      </w:pPr>
      <w:r w:rsidRPr="00C86111">
        <w:t>Heksahlorbutadien (HCBD)</w:t>
      </w:r>
    </w:p>
    <w:p w14:paraId="1BF4F188"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Potencijalni izvori nenamjernih emisija HCBD su proizvodnja organohlorida, vinil hlorida, proizvodnje hlorisanih rastvarača, spalionice otpada ako se spaljuje otpad sa visokim sadržajem hlora, upotreba heksahloroetana u proizvodnji peleta za degazaciju za uklanjanje mjehurića vodonika iz rastopljenog aluminijuma.</w:t>
      </w:r>
    </w:p>
    <w:p w14:paraId="1EE2A1E2"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Heksahloretan nikad nije korišćen u Kombinatu aluminijuma Podgorica (KAP) prema informaciji dobijenoj od operatera ovog postrojenja.</w:t>
      </w:r>
    </w:p>
    <w:p w14:paraId="77692CC5" w14:textId="05AFB2A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Zaključak: </w:t>
      </w:r>
      <w:r w:rsidR="000D1995" w:rsidRPr="00C86111">
        <w:rPr>
          <w:rFonts w:asciiTheme="minorHAnsi" w:hAnsiTheme="minorHAnsi" w:cstheme="minorHAnsi"/>
          <w:color w:val="auto"/>
          <w:szCs w:val="24"/>
        </w:rPr>
        <w:t>N</w:t>
      </w:r>
      <w:r w:rsidRPr="00C86111">
        <w:rPr>
          <w:rFonts w:asciiTheme="minorHAnsi" w:hAnsiTheme="minorHAnsi" w:cstheme="minorHAnsi"/>
          <w:color w:val="auto"/>
          <w:szCs w:val="24"/>
        </w:rPr>
        <w:t xml:space="preserve">e postoje kategorija koje dovode do nenamjernih </w:t>
      </w:r>
      <w:r w:rsidR="000D1995" w:rsidRPr="00C86111">
        <w:rPr>
          <w:rFonts w:asciiTheme="minorHAnsi" w:hAnsiTheme="minorHAnsi" w:cstheme="minorHAnsi"/>
          <w:color w:val="auto"/>
          <w:szCs w:val="24"/>
        </w:rPr>
        <w:t>emisija</w:t>
      </w:r>
      <w:r w:rsidRPr="00C86111">
        <w:rPr>
          <w:rFonts w:asciiTheme="minorHAnsi" w:hAnsiTheme="minorHAnsi" w:cstheme="minorHAnsi"/>
          <w:color w:val="auto"/>
          <w:szCs w:val="24"/>
        </w:rPr>
        <w:t xml:space="preserve"> HCBD na teritoriji Crne Gore.</w:t>
      </w:r>
    </w:p>
    <w:p w14:paraId="18E78152" w14:textId="77777777" w:rsidR="00201FE9" w:rsidRPr="00C86111" w:rsidRDefault="00201FE9" w:rsidP="00EA6904">
      <w:pPr>
        <w:pStyle w:val="Heading4"/>
      </w:pPr>
      <w:r w:rsidRPr="00C86111">
        <w:t>Pentahlorobenzen (PecB)</w:t>
      </w:r>
    </w:p>
    <w:p w14:paraId="0458F518"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Potencijalni izvori nenamjernih emisija </w:t>
      </w:r>
      <w:bookmarkStart w:id="76" w:name="_Hlk207635871"/>
      <w:r w:rsidRPr="00C86111">
        <w:rPr>
          <w:rFonts w:asciiTheme="minorHAnsi" w:hAnsiTheme="minorHAnsi" w:cstheme="minorHAnsi"/>
          <w:color w:val="auto"/>
          <w:szCs w:val="24"/>
        </w:rPr>
        <w:t>PeCB</w:t>
      </w:r>
      <w:bookmarkEnd w:id="76"/>
      <w:r w:rsidRPr="00C86111">
        <w:rPr>
          <w:rFonts w:asciiTheme="minorHAnsi" w:hAnsiTheme="minorHAnsi" w:cstheme="minorHAnsi"/>
          <w:color w:val="auto"/>
          <w:szCs w:val="24"/>
        </w:rPr>
        <w:t xml:space="preserve"> su: izvlačenje bakra iz šljake, proizvodnja niobijuma, upotreba heksahloroetana u proizvodnji peleta za degazaciju za uklanjanje mjehurića vodonika iz rastopljenog aluminijum, karbohlorisanje magnezijum oksida, spalionice otpada, sagorijevanje biomase i fosilnih goriva (ne uključuje velika postrojenja za sagorijevanje) i nepotpuno sagorijevanje komunalnog otpada.</w:t>
      </w:r>
    </w:p>
    <w:p w14:paraId="63BF4613" w14:textId="37126B75"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Procijenjene nacionalne emisije PeCB u vazduh usled sagorijevanja ukupno utrošene biomase i uglja u komercijalnom sektoru i sektoru domaćinstima prikazane su u tabeli </w:t>
      </w:r>
      <w:r w:rsidR="003F2793" w:rsidRPr="00C86111">
        <w:rPr>
          <w:rFonts w:asciiTheme="minorHAnsi" w:hAnsiTheme="minorHAnsi" w:cstheme="minorHAnsi"/>
          <w:color w:val="auto"/>
          <w:szCs w:val="24"/>
        </w:rPr>
        <w:t>4</w:t>
      </w:r>
      <w:r w:rsidRPr="00C86111">
        <w:rPr>
          <w:rFonts w:asciiTheme="minorHAnsi" w:hAnsiTheme="minorHAnsi" w:cstheme="minorHAnsi"/>
          <w:color w:val="auto"/>
          <w:szCs w:val="24"/>
        </w:rPr>
        <w:t>0.</w:t>
      </w:r>
    </w:p>
    <w:p w14:paraId="3BF0351F" w14:textId="19F64327" w:rsidR="00201FE9" w:rsidRPr="00C86111" w:rsidRDefault="00201FE9" w:rsidP="00F20120">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t xml:space="preserve">Tabela </w:t>
      </w:r>
      <w:r w:rsidR="003F2793" w:rsidRPr="00C86111">
        <w:rPr>
          <w:rFonts w:asciiTheme="minorHAnsi" w:hAnsiTheme="minorHAnsi" w:cstheme="minorHAnsi"/>
          <w:b/>
          <w:bCs/>
          <w:i w:val="0"/>
          <w:iCs/>
          <w:sz w:val="24"/>
          <w:lang w:val="sr-Latn-RS"/>
        </w:rPr>
        <w:t>4</w:t>
      </w:r>
      <w:r w:rsidRPr="00C86111">
        <w:rPr>
          <w:rFonts w:asciiTheme="minorHAnsi" w:hAnsiTheme="minorHAnsi" w:cstheme="minorHAnsi"/>
          <w:b/>
          <w:bCs/>
          <w:i w:val="0"/>
          <w:iCs/>
          <w:sz w:val="24"/>
          <w:lang w:val="sr-Latn-RS"/>
        </w:rPr>
        <w:t>0.</w:t>
      </w:r>
      <w:r w:rsidRPr="00C86111">
        <w:rPr>
          <w:rFonts w:asciiTheme="minorHAnsi" w:hAnsiTheme="minorHAnsi" w:cstheme="minorHAnsi"/>
          <w:i w:val="0"/>
          <w:iCs/>
          <w:sz w:val="24"/>
          <w:lang w:val="sr-Latn-RS"/>
        </w:rPr>
        <w:t xml:space="preserve"> Procijenjene nacionalne emisije PeCB u vazduh usled sagorijevanja ukupno utrošene biomase i uglja u komercijalnom sektoru i sektoru 2015 – 2022, godina</w:t>
      </w:r>
    </w:p>
    <w:tbl>
      <w:tblPr>
        <w:tblStyle w:val="GridTable5Dark-Accent6"/>
        <w:tblW w:w="8989" w:type="dxa"/>
        <w:tblLook w:val="04A0" w:firstRow="1" w:lastRow="0" w:firstColumn="1" w:lastColumn="0" w:noHBand="0" w:noVBand="1"/>
      </w:tblPr>
      <w:tblGrid>
        <w:gridCol w:w="933"/>
        <w:gridCol w:w="1007"/>
        <w:gridCol w:w="1007"/>
        <w:gridCol w:w="1007"/>
        <w:gridCol w:w="1007"/>
        <w:gridCol w:w="1007"/>
        <w:gridCol w:w="1007"/>
        <w:gridCol w:w="1007"/>
        <w:gridCol w:w="1007"/>
      </w:tblGrid>
      <w:tr w:rsidR="00201FE9" w:rsidRPr="00C86111" w14:paraId="47581322"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3" w:type="dxa"/>
          </w:tcPr>
          <w:p w14:paraId="0932C78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1007" w:type="dxa"/>
          </w:tcPr>
          <w:p w14:paraId="7C1D0A50"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2015</w:t>
            </w:r>
          </w:p>
        </w:tc>
        <w:tc>
          <w:tcPr>
            <w:tcW w:w="1007" w:type="dxa"/>
          </w:tcPr>
          <w:p w14:paraId="0121867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2016</w:t>
            </w:r>
          </w:p>
        </w:tc>
        <w:tc>
          <w:tcPr>
            <w:tcW w:w="1007" w:type="dxa"/>
          </w:tcPr>
          <w:p w14:paraId="7E30502E"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2017</w:t>
            </w:r>
          </w:p>
        </w:tc>
        <w:tc>
          <w:tcPr>
            <w:tcW w:w="1007" w:type="dxa"/>
          </w:tcPr>
          <w:p w14:paraId="1E80E37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2018</w:t>
            </w:r>
          </w:p>
        </w:tc>
        <w:tc>
          <w:tcPr>
            <w:tcW w:w="1007" w:type="dxa"/>
          </w:tcPr>
          <w:p w14:paraId="51A2D05A"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2019</w:t>
            </w:r>
          </w:p>
        </w:tc>
        <w:tc>
          <w:tcPr>
            <w:tcW w:w="1007" w:type="dxa"/>
          </w:tcPr>
          <w:p w14:paraId="6E1FE628"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2020</w:t>
            </w:r>
          </w:p>
        </w:tc>
        <w:tc>
          <w:tcPr>
            <w:tcW w:w="1007" w:type="dxa"/>
          </w:tcPr>
          <w:p w14:paraId="58CD881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2021</w:t>
            </w:r>
          </w:p>
        </w:tc>
        <w:tc>
          <w:tcPr>
            <w:tcW w:w="1007" w:type="dxa"/>
          </w:tcPr>
          <w:p w14:paraId="5FEAA20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2022</w:t>
            </w:r>
          </w:p>
        </w:tc>
      </w:tr>
      <w:tr w:rsidR="00201FE9" w:rsidRPr="00C86111" w14:paraId="09D415E0"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3" w:type="dxa"/>
          </w:tcPr>
          <w:p w14:paraId="18E2D89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PeCB (g)</w:t>
            </w:r>
          </w:p>
        </w:tc>
        <w:tc>
          <w:tcPr>
            <w:tcW w:w="1007" w:type="dxa"/>
          </w:tcPr>
          <w:p w14:paraId="519BFF8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4166.39</w:t>
            </w:r>
          </w:p>
        </w:tc>
        <w:tc>
          <w:tcPr>
            <w:tcW w:w="1007" w:type="dxa"/>
          </w:tcPr>
          <w:p w14:paraId="68A5F23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4111.63</w:t>
            </w:r>
          </w:p>
        </w:tc>
        <w:tc>
          <w:tcPr>
            <w:tcW w:w="1007" w:type="dxa"/>
          </w:tcPr>
          <w:p w14:paraId="414A3FEF"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3969.27</w:t>
            </w:r>
          </w:p>
        </w:tc>
        <w:tc>
          <w:tcPr>
            <w:tcW w:w="1007" w:type="dxa"/>
          </w:tcPr>
          <w:p w14:paraId="58839BC0"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3639.73</w:t>
            </w:r>
          </w:p>
        </w:tc>
        <w:tc>
          <w:tcPr>
            <w:tcW w:w="1007" w:type="dxa"/>
          </w:tcPr>
          <w:p w14:paraId="4BFAEC1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3300.28</w:t>
            </w:r>
          </w:p>
        </w:tc>
        <w:tc>
          <w:tcPr>
            <w:tcW w:w="1007" w:type="dxa"/>
          </w:tcPr>
          <w:p w14:paraId="74410CC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3557.95</w:t>
            </w:r>
          </w:p>
        </w:tc>
        <w:tc>
          <w:tcPr>
            <w:tcW w:w="1007" w:type="dxa"/>
          </w:tcPr>
          <w:p w14:paraId="7E94B60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3546.07</w:t>
            </w:r>
          </w:p>
        </w:tc>
        <w:tc>
          <w:tcPr>
            <w:tcW w:w="1007" w:type="dxa"/>
          </w:tcPr>
          <w:p w14:paraId="2A1885DC"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3568.85</w:t>
            </w:r>
          </w:p>
        </w:tc>
      </w:tr>
    </w:tbl>
    <w:p w14:paraId="2857FAC2" w14:textId="77777777" w:rsidR="00201FE9" w:rsidRPr="00C86111" w:rsidRDefault="00201FE9" w:rsidP="00201FE9">
      <w:pPr>
        <w:jc w:val="both"/>
        <w:rPr>
          <w:rFonts w:asciiTheme="minorHAnsi" w:hAnsiTheme="minorHAnsi" w:cstheme="minorHAnsi"/>
          <w:color w:val="auto"/>
          <w:szCs w:val="24"/>
        </w:rPr>
      </w:pPr>
    </w:p>
    <w:p w14:paraId="0E50716F" w14:textId="23BCC504"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Za proračun emisija usled sagorijavanja biomase korišćen je emisioni faktor 11.8 μg/kgC, dok je za sagorijavanje uglja korišćen emisioni faktor od 2450 μg/t. Emisije usled sagorijevanja biomase su dominantne i čine 99% ukupnih emisija.</w:t>
      </w:r>
      <w:r w:rsidR="003F2793" w:rsidRPr="00C86111">
        <w:rPr>
          <w:rFonts w:asciiTheme="minorHAnsi" w:hAnsiTheme="minorHAnsi" w:cstheme="minorHAnsi"/>
          <w:color w:val="auto"/>
          <w:szCs w:val="24"/>
        </w:rPr>
        <w:t xml:space="preserve"> </w:t>
      </w:r>
      <w:r w:rsidRPr="00C86111">
        <w:rPr>
          <w:rFonts w:asciiTheme="minorHAnsi" w:hAnsiTheme="minorHAnsi" w:cstheme="minorHAnsi"/>
          <w:color w:val="auto"/>
          <w:szCs w:val="24"/>
        </w:rPr>
        <w:t>Emisije PeCB usled nekontrolisanog sagorijevanja komunalnog otpada (za oko 40000 tona otpada/god) su procijenjene na oko 304 g/god korišćenjem emisionog faktora od 7600 μg/toni spaljenog otpada.</w:t>
      </w:r>
    </w:p>
    <w:p w14:paraId="3F1C63A0" w14:textId="77777777" w:rsidR="00201FE9" w:rsidRPr="00C86111" w:rsidRDefault="00201FE9" w:rsidP="00EA6904">
      <w:pPr>
        <w:pStyle w:val="Heading4"/>
      </w:pPr>
      <w:r w:rsidRPr="00C86111">
        <w:t>Polihlorovani naftaleni (PCN)</w:t>
      </w:r>
    </w:p>
    <w:p w14:paraId="3F26C2B9"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Potencijalni izvori nenamjernih emisija PCN: proizvodnja hlorisanih rastvarača, metalurška industrija, proizvodnja cementa, spalionice otpada i dr.</w:t>
      </w:r>
    </w:p>
    <w:p w14:paraId="4D0905A1" w14:textId="77777777"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Za Crnu Goru relevantni izvori emisija su: proizvodnja čelika u elektrolučnoj peći i proizvodnja aluminjuma iz sekundarnih sirovina.</w:t>
      </w:r>
    </w:p>
    <w:p w14:paraId="6E29C3D5" w14:textId="011BEBCD" w:rsidR="00201FE9" w:rsidRPr="00C86111" w:rsidRDefault="00201FE9" w:rsidP="00201FE9">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Procijenjene nacionalne emisije PCN u vazduh usled proizvodnja čelika u elektrolučnoj peći i proizvodnje aluminjuma iz sekundarnih sirovina prikazane su u tabeli </w:t>
      </w:r>
      <w:r w:rsidR="003F2793" w:rsidRPr="00C86111">
        <w:rPr>
          <w:rFonts w:asciiTheme="minorHAnsi" w:hAnsiTheme="minorHAnsi" w:cstheme="minorHAnsi"/>
          <w:color w:val="auto"/>
          <w:szCs w:val="24"/>
        </w:rPr>
        <w:t>4</w:t>
      </w:r>
      <w:r w:rsidRPr="00C86111">
        <w:rPr>
          <w:rFonts w:asciiTheme="minorHAnsi" w:hAnsiTheme="minorHAnsi" w:cstheme="minorHAnsi"/>
          <w:color w:val="auto"/>
          <w:szCs w:val="24"/>
        </w:rPr>
        <w:t>1.</w:t>
      </w:r>
    </w:p>
    <w:p w14:paraId="534AB41F" w14:textId="1A52390D" w:rsidR="00201FE9" w:rsidRPr="00C86111" w:rsidRDefault="00201FE9" w:rsidP="00F20120">
      <w:pPr>
        <w:pStyle w:val="Tabele"/>
        <w:numPr>
          <w:ilvl w:val="0"/>
          <w:numId w:val="0"/>
        </w:numPr>
        <w:spacing w:after="0"/>
        <w:jc w:val="both"/>
        <w:rPr>
          <w:rFonts w:asciiTheme="minorHAnsi" w:hAnsiTheme="minorHAnsi" w:cstheme="minorHAnsi"/>
          <w:i w:val="0"/>
          <w:iCs/>
          <w:sz w:val="24"/>
          <w:lang w:val="sr-Latn-RS"/>
        </w:rPr>
      </w:pPr>
      <w:r w:rsidRPr="00C86111">
        <w:rPr>
          <w:rFonts w:asciiTheme="minorHAnsi" w:hAnsiTheme="minorHAnsi" w:cstheme="minorHAnsi"/>
          <w:b/>
          <w:bCs/>
          <w:i w:val="0"/>
          <w:iCs/>
          <w:sz w:val="24"/>
          <w:lang w:val="sr-Latn-RS"/>
        </w:rPr>
        <w:lastRenderedPageBreak/>
        <w:t xml:space="preserve">Tabela </w:t>
      </w:r>
      <w:r w:rsidR="003F2793" w:rsidRPr="00C86111">
        <w:rPr>
          <w:rFonts w:asciiTheme="minorHAnsi" w:hAnsiTheme="minorHAnsi" w:cstheme="minorHAnsi"/>
          <w:b/>
          <w:bCs/>
          <w:i w:val="0"/>
          <w:iCs/>
          <w:sz w:val="24"/>
          <w:lang w:val="sr-Latn-RS"/>
        </w:rPr>
        <w:t>4</w:t>
      </w:r>
      <w:r w:rsidRPr="00C86111">
        <w:rPr>
          <w:rFonts w:asciiTheme="minorHAnsi" w:hAnsiTheme="minorHAnsi" w:cstheme="minorHAnsi"/>
          <w:b/>
          <w:bCs/>
          <w:i w:val="0"/>
          <w:iCs/>
          <w:sz w:val="24"/>
          <w:lang w:val="sr-Latn-RS"/>
        </w:rPr>
        <w:t>1.</w:t>
      </w:r>
      <w:r w:rsidRPr="00C86111">
        <w:rPr>
          <w:rFonts w:asciiTheme="minorHAnsi" w:hAnsiTheme="minorHAnsi" w:cstheme="minorHAnsi"/>
          <w:i w:val="0"/>
          <w:iCs/>
          <w:sz w:val="24"/>
          <w:lang w:val="sr-Latn-RS"/>
        </w:rPr>
        <w:t xml:space="preserve"> Ukupne godišnje PCN emisije, 2015 – 2022, godina (g/god)</w:t>
      </w:r>
    </w:p>
    <w:tbl>
      <w:tblPr>
        <w:tblStyle w:val="GridTable5Dark-Accent6"/>
        <w:tblW w:w="8931" w:type="dxa"/>
        <w:tblLook w:val="04A0" w:firstRow="1" w:lastRow="0" w:firstColumn="1" w:lastColumn="0" w:noHBand="0" w:noVBand="1"/>
      </w:tblPr>
      <w:tblGrid>
        <w:gridCol w:w="1827"/>
        <w:gridCol w:w="823"/>
        <w:gridCol w:w="822"/>
        <w:gridCol w:w="822"/>
        <w:gridCol w:w="822"/>
        <w:gridCol w:w="822"/>
        <w:gridCol w:w="822"/>
        <w:gridCol w:w="781"/>
        <w:gridCol w:w="1390"/>
      </w:tblGrid>
      <w:tr w:rsidR="00201FE9" w:rsidRPr="00C86111" w14:paraId="5899618F" w14:textId="77777777" w:rsidTr="00BC7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27" w:type="dxa"/>
          </w:tcPr>
          <w:p w14:paraId="73ECD8E8"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Godina</w:t>
            </w:r>
          </w:p>
        </w:tc>
        <w:tc>
          <w:tcPr>
            <w:tcW w:w="823" w:type="dxa"/>
          </w:tcPr>
          <w:p w14:paraId="604A3FB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2015</w:t>
            </w:r>
          </w:p>
        </w:tc>
        <w:tc>
          <w:tcPr>
            <w:tcW w:w="822" w:type="dxa"/>
          </w:tcPr>
          <w:p w14:paraId="1B7ACD4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2016</w:t>
            </w:r>
          </w:p>
        </w:tc>
        <w:tc>
          <w:tcPr>
            <w:tcW w:w="822" w:type="dxa"/>
          </w:tcPr>
          <w:p w14:paraId="51231F4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2017</w:t>
            </w:r>
          </w:p>
        </w:tc>
        <w:tc>
          <w:tcPr>
            <w:tcW w:w="822" w:type="dxa"/>
          </w:tcPr>
          <w:p w14:paraId="4B739686"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2018</w:t>
            </w:r>
          </w:p>
        </w:tc>
        <w:tc>
          <w:tcPr>
            <w:tcW w:w="822" w:type="dxa"/>
          </w:tcPr>
          <w:p w14:paraId="2C626135"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2019</w:t>
            </w:r>
          </w:p>
        </w:tc>
        <w:tc>
          <w:tcPr>
            <w:tcW w:w="822" w:type="dxa"/>
          </w:tcPr>
          <w:p w14:paraId="5537EF8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2020</w:t>
            </w:r>
          </w:p>
        </w:tc>
        <w:tc>
          <w:tcPr>
            <w:tcW w:w="781" w:type="dxa"/>
          </w:tcPr>
          <w:p w14:paraId="5DEC7CCF"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2021</w:t>
            </w:r>
          </w:p>
        </w:tc>
        <w:tc>
          <w:tcPr>
            <w:tcW w:w="1390" w:type="dxa"/>
          </w:tcPr>
          <w:p w14:paraId="547CF394" w14:textId="77777777" w:rsidR="00201FE9" w:rsidRPr="00C86111" w:rsidRDefault="00201FE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2022</w:t>
            </w:r>
          </w:p>
        </w:tc>
      </w:tr>
      <w:tr w:rsidR="00201FE9" w:rsidRPr="00C86111" w14:paraId="6FE89FF6" w14:textId="77777777" w:rsidTr="00BC7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27" w:type="dxa"/>
          </w:tcPr>
          <w:p w14:paraId="0F40A144"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Proizvodnja čelika</w:t>
            </w:r>
          </w:p>
        </w:tc>
        <w:tc>
          <w:tcPr>
            <w:tcW w:w="823" w:type="dxa"/>
          </w:tcPr>
          <w:p w14:paraId="3D7759E9"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117.93</w:t>
            </w:r>
          </w:p>
        </w:tc>
        <w:tc>
          <w:tcPr>
            <w:tcW w:w="822" w:type="dxa"/>
          </w:tcPr>
          <w:p w14:paraId="26C11FEE"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84.56</w:t>
            </w:r>
          </w:p>
        </w:tc>
        <w:tc>
          <w:tcPr>
            <w:tcW w:w="822" w:type="dxa"/>
          </w:tcPr>
          <w:p w14:paraId="59F2B098"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89.05</w:t>
            </w:r>
          </w:p>
        </w:tc>
        <w:tc>
          <w:tcPr>
            <w:tcW w:w="822" w:type="dxa"/>
          </w:tcPr>
          <w:p w14:paraId="4E6DADD4"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85.55</w:t>
            </w:r>
          </w:p>
        </w:tc>
        <w:tc>
          <w:tcPr>
            <w:tcW w:w="822" w:type="dxa"/>
          </w:tcPr>
          <w:p w14:paraId="60B28C75"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78.17</w:t>
            </w:r>
          </w:p>
        </w:tc>
        <w:tc>
          <w:tcPr>
            <w:tcW w:w="822" w:type="dxa"/>
          </w:tcPr>
          <w:p w14:paraId="3CC35AAB"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62.39</w:t>
            </w:r>
          </w:p>
        </w:tc>
        <w:tc>
          <w:tcPr>
            <w:tcW w:w="781" w:type="dxa"/>
          </w:tcPr>
          <w:p w14:paraId="2D7A16C2"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9.80</w:t>
            </w:r>
          </w:p>
        </w:tc>
        <w:tc>
          <w:tcPr>
            <w:tcW w:w="1390" w:type="dxa"/>
          </w:tcPr>
          <w:p w14:paraId="3FC7D2A3" w14:textId="77777777" w:rsidR="00201FE9" w:rsidRPr="00C86111" w:rsidRDefault="00201FE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r>
      <w:tr w:rsidR="00201FE9" w:rsidRPr="00C86111" w14:paraId="00B46C82" w14:textId="77777777" w:rsidTr="00BC765B">
        <w:trPr>
          <w:trHeight w:val="432"/>
        </w:trPr>
        <w:tc>
          <w:tcPr>
            <w:cnfStyle w:val="001000000000" w:firstRow="0" w:lastRow="0" w:firstColumn="1" w:lastColumn="0" w:oddVBand="0" w:evenVBand="0" w:oddHBand="0" w:evenHBand="0" w:firstRowFirstColumn="0" w:firstRowLastColumn="0" w:lastRowFirstColumn="0" w:lastRowLastColumn="0"/>
            <w:tcW w:w="1827" w:type="dxa"/>
          </w:tcPr>
          <w:p w14:paraId="4A4D9E06" w14:textId="77777777" w:rsidR="00201FE9" w:rsidRPr="00C86111" w:rsidRDefault="00201FE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Proizvodnja Al iz sekundarnih sirovina </w:t>
            </w:r>
          </w:p>
        </w:tc>
        <w:tc>
          <w:tcPr>
            <w:tcW w:w="823" w:type="dxa"/>
          </w:tcPr>
          <w:p w14:paraId="1EB4172F"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7.38</w:t>
            </w:r>
          </w:p>
        </w:tc>
        <w:tc>
          <w:tcPr>
            <w:tcW w:w="822" w:type="dxa"/>
          </w:tcPr>
          <w:p w14:paraId="7DEA391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4.12</w:t>
            </w:r>
          </w:p>
        </w:tc>
        <w:tc>
          <w:tcPr>
            <w:tcW w:w="822" w:type="dxa"/>
          </w:tcPr>
          <w:p w14:paraId="1D9D3173"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6.35</w:t>
            </w:r>
          </w:p>
        </w:tc>
        <w:tc>
          <w:tcPr>
            <w:tcW w:w="822" w:type="dxa"/>
          </w:tcPr>
          <w:p w14:paraId="327ED9A0"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1.55</w:t>
            </w:r>
          </w:p>
        </w:tc>
        <w:tc>
          <w:tcPr>
            <w:tcW w:w="822" w:type="dxa"/>
          </w:tcPr>
          <w:p w14:paraId="476FA897"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822" w:type="dxa"/>
          </w:tcPr>
          <w:p w14:paraId="21A37E0D"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781" w:type="dxa"/>
          </w:tcPr>
          <w:p w14:paraId="1827805B"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c>
          <w:tcPr>
            <w:tcW w:w="1390" w:type="dxa"/>
          </w:tcPr>
          <w:p w14:paraId="3E73EF69" w14:textId="77777777" w:rsidR="00201FE9" w:rsidRPr="00C86111" w:rsidRDefault="00201FE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NP</w:t>
            </w:r>
          </w:p>
        </w:tc>
      </w:tr>
    </w:tbl>
    <w:p w14:paraId="24B37724" w14:textId="77777777" w:rsidR="00201FE9" w:rsidRPr="00C86111" w:rsidRDefault="00201FE9" w:rsidP="003F2793">
      <w:pPr>
        <w:pStyle w:val="Tabele"/>
        <w:numPr>
          <w:ilvl w:val="0"/>
          <w:numId w:val="0"/>
        </w:numPr>
        <w:spacing w:before="0" w:after="0"/>
        <w:ind w:left="446" w:hanging="360"/>
        <w:rPr>
          <w:rFonts w:asciiTheme="minorHAnsi" w:hAnsiTheme="minorHAnsi" w:cstheme="minorHAnsi"/>
          <w:sz w:val="24"/>
          <w:lang w:val="sr-Latn-RS"/>
        </w:rPr>
      </w:pPr>
      <w:r w:rsidRPr="00C86111">
        <w:rPr>
          <w:rFonts w:asciiTheme="minorHAnsi" w:hAnsiTheme="minorHAnsi" w:cstheme="minorHAnsi"/>
          <w:sz w:val="24"/>
          <w:lang w:val="sr-Latn-RS"/>
        </w:rPr>
        <w:t>NP – nema proizvodnje</w:t>
      </w:r>
    </w:p>
    <w:p w14:paraId="3E6EED8E" w14:textId="77777777" w:rsidR="00201FE9" w:rsidRPr="00C86111" w:rsidRDefault="00201FE9" w:rsidP="00EA6904">
      <w:pPr>
        <w:pStyle w:val="Heading3"/>
      </w:pPr>
      <w:bookmarkStart w:id="77" w:name="_Toc220541881"/>
      <w:r w:rsidRPr="00C86111">
        <w:t>Preporuke/elementi za akcioni plan</w:t>
      </w:r>
      <w:bookmarkEnd w:id="77"/>
    </w:p>
    <w:p w14:paraId="409C2EEC" w14:textId="77777777" w:rsidR="00201FE9" w:rsidRPr="00C86111" w:rsidRDefault="00201FE9" w:rsidP="00833A40">
      <w:pPr>
        <w:pStyle w:val="Tabele"/>
        <w:numPr>
          <w:ilvl w:val="0"/>
          <w:numId w:val="125"/>
        </w:numPr>
        <w:spacing w:after="12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 xml:space="preserve">Preduzeti neophodne preventivne akcije, kroz dodatno obezbjeđivanje neuređenih odlagališta, da se pojava nekontrolisanih požara komunalnog ali i drugih vrsta otpada svede na najmanju moguću mjeru, a ukoliko dođe do požara neophodna je hitna reakcija do potpunog  gašenju istog. Prilikom gašenja ovih vrsta požara obavezna upotreba zaštitne opreme (gasmaske) za lica koja učestvuju u gašenju požara. </w:t>
      </w:r>
    </w:p>
    <w:p w14:paraId="42C0FD15" w14:textId="77777777" w:rsidR="00201FE9" w:rsidRPr="00C86111" w:rsidRDefault="00201FE9" w:rsidP="00833A40">
      <w:pPr>
        <w:pStyle w:val="Tabele"/>
        <w:numPr>
          <w:ilvl w:val="0"/>
          <w:numId w:val="125"/>
        </w:numPr>
        <w:spacing w:after="12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Podizanje svijesti kod domaćinstava u ruralnim područjima o štetnim posljedicama paljenja otpada, posebno ako se radi o poljoprivrednom otpadu tretiranom sa pesticidima i pratećoj plastičnoj ambalaži.</w:t>
      </w:r>
    </w:p>
    <w:p w14:paraId="00B9F74F" w14:textId="77777777" w:rsidR="00201FE9" w:rsidRPr="00C86111" w:rsidRDefault="00201FE9" w:rsidP="00833A40">
      <w:pPr>
        <w:pStyle w:val="Tabele"/>
        <w:numPr>
          <w:ilvl w:val="0"/>
          <w:numId w:val="125"/>
        </w:numPr>
        <w:spacing w:after="12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 xml:space="preserve">Uvođenje isključivo BAT tehnolgija na novo planiranim termičko-industrijskim postrojenjima. </w:t>
      </w:r>
    </w:p>
    <w:p w14:paraId="79513BA8" w14:textId="77777777" w:rsidR="00201FE9" w:rsidRPr="00C86111" w:rsidRDefault="00201FE9" w:rsidP="00833A40">
      <w:pPr>
        <w:pStyle w:val="Tabele"/>
        <w:numPr>
          <w:ilvl w:val="0"/>
          <w:numId w:val="125"/>
        </w:numPr>
        <w:spacing w:after="12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Kod upotrebe biomase u komercijalnom i sektoru domaćinstva za potrebe grijanja prelaziti na upotrebu peleta umjesto ogrijevnog drveta. (Akcioni plan iz 2019 Informativna kampanja o dobrobitima zamjene grijanja na fosilno gorivo i sirovu drvnu biomasu sa alternativnim sistemima grijanja)</w:t>
      </w:r>
    </w:p>
    <w:p w14:paraId="3C6A9172" w14:textId="77777777" w:rsidR="00201FE9" w:rsidRPr="00C86111" w:rsidRDefault="00201FE9" w:rsidP="00833A40">
      <w:pPr>
        <w:pStyle w:val="Tabele"/>
        <w:numPr>
          <w:ilvl w:val="0"/>
          <w:numId w:val="125"/>
        </w:numPr>
        <w:spacing w:after="12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Prestanak korišćenja uglja u energetskom i industrijskom sektoru. Odstranjivanje uglja kao goriva za potrebe grijanje domaćinstava u sjevernom dijelu Crne Gore.</w:t>
      </w:r>
    </w:p>
    <w:p w14:paraId="5F5A99B4" w14:textId="77777777" w:rsidR="00201FE9" w:rsidRPr="00C86111" w:rsidRDefault="00201FE9" w:rsidP="00833A40">
      <w:pPr>
        <w:pStyle w:val="Tabele"/>
        <w:numPr>
          <w:ilvl w:val="0"/>
          <w:numId w:val="125"/>
        </w:numPr>
        <w:spacing w:after="0"/>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Uspostaviti popis ili bazu podataka kontaminiranih lokacija.</w:t>
      </w:r>
    </w:p>
    <w:p w14:paraId="4D7A28A0" w14:textId="77777777" w:rsidR="00201FE9" w:rsidRPr="00C86111" w:rsidRDefault="00201FE9" w:rsidP="00833A40">
      <w:pPr>
        <w:pStyle w:val="Tabele"/>
        <w:numPr>
          <w:ilvl w:val="0"/>
          <w:numId w:val="125"/>
        </w:numPr>
        <w:jc w:val="both"/>
        <w:rPr>
          <w:rFonts w:asciiTheme="minorHAnsi" w:hAnsiTheme="minorHAnsi" w:cstheme="minorHAnsi"/>
          <w:i w:val="0"/>
          <w:iCs/>
          <w:sz w:val="24"/>
          <w:lang w:val="sr-Latn-RS"/>
        </w:rPr>
      </w:pPr>
      <w:r w:rsidRPr="00C86111">
        <w:rPr>
          <w:rFonts w:asciiTheme="minorHAnsi" w:hAnsiTheme="minorHAnsi" w:cstheme="minorHAnsi"/>
          <w:i w:val="0"/>
          <w:iCs/>
          <w:sz w:val="24"/>
          <w:lang w:val="sr-Latn-RS"/>
        </w:rPr>
        <w:t>Poboljšati nacionalnu statistiku za neobrađene, obrađene otpadne vode i kanalazicioni mulj. Izvještavanje podataka vršiti na godišnjoj nivou, poboljšati kompletnosti i tačnost podataka.</w:t>
      </w:r>
    </w:p>
    <w:p w14:paraId="4A564F15" w14:textId="77777777" w:rsidR="00C23D65" w:rsidRPr="00C86111" w:rsidRDefault="00C23D65" w:rsidP="00C23D65">
      <w:pPr>
        <w:ind w:firstLine="720"/>
        <w:rPr>
          <w:rFonts w:asciiTheme="minorHAnsi" w:hAnsiTheme="minorHAnsi" w:cstheme="minorHAnsi"/>
          <w:szCs w:val="24"/>
        </w:rPr>
      </w:pPr>
      <w:bookmarkStart w:id="78" w:name="_Hlk215608600"/>
      <w:bookmarkStart w:id="79" w:name="_Toc210651365"/>
    </w:p>
    <w:p w14:paraId="20D879BF" w14:textId="77777777" w:rsidR="003F2793" w:rsidRPr="00C86111" w:rsidRDefault="003F2793" w:rsidP="00C23D65">
      <w:pPr>
        <w:ind w:firstLine="720"/>
        <w:rPr>
          <w:rFonts w:asciiTheme="minorHAnsi" w:hAnsiTheme="minorHAnsi" w:cstheme="minorHAnsi"/>
          <w:szCs w:val="24"/>
        </w:rPr>
      </w:pPr>
    </w:p>
    <w:p w14:paraId="7F214A03" w14:textId="77777777" w:rsidR="003F2793" w:rsidRPr="00C86111" w:rsidRDefault="003F2793" w:rsidP="00C23D65">
      <w:pPr>
        <w:ind w:firstLine="720"/>
        <w:rPr>
          <w:rFonts w:asciiTheme="minorHAnsi" w:hAnsiTheme="minorHAnsi" w:cstheme="minorHAnsi"/>
          <w:szCs w:val="24"/>
        </w:rPr>
      </w:pPr>
    </w:p>
    <w:p w14:paraId="0D289625" w14:textId="77777777" w:rsidR="003F2793" w:rsidRPr="00C86111" w:rsidRDefault="003F2793" w:rsidP="00C23D65">
      <w:pPr>
        <w:ind w:firstLine="720"/>
        <w:rPr>
          <w:rFonts w:asciiTheme="minorHAnsi" w:hAnsiTheme="minorHAnsi" w:cstheme="minorHAnsi"/>
          <w:szCs w:val="24"/>
        </w:rPr>
      </w:pPr>
    </w:p>
    <w:p w14:paraId="6225FE8E" w14:textId="77777777" w:rsidR="003F2793" w:rsidRPr="00C86111" w:rsidRDefault="003F2793" w:rsidP="00C23D65">
      <w:pPr>
        <w:ind w:firstLine="720"/>
        <w:rPr>
          <w:rFonts w:asciiTheme="minorHAnsi" w:hAnsiTheme="minorHAnsi" w:cstheme="minorHAnsi"/>
          <w:szCs w:val="24"/>
        </w:rPr>
      </w:pPr>
    </w:p>
    <w:p w14:paraId="7ED27781" w14:textId="77777777" w:rsidR="003F2793" w:rsidRPr="00C86111" w:rsidRDefault="003F2793" w:rsidP="00C23D65">
      <w:pPr>
        <w:ind w:firstLine="720"/>
        <w:rPr>
          <w:rFonts w:asciiTheme="minorHAnsi" w:hAnsiTheme="minorHAnsi" w:cstheme="minorHAnsi"/>
          <w:szCs w:val="24"/>
        </w:rPr>
      </w:pPr>
    </w:p>
    <w:p w14:paraId="615BEDEA" w14:textId="77777777" w:rsidR="003F2793" w:rsidRPr="00C86111" w:rsidRDefault="003F2793" w:rsidP="00C23D65">
      <w:pPr>
        <w:ind w:firstLine="720"/>
        <w:rPr>
          <w:rFonts w:asciiTheme="minorHAnsi" w:hAnsiTheme="minorHAnsi" w:cstheme="minorHAnsi"/>
          <w:szCs w:val="24"/>
        </w:rPr>
      </w:pPr>
    </w:p>
    <w:p w14:paraId="70EB7541" w14:textId="77777777" w:rsidR="003F2793" w:rsidRPr="00C86111" w:rsidRDefault="003F2793" w:rsidP="00C23D65">
      <w:pPr>
        <w:ind w:firstLine="720"/>
        <w:rPr>
          <w:rFonts w:asciiTheme="minorHAnsi" w:hAnsiTheme="minorHAnsi" w:cstheme="minorHAnsi"/>
          <w:szCs w:val="24"/>
        </w:rPr>
      </w:pPr>
    </w:p>
    <w:p w14:paraId="10137408" w14:textId="77777777" w:rsidR="003F2793" w:rsidRPr="00C86111" w:rsidRDefault="003F2793" w:rsidP="00C23D65">
      <w:pPr>
        <w:ind w:firstLine="720"/>
        <w:rPr>
          <w:rFonts w:asciiTheme="minorHAnsi" w:hAnsiTheme="minorHAnsi" w:cstheme="minorHAnsi"/>
          <w:szCs w:val="24"/>
        </w:rPr>
      </w:pPr>
    </w:p>
    <w:p w14:paraId="5204F7EA" w14:textId="77777777" w:rsidR="003F2793" w:rsidRPr="00C86111" w:rsidRDefault="003F2793" w:rsidP="00C23D65">
      <w:pPr>
        <w:ind w:firstLine="720"/>
        <w:rPr>
          <w:rFonts w:asciiTheme="minorHAnsi" w:hAnsiTheme="minorHAnsi" w:cstheme="minorHAnsi"/>
          <w:szCs w:val="24"/>
        </w:rPr>
      </w:pPr>
    </w:p>
    <w:p w14:paraId="6C24BC6E" w14:textId="77777777" w:rsidR="00C23D65" w:rsidRPr="00C86111" w:rsidRDefault="00C23D65" w:rsidP="00912C4C">
      <w:pPr>
        <w:pStyle w:val="Heading1"/>
        <w:rPr>
          <w:rFonts w:asciiTheme="minorHAnsi" w:hAnsiTheme="minorHAnsi" w:cstheme="minorHAnsi"/>
          <w:szCs w:val="24"/>
        </w:rPr>
      </w:pPr>
      <w:bookmarkStart w:id="80" w:name="_Toc220541882"/>
      <w:bookmarkEnd w:id="78"/>
      <w:r w:rsidRPr="00C86111">
        <w:lastRenderedPageBreak/>
        <w:t xml:space="preserve">INVENTAR </w:t>
      </w:r>
      <w:bookmarkStart w:id="81" w:name="_Hlk215608790"/>
      <w:r w:rsidRPr="00C86111">
        <w:t>POLIBROMOVANIH DIFENIL ETARA (PBDE) I HEKSABROMODIFENILA (HBB)</w:t>
      </w:r>
      <w:bookmarkEnd w:id="80"/>
    </w:p>
    <w:p w14:paraId="585DC610" w14:textId="77777777" w:rsidR="00C23D65" w:rsidRPr="00C86111" w:rsidRDefault="00C23D65" w:rsidP="00EA6904">
      <w:pPr>
        <w:pStyle w:val="Heading3"/>
      </w:pPr>
      <w:bookmarkStart w:id="82" w:name="_Toc220541883"/>
      <w:bookmarkEnd w:id="81"/>
      <w:r w:rsidRPr="00C86111">
        <w:t>Uvod u PBDE</w:t>
      </w:r>
      <w:bookmarkEnd w:id="82"/>
    </w:p>
    <w:p w14:paraId="208448A1" w14:textId="77777777" w:rsidR="00C23D65" w:rsidRPr="00C86111" w:rsidRDefault="00C23D65" w:rsidP="00C23D65">
      <w:pPr>
        <w:jc w:val="both"/>
        <w:rPr>
          <w:rFonts w:asciiTheme="minorHAnsi" w:hAnsiTheme="minorHAnsi" w:cstheme="minorHAnsi"/>
          <w:color w:val="auto"/>
          <w:szCs w:val="24"/>
        </w:rPr>
      </w:pPr>
    </w:p>
    <w:p w14:paraId="0DE302C9" w14:textId="2B572D5A"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Polibromovani difenil etri (PBDE) predstavljaju grupu industrijskih aromatičnih organobromovanih hemikalija koje se koriste od 1970-ih kao aditivni usporivači plamena u širokom spektru, uglavnom potrošačkih proizvoda. PBDE su proizvodili sa tri različita stepena bromovanja, a plasirani su na tržište kao komercijalni pentaBDE (c-pentaBDE), komercijalni oktaBDE (c-oktaBDE) i komercijalni decaBDE (c-decaBDE) (Alaee et al., 2003; Prevedouros et al., 2004; SFT, 2009). Hemijska imena, CAS brojevi i trgovačka imena I struktura PBDE su navedena u Tabeli </w:t>
      </w:r>
      <w:r w:rsidR="00E001F7" w:rsidRPr="00C86111">
        <w:rPr>
          <w:rFonts w:asciiTheme="minorHAnsi" w:hAnsiTheme="minorHAnsi" w:cstheme="minorHAnsi"/>
          <w:color w:val="auto"/>
          <w:szCs w:val="24"/>
        </w:rPr>
        <w:t>42</w:t>
      </w:r>
      <w:r w:rsidRPr="00C86111">
        <w:rPr>
          <w:rFonts w:asciiTheme="minorHAnsi" w:hAnsiTheme="minorHAnsi" w:cstheme="minorHAnsi"/>
          <w:color w:val="auto"/>
          <w:szCs w:val="24"/>
        </w:rPr>
        <w:t xml:space="preserve"> i Slici 1.</w:t>
      </w:r>
    </w:p>
    <w:p w14:paraId="58EE98A2" w14:textId="77777777" w:rsidR="00C23D65" w:rsidRPr="00C86111" w:rsidRDefault="00C23D65" w:rsidP="00C23D65">
      <w:pPr>
        <w:jc w:val="both"/>
        <w:rPr>
          <w:rFonts w:asciiTheme="minorHAnsi" w:hAnsiTheme="minorHAnsi" w:cstheme="minorHAnsi"/>
          <w:color w:val="auto"/>
          <w:szCs w:val="24"/>
        </w:rPr>
      </w:pPr>
    </w:p>
    <w:p w14:paraId="546260DB" w14:textId="0D5FF56A"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E001F7" w:rsidRPr="00C86111">
        <w:rPr>
          <w:rFonts w:asciiTheme="minorHAnsi" w:hAnsiTheme="minorHAnsi" w:cstheme="minorHAnsi"/>
          <w:b/>
          <w:bCs/>
          <w:color w:val="auto"/>
          <w:szCs w:val="24"/>
        </w:rPr>
        <w:t>42</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Hemijski identitet/imena, CAS brojevi, trgovačka imena i struktura PBDE</w:t>
      </w:r>
    </w:p>
    <w:tbl>
      <w:tblPr>
        <w:tblStyle w:val="GridTable5Dark-Accent6"/>
        <w:tblW w:w="9210" w:type="dxa"/>
        <w:tblLayout w:type="fixed"/>
        <w:tblLook w:val="04A0" w:firstRow="1" w:lastRow="0" w:firstColumn="1" w:lastColumn="0" w:noHBand="0" w:noVBand="1"/>
      </w:tblPr>
      <w:tblGrid>
        <w:gridCol w:w="2010"/>
        <w:gridCol w:w="7200"/>
      </w:tblGrid>
      <w:tr w:rsidR="00C23D65" w:rsidRPr="00C86111" w14:paraId="59485271" w14:textId="77777777" w:rsidTr="00C23D65">
        <w:trPr>
          <w:cnfStyle w:val="100000000000" w:firstRow="1" w:lastRow="0" w:firstColumn="0" w:lastColumn="0" w:oddVBand="0" w:evenVBand="0" w:oddHBand="0"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2010" w:type="dxa"/>
            <w:tcBorders>
              <w:bottom w:val="single" w:sz="4" w:space="0" w:color="FFFFFF" w:themeColor="background1"/>
            </w:tcBorders>
            <w:hideMark/>
          </w:tcPr>
          <w:p w14:paraId="4790F2EE" w14:textId="77777777" w:rsidR="00C23D65" w:rsidRPr="00C86111" w:rsidRDefault="00C23D65">
            <w:pPr>
              <w:pStyle w:val="Text"/>
              <w:tabs>
                <w:tab w:val="left" w:pos="3510"/>
              </w:tabs>
              <w:jc w:val="both"/>
              <w:rPr>
                <w:rFonts w:asciiTheme="minorHAnsi" w:hAnsiTheme="minorHAnsi" w:cstheme="minorHAnsi"/>
                <w:color w:val="auto"/>
                <w:sz w:val="20"/>
                <w:szCs w:val="20"/>
              </w:rPr>
            </w:pPr>
            <w:r w:rsidRPr="00C86111">
              <w:rPr>
                <w:rFonts w:asciiTheme="minorHAnsi" w:hAnsiTheme="minorHAnsi" w:cstheme="minorHAnsi"/>
                <w:sz w:val="20"/>
                <w:szCs w:val="20"/>
              </w:rPr>
              <w:t>Hemijsko ime i sinonimi</w:t>
            </w:r>
          </w:p>
        </w:tc>
        <w:tc>
          <w:tcPr>
            <w:tcW w:w="7200" w:type="dxa"/>
            <w:tcBorders>
              <w:bottom w:val="single" w:sz="4" w:space="0" w:color="FFFFFF" w:themeColor="background1"/>
            </w:tcBorders>
            <w:hideMark/>
          </w:tcPr>
          <w:p w14:paraId="1EC46529" w14:textId="77777777" w:rsidR="00C23D65" w:rsidRPr="00C86111" w:rsidRDefault="00C23D65">
            <w:pPr>
              <w:pStyle w:val="Text"/>
              <w:tabs>
                <w:tab w:val="left" w:pos="351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auto"/>
                <w:sz w:val="20"/>
                <w:szCs w:val="20"/>
              </w:rPr>
            </w:pPr>
            <w:r w:rsidRPr="00C86111">
              <w:rPr>
                <w:rFonts w:asciiTheme="minorHAnsi" w:hAnsiTheme="minorHAnsi" w:cstheme="minorHAnsi"/>
                <w:sz w:val="20"/>
                <w:szCs w:val="20"/>
              </w:rPr>
              <w:t>DecaBDE:</w:t>
            </w:r>
            <w:r w:rsidRPr="00C86111">
              <w:rPr>
                <w:rFonts w:asciiTheme="minorHAnsi" w:hAnsiTheme="minorHAnsi" w:cstheme="minorHAnsi"/>
                <w:b w:val="0"/>
                <w:bCs w:val="0"/>
                <w:sz w:val="20"/>
                <w:szCs w:val="20"/>
              </w:rPr>
              <w:t xml:space="preserve"> CAS: Benzene, 1,1'-oxybis[2,3,4,5,6-pentabromo-] IUPAC: 2,3,4,5,6-Pentabromo-1-(2,3,4,5,6-pentabromophenoxy)benzene; decabromodiphenyl ether, decabromodiphenyl oxide, DBDPE, DBBE, DBBO, DBDPO</w:t>
            </w:r>
          </w:p>
          <w:p w14:paraId="6F69A16B" w14:textId="77777777" w:rsidR="00C23D65" w:rsidRPr="00C86111" w:rsidRDefault="00C23D65">
            <w:pPr>
              <w:pStyle w:val="Text"/>
              <w:tabs>
                <w:tab w:val="left" w:pos="351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auto"/>
                <w:sz w:val="20"/>
                <w:szCs w:val="20"/>
              </w:rPr>
            </w:pPr>
            <w:r w:rsidRPr="00C86111">
              <w:rPr>
                <w:rFonts w:asciiTheme="minorHAnsi" w:hAnsiTheme="minorHAnsi" w:cstheme="minorHAnsi"/>
                <w:sz w:val="20"/>
                <w:szCs w:val="20"/>
              </w:rPr>
              <w:t>OctaBDE:</w:t>
            </w:r>
            <w:r w:rsidRPr="00C86111">
              <w:rPr>
                <w:rFonts w:asciiTheme="minorHAnsi" w:hAnsiTheme="minorHAnsi" w:cstheme="minorHAnsi"/>
                <w:b w:val="0"/>
                <w:bCs w:val="0"/>
                <w:sz w:val="20"/>
                <w:szCs w:val="20"/>
              </w:rPr>
              <w:t xml:space="preserve"> Diphenyl ether, octabromo derivative (octabromodiphenyl ether)</w:t>
            </w:r>
          </w:p>
          <w:p w14:paraId="426289AC" w14:textId="77777777" w:rsidR="00C23D65" w:rsidRPr="00C86111" w:rsidRDefault="00C23D65">
            <w:pPr>
              <w:pStyle w:val="Text"/>
              <w:tabs>
                <w:tab w:val="left" w:pos="351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sz w:val="20"/>
                <w:szCs w:val="20"/>
              </w:rPr>
              <w:t>PentaBDE</w:t>
            </w:r>
            <w:r w:rsidRPr="00C86111">
              <w:rPr>
                <w:rFonts w:asciiTheme="minorHAnsi" w:hAnsiTheme="minorHAnsi" w:cstheme="minorHAnsi"/>
                <w:b w:val="0"/>
                <w:bCs w:val="0"/>
                <w:sz w:val="20"/>
                <w:szCs w:val="20"/>
              </w:rPr>
              <w:t>: Diphenyl ether, pentabromo derivative (pentabromodiphenyl ether)</w:t>
            </w:r>
          </w:p>
        </w:tc>
      </w:tr>
      <w:tr w:rsidR="00C23D65" w:rsidRPr="00C86111" w14:paraId="55EA366D" w14:textId="77777777" w:rsidTr="00C23D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0" w:type="dxa"/>
            <w:tcBorders>
              <w:top w:val="single" w:sz="4" w:space="0" w:color="FFFFFF" w:themeColor="background1"/>
              <w:bottom w:val="single" w:sz="4" w:space="0" w:color="FFFFFF" w:themeColor="background1"/>
              <w:right w:val="single" w:sz="4" w:space="0" w:color="FFFFFF" w:themeColor="background1"/>
            </w:tcBorders>
            <w:hideMark/>
          </w:tcPr>
          <w:p w14:paraId="468F936A" w14:textId="77777777" w:rsidR="00C23D65" w:rsidRPr="00C86111" w:rsidRDefault="00C23D65">
            <w:pPr>
              <w:pStyle w:val="Text"/>
              <w:tabs>
                <w:tab w:val="left" w:pos="3510"/>
              </w:tabs>
              <w:jc w:val="both"/>
              <w:rPr>
                <w:rFonts w:asciiTheme="minorHAnsi" w:hAnsiTheme="minorHAnsi" w:cstheme="minorHAnsi"/>
                <w:color w:val="auto"/>
                <w:sz w:val="20"/>
                <w:szCs w:val="20"/>
              </w:rPr>
            </w:pPr>
            <w:r w:rsidRPr="00C86111">
              <w:rPr>
                <w:rFonts w:asciiTheme="minorHAnsi" w:hAnsiTheme="minorHAnsi" w:cstheme="minorHAnsi"/>
                <w:sz w:val="20"/>
                <w:szCs w:val="20"/>
              </w:rPr>
              <w:t>CAS broj</w:t>
            </w:r>
          </w:p>
        </w:tc>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172599" w14:textId="77777777" w:rsidR="00C23D65" w:rsidRPr="00C86111" w:rsidRDefault="00C23D65" w:rsidP="00004F34">
            <w:pPr>
              <w:numPr>
                <w:ilvl w:val="0"/>
                <w:numId w:val="179"/>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Komercijalni pentaBDE: CAS 32534-81-9</w:t>
            </w:r>
          </w:p>
          <w:p w14:paraId="4C0A1B20" w14:textId="77777777" w:rsidR="00C23D65" w:rsidRPr="00C86111" w:rsidRDefault="00C23D65" w:rsidP="00004F34">
            <w:pPr>
              <w:numPr>
                <w:ilvl w:val="0"/>
                <w:numId w:val="179"/>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Komercijalni oktaBDE: CAS 32536-52-0</w:t>
            </w:r>
          </w:p>
          <w:p w14:paraId="3ABF6B79" w14:textId="77777777" w:rsidR="00C23D65" w:rsidRPr="00C86111" w:rsidRDefault="00C23D65" w:rsidP="00004F34">
            <w:pPr>
              <w:numPr>
                <w:ilvl w:val="0"/>
                <w:numId w:val="179"/>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Komercijalni decaBDE: CAS 1163-19-5</w:t>
            </w:r>
          </w:p>
          <w:p w14:paraId="5C8ADA6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Ranije korišćeni CAS brojevi: 109945-70-2, 145538-74-5 i 1201677-32-8 (formalno obrisani, ali još uvijek u upotrebi kod nekih proizvođača i dobavljača)</w:t>
            </w:r>
          </w:p>
        </w:tc>
      </w:tr>
      <w:tr w:rsidR="00C23D65" w:rsidRPr="00C86111" w14:paraId="5BC22523" w14:textId="77777777" w:rsidTr="00C23D65">
        <w:trPr>
          <w:trHeight w:val="1971"/>
        </w:trPr>
        <w:tc>
          <w:tcPr>
            <w:cnfStyle w:val="001000000000" w:firstRow="0" w:lastRow="0" w:firstColumn="1" w:lastColumn="0" w:oddVBand="0" w:evenVBand="0" w:oddHBand="0" w:evenHBand="0" w:firstRowFirstColumn="0" w:firstRowLastColumn="0" w:lastRowFirstColumn="0" w:lastRowLastColumn="0"/>
            <w:tcW w:w="2010" w:type="dxa"/>
            <w:tcBorders>
              <w:top w:val="single" w:sz="4" w:space="0" w:color="FFFFFF" w:themeColor="background1"/>
              <w:bottom w:val="single" w:sz="4" w:space="0" w:color="FFFFFF" w:themeColor="background1"/>
              <w:right w:val="single" w:sz="4" w:space="0" w:color="FFFFFF" w:themeColor="background1"/>
            </w:tcBorders>
            <w:hideMark/>
          </w:tcPr>
          <w:p w14:paraId="1536E198" w14:textId="77777777" w:rsidR="00C23D65" w:rsidRPr="00C86111" w:rsidRDefault="00C23D65">
            <w:pPr>
              <w:pStyle w:val="Text"/>
              <w:tabs>
                <w:tab w:val="left" w:pos="3510"/>
              </w:tabs>
              <w:jc w:val="both"/>
              <w:rPr>
                <w:rFonts w:asciiTheme="minorHAnsi" w:hAnsiTheme="minorHAnsi" w:cstheme="minorHAnsi"/>
                <w:color w:val="auto"/>
                <w:sz w:val="20"/>
                <w:szCs w:val="20"/>
              </w:rPr>
            </w:pPr>
            <w:r w:rsidRPr="00C86111">
              <w:rPr>
                <w:rFonts w:asciiTheme="minorHAnsi" w:hAnsiTheme="minorHAnsi" w:cstheme="minorHAnsi"/>
                <w:sz w:val="20"/>
                <w:szCs w:val="20"/>
              </w:rPr>
              <w:t>Molekulska I strukturna formula</w:t>
            </w:r>
          </w:p>
        </w:tc>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795091" w14:textId="77777777" w:rsidR="00C23D65" w:rsidRPr="00C86111" w:rsidRDefault="00C23D65">
            <w:pPr>
              <w:pStyle w:val="Text"/>
              <w:tabs>
                <w:tab w:val="left" w:pos="351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C86111">
              <w:rPr>
                <w:rFonts w:asciiTheme="minorHAnsi" w:hAnsiTheme="minorHAnsi" w:cstheme="minorHAnsi"/>
                <w:sz w:val="20"/>
                <w:szCs w:val="20"/>
              </w:rPr>
              <w:t>C</w:t>
            </w:r>
            <w:r w:rsidRPr="00C86111">
              <w:rPr>
                <w:rFonts w:asciiTheme="minorHAnsi" w:hAnsiTheme="minorHAnsi" w:cstheme="minorHAnsi"/>
                <w:sz w:val="20"/>
                <w:szCs w:val="20"/>
                <w:vertAlign w:val="subscript"/>
              </w:rPr>
              <w:t>12</w:t>
            </w:r>
            <w:r w:rsidRPr="00C86111">
              <w:rPr>
                <w:rFonts w:asciiTheme="minorHAnsi" w:hAnsiTheme="minorHAnsi" w:cstheme="minorHAnsi"/>
                <w:sz w:val="20"/>
                <w:szCs w:val="20"/>
              </w:rPr>
              <w:t>H</w:t>
            </w:r>
            <w:r w:rsidRPr="00C86111">
              <w:rPr>
                <w:rFonts w:asciiTheme="minorHAnsi" w:hAnsiTheme="minorHAnsi" w:cstheme="minorHAnsi"/>
                <w:sz w:val="20"/>
                <w:szCs w:val="20"/>
                <w:vertAlign w:val="subscript"/>
              </w:rPr>
              <w:t>10-m-n</w:t>
            </w:r>
            <w:r w:rsidRPr="00C86111">
              <w:rPr>
                <w:rFonts w:asciiTheme="minorHAnsi" w:hAnsiTheme="minorHAnsi" w:cstheme="minorHAnsi"/>
                <w:sz w:val="20"/>
                <w:szCs w:val="20"/>
              </w:rPr>
              <w:t>Br</w:t>
            </w:r>
            <w:r w:rsidRPr="00C86111">
              <w:rPr>
                <w:rFonts w:asciiTheme="minorHAnsi" w:hAnsiTheme="minorHAnsi" w:cstheme="minorHAnsi"/>
                <w:sz w:val="20"/>
                <w:szCs w:val="20"/>
                <w:vertAlign w:val="subscript"/>
              </w:rPr>
              <w:t>m+n</w:t>
            </w:r>
            <w:r w:rsidRPr="00C86111">
              <w:rPr>
                <w:rFonts w:asciiTheme="minorHAnsi" w:hAnsiTheme="minorHAnsi" w:cstheme="minorHAnsi"/>
                <w:sz w:val="20"/>
                <w:szCs w:val="20"/>
              </w:rPr>
              <w:t>O (m + n = 1–10)</w:t>
            </w:r>
          </w:p>
          <w:p w14:paraId="4A14CE66" w14:textId="6D5A03FA" w:rsidR="00C23D65" w:rsidRPr="00C86111" w:rsidRDefault="00C23D65">
            <w:pPr>
              <w:pStyle w:val="Text"/>
              <w:tabs>
                <w:tab w:val="left" w:pos="351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C86111">
              <w:rPr>
                <w:rFonts w:asciiTheme="minorHAnsi" w:hAnsiTheme="minorHAnsi" w:cstheme="minorHAnsi"/>
                <w:i/>
                <w:noProof/>
                <w:sz w:val="20"/>
                <w:szCs w:val="20"/>
                <w14:textOutline w14:w="0" w14:cap="rnd" w14:cmpd="sng" w14:algn="ctr">
                  <w14:noFill/>
                  <w14:prstDash w14:val="solid"/>
                  <w14:bevel/>
                </w14:textOutline>
              </w:rPr>
              <w:drawing>
                <wp:inline distT="0" distB="0" distL="0" distR="0" wp14:anchorId="596806A2" wp14:editId="76B087E3">
                  <wp:extent cx="2887980" cy="883920"/>
                  <wp:effectExtent l="0" t="0" r="0" b="0"/>
                  <wp:docPr id="16" name="Picture 16" descr="Description: Polybrominated_diphenyl_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olybrominated_diphenyl_eth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980" cy="883920"/>
                          </a:xfrm>
                          <a:prstGeom prst="rect">
                            <a:avLst/>
                          </a:prstGeom>
                          <a:noFill/>
                          <a:ln>
                            <a:noFill/>
                          </a:ln>
                        </pic:spPr>
                      </pic:pic>
                    </a:graphicData>
                  </a:graphic>
                </wp:inline>
              </w:drawing>
            </w:r>
          </w:p>
          <w:p w14:paraId="1B3F057C" w14:textId="77777777" w:rsidR="00C23D65" w:rsidRPr="00C86111" w:rsidRDefault="00C23D65">
            <w:pPr>
              <w:pStyle w:val="Text"/>
              <w:tabs>
                <w:tab w:val="left" w:pos="351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sz w:val="20"/>
                <w:szCs w:val="20"/>
              </w:rPr>
              <w:t>Slika 1:</w:t>
            </w:r>
            <w:r w:rsidRPr="00C86111">
              <w:rPr>
                <w:rFonts w:asciiTheme="minorHAnsi" w:hAnsiTheme="minorHAnsi" w:cstheme="minorHAnsi"/>
                <w:sz w:val="20"/>
                <w:szCs w:val="20"/>
              </w:rPr>
              <w:t xml:space="preserve"> Struktura polibromovanog difenil etra (PBDEs)</w:t>
            </w:r>
          </w:p>
        </w:tc>
      </w:tr>
      <w:tr w:rsidR="00C23D65" w:rsidRPr="00C86111" w14:paraId="2932754B" w14:textId="77777777" w:rsidTr="00C23D65">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010" w:type="dxa"/>
            <w:tcBorders>
              <w:top w:val="single" w:sz="4" w:space="0" w:color="FFFFFF" w:themeColor="background1"/>
              <w:right w:val="single" w:sz="4" w:space="0" w:color="FFFFFF" w:themeColor="background1"/>
            </w:tcBorders>
            <w:hideMark/>
          </w:tcPr>
          <w:p w14:paraId="4217874E" w14:textId="77777777" w:rsidR="00C23D65" w:rsidRPr="00C86111" w:rsidRDefault="00C23D65">
            <w:pPr>
              <w:pStyle w:val="Text"/>
              <w:tabs>
                <w:tab w:val="left" w:pos="3510"/>
              </w:tabs>
              <w:jc w:val="both"/>
              <w:rPr>
                <w:rFonts w:asciiTheme="minorHAnsi" w:hAnsiTheme="minorHAnsi" w:cstheme="minorHAnsi"/>
                <w:color w:val="auto"/>
                <w:sz w:val="20"/>
                <w:szCs w:val="20"/>
              </w:rPr>
            </w:pPr>
            <w:r w:rsidRPr="00C86111">
              <w:rPr>
                <w:rFonts w:asciiTheme="minorHAnsi" w:hAnsiTheme="minorHAnsi" w:cstheme="minorHAnsi"/>
                <w:sz w:val="20"/>
                <w:szCs w:val="20"/>
              </w:rPr>
              <w:t>Trgovački naziv</w:t>
            </w:r>
          </w:p>
        </w:tc>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AEA224" w14:textId="77777777" w:rsidR="00C23D65" w:rsidRPr="00C86111" w:rsidRDefault="00C23D65">
            <w:pPr>
              <w:pStyle w:val="Text"/>
              <w:tabs>
                <w:tab w:val="left" w:pos="351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0"/>
                <w:szCs w:val="20"/>
              </w:rPr>
            </w:pPr>
            <w:r w:rsidRPr="00C86111">
              <w:rPr>
                <w:rFonts w:asciiTheme="minorHAnsi" w:hAnsiTheme="minorHAnsi" w:cstheme="minorHAnsi"/>
                <w:b/>
                <w:bCs/>
                <w:sz w:val="20"/>
                <w:szCs w:val="20"/>
                <w:lang w:val="fr-FR"/>
              </w:rPr>
              <w:t>DecaBDE</w:t>
            </w:r>
            <w:r w:rsidRPr="00C86111">
              <w:rPr>
                <w:rFonts w:asciiTheme="minorHAnsi" w:hAnsiTheme="minorHAnsi" w:cstheme="minorHAnsi"/>
                <w:sz w:val="20"/>
                <w:szCs w:val="20"/>
                <w:lang w:val="fr-FR"/>
              </w:rPr>
              <w:t xml:space="preserve">: DE-83R, DE-83, Bromkal 82-ODE, Bromkal 70-5, Saytex 102 E, FR1210, Flamecut 110R. OctaBDE: DE-79; Bromkal 79-8DE; </w:t>
            </w:r>
          </w:p>
          <w:p w14:paraId="158EFAA6" w14:textId="77777777" w:rsidR="00C23D65" w:rsidRPr="00C86111" w:rsidRDefault="00C23D65">
            <w:pPr>
              <w:pStyle w:val="Text"/>
              <w:tabs>
                <w:tab w:val="left" w:pos="351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b/>
                <w:bCs/>
                <w:sz w:val="20"/>
                <w:szCs w:val="20"/>
                <w:lang w:val="fr-FR"/>
              </w:rPr>
              <w:t>PentaBDE</w:t>
            </w:r>
            <w:r w:rsidRPr="00C86111">
              <w:rPr>
                <w:rFonts w:asciiTheme="minorHAnsi" w:hAnsiTheme="minorHAnsi" w:cstheme="minorHAnsi"/>
                <w:sz w:val="20"/>
                <w:szCs w:val="20"/>
                <w:lang w:val="fr-FR"/>
              </w:rPr>
              <w:t>: DE-71 Bromkal 70DE; Bromkal 70-5DE</w:t>
            </w:r>
          </w:p>
        </w:tc>
      </w:tr>
    </w:tbl>
    <w:p w14:paraId="0FCA8090" w14:textId="77777777" w:rsidR="00C23D65" w:rsidRPr="00C86111" w:rsidRDefault="00C23D65" w:rsidP="00C23D65">
      <w:pPr>
        <w:jc w:val="both"/>
        <w:rPr>
          <w:rFonts w:asciiTheme="minorHAnsi" w:hAnsiTheme="minorHAnsi" w:cstheme="minorHAnsi"/>
          <w:color w:val="auto"/>
          <w:szCs w:val="24"/>
        </w:rPr>
      </w:pPr>
    </w:p>
    <w:p w14:paraId="66B2BE45" w14:textId="77777777" w:rsidR="00C23D65" w:rsidRPr="00C86111" w:rsidRDefault="00C23D65" w:rsidP="00C23D65">
      <w:pPr>
        <w:jc w:val="both"/>
        <w:rPr>
          <w:rFonts w:asciiTheme="minorHAnsi" w:hAnsiTheme="minorHAnsi" w:cstheme="minorHAnsi"/>
          <w:color w:val="auto"/>
          <w:szCs w:val="24"/>
        </w:rPr>
      </w:pPr>
    </w:p>
    <w:p w14:paraId="723A527A" w14:textId="77777777" w:rsidR="00C23D65" w:rsidRPr="00C86111" w:rsidRDefault="00C23D65" w:rsidP="00C23D65">
      <w:pPr>
        <w:jc w:val="both"/>
        <w:rPr>
          <w:rFonts w:asciiTheme="minorHAnsi" w:hAnsiTheme="minorHAnsi" w:cstheme="minorHAnsi"/>
          <w:color w:val="auto"/>
          <w:szCs w:val="24"/>
        </w:rPr>
      </w:pPr>
    </w:p>
    <w:p w14:paraId="427B045D" w14:textId="77777777" w:rsidR="00C23D65" w:rsidRPr="00C86111" w:rsidRDefault="00C23D65" w:rsidP="00C23D65">
      <w:pPr>
        <w:jc w:val="both"/>
        <w:rPr>
          <w:rFonts w:asciiTheme="minorHAnsi" w:hAnsiTheme="minorHAnsi" w:cstheme="minorHAnsi"/>
          <w:color w:val="auto"/>
          <w:szCs w:val="24"/>
        </w:rPr>
      </w:pPr>
    </w:p>
    <w:p w14:paraId="046328F3" w14:textId="77777777" w:rsidR="00C23D65" w:rsidRPr="00C86111" w:rsidRDefault="00C23D65" w:rsidP="00C23D65">
      <w:pPr>
        <w:jc w:val="both"/>
        <w:rPr>
          <w:rFonts w:asciiTheme="minorHAnsi" w:hAnsiTheme="minorHAnsi" w:cstheme="minorHAnsi"/>
          <w:color w:val="auto"/>
          <w:szCs w:val="24"/>
        </w:rPr>
      </w:pPr>
    </w:p>
    <w:p w14:paraId="6B26987D" w14:textId="77777777" w:rsidR="00C23D65" w:rsidRPr="00C86111" w:rsidRDefault="00C23D65" w:rsidP="00C23D65">
      <w:pPr>
        <w:jc w:val="both"/>
        <w:rPr>
          <w:rFonts w:asciiTheme="minorHAnsi" w:hAnsiTheme="minorHAnsi" w:cstheme="minorHAnsi"/>
          <w:b/>
          <w:bCs/>
          <w:color w:val="auto"/>
          <w:szCs w:val="24"/>
        </w:rPr>
      </w:pPr>
    </w:p>
    <w:p w14:paraId="42B4E5AD" w14:textId="77777777" w:rsidR="00C23D65" w:rsidRPr="00C86111" w:rsidRDefault="00C23D65" w:rsidP="00004F34">
      <w:pPr>
        <w:pStyle w:val="Heading1"/>
        <w:numPr>
          <w:ilvl w:val="1"/>
          <w:numId w:val="238"/>
        </w:numPr>
        <w:rPr>
          <w:rFonts w:cs="Times New Roman"/>
        </w:rPr>
      </w:pPr>
      <w:bookmarkStart w:id="83" w:name="_Toc220541884"/>
      <w:r w:rsidRPr="00C86111">
        <w:lastRenderedPageBreak/>
        <w:t>POP-PBDE i HBB prema Stokholmskoj konvenciji</w:t>
      </w:r>
      <w:bookmarkEnd w:id="83"/>
    </w:p>
    <w:p w14:paraId="01BFAC5B"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U maju 2009. godine Stokholmska konvencija (SC) o dugotrajnim organskim zagađivačima (POPs) izmijenjena je odlukom Konferencije stranaka, kojom su u Prilog A uvršteni određeni bromovani usporivači plamena (BFR). Uvrštene supstance uključivale su ključne polibromovane difenil etere (PBDE) iz komercijalnih mješavina pentaBDE i oktaBDE, i to:</w:t>
      </w:r>
    </w:p>
    <w:p w14:paraId="3143C9D8" w14:textId="77777777" w:rsidR="00C23D65" w:rsidRPr="00C86111" w:rsidRDefault="00C23D65" w:rsidP="00004F34">
      <w:pPr>
        <w:numPr>
          <w:ilvl w:val="0"/>
          <w:numId w:val="180"/>
        </w:numPr>
        <w:jc w:val="both"/>
        <w:rPr>
          <w:rFonts w:asciiTheme="minorHAnsi" w:hAnsiTheme="minorHAnsi" w:cstheme="minorHAnsi"/>
          <w:color w:val="auto"/>
          <w:szCs w:val="24"/>
        </w:rPr>
      </w:pPr>
      <w:r w:rsidRPr="00C86111">
        <w:rPr>
          <w:rFonts w:asciiTheme="minorHAnsi" w:hAnsiTheme="minorHAnsi" w:cstheme="minorHAnsi"/>
          <w:color w:val="auto"/>
          <w:szCs w:val="24"/>
        </w:rPr>
        <w:t>tetrabromodifenil eter (tetraBDE) i pentabromodifenil eter (pentaBDE),</w:t>
      </w:r>
    </w:p>
    <w:p w14:paraId="10A33273" w14:textId="77777777" w:rsidR="00C23D65" w:rsidRPr="00C86111" w:rsidRDefault="00C23D65" w:rsidP="00004F34">
      <w:pPr>
        <w:numPr>
          <w:ilvl w:val="0"/>
          <w:numId w:val="180"/>
        </w:numPr>
        <w:jc w:val="both"/>
        <w:rPr>
          <w:rFonts w:asciiTheme="minorHAnsi" w:hAnsiTheme="minorHAnsi" w:cstheme="minorHAnsi"/>
          <w:color w:val="auto"/>
          <w:szCs w:val="24"/>
        </w:rPr>
      </w:pPr>
      <w:r w:rsidRPr="00C86111">
        <w:rPr>
          <w:rFonts w:asciiTheme="minorHAnsi" w:hAnsiTheme="minorHAnsi" w:cstheme="minorHAnsi"/>
          <w:color w:val="auto"/>
          <w:szCs w:val="24"/>
        </w:rPr>
        <w:t>heksabromodifenil eter (hexaBDE) i heptabromodifenil eter (heptaBDE),</w:t>
      </w:r>
    </w:p>
    <w:p w14:paraId="5FD31B20" w14:textId="77777777" w:rsidR="00C23D65" w:rsidRPr="00C86111" w:rsidRDefault="00C23D65" w:rsidP="00004F34">
      <w:pPr>
        <w:numPr>
          <w:ilvl w:val="0"/>
          <w:numId w:val="180"/>
        </w:numPr>
        <w:jc w:val="both"/>
        <w:rPr>
          <w:rFonts w:asciiTheme="minorHAnsi" w:hAnsiTheme="minorHAnsi" w:cstheme="minorHAnsi"/>
          <w:color w:val="auto"/>
          <w:szCs w:val="24"/>
        </w:rPr>
      </w:pPr>
      <w:r w:rsidRPr="00C86111">
        <w:rPr>
          <w:rFonts w:asciiTheme="minorHAnsi" w:hAnsiTheme="minorHAnsi" w:cstheme="minorHAnsi"/>
          <w:color w:val="auto"/>
          <w:szCs w:val="24"/>
        </w:rPr>
        <w:t>heksabromobifenil (HBB).</w:t>
      </w:r>
    </w:p>
    <w:p w14:paraId="40C4810D"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U maju 2017. godine Prilog A dodatno je izmijenjen odlukom SC-8/10, kojom je uvršten dekabromodifenil eter (decaBDE; BDE-209) iz komercijalne smjese decaBDE (c-decaBDE), uz propisane specifične izuzetke za njegovu proizvodnju i upotrebu. Proizvodnja i upotreba decaBDE moraju biti ukinute, osim u slučaju kada stranka obavijesti Sekretarijat o svojoj namjeri da ga proizvodi ili koristi u skladu sa članom 4. Priloga A. Dio IX Priloga A definiše posebne izuzetke za decaBDE.</w:t>
      </w:r>
    </w:p>
    <w:p w14:paraId="4D97B52D"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Za razliku od PBDE jedinjenja koja su uvrštena 2009. godine, za koja su postojali izuzeci u pogledu reciklaže, ne postoje izuzeci za reciklažu proizvoda koji sadrže decaBDE.</w:t>
      </w:r>
    </w:p>
    <w:p w14:paraId="512A1BFD" w14:textId="77777777" w:rsidR="00C23D65" w:rsidRPr="00C86111" w:rsidRDefault="00C23D65" w:rsidP="00004F34">
      <w:pPr>
        <w:pStyle w:val="Heading1"/>
        <w:numPr>
          <w:ilvl w:val="1"/>
          <w:numId w:val="238"/>
        </w:numPr>
        <w:rPr>
          <w:rFonts w:asciiTheme="minorHAnsi" w:hAnsiTheme="minorHAnsi" w:cstheme="minorHAnsi"/>
          <w:szCs w:val="24"/>
        </w:rPr>
      </w:pPr>
      <w:bookmarkStart w:id="84" w:name="_Toc220541885"/>
      <w:r w:rsidRPr="00C86111">
        <w:t>Prošla i sadašnja upotreba POP-PBDE i HBB</w:t>
      </w:r>
      <w:bookmarkEnd w:id="84"/>
    </w:p>
    <w:p w14:paraId="57809AD7" w14:textId="77777777" w:rsidR="00C23D65" w:rsidRPr="00C86111" w:rsidRDefault="00C23D65" w:rsidP="00EA6904">
      <w:pPr>
        <w:pStyle w:val="Heading3"/>
      </w:pPr>
      <w:bookmarkStart w:id="85" w:name="_Toc220541886"/>
      <w:r w:rsidRPr="00C86111">
        <w:t>Prošla i sadašnja upotreba POP-PBDE</w:t>
      </w:r>
      <w:bookmarkEnd w:id="85"/>
    </w:p>
    <w:p w14:paraId="7BC11374" w14:textId="77777777" w:rsidR="00C23D65" w:rsidRPr="00C86111" w:rsidRDefault="00C23D65" w:rsidP="00C23D65"/>
    <w:p w14:paraId="391431D1" w14:textId="77777777" w:rsidR="00C23D65" w:rsidRPr="00C86111" w:rsidRDefault="00C23D65" w:rsidP="00C23D65">
      <w:pPr>
        <w:jc w:val="both"/>
        <w:rPr>
          <w:rFonts w:asciiTheme="minorHAnsi" w:hAnsiTheme="minorHAnsi" w:cstheme="minorHAnsi"/>
          <w:color w:val="auto"/>
          <w:szCs w:val="24"/>
          <w:lang w:val="sr-Latn-RS"/>
        </w:rPr>
      </w:pPr>
      <w:r w:rsidRPr="00C86111">
        <w:rPr>
          <w:rFonts w:asciiTheme="minorHAnsi" w:hAnsiTheme="minorHAnsi" w:cstheme="minorHAnsi"/>
          <w:color w:val="auto"/>
          <w:szCs w:val="24"/>
        </w:rPr>
        <w:t xml:space="preserve">Glavne industrije u kojima se koristio </w:t>
      </w:r>
      <w:r w:rsidRPr="00C86111">
        <w:rPr>
          <w:rFonts w:asciiTheme="minorHAnsi" w:hAnsiTheme="minorHAnsi" w:cstheme="minorHAnsi"/>
          <w:b/>
          <w:bCs/>
          <w:color w:val="auto"/>
          <w:szCs w:val="24"/>
        </w:rPr>
        <w:t xml:space="preserve">POP-PBDE </w:t>
      </w:r>
      <w:r w:rsidRPr="00C86111">
        <w:rPr>
          <w:rFonts w:asciiTheme="minorHAnsi" w:hAnsiTheme="minorHAnsi" w:cstheme="minorHAnsi"/>
          <w:color w:val="auto"/>
          <w:szCs w:val="24"/>
        </w:rPr>
        <w:t>su:</w:t>
      </w:r>
    </w:p>
    <w:p w14:paraId="56C7EF53" w14:textId="77777777" w:rsidR="00C23D65" w:rsidRPr="00C86111" w:rsidRDefault="00C23D65" w:rsidP="00004F34">
      <w:pPr>
        <w:numPr>
          <w:ilvl w:val="0"/>
          <w:numId w:val="181"/>
        </w:numPr>
        <w:jc w:val="both"/>
        <w:rPr>
          <w:rFonts w:asciiTheme="minorHAnsi" w:hAnsiTheme="minorHAnsi" w:cstheme="minorHAnsi"/>
          <w:color w:val="auto"/>
          <w:szCs w:val="24"/>
        </w:rPr>
      </w:pPr>
      <w:r w:rsidRPr="00C86111">
        <w:rPr>
          <w:rFonts w:asciiTheme="minorHAnsi" w:hAnsiTheme="minorHAnsi" w:cstheme="minorHAnsi"/>
          <w:color w:val="auto"/>
          <w:szCs w:val="24"/>
        </w:rPr>
        <w:t>Elektroindustrija i industrija elektronike;</w:t>
      </w:r>
    </w:p>
    <w:p w14:paraId="4F35192B" w14:textId="77777777" w:rsidR="00C23D65" w:rsidRPr="00C86111" w:rsidRDefault="00C23D65" w:rsidP="00004F34">
      <w:pPr>
        <w:numPr>
          <w:ilvl w:val="0"/>
          <w:numId w:val="181"/>
        </w:numPr>
        <w:jc w:val="both"/>
        <w:rPr>
          <w:rFonts w:asciiTheme="minorHAnsi" w:hAnsiTheme="minorHAnsi" w:cstheme="minorHAnsi"/>
          <w:color w:val="auto"/>
          <w:szCs w:val="24"/>
        </w:rPr>
      </w:pPr>
      <w:r w:rsidRPr="00C86111">
        <w:rPr>
          <w:rFonts w:asciiTheme="minorHAnsi" w:hAnsiTheme="minorHAnsi" w:cstheme="minorHAnsi"/>
          <w:color w:val="auto"/>
          <w:szCs w:val="24"/>
        </w:rPr>
        <w:t>Transportna industrija;</w:t>
      </w:r>
    </w:p>
    <w:p w14:paraId="4313748B" w14:textId="77777777" w:rsidR="00C23D65" w:rsidRPr="00C86111" w:rsidRDefault="00C23D65" w:rsidP="00004F34">
      <w:pPr>
        <w:numPr>
          <w:ilvl w:val="0"/>
          <w:numId w:val="181"/>
        </w:numPr>
        <w:jc w:val="both"/>
        <w:rPr>
          <w:rFonts w:asciiTheme="minorHAnsi" w:hAnsiTheme="minorHAnsi" w:cstheme="minorHAnsi"/>
          <w:color w:val="auto"/>
          <w:szCs w:val="24"/>
        </w:rPr>
      </w:pPr>
      <w:r w:rsidRPr="00C86111">
        <w:rPr>
          <w:rFonts w:asciiTheme="minorHAnsi" w:hAnsiTheme="minorHAnsi" w:cstheme="minorHAnsi"/>
          <w:color w:val="auto"/>
          <w:szCs w:val="24"/>
        </w:rPr>
        <w:t>Industrija namještaja;</w:t>
      </w:r>
    </w:p>
    <w:p w14:paraId="5C6ABDE1" w14:textId="77777777" w:rsidR="00C23D65" w:rsidRPr="00C86111" w:rsidRDefault="00C23D65" w:rsidP="00004F34">
      <w:pPr>
        <w:numPr>
          <w:ilvl w:val="0"/>
          <w:numId w:val="181"/>
        </w:numPr>
        <w:jc w:val="both"/>
        <w:rPr>
          <w:rFonts w:asciiTheme="minorHAnsi" w:hAnsiTheme="minorHAnsi" w:cstheme="minorHAnsi"/>
          <w:color w:val="auto"/>
          <w:szCs w:val="24"/>
        </w:rPr>
      </w:pPr>
      <w:r w:rsidRPr="00C86111">
        <w:rPr>
          <w:rFonts w:asciiTheme="minorHAnsi" w:hAnsiTheme="minorHAnsi" w:cstheme="minorHAnsi"/>
          <w:color w:val="auto"/>
          <w:szCs w:val="24"/>
        </w:rPr>
        <w:t>Tekstilna i industrija tepiha;</w:t>
      </w:r>
    </w:p>
    <w:p w14:paraId="06034239" w14:textId="77777777" w:rsidR="00C23D65" w:rsidRPr="00C86111" w:rsidRDefault="00C23D65" w:rsidP="00004F34">
      <w:pPr>
        <w:numPr>
          <w:ilvl w:val="0"/>
          <w:numId w:val="181"/>
        </w:numPr>
        <w:jc w:val="both"/>
        <w:rPr>
          <w:rFonts w:asciiTheme="minorHAnsi" w:hAnsiTheme="minorHAnsi" w:cstheme="minorHAnsi"/>
          <w:color w:val="auto"/>
          <w:szCs w:val="24"/>
        </w:rPr>
      </w:pPr>
      <w:r w:rsidRPr="00C86111">
        <w:rPr>
          <w:rFonts w:asciiTheme="minorHAnsi" w:hAnsiTheme="minorHAnsi" w:cstheme="minorHAnsi"/>
          <w:color w:val="auto"/>
          <w:szCs w:val="24"/>
        </w:rPr>
        <w:t>Građevinska industrija;</w:t>
      </w:r>
    </w:p>
    <w:p w14:paraId="4610443F" w14:textId="77777777" w:rsidR="00C23D65" w:rsidRPr="00C86111" w:rsidRDefault="00C23D65" w:rsidP="00004F34">
      <w:pPr>
        <w:numPr>
          <w:ilvl w:val="0"/>
          <w:numId w:val="181"/>
        </w:numPr>
        <w:jc w:val="both"/>
        <w:rPr>
          <w:rFonts w:asciiTheme="minorHAnsi" w:hAnsiTheme="minorHAnsi" w:cstheme="minorHAnsi"/>
          <w:color w:val="auto"/>
          <w:szCs w:val="24"/>
        </w:rPr>
      </w:pPr>
      <w:r w:rsidRPr="00C86111">
        <w:rPr>
          <w:rFonts w:asciiTheme="minorHAnsi" w:hAnsiTheme="minorHAnsi" w:cstheme="minorHAnsi"/>
          <w:color w:val="auto"/>
          <w:szCs w:val="24"/>
        </w:rPr>
        <w:t>Industrije koje recikliraju plastiku ili druge materijale koji sadrže PBDE.</w:t>
      </w:r>
    </w:p>
    <w:p w14:paraId="7916FFEC"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PBDE su korišćeni u mnogim industrijskim sektorima za proizvodnju različitih proizvoda i artikala. Na primjer, POP-PBDE su korišćeni u industriji elektronike za izradu plastičnih kućišta računarske opreme, dok su u transportnoj industriji korišćeni za proizvodnju pjene za sjedišta vozila (Slika 2).</w:t>
      </w:r>
    </w:p>
    <w:p w14:paraId="0264F52D" w14:textId="77777777" w:rsidR="00C23D65" w:rsidRPr="00C86111" w:rsidRDefault="00C23D65" w:rsidP="00C23D65">
      <w:pPr>
        <w:jc w:val="both"/>
        <w:rPr>
          <w:rFonts w:asciiTheme="minorHAnsi" w:hAnsiTheme="minorHAnsi" w:cstheme="minorHAnsi"/>
          <w:color w:val="auto"/>
          <w:szCs w:val="24"/>
        </w:rPr>
      </w:pPr>
    </w:p>
    <w:p w14:paraId="761E7D4F" w14:textId="5CE1237A" w:rsidR="00C23D65" w:rsidRPr="00C86111" w:rsidRDefault="00C23D65" w:rsidP="00C23D65">
      <w:pPr>
        <w:jc w:val="center"/>
        <w:rPr>
          <w:rFonts w:asciiTheme="minorHAnsi" w:hAnsiTheme="minorHAnsi" w:cstheme="minorHAnsi"/>
          <w:color w:val="auto"/>
          <w:szCs w:val="24"/>
        </w:rPr>
      </w:pPr>
      <w:r w:rsidRPr="00C86111">
        <w:rPr>
          <w:rFonts w:asciiTheme="minorHAnsi" w:eastAsia="Calibri" w:hAnsiTheme="minorHAnsi" w:cstheme="minorHAnsi"/>
          <w:b/>
          <w:i/>
          <w:noProof/>
          <w:szCs w:val="24"/>
        </w:rPr>
        <w:drawing>
          <wp:inline distT="0" distB="0" distL="0" distR="0" wp14:anchorId="06D351FE" wp14:editId="6CC501C0">
            <wp:extent cx="3009900" cy="1691640"/>
            <wp:effectExtent l="0" t="0" r="0" b="3810"/>
            <wp:docPr id="15" name="Picture 15"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1691640"/>
                    </a:xfrm>
                    <a:prstGeom prst="rect">
                      <a:avLst/>
                    </a:prstGeom>
                    <a:noFill/>
                    <a:ln>
                      <a:noFill/>
                    </a:ln>
                  </pic:spPr>
                </pic:pic>
              </a:graphicData>
            </a:graphic>
          </wp:inline>
        </w:drawing>
      </w:r>
    </w:p>
    <w:p w14:paraId="0ABA4839" w14:textId="77777777" w:rsidR="00C23D65" w:rsidRPr="00C86111" w:rsidRDefault="00C23D65" w:rsidP="00C23D65">
      <w:pPr>
        <w:jc w:val="center"/>
        <w:rPr>
          <w:rFonts w:asciiTheme="minorHAnsi" w:hAnsiTheme="minorHAnsi" w:cstheme="minorHAnsi"/>
          <w:color w:val="auto"/>
          <w:szCs w:val="24"/>
        </w:rPr>
      </w:pPr>
      <w:r w:rsidRPr="00C86111">
        <w:rPr>
          <w:rFonts w:asciiTheme="minorHAnsi" w:hAnsiTheme="minorHAnsi" w:cstheme="minorHAnsi"/>
          <w:b/>
          <w:bCs/>
          <w:color w:val="auto"/>
          <w:szCs w:val="24"/>
        </w:rPr>
        <w:t>Slika 2.</w:t>
      </w:r>
      <w:r w:rsidRPr="00C86111">
        <w:rPr>
          <w:rFonts w:asciiTheme="minorHAnsi" w:hAnsiTheme="minorHAnsi" w:cstheme="minorHAnsi"/>
          <w:color w:val="auto"/>
          <w:szCs w:val="24"/>
        </w:rPr>
        <w:t xml:space="preserve"> Proizvodi i artikli koji sadrže POP-PBDE</w:t>
      </w:r>
    </w:p>
    <w:p w14:paraId="27717B50" w14:textId="77777777" w:rsidR="00C23D65" w:rsidRPr="00C86111" w:rsidRDefault="00C23D65" w:rsidP="00C23D65">
      <w:pPr>
        <w:jc w:val="both"/>
        <w:rPr>
          <w:rFonts w:asciiTheme="minorHAnsi" w:hAnsiTheme="minorHAnsi" w:cstheme="minorHAnsi"/>
          <w:color w:val="auto"/>
          <w:szCs w:val="24"/>
        </w:rPr>
      </w:pPr>
    </w:p>
    <w:p w14:paraId="47948647" w14:textId="77777777"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lastRenderedPageBreak/>
        <w:t>c-pentaBDE</w:t>
      </w:r>
    </w:p>
    <w:p w14:paraId="27F01FF2" w14:textId="77777777" w:rsidR="00C23D65" w:rsidRPr="00C86111" w:rsidRDefault="00C23D65" w:rsidP="00C23D65">
      <w:pPr>
        <w:jc w:val="both"/>
        <w:rPr>
          <w:rFonts w:asciiTheme="minorHAnsi" w:hAnsiTheme="minorHAnsi" w:cstheme="minorHAnsi"/>
          <w:b/>
          <w:bCs/>
          <w:color w:val="auto"/>
          <w:szCs w:val="24"/>
        </w:rPr>
      </w:pPr>
    </w:p>
    <w:p w14:paraId="42064BB3" w14:textId="327F5C9B" w:rsidR="00C23D65" w:rsidRPr="00C86111" w:rsidRDefault="00C23D65" w:rsidP="00C23D65">
      <w:pPr>
        <w:jc w:val="both"/>
      </w:pPr>
      <w:r w:rsidRPr="00C86111">
        <w:t>Između 90–95% c-pentaBDE korišćeno je za tretman PUR (poliuretanske) pjene, uglavnom u automobilskoj industriji i tapaciranju namještaja.</w:t>
      </w:r>
    </w:p>
    <w:p w14:paraId="0692E221" w14:textId="5F0A7BBC" w:rsidR="00C23D65" w:rsidRPr="00C86111" w:rsidRDefault="00C23D65" w:rsidP="00004F34">
      <w:pPr>
        <w:numPr>
          <w:ilvl w:val="0"/>
          <w:numId w:val="182"/>
        </w:numPr>
        <w:jc w:val="both"/>
      </w:pPr>
      <w:r w:rsidRPr="00C86111">
        <w:t>Tipični sadržaj u PUR pjeni: 3–5% mase za namještaj i dušeke¹, 0,5–1% za dijelove vozila</w:t>
      </w:r>
      <w:r w:rsidRPr="00C86111">
        <w:rPr>
          <w:rFonts w:asciiTheme="minorHAnsi" w:hAnsiTheme="minorHAnsi" w:cstheme="minorHAnsi"/>
          <w:color w:val="auto"/>
          <w:szCs w:val="24"/>
        </w:rPr>
        <w:t xml:space="preserve"> za djelove poput sjedišta i naslona za ruke/glavu)</w:t>
      </w:r>
      <w:r w:rsidRPr="00C86111">
        <w:t xml:space="preserve"> (Tabela </w:t>
      </w:r>
      <w:r w:rsidR="00E001F7" w:rsidRPr="00C86111">
        <w:t>43</w:t>
      </w:r>
      <w:r w:rsidRPr="00C86111">
        <w:t>).</w:t>
      </w:r>
    </w:p>
    <w:p w14:paraId="4BF9C622" w14:textId="31A763C1" w:rsidR="00C23D65" w:rsidRPr="00C86111" w:rsidRDefault="00C23D65" w:rsidP="00004F34">
      <w:pPr>
        <w:numPr>
          <w:ilvl w:val="0"/>
          <w:numId w:val="182"/>
        </w:numPr>
        <w:jc w:val="both"/>
      </w:pPr>
      <w:r w:rsidRPr="00C86111">
        <w:t>Procijenjena istorijska proizvodnja PUR pjene tretirane c-pentaBDE-om: ≈2,5 miliona tona, od čega 60% u namještaju, 36% u transportu i 4% u ostalim proizvodima</w:t>
      </w:r>
      <w:r w:rsidR="00E001F7" w:rsidRPr="00C86111">
        <w:t>.</w:t>
      </w:r>
    </w:p>
    <w:p w14:paraId="4832DE64" w14:textId="77777777" w:rsidR="00C23D65" w:rsidRPr="00C86111" w:rsidRDefault="00C23D65" w:rsidP="00C23D65">
      <w:pPr>
        <w:jc w:val="both"/>
      </w:pPr>
    </w:p>
    <w:p w14:paraId="628A8C93" w14:textId="305FB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Tabela 4</w:t>
      </w:r>
      <w:r w:rsidR="00E001F7" w:rsidRPr="00C86111">
        <w:rPr>
          <w:rFonts w:asciiTheme="minorHAnsi" w:hAnsiTheme="minorHAnsi" w:cstheme="minorHAnsi"/>
          <w:b/>
          <w:bCs/>
          <w:color w:val="auto"/>
          <w:szCs w:val="24"/>
        </w:rPr>
        <w:t>3</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Upotreba pentaBDE u PUR pjeni</w:t>
      </w:r>
      <w:r w:rsidR="00E001F7" w:rsidRPr="00C86111">
        <w:rPr>
          <w:rFonts w:asciiTheme="minorHAnsi" w:hAnsiTheme="minorHAnsi" w:cstheme="minorHAnsi"/>
          <w:color w:val="auto"/>
          <w:szCs w:val="24"/>
        </w:rPr>
        <w:t xml:space="preserve"> </w:t>
      </w:r>
    </w:p>
    <w:tbl>
      <w:tblPr>
        <w:tblStyle w:val="GridTable5Dark-Accent6"/>
        <w:tblW w:w="0" w:type="auto"/>
        <w:tblLook w:val="04A0" w:firstRow="1" w:lastRow="0" w:firstColumn="1" w:lastColumn="0" w:noHBand="0" w:noVBand="1"/>
      </w:tblPr>
      <w:tblGrid>
        <w:gridCol w:w="3116"/>
        <w:gridCol w:w="3539"/>
        <w:gridCol w:w="2695"/>
      </w:tblGrid>
      <w:tr w:rsidR="00C23D65" w:rsidRPr="00C86111" w14:paraId="0A75B954"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FFFFFF" w:themeColor="background1"/>
            </w:tcBorders>
            <w:hideMark/>
          </w:tcPr>
          <w:p w14:paraId="438D5FB1" w14:textId="77777777" w:rsidR="00C23D65" w:rsidRPr="00C86111" w:rsidRDefault="00C23D6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Gustoća/primjena PUR pjene</w:t>
            </w:r>
          </w:p>
        </w:tc>
        <w:tc>
          <w:tcPr>
            <w:tcW w:w="3539" w:type="dxa"/>
            <w:tcBorders>
              <w:bottom w:val="single" w:sz="4" w:space="0" w:color="FFFFFF" w:themeColor="background1"/>
            </w:tcBorders>
            <w:hideMark/>
          </w:tcPr>
          <w:p w14:paraId="219CDCD9" w14:textId="77777777" w:rsidR="00C23D65" w:rsidRPr="00C86111" w:rsidRDefault="00C23D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PentaBDE u polimeru (masa %)</w:t>
            </w:r>
          </w:p>
        </w:tc>
        <w:tc>
          <w:tcPr>
            <w:tcW w:w="2695" w:type="dxa"/>
            <w:tcBorders>
              <w:bottom w:val="single" w:sz="4" w:space="0" w:color="FFFFFF" w:themeColor="background1"/>
            </w:tcBorders>
            <w:hideMark/>
          </w:tcPr>
          <w:p w14:paraId="19D1389E" w14:textId="77777777" w:rsidR="00C23D65" w:rsidRPr="00C86111" w:rsidRDefault="00C23D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Izvor</w:t>
            </w:r>
          </w:p>
        </w:tc>
      </w:tr>
      <w:tr w:rsidR="00C23D65" w:rsidRPr="00C86111" w14:paraId="3B9769CA"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61537A45" w14:textId="77777777" w:rsidR="00C23D65" w:rsidRPr="00C86111" w:rsidRDefault="00C23D6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19 kg/m³</w:t>
            </w:r>
          </w:p>
        </w:tc>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869017" w14:textId="77777777" w:rsidR="00C23D65" w:rsidRPr="00C86111" w:rsidRDefault="00C23D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5,45</w:t>
            </w:r>
          </w:p>
        </w:tc>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52B930" w14:textId="77777777" w:rsidR="00C23D65" w:rsidRPr="00C86111" w:rsidRDefault="00C23D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Cambell, 2010</w:t>
            </w:r>
          </w:p>
        </w:tc>
      </w:tr>
      <w:tr w:rsidR="00C23D65" w:rsidRPr="00C86111" w14:paraId="516ABC4A" w14:textId="77777777" w:rsidTr="00C23D65">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3AC22DE5" w14:textId="77777777" w:rsidR="00C23D65" w:rsidRPr="00C86111" w:rsidRDefault="00C23D6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24 kg/m³</w:t>
            </w:r>
          </w:p>
        </w:tc>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6776EB" w14:textId="77777777" w:rsidR="00C23D65" w:rsidRPr="00C86111" w:rsidRDefault="00C23D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4,30</w:t>
            </w:r>
          </w:p>
        </w:tc>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49EF37" w14:textId="77777777" w:rsidR="00C23D65" w:rsidRPr="00C86111" w:rsidRDefault="00C23D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Cambell, 2010</w:t>
            </w:r>
          </w:p>
        </w:tc>
      </w:tr>
      <w:tr w:rsidR="00C23D65" w:rsidRPr="00C86111" w14:paraId="7C2E1212"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06C63C47" w14:textId="77777777" w:rsidR="00C23D65" w:rsidRPr="00C86111" w:rsidRDefault="00C23D6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29 kg/m³</w:t>
            </w:r>
          </w:p>
        </w:tc>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0317A7" w14:textId="77777777" w:rsidR="00C23D65" w:rsidRPr="00C86111" w:rsidRDefault="00C23D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2,77</w:t>
            </w:r>
          </w:p>
        </w:tc>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AF53C8" w14:textId="77777777" w:rsidR="00C23D65" w:rsidRPr="00C86111" w:rsidRDefault="00C23D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Cambell, 2010</w:t>
            </w:r>
          </w:p>
        </w:tc>
      </w:tr>
      <w:tr w:rsidR="00C23D65" w:rsidRPr="00C86111" w14:paraId="333FDD32" w14:textId="77777777" w:rsidTr="00C23D65">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0E782465" w14:textId="77777777" w:rsidR="00C23D65" w:rsidRPr="00C86111" w:rsidRDefault="00C23D6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PUR pjena u transportu (SAD, sjedišta, nasloni za ruke/glavu)</w:t>
            </w:r>
          </w:p>
        </w:tc>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18E0E1" w14:textId="77777777" w:rsidR="00C23D65" w:rsidRPr="00C86111" w:rsidRDefault="00C23D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0,5–1</w:t>
            </w:r>
          </w:p>
        </w:tc>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77D553" w14:textId="77777777" w:rsidR="00C23D65" w:rsidRPr="00C86111" w:rsidRDefault="00C23D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Ludeka, 2011</w:t>
            </w:r>
          </w:p>
        </w:tc>
      </w:tr>
      <w:tr w:rsidR="00C23D65" w:rsidRPr="00C86111" w14:paraId="201B137F"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34158D5F" w14:textId="77777777" w:rsidR="00C23D65" w:rsidRPr="00C86111" w:rsidRDefault="00C23D6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Starije podloge za tepihe</w:t>
            </w:r>
          </w:p>
        </w:tc>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DD56EB" w14:textId="77777777" w:rsidR="00C23D65" w:rsidRPr="00C86111" w:rsidRDefault="00C23D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w:t>
            </w:r>
          </w:p>
        </w:tc>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5C544D" w14:textId="77777777" w:rsidR="00C23D65" w:rsidRPr="00C86111" w:rsidRDefault="00C23D6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Ludeka, 2011</w:t>
            </w:r>
          </w:p>
        </w:tc>
      </w:tr>
      <w:tr w:rsidR="00C23D65" w:rsidRPr="00C86111" w14:paraId="2A73580B" w14:textId="77777777" w:rsidTr="00C23D65">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right w:val="single" w:sz="4" w:space="0" w:color="FFFFFF" w:themeColor="background1"/>
            </w:tcBorders>
            <w:hideMark/>
          </w:tcPr>
          <w:p w14:paraId="49C7BCFD" w14:textId="77777777" w:rsidR="00C23D65" w:rsidRPr="00C86111" w:rsidRDefault="00C23D6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Laminacija tkanine za krovnu oblogu</w:t>
            </w:r>
          </w:p>
        </w:tc>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AA0530" w14:textId="77777777" w:rsidR="00C23D65" w:rsidRPr="00C86111" w:rsidRDefault="00C23D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do 15</w:t>
            </w:r>
          </w:p>
        </w:tc>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95BCA9" w14:textId="77777777" w:rsidR="00C23D65" w:rsidRPr="00C86111" w:rsidRDefault="00C23D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Ludeka, 2011</w:t>
            </w:r>
          </w:p>
        </w:tc>
      </w:tr>
    </w:tbl>
    <w:p w14:paraId="26055DC3" w14:textId="77777777" w:rsidR="00C23D65" w:rsidRPr="00C86111" w:rsidRDefault="00C23D65" w:rsidP="00C23D65">
      <w:pPr>
        <w:rPr>
          <w:rFonts w:asciiTheme="minorHAnsi" w:hAnsiTheme="minorHAnsi" w:cstheme="minorHAnsi"/>
          <w:b/>
          <w:bCs/>
          <w:color w:val="auto"/>
          <w:szCs w:val="24"/>
        </w:rPr>
      </w:pPr>
    </w:p>
    <w:p w14:paraId="36EACB6C" w14:textId="77777777" w:rsidR="00C23D65" w:rsidRPr="00C86111" w:rsidRDefault="00C23D65" w:rsidP="00C23D65">
      <w:pPr>
        <w:rPr>
          <w:rFonts w:asciiTheme="minorHAnsi" w:hAnsiTheme="minorHAnsi" w:cstheme="minorHAnsi"/>
          <w:b/>
          <w:bCs/>
          <w:color w:val="auto"/>
          <w:szCs w:val="24"/>
        </w:rPr>
      </w:pPr>
      <w:r w:rsidRPr="00C86111">
        <w:rPr>
          <w:rFonts w:asciiTheme="minorHAnsi" w:hAnsiTheme="minorHAnsi" w:cstheme="minorHAnsi"/>
          <w:b/>
          <w:bCs/>
          <w:color w:val="auto"/>
          <w:szCs w:val="24"/>
        </w:rPr>
        <w:t>c-octaBDE</w:t>
      </w:r>
    </w:p>
    <w:p w14:paraId="688AAFF2" w14:textId="77777777" w:rsidR="00C23D65" w:rsidRPr="00C86111" w:rsidRDefault="00C23D65" w:rsidP="00C23D65">
      <w:pPr>
        <w:jc w:val="both"/>
      </w:pPr>
    </w:p>
    <w:p w14:paraId="2B8CBC38" w14:textId="513A6646" w:rsidR="00C23D65" w:rsidRPr="00C86111" w:rsidRDefault="00C23D65" w:rsidP="00C23D65">
      <w:pPr>
        <w:jc w:val="both"/>
      </w:pPr>
      <w:r w:rsidRPr="00C86111">
        <w:rPr>
          <w:rFonts w:asciiTheme="minorHAnsi" w:hAnsiTheme="minorHAnsi" w:cstheme="minorHAnsi"/>
          <w:color w:val="auto"/>
          <w:szCs w:val="24"/>
        </w:rPr>
        <w:t xml:space="preserve">Primarna upotreba c-octaBDE bila je u ABS polimerima (akrilonitril-butadien-stiren), koji čine oko 95% potrošnje u EU (Tabela </w:t>
      </w:r>
      <w:r w:rsidR="00E001F7" w:rsidRPr="00C86111">
        <w:rPr>
          <w:rFonts w:asciiTheme="minorHAnsi" w:hAnsiTheme="minorHAnsi" w:cstheme="minorHAnsi"/>
          <w:color w:val="auto"/>
          <w:szCs w:val="24"/>
        </w:rPr>
        <w:t>44</w:t>
      </w:r>
      <w:r w:rsidRPr="00C86111">
        <w:rPr>
          <w:rFonts w:asciiTheme="minorHAnsi" w:hAnsiTheme="minorHAnsi" w:cstheme="minorHAnsi"/>
          <w:color w:val="auto"/>
          <w:szCs w:val="24"/>
        </w:rPr>
        <w:t>).</w:t>
      </w:r>
    </w:p>
    <w:p w14:paraId="511D79FF" w14:textId="487277B3" w:rsidR="00C23D65" w:rsidRPr="00C86111" w:rsidRDefault="00C23D65" w:rsidP="00C23D65">
      <w:pPr>
        <w:jc w:val="both"/>
      </w:pPr>
      <w:r w:rsidRPr="00C86111">
        <w:t>Koristio se u kućištima elektronske opreme (CRT televizori, računari, kancelarijska oprema).</w:t>
      </w:r>
    </w:p>
    <w:p w14:paraId="72DE1AAD" w14:textId="5DCCACF1" w:rsidR="00C23D65" w:rsidRPr="00C86111" w:rsidRDefault="00C23D65" w:rsidP="00C23D65">
      <w:pPr>
        <w:jc w:val="both"/>
      </w:pPr>
      <w:r w:rsidRPr="00C86111">
        <w:rPr>
          <w:rFonts w:asciiTheme="minorHAnsi" w:hAnsiTheme="minorHAnsi" w:cstheme="minorHAnsi"/>
          <w:color w:val="auto"/>
          <w:szCs w:val="24"/>
        </w:rPr>
        <w:t xml:space="preserve">Manje primjene uključivale su </w:t>
      </w:r>
      <w:r w:rsidRPr="00C86111">
        <w:t>HIPS, PBT, poliamidi u elektronici, transportu i kućnim aparatima</w:t>
      </w:r>
      <w:r w:rsidR="00E001F7" w:rsidRPr="00C86111">
        <w:t>.</w:t>
      </w:r>
    </w:p>
    <w:p w14:paraId="4DB26664" w14:textId="101381EE" w:rsidR="00C23D65" w:rsidRPr="00C86111" w:rsidRDefault="00C23D65" w:rsidP="00C23D65">
      <w:pPr>
        <w:jc w:val="both"/>
      </w:pPr>
      <w:r w:rsidRPr="00C86111">
        <w:t xml:space="preserve">Tipične koncentracije </w:t>
      </w:r>
      <w:r w:rsidRPr="00C86111">
        <w:rPr>
          <w:rFonts w:asciiTheme="minorHAnsi" w:hAnsiTheme="minorHAnsi" w:cstheme="minorHAnsi"/>
          <w:color w:val="auto"/>
          <w:szCs w:val="24"/>
        </w:rPr>
        <w:t>u glavnim primjenama:</w:t>
      </w:r>
      <w:r w:rsidRPr="00C86111">
        <w:t xml:space="preserve"> 12–18% mase, ukupno oko 100.000 tona c-oktaBDE u ≈800.000 tona tretiranih polimera.</w:t>
      </w:r>
    </w:p>
    <w:p w14:paraId="500EFACB" w14:textId="77777777" w:rsidR="00C23D65" w:rsidRPr="00C86111" w:rsidRDefault="00C23D65" w:rsidP="00C23D65"/>
    <w:p w14:paraId="69B8303C" w14:textId="23F563E4"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E001F7" w:rsidRPr="00C86111">
        <w:rPr>
          <w:rFonts w:asciiTheme="minorHAnsi" w:hAnsiTheme="minorHAnsi" w:cstheme="minorHAnsi"/>
          <w:b/>
          <w:bCs/>
          <w:color w:val="auto"/>
          <w:szCs w:val="24"/>
        </w:rPr>
        <w:t>44</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Prijašnje upotrebe c-octaBDE u polimerima/materijalima, primjene i proizvodi (ESWI 2011)</w:t>
      </w:r>
    </w:p>
    <w:tbl>
      <w:tblPr>
        <w:tblStyle w:val="GridTable5Dark-Accent6"/>
        <w:tblW w:w="0" w:type="auto"/>
        <w:tblLook w:val="04A0" w:firstRow="1" w:lastRow="0" w:firstColumn="1" w:lastColumn="0" w:noHBand="0" w:noVBand="1"/>
      </w:tblPr>
      <w:tblGrid>
        <w:gridCol w:w="3116"/>
        <w:gridCol w:w="3117"/>
        <w:gridCol w:w="3117"/>
      </w:tblGrid>
      <w:tr w:rsidR="00C23D65" w:rsidRPr="00C86111" w14:paraId="5391B28F"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FFFFFF" w:themeColor="background1"/>
            </w:tcBorders>
            <w:hideMark/>
          </w:tcPr>
          <w:p w14:paraId="5A1F5C9D"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Polimeri/materijali</w:t>
            </w:r>
          </w:p>
        </w:tc>
        <w:tc>
          <w:tcPr>
            <w:tcW w:w="3117" w:type="dxa"/>
            <w:tcBorders>
              <w:bottom w:val="single" w:sz="4" w:space="0" w:color="FFFFFF" w:themeColor="background1"/>
            </w:tcBorders>
            <w:hideMark/>
          </w:tcPr>
          <w:p w14:paraId="0030E5AE"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Primjena</w:t>
            </w:r>
          </w:p>
        </w:tc>
        <w:tc>
          <w:tcPr>
            <w:tcW w:w="3117" w:type="dxa"/>
            <w:tcBorders>
              <w:bottom w:val="single" w:sz="4" w:space="0" w:color="FFFFFF" w:themeColor="background1"/>
            </w:tcBorders>
            <w:hideMark/>
          </w:tcPr>
          <w:p w14:paraId="6EE7F43D"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Proizvodi</w:t>
            </w:r>
          </w:p>
        </w:tc>
      </w:tr>
      <w:tr w:rsidR="00C23D65" w:rsidRPr="00C86111" w14:paraId="647DA42D"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177BFD7B"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Acrylonitrile-Butadiene-Styrene (ABS)</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B80FE2"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Polimerska kućišta/dijelovi u električnim i elektronskim uređajima</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460D6B"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Kućišta računara i TV uređaja (CRT); kancelarijska oprema; ostala elektronika</w:t>
            </w:r>
          </w:p>
        </w:tc>
      </w:tr>
      <w:tr w:rsidR="00C23D65" w:rsidRPr="00C86111" w14:paraId="0345B8FC" w14:textId="77777777" w:rsidTr="00C23D65">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4310382D"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High Impact Polystyrene (HIPS)</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47EA6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Polimerska kućišta/dijelovi u električnim i elektronskim uređajima</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F8DD11"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Kućišta računara i TV uređaja (CRT); kancelarijska oprema</w:t>
            </w:r>
          </w:p>
        </w:tc>
      </w:tr>
      <w:tr w:rsidR="00C23D65" w:rsidRPr="00C86111" w14:paraId="0D252957"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tcPr>
          <w:p w14:paraId="24D64CED" w14:textId="77777777" w:rsidR="00C23D65" w:rsidRPr="00C86111" w:rsidRDefault="00C23D65">
            <w:pPr>
              <w:jc w:val="both"/>
              <w:rPr>
                <w:rFonts w:asciiTheme="minorHAnsi" w:hAnsiTheme="minorHAnsi" w:cstheme="minorHAnsi"/>
                <w:b w:val="0"/>
                <w:bCs w:val="0"/>
                <w:color w:val="auto"/>
                <w:sz w:val="20"/>
                <w:szCs w:val="20"/>
              </w:rPr>
            </w:pP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51EE7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Hladno-otporni sloj</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3688A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Frižider</w:t>
            </w:r>
          </w:p>
        </w:tc>
      </w:tr>
      <w:tr w:rsidR="00C23D65" w:rsidRPr="00C86111" w14:paraId="1B1F2589" w14:textId="77777777" w:rsidTr="00C23D65">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65AFAAC5"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Polybutylene-Terephthalate (PBT)</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37424D"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Polimerska kućišta</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F74BAE"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Elektronski uređaji</w:t>
            </w:r>
          </w:p>
        </w:tc>
      </w:tr>
      <w:tr w:rsidR="00C23D65" w:rsidRPr="00C86111" w14:paraId="4EF74F35"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tcPr>
          <w:p w14:paraId="14EFABA6" w14:textId="77777777" w:rsidR="00C23D65" w:rsidRPr="00C86111" w:rsidRDefault="00C23D65">
            <w:pPr>
              <w:jc w:val="both"/>
              <w:rPr>
                <w:rFonts w:asciiTheme="minorHAnsi" w:hAnsiTheme="minorHAnsi" w:cstheme="minorHAnsi"/>
                <w:b w:val="0"/>
                <w:bCs w:val="0"/>
                <w:color w:val="auto"/>
                <w:sz w:val="20"/>
                <w:szCs w:val="20"/>
              </w:rPr>
            </w:pP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98BF9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Transport</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FAFE3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Konektori u vozilima</w:t>
            </w:r>
          </w:p>
        </w:tc>
      </w:tr>
      <w:tr w:rsidR="00C23D65" w:rsidRPr="00C86111" w14:paraId="65C363B0" w14:textId="77777777" w:rsidTr="00C23D65">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tcPr>
          <w:p w14:paraId="00A68C2F" w14:textId="77777777" w:rsidR="00C23D65" w:rsidRPr="00C86111" w:rsidRDefault="00C23D65">
            <w:pPr>
              <w:jc w:val="both"/>
              <w:rPr>
                <w:rFonts w:asciiTheme="minorHAnsi" w:hAnsiTheme="minorHAnsi" w:cstheme="minorHAnsi"/>
                <w:b w:val="0"/>
                <w:bCs w:val="0"/>
                <w:color w:val="auto"/>
                <w:sz w:val="20"/>
                <w:szCs w:val="20"/>
              </w:rPr>
            </w:pP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5C9815"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Kućna primjena</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43092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Pegle</w:t>
            </w:r>
          </w:p>
        </w:tc>
      </w:tr>
      <w:tr w:rsidR="00C23D65" w:rsidRPr="00C86111" w14:paraId="03CFE5F6"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bottom w:val="single" w:sz="4" w:space="0" w:color="FFFFFF" w:themeColor="background1"/>
              <w:right w:val="single" w:sz="4" w:space="0" w:color="FFFFFF" w:themeColor="background1"/>
            </w:tcBorders>
            <w:hideMark/>
          </w:tcPr>
          <w:p w14:paraId="13D44DC7"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Polyamide-polymers</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B881E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Tekstil</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5CD7CF"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Namještaj</w:t>
            </w:r>
          </w:p>
        </w:tc>
      </w:tr>
      <w:tr w:rsidR="00C23D65" w:rsidRPr="00C86111" w14:paraId="3097FFF9" w14:textId="77777777" w:rsidTr="00C23D65">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right w:val="single" w:sz="4" w:space="0" w:color="FFFFFF" w:themeColor="background1"/>
            </w:tcBorders>
          </w:tcPr>
          <w:p w14:paraId="59B5C5F6" w14:textId="77777777" w:rsidR="00C23D65" w:rsidRPr="00C86111" w:rsidRDefault="00C23D65">
            <w:pPr>
              <w:jc w:val="both"/>
              <w:rPr>
                <w:rFonts w:asciiTheme="minorHAnsi" w:hAnsiTheme="minorHAnsi" w:cstheme="minorHAnsi"/>
                <w:b w:val="0"/>
                <w:bCs w:val="0"/>
                <w:color w:val="auto"/>
                <w:sz w:val="20"/>
                <w:szCs w:val="20"/>
              </w:rPr>
            </w:pP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786607"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Građevinarstvo</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EEF773"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Cijevi i plastične folije</w:t>
            </w:r>
          </w:p>
        </w:tc>
      </w:tr>
    </w:tbl>
    <w:p w14:paraId="5243BD69" w14:textId="77777777" w:rsidR="00C23D65" w:rsidRPr="00C86111" w:rsidRDefault="00C23D65" w:rsidP="00C23D65">
      <w:pPr>
        <w:jc w:val="both"/>
        <w:rPr>
          <w:rFonts w:asciiTheme="minorHAnsi" w:hAnsiTheme="minorHAnsi" w:cstheme="minorHAnsi"/>
          <w:b/>
          <w:bCs/>
          <w:color w:val="auto"/>
          <w:szCs w:val="24"/>
        </w:rPr>
      </w:pPr>
    </w:p>
    <w:p w14:paraId="259CFF37" w14:textId="77777777" w:rsidR="00C23D65" w:rsidRDefault="00C23D65" w:rsidP="00C23D65">
      <w:pPr>
        <w:jc w:val="both"/>
        <w:rPr>
          <w:rFonts w:asciiTheme="minorHAnsi" w:hAnsiTheme="minorHAnsi" w:cstheme="minorHAnsi"/>
          <w:b/>
          <w:bCs/>
          <w:color w:val="auto"/>
          <w:szCs w:val="24"/>
        </w:rPr>
      </w:pPr>
    </w:p>
    <w:p w14:paraId="74C58602" w14:textId="77777777" w:rsidR="00F562F0" w:rsidRPr="00C86111" w:rsidRDefault="00F562F0" w:rsidP="00C23D65">
      <w:pPr>
        <w:jc w:val="both"/>
        <w:rPr>
          <w:rFonts w:asciiTheme="minorHAnsi" w:hAnsiTheme="minorHAnsi" w:cstheme="minorHAnsi"/>
          <w:b/>
          <w:bCs/>
          <w:color w:val="auto"/>
          <w:szCs w:val="24"/>
        </w:rPr>
      </w:pPr>
    </w:p>
    <w:p w14:paraId="0BC649B4" w14:textId="4EA185F6"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lastRenderedPageBreak/>
        <w:t xml:space="preserve"> c-decaBDE</w:t>
      </w:r>
    </w:p>
    <w:p w14:paraId="510628B9" w14:textId="77777777" w:rsidR="00C23D65" w:rsidRPr="00C86111" w:rsidRDefault="00C23D65" w:rsidP="00C23D65">
      <w:pPr>
        <w:jc w:val="both"/>
        <w:rPr>
          <w:rFonts w:asciiTheme="minorHAnsi" w:hAnsiTheme="minorHAnsi" w:cstheme="minorHAnsi"/>
          <w:color w:val="auto"/>
          <w:szCs w:val="24"/>
        </w:rPr>
      </w:pPr>
    </w:p>
    <w:p w14:paraId="31DD6C46" w14:textId="29E6A4E6" w:rsidR="00C23D65" w:rsidRPr="00C86111" w:rsidRDefault="00C23D65" w:rsidP="00C23D65">
      <w:r w:rsidRPr="00C86111">
        <w:t xml:space="preserve">C-dekaBDE je najšire korišćeni PBDE. Glavne oblasti upotrebe su: električna i elektronska oprema, transport, građevinarstvo i tekstil (Tabela </w:t>
      </w:r>
      <w:r w:rsidR="00E001F7" w:rsidRPr="00C86111">
        <w:t>45</w:t>
      </w:r>
      <w:r w:rsidRPr="00C86111">
        <w:t>)</w:t>
      </w:r>
      <w:r w:rsidR="00E001F7" w:rsidRPr="00C86111">
        <w:t>.</w:t>
      </w:r>
      <w:r w:rsidRPr="00C86111">
        <w:rPr>
          <w:rFonts w:asciiTheme="minorHAnsi" w:hAnsiTheme="minorHAnsi" w:cstheme="minorHAnsi"/>
          <w:color w:val="auto"/>
          <w:szCs w:val="24"/>
        </w:rPr>
        <w:t>U EU tokom 1990-ih i 2000-ih, do 90% uvoza se odnosilo na EEE</w:t>
      </w:r>
      <w:r w:rsidRPr="00C86111">
        <w:t>.U SAD 2010.: transport 26%, građevinarstvo 26%, tekstil 26%, EEE 13%, ostalo 9%.</w:t>
      </w:r>
    </w:p>
    <w:p w14:paraId="168F93CC" w14:textId="77777777" w:rsidR="00C23D65" w:rsidRPr="00C86111" w:rsidRDefault="00C23D65" w:rsidP="00C23D65">
      <w:pPr>
        <w:jc w:val="both"/>
        <w:rPr>
          <w:rFonts w:asciiTheme="minorHAnsi" w:hAnsiTheme="minorHAnsi" w:cstheme="minorHAnsi"/>
          <w:b/>
          <w:bCs/>
          <w:color w:val="auto"/>
          <w:szCs w:val="24"/>
        </w:rPr>
      </w:pPr>
    </w:p>
    <w:p w14:paraId="1D25AED6" w14:textId="63F50A50"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E001F7" w:rsidRPr="00C86111">
        <w:rPr>
          <w:rFonts w:asciiTheme="minorHAnsi" w:hAnsiTheme="minorHAnsi" w:cstheme="minorHAnsi"/>
          <w:b/>
          <w:bCs/>
          <w:color w:val="auto"/>
          <w:szCs w:val="24"/>
        </w:rPr>
        <w:t>45</w:t>
      </w:r>
      <w:r w:rsidRPr="00C86111">
        <w:rPr>
          <w:rFonts w:asciiTheme="minorHAnsi" w:hAnsiTheme="minorHAnsi" w:cstheme="minorHAnsi"/>
          <w:b/>
          <w:bCs/>
          <w:color w:val="auto"/>
          <w:szCs w:val="24"/>
        </w:rPr>
        <w:t xml:space="preserve">: </w:t>
      </w:r>
      <w:r w:rsidR="00E001F7" w:rsidRPr="00C86111">
        <w:rPr>
          <w:rFonts w:asciiTheme="minorHAnsi" w:hAnsiTheme="minorHAnsi" w:cstheme="minorHAnsi"/>
          <w:color w:val="auto"/>
          <w:szCs w:val="24"/>
        </w:rPr>
        <w:t>P</w:t>
      </w:r>
      <w:r w:rsidRPr="00C86111">
        <w:rPr>
          <w:rFonts w:asciiTheme="minorHAnsi" w:hAnsiTheme="minorHAnsi" w:cstheme="minorHAnsi"/>
          <w:color w:val="auto"/>
          <w:szCs w:val="24"/>
        </w:rPr>
        <w:t>regled sektora/industrija u kojima se koristi/decaBDE, identifikovane krajnje upotrebe i primjene</w:t>
      </w:r>
    </w:p>
    <w:tbl>
      <w:tblPr>
        <w:tblStyle w:val="GridTable5Dark-Accent6"/>
        <w:tblW w:w="0" w:type="auto"/>
        <w:tblLook w:val="04A0" w:firstRow="1" w:lastRow="0" w:firstColumn="1" w:lastColumn="0" w:noHBand="0" w:noVBand="1"/>
      </w:tblPr>
      <w:tblGrid>
        <w:gridCol w:w="2065"/>
        <w:gridCol w:w="2430"/>
        <w:gridCol w:w="4855"/>
      </w:tblGrid>
      <w:tr w:rsidR="00C23D65" w:rsidRPr="00C86111" w14:paraId="63EABB10" w14:textId="77777777" w:rsidTr="00C23D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tcBorders>
              <w:bottom w:val="single" w:sz="4" w:space="0" w:color="FFFFFF" w:themeColor="background1"/>
            </w:tcBorders>
            <w:hideMark/>
          </w:tcPr>
          <w:p w14:paraId="26FE355E"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Sektor/industrija</w:t>
            </w:r>
          </w:p>
        </w:tc>
        <w:tc>
          <w:tcPr>
            <w:tcW w:w="2430" w:type="dxa"/>
            <w:tcBorders>
              <w:bottom w:val="single" w:sz="4" w:space="0" w:color="FFFFFF" w:themeColor="background1"/>
            </w:tcBorders>
            <w:hideMark/>
          </w:tcPr>
          <w:p w14:paraId="0152309E"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Primjena</w:t>
            </w:r>
          </w:p>
        </w:tc>
        <w:tc>
          <w:tcPr>
            <w:tcW w:w="4855" w:type="dxa"/>
            <w:tcBorders>
              <w:bottom w:val="single" w:sz="4" w:space="0" w:color="FFFFFF" w:themeColor="background1"/>
            </w:tcBorders>
            <w:hideMark/>
          </w:tcPr>
          <w:p w14:paraId="491FCC3A"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Krajnja upotreba</w:t>
            </w:r>
          </w:p>
        </w:tc>
      </w:tr>
      <w:tr w:rsidR="00C23D65" w:rsidRPr="00C86111" w14:paraId="55245BD1"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FFFFFF" w:themeColor="background1"/>
              <w:bottom w:val="single" w:sz="4" w:space="0" w:color="FFFFFF" w:themeColor="background1"/>
              <w:right w:val="single" w:sz="4" w:space="0" w:color="FFFFFF" w:themeColor="background1"/>
            </w:tcBorders>
            <w:hideMark/>
          </w:tcPr>
          <w:p w14:paraId="3F1752FE"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Električna i elektronska industrija</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D7AF9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Električni i elektronski uređaji (EEE)</w:t>
            </w:r>
          </w:p>
        </w:tc>
        <w:tc>
          <w:tcPr>
            <w:tcW w:w="4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7915F7" w14:textId="77777777" w:rsidR="00C23D65" w:rsidRPr="00C86111" w:rsidRDefault="00C23D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Kućišta i unutrašnji dijelovi televizora</w:t>
            </w:r>
            <w:r w:rsidRPr="00C86111">
              <w:rPr>
                <w:rFonts w:asciiTheme="minorHAnsi" w:hAnsiTheme="minorHAnsi" w:cstheme="minorHAnsi"/>
                <w:color w:val="auto"/>
                <w:sz w:val="20"/>
                <w:szCs w:val="20"/>
              </w:rPr>
              <w:br/>
              <w:t>Mobilni telefoni i faks mašine</w:t>
            </w:r>
            <w:r w:rsidRPr="00C86111">
              <w:rPr>
                <w:rFonts w:asciiTheme="minorHAnsi" w:hAnsiTheme="minorHAnsi" w:cstheme="minorHAnsi"/>
                <w:color w:val="auto"/>
                <w:sz w:val="20"/>
                <w:szCs w:val="20"/>
              </w:rPr>
              <w:br/>
              <w:t>Audio i video oprema; daljinski upravljači</w:t>
            </w:r>
            <w:r w:rsidRPr="00C86111">
              <w:rPr>
                <w:rFonts w:asciiTheme="minorHAnsi" w:hAnsiTheme="minorHAnsi" w:cstheme="minorHAnsi"/>
                <w:color w:val="auto"/>
                <w:sz w:val="20"/>
                <w:szCs w:val="20"/>
              </w:rPr>
              <w:br/>
              <w:t>Komunikacioni i instalacioni kablovi</w:t>
            </w:r>
            <w:r w:rsidRPr="00C86111">
              <w:rPr>
                <w:rFonts w:asciiTheme="minorHAnsi" w:hAnsiTheme="minorHAnsi" w:cstheme="minorHAnsi"/>
                <w:color w:val="auto"/>
                <w:sz w:val="20"/>
                <w:szCs w:val="20"/>
              </w:rPr>
              <w:br/>
              <w:t>Žice i kablovi, npr. termokontrolisane cijevi</w:t>
            </w:r>
            <w:r w:rsidRPr="00C86111">
              <w:rPr>
                <w:rFonts w:asciiTheme="minorHAnsi" w:hAnsiTheme="minorHAnsi" w:cstheme="minorHAnsi"/>
                <w:color w:val="auto"/>
                <w:sz w:val="20"/>
                <w:szCs w:val="20"/>
              </w:rPr>
              <w:br/>
              <w:t>Konektori u EEE opremi</w:t>
            </w:r>
            <w:r w:rsidRPr="00C86111">
              <w:rPr>
                <w:rFonts w:asciiTheme="minorHAnsi" w:hAnsiTheme="minorHAnsi" w:cstheme="minorHAnsi"/>
                <w:color w:val="auto"/>
                <w:sz w:val="20"/>
                <w:szCs w:val="20"/>
              </w:rPr>
              <w:br/>
              <w:t>Prekidači; namotaji kalema</w:t>
            </w:r>
            <w:r w:rsidRPr="00C86111">
              <w:rPr>
                <w:rFonts w:asciiTheme="minorHAnsi" w:hAnsiTheme="minorHAnsi" w:cstheme="minorHAnsi"/>
                <w:color w:val="auto"/>
                <w:sz w:val="20"/>
                <w:szCs w:val="20"/>
              </w:rPr>
              <w:br/>
              <w:t>Komponente štampača i fotokopir aparata – toner</w:t>
            </w:r>
            <w:r w:rsidRPr="00C86111">
              <w:rPr>
                <w:rFonts w:asciiTheme="minorHAnsi" w:hAnsiTheme="minorHAnsi" w:cstheme="minorHAnsi"/>
                <w:color w:val="auto"/>
                <w:sz w:val="20"/>
                <w:szCs w:val="20"/>
              </w:rPr>
              <w:br/>
              <w:t>Kartuše i konektori</w:t>
            </w:r>
            <w:r w:rsidRPr="00C86111">
              <w:rPr>
                <w:rFonts w:asciiTheme="minorHAnsi" w:hAnsiTheme="minorHAnsi" w:cstheme="minorHAnsi"/>
                <w:color w:val="auto"/>
                <w:sz w:val="20"/>
                <w:szCs w:val="20"/>
              </w:rPr>
              <w:br/>
              <w:t>Komponente skenera</w:t>
            </w:r>
          </w:p>
          <w:p w14:paraId="354C8F5B" w14:textId="77777777" w:rsidR="00C23D65" w:rsidRPr="00C86111" w:rsidRDefault="00C23D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Grijači ventilatori i fenovi za kosu</w:t>
            </w:r>
          </w:p>
        </w:tc>
      </w:tr>
      <w:tr w:rsidR="00C23D65" w:rsidRPr="00C86111" w14:paraId="5B7A9C73" w14:textId="77777777" w:rsidTr="00C23D65">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FFFFFF" w:themeColor="background1"/>
              <w:bottom w:val="single" w:sz="4" w:space="0" w:color="FFFFFF" w:themeColor="background1"/>
              <w:right w:val="single" w:sz="4" w:space="0" w:color="FFFFFF" w:themeColor="background1"/>
            </w:tcBorders>
            <w:hideMark/>
          </w:tcPr>
          <w:p w14:paraId="6EE33EE2"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Privatni i javni transport</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F05BC4"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Automobili / javni prevoz</w:t>
            </w:r>
          </w:p>
        </w:tc>
        <w:tc>
          <w:tcPr>
            <w:tcW w:w="4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FD24D4" w14:textId="77777777" w:rsidR="00C23D65" w:rsidRPr="00C86111" w:rsidRDefault="00C23D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Tkanine (pozadinsko presvlačenje artikala)</w:t>
            </w:r>
            <w:r w:rsidRPr="00C86111">
              <w:rPr>
                <w:rFonts w:asciiTheme="minorHAnsi" w:hAnsiTheme="minorHAnsi" w:cstheme="minorHAnsi"/>
                <w:color w:val="auto"/>
                <w:sz w:val="20"/>
                <w:szCs w:val="20"/>
              </w:rPr>
              <w:br/>
              <w:t>Ojačana plastika</w:t>
            </w:r>
            <w:r w:rsidRPr="00C86111">
              <w:rPr>
                <w:rFonts w:asciiTheme="minorHAnsi" w:hAnsiTheme="minorHAnsi" w:cstheme="minorHAnsi"/>
                <w:color w:val="auto"/>
                <w:sz w:val="20"/>
                <w:szCs w:val="20"/>
              </w:rPr>
              <w:br/>
              <w:t>Polimeri ispod haube ili instrument table</w:t>
            </w:r>
            <w:r w:rsidRPr="00C86111">
              <w:rPr>
                <w:rFonts w:asciiTheme="minorHAnsi" w:hAnsiTheme="minorHAnsi" w:cstheme="minorHAnsi"/>
                <w:color w:val="auto"/>
                <w:sz w:val="20"/>
                <w:szCs w:val="20"/>
              </w:rPr>
              <w:br/>
              <w:t>Terminali / osigurački blokovi</w:t>
            </w:r>
            <w:r w:rsidRPr="00C86111">
              <w:rPr>
                <w:rFonts w:asciiTheme="minorHAnsi" w:hAnsiTheme="minorHAnsi" w:cstheme="minorHAnsi"/>
                <w:color w:val="auto"/>
                <w:sz w:val="20"/>
                <w:szCs w:val="20"/>
              </w:rPr>
              <w:br/>
              <w:t>Žice i kablovi većeg amperža (npr. kablovi za svjećice)</w:t>
            </w:r>
            <w:r w:rsidRPr="00C86111">
              <w:rPr>
                <w:rFonts w:asciiTheme="minorHAnsi" w:hAnsiTheme="minorHAnsi" w:cstheme="minorHAnsi"/>
                <w:color w:val="auto"/>
                <w:sz w:val="20"/>
                <w:szCs w:val="20"/>
              </w:rPr>
              <w:br/>
              <w:t>Električni i elektronski uređaji</w:t>
            </w:r>
          </w:p>
        </w:tc>
      </w:tr>
      <w:tr w:rsidR="00C23D65" w:rsidRPr="00C86111" w14:paraId="45B638BA"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FFFFFF" w:themeColor="background1"/>
              <w:bottom w:val="single" w:sz="4" w:space="0" w:color="FFFFFF" w:themeColor="background1"/>
              <w:right w:val="single" w:sz="4" w:space="0" w:color="FFFFFF" w:themeColor="background1"/>
            </w:tcBorders>
            <w:hideMark/>
          </w:tcPr>
          <w:p w14:paraId="09D0D3E7"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Pomorski, avionski i aeronautički sektor</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5DFC8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Brodovi, čamci, avioni, svemirske letjelice, rakete</w:t>
            </w:r>
          </w:p>
        </w:tc>
        <w:tc>
          <w:tcPr>
            <w:tcW w:w="4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AD2540" w14:textId="77777777" w:rsidR="00C23D65" w:rsidRPr="00C86111" w:rsidRDefault="00C23D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Električne instalacije i kablovi</w:t>
            </w:r>
            <w:r w:rsidRPr="00C86111">
              <w:rPr>
                <w:rFonts w:asciiTheme="minorHAnsi" w:hAnsiTheme="minorHAnsi" w:cstheme="minorHAnsi"/>
                <w:color w:val="auto"/>
                <w:sz w:val="20"/>
                <w:szCs w:val="20"/>
              </w:rPr>
              <w:br/>
              <w:t>Električni i elektronski uređaji (kao gore)</w:t>
            </w:r>
            <w:r w:rsidRPr="00C86111">
              <w:rPr>
                <w:rFonts w:asciiTheme="minorHAnsi" w:hAnsiTheme="minorHAnsi" w:cstheme="minorHAnsi"/>
                <w:color w:val="auto"/>
                <w:sz w:val="20"/>
                <w:szCs w:val="20"/>
              </w:rPr>
              <w:br/>
              <w:t>Vazdušni kanali za ventilacione sisteme</w:t>
            </w:r>
            <w:r w:rsidRPr="00C86111">
              <w:rPr>
                <w:rFonts w:asciiTheme="minorHAnsi" w:hAnsiTheme="minorHAnsi" w:cstheme="minorHAnsi"/>
                <w:color w:val="auto"/>
                <w:sz w:val="20"/>
                <w:szCs w:val="20"/>
              </w:rPr>
              <w:br/>
              <w:t>Električni kanali i priključci</w:t>
            </w:r>
            <w:r w:rsidRPr="00C86111">
              <w:rPr>
                <w:rFonts w:asciiTheme="minorHAnsi" w:hAnsiTheme="minorHAnsi" w:cstheme="minorHAnsi"/>
                <w:color w:val="auto"/>
                <w:sz w:val="20"/>
                <w:szCs w:val="20"/>
              </w:rPr>
              <w:br/>
              <w:t>Prekidači i konektori</w:t>
            </w:r>
            <w:r w:rsidRPr="00C86111">
              <w:rPr>
                <w:rFonts w:asciiTheme="minorHAnsi" w:hAnsiTheme="minorHAnsi" w:cstheme="minorHAnsi"/>
                <w:color w:val="auto"/>
                <w:sz w:val="20"/>
                <w:szCs w:val="20"/>
              </w:rPr>
              <w:br/>
              <w:t>Ljepljive trake</w:t>
            </w:r>
          </w:p>
          <w:p w14:paraId="407AE529" w14:textId="77777777" w:rsidR="00C23D65" w:rsidRPr="00C86111" w:rsidRDefault="00C23D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Kompozitni materijali, npr. epoksi</w:t>
            </w:r>
          </w:p>
        </w:tc>
      </w:tr>
      <w:tr w:rsidR="00C23D65" w:rsidRPr="00C86111" w14:paraId="682DBF55" w14:textId="77777777" w:rsidTr="00C23D65">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FFFFFF" w:themeColor="background1"/>
              <w:bottom w:val="single" w:sz="4" w:space="0" w:color="FFFFFF" w:themeColor="background1"/>
              <w:right w:val="single" w:sz="4" w:space="0" w:color="FFFFFF" w:themeColor="background1"/>
            </w:tcBorders>
            <w:hideMark/>
          </w:tcPr>
          <w:p w14:paraId="7AAB0172"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Tekstil i namještaj</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63765E"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Tekstil i namještaj</w:t>
            </w:r>
          </w:p>
        </w:tc>
        <w:tc>
          <w:tcPr>
            <w:tcW w:w="4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C0A2AE" w14:textId="77777777" w:rsidR="00C23D65" w:rsidRPr="00C86111" w:rsidRDefault="00C23D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Automobilski tekstil</w:t>
            </w:r>
            <w:r w:rsidRPr="00C86111">
              <w:rPr>
                <w:rFonts w:asciiTheme="minorHAnsi" w:hAnsiTheme="minorHAnsi" w:cstheme="minorHAnsi"/>
                <w:color w:val="auto"/>
                <w:sz w:val="20"/>
                <w:szCs w:val="20"/>
              </w:rPr>
              <w:br/>
              <w:t>Tekstil za tapaciranje, npr. sofa, kancelarijske stolice, dušeci</w:t>
            </w:r>
            <w:r w:rsidRPr="00C86111">
              <w:rPr>
                <w:rFonts w:asciiTheme="minorHAnsi" w:hAnsiTheme="minorHAnsi" w:cstheme="minorHAnsi"/>
                <w:color w:val="auto"/>
                <w:sz w:val="20"/>
                <w:szCs w:val="20"/>
              </w:rPr>
              <w:br/>
              <w:t>Filteri za šporete</w:t>
            </w:r>
            <w:r w:rsidRPr="00C86111">
              <w:rPr>
                <w:rFonts w:asciiTheme="minorHAnsi" w:hAnsiTheme="minorHAnsi" w:cstheme="minorHAnsi"/>
                <w:color w:val="auto"/>
                <w:sz w:val="20"/>
                <w:szCs w:val="20"/>
              </w:rPr>
              <w:br/>
              <w:t>Roletne, zavjese, blackout zavjese</w:t>
            </w:r>
            <w:r w:rsidRPr="00C86111">
              <w:rPr>
                <w:rFonts w:asciiTheme="minorHAnsi" w:hAnsiTheme="minorHAnsi" w:cstheme="minorHAnsi"/>
                <w:color w:val="auto"/>
                <w:sz w:val="20"/>
                <w:szCs w:val="20"/>
              </w:rPr>
              <w:br/>
              <w:t>Geotekstil, zidne obloge</w:t>
            </w:r>
            <w:r w:rsidRPr="00C86111">
              <w:rPr>
                <w:rFonts w:asciiTheme="minorHAnsi" w:hAnsiTheme="minorHAnsi" w:cstheme="minorHAnsi"/>
                <w:color w:val="auto"/>
                <w:sz w:val="20"/>
                <w:szCs w:val="20"/>
              </w:rPr>
              <w:br/>
              <w:t>Kućni i namještajni aparati</w:t>
            </w:r>
            <w:r w:rsidRPr="00C86111">
              <w:rPr>
                <w:rFonts w:asciiTheme="minorHAnsi" w:hAnsiTheme="minorHAnsi" w:cstheme="minorHAnsi"/>
                <w:color w:val="auto"/>
                <w:sz w:val="20"/>
                <w:szCs w:val="20"/>
              </w:rPr>
              <w:br/>
              <w:t>PU fleksibilna pjena</w:t>
            </w:r>
            <w:r w:rsidRPr="00C86111">
              <w:rPr>
                <w:rFonts w:asciiTheme="minorHAnsi" w:hAnsiTheme="minorHAnsi" w:cstheme="minorHAnsi"/>
                <w:color w:val="auto"/>
                <w:sz w:val="20"/>
                <w:szCs w:val="20"/>
              </w:rPr>
              <w:br/>
              <w:t>Šatori i cerade</w:t>
            </w:r>
            <w:r w:rsidRPr="00C86111">
              <w:rPr>
                <w:rFonts w:asciiTheme="minorHAnsi" w:hAnsiTheme="minorHAnsi" w:cstheme="minorHAnsi"/>
                <w:color w:val="auto"/>
                <w:sz w:val="20"/>
                <w:szCs w:val="20"/>
              </w:rPr>
              <w:br/>
              <w:t>Podloške, ispune od pjene</w:t>
            </w:r>
            <w:r w:rsidRPr="00C86111">
              <w:rPr>
                <w:rFonts w:asciiTheme="minorHAnsi" w:hAnsiTheme="minorHAnsi" w:cstheme="minorHAnsi"/>
                <w:color w:val="auto"/>
                <w:sz w:val="20"/>
                <w:szCs w:val="20"/>
              </w:rPr>
              <w:br/>
              <w:t>Tepisi</w:t>
            </w:r>
            <w:r w:rsidRPr="00C86111">
              <w:rPr>
                <w:rFonts w:asciiTheme="minorHAnsi" w:hAnsiTheme="minorHAnsi" w:cstheme="minorHAnsi"/>
                <w:color w:val="auto"/>
                <w:sz w:val="20"/>
                <w:szCs w:val="20"/>
              </w:rPr>
              <w:br/>
              <w:t>Ostalo</w:t>
            </w:r>
          </w:p>
        </w:tc>
      </w:tr>
      <w:tr w:rsidR="00C23D65" w:rsidRPr="00C86111" w14:paraId="0E33644F"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FFFFFF" w:themeColor="background1"/>
              <w:right w:val="single" w:sz="4" w:space="0" w:color="FFFFFF" w:themeColor="background1"/>
            </w:tcBorders>
            <w:hideMark/>
          </w:tcPr>
          <w:p w14:paraId="3E11FCB7"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Građevinarstvo / zgrade</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18D45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w:t>
            </w:r>
          </w:p>
        </w:tc>
        <w:tc>
          <w:tcPr>
            <w:tcW w:w="4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9701F7" w14:textId="77777777" w:rsidR="00C23D65" w:rsidRPr="00C86111" w:rsidRDefault="00C23D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Izolacija (PUR i ranije XPS pjene)</w:t>
            </w:r>
            <w:r w:rsidRPr="00C86111">
              <w:rPr>
                <w:rFonts w:asciiTheme="minorHAnsi" w:hAnsiTheme="minorHAnsi" w:cstheme="minorHAnsi"/>
                <w:color w:val="auto"/>
                <w:sz w:val="20"/>
                <w:szCs w:val="20"/>
              </w:rPr>
              <w:br/>
              <w:t>Laminati za zaštitu panela izolacije</w:t>
            </w:r>
            <w:r w:rsidRPr="00C86111">
              <w:rPr>
                <w:rFonts w:asciiTheme="minorHAnsi" w:hAnsiTheme="minorHAnsi" w:cstheme="minorHAnsi"/>
                <w:color w:val="auto"/>
                <w:sz w:val="20"/>
                <w:szCs w:val="20"/>
              </w:rPr>
              <w:br/>
              <w:t>Obložni paneli</w:t>
            </w:r>
            <w:r w:rsidRPr="00C86111">
              <w:rPr>
                <w:rFonts w:asciiTheme="minorHAnsi" w:hAnsiTheme="minorHAnsi" w:cstheme="minorHAnsi"/>
                <w:color w:val="auto"/>
                <w:sz w:val="20"/>
                <w:szCs w:val="20"/>
              </w:rPr>
              <w:br/>
              <w:t xml:space="preserve">Folije za upotrebu ispod krova i zaštitu građevinskih </w:t>
            </w:r>
            <w:r w:rsidRPr="00C86111">
              <w:rPr>
                <w:rFonts w:asciiTheme="minorHAnsi" w:hAnsiTheme="minorHAnsi" w:cstheme="minorHAnsi"/>
                <w:color w:val="auto"/>
                <w:sz w:val="20"/>
                <w:szCs w:val="20"/>
              </w:rPr>
              <w:lastRenderedPageBreak/>
              <w:t>područja</w:t>
            </w:r>
            <w:r w:rsidRPr="00C86111">
              <w:rPr>
                <w:rFonts w:asciiTheme="minorHAnsi" w:hAnsiTheme="minorHAnsi" w:cstheme="minorHAnsi"/>
                <w:color w:val="auto"/>
                <w:sz w:val="20"/>
                <w:szCs w:val="20"/>
              </w:rPr>
              <w:br/>
              <w:t>Kablovi i električni kanali i priključci</w:t>
            </w:r>
            <w:r w:rsidRPr="00C86111">
              <w:rPr>
                <w:rFonts w:asciiTheme="minorHAnsi" w:hAnsiTheme="minorHAnsi" w:cstheme="minorHAnsi"/>
                <w:color w:val="auto"/>
                <w:sz w:val="20"/>
                <w:szCs w:val="20"/>
              </w:rPr>
              <w:br/>
              <w:t>Izolacija cijevi i cijevi</w:t>
            </w:r>
          </w:p>
        </w:tc>
      </w:tr>
    </w:tbl>
    <w:p w14:paraId="649BDCAD" w14:textId="77777777" w:rsidR="00C23D65" w:rsidRPr="00C86111" w:rsidRDefault="00C23D65" w:rsidP="00C23D65"/>
    <w:p w14:paraId="3FA78F24" w14:textId="77777777" w:rsidR="00C23D65" w:rsidRPr="00C86111" w:rsidRDefault="00C23D65" w:rsidP="00EA6904">
      <w:pPr>
        <w:pStyle w:val="Heading3"/>
      </w:pPr>
      <w:bookmarkStart w:id="86" w:name="_Toc220541887"/>
      <w:r w:rsidRPr="00C86111">
        <w:t>Upotreba HBB-a</w:t>
      </w:r>
      <w:bookmarkEnd w:id="86"/>
    </w:p>
    <w:p w14:paraId="1A2B2E2D" w14:textId="77777777" w:rsidR="00C23D65" w:rsidRPr="00C86111" w:rsidRDefault="00C23D65" w:rsidP="00C23D65"/>
    <w:p w14:paraId="059727FA"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Heksabromodifenil (HBB) je naveden u Aneksu A, bez izuzetaka, i predstavlja industrijsku hemikaliju koja se koristila kao aditiv za usporavanje gorenja, s vršnom upotrebom tokom 1970-ih godina.</w:t>
      </w:r>
    </w:p>
    <w:p w14:paraId="12E55B12" w14:textId="6DEBBCE0"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HBB se koristio kao usporivač gorenja u tri glavna komercijalna proizvoda:</w:t>
      </w:r>
    </w:p>
    <w:p w14:paraId="03E36C54" w14:textId="7B7FC1AC"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ABS termoplastici (plastika za izradu kućišta poslovnih mašina i u industrijskom sektoru, npr. kućišta motora, i u elektronskom sektoru, npr. dijelovi radija i televizora);</w:t>
      </w:r>
      <w:r w:rsidRPr="00C86111">
        <w:rPr>
          <w:rFonts w:asciiTheme="minorHAnsi" w:hAnsiTheme="minorHAnsi" w:cstheme="minorHAnsi"/>
          <w:color w:val="auto"/>
          <w:szCs w:val="24"/>
        </w:rPr>
        <w:br/>
        <w:t>• PUR pjen</w:t>
      </w:r>
      <w:r w:rsidR="00E001F7" w:rsidRPr="00C86111">
        <w:rPr>
          <w:rFonts w:asciiTheme="minorHAnsi" w:hAnsiTheme="minorHAnsi" w:cstheme="minorHAnsi"/>
          <w:color w:val="auto"/>
          <w:szCs w:val="24"/>
        </w:rPr>
        <w:t>i</w:t>
      </w:r>
      <w:r w:rsidRPr="00C86111">
        <w:rPr>
          <w:rFonts w:asciiTheme="minorHAnsi" w:hAnsiTheme="minorHAnsi" w:cstheme="minorHAnsi"/>
          <w:color w:val="auto"/>
          <w:szCs w:val="24"/>
        </w:rPr>
        <w:t xml:space="preserve"> za automobilsku tapacirung;</w:t>
      </w:r>
    </w:p>
    <w:p w14:paraId="46BF7B20" w14:textId="2926F0C9"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Pre</w:t>
      </w:r>
      <w:r w:rsidR="00E001F7" w:rsidRPr="00C86111">
        <w:rPr>
          <w:rFonts w:asciiTheme="minorHAnsi" w:hAnsiTheme="minorHAnsi" w:cstheme="minorHAnsi"/>
          <w:color w:val="auto"/>
          <w:szCs w:val="24"/>
        </w:rPr>
        <w:t>m</w:t>
      </w:r>
      <w:r w:rsidRPr="00C86111">
        <w:rPr>
          <w:rFonts w:asciiTheme="minorHAnsi" w:hAnsiTheme="minorHAnsi" w:cstheme="minorHAnsi"/>
          <w:color w:val="auto"/>
          <w:szCs w:val="24"/>
        </w:rPr>
        <w:t>azi</w:t>
      </w:r>
      <w:r w:rsidR="00E001F7" w:rsidRPr="00C86111">
        <w:rPr>
          <w:rFonts w:asciiTheme="minorHAnsi" w:hAnsiTheme="minorHAnsi" w:cstheme="minorHAnsi"/>
          <w:color w:val="auto"/>
          <w:szCs w:val="24"/>
        </w:rPr>
        <w:t>ma</w:t>
      </w:r>
      <w:r w:rsidRPr="00C86111">
        <w:rPr>
          <w:rFonts w:asciiTheme="minorHAnsi" w:hAnsiTheme="minorHAnsi" w:cstheme="minorHAnsi"/>
          <w:color w:val="auto"/>
          <w:szCs w:val="24"/>
        </w:rPr>
        <w:t xml:space="preserve"> i lakovi</w:t>
      </w:r>
      <w:r w:rsidR="00E001F7" w:rsidRPr="00C86111">
        <w:rPr>
          <w:rFonts w:asciiTheme="minorHAnsi" w:hAnsiTheme="minorHAnsi" w:cstheme="minorHAnsi"/>
          <w:color w:val="auto"/>
          <w:szCs w:val="24"/>
        </w:rPr>
        <w:t>ma</w:t>
      </w:r>
      <w:r w:rsidRPr="00C86111">
        <w:rPr>
          <w:rFonts w:asciiTheme="minorHAnsi" w:hAnsiTheme="minorHAnsi" w:cstheme="minorHAnsi"/>
          <w:color w:val="auto"/>
          <w:szCs w:val="24"/>
        </w:rPr>
        <w:t>.</w:t>
      </w:r>
    </w:p>
    <w:p w14:paraId="52B9DC29" w14:textId="77777777" w:rsidR="00C23D65" w:rsidRPr="00C86111" w:rsidRDefault="00C23D65" w:rsidP="00EA6904">
      <w:pPr>
        <w:pStyle w:val="Heading3"/>
      </w:pPr>
      <w:bookmarkStart w:id="87" w:name="_Toc220541888"/>
      <w:r w:rsidRPr="00C86111">
        <w:t>Proizvodnja PBDE-a</w:t>
      </w:r>
      <w:bookmarkEnd w:id="87"/>
    </w:p>
    <w:p w14:paraId="3F3FE890" w14:textId="77777777" w:rsidR="00C23D65" w:rsidRPr="00C86111" w:rsidRDefault="00C23D65" w:rsidP="00C23D65"/>
    <w:p w14:paraId="103C308F" w14:textId="018CB8AD"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Komercijalne smjese PBDE-a (c-pentaBDE, c-oktaBDE i c-dekaBDE) proizvodile su se u više industrijskih zemalja.</w:t>
      </w:r>
      <w:r w:rsidR="002C477F" w:rsidRPr="00C86111">
        <w:rPr>
          <w:rFonts w:asciiTheme="minorHAnsi" w:hAnsiTheme="minorHAnsi" w:cstheme="minorHAnsi"/>
          <w:color w:val="auto"/>
          <w:szCs w:val="24"/>
        </w:rPr>
        <w:t xml:space="preserve"> </w:t>
      </w:r>
      <w:r w:rsidRPr="00C86111">
        <w:rPr>
          <w:rFonts w:asciiTheme="minorHAnsi" w:hAnsiTheme="minorHAnsi" w:cstheme="minorHAnsi"/>
          <w:b/>
          <w:bCs/>
          <w:color w:val="auto"/>
          <w:szCs w:val="24"/>
        </w:rPr>
        <w:t>C-pentaBDE</w:t>
      </w:r>
      <w:r w:rsidRPr="00C86111">
        <w:rPr>
          <w:rFonts w:asciiTheme="minorHAnsi" w:hAnsiTheme="minorHAnsi" w:cstheme="minorHAnsi"/>
          <w:color w:val="auto"/>
          <w:szCs w:val="24"/>
        </w:rPr>
        <w:t xml:space="preserve"> se proizvodio u Kini, Evropskoj uniji, Izraelu, Japanu i Sjedinjenim Američkim Državama. Proizvodnja u EU prestala je 1997. godine, a od kraja 1990-ih uglavnom se odvijala u SAD-u i u manjoj mjeri u Kini. Globalna proizvodnja prestala je 2004. godine.</w:t>
      </w:r>
      <w:r w:rsidR="002C477F" w:rsidRPr="00C86111">
        <w:rPr>
          <w:rFonts w:asciiTheme="minorHAnsi" w:hAnsiTheme="minorHAnsi" w:cstheme="minorHAnsi"/>
          <w:color w:val="auto"/>
          <w:szCs w:val="24"/>
        </w:rPr>
        <w:t xml:space="preserve"> </w:t>
      </w:r>
      <w:r w:rsidRPr="00C86111">
        <w:rPr>
          <w:rFonts w:asciiTheme="minorHAnsi" w:hAnsiTheme="minorHAnsi" w:cstheme="minorHAnsi"/>
          <w:b/>
          <w:bCs/>
          <w:color w:val="auto"/>
          <w:szCs w:val="24"/>
        </w:rPr>
        <w:t>C-oktaBDE</w:t>
      </w:r>
      <w:r w:rsidRPr="00C86111">
        <w:rPr>
          <w:rFonts w:asciiTheme="minorHAnsi" w:hAnsiTheme="minorHAnsi" w:cstheme="minorHAnsi"/>
          <w:color w:val="auto"/>
          <w:szCs w:val="24"/>
        </w:rPr>
        <w:t xml:space="preserve"> se proizvodio u Holandiji, Francuskoj, SAD-u, Japanu, Ujedinjenom Kraljevstvu i Izraelu. Proizvodnja u EU, SAD-u i pacifičkom regionu prestala je 2004. godine, bez dokaza o nastavku proizvodnje u zemljama u razvoju.</w:t>
      </w:r>
      <w:r w:rsidR="002C477F" w:rsidRPr="00C86111">
        <w:rPr>
          <w:rFonts w:asciiTheme="minorHAnsi" w:hAnsiTheme="minorHAnsi" w:cstheme="minorHAnsi"/>
          <w:color w:val="auto"/>
          <w:szCs w:val="24"/>
        </w:rPr>
        <w:t xml:space="preserve"> </w:t>
      </w:r>
      <w:r w:rsidRPr="00C86111">
        <w:rPr>
          <w:rFonts w:asciiTheme="minorHAnsi" w:hAnsiTheme="minorHAnsi" w:cstheme="minorHAnsi"/>
          <w:b/>
          <w:bCs/>
          <w:color w:val="auto"/>
          <w:szCs w:val="24"/>
        </w:rPr>
        <w:t>C-dekaBDE</w:t>
      </w:r>
      <w:r w:rsidRPr="00C86111">
        <w:rPr>
          <w:rFonts w:asciiTheme="minorHAnsi" w:hAnsiTheme="minorHAnsi" w:cstheme="minorHAnsi"/>
          <w:color w:val="auto"/>
          <w:szCs w:val="24"/>
        </w:rPr>
        <w:t xml:space="preserve"> se proizvodio u Kini, EU, Indiji, Japanu, Izraelu i SAD-u. Proizvodnja je ukinuta u EU, Japanu i Kanadi, a vjerovatno i u SAD-u. Kina i Indija ostale su glavni proizvođači; Kina je i dalje najveći svjetski dobavljač, sa proizvodnjom od oko 21.000 tona u 2013. godini.</w:t>
      </w:r>
    </w:p>
    <w:p w14:paraId="701FA0B5"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Ukupna globalna proizvodnja svih PBDE-a u periodu 1970–2005. procijenjena je na 1,3–1,5 miliona tona, od čega je oko 90% bio c-dekaBDE, što objašnjava njegovu dominantnu prisutnost u današnjim tokovima otpada.</w:t>
      </w:r>
    </w:p>
    <w:p w14:paraId="4A14E3D6" w14:textId="272CD0A6" w:rsidR="00C23D65" w:rsidRPr="00C86111" w:rsidRDefault="00C23D65" w:rsidP="00EA6904">
      <w:pPr>
        <w:pStyle w:val="Heading4"/>
        <w:rPr>
          <w:color w:val="auto"/>
        </w:rPr>
      </w:pPr>
      <w:r w:rsidRPr="00C86111">
        <w:t>POP-PBDE u tokovima materijala i otpada</w:t>
      </w:r>
    </w:p>
    <w:p w14:paraId="1E7556BF"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Glavni izazov u eliminaciji POP-PBDE-a je identifikacija proizvoda i otpada koji ih sadrže, kao i njihovo bezbjedno zbrinjavanje. Velike količine PBDE-materijala već su završile na deponijama, dok se značajne količine stare električne i elektronske opreme i vozila i dalje izvoze u zemlje u razvoju radi ponovne upotrebe i reciklaže, često uz neadekvatne tehnologije obrade, što dovodi do lokalne kontaminacije i izloženosti stanovništva.</w:t>
      </w:r>
    </w:p>
    <w:p w14:paraId="168D943D"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Iako se u nekim državama PBDE-materijali spaljuju ili termički obrađuju, čak i u zemljama sa razvijenim sistemima upravljanja otpadom i dalje postoje velike količine na deponijama.</w:t>
      </w:r>
    </w:p>
    <w:p w14:paraId="507C9A23"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Zbog istorijske proizvodnje veće od 1 milion tona, dekaBDE je danas dominantni POP-PBDE u plastici iz WEEE i vozila, dok su količine c-pentaBDE i c-oktaBDE znatno manje.</w:t>
      </w:r>
    </w:p>
    <w:p w14:paraId="57321079"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Efikasna kontrola, provjera i selekcija materijala tokom obrade elektronskog otpada i vozila ključni su za ekološki prihvatljivo upravljanje. Reciklaža materijala iznad POP-graničnih vrijednosti mora se izbjegavati, a razblaživanje PBDE-a nije prihvatljivo, jer ne smanjuje ukupno zagađenje.</w:t>
      </w:r>
    </w:p>
    <w:p w14:paraId="6B9659BA" w14:textId="77777777" w:rsidR="00C23D65" w:rsidRPr="00C86111" w:rsidRDefault="00C23D65" w:rsidP="00EA6904">
      <w:pPr>
        <w:pStyle w:val="Heading4"/>
        <w:rPr>
          <w:rFonts w:cs="Times New Roman"/>
          <w:b/>
        </w:rPr>
      </w:pPr>
      <w:r w:rsidRPr="00C86111">
        <w:t>Reciklaža materijala koji sadrže PBDE</w:t>
      </w:r>
    </w:p>
    <w:p w14:paraId="01FD2065"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Materijali koji sadrže POP-PBDE, posebno plastika iz električne i elektronske opreme, vozila i PUR pjene, i dalje se recikliraju u mnogim regionima. Zbog nedovoljne kontrole i separacije, kontaminirani polimeri često ulaze u nove proizvode kao što su kućni predmeti, dječije igračke i građevinski materijali, čime se produžava izloženost stanovništva.</w:t>
      </w:r>
    </w:p>
    <w:p w14:paraId="66D084DA"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Iako postoje tehnologije za djelimično uklanjanje broma iz recikliranih polimera, one se još uvijek rijetko primjenjuju. Stoga je stroga kontrola tokova otpada i zabrana reciklaže materijala iznad POP-graničnih vrijednosti ključna mjera za prekid širenja PBDE-a u kružnoj ekonomiji.</w:t>
      </w:r>
    </w:p>
    <w:p w14:paraId="65BD3D35" w14:textId="77777777" w:rsidR="00C23D65" w:rsidRPr="00C86111" w:rsidRDefault="00C23D65" w:rsidP="00EA6904">
      <w:pPr>
        <w:pStyle w:val="Heading4"/>
        <w:rPr>
          <w:rFonts w:cs="Times New Roman"/>
          <w:b/>
        </w:rPr>
      </w:pPr>
      <w:r w:rsidRPr="00C86111">
        <w:t>Potencijalno kontaminirane lokacije</w:t>
      </w:r>
    </w:p>
    <w:p w14:paraId="27E2027B"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Proizvodne zone, industrijska postrojenja i objekti za obradu otpada koji sadrže PBDE mogu biti kontaminirani POP-PBDE-ima. Tokom neadekvatne reciklaže i spaljivanja PBDE mogu formirati bromisane dioksine i furane (PBDD/PBDF), što ove lokacije čini posebno rizičnim i prioritetnim za procjenu i sanaciju.</w:t>
      </w:r>
    </w:p>
    <w:p w14:paraId="422A56BA" w14:textId="77777777" w:rsidR="00C23D65" w:rsidRPr="00C86111" w:rsidRDefault="00C23D65" w:rsidP="00EA6904">
      <w:pPr>
        <w:pStyle w:val="Heading3"/>
      </w:pPr>
      <w:bookmarkStart w:id="88" w:name="_Toc220541889"/>
      <w:r w:rsidRPr="00C86111">
        <w:t>Proizvodnja  HBB-a</w:t>
      </w:r>
      <w:bookmarkEnd w:id="88"/>
    </w:p>
    <w:p w14:paraId="011983B1" w14:textId="77777777" w:rsidR="002C477F" w:rsidRPr="00C86111" w:rsidRDefault="002C477F" w:rsidP="002C477F"/>
    <w:p w14:paraId="6D4DE6FF"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Približno 5.400 tona HBB-a proizvedeno je u Sjedinjenim Američkim Državama između 1970. i 1976. godine, a nijedna druga proizvodnja HBB-a nije zabilježena.</w:t>
      </w:r>
      <w:r w:rsidRPr="00C86111">
        <w:rPr>
          <w:rFonts w:asciiTheme="minorHAnsi" w:hAnsiTheme="minorHAnsi" w:cstheme="minorHAnsi"/>
          <w:color w:val="auto"/>
          <w:szCs w:val="24"/>
        </w:rPr>
        <w:br/>
        <w:t>Zbog male količine proizvodnje (5.400 tona) i činjenice da se HBB koristio prije 1976. godine, većina materijala koji sadrže HBB odbačena je prije nekoliko decenija (ATSDR, 2004).</w:t>
      </w:r>
    </w:p>
    <w:p w14:paraId="60A3C523"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Ovo je potvrđeno i za elektroniku: u velikoj studiji o BFR-ovima u evropskim WEEE plastikama, HBB nije detektovan (BAFU, 2017).</w:t>
      </w:r>
    </w:p>
    <w:p w14:paraId="05CEBD57"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Slično tome, u studiji nadzora WEEE plastike u Francuskoj, samo jedan uzorak tokom dvogodišnje kampanje sakupljanja uzoraka sadržao je HBB u niskom nivou (7 mg/kg) (Hennebert &amp; Filella, 2018).</w:t>
      </w:r>
      <w:r w:rsidRPr="00C86111">
        <w:rPr>
          <w:rFonts w:asciiTheme="minorHAnsi" w:hAnsiTheme="minorHAnsi" w:cstheme="minorHAnsi"/>
          <w:color w:val="auto"/>
          <w:szCs w:val="24"/>
        </w:rPr>
        <w:br/>
        <w:t>Nivoi HBB-a u hrani uglavnom su bili ispod granica detekcije (EFSA, 2010).</w:t>
      </w:r>
    </w:p>
    <w:p w14:paraId="77D4B67F" w14:textId="58B2F575"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Shodno tome, HBB ima manju važnost za procese inventara i implementacije.</w:t>
      </w:r>
    </w:p>
    <w:p w14:paraId="366A30E8" w14:textId="77777777" w:rsidR="00C23D65" w:rsidRPr="00C86111" w:rsidRDefault="00C23D65" w:rsidP="00004F34">
      <w:pPr>
        <w:pStyle w:val="Heading1"/>
        <w:numPr>
          <w:ilvl w:val="1"/>
          <w:numId w:val="238"/>
        </w:numPr>
        <w:rPr>
          <w:rFonts w:asciiTheme="minorHAnsi" w:hAnsiTheme="minorHAnsi" w:cstheme="minorHAnsi"/>
          <w:szCs w:val="24"/>
        </w:rPr>
      </w:pPr>
      <w:bookmarkStart w:id="89" w:name="_Toc220541890"/>
      <w:r w:rsidRPr="00C86111">
        <w:t>Proizvodnja i prethodna upotreba HBB-a u Crnoj Gori</w:t>
      </w:r>
      <w:bookmarkEnd w:id="89"/>
    </w:p>
    <w:p w14:paraId="22E2F70B" w14:textId="77777777" w:rsidR="00C23D65" w:rsidRPr="00C86111" w:rsidRDefault="00C23D65" w:rsidP="00C23D65">
      <w:pPr>
        <w:jc w:val="both"/>
        <w:rPr>
          <w:rFonts w:asciiTheme="minorHAnsi" w:hAnsiTheme="minorHAnsi" w:cstheme="minorHAnsi"/>
          <w:color w:val="EE0000"/>
          <w:szCs w:val="24"/>
        </w:rPr>
      </w:pPr>
    </w:p>
    <w:p w14:paraId="782C34C3" w14:textId="77777777" w:rsidR="00C23D65" w:rsidRDefault="00C23D65" w:rsidP="00C23D65">
      <w:pPr>
        <w:jc w:val="both"/>
        <w:rPr>
          <w:rFonts w:asciiTheme="minorHAnsi" w:hAnsiTheme="minorHAnsi" w:cstheme="minorHAnsi"/>
          <w:szCs w:val="24"/>
        </w:rPr>
      </w:pPr>
      <w:r w:rsidRPr="00C86111">
        <w:rPr>
          <w:rFonts w:asciiTheme="minorHAnsi" w:hAnsiTheme="minorHAnsi" w:cstheme="minorHAnsi"/>
          <w:szCs w:val="24"/>
        </w:rPr>
        <w:t>HBB nikada nije proizvođen u Crnoj Gori, kao ni bilo koja druga hemikalija. Takođe, nema podataka o mogućoj upotrebi ili uvozu HBB-a.</w:t>
      </w:r>
    </w:p>
    <w:p w14:paraId="0920D578" w14:textId="77777777" w:rsidR="00F562F0" w:rsidRDefault="00F562F0" w:rsidP="00C23D65">
      <w:pPr>
        <w:jc w:val="both"/>
        <w:rPr>
          <w:rFonts w:asciiTheme="minorHAnsi" w:hAnsiTheme="minorHAnsi" w:cstheme="minorHAnsi"/>
          <w:szCs w:val="24"/>
        </w:rPr>
      </w:pPr>
    </w:p>
    <w:p w14:paraId="54E42378" w14:textId="77777777" w:rsidR="00F562F0" w:rsidRPr="00C86111" w:rsidRDefault="00F562F0" w:rsidP="00C23D65">
      <w:pPr>
        <w:jc w:val="both"/>
        <w:rPr>
          <w:rFonts w:asciiTheme="minorHAnsi" w:hAnsiTheme="minorHAnsi" w:cstheme="minorHAnsi"/>
          <w:szCs w:val="24"/>
        </w:rPr>
      </w:pPr>
    </w:p>
    <w:p w14:paraId="52F11FE3" w14:textId="77777777" w:rsidR="00C23D65" w:rsidRPr="00C86111" w:rsidRDefault="00C23D65" w:rsidP="00C23D65">
      <w:pPr>
        <w:jc w:val="both"/>
        <w:rPr>
          <w:rFonts w:asciiTheme="minorHAnsi" w:hAnsiTheme="minorHAnsi" w:cstheme="minorHAnsi"/>
          <w:color w:val="EE0000"/>
          <w:szCs w:val="24"/>
        </w:rPr>
      </w:pPr>
    </w:p>
    <w:p w14:paraId="07613BD5" w14:textId="77777777" w:rsidR="00C23D65" w:rsidRPr="00C86111" w:rsidRDefault="00C23D65" w:rsidP="00EA6904">
      <w:pPr>
        <w:pStyle w:val="Heading2"/>
        <w:rPr>
          <w:rFonts w:asciiTheme="minorHAnsi" w:hAnsiTheme="minorHAnsi" w:cstheme="minorHAnsi"/>
          <w:szCs w:val="24"/>
        </w:rPr>
      </w:pPr>
      <w:bookmarkStart w:id="90" w:name="_Toc220541891"/>
      <w:r w:rsidRPr="00C86111">
        <w:lastRenderedPageBreak/>
        <w:t>Tokovi POP-PBDE: uvoz i izvoz u Crnoj Gori</w:t>
      </w:r>
      <w:bookmarkEnd w:id="90"/>
    </w:p>
    <w:p w14:paraId="3841113A" w14:textId="77777777" w:rsidR="00C23D65" w:rsidRPr="00C86111" w:rsidRDefault="00C23D65" w:rsidP="00C23D65"/>
    <w:p w14:paraId="333EB669"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U Crnoj Gori ne postoji proizvodnja POP-PBDE hemikalija, niti bilo koja industrija koja ih koristi. Glavni sektori koji su istorijski koristili POP-PBDE uključuju:</w:t>
      </w:r>
    </w:p>
    <w:p w14:paraId="07E8B9E8" w14:textId="77777777" w:rsidR="00C23D65" w:rsidRPr="00C86111" w:rsidRDefault="00C23D65" w:rsidP="00004F34">
      <w:pPr>
        <w:numPr>
          <w:ilvl w:val="0"/>
          <w:numId w:val="183"/>
        </w:numPr>
        <w:jc w:val="both"/>
        <w:rPr>
          <w:rFonts w:asciiTheme="minorHAnsi" w:hAnsiTheme="minorHAnsi" w:cstheme="minorHAnsi"/>
          <w:szCs w:val="24"/>
        </w:rPr>
      </w:pPr>
      <w:r w:rsidRPr="00C86111">
        <w:rPr>
          <w:rFonts w:asciiTheme="minorHAnsi" w:hAnsiTheme="minorHAnsi" w:cstheme="minorHAnsi"/>
          <w:szCs w:val="24"/>
        </w:rPr>
        <w:t>Industriju električne i elektronske opreme (EEE) – proizvodnja kućišta, komponenti, kablova i drugih elektronskih proizvoda;</w:t>
      </w:r>
    </w:p>
    <w:p w14:paraId="0630B201" w14:textId="77777777" w:rsidR="00C23D65" w:rsidRPr="00C86111" w:rsidRDefault="00C23D65" w:rsidP="00004F34">
      <w:pPr>
        <w:numPr>
          <w:ilvl w:val="0"/>
          <w:numId w:val="183"/>
        </w:numPr>
        <w:jc w:val="both"/>
        <w:rPr>
          <w:rFonts w:asciiTheme="minorHAnsi" w:hAnsiTheme="minorHAnsi" w:cstheme="minorHAnsi"/>
          <w:szCs w:val="24"/>
        </w:rPr>
      </w:pPr>
      <w:r w:rsidRPr="00C86111">
        <w:rPr>
          <w:rFonts w:asciiTheme="minorHAnsi" w:hAnsiTheme="minorHAnsi" w:cstheme="minorHAnsi"/>
          <w:szCs w:val="24"/>
        </w:rPr>
        <w:t>Transportnu industriju – automobili, autobusi, kamioni, železnica, avijacija i pomorski sektor;</w:t>
      </w:r>
    </w:p>
    <w:p w14:paraId="15299719" w14:textId="77777777" w:rsidR="00C23D65" w:rsidRPr="00C86111" w:rsidRDefault="00C23D65" w:rsidP="00004F34">
      <w:pPr>
        <w:numPr>
          <w:ilvl w:val="0"/>
          <w:numId w:val="183"/>
        </w:numPr>
        <w:jc w:val="both"/>
        <w:rPr>
          <w:rFonts w:asciiTheme="minorHAnsi" w:hAnsiTheme="minorHAnsi" w:cstheme="minorHAnsi"/>
          <w:szCs w:val="24"/>
        </w:rPr>
      </w:pPr>
      <w:r w:rsidRPr="00C86111">
        <w:rPr>
          <w:rFonts w:asciiTheme="minorHAnsi" w:hAnsiTheme="minorHAnsi" w:cstheme="minorHAnsi"/>
          <w:szCs w:val="24"/>
        </w:rPr>
        <w:t>Industriju namještaja – materijali tretirani radi usporavanja gorenja u stolicama, sofama, dušecima i drugim namještajnim proizvodima;</w:t>
      </w:r>
    </w:p>
    <w:p w14:paraId="77965F8A" w14:textId="77777777" w:rsidR="00C23D65" w:rsidRPr="00C86111" w:rsidRDefault="00C23D65" w:rsidP="00004F34">
      <w:pPr>
        <w:numPr>
          <w:ilvl w:val="0"/>
          <w:numId w:val="183"/>
        </w:numPr>
        <w:jc w:val="both"/>
        <w:rPr>
          <w:rFonts w:asciiTheme="minorHAnsi" w:hAnsiTheme="minorHAnsi" w:cstheme="minorHAnsi"/>
          <w:szCs w:val="24"/>
        </w:rPr>
      </w:pPr>
      <w:r w:rsidRPr="00C86111">
        <w:rPr>
          <w:rFonts w:asciiTheme="minorHAnsi" w:hAnsiTheme="minorHAnsi" w:cstheme="minorHAnsi"/>
          <w:szCs w:val="24"/>
        </w:rPr>
        <w:t>Tekstilnu i tepišnu industriju – tretman vlakana i tkanina radi smanjenja zapaljivosti.</w:t>
      </w:r>
    </w:p>
    <w:p w14:paraId="5EDC1995"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Zbog odsustva ovih sektora u Crnoj Gori, ne postoji izvoz POP-PBDE hemikalija niti proizvoda koji ih sadrže.</w:t>
      </w:r>
    </w:p>
    <w:p w14:paraId="3CCE4B10"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POP-PBDE mogu ući u zemlju isključivo putem uvoza proizvoda. Glavni izvori uvoza su:</w:t>
      </w:r>
    </w:p>
    <w:p w14:paraId="512267CC" w14:textId="77777777" w:rsidR="00C23D65" w:rsidRPr="00C86111" w:rsidRDefault="00C23D65" w:rsidP="00004F34">
      <w:pPr>
        <w:numPr>
          <w:ilvl w:val="0"/>
          <w:numId w:val="184"/>
        </w:numPr>
        <w:jc w:val="both"/>
        <w:rPr>
          <w:rFonts w:asciiTheme="minorHAnsi" w:hAnsiTheme="minorHAnsi" w:cstheme="minorHAnsi"/>
          <w:szCs w:val="24"/>
        </w:rPr>
      </w:pPr>
      <w:r w:rsidRPr="00C86111">
        <w:rPr>
          <w:rFonts w:asciiTheme="minorHAnsi" w:hAnsiTheme="minorHAnsi" w:cstheme="minorHAnsi"/>
          <w:szCs w:val="24"/>
        </w:rPr>
        <w:t>Električna i elektronska oprema (EEE) – računari, televizori, kućni aparati, kablovi i drugi elektronski uređaji;</w:t>
      </w:r>
    </w:p>
    <w:p w14:paraId="2FF4E5C9" w14:textId="77777777" w:rsidR="00C23D65" w:rsidRPr="00C86111" w:rsidRDefault="00C23D65" w:rsidP="00004F34">
      <w:pPr>
        <w:numPr>
          <w:ilvl w:val="0"/>
          <w:numId w:val="184"/>
        </w:numPr>
        <w:jc w:val="both"/>
        <w:rPr>
          <w:rFonts w:asciiTheme="minorHAnsi" w:hAnsiTheme="minorHAnsi" w:cstheme="minorHAnsi"/>
          <w:szCs w:val="24"/>
        </w:rPr>
      </w:pPr>
      <w:r w:rsidRPr="00C86111">
        <w:rPr>
          <w:rFonts w:asciiTheme="minorHAnsi" w:hAnsiTheme="minorHAnsi" w:cstheme="minorHAnsi"/>
          <w:szCs w:val="24"/>
        </w:rPr>
        <w:t>Vozila i transportni proizvodi – automobili, autobusi, kamioni i dijelovi vozila koji sadrže plastiku, poliuretan ili druge materijale tretirane PBDE-om.</w:t>
      </w:r>
    </w:p>
    <w:p w14:paraId="61202057"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Ova dinamika je potvrđena i u rezultatima inventara, gdje su sektori EEE i transport identifikovani kao prioritetni za praćenje prisustva i količina POP-PBDE-a. Inventar se fokusirao na ove sektore kako bi se precizno procijenila ukupna količina PBDE-a u cirkulaciji u Crnoj Gori.</w:t>
      </w:r>
    </w:p>
    <w:p w14:paraId="29324E7F" w14:textId="77777777" w:rsidR="00C23D65" w:rsidRPr="00C86111" w:rsidRDefault="00C23D65" w:rsidP="00004F34">
      <w:pPr>
        <w:pStyle w:val="Heading1"/>
        <w:numPr>
          <w:ilvl w:val="1"/>
          <w:numId w:val="238"/>
        </w:numPr>
      </w:pPr>
      <w:bookmarkStart w:id="91" w:name="_Toc220541892"/>
      <w:r w:rsidRPr="00C86111">
        <w:t>Proces inventarizacije POP-PBDE u Crnoj Gori</w:t>
      </w:r>
      <w:bookmarkEnd w:id="91"/>
    </w:p>
    <w:p w14:paraId="3BA44740" w14:textId="77777777" w:rsidR="002C477F" w:rsidRPr="00C86111" w:rsidRDefault="002C477F" w:rsidP="002C477F"/>
    <w:p w14:paraId="09FA2326"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Inventar POP-PBDE u Crnoj Gori sproveden je korišćenjem strukturisanog, višestepenog pristupa, prilagođenog lokalnim uslovima i podržanog terenskim istraživanjima. Ovaj pristup omogućava postepeno prikupljanje i unapređenje podataka o prisustvu i upotrebi polibromovanih difenil-etara (PBDE) u zemlji, u skladu sa preporukama Stokholmske konvencije i kapacitetima nacionalnih institucija.</w:t>
      </w:r>
    </w:p>
    <w:p w14:paraId="4BAD148F" w14:textId="77777777" w:rsidR="00C23D65" w:rsidRPr="00C86111" w:rsidRDefault="00C23D65" w:rsidP="00EA6904">
      <w:pPr>
        <w:pStyle w:val="Heading3"/>
      </w:pPr>
      <w:bookmarkStart w:id="92" w:name="_Toc220541893"/>
      <w:r w:rsidRPr="00C86111">
        <w:t>Višestepeni pristup i nivoi inventara</w:t>
      </w:r>
      <w:bookmarkEnd w:id="92"/>
    </w:p>
    <w:p w14:paraId="019060B1" w14:textId="7BCFE423"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 xml:space="preserve">Inventar je razvijen kroz tri međusobno povezana nivoa (Tabela </w:t>
      </w:r>
      <w:r w:rsidR="002C477F" w:rsidRPr="00C86111">
        <w:rPr>
          <w:rFonts w:asciiTheme="minorHAnsi" w:hAnsiTheme="minorHAnsi" w:cstheme="minorHAnsi"/>
          <w:szCs w:val="24"/>
        </w:rPr>
        <w:t>46</w:t>
      </w:r>
      <w:r w:rsidRPr="00C86111">
        <w:rPr>
          <w:rFonts w:asciiTheme="minorHAnsi" w:hAnsiTheme="minorHAnsi" w:cstheme="minorHAnsi"/>
          <w:szCs w:val="24"/>
        </w:rPr>
        <w:t>).</w:t>
      </w:r>
    </w:p>
    <w:p w14:paraId="29619B85" w14:textId="77777777" w:rsidR="002C477F" w:rsidRPr="00C86111" w:rsidRDefault="002C477F" w:rsidP="00C23D65">
      <w:pPr>
        <w:jc w:val="both"/>
        <w:rPr>
          <w:rFonts w:asciiTheme="minorHAnsi" w:hAnsiTheme="minorHAnsi" w:cstheme="minorHAnsi"/>
          <w:szCs w:val="24"/>
        </w:rPr>
      </w:pPr>
    </w:p>
    <w:p w14:paraId="2BB7B738" w14:textId="6B5BB0BD"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b/>
          <w:bCs/>
          <w:szCs w:val="24"/>
        </w:rPr>
        <w:t xml:space="preserve">Tabela </w:t>
      </w:r>
      <w:r w:rsidR="002C477F" w:rsidRPr="00C86111">
        <w:rPr>
          <w:rFonts w:asciiTheme="minorHAnsi" w:hAnsiTheme="minorHAnsi" w:cstheme="minorHAnsi"/>
          <w:b/>
          <w:bCs/>
          <w:szCs w:val="24"/>
        </w:rPr>
        <w:t>46</w:t>
      </w:r>
      <w:r w:rsidRPr="00C86111">
        <w:rPr>
          <w:rFonts w:asciiTheme="minorHAnsi" w:hAnsiTheme="minorHAnsi" w:cstheme="minorHAnsi"/>
          <w:b/>
          <w:bCs/>
          <w:szCs w:val="24"/>
        </w:rPr>
        <w:t>.</w:t>
      </w:r>
      <w:r w:rsidRPr="00C86111">
        <w:rPr>
          <w:rFonts w:asciiTheme="minorHAnsi" w:hAnsiTheme="minorHAnsi" w:cstheme="minorHAnsi"/>
          <w:szCs w:val="24"/>
        </w:rPr>
        <w:t xml:space="preserve"> Prikaz nivoa inventarizacije</w:t>
      </w:r>
    </w:p>
    <w:tbl>
      <w:tblPr>
        <w:tblStyle w:val="GridTable5Dark-Accent6"/>
        <w:tblW w:w="0" w:type="auto"/>
        <w:tblLook w:val="04A0" w:firstRow="1" w:lastRow="0" w:firstColumn="1" w:lastColumn="0" w:noHBand="0" w:noVBand="1"/>
      </w:tblPr>
      <w:tblGrid>
        <w:gridCol w:w="600"/>
        <w:gridCol w:w="1713"/>
        <w:gridCol w:w="7037"/>
      </w:tblGrid>
      <w:tr w:rsidR="00C23D65" w:rsidRPr="00C86111" w14:paraId="1AAB5CDB"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hideMark/>
          </w:tcPr>
          <w:p w14:paraId="41FCB776" w14:textId="77777777" w:rsidR="00C23D65" w:rsidRPr="00C86111" w:rsidRDefault="00C23D65">
            <w:pPr>
              <w:jc w:val="both"/>
              <w:rPr>
                <w:rFonts w:asciiTheme="minorHAnsi" w:hAnsiTheme="minorHAnsi" w:cstheme="minorHAnsi"/>
                <w:b w:val="0"/>
                <w:bCs w:val="0"/>
                <w:sz w:val="20"/>
                <w:szCs w:val="20"/>
              </w:rPr>
            </w:pPr>
            <w:r w:rsidRPr="00C86111">
              <w:rPr>
                <w:rFonts w:asciiTheme="minorHAnsi" w:hAnsiTheme="minorHAnsi" w:cstheme="minorHAnsi"/>
                <w:sz w:val="20"/>
                <w:szCs w:val="20"/>
              </w:rPr>
              <w:t>Nivo</w:t>
            </w:r>
          </w:p>
        </w:tc>
        <w:tc>
          <w:tcPr>
            <w:tcW w:w="0" w:type="auto"/>
            <w:tcBorders>
              <w:bottom w:val="single" w:sz="4" w:space="0" w:color="FFFFFF" w:themeColor="background1"/>
            </w:tcBorders>
            <w:hideMark/>
          </w:tcPr>
          <w:p w14:paraId="1716F4B9"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C86111">
              <w:rPr>
                <w:rFonts w:asciiTheme="minorHAnsi" w:hAnsiTheme="minorHAnsi" w:cstheme="minorHAnsi"/>
                <w:sz w:val="20"/>
                <w:szCs w:val="20"/>
              </w:rPr>
              <w:t>Naziv</w:t>
            </w:r>
          </w:p>
        </w:tc>
        <w:tc>
          <w:tcPr>
            <w:tcW w:w="0" w:type="auto"/>
            <w:tcBorders>
              <w:bottom w:val="single" w:sz="4" w:space="0" w:color="FFFFFF" w:themeColor="background1"/>
            </w:tcBorders>
            <w:hideMark/>
          </w:tcPr>
          <w:p w14:paraId="66B7224A"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C86111">
              <w:rPr>
                <w:rFonts w:asciiTheme="minorHAnsi" w:hAnsiTheme="minorHAnsi" w:cstheme="minorHAnsi"/>
                <w:sz w:val="20"/>
                <w:szCs w:val="20"/>
              </w:rPr>
              <w:t>Opis i metode</w:t>
            </w:r>
          </w:p>
        </w:tc>
      </w:tr>
      <w:tr w:rsidR="00C23D65" w:rsidRPr="00C86111" w14:paraId="20E85608"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3B160D95" w14:textId="77777777" w:rsidR="00C23D65" w:rsidRPr="00C86111" w:rsidRDefault="00C23D65">
            <w:pPr>
              <w:jc w:val="both"/>
              <w:rPr>
                <w:rFonts w:asciiTheme="minorHAnsi" w:hAnsiTheme="minorHAnsi" w:cstheme="minorHAnsi"/>
                <w:sz w:val="20"/>
                <w:szCs w:val="20"/>
              </w:rPr>
            </w:pPr>
            <w:r w:rsidRPr="00C86111">
              <w:rPr>
                <w:rFonts w:asciiTheme="minorHAnsi" w:hAnsiTheme="minorHAnsi" w:cstheme="minorHAnsi"/>
                <w:sz w:val="20"/>
                <w:szCs w:val="20"/>
              </w:rPr>
              <w:t>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13E6AB"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Početna / inicijalna faza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850A4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Brza, indikativna procjena na osnovu dostupnih i sekundarnih podataka, stručnog mišljenja i istraživanja domaćinstava. Fokus na EEE/WEEE, CRT i LCD uređaje, istorijske podatke o voznom parku i praksama upravljanja otpadom.</w:t>
            </w:r>
          </w:p>
        </w:tc>
      </w:tr>
      <w:tr w:rsidR="00C23D65" w:rsidRPr="00C86111" w14:paraId="23F315D9"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0C393DA3" w14:textId="77777777" w:rsidR="00C23D65" w:rsidRPr="00C86111" w:rsidRDefault="00C23D65">
            <w:pPr>
              <w:jc w:val="both"/>
              <w:rPr>
                <w:rFonts w:asciiTheme="minorHAnsi" w:hAnsiTheme="minorHAnsi" w:cstheme="minorHAnsi"/>
                <w:sz w:val="20"/>
                <w:szCs w:val="20"/>
              </w:rPr>
            </w:pPr>
            <w:r w:rsidRPr="00C86111">
              <w:rPr>
                <w:rFonts w:asciiTheme="minorHAnsi" w:hAnsiTheme="minorHAnsi" w:cstheme="minorHAnsi"/>
                <w:sz w:val="20"/>
                <w:szCs w:val="20"/>
              </w:rPr>
              <w:t>II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FE49B2"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Osnovni inventar / detaljnija procjena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5DDCF9"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Kvantitativna procjena ključnih sektora: EEE/WEEE i transport. Analiza uvoza, sastava plastike i sadržaja PBDE, uključujući dekaBDE. Kombinacija podataka iz literature, lokalnih istraživanja i ostataka vozila.</w:t>
            </w:r>
          </w:p>
        </w:tc>
      </w:tr>
      <w:tr w:rsidR="00C23D65" w:rsidRPr="00C86111" w14:paraId="2F7D0A88"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hideMark/>
          </w:tcPr>
          <w:p w14:paraId="3F99F40F" w14:textId="77777777" w:rsidR="00C23D65" w:rsidRPr="00C86111" w:rsidRDefault="00C23D65">
            <w:pPr>
              <w:jc w:val="both"/>
              <w:rPr>
                <w:rFonts w:asciiTheme="minorHAnsi" w:hAnsiTheme="minorHAnsi" w:cstheme="minorHAnsi"/>
                <w:sz w:val="20"/>
                <w:szCs w:val="20"/>
              </w:rPr>
            </w:pPr>
            <w:r w:rsidRPr="00C86111">
              <w:rPr>
                <w:rFonts w:asciiTheme="minorHAnsi" w:hAnsiTheme="minorHAnsi" w:cstheme="minorHAnsi"/>
                <w:sz w:val="20"/>
                <w:szCs w:val="20"/>
              </w:rPr>
              <w:t>III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34AF3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Detaljni inventar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3229D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Sveobuhvatno prikupljanje podataka putem laboratorijskih analiza, inspekcija na terenu i intervjua sa zainteresovanim stranama. Identifikacija specifičnih izvora emisija i kontaminacije.</w:t>
            </w:r>
          </w:p>
        </w:tc>
      </w:tr>
    </w:tbl>
    <w:p w14:paraId="6B09D7EC" w14:textId="1284F68E"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Prednosti ovog pristupa</w:t>
      </w:r>
      <w:r w:rsidR="002C477F" w:rsidRPr="00C86111">
        <w:rPr>
          <w:rFonts w:asciiTheme="minorHAnsi" w:hAnsiTheme="minorHAnsi" w:cstheme="minorHAnsi"/>
          <w:szCs w:val="24"/>
        </w:rPr>
        <w:t xml:space="preserve"> su</w:t>
      </w:r>
      <w:r w:rsidRPr="00C86111">
        <w:rPr>
          <w:rFonts w:asciiTheme="minorHAnsi" w:hAnsiTheme="minorHAnsi" w:cstheme="minorHAnsi"/>
          <w:szCs w:val="24"/>
        </w:rPr>
        <w:t>:</w:t>
      </w:r>
    </w:p>
    <w:p w14:paraId="73AD74BD" w14:textId="77777777" w:rsidR="00C23D65" w:rsidRPr="00C86111" w:rsidRDefault="00C23D65" w:rsidP="00004F34">
      <w:pPr>
        <w:numPr>
          <w:ilvl w:val="0"/>
          <w:numId w:val="185"/>
        </w:numPr>
        <w:jc w:val="both"/>
        <w:rPr>
          <w:rFonts w:asciiTheme="minorHAnsi" w:hAnsiTheme="minorHAnsi" w:cstheme="minorHAnsi"/>
          <w:szCs w:val="24"/>
        </w:rPr>
      </w:pPr>
      <w:r w:rsidRPr="00C86111">
        <w:rPr>
          <w:rFonts w:asciiTheme="minorHAnsi" w:hAnsiTheme="minorHAnsi" w:cstheme="minorHAnsi"/>
          <w:szCs w:val="24"/>
        </w:rPr>
        <w:lastRenderedPageBreak/>
        <w:t>Fleksibilnost za prilagođavanje tehničkim i institucionalnim kapacitetima;</w:t>
      </w:r>
    </w:p>
    <w:p w14:paraId="6064682D" w14:textId="77777777" w:rsidR="00C23D65" w:rsidRPr="00C86111" w:rsidRDefault="00C23D65" w:rsidP="00004F34">
      <w:pPr>
        <w:numPr>
          <w:ilvl w:val="0"/>
          <w:numId w:val="185"/>
        </w:numPr>
        <w:jc w:val="both"/>
        <w:rPr>
          <w:rFonts w:asciiTheme="minorHAnsi" w:hAnsiTheme="minorHAnsi" w:cstheme="minorHAnsi"/>
          <w:szCs w:val="24"/>
        </w:rPr>
      </w:pPr>
      <w:r w:rsidRPr="00C86111">
        <w:rPr>
          <w:rFonts w:asciiTheme="minorHAnsi" w:hAnsiTheme="minorHAnsi" w:cstheme="minorHAnsi"/>
          <w:szCs w:val="24"/>
        </w:rPr>
        <w:t>Postepeno unapređenje kvaliteta inventara;</w:t>
      </w:r>
    </w:p>
    <w:p w14:paraId="06FD6762" w14:textId="77777777" w:rsidR="00C23D65" w:rsidRPr="00C86111" w:rsidRDefault="00C23D65" w:rsidP="00004F34">
      <w:pPr>
        <w:numPr>
          <w:ilvl w:val="0"/>
          <w:numId w:val="185"/>
        </w:numPr>
        <w:jc w:val="both"/>
        <w:rPr>
          <w:rFonts w:asciiTheme="minorHAnsi" w:hAnsiTheme="minorHAnsi" w:cstheme="minorHAnsi"/>
          <w:szCs w:val="24"/>
        </w:rPr>
      </w:pPr>
      <w:r w:rsidRPr="00C86111">
        <w:rPr>
          <w:rFonts w:asciiTheme="minorHAnsi" w:hAnsiTheme="minorHAnsi" w:cstheme="minorHAnsi"/>
          <w:szCs w:val="24"/>
        </w:rPr>
        <w:t>Jasna struktura planiranja, prikupljanja podataka, analize i izvještavanja.</w:t>
      </w:r>
    </w:p>
    <w:p w14:paraId="4273D6B2" w14:textId="77777777" w:rsidR="00C23D65" w:rsidRPr="00C86111" w:rsidRDefault="00C23D65" w:rsidP="00C23D65">
      <w:pPr>
        <w:ind w:left="720"/>
        <w:jc w:val="both"/>
        <w:rPr>
          <w:rFonts w:asciiTheme="minorHAnsi" w:hAnsiTheme="minorHAnsi" w:cstheme="minorHAnsi"/>
          <w:szCs w:val="24"/>
        </w:rPr>
      </w:pPr>
    </w:p>
    <w:p w14:paraId="71003810" w14:textId="77777777" w:rsidR="00C23D65" w:rsidRPr="00C86111" w:rsidRDefault="00C23D65" w:rsidP="00C23D65">
      <w:pPr>
        <w:rPr>
          <w:rFonts w:ascii="Times New Roman" w:hAnsi="Times New Roman"/>
          <w:color w:val="002060"/>
          <w:sz w:val="36"/>
        </w:rPr>
      </w:pPr>
      <w:r w:rsidRPr="00C86111">
        <w:rPr>
          <w:rStyle w:val="Strong"/>
          <w:color w:val="002060"/>
        </w:rPr>
        <w:t>Nivo I – Inicijalna faza (EEE/WEEE i transport)</w:t>
      </w:r>
    </w:p>
    <w:p w14:paraId="3073B001" w14:textId="77777777" w:rsidR="00C23D65" w:rsidRPr="00C86111" w:rsidRDefault="00C23D65" w:rsidP="00C23D65">
      <w:pPr>
        <w:pStyle w:val="NormalWeb"/>
        <w:jc w:val="both"/>
      </w:pPr>
      <w:r w:rsidRPr="00C86111">
        <w:t>U početnoj fazi inventarizacije pažnja je bila usmjerena na identifikovanje prisustva POP-PBDE u najvažnijim proizvodnim grupama koje ih mogu sadržavati – električnoj i elektronskoj opremi te vozilima. Za sektor EEE/WEEE analizirani su podaci o uvozu i prisutnosti CRT i LCD televizora i monitora, uz dopunu kroz istraživanje domaćinstava, koje je omogućilo procjenu broja uređaja koji su još u upotrebi ili se nalaze u skladištu. Ovi podaci poslužili su kao osnova za formiranje početne baze elektronskih proizvoda koji potencijalno sadrže bromirane usporivače gorenja.</w:t>
      </w:r>
    </w:p>
    <w:p w14:paraId="6133E94F" w14:textId="77777777" w:rsidR="00C23D65" w:rsidRPr="00C86111" w:rsidRDefault="00C23D65" w:rsidP="00C23D65">
      <w:pPr>
        <w:pStyle w:val="NormalWeb"/>
        <w:jc w:val="both"/>
      </w:pPr>
      <w:r w:rsidRPr="00C86111">
        <w:t>U transportnom sektoru prikupljeni su istorijski i statistički podaci o voznom parku Crne Gore, uključujući obim uvoza i starosnu strukturu vozila, što je omogućilo procjenu vjerovatnog sadržaja PBDE u plastičnim komponentama automobila. Posebna pažnja posvećena je postojećim praksama upravljanja otpadnim vozilima, naročito u pogledu tretmana plastičnih dijelova koji mogu predstavljati značajan izvor POP-PBDE u fazi otpada.</w:t>
      </w:r>
    </w:p>
    <w:p w14:paraId="1F8A5876" w14:textId="77777777" w:rsidR="00C23D65" w:rsidRPr="00C86111" w:rsidRDefault="00C23D65" w:rsidP="00C23D65">
      <w:pPr>
        <w:rPr>
          <w:color w:val="002060"/>
        </w:rPr>
      </w:pPr>
      <w:r w:rsidRPr="00C86111">
        <w:rPr>
          <w:rStyle w:val="Strong"/>
          <w:color w:val="002060"/>
        </w:rPr>
        <w:t>Nivo II – Detaljnija procjena (EEE/WEEE i transport)</w:t>
      </w:r>
    </w:p>
    <w:p w14:paraId="19707BC3" w14:textId="77777777" w:rsidR="00C23D65" w:rsidRPr="00C86111" w:rsidRDefault="00C23D65" w:rsidP="00C23D65">
      <w:pPr>
        <w:pStyle w:val="NormalWeb"/>
        <w:jc w:val="both"/>
      </w:pPr>
      <w:r w:rsidRPr="00C86111">
        <w:t>U drugoj fazi inventara sprovedene su kvantitativne procjene POP-PBDE u sektoru električne i elektronske opreme, oslanjajući se na podatke o uvozu CRT i LCD uređaja, mobilnih telefona, laptopova i bijele tehnike u periodu 2017–2023. Na osnovu tipičnog sastava plastike i prosječnih koncentracija bromiranih usporivača gorenja procijenjen je sadržaj POP-PBDE u ovim proizvodima, uključujući i dekaBDE. Paralelno s tim, analiziran je obim generisanog elektronskog otpada i njegov plastični sastav, kako bi se sagledao potencijalni tok POP-PBDE u fazi kraja životnog vijeka proizvoda, kao i prisustvo ovih supstanci u uvezenoj WEEE plastici.</w:t>
      </w:r>
    </w:p>
    <w:p w14:paraId="0B48B9F7" w14:textId="77777777" w:rsidR="00C23D65" w:rsidRPr="00C86111" w:rsidRDefault="00C23D65" w:rsidP="00C23D65">
      <w:pPr>
        <w:pStyle w:val="NormalWeb"/>
        <w:jc w:val="both"/>
      </w:pPr>
      <w:r w:rsidRPr="00C86111">
        <w:t>U transportnom sektoru procjene su zasnovane na starosnoj strukturi voznog parka, uz diferencijaciju vozila prema periodima proizvodnje, što je omogućilo realističniju procjenu sadržaja PBDE u plastičnim komponentama. Posebna pažnja posvećena je dekaBDE, čija je upotreba bila naročito izražena u određenim generacijama vozila. Globalne i regionalne prosječne vrijednosti kombinovane su s podacima iz ostataka automobilske drobilice i relevantne literature kako bi se što preciznije procijenio udio komponenti tretiranih usporivačima gorenja u ukupnom materijalu koji ulazi u tok otpada.</w:t>
      </w:r>
    </w:p>
    <w:p w14:paraId="0012EF35" w14:textId="77777777" w:rsidR="00C23D65" w:rsidRPr="00C86111" w:rsidRDefault="00C23D65" w:rsidP="00EA6904">
      <w:pPr>
        <w:pStyle w:val="Heading3"/>
        <w:rPr>
          <w:rStyle w:val="Strong"/>
          <w:b/>
          <w:bCs/>
        </w:rPr>
      </w:pPr>
      <w:bookmarkStart w:id="93" w:name="_Toc220541894"/>
      <w:r w:rsidRPr="00C86111">
        <w:rPr>
          <w:rStyle w:val="Strong"/>
          <w:bCs/>
        </w:rPr>
        <w:t>Prilagođavanje crnogorskim uslovima</w:t>
      </w:r>
      <w:bookmarkEnd w:id="93"/>
    </w:p>
    <w:p w14:paraId="76C9531B" w14:textId="77777777" w:rsidR="002C477F" w:rsidRPr="00C86111" w:rsidRDefault="002C477F" w:rsidP="002C477F"/>
    <w:p w14:paraId="716F79C0" w14:textId="77777777" w:rsidR="00C23D65" w:rsidRPr="00C86111" w:rsidRDefault="00C23D65" w:rsidP="00C23D65">
      <w:pPr>
        <w:pStyle w:val="NormalWeb"/>
        <w:spacing w:before="0" w:beforeAutospacing="0" w:after="0" w:afterAutospacing="0"/>
        <w:jc w:val="both"/>
        <w:rPr>
          <w:rFonts w:asciiTheme="minorHAnsi" w:hAnsiTheme="minorHAnsi" w:cstheme="minorHAnsi"/>
          <w:color w:val="000000" w:themeColor="text1"/>
        </w:rPr>
      </w:pPr>
      <w:r w:rsidRPr="00C86111">
        <w:rPr>
          <w:rFonts w:asciiTheme="minorHAnsi" w:hAnsiTheme="minorHAnsi" w:cstheme="minorHAnsi"/>
          <w:color w:val="000000" w:themeColor="text1"/>
        </w:rPr>
        <w:t xml:space="preserve">Sve procjene POP-PBDE prilagođene su specifičnostima Crne Gore. Globalni i regionalni modeli korišćeni su u kombinaciji sa </w:t>
      </w:r>
      <w:r w:rsidRPr="00C86111">
        <w:rPr>
          <w:rStyle w:val="Strong"/>
          <w:rFonts w:asciiTheme="minorHAnsi" w:eastAsia="Courier New" w:hAnsiTheme="minorHAnsi" w:cstheme="minorHAnsi"/>
          <w:b w:val="0"/>
          <w:bCs w:val="0"/>
          <w:color w:val="000000" w:themeColor="text1"/>
        </w:rPr>
        <w:t>lokalnim podacima</w:t>
      </w:r>
      <w:r w:rsidRPr="00C86111">
        <w:rPr>
          <w:rFonts w:asciiTheme="minorHAnsi" w:hAnsiTheme="minorHAnsi" w:cstheme="minorHAnsi"/>
          <w:color w:val="000000" w:themeColor="text1"/>
        </w:rPr>
        <w:t xml:space="preserve"> o uvozu, carinskim evidencijama i starosnoj strukturi voznog parka. U slučajevima kada podaci nisu bili potpuni, sprovedena su dodatna </w:t>
      </w:r>
      <w:r w:rsidRPr="00C86111">
        <w:rPr>
          <w:rStyle w:val="Strong"/>
          <w:rFonts w:asciiTheme="minorHAnsi" w:eastAsia="Courier New" w:hAnsiTheme="minorHAnsi" w:cstheme="minorHAnsi"/>
          <w:b w:val="0"/>
          <w:bCs w:val="0"/>
          <w:color w:val="000000" w:themeColor="text1"/>
        </w:rPr>
        <w:t>lokalna istraživanja i ankete</w:t>
      </w:r>
      <w:r w:rsidRPr="00C86111">
        <w:rPr>
          <w:rFonts w:asciiTheme="minorHAnsi" w:hAnsiTheme="minorHAnsi" w:cstheme="minorHAnsi"/>
          <w:color w:val="000000" w:themeColor="text1"/>
        </w:rPr>
        <w:t xml:space="preserve"> kako bi se nadomjestile praznine.</w:t>
      </w:r>
    </w:p>
    <w:p w14:paraId="5C9EAF1D" w14:textId="77777777" w:rsidR="00C23D65" w:rsidRPr="00C86111" w:rsidRDefault="00C23D65" w:rsidP="00C23D65">
      <w:pPr>
        <w:pStyle w:val="NormalWeb"/>
        <w:spacing w:before="0" w:beforeAutospacing="0" w:after="0" w:afterAutospacing="0"/>
        <w:jc w:val="both"/>
        <w:rPr>
          <w:rFonts w:asciiTheme="minorHAnsi" w:hAnsiTheme="minorHAnsi" w:cstheme="minorHAnsi"/>
          <w:b/>
          <w:bCs/>
          <w:color w:val="000000" w:themeColor="text1"/>
        </w:rPr>
      </w:pPr>
      <w:r w:rsidRPr="00C86111">
        <w:rPr>
          <w:rFonts w:asciiTheme="minorHAnsi" w:hAnsiTheme="minorHAnsi" w:cstheme="minorHAnsi"/>
          <w:color w:val="000000" w:themeColor="text1"/>
        </w:rPr>
        <w:t xml:space="preserve">Udio polimera i koncentracije POP-PBDE u različitim tipovima uređaja i vozila prilagođeni su na osnovu lokalnih karakteristika tržišta i specifikacija proizvoda. Sadržaj PBDE u elektronskim </w:t>
      </w:r>
      <w:r w:rsidRPr="00C86111">
        <w:rPr>
          <w:rFonts w:asciiTheme="minorHAnsi" w:hAnsiTheme="minorHAnsi" w:cstheme="minorHAnsi"/>
          <w:color w:val="000000" w:themeColor="text1"/>
        </w:rPr>
        <w:lastRenderedPageBreak/>
        <w:t xml:space="preserve">uređajima i vozilima ekstrapoliran je za cijelu populaciju proizvoda u zemlji, čime je obezbijeđena </w:t>
      </w:r>
      <w:r w:rsidRPr="00C86111">
        <w:rPr>
          <w:rStyle w:val="Strong"/>
          <w:rFonts w:asciiTheme="minorHAnsi" w:eastAsia="Courier New" w:hAnsiTheme="minorHAnsi" w:cstheme="minorHAnsi"/>
          <w:b w:val="0"/>
          <w:bCs w:val="0"/>
          <w:color w:val="000000" w:themeColor="text1"/>
        </w:rPr>
        <w:t>realistična procjena prisustva dekaBDE i drugih PBDE</w:t>
      </w:r>
      <w:r w:rsidRPr="00C86111">
        <w:rPr>
          <w:rFonts w:asciiTheme="minorHAnsi" w:hAnsiTheme="minorHAnsi" w:cstheme="minorHAnsi"/>
          <w:b/>
          <w:bCs/>
          <w:color w:val="000000" w:themeColor="text1"/>
        </w:rPr>
        <w:t>.</w:t>
      </w:r>
    </w:p>
    <w:p w14:paraId="4EB0D675" w14:textId="77777777" w:rsidR="00C23D65" w:rsidRPr="00C86111" w:rsidRDefault="00C23D65" w:rsidP="00C23D65">
      <w:pPr>
        <w:pStyle w:val="NormalWeb"/>
        <w:spacing w:before="0" w:beforeAutospacing="0" w:after="0" w:afterAutospacing="0"/>
        <w:jc w:val="both"/>
        <w:rPr>
          <w:rFonts w:asciiTheme="minorHAnsi" w:hAnsiTheme="minorHAnsi" w:cstheme="minorHAnsi"/>
          <w:color w:val="000000" w:themeColor="text1"/>
        </w:rPr>
      </w:pPr>
      <w:r w:rsidRPr="00C86111">
        <w:rPr>
          <w:rFonts w:asciiTheme="minorHAnsi" w:hAnsiTheme="minorHAnsi" w:cstheme="minorHAnsi"/>
          <w:color w:val="000000" w:themeColor="text1"/>
        </w:rPr>
        <w:t>Nacionalne studije o sastavu komunalnog otpada korišćene su za dodatnu preciznost procjena, osiguravajući pouzdanu i sveobuhvatnu sliku POP-PBDE u Crnoj Gori.</w:t>
      </w:r>
    </w:p>
    <w:p w14:paraId="7120280F"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Kombinovani višestepeni pristup omogućio je razvoj sveobuhvatnog i pouzdanog inventara POP-PBDE u Crnoj Gori. Inventar osigurava realističnu procjenu prisustva PBDE u ključnim sektorima, pruža osnovu za dalja unapređenja upravljanja i strategija zaštite životne sredine, i u potpunosti je u skladu sa preporukama Stokholmske konvencije.</w:t>
      </w:r>
    </w:p>
    <w:p w14:paraId="4151C226" w14:textId="77777777" w:rsidR="00C23D65" w:rsidRPr="00C86111" w:rsidRDefault="00C23D65" w:rsidP="00004F34">
      <w:pPr>
        <w:pStyle w:val="Heading1"/>
        <w:numPr>
          <w:ilvl w:val="1"/>
          <w:numId w:val="238"/>
        </w:numPr>
      </w:pPr>
      <w:bookmarkStart w:id="94" w:name="_Toc220541895"/>
      <w:r w:rsidRPr="00C86111">
        <w:t>SEKTOR EEE</w:t>
      </w:r>
      <w:bookmarkEnd w:id="94"/>
    </w:p>
    <w:p w14:paraId="16622BEF" w14:textId="77777777" w:rsidR="00C23D65" w:rsidRPr="00C86111" w:rsidRDefault="00C23D65" w:rsidP="00EA6904">
      <w:pPr>
        <w:pStyle w:val="Heading3"/>
      </w:pPr>
      <w:r w:rsidRPr="00C86111">
        <w:t xml:space="preserve"> </w:t>
      </w:r>
      <w:bookmarkStart w:id="95" w:name="_Toc220541896"/>
      <w:r w:rsidRPr="00C86111">
        <w:t>Inventar POP-PBDE u električnoj i elektronskoj opremi (EEE) i povezanim otpadom (WEEE)</w:t>
      </w:r>
      <w:bookmarkEnd w:id="95"/>
    </w:p>
    <w:p w14:paraId="4F3C2865" w14:textId="77777777" w:rsidR="00C23D65" w:rsidRPr="00C86111" w:rsidRDefault="00C23D65" w:rsidP="00C23D65">
      <w:pPr>
        <w:jc w:val="both"/>
        <w:rPr>
          <w:rFonts w:asciiTheme="minorHAnsi" w:hAnsiTheme="minorHAnsi" w:cstheme="minorHAnsi"/>
          <w:color w:val="auto"/>
          <w:szCs w:val="24"/>
        </w:rPr>
      </w:pPr>
    </w:p>
    <w:p w14:paraId="51E689D9"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Električna i elektronska oprema (EEE) predstavlja jedan od najbrže rastućih materijalnih tokova globalno, što generiše značajan otpad (WEEE) i izazove za reciklažu, posebno u zemljama u razvoju. Najveće zalihe c-dekaBDE i c-oktaBDE nalaze se upravo u ovom sektoru, kako u aktivnoj upotrebi, tako i u fazama na kraju životnog vijeka. Razvijanje inventara EEE i WEEE predstavlja ključni korak u upravljanju materijalima koji sadrže ove bromisane usporivače gorenja.</w:t>
      </w:r>
    </w:p>
    <w:p w14:paraId="14433DE6"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Najveći udio plastike sa POP-PBDE prisutan je u sljedećim kategorijama proizvoda:</w:t>
      </w:r>
    </w:p>
    <w:p w14:paraId="72AA61E4" w14:textId="77777777" w:rsidR="00C23D65" w:rsidRPr="00C86111" w:rsidRDefault="00C23D65" w:rsidP="00004F34">
      <w:pPr>
        <w:numPr>
          <w:ilvl w:val="0"/>
          <w:numId w:val="186"/>
        </w:numPr>
        <w:jc w:val="both"/>
        <w:rPr>
          <w:rFonts w:asciiTheme="minorHAnsi" w:hAnsiTheme="minorHAnsi" w:cstheme="minorHAnsi"/>
          <w:color w:val="auto"/>
          <w:szCs w:val="24"/>
        </w:rPr>
      </w:pPr>
      <w:r w:rsidRPr="00C86111">
        <w:rPr>
          <w:rFonts w:asciiTheme="minorHAnsi" w:hAnsiTheme="minorHAnsi" w:cstheme="minorHAnsi"/>
          <w:color w:val="auto"/>
          <w:szCs w:val="24"/>
        </w:rPr>
        <w:t>Veliki kućni aparati (frižideri, klima uređaji, perilice);</w:t>
      </w:r>
    </w:p>
    <w:p w14:paraId="0D7A50A8" w14:textId="77777777" w:rsidR="00C23D65" w:rsidRPr="00C86111" w:rsidRDefault="00C23D65" w:rsidP="00004F34">
      <w:pPr>
        <w:numPr>
          <w:ilvl w:val="0"/>
          <w:numId w:val="186"/>
        </w:numPr>
        <w:jc w:val="both"/>
        <w:rPr>
          <w:rFonts w:asciiTheme="minorHAnsi" w:hAnsiTheme="minorHAnsi" w:cstheme="minorHAnsi"/>
          <w:color w:val="auto"/>
          <w:szCs w:val="24"/>
        </w:rPr>
      </w:pPr>
      <w:r w:rsidRPr="00C86111">
        <w:rPr>
          <w:rFonts w:asciiTheme="minorHAnsi" w:hAnsiTheme="minorHAnsi" w:cstheme="minorHAnsi"/>
          <w:color w:val="auto"/>
          <w:szCs w:val="24"/>
        </w:rPr>
        <w:t>Mali kućni aparati i kućni uređaji;</w:t>
      </w:r>
    </w:p>
    <w:p w14:paraId="2874F501" w14:textId="77777777" w:rsidR="00C23D65" w:rsidRPr="00C86111" w:rsidRDefault="00C23D65" w:rsidP="00004F34">
      <w:pPr>
        <w:numPr>
          <w:ilvl w:val="0"/>
          <w:numId w:val="186"/>
        </w:numPr>
        <w:jc w:val="both"/>
        <w:rPr>
          <w:rFonts w:asciiTheme="minorHAnsi" w:hAnsiTheme="minorHAnsi" w:cstheme="minorHAnsi"/>
          <w:color w:val="auto"/>
          <w:szCs w:val="24"/>
        </w:rPr>
      </w:pPr>
      <w:r w:rsidRPr="00C86111">
        <w:rPr>
          <w:rFonts w:asciiTheme="minorHAnsi" w:hAnsiTheme="minorHAnsi" w:cstheme="minorHAnsi"/>
          <w:color w:val="auto"/>
          <w:szCs w:val="24"/>
        </w:rPr>
        <w:t>IT oprema (računari, laptopi, tableti);</w:t>
      </w:r>
    </w:p>
    <w:p w14:paraId="29E7F524" w14:textId="77777777" w:rsidR="00C23D65" w:rsidRPr="00C86111" w:rsidRDefault="00C23D65" w:rsidP="00004F34">
      <w:pPr>
        <w:numPr>
          <w:ilvl w:val="0"/>
          <w:numId w:val="186"/>
        </w:numPr>
        <w:jc w:val="both"/>
        <w:rPr>
          <w:rFonts w:asciiTheme="minorHAnsi" w:hAnsiTheme="minorHAnsi" w:cstheme="minorHAnsi"/>
          <w:color w:val="auto"/>
          <w:szCs w:val="24"/>
        </w:rPr>
      </w:pPr>
      <w:r w:rsidRPr="00C86111">
        <w:rPr>
          <w:rFonts w:asciiTheme="minorHAnsi" w:hAnsiTheme="minorHAnsi" w:cstheme="minorHAnsi"/>
          <w:color w:val="auto"/>
          <w:szCs w:val="24"/>
        </w:rPr>
        <w:t>Potrošački proizvodi (CRT i flat panel televizori, mobilni telefoni).</w:t>
      </w:r>
    </w:p>
    <w:p w14:paraId="42B42E62"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Za potrebe inventara korišćene su međunarodne klasifikacije proizvoda (UNU i HS kodovi) kao referentni vodič za identifikaciju i praćenje EEE proizvoda koji mogu sadržavati POP-PBDE.</w:t>
      </w:r>
    </w:p>
    <w:p w14:paraId="438370F8" w14:textId="6E84BB06" w:rsidR="00C23D65" w:rsidRPr="00C86111" w:rsidRDefault="00C23D65" w:rsidP="00EA6904">
      <w:pPr>
        <w:pStyle w:val="Heading3"/>
      </w:pPr>
      <w:bookmarkStart w:id="96" w:name="_Toc220541897"/>
      <w:r w:rsidRPr="00C86111">
        <w:t>Definisanje obima inventara POP-PBDE u EEE/WEEE</w:t>
      </w:r>
      <w:bookmarkEnd w:id="96"/>
    </w:p>
    <w:p w14:paraId="403FEA95" w14:textId="77777777" w:rsidR="002C477F" w:rsidRPr="00C86111" w:rsidRDefault="002C477F" w:rsidP="002C477F"/>
    <w:p w14:paraId="2491C3BF"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Prvi korak u izradi inventara POP-PBDE bio je jasno definisanje obima aktivnosti i fokus na ključne tokove:</w:t>
      </w:r>
    </w:p>
    <w:p w14:paraId="070F2E36" w14:textId="77777777" w:rsidR="00C23D65" w:rsidRPr="00C86111" w:rsidRDefault="00C23D65" w:rsidP="00004F34">
      <w:pPr>
        <w:numPr>
          <w:ilvl w:val="0"/>
          <w:numId w:val="187"/>
        </w:numPr>
        <w:jc w:val="both"/>
        <w:rPr>
          <w:rFonts w:asciiTheme="minorHAnsi" w:hAnsiTheme="minorHAnsi" w:cstheme="minorHAnsi"/>
          <w:szCs w:val="24"/>
        </w:rPr>
      </w:pPr>
      <w:r w:rsidRPr="00C86111">
        <w:rPr>
          <w:rFonts w:asciiTheme="minorHAnsi" w:hAnsiTheme="minorHAnsi" w:cstheme="minorHAnsi"/>
          <w:szCs w:val="24"/>
        </w:rPr>
        <w:t>Procjena upotrebe i zaliha POP-PBDE u električnoj i elektronskoj opremi (EEE) i povezanim otpadom (WEEE);</w:t>
      </w:r>
    </w:p>
    <w:p w14:paraId="6C6C8D74" w14:textId="77777777" w:rsidR="00C23D65" w:rsidRPr="00C86111" w:rsidRDefault="00C23D65" w:rsidP="00004F34">
      <w:pPr>
        <w:numPr>
          <w:ilvl w:val="0"/>
          <w:numId w:val="187"/>
        </w:numPr>
        <w:jc w:val="both"/>
        <w:rPr>
          <w:rFonts w:asciiTheme="minorHAnsi" w:hAnsiTheme="minorHAnsi" w:cstheme="minorHAnsi"/>
          <w:szCs w:val="24"/>
        </w:rPr>
      </w:pPr>
      <w:r w:rsidRPr="00C86111">
        <w:rPr>
          <w:rFonts w:asciiTheme="minorHAnsi" w:hAnsiTheme="minorHAnsi" w:cstheme="minorHAnsi"/>
          <w:szCs w:val="24"/>
        </w:rPr>
        <w:t>Praćenje pripadajuće plastike i materijala koji sadrže PBDE;</w:t>
      </w:r>
    </w:p>
    <w:p w14:paraId="1B7B920E" w14:textId="77777777" w:rsidR="00C23D65" w:rsidRPr="00C86111" w:rsidRDefault="00C23D65" w:rsidP="00004F34">
      <w:pPr>
        <w:numPr>
          <w:ilvl w:val="0"/>
          <w:numId w:val="187"/>
        </w:numPr>
        <w:jc w:val="both"/>
        <w:rPr>
          <w:rFonts w:asciiTheme="minorHAnsi" w:hAnsiTheme="minorHAnsi" w:cstheme="minorHAnsi"/>
          <w:szCs w:val="24"/>
        </w:rPr>
      </w:pPr>
      <w:r w:rsidRPr="00C86111">
        <w:rPr>
          <w:rFonts w:asciiTheme="minorHAnsi" w:hAnsiTheme="minorHAnsi" w:cstheme="minorHAnsi"/>
          <w:szCs w:val="24"/>
        </w:rPr>
        <w:t>Identifikacija ključnih zainteresovanih strana za uspješno sprovođenje inventara.</w:t>
      </w:r>
    </w:p>
    <w:p w14:paraId="6E9EE0C0"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Inventar u sektoru EEE/WEEE obuhvatao je:</w:t>
      </w:r>
    </w:p>
    <w:p w14:paraId="60211265" w14:textId="77777777" w:rsidR="00C23D65" w:rsidRPr="00C86111" w:rsidRDefault="00C23D65" w:rsidP="00004F34">
      <w:pPr>
        <w:numPr>
          <w:ilvl w:val="0"/>
          <w:numId w:val="188"/>
        </w:numPr>
        <w:jc w:val="both"/>
        <w:rPr>
          <w:rFonts w:asciiTheme="minorHAnsi" w:hAnsiTheme="minorHAnsi" w:cstheme="minorHAnsi"/>
          <w:color w:val="auto"/>
          <w:szCs w:val="24"/>
        </w:rPr>
      </w:pPr>
      <w:r w:rsidRPr="00C86111">
        <w:rPr>
          <w:rFonts w:asciiTheme="minorHAnsi" w:hAnsiTheme="minorHAnsi" w:cstheme="minorHAnsi"/>
          <w:color w:val="auto"/>
          <w:szCs w:val="24"/>
        </w:rPr>
        <w:t>EEE proizvodi koji sadrže dekaBDE, posebno oni uvezeni za upotrebu koja je izuzeta;</w:t>
      </w:r>
    </w:p>
    <w:p w14:paraId="6FCB9537" w14:textId="77777777" w:rsidR="00C23D65" w:rsidRPr="00C86111" w:rsidRDefault="00C23D65" w:rsidP="00004F34">
      <w:pPr>
        <w:numPr>
          <w:ilvl w:val="0"/>
          <w:numId w:val="188"/>
        </w:numPr>
        <w:jc w:val="both"/>
        <w:rPr>
          <w:rFonts w:asciiTheme="minorHAnsi" w:hAnsiTheme="minorHAnsi" w:cstheme="minorHAnsi"/>
          <w:color w:val="auto"/>
          <w:szCs w:val="24"/>
        </w:rPr>
      </w:pPr>
      <w:r w:rsidRPr="00C86111">
        <w:rPr>
          <w:rFonts w:asciiTheme="minorHAnsi" w:hAnsiTheme="minorHAnsi" w:cstheme="minorHAnsi"/>
          <w:color w:val="auto"/>
          <w:szCs w:val="24"/>
        </w:rPr>
        <w:t>Zalihe EEE opreme u aktivnoj upotrebi ili skladištene kod potrošača (domaćinstva, javne i privatne institucije i organizacije);</w:t>
      </w:r>
    </w:p>
    <w:p w14:paraId="702847BA" w14:textId="77777777" w:rsidR="00C23D65" w:rsidRPr="00C86111" w:rsidRDefault="00C23D65" w:rsidP="00004F34">
      <w:pPr>
        <w:numPr>
          <w:ilvl w:val="0"/>
          <w:numId w:val="188"/>
        </w:numPr>
        <w:jc w:val="both"/>
        <w:rPr>
          <w:rFonts w:asciiTheme="minorHAnsi" w:hAnsiTheme="minorHAnsi" w:cstheme="minorHAnsi"/>
          <w:color w:val="auto"/>
          <w:szCs w:val="24"/>
        </w:rPr>
      </w:pPr>
      <w:r w:rsidRPr="00C86111">
        <w:rPr>
          <w:rFonts w:asciiTheme="minorHAnsi" w:hAnsiTheme="minorHAnsi" w:cstheme="minorHAnsi"/>
          <w:color w:val="auto"/>
          <w:szCs w:val="24"/>
        </w:rPr>
        <w:t>EEE oprema koja sadrži POP-PBDE i ulazi u tok otpada (WEEE), u sinergiji sa Bazelskom konvencijom;</w:t>
      </w:r>
    </w:p>
    <w:p w14:paraId="5454A860" w14:textId="77777777" w:rsidR="00C23D65" w:rsidRPr="00C86111" w:rsidRDefault="00C23D65" w:rsidP="00004F34">
      <w:pPr>
        <w:numPr>
          <w:ilvl w:val="0"/>
          <w:numId w:val="188"/>
        </w:numPr>
        <w:jc w:val="both"/>
        <w:rPr>
          <w:rFonts w:asciiTheme="minorHAnsi" w:hAnsiTheme="minorHAnsi" w:cstheme="minorHAnsi"/>
          <w:color w:val="auto"/>
          <w:szCs w:val="24"/>
        </w:rPr>
      </w:pPr>
      <w:r w:rsidRPr="00C86111">
        <w:rPr>
          <w:rFonts w:asciiTheme="minorHAnsi" w:hAnsiTheme="minorHAnsi" w:cstheme="minorHAnsi"/>
          <w:color w:val="auto"/>
          <w:szCs w:val="24"/>
        </w:rPr>
        <w:t>Plastika iz WEEE predviđena za reciklažu, uključujući domaći WEEE i uvezene polimerske frakcije.</w:t>
      </w:r>
    </w:p>
    <w:p w14:paraId="4ECC43D0"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Za sprovođenje inventara odabran je multidisciplinarni tim, koji uključuje:</w:t>
      </w:r>
    </w:p>
    <w:p w14:paraId="0D5273B5" w14:textId="77777777" w:rsidR="00C23D65" w:rsidRPr="00C86111" w:rsidRDefault="00C23D65" w:rsidP="00004F34">
      <w:pPr>
        <w:numPr>
          <w:ilvl w:val="0"/>
          <w:numId w:val="189"/>
        </w:numPr>
        <w:jc w:val="both"/>
        <w:rPr>
          <w:rFonts w:asciiTheme="minorHAnsi" w:hAnsiTheme="minorHAnsi" w:cstheme="minorHAnsi"/>
          <w:szCs w:val="24"/>
        </w:rPr>
      </w:pPr>
      <w:r w:rsidRPr="00C86111">
        <w:rPr>
          <w:rFonts w:asciiTheme="minorHAnsi" w:hAnsiTheme="minorHAnsi" w:cstheme="minorHAnsi"/>
          <w:szCs w:val="24"/>
        </w:rPr>
        <w:t>Stručnjake za upravljanje otpadom;</w:t>
      </w:r>
    </w:p>
    <w:p w14:paraId="2F2DA4DF" w14:textId="77777777" w:rsidR="00C23D65" w:rsidRPr="00C86111" w:rsidRDefault="00C23D65" w:rsidP="00004F34">
      <w:pPr>
        <w:numPr>
          <w:ilvl w:val="0"/>
          <w:numId w:val="189"/>
        </w:numPr>
        <w:jc w:val="both"/>
        <w:rPr>
          <w:rFonts w:asciiTheme="minorHAnsi" w:hAnsiTheme="minorHAnsi" w:cstheme="minorHAnsi"/>
          <w:szCs w:val="24"/>
        </w:rPr>
      </w:pPr>
      <w:r w:rsidRPr="00C86111">
        <w:rPr>
          <w:rFonts w:asciiTheme="minorHAnsi" w:hAnsiTheme="minorHAnsi" w:cstheme="minorHAnsi"/>
          <w:szCs w:val="24"/>
        </w:rPr>
        <w:lastRenderedPageBreak/>
        <w:t>Stručnjake za hemijsku sigurnost i regulativu;</w:t>
      </w:r>
    </w:p>
    <w:p w14:paraId="051AC8BF" w14:textId="77777777" w:rsidR="00C23D65" w:rsidRPr="00C86111" w:rsidRDefault="00C23D65" w:rsidP="00004F34">
      <w:pPr>
        <w:numPr>
          <w:ilvl w:val="0"/>
          <w:numId w:val="189"/>
        </w:numPr>
        <w:jc w:val="both"/>
        <w:rPr>
          <w:rFonts w:asciiTheme="minorHAnsi" w:hAnsiTheme="minorHAnsi" w:cstheme="minorHAnsi"/>
          <w:szCs w:val="24"/>
        </w:rPr>
      </w:pPr>
      <w:r w:rsidRPr="00C86111">
        <w:rPr>
          <w:rFonts w:asciiTheme="minorHAnsi" w:hAnsiTheme="minorHAnsi" w:cstheme="minorHAnsi"/>
          <w:szCs w:val="24"/>
        </w:rPr>
        <w:t>Predstavnike ključnih zainteresovanih strana, uključujući vladu, proizvođače, reciklere i ekološke organizacije.</w:t>
      </w:r>
    </w:p>
    <w:p w14:paraId="6F93F0AB"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Ključne institucije i organizacije uključene u proces:</w:t>
      </w:r>
    </w:p>
    <w:p w14:paraId="1984D38C" w14:textId="77777777" w:rsidR="00C23D65" w:rsidRPr="00C86111" w:rsidRDefault="00C23D65" w:rsidP="00004F34">
      <w:pPr>
        <w:numPr>
          <w:ilvl w:val="0"/>
          <w:numId w:val="190"/>
        </w:numPr>
        <w:jc w:val="both"/>
        <w:rPr>
          <w:rFonts w:asciiTheme="minorHAnsi" w:hAnsiTheme="minorHAnsi" w:cstheme="minorHAnsi"/>
          <w:szCs w:val="24"/>
        </w:rPr>
      </w:pPr>
      <w:r w:rsidRPr="00C86111">
        <w:rPr>
          <w:rFonts w:asciiTheme="minorHAnsi" w:hAnsiTheme="minorHAnsi" w:cstheme="minorHAnsi"/>
          <w:szCs w:val="24"/>
        </w:rPr>
        <w:t>Ministarstvo ekologije, održivog razvoja i razvoja sjevera;</w:t>
      </w:r>
    </w:p>
    <w:p w14:paraId="17B46C6A" w14:textId="77777777" w:rsidR="00C23D65" w:rsidRPr="00C86111" w:rsidRDefault="00C23D65" w:rsidP="00004F34">
      <w:pPr>
        <w:numPr>
          <w:ilvl w:val="0"/>
          <w:numId w:val="190"/>
        </w:numPr>
        <w:jc w:val="both"/>
        <w:rPr>
          <w:rFonts w:asciiTheme="minorHAnsi" w:hAnsiTheme="minorHAnsi" w:cstheme="minorHAnsi"/>
          <w:szCs w:val="24"/>
        </w:rPr>
      </w:pPr>
      <w:r w:rsidRPr="00C86111">
        <w:rPr>
          <w:rFonts w:asciiTheme="minorHAnsi" w:hAnsiTheme="minorHAnsi" w:cstheme="minorHAnsi"/>
          <w:szCs w:val="24"/>
        </w:rPr>
        <w:t>Uprava carina;</w:t>
      </w:r>
    </w:p>
    <w:p w14:paraId="7FAFEE14" w14:textId="77777777" w:rsidR="00C23D65" w:rsidRPr="00C86111" w:rsidRDefault="00C23D65" w:rsidP="00004F34">
      <w:pPr>
        <w:numPr>
          <w:ilvl w:val="0"/>
          <w:numId w:val="190"/>
        </w:numPr>
        <w:jc w:val="both"/>
        <w:rPr>
          <w:rFonts w:asciiTheme="minorHAnsi" w:hAnsiTheme="minorHAnsi" w:cstheme="minorHAnsi"/>
          <w:szCs w:val="24"/>
        </w:rPr>
      </w:pPr>
      <w:r w:rsidRPr="00C86111">
        <w:rPr>
          <w:rFonts w:asciiTheme="minorHAnsi" w:hAnsiTheme="minorHAnsi" w:cstheme="minorHAnsi"/>
          <w:szCs w:val="24"/>
        </w:rPr>
        <w:t>Agencija za zaštitu životne sredine;</w:t>
      </w:r>
    </w:p>
    <w:p w14:paraId="1B4D71B9" w14:textId="77777777" w:rsidR="00C23D65" w:rsidRPr="00C86111" w:rsidRDefault="00C23D65" w:rsidP="00004F34">
      <w:pPr>
        <w:numPr>
          <w:ilvl w:val="0"/>
          <w:numId w:val="190"/>
        </w:numPr>
        <w:jc w:val="both"/>
        <w:rPr>
          <w:rFonts w:asciiTheme="minorHAnsi" w:hAnsiTheme="minorHAnsi" w:cstheme="minorHAnsi"/>
          <w:szCs w:val="24"/>
        </w:rPr>
      </w:pPr>
      <w:r w:rsidRPr="00C86111">
        <w:rPr>
          <w:rFonts w:asciiTheme="minorHAnsi" w:hAnsiTheme="minorHAnsi" w:cstheme="minorHAnsi"/>
          <w:szCs w:val="24"/>
        </w:rPr>
        <w:t>Prerađivači otpada, npr. Hemosan.</w:t>
      </w:r>
    </w:p>
    <w:p w14:paraId="6829916E" w14:textId="77777777" w:rsidR="00C23D65" w:rsidRPr="00C86111" w:rsidRDefault="00C23D65" w:rsidP="00EA6904">
      <w:pPr>
        <w:pStyle w:val="Heading4"/>
      </w:pPr>
      <w:r w:rsidRPr="00C86111">
        <w:t>Odabir metodologije i prikupljanje podataka</w:t>
      </w:r>
    </w:p>
    <w:p w14:paraId="1DBD06B3"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Inicijalna procjena POP-PBDE u Crnoj Gori sprovedena je kroz sljedeće aktivnosti:</w:t>
      </w:r>
    </w:p>
    <w:p w14:paraId="77B6BD6B" w14:textId="77777777" w:rsidR="00C23D65" w:rsidRPr="00C86111" w:rsidRDefault="00C23D65" w:rsidP="00004F34">
      <w:pPr>
        <w:numPr>
          <w:ilvl w:val="0"/>
          <w:numId w:val="191"/>
        </w:numPr>
        <w:jc w:val="both"/>
        <w:rPr>
          <w:rFonts w:asciiTheme="minorHAnsi" w:hAnsiTheme="minorHAnsi" w:cstheme="minorHAnsi"/>
          <w:color w:val="auto"/>
          <w:szCs w:val="24"/>
        </w:rPr>
      </w:pPr>
      <w:r w:rsidRPr="00C86111">
        <w:rPr>
          <w:rFonts w:asciiTheme="minorHAnsi" w:hAnsiTheme="minorHAnsi" w:cstheme="minorHAnsi"/>
          <w:color w:val="auto"/>
          <w:szCs w:val="24"/>
        </w:rPr>
        <w:t>Prikupljanje dostupnih podataka o električnoj i elektronskoj opremi i WEEE otpadu;</w:t>
      </w:r>
    </w:p>
    <w:p w14:paraId="388D9B25" w14:textId="77777777" w:rsidR="00C23D65" w:rsidRPr="00C86111" w:rsidRDefault="00C23D65" w:rsidP="00004F34">
      <w:pPr>
        <w:numPr>
          <w:ilvl w:val="0"/>
          <w:numId w:val="191"/>
        </w:numPr>
        <w:jc w:val="both"/>
        <w:rPr>
          <w:rFonts w:asciiTheme="minorHAnsi" w:hAnsiTheme="minorHAnsi" w:cstheme="minorHAnsi"/>
          <w:color w:val="auto"/>
          <w:szCs w:val="24"/>
        </w:rPr>
      </w:pPr>
      <w:r w:rsidRPr="00C86111">
        <w:rPr>
          <w:rFonts w:asciiTheme="minorHAnsi" w:hAnsiTheme="minorHAnsi" w:cstheme="minorHAnsi"/>
          <w:color w:val="auto"/>
          <w:szCs w:val="24"/>
        </w:rPr>
        <w:t>Preliminarnu procjenu uvoza EEE koji potencijalno sadrži dekaBDE;</w:t>
      </w:r>
    </w:p>
    <w:p w14:paraId="2B85BC39" w14:textId="77777777" w:rsidR="00C23D65" w:rsidRPr="00C86111" w:rsidRDefault="00C23D65" w:rsidP="00004F34">
      <w:pPr>
        <w:numPr>
          <w:ilvl w:val="0"/>
          <w:numId w:val="191"/>
        </w:numPr>
        <w:jc w:val="both"/>
        <w:rPr>
          <w:rFonts w:asciiTheme="minorHAnsi" w:hAnsiTheme="minorHAnsi" w:cstheme="minorHAnsi"/>
          <w:color w:val="auto"/>
          <w:szCs w:val="24"/>
        </w:rPr>
      </w:pPr>
      <w:r w:rsidRPr="00C86111">
        <w:rPr>
          <w:rFonts w:asciiTheme="minorHAnsi" w:hAnsiTheme="minorHAnsi" w:cstheme="minorHAnsi"/>
          <w:color w:val="auto"/>
          <w:szCs w:val="24"/>
        </w:rPr>
        <w:t>Provjeru da li se u Crnoj Gori proizvodi oprema koja sadrži dekaBDE i njena distribucija na domaćem i inostranom tržištu;</w:t>
      </w:r>
    </w:p>
    <w:p w14:paraId="4492B21F" w14:textId="77777777" w:rsidR="00C23D65" w:rsidRPr="00C86111" w:rsidRDefault="00C23D65" w:rsidP="00004F34">
      <w:pPr>
        <w:numPr>
          <w:ilvl w:val="0"/>
          <w:numId w:val="191"/>
        </w:numPr>
        <w:jc w:val="both"/>
        <w:rPr>
          <w:rFonts w:asciiTheme="minorHAnsi" w:hAnsiTheme="minorHAnsi" w:cstheme="minorHAnsi"/>
          <w:color w:val="auto"/>
          <w:szCs w:val="24"/>
        </w:rPr>
      </w:pPr>
      <w:r w:rsidRPr="00C86111">
        <w:rPr>
          <w:rFonts w:asciiTheme="minorHAnsi" w:hAnsiTheme="minorHAnsi" w:cstheme="minorHAnsi"/>
          <w:color w:val="auto"/>
          <w:szCs w:val="24"/>
        </w:rPr>
        <w:t>Procjenu obima opreme u upotrebi i u zalihama koja može sadržati PBDE;</w:t>
      </w:r>
    </w:p>
    <w:p w14:paraId="4AC819D1" w14:textId="77777777" w:rsidR="00C23D65" w:rsidRPr="00C86111" w:rsidRDefault="00C23D65" w:rsidP="00004F34">
      <w:pPr>
        <w:numPr>
          <w:ilvl w:val="0"/>
          <w:numId w:val="191"/>
        </w:numPr>
        <w:jc w:val="both"/>
        <w:rPr>
          <w:rFonts w:asciiTheme="minorHAnsi" w:hAnsiTheme="minorHAnsi" w:cstheme="minorHAnsi"/>
          <w:color w:val="auto"/>
          <w:szCs w:val="24"/>
        </w:rPr>
      </w:pPr>
      <w:r w:rsidRPr="00C86111">
        <w:rPr>
          <w:rFonts w:asciiTheme="minorHAnsi" w:hAnsiTheme="minorHAnsi" w:cstheme="minorHAnsi"/>
          <w:color w:val="auto"/>
          <w:szCs w:val="24"/>
        </w:rPr>
        <w:t>Pregled načina upravljanja WEEE otpadom, s posebnim fokusom na reciklažu plastike.</w:t>
      </w:r>
    </w:p>
    <w:p w14:paraId="7993367F"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Ove aktivnosti omogućile su uspostavljanje osnovnog razumijevanja prisustva i toka materijala sa PBDE-om, što je stvorilo čvrstu osnovu za detaljnije analize u narednim fazama inventara.</w:t>
      </w:r>
    </w:p>
    <w:p w14:paraId="53CDA58A" w14:textId="77777777" w:rsidR="00C23D65" w:rsidRPr="00C86111" w:rsidRDefault="00C23D65" w:rsidP="00004F34">
      <w:pPr>
        <w:pStyle w:val="Heading1"/>
        <w:numPr>
          <w:ilvl w:val="1"/>
          <w:numId w:val="238"/>
        </w:numPr>
      </w:pPr>
      <w:bookmarkStart w:id="97" w:name="_Toc220541898"/>
      <w:r w:rsidRPr="00C86111">
        <w:t>REZULTATI INVENTARA PBDE U SEKTORU EEE U CRNOJ GORI</w:t>
      </w:r>
      <w:bookmarkEnd w:id="97"/>
    </w:p>
    <w:p w14:paraId="33A74A0F" w14:textId="77777777" w:rsidR="002C477F" w:rsidRPr="00C86111" w:rsidRDefault="002C477F" w:rsidP="002C477F"/>
    <w:p w14:paraId="6FF868BD" w14:textId="77777777" w:rsidR="002C477F" w:rsidRPr="00C86111" w:rsidRDefault="002C477F" w:rsidP="002C477F">
      <w:pPr>
        <w:jc w:val="both"/>
        <w:rPr>
          <w:rFonts w:asciiTheme="minorHAnsi" w:hAnsiTheme="minorHAnsi" w:cstheme="minorHAnsi"/>
          <w:szCs w:val="24"/>
        </w:rPr>
      </w:pPr>
      <w:r w:rsidRPr="00C86111">
        <w:rPr>
          <w:rFonts w:asciiTheme="minorHAnsi" w:hAnsiTheme="minorHAnsi" w:cstheme="minorHAnsi"/>
          <w:szCs w:val="24"/>
        </w:rPr>
        <w:t>Do sada u Crnoj Gori nije sproveden inventar POP-PBDE u električnoj i elektronskoj opremi (EEE) i otpadom (WEEE). Za inicijalnu procjenu korišćeni su podaci iz zemalja sa sličnim ekonomskim i tržišnim uslovima.</w:t>
      </w:r>
    </w:p>
    <w:p w14:paraId="27D70895" w14:textId="77777777" w:rsidR="002C477F" w:rsidRPr="00C86111" w:rsidRDefault="002C477F" w:rsidP="002C477F">
      <w:pPr>
        <w:jc w:val="both"/>
        <w:rPr>
          <w:rFonts w:asciiTheme="minorHAnsi" w:hAnsiTheme="minorHAnsi" w:cstheme="minorHAnsi"/>
          <w:szCs w:val="24"/>
        </w:rPr>
      </w:pPr>
      <w:r w:rsidRPr="00C86111">
        <w:rPr>
          <w:rFonts w:asciiTheme="minorHAnsi" w:hAnsiTheme="minorHAnsi" w:cstheme="minorHAnsi"/>
          <w:szCs w:val="24"/>
        </w:rPr>
        <w:t>Inventar se fokusirao na CRT i flat panel/LCD televizore i monitore, računare i drugu potrošačku elektroniku. Sadržaj POP-PBDE u plastici kućišta procijenjen je na osnovu prosječnih udjela polimera u uređajima, a rezultati ukazuju da su najviše koncentracije prisutne u CRT i flat panel/LCD uređajima, dok ostala ICT i kućna oprema sadrži manje količine. U procjeni su uzeti u obzir: broj CRT uređaja po stanovniku, prosječna masa uređaja (25 kg/kom), i udio polimera u kućištima (prosjek 30%).</w:t>
      </w:r>
    </w:p>
    <w:p w14:paraId="7F710195" w14:textId="77777777" w:rsidR="002C477F" w:rsidRPr="00C86111" w:rsidRDefault="002C477F" w:rsidP="002C477F">
      <w:pPr>
        <w:jc w:val="both"/>
        <w:rPr>
          <w:rFonts w:asciiTheme="minorHAnsi" w:hAnsiTheme="minorHAnsi" w:cstheme="minorHAnsi"/>
          <w:szCs w:val="24"/>
        </w:rPr>
      </w:pPr>
      <w:r w:rsidRPr="00C86111">
        <w:rPr>
          <w:rFonts w:asciiTheme="minorHAnsi" w:hAnsiTheme="minorHAnsi" w:cstheme="minorHAnsi"/>
          <w:szCs w:val="24"/>
        </w:rPr>
        <w:t>S obzirom na to da Crna Gora još uvijek nema sveobuhvatan sistem upravljanja EEE/WEEE, očekuje se da količine POP-PBDE u domaćim uređajima i otpadnim frakcijama prate međunarodne prosjeke. Ovaj uvod pruža osnovu za detaljniju procjenu prisustva i toka POP-PBDE u zemlji.</w:t>
      </w:r>
    </w:p>
    <w:p w14:paraId="2EC52B2F" w14:textId="77777777" w:rsidR="00C23D65" w:rsidRPr="00C86111" w:rsidRDefault="00C23D65" w:rsidP="00EA6904">
      <w:pPr>
        <w:pStyle w:val="Heading3"/>
      </w:pPr>
      <w:bookmarkStart w:id="98" w:name="_Toc220541899"/>
      <w:r w:rsidRPr="00C86111">
        <w:t>EEE u upotrebi u Crnoj Gori</w:t>
      </w:r>
      <w:bookmarkEnd w:id="98"/>
    </w:p>
    <w:p w14:paraId="7FE0BC6C" w14:textId="77777777" w:rsidR="002C477F" w:rsidRPr="00C86111" w:rsidRDefault="002C477F" w:rsidP="002C477F"/>
    <w:p w14:paraId="5D1683B0"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Najnoviji popis električne i elektronske opreme u Crnoj Gori (2023) nije sadržavao podatke o CRT televizorima i monitorima po domaćinstvima. Da bi se nadomjestila ova praznina, sprovedena je anketa u 119 domaćinstava radi procjene prisustva i stanja CRT uređaja.</w:t>
      </w:r>
    </w:p>
    <w:p w14:paraId="43C6DA11" w14:textId="7F5B133F"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Rezultati ankete pokazuju (</w:t>
      </w:r>
      <w:r w:rsidR="002C477F" w:rsidRPr="00C86111">
        <w:rPr>
          <w:rFonts w:asciiTheme="minorHAnsi" w:hAnsiTheme="minorHAnsi" w:cstheme="minorHAnsi"/>
          <w:szCs w:val="24"/>
          <w:lang w:val="sr-Latn-RS"/>
        </w:rPr>
        <w:t>Grafici</w:t>
      </w:r>
      <w:r w:rsidRPr="00C86111">
        <w:rPr>
          <w:rFonts w:asciiTheme="minorHAnsi" w:hAnsiTheme="minorHAnsi" w:cstheme="minorHAnsi"/>
          <w:szCs w:val="24"/>
          <w:lang w:val="sr-Latn-RS"/>
        </w:rPr>
        <w:t xml:space="preserve"> 3 i 4)</w:t>
      </w:r>
      <w:r w:rsidRPr="00C86111">
        <w:rPr>
          <w:rFonts w:asciiTheme="minorHAnsi" w:hAnsiTheme="minorHAnsi" w:cstheme="minorHAnsi"/>
          <w:szCs w:val="24"/>
        </w:rPr>
        <w:t>:</w:t>
      </w:r>
    </w:p>
    <w:p w14:paraId="3EA8A3EE" w14:textId="77777777" w:rsidR="00C23D65" w:rsidRPr="00C86111" w:rsidRDefault="00C23D65" w:rsidP="00004F34">
      <w:pPr>
        <w:numPr>
          <w:ilvl w:val="0"/>
          <w:numId w:val="192"/>
        </w:numPr>
        <w:jc w:val="both"/>
        <w:rPr>
          <w:rFonts w:asciiTheme="minorHAnsi" w:hAnsiTheme="minorHAnsi" w:cstheme="minorHAnsi"/>
          <w:szCs w:val="24"/>
        </w:rPr>
      </w:pPr>
      <w:r w:rsidRPr="00C86111">
        <w:rPr>
          <w:rFonts w:asciiTheme="minorHAnsi" w:hAnsiTheme="minorHAnsi" w:cstheme="minorHAnsi"/>
          <w:szCs w:val="24"/>
        </w:rPr>
        <w:lastRenderedPageBreak/>
        <w:t>CRT televizori: 11% domaćinstava ima uređaj u upotrebi, 14,4% ima televizor koji nije u upotrebi, dok 74,6% domaćinstava nema CRT televizor. Od televizora u upotrebi, 94,1% su u boji, ostatak crno-bijeli.</w:t>
      </w:r>
    </w:p>
    <w:p w14:paraId="66A5AE8F" w14:textId="77777777" w:rsidR="00C23D65" w:rsidRPr="00C86111" w:rsidRDefault="00C23D65" w:rsidP="00004F34">
      <w:pPr>
        <w:numPr>
          <w:ilvl w:val="0"/>
          <w:numId w:val="192"/>
        </w:numPr>
        <w:jc w:val="both"/>
        <w:rPr>
          <w:rFonts w:asciiTheme="minorHAnsi" w:hAnsiTheme="minorHAnsi" w:cstheme="minorHAnsi"/>
          <w:szCs w:val="24"/>
        </w:rPr>
      </w:pPr>
      <w:r w:rsidRPr="00C86111">
        <w:rPr>
          <w:rFonts w:asciiTheme="minorHAnsi" w:hAnsiTheme="minorHAnsi" w:cstheme="minorHAnsi"/>
          <w:szCs w:val="24"/>
        </w:rPr>
        <w:t>CRT monitori: 12% domaćinstava posjeduje monitore, ali nisu u upotrebi; 86,4% domaćinstava ih nema.</w:t>
      </w:r>
    </w:p>
    <w:p w14:paraId="7D26A0A0" w14:textId="4A0FF2D0"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 xml:space="preserve">Na osnovu procijenjenog udjela polimera u kućištima (prosjek 30%), ukupna količina CRT opreme u upotrebi i na zalihama iznosi približno 2.118 tona, od čega je 634 tone plastike. Procijenjena količina heksa/heptaBDE iznosi 497 kg, a decaBDE 2.797 kg (Tabela </w:t>
      </w:r>
      <w:r w:rsidR="002C477F" w:rsidRPr="00C86111">
        <w:rPr>
          <w:rFonts w:asciiTheme="minorHAnsi" w:hAnsiTheme="minorHAnsi" w:cstheme="minorHAnsi"/>
          <w:szCs w:val="24"/>
        </w:rPr>
        <w:t>47</w:t>
      </w:r>
      <w:r w:rsidRPr="00C86111">
        <w:rPr>
          <w:rFonts w:asciiTheme="minorHAnsi" w:hAnsiTheme="minorHAnsi" w:cstheme="minorHAnsi"/>
          <w:szCs w:val="24"/>
        </w:rPr>
        <w:t xml:space="preserve">, </w:t>
      </w:r>
      <w:r w:rsidR="002C477F" w:rsidRPr="00C86111">
        <w:rPr>
          <w:rFonts w:asciiTheme="minorHAnsi" w:hAnsiTheme="minorHAnsi" w:cstheme="minorHAnsi"/>
          <w:szCs w:val="24"/>
        </w:rPr>
        <w:t>Grafik</w:t>
      </w:r>
      <w:r w:rsidRPr="00C86111">
        <w:rPr>
          <w:rFonts w:asciiTheme="minorHAnsi" w:hAnsiTheme="minorHAnsi" w:cstheme="minorHAnsi"/>
          <w:szCs w:val="24"/>
        </w:rPr>
        <w:t xml:space="preserve"> 5).</w:t>
      </w:r>
    </w:p>
    <w:p w14:paraId="4DED23EB" w14:textId="77777777" w:rsidR="00C23D65" w:rsidRPr="00C86111" w:rsidRDefault="00C23D65" w:rsidP="00C23D65">
      <w:pPr>
        <w:jc w:val="both"/>
        <w:rPr>
          <w:rFonts w:asciiTheme="minorHAnsi" w:hAnsiTheme="minorHAnsi" w:cstheme="minorHAnsi"/>
          <w:b/>
          <w:bCs/>
          <w:color w:val="auto"/>
          <w:szCs w:val="24"/>
        </w:rPr>
      </w:pPr>
    </w:p>
    <w:p w14:paraId="1D87C9B6" w14:textId="77777777" w:rsidR="00C23D65" w:rsidRPr="00C86111" w:rsidRDefault="00C23D65" w:rsidP="00C23D65">
      <w:pPr>
        <w:jc w:val="both"/>
        <w:rPr>
          <w:rFonts w:asciiTheme="minorHAnsi" w:hAnsiTheme="minorHAnsi" w:cstheme="minorHAnsi"/>
          <w:b/>
          <w:bCs/>
          <w:color w:val="auto"/>
          <w:szCs w:val="24"/>
        </w:rPr>
      </w:pPr>
    </w:p>
    <w:p w14:paraId="7D520EB3" w14:textId="55E8B05B" w:rsidR="00C23D65" w:rsidRPr="00C86111" w:rsidRDefault="00C23D65" w:rsidP="00C23D65">
      <w:pPr>
        <w:jc w:val="center"/>
        <w:rPr>
          <w:rFonts w:asciiTheme="minorHAnsi" w:hAnsiTheme="minorHAnsi" w:cstheme="minorHAnsi"/>
          <w:color w:val="auto"/>
          <w:szCs w:val="24"/>
        </w:rPr>
      </w:pPr>
      <w:r w:rsidRPr="00C86111">
        <w:rPr>
          <w:rFonts w:asciiTheme="minorHAnsi" w:hAnsiTheme="minorHAnsi" w:cstheme="minorHAnsi"/>
          <w:noProof/>
          <w:szCs w:val="24"/>
        </w:rPr>
        <w:drawing>
          <wp:inline distT="0" distB="0" distL="0" distR="0" wp14:anchorId="73FD2848" wp14:editId="36A6A094">
            <wp:extent cx="4587240" cy="2343150"/>
            <wp:effectExtent l="0" t="0" r="3810" b="0"/>
            <wp:docPr id="2045085486" name="Chart 2045085486">
              <a:extLst xmlns:a="http://schemas.openxmlformats.org/drawingml/2006/main">
                <a:ext uri="{FF2B5EF4-FFF2-40B4-BE49-F238E27FC236}">
                  <a16:creationId xmlns:a16="http://schemas.microsoft.com/office/drawing/2014/main" id="{A0181C3A-3042-B8E6-9493-59B57E36D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0AE316" w14:textId="48C51F0A" w:rsidR="00C23D65" w:rsidRPr="00C86111" w:rsidRDefault="002C477F" w:rsidP="00C23D65">
      <w:pPr>
        <w:pStyle w:val="Text"/>
        <w:tabs>
          <w:tab w:val="left" w:pos="3510"/>
        </w:tabs>
        <w:spacing w:after="60"/>
        <w:jc w:val="center"/>
        <w:rPr>
          <w:rFonts w:asciiTheme="minorHAnsi" w:hAnsiTheme="minorHAnsi" w:cstheme="minorHAnsi"/>
          <w:b/>
          <w:bCs/>
          <w:i/>
          <w:iCs/>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3.</w:t>
      </w:r>
      <w:r w:rsidR="00C23D65" w:rsidRPr="00C86111">
        <w:rPr>
          <w:rFonts w:asciiTheme="minorHAnsi" w:hAnsiTheme="minorHAnsi" w:cstheme="minorHAnsi"/>
          <w:sz w:val="24"/>
          <w:szCs w:val="24"/>
        </w:rPr>
        <w:t xml:space="preserve"> Rezultati ankete o CRT TV u  2024.</w:t>
      </w:r>
    </w:p>
    <w:p w14:paraId="4CB698C9" w14:textId="4BE2B32A" w:rsidR="00C23D65" w:rsidRPr="00C86111" w:rsidRDefault="00C23D65" w:rsidP="00C23D65">
      <w:pPr>
        <w:jc w:val="center"/>
        <w:rPr>
          <w:rFonts w:asciiTheme="minorHAnsi" w:hAnsiTheme="minorHAnsi" w:cstheme="minorHAnsi"/>
          <w:color w:val="auto"/>
          <w:szCs w:val="24"/>
        </w:rPr>
      </w:pPr>
      <w:r w:rsidRPr="00C86111">
        <w:rPr>
          <w:rFonts w:asciiTheme="minorHAnsi" w:hAnsiTheme="minorHAnsi" w:cstheme="minorHAnsi"/>
          <w:noProof/>
          <w:szCs w:val="24"/>
        </w:rPr>
        <w:drawing>
          <wp:inline distT="0" distB="0" distL="0" distR="0" wp14:anchorId="51FF3609" wp14:editId="2CA08284">
            <wp:extent cx="4587240" cy="2374900"/>
            <wp:effectExtent l="0" t="0" r="3810" b="6350"/>
            <wp:docPr id="1459780389" name="Chart 1459780389">
              <a:extLst xmlns:a="http://schemas.openxmlformats.org/drawingml/2006/main">
                <a:ext uri="{FF2B5EF4-FFF2-40B4-BE49-F238E27FC236}">
                  <a16:creationId xmlns:a16="http://schemas.microsoft.com/office/drawing/2014/main" id="{6CA34AA6-A04E-DF1B-4E49-F99A8B195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10300A" w14:textId="2D6A1C0C" w:rsidR="00C23D65" w:rsidRPr="00C86111" w:rsidRDefault="002C477F" w:rsidP="00C23D65">
      <w:pPr>
        <w:pStyle w:val="Text"/>
        <w:jc w:val="center"/>
        <w:rPr>
          <w:rFonts w:asciiTheme="minorHAnsi" w:hAnsiTheme="minorHAnsi" w:cstheme="minorHAnsi"/>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4.</w:t>
      </w:r>
      <w:r w:rsidR="00C23D65" w:rsidRPr="00C86111">
        <w:rPr>
          <w:rFonts w:asciiTheme="minorHAnsi" w:hAnsiTheme="minorHAnsi" w:cstheme="minorHAnsi"/>
          <w:sz w:val="24"/>
          <w:szCs w:val="24"/>
        </w:rPr>
        <w:t xml:space="preserve"> Rezultati ankete o CRT monitorima u 2024</w:t>
      </w:r>
    </w:p>
    <w:p w14:paraId="4C0F9B04" w14:textId="77777777" w:rsidR="00C23D65" w:rsidRDefault="00C23D65" w:rsidP="00C23D65">
      <w:pPr>
        <w:jc w:val="both"/>
        <w:rPr>
          <w:rFonts w:asciiTheme="minorHAnsi" w:hAnsiTheme="minorHAnsi" w:cstheme="minorHAnsi"/>
          <w:color w:val="auto"/>
          <w:szCs w:val="24"/>
        </w:rPr>
      </w:pPr>
    </w:p>
    <w:p w14:paraId="50FDCD2E" w14:textId="77777777" w:rsidR="00E2027B" w:rsidRDefault="00E2027B" w:rsidP="00C23D65">
      <w:pPr>
        <w:jc w:val="both"/>
        <w:rPr>
          <w:rFonts w:asciiTheme="minorHAnsi" w:hAnsiTheme="minorHAnsi" w:cstheme="minorHAnsi"/>
          <w:color w:val="auto"/>
          <w:szCs w:val="24"/>
        </w:rPr>
      </w:pPr>
    </w:p>
    <w:p w14:paraId="7E609ADD" w14:textId="77777777" w:rsidR="00E2027B" w:rsidRDefault="00E2027B" w:rsidP="00C23D65">
      <w:pPr>
        <w:jc w:val="both"/>
        <w:rPr>
          <w:rFonts w:asciiTheme="minorHAnsi" w:hAnsiTheme="minorHAnsi" w:cstheme="minorHAnsi"/>
          <w:color w:val="auto"/>
          <w:szCs w:val="24"/>
        </w:rPr>
      </w:pPr>
    </w:p>
    <w:p w14:paraId="46B6C7F3" w14:textId="77777777" w:rsidR="00E2027B" w:rsidRDefault="00E2027B" w:rsidP="00C23D65">
      <w:pPr>
        <w:jc w:val="both"/>
        <w:rPr>
          <w:rFonts w:asciiTheme="minorHAnsi" w:hAnsiTheme="minorHAnsi" w:cstheme="minorHAnsi"/>
          <w:color w:val="auto"/>
          <w:szCs w:val="24"/>
        </w:rPr>
      </w:pPr>
    </w:p>
    <w:p w14:paraId="38EA0130" w14:textId="77777777" w:rsidR="00E2027B" w:rsidRPr="00C86111" w:rsidRDefault="00E2027B" w:rsidP="00C23D65">
      <w:pPr>
        <w:jc w:val="both"/>
        <w:rPr>
          <w:rFonts w:asciiTheme="minorHAnsi" w:hAnsiTheme="minorHAnsi" w:cstheme="minorHAnsi"/>
          <w:color w:val="auto"/>
          <w:szCs w:val="24"/>
        </w:rPr>
      </w:pPr>
    </w:p>
    <w:p w14:paraId="0DBAC8D0" w14:textId="07E00B96"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lastRenderedPageBreak/>
        <w:t xml:space="preserve">Tabela </w:t>
      </w:r>
      <w:r w:rsidR="002C477F" w:rsidRPr="00C86111">
        <w:rPr>
          <w:rFonts w:asciiTheme="minorHAnsi" w:hAnsiTheme="minorHAnsi" w:cstheme="minorHAnsi"/>
          <w:b/>
          <w:bCs/>
          <w:color w:val="auto"/>
          <w:szCs w:val="24"/>
        </w:rPr>
        <w:t>47</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Sadržaj PBDE u CRT televizorima u upotrebi, na zalihama i u CRT monitorima</w:t>
      </w:r>
    </w:p>
    <w:tbl>
      <w:tblPr>
        <w:tblStyle w:val="GridTable5Dark-Accent6"/>
        <w:tblW w:w="4780" w:type="pct"/>
        <w:tblLook w:val="04A0" w:firstRow="1" w:lastRow="0" w:firstColumn="1" w:lastColumn="0" w:noHBand="0" w:noVBand="1"/>
      </w:tblPr>
      <w:tblGrid>
        <w:gridCol w:w="1023"/>
        <w:gridCol w:w="871"/>
        <w:gridCol w:w="963"/>
        <w:gridCol w:w="964"/>
        <w:gridCol w:w="1604"/>
        <w:gridCol w:w="1604"/>
        <w:gridCol w:w="955"/>
        <w:gridCol w:w="955"/>
      </w:tblGrid>
      <w:tr w:rsidR="00C23D65" w:rsidRPr="00C86111" w14:paraId="10A56C23"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pct"/>
            <w:tcBorders>
              <w:bottom w:val="single" w:sz="4" w:space="0" w:color="FFFFFF" w:themeColor="background1"/>
            </w:tcBorders>
            <w:hideMark/>
          </w:tcPr>
          <w:p w14:paraId="65CB753F"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Oprema (prema UNU ključu)</w:t>
            </w:r>
          </w:p>
        </w:tc>
        <w:tc>
          <w:tcPr>
            <w:tcW w:w="487" w:type="pct"/>
            <w:tcBorders>
              <w:bottom w:val="single" w:sz="4" w:space="0" w:color="FFFFFF" w:themeColor="background1"/>
            </w:tcBorders>
            <w:hideMark/>
          </w:tcPr>
          <w:p w14:paraId="495DE0B5"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Količina EEE (tona)</w:t>
            </w:r>
          </w:p>
        </w:tc>
        <w:tc>
          <w:tcPr>
            <w:tcW w:w="539" w:type="pct"/>
            <w:tcBorders>
              <w:bottom w:val="single" w:sz="4" w:space="0" w:color="FFFFFF" w:themeColor="background1"/>
            </w:tcBorders>
            <w:hideMark/>
          </w:tcPr>
          <w:p w14:paraId="31824C08"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Udio polimera (prosjek) (%)</w:t>
            </w:r>
          </w:p>
        </w:tc>
        <w:tc>
          <w:tcPr>
            <w:tcW w:w="539" w:type="pct"/>
            <w:tcBorders>
              <w:bottom w:val="single" w:sz="4" w:space="0" w:color="FFFFFF" w:themeColor="background1"/>
            </w:tcBorders>
            <w:hideMark/>
          </w:tcPr>
          <w:p w14:paraId="6EABA54C"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Količina polimera (tona)</w:t>
            </w:r>
          </w:p>
        </w:tc>
        <w:tc>
          <w:tcPr>
            <w:tcW w:w="897" w:type="pct"/>
            <w:tcBorders>
              <w:bottom w:val="single" w:sz="4" w:space="0" w:color="FFFFFF" w:themeColor="background1"/>
            </w:tcBorders>
            <w:hideMark/>
          </w:tcPr>
          <w:p w14:paraId="49F13F02"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Sadržaj heksa/heptaBDE u plastici (prosjek) (kg/t)</w:t>
            </w:r>
          </w:p>
        </w:tc>
        <w:tc>
          <w:tcPr>
            <w:tcW w:w="897" w:type="pct"/>
            <w:tcBorders>
              <w:bottom w:val="single" w:sz="4" w:space="0" w:color="FFFFFF" w:themeColor="background1"/>
            </w:tcBorders>
            <w:hideMark/>
          </w:tcPr>
          <w:p w14:paraId="470B06DE"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Količina heksa/heptaBDE (kg)</w:t>
            </w:r>
          </w:p>
        </w:tc>
        <w:tc>
          <w:tcPr>
            <w:tcW w:w="534" w:type="pct"/>
            <w:tcBorders>
              <w:bottom w:val="single" w:sz="4" w:space="0" w:color="FFFFFF" w:themeColor="background1"/>
            </w:tcBorders>
            <w:hideMark/>
          </w:tcPr>
          <w:p w14:paraId="0D135602"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Sadržaj dekaBDE u plastici (prosjek) (kg/t)</w:t>
            </w:r>
          </w:p>
        </w:tc>
        <w:tc>
          <w:tcPr>
            <w:tcW w:w="534" w:type="pct"/>
            <w:tcBorders>
              <w:bottom w:val="single" w:sz="4" w:space="0" w:color="FFFFFF" w:themeColor="background1"/>
            </w:tcBorders>
            <w:hideMark/>
          </w:tcPr>
          <w:p w14:paraId="39D738A9"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Količina dekaBDE (kg)</w:t>
            </w:r>
          </w:p>
        </w:tc>
      </w:tr>
      <w:tr w:rsidR="00C23D65" w:rsidRPr="00C86111" w14:paraId="2BFF6FB6"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pct"/>
            <w:tcBorders>
              <w:top w:val="single" w:sz="4" w:space="0" w:color="FFFFFF" w:themeColor="background1"/>
              <w:bottom w:val="single" w:sz="4" w:space="0" w:color="FFFFFF" w:themeColor="background1"/>
              <w:right w:val="single" w:sz="4" w:space="0" w:color="FFFFFF" w:themeColor="background1"/>
            </w:tcBorders>
            <w:hideMark/>
          </w:tcPr>
          <w:p w14:paraId="35322BCB"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CRT monitor</w:t>
            </w:r>
          </w:p>
        </w:tc>
        <w:tc>
          <w:tcPr>
            <w:tcW w:w="4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C6E39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739</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16C1D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30</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17641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221</w:t>
            </w: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66CFE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1.37</w:t>
            </w: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42575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303</w:t>
            </w: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1E5616"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3.2</w:t>
            </w: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D978E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976</w:t>
            </w:r>
          </w:p>
        </w:tc>
      </w:tr>
      <w:tr w:rsidR="00C23D65" w:rsidRPr="00C86111" w14:paraId="77831B9C" w14:textId="77777777" w:rsidTr="00C23D65">
        <w:tc>
          <w:tcPr>
            <w:cnfStyle w:val="001000000000" w:firstRow="0" w:lastRow="0" w:firstColumn="1" w:lastColumn="0" w:oddVBand="0" w:evenVBand="0" w:oddHBand="0" w:evenHBand="0" w:firstRowFirstColumn="0" w:firstRowLastColumn="0" w:lastRowFirstColumn="0" w:lastRowLastColumn="0"/>
            <w:tcW w:w="572" w:type="pct"/>
            <w:tcBorders>
              <w:top w:val="single" w:sz="4" w:space="0" w:color="FFFFFF" w:themeColor="background1"/>
              <w:bottom w:val="single" w:sz="4" w:space="0" w:color="FFFFFF" w:themeColor="background1"/>
              <w:right w:val="single" w:sz="4" w:space="0" w:color="FFFFFF" w:themeColor="background1"/>
            </w:tcBorders>
            <w:hideMark/>
          </w:tcPr>
          <w:p w14:paraId="016D6B65"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CRT TV (na zalihama)</w:t>
            </w:r>
          </w:p>
        </w:tc>
        <w:tc>
          <w:tcPr>
            <w:tcW w:w="4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BD9FBC"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782</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A5E94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30</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F3495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234</w:t>
            </w: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528FA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0.47</w:t>
            </w: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5E318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110</w:t>
            </w: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9F7199"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4.4</w:t>
            </w: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D5B4B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1033</w:t>
            </w:r>
          </w:p>
        </w:tc>
      </w:tr>
      <w:tr w:rsidR="00C23D65" w:rsidRPr="00C86111" w14:paraId="57B7A646"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pct"/>
            <w:tcBorders>
              <w:top w:val="single" w:sz="4" w:space="0" w:color="FFFFFF" w:themeColor="background1"/>
              <w:bottom w:val="single" w:sz="4" w:space="0" w:color="FFFFFF" w:themeColor="background1"/>
              <w:right w:val="single" w:sz="4" w:space="0" w:color="FFFFFF" w:themeColor="background1"/>
            </w:tcBorders>
            <w:hideMark/>
          </w:tcPr>
          <w:p w14:paraId="7BC719EB"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CRT TV (u upotrebi)</w:t>
            </w:r>
          </w:p>
        </w:tc>
        <w:tc>
          <w:tcPr>
            <w:tcW w:w="4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3A3C1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597</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20119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30</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50133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179</w:t>
            </w: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FE0FE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0.47</w:t>
            </w: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B4F27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84</w:t>
            </w: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C6F8D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4.4</w:t>
            </w: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44B3EF"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788</w:t>
            </w:r>
          </w:p>
        </w:tc>
      </w:tr>
      <w:tr w:rsidR="00C23D65" w:rsidRPr="00C86111" w14:paraId="76FEE87D" w14:textId="77777777" w:rsidTr="00C23D65">
        <w:tc>
          <w:tcPr>
            <w:cnfStyle w:val="001000000000" w:firstRow="0" w:lastRow="0" w:firstColumn="1" w:lastColumn="0" w:oddVBand="0" w:evenVBand="0" w:oddHBand="0" w:evenHBand="0" w:firstRowFirstColumn="0" w:firstRowLastColumn="0" w:lastRowFirstColumn="0" w:lastRowLastColumn="0"/>
            <w:tcW w:w="572" w:type="pct"/>
            <w:tcBorders>
              <w:top w:val="single" w:sz="4" w:space="0" w:color="FFFFFF" w:themeColor="background1"/>
              <w:right w:val="single" w:sz="4" w:space="0" w:color="FFFFFF" w:themeColor="background1"/>
            </w:tcBorders>
            <w:hideMark/>
          </w:tcPr>
          <w:p w14:paraId="3B72AC16"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Ukupno</w:t>
            </w:r>
          </w:p>
        </w:tc>
        <w:tc>
          <w:tcPr>
            <w:tcW w:w="4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40ADF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2118</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5EE51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87E067"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634</w:t>
            </w: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B88D9C"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8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1D75D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497</w:t>
            </w: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FC63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A46D39"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2797</w:t>
            </w:r>
          </w:p>
        </w:tc>
      </w:tr>
    </w:tbl>
    <w:p w14:paraId="2C29F9E0" w14:textId="77777777" w:rsidR="00C23D65" w:rsidRPr="00C86111" w:rsidRDefault="00C23D65" w:rsidP="00C23D65">
      <w:pPr>
        <w:jc w:val="both"/>
        <w:rPr>
          <w:rFonts w:asciiTheme="minorHAnsi" w:hAnsiTheme="minorHAnsi" w:cstheme="minorHAnsi"/>
          <w:b/>
          <w:bCs/>
          <w:color w:val="auto"/>
          <w:szCs w:val="24"/>
        </w:rPr>
      </w:pPr>
    </w:p>
    <w:p w14:paraId="6163C098" w14:textId="2A5700F3" w:rsidR="00C23D65" w:rsidRPr="00C86111" w:rsidRDefault="00C23D65" w:rsidP="00C23D65">
      <w:pPr>
        <w:pStyle w:val="Text"/>
        <w:jc w:val="center"/>
        <w:rPr>
          <w:rFonts w:asciiTheme="minorHAnsi" w:hAnsiTheme="minorHAnsi" w:cstheme="minorHAnsi"/>
        </w:rPr>
      </w:pPr>
      <w:r w:rsidRPr="00C86111">
        <w:rPr>
          <w:rFonts w:asciiTheme="minorHAnsi" w:hAnsiTheme="minorHAnsi" w:cstheme="minorHAnsi"/>
          <w:noProof/>
          <w14:textOutline w14:w="0" w14:cap="rnd" w14:cmpd="sng" w14:algn="ctr">
            <w14:noFill/>
            <w14:prstDash w14:val="solid"/>
            <w14:bevel/>
          </w14:textOutline>
        </w:rPr>
        <w:drawing>
          <wp:inline distT="0" distB="0" distL="0" distR="0" wp14:anchorId="46C8D60E" wp14:editId="2A556D83">
            <wp:extent cx="4587240" cy="2110740"/>
            <wp:effectExtent l="0" t="0" r="3810" b="3810"/>
            <wp:docPr id="719252018" name="Chart 719252018">
              <a:extLst xmlns:a="http://schemas.openxmlformats.org/drawingml/2006/main">
                <a:ext uri="{FF2B5EF4-FFF2-40B4-BE49-F238E27FC236}">
                  <a16:creationId xmlns:a16="http://schemas.microsoft.com/office/drawing/2014/main" id="{FE8FC70B-0D72-7537-8A18-5E7EC759D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86111">
        <w:rPr>
          <w:rFonts w:asciiTheme="minorHAnsi" w:hAnsiTheme="minorHAnsi" w:cstheme="minorHAnsi"/>
          <w:noProof/>
        </w:rPr>
        <w:t xml:space="preserve"> </w:t>
      </w:r>
    </w:p>
    <w:p w14:paraId="4AE0663A" w14:textId="644D3AFE" w:rsidR="00C23D65" w:rsidRPr="00C86111" w:rsidRDefault="002C477F" w:rsidP="00C23D65">
      <w:pPr>
        <w:pStyle w:val="Text"/>
        <w:jc w:val="center"/>
        <w:rPr>
          <w:rFonts w:asciiTheme="minorHAnsi" w:hAnsiTheme="minorHAnsi" w:cstheme="minorHAnsi"/>
          <w:b/>
          <w:bCs/>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5.</w:t>
      </w:r>
      <w:r w:rsidR="00C23D65" w:rsidRPr="00C86111">
        <w:rPr>
          <w:rFonts w:asciiTheme="minorHAnsi" w:hAnsiTheme="minorHAnsi" w:cstheme="minorHAnsi"/>
          <w:color w:val="auto"/>
          <w:sz w:val="24"/>
          <w:szCs w:val="24"/>
        </w:rPr>
        <w:t xml:space="preserve"> Sadržaj PBDE u CRT televizorima u upotrebi, na zalihama i u CRT monitorima</w:t>
      </w:r>
    </w:p>
    <w:p w14:paraId="1DBEA533" w14:textId="77777777" w:rsidR="00C23D65" w:rsidRPr="00C86111" w:rsidRDefault="00C23D65" w:rsidP="00C23D65">
      <w:pPr>
        <w:jc w:val="both"/>
        <w:rPr>
          <w:rFonts w:asciiTheme="minorHAnsi" w:hAnsiTheme="minorHAnsi" w:cstheme="minorHAnsi"/>
          <w:b/>
          <w:bCs/>
          <w:color w:val="002060"/>
          <w:szCs w:val="24"/>
        </w:rPr>
      </w:pPr>
      <w:r w:rsidRPr="00C86111">
        <w:rPr>
          <w:rFonts w:asciiTheme="minorHAnsi" w:hAnsiTheme="minorHAnsi" w:cstheme="minorHAnsi"/>
          <w:b/>
          <w:bCs/>
          <w:color w:val="002060"/>
          <w:szCs w:val="24"/>
        </w:rPr>
        <w:t>Zaključci</w:t>
      </w:r>
    </w:p>
    <w:p w14:paraId="35D45F1C"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Iako se često smatra da je većina CRT uređaja već odložena, rezultati pokazuju da značajan broj CRT televizora i dalje postoji u domaćinstvima ili u zalihama. Ovo ukazuje na potrebu za planiranim mjerama i kampanjama za pravilno upravljanje ovim uređajima na kraju njihovog životnog vijeka.</w:t>
      </w:r>
    </w:p>
    <w:p w14:paraId="2F5176E3"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S druge strane, CRT monitori se već mogu smatrati otpadom, jer se više ne koriste, ali i dalje predstavljaju značajan rezervoar plastike koja sadrži PBDE supstance, što ih čini važnim ciljem za kontrolisano sakupljanje i tretman.</w:t>
      </w:r>
    </w:p>
    <w:p w14:paraId="411EDC70" w14:textId="77777777" w:rsidR="00C23D65" w:rsidRPr="00C86111" w:rsidRDefault="00C23D65" w:rsidP="00EA6904">
      <w:pPr>
        <w:pStyle w:val="Heading3"/>
      </w:pPr>
      <w:bookmarkStart w:id="99" w:name="_Toc220541900"/>
      <w:r w:rsidRPr="00C86111">
        <w:t>Uvoz električne i elektronske opreme (EEE) u Crnoj Gori</w:t>
      </w:r>
      <w:bookmarkEnd w:id="99"/>
    </w:p>
    <w:p w14:paraId="0A06693B" w14:textId="77777777" w:rsidR="002C477F" w:rsidRPr="00C86111" w:rsidRDefault="002C477F" w:rsidP="002C477F"/>
    <w:p w14:paraId="57FB7D5E"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Prema podacima Uprave carina, u periodu od 2017. do 2023. godine u Crnu Goru je uvezeno ukupno 2,345 tona CRT televizora, 6 tona CRT monitora i 1.991 tonu LCD televizora. Proračun sadržaja POP-PBDE u ovoj uvezenoj opremi pokazuje značajne razlike između kategorija uređaja, kako po tipu PBDE, tako i po koncentraciji u plastici.</w:t>
      </w:r>
    </w:p>
    <w:p w14:paraId="66056054"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Analiza CRT televizora pokazuje da je sadržaj heksa/heptaBDE u plastici prosječno 0,47 kg/t, dok je sadržaj dekaBDE 4,4 kg/t. Količine PBDE u pojedinim godinama kretale su od 23 g </w:t>
      </w:r>
      <w:r w:rsidRPr="00C86111">
        <w:rPr>
          <w:rFonts w:asciiTheme="minorHAnsi" w:hAnsiTheme="minorHAnsi" w:cstheme="minorHAnsi"/>
          <w:color w:val="auto"/>
          <w:szCs w:val="24"/>
        </w:rPr>
        <w:lastRenderedPageBreak/>
        <w:t>heksa/heptaBDE i 210 g dekaBDE (2017. godina) do 119 g heksa/heptaBDE i 1,12 kg dekaBDE (2023. godina). Slični proračuni za CRT monitore ukazuju da je sadržaj PBDE manji, ali i dalje značajan u ukupnom inventaru.</w:t>
      </w:r>
    </w:p>
    <w:p w14:paraId="774D66E8"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LCD televizori, koji predstavljaju najveći udio u uvozu EEE u Crnoj Gori, imaju prosječan udio polimera u kućištima od 37%. Sadržaj heksa/heptaBDE u plastici je prosječno 0,009 kg/t, dok je sadržaj dekaBDE 2,71 kg/t. Na osnovu proračuna za period 2017–2023., ukupna količina dekaBDE u LCD televizorima iznosi više od 2.300 tona, dok je količina heksa/heptaBDE oko 7,0 tona. Ovi podaci pokazuju da LCD televizori predstavljaju glavni potencijalni izvor POP-PBDE u budućem elektronskom otpadu (WEEE).</w:t>
      </w:r>
    </w:p>
    <w:p w14:paraId="6F71BDCD"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Sektor mobilnih telefona i laptopova, iako manjih dimenzija, također doprinosi prisustvu PBDE. Uvezeni telefoni u periodu 2017–2023. imali su prosječan udio polimera od 24%, s heksa/heptaBDE prosjekom od 0,08 kg/t i dekaBDE prosjekom od 0,8 kg/t. Količine PBDE u pojedinim godinama kretale su od nekoliko desetina kilograma do preko 30 kg dekaBDE u uvezenim telefonima.</w:t>
      </w:r>
    </w:p>
    <w:p w14:paraId="798B547C" w14:textId="3732E859"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Uvoz kućnih aparata, uključujući veš mašine, frižidere, klima uređaje i profesionalnu opremu za grijanje i ventilaciju, bio je znatno manji u pogledu PBDE sadržaja. Prosječan sadržaj dekaBDE i heksa/heptaBDE u plastici ovih uređaja kreće se od 0,05 do 0,8 kg/t, što je znatno niže u poređenju sa LCD televizorima i CRT uređajima (</w:t>
      </w:r>
      <w:r w:rsidR="002C477F" w:rsidRPr="00C86111">
        <w:rPr>
          <w:rFonts w:asciiTheme="minorHAnsi" w:hAnsiTheme="minorHAnsi" w:cstheme="minorHAnsi"/>
          <w:color w:val="auto"/>
          <w:szCs w:val="24"/>
        </w:rPr>
        <w:t>Grafik</w:t>
      </w:r>
      <w:r w:rsidRPr="00C86111">
        <w:rPr>
          <w:rFonts w:asciiTheme="minorHAnsi" w:hAnsiTheme="minorHAnsi" w:cstheme="minorHAnsi"/>
          <w:color w:val="auto"/>
          <w:szCs w:val="24"/>
        </w:rPr>
        <w:t xml:space="preserve"> 6).</w:t>
      </w:r>
    </w:p>
    <w:p w14:paraId="7135125A" w14:textId="77777777" w:rsidR="00C23D65" w:rsidRPr="00C86111" w:rsidRDefault="00C23D65" w:rsidP="00C23D65">
      <w:pPr>
        <w:jc w:val="both"/>
        <w:rPr>
          <w:rFonts w:asciiTheme="minorHAnsi" w:hAnsiTheme="minorHAnsi" w:cstheme="minorHAnsi"/>
          <w:b/>
          <w:bCs/>
          <w:color w:val="auto"/>
          <w:szCs w:val="24"/>
        </w:rPr>
      </w:pPr>
    </w:p>
    <w:p w14:paraId="1C0E09E6" w14:textId="27C0B96C"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noProof/>
          <w:szCs w:val="24"/>
        </w:rPr>
        <w:drawing>
          <wp:inline distT="0" distB="0" distL="0" distR="0" wp14:anchorId="21C8A84F" wp14:editId="174406AC">
            <wp:extent cx="5958840" cy="2636520"/>
            <wp:effectExtent l="0" t="0" r="3810" b="11430"/>
            <wp:docPr id="603129654" name="Chart 603129654">
              <a:extLst xmlns:a="http://schemas.openxmlformats.org/drawingml/2006/main">
                <a:ext uri="{FF2B5EF4-FFF2-40B4-BE49-F238E27FC236}">
                  <a16:creationId xmlns:a16="http://schemas.microsoft.com/office/drawing/2014/main" id="{E052F86B-8426-7A19-441C-680C7AB27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9E7220" w14:textId="2CA2569E" w:rsidR="00C23D65" w:rsidRPr="00C86111" w:rsidRDefault="002C477F"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Grafik</w:t>
      </w:r>
      <w:r w:rsidR="00C23D65" w:rsidRPr="00C86111">
        <w:rPr>
          <w:rFonts w:asciiTheme="minorHAnsi" w:hAnsiTheme="minorHAnsi" w:cstheme="minorHAnsi"/>
          <w:b/>
          <w:bCs/>
          <w:color w:val="auto"/>
          <w:szCs w:val="24"/>
        </w:rPr>
        <w:t xml:space="preserve"> 6:</w:t>
      </w:r>
      <w:r w:rsidR="00C23D65" w:rsidRPr="00C86111">
        <w:rPr>
          <w:rFonts w:asciiTheme="minorHAnsi" w:hAnsiTheme="minorHAnsi" w:cstheme="minorHAnsi"/>
          <w:color w:val="auto"/>
          <w:szCs w:val="24"/>
        </w:rPr>
        <w:t xml:space="preserve"> Prikaz sadržaja </w:t>
      </w:r>
      <w:r w:rsidR="00C23D65" w:rsidRPr="00C86111">
        <w:rPr>
          <w:rFonts w:asciiTheme="minorHAnsi" w:hAnsiTheme="minorHAnsi" w:cstheme="minorHAnsi"/>
          <w:color w:val="auto"/>
          <w:szCs w:val="24"/>
          <w:lang w:val="sr-Latn-RS"/>
        </w:rPr>
        <w:t>PBDE u kg u uvezenim uređajima izuzimajući CRT uređaje</w:t>
      </w:r>
    </w:p>
    <w:p w14:paraId="168D30F6" w14:textId="77777777" w:rsidR="00C23D65" w:rsidRPr="00C86111" w:rsidRDefault="00C23D65" w:rsidP="00C23D65">
      <w:pPr>
        <w:jc w:val="both"/>
        <w:rPr>
          <w:rFonts w:asciiTheme="minorHAnsi" w:hAnsiTheme="minorHAnsi" w:cstheme="minorHAnsi"/>
          <w:color w:val="auto"/>
          <w:szCs w:val="24"/>
        </w:rPr>
      </w:pPr>
    </w:p>
    <w:p w14:paraId="419C0018" w14:textId="77777777" w:rsidR="00C23D65"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Ključni </w:t>
      </w:r>
      <w:r w:rsidRPr="00C86111">
        <w:rPr>
          <w:rFonts w:asciiTheme="minorHAnsi" w:hAnsiTheme="minorHAnsi" w:cstheme="minorHAnsi"/>
          <w:b/>
          <w:bCs/>
          <w:color w:val="auto"/>
          <w:szCs w:val="24"/>
        </w:rPr>
        <w:t>zaključak</w:t>
      </w:r>
      <w:r w:rsidRPr="00C86111">
        <w:rPr>
          <w:rFonts w:asciiTheme="minorHAnsi" w:hAnsiTheme="minorHAnsi" w:cstheme="minorHAnsi"/>
          <w:color w:val="auto"/>
          <w:szCs w:val="24"/>
        </w:rPr>
        <w:t xml:space="preserve"> je da, iako nivoi PBDE u većini uvezene opreme nisu visoki, ukupne količine POP-PBDE uvozom predstavljaju značajan potencijalni izvor kontaminacije, posebno jer će sva ova oprema u narednim godinama postati otpad. Ovo ukazuje na potrebu za adekvatnim sistemom praćenja i upravljanja WEEE, kao i za edukaciju i primjenu mjera sigurnog rukovanja, skladištenja i reciklaže električne i elektronske opreme u Crnoj Gori.</w:t>
      </w:r>
    </w:p>
    <w:p w14:paraId="36D12C92" w14:textId="77777777" w:rsidR="00F57E42" w:rsidRPr="00C86111" w:rsidRDefault="00F57E42" w:rsidP="00C23D65">
      <w:pPr>
        <w:jc w:val="both"/>
        <w:rPr>
          <w:rFonts w:asciiTheme="minorHAnsi" w:hAnsiTheme="minorHAnsi" w:cstheme="minorHAnsi"/>
          <w:color w:val="auto"/>
          <w:szCs w:val="24"/>
        </w:rPr>
      </w:pPr>
    </w:p>
    <w:p w14:paraId="18BC7170" w14:textId="77777777" w:rsidR="00C23D65" w:rsidRPr="00C86111" w:rsidRDefault="00C23D65" w:rsidP="00C23D65">
      <w:pPr>
        <w:jc w:val="both"/>
        <w:rPr>
          <w:rFonts w:asciiTheme="minorHAnsi" w:hAnsiTheme="minorHAnsi" w:cstheme="minorHAnsi"/>
          <w:color w:val="auto"/>
          <w:szCs w:val="24"/>
        </w:rPr>
      </w:pPr>
    </w:p>
    <w:p w14:paraId="10588B90" w14:textId="77777777" w:rsidR="00C23D65" w:rsidRPr="00C86111" w:rsidRDefault="00C23D65" w:rsidP="00EA6904">
      <w:pPr>
        <w:pStyle w:val="Heading3"/>
      </w:pPr>
      <w:bookmarkStart w:id="100" w:name="_Toc220541901"/>
      <w:r w:rsidRPr="00C86111">
        <w:lastRenderedPageBreak/>
        <w:t>Otpad od električne i elektronske opreme (EEE)</w:t>
      </w:r>
      <w:bookmarkEnd w:id="100"/>
    </w:p>
    <w:p w14:paraId="2FEEDDCB" w14:textId="77777777" w:rsidR="00C23D65" w:rsidRPr="00C86111" w:rsidRDefault="00C23D65" w:rsidP="00C23D65">
      <w:pPr>
        <w:jc w:val="both"/>
        <w:rPr>
          <w:rFonts w:asciiTheme="minorHAnsi" w:hAnsiTheme="minorHAnsi" w:cstheme="minorHAnsi"/>
          <w:b/>
          <w:bCs/>
          <w:color w:val="auto"/>
          <w:szCs w:val="24"/>
        </w:rPr>
      </w:pPr>
    </w:p>
    <w:p w14:paraId="79BF7D59" w14:textId="39FCB59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Podaci o količini generisanog otpada od električne i elektronske opreme (EEE) preuzeti su iz baze podataka Statističkog zavoda Crne Gore. Količina otpada i sadržaj PBDE u plastičnom dijelu WEEE-a prikazani su u Tabeli </w:t>
      </w:r>
      <w:r w:rsidR="00F603AA" w:rsidRPr="00C86111">
        <w:rPr>
          <w:rFonts w:asciiTheme="minorHAnsi" w:hAnsiTheme="minorHAnsi" w:cstheme="minorHAnsi"/>
          <w:color w:val="auto"/>
          <w:szCs w:val="24"/>
        </w:rPr>
        <w:t>48</w:t>
      </w:r>
      <w:r w:rsidRPr="00C86111">
        <w:rPr>
          <w:rFonts w:asciiTheme="minorHAnsi" w:hAnsiTheme="minorHAnsi" w:cstheme="minorHAnsi"/>
          <w:color w:val="auto"/>
          <w:szCs w:val="24"/>
        </w:rPr>
        <w:t xml:space="preserve"> i </w:t>
      </w:r>
      <w:r w:rsidR="00F603AA" w:rsidRPr="00C86111">
        <w:rPr>
          <w:rFonts w:asciiTheme="minorHAnsi" w:hAnsiTheme="minorHAnsi" w:cstheme="minorHAnsi"/>
          <w:color w:val="auto"/>
          <w:szCs w:val="24"/>
        </w:rPr>
        <w:t>Grafiku</w:t>
      </w:r>
      <w:r w:rsidRPr="00C86111">
        <w:rPr>
          <w:rFonts w:asciiTheme="minorHAnsi" w:hAnsiTheme="minorHAnsi" w:cstheme="minorHAnsi"/>
          <w:color w:val="auto"/>
          <w:szCs w:val="24"/>
        </w:rPr>
        <w:t xml:space="preserve"> 7. Za procjenu sadržaja dekaBDE u plastici korišćen je prosjek iz nacionalne studije u Švajcarskoj, koja navodi da plastika iz WEEE prosječno sadrži 390 mg/kg dekaBDE s obzirom na to da u Crnoj Gori još nije sproveden detaljan popis EEE/WEEE otpada.</w:t>
      </w:r>
    </w:p>
    <w:p w14:paraId="4238BFE9" w14:textId="77777777" w:rsidR="00C23D65" w:rsidRPr="00C86111" w:rsidRDefault="00C23D65" w:rsidP="00C23D65">
      <w:pPr>
        <w:jc w:val="both"/>
        <w:rPr>
          <w:rFonts w:asciiTheme="minorHAnsi" w:hAnsiTheme="minorHAnsi" w:cstheme="minorHAnsi"/>
          <w:color w:val="auto"/>
          <w:szCs w:val="24"/>
        </w:rPr>
      </w:pPr>
    </w:p>
    <w:p w14:paraId="16271BCC" w14:textId="15E819C4"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F603AA" w:rsidRPr="00C86111">
        <w:rPr>
          <w:rFonts w:asciiTheme="minorHAnsi" w:hAnsiTheme="minorHAnsi" w:cstheme="minorHAnsi"/>
          <w:b/>
          <w:bCs/>
          <w:color w:val="auto"/>
          <w:szCs w:val="24"/>
        </w:rPr>
        <w:t>48</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Pregled količine generisanog EEE otpada u periodu 2011–2023 i pripadajući sadržaj dekaBDE (podaci MONSTAT)</w:t>
      </w:r>
    </w:p>
    <w:tbl>
      <w:tblPr>
        <w:tblStyle w:val="GridTable5Dark-Accent6"/>
        <w:tblW w:w="0" w:type="auto"/>
        <w:tblLook w:val="04A0" w:firstRow="1" w:lastRow="0" w:firstColumn="1" w:lastColumn="0" w:noHBand="0" w:noVBand="1"/>
      </w:tblPr>
      <w:tblGrid>
        <w:gridCol w:w="955"/>
        <w:gridCol w:w="644"/>
        <w:gridCol w:w="645"/>
        <w:gridCol w:w="646"/>
        <w:gridCol w:w="646"/>
        <w:gridCol w:w="646"/>
        <w:gridCol w:w="646"/>
        <w:gridCol w:w="646"/>
        <w:gridCol w:w="646"/>
        <w:gridCol w:w="646"/>
        <w:gridCol w:w="646"/>
        <w:gridCol w:w="646"/>
        <w:gridCol w:w="646"/>
        <w:gridCol w:w="646"/>
      </w:tblGrid>
      <w:tr w:rsidR="00C23D65" w:rsidRPr="00C86111" w14:paraId="68129FC4"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Borders>
              <w:bottom w:val="single" w:sz="4" w:space="0" w:color="FFFFFF" w:themeColor="background1"/>
            </w:tcBorders>
            <w:hideMark/>
          </w:tcPr>
          <w:p w14:paraId="756225E4"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Godina</w:t>
            </w:r>
          </w:p>
        </w:tc>
        <w:tc>
          <w:tcPr>
            <w:tcW w:w="644" w:type="dxa"/>
            <w:tcBorders>
              <w:bottom w:val="single" w:sz="4" w:space="0" w:color="FFFFFF" w:themeColor="background1"/>
            </w:tcBorders>
            <w:hideMark/>
          </w:tcPr>
          <w:p w14:paraId="5154924A"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2011</w:t>
            </w:r>
          </w:p>
        </w:tc>
        <w:tc>
          <w:tcPr>
            <w:tcW w:w="645" w:type="dxa"/>
            <w:tcBorders>
              <w:bottom w:val="single" w:sz="4" w:space="0" w:color="FFFFFF" w:themeColor="background1"/>
            </w:tcBorders>
            <w:hideMark/>
          </w:tcPr>
          <w:p w14:paraId="347D0177"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2012</w:t>
            </w:r>
          </w:p>
        </w:tc>
        <w:tc>
          <w:tcPr>
            <w:tcW w:w="646" w:type="dxa"/>
            <w:tcBorders>
              <w:bottom w:val="single" w:sz="4" w:space="0" w:color="FFFFFF" w:themeColor="background1"/>
            </w:tcBorders>
            <w:hideMark/>
          </w:tcPr>
          <w:p w14:paraId="3AAE113D"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2013</w:t>
            </w:r>
          </w:p>
        </w:tc>
        <w:tc>
          <w:tcPr>
            <w:tcW w:w="646" w:type="dxa"/>
            <w:tcBorders>
              <w:bottom w:val="single" w:sz="4" w:space="0" w:color="FFFFFF" w:themeColor="background1"/>
            </w:tcBorders>
            <w:hideMark/>
          </w:tcPr>
          <w:p w14:paraId="42D8374A"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2014</w:t>
            </w:r>
          </w:p>
        </w:tc>
        <w:tc>
          <w:tcPr>
            <w:tcW w:w="646" w:type="dxa"/>
            <w:tcBorders>
              <w:bottom w:val="single" w:sz="4" w:space="0" w:color="FFFFFF" w:themeColor="background1"/>
            </w:tcBorders>
            <w:hideMark/>
          </w:tcPr>
          <w:p w14:paraId="7BCDDB76"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2015</w:t>
            </w:r>
          </w:p>
        </w:tc>
        <w:tc>
          <w:tcPr>
            <w:tcW w:w="646" w:type="dxa"/>
            <w:tcBorders>
              <w:bottom w:val="single" w:sz="4" w:space="0" w:color="FFFFFF" w:themeColor="background1"/>
            </w:tcBorders>
            <w:hideMark/>
          </w:tcPr>
          <w:p w14:paraId="236925F2"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2016</w:t>
            </w:r>
          </w:p>
        </w:tc>
        <w:tc>
          <w:tcPr>
            <w:tcW w:w="646" w:type="dxa"/>
            <w:tcBorders>
              <w:bottom w:val="single" w:sz="4" w:space="0" w:color="FFFFFF" w:themeColor="background1"/>
            </w:tcBorders>
            <w:hideMark/>
          </w:tcPr>
          <w:p w14:paraId="13E173EF"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2017</w:t>
            </w:r>
          </w:p>
        </w:tc>
        <w:tc>
          <w:tcPr>
            <w:tcW w:w="646" w:type="dxa"/>
            <w:tcBorders>
              <w:bottom w:val="single" w:sz="4" w:space="0" w:color="FFFFFF" w:themeColor="background1"/>
            </w:tcBorders>
            <w:hideMark/>
          </w:tcPr>
          <w:p w14:paraId="4B294215"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2018</w:t>
            </w:r>
          </w:p>
        </w:tc>
        <w:tc>
          <w:tcPr>
            <w:tcW w:w="646" w:type="dxa"/>
            <w:tcBorders>
              <w:bottom w:val="single" w:sz="4" w:space="0" w:color="FFFFFF" w:themeColor="background1"/>
            </w:tcBorders>
            <w:hideMark/>
          </w:tcPr>
          <w:p w14:paraId="08D90A8E"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2019</w:t>
            </w:r>
          </w:p>
        </w:tc>
        <w:tc>
          <w:tcPr>
            <w:tcW w:w="646" w:type="dxa"/>
            <w:tcBorders>
              <w:bottom w:val="single" w:sz="4" w:space="0" w:color="FFFFFF" w:themeColor="background1"/>
            </w:tcBorders>
            <w:hideMark/>
          </w:tcPr>
          <w:p w14:paraId="0976A4C8"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2020</w:t>
            </w:r>
          </w:p>
        </w:tc>
        <w:tc>
          <w:tcPr>
            <w:tcW w:w="646" w:type="dxa"/>
            <w:tcBorders>
              <w:bottom w:val="single" w:sz="4" w:space="0" w:color="FFFFFF" w:themeColor="background1"/>
            </w:tcBorders>
            <w:hideMark/>
          </w:tcPr>
          <w:p w14:paraId="279C532A"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2021</w:t>
            </w:r>
          </w:p>
        </w:tc>
        <w:tc>
          <w:tcPr>
            <w:tcW w:w="646" w:type="dxa"/>
            <w:tcBorders>
              <w:bottom w:val="single" w:sz="4" w:space="0" w:color="FFFFFF" w:themeColor="background1"/>
            </w:tcBorders>
            <w:hideMark/>
          </w:tcPr>
          <w:p w14:paraId="332F492D"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2022</w:t>
            </w:r>
          </w:p>
        </w:tc>
        <w:tc>
          <w:tcPr>
            <w:tcW w:w="646" w:type="dxa"/>
            <w:tcBorders>
              <w:bottom w:val="single" w:sz="4" w:space="0" w:color="FFFFFF" w:themeColor="background1"/>
            </w:tcBorders>
            <w:hideMark/>
          </w:tcPr>
          <w:p w14:paraId="381711CC"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2023</w:t>
            </w:r>
          </w:p>
        </w:tc>
      </w:tr>
      <w:tr w:rsidR="00C23D65" w:rsidRPr="00C86111" w14:paraId="26D1B8A0"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FFFFFF" w:themeColor="background1"/>
              <w:bottom w:val="single" w:sz="4" w:space="0" w:color="FFFFFF" w:themeColor="background1"/>
              <w:right w:val="single" w:sz="4" w:space="0" w:color="FFFFFF" w:themeColor="background1"/>
            </w:tcBorders>
            <w:hideMark/>
          </w:tcPr>
          <w:p w14:paraId="2D88082F"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WEEE (t)</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AEAEB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533</w:t>
            </w:r>
          </w:p>
        </w:tc>
        <w:tc>
          <w:tcPr>
            <w:tcW w:w="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7192C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57</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1980A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38</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69CA7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74</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88B60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68</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BC2E5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141</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4AACD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85</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D5FA9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250</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FB5311"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197</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AE6F5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144</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F2575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254</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0D6C7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97</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06CC2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207</w:t>
            </w:r>
          </w:p>
        </w:tc>
      </w:tr>
      <w:tr w:rsidR="00C23D65" w:rsidRPr="00C86111" w14:paraId="7F7D71FC" w14:textId="77777777" w:rsidTr="00C23D65">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FFFFFF" w:themeColor="background1"/>
              <w:bottom w:val="single" w:sz="4" w:space="0" w:color="FFFFFF" w:themeColor="background1"/>
              <w:right w:val="single" w:sz="4" w:space="0" w:color="FFFFFF" w:themeColor="background1"/>
            </w:tcBorders>
            <w:hideMark/>
          </w:tcPr>
          <w:p w14:paraId="56A49329"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Udio plastike (t)</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AE7F37"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106</w:t>
            </w:r>
          </w:p>
        </w:tc>
        <w:tc>
          <w:tcPr>
            <w:tcW w:w="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5302F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11</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A6DC50"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8</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5EB43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15</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3482F1"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14</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900CAD"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28</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431A5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17</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5790F9"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50</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61477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39</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009EF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29</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DF482D"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51</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E0D1C3"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19</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DBD4C0"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41</w:t>
            </w:r>
          </w:p>
        </w:tc>
      </w:tr>
      <w:tr w:rsidR="00C23D65" w:rsidRPr="00C86111" w14:paraId="11C31EA5"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FFFFFF" w:themeColor="background1"/>
              <w:right w:val="single" w:sz="4" w:space="0" w:color="FFFFFF" w:themeColor="background1"/>
            </w:tcBorders>
            <w:hideMark/>
          </w:tcPr>
          <w:p w14:paraId="0A8ABF25"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Sadržaj dekaBDE (kg)</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D3A5D1"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41</w:t>
            </w:r>
          </w:p>
        </w:tc>
        <w:tc>
          <w:tcPr>
            <w:tcW w:w="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8CFF51"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4.5</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2BAFB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2.9</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0047BB"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5.7</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CCBB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5.3</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B106C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11</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5DB01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6.6</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3984B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19</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A59EA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15</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C4204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11</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17BCD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19</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B4EEB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7.6</w:t>
            </w:r>
          </w:p>
        </w:tc>
        <w:tc>
          <w:tcPr>
            <w:tcW w:w="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3664BB"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16</w:t>
            </w:r>
          </w:p>
        </w:tc>
      </w:tr>
    </w:tbl>
    <w:p w14:paraId="057B6913" w14:textId="77777777" w:rsidR="00C23D65" w:rsidRPr="00C86111" w:rsidRDefault="00C23D65" w:rsidP="00C23D65">
      <w:pPr>
        <w:jc w:val="both"/>
        <w:rPr>
          <w:rFonts w:asciiTheme="minorHAnsi" w:hAnsiTheme="minorHAnsi" w:cstheme="minorHAnsi"/>
          <w:color w:val="auto"/>
          <w:szCs w:val="24"/>
        </w:rPr>
      </w:pPr>
    </w:p>
    <w:p w14:paraId="6A7ABC2A" w14:textId="77777777" w:rsidR="00C23D65" w:rsidRPr="00C86111" w:rsidRDefault="00C23D65" w:rsidP="00C23D65">
      <w:pPr>
        <w:jc w:val="both"/>
        <w:rPr>
          <w:rFonts w:asciiTheme="minorHAnsi" w:hAnsiTheme="minorHAnsi" w:cstheme="minorHAnsi"/>
          <w:color w:val="auto"/>
          <w:szCs w:val="24"/>
        </w:rPr>
      </w:pPr>
    </w:p>
    <w:p w14:paraId="0191954B" w14:textId="66D363C0" w:rsidR="00C23D65" w:rsidRPr="00C86111" w:rsidRDefault="00C23D65" w:rsidP="00C23D65">
      <w:pPr>
        <w:jc w:val="center"/>
        <w:rPr>
          <w:rFonts w:asciiTheme="minorHAnsi" w:hAnsiTheme="minorHAnsi" w:cstheme="minorHAnsi"/>
          <w:color w:val="auto"/>
          <w:szCs w:val="24"/>
        </w:rPr>
      </w:pPr>
      <w:r w:rsidRPr="00C86111">
        <w:rPr>
          <w:rFonts w:asciiTheme="minorHAnsi" w:hAnsiTheme="minorHAnsi" w:cstheme="minorHAnsi"/>
          <w:noProof/>
          <w:szCs w:val="24"/>
        </w:rPr>
        <w:drawing>
          <wp:inline distT="0" distB="0" distL="0" distR="0" wp14:anchorId="29EDB4A5" wp14:editId="7F079383">
            <wp:extent cx="4587240" cy="2152650"/>
            <wp:effectExtent l="0" t="0" r="3810" b="0"/>
            <wp:docPr id="1140126941" name="Chart 1140126941">
              <a:extLst xmlns:a="http://schemas.openxmlformats.org/drawingml/2006/main">
                <a:ext uri="{FF2B5EF4-FFF2-40B4-BE49-F238E27FC236}">
                  <a16:creationId xmlns:a16="http://schemas.microsoft.com/office/drawing/2014/main" id="{370B5FD8-17BA-1981-64B2-2CF7165B6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18FF4A" w14:textId="43652A40" w:rsidR="00C23D65" w:rsidRPr="00C86111" w:rsidRDefault="00F603AA" w:rsidP="00C23D65">
      <w:pPr>
        <w:jc w:val="center"/>
        <w:rPr>
          <w:rFonts w:asciiTheme="minorHAnsi" w:hAnsiTheme="minorHAnsi" w:cstheme="minorHAnsi"/>
          <w:color w:val="auto"/>
          <w:szCs w:val="24"/>
        </w:rPr>
      </w:pPr>
      <w:r w:rsidRPr="00C86111">
        <w:rPr>
          <w:rFonts w:asciiTheme="minorHAnsi" w:hAnsiTheme="minorHAnsi" w:cstheme="minorHAnsi"/>
          <w:b/>
          <w:bCs/>
          <w:color w:val="auto"/>
          <w:szCs w:val="24"/>
        </w:rPr>
        <w:t>Grafik</w:t>
      </w:r>
      <w:r w:rsidR="00C23D65" w:rsidRPr="00C86111">
        <w:rPr>
          <w:rFonts w:asciiTheme="minorHAnsi" w:hAnsiTheme="minorHAnsi" w:cstheme="minorHAnsi"/>
          <w:b/>
          <w:bCs/>
          <w:color w:val="auto"/>
          <w:szCs w:val="24"/>
        </w:rPr>
        <w:t xml:space="preserve"> 7</w:t>
      </w:r>
      <w:r w:rsidR="00C23D65" w:rsidRPr="00C86111">
        <w:rPr>
          <w:rFonts w:asciiTheme="minorHAnsi" w:hAnsiTheme="minorHAnsi" w:cstheme="minorHAnsi"/>
          <w:color w:val="auto"/>
          <w:szCs w:val="24"/>
        </w:rPr>
        <w:t>:  Sadržaj dekaBDE (kg) u otpadu EEE generisanom u periodu 2011-2023</w:t>
      </w:r>
    </w:p>
    <w:p w14:paraId="5F0697B1" w14:textId="77777777" w:rsidR="00C23D65" w:rsidRPr="00C86111" w:rsidRDefault="00C23D65" w:rsidP="00C23D65">
      <w:pPr>
        <w:jc w:val="both"/>
        <w:rPr>
          <w:rFonts w:asciiTheme="minorHAnsi" w:hAnsiTheme="minorHAnsi" w:cstheme="minorHAnsi"/>
          <w:b/>
          <w:bCs/>
          <w:color w:val="auto"/>
          <w:szCs w:val="24"/>
        </w:rPr>
      </w:pPr>
    </w:p>
    <w:p w14:paraId="1AF6567E"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Grafikon pokazuje blago opadajući trend sadržaja dekaBDE u WEEE-u tokom praćenog perioda. </w:t>
      </w:r>
    </w:p>
    <w:p w14:paraId="7760D68B" w14:textId="77777777" w:rsidR="00C23D65" w:rsidRPr="00C86111" w:rsidRDefault="00C23D65" w:rsidP="00C23D65">
      <w:pPr>
        <w:jc w:val="both"/>
        <w:rPr>
          <w:rFonts w:asciiTheme="minorHAnsi" w:hAnsiTheme="minorHAnsi" w:cstheme="minorHAnsi"/>
          <w:color w:val="auto"/>
          <w:szCs w:val="24"/>
        </w:rPr>
      </w:pPr>
    </w:p>
    <w:p w14:paraId="59138A3B" w14:textId="17E87B4A"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Međutim, korišćenjem podataka iz nacrta “Državnog plana upravljanja otpadom 2023–2028”, dobija se drugačija slika. Procjena trenutnog sastava komunalnog čvrstog otpada u ovom planu izrađena je na osnovu informacija iz različitih studija, uzimajući u obzir i podatke iz sličnih regiona (Sjeverna Makedonija, Srbija, Bugarska i Grčka). Prema ovim procjenama, udio EEE u ukupnom otpadu iznosi oko 4%. Uzimajući u obzir ovu vrijednost, količina EEE otpada i pripadajuća količina dekaBDE značajno su veće, što je prikazano u Tabeli </w:t>
      </w:r>
      <w:r w:rsidR="00F603AA" w:rsidRPr="00C86111">
        <w:rPr>
          <w:rFonts w:asciiTheme="minorHAnsi" w:hAnsiTheme="minorHAnsi" w:cstheme="minorHAnsi"/>
          <w:color w:val="auto"/>
          <w:szCs w:val="24"/>
        </w:rPr>
        <w:t>49</w:t>
      </w:r>
      <w:r w:rsidRPr="00C86111">
        <w:rPr>
          <w:rFonts w:asciiTheme="minorHAnsi" w:hAnsiTheme="minorHAnsi" w:cstheme="minorHAnsi"/>
          <w:color w:val="auto"/>
          <w:szCs w:val="24"/>
        </w:rPr>
        <w:t>.</w:t>
      </w:r>
    </w:p>
    <w:p w14:paraId="5DAADD76" w14:textId="77777777" w:rsidR="00C23D65" w:rsidRDefault="00C23D65" w:rsidP="00C23D65">
      <w:pPr>
        <w:jc w:val="both"/>
        <w:rPr>
          <w:rFonts w:asciiTheme="minorHAnsi" w:hAnsiTheme="minorHAnsi" w:cstheme="minorHAnsi"/>
          <w:b/>
          <w:bCs/>
          <w:color w:val="auto"/>
          <w:szCs w:val="24"/>
        </w:rPr>
      </w:pPr>
    </w:p>
    <w:p w14:paraId="6881BA08" w14:textId="77777777" w:rsidR="00F57E42" w:rsidRPr="00C86111" w:rsidRDefault="00F57E42" w:rsidP="00C23D65">
      <w:pPr>
        <w:jc w:val="both"/>
        <w:rPr>
          <w:rFonts w:asciiTheme="minorHAnsi" w:hAnsiTheme="minorHAnsi" w:cstheme="minorHAnsi"/>
          <w:b/>
          <w:bCs/>
          <w:color w:val="auto"/>
          <w:szCs w:val="24"/>
        </w:rPr>
      </w:pPr>
    </w:p>
    <w:p w14:paraId="7EFEE482" w14:textId="29FD15DD"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lastRenderedPageBreak/>
        <w:t xml:space="preserve">Tabela </w:t>
      </w:r>
      <w:r w:rsidR="00F603AA" w:rsidRPr="00C86111">
        <w:rPr>
          <w:rFonts w:asciiTheme="minorHAnsi" w:hAnsiTheme="minorHAnsi" w:cstheme="minorHAnsi"/>
          <w:b/>
          <w:bCs/>
          <w:color w:val="auto"/>
          <w:szCs w:val="24"/>
        </w:rPr>
        <w:t>49</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Pregled količine generisanog EEE otpada u periodu 2017–2023 i pripadajući sadržaj dekaBDE (podaci iz nacrta DPUO 2023–2028)</w:t>
      </w:r>
    </w:p>
    <w:tbl>
      <w:tblPr>
        <w:tblStyle w:val="GridTable5Dark-Accent6"/>
        <w:tblW w:w="0" w:type="auto"/>
        <w:tblLook w:val="04A0" w:firstRow="1" w:lastRow="0" w:firstColumn="1" w:lastColumn="0" w:noHBand="0" w:noVBand="1"/>
      </w:tblPr>
      <w:tblGrid>
        <w:gridCol w:w="1335"/>
        <w:gridCol w:w="1335"/>
        <w:gridCol w:w="1336"/>
        <w:gridCol w:w="1336"/>
        <w:gridCol w:w="1336"/>
        <w:gridCol w:w="1336"/>
        <w:gridCol w:w="1336"/>
      </w:tblGrid>
      <w:tr w:rsidR="00C23D65" w:rsidRPr="00C86111" w14:paraId="0EC7400C"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bottom w:val="single" w:sz="4" w:space="0" w:color="FFFFFF" w:themeColor="background1"/>
            </w:tcBorders>
            <w:hideMark/>
          </w:tcPr>
          <w:p w14:paraId="4ACEA79E"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Godina</w:t>
            </w:r>
          </w:p>
        </w:tc>
        <w:tc>
          <w:tcPr>
            <w:tcW w:w="1335" w:type="dxa"/>
            <w:tcBorders>
              <w:bottom w:val="single" w:sz="4" w:space="0" w:color="FFFFFF" w:themeColor="background1"/>
            </w:tcBorders>
            <w:hideMark/>
          </w:tcPr>
          <w:p w14:paraId="75013EE6"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Ukupna količina komunalnog otpada (t)</w:t>
            </w:r>
          </w:p>
        </w:tc>
        <w:tc>
          <w:tcPr>
            <w:tcW w:w="1336" w:type="dxa"/>
            <w:tcBorders>
              <w:bottom w:val="single" w:sz="4" w:space="0" w:color="FFFFFF" w:themeColor="background1"/>
            </w:tcBorders>
            <w:hideMark/>
          </w:tcPr>
          <w:p w14:paraId="4BD6E9FA"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 EEE</w:t>
            </w:r>
          </w:p>
        </w:tc>
        <w:tc>
          <w:tcPr>
            <w:tcW w:w="1336" w:type="dxa"/>
            <w:tcBorders>
              <w:bottom w:val="single" w:sz="4" w:space="0" w:color="FFFFFF" w:themeColor="background1"/>
            </w:tcBorders>
            <w:hideMark/>
          </w:tcPr>
          <w:p w14:paraId="0EDAEF5E"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Količina EEE (t)</w:t>
            </w:r>
          </w:p>
        </w:tc>
        <w:tc>
          <w:tcPr>
            <w:tcW w:w="1336" w:type="dxa"/>
            <w:tcBorders>
              <w:bottom w:val="single" w:sz="4" w:space="0" w:color="FFFFFF" w:themeColor="background1"/>
            </w:tcBorders>
            <w:hideMark/>
          </w:tcPr>
          <w:p w14:paraId="001DB0EF"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Procijenjeni udeo plastike u WEEE (%)</w:t>
            </w:r>
          </w:p>
        </w:tc>
        <w:tc>
          <w:tcPr>
            <w:tcW w:w="1336" w:type="dxa"/>
            <w:tcBorders>
              <w:bottom w:val="single" w:sz="4" w:space="0" w:color="FFFFFF" w:themeColor="background1"/>
            </w:tcBorders>
            <w:hideMark/>
          </w:tcPr>
          <w:p w14:paraId="0E1974C1"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Količina plastike u WEEE (t)</w:t>
            </w:r>
          </w:p>
        </w:tc>
        <w:tc>
          <w:tcPr>
            <w:tcW w:w="1336" w:type="dxa"/>
            <w:tcBorders>
              <w:bottom w:val="single" w:sz="4" w:space="0" w:color="FFFFFF" w:themeColor="background1"/>
            </w:tcBorders>
            <w:hideMark/>
          </w:tcPr>
          <w:p w14:paraId="01A0BEE0"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Količina dekaBDE u plastici WEEE (t)</w:t>
            </w:r>
          </w:p>
        </w:tc>
      </w:tr>
      <w:tr w:rsidR="00C23D65" w:rsidRPr="00C86111" w14:paraId="7E186ED8"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FFFFFF" w:themeColor="background1"/>
              <w:bottom w:val="single" w:sz="4" w:space="0" w:color="FFFFFF" w:themeColor="background1"/>
              <w:right w:val="single" w:sz="4" w:space="0" w:color="FFFFFF" w:themeColor="background1"/>
            </w:tcBorders>
            <w:hideMark/>
          </w:tcPr>
          <w:p w14:paraId="0CF0B987"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2017</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0A24D1"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324.155</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330CC2"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4.2</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7D43E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13.614</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A33CA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5B9C6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2.723</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8CEAC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1.06</w:t>
            </w:r>
          </w:p>
        </w:tc>
      </w:tr>
      <w:tr w:rsidR="00C23D65" w:rsidRPr="00C86111" w14:paraId="192C3849" w14:textId="77777777" w:rsidTr="00C23D65">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FFFFFF" w:themeColor="background1"/>
              <w:bottom w:val="single" w:sz="4" w:space="0" w:color="FFFFFF" w:themeColor="background1"/>
              <w:right w:val="single" w:sz="4" w:space="0" w:color="FFFFFF" w:themeColor="background1"/>
            </w:tcBorders>
            <w:hideMark/>
          </w:tcPr>
          <w:p w14:paraId="0A615367"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2018</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C93E81"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303.107</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6FBB86"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4.2</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79C34C"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12.730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45F640"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04E591"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2.546</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E7D03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0.99</w:t>
            </w:r>
          </w:p>
        </w:tc>
      </w:tr>
      <w:tr w:rsidR="00C23D65" w:rsidRPr="00C86111" w14:paraId="5D0979E9"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FFFFFF" w:themeColor="background1"/>
              <w:bottom w:val="single" w:sz="4" w:space="0" w:color="FFFFFF" w:themeColor="background1"/>
              <w:right w:val="single" w:sz="4" w:space="0" w:color="FFFFFF" w:themeColor="background1"/>
            </w:tcBorders>
            <w:hideMark/>
          </w:tcPr>
          <w:p w14:paraId="5077FB9F"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2019</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FCD7F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340.823</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599A2"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4.2</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13CE91"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14.314</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E86E1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D5156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2.863</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A37D4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1.12</w:t>
            </w:r>
          </w:p>
        </w:tc>
      </w:tr>
      <w:tr w:rsidR="00C23D65" w:rsidRPr="00C86111" w14:paraId="01A503A9" w14:textId="77777777" w:rsidTr="00C23D65">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FFFFFF" w:themeColor="background1"/>
              <w:bottom w:val="single" w:sz="4" w:space="0" w:color="FFFFFF" w:themeColor="background1"/>
              <w:right w:val="single" w:sz="4" w:space="0" w:color="FFFFFF" w:themeColor="background1"/>
            </w:tcBorders>
            <w:hideMark/>
          </w:tcPr>
          <w:p w14:paraId="4F96C22D"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2020</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40CB7"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304.063</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88B68C"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4.2</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D0128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12.770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6437BC"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BB0DF4"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2.554</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12F745"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0.99</w:t>
            </w:r>
          </w:p>
        </w:tc>
      </w:tr>
      <w:tr w:rsidR="00C23D65" w:rsidRPr="00C86111" w14:paraId="57C1D06F"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FFFFFF" w:themeColor="background1"/>
              <w:bottom w:val="single" w:sz="4" w:space="0" w:color="FFFFFF" w:themeColor="background1"/>
              <w:right w:val="single" w:sz="4" w:space="0" w:color="FFFFFF" w:themeColor="background1"/>
            </w:tcBorders>
            <w:hideMark/>
          </w:tcPr>
          <w:p w14:paraId="328A2BF5"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2021</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C52D5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325.708</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6A72E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4.2</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C72B56"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13.679</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D6622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8038D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2.736</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10DB82"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1.07</w:t>
            </w:r>
          </w:p>
        </w:tc>
      </w:tr>
      <w:tr w:rsidR="00C23D65" w:rsidRPr="00C86111" w14:paraId="248BAC4A" w14:textId="77777777" w:rsidTr="00C23D65">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FFFFFF" w:themeColor="background1"/>
              <w:bottom w:val="single" w:sz="4" w:space="0" w:color="FFFFFF" w:themeColor="background1"/>
              <w:right w:val="single" w:sz="4" w:space="0" w:color="FFFFFF" w:themeColor="background1"/>
            </w:tcBorders>
            <w:hideMark/>
          </w:tcPr>
          <w:p w14:paraId="416613BB"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2022</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0FCBD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335.797</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0CE2CE"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4.2</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65ECE7"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14.103</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3E1B55"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AB554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2.821</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F491D7"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1.10</w:t>
            </w:r>
          </w:p>
        </w:tc>
      </w:tr>
      <w:tr w:rsidR="00C23D65" w:rsidRPr="00C86111" w14:paraId="50D086F6"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FFFFFF" w:themeColor="background1"/>
              <w:right w:val="single" w:sz="4" w:space="0" w:color="FFFFFF" w:themeColor="background1"/>
            </w:tcBorders>
            <w:hideMark/>
          </w:tcPr>
          <w:p w14:paraId="1D5D5BCA"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2023</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97241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360.137</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5103D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4.2</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0D156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15.126</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FA5F5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20</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28676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3.025</w:t>
            </w: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14536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C86111">
              <w:rPr>
                <w:rFonts w:asciiTheme="minorHAnsi" w:hAnsiTheme="minorHAnsi" w:cstheme="minorHAnsi"/>
                <w:color w:val="auto"/>
                <w:sz w:val="20"/>
                <w:szCs w:val="20"/>
              </w:rPr>
              <w:t>1.18</w:t>
            </w:r>
          </w:p>
        </w:tc>
      </w:tr>
    </w:tbl>
    <w:p w14:paraId="564AA5EC" w14:textId="77777777" w:rsidR="00C23D65" w:rsidRPr="00C86111" w:rsidRDefault="00C23D65" w:rsidP="00C23D65">
      <w:pPr>
        <w:jc w:val="both"/>
        <w:rPr>
          <w:rFonts w:asciiTheme="minorHAnsi" w:hAnsiTheme="minorHAnsi" w:cstheme="minorHAnsi"/>
          <w:b/>
          <w:bCs/>
          <w:color w:val="auto"/>
          <w:szCs w:val="24"/>
        </w:rPr>
      </w:pPr>
    </w:p>
    <w:p w14:paraId="6AD65E76" w14:textId="24CC8D04" w:rsidR="00C23D65" w:rsidRPr="00C86111" w:rsidRDefault="00C23D65" w:rsidP="00C23D65">
      <w:pPr>
        <w:jc w:val="both"/>
        <w:rPr>
          <w:rFonts w:asciiTheme="minorHAnsi" w:hAnsiTheme="minorHAnsi" w:cstheme="minorHAnsi"/>
          <w:b/>
          <w:bCs/>
          <w:color w:val="002060"/>
          <w:szCs w:val="24"/>
        </w:rPr>
      </w:pPr>
      <w:r w:rsidRPr="00C86111">
        <w:rPr>
          <w:rFonts w:asciiTheme="minorHAnsi" w:hAnsiTheme="minorHAnsi" w:cstheme="minorHAnsi"/>
          <w:b/>
          <w:bCs/>
          <w:color w:val="002060"/>
          <w:szCs w:val="24"/>
        </w:rPr>
        <w:t xml:space="preserve">Zaključak </w:t>
      </w:r>
    </w:p>
    <w:p w14:paraId="4F832647" w14:textId="77777777" w:rsidR="00F603AA" w:rsidRPr="00C86111" w:rsidRDefault="00F603AA" w:rsidP="00C23D65">
      <w:pPr>
        <w:jc w:val="both"/>
        <w:rPr>
          <w:rFonts w:asciiTheme="minorHAnsi" w:hAnsiTheme="minorHAnsi" w:cstheme="minorHAnsi"/>
          <w:b/>
          <w:bCs/>
          <w:color w:val="auto"/>
          <w:szCs w:val="24"/>
        </w:rPr>
      </w:pPr>
    </w:p>
    <w:p w14:paraId="3CF2BF91"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Tokom posmatranog perioda količine WEEE-a i plastike značajno variraju iz godine u godinu, ali dekaBDE je kontinuirano prisutan u svim godinama, što potvrđuje njegovu dugotrajnu opstojnost u otpadu. Najviše vrijednosti sadržaja dekaBDE zabilježene su 2011, 2018 i 2021. godine, dok su najniže u periodu 2012–2013.</w:t>
      </w:r>
    </w:p>
    <w:p w14:paraId="47ABEA54"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Uprkos oscilacijama količina WEEE-a, ne uočava se jasan dugoročni trend smanjenja dekaBDE-a, što ukazuje da stari proizvodi koji ga sadrže i dalje ulaze u sistem otpada. Ovo potvrđuje da dekaBDE ostaje značajan problem u tokovima WEEE-a i da su i dalje potrebne stroge mjere kontrole, separacije i bezbjednog zbrinjavanja plastike koja ga sadrži.</w:t>
      </w:r>
    </w:p>
    <w:p w14:paraId="00A98AC3" w14:textId="77777777" w:rsidR="00C23D65" w:rsidRPr="00C86111" w:rsidRDefault="00C23D65" w:rsidP="00EA6904">
      <w:pPr>
        <w:pStyle w:val="Heading4"/>
      </w:pPr>
      <w:r w:rsidRPr="00C86111">
        <w:t>Terenski rad – analiza otpadne EEE opreme u Crnoj Gori</w:t>
      </w:r>
    </w:p>
    <w:p w14:paraId="033D0D7F"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 xml:space="preserve">Sanitarno-ekološka kompanija </w:t>
      </w:r>
      <w:r w:rsidRPr="00C86111">
        <w:rPr>
          <w:rFonts w:asciiTheme="minorHAnsi" w:hAnsiTheme="minorHAnsi" w:cstheme="minorHAnsi"/>
          <w:b/>
          <w:bCs/>
          <w:szCs w:val="24"/>
        </w:rPr>
        <w:t>„Hemosan“ d.o.o., Bar</w:t>
      </w:r>
      <w:r w:rsidRPr="00C86111">
        <w:rPr>
          <w:rFonts w:asciiTheme="minorHAnsi" w:hAnsiTheme="minorHAnsi" w:cstheme="minorHAnsi"/>
          <w:szCs w:val="24"/>
        </w:rPr>
        <w:t>, osnovana 1993. godine, glavni je operater u Crnoj Gori za prikupljanje, skladištenje i izvoz otpada, uključujući opasni i neopasni otpad, te upravljanje otpadnom električnom i elektronskom opremom (WEEE).Glavne djelatnosti kompanije su:</w:t>
      </w:r>
    </w:p>
    <w:p w14:paraId="583B6C85" w14:textId="77777777" w:rsidR="00C23D65" w:rsidRPr="00C86111" w:rsidRDefault="00C23D65" w:rsidP="00004F34">
      <w:pPr>
        <w:numPr>
          <w:ilvl w:val="0"/>
          <w:numId w:val="193"/>
        </w:numPr>
        <w:jc w:val="both"/>
        <w:rPr>
          <w:rFonts w:asciiTheme="minorHAnsi" w:hAnsiTheme="minorHAnsi" w:cstheme="minorHAnsi"/>
          <w:szCs w:val="24"/>
        </w:rPr>
      </w:pPr>
      <w:r w:rsidRPr="00C86111">
        <w:rPr>
          <w:rFonts w:asciiTheme="minorHAnsi" w:hAnsiTheme="minorHAnsi" w:cstheme="minorHAnsi"/>
          <w:szCs w:val="24"/>
        </w:rPr>
        <w:t>Prevencija zagađenja mora, luka i marina, uključujući prijem opasnog otpada;</w:t>
      </w:r>
    </w:p>
    <w:p w14:paraId="7ABF162C" w14:textId="77777777" w:rsidR="00C23D65" w:rsidRPr="00C86111" w:rsidRDefault="00C23D65" w:rsidP="00004F34">
      <w:pPr>
        <w:numPr>
          <w:ilvl w:val="0"/>
          <w:numId w:val="193"/>
        </w:numPr>
        <w:jc w:val="both"/>
        <w:rPr>
          <w:rFonts w:asciiTheme="minorHAnsi" w:hAnsiTheme="minorHAnsi" w:cstheme="minorHAnsi"/>
          <w:szCs w:val="24"/>
        </w:rPr>
      </w:pPr>
      <w:r w:rsidRPr="00C86111">
        <w:rPr>
          <w:rFonts w:asciiTheme="minorHAnsi" w:hAnsiTheme="minorHAnsi" w:cstheme="minorHAnsi"/>
          <w:szCs w:val="24"/>
        </w:rPr>
        <w:t>Prikupljanje, transport, skladištenje i izvoz opasnog i neopasnog otpada;</w:t>
      </w:r>
    </w:p>
    <w:p w14:paraId="0FC27E23" w14:textId="77777777" w:rsidR="00C23D65" w:rsidRPr="00C86111" w:rsidRDefault="00C23D65" w:rsidP="00004F34">
      <w:pPr>
        <w:numPr>
          <w:ilvl w:val="0"/>
          <w:numId w:val="193"/>
        </w:numPr>
        <w:jc w:val="both"/>
        <w:rPr>
          <w:rFonts w:asciiTheme="minorHAnsi" w:hAnsiTheme="minorHAnsi" w:cstheme="minorHAnsi"/>
          <w:szCs w:val="24"/>
        </w:rPr>
      </w:pPr>
      <w:r w:rsidRPr="00C86111">
        <w:rPr>
          <w:rFonts w:asciiTheme="minorHAnsi" w:hAnsiTheme="minorHAnsi" w:cstheme="minorHAnsi"/>
          <w:szCs w:val="24"/>
        </w:rPr>
        <w:t>Prijem i tretman uljanih i otpadnih voda sa brodova;</w:t>
      </w:r>
    </w:p>
    <w:p w14:paraId="336DCAC6" w14:textId="77777777" w:rsidR="00C23D65" w:rsidRPr="00C86111" w:rsidRDefault="00C23D65" w:rsidP="00004F34">
      <w:pPr>
        <w:numPr>
          <w:ilvl w:val="0"/>
          <w:numId w:val="193"/>
        </w:numPr>
        <w:jc w:val="both"/>
        <w:rPr>
          <w:rFonts w:asciiTheme="minorHAnsi" w:hAnsiTheme="minorHAnsi" w:cstheme="minorHAnsi"/>
          <w:szCs w:val="24"/>
        </w:rPr>
      </w:pPr>
      <w:r w:rsidRPr="00C86111">
        <w:rPr>
          <w:rFonts w:asciiTheme="minorHAnsi" w:hAnsiTheme="minorHAnsi" w:cstheme="minorHAnsi"/>
          <w:szCs w:val="24"/>
        </w:rPr>
        <w:t>Čišćenje tankova za naftu i naftne derivate uz ekološki prihvatljivo zbrinjavanje nastalog otpada.</w:t>
      </w:r>
    </w:p>
    <w:p w14:paraId="1608E167"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Dozvole i licence:</w:t>
      </w:r>
    </w:p>
    <w:p w14:paraId="6DBBED3A" w14:textId="77777777" w:rsidR="00C23D65" w:rsidRPr="00C86111" w:rsidRDefault="00C23D65" w:rsidP="00004F34">
      <w:pPr>
        <w:numPr>
          <w:ilvl w:val="0"/>
          <w:numId w:val="194"/>
        </w:numPr>
        <w:jc w:val="both"/>
        <w:rPr>
          <w:rFonts w:asciiTheme="minorHAnsi" w:hAnsiTheme="minorHAnsi" w:cstheme="minorHAnsi"/>
          <w:szCs w:val="24"/>
        </w:rPr>
      </w:pPr>
      <w:r w:rsidRPr="00C86111">
        <w:rPr>
          <w:rFonts w:asciiTheme="minorHAnsi" w:hAnsiTheme="minorHAnsi" w:cstheme="minorHAnsi"/>
          <w:szCs w:val="24"/>
        </w:rPr>
        <w:t>Prikupljanje i transport otpada;</w:t>
      </w:r>
    </w:p>
    <w:p w14:paraId="5D88CED7" w14:textId="77777777" w:rsidR="00C23D65" w:rsidRPr="00C86111" w:rsidRDefault="00C23D65" w:rsidP="00004F34">
      <w:pPr>
        <w:numPr>
          <w:ilvl w:val="0"/>
          <w:numId w:val="194"/>
        </w:numPr>
        <w:jc w:val="both"/>
        <w:rPr>
          <w:rFonts w:asciiTheme="minorHAnsi" w:hAnsiTheme="minorHAnsi" w:cstheme="minorHAnsi"/>
          <w:szCs w:val="24"/>
        </w:rPr>
      </w:pPr>
      <w:r w:rsidRPr="00C86111">
        <w:rPr>
          <w:rFonts w:asciiTheme="minorHAnsi" w:hAnsiTheme="minorHAnsi" w:cstheme="minorHAnsi"/>
          <w:szCs w:val="24"/>
        </w:rPr>
        <w:t>Bioremedijacione aktivnosti;</w:t>
      </w:r>
    </w:p>
    <w:p w14:paraId="64740936" w14:textId="77777777" w:rsidR="00C23D65" w:rsidRPr="00C86111" w:rsidRDefault="00C23D65" w:rsidP="00004F34">
      <w:pPr>
        <w:numPr>
          <w:ilvl w:val="0"/>
          <w:numId w:val="194"/>
        </w:numPr>
        <w:jc w:val="both"/>
        <w:rPr>
          <w:rFonts w:asciiTheme="minorHAnsi" w:hAnsiTheme="minorHAnsi" w:cstheme="minorHAnsi"/>
          <w:szCs w:val="24"/>
        </w:rPr>
      </w:pPr>
      <w:r w:rsidRPr="00C86111">
        <w:rPr>
          <w:rFonts w:asciiTheme="minorHAnsi" w:hAnsiTheme="minorHAnsi" w:cstheme="minorHAnsi"/>
          <w:szCs w:val="24"/>
        </w:rPr>
        <w:t>Izvoz loživog ulja;</w:t>
      </w:r>
    </w:p>
    <w:p w14:paraId="5292472A" w14:textId="77777777" w:rsidR="00C23D65" w:rsidRPr="00C86111" w:rsidRDefault="00C23D65" w:rsidP="00004F34">
      <w:pPr>
        <w:numPr>
          <w:ilvl w:val="0"/>
          <w:numId w:val="194"/>
        </w:numPr>
        <w:jc w:val="both"/>
        <w:rPr>
          <w:rFonts w:asciiTheme="minorHAnsi" w:hAnsiTheme="minorHAnsi" w:cstheme="minorHAnsi"/>
          <w:szCs w:val="24"/>
        </w:rPr>
      </w:pPr>
      <w:r w:rsidRPr="00C86111">
        <w:rPr>
          <w:rFonts w:asciiTheme="minorHAnsi" w:hAnsiTheme="minorHAnsi" w:cstheme="minorHAnsi"/>
          <w:szCs w:val="24"/>
        </w:rPr>
        <w:t>Prikupljanje, transport i obrada transformatora i kondenzatora;</w:t>
      </w:r>
    </w:p>
    <w:p w14:paraId="50C0FB56" w14:textId="77777777" w:rsidR="00C23D65" w:rsidRPr="00C86111" w:rsidRDefault="00C23D65" w:rsidP="00004F34">
      <w:pPr>
        <w:numPr>
          <w:ilvl w:val="0"/>
          <w:numId w:val="194"/>
        </w:numPr>
        <w:jc w:val="both"/>
        <w:rPr>
          <w:rFonts w:asciiTheme="minorHAnsi" w:hAnsiTheme="minorHAnsi" w:cstheme="minorHAnsi"/>
          <w:szCs w:val="24"/>
        </w:rPr>
      </w:pPr>
      <w:r w:rsidRPr="00C86111">
        <w:rPr>
          <w:rFonts w:asciiTheme="minorHAnsi" w:hAnsiTheme="minorHAnsi" w:cstheme="minorHAnsi"/>
          <w:szCs w:val="24"/>
        </w:rPr>
        <w:t>Upravljanje otpadnom električnom i elektronskom opremom (WEEE).</w:t>
      </w:r>
    </w:p>
    <w:p w14:paraId="4FFEEE0A" w14:textId="77777777" w:rsidR="00E2027B" w:rsidRDefault="00E2027B" w:rsidP="00C23D65">
      <w:pPr>
        <w:jc w:val="both"/>
        <w:rPr>
          <w:rFonts w:asciiTheme="minorHAnsi" w:hAnsiTheme="minorHAnsi" w:cstheme="minorHAnsi"/>
          <w:b/>
          <w:bCs/>
          <w:szCs w:val="24"/>
        </w:rPr>
      </w:pPr>
    </w:p>
    <w:p w14:paraId="289DB8CB" w14:textId="77777777" w:rsidR="00E2027B" w:rsidRDefault="00E2027B" w:rsidP="00C23D65">
      <w:pPr>
        <w:jc w:val="both"/>
        <w:rPr>
          <w:rFonts w:asciiTheme="minorHAnsi" w:hAnsiTheme="minorHAnsi" w:cstheme="minorHAnsi"/>
          <w:b/>
          <w:bCs/>
          <w:szCs w:val="24"/>
        </w:rPr>
      </w:pPr>
    </w:p>
    <w:p w14:paraId="21D978CC" w14:textId="77777777" w:rsidR="00F57E42" w:rsidRDefault="00F57E42" w:rsidP="00C23D65">
      <w:pPr>
        <w:jc w:val="both"/>
        <w:rPr>
          <w:rFonts w:asciiTheme="minorHAnsi" w:hAnsiTheme="minorHAnsi" w:cstheme="minorHAnsi"/>
          <w:b/>
          <w:bCs/>
          <w:szCs w:val="24"/>
        </w:rPr>
      </w:pPr>
    </w:p>
    <w:p w14:paraId="1676ED5C" w14:textId="01FED77E" w:rsidR="00C23D65" w:rsidRDefault="00C23D65" w:rsidP="00C23D65">
      <w:pPr>
        <w:jc w:val="both"/>
        <w:rPr>
          <w:rFonts w:asciiTheme="minorHAnsi" w:hAnsiTheme="minorHAnsi" w:cstheme="minorHAnsi"/>
          <w:b/>
          <w:bCs/>
          <w:szCs w:val="24"/>
        </w:rPr>
      </w:pPr>
      <w:r w:rsidRPr="00C86111">
        <w:rPr>
          <w:rFonts w:asciiTheme="minorHAnsi" w:hAnsiTheme="minorHAnsi" w:cstheme="minorHAnsi"/>
          <w:b/>
          <w:bCs/>
          <w:szCs w:val="24"/>
        </w:rPr>
        <w:lastRenderedPageBreak/>
        <w:t>Terenske aktivnosti i analize:</w:t>
      </w:r>
    </w:p>
    <w:p w14:paraId="1455DCC8" w14:textId="77777777" w:rsidR="00F57E42" w:rsidRPr="00C86111" w:rsidRDefault="00F57E42" w:rsidP="00C23D65">
      <w:pPr>
        <w:jc w:val="both"/>
        <w:rPr>
          <w:rFonts w:asciiTheme="minorHAnsi" w:hAnsiTheme="minorHAnsi" w:cstheme="minorHAnsi"/>
          <w:b/>
          <w:bCs/>
          <w:szCs w:val="24"/>
        </w:rPr>
      </w:pPr>
    </w:p>
    <w:p w14:paraId="6B7C911A"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 xml:space="preserve">U okviru ovlašćenja, </w:t>
      </w:r>
      <w:r w:rsidRPr="00C86111">
        <w:rPr>
          <w:rFonts w:asciiTheme="minorHAnsi" w:hAnsiTheme="minorHAnsi" w:cstheme="minorHAnsi"/>
          <w:b/>
          <w:bCs/>
          <w:szCs w:val="24"/>
        </w:rPr>
        <w:t>CETI tim</w:t>
      </w:r>
      <w:r w:rsidRPr="00C86111">
        <w:rPr>
          <w:rFonts w:asciiTheme="minorHAnsi" w:hAnsiTheme="minorHAnsi" w:cstheme="minorHAnsi"/>
          <w:szCs w:val="24"/>
        </w:rPr>
        <w:t xml:space="preserve"> je izvršio pregled situacije na terenu u kompaniji „Hemosan“ i sproveo </w:t>
      </w:r>
      <w:r w:rsidRPr="00C86111">
        <w:rPr>
          <w:rFonts w:asciiTheme="minorHAnsi" w:hAnsiTheme="minorHAnsi" w:cstheme="minorHAnsi"/>
          <w:b/>
          <w:bCs/>
          <w:szCs w:val="24"/>
        </w:rPr>
        <w:t>XRF analizu</w:t>
      </w:r>
      <w:r w:rsidRPr="00C86111">
        <w:rPr>
          <w:rFonts w:asciiTheme="minorHAnsi" w:hAnsiTheme="minorHAnsi" w:cstheme="minorHAnsi"/>
          <w:szCs w:val="24"/>
        </w:rPr>
        <w:t xml:space="preserve"> kako bi odredio sadržaj broma (Br) i antimona (Sn</w:t>
      </w:r>
      <w:r w:rsidRPr="00C86111">
        <w:rPr>
          <w:rFonts w:asciiTheme="minorHAnsi" w:hAnsiTheme="minorHAnsi" w:cstheme="minorHAnsi"/>
          <w:b/>
          <w:bCs/>
          <w:szCs w:val="24"/>
        </w:rPr>
        <w:t>)</w:t>
      </w:r>
      <w:r w:rsidRPr="00C86111">
        <w:rPr>
          <w:rFonts w:asciiTheme="minorHAnsi" w:hAnsiTheme="minorHAnsi" w:cstheme="minorHAnsi"/>
          <w:szCs w:val="24"/>
        </w:rPr>
        <w:t xml:space="preserve"> u otpadnim LCD i CRT ekranima pripremljenim za izvoz.</w:t>
      </w:r>
    </w:p>
    <w:p w14:paraId="24D77281"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Rezultati su potvrdili prisustvo bromovanih komponenti, što ukazuje na prisustvo PBDE u ovim frakcijama otpada, a foto-dokumentacija terenskog rada dodatno potvrđuje metodologiju i utvrđene rezultate.</w:t>
      </w:r>
    </w:p>
    <w:p w14:paraId="7850939B" w14:textId="77777777" w:rsidR="00C23D65" w:rsidRPr="00C86111" w:rsidRDefault="00C23D65" w:rsidP="00C23D65">
      <w:pPr>
        <w:jc w:val="both"/>
        <w:rPr>
          <w:rFonts w:asciiTheme="minorHAnsi" w:hAnsiTheme="minorHAnsi" w:cstheme="minorHAnsi"/>
          <w:color w:val="auto"/>
          <w:szCs w:val="24"/>
        </w:rPr>
      </w:pPr>
    </w:p>
    <w:tbl>
      <w:tblPr>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07"/>
        <w:gridCol w:w="4738"/>
      </w:tblGrid>
      <w:tr w:rsidR="00C23D65" w:rsidRPr="00C86111" w14:paraId="13294912" w14:textId="77777777" w:rsidTr="00C23D65">
        <w:trPr>
          <w:trHeight w:val="3179"/>
        </w:trPr>
        <w:tc>
          <w:tcPr>
            <w:tcW w:w="46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63B8BDB" w14:textId="60B7256F" w:rsidR="00C23D65" w:rsidRPr="00C86111" w:rsidRDefault="00C23D65">
            <w:pPr>
              <w:pStyle w:val="Text"/>
              <w:rPr>
                <w:rFonts w:asciiTheme="minorHAnsi" w:hAnsiTheme="minorHAnsi" w:cstheme="minorHAnsi"/>
              </w:rPr>
            </w:pPr>
            <w:r w:rsidRPr="00C86111">
              <w:rPr>
                <w:rFonts w:asciiTheme="minorHAnsi" w:hAnsiTheme="minorHAnsi" w:cstheme="minorHAnsi"/>
                <w:noProof/>
                <w14:textOutline w14:w="0" w14:cap="rnd" w14:cmpd="sng" w14:algn="ctr">
                  <w14:noFill/>
                  <w14:prstDash w14:val="solid"/>
                  <w14:bevel/>
                </w14:textOutline>
              </w:rPr>
              <w:drawing>
                <wp:inline distT="0" distB="0" distL="0" distR="0" wp14:anchorId="1F37DE88" wp14:editId="1E3E8D15">
                  <wp:extent cx="1981200" cy="2773680"/>
                  <wp:effectExtent l="3810" t="0" r="3810" b="3810"/>
                  <wp:docPr id="14" name="Picture 1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81200" cy="2773680"/>
                          </a:xfrm>
                          <a:prstGeom prst="rect">
                            <a:avLst/>
                          </a:prstGeom>
                          <a:noFill/>
                          <a:ln>
                            <a:noFill/>
                          </a:ln>
                        </pic:spPr>
                      </pic:pic>
                    </a:graphicData>
                  </a:graphic>
                </wp:inline>
              </w:drawing>
            </w:r>
          </w:p>
        </w:tc>
        <w:tc>
          <w:tcPr>
            <w:tcW w:w="47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57135C9" w14:textId="16160051" w:rsidR="00C23D65" w:rsidRPr="00C86111" w:rsidRDefault="00C23D65">
            <w:pPr>
              <w:pStyle w:val="Text"/>
              <w:rPr>
                <w:rFonts w:asciiTheme="minorHAnsi" w:hAnsiTheme="minorHAnsi" w:cstheme="minorHAnsi"/>
              </w:rPr>
            </w:pPr>
            <w:r w:rsidRPr="00C86111">
              <w:rPr>
                <w:rFonts w:asciiTheme="minorHAnsi" w:hAnsiTheme="minorHAnsi" w:cstheme="minorHAnsi"/>
                <w:noProof/>
                <w14:textOutline w14:w="0" w14:cap="rnd" w14:cmpd="sng" w14:algn="ctr">
                  <w14:noFill/>
                  <w14:prstDash w14:val="solid"/>
                  <w14:bevel/>
                </w14:textOutline>
              </w:rPr>
              <w:drawing>
                <wp:inline distT="0" distB="0" distL="0" distR="0" wp14:anchorId="3D60D0E9" wp14:editId="3D844348">
                  <wp:extent cx="1897380" cy="2895600"/>
                  <wp:effectExtent l="0" t="3810" r="3810" b="3810"/>
                  <wp:docPr id="10" name="Picture 10"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97380" cy="2895600"/>
                          </a:xfrm>
                          <a:prstGeom prst="rect">
                            <a:avLst/>
                          </a:prstGeom>
                          <a:noFill/>
                          <a:ln>
                            <a:noFill/>
                          </a:ln>
                        </pic:spPr>
                      </pic:pic>
                    </a:graphicData>
                  </a:graphic>
                </wp:inline>
              </w:drawing>
            </w:r>
          </w:p>
        </w:tc>
      </w:tr>
      <w:tr w:rsidR="00C23D65" w:rsidRPr="00C86111" w14:paraId="6593A9D7" w14:textId="77777777" w:rsidTr="00C23D65">
        <w:trPr>
          <w:trHeight w:val="3468"/>
        </w:trPr>
        <w:tc>
          <w:tcPr>
            <w:tcW w:w="46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1E5047E" w14:textId="35D19E1E" w:rsidR="00C23D65" w:rsidRPr="00C86111" w:rsidRDefault="00C23D65">
            <w:pPr>
              <w:pStyle w:val="Text"/>
              <w:rPr>
                <w:rFonts w:asciiTheme="minorHAnsi" w:hAnsiTheme="minorHAnsi" w:cstheme="minorHAnsi"/>
              </w:rPr>
            </w:pPr>
            <w:r w:rsidRPr="00C86111">
              <w:rPr>
                <w:rFonts w:asciiTheme="minorHAnsi" w:hAnsiTheme="minorHAnsi" w:cstheme="minorHAnsi"/>
                <w:noProof/>
                <w14:textOutline w14:w="0" w14:cap="rnd" w14:cmpd="sng" w14:algn="ctr">
                  <w14:noFill/>
                  <w14:prstDash w14:val="solid"/>
                  <w14:bevel/>
                </w14:textOutline>
              </w:rPr>
              <w:drawing>
                <wp:inline distT="0" distB="0" distL="0" distR="0" wp14:anchorId="463B5BC0" wp14:editId="593733F8">
                  <wp:extent cx="2164080" cy="2819400"/>
                  <wp:effectExtent l="0" t="3810" r="3810" b="3810"/>
                  <wp:docPr id="7"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64080" cy="2819400"/>
                          </a:xfrm>
                          <a:prstGeom prst="rect">
                            <a:avLst/>
                          </a:prstGeom>
                          <a:noFill/>
                          <a:ln>
                            <a:noFill/>
                          </a:ln>
                        </pic:spPr>
                      </pic:pic>
                    </a:graphicData>
                  </a:graphic>
                </wp:inline>
              </w:drawing>
            </w:r>
          </w:p>
        </w:tc>
        <w:tc>
          <w:tcPr>
            <w:tcW w:w="47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9EA1E28" w14:textId="0C2712A4" w:rsidR="00C23D65" w:rsidRPr="00C86111" w:rsidRDefault="00C23D65">
            <w:pPr>
              <w:pStyle w:val="Text"/>
              <w:rPr>
                <w:rFonts w:asciiTheme="minorHAnsi" w:hAnsiTheme="minorHAnsi" w:cstheme="minorHAnsi"/>
              </w:rPr>
            </w:pPr>
            <w:r w:rsidRPr="00C86111">
              <w:rPr>
                <w:rFonts w:asciiTheme="minorHAnsi" w:hAnsiTheme="minorHAnsi" w:cstheme="minorHAnsi"/>
                <w:noProof/>
                <w14:textOutline w14:w="0" w14:cap="rnd" w14:cmpd="sng" w14:algn="ctr">
                  <w14:noFill/>
                  <w14:prstDash w14:val="solid"/>
                  <w14:bevel/>
                </w14:textOutline>
              </w:rPr>
              <w:drawing>
                <wp:inline distT="0" distB="0" distL="0" distR="0" wp14:anchorId="6E3BBE2C" wp14:editId="0691383C">
                  <wp:extent cx="2148840" cy="2773680"/>
                  <wp:effectExtent l="0" t="7620" r="0" b="0"/>
                  <wp:docPr id="6" name="Picture 6"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48840" cy="2773680"/>
                          </a:xfrm>
                          <a:prstGeom prst="rect">
                            <a:avLst/>
                          </a:prstGeom>
                          <a:noFill/>
                          <a:ln>
                            <a:noFill/>
                          </a:ln>
                        </pic:spPr>
                      </pic:pic>
                    </a:graphicData>
                  </a:graphic>
                </wp:inline>
              </w:drawing>
            </w:r>
          </w:p>
        </w:tc>
      </w:tr>
      <w:tr w:rsidR="00C23D65" w:rsidRPr="00C86111" w14:paraId="06E4D26D" w14:textId="77777777" w:rsidTr="00C23D65">
        <w:trPr>
          <w:trHeight w:val="369"/>
        </w:trPr>
        <w:tc>
          <w:tcPr>
            <w:tcW w:w="93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CE7779E" w14:textId="77777777" w:rsidR="00C23D65" w:rsidRPr="00C86111" w:rsidRDefault="00C23D65" w:rsidP="00C23D65">
            <w:pPr>
              <w:pStyle w:val="Text"/>
              <w:spacing w:after="0"/>
              <w:rPr>
                <w:rFonts w:asciiTheme="minorHAnsi" w:hAnsiTheme="minorHAnsi" w:cstheme="minorHAnsi"/>
              </w:rPr>
            </w:pPr>
            <w:r w:rsidRPr="00C86111">
              <w:rPr>
                <w:rFonts w:asciiTheme="minorHAnsi" w:hAnsiTheme="minorHAnsi" w:cstheme="minorHAnsi"/>
                <w:b/>
                <w:bCs/>
              </w:rPr>
              <w:t>Photo documentation</w:t>
            </w:r>
            <w:r w:rsidRPr="00C86111">
              <w:rPr>
                <w:rFonts w:asciiTheme="minorHAnsi" w:hAnsiTheme="minorHAnsi" w:cstheme="minorHAnsi"/>
              </w:rPr>
              <w:t xml:space="preserve"> </w:t>
            </w:r>
            <w:r w:rsidRPr="00C86111">
              <w:rPr>
                <w:rFonts w:asciiTheme="minorHAnsi" w:hAnsiTheme="minorHAnsi" w:cstheme="minorHAnsi" w:hint="cs"/>
                <w:rtl/>
                <w:lang w:val="ar-SA"/>
              </w:rPr>
              <w:t>“</w:t>
            </w:r>
            <w:r w:rsidRPr="00C86111">
              <w:rPr>
                <w:rFonts w:asciiTheme="minorHAnsi" w:hAnsiTheme="minorHAnsi" w:cstheme="minorHAnsi"/>
                <w:lang w:val="es-ES_tradnl"/>
              </w:rPr>
              <w:t>Hemosan</w:t>
            </w:r>
            <w:r w:rsidRPr="00C86111">
              <w:rPr>
                <w:rFonts w:asciiTheme="minorHAnsi" w:hAnsiTheme="minorHAnsi" w:cstheme="minorHAnsi"/>
              </w:rPr>
              <w:t>” – Bar 27.09.2024, CETI tim na terenu/rezultati mjerenja</w:t>
            </w:r>
          </w:p>
        </w:tc>
      </w:tr>
    </w:tbl>
    <w:p w14:paraId="136953FA" w14:textId="77777777" w:rsidR="00C23D65" w:rsidRPr="00C86111" w:rsidRDefault="00C23D65" w:rsidP="00C23D65">
      <w:pPr>
        <w:jc w:val="both"/>
        <w:rPr>
          <w:rFonts w:asciiTheme="minorHAnsi" w:hAnsiTheme="minorHAnsi" w:cstheme="minorHAnsi"/>
          <w:color w:val="auto"/>
          <w:szCs w:val="24"/>
        </w:rPr>
      </w:pPr>
    </w:p>
    <w:p w14:paraId="4AC75006" w14:textId="77777777" w:rsidR="00C23D65" w:rsidRPr="00C86111" w:rsidRDefault="00C23D65" w:rsidP="00C23D65">
      <w:pPr>
        <w:jc w:val="both"/>
        <w:rPr>
          <w:rFonts w:asciiTheme="minorHAnsi" w:hAnsiTheme="minorHAnsi" w:cstheme="minorHAnsi"/>
          <w:color w:val="auto"/>
          <w:szCs w:val="24"/>
        </w:rPr>
      </w:pPr>
    </w:p>
    <w:p w14:paraId="02D5D37C" w14:textId="77777777" w:rsidR="00F603AA" w:rsidRDefault="00F603AA" w:rsidP="00C23D65">
      <w:pPr>
        <w:jc w:val="both"/>
        <w:rPr>
          <w:rFonts w:asciiTheme="minorHAnsi" w:hAnsiTheme="minorHAnsi" w:cstheme="minorHAnsi"/>
          <w:color w:val="auto"/>
          <w:szCs w:val="24"/>
        </w:rPr>
      </w:pPr>
    </w:p>
    <w:p w14:paraId="7FDE6DA9" w14:textId="77777777" w:rsidR="00E2027B" w:rsidRDefault="00E2027B" w:rsidP="00C23D65">
      <w:pPr>
        <w:jc w:val="both"/>
        <w:rPr>
          <w:rFonts w:asciiTheme="minorHAnsi" w:hAnsiTheme="minorHAnsi" w:cstheme="minorHAnsi"/>
          <w:color w:val="auto"/>
          <w:szCs w:val="24"/>
        </w:rPr>
      </w:pPr>
    </w:p>
    <w:p w14:paraId="71A426DC" w14:textId="77777777" w:rsidR="00E2027B" w:rsidRPr="00C86111" w:rsidRDefault="00E2027B" w:rsidP="00C23D65">
      <w:pPr>
        <w:jc w:val="both"/>
        <w:rPr>
          <w:rFonts w:asciiTheme="minorHAnsi" w:hAnsiTheme="minorHAnsi" w:cstheme="minorHAnsi"/>
          <w:color w:val="auto"/>
          <w:szCs w:val="24"/>
        </w:rPr>
      </w:pPr>
    </w:p>
    <w:p w14:paraId="200B2002" w14:textId="77777777" w:rsidR="00F603AA" w:rsidRPr="00C86111" w:rsidRDefault="00F603AA" w:rsidP="00C23D65">
      <w:pPr>
        <w:jc w:val="both"/>
        <w:rPr>
          <w:rFonts w:asciiTheme="minorHAnsi" w:hAnsiTheme="minorHAnsi" w:cstheme="minorHAnsi"/>
          <w:color w:val="auto"/>
          <w:szCs w:val="24"/>
        </w:rPr>
      </w:pPr>
    </w:p>
    <w:p w14:paraId="1F3A7942" w14:textId="77777777" w:rsidR="00F603AA" w:rsidRPr="00C86111" w:rsidRDefault="00F603AA" w:rsidP="00C23D65">
      <w:pPr>
        <w:jc w:val="both"/>
        <w:rPr>
          <w:rFonts w:asciiTheme="minorHAnsi" w:hAnsiTheme="minorHAnsi" w:cstheme="minorHAnsi"/>
          <w:color w:val="auto"/>
          <w:szCs w:val="24"/>
        </w:rPr>
      </w:pPr>
    </w:p>
    <w:p w14:paraId="47C983F9" w14:textId="77777777" w:rsidR="00F603AA" w:rsidRPr="00C86111" w:rsidRDefault="00F603AA" w:rsidP="00C23D65">
      <w:pPr>
        <w:jc w:val="both"/>
        <w:rPr>
          <w:rFonts w:asciiTheme="minorHAnsi" w:hAnsiTheme="minorHAnsi" w:cstheme="minorHAnsi"/>
          <w:color w:val="auto"/>
          <w:szCs w:val="24"/>
        </w:rPr>
      </w:pPr>
    </w:p>
    <w:p w14:paraId="5B55C47A" w14:textId="77777777" w:rsidR="00C23D65" w:rsidRPr="00C86111" w:rsidRDefault="00C23D65" w:rsidP="00004F34">
      <w:pPr>
        <w:pStyle w:val="Heading1"/>
        <w:numPr>
          <w:ilvl w:val="1"/>
          <w:numId w:val="238"/>
        </w:numPr>
      </w:pPr>
      <w:bookmarkStart w:id="101" w:name="_Toc220541902"/>
      <w:r w:rsidRPr="00C86111">
        <w:lastRenderedPageBreak/>
        <w:t>TRANSPORTNI SEKTOR</w:t>
      </w:r>
      <w:bookmarkEnd w:id="101"/>
    </w:p>
    <w:p w14:paraId="579E4E48" w14:textId="77777777" w:rsidR="00F603AA" w:rsidRPr="00C86111" w:rsidRDefault="00F603AA" w:rsidP="00F603AA"/>
    <w:p w14:paraId="045F7569" w14:textId="77777777" w:rsidR="00C23D65" w:rsidRPr="00C86111" w:rsidRDefault="00C23D65" w:rsidP="00C23D65">
      <w:pPr>
        <w:jc w:val="both"/>
        <w:rPr>
          <w:rFonts w:asciiTheme="minorHAnsi" w:hAnsiTheme="minorHAnsi" w:cstheme="minorHAnsi"/>
          <w:szCs w:val="24"/>
        </w:rPr>
      </w:pPr>
      <w:r w:rsidRPr="00C86111">
        <w:rPr>
          <w:rFonts w:asciiTheme="minorHAnsi" w:hAnsiTheme="minorHAnsi" w:cstheme="minorHAnsi"/>
          <w:szCs w:val="24"/>
        </w:rPr>
        <w:t>Transportni sektor, koji obuhvata automobile, autobuse, kamione, vozove, avione i brodove, predstavlja jedan od najvećih materijalnih tokova i postaje značajan izvor otpada na kraju životnog vijeka vozila. Pravilno upravljanje vozilima i njihovim komponentama ključno je za oporavak materijala, cirkularnu ekonomiju i kontrolu zagađenja, uključujući PBDE.</w:t>
      </w:r>
    </w:p>
    <w:p w14:paraId="5D27DEA3" w14:textId="77777777" w:rsidR="00C23D65" w:rsidRPr="00C86111" w:rsidRDefault="00C23D65" w:rsidP="00EA6904">
      <w:pPr>
        <w:pStyle w:val="Heading3"/>
      </w:pPr>
      <w:bookmarkStart w:id="102" w:name="_Toc220541903"/>
      <w:r w:rsidRPr="00C86111">
        <w:t>Upotreba PBDE u vozilima:</w:t>
      </w:r>
      <w:bookmarkEnd w:id="102"/>
    </w:p>
    <w:p w14:paraId="1F03F5AE" w14:textId="77777777" w:rsidR="00F603AA" w:rsidRPr="00C86111" w:rsidRDefault="00F603AA" w:rsidP="00F603AA"/>
    <w:p w14:paraId="5D94F478" w14:textId="77777777" w:rsidR="00C23D65" w:rsidRPr="00C86111" w:rsidRDefault="00C23D65" w:rsidP="00004F34">
      <w:pPr>
        <w:numPr>
          <w:ilvl w:val="0"/>
          <w:numId w:val="195"/>
        </w:numPr>
        <w:jc w:val="both"/>
        <w:rPr>
          <w:rFonts w:asciiTheme="minorHAnsi" w:hAnsiTheme="minorHAnsi" w:cstheme="minorHAnsi"/>
          <w:color w:val="auto"/>
          <w:szCs w:val="24"/>
        </w:rPr>
      </w:pPr>
      <w:r w:rsidRPr="00C86111">
        <w:rPr>
          <w:rFonts w:asciiTheme="minorHAnsi" w:hAnsiTheme="minorHAnsi" w:cstheme="minorHAnsi"/>
          <w:color w:val="auto"/>
          <w:szCs w:val="24"/>
        </w:rPr>
        <w:t>DecaBDE se široko koristio u različitim komponentama vozila, uključujući plastiku, poliuretanske pjene, tekstil i električne instalacije;</w:t>
      </w:r>
    </w:p>
    <w:p w14:paraId="367396F5" w14:textId="77777777" w:rsidR="00C23D65" w:rsidRPr="00C86111" w:rsidRDefault="00C23D65" w:rsidP="00004F34">
      <w:pPr>
        <w:numPr>
          <w:ilvl w:val="0"/>
          <w:numId w:val="195"/>
        </w:numPr>
        <w:jc w:val="both"/>
        <w:rPr>
          <w:rFonts w:asciiTheme="minorHAnsi" w:hAnsiTheme="minorHAnsi" w:cstheme="minorHAnsi"/>
          <w:color w:val="auto"/>
          <w:szCs w:val="24"/>
        </w:rPr>
      </w:pPr>
      <w:r w:rsidRPr="00C86111">
        <w:rPr>
          <w:rFonts w:asciiTheme="minorHAnsi" w:hAnsiTheme="minorHAnsi" w:cstheme="minorHAnsi"/>
          <w:color w:val="auto"/>
          <w:szCs w:val="24"/>
        </w:rPr>
        <w:t>Starija vozila (prije 2000.) sadrže znatno veće količine PBDE u materijalima koji ulaze u otpad (ASR), dok novija vozila sadrže znatno manje;</w:t>
      </w:r>
    </w:p>
    <w:p w14:paraId="0B72F60C" w14:textId="77777777" w:rsidR="00C23D65" w:rsidRPr="00C86111" w:rsidRDefault="00C23D65" w:rsidP="00004F34">
      <w:pPr>
        <w:numPr>
          <w:ilvl w:val="0"/>
          <w:numId w:val="195"/>
        </w:numPr>
        <w:jc w:val="both"/>
        <w:rPr>
          <w:rFonts w:asciiTheme="minorHAnsi" w:hAnsiTheme="minorHAnsi" w:cstheme="minorHAnsi"/>
          <w:color w:val="auto"/>
          <w:szCs w:val="24"/>
        </w:rPr>
      </w:pPr>
      <w:r w:rsidRPr="00C86111">
        <w:rPr>
          <w:rFonts w:asciiTheme="minorHAnsi" w:hAnsiTheme="minorHAnsi" w:cstheme="minorHAnsi"/>
          <w:color w:val="auto"/>
          <w:szCs w:val="24"/>
        </w:rPr>
        <w:t>Tokom 1975–2004. tetra- do heptaBDE su se proizvodile i koristile u vozilima, dok je decaBDE imao duži rok proizvodnje i izuzeća za rezervne dijelove.</w:t>
      </w:r>
    </w:p>
    <w:p w14:paraId="5455D0F2"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Polimeri i ASR čine značajan dio mase vozila: plastika i sintetički materijali oko 15% ukupne mase prosječnog automobila, dok ASR (ostatak nakon drobljenja) čini 20–21%, uključujući staklo, keramiku i metalne frakcije.</w:t>
      </w:r>
    </w:p>
    <w:p w14:paraId="0B6192B5" w14:textId="3D039DFA"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Vozila su jedan od glavnih izvora PBDE u transportnom sektoru. Stari automobili i ASR predstavljaju najveći rizik, što naglašava potrebu za pravilnim upravljanjem na kraju životnog vijeka vozila i sigurnim tretmanom otpadnih materijala.</w:t>
      </w:r>
    </w:p>
    <w:p w14:paraId="3945DDFB" w14:textId="77777777" w:rsidR="00C23D65" w:rsidRPr="00C86111" w:rsidRDefault="00C23D65" w:rsidP="00004F34">
      <w:pPr>
        <w:pStyle w:val="Heading1"/>
        <w:numPr>
          <w:ilvl w:val="1"/>
          <w:numId w:val="238"/>
        </w:numPr>
        <w:rPr>
          <w:bCs/>
        </w:rPr>
      </w:pPr>
      <w:bookmarkStart w:id="103" w:name="_Toc220541904"/>
      <w:r w:rsidRPr="00C86111">
        <w:t>PROCES INVENTARIZACIJE TRANSPORTNOG SEKTORA U CRNOJ GORI</w:t>
      </w:r>
      <w:bookmarkEnd w:id="103"/>
    </w:p>
    <w:p w14:paraId="4861B0D0" w14:textId="77777777" w:rsidR="00C23D65" w:rsidRPr="00C86111" w:rsidRDefault="00C23D65" w:rsidP="00C23D65">
      <w:pPr>
        <w:jc w:val="both"/>
        <w:rPr>
          <w:rFonts w:asciiTheme="minorHAnsi" w:hAnsiTheme="minorHAnsi" w:cstheme="minorHAnsi"/>
          <w:color w:val="auto"/>
          <w:szCs w:val="24"/>
        </w:rPr>
      </w:pPr>
    </w:p>
    <w:p w14:paraId="66C8F21A" w14:textId="61C23AFC"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Inventarizacija PBDE u transportnom sektoru fokusirana je na vozila na kraju životnog vijeka</w:t>
      </w:r>
      <w:r w:rsidRPr="00C86111">
        <w:rPr>
          <w:rFonts w:asciiTheme="minorHAnsi" w:hAnsiTheme="minorHAnsi" w:cstheme="minorHAnsi"/>
          <w:b/>
          <w:bCs/>
          <w:color w:val="auto"/>
          <w:szCs w:val="24"/>
        </w:rPr>
        <w:t xml:space="preserve"> (ELV)</w:t>
      </w:r>
      <w:r w:rsidRPr="00C86111">
        <w:rPr>
          <w:rFonts w:asciiTheme="minorHAnsi" w:hAnsiTheme="minorHAnsi" w:cstheme="minorHAnsi"/>
          <w:color w:val="auto"/>
          <w:szCs w:val="24"/>
        </w:rPr>
        <w:t>, s ciljem procjene količine bromovanih usporivača gorenja u zemlji i identifikacije potencijalnih tokova kontaminacije. Proces je organizovan u nekoliko koraka koji omogućavaju sistematično prikupljanje i analizu podataka, u skladu sa međunarodnim smjernicama i lokalnim karakteristikama</w:t>
      </w:r>
      <w:r w:rsidR="00F603AA" w:rsidRPr="00C86111">
        <w:rPr>
          <w:rFonts w:asciiTheme="minorHAnsi" w:hAnsiTheme="minorHAnsi" w:cstheme="minorHAnsi"/>
          <w:color w:val="auto"/>
          <w:szCs w:val="24"/>
        </w:rPr>
        <w:t>:</w:t>
      </w:r>
    </w:p>
    <w:p w14:paraId="0D89128F" w14:textId="77777777"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b/>
          <w:bCs/>
          <w:color w:val="002060"/>
          <w:szCs w:val="24"/>
        </w:rPr>
        <w:t>Korak 1: Planiranje inventarizacije</w:t>
      </w:r>
    </w:p>
    <w:p w14:paraId="5E99B5B0"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Planiranje inventara obuhvata:</w:t>
      </w:r>
    </w:p>
    <w:p w14:paraId="49DC148D" w14:textId="77777777" w:rsidR="00C23D65" w:rsidRPr="00C86111" w:rsidRDefault="00C23D65" w:rsidP="00004F34">
      <w:pPr>
        <w:numPr>
          <w:ilvl w:val="0"/>
          <w:numId w:val="196"/>
        </w:numPr>
        <w:jc w:val="both"/>
        <w:rPr>
          <w:rFonts w:asciiTheme="minorHAnsi" w:hAnsiTheme="minorHAnsi" w:cstheme="minorHAnsi"/>
          <w:color w:val="auto"/>
          <w:szCs w:val="24"/>
        </w:rPr>
      </w:pPr>
      <w:r w:rsidRPr="00C86111">
        <w:rPr>
          <w:rFonts w:asciiTheme="minorHAnsi" w:hAnsiTheme="minorHAnsi" w:cstheme="minorHAnsi"/>
          <w:color w:val="auto"/>
          <w:szCs w:val="24"/>
        </w:rPr>
        <w:t>Definisanje opsega inventara i identifikaciju ključnih aktera;</w:t>
      </w:r>
    </w:p>
    <w:p w14:paraId="1B0D497B" w14:textId="77777777" w:rsidR="00C23D65" w:rsidRPr="00C86111" w:rsidRDefault="00C23D65" w:rsidP="00004F34">
      <w:pPr>
        <w:numPr>
          <w:ilvl w:val="0"/>
          <w:numId w:val="196"/>
        </w:numPr>
        <w:jc w:val="both"/>
        <w:rPr>
          <w:rFonts w:asciiTheme="minorHAnsi" w:hAnsiTheme="minorHAnsi" w:cstheme="minorHAnsi"/>
          <w:color w:val="auto"/>
          <w:szCs w:val="24"/>
        </w:rPr>
      </w:pPr>
      <w:r w:rsidRPr="00C86111">
        <w:rPr>
          <w:rFonts w:asciiTheme="minorHAnsi" w:hAnsiTheme="minorHAnsi" w:cstheme="minorHAnsi"/>
          <w:color w:val="auto"/>
          <w:szCs w:val="24"/>
        </w:rPr>
        <w:t>Razvoj radnog plana za prikupljanje podataka i određivanje prioritetnih vozila i komponenti.</w:t>
      </w:r>
    </w:p>
    <w:p w14:paraId="67C8A882" w14:textId="77777777" w:rsidR="00C23D65" w:rsidRPr="00C86111" w:rsidRDefault="00C23D65" w:rsidP="00C23D65">
      <w:pPr>
        <w:jc w:val="both"/>
        <w:rPr>
          <w:rFonts w:asciiTheme="minorHAnsi" w:hAnsiTheme="minorHAnsi" w:cstheme="minorHAnsi"/>
          <w:color w:val="4472C4" w:themeColor="accent1"/>
          <w:szCs w:val="24"/>
        </w:rPr>
      </w:pPr>
      <w:r w:rsidRPr="00C86111">
        <w:rPr>
          <w:rFonts w:asciiTheme="minorHAnsi" w:hAnsiTheme="minorHAnsi" w:cstheme="minorHAnsi"/>
          <w:color w:val="auto"/>
          <w:szCs w:val="24"/>
        </w:rPr>
        <w:t>Ključni akteri u Crnoj Gori uključuju</w:t>
      </w:r>
      <w:r w:rsidRPr="00C86111">
        <w:rPr>
          <w:rFonts w:asciiTheme="minorHAnsi" w:hAnsiTheme="minorHAnsi" w:cstheme="minorHAnsi"/>
          <w:color w:val="4472C4" w:themeColor="accent1"/>
          <w:szCs w:val="24"/>
        </w:rPr>
        <w:t>:</w:t>
      </w:r>
    </w:p>
    <w:p w14:paraId="17F55F3E" w14:textId="77777777" w:rsidR="00C23D65" w:rsidRPr="00C86111" w:rsidRDefault="00C23D65" w:rsidP="00004F34">
      <w:pPr>
        <w:numPr>
          <w:ilvl w:val="0"/>
          <w:numId w:val="197"/>
        </w:numPr>
        <w:jc w:val="both"/>
        <w:rPr>
          <w:rFonts w:asciiTheme="minorHAnsi" w:hAnsiTheme="minorHAnsi" w:cstheme="minorHAnsi"/>
          <w:color w:val="auto"/>
          <w:szCs w:val="24"/>
        </w:rPr>
      </w:pPr>
      <w:r w:rsidRPr="00C86111">
        <w:rPr>
          <w:rFonts w:asciiTheme="minorHAnsi" w:hAnsiTheme="minorHAnsi" w:cstheme="minorHAnsi"/>
          <w:color w:val="auto"/>
          <w:szCs w:val="24"/>
        </w:rPr>
        <w:t>Ministarstvo ekologije, održivog razvoja i  razvoja sjevera</w:t>
      </w:r>
    </w:p>
    <w:p w14:paraId="3B538319" w14:textId="77777777" w:rsidR="00C23D65" w:rsidRPr="00C86111" w:rsidRDefault="00C23D65" w:rsidP="00004F34">
      <w:pPr>
        <w:numPr>
          <w:ilvl w:val="0"/>
          <w:numId w:val="197"/>
        </w:numPr>
        <w:jc w:val="both"/>
        <w:rPr>
          <w:rFonts w:asciiTheme="minorHAnsi" w:hAnsiTheme="minorHAnsi" w:cstheme="minorHAnsi"/>
          <w:color w:val="auto"/>
          <w:szCs w:val="24"/>
        </w:rPr>
      </w:pPr>
      <w:r w:rsidRPr="00C86111">
        <w:rPr>
          <w:rFonts w:asciiTheme="minorHAnsi" w:hAnsiTheme="minorHAnsi" w:cstheme="minorHAnsi"/>
          <w:color w:val="auto"/>
          <w:szCs w:val="24"/>
        </w:rPr>
        <w:t>Ministarstvo unutrašnjih poslova</w:t>
      </w:r>
    </w:p>
    <w:p w14:paraId="0DD92B0E" w14:textId="77777777" w:rsidR="00C23D65" w:rsidRPr="00C86111" w:rsidRDefault="00C23D65" w:rsidP="00004F34">
      <w:pPr>
        <w:numPr>
          <w:ilvl w:val="0"/>
          <w:numId w:val="197"/>
        </w:numPr>
        <w:jc w:val="both"/>
        <w:rPr>
          <w:rFonts w:asciiTheme="minorHAnsi" w:hAnsiTheme="minorHAnsi" w:cstheme="minorHAnsi"/>
          <w:color w:val="auto"/>
          <w:szCs w:val="24"/>
        </w:rPr>
      </w:pPr>
      <w:r w:rsidRPr="00C86111">
        <w:rPr>
          <w:rFonts w:asciiTheme="minorHAnsi" w:hAnsiTheme="minorHAnsi" w:cstheme="minorHAnsi"/>
          <w:color w:val="auto"/>
          <w:szCs w:val="24"/>
        </w:rPr>
        <w:t>Agencija za zaštitu životne sredine</w:t>
      </w:r>
    </w:p>
    <w:p w14:paraId="5F556AD0" w14:textId="77777777" w:rsidR="00C23D65" w:rsidRPr="00C86111" w:rsidRDefault="00C23D65" w:rsidP="00004F34">
      <w:pPr>
        <w:numPr>
          <w:ilvl w:val="0"/>
          <w:numId w:val="197"/>
        </w:numPr>
        <w:jc w:val="both"/>
        <w:rPr>
          <w:rFonts w:asciiTheme="minorHAnsi" w:hAnsiTheme="minorHAnsi" w:cstheme="minorHAnsi"/>
          <w:color w:val="auto"/>
          <w:szCs w:val="24"/>
        </w:rPr>
      </w:pPr>
      <w:r w:rsidRPr="00C86111">
        <w:rPr>
          <w:rFonts w:asciiTheme="minorHAnsi" w:hAnsiTheme="minorHAnsi" w:cstheme="minorHAnsi"/>
          <w:color w:val="auto"/>
          <w:szCs w:val="24"/>
        </w:rPr>
        <w:t>Ministarstvo ekonomije</w:t>
      </w:r>
    </w:p>
    <w:p w14:paraId="6AEF8646" w14:textId="77777777" w:rsidR="00C23D65" w:rsidRPr="00C86111" w:rsidRDefault="00C23D65" w:rsidP="00004F34">
      <w:pPr>
        <w:numPr>
          <w:ilvl w:val="0"/>
          <w:numId w:val="197"/>
        </w:numPr>
        <w:jc w:val="both"/>
        <w:rPr>
          <w:rFonts w:asciiTheme="minorHAnsi" w:hAnsiTheme="minorHAnsi" w:cstheme="minorHAnsi"/>
          <w:color w:val="auto"/>
          <w:szCs w:val="24"/>
        </w:rPr>
      </w:pPr>
      <w:r w:rsidRPr="00C86111">
        <w:rPr>
          <w:rFonts w:asciiTheme="minorHAnsi" w:hAnsiTheme="minorHAnsi" w:cstheme="minorHAnsi"/>
          <w:color w:val="auto"/>
          <w:szCs w:val="24"/>
        </w:rPr>
        <w:t>Fakultet za mašinstvo, Univerzitet Crne Gore</w:t>
      </w:r>
    </w:p>
    <w:p w14:paraId="01FF2E09" w14:textId="77777777" w:rsidR="00C23D65" w:rsidRPr="00C86111" w:rsidRDefault="00C23D65" w:rsidP="00004F34">
      <w:pPr>
        <w:numPr>
          <w:ilvl w:val="0"/>
          <w:numId w:val="197"/>
        </w:numPr>
        <w:jc w:val="both"/>
        <w:rPr>
          <w:rFonts w:asciiTheme="minorHAnsi" w:hAnsiTheme="minorHAnsi" w:cstheme="minorHAnsi"/>
          <w:color w:val="auto"/>
          <w:szCs w:val="24"/>
        </w:rPr>
      </w:pPr>
      <w:r w:rsidRPr="00C86111">
        <w:rPr>
          <w:rFonts w:asciiTheme="minorHAnsi" w:hAnsiTheme="minorHAnsi" w:cstheme="minorHAnsi"/>
          <w:color w:val="auto"/>
          <w:szCs w:val="24"/>
        </w:rPr>
        <w:t>Prerađivači otpada</w:t>
      </w:r>
    </w:p>
    <w:p w14:paraId="3595B376"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lastRenderedPageBreak/>
        <w:t>Napomena:</w:t>
      </w:r>
      <w:r w:rsidRPr="00C86111">
        <w:rPr>
          <w:rFonts w:asciiTheme="minorHAnsi" w:hAnsiTheme="minorHAnsi" w:cstheme="minorHAnsi"/>
          <w:color w:val="auto"/>
          <w:szCs w:val="24"/>
        </w:rPr>
        <w:t xml:space="preserve"> Nova vozila proizvedena od 2017. godine smatraju se slobodnim od decaBDE.</w:t>
      </w:r>
    </w:p>
    <w:p w14:paraId="4B128571" w14:textId="77777777"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b/>
          <w:bCs/>
          <w:color w:val="002060"/>
          <w:szCs w:val="24"/>
        </w:rPr>
        <w:t>Korak 2: Odabir metodologije prikupljanja podataka</w:t>
      </w:r>
    </w:p>
    <w:p w14:paraId="20962D26"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Metodologija je strukturirana u dva nivoa:</w:t>
      </w:r>
    </w:p>
    <w:p w14:paraId="3C4ED044"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Nivo I – Početna procjena:</w:t>
      </w:r>
    </w:p>
    <w:p w14:paraId="369882CA" w14:textId="77777777" w:rsidR="00C23D65" w:rsidRPr="00C86111" w:rsidRDefault="00C23D65" w:rsidP="00004F34">
      <w:pPr>
        <w:numPr>
          <w:ilvl w:val="0"/>
          <w:numId w:val="198"/>
        </w:numPr>
        <w:jc w:val="both"/>
        <w:rPr>
          <w:rFonts w:asciiTheme="minorHAnsi" w:hAnsiTheme="minorHAnsi" w:cstheme="minorHAnsi"/>
          <w:color w:val="auto"/>
          <w:szCs w:val="24"/>
        </w:rPr>
      </w:pPr>
      <w:r w:rsidRPr="00C86111">
        <w:rPr>
          <w:rFonts w:asciiTheme="minorHAnsi" w:hAnsiTheme="minorHAnsi" w:cstheme="minorHAnsi"/>
          <w:color w:val="auto"/>
          <w:szCs w:val="24"/>
        </w:rPr>
        <w:t>Prikupljanje dostupnih podataka iz nacionalnih baza, statistike, uvozničkih i prerađivačkih udruženja te relevantnih ministarstava;</w:t>
      </w:r>
    </w:p>
    <w:p w14:paraId="13DE612B" w14:textId="77777777" w:rsidR="00C23D65" w:rsidRPr="00C86111" w:rsidRDefault="00C23D65" w:rsidP="00004F34">
      <w:pPr>
        <w:numPr>
          <w:ilvl w:val="0"/>
          <w:numId w:val="198"/>
        </w:numPr>
        <w:jc w:val="both"/>
        <w:rPr>
          <w:rFonts w:asciiTheme="minorHAnsi" w:hAnsiTheme="minorHAnsi" w:cstheme="minorHAnsi"/>
          <w:color w:val="auto"/>
          <w:szCs w:val="24"/>
        </w:rPr>
      </w:pPr>
      <w:r w:rsidRPr="00C86111">
        <w:rPr>
          <w:rFonts w:asciiTheme="minorHAnsi" w:hAnsiTheme="minorHAnsi" w:cstheme="minorHAnsi"/>
          <w:color w:val="auto"/>
          <w:szCs w:val="24"/>
        </w:rPr>
        <w:t>Ključni podaci uključuju: broj registrovanih vozila, uvoz/izvoz, starosna struktura flote, procjena rezervnih dijelova i broj vozila na kraju životnog vijeka.</w:t>
      </w:r>
    </w:p>
    <w:p w14:paraId="554263AB"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Nivo II – Osnovni inventar:</w:t>
      </w:r>
    </w:p>
    <w:p w14:paraId="6EF68809"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Detaljna lokalna procjena PBDE u vozilima obuhvata:</w:t>
      </w:r>
    </w:p>
    <w:p w14:paraId="02CDB736" w14:textId="77777777" w:rsidR="00C23D65" w:rsidRPr="00C86111" w:rsidRDefault="00C23D65" w:rsidP="00004F34">
      <w:pPr>
        <w:pStyle w:val="ListParagraph"/>
        <w:numPr>
          <w:ilvl w:val="1"/>
          <w:numId w:val="199"/>
        </w:numPr>
        <w:tabs>
          <w:tab w:val="left" w:pos="360"/>
        </w:tabs>
        <w:ind w:left="720"/>
        <w:jc w:val="both"/>
        <w:rPr>
          <w:rFonts w:asciiTheme="minorHAnsi" w:hAnsiTheme="minorHAnsi" w:cstheme="minorHAnsi"/>
          <w:color w:val="auto"/>
          <w:szCs w:val="24"/>
        </w:rPr>
      </w:pPr>
      <w:r w:rsidRPr="00C86111">
        <w:rPr>
          <w:rFonts w:asciiTheme="minorHAnsi" w:hAnsiTheme="minorHAnsi" w:cstheme="minorHAnsi"/>
          <w:color w:val="auto"/>
          <w:szCs w:val="24"/>
        </w:rPr>
        <w:t>Broj i starost vozila, raspodjela po regijama;</w:t>
      </w:r>
    </w:p>
    <w:p w14:paraId="28FA4280" w14:textId="77777777" w:rsidR="00C23D65" w:rsidRPr="00C86111" w:rsidRDefault="00C23D65" w:rsidP="00004F34">
      <w:pPr>
        <w:pStyle w:val="ListParagraph"/>
        <w:numPr>
          <w:ilvl w:val="1"/>
          <w:numId w:val="199"/>
        </w:numPr>
        <w:tabs>
          <w:tab w:val="left" w:pos="360"/>
        </w:tabs>
        <w:ind w:left="720"/>
        <w:jc w:val="both"/>
        <w:rPr>
          <w:rFonts w:asciiTheme="minorHAnsi" w:hAnsiTheme="minorHAnsi" w:cstheme="minorHAnsi"/>
          <w:color w:val="auto"/>
          <w:szCs w:val="24"/>
        </w:rPr>
      </w:pPr>
      <w:r w:rsidRPr="00C86111">
        <w:rPr>
          <w:rFonts w:asciiTheme="minorHAnsi" w:hAnsiTheme="minorHAnsi" w:cstheme="minorHAnsi"/>
          <w:color w:val="auto"/>
          <w:szCs w:val="24"/>
        </w:rPr>
        <w:t>Procijenjeni sadržaj PBDE i udio plastike/polimera;</w:t>
      </w:r>
    </w:p>
    <w:p w14:paraId="23D5DE9A" w14:textId="77777777" w:rsidR="00C23D65" w:rsidRPr="00C86111" w:rsidRDefault="00C23D65" w:rsidP="00004F34">
      <w:pPr>
        <w:pStyle w:val="ListParagraph"/>
        <w:numPr>
          <w:ilvl w:val="1"/>
          <w:numId w:val="199"/>
        </w:numPr>
        <w:tabs>
          <w:tab w:val="left" w:pos="360"/>
        </w:tabs>
        <w:ind w:left="720"/>
        <w:jc w:val="both"/>
        <w:rPr>
          <w:rFonts w:asciiTheme="minorHAnsi" w:hAnsiTheme="minorHAnsi" w:cstheme="minorHAnsi"/>
          <w:color w:val="auto"/>
          <w:szCs w:val="24"/>
        </w:rPr>
      </w:pPr>
      <w:r w:rsidRPr="00C86111">
        <w:rPr>
          <w:rFonts w:asciiTheme="minorHAnsi" w:hAnsiTheme="minorHAnsi" w:cstheme="minorHAnsi"/>
          <w:color w:val="auto"/>
          <w:szCs w:val="24"/>
        </w:rPr>
        <w:t>Upravljanje plastikom i polimerima iz ELV, uključujući reciklažu i odvajanje frakcija;</w:t>
      </w:r>
    </w:p>
    <w:p w14:paraId="5EC989F8" w14:textId="77777777" w:rsidR="00C23D65" w:rsidRPr="00C86111" w:rsidRDefault="00C23D65" w:rsidP="00004F34">
      <w:pPr>
        <w:pStyle w:val="ListParagraph"/>
        <w:numPr>
          <w:ilvl w:val="1"/>
          <w:numId w:val="199"/>
        </w:numPr>
        <w:tabs>
          <w:tab w:val="left" w:pos="360"/>
        </w:tabs>
        <w:ind w:left="720"/>
        <w:jc w:val="both"/>
        <w:rPr>
          <w:rFonts w:asciiTheme="minorHAnsi" w:hAnsiTheme="minorHAnsi" w:cstheme="minorHAnsi"/>
          <w:color w:val="auto"/>
          <w:szCs w:val="24"/>
        </w:rPr>
      </w:pPr>
      <w:r w:rsidRPr="00C86111">
        <w:rPr>
          <w:rFonts w:asciiTheme="minorHAnsi" w:hAnsiTheme="minorHAnsi" w:cstheme="minorHAnsi"/>
          <w:color w:val="auto"/>
          <w:szCs w:val="24"/>
        </w:rPr>
        <w:t>Upotrebu proizvoda od reciklirane plastike i izvoz Automotive Shredder Residue (ASR).</w:t>
      </w:r>
    </w:p>
    <w:p w14:paraId="74BEC8A1" w14:textId="77777777"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Procjena sadržaja PBDE po vozilu</w:t>
      </w:r>
    </w:p>
    <w:p w14:paraId="5623CB03" w14:textId="523FE7BE"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Na osnovu globalnih studija korišćeni su prosječni sadržaji PBDE po vozilu za različite perioda proizvodnje</w:t>
      </w:r>
      <w:r w:rsidR="00F603AA" w:rsidRPr="00C86111">
        <w:rPr>
          <w:rFonts w:asciiTheme="minorHAnsi" w:hAnsiTheme="minorHAnsi" w:cstheme="minorHAnsi"/>
          <w:color w:val="auto"/>
          <w:szCs w:val="24"/>
        </w:rPr>
        <w:t xml:space="preserve"> (Tabela 50)</w:t>
      </w:r>
      <w:r w:rsidRPr="00C86111">
        <w:rPr>
          <w:rFonts w:asciiTheme="minorHAnsi" w:hAnsiTheme="minorHAnsi" w:cstheme="minorHAnsi"/>
          <w:color w:val="auto"/>
          <w:szCs w:val="24"/>
        </w:rPr>
        <w:t>.</w:t>
      </w:r>
    </w:p>
    <w:p w14:paraId="5DE9B499" w14:textId="77777777" w:rsidR="00C23D65" w:rsidRPr="00C86111" w:rsidRDefault="00C23D65" w:rsidP="00C23D65">
      <w:pPr>
        <w:jc w:val="both"/>
        <w:rPr>
          <w:rFonts w:asciiTheme="minorHAnsi" w:hAnsiTheme="minorHAnsi" w:cstheme="minorHAnsi"/>
          <w:b/>
          <w:bCs/>
          <w:color w:val="auto"/>
          <w:szCs w:val="24"/>
        </w:rPr>
      </w:pPr>
    </w:p>
    <w:p w14:paraId="36301C1D" w14:textId="7A9E61EE"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F603AA" w:rsidRPr="00C86111">
        <w:rPr>
          <w:rFonts w:asciiTheme="minorHAnsi" w:hAnsiTheme="minorHAnsi" w:cstheme="minorHAnsi"/>
          <w:b/>
          <w:bCs/>
          <w:color w:val="auto"/>
          <w:szCs w:val="24"/>
        </w:rPr>
        <w:t>50</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Prosječan sadržaj POP-PBDE po vozilu</w:t>
      </w:r>
    </w:p>
    <w:tbl>
      <w:tblPr>
        <w:tblStyle w:val="GridTable5Dark-Accent6"/>
        <w:tblW w:w="0" w:type="auto"/>
        <w:tblLook w:val="04A0" w:firstRow="1" w:lastRow="0" w:firstColumn="1" w:lastColumn="0" w:noHBand="0" w:noVBand="1"/>
      </w:tblPr>
      <w:tblGrid>
        <w:gridCol w:w="2311"/>
        <w:gridCol w:w="2843"/>
        <w:gridCol w:w="3177"/>
      </w:tblGrid>
      <w:tr w:rsidR="00C23D65" w:rsidRPr="00C86111" w14:paraId="0ED365A8"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hideMark/>
          </w:tcPr>
          <w:p w14:paraId="6EB35F32"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Period proizvodnje vozila</w:t>
            </w:r>
          </w:p>
        </w:tc>
        <w:tc>
          <w:tcPr>
            <w:tcW w:w="0" w:type="auto"/>
            <w:tcBorders>
              <w:bottom w:val="single" w:sz="4" w:space="0" w:color="FFFFFF" w:themeColor="background1"/>
            </w:tcBorders>
            <w:hideMark/>
          </w:tcPr>
          <w:p w14:paraId="7257F91F"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DecaBDE (g po vozilu)</w:t>
            </w:r>
          </w:p>
        </w:tc>
        <w:tc>
          <w:tcPr>
            <w:tcW w:w="0" w:type="auto"/>
            <w:tcBorders>
              <w:bottom w:val="single" w:sz="4" w:space="0" w:color="FFFFFF" w:themeColor="background1"/>
            </w:tcBorders>
            <w:hideMark/>
          </w:tcPr>
          <w:p w14:paraId="33FD131F"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Napomena</w:t>
            </w:r>
          </w:p>
        </w:tc>
      </w:tr>
      <w:tr w:rsidR="00C23D65" w:rsidRPr="00C86111" w14:paraId="617A13B5"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5EEF85E4"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2004 (sve regije)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F06DF2"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B6A8E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Prosjek vozila proizvedenih do 2004.</w:t>
            </w:r>
          </w:p>
        </w:tc>
      </w:tr>
      <w:tr w:rsidR="00C23D65" w:rsidRPr="00C86111" w14:paraId="320087FD"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235301A3"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2004 (SAD)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729FDC"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40 g decaBDE + 40 g c-pentaBDE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6B8600"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Visoka upotreba c-pentaBDE u SAD</w:t>
            </w:r>
          </w:p>
        </w:tc>
      </w:tr>
      <w:tr w:rsidR="00C23D65" w:rsidRPr="00C86111" w14:paraId="450C64F7"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hideMark/>
          </w:tcPr>
          <w:p w14:paraId="596DD484"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2005–2017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7EC376"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1D7B3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Vozila srednje starosti</w:t>
            </w:r>
          </w:p>
        </w:tc>
      </w:tr>
    </w:tbl>
    <w:p w14:paraId="078A20DD" w14:textId="77777777" w:rsidR="00C23D65" w:rsidRPr="00C86111" w:rsidRDefault="00C23D65" w:rsidP="00C23D65">
      <w:pPr>
        <w:jc w:val="both"/>
        <w:rPr>
          <w:rFonts w:asciiTheme="minorHAnsi" w:hAnsiTheme="minorHAnsi" w:cstheme="minorHAnsi"/>
          <w:b/>
          <w:bCs/>
          <w:color w:val="4472C4" w:themeColor="accent1"/>
          <w:szCs w:val="24"/>
        </w:rPr>
      </w:pPr>
    </w:p>
    <w:p w14:paraId="591B7C8D" w14:textId="77777777"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Formula za procjenu ukupnog PBDE u vozilima:</w:t>
      </w:r>
    </w:p>
    <w:p w14:paraId="0E8604E4" w14:textId="77777777" w:rsidR="00C23D65" w:rsidRPr="00C86111" w:rsidRDefault="00C23D65" w:rsidP="00C23D65">
      <w:pPr>
        <w:jc w:val="both"/>
        <w:rPr>
          <w:rFonts w:asciiTheme="minorHAnsi" w:hAnsiTheme="minorHAnsi" w:cstheme="minorHAnsi"/>
          <w:color w:val="4472C4" w:themeColor="accent1"/>
          <w:szCs w:val="24"/>
        </w:rPr>
      </w:pPr>
    </w:p>
    <w:p w14:paraId="4676663C" w14:textId="77777777" w:rsidR="00C23D65" w:rsidRPr="00C86111" w:rsidRDefault="00C23D65" w:rsidP="00C23D65">
      <w:pPr>
        <w:jc w:val="both"/>
        <w:rPr>
          <w:rFonts w:asciiTheme="minorHAnsi" w:hAnsiTheme="minorHAnsi" w:cstheme="minorHAnsi"/>
          <w:b/>
          <w:bCs/>
          <w:color w:val="auto"/>
          <w:szCs w:val="24"/>
        </w:rPr>
      </w:pPr>
      <m:oMathPara>
        <m:oMath>
          <m:r>
            <m:rPr>
              <m:nor/>
            </m:rPr>
            <w:rPr>
              <w:rFonts w:asciiTheme="minorHAnsi" w:hAnsiTheme="minorHAnsi" w:cstheme="minorHAnsi"/>
              <w:b/>
              <w:bCs/>
              <w:color w:val="auto"/>
              <w:szCs w:val="24"/>
            </w:rPr>
            <m:t>PBDE u vozilima</m:t>
          </m:r>
          <m:r>
            <m:rPr>
              <m:sty m:val="bi"/>
            </m:rPr>
            <w:rPr>
              <w:rFonts w:ascii="Cambria Math" w:hAnsi="Cambria Math" w:cstheme="minorHAnsi"/>
              <w:color w:val="auto"/>
              <w:szCs w:val="24"/>
            </w:rPr>
            <m:t>=(</m:t>
          </m:r>
          <m:r>
            <m:rPr>
              <m:nor/>
            </m:rPr>
            <w:rPr>
              <w:rFonts w:asciiTheme="minorHAnsi" w:hAnsiTheme="minorHAnsi" w:cstheme="minorHAnsi"/>
              <w:b/>
              <w:bCs/>
              <w:color w:val="auto"/>
              <w:szCs w:val="24"/>
            </w:rPr>
            <m:t>Vozila 1970–2004</m:t>
          </m:r>
          <m:r>
            <m:rPr>
              <m:sty m:val="bi"/>
            </m:rPr>
            <w:rPr>
              <w:rFonts w:ascii="Cambria Math" w:hAnsi="Cambria Math" w:cstheme="minorHAnsi"/>
              <w:color w:val="auto"/>
              <w:szCs w:val="24"/>
            </w:rPr>
            <m:t>×80</m:t>
          </m:r>
          <m:r>
            <m:rPr>
              <m:nor/>
            </m:rPr>
            <w:rPr>
              <w:rFonts w:asciiTheme="minorHAnsi" w:hAnsiTheme="minorHAnsi" w:cstheme="minorHAnsi"/>
              <w:b/>
              <w:bCs/>
              <w:color w:val="auto"/>
              <w:szCs w:val="24"/>
            </w:rPr>
            <m:t xml:space="preserve"> g</m:t>
          </m:r>
          <m:r>
            <m:rPr>
              <m:sty m:val="bi"/>
            </m:rPr>
            <w:rPr>
              <w:rFonts w:ascii="Cambria Math" w:hAnsi="Cambria Math" w:cstheme="minorHAnsi"/>
              <w:color w:val="auto"/>
              <w:szCs w:val="24"/>
            </w:rPr>
            <m:t>)+(</m:t>
          </m:r>
          <m:r>
            <m:rPr>
              <m:nor/>
            </m:rPr>
            <w:rPr>
              <w:rFonts w:asciiTheme="minorHAnsi" w:hAnsiTheme="minorHAnsi" w:cstheme="minorHAnsi"/>
              <w:b/>
              <w:bCs/>
              <w:color w:val="auto"/>
              <w:szCs w:val="24"/>
            </w:rPr>
            <m:t>Vozila 2005–2017</m:t>
          </m:r>
          <m:r>
            <m:rPr>
              <m:sty m:val="bi"/>
            </m:rPr>
            <w:rPr>
              <w:rFonts w:ascii="Cambria Math" w:hAnsi="Cambria Math" w:cstheme="minorHAnsi"/>
              <w:color w:val="auto"/>
              <w:szCs w:val="24"/>
            </w:rPr>
            <m:t>×20</m:t>
          </m:r>
          <m:r>
            <m:rPr>
              <m:nor/>
            </m:rPr>
            <w:rPr>
              <w:rFonts w:asciiTheme="minorHAnsi" w:hAnsiTheme="minorHAnsi" w:cstheme="minorHAnsi"/>
              <w:b/>
              <w:bCs/>
              <w:color w:val="auto"/>
              <w:szCs w:val="24"/>
            </w:rPr>
            <m:t xml:space="preserve"> g</m:t>
          </m:r>
          <m:r>
            <m:rPr>
              <m:sty m:val="bi"/>
            </m:rPr>
            <w:rPr>
              <w:rFonts w:ascii="Cambria Math" w:hAnsi="Cambria Math" w:cstheme="minorHAnsi"/>
              <w:color w:val="auto"/>
              <w:szCs w:val="24"/>
            </w:rPr>
            <m:t>)</m:t>
          </m:r>
          <m:r>
            <m:rPr>
              <m:sty m:val="p"/>
            </m:rPr>
            <w:rPr>
              <w:rFonts w:ascii="Cambria Math" w:hAnsi="Cambria Math" w:cstheme="minorHAnsi"/>
              <w:color w:val="auto"/>
              <w:szCs w:val="24"/>
            </w:rPr>
            <w:br/>
          </m:r>
        </m:oMath>
      </m:oMathPara>
    </w:p>
    <w:p w14:paraId="06DAC909" w14:textId="4ED057EF"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Za vozila iz SAD proizvedena prije 2005. koristi se posebno: 40 g decaBDE + 40 g c-pentaBDE po vozilu.</w:t>
      </w:r>
    </w:p>
    <w:p w14:paraId="125F1D10" w14:textId="77777777" w:rsidR="00C23D65" w:rsidRPr="00C86111" w:rsidRDefault="00C23D65" w:rsidP="00004F34">
      <w:pPr>
        <w:pStyle w:val="Heading1"/>
        <w:numPr>
          <w:ilvl w:val="1"/>
          <w:numId w:val="238"/>
        </w:numPr>
        <w:rPr>
          <w:bCs/>
        </w:rPr>
      </w:pPr>
      <w:bookmarkStart w:id="104" w:name="_Toc220541905"/>
      <w:r w:rsidRPr="00C86111">
        <w:t>REZULTATI INVENTARA PBDE U TRANSPORTNOM SEKTORU CRNE GORE</w:t>
      </w:r>
      <w:bookmarkEnd w:id="104"/>
    </w:p>
    <w:p w14:paraId="769CF453" w14:textId="77777777" w:rsidR="00C23D65" w:rsidRPr="00C86111" w:rsidRDefault="00C23D65" w:rsidP="00EA6904">
      <w:pPr>
        <w:pStyle w:val="Heading3"/>
      </w:pPr>
      <w:bookmarkStart w:id="105" w:name="_Toc220541906"/>
      <w:r w:rsidRPr="00C86111">
        <w:t>Vozila u upotrebi u Crnoj Gori</w:t>
      </w:r>
      <w:bookmarkEnd w:id="105"/>
    </w:p>
    <w:p w14:paraId="4854AD6D" w14:textId="77777777" w:rsidR="00C23D65" w:rsidRPr="00C86111" w:rsidRDefault="00C23D65" w:rsidP="00EA6904">
      <w:pPr>
        <w:pStyle w:val="Heading4"/>
      </w:pPr>
      <w:r w:rsidRPr="00C86111">
        <w:t>PBDE sadržaj u putničkim automobilima u upotrebi (2017–2023)</w:t>
      </w:r>
    </w:p>
    <w:p w14:paraId="294894FC" w14:textId="54B759D4"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Količina PBDE u putničkim automobilima u upotrebi prikazana je u Tabeli </w:t>
      </w:r>
      <w:r w:rsidR="00F603AA" w:rsidRPr="00C86111">
        <w:rPr>
          <w:rFonts w:asciiTheme="minorHAnsi" w:hAnsiTheme="minorHAnsi" w:cstheme="minorHAnsi"/>
          <w:color w:val="auto"/>
          <w:szCs w:val="24"/>
        </w:rPr>
        <w:t>51</w:t>
      </w:r>
      <w:r w:rsidRPr="00C86111">
        <w:rPr>
          <w:rFonts w:asciiTheme="minorHAnsi" w:hAnsiTheme="minorHAnsi" w:cstheme="minorHAnsi"/>
          <w:color w:val="auto"/>
          <w:szCs w:val="24"/>
        </w:rPr>
        <w:t xml:space="preserve">. Grafički prikaz PBDE sadržaja u putničkim automobilima u upotrebi prikazan je na </w:t>
      </w:r>
      <w:r w:rsidR="00F603AA" w:rsidRPr="00C86111">
        <w:rPr>
          <w:rFonts w:asciiTheme="minorHAnsi" w:hAnsiTheme="minorHAnsi" w:cstheme="minorHAnsi"/>
          <w:color w:val="auto"/>
          <w:szCs w:val="24"/>
        </w:rPr>
        <w:t>Grafiku</w:t>
      </w:r>
      <w:r w:rsidRPr="00C86111">
        <w:rPr>
          <w:rFonts w:asciiTheme="minorHAnsi" w:hAnsiTheme="minorHAnsi" w:cstheme="minorHAnsi"/>
          <w:color w:val="auto"/>
          <w:szCs w:val="24"/>
        </w:rPr>
        <w:t xml:space="preserve"> 8</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 xml:space="preserve">(period 2017-2023) </w:t>
      </w:r>
      <w:r w:rsidR="00F603AA" w:rsidRPr="00C86111">
        <w:rPr>
          <w:rFonts w:asciiTheme="minorHAnsi" w:hAnsiTheme="minorHAnsi" w:cstheme="minorHAnsi"/>
          <w:color w:val="auto"/>
          <w:szCs w:val="24"/>
        </w:rPr>
        <w:t>i</w:t>
      </w:r>
      <w:r w:rsidRPr="00C86111">
        <w:rPr>
          <w:rFonts w:asciiTheme="minorHAnsi" w:hAnsiTheme="minorHAnsi" w:cstheme="minorHAnsi"/>
          <w:b/>
          <w:bCs/>
          <w:color w:val="auto"/>
          <w:szCs w:val="24"/>
        </w:rPr>
        <w:t xml:space="preserve"> </w:t>
      </w:r>
      <w:r w:rsidR="00F603AA" w:rsidRPr="00C86111">
        <w:rPr>
          <w:rFonts w:asciiTheme="minorHAnsi" w:hAnsiTheme="minorHAnsi" w:cstheme="minorHAnsi"/>
          <w:color w:val="auto"/>
          <w:szCs w:val="24"/>
        </w:rPr>
        <w:t xml:space="preserve">Grafiku </w:t>
      </w:r>
      <w:r w:rsidRPr="00C86111">
        <w:rPr>
          <w:rFonts w:asciiTheme="minorHAnsi" w:hAnsiTheme="minorHAnsi" w:cstheme="minorHAnsi"/>
          <w:color w:val="auto"/>
          <w:szCs w:val="24"/>
        </w:rPr>
        <w:t>9</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(period 2006-2023).</w:t>
      </w:r>
    </w:p>
    <w:p w14:paraId="60884CB4" w14:textId="77777777" w:rsidR="00C23D65" w:rsidRPr="00C86111" w:rsidRDefault="00C23D65" w:rsidP="00C23D65">
      <w:pPr>
        <w:jc w:val="both"/>
        <w:rPr>
          <w:rFonts w:asciiTheme="minorHAnsi" w:hAnsiTheme="minorHAnsi" w:cstheme="minorHAnsi"/>
          <w:b/>
          <w:bCs/>
          <w:color w:val="auto"/>
          <w:szCs w:val="24"/>
        </w:rPr>
      </w:pPr>
    </w:p>
    <w:p w14:paraId="64B9E51D" w14:textId="77777777" w:rsidR="00F603AA" w:rsidRPr="00C86111" w:rsidRDefault="00F603AA" w:rsidP="00C23D65">
      <w:pPr>
        <w:jc w:val="both"/>
        <w:rPr>
          <w:rFonts w:asciiTheme="minorHAnsi" w:hAnsiTheme="minorHAnsi" w:cstheme="minorHAnsi"/>
          <w:b/>
          <w:bCs/>
          <w:color w:val="auto"/>
          <w:szCs w:val="24"/>
        </w:rPr>
      </w:pPr>
    </w:p>
    <w:p w14:paraId="2DB50113" w14:textId="77777777" w:rsidR="00F603AA" w:rsidRPr="00C86111" w:rsidRDefault="00F603AA" w:rsidP="00C23D65">
      <w:pPr>
        <w:jc w:val="both"/>
        <w:rPr>
          <w:rFonts w:asciiTheme="minorHAnsi" w:hAnsiTheme="minorHAnsi" w:cstheme="minorHAnsi"/>
          <w:b/>
          <w:bCs/>
          <w:color w:val="auto"/>
          <w:szCs w:val="24"/>
        </w:rPr>
      </w:pPr>
    </w:p>
    <w:p w14:paraId="67F38854" w14:textId="09672968"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lastRenderedPageBreak/>
        <w:t xml:space="preserve">Tabela </w:t>
      </w:r>
      <w:r w:rsidR="00F603AA" w:rsidRPr="00C86111">
        <w:rPr>
          <w:rFonts w:asciiTheme="minorHAnsi" w:hAnsiTheme="minorHAnsi" w:cstheme="minorHAnsi"/>
          <w:b/>
          <w:bCs/>
          <w:color w:val="auto"/>
          <w:szCs w:val="24"/>
        </w:rPr>
        <w:t>51</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PBDE sadržaj u putničkim automobilima u upotrebi (2017–2023)</w:t>
      </w:r>
    </w:p>
    <w:tbl>
      <w:tblPr>
        <w:tblStyle w:val="GridTable5Dark-Accent6"/>
        <w:tblW w:w="0" w:type="auto"/>
        <w:tblLook w:val="04A0" w:firstRow="1" w:lastRow="0" w:firstColumn="1" w:lastColumn="0" w:noHBand="0" w:noVBand="1"/>
      </w:tblPr>
      <w:tblGrid>
        <w:gridCol w:w="814"/>
        <w:gridCol w:w="2847"/>
        <w:gridCol w:w="2847"/>
        <w:gridCol w:w="1494"/>
        <w:gridCol w:w="1348"/>
      </w:tblGrid>
      <w:tr w:rsidR="00C23D65" w:rsidRPr="00C86111" w14:paraId="7AC748BF"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hideMark/>
          </w:tcPr>
          <w:p w14:paraId="04C1F0C9"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Godina</w:t>
            </w:r>
          </w:p>
        </w:tc>
        <w:tc>
          <w:tcPr>
            <w:tcW w:w="0" w:type="auto"/>
            <w:tcBorders>
              <w:bottom w:val="single" w:sz="4" w:space="0" w:color="FFFFFF" w:themeColor="background1"/>
            </w:tcBorders>
            <w:hideMark/>
          </w:tcPr>
          <w:p w14:paraId="1F3F0293"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Broj putničkih automobila (1970–2004)</w:t>
            </w:r>
          </w:p>
        </w:tc>
        <w:tc>
          <w:tcPr>
            <w:tcW w:w="0" w:type="auto"/>
            <w:tcBorders>
              <w:bottom w:val="single" w:sz="4" w:space="0" w:color="FFFFFF" w:themeColor="background1"/>
            </w:tcBorders>
            <w:hideMark/>
          </w:tcPr>
          <w:p w14:paraId="4F5273AE"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Broj putničkih automobila (2005–2017)</w:t>
            </w:r>
          </w:p>
        </w:tc>
        <w:tc>
          <w:tcPr>
            <w:tcW w:w="0" w:type="auto"/>
            <w:tcBorders>
              <w:bottom w:val="single" w:sz="4" w:space="0" w:color="FFFFFF" w:themeColor="background1"/>
            </w:tcBorders>
            <w:hideMark/>
          </w:tcPr>
          <w:p w14:paraId="292CAF7B"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Sadržaj PBDE (kg)</w:t>
            </w:r>
          </w:p>
        </w:tc>
        <w:tc>
          <w:tcPr>
            <w:tcW w:w="0" w:type="auto"/>
            <w:tcBorders>
              <w:bottom w:val="single" w:sz="4" w:space="0" w:color="FFFFFF" w:themeColor="background1"/>
            </w:tcBorders>
            <w:hideMark/>
          </w:tcPr>
          <w:p w14:paraId="3254D049"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Sadržaj PBDE (t)</w:t>
            </w:r>
          </w:p>
        </w:tc>
      </w:tr>
      <w:tr w:rsidR="00C23D65" w:rsidRPr="00C86111" w14:paraId="6F160E4D"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4A3ECB7C"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1136E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117.352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731F9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75.245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90CDF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10.893,06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3B115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10,9</w:t>
            </w:r>
          </w:p>
        </w:tc>
      </w:tr>
      <w:tr w:rsidR="00C23D65" w:rsidRPr="00C86111" w14:paraId="7959146B"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3C2F80EE"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72061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116.468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60CC8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85.488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93B3B5"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11.027,20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61FDF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11,0</w:t>
            </w:r>
          </w:p>
        </w:tc>
      </w:tr>
      <w:tr w:rsidR="00C23D65" w:rsidRPr="00C86111" w14:paraId="49544A2A"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69713A7D"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DDC3B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110.151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AA62C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98.217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9C4C9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10.776,42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328CE6"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10,8</w:t>
            </w:r>
          </w:p>
        </w:tc>
      </w:tr>
      <w:tr w:rsidR="00C23D65" w:rsidRPr="00C86111" w14:paraId="6A86C26B"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41AE1BB4"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699830"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99.404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005470"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102.168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B40ED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9.995,68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AA8395"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w:t>
            </w:r>
          </w:p>
        </w:tc>
      </w:tr>
      <w:tr w:rsidR="00C23D65" w:rsidRPr="00C86111" w14:paraId="2F1C3F37"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4EDD7429"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BE3B5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94.813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F62D8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115.579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3E4A9F"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9.896,62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C18BC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9,9</w:t>
            </w:r>
          </w:p>
        </w:tc>
      </w:tr>
      <w:tr w:rsidR="00C23D65" w:rsidRPr="00C86111" w14:paraId="030207F7"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69B1E65D"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DF5F44"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87.182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56999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125.952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4FAA5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9.493,60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46E66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9,5</w:t>
            </w:r>
          </w:p>
        </w:tc>
      </w:tr>
      <w:tr w:rsidR="00C23D65" w:rsidRPr="00C86111" w14:paraId="1115771F"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hideMark/>
          </w:tcPr>
          <w:p w14:paraId="7FF8480C"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F0F2D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80.242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A1040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141.341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24B6B1"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9.246,18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193F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9,2</w:t>
            </w:r>
          </w:p>
        </w:tc>
      </w:tr>
    </w:tbl>
    <w:p w14:paraId="7F878952" w14:textId="77777777" w:rsidR="00C23D65" w:rsidRPr="00C86111" w:rsidRDefault="00C23D65" w:rsidP="00C23D65">
      <w:pPr>
        <w:jc w:val="both"/>
        <w:rPr>
          <w:rFonts w:asciiTheme="minorHAnsi" w:hAnsiTheme="minorHAnsi" w:cstheme="minorHAnsi"/>
          <w:b/>
          <w:bCs/>
          <w:color w:val="auto"/>
          <w:szCs w:val="24"/>
        </w:rPr>
      </w:pPr>
    </w:p>
    <w:p w14:paraId="0DABFD50" w14:textId="16E97E4B" w:rsidR="00C23D65" w:rsidRPr="00C86111" w:rsidRDefault="00C23D65" w:rsidP="00C23D65">
      <w:pPr>
        <w:pStyle w:val="Text"/>
        <w:tabs>
          <w:tab w:val="left" w:pos="3510"/>
        </w:tabs>
        <w:jc w:val="both"/>
        <w:rPr>
          <w:rFonts w:asciiTheme="minorHAnsi" w:hAnsiTheme="minorHAnsi" w:cstheme="minorHAnsi"/>
        </w:rPr>
      </w:pPr>
      <w:r w:rsidRPr="00C86111">
        <w:rPr>
          <w:noProof/>
        </w:rPr>
        <w:drawing>
          <wp:anchor distT="0" distB="0" distL="57150" distR="57150" simplePos="0" relativeHeight="251659264" behindDoc="1" locked="0" layoutInCell="1" allowOverlap="1" wp14:anchorId="460A5B9B" wp14:editId="278C50C2">
            <wp:simplePos x="0" y="0"/>
            <wp:positionH relativeFrom="column">
              <wp:posOffset>754380</wp:posOffset>
            </wp:positionH>
            <wp:positionV relativeFrom="line">
              <wp:posOffset>123190</wp:posOffset>
            </wp:positionV>
            <wp:extent cx="4370705" cy="2095500"/>
            <wp:effectExtent l="0" t="0" r="10795" b="0"/>
            <wp:wrapTight wrapText="bothSides">
              <wp:wrapPolygon edited="0">
                <wp:start x="0" y="0"/>
                <wp:lineTo x="0" y="21404"/>
                <wp:lineTo x="21559" y="21404"/>
                <wp:lineTo x="21559" y="0"/>
                <wp:lineTo x="0" y="0"/>
              </wp:wrapPolygon>
            </wp:wrapTight>
            <wp:docPr id="1073741839" name="Chart 1073741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margin">
              <wp14:pctHeight>0</wp14:pctHeight>
            </wp14:sizeRelV>
          </wp:anchor>
        </w:drawing>
      </w:r>
    </w:p>
    <w:p w14:paraId="1A21968B" w14:textId="77777777" w:rsidR="00C23D65" w:rsidRPr="00C86111" w:rsidRDefault="00C23D65" w:rsidP="00C23D65">
      <w:pPr>
        <w:pStyle w:val="Text"/>
        <w:tabs>
          <w:tab w:val="left" w:pos="3510"/>
        </w:tabs>
        <w:jc w:val="both"/>
        <w:rPr>
          <w:rFonts w:asciiTheme="minorHAnsi" w:hAnsiTheme="minorHAnsi" w:cstheme="minorHAnsi"/>
        </w:rPr>
      </w:pPr>
    </w:p>
    <w:p w14:paraId="159919FB" w14:textId="77777777" w:rsidR="00C23D65" w:rsidRPr="00C86111" w:rsidRDefault="00C23D65" w:rsidP="00C23D65">
      <w:pPr>
        <w:pStyle w:val="Text"/>
        <w:tabs>
          <w:tab w:val="left" w:pos="3510"/>
        </w:tabs>
        <w:jc w:val="both"/>
        <w:rPr>
          <w:rFonts w:asciiTheme="minorHAnsi" w:hAnsiTheme="minorHAnsi" w:cstheme="minorHAnsi"/>
        </w:rPr>
      </w:pPr>
    </w:p>
    <w:p w14:paraId="2D86709A" w14:textId="77777777" w:rsidR="00C23D65" w:rsidRPr="00C86111" w:rsidRDefault="00C23D65" w:rsidP="00C23D65">
      <w:pPr>
        <w:pStyle w:val="Text"/>
        <w:tabs>
          <w:tab w:val="left" w:pos="3510"/>
        </w:tabs>
        <w:jc w:val="both"/>
        <w:rPr>
          <w:rFonts w:asciiTheme="minorHAnsi" w:hAnsiTheme="minorHAnsi" w:cstheme="minorHAnsi"/>
        </w:rPr>
      </w:pPr>
    </w:p>
    <w:p w14:paraId="199A8330" w14:textId="77777777" w:rsidR="00C23D65" w:rsidRPr="00C86111" w:rsidRDefault="00C23D65" w:rsidP="00C23D65">
      <w:pPr>
        <w:pStyle w:val="Text"/>
        <w:tabs>
          <w:tab w:val="left" w:pos="3510"/>
        </w:tabs>
        <w:jc w:val="center"/>
        <w:rPr>
          <w:rFonts w:asciiTheme="minorHAnsi" w:hAnsiTheme="minorHAnsi" w:cstheme="minorHAnsi"/>
        </w:rPr>
      </w:pPr>
    </w:p>
    <w:p w14:paraId="57A7879A" w14:textId="77777777" w:rsidR="00C23D65" w:rsidRPr="00C86111" w:rsidRDefault="00C23D65" w:rsidP="00C23D65">
      <w:pPr>
        <w:pStyle w:val="Text"/>
        <w:tabs>
          <w:tab w:val="left" w:pos="3510"/>
        </w:tabs>
        <w:rPr>
          <w:rFonts w:asciiTheme="minorHAnsi" w:hAnsiTheme="minorHAnsi" w:cstheme="minorHAnsi"/>
        </w:rPr>
      </w:pPr>
    </w:p>
    <w:p w14:paraId="5109FD81" w14:textId="77777777" w:rsidR="00C23D65" w:rsidRPr="00C86111" w:rsidRDefault="00C23D65" w:rsidP="00C23D65">
      <w:pPr>
        <w:pStyle w:val="Text"/>
        <w:tabs>
          <w:tab w:val="left" w:pos="3510"/>
        </w:tabs>
        <w:rPr>
          <w:rFonts w:asciiTheme="minorHAnsi" w:hAnsiTheme="minorHAnsi" w:cstheme="minorHAnsi"/>
        </w:rPr>
      </w:pPr>
    </w:p>
    <w:p w14:paraId="583C9CD7" w14:textId="77777777" w:rsidR="00C23D65" w:rsidRPr="00C86111" w:rsidRDefault="00C23D65" w:rsidP="00C23D65">
      <w:pPr>
        <w:pStyle w:val="Text"/>
        <w:tabs>
          <w:tab w:val="left" w:pos="3510"/>
        </w:tabs>
        <w:rPr>
          <w:rFonts w:asciiTheme="minorHAnsi" w:hAnsiTheme="minorHAnsi" w:cstheme="minorHAnsi"/>
          <w:b/>
          <w:bCs/>
          <w:sz w:val="24"/>
          <w:szCs w:val="24"/>
        </w:rPr>
      </w:pPr>
    </w:p>
    <w:p w14:paraId="01A056CE" w14:textId="4EC06BB6" w:rsidR="00C23D65" w:rsidRPr="00C86111" w:rsidRDefault="00F603AA" w:rsidP="00C23D65">
      <w:pPr>
        <w:pStyle w:val="Text"/>
        <w:tabs>
          <w:tab w:val="left" w:pos="3510"/>
        </w:tabs>
        <w:rPr>
          <w:rFonts w:asciiTheme="minorHAnsi" w:hAnsiTheme="minorHAnsi" w:cstheme="minorHAnsi"/>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8.</w:t>
      </w:r>
      <w:r w:rsidR="00C23D65" w:rsidRPr="00C86111">
        <w:rPr>
          <w:rFonts w:asciiTheme="minorHAnsi" w:hAnsiTheme="minorHAnsi" w:cstheme="minorHAnsi"/>
          <w:sz w:val="24"/>
          <w:szCs w:val="24"/>
        </w:rPr>
        <w:t xml:space="preserve"> Grafički prikaz sadržaja  PBDE (t) u putničkim automobilima u upotrebi u periodu (2017-2023)</w:t>
      </w:r>
    </w:p>
    <w:p w14:paraId="7F2EDC4C" w14:textId="77777777" w:rsidR="00C23D65" w:rsidRPr="00C86111" w:rsidRDefault="00C23D65" w:rsidP="00C23D65">
      <w:pPr>
        <w:pStyle w:val="Text"/>
        <w:tabs>
          <w:tab w:val="left" w:pos="3510"/>
        </w:tabs>
        <w:jc w:val="center"/>
        <w:rPr>
          <w:rFonts w:asciiTheme="minorHAnsi" w:hAnsiTheme="minorHAnsi" w:cstheme="minorHAnsi"/>
        </w:rPr>
      </w:pPr>
    </w:p>
    <w:p w14:paraId="43C64A0B" w14:textId="77777777" w:rsidR="00C23D65" w:rsidRPr="00C86111" w:rsidRDefault="00C23D65" w:rsidP="00C23D65">
      <w:pPr>
        <w:rPr>
          <w:rFonts w:asciiTheme="minorHAnsi" w:hAnsiTheme="minorHAnsi" w:cstheme="minorHAnsi"/>
          <w:szCs w:val="24"/>
        </w:rPr>
      </w:pPr>
    </w:p>
    <w:p w14:paraId="291365BC" w14:textId="7FC1BD30" w:rsidR="00C23D65" w:rsidRPr="00C86111" w:rsidRDefault="00C23D65" w:rsidP="00C23D65">
      <w:pPr>
        <w:pStyle w:val="Text"/>
        <w:tabs>
          <w:tab w:val="left" w:pos="3510"/>
        </w:tabs>
        <w:jc w:val="center"/>
        <w:rPr>
          <w:rFonts w:asciiTheme="minorHAnsi" w:hAnsiTheme="minorHAnsi" w:cstheme="minorHAnsi"/>
          <w:b/>
          <w:bCs/>
          <w:i/>
          <w:iCs/>
          <w:color w:val="FF0000"/>
        </w:rPr>
      </w:pPr>
      <w:r w:rsidRPr="00C86111">
        <w:rPr>
          <w:noProof/>
        </w:rPr>
        <w:drawing>
          <wp:inline distT="0" distB="0" distL="0" distR="0" wp14:anchorId="04FB8DA2" wp14:editId="2FA24870">
            <wp:extent cx="5692140" cy="1699260"/>
            <wp:effectExtent l="0" t="0" r="3810" b="15240"/>
            <wp:docPr id="142728379" name="Chart 142728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3EDE35" w14:textId="118EC88C" w:rsidR="00C23D65" w:rsidRPr="00C86111" w:rsidRDefault="00F603AA" w:rsidP="00F603AA">
      <w:pPr>
        <w:pStyle w:val="Text"/>
        <w:tabs>
          <w:tab w:val="left" w:pos="3510"/>
        </w:tabs>
        <w:spacing w:after="60"/>
        <w:rPr>
          <w:rFonts w:asciiTheme="minorHAnsi" w:hAnsiTheme="minorHAnsi" w:cstheme="minorHAnsi"/>
          <w:b/>
          <w:bCs/>
          <w:i/>
          <w:iCs/>
          <w:sz w:val="24"/>
          <w:szCs w:val="24"/>
        </w:rPr>
      </w:pPr>
      <w:r w:rsidRPr="00C86111">
        <w:rPr>
          <w:rFonts w:asciiTheme="minorHAnsi" w:hAnsiTheme="minorHAnsi" w:cstheme="minorHAnsi"/>
          <w:b/>
          <w:bCs/>
          <w:sz w:val="24"/>
          <w:szCs w:val="24"/>
        </w:rPr>
        <w:t xml:space="preserve">Grafik </w:t>
      </w:r>
      <w:r w:rsidR="00C23D65" w:rsidRPr="00C86111">
        <w:rPr>
          <w:rFonts w:asciiTheme="minorHAnsi" w:hAnsiTheme="minorHAnsi" w:cstheme="minorHAnsi"/>
          <w:b/>
          <w:bCs/>
          <w:sz w:val="24"/>
          <w:szCs w:val="24"/>
        </w:rPr>
        <w:t>9.</w:t>
      </w:r>
      <w:r w:rsidR="00C23D65" w:rsidRPr="00C86111">
        <w:rPr>
          <w:rFonts w:asciiTheme="minorHAnsi" w:hAnsiTheme="minorHAnsi" w:cstheme="minorHAnsi"/>
          <w:sz w:val="24"/>
          <w:szCs w:val="24"/>
        </w:rPr>
        <w:t xml:space="preserve"> Sadržaj  PBDE u vozilima u periodu 2006-2023</w:t>
      </w:r>
    </w:p>
    <w:p w14:paraId="1EDF9F53" w14:textId="77777777" w:rsidR="00C23D65" w:rsidRPr="00C86111" w:rsidRDefault="00C23D65" w:rsidP="00C23D65">
      <w:pPr>
        <w:jc w:val="both"/>
        <w:rPr>
          <w:rFonts w:asciiTheme="minorHAnsi" w:hAnsiTheme="minorHAnsi" w:cstheme="minorHAnsi"/>
          <w:b/>
          <w:bCs/>
          <w:color w:val="auto"/>
          <w:szCs w:val="24"/>
        </w:rPr>
      </w:pPr>
    </w:p>
    <w:p w14:paraId="03F0079A"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Kao što grafikoni pokazuju, sadržaj PBDE u putničkim vozilima u upotrebi pokazuje opadajući trend u periodu 2006–2023.</w:t>
      </w:r>
    </w:p>
    <w:p w14:paraId="2A604742" w14:textId="77777777" w:rsidR="00C23D65" w:rsidRPr="00C86111" w:rsidRDefault="00C23D65" w:rsidP="00C23D65">
      <w:pPr>
        <w:jc w:val="both"/>
        <w:rPr>
          <w:rFonts w:asciiTheme="minorHAnsi" w:hAnsiTheme="minorHAnsi" w:cstheme="minorHAnsi"/>
          <w:color w:val="auto"/>
          <w:szCs w:val="24"/>
        </w:rPr>
      </w:pPr>
    </w:p>
    <w:p w14:paraId="4A9A7E2D" w14:textId="6E2591A6"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Pregled broja </w:t>
      </w:r>
      <w:r w:rsidRPr="00C86111">
        <w:rPr>
          <w:rFonts w:asciiTheme="minorHAnsi" w:hAnsiTheme="minorHAnsi" w:cstheme="minorHAnsi"/>
          <w:b/>
          <w:bCs/>
          <w:color w:val="auto"/>
          <w:szCs w:val="24"/>
        </w:rPr>
        <w:t>registrovanih kamiona</w:t>
      </w:r>
      <w:r w:rsidRPr="00C86111">
        <w:rPr>
          <w:rFonts w:asciiTheme="minorHAnsi" w:hAnsiTheme="minorHAnsi" w:cstheme="minorHAnsi"/>
          <w:color w:val="auto"/>
          <w:szCs w:val="24"/>
        </w:rPr>
        <w:t xml:space="preserve"> dat je u Tabeli </w:t>
      </w:r>
      <w:r w:rsidR="006128C8" w:rsidRPr="00C86111">
        <w:rPr>
          <w:rFonts w:asciiTheme="minorHAnsi" w:hAnsiTheme="minorHAnsi" w:cstheme="minorHAnsi"/>
          <w:color w:val="auto"/>
          <w:szCs w:val="24"/>
        </w:rPr>
        <w:t>52</w:t>
      </w:r>
      <w:r w:rsidRPr="00C86111">
        <w:rPr>
          <w:rFonts w:asciiTheme="minorHAnsi" w:hAnsiTheme="minorHAnsi" w:cstheme="minorHAnsi"/>
          <w:color w:val="auto"/>
          <w:szCs w:val="24"/>
        </w:rPr>
        <w:t>.</w:t>
      </w:r>
    </w:p>
    <w:p w14:paraId="23E75DF7" w14:textId="77777777" w:rsidR="00C23D65" w:rsidRPr="00C86111" w:rsidRDefault="00C23D65" w:rsidP="00C23D65">
      <w:pPr>
        <w:jc w:val="both"/>
        <w:rPr>
          <w:rFonts w:asciiTheme="minorHAnsi" w:hAnsiTheme="minorHAnsi" w:cstheme="minorHAnsi"/>
          <w:color w:val="auto"/>
          <w:szCs w:val="24"/>
        </w:rPr>
      </w:pPr>
    </w:p>
    <w:p w14:paraId="7E0C897E" w14:textId="31EBBCC4" w:rsidR="00C23D65" w:rsidRPr="00C86111" w:rsidRDefault="00D95B9C"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                 </w:t>
      </w:r>
      <w:r w:rsidR="00C23D65" w:rsidRPr="00C86111">
        <w:rPr>
          <w:rFonts w:asciiTheme="minorHAnsi" w:hAnsiTheme="minorHAnsi" w:cstheme="minorHAnsi"/>
          <w:b/>
          <w:bCs/>
          <w:color w:val="auto"/>
          <w:szCs w:val="24"/>
        </w:rPr>
        <w:t xml:space="preserve">Tabela </w:t>
      </w:r>
      <w:r w:rsidR="006128C8" w:rsidRPr="00C86111">
        <w:rPr>
          <w:rFonts w:asciiTheme="minorHAnsi" w:hAnsiTheme="minorHAnsi" w:cstheme="minorHAnsi"/>
          <w:b/>
          <w:bCs/>
          <w:color w:val="auto"/>
          <w:szCs w:val="24"/>
        </w:rPr>
        <w:t>52</w:t>
      </w:r>
      <w:r w:rsidR="00C23D65" w:rsidRPr="00C86111">
        <w:rPr>
          <w:rFonts w:asciiTheme="minorHAnsi" w:hAnsiTheme="minorHAnsi" w:cstheme="minorHAnsi"/>
          <w:b/>
          <w:bCs/>
          <w:color w:val="auto"/>
          <w:szCs w:val="24"/>
        </w:rPr>
        <w:t xml:space="preserve">. </w:t>
      </w:r>
      <w:r w:rsidR="00C23D65" w:rsidRPr="00C86111">
        <w:rPr>
          <w:rFonts w:asciiTheme="minorHAnsi" w:hAnsiTheme="minorHAnsi" w:cstheme="minorHAnsi"/>
          <w:color w:val="auto"/>
          <w:szCs w:val="24"/>
        </w:rPr>
        <w:t>Broj registrovanih kamiona u periodu 2017–2023</w:t>
      </w:r>
    </w:p>
    <w:tbl>
      <w:tblPr>
        <w:tblStyle w:val="GridTable5Dark-Accent6"/>
        <w:tblW w:w="0" w:type="auto"/>
        <w:jc w:val="center"/>
        <w:tblLook w:val="04A0" w:firstRow="1" w:lastRow="0" w:firstColumn="1" w:lastColumn="0" w:noHBand="0" w:noVBand="1"/>
      </w:tblPr>
      <w:tblGrid>
        <w:gridCol w:w="814"/>
        <w:gridCol w:w="2876"/>
        <w:gridCol w:w="2876"/>
        <w:gridCol w:w="873"/>
      </w:tblGrid>
      <w:tr w:rsidR="00C23D65" w:rsidRPr="00C86111" w14:paraId="260E5F50" w14:textId="77777777" w:rsidTr="00D95B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hideMark/>
          </w:tcPr>
          <w:p w14:paraId="22F2A215"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Godina</w:t>
            </w:r>
          </w:p>
        </w:tc>
        <w:tc>
          <w:tcPr>
            <w:tcW w:w="0" w:type="auto"/>
            <w:tcBorders>
              <w:bottom w:val="single" w:sz="4" w:space="0" w:color="FFFFFF" w:themeColor="background1"/>
            </w:tcBorders>
            <w:hideMark/>
          </w:tcPr>
          <w:p w14:paraId="5140BD85"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Kamioni proizvedeni 1970–2005</w:t>
            </w:r>
          </w:p>
        </w:tc>
        <w:tc>
          <w:tcPr>
            <w:tcW w:w="0" w:type="auto"/>
            <w:tcBorders>
              <w:bottom w:val="single" w:sz="4" w:space="0" w:color="FFFFFF" w:themeColor="background1"/>
            </w:tcBorders>
            <w:hideMark/>
          </w:tcPr>
          <w:p w14:paraId="3BB37281"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Kamioni proizvedeni 2005–2017</w:t>
            </w:r>
          </w:p>
        </w:tc>
        <w:tc>
          <w:tcPr>
            <w:tcW w:w="0" w:type="auto"/>
            <w:tcBorders>
              <w:bottom w:val="single" w:sz="4" w:space="0" w:color="FFFFFF" w:themeColor="background1"/>
            </w:tcBorders>
            <w:hideMark/>
          </w:tcPr>
          <w:p w14:paraId="6E3C9ADF"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Ukupno</w:t>
            </w:r>
          </w:p>
        </w:tc>
      </w:tr>
      <w:tr w:rsidR="00C23D65" w:rsidRPr="00C86111" w14:paraId="694ED92B" w14:textId="77777777" w:rsidTr="00D95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106B551C"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ACCCDF"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7.290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3C353F"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7.225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D3682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14.515</w:t>
            </w:r>
          </w:p>
        </w:tc>
      </w:tr>
      <w:tr w:rsidR="00C23D65" w:rsidRPr="00C86111" w14:paraId="27C37F9C" w14:textId="77777777" w:rsidTr="00D95B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10EE41E2"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6226DD"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7.396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79A2C3"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8.239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65C857"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15.635</w:t>
            </w:r>
          </w:p>
        </w:tc>
      </w:tr>
      <w:tr w:rsidR="00C23D65" w:rsidRPr="00C86111" w14:paraId="522A7A53" w14:textId="77777777" w:rsidTr="00D95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12033A86"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E8D8A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7.178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CC84CB"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9.156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0F187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16.334</w:t>
            </w:r>
          </w:p>
        </w:tc>
      </w:tr>
      <w:tr w:rsidR="00C23D65" w:rsidRPr="00C86111" w14:paraId="6133C39F" w14:textId="77777777" w:rsidTr="00D95B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42A3ADF9"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5611E9"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6.596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F9D310"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9.651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22E83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16.247</w:t>
            </w:r>
          </w:p>
        </w:tc>
      </w:tr>
      <w:tr w:rsidR="00C23D65" w:rsidRPr="00C86111" w14:paraId="3B1A01CC" w14:textId="77777777" w:rsidTr="00D95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19E4A0B4"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F5C91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6.660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3178C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10.678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F39EA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17.338</w:t>
            </w:r>
          </w:p>
        </w:tc>
      </w:tr>
      <w:tr w:rsidR="00C23D65" w:rsidRPr="00C86111" w14:paraId="78850A26" w14:textId="77777777" w:rsidTr="00D95B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6FC3D17D"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489535"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6.178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90E233"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11.070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42B775"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17.248</w:t>
            </w:r>
          </w:p>
        </w:tc>
      </w:tr>
      <w:tr w:rsidR="00C23D65" w:rsidRPr="00C86111" w14:paraId="75870819" w14:textId="77777777" w:rsidTr="00D95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hideMark/>
          </w:tcPr>
          <w:p w14:paraId="22E33D61"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B6898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5.831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C6F156"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12.095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253C4B"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17.926</w:t>
            </w:r>
          </w:p>
        </w:tc>
      </w:tr>
    </w:tbl>
    <w:p w14:paraId="584E94DA" w14:textId="77777777" w:rsidR="00C23D65" w:rsidRPr="00C86111" w:rsidRDefault="00C23D65" w:rsidP="00C23D65">
      <w:pPr>
        <w:pStyle w:val="Text"/>
        <w:tabs>
          <w:tab w:val="left" w:pos="3510"/>
        </w:tabs>
        <w:jc w:val="center"/>
        <w:rPr>
          <w:rFonts w:asciiTheme="minorHAnsi" w:hAnsiTheme="minorHAnsi" w:cstheme="minorHAnsi"/>
        </w:rPr>
      </w:pPr>
    </w:p>
    <w:p w14:paraId="59B14D14" w14:textId="60FC0AAA" w:rsidR="00C23D65" w:rsidRPr="00C86111" w:rsidRDefault="00C23D65" w:rsidP="00C23D65">
      <w:pPr>
        <w:pStyle w:val="Text"/>
        <w:tabs>
          <w:tab w:val="left" w:pos="3510"/>
        </w:tabs>
        <w:rPr>
          <w:rFonts w:asciiTheme="minorHAnsi" w:hAnsiTheme="minorHAnsi" w:cstheme="minorHAnsi"/>
        </w:rPr>
      </w:pPr>
      <w:r w:rsidRPr="00C86111">
        <w:rPr>
          <w:rFonts w:asciiTheme="minorHAnsi" w:hAnsiTheme="minorHAnsi" w:cstheme="minorHAnsi"/>
        </w:rPr>
        <w:t xml:space="preserve">Grafički prikaz sadržaja PBDE-a u kamionima u upotrebi u periodu 2017–2023 dat je na </w:t>
      </w:r>
      <w:r w:rsidR="006128C8" w:rsidRPr="00C86111">
        <w:rPr>
          <w:rFonts w:asciiTheme="minorHAnsi" w:hAnsiTheme="minorHAnsi" w:cstheme="minorHAnsi"/>
        </w:rPr>
        <w:t xml:space="preserve">Grafiku </w:t>
      </w:r>
      <w:r w:rsidR="00547278">
        <w:rPr>
          <w:rFonts w:asciiTheme="minorHAnsi" w:hAnsiTheme="minorHAnsi" w:cstheme="minorHAnsi"/>
        </w:rPr>
        <w:t>10</w:t>
      </w:r>
      <w:r w:rsidRPr="00C86111">
        <w:rPr>
          <w:rFonts w:asciiTheme="minorHAnsi" w:hAnsiTheme="minorHAnsi" w:cstheme="minorHAnsi"/>
          <w:b/>
          <w:bCs/>
        </w:rPr>
        <w:t xml:space="preserve"> </w:t>
      </w:r>
      <w:r w:rsidR="00D95B9C" w:rsidRPr="00C86111">
        <w:rPr>
          <w:rFonts w:asciiTheme="minorHAnsi" w:hAnsiTheme="minorHAnsi" w:cstheme="minorHAnsi"/>
        </w:rPr>
        <w:t>i</w:t>
      </w:r>
      <w:r w:rsidRPr="00C86111">
        <w:rPr>
          <w:rFonts w:asciiTheme="minorHAnsi" w:hAnsiTheme="minorHAnsi" w:cstheme="minorHAnsi"/>
        </w:rPr>
        <w:t xml:space="preserve"> period</w:t>
      </w:r>
      <w:r w:rsidR="00D95B9C" w:rsidRPr="00C86111">
        <w:rPr>
          <w:rFonts w:asciiTheme="minorHAnsi" w:hAnsiTheme="minorHAnsi" w:cstheme="minorHAnsi"/>
        </w:rPr>
        <w:t>u</w:t>
      </w:r>
      <w:r w:rsidRPr="00C86111">
        <w:rPr>
          <w:rFonts w:asciiTheme="minorHAnsi" w:hAnsiTheme="minorHAnsi" w:cstheme="minorHAnsi"/>
        </w:rPr>
        <w:t xml:space="preserve"> od 2006 do 2023. na </w:t>
      </w:r>
      <w:r w:rsidR="006128C8" w:rsidRPr="00C86111">
        <w:rPr>
          <w:rFonts w:asciiTheme="minorHAnsi" w:hAnsiTheme="minorHAnsi" w:cstheme="minorHAnsi"/>
        </w:rPr>
        <w:t>Grafiku</w:t>
      </w:r>
      <w:r w:rsidRPr="00C86111">
        <w:rPr>
          <w:rFonts w:asciiTheme="minorHAnsi" w:hAnsiTheme="minorHAnsi" w:cstheme="minorHAnsi"/>
        </w:rPr>
        <w:t xml:space="preserve"> 1</w:t>
      </w:r>
      <w:r w:rsidR="00547278">
        <w:rPr>
          <w:rFonts w:asciiTheme="minorHAnsi" w:hAnsiTheme="minorHAnsi" w:cstheme="minorHAnsi"/>
        </w:rPr>
        <w:t>1</w:t>
      </w:r>
      <w:r w:rsidRPr="00C86111">
        <w:rPr>
          <w:rFonts w:asciiTheme="minorHAnsi" w:hAnsiTheme="minorHAnsi" w:cstheme="minorHAnsi"/>
        </w:rPr>
        <w:t>.</w:t>
      </w:r>
    </w:p>
    <w:p w14:paraId="1283E00A" w14:textId="3A146C7B" w:rsidR="00C23D65" w:rsidRPr="00C86111" w:rsidRDefault="00C23D65" w:rsidP="00C23D65">
      <w:pPr>
        <w:pStyle w:val="Text"/>
        <w:tabs>
          <w:tab w:val="left" w:pos="3510"/>
        </w:tabs>
        <w:jc w:val="center"/>
        <w:rPr>
          <w:rFonts w:asciiTheme="minorHAnsi" w:hAnsiTheme="minorHAnsi" w:cstheme="minorHAnsi"/>
          <w:b/>
          <w:bCs/>
          <w:lang w:val="it-IT"/>
        </w:rPr>
      </w:pPr>
      <w:r w:rsidRPr="00C86111">
        <w:rPr>
          <w:noProof/>
        </w:rPr>
        <w:drawing>
          <wp:anchor distT="0" distB="0" distL="57150" distR="57150" simplePos="0" relativeHeight="251660288" behindDoc="0" locked="0" layoutInCell="1" allowOverlap="1" wp14:anchorId="16691C1B" wp14:editId="5D9862D5">
            <wp:simplePos x="0" y="0"/>
            <wp:positionH relativeFrom="page">
              <wp:posOffset>1565910</wp:posOffset>
            </wp:positionH>
            <wp:positionV relativeFrom="line">
              <wp:posOffset>76200</wp:posOffset>
            </wp:positionV>
            <wp:extent cx="4932045" cy="1487805"/>
            <wp:effectExtent l="0" t="0" r="1905" b="17145"/>
            <wp:wrapSquare wrapText="bothSides"/>
            <wp:docPr id="1073741841" name="Chart 1073741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68369BBA" w14:textId="77777777" w:rsidR="00C23D65" w:rsidRPr="00C86111" w:rsidRDefault="00C23D65" w:rsidP="00C23D65">
      <w:pPr>
        <w:pStyle w:val="Text"/>
        <w:tabs>
          <w:tab w:val="left" w:pos="3510"/>
        </w:tabs>
        <w:jc w:val="center"/>
        <w:rPr>
          <w:rFonts w:asciiTheme="minorHAnsi" w:hAnsiTheme="minorHAnsi" w:cstheme="minorHAnsi"/>
          <w:b/>
          <w:bCs/>
          <w:lang w:val="it-IT"/>
        </w:rPr>
      </w:pPr>
    </w:p>
    <w:p w14:paraId="120112FA" w14:textId="77777777" w:rsidR="00C23D65" w:rsidRPr="00C86111" w:rsidRDefault="00C23D65" w:rsidP="00C23D65">
      <w:pPr>
        <w:pStyle w:val="Text"/>
        <w:tabs>
          <w:tab w:val="left" w:pos="3510"/>
        </w:tabs>
        <w:jc w:val="center"/>
        <w:rPr>
          <w:rFonts w:asciiTheme="minorHAnsi" w:hAnsiTheme="minorHAnsi" w:cstheme="minorHAnsi"/>
          <w:b/>
          <w:bCs/>
          <w:lang w:val="it-IT"/>
        </w:rPr>
      </w:pPr>
    </w:p>
    <w:p w14:paraId="4E41C395" w14:textId="77777777" w:rsidR="00C23D65" w:rsidRPr="00C86111" w:rsidRDefault="00C23D65" w:rsidP="00C23D65">
      <w:pPr>
        <w:pStyle w:val="Text"/>
        <w:tabs>
          <w:tab w:val="left" w:pos="3510"/>
        </w:tabs>
        <w:jc w:val="center"/>
        <w:rPr>
          <w:rFonts w:asciiTheme="minorHAnsi" w:hAnsiTheme="minorHAnsi" w:cstheme="minorHAnsi"/>
          <w:b/>
          <w:bCs/>
          <w:lang w:val="it-IT"/>
        </w:rPr>
      </w:pPr>
    </w:p>
    <w:p w14:paraId="4BF8FEE6" w14:textId="77777777" w:rsidR="00C23D65" w:rsidRPr="00C86111" w:rsidRDefault="00C23D65" w:rsidP="00C23D65">
      <w:pPr>
        <w:pStyle w:val="Text"/>
        <w:tabs>
          <w:tab w:val="left" w:pos="3510"/>
        </w:tabs>
        <w:jc w:val="center"/>
        <w:rPr>
          <w:rFonts w:asciiTheme="minorHAnsi" w:hAnsiTheme="minorHAnsi" w:cstheme="minorHAnsi"/>
          <w:b/>
          <w:bCs/>
          <w:lang w:val="it-IT"/>
        </w:rPr>
      </w:pPr>
    </w:p>
    <w:p w14:paraId="2A579A3E" w14:textId="77777777" w:rsidR="00C23D65" w:rsidRPr="00C86111" w:rsidRDefault="00C23D65" w:rsidP="00C23D65">
      <w:pPr>
        <w:pStyle w:val="Text"/>
        <w:tabs>
          <w:tab w:val="left" w:pos="3510"/>
        </w:tabs>
        <w:jc w:val="center"/>
        <w:rPr>
          <w:rFonts w:asciiTheme="minorHAnsi" w:hAnsiTheme="minorHAnsi" w:cstheme="minorHAnsi"/>
          <w:b/>
          <w:bCs/>
          <w:lang w:val="it-IT"/>
        </w:rPr>
      </w:pPr>
    </w:p>
    <w:p w14:paraId="7DC50A72" w14:textId="04B53096" w:rsidR="00C23D65" w:rsidRPr="00C86111" w:rsidRDefault="00D95B9C" w:rsidP="00D95B9C">
      <w:pPr>
        <w:pStyle w:val="Text"/>
        <w:tabs>
          <w:tab w:val="left" w:pos="3510"/>
        </w:tabs>
        <w:rPr>
          <w:rFonts w:asciiTheme="minorHAnsi" w:hAnsiTheme="minorHAnsi" w:cstheme="minorHAnsi"/>
          <w:sz w:val="24"/>
          <w:szCs w:val="24"/>
        </w:rPr>
      </w:pPr>
      <w:r w:rsidRPr="00C86111">
        <w:rPr>
          <w:rFonts w:asciiTheme="minorHAnsi" w:hAnsiTheme="minorHAnsi" w:cstheme="minorHAnsi"/>
          <w:b/>
          <w:bCs/>
          <w:sz w:val="24"/>
          <w:szCs w:val="24"/>
          <w:lang w:val="it-IT"/>
        </w:rPr>
        <w:t>Grafik</w:t>
      </w:r>
      <w:r w:rsidR="00C23D65" w:rsidRPr="00C86111">
        <w:rPr>
          <w:rFonts w:asciiTheme="minorHAnsi" w:hAnsiTheme="minorHAnsi" w:cstheme="minorHAnsi"/>
          <w:b/>
          <w:bCs/>
          <w:sz w:val="24"/>
          <w:szCs w:val="24"/>
          <w:lang w:val="it-IT"/>
        </w:rPr>
        <w:t xml:space="preserve"> </w:t>
      </w:r>
      <w:r w:rsidR="00547278">
        <w:rPr>
          <w:rFonts w:asciiTheme="minorHAnsi" w:hAnsiTheme="minorHAnsi" w:cstheme="minorHAnsi"/>
          <w:b/>
          <w:bCs/>
          <w:sz w:val="24"/>
          <w:szCs w:val="24"/>
          <w:lang w:val="it-IT"/>
        </w:rPr>
        <w:t>10</w:t>
      </w:r>
      <w:r w:rsidR="00C23D65" w:rsidRPr="00C86111">
        <w:rPr>
          <w:rFonts w:asciiTheme="minorHAnsi" w:hAnsiTheme="minorHAnsi" w:cstheme="minorHAnsi"/>
          <w:b/>
          <w:bCs/>
          <w:sz w:val="24"/>
          <w:szCs w:val="24"/>
          <w:lang w:val="it-IT"/>
        </w:rPr>
        <w:t>.</w:t>
      </w:r>
      <w:r w:rsidR="00C23D65" w:rsidRPr="00C86111">
        <w:rPr>
          <w:rFonts w:asciiTheme="minorHAnsi" w:hAnsiTheme="minorHAnsi" w:cstheme="minorHAnsi"/>
          <w:sz w:val="24"/>
          <w:szCs w:val="24"/>
        </w:rPr>
        <w:t xml:space="preserve"> Grafički prikaz sadržaja PBDE-a u kamionima u upotrebi u periodu 2017–2023</w:t>
      </w:r>
    </w:p>
    <w:p w14:paraId="02C3630D" w14:textId="3BAC25C9" w:rsidR="00C23D65" w:rsidRPr="00C86111" w:rsidRDefault="00C23D65" w:rsidP="00C23D65">
      <w:pPr>
        <w:pStyle w:val="Text"/>
        <w:tabs>
          <w:tab w:val="left" w:pos="3510"/>
        </w:tabs>
        <w:jc w:val="center"/>
        <w:rPr>
          <w:rFonts w:asciiTheme="minorHAnsi" w:hAnsiTheme="minorHAnsi" w:cstheme="minorHAnsi"/>
          <w:b/>
          <w:bCs/>
          <w:i/>
          <w:iCs/>
        </w:rPr>
      </w:pPr>
      <w:r w:rsidRPr="00C86111">
        <w:rPr>
          <w:noProof/>
        </w:rPr>
        <w:drawing>
          <wp:inline distT="0" distB="0" distL="0" distR="0" wp14:anchorId="417525D7" wp14:editId="65F679D1">
            <wp:extent cx="4686300" cy="1455420"/>
            <wp:effectExtent l="0" t="0" r="0" b="11430"/>
            <wp:docPr id="1073741842" name="Chart 1073741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3CB72E" w14:textId="78EF2704" w:rsidR="00C23D65" w:rsidRPr="00C86111" w:rsidRDefault="00D95B9C" w:rsidP="00D95B9C">
      <w:pPr>
        <w:pStyle w:val="Text"/>
        <w:tabs>
          <w:tab w:val="left" w:pos="3510"/>
        </w:tabs>
        <w:rPr>
          <w:rFonts w:asciiTheme="minorHAnsi" w:hAnsiTheme="minorHAnsi" w:cstheme="minorHAnsi"/>
          <w:sz w:val="24"/>
          <w:szCs w:val="24"/>
        </w:rPr>
      </w:pPr>
      <w:r w:rsidRPr="00C86111">
        <w:rPr>
          <w:rFonts w:asciiTheme="minorHAnsi" w:hAnsiTheme="minorHAnsi" w:cstheme="minorHAnsi"/>
          <w:b/>
          <w:bCs/>
          <w:sz w:val="24"/>
          <w:szCs w:val="24"/>
          <w:lang w:val="it-IT"/>
        </w:rPr>
        <w:t>Grafik</w:t>
      </w:r>
      <w:r w:rsidR="00C23D65" w:rsidRPr="00C86111">
        <w:rPr>
          <w:rFonts w:asciiTheme="minorHAnsi" w:hAnsiTheme="minorHAnsi" w:cstheme="minorHAnsi"/>
          <w:b/>
          <w:bCs/>
          <w:sz w:val="24"/>
          <w:szCs w:val="24"/>
          <w:lang w:val="it-IT"/>
        </w:rPr>
        <w:t xml:space="preserve"> 1</w:t>
      </w:r>
      <w:r w:rsidR="00547278">
        <w:rPr>
          <w:rFonts w:asciiTheme="minorHAnsi" w:hAnsiTheme="minorHAnsi" w:cstheme="minorHAnsi"/>
          <w:b/>
          <w:bCs/>
          <w:sz w:val="24"/>
          <w:szCs w:val="24"/>
          <w:lang w:val="it-IT"/>
        </w:rPr>
        <w:t>1</w:t>
      </w:r>
      <w:r w:rsidR="00C23D65" w:rsidRPr="00C86111">
        <w:rPr>
          <w:rFonts w:asciiTheme="minorHAnsi" w:hAnsiTheme="minorHAnsi" w:cstheme="minorHAnsi"/>
          <w:b/>
          <w:bCs/>
          <w:sz w:val="24"/>
          <w:szCs w:val="24"/>
          <w:lang w:val="it-IT"/>
        </w:rPr>
        <w:t>.</w:t>
      </w:r>
      <w:r w:rsidR="00C23D65" w:rsidRPr="00C86111">
        <w:rPr>
          <w:rFonts w:asciiTheme="minorHAnsi" w:hAnsiTheme="minorHAnsi" w:cstheme="minorHAnsi"/>
          <w:sz w:val="24"/>
          <w:szCs w:val="24"/>
        </w:rPr>
        <w:t xml:space="preserve"> Sadržaj PBDE-a u kamionima u upotrebi u periodu 2006–2023.</w:t>
      </w:r>
    </w:p>
    <w:p w14:paraId="654C5D24" w14:textId="77777777" w:rsidR="00C23D65" w:rsidRPr="00C86111" w:rsidRDefault="00C23D65" w:rsidP="00C23D65">
      <w:pPr>
        <w:jc w:val="both"/>
        <w:rPr>
          <w:rFonts w:asciiTheme="minorHAnsi" w:hAnsiTheme="minorHAnsi" w:cstheme="minorHAnsi"/>
          <w:b/>
          <w:bCs/>
          <w:color w:val="auto"/>
          <w:szCs w:val="24"/>
        </w:rPr>
      </w:pPr>
    </w:p>
    <w:p w14:paraId="3D9E0A77"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Sadržaj PBDE u kamionima u upotrebi pokazuje opadajući trend u periodu 2006–2023.</w:t>
      </w:r>
    </w:p>
    <w:p w14:paraId="73044FA5" w14:textId="77777777" w:rsidR="00C23D65" w:rsidRPr="00C86111" w:rsidRDefault="00C23D65" w:rsidP="00C23D65">
      <w:pPr>
        <w:jc w:val="both"/>
        <w:rPr>
          <w:rFonts w:asciiTheme="minorHAnsi" w:hAnsiTheme="minorHAnsi" w:cstheme="minorHAnsi"/>
          <w:color w:val="auto"/>
          <w:szCs w:val="24"/>
        </w:rPr>
      </w:pPr>
    </w:p>
    <w:p w14:paraId="077053AC" w14:textId="1AAE2C45"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Sadržaj PBDE u registrovanim autobusima dat je u Tabeli </w:t>
      </w:r>
      <w:r w:rsidR="00D95B9C" w:rsidRPr="00C86111">
        <w:rPr>
          <w:rFonts w:asciiTheme="minorHAnsi" w:hAnsiTheme="minorHAnsi" w:cstheme="minorHAnsi"/>
          <w:color w:val="auto"/>
          <w:szCs w:val="24"/>
        </w:rPr>
        <w:t>53</w:t>
      </w:r>
      <w:r w:rsidRPr="00C86111">
        <w:rPr>
          <w:rFonts w:asciiTheme="minorHAnsi" w:hAnsiTheme="minorHAnsi" w:cstheme="minorHAnsi"/>
          <w:color w:val="auto"/>
          <w:szCs w:val="24"/>
        </w:rPr>
        <w:t xml:space="preserve">. i </w:t>
      </w:r>
      <w:r w:rsidR="00D95B9C" w:rsidRPr="00C86111">
        <w:rPr>
          <w:rFonts w:asciiTheme="minorHAnsi" w:hAnsiTheme="minorHAnsi" w:cstheme="minorHAnsi"/>
          <w:color w:val="auto"/>
          <w:szCs w:val="24"/>
        </w:rPr>
        <w:t>Grafiku</w:t>
      </w:r>
      <w:r w:rsidRPr="00C86111">
        <w:rPr>
          <w:rFonts w:asciiTheme="minorHAnsi" w:hAnsiTheme="minorHAnsi" w:cstheme="minorHAnsi"/>
          <w:color w:val="auto"/>
          <w:szCs w:val="24"/>
        </w:rPr>
        <w:t xml:space="preserve"> 1</w:t>
      </w:r>
      <w:r w:rsidR="00547278">
        <w:rPr>
          <w:rFonts w:asciiTheme="minorHAnsi" w:hAnsiTheme="minorHAnsi" w:cstheme="minorHAnsi"/>
          <w:color w:val="auto"/>
          <w:szCs w:val="24"/>
        </w:rPr>
        <w:t>2</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(period 2017-2023.) i</w:t>
      </w:r>
      <w:r w:rsidRPr="00C86111">
        <w:rPr>
          <w:rFonts w:asciiTheme="minorHAnsi" w:hAnsiTheme="minorHAnsi" w:cstheme="minorHAnsi"/>
          <w:b/>
          <w:bCs/>
          <w:color w:val="auto"/>
          <w:szCs w:val="24"/>
        </w:rPr>
        <w:t xml:space="preserve"> </w:t>
      </w:r>
      <w:r w:rsidR="00D95B9C" w:rsidRPr="00C86111">
        <w:rPr>
          <w:rFonts w:asciiTheme="minorHAnsi" w:hAnsiTheme="minorHAnsi" w:cstheme="minorHAnsi"/>
          <w:color w:val="auto"/>
          <w:szCs w:val="24"/>
        </w:rPr>
        <w:t>Grafiku</w:t>
      </w:r>
      <w:r w:rsidRPr="00C86111">
        <w:rPr>
          <w:rFonts w:asciiTheme="minorHAnsi" w:hAnsiTheme="minorHAnsi" w:cstheme="minorHAnsi"/>
          <w:color w:val="auto"/>
          <w:szCs w:val="24"/>
        </w:rPr>
        <w:t xml:space="preserve"> 1</w:t>
      </w:r>
      <w:r w:rsidR="00547278">
        <w:rPr>
          <w:rFonts w:asciiTheme="minorHAnsi" w:hAnsiTheme="minorHAnsi" w:cstheme="minorHAnsi"/>
          <w:color w:val="auto"/>
          <w:szCs w:val="24"/>
        </w:rPr>
        <w:t>3</w:t>
      </w:r>
      <w:r w:rsidRPr="00C86111">
        <w:rPr>
          <w:rFonts w:asciiTheme="minorHAnsi" w:hAnsiTheme="minorHAnsi" w:cstheme="minorHAnsi"/>
          <w:color w:val="auto"/>
          <w:szCs w:val="24"/>
        </w:rPr>
        <w:t xml:space="preserve"> </w:t>
      </w:r>
      <w:r w:rsidR="00D95B9C" w:rsidRPr="00C86111">
        <w:rPr>
          <w:rFonts w:asciiTheme="minorHAnsi" w:hAnsiTheme="minorHAnsi" w:cstheme="minorHAnsi"/>
          <w:color w:val="auto"/>
          <w:szCs w:val="24"/>
        </w:rPr>
        <w:t xml:space="preserve"> za </w:t>
      </w:r>
      <w:r w:rsidRPr="00C86111">
        <w:rPr>
          <w:rFonts w:asciiTheme="minorHAnsi" w:hAnsiTheme="minorHAnsi" w:cstheme="minorHAnsi"/>
          <w:color w:val="auto"/>
          <w:szCs w:val="24"/>
        </w:rPr>
        <w:t>period 2006-2023.</w:t>
      </w:r>
    </w:p>
    <w:p w14:paraId="79B42F40" w14:textId="77777777" w:rsidR="00E2027B" w:rsidRDefault="00E2027B" w:rsidP="00C23D65">
      <w:pPr>
        <w:pStyle w:val="Text"/>
        <w:rPr>
          <w:rFonts w:asciiTheme="minorHAnsi" w:hAnsiTheme="minorHAnsi" w:cstheme="minorHAnsi"/>
          <w:b/>
          <w:bCs/>
          <w:sz w:val="24"/>
          <w:szCs w:val="24"/>
        </w:rPr>
      </w:pPr>
    </w:p>
    <w:p w14:paraId="173D69AC" w14:textId="77777777" w:rsidR="00F57E42" w:rsidRDefault="00F57E42" w:rsidP="00C23D65">
      <w:pPr>
        <w:pStyle w:val="Text"/>
        <w:rPr>
          <w:rFonts w:asciiTheme="minorHAnsi" w:hAnsiTheme="minorHAnsi" w:cstheme="minorHAnsi"/>
          <w:b/>
          <w:bCs/>
          <w:sz w:val="24"/>
          <w:szCs w:val="24"/>
        </w:rPr>
      </w:pPr>
    </w:p>
    <w:p w14:paraId="19B3227E" w14:textId="77777777" w:rsidR="00F57E42" w:rsidRDefault="00F57E42" w:rsidP="00C23D65">
      <w:pPr>
        <w:pStyle w:val="Text"/>
        <w:rPr>
          <w:rFonts w:asciiTheme="minorHAnsi" w:hAnsiTheme="minorHAnsi" w:cstheme="minorHAnsi"/>
          <w:b/>
          <w:bCs/>
          <w:sz w:val="24"/>
          <w:szCs w:val="24"/>
        </w:rPr>
      </w:pPr>
    </w:p>
    <w:p w14:paraId="5FC7CCF8" w14:textId="72BA8CB0" w:rsidR="00C23D65" w:rsidRPr="00C86111" w:rsidRDefault="00C23D65" w:rsidP="00C23D65">
      <w:pPr>
        <w:pStyle w:val="Text"/>
        <w:rPr>
          <w:rFonts w:asciiTheme="minorHAnsi" w:hAnsiTheme="minorHAnsi" w:cstheme="minorHAnsi"/>
          <w:b/>
          <w:bCs/>
          <w:sz w:val="24"/>
          <w:szCs w:val="24"/>
        </w:rPr>
      </w:pPr>
      <w:r w:rsidRPr="00C86111">
        <w:rPr>
          <w:rFonts w:asciiTheme="minorHAnsi" w:hAnsiTheme="minorHAnsi" w:cstheme="minorHAnsi"/>
          <w:b/>
          <w:bCs/>
          <w:sz w:val="24"/>
          <w:szCs w:val="24"/>
        </w:rPr>
        <w:lastRenderedPageBreak/>
        <w:t xml:space="preserve">Tabela </w:t>
      </w:r>
      <w:r w:rsidR="00D95B9C" w:rsidRPr="00C86111">
        <w:rPr>
          <w:rFonts w:asciiTheme="minorHAnsi" w:hAnsiTheme="minorHAnsi" w:cstheme="minorHAnsi"/>
          <w:b/>
          <w:bCs/>
          <w:sz w:val="24"/>
          <w:szCs w:val="24"/>
        </w:rPr>
        <w:t>53</w:t>
      </w:r>
      <w:r w:rsidRPr="00C86111">
        <w:rPr>
          <w:rFonts w:asciiTheme="minorHAnsi" w:hAnsiTheme="minorHAnsi" w:cstheme="minorHAnsi"/>
          <w:b/>
          <w:bCs/>
          <w:sz w:val="24"/>
          <w:szCs w:val="24"/>
        </w:rPr>
        <w:t xml:space="preserve">. </w:t>
      </w:r>
      <w:r w:rsidRPr="00C86111">
        <w:rPr>
          <w:rFonts w:asciiTheme="minorHAnsi" w:hAnsiTheme="minorHAnsi" w:cstheme="minorHAnsi"/>
          <w:sz w:val="24"/>
          <w:szCs w:val="24"/>
        </w:rPr>
        <w:t>Pregled količina PBDE-a u autobusima (period registracije 2017–2023)</w:t>
      </w:r>
    </w:p>
    <w:tbl>
      <w:tblPr>
        <w:tblStyle w:val="GridTable5Dark-Accent6"/>
        <w:tblW w:w="9360" w:type="dxa"/>
        <w:tblLayout w:type="fixed"/>
        <w:tblLook w:val="04A0" w:firstRow="1" w:lastRow="0" w:firstColumn="1" w:lastColumn="0" w:noHBand="0" w:noVBand="1"/>
      </w:tblPr>
      <w:tblGrid>
        <w:gridCol w:w="2850"/>
        <w:gridCol w:w="930"/>
        <w:gridCol w:w="930"/>
        <w:gridCol w:w="930"/>
        <w:gridCol w:w="930"/>
        <w:gridCol w:w="930"/>
        <w:gridCol w:w="930"/>
        <w:gridCol w:w="930"/>
      </w:tblGrid>
      <w:tr w:rsidR="00C23D65" w:rsidRPr="00C86111" w14:paraId="63F10135" w14:textId="77777777" w:rsidTr="00C23D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0" w:type="dxa"/>
            <w:tcBorders>
              <w:bottom w:val="single" w:sz="4" w:space="0" w:color="FFFFFF" w:themeColor="background1"/>
            </w:tcBorders>
            <w:hideMark/>
          </w:tcPr>
          <w:p w14:paraId="0F0F2A6D" w14:textId="77777777" w:rsidR="00C23D65" w:rsidRPr="00C86111" w:rsidRDefault="00C23D65">
            <w:pPr>
              <w:pStyle w:val="Text"/>
              <w:rPr>
                <w:rFonts w:asciiTheme="minorHAnsi" w:hAnsiTheme="minorHAnsi" w:cstheme="minorHAnsi"/>
                <w:sz w:val="20"/>
                <w:szCs w:val="20"/>
              </w:rPr>
            </w:pPr>
            <w:r w:rsidRPr="00C86111">
              <w:rPr>
                <w:rFonts w:asciiTheme="minorHAnsi" w:hAnsiTheme="minorHAnsi" w:cstheme="minorHAnsi"/>
                <w:sz w:val="20"/>
                <w:szCs w:val="20"/>
              </w:rPr>
              <w:t>Tabela</w:t>
            </w:r>
          </w:p>
        </w:tc>
        <w:tc>
          <w:tcPr>
            <w:tcW w:w="930" w:type="dxa"/>
            <w:tcBorders>
              <w:bottom w:val="single" w:sz="4" w:space="0" w:color="FFFFFF" w:themeColor="background1"/>
            </w:tcBorders>
            <w:hideMark/>
          </w:tcPr>
          <w:p w14:paraId="53DB5364"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2017</w:t>
            </w:r>
          </w:p>
        </w:tc>
        <w:tc>
          <w:tcPr>
            <w:tcW w:w="930" w:type="dxa"/>
            <w:tcBorders>
              <w:bottom w:val="single" w:sz="4" w:space="0" w:color="FFFFFF" w:themeColor="background1"/>
            </w:tcBorders>
            <w:hideMark/>
          </w:tcPr>
          <w:p w14:paraId="201AFB39"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2018</w:t>
            </w:r>
          </w:p>
        </w:tc>
        <w:tc>
          <w:tcPr>
            <w:tcW w:w="930" w:type="dxa"/>
            <w:tcBorders>
              <w:bottom w:val="single" w:sz="4" w:space="0" w:color="FFFFFF" w:themeColor="background1"/>
            </w:tcBorders>
            <w:hideMark/>
          </w:tcPr>
          <w:p w14:paraId="46246FA8"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2019</w:t>
            </w:r>
          </w:p>
        </w:tc>
        <w:tc>
          <w:tcPr>
            <w:tcW w:w="930" w:type="dxa"/>
            <w:tcBorders>
              <w:bottom w:val="single" w:sz="4" w:space="0" w:color="FFFFFF" w:themeColor="background1"/>
            </w:tcBorders>
            <w:hideMark/>
          </w:tcPr>
          <w:p w14:paraId="7EDC517A"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2020</w:t>
            </w:r>
          </w:p>
        </w:tc>
        <w:tc>
          <w:tcPr>
            <w:tcW w:w="930" w:type="dxa"/>
            <w:tcBorders>
              <w:bottom w:val="single" w:sz="4" w:space="0" w:color="FFFFFF" w:themeColor="background1"/>
            </w:tcBorders>
            <w:hideMark/>
          </w:tcPr>
          <w:p w14:paraId="652EA02B"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2021</w:t>
            </w:r>
          </w:p>
        </w:tc>
        <w:tc>
          <w:tcPr>
            <w:tcW w:w="930" w:type="dxa"/>
            <w:tcBorders>
              <w:bottom w:val="single" w:sz="4" w:space="0" w:color="FFFFFF" w:themeColor="background1"/>
            </w:tcBorders>
            <w:hideMark/>
          </w:tcPr>
          <w:p w14:paraId="48C36C5C"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2022</w:t>
            </w:r>
          </w:p>
        </w:tc>
        <w:tc>
          <w:tcPr>
            <w:tcW w:w="930" w:type="dxa"/>
            <w:tcBorders>
              <w:bottom w:val="single" w:sz="4" w:space="0" w:color="FFFFFF" w:themeColor="background1"/>
            </w:tcBorders>
            <w:hideMark/>
          </w:tcPr>
          <w:p w14:paraId="0C20DDFE"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2023</w:t>
            </w:r>
          </w:p>
        </w:tc>
      </w:tr>
      <w:tr w:rsidR="00C23D65" w:rsidRPr="00C86111" w14:paraId="646A8D36" w14:textId="77777777" w:rsidTr="00C23D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50" w:type="dxa"/>
            <w:tcBorders>
              <w:top w:val="single" w:sz="4" w:space="0" w:color="FFFFFF" w:themeColor="background1"/>
              <w:bottom w:val="single" w:sz="4" w:space="0" w:color="FFFFFF" w:themeColor="background1"/>
              <w:right w:val="single" w:sz="4" w:space="0" w:color="FFFFFF" w:themeColor="background1"/>
            </w:tcBorders>
            <w:hideMark/>
          </w:tcPr>
          <w:p w14:paraId="2FC84757" w14:textId="77777777" w:rsidR="00C23D65" w:rsidRPr="00C86111" w:rsidRDefault="00C23D65">
            <w:pPr>
              <w:pStyle w:val="Text"/>
              <w:rPr>
                <w:rFonts w:asciiTheme="minorHAnsi" w:hAnsiTheme="minorHAnsi" w:cstheme="minorHAnsi"/>
                <w:sz w:val="20"/>
                <w:szCs w:val="20"/>
              </w:rPr>
            </w:pPr>
            <w:r w:rsidRPr="00C86111">
              <w:rPr>
                <w:rFonts w:asciiTheme="minorHAnsi" w:hAnsiTheme="minorHAnsi" w:cstheme="minorHAnsi"/>
                <w:sz w:val="20"/>
                <w:szCs w:val="20"/>
              </w:rPr>
              <w:t>Sadržaj PBDE u autobusima (g)</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659C77"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76400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303C20"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77980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7F68A0"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72120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DD832A"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43340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DAF35"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50900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3772FF"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54560</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438C4F"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51780</w:t>
            </w:r>
          </w:p>
        </w:tc>
      </w:tr>
      <w:tr w:rsidR="00C23D65" w:rsidRPr="00C86111" w14:paraId="6B0B649D" w14:textId="77777777" w:rsidTr="00C23D65">
        <w:trPr>
          <w:trHeight w:val="20"/>
        </w:trPr>
        <w:tc>
          <w:tcPr>
            <w:cnfStyle w:val="001000000000" w:firstRow="0" w:lastRow="0" w:firstColumn="1" w:lastColumn="0" w:oddVBand="0" w:evenVBand="0" w:oddHBand="0" w:evenHBand="0" w:firstRowFirstColumn="0" w:firstRowLastColumn="0" w:lastRowFirstColumn="0" w:lastRowLastColumn="0"/>
            <w:tcW w:w="2850" w:type="dxa"/>
            <w:tcBorders>
              <w:top w:val="single" w:sz="4" w:space="0" w:color="FFFFFF" w:themeColor="background1"/>
              <w:right w:val="single" w:sz="4" w:space="0" w:color="FFFFFF" w:themeColor="background1"/>
            </w:tcBorders>
            <w:hideMark/>
          </w:tcPr>
          <w:p w14:paraId="66B83AA4" w14:textId="77777777" w:rsidR="00C23D65" w:rsidRPr="00C86111" w:rsidRDefault="00C23D65">
            <w:pPr>
              <w:pStyle w:val="Text"/>
              <w:rPr>
                <w:rFonts w:asciiTheme="minorHAnsi" w:hAnsiTheme="minorHAnsi" w:cstheme="minorHAnsi"/>
                <w:sz w:val="20"/>
                <w:szCs w:val="20"/>
              </w:rPr>
            </w:pPr>
            <w:r w:rsidRPr="00C86111">
              <w:rPr>
                <w:rFonts w:asciiTheme="minorHAnsi" w:hAnsiTheme="minorHAnsi" w:cstheme="minorHAnsi"/>
                <w:sz w:val="20"/>
                <w:szCs w:val="20"/>
              </w:rPr>
              <w:t>Sadržaj PBDE u autobusima (kg)</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AE803E"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76.4</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7A9C1E"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77.98</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C423AE"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72.12</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99C2EC"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43.34</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D7A330"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50.9</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9C3EE7"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54.56</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261549"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51.78</w:t>
            </w:r>
          </w:p>
        </w:tc>
      </w:tr>
    </w:tbl>
    <w:p w14:paraId="2F1FC5BC" w14:textId="77777777" w:rsidR="00C23D65" w:rsidRPr="00C86111" w:rsidRDefault="00C23D65" w:rsidP="00C23D65">
      <w:pPr>
        <w:pStyle w:val="Text"/>
        <w:rPr>
          <w:rFonts w:asciiTheme="minorHAnsi" w:hAnsiTheme="minorHAnsi" w:cstheme="minorHAnsi"/>
        </w:rPr>
      </w:pPr>
    </w:p>
    <w:p w14:paraId="70F189F2" w14:textId="6E5E6FC4" w:rsidR="00C23D65" w:rsidRPr="00C86111" w:rsidRDefault="00C23D65" w:rsidP="00C23D65">
      <w:pPr>
        <w:pStyle w:val="Text"/>
        <w:jc w:val="center"/>
        <w:rPr>
          <w:rFonts w:asciiTheme="minorHAnsi" w:hAnsiTheme="minorHAnsi" w:cstheme="minorHAnsi"/>
        </w:rPr>
      </w:pPr>
      <w:r w:rsidRPr="00C86111">
        <w:rPr>
          <w:noProof/>
        </w:rPr>
        <w:drawing>
          <wp:inline distT="0" distB="0" distL="0" distR="0" wp14:anchorId="46398677" wp14:editId="5C52C50D">
            <wp:extent cx="4373880" cy="1402080"/>
            <wp:effectExtent l="0" t="0" r="7620" b="7620"/>
            <wp:docPr id="1073741843" name="Chart 1073741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460225" w14:textId="202BDE6F" w:rsidR="00C23D65" w:rsidRPr="00C86111" w:rsidRDefault="00C23D65" w:rsidP="00C23D65">
      <w:pPr>
        <w:pStyle w:val="Text"/>
        <w:jc w:val="both"/>
        <w:rPr>
          <w:rFonts w:asciiTheme="minorHAnsi" w:hAnsiTheme="minorHAnsi" w:cstheme="minorHAnsi"/>
          <w:sz w:val="24"/>
          <w:szCs w:val="24"/>
        </w:rPr>
      </w:pPr>
      <w:r w:rsidRPr="00C86111">
        <w:rPr>
          <w:rFonts w:asciiTheme="minorHAnsi" w:hAnsiTheme="minorHAnsi" w:cstheme="minorHAnsi"/>
          <w:b/>
          <w:bCs/>
        </w:rPr>
        <w:t xml:space="preserve">             </w:t>
      </w:r>
      <w:r w:rsidR="00D95B9C" w:rsidRPr="00C86111">
        <w:rPr>
          <w:rFonts w:asciiTheme="minorHAnsi" w:hAnsiTheme="minorHAnsi" w:cstheme="minorHAnsi"/>
          <w:b/>
          <w:bCs/>
          <w:sz w:val="24"/>
          <w:szCs w:val="24"/>
        </w:rPr>
        <w:t>Grafik</w:t>
      </w:r>
      <w:r w:rsidRPr="00C86111">
        <w:rPr>
          <w:rFonts w:asciiTheme="minorHAnsi" w:hAnsiTheme="minorHAnsi" w:cstheme="minorHAnsi"/>
          <w:b/>
          <w:bCs/>
          <w:sz w:val="24"/>
          <w:szCs w:val="24"/>
        </w:rPr>
        <w:t xml:space="preserve"> 1</w:t>
      </w:r>
      <w:r w:rsidR="00547278">
        <w:rPr>
          <w:rFonts w:asciiTheme="minorHAnsi" w:hAnsiTheme="minorHAnsi" w:cstheme="minorHAnsi"/>
          <w:b/>
          <w:bCs/>
          <w:sz w:val="24"/>
          <w:szCs w:val="24"/>
        </w:rPr>
        <w:t>2</w:t>
      </w:r>
      <w:r w:rsidRPr="00C86111">
        <w:rPr>
          <w:rFonts w:asciiTheme="minorHAnsi" w:hAnsiTheme="minorHAnsi" w:cstheme="minorHAnsi"/>
          <w:b/>
          <w:bCs/>
          <w:sz w:val="24"/>
          <w:szCs w:val="24"/>
        </w:rPr>
        <w:t xml:space="preserve">. </w:t>
      </w:r>
      <w:r w:rsidRPr="00C86111">
        <w:rPr>
          <w:rFonts w:asciiTheme="minorHAnsi" w:hAnsiTheme="minorHAnsi" w:cstheme="minorHAnsi"/>
          <w:sz w:val="24"/>
          <w:szCs w:val="24"/>
        </w:rPr>
        <w:t>Grafički prikaz količina PBDE-a u autobusima (period registracije 2017–2023)</w:t>
      </w:r>
    </w:p>
    <w:p w14:paraId="01CD41C0" w14:textId="230DE719" w:rsidR="00C23D65" w:rsidRPr="00C86111" w:rsidRDefault="00C23D65" w:rsidP="00C23D65">
      <w:pPr>
        <w:pStyle w:val="Text"/>
        <w:jc w:val="center"/>
        <w:rPr>
          <w:rFonts w:asciiTheme="minorHAnsi" w:hAnsiTheme="minorHAnsi" w:cstheme="minorHAnsi"/>
          <w:b/>
          <w:bCs/>
          <w:i/>
          <w:iCs/>
        </w:rPr>
      </w:pPr>
      <w:r w:rsidRPr="00C86111">
        <w:rPr>
          <w:noProof/>
        </w:rPr>
        <w:drawing>
          <wp:inline distT="0" distB="0" distL="0" distR="0" wp14:anchorId="27E86982" wp14:editId="5F2ED77E">
            <wp:extent cx="5745480" cy="1607820"/>
            <wp:effectExtent l="0" t="0" r="7620" b="11430"/>
            <wp:docPr id="1073741844" name="Chart 1073741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3B69FC" w14:textId="3F5204F7" w:rsidR="00C23D65" w:rsidRPr="00C86111" w:rsidRDefault="00D95B9C" w:rsidP="00C23D65">
      <w:pPr>
        <w:jc w:val="center"/>
        <w:rPr>
          <w:rFonts w:asciiTheme="minorHAnsi" w:eastAsia="Arial Unicode MS" w:hAnsiTheme="minorHAnsi" w:cstheme="minorHAnsi"/>
          <w:color w:val="000000"/>
          <w:szCs w:val="24"/>
          <w:bdr w:val="none" w:sz="0" w:space="0" w:color="auto" w:frame="1"/>
          <w14:textOutline w14:w="0" w14:cap="flat" w14:cmpd="sng" w14:algn="ctr">
            <w14:noFill/>
            <w14:prstDash w14:val="solid"/>
            <w14:bevel/>
          </w14:textOutline>
        </w:rPr>
      </w:pPr>
      <w:r w:rsidRPr="00C86111">
        <w:rPr>
          <w:rFonts w:asciiTheme="minorHAnsi" w:eastAsia="Arial Unicode MS" w:hAnsiTheme="minorHAnsi" w:cstheme="minorHAnsi"/>
          <w:b/>
          <w:bCs/>
          <w:color w:val="000000"/>
          <w:szCs w:val="24"/>
          <w:bdr w:val="none" w:sz="0" w:space="0" w:color="auto" w:frame="1"/>
          <w14:textOutline w14:w="0" w14:cap="flat" w14:cmpd="sng" w14:algn="ctr">
            <w14:noFill/>
            <w14:prstDash w14:val="solid"/>
            <w14:bevel/>
          </w14:textOutline>
        </w:rPr>
        <w:t>Grafik</w:t>
      </w:r>
      <w:r w:rsidR="00C23D65" w:rsidRPr="00C86111">
        <w:rPr>
          <w:rFonts w:asciiTheme="minorHAnsi" w:eastAsia="Arial Unicode MS" w:hAnsiTheme="minorHAnsi" w:cstheme="minorHAnsi"/>
          <w:b/>
          <w:bCs/>
          <w:color w:val="000000"/>
          <w:szCs w:val="24"/>
          <w:bdr w:val="none" w:sz="0" w:space="0" w:color="auto" w:frame="1"/>
          <w14:textOutline w14:w="0" w14:cap="flat" w14:cmpd="sng" w14:algn="ctr">
            <w14:noFill/>
            <w14:prstDash w14:val="solid"/>
            <w14:bevel/>
          </w14:textOutline>
        </w:rPr>
        <w:t xml:space="preserve"> 1</w:t>
      </w:r>
      <w:r w:rsidR="00547278">
        <w:rPr>
          <w:rFonts w:asciiTheme="minorHAnsi" w:eastAsia="Arial Unicode MS" w:hAnsiTheme="minorHAnsi" w:cstheme="minorHAnsi"/>
          <w:b/>
          <w:bCs/>
          <w:color w:val="000000"/>
          <w:szCs w:val="24"/>
          <w:bdr w:val="none" w:sz="0" w:space="0" w:color="auto" w:frame="1"/>
          <w14:textOutline w14:w="0" w14:cap="flat" w14:cmpd="sng" w14:algn="ctr">
            <w14:noFill/>
            <w14:prstDash w14:val="solid"/>
            <w14:bevel/>
          </w14:textOutline>
        </w:rPr>
        <w:t>3</w:t>
      </w:r>
      <w:r w:rsidR="00C23D65" w:rsidRPr="00C86111">
        <w:rPr>
          <w:rFonts w:asciiTheme="minorHAnsi" w:eastAsia="Arial Unicode MS" w:hAnsiTheme="minorHAnsi" w:cstheme="minorHAnsi"/>
          <w:b/>
          <w:bCs/>
          <w:color w:val="000000"/>
          <w:szCs w:val="24"/>
          <w:bdr w:val="none" w:sz="0" w:space="0" w:color="auto" w:frame="1"/>
          <w14:textOutline w14:w="0" w14:cap="flat" w14:cmpd="sng" w14:algn="ctr">
            <w14:noFill/>
            <w14:prstDash w14:val="solid"/>
            <w14:bevel/>
          </w14:textOutline>
        </w:rPr>
        <w:t xml:space="preserve">. </w:t>
      </w:r>
      <w:r w:rsidR="00C23D65" w:rsidRPr="00C86111">
        <w:rPr>
          <w:rFonts w:asciiTheme="minorHAnsi" w:eastAsia="Arial Unicode MS" w:hAnsiTheme="minorHAnsi" w:cstheme="minorHAnsi"/>
          <w:color w:val="000000"/>
          <w:szCs w:val="24"/>
          <w:bdr w:val="none" w:sz="0" w:space="0" w:color="auto" w:frame="1"/>
          <w14:textOutline w14:w="0" w14:cap="flat" w14:cmpd="sng" w14:algn="ctr">
            <w14:noFill/>
            <w14:prstDash w14:val="solid"/>
            <w14:bevel/>
          </w14:textOutline>
        </w:rPr>
        <w:t>Sadržaj PBDE-a u autobusima u upotrebi u periodu 2006–2023.</w:t>
      </w:r>
    </w:p>
    <w:p w14:paraId="235DB62D" w14:textId="77777777" w:rsidR="00C23D65" w:rsidRPr="00C86111" w:rsidRDefault="00C23D65" w:rsidP="00C23D65">
      <w:pPr>
        <w:jc w:val="both"/>
        <w:rPr>
          <w:rFonts w:asciiTheme="minorHAnsi" w:eastAsia="Arial Unicode MS" w:hAnsiTheme="minorHAnsi" w:cstheme="minorHAnsi"/>
          <w:b/>
          <w:bCs/>
          <w:color w:val="000000"/>
          <w:szCs w:val="24"/>
          <w:bdr w:val="none" w:sz="0" w:space="0" w:color="auto" w:frame="1"/>
          <w14:textOutline w14:w="0" w14:cap="flat" w14:cmpd="sng" w14:algn="ctr">
            <w14:noFill/>
            <w14:prstDash w14:val="solid"/>
            <w14:bevel/>
          </w14:textOutline>
        </w:rPr>
      </w:pPr>
    </w:p>
    <w:p w14:paraId="5D2296B7"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Sadržaj PBDE u autobusima u upotrebi pokazuje opadajući trend u periodu 2006–2023.</w:t>
      </w:r>
    </w:p>
    <w:p w14:paraId="12FCD76E" w14:textId="77777777" w:rsidR="00C23D65" w:rsidRPr="00C86111" w:rsidRDefault="00C23D65" w:rsidP="00C23D65">
      <w:pPr>
        <w:jc w:val="both"/>
        <w:rPr>
          <w:rFonts w:asciiTheme="minorHAnsi" w:hAnsiTheme="minorHAnsi" w:cstheme="minorHAnsi"/>
          <w:color w:val="auto"/>
          <w:szCs w:val="24"/>
          <w:u w:val="single"/>
        </w:rPr>
      </w:pPr>
    </w:p>
    <w:p w14:paraId="08E14E7D" w14:textId="22224E54"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color w:val="auto"/>
          <w:szCs w:val="24"/>
        </w:rPr>
        <w:t xml:space="preserve">Komparativni prikaz sadržaja PBDE po svim kategorijama vozila za period 2017–2023 prikazan je na  u Tabeli </w:t>
      </w:r>
      <w:r w:rsidR="00D95B9C" w:rsidRPr="00C86111">
        <w:rPr>
          <w:rFonts w:asciiTheme="minorHAnsi" w:hAnsiTheme="minorHAnsi" w:cstheme="minorHAnsi"/>
          <w:color w:val="auto"/>
          <w:szCs w:val="24"/>
        </w:rPr>
        <w:t>54</w:t>
      </w:r>
      <w:r w:rsidRPr="00C86111">
        <w:rPr>
          <w:rFonts w:asciiTheme="minorHAnsi" w:hAnsiTheme="minorHAnsi" w:cstheme="minorHAnsi"/>
          <w:color w:val="auto"/>
          <w:szCs w:val="24"/>
        </w:rPr>
        <w:t xml:space="preserve"> </w:t>
      </w:r>
      <w:r w:rsidR="00D95B9C" w:rsidRPr="00C86111">
        <w:rPr>
          <w:rFonts w:asciiTheme="minorHAnsi" w:hAnsiTheme="minorHAnsi" w:cstheme="minorHAnsi"/>
          <w:color w:val="auto"/>
          <w:szCs w:val="24"/>
        </w:rPr>
        <w:t>i</w:t>
      </w:r>
      <w:r w:rsidRPr="00C86111">
        <w:rPr>
          <w:rFonts w:asciiTheme="minorHAnsi" w:hAnsiTheme="minorHAnsi" w:cstheme="minorHAnsi"/>
          <w:color w:val="auto"/>
          <w:szCs w:val="24"/>
        </w:rPr>
        <w:t xml:space="preserve"> </w:t>
      </w:r>
      <w:r w:rsidR="00D95B9C" w:rsidRPr="00C86111">
        <w:rPr>
          <w:rFonts w:asciiTheme="minorHAnsi" w:hAnsiTheme="minorHAnsi" w:cstheme="minorHAnsi"/>
          <w:color w:val="auto"/>
          <w:szCs w:val="24"/>
        </w:rPr>
        <w:t>Grafiku</w:t>
      </w:r>
      <w:r w:rsidRPr="00C86111">
        <w:rPr>
          <w:rFonts w:asciiTheme="minorHAnsi" w:hAnsiTheme="minorHAnsi" w:cstheme="minorHAnsi"/>
          <w:color w:val="auto"/>
          <w:szCs w:val="24"/>
        </w:rPr>
        <w:t xml:space="preserve"> 1</w:t>
      </w:r>
      <w:r w:rsidR="00547278">
        <w:rPr>
          <w:rFonts w:asciiTheme="minorHAnsi" w:hAnsiTheme="minorHAnsi" w:cstheme="minorHAnsi"/>
          <w:color w:val="auto"/>
          <w:szCs w:val="24"/>
        </w:rPr>
        <w:t>4</w:t>
      </w:r>
      <w:r w:rsidRPr="00C86111">
        <w:rPr>
          <w:rFonts w:asciiTheme="minorHAnsi" w:hAnsiTheme="minorHAnsi" w:cstheme="minorHAnsi"/>
          <w:color w:val="auto"/>
          <w:szCs w:val="24"/>
        </w:rPr>
        <w:t>.</w:t>
      </w:r>
    </w:p>
    <w:p w14:paraId="468CB560" w14:textId="77777777" w:rsidR="00C23D65" w:rsidRPr="00C86111" w:rsidRDefault="00C23D65" w:rsidP="00C23D65">
      <w:pPr>
        <w:jc w:val="both"/>
        <w:rPr>
          <w:rFonts w:asciiTheme="minorHAnsi" w:hAnsiTheme="minorHAnsi" w:cstheme="minorHAnsi"/>
          <w:color w:val="auto"/>
          <w:szCs w:val="24"/>
        </w:rPr>
      </w:pPr>
    </w:p>
    <w:p w14:paraId="1F1704E9" w14:textId="3330A7BA" w:rsidR="00C23D65" w:rsidRPr="00C86111" w:rsidRDefault="00C23D65" w:rsidP="00C23D65">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 xml:space="preserve">Tabela </w:t>
      </w:r>
      <w:r w:rsidR="00D95B9C" w:rsidRPr="00C86111">
        <w:rPr>
          <w:rFonts w:asciiTheme="minorHAnsi" w:hAnsiTheme="minorHAnsi" w:cstheme="minorHAnsi"/>
          <w:b/>
          <w:bCs/>
          <w:color w:val="auto"/>
          <w:szCs w:val="24"/>
        </w:rPr>
        <w:t>54</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Komparativni prikaz PBDE po kategorijama vozila (2017–2023)</w:t>
      </w:r>
    </w:p>
    <w:tbl>
      <w:tblPr>
        <w:tblStyle w:val="GridTable5Dark-Accent6"/>
        <w:tblW w:w="0" w:type="auto"/>
        <w:tblLook w:val="04A0" w:firstRow="1" w:lastRow="0" w:firstColumn="1" w:lastColumn="0" w:noHBand="0" w:noVBand="1"/>
      </w:tblPr>
      <w:tblGrid>
        <w:gridCol w:w="814"/>
        <w:gridCol w:w="2608"/>
        <w:gridCol w:w="1999"/>
        <w:gridCol w:w="2643"/>
        <w:gridCol w:w="1286"/>
      </w:tblGrid>
      <w:tr w:rsidR="00C23D65" w:rsidRPr="00C86111" w14:paraId="4F850EC7"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hideMark/>
          </w:tcPr>
          <w:p w14:paraId="7122920F"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Godina</w:t>
            </w:r>
          </w:p>
        </w:tc>
        <w:tc>
          <w:tcPr>
            <w:tcW w:w="0" w:type="auto"/>
            <w:tcBorders>
              <w:bottom w:val="single" w:sz="4" w:space="0" w:color="FFFFFF" w:themeColor="background1"/>
            </w:tcBorders>
            <w:hideMark/>
          </w:tcPr>
          <w:p w14:paraId="564A3BA4"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PBDE sadržaj u putničkim automobilima (kg)</w:t>
            </w:r>
          </w:p>
        </w:tc>
        <w:tc>
          <w:tcPr>
            <w:tcW w:w="0" w:type="auto"/>
            <w:tcBorders>
              <w:bottom w:val="single" w:sz="4" w:space="0" w:color="FFFFFF" w:themeColor="background1"/>
            </w:tcBorders>
            <w:hideMark/>
          </w:tcPr>
          <w:p w14:paraId="78DED585"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PBDE sadržaj u autobusima (kg)</w:t>
            </w:r>
          </w:p>
        </w:tc>
        <w:tc>
          <w:tcPr>
            <w:tcW w:w="0" w:type="auto"/>
            <w:tcBorders>
              <w:bottom w:val="single" w:sz="4" w:space="0" w:color="FFFFFF" w:themeColor="background1"/>
            </w:tcBorders>
            <w:hideMark/>
          </w:tcPr>
          <w:p w14:paraId="17B25272"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PBDE sadržaj u registrovanim kamionima (kg)</w:t>
            </w:r>
          </w:p>
        </w:tc>
        <w:tc>
          <w:tcPr>
            <w:tcW w:w="0" w:type="auto"/>
            <w:tcBorders>
              <w:bottom w:val="single" w:sz="4" w:space="0" w:color="FFFFFF" w:themeColor="background1"/>
            </w:tcBorders>
            <w:hideMark/>
          </w:tcPr>
          <w:p w14:paraId="2F118E19"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Ukupno PBDE (kg)</w:t>
            </w:r>
          </w:p>
        </w:tc>
      </w:tr>
      <w:tr w:rsidR="00C23D65" w:rsidRPr="00C86111" w14:paraId="4310C512"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3E94BCE3"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1F2D1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10.893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111F3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E7A824"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728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2A767F"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11.697</w:t>
            </w:r>
          </w:p>
        </w:tc>
      </w:tr>
      <w:tr w:rsidR="00C23D65" w:rsidRPr="00C86111" w14:paraId="7E22425D"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756522B2"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F0FAB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CF9959"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3AB4C3"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756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3576F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11.861</w:t>
            </w:r>
          </w:p>
        </w:tc>
      </w:tr>
      <w:tr w:rsidR="00C23D65" w:rsidRPr="00C86111" w14:paraId="29449F0A"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0358D90F"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BBDE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10.776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00721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26119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7E671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11.605</w:t>
            </w:r>
          </w:p>
        </w:tc>
      </w:tr>
      <w:tr w:rsidR="00C23D65" w:rsidRPr="00C86111" w14:paraId="35620A9D"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48960E63"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B2B7F1"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9.996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47796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0A6BD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D8131D"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10.760</w:t>
            </w:r>
          </w:p>
        </w:tc>
      </w:tr>
      <w:tr w:rsidR="00C23D65" w:rsidRPr="00C86111" w14:paraId="0EEDA445"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0D3E0307"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06DCCA"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9.896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510287"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DAEA61"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746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5E765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10.693</w:t>
            </w:r>
          </w:p>
        </w:tc>
      </w:tr>
      <w:tr w:rsidR="00C23D65" w:rsidRPr="00C86111" w14:paraId="1809C084"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4DC3B04D"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4F4D84"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9.493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5DAF18"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132C5E"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9A0DA2"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10.263</w:t>
            </w:r>
          </w:p>
        </w:tc>
      </w:tr>
      <w:tr w:rsidR="00C23D65" w:rsidRPr="00C86111" w14:paraId="1F61E6A3"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hideMark/>
          </w:tcPr>
          <w:p w14:paraId="492B586D"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EC2A96"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9.246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2A7FE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7A933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6EA94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10.006</w:t>
            </w:r>
          </w:p>
        </w:tc>
      </w:tr>
    </w:tbl>
    <w:p w14:paraId="09D9B1C4" w14:textId="77777777" w:rsidR="00C23D65" w:rsidRPr="00C86111" w:rsidRDefault="00C23D65" w:rsidP="00C23D65">
      <w:pPr>
        <w:jc w:val="both"/>
        <w:rPr>
          <w:rFonts w:asciiTheme="minorHAnsi" w:hAnsiTheme="minorHAnsi" w:cstheme="minorHAnsi"/>
          <w:b/>
          <w:bCs/>
          <w:color w:val="auto"/>
          <w:szCs w:val="24"/>
        </w:rPr>
      </w:pPr>
    </w:p>
    <w:p w14:paraId="7F8568AB" w14:textId="39CA8994" w:rsidR="00C23D65" w:rsidRPr="00C86111" w:rsidRDefault="00C23D65" w:rsidP="00C23D65">
      <w:pPr>
        <w:jc w:val="center"/>
        <w:rPr>
          <w:rFonts w:asciiTheme="minorHAnsi" w:hAnsiTheme="minorHAnsi" w:cstheme="minorHAnsi"/>
          <w:b/>
          <w:bCs/>
          <w:color w:val="auto"/>
          <w:szCs w:val="24"/>
        </w:rPr>
      </w:pPr>
      <w:r w:rsidRPr="00C86111">
        <w:rPr>
          <w:rFonts w:asciiTheme="minorHAnsi" w:hAnsiTheme="minorHAnsi" w:cstheme="minorHAnsi"/>
          <w:noProof/>
          <w:szCs w:val="24"/>
        </w:rPr>
        <w:lastRenderedPageBreak/>
        <w:drawing>
          <wp:inline distT="0" distB="0" distL="0" distR="0" wp14:anchorId="1A2477BF" wp14:editId="7E276900">
            <wp:extent cx="5135880" cy="2559050"/>
            <wp:effectExtent l="0" t="0" r="7620" b="12700"/>
            <wp:docPr id="439037082" name="Chart 439037082">
              <a:extLst xmlns:a="http://schemas.openxmlformats.org/drawingml/2006/main">
                <a:ext uri="{FF2B5EF4-FFF2-40B4-BE49-F238E27FC236}">
                  <a16:creationId xmlns:a16="http://schemas.microsoft.com/office/drawing/2014/main" id="{47E744F2-3E76-5254-65EB-6089C499A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0D585D" w14:textId="07787C8B" w:rsidR="00C23D65" w:rsidRPr="00C86111" w:rsidRDefault="00D95B9C" w:rsidP="00C23D65">
      <w:pPr>
        <w:jc w:val="center"/>
        <w:rPr>
          <w:rFonts w:asciiTheme="minorHAnsi" w:hAnsiTheme="minorHAnsi" w:cstheme="minorHAnsi"/>
          <w:b/>
          <w:bCs/>
          <w:color w:val="auto"/>
          <w:szCs w:val="24"/>
        </w:rPr>
      </w:pPr>
      <w:r w:rsidRPr="00C86111">
        <w:rPr>
          <w:rFonts w:asciiTheme="minorHAnsi" w:hAnsiTheme="minorHAnsi" w:cstheme="minorHAnsi"/>
          <w:b/>
          <w:bCs/>
          <w:color w:val="auto"/>
          <w:szCs w:val="24"/>
        </w:rPr>
        <w:t>Grafik</w:t>
      </w:r>
      <w:r w:rsidR="00C23D65" w:rsidRPr="00C86111">
        <w:rPr>
          <w:rFonts w:asciiTheme="minorHAnsi" w:hAnsiTheme="minorHAnsi" w:cstheme="minorHAnsi"/>
          <w:b/>
          <w:bCs/>
          <w:color w:val="auto"/>
          <w:szCs w:val="24"/>
        </w:rPr>
        <w:t xml:space="preserve"> 1</w:t>
      </w:r>
      <w:r w:rsidR="00547278">
        <w:rPr>
          <w:rFonts w:asciiTheme="minorHAnsi" w:hAnsiTheme="minorHAnsi" w:cstheme="minorHAnsi"/>
          <w:b/>
          <w:bCs/>
          <w:color w:val="auto"/>
          <w:szCs w:val="24"/>
        </w:rPr>
        <w:t>4</w:t>
      </w:r>
      <w:r w:rsidR="00C23D65" w:rsidRPr="00C86111">
        <w:rPr>
          <w:rFonts w:asciiTheme="minorHAnsi" w:hAnsiTheme="minorHAnsi" w:cstheme="minorHAnsi"/>
          <w:b/>
          <w:bCs/>
          <w:color w:val="auto"/>
          <w:szCs w:val="24"/>
        </w:rPr>
        <w:t>.</w:t>
      </w:r>
      <w:r w:rsidR="00C23D65" w:rsidRPr="00C86111">
        <w:rPr>
          <w:rFonts w:asciiTheme="minorHAnsi" w:hAnsiTheme="minorHAnsi" w:cstheme="minorHAnsi"/>
          <w:color w:val="auto"/>
          <w:szCs w:val="24"/>
        </w:rPr>
        <w:t xml:space="preserve"> Komparativni prikaz PBDE po kategorijama vozila (2017–2023)</w:t>
      </w:r>
    </w:p>
    <w:p w14:paraId="6703C585" w14:textId="77777777" w:rsidR="00C23D65" w:rsidRPr="00C86111" w:rsidRDefault="00C23D65" w:rsidP="00C23D65">
      <w:pPr>
        <w:jc w:val="both"/>
        <w:rPr>
          <w:rFonts w:asciiTheme="minorHAnsi" w:hAnsiTheme="minorHAnsi" w:cstheme="minorHAnsi"/>
          <w:color w:val="auto"/>
          <w:szCs w:val="24"/>
        </w:rPr>
      </w:pPr>
    </w:p>
    <w:p w14:paraId="16BD6213"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Podaci o sadržaju PBDE u registrovanim vozilima u periodu 2017–2023 pokazuju </w:t>
      </w:r>
      <w:r w:rsidRPr="00C86111">
        <w:rPr>
          <w:rFonts w:asciiTheme="minorHAnsi" w:hAnsiTheme="minorHAnsi" w:cstheme="minorHAnsi"/>
          <w:b/>
          <w:bCs/>
          <w:color w:val="auto"/>
          <w:szCs w:val="24"/>
        </w:rPr>
        <w:t>postepeni pad ukupnih količina</w:t>
      </w:r>
      <w:r w:rsidRPr="00C86111">
        <w:rPr>
          <w:rFonts w:asciiTheme="minorHAnsi" w:hAnsiTheme="minorHAnsi" w:cstheme="minorHAnsi"/>
          <w:color w:val="auto"/>
          <w:szCs w:val="24"/>
        </w:rPr>
        <w:t>:</w:t>
      </w:r>
    </w:p>
    <w:p w14:paraId="7A6835CF" w14:textId="77777777" w:rsidR="00C23D65" w:rsidRPr="00C86111" w:rsidRDefault="00C23D65" w:rsidP="00004F34">
      <w:pPr>
        <w:numPr>
          <w:ilvl w:val="0"/>
          <w:numId w:val="200"/>
        </w:numPr>
        <w:jc w:val="both"/>
        <w:rPr>
          <w:rFonts w:asciiTheme="minorHAnsi" w:hAnsiTheme="minorHAnsi" w:cstheme="minorHAnsi"/>
          <w:color w:val="auto"/>
          <w:szCs w:val="24"/>
        </w:rPr>
      </w:pPr>
      <w:r w:rsidRPr="00C86111">
        <w:rPr>
          <w:rFonts w:asciiTheme="minorHAnsi" w:hAnsiTheme="minorHAnsi" w:cstheme="minorHAnsi"/>
          <w:b/>
          <w:bCs/>
          <w:color w:val="auto"/>
          <w:szCs w:val="24"/>
        </w:rPr>
        <w:t>Putnički automobili:</w:t>
      </w:r>
      <w:r w:rsidRPr="00C86111">
        <w:rPr>
          <w:rFonts w:asciiTheme="minorHAnsi" w:hAnsiTheme="minorHAnsi" w:cstheme="minorHAnsi"/>
          <w:color w:val="auto"/>
          <w:szCs w:val="24"/>
        </w:rPr>
        <w:t xml:space="preserve"> Sadržaj PBDE smanjen je sa 10.893 kg u 2017. na 9.246 kg u 2023, što predstavlja smanjenje od približno 15% u toku sedam godina.</w:t>
      </w:r>
    </w:p>
    <w:p w14:paraId="0AE54E46" w14:textId="77777777" w:rsidR="00C23D65" w:rsidRPr="00C86111" w:rsidRDefault="00C23D65" w:rsidP="00004F34">
      <w:pPr>
        <w:numPr>
          <w:ilvl w:val="0"/>
          <w:numId w:val="200"/>
        </w:numPr>
        <w:jc w:val="both"/>
        <w:rPr>
          <w:rFonts w:asciiTheme="minorHAnsi" w:hAnsiTheme="minorHAnsi" w:cstheme="minorHAnsi"/>
          <w:color w:val="auto"/>
          <w:szCs w:val="24"/>
        </w:rPr>
      </w:pPr>
      <w:r w:rsidRPr="00C86111">
        <w:rPr>
          <w:rFonts w:asciiTheme="minorHAnsi" w:hAnsiTheme="minorHAnsi" w:cstheme="minorHAnsi"/>
          <w:b/>
          <w:bCs/>
          <w:color w:val="auto"/>
          <w:szCs w:val="24"/>
        </w:rPr>
        <w:t>Autobusi:</w:t>
      </w:r>
      <w:r w:rsidRPr="00C86111">
        <w:rPr>
          <w:rFonts w:asciiTheme="minorHAnsi" w:hAnsiTheme="minorHAnsi" w:cstheme="minorHAnsi"/>
          <w:color w:val="auto"/>
          <w:szCs w:val="24"/>
        </w:rPr>
        <w:t xml:space="preserve"> Sadržaj PBDE je oscilirao na nižim nivoima, u rasponu od 76 kg u 2017. do 52 kg u 2023., sa manjim varijacijama između godina.</w:t>
      </w:r>
    </w:p>
    <w:p w14:paraId="19F88183" w14:textId="77777777" w:rsidR="00C23D65" w:rsidRPr="00C86111" w:rsidRDefault="00C23D65" w:rsidP="00004F34">
      <w:pPr>
        <w:numPr>
          <w:ilvl w:val="0"/>
          <w:numId w:val="200"/>
        </w:numPr>
        <w:jc w:val="both"/>
        <w:rPr>
          <w:rFonts w:asciiTheme="minorHAnsi" w:hAnsiTheme="minorHAnsi" w:cstheme="minorHAnsi"/>
          <w:color w:val="auto"/>
          <w:szCs w:val="24"/>
        </w:rPr>
      </w:pPr>
      <w:r w:rsidRPr="00C86111">
        <w:rPr>
          <w:rFonts w:asciiTheme="minorHAnsi" w:hAnsiTheme="minorHAnsi" w:cstheme="minorHAnsi"/>
          <w:b/>
          <w:bCs/>
          <w:color w:val="auto"/>
          <w:szCs w:val="24"/>
        </w:rPr>
        <w:t>Kamioni:</w:t>
      </w:r>
      <w:r w:rsidRPr="00C86111">
        <w:rPr>
          <w:rFonts w:asciiTheme="minorHAnsi" w:hAnsiTheme="minorHAnsi" w:cstheme="minorHAnsi"/>
          <w:color w:val="auto"/>
          <w:szCs w:val="24"/>
        </w:rPr>
        <w:t xml:space="preserve"> Sadržaj PBDE je pokazao blagi pad sa 728 kg u 2017. na 708 kg u 2023., ostajući relativno stabilan u odnosu na ukupnu masu.</w:t>
      </w:r>
    </w:p>
    <w:p w14:paraId="6D8D4D43" w14:textId="77777777" w:rsidR="00C23D65" w:rsidRPr="00C86111" w:rsidRDefault="00C23D65" w:rsidP="00004F34">
      <w:pPr>
        <w:numPr>
          <w:ilvl w:val="0"/>
          <w:numId w:val="200"/>
        </w:numPr>
        <w:jc w:val="both"/>
        <w:rPr>
          <w:rFonts w:asciiTheme="minorHAnsi" w:hAnsiTheme="minorHAnsi" w:cstheme="minorHAnsi"/>
          <w:color w:val="auto"/>
          <w:szCs w:val="24"/>
        </w:rPr>
      </w:pPr>
      <w:r w:rsidRPr="00C86111">
        <w:rPr>
          <w:rFonts w:asciiTheme="minorHAnsi" w:hAnsiTheme="minorHAnsi" w:cstheme="minorHAnsi"/>
          <w:b/>
          <w:bCs/>
          <w:color w:val="auto"/>
          <w:szCs w:val="24"/>
        </w:rPr>
        <w:t>Ukupno:</w:t>
      </w:r>
      <w:r w:rsidRPr="00C86111">
        <w:rPr>
          <w:rFonts w:asciiTheme="minorHAnsi" w:hAnsiTheme="minorHAnsi" w:cstheme="minorHAnsi"/>
          <w:color w:val="auto"/>
          <w:szCs w:val="24"/>
        </w:rPr>
        <w:t xml:space="preserve"> Ukupan sadržaj PBDE u svim kategorijama vozila pao je sa 11.697 kg u 2017. na 10.006 kg u 2023., što pokazuje kontinuirani silazni trend. Ovo je vjerovatno posljedica starenja i prirodnog povlačenja vozila sa višim sadržajem PBDE i njihove zamjene novijim vozilima sa nižim ili bez PBDE.</w:t>
      </w:r>
    </w:p>
    <w:p w14:paraId="60D9F8E7" w14:textId="77777777" w:rsidR="00C23D65" w:rsidRPr="00C86111" w:rsidRDefault="00C23D65" w:rsidP="00C23D65">
      <w:pPr>
        <w:ind w:left="720"/>
        <w:jc w:val="both"/>
        <w:rPr>
          <w:rFonts w:asciiTheme="minorHAnsi" w:hAnsiTheme="minorHAnsi" w:cstheme="minorHAnsi"/>
          <w:color w:val="auto"/>
          <w:szCs w:val="24"/>
        </w:rPr>
      </w:pPr>
    </w:p>
    <w:p w14:paraId="252E8F9C"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002060"/>
          <w:szCs w:val="24"/>
        </w:rPr>
        <w:t>Zaključak:</w:t>
      </w:r>
      <w:r w:rsidRPr="00C86111">
        <w:rPr>
          <w:rFonts w:asciiTheme="minorHAnsi" w:hAnsiTheme="minorHAnsi" w:cstheme="minorHAnsi"/>
          <w:color w:val="auto"/>
          <w:szCs w:val="24"/>
        </w:rPr>
        <w:t xml:space="preserve"> Upravljanje PBDE u vozilima postepeno se poboljšava, iako količine i dalje ostaju značajne, posebno u putničkim automobilima.</w:t>
      </w:r>
    </w:p>
    <w:p w14:paraId="16B6D26A" w14:textId="77777777" w:rsidR="00C23D65" w:rsidRPr="00C86111" w:rsidRDefault="00C23D65" w:rsidP="00EA6904">
      <w:pPr>
        <w:pStyle w:val="Heading3"/>
      </w:pPr>
      <w:bookmarkStart w:id="106" w:name="_Toc220541907"/>
      <w:r w:rsidRPr="00C86111">
        <w:t>Uvezena vozila</w:t>
      </w:r>
      <w:bookmarkEnd w:id="106"/>
    </w:p>
    <w:p w14:paraId="7EB2F9FB" w14:textId="77777777" w:rsidR="00C23D65" w:rsidRPr="00C86111" w:rsidRDefault="00C23D65" w:rsidP="00C23D65">
      <w:pPr>
        <w:jc w:val="both"/>
        <w:rPr>
          <w:rFonts w:asciiTheme="minorHAnsi" w:hAnsiTheme="minorHAnsi" w:cstheme="minorHAnsi"/>
          <w:b/>
          <w:bCs/>
          <w:color w:val="auto"/>
          <w:szCs w:val="24"/>
        </w:rPr>
      </w:pPr>
    </w:p>
    <w:p w14:paraId="332D0B58"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Podaci o broju uvezenih vozila dobijeni su od Mašinskog fakulteta – Centra za motore i vozila, koji u skladu sa Zakonom o bezbjednosti saobraćaja na putevima vrši homologaciju vozila.</w:t>
      </w:r>
    </w:p>
    <w:p w14:paraId="6218FDDE" w14:textId="459828BE"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Pregled sadržaja PBDE u uvezenim automobilima prikazan je u Tabeli </w:t>
      </w:r>
      <w:r w:rsidR="00D95B9C" w:rsidRPr="00C86111">
        <w:rPr>
          <w:rFonts w:asciiTheme="minorHAnsi" w:hAnsiTheme="minorHAnsi" w:cstheme="minorHAnsi"/>
          <w:color w:val="auto"/>
          <w:szCs w:val="24"/>
        </w:rPr>
        <w:t>55</w:t>
      </w:r>
      <w:r w:rsidRPr="00C86111">
        <w:rPr>
          <w:rFonts w:asciiTheme="minorHAnsi" w:hAnsiTheme="minorHAnsi" w:cstheme="minorHAnsi"/>
          <w:color w:val="auto"/>
          <w:szCs w:val="24"/>
        </w:rPr>
        <w:t xml:space="preserve"> i </w:t>
      </w:r>
      <w:r w:rsidR="00D95B9C" w:rsidRPr="00C86111">
        <w:rPr>
          <w:rFonts w:asciiTheme="minorHAnsi" w:hAnsiTheme="minorHAnsi" w:cstheme="minorHAnsi"/>
          <w:color w:val="auto"/>
          <w:szCs w:val="24"/>
        </w:rPr>
        <w:t>Grafiku</w:t>
      </w:r>
      <w:r w:rsidRPr="00C86111">
        <w:rPr>
          <w:rFonts w:asciiTheme="minorHAnsi" w:hAnsiTheme="minorHAnsi" w:cstheme="minorHAnsi"/>
          <w:color w:val="auto"/>
          <w:szCs w:val="24"/>
        </w:rPr>
        <w:t>1</w:t>
      </w:r>
      <w:r w:rsidR="00547278">
        <w:rPr>
          <w:rFonts w:asciiTheme="minorHAnsi" w:hAnsiTheme="minorHAnsi" w:cstheme="minorHAnsi"/>
          <w:color w:val="auto"/>
          <w:szCs w:val="24"/>
        </w:rPr>
        <w:t>5</w:t>
      </w:r>
      <w:r w:rsidRPr="00C86111">
        <w:rPr>
          <w:rFonts w:asciiTheme="minorHAnsi" w:hAnsiTheme="minorHAnsi" w:cstheme="minorHAnsi"/>
          <w:color w:val="auto"/>
          <w:szCs w:val="24"/>
        </w:rPr>
        <w:t>.</w:t>
      </w:r>
    </w:p>
    <w:p w14:paraId="73D011C0" w14:textId="77777777" w:rsidR="00C23D65" w:rsidRPr="00C86111" w:rsidRDefault="00C23D65" w:rsidP="00C23D65">
      <w:pPr>
        <w:jc w:val="both"/>
        <w:rPr>
          <w:rFonts w:asciiTheme="minorHAnsi" w:hAnsiTheme="minorHAnsi" w:cstheme="minorHAnsi"/>
          <w:color w:val="auto"/>
          <w:szCs w:val="24"/>
        </w:rPr>
      </w:pPr>
    </w:p>
    <w:p w14:paraId="1045E65E" w14:textId="5A27E201" w:rsidR="00C23D65" w:rsidRPr="00C86111" w:rsidRDefault="00C23D65" w:rsidP="00C23D65">
      <w:pPr>
        <w:pStyle w:val="Text"/>
        <w:rPr>
          <w:rFonts w:asciiTheme="minorHAnsi" w:hAnsiTheme="minorHAnsi" w:cstheme="minorHAnsi"/>
          <w:sz w:val="24"/>
          <w:szCs w:val="24"/>
        </w:rPr>
      </w:pPr>
      <w:r w:rsidRPr="00C86111">
        <w:rPr>
          <w:rFonts w:asciiTheme="minorHAnsi" w:hAnsiTheme="minorHAnsi" w:cstheme="minorHAnsi"/>
          <w:b/>
          <w:bCs/>
          <w:sz w:val="24"/>
          <w:szCs w:val="24"/>
        </w:rPr>
        <w:t xml:space="preserve">Tabela </w:t>
      </w:r>
      <w:r w:rsidR="00D95B9C" w:rsidRPr="00C86111">
        <w:rPr>
          <w:rFonts w:asciiTheme="minorHAnsi" w:hAnsiTheme="minorHAnsi" w:cstheme="minorHAnsi"/>
          <w:b/>
          <w:bCs/>
          <w:sz w:val="24"/>
          <w:szCs w:val="24"/>
        </w:rPr>
        <w:t>55</w:t>
      </w:r>
      <w:r w:rsidRPr="00C86111">
        <w:rPr>
          <w:rFonts w:asciiTheme="minorHAnsi" w:hAnsiTheme="minorHAnsi" w:cstheme="minorHAnsi"/>
          <w:b/>
          <w:bCs/>
          <w:sz w:val="24"/>
          <w:szCs w:val="24"/>
        </w:rPr>
        <w:t xml:space="preserve">. </w:t>
      </w:r>
      <w:r w:rsidRPr="00C86111">
        <w:rPr>
          <w:rFonts w:asciiTheme="minorHAnsi" w:hAnsiTheme="minorHAnsi" w:cstheme="minorHAnsi"/>
          <w:sz w:val="24"/>
          <w:szCs w:val="24"/>
        </w:rPr>
        <w:t>Pregled sadržaja PBDE u uvezenim putničkim vozilima u periodu 2017–2023</w:t>
      </w:r>
    </w:p>
    <w:tbl>
      <w:tblPr>
        <w:tblStyle w:val="GridTable5Dark-Accent6"/>
        <w:tblW w:w="9360" w:type="dxa"/>
        <w:tblLayout w:type="fixed"/>
        <w:tblLook w:val="04A0" w:firstRow="1" w:lastRow="0" w:firstColumn="1" w:lastColumn="0" w:noHBand="0" w:noVBand="1"/>
      </w:tblPr>
      <w:tblGrid>
        <w:gridCol w:w="2003"/>
        <w:gridCol w:w="823"/>
        <w:gridCol w:w="1089"/>
        <w:gridCol w:w="1089"/>
        <w:gridCol w:w="1089"/>
        <w:gridCol w:w="1089"/>
        <w:gridCol w:w="1089"/>
        <w:gridCol w:w="1089"/>
      </w:tblGrid>
      <w:tr w:rsidR="00C23D65" w:rsidRPr="00C86111" w14:paraId="7C87CEA6" w14:textId="77777777" w:rsidTr="00C23D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3" w:type="dxa"/>
            <w:tcBorders>
              <w:bottom w:val="single" w:sz="4" w:space="0" w:color="FFFFFF" w:themeColor="background1"/>
            </w:tcBorders>
            <w:hideMark/>
          </w:tcPr>
          <w:p w14:paraId="64A3621D" w14:textId="77777777" w:rsidR="00C23D65" w:rsidRPr="00C86111" w:rsidRDefault="00C23D65">
            <w:pPr>
              <w:pStyle w:val="Text"/>
              <w:rPr>
                <w:rFonts w:asciiTheme="minorHAnsi" w:hAnsiTheme="minorHAnsi" w:cstheme="minorHAnsi"/>
                <w:sz w:val="20"/>
                <w:szCs w:val="20"/>
              </w:rPr>
            </w:pPr>
            <w:r w:rsidRPr="00C86111">
              <w:rPr>
                <w:rFonts w:asciiTheme="minorHAnsi" w:hAnsiTheme="minorHAnsi" w:cstheme="minorHAnsi"/>
                <w:sz w:val="20"/>
                <w:szCs w:val="20"/>
              </w:rPr>
              <w:t>Godina</w:t>
            </w:r>
          </w:p>
        </w:tc>
        <w:tc>
          <w:tcPr>
            <w:tcW w:w="823" w:type="dxa"/>
            <w:tcBorders>
              <w:bottom w:val="single" w:sz="4" w:space="0" w:color="FFFFFF" w:themeColor="background1"/>
            </w:tcBorders>
            <w:hideMark/>
          </w:tcPr>
          <w:p w14:paraId="6AF7D4B0"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2017</w:t>
            </w:r>
          </w:p>
        </w:tc>
        <w:tc>
          <w:tcPr>
            <w:tcW w:w="1089" w:type="dxa"/>
            <w:tcBorders>
              <w:bottom w:val="single" w:sz="4" w:space="0" w:color="FFFFFF" w:themeColor="background1"/>
            </w:tcBorders>
            <w:hideMark/>
          </w:tcPr>
          <w:p w14:paraId="40A76231"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2018</w:t>
            </w:r>
          </w:p>
        </w:tc>
        <w:tc>
          <w:tcPr>
            <w:tcW w:w="1089" w:type="dxa"/>
            <w:tcBorders>
              <w:bottom w:val="single" w:sz="4" w:space="0" w:color="FFFFFF" w:themeColor="background1"/>
            </w:tcBorders>
            <w:hideMark/>
          </w:tcPr>
          <w:p w14:paraId="706ECE2F"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2019</w:t>
            </w:r>
          </w:p>
        </w:tc>
        <w:tc>
          <w:tcPr>
            <w:tcW w:w="1089" w:type="dxa"/>
            <w:tcBorders>
              <w:bottom w:val="single" w:sz="4" w:space="0" w:color="FFFFFF" w:themeColor="background1"/>
            </w:tcBorders>
            <w:hideMark/>
          </w:tcPr>
          <w:p w14:paraId="65E8DFDA"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2020</w:t>
            </w:r>
          </w:p>
        </w:tc>
        <w:tc>
          <w:tcPr>
            <w:tcW w:w="1089" w:type="dxa"/>
            <w:tcBorders>
              <w:bottom w:val="single" w:sz="4" w:space="0" w:color="FFFFFF" w:themeColor="background1"/>
            </w:tcBorders>
            <w:hideMark/>
          </w:tcPr>
          <w:p w14:paraId="31E094EC"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2021</w:t>
            </w:r>
          </w:p>
        </w:tc>
        <w:tc>
          <w:tcPr>
            <w:tcW w:w="1089" w:type="dxa"/>
            <w:tcBorders>
              <w:bottom w:val="single" w:sz="4" w:space="0" w:color="FFFFFF" w:themeColor="background1"/>
            </w:tcBorders>
            <w:hideMark/>
          </w:tcPr>
          <w:p w14:paraId="0FBDFCB3"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2022</w:t>
            </w:r>
          </w:p>
        </w:tc>
        <w:tc>
          <w:tcPr>
            <w:tcW w:w="1089" w:type="dxa"/>
            <w:tcBorders>
              <w:bottom w:val="single" w:sz="4" w:space="0" w:color="FFFFFF" w:themeColor="background1"/>
            </w:tcBorders>
            <w:hideMark/>
          </w:tcPr>
          <w:p w14:paraId="06942623" w14:textId="77777777" w:rsidR="00C23D65" w:rsidRPr="00C86111" w:rsidRDefault="00C23D65">
            <w:pPr>
              <w:pStyle w:val="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2023</w:t>
            </w:r>
          </w:p>
        </w:tc>
      </w:tr>
      <w:tr w:rsidR="00C23D65" w:rsidRPr="00C86111" w14:paraId="7F4215F6" w14:textId="77777777" w:rsidTr="00C23D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3" w:type="dxa"/>
            <w:tcBorders>
              <w:top w:val="single" w:sz="4" w:space="0" w:color="FFFFFF" w:themeColor="background1"/>
              <w:bottom w:val="single" w:sz="4" w:space="0" w:color="FFFFFF" w:themeColor="background1"/>
              <w:right w:val="single" w:sz="4" w:space="0" w:color="FFFFFF" w:themeColor="background1"/>
            </w:tcBorders>
            <w:hideMark/>
          </w:tcPr>
          <w:p w14:paraId="010FB084" w14:textId="77777777" w:rsidR="00C23D65" w:rsidRPr="00C86111" w:rsidRDefault="00C23D65">
            <w:pPr>
              <w:pStyle w:val="Text"/>
              <w:rPr>
                <w:rFonts w:asciiTheme="minorHAnsi" w:hAnsiTheme="minorHAnsi" w:cstheme="minorHAnsi"/>
                <w:sz w:val="20"/>
                <w:szCs w:val="20"/>
              </w:rPr>
            </w:pPr>
            <w:r w:rsidRPr="00C86111">
              <w:rPr>
                <w:rFonts w:asciiTheme="minorHAnsi" w:hAnsiTheme="minorHAnsi" w:cstheme="minorHAnsi"/>
                <w:sz w:val="20"/>
                <w:szCs w:val="20"/>
              </w:rPr>
              <w:t>Sadržaj PBDE (kg)</w:t>
            </w:r>
          </w:p>
        </w:tc>
        <w:tc>
          <w:tcPr>
            <w:tcW w:w="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F37552"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748.3</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E89B91"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724.56</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A4C147"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362.96</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976BBB"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247.78</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0C9B7B"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264.72</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B5A084"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317.44</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DBB1D5" w14:textId="77777777" w:rsidR="00C23D65" w:rsidRPr="00C86111" w:rsidRDefault="00C23D65">
            <w:pPr>
              <w:pStyle w:val="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400.5</w:t>
            </w:r>
          </w:p>
        </w:tc>
      </w:tr>
      <w:tr w:rsidR="00C23D65" w:rsidRPr="00C86111" w14:paraId="65CED3D4" w14:textId="77777777" w:rsidTr="00C23D65">
        <w:trPr>
          <w:trHeight w:val="20"/>
        </w:trPr>
        <w:tc>
          <w:tcPr>
            <w:cnfStyle w:val="001000000000" w:firstRow="0" w:lastRow="0" w:firstColumn="1" w:lastColumn="0" w:oddVBand="0" w:evenVBand="0" w:oddHBand="0" w:evenHBand="0" w:firstRowFirstColumn="0" w:firstRowLastColumn="0" w:lastRowFirstColumn="0" w:lastRowLastColumn="0"/>
            <w:tcW w:w="2003" w:type="dxa"/>
            <w:tcBorders>
              <w:top w:val="single" w:sz="4" w:space="0" w:color="FFFFFF" w:themeColor="background1"/>
              <w:right w:val="single" w:sz="4" w:space="0" w:color="FFFFFF" w:themeColor="background1"/>
            </w:tcBorders>
            <w:hideMark/>
          </w:tcPr>
          <w:p w14:paraId="2551798D" w14:textId="77777777" w:rsidR="00C23D65" w:rsidRPr="00C86111" w:rsidRDefault="00C23D65">
            <w:pPr>
              <w:pStyle w:val="Text"/>
              <w:rPr>
                <w:rFonts w:asciiTheme="minorHAnsi" w:hAnsiTheme="minorHAnsi" w:cstheme="minorHAnsi"/>
                <w:sz w:val="20"/>
                <w:szCs w:val="20"/>
              </w:rPr>
            </w:pPr>
            <w:r w:rsidRPr="00C86111">
              <w:rPr>
                <w:rFonts w:asciiTheme="minorHAnsi" w:hAnsiTheme="minorHAnsi" w:cstheme="minorHAnsi"/>
                <w:sz w:val="20"/>
                <w:szCs w:val="20"/>
              </w:rPr>
              <w:t>Sadržaj PBDE  (t)</w:t>
            </w:r>
          </w:p>
        </w:tc>
        <w:tc>
          <w:tcPr>
            <w:tcW w:w="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B0E160"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0.75</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C300D5"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0.72</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3C6DF"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0.36</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F1042B"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0.25</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39D76F"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0.26472</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0ABA3A"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0.32</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973B68" w14:textId="77777777" w:rsidR="00C23D65" w:rsidRPr="00C86111" w:rsidRDefault="00C23D65">
            <w:pPr>
              <w:pStyle w:val="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0.40</w:t>
            </w:r>
          </w:p>
        </w:tc>
      </w:tr>
    </w:tbl>
    <w:p w14:paraId="4AA15E0E" w14:textId="77777777" w:rsidR="00C23D65" w:rsidRPr="00C86111" w:rsidRDefault="00C23D65" w:rsidP="00C23D65">
      <w:pPr>
        <w:pStyle w:val="Text"/>
        <w:widowControl w:val="0"/>
        <w:rPr>
          <w:rFonts w:asciiTheme="minorHAnsi" w:hAnsiTheme="minorHAnsi" w:cstheme="minorHAnsi"/>
        </w:rPr>
      </w:pPr>
    </w:p>
    <w:p w14:paraId="2BA22A76" w14:textId="4C04277D" w:rsidR="00C23D65" w:rsidRPr="00C86111" w:rsidRDefault="00C23D65" w:rsidP="00C23D65">
      <w:pPr>
        <w:pStyle w:val="Text"/>
        <w:spacing w:after="0"/>
        <w:jc w:val="center"/>
        <w:rPr>
          <w:rFonts w:asciiTheme="minorHAnsi" w:hAnsiTheme="minorHAnsi" w:cstheme="minorHAnsi"/>
          <w:b/>
          <w:bCs/>
          <w:sz w:val="24"/>
          <w:szCs w:val="24"/>
          <w:lang w:val="it-IT"/>
        </w:rPr>
      </w:pPr>
      <w:r w:rsidRPr="00C86111">
        <w:rPr>
          <w:rFonts w:asciiTheme="minorHAnsi" w:hAnsiTheme="minorHAnsi" w:cstheme="minorHAnsi"/>
          <w:noProof/>
          <w:sz w:val="24"/>
          <w:szCs w:val="24"/>
          <w14:textOutline w14:w="0" w14:cap="rnd" w14:cmpd="sng" w14:algn="ctr">
            <w14:noFill/>
            <w14:prstDash w14:val="solid"/>
            <w14:bevel/>
          </w14:textOutline>
        </w:rPr>
        <w:drawing>
          <wp:inline distT="0" distB="0" distL="0" distR="0" wp14:anchorId="041293DC" wp14:editId="6304D8F5">
            <wp:extent cx="4587240" cy="1927860"/>
            <wp:effectExtent l="0" t="0" r="3810" b="15240"/>
            <wp:docPr id="1490383322" name="Chart 1490383322">
              <a:extLst xmlns:a="http://schemas.openxmlformats.org/drawingml/2006/main">
                <a:ext uri="{FF2B5EF4-FFF2-40B4-BE49-F238E27FC236}">
                  <a16:creationId xmlns:a16="http://schemas.microsoft.com/office/drawing/2014/main" id="{2DCE68D3-DE65-9BC4-EB1B-8B11198C8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43AF83" w14:textId="6B709812" w:rsidR="00C23D65" w:rsidRPr="00C86111" w:rsidRDefault="00D95B9C" w:rsidP="00C23D65">
      <w:pPr>
        <w:pStyle w:val="Text"/>
        <w:jc w:val="center"/>
        <w:rPr>
          <w:rFonts w:asciiTheme="minorHAnsi" w:hAnsiTheme="minorHAnsi" w:cstheme="minorHAnsi"/>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1</w:t>
      </w:r>
      <w:r w:rsidR="00547278">
        <w:rPr>
          <w:rFonts w:asciiTheme="minorHAnsi" w:hAnsiTheme="minorHAnsi" w:cstheme="minorHAnsi"/>
          <w:b/>
          <w:bCs/>
          <w:sz w:val="24"/>
          <w:szCs w:val="24"/>
        </w:rPr>
        <w:t>5</w:t>
      </w:r>
      <w:r w:rsidR="00C23D65" w:rsidRPr="00C86111">
        <w:rPr>
          <w:rFonts w:asciiTheme="minorHAnsi" w:hAnsiTheme="minorHAnsi" w:cstheme="minorHAnsi"/>
          <w:b/>
          <w:bCs/>
          <w:sz w:val="24"/>
          <w:szCs w:val="24"/>
        </w:rPr>
        <w:t xml:space="preserve">. </w:t>
      </w:r>
      <w:r w:rsidR="00C23D65" w:rsidRPr="00C86111">
        <w:rPr>
          <w:rFonts w:asciiTheme="minorHAnsi" w:hAnsiTheme="minorHAnsi" w:cstheme="minorHAnsi"/>
          <w:sz w:val="24"/>
          <w:szCs w:val="24"/>
        </w:rPr>
        <w:t>Grafički prikaz sadržaja PBDE u uvezenim putničkim vozilima u periodu 2017–2023.</w:t>
      </w:r>
    </w:p>
    <w:p w14:paraId="7EE92FAC" w14:textId="24397731" w:rsidR="00C23D65" w:rsidRPr="00C86111" w:rsidRDefault="00C23D65" w:rsidP="00C23D65">
      <w:pPr>
        <w:pStyle w:val="Text"/>
        <w:tabs>
          <w:tab w:val="left" w:pos="3510"/>
        </w:tabs>
        <w:spacing w:after="60"/>
        <w:jc w:val="both"/>
        <w:rPr>
          <w:rFonts w:asciiTheme="minorHAnsi" w:hAnsiTheme="minorHAnsi" w:cstheme="minorHAnsi"/>
          <w:sz w:val="24"/>
          <w:szCs w:val="24"/>
        </w:rPr>
      </w:pPr>
      <w:r w:rsidRPr="00C86111">
        <w:rPr>
          <w:rFonts w:asciiTheme="minorHAnsi" w:hAnsiTheme="minorHAnsi" w:cstheme="minorHAnsi"/>
          <w:sz w:val="24"/>
          <w:szCs w:val="24"/>
        </w:rPr>
        <w:t xml:space="preserve">Pregled sadržaja PBDE u uvezenim autobusima dat je u Tabeli </w:t>
      </w:r>
      <w:r w:rsidR="00D95B9C" w:rsidRPr="00C86111">
        <w:rPr>
          <w:rFonts w:asciiTheme="minorHAnsi" w:hAnsiTheme="minorHAnsi" w:cstheme="minorHAnsi"/>
          <w:sz w:val="24"/>
          <w:szCs w:val="24"/>
        </w:rPr>
        <w:t>56</w:t>
      </w:r>
      <w:r w:rsidRPr="00C86111">
        <w:rPr>
          <w:rFonts w:asciiTheme="minorHAnsi" w:hAnsiTheme="minorHAnsi" w:cstheme="minorHAnsi"/>
          <w:sz w:val="24"/>
          <w:szCs w:val="24"/>
        </w:rPr>
        <w:t xml:space="preserve"> i na </w:t>
      </w:r>
      <w:r w:rsidR="00D95B9C" w:rsidRPr="00C86111">
        <w:rPr>
          <w:rFonts w:asciiTheme="minorHAnsi" w:hAnsiTheme="minorHAnsi" w:cstheme="minorHAnsi"/>
          <w:sz w:val="24"/>
          <w:szCs w:val="24"/>
        </w:rPr>
        <w:t>Grafiku</w:t>
      </w:r>
      <w:r w:rsidRPr="00C86111">
        <w:rPr>
          <w:rFonts w:asciiTheme="minorHAnsi" w:hAnsiTheme="minorHAnsi" w:cstheme="minorHAnsi"/>
          <w:sz w:val="24"/>
          <w:szCs w:val="24"/>
        </w:rPr>
        <w:t xml:space="preserve"> 1</w:t>
      </w:r>
      <w:r w:rsidR="00547278">
        <w:rPr>
          <w:rFonts w:asciiTheme="minorHAnsi" w:hAnsiTheme="minorHAnsi" w:cstheme="minorHAnsi"/>
          <w:sz w:val="24"/>
          <w:szCs w:val="24"/>
        </w:rPr>
        <w:t>6</w:t>
      </w:r>
      <w:r w:rsidRPr="00C86111">
        <w:rPr>
          <w:rFonts w:asciiTheme="minorHAnsi" w:hAnsiTheme="minorHAnsi" w:cstheme="minorHAnsi"/>
          <w:sz w:val="24"/>
          <w:szCs w:val="24"/>
        </w:rPr>
        <w:t>.</w:t>
      </w:r>
    </w:p>
    <w:p w14:paraId="184A3C99" w14:textId="3287B0F9" w:rsidR="00C23D65" w:rsidRPr="00C86111" w:rsidRDefault="00C23D65" w:rsidP="00C23D65">
      <w:pPr>
        <w:pStyle w:val="Text"/>
        <w:tabs>
          <w:tab w:val="left" w:pos="3510"/>
        </w:tabs>
        <w:spacing w:after="60"/>
        <w:jc w:val="both"/>
        <w:rPr>
          <w:rFonts w:asciiTheme="minorHAnsi" w:hAnsiTheme="minorHAnsi" w:cstheme="minorHAnsi"/>
          <w:b/>
          <w:bCs/>
          <w:sz w:val="24"/>
          <w:szCs w:val="24"/>
        </w:rPr>
      </w:pPr>
      <w:r w:rsidRPr="00C86111">
        <w:rPr>
          <w:rFonts w:asciiTheme="minorHAnsi" w:hAnsiTheme="minorHAnsi" w:cstheme="minorHAnsi"/>
          <w:b/>
          <w:bCs/>
          <w:sz w:val="24"/>
          <w:szCs w:val="24"/>
        </w:rPr>
        <w:t xml:space="preserve">Tabela </w:t>
      </w:r>
      <w:r w:rsidR="00D95B9C" w:rsidRPr="00C86111">
        <w:rPr>
          <w:rFonts w:asciiTheme="minorHAnsi" w:hAnsiTheme="minorHAnsi" w:cstheme="minorHAnsi"/>
          <w:b/>
          <w:bCs/>
          <w:sz w:val="24"/>
          <w:szCs w:val="24"/>
        </w:rPr>
        <w:t>56</w:t>
      </w:r>
      <w:r w:rsidRPr="00C86111">
        <w:rPr>
          <w:rFonts w:asciiTheme="minorHAnsi" w:hAnsiTheme="minorHAnsi" w:cstheme="minorHAnsi"/>
          <w:b/>
          <w:bCs/>
          <w:sz w:val="24"/>
          <w:szCs w:val="24"/>
        </w:rPr>
        <w:t xml:space="preserve">. </w:t>
      </w:r>
      <w:r w:rsidRPr="00C86111">
        <w:rPr>
          <w:rFonts w:asciiTheme="minorHAnsi" w:hAnsiTheme="minorHAnsi" w:cstheme="minorHAnsi"/>
          <w:sz w:val="24"/>
          <w:szCs w:val="24"/>
        </w:rPr>
        <w:t>Pregled sadržaja PBDE u uvezenim autobusima u periodu 2017–2023</w:t>
      </w:r>
    </w:p>
    <w:tbl>
      <w:tblPr>
        <w:tblStyle w:val="GridTable5Dark-Accent6"/>
        <w:tblW w:w="9330" w:type="dxa"/>
        <w:tblLayout w:type="fixed"/>
        <w:tblLook w:val="04A0" w:firstRow="1" w:lastRow="0" w:firstColumn="1" w:lastColumn="0" w:noHBand="0" w:noVBand="1"/>
      </w:tblPr>
      <w:tblGrid>
        <w:gridCol w:w="2081"/>
        <w:gridCol w:w="1035"/>
        <w:gridCol w:w="1035"/>
        <w:gridCol w:w="1036"/>
        <w:gridCol w:w="1035"/>
        <w:gridCol w:w="1035"/>
        <w:gridCol w:w="1036"/>
        <w:gridCol w:w="1037"/>
      </w:tblGrid>
      <w:tr w:rsidR="00C23D65" w:rsidRPr="00C86111" w14:paraId="118CD6E3" w14:textId="77777777" w:rsidTr="00C23D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1" w:type="dxa"/>
            <w:tcBorders>
              <w:bottom w:val="single" w:sz="4" w:space="0" w:color="FFFFFF" w:themeColor="background1"/>
            </w:tcBorders>
          </w:tcPr>
          <w:p w14:paraId="6A07D5BE" w14:textId="77777777" w:rsidR="00C23D65" w:rsidRPr="00C86111" w:rsidRDefault="00C23D65">
            <w:pPr>
              <w:rPr>
                <w:rFonts w:asciiTheme="minorHAnsi" w:hAnsiTheme="minorHAnsi" w:cstheme="minorHAnsi"/>
                <w:b w:val="0"/>
                <w:bCs w:val="0"/>
                <w:sz w:val="20"/>
                <w:szCs w:val="20"/>
              </w:rPr>
            </w:pPr>
          </w:p>
        </w:tc>
        <w:tc>
          <w:tcPr>
            <w:tcW w:w="7249" w:type="dxa"/>
            <w:gridSpan w:val="7"/>
            <w:tcBorders>
              <w:bottom w:val="single" w:sz="4" w:space="0" w:color="FFFFFF" w:themeColor="background1"/>
            </w:tcBorders>
            <w:hideMark/>
          </w:tcPr>
          <w:p w14:paraId="499FC672" w14:textId="77777777" w:rsidR="00C23D65" w:rsidRPr="00C86111" w:rsidRDefault="00C23D65">
            <w:pPr>
              <w:pStyle w:val="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Godina uvoza</w:t>
            </w:r>
          </w:p>
        </w:tc>
      </w:tr>
      <w:tr w:rsidR="00C23D65" w:rsidRPr="00C86111" w14:paraId="66D51101" w14:textId="77777777" w:rsidTr="00C23D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1" w:type="dxa"/>
            <w:tcBorders>
              <w:top w:val="single" w:sz="4" w:space="0" w:color="FFFFFF" w:themeColor="background1"/>
              <w:bottom w:val="single" w:sz="4" w:space="0" w:color="FFFFFF" w:themeColor="background1"/>
              <w:right w:val="single" w:sz="4" w:space="0" w:color="FFFFFF" w:themeColor="background1"/>
            </w:tcBorders>
            <w:hideMark/>
          </w:tcPr>
          <w:p w14:paraId="631C8347"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Godina proizvodnje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E51934"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2017</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04B4A3"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2018</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929566"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2019</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7A4F21"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2020</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3AA677"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2021</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10F846"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2022</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11757E"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2023</w:t>
            </w:r>
          </w:p>
        </w:tc>
      </w:tr>
      <w:tr w:rsidR="00C23D65" w:rsidRPr="00C86111" w14:paraId="000648A7" w14:textId="77777777" w:rsidTr="00C23D65">
        <w:trPr>
          <w:trHeight w:val="20"/>
        </w:trPr>
        <w:tc>
          <w:tcPr>
            <w:cnfStyle w:val="001000000000" w:firstRow="0" w:lastRow="0" w:firstColumn="1" w:lastColumn="0" w:oddVBand="0" w:evenVBand="0" w:oddHBand="0" w:evenHBand="0" w:firstRowFirstColumn="0" w:firstRowLastColumn="0" w:lastRowFirstColumn="0" w:lastRowLastColumn="0"/>
            <w:tcW w:w="2081" w:type="dxa"/>
            <w:tcBorders>
              <w:top w:val="single" w:sz="4" w:space="0" w:color="FFFFFF" w:themeColor="background1"/>
              <w:bottom w:val="single" w:sz="4" w:space="0" w:color="FFFFFF" w:themeColor="background1"/>
              <w:right w:val="single" w:sz="4" w:space="0" w:color="FFFFFF" w:themeColor="background1"/>
            </w:tcBorders>
            <w:hideMark/>
          </w:tcPr>
          <w:p w14:paraId="16FA2FFA"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1970-2004</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0F50C8"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51</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9ABCA8"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62</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44551E"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8242CE"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49A9AF"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FF7809"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ACECD4"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w:t>
            </w:r>
          </w:p>
        </w:tc>
      </w:tr>
      <w:tr w:rsidR="00C23D65" w:rsidRPr="00C86111" w14:paraId="1A696366" w14:textId="77777777" w:rsidTr="00C23D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1" w:type="dxa"/>
            <w:tcBorders>
              <w:top w:val="single" w:sz="4" w:space="0" w:color="FFFFFF" w:themeColor="background1"/>
              <w:bottom w:val="single" w:sz="4" w:space="0" w:color="FFFFFF" w:themeColor="background1"/>
              <w:right w:val="single" w:sz="4" w:space="0" w:color="FFFFFF" w:themeColor="background1"/>
            </w:tcBorders>
            <w:hideMark/>
          </w:tcPr>
          <w:p w14:paraId="0C1DD4A9"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2005-2017</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740E64"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30</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590643"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26</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520A63"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60</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654DD5"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30</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67C45C"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26</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E4F169"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12</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0E29E0"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w:t>
            </w:r>
          </w:p>
        </w:tc>
      </w:tr>
      <w:tr w:rsidR="00C23D65" w:rsidRPr="00C86111" w14:paraId="582D41B7" w14:textId="77777777" w:rsidTr="00C23D65">
        <w:trPr>
          <w:trHeight w:val="20"/>
        </w:trPr>
        <w:tc>
          <w:tcPr>
            <w:cnfStyle w:val="001000000000" w:firstRow="0" w:lastRow="0" w:firstColumn="1" w:lastColumn="0" w:oddVBand="0" w:evenVBand="0" w:oddHBand="0" w:evenHBand="0" w:firstRowFirstColumn="0" w:firstRowLastColumn="0" w:lastRowFirstColumn="0" w:lastRowLastColumn="0"/>
            <w:tcW w:w="2081" w:type="dxa"/>
            <w:tcBorders>
              <w:top w:val="single" w:sz="4" w:space="0" w:color="FFFFFF" w:themeColor="background1"/>
              <w:bottom w:val="single" w:sz="4" w:space="0" w:color="FFFFFF" w:themeColor="background1"/>
              <w:right w:val="single" w:sz="4" w:space="0" w:color="FFFFFF" w:themeColor="background1"/>
            </w:tcBorders>
            <w:hideMark/>
          </w:tcPr>
          <w:p w14:paraId="5816FE8B"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Sadržaj PBDE (g)</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300712"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4680</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8BF896"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5480</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CC4B0F"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1280</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6883FA"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680</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9BB54E"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520</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8766F8"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240</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863F0B"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400</w:t>
            </w:r>
          </w:p>
        </w:tc>
      </w:tr>
      <w:tr w:rsidR="00C23D65" w:rsidRPr="00C86111" w14:paraId="4B299D09" w14:textId="77777777" w:rsidTr="00C23D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1" w:type="dxa"/>
            <w:tcBorders>
              <w:top w:val="single" w:sz="4" w:space="0" w:color="FFFFFF" w:themeColor="background1"/>
              <w:right w:val="single" w:sz="4" w:space="0" w:color="FFFFFF" w:themeColor="background1"/>
            </w:tcBorders>
            <w:hideMark/>
          </w:tcPr>
          <w:p w14:paraId="5B3EF693"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Sadržaj PBDE (kg)</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86513A"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4.68</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E6E028"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5.48</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324050"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1.28</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DA1879"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0.68</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E9CAE1"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0.52</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18C2F3"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0.24</w:t>
            </w:r>
          </w:p>
        </w:tc>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FBBA5E"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0.4</w:t>
            </w:r>
          </w:p>
        </w:tc>
      </w:tr>
    </w:tbl>
    <w:p w14:paraId="167A49E6" w14:textId="77777777" w:rsidR="00C23D65" w:rsidRPr="00C86111" w:rsidRDefault="00C23D65" w:rsidP="00C23D65">
      <w:pPr>
        <w:pStyle w:val="Text"/>
        <w:widowControl w:val="0"/>
        <w:tabs>
          <w:tab w:val="left" w:pos="3510"/>
        </w:tabs>
        <w:spacing w:after="60"/>
        <w:jc w:val="both"/>
        <w:rPr>
          <w:rFonts w:asciiTheme="minorHAnsi" w:hAnsiTheme="minorHAnsi" w:cstheme="minorHAnsi"/>
          <w:b/>
          <w:bCs/>
          <w:i/>
          <w:iCs/>
        </w:rPr>
      </w:pPr>
    </w:p>
    <w:p w14:paraId="6C71B80C" w14:textId="7C284FF5" w:rsidR="00C23D65" w:rsidRPr="00C86111" w:rsidRDefault="00C23D65" w:rsidP="00C23D65">
      <w:pPr>
        <w:pStyle w:val="Text"/>
        <w:jc w:val="center"/>
        <w:rPr>
          <w:rFonts w:asciiTheme="minorHAnsi" w:hAnsiTheme="minorHAnsi" w:cstheme="minorHAnsi"/>
        </w:rPr>
      </w:pPr>
      <w:r w:rsidRPr="00C86111">
        <w:rPr>
          <w:noProof/>
        </w:rPr>
        <w:drawing>
          <wp:inline distT="0" distB="0" distL="0" distR="0" wp14:anchorId="57BF1E9C" wp14:editId="51531A64">
            <wp:extent cx="4953000" cy="1569720"/>
            <wp:effectExtent l="0" t="0" r="0" b="11430"/>
            <wp:docPr id="1073741850" name="Chart 1073741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73ED87" w14:textId="144DE8B3" w:rsidR="00C23D65" w:rsidRPr="00C86111" w:rsidRDefault="00D95B9C" w:rsidP="00C23D65">
      <w:pPr>
        <w:pStyle w:val="Text"/>
        <w:tabs>
          <w:tab w:val="left" w:pos="3510"/>
        </w:tabs>
        <w:spacing w:after="60"/>
        <w:jc w:val="center"/>
        <w:rPr>
          <w:rFonts w:asciiTheme="minorHAnsi" w:hAnsiTheme="minorHAnsi" w:cstheme="minorHAnsi"/>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a 1</w:t>
      </w:r>
      <w:r w:rsidR="00547278">
        <w:rPr>
          <w:rFonts w:asciiTheme="minorHAnsi" w:hAnsiTheme="minorHAnsi" w:cstheme="minorHAnsi"/>
          <w:b/>
          <w:bCs/>
          <w:sz w:val="24"/>
          <w:szCs w:val="24"/>
        </w:rPr>
        <w:t>6</w:t>
      </w:r>
      <w:r w:rsidR="00C23D65" w:rsidRPr="00C86111">
        <w:rPr>
          <w:rFonts w:asciiTheme="minorHAnsi" w:hAnsiTheme="minorHAnsi" w:cstheme="minorHAnsi"/>
          <w:b/>
          <w:bCs/>
          <w:sz w:val="24"/>
          <w:szCs w:val="24"/>
        </w:rPr>
        <w:t xml:space="preserve">. </w:t>
      </w:r>
      <w:r w:rsidR="00C23D65" w:rsidRPr="00C86111">
        <w:rPr>
          <w:rFonts w:asciiTheme="minorHAnsi" w:hAnsiTheme="minorHAnsi" w:cstheme="minorHAnsi"/>
          <w:sz w:val="24"/>
          <w:szCs w:val="24"/>
        </w:rPr>
        <w:t>Grafički prikaz sadržaja PBDE u uvezenim autobusima</w:t>
      </w:r>
    </w:p>
    <w:p w14:paraId="444C1AA4" w14:textId="77777777" w:rsidR="00C23D65" w:rsidRPr="00C86111" w:rsidRDefault="00C23D65" w:rsidP="00C23D65">
      <w:pPr>
        <w:pStyle w:val="Text"/>
        <w:tabs>
          <w:tab w:val="left" w:pos="3510"/>
        </w:tabs>
        <w:spacing w:after="60"/>
        <w:jc w:val="center"/>
        <w:rPr>
          <w:rFonts w:asciiTheme="minorHAnsi" w:hAnsiTheme="minorHAnsi" w:cstheme="minorHAnsi"/>
          <w:b/>
          <w:bCs/>
          <w:sz w:val="24"/>
          <w:szCs w:val="24"/>
        </w:rPr>
      </w:pPr>
    </w:p>
    <w:p w14:paraId="1D6C5153" w14:textId="15E384C8" w:rsidR="00C23D65" w:rsidRPr="00C86111" w:rsidRDefault="00C23D65" w:rsidP="00C23D65">
      <w:pPr>
        <w:pStyle w:val="Text"/>
        <w:tabs>
          <w:tab w:val="left" w:pos="3510"/>
        </w:tabs>
        <w:spacing w:after="60"/>
        <w:jc w:val="both"/>
        <w:rPr>
          <w:rFonts w:asciiTheme="minorHAnsi" w:hAnsiTheme="minorHAnsi" w:cstheme="minorHAnsi"/>
        </w:rPr>
      </w:pPr>
      <w:r w:rsidRPr="00C86111">
        <w:rPr>
          <w:rFonts w:asciiTheme="minorHAnsi" w:hAnsiTheme="minorHAnsi" w:cstheme="minorHAnsi"/>
          <w:sz w:val="24"/>
          <w:szCs w:val="24"/>
        </w:rPr>
        <w:t xml:space="preserve">Pregled broja uvezenih kamiona, kao i sadržaja PBDE u njima, dat je u Tabeli </w:t>
      </w:r>
      <w:r w:rsidR="00D95B9C" w:rsidRPr="00C86111">
        <w:rPr>
          <w:rFonts w:asciiTheme="minorHAnsi" w:hAnsiTheme="minorHAnsi" w:cstheme="minorHAnsi"/>
          <w:sz w:val="24"/>
          <w:szCs w:val="24"/>
        </w:rPr>
        <w:t>57.</w:t>
      </w:r>
      <w:r w:rsidRPr="00C86111">
        <w:rPr>
          <w:rFonts w:asciiTheme="minorHAnsi" w:hAnsiTheme="minorHAnsi" w:cstheme="minorHAnsi"/>
          <w:sz w:val="24"/>
          <w:szCs w:val="24"/>
        </w:rPr>
        <w:t xml:space="preserve"> </w:t>
      </w:r>
      <w:r w:rsidR="00547278">
        <w:rPr>
          <w:rFonts w:asciiTheme="minorHAnsi" w:hAnsiTheme="minorHAnsi" w:cstheme="minorHAnsi"/>
          <w:sz w:val="24"/>
          <w:szCs w:val="24"/>
        </w:rPr>
        <w:t>i</w:t>
      </w:r>
      <w:r w:rsidRPr="00C86111">
        <w:rPr>
          <w:rFonts w:asciiTheme="minorHAnsi" w:hAnsiTheme="minorHAnsi" w:cstheme="minorHAnsi"/>
          <w:sz w:val="24"/>
          <w:szCs w:val="24"/>
        </w:rPr>
        <w:t xml:space="preserve"> </w:t>
      </w:r>
      <w:r w:rsidR="00547278">
        <w:rPr>
          <w:rFonts w:asciiTheme="minorHAnsi" w:hAnsiTheme="minorHAnsi" w:cstheme="minorHAnsi"/>
          <w:sz w:val="24"/>
          <w:szCs w:val="24"/>
        </w:rPr>
        <w:t>grafiku</w:t>
      </w:r>
      <w:r w:rsidRPr="00C86111">
        <w:rPr>
          <w:rFonts w:asciiTheme="minorHAnsi" w:hAnsiTheme="minorHAnsi" w:cstheme="minorHAnsi"/>
          <w:sz w:val="24"/>
          <w:szCs w:val="24"/>
        </w:rPr>
        <w:t xml:space="preserve"> 1</w:t>
      </w:r>
      <w:r w:rsidR="00547278">
        <w:rPr>
          <w:rFonts w:asciiTheme="minorHAnsi" w:hAnsiTheme="minorHAnsi" w:cstheme="minorHAnsi"/>
          <w:sz w:val="24"/>
          <w:szCs w:val="24"/>
        </w:rPr>
        <w:t>7</w:t>
      </w:r>
      <w:r w:rsidRPr="00C86111">
        <w:rPr>
          <w:rFonts w:asciiTheme="minorHAnsi" w:hAnsiTheme="minorHAnsi" w:cstheme="minorHAnsi"/>
          <w:sz w:val="24"/>
          <w:szCs w:val="24"/>
        </w:rPr>
        <w:t>.</w:t>
      </w:r>
    </w:p>
    <w:p w14:paraId="5F78AB9A" w14:textId="77777777" w:rsidR="00C23D65" w:rsidRDefault="00C23D65" w:rsidP="00C23D65">
      <w:pPr>
        <w:pStyle w:val="Text"/>
        <w:tabs>
          <w:tab w:val="left" w:pos="3510"/>
        </w:tabs>
        <w:spacing w:after="60"/>
        <w:jc w:val="both"/>
        <w:rPr>
          <w:rFonts w:asciiTheme="minorHAnsi" w:hAnsiTheme="minorHAnsi" w:cstheme="minorHAnsi"/>
        </w:rPr>
      </w:pPr>
    </w:p>
    <w:p w14:paraId="4A256397" w14:textId="77777777" w:rsidR="00F57E42" w:rsidRDefault="00F57E42" w:rsidP="00C23D65">
      <w:pPr>
        <w:pStyle w:val="Text"/>
        <w:tabs>
          <w:tab w:val="left" w:pos="3510"/>
        </w:tabs>
        <w:spacing w:after="60"/>
        <w:jc w:val="both"/>
        <w:rPr>
          <w:rFonts w:asciiTheme="minorHAnsi" w:hAnsiTheme="minorHAnsi" w:cstheme="minorHAnsi"/>
        </w:rPr>
      </w:pPr>
    </w:p>
    <w:p w14:paraId="674B45D8" w14:textId="77777777" w:rsidR="00F57E42" w:rsidRDefault="00F57E42" w:rsidP="00C23D65">
      <w:pPr>
        <w:pStyle w:val="Text"/>
        <w:tabs>
          <w:tab w:val="left" w:pos="3510"/>
        </w:tabs>
        <w:spacing w:after="60"/>
        <w:jc w:val="both"/>
        <w:rPr>
          <w:rFonts w:asciiTheme="minorHAnsi" w:hAnsiTheme="minorHAnsi" w:cstheme="minorHAnsi"/>
        </w:rPr>
      </w:pPr>
    </w:p>
    <w:p w14:paraId="5DAE4A82" w14:textId="77777777" w:rsidR="00F57E42" w:rsidRPr="00C86111" w:rsidRDefault="00F57E42" w:rsidP="00C23D65">
      <w:pPr>
        <w:pStyle w:val="Text"/>
        <w:tabs>
          <w:tab w:val="left" w:pos="3510"/>
        </w:tabs>
        <w:spacing w:after="60"/>
        <w:jc w:val="both"/>
        <w:rPr>
          <w:rFonts w:asciiTheme="minorHAnsi" w:hAnsiTheme="minorHAnsi" w:cstheme="minorHAnsi"/>
        </w:rPr>
      </w:pPr>
    </w:p>
    <w:p w14:paraId="335C139B" w14:textId="0705C7F8" w:rsidR="00C23D65" w:rsidRPr="00C86111" w:rsidRDefault="00C23D65" w:rsidP="00C23D65">
      <w:pPr>
        <w:pStyle w:val="Text"/>
        <w:tabs>
          <w:tab w:val="left" w:pos="3510"/>
        </w:tabs>
        <w:spacing w:after="60"/>
        <w:jc w:val="both"/>
        <w:rPr>
          <w:rFonts w:asciiTheme="minorHAnsi" w:hAnsiTheme="minorHAnsi" w:cstheme="minorHAnsi"/>
          <w:b/>
          <w:bCs/>
          <w:i/>
          <w:iCs/>
          <w:sz w:val="24"/>
          <w:szCs w:val="24"/>
        </w:rPr>
      </w:pPr>
      <w:r w:rsidRPr="00C86111">
        <w:rPr>
          <w:rFonts w:asciiTheme="minorHAnsi" w:hAnsiTheme="minorHAnsi" w:cstheme="minorHAnsi"/>
          <w:b/>
          <w:bCs/>
          <w:sz w:val="24"/>
          <w:szCs w:val="24"/>
        </w:rPr>
        <w:lastRenderedPageBreak/>
        <w:t xml:space="preserve">Tabela </w:t>
      </w:r>
      <w:r w:rsidR="00D95B9C" w:rsidRPr="00C86111">
        <w:rPr>
          <w:rFonts w:asciiTheme="minorHAnsi" w:hAnsiTheme="minorHAnsi" w:cstheme="minorHAnsi"/>
          <w:b/>
          <w:bCs/>
          <w:sz w:val="24"/>
          <w:szCs w:val="24"/>
        </w:rPr>
        <w:t>57</w:t>
      </w:r>
      <w:r w:rsidRPr="00C86111">
        <w:rPr>
          <w:rFonts w:asciiTheme="minorHAnsi" w:hAnsiTheme="minorHAnsi" w:cstheme="minorHAnsi"/>
          <w:b/>
          <w:bCs/>
          <w:sz w:val="24"/>
          <w:szCs w:val="24"/>
        </w:rPr>
        <w:t xml:space="preserve">. </w:t>
      </w:r>
      <w:r w:rsidRPr="00C86111">
        <w:rPr>
          <w:rFonts w:asciiTheme="minorHAnsi" w:hAnsiTheme="minorHAnsi" w:cstheme="minorHAnsi"/>
          <w:sz w:val="24"/>
          <w:szCs w:val="24"/>
        </w:rPr>
        <w:t>Tabelarni prikaz broja uvezenih kamiona i sadržaja PBDE u istim</w:t>
      </w:r>
    </w:p>
    <w:tbl>
      <w:tblPr>
        <w:tblStyle w:val="GridTable5Dark-Accent6"/>
        <w:tblW w:w="8315" w:type="dxa"/>
        <w:jc w:val="center"/>
        <w:tblLayout w:type="fixed"/>
        <w:tblLook w:val="04A0" w:firstRow="1" w:lastRow="0" w:firstColumn="1" w:lastColumn="0" w:noHBand="0" w:noVBand="1"/>
      </w:tblPr>
      <w:tblGrid>
        <w:gridCol w:w="1482"/>
        <w:gridCol w:w="977"/>
        <w:gridCol w:w="977"/>
        <w:gridCol w:w="976"/>
        <w:gridCol w:w="976"/>
        <w:gridCol w:w="976"/>
        <w:gridCol w:w="976"/>
        <w:gridCol w:w="975"/>
      </w:tblGrid>
      <w:tr w:rsidR="00C23D65" w:rsidRPr="00C86111" w14:paraId="62C205FA" w14:textId="77777777" w:rsidTr="00D95B9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82" w:type="dxa"/>
            <w:tcBorders>
              <w:bottom w:val="single" w:sz="4" w:space="0" w:color="FFFFFF" w:themeColor="background1"/>
            </w:tcBorders>
          </w:tcPr>
          <w:p w14:paraId="6E68E0EC" w14:textId="77777777" w:rsidR="00C23D65" w:rsidRPr="00C86111" w:rsidRDefault="00C23D65">
            <w:pPr>
              <w:rPr>
                <w:rFonts w:asciiTheme="minorHAnsi" w:hAnsiTheme="minorHAnsi" w:cstheme="minorHAnsi"/>
                <w:b w:val="0"/>
                <w:bCs w:val="0"/>
                <w:sz w:val="20"/>
                <w:szCs w:val="20"/>
              </w:rPr>
            </w:pPr>
          </w:p>
        </w:tc>
        <w:tc>
          <w:tcPr>
            <w:tcW w:w="6833" w:type="dxa"/>
            <w:gridSpan w:val="7"/>
            <w:tcBorders>
              <w:bottom w:val="single" w:sz="4" w:space="0" w:color="FFFFFF" w:themeColor="background1"/>
            </w:tcBorders>
            <w:hideMark/>
          </w:tcPr>
          <w:p w14:paraId="48899FBE" w14:textId="77777777" w:rsidR="00C23D65" w:rsidRPr="00C86111" w:rsidRDefault="00C23D65">
            <w:pPr>
              <w:pStyle w:val="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Godina uvoza</w:t>
            </w:r>
          </w:p>
        </w:tc>
      </w:tr>
      <w:tr w:rsidR="00C23D65" w:rsidRPr="00C86111" w14:paraId="7D17E4CC" w14:textId="77777777" w:rsidTr="00D95B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82" w:type="dxa"/>
            <w:tcBorders>
              <w:top w:val="single" w:sz="4" w:space="0" w:color="FFFFFF" w:themeColor="background1"/>
              <w:bottom w:val="single" w:sz="4" w:space="0" w:color="FFFFFF" w:themeColor="background1"/>
              <w:right w:val="single" w:sz="4" w:space="0" w:color="FFFFFF" w:themeColor="background1"/>
            </w:tcBorders>
            <w:hideMark/>
          </w:tcPr>
          <w:p w14:paraId="486C2C60"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Godina proizvodnje</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EF2F92"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2017</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00E5EF"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2018</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81B8E6"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2019</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9F1670"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2020</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2C9A16"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2021</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1FF7D7"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2022</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73AF45"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2023</w:t>
            </w:r>
          </w:p>
        </w:tc>
      </w:tr>
      <w:tr w:rsidR="00C23D65" w:rsidRPr="00C86111" w14:paraId="78C28850" w14:textId="77777777" w:rsidTr="00D95B9C">
        <w:trPr>
          <w:trHeight w:val="20"/>
          <w:jc w:val="center"/>
        </w:trPr>
        <w:tc>
          <w:tcPr>
            <w:cnfStyle w:val="001000000000" w:firstRow="0" w:lastRow="0" w:firstColumn="1" w:lastColumn="0" w:oddVBand="0" w:evenVBand="0" w:oddHBand="0" w:evenHBand="0" w:firstRowFirstColumn="0" w:firstRowLastColumn="0" w:lastRowFirstColumn="0" w:lastRowLastColumn="0"/>
            <w:tcW w:w="1482" w:type="dxa"/>
            <w:tcBorders>
              <w:top w:val="single" w:sz="4" w:space="0" w:color="FFFFFF" w:themeColor="background1"/>
              <w:bottom w:val="single" w:sz="4" w:space="0" w:color="FFFFFF" w:themeColor="background1"/>
              <w:right w:val="single" w:sz="4" w:space="0" w:color="FFFFFF" w:themeColor="background1"/>
            </w:tcBorders>
            <w:hideMark/>
          </w:tcPr>
          <w:p w14:paraId="18B16B42"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1970-2004</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6C9446"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572</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811E58"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472</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75D270"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5</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16DC91"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188444"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0</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96D329"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2F970C" w14:textId="77777777" w:rsidR="00C23D65" w:rsidRPr="00C86111" w:rsidRDefault="00C23D65">
            <w:pPr>
              <w:pStyle w:val="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w:t>
            </w:r>
          </w:p>
        </w:tc>
      </w:tr>
      <w:tr w:rsidR="00C23D65" w:rsidRPr="00C86111" w14:paraId="3A990C43" w14:textId="77777777" w:rsidTr="00D95B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82" w:type="dxa"/>
            <w:tcBorders>
              <w:top w:val="single" w:sz="4" w:space="0" w:color="FFFFFF" w:themeColor="background1"/>
              <w:bottom w:val="single" w:sz="4" w:space="0" w:color="FFFFFF" w:themeColor="background1"/>
              <w:right w:val="single" w:sz="4" w:space="0" w:color="FFFFFF" w:themeColor="background1"/>
            </w:tcBorders>
            <w:hideMark/>
          </w:tcPr>
          <w:p w14:paraId="59F46710" w14:textId="77777777" w:rsidR="00C23D65" w:rsidRPr="00C86111" w:rsidRDefault="00C23D65">
            <w:pPr>
              <w:pStyle w:val="Text"/>
              <w:jc w:val="center"/>
              <w:rPr>
                <w:rFonts w:asciiTheme="minorHAnsi" w:hAnsiTheme="minorHAnsi" w:cstheme="minorHAnsi"/>
                <w:sz w:val="20"/>
                <w:szCs w:val="20"/>
              </w:rPr>
            </w:pPr>
            <w:r w:rsidRPr="00C86111">
              <w:rPr>
                <w:rFonts w:asciiTheme="minorHAnsi" w:hAnsiTheme="minorHAnsi" w:cstheme="minorHAnsi"/>
                <w:sz w:val="20"/>
                <w:szCs w:val="20"/>
              </w:rPr>
              <w:t>2005-2017</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22B059"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2755</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D41083"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2904</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8A44AF"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2456</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79D846"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1488</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6AC216"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1624</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A47280"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1812</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C96E4B" w14:textId="77777777" w:rsidR="00C23D65" w:rsidRPr="00C86111" w:rsidRDefault="00C23D65">
            <w:pPr>
              <w:pStyle w:val="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2370</w:t>
            </w:r>
          </w:p>
        </w:tc>
      </w:tr>
      <w:tr w:rsidR="00C23D65" w:rsidRPr="00C86111" w14:paraId="1B6E6A33" w14:textId="77777777" w:rsidTr="00D95B9C">
        <w:trPr>
          <w:trHeight w:val="20"/>
          <w:jc w:val="center"/>
        </w:trPr>
        <w:tc>
          <w:tcPr>
            <w:cnfStyle w:val="001000000000" w:firstRow="0" w:lastRow="0" w:firstColumn="1" w:lastColumn="0" w:oddVBand="0" w:evenVBand="0" w:oddHBand="0" w:evenHBand="0" w:firstRowFirstColumn="0" w:firstRowLastColumn="0" w:lastRowFirstColumn="0" w:lastRowLastColumn="0"/>
            <w:tcW w:w="1482" w:type="dxa"/>
            <w:tcBorders>
              <w:top w:val="single" w:sz="4" w:space="0" w:color="FFFFFF" w:themeColor="background1"/>
              <w:bottom w:val="single" w:sz="4" w:space="0" w:color="FFFFFF" w:themeColor="background1"/>
              <w:right w:val="single" w:sz="4" w:space="0" w:color="FFFFFF" w:themeColor="background1"/>
            </w:tcBorders>
            <w:hideMark/>
          </w:tcPr>
          <w:p w14:paraId="1C783817" w14:textId="77777777" w:rsidR="00C23D65" w:rsidRPr="00C86111" w:rsidRDefault="00C23D65" w:rsidP="00C23D65">
            <w:pPr>
              <w:pStyle w:val="Text"/>
              <w:spacing w:after="0"/>
              <w:jc w:val="center"/>
              <w:rPr>
                <w:rFonts w:asciiTheme="minorHAnsi" w:hAnsiTheme="minorHAnsi" w:cstheme="minorHAnsi"/>
                <w:sz w:val="20"/>
                <w:szCs w:val="20"/>
              </w:rPr>
            </w:pPr>
            <w:r w:rsidRPr="00C86111">
              <w:rPr>
                <w:rFonts w:asciiTheme="minorHAnsi" w:hAnsiTheme="minorHAnsi" w:cstheme="minorHAnsi"/>
                <w:sz w:val="20"/>
                <w:szCs w:val="20"/>
              </w:rPr>
              <w:t>PBDE sadržaj (g)</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0C845A" w14:textId="77777777" w:rsidR="00C23D65" w:rsidRPr="00C86111" w:rsidRDefault="00C23D65" w:rsidP="00C23D65">
            <w:pPr>
              <w:pStyle w:val="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100860</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3E3ACD" w14:textId="77777777" w:rsidR="00C23D65" w:rsidRPr="00C86111" w:rsidRDefault="00C23D65" w:rsidP="00C23D65">
            <w:pPr>
              <w:pStyle w:val="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95840</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62969B" w14:textId="77777777" w:rsidR="00C23D65" w:rsidRPr="00C86111" w:rsidRDefault="00C23D65" w:rsidP="00C23D65">
            <w:pPr>
              <w:pStyle w:val="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49520</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385A66" w14:textId="77777777" w:rsidR="00C23D65" w:rsidRPr="00C86111" w:rsidRDefault="00C23D65" w:rsidP="00C23D65">
            <w:pPr>
              <w:pStyle w:val="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29840</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F0EDB2" w14:textId="77777777" w:rsidR="00C23D65" w:rsidRPr="00C86111" w:rsidRDefault="00C23D65" w:rsidP="00C23D65">
            <w:pPr>
              <w:pStyle w:val="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32480</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DBAA71" w14:textId="77777777" w:rsidR="00C23D65" w:rsidRPr="00C86111" w:rsidRDefault="00C23D65" w:rsidP="00C23D65">
            <w:pPr>
              <w:pStyle w:val="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36400</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2696A8" w14:textId="77777777" w:rsidR="00C23D65" w:rsidRPr="00C86111" w:rsidRDefault="00C23D65" w:rsidP="00C23D65">
            <w:pPr>
              <w:pStyle w:val="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47560</w:t>
            </w:r>
          </w:p>
        </w:tc>
      </w:tr>
      <w:tr w:rsidR="00C23D65" w:rsidRPr="00C86111" w14:paraId="533B0479" w14:textId="77777777" w:rsidTr="00D95B9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82" w:type="dxa"/>
            <w:tcBorders>
              <w:top w:val="single" w:sz="4" w:space="0" w:color="FFFFFF" w:themeColor="background1"/>
              <w:right w:val="single" w:sz="4" w:space="0" w:color="FFFFFF" w:themeColor="background1"/>
            </w:tcBorders>
            <w:hideMark/>
          </w:tcPr>
          <w:p w14:paraId="75ECDEB8" w14:textId="77777777" w:rsidR="00C23D65" w:rsidRPr="00C86111" w:rsidRDefault="00C23D65" w:rsidP="00C23D65">
            <w:pPr>
              <w:pStyle w:val="Text"/>
              <w:spacing w:after="0"/>
              <w:jc w:val="center"/>
              <w:rPr>
                <w:rFonts w:asciiTheme="minorHAnsi" w:hAnsiTheme="minorHAnsi" w:cstheme="minorHAnsi"/>
                <w:sz w:val="20"/>
                <w:szCs w:val="20"/>
              </w:rPr>
            </w:pPr>
            <w:r w:rsidRPr="00C86111">
              <w:rPr>
                <w:rFonts w:asciiTheme="minorHAnsi" w:hAnsiTheme="minorHAnsi" w:cstheme="minorHAnsi"/>
                <w:sz w:val="20"/>
                <w:szCs w:val="20"/>
              </w:rPr>
              <w:t>PBDE sadržaj (kg)</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2941E4" w14:textId="77777777" w:rsidR="00C23D65" w:rsidRPr="00C86111" w:rsidRDefault="00C23D65" w:rsidP="00C23D65">
            <w:pPr>
              <w:pStyle w:val="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100.86</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D183D9" w14:textId="77777777" w:rsidR="00C23D65" w:rsidRPr="00C86111" w:rsidRDefault="00C23D65" w:rsidP="00C23D65">
            <w:pPr>
              <w:pStyle w:val="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95.84</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BBE244" w14:textId="77777777" w:rsidR="00C23D65" w:rsidRPr="00C86111" w:rsidRDefault="00C23D65" w:rsidP="00C23D65">
            <w:pPr>
              <w:pStyle w:val="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49.52</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E41AA7" w14:textId="77777777" w:rsidR="00C23D65" w:rsidRPr="00C86111" w:rsidRDefault="00C23D65" w:rsidP="00C23D65">
            <w:pPr>
              <w:pStyle w:val="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29.84</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DF4B3D" w14:textId="77777777" w:rsidR="00C23D65" w:rsidRPr="00C86111" w:rsidRDefault="00C23D65" w:rsidP="00C23D65">
            <w:pPr>
              <w:pStyle w:val="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32.48</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564372" w14:textId="77777777" w:rsidR="00C23D65" w:rsidRPr="00C86111" w:rsidRDefault="00C23D65" w:rsidP="00C23D65">
            <w:pPr>
              <w:pStyle w:val="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36.4</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662F8E" w14:textId="77777777" w:rsidR="00C23D65" w:rsidRPr="00C86111" w:rsidRDefault="00C23D65" w:rsidP="00C23D65">
            <w:pPr>
              <w:pStyle w:val="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47.56</w:t>
            </w:r>
          </w:p>
        </w:tc>
      </w:tr>
    </w:tbl>
    <w:p w14:paraId="715E71C6" w14:textId="105D5D36" w:rsidR="00C23D65" w:rsidRPr="00C86111" w:rsidRDefault="00C23D65" w:rsidP="00C23D65">
      <w:pPr>
        <w:pStyle w:val="Text"/>
        <w:jc w:val="center"/>
        <w:rPr>
          <w:rFonts w:asciiTheme="minorHAnsi" w:hAnsiTheme="minorHAnsi" w:cstheme="minorHAnsi"/>
        </w:rPr>
      </w:pPr>
      <w:r w:rsidRPr="00C86111">
        <w:rPr>
          <w:noProof/>
        </w:rPr>
        <w:drawing>
          <wp:inline distT="0" distB="0" distL="0" distR="0" wp14:anchorId="5A062FA5" wp14:editId="57591A93">
            <wp:extent cx="5288280" cy="1272540"/>
            <wp:effectExtent l="0" t="0" r="7620" b="3810"/>
            <wp:docPr id="1073741851" name="Chart 1073741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AB13B7" w14:textId="76A38251" w:rsidR="00C23D65" w:rsidRPr="00C86111" w:rsidRDefault="00D95B9C" w:rsidP="00C23D65">
      <w:pPr>
        <w:pStyle w:val="Text"/>
        <w:jc w:val="center"/>
        <w:rPr>
          <w:rFonts w:asciiTheme="minorHAnsi" w:hAnsiTheme="minorHAnsi" w:cstheme="minorHAnsi"/>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1</w:t>
      </w:r>
      <w:r w:rsidR="00547278">
        <w:rPr>
          <w:rFonts w:asciiTheme="minorHAnsi" w:hAnsiTheme="minorHAnsi" w:cstheme="minorHAnsi"/>
          <w:b/>
          <w:bCs/>
          <w:sz w:val="24"/>
          <w:szCs w:val="24"/>
        </w:rPr>
        <w:t>7</w:t>
      </w:r>
      <w:r w:rsidR="00C23D65" w:rsidRPr="00C86111">
        <w:rPr>
          <w:rFonts w:asciiTheme="minorHAnsi" w:hAnsiTheme="minorHAnsi" w:cstheme="minorHAnsi"/>
          <w:b/>
          <w:bCs/>
          <w:sz w:val="24"/>
          <w:szCs w:val="24"/>
        </w:rPr>
        <w:t xml:space="preserve">. </w:t>
      </w:r>
      <w:r w:rsidR="00C23D65" w:rsidRPr="00C86111">
        <w:rPr>
          <w:rFonts w:asciiTheme="minorHAnsi" w:hAnsiTheme="minorHAnsi" w:cstheme="minorHAnsi"/>
          <w:sz w:val="24"/>
          <w:szCs w:val="24"/>
        </w:rPr>
        <w:t>Grafički prikaz sadržaja PBDE u uvezenim kamionima</w:t>
      </w:r>
    </w:p>
    <w:p w14:paraId="4D2048D1" w14:textId="691D7DCA" w:rsidR="00C23D65" w:rsidRPr="00C86111" w:rsidRDefault="00C23D65" w:rsidP="00C23D65">
      <w:pPr>
        <w:pStyle w:val="Text"/>
        <w:jc w:val="both"/>
        <w:rPr>
          <w:rFonts w:asciiTheme="minorHAnsi" w:hAnsiTheme="minorHAnsi" w:cstheme="minorHAnsi"/>
          <w:sz w:val="24"/>
          <w:szCs w:val="24"/>
        </w:rPr>
      </w:pPr>
      <w:r w:rsidRPr="00C86111">
        <w:rPr>
          <w:rFonts w:asciiTheme="minorHAnsi" w:hAnsiTheme="minorHAnsi" w:cstheme="minorHAnsi"/>
          <w:sz w:val="24"/>
          <w:szCs w:val="24"/>
        </w:rPr>
        <w:t xml:space="preserve">Tabela </w:t>
      </w:r>
      <w:r w:rsidR="00D95B9C" w:rsidRPr="00C86111">
        <w:rPr>
          <w:rFonts w:asciiTheme="minorHAnsi" w:hAnsiTheme="minorHAnsi" w:cstheme="minorHAnsi"/>
          <w:sz w:val="24"/>
          <w:szCs w:val="24"/>
        </w:rPr>
        <w:t>58</w:t>
      </w:r>
      <w:r w:rsidRPr="00C86111">
        <w:rPr>
          <w:rFonts w:asciiTheme="minorHAnsi" w:hAnsiTheme="minorHAnsi" w:cstheme="minorHAnsi"/>
          <w:sz w:val="24"/>
          <w:szCs w:val="24"/>
        </w:rPr>
        <w:t xml:space="preserve"> i </w:t>
      </w:r>
      <w:r w:rsidR="00D95B9C" w:rsidRPr="00C86111">
        <w:rPr>
          <w:rFonts w:asciiTheme="minorHAnsi" w:hAnsiTheme="minorHAnsi" w:cstheme="minorHAnsi"/>
          <w:sz w:val="24"/>
          <w:szCs w:val="24"/>
        </w:rPr>
        <w:t>Grafici</w:t>
      </w:r>
      <w:r w:rsidRPr="00C86111">
        <w:rPr>
          <w:rFonts w:asciiTheme="minorHAnsi" w:hAnsiTheme="minorHAnsi" w:cstheme="minorHAnsi"/>
          <w:sz w:val="24"/>
          <w:szCs w:val="24"/>
        </w:rPr>
        <w:t xml:space="preserve"> 1</w:t>
      </w:r>
      <w:r w:rsidR="00547278">
        <w:rPr>
          <w:rFonts w:asciiTheme="minorHAnsi" w:hAnsiTheme="minorHAnsi" w:cstheme="minorHAnsi"/>
          <w:sz w:val="24"/>
          <w:szCs w:val="24"/>
        </w:rPr>
        <w:t>8</w:t>
      </w:r>
      <w:r w:rsidRPr="00C86111">
        <w:rPr>
          <w:rFonts w:asciiTheme="minorHAnsi" w:hAnsiTheme="minorHAnsi" w:cstheme="minorHAnsi"/>
          <w:sz w:val="24"/>
          <w:szCs w:val="24"/>
        </w:rPr>
        <w:t xml:space="preserve"> i 1</w:t>
      </w:r>
      <w:r w:rsidR="00547278">
        <w:rPr>
          <w:rFonts w:asciiTheme="minorHAnsi" w:hAnsiTheme="minorHAnsi" w:cstheme="minorHAnsi"/>
          <w:sz w:val="24"/>
          <w:szCs w:val="24"/>
        </w:rPr>
        <w:t>9</w:t>
      </w:r>
      <w:r w:rsidRPr="00C86111">
        <w:rPr>
          <w:rFonts w:asciiTheme="minorHAnsi" w:hAnsiTheme="minorHAnsi" w:cstheme="minorHAnsi"/>
          <w:b/>
          <w:bCs/>
          <w:sz w:val="24"/>
          <w:szCs w:val="24"/>
        </w:rPr>
        <w:t xml:space="preserve"> </w:t>
      </w:r>
      <w:r w:rsidRPr="00C86111">
        <w:rPr>
          <w:rFonts w:asciiTheme="minorHAnsi" w:hAnsiTheme="minorHAnsi" w:cstheme="minorHAnsi"/>
          <w:sz w:val="24"/>
          <w:szCs w:val="24"/>
        </w:rPr>
        <w:t xml:space="preserve"> pružaju pregled sadržaja PBDE u svim kategorijama uvezenih vozila.</w:t>
      </w:r>
    </w:p>
    <w:p w14:paraId="6A9664FF" w14:textId="5DA882B8" w:rsidR="00C23D65" w:rsidRPr="00C86111" w:rsidRDefault="00C23D65" w:rsidP="00D95B9C">
      <w:pPr>
        <w:pStyle w:val="Text"/>
        <w:rPr>
          <w:rFonts w:asciiTheme="minorHAnsi" w:hAnsiTheme="minorHAnsi" w:cstheme="minorHAnsi"/>
          <w:b/>
          <w:bCs/>
          <w:sz w:val="24"/>
          <w:szCs w:val="24"/>
        </w:rPr>
      </w:pPr>
      <w:r w:rsidRPr="00C86111">
        <w:rPr>
          <w:rFonts w:asciiTheme="minorHAnsi" w:hAnsiTheme="minorHAnsi" w:cstheme="minorHAnsi"/>
          <w:b/>
          <w:bCs/>
          <w:sz w:val="24"/>
          <w:szCs w:val="24"/>
        </w:rPr>
        <w:t xml:space="preserve">Tabela </w:t>
      </w:r>
      <w:r w:rsidR="00D95B9C" w:rsidRPr="00C86111">
        <w:rPr>
          <w:rFonts w:asciiTheme="minorHAnsi" w:hAnsiTheme="minorHAnsi" w:cstheme="minorHAnsi"/>
          <w:b/>
          <w:bCs/>
          <w:sz w:val="24"/>
          <w:szCs w:val="24"/>
        </w:rPr>
        <w:t>58</w:t>
      </w:r>
      <w:r w:rsidRPr="00C86111">
        <w:rPr>
          <w:rFonts w:asciiTheme="minorHAnsi" w:hAnsiTheme="minorHAnsi" w:cstheme="minorHAnsi"/>
          <w:b/>
          <w:bCs/>
          <w:sz w:val="24"/>
          <w:szCs w:val="24"/>
        </w:rPr>
        <w:t xml:space="preserve">. </w:t>
      </w:r>
      <w:r w:rsidRPr="00C86111">
        <w:rPr>
          <w:rFonts w:asciiTheme="minorHAnsi" w:hAnsiTheme="minorHAnsi" w:cstheme="minorHAnsi"/>
          <w:sz w:val="24"/>
          <w:szCs w:val="24"/>
        </w:rPr>
        <w:t>Pregled sadržaja PBDE u svim kategorijama uvezenih vozila</w:t>
      </w:r>
    </w:p>
    <w:tbl>
      <w:tblPr>
        <w:tblStyle w:val="GridTable5Dark-Accent6"/>
        <w:tblW w:w="9445" w:type="dxa"/>
        <w:tblLook w:val="04A0" w:firstRow="1" w:lastRow="0" w:firstColumn="1" w:lastColumn="0" w:noHBand="0" w:noVBand="1"/>
      </w:tblPr>
      <w:tblGrid>
        <w:gridCol w:w="3354"/>
        <w:gridCol w:w="817"/>
        <w:gridCol w:w="885"/>
        <w:gridCol w:w="885"/>
        <w:gridCol w:w="885"/>
        <w:gridCol w:w="885"/>
        <w:gridCol w:w="885"/>
        <w:gridCol w:w="849"/>
      </w:tblGrid>
      <w:tr w:rsidR="00C23D65" w:rsidRPr="00C86111" w14:paraId="432767BA" w14:textId="77777777" w:rsidTr="00C23D6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4" w:type="dxa"/>
            <w:tcBorders>
              <w:bottom w:val="single" w:sz="4" w:space="0" w:color="FFFFFF" w:themeColor="background1"/>
            </w:tcBorders>
            <w:noWrap/>
            <w:hideMark/>
          </w:tcPr>
          <w:p w14:paraId="26AD7A22" w14:textId="77777777" w:rsidR="00C23D65" w:rsidRPr="00C86111" w:rsidRDefault="00C23D65" w:rsidP="00D95B9C">
            <w:pPr>
              <w:jc w:val="center"/>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Godina</w:t>
            </w:r>
          </w:p>
        </w:tc>
        <w:tc>
          <w:tcPr>
            <w:tcW w:w="817" w:type="dxa"/>
            <w:tcBorders>
              <w:bottom w:val="single" w:sz="4" w:space="0" w:color="FFFFFF" w:themeColor="background1"/>
            </w:tcBorders>
            <w:hideMark/>
          </w:tcPr>
          <w:p w14:paraId="6833289D" w14:textId="77777777" w:rsidR="00C23D65" w:rsidRPr="00C86111" w:rsidRDefault="00C23D65" w:rsidP="00D95B9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2017g</w:t>
            </w:r>
          </w:p>
        </w:tc>
        <w:tc>
          <w:tcPr>
            <w:tcW w:w="885" w:type="dxa"/>
            <w:tcBorders>
              <w:bottom w:val="single" w:sz="4" w:space="0" w:color="FFFFFF" w:themeColor="background1"/>
            </w:tcBorders>
            <w:hideMark/>
          </w:tcPr>
          <w:p w14:paraId="0DAA0D11" w14:textId="77777777" w:rsidR="00C23D65" w:rsidRPr="00C86111" w:rsidRDefault="00C23D65" w:rsidP="00D95B9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2018g</w:t>
            </w:r>
          </w:p>
        </w:tc>
        <w:tc>
          <w:tcPr>
            <w:tcW w:w="885" w:type="dxa"/>
            <w:tcBorders>
              <w:bottom w:val="single" w:sz="4" w:space="0" w:color="FFFFFF" w:themeColor="background1"/>
            </w:tcBorders>
            <w:hideMark/>
          </w:tcPr>
          <w:p w14:paraId="4FC40C95" w14:textId="77777777" w:rsidR="00C23D65" w:rsidRPr="00C86111" w:rsidRDefault="00C23D65" w:rsidP="00D95B9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2019g</w:t>
            </w:r>
          </w:p>
        </w:tc>
        <w:tc>
          <w:tcPr>
            <w:tcW w:w="885" w:type="dxa"/>
            <w:tcBorders>
              <w:bottom w:val="single" w:sz="4" w:space="0" w:color="FFFFFF" w:themeColor="background1"/>
            </w:tcBorders>
            <w:hideMark/>
          </w:tcPr>
          <w:p w14:paraId="2F238DF1" w14:textId="77777777" w:rsidR="00C23D65" w:rsidRPr="00C86111" w:rsidRDefault="00C23D65" w:rsidP="00D95B9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2020g</w:t>
            </w:r>
          </w:p>
        </w:tc>
        <w:tc>
          <w:tcPr>
            <w:tcW w:w="885" w:type="dxa"/>
            <w:tcBorders>
              <w:bottom w:val="single" w:sz="4" w:space="0" w:color="FFFFFF" w:themeColor="background1"/>
            </w:tcBorders>
            <w:hideMark/>
          </w:tcPr>
          <w:p w14:paraId="020919EA" w14:textId="77777777" w:rsidR="00C23D65" w:rsidRPr="00C86111" w:rsidRDefault="00C23D65" w:rsidP="00D95B9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2021g</w:t>
            </w:r>
          </w:p>
        </w:tc>
        <w:tc>
          <w:tcPr>
            <w:tcW w:w="885" w:type="dxa"/>
            <w:tcBorders>
              <w:bottom w:val="single" w:sz="4" w:space="0" w:color="FFFFFF" w:themeColor="background1"/>
            </w:tcBorders>
            <w:hideMark/>
          </w:tcPr>
          <w:p w14:paraId="3233E4CD" w14:textId="77777777" w:rsidR="00C23D65" w:rsidRPr="00C86111" w:rsidRDefault="00C23D65" w:rsidP="00D95B9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2022g</w:t>
            </w:r>
          </w:p>
        </w:tc>
        <w:tc>
          <w:tcPr>
            <w:tcW w:w="849" w:type="dxa"/>
            <w:tcBorders>
              <w:bottom w:val="single" w:sz="4" w:space="0" w:color="FFFFFF" w:themeColor="background1"/>
            </w:tcBorders>
            <w:hideMark/>
          </w:tcPr>
          <w:p w14:paraId="0BDD4832" w14:textId="77777777" w:rsidR="00C23D65" w:rsidRPr="00C86111" w:rsidRDefault="00C23D65" w:rsidP="00D95B9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2023g</w:t>
            </w:r>
          </w:p>
        </w:tc>
      </w:tr>
      <w:tr w:rsidR="00C23D65" w:rsidRPr="00C86111" w14:paraId="4404A322" w14:textId="77777777" w:rsidTr="00C23D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4" w:type="dxa"/>
            <w:tcBorders>
              <w:top w:val="single" w:sz="4" w:space="0" w:color="FFFFFF" w:themeColor="background1"/>
              <w:bottom w:val="single" w:sz="4" w:space="0" w:color="FFFFFF" w:themeColor="background1"/>
              <w:right w:val="single" w:sz="4" w:space="0" w:color="FFFFFF" w:themeColor="background1"/>
            </w:tcBorders>
            <w:noWrap/>
            <w:hideMark/>
          </w:tcPr>
          <w:p w14:paraId="59C321EF" w14:textId="77777777" w:rsidR="00C23D65" w:rsidRPr="00C86111" w:rsidRDefault="00C23D65" w:rsidP="00D95B9C">
            <w:pPr>
              <w:jc w:val="center"/>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Sadržaj PBDE u putničkim vozilima (kg)</w:t>
            </w:r>
          </w:p>
        </w:tc>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F9C616"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748.3</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3101EC"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724.56</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23A2F7"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362.96</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2F843F"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247.78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F1264C"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264.72</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572167"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317.44</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A9468E"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400.5</w:t>
            </w:r>
          </w:p>
        </w:tc>
      </w:tr>
      <w:tr w:rsidR="00C23D65" w:rsidRPr="00C86111" w14:paraId="5D638FA0" w14:textId="77777777" w:rsidTr="00C23D65">
        <w:trPr>
          <w:trHeight w:val="288"/>
        </w:trPr>
        <w:tc>
          <w:tcPr>
            <w:cnfStyle w:val="001000000000" w:firstRow="0" w:lastRow="0" w:firstColumn="1" w:lastColumn="0" w:oddVBand="0" w:evenVBand="0" w:oddHBand="0" w:evenHBand="0" w:firstRowFirstColumn="0" w:firstRowLastColumn="0" w:lastRowFirstColumn="0" w:lastRowLastColumn="0"/>
            <w:tcW w:w="3354" w:type="dxa"/>
            <w:tcBorders>
              <w:top w:val="single" w:sz="4" w:space="0" w:color="FFFFFF" w:themeColor="background1"/>
              <w:bottom w:val="single" w:sz="4" w:space="0" w:color="FFFFFF" w:themeColor="background1"/>
              <w:right w:val="single" w:sz="4" w:space="0" w:color="FFFFFF" w:themeColor="background1"/>
            </w:tcBorders>
            <w:noWrap/>
            <w:hideMark/>
          </w:tcPr>
          <w:p w14:paraId="00F31843" w14:textId="77777777" w:rsidR="00C23D65" w:rsidRPr="00C86111" w:rsidRDefault="00C23D65" w:rsidP="00D95B9C">
            <w:pPr>
              <w:jc w:val="center"/>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Sadržaj PBDE u autobusima (kg)</w:t>
            </w:r>
          </w:p>
        </w:tc>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F66BB4"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4.68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8E960E"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5.48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1F8F3C"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1.28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C6C17F"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0.68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F9F0A9"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0.52</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928732"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0.24</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59501F"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0.4</w:t>
            </w:r>
          </w:p>
        </w:tc>
      </w:tr>
      <w:tr w:rsidR="00C23D65" w:rsidRPr="00C86111" w14:paraId="72521F02" w14:textId="77777777" w:rsidTr="00C23D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4" w:type="dxa"/>
            <w:tcBorders>
              <w:top w:val="single" w:sz="4" w:space="0" w:color="FFFFFF" w:themeColor="background1"/>
              <w:bottom w:val="single" w:sz="4" w:space="0" w:color="FFFFFF" w:themeColor="background1"/>
              <w:right w:val="single" w:sz="4" w:space="0" w:color="FFFFFF" w:themeColor="background1"/>
            </w:tcBorders>
            <w:noWrap/>
            <w:hideMark/>
          </w:tcPr>
          <w:p w14:paraId="4F89C936" w14:textId="77777777" w:rsidR="00C23D65" w:rsidRPr="00C86111" w:rsidRDefault="00C23D65" w:rsidP="00D95B9C">
            <w:pPr>
              <w:jc w:val="center"/>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Sadržaj PBDE u kamionima (kg)</w:t>
            </w:r>
          </w:p>
        </w:tc>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F8FF85"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4.68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6F8887"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5.48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D57C94"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1.28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193C4A"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0.68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2ACCE9"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0.52</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03BAF3"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0.24</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27A783" w14:textId="77777777" w:rsidR="00C23D65" w:rsidRPr="00C86111" w:rsidRDefault="00C23D65" w:rsidP="00D95B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0.4</w:t>
            </w:r>
          </w:p>
        </w:tc>
      </w:tr>
      <w:tr w:rsidR="00C23D65" w:rsidRPr="00C86111" w14:paraId="3C22880F" w14:textId="77777777" w:rsidTr="00C23D65">
        <w:trPr>
          <w:trHeight w:val="288"/>
        </w:trPr>
        <w:tc>
          <w:tcPr>
            <w:cnfStyle w:val="001000000000" w:firstRow="0" w:lastRow="0" w:firstColumn="1" w:lastColumn="0" w:oddVBand="0" w:evenVBand="0" w:oddHBand="0" w:evenHBand="0" w:firstRowFirstColumn="0" w:firstRowLastColumn="0" w:lastRowFirstColumn="0" w:lastRowLastColumn="0"/>
            <w:tcW w:w="3354" w:type="dxa"/>
            <w:tcBorders>
              <w:top w:val="single" w:sz="4" w:space="0" w:color="FFFFFF" w:themeColor="background1"/>
              <w:right w:val="single" w:sz="4" w:space="0" w:color="FFFFFF" w:themeColor="background1"/>
            </w:tcBorders>
            <w:noWrap/>
            <w:hideMark/>
          </w:tcPr>
          <w:p w14:paraId="537C886F" w14:textId="77777777" w:rsidR="00C23D65" w:rsidRPr="00C86111" w:rsidRDefault="00C23D65" w:rsidP="00D95B9C">
            <w:pPr>
              <w:jc w:val="center"/>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Ukupno (kg)</w:t>
            </w:r>
          </w:p>
        </w:tc>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8AFC23"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758</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F7C78B"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735</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AF1103"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365</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2C810D"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249</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5F84D8"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266</w:t>
            </w: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784A5B"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318</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C95082" w14:textId="77777777" w:rsidR="00C23D65" w:rsidRPr="00C86111" w:rsidRDefault="00C23D65" w:rsidP="00D95B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C86111">
              <w:rPr>
                <w:rFonts w:asciiTheme="minorHAnsi" w:eastAsia="Times New Roman" w:hAnsiTheme="minorHAnsi" w:cstheme="minorHAnsi"/>
                <w:color w:val="000000"/>
                <w:sz w:val="20"/>
                <w:szCs w:val="20"/>
              </w:rPr>
              <w:t>401</w:t>
            </w:r>
          </w:p>
        </w:tc>
      </w:tr>
    </w:tbl>
    <w:p w14:paraId="5B949F67" w14:textId="77777777" w:rsidR="00C23D65" w:rsidRPr="00C86111" w:rsidRDefault="00C23D65" w:rsidP="00C23D65">
      <w:pPr>
        <w:pStyle w:val="Text"/>
        <w:rPr>
          <w:rFonts w:asciiTheme="minorHAnsi" w:hAnsiTheme="minorHAnsi" w:cstheme="minorHAnsi"/>
          <w:b/>
          <w:bCs/>
          <w:sz w:val="24"/>
          <w:szCs w:val="24"/>
          <w:lang w:val="it-IT"/>
        </w:rPr>
      </w:pPr>
    </w:p>
    <w:p w14:paraId="6FB42A4D" w14:textId="17ADF54E" w:rsidR="00C23D65" w:rsidRPr="00C86111" w:rsidRDefault="00C23D65" w:rsidP="00C23D65">
      <w:pPr>
        <w:pStyle w:val="Text"/>
        <w:jc w:val="center"/>
        <w:rPr>
          <w:rFonts w:asciiTheme="minorHAnsi" w:hAnsiTheme="minorHAnsi" w:cstheme="minorHAnsi"/>
          <w:sz w:val="24"/>
          <w:szCs w:val="24"/>
        </w:rPr>
      </w:pPr>
      <w:r w:rsidRPr="00C86111">
        <w:rPr>
          <w:rFonts w:asciiTheme="minorHAnsi" w:hAnsiTheme="minorHAnsi" w:cstheme="minorHAnsi"/>
          <w:noProof/>
          <w:sz w:val="24"/>
          <w:szCs w:val="24"/>
          <w14:textOutline w14:w="0" w14:cap="rnd" w14:cmpd="sng" w14:algn="ctr">
            <w14:noFill/>
            <w14:prstDash w14:val="solid"/>
            <w14:bevel/>
          </w14:textOutline>
        </w:rPr>
        <w:drawing>
          <wp:inline distT="0" distB="0" distL="0" distR="0" wp14:anchorId="3A5EB923" wp14:editId="3DF9152B">
            <wp:extent cx="4587240" cy="1973580"/>
            <wp:effectExtent l="0" t="0" r="3810" b="7620"/>
            <wp:docPr id="1502010181" name="Chart 1502010181">
              <a:extLst xmlns:a="http://schemas.openxmlformats.org/drawingml/2006/main">
                <a:ext uri="{FF2B5EF4-FFF2-40B4-BE49-F238E27FC236}">
                  <a16:creationId xmlns:a16="http://schemas.microsoft.com/office/drawing/2014/main" id="{6FF2B801-BDD1-0D23-8445-5CA2C4333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C8C4ED" w14:textId="72B82E22" w:rsidR="00C23D65" w:rsidRPr="00C86111" w:rsidRDefault="00D95B9C" w:rsidP="00C23D65">
      <w:pPr>
        <w:pStyle w:val="Text"/>
        <w:rPr>
          <w:rFonts w:asciiTheme="minorHAnsi" w:hAnsiTheme="minorHAnsi" w:cstheme="minorHAnsi"/>
          <w:sz w:val="24"/>
          <w:szCs w:val="24"/>
          <w:lang w:val="sr-Latn-RS"/>
        </w:rPr>
      </w:pPr>
      <w:r w:rsidRPr="00C86111">
        <w:rPr>
          <w:rFonts w:asciiTheme="minorHAnsi" w:hAnsiTheme="minorHAnsi" w:cstheme="minorHAnsi"/>
          <w:b/>
          <w:bCs/>
          <w:sz w:val="24"/>
          <w:szCs w:val="24"/>
          <w:lang w:val="it-IT"/>
        </w:rPr>
        <w:t>Grafik</w:t>
      </w:r>
      <w:r w:rsidR="00C23D65" w:rsidRPr="00C86111">
        <w:rPr>
          <w:rFonts w:asciiTheme="minorHAnsi" w:hAnsiTheme="minorHAnsi" w:cstheme="minorHAnsi"/>
          <w:b/>
          <w:bCs/>
          <w:sz w:val="24"/>
          <w:szCs w:val="24"/>
          <w:lang w:val="it-IT"/>
        </w:rPr>
        <w:t xml:space="preserve"> 1</w:t>
      </w:r>
      <w:r w:rsidR="00547278">
        <w:rPr>
          <w:rFonts w:asciiTheme="minorHAnsi" w:hAnsiTheme="minorHAnsi" w:cstheme="minorHAnsi"/>
          <w:b/>
          <w:bCs/>
          <w:sz w:val="24"/>
          <w:szCs w:val="24"/>
          <w:lang w:val="it-IT"/>
        </w:rPr>
        <w:t>8</w:t>
      </w:r>
      <w:r w:rsidR="00C23D65" w:rsidRPr="00C86111">
        <w:rPr>
          <w:rFonts w:asciiTheme="minorHAnsi" w:hAnsiTheme="minorHAnsi" w:cstheme="minorHAnsi"/>
          <w:b/>
          <w:bCs/>
          <w:sz w:val="24"/>
          <w:szCs w:val="24"/>
          <w:lang w:val="it-IT"/>
        </w:rPr>
        <w:t xml:space="preserve">. </w:t>
      </w:r>
      <w:r w:rsidR="00C23D65" w:rsidRPr="00C86111">
        <w:rPr>
          <w:rFonts w:asciiTheme="minorHAnsi" w:hAnsiTheme="minorHAnsi" w:cstheme="minorHAnsi"/>
          <w:sz w:val="24"/>
          <w:szCs w:val="24"/>
          <w:lang w:val="sr-Latn-RS"/>
        </w:rPr>
        <w:t>Komparativni prikaz sadržaja PBDE u različitim tipovima vozila u periodu 2017-2023</w:t>
      </w:r>
    </w:p>
    <w:p w14:paraId="0B378A26" w14:textId="77777777" w:rsidR="00C23D65" w:rsidRPr="00C86111" w:rsidRDefault="00C23D65" w:rsidP="00C23D65">
      <w:pPr>
        <w:pStyle w:val="Text"/>
        <w:jc w:val="center"/>
        <w:rPr>
          <w:rFonts w:asciiTheme="minorHAnsi" w:hAnsiTheme="minorHAnsi" w:cstheme="minorHAnsi"/>
          <w:b/>
          <w:bCs/>
          <w:i/>
          <w:iCs/>
          <w:sz w:val="24"/>
          <w:szCs w:val="24"/>
        </w:rPr>
      </w:pPr>
    </w:p>
    <w:p w14:paraId="6CBB834F" w14:textId="6E73DE0D" w:rsidR="00C23D65" w:rsidRPr="00C86111" w:rsidRDefault="00C23D65" w:rsidP="00C23D65">
      <w:pPr>
        <w:pStyle w:val="Text"/>
        <w:jc w:val="center"/>
        <w:rPr>
          <w:rFonts w:asciiTheme="minorHAnsi" w:hAnsiTheme="minorHAnsi" w:cstheme="minorHAnsi"/>
          <w:b/>
          <w:bCs/>
          <w:i/>
          <w:iCs/>
        </w:rPr>
      </w:pPr>
      <w:r w:rsidRPr="00C86111">
        <w:rPr>
          <w:noProof/>
        </w:rPr>
        <w:drawing>
          <wp:inline distT="0" distB="0" distL="0" distR="0" wp14:anchorId="5EF158A4" wp14:editId="3185A0BA">
            <wp:extent cx="5745480" cy="1607820"/>
            <wp:effectExtent l="0" t="0" r="7620" b="11430"/>
            <wp:docPr id="1073741854" name="Chart 1073741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160047" w14:textId="7C084FA9" w:rsidR="00C23D65" w:rsidRPr="00C86111" w:rsidRDefault="00D95B9C" w:rsidP="00C23D65">
      <w:pPr>
        <w:pStyle w:val="Text"/>
        <w:jc w:val="center"/>
        <w:rPr>
          <w:rFonts w:asciiTheme="minorHAnsi" w:hAnsiTheme="minorHAnsi" w:cstheme="minorHAnsi"/>
          <w:b/>
          <w:bCs/>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1</w:t>
      </w:r>
      <w:r w:rsidR="00547278">
        <w:rPr>
          <w:rFonts w:asciiTheme="minorHAnsi" w:hAnsiTheme="minorHAnsi" w:cstheme="minorHAnsi"/>
          <w:b/>
          <w:bCs/>
          <w:sz w:val="24"/>
          <w:szCs w:val="24"/>
        </w:rPr>
        <w:t>9</w:t>
      </w:r>
      <w:r w:rsidR="00C23D65" w:rsidRPr="00C86111">
        <w:rPr>
          <w:rFonts w:asciiTheme="minorHAnsi" w:hAnsiTheme="minorHAnsi" w:cstheme="minorHAnsi"/>
          <w:b/>
          <w:bCs/>
          <w:sz w:val="24"/>
          <w:szCs w:val="24"/>
        </w:rPr>
        <w:t xml:space="preserve">. </w:t>
      </w:r>
      <w:r w:rsidR="00C23D65" w:rsidRPr="00C86111">
        <w:rPr>
          <w:rFonts w:asciiTheme="minorHAnsi" w:hAnsiTheme="minorHAnsi" w:cstheme="minorHAnsi"/>
          <w:sz w:val="24"/>
          <w:szCs w:val="24"/>
        </w:rPr>
        <w:t>Pregled sadržaja PBDE u svim kategorijama uvezenih vozila u periodu 2008–2023.</w:t>
      </w:r>
    </w:p>
    <w:p w14:paraId="34D86BAF" w14:textId="578A706C" w:rsidR="00C23D65" w:rsidRPr="00C86111" w:rsidRDefault="00C23D65" w:rsidP="00EA6904">
      <w:pPr>
        <w:pStyle w:val="Heading4"/>
      </w:pPr>
      <w:r w:rsidRPr="00C86111">
        <w:t>Ključna zapažanja – uvezen</w:t>
      </w:r>
      <w:r w:rsidR="00D95B9C" w:rsidRPr="00C86111">
        <w:t>a vozila</w:t>
      </w:r>
      <w:r w:rsidRPr="00C86111">
        <w:t xml:space="preserve"> (2017–2023)</w:t>
      </w:r>
    </w:p>
    <w:p w14:paraId="5F171DA9"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Podaci o sadržaju PBDE u vozilima pokazuju ukupni pad količina do 2020. godine, nakon čega slijedi blagi porast u narednim godinama:</w:t>
      </w:r>
    </w:p>
    <w:p w14:paraId="14D9CBD1" w14:textId="77777777" w:rsidR="00C23D65" w:rsidRPr="00C86111" w:rsidRDefault="00C23D65" w:rsidP="00004F34">
      <w:pPr>
        <w:numPr>
          <w:ilvl w:val="0"/>
          <w:numId w:val="201"/>
        </w:numPr>
        <w:jc w:val="both"/>
        <w:rPr>
          <w:rFonts w:asciiTheme="minorHAnsi" w:hAnsiTheme="minorHAnsi" w:cstheme="minorHAnsi"/>
          <w:color w:val="auto"/>
          <w:szCs w:val="24"/>
        </w:rPr>
      </w:pPr>
      <w:r w:rsidRPr="00C86111">
        <w:rPr>
          <w:rFonts w:asciiTheme="minorHAnsi" w:hAnsiTheme="minorHAnsi" w:cstheme="minorHAnsi"/>
          <w:b/>
          <w:bCs/>
          <w:color w:val="002060"/>
          <w:szCs w:val="24"/>
        </w:rPr>
        <w:t>Putnički automobili:</w:t>
      </w:r>
      <w:r w:rsidRPr="00C86111">
        <w:rPr>
          <w:rFonts w:asciiTheme="minorHAnsi" w:hAnsiTheme="minorHAnsi" w:cstheme="minorHAnsi"/>
          <w:color w:val="002060"/>
          <w:szCs w:val="24"/>
        </w:rPr>
        <w:t xml:space="preserve"> </w:t>
      </w:r>
      <w:r w:rsidRPr="00C86111">
        <w:rPr>
          <w:rFonts w:asciiTheme="minorHAnsi" w:hAnsiTheme="minorHAnsi" w:cstheme="minorHAnsi"/>
          <w:color w:val="auto"/>
          <w:szCs w:val="24"/>
        </w:rPr>
        <w:t>Sadržaj PBDE smanjen je sa 748,3 kg u 2017. na 247,78 kg u 2020. godini, uz nagli pad u 2018. (od 724,56 kg na 362,96 kg). Ovaj nagli pad nastao je zbog izmjena Pravilnika o tehničkim zahtjevima za vozila koja se prvi put uvoze ili stavljaju u promet u Crnoj Gori („Službeni list Crne Gore“, br. 005/15, 063/18, 010/19, 068/20, 016/21, 017/24, 043/24) i uvođenja strožih zahtjeva za uvoz. Kasniji porast na 400,5 kg u 2023. odražava ulazak novih vozila sa niskim, ali još prisutnim nivoima PBDE. Očekuje se dalji pad u 2024., kada se dodatno pooštre uvozni zahtjevi.</w:t>
      </w:r>
    </w:p>
    <w:p w14:paraId="026CC83A" w14:textId="77777777" w:rsidR="00C23D65" w:rsidRPr="00C86111" w:rsidRDefault="00C23D65" w:rsidP="00004F34">
      <w:pPr>
        <w:numPr>
          <w:ilvl w:val="0"/>
          <w:numId w:val="201"/>
        </w:numPr>
        <w:jc w:val="both"/>
        <w:rPr>
          <w:rFonts w:asciiTheme="minorHAnsi" w:hAnsiTheme="minorHAnsi" w:cstheme="minorHAnsi"/>
          <w:color w:val="auto"/>
          <w:szCs w:val="24"/>
        </w:rPr>
      </w:pPr>
      <w:r w:rsidRPr="00C86111">
        <w:rPr>
          <w:rFonts w:asciiTheme="minorHAnsi" w:hAnsiTheme="minorHAnsi" w:cstheme="minorHAnsi"/>
          <w:b/>
          <w:bCs/>
          <w:color w:val="002060"/>
          <w:szCs w:val="24"/>
        </w:rPr>
        <w:t>Autobusi i kamioni:</w:t>
      </w:r>
      <w:r w:rsidRPr="00C86111">
        <w:rPr>
          <w:rFonts w:asciiTheme="minorHAnsi" w:hAnsiTheme="minorHAnsi" w:cstheme="minorHAnsi"/>
          <w:color w:val="002060"/>
          <w:szCs w:val="24"/>
        </w:rPr>
        <w:t xml:space="preserve"> </w:t>
      </w:r>
      <w:r w:rsidRPr="00C86111">
        <w:rPr>
          <w:rFonts w:asciiTheme="minorHAnsi" w:hAnsiTheme="minorHAnsi" w:cstheme="minorHAnsi"/>
          <w:color w:val="auto"/>
          <w:szCs w:val="24"/>
        </w:rPr>
        <w:t>Sadržaj PBDE ostao je nizak i relativno stabilan tokom godina, sa manjim fluktuacijama:</w:t>
      </w:r>
    </w:p>
    <w:p w14:paraId="224A0E7F" w14:textId="77777777" w:rsidR="00C23D65" w:rsidRPr="00C86111" w:rsidRDefault="00C23D65" w:rsidP="00004F34">
      <w:pPr>
        <w:numPr>
          <w:ilvl w:val="1"/>
          <w:numId w:val="202"/>
        </w:numPr>
        <w:jc w:val="both"/>
        <w:rPr>
          <w:rFonts w:asciiTheme="minorHAnsi" w:hAnsiTheme="minorHAnsi" w:cstheme="minorHAnsi"/>
          <w:color w:val="auto"/>
          <w:szCs w:val="24"/>
        </w:rPr>
      </w:pPr>
      <w:r w:rsidRPr="00C86111">
        <w:rPr>
          <w:rFonts w:asciiTheme="minorHAnsi" w:hAnsiTheme="minorHAnsi" w:cstheme="minorHAnsi"/>
          <w:color w:val="auto"/>
          <w:szCs w:val="24"/>
        </w:rPr>
        <w:t>Autobusi: 4,68 kg u 2017. na 0,4 kg u 2023.</w:t>
      </w:r>
    </w:p>
    <w:p w14:paraId="0E1AE52D" w14:textId="77777777" w:rsidR="00C23D65" w:rsidRPr="00C86111" w:rsidRDefault="00C23D65" w:rsidP="00004F34">
      <w:pPr>
        <w:numPr>
          <w:ilvl w:val="1"/>
          <w:numId w:val="202"/>
        </w:numPr>
        <w:jc w:val="both"/>
        <w:rPr>
          <w:rFonts w:asciiTheme="minorHAnsi" w:hAnsiTheme="minorHAnsi" w:cstheme="minorHAnsi"/>
          <w:color w:val="auto"/>
          <w:szCs w:val="24"/>
        </w:rPr>
      </w:pPr>
      <w:r w:rsidRPr="00C86111">
        <w:rPr>
          <w:rFonts w:asciiTheme="minorHAnsi" w:hAnsiTheme="minorHAnsi" w:cstheme="minorHAnsi"/>
          <w:color w:val="auto"/>
          <w:szCs w:val="24"/>
        </w:rPr>
        <w:t>Kamioni: 4,68 kg u 2017. na 0,4 kg u 2023.</w:t>
      </w:r>
    </w:p>
    <w:p w14:paraId="38D69AF5"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002060"/>
          <w:szCs w:val="24"/>
        </w:rPr>
        <w:t>Ukupno:</w:t>
      </w:r>
      <w:r w:rsidRPr="00C86111">
        <w:rPr>
          <w:rFonts w:asciiTheme="minorHAnsi" w:hAnsiTheme="minorHAnsi" w:cstheme="minorHAnsi"/>
          <w:color w:val="auto"/>
          <w:szCs w:val="24"/>
        </w:rPr>
        <w:t xml:space="preserve"> Ukupan sadržaj PBDE u svim kategorijama vozila smanjen je sa 758 kg u 2017. na 249 kg u 2020., a zatim je blago porastao na 401 kg u 2023. Pad do 2020. godine odgovara uvođenju strožijih uvoznih propisa, dok umjereni porast kasnije odražava obnavljanje voznog parka i uvoz novijih vozila sa niskim sadržajem PBDE.</w:t>
      </w:r>
    </w:p>
    <w:p w14:paraId="1C0377E8"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002060"/>
          <w:szCs w:val="24"/>
        </w:rPr>
        <w:t>Zaključak:</w:t>
      </w:r>
      <w:r w:rsidRPr="00C86111">
        <w:rPr>
          <w:rFonts w:asciiTheme="minorHAnsi" w:hAnsiTheme="minorHAnsi" w:cstheme="minorHAnsi"/>
          <w:color w:val="002060"/>
          <w:szCs w:val="24"/>
        </w:rPr>
        <w:t xml:space="preserve"> </w:t>
      </w:r>
      <w:r w:rsidRPr="00C86111">
        <w:rPr>
          <w:rFonts w:asciiTheme="minorHAnsi" w:hAnsiTheme="minorHAnsi" w:cstheme="minorHAnsi"/>
          <w:color w:val="auto"/>
          <w:szCs w:val="24"/>
        </w:rPr>
        <w:t xml:space="preserve">Upravljanje PBDE u vozilima u Crnoj Gori pokazuje </w:t>
      </w:r>
      <w:r w:rsidRPr="00C86111">
        <w:rPr>
          <w:rFonts w:asciiTheme="minorHAnsi" w:hAnsiTheme="minorHAnsi" w:cstheme="minorHAnsi"/>
          <w:b/>
          <w:bCs/>
          <w:color w:val="auto"/>
          <w:szCs w:val="24"/>
        </w:rPr>
        <w:t>opšti silazni trend</w:t>
      </w:r>
      <w:r w:rsidRPr="00C86111">
        <w:rPr>
          <w:rFonts w:asciiTheme="minorHAnsi" w:hAnsiTheme="minorHAnsi" w:cstheme="minorHAnsi"/>
          <w:color w:val="auto"/>
          <w:szCs w:val="24"/>
        </w:rPr>
        <w:t xml:space="preserve"> zahvaljujući regulatornim mjerama, iako PBDE i dalje postoje, posebno u putničkim automobilima.</w:t>
      </w:r>
    </w:p>
    <w:p w14:paraId="5F2F5C6E" w14:textId="77777777" w:rsidR="00C23D65" w:rsidRPr="00C86111" w:rsidRDefault="00C23D65" w:rsidP="00EA6904">
      <w:pPr>
        <w:pStyle w:val="Heading3"/>
      </w:pPr>
      <w:bookmarkStart w:id="107" w:name="_Toc220541908"/>
      <w:r w:rsidRPr="00C86111">
        <w:t>Otpad od vozila na kraju životnog vijeka (ELV)</w:t>
      </w:r>
      <w:bookmarkEnd w:id="107"/>
    </w:p>
    <w:p w14:paraId="36F9CC37" w14:textId="77777777" w:rsidR="00C23D65" w:rsidRPr="00C86111" w:rsidRDefault="00C23D65" w:rsidP="00C23D65">
      <w:pPr>
        <w:jc w:val="both"/>
        <w:rPr>
          <w:rFonts w:asciiTheme="minorHAnsi" w:hAnsiTheme="minorHAnsi" w:cstheme="minorHAnsi"/>
          <w:b/>
          <w:bCs/>
          <w:color w:val="auto"/>
          <w:szCs w:val="24"/>
        </w:rPr>
      </w:pPr>
    </w:p>
    <w:p w14:paraId="281C352C" w14:textId="77777777" w:rsidR="00C23D65" w:rsidRPr="00C86111" w:rsidRDefault="00C23D65" w:rsidP="00C23D65">
      <w:pPr>
        <w:jc w:val="both"/>
      </w:pPr>
      <w:r w:rsidRPr="00C86111">
        <w:t>U Crnoj Gori postoji pet lokacija za odlaganje vozila na kraju životnog vijeka (ELV): Podgorica (1), Berane (1) i Nikšić (3). Prema izvještaju Agencije za zaštitu životne sredine za 2021. godinu, ukupna količina prikupljenog i obrađenog ELV otpada iznosila je 234,16 tona. Najveći broj vozila obradio je SS Alga DOO iz Nikšića, sa 203,6 tona ELV otpada. Preduzeće Deponija DOO, Podgorica, tokom 2021. godine pripremilo je 16,7 tona vozila za ponovno korišćenje i reciklažu, dok je u 2020. godini pripremljeno 85 tona, a u 2019. godini 22 tona kompletnih ELV-ova.</w:t>
      </w:r>
    </w:p>
    <w:p w14:paraId="5D308EA2" w14:textId="77777777" w:rsidR="00C23D65" w:rsidRPr="00C86111" w:rsidRDefault="00C23D65" w:rsidP="00C23D65">
      <w:pPr>
        <w:jc w:val="both"/>
      </w:pPr>
      <w:r w:rsidRPr="00C86111">
        <w:lastRenderedPageBreak/>
        <w:t>„Smjernice za inventarizaciju polibromovanih difenil etera (PBDE) navedenih u Stokholmskoj konvenciji o perzistentnim organskim zagađivačima“ sugerišu mogućnost poređenja sa iskustvima sličnih zemalja. U tom kontekstu korišćena su iskustva susjednih država. Broj vozila na kraju životnog vijeka u crnogorskim deponijama izračunat je množenjem broja registrovanih vozila sa specifičnim faktorima (automobili 0,23; autobusi 0,46; kamioni 1,89) i dodatnim faktorom 0,15.</w:t>
      </w:r>
    </w:p>
    <w:p w14:paraId="2ADCB8CA" w14:textId="2F5C3C45" w:rsidR="00C23D65" w:rsidRPr="00C86111" w:rsidRDefault="00C23D65" w:rsidP="00C23D65">
      <w:pPr>
        <w:jc w:val="both"/>
      </w:pPr>
      <w:r w:rsidRPr="00C86111">
        <w:t xml:space="preserve">Gruba procjena ukupne količine plastike u prosječnom vozilu na kraju životnog vijeka iznosi 200 kg. </w:t>
      </w:r>
    </w:p>
    <w:p w14:paraId="70A9F259" w14:textId="77777777" w:rsidR="00C23D65" w:rsidRPr="00C86111" w:rsidRDefault="00C23D65" w:rsidP="00C23D65">
      <w:pPr>
        <w:jc w:val="both"/>
      </w:pPr>
      <w:r w:rsidRPr="00C86111">
        <w:t>Podaci iz literature o koncentraciji decaBDE u prosječnom ASR-u iz ELV-ova su vrlo heterogeni, kreću se od 0,2 do 1.076 mg/kg, pri čemu većina vrijednosti ostaje ispod 1.000 mg/kg. Međutim, pojedine frakcije ASR-a mogu sadržati PBDE u koncentracijama većim od 1.000 mg/kg.</w:t>
      </w:r>
    </w:p>
    <w:p w14:paraId="42C33FC9" w14:textId="6C6D6841" w:rsidR="00C23D65" w:rsidRPr="00C86111" w:rsidRDefault="00C23D65" w:rsidP="00C23D65">
      <w:pPr>
        <w:jc w:val="both"/>
      </w:pPr>
      <w:r w:rsidRPr="00C86111">
        <w:t xml:space="preserve">U tabeli </w:t>
      </w:r>
      <w:r w:rsidR="00D95B9C" w:rsidRPr="00C86111">
        <w:t>59</w:t>
      </w:r>
      <w:r w:rsidRPr="00C86111">
        <w:t xml:space="preserve"> prikazana je količina </w:t>
      </w:r>
      <w:r w:rsidRPr="00C86111">
        <w:rPr>
          <w:rFonts w:asciiTheme="minorHAnsi" w:hAnsiTheme="minorHAnsi" w:cstheme="minorHAnsi"/>
          <w:color w:val="auto"/>
          <w:szCs w:val="24"/>
        </w:rPr>
        <w:t>decaBDE u procijenjenim end-of-life vozilima (ELVs) u periodu 2017–2023.</w:t>
      </w:r>
    </w:p>
    <w:p w14:paraId="5772DACF" w14:textId="77777777" w:rsidR="00C23D65" w:rsidRPr="00C86111" w:rsidRDefault="00C23D65" w:rsidP="00C23D65">
      <w:pPr>
        <w:jc w:val="both"/>
        <w:rPr>
          <w:rFonts w:asciiTheme="minorHAnsi" w:hAnsiTheme="minorHAnsi" w:cstheme="minorHAnsi"/>
          <w:color w:val="auto"/>
          <w:szCs w:val="24"/>
        </w:rPr>
      </w:pPr>
    </w:p>
    <w:p w14:paraId="6C411A67" w14:textId="4717F71D"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Tabela </w:t>
      </w:r>
      <w:r w:rsidR="00D95B9C" w:rsidRPr="00C86111">
        <w:rPr>
          <w:rFonts w:asciiTheme="minorHAnsi" w:hAnsiTheme="minorHAnsi" w:cstheme="minorHAnsi"/>
          <w:b/>
          <w:bCs/>
          <w:color w:val="auto"/>
          <w:szCs w:val="24"/>
        </w:rPr>
        <w:t>59</w:t>
      </w: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Količina decaBDE u procijenjenim end-of-life vozilima (ELVs) u periodu 2017–2023</w:t>
      </w:r>
    </w:p>
    <w:tbl>
      <w:tblPr>
        <w:tblStyle w:val="GridTable5Dark-Accent6"/>
        <w:tblW w:w="0" w:type="auto"/>
        <w:tblLook w:val="04A0" w:firstRow="1" w:lastRow="0" w:firstColumn="1" w:lastColumn="0" w:noHBand="0" w:noVBand="1"/>
      </w:tblPr>
      <w:tblGrid>
        <w:gridCol w:w="814"/>
        <w:gridCol w:w="2573"/>
        <w:gridCol w:w="1389"/>
        <w:gridCol w:w="2278"/>
        <w:gridCol w:w="2296"/>
      </w:tblGrid>
      <w:tr w:rsidR="00C23D65" w:rsidRPr="00C86111" w14:paraId="5D965B85" w14:textId="77777777" w:rsidTr="00C2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hideMark/>
          </w:tcPr>
          <w:p w14:paraId="1F570423" w14:textId="77777777" w:rsidR="00C23D65" w:rsidRPr="00C86111" w:rsidRDefault="00C23D65">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Godina</w:t>
            </w:r>
          </w:p>
        </w:tc>
        <w:tc>
          <w:tcPr>
            <w:tcW w:w="0" w:type="auto"/>
            <w:tcBorders>
              <w:bottom w:val="single" w:sz="4" w:space="0" w:color="FFFFFF" w:themeColor="background1"/>
            </w:tcBorders>
            <w:hideMark/>
          </w:tcPr>
          <w:p w14:paraId="68466A03"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Procijenjena količina ELV (kom)</w:t>
            </w:r>
          </w:p>
        </w:tc>
        <w:tc>
          <w:tcPr>
            <w:tcW w:w="0" w:type="auto"/>
            <w:tcBorders>
              <w:bottom w:val="single" w:sz="4" w:space="0" w:color="FFFFFF" w:themeColor="background1"/>
            </w:tcBorders>
            <w:hideMark/>
          </w:tcPr>
          <w:p w14:paraId="705DD0E0"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Sadržaj ASR (g)</w:t>
            </w:r>
          </w:p>
        </w:tc>
        <w:tc>
          <w:tcPr>
            <w:tcW w:w="0" w:type="auto"/>
            <w:tcBorders>
              <w:bottom w:val="single" w:sz="4" w:space="0" w:color="FFFFFF" w:themeColor="background1"/>
            </w:tcBorders>
            <w:hideMark/>
          </w:tcPr>
          <w:p w14:paraId="5A230EC5"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DecaBDE – bolji scenario (g)</w:t>
            </w:r>
          </w:p>
        </w:tc>
        <w:tc>
          <w:tcPr>
            <w:tcW w:w="0" w:type="auto"/>
            <w:tcBorders>
              <w:bottom w:val="single" w:sz="4" w:space="0" w:color="FFFFFF" w:themeColor="background1"/>
            </w:tcBorders>
            <w:hideMark/>
          </w:tcPr>
          <w:p w14:paraId="0DFA7CE7" w14:textId="77777777" w:rsidR="00C23D65" w:rsidRPr="00C86111" w:rsidRDefault="00C23D6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DecaBDE – lošiji scenario (g)</w:t>
            </w:r>
          </w:p>
        </w:tc>
      </w:tr>
      <w:tr w:rsidR="00C23D65" w:rsidRPr="00C86111" w14:paraId="77D6733F"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6C41E098"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521AE9"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12.699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DF2182"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2.539.853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1528EE"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D00ED8"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2.733</w:t>
            </w:r>
          </w:p>
        </w:tc>
      </w:tr>
      <w:tr w:rsidR="00C23D65" w:rsidRPr="00C86111" w14:paraId="21957B93"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79101E9C"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734812"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13.321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A0CF0E"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2.664.285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3410F2"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7AEAFB"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2.867</w:t>
            </w:r>
          </w:p>
        </w:tc>
      </w:tr>
      <w:tr w:rsidR="00C23D65" w:rsidRPr="00C86111" w14:paraId="69EC8F49"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7EB26873"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5E10DF"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14.149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B9EFB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2.829.738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2D010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566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8CB446"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3.045</w:t>
            </w:r>
          </w:p>
        </w:tc>
      </w:tr>
      <w:tr w:rsidR="00C23D65" w:rsidRPr="00C86111" w14:paraId="58A43135"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3341C3A7"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FBB93A"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13.143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FDE4EC"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2.628.655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441F82"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7975AD"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2.828</w:t>
            </w:r>
          </w:p>
        </w:tc>
      </w:tr>
      <w:tr w:rsidR="00C23D65" w:rsidRPr="00C86111" w14:paraId="103BDA19"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2E00A369"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89AEDC"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14.071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06253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2.814.193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CE42B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563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E12B03"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3.028</w:t>
            </w:r>
          </w:p>
        </w:tc>
      </w:tr>
      <w:tr w:rsidR="00C23D65" w:rsidRPr="00C86111" w14:paraId="1B46A183" w14:textId="77777777" w:rsidTr="00C23D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632AB9E9"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2B0EC3"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14.484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E236FF"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2.896.751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647456"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579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CFB459" w14:textId="77777777" w:rsidR="00C23D65" w:rsidRPr="00C86111" w:rsidRDefault="00C23D6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3.117</w:t>
            </w:r>
          </w:p>
        </w:tc>
      </w:tr>
      <w:tr w:rsidR="00C23D65" w:rsidRPr="00C86111" w14:paraId="3EFA7600" w14:textId="77777777" w:rsidTr="00C23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hideMark/>
          </w:tcPr>
          <w:p w14:paraId="7FAED6A2" w14:textId="77777777" w:rsidR="00C23D65" w:rsidRPr="00C86111" w:rsidRDefault="00C23D65">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6CFFF5"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15.468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A444A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3.093.500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E99A40"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CF40ED" w14:textId="77777777" w:rsidR="00C23D65" w:rsidRPr="00C86111" w:rsidRDefault="00C23D6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3.329</w:t>
            </w:r>
          </w:p>
        </w:tc>
      </w:tr>
    </w:tbl>
    <w:p w14:paraId="298DB6CB" w14:textId="77777777" w:rsidR="00C23D65" w:rsidRPr="00C86111" w:rsidRDefault="00C23D65" w:rsidP="00C23D65">
      <w:pPr>
        <w:pStyle w:val="Text"/>
        <w:jc w:val="both"/>
        <w:rPr>
          <w:rFonts w:asciiTheme="minorHAnsi" w:hAnsiTheme="minorHAnsi" w:cstheme="minorHAnsi"/>
          <w:sz w:val="24"/>
          <w:szCs w:val="24"/>
        </w:rPr>
      </w:pPr>
    </w:p>
    <w:p w14:paraId="3CAA4697" w14:textId="035B072A" w:rsidR="00C23D65" w:rsidRPr="00C86111" w:rsidRDefault="00C23D65" w:rsidP="00C23D65">
      <w:pPr>
        <w:pStyle w:val="Text"/>
        <w:jc w:val="both"/>
        <w:rPr>
          <w:rFonts w:asciiTheme="minorHAnsi" w:hAnsiTheme="minorHAnsi" w:cstheme="minorHAnsi"/>
          <w:b/>
          <w:bCs/>
          <w:sz w:val="24"/>
          <w:szCs w:val="24"/>
        </w:rPr>
      </w:pPr>
      <w:r w:rsidRPr="00C86111">
        <w:rPr>
          <w:rFonts w:asciiTheme="minorHAnsi" w:hAnsiTheme="minorHAnsi" w:cstheme="minorHAnsi"/>
          <w:sz w:val="24"/>
          <w:szCs w:val="24"/>
        </w:rPr>
        <w:t xml:space="preserve">Grafički prikaz sadržaja decaBDE-a za period 2017–2023. u procijenjenoj količini vozila na otpadu prikazan je na </w:t>
      </w:r>
      <w:r w:rsidR="00D95B9C" w:rsidRPr="00C86111">
        <w:rPr>
          <w:rFonts w:asciiTheme="minorHAnsi" w:hAnsiTheme="minorHAnsi" w:cstheme="minorHAnsi"/>
          <w:sz w:val="24"/>
          <w:szCs w:val="24"/>
        </w:rPr>
        <w:t>Grafiku</w:t>
      </w:r>
      <w:r w:rsidRPr="00C86111">
        <w:rPr>
          <w:rFonts w:asciiTheme="minorHAnsi" w:hAnsiTheme="minorHAnsi" w:cstheme="minorHAnsi"/>
          <w:sz w:val="24"/>
          <w:szCs w:val="24"/>
        </w:rPr>
        <w:t xml:space="preserve"> </w:t>
      </w:r>
      <w:r w:rsidR="00547278">
        <w:rPr>
          <w:rFonts w:asciiTheme="minorHAnsi" w:hAnsiTheme="minorHAnsi" w:cstheme="minorHAnsi"/>
          <w:sz w:val="24"/>
          <w:szCs w:val="24"/>
        </w:rPr>
        <w:t>21</w:t>
      </w:r>
      <w:r w:rsidRPr="00C86111">
        <w:rPr>
          <w:rFonts w:asciiTheme="minorHAnsi" w:hAnsiTheme="minorHAnsi" w:cstheme="minorHAnsi"/>
          <w:b/>
          <w:bCs/>
          <w:sz w:val="24"/>
          <w:szCs w:val="24"/>
        </w:rPr>
        <w:t>.</w:t>
      </w:r>
    </w:p>
    <w:p w14:paraId="499A67F6" w14:textId="12770403" w:rsidR="00C23D65" w:rsidRPr="00C86111" w:rsidRDefault="00C23D65" w:rsidP="00D95B9C">
      <w:pPr>
        <w:pStyle w:val="Text"/>
        <w:spacing w:after="0"/>
        <w:jc w:val="center"/>
        <w:rPr>
          <w:rFonts w:asciiTheme="minorHAnsi" w:hAnsiTheme="minorHAnsi" w:cstheme="minorHAnsi"/>
          <w:b/>
          <w:bCs/>
          <w:sz w:val="24"/>
          <w:szCs w:val="24"/>
        </w:rPr>
      </w:pPr>
      <w:r w:rsidRPr="00C86111">
        <w:rPr>
          <w:noProof/>
        </w:rPr>
        <w:drawing>
          <wp:inline distT="0" distB="0" distL="0" distR="0" wp14:anchorId="6BE27F1D" wp14:editId="306E4C6F">
            <wp:extent cx="4815840" cy="2179320"/>
            <wp:effectExtent l="0" t="0" r="3810" b="11430"/>
            <wp:docPr id="1569279468" name="Chart 1569279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931F36" w14:textId="656DB24D" w:rsidR="00C23D65" w:rsidRPr="00C86111" w:rsidRDefault="00D95B9C" w:rsidP="00C23D65">
      <w:pPr>
        <w:pStyle w:val="Text"/>
        <w:spacing w:after="0"/>
        <w:jc w:val="both"/>
        <w:rPr>
          <w:rFonts w:asciiTheme="minorHAnsi" w:hAnsiTheme="minorHAnsi" w:cstheme="minorHAnsi"/>
          <w:sz w:val="24"/>
          <w:szCs w:val="24"/>
        </w:rPr>
      </w:pPr>
      <w:r w:rsidRPr="00C86111">
        <w:rPr>
          <w:rFonts w:asciiTheme="minorHAnsi" w:hAnsiTheme="minorHAnsi" w:cstheme="minorHAnsi"/>
          <w:b/>
          <w:bCs/>
          <w:sz w:val="24"/>
          <w:szCs w:val="24"/>
        </w:rPr>
        <w:t>Grafik</w:t>
      </w:r>
      <w:r w:rsidR="00C23D65" w:rsidRPr="00C86111">
        <w:rPr>
          <w:rFonts w:asciiTheme="minorHAnsi" w:hAnsiTheme="minorHAnsi" w:cstheme="minorHAnsi"/>
          <w:b/>
          <w:bCs/>
          <w:sz w:val="24"/>
          <w:szCs w:val="24"/>
        </w:rPr>
        <w:t xml:space="preserve"> </w:t>
      </w:r>
      <w:r w:rsidR="00547278">
        <w:rPr>
          <w:rFonts w:asciiTheme="minorHAnsi" w:hAnsiTheme="minorHAnsi" w:cstheme="minorHAnsi"/>
          <w:b/>
          <w:bCs/>
          <w:sz w:val="24"/>
          <w:szCs w:val="24"/>
        </w:rPr>
        <w:t>21</w:t>
      </w:r>
      <w:r w:rsidR="00C23D65" w:rsidRPr="00C86111">
        <w:rPr>
          <w:rFonts w:asciiTheme="minorHAnsi" w:hAnsiTheme="minorHAnsi" w:cstheme="minorHAnsi"/>
          <w:b/>
          <w:bCs/>
          <w:sz w:val="24"/>
          <w:szCs w:val="24"/>
        </w:rPr>
        <w:t xml:space="preserve">. </w:t>
      </w:r>
      <w:r w:rsidR="00C23D65" w:rsidRPr="00C86111">
        <w:rPr>
          <w:rFonts w:asciiTheme="minorHAnsi" w:hAnsiTheme="minorHAnsi" w:cstheme="minorHAnsi"/>
          <w:sz w:val="24"/>
          <w:szCs w:val="24"/>
        </w:rPr>
        <w:t>Grafički prikaz sadržaja dekaBDE u procijenjenoj količini vozila na kraju životnog vijeka (2017–2023)</w:t>
      </w:r>
    </w:p>
    <w:p w14:paraId="45AA39E9" w14:textId="77777777" w:rsidR="00D95B9C" w:rsidRPr="00C86111" w:rsidRDefault="00D95B9C" w:rsidP="00C23D65">
      <w:pPr>
        <w:pStyle w:val="Text"/>
        <w:spacing w:after="0"/>
        <w:jc w:val="both"/>
        <w:rPr>
          <w:rFonts w:asciiTheme="minorHAnsi" w:hAnsiTheme="minorHAnsi" w:cstheme="minorHAnsi"/>
          <w:sz w:val="24"/>
          <w:szCs w:val="24"/>
        </w:rPr>
      </w:pPr>
    </w:p>
    <w:p w14:paraId="7E212218"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b/>
          <w:bCs/>
          <w:color w:val="002060"/>
          <w:szCs w:val="24"/>
        </w:rPr>
        <w:lastRenderedPageBreak/>
        <w:t>Zaključak:</w:t>
      </w:r>
      <w:r w:rsidRPr="00C86111">
        <w:rPr>
          <w:rFonts w:asciiTheme="minorHAnsi" w:hAnsiTheme="minorHAnsi" w:cstheme="minorHAnsi"/>
          <w:color w:val="auto"/>
          <w:szCs w:val="24"/>
        </w:rPr>
        <w:t xml:space="preserve"> DecaBDE ostaje prisutan u ELV-ovima i ASR-u, što naglašava potrebu za efikasnim mjerama separacije i sigurnog zbrinjavanja kako bi se smanjio uticaj ovog perzistentnog zagađivača na životnu sredinu.</w:t>
      </w:r>
    </w:p>
    <w:p w14:paraId="4488C69A" w14:textId="77777777" w:rsidR="00C23D65" w:rsidRPr="00C86111" w:rsidRDefault="00C23D65" w:rsidP="00EA6904">
      <w:pPr>
        <w:pStyle w:val="Heading3"/>
      </w:pPr>
      <w:bookmarkStart w:id="108" w:name="_Toc220541909"/>
      <w:bookmarkStart w:id="109" w:name="_Hlk215608872"/>
      <w:r w:rsidRPr="00C86111">
        <w:t>Upravljanje otpadom u Crnoj Gori i rizici izloženosti</w:t>
      </w:r>
      <w:bookmarkEnd w:id="108"/>
    </w:p>
    <w:p w14:paraId="4E37C814" w14:textId="77777777" w:rsidR="00C23D65" w:rsidRPr="00C86111" w:rsidRDefault="00C23D65" w:rsidP="00C23D65">
      <w:pPr>
        <w:jc w:val="both"/>
        <w:rPr>
          <w:rFonts w:asciiTheme="minorHAnsi" w:hAnsiTheme="minorHAnsi" w:cstheme="minorHAnsi"/>
          <w:b/>
          <w:bCs/>
          <w:color w:val="auto"/>
          <w:szCs w:val="24"/>
        </w:rPr>
      </w:pPr>
    </w:p>
    <w:p w14:paraId="4D0381B4"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U Crnoj Gori, upravljanje otpadom regulisano je Zakonom o upravljanju otpadom („Službeni list Crne Gore“, br. 034/24, 092/24), koji je usklađen sa zakonodavstvom EU o proširenoj odgovornosti proizvođača (EPR), otpadnoj električnoj i elektroničkoj opremi (WEEE) i vozilima na kraju životnog vijeka (ELV).</w:t>
      </w:r>
    </w:p>
    <w:p w14:paraId="1A93B973"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Glavni izazovi se odnose više na sprovođenje zakona i praćenje tokova otpada, nego na samu legislativu. Ključni problemi uključuju:</w:t>
      </w:r>
    </w:p>
    <w:p w14:paraId="303E2933" w14:textId="77777777" w:rsidR="00C23D65" w:rsidRPr="00C86111" w:rsidRDefault="00C23D65" w:rsidP="00004F34">
      <w:pPr>
        <w:numPr>
          <w:ilvl w:val="0"/>
          <w:numId w:val="203"/>
        </w:numPr>
        <w:jc w:val="both"/>
        <w:rPr>
          <w:rFonts w:asciiTheme="minorHAnsi" w:hAnsiTheme="minorHAnsi" w:cstheme="minorHAnsi"/>
          <w:color w:val="auto"/>
          <w:szCs w:val="24"/>
        </w:rPr>
      </w:pPr>
      <w:r w:rsidRPr="00C86111">
        <w:rPr>
          <w:rFonts w:asciiTheme="minorHAnsi" w:hAnsiTheme="minorHAnsi" w:cstheme="minorHAnsi"/>
          <w:color w:val="auto"/>
          <w:szCs w:val="24"/>
        </w:rPr>
        <w:t>Neadekvatno upravljanje otpadom i podacima: Trenutna statistika otpada je nepotpuna i nekonzistentna, što dovodi do oslanjanja na procjene umjesto na tačne, provjerljive podatke.</w:t>
      </w:r>
    </w:p>
    <w:p w14:paraId="5BBF5AC0" w14:textId="77777777" w:rsidR="00C23D65" w:rsidRPr="00C86111" w:rsidRDefault="00C23D65" w:rsidP="00004F34">
      <w:pPr>
        <w:numPr>
          <w:ilvl w:val="0"/>
          <w:numId w:val="203"/>
        </w:numPr>
        <w:jc w:val="both"/>
        <w:rPr>
          <w:rFonts w:asciiTheme="minorHAnsi" w:hAnsiTheme="minorHAnsi" w:cstheme="minorHAnsi"/>
          <w:color w:val="auto"/>
          <w:szCs w:val="24"/>
        </w:rPr>
      </w:pPr>
      <w:r w:rsidRPr="00C86111">
        <w:rPr>
          <w:rFonts w:asciiTheme="minorHAnsi" w:hAnsiTheme="minorHAnsi" w:cstheme="minorHAnsi"/>
          <w:color w:val="auto"/>
          <w:szCs w:val="24"/>
        </w:rPr>
        <w:t>Nepotpuno pokrivanje podataka: Nedostaju informacije za sve relevantne kategorije otpada, posebno one koje sadrže POPs-PBDE.</w:t>
      </w:r>
    </w:p>
    <w:p w14:paraId="57094DB1" w14:textId="77777777" w:rsidR="00C23D65" w:rsidRPr="00C86111" w:rsidRDefault="00C23D65" w:rsidP="00004F34">
      <w:pPr>
        <w:numPr>
          <w:ilvl w:val="0"/>
          <w:numId w:val="203"/>
        </w:numPr>
        <w:jc w:val="both"/>
        <w:rPr>
          <w:rFonts w:asciiTheme="minorHAnsi" w:hAnsiTheme="minorHAnsi" w:cstheme="minorHAnsi"/>
          <w:color w:val="auto"/>
          <w:szCs w:val="24"/>
        </w:rPr>
      </w:pPr>
      <w:r w:rsidRPr="00C86111">
        <w:rPr>
          <w:rFonts w:asciiTheme="minorHAnsi" w:hAnsiTheme="minorHAnsi" w:cstheme="minorHAnsi"/>
          <w:color w:val="auto"/>
          <w:szCs w:val="24"/>
        </w:rPr>
        <w:t>Ograničena svijest o opasnostima: Opšta populacija nije dovoljno informisana o rizicima koje predstavljaju POP hemikalije.</w:t>
      </w:r>
    </w:p>
    <w:p w14:paraId="1AF66641" w14:textId="77777777" w:rsidR="00C23D65" w:rsidRPr="00C86111" w:rsidRDefault="00C23D65" w:rsidP="00004F34">
      <w:pPr>
        <w:numPr>
          <w:ilvl w:val="0"/>
          <w:numId w:val="203"/>
        </w:numPr>
        <w:jc w:val="both"/>
        <w:rPr>
          <w:rFonts w:asciiTheme="minorHAnsi" w:hAnsiTheme="minorHAnsi" w:cstheme="minorHAnsi"/>
          <w:color w:val="auto"/>
          <w:szCs w:val="24"/>
        </w:rPr>
      </w:pPr>
      <w:r w:rsidRPr="00C86111">
        <w:rPr>
          <w:rFonts w:asciiTheme="minorHAnsi" w:hAnsiTheme="minorHAnsi" w:cstheme="minorHAnsi"/>
          <w:color w:val="auto"/>
          <w:szCs w:val="24"/>
        </w:rPr>
        <w:t>Nedostatak monitoringa životne sredine i hrane: Podaci o sadržaju PBDE u životnoj sredini i hrani su oskudni i dostupni samo kroz sporadične studije.</w:t>
      </w:r>
    </w:p>
    <w:p w14:paraId="79BD951D" w14:textId="77777777" w:rsidR="00C23D65" w:rsidRPr="00C86111" w:rsidRDefault="00C23D65" w:rsidP="00C23D65">
      <w:pPr>
        <w:jc w:val="both"/>
        <w:rPr>
          <w:rFonts w:asciiTheme="minorHAnsi" w:hAnsiTheme="minorHAnsi" w:cstheme="minorHAnsi"/>
          <w:color w:val="auto"/>
          <w:szCs w:val="24"/>
        </w:rPr>
      </w:pPr>
    </w:p>
    <w:p w14:paraId="790E8101"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Posebna zabrinutost se odnosi na angažman romske (RAI) populacije u neformalnim reciklažnim aktivnostima. Članovi ove grupe često rastavljaju dijelove vozila na kraju životnog vijeka, uključujući plastiku i druge komponente koje mogu sadržati PBDE, što dovodi do direktne izloženosti ovim postojanim hemikalijama. U ovom kontekstu, preporučuje se podizanje svijesti o zdravstvenim i ekološkim rizicima, bez davanja uputstava za rukovanje, jer je ova aktivnost nelegalna.</w:t>
      </w:r>
    </w:p>
    <w:p w14:paraId="3C77ECCA" w14:textId="77777777" w:rsidR="00C23D65" w:rsidRPr="00C86111" w:rsidRDefault="00C23D65" w:rsidP="00C23D65">
      <w:pPr>
        <w:jc w:val="both"/>
        <w:rPr>
          <w:rFonts w:asciiTheme="minorHAnsi" w:hAnsiTheme="minorHAnsi" w:cstheme="minorHAnsi"/>
          <w:color w:val="auto"/>
          <w:szCs w:val="24"/>
        </w:rPr>
      </w:pPr>
    </w:p>
    <w:p w14:paraId="5FC3CABC"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Dodatni izazovi uključuju kontaminirane lokacije i deponije otpada, gdje materijali koji sadrže PBDE iz prethodnih industrijskih ili komunalnih aktivnosti i dalje mogu biti prisutni.</w:t>
      </w:r>
    </w:p>
    <w:p w14:paraId="0778C1B0" w14:textId="77777777" w:rsidR="00C23D65" w:rsidRPr="00C86111" w:rsidRDefault="00C23D65" w:rsidP="00EA6904">
      <w:pPr>
        <w:pStyle w:val="Heading4"/>
      </w:pPr>
      <w:r w:rsidRPr="00C86111">
        <w:t>Diskusija rezultata inventara</w:t>
      </w:r>
    </w:p>
    <w:p w14:paraId="45D801ED"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Ovaj dio se fokusira na analizu i tumačenje rezultata inventara PBDE i HBB u transportnom i EEE sektoru.</w:t>
      </w:r>
    </w:p>
    <w:p w14:paraId="0ACEAF40" w14:textId="77777777" w:rsidR="00C23D65" w:rsidRPr="00C86111" w:rsidRDefault="00C23D65" w:rsidP="00004F34">
      <w:pPr>
        <w:numPr>
          <w:ilvl w:val="0"/>
          <w:numId w:val="204"/>
        </w:numPr>
        <w:jc w:val="both"/>
        <w:rPr>
          <w:rFonts w:asciiTheme="minorHAnsi" w:hAnsiTheme="minorHAnsi" w:cstheme="minorHAnsi"/>
          <w:color w:val="auto"/>
          <w:szCs w:val="24"/>
        </w:rPr>
      </w:pPr>
      <w:r w:rsidRPr="00C86111">
        <w:rPr>
          <w:rFonts w:asciiTheme="minorHAnsi" w:hAnsiTheme="minorHAnsi" w:cstheme="minorHAnsi"/>
          <w:color w:val="auto"/>
          <w:szCs w:val="24"/>
        </w:rPr>
        <w:t>Inventar je pokazao da su transportni i EEE sektori glavni putevi ulaska PBDE u Crnu Goru, prvenstveno kroz uvoz vozila i elektroničke opreme.</w:t>
      </w:r>
    </w:p>
    <w:p w14:paraId="3625EF09" w14:textId="77777777" w:rsidR="00C23D65" w:rsidRPr="00C86111" w:rsidRDefault="00C23D65" w:rsidP="00004F34">
      <w:pPr>
        <w:numPr>
          <w:ilvl w:val="0"/>
          <w:numId w:val="204"/>
        </w:numPr>
        <w:jc w:val="both"/>
        <w:rPr>
          <w:rFonts w:asciiTheme="minorHAnsi" w:hAnsiTheme="minorHAnsi" w:cstheme="minorHAnsi"/>
          <w:color w:val="auto"/>
          <w:szCs w:val="24"/>
        </w:rPr>
      </w:pPr>
      <w:r w:rsidRPr="00C86111">
        <w:rPr>
          <w:rFonts w:asciiTheme="minorHAnsi" w:hAnsiTheme="minorHAnsi" w:cstheme="minorHAnsi"/>
          <w:color w:val="auto"/>
          <w:szCs w:val="24"/>
        </w:rPr>
        <w:t>Takođe je istaknuto da neformalna reciklaža, posebno od strane RAI populacije, predstavlja direktan put izloženosti ovim postojanim hemikalijama.</w:t>
      </w:r>
    </w:p>
    <w:p w14:paraId="684FFC5E" w14:textId="77777777" w:rsidR="00C23D65" w:rsidRPr="00C86111" w:rsidRDefault="00C23D65" w:rsidP="00004F34">
      <w:pPr>
        <w:numPr>
          <w:ilvl w:val="0"/>
          <w:numId w:val="204"/>
        </w:numPr>
        <w:jc w:val="both"/>
        <w:rPr>
          <w:rFonts w:asciiTheme="minorHAnsi" w:hAnsiTheme="minorHAnsi" w:cstheme="minorHAnsi"/>
          <w:color w:val="auto"/>
          <w:szCs w:val="24"/>
        </w:rPr>
      </w:pPr>
      <w:r w:rsidRPr="00C86111">
        <w:rPr>
          <w:rFonts w:asciiTheme="minorHAnsi" w:hAnsiTheme="minorHAnsi" w:cstheme="minorHAnsi"/>
          <w:color w:val="auto"/>
          <w:szCs w:val="24"/>
        </w:rPr>
        <w:t>Rezultati ukazuju na opadajući trend ukupnog opterećenja PBDE u vozilima, naročito u putničkim automobilima, ali rizik ostaje značajan, naglašavajući potrebu za pravilnim praćenjem i upravljanjem.</w:t>
      </w:r>
    </w:p>
    <w:p w14:paraId="5F9182A8" w14:textId="77777777" w:rsidR="00C23D65" w:rsidRPr="00C86111" w:rsidRDefault="00C23D65" w:rsidP="00004F34">
      <w:pPr>
        <w:numPr>
          <w:ilvl w:val="0"/>
          <w:numId w:val="204"/>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Nedostaci u statistici otpada, podacima o hemijskom sastavu i monitoring životne sredine ograničavaju tačnost inventara.</w:t>
      </w:r>
    </w:p>
    <w:p w14:paraId="6C4E3F12" w14:textId="77777777" w:rsidR="00C23D65" w:rsidRPr="00C86111" w:rsidRDefault="00C23D65" w:rsidP="00004F34">
      <w:pPr>
        <w:numPr>
          <w:ilvl w:val="0"/>
          <w:numId w:val="204"/>
        </w:numPr>
        <w:jc w:val="both"/>
        <w:rPr>
          <w:rFonts w:asciiTheme="minorHAnsi" w:hAnsiTheme="minorHAnsi" w:cstheme="minorHAnsi"/>
          <w:color w:val="auto"/>
          <w:szCs w:val="24"/>
        </w:rPr>
      </w:pPr>
      <w:r w:rsidRPr="00C86111">
        <w:rPr>
          <w:rFonts w:asciiTheme="minorHAnsi" w:hAnsiTheme="minorHAnsi" w:cstheme="minorHAnsi"/>
          <w:color w:val="auto"/>
          <w:szCs w:val="24"/>
        </w:rPr>
        <w:t>Posebna pažnja posvećena je kontaminiranim lokacijama i starim deponijama, gdje PBDE materijali iz prethodnih aktivnosti i dalje mogu biti prisutni.</w:t>
      </w:r>
    </w:p>
    <w:p w14:paraId="10D67FCA"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Ova diskusija omogućava identifikaciju ključnih izazova i praznina, čime se stvara osnova za preporuke i mjere u okviru Nacionalnog implementacionog plana (NIP).</w:t>
      </w:r>
    </w:p>
    <w:p w14:paraId="330DF2D5" w14:textId="77777777" w:rsidR="00C23D65" w:rsidRPr="00C86111" w:rsidRDefault="00C23D65" w:rsidP="00004F34">
      <w:pPr>
        <w:pStyle w:val="Heading1"/>
        <w:numPr>
          <w:ilvl w:val="1"/>
          <w:numId w:val="238"/>
        </w:numPr>
      </w:pPr>
      <w:bookmarkStart w:id="110" w:name="_Toc220541910"/>
      <w:r w:rsidRPr="00C86111">
        <w:t>Zaključci i elementi za djelovanje</w:t>
      </w:r>
      <w:bookmarkEnd w:id="110"/>
    </w:p>
    <w:p w14:paraId="0D06221C"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Ovo poglavlje iznosi zaključke zasnovane na nalazima i proračunima inventara PBDE i HBB, kao i uvide izvedene iz diskusije rezultata inventara. Rezultat je lista problema, praznina, izazova i preporučenih aktivnosti.</w:t>
      </w:r>
    </w:p>
    <w:p w14:paraId="3F57390E"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Ključni zaključci:</w:t>
      </w:r>
    </w:p>
    <w:p w14:paraId="1034A05C" w14:textId="77777777" w:rsidR="00C23D65" w:rsidRPr="00C86111" w:rsidRDefault="00C23D65" w:rsidP="00004F34">
      <w:pPr>
        <w:numPr>
          <w:ilvl w:val="0"/>
          <w:numId w:val="205"/>
        </w:numPr>
        <w:jc w:val="both"/>
        <w:rPr>
          <w:rFonts w:asciiTheme="minorHAnsi" w:hAnsiTheme="minorHAnsi" w:cstheme="minorHAnsi"/>
          <w:color w:val="auto"/>
          <w:szCs w:val="24"/>
        </w:rPr>
      </w:pPr>
      <w:r w:rsidRPr="00C86111">
        <w:rPr>
          <w:rFonts w:asciiTheme="minorHAnsi" w:hAnsiTheme="minorHAnsi" w:cstheme="minorHAnsi"/>
          <w:color w:val="auto"/>
          <w:szCs w:val="24"/>
        </w:rPr>
        <w:t>Glavni putevi ulaska PBDE u Crnu Goru su transportni i EEE sektori, putem uvoza vozila i elektroničke opreme.</w:t>
      </w:r>
    </w:p>
    <w:p w14:paraId="4DF8ADD5" w14:textId="77777777" w:rsidR="00C23D65" w:rsidRPr="00C86111" w:rsidRDefault="00C23D65" w:rsidP="00004F34">
      <w:pPr>
        <w:numPr>
          <w:ilvl w:val="0"/>
          <w:numId w:val="205"/>
        </w:numPr>
        <w:jc w:val="both"/>
        <w:rPr>
          <w:rFonts w:asciiTheme="minorHAnsi" w:hAnsiTheme="minorHAnsi" w:cstheme="minorHAnsi"/>
          <w:color w:val="auto"/>
          <w:szCs w:val="24"/>
        </w:rPr>
      </w:pPr>
      <w:r w:rsidRPr="00C86111">
        <w:rPr>
          <w:rFonts w:asciiTheme="minorHAnsi" w:hAnsiTheme="minorHAnsi" w:cstheme="minorHAnsi"/>
          <w:color w:val="auto"/>
          <w:szCs w:val="24"/>
        </w:rPr>
        <w:t>Neformalna reciklaža, posebno od strane RAI populacije, predstavlja direktan put izloženosti; preporučuje se informisanje RAI populacije o rizicima izloženosti</w:t>
      </w:r>
    </w:p>
    <w:p w14:paraId="583197FF" w14:textId="77777777" w:rsidR="00C23D65" w:rsidRPr="00C86111" w:rsidRDefault="00C23D65" w:rsidP="00004F34">
      <w:pPr>
        <w:numPr>
          <w:ilvl w:val="0"/>
          <w:numId w:val="205"/>
        </w:numPr>
        <w:jc w:val="both"/>
        <w:rPr>
          <w:rFonts w:asciiTheme="minorHAnsi" w:hAnsiTheme="minorHAnsi" w:cstheme="minorHAnsi"/>
          <w:color w:val="auto"/>
          <w:szCs w:val="24"/>
        </w:rPr>
      </w:pPr>
      <w:r w:rsidRPr="00C86111">
        <w:rPr>
          <w:rFonts w:asciiTheme="minorHAnsi" w:hAnsiTheme="minorHAnsi" w:cstheme="minorHAnsi"/>
          <w:color w:val="auto"/>
          <w:szCs w:val="24"/>
        </w:rPr>
        <w:t>Ukupno opterećenje PBDE u vozilima je u opadanju, ali i dalje značajno, posebno kod putničkih automobila.</w:t>
      </w:r>
    </w:p>
    <w:p w14:paraId="01A106C1" w14:textId="77777777" w:rsidR="00C23D65" w:rsidRPr="00C86111" w:rsidRDefault="00C23D65" w:rsidP="00004F34">
      <w:pPr>
        <w:numPr>
          <w:ilvl w:val="0"/>
          <w:numId w:val="205"/>
        </w:numPr>
        <w:jc w:val="both"/>
        <w:rPr>
          <w:rFonts w:asciiTheme="minorHAnsi" w:hAnsiTheme="minorHAnsi" w:cstheme="minorHAnsi"/>
          <w:color w:val="auto"/>
          <w:szCs w:val="24"/>
        </w:rPr>
      </w:pPr>
      <w:r w:rsidRPr="00C86111">
        <w:rPr>
          <w:rFonts w:asciiTheme="minorHAnsi" w:hAnsiTheme="minorHAnsi" w:cstheme="minorHAnsi"/>
          <w:color w:val="auto"/>
          <w:szCs w:val="24"/>
        </w:rPr>
        <w:t>Nedostatak statistike otpada i podataka o hemijskom sastavu ograničava tačnost inventara.</w:t>
      </w:r>
    </w:p>
    <w:p w14:paraId="198CC9EC" w14:textId="77777777" w:rsidR="00C23D65" w:rsidRPr="00C86111" w:rsidRDefault="00C23D65" w:rsidP="00004F34">
      <w:pPr>
        <w:numPr>
          <w:ilvl w:val="0"/>
          <w:numId w:val="205"/>
        </w:numPr>
        <w:jc w:val="both"/>
        <w:rPr>
          <w:rFonts w:asciiTheme="minorHAnsi" w:hAnsiTheme="minorHAnsi" w:cstheme="minorHAnsi"/>
          <w:color w:val="auto"/>
          <w:szCs w:val="24"/>
        </w:rPr>
      </w:pPr>
      <w:r w:rsidRPr="00C86111">
        <w:rPr>
          <w:rFonts w:asciiTheme="minorHAnsi" w:hAnsiTheme="minorHAnsi" w:cstheme="minorHAnsi"/>
          <w:color w:val="auto"/>
          <w:szCs w:val="24"/>
        </w:rPr>
        <w:t>Kontaminirane lokacije i stare deponije i dalje mogu sadržavati PBDE iz ranijih aktivnosti.</w:t>
      </w:r>
    </w:p>
    <w:p w14:paraId="492B11DD"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Identifikovane praznine i izazovi:</w:t>
      </w:r>
    </w:p>
    <w:p w14:paraId="14593A4B" w14:textId="77777777" w:rsidR="00C23D65" w:rsidRPr="00C86111" w:rsidRDefault="00C23D65" w:rsidP="00004F34">
      <w:pPr>
        <w:numPr>
          <w:ilvl w:val="0"/>
          <w:numId w:val="206"/>
        </w:numPr>
        <w:jc w:val="both"/>
        <w:rPr>
          <w:rFonts w:asciiTheme="minorHAnsi" w:hAnsiTheme="minorHAnsi" w:cstheme="minorHAnsi"/>
          <w:color w:val="auto"/>
          <w:szCs w:val="24"/>
        </w:rPr>
      </w:pPr>
      <w:r w:rsidRPr="00C86111">
        <w:rPr>
          <w:rFonts w:asciiTheme="minorHAnsi" w:hAnsiTheme="minorHAnsi" w:cstheme="minorHAnsi"/>
          <w:color w:val="auto"/>
          <w:szCs w:val="24"/>
        </w:rPr>
        <w:t>Nepotpuna statistika otpada.</w:t>
      </w:r>
    </w:p>
    <w:p w14:paraId="3E1E19BA" w14:textId="77777777" w:rsidR="00C23D65" w:rsidRPr="00C86111" w:rsidRDefault="00C23D65" w:rsidP="00004F34">
      <w:pPr>
        <w:numPr>
          <w:ilvl w:val="0"/>
          <w:numId w:val="206"/>
        </w:numPr>
        <w:jc w:val="both"/>
        <w:rPr>
          <w:rFonts w:asciiTheme="minorHAnsi" w:hAnsiTheme="minorHAnsi" w:cstheme="minorHAnsi"/>
          <w:color w:val="auto"/>
          <w:szCs w:val="24"/>
        </w:rPr>
      </w:pPr>
      <w:r w:rsidRPr="00C86111">
        <w:rPr>
          <w:rFonts w:asciiTheme="minorHAnsi" w:hAnsiTheme="minorHAnsi" w:cstheme="minorHAnsi"/>
          <w:color w:val="auto"/>
          <w:szCs w:val="24"/>
        </w:rPr>
        <w:t>Oskudni podaci o sadržaju PBDE u otpadu i životoj sredini.</w:t>
      </w:r>
    </w:p>
    <w:p w14:paraId="23CDBD2E" w14:textId="77777777" w:rsidR="00C23D65" w:rsidRPr="00C86111" w:rsidRDefault="00C23D65" w:rsidP="00004F34">
      <w:pPr>
        <w:numPr>
          <w:ilvl w:val="0"/>
          <w:numId w:val="206"/>
        </w:numPr>
        <w:jc w:val="both"/>
        <w:rPr>
          <w:rFonts w:asciiTheme="minorHAnsi" w:hAnsiTheme="minorHAnsi" w:cstheme="minorHAnsi"/>
          <w:color w:val="auto"/>
          <w:szCs w:val="24"/>
        </w:rPr>
      </w:pPr>
      <w:r w:rsidRPr="00C86111">
        <w:rPr>
          <w:rFonts w:asciiTheme="minorHAnsi" w:hAnsiTheme="minorHAnsi" w:cstheme="minorHAnsi"/>
          <w:color w:val="auto"/>
          <w:szCs w:val="24"/>
        </w:rPr>
        <w:t>Niska svijest javnosti o rizicima POP hemikalija.</w:t>
      </w:r>
    </w:p>
    <w:p w14:paraId="26DF4190" w14:textId="77777777" w:rsidR="00C23D65" w:rsidRPr="00C86111" w:rsidRDefault="00C23D65" w:rsidP="00004F34">
      <w:pPr>
        <w:numPr>
          <w:ilvl w:val="0"/>
          <w:numId w:val="206"/>
        </w:numPr>
        <w:jc w:val="both"/>
        <w:rPr>
          <w:rFonts w:asciiTheme="minorHAnsi" w:hAnsiTheme="minorHAnsi" w:cstheme="minorHAnsi"/>
          <w:color w:val="auto"/>
          <w:szCs w:val="24"/>
        </w:rPr>
      </w:pPr>
      <w:r w:rsidRPr="00C86111">
        <w:rPr>
          <w:rFonts w:asciiTheme="minorHAnsi" w:hAnsiTheme="minorHAnsi" w:cstheme="minorHAnsi"/>
          <w:color w:val="auto"/>
          <w:szCs w:val="24"/>
        </w:rPr>
        <w:t>Visok rizik izloženosti za neformalne reciklaže (RAI populaciju).</w:t>
      </w:r>
    </w:p>
    <w:p w14:paraId="5DE2FF76" w14:textId="77777777" w:rsidR="00C23D65" w:rsidRPr="00C86111" w:rsidRDefault="00C23D65" w:rsidP="00004F34">
      <w:pPr>
        <w:numPr>
          <w:ilvl w:val="0"/>
          <w:numId w:val="206"/>
        </w:numPr>
        <w:jc w:val="both"/>
        <w:rPr>
          <w:rFonts w:asciiTheme="minorHAnsi" w:hAnsiTheme="minorHAnsi" w:cstheme="minorHAnsi"/>
          <w:color w:val="auto"/>
          <w:szCs w:val="24"/>
        </w:rPr>
      </w:pPr>
      <w:r w:rsidRPr="00C86111">
        <w:rPr>
          <w:rFonts w:asciiTheme="minorHAnsi" w:hAnsiTheme="minorHAnsi" w:cstheme="minorHAnsi"/>
          <w:color w:val="auto"/>
          <w:szCs w:val="24"/>
        </w:rPr>
        <w:t>Nedovoljno praćenje POP hemikalija u hrani i životoj sredini.</w:t>
      </w:r>
    </w:p>
    <w:p w14:paraId="686F3D03" w14:textId="77777777" w:rsidR="00C23D65" w:rsidRPr="00C86111" w:rsidRDefault="00C23D65" w:rsidP="00004F34">
      <w:pPr>
        <w:pStyle w:val="Heading1"/>
        <w:numPr>
          <w:ilvl w:val="1"/>
          <w:numId w:val="238"/>
        </w:numPr>
      </w:pPr>
      <w:bookmarkStart w:id="111" w:name="_Toc220541911"/>
      <w:r w:rsidRPr="00C86111">
        <w:t>Preporučene aktivnosti:</w:t>
      </w:r>
      <w:bookmarkEnd w:id="111"/>
    </w:p>
    <w:p w14:paraId="0E84928E" w14:textId="77777777" w:rsidR="00C23D65" w:rsidRPr="00C86111" w:rsidRDefault="00C23D65" w:rsidP="00004F34">
      <w:pPr>
        <w:numPr>
          <w:ilvl w:val="0"/>
          <w:numId w:val="207"/>
        </w:numPr>
        <w:jc w:val="both"/>
        <w:rPr>
          <w:rFonts w:asciiTheme="minorHAnsi" w:hAnsiTheme="minorHAnsi" w:cstheme="minorHAnsi"/>
          <w:color w:val="auto"/>
          <w:szCs w:val="24"/>
        </w:rPr>
      </w:pPr>
      <w:r w:rsidRPr="00C86111">
        <w:rPr>
          <w:rFonts w:asciiTheme="minorHAnsi" w:hAnsiTheme="minorHAnsi" w:cstheme="minorHAnsi"/>
          <w:color w:val="auto"/>
          <w:szCs w:val="24"/>
        </w:rPr>
        <w:t>Unaprijediti statistiku otpada i upravljanje podacima, uz aktivno uključivanje Agencije za zaštitu živote sredine. (EPA).</w:t>
      </w:r>
    </w:p>
    <w:p w14:paraId="0EF70BBC" w14:textId="77777777" w:rsidR="00C23D65" w:rsidRPr="00C86111" w:rsidRDefault="00C23D65" w:rsidP="00004F34">
      <w:pPr>
        <w:numPr>
          <w:ilvl w:val="0"/>
          <w:numId w:val="207"/>
        </w:numPr>
        <w:jc w:val="both"/>
        <w:rPr>
          <w:rFonts w:asciiTheme="minorHAnsi" w:hAnsiTheme="minorHAnsi" w:cstheme="minorHAnsi"/>
          <w:color w:val="auto"/>
          <w:szCs w:val="24"/>
        </w:rPr>
      </w:pPr>
      <w:r w:rsidRPr="00C86111">
        <w:rPr>
          <w:rFonts w:asciiTheme="minorHAnsi" w:hAnsiTheme="minorHAnsi" w:cstheme="minorHAnsi"/>
          <w:color w:val="auto"/>
          <w:szCs w:val="24"/>
        </w:rPr>
        <w:t>Organizovati kampanje i projekte za podizanje svijesti o POP hemikalijama i rizicima povezanim s otpadom.</w:t>
      </w:r>
    </w:p>
    <w:p w14:paraId="3689DCFA" w14:textId="77777777" w:rsidR="00C23D65" w:rsidRPr="00C86111" w:rsidRDefault="00C23D65" w:rsidP="00004F34">
      <w:pPr>
        <w:numPr>
          <w:ilvl w:val="0"/>
          <w:numId w:val="207"/>
        </w:numPr>
        <w:jc w:val="both"/>
        <w:rPr>
          <w:rFonts w:asciiTheme="minorHAnsi" w:hAnsiTheme="minorHAnsi" w:cstheme="minorHAnsi"/>
          <w:color w:val="auto"/>
          <w:szCs w:val="24"/>
        </w:rPr>
      </w:pPr>
      <w:r w:rsidRPr="00C86111">
        <w:rPr>
          <w:rFonts w:asciiTheme="minorHAnsi" w:hAnsiTheme="minorHAnsi" w:cstheme="minorHAnsi"/>
          <w:color w:val="auto"/>
          <w:szCs w:val="24"/>
        </w:rPr>
        <w:t>Fokusirati se na informisanje RAI populacije o rizicima izloženosti tokom neformalne reciklaže.</w:t>
      </w:r>
    </w:p>
    <w:p w14:paraId="61EF26B4" w14:textId="77777777" w:rsidR="00C23D65" w:rsidRPr="00C86111" w:rsidRDefault="00C23D65" w:rsidP="00004F34">
      <w:pPr>
        <w:numPr>
          <w:ilvl w:val="0"/>
          <w:numId w:val="207"/>
        </w:numPr>
        <w:jc w:val="both"/>
        <w:rPr>
          <w:rFonts w:asciiTheme="minorHAnsi" w:hAnsiTheme="minorHAnsi" w:cstheme="minorHAnsi"/>
          <w:color w:val="auto"/>
          <w:szCs w:val="24"/>
        </w:rPr>
      </w:pPr>
      <w:r w:rsidRPr="00C86111">
        <w:rPr>
          <w:rFonts w:asciiTheme="minorHAnsi" w:hAnsiTheme="minorHAnsi" w:cstheme="minorHAnsi"/>
          <w:color w:val="auto"/>
          <w:szCs w:val="24"/>
        </w:rPr>
        <w:t>Provoditi monitoring živote sredine. i hrane na PBDE i druge POP hemikalije.</w:t>
      </w:r>
    </w:p>
    <w:p w14:paraId="32F3C09A" w14:textId="5D0F1A90" w:rsidR="00C23D65" w:rsidRPr="00F57E42" w:rsidRDefault="00C23D65" w:rsidP="00004F34">
      <w:pPr>
        <w:numPr>
          <w:ilvl w:val="0"/>
          <w:numId w:val="207"/>
        </w:numPr>
        <w:jc w:val="both"/>
        <w:rPr>
          <w:rFonts w:asciiTheme="minorHAnsi" w:hAnsiTheme="minorHAnsi" w:cstheme="minorHAnsi"/>
          <w:b/>
          <w:bCs/>
          <w:color w:val="auto"/>
          <w:szCs w:val="24"/>
        </w:rPr>
      </w:pPr>
      <w:r w:rsidRPr="00C86111">
        <w:rPr>
          <w:rFonts w:asciiTheme="minorHAnsi" w:hAnsiTheme="minorHAnsi" w:cstheme="minorHAnsi"/>
          <w:color w:val="auto"/>
          <w:szCs w:val="24"/>
        </w:rPr>
        <w:t>Implementirati biomonitoring ljudi, posebno za visokorizične grupe kao što su neformalni reciklaži.</w:t>
      </w:r>
    </w:p>
    <w:p w14:paraId="2C9B182D" w14:textId="77777777" w:rsidR="00F57E42" w:rsidRPr="00C86111" w:rsidRDefault="00F57E42" w:rsidP="00F57E42">
      <w:pPr>
        <w:ind w:left="720"/>
        <w:jc w:val="both"/>
        <w:rPr>
          <w:rFonts w:asciiTheme="minorHAnsi" w:hAnsiTheme="minorHAnsi" w:cstheme="minorHAnsi"/>
          <w:b/>
          <w:bCs/>
          <w:color w:val="auto"/>
          <w:szCs w:val="24"/>
        </w:rPr>
      </w:pPr>
    </w:p>
    <w:p w14:paraId="4C30A77D" w14:textId="06EC99A4" w:rsidR="00C23D65" w:rsidRPr="00C86111" w:rsidRDefault="00C23D65" w:rsidP="00004F34">
      <w:pPr>
        <w:pStyle w:val="Heading1"/>
        <w:numPr>
          <w:ilvl w:val="1"/>
          <w:numId w:val="238"/>
        </w:numPr>
      </w:pPr>
      <w:bookmarkStart w:id="112" w:name="_Toc220541912"/>
      <w:r w:rsidRPr="00C86111">
        <w:lastRenderedPageBreak/>
        <w:t>Implementacija planiranih aktivnosti</w:t>
      </w:r>
      <w:bookmarkEnd w:id="112"/>
    </w:p>
    <w:p w14:paraId="0196548F" w14:textId="77777777" w:rsidR="00C23D65" w:rsidRPr="00C86111" w:rsidRDefault="00C23D65" w:rsidP="00C23D65">
      <w:pPr>
        <w:jc w:val="both"/>
        <w:rPr>
          <w:rFonts w:asciiTheme="minorHAnsi" w:hAnsiTheme="minorHAnsi" w:cstheme="minorHAnsi"/>
          <w:b/>
          <w:bCs/>
          <w:color w:val="auto"/>
          <w:szCs w:val="24"/>
        </w:rPr>
      </w:pPr>
    </w:p>
    <w:p w14:paraId="7F36A5DF"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Implementacija edukativnih aktivnosti za RAI populaciju u Crnoj Gori je započela. Održani su radionice na temu „Upravljanje elektroničkim otpadom (WEEE) i perzistentnim organskim zagađivačima (POPs)“ u Beranama (3. jun) i Podgorici (12. jun), na crnogorskom jeziku sa simultanim prevođenjem na romski jezik.</w:t>
      </w:r>
    </w:p>
    <w:p w14:paraId="6E86577E"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Radionice su okupile ukupno 40 učesnika, uključujući 35 članova RAI zajednice koji su aktivno uključeni u neformalnu sakupljačku djelatnost otpada, kao i predstavnike državnih i lokalnih institucija.</w:t>
      </w:r>
    </w:p>
    <w:p w14:paraId="32D76F57"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Cilj radionica bio je:</w:t>
      </w:r>
    </w:p>
    <w:p w14:paraId="0DD72C1C" w14:textId="77777777" w:rsidR="00C23D65" w:rsidRPr="00C86111" w:rsidRDefault="00C23D65" w:rsidP="00004F34">
      <w:pPr>
        <w:numPr>
          <w:ilvl w:val="0"/>
          <w:numId w:val="208"/>
        </w:numPr>
        <w:jc w:val="both"/>
        <w:rPr>
          <w:rFonts w:asciiTheme="minorHAnsi" w:hAnsiTheme="minorHAnsi" w:cstheme="minorHAnsi"/>
          <w:color w:val="auto"/>
          <w:szCs w:val="24"/>
        </w:rPr>
      </w:pPr>
      <w:r w:rsidRPr="00C86111">
        <w:rPr>
          <w:rFonts w:asciiTheme="minorHAnsi" w:hAnsiTheme="minorHAnsi" w:cstheme="minorHAnsi"/>
          <w:color w:val="auto"/>
          <w:szCs w:val="24"/>
        </w:rPr>
        <w:t>Podizanje svijesti o rizicima povezanima sa PBDE i drugim POP hemikalijama prisutnim u elektroničkom otpadu.</w:t>
      </w:r>
    </w:p>
    <w:p w14:paraId="12C3D6F0" w14:textId="77777777" w:rsidR="00C23D65" w:rsidRPr="00C86111" w:rsidRDefault="00C23D65" w:rsidP="00004F34">
      <w:pPr>
        <w:numPr>
          <w:ilvl w:val="0"/>
          <w:numId w:val="208"/>
        </w:numPr>
        <w:jc w:val="both"/>
        <w:rPr>
          <w:rFonts w:asciiTheme="minorHAnsi" w:hAnsiTheme="minorHAnsi" w:cstheme="minorHAnsi"/>
          <w:color w:val="auto"/>
          <w:szCs w:val="24"/>
        </w:rPr>
      </w:pPr>
      <w:r w:rsidRPr="00C86111">
        <w:rPr>
          <w:rFonts w:asciiTheme="minorHAnsi" w:hAnsiTheme="minorHAnsi" w:cstheme="minorHAnsi"/>
          <w:color w:val="auto"/>
          <w:szCs w:val="24"/>
        </w:rPr>
        <w:t>Osnaživanje RAI populacije da smanji izloženost kroz sigurnije prakse.</w:t>
      </w:r>
    </w:p>
    <w:p w14:paraId="7E196177"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Sadržaj radionica uključivao je:</w:t>
      </w:r>
    </w:p>
    <w:p w14:paraId="2EBD1FD9" w14:textId="77777777" w:rsidR="00C23D65" w:rsidRPr="00C86111" w:rsidRDefault="00C23D65" w:rsidP="00004F34">
      <w:pPr>
        <w:numPr>
          <w:ilvl w:val="0"/>
          <w:numId w:val="209"/>
        </w:numPr>
        <w:jc w:val="both"/>
        <w:rPr>
          <w:rFonts w:asciiTheme="minorHAnsi" w:hAnsiTheme="minorHAnsi" w:cstheme="minorHAnsi"/>
          <w:color w:val="auto"/>
          <w:szCs w:val="24"/>
        </w:rPr>
      </w:pPr>
      <w:r w:rsidRPr="00C86111">
        <w:rPr>
          <w:rFonts w:asciiTheme="minorHAnsi" w:hAnsiTheme="minorHAnsi" w:cstheme="minorHAnsi"/>
          <w:color w:val="auto"/>
          <w:szCs w:val="24"/>
        </w:rPr>
        <w:t>Pregled POP hemikalija, njihovih izvora i uticaja na ljudsko zdravlje i životnu sredinu.</w:t>
      </w:r>
    </w:p>
    <w:p w14:paraId="287B8700" w14:textId="77777777" w:rsidR="00C23D65" w:rsidRPr="00C86111" w:rsidRDefault="00C23D65" w:rsidP="00004F34">
      <w:pPr>
        <w:numPr>
          <w:ilvl w:val="0"/>
          <w:numId w:val="209"/>
        </w:numPr>
        <w:jc w:val="both"/>
        <w:rPr>
          <w:rFonts w:asciiTheme="minorHAnsi" w:hAnsiTheme="minorHAnsi" w:cstheme="minorHAnsi"/>
          <w:color w:val="auto"/>
          <w:szCs w:val="24"/>
        </w:rPr>
      </w:pPr>
      <w:r w:rsidRPr="00C86111">
        <w:rPr>
          <w:rFonts w:asciiTheme="minorHAnsi" w:hAnsiTheme="minorHAnsi" w:cstheme="minorHAnsi"/>
          <w:color w:val="auto"/>
          <w:szCs w:val="24"/>
        </w:rPr>
        <w:t>Diskusiju o izazovima u neformalnoj sakupljačkoj djelatnosti i reciklaži otpada.</w:t>
      </w:r>
    </w:p>
    <w:p w14:paraId="25F6C333" w14:textId="77777777" w:rsidR="00C23D65" w:rsidRPr="00C86111" w:rsidRDefault="00C23D65" w:rsidP="00004F34">
      <w:pPr>
        <w:numPr>
          <w:ilvl w:val="0"/>
          <w:numId w:val="209"/>
        </w:numPr>
        <w:jc w:val="both"/>
        <w:rPr>
          <w:rFonts w:asciiTheme="minorHAnsi" w:hAnsiTheme="minorHAnsi" w:cstheme="minorHAnsi"/>
          <w:color w:val="auto"/>
          <w:szCs w:val="24"/>
        </w:rPr>
      </w:pPr>
      <w:r w:rsidRPr="00C86111">
        <w:rPr>
          <w:rFonts w:asciiTheme="minorHAnsi" w:hAnsiTheme="minorHAnsi" w:cstheme="minorHAnsi"/>
          <w:color w:val="auto"/>
          <w:szCs w:val="24"/>
        </w:rPr>
        <w:t>Praktične demonstracije o sigurnom rukovanju, razdvajanju i skladištenju opasnih materijala.</w:t>
      </w:r>
    </w:p>
    <w:p w14:paraId="06AB37D9" w14:textId="77777777" w:rsidR="00C23D65" w:rsidRPr="00C86111" w:rsidRDefault="00C23D65" w:rsidP="00004F34">
      <w:pPr>
        <w:numPr>
          <w:ilvl w:val="0"/>
          <w:numId w:val="209"/>
        </w:numPr>
        <w:jc w:val="both"/>
        <w:rPr>
          <w:rFonts w:asciiTheme="minorHAnsi" w:hAnsiTheme="minorHAnsi" w:cstheme="minorHAnsi"/>
          <w:color w:val="auto"/>
          <w:szCs w:val="24"/>
        </w:rPr>
      </w:pPr>
      <w:r w:rsidRPr="00C86111">
        <w:rPr>
          <w:rFonts w:asciiTheme="minorHAnsi" w:hAnsiTheme="minorHAnsi" w:cstheme="minorHAnsi"/>
          <w:color w:val="auto"/>
          <w:szCs w:val="24"/>
        </w:rPr>
        <w:t>Prezentaciju mogućnosti formalizacije i podrške neformalnim sakupljačima otpada.</w:t>
      </w:r>
    </w:p>
    <w:p w14:paraId="718A3BC6"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Radionice su istakle hitnu potrebu za zaštitnom opremom, sigurnijim radnim uslovima i fer pristupom tržištima. Takođe, omogućile su dijalog između RAI zajednice, NVO sektora i predstavnika vlasti, doprinoseći zajedničkom razumijevanju rizika, potencijalnih rješenja i putanja za integraciju neformalnih sakupljača u formalni sistem upravljanja otpadom.</w:t>
      </w:r>
    </w:p>
    <w:p w14:paraId="5F2400C1" w14:textId="77777777" w:rsidR="00C23D65" w:rsidRPr="00C86111" w:rsidRDefault="00C23D65" w:rsidP="00C23D65">
      <w:pPr>
        <w:jc w:val="both"/>
        <w:rPr>
          <w:rFonts w:asciiTheme="minorHAnsi" w:hAnsiTheme="minorHAnsi" w:cstheme="minorHAnsi"/>
          <w:color w:val="auto"/>
          <w:szCs w:val="24"/>
        </w:rPr>
      </w:pPr>
      <w:r w:rsidRPr="00C86111">
        <w:rPr>
          <w:rFonts w:asciiTheme="minorHAnsi" w:hAnsiTheme="minorHAnsi" w:cstheme="minorHAnsi"/>
          <w:color w:val="auto"/>
          <w:szCs w:val="24"/>
        </w:rPr>
        <w:t>Ove aktivnosti predstavljaju početak šireg edukativnog programa usmjerenog na:</w:t>
      </w:r>
    </w:p>
    <w:p w14:paraId="033DE6A0" w14:textId="77777777" w:rsidR="00C23D65" w:rsidRPr="00C86111" w:rsidRDefault="00C23D65" w:rsidP="00004F34">
      <w:pPr>
        <w:numPr>
          <w:ilvl w:val="0"/>
          <w:numId w:val="210"/>
        </w:numPr>
        <w:jc w:val="both"/>
        <w:rPr>
          <w:rFonts w:asciiTheme="minorHAnsi" w:hAnsiTheme="minorHAnsi" w:cstheme="minorHAnsi"/>
          <w:color w:val="auto"/>
          <w:szCs w:val="24"/>
        </w:rPr>
      </w:pPr>
      <w:r w:rsidRPr="00C86111">
        <w:rPr>
          <w:rFonts w:asciiTheme="minorHAnsi" w:hAnsiTheme="minorHAnsi" w:cstheme="minorHAnsi"/>
          <w:color w:val="auto"/>
          <w:szCs w:val="24"/>
        </w:rPr>
        <w:t>Smanjenje rizika od izloženosti.</w:t>
      </w:r>
    </w:p>
    <w:p w14:paraId="78C53AEC" w14:textId="77777777" w:rsidR="00C23D65" w:rsidRPr="00C86111" w:rsidRDefault="00C23D65" w:rsidP="00004F34">
      <w:pPr>
        <w:numPr>
          <w:ilvl w:val="0"/>
          <w:numId w:val="210"/>
        </w:numPr>
        <w:jc w:val="both"/>
        <w:rPr>
          <w:rFonts w:asciiTheme="minorHAnsi" w:hAnsiTheme="minorHAnsi" w:cstheme="minorHAnsi"/>
          <w:color w:val="auto"/>
          <w:szCs w:val="24"/>
        </w:rPr>
      </w:pPr>
      <w:r w:rsidRPr="00C86111">
        <w:rPr>
          <w:rFonts w:asciiTheme="minorHAnsi" w:hAnsiTheme="minorHAnsi" w:cstheme="minorHAnsi"/>
          <w:color w:val="auto"/>
          <w:szCs w:val="24"/>
        </w:rPr>
        <w:t>Poboljšanje ekoloških i društvenih ishoda za RAI populaciju u Crnoj Gori.</w:t>
      </w:r>
    </w:p>
    <w:p w14:paraId="417275C9" w14:textId="77777777" w:rsidR="00C23D65" w:rsidRPr="00C86111" w:rsidRDefault="00C23D65" w:rsidP="00C23D65">
      <w:pPr>
        <w:jc w:val="both"/>
        <w:rPr>
          <w:rFonts w:asciiTheme="minorHAnsi" w:hAnsiTheme="minorHAnsi" w:cstheme="minorHAnsi"/>
          <w:color w:val="auto"/>
          <w:szCs w:val="24"/>
        </w:rPr>
      </w:pPr>
    </w:p>
    <w:p w14:paraId="0D064C36" w14:textId="1B96EB06" w:rsidR="00C23D65" w:rsidRPr="00C86111" w:rsidRDefault="002307C2" w:rsidP="00912C4C">
      <w:pPr>
        <w:pStyle w:val="Heading1"/>
        <w:rPr>
          <w:bCs/>
          <w:lang w:val="sr-Latn-ME"/>
        </w:rPr>
      </w:pPr>
      <w:bookmarkStart w:id="113" w:name="_Toc220541913"/>
      <w:bookmarkEnd w:id="109"/>
      <w:r w:rsidRPr="00C86111">
        <w:rPr>
          <w:lang w:val="sr-Latn-ME"/>
        </w:rPr>
        <w:t>INVENTARIZACIJA HEKSABROMOCIKLODODEKANA</w:t>
      </w:r>
      <w:bookmarkEnd w:id="113"/>
    </w:p>
    <w:p w14:paraId="36012F0A" w14:textId="42C14F26" w:rsidR="00A0529E" w:rsidRPr="00C86111" w:rsidRDefault="00A0529E" w:rsidP="00EA6904">
      <w:pPr>
        <w:pStyle w:val="Heading3"/>
      </w:pPr>
      <w:bookmarkStart w:id="114" w:name="_Toc220541914"/>
      <w:r w:rsidRPr="00C86111">
        <w:t>UVOD</w:t>
      </w:r>
      <w:bookmarkEnd w:id="79"/>
      <w:bookmarkEnd w:id="114"/>
    </w:p>
    <w:p w14:paraId="667670F7" w14:textId="77777777" w:rsidR="00A0529E" w:rsidRPr="00C86111" w:rsidRDefault="00A0529E" w:rsidP="00A0529E">
      <w:pPr>
        <w:jc w:val="both"/>
        <w:rPr>
          <w:rFonts w:cstheme="minorHAnsi"/>
          <w:szCs w:val="24"/>
          <w:lang w:val="sr-Latn-ME"/>
        </w:rPr>
      </w:pPr>
      <w:bookmarkStart w:id="115" w:name="_Toc210642641"/>
      <w:bookmarkStart w:id="116" w:name="_Toc210642742"/>
      <w:r w:rsidRPr="00C86111">
        <w:rPr>
          <w:rFonts w:cstheme="minorHAnsi"/>
          <w:szCs w:val="24"/>
          <w:lang w:val="sr-Latn-ME"/>
        </w:rPr>
        <w:t>Heksabromociklododekan (HBCD) je hemijsko jedinjenje koje se klasifikuje kao postojani organski zagađivač (POP</w:t>
      </w:r>
      <w:r w:rsidRPr="00C86111">
        <w:rPr>
          <w:rFonts w:cstheme="minorHAnsi"/>
          <w:b/>
          <w:szCs w:val="24"/>
          <w:lang w:val="sr-Latn-ME"/>
        </w:rPr>
        <w:t>s</w:t>
      </w:r>
      <w:r w:rsidRPr="00C86111">
        <w:rPr>
          <w:rFonts w:cstheme="minorHAnsi"/>
          <w:szCs w:val="24"/>
          <w:lang w:val="sr-Latn-ME"/>
        </w:rPr>
        <w:t>) zbog svoje postojanosti u životnoj sredini, potencijala bioakumulacije i toksičnosti. Široko se koristi kao bromovani usporivač gorenja, prvenstveno u građevinskoj industriji, gdje se primjenjuje za tretiranje ekspandiranog polistirena (EPS) i ekstrudiranog polistirena (XPS), koji se koriste kao izolacioni materijali. Zbog svojih štetnih uticaja na životnu sredinu i ljudsko zdravlje, HBCD je postao predmet pojačanog interesovanja i mjera nadležnih institucija na globalnom nivou.</w:t>
      </w:r>
      <w:bookmarkEnd w:id="115"/>
      <w:bookmarkEnd w:id="116"/>
    </w:p>
    <w:p w14:paraId="68D8A7DE" w14:textId="77777777" w:rsidR="00A0529E" w:rsidRPr="00C86111" w:rsidRDefault="00A0529E" w:rsidP="00A0529E">
      <w:pPr>
        <w:jc w:val="both"/>
        <w:rPr>
          <w:rFonts w:cstheme="minorHAnsi"/>
          <w:szCs w:val="24"/>
          <w:lang w:val="sr-Latn-ME"/>
        </w:rPr>
      </w:pPr>
      <w:bookmarkStart w:id="117" w:name="_Toc210642642"/>
      <w:bookmarkStart w:id="118" w:name="_Toc210642743"/>
      <w:r w:rsidRPr="00C86111">
        <w:rPr>
          <w:rFonts w:cstheme="minorHAnsi"/>
          <w:szCs w:val="24"/>
          <w:lang w:val="sr-Latn-ME"/>
        </w:rPr>
        <w:t>Ovaj izvještaj se nadovezuje na nalaze i okvir utvrđen u prethodnom Nacionalnom planu implementacije za POP</w:t>
      </w:r>
      <w:r w:rsidRPr="00C86111">
        <w:rPr>
          <w:rFonts w:cstheme="minorHAnsi"/>
          <w:bCs/>
          <w:szCs w:val="24"/>
          <w:lang w:val="sr-Latn-ME"/>
        </w:rPr>
        <w:t>s</w:t>
      </w:r>
      <w:r w:rsidRPr="00C86111">
        <w:rPr>
          <w:rFonts w:cstheme="minorHAnsi"/>
          <w:szCs w:val="24"/>
          <w:lang w:val="sr-Latn-ME"/>
        </w:rPr>
        <w:t xml:space="preserve"> hemikalije u Crnoj Gori. Predstavlja ažurirane podatke iz drugog nacionalnog inventara upotrebe i prisustva HBCD, s ciljem da pruži trenutni pregled stanja ove hemikalije u zemlji i usmjeri dalji razvoj egulatornih i mjera za ublažavanje rizika.</w:t>
      </w:r>
      <w:bookmarkEnd w:id="117"/>
      <w:bookmarkEnd w:id="118"/>
    </w:p>
    <w:p w14:paraId="5AACDE51" w14:textId="77777777" w:rsidR="00A0529E" w:rsidRPr="00C86111" w:rsidRDefault="00A0529E" w:rsidP="00A0529E">
      <w:pPr>
        <w:jc w:val="both"/>
        <w:rPr>
          <w:rFonts w:cstheme="minorHAnsi"/>
          <w:szCs w:val="24"/>
          <w:lang w:val="sr-Latn-ME"/>
        </w:rPr>
      </w:pPr>
      <w:bookmarkStart w:id="119" w:name="_Toc210642643"/>
      <w:bookmarkStart w:id="120" w:name="_Toc210642744"/>
      <w:r w:rsidRPr="00C86111">
        <w:rPr>
          <w:rFonts w:cstheme="minorHAnsi"/>
          <w:szCs w:val="24"/>
          <w:lang w:val="sr-Latn-ME"/>
        </w:rPr>
        <w:t>Ključne karakteristike HBCD-a:</w:t>
      </w:r>
      <w:bookmarkEnd w:id="119"/>
      <w:bookmarkEnd w:id="120"/>
    </w:p>
    <w:p w14:paraId="34D9AE21" w14:textId="77777777" w:rsidR="00A0529E" w:rsidRPr="00C86111" w:rsidRDefault="00A0529E" w:rsidP="00A0529E">
      <w:pPr>
        <w:jc w:val="both"/>
        <w:rPr>
          <w:rFonts w:cstheme="minorHAnsi"/>
          <w:b/>
          <w:szCs w:val="24"/>
          <w:lang w:val="sr-Latn-ME"/>
        </w:rPr>
      </w:pPr>
      <w:bookmarkStart w:id="121" w:name="_Toc210642644"/>
      <w:bookmarkStart w:id="122" w:name="_Toc210642745"/>
      <w:r w:rsidRPr="00C86111">
        <w:rPr>
          <w:rFonts w:cstheme="minorHAnsi"/>
          <w:szCs w:val="24"/>
          <w:lang w:val="sr-Latn-ME"/>
        </w:rPr>
        <w:lastRenderedPageBreak/>
        <w:t>HBCD je brom</w:t>
      </w:r>
      <w:r w:rsidRPr="00C86111">
        <w:rPr>
          <w:rFonts w:cstheme="minorHAnsi"/>
          <w:bCs/>
          <w:szCs w:val="24"/>
          <w:lang w:val="sr-Latn-ME"/>
        </w:rPr>
        <w:t xml:space="preserve">ovani </w:t>
      </w:r>
      <w:r w:rsidRPr="00C86111">
        <w:rPr>
          <w:rFonts w:cstheme="minorHAnsi"/>
          <w:szCs w:val="24"/>
          <w:lang w:val="sr-Latn-ME"/>
        </w:rPr>
        <w:t>usporivač gorenja, poznat po svojoj postojanosti u životnoj sredini i sposobnosti da se akumulira u živim organizmima, uključujući ljude i divlje životinje.</w:t>
      </w:r>
      <w:bookmarkEnd w:id="121"/>
      <w:bookmarkEnd w:id="122"/>
    </w:p>
    <w:p w14:paraId="1DFA06A0" w14:textId="77777777" w:rsidR="00A0529E" w:rsidRPr="00C86111" w:rsidRDefault="00A0529E" w:rsidP="00A0529E">
      <w:pPr>
        <w:jc w:val="both"/>
        <w:rPr>
          <w:rFonts w:cstheme="minorHAnsi"/>
          <w:b/>
          <w:szCs w:val="24"/>
          <w:lang w:val="sr-Latn-ME"/>
        </w:rPr>
      </w:pPr>
      <w:bookmarkStart w:id="123" w:name="_Toc210642645"/>
      <w:bookmarkStart w:id="124" w:name="_Toc210642746"/>
      <w:r w:rsidRPr="00C86111">
        <w:rPr>
          <w:rFonts w:cstheme="minorHAnsi"/>
          <w:szCs w:val="24"/>
          <w:lang w:val="sr-Latn-ME"/>
        </w:rPr>
        <w:t>U Crnoj Gori se HBCD ne proizvodi. Umjesto toga, ova hemikalija se uvozi, uglavnom u obliku unaprijed proizvedenih “peleta” koji se dalje prerađuju u različitim industrijskim sektorima.</w:t>
      </w:r>
      <w:bookmarkEnd w:id="123"/>
      <w:bookmarkEnd w:id="124"/>
    </w:p>
    <w:p w14:paraId="1BDCEB6A" w14:textId="77777777" w:rsidR="00A0529E" w:rsidRPr="00C86111" w:rsidRDefault="00A0529E" w:rsidP="00A0529E">
      <w:pPr>
        <w:jc w:val="both"/>
        <w:rPr>
          <w:rFonts w:cstheme="minorHAnsi"/>
          <w:b/>
          <w:szCs w:val="24"/>
          <w:lang w:val="sr-Latn-ME"/>
        </w:rPr>
      </w:pPr>
      <w:bookmarkStart w:id="125" w:name="_Toc210642646"/>
      <w:bookmarkStart w:id="126" w:name="_Toc210642747"/>
      <w:r w:rsidRPr="00C86111">
        <w:rPr>
          <w:rFonts w:cstheme="minorHAnsi"/>
          <w:szCs w:val="24"/>
          <w:lang w:val="sr-Latn-ME"/>
        </w:rPr>
        <w:t>Glavna primjena po industrijskim oblastima ostaje u skladu sa prethodnim podacima, pri čemu građevinska industrija i dalje predstavlja dominantnog potrošača, posebno u proizvodnji EPS i XPS izolacionih materijala. Manja primjena i dalje postoji u tekstilnoj i elektronskoj industriji, iako je njen značaj znatno manji.</w:t>
      </w:r>
      <w:bookmarkEnd w:id="125"/>
      <w:bookmarkEnd w:id="126"/>
    </w:p>
    <w:p w14:paraId="053FF955" w14:textId="77777777" w:rsidR="00A0529E" w:rsidRPr="00C86111" w:rsidRDefault="00A0529E" w:rsidP="00A0529E">
      <w:pPr>
        <w:jc w:val="both"/>
        <w:rPr>
          <w:rFonts w:cstheme="minorHAnsi"/>
          <w:szCs w:val="24"/>
          <w:lang w:val="sr-Latn-ME"/>
        </w:rPr>
      </w:pPr>
      <w:bookmarkStart w:id="127" w:name="_Toc210642647"/>
      <w:bookmarkStart w:id="128" w:name="_Toc210642748"/>
      <w:r w:rsidRPr="00C86111">
        <w:rPr>
          <w:rFonts w:cstheme="minorHAnsi"/>
          <w:szCs w:val="24"/>
          <w:lang w:val="sr-Latn-ME"/>
        </w:rPr>
        <w:t>Zbog postojanosti i potencijala za bioakumulaciju, HBCD predstavlja dugoročni rizik za životnu sredinu i ljudsko zdravlje, što zahtijeva stalno praćenje i mjere kontrole [2, 3].</w:t>
      </w:r>
      <w:bookmarkEnd w:id="127"/>
      <w:bookmarkEnd w:id="128"/>
    </w:p>
    <w:p w14:paraId="024CF1B9" w14:textId="77777777" w:rsidR="00A0529E" w:rsidRPr="00C86111" w:rsidRDefault="00A0529E" w:rsidP="00A0529E">
      <w:pPr>
        <w:jc w:val="both"/>
        <w:rPr>
          <w:rFonts w:cstheme="minorHAnsi"/>
          <w:szCs w:val="24"/>
          <w:lang w:val="sr-Latn-ME"/>
        </w:rPr>
      </w:pPr>
      <w:bookmarkStart w:id="129" w:name="_Toc210642648"/>
      <w:bookmarkStart w:id="130" w:name="_Toc210642749"/>
      <w:r w:rsidRPr="00C86111">
        <w:rPr>
          <w:rFonts w:cstheme="minorHAnsi"/>
          <w:szCs w:val="24"/>
          <w:lang w:val="sr-Latn-ME"/>
        </w:rPr>
        <w:t>Ažurirani inventar potvrđuje da je većina upotrebe HBCD u Crnoj Gori koncentrisana u građevinskom sektoru, što odražava trendove identifikovane u prvom inventaru. EPS i XPS materijali, impregnosani HBCD peletom, široko se koriste za toplotnu izolaciju objekata. Ažurirana inventura potvrđuje da je većina upotrebe HBCD-a u Crnoj Gori koncentrisana u građevinskom sektoru, što je u skladu sa obrascima identifikovanim u prvoj inventuri. Materijali poput EPS i XPS, tretirani HBCD peletima, široko se koriste za toplotnu izolaciju zgrada. Pošto u zemlji ne postoji lokalna proizvodnja HBCD, Crna Gora zavisi od uvoza, uglavnom u obliku peleta, za dalju proizvodnju ili direktnu primjenu.</w:t>
      </w:r>
      <w:bookmarkEnd w:id="129"/>
      <w:bookmarkEnd w:id="130"/>
    </w:p>
    <w:p w14:paraId="5CE1F064" w14:textId="77777777" w:rsidR="00A0529E" w:rsidRPr="00C86111" w:rsidRDefault="00A0529E" w:rsidP="00A0529E">
      <w:pPr>
        <w:jc w:val="both"/>
        <w:rPr>
          <w:rFonts w:cstheme="minorHAnsi"/>
          <w:szCs w:val="24"/>
          <w:lang w:val="sr-Latn-ME"/>
        </w:rPr>
      </w:pPr>
      <w:bookmarkStart w:id="131" w:name="_Toc210642649"/>
      <w:bookmarkStart w:id="132" w:name="_Toc210642750"/>
      <w:r w:rsidRPr="00C86111">
        <w:rPr>
          <w:rFonts w:cstheme="minorHAnsi"/>
          <w:szCs w:val="24"/>
          <w:lang w:val="sr-Latn-ME"/>
        </w:rPr>
        <w:t>Ažurirani podaci razjašnjavaju obim i specifične primjene unutar sektora, omogućavajući bolje ciljane političke mere. Na primjer, elektronska i tekstilna industrija, iako donekle koriste HBCD, predstavljaju mnogo manji dio ukupne potrošnje.</w:t>
      </w:r>
      <w:bookmarkEnd w:id="131"/>
      <w:bookmarkEnd w:id="132"/>
    </w:p>
    <w:p w14:paraId="62D01048" w14:textId="77777777" w:rsidR="00A0529E" w:rsidRPr="00C86111" w:rsidRDefault="00A0529E" w:rsidP="00A0529E">
      <w:pPr>
        <w:jc w:val="both"/>
        <w:rPr>
          <w:rFonts w:cstheme="minorHAnsi"/>
          <w:szCs w:val="24"/>
          <w:lang w:val="sr-Latn-ME"/>
        </w:rPr>
      </w:pPr>
      <w:bookmarkStart w:id="133" w:name="_Toc210642650"/>
      <w:bookmarkStart w:id="134" w:name="_Toc210642751"/>
      <w:r w:rsidRPr="00C86111">
        <w:rPr>
          <w:rFonts w:cstheme="minorHAnsi"/>
          <w:szCs w:val="24"/>
          <w:lang w:val="sr-Latn-ME"/>
        </w:rPr>
        <w:t>HBCD je 2013. godine uvršten u Stokholmsku konvenciju o postojanim organskim zagađivačima, što odražava globalni konsenzus o potrebi postepenog ukidanja njegove proizvodnje i upotrebe. Crna Gora, kao potpisnica Konvencije, obavezala se na postepeno smanjenje i konačno eliminisanje upotrebe HBCD, osim u slučajevima gdje su predviđeni prelazni izuzeci .</w:t>
      </w:r>
      <w:bookmarkEnd w:id="133"/>
      <w:bookmarkEnd w:id="134"/>
    </w:p>
    <w:p w14:paraId="630D96D6" w14:textId="77777777" w:rsidR="00A0529E" w:rsidRPr="00C86111" w:rsidRDefault="00A0529E" w:rsidP="00A0529E">
      <w:pPr>
        <w:jc w:val="both"/>
        <w:rPr>
          <w:rFonts w:cstheme="minorHAnsi"/>
          <w:szCs w:val="24"/>
          <w:lang w:val="sr-Latn-ME"/>
        </w:rPr>
      </w:pPr>
      <w:bookmarkStart w:id="135" w:name="_Toc210642651"/>
      <w:bookmarkStart w:id="136" w:name="_Toc210642752"/>
      <w:r w:rsidRPr="00C86111">
        <w:rPr>
          <w:rFonts w:cstheme="minorHAnsi"/>
          <w:szCs w:val="24"/>
          <w:lang w:val="sr-Latn-ME"/>
        </w:rPr>
        <w:t>Mnoge zemlje su zabranile ili strogo ograničile upotrebu HBCD, naročito u proizvodnji novih materijala. Evropska unija klasifikuje HBCD kao supstancu od vrlo visokog značaja (SVHC) prema REACH regulativi, što podrazumijeva stroga ograničenja u njegovoj upotrebi.</w:t>
      </w:r>
      <w:bookmarkEnd w:id="135"/>
      <w:bookmarkEnd w:id="136"/>
    </w:p>
    <w:p w14:paraId="1B60732D" w14:textId="77777777" w:rsidR="00A0529E" w:rsidRPr="00C86111" w:rsidRDefault="00A0529E" w:rsidP="00A0529E">
      <w:pPr>
        <w:jc w:val="both"/>
        <w:rPr>
          <w:rFonts w:cstheme="minorHAnsi"/>
          <w:szCs w:val="24"/>
          <w:lang w:val="sr-Latn-ME"/>
        </w:rPr>
      </w:pPr>
      <w:bookmarkStart w:id="137" w:name="_Toc210642652"/>
      <w:bookmarkStart w:id="138" w:name="_Toc210642753"/>
      <w:r w:rsidRPr="00C86111">
        <w:rPr>
          <w:rFonts w:cstheme="minorHAnsi"/>
          <w:szCs w:val="24"/>
          <w:lang w:val="sr-Latn-ME"/>
        </w:rPr>
        <w:t>U Crnoj Gori, iako nema domaće proizvodnje ove hemikalije, kontrola nad njenim uvozom, distribucijom i upotrebom je od ključnog značaja. Postojeći izuzeci koji se odnose na građevinske aplikacije</w:t>
      </w:r>
      <w:r w:rsidRPr="00C86111">
        <w:rPr>
          <w:rFonts w:cstheme="minorHAnsi"/>
          <w:b/>
          <w:szCs w:val="24"/>
          <w:lang w:val="sr-Latn-ME"/>
        </w:rPr>
        <w:t>,</w:t>
      </w:r>
      <w:r w:rsidRPr="00C86111">
        <w:rPr>
          <w:rFonts w:cstheme="minorHAnsi"/>
          <w:szCs w:val="24"/>
          <w:lang w:val="sr-Latn-ME"/>
        </w:rPr>
        <w:t xml:space="preserve"> naročito EPS i XPS</w:t>
      </w:r>
      <w:r w:rsidRPr="00C86111">
        <w:rPr>
          <w:rFonts w:cstheme="minorHAnsi"/>
          <w:b/>
          <w:szCs w:val="24"/>
          <w:lang w:val="sr-Latn-ME"/>
        </w:rPr>
        <w:t>,</w:t>
      </w:r>
      <w:r w:rsidRPr="00C86111">
        <w:rPr>
          <w:rFonts w:cstheme="minorHAnsi"/>
          <w:szCs w:val="24"/>
          <w:lang w:val="sr-Latn-ME"/>
        </w:rPr>
        <w:t xml:space="preserve"> su vremenski ograničeni, što naglašava potrebu za prelazak na bezbjednije alternative.</w:t>
      </w:r>
      <w:bookmarkEnd w:id="137"/>
      <w:bookmarkEnd w:id="138"/>
    </w:p>
    <w:p w14:paraId="5E2F3A3F" w14:textId="77777777" w:rsidR="00A0529E" w:rsidRPr="00C86111" w:rsidRDefault="00A0529E" w:rsidP="00A0529E">
      <w:pPr>
        <w:jc w:val="both"/>
        <w:rPr>
          <w:rFonts w:cstheme="minorHAnsi"/>
          <w:szCs w:val="24"/>
          <w:lang w:val="sr-Latn-ME"/>
        </w:rPr>
      </w:pPr>
      <w:bookmarkStart w:id="139" w:name="_Toc210642653"/>
      <w:bookmarkStart w:id="140" w:name="_Toc210642754"/>
      <w:r w:rsidRPr="00C86111">
        <w:rPr>
          <w:rFonts w:cstheme="minorHAnsi"/>
          <w:szCs w:val="24"/>
          <w:lang w:val="sr-Latn-ME"/>
        </w:rPr>
        <w:t>Napori za smanjenje upotrebe HBCD su u toku, a istraživanja i razvoj su usmjereni na usporivače gorenja koji pružaju sličnu zaštitu od požara, ali bez postojanosti u životnoj sredini i toksičnosti. Polimerni usporivači gorenja i druge nove supstance su među obećavajućim alternativama koje bi mogle zamijeniti HBCD u izolacionim i drugim aplikacijama.</w:t>
      </w:r>
      <w:bookmarkEnd w:id="139"/>
      <w:bookmarkEnd w:id="140"/>
    </w:p>
    <w:p w14:paraId="54DA65DE" w14:textId="77777777" w:rsidR="00A0529E" w:rsidRDefault="00A0529E" w:rsidP="00A0529E">
      <w:pPr>
        <w:jc w:val="both"/>
        <w:rPr>
          <w:rFonts w:cstheme="minorHAnsi"/>
          <w:szCs w:val="24"/>
          <w:lang w:val="sr-Latn-ME"/>
        </w:rPr>
      </w:pPr>
      <w:bookmarkStart w:id="141" w:name="_Toc210642654"/>
      <w:bookmarkStart w:id="142" w:name="_Toc210642755"/>
      <w:r w:rsidRPr="00C86111">
        <w:rPr>
          <w:rFonts w:cstheme="minorHAnsi"/>
          <w:szCs w:val="24"/>
          <w:lang w:val="sr-Latn-ME"/>
        </w:rPr>
        <w:t>Prelazak na ove alternative zahtijeva koordinisano djelovanje između industrije, regulatornih tijela i ostalih zainteresovanih strana, kako bi se osigurala bezbjednost i usklađenost sa međunarodnim obavezama.</w:t>
      </w:r>
      <w:bookmarkEnd w:id="141"/>
      <w:bookmarkEnd w:id="142"/>
    </w:p>
    <w:p w14:paraId="5D95C432" w14:textId="77777777" w:rsidR="00F57E42" w:rsidRDefault="00F57E42" w:rsidP="00A0529E">
      <w:pPr>
        <w:jc w:val="both"/>
        <w:rPr>
          <w:rFonts w:cstheme="minorHAnsi"/>
          <w:szCs w:val="24"/>
          <w:lang w:val="sr-Latn-ME"/>
        </w:rPr>
      </w:pPr>
    </w:p>
    <w:p w14:paraId="5C907891" w14:textId="77777777" w:rsidR="00F57E42" w:rsidRPr="00C86111" w:rsidRDefault="00F57E42" w:rsidP="00A0529E">
      <w:pPr>
        <w:jc w:val="both"/>
        <w:rPr>
          <w:rFonts w:cstheme="minorHAnsi"/>
          <w:b/>
          <w:szCs w:val="24"/>
          <w:lang w:val="sr-Latn-ME"/>
        </w:rPr>
      </w:pPr>
    </w:p>
    <w:p w14:paraId="0A112394" w14:textId="77777777" w:rsidR="00A0529E" w:rsidRPr="00C86111" w:rsidRDefault="00A0529E" w:rsidP="00004F34">
      <w:pPr>
        <w:pStyle w:val="Heading1"/>
        <w:numPr>
          <w:ilvl w:val="1"/>
          <w:numId w:val="238"/>
        </w:numPr>
      </w:pPr>
      <w:bookmarkStart w:id="143" w:name="_Toc210651366"/>
      <w:bookmarkStart w:id="144" w:name="_Toc220541915"/>
      <w:bookmarkStart w:id="145" w:name="_Hlk206579506"/>
      <w:r w:rsidRPr="00C86111">
        <w:lastRenderedPageBreak/>
        <w:t>METODOLOGIJA</w:t>
      </w:r>
      <w:bookmarkEnd w:id="143"/>
      <w:bookmarkEnd w:id="144"/>
    </w:p>
    <w:p w14:paraId="4389EB93" w14:textId="77777777" w:rsidR="002307C2" w:rsidRPr="00C86111" w:rsidRDefault="002307C2" w:rsidP="002307C2"/>
    <w:p w14:paraId="4E8E93F8" w14:textId="77777777" w:rsidR="00A0529E" w:rsidRPr="00C86111" w:rsidRDefault="00A0529E" w:rsidP="00A0529E">
      <w:pPr>
        <w:jc w:val="both"/>
        <w:rPr>
          <w:rFonts w:cstheme="minorHAnsi"/>
          <w:szCs w:val="24"/>
          <w:u w:color="000000"/>
          <w:bdr w:val="nil"/>
          <w:lang w:val="sr-Latn-ME"/>
        </w:rPr>
      </w:pPr>
      <w:bookmarkStart w:id="146" w:name="_Toc210642656"/>
      <w:bookmarkStart w:id="147" w:name="_Toc210642757"/>
      <w:bookmarkStart w:id="148" w:name="_Toc206579693"/>
      <w:bookmarkEnd w:id="145"/>
      <w:r w:rsidRPr="00C86111">
        <w:rPr>
          <w:rFonts w:cstheme="minorHAnsi"/>
          <w:szCs w:val="24"/>
          <w:u w:color="000000"/>
          <w:bdr w:val="nil"/>
          <w:lang w:val="sr-Latn-ME"/>
        </w:rPr>
        <w:t>Ovaj inventar heksabromociklododekana (HBCD) u Crnoj Gori za period 2017-2023. godine prati pristup Tier II, djelimično uključujući elemente metodologija Tier III, kako je navedeno u međunarodnim smjernicama za inventare dugotrajnih organskih zagađivača (POPs). Metodologija se prvenstveno zasniva na tehnikama prikupljanja, analize i procjene podataka čiji je cilj pružanje sveobuhvatnog pregleda prisustva, uvoza, upotrebe i upravljanja otpadom HBCD u zemlji.</w:t>
      </w:r>
      <w:bookmarkEnd w:id="146"/>
      <w:bookmarkEnd w:id="147"/>
    </w:p>
    <w:p w14:paraId="4ECF7B91" w14:textId="77777777" w:rsidR="00A0529E" w:rsidRPr="00C86111" w:rsidRDefault="00A0529E" w:rsidP="00EA6904">
      <w:pPr>
        <w:pStyle w:val="Heading3"/>
      </w:pPr>
      <w:bookmarkStart w:id="149" w:name="_Toc210651367"/>
      <w:bookmarkStart w:id="150" w:name="_Toc220541916"/>
      <w:bookmarkEnd w:id="148"/>
      <w:r w:rsidRPr="00C86111">
        <w:t>Izvori i prikupljanje podataka</w:t>
      </w:r>
      <w:bookmarkEnd w:id="149"/>
      <w:bookmarkEnd w:id="150"/>
    </w:p>
    <w:p w14:paraId="08C447CA" w14:textId="77777777" w:rsidR="00A0529E" w:rsidRPr="00C86111" w:rsidRDefault="00A0529E" w:rsidP="00A0529E">
      <w:pPr>
        <w:jc w:val="both"/>
        <w:rPr>
          <w:rFonts w:cstheme="minorHAnsi"/>
          <w:szCs w:val="24"/>
          <w:lang w:val="sr-Latn-ME"/>
        </w:rPr>
      </w:pPr>
      <w:r w:rsidRPr="00C86111">
        <w:rPr>
          <w:rFonts w:cstheme="minorHAnsi"/>
          <w:szCs w:val="24"/>
          <w:lang w:val="sr-Latn-ME"/>
        </w:rPr>
        <w:t>Osnovni podaci korišćeni za inventar prikupljeni su kombinacijom direktnog angažovanja zainteresovanih strana, zvanične statistike i pregleda dokumenata. Upitnici su distribuirani relevantnim organima i zainteresovanim stranama, uključujući Upravu carina, građevinske kompanije, uvoznike i subjekte za upravljanje otpadom. Ovi upitnici su se fokusirali na uvoz i upotrebu proizvoda koji potencijalno sadrže HBCD, posebno materijala od ekspandiranog i ekstrudiranog polistirena (EPS i XPS). Pored toga, intervjui sa ključnim sagovornicima, uključujući predstavnike uvoznika i stručnjake iz industrije, pružili su kvalitativni uvid o sastavu proizvoda i načinima njihove upotrebe.</w:t>
      </w:r>
    </w:p>
    <w:p w14:paraId="6D02C940" w14:textId="77777777" w:rsidR="00A0529E" w:rsidRPr="00C86111" w:rsidRDefault="00A0529E" w:rsidP="00EA6904">
      <w:pPr>
        <w:pStyle w:val="Heading3"/>
      </w:pPr>
      <w:bookmarkStart w:id="151" w:name="_Toc210651368"/>
      <w:bookmarkStart w:id="152" w:name="_Toc220541917"/>
      <w:r w:rsidRPr="00C86111">
        <w:t>Izbor sektora</w:t>
      </w:r>
      <w:bookmarkEnd w:id="151"/>
      <w:bookmarkEnd w:id="152"/>
    </w:p>
    <w:p w14:paraId="1EEF9749" w14:textId="77777777" w:rsidR="00A0529E" w:rsidRPr="00C86111" w:rsidRDefault="00A0529E" w:rsidP="00A0529E">
      <w:pPr>
        <w:jc w:val="both"/>
        <w:rPr>
          <w:rFonts w:cstheme="minorHAnsi"/>
          <w:szCs w:val="24"/>
          <w:lang w:val="sr-Latn-ME"/>
        </w:rPr>
      </w:pPr>
      <w:bookmarkStart w:id="153" w:name="_Toc206579695"/>
      <w:r w:rsidRPr="00C86111">
        <w:rPr>
          <w:rFonts w:cstheme="minorHAnsi"/>
          <w:szCs w:val="24"/>
          <w:lang w:val="sr-Latn-ME"/>
        </w:rPr>
        <w:t>Sektori uključeni u inventar odabrani su na osnovu njihove poznate ili potencijalne povezanosti sa proizvodima koji sadrže HBCD. Građevinski sektor bio je glavni fokus zbog dominantne upotrebe EPS i XPS izolacionih materijala tretiranih sa HBCD. Ostali sektori, poput tekstilne i elektronske industrije, smatrani su manjim učesnicima, s obzirom na ograničenu prijavljenu upotrebu HBCD u Crnoj Gori. Takođe su uključeni sektor upravljanja otpadom i kontaminirane lokacije povezane sa građevinskim i izolacionim materijalima, kako bi se obuhvatio kompletan životni ciklus HBCD.</w:t>
      </w:r>
    </w:p>
    <w:p w14:paraId="688B88E2" w14:textId="77777777" w:rsidR="00A0529E" w:rsidRPr="00C86111" w:rsidRDefault="00A0529E" w:rsidP="00EA6904">
      <w:pPr>
        <w:pStyle w:val="Heading3"/>
      </w:pPr>
      <w:bookmarkStart w:id="154" w:name="_Toc210651369"/>
      <w:bookmarkStart w:id="155" w:name="_Toc220541918"/>
      <w:bookmarkEnd w:id="153"/>
      <w:r w:rsidRPr="00C86111">
        <w:t>Analiza uvoza</w:t>
      </w:r>
      <w:bookmarkEnd w:id="154"/>
      <w:bookmarkEnd w:id="155"/>
    </w:p>
    <w:p w14:paraId="4C0F3D3D" w14:textId="77777777" w:rsidR="00A0529E" w:rsidRPr="00C86111" w:rsidRDefault="00A0529E" w:rsidP="00A0529E">
      <w:pPr>
        <w:jc w:val="both"/>
        <w:rPr>
          <w:rFonts w:cstheme="minorHAnsi"/>
          <w:szCs w:val="24"/>
          <w:lang w:val="sr-Latn-ME"/>
        </w:rPr>
      </w:pPr>
      <w:bookmarkStart w:id="156" w:name="_Toc210642660"/>
      <w:bookmarkStart w:id="157" w:name="_Toc210642761"/>
      <w:bookmarkStart w:id="158" w:name="_Toc206579696"/>
      <w:r w:rsidRPr="00C86111">
        <w:rPr>
          <w:rFonts w:cstheme="minorHAnsi"/>
          <w:szCs w:val="24"/>
          <w:u w:color="000000"/>
          <w:bdr w:val="nil"/>
          <w:lang w:val="sr-Latn-ME"/>
        </w:rPr>
        <w:t>S obzirom na odsustvo domaće proizvodnje HBCD i polistirenskih granula u Crnoj Gori tokom posmatranog perioda, inventarisanje se uglavnom oslanjalo na podatke o uvozu. Količina uvezenih granula ekspandiranog polistirena i gotovih proizvoda na bazi polistirena analizirana je kako bi se procijenila prisutna količina HBCD na tržištu. Procenat uvezenih granula koje sadrže HBCD utvrđen je pomoću bezbjedonosnih listova i direktne komunikacije sa uvoznicima, što je omogućilo približnu procjenu sadržaja HBCD u uvoznim materijalima.</w:t>
      </w:r>
      <w:bookmarkEnd w:id="156"/>
      <w:bookmarkEnd w:id="157"/>
    </w:p>
    <w:p w14:paraId="7FAD1FA7" w14:textId="77777777" w:rsidR="00A0529E" w:rsidRPr="00C86111" w:rsidRDefault="00A0529E" w:rsidP="00EA6904">
      <w:pPr>
        <w:pStyle w:val="Heading3"/>
      </w:pPr>
      <w:bookmarkStart w:id="159" w:name="_Toc210651370"/>
      <w:bookmarkStart w:id="160" w:name="_Toc220541919"/>
      <w:bookmarkEnd w:id="158"/>
      <w:r w:rsidRPr="00C86111">
        <w:t>Procjena upotrebe</w:t>
      </w:r>
      <w:bookmarkEnd w:id="159"/>
      <w:bookmarkEnd w:id="160"/>
    </w:p>
    <w:p w14:paraId="2FA44959" w14:textId="77777777" w:rsidR="00A0529E" w:rsidRPr="00C86111" w:rsidRDefault="00A0529E" w:rsidP="00A0529E">
      <w:pPr>
        <w:jc w:val="both"/>
        <w:rPr>
          <w:rFonts w:cstheme="minorHAnsi"/>
          <w:szCs w:val="24"/>
          <w:u w:color="000000"/>
          <w:bdr w:val="nil"/>
          <w:lang w:val="sr-Latn-ME"/>
        </w:rPr>
      </w:pPr>
      <w:bookmarkStart w:id="161" w:name="_Toc210642763"/>
      <w:bookmarkStart w:id="162" w:name="_Toc206579697"/>
      <w:r w:rsidRPr="00C86111">
        <w:rPr>
          <w:rFonts w:cstheme="minorHAnsi"/>
          <w:szCs w:val="24"/>
          <w:u w:color="000000"/>
          <w:bdr w:val="nil"/>
          <w:lang w:val="sr-Latn-ME"/>
        </w:rPr>
        <w:t>Inventarom je procijenjena upotreba HBCD primjenom faktora izvedenih iz sastava proizvoda i tržišnih podataka. Na primjer, na osnovu informacija dobijenih od uvoznika, utvrđeno je da 12,5% granula ekspandiranog polistirena sadrži HBCD u koncentraciji od 1% (najgori mogući scenario). Ovaj faktor je slično primijenjen i na uvezene gotove proizvode. Pored toga, primijenjen je korekcioni koeficijent od 1,3 kako bi se uračunalo prisustvo HBCD u drugim kategorijama proizvoda, kao što su tekstil i sintetička vlakna, na osnovu dostupne literature i podataka o postojanju potencijalnih rizika.</w:t>
      </w:r>
      <w:bookmarkEnd w:id="161"/>
    </w:p>
    <w:p w14:paraId="4C9EA297" w14:textId="77777777" w:rsidR="00A0529E" w:rsidRPr="00C86111" w:rsidRDefault="00A0529E" w:rsidP="00EA6904">
      <w:pPr>
        <w:pStyle w:val="Heading3"/>
      </w:pPr>
      <w:bookmarkStart w:id="163" w:name="_Toc210651371"/>
      <w:bookmarkStart w:id="164" w:name="_Toc220541920"/>
      <w:bookmarkEnd w:id="162"/>
      <w:r w:rsidRPr="00C86111">
        <w:lastRenderedPageBreak/>
        <w:t>Procjena otpada i kontaminiranih lokacija</w:t>
      </w:r>
      <w:bookmarkEnd w:id="163"/>
      <w:bookmarkEnd w:id="164"/>
    </w:p>
    <w:p w14:paraId="7CD04ABA" w14:textId="77777777" w:rsidR="00A0529E" w:rsidRPr="00C86111" w:rsidRDefault="00A0529E" w:rsidP="00A0529E">
      <w:pPr>
        <w:jc w:val="both"/>
        <w:rPr>
          <w:rFonts w:cstheme="minorHAnsi"/>
          <w:b/>
          <w:szCs w:val="24"/>
          <w:u w:color="000000"/>
          <w:bdr w:val="nil"/>
          <w:lang w:val="sr-Latn-ME"/>
        </w:rPr>
      </w:pPr>
      <w:bookmarkStart w:id="165" w:name="_Toc210642764"/>
      <w:bookmarkStart w:id="166" w:name="_Toc206579698"/>
      <w:r w:rsidRPr="00C86111">
        <w:rPr>
          <w:rFonts w:cstheme="minorHAnsi"/>
          <w:szCs w:val="24"/>
          <w:u w:color="000000"/>
          <w:bdr w:val="nil"/>
          <w:lang w:val="sr-Latn-ME"/>
        </w:rPr>
        <w:t>Prisustvo HBCD u otpadu procijenjeno je kombinovanjem statističkih podataka o količinama građevinskog otpada sa pretpostavkom da izolacioni materijal čini približno 1% tog otpada. Udio HBCD u izolacionom materijalu ponovo je procijenjen koristeći faktor koncentracije od 12,5%. Prakse odlaganja otpada, uključujući upravljanje deponijama i tretman mješanog komunalnog otpada, analizirane su radi razumijevanja mogućih puteva ispuštanja HBCD u životnu sredinu.</w:t>
      </w:r>
      <w:bookmarkEnd w:id="165"/>
    </w:p>
    <w:p w14:paraId="5DCFB389" w14:textId="77777777" w:rsidR="00A0529E" w:rsidRPr="00C86111" w:rsidRDefault="00A0529E" w:rsidP="00EA6904">
      <w:pPr>
        <w:pStyle w:val="Heading3"/>
      </w:pPr>
      <w:bookmarkStart w:id="167" w:name="_Toc210651372"/>
      <w:bookmarkStart w:id="168" w:name="_Toc220541921"/>
      <w:bookmarkEnd w:id="166"/>
      <w:r w:rsidRPr="00C86111">
        <w:t>Osiguranje kvaliteta i ograničenja</w:t>
      </w:r>
      <w:bookmarkEnd w:id="167"/>
      <w:bookmarkEnd w:id="168"/>
    </w:p>
    <w:p w14:paraId="04277341" w14:textId="77777777" w:rsidR="00A0529E" w:rsidRPr="00C86111" w:rsidRDefault="00A0529E" w:rsidP="00A0529E">
      <w:pPr>
        <w:jc w:val="both"/>
        <w:rPr>
          <w:rFonts w:cstheme="minorHAnsi"/>
          <w:szCs w:val="24"/>
          <w:lang w:val="sr-Latn-ME"/>
        </w:rPr>
      </w:pPr>
      <w:r w:rsidRPr="00C86111">
        <w:rPr>
          <w:rFonts w:eastAsia="Calibri" w:cstheme="minorHAnsi"/>
          <w:color w:val="000000"/>
          <w:szCs w:val="24"/>
          <w:u w:color="000000"/>
          <w:bdr w:val="nil"/>
          <w:lang w:val="sr-Latn-ME"/>
          <w14:textOutline w14:w="0" w14:cap="flat" w14:cmpd="sng" w14:algn="ctr">
            <w14:noFill/>
            <w14:prstDash w14:val="solid"/>
            <w14:bevel/>
          </w14:textOutline>
        </w:rPr>
        <w:t>Tokom cijelog procesa uloženi su napori da se obezbijedi kvalitet i konzistentnost podataka unakrsnom provjerom više izvora podataka, angažovanjem zainteresovanih strana radi validacije podataka i pridržavanjem međunarodno prihvaćenih smjernica za inventarisanje. Međutim, postoje ograničenja zbog nepotpunih podataka o određenim vrstama proizvoda, potencijalnog nedovoljnog izvještavanja i pretpostavki potrebnih za koncentraciju HBCD u uvezenim proizvodima. Ova ograničenja su prepoznata i uzeta u obzir prilikom tumačenja rezultata inventara.</w:t>
      </w:r>
    </w:p>
    <w:p w14:paraId="1194A385" w14:textId="6ACB8780" w:rsidR="00A0529E" w:rsidRPr="00C86111" w:rsidRDefault="00A0529E" w:rsidP="00004F34">
      <w:pPr>
        <w:pStyle w:val="Heading1"/>
        <w:numPr>
          <w:ilvl w:val="1"/>
          <w:numId w:val="238"/>
        </w:numPr>
      </w:pPr>
      <w:bookmarkStart w:id="169" w:name="_Toc210651373"/>
      <w:bookmarkStart w:id="170" w:name="_Toc220541922"/>
      <w:r w:rsidRPr="00C86111">
        <w:t xml:space="preserve">INVENTAR HBCD </w:t>
      </w:r>
      <w:r w:rsidR="002307C2" w:rsidRPr="00C86111">
        <w:t xml:space="preserve">U CRNOJ GORI </w:t>
      </w:r>
      <w:r w:rsidRPr="00C86111">
        <w:t>ZA PERIOD 2017-2023. GODINA</w:t>
      </w:r>
      <w:bookmarkEnd w:id="169"/>
      <w:bookmarkEnd w:id="170"/>
      <w:r w:rsidR="002307C2" w:rsidRPr="00C86111">
        <w:t xml:space="preserve"> </w:t>
      </w:r>
    </w:p>
    <w:p w14:paraId="0E51D067" w14:textId="77777777" w:rsidR="00A0529E" w:rsidRPr="00C86111" w:rsidRDefault="00A0529E" w:rsidP="00EA6904">
      <w:pPr>
        <w:pStyle w:val="Heading3"/>
      </w:pPr>
      <w:bookmarkStart w:id="171" w:name="_Toc210651374"/>
      <w:bookmarkStart w:id="172" w:name="_Toc220541923"/>
      <w:r w:rsidRPr="00C86111">
        <w:t>Proizvodi koji potencijalno sadrže HBCD</w:t>
      </w:r>
      <w:bookmarkEnd w:id="171"/>
      <w:bookmarkEnd w:id="172"/>
    </w:p>
    <w:p w14:paraId="7AE2AC37" w14:textId="77777777" w:rsidR="002307C2" w:rsidRPr="00C86111" w:rsidRDefault="002307C2" w:rsidP="002307C2">
      <w:pPr>
        <w:rPr>
          <w:lang w:val="sr-Latn-RS"/>
        </w:rPr>
      </w:pPr>
    </w:p>
    <w:p w14:paraId="73B4C3E6" w14:textId="181AA267" w:rsidR="00A0529E" w:rsidRPr="00C86111" w:rsidRDefault="00A0529E" w:rsidP="00A0529E">
      <w:pPr>
        <w:jc w:val="both"/>
        <w:rPr>
          <w:rFonts w:cstheme="minorHAnsi"/>
          <w:szCs w:val="24"/>
          <w:lang w:val="sr-Latn-ME"/>
        </w:rPr>
      </w:pPr>
      <w:r w:rsidRPr="00C86111">
        <w:rPr>
          <w:rFonts w:cstheme="minorHAnsi"/>
          <w:szCs w:val="24"/>
          <w:lang w:val="sr-Latn-ME"/>
        </w:rPr>
        <w:t xml:space="preserve">U Crnoj Gori postoji nekoliko sektora i za njih nadležnih zainteresovanih strana koje su uključene u različite procese upravljanja proizvodima koji potencijalno sadrže HBCD (Tabela </w:t>
      </w:r>
      <w:r w:rsidR="002307C2" w:rsidRPr="00C86111">
        <w:rPr>
          <w:rFonts w:cstheme="minorHAnsi"/>
          <w:szCs w:val="24"/>
          <w:lang w:val="sr-Latn-ME"/>
        </w:rPr>
        <w:t>60</w:t>
      </w:r>
      <w:r w:rsidRPr="00C86111">
        <w:rPr>
          <w:rFonts w:cstheme="minorHAnsi"/>
          <w:szCs w:val="24"/>
          <w:lang w:val="sr-Latn-ME"/>
        </w:rPr>
        <w:t>).</w:t>
      </w:r>
    </w:p>
    <w:p w14:paraId="61C7D733" w14:textId="77777777" w:rsidR="002307C2" w:rsidRPr="00C86111" w:rsidRDefault="002307C2" w:rsidP="00A0529E">
      <w:pPr>
        <w:jc w:val="both"/>
        <w:rPr>
          <w:rFonts w:cstheme="minorHAnsi"/>
          <w:szCs w:val="24"/>
          <w:lang w:val="sr-Latn-ME"/>
        </w:rPr>
      </w:pPr>
    </w:p>
    <w:p w14:paraId="78CC4F81" w14:textId="77E3F367" w:rsidR="00A0529E" w:rsidRPr="00C86111" w:rsidRDefault="00A0529E" w:rsidP="00A0529E">
      <w:pPr>
        <w:jc w:val="both"/>
        <w:rPr>
          <w:rFonts w:cstheme="minorHAnsi"/>
          <w:szCs w:val="24"/>
          <w:lang w:val="sr-Latn-ME"/>
        </w:rPr>
      </w:pPr>
      <w:r w:rsidRPr="00C86111">
        <w:rPr>
          <w:rFonts w:cstheme="minorHAnsi"/>
          <w:b/>
          <w:bCs/>
          <w:szCs w:val="24"/>
          <w:lang w:val="sr-Latn-ME"/>
        </w:rPr>
        <w:t xml:space="preserve">Tabela </w:t>
      </w:r>
      <w:r w:rsidR="002307C2" w:rsidRPr="00C86111">
        <w:rPr>
          <w:rFonts w:cstheme="minorHAnsi"/>
          <w:b/>
          <w:bCs/>
          <w:szCs w:val="24"/>
          <w:lang w:val="sr-Latn-ME"/>
        </w:rPr>
        <w:t>60</w:t>
      </w:r>
      <w:r w:rsidRPr="00C86111">
        <w:rPr>
          <w:rFonts w:cstheme="minorHAnsi"/>
          <w:b/>
          <w:bCs/>
          <w:szCs w:val="24"/>
          <w:lang w:val="sr-Latn-ME"/>
        </w:rPr>
        <w:t>.</w:t>
      </w:r>
      <w:r w:rsidRPr="00C86111">
        <w:rPr>
          <w:rFonts w:cstheme="minorHAnsi"/>
          <w:szCs w:val="24"/>
          <w:lang w:val="sr-Latn-ME"/>
        </w:rPr>
        <w:t xml:space="preserve"> Sektori i za njih nadležne zainteresovane strane koje su uključene u različite procese upravljanja proizvodima koji potencijalno sadrže HBCD</w:t>
      </w:r>
    </w:p>
    <w:tbl>
      <w:tblPr>
        <w:tblStyle w:val="GridTable5Dark-Accent6"/>
        <w:tblW w:w="5000" w:type="pct"/>
        <w:tblLook w:val="04A0" w:firstRow="1" w:lastRow="0" w:firstColumn="1" w:lastColumn="0" w:noHBand="0" w:noVBand="1"/>
      </w:tblPr>
      <w:tblGrid>
        <w:gridCol w:w="2829"/>
        <w:gridCol w:w="6521"/>
      </w:tblGrid>
      <w:tr w:rsidR="00A0529E" w:rsidRPr="00C86111" w14:paraId="0FEBCCDE"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5FE4A00B" w14:textId="77777777" w:rsidR="00A0529E" w:rsidRPr="00C86111" w:rsidRDefault="00A0529E" w:rsidP="00BC765B">
            <w:pPr>
              <w:jc w:val="both"/>
              <w:rPr>
                <w:rFonts w:cstheme="minorHAnsi"/>
                <w:color w:val="000000"/>
                <w:sz w:val="20"/>
                <w:szCs w:val="20"/>
                <w:lang w:val="sr-Latn-RS"/>
              </w:rPr>
            </w:pPr>
            <w:bookmarkStart w:id="173" w:name="_Hlk184401422"/>
            <w:r w:rsidRPr="00C86111">
              <w:rPr>
                <w:rFonts w:cstheme="minorHAnsi"/>
                <w:color w:val="000000"/>
                <w:sz w:val="20"/>
                <w:szCs w:val="20"/>
                <w:lang w:val="sr-Latn-RS"/>
              </w:rPr>
              <w:t>Sektor</w:t>
            </w:r>
          </w:p>
        </w:tc>
        <w:tc>
          <w:tcPr>
            <w:tcW w:w="3487" w:type="pct"/>
          </w:tcPr>
          <w:p w14:paraId="60DCC12D"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Zainteresovana strana</w:t>
            </w:r>
          </w:p>
        </w:tc>
      </w:tr>
      <w:tr w:rsidR="00A0529E" w:rsidRPr="00C86111" w14:paraId="42CFB7EF"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641F1B3E"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Svi procesi</w:t>
            </w:r>
          </w:p>
        </w:tc>
        <w:tc>
          <w:tcPr>
            <w:tcW w:w="3487" w:type="pct"/>
          </w:tcPr>
          <w:p w14:paraId="1864F503"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111">
              <w:rPr>
                <w:rFonts w:cstheme="minorHAnsi"/>
                <w:sz w:val="20"/>
                <w:szCs w:val="20"/>
              </w:rPr>
              <w:t>Ministarstvo nadležno za poslove životne sredine</w:t>
            </w:r>
          </w:p>
          <w:p w14:paraId="7418459C"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Kontakt tačka za Bazelsku Konvenciju</w:t>
            </w:r>
          </w:p>
          <w:p w14:paraId="6233637C"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Uprava carina</w:t>
            </w:r>
          </w:p>
          <w:p w14:paraId="687C88F3"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Uvoznici proizvoda koji sadrže HBCD</w:t>
            </w:r>
          </w:p>
          <w:p w14:paraId="0C9ECA9E"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NVO koje se bave pitanjem POPs hemikalija</w:t>
            </w:r>
          </w:p>
        </w:tc>
      </w:tr>
      <w:tr w:rsidR="00A0529E" w:rsidRPr="00C86111" w14:paraId="54BDB60A" w14:textId="77777777" w:rsidTr="00BC765B">
        <w:tc>
          <w:tcPr>
            <w:cnfStyle w:val="001000000000" w:firstRow="0" w:lastRow="0" w:firstColumn="1" w:lastColumn="0" w:oddVBand="0" w:evenVBand="0" w:oddHBand="0" w:evenHBand="0" w:firstRowFirstColumn="0" w:firstRowLastColumn="0" w:lastRowFirstColumn="0" w:lastRowLastColumn="0"/>
            <w:tcW w:w="1513" w:type="pct"/>
          </w:tcPr>
          <w:p w14:paraId="35D02FEE"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Ekspandirani polistiren (EPS) koji se korisiti u građevinarstvu</w:t>
            </w:r>
          </w:p>
        </w:tc>
        <w:tc>
          <w:tcPr>
            <w:tcW w:w="3487" w:type="pct"/>
          </w:tcPr>
          <w:p w14:paraId="0ECB8AB7"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Uvoznici EPS proizvoda</w:t>
            </w:r>
          </w:p>
          <w:p w14:paraId="31954C5F"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Građevinske kompanije (vezano za poslove izvođenja izolacije objekata)</w:t>
            </w:r>
          </w:p>
          <w:p w14:paraId="479FB3B3"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Prodavci izolacionih ploča i drugog građevinskog materijala od EPS</w:t>
            </w:r>
          </w:p>
        </w:tc>
      </w:tr>
      <w:tr w:rsidR="00A0529E" w:rsidRPr="00C86111" w14:paraId="3A0644D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0CFD7993"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Završni tretman</w:t>
            </w:r>
          </w:p>
        </w:tc>
        <w:tc>
          <w:tcPr>
            <w:tcW w:w="3487" w:type="pct"/>
          </w:tcPr>
          <w:p w14:paraId="732DAB01"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sr-Latn-RS"/>
              </w:rPr>
            </w:pPr>
            <w:r w:rsidRPr="00C86111">
              <w:rPr>
                <w:rFonts w:cstheme="minorHAnsi"/>
                <w:sz w:val="20"/>
                <w:szCs w:val="20"/>
              </w:rPr>
              <w:t>Deponije</w:t>
            </w:r>
          </w:p>
        </w:tc>
      </w:tr>
      <w:bookmarkEnd w:id="173"/>
    </w:tbl>
    <w:p w14:paraId="1D8ADEB8" w14:textId="77777777" w:rsidR="00A0529E" w:rsidRPr="00C86111" w:rsidRDefault="00A0529E" w:rsidP="00A0529E">
      <w:pPr>
        <w:jc w:val="both"/>
        <w:rPr>
          <w:rFonts w:cstheme="minorHAnsi"/>
          <w:i/>
          <w:iCs/>
          <w:szCs w:val="24"/>
          <w:lang w:val="sr-Latn-ME"/>
        </w:rPr>
      </w:pPr>
    </w:p>
    <w:p w14:paraId="738EF5AF" w14:textId="77777777" w:rsidR="00A0529E" w:rsidRPr="00C86111" w:rsidRDefault="00A0529E" w:rsidP="00A0529E">
      <w:pPr>
        <w:jc w:val="both"/>
        <w:rPr>
          <w:rFonts w:cstheme="minorHAnsi"/>
          <w:szCs w:val="24"/>
          <w:lang w:val="sr-Latn-ME"/>
        </w:rPr>
      </w:pPr>
      <w:r w:rsidRPr="00C86111">
        <w:rPr>
          <w:rFonts w:cstheme="minorHAnsi"/>
          <w:szCs w:val="24"/>
          <w:lang w:val="sr-Latn-ME"/>
        </w:rPr>
        <w:t xml:space="preserve">U Centralnom registru privrednih subjekata Crne Gore </w:t>
      </w:r>
      <w:r w:rsidRPr="00C86111">
        <w:rPr>
          <w:rFonts w:cstheme="minorHAnsi"/>
          <w:color w:val="002060"/>
          <w:szCs w:val="24"/>
        </w:rPr>
        <w:t>[3]</w:t>
      </w:r>
      <w:r w:rsidRPr="00C86111">
        <w:rPr>
          <w:rFonts w:cstheme="minorHAnsi"/>
          <w:color w:val="002060"/>
          <w:szCs w:val="24"/>
          <w:lang w:val="sr-Latn-ME"/>
        </w:rPr>
        <w:t xml:space="preserve"> </w:t>
      </w:r>
      <w:r w:rsidRPr="00C86111">
        <w:rPr>
          <w:rFonts w:cstheme="minorHAnsi"/>
          <w:szCs w:val="24"/>
          <w:lang w:val="sr-Latn-ME"/>
        </w:rPr>
        <w:t>za period 2017-2023. godina nema registrovanih proizvođača HBCD i granulata ekstrudiranog i ekspandiranog polistirena. Stoga se izrada inventara HBCD, kao i ranije, bazirala na analizi uvoza.</w:t>
      </w:r>
    </w:p>
    <w:p w14:paraId="4E74274B" w14:textId="77777777" w:rsidR="00A0529E" w:rsidRPr="00C86111" w:rsidRDefault="00A0529E" w:rsidP="00A0529E">
      <w:pPr>
        <w:jc w:val="both"/>
        <w:rPr>
          <w:rFonts w:cstheme="minorHAnsi"/>
          <w:szCs w:val="24"/>
          <w:lang w:val="sr-Latn-ME"/>
        </w:rPr>
      </w:pPr>
      <w:r w:rsidRPr="00C86111">
        <w:rPr>
          <w:rFonts w:cstheme="minorHAnsi"/>
          <w:szCs w:val="24"/>
          <w:lang w:val="sr-Latn-ME"/>
        </w:rPr>
        <w:t>Upravi carina Crne Gore distribuirani su upitinici o količinama proizvoda koji potencijalno mogu da sadrže HBCD u svom sastavu, a čiji je uvoz realizovan u periodu 2017-2023. godina.</w:t>
      </w:r>
    </w:p>
    <w:p w14:paraId="591457AA" w14:textId="77777777" w:rsidR="00A0529E" w:rsidRPr="00C86111" w:rsidRDefault="00A0529E" w:rsidP="00A0529E">
      <w:pPr>
        <w:jc w:val="both"/>
        <w:rPr>
          <w:rFonts w:cstheme="minorHAnsi"/>
          <w:szCs w:val="24"/>
        </w:rPr>
      </w:pPr>
      <w:r w:rsidRPr="00C86111">
        <w:rPr>
          <w:rFonts w:cstheme="minorHAnsi"/>
          <w:szCs w:val="24"/>
          <w:lang w:val="sr-Latn-ME"/>
        </w:rPr>
        <w:t>Analiza dobijenih podataka pokazala je da se u navedenom periodu u Crnu Goru nije uvozio čist HBCD</w:t>
      </w:r>
      <w:r w:rsidRPr="00C86111">
        <w:rPr>
          <w:rFonts w:cstheme="minorHAnsi"/>
          <w:szCs w:val="24"/>
        </w:rPr>
        <w:t>.</w:t>
      </w:r>
    </w:p>
    <w:p w14:paraId="7C73F26A" w14:textId="77777777" w:rsidR="00A0529E" w:rsidRPr="00C86111" w:rsidRDefault="00A0529E" w:rsidP="00EA6904">
      <w:pPr>
        <w:pStyle w:val="Heading3"/>
      </w:pPr>
      <w:bookmarkStart w:id="174" w:name="_Toc210651375"/>
      <w:bookmarkStart w:id="175" w:name="_Toc220541924"/>
      <w:r w:rsidRPr="00C86111">
        <w:lastRenderedPageBreak/>
        <w:t>Uvoz granulata ekspandiranog polistirena</w:t>
      </w:r>
      <w:bookmarkEnd w:id="174"/>
      <w:bookmarkEnd w:id="175"/>
    </w:p>
    <w:p w14:paraId="4852C8B8" w14:textId="77777777" w:rsidR="002307C2" w:rsidRPr="00C86111" w:rsidRDefault="002307C2" w:rsidP="002307C2">
      <w:pPr>
        <w:rPr>
          <w:lang w:val="sr-Latn-RS"/>
        </w:rPr>
      </w:pPr>
    </w:p>
    <w:p w14:paraId="0727CEA9" w14:textId="46345F8E" w:rsidR="00A0529E" w:rsidRPr="00C86111" w:rsidRDefault="00A0529E" w:rsidP="00A0529E">
      <w:pPr>
        <w:jc w:val="both"/>
        <w:rPr>
          <w:rFonts w:cstheme="minorHAnsi"/>
          <w:szCs w:val="24"/>
        </w:rPr>
      </w:pPr>
      <w:r w:rsidRPr="00C86111">
        <w:rPr>
          <w:rFonts w:cstheme="minorHAnsi"/>
          <w:szCs w:val="24"/>
          <w:lang w:val="sr-Latn-ME"/>
        </w:rPr>
        <w:t xml:space="preserve">Na osnovu dobijenih podataka identifikovan je uvoz granulata ekspandiranog polistirena u svrhu proizvodnje izolacionih ploča u količini od 407,6 tona (Tabela </w:t>
      </w:r>
      <w:r w:rsidR="002307C2" w:rsidRPr="00C86111">
        <w:rPr>
          <w:rFonts w:cstheme="minorHAnsi"/>
          <w:szCs w:val="24"/>
          <w:lang w:val="sr-Latn-ME"/>
        </w:rPr>
        <w:t>61</w:t>
      </w:r>
      <w:r w:rsidRPr="00C86111">
        <w:rPr>
          <w:rFonts w:cstheme="minorHAnsi"/>
          <w:szCs w:val="24"/>
          <w:lang w:val="sr-Latn-ME"/>
        </w:rPr>
        <w:t xml:space="preserve">. i </w:t>
      </w:r>
      <w:r w:rsidR="002307C2" w:rsidRPr="00C86111">
        <w:rPr>
          <w:rFonts w:cstheme="minorHAnsi"/>
          <w:szCs w:val="24"/>
          <w:lang w:val="sr-Latn-ME"/>
        </w:rPr>
        <w:t>grafik</w:t>
      </w:r>
      <w:r w:rsidRPr="00C86111">
        <w:rPr>
          <w:rFonts w:cstheme="minorHAnsi"/>
          <w:szCs w:val="24"/>
          <w:lang w:val="sr-Latn-ME"/>
        </w:rPr>
        <w:t xml:space="preserve"> </w:t>
      </w:r>
      <w:r w:rsidR="00547278">
        <w:rPr>
          <w:rFonts w:cstheme="minorHAnsi"/>
          <w:szCs w:val="24"/>
          <w:lang w:val="sr-Latn-ME"/>
        </w:rPr>
        <w:t>22</w:t>
      </w:r>
      <w:r w:rsidRPr="00C86111">
        <w:rPr>
          <w:rFonts w:cstheme="minorHAnsi"/>
          <w:szCs w:val="24"/>
          <w:lang w:val="sr-Latn-ME"/>
        </w:rPr>
        <w:t>).</w:t>
      </w:r>
    </w:p>
    <w:p w14:paraId="1D2FF081" w14:textId="77777777" w:rsidR="00A0529E" w:rsidRPr="00C86111" w:rsidRDefault="00A0529E" w:rsidP="00A0529E">
      <w:pPr>
        <w:jc w:val="both"/>
        <w:rPr>
          <w:rFonts w:cstheme="minorHAnsi"/>
          <w:szCs w:val="24"/>
          <w:lang w:val="sr-Latn-ME"/>
        </w:rPr>
      </w:pPr>
    </w:p>
    <w:p w14:paraId="7241C46E" w14:textId="0DD779C3" w:rsidR="00A0529E" w:rsidRPr="00C86111" w:rsidRDefault="00A0529E" w:rsidP="00A0529E">
      <w:pPr>
        <w:jc w:val="both"/>
        <w:rPr>
          <w:rFonts w:cstheme="minorHAnsi"/>
          <w:iCs/>
          <w:color w:val="000000"/>
          <w:szCs w:val="24"/>
          <w:lang w:val="sr-Latn-RS"/>
        </w:rPr>
      </w:pPr>
      <w:r w:rsidRPr="00C86111">
        <w:rPr>
          <w:rFonts w:cstheme="minorHAnsi"/>
          <w:b/>
          <w:bCs/>
          <w:iCs/>
          <w:color w:val="000000"/>
          <w:szCs w:val="24"/>
          <w:lang w:val="sr-Latn-RS"/>
        </w:rPr>
        <w:t xml:space="preserve">Tabela </w:t>
      </w:r>
      <w:r w:rsidR="002307C2" w:rsidRPr="00C86111">
        <w:rPr>
          <w:rFonts w:cstheme="minorHAnsi"/>
          <w:b/>
          <w:bCs/>
          <w:iCs/>
          <w:color w:val="000000"/>
          <w:szCs w:val="24"/>
          <w:lang w:val="sr-Latn-RS"/>
        </w:rPr>
        <w:t>61</w:t>
      </w:r>
      <w:r w:rsidRPr="00C86111">
        <w:rPr>
          <w:rFonts w:cstheme="minorHAnsi"/>
          <w:b/>
          <w:bCs/>
          <w:iCs/>
          <w:color w:val="000000"/>
          <w:szCs w:val="24"/>
          <w:lang w:val="sr-Latn-RS"/>
        </w:rPr>
        <w:t>.</w:t>
      </w:r>
      <w:r w:rsidRPr="00C86111">
        <w:rPr>
          <w:rFonts w:cstheme="minorHAnsi"/>
          <w:iCs/>
          <w:color w:val="000000"/>
          <w:szCs w:val="24"/>
          <w:lang w:val="sr-Latn-RS"/>
        </w:rPr>
        <w:t xml:space="preserve"> Količina uvezenog granulata ekspandiranog polistirena (t) u periodu   2017-2023. godina</w:t>
      </w:r>
    </w:p>
    <w:tbl>
      <w:tblPr>
        <w:tblStyle w:val="GridTable5Dark-Accent6"/>
        <w:tblW w:w="5000" w:type="pct"/>
        <w:tblLook w:val="04A0" w:firstRow="1" w:lastRow="0" w:firstColumn="1" w:lastColumn="0" w:noHBand="0" w:noVBand="1"/>
      </w:tblPr>
      <w:tblGrid>
        <w:gridCol w:w="2829"/>
        <w:gridCol w:w="6521"/>
      </w:tblGrid>
      <w:tr w:rsidR="00A0529E" w:rsidRPr="00C86111" w14:paraId="651B03B3"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540C727D"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Godina uvoza</w:t>
            </w:r>
          </w:p>
        </w:tc>
        <w:tc>
          <w:tcPr>
            <w:tcW w:w="3487" w:type="pct"/>
          </w:tcPr>
          <w:p w14:paraId="7C91168C"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color w:val="000000"/>
                <w:szCs w:val="24"/>
                <w:lang w:val="sr-Latn-RS"/>
              </w:rPr>
              <w:t>Uvezena količina granulata ekspandiranog polistirena za proizvodnju izolacionih ploča (t)</w:t>
            </w:r>
          </w:p>
        </w:tc>
      </w:tr>
      <w:tr w:rsidR="00A0529E" w:rsidRPr="00C86111" w14:paraId="2D137F99"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5869DA32"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2017.</w:t>
            </w:r>
          </w:p>
        </w:tc>
        <w:tc>
          <w:tcPr>
            <w:tcW w:w="3487" w:type="pct"/>
          </w:tcPr>
          <w:p w14:paraId="6FE486C7"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6,4</w:t>
            </w:r>
          </w:p>
        </w:tc>
      </w:tr>
      <w:tr w:rsidR="00A0529E" w:rsidRPr="00C86111" w14:paraId="17519D8A" w14:textId="77777777" w:rsidTr="00BC765B">
        <w:tc>
          <w:tcPr>
            <w:cnfStyle w:val="001000000000" w:firstRow="0" w:lastRow="0" w:firstColumn="1" w:lastColumn="0" w:oddVBand="0" w:evenVBand="0" w:oddHBand="0" w:evenHBand="0" w:firstRowFirstColumn="0" w:firstRowLastColumn="0" w:lastRowFirstColumn="0" w:lastRowLastColumn="0"/>
            <w:tcW w:w="1513" w:type="pct"/>
          </w:tcPr>
          <w:p w14:paraId="6012DB6F"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2018.</w:t>
            </w:r>
          </w:p>
        </w:tc>
        <w:tc>
          <w:tcPr>
            <w:tcW w:w="3487" w:type="pct"/>
          </w:tcPr>
          <w:p w14:paraId="4E791CC5"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szCs w:val="24"/>
              </w:rPr>
              <w:t>23,8</w:t>
            </w:r>
          </w:p>
        </w:tc>
      </w:tr>
      <w:tr w:rsidR="00A0529E" w:rsidRPr="00C86111" w14:paraId="648A05B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31158728"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2019.</w:t>
            </w:r>
          </w:p>
        </w:tc>
        <w:tc>
          <w:tcPr>
            <w:tcW w:w="3487" w:type="pct"/>
          </w:tcPr>
          <w:p w14:paraId="21EEE313"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24,6</w:t>
            </w:r>
          </w:p>
        </w:tc>
      </w:tr>
      <w:tr w:rsidR="00A0529E" w:rsidRPr="00C86111" w14:paraId="5AB3CAC7" w14:textId="77777777" w:rsidTr="00BC765B">
        <w:tc>
          <w:tcPr>
            <w:cnfStyle w:val="001000000000" w:firstRow="0" w:lastRow="0" w:firstColumn="1" w:lastColumn="0" w:oddVBand="0" w:evenVBand="0" w:oddHBand="0" w:evenHBand="0" w:firstRowFirstColumn="0" w:firstRowLastColumn="0" w:lastRowFirstColumn="0" w:lastRowLastColumn="0"/>
            <w:tcW w:w="1513" w:type="pct"/>
          </w:tcPr>
          <w:p w14:paraId="1E098DE7"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2020.</w:t>
            </w:r>
          </w:p>
        </w:tc>
        <w:tc>
          <w:tcPr>
            <w:tcW w:w="3487" w:type="pct"/>
          </w:tcPr>
          <w:p w14:paraId="6F95A3A4"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szCs w:val="24"/>
              </w:rPr>
              <w:t>76,0</w:t>
            </w:r>
          </w:p>
        </w:tc>
      </w:tr>
      <w:tr w:rsidR="00A0529E" w:rsidRPr="00C86111" w14:paraId="033ADB67"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3E772C67"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2021.</w:t>
            </w:r>
          </w:p>
        </w:tc>
        <w:tc>
          <w:tcPr>
            <w:tcW w:w="3487" w:type="pct"/>
          </w:tcPr>
          <w:p w14:paraId="7CEF4BC6"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186,8</w:t>
            </w:r>
          </w:p>
        </w:tc>
      </w:tr>
      <w:tr w:rsidR="00A0529E" w:rsidRPr="00C86111" w14:paraId="0CB91992" w14:textId="77777777" w:rsidTr="00BC765B">
        <w:tc>
          <w:tcPr>
            <w:cnfStyle w:val="001000000000" w:firstRow="0" w:lastRow="0" w:firstColumn="1" w:lastColumn="0" w:oddVBand="0" w:evenVBand="0" w:oddHBand="0" w:evenHBand="0" w:firstRowFirstColumn="0" w:firstRowLastColumn="0" w:lastRowFirstColumn="0" w:lastRowLastColumn="0"/>
            <w:tcW w:w="1513" w:type="pct"/>
          </w:tcPr>
          <w:p w14:paraId="03FFA443"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2022.</w:t>
            </w:r>
          </w:p>
        </w:tc>
        <w:tc>
          <w:tcPr>
            <w:tcW w:w="3487" w:type="pct"/>
          </w:tcPr>
          <w:p w14:paraId="014D4768"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szCs w:val="24"/>
              </w:rPr>
              <w:t>54,3</w:t>
            </w:r>
          </w:p>
        </w:tc>
      </w:tr>
      <w:tr w:rsidR="00A0529E" w:rsidRPr="00C86111" w14:paraId="137E216C"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3416B47C"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2023.</w:t>
            </w:r>
          </w:p>
        </w:tc>
        <w:tc>
          <w:tcPr>
            <w:tcW w:w="3487" w:type="pct"/>
          </w:tcPr>
          <w:p w14:paraId="6616CB32"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35,7</w:t>
            </w:r>
          </w:p>
        </w:tc>
      </w:tr>
      <w:tr w:rsidR="00A0529E" w:rsidRPr="00C86111" w14:paraId="05DF02CF" w14:textId="77777777" w:rsidTr="00BC765B">
        <w:tc>
          <w:tcPr>
            <w:cnfStyle w:val="001000000000" w:firstRow="0" w:lastRow="0" w:firstColumn="1" w:lastColumn="0" w:oddVBand="0" w:evenVBand="0" w:oddHBand="0" w:evenHBand="0" w:firstRowFirstColumn="0" w:firstRowLastColumn="0" w:lastRowFirstColumn="0" w:lastRowLastColumn="0"/>
            <w:tcW w:w="1513" w:type="pct"/>
          </w:tcPr>
          <w:p w14:paraId="68D4E10F"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UKUPNO</w:t>
            </w:r>
          </w:p>
        </w:tc>
        <w:tc>
          <w:tcPr>
            <w:tcW w:w="3487" w:type="pct"/>
          </w:tcPr>
          <w:p w14:paraId="49CAD876"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szCs w:val="24"/>
                <w:lang w:val="sr-Latn-RS"/>
              </w:rPr>
            </w:pPr>
            <w:r w:rsidRPr="00C86111">
              <w:rPr>
                <w:rFonts w:cstheme="minorHAnsi"/>
                <w:b/>
                <w:bCs/>
                <w:szCs w:val="24"/>
              </w:rPr>
              <w:t>407,6</w:t>
            </w:r>
          </w:p>
        </w:tc>
      </w:tr>
    </w:tbl>
    <w:p w14:paraId="577B6DCE" w14:textId="77777777" w:rsidR="00A0529E" w:rsidRPr="00C86111" w:rsidRDefault="00A0529E" w:rsidP="00A0529E">
      <w:pPr>
        <w:jc w:val="both"/>
        <w:rPr>
          <w:rFonts w:cstheme="minorHAnsi"/>
          <w:szCs w:val="24"/>
          <w:lang w:val="sr-Latn-RS"/>
        </w:rPr>
      </w:pPr>
    </w:p>
    <w:p w14:paraId="353050ED" w14:textId="77777777" w:rsidR="00A0529E" w:rsidRPr="00C86111" w:rsidRDefault="00A0529E" w:rsidP="00A0529E">
      <w:pPr>
        <w:jc w:val="both"/>
        <w:rPr>
          <w:rFonts w:cstheme="minorHAnsi"/>
          <w:szCs w:val="24"/>
          <w:lang w:val="sr-Latn-RS"/>
        </w:rPr>
      </w:pPr>
      <w:r w:rsidRPr="00C86111">
        <w:rPr>
          <w:rFonts w:cstheme="minorHAnsi"/>
          <w:noProof/>
          <w:szCs w:val="24"/>
        </w:rPr>
        <w:drawing>
          <wp:inline distT="0" distB="0" distL="0" distR="0" wp14:anchorId="2A5B878E" wp14:editId="5F1CEF15">
            <wp:extent cx="5537200" cy="2393950"/>
            <wp:effectExtent l="0" t="0" r="6350" b="6350"/>
            <wp:docPr id="24945413" name="Chart 1">
              <a:extLst xmlns:a="http://schemas.openxmlformats.org/drawingml/2006/main">
                <a:ext uri="{FF2B5EF4-FFF2-40B4-BE49-F238E27FC236}">
                  <a16:creationId xmlns:a16="http://schemas.microsoft.com/office/drawing/2014/main" id="{D7F54C58-ADB3-8A13-D437-64CF7DD4E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9D6CD1" w14:textId="4F5E7FD3" w:rsidR="00A0529E" w:rsidRPr="00C86111" w:rsidRDefault="002307C2" w:rsidP="00A0529E">
      <w:pPr>
        <w:jc w:val="both"/>
        <w:rPr>
          <w:rFonts w:cstheme="minorHAnsi"/>
          <w:iCs/>
          <w:color w:val="000000"/>
          <w:szCs w:val="24"/>
          <w:lang w:val="sr-Latn-RS"/>
        </w:rPr>
      </w:pPr>
      <w:r w:rsidRPr="00C86111">
        <w:rPr>
          <w:rFonts w:cstheme="minorHAnsi"/>
          <w:b/>
          <w:bCs/>
          <w:iCs/>
          <w:color w:val="000000"/>
          <w:szCs w:val="24"/>
          <w:lang w:val="sr-Latn-RS"/>
        </w:rPr>
        <w:t>Grafik</w:t>
      </w:r>
      <w:r w:rsidR="00A0529E" w:rsidRPr="00C86111">
        <w:rPr>
          <w:rFonts w:cstheme="minorHAnsi"/>
          <w:b/>
          <w:bCs/>
          <w:iCs/>
          <w:color w:val="000000"/>
          <w:szCs w:val="24"/>
          <w:lang w:val="sr-Latn-RS"/>
        </w:rPr>
        <w:t xml:space="preserve"> </w:t>
      </w:r>
      <w:r w:rsidR="00547278">
        <w:rPr>
          <w:rFonts w:cstheme="minorHAnsi"/>
          <w:b/>
          <w:bCs/>
          <w:iCs/>
          <w:color w:val="000000"/>
          <w:szCs w:val="24"/>
          <w:lang w:val="sr-Latn-RS"/>
        </w:rPr>
        <w:t>22</w:t>
      </w:r>
      <w:r w:rsidR="00A0529E" w:rsidRPr="00C86111">
        <w:rPr>
          <w:rFonts w:cstheme="minorHAnsi"/>
          <w:b/>
          <w:bCs/>
          <w:iCs/>
          <w:color w:val="000000"/>
          <w:szCs w:val="24"/>
          <w:lang w:val="sr-Latn-RS"/>
        </w:rPr>
        <w:t>.</w:t>
      </w:r>
      <w:r w:rsidR="00A0529E" w:rsidRPr="00C86111">
        <w:rPr>
          <w:rFonts w:cstheme="minorHAnsi"/>
          <w:iCs/>
          <w:color w:val="000000"/>
          <w:szCs w:val="24"/>
          <w:lang w:val="sr-Latn-RS"/>
        </w:rPr>
        <w:t xml:space="preserve"> Količina uvezenog granulata ekspandiranog polistirena (t) za proizvodnju izolacionih ploča u periodu 2017-2023. godina</w:t>
      </w:r>
    </w:p>
    <w:p w14:paraId="73244C45" w14:textId="77777777" w:rsidR="00F20120" w:rsidRPr="00C86111" w:rsidRDefault="00F20120" w:rsidP="00A0529E">
      <w:pPr>
        <w:jc w:val="both"/>
        <w:rPr>
          <w:rFonts w:cstheme="minorHAnsi"/>
          <w:iCs/>
          <w:color w:val="000000"/>
          <w:szCs w:val="24"/>
          <w:lang w:val="sr-Latn-RS"/>
        </w:rPr>
      </w:pPr>
    </w:p>
    <w:p w14:paraId="476443CD" w14:textId="77777777" w:rsidR="00A0529E" w:rsidRPr="00C86111" w:rsidRDefault="00A0529E" w:rsidP="00A0529E">
      <w:pPr>
        <w:jc w:val="both"/>
        <w:rPr>
          <w:rFonts w:cstheme="minorHAnsi"/>
          <w:iCs/>
          <w:color w:val="000000"/>
          <w:szCs w:val="24"/>
          <w:lang w:val="sr-Latn-RS"/>
        </w:rPr>
      </w:pPr>
      <w:r w:rsidRPr="00C86111">
        <w:rPr>
          <w:rFonts w:cstheme="minorHAnsi"/>
          <w:iCs/>
          <w:color w:val="000000"/>
          <w:szCs w:val="24"/>
          <w:lang w:val="sr-Latn-RS"/>
        </w:rPr>
        <w:t>U navedenom periodu uvoz je činilo osam vrsta granulata od strane jednog privrednog subjekta. Samo jedan od njih  imao je u bezbjedonosnom listu deklarisan HBCD u koncetraciji od 0,1-1% m/m. Iz intervjua sa predstavnikom uvoznika zaključeno je da su sve vrste uvezenih granulata bile zastupljene u približno istim količinama. Stoga je izveden zaključak da je procentualni sadržaj granulata koji je sadržao HBCD u ukupnoj uvezenoj količini iznosio 12,5% (51 t granulata).</w:t>
      </w:r>
    </w:p>
    <w:p w14:paraId="6C89D9F3" w14:textId="77777777" w:rsidR="00A0529E" w:rsidRDefault="00A0529E" w:rsidP="00A0529E">
      <w:pPr>
        <w:jc w:val="both"/>
        <w:rPr>
          <w:rFonts w:cstheme="minorHAnsi"/>
          <w:iCs/>
          <w:color w:val="000000"/>
          <w:szCs w:val="24"/>
          <w:lang w:val="sr-Latn-RS"/>
        </w:rPr>
      </w:pPr>
      <w:r w:rsidRPr="00C86111">
        <w:rPr>
          <w:rFonts w:cstheme="minorHAnsi"/>
          <w:iCs/>
          <w:color w:val="000000"/>
          <w:szCs w:val="24"/>
          <w:lang w:val="sr-Latn-RS"/>
        </w:rPr>
        <w:t>Za posmatrani period je karakterističan uzlazni trend uvoza granulata ekspandiranog polistirena, koji je posebno izražen u 2021. godini nakon ublažavanja mjera uvedenih zbog pandemije korona virusom.</w:t>
      </w:r>
    </w:p>
    <w:p w14:paraId="5CF8BD21" w14:textId="77777777" w:rsidR="00F57E42" w:rsidRPr="00C86111" w:rsidRDefault="00F57E42" w:rsidP="00A0529E">
      <w:pPr>
        <w:jc w:val="both"/>
        <w:rPr>
          <w:rFonts w:cstheme="minorHAnsi"/>
          <w:iCs/>
          <w:color w:val="000000"/>
          <w:szCs w:val="24"/>
          <w:lang w:val="sr-Latn-RS"/>
        </w:rPr>
      </w:pPr>
    </w:p>
    <w:p w14:paraId="33AA012D" w14:textId="77777777" w:rsidR="00A0529E" w:rsidRPr="00C86111" w:rsidRDefault="00A0529E" w:rsidP="00EA6904">
      <w:pPr>
        <w:pStyle w:val="Heading4"/>
        <w:rPr>
          <w:lang w:val="sr-Latn-RS"/>
        </w:rPr>
      </w:pPr>
      <w:bookmarkStart w:id="176" w:name="_Toc210651376"/>
      <w:r w:rsidRPr="00C86111">
        <w:rPr>
          <w:lang w:val="sr-Latn-RS"/>
        </w:rPr>
        <w:lastRenderedPageBreak/>
        <w:t>Uvoz proizvoda na bazi polistirena</w:t>
      </w:r>
      <w:bookmarkEnd w:id="176"/>
    </w:p>
    <w:p w14:paraId="1BFBF08B" w14:textId="674A743D" w:rsidR="00A0529E" w:rsidRPr="00C86111" w:rsidRDefault="00A0529E" w:rsidP="00A0529E">
      <w:pPr>
        <w:jc w:val="both"/>
        <w:rPr>
          <w:rFonts w:cstheme="minorHAnsi"/>
          <w:szCs w:val="24"/>
          <w:lang w:val="sr-Latn-RS"/>
        </w:rPr>
      </w:pPr>
      <w:r w:rsidRPr="00C86111">
        <w:rPr>
          <w:rFonts w:cstheme="minorHAnsi"/>
          <w:szCs w:val="24"/>
          <w:lang w:val="sr-Latn-RS"/>
        </w:rPr>
        <w:t xml:space="preserve">Na osnovu dobijenih podataka o uvozu izračunate su količine proizvoda na bazi polistirena za period 2017-2023. godina uzimajući u obzir sljedeće materijale (Tabela </w:t>
      </w:r>
      <w:r w:rsidR="002307C2" w:rsidRPr="00C86111">
        <w:rPr>
          <w:rFonts w:cstheme="minorHAnsi"/>
          <w:szCs w:val="24"/>
          <w:lang w:val="sr-Latn-RS"/>
        </w:rPr>
        <w:t>62</w:t>
      </w:r>
      <w:r w:rsidRPr="00C86111">
        <w:rPr>
          <w:rFonts w:cstheme="minorHAnsi"/>
          <w:szCs w:val="24"/>
          <w:lang w:val="sr-Latn-RS"/>
        </w:rPr>
        <w:t xml:space="preserve">. i </w:t>
      </w:r>
      <w:r w:rsidR="002307C2" w:rsidRPr="00C86111">
        <w:rPr>
          <w:rFonts w:cstheme="minorHAnsi"/>
          <w:szCs w:val="24"/>
          <w:lang w:val="sr-Latn-RS"/>
        </w:rPr>
        <w:t>grafik</w:t>
      </w:r>
      <w:r w:rsidRPr="00C86111">
        <w:rPr>
          <w:rFonts w:cstheme="minorHAnsi"/>
          <w:szCs w:val="24"/>
          <w:lang w:val="sr-Latn-RS"/>
        </w:rPr>
        <w:t xml:space="preserve"> 2</w:t>
      </w:r>
      <w:r w:rsidR="002307C2" w:rsidRPr="00C86111">
        <w:rPr>
          <w:rFonts w:cstheme="minorHAnsi"/>
          <w:szCs w:val="24"/>
          <w:lang w:val="sr-Latn-RS"/>
        </w:rPr>
        <w:t>0</w:t>
      </w:r>
      <w:r w:rsidRPr="00C86111">
        <w:rPr>
          <w:rFonts w:cstheme="minorHAnsi"/>
          <w:szCs w:val="24"/>
          <w:lang w:val="sr-Latn-RS"/>
        </w:rPr>
        <w:t xml:space="preserve">):  </w:t>
      </w:r>
    </w:p>
    <w:p w14:paraId="2B47CC21" w14:textId="77777777" w:rsidR="00A0529E" w:rsidRPr="00C86111" w:rsidRDefault="00A0529E" w:rsidP="00A0529E">
      <w:pPr>
        <w:jc w:val="both"/>
        <w:rPr>
          <w:rFonts w:cstheme="minorHAnsi"/>
          <w:szCs w:val="24"/>
          <w:lang w:val="sr-Latn-RS"/>
        </w:rPr>
      </w:pPr>
      <w:r w:rsidRPr="00C86111">
        <w:rPr>
          <w:rFonts w:cstheme="minorHAnsi"/>
          <w:szCs w:val="24"/>
          <w:lang w:val="sr-Latn-RS"/>
        </w:rPr>
        <w:t>1.</w:t>
      </w:r>
      <w:r w:rsidRPr="00C86111">
        <w:rPr>
          <w:rFonts w:cstheme="minorHAnsi"/>
          <w:szCs w:val="24"/>
          <w:lang w:val="sr-Latn-RS"/>
        </w:rPr>
        <w:tab/>
        <w:t>EPS izolacija za ravne krovove</w:t>
      </w:r>
    </w:p>
    <w:p w14:paraId="7C6EDA56" w14:textId="77777777" w:rsidR="00A0529E" w:rsidRPr="00C86111" w:rsidRDefault="00A0529E" w:rsidP="00A0529E">
      <w:pPr>
        <w:jc w:val="both"/>
        <w:rPr>
          <w:rFonts w:cstheme="minorHAnsi"/>
          <w:szCs w:val="24"/>
          <w:lang w:val="sr-Latn-RS"/>
        </w:rPr>
      </w:pPr>
      <w:r w:rsidRPr="00C86111">
        <w:rPr>
          <w:rFonts w:cstheme="minorHAnsi"/>
          <w:szCs w:val="24"/>
          <w:lang w:val="sr-Latn-RS"/>
        </w:rPr>
        <w:t>2.</w:t>
      </w:r>
      <w:r w:rsidRPr="00C86111">
        <w:rPr>
          <w:rFonts w:cstheme="minorHAnsi"/>
          <w:szCs w:val="24"/>
          <w:lang w:val="sr-Latn-RS"/>
        </w:rPr>
        <w:tab/>
        <w:t>EPS izolacija za kose krovove</w:t>
      </w:r>
    </w:p>
    <w:p w14:paraId="43BB18F7" w14:textId="77777777" w:rsidR="00A0529E" w:rsidRPr="00C86111" w:rsidRDefault="00A0529E" w:rsidP="00A0529E">
      <w:pPr>
        <w:jc w:val="both"/>
        <w:rPr>
          <w:rFonts w:cstheme="minorHAnsi"/>
          <w:szCs w:val="24"/>
          <w:lang w:val="sr-Latn-RS"/>
        </w:rPr>
      </w:pPr>
      <w:r w:rsidRPr="00C86111">
        <w:rPr>
          <w:rFonts w:cstheme="minorHAnsi"/>
          <w:szCs w:val="24"/>
          <w:lang w:val="sr-Latn-RS"/>
        </w:rPr>
        <w:t>3.</w:t>
      </w:r>
      <w:r w:rsidRPr="00C86111">
        <w:rPr>
          <w:rFonts w:cstheme="minorHAnsi"/>
          <w:szCs w:val="24"/>
          <w:lang w:val="sr-Latn-RS"/>
        </w:rPr>
        <w:tab/>
        <w:t>Izolacija poda 'slab-on-ground'</w:t>
      </w:r>
    </w:p>
    <w:p w14:paraId="7BB9A227" w14:textId="77777777" w:rsidR="00A0529E" w:rsidRPr="00C86111" w:rsidRDefault="00A0529E" w:rsidP="00A0529E">
      <w:pPr>
        <w:jc w:val="both"/>
        <w:rPr>
          <w:rFonts w:cstheme="minorHAnsi"/>
          <w:szCs w:val="24"/>
          <w:lang w:val="sr-Latn-RS"/>
        </w:rPr>
      </w:pPr>
      <w:r w:rsidRPr="00C86111">
        <w:rPr>
          <w:rFonts w:cstheme="minorHAnsi"/>
          <w:szCs w:val="24"/>
          <w:lang w:val="sr-Latn-RS"/>
        </w:rPr>
        <w:t>4.</w:t>
      </w:r>
      <w:r w:rsidRPr="00C86111">
        <w:rPr>
          <w:rFonts w:cstheme="minorHAnsi"/>
          <w:szCs w:val="24"/>
          <w:lang w:val="sr-Latn-RS"/>
        </w:rPr>
        <w:tab/>
        <w:t>Izolovani betonski podni sistemi</w:t>
      </w:r>
    </w:p>
    <w:p w14:paraId="1B8EBDFD" w14:textId="77777777" w:rsidR="00A0529E" w:rsidRPr="00C86111" w:rsidRDefault="00A0529E" w:rsidP="00A0529E">
      <w:pPr>
        <w:jc w:val="both"/>
        <w:rPr>
          <w:rFonts w:cstheme="minorHAnsi"/>
          <w:szCs w:val="24"/>
          <w:lang w:val="sr-Latn-RS"/>
        </w:rPr>
      </w:pPr>
      <w:r w:rsidRPr="00C86111">
        <w:rPr>
          <w:rFonts w:cstheme="minorHAnsi"/>
          <w:szCs w:val="24"/>
          <w:lang w:val="sr-Latn-RS"/>
        </w:rPr>
        <w:t>5.</w:t>
      </w:r>
      <w:r w:rsidRPr="00C86111">
        <w:rPr>
          <w:rFonts w:cstheme="minorHAnsi"/>
          <w:szCs w:val="24"/>
          <w:lang w:val="sr-Latn-RS"/>
        </w:rPr>
        <w:tab/>
        <w:t>Unutrašnja zidna izolacija sa gips kartonskim pločama</w:t>
      </w:r>
    </w:p>
    <w:p w14:paraId="4E1B444A" w14:textId="77777777" w:rsidR="00A0529E" w:rsidRPr="00C86111" w:rsidRDefault="00A0529E" w:rsidP="00A0529E">
      <w:pPr>
        <w:jc w:val="both"/>
        <w:rPr>
          <w:rFonts w:cstheme="minorHAnsi"/>
          <w:szCs w:val="24"/>
          <w:lang w:val="sr-Latn-RS"/>
        </w:rPr>
      </w:pPr>
      <w:r w:rsidRPr="00C86111">
        <w:rPr>
          <w:rFonts w:cstheme="minorHAnsi"/>
          <w:szCs w:val="24"/>
          <w:lang w:val="sr-Latn-RS"/>
        </w:rPr>
        <w:t>6.</w:t>
      </w:r>
      <w:r w:rsidRPr="00C86111">
        <w:rPr>
          <w:rFonts w:cstheme="minorHAnsi"/>
          <w:szCs w:val="24"/>
          <w:lang w:val="sr-Latn-RS"/>
        </w:rPr>
        <w:tab/>
        <w:t>Izolacija spoljašnjih zidova ili ETICS (Eksterni izolovani kompozitni sistemi)</w:t>
      </w:r>
    </w:p>
    <w:p w14:paraId="07179943" w14:textId="77777777" w:rsidR="00A0529E" w:rsidRPr="00C86111" w:rsidRDefault="00A0529E" w:rsidP="00A0529E">
      <w:pPr>
        <w:jc w:val="both"/>
        <w:rPr>
          <w:rFonts w:cstheme="minorHAnsi"/>
          <w:szCs w:val="24"/>
          <w:lang w:val="sr-Latn-RS"/>
        </w:rPr>
      </w:pPr>
      <w:r w:rsidRPr="00C86111">
        <w:rPr>
          <w:rFonts w:cstheme="minorHAnsi"/>
          <w:szCs w:val="24"/>
          <w:lang w:val="sr-Latn-RS"/>
        </w:rPr>
        <w:t>7.</w:t>
      </w:r>
      <w:r w:rsidRPr="00C86111">
        <w:rPr>
          <w:rFonts w:cstheme="minorHAnsi"/>
          <w:szCs w:val="24"/>
          <w:lang w:val="sr-Latn-RS"/>
        </w:rPr>
        <w:tab/>
        <w:t>Izolacija šupljih zidova (ploče)</w:t>
      </w:r>
    </w:p>
    <w:p w14:paraId="2F5F52AB" w14:textId="77777777" w:rsidR="00A0529E" w:rsidRPr="00C86111" w:rsidRDefault="00A0529E" w:rsidP="00A0529E">
      <w:pPr>
        <w:jc w:val="both"/>
        <w:rPr>
          <w:rFonts w:cstheme="minorHAnsi"/>
          <w:szCs w:val="24"/>
          <w:lang w:val="sr-Latn-RS"/>
        </w:rPr>
      </w:pPr>
      <w:r w:rsidRPr="00C86111">
        <w:rPr>
          <w:rFonts w:cstheme="minorHAnsi"/>
          <w:szCs w:val="24"/>
          <w:lang w:val="sr-Latn-RS"/>
        </w:rPr>
        <w:t>8.</w:t>
      </w:r>
      <w:r w:rsidRPr="00C86111">
        <w:rPr>
          <w:rFonts w:cstheme="minorHAnsi"/>
          <w:szCs w:val="24"/>
          <w:lang w:val="sr-Latn-RS"/>
        </w:rPr>
        <w:tab/>
        <w:t>Izolacija šupljih zidova (labava primjena)</w:t>
      </w:r>
    </w:p>
    <w:p w14:paraId="76F32DDA" w14:textId="77777777" w:rsidR="00A0529E" w:rsidRPr="00C86111" w:rsidRDefault="00A0529E" w:rsidP="00A0529E">
      <w:pPr>
        <w:jc w:val="both"/>
        <w:rPr>
          <w:rFonts w:cstheme="minorHAnsi"/>
          <w:szCs w:val="24"/>
          <w:lang w:val="sr-Latn-RS"/>
        </w:rPr>
      </w:pPr>
      <w:r w:rsidRPr="00C86111">
        <w:rPr>
          <w:rFonts w:cstheme="minorHAnsi"/>
          <w:szCs w:val="24"/>
          <w:lang w:val="sr-Latn-RS"/>
        </w:rPr>
        <w:t>9.</w:t>
      </w:r>
      <w:r w:rsidRPr="00C86111">
        <w:rPr>
          <w:rFonts w:cstheme="minorHAnsi"/>
          <w:szCs w:val="24"/>
          <w:lang w:val="sr-Latn-RS"/>
        </w:rPr>
        <w:tab/>
        <w:t>Izolovane betonske forme (ICF)</w:t>
      </w:r>
    </w:p>
    <w:p w14:paraId="6A330C30" w14:textId="77777777" w:rsidR="00A0529E" w:rsidRPr="00C86111" w:rsidRDefault="00A0529E" w:rsidP="00A0529E">
      <w:pPr>
        <w:jc w:val="both"/>
        <w:rPr>
          <w:rFonts w:cstheme="minorHAnsi"/>
          <w:szCs w:val="24"/>
          <w:lang w:val="sr-Latn-RS"/>
        </w:rPr>
      </w:pPr>
      <w:r w:rsidRPr="00C86111">
        <w:rPr>
          <w:rFonts w:cstheme="minorHAnsi"/>
          <w:szCs w:val="24"/>
          <w:lang w:val="sr-Latn-RS"/>
        </w:rPr>
        <w:t>10.</w:t>
      </w:r>
      <w:r w:rsidRPr="00C86111">
        <w:rPr>
          <w:rFonts w:cstheme="minorHAnsi"/>
          <w:szCs w:val="24"/>
          <w:lang w:val="sr-Latn-RS"/>
        </w:rPr>
        <w:tab/>
        <w:t xml:space="preserve"> Sistemi temelja i drugi sistemi za formiranje šupljina</w:t>
      </w:r>
    </w:p>
    <w:p w14:paraId="4367815A" w14:textId="77777777" w:rsidR="00A0529E" w:rsidRPr="00C86111" w:rsidRDefault="00A0529E" w:rsidP="00A0529E">
      <w:pPr>
        <w:jc w:val="both"/>
        <w:rPr>
          <w:rFonts w:cstheme="minorHAnsi"/>
          <w:szCs w:val="24"/>
          <w:lang w:val="sr-Latn-RS"/>
        </w:rPr>
      </w:pPr>
      <w:r w:rsidRPr="00C86111">
        <w:rPr>
          <w:rFonts w:cstheme="minorHAnsi"/>
          <w:szCs w:val="24"/>
          <w:lang w:val="sr-Latn-RS"/>
        </w:rPr>
        <w:t>11.</w:t>
      </w:r>
      <w:r w:rsidRPr="00C86111">
        <w:rPr>
          <w:rFonts w:cstheme="minorHAnsi"/>
          <w:szCs w:val="24"/>
          <w:lang w:val="sr-Latn-RS"/>
        </w:rPr>
        <w:tab/>
        <w:t>Primjena kod nosivih temelja</w:t>
      </w:r>
    </w:p>
    <w:p w14:paraId="74DA3375" w14:textId="77777777" w:rsidR="00A0529E" w:rsidRPr="00C86111" w:rsidRDefault="00A0529E" w:rsidP="00A0529E">
      <w:pPr>
        <w:jc w:val="both"/>
        <w:rPr>
          <w:rFonts w:cstheme="minorHAnsi"/>
          <w:szCs w:val="24"/>
          <w:lang w:val="sr-Latn-RS"/>
        </w:rPr>
      </w:pPr>
      <w:r w:rsidRPr="00C86111">
        <w:rPr>
          <w:rFonts w:cstheme="minorHAnsi"/>
          <w:szCs w:val="24"/>
          <w:lang w:val="sr-Latn-RS"/>
        </w:rPr>
        <w:t>12.</w:t>
      </w:r>
      <w:r w:rsidRPr="00C86111">
        <w:rPr>
          <w:rFonts w:cstheme="minorHAnsi"/>
          <w:szCs w:val="24"/>
          <w:lang w:val="sr-Latn-RS"/>
        </w:rPr>
        <w:tab/>
        <w:t>Osnovni materijal za EPS koji se koristi u sendvič i napregnutim panelima (metal/drvo vlaknaste ploče</w:t>
      </w:r>
    </w:p>
    <w:p w14:paraId="71F50091" w14:textId="77777777" w:rsidR="00A0529E" w:rsidRPr="00C86111" w:rsidRDefault="00A0529E" w:rsidP="00A0529E">
      <w:pPr>
        <w:jc w:val="both"/>
        <w:rPr>
          <w:rFonts w:cstheme="minorHAnsi"/>
          <w:szCs w:val="24"/>
          <w:lang w:val="sr-Latn-RS"/>
        </w:rPr>
      </w:pPr>
      <w:r w:rsidRPr="00C86111">
        <w:rPr>
          <w:rFonts w:cstheme="minorHAnsi"/>
          <w:szCs w:val="24"/>
          <w:lang w:val="sr-Latn-RS"/>
        </w:rPr>
        <w:t>13.</w:t>
      </w:r>
      <w:r w:rsidRPr="00C86111">
        <w:rPr>
          <w:rFonts w:cstheme="minorHAnsi"/>
          <w:szCs w:val="24"/>
          <w:lang w:val="sr-Latn-RS"/>
        </w:rPr>
        <w:tab/>
        <w:t>Sistemi podnog grijanja</w:t>
      </w:r>
    </w:p>
    <w:p w14:paraId="5F23BE9F" w14:textId="77777777" w:rsidR="00A0529E" w:rsidRPr="00C86111" w:rsidRDefault="00A0529E" w:rsidP="00A0529E">
      <w:pPr>
        <w:jc w:val="both"/>
        <w:rPr>
          <w:rFonts w:cstheme="minorHAnsi"/>
          <w:szCs w:val="24"/>
          <w:lang w:val="sr-Latn-RS"/>
        </w:rPr>
      </w:pPr>
      <w:r w:rsidRPr="00C86111">
        <w:rPr>
          <w:rFonts w:cstheme="minorHAnsi"/>
          <w:szCs w:val="24"/>
          <w:lang w:val="sr-Latn-RS"/>
        </w:rPr>
        <w:t>14.</w:t>
      </w:r>
      <w:r w:rsidRPr="00C86111">
        <w:rPr>
          <w:rFonts w:cstheme="minorHAnsi"/>
          <w:szCs w:val="24"/>
          <w:lang w:val="sr-Latn-RS"/>
        </w:rPr>
        <w:tab/>
        <w:t>Zvučna izolacija u plivajućim podovima (da se izbjegne prenos kontaktne buke)</w:t>
      </w:r>
    </w:p>
    <w:p w14:paraId="7954D504" w14:textId="77777777" w:rsidR="00A0529E" w:rsidRPr="00C86111" w:rsidRDefault="00A0529E" w:rsidP="00A0529E">
      <w:pPr>
        <w:jc w:val="both"/>
        <w:rPr>
          <w:rFonts w:cstheme="minorHAnsi"/>
          <w:szCs w:val="24"/>
          <w:lang w:val="sr-Latn-RS"/>
        </w:rPr>
      </w:pPr>
      <w:r w:rsidRPr="00C86111">
        <w:rPr>
          <w:rFonts w:cstheme="minorHAnsi"/>
          <w:szCs w:val="24"/>
          <w:lang w:val="sr-Latn-RS"/>
        </w:rPr>
        <w:t>15.</w:t>
      </w:r>
      <w:r w:rsidRPr="00C86111">
        <w:rPr>
          <w:rFonts w:cstheme="minorHAnsi"/>
          <w:szCs w:val="24"/>
          <w:lang w:val="sr-Latn-RS"/>
        </w:rPr>
        <w:tab/>
        <w:t>EPS drenažne ploče</w:t>
      </w:r>
    </w:p>
    <w:p w14:paraId="467CF2F0" w14:textId="77777777" w:rsidR="00A0529E" w:rsidRPr="00C86111" w:rsidRDefault="00A0529E" w:rsidP="00A0529E">
      <w:pPr>
        <w:jc w:val="both"/>
        <w:rPr>
          <w:rFonts w:cstheme="minorHAnsi"/>
          <w:szCs w:val="24"/>
          <w:lang w:val="sr-Latn-RS"/>
        </w:rPr>
      </w:pPr>
      <w:r w:rsidRPr="00C86111">
        <w:rPr>
          <w:rFonts w:cstheme="minorHAnsi"/>
          <w:szCs w:val="24"/>
          <w:lang w:val="sr-Latn-RS"/>
        </w:rPr>
        <w:t>16.</w:t>
      </w:r>
      <w:r w:rsidRPr="00C86111">
        <w:rPr>
          <w:rFonts w:cstheme="minorHAnsi"/>
          <w:szCs w:val="24"/>
          <w:lang w:val="sr-Latn-RS"/>
        </w:rPr>
        <w:tab/>
        <w:t>EPS betonske cigle, EPS beton</w:t>
      </w:r>
    </w:p>
    <w:p w14:paraId="4280BE06" w14:textId="77777777" w:rsidR="00A0529E" w:rsidRPr="00C86111" w:rsidRDefault="00A0529E" w:rsidP="00A0529E">
      <w:pPr>
        <w:jc w:val="both"/>
        <w:rPr>
          <w:rFonts w:cstheme="minorHAnsi"/>
          <w:szCs w:val="24"/>
          <w:lang w:val="sr-Latn-RS"/>
        </w:rPr>
      </w:pPr>
      <w:r w:rsidRPr="00C86111">
        <w:rPr>
          <w:rFonts w:cstheme="minorHAnsi"/>
          <w:szCs w:val="24"/>
          <w:lang w:val="sr-Latn-RS"/>
        </w:rPr>
        <w:t>17.</w:t>
      </w:r>
      <w:r w:rsidRPr="00C86111">
        <w:rPr>
          <w:rFonts w:cstheme="minorHAnsi"/>
          <w:szCs w:val="24"/>
          <w:lang w:val="sr-Latn-RS"/>
        </w:rPr>
        <w:tab/>
        <w:t>EPS pjena za stabilnost tla (upotreba u građevinskoj industriji)</w:t>
      </w:r>
    </w:p>
    <w:p w14:paraId="6006C80A" w14:textId="77777777" w:rsidR="00A0529E" w:rsidRPr="00C86111" w:rsidRDefault="00A0529E" w:rsidP="00A0529E">
      <w:pPr>
        <w:jc w:val="both"/>
        <w:rPr>
          <w:rFonts w:cstheme="minorHAnsi"/>
          <w:szCs w:val="24"/>
          <w:lang w:val="sr-Latn-RS"/>
        </w:rPr>
      </w:pPr>
      <w:r w:rsidRPr="00C86111">
        <w:rPr>
          <w:rFonts w:cstheme="minorHAnsi"/>
          <w:szCs w:val="24"/>
          <w:lang w:val="sr-Latn-RS"/>
        </w:rPr>
        <w:t>18.</w:t>
      </w:r>
      <w:r w:rsidRPr="00C86111">
        <w:rPr>
          <w:rFonts w:cstheme="minorHAnsi"/>
          <w:szCs w:val="24"/>
          <w:lang w:val="sr-Latn-RS"/>
        </w:rPr>
        <w:tab/>
        <w:t>EPS seizmička izolacija</w:t>
      </w:r>
    </w:p>
    <w:p w14:paraId="7F351BFE" w14:textId="77777777" w:rsidR="00A0529E" w:rsidRPr="00C86111" w:rsidRDefault="00A0529E" w:rsidP="00A0529E">
      <w:pPr>
        <w:jc w:val="both"/>
        <w:rPr>
          <w:rFonts w:cstheme="minorHAnsi"/>
          <w:szCs w:val="24"/>
          <w:lang w:val="sr-Latn-RS"/>
        </w:rPr>
      </w:pPr>
      <w:r w:rsidRPr="00C86111">
        <w:rPr>
          <w:rFonts w:cstheme="minorHAnsi"/>
          <w:szCs w:val="24"/>
          <w:lang w:val="sr-Latn-RS"/>
        </w:rPr>
        <w:t>19.</w:t>
      </w:r>
      <w:r w:rsidRPr="00C86111">
        <w:rPr>
          <w:rFonts w:cstheme="minorHAnsi"/>
          <w:szCs w:val="24"/>
          <w:lang w:val="sr-Latn-RS"/>
        </w:rPr>
        <w:tab/>
        <w:t>EPS ambalažni materijali napravljeni od PS pjene</w:t>
      </w:r>
    </w:p>
    <w:p w14:paraId="337FE2D9" w14:textId="77777777" w:rsidR="00A0529E" w:rsidRPr="00C86111" w:rsidRDefault="00A0529E" w:rsidP="00A0529E">
      <w:pPr>
        <w:jc w:val="both"/>
        <w:rPr>
          <w:rFonts w:cstheme="minorHAnsi"/>
          <w:szCs w:val="24"/>
          <w:lang w:val="sr-Latn-RS"/>
        </w:rPr>
      </w:pPr>
      <w:r w:rsidRPr="00C86111">
        <w:rPr>
          <w:rFonts w:cstheme="minorHAnsi"/>
          <w:szCs w:val="24"/>
          <w:lang w:val="sr-Latn-RS"/>
        </w:rPr>
        <w:t>20.</w:t>
      </w:r>
      <w:r w:rsidRPr="00C86111">
        <w:rPr>
          <w:rFonts w:cstheme="minorHAnsi"/>
          <w:szCs w:val="24"/>
          <w:lang w:val="sr-Latn-RS"/>
        </w:rPr>
        <w:tab/>
        <w:t>Ostali oblikovani EPS proizvodi, poput ornamenata, dekoracija, logotipa, itd.</w:t>
      </w:r>
    </w:p>
    <w:p w14:paraId="4C2E772C" w14:textId="77777777" w:rsidR="00A0529E" w:rsidRPr="00C86111" w:rsidRDefault="00A0529E" w:rsidP="00A0529E">
      <w:pPr>
        <w:jc w:val="both"/>
        <w:rPr>
          <w:rFonts w:cstheme="minorHAnsi"/>
          <w:szCs w:val="24"/>
          <w:lang w:val="sr-Latn-RS"/>
        </w:rPr>
      </w:pPr>
      <w:r w:rsidRPr="00C86111">
        <w:rPr>
          <w:rFonts w:cstheme="minorHAnsi"/>
          <w:szCs w:val="24"/>
          <w:lang w:val="sr-Latn-RS"/>
        </w:rPr>
        <w:t>21.</w:t>
      </w:r>
      <w:r w:rsidRPr="00C86111">
        <w:rPr>
          <w:rFonts w:cstheme="minorHAnsi"/>
          <w:szCs w:val="24"/>
          <w:lang w:val="sr-Latn-RS"/>
        </w:rPr>
        <w:tab/>
        <w:t>Ostali EPS proizvodi</w:t>
      </w:r>
    </w:p>
    <w:p w14:paraId="2D9EB2BF" w14:textId="77777777" w:rsidR="00A0529E" w:rsidRPr="00C86111" w:rsidRDefault="00A0529E" w:rsidP="00A0529E">
      <w:pPr>
        <w:jc w:val="both"/>
        <w:rPr>
          <w:rFonts w:cstheme="minorHAnsi"/>
          <w:szCs w:val="24"/>
          <w:lang w:val="sr-Latn-RS"/>
        </w:rPr>
      </w:pPr>
    </w:p>
    <w:p w14:paraId="6529B2E7" w14:textId="3D08653D" w:rsidR="00A0529E" w:rsidRDefault="00A0529E" w:rsidP="00A0529E">
      <w:pPr>
        <w:jc w:val="both"/>
        <w:rPr>
          <w:rFonts w:cstheme="minorHAnsi"/>
          <w:szCs w:val="24"/>
          <w:lang w:val="sr-Latn-ME"/>
        </w:rPr>
      </w:pPr>
      <w:r w:rsidRPr="00C86111">
        <w:rPr>
          <w:rFonts w:cstheme="minorHAnsi"/>
          <w:b/>
          <w:bCs/>
          <w:szCs w:val="24"/>
          <w:lang w:val="sr-Latn-ME"/>
        </w:rPr>
        <w:t xml:space="preserve">Tabela </w:t>
      </w:r>
      <w:r w:rsidR="002307C2" w:rsidRPr="00C86111">
        <w:rPr>
          <w:rFonts w:cstheme="minorHAnsi"/>
          <w:b/>
          <w:bCs/>
          <w:szCs w:val="24"/>
          <w:lang w:val="sr-Latn-ME"/>
        </w:rPr>
        <w:t>62</w:t>
      </w:r>
      <w:r w:rsidRPr="00C86111">
        <w:rPr>
          <w:rFonts w:cstheme="minorHAnsi"/>
          <w:b/>
          <w:bCs/>
          <w:szCs w:val="24"/>
          <w:lang w:val="sr-Latn-ME"/>
        </w:rPr>
        <w:t>.</w:t>
      </w:r>
      <w:r w:rsidRPr="00C86111">
        <w:rPr>
          <w:rFonts w:cstheme="minorHAnsi"/>
          <w:szCs w:val="24"/>
          <w:lang w:val="sr-Latn-ME"/>
        </w:rPr>
        <w:t xml:space="preserve"> Količine uvezenih proizvoda na bazi polistirena (t) u periodu 2017-2023. godina</w:t>
      </w:r>
    </w:p>
    <w:tbl>
      <w:tblPr>
        <w:tblStyle w:val="GridTable5Dark-Accent6"/>
        <w:tblW w:w="5000" w:type="pct"/>
        <w:tblLook w:val="04A0" w:firstRow="1" w:lastRow="0" w:firstColumn="1" w:lastColumn="0" w:noHBand="0" w:noVBand="1"/>
      </w:tblPr>
      <w:tblGrid>
        <w:gridCol w:w="2605"/>
        <w:gridCol w:w="6745"/>
      </w:tblGrid>
      <w:tr w:rsidR="00A0529E" w:rsidRPr="00C86111" w14:paraId="75C3A50D"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Pr>
          <w:p w14:paraId="0DEAC21D"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Godina uvoza</w:t>
            </w:r>
          </w:p>
        </w:tc>
        <w:tc>
          <w:tcPr>
            <w:tcW w:w="3607" w:type="pct"/>
          </w:tcPr>
          <w:p w14:paraId="02258DF5"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color w:val="000000"/>
                <w:szCs w:val="24"/>
                <w:lang w:val="sr-Latn-RS"/>
              </w:rPr>
              <w:t>Ukupna količina uvezenih proizvoda na bazi polistirena (t)</w:t>
            </w:r>
          </w:p>
        </w:tc>
      </w:tr>
      <w:tr w:rsidR="00A0529E" w:rsidRPr="00C86111" w14:paraId="45CD91A2"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Pr>
          <w:p w14:paraId="6D9FD4A4"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2017.</w:t>
            </w:r>
          </w:p>
        </w:tc>
        <w:tc>
          <w:tcPr>
            <w:tcW w:w="3607" w:type="pct"/>
          </w:tcPr>
          <w:p w14:paraId="27AD7E28"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3.581</w:t>
            </w:r>
          </w:p>
        </w:tc>
      </w:tr>
      <w:tr w:rsidR="00A0529E" w:rsidRPr="00C86111" w14:paraId="228B4910" w14:textId="77777777" w:rsidTr="00BC765B">
        <w:tc>
          <w:tcPr>
            <w:cnfStyle w:val="001000000000" w:firstRow="0" w:lastRow="0" w:firstColumn="1" w:lastColumn="0" w:oddVBand="0" w:evenVBand="0" w:oddHBand="0" w:evenHBand="0" w:firstRowFirstColumn="0" w:firstRowLastColumn="0" w:lastRowFirstColumn="0" w:lastRowLastColumn="0"/>
            <w:tcW w:w="1393" w:type="pct"/>
          </w:tcPr>
          <w:p w14:paraId="7A58CA2A"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2018.</w:t>
            </w:r>
          </w:p>
        </w:tc>
        <w:tc>
          <w:tcPr>
            <w:tcW w:w="3607" w:type="pct"/>
          </w:tcPr>
          <w:p w14:paraId="3B50B70D"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szCs w:val="24"/>
              </w:rPr>
              <w:t>3.850</w:t>
            </w:r>
          </w:p>
        </w:tc>
      </w:tr>
      <w:tr w:rsidR="00A0529E" w:rsidRPr="00C86111" w14:paraId="50746578"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Pr>
          <w:p w14:paraId="547EAE66"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2019.</w:t>
            </w:r>
          </w:p>
        </w:tc>
        <w:tc>
          <w:tcPr>
            <w:tcW w:w="3607" w:type="pct"/>
          </w:tcPr>
          <w:p w14:paraId="1AF552C1"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3.665</w:t>
            </w:r>
          </w:p>
        </w:tc>
      </w:tr>
      <w:tr w:rsidR="00A0529E" w:rsidRPr="00C86111" w14:paraId="41010866" w14:textId="77777777" w:rsidTr="00BC765B">
        <w:tc>
          <w:tcPr>
            <w:cnfStyle w:val="001000000000" w:firstRow="0" w:lastRow="0" w:firstColumn="1" w:lastColumn="0" w:oddVBand="0" w:evenVBand="0" w:oddHBand="0" w:evenHBand="0" w:firstRowFirstColumn="0" w:firstRowLastColumn="0" w:lastRowFirstColumn="0" w:lastRowLastColumn="0"/>
            <w:tcW w:w="1393" w:type="pct"/>
          </w:tcPr>
          <w:p w14:paraId="1C657EA5"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2020.</w:t>
            </w:r>
          </w:p>
        </w:tc>
        <w:tc>
          <w:tcPr>
            <w:tcW w:w="3607" w:type="pct"/>
          </w:tcPr>
          <w:p w14:paraId="7CB82F71"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szCs w:val="24"/>
              </w:rPr>
              <w:t>3.403</w:t>
            </w:r>
          </w:p>
        </w:tc>
      </w:tr>
      <w:tr w:rsidR="00A0529E" w:rsidRPr="00C86111" w14:paraId="4940296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Pr>
          <w:p w14:paraId="5FABFEC1"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2021.</w:t>
            </w:r>
          </w:p>
        </w:tc>
        <w:tc>
          <w:tcPr>
            <w:tcW w:w="3607" w:type="pct"/>
          </w:tcPr>
          <w:p w14:paraId="645919D0"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3.025</w:t>
            </w:r>
          </w:p>
        </w:tc>
      </w:tr>
      <w:tr w:rsidR="00A0529E" w:rsidRPr="00C86111" w14:paraId="0391E02B" w14:textId="77777777" w:rsidTr="00BC765B">
        <w:tc>
          <w:tcPr>
            <w:cnfStyle w:val="001000000000" w:firstRow="0" w:lastRow="0" w:firstColumn="1" w:lastColumn="0" w:oddVBand="0" w:evenVBand="0" w:oddHBand="0" w:evenHBand="0" w:firstRowFirstColumn="0" w:firstRowLastColumn="0" w:lastRowFirstColumn="0" w:lastRowLastColumn="0"/>
            <w:tcW w:w="1393" w:type="pct"/>
          </w:tcPr>
          <w:p w14:paraId="3D80993A"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2022.</w:t>
            </w:r>
          </w:p>
        </w:tc>
        <w:tc>
          <w:tcPr>
            <w:tcW w:w="3607" w:type="pct"/>
          </w:tcPr>
          <w:p w14:paraId="09830CE2"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Cs w:val="24"/>
                <w:lang w:val="sr-Latn-RS"/>
              </w:rPr>
            </w:pPr>
            <w:r w:rsidRPr="00C86111">
              <w:rPr>
                <w:rFonts w:cstheme="minorHAnsi"/>
                <w:szCs w:val="24"/>
              </w:rPr>
              <w:t>3.123</w:t>
            </w:r>
          </w:p>
        </w:tc>
      </w:tr>
      <w:tr w:rsidR="00A0529E" w:rsidRPr="00C86111" w14:paraId="5C426B32"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pct"/>
          </w:tcPr>
          <w:p w14:paraId="0E518F97"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2023.</w:t>
            </w:r>
          </w:p>
        </w:tc>
        <w:tc>
          <w:tcPr>
            <w:tcW w:w="3607" w:type="pct"/>
          </w:tcPr>
          <w:p w14:paraId="69FE4FA5"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Cs w:val="24"/>
                <w:lang w:val="sr-Latn-RS"/>
              </w:rPr>
            </w:pPr>
            <w:r w:rsidRPr="00C86111">
              <w:rPr>
                <w:rFonts w:cstheme="minorHAnsi"/>
                <w:szCs w:val="24"/>
              </w:rPr>
              <w:t>3.534</w:t>
            </w:r>
          </w:p>
        </w:tc>
      </w:tr>
      <w:tr w:rsidR="00A0529E" w:rsidRPr="00C86111" w14:paraId="647D2020" w14:textId="77777777" w:rsidTr="00BC765B">
        <w:tc>
          <w:tcPr>
            <w:cnfStyle w:val="001000000000" w:firstRow="0" w:lastRow="0" w:firstColumn="1" w:lastColumn="0" w:oddVBand="0" w:evenVBand="0" w:oddHBand="0" w:evenHBand="0" w:firstRowFirstColumn="0" w:firstRowLastColumn="0" w:lastRowFirstColumn="0" w:lastRowLastColumn="0"/>
            <w:tcW w:w="1393" w:type="pct"/>
          </w:tcPr>
          <w:p w14:paraId="7B173979" w14:textId="77777777" w:rsidR="00A0529E" w:rsidRPr="00C86111" w:rsidRDefault="00A0529E" w:rsidP="00BC765B">
            <w:pPr>
              <w:jc w:val="both"/>
              <w:rPr>
                <w:rFonts w:cstheme="minorHAnsi"/>
                <w:color w:val="000000"/>
                <w:szCs w:val="24"/>
                <w:lang w:val="sr-Latn-RS"/>
              </w:rPr>
            </w:pPr>
            <w:r w:rsidRPr="00C86111">
              <w:rPr>
                <w:rFonts w:cstheme="minorHAnsi"/>
                <w:color w:val="000000"/>
                <w:szCs w:val="24"/>
                <w:lang w:val="sr-Latn-RS"/>
              </w:rPr>
              <w:t>UKUPNO</w:t>
            </w:r>
          </w:p>
        </w:tc>
        <w:tc>
          <w:tcPr>
            <w:tcW w:w="3607" w:type="pct"/>
          </w:tcPr>
          <w:p w14:paraId="4504CEC4"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szCs w:val="24"/>
                <w:lang w:val="sr-Latn-RS"/>
              </w:rPr>
            </w:pPr>
            <w:r w:rsidRPr="00C86111">
              <w:rPr>
                <w:rFonts w:cstheme="minorHAnsi"/>
                <w:b/>
                <w:bCs/>
                <w:szCs w:val="24"/>
              </w:rPr>
              <w:t>24.181</w:t>
            </w:r>
          </w:p>
        </w:tc>
      </w:tr>
    </w:tbl>
    <w:p w14:paraId="2F464D2F" w14:textId="77777777" w:rsidR="00A0529E" w:rsidRPr="00C86111" w:rsidRDefault="00A0529E" w:rsidP="00A0529E">
      <w:pPr>
        <w:jc w:val="both"/>
        <w:rPr>
          <w:rFonts w:cstheme="minorHAnsi"/>
          <w:szCs w:val="24"/>
          <w:lang w:val="sr-Latn-RS"/>
        </w:rPr>
      </w:pPr>
      <w:r w:rsidRPr="00C86111">
        <w:rPr>
          <w:rFonts w:cstheme="minorHAnsi"/>
          <w:noProof/>
          <w:szCs w:val="24"/>
        </w:rPr>
        <w:lastRenderedPageBreak/>
        <w:drawing>
          <wp:inline distT="0" distB="0" distL="0" distR="0" wp14:anchorId="13C350DA" wp14:editId="2D88C7D2">
            <wp:extent cx="5905500" cy="2533650"/>
            <wp:effectExtent l="0" t="0" r="0" b="0"/>
            <wp:docPr id="398654603" name="Chart 1">
              <a:extLst xmlns:a="http://schemas.openxmlformats.org/drawingml/2006/main">
                <a:ext uri="{FF2B5EF4-FFF2-40B4-BE49-F238E27FC236}">
                  <a16:creationId xmlns:a16="http://schemas.microsoft.com/office/drawing/2014/main" id="{38076E81-B76A-4E2B-A0DF-CDA1F43A3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0BCA95" w14:textId="638AE3F6" w:rsidR="00A0529E" w:rsidRPr="00C86111" w:rsidRDefault="002307C2" w:rsidP="00A0529E">
      <w:pPr>
        <w:jc w:val="both"/>
        <w:rPr>
          <w:rFonts w:cstheme="minorHAnsi"/>
          <w:szCs w:val="24"/>
          <w:lang w:val="sr-Latn-ME"/>
        </w:rPr>
      </w:pPr>
      <w:r w:rsidRPr="00C86111">
        <w:rPr>
          <w:rFonts w:cstheme="minorHAnsi"/>
          <w:b/>
          <w:bCs/>
          <w:szCs w:val="24"/>
          <w:lang w:val="sr-Latn-ME"/>
        </w:rPr>
        <w:t>Grafik</w:t>
      </w:r>
      <w:r w:rsidR="00A0529E" w:rsidRPr="00C86111">
        <w:rPr>
          <w:rFonts w:cstheme="minorHAnsi"/>
          <w:b/>
          <w:bCs/>
          <w:szCs w:val="24"/>
          <w:lang w:val="sr-Latn-ME"/>
        </w:rPr>
        <w:t xml:space="preserve"> 2</w:t>
      </w:r>
      <w:r w:rsidRPr="00C86111">
        <w:rPr>
          <w:rFonts w:cstheme="minorHAnsi"/>
          <w:b/>
          <w:bCs/>
          <w:szCs w:val="24"/>
          <w:lang w:val="sr-Latn-ME"/>
        </w:rPr>
        <w:t>0</w:t>
      </w:r>
      <w:r w:rsidR="00A0529E" w:rsidRPr="00C86111">
        <w:rPr>
          <w:rFonts w:cstheme="minorHAnsi"/>
          <w:b/>
          <w:bCs/>
          <w:szCs w:val="24"/>
          <w:lang w:val="sr-Latn-ME"/>
        </w:rPr>
        <w:t>.</w:t>
      </w:r>
      <w:r w:rsidR="00A0529E" w:rsidRPr="00C86111">
        <w:rPr>
          <w:rFonts w:cstheme="minorHAnsi"/>
          <w:szCs w:val="24"/>
          <w:lang w:val="sr-Latn-ME"/>
        </w:rPr>
        <w:t xml:space="preserve"> Količine uvezenih proizvoda na bazi polistirena (t) u periodu 2017-2023. godina</w:t>
      </w:r>
    </w:p>
    <w:p w14:paraId="5A678D0B" w14:textId="77777777" w:rsidR="00A0529E" w:rsidRPr="00C86111" w:rsidRDefault="00A0529E" w:rsidP="00A0529E">
      <w:pPr>
        <w:jc w:val="both"/>
        <w:rPr>
          <w:rFonts w:cstheme="minorHAnsi"/>
          <w:szCs w:val="24"/>
          <w:lang w:val="sr-Latn-RS"/>
        </w:rPr>
      </w:pPr>
    </w:p>
    <w:p w14:paraId="519AD3CF" w14:textId="62D40978" w:rsidR="00A0529E" w:rsidRPr="00C86111" w:rsidRDefault="00A0529E" w:rsidP="00A0529E">
      <w:pPr>
        <w:jc w:val="both"/>
        <w:rPr>
          <w:rFonts w:cstheme="minorHAnsi"/>
          <w:szCs w:val="24"/>
          <w:lang w:val="sr-Latn-RS"/>
        </w:rPr>
      </w:pPr>
      <w:r w:rsidRPr="00C86111">
        <w:rPr>
          <w:rFonts w:cstheme="minorHAnsi"/>
          <w:szCs w:val="24"/>
          <w:lang w:val="sr-Latn-RS"/>
        </w:rPr>
        <w:t xml:space="preserve">Na </w:t>
      </w:r>
      <w:r w:rsidR="002307C2" w:rsidRPr="00C86111">
        <w:rPr>
          <w:rFonts w:cstheme="minorHAnsi"/>
          <w:szCs w:val="24"/>
          <w:lang w:val="sr-Latn-RS"/>
        </w:rPr>
        <w:t>grafiku</w:t>
      </w:r>
      <w:r w:rsidRPr="00C86111">
        <w:rPr>
          <w:rFonts w:cstheme="minorHAnsi"/>
          <w:szCs w:val="24"/>
          <w:lang w:val="sr-Latn-RS"/>
        </w:rPr>
        <w:t xml:space="preserve"> </w:t>
      </w:r>
      <w:r w:rsidR="002307C2" w:rsidRPr="00C86111">
        <w:rPr>
          <w:rFonts w:cstheme="minorHAnsi"/>
          <w:szCs w:val="24"/>
          <w:lang w:val="sr-Latn-RS"/>
        </w:rPr>
        <w:t>2</w:t>
      </w:r>
      <w:r w:rsidR="00547278">
        <w:rPr>
          <w:rFonts w:cstheme="minorHAnsi"/>
          <w:szCs w:val="24"/>
          <w:lang w:val="sr-Latn-RS"/>
        </w:rPr>
        <w:t>3</w:t>
      </w:r>
      <w:r w:rsidRPr="00C86111">
        <w:rPr>
          <w:rFonts w:cstheme="minorHAnsi"/>
          <w:szCs w:val="24"/>
          <w:lang w:val="sr-Latn-RS"/>
        </w:rPr>
        <w:t xml:space="preserve"> dat je uporedni prikaz proizvedenih i uvezenih proizvoda na bazi polistirena u periodu 2007-2023. godina.</w:t>
      </w:r>
    </w:p>
    <w:p w14:paraId="3BBC8CDB" w14:textId="77777777" w:rsidR="00A0529E" w:rsidRPr="00C86111" w:rsidRDefault="00A0529E" w:rsidP="00A0529E">
      <w:pPr>
        <w:jc w:val="both"/>
        <w:rPr>
          <w:rFonts w:cstheme="minorHAnsi"/>
          <w:szCs w:val="24"/>
          <w:lang w:val="sr-Latn-RS"/>
        </w:rPr>
      </w:pPr>
    </w:p>
    <w:p w14:paraId="4B749389" w14:textId="77777777" w:rsidR="00A0529E" w:rsidRPr="00C86111" w:rsidRDefault="00A0529E" w:rsidP="00A0529E">
      <w:pPr>
        <w:jc w:val="both"/>
        <w:rPr>
          <w:rFonts w:cstheme="minorHAnsi"/>
          <w:szCs w:val="24"/>
          <w:lang w:val="sr-Latn-RS"/>
        </w:rPr>
      </w:pPr>
      <w:r w:rsidRPr="00C86111">
        <w:rPr>
          <w:rFonts w:cstheme="minorHAnsi"/>
          <w:noProof/>
          <w:szCs w:val="24"/>
        </w:rPr>
        <w:drawing>
          <wp:inline distT="0" distB="0" distL="0" distR="0" wp14:anchorId="1E895C71" wp14:editId="16AC18F2">
            <wp:extent cx="5529580" cy="2697480"/>
            <wp:effectExtent l="0" t="0" r="13970" b="7620"/>
            <wp:docPr id="1560370383" name="Chart 1">
              <a:extLst xmlns:a="http://schemas.openxmlformats.org/drawingml/2006/main">
                <a:ext uri="{FF2B5EF4-FFF2-40B4-BE49-F238E27FC236}">
                  <a16:creationId xmlns:a16="http://schemas.microsoft.com/office/drawing/2014/main" id="{06DCAEBD-3A9F-D597-5353-9FBAB0916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4CD0C6" w14:textId="2EFE9A0D" w:rsidR="00A0529E" w:rsidRPr="00C86111" w:rsidRDefault="002307C2" w:rsidP="00A0529E">
      <w:pPr>
        <w:jc w:val="both"/>
        <w:rPr>
          <w:rFonts w:cstheme="minorHAnsi"/>
          <w:szCs w:val="24"/>
          <w:lang w:val="sr-Latn-RS"/>
        </w:rPr>
      </w:pPr>
      <w:r w:rsidRPr="00C86111">
        <w:rPr>
          <w:rFonts w:cstheme="minorHAnsi"/>
          <w:b/>
          <w:bCs/>
          <w:szCs w:val="24"/>
          <w:lang w:val="sr-Latn-RS"/>
        </w:rPr>
        <w:t>Grafik 2</w:t>
      </w:r>
      <w:r w:rsidR="00547278">
        <w:rPr>
          <w:rFonts w:cstheme="minorHAnsi"/>
          <w:b/>
          <w:bCs/>
          <w:szCs w:val="24"/>
          <w:lang w:val="sr-Latn-RS"/>
        </w:rPr>
        <w:t>3</w:t>
      </w:r>
      <w:r w:rsidRPr="00C86111">
        <w:rPr>
          <w:rFonts w:cstheme="minorHAnsi"/>
          <w:b/>
          <w:bCs/>
          <w:szCs w:val="24"/>
          <w:lang w:val="sr-Latn-RS"/>
        </w:rPr>
        <w:t>.</w:t>
      </w:r>
      <w:r w:rsidR="00A0529E" w:rsidRPr="00C86111">
        <w:rPr>
          <w:rFonts w:cstheme="minorHAnsi"/>
          <w:szCs w:val="24"/>
          <w:lang w:val="sr-Latn-RS"/>
        </w:rPr>
        <w:t xml:space="preserve"> Uporedni prikaz proizvedenih i uvezenih proizvoda na bazi polistirena (t) u periodu                            2007-2023. godina</w:t>
      </w:r>
    </w:p>
    <w:p w14:paraId="5CBC98BA" w14:textId="77777777" w:rsidR="002307C2" w:rsidRPr="00C86111" w:rsidRDefault="002307C2" w:rsidP="00A0529E">
      <w:pPr>
        <w:jc w:val="both"/>
        <w:rPr>
          <w:rFonts w:cstheme="minorHAnsi"/>
          <w:szCs w:val="24"/>
          <w:lang w:val="sr-Latn-RS"/>
        </w:rPr>
      </w:pPr>
    </w:p>
    <w:p w14:paraId="67F22C3F" w14:textId="77777777" w:rsidR="00A0529E" w:rsidRPr="00C86111" w:rsidRDefault="00A0529E" w:rsidP="00A0529E">
      <w:pPr>
        <w:jc w:val="both"/>
        <w:rPr>
          <w:rFonts w:cstheme="minorHAnsi"/>
          <w:szCs w:val="24"/>
          <w:lang w:val="sr-Latn-RS"/>
        </w:rPr>
      </w:pPr>
      <w:r w:rsidRPr="00C86111">
        <w:rPr>
          <w:rFonts w:cstheme="minorHAnsi"/>
          <w:szCs w:val="24"/>
          <w:lang w:val="sr-Latn-RS"/>
        </w:rPr>
        <w:t>Na osnovu podataka dobijenih od deset vodećih građevinskih kompanija u Crnoj Gori zaključeno je da se u Crnoj Gori u ovom sektoru isključivo koriste proizvodi na bazi polistirena, dok se upotreba alternativa još uvijek ne razmatra.</w:t>
      </w:r>
    </w:p>
    <w:p w14:paraId="50985171" w14:textId="1B1B2E13" w:rsidR="00A0529E" w:rsidRPr="00C86111" w:rsidRDefault="00A0529E" w:rsidP="00EA6904">
      <w:pPr>
        <w:pStyle w:val="Heading3"/>
      </w:pPr>
      <w:bookmarkStart w:id="177" w:name="_Toc210651377"/>
      <w:bookmarkStart w:id="178" w:name="_Toc220541925"/>
      <w:r w:rsidRPr="00C86111">
        <w:t>Procjena količine HBCD u uvezenom EPS granulatu i proizvodima od polistirena</w:t>
      </w:r>
      <w:bookmarkEnd w:id="177"/>
      <w:bookmarkEnd w:id="178"/>
    </w:p>
    <w:p w14:paraId="4332ACD7" w14:textId="77777777" w:rsidR="002307C2" w:rsidRPr="00C86111" w:rsidRDefault="002307C2" w:rsidP="002307C2">
      <w:pPr>
        <w:rPr>
          <w:lang w:val="sr-Latn-RS"/>
        </w:rPr>
      </w:pPr>
    </w:p>
    <w:p w14:paraId="7E792CBF" w14:textId="77777777" w:rsidR="00A0529E" w:rsidRPr="00C86111" w:rsidRDefault="00A0529E" w:rsidP="00A0529E">
      <w:pPr>
        <w:jc w:val="both"/>
        <w:rPr>
          <w:rFonts w:cstheme="minorHAnsi"/>
          <w:szCs w:val="24"/>
          <w:lang w:val="sr-Latn-RS"/>
        </w:rPr>
      </w:pPr>
      <w:r w:rsidRPr="00C86111">
        <w:rPr>
          <w:rFonts w:cstheme="minorHAnsi"/>
          <w:szCs w:val="24"/>
          <w:lang w:val="sr-Latn-RS"/>
        </w:rPr>
        <w:t xml:space="preserve">S obzirom da je utvrđeno da 12,5% uvezenog granulata polistirena za ekspandiranje sadrži HBCD, na ukupnu količinu uvezenog materijala (Tabela 2.) proizvedenog od polistirena primjenjena je </w:t>
      </w:r>
      <w:r w:rsidRPr="00C86111">
        <w:rPr>
          <w:rFonts w:cstheme="minorHAnsi"/>
          <w:szCs w:val="24"/>
          <w:lang w:val="sr-Latn-RS"/>
        </w:rPr>
        <w:lastRenderedPageBreak/>
        <w:t>aproksimacija količine HBCD od 12,5%. Ista aproksimacija primjenjena je i za uvezene gotove proizvode (Tabela 3.) nakon uvida u dokumentaciju o njihovom sastavu.</w:t>
      </w:r>
    </w:p>
    <w:p w14:paraId="09B68D48" w14:textId="77777777" w:rsidR="00A0529E" w:rsidRPr="00C86111" w:rsidRDefault="00A0529E" w:rsidP="00A0529E">
      <w:pPr>
        <w:jc w:val="both"/>
        <w:rPr>
          <w:rFonts w:cstheme="minorHAnsi"/>
          <w:szCs w:val="24"/>
          <w:lang w:val="sr-Latn-RS"/>
        </w:rPr>
      </w:pPr>
      <w:r w:rsidRPr="00C86111">
        <w:rPr>
          <w:rFonts w:cstheme="minorHAnsi"/>
          <w:szCs w:val="24"/>
          <w:lang w:val="sr-Latn-RS"/>
        </w:rPr>
        <w:t xml:space="preserve">Na tu količinu dodat je i manji udio HBCD koji može biti prisutan u tekstilu, sintetičkim vlaknima i sl. množenjem ukupne količine polistirena iz uvoza koeficijentom 1,3. </w:t>
      </w:r>
    </w:p>
    <w:p w14:paraId="3B56BA3B" w14:textId="65D7C5EC" w:rsidR="00A0529E" w:rsidRDefault="00A0529E" w:rsidP="00A0529E">
      <w:pPr>
        <w:jc w:val="both"/>
        <w:rPr>
          <w:rFonts w:cstheme="minorHAnsi"/>
          <w:szCs w:val="24"/>
          <w:lang w:val="sr-Latn-RS"/>
        </w:rPr>
      </w:pPr>
      <w:r w:rsidRPr="00C86111">
        <w:rPr>
          <w:rFonts w:cstheme="minorHAnsi"/>
          <w:szCs w:val="24"/>
          <w:lang w:val="sr-Latn-RS"/>
        </w:rPr>
        <w:t xml:space="preserve">U Tabeli </w:t>
      </w:r>
      <w:r w:rsidR="002307C2" w:rsidRPr="00C86111">
        <w:rPr>
          <w:rFonts w:cstheme="minorHAnsi"/>
          <w:szCs w:val="24"/>
          <w:lang w:val="sr-Latn-RS"/>
        </w:rPr>
        <w:t>63</w:t>
      </w:r>
      <w:r w:rsidRPr="00C86111">
        <w:rPr>
          <w:rFonts w:cstheme="minorHAnsi"/>
          <w:szCs w:val="24"/>
          <w:lang w:val="sr-Latn-RS"/>
        </w:rPr>
        <w:t xml:space="preserve">. i </w:t>
      </w:r>
      <w:r w:rsidR="002307C2" w:rsidRPr="00C86111">
        <w:rPr>
          <w:rFonts w:cstheme="minorHAnsi"/>
          <w:szCs w:val="24"/>
          <w:lang w:val="sr-Latn-RS"/>
        </w:rPr>
        <w:t>grafiku 2</w:t>
      </w:r>
      <w:r w:rsidR="00547278">
        <w:rPr>
          <w:rFonts w:cstheme="minorHAnsi"/>
          <w:szCs w:val="24"/>
          <w:lang w:val="sr-Latn-RS"/>
        </w:rPr>
        <w:t>4</w:t>
      </w:r>
      <w:r w:rsidRPr="00C86111">
        <w:rPr>
          <w:rFonts w:cstheme="minorHAnsi"/>
          <w:szCs w:val="24"/>
          <w:lang w:val="sr-Latn-RS"/>
        </w:rPr>
        <w:t xml:space="preserve"> prikazana je procjenjena količina HBCD u Crnoj Gori, izračunata iz gore navedene jednačine, za period 2017-2023. godina po godinama.</w:t>
      </w:r>
    </w:p>
    <w:p w14:paraId="0274BAC6" w14:textId="77777777" w:rsidR="00E2027B" w:rsidRPr="00C86111" w:rsidRDefault="00E2027B" w:rsidP="00A0529E">
      <w:pPr>
        <w:jc w:val="both"/>
        <w:rPr>
          <w:rFonts w:cstheme="minorHAnsi"/>
          <w:szCs w:val="24"/>
          <w:lang w:val="sr-Latn-RS"/>
        </w:rPr>
      </w:pPr>
    </w:p>
    <w:p w14:paraId="09333052" w14:textId="3BCB0A6A" w:rsidR="00A0529E" w:rsidRDefault="00A0529E" w:rsidP="00A0529E">
      <w:pPr>
        <w:jc w:val="both"/>
        <w:rPr>
          <w:rFonts w:cstheme="minorHAnsi"/>
          <w:iCs/>
          <w:color w:val="000000"/>
          <w:szCs w:val="24"/>
          <w:lang w:val="sr-Latn-RS"/>
        </w:rPr>
      </w:pPr>
      <w:r w:rsidRPr="00C86111">
        <w:rPr>
          <w:rFonts w:cstheme="minorHAnsi"/>
          <w:b/>
          <w:bCs/>
          <w:iCs/>
          <w:color w:val="000000"/>
          <w:szCs w:val="24"/>
          <w:lang w:val="sr-Latn-RS"/>
        </w:rPr>
        <w:t xml:space="preserve">Tabela </w:t>
      </w:r>
      <w:r w:rsidR="002307C2" w:rsidRPr="00C86111">
        <w:rPr>
          <w:rFonts w:cstheme="minorHAnsi"/>
          <w:b/>
          <w:bCs/>
          <w:iCs/>
          <w:color w:val="000000"/>
          <w:szCs w:val="24"/>
          <w:lang w:val="sr-Latn-RS"/>
        </w:rPr>
        <w:t>63</w:t>
      </w:r>
      <w:r w:rsidRPr="00C86111">
        <w:rPr>
          <w:rFonts w:cstheme="minorHAnsi"/>
          <w:b/>
          <w:bCs/>
          <w:iCs/>
          <w:color w:val="000000"/>
          <w:szCs w:val="24"/>
          <w:lang w:val="sr-Latn-RS"/>
        </w:rPr>
        <w:t>.</w:t>
      </w:r>
      <w:r w:rsidRPr="00C86111">
        <w:rPr>
          <w:rFonts w:cstheme="minorHAnsi"/>
          <w:iCs/>
          <w:color w:val="000000"/>
          <w:szCs w:val="24"/>
          <w:lang w:val="sr-Latn-RS"/>
        </w:rPr>
        <w:t xml:space="preserve"> Procjenjena količina HBCD u Crnoj Gori po godinama (2017-2023.)</w:t>
      </w:r>
    </w:p>
    <w:tbl>
      <w:tblPr>
        <w:tblStyle w:val="GridTable5Dark-Accent6"/>
        <w:tblW w:w="0" w:type="auto"/>
        <w:tblLook w:val="04A0" w:firstRow="1" w:lastRow="0" w:firstColumn="1" w:lastColumn="0" w:noHBand="0" w:noVBand="1"/>
      </w:tblPr>
      <w:tblGrid>
        <w:gridCol w:w="3015"/>
        <w:gridCol w:w="6335"/>
      </w:tblGrid>
      <w:tr w:rsidR="00A0529E" w:rsidRPr="00C86111" w14:paraId="0902F8AC"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0BD166D3"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Godina uvoza</w:t>
            </w:r>
          </w:p>
        </w:tc>
        <w:tc>
          <w:tcPr>
            <w:tcW w:w="6335" w:type="dxa"/>
          </w:tcPr>
          <w:p w14:paraId="7B62667E"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Procijenjena količina HBCD u Crnoj Gori (t)</w:t>
            </w:r>
          </w:p>
        </w:tc>
      </w:tr>
      <w:tr w:rsidR="00A0529E" w:rsidRPr="00C86111" w14:paraId="3E9FFCE5"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520A8C91"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2017.</w:t>
            </w:r>
          </w:p>
        </w:tc>
        <w:tc>
          <w:tcPr>
            <w:tcW w:w="6335" w:type="dxa"/>
          </w:tcPr>
          <w:p w14:paraId="79BF6559"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5,83</w:t>
            </w:r>
          </w:p>
        </w:tc>
      </w:tr>
      <w:tr w:rsidR="00A0529E" w:rsidRPr="00C86111" w14:paraId="510D565F" w14:textId="77777777" w:rsidTr="00BC765B">
        <w:tc>
          <w:tcPr>
            <w:cnfStyle w:val="001000000000" w:firstRow="0" w:lastRow="0" w:firstColumn="1" w:lastColumn="0" w:oddVBand="0" w:evenVBand="0" w:oddHBand="0" w:evenHBand="0" w:firstRowFirstColumn="0" w:firstRowLastColumn="0" w:lastRowFirstColumn="0" w:lastRowLastColumn="0"/>
            <w:tcW w:w="3015" w:type="dxa"/>
          </w:tcPr>
          <w:p w14:paraId="1AB5B6E2"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2018.</w:t>
            </w:r>
          </w:p>
        </w:tc>
        <w:tc>
          <w:tcPr>
            <w:tcW w:w="6335" w:type="dxa"/>
          </w:tcPr>
          <w:p w14:paraId="4835BFD6"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6,30</w:t>
            </w:r>
          </w:p>
        </w:tc>
      </w:tr>
      <w:tr w:rsidR="00A0529E" w:rsidRPr="00C86111" w14:paraId="68A3C199"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07B76E5B"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2019.</w:t>
            </w:r>
          </w:p>
        </w:tc>
        <w:tc>
          <w:tcPr>
            <w:tcW w:w="6335" w:type="dxa"/>
          </w:tcPr>
          <w:p w14:paraId="2311457E"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6,00</w:t>
            </w:r>
          </w:p>
        </w:tc>
      </w:tr>
      <w:tr w:rsidR="00A0529E" w:rsidRPr="00C86111" w14:paraId="75CFD502" w14:textId="77777777" w:rsidTr="00BC765B">
        <w:tc>
          <w:tcPr>
            <w:cnfStyle w:val="001000000000" w:firstRow="0" w:lastRow="0" w:firstColumn="1" w:lastColumn="0" w:oddVBand="0" w:evenVBand="0" w:oddHBand="0" w:evenHBand="0" w:firstRowFirstColumn="0" w:firstRowLastColumn="0" w:lastRowFirstColumn="0" w:lastRowLastColumn="0"/>
            <w:tcW w:w="3015" w:type="dxa"/>
          </w:tcPr>
          <w:p w14:paraId="6D46E7B7"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2020.</w:t>
            </w:r>
          </w:p>
        </w:tc>
        <w:tc>
          <w:tcPr>
            <w:tcW w:w="6335" w:type="dxa"/>
          </w:tcPr>
          <w:p w14:paraId="54344F37"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5,65</w:t>
            </w:r>
          </w:p>
        </w:tc>
      </w:tr>
      <w:tr w:rsidR="00A0529E" w:rsidRPr="00C86111" w14:paraId="3D569D05"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412B9A5F"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2021.</w:t>
            </w:r>
          </w:p>
        </w:tc>
        <w:tc>
          <w:tcPr>
            <w:tcW w:w="6335" w:type="dxa"/>
          </w:tcPr>
          <w:p w14:paraId="40CE1709"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5,22</w:t>
            </w:r>
          </w:p>
        </w:tc>
      </w:tr>
      <w:tr w:rsidR="00A0529E" w:rsidRPr="00C86111" w14:paraId="294A3A80" w14:textId="77777777" w:rsidTr="00BC765B">
        <w:tc>
          <w:tcPr>
            <w:cnfStyle w:val="001000000000" w:firstRow="0" w:lastRow="0" w:firstColumn="1" w:lastColumn="0" w:oddVBand="0" w:evenVBand="0" w:oddHBand="0" w:evenHBand="0" w:firstRowFirstColumn="0" w:firstRowLastColumn="0" w:lastRowFirstColumn="0" w:lastRowLastColumn="0"/>
            <w:tcW w:w="3015" w:type="dxa"/>
          </w:tcPr>
          <w:p w14:paraId="3ED2A01C"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2022.</w:t>
            </w:r>
          </w:p>
        </w:tc>
        <w:tc>
          <w:tcPr>
            <w:tcW w:w="6335" w:type="dxa"/>
          </w:tcPr>
          <w:p w14:paraId="31551D1A"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5,16</w:t>
            </w:r>
          </w:p>
        </w:tc>
      </w:tr>
      <w:tr w:rsidR="00A0529E" w:rsidRPr="00C86111" w14:paraId="4E6B07B7"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1FB301FD"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2023.</w:t>
            </w:r>
          </w:p>
        </w:tc>
        <w:tc>
          <w:tcPr>
            <w:tcW w:w="6335" w:type="dxa"/>
          </w:tcPr>
          <w:p w14:paraId="3160174F"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5,80</w:t>
            </w:r>
          </w:p>
        </w:tc>
      </w:tr>
      <w:tr w:rsidR="00A0529E" w:rsidRPr="00C86111" w14:paraId="51D24B1A" w14:textId="77777777" w:rsidTr="00BC765B">
        <w:tc>
          <w:tcPr>
            <w:cnfStyle w:val="001000000000" w:firstRow="0" w:lastRow="0" w:firstColumn="1" w:lastColumn="0" w:oddVBand="0" w:evenVBand="0" w:oddHBand="0" w:evenHBand="0" w:firstRowFirstColumn="0" w:firstRowLastColumn="0" w:lastRowFirstColumn="0" w:lastRowLastColumn="0"/>
            <w:tcW w:w="3015" w:type="dxa"/>
          </w:tcPr>
          <w:p w14:paraId="7B13E566"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UKUPNO</w:t>
            </w:r>
          </w:p>
        </w:tc>
        <w:tc>
          <w:tcPr>
            <w:tcW w:w="6335" w:type="dxa"/>
          </w:tcPr>
          <w:p w14:paraId="455465CD"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C86111">
              <w:rPr>
                <w:rFonts w:cstheme="minorHAnsi"/>
                <w:b/>
                <w:bCs/>
                <w:color w:val="000000"/>
                <w:sz w:val="20"/>
                <w:szCs w:val="20"/>
              </w:rPr>
              <w:t>39,96</w:t>
            </w:r>
          </w:p>
        </w:tc>
      </w:tr>
    </w:tbl>
    <w:p w14:paraId="0B98184A" w14:textId="77777777" w:rsidR="00A0529E" w:rsidRPr="00C86111" w:rsidRDefault="00A0529E" w:rsidP="00A0529E">
      <w:pPr>
        <w:jc w:val="both"/>
        <w:rPr>
          <w:rFonts w:cstheme="minorHAnsi"/>
          <w:szCs w:val="24"/>
          <w:lang w:val="sr-Latn-RS"/>
        </w:rPr>
      </w:pPr>
    </w:p>
    <w:p w14:paraId="64E87B50" w14:textId="77777777" w:rsidR="00A0529E" w:rsidRPr="00C86111" w:rsidRDefault="00A0529E" w:rsidP="00A0529E">
      <w:pPr>
        <w:jc w:val="both"/>
        <w:rPr>
          <w:rFonts w:cstheme="minorHAnsi"/>
          <w:szCs w:val="24"/>
          <w:lang w:val="sr-Latn-RS"/>
        </w:rPr>
      </w:pPr>
      <w:r w:rsidRPr="00C86111">
        <w:rPr>
          <w:rFonts w:cstheme="minorHAnsi"/>
          <w:noProof/>
          <w:szCs w:val="24"/>
        </w:rPr>
        <w:drawing>
          <wp:inline distT="0" distB="0" distL="0" distR="0" wp14:anchorId="6345B0BD" wp14:editId="039A1EAD">
            <wp:extent cx="5920740" cy="3322320"/>
            <wp:effectExtent l="0" t="0" r="3810" b="11430"/>
            <wp:docPr id="1448374453" name="Chart 1">
              <a:extLst xmlns:a="http://schemas.openxmlformats.org/drawingml/2006/main">
                <a:ext uri="{FF2B5EF4-FFF2-40B4-BE49-F238E27FC236}">
                  <a16:creationId xmlns:a16="http://schemas.microsoft.com/office/drawing/2014/main" id="{6F1E102C-5386-54B7-5377-C64C0000C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5CFA140" w14:textId="63B0E9CB" w:rsidR="00A0529E" w:rsidRPr="00C86111" w:rsidRDefault="002307C2" w:rsidP="00A0529E">
      <w:pPr>
        <w:jc w:val="both"/>
        <w:rPr>
          <w:rFonts w:cstheme="minorHAnsi"/>
          <w:szCs w:val="24"/>
          <w:lang w:val="sr-Latn-RS"/>
        </w:rPr>
      </w:pPr>
      <w:r w:rsidRPr="00C86111">
        <w:rPr>
          <w:rFonts w:cstheme="minorHAnsi"/>
          <w:b/>
          <w:bCs/>
          <w:szCs w:val="24"/>
          <w:lang w:val="sr-Latn-RS"/>
        </w:rPr>
        <w:t>Grafik 2</w:t>
      </w:r>
      <w:r w:rsidR="00547278">
        <w:rPr>
          <w:rFonts w:cstheme="minorHAnsi"/>
          <w:b/>
          <w:bCs/>
          <w:szCs w:val="24"/>
          <w:lang w:val="sr-Latn-RS"/>
        </w:rPr>
        <w:t>4</w:t>
      </w:r>
      <w:r w:rsidR="00A0529E" w:rsidRPr="00C86111">
        <w:rPr>
          <w:rFonts w:cstheme="minorHAnsi"/>
          <w:b/>
          <w:bCs/>
          <w:szCs w:val="24"/>
          <w:lang w:val="sr-Latn-RS"/>
        </w:rPr>
        <w:t>.</w:t>
      </w:r>
      <w:r w:rsidR="00A0529E" w:rsidRPr="00C86111">
        <w:rPr>
          <w:rFonts w:cstheme="minorHAnsi"/>
          <w:szCs w:val="24"/>
          <w:lang w:val="sr-Latn-RS"/>
        </w:rPr>
        <w:t xml:space="preserve"> Procjenjena količina HBCD u Crnoj Gori po godinama (2017-2023.)</w:t>
      </w:r>
    </w:p>
    <w:p w14:paraId="4969F163" w14:textId="77777777" w:rsidR="00A0529E" w:rsidRPr="00C86111" w:rsidRDefault="00A0529E" w:rsidP="00A0529E">
      <w:pPr>
        <w:jc w:val="both"/>
        <w:rPr>
          <w:rFonts w:cstheme="minorHAnsi"/>
          <w:szCs w:val="24"/>
          <w:lang w:val="sr-Latn-RS"/>
        </w:rPr>
      </w:pPr>
      <w:bookmarkStart w:id="179" w:name="_Toc210651378"/>
      <w:r w:rsidRPr="00C86111">
        <w:rPr>
          <w:rFonts w:cstheme="minorHAnsi"/>
          <w:szCs w:val="24"/>
          <w:lang w:val="sr-Latn-RS"/>
        </w:rPr>
        <w:t>Poređenje uvoza EPS granulata i proizvoda na bazi polistirena i procijenjene količine HBCD u Crnoj Gori za period 2007-2016. i 2017-2023. godina</w:t>
      </w:r>
      <w:bookmarkEnd w:id="179"/>
    </w:p>
    <w:p w14:paraId="528D92E2" w14:textId="77777777" w:rsidR="002307C2" w:rsidRPr="00C86111" w:rsidRDefault="002307C2" w:rsidP="00A0529E">
      <w:pPr>
        <w:jc w:val="both"/>
        <w:rPr>
          <w:rFonts w:cstheme="minorHAnsi"/>
          <w:szCs w:val="24"/>
          <w:lang w:val="sr-Latn-RS"/>
        </w:rPr>
      </w:pPr>
    </w:p>
    <w:p w14:paraId="005E3457" w14:textId="297B94A0" w:rsidR="00A0529E" w:rsidRPr="00C86111" w:rsidRDefault="00A0529E" w:rsidP="00A0529E">
      <w:pPr>
        <w:jc w:val="both"/>
        <w:rPr>
          <w:rFonts w:cstheme="minorHAnsi"/>
          <w:iCs/>
          <w:color w:val="000000"/>
          <w:szCs w:val="24"/>
          <w:lang w:val="sr-Latn-RS"/>
        </w:rPr>
      </w:pPr>
      <w:r w:rsidRPr="00C86111">
        <w:rPr>
          <w:rFonts w:cstheme="minorHAnsi"/>
          <w:iCs/>
          <w:color w:val="000000"/>
          <w:szCs w:val="24"/>
          <w:lang w:val="sr-Latn-RS"/>
        </w:rPr>
        <w:t xml:space="preserve">U Tabeli </w:t>
      </w:r>
      <w:r w:rsidR="002307C2" w:rsidRPr="00C86111">
        <w:rPr>
          <w:rFonts w:cstheme="minorHAnsi"/>
          <w:iCs/>
          <w:color w:val="000000"/>
          <w:szCs w:val="24"/>
          <w:lang w:val="sr-Latn-RS"/>
        </w:rPr>
        <w:t>64</w:t>
      </w:r>
      <w:r w:rsidRPr="00C86111">
        <w:rPr>
          <w:rFonts w:cstheme="minorHAnsi"/>
          <w:iCs/>
          <w:color w:val="000000"/>
          <w:szCs w:val="24"/>
          <w:lang w:val="sr-Latn-RS"/>
        </w:rPr>
        <w:t xml:space="preserve">. i na </w:t>
      </w:r>
      <w:r w:rsidR="002307C2" w:rsidRPr="00C86111">
        <w:rPr>
          <w:rFonts w:cstheme="minorHAnsi"/>
          <w:iCs/>
          <w:color w:val="000000"/>
          <w:szCs w:val="24"/>
          <w:lang w:val="sr-Latn-RS"/>
        </w:rPr>
        <w:t>graficima2</w:t>
      </w:r>
      <w:r w:rsidR="00547278">
        <w:rPr>
          <w:rFonts w:cstheme="minorHAnsi"/>
          <w:iCs/>
          <w:color w:val="000000"/>
          <w:szCs w:val="24"/>
          <w:lang w:val="sr-Latn-RS"/>
        </w:rPr>
        <w:t>5</w:t>
      </w:r>
      <w:r w:rsidR="002307C2" w:rsidRPr="00C86111">
        <w:rPr>
          <w:rFonts w:cstheme="minorHAnsi"/>
          <w:iCs/>
          <w:color w:val="000000"/>
          <w:szCs w:val="24"/>
          <w:lang w:val="sr-Latn-RS"/>
        </w:rPr>
        <w:t>,2</w:t>
      </w:r>
      <w:r w:rsidR="00547278">
        <w:rPr>
          <w:rFonts w:cstheme="minorHAnsi"/>
          <w:iCs/>
          <w:color w:val="000000"/>
          <w:szCs w:val="24"/>
          <w:lang w:val="sr-Latn-RS"/>
        </w:rPr>
        <w:t>6</w:t>
      </w:r>
      <w:r w:rsidR="002307C2" w:rsidRPr="00C86111">
        <w:rPr>
          <w:rFonts w:cstheme="minorHAnsi"/>
          <w:iCs/>
          <w:color w:val="000000"/>
          <w:szCs w:val="24"/>
          <w:lang w:val="sr-Latn-RS"/>
        </w:rPr>
        <w:t xml:space="preserve"> i 2</w:t>
      </w:r>
      <w:r w:rsidR="00547278">
        <w:rPr>
          <w:rFonts w:cstheme="minorHAnsi"/>
          <w:iCs/>
          <w:color w:val="000000"/>
          <w:szCs w:val="24"/>
          <w:lang w:val="sr-Latn-RS"/>
        </w:rPr>
        <w:t>7</w:t>
      </w:r>
      <w:r w:rsidRPr="00C86111">
        <w:rPr>
          <w:rFonts w:cstheme="minorHAnsi"/>
          <w:iCs/>
          <w:color w:val="000000"/>
          <w:szCs w:val="24"/>
          <w:lang w:val="sr-Latn-RS"/>
        </w:rPr>
        <w:t xml:space="preserve"> dat je pregled srednjih godišnje uvezenih količina granulata ekspandiranog polistirena za proizvodnju izolacionih ploča i proizvoda na bazi polistirena, kao i procijenjenih količina HBCD za periode 2007-2016. i 2017-2023. godina.</w:t>
      </w:r>
    </w:p>
    <w:p w14:paraId="4B9763C1" w14:textId="77777777" w:rsidR="002307C2" w:rsidRDefault="002307C2" w:rsidP="00A0529E">
      <w:pPr>
        <w:jc w:val="both"/>
        <w:rPr>
          <w:rFonts w:cstheme="minorHAnsi"/>
          <w:iCs/>
          <w:color w:val="000000"/>
          <w:szCs w:val="24"/>
          <w:lang w:val="sr-Latn-RS"/>
        </w:rPr>
      </w:pPr>
    </w:p>
    <w:p w14:paraId="24A77222" w14:textId="77777777" w:rsidR="00F57E42" w:rsidRPr="00C86111" w:rsidRDefault="00F57E42" w:rsidP="00A0529E">
      <w:pPr>
        <w:jc w:val="both"/>
        <w:rPr>
          <w:rFonts w:cstheme="minorHAnsi"/>
          <w:iCs/>
          <w:color w:val="000000"/>
          <w:szCs w:val="24"/>
          <w:lang w:val="sr-Latn-RS"/>
        </w:rPr>
      </w:pPr>
    </w:p>
    <w:p w14:paraId="390AAB1F" w14:textId="156AF3E9" w:rsidR="00A0529E" w:rsidRPr="00C86111" w:rsidRDefault="00A0529E" w:rsidP="00E2027B">
      <w:pPr>
        <w:jc w:val="center"/>
        <w:rPr>
          <w:rFonts w:cstheme="minorHAnsi"/>
          <w:iCs/>
          <w:color w:val="000000"/>
          <w:szCs w:val="24"/>
          <w:lang w:val="sr-Latn-RS"/>
        </w:rPr>
      </w:pPr>
      <w:r w:rsidRPr="00C86111">
        <w:rPr>
          <w:rFonts w:cstheme="minorHAnsi"/>
          <w:b/>
          <w:bCs/>
          <w:iCs/>
          <w:color w:val="000000"/>
          <w:szCs w:val="24"/>
          <w:lang w:val="sr-Latn-RS"/>
        </w:rPr>
        <w:lastRenderedPageBreak/>
        <w:t xml:space="preserve">Tabela </w:t>
      </w:r>
      <w:r w:rsidR="002307C2" w:rsidRPr="00C86111">
        <w:rPr>
          <w:rFonts w:cstheme="minorHAnsi"/>
          <w:b/>
          <w:bCs/>
          <w:iCs/>
          <w:color w:val="000000"/>
          <w:szCs w:val="24"/>
          <w:lang w:val="sr-Latn-RS"/>
        </w:rPr>
        <w:t>64</w:t>
      </w:r>
      <w:r w:rsidRPr="00C86111">
        <w:rPr>
          <w:rFonts w:cstheme="minorHAnsi"/>
          <w:b/>
          <w:bCs/>
          <w:iCs/>
          <w:color w:val="000000"/>
          <w:szCs w:val="24"/>
          <w:lang w:val="sr-Latn-RS"/>
        </w:rPr>
        <w:t>.</w:t>
      </w:r>
      <w:r w:rsidRPr="00C86111">
        <w:rPr>
          <w:rFonts w:cstheme="minorHAnsi"/>
          <w:iCs/>
          <w:color w:val="000000"/>
          <w:szCs w:val="24"/>
          <w:lang w:val="sr-Latn-RS"/>
        </w:rPr>
        <w:t xml:space="preserve"> Trend uvoza proizvoda na bazi polistirena i procijenje količine HBCD u Crnoj Gori</w:t>
      </w:r>
    </w:p>
    <w:tbl>
      <w:tblPr>
        <w:tblStyle w:val="GridTable5Dark-Accent6"/>
        <w:tblW w:w="0" w:type="auto"/>
        <w:tblLook w:val="04A0" w:firstRow="1" w:lastRow="0" w:firstColumn="1" w:lastColumn="0" w:noHBand="0" w:noVBand="1"/>
      </w:tblPr>
      <w:tblGrid>
        <w:gridCol w:w="4675"/>
        <w:gridCol w:w="2340"/>
        <w:gridCol w:w="2335"/>
      </w:tblGrid>
      <w:tr w:rsidR="00A0529E" w:rsidRPr="00C86111" w14:paraId="3DA3AB5A"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tcPr>
          <w:p w14:paraId="6953A2F8" w14:textId="77777777" w:rsidR="00A0529E" w:rsidRPr="00C86111" w:rsidRDefault="00A0529E" w:rsidP="00BC765B">
            <w:pPr>
              <w:jc w:val="both"/>
              <w:rPr>
                <w:rFonts w:cstheme="minorHAnsi"/>
                <w:sz w:val="20"/>
                <w:szCs w:val="20"/>
                <w:lang w:val="sr-Latn-ME"/>
              </w:rPr>
            </w:pPr>
          </w:p>
        </w:tc>
        <w:tc>
          <w:tcPr>
            <w:tcW w:w="4675" w:type="dxa"/>
            <w:gridSpan w:val="2"/>
          </w:tcPr>
          <w:p w14:paraId="48A00319"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Prosječna godišnja količina</w:t>
            </w:r>
          </w:p>
        </w:tc>
      </w:tr>
      <w:tr w:rsidR="00A0529E" w:rsidRPr="00C86111" w14:paraId="4DEB90DC"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14:paraId="4AF16A4B" w14:textId="77777777" w:rsidR="00A0529E" w:rsidRPr="00C86111" w:rsidRDefault="00A0529E" w:rsidP="00BC765B">
            <w:pPr>
              <w:jc w:val="both"/>
              <w:rPr>
                <w:rFonts w:cstheme="minorHAnsi"/>
                <w:sz w:val="20"/>
                <w:szCs w:val="20"/>
                <w:lang w:val="sr-Latn-ME"/>
              </w:rPr>
            </w:pPr>
          </w:p>
        </w:tc>
        <w:tc>
          <w:tcPr>
            <w:tcW w:w="2340" w:type="dxa"/>
          </w:tcPr>
          <w:p w14:paraId="2A87ADD8"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sr-Latn-ME"/>
              </w:rPr>
            </w:pPr>
            <w:r w:rsidRPr="00C86111">
              <w:rPr>
                <w:rFonts w:cstheme="minorHAnsi"/>
                <w:b/>
                <w:bCs/>
                <w:sz w:val="20"/>
                <w:szCs w:val="20"/>
                <w:lang w:val="sr-Latn-ME"/>
              </w:rPr>
              <w:t>2007-2016. godina</w:t>
            </w:r>
          </w:p>
        </w:tc>
        <w:tc>
          <w:tcPr>
            <w:tcW w:w="2335" w:type="dxa"/>
          </w:tcPr>
          <w:p w14:paraId="3224EED8"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sr-Latn-ME"/>
              </w:rPr>
            </w:pPr>
            <w:r w:rsidRPr="00C86111">
              <w:rPr>
                <w:rFonts w:cstheme="minorHAnsi"/>
                <w:b/>
                <w:bCs/>
                <w:sz w:val="20"/>
                <w:szCs w:val="20"/>
                <w:lang w:val="sr-Latn-ME"/>
              </w:rPr>
              <w:t>2017-2023. godina</w:t>
            </w:r>
          </w:p>
        </w:tc>
      </w:tr>
      <w:tr w:rsidR="00A0529E" w:rsidRPr="00C86111" w14:paraId="3D54C62E" w14:textId="77777777" w:rsidTr="00BC765B">
        <w:tc>
          <w:tcPr>
            <w:cnfStyle w:val="001000000000" w:firstRow="0" w:lastRow="0" w:firstColumn="1" w:lastColumn="0" w:oddVBand="0" w:evenVBand="0" w:oddHBand="0" w:evenHBand="0" w:firstRowFirstColumn="0" w:firstRowLastColumn="0" w:lastRowFirstColumn="0" w:lastRowLastColumn="0"/>
            <w:tcW w:w="4675" w:type="dxa"/>
          </w:tcPr>
          <w:p w14:paraId="61213132" w14:textId="77777777" w:rsidR="00A0529E" w:rsidRPr="00C86111" w:rsidRDefault="00A0529E" w:rsidP="00BC765B">
            <w:pPr>
              <w:jc w:val="both"/>
              <w:rPr>
                <w:rFonts w:cstheme="minorHAnsi"/>
                <w:sz w:val="20"/>
                <w:szCs w:val="20"/>
                <w:lang w:val="sr-Latn-ME"/>
              </w:rPr>
            </w:pPr>
            <w:r w:rsidRPr="00C86111">
              <w:rPr>
                <w:rFonts w:cstheme="minorHAnsi"/>
                <w:color w:val="000000"/>
                <w:sz w:val="20"/>
                <w:szCs w:val="20"/>
                <w:lang w:val="sr-Latn-RS"/>
              </w:rPr>
              <w:t>Granulati ekspandiranog polistirena za proizvodnju izolacionih ploča (t/god)</w:t>
            </w:r>
          </w:p>
        </w:tc>
        <w:tc>
          <w:tcPr>
            <w:tcW w:w="2340" w:type="dxa"/>
          </w:tcPr>
          <w:p w14:paraId="51692CDF"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39,5</w:t>
            </w:r>
          </w:p>
        </w:tc>
        <w:tc>
          <w:tcPr>
            <w:tcW w:w="2335" w:type="dxa"/>
          </w:tcPr>
          <w:p w14:paraId="4AEB3B75"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58,2</w:t>
            </w:r>
          </w:p>
        </w:tc>
      </w:tr>
      <w:tr w:rsidR="00A0529E" w:rsidRPr="00C86111" w14:paraId="0E30459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43A1E8" w14:textId="77777777" w:rsidR="00A0529E" w:rsidRPr="00C86111" w:rsidRDefault="00A0529E" w:rsidP="00BC765B">
            <w:pPr>
              <w:jc w:val="both"/>
              <w:rPr>
                <w:rFonts w:cstheme="minorHAnsi"/>
                <w:sz w:val="20"/>
                <w:szCs w:val="20"/>
                <w:lang w:val="sr-Latn-ME"/>
              </w:rPr>
            </w:pPr>
            <w:r w:rsidRPr="00C86111">
              <w:rPr>
                <w:rFonts w:cstheme="minorHAnsi"/>
                <w:sz w:val="20"/>
                <w:szCs w:val="20"/>
                <w:lang w:val="sr-Latn-ME"/>
              </w:rPr>
              <w:t>Poizvodi na bazi polistirena (t/god)</w:t>
            </w:r>
          </w:p>
        </w:tc>
        <w:tc>
          <w:tcPr>
            <w:tcW w:w="2340" w:type="dxa"/>
          </w:tcPr>
          <w:p w14:paraId="55A74142"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1.882</w:t>
            </w:r>
          </w:p>
        </w:tc>
        <w:tc>
          <w:tcPr>
            <w:tcW w:w="2335" w:type="dxa"/>
          </w:tcPr>
          <w:p w14:paraId="0C7F641C"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3.454</w:t>
            </w:r>
          </w:p>
        </w:tc>
      </w:tr>
      <w:tr w:rsidR="00A0529E" w:rsidRPr="00C86111" w14:paraId="528AECE4" w14:textId="77777777" w:rsidTr="00BC765B">
        <w:tc>
          <w:tcPr>
            <w:cnfStyle w:val="001000000000" w:firstRow="0" w:lastRow="0" w:firstColumn="1" w:lastColumn="0" w:oddVBand="0" w:evenVBand="0" w:oddHBand="0" w:evenHBand="0" w:firstRowFirstColumn="0" w:firstRowLastColumn="0" w:lastRowFirstColumn="0" w:lastRowLastColumn="0"/>
            <w:tcW w:w="4675" w:type="dxa"/>
          </w:tcPr>
          <w:p w14:paraId="6CE97269" w14:textId="77777777" w:rsidR="00A0529E" w:rsidRPr="00C86111" w:rsidRDefault="00A0529E" w:rsidP="00BC765B">
            <w:pPr>
              <w:jc w:val="both"/>
              <w:rPr>
                <w:rFonts w:cstheme="minorHAnsi"/>
                <w:sz w:val="20"/>
                <w:szCs w:val="20"/>
                <w:lang w:val="sr-Latn-ME"/>
              </w:rPr>
            </w:pPr>
            <w:r w:rsidRPr="00C86111">
              <w:rPr>
                <w:rFonts w:cstheme="minorHAnsi"/>
                <w:sz w:val="20"/>
                <w:szCs w:val="20"/>
                <w:lang w:val="sr-Latn-ME"/>
              </w:rPr>
              <w:t>Procjenjena količina HBCD (t/god)</w:t>
            </w:r>
          </w:p>
        </w:tc>
        <w:tc>
          <w:tcPr>
            <w:tcW w:w="2340" w:type="dxa"/>
          </w:tcPr>
          <w:p w14:paraId="52D722D3"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3,12</w:t>
            </w:r>
          </w:p>
        </w:tc>
        <w:tc>
          <w:tcPr>
            <w:tcW w:w="2335" w:type="dxa"/>
          </w:tcPr>
          <w:p w14:paraId="225FDC16"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5,71</w:t>
            </w:r>
          </w:p>
        </w:tc>
      </w:tr>
    </w:tbl>
    <w:p w14:paraId="36AEC9CF" w14:textId="77777777" w:rsidR="00A0529E" w:rsidRPr="00C86111" w:rsidRDefault="00A0529E" w:rsidP="00A0529E">
      <w:pPr>
        <w:jc w:val="both"/>
        <w:rPr>
          <w:rFonts w:cstheme="minorHAnsi"/>
          <w:noProof/>
          <w:szCs w:val="24"/>
        </w:rPr>
      </w:pPr>
    </w:p>
    <w:p w14:paraId="6A80E203" w14:textId="77777777" w:rsidR="00A0529E" w:rsidRPr="00C86111" w:rsidRDefault="00A0529E" w:rsidP="00E2027B">
      <w:pPr>
        <w:jc w:val="center"/>
        <w:rPr>
          <w:rFonts w:cstheme="minorHAnsi"/>
          <w:szCs w:val="24"/>
          <w:lang w:val="sr-Latn-ME"/>
        </w:rPr>
      </w:pPr>
      <w:r w:rsidRPr="00C86111">
        <w:rPr>
          <w:rFonts w:cstheme="minorHAnsi"/>
          <w:noProof/>
          <w:szCs w:val="24"/>
        </w:rPr>
        <w:drawing>
          <wp:inline distT="0" distB="0" distL="0" distR="0" wp14:anchorId="4A97886C" wp14:editId="7B49F450">
            <wp:extent cx="4572000" cy="2114550"/>
            <wp:effectExtent l="0" t="0" r="0" b="0"/>
            <wp:docPr id="1770122318" name="Chart 1">
              <a:extLst xmlns:a="http://schemas.openxmlformats.org/drawingml/2006/main">
                <a:ext uri="{FF2B5EF4-FFF2-40B4-BE49-F238E27FC236}">
                  <a16:creationId xmlns:a16="http://schemas.microsoft.com/office/drawing/2014/main" id="{AA8C4F71-492B-C572-635B-D2C9EBDF1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D6B88CB" w14:textId="26445207" w:rsidR="00A0529E" w:rsidRPr="00C86111" w:rsidRDefault="002307C2" w:rsidP="00A0529E">
      <w:pPr>
        <w:jc w:val="both"/>
        <w:rPr>
          <w:rFonts w:cstheme="minorHAnsi"/>
          <w:szCs w:val="24"/>
          <w:lang w:val="sr-Latn-ME"/>
        </w:rPr>
      </w:pPr>
      <w:r w:rsidRPr="00C86111">
        <w:rPr>
          <w:rFonts w:cstheme="minorHAnsi"/>
          <w:b/>
          <w:bCs/>
          <w:szCs w:val="24"/>
          <w:lang w:val="sr-Latn-ME"/>
        </w:rPr>
        <w:t>Grafik 2</w:t>
      </w:r>
      <w:r w:rsidR="00547278">
        <w:rPr>
          <w:rFonts w:cstheme="minorHAnsi"/>
          <w:b/>
          <w:bCs/>
          <w:szCs w:val="24"/>
          <w:lang w:val="sr-Latn-ME"/>
        </w:rPr>
        <w:t>5</w:t>
      </w:r>
      <w:r w:rsidR="00A0529E" w:rsidRPr="00C86111">
        <w:rPr>
          <w:rFonts w:cstheme="minorHAnsi"/>
          <w:b/>
          <w:bCs/>
          <w:szCs w:val="24"/>
          <w:lang w:val="sr-Latn-ME"/>
        </w:rPr>
        <w:t>.</w:t>
      </w:r>
      <w:r w:rsidR="00A0529E" w:rsidRPr="00C86111">
        <w:rPr>
          <w:rFonts w:cstheme="minorHAnsi"/>
          <w:szCs w:val="24"/>
          <w:lang w:val="sr-Latn-ME"/>
        </w:rPr>
        <w:t xml:space="preserve"> Prosječna godišnja količina uvezenih granulata ekspandiranog polistirena za proizvodnju izolacionih ploča (t) za periode 2007-2016 and 2017-2023 </w:t>
      </w:r>
    </w:p>
    <w:p w14:paraId="516BCFAD" w14:textId="77777777" w:rsidR="00A0529E" w:rsidRPr="00C86111" w:rsidRDefault="00A0529E" w:rsidP="00E2027B">
      <w:pPr>
        <w:jc w:val="center"/>
        <w:rPr>
          <w:rFonts w:cstheme="minorHAnsi"/>
          <w:i/>
          <w:iCs/>
          <w:szCs w:val="24"/>
          <w:lang w:val="sr-Latn-ME"/>
        </w:rPr>
      </w:pPr>
      <w:r w:rsidRPr="00C86111">
        <w:rPr>
          <w:rFonts w:cstheme="minorHAnsi"/>
          <w:noProof/>
          <w:szCs w:val="24"/>
        </w:rPr>
        <w:drawing>
          <wp:inline distT="0" distB="0" distL="0" distR="0" wp14:anchorId="2B98DFFB" wp14:editId="4723442E">
            <wp:extent cx="4572000" cy="2038350"/>
            <wp:effectExtent l="0" t="0" r="0" b="0"/>
            <wp:docPr id="2044652322" name="Chart 1">
              <a:extLst xmlns:a="http://schemas.openxmlformats.org/drawingml/2006/main">
                <a:ext uri="{FF2B5EF4-FFF2-40B4-BE49-F238E27FC236}">
                  <a16:creationId xmlns:a16="http://schemas.microsoft.com/office/drawing/2014/main" id="{3FC39DD5-7ED6-4F06-A567-F35C62935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00B0A79" w14:textId="0F8B3DAA" w:rsidR="00A0529E" w:rsidRPr="00C86111" w:rsidRDefault="002307C2" w:rsidP="00A0529E">
      <w:pPr>
        <w:jc w:val="both"/>
        <w:rPr>
          <w:rFonts w:cstheme="minorHAnsi"/>
          <w:szCs w:val="24"/>
          <w:lang w:val="sr-Latn-ME"/>
        </w:rPr>
      </w:pPr>
      <w:r w:rsidRPr="00C86111">
        <w:rPr>
          <w:rFonts w:cstheme="minorHAnsi"/>
          <w:b/>
          <w:bCs/>
          <w:szCs w:val="24"/>
          <w:lang w:val="sr-Latn-ME"/>
        </w:rPr>
        <w:t>Grafik 2</w:t>
      </w:r>
      <w:r w:rsidR="00547278">
        <w:rPr>
          <w:rFonts w:cstheme="minorHAnsi"/>
          <w:b/>
          <w:bCs/>
          <w:szCs w:val="24"/>
          <w:lang w:val="sr-Latn-ME"/>
        </w:rPr>
        <w:t>6</w:t>
      </w:r>
      <w:r w:rsidR="00A0529E" w:rsidRPr="00C86111">
        <w:rPr>
          <w:rFonts w:cstheme="minorHAnsi"/>
          <w:b/>
          <w:bCs/>
          <w:szCs w:val="24"/>
          <w:lang w:val="sr-Latn-ME"/>
        </w:rPr>
        <w:t>.</w:t>
      </w:r>
      <w:r w:rsidR="00A0529E" w:rsidRPr="00C86111">
        <w:rPr>
          <w:rFonts w:cstheme="minorHAnsi"/>
          <w:szCs w:val="24"/>
          <w:lang w:val="sr-Latn-ME"/>
        </w:rPr>
        <w:t xml:space="preserve"> Prosječna godišnja količina uvezenih proizvoda na bazi polistirena (t) za periode 2007-2016 and 2017-2023</w:t>
      </w:r>
    </w:p>
    <w:p w14:paraId="329D89A4" w14:textId="77777777" w:rsidR="00A0529E" w:rsidRPr="00C86111" w:rsidRDefault="00A0529E" w:rsidP="00A0529E">
      <w:pPr>
        <w:jc w:val="both"/>
        <w:rPr>
          <w:rFonts w:cstheme="minorHAnsi"/>
          <w:szCs w:val="24"/>
          <w:lang w:val="sr-Latn-ME"/>
        </w:rPr>
      </w:pPr>
    </w:p>
    <w:p w14:paraId="60B62F91" w14:textId="77777777" w:rsidR="00A0529E" w:rsidRPr="00C86111" w:rsidRDefault="00A0529E" w:rsidP="00E2027B">
      <w:pPr>
        <w:jc w:val="center"/>
        <w:rPr>
          <w:rFonts w:cstheme="minorHAnsi"/>
          <w:szCs w:val="24"/>
          <w:lang w:val="sr-Latn-ME"/>
        </w:rPr>
      </w:pPr>
      <w:r w:rsidRPr="00C86111">
        <w:rPr>
          <w:rFonts w:cstheme="minorHAnsi"/>
          <w:noProof/>
          <w:szCs w:val="24"/>
        </w:rPr>
        <w:lastRenderedPageBreak/>
        <w:drawing>
          <wp:inline distT="0" distB="0" distL="0" distR="0" wp14:anchorId="728BEBCA" wp14:editId="7CE19539">
            <wp:extent cx="4572000" cy="2484120"/>
            <wp:effectExtent l="0" t="0" r="0" b="11430"/>
            <wp:docPr id="1429689731" name="Chart 1">
              <a:extLst xmlns:a="http://schemas.openxmlformats.org/drawingml/2006/main">
                <a:ext uri="{FF2B5EF4-FFF2-40B4-BE49-F238E27FC236}">
                  <a16:creationId xmlns:a16="http://schemas.microsoft.com/office/drawing/2014/main" id="{2DD3BAAF-F345-4D76-9AE7-8A6A6A9A2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4BC975" w14:textId="24751500" w:rsidR="00A0529E" w:rsidRPr="00C86111" w:rsidRDefault="002307C2" w:rsidP="00A0529E">
      <w:pPr>
        <w:jc w:val="both"/>
        <w:rPr>
          <w:rFonts w:cstheme="minorHAnsi"/>
          <w:szCs w:val="24"/>
          <w:lang w:val="sr-Latn-ME"/>
        </w:rPr>
      </w:pPr>
      <w:r w:rsidRPr="00C86111">
        <w:rPr>
          <w:rFonts w:cstheme="minorHAnsi"/>
          <w:b/>
          <w:bCs/>
          <w:szCs w:val="24"/>
          <w:lang w:val="sr-Latn-ME"/>
        </w:rPr>
        <w:t>Grafik 2</w:t>
      </w:r>
      <w:r w:rsidR="00547278">
        <w:rPr>
          <w:rFonts w:cstheme="minorHAnsi"/>
          <w:b/>
          <w:bCs/>
          <w:szCs w:val="24"/>
          <w:lang w:val="sr-Latn-ME"/>
        </w:rPr>
        <w:t>7</w:t>
      </w:r>
      <w:r w:rsidR="00A0529E" w:rsidRPr="00C86111">
        <w:rPr>
          <w:rFonts w:cstheme="minorHAnsi"/>
          <w:b/>
          <w:bCs/>
          <w:szCs w:val="24"/>
          <w:lang w:val="sr-Latn-ME"/>
        </w:rPr>
        <w:t>.</w:t>
      </w:r>
      <w:r w:rsidR="00A0529E" w:rsidRPr="00C86111">
        <w:rPr>
          <w:rFonts w:cstheme="minorHAnsi"/>
          <w:szCs w:val="24"/>
          <w:lang w:val="sr-Latn-ME"/>
        </w:rPr>
        <w:t xml:space="preserve"> Procijenjena prosječna godišnja količina HBCD u Crnoj Gori (t) za periode 2007-2016. godina i 2017-2023. godina </w:t>
      </w:r>
    </w:p>
    <w:p w14:paraId="1E7C6A0B" w14:textId="77777777" w:rsidR="00A0529E" w:rsidRPr="00C86111" w:rsidRDefault="00A0529E" w:rsidP="00A0529E">
      <w:pPr>
        <w:jc w:val="both"/>
        <w:rPr>
          <w:rFonts w:cstheme="minorHAnsi"/>
          <w:szCs w:val="24"/>
          <w:lang w:val="sr-Latn-ME"/>
        </w:rPr>
      </w:pPr>
      <w:r w:rsidRPr="00C86111">
        <w:rPr>
          <w:rFonts w:cstheme="minorHAnsi"/>
          <w:szCs w:val="24"/>
          <w:lang w:val="sr-Latn-ME"/>
        </w:rPr>
        <w:t xml:space="preserve">Iz dobijenih podataka zaključuje se da postoji rastući trend upotrebe proizvoda koji potencijalno sadrže HBCD. Većina ovih proizvoda svoju primjenu nalazi u građevinarstvu. Kako je na teritoriji cijele Crne Gore u posmatranom periodu (2017-2023. godina) evidentan značajan porast broja izgrađenih građevinskih objekata, to je ujedno i glavni razlog ovakvog trenda.  </w:t>
      </w:r>
    </w:p>
    <w:p w14:paraId="25FCE7FD" w14:textId="77777777" w:rsidR="00A0529E" w:rsidRPr="00C86111" w:rsidRDefault="00A0529E" w:rsidP="00EA6904">
      <w:pPr>
        <w:pStyle w:val="Heading3"/>
      </w:pPr>
      <w:bookmarkStart w:id="180" w:name="_Toc210651379"/>
      <w:bookmarkStart w:id="181" w:name="_Toc220541926"/>
      <w:r w:rsidRPr="00C86111">
        <w:t>HBCD u otpadu</w:t>
      </w:r>
      <w:bookmarkEnd w:id="180"/>
      <w:bookmarkEnd w:id="181"/>
    </w:p>
    <w:p w14:paraId="3C235772" w14:textId="77777777" w:rsidR="002307C2" w:rsidRPr="00C86111" w:rsidRDefault="002307C2" w:rsidP="002307C2">
      <w:pPr>
        <w:rPr>
          <w:lang w:val="sr-Latn-RS"/>
        </w:rPr>
      </w:pPr>
    </w:p>
    <w:p w14:paraId="725C8D07" w14:textId="77777777" w:rsidR="00A0529E" w:rsidRPr="00C86111" w:rsidRDefault="00A0529E" w:rsidP="00A0529E">
      <w:pPr>
        <w:jc w:val="both"/>
        <w:rPr>
          <w:rFonts w:cstheme="minorHAnsi"/>
          <w:iCs/>
          <w:color w:val="000000"/>
          <w:szCs w:val="24"/>
          <w:lang w:val="sr-Latn-RS"/>
        </w:rPr>
      </w:pPr>
      <w:r w:rsidRPr="00C86111">
        <w:rPr>
          <w:rFonts w:cstheme="minorHAnsi"/>
          <w:iCs/>
          <w:color w:val="000000"/>
          <w:szCs w:val="24"/>
          <w:lang w:val="sr-Latn-RS"/>
        </w:rPr>
        <w:t>Selektovani građevinski otpadni materijal (beton, cigle i opeke) odlaže se na za to predviđenim lokacijama, dok se ostatak u koji spadaju i izolacioni materijali od polistirena odlaže zajedno sa komunalnim otpadom.</w:t>
      </w:r>
    </w:p>
    <w:p w14:paraId="639B479E" w14:textId="77777777" w:rsidR="00A0529E" w:rsidRPr="00C86111" w:rsidRDefault="00A0529E" w:rsidP="00A0529E">
      <w:pPr>
        <w:jc w:val="both"/>
        <w:rPr>
          <w:rFonts w:cstheme="minorHAnsi"/>
          <w:color w:val="000000"/>
          <w:szCs w:val="24"/>
          <w:lang w:val="sr-Latn-RS"/>
        </w:rPr>
      </w:pPr>
      <w:r w:rsidRPr="00C86111">
        <w:rPr>
          <w:rFonts w:cstheme="minorHAnsi"/>
          <w:color w:val="000000"/>
          <w:szCs w:val="24"/>
          <w:lang w:val="sr-Latn-RS"/>
        </w:rPr>
        <w:t xml:space="preserve">Literaturni podaci ukazuju na činjenicu da je udio izolacionog materijala u ukupnoj količini građevinskog otpada 1% </w:t>
      </w:r>
      <w:bookmarkStart w:id="182" w:name="_Hlk184404356"/>
      <w:r w:rsidRPr="00C86111">
        <w:rPr>
          <w:rFonts w:cstheme="minorHAnsi"/>
          <w:color w:val="002060"/>
          <w:szCs w:val="24"/>
        </w:rPr>
        <w:t>[6],</w:t>
      </w:r>
      <w:r w:rsidRPr="00C86111">
        <w:rPr>
          <w:rFonts w:cstheme="minorHAnsi"/>
          <w:color w:val="002060"/>
          <w:szCs w:val="24"/>
          <w:lang w:val="sr-Latn-RS"/>
        </w:rPr>
        <w:t xml:space="preserve"> </w:t>
      </w:r>
      <w:bookmarkEnd w:id="182"/>
      <w:r w:rsidRPr="00C86111">
        <w:rPr>
          <w:rFonts w:cstheme="minorHAnsi"/>
          <w:color w:val="000000"/>
          <w:szCs w:val="24"/>
          <w:lang w:val="sr-Latn-RS"/>
        </w:rPr>
        <w:t>što je upotrijebljeno kao osnova za kalkulaciju.</w:t>
      </w:r>
    </w:p>
    <w:p w14:paraId="57175ED3" w14:textId="32DE908C" w:rsidR="00A0529E" w:rsidRPr="00C86111" w:rsidRDefault="00A0529E" w:rsidP="00A0529E">
      <w:pPr>
        <w:jc w:val="both"/>
        <w:rPr>
          <w:rFonts w:cstheme="minorHAnsi"/>
          <w:color w:val="000000"/>
          <w:szCs w:val="24"/>
          <w:lang w:val="sr-Latn-RS"/>
        </w:rPr>
      </w:pPr>
      <w:r w:rsidRPr="00C86111">
        <w:rPr>
          <w:rFonts w:cstheme="minorHAnsi"/>
          <w:color w:val="000000"/>
          <w:szCs w:val="24"/>
          <w:lang w:val="sr-Latn-RS"/>
        </w:rPr>
        <w:t>U Tabeli 6</w:t>
      </w:r>
      <w:r w:rsidR="002307C2" w:rsidRPr="00C86111">
        <w:rPr>
          <w:rFonts w:cstheme="minorHAnsi"/>
          <w:color w:val="000000"/>
          <w:szCs w:val="24"/>
          <w:lang w:val="sr-Latn-RS"/>
        </w:rPr>
        <w:t>5</w:t>
      </w:r>
      <w:r w:rsidRPr="00C86111">
        <w:rPr>
          <w:rFonts w:cstheme="minorHAnsi"/>
          <w:color w:val="000000"/>
          <w:szCs w:val="24"/>
          <w:lang w:val="sr-Latn-RS"/>
        </w:rPr>
        <w:t xml:space="preserve">. prikazani su podaci o količinama generisanog građevinskog otpada (građevinski sektor, uslužne djelatnosti i domaćinstva), kao i procijenjene količine HBCD u ovoj vrsti otpada u Crnoj Gori za period 2017-2023. godina. Podaci su preuzeti od Uprave za statistiku Crne Gore </w:t>
      </w:r>
      <w:r w:rsidRPr="00C86111">
        <w:rPr>
          <w:rFonts w:cstheme="minorHAnsi"/>
          <w:color w:val="002060"/>
          <w:szCs w:val="24"/>
        </w:rPr>
        <w:t>[7].</w:t>
      </w:r>
    </w:p>
    <w:p w14:paraId="63FBF069" w14:textId="77777777" w:rsidR="00CB2BBA" w:rsidRPr="00C86111" w:rsidRDefault="00CB2BBA" w:rsidP="00A0529E">
      <w:pPr>
        <w:jc w:val="both"/>
        <w:rPr>
          <w:rFonts w:cstheme="minorHAnsi"/>
          <w:b/>
          <w:bCs/>
          <w:color w:val="000000"/>
          <w:szCs w:val="24"/>
          <w:lang w:val="sr-Latn-RS"/>
        </w:rPr>
      </w:pPr>
    </w:p>
    <w:p w14:paraId="369DAA1B" w14:textId="2DE5CD26" w:rsidR="00A0529E" w:rsidRPr="00C86111" w:rsidRDefault="00A0529E" w:rsidP="00A0529E">
      <w:pPr>
        <w:jc w:val="both"/>
        <w:rPr>
          <w:rFonts w:cstheme="minorHAnsi"/>
          <w:color w:val="000000"/>
          <w:szCs w:val="24"/>
          <w:lang w:val="sr-Latn-RS"/>
        </w:rPr>
      </w:pPr>
      <w:r w:rsidRPr="00C86111">
        <w:rPr>
          <w:rFonts w:cstheme="minorHAnsi"/>
          <w:b/>
          <w:bCs/>
          <w:color w:val="000000"/>
          <w:szCs w:val="24"/>
          <w:lang w:val="sr-Latn-RS"/>
        </w:rPr>
        <w:t>Tabela 6</w:t>
      </w:r>
      <w:r w:rsidR="002307C2" w:rsidRPr="00C86111">
        <w:rPr>
          <w:rFonts w:cstheme="minorHAnsi"/>
          <w:b/>
          <w:bCs/>
          <w:color w:val="000000"/>
          <w:szCs w:val="24"/>
          <w:lang w:val="sr-Latn-RS"/>
        </w:rPr>
        <w:t>5</w:t>
      </w:r>
      <w:r w:rsidRPr="00C86111">
        <w:rPr>
          <w:rFonts w:cstheme="minorHAnsi"/>
          <w:b/>
          <w:bCs/>
          <w:color w:val="000000"/>
          <w:szCs w:val="24"/>
          <w:lang w:val="sr-Latn-RS"/>
        </w:rPr>
        <w:t>.</w:t>
      </w:r>
      <w:r w:rsidRPr="00C86111">
        <w:rPr>
          <w:rFonts w:cstheme="minorHAnsi"/>
          <w:color w:val="000000"/>
          <w:szCs w:val="24"/>
          <w:lang w:val="sr-Latn-RS"/>
        </w:rPr>
        <w:t xml:space="preserve"> Količine generisanog građevinskog otpada (građevinski sektor, uslužne djelatnosti i domaćinstva) i procijenjene količine HBCD u ovoj vrsti otpada u Crnoj Gori za period                      2017-2023. godina</w:t>
      </w:r>
    </w:p>
    <w:tbl>
      <w:tblPr>
        <w:tblStyle w:val="GridTable5Dark-Accent6"/>
        <w:tblW w:w="0" w:type="auto"/>
        <w:tblLook w:val="04A0" w:firstRow="1" w:lastRow="0" w:firstColumn="1" w:lastColumn="0" w:noHBand="0" w:noVBand="1"/>
      </w:tblPr>
      <w:tblGrid>
        <w:gridCol w:w="3145"/>
        <w:gridCol w:w="3150"/>
        <w:gridCol w:w="3055"/>
      </w:tblGrid>
      <w:tr w:rsidR="00A0529E" w:rsidRPr="00C86111" w14:paraId="03E9CBC3"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993A566" w14:textId="77777777" w:rsidR="00A0529E" w:rsidRPr="00C86111" w:rsidRDefault="00A0529E" w:rsidP="00BC765B">
            <w:pPr>
              <w:jc w:val="both"/>
              <w:rPr>
                <w:rFonts w:cstheme="minorHAnsi"/>
                <w:color w:val="000000"/>
                <w:sz w:val="20"/>
                <w:szCs w:val="20"/>
                <w:lang w:val="sr-Latn-RS"/>
              </w:rPr>
            </w:pPr>
            <w:bookmarkStart w:id="183" w:name="_Hlk184404521"/>
            <w:r w:rsidRPr="00C86111">
              <w:rPr>
                <w:rFonts w:cstheme="minorHAnsi"/>
                <w:color w:val="000000"/>
                <w:sz w:val="20"/>
                <w:szCs w:val="20"/>
                <w:lang w:val="sr-Latn-RS"/>
              </w:rPr>
              <w:t>Godina</w:t>
            </w:r>
          </w:p>
        </w:tc>
        <w:tc>
          <w:tcPr>
            <w:tcW w:w="3150" w:type="dxa"/>
          </w:tcPr>
          <w:p w14:paraId="103D20DC"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Ukupna količina generisanog građevinskog otpada (t)</w:t>
            </w:r>
          </w:p>
        </w:tc>
        <w:tc>
          <w:tcPr>
            <w:tcW w:w="3055" w:type="dxa"/>
          </w:tcPr>
          <w:p w14:paraId="1422537E"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val="sr-Latn-RS"/>
              </w:rPr>
            </w:pPr>
            <w:r w:rsidRPr="00C86111">
              <w:rPr>
                <w:rFonts w:cstheme="minorHAnsi"/>
                <w:color w:val="000000"/>
                <w:sz w:val="20"/>
                <w:szCs w:val="20"/>
                <w:lang w:val="sr-Latn-RS"/>
              </w:rPr>
              <w:t>Procijenjena količina HBCD u građevinskom otpadu (t)</w:t>
            </w:r>
          </w:p>
        </w:tc>
      </w:tr>
      <w:tr w:rsidR="00A0529E" w:rsidRPr="00C86111" w14:paraId="60F2E454"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B3ABA27"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2017.</w:t>
            </w:r>
          </w:p>
        </w:tc>
        <w:tc>
          <w:tcPr>
            <w:tcW w:w="3150" w:type="dxa"/>
          </w:tcPr>
          <w:p w14:paraId="57043A7D"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190.952</w:t>
            </w:r>
          </w:p>
        </w:tc>
        <w:tc>
          <w:tcPr>
            <w:tcW w:w="3055" w:type="dxa"/>
          </w:tcPr>
          <w:p w14:paraId="5844C2D2"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sz w:val="20"/>
                <w:szCs w:val="20"/>
              </w:rPr>
              <w:t>1,76</w:t>
            </w:r>
          </w:p>
        </w:tc>
      </w:tr>
      <w:tr w:rsidR="00A0529E" w:rsidRPr="00C86111" w14:paraId="003DF8D4" w14:textId="77777777" w:rsidTr="00BC765B">
        <w:tc>
          <w:tcPr>
            <w:cnfStyle w:val="001000000000" w:firstRow="0" w:lastRow="0" w:firstColumn="1" w:lastColumn="0" w:oddVBand="0" w:evenVBand="0" w:oddHBand="0" w:evenHBand="0" w:firstRowFirstColumn="0" w:firstRowLastColumn="0" w:lastRowFirstColumn="0" w:lastRowLastColumn="0"/>
            <w:tcW w:w="3145" w:type="dxa"/>
          </w:tcPr>
          <w:p w14:paraId="612E55E3"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2018.</w:t>
            </w:r>
          </w:p>
        </w:tc>
        <w:tc>
          <w:tcPr>
            <w:tcW w:w="3150" w:type="dxa"/>
          </w:tcPr>
          <w:p w14:paraId="49A1CA78"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159.300</w:t>
            </w:r>
          </w:p>
        </w:tc>
        <w:tc>
          <w:tcPr>
            <w:tcW w:w="3055" w:type="dxa"/>
          </w:tcPr>
          <w:p w14:paraId="5EE131BD"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sz w:val="20"/>
                <w:szCs w:val="20"/>
              </w:rPr>
              <w:t>1,99</w:t>
            </w:r>
          </w:p>
        </w:tc>
      </w:tr>
      <w:tr w:rsidR="00A0529E" w:rsidRPr="00C86111" w14:paraId="78CFD50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47F9655"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2019.</w:t>
            </w:r>
          </w:p>
        </w:tc>
        <w:tc>
          <w:tcPr>
            <w:tcW w:w="3150" w:type="dxa"/>
          </w:tcPr>
          <w:p w14:paraId="0DB7395D"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165.261</w:t>
            </w:r>
          </w:p>
        </w:tc>
        <w:tc>
          <w:tcPr>
            <w:tcW w:w="3055" w:type="dxa"/>
          </w:tcPr>
          <w:p w14:paraId="492057A9"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sz w:val="20"/>
                <w:szCs w:val="20"/>
              </w:rPr>
              <w:t>2,07</w:t>
            </w:r>
          </w:p>
        </w:tc>
      </w:tr>
      <w:tr w:rsidR="00A0529E" w:rsidRPr="00C86111" w14:paraId="7CBD31AB" w14:textId="77777777" w:rsidTr="00BC765B">
        <w:tc>
          <w:tcPr>
            <w:cnfStyle w:val="001000000000" w:firstRow="0" w:lastRow="0" w:firstColumn="1" w:lastColumn="0" w:oddVBand="0" w:evenVBand="0" w:oddHBand="0" w:evenHBand="0" w:firstRowFirstColumn="0" w:firstRowLastColumn="0" w:lastRowFirstColumn="0" w:lastRowLastColumn="0"/>
            <w:tcW w:w="3145" w:type="dxa"/>
          </w:tcPr>
          <w:p w14:paraId="582D015A"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2020.</w:t>
            </w:r>
          </w:p>
        </w:tc>
        <w:tc>
          <w:tcPr>
            <w:tcW w:w="3150" w:type="dxa"/>
          </w:tcPr>
          <w:p w14:paraId="5199CB5C"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233.543</w:t>
            </w:r>
          </w:p>
        </w:tc>
        <w:tc>
          <w:tcPr>
            <w:tcW w:w="3055" w:type="dxa"/>
          </w:tcPr>
          <w:p w14:paraId="141B7752"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sz w:val="20"/>
                <w:szCs w:val="20"/>
              </w:rPr>
              <w:t>2,92</w:t>
            </w:r>
          </w:p>
        </w:tc>
      </w:tr>
      <w:tr w:rsidR="00A0529E" w:rsidRPr="00C86111" w14:paraId="383570FD"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12765C3"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2021.</w:t>
            </w:r>
          </w:p>
        </w:tc>
        <w:tc>
          <w:tcPr>
            <w:tcW w:w="3150" w:type="dxa"/>
          </w:tcPr>
          <w:p w14:paraId="5F778809"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446.225</w:t>
            </w:r>
          </w:p>
        </w:tc>
        <w:tc>
          <w:tcPr>
            <w:tcW w:w="3055" w:type="dxa"/>
          </w:tcPr>
          <w:p w14:paraId="07AAA2D5"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sz w:val="20"/>
                <w:szCs w:val="20"/>
              </w:rPr>
              <w:t>5,58</w:t>
            </w:r>
          </w:p>
        </w:tc>
      </w:tr>
      <w:tr w:rsidR="00A0529E" w:rsidRPr="00C86111" w14:paraId="6083C0BF" w14:textId="77777777" w:rsidTr="00BC765B">
        <w:tc>
          <w:tcPr>
            <w:cnfStyle w:val="001000000000" w:firstRow="0" w:lastRow="0" w:firstColumn="1" w:lastColumn="0" w:oddVBand="0" w:evenVBand="0" w:oddHBand="0" w:evenHBand="0" w:firstRowFirstColumn="0" w:firstRowLastColumn="0" w:lastRowFirstColumn="0" w:lastRowLastColumn="0"/>
            <w:tcW w:w="3145" w:type="dxa"/>
          </w:tcPr>
          <w:p w14:paraId="753C68CF"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2022.</w:t>
            </w:r>
          </w:p>
        </w:tc>
        <w:tc>
          <w:tcPr>
            <w:tcW w:w="3150" w:type="dxa"/>
          </w:tcPr>
          <w:p w14:paraId="298DB14E"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419.491</w:t>
            </w:r>
          </w:p>
        </w:tc>
        <w:tc>
          <w:tcPr>
            <w:tcW w:w="3055" w:type="dxa"/>
          </w:tcPr>
          <w:p w14:paraId="3BD7CA96"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86111">
              <w:rPr>
                <w:rFonts w:cstheme="minorHAnsi"/>
                <w:sz w:val="20"/>
                <w:szCs w:val="20"/>
              </w:rPr>
              <w:t>5,24</w:t>
            </w:r>
          </w:p>
        </w:tc>
      </w:tr>
      <w:tr w:rsidR="00A0529E" w:rsidRPr="00C86111" w14:paraId="70AD4D74"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9863A93"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2023.</w:t>
            </w:r>
          </w:p>
        </w:tc>
        <w:tc>
          <w:tcPr>
            <w:tcW w:w="3150" w:type="dxa"/>
          </w:tcPr>
          <w:p w14:paraId="6D81F569"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color w:val="000000"/>
                <w:sz w:val="20"/>
                <w:szCs w:val="20"/>
              </w:rPr>
              <w:t>218.861</w:t>
            </w:r>
          </w:p>
        </w:tc>
        <w:tc>
          <w:tcPr>
            <w:tcW w:w="3055" w:type="dxa"/>
          </w:tcPr>
          <w:p w14:paraId="2DB0BF72"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C86111">
              <w:rPr>
                <w:rFonts w:cstheme="minorHAnsi"/>
                <w:sz w:val="20"/>
                <w:szCs w:val="20"/>
              </w:rPr>
              <w:t>2,74</w:t>
            </w:r>
          </w:p>
        </w:tc>
      </w:tr>
      <w:tr w:rsidR="00A0529E" w:rsidRPr="00C86111" w14:paraId="0EE398EF" w14:textId="77777777" w:rsidTr="00BC765B">
        <w:tc>
          <w:tcPr>
            <w:cnfStyle w:val="001000000000" w:firstRow="0" w:lastRow="0" w:firstColumn="1" w:lastColumn="0" w:oddVBand="0" w:evenVBand="0" w:oddHBand="0" w:evenHBand="0" w:firstRowFirstColumn="0" w:firstRowLastColumn="0" w:lastRowFirstColumn="0" w:lastRowLastColumn="0"/>
            <w:tcW w:w="3145" w:type="dxa"/>
          </w:tcPr>
          <w:p w14:paraId="43816190"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UKUPNO</w:t>
            </w:r>
          </w:p>
        </w:tc>
        <w:tc>
          <w:tcPr>
            <w:tcW w:w="3150" w:type="dxa"/>
          </w:tcPr>
          <w:p w14:paraId="5588A60E"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C86111">
              <w:rPr>
                <w:rFonts w:cstheme="minorHAnsi"/>
                <w:b/>
                <w:bCs/>
                <w:color w:val="000000"/>
                <w:sz w:val="20"/>
                <w:szCs w:val="20"/>
              </w:rPr>
              <w:t>1.783.632</w:t>
            </w:r>
          </w:p>
        </w:tc>
        <w:tc>
          <w:tcPr>
            <w:tcW w:w="3055" w:type="dxa"/>
          </w:tcPr>
          <w:p w14:paraId="765751A2"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C86111">
              <w:rPr>
                <w:rFonts w:cstheme="minorHAnsi"/>
                <w:b/>
                <w:bCs/>
                <w:sz w:val="20"/>
                <w:szCs w:val="20"/>
              </w:rPr>
              <w:t>22,30</w:t>
            </w:r>
          </w:p>
        </w:tc>
      </w:tr>
      <w:tr w:rsidR="00A0529E" w:rsidRPr="00C86111" w14:paraId="6247B4C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C6EBDA6" w14:textId="77777777" w:rsidR="00A0529E" w:rsidRPr="00C86111" w:rsidRDefault="00A0529E" w:rsidP="00BC765B">
            <w:pPr>
              <w:jc w:val="both"/>
              <w:rPr>
                <w:rFonts w:cstheme="minorHAnsi"/>
                <w:color w:val="000000"/>
                <w:sz w:val="20"/>
                <w:szCs w:val="20"/>
                <w:lang w:val="sr-Latn-RS"/>
              </w:rPr>
            </w:pPr>
            <w:r w:rsidRPr="00C86111">
              <w:rPr>
                <w:rFonts w:cstheme="minorHAnsi"/>
                <w:color w:val="000000"/>
                <w:sz w:val="20"/>
                <w:szCs w:val="20"/>
                <w:lang w:val="sr-Latn-RS"/>
              </w:rPr>
              <w:t>Prosječna godišnja količina</w:t>
            </w:r>
          </w:p>
        </w:tc>
        <w:tc>
          <w:tcPr>
            <w:tcW w:w="3150" w:type="dxa"/>
          </w:tcPr>
          <w:p w14:paraId="4F6E6551"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C86111">
              <w:rPr>
                <w:rFonts w:cstheme="minorHAnsi"/>
                <w:b/>
                <w:bCs/>
                <w:color w:val="000000"/>
                <w:sz w:val="20"/>
                <w:szCs w:val="20"/>
              </w:rPr>
              <w:t>254.805</w:t>
            </w:r>
          </w:p>
        </w:tc>
        <w:tc>
          <w:tcPr>
            <w:tcW w:w="3055" w:type="dxa"/>
          </w:tcPr>
          <w:p w14:paraId="5931B05D"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C86111">
              <w:rPr>
                <w:rFonts w:cstheme="minorHAnsi"/>
                <w:b/>
                <w:bCs/>
                <w:sz w:val="20"/>
                <w:szCs w:val="20"/>
              </w:rPr>
              <w:t>5,57</w:t>
            </w:r>
          </w:p>
        </w:tc>
      </w:tr>
    </w:tbl>
    <w:bookmarkEnd w:id="183"/>
    <w:p w14:paraId="12AF889C" w14:textId="26C184AD" w:rsidR="00A0529E" w:rsidRPr="00C86111" w:rsidRDefault="00A0529E" w:rsidP="00A0529E">
      <w:pPr>
        <w:jc w:val="both"/>
        <w:rPr>
          <w:rFonts w:cstheme="minorHAnsi"/>
          <w:noProof/>
          <w:szCs w:val="24"/>
        </w:rPr>
      </w:pPr>
      <w:r w:rsidRPr="00C86111">
        <w:rPr>
          <w:rFonts w:cstheme="minorHAnsi"/>
          <w:noProof/>
          <w:szCs w:val="24"/>
        </w:rPr>
        <w:lastRenderedPageBreak/>
        <w:t xml:space="preserve">Na </w:t>
      </w:r>
      <w:r w:rsidR="00CB2BBA" w:rsidRPr="00C86111">
        <w:rPr>
          <w:rFonts w:cstheme="minorHAnsi"/>
          <w:noProof/>
          <w:szCs w:val="24"/>
        </w:rPr>
        <w:t>grafiku</w:t>
      </w:r>
      <w:r w:rsidRPr="00C86111">
        <w:rPr>
          <w:rFonts w:cstheme="minorHAnsi"/>
          <w:noProof/>
          <w:szCs w:val="24"/>
        </w:rPr>
        <w:t xml:space="preserve"> </w:t>
      </w:r>
      <w:r w:rsidR="00CB2BBA" w:rsidRPr="00C86111">
        <w:rPr>
          <w:rFonts w:cstheme="minorHAnsi"/>
          <w:noProof/>
          <w:szCs w:val="24"/>
        </w:rPr>
        <w:t>2</w:t>
      </w:r>
      <w:r w:rsidR="00547278">
        <w:rPr>
          <w:rFonts w:cstheme="minorHAnsi"/>
          <w:noProof/>
          <w:szCs w:val="24"/>
        </w:rPr>
        <w:t>8</w:t>
      </w:r>
      <w:r w:rsidRPr="00C86111">
        <w:rPr>
          <w:rFonts w:cstheme="minorHAnsi"/>
          <w:noProof/>
          <w:szCs w:val="24"/>
        </w:rPr>
        <w:t xml:space="preserve"> dat je prikaz količina građevinskog otpada i procjenjenih količina HBCD u otpadu u Crnoj Gori za period 2011-2023. godina.</w:t>
      </w:r>
    </w:p>
    <w:p w14:paraId="73187E8B" w14:textId="77777777" w:rsidR="00A0529E" w:rsidRPr="00C86111" w:rsidRDefault="00A0529E" w:rsidP="00A0529E">
      <w:pPr>
        <w:jc w:val="both"/>
        <w:rPr>
          <w:rFonts w:cstheme="minorHAnsi"/>
          <w:i/>
          <w:color w:val="000000"/>
          <w:szCs w:val="24"/>
          <w:lang w:val="sr-Latn-RS"/>
        </w:rPr>
      </w:pPr>
      <w:r w:rsidRPr="00C86111">
        <w:rPr>
          <w:rFonts w:cstheme="minorHAnsi"/>
          <w:noProof/>
          <w:szCs w:val="24"/>
        </w:rPr>
        <w:drawing>
          <wp:inline distT="0" distB="0" distL="0" distR="0" wp14:anchorId="75269AD3" wp14:editId="1B725B83">
            <wp:extent cx="4933315" cy="2165350"/>
            <wp:effectExtent l="0" t="0" r="635" b="6350"/>
            <wp:docPr id="208186501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BB8B57" w14:textId="0039D84E" w:rsidR="00A0529E" w:rsidRPr="00C86111" w:rsidRDefault="00CB2BBA" w:rsidP="00A0529E">
      <w:pPr>
        <w:jc w:val="both"/>
        <w:rPr>
          <w:rFonts w:cstheme="minorHAnsi"/>
          <w:iCs/>
          <w:szCs w:val="24"/>
          <w:lang w:val="sr-Latn-ME"/>
        </w:rPr>
      </w:pPr>
      <w:r w:rsidRPr="00C86111">
        <w:rPr>
          <w:rFonts w:cstheme="minorHAnsi"/>
          <w:b/>
          <w:bCs/>
          <w:iCs/>
          <w:color w:val="000000"/>
          <w:szCs w:val="24"/>
          <w:lang w:val="sr-Latn-RS"/>
        </w:rPr>
        <w:t>Grafik 2</w:t>
      </w:r>
      <w:r w:rsidR="00547278">
        <w:rPr>
          <w:rFonts w:cstheme="minorHAnsi"/>
          <w:b/>
          <w:bCs/>
          <w:iCs/>
          <w:color w:val="000000"/>
          <w:szCs w:val="24"/>
          <w:lang w:val="sr-Latn-RS"/>
        </w:rPr>
        <w:t>8</w:t>
      </w:r>
      <w:r w:rsidR="00A0529E" w:rsidRPr="00C86111">
        <w:rPr>
          <w:rFonts w:cstheme="minorHAnsi"/>
          <w:b/>
          <w:bCs/>
          <w:iCs/>
          <w:color w:val="000000"/>
          <w:szCs w:val="24"/>
          <w:lang w:val="sr-Latn-RS"/>
        </w:rPr>
        <w:t>.</w:t>
      </w:r>
      <w:r w:rsidR="00A0529E" w:rsidRPr="00C86111">
        <w:rPr>
          <w:rFonts w:cstheme="minorHAnsi"/>
          <w:iCs/>
          <w:color w:val="000000"/>
          <w:szCs w:val="24"/>
          <w:lang w:val="sr-Latn-RS"/>
        </w:rPr>
        <w:t xml:space="preserve"> Količine građevinskog otpada i procjenjenih količina HBCD u otpadu u Crnoj Gori </w:t>
      </w:r>
      <w:r w:rsidR="00A0529E" w:rsidRPr="00C86111">
        <w:rPr>
          <w:rFonts w:cstheme="minorHAnsi"/>
          <w:iCs/>
          <w:szCs w:val="24"/>
          <w:lang w:val="sr-Latn-ME"/>
        </w:rPr>
        <w:t xml:space="preserve">za </w:t>
      </w:r>
      <w:bookmarkStart w:id="184" w:name="_Hlk184405105"/>
      <w:r w:rsidR="00A0529E" w:rsidRPr="00C86111">
        <w:rPr>
          <w:rFonts w:cstheme="minorHAnsi"/>
          <w:iCs/>
          <w:szCs w:val="24"/>
          <w:lang w:val="sr-Latn-ME"/>
        </w:rPr>
        <w:t xml:space="preserve">periode 2011-2023. godina </w:t>
      </w:r>
    </w:p>
    <w:p w14:paraId="07F9C90D" w14:textId="77777777" w:rsidR="00F20120" w:rsidRPr="00C86111" w:rsidRDefault="00F20120" w:rsidP="00A0529E">
      <w:pPr>
        <w:jc w:val="both"/>
        <w:rPr>
          <w:rFonts w:cstheme="minorHAnsi"/>
          <w:iCs/>
          <w:szCs w:val="24"/>
          <w:lang w:val="sr-Latn-ME"/>
        </w:rPr>
      </w:pPr>
    </w:p>
    <w:p w14:paraId="6EDD515C" w14:textId="1C9F4099" w:rsidR="00A0529E" w:rsidRPr="00C86111" w:rsidRDefault="00CB2BBA" w:rsidP="00A0529E">
      <w:pPr>
        <w:jc w:val="both"/>
        <w:rPr>
          <w:rFonts w:cstheme="minorHAnsi"/>
          <w:szCs w:val="24"/>
          <w:lang w:val="sr-Latn-ME"/>
        </w:rPr>
      </w:pPr>
      <w:r w:rsidRPr="00C86111">
        <w:rPr>
          <w:rFonts w:cstheme="minorHAnsi"/>
          <w:szCs w:val="24"/>
          <w:lang w:val="sr-Latn-ME"/>
        </w:rPr>
        <w:t>Grafik 2</w:t>
      </w:r>
      <w:r w:rsidR="00547278">
        <w:rPr>
          <w:rFonts w:cstheme="minorHAnsi"/>
          <w:szCs w:val="24"/>
          <w:lang w:val="sr-Latn-ME"/>
        </w:rPr>
        <w:t>9</w:t>
      </w:r>
      <w:r w:rsidR="00A0529E" w:rsidRPr="00C86111">
        <w:rPr>
          <w:rFonts w:cstheme="minorHAnsi"/>
          <w:szCs w:val="24"/>
          <w:lang w:val="sr-Latn-ME"/>
        </w:rPr>
        <w:t xml:space="preserve"> prikazuje </w:t>
      </w:r>
      <w:r w:rsidR="00A0529E" w:rsidRPr="00C86111">
        <w:rPr>
          <w:rFonts w:cstheme="minorHAnsi"/>
          <w:color w:val="000000"/>
          <w:szCs w:val="24"/>
          <w:lang w:val="sr-Latn-RS"/>
        </w:rPr>
        <w:t xml:space="preserve">količine građevinskog otpada u Crnoj Gori </w:t>
      </w:r>
      <w:r w:rsidR="00A0529E" w:rsidRPr="00C86111">
        <w:rPr>
          <w:rFonts w:cstheme="minorHAnsi"/>
          <w:szCs w:val="24"/>
          <w:lang w:val="sr-Latn-ME"/>
        </w:rPr>
        <w:t>za period 2011-2023. godina.</w:t>
      </w:r>
    </w:p>
    <w:p w14:paraId="3B871E93" w14:textId="77777777" w:rsidR="00A0529E" w:rsidRPr="00C86111" w:rsidRDefault="00A0529E" w:rsidP="00A0529E">
      <w:pPr>
        <w:jc w:val="both"/>
        <w:rPr>
          <w:rFonts w:cstheme="minorHAnsi"/>
          <w:szCs w:val="24"/>
          <w:lang w:val="sr-Latn-ME"/>
        </w:rPr>
      </w:pPr>
    </w:p>
    <w:p w14:paraId="49ACB376" w14:textId="77777777" w:rsidR="00A0529E" w:rsidRPr="00C86111" w:rsidRDefault="00A0529E" w:rsidP="00A0529E">
      <w:pPr>
        <w:jc w:val="both"/>
        <w:rPr>
          <w:rFonts w:cstheme="minorHAnsi"/>
          <w:i/>
          <w:iCs/>
          <w:szCs w:val="24"/>
          <w:lang w:val="sr-Latn-ME"/>
        </w:rPr>
      </w:pPr>
      <w:r w:rsidRPr="00C86111">
        <w:rPr>
          <w:rFonts w:cstheme="minorHAnsi"/>
          <w:noProof/>
          <w:szCs w:val="24"/>
        </w:rPr>
        <w:drawing>
          <wp:inline distT="0" distB="0" distL="0" distR="0" wp14:anchorId="77401CB0" wp14:editId="29FA1090">
            <wp:extent cx="5032375" cy="2139950"/>
            <wp:effectExtent l="0" t="0" r="15875" b="12700"/>
            <wp:docPr id="107374183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bookmarkEnd w:id="184"/>
    <w:p w14:paraId="016D8957" w14:textId="102F2016" w:rsidR="00A0529E" w:rsidRPr="00C86111" w:rsidRDefault="00CB2BBA" w:rsidP="00A0529E">
      <w:pPr>
        <w:jc w:val="both"/>
        <w:rPr>
          <w:rFonts w:cstheme="minorHAnsi"/>
          <w:iCs/>
          <w:szCs w:val="24"/>
          <w:lang w:val="sr-Latn-ME"/>
        </w:rPr>
      </w:pPr>
      <w:r w:rsidRPr="00C86111">
        <w:rPr>
          <w:rFonts w:cstheme="minorHAnsi"/>
          <w:b/>
          <w:bCs/>
          <w:iCs/>
          <w:color w:val="000000"/>
          <w:szCs w:val="24"/>
          <w:lang w:val="sr-Latn-RS"/>
        </w:rPr>
        <w:t>Grafik 2</w:t>
      </w:r>
      <w:r w:rsidR="00547278">
        <w:rPr>
          <w:rFonts w:cstheme="minorHAnsi"/>
          <w:b/>
          <w:bCs/>
          <w:iCs/>
          <w:color w:val="000000"/>
          <w:szCs w:val="24"/>
          <w:lang w:val="sr-Latn-RS"/>
        </w:rPr>
        <w:t>9</w:t>
      </w:r>
      <w:r w:rsidR="00A0529E" w:rsidRPr="00C86111">
        <w:rPr>
          <w:rFonts w:cstheme="minorHAnsi"/>
          <w:b/>
          <w:bCs/>
          <w:iCs/>
          <w:color w:val="000000"/>
          <w:szCs w:val="24"/>
          <w:lang w:val="sr-Latn-RS"/>
        </w:rPr>
        <w:t>.</w:t>
      </w:r>
      <w:r w:rsidR="00A0529E" w:rsidRPr="00C86111">
        <w:rPr>
          <w:rFonts w:cstheme="minorHAnsi"/>
          <w:iCs/>
          <w:color w:val="000000"/>
          <w:szCs w:val="24"/>
          <w:lang w:val="sr-Latn-RS"/>
        </w:rPr>
        <w:t xml:space="preserve"> Količine građevinskog otpada u Crnoj Gori </w:t>
      </w:r>
      <w:r w:rsidR="00A0529E" w:rsidRPr="00C86111">
        <w:rPr>
          <w:rFonts w:cstheme="minorHAnsi"/>
          <w:iCs/>
          <w:szCs w:val="24"/>
          <w:lang w:val="sr-Latn-ME"/>
        </w:rPr>
        <w:t xml:space="preserve">za period 2011-2023. godina </w:t>
      </w:r>
    </w:p>
    <w:p w14:paraId="623A8F6B" w14:textId="77777777" w:rsidR="00A0529E" w:rsidRPr="00C86111" w:rsidRDefault="00A0529E" w:rsidP="00A0529E">
      <w:pPr>
        <w:jc w:val="both"/>
        <w:rPr>
          <w:rFonts w:cstheme="minorHAnsi"/>
          <w:noProof/>
          <w:szCs w:val="24"/>
        </w:rPr>
      </w:pPr>
    </w:p>
    <w:p w14:paraId="7B9CDA47" w14:textId="59B1944E" w:rsidR="00A0529E" w:rsidRPr="00C86111" w:rsidRDefault="00A0529E" w:rsidP="00A0529E">
      <w:pPr>
        <w:jc w:val="both"/>
        <w:rPr>
          <w:rFonts w:cstheme="minorHAnsi"/>
          <w:noProof/>
          <w:szCs w:val="24"/>
        </w:rPr>
      </w:pPr>
      <w:r w:rsidRPr="00C86111">
        <w:rPr>
          <w:rFonts w:cstheme="minorHAnsi"/>
          <w:noProof/>
          <w:szCs w:val="24"/>
        </w:rPr>
        <w:t xml:space="preserve">Na </w:t>
      </w:r>
      <w:r w:rsidR="00CB2BBA" w:rsidRPr="00C86111">
        <w:rPr>
          <w:rFonts w:cstheme="minorHAnsi"/>
          <w:noProof/>
          <w:szCs w:val="24"/>
        </w:rPr>
        <w:t xml:space="preserve">grafiku </w:t>
      </w:r>
      <w:r w:rsidR="00547278">
        <w:rPr>
          <w:rFonts w:cstheme="minorHAnsi"/>
          <w:noProof/>
          <w:szCs w:val="24"/>
        </w:rPr>
        <w:t>30</w:t>
      </w:r>
      <w:r w:rsidR="00CB2BBA" w:rsidRPr="00C86111">
        <w:rPr>
          <w:rFonts w:cstheme="minorHAnsi"/>
          <w:noProof/>
          <w:szCs w:val="24"/>
        </w:rPr>
        <w:t>.</w:t>
      </w:r>
      <w:r w:rsidRPr="00C86111">
        <w:rPr>
          <w:rFonts w:cstheme="minorHAnsi"/>
          <w:noProof/>
          <w:szCs w:val="24"/>
        </w:rPr>
        <w:t xml:space="preserve"> dat je prikaz procjenjenih količina HBCD u otpadu u Crnoj Gori za period 2011-2023. godina.</w:t>
      </w:r>
    </w:p>
    <w:p w14:paraId="4B6EDC5D" w14:textId="77777777" w:rsidR="00A0529E" w:rsidRPr="00C86111" w:rsidRDefault="00A0529E" w:rsidP="00A0529E">
      <w:pPr>
        <w:jc w:val="both"/>
        <w:rPr>
          <w:rFonts w:cstheme="minorHAnsi"/>
          <w:iCs/>
          <w:color w:val="000000"/>
          <w:szCs w:val="24"/>
          <w:lang w:val="sr-Latn-RS"/>
        </w:rPr>
      </w:pPr>
    </w:p>
    <w:p w14:paraId="7708BE50" w14:textId="77777777" w:rsidR="00A0529E" w:rsidRPr="00C86111" w:rsidRDefault="00A0529E" w:rsidP="00A0529E">
      <w:pPr>
        <w:jc w:val="both"/>
        <w:rPr>
          <w:rFonts w:cstheme="minorHAnsi"/>
          <w:i/>
          <w:color w:val="000000"/>
          <w:szCs w:val="24"/>
          <w:lang w:val="sr-Latn-RS"/>
        </w:rPr>
      </w:pPr>
      <w:r w:rsidRPr="00C86111">
        <w:rPr>
          <w:rFonts w:cstheme="minorHAnsi"/>
          <w:noProof/>
          <w:szCs w:val="24"/>
        </w:rPr>
        <w:lastRenderedPageBreak/>
        <w:drawing>
          <wp:inline distT="0" distB="0" distL="0" distR="0" wp14:anchorId="28045109" wp14:editId="62AFD2C7">
            <wp:extent cx="5351145" cy="2298700"/>
            <wp:effectExtent l="0" t="0" r="1905" b="6350"/>
            <wp:docPr id="216069054" name="Chart 1">
              <a:extLst xmlns:a="http://schemas.openxmlformats.org/drawingml/2006/main">
                <a:ext uri="{FF2B5EF4-FFF2-40B4-BE49-F238E27FC236}">
                  <a16:creationId xmlns:a16="http://schemas.microsoft.com/office/drawing/2014/main" id="{CAA1D6D8-8181-748E-AFDA-F727CA7A8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579FDCC" w14:textId="0103BD44" w:rsidR="00A0529E" w:rsidRPr="00C86111" w:rsidRDefault="00CB2BBA" w:rsidP="00A0529E">
      <w:pPr>
        <w:jc w:val="both"/>
        <w:rPr>
          <w:rFonts w:cstheme="minorHAnsi"/>
          <w:iCs/>
          <w:szCs w:val="24"/>
          <w:lang w:val="sr-Latn-ME"/>
        </w:rPr>
      </w:pPr>
      <w:r w:rsidRPr="00C86111">
        <w:rPr>
          <w:rFonts w:cstheme="minorHAnsi"/>
          <w:b/>
          <w:bCs/>
          <w:iCs/>
          <w:color w:val="000000"/>
          <w:szCs w:val="24"/>
          <w:lang w:val="sr-Latn-RS"/>
        </w:rPr>
        <w:t xml:space="preserve">Grafik </w:t>
      </w:r>
      <w:r w:rsidR="00547278">
        <w:rPr>
          <w:rFonts w:cstheme="minorHAnsi"/>
          <w:b/>
          <w:bCs/>
          <w:iCs/>
          <w:color w:val="000000"/>
          <w:szCs w:val="24"/>
          <w:lang w:val="sr-Latn-RS"/>
        </w:rPr>
        <w:t>30</w:t>
      </w:r>
      <w:r w:rsidRPr="00C86111">
        <w:rPr>
          <w:rFonts w:cstheme="minorHAnsi"/>
          <w:b/>
          <w:bCs/>
          <w:iCs/>
          <w:color w:val="000000"/>
          <w:szCs w:val="24"/>
          <w:lang w:val="sr-Latn-RS"/>
        </w:rPr>
        <w:t>.</w:t>
      </w:r>
      <w:r w:rsidR="00A0529E" w:rsidRPr="00C86111">
        <w:rPr>
          <w:rFonts w:cstheme="minorHAnsi"/>
          <w:iCs/>
          <w:color w:val="000000"/>
          <w:szCs w:val="24"/>
          <w:lang w:val="sr-Latn-RS"/>
        </w:rPr>
        <w:t xml:space="preserve"> Količine HBCD iz građevinskog otpada u Crnoj Gori </w:t>
      </w:r>
      <w:r w:rsidR="00A0529E" w:rsidRPr="00C86111">
        <w:rPr>
          <w:rFonts w:cstheme="minorHAnsi"/>
          <w:iCs/>
          <w:szCs w:val="24"/>
          <w:lang w:val="sr-Latn-ME"/>
        </w:rPr>
        <w:t xml:space="preserve">za period 2011-2023. godina </w:t>
      </w:r>
    </w:p>
    <w:p w14:paraId="540A42F7" w14:textId="77777777" w:rsidR="00A0529E" w:rsidRPr="00C86111" w:rsidRDefault="00A0529E" w:rsidP="00A0529E">
      <w:pPr>
        <w:jc w:val="both"/>
        <w:rPr>
          <w:rFonts w:cstheme="minorHAnsi"/>
          <w:iCs/>
          <w:color w:val="000000"/>
          <w:szCs w:val="24"/>
          <w:lang w:val="sr-Latn-RS"/>
        </w:rPr>
      </w:pPr>
    </w:p>
    <w:p w14:paraId="28B7DEFD" w14:textId="2E35A8AE" w:rsidR="00A0529E" w:rsidRPr="00C86111" w:rsidRDefault="00A0529E" w:rsidP="00A0529E">
      <w:pPr>
        <w:jc w:val="both"/>
        <w:rPr>
          <w:rFonts w:cstheme="minorHAnsi"/>
          <w:iCs/>
          <w:color w:val="000000"/>
          <w:szCs w:val="24"/>
          <w:lang w:val="sr-Latn-RS"/>
        </w:rPr>
      </w:pPr>
      <w:r w:rsidRPr="00C86111">
        <w:rPr>
          <w:rFonts w:cstheme="minorHAnsi"/>
          <w:iCs/>
          <w:color w:val="000000"/>
          <w:szCs w:val="24"/>
          <w:lang w:val="sr-Latn-RS"/>
        </w:rPr>
        <w:t xml:space="preserve">U Tabeli </w:t>
      </w:r>
      <w:r w:rsidR="00862B9D" w:rsidRPr="00C86111">
        <w:rPr>
          <w:rFonts w:cstheme="minorHAnsi"/>
          <w:iCs/>
          <w:color w:val="000000"/>
          <w:szCs w:val="24"/>
          <w:lang w:val="sr-Latn-RS"/>
        </w:rPr>
        <w:t>66</w:t>
      </w:r>
      <w:r w:rsidRPr="00C86111">
        <w:rPr>
          <w:rFonts w:cstheme="minorHAnsi"/>
          <w:iCs/>
          <w:color w:val="000000"/>
          <w:szCs w:val="24"/>
          <w:lang w:val="sr-Latn-RS"/>
        </w:rPr>
        <w:t xml:space="preserve">. i na </w:t>
      </w:r>
      <w:r w:rsidR="00862B9D" w:rsidRPr="00C86111">
        <w:rPr>
          <w:rFonts w:cstheme="minorHAnsi"/>
          <w:iCs/>
          <w:color w:val="000000"/>
          <w:szCs w:val="24"/>
          <w:lang w:val="sr-Latn-RS"/>
        </w:rPr>
        <w:t xml:space="preserve">grafiku </w:t>
      </w:r>
      <w:r w:rsidR="00547278">
        <w:rPr>
          <w:rFonts w:cstheme="minorHAnsi"/>
          <w:iCs/>
          <w:color w:val="000000"/>
          <w:szCs w:val="24"/>
          <w:lang w:val="sr-Latn-RS"/>
        </w:rPr>
        <w:t>31</w:t>
      </w:r>
      <w:r w:rsidRPr="00C86111">
        <w:rPr>
          <w:rFonts w:cstheme="minorHAnsi"/>
          <w:iCs/>
          <w:color w:val="000000"/>
          <w:szCs w:val="24"/>
          <w:lang w:val="sr-Latn-RS"/>
        </w:rPr>
        <w:t xml:space="preserve"> prikazan je trend procijenjenih količina HBCD iz otpada za periode 2007-2016. godina i 2017-2023. godina. Zaključuje se da u ovom slučaju posotoji blaži tend uvećanja količine HBCD.</w:t>
      </w:r>
    </w:p>
    <w:p w14:paraId="7CB36C72" w14:textId="77777777" w:rsidR="00862B9D" w:rsidRPr="00C86111" w:rsidRDefault="00862B9D" w:rsidP="00A0529E">
      <w:pPr>
        <w:jc w:val="both"/>
        <w:rPr>
          <w:rFonts w:cstheme="minorHAnsi"/>
          <w:iCs/>
          <w:color w:val="000000"/>
          <w:szCs w:val="24"/>
          <w:lang w:val="sr-Latn-RS"/>
        </w:rPr>
      </w:pPr>
    </w:p>
    <w:p w14:paraId="30F260E9" w14:textId="36FDA305" w:rsidR="00A0529E" w:rsidRPr="00C86111" w:rsidRDefault="00A0529E" w:rsidP="00A0529E">
      <w:pPr>
        <w:jc w:val="both"/>
        <w:rPr>
          <w:rFonts w:cstheme="minorHAnsi"/>
          <w:iCs/>
          <w:szCs w:val="24"/>
          <w:lang w:val="sr-Latn-ME"/>
        </w:rPr>
      </w:pPr>
      <w:r w:rsidRPr="00C86111">
        <w:rPr>
          <w:rFonts w:cstheme="minorHAnsi"/>
          <w:b/>
          <w:bCs/>
          <w:iCs/>
          <w:color w:val="000000"/>
          <w:szCs w:val="24"/>
          <w:lang w:val="sr-Latn-RS"/>
        </w:rPr>
        <w:t xml:space="preserve">Tabela </w:t>
      </w:r>
      <w:r w:rsidR="00862B9D" w:rsidRPr="00C86111">
        <w:rPr>
          <w:rFonts w:cstheme="minorHAnsi"/>
          <w:b/>
          <w:bCs/>
          <w:iCs/>
          <w:color w:val="000000"/>
          <w:szCs w:val="24"/>
          <w:lang w:val="sr-Latn-RS"/>
        </w:rPr>
        <w:t>66</w:t>
      </w:r>
      <w:r w:rsidRPr="00C86111">
        <w:rPr>
          <w:rFonts w:cstheme="minorHAnsi"/>
          <w:b/>
          <w:bCs/>
          <w:iCs/>
          <w:color w:val="000000"/>
          <w:szCs w:val="24"/>
          <w:lang w:val="sr-Latn-RS"/>
        </w:rPr>
        <w:t>.</w:t>
      </w:r>
      <w:r w:rsidRPr="00C86111">
        <w:rPr>
          <w:rFonts w:cstheme="minorHAnsi"/>
          <w:iCs/>
          <w:color w:val="000000"/>
          <w:szCs w:val="24"/>
          <w:lang w:val="sr-Latn-RS"/>
        </w:rPr>
        <w:t xml:space="preserve"> Trend procjenjenih količina HBCD u otpadu u Crnoj Gori </w:t>
      </w:r>
      <w:r w:rsidRPr="00C86111">
        <w:rPr>
          <w:rFonts w:cstheme="minorHAnsi"/>
          <w:iCs/>
          <w:szCs w:val="24"/>
          <w:lang w:val="sr-Latn-ME"/>
        </w:rPr>
        <w:t xml:space="preserve">za periode 2007-2016. godina i 2017-2023. godina </w:t>
      </w:r>
    </w:p>
    <w:p w14:paraId="5D7C8BAE" w14:textId="77777777" w:rsidR="00A0529E" w:rsidRPr="00C86111" w:rsidRDefault="00A0529E" w:rsidP="00A0529E">
      <w:pPr>
        <w:jc w:val="both"/>
        <w:rPr>
          <w:rFonts w:cstheme="minorHAnsi"/>
          <w:i/>
          <w:iCs/>
          <w:szCs w:val="24"/>
          <w:lang w:val="sr-Latn-ME"/>
        </w:rPr>
      </w:pPr>
    </w:p>
    <w:tbl>
      <w:tblPr>
        <w:tblStyle w:val="GridTable5Dark-Accent6"/>
        <w:tblW w:w="0" w:type="auto"/>
        <w:tblLook w:val="04A0" w:firstRow="1" w:lastRow="0" w:firstColumn="1" w:lastColumn="0" w:noHBand="0" w:noVBand="1"/>
      </w:tblPr>
      <w:tblGrid>
        <w:gridCol w:w="4675"/>
        <w:gridCol w:w="2340"/>
        <w:gridCol w:w="2335"/>
      </w:tblGrid>
      <w:tr w:rsidR="00A0529E" w:rsidRPr="00C86111" w14:paraId="28A59EE8"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tcPr>
          <w:p w14:paraId="0E078587" w14:textId="77777777" w:rsidR="00A0529E" w:rsidRPr="00C86111" w:rsidRDefault="00A0529E" w:rsidP="00BC765B">
            <w:pPr>
              <w:jc w:val="both"/>
              <w:rPr>
                <w:rFonts w:cstheme="minorHAnsi"/>
                <w:sz w:val="20"/>
                <w:szCs w:val="20"/>
                <w:lang w:val="sr-Latn-ME"/>
              </w:rPr>
            </w:pPr>
          </w:p>
        </w:tc>
        <w:tc>
          <w:tcPr>
            <w:tcW w:w="4675" w:type="dxa"/>
            <w:gridSpan w:val="2"/>
          </w:tcPr>
          <w:p w14:paraId="519A546C" w14:textId="77777777" w:rsidR="00A0529E" w:rsidRPr="00C86111" w:rsidRDefault="00A0529E" w:rsidP="00BC765B">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Period</w:t>
            </w:r>
          </w:p>
        </w:tc>
      </w:tr>
      <w:tr w:rsidR="00A0529E" w:rsidRPr="00C86111" w14:paraId="08AA39E8"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14:paraId="74CE04CB" w14:textId="77777777" w:rsidR="00A0529E" w:rsidRPr="00C86111" w:rsidRDefault="00A0529E" w:rsidP="00BC765B">
            <w:pPr>
              <w:jc w:val="both"/>
              <w:rPr>
                <w:rFonts w:cstheme="minorHAnsi"/>
                <w:sz w:val="20"/>
                <w:szCs w:val="20"/>
                <w:lang w:val="sr-Latn-ME"/>
              </w:rPr>
            </w:pPr>
          </w:p>
        </w:tc>
        <w:tc>
          <w:tcPr>
            <w:tcW w:w="2340" w:type="dxa"/>
          </w:tcPr>
          <w:p w14:paraId="1E9AC9C6"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sr-Latn-ME"/>
              </w:rPr>
            </w:pPr>
            <w:r w:rsidRPr="00C86111">
              <w:rPr>
                <w:rFonts w:cstheme="minorHAnsi"/>
                <w:b/>
                <w:bCs/>
                <w:sz w:val="20"/>
                <w:szCs w:val="20"/>
                <w:lang w:val="sr-Latn-ME"/>
              </w:rPr>
              <w:t>2007-2016.</w:t>
            </w:r>
          </w:p>
        </w:tc>
        <w:tc>
          <w:tcPr>
            <w:tcW w:w="2335" w:type="dxa"/>
          </w:tcPr>
          <w:p w14:paraId="333B654E" w14:textId="77777777" w:rsidR="00A0529E" w:rsidRPr="00C86111" w:rsidRDefault="00A0529E" w:rsidP="00BC765B">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sr-Latn-ME"/>
              </w:rPr>
            </w:pPr>
            <w:r w:rsidRPr="00C86111">
              <w:rPr>
                <w:rFonts w:cstheme="minorHAnsi"/>
                <w:b/>
                <w:bCs/>
                <w:sz w:val="20"/>
                <w:szCs w:val="20"/>
                <w:lang w:val="sr-Latn-ME"/>
              </w:rPr>
              <w:t>2017-2023. godina</w:t>
            </w:r>
          </w:p>
        </w:tc>
      </w:tr>
      <w:tr w:rsidR="00A0529E" w:rsidRPr="00C86111" w14:paraId="748F6C29" w14:textId="77777777" w:rsidTr="00BC765B">
        <w:tc>
          <w:tcPr>
            <w:cnfStyle w:val="001000000000" w:firstRow="0" w:lastRow="0" w:firstColumn="1" w:lastColumn="0" w:oddVBand="0" w:evenVBand="0" w:oddHBand="0" w:evenHBand="0" w:firstRowFirstColumn="0" w:firstRowLastColumn="0" w:lastRowFirstColumn="0" w:lastRowLastColumn="0"/>
            <w:tcW w:w="4675" w:type="dxa"/>
          </w:tcPr>
          <w:p w14:paraId="057C2139" w14:textId="77777777" w:rsidR="00A0529E" w:rsidRPr="00C86111" w:rsidRDefault="00A0529E" w:rsidP="00BC765B">
            <w:pPr>
              <w:jc w:val="both"/>
              <w:rPr>
                <w:rFonts w:cstheme="minorHAnsi"/>
                <w:sz w:val="20"/>
                <w:szCs w:val="20"/>
                <w:lang w:val="sr-Latn-ME"/>
              </w:rPr>
            </w:pPr>
            <w:r w:rsidRPr="00C86111">
              <w:rPr>
                <w:rFonts w:cstheme="minorHAnsi"/>
                <w:sz w:val="20"/>
                <w:szCs w:val="20"/>
                <w:lang w:val="sr-Latn-ME"/>
              </w:rPr>
              <w:t>Procjenjena količina HBCD (t)</w:t>
            </w:r>
          </w:p>
        </w:tc>
        <w:tc>
          <w:tcPr>
            <w:tcW w:w="2340" w:type="dxa"/>
          </w:tcPr>
          <w:p w14:paraId="06133412"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4,83</w:t>
            </w:r>
          </w:p>
        </w:tc>
        <w:tc>
          <w:tcPr>
            <w:tcW w:w="2335" w:type="dxa"/>
          </w:tcPr>
          <w:p w14:paraId="29C13809" w14:textId="77777777" w:rsidR="00A0529E" w:rsidRPr="00C86111" w:rsidRDefault="00A0529E" w:rsidP="00BC765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C86111">
              <w:rPr>
                <w:rFonts w:cstheme="minorHAnsi"/>
                <w:sz w:val="20"/>
                <w:szCs w:val="20"/>
                <w:lang w:val="sr-Latn-ME"/>
              </w:rPr>
              <w:t>5,57</w:t>
            </w:r>
          </w:p>
        </w:tc>
      </w:tr>
    </w:tbl>
    <w:p w14:paraId="42879D17" w14:textId="77777777" w:rsidR="00A0529E" w:rsidRPr="00C86111" w:rsidRDefault="00A0529E" w:rsidP="00A0529E">
      <w:pPr>
        <w:jc w:val="both"/>
        <w:rPr>
          <w:rFonts w:cstheme="minorHAnsi"/>
          <w:color w:val="000000"/>
          <w:szCs w:val="24"/>
          <w:lang w:val="sr-Latn-RS"/>
        </w:rPr>
      </w:pPr>
    </w:p>
    <w:p w14:paraId="67A24F46" w14:textId="77777777" w:rsidR="00A0529E" w:rsidRPr="00C86111" w:rsidRDefault="00A0529E" w:rsidP="00862B9D">
      <w:pPr>
        <w:jc w:val="center"/>
        <w:rPr>
          <w:rFonts w:cstheme="minorHAnsi"/>
          <w:color w:val="000000"/>
          <w:szCs w:val="24"/>
          <w:lang w:val="sr-Latn-RS"/>
        </w:rPr>
      </w:pPr>
      <w:r w:rsidRPr="00C86111">
        <w:rPr>
          <w:rFonts w:cstheme="minorHAnsi"/>
          <w:noProof/>
          <w:szCs w:val="24"/>
        </w:rPr>
        <w:drawing>
          <wp:inline distT="0" distB="0" distL="0" distR="0" wp14:anchorId="116FCCB7" wp14:editId="4E256685">
            <wp:extent cx="4572000" cy="2095500"/>
            <wp:effectExtent l="0" t="0" r="0" b="0"/>
            <wp:docPr id="309499685" name="Chart 1">
              <a:extLst xmlns:a="http://schemas.openxmlformats.org/drawingml/2006/main">
                <a:ext uri="{FF2B5EF4-FFF2-40B4-BE49-F238E27FC236}">
                  <a16:creationId xmlns:a16="http://schemas.microsoft.com/office/drawing/2014/main" id="{2DD3BAAF-F345-4D76-9AE7-8A6A6A9A2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CA39ACA" w14:textId="77777777" w:rsidR="00862B9D" w:rsidRPr="00C86111" w:rsidRDefault="00862B9D" w:rsidP="00A0529E">
      <w:pPr>
        <w:jc w:val="both"/>
        <w:rPr>
          <w:rFonts w:cstheme="minorHAnsi"/>
          <w:b/>
          <w:bCs/>
          <w:iCs/>
          <w:color w:val="000000"/>
          <w:szCs w:val="24"/>
          <w:lang w:val="sr-Latn-RS"/>
        </w:rPr>
      </w:pPr>
    </w:p>
    <w:p w14:paraId="58C81B0D" w14:textId="0A27C886" w:rsidR="00A0529E" w:rsidRPr="00C86111" w:rsidRDefault="00862B9D" w:rsidP="00A0529E">
      <w:pPr>
        <w:jc w:val="both"/>
        <w:rPr>
          <w:rFonts w:cstheme="minorHAnsi"/>
          <w:iCs/>
          <w:szCs w:val="24"/>
          <w:lang w:val="sr-Latn-ME"/>
        </w:rPr>
      </w:pPr>
      <w:r w:rsidRPr="00C86111">
        <w:rPr>
          <w:rFonts w:cstheme="minorHAnsi"/>
          <w:b/>
          <w:bCs/>
          <w:iCs/>
          <w:color w:val="000000"/>
          <w:szCs w:val="24"/>
          <w:lang w:val="sr-Latn-RS"/>
        </w:rPr>
        <w:t xml:space="preserve">Grafik </w:t>
      </w:r>
      <w:r w:rsidR="00547278">
        <w:rPr>
          <w:rFonts w:cstheme="minorHAnsi"/>
          <w:b/>
          <w:bCs/>
          <w:iCs/>
          <w:color w:val="000000"/>
          <w:szCs w:val="24"/>
          <w:lang w:val="sr-Latn-RS"/>
        </w:rPr>
        <w:t>31</w:t>
      </w:r>
      <w:r w:rsidR="00A0529E" w:rsidRPr="00C86111">
        <w:rPr>
          <w:rFonts w:cstheme="minorHAnsi"/>
          <w:b/>
          <w:bCs/>
          <w:iCs/>
          <w:color w:val="000000"/>
          <w:szCs w:val="24"/>
          <w:lang w:val="sr-Latn-RS"/>
        </w:rPr>
        <w:t>.</w:t>
      </w:r>
      <w:r w:rsidR="00A0529E" w:rsidRPr="00C86111">
        <w:rPr>
          <w:rFonts w:cstheme="minorHAnsi"/>
          <w:iCs/>
          <w:color w:val="000000"/>
          <w:szCs w:val="24"/>
          <w:lang w:val="sr-Latn-RS"/>
        </w:rPr>
        <w:t xml:space="preserve"> Trend procjenjenih količina HBCD u otpadu u Crnoj Gori </w:t>
      </w:r>
      <w:r w:rsidR="00A0529E" w:rsidRPr="00C86111">
        <w:rPr>
          <w:rFonts w:cstheme="minorHAnsi"/>
          <w:iCs/>
          <w:szCs w:val="24"/>
          <w:lang w:val="sr-Latn-ME"/>
        </w:rPr>
        <w:t xml:space="preserve">za periode  2007-2016. godina i 2017-2023. godina </w:t>
      </w:r>
    </w:p>
    <w:p w14:paraId="4CA00258" w14:textId="77777777" w:rsidR="00F20120" w:rsidRDefault="00F20120" w:rsidP="00A0529E">
      <w:pPr>
        <w:jc w:val="both"/>
        <w:rPr>
          <w:rFonts w:cstheme="minorHAnsi"/>
          <w:iCs/>
          <w:szCs w:val="24"/>
          <w:lang w:val="sr-Latn-ME"/>
        </w:rPr>
      </w:pPr>
    </w:p>
    <w:p w14:paraId="15B69791" w14:textId="77777777" w:rsidR="00F57E42" w:rsidRDefault="00F57E42" w:rsidP="00A0529E">
      <w:pPr>
        <w:jc w:val="both"/>
        <w:rPr>
          <w:rFonts w:cstheme="minorHAnsi"/>
          <w:iCs/>
          <w:szCs w:val="24"/>
          <w:lang w:val="sr-Latn-ME"/>
        </w:rPr>
      </w:pPr>
    </w:p>
    <w:p w14:paraId="198EA300" w14:textId="77777777" w:rsidR="00F57E42" w:rsidRPr="00C86111" w:rsidRDefault="00F57E42" w:rsidP="00A0529E">
      <w:pPr>
        <w:jc w:val="both"/>
        <w:rPr>
          <w:rFonts w:cstheme="minorHAnsi"/>
          <w:iCs/>
          <w:szCs w:val="24"/>
          <w:lang w:val="sr-Latn-ME"/>
        </w:rPr>
      </w:pPr>
    </w:p>
    <w:p w14:paraId="0FC2ADC6" w14:textId="77777777" w:rsidR="00A0529E" w:rsidRPr="00C86111" w:rsidRDefault="00A0529E" w:rsidP="00EA6904">
      <w:pPr>
        <w:pStyle w:val="Heading3"/>
      </w:pPr>
      <w:bookmarkStart w:id="185" w:name="_Toc210651380"/>
      <w:bookmarkStart w:id="186" w:name="_Toc220541927"/>
      <w:r w:rsidRPr="00C86111">
        <w:lastRenderedPageBreak/>
        <w:t>Procijenjena količina HBCD u Crnoj Gori za period 2017-2023. godina</w:t>
      </w:r>
      <w:bookmarkEnd w:id="185"/>
      <w:bookmarkEnd w:id="186"/>
    </w:p>
    <w:p w14:paraId="1FF7D2C0" w14:textId="77777777" w:rsidR="00862B9D" w:rsidRPr="00C86111" w:rsidRDefault="00862B9D" w:rsidP="00862B9D">
      <w:pPr>
        <w:rPr>
          <w:lang w:val="sr-Latn-RS"/>
        </w:rPr>
      </w:pPr>
    </w:p>
    <w:p w14:paraId="3A91358F" w14:textId="77777777" w:rsidR="00A0529E" w:rsidRPr="00C86111" w:rsidRDefault="00A0529E" w:rsidP="00A0529E">
      <w:pPr>
        <w:jc w:val="both"/>
        <w:rPr>
          <w:rFonts w:cstheme="minorHAnsi"/>
          <w:szCs w:val="24"/>
          <w:lang w:val="sr-Latn-RS"/>
        </w:rPr>
      </w:pPr>
      <w:bookmarkStart w:id="187" w:name="_Toc185244084"/>
      <w:bookmarkStart w:id="188" w:name="_Toc210642773"/>
      <w:r w:rsidRPr="00C86111">
        <w:rPr>
          <w:rFonts w:cstheme="minorHAnsi"/>
          <w:szCs w:val="24"/>
          <w:lang w:val="sr-Latn-RS"/>
        </w:rPr>
        <w:t xml:space="preserve">Na osnovu prethodno navedenog zaključuje se da količina HBCD porijeklom iz uvezenih proizvoda koji ga potencijalno sadrže i iz generisanog građevinskog otpada u periodu 2017-2023. godina iznosi </w:t>
      </w:r>
      <w:r w:rsidRPr="00C86111">
        <w:rPr>
          <w:rFonts w:cstheme="minorHAnsi"/>
          <w:b/>
          <w:szCs w:val="24"/>
          <w:lang w:val="sr-Latn-RS"/>
        </w:rPr>
        <w:t>45.526 t</w:t>
      </w:r>
      <w:r w:rsidRPr="00C86111">
        <w:rPr>
          <w:rFonts w:cstheme="minorHAnsi"/>
          <w:szCs w:val="24"/>
          <w:lang w:val="sr-Latn-RS"/>
        </w:rPr>
        <w:t>.</w:t>
      </w:r>
      <w:bookmarkEnd w:id="187"/>
      <w:bookmarkEnd w:id="188"/>
    </w:p>
    <w:p w14:paraId="7A438A63" w14:textId="77777777" w:rsidR="00862B9D" w:rsidRPr="00C86111" w:rsidRDefault="00A0529E" w:rsidP="00004F34">
      <w:pPr>
        <w:pStyle w:val="Heading1"/>
        <w:numPr>
          <w:ilvl w:val="1"/>
          <w:numId w:val="238"/>
        </w:numPr>
      </w:pPr>
      <w:bookmarkStart w:id="189" w:name="_Toc210651381"/>
      <w:bookmarkStart w:id="190" w:name="_Toc220541928"/>
      <w:r w:rsidRPr="00C86111">
        <w:t>DISKUSIJA</w:t>
      </w:r>
      <w:bookmarkStart w:id="191" w:name="_Toc210651382"/>
      <w:bookmarkEnd w:id="189"/>
      <w:bookmarkEnd w:id="190"/>
    </w:p>
    <w:p w14:paraId="47A2E6AF" w14:textId="52149276" w:rsidR="00A0529E" w:rsidRPr="00C86111" w:rsidRDefault="00A0529E" w:rsidP="00EA6904">
      <w:pPr>
        <w:pStyle w:val="Heading3"/>
      </w:pPr>
      <w:bookmarkStart w:id="192" w:name="_Toc220541929"/>
      <w:r w:rsidRPr="00C86111">
        <w:t>Manjkavosti i izazovi</w:t>
      </w:r>
      <w:bookmarkEnd w:id="191"/>
      <w:bookmarkEnd w:id="192"/>
    </w:p>
    <w:p w14:paraId="65B57432" w14:textId="77777777" w:rsidR="00862B9D" w:rsidRPr="00C86111" w:rsidRDefault="00862B9D" w:rsidP="00862B9D">
      <w:pPr>
        <w:rPr>
          <w:lang w:val="sr-Latn-ME"/>
        </w:rPr>
      </w:pPr>
    </w:p>
    <w:p w14:paraId="4F78AE00" w14:textId="77777777" w:rsidR="00A0529E" w:rsidRPr="00C86111" w:rsidRDefault="00A0529E" w:rsidP="00A0529E">
      <w:pPr>
        <w:jc w:val="both"/>
        <w:rPr>
          <w:rFonts w:cstheme="minorHAnsi"/>
          <w:szCs w:val="24"/>
          <w:lang w:val="sr-Latn-RS"/>
        </w:rPr>
      </w:pPr>
      <w:r w:rsidRPr="00C86111">
        <w:rPr>
          <w:rFonts w:cstheme="minorHAnsi"/>
          <w:szCs w:val="24"/>
          <w:lang w:val="sr-Latn-RS"/>
        </w:rPr>
        <w:t xml:space="preserve">Upravljanje heksabromociklododekanom (HBCD) ima niz izazova i nedostataka koje je potrebno riješiti kako bi se smanjio njegov negativni ekološki i zdravstveni uticaj. </w:t>
      </w:r>
    </w:p>
    <w:p w14:paraId="290208BC" w14:textId="77777777" w:rsidR="00A0529E" w:rsidRPr="00C86111" w:rsidRDefault="00A0529E" w:rsidP="00EA6904">
      <w:pPr>
        <w:pStyle w:val="Heading4"/>
        <w:rPr>
          <w:lang w:val="sr-Latn-RS"/>
        </w:rPr>
      </w:pPr>
      <w:r w:rsidRPr="00C86111">
        <w:rPr>
          <w:lang w:val="sr-Latn-RS"/>
        </w:rPr>
        <w:t>Nedostatak alternativa za HBCD</w:t>
      </w:r>
    </w:p>
    <w:p w14:paraId="592EEF66" w14:textId="43C9E640" w:rsidR="00862B9D" w:rsidRPr="00C86111" w:rsidRDefault="00A0529E" w:rsidP="00A0529E">
      <w:pPr>
        <w:jc w:val="both"/>
        <w:rPr>
          <w:rFonts w:cstheme="minorHAnsi"/>
          <w:szCs w:val="24"/>
          <w:lang w:val="sr-Latn-RS"/>
        </w:rPr>
      </w:pPr>
      <w:r w:rsidRPr="00C86111">
        <w:rPr>
          <w:rFonts w:cstheme="minorHAnsi"/>
          <w:szCs w:val="24"/>
          <w:lang w:val="sr-Latn-RS"/>
        </w:rPr>
        <w:t>Iako je HBCD široko korišćen usporivač gorenja, naročito u građevinskim izolacionim materijalima i tekstilu, u Crnoj Gori se još uvijek ne razmatra upotreba dovoljno sigurnih, efikasnih i isplativih alternativa. Stoga je potrebno uložiti napor i promovisati primjenu sigurnih, efikasnih i održivih alternativa za HBCD. Ove alternative treba birati na način da zadovolje standarde bezbjednosti u vezi sa požarima, a da ne uzrokuju dugoročne ekološke ili zdravstvene rizike.</w:t>
      </w:r>
    </w:p>
    <w:p w14:paraId="368F123B" w14:textId="3FEA7BC7" w:rsidR="00A0529E" w:rsidRPr="00C86111" w:rsidRDefault="00A0529E" w:rsidP="00EA6904">
      <w:pPr>
        <w:pStyle w:val="Heading4"/>
        <w:rPr>
          <w:lang w:val="sr-Latn-RS"/>
        </w:rPr>
      </w:pPr>
      <w:r w:rsidRPr="00C86111">
        <w:rPr>
          <w:lang w:val="sr-Latn-RS"/>
        </w:rPr>
        <w:t>Nedostatak sveobuhvatnog upravljanja proizvodima koji sadrže HBCD a koji nijesu za dalje korišćenje</w:t>
      </w:r>
    </w:p>
    <w:p w14:paraId="29BB246C" w14:textId="7ECFF146" w:rsidR="00A0529E" w:rsidRPr="00C86111" w:rsidRDefault="00A0529E" w:rsidP="00A0529E">
      <w:pPr>
        <w:jc w:val="both"/>
        <w:rPr>
          <w:rFonts w:cstheme="minorHAnsi"/>
          <w:szCs w:val="24"/>
          <w:lang w:val="sr-Latn-RS"/>
        </w:rPr>
      </w:pPr>
      <w:r w:rsidRPr="00C86111">
        <w:rPr>
          <w:rFonts w:cstheme="minorHAnsi"/>
          <w:szCs w:val="24"/>
          <w:lang w:val="sr-Latn-RS"/>
        </w:rPr>
        <w:t>Nedostaju efikasne strategije</w:t>
      </w:r>
      <w:r w:rsidR="00862B9D" w:rsidRPr="00C86111">
        <w:rPr>
          <w:rFonts w:cstheme="minorHAnsi"/>
          <w:szCs w:val="24"/>
          <w:lang w:val="sr-Latn-RS"/>
        </w:rPr>
        <w:t>/planovi</w:t>
      </w:r>
      <w:r w:rsidRPr="00C86111">
        <w:rPr>
          <w:rFonts w:cstheme="minorHAnsi"/>
          <w:szCs w:val="24"/>
          <w:lang w:val="sr-Latn-RS"/>
        </w:rPr>
        <w:t xml:space="preserve"> za upravljanje otpadom koji sadrži HBCD, kao što su izolacioni materijali od polistirena. Neadekvatno odlaganje dovodi do zagađenja životne sredine zbog postojanosti HBCD. Potrebno je razviti i primijeniti sigurne protokole za odlaganje i upravljanje otpadom, uključujući posebne smjernice i infrastrukturu za njegovo prikupljanje, tretman i konačno zbrinjavanje.</w:t>
      </w:r>
    </w:p>
    <w:p w14:paraId="0B71058D" w14:textId="77777777" w:rsidR="00A0529E" w:rsidRPr="00C86111" w:rsidRDefault="00A0529E" w:rsidP="00EA6904">
      <w:pPr>
        <w:pStyle w:val="Heading4"/>
        <w:rPr>
          <w:lang w:val="sr-Latn-RS"/>
        </w:rPr>
      </w:pPr>
      <w:r w:rsidRPr="00C86111">
        <w:rPr>
          <w:lang w:val="sr-Latn-RS"/>
        </w:rPr>
        <w:t>Nedovoljna informisanost korisnika i proizvođača</w:t>
      </w:r>
    </w:p>
    <w:p w14:paraId="09EE9C30" w14:textId="77777777" w:rsidR="00A0529E" w:rsidRPr="00C86111" w:rsidRDefault="00A0529E" w:rsidP="00A0529E">
      <w:pPr>
        <w:jc w:val="both"/>
        <w:rPr>
          <w:rFonts w:cstheme="minorHAnsi"/>
          <w:szCs w:val="24"/>
          <w:lang w:val="sr-Latn-RS"/>
        </w:rPr>
      </w:pPr>
      <w:r w:rsidRPr="00C86111">
        <w:rPr>
          <w:rFonts w:cstheme="minorHAnsi"/>
          <w:szCs w:val="24"/>
          <w:lang w:val="sr-Latn-RS"/>
        </w:rPr>
        <w:t>Proizvođači i korisnici nisu dovoljno informisani o opasnostima koje nosi HBCD, što ograničava prelazak na bezbjednije alternative. Važno je pokrenuti kampanje podizanja svijesti i organizovati ciljane obuke za proizvođače, uvoznike, građevinske kompanije i organe upravljanja. Industrijski standardi treba da budu revidirani kako bi se zabranila upotreba HBCD i podstakla upotreba bezbjednih materijala.</w:t>
      </w:r>
    </w:p>
    <w:p w14:paraId="21EA8620" w14:textId="77777777" w:rsidR="00A0529E" w:rsidRPr="00C86111" w:rsidRDefault="00A0529E" w:rsidP="00EA6904">
      <w:pPr>
        <w:pStyle w:val="Heading4"/>
        <w:rPr>
          <w:lang w:val="sr-Latn-ME"/>
        </w:rPr>
      </w:pPr>
      <w:r w:rsidRPr="00C86111">
        <w:rPr>
          <w:lang w:val="sr-Latn-ME"/>
        </w:rPr>
        <w:t>Odložena emisija iz građevinskog sektora</w:t>
      </w:r>
    </w:p>
    <w:p w14:paraId="3D28454E" w14:textId="16B858A8" w:rsidR="00A0529E" w:rsidRPr="00C86111" w:rsidRDefault="00A0529E" w:rsidP="00A0529E">
      <w:pPr>
        <w:jc w:val="both"/>
        <w:rPr>
          <w:rFonts w:cstheme="minorHAnsi"/>
          <w:szCs w:val="24"/>
          <w:lang w:val="sr-Latn-ME"/>
        </w:rPr>
      </w:pPr>
      <w:r w:rsidRPr="00C86111">
        <w:rPr>
          <w:rFonts w:cstheme="minorHAnsi"/>
          <w:szCs w:val="24"/>
          <w:lang w:val="sr-Latn-ME"/>
        </w:rPr>
        <w:t xml:space="preserve">Izolacione ploče koje sadrže HBCD imaju dug životni vijek (20–40 godina), što dovodi do odloženog ispuštanja ove supstance u životnu sredinu. Iz tog razloga „buduća ispuštanja“ treba uvrstiti u dugoročne planove praćenja i projekcije otpada. Potrebno je unaprijed planirati proaktivan pristup sa ciljem podsticaja postepene zamjene alternativama. Takođe je neophodno </w:t>
      </w:r>
      <w:r w:rsidRPr="00C86111">
        <w:rPr>
          <w:rFonts w:cstheme="minorHAnsi"/>
          <w:szCs w:val="24"/>
          <w:lang w:val="sr-Latn-ME"/>
        </w:rPr>
        <w:lastRenderedPageBreak/>
        <w:t>obezbjeđenje sigurnog tretmana otpadnog materijala koji sadrži HBCD na kraju njegovog životnog vijeka.</w:t>
      </w:r>
    </w:p>
    <w:p w14:paraId="4CF78658" w14:textId="68B8CC19" w:rsidR="00A0529E" w:rsidRPr="00C86111" w:rsidRDefault="00862B9D" w:rsidP="00EA6904">
      <w:pPr>
        <w:pStyle w:val="Heading4"/>
        <w:rPr>
          <w:b/>
          <w:lang w:val="sr-Latn-ME"/>
        </w:rPr>
      </w:pPr>
      <w:bookmarkStart w:id="193" w:name="_Toc210651383"/>
      <w:r w:rsidRPr="00C86111">
        <w:rPr>
          <w:lang w:val="sr-Latn-ME"/>
        </w:rPr>
        <w:t>Rezultati</w:t>
      </w:r>
      <w:r w:rsidR="00A0529E" w:rsidRPr="00C86111">
        <w:rPr>
          <w:lang w:val="sr-Latn-ME"/>
        </w:rPr>
        <w:t xml:space="preserve"> inventara</w:t>
      </w:r>
      <w:bookmarkEnd w:id="193"/>
    </w:p>
    <w:p w14:paraId="4EE9C2F9" w14:textId="77777777" w:rsidR="00A0529E" w:rsidRPr="00C86111" w:rsidRDefault="00A0529E" w:rsidP="00A0529E">
      <w:pPr>
        <w:jc w:val="both"/>
        <w:rPr>
          <w:rFonts w:cstheme="minorHAnsi"/>
          <w:szCs w:val="24"/>
          <w:u w:color="000000"/>
          <w:bdr w:val="nil"/>
          <w:lang w:val="sr-Latn-ME"/>
        </w:rPr>
      </w:pPr>
      <w:bookmarkStart w:id="194" w:name="_Toc210642777"/>
      <w:r w:rsidRPr="00C86111">
        <w:rPr>
          <w:rFonts w:cstheme="minorHAnsi"/>
          <w:szCs w:val="24"/>
          <w:u w:color="000000"/>
          <w:bdr w:val="nil"/>
          <w:lang w:val="sr-Latn-ME"/>
        </w:rPr>
        <w:t>Inventar je identifikovao ključne sektore u kojima je korišćen HBCD, uključujući građevinarstvo (EPS/XPS izolacija) i uvezene proizvode. Zbog dugog životnog vijeka proizvoda, većina upotrijebljenog materijala koji sadrži HBCD je još uvijek u upotrebi i još uvek nije prisutna u tokovima otpada. Kao rezultat toga, stvarne emisije su trenutno niske, ali se očekuje da će se povećati u narednim decenijama.</w:t>
      </w:r>
      <w:bookmarkEnd w:id="194"/>
    </w:p>
    <w:p w14:paraId="78E99E99" w14:textId="77777777" w:rsidR="00A0529E" w:rsidRPr="00C86111" w:rsidRDefault="00A0529E" w:rsidP="00A0529E">
      <w:pPr>
        <w:jc w:val="both"/>
        <w:rPr>
          <w:rFonts w:cstheme="minorHAnsi"/>
          <w:szCs w:val="24"/>
          <w:u w:color="000000"/>
          <w:bdr w:val="nil"/>
          <w:lang w:val="sr-Latn-ME"/>
        </w:rPr>
      </w:pPr>
      <w:bookmarkStart w:id="195" w:name="_Toc210642778"/>
      <w:r w:rsidRPr="00C86111">
        <w:rPr>
          <w:rFonts w:cstheme="minorHAnsi"/>
          <w:szCs w:val="24"/>
          <w:u w:color="000000"/>
          <w:bdr w:val="nil"/>
          <w:lang w:val="sr-Latn-ME"/>
        </w:rPr>
        <w:t>Izazovi koji su primjećeni tokom pripreme inventara uključivali su:</w:t>
      </w:r>
      <w:bookmarkEnd w:id="195"/>
    </w:p>
    <w:p w14:paraId="3576531C" w14:textId="77777777" w:rsidR="00A0529E" w:rsidRPr="00C86111" w:rsidRDefault="00A0529E" w:rsidP="00833A40">
      <w:pPr>
        <w:pStyle w:val="ListParagraph"/>
        <w:numPr>
          <w:ilvl w:val="0"/>
          <w:numId w:val="126"/>
        </w:numPr>
        <w:spacing w:after="160" w:line="259" w:lineRule="auto"/>
        <w:jc w:val="both"/>
        <w:rPr>
          <w:rFonts w:cstheme="minorHAnsi"/>
          <w:szCs w:val="24"/>
          <w:u w:color="000000"/>
          <w:bdr w:val="nil"/>
          <w:lang w:val="sr-Latn-ME"/>
        </w:rPr>
      </w:pPr>
      <w:bookmarkStart w:id="196" w:name="_Toc210642779"/>
      <w:r w:rsidRPr="00C86111">
        <w:rPr>
          <w:rFonts w:cstheme="minorHAnsi"/>
          <w:szCs w:val="24"/>
          <w:u w:color="000000"/>
          <w:bdr w:val="nil"/>
          <w:lang w:val="sr-Latn-ME"/>
        </w:rPr>
        <w:t>Ograničenu dostupnost podataka o sastavu proizvoda.</w:t>
      </w:r>
      <w:bookmarkEnd w:id="196"/>
    </w:p>
    <w:p w14:paraId="175F3902" w14:textId="77777777" w:rsidR="00A0529E" w:rsidRPr="00C86111" w:rsidRDefault="00A0529E" w:rsidP="00833A40">
      <w:pPr>
        <w:pStyle w:val="ListParagraph"/>
        <w:numPr>
          <w:ilvl w:val="0"/>
          <w:numId w:val="126"/>
        </w:numPr>
        <w:spacing w:after="160" w:line="259" w:lineRule="auto"/>
        <w:jc w:val="both"/>
        <w:rPr>
          <w:rFonts w:cstheme="minorHAnsi"/>
          <w:szCs w:val="24"/>
          <w:u w:color="000000"/>
          <w:bdr w:val="nil"/>
          <w:lang w:val="sr-Latn-ME"/>
        </w:rPr>
      </w:pPr>
      <w:bookmarkStart w:id="197" w:name="_Toc210642780"/>
      <w:r w:rsidRPr="00C86111">
        <w:rPr>
          <w:rFonts w:cstheme="minorHAnsi"/>
          <w:szCs w:val="24"/>
          <w:u w:color="000000"/>
          <w:bdr w:val="nil"/>
          <w:lang w:val="sr-Latn-ME"/>
        </w:rPr>
        <w:t>Teškoće u praćenju uvoza koji nije obilježen specifičnim hemijskim identifikatorima.</w:t>
      </w:r>
      <w:bookmarkEnd w:id="197"/>
    </w:p>
    <w:p w14:paraId="3B1AC16B" w14:textId="77777777" w:rsidR="00A0529E" w:rsidRPr="00C86111" w:rsidRDefault="00A0529E" w:rsidP="00833A40">
      <w:pPr>
        <w:pStyle w:val="ListParagraph"/>
        <w:numPr>
          <w:ilvl w:val="0"/>
          <w:numId w:val="126"/>
        </w:numPr>
        <w:spacing w:after="160" w:line="259" w:lineRule="auto"/>
        <w:jc w:val="both"/>
        <w:rPr>
          <w:rFonts w:cstheme="minorHAnsi"/>
          <w:szCs w:val="24"/>
          <w:u w:color="000000"/>
          <w:bdr w:val="nil"/>
          <w:lang w:val="sr-Latn-ME"/>
        </w:rPr>
      </w:pPr>
      <w:bookmarkStart w:id="198" w:name="_Toc210642781"/>
      <w:r w:rsidRPr="00C86111">
        <w:rPr>
          <w:rFonts w:cstheme="minorHAnsi"/>
          <w:szCs w:val="24"/>
          <w:u w:color="000000"/>
          <w:bdr w:val="nil"/>
          <w:lang w:val="sr-Latn-ME"/>
        </w:rPr>
        <w:t>Nedostatak nacionalnog monitoringa postojanih organskih zagađivača (POP) u građevinskom i otpadu od rušenja.</w:t>
      </w:r>
      <w:bookmarkEnd w:id="198"/>
    </w:p>
    <w:p w14:paraId="0C7AE87C" w14:textId="77777777" w:rsidR="00A0529E" w:rsidRPr="00C86111" w:rsidRDefault="00A0529E" w:rsidP="00A0529E">
      <w:pPr>
        <w:jc w:val="both"/>
        <w:rPr>
          <w:rFonts w:cstheme="minorHAnsi"/>
          <w:szCs w:val="24"/>
          <w:u w:color="000000"/>
          <w:bdr w:val="nil"/>
          <w:lang w:val="sr-Latn-ME"/>
        </w:rPr>
      </w:pPr>
      <w:bookmarkStart w:id="199" w:name="_Toc210642782"/>
      <w:r w:rsidRPr="00C86111">
        <w:rPr>
          <w:rFonts w:cstheme="minorHAnsi"/>
          <w:szCs w:val="24"/>
          <w:u w:color="000000"/>
          <w:bdr w:val="nil"/>
          <w:lang w:val="sr-Latn-ME"/>
        </w:rPr>
        <w:t>Ova saznanja ukazuju na potrebu za blagovremenim razvijanjem strateških mjera i unapređenjem saradnje sa carinskim organima, uvoznicima i operaterima u oblasti upravljanja otpadom.</w:t>
      </w:r>
      <w:bookmarkEnd w:id="199"/>
    </w:p>
    <w:p w14:paraId="6235A2E1" w14:textId="77777777" w:rsidR="00A0529E" w:rsidRPr="00C86111" w:rsidRDefault="00A0529E" w:rsidP="00004F34">
      <w:pPr>
        <w:pStyle w:val="Heading1"/>
        <w:numPr>
          <w:ilvl w:val="1"/>
          <w:numId w:val="238"/>
        </w:numPr>
      </w:pPr>
      <w:bookmarkStart w:id="200" w:name="_Toc210651384"/>
      <w:bookmarkStart w:id="201" w:name="_Toc220541930"/>
      <w:r w:rsidRPr="00C86111">
        <w:t>ZAKLJUČCI</w:t>
      </w:r>
      <w:bookmarkEnd w:id="200"/>
      <w:bookmarkEnd w:id="201"/>
    </w:p>
    <w:p w14:paraId="3EB676AB" w14:textId="77777777" w:rsidR="00A0529E" w:rsidRPr="00C86111" w:rsidRDefault="00A0529E" w:rsidP="00A0529E">
      <w:pPr>
        <w:jc w:val="both"/>
        <w:rPr>
          <w:rFonts w:cstheme="minorHAnsi"/>
          <w:szCs w:val="24"/>
          <w:lang w:val="sr-Latn-ME"/>
        </w:rPr>
      </w:pPr>
      <w:r w:rsidRPr="00C86111">
        <w:rPr>
          <w:rFonts w:cstheme="minorHAnsi"/>
          <w:szCs w:val="24"/>
          <w:lang w:val="sr-Latn-ME"/>
        </w:rPr>
        <w:t>Ovaj dio dokumenta sadrži zaključke zasnovane na nalazima i proračunima izvršenim u inventaru za HBCD, kao i na gore navedenoj diskusiji. Rezultat je lista problema i identifikovanih nedostataka, izazova i akcija koje bi mogle da čine elemente za akcione planove u okviru ažuriranog Nacionalnog plana implementacije (NIP). Ovim odeljkom, rad na inventaru HBCD se smatra završenim.</w:t>
      </w:r>
    </w:p>
    <w:p w14:paraId="78F34B4B" w14:textId="77777777" w:rsidR="00A0529E" w:rsidRPr="00C86111" w:rsidRDefault="00A0529E" w:rsidP="00A0529E">
      <w:pPr>
        <w:jc w:val="both"/>
        <w:rPr>
          <w:rFonts w:cstheme="minorHAnsi"/>
          <w:szCs w:val="24"/>
          <w:lang w:val="sr-Latn-ME"/>
        </w:rPr>
      </w:pPr>
      <w:r w:rsidRPr="00C86111">
        <w:rPr>
          <w:rFonts w:cstheme="minorHAnsi"/>
          <w:szCs w:val="24"/>
          <w:lang w:val="sr-Latn-ME"/>
        </w:rPr>
        <w:t>Identifikovani nedostaci i izazovi:</w:t>
      </w:r>
    </w:p>
    <w:p w14:paraId="289C7FE6" w14:textId="77777777" w:rsidR="00A0529E" w:rsidRPr="00C86111" w:rsidRDefault="00A0529E" w:rsidP="00833A40">
      <w:pPr>
        <w:pStyle w:val="ListParagraph"/>
        <w:numPr>
          <w:ilvl w:val="0"/>
          <w:numId w:val="127"/>
        </w:numPr>
        <w:spacing w:after="160" w:line="259" w:lineRule="auto"/>
        <w:jc w:val="both"/>
        <w:rPr>
          <w:rFonts w:cstheme="minorHAnsi"/>
          <w:szCs w:val="24"/>
          <w:lang w:val="sr-Latn-ME"/>
        </w:rPr>
      </w:pPr>
      <w:r w:rsidRPr="00C86111">
        <w:rPr>
          <w:rFonts w:cstheme="minorHAnsi"/>
          <w:szCs w:val="24"/>
          <w:lang w:val="sr-Latn-ME"/>
        </w:rPr>
        <w:t>Nedostatak propisa koji ograničavaju upotrebu/uvoz HBCD.</w:t>
      </w:r>
    </w:p>
    <w:p w14:paraId="16E35394" w14:textId="77777777" w:rsidR="00A0529E" w:rsidRPr="00C86111" w:rsidRDefault="00A0529E" w:rsidP="00833A40">
      <w:pPr>
        <w:pStyle w:val="ListParagraph"/>
        <w:numPr>
          <w:ilvl w:val="0"/>
          <w:numId w:val="127"/>
        </w:numPr>
        <w:spacing w:after="160" w:line="259" w:lineRule="auto"/>
        <w:jc w:val="both"/>
        <w:rPr>
          <w:rFonts w:cstheme="minorHAnsi"/>
          <w:szCs w:val="24"/>
          <w:lang w:val="sr-Latn-ME"/>
        </w:rPr>
      </w:pPr>
      <w:r w:rsidRPr="00C86111">
        <w:rPr>
          <w:rFonts w:cstheme="minorHAnsi"/>
          <w:szCs w:val="24"/>
          <w:lang w:val="sr-Latn-ME"/>
        </w:rPr>
        <w:t>Nepostojanje nacionalne strategije za upravljanje otpadom koji sadrži HBCD.</w:t>
      </w:r>
    </w:p>
    <w:p w14:paraId="2A0A1102" w14:textId="77777777" w:rsidR="00A0529E" w:rsidRPr="00C86111" w:rsidRDefault="00A0529E" w:rsidP="00833A40">
      <w:pPr>
        <w:pStyle w:val="ListParagraph"/>
        <w:numPr>
          <w:ilvl w:val="0"/>
          <w:numId w:val="127"/>
        </w:numPr>
        <w:spacing w:after="160" w:line="259" w:lineRule="auto"/>
        <w:jc w:val="both"/>
        <w:rPr>
          <w:rFonts w:cstheme="minorHAnsi"/>
          <w:szCs w:val="24"/>
          <w:lang w:val="sr-Latn-ME"/>
        </w:rPr>
      </w:pPr>
      <w:r w:rsidRPr="00C86111">
        <w:rPr>
          <w:rFonts w:cstheme="minorHAnsi"/>
          <w:szCs w:val="24"/>
          <w:lang w:val="sr-Latn-ME"/>
        </w:rPr>
        <w:t>Nedovoljna svijest javnosti i industrije o rizicima koje HBCD nosi.</w:t>
      </w:r>
    </w:p>
    <w:p w14:paraId="5F3B5510" w14:textId="77777777" w:rsidR="00A0529E" w:rsidRPr="00C86111" w:rsidRDefault="00A0529E" w:rsidP="00833A40">
      <w:pPr>
        <w:pStyle w:val="ListParagraph"/>
        <w:numPr>
          <w:ilvl w:val="0"/>
          <w:numId w:val="127"/>
        </w:numPr>
        <w:spacing w:after="160" w:line="259" w:lineRule="auto"/>
        <w:jc w:val="both"/>
        <w:rPr>
          <w:rFonts w:cstheme="minorHAnsi"/>
          <w:szCs w:val="24"/>
          <w:lang w:val="sr-Latn-ME"/>
        </w:rPr>
      </w:pPr>
      <w:r w:rsidRPr="00C86111">
        <w:rPr>
          <w:rFonts w:cstheme="minorHAnsi"/>
          <w:szCs w:val="24"/>
          <w:lang w:val="sr-Latn-ME"/>
        </w:rPr>
        <w:t>Nedovoljno podataka o proizvodima u opticaju.</w:t>
      </w:r>
    </w:p>
    <w:p w14:paraId="023B30C4" w14:textId="77777777" w:rsidR="00A0529E" w:rsidRPr="00C86111" w:rsidRDefault="00A0529E" w:rsidP="00833A40">
      <w:pPr>
        <w:pStyle w:val="ListParagraph"/>
        <w:numPr>
          <w:ilvl w:val="0"/>
          <w:numId w:val="127"/>
        </w:numPr>
        <w:spacing w:after="160" w:line="259" w:lineRule="auto"/>
        <w:jc w:val="both"/>
        <w:rPr>
          <w:rFonts w:cstheme="minorHAnsi"/>
          <w:szCs w:val="24"/>
          <w:lang w:val="sr-Latn-ME"/>
        </w:rPr>
      </w:pPr>
      <w:r w:rsidRPr="00C86111">
        <w:rPr>
          <w:rFonts w:cstheme="minorHAnsi"/>
          <w:szCs w:val="24"/>
          <w:lang w:val="sr-Latn-ME"/>
        </w:rPr>
        <w:t>Nepostojanje sistema za praćenje trendova ispuštanja HBCD.</w:t>
      </w:r>
    </w:p>
    <w:p w14:paraId="7A18697D" w14:textId="77777777" w:rsidR="00A0529E" w:rsidRPr="00C86111" w:rsidRDefault="00A0529E" w:rsidP="00EA6904">
      <w:pPr>
        <w:pStyle w:val="Heading3"/>
        <w:rPr>
          <w:rStyle w:val="Strong"/>
          <w:b/>
          <w:bCs/>
        </w:rPr>
      </w:pPr>
      <w:bookmarkStart w:id="202" w:name="_Toc210651385"/>
      <w:bookmarkStart w:id="203" w:name="_Toc220541931"/>
      <w:r w:rsidRPr="00C86111">
        <w:rPr>
          <w:rStyle w:val="Strong"/>
          <w:bCs/>
        </w:rPr>
        <w:t>Preporuke/Elementi Akcionog plana</w:t>
      </w:r>
      <w:bookmarkEnd w:id="202"/>
      <w:bookmarkEnd w:id="203"/>
    </w:p>
    <w:p w14:paraId="1593C976" w14:textId="77777777" w:rsidR="00A0529E" w:rsidRPr="00C86111" w:rsidRDefault="00A0529E" w:rsidP="00A0529E">
      <w:pPr>
        <w:jc w:val="both"/>
        <w:rPr>
          <w:rFonts w:eastAsia="Calibri" w:cstheme="minorHAnsi"/>
          <w:color w:val="000000"/>
          <w:szCs w:val="24"/>
          <w:u w:color="000000"/>
          <w:bdr w:val="nil"/>
          <w:lang w:val="sr-Latn-ME"/>
          <w14:textOutline w14:w="0" w14:cap="flat" w14:cmpd="sng" w14:algn="ctr">
            <w14:noFill/>
            <w14:prstDash w14:val="solid"/>
            <w14:bevel/>
          </w14:textOutline>
        </w:rPr>
      </w:pPr>
      <w:r w:rsidRPr="00C86111">
        <w:rPr>
          <w:rFonts w:eastAsia="Calibri" w:cstheme="minorHAnsi"/>
          <w:color w:val="000000"/>
          <w:szCs w:val="24"/>
          <w:u w:color="000000"/>
          <w:bdr w:val="nil"/>
          <w:lang w:val="sr-Latn-ME"/>
          <w14:textOutline w14:w="0" w14:cap="flat" w14:cmpd="sng" w14:algn="ctr">
            <w14:noFill/>
            <w14:prstDash w14:val="solid"/>
            <w14:bevel/>
          </w14:textOutline>
        </w:rPr>
        <w:t>Kako bi se efikasno odgovorilo na nedostatke i izazove identifikovane tokom izrade inventara HBCD, preporučuje se niz međusobno povezanih mjera:</w:t>
      </w:r>
    </w:p>
    <w:p w14:paraId="61A480D1" w14:textId="77777777" w:rsidR="00A0529E" w:rsidRPr="00C86111" w:rsidRDefault="00A0529E" w:rsidP="00833A40">
      <w:pPr>
        <w:pStyle w:val="ListParagraph"/>
        <w:numPr>
          <w:ilvl w:val="0"/>
          <w:numId w:val="128"/>
        </w:numPr>
        <w:spacing w:after="160" w:line="259" w:lineRule="auto"/>
        <w:jc w:val="both"/>
        <w:rPr>
          <w:rFonts w:eastAsia="Calibri" w:cstheme="minorHAnsi"/>
          <w:color w:val="000000"/>
          <w:szCs w:val="24"/>
          <w:u w:color="000000"/>
          <w:bdr w:val="nil"/>
          <w:lang w:val="sr-Latn-ME"/>
          <w14:textOutline w14:w="0" w14:cap="flat" w14:cmpd="sng" w14:algn="ctr">
            <w14:noFill/>
            <w14:prstDash w14:val="solid"/>
            <w14:bevel/>
          </w14:textOutline>
        </w:rPr>
      </w:pPr>
      <w:r w:rsidRPr="00C86111">
        <w:rPr>
          <w:rFonts w:eastAsia="Calibri" w:cstheme="minorHAnsi"/>
          <w:color w:val="000000"/>
          <w:szCs w:val="24"/>
          <w:u w:color="000000"/>
          <w:bdr w:val="nil"/>
          <w:lang w:val="sr-Latn-ME"/>
          <w14:textOutline w14:w="0" w14:cap="flat" w14:cmpd="sng" w14:algn="ctr">
            <w14:noFill/>
            <w14:prstDash w14:val="solid"/>
            <w14:bevel/>
          </w14:textOutline>
        </w:rPr>
        <w:t>Uspostavljanje redovnog ažuriranja inventara i unaprjeđenje mehanizama za izvještavanje o podacima, u saradnji sa carinskim organima i predstavnicima industrije, ključno je za efikasno praćenje i kontrolu. Poseban akcenat je potrebno staviti na adekvatnu obuku carinskih službenika u tumačenju specifikacija proizvoda sa ciljem pravovremenog prepoznavanja prisustva HBCD i zabrane uvoza istih u skladu sa zakonom propisanim restrikcijama.</w:t>
      </w:r>
    </w:p>
    <w:p w14:paraId="7EEEC0AB" w14:textId="77777777" w:rsidR="00A0529E" w:rsidRPr="00C86111" w:rsidRDefault="00A0529E" w:rsidP="00833A40">
      <w:pPr>
        <w:pStyle w:val="ListParagraph"/>
        <w:numPr>
          <w:ilvl w:val="0"/>
          <w:numId w:val="128"/>
        </w:numPr>
        <w:spacing w:after="160" w:line="259" w:lineRule="auto"/>
        <w:jc w:val="both"/>
        <w:rPr>
          <w:rFonts w:eastAsia="Calibri" w:cstheme="minorHAnsi"/>
          <w:color w:val="000000"/>
          <w:szCs w:val="24"/>
          <w:u w:color="000000"/>
          <w:bdr w:val="nil"/>
          <w:lang w:val="sr-Latn-ME"/>
          <w14:textOutline w14:w="0" w14:cap="flat" w14:cmpd="sng" w14:algn="ctr">
            <w14:noFill/>
            <w14:prstDash w14:val="solid"/>
            <w14:bevel/>
          </w14:textOutline>
        </w:rPr>
      </w:pPr>
      <w:r w:rsidRPr="00C86111">
        <w:rPr>
          <w:rFonts w:eastAsia="Calibri" w:cstheme="minorHAnsi"/>
          <w:color w:val="000000"/>
          <w:szCs w:val="24"/>
          <w:u w:color="000000"/>
          <w:bdr w:val="nil"/>
          <w:lang w:val="sr-Latn-ME"/>
          <w14:textOutline w14:w="0" w14:cap="flat" w14:cmpd="sng" w14:algn="ctr">
            <w14:noFill/>
            <w14:prstDash w14:val="solid"/>
            <w14:bevel/>
          </w14:textOutline>
        </w:rPr>
        <w:lastRenderedPageBreak/>
        <w:t>U oblasti upravljanja otpadom i njegovog odlaganja, potrebno je razviti protokole za bezbjednu demontažu i rukovanje materijalima koji sadrže HBCD a koji neće biti u daljoj upotrebi.</w:t>
      </w:r>
    </w:p>
    <w:p w14:paraId="28624BCB" w14:textId="77777777" w:rsidR="00A0529E" w:rsidRPr="00C86111" w:rsidRDefault="00A0529E" w:rsidP="00833A40">
      <w:pPr>
        <w:pStyle w:val="ListParagraph"/>
        <w:numPr>
          <w:ilvl w:val="0"/>
          <w:numId w:val="128"/>
        </w:numPr>
        <w:spacing w:after="160" w:line="259" w:lineRule="auto"/>
        <w:jc w:val="both"/>
        <w:rPr>
          <w:rFonts w:eastAsia="Calibri" w:cstheme="minorHAnsi"/>
          <w:color w:val="000000"/>
          <w:szCs w:val="24"/>
          <w:u w:color="000000"/>
          <w:bdr w:val="nil"/>
          <w:lang w:val="sr-Latn-ME"/>
          <w14:textOutline w14:w="0" w14:cap="flat" w14:cmpd="sng" w14:algn="ctr">
            <w14:noFill/>
            <w14:prstDash w14:val="solid"/>
            <w14:bevel/>
          </w14:textOutline>
        </w:rPr>
      </w:pPr>
      <w:r w:rsidRPr="00C86111">
        <w:rPr>
          <w:rFonts w:eastAsia="Calibri" w:cstheme="minorHAnsi"/>
          <w:color w:val="000000"/>
          <w:szCs w:val="24"/>
          <w:u w:color="000000"/>
          <w:bdr w:val="nil"/>
          <w:lang w:val="sr-Latn-ME"/>
          <w14:textOutline w14:w="0" w14:cap="flat" w14:cmpd="sng" w14:algn="ctr">
            <w14:noFill/>
            <w14:prstDash w14:val="solid"/>
            <w14:bevel/>
          </w14:textOutline>
        </w:rPr>
        <w:t>Paralelno s tim, treba podržati upotrebu bezbjednijih alternativa kroz njihovu promociju, kao i putem subvencija ili drugih podsticaja za usvajanje alternativnih tehnologija.</w:t>
      </w:r>
    </w:p>
    <w:p w14:paraId="5E028555" w14:textId="77777777" w:rsidR="00A0529E" w:rsidRPr="00C86111" w:rsidRDefault="00A0529E" w:rsidP="00833A40">
      <w:pPr>
        <w:pStyle w:val="ListParagraph"/>
        <w:numPr>
          <w:ilvl w:val="0"/>
          <w:numId w:val="128"/>
        </w:numPr>
        <w:spacing w:after="160" w:line="259" w:lineRule="auto"/>
        <w:jc w:val="both"/>
        <w:rPr>
          <w:rFonts w:eastAsia="Calibri" w:cstheme="minorHAnsi"/>
          <w:color w:val="000000"/>
          <w:szCs w:val="24"/>
          <w:u w:color="000000"/>
          <w:bdr w:val="nil"/>
          <w:lang w:val="sr-Latn-ME"/>
          <w14:textOutline w14:w="0" w14:cap="flat" w14:cmpd="sng" w14:algn="ctr">
            <w14:noFill/>
            <w14:prstDash w14:val="solid"/>
            <w14:bevel/>
          </w14:textOutline>
        </w:rPr>
      </w:pPr>
      <w:r w:rsidRPr="00C86111">
        <w:rPr>
          <w:rFonts w:eastAsia="Calibri" w:cstheme="minorHAnsi"/>
          <w:color w:val="000000"/>
          <w:szCs w:val="24"/>
          <w:u w:color="000000"/>
          <w:bdr w:val="nil"/>
          <w:lang w:val="sr-Latn-ME"/>
          <w14:textOutline w14:w="0" w14:cap="flat" w14:cmpd="sng" w14:algn="ctr">
            <w14:noFill/>
            <w14:prstDash w14:val="solid"/>
            <w14:bevel/>
          </w14:textOutline>
        </w:rPr>
        <w:t>Jačanje kapaciteta mora se ostvariti kroz obuke za relevantne aktere i sprovođenje komunikacionih kampanja usmjerenih na podizanje svijesti o rizicima povezanim sa HBCD.</w:t>
      </w:r>
    </w:p>
    <w:p w14:paraId="21C1FEDF" w14:textId="77777777" w:rsidR="00A0529E" w:rsidRPr="00C86111" w:rsidRDefault="00A0529E" w:rsidP="00833A40">
      <w:pPr>
        <w:pStyle w:val="ListParagraph"/>
        <w:numPr>
          <w:ilvl w:val="0"/>
          <w:numId w:val="128"/>
        </w:numPr>
        <w:spacing w:after="160" w:line="259" w:lineRule="auto"/>
        <w:jc w:val="both"/>
        <w:rPr>
          <w:rFonts w:cstheme="minorHAnsi"/>
          <w:szCs w:val="24"/>
          <w:lang w:val="sr-Latn-ME"/>
        </w:rPr>
      </w:pPr>
      <w:r w:rsidRPr="00C86111">
        <w:rPr>
          <w:rFonts w:eastAsia="Calibri" w:cstheme="minorHAnsi"/>
          <w:color w:val="000000"/>
          <w:szCs w:val="24"/>
          <w:u w:color="000000"/>
          <w:bdr w:val="nil"/>
          <w:lang w:val="sr-Latn-ME"/>
          <w14:textOutline w14:w="0" w14:cap="flat" w14:cmpd="sng" w14:algn="ctr">
            <w14:noFill/>
            <w14:prstDash w14:val="solid"/>
            <w14:bevel/>
          </w14:textOutline>
        </w:rPr>
        <w:t>Na kraju, međunarodnu saradnju treba unaprijediti kroz učešće u regionalnim inicijativama za razmjenu podataka, usklađivanje standarda i obezbjeđivanje tehničke i finansijske podrške za unaprjeđenje infrastrukture i nastavak istraživanja.</w:t>
      </w:r>
    </w:p>
    <w:p w14:paraId="4697765D" w14:textId="77777777" w:rsidR="00201FE9" w:rsidRPr="00C86111" w:rsidRDefault="00201FE9" w:rsidP="00201FE9"/>
    <w:p w14:paraId="62868AB4" w14:textId="4B03C8A2" w:rsidR="002B20A9" w:rsidRPr="00C86111" w:rsidRDefault="002B20A9" w:rsidP="00912C4C">
      <w:pPr>
        <w:pStyle w:val="Heading1"/>
        <w:rPr>
          <w:bCs/>
        </w:rPr>
      </w:pPr>
      <w:bookmarkStart w:id="204" w:name="_Toc220541932"/>
      <w:bookmarkStart w:id="205" w:name="_Hlk70115560"/>
      <w:bookmarkStart w:id="206" w:name="_Toc323128665"/>
      <w:bookmarkStart w:id="207" w:name="_Toc327397050"/>
      <w:r w:rsidRPr="00C86111">
        <w:t xml:space="preserve">Ažurirani inventar Perfluorooktan sulfonske kiseline (PFOS), njehih soli </w:t>
      </w:r>
      <w:r w:rsidR="00F20120" w:rsidRPr="00C86111">
        <w:t>i</w:t>
      </w:r>
      <w:r w:rsidRPr="00C86111">
        <w:t xml:space="preserve"> perfluorooktan sulfonil fluorida (PFOSF)</w:t>
      </w:r>
      <w:bookmarkEnd w:id="204"/>
    </w:p>
    <w:p w14:paraId="0A54C83A" w14:textId="77777777" w:rsidR="002B20A9" w:rsidRPr="00C86111" w:rsidRDefault="002B20A9" w:rsidP="00EA6904">
      <w:pPr>
        <w:pStyle w:val="Heading3"/>
      </w:pPr>
      <w:bookmarkStart w:id="208" w:name="_Toc210632483"/>
      <w:bookmarkStart w:id="209" w:name="_Toc220541933"/>
      <w:bookmarkEnd w:id="205"/>
      <w:r w:rsidRPr="00C86111">
        <w:t>Uvod</w:t>
      </w:r>
      <w:bookmarkEnd w:id="208"/>
      <w:bookmarkEnd w:id="209"/>
    </w:p>
    <w:p w14:paraId="7192068D" w14:textId="77777777" w:rsidR="002B20A9" w:rsidRPr="00C86111" w:rsidRDefault="002B20A9" w:rsidP="002B20A9">
      <w:pPr>
        <w:jc w:val="both"/>
        <w:rPr>
          <w:rFonts w:asciiTheme="minorHAnsi" w:hAnsiTheme="minorHAnsi" w:cstheme="minorHAnsi"/>
          <w:i/>
          <w:iCs/>
          <w:color w:val="002060"/>
          <w:szCs w:val="24"/>
        </w:rPr>
      </w:pPr>
    </w:p>
    <w:p w14:paraId="0A1232E2" w14:textId="77777777" w:rsidR="002B20A9" w:rsidRPr="00C86111" w:rsidRDefault="002B20A9" w:rsidP="002B20A9">
      <w:pPr>
        <w:jc w:val="both"/>
        <w:rPr>
          <w:rFonts w:asciiTheme="minorHAnsi" w:hAnsiTheme="minorHAnsi" w:cstheme="minorHAnsi"/>
          <w:szCs w:val="24"/>
        </w:rPr>
      </w:pPr>
      <w:r w:rsidRPr="00C86111">
        <w:rPr>
          <w:rFonts w:asciiTheme="minorHAnsi" w:hAnsiTheme="minorHAnsi" w:cstheme="minorHAnsi"/>
          <w:szCs w:val="24"/>
        </w:rPr>
        <w:t>PFOS, njegove soli i PFOSF su perzistentna organska zagađujuća jedinjenja (POP) koja pripada široj grupi Per- i polifluoriranihalkil jedinjenja (PFAS). PFOS je poznat po svojoj izuzetnoj hemijskoj i termičkoj stabilnosti, kao i hidro- i lipofobnim svojstvima, što ga čini veoma korisnim u različitim industrijskim i komercijalnim primjenama. Međutim, zbog svoje perzistentnosti u životnoj sredini i toksičnosti za ljude i ekosisteme, PFOS je danas predmet stroge regulative, uključujući njegovu uvrštenost u Stokholmsku konvenciju o POPs-ovima.</w:t>
      </w:r>
    </w:p>
    <w:p w14:paraId="076589DC" w14:textId="77777777" w:rsidR="002B20A9" w:rsidRPr="00C86111" w:rsidRDefault="002B20A9" w:rsidP="00EA6904">
      <w:pPr>
        <w:pStyle w:val="Heading3"/>
        <w:rPr>
          <w:rStyle w:val="Strong"/>
          <w:b/>
          <w:bCs/>
          <w:i/>
          <w:iCs w:val="0"/>
        </w:rPr>
      </w:pPr>
      <w:bookmarkStart w:id="210" w:name="_Toc210632484"/>
      <w:bookmarkStart w:id="211" w:name="_Toc220541934"/>
      <w:r w:rsidRPr="00C86111">
        <w:rPr>
          <w:rStyle w:val="Strong"/>
          <w:i/>
        </w:rPr>
        <w:t>Primjena PFOS-a</w:t>
      </w:r>
      <w:bookmarkEnd w:id="210"/>
      <w:bookmarkEnd w:id="211"/>
    </w:p>
    <w:p w14:paraId="5D666768" w14:textId="77777777" w:rsidR="002B20A9" w:rsidRPr="00C86111" w:rsidRDefault="002B20A9" w:rsidP="002B20A9">
      <w:pPr>
        <w:jc w:val="both"/>
        <w:rPr>
          <w:rFonts w:asciiTheme="minorHAnsi" w:hAnsiTheme="minorHAnsi" w:cstheme="minorHAnsi"/>
          <w:b/>
          <w:bCs/>
          <w:i/>
          <w:iCs/>
          <w:color w:val="002060"/>
          <w:szCs w:val="24"/>
        </w:rPr>
      </w:pPr>
    </w:p>
    <w:p w14:paraId="3C99DA3F" w14:textId="77777777" w:rsidR="002B20A9" w:rsidRPr="00C86111" w:rsidRDefault="002B20A9" w:rsidP="002B20A9">
      <w:pPr>
        <w:jc w:val="both"/>
        <w:rPr>
          <w:rFonts w:asciiTheme="minorHAnsi" w:hAnsiTheme="minorHAnsi" w:cstheme="minorHAnsi"/>
          <w:szCs w:val="24"/>
        </w:rPr>
      </w:pPr>
      <w:r w:rsidRPr="00C86111">
        <w:rPr>
          <w:rFonts w:asciiTheme="minorHAnsi" w:hAnsiTheme="minorHAnsi" w:cstheme="minorHAnsi"/>
          <w:szCs w:val="24"/>
        </w:rPr>
        <w:t>PFOS se istorijski koristio u širokom spektru proizvoda i industrija, uključujući:</w:t>
      </w:r>
    </w:p>
    <w:p w14:paraId="75567814" w14:textId="77777777" w:rsidR="002B20A9" w:rsidRPr="00C86111" w:rsidRDefault="002B20A9" w:rsidP="00833A40">
      <w:pPr>
        <w:pStyle w:val="ListParagraph"/>
        <w:numPr>
          <w:ilvl w:val="0"/>
          <w:numId w:val="129"/>
        </w:numPr>
        <w:jc w:val="both"/>
        <w:rPr>
          <w:rFonts w:asciiTheme="minorHAnsi" w:hAnsiTheme="minorHAnsi" w:cstheme="minorHAnsi"/>
          <w:szCs w:val="24"/>
        </w:rPr>
      </w:pPr>
      <w:r w:rsidRPr="00C86111">
        <w:rPr>
          <w:rStyle w:val="Strong"/>
          <w:rFonts w:asciiTheme="minorHAnsi" w:hAnsiTheme="minorHAnsi" w:cstheme="minorHAnsi"/>
          <w:b w:val="0"/>
          <w:bCs w:val="0"/>
          <w:szCs w:val="24"/>
        </w:rPr>
        <w:t>Protivpožarne pjene</w:t>
      </w:r>
      <w:r w:rsidRPr="00C86111">
        <w:rPr>
          <w:rFonts w:asciiTheme="minorHAnsi" w:hAnsiTheme="minorHAnsi" w:cstheme="minorHAnsi"/>
          <w:szCs w:val="24"/>
        </w:rPr>
        <w:t>: PFOS je bio ključni sastojak u vodenim filmskim pjenama (AFFF) koje su se koristile za gašenje požara, naročito u avijaciji i industriji nafte i gasa.</w:t>
      </w:r>
    </w:p>
    <w:p w14:paraId="11498543" w14:textId="77777777" w:rsidR="002B20A9" w:rsidRPr="00C86111" w:rsidRDefault="002B20A9" w:rsidP="00833A40">
      <w:pPr>
        <w:pStyle w:val="ListParagraph"/>
        <w:numPr>
          <w:ilvl w:val="0"/>
          <w:numId w:val="129"/>
        </w:numPr>
        <w:jc w:val="both"/>
        <w:rPr>
          <w:rFonts w:asciiTheme="minorHAnsi" w:hAnsiTheme="minorHAnsi" w:cstheme="minorHAnsi"/>
          <w:szCs w:val="24"/>
        </w:rPr>
      </w:pPr>
      <w:r w:rsidRPr="00C86111">
        <w:rPr>
          <w:rStyle w:val="Strong"/>
          <w:rFonts w:asciiTheme="minorHAnsi" w:hAnsiTheme="minorHAnsi" w:cstheme="minorHAnsi"/>
          <w:b w:val="0"/>
          <w:bCs w:val="0"/>
          <w:szCs w:val="24"/>
        </w:rPr>
        <w:t>Tekstil i premazni materijali</w:t>
      </w:r>
      <w:r w:rsidRPr="00C86111">
        <w:rPr>
          <w:rFonts w:asciiTheme="minorHAnsi" w:hAnsiTheme="minorHAnsi" w:cstheme="minorHAnsi"/>
          <w:szCs w:val="24"/>
        </w:rPr>
        <w:t>: Dodavao se materijalima kako bi im pružio otpornost na vodu, ulje i mrlje. Ova primjena bila je uobičajena u proizvodnji odjeće, tepiha i presvlaka.</w:t>
      </w:r>
    </w:p>
    <w:p w14:paraId="4C8A27B1" w14:textId="77777777" w:rsidR="002B20A9" w:rsidRPr="00C86111" w:rsidRDefault="002B20A9" w:rsidP="00833A40">
      <w:pPr>
        <w:pStyle w:val="ListParagraph"/>
        <w:numPr>
          <w:ilvl w:val="0"/>
          <w:numId w:val="129"/>
        </w:numPr>
        <w:jc w:val="both"/>
        <w:rPr>
          <w:rFonts w:asciiTheme="minorHAnsi" w:hAnsiTheme="minorHAnsi" w:cstheme="minorHAnsi"/>
          <w:szCs w:val="24"/>
        </w:rPr>
      </w:pPr>
      <w:r w:rsidRPr="00C86111">
        <w:rPr>
          <w:rStyle w:val="Strong"/>
          <w:rFonts w:asciiTheme="minorHAnsi" w:hAnsiTheme="minorHAnsi" w:cstheme="minorHAnsi"/>
          <w:b w:val="0"/>
          <w:bCs w:val="0"/>
          <w:szCs w:val="24"/>
        </w:rPr>
        <w:t>Industrija poluprovodnika</w:t>
      </w:r>
      <w:r w:rsidRPr="00C86111">
        <w:rPr>
          <w:rFonts w:asciiTheme="minorHAnsi" w:hAnsiTheme="minorHAnsi" w:cstheme="minorHAnsi"/>
          <w:szCs w:val="24"/>
        </w:rPr>
        <w:t>: PFOS se koristio kao aditiv u hemikalijama za fotolitografiju i elektrohemijsko graviranje, omogućavajući visoku preciznost u proizvodnji elektronskih komponenti.</w:t>
      </w:r>
    </w:p>
    <w:p w14:paraId="6B218EA9" w14:textId="77777777" w:rsidR="002B20A9" w:rsidRPr="00C86111" w:rsidRDefault="002B20A9" w:rsidP="00833A40">
      <w:pPr>
        <w:pStyle w:val="ListParagraph"/>
        <w:numPr>
          <w:ilvl w:val="0"/>
          <w:numId w:val="129"/>
        </w:numPr>
        <w:jc w:val="both"/>
        <w:rPr>
          <w:rFonts w:asciiTheme="minorHAnsi" w:hAnsiTheme="minorHAnsi" w:cstheme="minorHAnsi"/>
          <w:szCs w:val="24"/>
        </w:rPr>
      </w:pPr>
      <w:r w:rsidRPr="00C86111">
        <w:rPr>
          <w:rStyle w:val="Strong"/>
          <w:rFonts w:asciiTheme="minorHAnsi" w:hAnsiTheme="minorHAnsi" w:cstheme="minorHAnsi"/>
          <w:b w:val="0"/>
          <w:bCs w:val="0"/>
          <w:szCs w:val="24"/>
        </w:rPr>
        <w:t>Elektrotehnička industrija</w:t>
      </w:r>
      <w:r w:rsidRPr="00C86111">
        <w:rPr>
          <w:rFonts w:asciiTheme="minorHAnsi" w:hAnsiTheme="minorHAnsi" w:cstheme="minorHAnsi"/>
          <w:szCs w:val="24"/>
        </w:rPr>
        <w:t>: PFOS je korišćen kao izolacioni materijal i sredstvo za omekšavanje plastike u elektronskim uređajima.</w:t>
      </w:r>
    </w:p>
    <w:p w14:paraId="016ACFAD" w14:textId="77777777" w:rsidR="002B20A9" w:rsidRPr="00C86111" w:rsidRDefault="002B20A9" w:rsidP="00833A40">
      <w:pPr>
        <w:pStyle w:val="ListParagraph"/>
        <w:numPr>
          <w:ilvl w:val="0"/>
          <w:numId w:val="129"/>
        </w:numPr>
        <w:jc w:val="both"/>
        <w:rPr>
          <w:rFonts w:asciiTheme="minorHAnsi" w:hAnsiTheme="minorHAnsi" w:cstheme="minorHAnsi"/>
          <w:szCs w:val="24"/>
        </w:rPr>
      </w:pPr>
      <w:r w:rsidRPr="00C86111">
        <w:rPr>
          <w:rStyle w:val="Strong"/>
          <w:rFonts w:asciiTheme="minorHAnsi" w:hAnsiTheme="minorHAnsi" w:cstheme="minorHAnsi"/>
          <w:b w:val="0"/>
          <w:bCs w:val="0"/>
          <w:szCs w:val="24"/>
        </w:rPr>
        <w:t>Pesticidi i sredstva za zaštitu biljaka</w:t>
      </w:r>
      <w:r w:rsidRPr="00C86111">
        <w:rPr>
          <w:rFonts w:asciiTheme="minorHAnsi" w:hAnsiTheme="minorHAnsi" w:cstheme="minorHAnsi"/>
          <w:szCs w:val="24"/>
        </w:rPr>
        <w:t>: PFOS je dodavan pesticidima kao stabilizator i sredstvo za poboljšanje efikasnosti.</w:t>
      </w:r>
    </w:p>
    <w:p w14:paraId="79ADD113" w14:textId="77777777" w:rsidR="002B20A9" w:rsidRDefault="002B20A9" w:rsidP="002B20A9">
      <w:pPr>
        <w:pStyle w:val="ListParagraph"/>
        <w:jc w:val="both"/>
        <w:rPr>
          <w:rFonts w:asciiTheme="minorHAnsi" w:hAnsiTheme="minorHAnsi" w:cstheme="minorHAnsi"/>
          <w:szCs w:val="24"/>
        </w:rPr>
      </w:pPr>
    </w:p>
    <w:p w14:paraId="50E53D16" w14:textId="77777777" w:rsidR="00D966EC" w:rsidRPr="00C86111" w:rsidRDefault="00D966EC" w:rsidP="002B20A9">
      <w:pPr>
        <w:pStyle w:val="ListParagraph"/>
        <w:jc w:val="both"/>
        <w:rPr>
          <w:rFonts w:asciiTheme="minorHAnsi" w:hAnsiTheme="minorHAnsi" w:cstheme="minorHAnsi"/>
          <w:szCs w:val="24"/>
        </w:rPr>
      </w:pPr>
    </w:p>
    <w:p w14:paraId="1C3AACB5" w14:textId="77777777" w:rsidR="002B20A9" w:rsidRPr="00C86111" w:rsidRDefault="002B20A9" w:rsidP="00EA6904">
      <w:pPr>
        <w:pStyle w:val="Heading3"/>
      </w:pPr>
      <w:bookmarkStart w:id="212" w:name="_Toc132656204"/>
      <w:bookmarkStart w:id="213" w:name="_Toc210632485"/>
      <w:bookmarkStart w:id="214" w:name="_Toc220541935"/>
      <w:bookmarkStart w:id="215" w:name="_Toc323295465"/>
      <w:bookmarkStart w:id="216" w:name="_Toc533246556"/>
      <w:bookmarkStart w:id="217" w:name="_Toc535472844"/>
      <w:r w:rsidRPr="00C86111">
        <w:lastRenderedPageBreak/>
        <w:t>Status PFOS, njegove soli i PFOSF</w:t>
      </w:r>
      <w:bookmarkEnd w:id="212"/>
      <w:r w:rsidRPr="00C86111">
        <w:t xml:space="preserve"> u okviru Stokholmske konvencije</w:t>
      </w:r>
      <w:bookmarkEnd w:id="213"/>
      <w:bookmarkEnd w:id="214"/>
    </w:p>
    <w:p w14:paraId="120062DD" w14:textId="77777777" w:rsidR="002B20A9" w:rsidRPr="00C86111" w:rsidRDefault="002B20A9" w:rsidP="002B20A9">
      <w:pPr>
        <w:jc w:val="both"/>
        <w:rPr>
          <w:rFonts w:asciiTheme="minorHAnsi" w:hAnsiTheme="minorHAnsi" w:cstheme="minorHAnsi"/>
          <w:i/>
          <w:iCs/>
          <w:color w:val="002060"/>
          <w:szCs w:val="24"/>
        </w:rPr>
      </w:pPr>
    </w:p>
    <w:p w14:paraId="33DD7A39" w14:textId="77777777" w:rsidR="002B20A9" w:rsidRPr="00C86111" w:rsidRDefault="002B20A9" w:rsidP="002B20A9">
      <w:pPr>
        <w:jc w:val="both"/>
        <w:rPr>
          <w:rFonts w:asciiTheme="minorHAnsi" w:eastAsia="Times New Roman" w:hAnsiTheme="minorHAnsi" w:cstheme="minorHAnsi"/>
          <w:color w:val="auto"/>
          <w:szCs w:val="24"/>
          <w:lang w:eastAsia="en-GB"/>
        </w:rPr>
      </w:pPr>
      <w:bookmarkStart w:id="218" w:name="_Hlk182988450"/>
      <w:r w:rsidRPr="00C86111">
        <w:rPr>
          <w:rFonts w:asciiTheme="minorHAnsi" w:eastAsia="Times New Roman" w:hAnsiTheme="minorHAnsi" w:cstheme="minorHAnsi"/>
          <w:color w:val="auto"/>
          <w:szCs w:val="24"/>
          <w:lang w:eastAsia="en-GB"/>
        </w:rPr>
        <w:t>U maju 2009. godine, na Konferenciji zemalja potpisnica Stokholmske konvencije o perzistentnim organskim zagađujućim supstancama izmjenjen je Aneks B Konvencije kako bi u njega uvrstili PFOS, njegove soli i PFOSF uz specifične izuzetke i prihvatljive namjene (odluka SC-4/17).</w:t>
      </w:r>
    </w:p>
    <w:p w14:paraId="52A6B08D" w14:textId="0521D7FA" w:rsidR="002B20A9" w:rsidRPr="00C86111" w:rsidRDefault="002B20A9" w:rsidP="002B20A9">
      <w:pPr>
        <w:jc w:val="both"/>
        <w:rPr>
          <w:rFonts w:asciiTheme="minorHAnsi" w:eastAsia="Times New Roman" w:hAnsiTheme="minorHAnsi" w:cstheme="minorHAnsi"/>
          <w:color w:val="auto"/>
          <w:szCs w:val="24"/>
          <w:lang w:eastAsia="en-GB"/>
        </w:rPr>
      </w:pPr>
      <w:r w:rsidRPr="00C86111">
        <w:rPr>
          <w:rFonts w:asciiTheme="minorHAnsi" w:eastAsia="Times New Roman" w:hAnsiTheme="minorHAnsi" w:cstheme="minorHAnsi"/>
          <w:color w:val="auto"/>
          <w:szCs w:val="24"/>
          <w:lang w:eastAsia="en-GB"/>
        </w:rPr>
        <w:t xml:space="preserve">Godine 2019, nakon razmatranja izveštaja o procjeni alternativa za PFOS, njegove soli i PFOSF, kao i izveštaja o evaluaciji PFOS-a, njegovih soli i PFOSF-a, Konferencija strana je izmjenila prihvatljive namjene i specifične izuzetke za PFOS, njegove soli i PFOSF (odluka SC-9/4), kako je prikazano u Tabeli </w:t>
      </w:r>
      <w:r w:rsidR="00862B9D" w:rsidRPr="00C86111">
        <w:rPr>
          <w:rFonts w:asciiTheme="minorHAnsi" w:eastAsia="Times New Roman" w:hAnsiTheme="minorHAnsi" w:cstheme="minorHAnsi"/>
          <w:color w:val="auto"/>
          <w:szCs w:val="24"/>
          <w:lang w:eastAsia="en-GB"/>
        </w:rPr>
        <w:t>67</w:t>
      </w:r>
      <w:r w:rsidRPr="00C86111">
        <w:rPr>
          <w:rFonts w:asciiTheme="minorHAnsi" w:eastAsia="Times New Roman" w:hAnsiTheme="minorHAnsi" w:cstheme="minorHAnsi"/>
          <w:color w:val="auto"/>
          <w:szCs w:val="24"/>
          <w:lang w:eastAsia="en-GB"/>
        </w:rPr>
        <w:t>.</w:t>
      </w:r>
    </w:p>
    <w:p w14:paraId="5FCFF4E0" w14:textId="77777777" w:rsidR="002B20A9" w:rsidRPr="00C86111" w:rsidRDefault="002B20A9" w:rsidP="002B20A9">
      <w:pPr>
        <w:jc w:val="both"/>
        <w:rPr>
          <w:rFonts w:asciiTheme="minorHAnsi" w:eastAsia="Times New Roman" w:hAnsiTheme="minorHAnsi" w:cstheme="minorHAnsi"/>
          <w:color w:val="auto"/>
          <w:szCs w:val="24"/>
          <w:lang w:eastAsia="en-GB"/>
        </w:rPr>
      </w:pPr>
      <w:r w:rsidRPr="00C86111">
        <w:rPr>
          <w:rFonts w:asciiTheme="minorHAnsi" w:eastAsia="Times New Roman" w:hAnsiTheme="minorHAnsi" w:cstheme="minorHAnsi"/>
          <w:color w:val="auto"/>
          <w:szCs w:val="24"/>
          <w:lang w:eastAsia="en-GB"/>
        </w:rPr>
        <w:t>Ova izmjena zasnovana je na činjenici da više nema nijedne zemlje potpisnice registrovane za specifične izuzetke u vezi sa proizvodnjom i upotrebom PFOS-a, njegovih soli i PFOSF-a za sledeće namjene: tepihe, kožu i odjeću, tekstil i nameštaj, papir i ambalažu, premaze i dodatke za premaze, kao i gumu i plastiku. Takođe, nove registracije za ove namjene više nisu moguće.</w:t>
      </w:r>
    </w:p>
    <w:p w14:paraId="4574DCF0" w14:textId="77777777" w:rsidR="00F20120" w:rsidRPr="00C86111" w:rsidRDefault="00F20120" w:rsidP="002B20A9">
      <w:pPr>
        <w:jc w:val="both"/>
        <w:rPr>
          <w:rFonts w:asciiTheme="minorHAnsi" w:hAnsiTheme="minorHAnsi" w:cstheme="minorHAnsi"/>
          <w:b/>
          <w:bCs/>
          <w:szCs w:val="24"/>
        </w:rPr>
      </w:pPr>
      <w:bookmarkStart w:id="219" w:name="_Ref62941800"/>
      <w:bookmarkStart w:id="220" w:name="_Toc65240885"/>
    </w:p>
    <w:p w14:paraId="2F971C1D" w14:textId="611BAC5B" w:rsidR="002B20A9" w:rsidRPr="00C86111" w:rsidRDefault="002B20A9" w:rsidP="002B20A9">
      <w:pPr>
        <w:jc w:val="both"/>
        <w:rPr>
          <w:rFonts w:asciiTheme="minorHAnsi" w:hAnsiTheme="minorHAnsi" w:cstheme="minorHAnsi"/>
          <w:szCs w:val="24"/>
        </w:rPr>
      </w:pPr>
      <w:r w:rsidRPr="00C86111">
        <w:rPr>
          <w:rFonts w:asciiTheme="minorHAnsi" w:hAnsiTheme="minorHAnsi" w:cstheme="minorHAnsi"/>
          <w:b/>
          <w:bCs/>
          <w:szCs w:val="24"/>
        </w:rPr>
        <w:t xml:space="preserve">Tabela </w:t>
      </w:r>
      <w:r w:rsidR="00862B9D" w:rsidRPr="00C86111">
        <w:rPr>
          <w:rFonts w:asciiTheme="minorHAnsi" w:hAnsiTheme="minorHAnsi" w:cstheme="minorHAnsi"/>
          <w:b/>
          <w:bCs/>
          <w:szCs w:val="24"/>
        </w:rPr>
        <w:t>67</w:t>
      </w:r>
      <w:r w:rsidRPr="00C86111">
        <w:rPr>
          <w:rFonts w:asciiTheme="minorHAnsi" w:hAnsiTheme="minorHAnsi" w:cstheme="minorHAnsi"/>
          <w:b/>
          <w:bCs/>
          <w:szCs w:val="24"/>
        </w:rPr>
        <w:t>:</w:t>
      </w:r>
      <w:r w:rsidRPr="00C86111">
        <w:rPr>
          <w:rFonts w:asciiTheme="minorHAnsi" w:hAnsiTheme="minorHAnsi" w:cstheme="minorHAnsi"/>
          <w:szCs w:val="24"/>
        </w:rPr>
        <w:t xml:space="preserve"> Uvrštavanje PFOS-a, njegovih soli i PFOSF-a u Stokholmsku konvenciju prema odluci SC-9/4</w:t>
      </w:r>
    </w:p>
    <w:tbl>
      <w:tblPr>
        <w:tblStyle w:val="GridTable5Dark-Accent6"/>
        <w:tblW w:w="8926" w:type="dxa"/>
        <w:tblLook w:val="04A0" w:firstRow="1" w:lastRow="0" w:firstColumn="1" w:lastColumn="0" w:noHBand="0" w:noVBand="1"/>
      </w:tblPr>
      <w:tblGrid>
        <w:gridCol w:w="3351"/>
        <w:gridCol w:w="1157"/>
        <w:gridCol w:w="4418"/>
      </w:tblGrid>
      <w:tr w:rsidR="002B20A9" w:rsidRPr="00C86111" w14:paraId="510C510B" w14:textId="77777777" w:rsidTr="00BC765B">
        <w:trPr>
          <w:cnfStyle w:val="100000000000" w:firstRow="1" w:lastRow="0" w:firstColumn="0" w:lastColumn="0" w:oddVBand="0" w:evenVBand="0" w:oddHBand="0"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351" w:type="dxa"/>
          </w:tcPr>
          <w:bookmarkEnd w:id="219"/>
          <w:bookmarkEnd w:id="220"/>
          <w:p w14:paraId="531E5D79" w14:textId="77777777" w:rsidR="002B20A9" w:rsidRPr="00C86111" w:rsidRDefault="002B20A9" w:rsidP="00BC765B">
            <w:pPr>
              <w:jc w:val="both"/>
              <w:rPr>
                <w:rFonts w:asciiTheme="minorHAnsi" w:hAnsiTheme="minorHAnsi" w:cstheme="minorHAnsi"/>
                <w:b w:val="0"/>
                <w:sz w:val="20"/>
                <w:szCs w:val="20"/>
              </w:rPr>
            </w:pPr>
            <w:r w:rsidRPr="00C86111">
              <w:rPr>
                <w:rFonts w:asciiTheme="minorHAnsi" w:hAnsiTheme="minorHAnsi" w:cstheme="minorHAnsi"/>
                <w:sz w:val="20"/>
                <w:szCs w:val="20"/>
              </w:rPr>
              <w:t>Hemikalija</w:t>
            </w:r>
          </w:p>
        </w:tc>
        <w:tc>
          <w:tcPr>
            <w:tcW w:w="1157" w:type="dxa"/>
          </w:tcPr>
          <w:p w14:paraId="4EF4DC19"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C86111">
              <w:rPr>
                <w:rFonts w:asciiTheme="minorHAnsi" w:hAnsiTheme="minorHAnsi" w:cstheme="minorHAnsi"/>
                <w:sz w:val="20"/>
                <w:szCs w:val="20"/>
              </w:rPr>
              <w:t>Aktivnost</w:t>
            </w:r>
          </w:p>
        </w:tc>
        <w:tc>
          <w:tcPr>
            <w:tcW w:w="4418" w:type="dxa"/>
          </w:tcPr>
          <w:p w14:paraId="22AC8F90"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C86111">
              <w:rPr>
                <w:rFonts w:asciiTheme="minorHAnsi" w:hAnsiTheme="minorHAnsi" w:cstheme="minorHAnsi"/>
                <w:sz w:val="20"/>
                <w:szCs w:val="20"/>
              </w:rPr>
              <w:t>Posebno izuzeće</w:t>
            </w:r>
          </w:p>
        </w:tc>
      </w:tr>
      <w:tr w:rsidR="002B20A9" w:rsidRPr="00C86111" w14:paraId="29B12300" w14:textId="77777777" w:rsidTr="00BC765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351" w:type="dxa"/>
            <w:vMerge w:val="restart"/>
          </w:tcPr>
          <w:p w14:paraId="608DE2A5"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rPr>
              <w:t>Perfluorooctane sulfonic acid (CAS No. 1763-23-1), its salts</w:t>
            </w:r>
            <w:r w:rsidRPr="00C86111">
              <w:rPr>
                <w:rFonts w:asciiTheme="minorHAnsi" w:hAnsiTheme="minorHAnsi" w:cstheme="minorHAnsi"/>
                <w:sz w:val="20"/>
                <w:szCs w:val="20"/>
                <w:vertAlign w:val="superscript"/>
              </w:rPr>
              <w:t>a</w:t>
            </w:r>
            <w:r w:rsidRPr="00C86111">
              <w:rPr>
                <w:rFonts w:asciiTheme="minorHAnsi" w:hAnsiTheme="minorHAnsi" w:cstheme="minorHAnsi"/>
                <w:sz w:val="20"/>
                <w:szCs w:val="20"/>
              </w:rPr>
              <w:t xml:space="preserve"> and perfluorooctane sulfonyl fluoride (CAS No. 307-35-7) </w:t>
            </w:r>
          </w:p>
          <w:p w14:paraId="3E3CB101" w14:textId="77777777" w:rsidR="002B20A9" w:rsidRPr="00C86111" w:rsidRDefault="002B20A9" w:rsidP="00BC765B">
            <w:pPr>
              <w:jc w:val="both"/>
              <w:rPr>
                <w:rFonts w:asciiTheme="minorHAnsi" w:hAnsiTheme="minorHAnsi" w:cstheme="minorHAnsi"/>
                <w:sz w:val="20"/>
                <w:szCs w:val="20"/>
              </w:rPr>
            </w:pPr>
          </w:p>
          <w:p w14:paraId="395F3DC5"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vertAlign w:val="superscript"/>
              </w:rPr>
              <w:t>a</w:t>
            </w:r>
            <w:r w:rsidRPr="00C86111">
              <w:rPr>
                <w:rFonts w:asciiTheme="minorHAnsi" w:hAnsiTheme="minorHAnsi" w:cstheme="minorHAnsi"/>
                <w:sz w:val="20"/>
                <w:szCs w:val="20"/>
              </w:rPr>
              <w:t xml:space="preserve"> na primjer: </w:t>
            </w:r>
          </w:p>
          <w:p w14:paraId="15D17035"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rPr>
              <w:t xml:space="preserve">potassium perfluorooctane sulfonate (CAS No: 2795-39-3); </w:t>
            </w:r>
          </w:p>
          <w:p w14:paraId="1ECA593A"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rPr>
              <w:t xml:space="preserve">lithium perfluorooctane sulfonate (CAS No: 29457-72-5); </w:t>
            </w:r>
          </w:p>
          <w:p w14:paraId="53CDD3D8"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rPr>
              <w:t xml:space="preserve">ammonium perfluorooctane sulfonate (CAS No: 29081-56-9); </w:t>
            </w:r>
          </w:p>
          <w:p w14:paraId="1A44F424"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rPr>
              <w:t xml:space="preserve">diethanolammonium perfluorooctane sulfonate (CAS No: 70225-14-8); </w:t>
            </w:r>
          </w:p>
          <w:p w14:paraId="6256C76B"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rPr>
              <w:t xml:space="preserve">tetraethylammonium perfluorooctane sulfonate (CAS No: 56773-42-3); </w:t>
            </w:r>
          </w:p>
          <w:p w14:paraId="362D3282" w14:textId="77777777" w:rsidR="002B20A9" w:rsidRPr="00C86111" w:rsidRDefault="002B20A9" w:rsidP="00BC765B">
            <w:pPr>
              <w:jc w:val="both"/>
              <w:rPr>
                <w:rFonts w:asciiTheme="minorHAnsi" w:hAnsiTheme="minorHAnsi" w:cstheme="minorHAnsi"/>
                <w:sz w:val="20"/>
                <w:szCs w:val="20"/>
              </w:rPr>
            </w:pPr>
            <w:r w:rsidRPr="00C86111">
              <w:rPr>
                <w:rFonts w:asciiTheme="minorHAnsi" w:hAnsiTheme="minorHAnsi" w:cstheme="minorHAnsi"/>
                <w:sz w:val="20"/>
                <w:szCs w:val="20"/>
              </w:rPr>
              <w:t>didecyldimethylammonium perfluorooctane sulfonate (CAS No: 251099-16-8)</w:t>
            </w:r>
          </w:p>
        </w:tc>
        <w:tc>
          <w:tcPr>
            <w:tcW w:w="1157" w:type="dxa"/>
          </w:tcPr>
          <w:p w14:paraId="7EF7688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Proizvodna</w:t>
            </w:r>
          </w:p>
        </w:tc>
        <w:tc>
          <w:tcPr>
            <w:tcW w:w="4418" w:type="dxa"/>
          </w:tcPr>
          <w:p w14:paraId="747147C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Prihvatljiva svrha:</w:t>
            </w:r>
          </w:p>
          <w:p w14:paraId="38DB5D3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U skladu sa Dijelom III Aneksa B, proizvodnja drugih hemikalija koje će se koristiti isključivo za dolje navedene svrhe. Proizvodnja za dolje navedene namene.</w:t>
            </w:r>
          </w:p>
          <w:p w14:paraId="529391D8"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Specifični izuzetak:</w:t>
            </w:r>
          </w:p>
          <w:p w14:paraId="024EF24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Nema.</w:t>
            </w:r>
          </w:p>
        </w:tc>
      </w:tr>
      <w:tr w:rsidR="002B20A9" w:rsidRPr="00C86111" w14:paraId="72C8F97C" w14:textId="77777777" w:rsidTr="00BC765B">
        <w:trPr>
          <w:trHeight w:val="779"/>
        </w:trPr>
        <w:tc>
          <w:tcPr>
            <w:cnfStyle w:val="001000000000" w:firstRow="0" w:lastRow="0" w:firstColumn="1" w:lastColumn="0" w:oddVBand="0" w:evenVBand="0" w:oddHBand="0" w:evenHBand="0" w:firstRowFirstColumn="0" w:firstRowLastColumn="0" w:lastRowFirstColumn="0" w:lastRowLastColumn="0"/>
            <w:tcW w:w="3351" w:type="dxa"/>
            <w:vMerge/>
          </w:tcPr>
          <w:p w14:paraId="0B9879FE" w14:textId="77777777" w:rsidR="002B20A9" w:rsidRPr="00C86111" w:rsidRDefault="002B20A9" w:rsidP="00BC765B">
            <w:pPr>
              <w:jc w:val="both"/>
              <w:rPr>
                <w:rFonts w:asciiTheme="minorHAnsi" w:hAnsiTheme="minorHAnsi" w:cstheme="minorHAnsi"/>
                <w:sz w:val="20"/>
                <w:szCs w:val="20"/>
              </w:rPr>
            </w:pPr>
          </w:p>
        </w:tc>
        <w:tc>
          <w:tcPr>
            <w:tcW w:w="1157" w:type="dxa"/>
          </w:tcPr>
          <w:p w14:paraId="738CB83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Upotreba</w:t>
            </w:r>
          </w:p>
        </w:tc>
        <w:tc>
          <w:tcPr>
            <w:tcW w:w="4418" w:type="dxa"/>
          </w:tcPr>
          <w:p w14:paraId="7884505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Prihvatljiva svrha:</w:t>
            </w:r>
            <w:r w:rsidRPr="00C86111">
              <w:rPr>
                <w:rFonts w:asciiTheme="minorHAnsi" w:eastAsia="Times New Roman" w:hAnsiTheme="minorHAnsi" w:cstheme="minorHAnsi"/>
                <w:sz w:val="20"/>
                <w:szCs w:val="20"/>
                <w:lang w:eastAsia="en-GB"/>
              </w:rPr>
              <w:br/>
              <w:t>U skladu sa Dijelom III Aneksa UNEP/SC-9/4, za sledeće prihvatljive svrhe ili kao međuproizvod u proizvodnji hemikalija sa sledećim prihvatljivim svrhama:</w:t>
            </w:r>
          </w:p>
          <w:p w14:paraId="070A767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 xml:space="preserve">Mamci za insekte sa sulfluramidom (CAS br. 4151-50-2) kao aktivnim sastojkom za suzbijanje mrava sjekača lista </w:t>
            </w:r>
            <w:r w:rsidRPr="00C86111">
              <w:rPr>
                <w:rFonts w:asciiTheme="minorHAnsi" w:eastAsia="Times New Roman" w:hAnsiTheme="minorHAnsi" w:cstheme="minorHAnsi"/>
                <w:i/>
                <w:iCs/>
                <w:sz w:val="20"/>
                <w:szCs w:val="20"/>
                <w:lang w:eastAsia="en-GB"/>
              </w:rPr>
              <w:t>Atta spp.</w:t>
            </w:r>
            <w:r w:rsidRPr="00C86111">
              <w:rPr>
                <w:rFonts w:asciiTheme="minorHAnsi" w:eastAsia="Times New Roman" w:hAnsiTheme="minorHAnsi" w:cstheme="minorHAnsi"/>
                <w:sz w:val="20"/>
                <w:szCs w:val="20"/>
                <w:lang w:eastAsia="en-GB"/>
              </w:rPr>
              <w:t xml:space="preserve"> i </w:t>
            </w:r>
            <w:r w:rsidRPr="00C86111">
              <w:rPr>
                <w:rFonts w:asciiTheme="minorHAnsi" w:eastAsia="Times New Roman" w:hAnsiTheme="minorHAnsi" w:cstheme="minorHAnsi"/>
                <w:i/>
                <w:iCs/>
                <w:sz w:val="20"/>
                <w:szCs w:val="20"/>
                <w:lang w:eastAsia="en-GB"/>
              </w:rPr>
              <w:t>Acromyrmex spp.</w:t>
            </w:r>
            <w:r w:rsidRPr="00C86111">
              <w:rPr>
                <w:rFonts w:asciiTheme="minorHAnsi" w:eastAsia="Times New Roman" w:hAnsiTheme="minorHAnsi" w:cstheme="minorHAnsi"/>
                <w:sz w:val="20"/>
                <w:szCs w:val="20"/>
                <w:lang w:eastAsia="en-GB"/>
              </w:rPr>
              <w:t>, isključivo za poljoprivrednu upotrebu.</w:t>
            </w:r>
          </w:p>
          <w:p w14:paraId="376F85E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Specifični izuzetak:</w:t>
            </w:r>
          </w:p>
          <w:p w14:paraId="4C6FC9A0"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C86111">
              <w:rPr>
                <w:rFonts w:asciiTheme="minorHAnsi" w:eastAsia="Times New Roman" w:hAnsiTheme="minorHAnsi" w:cstheme="minorHAnsi"/>
                <w:sz w:val="20"/>
                <w:szCs w:val="20"/>
                <w:lang w:eastAsia="en-GB"/>
              </w:rPr>
              <w:t>Galvanizacija metala (tvrda metalizacija) isključivo u zatvorenim sistemima.</w:t>
            </w:r>
          </w:p>
          <w:p w14:paraId="7796E480"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eastAsia="Times New Roman" w:hAnsiTheme="minorHAnsi" w:cstheme="minorHAnsi"/>
                <w:sz w:val="20"/>
                <w:szCs w:val="20"/>
                <w:lang w:eastAsia="en-GB"/>
              </w:rPr>
              <w:t>Protivpožarna pjena za suzbijanje isparenja tečnih goriva i požara tečnih goriva (požari klase B) u instaliranim sistemima, uključujući i mobilne i fiksne sisteme, u skladu sa stavom 10. Dijela III Aneksa UNEP/SC-9/4.</w:t>
            </w:r>
          </w:p>
        </w:tc>
      </w:tr>
      <w:bookmarkEnd w:id="218"/>
    </w:tbl>
    <w:p w14:paraId="2317F4F9" w14:textId="77777777" w:rsidR="002B20A9" w:rsidRDefault="002B20A9" w:rsidP="002B20A9">
      <w:pPr>
        <w:jc w:val="both"/>
        <w:rPr>
          <w:rFonts w:asciiTheme="minorHAnsi" w:hAnsiTheme="minorHAnsi" w:cstheme="minorHAnsi"/>
          <w:szCs w:val="24"/>
        </w:rPr>
      </w:pPr>
    </w:p>
    <w:p w14:paraId="432D3CCC" w14:textId="77777777" w:rsidR="00D966EC" w:rsidRDefault="00D966EC" w:rsidP="002B20A9">
      <w:pPr>
        <w:jc w:val="both"/>
        <w:rPr>
          <w:rFonts w:asciiTheme="minorHAnsi" w:hAnsiTheme="minorHAnsi" w:cstheme="minorHAnsi"/>
          <w:szCs w:val="24"/>
        </w:rPr>
      </w:pPr>
    </w:p>
    <w:p w14:paraId="5589415A" w14:textId="77777777" w:rsidR="00D966EC" w:rsidRDefault="00D966EC" w:rsidP="002B20A9">
      <w:pPr>
        <w:jc w:val="both"/>
        <w:rPr>
          <w:rFonts w:asciiTheme="minorHAnsi" w:hAnsiTheme="minorHAnsi" w:cstheme="minorHAnsi"/>
          <w:szCs w:val="24"/>
        </w:rPr>
      </w:pPr>
    </w:p>
    <w:p w14:paraId="70FF51B8" w14:textId="77777777" w:rsidR="00D966EC" w:rsidRPr="00C86111" w:rsidRDefault="00D966EC" w:rsidP="002B20A9">
      <w:pPr>
        <w:jc w:val="both"/>
        <w:rPr>
          <w:rFonts w:asciiTheme="minorHAnsi" w:hAnsiTheme="minorHAnsi" w:cstheme="minorHAnsi"/>
          <w:szCs w:val="24"/>
        </w:rPr>
      </w:pPr>
    </w:p>
    <w:p w14:paraId="32EB400C" w14:textId="77777777" w:rsidR="002B20A9" w:rsidRPr="00C86111" w:rsidRDefault="002B20A9" w:rsidP="00004F34">
      <w:pPr>
        <w:pStyle w:val="Heading1"/>
        <w:numPr>
          <w:ilvl w:val="1"/>
          <w:numId w:val="238"/>
        </w:numPr>
      </w:pPr>
      <w:bookmarkStart w:id="221" w:name="_Toc210632486"/>
      <w:bookmarkStart w:id="222" w:name="_Toc220541936"/>
      <w:r w:rsidRPr="00C86111">
        <w:lastRenderedPageBreak/>
        <w:t>Proces Inventarizacije</w:t>
      </w:r>
      <w:bookmarkEnd w:id="221"/>
      <w:bookmarkEnd w:id="222"/>
    </w:p>
    <w:p w14:paraId="0604DF29" w14:textId="77777777" w:rsidR="002B20A9" w:rsidRPr="00C86111" w:rsidRDefault="002B20A9" w:rsidP="002B20A9">
      <w:pPr>
        <w:jc w:val="both"/>
        <w:rPr>
          <w:rFonts w:asciiTheme="minorHAnsi" w:hAnsiTheme="minorHAnsi" w:cstheme="minorHAnsi"/>
          <w:szCs w:val="24"/>
        </w:rPr>
      </w:pPr>
    </w:p>
    <w:bookmarkEnd w:id="215"/>
    <w:bookmarkEnd w:id="216"/>
    <w:bookmarkEnd w:id="217"/>
    <w:p w14:paraId="03F1D05C" w14:textId="77777777" w:rsidR="002B20A9" w:rsidRPr="00C86111" w:rsidRDefault="002B20A9" w:rsidP="002B20A9">
      <w:p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 xml:space="preserve">Glavni ciljevi inventarizacije su dobijanje informacija potrebnih za važne odluke u vezi sa upravljanjem PFOS-om, njegovim solima i PFOSF-om i sprovođenjem obaveza iz Stokholmske konvencije. Tačnije, ciljevi su: </w:t>
      </w:r>
    </w:p>
    <w:p w14:paraId="6ED31031" w14:textId="77777777" w:rsidR="002B20A9" w:rsidRPr="00C86111" w:rsidRDefault="002B20A9" w:rsidP="002B20A9">
      <w:p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(a) Obezbjediti osnovu za identifikaciju nacionalnih prioriteta u NIP-u: (</w:t>
      </w:r>
      <w:r w:rsidRPr="00C86111">
        <w:rPr>
          <w:rFonts w:asciiTheme="minorHAnsi" w:eastAsia="SimSun" w:hAnsiTheme="minorHAnsi" w:cstheme="minorHAnsi"/>
          <w:color w:val="auto"/>
          <w:szCs w:val="24"/>
          <w:lang w:eastAsia="nb-NO"/>
        </w:rPr>
        <w:t>tj. identifikovati sektore koji bi trebali biti prioritetni u pogledu inventarizacije PFOS-a i vrste aktivnosti potrebnih za te sektore</w:t>
      </w:r>
      <w:r w:rsidRPr="00C86111">
        <w:rPr>
          <w:rFonts w:asciiTheme="minorHAnsi" w:hAnsiTheme="minorHAnsi" w:cstheme="minorHAnsi"/>
          <w:color w:val="auto"/>
          <w:szCs w:val="24"/>
          <w:lang w:eastAsia="nb-NO"/>
        </w:rPr>
        <w:t>, procijeniti kapacitete potrebne za implementaciju, identifikovati izvore kojima treba dati prioritet);</w:t>
      </w:r>
    </w:p>
    <w:p w14:paraId="32211F8A" w14:textId="77777777" w:rsidR="002B20A9" w:rsidRPr="00C86111" w:rsidRDefault="002B20A9" w:rsidP="002B20A9">
      <w:p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(b) Obezbjediti osnovu za procjenu da li trenutna nacionalna upotreba, proizvodnja, upravljanje hemikalijama i otpadom ispunjavaju zahtjeve Konvencije i identifikovati oblasti u kojima ne ispunjavaju;</w:t>
      </w:r>
    </w:p>
    <w:p w14:paraId="3BC3AECD" w14:textId="77777777" w:rsidR="002B20A9" w:rsidRPr="00C86111" w:rsidRDefault="002B20A9" w:rsidP="002B20A9">
      <w:p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(c) Identifikovati potrebu za posebnim izuzecima ili prihvatljivim svrhama</w:t>
      </w:r>
    </w:p>
    <w:p w14:paraId="5D15B4C1" w14:textId="77777777" w:rsidR="002B20A9" w:rsidRPr="00C86111" w:rsidRDefault="002B20A9" w:rsidP="002B20A9">
      <w:p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(e) Identifikovati relevantne ključne aktere u vladi, industriji, upravljanju otpadom, trgovini, nevladinim organizacijama (NVO), itd.;</w:t>
      </w:r>
    </w:p>
    <w:p w14:paraId="24C4387E" w14:textId="77777777" w:rsidR="002B20A9" w:rsidRPr="00C86111" w:rsidRDefault="002B20A9" w:rsidP="002B20A9">
      <w:p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(f) Identifikovati oblasti u kojima je potrebna finansijska ili tehnička podrška za popunjavanje nedostataka u informacijama u inventaru/ispunjavanje obaveza iz Konvencije.</w:t>
      </w:r>
    </w:p>
    <w:p w14:paraId="16B7EE3A" w14:textId="77777777" w:rsidR="002B20A9" w:rsidRPr="00C86111" w:rsidRDefault="002B20A9" w:rsidP="002B20A9">
      <w:pPr>
        <w:jc w:val="both"/>
        <w:rPr>
          <w:rFonts w:asciiTheme="minorHAnsi" w:hAnsiTheme="minorHAnsi" w:cstheme="minorHAnsi"/>
          <w:color w:val="auto"/>
          <w:szCs w:val="24"/>
          <w:lang w:eastAsia="nb-NO"/>
        </w:rPr>
      </w:pPr>
    </w:p>
    <w:p w14:paraId="293AE03E" w14:textId="77777777" w:rsidR="002B20A9" w:rsidRPr="00C86111" w:rsidRDefault="002B20A9" w:rsidP="002B20A9">
      <w:p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 xml:space="preserve">Informacije </w:t>
      </w:r>
      <w:r w:rsidRPr="00C86111">
        <w:rPr>
          <w:rFonts w:asciiTheme="minorHAnsi" w:eastAsia="SimSun" w:hAnsiTheme="minorHAnsi" w:cstheme="minorHAnsi"/>
          <w:color w:val="auto"/>
          <w:szCs w:val="24"/>
        </w:rPr>
        <w:t xml:space="preserve">koje je potrebno dobiti za inventar </w:t>
      </w:r>
      <w:r w:rsidRPr="00C86111">
        <w:rPr>
          <w:rFonts w:asciiTheme="minorHAnsi" w:hAnsiTheme="minorHAnsi" w:cstheme="minorHAnsi"/>
          <w:color w:val="auto"/>
          <w:szCs w:val="24"/>
          <w:lang w:eastAsia="nb-NO"/>
        </w:rPr>
        <w:t>uključuju sledeće:</w:t>
      </w:r>
    </w:p>
    <w:p w14:paraId="52B974B4" w14:textId="77777777" w:rsidR="002B20A9" w:rsidRPr="00C86111" w:rsidRDefault="002B20A9" w:rsidP="002B20A9">
      <w:pPr>
        <w:jc w:val="both"/>
        <w:rPr>
          <w:rFonts w:asciiTheme="minorHAnsi" w:hAnsiTheme="minorHAnsi" w:cstheme="minorHAnsi"/>
          <w:color w:val="auto"/>
          <w:szCs w:val="24"/>
          <w:lang w:eastAsia="nb-NO"/>
        </w:rPr>
      </w:pPr>
    </w:p>
    <w:p w14:paraId="2FBEF07D"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Proizvodnja i upotreba PFOS, njegove soli i PFOSF na nacionalnom nivou.</w:t>
      </w:r>
    </w:p>
    <w:p w14:paraId="4B1CAFBF"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 xml:space="preserve">Prisustvo proizvoda i predmeta koji sadrže PFOS, njegove soli i PFOSF na </w:t>
      </w:r>
    </w:p>
    <w:p w14:paraId="268EFF0A"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potrošačkom tržištu</w:t>
      </w:r>
    </w:p>
    <w:p w14:paraId="56DAF581"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Korišćenje, uvoz i izvoz proizvoda i predmeta koje sadrže PFOS, njegove soli i PFOSF</w:t>
      </w:r>
    </w:p>
    <w:p w14:paraId="29092BA8"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Skladištene zalihe</w:t>
      </w:r>
    </w:p>
    <w:p w14:paraId="5FDCA50B"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 xml:space="preserve">Postupci odlaganja proizvoda i hemikalija koje sadrže sadrže PFOS, njegove soli i </w:t>
      </w:r>
    </w:p>
    <w:p w14:paraId="2EB48F1C"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PFOSF kada postanu otpad.</w:t>
      </w:r>
    </w:p>
    <w:p w14:paraId="5FE2DF2A" w14:textId="77777777" w:rsidR="002B20A9" w:rsidRPr="00C86111" w:rsidRDefault="002B20A9" w:rsidP="00833A40">
      <w:pPr>
        <w:pStyle w:val="ListParagraph"/>
        <w:numPr>
          <w:ilvl w:val="0"/>
          <w:numId w:val="130"/>
        </w:num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Količine generisanog otpada</w:t>
      </w:r>
    </w:p>
    <w:p w14:paraId="1D983EBA" w14:textId="77777777" w:rsidR="002B20A9" w:rsidRPr="00C86111" w:rsidRDefault="002B20A9" w:rsidP="00833A40">
      <w:pPr>
        <w:pStyle w:val="ListParagraph"/>
        <w:numPr>
          <w:ilvl w:val="0"/>
          <w:numId w:val="130"/>
        </w:num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Ispuštanja u životnu sredinu iz tačkastih izvora;</w:t>
      </w:r>
    </w:p>
    <w:p w14:paraId="74AB31B2" w14:textId="77777777" w:rsidR="002B20A9" w:rsidRPr="00C86111" w:rsidRDefault="002B20A9" w:rsidP="00833A40">
      <w:pPr>
        <w:pStyle w:val="ListParagraph"/>
        <w:numPr>
          <w:ilvl w:val="0"/>
          <w:numId w:val="130"/>
        </w:num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Potencijalno kontaminirane lokacije;</w:t>
      </w:r>
    </w:p>
    <w:p w14:paraId="669E687B" w14:textId="77777777" w:rsidR="002B20A9" w:rsidRPr="00C86111" w:rsidRDefault="002B20A9" w:rsidP="00833A40">
      <w:pPr>
        <w:pStyle w:val="ListParagraph"/>
        <w:numPr>
          <w:ilvl w:val="0"/>
          <w:numId w:val="130"/>
        </w:numPr>
        <w:jc w:val="both"/>
        <w:rPr>
          <w:rFonts w:asciiTheme="minorHAnsi" w:hAnsiTheme="minorHAnsi" w:cstheme="minorHAnsi"/>
          <w:color w:val="auto"/>
          <w:szCs w:val="24"/>
          <w:lang w:eastAsia="nb-NO"/>
        </w:rPr>
      </w:pPr>
      <w:r w:rsidRPr="00C86111">
        <w:rPr>
          <w:rFonts w:asciiTheme="minorHAnsi" w:hAnsiTheme="minorHAnsi" w:cstheme="minorHAnsi"/>
          <w:color w:val="auto"/>
          <w:szCs w:val="24"/>
          <w:lang w:eastAsia="nb-NO"/>
        </w:rPr>
        <w:t>Potencijalno štetno izlaganje ljudi i životne sredine.</w:t>
      </w:r>
    </w:p>
    <w:p w14:paraId="661B2966" w14:textId="77777777" w:rsidR="002B20A9" w:rsidRPr="00C86111" w:rsidRDefault="002B20A9" w:rsidP="002B20A9">
      <w:pPr>
        <w:jc w:val="both"/>
        <w:rPr>
          <w:rFonts w:asciiTheme="minorHAnsi" w:hAnsiTheme="minorHAnsi" w:cstheme="minorHAnsi"/>
          <w:color w:val="auto"/>
          <w:szCs w:val="24"/>
          <w:lang w:eastAsia="nb-NO"/>
        </w:rPr>
      </w:pPr>
    </w:p>
    <w:p w14:paraId="3B100B6A"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 xml:space="preserve">Inventar PFOS, njegovih soli i PFOSF je razvijen u skladu sa smjernicama datim u „Uputstvu za pripremu inventara PFOS, PFOA i PFHxS. Sekretarijat Bazelske, Roterdamske i Stokholmske konvencije, Program Ujedinjenih nacija za životnu sredinu, Ženeva. UNEP (2023).” </w:t>
      </w:r>
    </w:p>
    <w:p w14:paraId="2707418A" w14:textId="77777777" w:rsidR="002B20A9" w:rsidRPr="00C86111" w:rsidRDefault="002B20A9" w:rsidP="00EA6904">
      <w:pPr>
        <w:pStyle w:val="Heading4"/>
      </w:pPr>
      <w:bookmarkStart w:id="223" w:name="_Toc210632487"/>
      <w:r w:rsidRPr="00C86111">
        <w:t>Proces izrade inventara</w:t>
      </w:r>
      <w:bookmarkEnd w:id="223"/>
    </w:p>
    <w:p w14:paraId="6A3F6DFF"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 xml:space="preserve">Proces izrade inventara se sastojao od sledećih koraka: </w:t>
      </w:r>
    </w:p>
    <w:p w14:paraId="1E6BB89D"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002060"/>
          <w:szCs w:val="24"/>
          <w:lang w:eastAsia="nb-NO"/>
        </w:rPr>
        <w:t xml:space="preserve">Korak 1: </w:t>
      </w:r>
      <w:r w:rsidRPr="00C86111">
        <w:rPr>
          <w:rFonts w:asciiTheme="minorHAnsi" w:eastAsia="SimSun" w:hAnsiTheme="minorHAnsi" w:cstheme="minorHAnsi"/>
          <w:color w:val="auto"/>
          <w:szCs w:val="24"/>
          <w:lang w:eastAsia="nb-NO"/>
        </w:rPr>
        <w:t>Pokretanje procesa razvoja inventara</w:t>
      </w:r>
    </w:p>
    <w:p w14:paraId="259624DF"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Osnivanje nacionalnog tima za inventar</w:t>
      </w:r>
    </w:p>
    <w:p w14:paraId="0C113D95"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Identifikovanje relevantnih zainteresovanih strana</w:t>
      </w:r>
    </w:p>
    <w:p w14:paraId="0C7423F2"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Definisanje obima inventara</w:t>
      </w:r>
    </w:p>
    <w:p w14:paraId="5E93B1D6"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lastRenderedPageBreak/>
        <w:t>Izrada plana rada</w:t>
      </w:r>
    </w:p>
    <w:p w14:paraId="631A3E0D"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Kontakt sa zainteresovanim stranama</w:t>
      </w:r>
    </w:p>
    <w:p w14:paraId="00CB545D"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002060"/>
          <w:szCs w:val="24"/>
          <w:lang w:eastAsia="nb-NO"/>
        </w:rPr>
        <w:t>Korak 2:</w:t>
      </w:r>
      <w:r w:rsidRPr="00C86111">
        <w:rPr>
          <w:rFonts w:asciiTheme="minorHAnsi" w:eastAsia="SimSun" w:hAnsiTheme="minorHAnsi" w:cstheme="minorHAnsi"/>
          <w:color w:val="auto"/>
          <w:szCs w:val="24"/>
          <w:lang w:eastAsia="nb-NO"/>
        </w:rPr>
        <w:t xml:space="preserve"> Izbor metodologija prikupljanja podataka</w:t>
      </w:r>
    </w:p>
    <w:p w14:paraId="13702CE2"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002060"/>
          <w:szCs w:val="24"/>
          <w:lang w:eastAsia="nb-NO"/>
        </w:rPr>
        <w:t xml:space="preserve">Korak 3: </w:t>
      </w:r>
      <w:r w:rsidRPr="00C86111">
        <w:rPr>
          <w:rFonts w:asciiTheme="minorHAnsi" w:eastAsia="SimSun" w:hAnsiTheme="minorHAnsi" w:cstheme="minorHAnsi"/>
          <w:color w:val="auto"/>
          <w:szCs w:val="24"/>
          <w:lang w:eastAsia="nb-NO"/>
        </w:rPr>
        <w:t xml:space="preserve">Prikupljanje podataka </w:t>
      </w:r>
    </w:p>
    <w:p w14:paraId="51769D50" w14:textId="77777777" w:rsidR="002B20A9" w:rsidRPr="00C86111" w:rsidRDefault="002B20A9" w:rsidP="007E2AA5">
      <w:pPr>
        <w:pStyle w:val="ListParagraph"/>
        <w:numPr>
          <w:ilvl w:val="0"/>
          <w:numId w:val="20"/>
        </w:numPr>
        <w:snapToGrid w:val="0"/>
        <w:spacing w:line="271" w:lineRule="auto"/>
        <w:contextualSpacing w:val="0"/>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Tier 1</w:t>
      </w:r>
    </w:p>
    <w:p w14:paraId="4E7DE8C8" w14:textId="77777777" w:rsidR="002B20A9" w:rsidRPr="00C86111" w:rsidRDefault="002B20A9" w:rsidP="007E2AA5">
      <w:pPr>
        <w:pStyle w:val="ListParagraph"/>
        <w:numPr>
          <w:ilvl w:val="0"/>
          <w:numId w:val="20"/>
        </w:numPr>
        <w:snapToGrid w:val="0"/>
        <w:spacing w:line="271" w:lineRule="auto"/>
        <w:contextualSpacing w:val="0"/>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Tier II</w:t>
      </w:r>
    </w:p>
    <w:p w14:paraId="4F58133A" w14:textId="77777777" w:rsidR="002B20A9" w:rsidRPr="00C86111" w:rsidRDefault="002B20A9" w:rsidP="007E2AA5">
      <w:pPr>
        <w:pStyle w:val="ListParagraph"/>
        <w:numPr>
          <w:ilvl w:val="0"/>
          <w:numId w:val="20"/>
        </w:numPr>
        <w:snapToGrid w:val="0"/>
        <w:spacing w:line="271" w:lineRule="auto"/>
        <w:contextualSpacing w:val="0"/>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Tier III</w:t>
      </w:r>
    </w:p>
    <w:p w14:paraId="00E6785B"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002060"/>
          <w:szCs w:val="24"/>
          <w:lang w:eastAsia="nb-NO"/>
        </w:rPr>
        <w:t xml:space="preserve">Korak 4: </w:t>
      </w:r>
      <w:r w:rsidRPr="00C86111">
        <w:rPr>
          <w:rFonts w:asciiTheme="minorHAnsi" w:eastAsia="SimSun" w:hAnsiTheme="minorHAnsi" w:cstheme="minorHAnsi"/>
          <w:color w:val="auto"/>
          <w:szCs w:val="24"/>
          <w:lang w:eastAsia="nb-NO"/>
        </w:rPr>
        <w:t>Upravljanje i procjena podataka</w:t>
      </w:r>
    </w:p>
    <w:p w14:paraId="24A3FE32"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002060"/>
          <w:szCs w:val="24"/>
          <w:lang w:eastAsia="nb-NO"/>
        </w:rPr>
        <w:t xml:space="preserve">Korak 5: </w:t>
      </w:r>
      <w:r w:rsidRPr="00C86111">
        <w:rPr>
          <w:rFonts w:asciiTheme="minorHAnsi" w:eastAsia="SimSun" w:hAnsiTheme="minorHAnsi" w:cstheme="minorHAnsi"/>
          <w:color w:val="auto"/>
          <w:szCs w:val="24"/>
          <w:lang w:eastAsia="nb-NO"/>
        </w:rPr>
        <w:t>Priprema izveštaja o inventaru</w:t>
      </w:r>
    </w:p>
    <w:p w14:paraId="59ADA2C4" w14:textId="77777777" w:rsidR="002B20A9" w:rsidRPr="00C86111" w:rsidRDefault="002B20A9" w:rsidP="00EA6904">
      <w:pPr>
        <w:pStyle w:val="Heading4"/>
      </w:pPr>
      <w:bookmarkStart w:id="224" w:name="_Toc210632488"/>
      <w:r w:rsidRPr="00C86111">
        <w:t>Planiranje inventara</w:t>
      </w:r>
      <w:bookmarkEnd w:id="224"/>
    </w:p>
    <w:p w14:paraId="3505E777" w14:textId="77777777" w:rsidR="002B20A9" w:rsidRPr="00C86111" w:rsidRDefault="002B20A9" w:rsidP="002B20A9">
      <w:pPr>
        <w:jc w:val="both"/>
        <w:rPr>
          <w:rFonts w:asciiTheme="minorHAnsi" w:eastAsia="SimSun" w:hAnsiTheme="minorHAnsi" w:cstheme="minorHAnsi"/>
          <w:color w:val="auto"/>
          <w:szCs w:val="24"/>
        </w:rPr>
      </w:pPr>
      <w:r w:rsidRPr="00C86111">
        <w:rPr>
          <w:rFonts w:asciiTheme="minorHAnsi" w:hAnsiTheme="minorHAnsi" w:cstheme="minorHAnsi"/>
          <w:color w:val="auto"/>
          <w:szCs w:val="24"/>
        </w:rPr>
        <w:t xml:space="preserve">Nakon uspostavljanje PFOS inventarskog tima napravljen je </w:t>
      </w:r>
      <w:r w:rsidRPr="00C86111">
        <w:rPr>
          <w:rFonts w:asciiTheme="minorHAnsi" w:eastAsia="SimSun" w:hAnsiTheme="minorHAnsi" w:cstheme="minorHAnsi"/>
          <w:color w:val="auto"/>
          <w:szCs w:val="24"/>
        </w:rPr>
        <w:t>plan izrade nacionalnog inventara PFOS-a i definisan obim popisa. Održani su sastanci sa relevantnim organizacijama u cilju definisanja obaveza članova radnog tima/zainteresovanih strana i usvojena metodologija i načina rada.</w:t>
      </w:r>
    </w:p>
    <w:p w14:paraId="3E8D7F19" w14:textId="77777777" w:rsidR="002B20A9" w:rsidRPr="00C86111" w:rsidRDefault="002B20A9" w:rsidP="002B20A9">
      <w:pPr>
        <w:jc w:val="both"/>
        <w:rPr>
          <w:rFonts w:asciiTheme="minorHAnsi" w:hAnsiTheme="minorHAnsi" w:cstheme="minorHAnsi"/>
          <w:color w:val="auto"/>
          <w:szCs w:val="24"/>
        </w:rPr>
      </w:pPr>
      <w:r w:rsidRPr="00C86111">
        <w:rPr>
          <w:rFonts w:asciiTheme="minorHAnsi" w:hAnsiTheme="minorHAnsi" w:cstheme="minorHAnsi"/>
          <w:color w:val="auto"/>
          <w:szCs w:val="24"/>
        </w:rPr>
        <w:t>Članovi inventarskog tima su razmatrajući procese odnosno sektore u kojima se PFOS može dominantno pronaći, donijeli zaključke o prioritetnim sektorima koji će biti predmet inventarizacije PFOS-a.</w:t>
      </w:r>
    </w:p>
    <w:p w14:paraId="5551A4C4" w14:textId="77777777" w:rsidR="002B20A9" w:rsidRPr="00C86111" w:rsidRDefault="002B20A9" w:rsidP="002B20A9">
      <w:p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Kako u Crnoj Gori nema razvijene industrije koja u svojoj proizvodnji koristi PFOS hemikalije (industrija elektronike, poluprovodnika, fotografska industrija, proizvodnja tekstila, papira, prerada kože, proizvodnja tepiha, industrija platiniranja metala, hemijska industrija), za izradu inventara PFOS-a odabrani su sledeći ključni sektori:</w:t>
      </w:r>
    </w:p>
    <w:p w14:paraId="382AE65E" w14:textId="77777777" w:rsidR="002B20A9" w:rsidRPr="00C86111" w:rsidRDefault="002B20A9" w:rsidP="00833A40">
      <w:pPr>
        <w:pStyle w:val="ListParagraph"/>
        <w:numPr>
          <w:ilvl w:val="0"/>
          <w:numId w:val="131"/>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Sektor protivpožarne zaštite</w:t>
      </w:r>
    </w:p>
    <w:p w14:paraId="60D484F4" w14:textId="77777777" w:rsidR="002B20A9" w:rsidRPr="00C86111" w:rsidRDefault="002B20A9" w:rsidP="00833A40">
      <w:pPr>
        <w:pStyle w:val="ListParagraph"/>
        <w:numPr>
          <w:ilvl w:val="0"/>
          <w:numId w:val="131"/>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Sektor upravljanja otpadom</w:t>
      </w:r>
    </w:p>
    <w:p w14:paraId="53FD788E" w14:textId="77777777" w:rsidR="002B20A9" w:rsidRPr="00C86111" w:rsidRDefault="002B20A9" w:rsidP="00833A40">
      <w:pPr>
        <w:pStyle w:val="ListParagraph"/>
        <w:numPr>
          <w:ilvl w:val="0"/>
          <w:numId w:val="131"/>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Potrošačko tržište</w:t>
      </w:r>
    </w:p>
    <w:p w14:paraId="3E06B95A" w14:textId="77777777" w:rsidR="002B20A9" w:rsidRPr="00C86111" w:rsidRDefault="002B20A9" w:rsidP="002B20A9">
      <w:pPr>
        <w:jc w:val="both"/>
        <w:rPr>
          <w:rFonts w:asciiTheme="minorHAnsi" w:eastAsia="SimSun" w:hAnsiTheme="minorHAnsi" w:cstheme="minorHAnsi"/>
          <w:color w:val="auto"/>
          <w:szCs w:val="24"/>
        </w:rPr>
      </w:pPr>
    </w:p>
    <w:p w14:paraId="23017C67" w14:textId="77777777" w:rsidR="002B20A9" w:rsidRPr="00C86111" w:rsidRDefault="002B20A9" w:rsidP="002B20A9">
      <w:p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Relevantne zainteresovane strane/organizacija od kojih su prikupljane informacije su:</w:t>
      </w:r>
    </w:p>
    <w:p w14:paraId="0B0E3292" w14:textId="77777777" w:rsidR="002B20A9" w:rsidRPr="00C86111" w:rsidRDefault="002B20A9" w:rsidP="00833A40">
      <w:pPr>
        <w:pStyle w:val="ListParagraph"/>
        <w:numPr>
          <w:ilvl w:val="0"/>
          <w:numId w:val="132"/>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Ministarstvo ekologije, održivog razvoja i razvoja sjevera</w:t>
      </w:r>
    </w:p>
    <w:p w14:paraId="3AB6B287" w14:textId="77777777" w:rsidR="002B20A9" w:rsidRPr="00C86111" w:rsidRDefault="002B20A9" w:rsidP="00833A40">
      <w:pPr>
        <w:pStyle w:val="ListParagraph"/>
        <w:numPr>
          <w:ilvl w:val="0"/>
          <w:numId w:val="132"/>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Protivpožarne organizacije</w:t>
      </w:r>
    </w:p>
    <w:p w14:paraId="0DEBB452" w14:textId="77777777" w:rsidR="002B20A9" w:rsidRPr="00C86111" w:rsidRDefault="002B20A9" w:rsidP="00833A40">
      <w:pPr>
        <w:pStyle w:val="ListParagraph"/>
        <w:numPr>
          <w:ilvl w:val="0"/>
          <w:numId w:val="132"/>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Direktorat za zaštitu i spašavanje</w:t>
      </w:r>
    </w:p>
    <w:p w14:paraId="26716803" w14:textId="77777777" w:rsidR="002B20A9" w:rsidRPr="00C86111" w:rsidRDefault="002B20A9" w:rsidP="00833A40">
      <w:pPr>
        <w:pStyle w:val="ListParagraph"/>
        <w:numPr>
          <w:ilvl w:val="0"/>
          <w:numId w:val="132"/>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Uprava carina</w:t>
      </w:r>
    </w:p>
    <w:p w14:paraId="67AFF3BC" w14:textId="77777777" w:rsidR="002B20A9" w:rsidRPr="00C86111" w:rsidRDefault="002B20A9" w:rsidP="00833A40">
      <w:pPr>
        <w:pStyle w:val="ListParagraph"/>
        <w:numPr>
          <w:ilvl w:val="0"/>
          <w:numId w:val="132"/>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Uprava za statistiku Crne Gore – MONSTAT</w:t>
      </w:r>
    </w:p>
    <w:p w14:paraId="6426596C" w14:textId="77777777" w:rsidR="002B20A9" w:rsidRPr="00C86111" w:rsidRDefault="002B20A9" w:rsidP="002B20A9">
      <w:pPr>
        <w:jc w:val="both"/>
        <w:rPr>
          <w:rFonts w:asciiTheme="minorHAnsi" w:eastAsia="SimSun" w:hAnsiTheme="minorHAnsi" w:cstheme="minorHAnsi"/>
          <w:color w:val="auto"/>
          <w:szCs w:val="24"/>
        </w:rPr>
      </w:pPr>
    </w:p>
    <w:p w14:paraId="2E41742E" w14:textId="77777777" w:rsidR="002B20A9" w:rsidRPr="00C86111" w:rsidRDefault="002B20A9" w:rsidP="002B20A9">
      <w:pPr>
        <w:jc w:val="both"/>
        <w:rPr>
          <w:rFonts w:asciiTheme="minorHAnsi" w:hAnsiTheme="minorHAnsi" w:cstheme="minorHAnsi"/>
          <w:color w:val="auto"/>
          <w:szCs w:val="24"/>
        </w:rPr>
      </w:pPr>
      <w:r w:rsidRPr="00C86111">
        <w:rPr>
          <w:rFonts w:asciiTheme="minorHAnsi" w:eastAsia="SimSun" w:hAnsiTheme="minorHAnsi" w:cstheme="minorHAnsi"/>
          <w:color w:val="auto"/>
          <w:szCs w:val="24"/>
        </w:rPr>
        <w:t>Od navedenih organizacija dobijeni su podaci o  u</w:t>
      </w:r>
      <w:r w:rsidRPr="00C86111">
        <w:rPr>
          <w:rFonts w:asciiTheme="minorHAnsi" w:hAnsiTheme="minorHAnsi" w:cstheme="minorHAnsi"/>
          <w:color w:val="auto"/>
          <w:szCs w:val="24"/>
        </w:rPr>
        <w:t>potrebi i skladištenju protivpožarnih pjena,</w:t>
      </w:r>
    </w:p>
    <w:p w14:paraId="2012CA6D" w14:textId="77777777" w:rsidR="002B20A9" w:rsidRPr="00C86111" w:rsidRDefault="002B20A9" w:rsidP="002B20A9">
      <w:pPr>
        <w:jc w:val="both"/>
        <w:rPr>
          <w:rFonts w:asciiTheme="minorHAnsi" w:hAnsiTheme="minorHAnsi" w:cstheme="minorHAnsi"/>
          <w:color w:val="auto"/>
          <w:szCs w:val="24"/>
        </w:rPr>
      </w:pPr>
      <w:r w:rsidRPr="00C86111">
        <w:rPr>
          <w:rFonts w:asciiTheme="minorHAnsi" w:eastAsia="SimSun" w:hAnsiTheme="minorHAnsi" w:cstheme="minorHAnsi"/>
          <w:color w:val="auto"/>
          <w:szCs w:val="24"/>
        </w:rPr>
        <w:t>uvozu i upotrebi potrošačkih proizvoda koji mogu potencijalno da sadrže PFOS (</w:t>
      </w:r>
      <w:r w:rsidRPr="00C86111">
        <w:rPr>
          <w:rFonts w:asciiTheme="minorHAnsi" w:hAnsiTheme="minorHAnsi" w:cstheme="minorHAnsi"/>
          <w:color w:val="auto"/>
          <w:szCs w:val="24"/>
        </w:rPr>
        <w:t>tekstil, odjeća, proizvodi od kože, papir, ambalaža …) i generisanju otpada na osnovu odabranih indeksnih brojeva otpada.</w:t>
      </w:r>
    </w:p>
    <w:p w14:paraId="098C55CA" w14:textId="77777777" w:rsidR="002B20A9" w:rsidRPr="00C86111" w:rsidRDefault="002B20A9" w:rsidP="00EA6904">
      <w:pPr>
        <w:pStyle w:val="Heading4"/>
      </w:pPr>
      <w:bookmarkStart w:id="225" w:name="_Toc210632489"/>
      <w:r w:rsidRPr="00C86111">
        <w:t>Metodologija prikupljanja podataka</w:t>
      </w:r>
      <w:bookmarkEnd w:id="225"/>
    </w:p>
    <w:p w14:paraId="62B719FE" w14:textId="77777777" w:rsidR="002B20A9" w:rsidRPr="00C86111" w:rsidRDefault="002B20A9" w:rsidP="002B20A9">
      <w:pPr>
        <w:jc w:val="both"/>
        <w:rPr>
          <w:rFonts w:asciiTheme="minorHAnsi" w:hAnsiTheme="minorHAnsi" w:cstheme="minorHAnsi"/>
          <w:color w:val="auto"/>
          <w:szCs w:val="24"/>
        </w:rPr>
      </w:pPr>
      <w:r w:rsidRPr="00C86111">
        <w:rPr>
          <w:rFonts w:asciiTheme="minorHAnsi" w:hAnsiTheme="minorHAnsi" w:cstheme="minorHAnsi"/>
          <w:color w:val="auto"/>
          <w:szCs w:val="24"/>
        </w:rPr>
        <w:t>Proces prikupljanja podataka sproveden je kombinacijom sledećih metoda:</w:t>
      </w:r>
    </w:p>
    <w:p w14:paraId="256D15AB" w14:textId="77777777" w:rsidR="002B20A9" w:rsidRPr="00C86111" w:rsidRDefault="002B20A9" w:rsidP="00833A40">
      <w:pPr>
        <w:pStyle w:val="ListParagraph"/>
        <w:numPr>
          <w:ilvl w:val="0"/>
          <w:numId w:val="133"/>
        </w:numPr>
        <w:jc w:val="both"/>
        <w:rPr>
          <w:rFonts w:asciiTheme="minorHAnsi" w:hAnsiTheme="minorHAnsi" w:cstheme="minorHAnsi"/>
          <w:color w:val="auto"/>
          <w:szCs w:val="24"/>
        </w:rPr>
      </w:pPr>
      <w:r w:rsidRPr="00C86111">
        <w:rPr>
          <w:rFonts w:asciiTheme="minorHAnsi" w:hAnsiTheme="minorHAnsi" w:cstheme="minorHAnsi"/>
          <w:color w:val="auto"/>
          <w:szCs w:val="24"/>
        </w:rPr>
        <w:t>Direktnim intervjuom sa zaineresovanim stranama</w:t>
      </w:r>
    </w:p>
    <w:p w14:paraId="64E50647" w14:textId="77777777" w:rsidR="002B20A9" w:rsidRPr="00C86111" w:rsidRDefault="002B20A9" w:rsidP="00833A40">
      <w:pPr>
        <w:pStyle w:val="ListParagraph"/>
        <w:numPr>
          <w:ilvl w:val="0"/>
          <w:numId w:val="133"/>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Telefonskim intervjuom</w:t>
      </w:r>
    </w:p>
    <w:p w14:paraId="412EC4BC" w14:textId="77777777" w:rsidR="002B20A9" w:rsidRPr="00C86111" w:rsidRDefault="002B20A9" w:rsidP="00833A40">
      <w:pPr>
        <w:pStyle w:val="ListParagraph"/>
        <w:numPr>
          <w:ilvl w:val="0"/>
          <w:numId w:val="133"/>
        </w:numPr>
        <w:jc w:val="both"/>
        <w:rPr>
          <w:rFonts w:asciiTheme="minorHAnsi" w:hAnsiTheme="minorHAnsi" w:cstheme="minorHAnsi"/>
          <w:color w:val="auto"/>
          <w:szCs w:val="24"/>
        </w:rPr>
      </w:pPr>
      <w:r w:rsidRPr="00C86111">
        <w:rPr>
          <w:rFonts w:asciiTheme="minorHAnsi" w:hAnsiTheme="minorHAnsi" w:cstheme="minorHAnsi"/>
          <w:color w:val="auto"/>
          <w:szCs w:val="24"/>
        </w:rPr>
        <w:t>E-mail komunikacijom</w:t>
      </w:r>
    </w:p>
    <w:p w14:paraId="3A3E2C33" w14:textId="77777777" w:rsidR="002B20A9" w:rsidRPr="00C86111" w:rsidRDefault="002B20A9" w:rsidP="00833A40">
      <w:pPr>
        <w:pStyle w:val="ListParagraph"/>
        <w:numPr>
          <w:ilvl w:val="0"/>
          <w:numId w:val="133"/>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 xml:space="preserve">Distribucijom upitnika releventnim organizacijama </w:t>
      </w:r>
    </w:p>
    <w:p w14:paraId="7E327A70" w14:textId="77777777" w:rsidR="002B20A9" w:rsidRPr="00C86111" w:rsidRDefault="002B20A9" w:rsidP="00833A40">
      <w:pPr>
        <w:pStyle w:val="ListParagraph"/>
        <w:numPr>
          <w:ilvl w:val="0"/>
          <w:numId w:val="133"/>
        </w:numPr>
        <w:jc w:val="both"/>
        <w:rPr>
          <w:rFonts w:asciiTheme="minorHAnsi" w:eastAsia="SimSun" w:hAnsiTheme="minorHAnsi" w:cstheme="minorHAnsi"/>
          <w:color w:val="auto"/>
          <w:szCs w:val="24"/>
        </w:rPr>
      </w:pPr>
      <w:r w:rsidRPr="00C86111">
        <w:rPr>
          <w:rFonts w:asciiTheme="minorHAnsi" w:eastAsia="SimSun" w:hAnsiTheme="minorHAnsi" w:cstheme="minorHAnsi"/>
          <w:color w:val="auto"/>
          <w:szCs w:val="24"/>
        </w:rPr>
        <w:t>Procjenom na bazi nacionalnih statističkih podataka</w:t>
      </w:r>
    </w:p>
    <w:p w14:paraId="719019B0" w14:textId="77777777" w:rsidR="002B20A9" w:rsidRPr="00C86111" w:rsidRDefault="002B20A9" w:rsidP="00833A40">
      <w:pPr>
        <w:pStyle w:val="ListParagraph"/>
        <w:numPr>
          <w:ilvl w:val="0"/>
          <w:numId w:val="133"/>
        </w:numPr>
        <w:jc w:val="both"/>
        <w:rPr>
          <w:rFonts w:asciiTheme="minorHAnsi" w:hAnsiTheme="minorHAnsi" w:cstheme="minorHAnsi"/>
          <w:color w:val="auto"/>
          <w:szCs w:val="24"/>
        </w:rPr>
      </w:pPr>
      <w:r w:rsidRPr="00C86111">
        <w:rPr>
          <w:rFonts w:asciiTheme="minorHAnsi" w:hAnsiTheme="minorHAnsi" w:cstheme="minorHAnsi"/>
          <w:color w:val="auto"/>
          <w:szCs w:val="24"/>
        </w:rPr>
        <w:t>Pregledom i analizom podataka dostupnih na web stranicama javnih institucija (Monstat, EPA)</w:t>
      </w:r>
    </w:p>
    <w:p w14:paraId="403670A5" w14:textId="77777777" w:rsidR="002B20A9" w:rsidRPr="00C86111" w:rsidRDefault="002B20A9" w:rsidP="00833A40">
      <w:pPr>
        <w:pStyle w:val="ListParagraph"/>
        <w:numPr>
          <w:ilvl w:val="0"/>
          <w:numId w:val="133"/>
        </w:numPr>
        <w:jc w:val="both"/>
        <w:rPr>
          <w:rFonts w:asciiTheme="minorHAnsi" w:hAnsiTheme="minorHAnsi" w:cstheme="minorHAnsi"/>
          <w:color w:val="auto"/>
          <w:szCs w:val="24"/>
        </w:rPr>
      </w:pPr>
      <w:r w:rsidRPr="00C86111">
        <w:rPr>
          <w:rFonts w:asciiTheme="minorHAnsi" w:hAnsiTheme="minorHAnsi" w:cstheme="minorHAnsi"/>
          <w:color w:val="auto"/>
          <w:szCs w:val="24"/>
        </w:rPr>
        <w:t>Posjetom lokacijama i direktnim intervjuisanjem predstavnika zainteresovanih strana</w:t>
      </w:r>
    </w:p>
    <w:p w14:paraId="36702892" w14:textId="77777777" w:rsidR="002B20A9" w:rsidRPr="00C86111" w:rsidRDefault="002B20A9" w:rsidP="00EA6904">
      <w:pPr>
        <w:pStyle w:val="Heading4"/>
      </w:pPr>
      <w:bookmarkStart w:id="226" w:name="_Toc210632490"/>
      <w:r w:rsidRPr="00C86111">
        <w:t xml:space="preserve"> Prikupljanje i agregacija podataka</w:t>
      </w:r>
      <w:bookmarkEnd w:id="226"/>
    </w:p>
    <w:p w14:paraId="02054328"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Prikupljanje podataka je proces koji se može zasnivati na višestepenom pristupu. Prilikom izrade inventara PFOS-a korišćen je Tier I, Tier II I Tier III pristup.</w:t>
      </w:r>
    </w:p>
    <w:p w14:paraId="1EEE0051"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002060"/>
          <w:szCs w:val="24"/>
          <w:lang w:eastAsia="nb-NO"/>
        </w:rPr>
        <w:t xml:space="preserve">Tier I </w:t>
      </w:r>
      <w:r w:rsidRPr="00C86111">
        <w:rPr>
          <w:rFonts w:asciiTheme="minorHAnsi" w:eastAsia="SimSun" w:hAnsiTheme="minorHAnsi" w:cstheme="minorHAnsi"/>
          <w:color w:val="auto"/>
          <w:szCs w:val="24"/>
          <w:lang w:eastAsia="nb-NO"/>
        </w:rPr>
        <w:t xml:space="preserve">predstavlja početnu procjenu. Ovaj pristup korišćen je za identifikaciju potencijalnih izvora upotrebe inventarskih supstanci, dobijanja informacija o uvozu proizvoda koji </w:t>
      </w:r>
      <w:bookmarkStart w:id="227" w:name="_Hlk184152177"/>
      <w:r w:rsidRPr="00C86111">
        <w:rPr>
          <w:rFonts w:asciiTheme="minorHAnsi" w:eastAsia="SimSun" w:hAnsiTheme="minorHAnsi" w:cstheme="minorHAnsi"/>
          <w:color w:val="auto"/>
          <w:szCs w:val="24"/>
          <w:lang w:eastAsia="nb-NO"/>
        </w:rPr>
        <w:t>potencijalno mogu da sadrže PFOS</w:t>
      </w:r>
      <w:bookmarkEnd w:id="227"/>
      <w:r w:rsidRPr="00C86111">
        <w:rPr>
          <w:rFonts w:asciiTheme="minorHAnsi" w:eastAsia="SimSun" w:hAnsiTheme="minorHAnsi" w:cstheme="minorHAnsi"/>
          <w:color w:val="auto"/>
          <w:szCs w:val="24"/>
          <w:lang w:eastAsia="nb-NO"/>
        </w:rPr>
        <w:t xml:space="preserve"> kao i informacija o postojećem otpadu koji potencijalno sadrži PFOS  </w:t>
      </w:r>
    </w:p>
    <w:p w14:paraId="2B8EF267"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auto"/>
          <w:szCs w:val="24"/>
          <w:lang w:eastAsia="nb-NO"/>
        </w:rPr>
        <w:t xml:space="preserve">U okviru </w:t>
      </w:r>
      <w:r w:rsidRPr="00C86111">
        <w:rPr>
          <w:rFonts w:asciiTheme="minorHAnsi" w:eastAsia="SimSun" w:hAnsiTheme="minorHAnsi" w:cstheme="minorHAnsi"/>
          <w:color w:val="002060"/>
          <w:szCs w:val="24"/>
          <w:lang w:eastAsia="nb-NO"/>
        </w:rPr>
        <w:t xml:space="preserve">Tier II </w:t>
      </w:r>
      <w:r w:rsidRPr="00C86111">
        <w:rPr>
          <w:rFonts w:asciiTheme="minorHAnsi" w:eastAsia="SimSun" w:hAnsiTheme="minorHAnsi" w:cstheme="minorHAnsi"/>
          <w:color w:val="auto"/>
          <w:szCs w:val="24"/>
          <w:lang w:eastAsia="nb-NO"/>
        </w:rPr>
        <w:t>pristupa, prikupljene su dodatne informacije za dopunu inventara, sistematski prikupljeni podaci, urađeni direktni intervjui i poslati upitnici za generisanje podataka koji nedostaju.</w:t>
      </w:r>
    </w:p>
    <w:p w14:paraId="25F63522" w14:textId="77777777" w:rsidR="002B20A9" w:rsidRPr="00C86111" w:rsidRDefault="002B20A9" w:rsidP="002B20A9">
      <w:pPr>
        <w:jc w:val="both"/>
        <w:rPr>
          <w:rFonts w:asciiTheme="minorHAnsi" w:eastAsia="SimSun" w:hAnsiTheme="minorHAnsi" w:cstheme="minorHAnsi"/>
          <w:color w:val="auto"/>
          <w:szCs w:val="24"/>
          <w:lang w:eastAsia="nb-NO"/>
        </w:rPr>
      </w:pPr>
      <w:r w:rsidRPr="00C86111">
        <w:rPr>
          <w:rFonts w:asciiTheme="minorHAnsi" w:eastAsia="SimSun" w:hAnsiTheme="minorHAnsi" w:cstheme="minorHAnsi"/>
          <w:color w:val="002060"/>
          <w:szCs w:val="24"/>
          <w:lang w:eastAsia="nb-NO"/>
        </w:rPr>
        <w:t xml:space="preserve">Tier III. </w:t>
      </w:r>
      <w:r w:rsidRPr="00C86111">
        <w:rPr>
          <w:rFonts w:asciiTheme="minorHAnsi" w:eastAsia="SimSun" w:hAnsiTheme="minorHAnsi" w:cstheme="minorHAnsi"/>
          <w:color w:val="auto"/>
          <w:szCs w:val="24"/>
          <w:lang w:val="sr-Latn-ME" w:eastAsia="nb-NO"/>
        </w:rPr>
        <w:t>D</w:t>
      </w:r>
      <w:r w:rsidRPr="00C86111">
        <w:rPr>
          <w:rFonts w:asciiTheme="minorHAnsi" w:eastAsia="SimSun" w:hAnsiTheme="minorHAnsi" w:cstheme="minorHAnsi"/>
          <w:color w:val="auto"/>
          <w:szCs w:val="24"/>
          <w:lang w:eastAsia="nb-NO"/>
        </w:rPr>
        <w:t xml:space="preserve">ubinski inventar. </w:t>
      </w:r>
      <w:r w:rsidRPr="00C86111">
        <w:rPr>
          <w:rFonts w:asciiTheme="minorHAnsi" w:eastAsia="SimSun" w:hAnsiTheme="minorHAnsi" w:cstheme="minorHAnsi"/>
          <w:color w:val="auto"/>
          <w:szCs w:val="24"/>
          <w:lang w:val="sr-Latn-ME" w:eastAsia="nb-NO"/>
        </w:rPr>
        <w:t xml:space="preserve">On </w:t>
      </w:r>
      <w:r w:rsidRPr="00C86111">
        <w:rPr>
          <w:rFonts w:asciiTheme="minorHAnsi" w:eastAsia="SimSun" w:hAnsiTheme="minorHAnsi" w:cstheme="minorHAnsi"/>
          <w:color w:val="auto"/>
          <w:szCs w:val="24"/>
          <w:lang w:eastAsia="nb-NO"/>
        </w:rPr>
        <w:t>uključuje  detaljne pos</w:t>
      </w:r>
      <w:r w:rsidRPr="00C86111">
        <w:rPr>
          <w:rFonts w:asciiTheme="minorHAnsi" w:eastAsia="SimSun" w:hAnsiTheme="minorHAnsi" w:cstheme="minorHAnsi"/>
          <w:color w:val="auto"/>
          <w:szCs w:val="24"/>
          <w:lang w:val="sr-Latn-ME" w:eastAsia="nb-NO"/>
        </w:rPr>
        <w:t>j</w:t>
      </w:r>
      <w:r w:rsidRPr="00C86111">
        <w:rPr>
          <w:rFonts w:asciiTheme="minorHAnsi" w:eastAsia="SimSun" w:hAnsiTheme="minorHAnsi" w:cstheme="minorHAnsi"/>
          <w:color w:val="auto"/>
          <w:szCs w:val="24"/>
          <w:lang w:eastAsia="nb-NO"/>
        </w:rPr>
        <w:t>ete lokaciji i anali</w:t>
      </w:r>
      <w:r w:rsidRPr="00C86111">
        <w:rPr>
          <w:rFonts w:asciiTheme="minorHAnsi" w:eastAsia="SimSun" w:hAnsiTheme="minorHAnsi" w:cstheme="minorHAnsi"/>
          <w:color w:val="auto"/>
          <w:szCs w:val="24"/>
          <w:lang w:val="sr-Latn-ME" w:eastAsia="nb-NO"/>
        </w:rPr>
        <w:t>zu</w:t>
      </w:r>
      <w:r w:rsidRPr="00C86111">
        <w:rPr>
          <w:rFonts w:asciiTheme="minorHAnsi" w:eastAsia="SimSun" w:hAnsiTheme="minorHAnsi" w:cstheme="minorHAnsi"/>
          <w:color w:val="auto"/>
          <w:szCs w:val="24"/>
          <w:lang w:eastAsia="nb-NO"/>
        </w:rPr>
        <w:t xml:space="preserve"> proizvoda ili artikala koji sadrže </w:t>
      </w:r>
      <w:r w:rsidRPr="00C86111">
        <w:rPr>
          <w:rFonts w:asciiTheme="minorHAnsi" w:eastAsia="SimSun" w:hAnsiTheme="minorHAnsi" w:cstheme="minorHAnsi"/>
          <w:color w:val="auto"/>
          <w:szCs w:val="24"/>
          <w:lang w:val="sr-Latn-ME" w:eastAsia="nb-NO"/>
        </w:rPr>
        <w:t>inventarisane supstance</w:t>
      </w:r>
    </w:p>
    <w:p w14:paraId="3518DCF6" w14:textId="77777777" w:rsidR="002B20A9" w:rsidRPr="00C86111" w:rsidRDefault="002B20A9" w:rsidP="00EA6904">
      <w:pPr>
        <w:pStyle w:val="Heading4"/>
      </w:pPr>
      <w:bookmarkStart w:id="228" w:name="_Toc210632491"/>
      <w:bookmarkStart w:id="229" w:name="_Toc323295469"/>
      <w:bookmarkStart w:id="230" w:name="_Toc533246561"/>
      <w:bookmarkStart w:id="231" w:name="_Toc535472871"/>
      <w:r w:rsidRPr="00C86111">
        <w:t xml:space="preserve">Preračun sadržaja PFOS, njegovih soli i srodnih jedinjenja </w:t>
      </w:r>
      <w:bookmarkStart w:id="232" w:name="_Hlk184154159"/>
      <w:r w:rsidRPr="00C86111">
        <w:t>u proizvodima različitih sektora</w:t>
      </w:r>
      <w:bookmarkEnd w:id="228"/>
    </w:p>
    <w:bookmarkEnd w:id="232"/>
    <w:p w14:paraId="0BEE7D8D"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 xml:space="preserve">Preračun sadržaja PFOS, njegovih soli i PFOSF u proizvodima na potrošačkom tržištu, protivpožarnoj pjeni i otpadu, urađen je u skladu sa smjernicama datim u „Uputstvu za pripremu inventara PFOS, PFOA i PFHxS. Sekretarijat Bazelske, Roterdamske i Stokholmske konvencije, Program Ujedinjenih nacija za životnu sredinu, Ženeva. UNEP (2023).” </w:t>
      </w:r>
    </w:p>
    <w:p w14:paraId="2F6D0DF6" w14:textId="77777777" w:rsidR="002B20A9" w:rsidRPr="00C86111" w:rsidRDefault="002B20A9" w:rsidP="00004F34">
      <w:pPr>
        <w:pStyle w:val="Heading1"/>
        <w:numPr>
          <w:ilvl w:val="1"/>
          <w:numId w:val="238"/>
        </w:numPr>
      </w:pPr>
      <w:bookmarkStart w:id="233" w:name="_Toc535472770"/>
      <w:bookmarkStart w:id="234" w:name="_Toc535472907"/>
      <w:bookmarkStart w:id="235" w:name="_Toc535472771"/>
      <w:bookmarkStart w:id="236" w:name="_Toc535472908"/>
      <w:bookmarkStart w:id="237" w:name="_Toc535472772"/>
      <w:bookmarkStart w:id="238" w:name="_Toc535472909"/>
      <w:bookmarkStart w:id="239" w:name="_Toc535472773"/>
      <w:bookmarkStart w:id="240" w:name="_Toc535472910"/>
      <w:bookmarkStart w:id="241" w:name="_Toc535472774"/>
      <w:bookmarkStart w:id="242" w:name="_Toc535472911"/>
      <w:bookmarkStart w:id="243" w:name="_Toc535472775"/>
      <w:bookmarkStart w:id="244" w:name="_Toc535472912"/>
      <w:bookmarkStart w:id="245" w:name="_Toc535472776"/>
      <w:bookmarkStart w:id="246" w:name="_Toc535472913"/>
      <w:bookmarkStart w:id="247" w:name="_Toc535472777"/>
      <w:bookmarkStart w:id="248" w:name="_Toc535472914"/>
      <w:bookmarkStart w:id="249" w:name="_Toc535472778"/>
      <w:bookmarkStart w:id="250" w:name="_Toc535472915"/>
      <w:bookmarkStart w:id="251" w:name="_Toc535472919"/>
      <w:bookmarkStart w:id="252" w:name="_Toc535472920"/>
      <w:bookmarkStart w:id="253" w:name="_Toc535472921"/>
      <w:bookmarkStart w:id="254" w:name="_Toc535472922"/>
      <w:bookmarkStart w:id="255" w:name="_Toc535472923"/>
      <w:bookmarkStart w:id="256" w:name="_Toc535472924"/>
      <w:bookmarkStart w:id="257" w:name="_Toc535472925"/>
      <w:bookmarkStart w:id="258" w:name="_Toc535472926"/>
      <w:bookmarkStart w:id="259" w:name="_Toc535472783"/>
      <w:bookmarkStart w:id="260" w:name="_Toc535472928"/>
      <w:bookmarkStart w:id="261" w:name="_Toc535472784"/>
      <w:bookmarkStart w:id="262" w:name="_Toc535472929"/>
      <w:bookmarkStart w:id="263" w:name="_Toc535472785"/>
      <w:bookmarkStart w:id="264" w:name="_Toc535472930"/>
      <w:bookmarkStart w:id="265" w:name="_Toc535472786"/>
      <w:bookmarkStart w:id="266" w:name="_Toc535472931"/>
      <w:bookmarkStart w:id="267" w:name="_Toc535472787"/>
      <w:bookmarkStart w:id="268" w:name="_Toc535472932"/>
      <w:bookmarkStart w:id="269" w:name="_Toc535472788"/>
      <w:bookmarkStart w:id="270" w:name="_Toc535472933"/>
      <w:bookmarkStart w:id="271" w:name="_Toc535472789"/>
      <w:bookmarkStart w:id="272" w:name="_Toc535472934"/>
      <w:bookmarkStart w:id="273" w:name="_Toc535472790"/>
      <w:bookmarkStart w:id="274" w:name="_Toc535472935"/>
      <w:bookmarkStart w:id="275" w:name="_Toc323649923"/>
      <w:bookmarkStart w:id="276" w:name="_Toc323650028"/>
      <w:bookmarkStart w:id="277" w:name="_Toc323650131"/>
      <w:bookmarkStart w:id="278" w:name="_Toc323649924"/>
      <w:bookmarkStart w:id="279" w:name="_Toc323650029"/>
      <w:bookmarkStart w:id="280" w:name="_Toc323650132"/>
      <w:bookmarkStart w:id="281" w:name="_Toc323649925"/>
      <w:bookmarkStart w:id="282" w:name="_Toc323650030"/>
      <w:bookmarkStart w:id="283" w:name="_Toc323650133"/>
      <w:bookmarkStart w:id="284" w:name="_Toc323649926"/>
      <w:bookmarkStart w:id="285" w:name="_Toc323650031"/>
      <w:bookmarkStart w:id="286" w:name="_Toc323650134"/>
      <w:bookmarkStart w:id="287" w:name="_Toc323649933"/>
      <w:bookmarkStart w:id="288" w:name="_Toc323650038"/>
      <w:bookmarkStart w:id="289" w:name="_Toc323650141"/>
      <w:bookmarkStart w:id="290" w:name="_Toc323649934"/>
      <w:bookmarkStart w:id="291" w:name="_Toc323650039"/>
      <w:bookmarkStart w:id="292" w:name="_Toc323650142"/>
      <w:bookmarkStart w:id="293" w:name="_Toc323649935"/>
      <w:bookmarkStart w:id="294" w:name="_Toc323650040"/>
      <w:bookmarkStart w:id="295" w:name="_Toc323650143"/>
      <w:bookmarkStart w:id="296" w:name="_Toc323649936"/>
      <w:bookmarkStart w:id="297" w:name="_Toc323650041"/>
      <w:bookmarkStart w:id="298" w:name="_Toc323650144"/>
      <w:bookmarkStart w:id="299" w:name="_Toc323649939"/>
      <w:bookmarkStart w:id="300" w:name="_Toc323650044"/>
      <w:bookmarkStart w:id="301" w:name="_Toc323650147"/>
      <w:bookmarkStart w:id="302" w:name="_Toc5693178"/>
      <w:bookmarkStart w:id="303" w:name="_Toc132656219"/>
      <w:bookmarkStart w:id="304" w:name="_Toc210632492"/>
      <w:bookmarkStart w:id="305" w:name="_Toc220541937"/>
      <w:bookmarkStart w:id="306" w:name="_Toc476491375"/>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C86111">
        <w:t>Rezultati inventara PFOS, njegovih soli i PFOSF</w:t>
      </w:r>
      <w:bookmarkEnd w:id="302"/>
      <w:bookmarkEnd w:id="303"/>
      <w:bookmarkEnd w:id="304"/>
      <w:r w:rsidRPr="00C86111">
        <w:t xml:space="preserve"> </w:t>
      </w:r>
      <w:bookmarkStart w:id="307" w:name="_Toc210632493"/>
      <w:r w:rsidRPr="00C86111">
        <w:t>za period 2017-2023 godina</w:t>
      </w:r>
      <w:bookmarkEnd w:id="305"/>
      <w:bookmarkEnd w:id="307"/>
    </w:p>
    <w:p w14:paraId="4AF1A7B1" w14:textId="77777777" w:rsidR="002B20A9" w:rsidRPr="00C86111" w:rsidRDefault="002B20A9" w:rsidP="00EA6904">
      <w:pPr>
        <w:pStyle w:val="Heading4"/>
      </w:pPr>
      <w:bookmarkStart w:id="308" w:name="_Toc210632494"/>
      <w:bookmarkEnd w:id="229"/>
      <w:bookmarkEnd w:id="230"/>
      <w:bookmarkEnd w:id="231"/>
      <w:bookmarkEnd w:id="306"/>
      <w:r w:rsidRPr="00C86111">
        <w:t xml:space="preserve">Rezultati inventara prisustva </w:t>
      </w:r>
      <w:bookmarkStart w:id="309" w:name="_Hlk183852594"/>
      <w:r w:rsidRPr="00C86111">
        <w:t>PFOS, njegovih soli</w:t>
      </w:r>
      <w:bookmarkEnd w:id="308"/>
      <w:r w:rsidRPr="00C86111">
        <w:t xml:space="preserve"> </w:t>
      </w:r>
      <w:bookmarkStart w:id="310" w:name="_Toc210632495"/>
      <w:r w:rsidRPr="00C86111">
        <w:t>i PFOSF u protivpožarnim pjenama</w:t>
      </w:r>
      <w:bookmarkEnd w:id="310"/>
    </w:p>
    <w:bookmarkEnd w:id="309"/>
    <w:p w14:paraId="289901E9"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Inventarizacija PFOS-a, njegovih soli i PFOSF-a u protivpožarnim pjenama sprovedena je na osnovu informacija dobijenih putem distribucije upitnika, direktnog kontakta, terenskih posjeta vatrogasnim jedinicama, kao i rezultata analiza uzoraka protivpožarnih pjena. Upitnik za protivpožarne pjene poslat je Službama zaštite i spašavanja u svim opštinama u Crnoj Gori, Aerodromima, Lukama i Marinama, najvećoj naftnoj kompaniji-Jugopetrol kao i većim privrednim organizacijama. Ukupno je poslato 33 upitnika:</w:t>
      </w:r>
    </w:p>
    <w:p w14:paraId="10EAFE6C" w14:textId="77777777" w:rsidR="002B20A9" w:rsidRPr="00C86111" w:rsidRDefault="002B20A9" w:rsidP="00833A40">
      <w:pPr>
        <w:pStyle w:val="ListParagraph"/>
        <w:numPr>
          <w:ilvl w:val="0"/>
          <w:numId w:val="134"/>
        </w:numPr>
        <w:jc w:val="both"/>
        <w:rPr>
          <w:rFonts w:asciiTheme="minorHAnsi" w:eastAsia="SimSun" w:hAnsiTheme="minorHAnsi" w:cstheme="minorHAnsi"/>
          <w:color w:val="auto"/>
        </w:rPr>
      </w:pPr>
      <w:bookmarkStart w:id="311" w:name="_Hlk184453181"/>
      <w:r w:rsidRPr="00C86111">
        <w:rPr>
          <w:rFonts w:asciiTheme="minorHAnsi" w:eastAsia="SimSun" w:hAnsiTheme="minorHAnsi" w:cstheme="minorHAnsi"/>
          <w:color w:val="auto"/>
        </w:rPr>
        <w:t xml:space="preserve">Opštinske službe zaštite i spašavanja: Ulcinj, Bar, Budva, Tivat, Kotor, Herceg Novi, Nikšić, Plužine, Šavnik, Žabljak, Pljevlja, Bijelo Polje, Petnjica, Berane, Rožaje, Plav, Andrijevica, Gusinje, Mojkovac, Kolašin, Podgorica, Cetinje, Danilovgrad, Dobrovoljno vatrogasno </w:t>
      </w:r>
      <w:r w:rsidRPr="00C86111">
        <w:rPr>
          <w:rFonts w:asciiTheme="minorHAnsi" w:eastAsia="SimSun" w:hAnsiTheme="minorHAnsi" w:cstheme="minorHAnsi"/>
          <w:color w:val="auto"/>
        </w:rPr>
        <w:lastRenderedPageBreak/>
        <w:t>društvo Krtoli – Tivat, Dobrovoljno vatrogasno društvo Perast i Dobrovoljno vatrogasno društvo Bijela.</w:t>
      </w:r>
    </w:p>
    <w:bookmarkEnd w:id="311"/>
    <w:p w14:paraId="222F203F" w14:textId="77777777" w:rsidR="002B20A9" w:rsidRPr="00C86111" w:rsidRDefault="002B20A9" w:rsidP="00833A40">
      <w:pPr>
        <w:pStyle w:val="ListParagraph"/>
        <w:numPr>
          <w:ilvl w:val="0"/>
          <w:numId w:val="134"/>
        </w:numPr>
        <w:jc w:val="both"/>
        <w:rPr>
          <w:rFonts w:asciiTheme="minorHAnsi" w:eastAsia="SimSun" w:hAnsiTheme="minorHAnsi" w:cstheme="minorHAnsi"/>
          <w:color w:val="auto"/>
        </w:rPr>
      </w:pPr>
      <w:r w:rsidRPr="00C86111">
        <w:rPr>
          <w:rFonts w:asciiTheme="minorHAnsi" w:eastAsia="SimSun" w:hAnsiTheme="minorHAnsi" w:cstheme="minorHAnsi"/>
          <w:color w:val="auto"/>
        </w:rPr>
        <w:t>Aerodrom (Podgorica, Tivat)</w:t>
      </w:r>
    </w:p>
    <w:p w14:paraId="04F4CE68" w14:textId="77777777" w:rsidR="002B20A9" w:rsidRPr="00C86111" w:rsidRDefault="002B20A9" w:rsidP="00833A40">
      <w:pPr>
        <w:pStyle w:val="ListParagraph"/>
        <w:numPr>
          <w:ilvl w:val="0"/>
          <w:numId w:val="134"/>
        </w:numPr>
        <w:jc w:val="both"/>
        <w:rPr>
          <w:rFonts w:asciiTheme="minorHAnsi" w:eastAsia="SimSun" w:hAnsiTheme="minorHAnsi" w:cstheme="minorHAnsi"/>
          <w:color w:val="auto"/>
        </w:rPr>
      </w:pPr>
      <w:r w:rsidRPr="00C86111">
        <w:rPr>
          <w:rFonts w:asciiTheme="minorHAnsi" w:eastAsia="SimSun" w:hAnsiTheme="minorHAnsi" w:cstheme="minorHAnsi"/>
          <w:color w:val="auto"/>
        </w:rPr>
        <w:t>Naftna kompanija-Jugopetrol</w:t>
      </w:r>
    </w:p>
    <w:p w14:paraId="3E9F2421" w14:textId="77777777" w:rsidR="002B20A9" w:rsidRPr="00C86111" w:rsidRDefault="002B20A9" w:rsidP="00833A40">
      <w:pPr>
        <w:pStyle w:val="ListParagraph"/>
        <w:numPr>
          <w:ilvl w:val="0"/>
          <w:numId w:val="134"/>
        </w:numPr>
        <w:jc w:val="both"/>
        <w:rPr>
          <w:rFonts w:asciiTheme="minorHAnsi" w:eastAsia="SimSun" w:hAnsiTheme="minorHAnsi" w:cstheme="minorHAnsi"/>
          <w:color w:val="auto"/>
        </w:rPr>
      </w:pPr>
      <w:r w:rsidRPr="00C86111">
        <w:rPr>
          <w:rFonts w:asciiTheme="minorHAnsi" w:eastAsia="SimSun" w:hAnsiTheme="minorHAnsi" w:cstheme="minorHAnsi"/>
          <w:color w:val="auto"/>
        </w:rPr>
        <w:t>Luka Bar</w:t>
      </w:r>
    </w:p>
    <w:p w14:paraId="7A39D03D" w14:textId="77777777" w:rsidR="002B20A9" w:rsidRPr="00C86111" w:rsidRDefault="002B20A9" w:rsidP="00833A40">
      <w:pPr>
        <w:pStyle w:val="ListParagraph"/>
        <w:numPr>
          <w:ilvl w:val="0"/>
          <w:numId w:val="134"/>
        </w:numPr>
        <w:jc w:val="both"/>
        <w:rPr>
          <w:rFonts w:asciiTheme="minorHAnsi" w:eastAsia="SimSun" w:hAnsiTheme="minorHAnsi" w:cstheme="minorHAnsi"/>
          <w:color w:val="auto"/>
        </w:rPr>
      </w:pPr>
      <w:r w:rsidRPr="00C86111">
        <w:rPr>
          <w:rFonts w:asciiTheme="minorHAnsi" w:eastAsia="SimSun" w:hAnsiTheme="minorHAnsi" w:cstheme="minorHAnsi"/>
          <w:color w:val="auto"/>
        </w:rPr>
        <w:t>Elektroprivreda Crne Gore (EPCG)</w:t>
      </w:r>
    </w:p>
    <w:p w14:paraId="16F6B497" w14:textId="77777777" w:rsidR="002B20A9" w:rsidRPr="00C86111" w:rsidRDefault="002B20A9" w:rsidP="00833A40">
      <w:pPr>
        <w:pStyle w:val="ListParagraph"/>
        <w:numPr>
          <w:ilvl w:val="0"/>
          <w:numId w:val="134"/>
        </w:numPr>
        <w:jc w:val="both"/>
        <w:rPr>
          <w:rFonts w:asciiTheme="minorHAnsi" w:eastAsia="SimSun" w:hAnsiTheme="minorHAnsi" w:cstheme="minorHAnsi"/>
          <w:color w:val="auto"/>
        </w:rPr>
      </w:pPr>
      <w:r w:rsidRPr="00C86111">
        <w:rPr>
          <w:rFonts w:asciiTheme="minorHAnsi" w:eastAsia="SimSun" w:hAnsiTheme="minorHAnsi" w:cstheme="minorHAnsi"/>
          <w:color w:val="auto"/>
        </w:rPr>
        <w:t>Luštica Bay (marina za jahte)</w:t>
      </w:r>
    </w:p>
    <w:p w14:paraId="117AC539" w14:textId="77777777" w:rsidR="002B20A9" w:rsidRPr="00C86111" w:rsidRDefault="002B20A9" w:rsidP="00833A40">
      <w:pPr>
        <w:pStyle w:val="ListParagraph"/>
        <w:numPr>
          <w:ilvl w:val="0"/>
          <w:numId w:val="134"/>
        </w:numPr>
        <w:jc w:val="both"/>
        <w:rPr>
          <w:rFonts w:asciiTheme="minorHAnsi" w:eastAsia="SimSun" w:hAnsiTheme="minorHAnsi" w:cstheme="minorHAnsi"/>
          <w:color w:val="auto"/>
        </w:rPr>
      </w:pPr>
      <w:r w:rsidRPr="00C86111">
        <w:rPr>
          <w:rFonts w:asciiTheme="minorHAnsi" w:eastAsia="SimSun" w:hAnsiTheme="minorHAnsi" w:cstheme="minorHAnsi"/>
          <w:color w:val="auto"/>
        </w:rPr>
        <w:t>Monteput</w:t>
      </w:r>
    </w:p>
    <w:p w14:paraId="2DECD04F"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 xml:space="preserve">S obzirom da jedna od većih marina u Mediteranu, Porto Montenegro u Tivtu, koristi usluge opštinske Službe zaštite i spašavanja grada Tivta, tako da direktno oni nisu bili predmet inventarizacije. </w:t>
      </w:r>
    </w:p>
    <w:p w14:paraId="71002DCE"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Na proslijeđene upitnike odgovorile su sve opštinske službe zaštite i spašavanja, kao i vatrogasne jedinice ostalih subjekata koji su bili obuhvaćeni inventarizacijom PFOS-a. Na osnovu dobijenih odgovora utvrđeno je sljedeće:</w:t>
      </w:r>
    </w:p>
    <w:p w14:paraId="2EEA2023" w14:textId="77777777" w:rsidR="002B20A9" w:rsidRPr="00C86111" w:rsidRDefault="002B20A9" w:rsidP="00833A40">
      <w:pPr>
        <w:numPr>
          <w:ilvl w:val="0"/>
          <w:numId w:val="135"/>
        </w:numPr>
        <w:jc w:val="both"/>
        <w:rPr>
          <w:rFonts w:asciiTheme="minorHAnsi" w:eastAsia="SimSun" w:hAnsiTheme="minorHAnsi" w:cstheme="minorHAnsi"/>
          <w:color w:val="auto"/>
        </w:rPr>
      </w:pPr>
      <w:r w:rsidRPr="00C86111">
        <w:rPr>
          <w:rFonts w:asciiTheme="minorHAnsi" w:eastAsia="SimSun" w:hAnsiTheme="minorHAnsi" w:cstheme="minorHAnsi"/>
          <w:color w:val="auto"/>
        </w:rPr>
        <w:t>Od ukupno 26 opštinskih službi zaštite i spašavanja, samo pet ne koristi protivpožarne pjene.</w:t>
      </w:r>
    </w:p>
    <w:p w14:paraId="66DFB28F" w14:textId="77777777" w:rsidR="002B20A9" w:rsidRPr="00C86111" w:rsidRDefault="002B20A9" w:rsidP="00833A40">
      <w:pPr>
        <w:numPr>
          <w:ilvl w:val="0"/>
          <w:numId w:val="135"/>
        </w:numPr>
        <w:jc w:val="both"/>
        <w:rPr>
          <w:rFonts w:asciiTheme="minorHAnsi" w:eastAsia="SimSun" w:hAnsiTheme="minorHAnsi" w:cstheme="minorHAnsi"/>
          <w:color w:val="auto"/>
        </w:rPr>
      </w:pPr>
      <w:r w:rsidRPr="00C86111">
        <w:rPr>
          <w:rFonts w:asciiTheme="minorHAnsi" w:eastAsia="SimSun" w:hAnsiTheme="minorHAnsi" w:cstheme="minorHAnsi"/>
          <w:color w:val="auto"/>
        </w:rPr>
        <w:t>Ukupna količina protivpožarne pjene kojom raspolažu opštinske službe iznosi 16.395 litara.</w:t>
      </w:r>
    </w:p>
    <w:p w14:paraId="2ED1FB9B" w14:textId="77777777" w:rsidR="002B20A9" w:rsidRPr="00C86111" w:rsidRDefault="002B20A9" w:rsidP="00833A40">
      <w:pPr>
        <w:numPr>
          <w:ilvl w:val="0"/>
          <w:numId w:val="135"/>
        </w:numPr>
        <w:jc w:val="both"/>
        <w:rPr>
          <w:rFonts w:asciiTheme="minorHAnsi" w:eastAsia="SimSun" w:hAnsiTheme="minorHAnsi" w:cstheme="minorHAnsi"/>
          <w:color w:val="auto"/>
        </w:rPr>
      </w:pPr>
      <w:r w:rsidRPr="00C86111">
        <w:rPr>
          <w:rFonts w:asciiTheme="minorHAnsi" w:eastAsia="SimSun" w:hAnsiTheme="minorHAnsi" w:cstheme="minorHAnsi"/>
          <w:color w:val="auto"/>
        </w:rPr>
        <w:t>Sedam opštinskih službi zaštite i spašavanja posjeduje protivpožarne pjene sa isteklim rokom trajanja, u ukupnoj količini od 8.725 litara.</w:t>
      </w:r>
    </w:p>
    <w:p w14:paraId="48AE331D" w14:textId="77777777" w:rsidR="002B20A9" w:rsidRPr="00C86111" w:rsidRDefault="002B20A9" w:rsidP="00833A40">
      <w:pPr>
        <w:numPr>
          <w:ilvl w:val="0"/>
          <w:numId w:val="135"/>
        </w:numPr>
        <w:jc w:val="both"/>
        <w:rPr>
          <w:rFonts w:asciiTheme="minorHAnsi" w:eastAsia="SimSun" w:hAnsiTheme="minorHAnsi" w:cstheme="minorHAnsi"/>
          <w:color w:val="auto"/>
        </w:rPr>
      </w:pPr>
      <w:r w:rsidRPr="00C86111">
        <w:rPr>
          <w:rFonts w:asciiTheme="minorHAnsi" w:eastAsia="SimSun" w:hAnsiTheme="minorHAnsi" w:cstheme="minorHAnsi"/>
          <w:color w:val="auto"/>
        </w:rPr>
        <w:t>Od sedam vatrogasnih službi ostalih subjekata (aerodromi, luke, marine, transportni sektor, sektor naftnih derivata i elektroenergetski sektor), samo jedna ne koristi protivpožarne pjene.</w:t>
      </w:r>
    </w:p>
    <w:p w14:paraId="5DEBB627" w14:textId="77777777" w:rsidR="002B20A9" w:rsidRPr="00C86111" w:rsidRDefault="002B20A9" w:rsidP="00833A40">
      <w:pPr>
        <w:numPr>
          <w:ilvl w:val="0"/>
          <w:numId w:val="135"/>
        </w:numPr>
        <w:jc w:val="both"/>
        <w:rPr>
          <w:rFonts w:asciiTheme="minorHAnsi" w:eastAsia="SimSun" w:hAnsiTheme="minorHAnsi" w:cstheme="minorHAnsi"/>
          <w:color w:val="auto"/>
        </w:rPr>
      </w:pPr>
      <w:r w:rsidRPr="00C86111">
        <w:rPr>
          <w:rFonts w:asciiTheme="minorHAnsi" w:eastAsia="SimSun" w:hAnsiTheme="minorHAnsi" w:cstheme="minorHAnsi"/>
          <w:color w:val="auto"/>
        </w:rPr>
        <w:t>Ukupna količina protivpožarne pjene kojom raspolažu vatrogasne službe ostalih subjekata iznosi 29.150 litara.</w:t>
      </w:r>
    </w:p>
    <w:p w14:paraId="36B7CF1C" w14:textId="77777777" w:rsidR="002B20A9" w:rsidRPr="00C86111" w:rsidRDefault="002B20A9" w:rsidP="00833A40">
      <w:pPr>
        <w:numPr>
          <w:ilvl w:val="0"/>
          <w:numId w:val="135"/>
        </w:numPr>
        <w:jc w:val="both"/>
        <w:rPr>
          <w:rFonts w:asciiTheme="minorHAnsi" w:eastAsia="SimSun" w:hAnsiTheme="minorHAnsi" w:cstheme="minorHAnsi"/>
          <w:color w:val="auto"/>
        </w:rPr>
      </w:pPr>
      <w:r w:rsidRPr="00C86111">
        <w:rPr>
          <w:rFonts w:asciiTheme="minorHAnsi" w:eastAsia="SimSun" w:hAnsiTheme="minorHAnsi" w:cstheme="minorHAnsi"/>
          <w:color w:val="auto"/>
        </w:rPr>
        <w:t>Od ukupno 27 vatrogasnih službi koje posjeduju protivpožarne pjene, 21 ih je koristila, bilo tokom stvarnih intervencija gašenja požara, bilo tokom vježbi i obuka na poligonima.</w:t>
      </w:r>
    </w:p>
    <w:p w14:paraId="44912FF3" w14:textId="7BAEEF11"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 xml:space="preserve">Pregled protivpožarnih pjena koje se nalaze u skladištima vatrogasnih jedinica dat je u Tabeli </w:t>
      </w:r>
      <w:r w:rsidR="00632BFA" w:rsidRPr="00C86111">
        <w:rPr>
          <w:rFonts w:asciiTheme="minorHAnsi" w:eastAsia="SimSun" w:hAnsiTheme="minorHAnsi" w:cstheme="minorHAnsi"/>
          <w:color w:val="auto"/>
        </w:rPr>
        <w:t>68.</w:t>
      </w:r>
    </w:p>
    <w:p w14:paraId="10E961C2" w14:textId="77777777" w:rsidR="002B20A9" w:rsidRPr="00C86111" w:rsidRDefault="002B20A9" w:rsidP="002B20A9">
      <w:pPr>
        <w:jc w:val="both"/>
        <w:rPr>
          <w:rFonts w:asciiTheme="minorHAnsi" w:eastAsia="SimSun" w:hAnsiTheme="minorHAnsi" w:cstheme="minorHAnsi"/>
          <w:color w:val="auto"/>
        </w:rPr>
      </w:pPr>
    </w:p>
    <w:p w14:paraId="64581934" w14:textId="79AE9615"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32BFA" w:rsidRPr="00C86111">
        <w:rPr>
          <w:rFonts w:asciiTheme="minorHAnsi" w:eastAsia="SimSun" w:hAnsiTheme="minorHAnsi" w:cstheme="minorHAnsi"/>
          <w:b/>
          <w:bCs/>
          <w:color w:val="auto"/>
        </w:rPr>
        <w:t>68</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Pregled vatrogasnih jedinica koje posjeduju protivpožarne pjene, njene količine u skladištu, datum proizvodnje kao i tip pjene</w:t>
      </w:r>
    </w:p>
    <w:tbl>
      <w:tblPr>
        <w:tblStyle w:val="GridTable2-Accent6"/>
        <w:tblW w:w="5472" w:type="pct"/>
        <w:jc w:val="center"/>
        <w:tblLayout w:type="fixed"/>
        <w:tblLook w:val="0000" w:firstRow="0" w:lastRow="0" w:firstColumn="0" w:lastColumn="0" w:noHBand="0" w:noVBand="0"/>
      </w:tblPr>
      <w:tblGrid>
        <w:gridCol w:w="910"/>
        <w:gridCol w:w="3229"/>
        <w:gridCol w:w="1440"/>
        <w:gridCol w:w="3268"/>
        <w:gridCol w:w="1397"/>
      </w:tblGrid>
      <w:tr w:rsidR="002B20A9" w:rsidRPr="00C86111" w14:paraId="2A759679" w14:textId="77777777" w:rsidTr="00C97FE5">
        <w:trPr>
          <w:cnfStyle w:val="000000100000" w:firstRow="0" w:lastRow="0" w:firstColumn="0" w:lastColumn="0" w:oddVBand="0" w:evenVBand="0" w:oddHBand="1" w:evenHBand="0" w:firstRowFirstColumn="0" w:firstRowLastColumn="0" w:lastRowFirstColumn="0" w:lastRowLastColumn="0"/>
          <w:trHeight w:val="486"/>
          <w:jc w:val="center"/>
        </w:trPr>
        <w:tc>
          <w:tcPr>
            <w:cnfStyle w:val="000010000000" w:firstRow="0" w:lastRow="0" w:firstColumn="0" w:lastColumn="0" w:oddVBand="1" w:evenVBand="0" w:oddHBand="0" w:evenHBand="0" w:firstRowFirstColumn="0" w:firstRowLastColumn="0" w:lastRowFirstColumn="0" w:lastRowLastColumn="0"/>
            <w:tcW w:w="444" w:type="pct"/>
            <w:vMerge w:val="restart"/>
            <w:vAlign w:val="center"/>
          </w:tcPr>
          <w:p w14:paraId="40D8F696" w14:textId="77777777" w:rsidR="002B20A9" w:rsidRPr="00C86111" w:rsidRDefault="002B20A9" w:rsidP="00E71878">
            <w:pPr>
              <w:jc w:val="center"/>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Br.</w:t>
            </w:r>
          </w:p>
        </w:tc>
        <w:tc>
          <w:tcPr>
            <w:tcW w:w="1576" w:type="pct"/>
            <w:vMerge w:val="restart"/>
            <w:vAlign w:val="center"/>
          </w:tcPr>
          <w:p w14:paraId="5E78C07E"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bCs/>
                <w:i/>
                <w:color w:val="auto"/>
                <w:sz w:val="20"/>
                <w:szCs w:val="20"/>
              </w:rPr>
            </w:pPr>
            <w:r w:rsidRPr="00C86111">
              <w:rPr>
                <w:rFonts w:asciiTheme="minorHAnsi" w:eastAsia="Times New Roman" w:hAnsiTheme="minorHAnsi" w:cstheme="minorHAnsi"/>
                <w:b/>
                <w:bCs/>
                <w:color w:val="auto"/>
                <w:sz w:val="20"/>
                <w:szCs w:val="20"/>
                <w:lang w:eastAsia="en-GB"/>
              </w:rPr>
              <w:t>Vatrogasna jedinica</w:t>
            </w:r>
          </w:p>
        </w:tc>
        <w:tc>
          <w:tcPr>
            <w:cnfStyle w:val="000010000000" w:firstRow="0" w:lastRow="0" w:firstColumn="0" w:lastColumn="0" w:oddVBand="1" w:evenVBand="0" w:oddHBand="0" w:evenHBand="0" w:firstRowFirstColumn="0" w:firstRowLastColumn="0" w:lastRowFirstColumn="0" w:lastRowLastColumn="0"/>
            <w:tcW w:w="703" w:type="pct"/>
            <w:vMerge w:val="restart"/>
            <w:vAlign w:val="center"/>
          </w:tcPr>
          <w:p w14:paraId="597D8B92" w14:textId="77777777" w:rsidR="002B20A9" w:rsidRPr="00C86111" w:rsidRDefault="002B20A9" w:rsidP="00C97FE5">
            <w:pPr>
              <w:jc w:val="center"/>
              <w:rPr>
                <w:rFonts w:asciiTheme="minorHAnsi" w:hAnsiTheme="minorHAnsi" w:cstheme="minorHAnsi"/>
                <w:b/>
                <w:bCs/>
                <w:color w:val="auto"/>
                <w:sz w:val="20"/>
                <w:szCs w:val="20"/>
              </w:rPr>
            </w:pPr>
            <w:r w:rsidRPr="00C86111">
              <w:rPr>
                <w:rFonts w:asciiTheme="minorHAnsi" w:eastAsia="Times New Roman" w:hAnsiTheme="minorHAnsi" w:cstheme="minorHAnsi"/>
                <w:b/>
                <w:bCs/>
                <w:color w:val="auto"/>
                <w:sz w:val="20"/>
                <w:szCs w:val="20"/>
                <w:lang w:eastAsia="en-GB"/>
              </w:rPr>
              <w:t>Količina protivpožarne pjene (L)</w:t>
            </w:r>
          </w:p>
        </w:tc>
        <w:tc>
          <w:tcPr>
            <w:tcW w:w="1595" w:type="pct"/>
            <w:vMerge w:val="restart"/>
            <w:vAlign w:val="center"/>
          </w:tcPr>
          <w:p w14:paraId="40604C29"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bCs/>
                <w:i/>
                <w:color w:val="auto"/>
                <w:sz w:val="20"/>
                <w:szCs w:val="20"/>
              </w:rPr>
            </w:pPr>
            <w:r w:rsidRPr="00C86111">
              <w:rPr>
                <w:rFonts w:asciiTheme="minorHAnsi" w:eastAsia="Times New Roman" w:hAnsiTheme="minorHAnsi" w:cstheme="minorHAnsi"/>
                <w:b/>
                <w:bCs/>
                <w:color w:val="auto"/>
                <w:sz w:val="20"/>
                <w:szCs w:val="20"/>
                <w:lang w:eastAsia="en-GB"/>
              </w:rPr>
              <w:t>Naziv protivpožarne pjene</w:t>
            </w:r>
          </w:p>
        </w:tc>
        <w:tc>
          <w:tcPr>
            <w:cnfStyle w:val="000010000000" w:firstRow="0" w:lastRow="0" w:firstColumn="0" w:lastColumn="0" w:oddVBand="1" w:evenVBand="0" w:oddHBand="0" w:evenHBand="0" w:firstRowFirstColumn="0" w:firstRowLastColumn="0" w:lastRowFirstColumn="0" w:lastRowLastColumn="0"/>
            <w:tcW w:w="683" w:type="pct"/>
            <w:vMerge w:val="restart"/>
            <w:vAlign w:val="center"/>
          </w:tcPr>
          <w:p w14:paraId="49569EDB" w14:textId="77777777" w:rsidR="002B20A9" w:rsidRPr="00C86111" w:rsidRDefault="002B20A9" w:rsidP="00C97FE5">
            <w:pPr>
              <w:jc w:val="center"/>
              <w:rPr>
                <w:rStyle w:val="Hyperlink"/>
                <w:rFonts w:asciiTheme="minorHAnsi" w:hAnsiTheme="minorHAnsi" w:cstheme="minorHAnsi"/>
                <w:b/>
                <w:bCs/>
                <w:i/>
                <w:color w:val="auto"/>
                <w:sz w:val="20"/>
                <w:szCs w:val="20"/>
              </w:rPr>
            </w:pPr>
          </w:p>
          <w:p w14:paraId="1B1908DC" w14:textId="77777777" w:rsidR="002B20A9" w:rsidRPr="00C86111" w:rsidRDefault="002B20A9" w:rsidP="00C97FE5">
            <w:pPr>
              <w:jc w:val="center"/>
              <w:rPr>
                <w:rFonts w:asciiTheme="minorHAnsi" w:hAnsiTheme="minorHAnsi" w:cstheme="minorHAnsi"/>
                <w:b/>
                <w:bCs/>
                <w:color w:val="auto"/>
                <w:sz w:val="20"/>
                <w:szCs w:val="20"/>
              </w:rPr>
            </w:pPr>
            <w:r w:rsidRPr="00C86111">
              <w:rPr>
                <w:rFonts w:asciiTheme="minorHAnsi" w:eastAsia="Times New Roman" w:hAnsiTheme="minorHAnsi" w:cstheme="minorHAnsi"/>
                <w:b/>
                <w:bCs/>
                <w:color w:val="auto"/>
                <w:sz w:val="20"/>
                <w:szCs w:val="20"/>
                <w:lang w:eastAsia="en-GB"/>
              </w:rPr>
              <w:t>Godina proizvodnje</w:t>
            </w:r>
          </w:p>
        </w:tc>
      </w:tr>
      <w:tr w:rsidR="002B20A9" w:rsidRPr="00C86111" w14:paraId="71FAB3F1" w14:textId="77777777" w:rsidTr="00C97FE5">
        <w:trPr>
          <w:trHeight w:val="354"/>
          <w:jc w:val="center"/>
        </w:trPr>
        <w:tc>
          <w:tcPr>
            <w:cnfStyle w:val="000010000000" w:firstRow="0" w:lastRow="0" w:firstColumn="0" w:lastColumn="0" w:oddVBand="1" w:evenVBand="0" w:oddHBand="0" w:evenHBand="0" w:firstRowFirstColumn="0" w:firstRowLastColumn="0" w:lastRowFirstColumn="0" w:lastRowLastColumn="0"/>
            <w:tcW w:w="444" w:type="pct"/>
            <w:vMerge/>
            <w:vAlign w:val="center"/>
          </w:tcPr>
          <w:p w14:paraId="7C1A5C6C" w14:textId="77777777" w:rsidR="002B20A9" w:rsidRPr="00C86111" w:rsidRDefault="002B20A9" w:rsidP="00E71878">
            <w:pPr>
              <w:jc w:val="center"/>
              <w:rPr>
                <w:rFonts w:asciiTheme="minorHAnsi" w:hAnsiTheme="minorHAnsi" w:cstheme="minorHAnsi"/>
                <w:color w:val="auto"/>
                <w:sz w:val="20"/>
                <w:szCs w:val="20"/>
              </w:rPr>
            </w:pPr>
          </w:p>
        </w:tc>
        <w:tc>
          <w:tcPr>
            <w:tcW w:w="1576" w:type="pct"/>
            <w:vMerge/>
            <w:vAlign w:val="center"/>
          </w:tcPr>
          <w:p w14:paraId="1A588B7B"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Merge/>
            <w:vAlign w:val="center"/>
          </w:tcPr>
          <w:p w14:paraId="51EBA50E" w14:textId="77777777" w:rsidR="002B20A9" w:rsidRPr="00C86111" w:rsidRDefault="002B20A9" w:rsidP="00C97FE5">
            <w:pPr>
              <w:jc w:val="center"/>
              <w:rPr>
                <w:rFonts w:asciiTheme="minorHAnsi" w:hAnsiTheme="minorHAnsi" w:cstheme="minorHAnsi"/>
                <w:color w:val="auto"/>
                <w:sz w:val="20"/>
                <w:szCs w:val="20"/>
              </w:rPr>
            </w:pPr>
          </w:p>
        </w:tc>
        <w:tc>
          <w:tcPr>
            <w:tcW w:w="1595" w:type="pct"/>
            <w:vMerge/>
            <w:vAlign w:val="center"/>
          </w:tcPr>
          <w:p w14:paraId="5827ECD7"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683" w:type="pct"/>
            <w:vMerge/>
            <w:vAlign w:val="center"/>
          </w:tcPr>
          <w:p w14:paraId="0EB5DD62" w14:textId="77777777" w:rsidR="002B20A9" w:rsidRPr="00C86111" w:rsidRDefault="002B20A9" w:rsidP="00C97FE5">
            <w:pPr>
              <w:jc w:val="center"/>
              <w:rPr>
                <w:rStyle w:val="Hyperlink"/>
                <w:rFonts w:asciiTheme="minorHAnsi" w:hAnsiTheme="minorHAnsi" w:cstheme="minorHAnsi"/>
                <w:b/>
                <w:i/>
                <w:color w:val="auto"/>
                <w:sz w:val="20"/>
                <w:szCs w:val="20"/>
              </w:rPr>
            </w:pPr>
          </w:p>
        </w:tc>
      </w:tr>
      <w:tr w:rsidR="002B20A9" w:rsidRPr="00C86111" w14:paraId="51A5BDC9"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9D61F5C"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1576" w:type="pct"/>
            <w:vMerge w:val="restart"/>
            <w:vAlign w:val="center"/>
          </w:tcPr>
          <w:p w14:paraId="667DDB2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rPr>
              <w:t>Luka Bar</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54DFD28"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125</w:t>
            </w:r>
          </w:p>
        </w:tc>
        <w:tc>
          <w:tcPr>
            <w:tcW w:w="1595" w:type="pct"/>
            <w:vAlign w:val="center"/>
          </w:tcPr>
          <w:p w14:paraId="1BF596A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7A1B4E6"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2024</w:t>
            </w:r>
          </w:p>
        </w:tc>
      </w:tr>
      <w:tr w:rsidR="002B20A9" w:rsidRPr="00C86111" w14:paraId="5AF0E068"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E6EA6E1"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1576" w:type="pct"/>
            <w:vMerge/>
            <w:vAlign w:val="center"/>
          </w:tcPr>
          <w:p w14:paraId="5604DDE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
                <w: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13C2C549"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25</w:t>
            </w:r>
          </w:p>
        </w:tc>
        <w:tc>
          <w:tcPr>
            <w:tcW w:w="1595" w:type="pct"/>
            <w:vAlign w:val="center"/>
          </w:tcPr>
          <w:p w14:paraId="3217427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lang w:eastAsia="en-GB"/>
              </w:rPr>
              <w:t>Deteor Me Eco 3%, Synthetic foam, Orchidee,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15E5508"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r>
      <w:tr w:rsidR="002B20A9" w:rsidRPr="00C86111" w14:paraId="7255B446" w14:textId="77777777" w:rsidTr="00C97FE5">
        <w:trPr>
          <w:cnfStyle w:val="000000100000" w:firstRow="0" w:lastRow="0" w:firstColumn="0" w:lastColumn="0" w:oddVBand="0" w:evenVBand="0" w:oddHBand="1" w:evenHBand="0" w:firstRowFirstColumn="0" w:firstRowLastColumn="0" w:lastRowFirstColumn="0" w:lastRowLastColumn="0"/>
          <w:trHeight w:val="594"/>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5DDE114" w14:textId="77777777" w:rsidR="002B20A9" w:rsidRPr="00C86111" w:rsidRDefault="002B20A9" w:rsidP="00E71878">
            <w:pPr>
              <w:jc w:val="center"/>
              <w:rPr>
                <w:rStyle w:val="Hyperlink"/>
                <w:rFonts w:asciiTheme="minorHAnsi" w:hAnsiTheme="minorHAnsi" w:cstheme="minorHAnsi"/>
                <w:b/>
                <w:bCs/>
                <w:i/>
                <w:color w:val="auto"/>
                <w:sz w:val="20"/>
                <w:szCs w:val="20"/>
              </w:rPr>
            </w:pPr>
            <w:r w:rsidRPr="00C86111">
              <w:rPr>
                <w:rStyle w:val="Hyperlink"/>
                <w:rFonts w:asciiTheme="minorHAnsi" w:hAnsiTheme="minorHAnsi" w:cstheme="minorHAnsi"/>
                <w:bCs/>
                <w:color w:val="auto"/>
                <w:sz w:val="20"/>
                <w:szCs w:val="20"/>
              </w:rPr>
              <w:t>3</w:t>
            </w:r>
            <w:r w:rsidRPr="00C86111">
              <w:rPr>
                <w:rStyle w:val="Hyperlink"/>
                <w:rFonts w:asciiTheme="minorHAnsi" w:hAnsiTheme="minorHAnsi" w:cstheme="minorHAnsi"/>
                <w:color w:val="auto"/>
                <w:sz w:val="20"/>
                <w:szCs w:val="20"/>
              </w:rPr>
              <w:t>.</w:t>
            </w:r>
          </w:p>
        </w:tc>
        <w:tc>
          <w:tcPr>
            <w:tcW w:w="1576" w:type="pct"/>
            <w:vAlign w:val="center"/>
          </w:tcPr>
          <w:p w14:paraId="0C109A4E"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lang w:eastAsia="en-GB"/>
              </w:rPr>
              <w:t>Ulcinj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3FC543C"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150</w:t>
            </w:r>
          </w:p>
        </w:tc>
        <w:tc>
          <w:tcPr>
            <w:tcW w:w="1595" w:type="pct"/>
            <w:vAlign w:val="center"/>
          </w:tcPr>
          <w:p w14:paraId="323880F4"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rPr>
              <w:t>Old firefighting foam received through donation.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CB7CD8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5FE0798C" w14:textId="77777777" w:rsidTr="00C97FE5">
        <w:trPr>
          <w:trHeight w:val="675"/>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CF1CCA7"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c>
          <w:tcPr>
            <w:tcW w:w="1576" w:type="pct"/>
            <w:vAlign w:val="center"/>
          </w:tcPr>
          <w:p w14:paraId="4344F9C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vertAlign w:val="superscript"/>
              </w:rPr>
            </w:pPr>
            <w:r w:rsidRPr="00C86111">
              <w:rPr>
                <w:rFonts w:asciiTheme="minorHAnsi" w:hAnsiTheme="minorHAnsi" w:cstheme="minorHAnsi"/>
                <w:color w:val="auto"/>
                <w:sz w:val="20"/>
                <w:szCs w:val="20"/>
                <w:lang w:eastAsia="en-GB"/>
              </w:rPr>
              <w:t>Plav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8305D8E"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65</w:t>
            </w:r>
          </w:p>
        </w:tc>
        <w:tc>
          <w:tcPr>
            <w:tcW w:w="1595" w:type="pct"/>
            <w:vAlign w:val="center"/>
          </w:tcPr>
          <w:p w14:paraId="0281E4E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vertAlign w:val="superscript"/>
              </w:rPr>
            </w:pPr>
            <w:r w:rsidRPr="00C86111">
              <w:rPr>
                <w:rFonts w:asciiTheme="minorHAnsi" w:hAnsiTheme="minorHAnsi" w:cstheme="minorHAnsi"/>
                <w:color w:val="auto"/>
                <w:sz w:val="20"/>
                <w:szCs w:val="20"/>
                <w:lang w:eastAsia="en-GB"/>
              </w:rPr>
              <w:t>Apirol-FX3, Fluorotein foam concentrate, 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C3672D7"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r>
      <w:tr w:rsidR="002B20A9" w:rsidRPr="00C86111" w14:paraId="1A3DB9F5"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1A3DFB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c>
          <w:tcPr>
            <w:tcW w:w="1576" w:type="pct"/>
            <w:vAlign w:val="center"/>
          </w:tcPr>
          <w:p w14:paraId="46CAC3AD"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Monteput-Sozina tunel</w:t>
            </w:r>
          </w:p>
        </w:tc>
        <w:tc>
          <w:tcPr>
            <w:cnfStyle w:val="000010000000" w:firstRow="0" w:lastRow="0" w:firstColumn="0" w:lastColumn="0" w:oddVBand="1" w:evenVBand="0" w:oddHBand="0" w:evenHBand="0" w:firstRowFirstColumn="0" w:firstRowLastColumn="0" w:lastRowFirstColumn="0" w:lastRowLastColumn="0"/>
            <w:tcW w:w="703" w:type="pct"/>
            <w:vMerge w:val="restart"/>
            <w:vAlign w:val="center"/>
          </w:tcPr>
          <w:p w14:paraId="6BC1AD45"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2250</w:t>
            </w:r>
          </w:p>
        </w:tc>
        <w:tc>
          <w:tcPr>
            <w:tcW w:w="1595" w:type="pct"/>
            <w:vAlign w:val="center"/>
          </w:tcPr>
          <w:p w14:paraId="00211FB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 3% F-15, AFFF, Synthetic foam, fluorine-free,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1CA5579"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4FFA01B4"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D13BA49"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6.</w:t>
            </w:r>
          </w:p>
        </w:tc>
        <w:tc>
          <w:tcPr>
            <w:tcW w:w="1576" w:type="pct"/>
            <w:vAlign w:val="center"/>
          </w:tcPr>
          <w:p w14:paraId="08DE5D1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Monteput-Autoput</w:t>
            </w:r>
          </w:p>
        </w:tc>
        <w:tc>
          <w:tcPr>
            <w:cnfStyle w:val="000010000000" w:firstRow="0" w:lastRow="0" w:firstColumn="0" w:lastColumn="0" w:oddVBand="1" w:evenVBand="0" w:oddHBand="0" w:evenHBand="0" w:firstRowFirstColumn="0" w:firstRowLastColumn="0" w:lastRowFirstColumn="0" w:lastRowLastColumn="0"/>
            <w:tcW w:w="703" w:type="pct"/>
            <w:vMerge/>
            <w:vAlign w:val="center"/>
          </w:tcPr>
          <w:p w14:paraId="55A60DDA" w14:textId="77777777" w:rsidR="002B20A9" w:rsidRPr="00C86111" w:rsidRDefault="002B20A9" w:rsidP="00C97FE5">
            <w:pPr>
              <w:jc w:val="center"/>
              <w:rPr>
                <w:rFonts w:asciiTheme="minorHAnsi" w:hAnsiTheme="minorHAnsi" w:cstheme="minorHAnsi"/>
                <w:color w:val="auto"/>
                <w:sz w:val="20"/>
                <w:szCs w:val="20"/>
                <w:lang w:eastAsia="en-GB"/>
              </w:rPr>
            </w:pPr>
          </w:p>
        </w:tc>
        <w:tc>
          <w:tcPr>
            <w:tcW w:w="1595" w:type="pct"/>
            <w:vAlign w:val="center"/>
          </w:tcPr>
          <w:p w14:paraId="5E6E3D8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 3% F-15, AFFF, Synthetic foam, fluorine-free,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63A91D9"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56C08FCC"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520485B"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7.</w:t>
            </w:r>
          </w:p>
        </w:tc>
        <w:tc>
          <w:tcPr>
            <w:tcW w:w="1576" w:type="pct"/>
            <w:vMerge w:val="restart"/>
            <w:vAlign w:val="center"/>
          </w:tcPr>
          <w:p w14:paraId="0284AF7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Bar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74C2AFE"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100</w:t>
            </w:r>
          </w:p>
        </w:tc>
        <w:tc>
          <w:tcPr>
            <w:tcW w:w="1595" w:type="pct"/>
            <w:vAlign w:val="center"/>
          </w:tcPr>
          <w:p w14:paraId="001A260D"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063267B0"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2025</w:t>
            </w:r>
          </w:p>
        </w:tc>
      </w:tr>
      <w:tr w:rsidR="002B20A9" w:rsidRPr="00C86111" w14:paraId="5D3B0425"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4596A8D"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c>
          <w:tcPr>
            <w:tcW w:w="1576" w:type="pct"/>
            <w:vMerge/>
            <w:vAlign w:val="center"/>
          </w:tcPr>
          <w:p w14:paraId="655963F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Merge w:val="restart"/>
            <w:vAlign w:val="center"/>
          </w:tcPr>
          <w:p w14:paraId="315CABCF"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3000</w:t>
            </w:r>
          </w:p>
        </w:tc>
        <w:tc>
          <w:tcPr>
            <w:tcW w:w="1595" w:type="pct"/>
            <w:vAlign w:val="center"/>
          </w:tcPr>
          <w:p w14:paraId="4B37FD10"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Upper plastic canister</w:t>
            </w:r>
          </w:p>
        </w:tc>
        <w:tc>
          <w:tcPr>
            <w:cnfStyle w:val="000010000000" w:firstRow="0" w:lastRow="0" w:firstColumn="0" w:lastColumn="0" w:oddVBand="1" w:evenVBand="0" w:oddHBand="0" w:evenHBand="0" w:firstRowFirstColumn="0" w:firstRowLastColumn="0" w:lastRowFirstColumn="0" w:lastRowLastColumn="0"/>
            <w:tcW w:w="683" w:type="pct"/>
            <w:vMerge w:val="restart"/>
            <w:vAlign w:val="center"/>
          </w:tcPr>
          <w:p w14:paraId="3DF438FD"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33A2B73C"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C1AEF29"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9.</w:t>
            </w:r>
          </w:p>
        </w:tc>
        <w:tc>
          <w:tcPr>
            <w:tcW w:w="1576" w:type="pct"/>
            <w:vMerge/>
            <w:vAlign w:val="center"/>
          </w:tcPr>
          <w:p w14:paraId="7055CB1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Merge/>
            <w:vAlign w:val="center"/>
          </w:tcPr>
          <w:p w14:paraId="265C167B" w14:textId="77777777" w:rsidR="002B20A9" w:rsidRPr="00C86111" w:rsidRDefault="002B20A9" w:rsidP="00C97FE5">
            <w:pPr>
              <w:jc w:val="center"/>
              <w:rPr>
                <w:rFonts w:asciiTheme="minorHAnsi" w:hAnsiTheme="minorHAnsi" w:cstheme="minorHAnsi"/>
                <w:color w:val="auto"/>
                <w:sz w:val="20"/>
                <w:szCs w:val="20"/>
                <w:lang w:eastAsia="en-GB"/>
              </w:rPr>
            </w:pPr>
          </w:p>
        </w:tc>
        <w:tc>
          <w:tcPr>
            <w:tcW w:w="1595" w:type="pct"/>
            <w:vAlign w:val="center"/>
          </w:tcPr>
          <w:p w14:paraId="35D7354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vertAlign w:val="superscript"/>
              </w:rPr>
            </w:pPr>
            <w:r w:rsidRPr="00C86111">
              <w:rPr>
                <w:rFonts w:asciiTheme="minorHAnsi" w:hAnsiTheme="minorHAnsi" w:cstheme="minorHAnsi"/>
                <w:color w:val="auto"/>
                <w:sz w:val="20"/>
                <w:szCs w:val="20"/>
              </w:rPr>
              <w:t>Old firefighting foam received through donation. Lower plastic canister</w:t>
            </w:r>
          </w:p>
        </w:tc>
        <w:tc>
          <w:tcPr>
            <w:cnfStyle w:val="000010000000" w:firstRow="0" w:lastRow="0" w:firstColumn="0" w:lastColumn="0" w:oddVBand="1" w:evenVBand="0" w:oddHBand="0" w:evenHBand="0" w:firstRowFirstColumn="0" w:firstRowLastColumn="0" w:lastRowFirstColumn="0" w:lastRowLastColumn="0"/>
            <w:tcW w:w="683" w:type="pct"/>
            <w:vMerge/>
            <w:vAlign w:val="center"/>
          </w:tcPr>
          <w:p w14:paraId="1C243219" w14:textId="77777777" w:rsidR="002B20A9" w:rsidRPr="00C86111" w:rsidRDefault="002B20A9" w:rsidP="00C97FE5">
            <w:pPr>
              <w:jc w:val="center"/>
              <w:rPr>
                <w:rFonts w:asciiTheme="minorHAnsi" w:hAnsiTheme="minorHAnsi" w:cstheme="minorHAnsi"/>
                <w:color w:val="auto"/>
                <w:sz w:val="20"/>
                <w:szCs w:val="20"/>
              </w:rPr>
            </w:pPr>
          </w:p>
        </w:tc>
      </w:tr>
      <w:tr w:rsidR="002B20A9" w:rsidRPr="00C86111" w14:paraId="490EB932"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45C3D96"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c>
          <w:tcPr>
            <w:tcW w:w="1576" w:type="pct"/>
            <w:vMerge w:val="restart"/>
            <w:vAlign w:val="center"/>
          </w:tcPr>
          <w:p w14:paraId="61B34D3A"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Pljevlja </w:t>
            </w:r>
            <w:r w:rsidRPr="00C86111">
              <w:rPr>
                <w:rFonts w:asciiTheme="minorHAnsi" w:hAnsiTheme="minorHAnsi" w:cstheme="minorHAnsi"/>
                <w:color w:val="auto"/>
                <w:sz w:val="20"/>
                <w:szCs w:val="20"/>
                <w:lang w:eastAsia="en-GB"/>
              </w:rPr>
              <w:t>-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6A68A94"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275</w:t>
            </w:r>
          </w:p>
        </w:tc>
        <w:tc>
          <w:tcPr>
            <w:tcW w:w="1595" w:type="pct"/>
            <w:vAlign w:val="center"/>
          </w:tcPr>
          <w:p w14:paraId="2E1F27C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C46F415"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r>
      <w:tr w:rsidR="002B20A9" w:rsidRPr="00C86111" w14:paraId="536C421A"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4E39ED6"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1576" w:type="pct"/>
            <w:vMerge/>
            <w:vAlign w:val="center"/>
          </w:tcPr>
          <w:p w14:paraId="3B51524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9CD71A3"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70</w:t>
            </w:r>
          </w:p>
        </w:tc>
        <w:tc>
          <w:tcPr>
            <w:tcW w:w="1595" w:type="pct"/>
            <w:vAlign w:val="center"/>
          </w:tcPr>
          <w:p w14:paraId="198D54E1"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C86111">
              <w:rPr>
                <w:rFonts w:asciiTheme="minorHAnsi" w:hAnsiTheme="minorHAnsi" w:cstheme="minorHAnsi"/>
                <w:color w:val="auto"/>
                <w:sz w:val="20"/>
                <w:szCs w:val="20"/>
                <w:lang w:val="es-ES"/>
              </w:rPr>
              <w:t xml:space="preserve">Hidral-6 EX, AFFF, </w:t>
            </w:r>
          </w:p>
          <w:p w14:paraId="5DFE0D5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C86111">
              <w:rPr>
                <w:rFonts w:asciiTheme="minorHAnsi" w:hAnsiTheme="minorHAnsi" w:cstheme="minorHAnsi"/>
                <w:color w:val="auto"/>
                <w:sz w:val="20"/>
                <w:szCs w:val="20"/>
                <w:lang w:val="es-ES"/>
              </w:rPr>
              <w:t>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6526EA9"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r>
      <w:tr w:rsidR="002B20A9" w:rsidRPr="00C86111" w14:paraId="30935C0E"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7B30D142"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c>
          <w:tcPr>
            <w:tcW w:w="1576" w:type="pct"/>
            <w:vMerge w:val="restart"/>
            <w:vAlign w:val="center"/>
          </w:tcPr>
          <w:p w14:paraId="1AD8CDC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Bijelo Polje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A5C495B"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25</w:t>
            </w:r>
          </w:p>
        </w:tc>
        <w:tc>
          <w:tcPr>
            <w:tcW w:w="1595" w:type="pct"/>
            <w:vAlign w:val="center"/>
          </w:tcPr>
          <w:p w14:paraId="1176E2A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Bioex S.A.S, Deutschland</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8E1FC28"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r>
      <w:tr w:rsidR="002B20A9" w:rsidRPr="00C86111" w14:paraId="2720B461"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03F508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13.</w:t>
            </w:r>
          </w:p>
        </w:tc>
        <w:tc>
          <w:tcPr>
            <w:tcW w:w="1576" w:type="pct"/>
            <w:vMerge/>
            <w:vAlign w:val="center"/>
          </w:tcPr>
          <w:p w14:paraId="3801949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FAEA2F3"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475</w:t>
            </w:r>
          </w:p>
        </w:tc>
        <w:tc>
          <w:tcPr>
            <w:tcW w:w="1595" w:type="pct"/>
            <w:vAlign w:val="center"/>
          </w:tcPr>
          <w:p w14:paraId="59AE174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Bioex S.A.S, Deutschland, Fire truck</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06C0A258"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r>
      <w:tr w:rsidR="002B20A9" w:rsidRPr="00C86111" w14:paraId="2F5D55B1"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CB4BFBC"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14.</w:t>
            </w:r>
          </w:p>
        </w:tc>
        <w:tc>
          <w:tcPr>
            <w:tcW w:w="1576" w:type="pct"/>
            <w:vAlign w:val="center"/>
          </w:tcPr>
          <w:p w14:paraId="2D2C689D"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Mojkovac </w:t>
            </w:r>
            <w:r w:rsidRPr="00C86111">
              <w:rPr>
                <w:rFonts w:asciiTheme="minorHAnsi" w:hAnsiTheme="minorHAnsi" w:cstheme="minorHAnsi"/>
                <w:color w:val="auto"/>
                <w:sz w:val="20"/>
                <w:szCs w:val="20"/>
                <w:lang w:eastAsia="en-GB"/>
              </w:rPr>
              <w:t>–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1BB6164B"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30</w:t>
            </w:r>
          </w:p>
        </w:tc>
        <w:tc>
          <w:tcPr>
            <w:tcW w:w="1595" w:type="pct"/>
            <w:vAlign w:val="center"/>
          </w:tcPr>
          <w:p w14:paraId="33820B1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STHAMEX 3% F-15, Synthetic foam, 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EF16FDE"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6B073439"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AAD2A10"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15.</w:t>
            </w:r>
          </w:p>
        </w:tc>
        <w:tc>
          <w:tcPr>
            <w:tcW w:w="1576" w:type="pct"/>
            <w:vAlign w:val="center"/>
          </w:tcPr>
          <w:p w14:paraId="50337B9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Kolašin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6218DFD0"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200</w:t>
            </w:r>
          </w:p>
        </w:tc>
        <w:tc>
          <w:tcPr>
            <w:tcW w:w="1595" w:type="pct"/>
            <w:vAlign w:val="center"/>
          </w:tcPr>
          <w:p w14:paraId="6F4F22D9"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Bio Foam 5, </w:t>
            </w:r>
            <w:r w:rsidRPr="00C86111">
              <w:rPr>
                <w:rFonts w:asciiTheme="minorHAnsi" w:hAnsiTheme="minorHAnsi" w:cstheme="minorHAnsi"/>
                <w:color w:val="auto"/>
                <w:sz w:val="20"/>
                <w:szCs w:val="20"/>
              </w:rPr>
              <w:t xml:space="preserve">Synthetic foam concentrate, </w:t>
            </w:r>
            <w:r w:rsidRPr="00C86111">
              <w:rPr>
                <w:rFonts w:asciiTheme="minorHAnsi" w:hAnsiTheme="minorHAnsi" w:cstheme="minorHAnsi"/>
                <w:color w:val="auto"/>
                <w:sz w:val="20"/>
                <w:szCs w:val="20"/>
                <w:lang w:eastAsia="en-GB"/>
              </w:rPr>
              <w:t>BioEx,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9F8DB70"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r>
      <w:tr w:rsidR="002B20A9" w:rsidRPr="00C86111" w14:paraId="231442BB"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E6B5510"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16.</w:t>
            </w:r>
          </w:p>
        </w:tc>
        <w:tc>
          <w:tcPr>
            <w:tcW w:w="1576" w:type="pct"/>
            <w:vAlign w:val="center"/>
          </w:tcPr>
          <w:p w14:paraId="46AAFF1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Berane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908B248"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300</w:t>
            </w:r>
          </w:p>
        </w:tc>
        <w:tc>
          <w:tcPr>
            <w:tcW w:w="1595" w:type="pct"/>
            <w:vAlign w:val="center"/>
          </w:tcPr>
          <w:p w14:paraId="4DAC2BFA"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Plurex M, 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611FFC05"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r>
      <w:tr w:rsidR="002B20A9" w:rsidRPr="00C86111" w14:paraId="731E7194"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B50BD86"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17.</w:t>
            </w:r>
          </w:p>
        </w:tc>
        <w:tc>
          <w:tcPr>
            <w:tcW w:w="1576" w:type="pct"/>
            <w:vAlign w:val="center"/>
          </w:tcPr>
          <w:p w14:paraId="4383A35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Žabljak </w:t>
            </w:r>
            <w:r w:rsidRPr="00C86111">
              <w:rPr>
                <w:rFonts w:asciiTheme="minorHAnsi" w:hAnsiTheme="minorHAnsi" w:cstheme="minorHAnsi"/>
                <w:color w:val="auto"/>
                <w:sz w:val="20"/>
                <w:szCs w:val="20"/>
                <w:lang w:eastAsia="en-GB"/>
              </w:rPr>
              <w:t>–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C1EC68E"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100</w:t>
            </w:r>
          </w:p>
        </w:tc>
        <w:tc>
          <w:tcPr>
            <w:tcW w:w="1595" w:type="pct"/>
            <w:vAlign w:val="center"/>
          </w:tcPr>
          <w:p w14:paraId="33B4100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Deteor Me Eco 3%, Synthetic foam, Orchidee,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DD7993D"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2015</w:t>
            </w:r>
          </w:p>
        </w:tc>
      </w:tr>
      <w:tr w:rsidR="002B20A9" w:rsidRPr="00C86111" w14:paraId="3564EE90"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71F83259"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18.</w:t>
            </w:r>
          </w:p>
        </w:tc>
        <w:tc>
          <w:tcPr>
            <w:tcW w:w="1576" w:type="pct"/>
            <w:vMerge w:val="restart"/>
            <w:vAlign w:val="center"/>
          </w:tcPr>
          <w:p w14:paraId="59B07CA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Podgorica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62AA603D"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1400</w:t>
            </w:r>
          </w:p>
        </w:tc>
        <w:tc>
          <w:tcPr>
            <w:tcW w:w="1595" w:type="pct"/>
            <w:vAlign w:val="center"/>
          </w:tcPr>
          <w:p w14:paraId="3D3AFAF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ABBE5A0"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2025</w:t>
            </w:r>
          </w:p>
        </w:tc>
      </w:tr>
      <w:tr w:rsidR="002B20A9" w:rsidRPr="00C86111" w14:paraId="24686697"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7C20D011"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19.</w:t>
            </w:r>
          </w:p>
        </w:tc>
        <w:tc>
          <w:tcPr>
            <w:tcW w:w="1576" w:type="pct"/>
            <w:vMerge/>
            <w:vAlign w:val="center"/>
          </w:tcPr>
          <w:p w14:paraId="11DB2081"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1E7A9FF3"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720</w:t>
            </w:r>
          </w:p>
        </w:tc>
        <w:tc>
          <w:tcPr>
            <w:tcW w:w="1595" w:type="pct"/>
            <w:vAlign w:val="center"/>
          </w:tcPr>
          <w:p w14:paraId="6156F1C3"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STHAMEX-AFFF 1% F-15, Synthetic foam, 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F85A06D"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7E1023CC"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4348566"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w:t>
            </w:r>
          </w:p>
        </w:tc>
        <w:tc>
          <w:tcPr>
            <w:tcW w:w="1576" w:type="pct"/>
            <w:vAlign w:val="center"/>
          </w:tcPr>
          <w:p w14:paraId="7DEE6C06"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Cetinje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EB31771"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25</w:t>
            </w:r>
          </w:p>
        </w:tc>
        <w:tc>
          <w:tcPr>
            <w:tcW w:w="1595" w:type="pct"/>
            <w:vAlign w:val="center"/>
          </w:tcPr>
          <w:p w14:paraId="77972E3A"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DD561A6"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0E4C84FA"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C3A4B1C"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21.</w:t>
            </w:r>
          </w:p>
        </w:tc>
        <w:tc>
          <w:tcPr>
            <w:tcW w:w="1576" w:type="pct"/>
            <w:vAlign w:val="center"/>
          </w:tcPr>
          <w:p w14:paraId="736050B4"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Nikšić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5104F9EF"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1275</w:t>
            </w:r>
          </w:p>
        </w:tc>
        <w:tc>
          <w:tcPr>
            <w:tcW w:w="1595" w:type="pct"/>
            <w:vAlign w:val="center"/>
          </w:tcPr>
          <w:p w14:paraId="46F5191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3CF99C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19162022"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8961814"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22.</w:t>
            </w:r>
          </w:p>
        </w:tc>
        <w:tc>
          <w:tcPr>
            <w:tcW w:w="1576" w:type="pct"/>
            <w:vAlign w:val="center"/>
          </w:tcPr>
          <w:p w14:paraId="21268604"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Plužine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5DF01D9F"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50</w:t>
            </w:r>
          </w:p>
        </w:tc>
        <w:tc>
          <w:tcPr>
            <w:tcW w:w="1595" w:type="pct"/>
            <w:vAlign w:val="center"/>
          </w:tcPr>
          <w:p w14:paraId="5FAD324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26DCB1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32E88E1C"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0DB70D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23.</w:t>
            </w:r>
          </w:p>
        </w:tc>
        <w:tc>
          <w:tcPr>
            <w:tcW w:w="1576" w:type="pct"/>
            <w:vAlign w:val="center"/>
          </w:tcPr>
          <w:p w14:paraId="7D850D0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Budva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4517100"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825</w:t>
            </w:r>
          </w:p>
        </w:tc>
        <w:tc>
          <w:tcPr>
            <w:tcW w:w="1595" w:type="pct"/>
            <w:vAlign w:val="center"/>
          </w:tcPr>
          <w:p w14:paraId="7368FFDD"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E2CACA9"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2023</w:t>
            </w:r>
          </w:p>
        </w:tc>
      </w:tr>
      <w:tr w:rsidR="002B20A9" w:rsidRPr="00C86111" w14:paraId="5EE09731"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EA0A349"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24.</w:t>
            </w:r>
          </w:p>
        </w:tc>
        <w:tc>
          <w:tcPr>
            <w:tcW w:w="1576" w:type="pct"/>
            <w:vAlign w:val="center"/>
          </w:tcPr>
          <w:p w14:paraId="13A4FC9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Dobrovoljno vatrogasno društvo - Krtoli, Tivat</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B7A005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600</w:t>
            </w:r>
          </w:p>
        </w:tc>
        <w:tc>
          <w:tcPr>
            <w:tcW w:w="1595" w:type="pct"/>
            <w:vAlign w:val="center"/>
          </w:tcPr>
          <w:p w14:paraId="526D111B"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There is no information on the type of foam and manufacturer</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D36156C"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5164ED2D"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9150D2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25.</w:t>
            </w:r>
          </w:p>
        </w:tc>
        <w:tc>
          <w:tcPr>
            <w:tcW w:w="1576" w:type="pct"/>
            <w:vMerge w:val="restart"/>
            <w:vAlign w:val="center"/>
          </w:tcPr>
          <w:p w14:paraId="67A6E058"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Tivat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7F972E1"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400</w:t>
            </w:r>
          </w:p>
        </w:tc>
        <w:tc>
          <w:tcPr>
            <w:tcW w:w="1595" w:type="pct"/>
            <w:vAlign w:val="center"/>
          </w:tcPr>
          <w:p w14:paraId="07B8CC3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STHAMEX-3% F-15, Synthetic foam, 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77F802C"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1AC28C48"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7EBC558"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26.</w:t>
            </w:r>
          </w:p>
        </w:tc>
        <w:tc>
          <w:tcPr>
            <w:tcW w:w="1576" w:type="pct"/>
            <w:vMerge/>
            <w:vAlign w:val="center"/>
          </w:tcPr>
          <w:p w14:paraId="1AFE8D5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2806027"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1000</w:t>
            </w:r>
          </w:p>
        </w:tc>
        <w:tc>
          <w:tcPr>
            <w:tcW w:w="1595" w:type="pct"/>
            <w:vAlign w:val="center"/>
          </w:tcPr>
          <w:p w14:paraId="01F57816"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Label: Organikkimya, Netherlands</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10C9525"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4272EDFC"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48C567C"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27.</w:t>
            </w:r>
          </w:p>
        </w:tc>
        <w:tc>
          <w:tcPr>
            <w:tcW w:w="1576" w:type="pct"/>
            <w:vMerge/>
            <w:vAlign w:val="center"/>
          </w:tcPr>
          <w:p w14:paraId="06DEB2F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88427AA"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800</w:t>
            </w:r>
          </w:p>
        </w:tc>
        <w:tc>
          <w:tcPr>
            <w:tcW w:w="1595" w:type="pct"/>
            <w:vAlign w:val="center"/>
          </w:tcPr>
          <w:p w14:paraId="70F2633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without specification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DD65476"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5A2F9698" w14:textId="77777777" w:rsidTr="00C97FE5">
        <w:trPr>
          <w:trHeight w:val="648"/>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E20C273"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28.</w:t>
            </w:r>
          </w:p>
        </w:tc>
        <w:tc>
          <w:tcPr>
            <w:tcW w:w="1576" w:type="pct"/>
            <w:vMerge/>
            <w:vAlign w:val="center"/>
          </w:tcPr>
          <w:p w14:paraId="59D090D0"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1507001"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1000</w:t>
            </w:r>
          </w:p>
        </w:tc>
        <w:tc>
          <w:tcPr>
            <w:tcW w:w="1595" w:type="pct"/>
            <w:vAlign w:val="center"/>
          </w:tcPr>
          <w:p w14:paraId="75E5942D"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without specification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03727CE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59D30D04"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EB120C7"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29.</w:t>
            </w:r>
          </w:p>
        </w:tc>
        <w:tc>
          <w:tcPr>
            <w:tcW w:w="1576" w:type="pct"/>
            <w:vMerge w:val="restart"/>
            <w:vAlign w:val="center"/>
          </w:tcPr>
          <w:p w14:paraId="1C43712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 xml:space="preserve">Aerodrom </w:t>
            </w:r>
            <w:r w:rsidRPr="00C86111">
              <w:rPr>
                <w:rFonts w:asciiTheme="minorHAnsi" w:hAnsiTheme="minorHAnsi" w:cstheme="minorHAnsi"/>
                <w:color w:val="auto"/>
                <w:sz w:val="20"/>
                <w:szCs w:val="20"/>
                <w:lang w:eastAsia="en-GB"/>
              </w:rPr>
              <w:t xml:space="preserve">Tivat </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62588636"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2000</w:t>
            </w:r>
          </w:p>
        </w:tc>
        <w:tc>
          <w:tcPr>
            <w:tcW w:w="1595" w:type="pct"/>
            <w:vAlign w:val="center"/>
          </w:tcPr>
          <w:p w14:paraId="7921A36D"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A877653"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1BB81873"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0A73B81"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30.</w:t>
            </w:r>
          </w:p>
        </w:tc>
        <w:tc>
          <w:tcPr>
            <w:tcW w:w="1576" w:type="pct"/>
            <w:vMerge/>
            <w:vAlign w:val="center"/>
          </w:tcPr>
          <w:p w14:paraId="7AA290A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994AA91"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2000</w:t>
            </w:r>
          </w:p>
        </w:tc>
        <w:tc>
          <w:tcPr>
            <w:tcW w:w="1595" w:type="pct"/>
            <w:vAlign w:val="center"/>
          </w:tcPr>
          <w:p w14:paraId="67604A3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4</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40C6CD5"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3C09B68E"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08EAB01"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31.</w:t>
            </w:r>
          </w:p>
        </w:tc>
        <w:tc>
          <w:tcPr>
            <w:tcW w:w="1576" w:type="pct"/>
            <w:vMerge/>
            <w:vAlign w:val="center"/>
          </w:tcPr>
          <w:p w14:paraId="7C42F3D1"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F908A72" w14:textId="77777777" w:rsidR="002B20A9" w:rsidRPr="00C86111" w:rsidRDefault="002B20A9" w:rsidP="00C97FE5">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1500</w:t>
            </w:r>
          </w:p>
        </w:tc>
        <w:tc>
          <w:tcPr>
            <w:tcW w:w="1595" w:type="pct"/>
            <w:vAlign w:val="center"/>
          </w:tcPr>
          <w:p w14:paraId="571BFD9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2</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67DD9E2B"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54C64745"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BAD44BE"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32.</w:t>
            </w:r>
          </w:p>
        </w:tc>
        <w:tc>
          <w:tcPr>
            <w:tcW w:w="1576" w:type="pct"/>
            <w:vAlign w:val="center"/>
          </w:tcPr>
          <w:p w14:paraId="21332117"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Kotor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18930B1"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2000</w:t>
            </w:r>
          </w:p>
        </w:tc>
        <w:tc>
          <w:tcPr>
            <w:tcW w:w="1595" w:type="pct"/>
            <w:vAlign w:val="center"/>
          </w:tcPr>
          <w:p w14:paraId="471DDF20"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6005ACE2"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2024</w:t>
            </w:r>
          </w:p>
        </w:tc>
      </w:tr>
      <w:tr w:rsidR="002B20A9" w:rsidRPr="00C86111" w14:paraId="108092A2"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5A914DB"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33.</w:t>
            </w:r>
          </w:p>
        </w:tc>
        <w:tc>
          <w:tcPr>
            <w:tcW w:w="1576" w:type="pct"/>
            <w:vAlign w:val="center"/>
          </w:tcPr>
          <w:p w14:paraId="5291F9E3"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Dobrovoljno vatrogasno društvo - Perast</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52C5B9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1350</w:t>
            </w:r>
          </w:p>
        </w:tc>
        <w:tc>
          <w:tcPr>
            <w:tcW w:w="1595" w:type="pct"/>
            <w:vAlign w:val="center"/>
          </w:tcPr>
          <w:p w14:paraId="51C3BAA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without specification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CDC74FA"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3F60FA88"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F861556"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34.</w:t>
            </w:r>
          </w:p>
        </w:tc>
        <w:tc>
          <w:tcPr>
            <w:tcW w:w="1576" w:type="pct"/>
            <w:vAlign w:val="center"/>
          </w:tcPr>
          <w:p w14:paraId="45ED5ED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Lustica Bay</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E5BDC02"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1000</w:t>
            </w:r>
          </w:p>
        </w:tc>
        <w:tc>
          <w:tcPr>
            <w:tcW w:w="1595" w:type="pct"/>
            <w:vAlign w:val="center"/>
          </w:tcPr>
          <w:p w14:paraId="65140F44"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D9A9C0A"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42C64A83"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6781784"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35.</w:t>
            </w:r>
          </w:p>
        </w:tc>
        <w:tc>
          <w:tcPr>
            <w:tcW w:w="1576" w:type="pct"/>
            <w:vAlign w:val="center"/>
          </w:tcPr>
          <w:p w14:paraId="482AC9D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Dobrovoljno vatrogasno društvo - Bijela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C8E215C"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160</w:t>
            </w:r>
          </w:p>
        </w:tc>
        <w:tc>
          <w:tcPr>
            <w:tcW w:w="1595" w:type="pct"/>
            <w:vAlign w:val="center"/>
          </w:tcPr>
          <w:p w14:paraId="63A2A19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Plurex M, 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11EB9AE"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B20A9" w:rsidRPr="00C86111" w14:paraId="21C381D5"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C2558A2"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36.</w:t>
            </w:r>
          </w:p>
        </w:tc>
        <w:tc>
          <w:tcPr>
            <w:tcW w:w="1576" w:type="pct"/>
            <w:vAlign w:val="center"/>
          </w:tcPr>
          <w:p w14:paraId="4FC61EE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Jugopetrol, Volujica, Bar</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E9CA53C"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14950</w:t>
            </w:r>
          </w:p>
        </w:tc>
        <w:tc>
          <w:tcPr>
            <w:tcW w:w="1595" w:type="pct"/>
            <w:vAlign w:val="center"/>
          </w:tcPr>
          <w:p w14:paraId="5A7BF1C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FPC6, Fluoroprotein foam</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FF6FFE3"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041149F3"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4587E1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37.</w:t>
            </w:r>
          </w:p>
        </w:tc>
        <w:tc>
          <w:tcPr>
            <w:tcW w:w="1576" w:type="pct"/>
            <w:vMerge w:val="restart"/>
            <w:vAlign w:val="center"/>
          </w:tcPr>
          <w:p w14:paraId="31EA8E5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Aerodrom Podgorica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E63E38C"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1000</w:t>
            </w:r>
          </w:p>
        </w:tc>
        <w:tc>
          <w:tcPr>
            <w:tcW w:w="1595" w:type="pct"/>
            <w:vAlign w:val="center"/>
          </w:tcPr>
          <w:p w14:paraId="291D24F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 xml:space="preserve">Dr. STHAMER, Hamburg, Germany, </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E1FC68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4BF55285"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64E9545"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38.</w:t>
            </w:r>
          </w:p>
        </w:tc>
        <w:tc>
          <w:tcPr>
            <w:tcW w:w="1576" w:type="pct"/>
            <w:vMerge/>
            <w:vAlign w:val="center"/>
          </w:tcPr>
          <w:p w14:paraId="2FC12F1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1375F18"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800</w:t>
            </w:r>
          </w:p>
        </w:tc>
        <w:tc>
          <w:tcPr>
            <w:tcW w:w="1595" w:type="pct"/>
            <w:vAlign w:val="center"/>
          </w:tcPr>
          <w:p w14:paraId="6447CCD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18B66D9"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39286F23"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D6BA14B"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39.</w:t>
            </w:r>
          </w:p>
        </w:tc>
        <w:tc>
          <w:tcPr>
            <w:tcW w:w="1576" w:type="pct"/>
            <w:vMerge/>
            <w:vAlign w:val="center"/>
          </w:tcPr>
          <w:p w14:paraId="45178014"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1996432"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1100</w:t>
            </w:r>
          </w:p>
        </w:tc>
        <w:tc>
          <w:tcPr>
            <w:tcW w:w="1595" w:type="pct"/>
            <w:vAlign w:val="center"/>
          </w:tcPr>
          <w:p w14:paraId="64A59F5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3</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0DEA9E4"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59621538" w14:textId="77777777" w:rsidTr="00C97FE5">
        <w:trPr>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F3C6D5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40.</w:t>
            </w:r>
          </w:p>
        </w:tc>
        <w:tc>
          <w:tcPr>
            <w:tcW w:w="1576" w:type="pct"/>
            <w:vMerge/>
            <w:vAlign w:val="center"/>
          </w:tcPr>
          <w:p w14:paraId="2C3BF52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1338C2BF"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800</w:t>
            </w:r>
          </w:p>
        </w:tc>
        <w:tc>
          <w:tcPr>
            <w:tcW w:w="1595" w:type="pct"/>
            <w:vAlign w:val="center"/>
          </w:tcPr>
          <w:p w14:paraId="0393CA3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7</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7C2707B"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09FAA87E" w14:textId="77777777" w:rsidTr="00C97FE5">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2D4ECD2"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41.</w:t>
            </w:r>
          </w:p>
        </w:tc>
        <w:tc>
          <w:tcPr>
            <w:tcW w:w="1576" w:type="pct"/>
            <w:vMerge/>
            <w:vAlign w:val="center"/>
          </w:tcPr>
          <w:p w14:paraId="5D8E083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CDDC3E1"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1600</w:t>
            </w:r>
          </w:p>
        </w:tc>
        <w:tc>
          <w:tcPr>
            <w:tcW w:w="1595" w:type="pct"/>
            <w:vAlign w:val="center"/>
          </w:tcPr>
          <w:p w14:paraId="52B0546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 xml:space="preserve">Dr. STHAMER, Hamburg, Germany, Fire truck, Panter, number 1 </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1A38A3A" w14:textId="77777777" w:rsidR="002B20A9" w:rsidRPr="00C86111" w:rsidRDefault="002B20A9" w:rsidP="00C97FE5">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bl>
    <w:p w14:paraId="701E9FF2" w14:textId="77777777" w:rsidR="002B20A9" w:rsidRPr="00C86111" w:rsidRDefault="002B20A9" w:rsidP="002B20A9">
      <w:pPr>
        <w:jc w:val="both"/>
        <w:rPr>
          <w:rFonts w:ascii="Cambria" w:eastAsia="SimSun" w:hAnsi="Cambria" w:cs="Times New Roman"/>
          <w:color w:val="auto"/>
        </w:rPr>
      </w:pPr>
    </w:p>
    <w:p w14:paraId="61EAED44"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Prikupljanje podataka vezano za inventar PFOS-a u protivpožarnim pjenama, osim preko upitnika i telefonskog kontakta, realizovan je i obilaskom samih vatrogasnih jedinica, njihovog skladištenog prostora i direktim intervjuom sa njihovim predstavnicima, uzorkovanjem protivpožarne pjene iz skladišta i vatrogasnih vozila i njihovom analizom u laboratoriji.</w:t>
      </w:r>
    </w:p>
    <w:p w14:paraId="0C9D2857" w14:textId="77777777" w:rsidR="002B20A9" w:rsidRDefault="002B20A9" w:rsidP="002B20A9">
      <w:pPr>
        <w:jc w:val="both"/>
        <w:rPr>
          <w:rFonts w:asciiTheme="minorHAnsi" w:hAnsiTheme="minorHAnsi" w:cstheme="minorHAnsi"/>
          <w:color w:val="auto"/>
        </w:rPr>
      </w:pPr>
      <w:r w:rsidRPr="00C86111">
        <w:rPr>
          <w:rFonts w:asciiTheme="minorHAnsi" w:hAnsiTheme="minorHAnsi" w:cstheme="minorHAnsi"/>
          <w:color w:val="auto"/>
        </w:rPr>
        <w:t>Procjena sadržaja PFOS-a zasniva se na podacima dobijenim analizom protivpožarnih pjena iz opštinskih službi zaštite i spašavanja, kao i iz specijalizovanih vatrogasnih službi (luke, aerodromi, industrija).</w:t>
      </w:r>
    </w:p>
    <w:p w14:paraId="74C8194E" w14:textId="77777777" w:rsidR="00D966EC" w:rsidRDefault="00D966EC" w:rsidP="002B20A9">
      <w:pPr>
        <w:jc w:val="both"/>
        <w:rPr>
          <w:rFonts w:asciiTheme="minorHAnsi" w:hAnsiTheme="minorHAnsi" w:cstheme="minorHAnsi"/>
          <w:color w:val="auto"/>
        </w:rPr>
      </w:pPr>
    </w:p>
    <w:p w14:paraId="2A2E99D2" w14:textId="77777777" w:rsidR="00D966EC" w:rsidRPr="00C86111" w:rsidRDefault="00D966EC" w:rsidP="002B20A9">
      <w:pPr>
        <w:jc w:val="both"/>
        <w:rPr>
          <w:rFonts w:asciiTheme="minorHAnsi" w:hAnsiTheme="minorHAnsi" w:cstheme="minorHAnsi"/>
          <w:color w:val="auto"/>
        </w:rPr>
      </w:pPr>
    </w:p>
    <w:p w14:paraId="042154E5" w14:textId="77777777" w:rsidR="002B20A9" w:rsidRPr="00C86111" w:rsidRDefault="002B20A9" w:rsidP="002B20A9">
      <w:pPr>
        <w:jc w:val="both"/>
        <w:rPr>
          <w:rStyle w:val="Strong"/>
        </w:rPr>
      </w:pPr>
      <w:bookmarkStart w:id="312" w:name="_Toc210632496"/>
      <w:bookmarkStart w:id="313" w:name="_Hlk203293153"/>
    </w:p>
    <w:p w14:paraId="0DC28D04" w14:textId="77777777" w:rsidR="002B20A9" w:rsidRPr="00C86111" w:rsidRDefault="002B20A9" w:rsidP="00EA6904">
      <w:pPr>
        <w:pStyle w:val="Heading3"/>
        <w:rPr>
          <w:rStyle w:val="Strong"/>
          <w:b/>
          <w:bCs/>
        </w:rPr>
      </w:pPr>
      <w:bookmarkStart w:id="314" w:name="_Toc220541938"/>
      <w:r w:rsidRPr="00C86111">
        <w:rPr>
          <w:rStyle w:val="Strong"/>
        </w:rPr>
        <w:lastRenderedPageBreak/>
        <w:t>Rezultati analize protivpožarnih pjena</w:t>
      </w:r>
      <w:bookmarkEnd w:id="312"/>
      <w:bookmarkEnd w:id="314"/>
    </w:p>
    <w:p w14:paraId="7BA8924A" w14:textId="77777777" w:rsidR="002B20A9" w:rsidRPr="00C86111" w:rsidRDefault="002B20A9" w:rsidP="002B20A9">
      <w:pPr>
        <w:jc w:val="both"/>
        <w:rPr>
          <w:rFonts w:asciiTheme="minorHAnsi" w:hAnsiTheme="minorHAnsi" w:cstheme="minorHAnsi"/>
          <w:color w:val="auto"/>
        </w:rPr>
      </w:pPr>
    </w:p>
    <w:p w14:paraId="0D0117CC" w14:textId="07E1884C"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Analitički rezultati koji se odnose na prisustvo perfluorooktanske sulfonatne kiseline (PFOS) u protivpožarnim pjenama koje koriste opštinske službe zaštite i spašavanja prikazani su u tabeli </w:t>
      </w:r>
      <w:r w:rsidR="00632BFA" w:rsidRPr="00C86111">
        <w:rPr>
          <w:rFonts w:asciiTheme="minorHAnsi" w:eastAsia="Times New Roman" w:hAnsiTheme="minorHAnsi" w:cstheme="minorHAnsi"/>
          <w:color w:val="auto"/>
          <w:lang w:eastAsia="en-GB"/>
        </w:rPr>
        <w:t>69</w:t>
      </w:r>
      <w:r w:rsidRPr="00C86111">
        <w:rPr>
          <w:rFonts w:asciiTheme="minorHAnsi" w:eastAsia="Times New Roman" w:hAnsiTheme="minorHAnsi" w:cstheme="minorHAnsi"/>
          <w:color w:val="auto"/>
          <w:lang w:eastAsia="en-GB"/>
        </w:rPr>
        <w:t>. Rezultati se zasnivaju na laboratorijskim analizama uzoraka protivpožarnih pjena prikupljenih iz lokalnih vatrogasnih jedinica, sa ciljem procjene mogućeg prisustva kontaminacije PFOS-om.</w:t>
      </w:r>
    </w:p>
    <w:p w14:paraId="7DFAAAC6" w14:textId="77777777" w:rsidR="002B20A9" w:rsidRPr="00C86111" w:rsidRDefault="002B20A9" w:rsidP="002B20A9">
      <w:pPr>
        <w:jc w:val="both"/>
        <w:rPr>
          <w:rFonts w:asciiTheme="minorHAnsi" w:eastAsia="Times New Roman" w:hAnsiTheme="minorHAnsi" w:cstheme="minorHAnsi"/>
          <w:color w:val="auto"/>
          <w:lang w:eastAsia="en-GB"/>
        </w:rPr>
      </w:pPr>
    </w:p>
    <w:p w14:paraId="14765A94" w14:textId="1810A55A"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b/>
          <w:bCs/>
          <w:color w:val="auto"/>
          <w:lang w:eastAsia="en-GB"/>
        </w:rPr>
        <w:t xml:space="preserve">Tabela </w:t>
      </w:r>
      <w:r w:rsidR="00632BFA" w:rsidRPr="00C86111">
        <w:rPr>
          <w:rFonts w:asciiTheme="minorHAnsi" w:eastAsia="Times New Roman" w:hAnsiTheme="minorHAnsi" w:cstheme="minorHAnsi"/>
          <w:b/>
          <w:bCs/>
          <w:color w:val="auto"/>
          <w:lang w:eastAsia="en-GB"/>
        </w:rPr>
        <w:t>69</w:t>
      </w:r>
      <w:r w:rsidRPr="00C86111">
        <w:rPr>
          <w:rFonts w:asciiTheme="minorHAnsi" w:eastAsia="Times New Roman" w:hAnsiTheme="minorHAnsi" w:cstheme="minorHAnsi"/>
          <w:b/>
          <w:bCs/>
          <w:color w:val="auto"/>
          <w:lang w:eastAsia="en-GB"/>
        </w:rPr>
        <w:t>:</w:t>
      </w:r>
      <w:r w:rsidRPr="00C86111">
        <w:rPr>
          <w:rFonts w:asciiTheme="minorHAnsi" w:eastAsia="Times New Roman" w:hAnsiTheme="minorHAnsi" w:cstheme="minorHAnsi"/>
          <w:color w:val="auto"/>
          <w:lang w:eastAsia="en-GB"/>
        </w:rPr>
        <w:t xml:space="preserve"> Rezultati prisustva PFOS-a u protivpožarnim pjenama opštinskih službi zaštite i spašavanja.</w:t>
      </w:r>
    </w:p>
    <w:tbl>
      <w:tblPr>
        <w:tblStyle w:val="GridTable5Dark-Accent6"/>
        <w:tblW w:w="0" w:type="auto"/>
        <w:tblLook w:val="04A0" w:firstRow="1" w:lastRow="0" w:firstColumn="1" w:lastColumn="0" w:noHBand="0" w:noVBand="1"/>
      </w:tblPr>
      <w:tblGrid>
        <w:gridCol w:w="2695"/>
        <w:gridCol w:w="1350"/>
        <w:gridCol w:w="4896"/>
      </w:tblGrid>
      <w:tr w:rsidR="002B20A9" w:rsidRPr="00C86111" w14:paraId="01FC5AA4" w14:textId="77777777" w:rsidTr="00BC765B">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95" w:type="dxa"/>
            <w:hideMark/>
          </w:tcPr>
          <w:p w14:paraId="3DB9E9D9" w14:textId="77777777" w:rsidR="002B20A9" w:rsidRPr="00C86111" w:rsidRDefault="002B20A9"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Opština / Služba</w:t>
            </w:r>
          </w:p>
        </w:tc>
        <w:tc>
          <w:tcPr>
            <w:tcW w:w="1350" w:type="dxa"/>
            <w:hideMark/>
          </w:tcPr>
          <w:p w14:paraId="204D0120"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Prisustvo PFOS-a</w:t>
            </w:r>
          </w:p>
        </w:tc>
        <w:tc>
          <w:tcPr>
            <w:tcW w:w="4896" w:type="dxa"/>
            <w:hideMark/>
          </w:tcPr>
          <w:p w14:paraId="4530F38E"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Napomena</w:t>
            </w:r>
          </w:p>
        </w:tc>
      </w:tr>
      <w:tr w:rsidR="002B20A9" w:rsidRPr="00C86111" w14:paraId="09611717" w14:textId="77777777" w:rsidTr="00BC765B">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2695" w:type="dxa"/>
            <w:vMerge w:val="restart"/>
            <w:hideMark/>
          </w:tcPr>
          <w:p w14:paraId="492E071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Bar</w:t>
            </w:r>
          </w:p>
        </w:tc>
        <w:tc>
          <w:tcPr>
            <w:tcW w:w="1350" w:type="dxa"/>
            <w:hideMark/>
          </w:tcPr>
          <w:p w14:paraId="05D1E794"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4896" w:type="dxa"/>
            <w:hideMark/>
          </w:tcPr>
          <w:p w14:paraId="60ADDF6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76A67A73"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vMerge/>
          </w:tcPr>
          <w:p w14:paraId="6CBF9390" w14:textId="77777777" w:rsidR="002B20A9" w:rsidRPr="00C86111" w:rsidRDefault="002B20A9" w:rsidP="00BC765B">
            <w:pPr>
              <w:jc w:val="both"/>
              <w:rPr>
                <w:rFonts w:asciiTheme="minorHAnsi" w:hAnsiTheme="minorHAnsi" w:cstheme="minorHAnsi"/>
                <w:b w:val="0"/>
                <w:bCs w:val="0"/>
                <w:color w:val="auto"/>
                <w:sz w:val="20"/>
                <w:szCs w:val="20"/>
              </w:rPr>
            </w:pPr>
          </w:p>
        </w:tc>
        <w:tc>
          <w:tcPr>
            <w:tcW w:w="1350" w:type="dxa"/>
          </w:tcPr>
          <w:p w14:paraId="0C8CDCB9"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tcPr>
          <w:p w14:paraId="12FC5DC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17FA26B"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6BB481D7"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Bijelo Polje</w:t>
            </w:r>
          </w:p>
        </w:tc>
        <w:tc>
          <w:tcPr>
            <w:tcW w:w="1350" w:type="dxa"/>
            <w:hideMark/>
          </w:tcPr>
          <w:p w14:paraId="06E5FCE3"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4896" w:type="dxa"/>
            <w:hideMark/>
          </w:tcPr>
          <w:p w14:paraId="4023339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5B9FDD83"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3886A5EF"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Ulcinj</w:t>
            </w:r>
          </w:p>
        </w:tc>
        <w:tc>
          <w:tcPr>
            <w:tcW w:w="1350" w:type="dxa"/>
            <w:hideMark/>
          </w:tcPr>
          <w:p w14:paraId="20988B1B"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4896" w:type="dxa"/>
            <w:hideMark/>
          </w:tcPr>
          <w:p w14:paraId="171D570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6F9C79B6"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1F01D91D"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Plav</w:t>
            </w:r>
          </w:p>
        </w:tc>
        <w:tc>
          <w:tcPr>
            <w:tcW w:w="1350" w:type="dxa"/>
            <w:hideMark/>
          </w:tcPr>
          <w:p w14:paraId="24F2DDF1"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14392711"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0E01519"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60F6205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Pljevlja</w:t>
            </w:r>
          </w:p>
        </w:tc>
        <w:tc>
          <w:tcPr>
            <w:tcW w:w="1350" w:type="dxa"/>
            <w:hideMark/>
          </w:tcPr>
          <w:p w14:paraId="5D43B917"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Ne</w:t>
            </w:r>
          </w:p>
        </w:tc>
        <w:tc>
          <w:tcPr>
            <w:tcW w:w="4896" w:type="dxa"/>
            <w:hideMark/>
          </w:tcPr>
          <w:p w14:paraId="0A20A17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027AECF9"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4F962E02"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Mojkovac</w:t>
            </w:r>
          </w:p>
        </w:tc>
        <w:tc>
          <w:tcPr>
            <w:tcW w:w="1350" w:type="dxa"/>
            <w:hideMark/>
          </w:tcPr>
          <w:p w14:paraId="4F6FD8F8"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10E37E8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63D8D349"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40E1C8B3"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Kolašin</w:t>
            </w:r>
          </w:p>
        </w:tc>
        <w:tc>
          <w:tcPr>
            <w:tcW w:w="1350" w:type="dxa"/>
            <w:hideMark/>
          </w:tcPr>
          <w:p w14:paraId="30DD565E"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36472EBD"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35FBF14B"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102E946E"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Berane</w:t>
            </w:r>
          </w:p>
        </w:tc>
        <w:tc>
          <w:tcPr>
            <w:tcW w:w="1350" w:type="dxa"/>
            <w:hideMark/>
          </w:tcPr>
          <w:p w14:paraId="6600EB91"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4C5A0EF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562FDF8"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1D649780"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Žabljak</w:t>
            </w:r>
          </w:p>
        </w:tc>
        <w:tc>
          <w:tcPr>
            <w:tcW w:w="1350" w:type="dxa"/>
            <w:hideMark/>
          </w:tcPr>
          <w:p w14:paraId="3714C764"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33322284"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08AF222"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61B5C8AA"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Nikšić</w:t>
            </w:r>
          </w:p>
        </w:tc>
        <w:tc>
          <w:tcPr>
            <w:tcW w:w="1350" w:type="dxa"/>
            <w:hideMark/>
          </w:tcPr>
          <w:p w14:paraId="15E01D18"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51C8D47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56D76F3A"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0D77B83A"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Plužine</w:t>
            </w:r>
          </w:p>
        </w:tc>
        <w:tc>
          <w:tcPr>
            <w:tcW w:w="1350" w:type="dxa"/>
            <w:hideMark/>
          </w:tcPr>
          <w:p w14:paraId="44E3538D"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600910D4"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5D42156"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21D2F896"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Cetinje</w:t>
            </w:r>
          </w:p>
        </w:tc>
        <w:tc>
          <w:tcPr>
            <w:tcW w:w="1350" w:type="dxa"/>
            <w:hideMark/>
          </w:tcPr>
          <w:p w14:paraId="35975747"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09FC0EE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5A03C125"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560FB84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Budva</w:t>
            </w:r>
          </w:p>
        </w:tc>
        <w:tc>
          <w:tcPr>
            <w:tcW w:w="1350" w:type="dxa"/>
            <w:hideMark/>
          </w:tcPr>
          <w:p w14:paraId="341D8C68"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6CA03AF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1AEB5FA"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5D157BFC"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Kotor</w:t>
            </w:r>
          </w:p>
        </w:tc>
        <w:tc>
          <w:tcPr>
            <w:tcW w:w="1350" w:type="dxa"/>
            <w:hideMark/>
          </w:tcPr>
          <w:p w14:paraId="1C4260B2"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3984409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AC357C6"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4687F87C"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Podgorica</w:t>
            </w:r>
          </w:p>
        </w:tc>
        <w:tc>
          <w:tcPr>
            <w:tcW w:w="1350" w:type="dxa"/>
            <w:hideMark/>
          </w:tcPr>
          <w:p w14:paraId="69547D8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hideMark/>
          </w:tcPr>
          <w:p w14:paraId="6960344D"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0179D12F"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vMerge w:val="restart"/>
          </w:tcPr>
          <w:p w14:paraId="230B0CB1" w14:textId="77777777" w:rsidR="002B20A9" w:rsidRPr="00C86111" w:rsidRDefault="002B20A9"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Tivat</w:t>
            </w:r>
          </w:p>
        </w:tc>
        <w:tc>
          <w:tcPr>
            <w:tcW w:w="1350" w:type="dxa"/>
          </w:tcPr>
          <w:p w14:paraId="79F299E5"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96" w:type="dxa"/>
          </w:tcPr>
          <w:p w14:paraId="6B06DDD9"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0FB294F6"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vMerge/>
          </w:tcPr>
          <w:p w14:paraId="395ABB96" w14:textId="77777777" w:rsidR="002B20A9" w:rsidRPr="00C86111" w:rsidRDefault="002B20A9" w:rsidP="00BC765B">
            <w:pPr>
              <w:jc w:val="both"/>
              <w:rPr>
                <w:rFonts w:asciiTheme="minorHAnsi" w:hAnsiTheme="minorHAnsi" w:cstheme="minorHAnsi"/>
                <w:color w:val="auto"/>
                <w:sz w:val="20"/>
                <w:szCs w:val="20"/>
              </w:rPr>
            </w:pPr>
          </w:p>
        </w:tc>
        <w:tc>
          <w:tcPr>
            <w:tcW w:w="1350" w:type="dxa"/>
            <w:hideMark/>
          </w:tcPr>
          <w:p w14:paraId="68DB3638"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4896" w:type="dxa"/>
            <w:hideMark/>
          </w:tcPr>
          <w:p w14:paraId="3CBBE7A6"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69094D33"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vMerge/>
          </w:tcPr>
          <w:p w14:paraId="51096A0C" w14:textId="77777777" w:rsidR="002B20A9" w:rsidRPr="00C86111" w:rsidRDefault="002B20A9" w:rsidP="00BC765B">
            <w:pPr>
              <w:jc w:val="both"/>
              <w:rPr>
                <w:rFonts w:asciiTheme="minorHAnsi" w:hAnsiTheme="minorHAnsi" w:cstheme="minorHAnsi"/>
                <w:b w:val="0"/>
                <w:bCs w:val="0"/>
                <w:color w:val="auto"/>
                <w:sz w:val="20"/>
                <w:szCs w:val="20"/>
              </w:rPr>
            </w:pPr>
          </w:p>
        </w:tc>
        <w:tc>
          <w:tcPr>
            <w:tcW w:w="1350" w:type="dxa"/>
          </w:tcPr>
          <w:p w14:paraId="71362F8A"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4896" w:type="dxa"/>
          </w:tcPr>
          <w:p w14:paraId="46CAB18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prelazi propisano regulatorno ograničenje</w:t>
            </w:r>
          </w:p>
        </w:tc>
      </w:tr>
      <w:tr w:rsidR="002B20A9" w:rsidRPr="00C86111" w14:paraId="5F36F45C"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24E3907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Dobrovoljno vatrogasno društvo -Bijela</w:t>
            </w:r>
          </w:p>
        </w:tc>
        <w:tc>
          <w:tcPr>
            <w:tcW w:w="1350" w:type="dxa"/>
            <w:hideMark/>
          </w:tcPr>
          <w:p w14:paraId="492A177F"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4896" w:type="dxa"/>
            <w:hideMark/>
          </w:tcPr>
          <w:p w14:paraId="6ED43D0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0C3E9390" w14:textId="77777777" w:rsidTr="00BC765B">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5A49692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Dobrovoljno vatrogasno društvo -Perast</w:t>
            </w:r>
          </w:p>
        </w:tc>
        <w:tc>
          <w:tcPr>
            <w:tcW w:w="1350" w:type="dxa"/>
            <w:hideMark/>
          </w:tcPr>
          <w:p w14:paraId="4D52EC8E"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4896" w:type="dxa"/>
            <w:hideMark/>
          </w:tcPr>
          <w:p w14:paraId="0149EE1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6255126D" w14:textId="77777777" w:rsidTr="00BC765B">
        <w:trPr>
          <w:trHeight w:hRule="exact" w:val="576"/>
        </w:trPr>
        <w:tc>
          <w:tcPr>
            <w:cnfStyle w:val="001000000000" w:firstRow="0" w:lastRow="0" w:firstColumn="1" w:lastColumn="0" w:oddVBand="0" w:evenVBand="0" w:oddHBand="0" w:evenHBand="0" w:firstRowFirstColumn="0" w:firstRowLastColumn="0" w:lastRowFirstColumn="0" w:lastRowLastColumn="0"/>
            <w:tcW w:w="2695" w:type="dxa"/>
            <w:hideMark/>
          </w:tcPr>
          <w:p w14:paraId="57AFB42F"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Dobrovoljno vatrogasno društvo -Krtoli</w:t>
            </w:r>
          </w:p>
        </w:tc>
        <w:tc>
          <w:tcPr>
            <w:tcW w:w="1350" w:type="dxa"/>
            <w:hideMark/>
          </w:tcPr>
          <w:p w14:paraId="0AA04F40"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4896" w:type="dxa"/>
            <w:hideMark/>
          </w:tcPr>
          <w:p w14:paraId="430CEFB7"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46737291" w14:textId="77777777" w:rsidTr="00BC765B">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695" w:type="dxa"/>
            <w:hideMark/>
          </w:tcPr>
          <w:p w14:paraId="74B0BC5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Gusinje, Danilovgrad, Rožaje, Petnjica, Andrijevica</w:t>
            </w:r>
          </w:p>
        </w:tc>
        <w:tc>
          <w:tcPr>
            <w:tcW w:w="1350" w:type="dxa"/>
            <w:hideMark/>
          </w:tcPr>
          <w:p w14:paraId="3B36EA51"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c>
          <w:tcPr>
            <w:tcW w:w="4896" w:type="dxa"/>
            <w:hideMark/>
          </w:tcPr>
          <w:p w14:paraId="44C7F79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 koriste protivpožarnu pjenu</w:t>
            </w:r>
          </w:p>
        </w:tc>
      </w:tr>
    </w:tbl>
    <w:p w14:paraId="55FEFC6A" w14:textId="77777777" w:rsidR="002B20A9" w:rsidRPr="00C86111" w:rsidRDefault="002B20A9" w:rsidP="002B20A9">
      <w:pPr>
        <w:jc w:val="both"/>
        <w:rPr>
          <w:rFonts w:ascii="Cambria" w:hAnsi="Cambria"/>
          <w:color w:val="auto"/>
        </w:rPr>
      </w:pPr>
    </w:p>
    <w:p w14:paraId="3226633F" w14:textId="4CCD5A19"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Tabela </w:t>
      </w:r>
      <w:r w:rsidR="00632BFA" w:rsidRPr="00C86111">
        <w:rPr>
          <w:rFonts w:asciiTheme="minorHAnsi" w:eastAsia="Times New Roman" w:hAnsiTheme="minorHAnsi" w:cstheme="minorHAnsi"/>
          <w:color w:val="auto"/>
          <w:lang w:eastAsia="en-GB"/>
        </w:rPr>
        <w:t>70</w:t>
      </w:r>
      <w:r w:rsidRPr="00C86111">
        <w:rPr>
          <w:rFonts w:asciiTheme="minorHAnsi" w:eastAsia="Times New Roman" w:hAnsiTheme="minorHAnsi" w:cstheme="minorHAnsi"/>
          <w:color w:val="auto"/>
          <w:lang w:eastAsia="en-GB"/>
        </w:rPr>
        <w:t xml:space="preserve"> daje pregled prisustva PFOS-a utvrđenog u protivpožarnim pjenama koje koriste specijalizovane vatrogasne službe, uključujući one koje djeluju u lučkim objektima, aerodromskim službama za vanredne situacije i industrijskim sistemima zaštite od požara.</w:t>
      </w:r>
    </w:p>
    <w:p w14:paraId="05BA4194" w14:textId="77777777" w:rsidR="002B20A9" w:rsidRPr="00C86111" w:rsidRDefault="002B20A9" w:rsidP="002B20A9">
      <w:pPr>
        <w:jc w:val="both"/>
        <w:rPr>
          <w:rFonts w:asciiTheme="minorHAnsi" w:eastAsia="Times New Roman" w:hAnsiTheme="minorHAnsi" w:cstheme="minorHAnsi"/>
          <w:color w:val="auto"/>
          <w:lang w:eastAsia="en-GB"/>
        </w:rPr>
      </w:pPr>
    </w:p>
    <w:p w14:paraId="55728E80" w14:textId="2CDE4884"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b/>
          <w:bCs/>
          <w:color w:val="auto"/>
          <w:lang w:eastAsia="en-GB"/>
        </w:rPr>
        <w:t xml:space="preserve">Tabela </w:t>
      </w:r>
      <w:r w:rsidR="00632BFA" w:rsidRPr="00C86111">
        <w:rPr>
          <w:rFonts w:asciiTheme="minorHAnsi" w:eastAsia="Times New Roman" w:hAnsiTheme="minorHAnsi" w:cstheme="minorHAnsi"/>
          <w:b/>
          <w:bCs/>
          <w:color w:val="auto"/>
          <w:lang w:eastAsia="en-GB"/>
        </w:rPr>
        <w:t>70</w:t>
      </w:r>
      <w:r w:rsidRPr="00C86111">
        <w:rPr>
          <w:rFonts w:asciiTheme="minorHAnsi" w:eastAsia="Times New Roman" w:hAnsiTheme="minorHAnsi" w:cstheme="minorHAnsi"/>
          <w:b/>
          <w:bCs/>
          <w:color w:val="auto"/>
          <w:lang w:eastAsia="en-GB"/>
        </w:rPr>
        <w:t>:</w:t>
      </w:r>
      <w:r w:rsidRPr="00C86111">
        <w:rPr>
          <w:rFonts w:asciiTheme="minorHAnsi" w:eastAsia="Times New Roman" w:hAnsiTheme="minorHAnsi" w:cstheme="minorHAnsi"/>
          <w:color w:val="auto"/>
          <w:lang w:eastAsia="en-GB"/>
        </w:rPr>
        <w:t xml:space="preserve"> Rezultati prisustva PFOS-a u protivpožarnim pjenama specijalizovanih vatrogasnih službi (Luke, Aerodromi, Industrija).</w:t>
      </w:r>
    </w:p>
    <w:tbl>
      <w:tblPr>
        <w:tblStyle w:val="GridTable5Dark-Accent6"/>
        <w:tblW w:w="0" w:type="auto"/>
        <w:tblLook w:val="04A0" w:firstRow="1" w:lastRow="0" w:firstColumn="1" w:lastColumn="0" w:noHBand="0" w:noVBand="1"/>
      </w:tblPr>
      <w:tblGrid>
        <w:gridCol w:w="2785"/>
        <w:gridCol w:w="1265"/>
        <w:gridCol w:w="4830"/>
      </w:tblGrid>
      <w:tr w:rsidR="002B20A9" w:rsidRPr="00C86111" w14:paraId="77E31319" w14:textId="77777777" w:rsidTr="00C97FE5">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785" w:type="dxa"/>
            <w:hideMark/>
          </w:tcPr>
          <w:p w14:paraId="53DF33D4" w14:textId="77777777" w:rsidR="002B20A9" w:rsidRPr="00C86111" w:rsidRDefault="002B20A9"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Lokacija / Sektor</w:t>
            </w:r>
          </w:p>
        </w:tc>
        <w:tc>
          <w:tcPr>
            <w:tcW w:w="1265" w:type="dxa"/>
            <w:hideMark/>
          </w:tcPr>
          <w:p w14:paraId="34D41ED0"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Prisustvo PFOS-a</w:t>
            </w:r>
          </w:p>
        </w:tc>
        <w:tc>
          <w:tcPr>
            <w:tcW w:w="4830" w:type="dxa"/>
            <w:hideMark/>
          </w:tcPr>
          <w:p w14:paraId="48AEE063"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Napomena</w:t>
            </w:r>
          </w:p>
        </w:tc>
      </w:tr>
      <w:tr w:rsidR="002B20A9" w:rsidRPr="00C86111" w14:paraId="0D01EFE6"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Merge w:val="restart"/>
            <w:hideMark/>
          </w:tcPr>
          <w:p w14:paraId="5D609DD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Aerodrom Tivat </w:t>
            </w:r>
          </w:p>
        </w:tc>
        <w:tc>
          <w:tcPr>
            <w:tcW w:w="1265" w:type="dxa"/>
            <w:hideMark/>
          </w:tcPr>
          <w:p w14:paraId="5E933EF4"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4830" w:type="dxa"/>
            <w:hideMark/>
          </w:tcPr>
          <w:p w14:paraId="51E30349"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prelazi propisano regulatorno ograničenje</w:t>
            </w:r>
          </w:p>
        </w:tc>
      </w:tr>
      <w:tr w:rsidR="002B20A9" w:rsidRPr="00C86111" w14:paraId="7FEC848A" w14:textId="77777777" w:rsidTr="00C97FE5">
        <w:tc>
          <w:tcPr>
            <w:cnfStyle w:val="001000000000" w:firstRow="0" w:lastRow="0" w:firstColumn="1" w:lastColumn="0" w:oddVBand="0" w:evenVBand="0" w:oddHBand="0" w:evenHBand="0" w:firstRowFirstColumn="0" w:firstRowLastColumn="0" w:lastRowFirstColumn="0" w:lastRowLastColumn="0"/>
            <w:tcW w:w="2785" w:type="dxa"/>
            <w:vMerge/>
          </w:tcPr>
          <w:p w14:paraId="1E5CFF02" w14:textId="77777777" w:rsidR="002B20A9" w:rsidRPr="00C86111" w:rsidRDefault="002B20A9" w:rsidP="00BC765B">
            <w:pPr>
              <w:jc w:val="both"/>
              <w:rPr>
                <w:rFonts w:asciiTheme="minorHAnsi" w:hAnsiTheme="minorHAnsi" w:cstheme="minorHAnsi"/>
                <w:b w:val="0"/>
                <w:bCs w:val="0"/>
                <w:color w:val="auto"/>
                <w:sz w:val="20"/>
                <w:szCs w:val="20"/>
              </w:rPr>
            </w:pPr>
          </w:p>
        </w:tc>
        <w:tc>
          <w:tcPr>
            <w:tcW w:w="1265" w:type="dxa"/>
          </w:tcPr>
          <w:p w14:paraId="70AFA8E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30" w:type="dxa"/>
          </w:tcPr>
          <w:p w14:paraId="1DEF49B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0F8FC6BC"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Merge w:val="restart"/>
            <w:hideMark/>
          </w:tcPr>
          <w:p w14:paraId="2FA59AC5"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Aerodrom Podgorica</w:t>
            </w:r>
          </w:p>
        </w:tc>
        <w:tc>
          <w:tcPr>
            <w:tcW w:w="1265" w:type="dxa"/>
            <w:hideMark/>
          </w:tcPr>
          <w:p w14:paraId="7F2F3C1F"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4830" w:type="dxa"/>
            <w:hideMark/>
          </w:tcPr>
          <w:p w14:paraId="5222792E"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36DAFE46" w14:textId="77777777" w:rsidTr="00C97FE5">
        <w:tc>
          <w:tcPr>
            <w:cnfStyle w:val="001000000000" w:firstRow="0" w:lastRow="0" w:firstColumn="1" w:lastColumn="0" w:oddVBand="0" w:evenVBand="0" w:oddHBand="0" w:evenHBand="0" w:firstRowFirstColumn="0" w:firstRowLastColumn="0" w:lastRowFirstColumn="0" w:lastRowLastColumn="0"/>
            <w:tcW w:w="2785" w:type="dxa"/>
            <w:vMerge/>
          </w:tcPr>
          <w:p w14:paraId="19C7D8CA" w14:textId="77777777" w:rsidR="002B20A9" w:rsidRPr="00C86111" w:rsidRDefault="002B20A9" w:rsidP="00BC765B">
            <w:pPr>
              <w:jc w:val="both"/>
              <w:rPr>
                <w:rFonts w:asciiTheme="minorHAnsi" w:hAnsiTheme="minorHAnsi" w:cstheme="minorHAnsi"/>
                <w:b w:val="0"/>
                <w:bCs w:val="0"/>
                <w:color w:val="auto"/>
                <w:sz w:val="20"/>
                <w:szCs w:val="20"/>
              </w:rPr>
            </w:pPr>
          </w:p>
        </w:tc>
        <w:tc>
          <w:tcPr>
            <w:tcW w:w="1265" w:type="dxa"/>
          </w:tcPr>
          <w:p w14:paraId="22D48398"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30" w:type="dxa"/>
          </w:tcPr>
          <w:p w14:paraId="4DC9194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52D47458"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hideMark/>
          </w:tcPr>
          <w:p w14:paraId="0A59A29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Jugopetrol (Bar)</w:t>
            </w:r>
          </w:p>
        </w:tc>
        <w:tc>
          <w:tcPr>
            <w:tcW w:w="1265" w:type="dxa"/>
            <w:hideMark/>
          </w:tcPr>
          <w:p w14:paraId="2BBF488F"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4830" w:type="dxa"/>
            <w:hideMark/>
          </w:tcPr>
          <w:p w14:paraId="644F5749"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5BAB549B" w14:textId="77777777" w:rsidTr="00C97FE5">
        <w:tc>
          <w:tcPr>
            <w:cnfStyle w:val="001000000000" w:firstRow="0" w:lastRow="0" w:firstColumn="1" w:lastColumn="0" w:oddVBand="0" w:evenVBand="0" w:oddHBand="0" w:evenHBand="0" w:firstRowFirstColumn="0" w:firstRowLastColumn="0" w:lastRowFirstColumn="0" w:lastRowLastColumn="0"/>
            <w:tcW w:w="2785" w:type="dxa"/>
            <w:hideMark/>
          </w:tcPr>
          <w:p w14:paraId="3B80323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Luka Bar</w:t>
            </w:r>
          </w:p>
        </w:tc>
        <w:tc>
          <w:tcPr>
            <w:tcW w:w="1265" w:type="dxa"/>
            <w:hideMark/>
          </w:tcPr>
          <w:p w14:paraId="4013C83E"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30" w:type="dxa"/>
            <w:hideMark/>
          </w:tcPr>
          <w:p w14:paraId="51F5BEF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24B3AADA"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hideMark/>
          </w:tcPr>
          <w:p w14:paraId="56D9A077"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Luštica Bay Marina</w:t>
            </w:r>
          </w:p>
        </w:tc>
        <w:tc>
          <w:tcPr>
            <w:tcW w:w="1265" w:type="dxa"/>
            <w:hideMark/>
          </w:tcPr>
          <w:p w14:paraId="75EDCD1E"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30" w:type="dxa"/>
            <w:hideMark/>
          </w:tcPr>
          <w:p w14:paraId="3EE2FA93"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r w:rsidR="002B20A9" w:rsidRPr="00C86111" w14:paraId="54895CFD" w14:textId="77777777" w:rsidTr="00C97FE5">
        <w:tc>
          <w:tcPr>
            <w:cnfStyle w:val="001000000000" w:firstRow="0" w:lastRow="0" w:firstColumn="1" w:lastColumn="0" w:oddVBand="0" w:evenVBand="0" w:oddHBand="0" w:evenHBand="0" w:firstRowFirstColumn="0" w:firstRowLastColumn="0" w:lastRowFirstColumn="0" w:lastRowLastColumn="0"/>
            <w:tcW w:w="2785" w:type="dxa"/>
            <w:hideMark/>
          </w:tcPr>
          <w:p w14:paraId="1BAE31AF"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Monteput (Autoput + Tunel)</w:t>
            </w:r>
          </w:p>
        </w:tc>
        <w:tc>
          <w:tcPr>
            <w:tcW w:w="1265" w:type="dxa"/>
            <w:hideMark/>
          </w:tcPr>
          <w:p w14:paraId="04B4BACE"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4830" w:type="dxa"/>
            <w:hideMark/>
          </w:tcPr>
          <w:p w14:paraId="246F151A"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PFOS-a unutar propisanog regulatornog ograničenja</w:t>
            </w:r>
          </w:p>
        </w:tc>
      </w:tr>
    </w:tbl>
    <w:p w14:paraId="34C127E2" w14:textId="77777777" w:rsidR="002B20A9" w:rsidRPr="00C86111" w:rsidRDefault="002B20A9" w:rsidP="002B20A9">
      <w:pPr>
        <w:jc w:val="both"/>
        <w:rPr>
          <w:rFonts w:ascii="Cambria" w:hAnsi="Cambria"/>
          <w:color w:val="auto"/>
        </w:rPr>
      </w:pPr>
    </w:p>
    <w:p w14:paraId="07225C1C" w14:textId="5AC2EC3B"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Pregled ukupnog broja uzoraka protivpožarnih pjena koji su bili predmet hemijske analize, zajedno sa uzorcima u kojima je potvrđeno prisustvo PFOS-a, prikazan je u tabeli </w:t>
      </w:r>
      <w:r w:rsidR="00632BFA" w:rsidRPr="00C86111">
        <w:rPr>
          <w:rFonts w:asciiTheme="minorHAnsi" w:hAnsiTheme="minorHAnsi" w:cstheme="minorHAnsi"/>
          <w:color w:val="auto"/>
        </w:rPr>
        <w:t>71</w:t>
      </w:r>
      <w:r w:rsidRPr="00C86111">
        <w:rPr>
          <w:rFonts w:asciiTheme="minorHAnsi" w:hAnsiTheme="minorHAnsi" w:cstheme="minorHAnsi"/>
          <w:color w:val="auto"/>
        </w:rPr>
        <w:t>.</w:t>
      </w:r>
    </w:p>
    <w:p w14:paraId="4C34450F" w14:textId="77777777" w:rsidR="002B20A9" w:rsidRDefault="002B20A9" w:rsidP="002B20A9">
      <w:pPr>
        <w:jc w:val="both"/>
        <w:rPr>
          <w:rFonts w:asciiTheme="minorHAnsi" w:hAnsiTheme="minorHAnsi" w:cstheme="minorHAnsi"/>
          <w:color w:val="auto"/>
        </w:rPr>
      </w:pPr>
    </w:p>
    <w:p w14:paraId="1A619E51" w14:textId="77777777" w:rsidR="00D966EC" w:rsidRDefault="00D966EC" w:rsidP="002B20A9">
      <w:pPr>
        <w:jc w:val="both"/>
        <w:rPr>
          <w:rFonts w:asciiTheme="minorHAnsi" w:hAnsiTheme="minorHAnsi" w:cstheme="minorHAnsi"/>
          <w:color w:val="auto"/>
        </w:rPr>
      </w:pPr>
    </w:p>
    <w:p w14:paraId="50F0314D" w14:textId="77777777" w:rsidR="00D966EC" w:rsidRDefault="00D966EC" w:rsidP="002B20A9">
      <w:pPr>
        <w:jc w:val="both"/>
        <w:rPr>
          <w:rFonts w:asciiTheme="minorHAnsi" w:hAnsiTheme="minorHAnsi" w:cstheme="minorHAnsi"/>
          <w:color w:val="auto"/>
        </w:rPr>
      </w:pPr>
    </w:p>
    <w:p w14:paraId="00B1566C" w14:textId="77777777" w:rsidR="00D966EC" w:rsidRDefault="00D966EC" w:rsidP="002B20A9">
      <w:pPr>
        <w:jc w:val="both"/>
        <w:rPr>
          <w:rFonts w:asciiTheme="minorHAnsi" w:hAnsiTheme="minorHAnsi" w:cstheme="minorHAnsi"/>
          <w:color w:val="auto"/>
        </w:rPr>
      </w:pPr>
    </w:p>
    <w:p w14:paraId="5DB67144" w14:textId="77777777" w:rsidR="00D966EC" w:rsidRDefault="00D966EC" w:rsidP="002B20A9">
      <w:pPr>
        <w:jc w:val="both"/>
        <w:rPr>
          <w:rFonts w:asciiTheme="minorHAnsi" w:hAnsiTheme="minorHAnsi" w:cstheme="minorHAnsi"/>
          <w:color w:val="auto"/>
        </w:rPr>
      </w:pPr>
    </w:p>
    <w:p w14:paraId="753E9351" w14:textId="77777777" w:rsidR="00D966EC" w:rsidRDefault="00D966EC" w:rsidP="002B20A9">
      <w:pPr>
        <w:jc w:val="both"/>
        <w:rPr>
          <w:rFonts w:asciiTheme="minorHAnsi" w:hAnsiTheme="minorHAnsi" w:cstheme="minorHAnsi"/>
          <w:color w:val="auto"/>
        </w:rPr>
      </w:pPr>
    </w:p>
    <w:p w14:paraId="1CEA4B2F" w14:textId="77777777" w:rsidR="00D966EC" w:rsidRDefault="00D966EC" w:rsidP="002B20A9">
      <w:pPr>
        <w:jc w:val="both"/>
        <w:rPr>
          <w:rFonts w:asciiTheme="minorHAnsi" w:hAnsiTheme="minorHAnsi" w:cstheme="minorHAnsi"/>
          <w:color w:val="auto"/>
        </w:rPr>
      </w:pPr>
    </w:p>
    <w:p w14:paraId="0595F0B4" w14:textId="77777777" w:rsidR="00D966EC" w:rsidRPr="00C86111" w:rsidRDefault="00D966EC" w:rsidP="002B20A9">
      <w:pPr>
        <w:jc w:val="both"/>
        <w:rPr>
          <w:rFonts w:asciiTheme="minorHAnsi" w:hAnsiTheme="minorHAnsi" w:cstheme="minorHAnsi"/>
          <w:color w:val="auto"/>
        </w:rPr>
      </w:pPr>
    </w:p>
    <w:p w14:paraId="0C4A34B5" w14:textId="2394D4C4"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632BFA" w:rsidRPr="00C86111">
        <w:rPr>
          <w:rFonts w:asciiTheme="minorHAnsi" w:hAnsiTheme="minorHAnsi" w:cstheme="minorHAnsi"/>
          <w:b/>
          <w:bCs/>
          <w:color w:val="auto"/>
        </w:rPr>
        <w:t>71</w:t>
      </w:r>
      <w:r w:rsidRPr="00C86111">
        <w:rPr>
          <w:rFonts w:asciiTheme="minorHAnsi" w:hAnsiTheme="minorHAnsi" w:cstheme="minorHAnsi"/>
          <w:b/>
          <w:bCs/>
          <w:color w:val="auto"/>
        </w:rPr>
        <w:t>:</w:t>
      </w:r>
      <w:r w:rsidRPr="00C86111">
        <w:rPr>
          <w:rFonts w:asciiTheme="minorHAnsi" w:hAnsiTheme="minorHAnsi" w:cstheme="minorHAnsi"/>
          <w:color w:val="auto"/>
        </w:rPr>
        <w:t xml:space="preserve"> Pregled broja analiziranih uzoraka i uzoraka sa potvrđenim prisustvom PFOS</w:t>
      </w:r>
    </w:p>
    <w:tbl>
      <w:tblPr>
        <w:tblStyle w:val="GridTable5Dark-Accent6"/>
        <w:tblW w:w="8887" w:type="dxa"/>
        <w:tblLook w:val="04A0" w:firstRow="1" w:lastRow="0" w:firstColumn="1" w:lastColumn="0" w:noHBand="0" w:noVBand="1"/>
      </w:tblPr>
      <w:tblGrid>
        <w:gridCol w:w="4718"/>
        <w:gridCol w:w="4169"/>
      </w:tblGrid>
      <w:tr w:rsidR="002B20A9" w:rsidRPr="00C86111" w14:paraId="77798B66" w14:textId="77777777" w:rsidTr="00C97FE5">
        <w:trPr>
          <w:cnfStyle w:val="100000000000" w:firstRow="1" w:lastRow="0" w:firstColumn="0" w:lastColumn="0" w:oddVBand="0" w:evenVBand="0" w:oddHBand="0"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4718" w:type="dxa"/>
            <w:noWrap/>
            <w:vAlign w:val="center"/>
          </w:tcPr>
          <w:p w14:paraId="1CB9E1C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Analizirani uzorci</w:t>
            </w:r>
          </w:p>
        </w:tc>
        <w:tc>
          <w:tcPr>
            <w:tcW w:w="4169" w:type="dxa"/>
            <w:noWrap/>
            <w:vAlign w:val="center"/>
          </w:tcPr>
          <w:p w14:paraId="22176B3B"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w:t>
            </w:r>
          </w:p>
        </w:tc>
      </w:tr>
      <w:tr w:rsidR="002B20A9" w:rsidRPr="00C86111" w14:paraId="7F983FA8" w14:textId="77777777" w:rsidTr="00C97FE5">
        <w:trPr>
          <w:cnfStyle w:val="000000100000" w:firstRow="0" w:lastRow="0" w:firstColumn="0" w:lastColumn="0" w:oddVBand="0" w:evenVBand="0" w:oddHBand="1" w:evenHBand="0"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4718" w:type="dxa"/>
            <w:noWrap/>
            <w:vAlign w:val="center"/>
          </w:tcPr>
          <w:p w14:paraId="0CE5C783"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Uzorci sa prisustvom PFOS-a</w:t>
            </w:r>
          </w:p>
        </w:tc>
        <w:tc>
          <w:tcPr>
            <w:tcW w:w="4169" w:type="dxa"/>
            <w:noWrap/>
            <w:vAlign w:val="center"/>
          </w:tcPr>
          <w:p w14:paraId="66239F04"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16</w:t>
            </w:r>
          </w:p>
        </w:tc>
      </w:tr>
      <w:tr w:rsidR="002B20A9" w:rsidRPr="00C86111" w14:paraId="1EA7EC49" w14:textId="77777777" w:rsidTr="00C97FE5">
        <w:trPr>
          <w:trHeight w:hRule="exact" w:val="685"/>
        </w:trPr>
        <w:tc>
          <w:tcPr>
            <w:cnfStyle w:val="001000000000" w:firstRow="0" w:lastRow="0" w:firstColumn="1" w:lastColumn="0" w:oddVBand="0" w:evenVBand="0" w:oddHBand="0" w:evenHBand="0" w:firstRowFirstColumn="0" w:firstRowLastColumn="0" w:lastRowFirstColumn="0" w:lastRowLastColumn="0"/>
            <w:tcW w:w="4718" w:type="dxa"/>
            <w:noWrap/>
            <w:vAlign w:val="center"/>
          </w:tcPr>
          <w:p w14:paraId="0ECEFCC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Uzorci koji prelaze propisano regulatorno ograničenje</w:t>
            </w:r>
          </w:p>
        </w:tc>
        <w:tc>
          <w:tcPr>
            <w:tcW w:w="4169" w:type="dxa"/>
            <w:noWrap/>
            <w:vAlign w:val="center"/>
          </w:tcPr>
          <w:p w14:paraId="35C3412B"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r>
    </w:tbl>
    <w:p w14:paraId="145A47F3" w14:textId="48A6277F"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Sadržaj PFOS-a utvrđen u uzorcima protivpožarnih pjena prikupljenim iz različitih vatrogasnih jedinica prikazan je u tabeli </w:t>
      </w:r>
      <w:r w:rsidR="00632BFA" w:rsidRPr="00C86111">
        <w:rPr>
          <w:rFonts w:asciiTheme="minorHAnsi" w:eastAsia="Times New Roman" w:hAnsiTheme="minorHAnsi" w:cstheme="minorHAnsi"/>
          <w:color w:val="auto"/>
          <w:lang w:eastAsia="en-GB"/>
        </w:rPr>
        <w:t>72</w:t>
      </w:r>
      <w:r w:rsidRPr="00C86111">
        <w:rPr>
          <w:rFonts w:asciiTheme="minorHAnsi" w:eastAsia="Times New Roman" w:hAnsiTheme="minorHAnsi" w:cstheme="minorHAnsi"/>
          <w:color w:val="auto"/>
          <w:lang w:eastAsia="en-GB"/>
        </w:rPr>
        <w:t>.</w:t>
      </w:r>
    </w:p>
    <w:p w14:paraId="6686F03E" w14:textId="77777777" w:rsidR="002B20A9" w:rsidRPr="00C86111" w:rsidRDefault="002B20A9" w:rsidP="002B20A9">
      <w:pPr>
        <w:jc w:val="both"/>
        <w:rPr>
          <w:rFonts w:asciiTheme="minorHAnsi" w:eastAsia="Times New Roman" w:hAnsiTheme="minorHAnsi" w:cstheme="minorHAnsi"/>
          <w:color w:val="auto"/>
          <w:lang w:eastAsia="en-GB"/>
        </w:rPr>
      </w:pPr>
    </w:p>
    <w:p w14:paraId="70182679" w14:textId="474B8633"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b/>
          <w:bCs/>
          <w:color w:val="auto"/>
          <w:lang w:eastAsia="en-GB"/>
        </w:rPr>
        <w:t xml:space="preserve">Tabela </w:t>
      </w:r>
      <w:r w:rsidR="00632BFA" w:rsidRPr="00C86111">
        <w:rPr>
          <w:rFonts w:asciiTheme="minorHAnsi" w:eastAsia="Times New Roman" w:hAnsiTheme="minorHAnsi" w:cstheme="minorHAnsi"/>
          <w:b/>
          <w:bCs/>
          <w:color w:val="auto"/>
          <w:lang w:eastAsia="en-GB"/>
        </w:rPr>
        <w:t>72</w:t>
      </w:r>
      <w:r w:rsidRPr="00C86111">
        <w:rPr>
          <w:rFonts w:asciiTheme="minorHAnsi" w:eastAsia="Times New Roman" w:hAnsiTheme="minorHAnsi" w:cstheme="minorHAnsi"/>
          <w:b/>
          <w:bCs/>
          <w:color w:val="auto"/>
          <w:lang w:eastAsia="en-GB"/>
        </w:rPr>
        <w:t>:</w:t>
      </w:r>
      <w:r w:rsidRPr="00C86111">
        <w:rPr>
          <w:rFonts w:asciiTheme="minorHAnsi" w:eastAsia="Times New Roman" w:hAnsiTheme="minorHAnsi" w:cstheme="minorHAnsi"/>
          <w:color w:val="auto"/>
          <w:lang w:eastAsia="en-GB"/>
        </w:rPr>
        <w:t xml:space="preserve"> Sadržaj PFOS-a u protivpožarnim pjenama iz skladišnih objekata i vatrogasnih vozila vatrogasnih jedinica.</w:t>
      </w:r>
    </w:p>
    <w:tbl>
      <w:tblPr>
        <w:tblStyle w:val="GridTable5Dark-Accent6"/>
        <w:tblW w:w="8889" w:type="dxa"/>
        <w:tblLook w:val="04A0" w:firstRow="1" w:lastRow="0" w:firstColumn="1" w:lastColumn="0" w:noHBand="0" w:noVBand="1"/>
      </w:tblPr>
      <w:tblGrid>
        <w:gridCol w:w="3855"/>
        <w:gridCol w:w="2700"/>
        <w:gridCol w:w="2334"/>
      </w:tblGrid>
      <w:tr w:rsidR="002B20A9" w:rsidRPr="00C86111" w14:paraId="187CA28B" w14:textId="77777777" w:rsidTr="00C97FE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55" w:type="dxa"/>
            <w:vAlign w:val="center"/>
          </w:tcPr>
          <w:p w14:paraId="6988E3A5" w14:textId="77777777" w:rsidR="002B20A9" w:rsidRPr="00C86111" w:rsidRDefault="002B20A9" w:rsidP="00E71878">
            <w:pPr>
              <w:jc w:val="center"/>
              <w:rPr>
                <w:rFonts w:asciiTheme="minorHAnsi" w:eastAsia="Times New Roman" w:hAnsiTheme="minorHAnsi" w:cstheme="minorHAnsi"/>
                <w:b w:val="0"/>
                <w:bCs w:val="0"/>
                <w:color w:val="auto"/>
                <w:sz w:val="20"/>
                <w:szCs w:val="20"/>
                <w:lang w:eastAsia="en-GB"/>
              </w:rPr>
            </w:pPr>
            <w:r w:rsidRPr="00C86111">
              <w:rPr>
                <w:rStyle w:val="Strong"/>
                <w:rFonts w:asciiTheme="minorHAnsi" w:hAnsiTheme="minorHAnsi" w:cstheme="minorHAnsi"/>
                <w:b/>
                <w:bCs/>
                <w:color w:val="auto"/>
                <w:sz w:val="20"/>
                <w:szCs w:val="20"/>
              </w:rPr>
              <w:t>Vatrogasna jedinica</w:t>
            </w:r>
          </w:p>
        </w:tc>
        <w:tc>
          <w:tcPr>
            <w:tcW w:w="2700" w:type="dxa"/>
            <w:vAlign w:val="center"/>
            <w:hideMark/>
          </w:tcPr>
          <w:p w14:paraId="43921C2A"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0"/>
                <w:szCs w:val="20"/>
                <w:lang w:eastAsia="en-GB"/>
              </w:rPr>
            </w:pPr>
            <w:r w:rsidRPr="00C86111">
              <w:rPr>
                <w:rStyle w:val="Strong"/>
                <w:rFonts w:asciiTheme="minorHAnsi" w:hAnsiTheme="minorHAnsi" w:cstheme="minorHAnsi"/>
                <w:b/>
                <w:bCs/>
                <w:color w:val="auto"/>
                <w:sz w:val="20"/>
                <w:szCs w:val="20"/>
              </w:rPr>
              <w:t>Ukupna količina (L) protivpožarne pjene</w:t>
            </w:r>
          </w:p>
        </w:tc>
        <w:tc>
          <w:tcPr>
            <w:tcW w:w="2334" w:type="dxa"/>
            <w:vAlign w:val="center"/>
            <w:hideMark/>
          </w:tcPr>
          <w:p w14:paraId="574F4E53"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0"/>
                <w:szCs w:val="20"/>
                <w:lang w:eastAsia="en-GB"/>
              </w:rPr>
            </w:pPr>
            <w:r w:rsidRPr="00C86111">
              <w:rPr>
                <w:rStyle w:val="Strong"/>
                <w:rFonts w:asciiTheme="minorHAnsi" w:hAnsiTheme="minorHAnsi" w:cstheme="minorHAnsi"/>
                <w:b/>
                <w:bCs/>
                <w:color w:val="auto"/>
                <w:sz w:val="20"/>
                <w:szCs w:val="20"/>
              </w:rPr>
              <w:t>Količina PFOS-a (g)</w:t>
            </w:r>
          </w:p>
        </w:tc>
      </w:tr>
      <w:tr w:rsidR="002B20A9" w:rsidRPr="00C86111" w14:paraId="728EC51C" w14:textId="77777777" w:rsidTr="00C97FE5">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855" w:type="dxa"/>
            <w:vAlign w:val="center"/>
          </w:tcPr>
          <w:p w14:paraId="0074608D" w14:textId="77777777" w:rsidR="002B20A9" w:rsidRPr="00C86111" w:rsidRDefault="002B20A9" w:rsidP="00E71878">
            <w:pPr>
              <w:jc w:val="center"/>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Opštinske službe zaštite i spašavanja</w:t>
            </w:r>
          </w:p>
        </w:tc>
        <w:tc>
          <w:tcPr>
            <w:tcW w:w="2700" w:type="dxa"/>
            <w:noWrap/>
            <w:vAlign w:val="center"/>
          </w:tcPr>
          <w:p w14:paraId="0BA8C197"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8560</w:t>
            </w:r>
          </w:p>
        </w:tc>
        <w:tc>
          <w:tcPr>
            <w:tcW w:w="2334" w:type="dxa"/>
            <w:noWrap/>
            <w:vAlign w:val="center"/>
          </w:tcPr>
          <w:p w14:paraId="64177274"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67</w:t>
            </w:r>
          </w:p>
        </w:tc>
      </w:tr>
      <w:tr w:rsidR="002B20A9" w:rsidRPr="00C86111" w14:paraId="54258389" w14:textId="77777777" w:rsidTr="00C97FE5">
        <w:trPr>
          <w:trHeight w:val="465"/>
        </w:trPr>
        <w:tc>
          <w:tcPr>
            <w:cnfStyle w:val="001000000000" w:firstRow="0" w:lastRow="0" w:firstColumn="1" w:lastColumn="0" w:oddVBand="0" w:evenVBand="0" w:oddHBand="0" w:evenHBand="0" w:firstRowFirstColumn="0" w:firstRowLastColumn="0" w:lastRowFirstColumn="0" w:lastRowLastColumn="0"/>
            <w:tcW w:w="3855" w:type="dxa"/>
            <w:vAlign w:val="center"/>
          </w:tcPr>
          <w:p w14:paraId="6A2CBA28" w14:textId="77777777" w:rsidR="002B20A9" w:rsidRPr="00C86111" w:rsidRDefault="002B20A9" w:rsidP="00E71878">
            <w:pPr>
              <w:jc w:val="center"/>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Ostali subjekti</w:t>
            </w:r>
          </w:p>
        </w:tc>
        <w:tc>
          <w:tcPr>
            <w:tcW w:w="2700" w:type="dxa"/>
            <w:noWrap/>
            <w:vAlign w:val="center"/>
          </w:tcPr>
          <w:p w14:paraId="50EE7B74"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21150</w:t>
            </w:r>
          </w:p>
        </w:tc>
        <w:tc>
          <w:tcPr>
            <w:tcW w:w="2334" w:type="dxa"/>
            <w:noWrap/>
            <w:vAlign w:val="center"/>
          </w:tcPr>
          <w:p w14:paraId="6802F2B2"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231</w:t>
            </w:r>
          </w:p>
        </w:tc>
      </w:tr>
      <w:tr w:rsidR="002B20A9" w:rsidRPr="00C86111" w14:paraId="5F5EBEBD" w14:textId="77777777" w:rsidTr="00C97FE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855" w:type="dxa"/>
            <w:vAlign w:val="center"/>
          </w:tcPr>
          <w:p w14:paraId="3E33F5B0" w14:textId="77777777" w:rsidR="002B20A9" w:rsidRPr="00C86111" w:rsidRDefault="002B20A9" w:rsidP="00E71878">
            <w:pPr>
              <w:jc w:val="center"/>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Total</w:t>
            </w:r>
          </w:p>
        </w:tc>
        <w:tc>
          <w:tcPr>
            <w:tcW w:w="2700" w:type="dxa"/>
            <w:noWrap/>
            <w:vAlign w:val="center"/>
          </w:tcPr>
          <w:p w14:paraId="6A652F63"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29710</w:t>
            </w:r>
          </w:p>
        </w:tc>
        <w:tc>
          <w:tcPr>
            <w:tcW w:w="2334" w:type="dxa"/>
            <w:noWrap/>
            <w:vAlign w:val="center"/>
          </w:tcPr>
          <w:p w14:paraId="46D7C99F"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298</w:t>
            </w:r>
          </w:p>
        </w:tc>
      </w:tr>
    </w:tbl>
    <w:p w14:paraId="5CF911F8" w14:textId="77777777" w:rsidR="002B20A9" w:rsidRPr="00C86111" w:rsidRDefault="002B20A9" w:rsidP="00004F34">
      <w:pPr>
        <w:pStyle w:val="Heading1"/>
        <w:numPr>
          <w:ilvl w:val="1"/>
          <w:numId w:val="238"/>
        </w:numPr>
        <w:rPr>
          <w:lang w:eastAsia="en-GB"/>
        </w:rPr>
      </w:pPr>
      <w:bookmarkStart w:id="315" w:name="_Toc220541939"/>
      <w:bookmarkEnd w:id="313"/>
      <w:r w:rsidRPr="00C86111">
        <w:rPr>
          <w:lang w:eastAsia="en-GB"/>
        </w:rPr>
        <w:t>Zaključak – PFOS u protivpožarnim pjenama</w:t>
      </w:r>
      <w:bookmarkEnd w:id="315"/>
    </w:p>
    <w:p w14:paraId="5A332CA9" w14:textId="77777777" w:rsidR="002B20A9" w:rsidRPr="00C86111" w:rsidRDefault="002B20A9" w:rsidP="002B20A9">
      <w:pPr>
        <w:jc w:val="both"/>
        <w:rPr>
          <w:rFonts w:asciiTheme="minorHAnsi" w:eastAsia="Times New Roman" w:hAnsiTheme="minorHAnsi" w:cstheme="minorHAnsi"/>
          <w:i/>
          <w:iCs/>
          <w:color w:val="002060"/>
          <w:lang w:eastAsia="en-GB"/>
        </w:rPr>
      </w:pPr>
    </w:p>
    <w:p w14:paraId="784539DD"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Sprovedena inventarizacija i analitička procjena protivpožarnih pjena u Crnoj Gori, koja je obuhvatila opštinske službe zaštite i spašavanja, kao i specijalizovane vatrogasne jedinice (aerodrome, luke, industrijske objekte), potvrdila je prisustvo perfluorooktanske sulfonatne kiseline (PFOS) u značajnom procentu analiziranih uzoraka. Od ukupno 41 uzorka protivpožarne pjene podvrgnutog hemijskoj analizi, u 16 uzoraka je potvrđeno prisustvo PFOS-a, dok su u tri uzorka zabilježena prekoračenja zakonom propisanih regulatornih ograničenja.</w:t>
      </w:r>
    </w:p>
    <w:p w14:paraId="12C9D7C3"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Ukupna količina PFOS-a otkrivena u svim protivpožarnim pjenama, koje se nalaze u skladištima i vatrogasnim vozilima, iznosi približno 298 grama, raspoređenih na 29710 litara protivpožarne pjene. Opštinske službe zaštite i spašavanja učestvuju sa oko 67 grama PFOS-a, dok specijalizovane vatrogasne službe (aerodromi, luke, industrijski subjekti) imaju znatno veće opterećenje od 231 gram.</w:t>
      </w:r>
    </w:p>
    <w:p w14:paraId="64670CB5"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Iako je većina otkrivenih koncentracija PFOS-a ostala unutar propisanih regulatornih granica, prekoračenja su registrovana u pojedinim vatrogasnim jedinicama, naročito na području Tivta (opštinska i aerodromska služba zaštite). Ovi nalazi su posebno zabrinjavajući s obzirom na perzistentnost, bioakumulativnu prirodu i poznate štetne efekte PFOS-a na zdravlje ljudi i životnu sredinu. Prisustvo PFOS-a u protivpožarnim pjenama kojima je istekao rok upotrebe, kao i u starijim formulacijama fluorisanih pjena, dodatno naglašava potrebu za hitnim i sistematskim mjerama postupnog ukidanja njihove upotrebe.</w:t>
      </w:r>
    </w:p>
    <w:p w14:paraId="605F76C9"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S obzirom na to da je 8725 litara protivpožarne pjene u opštinskim službama sa isteklim rokom trajanja, postoji potencijalni rizik od neadekvatnog skladištenja i mogućeg propuštanja PFOS-a u </w:t>
      </w:r>
      <w:r w:rsidRPr="00C86111">
        <w:rPr>
          <w:rFonts w:asciiTheme="minorHAnsi" w:eastAsia="Times New Roman" w:hAnsiTheme="minorHAnsi" w:cstheme="minorHAnsi"/>
          <w:color w:val="auto"/>
          <w:lang w:eastAsia="en-GB"/>
        </w:rPr>
        <w:lastRenderedPageBreak/>
        <w:t>životnu sredinu. Neophodno je razviti plan za pravilno odlaganje ovih pjena u skladu sa Zakonom o upravljanju otpadom („Službeni list Crne Gore“, br. 034/24, 092/24) i Pravilnikom o listi POPs supstanci, načinu i postupku upravljanja otpadom koji sadrži POPs supstance, te graničnim vrijednostima koncentracija POPs supstanci koje se odnose na obradu i odlaganje otpada koji sadrži ili je kontaminiran POPs supstancama („Službeni list Crne Gore“, br. 098/24).</w:t>
      </w:r>
    </w:p>
    <w:p w14:paraId="495CE099"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Regulatorni okvir u Crnoj Gori, usklađen s propisima Evropske unije na osnovu Uredbe (EU) 2019/1021 i njenih kasnijih izmjena, izričito ograničava proizvodnju, upotrebu i stavljanje na tržište protivpožarnih pjena koje sadrže PFOS. Dobijeni rezultati potvrđuju da, uprkos postojećim zakonskim ograničenjima, rezidualne zalihe pjena koje sadrže PFOS još uvijek postoje u sistemima za reagovanje u vanrednim situacijama. Ova situacija predstavlja dvostruki rizik:</w:t>
      </w:r>
    </w:p>
    <w:p w14:paraId="0B2136C9"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 moguće direktno ispuštanje PFOS-a u životnu sredinu tokom intervencija i vježbi gašenja požara, te</w:t>
      </w:r>
    </w:p>
    <w:p w14:paraId="143F7166"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(ii) dugoročni rizik od kontaminacije usljed neadekvatnog skladištenja i odlaganja zastarjelih pjena.</w:t>
      </w:r>
    </w:p>
    <w:p w14:paraId="26BF9A47"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 tim u vezi, nalazi ukazuju na potrebu sprovođenja ciljanih mjera upravljanja, koje uključuju:</w:t>
      </w:r>
      <w:r w:rsidRPr="00C86111">
        <w:rPr>
          <w:rFonts w:asciiTheme="minorHAnsi" w:eastAsia="Times New Roman" w:hAnsiTheme="minorHAnsi" w:cstheme="minorHAnsi"/>
          <w:color w:val="auto"/>
          <w:lang w:eastAsia="en-GB"/>
        </w:rPr>
        <w:br/>
        <w:t>• potpuno povlačenje i bezbjedno odlaganje pjena koje prelaze propisane granice PFOS</w:t>
      </w:r>
    </w:p>
    <w:p w14:paraId="1F8E6884"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zamjenu starih formulacija pjena koje sadrže PFOS fluorofree (bez fluorida) alternativama dostupnim na tržištu;</w:t>
      </w:r>
    </w:p>
    <w:p w14:paraId="354C57CF"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kontinuirano praćenje i hemijsku analizu zaliha protivpožarnih pjena radi obezbjeđenja usklađenosti sa međunarodnim i nacionalnim propisima;</w:t>
      </w:r>
    </w:p>
    <w:p w14:paraId="4CD18175"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jačanje svijesti kod vatrogasnih službi i industrijskih subjekata o pravnim i ekološkim obavezama koje se odnose na upotrebu PFOS-a;</w:t>
      </w:r>
    </w:p>
    <w:p w14:paraId="1C603681"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razvoj ekološki prihvatljivih metoda upravljanja otpadom koji sadrži POPs supstance, u skladu sa obavezama iz Stokholmske konvencije.</w:t>
      </w:r>
    </w:p>
    <w:p w14:paraId="65E64064" w14:textId="643FE10F" w:rsidR="002B20A9" w:rsidRPr="00C86111" w:rsidRDefault="002B20A9" w:rsidP="002B20A9">
      <w:pPr>
        <w:jc w:val="both"/>
        <w:rPr>
          <w:rFonts w:asciiTheme="minorHAnsi" w:hAnsiTheme="minorHAnsi" w:cstheme="minorHAnsi"/>
          <w:iCs/>
          <w:color w:val="auto"/>
        </w:rPr>
      </w:pPr>
      <w:r w:rsidRPr="00C86111">
        <w:rPr>
          <w:rFonts w:asciiTheme="minorHAnsi" w:eastAsia="Times New Roman" w:hAnsiTheme="minorHAnsi" w:cstheme="minorHAnsi"/>
          <w:color w:val="auto"/>
          <w:lang w:eastAsia="en-GB"/>
        </w:rPr>
        <w:t>U zaključku, iako su ukupne količine PFOS-a identifikovane u protivpožarnim pjenama u Crnoj Gori relativno umjerene u apsolutnim vrijednostima, njihova perzistentnost i visok rizik po zdravlje ljudi i životnu sredinu zahtijevaju prioritetno i koordinisano djelovanje</w:t>
      </w:r>
      <w:r w:rsidRPr="00C86111">
        <w:rPr>
          <w:rFonts w:asciiTheme="minorHAnsi" w:eastAsia="Times New Roman" w:hAnsiTheme="minorHAnsi" w:cstheme="minorHAnsi"/>
          <w:b/>
          <w:bCs/>
          <w:color w:val="auto"/>
          <w:lang w:eastAsia="en-GB"/>
        </w:rPr>
        <w:t xml:space="preserve">. </w:t>
      </w:r>
      <w:r w:rsidRPr="00C86111">
        <w:rPr>
          <w:rFonts w:asciiTheme="minorHAnsi" w:eastAsia="Times New Roman" w:hAnsiTheme="minorHAnsi" w:cstheme="minorHAnsi"/>
          <w:color w:val="auto"/>
          <w:lang w:eastAsia="en-GB"/>
        </w:rPr>
        <w:t>Saradnja između nadležnih regulatornih organa, vatrogasnih jedinica i industrijskih operatera od suštinskog je značaja za potpuno usklađivanje sa okvirom EU o postojanim organskim zagađujućim materijama (POPs), zaštitu životne sredine i javnog zdravlja, te postizanje potpunog eliminisanja PFOS-a iz prakse gašenja požara u Crnoj Gori.</w:t>
      </w:r>
    </w:p>
    <w:p w14:paraId="4D412800" w14:textId="77777777" w:rsidR="002B20A9" w:rsidRPr="00C86111" w:rsidRDefault="002B20A9" w:rsidP="00004F34">
      <w:pPr>
        <w:pStyle w:val="Heading1"/>
        <w:numPr>
          <w:ilvl w:val="1"/>
          <w:numId w:val="238"/>
        </w:numPr>
      </w:pPr>
      <w:bookmarkStart w:id="316" w:name="_Toc210632497"/>
      <w:bookmarkStart w:id="317" w:name="_Toc220541940"/>
      <w:r w:rsidRPr="00C86111">
        <w:t>Rezultati inventara PFOS, njegovih soli i PFOSF</w:t>
      </w:r>
      <w:bookmarkEnd w:id="316"/>
      <w:r w:rsidRPr="00C86111">
        <w:t xml:space="preserve"> </w:t>
      </w:r>
      <w:bookmarkStart w:id="318" w:name="_Toc210632498"/>
      <w:r w:rsidRPr="00C86111">
        <w:t>u proizvodima na potrošačkom tržištu</w:t>
      </w:r>
      <w:bookmarkEnd w:id="317"/>
      <w:bookmarkEnd w:id="318"/>
    </w:p>
    <w:p w14:paraId="57A86283" w14:textId="77777777" w:rsidR="002B20A9" w:rsidRPr="00C86111" w:rsidRDefault="002B20A9" w:rsidP="002B20A9">
      <w:pPr>
        <w:jc w:val="both"/>
        <w:rPr>
          <w:rFonts w:ascii="Cambria" w:eastAsia="SimSun" w:hAnsi="Cambria" w:cs="Times New Roman"/>
          <w:color w:val="auto"/>
        </w:rPr>
      </w:pPr>
    </w:p>
    <w:p w14:paraId="71D8259C"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Na osnovu podataka dobijenih od Uprave Carina Crne Gore urađen je inventar prisustva PFOS-a, njegovih soli i PFOSF-a u impregniranim odjevnim predmetima, tekstilu, impregniranom papiru i sintetičkim tepisima. Podatke o uvozu ovih proizvoda dostavila je Uprava Carina po tarifnim brojevima za period 2017-2023 godina.</w:t>
      </w:r>
    </w:p>
    <w:p w14:paraId="6ECAEEC6" w14:textId="1F1AAC62"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U tabelama </w:t>
      </w:r>
      <w:r w:rsidR="00632BFA" w:rsidRPr="00C86111">
        <w:rPr>
          <w:rFonts w:asciiTheme="minorHAnsi" w:hAnsiTheme="minorHAnsi" w:cstheme="minorHAnsi"/>
          <w:color w:val="auto"/>
        </w:rPr>
        <w:t>73</w:t>
      </w:r>
      <w:r w:rsidRPr="00C86111">
        <w:rPr>
          <w:rFonts w:asciiTheme="minorHAnsi" w:hAnsiTheme="minorHAnsi" w:cstheme="minorHAnsi"/>
          <w:color w:val="auto"/>
        </w:rPr>
        <w:t>-7</w:t>
      </w:r>
      <w:r w:rsidR="00632BFA" w:rsidRPr="00C86111">
        <w:rPr>
          <w:rFonts w:asciiTheme="minorHAnsi" w:hAnsiTheme="minorHAnsi" w:cstheme="minorHAnsi"/>
          <w:color w:val="auto"/>
        </w:rPr>
        <w:t>6</w:t>
      </w:r>
      <w:r w:rsidRPr="00C86111">
        <w:rPr>
          <w:rFonts w:asciiTheme="minorHAnsi" w:hAnsiTheme="minorHAnsi" w:cstheme="minorHAnsi"/>
          <w:color w:val="auto"/>
        </w:rPr>
        <w:t xml:space="preserve"> i na graficima </w:t>
      </w:r>
      <w:r w:rsidR="00632BFA" w:rsidRPr="00C86111">
        <w:rPr>
          <w:rFonts w:asciiTheme="minorHAnsi" w:hAnsiTheme="minorHAnsi" w:cstheme="minorHAnsi"/>
          <w:color w:val="auto"/>
        </w:rPr>
        <w:t>3</w:t>
      </w:r>
      <w:r w:rsidR="00547278">
        <w:rPr>
          <w:rFonts w:asciiTheme="minorHAnsi" w:hAnsiTheme="minorHAnsi" w:cstheme="minorHAnsi"/>
          <w:color w:val="auto"/>
        </w:rPr>
        <w:t>2</w:t>
      </w:r>
      <w:r w:rsidRPr="00C86111">
        <w:rPr>
          <w:rFonts w:asciiTheme="minorHAnsi" w:hAnsiTheme="minorHAnsi" w:cstheme="minorHAnsi"/>
          <w:color w:val="auto"/>
        </w:rPr>
        <w:t>-</w:t>
      </w:r>
      <w:r w:rsidR="00632BFA" w:rsidRPr="00C86111">
        <w:rPr>
          <w:rFonts w:asciiTheme="minorHAnsi" w:hAnsiTheme="minorHAnsi" w:cstheme="minorHAnsi"/>
          <w:color w:val="auto"/>
        </w:rPr>
        <w:t>3</w:t>
      </w:r>
      <w:r w:rsidR="00547278">
        <w:rPr>
          <w:rFonts w:asciiTheme="minorHAnsi" w:hAnsiTheme="minorHAnsi" w:cstheme="minorHAnsi"/>
          <w:color w:val="auto"/>
        </w:rPr>
        <w:t>3</w:t>
      </w:r>
      <w:r w:rsidRPr="00C86111">
        <w:rPr>
          <w:rFonts w:asciiTheme="minorHAnsi" w:hAnsiTheme="minorHAnsi" w:cstheme="minorHAnsi"/>
          <w:color w:val="auto"/>
        </w:rPr>
        <w:t>, dat je pregled količina uvezenih sintetičkih tepiha, presvučenog i impregniranog papira, impregniranog tekstila i impregnirane odjeće za period 2017-2023 godina kao i izračunate količine PFOS-a.</w:t>
      </w:r>
    </w:p>
    <w:p w14:paraId="7A370249" w14:textId="77777777" w:rsidR="002B20A9" w:rsidRPr="00C86111" w:rsidRDefault="002B20A9" w:rsidP="002B20A9">
      <w:pPr>
        <w:jc w:val="both"/>
        <w:rPr>
          <w:rFonts w:asciiTheme="minorHAnsi" w:hAnsiTheme="minorHAnsi" w:cstheme="minorHAnsi"/>
          <w:color w:val="auto"/>
        </w:rPr>
      </w:pPr>
    </w:p>
    <w:p w14:paraId="2B5F9B23" w14:textId="7207A33A"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lastRenderedPageBreak/>
        <w:t xml:space="preserve">Tabela </w:t>
      </w:r>
      <w:r w:rsidR="00632BFA" w:rsidRPr="00C86111">
        <w:rPr>
          <w:rFonts w:asciiTheme="minorHAnsi" w:eastAsia="SimSun" w:hAnsiTheme="minorHAnsi" w:cstheme="minorHAnsi"/>
          <w:b/>
          <w:bCs/>
          <w:color w:val="auto"/>
        </w:rPr>
        <w:t>73</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uvezenih sintetičkih tepiha za period 2017-2023 godina i procijenjene količine PFOS-a</w:t>
      </w:r>
    </w:p>
    <w:tbl>
      <w:tblPr>
        <w:tblStyle w:val="GridTable5Dark-Accent6"/>
        <w:tblW w:w="8906" w:type="dxa"/>
        <w:tblLook w:val="04A0" w:firstRow="1" w:lastRow="0" w:firstColumn="1" w:lastColumn="0" w:noHBand="0" w:noVBand="1"/>
      </w:tblPr>
      <w:tblGrid>
        <w:gridCol w:w="1837"/>
        <w:gridCol w:w="1269"/>
        <w:gridCol w:w="1618"/>
        <w:gridCol w:w="2292"/>
        <w:gridCol w:w="1890"/>
      </w:tblGrid>
      <w:tr w:rsidR="002B20A9" w:rsidRPr="00C86111" w14:paraId="63820751" w14:textId="77777777" w:rsidTr="00C9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Align w:val="center"/>
          </w:tcPr>
          <w:p w14:paraId="0DCF67DB" w14:textId="77777777" w:rsidR="002B20A9" w:rsidRPr="00C86111" w:rsidRDefault="002B20A9" w:rsidP="00BC765B">
            <w:pPr>
              <w:jc w:val="both"/>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31" w:type="dxa"/>
            <w:vAlign w:val="center"/>
            <w:hideMark/>
          </w:tcPr>
          <w:p w14:paraId="68D003BD"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570" w:type="dxa"/>
            <w:vAlign w:val="center"/>
            <w:hideMark/>
          </w:tcPr>
          <w:p w14:paraId="0F2C58EF"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(kg)</w:t>
            </w:r>
          </w:p>
        </w:tc>
        <w:tc>
          <w:tcPr>
            <w:tcW w:w="2224" w:type="dxa"/>
            <w:vAlign w:val="center"/>
          </w:tcPr>
          <w:p w14:paraId="335C7230"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PFOS sadržaj</w:t>
            </w:r>
          </w:p>
          <w:p w14:paraId="7C95591A"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08882718"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PFOS/kg proizvoda)</w:t>
            </w:r>
          </w:p>
        </w:tc>
        <w:tc>
          <w:tcPr>
            <w:tcW w:w="1834" w:type="dxa"/>
            <w:vAlign w:val="center"/>
          </w:tcPr>
          <w:p w14:paraId="6A5085E1"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PFOS (t)</w:t>
            </w:r>
          </w:p>
          <w:p w14:paraId="2E2CF17D"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0D391FB4"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5FCBA96B"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val="restart"/>
            <w:vAlign w:val="center"/>
          </w:tcPr>
          <w:p w14:paraId="0E5FA0D8" w14:textId="77777777" w:rsidR="002B20A9" w:rsidRPr="00C86111" w:rsidRDefault="002B20A9" w:rsidP="00BC765B">
            <w:pPr>
              <w:jc w:val="both"/>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Sintetički tepisi</w:t>
            </w:r>
          </w:p>
          <w:p w14:paraId="05AA3FF6"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vAlign w:val="center"/>
          </w:tcPr>
          <w:p w14:paraId="6F646A66"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570" w:type="dxa"/>
            <w:vAlign w:val="center"/>
          </w:tcPr>
          <w:p w14:paraId="7A52C76F"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369598</w:t>
            </w:r>
          </w:p>
        </w:tc>
        <w:tc>
          <w:tcPr>
            <w:tcW w:w="2224" w:type="dxa"/>
            <w:vAlign w:val="center"/>
          </w:tcPr>
          <w:p w14:paraId="54B9DB3E"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10000-20000</w:t>
            </w:r>
          </w:p>
        </w:tc>
        <w:tc>
          <w:tcPr>
            <w:tcW w:w="1834" w:type="dxa"/>
            <w:vAlign w:val="center"/>
          </w:tcPr>
          <w:p w14:paraId="791CC558"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3.7-7.4</w:t>
            </w:r>
          </w:p>
        </w:tc>
      </w:tr>
      <w:tr w:rsidR="002B20A9" w:rsidRPr="00C86111" w14:paraId="27A33A78" w14:textId="77777777" w:rsidTr="00C97FE5">
        <w:tc>
          <w:tcPr>
            <w:cnfStyle w:val="001000000000" w:firstRow="0" w:lastRow="0" w:firstColumn="1" w:lastColumn="0" w:oddVBand="0" w:evenVBand="0" w:oddHBand="0" w:evenHBand="0" w:firstRowFirstColumn="0" w:firstRowLastColumn="0" w:lastRowFirstColumn="0" w:lastRowLastColumn="0"/>
            <w:tcW w:w="1783" w:type="dxa"/>
            <w:vMerge/>
            <w:vAlign w:val="center"/>
          </w:tcPr>
          <w:p w14:paraId="232F4FCE"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vAlign w:val="center"/>
          </w:tcPr>
          <w:p w14:paraId="691554D2"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570" w:type="dxa"/>
            <w:vAlign w:val="center"/>
          </w:tcPr>
          <w:p w14:paraId="7263E4F6"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336922</w:t>
            </w:r>
          </w:p>
        </w:tc>
        <w:tc>
          <w:tcPr>
            <w:tcW w:w="2224" w:type="dxa"/>
            <w:vAlign w:val="center"/>
          </w:tcPr>
          <w:p w14:paraId="7D53A80D"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10000-20000</w:t>
            </w:r>
          </w:p>
        </w:tc>
        <w:tc>
          <w:tcPr>
            <w:tcW w:w="1834" w:type="dxa"/>
            <w:vAlign w:val="center"/>
          </w:tcPr>
          <w:p w14:paraId="0D62F024"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3.4-6.7</w:t>
            </w:r>
          </w:p>
        </w:tc>
      </w:tr>
      <w:tr w:rsidR="002B20A9" w:rsidRPr="00C86111" w14:paraId="2C41613A"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vAlign w:val="center"/>
          </w:tcPr>
          <w:p w14:paraId="3C06D992"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vAlign w:val="center"/>
          </w:tcPr>
          <w:p w14:paraId="6DD596EB"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570" w:type="dxa"/>
            <w:vAlign w:val="center"/>
          </w:tcPr>
          <w:p w14:paraId="360BB041"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437076</w:t>
            </w:r>
          </w:p>
        </w:tc>
        <w:tc>
          <w:tcPr>
            <w:tcW w:w="2224" w:type="dxa"/>
            <w:vAlign w:val="center"/>
          </w:tcPr>
          <w:p w14:paraId="79758341"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10000-20000</w:t>
            </w:r>
          </w:p>
        </w:tc>
        <w:tc>
          <w:tcPr>
            <w:tcW w:w="1834" w:type="dxa"/>
            <w:vAlign w:val="center"/>
          </w:tcPr>
          <w:p w14:paraId="2C39460E"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4.4-8.7</w:t>
            </w:r>
          </w:p>
        </w:tc>
      </w:tr>
      <w:tr w:rsidR="002B20A9" w:rsidRPr="00C86111" w14:paraId="406A1028" w14:textId="77777777" w:rsidTr="00C97FE5">
        <w:tc>
          <w:tcPr>
            <w:cnfStyle w:val="001000000000" w:firstRow="0" w:lastRow="0" w:firstColumn="1" w:lastColumn="0" w:oddVBand="0" w:evenVBand="0" w:oddHBand="0" w:evenHBand="0" w:firstRowFirstColumn="0" w:firstRowLastColumn="0" w:lastRowFirstColumn="0" w:lastRowLastColumn="0"/>
            <w:tcW w:w="1783" w:type="dxa"/>
            <w:vMerge/>
            <w:vAlign w:val="center"/>
          </w:tcPr>
          <w:p w14:paraId="633BB540"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vAlign w:val="center"/>
          </w:tcPr>
          <w:p w14:paraId="04A54786"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570" w:type="dxa"/>
            <w:vAlign w:val="center"/>
          </w:tcPr>
          <w:p w14:paraId="53B5890A"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393617</w:t>
            </w:r>
          </w:p>
        </w:tc>
        <w:tc>
          <w:tcPr>
            <w:tcW w:w="2224" w:type="dxa"/>
            <w:vAlign w:val="center"/>
          </w:tcPr>
          <w:p w14:paraId="765728A9"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10000-20000</w:t>
            </w:r>
          </w:p>
        </w:tc>
        <w:tc>
          <w:tcPr>
            <w:tcW w:w="1834" w:type="dxa"/>
            <w:vAlign w:val="center"/>
          </w:tcPr>
          <w:p w14:paraId="08BFC80B"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3.9-7.9</w:t>
            </w:r>
          </w:p>
        </w:tc>
      </w:tr>
      <w:tr w:rsidR="002B20A9" w:rsidRPr="00C86111" w14:paraId="031F9B57"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vAlign w:val="center"/>
          </w:tcPr>
          <w:p w14:paraId="3FFAB748"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vAlign w:val="center"/>
          </w:tcPr>
          <w:p w14:paraId="10561C73"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570" w:type="dxa"/>
            <w:vAlign w:val="center"/>
          </w:tcPr>
          <w:p w14:paraId="528E32B4"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401555</w:t>
            </w:r>
          </w:p>
        </w:tc>
        <w:tc>
          <w:tcPr>
            <w:tcW w:w="2224" w:type="dxa"/>
            <w:vAlign w:val="center"/>
          </w:tcPr>
          <w:p w14:paraId="343C15CF"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10000-20000</w:t>
            </w:r>
          </w:p>
        </w:tc>
        <w:tc>
          <w:tcPr>
            <w:tcW w:w="1834" w:type="dxa"/>
            <w:vAlign w:val="center"/>
          </w:tcPr>
          <w:p w14:paraId="001D67B1"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4.0-8.0</w:t>
            </w:r>
          </w:p>
        </w:tc>
      </w:tr>
      <w:tr w:rsidR="002B20A9" w:rsidRPr="00C86111" w14:paraId="039D7C4E" w14:textId="77777777" w:rsidTr="00C97FE5">
        <w:tc>
          <w:tcPr>
            <w:cnfStyle w:val="001000000000" w:firstRow="0" w:lastRow="0" w:firstColumn="1" w:lastColumn="0" w:oddVBand="0" w:evenVBand="0" w:oddHBand="0" w:evenHBand="0" w:firstRowFirstColumn="0" w:firstRowLastColumn="0" w:lastRowFirstColumn="0" w:lastRowLastColumn="0"/>
            <w:tcW w:w="1783" w:type="dxa"/>
            <w:vMerge/>
            <w:vAlign w:val="center"/>
          </w:tcPr>
          <w:p w14:paraId="6E970842"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vAlign w:val="center"/>
          </w:tcPr>
          <w:p w14:paraId="3324C846"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570" w:type="dxa"/>
            <w:vAlign w:val="center"/>
          </w:tcPr>
          <w:p w14:paraId="2523E63F"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612119</w:t>
            </w:r>
          </w:p>
        </w:tc>
        <w:tc>
          <w:tcPr>
            <w:tcW w:w="2224" w:type="dxa"/>
            <w:vAlign w:val="center"/>
          </w:tcPr>
          <w:p w14:paraId="6D44B6EE"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10000-20000</w:t>
            </w:r>
          </w:p>
        </w:tc>
        <w:tc>
          <w:tcPr>
            <w:tcW w:w="1834" w:type="dxa"/>
            <w:vAlign w:val="center"/>
          </w:tcPr>
          <w:p w14:paraId="002AC393"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6.1-12.2</w:t>
            </w:r>
          </w:p>
        </w:tc>
      </w:tr>
      <w:tr w:rsidR="002B20A9" w:rsidRPr="00C86111" w14:paraId="6C1EAC49" w14:textId="77777777" w:rsidTr="00C9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vAlign w:val="center"/>
          </w:tcPr>
          <w:p w14:paraId="4BB65BA8"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vAlign w:val="center"/>
          </w:tcPr>
          <w:p w14:paraId="2DE72166"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570" w:type="dxa"/>
            <w:vAlign w:val="center"/>
          </w:tcPr>
          <w:p w14:paraId="16F8FFD4"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553126</w:t>
            </w:r>
          </w:p>
        </w:tc>
        <w:tc>
          <w:tcPr>
            <w:tcW w:w="2224" w:type="dxa"/>
            <w:vAlign w:val="center"/>
          </w:tcPr>
          <w:p w14:paraId="697B1D36"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10000-20000</w:t>
            </w:r>
          </w:p>
        </w:tc>
        <w:tc>
          <w:tcPr>
            <w:tcW w:w="1834" w:type="dxa"/>
            <w:vAlign w:val="center"/>
          </w:tcPr>
          <w:p w14:paraId="331C9F79"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5.5-11.1</w:t>
            </w:r>
          </w:p>
        </w:tc>
      </w:tr>
    </w:tbl>
    <w:p w14:paraId="6FC469B9" w14:textId="77777777" w:rsidR="002B20A9" w:rsidRPr="00C86111" w:rsidRDefault="002B20A9" w:rsidP="002B20A9">
      <w:pPr>
        <w:jc w:val="both"/>
        <w:rPr>
          <w:rFonts w:asciiTheme="minorHAnsi" w:hAnsiTheme="minorHAnsi" w:cstheme="minorHAnsi"/>
          <w:color w:val="auto"/>
        </w:rPr>
      </w:pPr>
    </w:p>
    <w:p w14:paraId="5D18CC20" w14:textId="77777777" w:rsidR="002B20A9" w:rsidRPr="00C86111" w:rsidRDefault="002B20A9" w:rsidP="002B20A9">
      <w:pPr>
        <w:jc w:val="both"/>
        <w:rPr>
          <w:rFonts w:asciiTheme="minorHAnsi" w:hAnsiTheme="minorHAnsi" w:cstheme="minorHAnsi"/>
          <w:color w:val="auto"/>
        </w:rPr>
      </w:pPr>
    </w:p>
    <w:p w14:paraId="1B5BD373" w14:textId="77777777" w:rsidR="002B20A9" w:rsidRPr="00C86111" w:rsidRDefault="002B20A9" w:rsidP="00632BFA">
      <w:pPr>
        <w:jc w:val="center"/>
        <w:rPr>
          <w:rFonts w:asciiTheme="minorHAnsi" w:hAnsiTheme="minorHAnsi" w:cstheme="minorHAnsi"/>
          <w:color w:val="auto"/>
        </w:rPr>
      </w:pPr>
      <w:r w:rsidRPr="00C86111">
        <w:rPr>
          <w:rFonts w:asciiTheme="minorHAnsi" w:hAnsiTheme="minorHAnsi" w:cstheme="minorHAnsi"/>
          <w:noProof/>
          <w:color w:val="auto"/>
        </w:rPr>
        <w:drawing>
          <wp:inline distT="0" distB="0" distL="0" distR="0" wp14:anchorId="0EFE5875" wp14:editId="4E94461D">
            <wp:extent cx="5015230" cy="2043545"/>
            <wp:effectExtent l="0" t="0" r="13970" b="13970"/>
            <wp:docPr id="1" name="Chart 1">
              <a:extLst xmlns:a="http://schemas.openxmlformats.org/drawingml/2006/main">
                <a:ext uri="{FF2B5EF4-FFF2-40B4-BE49-F238E27FC236}">
                  <a16:creationId xmlns:a16="http://schemas.microsoft.com/office/drawing/2014/main" id="{C9312FE5-4B10-D09A-F546-16797B89F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CBA4DE" w14:textId="79452A08"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Grafik </w:t>
      </w:r>
      <w:r w:rsidR="00632BFA" w:rsidRPr="00C86111">
        <w:rPr>
          <w:rFonts w:asciiTheme="minorHAnsi" w:hAnsiTheme="minorHAnsi" w:cstheme="minorHAnsi"/>
          <w:b/>
          <w:bCs/>
          <w:color w:val="auto"/>
        </w:rPr>
        <w:t>3</w:t>
      </w:r>
      <w:r w:rsidR="00547278">
        <w:rPr>
          <w:rFonts w:asciiTheme="minorHAnsi" w:hAnsiTheme="minorHAnsi" w:cstheme="minorHAnsi"/>
          <w:b/>
          <w:bCs/>
          <w:color w:val="auto"/>
        </w:rPr>
        <w:t>2</w:t>
      </w:r>
      <w:r w:rsidRPr="00C86111">
        <w:rPr>
          <w:rFonts w:asciiTheme="minorHAnsi" w:hAnsiTheme="minorHAnsi" w:cstheme="minorHAnsi"/>
          <w:b/>
          <w:bCs/>
          <w:color w:val="auto"/>
        </w:rPr>
        <w:t>.</w:t>
      </w:r>
      <w:r w:rsidRPr="00C86111">
        <w:rPr>
          <w:rFonts w:asciiTheme="minorHAnsi" w:hAnsiTheme="minorHAnsi" w:cstheme="minorHAnsi"/>
          <w:color w:val="auto"/>
        </w:rPr>
        <w:t xml:space="preserve"> Maksimalno procijenjena količina PFOS-a u sintetičkim tepisima iz uvoza za period 2017-2023 godina</w:t>
      </w:r>
    </w:p>
    <w:p w14:paraId="1B809412" w14:textId="77777777" w:rsidR="002B20A9" w:rsidRPr="00C86111" w:rsidRDefault="002B20A9" w:rsidP="002B20A9">
      <w:pPr>
        <w:jc w:val="both"/>
        <w:rPr>
          <w:rFonts w:asciiTheme="minorHAnsi" w:hAnsiTheme="minorHAnsi" w:cstheme="minorHAnsi"/>
          <w:color w:val="auto"/>
        </w:rPr>
      </w:pPr>
    </w:p>
    <w:p w14:paraId="2EBD2B97" w14:textId="2EFD7D82"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32BFA" w:rsidRPr="00C86111">
        <w:rPr>
          <w:rFonts w:asciiTheme="minorHAnsi" w:eastAsia="SimSun" w:hAnsiTheme="minorHAnsi" w:cstheme="minorHAnsi"/>
          <w:b/>
          <w:bCs/>
          <w:color w:val="auto"/>
        </w:rPr>
        <w:t>74</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uvezenog presvučenog i impregniranog papira za period 2017-2023 godina kao i procijenjene količine PFOS-a</w:t>
      </w:r>
    </w:p>
    <w:tbl>
      <w:tblPr>
        <w:tblStyle w:val="GridTable5Dark-Accent6"/>
        <w:tblW w:w="8911" w:type="dxa"/>
        <w:tblLook w:val="04A0" w:firstRow="1" w:lastRow="0" w:firstColumn="1" w:lastColumn="0" w:noHBand="0" w:noVBand="1"/>
      </w:tblPr>
      <w:tblGrid>
        <w:gridCol w:w="1842"/>
        <w:gridCol w:w="1269"/>
        <w:gridCol w:w="1618"/>
        <w:gridCol w:w="2292"/>
        <w:gridCol w:w="1890"/>
      </w:tblGrid>
      <w:tr w:rsidR="002B20A9" w:rsidRPr="00C86111" w14:paraId="6544DDBD" w14:textId="77777777" w:rsidTr="00E7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29222DB8" w14:textId="77777777" w:rsidR="002B20A9" w:rsidRPr="00C86111" w:rsidRDefault="002B20A9" w:rsidP="00E71878">
            <w:pPr>
              <w:jc w:val="center"/>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1F40C1F0"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125CE2B7"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(kg)</w:t>
            </w:r>
          </w:p>
        </w:tc>
        <w:tc>
          <w:tcPr>
            <w:tcW w:w="2292" w:type="dxa"/>
            <w:vAlign w:val="center"/>
          </w:tcPr>
          <w:p w14:paraId="107247BF"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PFOS sadržaj</w:t>
            </w:r>
          </w:p>
          <w:p w14:paraId="0B3725E2"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5DB50B1E"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PFOS/kg proizvoda)</w:t>
            </w:r>
          </w:p>
        </w:tc>
        <w:tc>
          <w:tcPr>
            <w:tcW w:w="1890" w:type="dxa"/>
            <w:vAlign w:val="center"/>
          </w:tcPr>
          <w:p w14:paraId="05786AB3"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PFOS (kg)</w:t>
            </w:r>
          </w:p>
          <w:p w14:paraId="77A1FE9C"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1CB19F9C"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5C3AF88C"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DFB9319" w14:textId="77777777" w:rsidR="002B20A9" w:rsidRPr="00C86111" w:rsidRDefault="002B20A9" w:rsidP="00E71878">
            <w:pPr>
              <w:jc w:val="center"/>
              <w:rPr>
                <w:rFonts w:asciiTheme="minorHAnsi" w:hAnsiTheme="minorHAnsi" w:cstheme="minorHAnsi"/>
                <w:color w:val="auto"/>
                <w:sz w:val="20"/>
                <w:szCs w:val="20"/>
              </w:rPr>
            </w:pPr>
            <w:bookmarkStart w:id="319" w:name="_Hlk184060883"/>
            <w:r w:rsidRPr="00C86111">
              <w:rPr>
                <w:rFonts w:asciiTheme="minorHAnsi" w:hAnsiTheme="minorHAnsi" w:cstheme="minorHAnsi"/>
                <w:color w:val="auto"/>
                <w:sz w:val="20"/>
                <w:szCs w:val="20"/>
              </w:rPr>
              <w:t>Presvučeni i impregnirani papir</w:t>
            </w:r>
            <w:bookmarkEnd w:id="319"/>
          </w:p>
        </w:tc>
        <w:tc>
          <w:tcPr>
            <w:tcW w:w="1269" w:type="dxa"/>
            <w:vAlign w:val="center"/>
          </w:tcPr>
          <w:p w14:paraId="5746EE16"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vAlign w:val="center"/>
          </w:tcPr>
          <w:p w14:paraId="5728B12F"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45722</w:t>
            </w:r>
          </w:p>
        </w:tc>
        <w:tc>
          <w:tcPr>
            <w:tcW w:w="2292" w:type="dxa"/>
            <w:vAlign w:val="center"/>
          </w:tcPr>
          <w:p w14:paraId="4F224731" w14:textId="00575AE5"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 – 10000</w:t>
            </w:r>
          </w:p>
        </w:tc>
        <w:tc>
          <w:tcPr>
            <w:tcW w:w="1890" w:type="dxa"/>
            <w:vAlign w:val="center"/>
          </w:tcPr>
          <w:p w14:paraId="71120AF3"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46-457</w:t>
            </w:r>
          </w:p>
        </w:tc>
      </w:tr>
      <w:tr w:rsidR="002B20A9" w:rsidRPr="00C86111" w14:paraId="7ABF33F7" w14:textId="77777777" w:rsidTr="00E71878">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D5DFED4"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7A060166"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vAlign w:val="center"/>
          </w:tcPr>
          <w:p w14:paraId="5370A5F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30656</w:t>
            </w:r>
          </w:p>
        </w:tc>
        <w:tc>
          <w:tcPr>
            <w:tcW w:w="2292" w:type="dxa"/>
            <w:vAlign w:val="center"/>
          </w:tcPr>
          <w:p w14:paraId="239B843E" w14:textId="3246C355"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1000 – 10000</w:t>
            </w:r>
          </w:p>
        </w:tc>
        <w:tc>
          <w:tcPr>
            <w:tcW w:w="1890" w:type="dxa"/>
            <w:vAlign w:val="center"/>
          </w:tcPr>
          <w:p w14:paraId="202D0901"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31-307</w:t>
            </w:r>
          </w:p>
        </w:tc>
      </w:tr>
      <w:tr w:rsidR="002B20A9" w:rsidRPr="00C86111" w14:paraId="3CA73ABB"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4398B4F"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7EA223D9"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vAlign w:val="center"/>
          </w:tcPr>
          <w:p w14:paraId="2D4626FB"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41251</w:t>
            </w:r>
          </w:p>
        </w:tc>
        <w:tc>
          <w:tcPr>
            <w:tcW w:w="2292" w:type="dxa"/>
            <w:vAlign w:val="center"/>
          </w:tcPr>
          <w:p w14:paraId="77523B6E" w14:textId="5FC059F0"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1000 – 10000</w:t>
            </w:r>
          </w:p>
        </w:tc>
        <w:tc>
          <w:tcPr>
            <w:tcW w:w="1890" w:type="dxa"/>
            <w:vAlign w:val="center"/>
          </w:tcPr>
          <w:p w14:paraId="28BED968"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41-413</w:t>
            </w:r>
          </w:p>
        </w:tc>
      </w:tr>
      <w:tr w:rsidR="002B20A9" w:rsidRPr="00C86111" w14:paraId="671E3E97" w14:textId="77777777" w:rsidTr="00E71878">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684EA80"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6425372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vAlign w:val="center"/>
          </w:tcPr>
          <w:p w14:paraId="02C1700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36452</w:t>
            </w:r>
          </w:p>
        </w:tc>
        <w:tc>
          <w:tcPr>
            <w:tcW w:w="2292" w:type="dxa"/>
            <w:vAlign w:val="center"/>
          </w:tcPr>
          <w:p w14:paraId="51F320AB" w14:textId="71472E0B"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 – 10000</w:t>
            </w:r>
          </w:p>
        </w:tc>
        <w:tc>
          <w:tcPr>
            <w:tcW w:w="1890" w:type="dxa"/>
            <w:vAlign w:val="center"/>
          </w:tcPr>
          <w:p w14:paraId="77392A72"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37-365</w:t>
            </w:r>
          </w:p>
        </w:tc>
      </w:tr>
      <w:tr w:rsidR="002B20A9" w:rsidRPr="00C86111" w14:paraId="05638612"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E540558"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485DB651"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vAlign w:val="center"/>
          </w:tcPr>
          <w:p w14:paraId="4E2827DA"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65478</w:t>
            </w:r>
          </w:p>
        </w:tc>
        <w:tc>
          <w:tcPr>
            <w:tcW w:w="2292" w:type="dxa"/>
            <w:vAlign w:val="center"/>
          </w:tcPr>
          <w:p w14:paraId="758DBBA5" w14:textId="52BE3E60"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 – 10000</w:t>
            </w:r>
          </w:p>
        </w:tc>
        <w:tc>
          <w:tcPr>
            <w:tcW w:w="1890" w:type="dxa"/>
            <w:vAlign w:val="center"/>
          </w:tcPr>
          <w:p w14:paraId="5964A6E5"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66-655</w:t>
            </w:r>
          </w:p>
        </w:tc>
      </w:tr>
      <w:tr w:rsidR="002B20A9" w:rsidRPr="00C86111" w14:paraId="6E22F4E6" w14:textId="77777777" w:rsidTr="00E71878">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61B2313"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6A1D7521"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vAlign w:val="center"/>
          </w:tcPr>
          <w:p w14:paraId="07235C0B"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65819</w:t>
            </w:r>
          </w:p>
        </w:tc>
        <w:tc>
          <w:tcPr>
            <w:tcW w:w="2292" w:type="dxa"/>
            <w:vAlign w:val="center"/>
          </w:tcPr>
          <w:p w14:paraId="728EB86E" w14:textId="676BD5BE"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 – 10000</w:t>
            </w:r>
          </w:p>
        </w:tc>
        <w:tc>
          <w:tcPr>
            <w:tcW w:w="1890" w:type="dxa"/>
            <w:vAlign w:val="center"/>
          </w:tcPr>
          <w:p w14:paraId="68465B21"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66-658</w:t>
            </w:r>
          </w:p>
        </w:tc>
      </w:tr>
      <w:tr w:rsidR="002B20A9" w:rsidRPr="00C86111" w14:paraId="3CA199CE"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E1A1BAE"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5AA4D36D"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vAlign w:val="center"/>
          </w:tcPr>
          <w:p w14:paraId="004FE80D"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94606</w:t>
            </w:r>
          </w:p>
        </w:tc>
        <w:tc>
          <w:tcPr>
            <w:tcW w:w="2292" w:type="dxa"/>
            <w:vAlign w:val="center"/>
          </w:tcPr>
          <w:p w14:paraId="1485D9F9" w14:textId="2EF3D74E"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1000 – 10000</w:t>
            </w:r>
          </w:p>
        </w:tc>
        <w:tc>
          <w:tcPr>
            <w:tcW w:w="1890" w:type="dxa"/>
            <w:vAlign w:val="center"/>
          </w:tcPr>
          <w:p w14:paraId="6E07CF1E"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95-946</w:t>
            </w:r>
          </w:p>
        </w:tc>
      </w:tr>
    </w:tbl>
    <w:p w14:paraId="1E965312" w14:textId="77777777" w:rsidR="002B20A9" w:rsidRPr="00C86111" w:rsidRDefault="002B20A9" w:rsidP="002B20A9">
      <w:pPr>
        <w:jc w:val="both"/>
        <w:rPr>
          <w:rFonts w:asciiTheme="minorHAnsi" w:hAnsiTheme="minorHAnsi" w:cstheme="minorHAnsi"/>
          <w:color w:val="auto"/>
        </w:rPr>
      </w:pPr>
    </w:p>
    <w:p w14:paraId="07FDAE36" w14:textId="77777777" w:rsidR="002B20A9" w:rsidRPr="00C86111" w:rsidRDefault="002B20A9" w:rsidP="002B20A9">
      <w:pPr>
        <w:jc w:val="both"/>
        <w:rPr>
          <w:rFonts w:asciiTheme="minorHAnsi" w:hAnsiTheme="minorHAnsi" w:cstheme="minorHAnsi"/>
          <w:color w:val="auto"/>
        </w:rPr>
      </w:pPr>
    </w:p>
    <w:p w14:paraId="2A110AD6"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noProof/>
          <w:color w:val="auto"/>
        </w:rPr>
        <w:lastRenderedPageBreak/>
        <w:drawing>
          <wp:inline distT="0" distB="0" distL="0" distR="0" wp14:anchorId="2952968F" wp14:editId="20ABA6A4">
            <wp:extent cx="4983480" cy="2000250"/>
            <wp:effectExtent l="0" t="0" r="7620" b="0"/>
            <wp:docPr id="11" name="Chart 11">
              <a:extLst xmlns:a="http://schemas.openxmlformats.org/drawingml/2006/main">
                <a:ext uri="{FF2B5EF4-FFF2-40B4-BE49-F238E27FC236}">
                  <a16:creationId xmlns:a16="http://schemas.microsoft.com/office/drawing/2014/main" id="{C89C4A24-EBFB-CB4B-8CF6-263723B29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D97693" w14:textId="1F2221F9"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Grafik </w:t>
      </w:r>
      <w:r w:rsidR="00632BFA" w:rsidRPr="00C86111">
        <w:rPr>
          <w:rFonts w:asciiTheme="minorHAnsi" w:hAnsiTheme="minorHAnsi" w:cstheme="minorHAnsi"/>
          <w:b/>
          <w:bCs/>
          <w:color w:val="auto"/>
        </w:rPr>
        <w:t>3</w:t>
      </w:r>
      <w:r w:rsidR="00547278">
        <w:rPr>
          <w:rFonts w:asciiTheme="minorHAnsi" w:hAnsiTheme="minorHAnsi" w:cstheme="minorHAnsi"/>
          <w:b/>
          <w:bCs/>
          <w:color w:val="auto"/>
        </w:rPr>
        <w:t>3</w:t>
      </w:r>
      <w:r w:rsidRPr="00C86111">
        <w:rPr>
          <w:rFonts w:asciiTheme="minorHAnsi" w:hAnsiTheme="minorHAnsi" w:cstheme="minorHAnsi"/>
          <w:b/>
          <w:bCs/>
          <w:color w:val="auto"/>
        </w:rPr>
        <w:t>.</w:t>
      </w:r>
      <w:r w:rsidRPr="00C86111">
        <w:rPr>
          <w:rFonts w:asciiTheme="minorHAnsi" w:hAnsiTheme="minorHAnsi" w:cstheme="minorHAnsi"/>
          <w:color w:val="auto"/>
        </w:rPr>
        <w:t xml:space="preserve"> Maksimalno procijenjena količina PFOS-a u </w:t>
      </w:r>
      <w:r w:rsidRPr="00C86111">
        <w:rPr>
          <w:rFonts w:asciiTheme="minorHAnsi" w:eastAsia="SimSun" w:hAnsiTheme="minorHAnsi" w:cstheme="minorHAnsi"/>
          <w:color w:val="auto"/>
        </w:rPr>
        <w:t xml:space="preserve">presvučenom i impregniranog papiru </w:t>
      </w:r>
      <w:r w:rsidRPr="00C86111">
        <w:rPr>
          <w:rFonts w:asciiTheme="minorHAnsi" w:hAnsiTheme="minorHAnsi" w:cstheme="minorHAnsi"/>
          <w:color w:val="auto"/>
        </w:rPr>
        <w:t>iz uvoza za period 2017-2023 godina</w:t>
      </w:r>
    </w:p>
    <w:p w14:paraId="61F394AD" w14:textId="77777777" w:rsidR="00C97FE5" w:rsidRPr="00C86111" w:rsidRDefault="00C97FE5" w:rsidP="002B20A9">
      <w:pPr>
        <w:jc w:val="both"/>
        <w:rPr>
          <w:rFonts w:asciiTheme="minorHAnsi" w:eastAsia="SimSun" w:hAnsiTheme="minorHAnsi" w:cstheme="minorHAnsi"/>
          <w:b/>
          <w:bCs/>
          <w:color w:val="auto"/>
        </w:rPr>
      </w:pPr>
    </w:p>
    <w:p w14:paraId="24E5BB81" w14:textId="6B5811CD"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32BFA" w:rsidRPr="00C86111">
        <w:rPr>
          <w:rFonts w:asciiTheme="minorHAnsi" w:eastAsia="SimSun" w:hAnsiTheme="minorHAnsi" w:cstheme="minorHAnsi"/>
          <w:b/>
          <w:bCs/>
          <w:color w:val="auto"/>
        </w:rPr>
        <w:t>75</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uvezenog </w:t>
      </w:r>
      <w:bookmarkStart w:id="320" w:name="_Hlk184067629"/>
      <w:r w:rsidRPr="00C86111">
        <w:rPr>
          <w:rFonts w:asciiTheme="minorHAnsi" w:eastAsia="SimSun" w:hAnsiTheme="minorHAnsi" w:cstheme="minorHAnsi"/>
          <w:color w:val="auto"/>
        </w:rPr>
        <w:t xml:space="preserve">impregniranog tekstila </w:t>
      </w:r>
      <w:bookmarkEnd w:id="320"/>
      <w:r w:rsidRPr="00C86111">
        <w:rPr>
          <w:rFonts w:asciiTheme="minorHAnsi" w:eastAsia="SimSun" w:hAnsiTheme="minorHAnsi" w:cstheme="minorHAnsi"/>
          <w:color w:val="auto"/>
        </w:rPr>
        <w:t>za period 2017-2023 godina kao i procijenjene količine PFOS-a</w:t>
      </w:r>
    </w:p>
    <w:tbl>
      <w:tblPr>
        <w:tblStyle w:val="GridTable5Dark-Accent6"/>
        <w:tblW w:w="8906" w:type="dxa"/>
        <w:tblLook w:val="04A0" w:firstRow="1" w:lastRow="0" w:firstColumn="1" w:lastColumn="0" w:noHBand="0" w:noVBand="1"/>
      </w:tblPr>
      <w:tblGrid>
        <w:gridCol w:w="1837"/>
        <w:gridCol w:w="1269"/>
        <w:gridCol w:w="1618"/>
        <w:gridCol w:w="2292"/>
        <w:gridCol w:w="1890"/>
      </w:tblGrid>
      <w:tr w:rsidR="002B20A9" w:rsidRPr="00C86111" w14:paraId="2534204B" w14:textId="77777777" w:rsidTr="00E7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546BFBF3" w14:textId="77777777" w:rsidR="002B20A9" w:rsidRPr="00C86111" w:rsidRDefault="002B20A9" w:rsidP="00E71878">
            <w:pPr>
              <w:jc w:val="center"/>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4DAD87DF"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154253C0"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w:t>
            </w:r>
          </w:p>
        </w:tc>
        <w:tc>
          <w:tcPr>
            <w:tcW w:w="2292" w:type="dxa"/>
            <w:vAlign w:val="center"/>
          </w:tcPr>
          <w:p w14:paraId="2C93A925"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PFOS sadržaj</w:t>
            </w:r>
          </w:p>
          <w:p w14:paraId="37CCB35A"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43096567"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PFOS/m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 xml:space="preserve"> proizvoda)</w:t>
            </w:r>
          </w:p>
        </w:tc>
        <w:tc>
          <w:tcPr>
            <w:tcW w:w="1890" w:type="dxa"/>
            <w:vAlign w:val="center"/>
          </w:tcPr>
          <w:p w14:paraId="5A83F4DC"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PFOS (g)</w:t>
            </w:r>
          </w:p>
          <w:p w14:paraId="135590F7"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54A6FC91"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02108D78"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restart"/>
            <w:vAlign w:val="center"/>
          </w:tcPr>
          <w:p w14:paraId="5BC79A03"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Impregnirani tekstil</w:t>
            </w:r>
          </w:p>
          <w:p w14:paraId="136C4AD8" w14:textId="77777777" w:rsidR="002B20A9" w:rsidRPr="00C86111" w:rsidRDefault="002B20A9" w:rsidP="00E71878">
            <w:pPr>
              <w:jc w:val="center"/>
              <w:rPr>
                <w:rFonts w:asciiTheme="minorHAnsi" w:hAnsiTheme="minorHAnsi" w:cstheme="minorHAnsi"/>
                <w:color w:val="auto"/>
                <w:sz w:val="20"/>
                <w:szCs w:val="20"/>
              </w:rPr>
            </w:pPr>
          </w:p>
        </w:tc>
        <w:tc>
          <w:tcPr>
            <w:tcW w:w="1269" w:type="dxa"/>
            <w:vAlign w:val="center"/>
          </w:tcPr>
          <w:p w14:paraId="3C800D92"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vAlign w:val="center"/>
          </w:tcPr>
          <w:p w14:paraId="1795705C"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143434</w:t>
            </w:r>
          </w:p>
        </w:tc>
        <w:tc>
          <w:tcPr>
            <w:tcW w:w="2292" w:type="dxa"/>
            <w:vAlign w:val="center"/>
          </w:tcPr>
          <w:p w14:paraId="5B04367D"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4BAB34AC"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0.0-1.43</w:t>
            </w:r>
          </w:p>
        </w:tc>
      </w:tr>
      <w:tr w:rsidR="002B20A9" w:rsidRPr="00C86111" w14:paraId="4A7A2572" w14:textId="77777777" w:rsidTr="00E71878">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500FE60C"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0CF92FB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vAlign w:val="center"/>
          </w:tcPr>
          <w:p w14:paraId="4EA7F8F6"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384192</w:t>
            </w:r>
          </w:p>
        </w:tc>
        <w:tc>
          <w:tcPr>
            <w:tcW w:w="2292" w:type="dxa"/>
            <w:vAlign w:val="center"/>
          </w:tcPr>
          <w:p w14:paraId="1D06D6C7"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2A6A48DE"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0.0-3.84</w:t>
            </w:r>
          </w:p>
        </w:tc>
      </w:tr>
      <w:tr w:rsidR="002B20A9" w:rsidRPr="00C86111" w14:paraId="7F3B7669"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4AFB541D"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26D6C43D"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vAlign w:val="center"/>
          </w:tcPr>
          <w:p w14:paraId="18331AA0"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147286</w:t>
            </w:r>
          </w:p>
        </w:tc>
        <w:tc>
          <w:tcPr>
            <w:tcW w:w="2292" w:type="dxa"/>
            <w:vAlign w:val="center"/>
          </w:tcPr>
          <w:p w14:paraId="7B912405"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0A1FC0FE"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0.0-1.47</w:t>
            </w:r>
          </w:p>
        </w:tc>
      </w:tr>
      <w:tr w:rsidR="002B20A9" w:rsidRPr="00C86111" w14:paraId="52014A80" w14:textId="77777777" w:rsidTr="00E71878">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273A8572"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0B1E1E17"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vAlign w:val="center"/>
          </w:tcPr>
          <w:p w14:paraId="1D750A43"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104820</w:t>
            </w:r>
          </w:p>
        </w:tc>
        <w:tc>
          <w:tcPr>
            <w:tcW w:w="2292" w:type="dxa"/>
            <w:vAlign w:val="center"/>
          </w:tcPr>
          <w:p w14:paraId="2E175EC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519B6868"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0.0-1.05</w:t>
            </w:r>
          </w:p>
        </w:tc>
      </w:tr>
      <w:tr w:rsidR="002B20A9" w:rsidRPr="00C86111" w14:paraId="6D2DAD90"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1693FFD9"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46CAD829"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vAlign w:val="center"/>
          </w:tcPr>
          <w:p w14:paraId="6ED37CCD"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96342</w:t>
            </w:r>
          </w:p>
        </w:tc>
        <w:tc>
          <w:tcPr>
            <w:tcW w:w="2292" w:type="dxa"/>
            <w:vAlign w:val="center"/>
          </w:tcPr>
          <w:p w14:paraId="4267B17E"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1F1113B4"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0.0-0.96</w:t>
            </w:r>
          </w:p>
        </w:tc>
      </w:tr>
      <w:tr w:rsidR="002B20A9" w:rsidRPr="00C86111" w14:paraId="072F2547" w14:textId="77777777" w:rsidTr="00E71878">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0C6870F7"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1DC26CC1"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vAlign w:val="center"/>
          </w:tcPr>
          <w:p w14:paraId="46D2E45B"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111311</w:t>
            </w:r>
          </w:p>
        </w:tc>
        <w:tc>
          <w:tcPr>
            <w:tcW w:w="2292" w:type="dxa"/>
            <w:vAlign w:val="center"/>
          </w:tcPr>
          <w:p w14:paraId="238F5266"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4C58D6A4"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0.0-1.11</w:t>
            </w:r>
          </w:p>
        </w:tc>
      </w:tr>
      <w:tr w:rsidR="002B20A9" w:rsidRPr="00C86111" w14:paraId="75337CCF"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36B5C426"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7632B7D9"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vAlign w:val="center"/>
          </w:tcPr>
          <w:p w14:paraId="12C3FC11"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117685</w:t>
            </w:r>
          </w:p>
        </w:tc>
        <w:tc>
          <w:tcPr>
            <w:tcW w:w="2292" w:type="dxa"/>
            <w:vAlign w:val="center"/>
          </w:tcPr>
          <w:p w14:paraId="03A9D1F3"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24E80C7A"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0.0-1.18</w:t>
            </w:r>
          </w:p>
        </w:tc>
      </w:tr>
    </w:tbl>
    <w:p w14:paraId="0052FC8A" w14:textId="77777777" w:rsidR="00E71878" w:rsidRPr="00C86111" w:rsidRDefault="00E71878" w:rsidP="002B20A9">
      <w:pPr>
        <w:jc w:val="both"/>
        <w:rPr>
          <w:rFonts w:asciiTheme="minorHAnsi" w:eastAsia="SimSun" w:hAnsiTheme="minorHAnsi" w:cstheme="minorHAnsi"/>
          <w:b/>
          <w:bCs/>
          <w:color w:val="auto"/>
        </w:rPr>
      </w:pPr>
    </w:p>
    <w:p w14:paraId="5347FEE5" w14:textId="119E445E"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32BFA" w:rsidRPr="00C86111">
        <w:rPr>
          <w:rFonts w:asciiTheme="minorHAnsi" w:eastAsia="SimSun" w:hAnsiTheme="minorHAnsi" w:cstheme="minorHAnsi"/>
          <w:b/>
          <w:bCs/>
          <w:color w:val="auto"/>
        </w:rPr>
        <w:t>76</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uvezene impregnirane odjeće za period 2017-2023 godina kao i procijenjene količine PFOS-a</w:t>
      </w:r>
    </w:p>
    <w:tbl>
      <w:tblPr>
        <w:tblStyle w:val="GridTable5Dark-Accent6"/>
        <w:tblW w:w="8906" w:type="dxa"/>
        <w:tblLook w:val="04A0" w:firstRow="1" w:lastRow="0" w:firstColumn="1" w:lastColumn="0" w:noHBand="0" w:noVBand="1"/>
      </w:tblPr>
      <w:tblGrid>
        <w:gridCol w:w="1837"/>
        <w:gridCol w:w="1269"/>
        <w:gridCol w:w="1618"/>
        <w:gridCol w:w="2292"/>
        <w:gridCol w:w="1890"/>
      </w:tblGrid>
      <w:tr w:rsidR="002B20A9" w:rsidRPr="00C86111" w14:paraId="6AF056DF" w14:textId="77777777" w:rsidTr="00E7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072C16C1" w14:textId="77777777" w:rsidR="002B20A9" w:rsidRPr="00C86111" w:rsidRDefault="002B20A9" w:rsidP="00E71878">
            <w:pPr>
              <w:jc w:val="center"/>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4171A887"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405B28A5"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w:t>
            </w:r>
          </w:p>
        </w:tc>
        <w:tc>
          <w:tcPr>
            <w:tcW w:w="2292" w:type="dxa"/>
            <w:vAlign w:val="center"/>
          </w:tcPr>
          <w:p w14:paraId="04332779"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PFOS sadržaj</w:t>
            </w:r>
          </w:p>
          <w:p w14:paraId="397E0527"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32988BDA"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PFOS/m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 xml:space="preserve"> proizvoda)</w:t>
            </w:r>
          </w:p>
        </w:tc>
        <w:tc>
          <w:tcPr>
            <w:tcW w:w="1890" w:type="dxa"/>
            <w:vAlign w:val="center"/>
          </w:tcPr>
          <w:p w14:paraId="2139E624"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PFOS (g)</w:t>
            </w:r>
          </w:p>
          <w:p w14:paraId="453EB28B"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11545292"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2A69D354"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restart"/>
            <w:vAlign w:val="center"/>
          </w:tcPr>
          <w:p w14:paraId="21418CD2"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Impregnirana odjeća</w:t>
            </w:r>
          </w:p>
        </w:tc>
        <w:tc>
          <w:tcPr>
            <w:tcW w:w="1269" w:type="dxa"/>
            <w:vAlign w:val="center"/>
          </w:tcPr>
          <w:p w14:paraId="6AC405AA"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vAlign w:val="center"/>
          </w:tcPr>
          <w:p w14:paraId="7D1A3F7E"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22843</w:t>
            </w:r>
          </w:p>
        </w:tc>
        <w:tc>
          <w:tcPr>
            <w:tcW w:w="2292" w:type="dxa"/>
            <w:vAlign w:val="center"/>
          </w:tcPr>
          <w:p w14:paraId="7302C4D3" w14:textId="5B2FD251"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4C45BCD3"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0.0-0.23</w:t>
            </w:r>
          </w:p>
        </w:tc>
      </w:tr>
      <w:tr w:rsidR="002B20A9" w:rsidRPr="00C86111" w14:paraId="6F503721" w14:textId="77777777" w:rsidTr="00E71878">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38DD0DD7"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1368C028"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vAlign w:val="center"/>
          </w:tcPr>
          <w:p w14:paraId="34A08A36"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19421</w:t>
            </w:r>
          </w:p>
        </w:tc>
        <w:tc>
          <w:tcPr>
            <w:tcW w:w="2292" w:type="dxa"/>
            <w:vAlign w:val="center"/>
          </w:tcPr>
          <w:p w14:paraId="0DE2FEA1" w14:textId="54A44B63"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584F2521"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0.0-0.19</w:t>
            </w:r>
          </w:p>
        </w:tc>
      </w:tr>
      <w:tr w:rsidR="002B20A9" w:rsidRPr="00C86111" w14:paraId="4C9E2C26"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735FEC83"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420163C9"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vAlign w:val="center"/>
          </w:tcPr>
          <w:p w14:paraId="4A5DFC26"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27110</w:t>
            </w:r>
          </w:p>
        </w:tc>
        <w:tc>
          <w:tcPr>
            <w:tcW w:w="2292" w:type="dxa"/>
            <w:vAlign w:val="center"/>
          </w:tcPr>
          <w:p w14:paraId="129F0763" w14:textId="3DECE643"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79EB22AC"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0.0-0.27</w:t>
            </w:r>
          </w:p>
        </w:tc>
      </w:tr>
      <w:tr w:rsidR="002B20A9" w:rsidRPr="00C86111" w14:paraId="61891B5C" w14:textId="77777777" w:rsidTr="00E71878">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6B109DD2"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77837054"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vAlign w:val="center"/>
          </w:tcPr>
          <w:p w14:paraId="08794E37"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56777</w:t>
            </w:r>
          </w:p>
        </w:tc>
        <w:tc>
          <w:tcPr>
            <w:tcW w:w="2292" w:type="dxa"/>
            <w:vAlign w:val="center"/>
          </w:tcPr>
          <w:p w14:paraId="30BA45A9" w14:textId="444A7540"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750F2847"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0.0-0.57</w:t>
            </w:r>
          </w:p>
        </w:tc>
      </w:tr>
      <w:tr w:rsidR="002B20A9" w:rsidRPr="00C86111" w14:paraId="41DA24C4"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63EB8418"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5D37673B"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vAlign w:val="center"/>
          </w:tcPr>
          <w:p w14:paraId="31802C75"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26008</w:t>
            </w:r>
          </w:p>
        </w:tc>
        <w:tc>
          <w:tcPr>
            <w:tcW w:w="2292" w:type="dxa"/>
            <w:vAlign w:val="center"/>
          </w:tcPr>
          <w:p w14:paraId="1D365F2B" w14:textId="7780FB14"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49EDC638"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0.0-0.26</w:t>
            </w:r>
          </w:p>
        </w:tc>
      </w:tr>
      <w:tr w:rsidR="002B20A9" w:rsidRPr="00C86111" w14:paraId="2D6C398C" w14:textId="77777777" w:rsidTr="00E71878">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68C1458C"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5995FD99"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vAlign w:val="center"/>
          </w:tcPr>
          <w:p w14:paraId="6A2ECC71"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22047</w:t>
            </w:r>
          </w:p>
        </w:tc>
        <w:tc>
          <w:tcPr>
            <w:tcW w:w="2292" w:type="dxa"/>
            <w:vAlign w:val="center"/>
          </w:tcPr>
          <w:p w14:paraId="2066008A" w14:textId="2A2D1E83"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042F80C8"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0.0-0.22</w:t>
            </w:r>
          </w:p>
        </w:tc>
      </w:tr>
      <w:tr w:rsidR="002B20A9" w:rsidRPr="00C86111" w14:paraId="146B6A38"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2BE86EE0" w14:textId="77777777" w:rsidR="002B20A9" w:rsidRPr="00C86111" w:rsidRDefault="002B20A9" w:rsidP="00E71878">
            <w:pPr>
              <w:jc w:val="center"/>
              <w:rPr>
                <w:rFonts w:asciiTheme="minorHAnsi" w:eastAsia="Times New Roman" w:hAnsiTheme="minorHAnsi" w:cstheme="minorHAnsi"/>
                <w:color w:val="auto"/>
                <w:sz w:val="20"/>
                <w:szCs w:val="20"/>
              </w:rPr>
            </w:pPr>
          </w:p>
        </w:tc>
        <w:tc>
          <w:tcPr>
            <w:tcW w:w="1269" w:type="dxa"/>
            <w:vAlign w:val="center"/>
          </w:tcPr>
          <w:p w14:paraId="0EF25800"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vAlign w:val="center"/>
          </w:tcPr>
          <w:p w14:paraId="0226BC90"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19983</w:t>
            </w:r>
          </w:p>
        </w:tc>
        <w:tc>
          <w:tcPr>
            <w:tcW w:w="2292" w:type="dxa"/>
            <w:vAlign w:val="center"/>
          </w:tcPr>
          <w:p w14:paraId="231C9B82" w14:textId="1FF83EF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90" w:type="dxa"/>
            <w:vAlign w:val="center"/>
          </w:tcPr>
          <w:p w14:paraId="1B8690BD"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0.0-0.20</w:t>
            </w:r>
          </w:p>
        </w:tc>
      </w:tr>
    </w:tbl>
    <w:p w14:paraId="0186E00E" w14:textId="77777777" w:rsidR="002B20A9" w:rsidRPr="00C86111" w:rsidRDefault="002B20A9" w:rsidP="00004F34">
      <w:pPr>
        <w:pStyle w:val="Heading1"/>
        <w:numPr>
          <w:ilvl w:val="1"/>
          <w:numId w:val="238"/>
        </w:numPr>
        <w:rPr>
          <w:lang w:eastAsia="en-GB"/>
        </w:rPr>
      </w:pPr>
      <w:bookmarkStart w:id="321" w:name="_Toc220541941"/>
      <w:r w:rsidRPr="00C86111">
        <w:rPr>
          <w:lang w:eastAsia="en-GB"/>
        </w:rPr>
        <w:t>Zaključak – PFOS u proizvodima na potrošačkom tržištu</w:t>
      </w:r>
      <w:bookmarkEnd w:id="321"/>
    </w:p>
    <w:p w14:paraId="247DD924" w14:textId="77777777" w:rsidR="00632BFA" w:rsidRPr="00C86111" w:rsidRDefault="00632BFA" w:rsidP="002B20A9">
      <w:pPr>
        <w:jc w:val="both"/>
        <w:rPr>
          <w:rFonts w:asciiTheme="minorHAnsi" w:eastAsia="Times New Roman" w:hAnsiTheme="minorHAnsi" w:cstheme="minorHAnsi"/>
          <w:color w:val="auto"/>
          <w:lang w:eastAsia="en-GB"/>
        </w:rPr>
      </w:pPr>
    </w:p>
    <w:p w14:paraId="09E20D0A" w14:textId="0035A169" w:rsidR="002B20A9"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Na osnovu analize podataka o uvozu i procjena sadržaja PFOS-a u različitim vrstama proizvoda, mogu se izvesti sledeći zaključci:</w:t>
      </w:r>
    </w:p>
    <w:p w14:paraId="7112070E" w14:textId="77777777" w:rsidR="00D966EC" w:rsidRDefault="00D966EC" w:rsidP="002B20A9">
      <w:pPr>
        <w:jc w:val="both"/>
        <w:rPr>
          <w:rFonts w:asciiTheme="minorHAnsi" w:eastAsia="Times New Roman" w:hAnsiTheme="minorHAnsi" w:cstheme="minorHAnsi"/>
          <w:color w:val="auto"/>
          <w:lang w:eastAsia="en-GB"/>
        </w:rPr>
      </w:pPr>
    </w:p>
    <w:p w14:paraId="6D1E1BD9" w14:textId="77777777" w:rsidR="00D966EC" w:rsidRPr="00C86111" w:rsidRDefault="00D966EC" w:rsidP="002B20A9">
      <w:pPr>
        <w:jc w:val="both"/>
        <w:rPr>
          <w:rFonts w:asciiTheme="minorHAnsi" w:eastAsia="Times New Roman" w:hAnsiTheme="minorHAnsi" w:cstheme="minorHAnsi"/>
          <w:color w:val="auto"/>
          <w:lang w:eastAsia="en-GB"/>
        </w:rPr>
      </w:pPr>
    </w:p>
    <w:p w14:paraId="401AE7BA" w14:textId="5EA76DA4" w:rsidR="002B20A9" w:rsidRPr="00C86111" w:rsidRDefault="002B20A9" w:rsidP="00D966EC">
      <w:pPr>
        <w:pStyle w:val="Heading4"/>
        <w:spacing w:before="0" w:beforeAutospacing="0" w:after="0" w:afterAutospacing="0"/>
        <w:rPr>
          <w:color w:val="auto"/>
        </w:rPr>
      </w:pPr>
      <w:r w:rsidRPr="00C86111">
        <w:lastRenderedPageBreak/>
        <w:t>Sintetički tepisi</w:t>
      </w:r>
    </w:p>
    <w:p w14:paraId="63389768" w14:textId="77777777" w:rsidR="002B20A9" w:rsidRPr="00C86111" w:rsidRDefault="002B20A9" w:rsidP="00D966EC">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Godišnji uvoz sintetičkih tepiha pokazuje varijacije tokom posmatranog perioda, s izraženim povećanjem količina u 2022. i 2023. godini.</w:t>
      </w:r>
    </w:p>
    <w:p w14:paraId="0D156838"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Procijenjeni sadržaj PFOS-a u ovim proizvodima kreće se u rasponu od 3,4 do 12,2 tone godišnje, što ih čini ubjedljivo najznačajnijim izvorom PFOS-a među potrošačkim dobrima.</w:t>
      </w:r>
    </w:p>
    <w:p w14:paraId="094BF45A" w14:textId="77777777" w:rsidR="002B20A9"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Povećanje obima uvoza direktno korelira sa višim potencijalnim unosom PFOS-a na crnogorsko tržište, a posljedično i u tokove otpada.</w:t>
      </w:r>
    </w:p>
    <w:p w14:paraId="633F65E3" w14:textId="77777777" w:rsidR="00D966EC" w:rsidRPr="00C86111" w:rsidRDefault="00D966EC" w:rsidP="002B20A9">
      <w:pPr>
        <w:jc w:val="both"/>
        <w:rPr>
          <w:rFonts w:asciiTheme="minorHAnsi" w:eastAsia="Times New Roman" w:hAnsiTheme="minorHAnsi" w:cstheme="minorHAnsi"/>
          <w:color w:val="auto"/>
          <w:lang w:eastAsia="en-GB"/>
        </w:rPr>
      </w:pPr>
    </w:p>
    <w:p w14:paraId="41E9E987" w14:textId="238456A1" w:rsidR="002B20A9" w:rsidRPr="00C86111" w:rsidRDefault="002B20A9" w:rsidP="00D966EC">
      <w:pPr>
        <w:pStyle w:val="Heading4"/>
        <w:spacing w:before="0" w:beforeAutospacing="0" w:after="0" w:afterAutospacing="0"/>
      </w:pPr>
      <w:r w:rsidRPr="00C86111">
        <w:t>Premazani i impregnirani papir</w:t>
      </w:r>
    </w:p>
    <w:p w14:paraId="45B0A8CC" w14:textId="77777777" w:rsidR="002B20A9" w:rsidRPr="00C86111" w:rsidRDefault="002B20A9" w:rsidP="00D966EC">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Količina uvezenog premazanog i impregniranog papira pokazuje kontinuiran rast u periodu od 2020. do 2023. godine.</w:t>
      </w:r>
    </w:p>
    <w:p w14:paraId="25488243" w14:textId="77777777" w:rsidR="002B20A9"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Procijenjene količine PFOS-a u ovom materijalu kreću se od nekoliko desetina do nekoliko stotina kilograma godišnje. Ove procjene ukazuju na značajan potencijalni rizik od kontaminacije otpada koji potiče iz ove vrste proizvoda.</w:t>
      </w:r>
    </w:p>
    <w:p w14:paraId="2E157CC8" w14:textId="77777777" w:rsidR="00D966EC" w:rsidRPr="00C86111" w:rsidRDefault="00D966EC" w:rsidP="002B20A9">
      <w:pPr>
        <w:jc w:val="both"/>
        <w:rPr>
          <w:rFonts w:asciiTheme="minorHAnsi" w:eastAsia="Times New Roman" w:hAnsiTheme="minorHAnsi" w:cstheme="minorHAnsi"/>
          <w:color w:val="auto"/>
          <w:lang w:eastAsia="en-GB"/>
        </w:rPr>
      </w:pPr>
    </w:p>
    <w:p w14:paraId="69BA0A3F" w14:textId="42D5412A" w:rsidR="002B20A9" w:rsidRPr="00C86111" w:rsidRDefault="002B20A9" w:rsidP="00D966EC">
      <w:pPr>
        <w:pStyle w:val="Heading4"/>
        <w:spacing w:before="0" w:beforeAutospacing="0" w:after="0" w:afterAutospacing="0"/>
      </w:pPr>
      <w:r w:rsidRPr="00C86111">
        <w:t>Impregnirani tekstil</w:t>
      </w:r>
    </w:p>
    <w:p w14:paraId="2127FEC9" w14:textId="77777777" w:rsidR="002B20A9" w:rsidRPr="00C86111" w:rsidRDefault="002B20A9" w:rsidP="00D966EC">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Impregnirani tekstil pokazuje relativno stabilan godišnji uvoz od 2020. godine, sa manjim fluktuacijama u količinama.</w:t>
      </w:r>
    </w:p>
    <w:p w14:paraId="16662E14" w14:textId="77777777" w:rsidR="002B20A9"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Sadržaj PFOS-a u ovim materijalima procijenjen je kao zanemarljiv, s koncentracijama koje jedva dostižu gornju granicu od 4 grama godišnje, što ukazuje na manji značaj ovog izvora u poređenju sa sintetičkim tepisima i papirom.</w:t>
      </w:r>
    </w:p>
    <w:p w14:paraId="5FB8542F" w14:textId="77777777" w:rsidR="00D966EC" w:rsidRPr="00C86111" w:rsidRDefault="00D966EC" w:rsidP="002B20A9">
      <w:pPr>
        <w:jc w:val="both"/>
        <w:rPr>
          <w:rFonts w:asciiTheme="minorHAnsi" w:eastAsia="Times New Roman" w:hAnsiTheme="minorHAnsi" w:cstheme="minorHAnsi"/>
          <w:color w:val="auto"/>
          <w:lang w:eastAsia="en-GB"/>
        </w:rPr>
      </w:pPr>
    </w:p>
    <w:p w14:paraId="69026C8F" w14:textId="65C978B4" w:rsidR="002B20A9" w:rsidRPr="00C86111" w:rsidRDefault="002B20A9" w:rsidP="00D966EC">
      <w:pPr>
        <w:pStyle w:val="Heading4"/>
        <w:spacing w:before="0" w:beforeAutospacing="0" w:after="0" w:afterAutospacing="0"/>
      </w:pPr>
      <w:r w:rsidRPr="00C86111">
        <w:t>Impregnirana odjeća</w:t>
      </w:r>
    </w:p>
    <w:p w14:paraId="1D0BAC1A" w14:textId="77777777" w:rsidR="002B20A9" w:rsidRPr="00C86111" w:rsidRDefault="002B20A9" w:rsidP="00D966EC">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Uvoz impregnirane odjeće je relativno nizak, a procijenjeni sadržaj PFOS-a ostaje minimalan, svega nekoliko grama godišnje.</w:t>
      </w:r>
    </w:p>
    <w:p w14:paraId="63D6287A" w14:textId="77777777" w:rsidR="002B20A9"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Ova kategorija predstavlja beznačajan rizik po životnu sredinu u poređenju s ostalim analiziranim grupama proizvoda.</w:t>
      </w:r>
    </w:p>
    <w:p w14:paraId="51D6E9F6" w14:textId="77777777" w:rsidR="00D966EC" w:rsidRPr="00C86111" w:rsidRDefault="00D966EC" w:rsidP="002B20A9">
      <w:pPr>
        <w:jc w:val="both"/>
        <w:rPr>
          <w:rFonts w:asciiTheme="minorHAnsi" w:eastAsia="Times New Roman" w:hAnsiTheme="minorHAnsi" w:cstheme="minorHAnsi"/>
          <w:color w:val="auto"/>
          <w:lang w:eastAsia="en-GB"/>
        </w:rPr>
      </w:pPr>
    </w:p>
    <w:p w14:paraId="29DBB1A7"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Važno je naglasiti da su prikazane količine PFOS-a zasnovane na teorijskim proračunima koji koriste međunarodne referentne vrijednosti. Carinski tarifni brojevi nijesu dovoljno detaljni da omoguće preciznu identifikaciju proizvoda koji sadrže PFOS, što znači da rezultati vjerovatno precjenjuju stvarni sadržaj PFOS-a u uvezenoj robi. Ipak, nalazi potvrđuju da sintetički tepisi i impregnirani/premazani papir predstavljaju najznačajnije potrošačke puteve unosa PFOS-a u Crnu Goru. </w:t>
      </w:r>
    </w:p>
    <w:p w14:paraId="6C3B2BA2"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Imajući u vidu perzistentnost, bioakumulativnu prirodu i povezane rizike PFOS-a, neophodno je sprovesti sljedeće mjere kako bi se budući rizici po životnu sredinu i zdravlje ljudi sveli na minimum:</w:t>
      </w:r>
    </w:p>
    <w:p w14:paraId="3505C922" w14:textId="77777777" w:rsidR="002B20A9" w:rsidRPr="00C86111" w:rsidRDefault="002B20A9" w:rsidP="00004F34">
      <w:pPr>
        <w:pStyle w:val="ListParagraph"/>
        <w:numPr>
          <w:ilvl w:val="0"/>
          <w:numId w:val="13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stroži nadzor nad uvozom,</w:t>
      </w:r>
    </w:p>
    <w:p w14:paraId="3A01EAC1" w14:textId="77777777" w:rsidR="002B20A9" w:rsidRPr="00C86111" w:rsidRDefault="002B20A9" w:rsidP="00004F34">
      <w:pPr>
        <w:pStyle w:val="ListParagraph"/>
        <w:numPr>
          <w:ilvl w:val="0"/>
          <w:numId w:val="13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zamjenu proizvoda PFOS-free alternativama, te</w:t>
      </w:r>
    </w:p>
    <w:p w14:paraId="7697B9F0" w14:textId="77777777" w:rsidR="002B20A9" w:rsidRPr="00C86111" w:rsidRDefault="002B20A9" w:rsidP="00004F34">
      <w:pPr>
        <w:pStyle w:val="ListParagraph"/>
        <w:numPr>
          <w:ilvl w:val="0"/>
          <w:numId w:val="13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usklađeno upravljanje i kontrolu u skladu s obavezama koje proizilaze iz propisa EU i Stokholmske konvencije.</w:t>
      </w:r>
    </w:p>
    <w:p w14:paraId="35C5257F" w14:textId="77777777" w:rsidR="002B20A9" w:rsidRPr="00C86111" w:rsidRDefault="002B20A9" w:rsidP="002B20A9">
      <w:pPr>
        <w:pStyle w:val="ListParagraph"/>
        <w:jc w:val="both"/>
        <w:rPr>
          <w:rFonts w:asciiTheme="minorHAnsi" w:eastAsia="Times New Roman" w:hAnsiTheme="minorHAnsi" w:cstheme="minorHAnsi"/>
          <w:color w:val="auto"/>
          <w:lang w:eastAsia="en-GB"/>
        </w:rPr>
      </w:pPr>
    </w:p>
    <w:p w14:paraId="673C55F9" w14:textId="568CCB10" w:rsidR="002B20A9" w:rsidRPr="00C86111" w:rsidRDefault="002B20A9" w:rsidP="00004F34">
      <w:pPr>
        <w:pStyle w:val="Heading1"/>
        <w:numPr>
          <w:ilvl w:val="1"/>
          <w:numId w:val="238"/>
        </w:numPr>
      </w:pPr>
      <w:bookmarkStart w:id="322" w:name="_Toc210632499"/>
      <w:bookmarkStart w:id="323" w:name="_Toc220541942"/>
      <w:r w:rsidRPr="00C86111">
        <w:lastRenderedPageBreak/>
        <w:t xml:space="preserve">Rezultati inventara </w:t>
      </w:r>
      <w:bookmarkStart w:id="324" w:name="_Hlk183635626"/>
      <w:r w:rsidRPr="00C86111">
        <w:t xml:space="preserve">PFOS, njegovih soli i PFOSF </w:t>
      </w:r>
      <w:bookmarkEnd w:id="324"/>
      <w:r w:rsidRPr="00C86111">
        <w:t>u otpadu</w:t>
      </w:r>
      <w:bookmarkEnd w:id="322"/>
      <w:bookmarkEnd w:id="323"/>
    </w:p>
    <w:p w14:paraId="10BB0D53" w14:textId="77777777" w:rsidR="002B20A9" w:rsidRPr="00C86111" w:rsidRDefault="002B20A9" w:rsidP="002B20A9">
      <w:pPr>
        <w:jc w:val="both"/>
        <w:rPr>
          <w:rFonts w:asciiTheme="minorHAnsi" w:eastAsia="SimSun" w:hAnsiTheme="minorHAnsi" w:cstheme="minorHAnsi"/>
          <w:i/>
          <w:iCs/>
          <w:color w:val="002060"/>
        </w:rPr>
      </w:pPr>
    </w:p>
    <w:p w14:paraId="72FAD0C9"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Podaci o količini otpada koji potencijalno može da sadrži</w:t>
      </w:r>
      <w:r w:rsidRPr="00C86111">
        <w:rPr>
          <w:rFonts w:asciiTheme="minorHAnsi" w:hAnsiTheme="minorHAnsi" w:cstheme="minorHAnsi"/>
          <w:color w:val="auto"/>
        </w:rPr>
        <w:t xml:space="preserve"> </w:t>
      </w:r>
      <w:r w:rsidRPr="00C86111">
        <w:rPr>
          <w:rFonts w:asciiTheme="minorHAnsi" w:eastAsia="SimSun" w:hAnsiTheme="minorHAnsi" w:cstheme="minorHAnsi"/>
          <w:color w:val="auto"/>
        </w:rPr>
        <w:t>PFOS, njegove soli i PFOSF, dobijeni su iz statističkih podataka o otpadu Uprave za statistiku Crne Gore – MONSTAT.</w:t>
      </w:r>
    </w:p>
    <w:p w14:paraId="1B28B299"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Ovi podaci dobijeni su statističkim istraživanjama otpada kojim su obuhvaćena sva komunalna preduzeća kojima je Sekretarijat za lokalnu samoupravu dodjelio dozvolu za obavljanje službe sakupljanja i transporta komunalnog otpada; preduzeća koja imaju dozvolu od Agencije za zaštitu životne sredine za sakupljanje i obradu otpada, preduzeća koja upravljaju odlagalištima – deponijama; preduzeća sa 10 i više zaposlenih, čija je osnovna djelatnost definisana u različitim sektorima (poljoprivreda, šumarstvo i ribarstvo; prerađivačka industrija; snabdijevanje vodom, upravljanje otpadnim vodama, kontrolisanje procesa uklanjanja otpada i slične aktivnosti)</w:t>
      </w:r>
    </w:p>
    <w:p w14:paraId="03584990"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Prikupljeni podaci o otpadu, klasifikovani su po grupama otpada, u skladu sa Pravilnikom o klasifikaciji otpada i katalogu otpada („Sl. list Crne Gore“, br. 059/13, 083/16 ) koji je usklađen sa evropskom legislativom o otpadu.</w:t>
      </w:r>
    </w:p>
    <w:p w14:paraId="6D0AD2B5" w14:textId="504229D6"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U tabeli </w:t>
      </w:r>
      <w:r w:rsidR="00632BFA" w:rsidRPr="00C86111">
        <w:rPr>
          <w:rFonts w:asciiTheme="minorHAnsi" w:hAnsiTheme="minorHAnsi" w:cstheme="minorHAnsi"/>
          <w:color w:val="auto"/>
        </w:rPr>
        <w:t>77</w:t>
      </w:r>
      <w:r w:rsidRPr="00C86111">
        <w:rPr>
          <w:rFonts w:asciiTheme="minorHAnsi" w:hAnsiTheme="minorHAnsi" w:cstheme="minorHAnsi"/>
          <w:color w:val="auto"/>
        </w:rPr>
        <w:t xml:space="preserve"> prikazane su količine generisanog otpada prema grupama kataloga otpada, koje potencijalno mogu sa sadrže </w:t>
      </w:r>
      <w:bookmarkStart w:id="325" w:name="_Hlk183676923"/>
      <w:r w:rsidRPr="00C86111">
        <w:rPr>
          <w:rFonts w:asciiTheme="minorHAnsi" w:hAnsiTheme="minorHAnsi" w:cstheme="minorHAnsi"/>
          <w:color w:val="auto"/>
        </w:rPr>
        <w:t>PFOS, njegove soli i PFOSF</w:t>
      </w:r>
      <w:bookmarkEnd w:id="325"/>
      <w:r w:rsidRPr="00C86111">
        <w:rPr>
          <w:rFonts w:asciiTheme="minorHAnsi" w:hAnsiTheme="minorHAnsi" w:cstheme="minorHAnsi"/>
          <w:color w:val="auto"/>
        </w:rPr>
        <w:t xml:space="preserve"> za period 2017-2022 godina.</w:t>
      </w:r>
    </w:p>
    <w:p w14:paraId="2CC7B2E1" w14:textId="36EF2BD8" w:rsidR="00E71878" w:rsidRPr="00C86111" w:rsidRDefault="00E71878" w:rsidP="002B20A9">
      <w:pPr>
        <w:jc w:val="both"/>
        <w:rPr>
          <w:rFonts w:asciiTheme="minorHAnsi" w:hAnsiTheme="minorHAnsi" w:cstheme="minorHAnsi"/>
          <w:color w:val="auto"/>
        </w:rPr>
      </w:pPr>
    </w:p>
    <w:p w14:paraId="30F126EA" w14:textId="55EE36DF"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632BFA" w:rsidRPr="00C86111">
        <w:rPr>
          <w:rFonts w:asciiTheme="minorHAnsi" w:hAnsiTheme="minorHAnsi" w:cstheme="minorHAnsi"/>
          <w:b/>
          <w:bCs/>
          <w:color w:val="auto"/>
        </w:rPr>
        <w:t>77</w:t>
      </w:r>
      <w:r w:rsidRPr="00C86111">
        <w:rPr>
          <w:rFonts w:asciiTheme="minorHAnsi" w:hAnsiTheme="minorHAnsi" w:cstheme="minorHAnsi"/>
          <w:b/>
          <w:bCs/>
          <w:color w:val="auto"/>
        </w:rPr>
        <w:t>.</w:t>
      </w:r>
      <w:r w:rsidRPr="00C86111">
        <w:rPr>
          <w:rFonts w:asciiTheme="minorHAnsi" w:hAnsiTheme="minorHAnsi" w:cstheme="minorHAnsi"/>
          <w:color w:val="auto"/>
        </w:rPr>
        <w:t xml:space="preserve"> Generisane količine otpada po grupama otpada za period 2017-2022 godina</w:t>
      </w:r>
    </w:p>
    <w:tbl>
      <w:tblPr>
        <w:tblStyle w:val="GridTable4-Accent6"/>
        <w:tblW w:w="9634" w:type="dxa"/>
        <w:tblLayout w:type="fixed"/>
        <w:tblLook w:val="0420" w:firstRow="1" w:lastRow="0" w:firstColumn="0" w:lastColumn="0" w:noHBand="0" w:noVBand="1"/>
      </w:tblPr>
      <w:tblGrid>
        <w:gridCol w:w="3681"/>
        <w:gridCol w:w="992"/>
        <w:gridCol w:w="992"/>
        <w:gridCol w:w="992"/>
        <w:gridCol w:w="992"/>
        <w:gridCol w:w="992"/>
        <w:gridCol w:w="993"/>
      </w:tblGrid>
      <w:tr w:rsidR="002B20A9" w:rsidRPr="00C86111" w14:paraId="4699A9A5" w14:textId="77777777" w:rsidTr="00BC765B">
        <w:trPr>
          <w:cnfStyle w:val="100000000000" w:firstRow="1" w:lastRow="0" w:firstColumn="0" w:lastColumn="0" w:oddVBand="0" w:evenVBand="0" w:oddHBand="0" w:evenHBand="0" w:firstRowFirstColumn="0" w:firstRowLastColumn="0" w:lastRowFirstColumn="0" w:lastRowLastColumn="0"/>
          <w:trHeight w:val="584"/>
        </w:trPr>
        <w:tc>
          <w:tcPr>
            <w:tcW w:w="3681" w:type="dxa"/>
            <w:vMerge w:val="restart"/>
            <w:hideMark/>
          </w:tcPr>
          <w:p w14:paraId="66B3A5A7" w14:textId="77777777" w:rsidR="002B20A9" w:rsidRPr="00C86111" w:rsidRDefault="002B20A9" w:rsidP="00BC765B">
            <w:pPr>
              <w:jc w:val="both"/>
              <w:rPr>
                <w:rFonts w:asciiTheme="minorHAnsi" w:hAnsiTheme="minorHAnsi" w:cstheme="minorHAnsi"/>
                <w:b w:val="0"/>
                <w:bCs w:val="0"/>
                <w:color w:val="auto"/>
                <w:sz w:val="20"/>
                <w:szCs w:val="20"/>
              </w:rPr>
            </w:pPr>
          </w:p>
          <w:p w14:paraId="14E6D9D4" w14:textId="77777777" w:rsidR="002B20A9" w:rsidRPr="00C86111" w:rsidRDefault="002B20A9"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Grupa otpada</w:t>
            </w:r>
          </w:p>
        </w:tc>
        <w:tc>
          <w:tcPr>
            <w:tcW w:w="5953" w:type="dxa"/>
            <w:gridSpan w:val="6"/>
          </w:tcPr>
          <w:p w14:paraId="773F4B8A" w14:textId="77777777" w:rsidR="002B20A9" w:rsidRPr="00C86111" w:rsidRDefault="002B20A9" w:rsidP="00E71878">
            <w:pPr>
              <w:jc w:val="center"/>
              <w:rPr>
                <w:rFonts w:asciiTheme="minorHAnsi" w:hAnsiTheme="minorHAnsi" w:cstheme="minorHAnsi"/>
                <w:b w:val="0"/>
                <w:bCs w:val="0"/>
                <w:color w:val="auto"/>
                <w:sz w:val="20"/>
                <w:szCs w:val="20"/>
              </w:rPr>
            </w:pPr>
          </w:p>
          <w:p w14:paraId="5241EFCF" w14:textId="77777777" w:rsidR="002B20A9" w:rsidRPr="00C86111" w:rsidRDefault="002B20A9" w:rsidP="00E71878">
            <w:pPr>
              <w:jc w:val="center"/>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Generisan</w:t>
            </w:r>
            <w:r w:rsidRPr="00C86111">
              <w:rPr>
                <w:rFonts w:asciiTheme="minorHAnsi" w:hAnsiTheme="minorHAnsi" w:cstheme="minorHAnsi"/>
                <w:color w:val="auto"/>
                <w:sz w:val="20"/>
                <w:szCs w:val="20"/>
                <w:lang w:val="sr-Latn-ME"/>
              </w:rPr>
              <w:t xml:space="preserve">e </w:t>
            </w:r>
            <w:r w:rsidRPr="00C86111">
              <w:rPr>
                <w:rFonts w:asciiTheme="minorHAnsi" w:hAnsiTheme="minorHAnsi" w:cstheme="minorHAnsi"/>
                <w:color w:val="auto"/>
                <w:sz w:val="20"/>
                <w:szCs w:val="20"/>
              </w:rPr>
              <w:t>količina otpada (t)</w:t>
            </w:r>
          </w:p>
        </w:tc>
      </w:tr>
      <w:tr w:rsidR="002B20A9" w:rsidRPr="00C86111" w14:paraId="75C48339" w14:textId="77777777" w:rsidTr="00BC765B">
        <w:trPr>
          <w:cnfStyle w:val="000000100000" w:firstRow="0" w:lastRow="0" w:firstColumn="0" w:lastColumn="0" w:oddVBand="0" w:evenVBand="0" w:oddHBand="1" w:evenHBand="0" w:firstRowFirstColumn="0" w:firstRowLastColumn="0" w:lastRowFirstColumn="0" w:lastRowLastColumn="0"/>
          <w:trHeight w:val="377"/>
        </w:trPr>
        <w:tc>
          <w:tcPr>
            <w:tcW w:w="3681" w:type="dxa"/>
            <w:vMerge/>
            <w:hideMark/>
          </w:tcPr>
          <w:p w14:paraId="100E09CB" w14:textId="77777777" w:rsidR="002B20A9" w:rsidRPr="00C86111" w:rsidRDefault="002B20A9" w:rsidP="00BC765B">
            <w:pPr>
              <w:jc w:val="both"/>
              <w:rPr>
                <w:rFonts w:asciiTheme="minorHAnsi" w:hAnsiTheme="minorHAnsi" w:cstheme="minorHAnsi"/>
                <w:color w:val="auto"/>
                <w:sz w:val="20"/>
                <w:szCs w:val="20"/>
              </w:rPr>
            </w:pPr>
          </w:p>
        </w:tc>
        <w:tc>
          <w:tcPr>
            <w:tcW w:w="992" w:type="dxa"/>
            <w:hideMark/>
          </w:tcPr>
          <w:p w14:paraId="059A64F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2017</w:t>
            </w:r>
          </w:p>
        </w:tc>
        <w:tc>
          <w:tcPr>
            <w:tcW w:w="992" w:type="dxa"/>
            <w:hideMark/>
          </w:tcPr>
          <w:p w14:paraId="0F206F17"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2018</w:t>
            </w:r>
          </w:p>
        </w:tc>
        <w:tc>
          <w:tcPr>
            <w:tcW w:w="992" w:type="dxa"/>
          </w:tcPr>
          <w:p w14:paraId="6A527588"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2019</w:t>
            </w:r>
          </w:p>
        </w:tc>
        <w:tc>
          <w:tcPr>
            <w:tcW w:w="992" w:type="dxa"/>
            <w:hideMark/>
          </w:tcPr>
          <w:p w14:paraId="7873DABD"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2020</w:t>
            </w:r>
          </w:p>
        </w:tc>
        <w:tc>
          <w:tcPr>
            <w:tcW w:w="992" w:type="dxa"/>
            <w:hideMark/>
          </w:tcPr>
          <w:p w14:paraId="0F9B79ED"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2021</w:t>
            </w:r>
          </w:p>
        </w:tc>
        <w:tc>
          <w:tcPr>
            <w:tcW w:w="993" w:type="dxa"/>
            <w:hideMark/>
          </w:tcPr>
          <w:p w14:paraId="5AA136E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2022</w:t>
            </w:r>
          </w:p>
        </w:tc>
      </w:tr>
      <w:tr w:rsidR="002B20A9" w:rsidRPr="00C86111" w14:paraId="11AC08F5" w14:textId="77777777" w:rsidTr="00BC765B">
        <w:trPr>
          <w:trHeight w:val="584"/>
        </w:trPr>
        <w:tc>
          <w:tcPr>
            <w:tcW w:w="3681" w:type="dxa"/>
            <w:hideMark/>
          </w:tcPr>
          <w:p w14:paraId="0EEB2835"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08 Otpad od proizvodnje, pripreme, distribucije i upotrebe premaza (boje, lakovi i staklene glazure), ljepila, zaptivača i štamparskih mastila</w:t>
            </w:r>
          </w:p>
        </w:tc>
        <w:tc>
          <w:tcPr>
            <w:tcW w:w="992" w:type="dxa"/>
            <w:hideMark/>
          </w:tcPr>
          <w:p w14:paraId="6E722E87"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13.9</w:t>
            </w:r>
          </w:p>
        </w:tc>
        <w:tc>
          <w:tcPr>
            <w:tcW w:w="992" w:type="dxa"/>
            <w:hideMark/>
          </w:tcPr>
          <w:p w14:paraId="2D6FD081"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18.6</w:t>
            </w:r>
          </w:p>
        </w:tc>
        <w:tc>
          <w:tcPr>
            <w:tcW w:w="992" w:type="dxa"/>
          </w:tcPr>
          <w:p w14:paraId="359EA83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8.0</w:t>
            </w:r>
          </w:p>
        </w:tc>
        <w:tc>
          <w:tcPr>
            <w:tcW w:w="992" w:type="dxa"/>
            <w:hideMark/>
          </w:tcPr>
          <w:p w14:paraId="22A877DD"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13.8</w:t>
            </w:r>
          </w:p>
        </w:tc>
        <w:tc>
          <w:tcPr>
            <w:tcW w:w="992" w:type="dxa"/>
            <w:hideMark/>
          </w:tcPr>
          <w:p w14:paraId="340B1501"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24.1</w:t>
            </w:r>
          </w:p>
        </w:tc>
        <w:tc>
          <w:tcPr>
            <w:tcW w:w="993" w:type="dxa"/>
            <w:hideMark/>
          </w:tcPr>
          <w:p w14:paraId="2831984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9.0</w:t>
            </w:r>
          </w:p>
        </w:tc>
      </w:tr>
      <w:tr w:rsidR="002B20A9" w:rsidRPr="00C86111" w14:paraId="066D2EB3" w14:textId="77777777" w:rsidTr="00BC765B">
        <w:trPr>
          <w:cnfStyle w:val="000000100000" w:firstRow="0" w:lastRow="0" w:firstColumn="0" w:lastColumn="0" w:oddVBand="0" w:evenVBand="0" w:oddHBand="1" w:evenHBand="0" w:firstRowFirstColumn="0" w:firstRowLastColumn="0" w:lastRowFirstColumn="0" w:lastRowLastColumn="0"/>
          <w:trHeight w:val="584"/>
        </w:trPr>
        <w:tc>
          <w:tcPr>
            <w:tcW w:w="3681" w:type="dxa"/>
            <w:hideMark/>
          </w:tcPr>
          <w:p w14:paraId="0FE049B7"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15 Otpad od ambalaže; apsorbenti, krpe za brisanje, materijali za filtriranje i zaštitne tkanine, ako nije drugačije specifikovan</w:t>
            </w:r>
          </w:p>
        </w:tc>
        <w:tc>
          <w:tcPr>
            <w:tcW w:w="992" w:type="dxa"/>
            <w:hideMark/>
          </w:tcPr>
          <w:p w14:paraId="2A78B97D"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4293</w:t>
            </w:r>
          </w:p>
        </w:tc>
        <w:tc>
          <w:tcPr>
            <w:tcW w:w="992" w:type="dxa"/>
            <w:hideMark/>
          </w:tcPr>
          <w:p w14:paraId="7470B93D"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1905</w:t>
            </w:r>
          </w:p>
        </w:tc>
        <w:tc>
          <w:tcPr>
            <w:tcW w:w="992" w:type="dxa"/>
          </w:tcPr>
          <w:p w14:paraId="237F4848"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2585</w:t>
            </w:r>
          </w:p>
        </w:tc>
        <w:tc>
          <w:tcPr>
            <w:tcW w:w="992" w:type="dxa"/>
            <w:hideMark/>
          </w:tcPr>
          <w:p w14:paraId="6504B404"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3117</w:t>
            </w:r>
          </w:p>
        </w:tc>
        <w:tc>
          <w:tcPr>
            <w:tcW w:w="992" w:type="dxa"/>
            <w:hideMark/>
          </w:tcPr>
          <w:p w14:paraId="007AF0B2"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3893</w:t>
            </w:r>
          </w:p>
        </w:tc>
        <w:tc>
          <w:tcPr>
            <w:tcW w:w="993" w:type="dxa"/>
            <w:hideMark/>
          </w:tcPr>
          <w:p w14:paraId="07709E15"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3521</w:t>
            </w:r>
          </w:p>
        </w:tc>
      </w:tr>
      <w:tr w:rsidR="002B20A9" w:rsidRPr="00C86111" w14:paraId="491F4210" w14:textId="77777777" w:rsidTr="00BC765B">
        <w:trPr>
          <w:trHeight w:val="584"/>
        </w:trPr>
        <w:tc>
          <w:tcPr>
            <w:tcW w:w="3681" w:type="dxa"/>
            <w:hideMark/>
          </w:tcPr>
          <w:p w14:paraId="25A5484E"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 Komunalni otpad (kućni otpad i slični komercijalni i industrijski otpad), uključujući odvojeno sakupljene frakcije</w:t>
            </w:r>
          </w:p>
        </w:tc>
        <w:tc>
          <w:tcPr>
            <w:tcW w:w="992" w:type="dxa"/>
            <w:hideMark/>
          </w:tcPr>
          <w:p w14:paraId="50D3AE2A"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30884</w:t>
            </w:r>
            <w:r w:rsidRPr="00C86111">
              <w:rPr>
                <w:rFonts w:asciiTheme="minorHAnsi" w:hAnsiTheme="minorHAnsi" w:cstheme="minorHAnsi"/>
                <w:color w:val="auto"/>
                <w:sz w:val="20"/>
                <w:szCs w:val="20"/>
                <w:lang w:val="sr-Latn-ME"/>
              </w:rPr>
              <w:t>2</w:t>
            </w:r>
          </w:p>
        </w:tc>
        <w:tc>
          <w:tcPr>
            <w:tcW w:w="992" w:type="dxa"/>
            <w:hideMark/>
          </w:tcPr>
          <w:p w14:paraId="63CD70F0"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320883</w:t>
            </w:r>
          </w:p>
        </w:tc>
        <w:tc>
          <w:tcPr>
            <w:tcW w:w="992" w:type="dxa"/>
          </w:tcPr>
          <w:p w14:paraId="5B728A17"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338261</w:t>
            </w:r>
          </w:p>
        </w:tc>
        <w:tc>
          <w:tcPr>
            <w:tcW w:w="992" w:type="dxa"/>
            <w:hideMark/>
          </w:tcPr>
          <w:p w14:paraId="54288B91"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300965</w:t>
            </w:r>
          </w:p>
        </w:tc>
        <w:tc>
          <w:tcPr>
            <w:tcW w:w="992" w:type="dxa"/>
            <w:hideMark/>
          </w:tcPr>
          <w:p w14:paraId="327F1324"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321849</w:t>
            </w:r>
          </w:p>
        </w:tc>
        <w:tc>
          <w:tcPr>
            <w:tcW w:w="993" w:type="dxa"/>
            <w:hideMark/>
          </w:tcPr>
          <w:p w14:paraId="500E2145" w14:textId="77777777" w:rsidR="002B20A9" w:rsidRPr="00C86111" w:rsidRDefault="002B20A9" w:rsidP="00E71878">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332307</w:t>
            </w:r>
          </w:p>
        </w:tc>
      </w:tr>
    </w:tbl>
    <w:p w14:paraId="4F362C2A" w14:textId="77777777" w:rsidR="002B20A9" w:rsidRPr="00C86111" w:rsidRDefault="002B20A9" w:rsidP="002B20A9">
      <w:pPr>
        <w:jc w:val="both"/>
        <w:rPr>
          <w:rFonts w:asciiTheme="minorHAnsi" w:hAnsiTheme="minorHAnsi" w:cstheme="minorHAnsi"/>
          <w:color w:val="auto"/>
        </w:rPr>
      </w:pPr>
    </w:p>
    <w:p w14:paraId="6C49249E"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Analizom dobijenih podataka može se zaključiti da je najveća količina generisanog otpada </w:t>
      </w:r>
      <w:r w:rsidRPr="00C86111">
        <w:rPr>
          <w:rFonts w:asciiTheme="minorHAnsi" w:eastAsia="SimSun" w:hAnsiTheme="minorHAnsi" w:cstheme="minorHAnsi"/>
          <w:color w:val="auto"/>
        </w:rPr>
        <w:t xml:space="preserve">koji potencijalno može da sadrži PFOS, njegove soli i PFOSF </w:t>
      </w:r>
      <w:r w:rsidRPr="00C86111">
        <w:rPr>
          <w:rFonts w:asciiTheme="minorHAnsi" w:hAnsiTheme="minorHAnsi" w:cstheme="minorHAnsi"/>
          <w:color w:val="auto"/>
        </w:rPr>
        <w:t xml:space="preserve">iz grupe otpada 20-komunalni otpad. </w:t>
      </w:r>
    </w:p>
    <w:p w14:paraId="4D0EA7AD"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S obzirom da ne postoji indeksni broj za otpad koji sadrži PFOS, njegove soli i PFOSF, prikazani podaci o generisanim količinama otpada nisu ograničeni samo na otpad koji potencijalno sadrži PFOS, tako da se na osnovu dobijenih podataka ne može tačno utvrditi koliki je udio količine otpada koji potencijalno sadrži PFOS.</w:t>
      </w:r>
    </w:p>
    <w:p w14:paraId="46436F70" w14:textId="2BCBF743"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Međutim, na osnovu podataka o sastavu čvrstog komunalnog otpada, koji su dati u “Državnom planu upravljanja otpadom za period 2024-2028 godina” kao i “</w:t>
      </w:r>
      <w:r w:rsidRPr="00C86111">
        <w:rPr>
          <w:rFonts w:asciiTheme="minorHAnsi" w:hAnsiTheme="minorHAnsi" w:cstheme="minorHAnsi"/>
          <w:color w:val="auto"/>
        </w:rPr>
        <w:t>Državnom planu upravljanja otpadom za period 2015-2020 godina”,</w:t>
      </w:r>
      <w:r w:rsidRPr="00C86111">
        <w:rPr>
          <w:rFonts w:asciiTheme="minorHAnsi" w:eastAsia="SimSun" w:hAnsiTheme="minorHAnsi" w:cstheme="minorHAnsi"/>
          <w:color w:val="auto"/>
        </w:rPr>
        <w:t xml:space="preserve"> gdje su procijenjene količine generisanog otpadnog tekstila i papira/kartona za 2021 godinu, i 2013 godinu, izračunat je potencijalni sadržaj PFOS-a u njima uzimajući u obzir informaciju da je sadržaj tekstila u komunalnom otpadu oko 3% a sadržaj </w:t>
      </w:r>
      <w:r w:rsidRPr="00C86111">
        <w:rPr>
          <w:rFonts w:asciiTheme="minorHAnsi" w:eastAsia="SimSun" w:hAnsiTheme="minorHAnsi" w:cstheme="minorHAnsi"/>
          <w:color w:val="auto"/>
        </w:rPr>
        <w:lastRenderedPageBreak/>
        <w:t xml:space="preserve">papira/kartona oko 15 % i pretpostavljajući da je sastav komunalnog otpada na godišnjem nivou manje više isti (Tabele </w:t>
      </w:r>
      <w:r w:rsidR="00632BFA" w:rsidRPr="00C86111">
        <w:rPr>
          <w:rFonts w:asciiTheme="minorHAnsi" w:eastAsia="SimSun" w:hAnsiTheme="minorHAnsi" w:cstheme="minorHAnsi"/>
          <w:color w:val="auto"/>
        </w:rPr>
        <w:t>78</w:t>
      </w:r>
      <w:r w:rsidRPr="00C86111">
        <w:rPr>
          <w:rFonts w:asciiTheme="minorHAnsi" w:eastAsia="SimSun" w:hAnsiTheme="minorHAnsi" w:cstheme="minorHAnsi"/>
          <w:color w:val="auto"/>
        </w:rPr>
        <w:t>-</w:t>
      </w:r>
      <w:r w:rsidR="00632BFA" w:rsidRPr="00C86111">
        <w:rPr>
          <w:rFonts w:asciiTheme="minorHAnsi" w:eastAsia="SimSun" w:hAnsiTheme="minorHAnsi" w:cstheme="minorHAnsi"/>
          <w:color w:val="auto"/>
        </w:rPr>
        <w:t>79</w:t>
      </w:r>
      <w:r w:rsidRPr="00C86111">
        <w:rPr>
          <w:rFonts w:asciiTheme="minorHAnsi" w:eastAsia="SimSun" w:hAnsiTheme="minorHAnsi" w:cstheme="minorHAnsi"/>
          <w:color w:val="auto"/>
        </w:rPr>
        <w:t xml:space="preserve">). </w:t>
      </w:r>
    </w:p>
    <w:p w14:paraId="2417027E" w14:textId="77777777" w:rsidR="002B20A9" w:rsidRPr="00C86111" w:rsidRDefault="002B20A9" w:rsidP="002B20A9">
      <w:pPr>
        <w:jc w:val="both"/>
        <w:rPr>
          <w:rFonts w:asciiTheme="minorHAnsi" w:hAnsiTheme="minorHAnsi" w:cstheme="minorHAnsi"/>
          <w:color w:val="auto"/>
        </w:rPr>
      </w:pPr>
      <w:r w:rsidRPr="00C86111">
        <w:rPr>
          <w:rFonts w:asciiTheme="minorHAnsi" w:eastAsia="SimSun" w:hAnsiTheme="minorHAnsi" w:cstheme="minorHAnsi"/>
          <w:color w:val="auto"/>
        </w:rPr>
        <w:t xml:space="preserve">Na osnovu prethodno navedenih informacija, zatim informacija o količini generisanog komunalnog otpada na godišnjem nivou, izračunat je potencijalni sadržaj PFOS u otpadnom papiru/kartonu kao i tekstilu </w:t>
      </w:r>
      <w:r w:rsidRPr="00C86111">
        <w:rPr>
          <w:rFonts w:asciiTheme="minorHAnsi" w:hAnsiTheme="minorHAnsi" w:cstheme="minorHAnsi"/>
          <w:color w:val="auto"/>
        </w:rPr>
        <w:t xml:space="preserve">za period 2017-2022 godina. </w:t>
      </w:r>
    </w:p>
    <w:p w14:paraId="21C75758"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hAnsiTheme="minorHAnsi" w:cstheme="minorHAnsi"/>
          <w:color w:val="auto"/>
        </w:rPr>
        <w:t>Za procjenu potencijalnog sadržaja PFOS-a u otpadnom papiru/kartonu, zbog nedostatka informacije o udjelu impregniranog papira/kartona u ukupnom otpadnom papiru/kartonu, pretpostavljeno je da je odnos sličan odnosu količine ukupno uvezenog papira/kartona i količine uvezenog impregniranog papira/kartona</w:t>
      </w:r>
      <w:r w:rsidRPr="00C86111">
        <w:rPr>
          <w:rFonts w:asciiTheme="minorHAnsi" w:eastAsia="Times New Roman" w:hAnsiTheme="minorHAnsi" w:cstheme="minorHAnsi"/>
          <w:color w:val="auto"/>
          <w:lang w:eastAsia="en-GB"/>
        </w:rPr>
        <w:t>, odnosno oko 5%.</w:t>
      </w:r>
    </w:p>
    <w:p w14:paraId="776E8DF4" w14:textId="77777777" w:rsidR="002B20A9" w:rsidRPr="00C86111" w:rsidRDefault="002B20A9" w:rsidP="002B20A9">
      <w:pPr>
        <w:jc w:val="both"/>
        <w:rPr>
          <w:rFonts w:asciiTheme="minorHAnsi" w:eastAsia="Times New Roman" w:hAnsiTheme="minorHAnsi" w:cstheme="minorHAnsi"/>
          <w:color w:val="auto"/>
          <w:lang w:eastAsia="en-GB"/>
        </w:rPr>
      </w:pPr>
    </w:p>
    <w:p w14:paraId="6748B250" w14:textId="74D9BBB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632BFA" w:rsidRPr="00C86111">
        <w:rPr>
          <w:rFonts w:asciiTheme="minorHAnsi" w:hAnsiTheme="minorHAnsi" w:cstheme="minorHAnsi"/>
          <w:b/>
          <w:bCs/>
          <w:color w:val="auto"/>
        </w:rPr>
        <w:t>78</w:t>
      </w:r>
      <w:r w:rsidRPr="00C86111">
        <w:rPr>
          <w:rFonts w:asciiTheme="minorHAnsi" w:hAnsiTheme="minorHAnsi" w:cstheme="minorHAnsi"/>
          <w:b/>
          <w:bCs/>
          <w:color w:val="auto"/>
        </w:rPr>
        <w:t>.</w:t>
      </w:r>
      <w:r w:rsidRPr="00C86111">
        <w:rPr>
          <w:rFonts w:asciiTheme="minorHAnsi" w:hAnsiTheme="minorHAnsi" w:cstheme="minorHAnsi"/>
          <w:color w:val="auto"/>
        </w:rPr>
        <w:t xml:space="preserve"> Potencijalni sadržaj PFOS u generisanom otpadnom papiru/kartonu za period 2017-2022 godina</w:t>
      </w:r>
    </w:p>
    <w:tbl>
      <w:tblPr>
        <w:tblStyle w:val="GridTable5Dark-Accent6"/>
        <w:tblW w:w="9175" w:type="dxa"/>
        <w:tblLook w:val="04A0" w:firstRow="1" w:lastRow="0" w:firstColumn="1" w:lastColumn="0" w:noHBand="0" w:noVBand="1"/>
      </w:tblPr>
      <w:tblGrid>
        <w:gridCol w:w="1559"/>
        <w:gridCol w:w="1701"/>
        <w:gridCol w:w="1727"/>
        <w:gridCol w:w="2238"/>
        <w:gridCol w:w="1950"/>
      </w:tblGrid>
      <w:tr w:rsidR="002B20A9" w:rsidRPr="00C86111" w14:paraId="6D044633" w14:textId="77777777" w:rsidTr="00E71878">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9" w:type="dxa"/>
            <w:vAlign w:val="center"/>
            <w:hideMark/>
          </w:tcPr>
          <w:p w14:paraId="38CC7DAC" w14:textId="77777777" w:rsidR="002B20A9" w:rsidRPr="00C86111" w:rsidRDefault="002B20A9" w:rsidP="00BC765B">
            <w:pPr>
              <w:jc w:val="both"/>
              <w:rPr>
                <w:rFonts w:asciiTheme="minorHAnsi" w:hAnsiTheme="minorHAnsi" w:cstheme="minorHAnsi"/>
                <w:color w:val="auto"/>
                <w:sz w:val="20"/>
                <w:szCs w:val="20"/>
              </w:rPr>
            </w:pPr>
          </w:p>
          <w:p w14:paraId="17FDF70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Proizvod</w:t>
            </w:r>
          </w:p>
        </w:tc>
        <w:tc>
          <w:tcPr>
            <w:tcW w:w="1701" w:type="dxa"/>
            <w:vAlign w:val="center"/>
            <w:hideMark/>
          </w:tcPr>
          <w:p w14:paraId="04FB2662"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Godina</w:t>
            </w:r>
          </w:p>
        </w:tc>
        <w:tc>
          <w:tcPr>
            <w:tcW w:w="1727" w:type="dxa"/>
            <w:vAlign w:val="center"/>
            <w:hideMark/>
          </w:tcPr>
          <w:p w14:paraId="31FC38B9"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Količina (kg)</w:t>
            </w:r>
          </w:p>
        </w:tc>
        <w:tc>
          <w:tcPr>
            <w:tcW w:w="2238" w:type="dxa"/>
            <w:vAlign w:val="center"/>
            <w:hideMark/>
          </w:tcPr>
          <w:p w14:paraId="3418D0BF"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PFOS sadržaj</w:t>
            </w:r>
          </w:p>
          <w:p w14:paraId="370D0A6D"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Približna vrijednost</w:t>
            </w:r>
          </w:p>
          <w:p w14:paraId="0A55C5AD"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(mg PFOS/kg proizvoda)</w:t>
            </w:r>
          </w:p>
        </w:tc>
        <w:tc>
          <w:tcPr>
            <w:tcW w:w="1950" w:type="dxa"/>
            <w:vAlign w:val="center"/>
            <w:hideMark/>
          </w:tcPr>
          <w:p w14:paraId="178D3BAB"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Količina PFOS (t)</w:t>
            </w:r>
          </w:p>
          <w:p w14:paraId="2036BCFB"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najniža/</w:t>
            </w:r>
          </w:p>
          <w:p w14:paraId="6EFCA2F3" w14:textId="77777777" w:rsidR="002B20A9" w:rsidRPr="00C86111" w:rsidRDefault="002B20A9" w:rsidP="00C97F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63A01CC5" w14:textId="77777777" w:rsidTr="00E7187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5806118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Papir/karton</w:t>
            </w:r>
          </w:p>
        </w:tc>
        <w:tc>
          <w:tcPr>
            <w:tcW w:w="1701" w:type="dxa"/>
            <w:vAlign w:val="center"/>
            <w:hideMark/>
          </w:tcPr>
          <w:p w14:paraId="7BDB63BF"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2017</w:t>
            </w:r>
          </w:p>
        </w:tc>
        <w:tc>
          <w:tcPr>
            <w:tcW w:w="1727" w:type="dxa"/>
            <w:vAlign w:val="center"/>
            <w:hideMark/>
          </w:tcPr>
          <w:p w14:paraId="2A8E9252"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2565211</w:t>
            </w:r>
          </w:p>
        </w:tc>
        <w:tc>
          <w:tcPr>
            <w:tcW w:w="2238" w:type="dxa"/>
            <w:vAlign w:val="center"/>
            <w:hideMark/>
          </w:tcPr>
          <w:p w14:paraId="3A90180D"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1000–10000</w:t>
            </w:r>
          </w:p>
        </w:tc>
        <w:tc>
          <w:tcPr>
            <w:tcW w:w="1950" w:type="dxa"/>
            <w:vAlign w:val="center"/>
          </w:tcPr>
          <w:p w14:paraId="44F77068"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2.6-26</w:t>
            </w:r>
          </w:p>
        </w:tc>
      </w:tr>
      <w:tr w:rsidR="002B20A9" w:rsidRPr="00C86111" w14:paraId="5CADC8E7" w14:textId="77777777" w:rsidTr="00E71878">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107CAD5A" w14:textId="77777777" w:rsidR="002B20A9" w:rsidRPr="00C86111" w:rsidRDefault="002B20A9" w:rsidP="00BC765B">
            <w:pPr>
              <w:jc w:val="both"/>
              <w:rPr>
                <w:rFonts w:asciiTheme="minorHAnsi" w:hAnsiTheme="minorHAnsi" w:cstheme="minorHAnsi"/>
                <w:color w:val="auto"/>
                <w:sz w:val="20"/>
                <w:szCs w:val="20"/>
              </w:rPr>
            </w:pPr>
          </w:p>
        </w:tc>
        <w:tc>
          <w:tcPr>
            <w:tcW w:w="1701" w:type="dxa"/>
            <w:vAlign w:val="center"/>
            <w:hideMark/>
          </w:tcPr>
          <w:p w14:paraId="1A130BDF"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2018</w:t>
            </w:r>
          </w:p>
        </w:tc>
        <w:tc>
          <w:tcPr>
            <w:tcW w:w="1727" w:type="dxa"/>
            <w:vAlign w:val="center"/>
            <w:hideMark/>
          </w:tcPr>
          <w:p w14:paraId="67BB2A00"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2662113</w:t>
            </w:r>
          </w:p>
        </w:tc>
        <w:tc>
          <w:tcPr>
            <w:tcW w:w="2238" w:type="dxa"/>
            <w:vAlign w:val="center"/>
            <w:hideMark/>
          </w:tcPr>
          <w:p w14:paraId="1247207D"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1000–10000</w:t>
            </w:r>
          </w:p>
        </w:tc>
        <w:tc>
          <w:tcPr>
            <w:tcW w:w="1950" w:type="dxa"/>
            <w:vAlign w:val="center"/>
          </w:tcPr>
          <w:p w14:paraId="4DB610C2"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2.7-27</w:t>
            </w:r>
          </w:p>
        </w:tc>
      </w:tr>
      <w:tr w:rsidR="002B20A9" w:rsidRPr="00C86111" w14:paraId="097F561C" w14:textId="77777777" w:rsidTr="00E7187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12012B60" w14:textId="77777777" w:rsidR="002B20A9" w:rsidRPr="00C86111" w:rsidRDefault="002B20A9" w:rsidP="00BC765B">
            <w:pPr>
              <w:jc w:val="both"/>
              <w:rPr>
                <w:rFonts w:asciiTheme="minorHAnsi" w:hAnsiTheme="minorHAnsi" w:cstheme="minorHAnsi"/>
                <w:color w:val="auto"/>
                <w:sz w:val="20"/>
                <w:szCs w:val="20"/>
              </w:rPr>
            </w:pPr>
          </w:p>
        </w:tc>
        <w:tc>
          <w:tcPr>
            <w:tcW w:w="1701" w:type="dxa"/>
            <w:vAlign w:val="center"/>
            <w:hideMark/>
          </w:tcPr>
          <w:p w14:paraId="51E9B31A"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2019</w:t>
            </w:r>
          </w:p>
        </w:tc>
        <w:tc>
          <w:tcPr>
            <w:tcW w:w="1727" w:type="dxa"/>
            <w:vAlign w:val="center"/>
            <w:hideMark/>
          </w:tcPr>
          <w:p w14:paraId="0D88D340"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3066485</w:t>
            </w:r>
          </w:p>
        </w:tc>
        <w:tc>
          <w:tcPr>
            <w:tcW w:w="2238" w:type="dxa"/>
            <w:vAlign w:val="center"/>
            <w:hideMark/>
          </w:tcPr>
          <w:p w14:paraId="551CF9D1"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1000–10000</w:t>
            </w:r>
          </w:p>
        </w:tc>
        <w:tc>
          <w:tcPr>
            <w:tcW w:w="1950" w:type="dxa"/>
            <w:vAlign w:val="center"/>
          </w:tcPr>
          <w:p w14:paraId="53A8B046"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3.1-31</w:t>
            </w:r>
          </w:p>
        </w:tc>
      </w:tr>
      <w:tr w:rsidR="002B20A9" w:rsidRPr="00C86111" w14:paraId="3B60BC83" w14:textId="77777777" w:rsidTr="00E71878">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5171A21" w14:textId="77777777" w:rsidR="002B20A9" w:rsidRPr="00C86111" w:rsidRDefault="002B20A9" w:rsidP="00BC765B">
            <w:pPr>
              <w:jc w:val="both"/>
              <w:rPr>
                <w:rFonts w:asciiTheme="minorHAnsi" w:hAnsiTheme="minorHAnsi" w:cstheme="minorHAnsi"/>
                <w:color w:val="auto"/>
                <w:sz w:val="20"/>
                <w:szCs w:val="20"/>
              </w:rPr>
            </w:pPr>
          </w:p>
        </w:tc>
        <w:tc>
          <w:tcPr>
            <w:tcW w:w="1701" w:type="dxa"/>
            <w:vAlign w:val="center"/>
            <w:hideMark/>
          </w:tcPr>
          <w:p w14:paraId="12525967"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2020</w:t>
            </w:r>
          </w:p>
        </w:tc>
        <w:tc>
          <w:tcPr>
            <w:tcW w:w="1727" w:type="dxa"/>
            <w:vAlign w:val="center"/>
            <w:hideMark/>
          </w:tcPr>
          <w:p w14:paraId="7C3C902B"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2334628</w:t>
            </w:r>
          </w:p>
        </w:tc>
        <w:tc>
          <w:tcPr>
            <w:tcW w:w="2238" w:type="dxa"/>
            <w:vAlign w:val="center"/>
            <w:hideMark/>
          </w:tcPr>
          <w:p w14:paraId="3A73B3F6"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1000–10000</w:t>
            </w:r>
          </w:p>
        </w:tc>
        <w:tc>
          <w:tcPr>
            <w:tcW w:w="1950" w:type="dxa"/>
            <w:vAlign w:val="center"/>
          </w:tcPr>
          <w:p w14:paraId="03CBC567"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2.3-23</w:t>
            </w:r>
          </w:p>
        </w:tc>
      </w:tr>
      <w:tr w:rsidR="002B20A9" w:rsidRPr="00C86111" w14:paraId="46B9FB5F" w14:textId="77777777" w:rsidTr="00E7187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092CBAFF" w14:textId="77777777" w:rsidR="002B20A9" w:rsidRPr="00C86111" w:rsidRDefault="002B20A9" w:rsidP="00BC765B">
            <w:pPr>
              <w:jc w:val="both"/>
              <w:rPr>
                <w:rFonts w:asciiTheme="minorHAnsi" w:hAnsiTheme="minorHAnsi" w:cstheme="minorHAnsi"/>
                <w:color w:val="auto"/>
                <w:sz w:val="20"/>
                <w:szCs w:val="20"/>
              </w:rPr>
            </w:pPr>
          </w:p>
        </w:tc>
        <w:tc>
          <w:tcPr>
            <w:tcW w:w="1701" w:type="dxa"/>
            <w:vAlign w:val="center"/>
            <w:hideMark/>
          </w:tcPr>
          <w:p w14:paraId="140E6E1B"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1727" w:type="dxa"/>
            <w:vAlign w:val="center"/>
            <w:hideMark/>
          </w:tcPr>
          <w:p w14:paraId="08A2AE65"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2168231</w:t>
            </w:r>
          </w:p>
        </w:tc>
        <w:tc>
          <w:tcPr>
            <w:tcW w:w="2238" w:type="dxa"/>
            <w:vAlign w:val="center"/>
            <w:hideMark/>
          </w:tcPr>
          <w:p w14:paraId="64090F16"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1000–10000</w:t>
            </w:r>
          </w:p>
        </w:tc>
        <w:tc>
          <w:tcPr>
            <w:tcW w:w="1950" w:type="dxa"/>
            <w:vAlign w:val="center"/>
          </w:tcPr>
          <w:p w14:paraId="4A94BA40" w14:textId="77777777" w:rsidR="002B20A9" w:rsidRPr="00C86111" w:rsidRDefault="002B20A9" w:rsidP="00C97F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2.2-22</w:t>
            </w:r>
          </w:p>
        </w:tc>
      </w:tr>
      <w:tr w:rsidR="002B20A9" w:rsidRPr="00C86111" w14:paraId="2019B596" w14:textId="77777777" w:rsidTr="00E71878">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67ED4859" w14:textId="77777777" w:rsidR="002B20A9" w:rsidRPr="00C86111" w:rsidRDefault="002B20A9" w:rsidP="00BC765B">
            <w:pPr>
              <w:jc w:val="both"/>
              <w:rPr>
                <w:rFonts w:asciiTheme="minorHAnsi" w:hAnsiTheme="minorHAnsi" w:cstheme="minorHAnsi"/>
                <w:color w:val="auto"/>
                <w:sz w:val="20"/>
                <w:szCs w:val="20"/>
              </w:rPr>
            </w:pPr>
          </w:p>
        </w:tc>
        <w:tc>
          <w:tcPr>
            <w:tcW w:w="1701" w:type="dxa"/>
            <w:vAlign w:val="center"/>
            <w:hideMark/>
          </w:tcPr>
          <w:p w14:paraId="14FD5A32"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2022</w:t>
            </w:r>
          </w:p>
        </w:tc>
        <w:tc>
          <w:tcPr>
            <w:tcW w:w="1727" w:type="dxa"/>
            <w:vAlign w:val="center"/>
            <w:hideMark/>
          </w:tcPr>
          <w:p w14:paraId="5679FE2A"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2671714</w:t>
            </w:r>
          </w:p>
        </w:tc>
        <w:tc>
          <w:tcPr>
            <w:tcW w:w="2238" w:type="dxa"/>
            <w:vAlign w:val="center"/>
            <w:hideMark/>
          </w:tcPr>
          <w:p w14:paraId="21186E79"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1000–10000</w:t>
            </w:r>
          </w:p>
        </w:tc>
        <w:tc>
          <w:tcPr>
            <w:tcW w:w="1950" w:type="dxa"/>
            <w:vAlign w:val="center"/>
          </w:tcPr>
          <w:p w14:paraId="4152C9EF" w14:textId="77777777" w:rsidR="002B20A9" w:rsidRPr="00C86111" w:rsidRDefault="002B20A9" w:rsidP="00C97F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2.7-27</w:t>
            </w:r>
          </w:p>
        </w:tc>
      </w:tr>
    </w:tbl>
    <w:p w14:paraId="1557F437" w14:textId="77777777" w:rsidR="002B20A9" w:rsidRPr="00C86111" w:rsidRDefault="002B20A9" w:rsidP="002B20A9">
      <w:pPr>
        <w:jc w:val="both"/>
        <w:rPr>
          <w:rFonts w:asciiTheme="minorHAnsi" w:hAnsiTheme="minorHAnsi" w:cstheme="minorHAnsi"/>
          <w:color w:val="auto"/>
        </w:rPr>
      </w:pPr>
    </w:p>
    <w:p w14:paraId="6A40A8B6" w14:textId="77777777" w:rsidR="002B20A9" w:rsidRPr="00C86111" w:rsidRDefault="002B20A9" w:rsidP="002B20A9">
      <w:pPr>
        <w:jc w:val="both"/>
        <w:rPr>
          <w:rFonts w:asciiTheme="minorHAnsi" w:hAnsiTheme="minorHAnsi" w:cstheme="minorHAnsi"/>
          <w:color w:val="auto"/>
        </w:rPr>
      </w:pPr>
    </w:p>
    <w:p w14:paraId="4D9539F0" w14:textId="5507C3DB"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632BFA" w:rsidRPr="00C86111">
        <w:rPr>
          <w:rFonts w:asciiTheme="minorHAnsi" w:hAnsiTheme="minorHAnsi" w:cstheme="minorHAnsi"/>
          <w:b/>
          <w:bCs/>
          <w:color w:val="auto"/>
        </w:rPr>
        <w:t>79</w:t>
      </w:r>
      <w:r w:rsidRPr="00C86111">
        <w:rPr>
          <w:rFonts w:asciiTheme="minorHAnsi" w:hAnsiTheme="minorHAnsi" w:cstheme="minorHAnsi"/>
          <w:b/>
          <w:bCs/>
          <w:color w:val="auto"/>
        </w:rPr>
        <w:t>.</w:t>
      </w:r>
      <w:r w:rsidRPr="00C86111">
        <w:rPr>
          <w:rFonts w:asciiTheme="minorHAnsi" w:hAnsiTheme="minorHAnsi" w:cstheme="minorHAnsi"/>
          <w:color w:val="auto"/>
        </w:rPr>
        <w:t xml:space="preserve"> Potencijalni sadržaj PFOS u generisanom otpadnom tekstilu za period 2017-2022 godina</w:t>
      </w:r>
      <w:r w:rsidR="00632BFA" w:rsidRPr="00C86111">
        <w:rPr>
          <w:rFonts w:asciiTheme="minorHAnsi" w:hAnsiTheme="minorHAnsi" w:cstheme="minorHAnsi"/>
          <w:color w:val="auto"/>
        </w:rPr>
        <w:t xml:space="preserve"> </w:t>
      </w:r>
    </w:p>
    <w:tbl>
      <w:tblPr>
        <w:tblStyle w:val="GridTable5Dark-Accent6"/>
        <w:tblW w:w="9067" w:type="dxa"/>
        <w:tblLook w:val="04A0" w:firstRow="1" w:lastRow="0" w:firstColumn="1" w:lastColumn="0" w:noHBand="0" w:noVBand="1"/>
      </w:tblPr>
      <w:tblGrid>
        <w:gridCol w:w="1559"/>
        <w:gridCol w:w="1701"/>
        <w:gridCol w:w="1727"/>
        <w:gridCol w:w="2238"/>
        <w:gridCol w:w="1842"/>
      </w:tblGrid>
      <w:tr w:rsidR="002B20A9" w:rsidRPr="00C86111" w14:paraId="5DF2EECA" w14:textId="77777777" w:rsidTr="00BC76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9" w:type="dxa"/>
            <w:hideMark/>
          </w:tcPr>
          <w:p w14:paraId="593F12FF" w14:textId="77777777" w:rsidR="002B20A9" w:rsidRPr="00C86111" w:rsidRDefault="002B20A9" w:rsidP="00BC765B">
            <w:pPr>
              <w:jc w:val="both"/>
              <w:rPr>
                <w:rFonts w:asciiTheme="minorHAnsi" w:eastAsia="Times New Roman" w:hAnsiTheme="minorHAnsi" w:cstheme="minorHAnsi"/>
                <w:b w:val="0"/>
                <w:bCs w:val="0"/>
                <w:color w:val="auto"/>
                <w:sz w:val="20"/>
                <w:szCs w:val="20"/>
                <w:lang w:val="sr-Latn-ME"/>
              </w:rPr>
            </w:pPr>
          </w:p>
          <w:p w14:paraId="63C89C1F" w14:textId="77777777" w:rsidR="002B20A9" w:rsidRPr="00C86111" w:rsidRDefault="002B20A9" w:rsidP="00BC765B">
            <w:pPr>
              <w:jc w:val="both"/>
              <w:rPr>
                <w:rFonts w:asciiTheme="minorHAnsi" w:eastAsia="Times New Roman" w:hAnsiTheme="minorHAnsi" w:cstheme="minorHAnsi"/>
                <w:b w:val="0"/>
                <w:bCs w:val="0"/>
                <w:color w:val="auto"/>
                <w:sz w:val="20"/>
                <w:szCs w:val="20"/>
                <w:lang w:val="sr-Latn-ME"/>
              </w:rPr>
            </w:pPr>
          </w:p>
          <w:p w14:paraId="221A4926"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val="sr-Latn-ME"/>
              </w:rPr>
              <w:t>Proizvod</w:t>
            </w:r>
          </w:p>
        </w:tc>
        <w:tc>
          <w:tcPr>
            <w:tcW w:w="1701" w:type="dxa"/>
            <w:hideMark/>
          </w:tcPr>
          <w:p w14:paraId="65750241"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val="sr-Latn-ME"/>
              </w:rPr>
              <w:t>Godina</w:t>
            </w:r>
          </w:p>
        </w:tc>
        <w:tc>
          <w:tcPr>
            <w:tcW w:w="1727" w:type="dxa"/>
            <w:hideMark/>
          </w:tcPr>
          <w:p w14:paraId="54E47471"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Količina (m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w:t>
            </w:r>
          </w:p>
        </w:tc>
        <w:tc>
          <w:tcPr>
            <w:tcW w:w="2238" w:type="dxa"/>
            <w:hideMark/>
          </w:tcPr>
          <w:p w14:paraId="5B54046A"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PFOS sadržaj</w:t>
            </w:r>
          </w:p>
          <w:p w14:paraId="413A4FE4"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7517C18E"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(mg PFOS/m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 xml:space="preserve"> proizvoda)</w:t>
            </w:r>
          </w:p>
        </w:tc>
        <w:tc>
          <w:tcPr>
            <w:tcW w:w="1842" w:type="dxa"/>
            <w:hideMark/>
          </w:tcPr>
          <w:p w14:paraId="2B695BB9"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PFOS (kg)</w:t>
            </w:r>
          </w:p>
          <w:p w14:paraId="03F09ADB"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40718472"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1870A162"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restart"/>
            <w:hideMark/>
          </w:tcPr>
          <w:p w14:paraId="4BBFB25E"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Tekstil</w:t>
            </w:r>
          </w:p>
        </w:tc>
        <w:tc>
          <w:tcPr>
            <w:tcW w:w="1701" w:type="dxa"/>
            <w:hideMark/>
          </w:tcPr>
          <w:p w14:paraId="142AAB13"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2017</w:t>
            </w:r>
          </w:p>
        </w:tc>
        <w:tc>
          <w:tcPr>
            <w:tcW w:w="1727" w:type="dxa"/>
          </w:tcPr>
          <w:p w14:paraId="43F1B319"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19457033</w:t>
            </w:r>
          </w:p>
        </w:tc>
        <w:tc>
          <w:tcPr>
            <w:tcW w:w="2238" w:type="dxa"/>
          </w:tcPr>
          <w:p w14:paraId="2A708C9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42" w:type="dxa"/>
          </w:tcPr>
          <w:p w14:paraId="3ACE53C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0.0-0.19</w:t>
            </w:r>
          </w:p>
        </w:tc>
      </w:tr>
      <w:tr w:rsidR="002B20A9" w:rsidRPr="00C86111" w14:paraId="453AE028"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33EBE6E6"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7C05C52A"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2018</w:t>
            </w:r>
          </w:p>
        </w:tc>
        <w:tc>
          <w:tcPr>
            <w:tcW w:w="1727" w:type="dxa"/>
          </w:tcPr>
          <w:p w14:paraId="0469E4A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20215598</w:t>
            </w:r>
          </w:p>
        </w:tc>
        <w:tc>
          <w:tcPr>
            <w:tcW w:w="2238" w:type="dxa"/>
          </w:tcPr>
          <w:p w14:paraId="6D74BE7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42" w:type="dxa"/>
          </w:tcPr>
          <w:p w14:paraId="32BAD99B"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0.0-0.20</w:t>
            </w:r>
          </w:p>
        </w:tc>
      </w:tr>
      <w:tr w:rsidR="002B20A9" w:rsidRPr="00C86111" w14:paraId="0652EAA1"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7EB637FE"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2F8F06D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2019</w:t>
            </w:r>
          </w:p>
        </w:tc>
        <w:tc>
          <w:tcPr>
            <w:tcW w:w="1727" w:type="dxa"/>
          </w:tcPr>
          <w:p w14:paraId="1D05E11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21310412</w:t>
            </w:r>
          </w:p>
        </w:tc>
        <w:tc>
          <w:tcPr>
            <w:tcW w:w="2238" w:type="dxa"/>
          </w:tcPr>
          <w:p w14:paraId="0598DC51"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42" w:type="dxa"/>
          </w:tcPr>
          <w:p w14:paraId="5448C24D"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0.0-0.21</w:t>
            </w:r>
          </w:p>
        </w:tc>
      </w:tr>
      <w:tr w:rsidR="002B20A9" w:rsidRPr="00C86111" w14:paraId="5215CBB6"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35FFD01F"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31E0007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2020</w:t>
            </w:r>
          </w:p>
        </w:tc>
        <w:tc>
          <w:tcPr>
            <w:tcW w:w="1727" w:type="dxa"/>
          </w:tcPr>
          <w:p w14:paraId="797FA35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18960795</w:t>
            </w:r>
          </w:p>
        </w:tc>
        <w:tc>
          <w:tcPr>
            <w:tcW w:w="2238" w:type="dxa"/>
          </w:tcPr>
          <w:p w14:paraId="30A9F19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42" w:type="dxa"/>
          </w:tcPr>
          <w:p w14:paraId="02A6BFB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0.0-0.19</w:t>
            </w:r>
          </w:p>
        </w:tc>
      </w:tr>
      <w:tr w:rsidR="002B20A9" w:rsidRPr="00C86111" w14:paraId="16C0D25D"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2934E51B"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6D45FB1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1727" w:type="dxa"/>
          </w:tcPr>
          <w:p w14:paraId="30BDDF9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22589700</w:t>
            </w:r>
          </w:p>
        </w:tc>
        <w:tc>
          <w:tcPr>
            <w:tcW w:w="2238" w:type="dxa"/>
          </w:tcPr>
          <w:p w14:paraId="7F36AB98"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42" w:type="dxa"/>
          </w:tcPr>
          <w:p w14:paraId="6F61D1F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0.0-</w:t>
            </w:r>
            <w:r w:rsidRPr="00C86111">
              <w:rPr>
                <w:rFonts w:asciiTheme="minorHAnsi" w:eastAsia="DengXian" w:hAnsiTheme="minorHAnsi" w:cstheme="minorHAnsi"/>
                <w:color w:val="auto"/>
                <w:kern w:val="24"/>
                <w:sz w:val="20"/>
                <w:szCs w:val="20"/>
                <w:lang w:val="sr-Latn-ME"/>
              </w:rPr>
              <w:t>0</w:t>
            </w:r>
            <w:r w:rsidRPr="00C86111">
              <w:rPr>
                <w:rFonts w:asciiTheme="minorHAnsi" w:eastAsia="DengXian" w:hAnsiTheme="minorHAnsi" w:cstheme="minorHAnsi"/>
                <w:color w:val="auto"/>
                <w:kern w:val="24"/>
                <w:sz w:val="20"/>
                <w:szCs w:val="20"/>
              </w:rPr>
              <w:t>.23</w:t>
            </w:r>
          </w:p>
        </w:tc>
      </w:tr>
      <w:tr w:rsidR="002B20A9" w:rsidRPr="00C86111" w14:paraId="6E8A239E"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7E530755"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524D480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2022</w:t>
            </w:r>
          </w:p>
        </w:tc>
        <w:tc>
          <w:tcPr>
            <w:tcW w:w="1727" w:type="dxa"/>
          </w:tcPr>
          <w:p w14:paraId="79D03F94"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20935347</w:t>
            </w:r>
          </w:p>
        </w:tc>
        <w:tc>
          <w:tcPr>
            <w:tcW w:w="2238" w:type="dxa"/>
          </w:tcPr>
          <w:p w14:paraId="4523FC36"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0-0.01</w:t>
            </w:r>
          </w:p>
        </w:tc>
        <w:tc>
          <w:tcPr>
            <w:tcW w:w="1842" w:type="dxa"/>
          </w:tcPr>
          <w:p w14:paraId="108F8FB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0.0-0.21</w:t>
            </w:r>
          </w:p>
        </w:tc>
      </w:tr>
    </w:tbl>
    <w:p w14:paraId="44855C0F" w14:textId="77777777" w:rsidR="002B20A9" w:rsidRDefault="002B20A9" w:rsidP="002B20A9">
      <w:pPr>
        <w:jc w:val="both"/>
        <w:rPr>
          <w:rFonts w:asciiTheme="minorHAnsi" w:hAnsiTheme="minorHAnsi" w:cstheme="minorHAnsi"/>
          <w:color w:val="auto"/>
        </w:rPr>
      </w:pPr>
    </w:p>
    <w:p w14:paraId="1EF95B79" w14:textId="77777777" w:rsidR="00D966EC" w:rsidRDefault="00D966EC" w:rsidP="002B20A9">
      <w:pPr>
        <w:jc w:val="both"/>
        <w:rPr>
          <w:rFonts w:asciiTheme="minorHAnsi" w:hAnsiTheme="minorHAnsi" w:cstheme="minorHAnsi"/>
          <w:color w:val="auto"/>
        </w:rPr>
      </w:pPr>
    </w:p>
    <w:p w14:paraId="5A3F0CF7" w14:textId="77777777" w:rsidR="00D966EC" w:rsidRPr="00C86111" w:rsidRDefault="00D966EC" w:rsidP="002B20A9">
      <w:pPr>
        <w:jc w:val="both"/>
        <w:rPr>
          <w:rFonts w:asciiTheme="minorHAnsi" w:hAnsiTheme="minorHAnsi" w:cstheme="minorHAnsi"/>
          <w:color w:val="auto"/>
        </w:rPr>
      </w:pPr>
    </w:p>
    <w:p w14:paraId="4B29886F" w14:textId="77777777" w:rsidR="002B20A9" w:rsidRPr="00C86111" w:rsidRDefault="002B20A9" w:rsidP="00004F34">
      <w:pPr>
        <w:pStyle w:val="Heading1"/>
        <w:numPr>
          <w:ilvl w:val="1"/>
          <w:numId w:val="238"/>
        </w:numPr>
        <w:rPr>
          <w:lang w:eastAsia="en-GB"/>
        </w:rPr>
      </w:pPr>
      <w:bookmarkStart w:id="326" w:name="_Toc220541943"/>
      <w:r w:rsidRPr="00C86111">
        <w:rPr>
          <w:lang w:eastAsia="en-GB"/>
        </w:rPr>
        <w:lastRenderedPageBreak/>
        <w:t>Zaključak – PFOS u otpadu</w:t>
      </w:r>
      <w:bookmarkEnd w:id="326"/>
    </w:p>
    <w:p w14:paraId="1363F420" w14:textId="77777777" w:rsidR="002B20A9" w:rsidRPr="00C86111" w:rsidRDefault="002B20A9" w:rsidP="002B20A9">
      <w:pPr>
        <w:jc w:val="both"/>
        <w:rPr>
          <w:rFonts w:asciiTheme="minorHAnsi" w:eastAsia="Times New Roman" w:hAnsiTheme="minorHAnsi" w:cstheme="minorHAnsi"/>
          <w:i/>
          <w:iCs/>
          <w:color w:val="002060"/>
          <w:lang w:eastAsia="en-GB"/>
        </w:rPr>
      </w:pPr>
    </w:p>
    <w:p w14:paraId="7C993561"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Sprovedena inventarizacija i statistička procjena tokova otpada u Crnoj Gori za period 2017–2022. godine omogućila je pregled potencijalnog prisustva perfluorooktanske sulfonatne kiseline (PFOS), njenih soli i PFOSF-a unutar nacionalnih tokova upravljanja otpadom. Rezultati pokazuju da najveći udio otpada koji može biti povezan s prisustvom PFOS-a potiče iz sektora komunalnog otpada (grupa otpada 20), koji kontinuirano premašuje 300.000 tona godišnje. Dodatni, iako kvantitativno manji doprinos, dolazi iz kategorija otpada koje se odnose na premaze, ljepila, zaptivne mase i štamparske boje (grupa otpada 08), kao i ambalažu, apsorbente, krpe i filtracione materijale (grupa otpada 15).</w:t>
      </w:r>
    </w:p>
    <w:p w14:paraId="1CA1CE90"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Analiza prikupljenih podataka pokazuje da se procijenjeni sadržaj PFOS-a u otpadu od papira i kartona tokom analiziranog perioda (2017–2022) kretao u rasponu od 2,2 do 31 tone godišnje, uz godišnje oscilacije koje prate ukupne količine generisanog otpada. Za tekstile, procijenjeni sadržaj PFOS-a bio je znatno niži, u rasponu od 0,0 do 0,23 tone godišnje, što je očekivano s obzirom na niži nivo primjene PFOS-a u tekstilnim proizvodima. Ovi rezultati ukazuju na to da potrošački proizvodi, posebno ambalažni materijali, predstavljaju glavni put ulaska PFOS-a u tokove otpada.</w:t>
      </w:r>
    </w:p>
    <w:p w14:paraId="067E3BC3"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Sveukupno, procjena pokazuje da komunalni otpad u Crnoj Gori potencijalno sadrži više tona PFOS-a godišnje, prvenstveno putem frakcija impregniranog papira i kartona, dok su doprinosi iz tekstilnog otpada marginalni. Iako su ove procjene zasnovane na pretpostavkama i ekstrapolacijama dostupnih podataka, one ipak daju realističnu sliku obima mogućeg prisustva PFOS-a u čvrstom otpadu.</w:t>
      </w:r>
    </w:p>
    <w:p w14:paraId="33C76C53"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Dobijeni nalazi ukazuju na nekoliko ključnih činjenica:</w:t>
      </w:r>
    </w:p>
    <w:p w14:paraId="049386BF"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PFOS najvjerovatnije ulazi u tokove otpada putem potrošačkih proizvoda, naročito kroz impregniranu papirnu i kartonsku ambalažu, a u manjoj mjeri i preko tekstila.</w:t>
      </w:r>
      <w:r w:rsidRPr="00C86111">
        <w:rPr>
          <w:rFonts w:asciiTheme="minorHAnsi" w:eastAsia="Times New Roman" w:hAnsiTheme="minorHAnsi" w:cstheme="minorHAnsi"/>
          <w:color w:val="auto"/>
          <w:lang w:eastAsia="en-GB"/>
        </w:rPr>
        <w:br/>
        <w:t>• Postojeći sistemi klasifikacije otpada ne omogućavaju precizno praćenje otpada koji sadrži PFOS, što otežava praćenje, upravljanje i izvještavanje u skladu sa zahtjevima EU i međunarodnih propisa.</w:t>
      </w:r>
      <w:r w:rsidRPr="00C86111">
        <w:rPr>
          <w:rFonts w:asciiTheme="minorHAnsi" w:eastAsia="Times New Roman" w:hAnsiTheme="minorHAnsi" w:cstheme="minorHAnsi"/>
          <w:color w:val="auto"/>
          <w:lang w:eastAsia="en-GB"/>
        </w:rPr>
        <w:br/>
        <w:t>• S obzirom na perzistentnost i toksična svojstva PFOS-a, čak i niske koncentracije u velikim tokovima otpada, kao što je komunalni, predstavljaju dugoročni rizik od kontaminacije životne sredine putem odlaganja na deponijama, spaljivanja ili nastanka procjednih voda.</w:t>
      </w:r>
    </w:p>
    <w:p w14:paraId="2AA4F1A7"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 skladu s tim, postoji jasna potreba za unapređenjem nacionalnih praksi praćenja i upravljanja otpadom koji sadrži PFOS i srodne supstance. To bi trebalo da obuhvati:</w:t>
      </w:r>
    </w:p>
    <w:p w14:paraId="14D76A37"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uvođenje poboljšanih metoda analitičkog ispitivanja i skrininga frakcija otpada s visokim potencijalom za sadržaj PFOS-a,</w:t>
      </w:r>
    </w:p>
    <w:p w14:paraId="27126B97"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ciljane mjere za smanjenje unosa PFOS-a putem uvoznih proizvoda, te</w:t>
      </w:r>
    </w:p>
    <w:p w14:paraId="08B64EC2"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razvoj ekološki prihvatljivih rješenja za odlaganje otpada u skladu sa obavezama iz Stokholmske konvencije i Uredbe EU o postojanim organskim zagađujućim materijama (POPs).</w:t>
      </w:r>
    </w:p>
    <w:p w14:paraId="54F82637"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Ova sveobuhvatna procjena jasno ukazuje da je potrebno sistematsko djelovanje u cilju smanjenja rizika od PFOS-a u otpadu, uz integrisani pristup koji podrazumijeva poboljšanje praćenja, kontrolu izvora i uspostavljanje održivih metoda zbrinjavanja.</w:t>
      </w:r>
    </w:p>
    <w:p w14:paraId="4EDEFF98" w14:textId="77777777" w:rsidR="002B20A9" w:rsidRPr="00C86111" w:rsidRDefault="002B20A9" w:rsidP="002B20A9">
      <w:pPr>
        <w:jc w:val="both"/>
        <w:rPr>
          <w:rFonts w:asciiTheme="minorHAnsi" w:hAnsiTheme="minorHAnsi" w:cstheme="minorHAnsi"/>
          <w:color w:val="auto"/>
        </w:rPr>
      </w:pPr>
    </w:p>
    <w:p w14:paraId="5C004E79" w14:textId="77777777" w:rsidR="002B20A9" w:rsidRPr="00C86111" w:rsidRDefault="002B20A9" w:rsidP="00004F34">
      <w:pPr>
        <w:pStyle w:val="Heading1"/>
        <w:numPr>
          <w:ilvl w:val="1"/>
          <w:numId w:val="238"/>
        </w:numPr>
      </w:pPr>
      <w:bookmarkStart w:id="327" w:name="_Toc210632500"/>
      <w:bookmarkStart w:id="328" w:name="_Toc220541944"/>
      <w:r w:rsidRPr="00C86111">
        <w:rPr>
          <w:rStyle w:val="Strong"/>
        </w:rPr>
        <w:lastRenderedPageBreak/>
        <w:t>Zaključci i preporuke</w:t>
      </w:r>
      <w:bookmarkEnd w:id="327"/>
      <w:bookmarkEnd w:id="328"/>
    </w:p>
    <w:p w14:paraId="36B58E74" w14:textId="77777777" w:rsidR="002B20A9" w:rsidRDefault="002B20A9" w:rsidP="002B20A9">
      <w:pPr>
        <w:jc w:val="both"/>
        <w:rPr>
          <w:rFonts w:asciiTheme="minorHAnsi" w:hAnsiTheme="minorHAnsi" w:cstheme="minorHAnsi"/>
          <w:b/>
          <w:bCs/>
        </w:rPr>
      </w:pPr>
      <w:r w:rsidRPr="00C86111">
        <w:rPr>
          <w:rFonts w:asciiTheme="minorHAnsi" w:hAnsiTheme="minorHAnsi" w:cstheme="minorHAnsi"/>
        </w:rPr>
        <w:t xml:space="preserve">Sveobuhvatna procjena prisustva </w:t>
      </w:r>
      <w:r w:rsidRPr="00C86111">
        <w:rPr>
          <w:rStyle w:val="Strong"/>
          <w:rFonts w:asciiTheme="minorHAnsi" w:hAnsiTheme="minorHAnsi" w:cstheme="minorHAnsi"/>
          <w:b w:val="0"/>
          <w:bCs w:val="0"/>
        </w:rPr>
        <w:t>perfluorooktanske sulfonatne kiseline (PFOS)</w:t>
      </w:r>
      <w:r w:rsidRPr="00C86111">
        <w:rPr>
          <w:rFonts w:asciiTheme="minorHAnsi" w:hAnsiTheme="minorHAnsi" w:cstheme="minorHAnsi"/>
          <w:b/>
          <w:bCs/>
        </w:rPr>
        <w:t>,</w:t>
      </w:r>
      <w:r w:rsidRPr="00C86111">
        <w:rPr>
          <w:rFonts w:asciiTheme="minorHAnsi" w:hAnsiTheme="minorHAnsi" w:cstheme="minorHAnsi"/>
        </w:rPr>
        <w:t xml:space="preserve"> njenih soli i PFOSF-a u Crnoj Gori – kroz protivpožarne pjene, potrošačke proizvode i tokove otpada – pokazuje da, uprkos usklađenom nacionalnom zakonodavstvu sa evropskim okvirom za postojana organska zagađujuća materije (POPs),</w:t>
      </w:r>
      <w:r w:rsidRPr="00C86111">
        <w:rPr>
          <w:rFonts w:asciiTheme="minorHAnsi" w:hAnsiTheme="minorHAnsi" w:cstheme="minorHAnsi"/>
          <w:b/>
          <w:bCs/>
        </w:rPr>
        <w:t xml:space="preserve"> </w:t>
      </w:r>
      <w:r w:rsidRPr="00C86111">
        <w:rPr>
          <w:rStyle w:val="Strong"/>
          <w:rFonts w:asciiTheme="minorHAnsi" w:hAnsiTheme="minorHAnsi" w:cstheme="minorHAnsi"/>
          <w:b w:val="0"/>
          <w:bCs w:val="0"/>
        </w:rPr>
        <w:t>PFOS i dalje postoji u nekoliko ključnih sektora</w:t>
      </w:r>
      <w:r w:rsidRPr="00C86111">
        <w:rPr>
          <w:rFonts w:asciiTheme="minorHAnsi" w:hAnsiTheme="minorHAnsi" w:cstheme="minorHAnsi"/>
          <w:b/>
          <w:bCs/>
        </w:rPr>
        <w:t>.</w:t>
      </w:r>
    </w:p>
    <w:p w14:paraId="62A2D83C" w14:textId="762438DA" w:rsidR="002B20A9" w:rsidRPr="00C86111" w:rsidRDefault="002B20A9" w:rsidP="00D966EC">
      <w:pPr>
        <w:pStyle w:val="Heading4"/>
        <w:spacing w:before="0" w:beforeAutospacing="0" w:after="0" w:afterAutospacing="0"/>
        <w:rPr>
          <w:rStyle w:val="Strong"/>
          <w:b w:val="0"/>
          <w:bCs/>
        </w:rPr>
      </w:pPr>
      <w:r w:rsidRPr="00C86111">
        <w:rPr>
          <w:rStyle w:val="Strong"/>
          <w:b w:val="0"/>
          <w:bCs/>
        </w:rPr>
        <w:t>Protivpožarne pjene</w:t>
      </w:r>
    </w:p>
    <w:p w14:paraId="1C4E4F0A" w14:textId="77777777" w:rsidR="002B20A9" w:rsidRPr="00C86111" w:rsidRDefault="002B20A9" w:rsidP="00D966EC">
      <w:pPr>
        <w:jc w:val="both"/>
      </w:pPr>
      <w:r w:rsidRPr="00C86111">
        <w:t xml:space="preserve">Laboratorijske analize potvrdile su prisustvo PFOS-a u </w:t>
      </w:r>
      <w:r w:rsidRPr="00C86111">
        <w:rPr>
          <w:rStyle w:val="Strong"/>
          <w:rFonts w:asciiTheme="minorHAnsi" w:hAnsiTheme="minorHAnsi" w:cstheme="minorHAnsi"/>
          <w:b w:val="0"/>
          <w:bCs w:val="0"/>
        </w:rPr>
        <w:t>16 od ukupno 41 uzorka</w:t>
      </w:r>
      <w:r w:rsidRPr="00C86111">
        <w:t xml:space="preserve">, od čega su </w:t>
      </w:r>
      <w:r w:rsidRPr="00C86111">
        <w:rPr>
          <w:rStyle w:val="Strong"/>
          <w:rFonts w:asciiTheme="minorHAnsi" w:hAnsiTheme="minorHAnsi" w:cstheme="minorHAnsi"/>
        </w:rPr>
        <w:t xml:space="preserve">3 </w:t>
      </w:r>
      <w:r w:rsidRPr="00C86111">
        <w:rPr>
          <w:rStyle w:val="Strong"/>
          <w:rFonts w:asciiTheme="minorHAnsi" w:hAnsiTheme="minorHAnsi" w:cstheme="minorHAnsi"/>
          <w:b w:val="0"/>
          <w:bCs w:val="0"/>
        </w:rPr>
        <w:t>uzorka premašila zakonski propisane granice</w:t>
      </w:r>
      <w:r w:rsidRPr="00C86111">
        <w:rPr>
          <w:b/>
          <w:bCs/>
        </w:rPr>
        <w:t>.</w:t>
      </w:r>
      <w:r w:rsidRPr="00C86111">
        <w:t xml:space="preserve"> Iako ukupna količina otkrivena u analiziranim pjenama (</w:t>
      </w:r>
      <w:r w:rsidRPr="00C86111">
        <w:rPr>
          <w:rStyle w:val="Strong"/>
          <w:rFonts w:asciiTheme="minorHAnsi" w:hAnsiTheme="minorHAnsi" w:cstheme="minorHAnsi"/>
          <w:b w:val="0"/>
          <w:bCs w:val="0"/>
        </w:rPr>
        <w:t>298 g</w:t>
      </w:r>
      <w:r w:rsidRPr="00C86111">
        <w:rPr>
          <w:b/>
          <w:bCs/>
        </w:rPr>
        <w:t>)</w:t>
      </w:r>
      <w:r w:rsidRPr="00C86111">
        <w:t xml:space="preserve"> može izgledati umjereno, postojanje </w:t>
      </w:r>
      <w:r w:rsidRPr="00C86111">
        <w:rPr>
          <w:rStyle w:val="Strong"/>
          <w:rFonts w:asciiTheme="minorHAnsi" w:hAnsiTheme="minorHAnsi" w:cstheme="minorHAnsi"/>
          <w:b w:val="0"/>
          <w:bCs w:val="0"/>
        </w:rPr>
        <w:t>pjena sa isteklim rokom trajanja (8.725 litara)</w:t>
      </w:r>
      <w:r w:rsidRPr="00C86111">
        <w:t xml:space="preserve"> i zaliha iz ranijih godina predstavlja ozbiljan rizik za životnu sredinu i zdravlje ljudi zbog mogućeg curenja, neadekvatnog korišćenja ili odlaganja. PFOS je naročito prisutan u </w:t>
      </w:r>
      <w:r w:rsidRPr="00C86111">
        <w:rPr>
          <w:rStyle w:val="Strong"/>
          <w:rFonts w:asciiTheme="minorHAnsi" w:hAnsiTheme="minorHAnsi" w:cstheme="minorHAnsi"/>
          <w:b w:val="0"/>
          <w:bCs w:val="0"/>
        </w:rPr>
        <w:t>specijalizovanim vatrogasnim službama</w:t>
      </w:r>
      <w:r w:rsidRPr="00C86111">
        <w:t>, uprkos postojećim zakonskim ograničenjima.</w:t>
      </w:r>
    </w:p>
    <w:p w14:paraId="07861BBC" w14:textId="65690039" w:rsidR="002B20A9" w:rsidRPr="00C86111" w:rsidRDefault="002B20A9" w:rsidP="00D966EC">
      <w:pPr>
        <w:pStyle w:val="Heading4"/>
        <w:spacing w:before="0" w:beforeAutospacing="0" w:after="0" w:afterAutospacing="0"/>
        <w:rPr>
          <w:rStyle w:val="Strong"/>
          <w:b w:val="0"/>
          <w:bCs/>
          <w:i w:val="0"/>
          <w:iCs w:val="0"/>
        </w:rPr>
      </w:pPr>
      <w:r w:rsidRPr="00C86111">
        <w:rPr>
          <w:rStyle w:val="Strong"/>
          <w:b w:val="0"/>
        </w:rPr>
        <w:t>Proizvodi na potrošačkom tržištu</w:t>
      </w:r>
    </w:p>
    <w:p w14:paraId="3EE2A02A" w14:textId="77777777" w:rsidR="002B20A9" w:rsidRPr="00C86111" w:rsidRDefault="002B20A9" w:rsidP="00D966EC">
      <w:pPr>
        <w:jc w:val="both"/>
        <w:rPr>
          <w:rFonts w:asciiTheme="minorHAnsi" w:hAnsiTheme="minorHAnsi" w:cstheme="minorHAnsi"/>
        </w:rPr>
      </w:pPr>
      <w:r w:rsidRPr="00C86111">
        <w:rPr>
          <w:rFonts w:asciiTheme="minorHAnsi" w:hAnsiTheme="minorHAnsi" w:cstheme="minorHAnsi"/>
        </w:rPr>
        <w:t xml:space="preserve">Analiza uvoza pokazuje da </w:t>
      </w:r>
      <w:r w:rsidRPr="00C86111">
        <w:rPr>
          <w:rStyle w:val="Strong"/>
          <w:rFonts w:asciiTheme="minorHAnsi" w:hAnsiTheme="minorHAnsi" w:cstheme="minorHAnsi"/>
          <w:b w:val="0"/>
          <w:bCs w:val="0"/>
        </w:rPr>
        <w:t>sintetički tepisi</w:t>
      </w:r>
      <w:r w:rsidRPr="00C86111">
        <w:rPr>
          <w:rFonts w:asciiTheme="minorHAnsi" w:hAnsiTheme="minorHAnsi" w:cstheme="minorHAnsi"/>
          <w:b/>
          <w:bCs/>
        </w:rPr>
        <w:t xml:space="preserve"> i </w:t>
      </w:r>
      <w:r w:rsidRPr="00C86111">
        <w:rPr>
          <w:rStyle w:val="Strong"/>
          <w:rFonts w:asciiTheme="minorHAnsi" w:hAnsiTheme="minorHAnsi" w:cstheme="minorHAnsi"/>
          <w:b w:val="0"/>
          <w:bCs w:val="0"/>
        </w:rPr>
        <w:t>premazani/impregnirani papir</w:t>
      </w:r>
      <w:r w:rsidRPr="00C86111">
        <w:rPr>
          <w:rFonts w:asciiTheme="minorHAnsi" w:hAnsiTheme="minorHAnsi" w:cstheme="minorHAnsi"/>
        </w:rPr>
        <w:t xml:space="preserve"> predstavljaju </w:t>
      </w:r>
      <w:r w:rsidRPr="00C86111">
        <w:rPr>
          <w:rStyle w:val="Strong"/>
          <w:rFonts w:asciiTheme="minorHAnsi" w:hAnsiTheme="minorHAnsi" w:cstheme="minorHAnsi"/>
          <w:b w:val="0"/>
          <w:bCs w:val="0"/>
        </w:rPr>
        <w:t>dominantne nosioce PFOS-a</w:t>
      </w:r>
      <w:r w:rsidRPr="00C86111">
        <w:rPr>
          <w:rFonts w:asciiTheme="minorHAnsi" w:hAnsiTheme="minorHAnsi" w:cstheme="minorHAnsi"/>
          <w:b/>
          <w:bCs/>
        </w:rPr>
        <w:t>,</w:t>
      </w:r>
      <w:r w:rsidRPr="00C86111">
        <w:rPr>
          <w:rFonts w:asciiTheme="minorHAnsi" w:hAnsiTheme="minorHAnsi" w:cstheme="minorHAnsi"/>
        </w:rPr>
        <w:t xml:space="preserve"> sa procijenjenim godišnjim unosom od </w:t>
      </w:r>
      <w:r w:rsidRPr="00C86111">
        <w:rPr>
          <w:rStyle w:val="Strong"/>
          <w:rFonts w:asciiTheme="minorHAnsi" w:hAnsiTheme="minorHAnsi" w:cstheme="minorHAnsi"/>
          <w:b w:val="0"/>
          <w:bCs w:val="0"/>
        </w:rPr>
        <w:t>nekoliko tona za tepihe</w:t>
      </w:r>
      <w:r w:rsidRPr="00C86111">
        <w:rPr>
          <w:rFonts w:asciiTheme="minorHAnsi" w:hAnsiTheme="minorHAnsi" w:cstheme="minorHAnsi"/>
          <w:b/>
          <w:bCs/>
        </w:rPr>
        <w:t xml:space="preserve"> i </w:t>
      </w:r>
      <w:r w:rsidRPr="00C86111">
        <w:rPr>
          <w:rStyle w:val="Strong"/>
          <w:rFonts w:asciiTheme="minorHAnsi" w:hAnsiTheme="minorHAnsi" w:cstheme="minorHAnsi"/>
          <w:b w:val="0"/>
          <w:bCs w:val="0"/>
        </w:rPr>
        <w:t>nekoliko desetina do stotina kilograma za papir</w:t>
      </w:r>
      <w:r w:rsidRPr="00C86111">
        <w:rPr>
          <w:rFonts w:asciiTheme="minorHAnsi" w:hAnsiTheme="minorHAnsi" w:cstheme="minorHAnsi"/>
          <w:b/>
          <w:bCs/>
        </w:rPr>
        <w:t xml:space="preserve">. </w:t>
      </w:r>
      <w:r w:rsidRPr="00C86111">
        <w:rPr>
          <w:rFonts w:asciiTheme="minorHAnsi" w:hAnsiTheme="minorHAnsi" w:cstheme="minorHAnsi"/>
        </w:rPr>
        <w:t xml:space="preserve">Nasuprot tome, </w:t>
      </w:r>
      <w:r w:rsidRPr="00C86111">
        <w:rPr>
          <w:rStyle w:val="Strong"/>
          <w:rFonts w:asciiTheme="minorHAnsi" w:hAnsiTheme="minorHAnsi" w:cstheme="minorHAnsi"/>
        </w:rPr>
        <w:t>i</w:t>
      </w:r>
      <w:r w:rsidRPr="00C86111">
        <w:rPr>
          <w:rStyle w:val="Strong"/>
          <w:rFonts w:asciiTheme="minorHAnsi" w:hAnsiTheme="minorHAnsi" w:cstheme="minorHAnsi"/>
          <w:b w:val="0"/>
          <w:bCs w:val="0"/>
        </w:rPr>
        <w:t>mpregnirani tekstil i odjeća</w:t>
      </w:r>
      <w:r w:rsidRPr="00C86111">
        <w:rPr>
          <w:rFonts w:asciiTheme="minorHAnsi" w:hAnsiTheme="minorHAnsi" w:cstheme="minorHAnsi"/>
          <w:b/>
          <w:bCs/>
        </w:rPr>
        <w:t xml:space="preserve"> </w:t>
      </w:r>
      <w:r w:rsidRPr="00C86111">
        <w:rPr>
          <w:rFonts w:asciiTheme="minorHAnsi" w:hAnsiTheme="minorHAnsi" w:cstheme="minorHAnsi"/>
        </w:rPr>
        <w:t xml:space="preserve">doprinose zanemarljivim količinama (svega nekoliko grama godišnje). Ovi nalazi potvrđuju da su </w:t>
      </w:r>
      <w:r w:rsidRPr="00C86111">
        <w:rPr>
          <w:rStyle w:val="Strong"/>
          <w:rFonts w:asciiTheme="minorHAnsi" w:hAnsiTheme="minorHAnsi" w:cstheme="minorHAnsi"/>
          <w:b w:val="0"/>
          <w:bCs w:val="0"/>
        </w:rPr>
        <w:t>uvozni proizvodi glavni put ulaska PFOS-a u Crnu Goru</w:t>
      </w:r>
      <w:r w:rsidRPr="00C86111">
        <w:rPr>
          <w:rFonts w:asciiTheme="minorHAnsi" w:hAnsiTheme="minorHAnsi" w:cstheme="minorHAnsi"/>
          <w:b/>
          <w:bCs/>
        </w:rPr>
        <w:t>,</w:t>
      </w:r>
      <w:r w:rsidRPr="00C86111">
        <w:rPr>
          <w:rFonts w:asciiTheme="minorHAnsi" w:hAnsiTheme="minorHAnsi" w:cstheme="minorHAnsi"/>
        </w:rPr>
        <w:t xml:space="preserve"> s direktnim implikacijama na tokove otpada i dugoročno izlaganje životne sredine.</w:t>
      </w:r>
    </w:p>
    <w:p w14:paraId="586167F0" w14:textId="619A71CB" w:rsidR="002B20A9" w:rsidRPr="00C86111" w:rsidRDefault="002B20A9" w:rsidP="00D966EC">
      <w:pPr>
        <w:pStyle w:val="Heading4"/>
        <w:spacing w:before="0" w:beforeAutospacing="0" w:after="0" w:afterAutospacing="0"/>
        <w:rPr>
          <w:rStyle w:val="Strong"/>
          <w:b w:val="0"/>
          <w:bCs/>
          <w:i w:val="0"/>
          <w:iCs w:val="0"/>
        </w:rPr>
      </w:pPr>
      <w:r w:rsidRPr="00C86111">
        <w:rPr>
          <w:rStyle w:val="Strong"/>
          <w:b w:val="0"/>
        </w:rPr>
        <w:t>Tokovi otpada</w:t>
      </w:r>
    </w:p>
    <w:p w14:paraId="2BDD592D" w14:textId="77777777" w:rsidR="002B20A9" w:rsidRPr="00C86111" w:rsidRDefault="002B20A9" w:rsidP="00D966EC">
      <w:pPr>
        <w:jc w:val="both"/>
        <w:rPr>
          <w:rFonts w:asciiTheme="minorHAnsi" w:hAnsiTheme="minorHAnsi" w:cstheme="minorHAnsi"/>
        </w:rPr>
      </w:pPr>
      <w:r w:rsidRPr="00C86111">
        <w:rPr>
          <w:rFonts w:asciiTheme="minorHAnsi" w:hAnsiTheme="minorHAnsi" w:cstheme="minorHAnsi"/>
        </w:rPr>
        <w:t xml:space="preserve">Komunalni otpad, koji premašuje </w:t>
      </w:r>
      <w:r w:rsidRPr="00C86111">
        <w:rPr>
          <w:rStyle w:val="Strong"/>
          <w:rFonts w:asciiTheme="minorHAnsi" w:hAnsiTheme="minorHAnsi" w:cstheme="minorHAnsi"/>
          <w:b w:val="0"/>
          <w:bCs w:val="0"/>
        </w:rPr>
        <w:t>300000 tona godišnje</w:t>
      </w:r>
      <w:r w:rsidRPr="00C86111">
        <w:rPr>
          <w:rFonts w:asciiTheme="minorHAnsi" w:hAnsiTheme="minorHAnsi" w:cstheme="minorHAnsi"/>
        </w:rPr>
        <w:t xml:space="preserve">, predstavlja </w:t>
      </w:r>
      <w:r w:rsidRPr="00C86111">
        <w:rPr>
          <w:rStyle w:val="Strong"/>
          <w:rFonts w:asciiTheme="minorHAnsi" w:hAnsiTheme="minorHAnsi" w:cstheme="minorHAnsi"/>
          <w:b w:val="0"/>
          <w:bCs w:val="0"/>
        </w:rPr>
        <w:t>najveći sektor u kojem se PFOS može akumulirati</w:t>
      </w:r>
      <w:r w:rsidRPr="00C86111">
        <w:rPr>
          <w:rFonts w:asciiTheme="minorHAnsi" w:hAnsiTheme="minorHAnsi" w:cstheme="minorHAnsi"/>
          <w:b/>
          <w:bCs/>
        </w:rPr>
        <w:t>,</w:t>
      </w:r>
      <w:r w:rsidRPr="00C86111">
        <w:rPr>
          <w:rFonts w:asciiTheme="minorHAnsi" w:hAnsiTheme="minorHAnsi" w:cstheme="minorHAnsi"/>
        </w:rPr>
        <w:t xml:space="preserve"> naročito kroz frakcije impregniranog papira i kartona </w:t>
      </w:r>
      <w:r w:rsidRPr="00C86111">
        <w:rPr>
          <w:rFonts w:asciiTheme="minorHAnsi" w:hAnsiTheme="minorHAnsi" w:cstheme="minorHAnsi"/>
          <w:b/>
          <w:bCs/>
        </w:rPr>
        <w:t>(</w:t>
      </w:r>
      <w:r w:rsidRPr="00C86111">
        <w:rPr>
          <w:rStyle w:val="Strong"/>
          <w:rFonts w:asciiTheme="minorHAnsi" w:hAnsiTheme="minorHAnsi" w:cstheme="minorHAnsi"/>
          <w:b w:val="0"/>
          <w:bCs w:val="0"/>
        </w:rPr>
        <w:t>2,2–31 tona godišnje</w:t>
      </w:r>
      <w:r w:rsidRPr="00C86111">
        <w:rPr>
          <w:rFonts w:asciiTheme="minorHAnsi" w:hAnsiTheme="minorHAnsi" w:cstheme="minorHAnsi"/>
          <w:b/>
          <w:bCs/>
        </w:rPr>
        <w:t xml:space="preserve">) </w:t>
      </w:r>
      <w:r w:rsidRPr="00C86111">
        <w:rPr>
          <w:rFonts w:asciiTheme="minorHAnsi" w:hAnsiTheme="minorHAnsi" w:cstheme="minorHAnsi"/>
        </w:rPr>
        <w:t xml:space="preserve">te, u manjoj mjeri, tekstila (do </w:t>
      </w:r>
      <w:r w:rsidRPr="00C86111">
        <w:rPr>
          <w:rStyle w:val="Strong"/>
          <w:rFonts w:asciiTheme="minorHAnsi" w:hAnsiTheme="minorHAnsi" w:cstheme="minorHAnsi"/>
          <w:b w:val="0"/>
          <w:bCs w:val="0"/>
        </w:rPr>
        <w:t>0,23 tone godišnje</w:t>
      </w:r>
      <w:r w:rsidRPr="00C86111">
        <w:rPr>
          <w:rFonts w:asciiTheme="minorHAnsi" w:hAnsiTheme="minorHAnsi" w:cstheme="minorHAnsi"/>
        </w:rPr>
        <w:t xml:space="preserve">). Iako su ove vrijednosti zasnovane na procjenama, jasno ukazuju da su </w:t>
      </w:r>
      <w:r w:rsidRPr="00C86111">
        <w:rPr>
          <w:rStyle w:val="Strong"/>
          <w:rFonts w:asciiTheme="minorHAnsi" w:hAnsiTheme="minorHAnsi" w:cstheme="minorHAnsi"/>
          <w:b w:val="0"/>
          <w:bCs w:val="0"/>
        </w:rPr>
        <w:t>ambalažni materijali i potrošački proizvodi</w:t>
      </w:r>
      <w:r w:rsidRPr="00C86111">
        <w:rPr>
          <w:rFonts w:asciiTheme="minorHAnsi" w:hAnsiTheme="minorHAnsi" w:cstheme="minorHAnsi"/>
        </w:rPr>
        <w:t xml:space="preserve"> glavni putevi kojima PFOS dospijeva u sistem upravljanja otpadom.</w:t>
      </w:r>
    </w:p>
    <w:p w14:paraId="65B2D7E8" w14:textId="77777777" w:rsidR="002B20A9" w:rsidRDefault="002B20A9" w:rsidP="002B20A9">
      <w:pPr>
        <w:jc w:val="both"/>
        <w:rPr>
          <w:rFonts w:asciiTheme="minorHAnsi" w:hAnsiTheme="minorHAnsi" w:cstheme="minorHAnsi"/>
        </w:rPr>
      </w:pPr>
      <w:r w:rsidRPr="00C86111">
        <w:rPr>
          <w:rFonts w:asciiTheme="minorHAnsi" w:hAnsiTheme="minorHAnsi" w:cstheme="minorHAnsi"/>
        </w:rPr>
        <w:t xml:space="preserve">Sveukupno, nalazi potvrđuju da PFOS i dalje </w:t>
      </w:r>
      <w:r w:rsidRPr="00C86111">
        <w:rPr>
          <w:rStyle w:val="Strong"/>
          <w:rFonts w:asciiTheme="minorHAnsi" w:hAnsiTheme="minorHAnsi" w:cstheme="minorHAnsi"/>
          <w:b w:val="0"/>
          <w:bCs w:val="0"/>
        </w:rPr>
        <w:t>cirkuliše u Crnoj Gori</w:t>
      </w:r>
      <w:r w:rsidRPr="00C86111">
        <w:rPr>
          <w:rFonts w:asciiTheme="minorHAnsi" w:hAnsiTheme="minorHAnsi" w:cstheme="minorHAnsi"/>
          <w:b/>
          <w:bCs/>
        </w:rPr>
        <w:t>,</w:t>
      </w:r>
      <w:r w:rsidRPr="00C86111">
        <w:rPr>
          <w:rFonts w:asciiTheme="minorHAnsi" w:hAnsiTheme="minorHAnsi" w:cstheme="minorHAnsi"/>
        </w:rPr>
        <w:t xml:space="preserve"> prvenstveno putem </w:t>
      </w:r>
      <w:r w:rsidRPr="00C86111">
        <w:rPr>
          <w:rStyle w:val="Strong"/>
          <w:rFonts w:asciiTheme="minorHAnsi" w:hAnsiTheme="minorHAnsi" w:cstheme="minorHAnsi"/>
          <w:b w:val="0"/>
          <w:bCs w:val="0"/>
        </w:rPr>
        <w:t>starih zaliha protivpožarnih pjena</w:t>
      </w:r>
      <w:r w:rsidRPr="00C86111">
        <w:rPr>
          <w:rFonts w:asciiTheme="minorHAnsi" w:hAnsiTheme="minorHAnsi" w:cstheme="minorHAnsi"/>
          <w:b/>
          <w:bCs/>
        </w:rPr>
        <w:t xml:space="preserve">, </w:t>
      </w:r>
      <w:r w:rsidRPr="00C86111">
        <w:rPr>
          <w:rStyle w:val="Strong"/>
          <w:rFonts w:asciiTheme="minorHAnsi" w:hAnsiTheme="minorHAnsi" w:cstheme="minorHAnsi"/>
          <w:b w:val="0"/>
          <w:bCs w:val="0"/>
        </w:rPr>
        <w:t>uvezenih potrošačkih proizvoda</w:t>
      </w:r>
      <w:r w:rsidRPr="00C86111">
        <w:rPr>
          <w:rFonts w:asciiTheme="minorHAnsi" w:hAnsiTheme="minorHAnsi" w:cstheme="minorHAnsi"/>
          <w:b/>
          <w:bCs/>
        </w:rPr>
        <w:t xml:space="preserve"> i </w:t>
      </w:r>
      <w:r w:rsidRPr="00C86111">
        <w:rPr>
          <w:rStyle w:val="Strong"/>
          <w:rFonts w:asciiTheme="minorHAnsi" w:hAnsiTheme="minorHAnsi" w:cstheme="minorHAnsi"/>
          <w:b w:val="0"/>
          <w:bCs w:val="0"/>
        </w:rPr>
        <w:t>tokova otpada</w:t>
      </w:r>
      <w:r w:rsidRPr="00C86111">
        <w:rPr>
          <w:rFonts w:asciiTheme="minorHAnsi" w:hAnsiTheme="minorHAnsi" w:cstheme="minorHAnsi"/>
          <w:b/>
          <w:bCs/>
        </w:rPr>
        <w:t>.</w:t>
      </w:r>
      <w:r w:rsidRPr="00C86111">
        <w:rPr>
          <w:rFonts w:asciiTheme="minorHAnsi" w:hAnsiTheme="minorHAnsi" w:cstheme="minorHAnsi"/>
        </w:rPr>
        <w:t xml:space="preserve"> Zbog njegove </w:t>
      </w:r>
      <w:r w:rsidRPr="00C86111">
        <w:rPr>
          <w:rStyle w:val="Strong"/>
          <w:rFonts w:asciiTheme="minorHAnsi" w:hAnsiTheme="minorHAnsi" w:cstheme="minorHAnsi"/>
          <w:b w:val="0"/>
          <w:bCs w:val="0"/>
        </w:rPr>
        <w:t>perzistentnosti, bioakumulativnih svojstava i toksičnosti</w:t>
      </w:r>
      <w:r w:rsidRPr="00C86111">
        <w:rPr>
          <w:rFonts w:asciiTheme="minorHAnsi" w:hAnsiTheme="minorHAnsi" w:cstheme="minorHAnsi"/>
          <w:b/>
          <w:bCs/>
        </w:rPr>
        <w:t>,</w:t>
      </w:r>
      <w:r w:rsidRPr="00C86111">
        <w:rPr>
          <w:rFonts w:asciiTheme="minorHAnsi" w:hAnsiTheme="minorHAnsi" w:cstheme="minorHAnsi"/>
        </w:rPr>
        <w:t xml:space="preserve"> neophodno je sprovesti </w:t>
      </w:r>
      <w:r w:rsidRPr="00C86111">
        <w:rPr>
          <w:rStyle w:val="Strong"/>
          <w:rFonts w:asciiTheme="minorHAnsi" w:hAnsiTheme="minorHAnsi" w:cstheme="minorHAnsi"/>
          <w:b w:val="0"/>
          <w:bCs w:val="0"/>
        </w:rPr>
        <w:t>hitne,</w:t>
      </w:r>
      <w:r w:rsidRPr="00C86111">
        <w:rPr>
          <w:rStyle w:val="Strong"/>
          <w:rFonts w:asciiTheme="minorHAnsi" w:hAnsiTheme="minorHAnsi" w:cstheme="minorHAnsi"/>
        </w:rPr>
        <w:t xml:space="preserve"> </w:t>
      </w:r>
      <w:r w:rsidRPr="00C86111">
        <w:rPr>
          <w:rStyle w:val="Strong"/>
          <w:rFonts w:asciiTheme="minorHAnsi" w:hAnsiTheme="minorHAnsi" w:cstheme="minorHAnsi"/>
          <w:b w:val="0"/>
          <w:bCs w:val="0"/>
        </w:rPr>
        <w:t>koordinisane mjere</w:t>
      </w:r>
      <w:r w:rsidRPr="00C86111">
        <w:rPr>
          <w:rFonts w:asciiTheme="minorHAnsi" w:hAnsiTheme="minorHAnsi" w:cstheme="minorHAnsi"/>
        </w:rPr>
        <w:t xml:space="preserve"> radi potpunog eliminisanja, bezbjednog odlaganja i sprječavanja daljeg unosa PFOS-a u nacionalni sistem.</w:t>
      </w:r>
    </w:p>
    <w:p w14:paraId="591FBE9D" w14:textId="77777777" w:rsidR="002B20A9" w:rsidRPr="00C86111" w:rsidRDefault="002B20A9" w:rsidP="00D966EC">
      <w:pPr>
        <w:pStyle w:val="Heading4"/>
        <w:spacing w:before="0" w:beforeAutospacing="0" w:after="0" w:afterAutospacing="0"/>
        <w:rPr>
          <w:b/>
        </w:rPr>
      </w:pPr>
      <w:bookmarkStart w:id="329" w:name="_Toc210632502"/>
      <w:r w:rsidRPr="00C86111">
        <w:rPr>
          <w:rStyle w:val="Strong"/>
          <w:b w:val="0"/>
        </w:rPr>
        <w:t>Preporuke</w:t>
      </w:r>
      <w:bookmarkEnd w:id="329"/>
    </w:p>
    <w:p w14:paraId="31E063F4" w14:textId="77777777" w:rsidR="002B20A9" w:rsidRPr="00C86111" w:rsidRDefault="002B20A9" w:rsidP="00D966EC">
      <w:pPr>
        <w:jc w:val="both"/>
        <w:rPr>
          <w:rFonts w:asciiTheme="minorHAnsi" w:hAnsiTheme="minorHAnsi" w:cstheme="minorHAnsi"/>
        </w:rPr>
      </w:pPr>
      <w:r w:rsidRPr="00C86111">
        <w:rPr>
          <w:rFonts w:asciiTheme="minorHAnsi" w:hAnsiTheme="minorHAnsi" w:cstheme="minorHAnsi"/>
        </w:rPr>
        <w:t xml:space="preserve">Radi usklađivanja sa </w:t>
      </w:r>
      <w:r w:rsidRPr="00C86111">
        <w:rPr>
          <w:rStyle w:val="Strong"/>
          <w:rFonts w:asciiTheme="minorHAnsi" w:hAnsiTheme="minorHAnsi" w:cstheme="minorHAnsi"/>
          <w:b w:val="0"/>
          <w:bCs w:val="0"/>
        </w:rPr>
        <w:t>propisima Evropske unije</w:t>
      </w:r>
      <w:r w:rsidRPr="00C86111">
        <w:rPr>
          <w:rFonts w:asciiTheme="minorHAnsi" w:hAnsiTheme="minorHAnsi" w:cstheme="minorHAnsi"/>
        </w:rPr>
        <w:t xml:space="preserve"> i </w:t>
      </w:r>
      <w:r w:rsidRPr="00C86111">
        <w:rPr>
          <w:rStyle w:val="Strong"/>
          <w:rFonts w:asciiTheme="minorHAnsi" w:hAnsiTheme="minorHAnsi" w:cstheme="minorHAnsi"/>
          <w:b w:val="0"/>
          <w:bCs w:val="0"/>
        </w:rPr>
        <w:t>Stokholmskom konvencijom</w:t>
      </w:r>
      <w:r w:rsidRPr="00C86111">
        <w:rPr>
          <w:rFonts w:asciiTheme="minorHAnsi" w:hAnsiTheme="minorHAnsi" w:cstheme="minorHAnsi"/>
        </w:rPr>
        <w:t>, te radi smanjenja rizika po zdravlje ljudi i životnu sredinu, preporučuje se sprovođenje sljedećih mjera:</w:t>
      </w:r>
    </w:p>
    <w:p w14:paraId="08675618" w14:textId="77777777" w:rsidR="002B20A9" w:rsidRPr="00C86111" w:rsidRDefault="002B20A9" w:rsidP="00004F34">
      <w:pPr>
        <w:pStyle w:val="ListParagraph"/>
        <w:numPr>
          <w:ilvl w:val="0"/>
          <w:numId w:val="137"/>
        </w:numPr>
        <w:jc w:val="both"/>
        <w:rPr>
          <w:rFonts w:asciiTheme="minorHAnsi" w:hAnsiTheme="minorHAnsi" w:cstheme="minorHAnsi"/>
          <w:color w:val="002060"/>
        </w:rPr>
      </w:pPr>
      <w:r w:rsidRPr="00C86111">
        <w:rPr>
          <w:rStyle w:val="Strong"/>
          <w:rFonts w:asciiTheme="minorHAnsi" w:hAnsiTheme="minorHAnsi" w:cstheme="minorHAnsi"/>
          <w:b w:val="0"/>
          <w:bCs w:val="0"/>
          <w:color w:val="002060"/>
        </w:rPr>
        <w:t>Izrada liste proizvoda sa HS kodovima koji mogu sadržati PFOS:</w:t>
      </w:r>
    </w:p>
    <w:p w14:paraId="7F5E9102" w14:textId="77777777" w:rsidR="002B20A9" w:rsidRPr="00C86111" w:rsidRDefault="002B20A9" w:rsidP="00004F34">
      <w:pPr>
        <w:pStyle w:val="ListParagraph"/>
        <w:numPr>
          <w:ilvl w:val="0"/>
          <w:numId w:val="140"/>
        </w:numPr>
        <w:jc w:val="both"/>
        <w:rPr>
          <w:rFonts w:asciiTheme="minorHAnsi" w:hAnsiTheme="minorHAnsi" w:cstheme="minorHAnsi"/>
        </w:rPr>
      </w:pPr>
      <w:r w:rsidRPr="00C86111">
        <w:rPr>
          <w:rFonts w:asciiTheme="minorHAnsi" w:hAnsiTheme="minorHAnsi" w:cstheme="minorHAnsi"/>
        </w:rPr>
        <w:t xml:space="preserve">U saradnji sa </w:t>
      </w:r>
      <w:r w:rsidRPr="00C86111">
        <w:rPr>
          <w:rStyle w:val="Strong"/>
          <w:rFonts w:asciiTheme="minorHAnsi" w:hAnsiTheme="minorHAnsi" w:cstheme="minorHAnsi"/>
          <w:b w:val="0"/>
          <w:bCs w:val="0"/>
        </w:rPr>
        <w:t>Upravom carina</w:t>
      </w:r>
      <w:r w:rsidRPr="00C86111">
        <w:rPr>
          <w:rFonts w:asciiTheme="minorHAnsi" w:hAnsiTheme="minorHAnsi" w:cstheme="minorHAnsi"/>
        </w:rPr>
        <w:t xml:space="preserve"> i </w:t>
      </w:r>
      <w:r w:rsidRPr="00C86111">
        <w:rPr>
          <w:rStyle w:val="Strong"/>
          <w:rFonts w:asciiTheme="minorHAnsi" w:hAnsiTheme="minorHAnsi" w:cstheme="minorHAnsi"/>
          <w:b w:val="0"/>
          <w:bCs w:val="0"/>
        </w:rPr>
        <w:t>Ministarstvom nadležnim za zaštitu životne sredine</w:t>
      </w:r>
      <w:r w:rsidRPr="00C86111">
        <w:rPr>
          <w:rFonts w:asciiTheme="minorHAnsi" w:hAnsiTheme="minorHAnsi" w:cstheme="minorHAnsi"/>
        </w:rPr>
        <w:t xml:space="preserve">, izraditi </w:t>
      </w:r>
      <w:r w:rsidRPr="00C86111">
        <w:rPr>
          <w:rStyle w:val="Strong"/>
          <w:rFonts w:asciiTheme="minorHAnsi" w:hAnsiTheme="minorHAnsi" w:cstheme="minorHAnsi"/>
          <w:b w:val="0"/>
          <w:bCs w:val="0"/>
        </w:rPr>
        <w:t>zvanični dokument</w:t>
      </w:r>
      <w:r w:rsidRPr="00C86111">
        <w:rPr>
          <w:rFonts w:asciiTheme="minorHAnsi" w:hAnsiTheme="minorHAnsi" w:cstheme="minorHAnsi"/>
        </w:rPr>
        <w:t xml:space="preserve">.Dokument treba da sadrži jasna uputstva za carinske organe o načinu postupanja sa uvozom proizvoda koji mogu sadržati PFOS, uključujući sveobuhvatnu listu proizvoda koji potencijalno sadrže PFOS I odgovarajuće </w:t>
      </w:r>
      <w:r w:rsidRPr="00C86111">
        <w:rPr>
          <w:rStyle w:val="Strong"/>
          <w:rFonts w:asciiTheme="minorHAnsi" w:hAnsiTheme="minorHAnsi" w:cstheme="minorHAnsi"/>
          <w:b w:val="0"/>
          <w:bCs w:val="0"/>
        </w:rPr>
        <w:t>HS kodove</w:t>
      </w:r>
      <w:r w:rsidRPr="00C86111">
        <w:rPr>
          <w:rFonts w:asciiTheme="minorHAnsi" w:hAnsiTheme="minorHAnsi" w:cstheme="minorHAnsi"/>
        </w:rPr>
        <w:t xml:space="preserve"> za svaki od navedenih proizvoda.</w:t>
      </w:r>
    </w:p>
    <w:p w14:paraId="69EE0611" w14:textId="77777777" w:rsidR="002B20A9" w:rsidRPr="00C86111" w:rsidRDefault="002B20A9" w:rsidP="00004F34">
      <w:pPr>
        <w:pStyle w:val="ListParagraph"/>
        <w:numPr>
          <w:ilvl w:val="0"/>
          <w:numId w:val="137"/>
        </w:numPr>
        <w:jc w:val="both"/>
        <w:rPr>
          <w:rFonts w:asciiTheme="minorHAnsi" w:hAnsiTheme="minorHAnsi" w:cstheme="minorHAnsi"/>
          <w:color w:val="002060"/>
        </w:rPr>
      </w:pPr>
      <w:r w:rsidRPr="00C86111">
        <w:rPr>
          <w:rStyle w:val="Strong"/>
          <w:rFonts w:asciiTheme="minorHAnsi" w:hAnsiTheme="minorHAnsi" w:cstheme="minorHAnsi"/>
          <w:b w:val="0"/>
          <w:bCs w:val="0"/>
          <w:color w:val="002060"/>
        </w:rPr>
        <w:t>Protivpožarne pjene i oprema:</w:t>
      </w:r>
    </w:p>
    <w:p w14:paraId="6B6B9C41" w14:textId="77777777" w:rsidR="002B20A9" w:rsidRPr="00C86111" w:rsidRDefault="002B20A9" w:rsidP="00004F34">
      <w:pPr>
        <w:pStyle w:val="ListParagraph"/>
        <w:numPr>
          <w:ilvl w:val="0"/>
          <w:numId w:val="138"/>
        </w:numPr>
        <w:jc w:val="both"/>
        <w:rPr>
          <w:rFonts w:asciiTheme="minorHAnsi" w:hAnsiTheme="minorHAnsi" w:cstheme="minorHAnsi"/>
        </w:rPr>
      </w:pPr>
      <w:r w:rsidRPr="00C86111">
        <w:rPr>
          <w:rFonts w:asciiTheme="minorHAnsi" w:hAnsiTheme="minorHAnsi" w:cstheme="minorHAnsi"/>
        </w:rPr>
        <w:t xml:space="preserve">Osigurati </w:t>
      </w:r>
      <w:r w:rsidRPr="00C86111">
        <w:rPr>
          <w:rStyle w:val="Strong"/>
          <w:rFonts w:asciiTheme="minorHAnsi" w:hAnsiTheme="minorHAnsi" w:cstheme="minorHAnsi"/>
          <w:b w:val="0"/>
          <w:bCs w:val="0"/>
        </w:rPr>
        <w:t>potpuno povlačenje i ekološki prihvatljivo odlaganje pjena</w:t>
      </w:r>
      <w:r w:rsidRPr="00C86111">
        <w:rPr>
          <w:rFonts w:asciiTheme="minorHAnsi" w:hAnsiTheme="minorHAnsi" w:cstheme="minorHAnsi"/>
        </w:rPr>
        <w:t xml:space="preserve"> čiji je rok upotrebe istekao ili sadrže PFOS, u skladu sa nacionalnim i evropskim POPs propisima.</w:t>
      </w:r>
    </w:p>
    <w:p w14:paraId="1A5660E7" w14:textId="77777777" w:rsidR="002B20A9" w:rsidRPr="00C86111" w:rsidRDefault="002B20A9" w:rsidP="00004F34">
      <w:pPr>
        <w:pStyle w:val="ListParagraph"/>
        <w:numPr>
          <w:ilvl w:val="0"/>
          <w:numId w:val="138"/>
        </w:numPr>
        <w:jc w:val="both"/>
        <w:rPr>
          <w:rFonts w:asciiTheme="minorHAnsi" w:hAnsiTheme="minorHAnsi" w:cstheme="minorHAnsi"/>
        </w:rPr>
      </w:pPr>
      <w:r w:rsidRPr="00C86111">
        <w:rPr>
          <w:rFonts w:asciiTheme="minorHAnsi" w:hAnsiTheme="minorHAnsi" w:cstheme="minorHAnsi"/>
        </w:rPr>
        <w:lastRenderedPageBreak/>
        <w:t xml:space="preserve">Zamijeniti PFOS pjene </w:t>
      </w:r>
      <w:r w:rsidRPr="00C86111">
        <w:rPr>
          <w:rStyle w:val="Strong"/>
          <w:rFonts w:asciiTheme="minorHAnsi" w:hAnsiTheme="minorHAnsi" w:cstheme="minorHAnsi"/>
          <w:b w:val="0"/>
          <w:bCs w:val="0"/>
        </w:rPr>
        <w:t>alternativama bez fluora (fluorine-free)</w:t>
      </w:r>
      <w:r w:rsidRPr="00C86111">
        <w:rPr>
          <w:rFonts w:asciiTheme="minorHAnsi" w:hAnsiTheme="minorHAnsi" w:cstheme="minorHAnsi"/>
        </w:rPr>
        <w:t xml:space="preserve"> koje su tehnički odgovarajuće i dostupne na tržištu.</w:t>
      </w:r>
    </w:p>
    <w:p w14:paraId="7ED037FC" w14:textId="77777777" w:rsidR="002B20A9" w:rsidRPr="00C86111" w:rsidRDefault="002B20A9" w:rsidP="00004F34">
      <w:pPr>
        <w:pStyle w:val="ListParagraph"/>
        <w:numPr>
          <w:ilvl w:val="0"/>
          <w:numId w:val="138"/>
        </w:numPr>
        <w:jc w:val="both"/>
        <w:rPr>
          <w:rFonts w:asciiTheme="minorHAnsi" w:hAnsiTheme="minorHAnsi" w:cstheme="minorHAnsi"/>
        </w:rPr>
      </w:pPr>
      <w:r w:rsidRPr="00C86111">
        <w:rPr>
          <w:rFonts w:asciiTheme="minorHAnsi" w:hAnsiTheme="minorHAnsi" w:cstheme="minorHAnsi"/>
        </w:rPr>
        <w:t xml:space="preserve">Sprovesti </w:t>
      </w:r>
      <w:r w:rsidRPr="00C86111">
        <w:rPr>
          <w:rStyle w:val="Strong"/>
          <w:rFonts w:asciiTheme="minorHAnsi" w:hAnsiTheme="minorHAnsi" w:cstheme="minorHAnsi"/>
          <w:b w:val="0"/>
          <w:bCs w:val="0"/>
        </w:rPr>
        <w:t>dekontaminaciju vatrogasnih vozila i sistema za doziranje pjene</w:t>
      </w:r>
      <w:r w:rsidRPr="00C86111">
        <w:rPr>
          <w:rFonts w:asciiTheme="minorHAnsi" w:hAnsiTheme="minorHAnsi" w:cstheme="minorHAnsi"/>
        </w:rPr>
        <w:t xml:space="preserve"> koji su ranije korišćeni sa PFAS pjenama, kako bi se izbjegla unakrsna kontaminacija.</w:t>
      </w:r>
    </w:p>
    <w:p w14:paraId="1500B5FC" w14:textId="77777777" w:rsidR="002B20A9" w:rsidRPr="00C86111" w:rsidRDefault="002B20A9" w:rsidP="00004F34">
      <w:pPr>
        <w:pStyle w:val="ListParagraph"/>
        <w:numPr>
          <w:ilvl w:val="0"/>
          <w:numId w:val="138"/>
        </w:numPr>
        <w:jc w:val="both"/>
        <w:rPr>
          <w:rFonts w:asciiTheme="minorHAnsi" w:hAnsiTheme="minorHAnsi" w:cstheme="minorHAnsi"/>
        </w:rPr>
      </w:pPr>
      <w:r w:rsidRPr="00C86111">
        <w:rPr>
          <w:rFonts w:asciiTheme="minorHAnsi" w:hAnsiTheme="minorHAnsi" w:cstheme="minorHAnsi"/>
        </w:rPr>
        <w:t xml:space="preserve">Uspostaviti </w:t>
      </w:r>
      <w:r w:rsidRPr="00C86111">
        <w:rPr>
          <w:rStyle w:val="Strong"/>
          <w:rFonts w:asciiTheme="minorHAnsi" w:hAnsiTheme="minorHAnsi" w:cstheme="minorHAnsi"/>
          <w:b w:val="0"/>
          <w:bCs w:val="0"/>
        </w:rPr>
        <w:t>kontinuirani monitoring i izvještavanje o zalihama pjena</w:t>
      </w:r>
      <w:r w:rsidRPr="00C86111">
        <w:rPr>
          <w:rFonts w:asciiTheme="minorHAnsi" w:hAnsiTheme="minorHAnsi" w:cstheme="minorHAnsi"/>
        </w:rPr>
        <w:t xml:space="preserve">, te jačati svijest vatrogasnih službi o njihovim </w:t>
      </w:r>
      <w:r w:rsidRPr="00C86111">
        <w:rPr>
          <w:rStyle w:val="Strong"/>
          <w:rFonts w:asciiTheme="minorHAnsi" w:hAnsiTheme="minorHAnsi" w:cstheme="minorHAnsi"/>
          <w:b w:val="0"/>
          <w:bCs w:val="0"/>
        </w:rPr>
        <w:t>ekološkim i zakonskim obavezama</w:t>
      </w:r>
      <w:r w:rsidRPr="00C86111">
        <w:rPr>
          <w:rFonts w:asciiTheme="minorHAnsi" w:hAnsiTheme="minorHAnsi" w:cstheme="minorHAnsi"/>
        </w:rPr>
        <w:t>.</w:t>
      </w:r>
    </w:p>
    <w:p w14:paraId="57524CB4" w14:textId="77777777" w:rsidR="002B20A9" w:rsidRPr="00C86111" w:rsidRDefault="002B20A9" w:rsidP="00004F34">
      <w:pPr>
        <w:pStyle w:val="ListParagraph"/>
        <w:numPr>
          <w:ilvl w:val="0"/>
          <w:numId w:val="138"/>
        </w:numPr>
        <w:jc w:val="both"/>
        <w:rPr>
          <w:rFonts w:asciiTheme="minorHAnsi" w:hAnsiTheme="minorHAnsi" w:cstheme="minorHAnsi"/>
        </w:rPr>
      </w:pPr>
      <w:r w:rsidRPr="00C86111">
        <w:rPr>
          <w:rStyle w:val="Strong"/>
          <w:rFonts w:asciiTheme="minorHAnsi" w:hAnsiTheme="minorHAnsi" w:cstheme="minorHAnsi"/>
          <w:b w:val="0"/>
          <w:bCs w:val="0"/>
        </w:rPr>
        <w:t>Razviti edukativne kampanje</w:t>
      </w:r>
      <w:r w:rsidRPr="00C86111">
        <w:rPr>
          <w:rFonts w:asciiTheme="minorHAnsi" w:hAnsiTheme="minorHAnsi" w:cstheme="minorHAnsi"/>
        </w:rPr>
        <w:t xml:space="preserve"> za zaposlene u službama zaštite i spašavanja, s naglaskom na značaj poznavanja i primjene tehničkih specifikacija za pjene, u cilju uspostavljanja bezbjednijih i održivijih praksi.</w:t>
      </w:r>
    </w:p>
    <w:p w14:paraId="0B556C29" w14:textId="77777777" w:rsidR="002B20A9" w:rsidRPr="00C86111" w:rsidRDefault="002B20A9" w:rsidP="00004F34">
      <w:pPr>
        <w:pStyle w:val="ListParagraph"/>
        <w:numPr>
          <w:ilvl w:val="0"/>
          <w:numId w:val="137"/>
        </w:numPr>
        <w:jc w:val="both"/>
        <w:rPr>
          <w:rFonts w:asciiTheme="minorHAnsi" w:hAnsiTheme="minorHAnsi" w:cstheme="minorHAnsi"/>
        </w:rPr>
      </w:pPr>
      <w:r w:rsidRPr="00C86111">
        <w:rPr>
          <w:rStyle w:val="Strong"/>
          <w:rFonts w:asciiTheme="minorHAnsi" w:hAnsiTheme="minorHAnsi" w:cstheme="minorHAnsi"/>
          <w:b w:val="0"/>
          <w:bCs w:val="0"/>
          <w:color w:val="002060"/>
        </w:rPr>
        <w:t>Upravljanje otpadom:</w:t>
      </w:r>
    </w:p>
    <w:p w14:paraId="67232168" w14:textId="77777777" w:rsidR="002B20A9" w:rsidRPr="00C86111" w:rsidRDefault="002B20A9" w:rsidP="00004F34">
      <w:pPr>
        <w:pStyle w:val="ListParagraph"/>
        <w:numPr>
          <w:ilvl w:val="0"/>
          <w:numId w:val="139"/>
        </w:numPr>
        <w:jc w:val="both"/>
        <w:rPr>
          <w:rFonts w:asciiTheme="minorHAnsi" w:hAnsiTheme="minorHAnsi" w:cstheme="minorHAnsi"/>
        </w:rPr>
      </w:pPr>
      <w:r w:rsidRPr="00C86111">
        <w:rPr>
          <w:rFonts w:asciiTheme="minorHAnsi" w:hAnsiTheme="minorHAnsi" w:cstheme="minorHAnsi"/>
        </w:rPr>
        <w:t xml:space="preserve">Uspostaviti </w:t>
      </w:r>
      <w:r w:rsidRPr="00C86111">
        <w:rPr>
          <w:rStyle w:val="Strong"/>
          <w:rFonts w:asciiTheme="minorHAnsi" w:hAnsiTheme="minorHAnsi" w:cstheme="minorHAnsi"/>
          <w:b w:val="0"/>
          <w:bCs w:val="0"/>
        </w:rPr>
        <w:t>ciljano praćenje frakcija komunalnog otpada</w:t>
      </w:r>
      <w:r w:rsidRPr="00C86111">
        <w:rPr>
          <w:rFonts w:asciiTheme="minorHAnsi" w:hAnsiTheme="minorHAnsi" w:cstheme="minorHAnsi"/>
        </w:rPr>
        <w:t xml:space="preserve"> sa najvećim rizikom od prisustva PFOS-a (papir/karton, tekstil).</w:t>
      </w:r>
    </w:p>
    <w:p w14:paraId="49C57BAE" w14:textId="77777777" w:rsidR="002B20A9" w:rsidRPr="00C86111" w:rsidRDefault="002B20A9" w:rsidP="00004F34">
      <w:pPr>
        <w:pStyle w:val="ListParagraph"/>
        <w:numPr>
          <w:ilvl w:val="0"/>
          <w:numId w:val="139"/>
        </w:numPr>
        <w:jc w:val="both"/>
        <w:rPr>
          <w:rFonts w:asciiTheme="minorHAnsi" w:hAnsiTheme="minorHAnsi" w:cstheme="minorHAnsi"/>
        </w:rPr>
      </w:pPr>
      <w:r w:rsidRPr="00C86111">
        <w:rPr>
          <w:rFonts w:asciiTheme="minorHAnsi" w:hAnsiTheme="minorHAnsi" w:cstheme="minorHAnsi"/>
        </w:rPr>
        <w:t xml:space="preserve">Unaprijediti </w:t>
      </w:r>
      <w:r w:rsidRPr="00C86111">
        <w:rPr>
          <w:rStyle w:val="Strong"/>
          <w:rFonts w:asciiTheme="minorHAnsi" w:hAnsiTheme="minorHAnsi" w:cstheme="minorHAnsi"/>
          <w:b w:val="0"/>
          <w:bCs w:val="0"/>
        </w:rPr>
        <w:t>klasifikaciju otpada</w:t>
      </w:r>
      <w:r w:rsidRPr="00C86111">
        <w:rPr>
          <w:rFonts w:asciiTheme="minorHAnsi" w:hAnsiTheme="minorHAnsi" w:cstheme="minorHAnsi"/>
        </w:rPr>
        <w:t xml:space="preserve"> i uvesti </w:t>
      </w:r>
      <w:r w:rsidRPr="00C86111">
        <w:rPr>
          <w:rStyle w:val="Strong"/>
          <w:rFonts w:asciiTheme="minorHAnsi" w:hAnsiTheme="minorHAnsi" w:cstheme="minorHAnsi"/>
          <w:b w:val="0"/>
          <w:bCs w:val="0"/>
        </w:rPr>
        <w:t>analitički skrining</w:t>
      </w:r>
      <w:r w:rsidRPr="00C86111">
        <w:rPr>
          <w:rFonts w:asciiTheme="minorHAnsi" w:hAnsiTheme="minorHAnsi" w:cstheme="minorHAnsi"/>
        </w:rPr>
        <w:t xml:space="preserve"> radi boljeg praćenja otpada koji sadrži PFOS.</w:t>
      </w:r>
    </w:p>
    <w:p w14:paraId="3826A771" w14:textId="77777777" w:rsidR="002B20A9" w:rsidRPr="00C86111" w:rsidRDefault="002B20A9" w:rsidP="00004F34">
      <w:pPr>
        <w:pStyle w:val="ListParagraph"/>
        <w:numPr>
          <w:ilvl w:val="0"/>
          <w:numId w:val="139"/>
        </w:numPr>
        <w:jc w:val="both"/>
        <w:rPr>
          <w:rFonts w:asciiTheme="minorHAnsi" w:hAnsiTheme="minorHAnsi" w:cstheme="minorHAnsi"/>
        </w:rPr>
      </w:pPr>
      <w:r w:rsidRPr="00C86111">
        <w:rPr>
          <w:rFonts w:asciiTheme="minorHAnsi" w:hAnsiTheme="minorHAnsi" w:cstheme="minorHAnsi"/>
        </w:rPr>
        <w:t xml:space="preserve">Osigurati </w:t>
      </w:r>
      <w:r w:rsidRPr="00C86111">
        <w:rPr>
          <w:rStyle w:val="Strong"/>
          <w:rFonts w:asciiTheme="minorHAnsi" w:hAnsiTheme="minorHAnsi" w:cstheme="minorHAnsi"/>
          <w:b w:val="0"/>
          <w:bCs w:val="0"/>
        </w:rPr>
        <w:t>bezbjedne metode tretmana i odlaganja otpada</w:t>
      </w:r>
      <w:r w:rsidRPr="00C86111">
        <w:rPr>
          <w:rFonts w:asciiTheme="minorHAnsi" w:hAnsiTheme="minorHAnsi" w:cstheme="minorHAnsi"/>
        </w:rPr>
        <w:t xml:space="preserve"> koji sadrži PFOS, uz izbjegavanje nekontrolisanog deponovanja i spaljivanja.</w:t>
      </w:r>
    </w:p>
    <w:p w14:paraId="3DF25CBD" w14:textId="77777777" w:rsidR="002B20A9" w:rsidRPr="00C86111" w:rsidRDefault="002B20A9" w:rsidP="00004F34">
      <w:pPr>
        <w:pStyle w:val="ListParagraph"/>
        <w:numPr>
          <w:ilvl w:val="0"/>
          <w:numId w:val="139"/>
        </w:numPr>
        <w:jc w:val="both"/>
        <w:rPr>
          <w:rFonts w:asciiTheme="minorHAnsi" w:hAnsiTheme="minorHAnsi" w:cstheme="minorHAnsi"/>
        </w:rPr>
      </w:pPr>
      <w:r w:rsidRPr="00C86111">
        <w:rPr>
          <w:rFonts w:asciiTheme="minorHAnsi" w:hAnsiTheme="minorHAnsi" w:cstheme="minorHAnsi"/>
        </w:rPr>
        <w:t xml:space="preserve">Smanjiti unos PFOS-a u tokove otpada </w:t>
      </w:r>
      <w:r w:rsidRPr="00C86111">
        <w:rPr>
          <w:rStyle w:val="Strong"/>
          <w:rFonts w:asciiTheme="minorHAnsi" w:hAnsiTheme="minorHAnsi" w:cstheme="minorHAnsi"/>
          <w:b w:val="0"/>
          <w:bCs w:val="0"/>
        </w:rPr>
        <w:t>kontrolom uvoza</w:t>
      </w:r>
      <w:r w:rsidRPr="00C86111">
        <w:rPr>
          <w:rFonts w:asciiTheme="minorHAnsi" w:hAnsiTheme="minorHAnsi" w:cstheme="minorHAnsi"/>
        </w:rPr>
        <w:t xml:space="preserve"> i </w:t>
      </w:r>
      <w:r w:rsidRPr="00C86111">
        <w:rPr>
          <w:rStyle w:val="Strong"/>
          <w:rFonts w:asciiTheme="minorHAnsi" w:hAnsiTheme="minorHAnsi" w:cstheme="minorHAnsi"/>
          <w:b w:val="0"/>
          <w:bCs w:val="0"/>
        </w:rPr>
        <w:t>promocijom ekološki prihvatljivih alternativa</w:t>
      </w:r>
      <w:r w:rsidRPr="00C86111">
        <w:rPr>
          <w:rFonts w:asciiTheme="minorHAnsi" w:hAnsiTheme="minorHAnsi" w:cstheme="minorHAnsi"/>
        </w:rPr>
        <w:t>.</w:t>
      </w:r>
    </w:p>
    <w:p w14:paraId="48DF0EAD" w14:textId="77777777" w:rsidR="002B20A9" w:rsidRPr="00C86111" w:rsidRDefault="002B20A9" w:rsidP="00004F34">
      <w:pPr>
        <w:pStyle w:val="ListParagraph"/>
        <w:numPr>
          <w:ilvl w:val="0"/>
          <w:numId w:val="137"/>
        </w:numPr>
        <w:jc w:val="both"/>
        <w:rPr>
          <w:rFonts w:asciiTheme="minorHAnsi" w:hAnsiTheme="minorHAnsi" w:cstheme="minorHAnsi"/>
        </w:rPr>
      </w:pPr>
      <w:r w:rsidRPr="00C86111">
        <w:rPr>
          <w:rStyle w:val="Strong"/>
          <w:rFonts w:asciiTheme="minorHAnsi" w:hAnsiTheme="minorHAnsi" w:cstheme="minorHAnsi"/>
          <w:b w:val="0"/>
          <w:bCs w:val="0"/>
          <w:color w:val="002060"/>
        </w:rPr>
        <w:t>Zaštita životne sredine i zdravlja ljudi:</w:t>
      </w:r>
    </w:p>
    <w:p w14:paraId="3042D066" w14:textId="77777777" w:rsidR="002B20A9" w:rsidRPr="00C86111" w:rsidRDefault="002B20A9" w:rsidP="00004F34">
      <w:pPr>
        <w:pStyle w:val="ListParagraph"/>
        <w:numPr>
          <w:ilvl w:val="0"/>
          <w:numId w:val="141"/>
        </w:numPr>
        <w:jc w:val="both"/>
        <w:rPr>
          <w:rFonts w:asciiTheme="minorHAnsi" w:hAnsiTheme="minorHAnsi" w:cstheme="minorHAnsi"/>
        </w:rPr>
      </w:pPr>
      <w:r w:rsidRPr="00C86111">
        <w:rPr>
          <w:rFonts w:asciiTheme="minorHAnsi" w:hAnsiTheme="minorHAnsi" w:cstheme="minorHAnsi"/>
        </w:rPr>
        <w:t xml:space="preserve">Ispitati </w:t>
      </w:r>
      <w:r w:rsidRPr="00C86111">
        <w:rPr>
          <w:rStyle w:val="Strong"/>
          <w:rFonts w:asciiTheme="minorHAnsi" w:hAnsiTheme="minorHAnsi" w:cstheme="minorHAnsi"/>
          <w:b w:val="0"/>
          <w:bCs w:val="0"/>
        </w:rPr>
        <w:t>uticaj na životnu sredinu</w:t>
      </w:r>
      <w:r w:rsidRPr="00C86111">
        <w:rPr>
          <w:rFonts w:asciiTheme="minorHAnsi" w:hAnsiTheme="minorHAnsi" w:cstheme="minorHAnsi"/>
        </w:rPr>
        <w:t xml:space="preserve"> u područjima česte upotrebe pjena (aerodromi, luke, poligoni za obuku) radi procjene nivoa kontaminacije.</w:t>
      </w:r>
    </w:p>
    <w:p w14:paraId="0E41B2D2" w14:textId="77777777" w:rsidR="002B20A9" w:rsidRPr="00C86111" w:rsidRDefault="002B20A9" w:rsidP="00004F34">
      <w:pPr>
        <w:pStyle w:val="ListParagraph"/>
        <w:numPr>
          <w:ilvl w:val="0"/>
          <w:numId w:val="141"/>
        </w:numPr>
        <w:jc w:val="both"/>
        <w:rPr>
          <w:rFonts w:asciiTheme="minorHAnsi" w:hAnsiTheme="minorHAnsi" w:cstheme="minorHAnsi"/>
        </w:rPr>
      </w:pPr>
      <w:r w:rsidRPr="00C86111">
        <w:rPr>
          <w:rFonts w:asciiTheme="minorHAnsi" w:hAnsiTheme="minorHAnsi" w:cstheme="minorHAnsi"/>
        </w:rPr>
        <w:t xml:space="preserve">Uspostaviti </w:t>
      </w:r>
      <w:r w:rsidRPr="00C86111">
        <w:rPr>
          <w:rStyle w:val="Strong"/>
          <w:rFonts w:asciiTheme="minorHAnsi" w:hAnsiTheme="minorHAnsi" w:cstheme="minorHAnsi"/>
          <w:b w:val="0"/>
          <w:bCs w:val="0"/>
        </w:rPr>
        <w:t>biomonitoring programe</w:t>
      </w:r>
      <w:r w:rsidRPr="00C86111">
        <w:rPr>
          <w:rFonts w:asciiTheme="minorHAnsi" w:hAnsiTheme="minorHAnsi" w:cstheme="minorHAnsi"/>
        </w:rPr>
        <w:t xml:space="preserve"> za zaposlene koji su potencijalno izloženi PFOS-u, kako bi se osigurala njihova zaštita na radu.</w:t>
      </w:r>
    </w:p>
    <w:p w14:paraId="0975ECFF" w14:textId="77777777" w:rsidR="002B20A9" w:rsidRPr="00C86111" w:rsidRDefault="002B20A9" w:rsidP="00004F34">
      <w:pPr>
        <w:pStyle w:val="ListParagraph"/>
        <w:numPr>
          <w:ilvl w:val="0"/>
          <w:numId w:val="141"/>
        </w:numPr>
        <w:jc w:val="both"/>
        <w:rPr>
          <w:rFonts w:asciiTheme="minorHAnsi" w:hAnsiTheme="minorHAnsi" w:cstheme="minorHAnsi"/>
        </w:rPr>
      </w:pPr>
      <w:r w:rsidRPr="00C86111">
        <w:rPr>
          <w:rFonts w:asciiTheme="minorHAnsi" w:hAnsiTheme="minorHAnsi" w:cstheme="minorHAnsi"/>
        </w:rPr>
        <w:t xml:space="preserve">Pokrenuti </w:t>
      </w:r>
      <w:r w:rsidRPr="00C86111">
        <w:rPr>
          <w:rStyle w:val="Strong"/>
          <w:rFonts w:asciiTheme="minorHAnsi" w:hAnsiTheme="minorHAnsi" w:cstheme="minorHAnsi"/>
          <w:b w:val="0"/>
          <w:bCs w:val="0"/>
        </w:rPr>
        <w:t>edukativne programe</w:t>
      </w:r>
      <w:r w:rsidRPr="00C86111">
        <w:rPr>
          <w:rFonts w:asciiTheme="minorHAnsi" w:hAnsiTheme="minorHAnsi" w:cstheme="minorHAnsi"/>
        </w:rPr>
        <w:t xml:space="preserve"> za vatrogasne službe, carinske organe i operatere otpada radi povećanja svijesti o postojanim organskim zagađivačima (POPs) i promovisanja održivih praksi.</w:t>
      </w:r>
    </w:p>
    <w:p w14:paraId="0C11A9CA" w14:textId="77777777" w:rsidR="002B20A9" w:rsidRPr="00C86111" w:rsidRDefault="002B20A9" w:rsidP="00004F34">
      <w:pPr>
        <w:pStyle w:val="ListParagraph"/>
        <w:numPr>
          <w:ilvl w:val="0"/>
          <w:numId w:val="137"/>
        </w:numPr>
        <w:jc w:val="both"/>
        <w:rPr>
          <w:rFonts w:asciiTheme="minorHAnsi" w:hAnsiTheme="minorHAnsi" w:cstheme="minorHAnsi"/>
          <w:b/>
          <w:bCs/>
          <w:color w:val="002060"/>
        </w:rPr>
      </w:pPr>
      <w:r w:rsidRPr="00C86111">
        <w:rPr>
          <w:rStyle w:val="Strong"/>
          <w:rFonts w:asciiTheme="minorHAnsi" w:hAnsiTheme="minorHAnsi" w:cstheme="minorHAnsi"/>
          <w:b w:val="0"/>
          <w:bCs w:val="0"/>
          <w:color w:val="002060"/>
        </w:rPr>
        <w:t>Međusektorska koordinacija:</w:t>
      </w:r>
    </w:p>
    <w:p w14:paraId="1CAB51DF" w14:textId="77777777" w:rsidR="002B20A9" w:rsidRPr="00C86111" w:rsidRDefault="002B20A9" w:rsidP="00004F34">
      <w:pPr>
        <w:pStyle w:val="ListParagraph"/>
        <w:numPr>
          <w:ilvl w:val="0"/>
          <w:numId w:val="142"/>
        </w:numPr>
        <w:jc w:val="both"/>
        <w:rPr>
          <w:rFonts w:asciiTheme="minorHAnsi" w:hAnsiTheme="minorHAnsi" w:cstheme="minorHAnsi"/>
        </w:rPr>
      </w:pPr>
      <w:r w:rsidRPr="00C86111">
        <w:rPr>
          <w:rFonts w:asciiTheme="minorHAnsi" w:hAnsiTheme="minorHAnsi" w:cstheme="minorHAnsi"/>
        </w:rPr>
        <w:t xml:space="preserve">Razviti </w:t>
      </w:r>
      <w:r w:rsidRPr="00C86111">
        <w:rPr>
          <w:rStyle w:val="Strong"/>
          <w:rFonts w:asciiTheme="minorHAnsi" w:hAnsiTheme="minorHAnsi" w:cstheme="minorHAnsi"/>
          <w:b w:val="0"/>
          <w:bCs w:val="0"/>
        </w:rPr>
        <w:t>nacionalnu strategiju za postupno ukidanje PFOS-a</w:t>
      </w:r>
      <w:r w:rsidRPr="00C86111">
        <w:rPr>
          <w:rFonts w:asciiTheme="minorHAnsi" w:hAnsiTheme="minorHAnsi" w:cstheme="minorHAnsi"/>
          <w:b/>
          <w:bCs/>
        </w:rPr>
        <w:t>,</w:t>
      </w:r>
      <w:r w:rsidRPr="00C86111">
        <w:rPr>
          <w:rFonts w:asciiTheme="minorHAnsi" w:hAnsiTheme="minorHAnsi" w:cstheme="minorHAnsi"/>
        </w:rPr>
        <w:t xml:space="preserve"> sa jasno definisanim rokovima, institucionalnim odgovornostima i mehanizmima finansiranja.</w:t>
      </w:r>
    </w:p>
    <w:p w14:paraId="7370A748" w14:textId="77777777" w:rsidR="002B20A9" w:rsidRPr="00C86111" w:rsidRDefault="002B20A9" w:rsidP="00004F34">
      <w:pPr>
        <w:pStyle w:val="ListParagraph"/>
        <w:numPr>
          <w:ilvl w:val="0"/>
          <w:numId w:val="142"/>
        </w:numPr>
        <w:jc w:val="both"/>
        <w:rPr>
          <w:rFonts w:asciiTheme="minorHAnsi" w:hAnsiTheme="minorHAnsi" w:cstheme="minorHAnsi"/>
        </w:rPr>
      </w:pPr>
      <w:r w:rsidRPr="00C86111">
        <w:rPr>
          <w:rFonts w:asciiTheme="minorHAnsi" w:hAnsiTheme="minorHAnsi" w:cstheme="minorHAnsi"/>
        </w:rPr>
        <w:t xml:space="preserve">Ojačati </w:t>
      </w:r>
      <w:r w:rsidRPr="00C86111">
        <w:rPr>
          <w:rStyle w:val="Strong"/>
          <w:rFonts w:asciiTheme="minorHAnsi" w:hAnsiTheme="minorHAnsi" w:cstheme="minorHAnsi"/>
          <w:b w:val="0"/>
          <w:bCs w:val="0"/>
        </w:rPr>
        <w:t>međuinstitucionalnu saradnju</w:t>
      </w:r>
      <w:r w:rsidRPr="00C86111">
        <w:rPr>
          <w:rFonts w:asciiTheme="minorHAnsi" w:hAnsiTheme="minorHAnsi" w:cstheme="minorHAnsi"/>
        </w:rPr>
        <w:t xml:space="preserve"> između organa nadležnih za zaštitu životne sredine, carinu, zdravstvo i upravljanje otpadom.</w:t>
      </w:r>
    </w:p>
    <w:p w14:paraId="43CE7C1A" w14:textId="77777777" w:rsidR="002B20A9" w:rsidRPr="00C86111" w:rsidRDefault="002B20A9" w:rsidP="00004F34">
      <w:pPr>
        <w:pStyle w:val="ListParagraph"/>
        <w:numPr>
          <w:ilvl w:val="0"/>
          <w:numId w:val="142"/>
        </w:numPr>
        <w:jc w:val="both"/>
        <w:rPr>
          <w:rFonts w:asciiTheme="minorHAnsi" w:hAnsiTheme="minorHAnsi" w:cstheme="minorHAnsi"/>
        </w:rPr>
      </w:pPr>
      <w:r w:rsidRPr="00C86111">
        <w:rPr>
          <w:rFonts w:asciiTheme="minorHAnsi" w:hAnsiTheme="minorHAnsi" w:cstheme="minorHAnsi"/>
        </w:rPr>
        <w:t xml:space="preserve">Osigurati </w:t>
      </w:r>
      <w:r w:rsidRPr="00C86111">
        <w:rPr>
          <w:rStyle w:val="Strong"/>
          <w:rFonts w:asciiTheme="minorHAnsi" w:hAnsiTheme="minorHAnsi" w:cstheme="minorHAnsi"/>
          <w:b w:val="0"/>
          <w:bCs w:val="0"/>
        </w:rPr>
        <w:t>sistematsko izvještavanje i razmjenu podataka</w:t>
      </w:r>
      <w:r w:rsidRPr="00C86111">
        <w:rPr>
          <w:rFonts w:asciiTheme="minorHAnsi" w:hAnsiTheme="minorHAnsi" w:cstheme="minorHAnsi"/>
        </w:rPr>
        <w:t xml:space="preserve"> u skladu sa zahtjevima EU i Stokholmske konvencije.</w:t>
      </w:r>
    </w:p>
    <w:p w14:paraId="1FFBB824" w14:textId="77777777" w:rsidR="002B20A9" w:rsidRPr="00C86111" w:rsidRDefault="002B20A9" w:rsidP="00EA6904">
      <w:pPr>
        <w:pStyle w:val="Heading3"/>
        <w:rPr>
          <w:rStyle w:val="Strong"/>
          <w:b/>
          <w:bCs/>
        </w:rPr>
      </w:pPr>
      <w:bookmarkStart w:id="330" w:name="_Toc210632503"/>
      <w:bookmarkStart w:id="331" w:name="_Toc220541945"/>
      <w:r w:rsidRPr="00C86111">
        <w:rPr>
          <w:rStyle w:val="Strong"/>
          <w:bCs/>
        </w:rPr>
        <w:t>Opšti zaključak</w:t>
      </w:r>
      <w:bookmarkEnd w:id="330"/>
      <w:bookmarkEnd w:id="331"/>
    </w:p>
    <w:p w14:paraId="5E722A38" w14:textId="77777777" w:rsidR="002B20A9" w:rsidRPr="00C86111" w:rsidRDefault="002B20A9" w:rsidP="002B20A9">
      <w:pPr>
        <w:jc w:val="both"/>
        <w:rPr>
          <w:rFonts w:asciiTheme="minorHAnsi" w:hAnsiTheme="minorHAnsi" w:cstheme="minorHAnsi"/>
        </w:rPr>
      </w:pPr>
      <w:r w:rsidRPr="00C86111">
        <w:rPr>
          <w:rFonts w:asciiTheme="minorHAnsi" w:hAnsiTheme="minorHAnsi" w:cstheme="minorHAnsi"/>
        </w:rPr>
        <w:t xml:space="preserve">Iako su </w:t>
      </w:r>
      <w:r w:rsidRPr="00C86111">
        <w:rPr>
          <w:rStyle w:val="Strong"/>
          <w:rFonts w:asciiTheme="minorHAnsi" w:hAnsiTheme="minorHAnsi" w:cstheme="minorHAnsi"/>
          <w:b w:val="0"/>
          <w:bCs w:val="0"/>
        </w:rPr>
        <w:t>apsolutne količine PFOS-a u Crnoj Gori relativno umjerene</w:t>
      </w:r>
      <w:r w:rsidRPr="00C86111">
        <w:rPr>
          <w:rFonts w:asciiTheme="minorHAnsi" w:hAnsiTheme="minorHAnsi" w:cstheme="minorHAnsi"/>
        </w:rPr>
        <w:t xml:space="preserve"> u poređenju sa globalnim nivoima, njegova </w:t>
      </w:r>
      <w:r w:rsidRPr="00C86111">
        <w:rPr>
          <w:rStyle w:val="Strong"/>
          <w:rFonts w:asciiTheme="minorHAnsi" w:hAnsiTheme="minorHAnsi" w:cstheme="minorHAnsi"/>
          <w:b w:val="0"/>
          <w:bCs w:val="0"/>
        </w:rPr>
        <w:t>postojanost, bioakumulativni potencijal i toksični efekti</w:t>
      </w:r>
      <w:r w:rsidRPr="00C86111">
        <w:rPr>
          <w:rFonts w:asciiTheme="minorHAnsi" w:hAnsiTheme="minorHAnsi" w:cstheme="minorHAnsi"/>
        </w:rPr>
        <w:t xml:space="preserve"> znače da i </w:t>
      </w:r>
      <w:r w:rsidRPr="00C86111">
        <w:rPr>
          <w:rStyle w:val="Strong"/>
          <w:rFonts w:asciiTheme="minorHAnsi" w:hAnsiTheme="minorHAnsi" w:cstheme="minorHAnsi"/>
          <w:b w:val="0"/>
          <w:bCs w:val="0"/>
        </w:rPr>
        <w:t>male količine mogu predstavljati dugoročni rizik</w:t>
      </w:r>
      <w:r w:rsidRPr="00C86111">
        <w:rPr>
          <w:rFonts w:asciiTheme="minorHAnsi" w:hAnsiTheme="minorHAnsi" w:cstheme="minorHAnsi"/>
        </w:rPr>
        <w:t>.</w:t>
      </w:r>
    </w:p>
    <w:p w14:paraId="72B9DEDF" w14:textId="443E11DA" w:rsidR="00AA7D50" w:rsidRPr="00C86111" w:rsidRDefault="002B20A9" w:rsidP="002B20A9">
      <w:pPr>
        <w:jc w:val="both"/>
        <w:rPr>
          <w:rFonts w:asciiTheme="minorHAnsi" w:hAnsiTheme="minorHAnsi" w:cstheme="minorHAnsi"/>
          <w:color w:val="auto"/>
        </w:rPr>
      </w:pPr>
      <w:r w:rsidRPr="00C86111">
        <w:rPr>
          <w:rFonts w:asciiTheme="minorHAnsi" w:hAnsiTheme="minorHAnsi" w:cstheme="minorHAnsi"/>
        </w:rPr>
        <w:t xml:space="preserve">Zbog toga je neophodan </w:t>
      </w:r>
      <w:r w:rsidRPr="00C86111">
        <w:rPr>
          <w:rStyle w:val="Strong"/>
          <w:rFonts w:asciiTheme="minorHAnsi" w:hAnsiTheme="minorHAnsi" w:cstheme="minorHAnsi"/>
          <w:b w:val="0"/>
          <w:bCs w:val="0"/>
        </w:rPr>
        <w:t>proaktivan i koordinisan pristup</w:t>
      </w:r>
      <w:r w:rsidRPr="00C86111">
        <w:rPr>
          <w:rFonts w:asciiTheme="minorHAnsi" w:hAnsiTheme="minorHAnsi" w:cstheme="minorHAnsi"/>
        </w:rPr>
        <w:t xml:space="preserve"> između sektora carine, zaštite od požara, upravljanja potrošačkim proizvodima i sistemima otpada. Sprovođenjem navedenih preporuka Crna Gora će moći da zaštiti </w:t>
      </w:r>
      <w:r w:rsidRPr="00C86111">
        <w:rPr>
          <w:rStyle w:val="Strong"/>
          <w:rFonts w:asciiTheme="minorHAnsi" w:hAnsiTheme="minorHAnsi" w:cstheme="minorHAnsi"/>
          <w:b w:val="0"/>
          <w:bCs w:val="0"/>
        </w:rPr>
        <w:t>zdravlje stanovništva</w:t>
      </w:r>
      <w:r w:rsidRPr="00C86111">
        <w:rPr>
          <w:rFonts w:asciiTheme="minorHAnsi" w:hAnsiTheme="minorHAnsi" w:cstheme="minorHAnsi"/>
        </w:rPr>
        <w:t xml:space="preserve">, očuva </w:t>
      </w:r>
      <w:r w:rsidRPr="00C86111">
        <w:rPr>
          <w:rStyle w:val="Strong"/>
          <w:rFonts w:asciiTheme="minorHAnsi" w:hAnsiTheme="minorHAnsi" w:cstheme="minorHAnsi"/>
          <w:b w:val="0"/>
          <w:bCs w:val="0"/>
        </w:rPr>
        <w:t>životnu sredinu</w:t>
      </w:r>
      <w:r w:rsidRPr="00C86111">
        <w:rPr>
          <w:rFonts w:asciiTheme="minorHAnsi" w:hAnsiTheme="minorHAnsi" w:cstheme="minorHAnsi"/>
        </w:rPr>
        <w:t xml:space="preserve"> i </w:t>
      </w:r>
      <w:r w:rsidRPr="00C86111">
        <w:rPr>
          <w:rStyle w:val="Strong"/>
          <w:rFonts w:asciiTheme="minorHAnsi" w:hAnsiTheme="minorHAnsi" w:cstheme="minorHAnsi"/>
          <w:b w:val="0"/>
          <w:bCs w:val="0"/>
        </w:rPr>
        <w:t>u potpunosti uskladi svoje postupanje sa obavezama Evropske unije i međunarodnim standardima</w:t>
      </w:r>
      <w:r w:rsidRPr="00C86111">
        <w:rPr>
          <w:rFonts w:asciiTheme="minorHAnsi" w:hAnsiTheme="minorHAnsi" w:cstheme="minorHAnsi"/>
        </w:rPr>
        <w:t xml:space="preserve"> koji se odnose na postojana organska zagađujuća materije (POPs).</w:t>
      </w:r>
      <w:bookmarkEnd w:id="206"/>
      <w:bookmarkEnd w:id="207"/>
    </w:p>
    <w:p w14:paraId="138955C5" w14:textId="77777777" w:rsidR="002B20A9" w:rsidRPr="00C86111" w:rsidRDefault="002B20A9" w:rsidP="00912C4C">
      <w:pPr>
        <w:pStyle w:val="Heading1"/>
        <w:rPr>
          <w:bCs/>
        </w:rPr>
      </w:pPr>
      <w:bookmarkStart w:id="332" w:name="_Toc220541946"/>
      <w:r w:rsidRPr="00C86111">
        <w:lastRenderedPageBreak/>
        <w:t>Inventar PFOA, njegovih soli i PFOA-sličnih jedinjenja, PFHxS, njegovih soli i PFHxS-sličnih jedinjenja</w:t>
      </w:r>
      <w:bookmarkEnd w:id="332"/>
    </w:p>
    <w:p w14:paraId="62591636" w14:textId="77777777" w:rsidR="002B20A9" w:rsidRPr="00C86111" w:rsidRDefault="002B20A9" w:rsidP="00EA6904">
      <w:pPr>
        <w:pStyle w:val="Heading3"/>
      </w:pPr>
      <w:bookmarkStart w:id="333" w:name="_Toc210632567"/>
      <w:bookmarkStart w:id="334" w:name="_Toc220541947"/>
      <w:r w:rsidRPr="00C86111">
        <w:t>Uvod</w:t>
      </w:r>
      <w:bookmarkEnd w:id="333"/>
      <w:bookmarkEnd w:id="334"/>
    </w:p>
    <w:p w14:paraId="0EB5FF1F" w14:textId="77777777" w:rsidR="002B20A9" w:rsidRPr="00C86111" w:rsidRDefault="002B20A9" w:rsidP="002B20A9">
      <w:pPr>
        <w:jc w:val="both"/>
      </w:pPr>
    </w:p>
    <w:p w14:paraId="7708F225" w14:textId="77777777" w:rsidR="002B20A9" w:rsidRPr="00C86111" w:rsidRDefault="002B20A9" w:rsidP="002B20A9">
      <w:pPr>
        <w:jc w:val="both"/>
        <w:rPr>
          <w:rFonts w:asciiTheme="minorHAnsi" w:hAnsiTheme="minorHAnsi" w:cstheme="minorHAnsi"/>
        </w:rPr>
      </w:pPr>
      <w:r w:rsidRPr="00C86111">
        <w:rPr>
          <w:rFonts w:asciiTheme="minorHAnsi" w:hAnsiTheme="minorHAnsi" w:cstheme="minorHAnsi"/>
        </w:rPr>
        <w:t xml:space="preserve">PFOA (perfluorooktanska kiselina) i PFHxS (perfluorheksan sulfonska kiselina) pripadaju široj grupi </w:t>
      </w:r>
      <w:r w:rsidRPr="00C86111">
        <w:rPr>
          <w:rStyle w:val="Strong"/>
          <w:rFonts w:asciiTheme="minorHAnsi" w:hAnsiTheme="minorHAnsi" w:cstheme="minorHAnsi"/>
          <w:b w:val="0"/>
          <w:bCs w:val="0"/>
        </w:rPr>
        <w:t>per- i polifluoriranih alkil jedinjenja (PFAS)</w:t>
      </w:r>
      <w:r w:rsidRPr="00C86111">
        <w:rPr>
          <w:rFonts w:asciiTheme="minorHAnsi" w:hAnsiTheme="minorHAnsi" w:cstheme="minorHAnsi"/>
        </w:rPr>
        <w:t xml:space="preserve">, koja se koriste zbog svojih jedinstvenih hemijskih i fizičkih osobina. Ova jedinjenja karakterišu izuzetna </w:t>
      </w:r>
      <w:r w:rsidRPr="00C86111">
        <w:rPr>
          <w:rStyle w:val="Strong"/>
          <w:rFonts w:asciiTheme="minorHAnsi" w:hAnsiTheme="minorHAnsi" w:cstheme="minorHAnsi"/>
          <w:b w:val="0"/>
          <w:bCs w:val="0"/>
        </w:rPr>
        <w:t>hemijska i termička stabilnost</w:t>
      </w:r>
      <w:r w:rsidRPr="00C86111">
        <w:rPr>
          <w:rFonts w:asciiTheme="minorHAnsi" w:hAnsiTheme="minorHAnsi" w:cstheme="minorHAnsi"/>
        </w:rPr>
        <w:t xml:space="preserve">, niska površinska energija, kao i hidro- i lipofobna svojstva, što ih čini pogodnim za široku industrijsku i komercijalnu upotrebu. Međutim, njihove perzistentne, bioakumulativne i toksične karakteristike predstavljaju ozbiljan rizik za životnu sredinu i ljudsko zdravlje, što je dovelo do toga da se nađu na POPs listi Stokholmske konvencije. </w:t>
      </w:r>
    </w:p>
    <w:p w14:paraId="2D3E63E3" w14:textId="77777777" w:rsidR="002B20A9" w:rsidRPr="00C86111" w:rsidRDefault="002B20A9" w:rsidP="002B20A9">
      <w:pPr>
        <w:jc w:val="both"/>
        <w:rPr>
          <w:rFonts w:asciiTheme="minorHAnsi" w:hAnsiTheme="minorHAnsi" w:cstheme="minorHAnsi"/>
        </w:rPr>
      </w:pPr>
      <w:r w:rsidRPr="00C86111">
        <w:rPr>
          <w:rFonts w:asciiTheme="minorHAnsi" w:hAnsiTheme="minorHAnsi" w:cstheme="minorHAnsi"/>
        </w:rPr>
        <w:t xml:space="preserve">PFOA karakteriše dug lanac sa </w:t>
      </w:r>
      <w:r w:rsidRPr="00C86111">
        <w:rPr>
          <w:rStyle w:val="Strong"/>
          <w:rFonts w:asciiTheme="minorHAnsi" w:hAnsiTheme="minorHAnsi" w:cstheme="minorHAnsi"/>
          <w:b w:val="0"/>
          <w:bCs w:val="0"/>
        </w:rPr>
        <w:t>osam atoma ugljenika</w:t>
      </w:r>
      <w:r w:rsidRPr="00C86111">
        <w:rPr>
          <w:rFonts w:asciiTheme="minorHAnsi" w:hAnsiTheme="minorHAnsi" w:cstheme="minorHAnsi"/>
        </w:rPr>
        <w:t xml:space="preserve"> vezanih sa atomima fluora (C8), uz karboksilnu grupu. Upravo ove jake </w:t>
      </w:r>
      <w:r w:rsidRPr="00C86111">
        <w:rPr>
          <w:rStyle w:val="Strong"/>
          <w:rFonts w:asciiTheme="minorHAnsi" w:hAnsiTheme="minorHAnsi" w:cstheme="minorHAnsi"/>
          <w:b w:val="0"/>
          <w:bCs w:val="0"/>
        </w:rPr>
        <w:t>ugljenično-fluorne (C-F) veze</w:t>
      </w:r>
      <w:r w:rsidRPr="00C86111">
        <w:rPr>
          <w:rFonts w:asciiTheme="minorHAnsi" w:hAnsiTheme="minorHAnsi" w:cstheme="minorHAnsi"/>
        </w:rPr>
        <w:t xml:space="preserve">, koje su među najstabilnijim vezama u prirodi, čine PFOA gotovo nerazgradivim u vodi, tlu i sedimentu. Toksičnost PFOA izaziva posebnu zabrinutost zbog njegovog bioakumulativnog potencijala i sposobnosti da se biomagnifikuje kroz lanac ishrane.  </w:t>
      </w:r>
    </w:p>
    <w:p w14:paraId="4D8ACB6A" w14:textId="77777777" w:rsidR="002B20A9" w:rsidRPr="00C86111" w:rsidRDefault="002B20A9" w:rsidP="002B20A9">
      <w:pPr>
        <w:jc w:val="both"/>
        <w:rPr>
          <w:rFonts w:asciiTheme="minorHAnsi" w:hAnsiTheme="minorHAnsi" w:cstheme="minorHAnsi"/>
        </w:rPr>
      </w:pPr>
      <w:r w:rsidRPr="00C86111">
        <w:rPr>
          <w:rStyle w:val="Strong"/>
          <w:rFonts w:asciiTheme="minorHAnsi" w:hAnsiTheme="minorHAnsi" w:cstheme="minorHAnsi"/>
          <w:b w:val="0"/>
          <w:bCs w:val="0"/>
        </w:rPr>
        <w:t>PFHxS</w:t>
      </w:r>
      <w:r w:rsidRPr="00C86111">
        <w:rPr>
          <w:rFonts w:asciiTheme="minorHAnsi" w:hAnsiTheme="minorHAnsi" w:cstheme="minorHAnsi"/>
        </w:rPr>
        <w:t xml:space="preserve"> (perfluorheksan sulfonska kiselina) i njene soli predstavljaju sličnu supstancu sa kraćim lancem od PFOA, sastavljenim od </w:t>
      </w:r>
      <w:r w:rsidRPr="00C86111">
        <w:rPr>
          <w:rStyle w:val="Strong"/>
          <w:rFonts w:asciiTheme="minorHAnsi" w:hAnsiTheme="minorHAnsi" w:cstheme="minorHAnsi"/>
          <w:b w:val="0"/>
          <w:bCs w:val="0"/>
        </w:rPr>
        <w:t>šest atoma ugljenika</w:t>
      </w:r>
      <w:r w:rsidRPr="00C86111">
        <w:rPr>
          <w:rFonts w:asciiTheme="minorHAnsi" w:hAnsiTheme="minorHAnsi" w:cstheme="minorHAnsi"/>
        </w:rPr>
        <w:t xml:space="preserve"> vezanih sa fluorom (C6), uz sulfonatnu funkcionalnu grupu. Iako PFHxS ima nešto kraći lanac u poređenju sa PFOA, pokazuje </w:t>
      </w:r>
      <w:r w:rsidRPr="00C86111">
        <w:rPr>
          <w:rStyle w:val="Strong"/>
          <w:rFonts w:asciiTheme="minorHAnsi" w:hAnsiTheme="minorHAnsi" w:cstheme="minorHAnsi"/>
          <w:b w:val="0"/>
          <w:bCs w:val="0"/>
        </w:rPr>
        <w:t>sličnu otpornost na hemijsku i biološku razgradnju</w:t>
      </w:r>
      <w:r w:rsidRPr="00C86111">
        <w:rPr>
          <w:rFonts w:asciiTheme="minorHAnsi" w:hAnsiTheme="minorHAnsi" w:cstheme="minorHAnsi"/>
        </w:rPr>
        <w:t xml:space="preserve">, što ga čini izuzetno perzistentnim u životnoj sredini. </w:t>
      </w:r>
    </w:p>
    <w:p w14:paraId="60AA7414" w14:textId="77777777" w:rsidR="002B20A9" w:rsidRPr="00C86111" w:rsidRDefault="002B20A9" w:rsidP="002B20A9">
      <w:pPr>
        <w:jc w:val="both"/>
        <w:rPr>
          <w:rFonts w:asciiTheme="minorHAnsi" w:hAnsiTheme="minorHAnsi" w:cstheme="minorHAnsi"/>
        </w:rPr>
      </w:pPr>
      <w:r w:rsidRPr="00C86111">
        <w:rPr>
          <w:rFonts w:asciiTheme="minorHAnsi" w:hAnsiTheme="minorHAnsi" w:cstheme="minorHAnsi"/>
        </w:rPr>
        <w:t>Zajednički izazov koji predstavljaju PFOA i PFHxS leži u njihovom prisustvu u širokom spektru proizvoda i otpada. Njihova otpornost na degradaciju i sposobnost akumulacije u ekosistemima zahtijevaju specifične mjere upravljanja i tretmana otpada, kao i uspostavljanje redovnog monitoringa kontaminiranih lokacija, voda i zemljišta.</w:t>
      </w:r>
    </w:p>
    <w:p w14:paraId="1478FB5D" w14:textId="77777777" w:rsidR="002B20A9" w:rsidRPr="00C86111" w:rsidRDefault="002B20A9" w:rsidP="00EA6904">
      <w:pPr>
        <w:pStyle w:val="Heading3"/>
        <w:rPr>
          <w:rStyle w:val="Strong"/>
          <w:b/>
          <w:bCs/>
        </w:rPr>
      </w:pPr>
      <w:bookmarkStart w:id="335" w:name="_Toc210632568"/>
      <w:bookmarkStart w:id="336" w:name="_Toc220541948"/>
      <w:r w:rsidRPr="00C86111">
        <w:rPr>
          <w:rStyle w:val="Strong"/>
          <w:bCs/>
        </w:rPr>
        <w:t>Primjena PFOA</w:t>
      </w:r>
      <w:bookmarkEnd w:id="335"/>
      <w:bookmarkEnd w:id="336"/>
    </w:p>
    <w:p w14:paraId="004FC8AD" w14:textId="77777777" w:rsidR="002B20A9" w:rsidRPr="00C86111" w:rsidRDefault="002B20A9" w:rsidP="002B20A9">
      <w:pPr>
        <w:jc w:val="both"/>
        <w:rPr>
          <w:rStyle w:val="Strong"/>
          <w:b w:val="0"/>
          <w:bCs w:val="0"/>
          <w:i/>
          <w:iCs/>
          <w:color w:val="002060"/>
        </w:rPr>
      </w:pPr>
    </w:p>
    <w:p w14:paraId="0FD23692"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PFOA se tokom decenija intenzivno koristila u različitim industrijskim i komercijalnim primjenama, posebno kao pomoćno sredstvo u procesima proizvodnje, ali i kao komponenta u mnogim završnim proizvodima.</w:t>
      </w:r>
    </w:p>
    <w:p w14:paraId="0E84287B" w14:textId="77777777" w:rsidR="002B20A9" w:rsidRPr="00C86111" w:rsidRDefault="002B20A9" w:rsidP="002B20A9">
      <w:pPr>
        <w:jc w:val="both"/>
        <w:rPr>
          <w:rFonts w:asciiTheme="minorHAnsi" w:hAnsiTheme="minorHAnsi" w:cstheme="minorHAnsi"/>
          <w:b/>
          <w:bCs/>
          <w:color w:val="002060"/>
        </w:rPr>
      </w:pPr>
      <w:r w:rsidRPr="00C86111">
        <w:rPr>
          <w:rStyle w:val="Strong"/>
          <w:rFonts w:asciiTheme="minorHAnsi" w:hAnsiTheme="minorHAnsi" w:cstheme="minorHAnsi"/>
          <w:b w:val="0"/>
          <w:bCs w:val="0"/>
          <w:color w:val="002060"/>
        </w:rPr>
        <w:t>Emulgator u proizvodnji fluoropolimera</w:t>
      </w:r>
    </w:p>
    <w:p w14:paraId="7F11A352"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PFOA je imala ključnu ulogu u procesu polimerizacije za proizvodnju </w:t>
      </w:r>
      <w:r w:rsidRPr="00C86111">
        <w:rPr>
          <w:rStyle w:val="Strong"/>
          <w:rFonts w:asciiTheme="minorHAnsi" w:hAnsiTheme="minorHAnsi" w:cstheme="minorHAnsi"/>
          <w:b w:val="0"/>
          <w:bCs w:val="0"/>
          <w:color w:val="auto"/>
          <w:szCs w:val="24"/>
        </w:rPr>
        <w:t>politetrafluoroetilena (PTFE)</w:t>
      </w:r>
      <w:r w:rsidRPr="00C86111">
        <w:rPr>
          <w:rFonts w:asciiTheme="minorHAnsi" w:hAnsiTheme="minorHAnsi" w:cstheme="minorHAnsi"/>
          <w:b/>
          <w:bCs/>
          <w:color w:val="auto"/>
        </w:rPr>
        <w:t>,</w:t>
      </w:r>
      <w:r w:rsidRPr="00C86111">
        <w:rPr>
          <w:rFonts w:asciiTheme="minorHAnsi" w:hAnsiTheme="minorHAnsi" w:cstheme="minorHAnsi"/>
          <w:color w:val="auto"/>
        </w:rPr>
        <w:t xml:space="preserve"> poznatog kao </w:t>
      </w:r>
      <w:r w:rsidRPr="00C86111">
        <w:rPr>
          <w:rStyle w:val="Strong"/>
          <w:rFonts w:asciiTheme="minorHAnsi" w:hAnsiTheme="minorHAnsi" w:cstheme="minorHAnsi"/>
          <w:b w:val="0"/>
          <w:bCs w:val="0"/>
          <w:color w:val="auto"/>
          <w:szCs w:val="24"/>
        </w:rPr>
        <w:t>Teflon</w:t>
      </w:r>
      <w:r w:rsidRPr="00C86111">
        <w:rPr>
          <w:rFonts w:asciiTheme="minorHAnsi" w:hAnsiTheme="minorHAnsi" w:cstheme="minorHAnsi"/>
          <w:b/>
          <w:bCs/>
          <w:color w:val="auto"/>
        </w:rPr>
        <w:t>.</w:t>
      </w:r>
      <w:r w:rsidRPr="00C86111">
        <w:rPr>
          <w:rFonts w:asciiTheme="minorHAnsi" w:hAnsiTheme="minorHAnsi" w:cstheme="minorHAnsi"/>
          <w:color w:val="auto"/>
        </w:rPr>
        <w:t xml:space="preserve"> Fluoropolimeri su našli široku primjenu zbog svoje otpornosti na visoke temperature, hemijsku koroziju i habanje. </w:t>
      </w:r>
      <w:r w:rsidRPr="00C86111">
        <w:rPr>
          <w:rStyle w:val="Strong"/>
          <w:rFonts w:asciiTheme="minorHAnsi" w:hAnsiTheme="minorHAnsi" w:cstheme="minorHAnsi"/>
          <w:b w:val="0"/>
          <w:bCs w:val="0"/>
          <w:color w:val="auto"/>
          <w:szCs w:val="24"/>
        </w:rPr>
        <w:t>Proizvodi sa PTFE premazima</w:t>
      </w:r>
      <w:r w:rsidRPr="00C86111">
        <w:rPr>
          <w:rFonts w:asciiTheme="minorHAnsi" w:hAnsiTheme="minorHAnsi" w:cstheme="minorHAnsi"/>
          <w:color w:val="auto"/>
        </w:rPr>
        <w:t xml:space="preserve"> uključuju kuhinjsko posuđe sa nelepljivim premazom, industrijsku opremu, medicinske uređaje i električnu izolaciju.</w:t>
      </w:r>
    </w:p>
    <w:p w14:paraId="62B36C5E" w14:textId="77777777" w:rsidR="002B20A9" w:rsidRPr="00C86111" w:rsidRDefault="002B20A9" w:rsidP="002B20A9">
      <w:pPr>
        <w:jc w:val="both"/>
        <w:rPr>
          <w:rFonts w:asciiTheme="minorHAnsi" w:hAnsiTheme="minorHAnsi" w:cstheme="minorHAnsi"/>
          <w:b/>
          <w:bCs/>
          <w:color w:val="002060"/>
        </w:rPr>
      </w:pPr>
      <w:r w:rsidRPr="00C86111">
        <w:rPr>
          <w:rStyle w:val="Strong"/>
          <w:rFonts w:asciiTheme="minorHAnsi" w:hAnsiTheme="minorHAnsi" w:cstheme="minorHAnsi"/>
          <w:b w:val="0"/>
          <w:bCs w:val="0"/>
          <w:color w:val="002060"/>
        </w:rPr>
        <w:t>Tekstilna i papirna industrija</w:t>
      </w:r>
    </w:p>
    <w:p w14:paraId="18512DA3"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PFOA je korišćena za tretman tekstila i papira kako bi im se obezbjedila </w:t>
      </w:r>
      <w:r w:rsidRPr="00C86111">
        <w:rPr>
          <w:rStyle w:val="Strong"/>
          <w:rFonts w:asciiTheme="minorHAnsi" w:hAnsiTheme="minorHAnsi" w:cstheme="minorHAnsi"/>
          <w:b w:val="0"/>
          <w:bCs w:val="0"/>
          <w:color w:val="auto"/>
          <w:szCs w:val="24"/>
        </w:rPr>
        <w:t>vodootpornost, otpornost na mrlje i masnoće</w:t>
      </w:r>
      <w:r w:rsidRPr="00C86111">
        <w:rPr>
          <w:rFonts w:asciiTheme="minorHAnsi" w:hAnsiTheme="minorHAnsi" w:cstheme="minorHAnsi"/>
          <w:b/>
          <w:bCs/>
          <w:color w:val="auto"/>
        </w:rPr>
        <w:t xml:space="preserve">. </w:t>
      </w:r>
      <w:r w:rsidRPr="00C86111">
        <w:rPr>
          <w:rStyle w:val="Strong"/>
          <w:rFonts w:asciiTheme="minorHAnsi" w:hAnsiTheme="minorHAnsi" w:cstheme="minorHAnsi"/>
          <w:b w:val="0"/>
          <w:bCs w:val="0"/>
          <w:color w:val="auto"/>
          <w:szCs w:val="24"/>
        </w:rPr>
        <w:t>Proizvodi</w:t>
      </w:r>
      <w:r w:rsidRPr="00C86111">
        <w:rPr>
          <w:rFonts w:asciiTheme="minorHAnsi" w:hAnsiTheme="minorHAnsi" w:cstheme="minorHAnsi"/>
          <w:b/>
          <w:bCs/>
          <w:color w:val="auto"/>
        </w:rPr>
        <w:t>:</w:t>
      </w:r>
      <w:r w:rsidRPr="00C86111">
        <w:rPr>
          <w:rFonts w:asciiTheme="minorHAnsi" w:hAnsiTheme="minorHAnsi" w:cstheme="minorHAnsi"/>
          <w:color w:val="auto"/>
        </w:rPr>
        <w:t xml:space="preserve"> Vodootporna odjeća, zaštitni materijali, tepisi, tapacirani nameštaj, ambalaža za brzu hranu i papir za pečenje.</w:t>
      </w:r>
    </w:p>
    <w:p w14:paraId="5C1DC1FB" w14:textId="77777777" w:rsidR="00AA7D50" w:rsidRDefault="00AA7D50" w:rsidP="002B20A9">
      <w:pPr>
        <w:jc w:val="both"/>
        <w:rPr>
          <w:rFonts w:asciiTheme="minorHAnsi" w:hAnsiTheme="minorHAnsi" w:cstheme="minorHAnsi"/>
          <w:color w:val="auto"/>
        </w:rPr>
      </w:pPr>
    </w:p>
    <w:p w14:paraId="52EB7173" w14:textId="77777777" w:rsidR="00D966EC" w:rsidRDefault="00D966EC" w:rsidP="002B20A9">
      <w:pPr>
        <w:jc w:val="both"/>
        <w:rPr>
          <w:rFonts w:asciiTheme="minorHAnsi" w:hAnsiTheme="minorHAnsi" w:cstheme="minorHAnsi"/>
          <w:color w:val="auto"/>
        </w:rPr>
      </w:pPr>
    </w:p>
    <w:p w14:paraId="28FA3341" w14:textId="77777777" w:rsidR="00D966EC" w:rsidRDefault="00D966EC" w:rsidP="002B20A9">
      <w:pPr>
        <w:jc w:val="both"/>
        <w:rPr>
          <w:rFonts w:asciiTheme="minorHAnsi" w:hAnsiTheme="minorHAnsi" w:cstheme="minorHAnsi"/>
          <w:color w:val="auto"/>
        </w:rPr>
      </w:pPr>
    </w:p>
    <w:p w14:paraId="38F971D0" w14:textId="77777777" w:rsidR="00D966EC" w:rsidRPr="00C86111" w:rsidRDefault="00D966EC" w:rsidP="002B20A9">
      <w:pPr>
        <w:jc w:val="both"/>
        <w:rPr>
          <w:rFonts w:asciiTheme="minorHAnsi" w:hAnsiTheme="minorHAnsi" w:cstheme="minorHAnsi"/>
          <w:color w:val="auto"/>
        </w:rPr>
      </w:pPr>
    </w:p>
    <w:p w14:paraId="7D5097BC" w14:textId="77777777" w:rsidR="002B20A9" w:rsidRDefault="002B20A9" w:rsidP="002B20A9">
      <w:pPr>
        <w:jc w:val="both"/>
        <w:rPr>
          <w:rStyle w:val="Strong"/>
          <w:rFonts w:asciiTheme="minorHAnsi" w:hAnsiTheme="minorHAnsi" w:cstheme="minorHAnsi"/>
          <w:b w:val="0"/>
          <w:bCs w:val="0"/>
          <w:color w:val="002060"/>
        </w:rPr>
      </w:pPr>
      <w:r w:rsidRPr="00C86111">
        <w:rPr>
          <w:rStyle w:val="Strong"/>
          <w:rFonts w:asciiTheme="minorHAnsi" w:hAnsiTheme="minorHAnsi" w:cstheme="minorHAnsi"/>
          <w:b w:val="0"/>
          <w:bCs w:val="0"/>
          <w:color w:val="002060"/>
        </w:rPr>
        <w:lastRenderedPageBreak/>
        <w:t>Protivpožarne pjene (AFFF)</w:t>
      </w:r>
    </w:p>
    <w:p w14:paraId="3341CC12" w14:textId="77777777" w:rsidR="00D966EC" w:rsidRPr="00C86111" w:rsidRDefault="00D966EC" w:rsidP="002B20A9">
      <w:pPr>
        <w:jc w:val="both"/>
        <w:rPr>
          <w:rFonts w:asciiTheme="minorHAnsi" w:hAnsiTheme="minorHAnsi" w:cstheme="minorHAnsi"/>
          <w:b/>
          <w:bCs/>
          <w:color w:val="002060"/>
        </w:rPr>
      </w:pPr>
    </w:p>
    <w:p w14:paraId="17D9F91E"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PFOA je korišćena u proizvodnji </w:t>
      </w:r>
      <w:r w:rsidRPr="00C86111">
        <w:rPr>
          <w:rStyle w:val="Strong"/>
          <w:rFonts w:asciiTheme="minorHAnsi" w:hAnsiTheme="minorHAnsi" w:cstheme="minorHAnsi"/>
          <w:b w:val="0"/>
          <w:bCs w:val="0"/>
          <w:color w:val="auto"/>
          <w:szCs w:val="24"/>
        </w:rPr>
        <w:t>protivpožarnih pjena tipa AFFF (Aqueous Film Forming Foam)</w:t>
      </w:r>
      <w:r w:rsidRPr="00C86111">
        <w:rPr>
          <w:rFonts w:asciiTheme="minorHAnsi" w:hAnsiTheme="minorHAnsi" w:cstheme="minorHAnsi"/>
          <w:b/>
          <w:bCs/>
          <w:color w:val="auto"/>
        </w:rPr>
        <w:t>,</w:t>
      </w:r>
      <w:r w:rsidRPr="00C86111">
        <w:rPr>
          <w:rFonts w:asciiTheme="minorHAnsi" w:hAnsiTheme="minorHAnsi" w:cstheme="minorHAnsi"/>
          <w:color w:val="auto"/>
        </w:rPr>
        <w:t xml:space="preserve"> koje su bile ključne za gašenje požara izazvanih zapaljivim tečnostima u Industriji nafte i gasa, Petrohemijskim postrojenjima i Aerodromima</w:t>
      </w:r>
    </w:p>
    <w:p w14:paraId="2036A414" w14:textId="77777777" w:rsidR="002B20A9" w:rsidRPr="00C86111" w:rsidRDefault="002B20A9" w:rsidP="002B20A9">
      <w:pPr>
        <w:jc w:val="both"/>
        <w:rPr>
          <w:rFonts w:asciiTheme="minorHAnsi" w:hAnsiTheme="minorHAnsi" w:cstheme="minorHAnsi"/>
          <w:b/>
          <w:bCs/>
          <w:color w:val="002060"/>
        </w:rPr>
      </w:pPr>
      <w:r w:rsidRPr="00C86111">
        <w:rPr>
          <w:rStyle w:val="Strong"/>
          <w:rFonts w:asciiTheme="minorHAnsi" w:hAnsiTheme="minorHAnsi" w:cstheme="minorHAnsi"/>
          <w:b w:val="0"/>
          <w:bCs w:val="0"/>
          <w:color w:val="002060"/>
        </w:rPr>
        <w:t>Elektronika i automobilska industrija</w:t>
      </w:r>
    </w:p>
    <w:p w14:paraId="6B41653C"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U elektronskoj industriji, PFOA se koristila kao </w:t>
      </w:r>
      <w:r w:rsidRPr="00C86111">
        <w:rPr>
          <w:rStyle w:val="Strong"/>
          <w:rFonts w:asciiTheme="minorHAnsi" w:hAnsiTheme="minorHAnsi" w:cstheme="minorHAnsi"/>
          <w:b w:val="0"/>
          <w:bCs w:val="0"/>
          <w:color w:val="auto"/>
          <w:szCs w:val="24"/>
        </w:rPr>
        <w:t>antistatički premaz</w:t>
      </w:r>
      <w:r w:rsidRPr="00C86111">
        <w:rPr>
          <w:rFonts w:asciiTheme="minorHAnsi" w:hAnsiTheme="minorHAnsi" w:cstheme="minorHAnsi"/>
          <w:color w:val="auto"/>
        </w:rPr>
        <w:t xml:space="preserve"> i zaštitni sloj u elektronskim komponentama.</w:t>
      </w:r>
    </w:p>
    <w:p w14:paraId="46D5A40F"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U automobilskoj industriji, primenjivana je u </w:t>
      </w:r>
      <w:r w:rsidRPr="00C86111">
        <w:rPr>
          <w:rStyle w:val="Strong"/>
          <w:rFonts w:asciiTheme="minorHAnsi" w:hAnsiTheme="minorHAnsi" w:cstheme="minorHAnsi"/>
          <w:b w:val="0"/>
          <w:bCs w:val="0"/>
          <w:color w:val="auto"/>
          <w:szCs w:val="24"/>
        </w:rPr>
        <w:t>premazima i mazivima</w:t>
      </w:r>
      <w:r w:rsidRPr="00C86111">
        <w:rPr>
          <w:rFonts w:asciiTheme="minorHAnsi" w:hAnsiTheme="minorHAnsi" w:cstheme="minorHAnsi"/>
          <w:color w:val="auto"/>
        </w:rPr>
        <w:t xml:space="preserve"> za zaštitu od korozije i ekstremnih temperatura.</w:t>
      </w:r>
    </w:p>
    <w:p w14:paraId="62A86FB5" w14:textId="5C63634B" w:rsidR="002B20A9" w:rsidRPr="00C86111" w:rsidRDefault="002B20A9" w:rsidP="002B20A9">
      <w:pPr>
        <w:jc w:val="both"/>
        <w:rPr>
          <w:rFonts w:asciiTheme="minorHAnsi" w:hAnsiTheme="minorHAnsi" w:cstheme="minorHAnsi"/>
        </w:rPr>
      </w:pPr>
      <w:r w:rsidRPr="00C86111">
        <w:rPr>
          <w:rFonts w:asciiTheme="minorHAnsi" w:hAnsiTheme="minorHAnsi" w:cstheme="minorHAnsi"/>
        </w:rPr>
        <w:t xml:space="preserve">Danas je primjena PFOA značajno smanjena ili potpuno zabranjena u mnogim zemljama zbog prepoznatih </w:t>
      </w:r>
      <w:r w:rsidRPr="00C86111">
        <w:rPr>
          <w:rStyle w:val="Strong"/>
          <w:rFonts w:asciiTheme="minorHAnsi" w:hAnsiTheme="minorHAnsi" w:cstheme="minorHAnsi"/>
          <w:b w:val="0"/>
          <w:bCs w:val="0"/>
        </w:rPr>
        <w:t>štetnih efekata</w:t>
      </w:r>
      <w:r w:rsidRPr="00C86111">
        <w:rPr>
          <w:rFonts w:asciiTheme="minorHAnsi" w:hAnsiTheme="minorHAnsi" w:cstheme="minorHAnsi"/>
        </w:rPr>
        <w:t xml:space="preserve"> na zdravlje i životnu sredinu.</w:t>
      </w:r>
    </w:p>
    <w:p w14:paraId="72D252E2" w14:textId="77777777" w:rsidR="002B20A9" w:rsidRPr="00C86111" w:rsidRDefault="002B20A9" w:rsidP="00EA6904">
      <w:pPr>
        <w:pStyle w:val="Heading4"/>
        <w:rPr>
          <w:b/>
        </w:rPr>
      </w:pPr>
      <w:bookmarkStart w:id="337" w:name="_Toc210632569"/>
      <w:r w:rsidRPr="00C86111">
        <w:rPr>
          <w:rStyle w:val="Strong"/>
          <w:b w:val="0"/>
        </w:rPr>
        <w:t>Primjena PFHxS</w:t>
      </w:r>
      <w:bookmarkEnd w:id="337"/>
      <w:r w:rsidRPr="00C86111">
        <w:rPr>
          <w:rStyle w:val="Strong"/>
          <w:b w:val="0"/>
        </w:rPr>
        <w:t xml:space="preserve"> </w:t>
      </w:r>
    </w:p>
    <w:p w14:paraId="09C2AA08" w14:textId="77777777" w:rsidR="002B20A9" w:rsidRPr="00C86111" w:rsidRDefault="002B20A9" w:rsidP="002B20A9">
      <w:pPr>
        <w:jc w:val="both"/>
        <w:rPr>
          <w:rFonts w:asciiTheme="minorHAnsi" w:hAnsiTheme="minorHAnsi" w:cstheme="minorHAnsi"/>
        </w:rPr>
      </w:pPr>
      <w:r w:rsidRPr="00C86111">
        <w:rPr>
          <w:rStyle w:val="Strong"/>
          <w:rFonts w:asciiTheme="minorHAnsi" w:hAnsiTheme="minorHAnsi" w:cstheme="minorHAnsi"/>
          <w:b w:val="0"/>
          <w:bCs w:val="0"/>
        </w:rPr>
        <w:t>Perfluoroheksan sulfonska kiselina (PFHxS)</w:t>
      </w:r>
      <w:r w:rsidRPr="00C86111">
        <w:rPr>
          <w:rFonts w:asciiTheme="minorHAnsi" w:hAnsiTheme="minorHAnsi" w:cstheme="minorHAnsi"/>
          <w:b/>
          <w:bCs/>
        </w:rPr>
        <w:t>,</w:t>
      </w:r>
      <w:r w:rsidRPr="00C86111">
        <w:rPr>
          <w:rFonts w:asciiTheme="minorHAnsi" w:hAnsiTheme="minorHAnsi" w:cstheme="minorHAnsi"/>
        </w:rPr>
        <w:t xml:space="preserve"> slično kao i PFOA, korišćena je zbog svojih </w:t>
      </w:r>
      <w:r w:rsidRPr="00C86111">
        <w:rPr>
          <w:rStyle w:val="Strong"/>
          <w:rFonts w:asciiTheme="minorHAnsi" w:hAnsiTheme="minorHAnsi" w:cstheme="minorHAnsi"/>
          <w:b w:val="0"/>
          <w:bCs w:val="0"/>
        </w:rPr>
        <w:t>hidro- i oleofobnih svojstava</w:t>
      </w:r>
      <w:r w:rsidRPr="00C86111">
        <w:rPr>
          <w:rFonts w:asciiTheme="minorHAnsi" w:hAnsiTheme="minorHAnsi" w:cstheme="minorHAnsi"/>
        </w:rPr>
        <w:t xml:space="preserve"> i otpornosti na ekstremne uslove. Iako nije bila toliko rasprostranjena kao PFOA, njena primjena obuhvatala je:</w:t>
      </w:r>
    </w:p>
    <w:p w14:paraId="0C01A730" w14:textId="77777777" w:rsidR="002B20A9" w:rsidRPr="00C86111" w:rsidRDefault="002B20A9" w:rsidP="002B20A9">
      <w:pPr>
        <w:jc w:val="both"/>
        <w:rPr>
          <w:rFonts w:asciiTheme="minorHAnsi" w:hAnsiTheme="minorHAnsi" w:cstheme="minorHAnsi"/>
          <w:b/>
          <w:bCs/>
          <w:color w:val="002060"/>
        </w:rPr>
      </w:pPr>
      <w:r w:rsidRPr="00C86111">
        <w:rPr>
          <w:rStyle w:val="Strong"/>
          <w:rFonts w:asciiTheme="minorHAnsi" w:hAnsiTheme="minorHAnsi" w:cstheme="minorHAnsi"/>
          <w:b w:val="0"/>
          <w:bCs w:val="0"/>
          <w:color w:val="002060"/>
        </w:rPr>
        <w:t>Protivpožarne pjene (AFFF)</w:t>
      </w:r>
    </w:p>
    <w:p w14:paraId="36778B58"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PFHxS je bila sastavni deo formulacija pjena za gašenje požara, posebno u industrijama sa visokim rizikom od zapaljivih tečnosti.</w:t>
      </w:r>
    </w:p>
    <w:p w14:paraId="23297D92" w14:textId="77777777" w:rsidR="002B20A9" w:rsidRPr="00C86111" w:rsidRDefault="002B20A9" w:rsidP="002B20A9">
      <w:pPr>
        <w:jc w:val="both"/>
        <w:rPr>
          <w:rFonts w:asciiTheme="minorHAnsi" w:hAnsiTheme="minorHAnsi" w:cstheme="minorHAnsi"/>
          <w:b/>
          <w:bCs/>
          <w:color w:val="002060"/>
        </w:rPr>
      </w:pPr>
      <w:r w:rsidRPr="00C86111">
        <w:rPr>
          <w:rStyle w:val="Strong"/>
          <w:rFonts w:asciiTheme="minorHAnsi" w:hAnsiTheme="minorHAnsi" w:cstheme="minorHAnsi"/>
          <w:b w:val="0"/>
          <w:bCs w:val="0"/>
          <w:color w:val="002060"/>
        </w:rPr>
        <w:t>Tekstilna industrija</w:t>
      </w:r>
    </w:p>
    <w:p w14:paraId="09C31246"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PFHxS se koristila u tretmanu tekstila kako bi se obezbjedila </w:t>
      </w:r>
      <w:r w:rsidRPr="00C86111">
        <w:rPr>
          <w:rStyle w:val="Strong"/>
          <w:rFonts w:asciiTheme="minorHAnsi" w:hAnsiTheme="minorHAnsi" w:cstheme="minorHAnsi"/>
          <w:b w:val="0"/>
          <w:bCs w:val="0"/>
          <w:color w:val="auto"/>
          <w:szCs w:val="24"/>
        </w:rPr>
        <w:t>otpornost na vodu, ulja i mrlje</w:t>
      </w:r>
      <w:r w:rsidRPr="00C86111">
        <w:rPr>
          <w:rFonts w:asciiTheme="minorHAnsi" w:hAnsiTheme="minorHAnsi" w:cstheme="minorHAnsi"/>
          <w:b/>
          <w:bCs/>
          <w:color w:val="auto"/>
        </w:rPr>
        <w:t>.</w:t>
      </w:r>
    </w:p>
    <w:p w14:paraId="1BA0BECE"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Proizvodi su uključivali vodootpornu odjeću, zaštitne uniforme i druge tekstilne materijale sa specifičnim zahtjevima.</w:t>
      </w:r>
    </w:p>
    <w:p w14:paraId="00C4A13B" w14:textId="77777777" w:rsidR="002B20A9" w:rsidRPr="00C86111" w:rsidRDefault="002B20A9" w:rsidP="002B20A9">
      <w:pPr>
        <w:jc w:val="both"/>
        <w:rPr>
          <w:rFonts w:asciiTheme="minorHAnsi" w:hAnsiTheme="minorHAnsi" w:cstheme="minorHAnsi"/>
          <w:b/>
          <w:bCs/>
          <w:color w:val="002060"/>
        </w:rPr>
      </w:pPr>
      <w:r w:rsidRPr="00C86111">
        <w:rPr>
          <w:rStyle w:val="Strong"/>
          <w:rFonts w:asciiTheme="minorHAnsi" w:hAnsiTheme="minorHAnsi" w:cstheme="minorHAnsi"/>
          <w:b w:val="0"/>
          <w:bCs w:val="0"/>
          <w:color w:val="002060"/>
        </w:rPr>
        <w:t>Proizvodi za impregnaciju i premazi</w:t>
      </w:r>
    </w:p>
    <w:p w14:paraId="126A1759"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PFHxS je primenjivana u </w:t>
      </w:r>
      <w:r w:rsidRPr="00C86111">
        <w:rPr>
          <w:rStyle w:val="Strong"/>
          <w:rFonts w:asciiTheme="minorHAnsi" w:hAnsiTheme="minorHAnsi" w:cstheme="minorHAnsi"/>
          <w:b w:val="0"/>
          <w:bCs w:val="0"/>
          <w:color w:val="auto"/>
          <w:szCs w:val="24"/>
        </w:rPr>
        <w:t>industrijskim premazima</w:t>
      </w:r>
      <w:r w:rsidRPr="00C86111">
        <w:rPr>
          <w:rFonts w:asciiTheme="minorHAnsi" w:hAnsiTheme="minorHAnsi" w:cstheme="minorHAnsi"/>
          <w:color w:val="auto"/>
        </w:rPr>
        <w:t xml:space="preserve"> za metale, plastiku i drvo zbog svoje otpornosti na habanje i hemijska oštećenja.</w:t>
      </w:r>
    </w:p>
    <w:p w14:paraId="0B0E6CAE"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 xml:space="preserve">Upotrebljavala se i za impregnaciju </w:t>
      </w:r>
      <w:r w:rsidRPr="00C86111">
        <w:rPr>
          <w:rStyle w:val="Strong"/>
          <w:rFonts w:asciiTheme="minorHAnsi" w:hAnsiTheme="minorHAnsi" w:cstheme="minorHAnsi"/>
          <w:b w:val="0"/>
          <w:bCs w:val="0"/>
          <w:color w:val="auto"/>
          <w:szCs w:val="24"/>
        </w:rPr>
        <w:t>papirnih proizvoda</w:t>
      </w:r>
      <w:r w:rsidRPr="00C86111">
        <w:rPr>
          <w:rFonts w:asciiTheme="minorHAnsi" w:hAnsiTheme="minorHAnsi" w:cstheme="minorHAnsi"/>
          <w:color w:val="auto"/>
        </w:rPr>
        <w:t xml:space="preserve"> namenjenih za kontakt sa masnom hranom.</w:t>
      </w:r>
    </w:p>
    <w:p w14:paraId="436C08CB" w14:textId="37A5C9D0"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rPr>
        <w:t xml:space="preserve">Primjena PFHxS je danas takođe </w:t>
      </w:r>
      <w:r w:rsidRPr="00C86111">
        <w:rPr>
          <w:rStyle w:val="Strong"/>
          <w:rFonts w:asciiTheme="minorHAnsi" w:hAnsiTheme="minorHAnsi" w:cstheme="minorHAnsi"/>
          <w:b w:val="0"/>
          <w:bCs w:val="0"/>
        </w:rPr>
        <w:t>strogo regulisana</w:t>
      </w:r>
      <w:r w:rsidRPr="00C86111">
        <w:rPr>
          <w:rFonts w:asciiTheme="minorHAnsi" w:hAnsiTheme="minorHAnsi" w:cstheme="minorHAnsi"/>
        </w:rPr>
        <w:t xml:space="preserve"> zbog dokazanih efekata po zdravlje ljudi i štethih uticaja na životnu sredinu.</w:t>
      </w:r>
      <w:r w:rsidRPr="00C86111">
        <w:rPr>
          <w:rFonts w:asciiTheme="minorHAnsi" w:hAnsiTheme="minorHAnsi" w:cstheme="minorHAnsi"/>
          <w:color w:val="auto"/>
        </w:rPr>
        <w:t xml:space="preserve">U tabeli </w:t>
      </w:r>
      <w:r w:rsidR="00AA7D50" w:rsidRPr="00C86111">
        <w:rPr>
          <w:rFonts w:asciiTheme="minorHAnsi" w:hAnsiTheme="minorHAnsi" w:cstheme="minorHAnsi"/>
          <w:color w:val="auto"/>
        </w:rPr>
        <w:t>80</w:t>
      </w:r>
      <w:r w:rsidRPr="00C86111">
        <w:rPr>
          <w:rFonts w:asciiTheme="minorHAnsi" w:hAnsiTheme="minorHAnsi" w:cstheme="minorHAnsi"/>
          <w:color w:val="auto"/>
        </w:rPr>
        <w:t xml:space="preserve"> dat je detaljan prikaz industrijskih i potrošačkih sektora gdje su korišćeni PFOA i PFHxS.</w:t>
      </w:r>
    </w:p>
    <w:p w14:paraId="229A3112" w14:textId="77777777" w:rsidR="002B20A9" w:rsidRPr="00C86111" w:rsidRDefault="002B20A9" w:rsidP="002B20A9">
      <w:pPr>
        <w:jc w:val="both"/>
        <w:rPr>
          <w:rFonts w:asciiTheme="minorHAnsi" w:hAnsiTheme="minorHAnsi" w:cstheme="minorHAnsi"/>
          <w:color w:val="auto"/>
        </w:rPr>
      </w:pPr>
    </w:p>
    <w:p w14:paraId="10594F1E" w14:textId="3A02C40C"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AA7D50" w:rsidRPr="00C86111">
        <w:rPr>
          <w:rFonts w:asciiTheme="minorHAnsi" w:hAnsiTheme="minorHAnsi" w:cstheme="minorHAnsi"/>
          <w:b/>
          <w:bCs/>
          <w:color w:val="auto"/>
        </w:rPr>
        <w:t>80</w:t>
      </w:r>
      <w:r w:rsidRPr="00C86111">
        <w:rPr>
          <w:rFonts w:asciiTheme="minorHAnsi" w:hAnsiTheme="minorHAnsi" w:cstheme="minorHAnsi"/>
          <w:b/>
          <w:bCs/>
          <w:color w:val="auto"/>
        </w:rPr>
        <w:t>.</w:t>
      </w:r>
      <w:r w:rsidRPr="00C86111">
        <w:rPr>
          <w:rFonts w:asciiTheme="minorHAnsi" w:hAnsiTheme="minorHAnsi" w:cstheme="minorHAnsi"/>
          <w:color w:val="auto"/>
        </w:rPr>
        <w:t xml:space="preserve"> Primjena PFOA i PFHxS </w:t>
      </w:r>
    </w:p>
    <w:tbl>
      <w:tblPr>
        <w:tblStyle w:val="GridTable5Dark-Accent6"/>
        <w:tblW w:w="4926" w:type="pct"/>
        <w:tblLayout w:type="fixed"/>
        <w:tblLook w:val="00A0" w:firstRow="1" w:lastRow="0" w:firstColumn="1" w:lastColumn="0" w:noHBand="0" w:noVBand="0"/>
      </w:tblPr>
      <w:tblGrid>
        <w:gridCol w:w="836"/>
        <w:gridCol w:w="6620"/>
        <w:gridCol w:w="1756"/>
      </w:tblGrid>
      <w:tr w:rsidR="002B20A9" w:rsidRPr="00C86111" w14:paraId="54C90C56" w14:textId="77777777" w:rsidTr="00BC765B">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4" w:type="pct"/>
          </w:tcPr>
          <w:p w14:paraId="4D3CE1A1" w14:textId="77777777" w:rsidR="002B20A9" w:rsidRPr="00C86111" w:rsidRDefault="002B20A9" w:rsidP="00BC765B">
            <w:pPr>
              <w:jc w:val="both"/>
              <w:rPr>
                <w:rFonts w:asciiTheme="minorHAnsi" w:eastAsia="SimSun" w:hAnsiTheme="minorHAnsi" w:cstheme="minorHAnsi"/>
                <w:b w:val="0"/>
                <w:bCs w:val="0"/>
                <w:color w:val="auto"/>
                <w:sz w:val="20"/>
                <w:szCs w:val="20"/>
              </w:rPr>
            </w:pPr>
            <w:r w:rsidRPr="00C86111">
              <w:rPr>
                <w:rFonts w:asciiTheme="minorHAnsi" w:eastAsia="SimSun" w:hAnsiTheme="minorHAnsi" w:cstheme="minorHAnsi"/>
                <w:color w:val="auto"/>
                <w:sz w:val="20"/>
                <w:szCs w:val="20"/>
              </w:rPr>
              <w:t>No.</w:t>
            </w:r>
          </w:p>
        </w:tc>
        <w:tc>
          <w:tcPr>
            <w:cnfStyle w:val="000010000000" w:firstRow="0" w:lastRow="0" w:firstColumn="0" w:lastColumn="0" w:oddVBand="1" w:evenVBand="0" w:oddHBand="0" w:evenHBand="0" w:firstRowFirstColumn="0" w:firstRowLastColumn="0" w:lastRowFirstColumn="0" w:lastRowLastColumn="0"/>
            <w:tcW w:w="3593" w:type="pct"/>
          </w:tcPr>
          <w:p w14:paraId="33A8AC04" w14:textId="77777777" w:rsidR="002B20A9" w:rsidRPr="00C86111" w:rsidRDefault="002B20A9" w:rsidP="00BC765B">
            <w:pPr>
              <w:jc w:val="both"/>
              <w:rPr>
                <w:rFonts w:asciiTheme="minorHAnsi" w:eastAsia="SimSun" w:hAnsiTheme="minorHAnsi" w:cstheme="minorHAnsi"/>
                <w:b w:val="0"/>
                <w:bCs w:val="0"/>
                <w:color w:val="auto"/>
                <w:sz w:val="20"/>
                <w:szCs w:val="20"/>
              </w:rPr>
            </w:pPr>
            <w:r w:rsidRPr="00C86111">
              <w:rPr>
                <w:rFonts w:asciiTheme="minorHAnsi" w:eastAsia="SimSun" w:hAnsiTheme="minorHAnsi" w:cstheme="minorHAnsi"/>
                <w:color w:val="auto"/>
                <w:sz w:val="20"/>
                <w:szCs w:val="20"/>
              </w:rPr>
              <w:t>Proizvodnja i upotreba</w:t>
            </w:r>
          </w:p>
        </w:tc>
        <w:tc>
          <w:tcPr>
            <w:tcW w:w="953" w:type="pct"/>
          </w:tcPr>
          <w:p w14:paraId="68DBD6B7"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bCs w:val="0"/>
                <w:color w:val="auto"/>
                <w:sz w:val="20"/>
                <w:szCs w:val="20"/>
              </w:rPr>
            </w:pPr>
            <w:r w:rsidRPr="00C86111">
              <w:rPr>
                <w:rFonts w:asciiTheme="minorHAnsi" w:eastAsia="SimSun" w:hAnsiTheme="minorHAnsi" w:cstheme="minorHAnsi"/>
                <w:color w:val="auto"/>
                <w:sz w:val="20"/>
                <w:szCs w:val="20"/>
              </w:rPr>
              <w:t>PFOA/PFHxS*</w:t>
            </w:r>
          </w:p>
        </w:tc>
      </w:tr>
      <w:tr w:rsidR="002B20A9" w:rsidRPr="00C86111" w14:paraId="61A7D820"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3FEB21A0"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3A75BD8F"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Proizvodnja politetrafluoroetilena (PTFE) i poliviniliden fluorida (PVDF) (uz korišćenje PFOA, njegovih soli i srodnih jedinjenja)</w:t>
            </w:r>
          </w:p>
        </w:tc>
        <w:tc>
          <w:tcPr>
            <w:tcW w:w="953" w:type="pct"/>
          </w:tcPr>
          <w:p w14:paraId="51F5E6E6"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PFOA</w:t>
            </w:r>
          </w:p>
        </w:tc>
      </w:tr>
      <w:tr w:rsidR="002B20A9" w:rsidRPr="00C86111" w14:paraId="7971B85C"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7F1B23E8"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4F3D64C8"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Proizvodnja polifluoroetilen propilena (FEP) (uz korišćenje PFOA, njegovih soli i srodnih jedinjenja)</w:t>
            </w:r>
          </w:p>
        </w:tc>
        <w:tc>
          <w:tcPr>
            <w:tcW w:w="953" w:type="pct"/>
          </w:tcPr>
          <w:p w14:paraId="01501CE9"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PFOA</w:t>
            </w:r>
          </w:p>
        </w:tc>
      </w:tr>
      <w:tr w:rsidR="002B20A9" w:rsidRPr="00C86111" w14:paraId="6BA7859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1ABA9796"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035625BF"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Proizvodnja fluoroelastomera za izradu O-prstenova, klinastih kaiševa i plastičnih dodataka za enterijere automobila (uz korišćenje PFOA, njegovih soli i srodnih jedinjenja)</w:t>
            </w:r>
          </w:p>
        </w:tc>
        <w:tc>
          <w:tcPr>
            <w:tcW w:w="953" w:type="pct"/>
          </w:tcPr>
          <w:p w14:paraId="1AF2B21B"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PFOA</w:t>
            </w:r>
          </w:p>
        </w:tc>
      </w:tr>
      <w:tr w:rsidR="002B20A9" w:rsidRPr="00C86111" w14:paraId="4E7BA3C6"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14BD764F"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437076DC"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Farmaceutska industrija (uz korišćenje PFOA, njegovih soli i srodnih jedinjenja)</w:t>
            </w:r>
          </w:p>
        </w:tc>
        <w:tc>
          <w:tcPr>
            <w:tcW w:w="953" w:type="pct"/>
          </w:tcPr>
          <w:p w14:paraId="4C8CBEAC"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PFOA</w:t>
            </w:r>
          </w:p>
        </w:tc>
      </w:tr>
      <w:tr w:rsidR="002B20A9" w:rsidRPr="00C86111" w14:paraId="4DB8C2C9"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7846D438"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50485AC2"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Protivpožarna pjena</w:t>
            </w:r>
          </w:p>
        </w:tc>
        <w:tc>
          <w:tcPr>
            <w:tcW w:w="953" w:type="pct"/>
          </w:tcPr>
          <w:p w14:paraId="02CEAC68"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488020D6"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44156AEB"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04B3984F"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Medicinski uređaji</w:t>
            </w:r>
          </w:p>
        </w:tc>
        <w:tc>
          <w:tcPr>
            <w:tcW w:w="953" w:type="pct"/>
          </w:tcPr>
          <w:p w14:paraId="78E6C77E"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40D5A33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76789984" w14:textId="77777777" w:rsidR="002B20A9" w:rsidRPr="00C86111" w:rsidRDefault="002B20A9" w:rsidP="00004F34">
            <w:pPr>
              <w:pStyle w:val="ListParagraph"/>
              <w:numPr>
                <w:ilvl w:val="0"/>
                <w:numId w:val="168"/>
              </w:numPr>
              <w:jc w:val="both"/>
              <w:rPr>
                <w:rFonts w:asciiTheme="minorHAnsi" w:hAnsiTheme="minorHAnsi" w:cstheme="min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93" w:type="pct"/>
          </w:tcPr>
          <w:p w14:paraId="0BA64CC0" w14:textId="77777777" w:rsidR="002B20A9" w:rsidRPr="00C86111" w:rsidRDefault="002B20A9" w:rsidP="00BC765B">
            <w:pPr>
              <w:jc w:val="both"/>
              <w:rPr>
                <w:rFonts w:asciiTheme="minorHAnsi" w:hAnsiTheme="minorHAnsi" w:cstheme="minorHAnsi"/>
                <w:sz w:val="20"/>
                <w:szCs w:val="20"/>
                <w:lang w:val="en-GB"/>
              </w:rPr>
            </w:pPr>
            <w:r w:rsidRPr="00C86111">
              <w:rPr>
                <w:rFonts w:asciiTheme="minorHAnsi" w:hAnsiTheme="minorHAnsi" w:cstheme="minorHAnsi"/>
                <w:sz w:val="20"/>
                <w:szCs w:val="20"/>
                <w:lang w:val="en-GB"/>
              </w:rPr>
              <w:t>Tekstil i odeća</w:t>
            </w:r>
          </w:p>
        </w:tc>
        <w:tc>
          <w:tcPr>
            <w:tcW w:w="953" w:type="pct"/>
          </w:tcPr>
          <w:p w14:paraId="05DB1588"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75CA3F53"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5EE3B0F9" w14:textId="77777777" w:rsidR="002B20A9" w:rsidRPr="00C86111" w:rsidRDefault="002B20A9" w:rsidP="00004F34">
            <w:pPr>
              <w:pStyle w:val="ListParagraph"/>
              <w:numPr>
                <w:ilvl w:val="0"/>
                <w:numId w:val="168"/>
              </w:numPr>
              <w:jc w:val="both"/>
              <w:rPr>
                <w:rFonts w:asciiTheme="minorHAnsi" w:eastAsia="SimSun" w:hAnsiTheme="minorHAnsi" w:cstheme="min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93" w:type="pct"/>
          </w:tcPr>
          <w:p w14:paraId="6009368B" w14:textId="77777777" w:rsidR="002B20A9" w:rsidRPr="00C86111" w:rsidRDefault="002B20A9" w:rsidP="00BC765B">
            <w:pPr>
              <w:jc w:val="both"/>
              <w:rPr>
                <w:rFonts w:asciiTheme="minorHAnsi" w:hAnsiTheme="minorHAnsi" w:cstheme="minorHAnsi"/>
                <w:sz w:val="20"/>
                <w:szCs w:val="20"/>
                <w:lang w:val="en-GB"/>
              </w:rPr>
            </w:pPr>
            <w:r w:rsidRPr="00C86111">
              <w:rPr>
                <w:rFonts w:asciiTheme="minorHAnsi" w:eastAsia="SimSun" w:hAnsiTheme="minorHAnsi" w:cstheme="minorHAnsi"/>
                <w:sz w:val="20"/>
                <w:szCs w:val="20"/>
                <w:lang w:val="en-GB"/>
              </w:rPr>
              <w:t>Koža i tapacirani nameštaj</w:t>
            </w:r>
          </w:p>
        </w:tc>
        <w:tc>
          <w:tcPr>
            <w:tcW w:w="953" w:type="pct"/>
          </w:tcPr>
          <w:p w14:paraId="5C7E5686"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5B689DA8"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6AEC3B86"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03B484EF"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Sintetički tepisi</w:t>
            </w:r>
          </w:p>
        </w:tc>
        <w:tc>
          <w:tcPr>
            <w:tcW w:w="953" w:type="pct"/>
          </w:tcPr>
          <w:p w14:paraId="3F5C850A"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538E4E62" w14:textId="77777777" w:rsidTr="00BC765B">
        <w:trPr>
          <w:trHeight w:val="337"/>
        </w:trPr>
        <w:tc>
          <w:tcPr>
            <w:cnfStyle w:val="001000000000" w:firstRow="0" w:lastRow="0" w:firstColumn="1" w:lastColumn="0" w:oddVBand="0" w:evenVBand="0" w:oddHBand="0" w:evenHBand="0" w:firstRowFirstColumn="0" w:firstRowLastColumn="0" w:lastRowFirstColumn="0" w:lastRowLastColumn="0"/>
            <w:tcW w:w="454" w:type="pct"/>
          </w:tcPr>
          <w:p w14:paraId="57752BBE"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451BFF93"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Industrijski i kućni proizvodi</w:t>
            </w:r>
          </w:p>
        </w:tc>
        <w:tc>
          <w:tcPr>
            <w:tcW w:w="953" w:type="pct"/>
          </w:tcPr>
          <w:p w14:paraId="5E28854A"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5FB79317" w14:textId="77777777" w:rsidTr="00BC765B">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54" w:type="pct"/>
          </w:tcPr>
          <w:p w14:paraId="1561F207"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698EA3A6"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Papir i ambalaža</w:t>
            </w:r>
          </w:p>
        </w:tc>
        <w:tc>
          <w:tcPr>
            <w:tcW w:w="953" w:type="pct"/>
          </w:tcPr>
          <w:p w14:paraId="2028FE7C"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501C9CC1"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2092D477"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3BED9D6A" w14:textId="77777777" w:rsidR="002B20A9" w:rsidRPr="00C86111" w:rsidRDefault="002B20A9" w:rsidP="00BC765B">
            <w:pPr>
              <w:jc w:val="both"/>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Insekticid:</w:t>
            </w:r>
          </w:p>
          <w:p w14:paraId="25BCD097" w14:textId="77777777" w:rsidR="002B20A9" w:rsidRPr="00C86111" w:rsidRDefault="002B20A9" w:rsidP="00BC765B">
            <w:pPr>
              <w:jc w:val="both"/>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Mamac za listne mrave</w:t>
            </w:r>
          </w:p>
          <w:p w14:paraId="579AE59B"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Times New Roman" w:hAnsiTheme="minorHAnsi" w:cstheme="minorHAnsi"/>
                <w:color w:val="auto"/>
                <w:sz w:val="20"/>
                <w:szCs w:val="20"/>
                <w:lang w:eastAsia="en-GB"/>
              </w:rPr>
              <w:t>Insekticid za vatrene mrave i termite</w:t>
            </w:r>
          </w:p>
        </w:tc>
        <w:tc>
          <w:tcPr>
            <w:tcW w:w="953" w:type="pct"/>
          </w:tcPr>
          <w:p w14:paraId="6C67405A"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22A08752"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74B66CDB"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157AF81C"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Premazi, aditivi za premaze i boje</w:t>
            </w:r>
          </w:p>
        </w:tc>
        <w:tc>
          <w:tcPr>
            <w:tcW w:w="953" w:type="pct"/>
          </w:tcPr>
          <w:p w14:paraId="298D090A"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68B46976"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03742198"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19397EAA"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Fotografska industrija</w:t>
            </w:r>
          </w:p>
        </w:tc>
        <w:tc>
          <w:tcPr>
            <w:tcW w:w="953" w:type="pct"/>
          </w:tcPr>
          <w:p w14:paraId="4DBD0D4F"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11B426FF"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6C3EC4EE"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3F15E256"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Industrija elektronike i poluprovodnika</w:t>
            </w:r>
          </w:p>
        </w:tc>
        <w:tc>
          <w:tcPr>
            <w:tcW w:w="953" w:type="pct"/>
          </w:tcPr>
          <w:p w14:paraId="4598CB18"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PFOS i PFHxS</w:t>
            </w:r>
          </w:p>
        </w:tc>
      </w:tr>
      <w:tr w:rsidR="002B20A9" w:rsidRPr="00C86111" w14:paraId="4F2AAE6A"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4748BEDB"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4CCEB691"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hAnsiTheme="minorHAnsi" w:cstheme="minorHAnsi"/>
                <w:color w:val="auto"/>
                <w:sz w:val="20"/>
                <w:szCs w:val="20"/>
              </w:rPr>
              <w:t>Industrija metalnih prevlaka:</w:t>
            </w:r>
            <w:r w:rsidRPr="00C86111">
              <w:rPr>
                <w:rFonts w:asciiTheme="minorHAnsi" w:hAnsiTheme="minorHAnsi" w:cstheme="minorHAnsi"/>
                <w:color w:val="auto"/>
                <w:sz w:val="20"/>
                <w:szCs w:val="20"/>
              </w:rPr>
              <w:br/>
              <w:t>• Prevlaka tvrdog hroma</w:t>
            </w:r>
            <w:r w:rsidRPr="00C86111">
              <w:rPr>
                <w:rFonts w:asciiTheme="minorHAnsi" w:hAnsiTheme="minorHAnsi" w:cstheme="minorHAnsi"/>
                <w:color w:val="auto"/>
                <w:sz w:val="20"/>
                <w:szCs w:val="20"/>
              </w:rPr>
              <w:br/>
              <w:t>• Decorativna prevlaka hroma</w:t>
            </w:r>
          </w:p>
        </w:tc>
        <w:tc>
          <w:tcPr>
            <w:tcW w:w="953" w:type="pct"/>
          </w:tcPr>
          <w:p w14:paraId="313EBECE"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PFHxS</w:t>
            </w:r>
          </w:p>
        </w:tc>
      </w:tr>
      <w:tr w:rsidR="002B20A9" w:rsidRPr="00C86111" w14:paraId="3ABB05DD"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33720096"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378D396F"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Hemijski potpomognuta proizvodnja nafte i gasa</w:t>
            </w:r>
          </w:p>
        </w:tc>
        <w:tc>
          <w:tcPr>
            <w:tcW w:w="953" w:type="pct"/>
          </w:tcPr>
          <w:p w14:paraId="3FE120FB"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PFHxS</w:t>
            </w:r>
          </w:p>
        </w:tc>
      </w:tr>
      <w:tr w:rsidR="002B20A9" w:rsidRPr="00C86111" w14:paraId="5F34DD18"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33DCD078" w14:textId="77777777" w:rsidR="002B20A9" w:rsidRPr="00C86111" w:rsidRDefault="002B20A9" w:rsidP="00004F34">
            <w:pPr>
              <w:pStyle w:val="ListParagraph"/>
              <w:numPr>
                <w:ilvl w:val="0"/>
                <w:numId w:val="168"/>
              </w:numPr>
              <w:jc w:val="both"/>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393655A0"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hAnsiTheme="minorHAnsi" w:cstheme="minorHAnsi"/>
                <w:color w:val="auto"/>
                <w:sz w:val="20"/>
                <w:szCs w:val="20"/>
              </w:rPr>
              <w:t>Sredstvo za otpuštanje kalupa, naročito u procesu proizvodnje gume</w:t>
            </w:r>
          </w:p>
        </w:tc>
        <w:tc>
          <w:tcPr>
            <w:tcW w:w="953" w:type="pct"/>
          </w:tcPr>
          <w:p w14:paraId="747FA048"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PFHxS</w:t>
            </w:r>
          </w:p>
        </w:tc>
      </w:tr>
      <w:tr w:rsidR="002B20A9" w:rsidRPr="00C86111" w14:paraId="2FB65FE7"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0A12D423"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0F610435"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Rudarska industrija</w:t>
            </w:r>
          </w:p>
        </w:tc>
        <w:tc>
          <w:tcPr>
            <w:tcW w:w="953" w:type="pct"/>
          </w:tcPr>
          <w:p w14:paraId="17EB0F4B"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PFHxS</w:t>
            </w:r>
          </w:p>
        </w:tc>
      </w:tr>
      <w:tr w:rsidR="002B20A9" w:rsidRPr="00C86111" w14:paraId="4FF056EB" w14:textId="77777777" w:rsidTr="00BC765B">
        <w:tc>
          <w:tcPr>
            <w:cnfStyle w:val="001000000000" w:firstRow="0" w:lastRow="0" w:firstColumn="1" w:lastColumn="0" w:oddVBand="0" w:evenVBand="0" w:oddHBand="0" w:evenHBand="0" w:firstRowFirstColumn="0" w:firstRowLastColumn="0" w:lastRowFirstColumn="0" w:lastRowLastColumn="0"/>
            <w:tcW w:w="454" w:type="pct"/>
          </w:tcPr>
          <w:p w14:paraId="0289E87B" w14:textId="77777777" w:rsidR="002B20A9" w:rsidRPr="00C86111" w:rsidRDefault="002B20A9" w:rsidP="00004F34">
            <w:pPr>
              <w:pStyle w:val="ListParagraph"/>
              <w:numPr>
                <w:ilvl w:val="0"/>
                <w:numId w:val="168"/>
              </w:numPr>
              <w:jc w:val="both"/>
              <w:rPr>
                <w:rFonts w:asciiTheme="minorHAnsi" w:eastAsia="SimSun"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593" w:type="pct"/>
          </w:tcPr>
          <w:p w14:paraId="7FA855B3" w14:textId="77777777" w:rsidR="002B20A9" w:rsidRPr="00C86111" w:rsidRDefault="002B20A9" w:rsidP="00BC765B">
            <w:pPr>
              <w:jc w:val="both"/>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Avio hidraulični fluidi</w:t>
            </w:r>
          </w:p>
        </w:tc>
        <w:tc>
          <w:tcPr>
            <w:tcW w:w="953" w:type="pct"/>
          </w:tcPr>
          <w:p w14:paraId="77ECBBDF"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auto"/>
                <w:sz w:val="20"/>
                <w:szCs w:val="20"/>
              </w:rPr>
            </w:pPr>
            <w:r w:rsidRPr="00C86111">
              <w:rPr>
                <w:rFonts w:asciiTheme="minorHAnsi" w:eastAsia="SimSun" w:hAnsiTheme="minorHAnsi" w:cstheme="minorHAnsi"/>
                <w:color w:val="auto"/>
                <w:sz w:val="20"/>
                <w:szCs w:val="20"/>
              </w:rPr>
              <w:t>PFHxS</w:t>
            </w:r>
          </w:p>
        </w:tc>
      </w:tr>
    </w:tbl>
    <w:p w14:paraId="5243476B" w14:textId="77777777" w:rsidR="002B20A9" w:rsidRPr="00C86111" w:rsidRDefault="002B20A9" w:rsidP="002B20A9">
      <w:pPr>
        <w:jc w:val="both"/>
        <w:rPr>
          <w:rFonts w:asciiTheme="minorHAnsi" w:hAnsiTheme="minorHAnsi" w:cstheme="minorHAnsi"/>
          <w:color w:val="auto"/>
        </w:rPr>
      </w:pPr>
      <w:r w:rsidRPr="00C86111">
        <w:rPr>
          <w:rFonts w:asciiTheme="minorHAnsi" w:eastAsia="SimSun" w:hAnsiTheme="minorHAnsi" w:cstheme="minorHAnsi"/>
          <w:color w:val="auto"/>
          <w:lang w:eastAsia="de-DE"/>
        </w:rPr>
        <w:t>* PFHxS  može biti prisutan kao nečistoća u PFOS-u</w:t>
      </w:r>
    </w:p>
    <w:p w14:paraId="7A17A9BC" w14:textId="77777777" w:rsidR="002B20A9" w:rsidRPr="00C86111" w:rsidRDefault="002B20A9" w:rsidP="002B20A9">
      <w:pPr>
        <w:jc w:val="both"/>
        <w:rPr>
          <w:rFonts w:asciiTheme="minorHAnsi" w:hAnsiTheme="minorHAnsi" w:cstheme="minorHAnsi"/>
        </w:rPr>
      </w:pPr>
    </w:p>
    <w:p w14:paraId="78D797A4" w14:textId="77777777" w:rsidR="002B20A9" w:rsidRPr="00C86111" w:rsidRDefault="002B20A9" w:rsidP="00EA6904">
      <w:pPr>
        <w:pStyle w:val="Heading3"/>
      </w:pPr>
      <w:bookmarkStart w:id="338" w:name="_Toc210632570"/>
      <w:bookmarkStart w:id="339" w:name="_Toc220541949"/>
      <w:r w:rsidRPr="00C86111">
        <w:t>Status PFOA, njegovih soli i jedinjenja sličnih PFOA u okviru Stokholmske konvencije</w:t>
      </w:r>
      <w:bookmarkEnd w:id="338"/>
      <w:bookmarkEnd w:id="339"/>
    </w:p>
    <w:p w14:paraId="3E92155B"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Konferencija stranaka Stokholmske konvencije donijela je odluku da se PFOA, njene soli i PFOA-slična jedinjenja uvrste u Aneks A Konvencije tokom svog devetog sastanka 2019. godine (odluka SC-9/12).</w:t>
      </w:r>
    </w:p>
    <w:p w14:paraId="054A0D7F" w14:textId="6C9F08F5"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Uvrštavanje u Aneks A znači da je proizvodnja, upotreba i promet PFOA i njenih derivata u državama potpisnicama konvencije zabranjena, uz mogućnost izuzetaka za specifične primjene u kojima trenutno ne postoje adekvatne alternative. Spisak specifičnih izuzeća za proizvodnju i upotrebu PFOA i sličnih jedinjenja, prikazan je u tabeli </w:t>
      </w:r>
      <w:r w:rsidR="00AA7D50" w:rsidRPr="00C86111">
        <w:rPr>
          <w:rFonts w:asciiTheme="minorHAnsi" w:eastAsia="Times New Roman" w:hAnsiTheme="minorHAnsi" w:cstheme="minorHAnsi"/>
          <w:color w:val="auto"/>
          <w:lang w:eastAsia="en-GB"/>
        </w:rPr>
        <w:t>81</w:t>
      </w:r>
      <w:r w:rsidRPr="00C86111">
        <w:rPr>
          <w:rFonts w:asciiTheme="minorHAnsi" w:eastAsia="Times New Roman" w:hAnsiTheme="minorHAnsi" w:cstheme="minorHAnsi"/>
          <w:color w:val="auto"/>
          <w:lang w:eastAsia="en-GB"/>
        </w:rPr>
        <w:t>.</w:t>
      </w:r>
    </w:p>
    <w:p w14:paraId="04F4658E" w14:textId="77777777" w:rsidR="002B20A9" w:rsidRPr="00C86111" w:rsidRDefault="002B20A9" w:rsidP="002B20A9">
      <w:pPr>
        <w:jc w:val="both"/>
        <w:rPr>
          <w:rFonts w:asciiTheme="minorHAnsi" w:eastAsia="Times New Roman" w:hAnsiTheme="minorHAnsi" w:cstheme="minorHAnsi"/>
          <w:color w:val="auto"/>
          <w:lang w:eastAsia="en-GB"/>
        </w:rPr>
      </w:pPr>
    </w:p>
    <w:p w14:paraId="2EE8B6B4" w14:textId="30E34B9F"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AA7D50" w:rsidRPr="00C86111">
        <w:rPr>
          <w:rFonts w:asciiTheme="minorHAnsi" w:hAnsiTheme="minorHAnsi" w:cstheme="minorHAnsi"/>
          <w:b/>
          <w:bCs/>
          <w:color w:val="auto"/>
        </w:rPr>
        <w:t>81</w:t>
      </w:r>
      <w:r w:rsidRPr="00C86111">
        <w:rPr>
          <w:rFonts w:asciiTheme="minorHAnsi" w:hAnsiTheme="minorHAnsi" w:cstheme="minorHAnsi"/>
          <w:b/>
          <w:bCs/>
          <w:color w:val="auto"/>
        </w:rPr>
        <w:t>:</w:t>
      </w:r>
      <w:r w:rsidRPr="00C86111">
        <w:rPr>
          <w:rFonts w:asciiTheme="minorHAnsi" w:hAnsiTheme="minorHAnsi" w:cstheme="minorHAnsi"/>
          <w:color w:val="auto"/>
        </w:rPr>
        <w:t xml:space="preserve"> Uvrštavanje PFOA, njegovih soli i PFOA-sličnih jedinjenja u Stokholmsku konvenciju (SC-9/12).</w:t>
      </w:r>
    </w:p>
    <w:tbl>
      <w:tblPr>
        <w:tblStyle w:val="GridTable5Dark-Accent6"/>
        <w:tblW w:w="9564" w:type="dxa"/>
        <w:tblLook w:val="04A0" w:firstRow="1" w:lastRow="0" w:firstColumn="1" w:lastColumn="0" w:noHBand="0" w:noVBand="1"/>
      </w:tblPr>
      <w:tblGrid>
        <w:gridCol w:w="3823"/>
        <w:gridCol w:w="1275"/>
        <w:gridCol w:w="4466"/>
      </w:tblGrid>
      <w:tr w:rsidR="002B20A9" w:rsidRPr="00C86111" w14:paraId="40BAAE28"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0B5E11F" w14:textId="77777777" w:rsidR="002B20A9" w:rsidRPr="00C86111" w:rsidRDefault="002B20A9"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Hemikalija</w:t>
            </w:r>
          </w:p>
        </w:tc>
        <w:tc>
          <w:tcPr>
            <w:tcW w:w="1275" w:type="dxa"/>
          </w:tcPr>
          <w:p w14:paraId="4C8A31E9"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Aktivnost</w:t>
            </w:r>
          </w:p>
        </w:tc>
        <w:tc>
          <w:tcPr>
            <w:tcW w:w="4466" w:type="dxa"/>
          </w:tcPr>
          <w:p w14:paraId="6CA994B4"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Specifično izuzeće</w:t>
            </w:r>
          </w:p>
        </w:tc>
      </w:tr>
      <w:tr w:rsidR="007A344F" w:rsidRPr="00C86111" w14:paraId="64402295"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54B81C9B"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PFOA, njegove soli i PFOA-povezana jedinjenja obuhvataju sledeće:</w:t>
            </w:r>
          </w:p>
          <w:p w14:paraId="362E4B9D" w14:textId="77777777" w:rsidR="007A344F" w:rsidRPr="00C86111" w:rsidRDefault="007A344F" w:rsidP="007A344F">
            <w:pPr>
              <w:jc w:val="both"/>
              <w:rPr>
                <w:rFonts w:asciiTheme="minorHAnsi" w:hAnsiTheme="minorHAnsi" w:cstheme="minorHAnsi"/>
                <w:b w:val="0"/>
                <w:bCs w:val="0"/>
                <w:color w:val="auto"/>
                <w:sz w:val="20"/>
                <w:szCs w:val="20"/>
              </w:rPr>
            </w:pPr>
          </w:p>
          <w:p w14:paraId="29178FB1"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(I) Perfluorooktanska kiselina (PFOA; CAS broj 335-67-1), uključujući bilo koji od njenih razgranatih izomera;</w:t>
            </w:r>
          </w:p>
          <w:p w14:paraId="07F041FC"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(II)Njene soli;</w:t>
            </w:r>
          </w:p>
          <w:p w14:paraId="27201B5E"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(II)PFOA-povezana jedinjenja, koja, za potrebe Konvencije, uključuju sve supstance koje se razlažu do PFOA, uključujući bilo koje supstance (uključujući soli i polimere) koje sadrže linearne ili razgranate perfluoroheptilne grupe sa strukturnim elementom (C7F15)C.</w:t>
            </w:r>
          </w:p>
          <w:p w14:paraId="15C6AF2E"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lastRenderedPageBreak/>
              <w:t>Sledeća jedinjenja nisu obuhvaćena kao PFOA-povezana jedinjenja:</w:t>
            </w:r>
          </w:p>
          <w:p w14:paraId="023B3CE0"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(I)C8F17-X, gde je X = F, Cl, Br;</w:t>
            </w:r>
          </w:p>
          <w:p w14:paraId="359B0397"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(II)Fluoropolimeri koji su opisani formulom CF3[CF2]n-R', gde je R' bilo koja grupa, a n &gt; 16;</w:t>
            </w:r>
          </w:p>
          <w:p w14:paraId="16E583C3"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(III)Perfluoroalkil karboksilne i fosfonske kiseline (uključujući njihove soli, estere, halide i anhidride) sa ≥8 perfluorisanih ugljenika;</w:t>
            </w:r>
          </w:p>
          <w:p w14:paraId="7DFC9A64" w14:textId="77777777" w:rsidR="007A344F" w:rsidRPr="00C86111" w:rsidRDefault="007A344F" w:rsidP="007A344F">
            <w:pPr>
              <w:jc w:val="both"/>
              <w:rPr>
                <w:rFonts w:asciiTheme="minorHAnsi" w:hAnsiTheme="minorHAnsi" w:cstheme="minorHAnsi"/>
                <w:b w:val="0"/>
                <w:bCs w:val="0"/>
                <w:color w:val="auto"/>
                <w:sz w:val="20"/>
                <w:szCs w:val="20"/>
              </w:rPr>
            </w:pPr>
            <w:r w:rsidRPr="00C86111">
              <w:rPr>
                <w:rFonts w:asciiTheme="minorHAnsi" w:hAnsiTheme="minorHAnsi" w:cstheme="minorHAnsi"/>
                <w:b w:val="0"/>
                <w:bCs w:val="0"/>
                <w:color w:val="auto"/>
                <w:sz w:val="20"/>
                <w:szCs w:val="20"/>
              </w:rPr>
              <w:t>(IV)Perfluoroalkil sulfonske kiseline (uključujući njihove soli, estere, halide i anhidride) sa ≥9 perfluorisanih ugljenika;</w:t>
            </w:r>
          </w:p>
          <w:p w14:paraId="5EBBE444" w14:textId="77777777" w:rsidR="007A344F" w:rsidRPr="00C86111" w:rsidRDefault="007A344F" w:rsidP="007A344F">
            <w:pPr>
              <w:jc w:val="both"/>
              <w:rPr>
                <w:rFonts w:asciiTheme="minorHAnsi" w:hAnsiTheme="minorHAnsi" w:cstheme="minorHAnsi"/>
                <w:color w:val="auto"/>
                <w:sz w:val="20"/>
                <w:szCs w:val="20"/>
              </w:rPr>
            </w:pPr>
            <w:r w:rsidRPr="00C86111">
              <w:rPr>
                <w:rFonts w:asciiTheme="minorHAnsi" w:hAnsiTheme="minorHAnsi" w:cstheme="minorHAnsi"/>
                <w:b w:val="0"/>
                <w:bCs w:val="0"/>
                <w:color w:val="auto"/>
                <w:sz w:val="20"/>
                <w:szCs w:val="20"/>
              </w:rPr>
              <w:t>(V)Perfluorooktanska sulfo-kiselina (PFOS), njene soli i perfluorooktanski sulfonil fluorid (PFOSF), kako su navedeni u Aneksu B Konvencije.</w:t>
            </w:r>
          </w:p>
        </w:tc>
        <w:tc>
          <w:tcPr>
            <w:tcW w:w="1275" w:type="dxa"/>
          </w:tcPr>
          <w:p w14:paraId="6930DAF2" w14:textId="77777777" w:rsidR="007A344F" w:rsidRPr="00C86111" w:rsidRDefault="007A344F" w:rsidP="007A344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Proizvodnja</w:t>
            </w:r>
          </w:p>
        </w:tc>
        <w:tc>
          <w:tcPr>
            <w:tcW w:w="4466" w:type="dxa"/>
          </w:tcPr>
          <w:p w14:paraId="09E0440E" w14:textId="77777777" w:rsidR="007A344F" w:rsidRPr="00C86111" w:rsidRDefault="007A344F" w:rsidP="00004F34">
            <w:pPr>
              <w:pStyle w:val="ListParagraph"/>
              <w:numPr>
                <w:ilvl w:val="0"/>
                <w:numId w:val="169"/>
              </w:numPr>
              <w:snapToGrid w:val="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val="sr-Latn-ME"/>
              </w:rPr>
              <w:t xml:space="preserve">Protivpožarne pjene: </w:t>
            </w:r>
            <w:r w:rsidRPr="00C86111">
              <w:rPr>
                <w:rFonts w:asciiTheme="minorHAnsi" w:hAnsiTheme="minorHAnsi" w:cstheme="minorHAnsi"/>
                <w:sz w:val="20"/>
                <w:szCs w:val="20"/>
              </w:rPr>
              <w:t xml:space="preserve"> N</w:t>
            </w:r>
            <w:r w:rsidRPr="00C86111">
              <w:rPr>
                <w:rFonts w:asciiTheme="minorHAnsi" w:hAnsiTheme="minorHAnsi" w:cstheme="minorHAnsi"/>
                <w:sz w:val="20"/>
                <w:szCs w:val="20"/>
                <w:lang w:val="sr-Latn-ME"/>
              </w:rPr>
              <w:t>e</w:t>
            </w:r>
          </w:p>
          <w:p w14:paraId="15010C43" w14:textId="7B9F940A" w:rsidR="007A344F" w:rsidRPr="00C86111" w:rsidRDefault="007A344F" w:rsidP="007A344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sz w:val="20"/>
                <w:szCs w:val="20"/>
                <w:lang w:val="sr-Latn-ME"/>
              </w:rPr>
              <w:t>Za drugu proizvodnju u skladu sa odredbama dijela X Aneksa A</w:t>
            </w:r>
          </w:p>
        </w:tc>
      </w:tr>
      <w:tr w:rsidR="007A344F" w:rsidRPr="00C86111" w14:paraId="784D25D8" w14:textId="77777777" w:rsidTr="00BC765B">
        <w:tc>
          <w:tcPr>
            <w:cnfStyle w:val="001000000000" w:firstRow="0" w:lastRow="0" w:firstColumn="1" w:lastColumn="0" w:oddVBand="0" w:evenVBand="0" w:oddHBand="0" w:evenHBand="0" w:firstRowFirstColumn="0" w:firstRowLastColumn="0" w:lastRowFirstColumn="0" w:lastRowLastColumn="0"/>
            <w:tcW w:w="3823" w:type="dxa"/>
            <w:vMerge/>
          </w:tcPr>
          <w:p w14:paraId="0B7B8978" w14:textId="77777777" w:rsidR="007A344F" w:rsidRPr="00C86111" w:rsidRDefault="007A344F" w:rsidP="007A344F">
            <w:pPr>
              <w:jc w:val="both"/>
              <w:rPr>
                <w:rFonts w:asciiTheme="minorHAnsi" w:hAnsiTheme="minorHAnsi" w:cstheme="minorHAnsi"/>
                <w:color w:val="auto"/>
                <w:sz w:val="20"/>
                <w:szCs w:val="20"/>
              </w:rPr>
            </w:pPr>
          </w:p>
        </w:tc>
        <w:tc>
          <w:tcPr>
            <w:tcW w:w="1275" w:type="dxa"/>
          </w:tcPr>
          <w:p w14:paraId="1D55842E" w14:textId="77777777" w:rsidR="007A344F" w:rsidRPr="00C86111" w:rsidRDefault="007A344F" w:rsidP="007A344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Upotreba</w:t>
            </w:r>
          </w:p>
        </w:tc>
        <w:tc>
          <w:tcPr>
            <w:tcW w:w="4466" w:type="dxa"/>
          </w:tcPr>
          <w:p w14:paraId="62EE59A8" w14:textId="77777777" w:rsidR="007A344F" w:rsidRPr="00C86111" w:rsidRDefault="007A344F" w:rsidP="007A344F">
            <w:p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lang w:val="pl-PL"/>
              </w:rPr>
              <w:t>U skladu sa odredbama dijela X Aneksa A</w:t>
            </w:r>
            <w:r w:rsidRPr="00C86111">
              <w:rPr>
                <w:rFonts w:asciiTheme="minorHAnsi" w:hAnsiTheme="minorHAnsi" w:cstheme="minorHAnsi"/>
                <w:sz w:val="20"/>
                <w:szCs w:val="20"/>
              </w:rPr>
              <w:t>:</w:t>
            </w:r>
          </w:p>
          <w:p w14:paraId="6CF272DF" w14:textId="77777777" w:rsidR="007A344F" w:rsidRPr="00C86111" w:rsidRDefault="007A344F" w:rsidP="00004F34">
            <w:pPr>
              <w:numPr>
                <w:ilvl w:val="0"/>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Fotolitografija ili procesi nagrizanja u proizvodnji poluprovodnika</w:t>
            </w:r>
          </w:p>
          <w:p w14:paraId="2C2DC3FB" w14:textId="77777777" w:rsidR="007A344F" w:rsidRPr="00C86111" w:rsidRDefault="007A344F" w:rsidP="00004F34">
            <w:pPr>
              <w:numPr>
                <w:ilvl w:val="0"/>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Fotografski premazi naneseni na filmove</w:t>
            </w:r>
          </w:p>
          <w:p w14:paraId="72C44E78" w14:textId="77777777" w:rsidR="007A344F" w:rsidRPr="00C86111" w:rsidRDefault="007A344F" w:rsidP="00004F34">
            <w:pPr>
              <w:numPr>
                <w:ilvl w:val="0"/>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Tekstili za odbijanje ulja i vode radi zaštite radnika od opasnih tečnosti koje predstavljaju rizik po njihovo zdravlje i sigurnost</w:t>
            </w:r>
          </w:p>
          <w:p w14:paraId="70034D13" w14:textId="77777777" w:rsidR="007A344F" w:rsidRPr="00C86111" w:rsidRDefault="007A344F" w:rsidP="00004F34">
            <w:pPr>
              <w:numPr>
                <w:ilvl w:val="0"/>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Invazivni i implantabilni medicinski uređaji</w:t>
            </w:r>
          </w:p>
          <w:p w14:paraId="49B0B8EE" w14:textId="77777777" w:rsidR="007A344F" w:rsidRPr="00C86111" w:rsidRDefault="007A344F" w:rsidP="00004F34">
            <w:pPr>
              <w:numPr>
                <w:ilvl w:val="0"/>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lastRenderedPageBreak/>
              <w:t>Protivpožarna p</w:t>
            </w:r>
            <w:r w:rsidRPr="00C86111">
              <w:rPr>
                <w:rFonts w:asciiTheme="minorHAnsi" w:hAnsiTheme="minorHAnsi" w:cstheme="minorHAnsi"/>
                <w:sz w:val="20"/>
                <w:szCs w:val="20"/>
                <w:lang w:val="sr-Latn-ME"/>
              </w:rPr>
              <w:t>j</w:t>
            </w:r>
            <w:r w:rsidRPr="00C86111">
              <w:rPr>
                <w:rFonts w:asciiTheme="minorHAnsi" w:hAnsiTheme="minorHAnsi" w:cstheme="minorHAnsi"/>
                <w:sz w:val="20"/>
                <w:szCs w:val="20"/>
              </w:rPr>
              <w:t>ena za suzbijanje isparenja tečnih goriva i požara tečnih goriva (požari klase B) u ugrađenim sistemima, uključujući i mobilne i fiksne sisteme, u skladu sa paragrafom 2 d</w:t>
            </w:r>
            <w:r w:rsidRPr="00C86111">
              <w:rPr>
                <w:rFonts w:asciiTheme="minorHAnsi" w:hAnsiTheme="minorHAnsi" w:cstheme="minorHAnsi"/>
                <w:sz w:val="20"/>
                <w:szCs w:val="20"/>
                <w:lang w:val="sr-Latn-ME"/>
              </w:rPr>
              <w:t>ij</w:t>
            </w:r>
            <w:r w:rsidRPr="00C86111">
              <w:rPr>
                <w:rFonts w:asciiTheme="minorHAnsi" w:hAnsiTheme="minorHAnsi" w:cstheme="minorHAnsi"/>
                <w:sz w:val="20"/>
                <w:szCs w:val="20"/>
              </w:rPr>
              <w:t>ela X Anexa A</w:t>
            </w:r>
          </w:p>
          <w:p w14:paraId="1BB35303" w14:textId="77777777" w:rsidR="007A344F" w:rsidRPr="00C86111" w:rsidRDefault="007A344F" w:rsidP="00004F34">
            <w:pPr>
              <w:numPr>
                <w:ilvl w:val="0"/>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Upotreba perfluorooktil-jodida za proizvodnju perfluorooktil-bromida u svrhu proizvodnje farmaceutskih proizvoda, u skladu sa odredbama paragrafa 3 d</w:t>
            </w:r>
            <w:r w:rsidRPr="00C86111">
              <w:rPr>
                <w:rFonts w:asciiTheme="minorHAnsi" w:hAnsiTheme="minorHAnsi" w:cstheme="minorHAnsi"/>
                <w:sz w:val="20"/>
                <w:szCs w:val="20"/>
                <w:lang w:val="sr-Latn-ME"/>
              </w:rPr>
              <w:t>ij</w:t>
            </w:r>
            <w:r w:rsidRPr="00C86111">
              <w:rPr>
                <w:rFonts w:asciiTheme="minorHAnsi" w:hAnsiTheme="minorHAnsi" w:cstheme="minorHAnsi"/>
                <w:sz w:val="20"/>
                <w:szCs w:val="20"/>
              </w:rPr>
              <w:t>ela X Anexa A</w:t>
            </w:r>
          </w:p>
          <w:p w14:paraId="498457AE" w14:textId="77777777" w:rsidR="007A344F" w:rsidRPr="00C86111" w:rsidRDefault="007A344F" w:rsidP="00004F34">
            <w:pPr>
              <w:numPr>
                <w:ilvl w:val="0"/>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Proizvodnja politetrafluoretilena (PTFE) i poliviniliden fluorida (PVDF) za proizvodnju:</w:t>
            </w:r>
          </w:p>
          <w:p w14:paraId="752493E3" w14:textId="77777777" w:rsidR="007A344F" w:rsidRPr="00C86111" w:rsidRDefault="007A344F" w:rsidP="00004F34">
            <w:pPr>
              <w:numPr>
                <w:ilvl w:val="1"/>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Membrana za gasne filtere otpornih na koroziju, membrana za filtraciju vode i membrana za medicinske tekstile</w:t>
            </w:r>
          </w:p>
          <w:p w14:paraId="174A57F7" w14:textId="77777777" w:rsidR="007A344F" w:rsidRPr="00C86111" w:rsidRDefault="007A344F" w:rsidP="00004F34">
            <w:pPr>
              <w:numPr>
                <w:ilvl w:val="1"/>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Industrijskih izmenjivača toplote</w:t>
            </w:r>
          </w:p>
          <w:p w14:paraId="1A1D52CF" w14:textId="77777777" w:rsidR="007A344F" w:rsidRPr="00C86111" w:rsidRDefault="007A344F" w:rsidP="00004F34">
            <w:pPr>
              <w:numPr>
                <w:ilvl w:val="1"/>
                <w:numId w:val="170"/>
              </w:numPr>
              <w:snapToGrid w:val="0"/>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sz w:val="20"/>
                <w:szCs w:val="20"/>
              </w:rPr>
              <w:t>Industrijskih zaptivača sposobnih da spreče curenje isparljivih organskih jedinjenja i PM2.5 čestica</w:t>
            </w:r>
          </w:p>
          <w:p w14:paraId="383F87E5" w14:textId="71FE8BE3" w:rsidR="007A344F" w:rsidRPr="00C86111" w:rsidRDefault="007A344F" w:rsidP="007A344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sz w:val="20"/>
                <w:szCs w:val="20"/>
              </w:rPr>
              <w:t>Proizvodnja polifluoretilen-propilen (FEP) za proizvodnju visokovoltažnih električnih žica i kablova za prenos energije</w:t>
            </w:r>
          </w:p>
        </w:tc>
      </w:tr>
    </w:tbl>
    <w:p w14:paraId="42B1BE83" w14:textId="77777777" w:rsidR="002B20A9" w:rsidRPr="00C86111" w:rsidRDefault="002B20A9" w:rsidP="002B20A9">
      <w:pPr>
        <w:jc w:val="both"/>
        <w:rPr>
          <w:rFonts w:asciiTheme="minorHAnsi" w:hAnsiTheme="minorHAnsi" w:cstheme="minorHAnsi"/>
          <w:color w:val="auto"/>
        </w:rPr>
      </w:pPr>
    </w:p>
    <w:p w14:paraId="37E688EC" w14:textId="77777777" w:rsidR="002B20A9" w:rsidRPr="00C86111" w:rsidRDefault="002B20A9" w:rsidP="00EA6904">
      <w:pPr>
        <w:pStyle w:val="Heading3"/>
      </w:pPr>
      <w:bookmarkStart w:id="340" w:name="_Toc210632571"/>
      <w:bookmarkStart w:id="341" w:name="_Toc220541950"/>
      <w:r w:rsidRPr="00C86111">
        <w:t>Status PFHxS, njegovih soli i jedinjenja sličnih PFHxS u okviru Stokholmske konvencije</w:t>
      </w:r>
      <w:bookmarkEnd w:id="340"/>
      <w:bookmarkEnd w:id="341"/>
    </w:p>
    <w:p w14:paraId="221F9DB4" w14:textId="77777777" w:rsidR="002B20A9" w:rsidRPr="00C86111" w:rsidRDefault="002B20A9" w:rsidP="002B20A9">
      <w:pPr>
        <w:jc w:val="both"/>
        <w:rPr>
          <w:i/>
          <w:iCs/>
          <w:color w:val="002060"/>
        </w:rPr>
      </w:pPr>
    </w:p>
    <w:p w14:paraId="31F1BF4F"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Na desetom sastanku Konferencije stranaka Stokholmske konvencije 2022. godine, PFHxS, njene soli i jedinjenja slična PFHxS, uvrštena su u Aneks A Konvencije, i to bez specifičnih izuzetaka (odluka SC-10/13). Ovaj korak znači da je:</w:t>
      </w:r>
    </w:p>
    <w:p w14:paraId="22450707" w14:textId="77777777" w:rsidR="002B20A9" w:rsidRPr="00C86111" w:rsidRDefault="002B20A9" w:rsidP="00004F34">
      <w:pPr>
        <w:pStyle w:val="ListParagraph"/>
        <w:numPr>
          <w:ilvl w:val="0"/>
          <w:numId w:val="143"/>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Proizvodnja, upotreba i promet PFHxS i njenih sličnih jedinjenja zabranjena na globalnom nivou.</w:t>
      </w:r>
    </w:p>
    <w:p w14:paraId="1384B27D" w14:textId="77DADCC3" w:rsidR="002B20A9" w:rsidRPr="00D966EC" w:rsidRDefault="002B20A9" w:rsidP="00004F34">
      <w:pPr>
        <w:pStyle w:val="ListParagraph"/>
        <w:numPr>
          <w:ilvl w:val="0"/>
          <w:numId w:val="143"/>
        </w:numPr>
        <w:jc w:val="both"/>
        <w:rPr>
          <w:rFonts w:asciiTheme="minorHAnsi" w:hAnsiTheme="minorHAnsi" w:cstheme="minorHAnsi"/>
          <w:color w:val="auto"/>
        </w:rPr>
      </w:pPr>
      <w:r w:rsidRPr="00D966EC">
        <w:rPr>
          <w:rFonts w:asciiTheme="minorHAnsi" w:eastAsia="Times New Roman" w:hAnsiTheme="minorHAnsi" w:cstheme="minorHAnsi"/>
          <w:color w:val="auto"/>
          <w:lang w:eastAsia="en-GB"/>
        </w:rPr>
        <w:t>Izostanak izuzetaka naglašava hitnost eliminacije PFHxS zbog nedostatka opravdanja za dalje korišćenje, kao i postojanja mogućih alternativa u različitim sektorima.</w:t>
      </w:r>
    </w:p>
    <w:p w14:paraId="38E949BE" w14:textId="1445E3FE" w:rsidR="002B20A9" w:rsidRPr="00D966EC" w:rsidRDefault="002B20A9" w:rsidP="00004F34">
      <w:pPr>
        <w:pStyle w:val="Heading1"/>
        <w:numPr>
          <w:ilvl w:val="1"/>
          <w:numId w:val="238"/>
        </w:numPr>
        <w:jc w:val="both"/>
        <w:rPr>
          <w:rFonts w:eastAsia="SimSun"/>
          <w:i/>
          <w:iCs/>
        </w:rPr>
      </w:pPr>
      <w:bookmarkStart w:id="342" w:name="_Toc210632572"/>
      <w:bookmarkStart w:id="343" w:name="_Toc220541951"/>
      <w:r w:rsidRPr="00C86111">
        <w:t>Proces Inventarizacije</w:t>
      </w:r>
      <w:bookmarkEnd w:id="342"/>
      <w:bookmarkEnd w:id="343"/>
    </w:p>
    <w:p w14:paraId="68BEBE62"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Proces inventarizacije PFOA i PFHxS, iako strukturiran kroz zasebni izveštaj, temelji se na zajedničkoj metodologiji i okvirima prikupljanja podataka kao i za PFOS. Ova jedinjenja  dijele slična fizičko-hemijska svojstva, istorijske namjene, kao i puteve emisije u životnu sredinu. Zbog toga je postupak korišćen za prikupljanje i analizu podataka o njihovim izvorima, potrošnji, zalihama i otpadu u velikoj mjeri homogen. Konkretno, inventarizacija za PFOA i PFHxS sprovedena je na isti način kao i za PFOS, koristeći isti pristup i metodologiju sakupljanja podataka.</w:t>
      </w:r>
    </w:p>
    <w:p w14:paraId="789AB6ED"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Cilj inventarizacije PFOA i PFHxS bio je da se obezbjede informacije neophodne za donošenje odluka o upravljanju ovim supstancama i ispunjavanju obaveza Stokholmske konvencije. Konkretni ciljevi uključuju:</w:t>
      </w:r>
    </w:p>
    <w:p w14:paraId="62688F91" w14:textId="77777777" w:rsidR="002B20A9" w:rsidRPr="00C86111" w:rsidRDefault="002B20A9" w:rsidP="00004F34">
      <w:pPr>
        <w:pStyle w:val="ListParagraph"/>
        <w:numPr>
          <w:ilvl w:val="0"/>
          <w:numId w:val="14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lastRenderedPageBreak/>
        <w:t>Postavljanje temelja za identifikaciju nacionalnih prioriteta u okviru Nacionalnog implementacionog plana (NIP), uključujući identifikaciju ključnih sektora za prioritetnu inventarizaciju, procjenu kapaciteta potrebnih za implementaciju i određivanje prioritetnih izvora;</w:t>
      </w:r>
    </w:p>
    <w:p w14:paraId="6058960D" w14:textId="77777777" w:rsidR="002B20A9" w:rsidRPr="00C86111" w:rsidRDefault="002B20A9" w:rsidP="00004F34">
      <w:pPr>
        <w:pStyle w:val="ListParagraph"/>
        <w:numPr>
          <w:ilvl w:val="0"/>
          <w:numId w:val="144"/>
        </w:numPr>
        <w:jc w:val="both"/>
        <w:rPr>
          <w:rFonts w:asciiTheme="minorHAnsi" w:hAnsiTheme="minorHAnsi" w:cstheme="minorHAnsi"/>
          <w:color w:val="auto"/>
        </w:rPr>
      </w:pPr>
      <w:r w:rsidRPr="00C86111">
        <w:rPr>
          <w:rFonts w:asciiTheme="minorHAnsi" w:hAnsiTheme="minorHAnsi" w:cstheme="minorHAnsi"/>
          <w:color w:val="auto"/>
        </w:rPr>
        <w:t>Omogućavanje procjene u kojoj mjeri postojeći nacionalni pristupi u pogledu upotrebe, proizvodnje, upravljanja hemikalijama i otpadom ispunjavaju zahtjeve Konvencije, kao i identifikaciju oblasti koje ne ispunjavaju te zahtjeve;</w:t>
      </w:r>
    </w:p>
    <w:p w14:paraId="41814B89" w14:textId="77777777" w:rsidR="002B20A9" w:rsidRPr="00C86111" w:rsidRDefault="002B20A9" w:rsidP="00004F34">
      <w:pPr>
        <w:pStyle w:val="ListParagraph"/>
        <w:numPr>
          <w:ilvl w:val="0"/>
          <w:numId w:val="144"/>
        </w:numPr>
        <w:jc w:val="both"/>
        <w:rPr>
          <w:rFonts w:asciiTheme="minorHAnsi" w:hAnsiTheme="minorHAnsi" w:cstheme="minorHAnsi"/>
          <w:color w:val="auto"/>
        </w:rPr>
      </w:pPr>
      <w:r w:rsidRPr="00C86111">
        <w:rPr>
          <w:rFonts w:asciiTheme="minorHAnsi" w:hAnsiTheme="minorHAnsi" w:cstheme="minorHAnsi"/>
          <w:color w:val="auto"/>
        </w:rPr>
        <w:t>Prepoznavanje potreba za posebnim izuzecima ili prihvatljivim namerama u skladu sa Konvencijom;</w:t>
      </w:r>
    </w:p>
    <w:p w14:paraId="183BA64E" w14:textId="77777777" w:rsidR="002B20A9" w:rsidRPr="00C86111" w:rsidRDefault="002B20A9" w:rsidP="00004F34">
      <w:pPr>
        <w:pStyle w:val="ListParagraph"/>
        <w:numPr>
          <w:ilvl w:val="0"/>
          <w:numId w:val="144"/>
        </w:numPr>
        <w:jc w:val="both"/>
        <w:rPr>
          <w:rFonts w:asciiTheme="minorHAnsi" w:hAnsiTheme="minorHAnsi" w:cstheme="minorHAnsi"/>
          <w:color w:val="auto"/>
        </w:rPr>
      </w:pPr>
      <w:r w:rsidRPr="00C86111">
        <w:rPr>
          <w:rFonts w:asciiTheme="minorHAnsi" w:hAnsiTheme="minorHAnsi" w:cstheme="minorHAnsi"/>
          <w:color w:val="auto"/>
        </w:rPr>
        <w:t>Identifikaciju ključnih aktera, uključujući predstavnike vlade, industrije, upravljanja otpadom, trgovine i nevladinih organizacija (NVO);</w:t>
      </w:r>
    </w:p>
    <w:p w14:paraId="4367C884" w14:textId="77777777" w:rsidR="002B20A9" w:rsidRPr="00C86111" w:rsidRDefault="002B20A9" w:rsidP="00004F34">
      <w:pPr>
        <w:pStyle w:val="ListParagraph"/>
        <w:numPr>
          <w:ilvl w:val="0"/>
          <w:numId w:val="144"/>
        </w:numPr>
        <w:jc w:val="both"/>
        <w:rPr>
          <w:rFonts w:asciiTheme="minorHAnsi" w:eastAsia="Times New Roman" w:hAnsiTheme="minorHAnsi" w:cstheme="minorHAnsi"/>
          <w:color w:val="auto"/>
          <w:lang w:eastAsia="en-GB"/>
        </w:rPr>
      </w:pPr>
      <w:r w:rsidRPr="00C86111">
        <w:rPr>
          <w:rFonts w:asciiTheme="minorHAnsi" w:hAnsiTheme="minorHAnsi" w:cstheme="minorHAnsi"/>
          <w:color w:val="auto"/>
        </w:rPr>
        <w:t>Utvrđivanje potreba za finansijskom ili tehničkom podrškom radi popunjavanja nedostataka u informacijama u inventaru ili ispunjenja obaveza iz Konvencije.</w:t>
      </w:r>
    </w:p>
    <w:p w14:paraId="7F84430C"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Podaci potrebni za inventarizaciju PFOA i PFHxS obuhvataju:</w:t>
      </w:r>
    </w:p>
    <w:p w14:paraId="100D0E0F" w14:textId="77777777" w:rsidR="002B20A9" w:rsidRPr="00C86111" w:rsidRDefault="002B20A9" w:rsidP="00004F34">
      <w:pPr>
        <w:pStyle w:val="ListParagraph"/>
        <w:numPr>
          <w:ilvl w:val="0"/>
          <w:numId w:val="14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Informacije o proizvodnji i upotrebi PFOA i PFHxS na nacionalnom nivou;</w:t>
      </w:r>
      <w:r w:rsidRPr="00C86111">
        <w:rPr>
          <w:rFonts w:asciiTheme="minorHAnsi" w:eastAsia="Times New Roman" w:hAnsiTheme="minorHAnsi" w:cstheme="minorHAnsi"/>
          <w:color w:val="auto"/>
          <w:lang w:eastAsia="en-GB"/>
        </w:rPr>
        <w:br/>
        <w:t>Prisustvo proizvoda i predmeta koji sadrže PFOA i PFHxS na potrošačkom tržištu;</w:t>
      </w:r>
    </w:p>
    <w:p w14:paraId="5FE12219" w14:textId="77777777" w:rsidR="002B20A9" w:rsidRPr="00C86111" w:rsidRDefault="002B20A9" w:rsidP="00004F34">
      <w:pPr>
        <w:pStyle w:val="ListParagraph"/>
        <w:numPr>
          <w:ilvl w:val="0"/>
          <w:numId w:val="14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Korišćenje, uvoz i izvoz proizvoda i predmeta koji sadrže PFOA i PFHxS;</w:t>
      </w:r>
      <w:r w:rsidRPr="00C86111">
        <w:rPr>
          <w:rFonts w:asciiTheme="minorHAnsi" w:eastAsia="Times New Roman" w:hAnsiTheme="minorHAnsi" w:cstheme="minorHAnsi"/>
          <w:color w:val="auto"/>
          <w:lang w:eastAsia="en-GB"/>
        </w:rPr>
        <w:br/>
        <w:t>Informacije o skladištenim zalihama;</w:t>
      </w:r>
    </w:p>
    <w:p w14:paraId="5AE61251" w14:textId="77777777" w:rsidR="002B20A9" w:rsidRPr="00C86111" w:rsidRDefault="002B20A9" w:rsidP="00004F34">
      <w:pPr>
        <w:pStyle w:val="ListParagraph"/>
        <w:numPr>
          <w:ilvl w:val="0"/>
          <w:numId w:val="14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Postupke odlaganja proizvoda i hemikalija koji sadrže PFOA i PFHxS kada postanu otpad;</w:t>
      </w:r>
      <w:r w:rsidRPr="00C86111">
        <w:rPr>
          <w:rFonts w:asciiTheme="minorHAnsi" w:eastAsia="Times New Roman" w:hAnsiTheme="minorHAnsi" w:cstheme="minorHAnsi"/>
          <w:color w:val="auto"/>
          <w:lang w:eastAsia="en-GB"/>
        </w:rPr>
        <w:br/>
        <w:t>Količine generisanog otpada;</w:t>
      </w:r>
    </w:p>
    <w:p w14:paraId="47598338" w14:textId="77777777" w:rsidR="002B20A9" w:rsidRPr="00C86111" w:rsidRDefault="002B20A9" w:rsidP="00004F34">
      <w:pPr>
        <w:pStyle w:val="ListParagraph"/>
        <w:numPr>
          <w:ilvl w:val="0"/>
          <w:numId w:val="14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Emisije u životnu sredinu</w:t>
      </w:r>
    </w:p>
    <w:p w14:paraId="500BD45C" w14:textId="77777777" w:rsidR="002B20A9" w:rsidRPr="00C86111" w:rsidRDefault="002B20A9" w:rsidP="00004F34">
      <w:pPr>
        <w:pStyle w:val="ListParagraph"/>
        <w:numPr>
          <w:ilvl w:val="0"/>
          <w:numId w:val="14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Identifikaciju potencijalno kontaminiranih lokacija;</w:t>
      </w:r>
    </w:p>
    <w:p w14:paraId="70DE9F2A" w14:textId="77777777" w:rsidR="002B20A9" w:rsidRPr="00C86111" w:rsidRDefault="002B20A9" w:rsidP="00004F34">
      <w:pPr>
        <w:pStyle w:val="ListParagraph"/>
        <w:numPr>
          <w:ilvl w:val="0"/>
          <w:numId w:val="14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Procjenu potencijalno štetnog izlaganja ljudi i životne sredine ovim supstancama.</w:t>
      </w:r>
    </w:p>
    <w:p w14:paraId="278D14FB" w14:textId="77777777" w:rsidR="002B20A9" w:rsidRPr="00C86111" w:rsidRDefault="002B20A9" w:rsidP="002B20A9">
      <w:pPr>
        <w:jc w:val="both"/>
        <w:rPr>
          <w:rFonts w:asciiTheme="minorHAnsi" w:eastAsia="SimSun" w:hAnsiTheme="minorHAnsi" w:cstheme="minorHAnsi"/>
          <w:color w:val="auto"/>
          <w:lang w:eastAsia="nb-NO"/>
        </w:rPr>
      </w:pPr>
    </w:p>
    <w:p w14:paraId="6A6AAB6F"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 xml:space="preserve">Inventar PFOA, PFHxS i njegovih soli je razvijen u skladu sa smjernicama datim u “Uputstvu za pripremu inventara PFOS, PFOA i PFHxS”. </w:t>
      </w:r>
    </w:p>
    <w:p w14:paraId="3DF8C954" w14:textId="77777777" w:rsidR="002B20A9" w:rsidRPr="00C86111" w:rsidRDefault="002B20A9" w:rsidP="00EA6904">
      <w:pPr>
        <w:pStyle w:val="Heading4"/>
      </w:pPr>
      <w:bookmarkStart w:id="344" w:name="_Toc210632573"/>
      <w:r w:rsidRPr="00C86111">
        <w:t>Proces izrade inventara</w:t>
      </w:r>
      <w:bookmarkEnd w:id="344"/>
    </w:p>
    <w:p w14:paraId="03C76BD9"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 xml:space="preserve">Proces izrade inventara se sastojao od sledećih koraka: </w:t>
      </w:r>
    </w:p>
    <w:p w14:paraId="14812506"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002060"/>
          <w:lang w:eastAsia="nb-NO"/>
        </w:rPr>
        <w:t xml:space="preserve">Korak 1: </w:t>
      </w:r>
      <w:r w:rsidRPr="00C86111">
        <w:rPr>
          <w:rFonts w:asciiTheme="minorHAnsi" w:eastAsia="SimSun" w:hAnsiTheme="minorHAnsi" w:cstheme="minorHAnsi"/>
          <w:color w:val="auto"/>
          <w:lang w:eastAsia="nb-NO"/>
        </w:rPr>
        <w:t>Pokretanje procesa razvoja inventara:</w:t>
      </w:r>
    </w:p>
    <w:p w14:paraId="39760BB5" w14:textId="77777777" w:rsidR="002B20A9" w:rsidRPr="00C86111" w:rsidRDefault="002B20A9" w:rsidP="00004F34">
      <w:pPr>
        <w:pStyle w:val="ListParagraph"/>
        <w:numPr>
          <w:ilvl w:val="0"/>
          <w:numId w:val="146"/>
        </w:num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Osnivanje nacionalnog tima za inventar</w:t>
      </w:r>
    </w:p>
    <w:p w14:paraId="00ABDEE6" w14:textId="77777777" w:rsidR="002B20A9" w:rsidRPr="00C86111" w:rsidRDefault="002B20A9" w:rsidP="00004F34">
      <w:pPr>
        <w:pStyle w:val="ListParagraph"/>
        <w:numPr>
          <w:ilvl w:val="0"/>
          <w:numId w:val="146"/>
        </w:num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Identifikovanje relevantnih zainteresovanih strana</w:t>
      </w:r>
    </w:p>
    <w:p w14:paraId="5C92BD3F" w14:textId="77777777" w:rsidR="002B20A9" w:rsidRPr="00C86111" w:rsidRDefault="002B20A9" w:rsidP="00004F34">
      <w:pPr>
        <w:pStyle w:val="ListParagraph"/>
        <w:numPr>
          <w:ilvl w:val="0"/>
          <w:numId w:val="146"/>
        </w:num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Definisanje obima inventara</w:t>
      </w:r>
    </w:p>
    <w:p w14:paraId="047313BA" w14:textId="77777777" w:rsidR="002B20A9" w:rsidRPr="00C86111" w:rsidRDefault="002B20A9" w:rsidP="00004F34">
      <w:pPr>
        <w:pStyle w:val="ListParagraph"/>
        <w:numPr>
          <w:ilvl w:val="0"/>
          <w:numId w:val="146"/>
        </w:num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Izrada plana rada</w:t>
      </w:r>
    </w:p>
    <w:p w14:paraId="4DC86C7C" w14:textId="77777777" w:rsidR="002B20A9" w:rsidRPr="00C86111" w:rsidRDefault="002B20A9" w:rsidP="00004F34">
      <w:pPr>
        <w:pStyle w:val="ListParagraph"/>
        <w:numPr>
          <w:ilvl w:val="0"/>
          <w:numId w:val="146"/>
        </w:num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Kontakt sa zainteresovanim stranama</w:t>
      </w:r>
    </w:p>
    <w:p w14:paraId="1CF6A771"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002060"/>
          <w:lang w:eastAsia="nb-NO"/>
        </w:rPr>
        <w:t>Korak 2:</w:t>
      </w:r>
      <w:r w:rsidRPr="00C86111">
        <w:rPr>
          <w:rFonts w:asciiTheme="minorHAnsi" w:eastAsia="SimSun" w:hAnsiTheme="minorHAnsi" w:cstheme="minorHAnsi"/>
          <w:color w:val="auto"/>
          <w:lang w:eastAsia="nb-NO"/>
        </w:rPr>
        <w:t xml:space="preserve"> Izbor metodologija prikupljanja podataka</w:t>
      </w:r>
    </w:p>
    <w:p w14:paraId="3D825E16"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002060"/>
          <w:lang w:eastAsia="nb-NO"/>
        </w:rPr>
        <w:t xml:space="preserve">Korak 3: </w:t>
      </w:r>
      <w:r w:rsidRPr="00C86111">
        <w:rPr>
          <w:rFonts w:asciiTheme="minorHAnsi" w:eastAsia="SimSun" w:hAnsiTheme="minorHAnsi" w:cstheme="minorHAnsi"/>
          <w:color w:val="auto"/>
          <w:lang w:eastAsia="nb-NO"/>
        </w:rPr>
        <w:t xml:space="preserve">Prikupljanje podataka </w:t>
      </w:r>
    </w:p>
    <w:p w14:paraId="4D604922"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Tier 1</w:t>
      </w:r>
    </w:p>
    <w:p w14:paraId="01E280B6"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Tier II</w:t>
      </w:r>
    </w:p>
    <w:p w14:paraId="6970740C"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auto"/>
          <w:lang w:eastAsia="nb-NO"/>
        </w:rPr>
        <w:t>Tier III</w:t>
      </w:r>
    </w:p>
    <w:p w14:paraId="1A20D777"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002060"/>
          <w:lang w:eastAsia="nb-NO"/>
        </w:rPr>
        <w:t>Korak 4:</w:t>
      </w:r>
      <w:r w:rsidRPr="00C86111">
        <w:rPr>
          <w:rFonts w:asciiTheme="minorHAnsi" w:eastAsia="SimSun" w:hAnsiTheme="minorHAnsi" w:cstheme="minorHAnsi"/>
          <w:color w:val="auto"/>
          <w:lang w:eastAsia="nb-NO"/>
        </w:rPr>
        <w:t xml:space="preserve"> Upravljanje i procjena podataka</w:t>
      </w:r>
    </w:p>
    <w:p w14:paraId="78F6B84F" w14:textId="77777777" w:rsidR="002B20A9" w:rsidRPr="00C86111" w:rsidRDefault="002B20A9" w:rsidP="002B20A9">
      <w:pPr>
        <w:jc w:val="both"/>
        <w:rPr>
          <w:rFonts w:asciiTheme="minorHAnsi" w:eastAsia="SimSun" w:hAnsiTheme="minorHAnsi" w:cstheme="minorHAnsi"/>
          <w:color w:val="auto"/>
          <w:lang w:eastAsia="nb-NO"/>
        </w:rPr>
      </w:pPr>
      <w:r w:rsidRPr="00C86111">
        <w:rPr>
          <w:rFonts w:asciiTheme="minorHAnsi" w:eastAsia="SimSun" w:hAnsiTheme="minorHAnsi" w:cstheme="minorHAnsi"/>
          <w:color w:val="002060"/>
          <w:lang w:eastAsia="nb-NO"/>
        </w:rPr>
        <w:t xml:space="preserve">Korak 5: </w:t>
      </w:r>
      <w:r w:rsidRPr="00C86111">
        <w:rPr>
          <w:rFonts w:asciiTheme="minorHAnsi" w:eastAsia="SimSun" w:hAnsiTheme="minorHAnsi" w:cstheme="minorHAnsi"/>
          <w:color w:val="auto"/>
          <w:lang w:eastAsia="nb-NO"/>
        </w:rPr>
        <w:t>Priprema izveštaja o inventaru</w:t>
      </w:r>
    </w:p>
    <w:p w14:paraId="09067700" w14:textId="7B586C64" w:rsidR="002B20A9" w:rsidRPr="00C86111" w:rsidRDefault="002B20A9" w:rsidP="00EA6904">
      <w:pPr>
        <w:pStyle w:val="Heading4"/>
      </w:pPr>
      <w:bookmarkStart w:id="345" w:name="_Toc210632574"/>
      <w:r w:rsidRPr="00C86111">
        <w:lastRenderedPageBreak/>
        <w:t>Planiranje inventara</w:t>
      </w:r>
      <w:bookmarkEnd w:id="345"/>
    </w:p>
    <w:p w14:paraId="73BB8CD4"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Nakon formiranja inventarskog tima za PFOA i PFHxS, izrađen je plan za sprovođenje nacionalnog inventara i definisan obim popisa. Organizovani su sastanci sa relevantnim institucijama i organizacijama s ciljem definisanja uloga i obaveza članova tima i zainteresovanih strana. Tokom tih sastanaka usvojeni su metodologija i način rada koji će se primjenjivati tokom procesa inventarizacije.</w:t>
      </w:r>
    </w:p>
    <w:p w14:paraId="7D169F0B"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Članovi inventarskog tima analizirali su sektore i procese u kojima se PFOA i PFHxS mogu najčešće javiti. Na osnovu ove analize, identifikovani su prioritetni sektori koji će biti obuhvaćeni inventarizacijom.</w:t>
      </w:r>
    </w:p>
    <w:p w14:paraId="67E056EA"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 obzirom na to da Crna Gora nema razvijenu industriju koja koristi PFOA i PFHxS u svojim proizvodnim procesima (npr. industrija elektronskih komponenti, poluprovodnika, fotografske tehnologije, proizvodnje tekstila, papira, prerade kože, tepiha, industrije oblaganja metala i hemijske industrije), kao ključni sektori za izradu inventara odabrani su sledeći:</w:t>
      </w:r>
    </w:p>
    <w:p w14:paraId="24733AD5" w14:textId="77777777" w:rsidR="002B20A9" w:rsidRPr="00C86111" w:rsidRDefault="002B20A9" w:rsidP="00004F34">
      <w:pPr>
        <w:pStyle w:val="ListParagraph"/>
        <w:numPr>
          <w:ilvl w:val="0"/>
          <w:numId w:val="147"/>
        </w:numPr>
        <w:jc w:val="both"/>
        <w:rPr>
          <w:rFonts w:asciiTheme="minorHAnsi" w:eastAsia="SimSun" w:hAnsiTheme="minorHAnsi" w:cstheme="minorHAnsi"/>
          <w:color w:val="auto"/>
        </w:rPr>
      </w:pPr>
      <w:r w:rsidRPr="00C86111">
        <w:rPr>
          <w:rFonts w:asciiTheme="minorHAnsi" w:eastAsia="SimSun" w:hAnsiTheme="minorHAnsi" w:cstheme="minorHAnsi"/>
          <w:color w:val="auto"/>
        </w:rPr>
        <w:t>Sektor protivpožarne zaštite</w:t>
      </w:r>
    </w:p>
    <w:p w14:paraId="73A4BF76" w14:textId="77777777" w:rsidR="002B20A9" w:rsidRPr="00C86111" w:rsidRDefault="002B20A9" w:rsidP="00004F34">
      <w:pPr>
        <w:pStyle w:val="ListParagraph"/>
        <w:numPr>
          <w:ilvl w:val="0"/>
          <w:numId w:val="147"/>
        </w:numPr>
        <w:jc w:val="both"/>
        <w:rPr>
          <w:rFonts w:asciiTheme="minorHAnsi" w:eastAsia="SimSun" w:hAnsiTheme="minorHAnsi" w:cstheme="minorHAnsi"/>
          <w:color w:val="auto"/>
        </w:rPr>
      </w:pPr>
      <w:r w:rsidRPr="00C86111">
        <w:rPr>
          <w:rFonts w:asciiTheme="minorHAnsi" w:eastAsia="SimSun" w:hAnsiTheme="minorHAnsi" w:cstheme="minorHAnsi"/>
          <w:color w:val="auto"/>
        </w:rPr>
        <w:t>Sektor upravljanja otpadom</w:t>
      </w:r>
    </w:p>
    <w:p w14:paraId="12521A04" w14:textId="77777777" w:rsidR="002B20A9" w:rsidRPr="00C86111" w:rsidRDefault="002B20A9" w:rsidP="00004F34">
      <w:pPr>
        <w:pStyle w:val="ListParagraph"/>
        <w:numPr>
          <w:ilvl w:val="0"/>
          <w:numId w:val="147"/>
        </w:numPr>
        <w:jc w:val="both"/>
        <w:rPr>
          <w:rFonts w:asciiTheme="minorHAnsi" w:eastAsia="SimSun" w:hAnsiTheme="minorHAnsi" w:cstheme="minorHAnsi"/>
          <w:color w:val="auto"/>
        </w:rPr>
      </w:pPr>
      <w:r w:rsidRPr="00C86111">
        <w:rPr>
          <w:rFonts w:asciiTheme="minorHAnsi" w:eastAsia="SimSun" w:hAnsiTheme="minorHAnsi" w:cstheme="minorHAnsi"/>
          <w:color w:val="auto"/>
        </w:rPr>
        <w:t>Potrošačko tržište</w:t>
      </w:r>
    </w:p>
    <w:p w14:paraId="72BCC093" w14:textId="77777777" w:rsidR="002B20A9" w:rsidRPr="00C86111" w:rsidRDefault="002B20A9" w:rsidP="002B20A9">
      <w:pPr>
        <w:jc w:val="both"/>
        <w:rPr>
          <w:rFonts w:asciiTheme="minorHAnsi" w:eastAsia="SimSun" w:hAnsiTheme="minorHAnsi" w:cstheme="minorHAnsi"/>
          <w:color w:val="auto"/>
        </w:rPr>
      </w:pPr>
    </w:p>
    <w:p w14:paraId="4E34BF49"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Relevantne zainteresovane strane/organizacija od kojih su prikupljane informacije su:</w:t>
      </w:r>
    </w:p>
    <w:p w14:paraId="589B4556" w14:textId="77777777" w:rsidR="002B20A9" w:rsidRPr="00C86111" w:rsidRDefault="002B20A9" w:rsidP="00004F34">
      <w:pPr>
        <w:pStyle w:val="ListParagraph"/>
        <w:numPr>
          <w:ilvl w:val="0"/>
          <w:numId w:val="148"/>
        </w:numPr>
        <w:jc w:val="both"/>
        <w:rPr>
          <w:rFonts w:asciiTheme="minorHAnsi" w:eastAsia="SimSun" w:hAnsiTheme="minorHAnsi" w:cstheme="minorHAnsi"/>
          <w:color w:val="auto"/>
        </w:rPr>
      </w:pPr>
      <w:r w:rsidRPr="00C86111">
        <w:rPr>
          <w:rFonts w:asciiTheme="minorHAnsi" w:eastAsia="SimSun" w:hAnsiTheme="minorHAnsi" w:cstheme="minorHAnsi"/>
          <w:color w:val="auto"/>
        </w:rPr>
        <w:t>Ministarstvo ekologije, održivog razvoja i razvoja sjevera</w:t>
      </w:r>
    </w:p>
    <w:p w14:paraId="57BFCAB5" w14:textId="77777777" w:rsidR="002B20A9" w:rsidRPr="00C86111" w:rsidRDefault="002B20A9" w:rsidP="00004F34">
      <w:pPr>
        <w:pStyle w:val="ListParagraph"/>
        <w:numPr>
          <w:ilvl w:val="0"/>
          <w:numId w:val="148"/>
        </w:numPr>
        <w:jc w:val="both"/>
        <w:rPr>
          <w:rFonts w:asciiTheme="minorHAnsi" w:eastAsia="SimSun" w:hAnsiTheme="minorHAnsi" w:cstheme="minorHAnsi"/>
          <w:color w:val="auto"/>
        </w:rPr>
      </w:pPr>
      <w:r w:rsidRPr="00C86111">
        <w:rPr>
          <w:rFonts w:asciiTheme="minorHAnsi" w:eastAsia="SimSun" w:hAnsiTheme="minorHAnsi" w:cstheme="minorHAnsi"/>
          <w:color w:val="auto"/>
        </w:rPr>
        <w:t>Protivpožarne organizacije</w:t>
      </w:r>
    </w:p>
    <w:p w14:paraId="73D0731E" w14:textId="77777777" w:rsidR="002B20A9" w:rsidRPr="00C86111" w:rsidRDefault="002B20A9" w:rsidP="00004F34">
      <w:pPr>
        <w:pStyle w:val="ListParagraph"/>
        <w:numPr>
          <w:ilvl w:val="0"/>
          <w:numId w:val="148"/>
        </w:numPr>
        <w:jc w:val="both"/>
        <w:rPr>
          <w:rFonts w:asciiTheme="minorHAnsi" w:eastAsia="SimSun" w:hAnsiTheme="minorHAnsi" w:cstheme="minorHAnsi"/>
          <w:color w:val="auto"/>
        </w:rPr>
      </w:pPr>
      <w:r w:rsidRPr="00C86111">
        <w:rPr>
          <w:rFonts w:asciiTheme="minorHAnsi" w:eastAsia="SimSun" w:hAnsiTheme="minorHAnsi" w:cstheme="minorHAnsi"/>
          <w:color w:val="auto"/>
        </w:rPr>
        <w:t>Direktorat za zaštitu i spašavanje</w:t>
      </w:r>
    </w:p>
    <w:p w14:paraId="1EDD3F49" w14:textId="77777777" w:rsidR="002B20A9" w:rsidRPr="00C86111" w:rsidRDefault="002B20A9" w:rsidP="00004F34">
      <w:pPr>
        <w:pStyle w:val="ListParagraph"/>
        <w:numPr>
          <w:ilvl w:val="0"/>
          <w:numId w:val="148"/>
        </w:numPr>
        <w:jc w:val="both"/>
        <w:rPr>
          <w:rFonts w:asciiTheme="minorHAnsi" w:eastAsia="SimSun" w:hAnsiTheme="minorHAnsi" w:cstheme="minorHAnsi"/>
          <w:color w:val="auto"/>
        </w:rPr>
      </w:pPr>
      <w:r w:rsidRPr="00C86111">
        <w:rPr>
          <w:rFonts w:asciiTheme="minorHAnsi" w:eastAsia="SimSun" w:hAnsiTheme="minorHAnsi" w:cstheme="minorHAnsi"/>
          <w:color w:val="auto"/>
        </w:rPr>
        <w:t>Uprava carina</w:t>
      </w:r>
    </w:p>
    <w:p w14:paraId="28D190E3" w14:textId="77777777" w:rsidR="002B20A9" w:rsidRPr="00C86111" w:rsidRDefault="002B20A9" w:rsidP="00004F34">
      <w:pPr>
        <w:pStyle w:val="ListParagraph"/>
        <w:numPr>
          <w:ilvl w:val="0"/>
          <w:numId w:val="148"/>
        </w:numPr>
        <w:jc w:val="both"/>
        <w:rPr>
          <w:rFonts w:asciiTheme="minorHAnsi" w:eastAsia="SimSun" w:hAnsiTheme="minorHAnsi" w:cstheme="minorHAnsi"/>
          <w:color w:val="auto"/>
        </w:rPr>
      </w:pPr>
      <w:r w:rsidRPr="00C86111">
        <w:rPr>
          <w:rFonts w:asciiTheme="minorHAnsi" w:eastAsia="SimSun" w:hAnsiTheme="minorHAnsi" w:cstheme="minorHAnsi"/>
          <w:color w:val="auto"/>
        </w:rPr>
        <w:t>Uprava za statistiku Crne Gore – MONSTAT</w:t>
      </w:r>
    </w:p>
    <w:p w14:paraId="0AB0253E" w14:textId="77777777" w:rsidR="002B20A9" w:rsidRPr="00C86111" w:rsidRDefault="002B20A9" w:rsidP="002B20A9">
      <w:pPr>
        <w:jc w:val="both"/>
        <w:rPr>
          <w:rFonts w:asciiTheme="minorHAnsi" w:hAnsiTheme="minorHAnsi" w:cstheme="minorHAnsi"/>
          <w:color w:val="auto"/>
        </w:rPr>
      </w:pPr>
      <w:r w:rsidRPr="00C86111">
        <w:rPr>
          <w:rFonts w:asciiTheme="minorHAnsi" w:eastAsia="SimSun" w:hAnsiTheme="minorHAnsi" w:cstheme="minorHAnsi"/>
          <w:color w:val="auto"/>
        </w:rPr>
        <w:t>Od navedenih organizacija dobijeni su podaci o: u</w:t>
      </w:r>
      <w:r w:rsidRPr="00C86111">
        <w:rPr>
          <w:rFonts w:asciiTheme="minorHAnsi" w:hAnsiTheme="minorHAnsi" w:cstheme="minorHAnsi"/>
          <w:color w:val="auto"/>
        </w:rPr>
        <w:t>potrebi i skladištenju protivpožarnih pjena</w:t>
      </w:r>
    </w:p>
    <w:p w14:paraId="229167A9" w14:textId="77777777" w:rsidR="002B20A9" w:rsidRPr="00C86111" w:rsidRDefault="002B20A9" w:rsidP="002B20A9">
      <w:pPr>
        <w:jc w:val="both"/>
        <w:rPr>
          <w:rFonts w:asciiTheme="minorHAnsi" w:hAnsiTheme="minorHAnsi" w:cstheme="minorHAnsi"/>
          <w:color w:val="auto"/>
        </w:rPr>
      </w:pPr>
      <w:r w:rsidRPr="00C86111">
        <w:rPr>
          <w:rFonts w:asciiTheme="minorHAnsi" w:eastAsia="SimSun" w:hAnsiTheme="minorHAnsi" w:cstheme="minorHAnsi"/>
          <w:color w:val="auto"/>
        </w:rPr>
        <w:t>uvozu i upotrebi potrošačkih proizvoda koji mogu potencijalno da sadrže PFOA/PFHxS (</w:t>
      </w:r>
      <w:r w:rsidRPr="00C86111">
        <w:rPr>
          <w:rFonts w:asciiTheme="minorHAnsi" w:hAnsiTheme="minorHAnsi" w:cstheme="minorHAnsi"/>
          <w:color w:val="auto"/>
        </w:rPr>
        <w:t>tekstil, odjeća, proizvodi od kože, papir, ambalaža …) I generisanju otpada na osnovu odabranih indeksnih brojeva otpada</w:t>
      </w:r>
    </w:p>
    <w:p w14:paraId="73032A96" w14:textId="77777777" w:rsidR="002B20A9" w:rsidRPr="00C86111" w:rsidRDefault="002B20A9" w:rsidP="00EA6904">
      <w:pPr>
        <w:pStyle w:val="Heading4"/>
      </w:pPr>
      <w:bookmarkStart w:id="346" w:name="_Toc210632575"/>
      <w:r w:rsidRPr="00C86111">
        <w:t>Metodologija prikupljanja podataka</w:t>
      </w:r>
      <w:bookmarkEnd w:id="346"/>
    </w:p>
    <w:p w14:paraId="33267BB0"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Proces prikupljanja podataka sproveden je kombinacijom sledećih metoda:</w:t>
      </w:r>
    </w:p>
    <w:p w14:paraId="6663DAEA" w14:textId="77777777" w:rsidR="002B20A9" w:rsidRPr="00C86111" w:rsidRDefault="002B20A9" w:rsidP="00004F34">
      <w:pPr>
        <w:pStyle w:val="ListParagraph"/>
        <w:numPr>
          <w:ilvl w:val="0"/>
          <w:numId w:val="149"/>
        </w:numPr>
        <w:jc w:val="both"/>
        <w:rPr>
          <w:rFonts w:asciiTheme="minorHAnsi" w:hAnsiTheme="minorHAnsi" w:cstheme="minorHAnsi"/>
          <w:color w:val="auto"/>
        </w:rPr>
      </w:pPr>
      <w:r w:rsidRPr="00C86111">
        <w:rPr>
          <w:rFonts w:asciiTheme="minorHAnsi" w:hAnsiTheme="minorHAnsi" w:cstheme="minorHAnsi"/>
          <w:color w:val="auto"/>
        </w:rPr>
        <w:t>Direktnim intervjuom sa zaineresovanim stranama</w:t>
      </w:r>
    </w:p>
    <w:p w14:paraId="1FD223E4" w14:textId="77777777" w:rsidR="002B20A9" w:rsidRPr="00C86111" w:rsidRDefault="002B20A9" w:rsidP="00004F34">
      <w:pPr>
        <w:pStyle w:val="ListParagraph"/>
        <w:numPr>
          <w:ilvl w:val="0"/>
          <w:numId w:val="149"/>
        </w:numPr>
        <w:jc w:val="both"/>
        <w:rPr>
          <w:rFonts w:asciiTheme="minorHAnsi" w:hAnsiTheme="minorHAnsi" w:cstheme="minorHAnsi"/>
          <w:color w:val="auto"/>
        </w:rPr>
      </w:pPr>
      <w:r w:rsidRPr="00C86111">
        <w:rPr>
          <w:rFonts w:asciiTheme="minorHAnsi" w:hAnsiTheme="minorHAnsi" w:cstheme="minorHAnsi"/>
          <w:color w:val="auto"/>
        </w:rPr>
        <w:t>Telefonskim intervjuom</w:t>
      </w:r>
    </w:p>
    <w:p w14:paraId="5BB7B659" w14:textId="77777777" w:rsidR="002B20A9" w:rsidRPr="00C86111" w:rsidRDefault="002B20A9" w:rsidP="00004F34">
      <w:pPr>
        <w:pStyle w:val="ListParagraph"/>
        <w:numPr>
          <w:ilvl w:val="0"/>
          <w:numId w:val="149"/>
        </w:numPr>
        <w:jc w:val="both"/>
        <w:rPr>
          <w:rFonts w:asciiTheme="minorHAnsi" w:hAnsiTheme="minorHAnsi" w:cstheme="minorHAnsi"/>
          <w:color w:val="auto"/>
        </w:rPr>
      </w:pPr>
      <w:r w:rsidRPr="00C86111">
        <w:rPr>
          <w:rFonts w:asciiTheme="minorHAnsi" w:hAnsiTheme="minorHAnsi" w:cstheme="minorHAnsi"/>
          <w:color w:val="auto"/>
        </w:rPr>
        <w:t>E-mail komunikacijom</w:t>
      </w:r>
    </w:p>
    <w:p w14:paraId="31DB49FA" w14:textId="77777777" w:rsidR="002B20A9" w:rsidRPr="00C86111" w:rsidRDefault="002B20A9" w:rsidP="00004F34">
      <w:pPr>
        <w:pStyle w:val="ListParagraph"/>
        <w:numPr>
          <w:ilvl w:val="0"/>
          <w:numId w:val="149"/>
        </w:numPr>
        <w:jc w:val="both"/>
        <w:rPr>
          <w:rFonts w:asciiTheme="minorHAnsi" w:eastAsia="SimSun" w:hAnsiTheme="minorHAnsi" w:cstheme="minorHAnsi"/>
          <w:color w:val="auto"/>
        </w:rPr>
      </w:pPr>
      <w:r w:rsidRPr="00C86111">
        <w:rPr>
          <w:rFonts w:asciiTheme="minorHAnsi" w:eastAsia="SimSun" w:hAnsiTheme="minorHAnsi" w:cstheme="minorHAnsi"/>
          <w:color w:val="auto"/>
        </w:rPr>
        <w:t xml:space="preserve">Distribucijom upitnika releventnim organizacijama </w:t>
      </w:r>
    </w:p>
    <w:p w14:paraId="44B1C6E6" w14:textId="77777777" w:rsidR="002B20A9" w:rsidRPr="00C86111" w:rsidRDefault="002B20A9" w:rsidP="00004F34">
      <w:pPr>
        <w:pStyle w:val="ListParagraph"/>
        <w:numPr>
          <w:ilvl w:val="0"/>
          <w:numId w:val="149"/>
        </w:numPr>
        <w:jc w:val="both"/>
        <w:rPr>
          <w:rFonts w:asciiTheme="minorHAnsi" w:eastAsia="SimSun" w:hAnsiTheme="minorHAnsi" w:cstheme="minorHAnsi"/>
          <w:color w:val="auto"/>
        </w:rPr>
      </w:pPr>
      <w:r w:rsidRPr="00C86111">
        <w:rPr>
          <w:rFonts w:asciiTheme="minorHAnsi" w:eastAsia="SimSun" w:hAnsiTheme="minorHAnsi" w:cstheme="minorHAnsi"/>
          <w:color w:val="auto"/>
        </w:rPr>
        <w:t>Procjenom na bazi nacionalnih statističkih podataka</w:t>
      </w:r>
    </w:p>
    <w:p w14:paraId="73283F8A" w14:textId="77777777" w:rsidR="002B20A9" w:rsidRPr="00C86111" w:rsidRDefault="002B20A9" w:rsidP="00004F34">
      <w:pPr>
        <w:pStyle w:val="ListParagraph"/>
        <w:numPr>
          <w:ilvl w:val="0"/>
          <w:numId w:val="149"/>
        </w:numPr>
        <w:jc w:val="both"/>
        <w:rPr>
          <w:rFonts w:asciiTheme="minorHAnsi" w:hAnsiTheme="minorHAnsi" w:cstheme="minorHAnsi"/>
          <w:color w:val="auto"/>
        </w:rPr>
      </w:pPr>
      <w:r w:rsidRPr="00C86111">
        <w:rPr>
          <w:rFonts w:asciiTheme="minorHAnsi" w:hAnsiTheme="minorHAnsi" w:cstheme="minorHAnsi"/>
          <w:color w:val="auto"/>
        </w:rPr>
        <w:t>Pregledom i analizom podataka dostupnih na web stranicama javnih institucija (Monstat, EPA)</w:t>
      </w:r>
    </w:p>
    <w:p w14:paraId="6A1A971A" w14:textId="77777777" w:rsidR="002B20A9" w:rsidRPr="00C86111" w:rsidRDefault="002B20A9" w:rsidP="00004F34">
      <w:pPr>
        <w:pStyle w:val="ListParagraph"/>
        <w:numPr>
          <w:ilvl w:val="0"/>
          <w:numId w:val="149"/>
        </w:numPr>
        <w:jc w:val="both"/>
        <w:rPr>
          <w:rFonts w:asciiTheme="minorHAnsi" w:hAnsiTheme="minorHAnsi" w:cstheme="minorHAnsi"/>
          <w:color w:val="auto"/>
        </w:rPr>
      </w:pPr>
      <w:r w:rsidRPr="00C86111">
        <w:rPr>
          <w:rFonts w:asciiTheme="minorHAnsi" w:hAnsiTheme="minorHAnsi" w:cstheme="minorHAnsi"/>
          <w:color w:val="auto"/>
        </w:rPr>
        <w:t>Posjetom lokacijama i direktno intervjuisanje predstavnika zainteresovanih strana</w:t>
      </w:r>
    </w:p>
    <w:p w14:paraId="0F53E001" w14:textId="77777777" w:rsidR="00AA7D50" w:rsidRPr="00C86111" w:rsidRDefault="00AA7D50" w:rsidP="00AA7D50">
      <w:pPr>
        <w:jc w:val="both"/>
        <w:rPr>
          <w:rFonts w:asciiTheme="minorHAnsi" w:hAnsiTheme="minorHAnsi" w:cstheme="minorHAnsi"/>
          <w:color w:val="auto"/>
        </w:rPr>
      </w:pPr>
    </w:p>
    <w:p w14:paraId="2F6C9084" w14:textId="77777777" w:rsidR="00AA7D50" w:rsidRPr="00C86111" w:rsidRDefault="00AA7D50" w:rsidP="00AA7D50">
      <w:pPr>
        <w:jc w:val="both"/>
        <w:rPr>
          <w:rFonts w:asciiTheme="minorHAnsi" w:hAnsiTheme="minorHAnsi" w:cstheme="minorHAnsi"/>
          <w:color w:val="auto"/>
        </w:rPr>
      </w:pPr>
    </w:p>
    <w:p w14:paraId="1923B7F5" w14:textId="77777777" w:rsidR="002B20A9" w:rsidRPr="00C86111" w:rsidRDefault="002B20A9" w:rsidP="002B20A9">
      <w:pPr>
        <w:jc w:val="both"/>
        <w:rPr>
          <w:rFonts w:asciiTheme="minorHAnsi" w:eastAsia="SimSun" w:hAnsiTheme="minorHAnsi" w:cstheme="minorHAnsi"/>
          <w:color w:val="auto"/>
          <w:lang w:eastAsia="nb-NO"/>
        </w:rPr>
      </w:pPr>
    </w:p>
    <w:p w14:paraId="0A5500FB" w14:textId="77777777" w:rsidR="002B20A9" w:rsidRPr="00C86111" w:rsidRDefault="002B20A9" w:rsidP="00EA6904">
      <w:pPr>
        <w:pStyle w:val="Heading4"/>
      </w:pPr>
      <w:bookmarkStart w:id="347" w:name="_Toc210632576"/>
      <w:r w:rsidRPr="00C86111">
        <w:lastRenderedPageBreak/>
        <w:t>Prikupljanje podataka</w:t>
      </w:r>
      <w:bookmarkEnd w:id="347"/>
    </w:p>
    <w:p w14:paraId="549F5752"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Prikupljanje podataka za izradu inventara PFOA i PFHxS sprovedeno je koristeći višestepeni pristup, koji se temelji na Tier I, Tier II i Tier III metodologijama.</w:t>
      </w:r>
    </w:p>
    <w:p w14:paraId="7FE5C96A"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002060"/>
          <w:lang w:eastAsia="en-GB"/>
        </w:rPr>
        <w:t>Tier I – Početna procjena</w:t>
      </w:r>
    </w:p>
    <w:p w14:paraId="2D6CE58A"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Ovaj korak predstavlja osnovnu identifikaciju potencijalnih izvora upotrebe inventarisanih supstanci. Korišćen je za prikupljanje informacija o uvozu proizvoda koji mogu sadržavati PFOA i PFHxS, kao i podataka o postojećem otpadu koji potencijalno sadrži ove supstance.</w:t>
      </w:r>
    </w:p>
    <w:p w14:paraId="45AEA6B0" w14:textId="77777777" w:rsidR="002B20A9" w:rsidRPr="00C86111" w:rsidRDefault="002B20A9" w:rsidP="002B20A9">
      <w:p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Tier II – Sistematsko prikupljanje podataka</w:t>
      </w:r>
    </w:p>
    <w:p w14:paraId="583D99AF"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 ovoj fazi, inventar je dopunjen dodatnim podacima koji su prikupljeni kroz detaljniju analizu. Koristili su se sistematski prikupljeni podaci, sprovedeni direktni intervjui, te poslati upitnici kako bi se popunile eventualne praznine u informacijama.</w:t>
      </w:r>
    </w:p>
    <w:p w14:paraId="4E3DB00E" w14:textId="77777777" w:rsidR="002B20A9" w:rsidRPr="00C86111" w:rsidRDefault="002B20A9" w:rsidP="002B20A9">
      <w:p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Tier III – Dubinska inventarizacija</w:t>
      </w:r>
    </w:p>
    <w:p w14:paraId="2F97EEFD"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Ova faza podrazumijeva detaljne posjete lokacijama i sprovođenje analiza proizvoda ili predmeta koji sadrže PFOA i PFHxS. Cilj Tier III pristupa je da pruži precizne i pouzdane podatke za konačnu procjenu.</w:t>
      </w:r>
    </w:p>
    <w:p w14:paraId="20BA4A5B" w14:textId="77777777" w:rsidR="002B20A9" w:rsidRPr="00C86111" w:rsidRDefault="002B20A9" w:rsidP="00EA6904">
      <w:pPr>
        <w:pStyle w:val="Heading4"/>
      </w:pPr>
      <w:bookmarkStart w:id="348" w:name="_Toc210632577"/>
      <w:r w:rsidRPr="00C86111">
        <w:t>Preračun sadržaja PFOA, PFHxS, njihovih soli i srodnih jedinjenja u proizvodima različitih sektora</w:t>
      </w:r>
      <w:bookmarkEnd w:id="348"/>
    </w:p>
    <w:p w14:paraId="4691FE22" w14:textId="6090ADB2" w:rsidR="002B20A9" w:rsidRPr="00C86111" w:rsidRDefault="002B20A9" w:rsidP="002B20A9">
      <w:pPr>
        <w:jc w:val="both"/>
      </w:pPr>
      <w:r w:rsidRPr="00C86111">
        <w:rPr>
          <w:rFonts w:asciiTheme="minorHAnsi" w:eastAsia="SimSun" w:hAnsiTheme="minorHAnsi" w:cstheme="minorHAnsi"/>
          <w:color w:val="auto"/>
          <w:lang w:eastAsia="nb-NO"/>
        </w:rPr>
        <w:t xml:space="preserve">Preračun sadržaja PFOA, PFHxS i njihovih soli u proizvodima na potrošačkom tržištu, protivpožarnoj pjeni i otpadu, urađen je u skladu sa smjernicama datim u „Uputstvu za pripremu inventara PFOS, PFOA i PFHxS” </w:t>
      </w:r>
      <w:bookmarkStart w:id="349" w:name="_Toc210632578"/>
    </w:p>
    <w:p w14:paraId="69CF3AA9" w14:textId="77777777" w:rsidR="002B20A9" w:rsidRPr="00C86111" w:rsidRDefault="002B20A9" w:rsidP="00004F34">
      <w:pPr>
        <w:pStyle w:val="Heading1"/>
        <w:numPr>
          <w:ilvl w:val="1"/>
          <w:numId w:val="238"/>
        </w:numPr>
      </w:pPr>
      <w:bookmarkStart w:id="350" w:name="_Toc220541952"/>
      <w:r w:rsidRPr="00C86111">
        <w:t>Rezultati inventara PFOA, njenih soli i jedinjenja sličnih PFOA I</w:t>
      </w:r>
      <w:bookmarkEnd w:id="349"/>
      <w:r w:rsidRPr="00C86111">
        <w:t xml:space="preserve"> </w:t>
      </w:r>
      <w:bookmarkStart w:id="351" w:name="_Toc210632579"/>
      <w:r w:rsidRPr="00C86111">
        <w:t>PFHxS, njegove soli i jedinjenja slični PFHxS za period 2017-2023 godina</w:t>
      </w:r>
      <w:bookmarkEnd w:id="350"/>
      <w:bookmarkEnd w:id="351"/>
    </w:p>
    <w:p w14:paraId="7EA67EBC" w14:textId="0D40E7BC" w:rsidR="002B20A9" w:rsidRPr="00C86111" w:rsidRDefault="002B20A9" w:rsidP="00EA6904">
      <w:pPr>
        <w:pStyle w:val="Heading4"/>
      </w:pPr>
      <w:bookmarkStart w:id="352" w:name="_Toc210632580"/>
      <w:r w:rsidRPr="00C86111">
        <w:t xml:space="preserve">Rezultati inventara PFOA, PFHxS, </w:t>
      </w:r>
      <w:bookmarkStart w:id="353" w:name="_Hlk185268023"/>
      <w:r w:rsidRPr="00C86111">
        <w:t xml:space="preserve">njihovih soli </w:t>
      </w:r>
      <w:bookmarkEnd w:id="352"/>
      <w:r w:rsidR="007A344F" w:rsidRPr="00C86111">
        <w:t>i</w:t>
      </w:r>
      <w:r w:rsidRPr="00C86111">
        <w:t xml:space="preserve"> </w:t>
      </w:r>
      <w:bookmarkStart w:id="354" w:name="_Toc210632581"/>
      <w:r w:rsidRPr="00C86111">
        <w:t>sličnih jedinjenja</w:t>
      </w:r>
      <w:bookmarkEnd w:id="353"/>
      <w:r w:rsidRPr="00C86111">
        <w:t xml:space="preserve"> u protivpožarnim pjenama</w:t>
      </w:r>
      <w:bookmarkEnd w:id="354"/>
    </w:p>
    <w:p w14:paraId="5458F33F" w14:textId="77777777" w:rsidR="002B20A9" w:rsidRPr="00C86111" w:rsidRDefault="002B20A9" w:rsidP="002B20A9">
      <w:pPr>
        <w:jc w:val="both"/>
        <w:rPr>
          <w:rFonts w:asciiTheme="minorHAnsi" w:eastAsia="SimSun" w:hAnsiTheme="minorHAnsi" w:cstheme="minorHAnsi"/>
          <w:color w:val="auto"/>
        </w:rPr>
      </w:pPr>
    </w:p>
    <w:p w14:paraId="7378A8F3"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Inventarizacija PFOA, PFHxS, njihovih soli i srodnih jedinjenja u protivpožarnim pjenama sprovedena je kroz prikupljanje podataka iz različitih izvora, uključujući distribuciju upitnika, direktne kontakte i terenske posete vatrogasnim jedinicama i drugim relevantnim subjektima. Ovaj proces omogućio je precizno mapiranje prisustva ovih hemikalija u različitim sektorima i obuhvatio je širok spektar subjekata, uključujući opštinske službe zaštite i spašavanja, aerodrome, luke, marine, naftne kompanije, elektroenergetski sektor, kao i druge organizacije.</w:t>
      </w:r>
    </w:p>
    <w:p w14:paraId="76F67626"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Ukupno je poslato 33 upitnika:</w:t>
      </w:r>
    </w:p>
    <w:p w14:paraId="681F8404" w14:textId="77777777" w:rsidR="002B20A9" w:rsidRPr="00C86111" w:rsidRDefault="002B20A9" w:rsidP="00004F34">
      <w:pPr>
        <w:pStyle w:val="ListParagraph"/>
        <w:numPr>
          <w:ilvl w:val="0"/>
          <w:numId w:val="150"/>
        </w:numPr>
        <w:jc w:val="both"/>
        <w:rPr>
          <w:rFonts w:asciiTheme="minorHAnsi" w:eastAsia="SimSun" w:hAnsiTheme="minorHAnsi" w:cstheme="minorHAnsi"/>
          <w:color w:val="auto"/>
        </w:rPr>
      </w:pPr>
      <w:r w:rsidRPr="00C86111">
        <w:rPr>
          <w:rFonts w:asciiTheme="minorHAnsi" w:eastAsia="SimSun" w:hAnsiTheme="minorHAnsi" w:cstheme="minorHAnsi"/>
          <w:color w:val="auto"/>
        </w:rPr>
        <w:t>Opštinske službe zaštite i spašavanja: Ulcinj, Bar, Budva, Tivat, Kotor, Herceg Novi, Nikšić, Plužine, Šavnik, Žabljak, Pljevlja, Bijelo Polje, Petnjica, Berane, Rožaje, Plav, Andrijevica, Gusinje, Mojkovac, Kolašin, Podgorica, Cetinje, Danilovgrad, Dobrovoljno vatrogasno društvo Krtoli – Tivat, Dobrovoljno vatrogasno društvo Perast i Dobrovoljno vatrogasno društvo Bijela.</w:t>
      </w:r>
    </w:p>
    <w:p w14:paraId="1C18832B" w14:textId="77777777" w:rsidR="002B20A9" w:rsidRPr="00C86111" w:rsidRDefault="002B20A9" w:rsidP="00004F34">
      <w:pPr>
        <w:pStyle w:val="ListParagraph"/>
        <w:numPr>
          <w:ilvl w:val="0"/>
          <w:numId w:val="150"/>
        </w:numPr>
        <w:jc w:val="both"/>
        <w:rPr>
          <w:rFonts w:asciiTheme="minorHAnsi" w:eastAsia="SimSun" w:hAnsiTheme="minorHAnsi" w:cstheme="minorHAnsi"/>
          <w:color w:val="auto"/>
        </w:rPr>
      </w:pPr>
      <w:r w:rsidRPr="00C86111">
        <w:rPr>
          <w:rFonts w:asciiTheme="minorHAnsi" w:eastAsia="SimSun" w:hAnsiTheme="minorHAnsi" w:cstheme="minorHAnsi"/>
          <w:color w:val="auto"/>
        </w:rPr>
        <w:t>Aerodrom (Podgorica, Tivat)</w:t>
      </w:r>
    </w:p>
    <w:p w14:paraId="736CC9CE" w14:textId="77777777" w:rsidR="002B20A9" w:rsidRPr="00C86111" w:rsidRDefault="002B20A9" w:rsidP="00004F34">
      <w:pPr>
        <w:pStyle w:val="ListParagraph"/>
        <w:numPr>
          <w:ilvl w:val="0"/>
          <w:numId w:val="150"/>
        </w:numPr>
        <w:jc w:val="both"/>
        <w:rPr>
          <w:rFonts w:asciiTheme="minorHAnsi" w:eastAsia="SimSun" w:hAnsiTheme="minorHAnsi" w:cstheme="minorHAnsi"/>
          <w:color w:val="auto"/>
        </w:rPr>
      </w:pPr>
      <w:r w:rsidRPr="00C86111">
        <w:rPr>
          <w:rFonts w:asciiTheme="minorHAnsi" w:eastAsia="SimSun" w:hAnsiTheme="minorHAnsi" w:cstheme="minorHAnsi"/>
          <w:color w:val="auto"/>
        </w:rPr>
        <w:lastRenderedPageBreak/>
        <w:t>Naftna kompanija-Jugopetrol</w:t>
      </w:r>
    </w:p>
    <w:p w14:paraId="2F86E517" w14:textId="77777777" w:rsidR="002B20A9" w:rsidRPr="00C86111" w:rsidRDefault="002B20A9" w:rsidP="00004F34">
      <w:pPr>
        <w:pStyle w:val="ListParagraph"/>
        <w:numPr>
          <w:ilvl w:val="0"/>
          <w:numId w:val="150"/>
        </w:numPr>
        <w:jc w:val="both"/>
        <w:rPr>
          <w:rFonts w:asciiTheme="minorHAnsi" w:eastAsia="SimSun" w:hAnsiTheme="minorHAnsi" w:cstheme="minorHAnsi"/>
          <w:color w:val="auto"/>
        </w:rPr>
      </w:pPr>
      <w:r w:rsidRPr="00C86111">
        <w:rPr>
          <w:rFonts w:asciiTheme="minorHAnsi" w:eastAsia="SimSun" w:hAnsiTheme="minorHAnsi" w:cstheme="minorHAnsi"/>
          <w:color w:val="auto"/>
        </w:rPr>
        <w:t>Luka Bar</w:t>
      </w:r>
    </w:p>
    <w:p w14:paraId="650F6391" w14:textId="77777777" w:rsidR="002B20A9" w:rsidRPr="00C86111" w:rsidRDefault="002B20A9" w:rsidP="00004F34">
      <w:pPr>
        <w:pStyle w:val="ListParagraph"/>
        <w:numPr>
          <w:ilvl w:val="0"/>
          <w:numId w:val="150"/>
        </w:numPr>
        <w:jc w:val="both"/>
        <w:rPr>
          <w:rFonts w:asciiTheme="minorHAnsi" w:eastAsia="SimSun" w:hAnsiTheme="minorHAnsi" w:cstheme="minorHAnsi"/>
          <w:color w:val="auto"/>
        </w:rPr>
      </w:pPr>
      <w:r w:rsidRPr="00C86111">
        <w:rPr>
          <w:rFonts w:asciiTheme="minorHAnsi" w:eastAsia="SimSun" w:hAnsiTheme="minorHAnsi" w:cstheme="minorHAnsi"/>
          <w:color w:val="auto"/>
        </w:rPr>
        <w:t>Elektroprivreda Crne Gore (EPCG)</w:t>
      </w:r>
    </w:p>
    <w:p w14:paraId="1A6BA511" w14:textId="77777777" w:rsidR="002B20A9" w:rsidRPr="00C86111" w:rsidRDefault="002B20A9" w:rsidP="00004F34">
      <w:pPr>
        <w:pStyle w:val="ListParagraph"/>
        <w:numPr>
          <w:ilvl w:val="0"/>
          <w:numId w:val="150"/>
        </w:numPr>
        <w:jc w:val="both"/>
        <w:rPr>
          <w:rFonts w:asciiTheme="minorHAnsi" w:eastAsia="SimSun" w:hAnsiTheme="minorHAnsi" w:cstheme="minorHAnsi"/>
          <w:color w:val="auto"/>
        </w:rPr>
      </w:pPr>
      <w:r w:rsidRPr="00C86111">
        <w:rPr>
          <w:rFonts w:asciiTheme="minorHAnsi" w:eastAsia="SimSun" w:hAnsiTheme="minorHAnsi" w:cstheme="minorHAnsi"/>
          <w:color w:val="auto"/>
        </w:rPr>
        <w:t>Luštica Bay (marina za jahte)</w:t>
      </w:r>
    </w:p>
    <w:p w14:paraId="2EA84C87" w14:textId="77777777" w:rsidR="002B20A9" w:rsidRPr="00C86111" w:rsidRDefault="002B20A9" w:rsidP="00004F34">
      <w:pPr>
        <w:pStyle w:val="ListParagraph"/>
        <w:numPr>
          <w:ilvl w:val="0"/>
          <w:numId w:val="150"/>
        </w:numPr>
        <w:jc w:val="both"/>
        <w:rPr>
          <w:rFonts w:asciiTheme="minorHAnsi" w:eastAsia="SimSun" w:hAnsiTheme="minorHAnsi" w:cstheme="minorHAnsi"/>
          <w:color w:val="auto"/>
        </w:rPr>
      </w:pPr>
      <w:r w:rsidRPr="00C86111">
        <w:rPr>
          <w:rFonts w:asciiTheme="minorHAnsi" w:eastAsia="SimSun" w:hAnsiTheme="minorHAnsi" w:cstheme="minorHAnsi"/>
          <w:color w:val="auto"/>
        </w:rPr>
        <w:t>Monteput</w:t>
      </w:r>
    </w:p>
    <w:p w14:paraId="098C983C" w14:textId="7777777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color w:val="auto"/>
        </w:rPr>
        <w:t>S obzirom na to da jedna od većih marina u Mediteranu, Porto Montenegro u Tivtu, koristi usluge opštinske Službe zaštite i spašavanja grada Tivta, direktno nisu bili obuhvaćeni inventarizacijom.</w:t>
      </w:r>
    </w:p>
    <w:p w14:paraId="71B8EA52"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hAnsiTheme="minorHAnsi" w:cstheme="minorHAnsi"/>
          <w:color w:val="auto"/>
        </w:rPr>
        <w:t>Na proslijeđene upitnike odgovorile su sve opštinske službe zaštite i spašavanja, kao i vatrogasne jedinice drugih relevantnih subjekata obuhvaćenih inventarizacijom PFOA i PFHxS. Kao rezultat toga, prikupljene su sledeće informacije:</w:t>
      </w:r>
    </w:p>
    <w:p w14:paraId="5E02324A" w14:textId="77777777" w:rsidR="002B20A9" w:rsidRPr="00C86111" w:rsidRDefault="002B20A9" w:rsidP="00004F34">
      <w:pPr>
        <w:pStyle w:val="ListParagraph"/>
        <w:numPr>
          <w:ilvl w:val="0"/>
          <w:numId w:val="15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Opštinske službe zaštite i spašavanja:</w:t>
      </w:r>
    </w:p>
    <w:p w14:paraId="15502D4F" w14:textId="77777777" w:rsidR="002B20A9" w:rsidRPr="00C86111" w:rsidRDefault="002B20A9" w:rsidP="00004F34">
      <w:pPr>
        <w:pStyle w:val="ListParagraph"/>
        <w:numPr>
          <w:ilvl w:val="0"/>
          <w:numId w:val="15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Od 26 opštinske službe, samo 5 ne koristi protivpožarne pjene.</w:t>
      </w:r>
    </w:p>
    <w:p w14:paraId="3FE6DCCE" w14:textId="77777777" w:rsidR="002B20A9" w:rsidRPr="00C86111" w:rsidRDefault="002B20A9" w:rsidP="00004F34">
      <w:pPr>
        <w:pStyle w:val="ListParagraph"/>
        <w:numPr>
          <w:ilvl w:val="0"/>
          <w:numId w:val="15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Ukupna količina protivpožarnih pjena u skladištima opštinskih službi je 16395 litara.</w:t>
      </w:r>
    </w:p>
    <w:p w14:paraId="16B1B204" w14:textId="77777777" w:rsidR="002B20A9" w:rsidRPr="00C86111" w:rsidRDefault="002B20A9" w:rsidP="00004F34">
      <w:pPr>
        <w:pStyle w:val="ListParagraph"/>
        <w:numPr>
          <w:ilvl w:val="0"/>
          <w:numId w:val="15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Sedam službi poseduje pjenu sa isteklim rokom trajanja, sa ukupnom količinom od 8725 litara.</w:t>
      </w:r>
    </w:p>
    <w:p w14:paraId="3A06FB80" w14:textId="77777777" w:rsidR="002B20A9" w:rsidRPr="00C86111" w:rsidRDefault="002B20A9" w:rsidP="00004F34">
      <w:pPr>
        <w:pStyle w:val="ListParagraph"/>
        <w:numPr>
          <w:ilvl w:val="0"/>
          <w:numId w:val="15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Vatrogasne službe drugih subjekata (aerodromi, luke, marine, transport, elektroenergetski sektor):</w:t>
      </w:r>
    </w:p>
    <w:p w14:paraId="38EB323F" w14:textId="77777777" w:rsidR="002B20A9" w:rsidRPr="00C86111" w:rsidRDefault="002B20A9" w:rsidP="00004F34">
      <w:pPr>
        <w:pStyle w:val="ListParagraph"/>
        <w:numPr>
          <w:ilvl w:val="0"/>
          <w:numId w:val="15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Od 7 vatrogasnih službi, samo jedna ne koristi protivpožarne pjene.</w:t>
      </w:r>
    </w:p>
    <w:p w14:paraId="31F35F13" w14:textId="77777777" w:rsidR="002B20A9" w:rsidRPr="00C86111" w:rsidRDefault="002B20A9" w:rsidP="00004F34">
      <w:pPr>
        <w:pStyle w:val="ListParagraph"/>
        <w:numPr>
          <w:ilvl w:val="0"/>
          <w:numId w:val="15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Ukupna količina protivpožarne pjene u ovom sektoru iznosi 29150 litara.</w:t>
      </w:r>
    </w:p>
    <w:p w14:paraId="0670FA84" w14:textId="27C79AFB" w:rsidR="002B20A9" w:rsidRPr="00C86111" w:rsidRDefault="002B20A9" w:rsidP="00EA6904">
      <w:pPr>
        <w:pStyle w:val="Heading4"/>
      </w:pPr>
      <w:r w:rsidRPr="00C86111">
        <w:t>Upotreba pjena</w:t>
      </w:r>
    </w:p>
    <w:p w14:paraId="374748A2" w14:textId="14BD06B2" w:rsidR="002B20A9" w:rsidRPr="00C86111" w:rsidRDefault="002B20A9" w:rsidP="002B20A9">
      <w:pPr>
        <w:jc w:val="both"/>
        <w:rPr>
          <w:rFonts w:asciiTheme="minorHAnsi" w:eastAsia="SimSun" w:hAnsiTheme="minorHAnsi" w:cstheme="minorHAnsi"/>
          <w:color w:val="auto"/>
        </w:rPr>
      </w:pPr>
      <w:r w:rsidRPr="00C86111">
        <w:rPr>
          <w:rFonts w:asciiTheme="minorHAnsi" w:eastAsia="Times New Roman" w:hAnsiTheme="minorHAnsi" w:cstheme="minorHAnsi"/>
          <w:color w:val="auto"/>
          <w:lang w:eastAsia="en-GB"/>
        </w:rPr>
        <w:t xml:space="preserve">Od 27 vatrogasne službe koje poseduju protivpožarne pjene, 21 ih je koristilo ovu pjenu, bilo prilikom intervencija tokom gašenja požara ili u vežbama i obukama. </w:t>
      </w:r>
      <w:r w:rsidRPr="00C86111">
        <w:rPr>
          <w:rFonts w:asciiTheme="minorHAnsi" w:eastAsia="SimSun" w:hAnsiTheme="minorHAnsi" w:cstheme="minorHAnsi"/>
          <w:color w:val="auto"/>
        </w:rPr>
        <w:t xml:space="preserve">Pregled protivpožarnjh pjena koje se nalaze u skladištima vatrogasnih jedinica dat je u tabeli </w:t>
      </w:r>
      <w:r w:rsidR="00626D74" w:rsidRPr="00C86111">
        <w:rPr>
          <w:rFonts w:asciiTheme="minorHAnsi" w:eastAsia="SimSun" w:hAnsiTheme="minorHAnsi" w:cstheme="minorHAnsi"/>
          <w:color w:val="auto"/>
        </w:rPr>
        <w:t>82</w:t>
      </w:r>
      <w:r w:rsidRPr="00C86111">
        <w:rPr>
          <w:rFonts w:asciiTheme="minorHAnsi" w:eastAsia="SimSun" w:hAnsiTheme="minorHAnsi" w:cstheme="minorHAnsi"/>
          <w:color w:val="auto"/>
        </w:rPr>
        <w:t>.</w:t>
      </w:r>
    </w:p>
    <w:p w14:paraId="44BA4EE9" w14:textId="77777777" w:rsidR="002B20A9" w:rsidRPr="00C86111" w:rsidRDefault="002B20A9" w:rsidP="002B20A9">
      <w:pPr>
        <w:jc w:val="both"/>
        <w:rPr>
          <w:rFonts w:asciiTheme="minorHAnsi" w:eastAsia="SimSun" w:hAnsiTheme="minorHAnsi" w:cstheme="minorHAnsi"/>
          <w:color w:val="auto"/>
        </w:rPr>
      </w:pPr>
    </w:p>
    <w:p w14:paraId="3A72153D" w14:textId="4FC854A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26D74" w:rsidRPr="00C86111">
        <w:rPr>
          <w:rFonts w:asciiTheme="minorHAnsi" w:eastAsia="SimSun" w:hAnsiTheme="minorHAnsi" w:cstheme="minorHAnsi"/>
          <w:b/>
          <w:bCs/>
          <w:color w:val="auto"/>
        </w:rPr>
        <w:t>82</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Pregled vatrogasnih jedinica koje posjeduju protivpožarne pjene, njene količine u skladištu, datum proizvodnje kao i tip pjene</w:t>
      </w:r>
    </w:p>
    <w:tbl>
      <w:tblPr>
        <w:tblStyle w:val="GridTable4-Accent6"/>
        <w:tblW w:w="5472" w:type="pct"/>
        <w:tblBorders>
          <w:top w:val="double" w:sz="4" w:space="0" w:color="A8D08D" w:themeColor="accent6" w:themeTint="99"/>
          <w:left w:val="double" w:sz="4" w:space="0" w:color="A8D08D" w:themeColor="accent6" w:themeTint="99"/>
          <w:bottom w:val="double" w:sz="4" w:space="0" w:color="A8D08D" w:themeColor="accent6" w:themeTint="99"/>
          <w:right w:val="double" w:sz="4" w:space="0" w:color="A8D08D" w:themeColor="accent6" w:themeTint="99"/>
          <w:insideH w:val="double" w:sz="4" w:space="0" w:color="A8D08D" w:themeColor="accent6" w:themeTint="99"/>
          <w:insideV w:val="double" w:sz="4" w:space="0" w:color="A8D08D" w:themeColor="accent6" w:themeTint="99"/>
        </w:tblBorders>
        <w:tblLayout w:type="fixed"/>
        <w:tblLook w:val="0000" w:firstRow="0" w:lastRow="0" w:firstColumn="0" w:lastColumn="0" w:noHBand="0" w:noVBand="0"/>
      </w:tblPr>
      <w:tblGrid>
        <w:gridCol w:w="907"/>
        <w:gridCol w:w="3216"/>
        <w:gridCol w:w="1436"/>
        <w:gridCol w:w="3257"/>
        <w:gridCol w:w="1395"/>
      </w:tblGrid>
      <w:tr w:rsidR="002B20A9" w:rsidRPr="00C86111" w14:paraId="131FC52C" w14:textId="77777777" w:rsidTr="0037538F">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444" w:type="pct"/>
            <w:vMerge w:val="restart"/>
            <w:vAlign w:val="center"/>
          </w:tcPr>
          <w:p w14:paraId="7E3BEFE2" w14:textId="77777777" w:rsidR="002B20A9" w:rsidRPr="00C86111" w:rsidRDefault="002B20A9" w:rsidP="007A344F">
            <w:pPr>
              <w:jc w:val="center"/>
              <w:rPr>
                <w:rFonts w:asciiTheme="minorHAnsi" w:hAnsiTheme="minorHAnsi" w:cstheme="minorHAnsi"/>
                <w:b/>
                <w:bCs/>
                <w:color w:val="auto"/>
                <w:sz w:val="20"/>
                <w:szCs w:val="20"/>
              </w:rPr>
            </w:pPr>
            <w:r w:rsidRPr="00C86111">
              <w:rPr>
                <w:rFonts w:asciiTheme="minorHAnsi" w:hAnsiTheme="minorHAnsi" w:cstheme="minorHAnsi"/>
                <w:b/>
                <w:bCs/>
                <w:color w:val="auto"/>
                <w:sz w:val="20"/>
                <w:szCs w:val="20"/>
              </w:rPr>
              <w:t>Br.</w:t>
            </w:r>
          </w:p>
        </w:tc>
        <w:tc>
          <w:tcPr>
            <w:tcW w:w="1575" w:type="pct"/>
            <w:vMerge w:val="restart"/>
            <w:vAlign w:val="center"/>
          </w:tcPr>
          <w:p w14:paraId="5C6EB1D4"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bCs/>
                <w:i/>
                <w:color w:val="auto"/>
                <w:sz w:val="20"/>
                <w:szCs w:val="20"/>
              </w:rPr>
            </w:pPr>
            <w:r w:rsidRPr="00C86111">
              <w:rPr>
                <w:rFonts w:asciiTheme="minorHAnsi" w:eastAsia="Times New Roman" w:hAnsiTheme="minorHAnsi" w:cstheme="minorHAnsi"/>
                <w:b/>
                <w:bCs/>
                <w:color w:val="auto"/>
                <w:sz w:val="20"/>
                <w:szCs w:val="20"/>
                <w:lang w:eastAsia="en-GB"/>
              </w:rPr>
              <w:t>Vatrogasna jedinica</w:t>
            </w:r>
          </w:p>
        </w:tc>
        <w:tc>
          <w:tcPr>
            <w:cnfStyle w:val="000010000000" w:firstRow="0" w:lastRow="0" w:firstColumn="0" w:lastColumn="0" w:oddVBand="1" w:evenVBand="0" w:oddHBand="0" w:evenHBand="0" w:firstRowFirstColumn="0" w:firstRowLastColumn="0" w:lastRowFirstColumn="0" w:lastRowLastColumn="0"/>
            <w:tcW w:w="703" w:type="pct"/>
            <w:vMerge w:val="restart"/>
            <w:vAlign w:val="center"/>
          </w:tcPr>
          <w:p w14:paraId="1DA8EE41" w14:textId="77777777" w:rsidR="002B20A9" w:rsidRPr="00C86111" w:rsidRDefault="002B20A9" w:rsidP="007A344F">
            <w:pPr>
              <w:jc w:val="center"/>
              <w:rPr>
                <w:rFonts w:asciiTheme="minorHAnsi" w:hAnsiTheme="minorHAnsi" w:cstheme="minorHAnsi"/>
                <w:b/>
                <w:bCs/>
                <w:color w:val="auto"/>
                <w:sz w:val="20"/>
                <w:szCs w:val="20"/>
              </w:rPr>
            </w:pPr>
            <w:r w:rsidRPr="00C86111">
              <w:rPr>
                <w:rFonts w:asciiTheme="minorHAnsi" w:eastAsia="Times New Roman" w:hAnsiTheme="minorHAnsi" w:cstheme="minorHAnsi"/>
                <w:b/>
                <w:bCs/>
                <w:color w:val="auto"/>
                <w:sz w:val="20"/>
                <w:szCs w:val="20"/>
                <w:lang w:eastAsia="en-GB"/>
              </w:rPr>
              <w:t>Količina protivpožarne pjene (L)</w:t>
            </w:r>
          </w:p>
        </w:tc>
        <w:tc>
          <w:tcPr>
            <w:tcW w:w="1595" w:type="pct"/>
            <w:vMerge w:val="restart"/>
            <w:vAlign w:val="center"/>
          </w:tcPr>
          <w:p w14:paraId="74C8FE17"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bCs/>
                <w:i/>
                <w:color w:val="auto"/>
                <w:sz w:val="20"/>
                <w:szCs w:val="20"/>
              </w:rPr>
            </w:pPr>
            <w:r w:rsidRPr="00C86111">
              <w:rPr>
                <w:rFonts w:asciiTheme="minorHAnsi" w:eastAsia="Times New Roman" w:hAnsiTheme="minorHAnsi" w:cstheme="minorHAnsi"/>
                <w:b/>
                <w:bCs/>
                <w:color w:val="auto"/>
                <w:sz w:val="20"/>
                <w:szCs w:val="20"/>
                <w:lang w:eastAsia="en-GB"/>
              </w:rPr>
              <w:t>Naziv protivpožarne pjene</w:t>
            </w:r>
          </w:p>
        </w:tc>
        <w:tc>
          <w:tcPr>
            <w:cnfStyle w:val="000010000000" w:firstRow="0" w:lastRow="0" w:firstColumn="0" w:lastColumn="0" w:oddVBand="1" w:evenVBand="0" w:oddHBand="0" w:evenHBand="0" w:firstRowFirstColumn="0" w:firstRowLastColumn="0" w:lastRowFirstColumn="0" w:lastRowLastColumn="0"/>
            <w:tcW w:w="683" w:type="pct"/>
            <w:vMerge w:val="restart"/>
            <w:vAlign w:val="center"/>
          </w:tcPr>
          <w:p w14:paraId="5DC8A753" w14:textId="77777777" w:rsidR="002B20A9" w:rsidRPr="00C86111" w:rsidRDefault="002B20A9" w:rsidP="007A344F">
            <w:pPr>
              <w:jc w:val="center"/>
              <w:rPr>
                <w:rStyle w:val="Hyperlink"/>
                <w:rFonts w:asciiTheme="minorHAnsi" w:hAnsiTheme="minorHAnsi" w:cstheme="minorHAnsi"/>
                <w:b/>
                <w:bCs/>
                <w:i/>
                <w:color w:val="auto"/>
                <w:sz w:val="20"/>
                <w:szCs w:val="20"/>
              </w:rPr>
            </w:pPr>
          </w:p>
          <w:p w14:paraId="75C7F570" w14:textId="77777777" w:rsidR="002B20A9" w:rsidRPr="00C86111" w:rsidRDefault="002B20A9" w:rsidP="007A344F">
            <w:pPr>
              <w:jc w:val="center"/>
              <w:rPr>
                <w:rFonts w:asciiTheme="minorHAnsi" w:hAnsiTheme="minorHAnsi" w:cstheme="minorHAnsi"/>
                <w:b/>
                <w:bCs/>
                <w:color w:val="auto"/>
                <w:sz w:val="20"/>
                <w:szCs w:val="20"/>
              </w:rPr>
            </w:pPr>
            <w:r w:rsidRPr="00C86111">
              <w:rPr>
                <w:rFonts w:asciiTheme="minorHAnsi" w:eastAsia="Times New Roman" w:hAnsiTheme="minorHAnsi" w:cstheme="minorHAnsi"/>
                <w:b/>
                <w:bCs/>
                <w:color w:val="auto"/>
                <w:sz w:val="20"/>
                <w:szCs w:val="20"/>
                <w:lang w:eastAsia="en-GB"/>
              </w:rPr>
              <w:t>Godina proizvodnje</w:t>
            </w:r>
          </w:p>
        </w:tc>
      </w:tr>
      <w:tr w:rsidR="002B20A9" w:rsidRPr="00C86111" w14:paraId="274FB5DB" w14:textId="77777777" w:rsidTr="0037538F">
        <w:trPr>
          <w:trHeight w:val="354"/>
        </w:trPr>
        <w:tc>
          <w:tcPr>
            <w:cnfStyle w:val="000010000000" w:firstRow="0" w:lastRow="0" w:firstColumn="0" w:lastColumn="0" w:oddVBand="1" w:evenVBand="0" w:oddHBand="0" w:evenHBand="0" w:firstRowFirstColumn="0" w:firstRowLastColumn="0" w:lastRowFirstColumn="0" w:lastRowLastColumn="0"/>
            <w:tcW w:w="444" w:type="pct"/>
            <w:vMerge/>
            <w:vAlign w:val="center"/>
          </w:tcPr>
          <w:p w14:paraId="44DBE9A6" w14:textId="77777777" w:rsidR="002B20A9" w:rsidRPr="00C86111" w:rsidRDefault="002B20A9" w:rsidP="007A344F">
            <w:pPr>
              <w:jc w:val="center"/>
              <w:rPr>
                <w:rFonts w:asciiTheme="minorHAnsi" w:hAnsiTheme="minorHAnsi" w:cstheme="minorHAnsi"/>
                <w:color w:val="auto"/>
                <w:sz w:val="20"/>
                <w:szCs w:val="20"/>
              </w:rPr>
            </w:pPr>
          </w:p>
        </w:tc>
        <w:tc>
          <w:tcPr>
            <w:tcW w:w="1575" w:type="pct"/>
            <w:vMerge/>
            <w:vAlign w:val="center"/>
          </w:tcPr>
          <w:p w14:paraId="439F55C7"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Merge/>
            <w:vAlign w:val="center"/>
          </w:tcPr>
          <w:p w14:paraId="52AA9047" w14:textId="77777777" w:rsidR="002B20A9" w:rsidRPr="00C86111" w:rsidRDefault="002B20A9" w:rsidP="007A344F">
            <w:pPr>
              <w:jc w:val="center"/>
              <w:rPr>
                <w:rFonts w:asciiTheme="minorHAnsi" w:hAnsiTheme="minorHAnsi" w:cstheme="minorHAnsi"/>
                <w:color w:val="auto"/>
                <w:sz w:val="20"/>
                <w:szCs w:val="20"/>
              </w:rPr>
            </w:pPr>
          </w:p>
        </w:tc>
        <w:tc>
          <w:tcPr>
            <w:tcW w:w="1595" w:type="pct"/>
            <w:vMerge/>
            <w:vAlign w:val="center"/>
          </w:tcPr>
          <w:p w14:paraId="746DDD97"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683" w:type="pct"/>
            <w:vMerge/>
            <w:vAlign w:val="center"/>
          </w:tcPr>
          <w:p w14:paraId="35DAD5FA" w14:textId="77777777" w:rsidR="002B20A9" w:rsidRPr="00C86111" w:rsidRDefault="002B20A9" w:rsidP="007A344F">
            <w:pPr>
              <w:jc w:val="center"/>
              <w:rPr>
                <w:rStyle w:val="Hyperlink"/>
                <w:rFonts w:asciiTheme="minorHAnsi" w:hAnsiTheme="minorHAnsi" w:cstheme="minorHAnsi"/>
                <w:b/>
                <w:i/>
                <w:color w:val="auto"/>
                <w:sz w:val="20"/>
                <w:szCs w:val="20"/>
              </w:rPr>
            </w:pPr>
          </w:p>
        </w:tc>
      </w:tr>
      <w:tr w:rsidR="002B20A9" w:rsidRPr="00C86111" w14:paraId="2BBE32B3"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8006AD3"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030EF972"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rPr>
              <w:t>Luka Bar</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0844741"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125</w:t>
            </w:r>
          </w:p>
        </w:tc>
        <w:tc>
          <w:tcPr>
            <w:tcW w:w="1595" w:type="pct"/>
            <w:vAlign w:val="center"/>
          </w:tcPr>
          <w:p w14:paraId="1DAE7557"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8D8443A"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2024</w:t>
            </w:r>
          </w:p>
        </w:tc>
      </w:tr>
      <w:tr w:rsidR="002B20A9" w:rsidRPr="00C86111" w14:paraId="015B23D4"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AABB766"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68A78AA3"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
                <w: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E7E6D19"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25</w:t>
            </w:r>
          </w:p>
        </w:tc>
        <w:tc>
          <w:tcPr>
            <w:tcW w:w="1595" w:type="pct"/>
            <w:vAlign w:val="center"/>
          </w:tcPr>
          <w:p w14:paraId="532C48C6"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lang w:eastAsia="en-GB"/>
              </w:rPr>
              <w:t>Deteor Me Eco 3%, Synthetic foam, Orchidee,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64F0B4F6"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r>
      <w:tr w:rsidR="002B20A9" w:rsidRPr="00C86111" w14:paraId="36F2993F" w14:textId="77777777" w:rsidTr="0037538F">
        <w:trPr>
          <w:cnfStyle w:val="000000100000" w:firstRow="0" w:lastRow="0" w:firstColumn="0" w:lastColumn="0" w:oddVBand="0" w:evenVBand="0" w:oddHBand="1" w:evenHBand="0" w:firstRowFirstColumn="0" w:firstRowLastColumn="0" w:lastRowFirstColumn="0" w:lastRowLastColumn="0"/>
          <w:trHeight w:val="594"/>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07A230E" w14:textId="77777777" w:rsidR="002B20A9" w:rsidRPr="00C86111" w:rsidRDefault="002B20A9" w:rsidP="00004F34">
            <w:pPr>
              <w:pStyle w:val="ListParagraph"/>
              <w:numPr>
                <w:ilvl w:val="0"/>
                <w:numId w:val="152"/>
              </w:numPr>
              <w:jc w:val="center"/>
              <w:rPr>
                <w:rStyle w:val="Hyperlink"/>
                <w:rFonts w:asciiTheme="minorHAnsi" w:hAnsiTheme="minorHAnsi" w:cstheme="minorHAnsi"/>
                <w:b/>
                <w:bCs/>
                <w:i/>
                <w:color w:val="auto"/>
                <w:sz w:val="20"/>
                <w:szCs w:val="20"/>
              </w:rPr>
            </w:pPr>
          </w:p>
        </w:tc>
        <w:tc>
          <w:tcPr>
            <w:tcW w:w="1575" w:type="pct"/>
            <w:vAlign w:val="center"/>
          </w:tcPr>
          <w:p w14:paraId="089F9BEB"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lang w:eastAsia="en-GB"/>
              </w:rPr>
              <w:t>Ulcinj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6E2D3E74"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150</w:t>
            </w:r>
          </w:p>
        </w:tc>
        <w:tc>
          <w:tcPr>
            <w:tcW w:w="1595" w:type="pct"/>
            <w:vAlign w:val="center"/>
          </w:tcPr>
          <w:p w14:paraId="58C1D38D"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
                <w:i/>
                <w:color w:val="auto"/>
                <w:sz w:val="20"/>
                <w:szCs w:val="20"/>
              </w:rPr>
            </w:pPr>
            <w:r w:rsidRPr="00C86111">
              <w:rPr>
                <w:rFonts w:asciiTheme="minorHAnsi" w:hAnsiTheme="minorHAnsi" w:cstheme="minorHAnsi"/>
                <w:color w:val="auto"/>
                <w:sz w:val="20"/>
                <w:szCs w:val="20"/>
              </w:rPr>
              <w:t>Old firefighting foam received through donation.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EDD9D91"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4774E168" w14:textId="77777777" w:rsidTr="0037538F">
        <w:trPr>
          <w:trHeight w:val="675"/>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3EDCA00"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246B19C0"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vertAlign w:val="superscript"/>
              </w:rPr>
            </w:pPr>
            <w:r w:rsidRPr="00C86111">
              <w:rPr>
                <w:rFonts w:asciiTheme="minorHAnsi" w:hAnsiTheme="minorHAnsi" w:cstheme="minorHAnsi"/>
                <w:color w:val="auto"/>
                <w:sz w:val="20"/>
                <w:szCs w:val="20"/>
                <w:lang w:eastAsia="en-GB"/>
              </w:rPr>
              <w:t>Plav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BC7939F"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65</w:t>
            </w:r>
          </w:p>
        </w:tc>
        <w:tc>
          <w:tcPr>
            <w:tcW w:w="1595" w:type="pct"/>
            <w:vAlign w:val="center"/>
          </w:tcPr>
          <w:p w14:paraId="72770F6E"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vertAlign w:val="superscript"/>
              </w:rPr>
            </w:pPr>
            <w:r w:rsidRPr="00C86111">
              <w:rPr>
                <w:rFonts w:asciiTheme="minorHAnsi" w:hAnsiTheme="minorHAnsi" w:cstheme="minorHAnsi"/>
                <w:color w:val="auto"/>
                <w:sz w:val="20"/>
                <w:szCs w:val="20"/>
                <w:lang w:eastAsia="en-GB"/>
              </w:rPr>
              <w:t>Apirol-FX3, Fluorotein foam concentrate, 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C97D28A"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r>
      <w:tr w:rsidR="002B20A9" w:rsidRPr="00C86111" w14:paraId="7A724D29"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9F8347C"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720273DA"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Monteput-Sozina tunel</w:t>
            </w:r>
          </w:p>
        </w:tc>
        <w:tc>
          <w:tcPr>
            <w:cnfStyle w:val="000010000000" w:firstRow="0" w:lastRow="0" w:firstColumn="0" w:lastColumn="0" w:oddVBand="1" w:evenVBand="0" w:oddHBand="0" w:evenHBand="0" w:firstRowFirstColumn="0" w:firstRowLastColumn="0" w:lastRowFirstColumn="0" w:lastRowLastColumn="0"/>
            <w:tcW w:w="703" w:type="pct"/>
            <w:vMerge w:val="restart"/>
            <w:vAlign w:val="center"/>
          </w:tcPr>
          <w:p w14:paraId="6323673B"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2250</w:t>
            </w:r>
          </w:p>
        </w:tc>
        <w:tc>
          <w:tcPr>
            <w:tcW w:w="1595" w:type="pct"/>
            <w:vAlign w:val="center"/>
          </w:tcPr>
          <w:p w14:paraId="603C3825"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 3% F-15, AFFF, Synthetic foam, fluorine-free,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0142CAFF"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5DC91810"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E070467"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3E408EA7"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Monteput-Autoput</w:t>
            </w:r>
          </w:p>
        </w:tc>
        <w:tc>
          <w:tcPr>
            <w:cnfStyle w:val="000010000000" w:firstRow="0" w:lastRow="0" w:firstColumn="0" w:lastColumn="0" w:oddVBand="1" w:evenVBand="0" w:oddHBand="0" w:evenHBand="0" w:firstRowFirstColumn="0" w:firstRowLastColumn="0" w:lastRowFirstColumn="0" w:lastRowLastColumn="0"/>
            <w:tcW w:w="703" w:type="pct"/>
            <w:vMerge/>
            <w:vAlign w:val="center"/>
          </w:tcPr>
          <w:p w14:paraId="4DAD6F17" w14:textId="77777777" w:rsidR="002B20A9" w:rsidRPr="00C86111" w:rsidRDefault="002B20A9" w:rsidP="007A344F">
            <w:pPr>
              <w:jc w:val="center"/>
              <w:rPr>
                <w:rFonts w:asciiTheme="minorHAnsi" w:hAnsiTheme="minorHAnsi" w:cstheme="minorHAnsi"/>
                <w:color w:val="auto"/>
                <w:sz w:val="20"/>
                <w:szCs w:val="20"/>
                <w:lang w:eastAsia="en-GB"/>
              </w:rPr>
            </w:pPr>
          </w:p>
        </w:tc>
        <w:tc>
          <w:tcPr>
            <w:tcW w:w="1595" w:type="pct"/>
            <w:vAlign w:val="center"/>
          </w:tcPr>
          <w:p w14:paraId="118B97B4"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 3% F-15, AFFF, Synthetic foam, fluorine-free,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3479FC5"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27444F17"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6AD134E"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38CA439F"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Bar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290EBA6"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100</w:t>
            </w:r>
          </w:p>
        </w:tc>
        <w:tc>
          <w:tcPr>
            <w:tcW w:w="1595" w:type="pct"/>
            <w:vAlign w:val="center"/>
          </w:tcPr>
          <w:p w14:paraId="4CAD24AF"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29651E33"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2025</w:t>
            </w:r>
          </w:p>
        </w:tc>
      </w:tr>
      <w:tr w:rsidR="002B20A9" w:rsidRPr="00C86111" w14:paraId="45864FC5"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29AE08E"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0AA547BC"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Merge w:val="restart"/>
            <w:vAlign w:val="center"/>
          </w:tcPr>
          <w:p w14:paraId="01BDA7DB"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3000</w:t>
            </w:r>
          </w:p>
        </w:tc>
        <w:tc>
          <w:tcPr>
            <w:tcW w:w="1595" w:type="pct"/>
            <w:vAlign w:val="center"/>
          </w:tcPr>
          <w:p w14:paraId="63DD3BA3"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Upper plastic canister</w:t>
            </w:r>
          </w:p>
        </w:tc>
        <w:tc>
          <w:tcPr>
            <w:cnfStyle w:val="000010000000" w:firstRow="0" w:lastRow="0" w:firstColumn="0" w:lastColumn="0" w:oddVBand="1" w:evenVBand="0" w:oddHBand="0" w:evenHBand="0" w:firstRowFirstColumn="0" w:firstRowLastColumn="0" w:lastRowFirstColumn="0" w:lastRowLastColumn="0"/>
            <w:tcW w:w="683" w:type="pct"/>
            <w:vMerge w:val="restart"/>
            <w:vAlign w:val="center"/>
          </w:tcPr>
          <w:p w14:paraId="3945CAEA"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1B8D895B"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CAF0D76"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72A439FC"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Merge/>
            <w:vAlign w:val="center"/>
          </w:tcPr>
          <w:p w14:paraId="21517BC0" w14:textId="77777777" w:rsidR="002B20A9" w:rsidRPr="00C86111" w:rsidRDefault="002B20A9" w:rsidP="007A344F">
            <w:pPr>
              <w:jc w:val="center"/>
              <w:rPr>
                <w:rFonts w:asciiTheme="minorHAnsi" w:hAnsiTheme="minorHAnsi" w:cstheme="minorHAnsi"/>
                <w:color w:val="auto"/>
                <w:sz w:val="20"/>
                <w:szCs w:val="20"/>
                <w:lang w:eastAsia="en-GB"/>
              </w:rPr>
            </w:pPr>
          </w:p>
        </w:tc>
        <w:tc>
          <w:tcPr>
            <w:tcW w:w="1595" w:type="pct"/>
            <w:vAlign w:val="center"/>
          </w:tcPr>
          <w:p w14:paraId="4E052A53"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vertAlign w:val="superscript"/>
              </w:rPr>
            </w:pPr>
            <w:r w:rsidRPr="00C86111">
              <w:rPr>
                <w:rFonts w:asciiTheme="minorHAnsi" w:hAnsiTheme="minorHAnsi" w:cstheme="minorHAnsi"/>
                <w:color w:val="auto"/>
                <w:sz w:val="20"/>
                <w:szCs w:val="20"/>
              </w:rPr>
              <w:t>Old firefighting foam received through donation. Lower plastic canister</w:t>
            </w:r>
          </w:p>
        </w:tc>
        <w:tc>
          <w:tcPr>
            <w:cnfStyle w:val="000010000000" w:firstRow="0" w:lastRow="0" w:firstColumn="0" w:lastColumn="0" w:oddVBand="1" w:evenVBand="0" w:oddHBand="0" w:evenHBand="0" w:firstRowFirstColumn="0" w:firstRowLastColumn="0" w:lastRowFirstColumn="0" w:lastRowLastColumn="0"/>
            <w:tcW w:w="683" w:type="pct"/>
            <w:vMerge/>
            <w:vAlign w:val="center"/>
          </w:tcPr>
          <w:p w14:paraId="3735871F" w14:textId="77777777" w:rsidR="002B20A9" w:rsidRPr="00C86111" w:rsidRDefault="002B20A9" w:rsidP="007A344F">
            <w:pPr>
              <w:jc w:val="center"/>
              <w:rPr>
                <w:rFonts w:asciiTheme="minorHAnsi" w:hAnsiTheme="minorHAnsi" w:cstheme="minorHAnsi"/>
                <w:color w:val="auto"/>
                <w:sz w:val="20"/>
                <w:szCs w:val="20"/>
              </w:rPr>
            </w:pPr>
          </w:p>
        </w:tc>
      </w:tr>
      <w:tr w:rsidR="002B20A9" w:rsidRPr="00C86111" w14:paraId="058D233E"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FDB1A6A"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33910A62"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Pljevlja </w:t>
            </w:r>
            <w:r w:rsidRPr="00C86111">
              <w:rPr>
                <w:rFonts w:asciiTheme="minorHAnsi" w:hAnsiTheme="minorHAnsi" w:cstheme="minorHAnsi"/>
                <w:color w:val="auto"/>
                <w:sz w:val="20"/>
                <w:szCs w:val="20"/>
                <w:lang w:eastAsia="en-GB"/>
              </w:rPr>
              <w:t>-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5E481C14"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275</w:t>
            </w:r>
          </w:p>
        </w:tc>
        <w:tc>
          <w:tcPr>
            <w:tcW w:w="1595" w:type="pct"/>
            <w:vAlign w:val="center"/>
          </w:tcPr>
          <w:p w14:paraId="0F6A1A3D"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47D4A02"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2020</w:t>
            </w:r>
          </w:p>
        </w:tc>
      </w:tr>
      <w:tr w:rsidR="002B20A9" w:rsidRPr="00C86111" w14:paraId="34411544"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28DC663"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640074AB"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088A083"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70</w:t>
            </w:r>
          </w:p>
        </w:tc>
        <w:tc>
          <w:tcPr>
            <w:tcW w:w="1595" w:type="pct"/>
            <w:vAlign w:val="center"/>
          </w:tcPr>
          <w:p w14:paraId="148273A5" w14:textId="66EB7EAB"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C86111">
              <w:rPr>
                <w:rFonts w:asciiTheme="minorHAnsi" w:hAnsiTheme="minorHAnsi" w:cstheme="minorHAnsi"/>
                <w:color w:val="auto"/>
                <w:sz w:val="20"/>
                <w:szCs w:val="20"/>
                <w:lang w:val="es-ES"/>
              </w:rPr>
              <w:t>Hidral-6 EX, AFFF,</w:t>
            </w:r>
          </w:p>
          <w:p w14:paraId="6B9B414E"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ES"/>
              </w:rPr>
            </w:pPr>
            <w:r w:rsidRPr="00C86111">
              <w:rPr>
                <w:rFonts w:asciiTheme="minorHAnsi" w:hAnsiTheme="minorHAnsi" w:cstheme="minorHAnsi"/>
                <w:color w:val="auto"/>
                <w:sz w:val="20"/>
                <w:szCs w:val="20"/>
                <w:lang w:val="es-ES"/>
              </w:rPr>
              <w:t>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E2533CD"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2008</w:t>
            </w:r>
          </w:p>
        </w:tc>
      </w:tr>
      <w:tr w:rsidR="002B20A9" w:rsidRPr="00C86111" w14:paraId="1AEEF8B8"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FD9AAB8"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1C772698"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Bijelo Polje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2104F37"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25</w:t>
            </w:r>
          </w:p>
        </w:tc>
        <w:tc>
          <w:tcPr>
            <w:tcW w:w="1595" w:type="pct"/>
            <w:vAlign w:val="center"/>
          </w:tcPr>
          <w:p w14:paraId="66BBBB15"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Bioex S.A.S, Deutschland</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B05071E"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r>
      <w:tr w:rsidR="002B20A9" w:rsidRPr="00C86111" w14:paraId="721400F3"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CC8771F"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118EB6A8"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B020F11"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475</w:t>
            </w:r>
          </w:p>
        </w:tc>
        <w:tc>
          <w:tcPr>
            <w:tcW w:w="1595" w:type="pct"/>
            <w:vAlign w:val="center"/>
          </w:tcPr>
          <w:p w14:paraId="0908D652"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Bioex S.A.S, Deutschland, Fire truck</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312C4C8"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2019</w:t>
            </w:r>
          </w:p>
        </w:tc>
      </w:tr>
      <w:tr w:rsidR="002B20A9" w:rsidRPr="00C86111" w14:paraId="150A4F39"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4755162"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23BFCDAF"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Mojkovac </w:t>
            </w:r>
            <w:r w:rsidRPr="00C86111">
              <w:rPr>
                <w:rFonts w:asciiTheme="minorHAnsi" w:hAnsiTheme="minorHAnsi" w:cstheme="minorHAnsi"/>
                <w:color w:val="auto"/>
                <w:sz w:val="20"/>
                <w:szCs w:val="20"/>
                <w:lang w:eastAsia="en-GB"/>
              </w:rPr>
              <w:t>–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10426514"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30</w:t>
            </w:r>
          </w:p>
        </w:tc>
        <w:tc>
          <w:tcPr>
            <w:tcW w:w="1595" w:type="pct"/>
            <w:vAlign w:val="center"/>
          </w:tcPr>
          <w:p w14:paraId="5E2C7413"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STHAMEX 3% F-15, Synthetic foam, 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6A6DE580"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0A477EFF"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78DEA84"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2A6A9542"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Kolašin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55ECCD82"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200</w:t>
            </w:r>
          </w:p>
        </w:tc>
        <w:tc>
          <w:tcPr>
            <w:tcW w:w="1595" w:type="pct"/>
            <w:vAlign w:val="center"/>
          </w:tcPr>
          <w:p w14:paraId="7894C778"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Bio Foam 5, </w:t>
            </w:r>
            <w:r w:rsidRPr="00C86111">
              <w:rPr>
                <w:rFonts w:asciiTheme="minorHAnsi" w:hAnsiTheme="minorHAnsi" w:cstheme="minorHAnsi"/>
                <w:color w:val="auto"/>
                <w:sz w:val="20"/>
                <w:szCs w:val="20"/>
              </w:rPr>
              <w:t xml:space="preserve">Synthetic foam concentrate, </w:t>
            </w:r>
            <w:r w:rsidRPr="00C86111">
              <w:rPr>
                <w:rFonts w:asciiTheme="minorHAnsi" w:hAnsiTheme="minorHAnsi" w:cstheme="minorHAnsi"/>
                <w:color w:val="auto"/>
                <w:sz w:val="20"/>
                <w:szCs w:val="20"/>
                <w:lang w:eastAsia="en-GB"/>
              </w:rPr>
              <w:t>BioEx,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EB53F3A"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2010</w:t>
            </w:r>
          </w:p>
        </w:tc>
      </w:tr>
      <w:tr w:rsidR="002B20A9" w:rsidRPr="00C86111" w14:paraId="69A11A87"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73DFB7E7"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689F0CC1"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Berane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8B9416C"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300</w:t>
            </w:r>
          </w:p>
        </w:tc>
        <w:tc>
          <w:tcPr>
            <w:tcW w:w="1595" w:type="pct"/>
            <w:vAlign w:val="center"/>
          </w:tcPr>
          <w:p w14:paraId="360FA8FF"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Plurex M, 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1D31389"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2013</w:t>
            </w:r>
          </w:p>
        </w:tc>
      </w:tr>
      <w:tr w:rsidR="002B20A9" w:rsidRPr="00C86111" w14:paraId="61C4407D"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48389E1"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254D589A"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Žabljak </w:t>
            </w:r>
            <w:r w:rsidRPr="00C86111">
              <w:rPr>
                <w:rFonts w:asciiTheme="minorHAnsi" w:hAnsiTheme="minorHAnsi" w:cstheme="minorHAnsi"/>
                <w:color w:val="auto"/>
                <w:sz w:val="20"/>
                <w:szCs w:val="20"/>
                <w:lang w:eastAsia="en-GB"/>
              </w:rPr>
              <w:t>–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34CD9F3"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100</w:t>
            </w:r>
          </w:p>
        </w:tc>
        <w:tc>
          <w:tcPr>
            <w:tcW w:w="1595" w:type="pct"/>
            <w:vAlign w:val="center"/>
          </w:tcPr>
          <w:p w14:paraId="5651F620"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Deteor Me Eco 3%, Synthetic foam, Orchidee,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215C01F8"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2015</w:t>
            </w:r>
          </w:p>
        </w:tc>
      </w:tr>
      <w:tr w:rsidR="002B20A9" w:rsidRPr="00C86111" w14:paraId="68D4ACB4"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0EADA7F"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0CCD00DF"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Podgorica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FA73079"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1400</w:t>
            </w:r>
          </w:p>
        </w:tc>
        <w:tc>
          <w:tcPr>
            <w:tcW w:w="1595" w:type="pct"/>
            <w:vAlign w:val="center"/>
          </w:tcPr>
          <w:p w14:paraId="3BFB540B"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3D40BC7"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2025</w:t>
            </w:r>
          </w:p>
        </w:tc>
      </w:tr>
      <w:tr w:rsidR="002B20A9" w:rsidRPr="00C86111" w14:paraId="4D0121E2"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1F2664F"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0B4BB447"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24FB785"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720</w:t>
            </w:r>
          </w:p>
        </w:tc>
        <w:tc>
          <w:tcPr>
            <w:tcW w:w="1595" w:type="pct"/>
            <w:vAlign w:val="center"/>
          </w:tcPr>
          <w:p w14:paraId="77405E34"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STHAMEX-AFFF 1% F-15, Synthetic foam, 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B6AD883"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7581D0A8"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F7DC487"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56E93852"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Cetinje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C22945B"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25</w:t>
            </w:r>
          </w:p>
        </w:tc>
        <w:tc>
          <w:tcPr>
            <w:tcW w:w="1595" w:type="pct"/>
            <w:vAlign w:val="center"/>
          </w:tcPr>
          <w:p w14:paraId="65A2367B"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B10FB35"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75FDB68A"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02EA3E9"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6852E441"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Nikšić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F0B7DCF"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1275</w:t>
            </w:r>
          </w:p>
        </w:tc>
        <w:tc>
          <w:tcPr>
            <w:tcW w:w="1595" w:type="pct"/>
            <w:vAlign w:val="center"/>
          </w:tcPr>
          <w:p w14:paraId="06E65322"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D0FE62A"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68D55CCB"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150D1CF"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348DA779"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Plužine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95EAC6B"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50</w:t>
            </w:r>
          </w:p>
        </w:tc>
        <w:tc>
          <w:tcPr>
            <w:tcW w:w="1595" w:type="pct"/>
            <w:vAlign w:val="center"/>
          </w:tcPr>
          <w:p w14:paraId="00094816"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F1F24D8"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56A1A1D2"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C55B5A1"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5F25D22E"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Budva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8FD0FBE"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825</w:t>
            </w:r>
          </w:p>
        </w:tc>
        <w:tc>
          <w:tcPr>
            <w:tcW w:w="1595" w:type="pct"/>
            <w:vAlign w:val="center"/>
          </w:tcPr>
          <w:p w14:paraId="2F51CE7B"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Bio Foam 5, Synthetic foam concentrate fluorine free, Bioex S.A.S, France</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06B1215"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2023</w:t>
            </w:r>
          </w:p>
        </w:tc>
      </w:tr>
      <w:tr w:rsidR="002B20A9" w:rsidRPr="00C86111" w14:paraId="2DFAE73D"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1C9C83D"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05138290"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Dobrovoljno vatrogasno društvo - Krtoli, Tivat</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58847CD8"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600</w:t>
            </w:r>
          </w:p>
        </w:tc>
        <w:tc>
          <w:tcPr>
            <w:tcW w:w="1595" w:type="pct"/>
            <w:vAlign w:val="center"/>
          </w:tcPr>
          <w:p w14:paraId="6DB63C96"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There is no information on the type of foam and manufacturer</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033F49B2"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285BF35F"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D85E422"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648DB614"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Tivat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B8F1347"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400</w:t>
            </w:r>
          </w:p>
        </w:tc>
        <w:tc>
          <w:tcPr>
            <w:tcW w:w="1595" w:type="pct"/>
            <w:vAlign w:val="center"/>
          </w:tcPr>
          <w:p w14:paraId="2AE367DB"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STHAMEX-3% F-15, Synthetic foam, 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11406F6"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75E2579C"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A943B7B"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53BAD1D2"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11053F5"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1000</w:t>
            </w:r>
          </w:p>
        </w:tc>
        <w:tc>
          <w:tcPr>
            <w:tcW w:w="1595" w:type="pct"/>
            <w:vAlign w:val="center"/>
          </w:tcPr>
          <w:p w14:paraId="2A71C2B6"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Label: Organikkimya, Netherlands</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69477863"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78078344"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7480039"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703D4A9E"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A648D46"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800</w:t>
            </w:r>
          </w:p>
        </w:tc>
        <w:tc>
          <w:tcPr>
            <w:tcW w:w="1595" w:type="pct"/>
            <w:vAlign w:val="center"/>
          </w:tcPr>
          <w:p w14:paraId="7E8CBC9F"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without specification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82D2C40"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0D27A77D" w14:textId="77777777" w:rsidTr="0037538F">
        <w:trPr>
          <w:trHeight w:val="648"/>
        </w:trPr>
        <w:tc>
          <w:tcPr>
            <w:cnfStyle w:val="000010000000" w:firstRow="0" w:lastRow="0" w:firstColumn="0" w:lastColumn="0" w:oddVBand="1" w:evenVBand="0" w:oddHBand="0" w:evenHBand="0" w:firstRowFirstColumn="0" w:firstRowLastColumn="0" w:lastRowFirstColumn="0" w:lastRowLastColumn="0"/>
            <w:tcW w:w="444" w:type="pct"/>
            <w:vAlign w:val="center"/>
          </w:tcPr>
          <w:p w14:paraId="5343B6D2"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67C97E83"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8075AD5"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1000</w:t>
            </w:r>
          </w:p>
        </w:tc>
        <w:tc>
          <w:tcPr>
            <w:tcW w:w="1595" w:type="pct"/>
            <w:vAlign w:val="center"/>
          </w:tcPr>
          <w:p w14:paraId="0D345ECB"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received through donation, without specification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2D255B2D"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34CC5C8D"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45512D98"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564EE91F" w14:textId="736764F9"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 xml:space="preserve">Aerodrom </w:t>
            </w:r>
            <w:r w:rsidRPr="00C86111">
              <w:rPr>
                <w:rFonts w:asciiTheme="minorHAnsi" w:hAnsiTheme="minorHAnsi" w:cstheme="minorHAnsi"/>
                <w:color w:val="auto"/>
                <w:sz w:val="20"/>
                <w:szCs w:val="20"/>
                <w:lang w:eastAsia="en-GB"/>
              </w:rPr>
              <w:t>Tivat</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C52405A"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2000</w:t>
            </w:r>
          </w:p>
        </w:tc>
        <w:tc>
          <w:tcPr>
            <w:tcW w:w="1595" w:type="pct"/>
            <w:vAlign w:val="center"/>
          </w:tcPr>
          <w:p w14:paraId="6A7B7A5C"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E120812"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2D873841"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F07680A"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7A2F00CD"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783EA903"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2000</w:t>
            </w:r>
          </w:p>
        </w:tc>
        <w:tc>
          <w:tcPr>
            <w:tcW w:w="1595" w:type="pct"/>
            <w:vAlign w:val="center"/>
          </w:tcPr>
          <w:p w14:paraId="16E6D1B4" w14:textId="2642FEBB"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4</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0079260"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4DEBC24E"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785E51D"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26B358A9"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95D1E0A" w14:textId="77777777" w:rsidR="002B20A9" w:rsidRPr="00C86111" w:rsidRDefault="002B20A9" w:rsidP="007A344F">
            <w:pPr>
              <w:jc w:val="center"/>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1500</w:t>
            </w:r>
          </w:p>
        </w:tc>
        <w:tc>
          <w:tcPr>
            <w:tcW w:w="1595" w:type="pct"/>
            <w:vAlign w:val="center"/>
          </w:tcPr>
          <w:p w14:paraId="14564CE3"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2</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DD05F7B"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3EDC7555"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88A1542"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145E6689"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Kotor – Opštinska služba zaštite i spašavanja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4905C48"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2000</w:t>
            </w:r>
          </w:p>
        </w:tc>
        <w:tc>
          <w:tcPr>
            <w:tcW w:w="1595" w:type="pct"/>
            <w:vAlign w:val="center"/>
          </w:tcPr>
          <w:p w14:paraId="3130E6B6"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C0FA291"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2024</w:t>
            </w:r>
          </w:p>
        </w:tc>
      </w:tr>
      <w:tr w:rsidR="002B20A9" w:rsidRPr="00C86111" w14:paraId="44196144"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2A8E23DC"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2A026A91"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Dobrovoljno vatrogasno društvo - Perast</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9BF06A1"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1350</w:t>
            </w:r>
          </w:p>
        </w:tc>
        <w:tc>
          <w:tcPr>
            <w:tcW w:w="1595" w:type="pct"/>
            <w:vAlign w:val="center"/>
          </w:tcPr>
          <w:p w14:paraId="706E330A"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Old firefighting foam, without specification</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EA8FDB1"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3A12F247"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CB5521C"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731BBEEE"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Lustica Bay</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A78AA99"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1000</w:t>
            </w:r>
          </w:p>
        </w:tc>
        <w:tc>
          <w:tcPr>
            <w:tcW w:w="1595" w:type="pct"/>
            <w:vAlign w:val="center"/>
          </w:tcPr>
          <w:p w14:paraId="5235660E"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 xml:space="preserve">DimiLex F 3%, </w:t>
            </w:r>
            <w:r w:rsidRPr="00C86111">
              <w:rPr>
                <w:rFonts w:asciiTheme="minorHAnsi" w:hAnsiTheme="minorHAnsi" w:cstheme="minorHAnsi"/>
                <w:color w:val="auto"/>
                <w:sz w:val="20"/>
                <w:szCs w:val="20"/>
                <w:lang w:eastAsia="en-GB"/>
              </w:rPr>
              <w:t>Synthetic foam, Dyayan Protection, Bulgaria</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659902F2"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2022</w:t>
            </w:r>
          </w:p>
        </w:tc>
      </w:tr>
      <w:tr w:rsidR="002B20A9" w:rsidRPr="00C86111" w14:paraId="3CEDA0C6"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3E56B02"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1346DDB5"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Dobrovoljno vatrogasno društvo - Bijela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20B42227"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160</w:t>
            </w:r>
          </w:p>
        </w:tc>
        <w:tc>
          <w:tcPr>
            <w:tcW w:w="1595" w:type="pct"/>
            <w:vAlign w:val="center"/>
          </w:tcPr>
          <w:p w14:paraId="398EEAE4"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Plurex M, Sabo Foam, Italy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3AD5F390"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2014</w:t>
            </w:r>
          </w:p>
        </w:tc>
      </w:tr>
      <w:tr w:rsidR="002B20A9" w:rsidRPr="00C86111" w14:paraId="5A27A55D"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33D8E05"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Align w:val="center"/>
          </w:tcPr>
          <w:p w14:paraId="6B7E113B"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lang w:eastAsia="en-GB"/>
              </w:rPr>
              <w:t>Jugopetrol, Volujica, Bar</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5E680636"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14950</w:t>
            </w:r>
          </w:p>
        </w:tc>
        <w:tc>
          <w:tcPr>
            <w:tcW w:w="1595" w:type="pct"/>
            <w:vAlign w:val="center"/>
          </w:tcPr>
          <w:p w14:paraId="57C3273F"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FPC6, Fluoroprotein foam</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74C58FB9"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r>
      <w:tr w:rsidR="002B20A9" w:rsidRPr="00C86111" w14:paraId="0B1CE2E4"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3DFFD60C"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restart"/>
            <w:vAlign w:val="center"/>
          </w:tcPr>
          <w:p w14:paraId="1AC36E77"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r w:rsidRPr="00C86111">
              <w:rPr>
                <w:rFonts w:asciiTheme="minorHAnsi" w:hAnsiTheme="minorHAnsi" w:cstheme="minorHAnsi"/>
                <w:color w:val="auto"/>
                <w:sz w:val="20"/>
                <w:szCs w:val="20"/>
              </w:rPr>
              <w:t>Aerodrom Podgorica</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5671987B"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1000</w:t>
            </w:r>
          </w:p>
        </w:tc>
        <w:tc>
          <w:tcPr>
            <w:tcW w:w="1595" w:type="pct"/>
            <w:vAlign w:val="center"/>
          </w:tcPr>
          <w:p w14:paraId="5EF38AF0" w14:textId="60999226"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4025F460"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433F0F00"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E38FA66"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1AEB1664"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47C6AD34"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800</w:t>
            </w:r>
          </w:p>
        </w:tc>
        <w:tc>
          <w:tcPr>
            <w:tcW w:w="1595" w:type="pct"/>
            <w:vAlign w:val="center"/>
          </w:tcPr>
          <w:p w14:paraId="2BEF8A8B"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1FA2CA7E"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42CF1E75"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652F5AEC"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64C00D76"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6D16021"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1100</w:t>
            </w:r>
          </w:p>
        </w:tc>
        <w:tc>
          <w:tcPr>
            <w:tcW w:w="1595" w:type="pct"/>
            <w:vAlign w:val="center"/>
          </w:tcPr>
          <w:p w14:paraId="196199EC"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3</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05AB498"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776C2B11" w14:textId="77777777" w:rsidTr="0037538F">
        <w:trPr>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1ED05648"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398AD196"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1D9741A2"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800</w:t>
            </w:r>
          </w:p>
        </w:tc>
        <w:tc>
          <w:tcPr>
            <w:tcW w:w="1595" w:type="pct"/>
            <w:vAlign w:val="center"/>
          </w:tcPr>
          <w:p w14:paraId="4EBDAB08" w14:textId="77777777" w:rsidR="002B20A9" w:rsidRPr="00C86111" w:rsidRDefault="002B20A9" w:rsidP="007A34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7</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5D57412C"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r w:rsidR="002B20A9" w:rsidRPr="00C86111" w14:paraId="1DC7903C" w14:textId="77777777" w:rsidTr="0037538F">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444" w:type="pct"/>
            <w:vAlign w:val="center"/>
          </w:tcPr>
          <w:p w14:paraId="0BBD3592" w14:textId="77777777" w:rsidR="002B20A9" w:rsidRPr="00C86111" w:rsidRDefault="002B20A9" w:rsidP="00004F34">
            <w:pPr>
              <w:pStyle w:val="ListParagraph"/>
              <w:numPr>
                <w:ilvl w:val="0"/>
                <w:numId w:val="152"/>
              </w:numPr>
              <w:jc w:val="center"/>
              <w:rPr>
                <w:rFonts w:asciiTheme="minorHAnsi" w:hAnsiTheme="minorHAnsi" w:cstheme="minorHAnsi"/>
                <w:color w:val="auto"/>
                <w:sz w:val="20"/>
                <w:szCs w:val="20"/>
              </w:rPr>
            </w:pPr>
          </w:p>
        </w:tc>
        <w:tc>
          <w:tcPr>
            <w:tcW w:w="1575" w:type="pct"/>
            <w:vMerge/>
            <w:vAlign w:val="center"/>
          </w:tcPr>
          <w:p w14:paraId="74BCE865" w14:textId="77777777"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E2C5A0A"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1600</w:t>
            </w:r>
          </w:p>
        </w:tc>
        <w:tc>
          <w:tcPr>
            <w:tcW w:w="1595" w:type="pct"/>
            <w:vAlign w:val="center"/>
          </w:tcPr>
          <w:p w14:paraId="5686E21C" w14:textId="7E88B902" w:rsidR="002B20A9" w:rsidRPr="00C86111" w:rsidRDefault="002B20A9" w:rsidP="007A34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eastAsia="en-GB"/>
              </w:rPr>
              <w:t xml:space="preserve">STHAMEX-AFFF 1%, </w:t>
            </w:r>
            <w:r w:rsidRPr="00C86111">
              <w:rPr>
                <w:rFonts w:asciiTheme="minorHAnsi" w:hAnsiTheme="minorHAnsi" w:cstheme="minorHAnsi"/>
                <w:color w:val="auto"/>
                <w:sz w:val="20"/>
                <w:szCs w:val="20"/>
              </w:rPr>
              <w:t>Dr. STHAMER, Hamburg, Germany, Fire truck, Panter, number 1</w:t>
            </w:r>
          </w:p>
        </w:tc>
        <w:tc>
          <w:tcPr>
            <w:cnfStyle w:val="000010000000" w:firstRow="0" w:lastRow="0" w:firstColumn="0" w:lastColumn="0" w:oddVBand="1" w:evenVBand="0" w:oddHBand="0" w:evenHBand="0" w:firstRowFirstColumn="0" w:firstRowLastColumn="0" w:lastRowFirstColumn="0" w:lastRowLastColumn="0"/>
            <w:tcW w:w="683" w:type="pct"/>
            <w:vAlign w:val="center"/>
          </w:tcPr>
          <w:p w14:paraId="0F9D3A05" w14:textId="77777777" w:rsidR="002B20A9" w:rsidRPr="00C86111" w:rsidRDefault="002B20A9" w:rsidP="007A344F">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2018</w:t>
            </w:r>
          </w:p>
        </w:tc>
      </w:tr>
    </w:tbl>
    <w:p w14:paraId="0BF50D0A" w14:textId="77777777" w:rsidR="002B20A9" w:rsidRPr="00C86111" w:rsidRDefault="002B20A9" w:rsidP="002B20A9">
      <w:pPr>
        <w:jc w:val="both"/>
        <w:rPr>
          <w:rFonts w:asciiTheme="minorHAnsi" w:eastAsia="SimSun" w:hAnsiTheme="minorHAnsi" w:cstheme="minorHAnsi"/>
          <w:color w:val="auto"/>
        </w:rPr>
      </w:pPr>
    </w:p>
    <w:p w14:paraId="557421CD" w14:textId="77777777" w:rsidR="002B20A9" w:rsidRPr="00C86111" w:rsidRDefault="002B20A9" w:rsidP="00EA6904">
      <w:pPr>
        <w:pStyle w:val="Heading3"/>
      </w:pPr>
      <w:r w:rsidRPr="00C86111">
        <w:t xml:space="preserve"> </w:t>
      </w:r>
      <w:bookmarkStart w:id="355" w:name="_Toc220541953"/>
      <w:r w:rsidRPr="00C86111">
        <w:t>Metodologija procjene sadržaja PFOA i PFHxS</w:t>
      </w:r>
      <w:bookmarkEnd w:id="355"/>
    </w:p>
    <w:p w14:paraId="0D0D4ECE" w14:textId="77777777" w:rsidR="00626D74" w:rsidRPr="00C86111" w:rsidRDefault="00626D74" w:rsidP="00626D74">
      <w:pPr>
        <w:rPr>
          <w:lang w:val="sr-Latn-ME"/>
        </w:rPr>
      </w:pPr>
    </w:p>
    <w:p w14:paraId="6668931E"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Procjena mogućeg sadržaja PFOA i PFHxS u protivpožarnim pjenama sprovedena je na osnovu informacija prikupljenih sa ambalaže, bezbjednosno-tehničkih listova, godine proizvodnje, kao i podataka dobijenih tokom terenskih posjeta i direktnih intervjua sa predstavnicima vatrogasnih jedinica.</w:t>
      </w:r>
    </w:p>
    <w:p w14:paraId="520AEF13" w14:textId="4D79EB2C" w:rsidR="002B20A9" w:rsidRPr="00C86111" w:rsidRDefault="002B20A9" w:rsidP="002B20A9">
      <w:pPr>
        <w:jc w:val="both"/>
        <w:rPr>
          <w:rFonts w:asciiTheme="minorHAnsi" w:hAnsiTheme="minorHAnsi" w:cstheme="minorHAnsi"/>
          <w:color w:val="auto"/>
        </w:rPr>
      </w:pPr>
      <w:r w:rsidRPr="00C86111">
        <w:rPr>
          <w:rFonts w:asciiTheme="minorHAnsi" w:eastAsia="Times New Roman" w:hAnsiTheme="minorHAnsi" w:cstheme="minorHAnsi"/>
          <w:color w:val="auto"/>
          <w:lang w:eastAsia="en-GB"/>
        </w:rPr>
        <w:lastRenderedPageBreak/>
        <w:t>Pouzdana procjena sadržaja PFOA i PFHxS zasnovana je na analitičkim podacima dobijenim ispitivanjem uzoraka protivpožarnih pjena koje potiču iz opštinskih službi zaštite i spašavanja, kao i iz specijalizovanih vatrogasnih jedinica koje djeluju u lukama, na aerodromima i u industrijskim postrojenjima.</w:t>
      </w:r>
    </w:p>
    <w:p w14:paraId="08828FB6" w14:textId="2FF431B8" w:rsidR="002B20A9" w:rsidRPr="00C86111" w:rsidRDefault="002B20A9" w:rsidP="00EA6904">
      <w:pPr>
        <w:pStyle w:val="Heading4"/>
        <w:rPr>
          <w:rStyle w:val="Strong"/>
          <w:b w:val="0"/>
          <w:bCs/>
        </w:rPr>
      </w:pPr>
      <w:bookmarkStart w:id="356" w:name="_Toc209360224"/>
      <w:bookmarkStart w:id="357" w:name="_Toc210632582"/>
      <w:r w:rsidRPr="00C86111">
        <w:rPr>
          <w:rStyle w:val="Strong"/>
          <w:b w:val="0"/>
        </w:rPr>
        <w:t xml:space="preserve"> </w:t>
      </w:r>
      <w:bookmarkEnd w:id="356"/>
      <w:r w:rsidRPr="00C86111">
        <w:rPr>
          <w:rStyle w:val="Strong"/>
          <w:b w:val="0"/>
        </w:rPr>
        <w:t>Rezultati analize protivpožarnih pjena</w:t>
      </w:r>
      <w:bookmarkEnd w:id="357"/>
    </w:p>
    <w:p w14:paraId="2A63D883" w14:textId="1AF00F93"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Tabela </w:t>
      </w:r>
      <w:r w:rsidR="00626D74" w:rsidRPr="00C86111">
        <w:rPr>
          <w:rFonts w:asciiTheme="minorHAnsi" w:eastAsia="Times New Roman" w:hAnsiTheme="minorHAnsi" w:cstheme="minorHAnsi"/>
          <w:color w:val="auto"/>
          <w:lang w:eastAsia="en-GB"/>
        </w:rPr>
        <w:t>83</w:t>
      </w:r>
      <w:r w:rsidRPr="00C86111">
        <w:rPr>
          <w:rFonts w:asciiTheme="minorHAnsi" w:eastAsia="Times New Roman" w:hAnsiTheme="minorHAnsi" w:cstheme="minorHAnsi"/>
          <w:color w:val="auto"/>
          <w:lang w:eastAsia="en-GB"/>
        </w:rPr>
        <w:t xml:space="preserve"> prikazuje podatke o prisustvu perfluorooktanske kiseline (PFOA) i perfluoroheksanske sulfonatne kiseline (PFHxS) u protivpožarnim pjenama koje koriste opštinske službe zaštite i spašavanja. Ovi nalazi zasnovani su na laboratorijskim hemijskim analizama uzoraka pjene prikupljenih tokom terenskih istraživanja u lokalnim vatrogasnim jedinicama.</w:t>
      </w:r>
    </w:p>
    <w:p w14:paraId="5375F347" w14:textId="77777777" w:rsidR="002B20A9" w:rsidRPr="00C86111" w:rsidRDefault="002B20A9" w:rsidP="002B20A9">
      <w:pPr>
        <w:jc w:val="both"/>
        <w:rPr>
          <w:rFonts w:asciiTheme="minorHAnsi" w:eastAsia="Times New Roman" w:hAnsiTheme="minorHAnsi" w:cstheme="minorHAnsi"/>
          <w:color w:val="auto"/>
          <w:lang w:eastAsia="en-GB"/>
        </w:rPr>
      </w:pPr>
    </w:p>
    <w:p w14:paraId="6F02D4E4" w14:textId="6E049F24"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b/>
          <w:bCs/>
          <w:color w:val="auto"/>
          <w:lang w:eastAsia="en-GB"/>
        </w:rPr>
        <w:t xml:space="preserve">Tabela </w:t>
      </w:r>
      <w:r w:rsidR="00626D74" w:rsidRPr="00C86111">
        <w:rPr>
          <w:rFonts w:asciiTheme="minorHAnsi" w:eastAsia="Times New Roman" w:hAnsiTheme="minorHAnsi" w:cstheme="minorHAnsi"/>
          <w:b/>
          <w:bCs/>
          <w:color w:val="auto"/>
          <w:lang w:eastAsia="en-GB"/>
        </w:rPr>
        <w:t>83</w:t>
      </w:r>
      <w:r w:rsidRPr="00C86111">
        <w:rPr>
          <w:rFonts w:asciiTheme="minorHAnsi" w:eastAsia="Times New Roman" w:hAnsiTheme="minorHAnsi" w:cstheme="minorHAnsi"/>
          <w:b/>
          <w:bCs/>
          <w:color w:val="auto"/>
          <w:lang w:eastAsia="en-GB"/>
        </w:rPr>
        <w:t>:</w:t>
      </w:r>
      <w:r w:rsidRPr="00C86111">
        <w:rPr>
          <w:rFonts w:asciiTheme="minorHAnsi" w:eastAsia="Times New Roman" w:hAnsiTheme="minorHAnsi" w:cstheme="minorHAnsi"/>
          <w:color w:val="auto"/>
          <w:lang w:eastAsia="en-GB"/>
        </w:rPr>
        <w:t xml:space="preserve"> Rezultati prisustva PFOA i PFHxS u protivpožarnim pjenama opštinskih službi zaštite i spašavanja.</w:t>
      </w:r>
    </w:p>
    <w:tbl>
      <w:tblPr>
        <w:tblStyle w:val="GridTable5Dark-Accent6"/>
        <w:tblW w:w="9715" w:type="dxa"/>
        <w:tblLook w:val="04A0" w:firstRow="1" w:lastRow="0" w:firstColumn="1" w:lastColumn="0" w:noHBand="0" w:noVBand="1"/>
      </w:tblPr>
      <w:tblGrid>
        <w:gridCol w:w="2216"/>
        <w:gridCol w:w="1068"/>
        <w:gridCol w:w="2565"/>
        <w:gridCol w:w="1253"/>
        <w:gridCol w:w="2613"/>
      </w:tblGrid>
      <w:tr w:rsidR="002B20A9" w:rsidRPr="00C86111" w14:paraId="7B882F60" w14:textId="77777777" w:rsidTr="0037538F">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62BA4C6B" w14:textId="77777777" w:rsidR="002B20A9" w:rsidRPr="00C86111" w:rsidRDefault="002B20A9" w:rsidP="002A416E">
            <w:pPr>
              <w:jc w:val="center"/>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Opština / Služba</w:t>
            </w:r>
          </w:p>
        </w:tc>
        <w:tc>
          <w:tcPr>
            <w:tcW w:w="1068" w:type="dxa"/>
            <w:vAlign w:val="center"/>
            <w:hideMark/>
          </w:tcPr>
          <w:p w14:paraId="20127EA3"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Prisustvo PFOA</w:t>
            </w:r>
          </w:p>
        </w:tc>
        <w:tc>
          <w:tcPr>
            <w:tcW w:w="2565" w:type="dxa"/>
            <w:vAlign w:val="center"/>
            <w:hideMark/>
          </w:tcPr>
          <w:p w14:paraId="0090FDEC"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Napomena</w:t>
            </w:r>
          </w:p>
        </w:tc>
        <w:tc>
          <w:tcPr>
            <w:tcW w:w="1253" w:type="dxa"/>
            <w:vAlign w:val="center"/>
          </w:tcPr>
          <w:p w14:paraId="5569FDE1" w14:textId="4AFAAF7B"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Prisustvo PFHxS</w:t>
            </w:r>
          </w:p>
        </w:tc>
        <w:tc>
          <w:tcPr>
            <w:tcW w:w="2613" w:type="dxa"/>
            <w:vAlign w:val="center"/>
          </w:tcPr>
          <w:p w14:paraId="5E3D94F4"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Napomena</w:t>
            </w:r>
          </w:p>
        </w:tc>
      </w:tr>
      <w:tr w:rsidR="002B20A9" w:rsidRPr="00C86111" w14:paraId="5E0532D9" w14:textId="77777777" w:rsidTr="0037538F">
        <w:trPr>
          <w:cnfStyle w:val="000000100000" w:firstRow="0" w:lastRow="0" w:firstColumn="0" w:lastColumn="0" w:oddVBand="0" w:evenVBand="0" w:oddHBand="1" w:evenHBand="0" w:firstRowFirstColumn="0" w:firstRowLastColumn="0" w:lastRowFirstColumn="0" w:lastRowLastColumn="0"/>
          <w:trHeight w:hRule="exact" w:val="829"/>
        </w:trPr>
        <w:tc>
          <w:tcPr>
            <w:cnfStyle w:val="001000000000" w:firstRow="0" w:lastRow="0" w:firstColumn="1" w:lastColumn="0" w:oddVBand="0" w:evenVBand="0" w:oddHBand="0" w:evenHBand="0" w:firstRowFirstColumn="0" w:firstRowLastColumn="0" w:lastRowFirstColumn="0" w:lastRowLastColumn="0"/>
            <w:tcW w:w="2216" w:type="dxa"/>
            <w:vMerge w:val="restart"/>
            <w:vAlign w:val="center"/>
            <w:hideMark/>
          </w:tcPr>
          <w:p w14:paraId="328E74CE"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Bar</w:t>
            </w:r>
          </w:p>
        </w:tc>
        <w:tc>
          <w:tcPr>
            <w:tcW w:w="1068" w:type="dxa"/>
            <w:vAlign w:val="center"/>
            <w:hideMark/>
          </w:tcPr>
          <w:p w14:paraId="1E23D14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2565" w:type="dxa"/>
            <w:vAlign w:val="center"/>
            <w:hideMark/>
          </w:tcPr>
          <w:p w14:paraId="5F20BE2D"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PFOA prelazi propisano regulatorno ograničenje</w:t>
            </w:r>
          </w:p>
        </w:tc>
        <w:tc>
          <w:tcPr>
            <w:tcW w:w="1253" w:type="dxa"/>
            <w:vAlign w:val="center"/>
          </w:tcPr>
          <w:p w14:paraId="062CAA5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7A8F142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77726EC3" w14:textId="77777777" w:rsidTr="0037538F">
        <w:trPr>
          <w:trHeight w:hRule="exact" w:val="631"/>
        </w:trPr>
        <w:tc>
          <w:tcPr>
            <w:cnfStyle w:val="001000000000" w:firstRow="0" w:lastRow="0" w:firstColumn="1" w:lastColumn="0" w:oddVBand="0" w:evenVBand="0" w:oddHBand="0" w:evenHBand="0" w:firstRowFirstColumn="0" w:firstRowLastColumn="0" w:lastRowFirstColumn="0" w:lastRowLastColumn="0"/>
            <w:tcW w:w="2216" w:type="dxa"/>
            <w:vMerge/>
            <w:vAlign w:val="center"/>
          </w:tcPr>
          <w:p w14:paraId="087C9377" w14:textId="77777777" w:rsidR="002B20A9" w:rsidRPr="00C86111" w:rsidRDefault="002B20A9" w:rsidP="002A416E">
            <w:pPr>
              <w:jc w:val="center"/>
              <w:rPr>
                <w:rFonts w:asciiTheme="minorHAnsi" w:hAnsiTheme="minorHAnsi" w:cstheme="minorHAnsi"/>
                <w:b w:val="0"/>
                <w:bCs w:val="0"/>
                <w:color w:val="auto"/>
                <w:sz w:val="20"/>
                <w:szCs w:val="20"/>
              </w:rPr>
            </w:pPr>
          </w:p>
        </w:tc>
        <w:tc>
          <w:tcPr>
            <w:tcW w:w="1068" w:type="dxa"/>
            <w:vAlign w:val="center"/>
          </w:tcPr>
          <w:p w14:paraId="2E31ED8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tcPr>
          <w:p w14:paraId="4C72682D"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5C13642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6EF63C4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16080349" w14:textId="77777777" w:rsidTr="0037538F">
        <w:trPr>
          <w:cnfStyle w:val="000000100000" w:firstRow="0" w:lastRow="0" w:firstColumn="0" w:lastColumn="0" w:oddVBand="0" w:evenVBand="0" w:oddHBand="1" w:evenHBand="0" w:firstRowFirstColumn="0" w:firstRowLastColumn="0" w:lastRowFirstColumn="0" w:lastRowLastColumn="0"/>
          <w:trHeight w:hRule="exact" w:val="802"/>
        </w:trPr>
        <w:tc>
          <w:tcPr>
            <w:cnfStyle w:val="001000000000" w:firstRow="0" w:lastRow="0" w:firstColumn="1" w:lastColumn="0" w:oddVBand="0" w:evenVBand="0" w:oddHBand="0" w:evenHBand="0" w:firstRowFirstColumn="0" w:firstRowLastColumn="0" w:lastRowFirstColumn="0" w:lastRowLastColumn="0"/>
            <w:tcW w:w="2216" w:type="dxa"/>
            <w:vMerge w:val="restart"/>
            <w:vAlign w:val="center"/>
            <w:hideMark/>
          </w:tcPr>
          <w:p w14:paraId="7C10376E"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Bijelo Polje</w:t>
            </w:r>
          </w:p>
        </w:tc>
        <w:tc>
          <w:tcPr>
            <w:tcW w:w="1068" w:type="dxa"/>
            <w:vAlign w:val="center"/>
            <w:hideMark/>
          </w:tcPr>
          <w:p w14:paraId="152B7C43"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2565" w:type="dxa"/>
            <w:vAlign w:val="center"/>
            <w:hideMark/>
          </w:tcPr>
          <w:p w14:paraId="404ACF3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PFOA prelazi propisano regulatorno ograničenje</w:t>
            </w:r>
          </w:p>
        </w:tc>
        <w:tc>
          <w:tcPr>
            <w:tcW w:w="1253" w:type="dxa"/>
            <w:vAlign w:val="center"/>
          </w:tcPr>
          <w:p w14:paraId="10FC1F4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3349171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220379F5" w14:textId="77777777" w:rsidTr="0037538F">
        <w:trPr>
          <w:trHeight w:hRule="exact" w:val="631"/>
        </w:trPr>
        <w:tc>
          <w:tcPr>
            <w:cnfStyle w:val="001000000000" w:firstRow="0" w:lastRow="0" w:firstColumn="1" w:lastColumn="0" w:oddVBand="0" w:evenVBand="0" w:oddHBand="0" w:evenHBand="0" w:firstRowFirstColumn="0" w:firstRowLastColumn="0" w:lastRowFirstColumn="0" w:lastRowLastColumn="0"/>
            <w:tcW w:w="2216" w:type="dxa"/>
            <w:vMerge/>
            <w:vAlign w:val="center"/>
          </w:tcPr>
          <w:p w14:paraId="4C72BBE5" w14:textId="77777777" w:rsidR="002B20A9" w:rsidRPr="00C86111" w:rsidRDefault="002B20A9" w:rsidP="002A416E">
            <w:pPr>
              <w:jc w:val="center"/>
              <w:rPr>
                <w:rFonts w:asciiTheme="minorHAnsi" w:hAnsiTheme="minorHAnsi" w:cstheme="minorHAnsi"/>
                <w:b w:val="0"/>
                <w:bCs w:val="0"/>
                <w:color w:val="auto"/>
                <w:sz w:val="20"/>
                <w:szCs w:val="20"/>
              </w:rPr>
            </w:pPr>
          </w:p>
        </w:tc>
        <w:tc>
          <w:tcPr>
            <w:tcW w:w="1068" w:type="dxa"/>
            <w:vAlign w:val="center"/>
          </w:tcPr>
          <w:p w14:paraId="689F18C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tcPr>
          <w:p w14:paraId="3A8598C7"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3242DD0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4A25AA4F"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5DF1A703" w14:textId="77777777" w:rsidTr="0037538F">
        <w:trPr>
          <w:cnfStyle w:val="000000100000" w:firstRow="0" w:lastRow="0" w:firstColumn="0" w:lastColumn="0" w:oddVBand="0" w:evenVBand="0" w:oddHBand="1" w:evenHBand="0" w:firstRowFirstColumn="0" w:firstRowLastColumn="0" w:lastRowFirstColumn="0" w:lastRowLastColumn="0"/>
          <w:trHeight w:hRule="exact" w:val="63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7A6A7D00"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Ulcinj</w:t>
            </w:r>
          </w:p>
        </w:tc>
        <w:tc>
          <w:tcPr>
            <w:tcW w:w="1068" w:type="dxa"/>
            <w:vAlign w:val="center"/>
            <w:hideMark/>
          </w:tcPr>
          <w:p w14:paraId="624A506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2565" w:type="dxa"/>
            <w:vAlign w:val="center"/>
            <w:hideMark/>
          </w:tcPr>
          <w:p w14:paraId="57FB4C5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5EADA0E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4602368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4280B822" w14:textId="77777777" w:rsidTr="0037538F">
        <w:trPr>
          <w:trHeight w:hRule="exact" w:val="63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1AA1081E"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Plav</w:t>
            </w:r>
          </w:p>
        </w:tc>
        <w:tc>
          <w:tcPr>
            <w:tcW w:w="1068" w:type="dxa"/>
            <w:vAlign w:val="center"/>
            <w:hideMark/>
          </w:tcPr>
          <w:p w14:paraId="2EC11B3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2565" w:type="dxa"/>
            <w:vAlign w:val="center"/>
            <w:hideMark/>
          </w:tcPr>
          <w:p w14:paraId="413D4520"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6691AF0B"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7DF531B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5EE19517" w14:textId="77777777" w:rsidTr="0037538F">
        <w:trPr>
          <w:cnfStyle w:val="000000100000" w:firstRow="0" w:lastRow="0" w:firstColumn="0" w:lastColumn="0" w:oddVBand="0" w:evenVBand="0" w:oddHBand="1" w:evenHBand="0" w:firstRowFirstColumn="0" w:firstRowLastColumn="0" w:lastRowFirstColumn="0" w:lastRowLastColumn="0"/>
          <w:trHeight w:hRule="exact" w:val="63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5F24C000"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Pljevlja</w:t>
            </w:r>
          </w:p>
        </w:tc>
        <w:tc>
          <w:tcPr>
            <w:tcW w:w="1068" w:type="dxa"/>
            <w:vAlign w:val="center"/>
            <w:hideMark/>
          </w:tcPr>
          <w:p w14:paraId="1FE69D1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6D243937"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21B3DAFC"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0BE4AD8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74876C48" w14:textId="77777777" w:rsidTr="0037538F">
        <w:trPr>
          <w:trHeight w:hRule="exact" w:val="54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0F218207"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Mojkovac</w:t>
            </w:r>
          </w:p>
        </w:tc>
        <w:tc>
          <w:tcPr>
            <w:tcW w:w="1068" w:type="dxa"/>
            <w:vAlign w:val="center"/>
            <w:hideMark/>
          </w:tcPr>
          <w:p w14:paraId="138604E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177630BD"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2C3885F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0F77731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4B97D726" w14:textId="77777777" w:rsidTr="0037538F">
        <w:trPr>
          <w:cnfStyle w:val="000000100000" w:firstRow="0" w:lastRow="0" w:firstColumn="0" w:lastColumn="0" w:oddVBand="0" w:evenVBand="0" w:oddHBand="1" w:evenHBand="0"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0A51FD12"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Kolašin</w:t>
            </w:r>
          </w:p>
        </w:tc>
        <w:tc>
          <w:tcPr>
            <w:tcW w:w="1068" w:type="dxa"/>
            <w:vAlign w:val="center"/>
            <w:hideMark/>
          </w:tcPr>
          <w:p w14:paraId="06665935"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1F790C8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01E2CC2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74BE824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05E40498" w14:textId="77777777" w:rsidTr="0037538F">
        <w:trPr>
          <w:trHeight w:hRule="exact" w:val="63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1B25ADFD"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Berane</w:t>
            </w:r>
          </w:p>
        </w:tc>
        <w:tc>
          <w:tcPr>
            <w:tcW w:w="1068" w:type="dxa"/>
            <w:vAlign w:val="center"/>
            <w:hideMark/>
          </w:tcPr>
          <w:p w14:paraId="0F908CF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377BBEB6"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215018B2"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18D03092"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066B904C" w14:textId="77777777" w:rsidTr="0037538F">
        <w:trPr>
          <w:cnfStyle w:val="000000100000" w:firstRow="0" w:lastRow="0" w:firstColumn="0" w:lastColumn="0" w:oddVBand="0" w:evenVBand="0" w:oddHBand="1"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1790ED80"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Žabljak</w:t>
            </w:r>
          </w:p>
        </w:tc>
        <w:tc>
          <w:tcPr>
            <w:tcW w:w="1068" w:type="dxa"/>
            <w:vAlign w:val="center"/>
            <w:hideMark/>
          </w:tcPr>
          <w:p w14:paraId="2DF3F66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0340C263"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666DF1D5"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22E3561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2693AE35" w14:textId="77777777" w:rsidTr="0037538F">
        <w:trPr>
          <w:trHeight w:hRule="exact" w:val="72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678B6D74"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Nikšić</w:t>
            </w:r>
          </w:p>
        </w:tc>
        <w:tc>
          <w:tcPr>
            <w:tcW w:w="1068" w:type="dxa"/>
            <w:vAlign w:val="center"/>
            <w:hideMark/>
          </w:tcPr>
          <w:p w14:paraId="6AF2DDAB"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022EE3DC"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5BE8106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70CA93C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2A4F7697" w14:textId="77777777" w:rsidTr="0037538F">
        <w:trPr>
          <w:cnfStyle w:val="000000100000" w:firstRow="0" w:lastRow="0" w:firstColumn="0" w:lastColumn="0" w:oddVBand="0" w:evenVBand="0" w:oddHBand="1" w:evenHBand="0" w:firstRowFirstColumn="0" w:firstRowLastColumn="0" w:lastRowFirstColumn="0" w:lastRowLastColumn="0"/>
          <w:trHeight w:hRule="exact" w:val="99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0A8EDF3B"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Plužine</w:t>
            </w:r>
          </w:p>
        </w:tc>
        <w:tc>
          <w:tcPr>
            <w:tcW w:w="1068" w:type="dxa"/>
            <w:vAlign w:val="center"/>
            <w:hideMark/>
          </w:tcPr>
          <w:p w14:paraId="261681D9"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48802A23"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77DD656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03889882"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09B97092" w14:textId="77777777" w:rsidTr="0037538F">
        <w:trPr>
          <w:trHeight w:hRule="exact" w:val="640"/>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45853DA5"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Cetinje</w:t>
            </w:r>
          </w:p>
        </w:tc>
        <w:tc>
          <w:tcPr>
            <w:tcW w:w="1068" w:type="dxa"/>
            <w:vAlign w:val="center"/>
            <w:hideMark/>
          </w:tcPr>
          <w:p w14:paraId="239AC506"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0385481B"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2B2BEDE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4F51A1CF"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3F1CCF8B" w14:textId="77777777" w:rsidTr="0037538F">
        <w:trPr>
          <w:cnfStyle w:val="000000100000" w:firstRow="0" w:lastRow="0" w:firstColumn="0" w:lastColumn="0" w:oddVBand="0" w:evenVBand="0" w:oddHBand="1" w:evenHBand="0"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2A2059DF"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Budva</w:t>
            </w:r>
          </w:p>
        </w:tc>
        <w:tc>
          <w:tcPr>
            <w:tcW w:w="1068" w:type="dxa"/>
            <w:vAlign w:val="center"/>
            <w:hideMark/>
          </w:tcPr>
          <w:p w14:paraId="362488C5"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329FAF5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3316FBF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13CD1EA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15650DDA" w14:textId="77777777" w:rsidTr="0037538F">
        <w:trPr>
          <w:trHeight w:hRule="exact" w:val="54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4F52E528"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Kotor</w:t>
            </w:r>
          </w:p>
        </w:tc>
        <w:tc>
          <w:tcPr>
            <w:tcW w:w="1068" w:type="dxa"/>
            <w:vAlign w:val="center"/>
            <w:hideMark/>
          </w:tcPr>
          <w:p w14:paraId="3A2E0B52"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13750FD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0CECCCA0"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7372C7B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296F9CDF" w14:textId="77777777" w:rsidTr="0037538F">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60D13198"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Podgorica</w:t>
            </w:r>
          </w:p>
        </w:tc>
        <w:tc>
          <w:tcPr>
            <w:tcW w:w="1068" w:type="dxa"/>
            <w:vAlign w:val="center"/>
            <w:hideMark/>
          </w:tcPr>
          <w:p w14:paraId="54688669"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hideMark/>
          </w:tcPr>
          <w:p w14:paraId="48F93D17"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1CA9781F"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2C71EBC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7208AAFB" w14:textId="77777777" w:rsidTr="0037538F">
        <w:trPr>
          <w:trHeight w:hRule="exact" w:val="550"/>
        </w:trPr>
        <w:tc>
          <w:tcPr>
            <w:cnfStyle w:val="001000000000" w:firstRow="0" w:lastRow="0" w:firstColumn="1" w:lastColumn="0" w:oddVBand="0" w:evenVBand="0" w:oddHBand="0" w:evenHBand="0" w:firstRowFirstColumn="0" w:firstRowLastColumn="0" w:lastRowFirstColumn="0" w:lastRowLastColumn="0"/>
            <w:tcW w:w="2216" w:type="dxa"/>
            <w:vMerge w:val="restart"/>
            <w:vAlign w:val="center"/>
          </w:tcPr>
          <w:p w14:paraId="39E1CD7C" w14:textId="77777777" w:rsidR="002B20A9" w:rsidRPr="00C86111" w:rsidRDefault="002B20A9" w:rsidP="002A416E">
            <w:pPr>
              <w:jc w:val="center"/>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Tivat</w:t>
            </w:r>
          </w:p>
        </w:tc>
        <w:tc>
          <w:tcPr>
            <w:tcW w:w="1068" w:type="dxa"/>
            <w:vAlign w:val="center"/>
          </w:tcPr>
          <w:p w14:paraId="2694E9E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65" w:type="dxa"/>
            <w:vAlign w:val="center"/>
          </w:tcPr>
          <w:p w14:paraId="39DE5DA5"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3" w:type="dxa"/>
            <w:vAlign w:val="center"/>
          </w:tcPr>
          <w:p w14:paraId="22BB602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0964908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24A61AA1" w14:textId="77777777" w:rsidTr="0037538F">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216" w:type="dxa"/>
            <w:vMerge/>
            <w:vAlign w:val="center"/>
          </w:tcPr>
          <w:p w14:paraId="519464A1" w14:textId="77777777" w:rsidR="002B20A9" w:rsidRPr="00C86111" w:rsidRDefault="002B20A9" w:rsidP="002A416E">
            <w:pPr>
              <w:jc w:val="center"/>
              <w:rPr>
                <w:rFonts w:asciiTheme="minorHAnsi" w:hAnsiTheme="minorHAnsi" w:cstheme="minorHAnsi"/>
                <w:color w:val="auto"/>
                <w:sz w:val="20"/>
                <w:szCs w:val="20"/>
              </w:rPr>
            </w:pPr>
          </w:p>
        </w:tc>
        <w:tc>
          <w:tcPr>
            <w:tcW w:w="1068" w:type="dxa"/>
            <w:vAlign w:val="center"/>
          </w:tcPr>
          <w:p w14:paraId="44E561A9"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2565" w:type="dxa"/>
            <w:vAlign w:val="center"/>
          </w:tcPr>
          <w:p w14:paraId="2EE05CD3"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prelazi propisano regulatorno ograničenje</w:t>
            </w:r>
          </w:p>
        </w:tc>
        <w:tc>
          <w:tcPr>
            <w:tcW w:w="1253" w:type="dxa"/>
            <w:vAlign w:val="center"/>
          </w:tcPr>
          <w:p w14:paraId="7055C89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25FE378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4DD35B2F" w14:textId="77777777" w:rsidTr="0037538F">
        <w:trPr>
          <w:trHeight w:hRule="exact" w:val="784"/>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13585660"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Dobrovoljno vatrogasno društvo -Bijela</w:t>
            </w:r>
          </w:p>
        </w:tc>
        <w:tc>
          <w:tcPr>
            <w:tcW w:w="1068" w:type="dxa"/>
            <w:vAlign w:val="center"/>
            <w:hideMark/>
          </w:tcPr>
          <w:p w14:paraId="3EF66A15"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Da</w:t>
            </w:r>
          </w:p>
        </w:tc>
        <w:tc>
          <w:tcPr>
            <w:tcW w:w="2565" w:type="dxa"/>
            <w:vAlign w:val="center"/>
            <w:hideMark/>
          </w:tcPr>
          <w:p w14:paraId="0E506CDE"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PFOA prelazi propisano regulatorno ograničenje</w:t>
            </w:r>
          </w:p>
        </w:tc>
        <w:tc>
          <w:tcPr>
            <w:tcW w:w="1253" w:type="dxa"/>
            <w:vAlign w:val="center"/>
          </w:tcPr>
          <w:p w14:paraId="3E6D2DD5"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7D840C2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0C04D255" w14:textId="77777777" w:rsidTr="0037538F">
        <w:trPr>
          <w:cnfStyle w:val="000000100000" w:firstRow="0" w:lastRow="0" w:firstColumn="0" w:lastColumn="0" w:oddVBand="0" w:evenVBand="0" w:oddHBand="1"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405DEF45"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Dobrovoljno vatrogasno društvo -Perast</w:t>
            </w:r>
          </w:p>
        </w:tc>
        <w:tc>
          <w:tcPr>
            <w:tcW w:w="1068" w:type="dxa"/>
            <w:vAlign w:val="center"/>
            <w:hideMark/>
          </w:tcPr>
          <w:p w14:paraId="6EB0F1B2"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2565" w:type="dxa"/>
            <w:vAlign w:val="center"/>
            <w:hideMark/>
          </w:tcPr>
          <w:p w14:paraId="15352C62"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prelazi propisano regulatorno ograničenje</w:t>
            </w:r>
          </w:p>
        </w:tc>
        <w:tc>
          <w:tcPr>
            <w:tcW w:w="1253" w:type="dxa"/>
            <w:vAlign w:val="center"/>
          </w:tcPr>
          <w:p w14:paraId="33F462AD"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417A4DB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5652864C" w14:textId="77777777" w:rsidTr="0037538F">
        <w:trPr>
          <w:trHeight w:hRule="exact" w:val="72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3005C0BA"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Dobrovoljno vatrogasno društvo -Krtoli</w:t>
            </w:r>
          </w:p>
        </w:tc>
        <w:tc>
          <w:tcPr>
            <w:tcW w:w="1068" w:type="dxa"/>
            <w:vAlign w:val="center"/>
            <w:hideMark/>
          </w:tcPr>
          <w:p w14:paraId="67BF5BBC"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2565" w:type="dxa"/>
            <w:vAlign w:val="center"/>
            <w:hideMark/>
          </w:tcPr>
          <w:p w14:paraId="332F360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prelazi propisano regulatorno ograničenje</w:t>
            </w:r>
          </w:p>
        </w:tc>
        <w:tc>
          <w:tcPr>
            <w:tcW w:w="1253" w:type="dxa"/>
            <w:vAlign w:val="center"/>
          </w:tcPr>
          <w:p w14:paraId="3538989D"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3" w:type="dxa"/>
            <w:vAlign w:val="center"/>
          </w:tcPr>
          <w:p w14:paraId="5743925B"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2C55139F" w14:textId="77777777" w:rsidTr="0037538F">
        <w:trPr>
          <w:cnfStyle w:val="000000100000" w:firstRow="0" w:lastRow="0" w:firstColumn="0" w:lastColumn="0" w:oddVBand="0" w:evenVBand="0" w:oddHBand="1" w:evenHBand="0" w:firstRowFirstColumn="0" w:firstRowLastColumn="0" w:lastRowFirstColumn="0" w:lastRowLastColumn="0"/>
          <w:trHeight w:hRule="exact" w:val="901"/>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36F6F843"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Gusinje, Danilovgrad, Rožaje, Petnjica, Andrijevica</w:t>
            </w:r>
          </w:p>
        </w:tc>
        <w:tc>
          <w:tcPr>
            <w:tcW w:w="1068" w:type="dxa"/>
            <w:vAlign w:val="center"/>
            <w:hideMark/>
          </w:tcPr>
          <w:p w14:paraId="3B9EF65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c>
          <w:tcPr>
            <w:tcW w:w="2565" w:type="dxa"/>
            <w:vAlign w:val="center"/>
            <w:hideMark/>
          </w:tcPr>
          <w:p w14:paraId="5C5D0C7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 koriste protivpožarnu pjenu</w:t>
            </w:r>
          </w:p>
        </w:tc>
        <w:tc>
          <w:tcPr>
            <w:tcW w:w="1253" w:type="dxa"/>
            <w:vAlign w:val="center"/>
          </w:tcPr>
          <w:p w14:paraId="78B43F8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N/A</w:t>
            </w:r>
          </w:p>
        </w:tc>
        <w:tc>
          <w:tcPr>
            <w:tcW w:w="2613" w:type="dxa"/>
            <w:vAlign w:val="center"/>
          </w:tcPr>
          <w:p w14:paraId="35F5A8AF"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 koriste protivpožarnu pjenu</w:t>
            </w:r>
          </w:p>
        </w:tc>
      </w:tr>
    </w:tbl>
    <w:p w14:paraId="56DE90A1" w14:textId="77777777" w:rsidR="002B20A9" w:rsidRPr="00C86111" w:rsidRDefault="002B20A9" w:rsidP="002B20A9">
      <w:pPr>
        <w:jc w:val="both"/>
        <w:rPr>
          <w:rFonts w:asciiTheme="minorHAnsi" w:hAnsiTheme="minorHAnsi" w:cstheme="minorHAnsi"/>
          <w:color w:val="auto"/>
        </w:rPr>
      </w:pPr>
    </w:p>
    <w:p w14:paraId="335F5079" w14:textId="294C6758"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Pregled utvrđenog prisustva PFOA i PFHxS u protivpožarnim pjenama koje koriste specijalizovane vatrogasne službe – uključujući one koje djeluju u morskim lukama, na aerodromima i u industrijskim kompleksima – prikazan je u tabeli </w:t>
      </w:r>
      <w:r w:rsidR="00626D74" w:rsidRPr="00C86111">
        <w:rPr>
          <w:rFonts w:asciiTheme="minorHAnsi" w:eastAsia="Times New Roman" w:hAnsiTheme="minorHAnsi" w:cstheme="minorHAnsi"/>
          <w:color w:val="auto"/>
          <w:lang w:eastAsia="en-GB"/>
        </w:rPr>
        <w:t>84</w:t>
      </w:r>
      <w:r w:rsidRPr="00C86111">
        <w:rPr>
          <w:rFonts w:asciiTheme="minorHAnsi" w:eastAsia="Times New Roman" w:hAnsiTheme="minorHAnsi" w:cstheme="minorHAnsi"/>
          <w:color w:val="auto"/>
          <w:lang w:eastAsia="en-GB"/>
        </w:rPr>
        <w:t>.</w:t>
      </w:r>
    </w:p>
    <w:p w14:paraId="59C6B5B2" w14:textId="77777777" w:rsidR="00626D74" w:rsidRPr="00C86111" w:rsidRDefault="00626D74" w:rsidP="002B20A9">
      <w:pPr>
        <w:jc w:val="both"/>
        <w:rPr>
          <w:rFonts w:asciiTheme="minorHAnsi" w:eastAsia="Times New Roman" w:hAnsiTheme="minorHAnsi" w:cstheme="minorHAnsi"/>
          <w:color w:val="auto"/>
          <w:lang w:eastAsia="en-GB"/>
        </w:rPr>
      </w:pPr>
    </w:p>
    <w:p w14:paraId="70BFD7DC" w14:textId="3CA27E14"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b/>
          <w:bCs/>
          <w:color w:val="auto"/>
          <w:lang w:eastAsia="en-GB"/>
        </w:rPr>
        <w:t xml:space="preserve">Tabela </w:t>
      </w:r>
      <w:r w:rsidR="00626D74" w:rsidRPr="00C86111">
        <w:rPr>
          <w:rFonts w:asciiTheme="minorHAnsi" w:eastAsia="Times New Roman" w:hAnsiTheme="minorHAnsi" w:cstheme="minorHAnsi"/>
          <w:b/>
          <w:bCs/>
          <w:color w:val="auto"/>
          <w:lang w:eastAsia="en-GB"/>
        </w:rPr>
        <w:t>84</w:t>
      </w:r>
      <w:r w:rsidRPr="00C86111">
        <w:rPr>
          <w:rFonts w:asciiTheme="minorHAnsi" w:eastAsia="Times New Roman" w:hAnsiTheme="minorHAnsi" w:cstheme="minorHAnsi"/>
          <w:b/>
          <w:bCs/>
          <w:color w:val="auto"/>
          <w:lang w:eastAsia="en-GB"/>
        </w:rPr>
        <w:t>:</w:t>
      </w:r>
      <w:r w:rsidRPr="00C86111">
        <w:rPr>
          <w:rFonts w:asciiTheme="minorHAnsi" w:eastAsia="Times New Roman" w:hAnsiTheme="minorHAnsi" w:cstheme="minorHAnsi"/>
          <w:color w:val="auto"/>
          <w:lang w:eastAsia="en-GB"/>
        </w:rPr>
        <w:t xml:space="preserve"> Rezultati prisustva PFOA i PFHxS u protivpožarnim pjenama specijalizovanih vatrogasnih službi (Luke, Aerodromi, Industrija).</w:t>
      </w:r>
    </w:p>
    <w:p w14:paraId="6069CC0C" w14:textId="77777777" w:rsidR="00626D74" w:rsidRPr="00C86111" w:rsidRDefault="00626D74" w:rsidP="002B20A9">
      <w:pPr>
        <w:jc w:val="both"/>
        <w:rPr>
          <w:rFonts w:asciiTheme="minorHAnsi" w:eastAsia="Times New Roman" w:hAnsiTheme="minorHAnsi" w:cstheme="minorHAnsi"/>
          <w:color w:val="auto"/>
          <w:lang w:eastAsia="en-GB"/>
        </w:rPr>
      </w:pPr>
    </w:p>
    <w:tbl>
      <w:tblPr>
        <w:tblStyle w:val="GridTable5Dark-Accent6"/>
        <w:tblW w:w="9540" w:type="dxa"/>
        <w:jc w:val="center"/>
        <w:tblLook w:val="04A0" w:firstRow="1" w:lastRow="0" w:firstColumn="1" w:lastColumn="0" w:noHBand="0" w:noVBand="1"/>
      </w:tblPr>
      <w:tblGrid>
        <w:gridCol w:w="1967"/>
        <w:gridCol w:w="1167"/>
        <w:gridCol w:w="2538"/>
        <w:gridCol w:w="1254"/>
        <w:gridCol w:w="2614"/>
      </w:tblGrid>
      <w:tr w:rsidR="002B20A9" w:rsidRPr="00C86111" w14:paraId="77E0CE3F" w14:textId="77777777" w:rsidTr="00E71878">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1967" w:type="dxa"/>
            <w:vAlign w:val="center"/>
            <w:hideMark/>
          </w:tcPr>
          <w:p w14:paraId="5C0CC5AF" w14:textId="77777777" w:rsidR="002B20A9" w:rsidRPr="00C86111" w:rsidRDefault="002B20A9" w:rsidP="002A416E">
            <w:pPr>
              <w:jc w:val="center"/>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Lokacija / Sektor</w:t>
            </w:r>
          </w:p>
        </w:tc>
        <w:tc>
          <w:tcPr>
            <w:tcW w:w="1167" w:type="dxa"/>
            <w:vAlign w:val="center"/>
            <w:hideMark/>
          </w:tcPr>
          <w:p w14:paraId="7108A2D6"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Prisustvo PFOA</w:t>
            </w:r>
          </w:p>
        </w:tc>
        <w:tc>
          <w:tcPr>
            <w:tcW w:w="2538" w:type="dxa"/>
            <w:vAlign w:val="center"/>
            <w:hideMark/>
          </w:tcPr>
          <w:p w14:paraId="735BEAE5"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Napomena</w:t>
            </w:r>
          </w:p>
        </w:tc>
        <w:tc>
          <w:tcPr>
            <w:tcW w:w="1254" w:type="dxa"/>
            <w:vAlign w:val="center"/>
          </w:tcPr>
          <w:p w14:paraId="284F3679" w14:textId="32B4F672"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Prisustvo PFHxS</w:t>
            </w:r>
          </w:p>
        </w:tc>
        <w:tc>
          <w:tcPr>
            <w:tcW w:w="2614" w:type="dxa"/>
            <w:vAlign w:val="center"/>
          </w:tcPr>
          <w:p w14:paraId="01E98D5D"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Napomena</w:t>
            </w:r>
          </w:p>
        </w:tc>
      </w:tr>
      <w:tr w:rsidR="002B20A9" w:rsidRPr="00C86111" w14:paraId="7147E42F" w14:textId="77777777" w:rsidTr="00E71878">
        <w:trPr>
          <w:cnfStyle w:val="000000100000" w:firstRow="0" w:lastRow="0" w:firstColumn="0" w:lastColumn="0" w:oddVBand="0" w:evenVBand="0" w:oddHBand="1" w:evenHBand="0" w:firstRowFirstColumn="0" w:firstRowLastColumn="0" w:lastRowFirstColumn="0" w:lastRowLastColumn="0"/>
          <w:trHeight w:hRule="exact" w:val="919"/>
          <w:jc w:val="center"/>
        </w:trPr>
        <w:tc>
          <w:tcPr>
            <w:cnfStyle w:val="001000000000" w:firstRow="0" w:lastRow="0" w:firstColumn="1" w:lastColumn="0" w:oddVBand="0" w:evenVBand="0" w:oddHBand="0" w:evenHBand="0" w:firstRowFirstColumn="0" w:firstRowLastColumn="0" w:lastRowFirstColumn="0" w:lastRowLastColumn="0"/>
            <w:tcW w:w="1967" w:type="dxa"/>
            <w:vMerge w:val="restart"/>
            <w:vAlign w:val="center"/>
            <w:hideMark/>
          </w:tcPr>
          <w:p w14:paraId="06554034" w14:textId="635F4F0D"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Aerodrom Tivat</w:t>
            </w:r>
          </w:p>
        </w:tc>
        <w:tc>
          <w:tcPr>
            <w:tcW w:w="1167" w:type="dxa"/>
            <w:vAlign w:val="center"/>
            <w:hideMark/>
          </w:tcPr>
          <w:p w14:paraId="0F8CB1E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2538" w:type="dxa"/>
            <w:vAlign w:val="center"/>
            <w:hideMark/>
          </w:tcPr>
          <w:p w14:paraId="2392C34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prelazi propisano regulatorno ograničenje</w:t>
            </w:r>
          </w:p>
        </w:tc>
        <w:tc>
          <w:tcPr>
            <w:tcW w:w="1254" w:type="dxa"/>
            <w:vAlign w:val="center"/>
          </w:tcPr>
          <w:p w14:paraId="505AC0D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2614" w:type="dxa"/>
            <w:vAlign w:val="center"/>
          </w:tcPr>
          <w:p w14:paraId="44A461C7"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prelazi propisano regulatorno ograničenje</w:t>
            </w:r>
          </w:p>
        </w:tc>
      </w:tr>
      <w:tr w:rsidR="002B20A9" w:rsidRPr="00C86111" w14:paraId="27E13294" w14:textId="77777777" w:rsidTr="00E71878">
        <w:trPr>
          <w:trHeight w:hRule="exact" w:val="721"/>
          <w:jc w:val="center"/>
        </w:trPr>
        <w:tc>
          <w:tcPr>
            <w:cnfStyle w:val="001000000000" w:firstRow="0" w:lastRow="0" w:firstColumn="1" w:lastColumn="0" w:oddVBand="0" w:evenVBand="0" w:oddHBand="0" w:evenHBand="0" w:firstRowFirstColumn="0" w:firstRowLastColumn="0" w:lastRowFirstColumn="0" w:lastRowLastColumn="0"/>
            <w:tcW w:w="1967" w:type="dxa"/>
            <w:vMerge/>
            <w:vAlign w:val="center"/>
          </w:tcPr>
          <w:p w14:paraId="6E09D78E" w14:textId="77777777" w:rsidR="002B20A9" w:rsidRPr="00C86111" w:rsidRDefault="002B20A9" w:rsidP="002A416E">
            <w:pPr>
              <w:jc w:val="center"/>
              <w:rPr>
                <w:rFonts w:asciiTheme="minorHAnsi" w:hAnsiTheme="minorHAnsi" w:cstheme="minorHAnsi"/>
                <w:b w:val="0"/>
                <w:bCs w:val="0"/>
                <w:color w:val="auto"/>
                <w:sz w:val="20"/>
                <w:szCs w:val="20"/>
              </w:rPr>
            </w:pPr>
          </w:p>
        </w:tc>
        <w:tc>
          <w:tcPr>
            <w:tcW w:w="1167" w:type="dxa"/>
            <w:vAlign w:val="center"/>
          </w:tcPr>
          <w:p w14:paraId="0A9F65C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38" w:type="dxa"/>
            <w:vAlign w:val="center"/>
          </w:tcPr>
          <w:p w14:paraId="2010ABF5"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4" w:type="dxa"/>
            <w:vAlign w:val="center"/>
          </w:tcPr>
          <w:p w14:paraId="3AA1AAF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4" w:type="dxa"/>
            <w:vAlign w:val="center"/>
          </w:tcPr>
          <w:p w14:paraId="6728EB8B"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549A427C" w14:textId="77777777" w:rsidTr="00E71878">
        <w:trPr>
          <w:cnfStyle w:val="000000100000" w:firstRow="0" w:lastRow="0" w:firstColumn="0" w:lastColumn="0" w:oddVBand="0" w:evenVBand="0" w:oddHBand="1" w:evenHBand="0" w:firstRowFirstColumn="0" w:firstRowLastColumn="0" w:lastRowFirstColumn="0" w:lastRowLastColumn="0"/>
          <w:trHeight w:hRule="exact" w:val="811"/>
          <w:jc w:val="center"/>
        </w:trPr>
        <w:tc>
          <w:tcPr>
            <w:cnfStyle w:val="001000000000" w:firstRow="0" w:lastRow="0" w:firstColumn="1" w:lastColumn="0" w:oddVBand="0" w:evenVBand="0" w:oddHBand="0" w:evenHBand="0" w:firstRowFirstColumn="0" w:firstRowLastColumn="0" w:lastRowFirstColumn="0" w:lastRowLastColumn="0"/>
            <w:tcW w:w="1967" w:type="dxa"/>
            <w:vMerge w:val="restart"/>
            <w:vAlign w:val="center"/>
            <w:hideMark/>
          </w:tcPr>
          <w:p w14:paraId="055E0DA5"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lastRenderedPageBreak/>
              <w:t>Aerodrom Podgorica</w:t>
            </w:r>
          </w:p>
        </w:tc>
        <w:tc>
          <w:tcPr>
            <w:tcW w:w="1167" w:type="dxa"/>
            <w:vAlign w:val="center"/>
            <w:hideMark/>
          </w:tcPr>
          <w:p w14:paraId="043E171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Ne</w:t>
            </w:r>
          </w:p>
        </w:tc>
        <w:tc>
          <w:tcPr>
            <w:tcW w:w="2538" w:type="dxa"/>
            <w:vAlign w:val="center"/>
            <w:hideMark/>
          </w:tcPr>
          <w:p w14:paraId="5D07630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4" w:type="dxa"/>
            <w:vAlign w:val="center"/>
          </w:tcPr>
          <w:p w14:paraId="7F6FEA4C"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4" w:type="dxa"/>
            <w:vAlign w:val="center"/>
          </w:tcPr>
          <w:p w14:paraId="037C5A2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7C17179E" w14:textId="77777777" w:rsidTr="00E71878">
        <w:trPr>
          <w:trHeight w:hRule="exact" w:val="901"/>
          <w:jc w:val="center"/>
        </w:trPr>
        <w:tc>
          <w:tcPr>
            <w:cnfStyle w:val="001000000000" w:firstRow="0" w:lastRow="0" w:firstColumn="1" w:lastColumn="0" w:oddVBand="0" w:evenVBand="0" w:oddHBand="0" w:evenHBand="0" w:firstRowFirstColumn="0" w:firstRowLastColumn="0" w:lastRowFirstColumn="0" w:lastRowLastColumn="0"/>
            <w:tcW w:w="1967" w:type="dxa"/>
            <w:vMerge/>
            <w:vAlign w:val="center"/>
          </w:tcPr>
          <w:p w14:paraId="3CF5661D" w14:textId="77777777" w:rsidR="002B20A9" w:rsidRPr="00C86111" w:rsidRDefault="002B20A9" w:rsidP="002A416E">
            <w:pPr>
              <w:jc w:val="center"/>
              <w:rPr>
                <w:rFonts w:asciiTheme="minorHAnsi" w:hAnsiTheme="minorHAnsi" w:cstheme="minorHAnsi"/>
                <w:b w:val="0"/>
                <w:bCs w:val="0"/>
                <w:color w:val="auto"/>
                <w:sz w:val="20"/>
                <w:szCs w:val="20"/>
              </w:rPr>
            </w:pPr>
          </w:p>
        </w:tc>
        <w:tc>
          <w:tcPr>
            <w:tcW w:w="1167" w:type="dxa"/>
            <w:vAlign w:val="center"/>
          </w:tcPr>
          <w:p w14:paraId="2D5B42EC"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38" w:type="dxa"/>
            <w:vAlign w:val="center"/>
          </w:tcPr>
          <w:p w14:paraId="21233027"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4" w:type="dxa"/>
            <w:vAlign w:val="center"/>
          </w:tcPr>
          <w:p w14:paraId="5DFB088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Da</w:t>
            </w:r>
          </w:p>
        </w:tc>
        <w:tc>
          <w:tcPr>
            <w:tcW w:w="2614" w:type="dxa"/>
            <w:vAlign w:val="center"/>
          </w:tcPr>
          <w:p w14:paraId="02832460"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prelazi propisano regulatorno ograničenje</w:t>
            </w:r>
          </w:p>
        </w:tc>
      </w:tr>
      <w:tr w:rsidR="002B20A9" w:rsidRPr="00C86111" w14:paraId="1C80C213" w14:textId="77777777" w:rsidTr="00E71878">
        <w:trPr>
          <w:cnfStyle w:val="000000100000" w:firstRow="0" w:lastRow="0" w:firstColumn="0" w:lastColumn="0" w:oddVBand="0" w:evenVBand="0" w:oddHBand="1" w:evenHBand="0" w:firstRowFirstColumn="0" w:firstRowLastColumn="0" w:lastRowFirstColumn="0" w:lastRowLastColumn="0"/>
          <w:trHeight w:hRule="exact" w:val="811"/>
          <w:jc w:val="center"/>
        </w:trPr>
        <w:tc>
          <w:tcPr>
            <w:cnfStyle w:val="001000000000" w:firstRow="0" w:lastRow="0" w:firstColumn="1" w:lastColumn="0" w:oddVBand="0" w:evenVBand="0" w:oddHBand="0" w:evenHBand="0" w:firstRowFirstColumn="0" w:firstRowLastColumn="0" w:lastRowFirstColumn="0" w:lastRowLastColumn="0"/>
            <w:tcW w:w="1967" w:type="dxa"/>
            <w:vAlign w:val="center"/>
            <w:hideMark/>
          </w:tcPr>
          <w:p w14:paraId="1CF1F0B4"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Jugopetrol (Bar)</w:t>
            </w:r>
          </w:p>
        </w:tc>
        <w:tc>
          <w:tcPr>
            <w:tcW w:w="1167" w:type="dxa"/>
            <w:vAlign w:val="center"/>
            <w:hideMark/>
          </w:tcPr>
          <w:p w14:paraId="08ABEDF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38" w:type="dxa"/>
            <w:vAlign w:val="center"/>
            <w:hideMark/>
          </w:tcPr>
          <w:p w14:paraId="46D464D5"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4" w:type="dxa"/>
            <w:vAlign w:val="center"/>
          </w:tcPr>
          <w:p w14:paraId="5D2D2C4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4" w:type="dxa"/>
            <w:vAlign w:val="center"/>
          </w:tcPr>
          <w:p w14:paraId="29076A2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4D55C129" w14:textId="77777777" w:rsidTr="00E71878">
        <w:trPr>
          <w:trHeight w:hRule="exact" w:val="721"/>
          <w:jc w:val="center"/>
        </w:trPr>
        <w:tc>
          <w:tcPr>
            <w:cnfStyle w:val="001000000000" w:firstRow="0" w:lastRow="0" w:firstColumn="1" w:lastColumn="0" w:oddVBand="0" w:evenVBand="0" w:oddHBand="0" w:evenHBand="0" w:firstRowFirstColumn="0" w:firstRowLastColumn="0" w:lastRowFirstColumn="0" w:lastRowLastColumn="0"/>
            <w:tcW w:w="1967" w:type="dxa"/>
            <w:vAlign w:val="center"/>
            <w:hideMark/>
          </w:tcPr>
          <w:p w14:paraId="12A20D33"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Luka Bar</w:t>
            </w:r>
          </w:p>
        </w:tc>
        <w:tc>
          <w:tcPr>
            <w:tcW w:w="1167" w:type="dxa"/>
            <w:vAlign w:val="center"/>
            <w:hideMark/>
          </w:tcPr>
          <w:p w14:paraId="6DE11D2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38" w:type="dxa"/>
            <w:vAlign w:val="center"/>
            <w:hideMark/>
          </w:tcPr>
          <w:p w14:paraId="7027D015"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4" w:type="dxa"/>
            <w:vAlign w:val="center"/>
          </w:tcPr>
          <w:p w14:paraId="4266A5F2"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4" w:type="dxa"/>
            <w:vAlign w:val="center"/>
          </w:tcPr>
          <w:p w14:paraId="76F9198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11A25D63" w14:textId="77777777" w:rsidTr="00E71878">
        <w:trPr>
          <w:cnfStyle w:val="000000100000" w:firstRow="0" w:lastRow="0" w:firstColumn="0" w:lastColumn="0" w:oddVBand="0" w:evenVBand="0" w:oddHBand="1" w:evenHBand="0" w:firstRowFirstColumn="0" w:firstRowLastColumn="0" w:lastRowFirstColumn="0" w:lastRowLastColumn="0"/>
          <w:trHeight w:hRule="exact" w:val="802"/>
          <w:jc w:val="center"/>
        </w:trPr>
        <w:tc>
          <w:tcPr>
            <w:cnfStyle w:val="001000000000" w:firstRow="0" w:lastRow="0" w:firstColumn="1" w:lastColumn="0" w:oddVBand="0" w:evenVBand="0" w:oddHBand="0" w:evenHBand="0" w:firstRowFirstColumn="0" w:firstRowLastColumn="0" w:lastRowFirstColumn="0" w:lastRowLastColumn="0"/>
            <w:tcW w:w="1967" w:type="dxa"/>
            <w:vAlign w:val="center"/>
            <w:hideMark/>
          </w:tcPr>
          <w:p w14:paraId="6DE02FD0"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Luštica Bay Marina</w:t>
            </w:r>
          </w:p>
        </w:tc>
        <w:tc>
          <w:tcPr>
            <w:tcW w:w="1167" w:type="dxa"/>
            <w:vAlign w:val="center"/>
            <w:hideMark/>
          </w:tcPr>
          <w:p w14:paraId="4C972A4F"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38" w:type="dxa"/>
            <w:vAlign w:val="center"/>
            <w:hideMark/>
          </w:tcPr>
          <w:p w14:paraId="5E3EFA5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4" w:type="dxa"/>
            <w:vAlign w:val="center"/>
          </w:tcPr>
          <w:p w14:paraId="31165C5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4" w:type="dxa"/>
            <w:vAlign w:val="center"/>
          </w:tcPr>
          <w:p w14:paraId="41E1E1D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r w:rsidR="002B20A9" w:rsidRPr="00C86111" w14:paraId="3195C381" w14:textId="77777777" w:rsidTr="00E71878">
        <w:trPr>
          <w:trHeight w:hRule="exact" w:val="910"/>
          <w:jc w:val="center"/>
        </w:trPr>
        <w:tc>
          <w:tcPr>
            <w:cnfStyle w:val="001000000000" w:firstRow="0" w:lastRow="0" w:firstColumn="1" w:lastColumn="0" w:oddVBand="0" w:evenVBand="0" w:oddHBand="0" w:evenHBand="0" w:firstRowFirstColumn="0" w:firstRowLastColumn="0" w:lastRowFirstColumn="0" w:lastRowLastColumn="0"/>
            <w:tcW w:w="1967" w:type="dxa"/>
            <w:vAlign w:val="center"/>
            <w:hideMark/>
          </w:tcPr>
          <w:p w14:paraId="1CE555BD"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Monteput (Autoput + Tunel)</w:t>
            </w:r>
          </w:p>
        </w:tc>
        <w:tc>
          <w:tcPr>
            <w:tcW w:w="1167" w:type="dxa"/>
            <w:vAlign w:val="center"/>
            <w:hideMark/>
          </w:tcPr>
          <w:p w14:paraId="2517050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538" w:type="dxa"/>
            <w:vAlign w:val="center"/>
            <w:hideMark/>
          </w:tcPr>
          <w:p w14:paraId="7F28E7C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PFOA je u okviru regulatornog ograničenja</w:t>
            </w:r>
          </w:p>
        </w:tc>
        <w:tc>
          <w:tcPr>
            <w:tcW w:w="1254" w:type="dxa"/>
            <w:vAlign w:val="center"/>
          </w:tcPr>
          <w:p w14:paraId="5F50E8B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Ne</w:t>
            </w:r>
          </w:p>
        </w:tc>
        <w:tc>
          <w:tcPr>
            <w:tcW w:w="2614" w:type="dxa"/>
            <w:vAlign w:val="center"/>
          </w:tcPr>
          <w:p w14:paraId="3DFD1830"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Vrijednost PFHxS je u okviru regulatornog ograničenja</w:t>
            </w:r>
          </w:p>
        </w:tc>
      </w:tr>
    </w:tbl>
    <w:p w14:paraId="3562884B" w14:textId="62D2A89B"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Pregled ukupnog broja uzoraka protivpožarnih pjena koji su bili predmet hemijske analize, zajedno sa uzorcima u kojima je potvrđeno prisustvo PFOA i PFHxS, prikazan je u tabeli </w:t>
      </w:r>
      <w:r w:rsidR="00626D74" w:rsidRPr="00C86111">
        <w:rPr>
          <w:rFonts w:asciiTheme="minorHAnsi" w:eastAsia="Times New Roman" w:hAnsiTheme="minorHAnsi" w:cstheme="minorHAnsi"/>
          <w:color w:val="auto"/>
          <w:lang w:eastAsia="en-GB"/>
        </w:rPr>
        <w:t>85</w:t>
      </w:r>
      <w:r w:rsidRPr="00C86111">
        <w:rPr>
          <w:rFonts w:asciiTheme="minorHAnsi" w:eastAsia="Times New Roman" w:hAnsiTheme="minorHAnsi" w:cstheme="minorHAnsi"/>
          <w:color w:val="auto"/>
          <w:lang w:eastAsia="en-GB"/>
        </w:rPr>
        <w:t>.</w:t>
      </w:r>
    </w:p>
    <w:p w14:paraId="20137499" w14:textId="77777777" w:rsidR="002B20A9" w:rsidRPr="00C86111" w:rsidRDefault="002B20A9" w:rsidP="002B20A9">
      <w:pPr>
        <w:jc w:val="both"/>
        <w:rPr>
          <w:rFonts w:asciiTheme="minorHAnsi" w:eastAsia="Times New Roman" w:hAnsiTheme="minorHAnsi" w:cstheme="minorHAnsi"/>
          <w:color w:val="auto"/>
          <w:lang w:eastAsia="en-GB"/>
        </w:rPr>
      </w:pPr>
    </w:p>
    <w:p w14:paraId="256CD2C6" w14:textId="6A6968F3"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b/>
          <w:bCs/>
          <w:color w:val="auto"/>
          <w:lang w:eastAsia="en-GB"/>
        </w:rPr>
        <w:t xml:space="preserve">Tabela </w:t>
      </w:r>
      <w:r w:rsidR="00626D74" w:rsidRPr="00C86111">
        <w:rPr>
          <w:rFonts w:asciiTheme="minorHAnsi" w:eastAsia="Times New Roman" w:hAnsiTheme="minorHAnsi" w:cstheme="minorHAnsi"/>
          <w:b/>
          <w:bCs/>
          <w:color w:val="auto"/>
          <w:lang w:eastAsia="en-GB"/>
        </w:rPr>
        <w:t>85</w:t>
      </w:r>
      <w:r w:rsidRPr="00C86111">
        <w:rPr>
          <w:rFonts w:asciiTheme="minorHAnsi" w:eastAsia="Times New Roman" w:hAnsiTheme="minorHAnsi" w:cstheme="minorHAnsi"/>
          <w:b/>
          <w:bCs/>
          <w:color w:val="auto"/>
          <w:lang w:eastAsia="en-GB"/>
        </w:rPr>
        <w:t>:</w:t>
      </w:r>
      <w:r w:rsidRPr="00C86111">
        <w:rPr>
          <w:rFonts w:asciiTheme="minorHAnsi" w:eastAsia="Times New Roman" w:hAnsiTheme="minorHAnsi" w:cstheme="minorHAnsi"/>
          <w:color w:val="auto"/>
          <w:lang w:eastAsia="en-GB"/>
        </w:rPr>
        <w:t xml:space="preserve"> Pregled broja analiziranih uzoraka i uzoraka sa potvrđenim prisustvom PFOA i PFHxS</w:t>
      </w:r>
    </w:p>
    <w:tbl>
      <w:tblPr>
        <w:tblStyle w:val="GridTable5Dark-Accent6"/>
        <w:tblW w:w="9535" w:type="dxa"/>
        <w:tblLayout w:type="fixed"/>
        <w:tblLook w:val="04A0" w:firstRow="1" w:lastRow="0" w:firstColumn="1" w:lastColumn="0" w:noHBand="0" w:noVBand="1"/>
      </w:tblPr>
      <w:tblGrid>
        <w:gridCol w:w="4027"/>
        <w:gridCol w:w="2499"/>
        <w:gridCol w:w="3009"/>
      </w:tblGrid>
      <w:tr w:rsidR="002B20A9" w:rsidRPr="00C86111" w14:paraId="64113BC5" w14:textId="77777777" w:rsidTr="002A416E">
        <w:trPr>
          <w:cnfStyle w:val="100000000000" w:firstRow="1" w:lastRow="0" w:firstColumn="0" w:lastColumn="0" w:oddVBand="0" w:evenVBand="0" w:oddHBand="0"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4027" w:type="dxa"/>
            <w:noWrap/>
            <w:vAlign w:val="center"/>
          </w:tcPr>
          <w:p w14:paraId="2B3E0AA5" w14:textId="77777777" w:rsidR="002B20A9" w:rsidRPr="00C86111" w:rsidRDefault="002B20A9" w:rsidP="002A416E">
            <w:pPr>
              <w:jc w:val="center"/>
              <w:rPr>
                <w:rFonts w:asciiTheme="minorHAnsi" w:hAnsiTheme="minorHAnsi" w:cstheme="minorHAnsi"/>
                <w:color w:val="auto"/>
                <w:sz w:val="20"/>
                <w:szCs w:val="20"/>
              </w:rPr>
            </w:pPr>
          </w:p>
        </w:tc>
        <w:tc>
          <w:tcPr>
            <w:tcW w:w="2499" w:type="dxa"/>
            <w:noWrap/>
            <w:vAlign w:val="center"/>
          </w:tcPr>
          <w:p w14:paraId="062B2201"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PFOA</w:t>
            </w:r>
          </w:p>
        </w:tc>
        <w:tc>
          <w:tcPr>
            <w:tcW w:w="3009" w:type="dxa"/>
            <w:vAlign w:val="center"/>
          </w:tcPr>
          <w:p w14:paraId="3FC42D78"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PFHxS</w:t>
            </w:r>
          </w:p>
        </w:tc>
      </w:tr>
      <w:tr w:rsidR="002B20A9" w:rsidRPr="00C86111" w14:paraId="453FA000" w14:textId="77777777" w:rsidTr="002A416E">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027" w:type="dxa"/>
            <w:noWrap/>
            <w:vAlign w:val="center"/>
          </w:tcPr>
          <w:p w14:paraId="042ED2FB"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Analizirani uzorci</w:t>
            </w:r>
          </w:p>
        </w:tc>
        <w:tc>
          <w:tcPr>
            <w:tcW w:w="2499" w:type="dxa"/>
            <w:noWrap/>
            <w:vAlign w:val="center"/>
          </w:tcPr>
          <w:p w14:paraId="1360959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w:t>
            </w:r>
          </w:p>
        </w:tc>
        <w:tc>
          <w:tcPr>
            <w:tcW w:w="3009" w:type="dxa"/>
            <w:vAlign w:val="center"/>
          </w:tcPr>
          <w:p w14:paraId="7B569FD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41</w:t>
            </w:r>
          </w:p>
        </w:tc>
      </w:tr>
      <w:tr w:rsidR="002B20A9" w:rsidRPr="00C86111" w14:paraId="6581B872" w14:textId="77777777" w:rsidTr="002A416E">
        <w:trPr>
          <w:trHeight w:hRule="exact" w:val="432"/>
        </w:trPr>
        <w:tc>
          <w:tcPr>
            <w:cnfStyle w:val="001000000000" w:firstRow="0" w:lastRow="0" w:firstColumn="1" w:lastColumn="0" w:oddVBand="0" w:evenVBand="0" w:oddHBand="0" w:evenHBand="0" w:firstRowFirstColumn="0" w:firstRowLastColumn="0" w:lastRowFirstColumn="0" w:lastRowLastColumn="0"/>
            <w:tcW w:w="4027" w:type="dxa"/>
            <w:noWrap/>
            <w:vAlign w:val="center"/>
          </w:tcPr>
          <w:p w14:paraId="34E9FB30"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Uzorci sa prisustvom PFOA/PFHxS</w:t>
            </w:r>
          </w:p>
        </w:tc>
        <w:tc>
          <w:tcPr>
            <w:tcW w:w="2499" w:type="dxa"/>
            <w:noWrap/>
            <w:vAlign w:val="center"/>
          </w:tcPr>
          <w:p w14:paraId="0F563C7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13</w:t>
            </w:r>
          </w:p>
        </w:tc>
        <w:tc>
          <w:tcPr>
            <w:tcW w:w="3009" w:type="dxa"/>
            <w:vAlign w:val="center"/>
          </w:tcPr>
          <w:p w14:paraId="7A59E3B6"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r>
      <w:tr w:rsidR="002B20A9" w:rsidRPr="00C86111" w14:paraId="488723BD" w14:textId="77777777" w:rsidTr="002A416E">
        <w:trPr>
          <w:cnfStyle w:val="000000100000" w:firstRow="0" w:lastRow="0" w:firstColumn="0" w:lastColumn="0" w:oddVBand="0" w:evenVBand="0" w:oddHBand="1" w:evenHBand="0" w:firstRowFirstColumn="0" w:firstRowLastColumn="0" w:lastRowFirstColumn="0" w:lastRowLastColumn="0"/>
          <w:trHeight w:hRule="exact" w:val="657"/>
        </w:trPr>
        <w:tc>
          <w:tcPr>
            <w:cnfStyle w:val="001000000000" w:firstRow="0" w:lastRow="0" w:firstColumn="1" w:lastColumn="0" w:oddVBand="0" w:evenVBand="0" w:oddHBand="0" w:evenHBand="0" w:firstRowFirstColumn="0" w:firstRowLastColumn="0" w:lastRowFirstColumn="0" w:lastRowLastColumn="0"/>
            <w:tcW w:w="4027" w:type="dxa"/>
            <w:noWrap/>
            <w:vAlign w:val="center"/>
          </w:tcPr>
          <w:p w14:paraId="3C8DED04"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Uzorci koji prelaze propisano regulatorno ograničenje</w:t>
            </w:r>
          </w:p>
          <w:p w14:paraId="2BCA991B" w14:textId="77777777" w:rsidR="002B20A9" w:rsidRPr="00C86111" w:rsidRDefault="002B20A9" w:rsidP="002A416E">
            <w:pPr>
              <w:jc w:val="center"/>
              <w:rPr>
                <w:rFonts w:asciiTheme="minorHAnsi" w:hAnsiTheme="minorHAnsi" w:cstheme="minorHAnsi"/>
                <w:color w:val="auto"/>
                <w:sz w:val="20"/>
                <w:szCs w:val="20"/>
              </w:rPr>
            </w:pPr>
          </w:p>
        </w:tc>
        <w:tc>
          <w:tcPr>
            <w:tcW w:w="2499" w:type="dxa"/>
            <w:noWrap/>
            <w:vAlign w:val="center"/>
          </w:tcPr>
          <w:p w14:paraId="166074C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c>
          <w:tcPr>
            <w:tcW w:w="3009" w:type="dxa"/>
            <w:vAlign w:val="center"/>
          </w:tcPr>
          <w:p w14:paraId="0D6DCE1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r>
    </w:tbl>
    <w:p w14:paraId="0372E108" w14:textId="77777777" w:rsidR="002B20A9" w:rsidRPr="00C86111" w:rsidRDefault="002B20A9" w:rsidP="002B20A9">
      <w:pPr>
        <w:jc w:val="both"/>
        <w:rPr>
          <w:rFonts w:asciiTheme="minorHAnsi" w:hAnsiTheme="minorHAnsi" w:cstheme="minorHAnsi"/>
          <w:color w:val="auto"/>
        </w:rPr>
      </w:pPr>
    </w:p>
    <w:p w14:paraId="692F9B70" w14:textId="49F68D8F"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Tabela </w:t>
      </w:r>
      <w:r w:rsidR="00626D74" w:rsidRPr="00C86111">
        <w:rPr>
          <w:rFonts w:asciiTheme="minorHAnsi" w:eastAsia="Times New Roman" w:hAnsiTheme="minorHAnsi" w:cstheme="minorHAnsi"/>
          <w:color w:val="auto"/>
          <w:lang w:eastAsia="en-GB"/>
        </w:rPr>
        <w:t>86.</w:t>
      </w:r>
      <w:r w:rsidRPr="00C86111">
        <w:rPr>
          <w:rFonts w:asciiTheme="minorHAnsi" w:eastAsia="Times New Roman" w:hAnsiTheme="minorHAnsi" w:cstheme="minorHAnsi"/>
          <w:color w:val="auto"/>
          <w:lang w:eastAsia="en-GB"/>
        </w:rPr>
        <w:t xml:space="preserve"> daje prikaz sadržaja PFOA i PFHxS utvrđenog u uzorcima protivpožarnih pjena prikupljenim iz različitih vatrogasnih jedinica. Prikazani podaci pružaju uvid u nivoe ovih postojanih organskih zagađujućih materija prisutnih u formulacijama pjena koje se trenutno skladište ili koriste u različitim operativnim jedinicama.</w:t>
      </w:r>
    </w:p>
    <w:p w14:paraId="626B05FB" w14:textId="77777777" w:rsidR="002B20A9" w:rsidRPr="00C86111" w:rsidRDefault="002B20A9" w:rsidP="002B20A9">
      <w:pPr>
        <w:jc w:val="both"/>
        <w:rPr>
          <w:rFonts w:asciiTheme="minorHAnsi" w:eastAsia="Times New Roman" w:hAnsiTheme="minorHAnsi" w:cstheme="minorHAnsi"/>
          <w:color w:val="auto"/>
          <w:lang w:eastAsia="en-GB"/>
        </w:rPr>
      </w:pPr>
    </w:p>
    <w:p w14:paraId="3ED15669" w14:textId="2731C1C5"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b/>
          <w:bCs/>
          <w:color w:val="auto"/>
          <w:lang w:eastAsia="en-GB"/>
        </w:rPr>
        <w:t xml:space="preserve">Tabela </w:t>
      </w:r>
      <w:r w:rsidR="00626D74" w:rsidRPr="00C86111">
        <w:rPr>
          <w:rFonts w:asciiTheme="minorHAnsi" w:eastAsia="Times New Roman" w:hAnsiTheme="minorHAnsi" w:cstheme="minorHAnsi"/>
          <w:b/>
          <w:bCs/>
          <w:color w:val="auto"/>
          <w:lang w:eastAsia="en-GB"/>
        </w:rPr>
        <w:t>86</w:t>
      </w:r>
      <w:r w:rsidRPr="00C86111">
        <w:rPr>
          <w:rFonts w:asciiTheme="minorHAnsi" w:eastAsia="Times New Roman" w:hAnsiTheme="minorHAnsi" w:cstheme="minorHAnsi"/>
          <w:b/>
          <w:bCs/>
          <w:color w:val="auto"/>
          <w:lang w:eastAsia="en-GB"/>
        </w:rPr>
        <w:t>:</w:t>
      </w:r>
      <w:r w:rsidRPr="00C86111">
        <w:rPr>
          <w:rFonts w:asciiTheme="minorHAnsi" w:eastAsia="Times New Roman" w:hAnsiTheme="minorHAnsi" w:cstheme="minorHAnsi"/>
          <w:color w:val="auto"/>
          <w:lang w:eastAsia="en-GB"/>
        </w:rPr>
        <w:t xml:space="preserve"> Sadržaj PFOA i PFHxS u protivpožarnim pjenama iz skladišnih objekata i vatrogasnih vozila vatrogasnih jedinica.</w:t>
      </w:r>
    </w:p>
    <w:p w14:paraId="4173B29F" w14:textId="77777777" w:rsidR="00626D74" w:rsidRPr="00C86111" w:rsidRDefault="00626D74" w:rsidP="002B20A9">
      <w:pPr>
        <w:jc w:val="both"/>
        <w:rPr>
          <w:rFonts w:asciiTheme="minorHAnsi" w:eastAsia="Times New Roman" w:hAnsiTheme="minorHAnsi" w:cstheme="minorHAnsi"/>
          <w:color w:val="auto"/>
          <w:lang w:eastAsia="en-GB"/>
        </w:rPr>
      </w:pPr>
    </w:p>
    <w:tbl>
      <w:tblPr>
        <w:tblStyle w:val="GridTable5Dark-Accent6"/>
        <w:tblW w:w="9535" w:type="dxa"/>
        <w:tblLayout w:type="fixed"/>
        <w:tblLook w:val="04A0" w:firstRow="1" w:lastRow="0" w:firstColumn="1" w:lastColumn="0" w:noHBand="0" w:noVBand="1"/>
      </w:tblPr>
      <w:tblGrid>
        <w:gridCol w:w="2696"/>
        <w:gridCol w:w="2696"/>
        <w:gridCol w:w="1824"/>
        <w:gridCol w:w="2319"/>
      </w:tblGrid>
      <w:tr w:rsidR="002B20A9" w:rsidRPr="00C86111" w14:paraId="5EC25EB0" w14:textId="77777777" w:rsidTr="002A416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96" w:type="dxa"/>
            <w:vAlign w:val="center"/>
          </w:tcPr>
          <w:p w14:paraId="399BF298" w14:textId="77777777" w:rsidR="002B20A9" w:rsidRPr="00C86111" w:rsidRDefault="002B20A9" w:rsidP="00BC765B">
            <w:pPr>
              <w:jc w:val="both"/>
              <w:rPr>
                <w:rFonts w:asciiTheme="minorHAnsi" w:eastAsia="Times New Roman" w:hAnsiTheme="minorHAnsi" w:cstheme="minorHAnsi"/>
                <w:b w:val="0"/>
                <w:bCs w:val="0"/>
                <w:color w:val="auto"/>
                <w:sz w:val="20"/>
                <w:szCs w:val="20"/>
                <w:lang w:eastAsia="en-GB"/>
              </w:rPr>
            </w:pPr>
            <w:r w:rsidRPr="00C86111">
              <w:rPr>
                <w:rStyle w:val="Strong"/>
                <w:rFonts w:asciiTheme="minorHAnsi" w:hAnsiTheme="minorHAnsi" w:cstheme="minorHAnsi"/>
                <w:b/>
                <w:bCs/>
                <w:color w:val="auto"/>
                <w:sz w:val="20"/>
                <w:szCs w:val="20"/>
              </w:rPr>
              <w:t>Vatrogasna jedinica</w:t>
            </w:r>
          </w:p>
        </w:tc>
        <w:tc>
          <w:tcPr>
            <w:tcW w:w="2696" w:type="dxa"/>
            <w:vAlign w:val="center"/>
            <w:hideMark/>
          </w:tcPr>
          <w:p w14:paraId="2EB67ABA"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0"/>
                <w:szCs w:val="20"/>
                <w:lang w:eastAsia="en-GB"/>
              </w:rPr>
            </w:pPr>
            <w:r w:rsidRPr="00C86111">
              <w:rPr>
                <w:rStyle w:val="Strong"/>
                <w:rFonts w:asciiTheme="minorHAnsi" w:hAnsiTheme="minorHAnsi" w:cstheme="minorHAnsi"/>
                <w:b/>
                <w:bCs/>
                <w:color w:val="auto"/>
                <w:sz w:val="20"/>
                <w:szCs w:val="20"/>
              </w:rPr>
              <w:t>Ukupna količina (L) protivpožarne pjene</w:t>
            </w:r>
          </w:p>
        </w:tc>
        <w:tc>
          <w:tcPr>
            <w:tcW w:w="1824" w:type="dxa"/>
            <w:vAlign w:val="center"/>
            <w:hideMark/>
          </w:tcPr>
          <w:p w14:paraId="298EEC51" w14:textId="2AE10016" w:rsidR="002B20A9" w:rsidRPr="00C86111" w:rsidRDefault="00E71878"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0"/>
                <w:szCs w:val="20"/>
                <w:lang w:eastAsia="en-GB"/>
              </w:rPr>
            </w:pPr>
            <w:r w:rsidRPr="00C86111">
              <w:rPr>
                <w:rStyle w:val="Strong"/>
                <w:rFonts w:asciiTheme="minorHAnsi" w:hAnsiTheme="minorHAnsi" w:cstheme="minorHAnsi"/>
                <w:b/>
                <w:bCs/>
                <w:color w:val="auto"/>
                <w:sz w:val="20"/>
                <w:szCs w:val="20"/>
              </w:rPr>
              <w:t>Količina</w:t>
            </w:r>
            <w:r w:rsidR="002B20A9" w:rsidRPr="00C86111">
              <w:rPr>
                <w:rStyle w:val="Strong"/>
                <w:rFonts w:asciiTheme="minorHAnsi" w:hAnsiTheme="minorHAnsi" w:cstheme="minorHAnsi"/>
                <w:b/>
                <w:bCs/>
                <w:color w:val="auto"/>
                <w:sz w:val="20"/>
                <w:szCs w:val="20"/>
              </w:rPr>
              <w:t xml:space="preserve"> PFOA (g)</w:t>
            </w:r>
          </w:p>
        </w:tc>
        <w:tc>
          <w:tcPr>
            <w:tcW w:w="2319" w:type="dxa"/>
            <w:vAlign w:val="center"/>
          </w:tcPr>
          <w:p w14:paraId="6B0CA27C" w14:textId="04FED8FA" w:rsidR="002B20A9" w:rsidRPr="00C86111" w:rsidRDefault="00E71878" w:rsidP="00E71878">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theme="minorHAnsi"/>
                <w:b/>
                <w:bCs/>
                <w:color w:val="auto"/>
                <w:sz w:val="20"/>
                <w:szCs w:val="20"/>
              </w:rPr>
            </w:pPr>
            <w:r w:rsidRPr="00C86111">
              <w:rPr>
                <w:rStyle w:val="Strong"/>
                <w:rFonts w:asciiTheme="minorHAnsi" w:hAnsiTheme="minorHAnsi" w:cstheme="minorHAnsi"/>
                <w:b/>
                <w:bCs/>
                <w:color w:val="auto"/>
                <w:sz w:val="20"/>
                <w:szCs w:val="20"/>
              </w:rPr>
              <w:t>Količina</w:t>
            </w:r>
            <w:r w:rsidR="002B20A9" w:rsidRPr="00C86111">
              <w:rPr>
                <w:rStyle w:val="Strong"/>
                <w:rFonts w:asciiTheme="minorHAnsi" w:hAnsiTheme="minorHAnsi" w:cstheme="minorHAnsi"/>
                <w:b/>
                <w:bCs/>
                <w:color w:val="auto"/>
                <w:sz w:val="20"/>
                <w:szCs w:val="20"/>
              </w:rPr>
              <w:t xml:space="preserve"> PFHxS (g)</w:t>
            </w:r>
          </w:p>
        </w:tc>
      </w:tr>
      <w:tr w:rsidR="002B20A9" w:rsidRPr="00C86111" w14:paraId="4B89DFAB" w14:textId="77777777" w:rsidTr="002A416E">
        <w:trPr>
          <w:cnfStyle w:val="000000100000" w:firstRow="0" w:lastRow="0" w:firstColumn="0" w:lastColumn="0" w:oddVBand="0" w:evenVBand="0" w:oddHBand="1" w:evenHBand="0" w:firstRowFirstColumn="0" w:firstRowLastColumn="0" w:lastRowFirstColumn="0" w:lastRowLastColumn="0"/>
          <w:trHeight w:hRule="exact" w:val="570"/>
        </w:trPr>
        <w:tc>
          <w:tcPr>
            <w:cnfStyle w:val="001000000000" w:firstRow="0" w:lastRow="0" w:firstColumn="1" w:lastColumn="0" w:oddVBand="0" w:evenVBand="0" w:oddHBand="0" w:evenHBand="0" w:firstRowFirstColumn="0" w:firstRowLastColumn="0" w:lastRowFirstColumn="0" w:lastRowLastColumn="0"/>
            <w:tcW w:w="2696" w:type="dxa"/>
            <w:vAlign w:val="center"/>
          </w:tcPr>
          <w:p w14:paraId="61B778A7" w14:textId="77777777" w:rsidR="002B20A9" w:rsidRPr="00C86111" w:rsidRDefault="002B20A9" w:rsidP="00BC765B">
            <w:pPr>
              <w:jc w:val="both"/>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Opštinske službe zaštite i spašavanja</w:t>
            </w:r>
          </w:p>
        </w:tc>
        <w:tc>
          <w:tcPr>
            <w:tcW w:w="2696" w:type="dxa"/>
            <w:noWrap/>
            <w:vAlign w:val="center"/>
          </w:tcPr>
          <w:p w14:paraId="569C7C07"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20"/>
                <w:szCs w:val="20"/>
                <w:lang w:eastAsia="en-GB"/>
              </w:rPr>
            </w:pPr>
            <w:r w:rsidRPr="00C86111">
              <w:rPr>
                <w:rFonts w:asciiTheme="minorHAnsi" w:eastAsia="Times New Roman" w:hAnsiTheme="minorHAnsi" w:cstheme="minorHAnsi"/>
                <w:color w:val="auto"/>
                <w:sz w:val="20"/>
                <w:szCs w:val="20"/>
                <w:lang w:eastAsia="en-GB"/>
              </w:rPr>
              <w:t>8150</w:t>
            </w:r>
          </w:p>
        </w:tc>
        <w:tc>
          <w:tcPr>
            <w:tcW w:w="1824" w:type="dxa"/>
            <w:noWrap/>
            <w:vAlign w:val="center"/>
          </w:tcPr>
          <w:p w14:paraId="4C4EFED2"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1.5</w:t>
            </w:r>
          </w:p>
        </w:tc>
        <w:tc>
          <w:tcPr>
            <w:tcW w:w="2319" w:type="dxa"/>
            <w:vAlign w:val="center"/>
          </w:tcPr>
          <w:p w14:paraId="0D9295CF"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0.0</w:t>
            </w:r>
          </w:p>
        </w:tc>
      </w:tr>
      <w:tr w:rsidR="002B20A9" w:rsidRPr="00C86111" w14:paraId="08606EAF" w14:textId="77777777" w:rsidTr="002A416E">
        <w:trPr>
          <w:trHeight w:hRule="exact" w:val="363"/>
        </w:trPr>
        <w:tc>
          <w:tcPr>
            <w:cnfStyle w:val="001000000000" w:firstRow="0" w:lastRow="0" w:firstColumn="1" w:lastColumn="0" w:oddVBand="0" w:evenVBand="0" w:oddHBand="0" w:evenHBand="0" w:firstRowFirstColumn="0" w:firstRowLastColumn="0" w:lastRowFirstColumn="0" w:lastRowLastColumn="0"/>
            <w:tcW w:w="2696" w:type="dxa"/>
            <w:vAlign w:val="center"/>
          </w:tcPr>
          <w:p w14:paraId="0356892D" w14:textId="77777777" w:rsidR="002B20A9" w:rsidRPr="00C86111" w:rsidRDefault="002B20A9" w:rsidP="00BC765B">
            <w:pPr>
              <w:jc w:val="both"/>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Ostali subjekti</w:t>
            </w:r>
          </w:p>
        </w:tc>
        <w:tc>
          <w:tcPr>
            <w:tcW w:w="2696" w:type="dxa"/>
            <w:noWrap/>
            <w:vAlign w:val="center"/>
          </w:tcPr>
          <w:p w14:paraId="29D945F6"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20"/>
                <w:szCs w:val="20"/>
                <w:lang w:eastAsia="en-GB"/>
              </w:rPr>
            </w:pPr>
            <w:r w:rsidRPr="00C86111">
              <w:rPr>
                <w:rFonts w:asciiTheme="minorHAnsi" w:eastAsia="Times New Roman" w:hAnsiTheme="minorHAnsi" w:cstheme="minorHAnsi"/>
                <w:color w:val="auto"/>
                <w:sz w:val="20"/>
                <w:szCs w:val="20"/>
                <w:lang w:eastAsia="en-GB"/>
              </w:rPr>
              <w:t>6200</w:t>
            </w:r>
          </w:p>
        </w:tc>
        <w:tc>
          <w:tcPr>
            <w:tcW w:w="1824" w:type="dxa"/>
            <w:noWrap/>
            <w:vAlign w:val="center"/>
          </w:tcPr>
          <w:p w14:paraId="0F5DB434"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3.9</w:t>
            </w:r>
          </w:p>
        </w:tc>
        <w:tc>
          <w:tcPr>
            <w:tcW w:w="2319" w:type="dxa"/>
            <w:vAlign w:val="center"/>
          </w:tcPr>
          <w:p w14:paraId="18D6ED75" w14:textId="77777777" w:rsidR="002B20A9" w:rsidRPr="00C86111" w:rsidRDefault="002B20A9" w:rsidP="00E718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32</w:t>
            </w:r>
          </w:p>
        </w:tc>
      </w:tr>
      <w:tr w:rsidR="002B20A9" w:rsidRPr="00C86111" w14:paraId="5B909A6F" w14:textId="77777777" w:rsidTr="002A416E">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2696" w:type="dxa"/>
            <w:vAlign w:val="center"/>
          </w:tcPr>
          <w:p w14:paraId="7682E67E" w14:textId="77777777" w:rsidR="002B20A9" w:rsidRPr="00C86111" w:rsidRDefault="002B20A9" w:rsidP="00BC765B">
            <w:pPr>
              <w:jc w:val="both"/>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Total</w:t>
            </w:r>
          </w:p>
        </w:tc>
        <w:tc>
          <w:tcPr>
            <w:tcW w:w="2696" w:type="dxa"/>
            <w:noWrap/>
            <w:vAlign w:val="center"/>
          </w:tcPr>
          <w:p w14:paraId="16D17573"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14350</w:t>
            </w:r>
          </w:p>
        </w:tc>
        <w:tc>
          <w:tcPr>
            <w:tcW w:w="1824" w:type="dxa"/>
            <w:noWrap/>
            <w:vAlign w:val="center"/>
          </w:tcPr>
          <w:p w14:paraId="7C93720C"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5.4</w:t>
            </w:r>
          </w:p>
        </w:tc>
        <w:tc>
          <w:tcPr>
            <w:tcW w:w="2319" w:type="dxa"/>
            <w:vAlign w:val="center"/>
          </w:tcPr>
          <w:p w14:paraId="3F8B3C2F" w14:textId="77777777" w:rsidR="002B20A9" w:rsidRPr="00C86111" w:rsidRDefault="002B20A9" w:rsidP="00E718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en-GB"/>
              </w:rPr>
            </w:pPr>
            <w:r w:rsidRPr="00C86111">
              <w:rPr>
                <w:rFonts w:asciiTheme="minorHAnsi" w:eastAsia="Times New Roman" w:hAnsiTheme="minorHAnsi" w:cstheme="minorHAnsi"/>
                <w:color w:val="auto"/>
                <w:sz w:val="20"/>
                <w:szCs w:val="20"/>
                <w:lang w:eastAsia="en-GB"/>
              </w:rPr>
              <w:t>32</w:t>
            </w:r>
          </w:p>
        </w:tc>
      </w:tr>
    </w:tbl>
    <w:p w14:paraId="5666810A" w14:textId="77777777" w:rsidR="002B20A9" w:rsidRPr="00C86111" w:rsidRDefault="002B20A9" w:rsidP="00004F34">
      <w:pPr>
        <w:pStyle w:val="Heading1"/>
        <w:numPr>
          <w:ilvl w:val="1"/>
          <w:numId w:val="238"/>
        </w:numPr>
        <w:rPr>
          <w:lang w:eastAsia="en-GB"/>
        </w:rPr>
      </w:pPr>
      <w:bookmarkStart w:id="358" w:name="_Toc220541954"/>
      <w:r w:rsidRPr="00C86111">
        <w:rPr>
          <w:lang w:eastAsia="en-GB"/>
        </w:rPr>
        <w:lastRenderedPageBreak/>
        <w:t>Zaključak – PFOA i PFHxS u protivpožarnim pjenama</w:t>
      </w:r>
      <w:bookmarkEnd w:id="358"/>
    </w:p>
    <w:p w14:paraId="269031ED" w14:textId="77777777" w:rsidR="00626D74" w:rsidRPr="00C86111" w:rsidRDefault="00626D74" w:rsidP="002B20A9">
      <w:pPr>
        <w:ind w:firstLine="720"/>
        <w:jc w:val="both"/>
        <w:rPr>
          <w:rFonts w:asciiTheme="minorHAnsi" w:eastAsia="Times New Roman" w:hAnsiTheme="minorHAnsi" w:cstheme="minorHAnsi"/>
          <w:color w:val="auto"/>
          <w:lang w:eastAsia="en-GB"/>
        </w:rPr>
      </w:pPr>
    </w:p>
    <w:p w14:paraId="51F340C2" w14:textId="793CA4EE" w:rsidR="002B20A9" w:rsidRPr="00C86111" w:rsidRDefault="002B20A9" w:rsidP="002B20A9">
      <w:pPr>
        <w:ind w:firstLine="720"/>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Sprovedena inventarizacija i analitička procjena protivpožarnih pjena u Crnoj Gori potvrdila je prisustvo perfluorooktanoične kiseline (PFOA) i perfluoroheksanske sulfonatne kiseline (PFHxS) u značajnom broju analiziranih uzoraka. Od ukupno 41 uzorka protivpožarne pjene koji su bili predmet laboratorijskog ispitivanja, 13 uzoraka sadržavalo je PFOA, a 4 uzorka PFHxS, pri čemu je u 11 uzoraka PFOA i 4 uzorka PFHxS utvrđeno prekoračenje zakonski propisanih regulatornih granica.</w:t>
      </w:r>
    </w:p>
    <w:p w14:paraId="7C0841AB" w14:textId="77777777" w:rsidR="002B20A9" w:rsidRPr="00C86111" w:rsidRDefault="002B20A9" w:rsidP="002B20A9">
      <w:pPr>
        <w:ind w:firstLine="720"/>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Ukupne količine ovih supstanci identifikovane u ispitivanim uzorcima pjena iznosile su 5,4 grama PFOA i 32 grama PFHxS, raspoređenih u 29.710 litara pjene. Iako se apsolutne količine mogu činiti ograničenim, njihova perzistentnost, bioakumulativna priroda i poznata toksična svojstva ukazuju na značajne rizike povezane sa njihovim nastavkom prisustva u radu vatrogasnih službi.</w:t>
      </w:r>
    </w:p>
    <w:p w14:paraId="63CC2C3D" w14:textId="77777777" w:rsidR="002B20A9" w:rsidRPr="00C86111" w:rsidRDefault="002B20A9" w:rsidP="002B20A9">
      <w:pPr>
        <w:ind w:firstLine="720"/>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Nalazi posebno ukazuju na zabrinjavajuće slučajeve na Aerodromu Tivat, kao i u pojedinim opštinskim i dobrovoljnim vatrogasnim jedinicama (Bar, Tivat, Bijelo Polje, Bijela, Perast, Krtoli), gdje su koncentracije PFOA premašile regulatorno propisane vrijednosti. Ovakvi rezultati potvrđuju da stare zalihe pjena, naročito one iz ranijih generacija, još uvijek cirkulišu u upotrebi i predstavljaju trajni rizik od kontaminacije životne sredine.</w:t>
      </w:r>
    </w:p>
    <w:p w14:paraId="2ACA0863" w14:textId="77777777" w:rsidR="002B20A9" w:rsidRPr="00C86111" w:rsidRDefault="002B20A9" w:rsidP="002B20A9">
      <w:pPr>
        <w:ind w:firstLine="720"/>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Iako je PFHxS otkriven rjeđe nego PFOA, izmjerene koncentracije koje prelaze zakonske granice predstavljaju značajan ekološki i regulatorni problem, naročito u specijalizovanim vatrogasnim službama. Situaciju dodatno pogoršava prisustvo pjena kojima je istekao rok upotrebe, kao i nedostatak adekvatnih kanala za njihovo zbrinjavanje, što povećava rizik od nekontrolisanog ispuštanja ovih supstanci tokom skladištenja, obuke ili operativne upotrebe.</w:t>
      </w:r>
    </w:p>
    <w:p w14:paraId="23B08AD8" w14:textId="77777777" w:rsidR="002B20A9" w:rsidRPr="00C86111" w:rsidRDefault="002B20A9" w:rsidP="002B20A9">
      <w:pPr>
        <w:ind w:firstLine="720"/>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 skladu sa nacionalnim propisima Crne Gore, koji su usklađeni sa okvirom Evropske unije o postojanim organskim zagađujućim materijama (POPs) – posebno Uredbom (EU) 2019/1021, Delegiranom uredbom (EU) 2020/784 (PFOA) i Delegiranom uredbom (EU) 2023/1608 (PFHxS) – nastavak upotrebe i skladištenja ovih pjena nije u skladu sa važećim zakonskim obavezama. Njihovo zadržavanje u sistemima službi zaštite i spašavanja ukazuje na nedostatke u sprovođenju i nadzoru primjene propisa.</w:t>
      </w:r>
    </w:p>
    <w:p w14:paraId="46CB41E2" w14:textId="77777777" w:rsidR="002B20A9" w:rsidRPr="00C86111" w:rsidRDefault="002B20A9" w:rsidP="002B20A9">
      <w:pPr>
        <w:ind w:firstLine="720"/>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 obzirom na činjenicu da su određene količine protivpožarnih pjena isteklog roka upotrebe, neophodno je izraditi plan za njihovo pravilno odlaganje, u skladu sa:</w:t>
      </w:r>
    </w:p>
    <w:p w14:paraId="7EAB4487" w14:textId="77777777" w:rsidR="002B20A9" w:rsidRPr="00C86111" w:rsidRDefault="002B20A9" w:rsidP="00004F34">
      <w:pPr>
        <w:pStyle w:val="ListParagraph"/>
        <w:numPr>
          <w:ilvl w:val="0"/>
          <w:numId w:val="153"/>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Zakonom o upravljanju otpadom („Službeni list Crne Gore“, br. 034/24, 092/24), i</w:t>
      </w:r>
    </w:p>
    <w:p w14:paraId="0B70EF8C" w14:textId="77777777" w:rsidR="002B20A9" w:rsidRPr="00C86111" w:rsidRDefault="002B20A9" w:rsidP="00004F34">
      <w:pPr>
        <w:pStyle w:val="ListParagraph"/>
        <w:numPr>
          <w:ilvl w:val="0"/>
          <w:numId w:val="153"/>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Pravilnikom o listi POPs supstanci, načinu i postupku upravljanja otpadom koji sadrži POPs supstance, te graničnim vrijednostima koncentracija POPs supstanci koje se odnose na obradu i odlaganje otpada koji sadrži ili je kontaminiran POPs supstancama („Službeni list Crne Gore“, br. 098/24).</w:t>
      </w:r>
    </w:p>
    <w:p w14:paraId="06A2951F" w14:textId="77777777" w:rsidR="002B20A9" w:rsidRPr="00C86111" w:rsidRDefault="002B20A9" w:rsidP="002B20A9">
      <w:pPr>
        <w:ind w:firstLine="360"/>
        <w:jc w:val="both"/>
        <w:rPr>
          <w:rFonts w:asciiTheme="minorHAnsi" w:eastAsia="Times New Roman" w:hAnsiTheme="minorHAnsi" w:cstheme="minorHAnsi"/>
          <w:color w:val="auto"/>
          <w:lang w:eastAsia="en-GB"/>
        </w:rPr>
      </w:pPr>
    </w:p>
    <w:p w14:paraId="263F6FC6" w14:textId="77777777" w:rsidR="002B20A9" w:rsidRPr="00C86111" w:rsidRDefault="002B20A9" w:rsidP="002B20A9">
      <w:pPr>
        <w:ind w:firstLine="360"/>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 zaključku, iako su apsolutne količine PFOA i PFHxS identifikovane u Crnoj Gori relativno male u poređenju sa globalnim podacima, njihovo prisustvo iznad regulatornih granica u više vatrogasnih službi predstavlja ozbiljan problem. Stoga je neophodno hitno preduzeti mjere koje uključuju:</w:t>
      </w:r>
    </w:p>
    <w:p w14:paraId="6AAFCA88" w14:textId="77777777" w:rsidR="002B20A9" w:rsidRPr="00C86111" w:rsidRDefault="002B20A9" w:rsidP="00004F34">
      <w:pPr>
        <w:pStyle w:val="ListParagraph"/>
        <w:numPr>
          <w:ilvl w:val="0"/>
          <w:numId w:val="15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povlačenje i bezbjedno odlaganje svih pjena koje sadrže ili su kontaminirane PFOA i PFHxS, naročito onih koje prelaze zakonske limite;</w:t>
      </w:r>
    </w:p>
    <w:p w14:paraId="74F9A7CF" w14:textId="77777777" w:rsidR="002B20A9" w:rsidRPr="00C86111" w:rsidRDefault="002B20A9" w:rsidP="00004F34">
      <w:pPr>
        <w:pStyle w:val="ListParagraph"/>
        <w:numPr>
          <w:ilvl w:val="0"/>
          <w:numId w:val="15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lastRenderedPageBreak/>
        <w:t>zamjenu ovih pjena fluorine-free (bezfluoridnim) alternativama, koje su već tehnički provjerene i dostupne na tržištu;</w:t>
      </w:r>
    </w:p>
    <w:p w14:paraId="28A79953" w14:textId="77777777" w:rsidR="002B20A9" w:rsidRPr="00C86111" w:rsidRDefault="002B20A9" w:rsidP="00004F34">
      <w:pPr>
        <w:pStyle w:val="ListParagraph"/>
        <w:numPr>
          <w:ilvl w:val="0"/>
          <w:numId w:val="15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sprovođenje sistematskog monitoringa, dekontaminacije opreme i jačanje kapaciteta vatrogasnih jedinica radi potpune usklađenosti sa nacionalnim i EU propisima;</w:t>
      </w:r>
    </w:p>
    <w:p w14:paraId="40B1D8FF" w14:textId="77777777" w:rsidR="002B20A9" w:rsidRPr="00C86111" w:rsidRDefault="002B20A9" w:rsidP="00004F34">
      <w:pPr>
        <w:pStyle w:val="ListParagraph"/>
        <w:numPr>
          <w:ilvl w:val="0"/>
          <w:numId w:val="15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organizovanje obuka i kampanja podizanja svijesti među vatrogasnim službama i drugim relevantnim subjektima, sa ciljem smanjenja upotrebe pjena koje sadrže PFAS, te osiguranja bezbjednog skladištenja i odlaganja pjena kojima je istekao rok trajanja.</w:t>
      </w:r>
    </w:p>
    <w:p w14:paraId="01DE924C"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Samo kroz koordinisano djelovanje između nadzornih organa, vatrogasnih službi i operatera sistema upravljanja otpadom, Crna Gora može obezbijediti potpunu eliminaciju PFOA i PFHxS iz protivpožarnih pjena, čime će se značajno smanjiti rizici po zdravlje ljudi i životnu sredinu.</w:t>
      </w:r>
    </w:p>
    <w:p w14:paraId="3B5DF658" w14:textId="77777777" w:rsidR="002B20A9" w:rsidRPr="00C86111" w:rsidRDefault="002B20A9" w:rsidP="00004F34">
      <w:pPr>
        <w:pStyle w:val="Heading1"/>
        <w:numPr>
          <w:ilvl w:val="1"/>
          <w:numId w:val="238"/>
        </w:numPr>
      </w:pPr>
      <w:bookmarkStart w:id="359" w:name="_Toc210632583"/>
      <w:bookmarkStart w:id="360" w:name="_Toc220541955"/>
      <w:r w:rsidRPr="00C86111">
        <w:t xml:space="preserve">Rezultati inventara PFOA, PFHxS, njihovih soli </w:t>
      </w:r>
      <w:bookmarkEnd w:id="359"/>
      <w:r w:rsidRPr="00C86111">
        <w:t xml:space="preserve">i </w:t>
      </w:r>
      <w:bookmarkStart w:id="361" w:name="_Toc210632584"/>
      <w:r w:rsidRPr="00C86111">
        <w:t>sličnih jedinjenja u proizvodima na potrošačkom tržištu</w:t>
      </w:r>
      <w:bookmarkEnd w:id="360"/>
      <w:bookmarkEnd w:id="361"/>
    </w:p>
    <w:p w14:paraId="1EC0578D" w14:textId="77777777" w:rsidR="002B20A9" w:rsidRPr="00C86111" w:rsidRDefault="002B20A9" w:rsidP="002B20A9">
      <w:pPr>
        <w:jc w:val="both"/>
        <w:rPr>
          <w:rFonts w:asciiTheme="minorHAnsi" w:eastAsia="SimSun" w:hAnsiTheme="minorHAnsi" w:cstheme="minorHAnsi"/>
          <w:color w:val="auto"/>
        </w:rPr>
      </w:pPr>
    </w:p>
    <w:p w14:paraId="53EB7DEF"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Na osnovu podataka prikupljenih od Uprave Carina Crne Gore, sprovedena je analiza potencijalnog prisustva PFOA, PFHxS, njihovih soli i sličnih jedinjenja u različitim vrstama proizvoda, kao što su impregnirani odjevni predmeti, tekstil, impregniran papir i sintetički tepisi. Podaci o uvozu ovih proizvoda prikupljeni su prema tarifnim brojevima za period od 2017. do 2023. godine.</w:t>
      </w:r>
    </w:p>
    <w:p w14:paraId="0C4B1F21" w14:textId="0B11AE48"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Pregled količina uvezenih sintetičkih tepiha, presvučenog i impregniranog papira, impregniranog tekstila i impregnirane odjeće za period od 2017. do 2023. godine, zajedno sa izračunatim količinama PFOA, prikazan je u tabelama </w:t>
      </w:r>
      <w:r w:rsidR="00626D74" w:rsidRPr="00C86111">
        <w:rPr>
          <w:rFonts w:asciiTheme="minorHAnsi" w:eastAsia="Times New Roman" w:hAnsiTheme="minorHAnsi" w:cstheme="minorHAnsi"/>
          <w:color w:val="auto"/>
          <w:lang w:eastAsia="en-GB"/>
        </w:rPr>
        <w:t>87</w:t>
      </w:r>
      <w:r w:rsidRPr="00C86111">
        <w:rPr>
          <w:rFonts w:asciiTheme="minorHAnsi" w:eastAsia="Times New Roman" w:hAnsiTheme="minorHAnsi" w:cstheme="minorHAnsi"/>
          <w:color w:val="auto"/>
          <w:lang w:eastAsia="en-GB"/>
        </w:rPr>
        <w:t>-</w:t>
      </w:r>
      <w:r w:rsidR="00626D74" w:rsidRPr="00C86111">
        <w:rPr>
          <w:rFonts w:asciiTheme="minorHAnsi" w:eastAsia="Times New Roman" w:hAnsiTheme="minorHAnsi" w:cstheme="minorHAnsi"/>
          <w:color w:val="auto"/>
          <w:lang w:eastAsia="en-GB"/>
        </w:rPr>
        <w:t>90</w:t>
      </w:r>
      <w:r w:rsidRPr="00C86111">
        <w:rPr>
          <w:rFonts w:asciiTheme="minorHAnsi" w:eastAsia="Times New Roman" w:hAnsiTheme="minorHAnsi" w:cstheme="minorHAnsi"/>
          <w:color w:val="auto"/>
          <w:lang w:eastAsia="en-GB"/>
        </w:rPr>
        <w:t xml:space="preserve"> i na graficima </w:t>
      </w:r>
      <w:r w:rsidR="00626D74" w:rsidRPr="00C86111">
        <w:rPr>
          <w:rFonts w:asciiTheme="minorHAnsi" w:eastAsia="Times New Roman" w:hAnsiTheme="minorHAnsi" w:cstheme="minorHAnsi"/>
          <w:color w:val="auto"/>
          <w:lang w:eastAsia="en-GB"/>
        </w:rPr>
        <w:t>3</w:t>
      </w:r>
      <w:r w:rsidR="00547278">
        <w:rPr>
          <w:rFonts w:asciiTheme="minorHAnsi" w:eastAsia="Times New Roman" w:hAnsiTheme="minorHAnsi" w:cstheme="minorHAnsi"/>
          <w:color w:val="auto"/>
          <w:lang w:eastAsia="en-GB"/>
        </w:rPr>
        <w:t>4</w:t>
      </w:r>
      <w:r w:rsidRPr="00C86111">
        <w:rPr>
          <w:rFonts w:asciiTheme="minorHAnsi" w:eastAsia="Times New Roman" w:hAnsiTheme="minorHAnsi" w:cstheme="minorHAnsi"/>
          <w:color w:val="auto"/>
          <w:lang w:eastAsia="en-GB"/>
        </w:rPr>
        <w:t>-</w:t>
      </w:r>
      <w:r w:rsidR="00626D74" w:rsidRPr="00C86111">
        <w:rPr>
          <w:rFonts w:asciiTheme="minorHAnsi" w:eastAsia="Times New Roman" w:hAnsiTheme="minorHAnsi" w:cstheme="minorHAnsi"/>
          <w:color w:val="auto"/>
          <w:lang w:eastAsia="en-GB"/>
        </w:rPr>
        <w:t>3</w:t>
      </w:r>
      <w:r w:rsidR="00547278">
        <w:rPr>
          <w:rFonts w:asciiTheme="minorHAnsi" w:eastAsia="Times New Roman" w:hAnsiTheme="minorHAnsi" w:cstheme="minorHAnsi"/>
          <w:color w:val="auto"/>
          <w:lang w:eastAsia="en-GB"/>
        </w:rPr>
        <w:t>5</w:t>
      </w:r>
      <w:r w:rsidRPr="00C86111">
        <w:rPr>
          <w:rFonts w:asciiTheme="minorHAnsi" w:eastAsia="Times New Roman" w:hAnsiTheme="minorHAnsi" w:cstheme="minorHAnsi"/>
          <w:color w:val="auto"/>
          <w:lang w:eastAsia="en-GB"/>
        </w:rPr>
        <w:t>.</w:t>
      </w:r>
    </w:p>
    <w:p w14:paraId="38F5FEA5" w14:textId="77777777" w:rsidR="002B20A9" w:rsidRPr="00C86111" w:rsidRDefault="002B20A9" w:rsidP="002B20A9">
      <w:pPr>
        <w:jc w:val="both"/>
        <w:rPr>
          <w:rFonts w:asciiTheme="minorHAnsi" w:eastAsia="Times New Roman" w:hAnsiTheme="minorHAnsi" w:cstheme="minorHAnsi"/>
          <w:color w:val="auto"/>
          <w:lang w:eastAsia="en-GB"/>
        </w:rPr>
      </w:pPr>
    </w:p>
    <w:p w14:paraId="5036C89F" w14:textId="25BD72F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26D74" w:rsidRPr="00C86111">
        <w:rPr>
          <w:rFonts w:asciiTheme="minorHAnsi" w:eastAsia="SimSun" w:hAnsiTheme="minorHAnsi" w:cstheme="minorHAnsi"/>
          <w:b/>
          <w:bCs/>
          <w:color w:val="auto"/>
        </w:rPr>
        <w:t>87</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uvezenih sintetičkih tepiha za period 2017-2023 godina i procijenjene količine PFOA</w:t>
      </w:r>
    </w:p>
    <w:tbl>
      <w:tblPr>
        <w:tblStyle w:val="GridTable5Dark-Accent6"/>
        <w:tblW w:w="8906" w:type="dxa"/>
        <w:tblLook w:val="04A0" w:firstRow="1" w:lastRow="0" w:firstColumn="1" w:lastColumn="0" w:noHBand="0" w:noVBand="1"/>
      </w:tblPr>
      <w:tblGrid>
        <w:gridCol w:w="1837"/>
        <w:gridCol w:w="1269"/>
        <w:gridCol w:w="1618"/>
        <w:gridCol w:w="2292"/>
        <w:gridCol w:w="1890"/>
      </w:tblGrid>
      <w:tr w:rsidR="002B20A9" w:rsidRPr="00C86111" w14:paraId="77F34159"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tcPr>
          <w:p w14:paraId="60BB5CF1" w14:textId="77777777" w:rsidR="002B20A9" w:rsidRPr="00C86111" w:rsidRDefault="002B20A9" w:rsidP="00BC765B">
            <w:pPr>
              <w:jc w:val="both"/>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31" w:type="dxa"/>
            <w:hideMark/>
          </w:tcPr>
          <w:p w14:paraId="0EE979F2"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570" w:type="dxa"/>
            <w:hideMark/>
          </w:tcPr>
          <w:p w14:paraId="2DF7FE13"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(kg)</w:t>
            </w:r>
          </w:p>
        </w:tc>
        <w:tc>
          <w:tcPr>
            <w:tcW w:w="2224" w:type="dxa"/>
          </w:tcPr>
          <w:p w14:paraId="1DDAEB7B"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PFOA sadržaj</w:t>
            </w:r>
          </w:p>
          <w:p w14:paraId="72889995"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7D78E967"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PFOA/kg proizvoda)</w:t>
            </w:r>
          </w:p>
        </w:tc>
        <w:tc>
          <w:tcPr>
            <w:tcW w:w="1834" w:type="dxa"/>
          </w:tcPr>
          <w:p w14:paraId="229F136C"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PFOA (kg)</w:t>
            </w:r>
          </w:p>
          <w:p w14:paraId="4BB8EB94"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10326256"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2883E96E"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val="restart"/>
          </w:tcPr>
          <w:p w14:paraId="4A1EF7CE" w14:textId="77777777" w:rsidR="002B20A9" w:rsidRPr="00C86111" w:rsidRDefault="002B20A9" w:rsidP="00BC765B">
            <w:pPr>
              <w:jc w:val="both"/>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Sintetički tepisi</w:t>
            </w:r>
          </w:p>
          <w:p w14:paraId="21157912"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tcPr>
          <w:p w14:paraId="4FD27C3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570" w:type="dxa"/>
          </w:tcPr>
          <w:p w14:paraId="58F3E0D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369598</w:t>
            </w:r>
          </w:p>
        </w:tc>
        <w:tc>
          <w:tcPr>
            <w:tcW w:w="2224" w:type="dxa"/>
          </w:tcPr>
          <w:p w14:paraId="1F05349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3.5 – 226 </w:t>
            </w:r>
          </w:p>
        </w:tc>
        <w:tc>
          <w:tcPr>
            <w:tcW w:w="1834" w:type="dxa"/>
          </w:tcPr>
          <w:p w14:paraId="25BEEC81"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1.3-84</w:t>
            </w:r>
          </w:p>
        </w:tc>
      </w:tr>
      <w:tr w:rsidR="002B20A9" w:rsidRPr="00C86111" w14:paraId="028A7134" w14:textId="77777777" w:rsidTr="00BC765B">
        <w:tc>
          <w:tcPr>
            <w:cnfStyle w:val="001000000000" w:firstRow="0" w:lastRow="0" w:firstColumn="1" w:lastColumn="0" w:oddVBand="0" w:evenVBand="0" w:oddHBand="0" w:evenHBand="0" w:firstRowFirstColumn="0" w:firstRowLastColumn="0" w:lastRowFirstColumn="0" w:lastRowLastColumn="0"/>
            <w:tcW w:w="1783" w:type="dxa"/>
            <w:vMerge/>
          </w:tcPr>
          <w:p w14:paraId="679EEF42"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tcPr>
          <w:p w14:paraId="574DB00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570" w:type="dxa"/>
          </w:tcPr>
          <w:p w14:paraId="5A681DAB"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336922</w:t>
            </w:r>
          </w:p>
        </w:tc>
        <w:tc>
          <w:tcPr>
            <w:tcW w:w="2224" w:type="dxa"/>
          </w:tcPr>
          <w:p w14:paraId="67470A60"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 xml:space="preserve">3.5 – 226 </w:t>
            </w:r>
          </w:p>
        </w:tc>
        <w:tc>
          <w:tcPr>
            <w:tcW w:w="1834" w:type="dxa"/>
          </w:tcPr>
          <w:p w14:paraId="2B65FC3D"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1.2-76</w:t>
            </w:r>
          </w:p>
        </w:tc>
      </w:tr>
      <w:tr w:rsidR="002B20A9" w:rsidRPr="00C86111" w14:paraId="7E2A3D5E"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tcPr>
          <w:p w14:paraId="14257E7B"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tcPr>
          <w:p w14:paraId="7D71FD1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570" w:type="dxa"/>
          </w:tcPr>
          <w:p w14:paraId="1906517D"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437076</w:t>
            </w:r>
          </w:p>
        </w:tc>
        <w:tc>
          <w:tcPr>
            <w:tcW w:w="2224" w:type="dxa"/>
          </w:tcPr>
          <w:p w14:paraId="2270F9D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 xml:space="preserve">3.5 – 226 </w:t>
            </w:r>
          </w:p>
        </w:tc>
        <w:tc>
          <w:tcPr>
            <w:tcW w:w="1834" w:type="dxa"/>
          </w:tcPr>
          <w:p w14:paraId="632E3168"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1.5-99</w:t>
            </w:r>
          </w:p>
        </w:tc>
      </w:tr>
      <w:tr w:rsidR="002B20A9" w:rsidRPr="00C86111" w14:paraId="509EA551" w14:textId="77777777" w:rsidTr="00BC765B">
        <w:tc>
          <w:tcPr>
            <w:cnfStyle w:val="001000000000" w:firstRow="0" w:lastRow="0" w:firstColumn="1" w:lastColumn="0" w:oddVBand="0" w:evenVBand="0" w:oddHBand="0" w:evenHBand="0" w:firstRowFirstColumn="0" w:firstRowLastColumn="0" w:lastRowFirstColumn="0" w:lastRowLastColumn="0"/>
            <w:tcW w:w="1783" w:type="dxa"/>
            <w:vMerge/>
          </w:tcPr>
          <w:p w14:paraId="35813024"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tcPr>
          <w:p w14:paraId="3820AB9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570" w:type="dxa"/>
          </w:tcPr>
          <w:p w14:paraId="5864C4BB"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393617</w:t>
            </w:r>
          </w:p>
        </w:tc>
        <w:tc>
          <w:tcPr>
            <w:tcW w:w="2224" w:type="dxa"/>
          </w:tcPr>
          <w:p w14:paraId="2CDC2F3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3.5 – 226 </w:t>
            </w:r>
          </w:p>
        </w:tc>
        <w:tc>
          <w:tcPr>
            <w:tcW w:w="1834" w:type="dxa"/>
          </w:tcPr>
          <w:p w14:paraId="160B754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1.4-89</w:t>
            </w:r>
          </w:p>
        </w:tc>
      </w:tr>
      <w:tr w:rsidR="002B20A9" w:rsidRPr="00C86111" w14:paraId="07151E29"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tcPr>
          <w:p w14:paraId="7138F8AD"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tcPr>
          <w:p w14:paraId="31A9066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570" w:type="dxa"/>
          </w:tcPr>
          <w:p w14:paraId="3C675324"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401555</w:t>
            </w:r>
          </w:p>
        </w:tc>
        <w:tc>
          <w:tcPr>
            <w:tcW w:w="2224" w:type="dxa"/>
          </w:tcPr>
          <w:p w14:paraId="62ED6EF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3.5 – 226 </w:t>
            </w:r>
          </w:p>
        </w:tc>
        <w:tc>
          <w:tcPr>
            <w:tcW w:w="1834" w:type="dxa"/>
          </w:tcPr>
          <w:p w14:paraId="49C78A6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1.4-91</w:t>
            </w:r>
          </w:p>
        </w:tc>
      </w:tr>
      <w:tr w:rsidR="002B20A9" w:rsidRPr="00C86111" w14:paraId="5AF7827F" w14:textId="77777777" w:rsidTr="00BC765B">
        <w:tc>
          <w:tcPr>
            <w:cnfStyle w:val="001000000000" w:firstRow="0" w:lastRow="0" w:firstColumn="1" w:lastColumn="0" w:oddVBand="0" w:evenVBand="0" w:oddHBand="0" w:evenHBand="0" w:firstRowFirstColumn="0" w:firstRowLastColumn="0" w:lastRowFirstColumn="0" w:lastRowLastColumn="0"/>
            <w:tcW w:w="1783" w:type="dxa"/>
            <w:vMerge/>
          </w:tcPr>
          <w:p w14:paraId="5032B9B9"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tcPr>
          <w:p w14:paraId="450BDC34"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570" w:type="dxa"/>
          </w:tcPr>
          <w:p w14:paraId="730B833D"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612119</w:t>
            </w:r>
          </w:p>
        </w:tc>
        <w:tc>
          <w:tcPr>
            <w:tcW w:w="2224" w:type="dxa"/>
          </w:tcPr>
          <w:p w14:paraId="1BB6BEE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3.5 – 226 </w:t>
            </w:r>
          </w:p>
        </w:tc>
        <w:tc>
          <w:tcPr>
            <w:tcW w:w="1834" w:type="dxa"/>
          </w:tcPr>
          <w:p w14:paraId="4CC5CA87"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2.1-138</w:t>
            </w:r>
          </w:p>
        </w:tc>
      </w:tr>
      <w:tr w:rsidR="002B20A9" w:rsidRPr="00C86111" w14:paraId="7F8F9C54"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tcPr>
          <w:p w14:paraId="645619BA"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31" w:type="dxa"/>
          </w:tcPr>
          <w:p w14:paraId="5625DB5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570" w:type="dxa"/>
          </w:tcPr>
          <w:p w14:paraId="055DAD7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553126</w:t>
            </w:r>
          </w:p>
        </w:tc>
        <w:tc>
          <w:tcPr>
            <w:tcW w:w="2224" w:type="dxa"/>
          </w:tcPr>
          <w:p w14:paraId="75D3B16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3.5 – 226 </w:t>
            </w:r>
          </w:p>
        </w:tc>
        <w:tc>
          <w:tcPr>
            <w:tcW w:w="1834" w:type="dxa"/>
          </w:tcPr>
          <w:p w14:paraId="55497EB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1.9-125</w:t>
            </w:r>
          </w:p>
        </w:tc>
      </w:tr>
    </w:tbl>
    <w:p w14:paraId="436D3EE6" w14:textId="77777777" w:rsidR="002B20A9" w:rsidRPr="00C86111" w:rsidRDefault="002B20A9" w:rsidP="002B20A9">
      <w:pPr>
        <w:jc w:val="both"/>
        <w:rPr>
          <w:rFonts w:asciiTheme="minorHAnsi" w:hAnsiTheme="minorHAnsi" w:cstheme="minorHAnsi"/>
          <w:color w:val="auto"/>
        </w:rPr>
      </w:pPr>
    </w:p>
    <w:p w14:paraId="5112C51C" w14:textId="77777777" w:rsidR="002B20A9" w:rsidRPr="00C86111" w:rsidRDefault="002B20A9" w:rsidP="00626D74">
      <w:pPr>
        <w:jc w:val="center"/>
        <w:rPr>
          <w:rFonts w:asciiTheme="minorHAnsi" w:hAnsiTheme="minorHAnsi" w:cstheme="minorHAnsi"/>
          <w:color w:val="auto"/>
        </w:rPr>
      </w:pPr>
      <w:r w:rsidRPr="00C86111">
        <w:rPr>
          <w:rFonts w:asciiTheme="minorHAnsi" w:hAnsiTheme="minorHAnsi" w:cstheme="minorHAnsi"/>
          <w:noProof/>
          <w:color w:val="auto"/>
        </w:rPr>
        <w:lastRenderedPageBreak/>
        <w:drawing>
          <wp:inline distT="0" distB="0" distL="0" distR="0" wp14:anchorId="61B32892" wp14:editId="2BE457BE">
            <wp:extent cx="5048250" cy="2197100"/>
            <wp:effectExtent l="0" t="0" r="0" b="12700"/>
            <wp:docPr id="1077284313" name="Chart 1077284313">
              <a:extLst xmlns:a="http://schemas.openxmlformats.org/drawingml/2006/main">
                <a:ext uri="{FF2B5EF4-FFF2-40B4-BE49-F238E27FC236}">
                  <a16:creationId xmlns:a16="http://schemas.microsoft.com/office/drawing/2014/main" id="{26402D5D-FFFF-A6A9-BDDB-97598B842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820AEEB" w14:textId="7E908227"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Grafik </w:t>
      </w:r>
      <w:r w:rsidR="00626D74" w:rsidRPr="00C86111">
        <w:rPr>
          <w:rFonts w:asciiTheme="minorHAnsi" w:hAnsiTheme="minorHAnsi" w:cstheme="minorHAnsi"/>
          <w:b/>
          <w:bCs/>
          <w:color w:val="auto"/>
        </w:rPr>
        <w:t>3</w:t>
      </w:r>
      <w:r w:rsidR="00547278">
        <w:rPr>
          <w:rFonts w:asciiTheme="minorHAnsi" w:hAnsiTheme="minorHAnsi" w:cstheme="minorHAnsi"/>
          <w:b/>
          <w:bCs/>
          <w:color w:val="auto"/>
        </w:rPr>
        <w:t>4</w:t>
      </w:r>
      <w:r w:rsidRPr="00C86111">
        <w:rPr>
          <w:rFonts w:asciiTheme="minorHAnsi" w:hAnsiTheme="minorHAnsi" w:cstheme="minorHAnsi"/>
          <w:b/>
          <w:bCs/>
          <w:color w:val="auto"/>
        </w:rPr>
        <w:t>.</w:t>
      </w:r>
      <w:r w:rsidRPr="00C86111">
        <w:rPr>
          <w:rFonts w:asciiTheme="minorHAnsi" w:hAnsiTheme="minorHAnsi" w:cstheme="minorHAnsi"/>
          <w:color w:val="auto"/>
        </w:rPr>
        <w:t xml:space="preserve"> Maksimalno procijenjena količina PFOA u sintetičkim tepisima iz uvoza za period 2017-2023 godina</w:t>
      </w:r>
    </w:p>
    <w:p w14:paraId="0AF1F63A" w14:textId="77777777" w:rsidR="00626D74" w:rsidRPr="00C86111" w:rsidRDefault="00626D74" w:rsidP="002B20A9">
      <w:pPr>
        <w:jc w:val="both"/>
        <w:rPr>
          <w:rFonts w:asciiTheme="minorHAnsi" w:hAnsiTheme="minorHAnsi" w:cstheme="minorHAnsi"/>
          <w:color w:val="auto"/>
        </w:rPr>
      </w:pPr>
    </w:p>
    <w:p w14:paraId="6EC5A288" w14:textId="1D4E167A"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26D74" w:rsidRPr="00C86111">
        <w:rPr>
          <w:rFonts w:asciiTheme="minorHAnsi" w:eastAsia="SimSun" w:hAnsiTheme="minorHAnsi" w:cstheme="minorHAnsi"/>
          <w:b/>
          <w:bCs/>
          <w:color w:val="auto"/>
        </w:rPr>
        <w:t>88</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uvezenog presvučenog i impregniranog papira za period 2017-2023 godina kao i procijenjene količine PFOA</w:t>
      </w:r>
    </w:p>
    <w:tbl>
      <w:tblPr>
        <w:tblStyle w:val="GridTable5Dark-Accent6"/>
        <w:tblW w:w="8911" w:type="dxa"/>
        <w:tblLook w:val="04A0" w:firstRow="1" w:lastRow="0" w:firstColumn="1" w:lastColumn="0" w:noHBand="0" w:noVBand="1"/>
      </w:tblPr>
      <w:tblGrid>
        <w:gridCol w:w="1842"/>
        <w:gridCol w:w="1269"/>
        <w:gridCol w:w="1618"/>
        <w:gridCol w:w="2292"/>
        <w:gridCol w:w="1890"/>
      </w:tblGrid>
      <w:tr w:rsidR="002B20A9" w:rsidRPr="00C86111" w14:paraId="7389F253" w14:textId="77777777" w:rsidTr="00E7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29FDA698" w14:textId="77777777" w:rsidR="002B20A9" w:rsidRPr="00C86111" w:rsidRDefault="002B20A9" w:rsidP="002A416E">
            <w:pPr>
              <w:jc w:val="center"/>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02ECDA9B"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538B276D"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(kg)</w:t>
            </w:r>
          </w:p>
        </w:tc>
        <w:tc>
          <w:tcPr>
            <w:tcW w:w="2292" w:type="dxa"/>
            <w:vAlign w:val="center"/>
          </w:tcPr>
          <w:p w14:paraId="1C746681"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PFOA sadržaj</w:t>
            </w:r>
          </w:p>
          <w:p w14:paraId="388D2E8B"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1B3F4F82"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PFOA/kg proizvoda)</w:t>
            </w:r>
          </w:p>
        </w:tc>
        <w:tc>
          <w:tcPr>
            <w:tcW w:w="1890" w:type="dxa"/>
            <w:vAlign w:val="center"/>
          </w:tcPr>
          <w:p w14:paraId="66D9ECDD"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PFOA (kg)</w:t>
            </w:r>
          </w:p>
          <w:p w14:paraId="5160D4CB"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0AD048EA"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312E6C67"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tcPr>
          <w:p w14:paraId="0E2258A2"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Presvučeni i impregnirani papir</w:t>
            </w:r>
          </w:p>
        </w:tc>
        <w:tc>
          <w:tcPr>
            <w:tcW w:w="1269" w:type="dxa"/>
          </w:tcPr>
          <w:p w14:paraId="56AF09B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tcPr>
          <w:p w14:paraId="141429D7"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45722</w:t>
            </w:r>
          </w:p>
        </w:tc>
        <w:tc>
          <w:tcPr>
            <w:tcW w:w="2292" w:type="dxa"/>
          </w:tcPr>
          <w:p w14:paraId="6495E2B6" w14:textId="2A58B7A1"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3000 – 10000</w:t>
            </w:r>
          </w:p>
        </w:tc>
        <w:tc>
          <w:tcPr>
            <w:tcW w:w="1890" w:type="dxa"/>
          </w:tcPr>
          <w:p w14:paraId="6527568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137-457</w:t>
            </w:r>
          </w:p>
        </w:tc>
      </w:tr>
      <w:tr w:rsidR="002B20A9" w:rsidRPr="00C86111" w14:paraId="2EDEE535" w14:textId="77777777" w:rsidTr="00E71878">
        <w:tc>
          <w:tcPr>
            <w:cnfStyle w:val="001000000000" w:firstRow="0" w:lastRow="0" w:firstColumn="1" w:lastColumn="0" w:oddVBand="0" w:evenVBand="0" w:oddHBand="0" w:evenHBand="0" w:firstRowFirstColumn="0" w:firstRowLastColumn="0" w:lastRowFirstColumn="0" w:lastRowLastColumn="0"/>
            <w:tcW w:w="1842" w:type="dxa"/>
            <w:vMerge/>
          </w:tcPr>
          <w:p w14:paraId="5D018794"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1EBB22A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tcPr>
          <w:p w14:paraId="0C2CBA4F"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30656</w:t>
            </w:r>
          </w:p>
        </w:tc>
        <w:tc>
          <w:tcPr>
            <w:tcW w:w="2292" w:type="dxa"/>
          </w:tcPr>
          <w:p w14:paraId="2AF41C2D" w14:textId="2889751B"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3000 – 10000</w:t>
            </w:r>
          </w:p>
        </w:tc>
        <w:tc>
          <w:tcPr>
            <w:tcW w:w="1890" w:type="dxa"/>
          </w:tcPr>
          <w:p w14:paraId="71E9BC0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92-307</w:t>
            </w:r>
          </w:p>
        </w:tc>
      </w:tr>
      <w:tr w:rsidR="002B20A9" w:rsidRPr="00C86111" w14:paraId="7061B7A1"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tcPr>
          <w:p w14:paraId="380BF08E"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3D184A4F"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tcPr>
          <w:p w14:paraId="67E7808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41251</w:t>
            </w:r>
          </w:p>
        </w:tc>
        <w:tc>
          <w:tcPr>
            <w:tcW w:w="2292" w:type="dxa"/>
          </w:tcPr>
          <w:p w14:paraId="373BA8D8" w14:textId="3C5E4993"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3000 – 10000</w:t>
            </w:r>
          </w:p>
        </w:tc>
        <w:tc>
          <w:tcPr>
            <w:tcW w:w="1890" w:type="dxa"/>
          </w:tcPr>
          <w:p w14:paraId="06C9377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124-413</w:t>
            </w:r>
          </w:p>
        </w:tc>
      </w:tr>
      <w:tr w:rsidR="002B20A9" w:rsidRPr="00C86111" w14:paraId="427E4788" w14:textId="77777777" w:rsidTr="00E71878">
        <w:tc>
          <w:tcPr>
            <w:cnfStyle w:val="001000000000" w:firstRow="0" w:lastRow="0" w:firstColumn="1" w:lastColumn="0" w:oddVBand="0" w:evenVBand="0" w:oddHBand="0" w:evenHBand="0" w:firstRowFirstColumn="0" w:firstRowLastColumn="0" w:lastRowFirstColumn="0" w:lastRowLastColumn="0"/>
            <w:tcW w:w="1842" w:type="dxa"/>
            <w:vMerge/>
          </w:tcPr>
          <w:p w14:paraId="6FCE8ECD"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62493D4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tcPr>
          <w:p w14:paraId="2EC1329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36452</w:t>
            </w:r>
          </w:p>
        </w:tc>
        <w:tc>
          <w:tcPr>
            <w:tcW w:w="2292" w:type="dxa"/>
          </w:tcPr>
          <w:p w14:paraId="44BEF4F1" w14:textId="08397229"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3000 – 10000</w:t>
            </w:r>
          </w:p>
        </w:tc>
        <w:tc>
          <w:tcPr>
            <w:tcW w:w="1890" w:type="dxa"/>
          </w:tcPr>
          <w:p w14:paraId="6CC7A7D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109-365</w:t>
            </w:r>
          </w:p>
        </w:tc>
      </w:tr>
      <w:tr w:rsidR="002B20A9" w:rsidRPr="00C86111" w14:paraId="2983331E"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tcPr>
          <w:p w14:paraId="018B0C3E"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4E61663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tcPr>
          <w:p w14:paraId="099B0E99"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65478</w:t>
            </w:r>
          </w:p>
        </w:tc>
        <w:tc>
          <w:tcPr>
            <w:tcW w:w="2292" w:type="dxa"/>
          </w:tcPr>
          <w:p w14:paraId="1C8BAE85" w14:textId="1EDD35A3"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3000 – 10000</w:t>
            </w:r>
          </w:p>
        </w:tc>
        <w:tc>
          <w:tcPr>
            <w:tcW w:w="1890" w:type="dxa"/>
          </w:tcPr>
          <w:p w14:paraId="35B2DADD"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196-655</w:t>
            </w:r>
          </w:p>
        </w:tc>
      </w:tr>
      <w:tr w:rsidR="002B20A9" w:rsidRPr="00C86111" w14:paraId="63A8B033" w14:textId="77777777" w:rsidTr="00E71878">
        <w:tc>
          <w:tcPr>
            <w:cnfStyle w:val="001000000000" w:firstRow="0" w:lastRow="0" w:firstColumn="1" w:lastColumn="0" w:oddVBand="0" w:evenVBand="0" w:oddHBand="0" w:evenHBand="0" w:firstRowFirstColumn="0" w:firstRowLastColumn="0" w:lastRowFirstColumn="0" w:lastRowLastColumn="0"/>
            <w:tcW w:w="1842" w:type="dxa"/>
            <w:vMerge/>
          </w:tcPr>
          <w:p w14:paraId="294CCFC8"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02CBE2E2"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tcPr>
          <w:p w14:paraId="62CBA68E"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65819</w:t>
            </w:r>
          </w:p>
        </w:tc>
        <w:tc>
          <w:tcPr>
            <w:tcW w:w="2292" w:type="dxa"/>
          </w:tcPr>
          <w:p w14:paraId="39C1871B" w14:textId="275F5E2C"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3000 – 10000</w:t>
            </w:r>
          </w:p>
        </w:tc>
        <w:tc>
          <w:tcPr>
            <w:tcW w:w="1890" w:type="dxa"/>
          </w:tcPr>
          <w:p w14:paraId="5068E86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198-658</w:t>
            </w:r>
          </w:p>
        </w:tc>
      </w:tr>
      <w:tr w:rsidR="002B20A9" w:rsidRPr="00C86111" w14:paraId="7D12D78E" w14:textId="77777777" w:rsidTr="00E7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tcPr>
          <w:p w14:paraId="597C8D3C"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1A43288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tcPr>
          <w:p w14:paraId="1D7705A2"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94606</w:t>
            </w:r>
          </w:p>
        </w:tc>
        <w:tc>
          <w:tcPr>
            <w:tcW w:w="2292" w:type="dxa"/>
          </w:tcPr>
          <w:p w14:paraId="7A1FE6F9" w14:textId="10AC7B0E"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3000 – 10000</w:t>
            </w:r>
          </w:p>
        </w:tc>
        <w:tc>
          <w:tcPr>
            <w:tcW w:w="1890" w:type="dxa"/>
          </w:tcPr>
          <w:p w14:paraId="34ECD77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284-946</w:t>
            </w:r>
          </w:p>
        </w:tc>
      </w:tr>
    </w:tbl>
    <w:p w14:paraId="2BED6231" w14:textId="77777777" w:rsidR="002B20A9" w:rsidRPr="00C86111" w:rsidRDefault="002B20A9" w:rsidP="002B20A9">
      <w:pPr>
        <w:jc w:val="center"/>
        <w:rPr>
          <w:rFonts w:asciiTheme="minorHAnsi" w:hAnsiTheme="minorHAnsi" w:cstheme="minorHAnsi"/>
          <w:color w:val="auto"/>
        </w:rPr>
      </w:pPr>
      <w:r w:rsidRPr="00C86111">
        <w:rPr>
          <w:rFonts w:asciiTheme="minorHAnsi" w:hAnsiTheme="minorHAnsi" w:cstheme="minorHAnsi"/>
          <w:noProof/>
          <w:color w:val="auto"/>
        </w:rPr>
        <w:drawing>
          <wp:inline distT="0" distB="0" distL="0" distR="0" wp14:anchorId="7301A7BB" wp14:editId="347BCD37">
            <wp:extent cx="4965700" cy="2336800"/>
            <wp:effectExtent l="0" t="0" r="6350" b="6350"/>
            <wp:docPr id="333418938" name="Chart 333418938">
              <a:extLst xmlns:a="http://schemas.openxmlformats.org/drawingml/2006/main">
                <a:ext uri="{FF2B5EF4-FFF2-40B4-BE49-F238E27FC236}">
                  <a16:creationId xmlns:a16="http://schemas.microsoft.com/office/drawing/2014/main" id="{B4AE19E8-A98A-F331-D424-C284D3C3F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DCC798" w14:textId="77777777" w:rsidR="002B20A9" w:rsidRPr="00C86111" w:rsidRDefault="002B20A9" w:rsidP="002B20A9">
      <w:pPr>
        <w:jc w:val="both"/>
        <w:rPr>
          <w:rFonts w:asciiTheme="minorHAnsi" w:hAnsiTheme="minorHAnsi" w:cstheme="minorHAnsi"/>
          <w:b/>
          <w:bCs/>
          <w:color w:val="auto"/>
        </w:rPr>
      </w:pPr>
    </w:p>
    <w:p w14:paraId="4CE1EB3C" w14:textId="4A9336E9"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Grafik </w:t>
      </w:r>
      <w:r w:rsidR="00626D74" w:rsidRPr="00C86111">
        <w:rPr>
          <w:rFonts w:asciiTheme="minorHAnsi" w:hAnsiTheme="minorHAnsi" w:cstheme="minorHAnsi"/>
          <w:b/>
          <w:bCs/>
          <w:color w:val="auto"/>
        </w:rPr>
        <w:t>3</w:t>
      </w:r>
      <w:r w:rsidR="00547278">
        <w:rPr>
          <w:rFonts w:asciiTheme="minorHAnsi" w:hAnsiTheme="minorHAnsi" w:cstheme="minorHAnsi"/>
          <w:b/>
          <w:bCs/>
          <w:color w:val="auto"/>
        </w:rPr>
        <w:t>5</w:t>
      </w:r>
      <w:r w:rsidRPr="00C86111">
        <w:rPr>
          <w:rFonts w:asciiTheme="minorHAnsi" w:hAnsiTheme="minorHAnsi" w:cstheme="minorHAnsi"/>
          <w:b/>
          <w:bCs/>
          <w:color w:val="auto"/>
        </w:rPr>
        <w:t>.</w:t>
      </w:r>
      <w:r w:rsidRPr="00C86111">
        <w:rPr>
          <w:rFonts w:asciiTheme="minorHAnsi" w:hAnsiTheme="minorHAnsi" w:cstheme="minorHAnsi"/>
          <w:color w:val="auto"/>
        </w:rPr>
        <w:t xml:space="preserve"> Maksimalno procijenjena količina PFOA-a u </w:t>
      </w:r>
      <w:r w:rsidRPr="00C86111">
        <w:rPr>
          <w:rFonts w:asciiTheme="minorHAnsi" w:eastAsia="SimSun" w:hAnsiTheme="minorHAnsi" w:cstheme="minorHAnsi"/>
          <w:color w:val="auto"/>
        </w:rPr>
        <w:t xml:space="preserve">presvučenom i impregniranog papiru </w:t>
      </w:r>
      <w:r w:rsidRPr="00C86111">
        <w:rPr>
          <w:rFonts w:asciiTheme="minorHAnsi" w:hAnsiTheme="minorHAnsi" w:cstheme="minorHAnsi"/>
          <w:color w:val="auto"/>
        </w:rPr>
        <w:t>iz uvoza za period 2017-2023 godina</w:t>
      </w:r>
    </w:p>
    <w:p w14:paraId="120A2E8C" w14:textId="77777777" w:rsidR="002B20A9" w:rsidRDefault="002B20A9" w:rsidP="002B20A9">
      <w:pPr>
        <w:jc w:val="both"/>
        <w:rPr>
          <w:rFonts w:asciiTheme="minorHAnsi" w:hAnsiTheme="minorHAnsi" w:cstheme="minorHAnsi"/>
          <w:color w:val="auto"/>
        </w:rPr>
      </w:pPr>
    </w:p>
    <w:p w14:paraId="7E60B5A9" w14:textId="77777777" w:rsidR="0037538F" w:rsidRPr="00C86111" w:rsidRDefault="0037538F" w:rsidP="002B20A9">
      <w:pPr>
        <w:jc w:val="both"/>
        <w:rPr>
          <w:rFonts w:asciiTheme="minorHAnsi" w:hAnsiTheme="minorHAnsi" w:cstheme="minorHAnsi"/>
          <w:color w:val="auto"/>
        </w:rPr>
      </w:pPr>
    </w:p>
    <w:p w14:paraId="11B35E4B" w14:textId="01AF24BF"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lastRenderedPageBreak/>
        <w:t xml:space="preserve">Tabela </w:t>
      </w:r>
      <w:r w:rsidR="00626D74" w:rsidRPr="00C86111">
        <w:rPr>
          <w:rFonts w:asciiTheme="minorHAnsi" w:eastAsia="SimSun" w:hAnsiTheme="minorHAnsi" w:cstheme="minorHAnsi"/>
          <w:b/>
          <w:bCs/>
          <w:color w:val="auto"/>
        </w:rPr>
        <w:t>89</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uvezenog impregniranog tekstila za period 2017-2023 godina kao i procijenjene količine PFOA</w:t>
      </w:r>
    </w:p>
    <w:tbl>
      <w:tblPr>
        <w:tblStyle w:val="GridTable5Dark-Accent6"/>
        <w:tblW w:w="8905" w:type="dxa"/>
        <w:tblLook w:val="04A0" w:firstRow="1" w:lastRow="0" w:firstColumn="1" w:lastColumn="0" w:noHBand="0" w:noVBand="1"/>
      </w:tblPr>
      <w:tblGrid>
        <w:gridCol w:w="1837"/>
        <w:gridCol w:w="1269"/>
        <w:gridCol w:w="1618"/>
        <w:gridCol w:w="2292"/>
        <w:gridCol w:w="1889"/>
      </w:tblGrid>
      <w:tr w:rsidR="002B20A9" w:rsidRPr="00C86111" w14:paraId="48CB4DC2" w14:textId="77777777" w:rsidTr="002A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768A13CC" w14:textId="77777777" w:rsidR="002B20A9" w:rsidRPr="00C86111" w:rsidRDefault="002B20A9" w:rsidP="002A416E">
            <w:pPr>
              <w:jc w:val="center"/>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2A26654F"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1E094644"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w:t>
            </w:r>
          </w:p>
        </w:tc>
        <w:tc>
          <w:tcPr>
            <w:tcW w:w="2292" w:type="dxa"/>
            <w:vAlign w:val="center"/>
          </w:tcPr>
          <w:p w14:paraId="64D96BE1"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PFOA sadržaj</w:t>
            </w:r>
          </w:p>
          <w:p w14:paraId="040C7407"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6CCBE97C"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PFOA/m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 xml:space="preserve"> proizvoda)</w:t>
            </w:r>
          </w:p>
        </w:tc>
        <w:tc>
          <w:tcPr>
            <w:tcW w:w="1889" w:type="dxa"/>
            <w:vAlign w:val="center"/>
          </w:tcPr>
          <w:p w14:paraId="65C93C0C"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PFOA (g)</w:t>
            </w:r>
          </w:p>
          <w:p w14:paraId="741177E4"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5D31565E"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5B426D8E"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restart"/>
          </w:tcPr>
          <w:p w14:paraId="3A72DDC0"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Impregnirani tekstil</w:t>
            </w:r>
          </w:p>
          <w:p w14:paraId="63B1D328" w14:textId="77777777" w:rsidR="002B20A9" w:rsidRPr="00C86111" w:rsidRDefault="002B20A9" w:rsidP="00BC765B">
            <w:pPr>
              <w:jc w:val="both"/>
              <w:rPr>
                <w:rFonts w:asciiTheme="minorHAnsi" w:hAnsiTheme="minorHAnsi" w:cstheme="minorHAnsi"/>
                <w:color w:val="auto"/>
                <w:sz w:val="20"/>
                <w:szCs w:val="20"/>
              </w:rPr>
            </w:pPr>
          </w:p>
        </w:tc>
        <w:tc>
          <w:tcPr>
            <w:tcW w:w="1269" w:type="dxa"/>
          </w:tcPr>
          <w:p w14:paraId="37FE9F8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tcPr>
          <w:p w14:paraId="3E3A59B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143434</w:t>
            </w:r>
          </w:p>
        </w:tc>
        <w:tc>
          <w:tcPr>
            <w:tcW w:w="2292" w:type="dxa"/>
          </w:tcPr>
          <w:p w14:paraId="5F90248E" w14:textId="41D3E908"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37D7577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0.0057-7.2</w:t>
            </w:r>
          </w:p>
        </w:tc>
      </w:tr>
      <w:tr w:rsidR="002B20A9" w:rsidRPr="00C86111" w14:paraId="2160DD83"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1E71C2D2"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0D4BAAC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tcPr>
          <w:p w14:paraId="2AE3B936"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384192</w:t>
            </w:r>
          </w:p>
        </w:tc>
        <w:tc>
          <w:tcPr>
            <w:tcW w:w="2292" w:type="dxa"/>
          </w:tcPr>
          <w:p w14:paraId="7D451E6F" w14:textId="799FAF45"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5FAD960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0.0154-19.2</w:t>
            </w:r>
          </w:p>
        </w:tc>
      </w:tr>
      <w:tr w:rsidR="002B20A9" w:rsidRPr="00C86111" w14:paraId="64E85FCB"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1C1EBE10"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626E2CA0"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tcPr>
          <w:p w14:paraId="37B2D489"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147286</w:t>
            </w:r>
          </w:p>
        </w:tc>
        <w:tc>
          <w:tcPr>
            <w:tcW w:w="2292" w:type="dxa"/>
          </w:tcPr>
          <w:p w14:paraId="62906083" w14:textId="7E13E253"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57D36C23"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0.0059-7.4</w:t>
            </w:r>
          </w:p>
        </w:tc>
      </w:tr>
      <w:tr w:rsidR="002B20A9" w:rsidRPr="00C86111" w14:paraId="7F254147"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41AFC9DC"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0FDFD1F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tcPr>
          <w:p w14:paraId="1886D0CB"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104820</w:t>
            </w:r>
          </w:p>
        </w:tc>
        <w:tc>
          <w:tcPr>
            <w:tcW w:w="2292" w:type="dxa"/>
          </w:tcPr>
          <w:p w14:paraId="0704A9FB" w14:textId="5BDE7885"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58F9B86E"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0.0042-5.2</w:t>
            </w:r>
          </w:p>
        </w:tc>
      </w:tr>
      <w:tr w:rsidR="002B20A9" w:rsidRPr="00C86111" w14:paraId="0180E82B"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53464185"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494C678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tcPr>
          <w:p w14:paraId="132D7D1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96342</w:t>
            </w:r>
          </w:p>
        </w:tc>
        <w:tc>
          <w:tcPr>
            <w:tcW w:w="2292" w:type="dxa"/>
          </w:tcPr>
          <w:p w14:paraId="5323BDC8" w14:textId="00C2759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1D347BDF"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0.0039-4.8</w:t>
            </w:r>
          </w:p>
        </w:tc>
      </w:tr>
      <w:tr w:rsidR="002B20A9" w:rsidRPr="00C86111" w14:paraId="77C4CF76"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4957580B"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36D96E1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tcPr>
          <w:p w14:paraId="4E617AB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111311</w:t>
            </w:r>
          </w:p>
        </w:tc>
        <w:tc>
          <w:tcPr>
            <w:tcW w:w="2292" w:type="dxa"/>
          </w:tcPr>
          <w:p w14:paraId="0CACA854" w14:textId="3F25CB3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56C251B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0.0045-5.6</w:t>
            </w:r>
          </w:p>
        </w:tc>
      </w:tr>
      <w:tr w:rsidR="002B20A9" w:rsidRPr="00C86111" w14:paraId="76906CEA"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5457CBBD"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473004D3"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tcPr>
          <w:p w14:paraId="1835F37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117685</w:t>
            </w:r>
          </w:p>
        </w:tc>
        <w:tc>
          <w:tcPr>
            <w:tcW w:w="2292" w:type="dxa"/>
          </w:tcPr>
          <w:p w14:paraId="68C9C36A" w14:textId="27F1E103"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1F5AB9A3"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0.0047-5.9</w:t>
            </w:r>
          </w:p>
        </w:tc>
      </w:tr>
    </w:tbl>
    <w:p w14:paraId="1DAF50E2" w14:textId="77777777" w:rsidR="002B20A9" w:rsidRPr="00C86111" w:rsidRDefault="002B20A9" w:rsidP="002B20A9">
      <w:pPr>
        <w:jc w:val="both"/>
        <w:rPr>
          <w:rFonts w:asciiTheme="minorHAnsi" w:eastAsia="SimSun" w:hAnsiTheme="minorHAnsi" w:cstheme="minorHAnsi"/>
          <w:color w:val="auto"/>
        </w:rPr>
      </w:pPr>
    </w:p>
    <w:p w14:paraId="69BEBBF3" w14:textId="372172ED"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Tabela 9</w:t>
      </w:r>
      <w:r w:rsidR="00626D74" w:rsidRPr="00C86111">
        <w:rPr>
          <w:rFonts w:asciiTheme="minorHAnsi" w:eastAsia="SimSun" w:hAnsiTheme="minorHAnsi" w:cstheme="minorHAnsi"/>
          <w:b/>
          <w:bCs/>
          <w:color w:val="auto"/>
        </w:rPr>
        <w:t>0</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uvezene impregnirane odjeće za period 2017-2023 godina kao i procijenjene količine PFOA</w:t>
      </w:r>
    </w:p>
    <w:tbl>
      <w:tblPr>
        <w:tblStyle w:val="GridTable5Dark-Accent6"/>
        <w:tblW w:w="8905" w:type="dxa"/>
        <w:tblLook w:val="04A0" w:firstRow="1" w:lastRow="0" w:firstColumn="1" w:lastColumn="0" w:noHBand="0" w:noVBand="1"/>
      </w:tblPr>
      <w:tblGrid>
        <w:gridCol w:w="1837"/>
        <w:gridCol w:w="1269"/>
        <w:gridCol w:w="1618"/>
        <w:gridCol w:w="2292"/>
        <w:gridCol w:w="1889"/>
      </w:tblGrid>
      <w:tr w:rsidR="002B20A9" w:rsidRPr="00C86111" w14:paraId="56ED2CBC" w14:textId="77777777" w:rsidTr="002A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2C094798" w14:textId="77777777" w:rsidR="002B20A9" w:rsidRPr="00C86111" w:rsidRDefault="002B20A9" w:rsidP="00BC765B">
            <w:pPr>
              <w:jc w:val="both"/>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7B0C4ADC"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21A0E66A"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w:t>
            </w:r>
          </w:p>
        </w:tc>
        <w:tc>
          <w:tcPr>
            <w:tcW w:w="2292" w:type="dxa"/>
            <w:vAlign w:val="center"/>
          </w:tcPr>
          <w:p w14:paraId="34B43A2A"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PFOA sadržaj</w:t>
            </w:r>
          </w:p>
          <w:p w14:paraId="012825F1"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7C44495E"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(mg PFOA/m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 xml:space="preserve"> proizvoda)</w:t>
            </w:r>
          </w:p>
        </w:tc>
        <w:tc>
          <w:tcPr>
            <w:tcW w:w="1889" w:type="dxa"/>
            <w:vAlign w:val="center"/>
          </w:tcPr>
          <w:p w14:paraId="62BF8B8A"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PFOA (g)</w:t>
            </w:r>
          </w:p>
          <w:p w14:paraId="69592431"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1BCE5DB2"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7E01542C"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restart"/>
          </w:tcPr>
          <w:p w14:paraId="63DA158A"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Impregnirana odjeća</w:t>
            </w:r>
          </w:p>
        </w:tc>
        <w:tc>
          <w:tcPr>
            <w:tcW w:w="1269" w:type="dxa"/>
          </w:tcPr>
          <w:p w14:paraId="407948E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tcPr>
          <w:p w14:paraId="07EE330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22843</w:t>
            </w:r>
          </w:p>
        </w:tc>
        <w:tc>
          <w:tcPr>
            <w:tcW w:w="2292" w:type="dxa"/>
          </w:tcPr>
          <w:p w14:paraId="5828C2CD" w14:textId="76069E25"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2EC606D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0.0009-1.1</w:t>
            </w:r>
          </w:p>
        </w:tc>
      </w:tr>
      <w:tr w:rsidR="002B20A9" w:rsidRPr="00C86111" w14:paraId="3B10645D"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140715AC"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6ED71A5C"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tcPr>
          <w:p w14:paraId="4D1B221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19421</w:t>
            </w:r>
          </w:p>
        </w:tc>
        <w:tc>
          <w:tcPr>
            <w:tcW w:w="2292" w:type="dxa"/>
          </w:tcPr>
          <w:p w14:paraId="24F7070C" w14:textId="76EDD624"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33D63086"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0.0008-0.97</w:t>
            </w:r>
          </w:p>
        </w:tc>
      </w:tr>
      <w:tr w:rsidR="002B20A9" w:rsidRPr="00C86111" w14:paraId="5B6587BA"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7EE71BE6"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032637C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tcPr>
          <w:p w14:paraId="6C366C1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27110</w:t>
            </w:r>
          </w:p>
        </w:tc>
        <w:tc>
          <w:tcPr>
            <w:tcW w:w="2292" w:type="dxa"/>
          </w:tcPr>
          <w:p w14:paraId="7EDD7AEE" w14:textId="1D3D2814"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11C205CF"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0.0011-1.4</w:t>
            </w:r>
          </w:p>
        </w:tc>
      </w:tr>
      <w:tr w:rsidR="002B20A9" w:rsidRPr="00C86111" w14:paraId="57EC59E8"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6114C6E1"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751E9D8C"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tcPr>
          <w:p w14:paraId="328EEEB5"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56777</w:t>
            </w:r>
          </w:p>
        </w:tc>
        <w:tc>
          <w:tcPr>
            <w:tcW w:w="2292" w:type="dxa"/>
          </w:tcPr>
          <w:p w14:paraId="3068707E" w14:textId="4E374AA0"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31B06A57"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0.0023-2.8</w:t>
            </w:r>
          </w:p>
        </w:tc>
      </w:tr>
      <w:tr w:rsidR="002B20A9" w:rsidRPr="00C86111" w14:paraId="32A0CC60"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2141EC01"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7907AA37"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tcPr>
          <w:p w14:paraId="361A079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26008</w:t>
            </w:r>
          </w:p>
        </w:tc>
        <w:tc>
          <w:tcPr>
            <w:tcW w:w="2292" w:type="dxa"/>
          </w:tcPr>
          <w:p w14:paraId="1FA27018" w14:textId="3A36C14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35B317B2"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0.0010-1.3</w:t>
            </w:r>
          </w:p>
        </w:tc>
      </w:tr>
      <w:tr w:rsidR="002B20A9" w:rsidRPr="00C86111" w14:paraId="33EB324A"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5DCD4801"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275032FE"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tcPr>
          <w:p w14:paraId="4AC111F0"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22047</w:t>
            </w:r>
          </w:p>
        </w:tc>
        <w:tc>
          <w:tcPr>
            <w:tcW w:w="2292" w:type="dxa"/>
          </w:tcPr>
          <w:p w14:paraId="6BDA11F5" w14:textId="61A1A2DF"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27EFC1D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0.0009-1.1</w:t>
            </w:r>
          </w:p>
        </w:tc>
      </w:tr>
      <w:tr w:rsidR="002B20A9" w:rsidRPr="00C86111" w14:paraId="2A7214EC"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60F4FFAC"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tcPr>
          <w:p w14:paraId="32014B9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tcPr>
          <w:p w14:paraId="76BCCA98"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19983</w:t>
            </w:r>
          </w:p>
        </w:tc>
        <w:tc>
          <w:tcPr>
            <w:tcW w:w="2292" w:type="dxa"/>
          </w:tcPr>
          <w:p w14:paraId="43B53004" w14:textId="10F23C4D"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89" w:type="dxa"/>
          </w:tcPr>
          <w:p w14:paraId="18FFDA9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0.0008-1.0</w:t>
            </w:r>
          </w:p>
        </w:tc>
      </w:tr>
    </w:tbl>
    <w:p w14:paraId="75996671" w14:textId="77777777" w:rsidR="002B20A9" w:rsidRPr="00C86111" w:rsidRDefault="002B20A9" w:rsidP="002B20A9">
      <w:pPr>
        <w:jc w:val="both"/>
        <w:rPr>
          <w:rFonts w:asciiTheme="minorHAnsi" w:eastAsia="Times New Roman" w:hAnsiTheme="minorHAnsi" w:cstheme="minorHAnsi"/>
          <w:color w:val="auto"/>
          <w:lang w:eastAsia="en-GB"/>
        </w:rPr>
      </w:pPr>
    </w:p>
    <w:p w14:paraId="18FBEC8C" w14:textId="2A795FBE"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U tabelama </w:t>
      </w:r>
      <w:r w:rsidR="00626D74" w:rsidRPr="00C86111">
        <w:rPr>
          <w:rFonts w:asciiTheme="minorHAnsi" w:eastAsia="Times New Roman" w:hAnsiTheme="minorHAnsi" w:cstheme="minorHAnsi"/>
          <w:color w:val="auto"/>
          <w:lang w:eastAsia="en-GB"/>
        </w:rPr>
        <w:t>91</w:t>
      </w:r>
      <w:r w:rsidRPr="00C86111">
        <w:rPr>
          <w:rFonts w:asciiTheme="minorHAnsi" w:eastAsia="Times New Roman" w:hAnsiTheme="minorHAnsi" w:cstheme="minorHAnsi"/>
          <w:color w:val="auto"/>
          <w:lang w:eastAsia="en-GB"/>
        </w:rPr>
        <w:t>-</w:t>
      </w:r>
      <w:r w:rsidR="00626D74" w:rsidRPr="00C86111">
        <w:rPr>
          <w:rFonts w:asciiTheme="minorHAnsi" w:eastAsia="Times New Roman" w:hAnsiTheme="minorHAnsi" w:cstheme="minorHAnsi"/>
          <w:color w:val="auto"/>
          <w:lang w:eastAsia="en-GB"/>
        </w:rPr>
        <w:t>93</w:t>
      </w:r>
      <w:r w:rsidRPr="00C86111">
        <w:rPr>
          <w:rFonts w:asciiTheme="minorHAnsi" w:eastAsia="Times New Roman" w:hAnsiTheme="minorHAnsi" w:cstheme="minorHAnsi"/>
          <w:color w:val="auto"/>
          <w:lang w:eastAsia="en-GB"/>
        </w:rPr>
        <w:t>. dat je pregled količine uvezenih sintetičkih tepiha, impregniranog tekstila i impregnirane odjeće za period 2017-2023 godina, zajedno sa izračunatim količinama PFHxS.</w:t>
      </w:r>
    </w:p>
    <w:p w14:paraId="13AE7521" w14:textId="77777777" w:rsidR="002B20A9" w:rsidRPr="00C86111" w:rsidRDefault="002B20A9" w:rsidP="002B20A9">
      <w:pPr>
        <w:jc w:val="both"/>
        <w:rPr>
          <w:rFonts w:asciiTheme="minorHAnsi" w:eastAsia="Times New Roman" w:hAnsiTheme="minorHAnsi" w:cstheme="minorHAnsi"/>
          <w:color w:val="auto"/>
          <w:lang w:eastAsia="en-GB"/>
        </w:rPr>
      </w:pPr>
    </w:p>
    <w:p w14:paraId="26D0244B" w14:textId="6D582523"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26D74" w:rsidRPr="00C86111">
        <w:rPr>
          <w:rFonts w:asciiTheme="minorHAnsi" w:eastAsia="SimSun" w:hAnsiTheme="minorHAnsi" w:cstheme="minorHAnsi"/>
          <w:b/>
          <w:bCs/>
          <w:color w:val="auto"/>
        </w:rPr>
        <w:t>91</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uvezenih sintetičkih tepiha za period 2017-2023 godina i procijenjene količine PFHxS</w:t>
      </w:r>
    </w:p>
    <w:tbl>
      <w:tblPr>
        <w:tblStyle w:val="GridTable5Dark-Accent6"/>
        <w:tblW w:w="8906" w:type="dxa"/>
        <w:tblLook w:val="04A0" w:firstRow="1" w:lastRow="0" w:firstColumn="1" w:lastColumn="0" w:noHBand="0" w:noVBand="1"/>
      </w:tblPr>
      <w:tblGrid>
        <w:gridCol w:w="1837"/>
        <w:gridCol w:w="1269"/>
        <w:gridCol w:w="1618"/>
        <w:gridCol w:w="2292"/>
        <w:gridCol w:w="1890"/>
      </w:tblGrid>
      <w:tr w:rsidR="002B20A9" w:rsidRPr="00C86111" w14:paraId="29234381" w14:textId="77777777" w:rsidTr="002A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03779C7B" w14:textId="77777777" w:rsidR="002B20A9" w:rsidRPr="00C86111" w:rsidRDefault="002B20A9" w:rsidP="002A416E">
            <w:pPr>
              <w:jc w:val="center"/>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1EBADE0C"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01E53127"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(kg)</w:t>
            </w:r>
          </w:p>
        </w:tc>
        <w:tc>
          <w:tcPr>
            <w:tcW w:w="2292" w:type="dxa"/>
            <w:vAlign w:val="center"/>
          </w:tcPr>
          <w:p w14:paraId="509B60E3"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PFHxS sadržaj</w:t>
            </w:r>
          </w:p>
          <w:p w14:paraId="73E0B563"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0E9B8E67"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(µg PFHxS/kg proizvoda)</w:t>
            </w:r>
          </w:p>
        </w:tc>
        <w:tc>
          <w:tcPr>
            <w:tcW w:w="1890" w:type="dxa"/>
            <w:vAlign w:val="center"/>
          </w:tcPr>
          <w:p w14:paraId="00B2CD94"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PFHxS (g)</w:t>
            </w:r>
          </w:p>
          <w:p w14:paraId="6685572B"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246DF380"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6624CEB1"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restart"/>
            <w:vAlign w:val="center"/>
          </w:tcPr>
          <w:p w14:paraId="48E162B6" w14:textId="77777777" w:rsidR="002B20A9" w:rsidRPr="00C86111" w:rsidRDefault="002B20A9" w:rsidP="002A416E">
            <w:pPr>
              <w:jc w:val="center"/>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Sintetički tepisi</w:t>
            </w:r>
          </w:p>
          <w:p w14:paraId="0994B876"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vAlign w:val="center"/>
          </w:tcPr>
          <w:p w14:paraId="29754044"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vAlign w:val="center"/>
          </w:tcPr>
          <w:p w14:paraId="122F296D"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369598</w:t>
            </w:r>
          </w:p>
        </w:tc>
        <w:tc>
          <w:tcPr>
            <w:tcW w:w="2292" w:type="dxa"/>
            <w:vAlign w:val="center"/>
          </w:tcPr>
          <w:p w14:paraId="36550155" w14:textId="3800100B"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0.448 – 5.016</w:t>
            </w:r>
          </w:p>
        </w:tc>
        <w:tc>
          <w:tcPr>
            <w:tcW w:w="1890" w:type="dxa"/>
            <w:vAlign w:val="center"/>
          </w:tcPr>
          <w:p w14:paraId="7620DF5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0.17-1.9</w:t>
            </w:r>
          </w:p>
        </w:tc>
      </w:tr>
      <w:tr w:rsidR="002B20A9" w:rsidRPr="00C86111" w14:paraId="59FEBE3A"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2D1A3E3C"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vAlign w:val="center"/>
          </w:tcPr>
          <w:p w14:paraId="62D246C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vAlign w:val="center"/>
          </w:tcPr>
          <w:p w14:paraId="37F24F55"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336922</w:t>
            </w:r>
          </w:p>
        </w:tc>
        <w:tc>
          <w:tcPr>
            <w:tcW w:w="2292" w:type="dxa"/>
            <w:vAlign w:val="center"/>
          </w:tcPr>
          <w:p w14:paraId="65DA4033" w14:textId="75744711"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0.448 – 5.016</w:t>
            </w:r>
          </w:p>
        </w:tc>
        <w:tc>
          <w:tcPr>
            <w:tcW w:w="1890" w:type="dxa"/>
            <w:vAlign w:val="center"/>
          </w:tcPr>
          <w:p w14:paraId="00DDD9F2"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0.15-1.7</w:t>
            </w:r>
          </w:p>
        </w:tc>
      </w:tr>
      <w:tr w:rsidR="002B20A9" w:rsidRPr="00C86111" w14:paraId="73891846"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1CD4A272"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vAlign w:val="center"/>
          </w:tcPr>
          <w:p w14:paraId="2468B985"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vAlign w:val="center"/>
          </w:tcPr>
          <w:p w14:paraId="60A1EF7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437076</w:t>
            </w:r>
          </w:p>
        </w:tc>
        <w:tc>
          <w:tcPr>
            <w:tcW w:w="2292" w:type="dxa"/>
            <w:vAlign w:val="center"/>
          </w:tcPr>
          <w:p w14:paraId="3F6BB0DF" w14:textId="08D7458D"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0.448 – 5.016</w:t>
            </w:r>
          </w:p>
        </w:tc>
        <w:tc>
          <w:tcPr>
            <w:tcW w:w="1890" w:type="dxa"/>
            <w:vAlign w:val="center"/>
          </w:tcPr>
          <w:p w14:paraId="216D274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0.20-2.2</w:t>
            </w:r>
          </w:p>
        </w:tc>
      </w:tr>
      <w:tr w:rsidR="002B20A9" w:rsidRPr="00C86111" w14:paraId="136BD66A"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6D751FD3"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vAlign w:val="center"/>
          </w:tcPr>
          <w:p w14:paraId="4152DF2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vAlign w:val="center"/>
          </w:tcPr>
          <w:p w14:paraId="2347E4F7"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393617</w:t>
            </w:r>
          </w:p>
        </w:tc>
        <w:tc>
          <w:tcPr>
            <w:tcW w:w="2292" w:type="dxa"/>
            <w:vAlign w:val="center"/>
          </w:tcPr>
          <w:p w14:paraId="18278CA2" w14:textId="4593D4C4"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0.448 – 5.016</w:t>
            </w:r>
          </w:p>
        </w:tc>
        <w:tc>
          <w:tcPr>
            <w:tcW w:w="1890" w:type="dxa"/>
            <w:vAlign w:val="center"/>
          </w:tcPr>
          <w:p w14:paraId="404ADF7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0.18-2.0</w:t>
            </w:r>
          </w:p>
        </w:tc>
      </w:tr>
      <w:tr w:rsidR="002B20A9" w:rsidRPr="00C86111" w14:paraId="1BB016EB"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2B0D4F7D"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vAlign w:val="center"/>
          </w:tcPr>
          <w:p w14:paraId="38AF43F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vAlign w:val="center"/>
          </w:tcPr>
          <w:p w14:paraId="36CFB84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401555</w:t>
            </w:r>
          </w:p>
        </w:tc>
        <w:tc>
          <w:tcPr>
            <w:tcW w:w="2292" w:type="dxa"/>
            <w:vAlign w:val="center"/>
          </w:tcPr>
          <w:p w14:paraId="59DDF35B" w14:textId="535632ED"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0.448 – 5.016</w:t>
            </w:r>
          </w:p>
        </w:tc>
        <w:tc>
          <w:tcPr>
            <w:tcW w:w="1890" w:type="dxa"/>
            <w:vAlign w:val="center"/>
          </w:tcPr>
          <w:p w14:paraId="32CDC94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0.19-2.0</w:t>
            </w:r>
          </w:p>
        </w:tc>
      </w:tr>
      <w:tr w:rsidR="002B20A9" w:rsidRPr="00C86111" w14:paraId="69ADDBCF"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4D6BF296"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vAlign w:val="center"/>
          </w:tcPr>
          <w:p w14:paraId="41464DB1"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vAlign w:val="center"/>
          </w:tcPr>
          <w:p w14:paraId="411F5A0A"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612119</w:t>
            </w:r>
          </w:p>
        </w:tc>
        <w:tc>
          <w:tcPr>
            <w:tcW w:w="2292" w:type="dxa"/>
            <w:vAlign w:val="center"/>
          </w:tcPr>
          <w:p w14:paraId="6ACE0A32" w14:textId="2CEC9221"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0.448 – 5.016</w:t>
            </w:r>
          </w:p>
        </w:tc>
        <w:tc>
          <w:tcPr>
            <w:tcW w:w="1890" w:type="dxa"/>
            <w:vAlign w:val="center"/>
          </w:tcPr>
          <w:p w14:paraId="7D6A14D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0.27-3.1</w:t>
            </w:r>
          </w:p>
        </w:tc>
      </w:tr>
      <w:tr w:rsidR="002B20A9" w:rsidRPr="00C86111" w14:paraId="3CAED405"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4DD68976"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vAlign w:val="center"/>
          </w:tcPr>
          <w:p w14:paraId="3A6457F9"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vAlign w:val="center"/>
          </w:tcPr>
          <w:p w14:paraId="368FB8B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553126</w:t>
            </w:r>
          </w:p>
        </w:tc>
        <w:tc>
          <w:tcPr>
            <w:tcW w:w="2292" w:type="dxa"/>
            <w:vAlign w:val="center"/>
          </w:tcPr>
          <w:p w14:paraId="42ADDC02" w14:textId="0AAEC246"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0.448 – 5.016</w:t>
            </w:r>
          </w:p>
        </w:tc>
        <w:tc>
          <w:tcPr>
            <w:tcW w:w="1890" w:type="dxa"/>
            <w:vAlign w:val="center"/>
          </w:tcPr>
          <w:p w14:paraId="22DE13EB"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0.25-2.8</w:t>
            </w:r>
          </w:p>
        </w:tc>
      </w:tr>
    </w:tbl>
    <w:p w14:paraId="1A089FC2" w14:textId="77777777" w:rsidR="002B20A9" w:rsidRPr="00C86111" w:rsidRDefault="002B20A9" w:rsidP="002B20A9">
      <w:pPr>
        <w:jc w:val="both"/>
        <w:rPr>
          <w:rFonts w:asciiTheme="minorHAnsi" w:hAnsiTheme="minorHAnsi" w:cstheme="minorHAnsi"/>
          <w:color w:val="auto"/>
        </w:rPr>
      </w:pPr>
    </w:p>
    <w:p w14:paraId="57E58415" w14:textId="77777777" w:rsidR="002B20A9" w:rsidRDefault="002B20A9" w:rsidP="002B20A9">
      <w:pPr>
        <w:jc w:val="both"/>
        <w:rPr>
          <w:rFonts w:asciiTheme="minorHAnsi" w:hAnsiTheme="minorHAnsi" w:cstheme="minorHAnsi"/>
          <w:color w:val="auto"/>
        </w:rPr>
      </w:pPr>
    </w:p>
    <w:p w14:paraId="514A7644" w14:textId="77777777" w:rsidR="0037538F" w:rsidRDefault="0037538F" w:rsidP="002B20A9">
      <w:pPr>
        <w:jc w:val="both"/>
        <w:rPr>
          <w:rFonts w:asciiTheme="minorHAnsi" w:hAnsiTheme="minorHAnsi" w:cstheme="minorHAnsi"/>
          <w:color w:val="auto"/>
        </w:rPr>
      </w:pPr>
    </w:p>
    <w:p w14:paraId="334C1CC8" w14:textId="77777777" w:rsidR="0037538F" w:rsidRDefault="0037538F" w:rsidP="002B20A9">
      <w:pPr>
        <w:jc w:val="both"/>
        <w:rPr>
          <w:rFonts w:asciiTheme="minorHAnsi" w:hAnsiTheme="minorHAnsi" w:cstheme="minorHAnsi"/>
          <w:color w:val="auto"/>
        </w:rPr>
      </w:pPr>
    </w:p>
    <w:p w14:paraId="3102F767" w14:textId="77777777" w:rsidR="0037538F" w:rsidRDefault="0037538F" w:rsidP="002B20A9">
      <w:pPr>
        <w:jc w:val="both"/>
        <w:rPr>
          <w:rFonts w:asciiTheme="minorHAnsi" w:hAnsiTheme="minorHAnsi" w:cstheme="minorHAnsi"/>
          <w:color w:val="auto"/>
        </w:rPr>
      </w:pPr>
    </w:p>
    <w:p w14:paraId="1BEAC943" w14:textId="77777777" w:rsidR="0037538F" w:rsidRPr="00C86111" w:rsidRDefault="0037538F" w:rsidP="002B20A9">
      <w:pPr>
        <w:jc w:val="both"/>
        <w:rPr>
          <w:rFonts w:asciiTheme="minorHAnsi" w:hAnsiTheme="minorHAnsi" w:cstheme="minorHAnsi"/>
          <w:color w:val="auto"/>
        </w:rPr>
      </w:pPr>
    </w:p>
    <w:p w14:paraId="1B08F2B9" w14:textId="21316569"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lastRenderedPageBreak/>
        <w:t xml:space="preserve">Tabela </w:t>
      </w:r>
      <w:r w:rsidR="00626D74" w:rsidRPr="00C86111">
        <w:rPr>
          <w:rFonts w:asciiTheme="minorHAnsi" w:eastAsia="SimSun" w:hAnsiTheme="minorHAnsi" w:cstheme="minorHAnsi"/>
          <w:b/>
          <w:bCs/>
          <w:color w:val="auto"/>
        </w:rPr>
        <w:t>92</w:t>
      </w:r>
      <w:r w:rsidRPr="00C86111">
        <w:rPr>
          <w:rFonts w:asciiTheme="minorHAnsi" w:eastAsia="SimSun" w:hAnsiTheme="minorHAnsi" w:cstheme="minorHAnsi"/>
          <w:b/>
          <w:bCs/>
          <w:color w:val="auto"/>
        </w:rPr>
        <w:t>.</w:t>
      </w:r>
      <w:r w:rsidRPr="00C86111">
        <w:rPr>
          <w:rFonts w:asciiTheme="minorHAnsi" w:eastAsia="SimSun" w:hAnsiTheme="minorHAnsi" w:cstheme="minorHAnsi"/>
          <w:color w:val="auto"/>
        </w:rPr>
        <w:t xml:space="preserve"> Količine uvezenog impregniranog tekstila za period 2017-2023 godina kao i procijenjene količine PFHxS</w:t>
      </w:r>
    </w:p>
    <w:tbl>
      <w:tblPr>
        <w:tblStyle w:val="GridTable5Dark-Accent6"/>
        <w:tblW w:w="8906" w:type="dxa"/>
        <w:tblLook w:val="04A0" w:firstRow="1" w:lastRow="0" w:firstColumn="1" w:lastColumn="0" w:noHBand="0" w:noVBand="1"/>
      </w:tblPr>
      <w:tblGrid>
        <w:gridCol w:w="1837"/>
        <w:gridCol w:w="1269"/>
        <w:gridCol w:w="1618"/>
        <w:gridCol w:w="2292"/>
        <w:gridCol w:w="1890"/>
      </w:tblGrid>
      <w:tr w:rsidR="002B20A9" w:rsidRPr="00C86111" w14:paraId="7B68BE85" w14:textId="77777777" w:rsidTr="002A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Align w:val="center"/>
          </w:tcPr>
          <w:p w14:paraId="5B632B2F" w14:textId="77777777" w:rsidR="002B20A9" w:rsidRPr="00C86111" w:rsidRDefault="002B20A9" w:rsidP="00BC765B">
            <w:pPr>
              <w:jc w:val="both"/>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vAlign w:val="center"/>
            <w:hideMark/>
          </w:tcPr>
          <w:p w14:paraId="067C9AEC"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vAlign w:val="center"/>
            <w:hideMark/>
          </w:tcPr>
          <w:p w14:paraId="754FF1F9"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(kg)</w:t>
            </w:r>
          </w:p>
        </w:tc>
        <w:tc>
          <w:tcPr>
            <w:tcW w:w="2292" w:type="dxa"/>
            <w:vAlign w:val="center"/>
          </w:tcPr>
          <w:p w14:paraId="1702DE09"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PFHxS sadržaj</w:t>
            </w:r>
          </w:p>
          <w:p w14:paraId="640CCD6B"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5A316D04"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(µg PFHxS/kg proizvoda)</w:t>
            </w:r>
          </w:p>
        </w:tc>
        <w:tc>
          <w:tcPr>
            <w:tcW w:w="1890" w:type="dxa"/>
            <w:vAlign w:val="center"/>
          </w:tcPr>
          <w:p w14:paraId="353028EA"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PFHxS (g)</w:t>
            </w:r>
          </w:p>
          <w:p w14:paraId="139E7985"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41A894FE" w14:textId="77777777" w:rsidR="002B20A9" w:rsidRPr="00C86111" w:rsidRDefault="002B20A9" w:rsidP="00E71878">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00317139"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restart"/>
            <w:vAlign w:val="center"/>
          </w:tcPr>
          <w:p w14:paraId="7C61E3E2"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Impregnirani tekstil</w:t>
            </w:r>
          </w:p>
          <w:p w14:paraId="527040C6" w14:textId="77777777" w:rsidR="002B20A9" w:rsidRPr="00C86111" w:rsidRDefault="002B20A9" w:rsidP="00BC765B">
            <w:pPr>
              <w:jc w:val="both"/>
              <w:rPr>
                <w:rFonts w:asciiTheme="minorHAnsi" w:hAnsiTheme="minorHAnsi" w:cstheme="minorHAnsi"/>
                <w:color w:val="auto"/>
                <w:sz w:val="20"/>
                <w:szCs w:val="20"/>
              </w:rPr>
            </w:pPr>
          </w:p>
        </w:tc>
        <w:tc>
          <w:tcPr>
            <w:tcW w:w="1269" w:type="dxa"/>
            <w:vAlign w:val="center"/>
          </w:tcPr>
          <w:p w14:paraId="3771C68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vAlign w:val="center"/>
          </w:tcPr>
          <w:p w14:paraId="22D9A6F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67709</w:t>
            </w:r>
          </w:p>
        </w:tc>
        <w:tc>
          <w:tcPr>
            <w:tcW w:w="2292" w:type="dxa"/>
            <w:vAlign w:val="center"/>
          </w:tcPr>
          <w:p w14:paraId="12E6687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90" w:type="dxa"/>
            <w:vAlign w:val="center"/>
          </w:tcPr>
          <w:p w14:paraId="2C42227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0.015-0.20</w:t>
            </w:r>
          </w:p>
        </w:tc>
      </w:tr>
      <w:tr w:rsidR="002B20A9" w:rsidRPr="00C86111" w14:paraId="1AB8E30A"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03D15574"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vAlign w:val="center"/>
          </w:tcPr>
          <w:p w14:paraId="10C7EA0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vAlign w:val="center"/>
          </w:tcPr>
          <w:p w14:paraId="606A012B"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55382</w:t>
            </w:r>
          </w:p>
        </w:tc>
        <w:tc>
          <w:tcPr>
            <w:tcW w:w="2292" w:type="dxa"/>
            <w:vAlign w:val="center"/>
          </w:tcPr>
          <w:p w14:paraId="5DBBB47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90" w:type="dxa"/>
            <w:vAlign w:val="center"/>
          </w:tcPr>
          <w:p w14:paraId="0507E3C0"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0.012-0.16</w:t>
            </w:r>
          </w:p>
        </w:tc>
      </w:tr>
      <w:tr w:rsidR="002B20A9" w:rsidRPr="00C86111" w14:paraId="72EF82B9"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41EAC981"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vAlign w:val="center"/>
          </w:tcPr>
          <w:p w14:paraId="67412FA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vAlign w:val="center"/>
          </w:tcPr>
          <w:p w14:paraId="4ACE190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53522</w:t>
            </w:r>
          </w:p>
        </w:tc>
        <w:tc>
          <w:tcPr>
            <w:tcW w:w="2292" w:type="dxa"/>
            <w:vAlign w:val="center"/>
          </w:tcPr>
          <w:p w14:paraId="5FA3B31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90" w:type="dxa"/>
            <w:vAlign w:val="center"/>
          </w:tcPr>
          <w:p w14:paraId="261AF32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0.012-0.16</w:t>
            </w:r>
          </w:p>
        </w:tc>
      </w:tr>
      <w:tr w:rsidR="002B20A9" w:rsidRPr="00C86111" w14:paraId="34809556"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6976E5B2"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vAlign w:val="center"/>
          </w:tcPr>
          <w:p w14:paraId="1156CC7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vAlign w:val="center"/>
          </w:tcPr>
          <w:p w14:paraId="49EF7D53"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43857</w:t>
            </w:r>
          </w:p>
        </w:tc>
        <w:tc>
          <w:tcPr>
            <w:tcW w:w="2292" w:type="dxa"/>
            <w:vAlign w:val="center"/>
          </w:tcPr>
          <w:p w14:paraId="03A7AF8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90" w:type="dxa"/>
            <w:vAlign w:val="center"/>
          </w:tcPr>
          <w:p w14:paraId="530651E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0.010-0.13</w:t>
            </w:r>
          </w:p>
        </w:tc>
      </w:tr>
      <w:tr w:rsidR="002B20A9" w:rsidRPr="00C86111" w14:paraId="55255B77"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43EDC13C"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vAlign w:val="center"/>
          </w:tcPr>
          <w:p w14:paraId="131AEF18"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vAlign w:val="center"/>
          </w:tcPr>
          <w:p w14:paraId="0B532C7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45335</w:t>
            </w:r>
          </w:p>
        </w:tc>
        <w:tc>
          <w:tcPr>
            <w:tcW w:w="2292" w:type="dxa"/>
            <w:vAlign w:val="center"/>
          </w:tcPr>
          <w:p w14:paraId="10DD5BF3"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90" w:type="dxa"/>
            <w:vAlign w:val="center"/>
          </w:tcPr>
          <w:p w14:paraId="171D2BC8"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0.010-0.13</w:t>
            </w:r>
          </w:p>
        </w:tc>
      </w:tr>
      <w:tr w:rsidR="002B20A9" w:rsidRPr="00C86111" w14:paraId="39DB802F"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1532CCD5"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vAlign w:val="center"/>
          </w:tcPr>
          <w:p w14:paraId="58E8D0B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vAlign w:val="center"/>
          </w:tcPr>
          <w:p w14:paraId="769C8F77"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52675</w:t>
            </w:r>
          </w:p>
        </w:tc>
        <w:tc>
          <w:tcPr>
            <w:tcW w:w="2292" w:type="dxa"/>
            <w:vAlign w:val="center"/>
          </w:tcPr>
          <w:p w14:paraId="6F38B9E5"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90" w:type="dxa"/>
            <w:vAlign w:val="center"/>
          </w:tcPr>
          <w:p w14:paraId="6E40752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0.012-0.15</w:t>
            </w:r>
          </w:p>
        </w:tc>
      </w:tr>
      <w:tr w:rsidR="002B20A9" w:rsidRPr="00C86111" w14:paraId="019A0571"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ign w:val="center"/>
          </w:tcPr>
          <w:p w14:paraId="34D16045" w14:textId="77777777" w:rsidR="002B20A9" w:rsidRPr="00C86111" w:rsidRDefault="002B20A9" w:rsidP="00BC765B">
            <w:pPr>
              <w:jc w:val="both"/>
              <w:rPr>
                <w:rFonts w:asciiTheme="minorHAnsi" w:eastAsia="Times New Roman" w:hAnsiTheme="minorHAnsi" w:cstheme="minorHAnsi"/>
                <w:color w:val="auto"/>
                <w:sz w:val="20"/>
                <w:szCs w:val="20"/>
              </w:rPr>
            </w:pPr>
          </w:p>
        </w:tc>
        <w:tc>
          <w:tcPr>
            <w:tcW w:w="1269" w:type="dxa"/>
            <w:vAlign w:val="center"/>
          </w:tcPr>
          <w:p w14:paraId="5F66FEB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vAlign w:val="center"/>
          </w:tcPr>
          <w:p w14:paraId="0D45E56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72272</w:t>
            </w:r>
          </w:p>
        </w:tc>
        <w:tc>
          <w:tcPr>
            <w:tcW w:w="2292" w:type="dxa"/>
            <w:vAlign w:val="center"/>
          </w:tcPr>
          <w:p w14:paraId="4D7D9799"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90" w:type="dxa"/>
            <w:vAlign w:val="center"/>
          </w:tcPr>
          <w:p w14:paraId="662DAED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0.016-0.21</w:t>
            </w:r>
          </w:p>
        </w:tc>
      </w:tr>
    </w:tbl>
    <w:p w14:paraId="0CCF7986" w14:textId="77777777" w:rsidR="002B20A9" w:rsidRPr="00C86111" w:rsidRDefault="002B20A9" w:rsidP="002B20A9">
      <w:pPr>
        <w:jc w:val="both"/>
        <w:rPr>
          <w:rFonts w:asciiTheme="minorHAnsi" w:eastAsia="SimSun" w:hAnsiTheme="minorHAnsi" w:cstheme="minorHAnsi"/>
          <w:b/>
          <w:bCs/>
          <w:color w:val="auto"/>
        </w:rPr>
      </w:pPr>
    </w:p>
    <w:p w14:paraId="57BB0FA0" w14:textId="77777777" w:rsidR="002B20A9" w:rsidRPr="00C86111" w:rsidRDefault="002B20A9" w:rsidP="002B20A9">
      <w:pPr>
        <w:jc w:val="both"/>
        <w:rPr>
          <w:rFonts w:asciiTheme="minorHAnsi" w:eastAsia="SimSun" w:hAnsiTheme="minorHAnsi" w:cstheme="minorHAnsi"/>
          <w:b/>
          <w:bCs/>
          <w:color w:val="auto"/>
        </w:rPr>
      </w:pPr>
    </w:p>
    <w:p w14:paraId="3E53419B" w14:textId="4A543B31"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b/>
          <w:bCs/>
          <w:color w:val="auto"/>
        </w:rPr>
        <w:t xml:space="preserve">Tabela </w:t>
      </w:r>
      <w:r w:rsidR="00626D74" w:rsidRPr="00C86111">
        <w:rPr>
          <w:rFonts w:asciiTheme="minorHAnsi" w:eastAsia="SimSun" w:hAnsiTheme="minorHAnsi" w:cstheme="minorHAnsi"/>
          <w:b/>
          <w:bCs/>
          <w:color w:val="auto"/>
        </w:rPr>
        <w:t>93</w:t>
      </w:r>
      <w:r w:rsidRPr="00C86111">
        <w:rPr>
          <w:rFonts w:asciiTheme="minorHAnsi" w:eastAsia="SimSun" w:hAnsiTheme="minorHAnsi" w:cstheme="minorHAnsi"/>
          <w:color w:val="auto"/>
        </w:rPr>
        <w:t>. Količine uvezene impregnirane odjeće za period 2017-2023 godina kao i procijenjene količine PFHxS</w:t>
      </w:r>
    </w:p>
    <w:tbl>
      <w:tblPr>
        <w:tblStyle w:val="GridTable5Dark-Accent6"/>
        <w:tblW w:w="8906" w:type="dxa"/>
        <w:tblLook w:val="04A0" w:firstRow="1" w:lastRow="0" w:firstColumn="1" w:lastColumn="0" w:noHBand="0" w:noVBand="1"/>
      </w:tblPr>
      <w:tblGrid>
        <w:gridCol w:w="1837"/>
        <w:gridCol w:w="1269"/>
        <w:gridCol w:w="1618"/>
        <w:gridCol w:w="2292"/>
        <w:gridCol w:w="1890"/>
      </w:tblGrid>
      <w:tr w:rsidR="002B20A9" w:rsidRPr="00C86111" w14:paraId="003C0EBC" w14:textId="77777777" w:rsidTr="002A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39389CB1" w14:textId="77777777" w:rsidR="002B20A9" w:rsidRPr="00C86111" w:rsidRDefault="002B20A9" w:rsidP="002A416E">
            <w:pPr>
              <w:jc w:val="center"/>
              <w:rPr>
                <w:rFonts w:asciiTheme="minorHAnsi" w:eastAsia="Times New Roman"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Proizvod</w:t>
            </w:r>
          </w:p>
        </w:tc>
        <w:tc>
          <w:tcPr>
            <w:tcW w:w="1269" w:type="dxa"/>
            <w:hideMark/>
          </w:tcPr>
          <w:p w14:paraId="4BDFFAFB"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Times New Roman" w:hAnsiTheme="minorHAnsi" w:cstheme="minorHAnsi"/>
                <w:color w:val="auto"/>
                <w:sz w:val="20"/>
                <w:szCs w:val="20"/>
                <w:lang w:val="sr-Latn-ME"/>
              </w:rPr>
              <w:t>Godina</w:t>
            </w:r>
          </w:p>
        </w:tc>
        <w:tc>
          <w:tcPr>
            <w:tcW w:w="1618" w:type="dxa"/>
            <w:hideMark/>
          </w:tcPr>
          <w:p w14:paraId="6AAC505D"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Količina (kg)</w:t>
            </w:r>
          </w:p>
        </w:tc>
        <w:tc>
          <w:tcPr>
            <w:tcW w:w="2292" w:type="dxa"/>
          </w:tcPr>
          <w:p w14:paraId="6F93F02D"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PFHxS sadržaj</w:t>
            </w:r>
          </w:p>
          <w:p w14:paraId="1971D9DF"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3FC00CAA"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(µg PFHxS/kg proizvoda)</w:t>
            </w:r>
          </w:p>
        </w:tc>
        <w:tc>
          <w:tcPr>
            <w:tcW w:w="1890" w:type="dxa"/>
          </w:tcPr>
          <w:p w14:paraId="45B2A8A1"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PFHxS (g)</w:t>
            </w:r>
          </w:p>
          <w:p w14:paraId="71FBFE47"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6B56E92B" w14:textId="77777777" w:rsidR="002B20A9" w:rsidRPr="00C86111" w:rsidRDefault="002B20A9" w:rsidP="002A416E">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5C2F284A"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val="restart"/>
          </w:tcPr>
          <w:p w14:paraId="1B0DFC5E" w14:textId="77777777" w:rsidR="002B20A9" w:rsidRPr="00C86111" w:rsidRDefault="002B20A9" w:rsidP="002A416E">
            <w:pPr>
              <w:jc w:val="center"/>
              <w:rPr>
                <w:rFonts w:asciiTheme="minorHAnsi" w:hAnsiTheme="minorHAnsi" w:cstheme="minorHAnsi"/>
                <w:color w:val="auto"/>
                <w:sz w:val="20"/>
                <w:szCs w:val="20"/>
              </w:rPr>
            </w:pPr>
            <w:r w:rsidRPr="00C86111">
              <w:rPr>
                <w:rFonts w:asciiTheme="minorHAnsi" w:hAnsiTheme="minorHAnsi" w:cstheme="minorHAnsi"/>
                <w:color w:val="auto"/>
                <w:sz w:val="20"/>
                <w:szCs w:val="20"/>
              </w:rPr>
              <w:t>Impregnirana odjeća</w:t>
            </w:r>
          </w:p>
        </w:tc>
        <w:tc>
          <w:tcPr>
            <w:tcW w:w="1269" w:type="dxa"/>
          </w:tcPr>
          <w:p w14:paraId="0297733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2017</w:t>
            </w:r>
          </w:p>
        </w:tc>
        <w:tc>
          <w:tcPr>
            <w:tcW w:w="1618" w:type="dxa"/>
          </w:tcPr>
          <w:p w14:paraId="072C281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10826</w:t>
            </w:r>
          </w:p>
        </w:tc>
        <w:tc>
          <w:tcPr>
            <w:tcW w:w="2292" w:type="dxa"/>
          </w:tcPr>
          <w:p w14:paraId="440B317C"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Calibri" w:hAnsiTheme="minorHAnsi" w:cstheme="minorHAnsi"/>
                <w:color w:val="auto"/>
                <w:sz w:val="20"/>
                <w:szCs w:val="20"/>
              </w:rPr>
              <w:t>0 – 2260</w:t>
            </w:r>
          </w:p>
        </w:tc>
        <w:tc>
          <w:tcPr>
            <w:tcW w:w="1890" w:type="dxa"/>
          </w:tcPr>
          <w:p w14:paraId="7C7629D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0-25</w:t>
            </w:r>
          </w:p>
        </w:tc>
      </w:tr>
      <w:tr w:rsidR="002B20A9" w:rsidRPr="00C86111" w14:paraId="0FB8DECC"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18299858"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tcPr>
          <w:p w14:paraId="0EC62C4F"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2018</w:t>
            </w:r>
          </w:p>
        </w:tc>
        <w:tc>
          <w:tcPr>
            <w:tcW w:w="1618" w:type="dxa"/>
          </w:tcPr>
          <w:p w14:paraId="639E78FC"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9204</w:t>
            </w:r>
          </w:p>
        </w:tc>
        <w:tc>
          <w:tcPr>
            <w:tcW w:w="2292" w:type="dxa"/>
          </w:tcPr>
          <w:p w14:paraId="519454C8"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 – 2260</w:t>
            </w:r>
          </w:p>
        </w:tc>
        <w:tc>
          <w:tcPr>
            <w:tcW w:w="1890" w:type="dxa"/>
          </w:tcPr>
          <w:p w14:paraId="4285527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0-21</w:t>
            </w:r>
          </w:p>
        </w:tc>
      </w:tr>
      <w:tr w:rsidR="002B20A9" w:rsidRPr="00C86111" w14:paraId="35C2FCFA"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4247E37E"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tcPr>
          <w:p w14:paraId="5AEF392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eastAsia="Times New Roman" w:hAnsiTheme="minorHAnsi" w:cstheme="minorHAnsi"/>
                <w:color w:val="auto"/>
                <w:sz w:val="20"/>
                <w:szCs w:val="20"/>
              </w:rPr>
              <w:t>2019</w:t>
            </w:r>
          </w:p>
        </w:tc>
        <w:tc>
          <w:tcPr>
            <w:tcW w:w="1618" w:type="dxa"/>
          </w:tcPr>
          <w:p w14:paraId="266F9775"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12848</w:t>
            </w:r>
          </w:p>
        </w:tc>
        <w:tc>
          <w:tcPr>
            <w:tcW w:w="2292" w:type="dxa"/>
          </w:tcPr>
          <w:p w14:paraId="22122FA2"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 – 2260</w:t>
            </w:r>
          </w:p>
        </w:tc>
        <w:tc>
          <w:tcPr>
            <w:tcW w:w="1890" w:type="dxa"/>
          </w:tcPr>
          <w:p w14:paraId="2EBA224F"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0-29</w:t>
            </w:r>
          </w:p>
        </w:tc>
      </w:tr>
      <w:tr w:rsidR="002B20A9" w:rsidRPr="00C86111" w14:paraId="507553C4"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146FD937"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tcPr>
          <w:p w14:paraId="21ECD704"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2020</w:t>
            </w:r>
          </w:p>
        </w:tc>
        <w:tc>
          <w:tcPr>
            <w:tcW w:w="1618" w:type="dxa"/>
          </w:tcPr>
          <w:p w14:paraId="16018B9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26909</w:t>
            </w:r>
          </w:p>
        </w:tc>
        <w:tc>
          <w:tcPr>
            <w:tcW w:w="2292" w:type="dxa"/>
          </w:tcPr>
          <w:p w14:paraId="54552993"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 – 2260</w:t>
            </w:r>
          </w:p>
        </w:tc>
        <w:tc>
          <w:tcPr>
            <w:tcW w:w="1890" w:type="dxa"/>
          </w:tcPr>
          <w:p w14:paraId="6228C0B2"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0-61</w:t>
            </w:r>
          </w:p>
        </w:tc>
      </w:tr>
      <w:tr w:rsidR="002B20A9" w:rsidRPr="00C86111" w14:paraId="4536DFF2"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401B5DA5"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tcPr>
          <w:p w14:paraId="74E45BCE"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2021</w:t>
            </w:r>
          </w:p>
        </w:tc>
        <w:tc>
          <w:tcPr>
            <w:tcW w:w="1618" w:type="dxa"/>
          </w:tcPr>
          <w:p w14:paraId="77A2D802"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12326</w:t>
            </w:r>
          </w:p>
        </w:tc>
        <w:tc>
          <w:tcPr>
            <w:tcW w:w="2292" w:type="dxa"/>
          </w:tcPr>
          <w:p w14:paraId="3D45AD67"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 – 2260</w:t>
            </w:r>
          </w:p>
        </w:tc>
        <w:tc>
          <w:tcPr>
            <w:tcW w:w="1890" w:type="dxa"/>
          </w:tcPr>
          <w:p w14:paraId="351A18D1"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0-28</w:t>
            </w:r>
          </w:p>
        </w:tc>
      </w:tr>
      <w:tr w:rsidR="002B20A9" w:rsidRPr="00C86111" w14:paraId="7536A866" w14:textId="77777777" w:rsidTr="002A416E">
        <w:tc>
          <w:tcPr>
            <w:cnfStyle w:val="001000000000" w:firstRow="0" w:lastRow="0" w:firstColumn="1" w:lastColumn="0" w:oddVBand="0" w:evenVBand="0" w:oddHBand="0" w:evenHBand="0" w:firstRowFirstColumn="0" w:firstRowLastColumn="0" w:lastRowFirstColumn="0" w:lastRowLastColumn="0"/>
            <w:tcW w:w="1837" w:type="dxa"/>
            <w:vMerge/>
          </w:tcPr>
          <w:p w14:paraId="653A0E78"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tcPr>
          <w:p w14:paraId="7F49FD56"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2022</w:t>
            </w:r>
          </w:p>
        </w:tc>
        <w:tc>
          <w:tcPr>
            <w:tcW w:w="1618" w:type="dxa"/>
          </w:tcPr>
          <w:p w14:paraId="5488D416"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10449</w:t>
            </w:r>
          </w:p>
        </w:tc>
        <w:tc>
          <w:tcPr>
            <w:tcW w:w="2292" w:type="dxa"/>
          </w:tcPr>
          <w:p w14:paraId="203D35F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 – 2260</w:t>
            </w:r>
          </w:p>
        </w:tc>
        <w:tc>
          <w:tcPr>
            <w:tcW w:w="1890" w:type="dxa"/>
          </w:tcPr>
          <w:p w14:paraId="674C4D19" w14:textId="77777777" w:rsidR="002B20A9" w:rsidRPr="00C86111" w:rsidRDefault="002B20A9" w:rsidP="002A416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0-24</w:t>
            </w:r>
          </w:p>
        </w:tc>
      </w:tr>
      <w:tr w:rsidR="002B20A9" w:rsidRPr="00C86111" w14:paraId="1DE8C53E" w14:textId="77777777" w:rsidTr="002A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vMerge/>
          </w:tcPr>
          <w:p w14:paraId="4CE7359C" w14:textId="77777777" w:rsidR="002B20A9" w:rsidRPr="00C86111" w:rsidRDefault="002B20A9" w:rsidP="002A416E">
            <w:pPr>
              <w:jc w:val="center"/>
              <w:rPr>
                <w:rFonts w:asciiTheme="minorHAnsi" w:eastAsia="Times New Roman" w:hAnsiTheme="minorHAnsi" w:cstheme="minorHAnsi"/>
                <w:color w:val="auto"/>
                <w:sz w:val="20"/>
                <w:szCs w:val="20"/>
              </w:rPr>
            </w:pPr>
          </w:p>
        </w:tc>
        <w:tc>
          <w:tcPr>
            <w:tcW w:w="1269" w:type="dxa"/>
          </w:tcPr>
          <w:p w14:paraId="5D007285"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Times New Roman" w:hAnsiTheme="minorHAnsi" w:cstheme="minorHAnsi"/>
                <w:color w:val="auto"/>
                <w:sz w:val="20"/>
                <w:szCs w:val="20"/>
              </w:rPr>
              <w:t>2023</w:t>
            </w:r>
          </w:p>
        </w:tc>
        <w:tc>
          <w:tcPr>
            <w:tcW w:w="1618" w:type="dxa"/>
          </w:tcPr>
          <w:p w14:paraId="753631C7"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9471</w:t>
            </w:r>
          </w:p>
        </w:tc>
        <w:tc>
          <w:tcPr>
            <w:tcW w:w="2292" w:type="dxa"/>
          </w:tcPr>
          <w:p w14:paraId="3B209ADA"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rPr>
            </w:pPr>
            <w:r w:rsidRPr="00C86111">
              <w:rPr>
                <w:rFonts w:asciiTheme="minorHAnsi" w:eastAsia="Calibri" w:hAnsiTheme="minorHAnsi" w:cstheme="minorHAnsi"/>
                <w:color w:val="auto"/>
                <w:sz w:val="20"/>
                <w:szCs w:val="20"/>
              </w:rPr>
              <w:t>0 – 2260</w:t>
            </w:r>
          </w:p>
        </w:tc>
        <w:tc>
          <w:tcPr>
            <w:tcW w:w="1890" w:type="dxa"/>
          </w:tcPr>
          <w:p w14:paraId="6CE164E6" w14:textId="77777777" w:rsidR="002B20A9" w:rsidRPr="00C86111" w:rsidRDefault="002B20A9" w:rsidP="002A416E">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rPr>
            </w:pPr>
            <w:r w:rsidRPr="00C86111">
              <w:rPr>
                <w:rFonts w:asciiTheme="minorHAnsi" w:hAnsiTheme="minorHAnsi" w:cstheme="minorHAnsi"/>
                <w:color w:val="auto"/>
                <w:sz w:val="20"/>
                <w:szCs w:val="20"/>
              </w:rPr>
              <w:t>0-21</w:t>
            </w:r>
          </w:p>
        </w:tc>
      </w:tr>
    </w:tbl>
    <w:p w14:paraId="05E38E67" w14:textId="77777777" w:rsidR="002B20A9" w:rsidRPr="00C86111" w:rsidRDefault="002B20A9" w:rsidP="002B20A9">
      <w:pPr>
        <w:jc w:val="both"/>
        <w:rPr>
          <w:rFonts w:asciiTheme="minorHAnsi" w:eastAsia="Times New Roman" w:hAnsiTheme="minorHAnsi" w:cstheme="minorHAnsi"/>
          <w:color w:val="auto"/>
          <w:lang w:eastAsia="en-GB"/>
        </w:rPr>
      </w:pPr>
    </w:p>
    <w:p w14:paraId="7DF484F9" w14:textId="77777777" w:rsidR="002B20A9" w:rsidRPr="00C86111" w:rsidRDefault="002B20A9" w:rsidP="00004F34">
      <w:pPr>
        <w:pStyle w:val="Heading1"/>
        <w:numPr>
          <w:ilvl w:val="1"/>
          <w:numId w:val="238"/>
        </w:numPr>
        <w:rPr>
          <w:lang w:eastAsia="en-GB"/>
        </w:rPr>
      </w:pPr>
      <w:bookmarkStart w:id="362" w:name="_Toc220541956"/>
      <w:r w:rsidRPr="00C86111">
        <w:rPr>
          <w:lang w:eastAsia="en-GB"/>
        </w:rPr>
        <w:t>Zaključak – PFOA i PFHxS u proizvodima na potrošačkom tržištu</w:t>
      </w:r>
      <w:bookmarkEnd w:id="362"/>
    </w:p>
    <w:p w14:paraId="289E52BF" w14:textId="77777777" w:rsidR="002B20A9" w:rsidRPr="00C86111" w:rsidRDefault="002B20A9" w:rsidP="002B20A9">
      <w:pPr>
        <w:jc w:val="both"/>
        <w:rPr>
          <w:rFonts w:asciiTheme="minorHAnsi" w:eastAsia="Times New Roman" w:hAnsiTheme="minorHAnsi" w:cstheme="minorHAnsi"/>
          <w:color w:val="002060"/>
          <w:lang w:eastAsia="en-GB"/>
        </w:rPr>
      </w:pPr>
    </w:p>
    <w:p w14:paraId="5CD940D4"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Na osnovu dobijenih rezultata koji se odnose na potencijalni sadržaj perfluorooktanske kiseline (PFOA) i perfluoroheksanske sulfonatne kiseline (PFHxS) u različitim vrstama proizvoda, mogu se izvesti sljedeći zaključci:</w:t>
      </w:r>
    </w:p>
    <w:p w14:paraId="1598DDE2" w14:textId="77777777" w:rsidR="002B20A9" w:rsidRPr="00C86111" w:rsidRDefault="002B20A9" w:rsidP="00004F34">
      <w:pPr>
        <w:pStyle w:val="ListParagraph"/>
        <w:numPr>
          <w:ilvl w:val="0"/>
          <w:numId w:val="155"/>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Sintetički tepisi:</w:t>
      </w:r>
    </w:p>
    <w:p w14:paraId="2484EAEA" w14:textId="77777777" w:rsidR="002B20A9" w:rsidRPr="00C86111" w:rsidRDefault="002B20A9" w:rsidP="00004F34">
      <w:pPr>
        <w:pStyle w:val="ListParagraph"/>
        <w:numPr>
          <w:ilvl w:val="0"/>
          <w:numId w:val="15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Maksimalna procijenjena količina PFOA u sintetičkim tepisima povećava se proporcionalno količinama uvezenih proizvoda, dostižući do 138 kg godišnje u 2022. godini.</w:t>
      </w:r>
    </w:p>
    <w:p w14:paraId="1A34D53F" w14:textId="77777777" w:rsidR="002B20A9" w:rsidRPr="00C86111" w:rsidRDefault="002B20A9" w:rsidP="00004F34">
      <w:pPr>
        <w:pStyle w:val="ListParagraph"/>
        <w:numPr>
          <w:ilvl w:val="0"/>
          <w:numId w:val="15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Sadržaj PFHxS u sintetičkim tepisima je znatno niži, s procjenama koje dostižu najviše 3,1 g godišnje.</w:t>
      </w:r>
    </w:p>
    <w:p w14:paraId="77E59B3D" w14:textId="77777777" w:rsidR="002B20A9" w:rsidRPr="00C86111" w:rsidRDefault="002B20A9" w:rsidP="00004F34">
      <w:pPr>
        <w:pStyle w:val="ListParagraph"/>
        <w:numPr>
          <w:ilvl w:val="0"/>
          <w:numId w:val="155"/>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Premazani i impregnirani papir:</w:t>
      </w:r>
    </w:p>
    <w:p w14:paraId="3E816CB2" w14:textId="77777777" w:rsidR="002B20A9" w:rsidRPr="00C86111" w:rsidRDefault="002B20A9" w:rsidP="00004F34">
      <w:pPr>
        <w:pStyle w:val="ListParagraph"/>
        <w:numPr>
          <w:ilvl w:val="0"/>
          <w:numId w:val="157"/>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Procijenjene količine PFOA u ovim materijalima kreću se od nekoliko stotina kilograma do gotovo jedne tone godišnje, što ukazuje na značajan rizik od kontaminacije otpada i mogućih emisija u životnu sredinu.</w:t>
      </w:r>
    </w:p>
    <w:p w14:paraId="0633B41F" w14:textId="77777777" w:rsidR="002B20A9" w:rsidRPr="00C86111" w:rsidRDefault="002B20A9" w:rsidP="00004F34">
      <w:pPr>
        <w:pStyle w:val="ListParagraph"/>
        <w:numPr>
          <w:ilvl w:val="0"/>
          <w:numId w:val="155"/>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Impregnirani tekstil:</w:t>
      </w:r>
    </w:p>
    <w:p w14:paraId="0891B95F" w14:textId="77777777" w:rsidR="002B20A9" w:rsidRPr="00C86111" w:rsidRDefault="002B20A9" w:rsidP="00004F34">
      <w:pPr>
        <w:pStyle w:val="ListParagraph"/>
        <w:numPr>
          <w:ilvl w:val="0"/>
          <w:numId w:val="157"/>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lastRenderedPageBreak/>
        <w:t>Sadržaj PFOA u ovim materijalima procjenjuje se kao veoma nizak, sa maksimalnim godišnjim vrijednostima od 19,2 g, što ukazuje na manji značaj ovog izvora u poređenju sa sintetičkim tepisima i papirom.</w:t>
      </w:r>
    </w:p>
    <w:p w14:paraId="59811627" w14:textId="77777777" w:rsidR="002B20A9" w:rsidRPr="00C86111" w:rsidRDefault="002B20A9" w:rsidP="00004F34">
      <w:pPr>
        <w:pStyle w:val="ListParagraph"/>
        <w:numPr>
          <w:ilvl w:val="0"/>
          <w:numId w:val="157"/>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Sadržaj PFHxS u impregniranim tekstilima je zanemarljiv, sa maksimalnim vrijednostima od 0,21 g godišnje.</w:t>
      </w:r>
    </w:p>
    <w:p w14:paraId="483BA930" w14:textId="77777777" w:rsidR="002B20A9" w:rsidRPr="00C86111" w:rsidRDefault="002B20A9" w:rsidP="00004F34">
      <w:pPr>
        <w:pStyle w:val="ListParagraph"/>
        <w:numPr>
          <w:ilvl w:val="0"/>
          <w:numId w:val="155"/>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Impregnirana odjeća:</w:t>
      </w:r>
    </w:p>
    <w:p w14:paraId="33D67A2B" w14:textId="77777777" w:rsidR="002B20A9" w:rsidRPr="00C86111" w:rsidRDefault="002B20A9" w:rsidP="00004F34">
      <w:pPr>
        <w:pStyle w:val="ListParagraph"/>
        <w:numPr>
          <w:ilvl w:val="0"/>
          <w:numId w:val="158"/>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Procijenjene količine PFOA u ovoj kategoriji proizvoda su minimalne, sa godišnjim vrijednostima koje ne prelaze 2,8 g.</w:t>
      </w:r>
    </w:p>
    <w:p w14:paraId="46199465" w14:textId="77777777" w:rsidR="002B20A9" w:rsidRPr="00C86111" w:rsidRDefault="002B20A9" w:rsidP="00004F34">
      <w:pPr>
        <w:pStyle w:val="ListParagraph"/>
        <w:numPr>
          <w:ilvl w:val="0"/>
          <w:numId w:val="158"/>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Procjene PFHxS pokazuju veću varijabilnost zbog širokog raspona referentnih vrijednosti i kreću se od 0 do 61 g godišnje.</w:t>
      </w:r>
    </w:p>
    <w:p w14:paraId="5E5EB930"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Inventar potrošačkih proizvoda uvezenih u Crnu Goru za period 2017–2023. godine ukazuje na to da su sintetički tepisi i premazani/impregnirani papir najznačajniji potencijalni izvori PFOA, dok se PFHxS pojavljuje u znatno manjim količinama i uglavnom je povezan sa tepisima i impregniranom odjećom.</w:t>
      </w:r>
    </w:p>
    <w:p w14:paraId="72F33FC0"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Za ove vrste proizvoda važno je naglasiti da podaci koje obezbjeđuje Uprava carina omogućavaju samo približnu procjenu sadržaja PFOA i PFHxS. Zbog opšte prirode tarifnih brojeva, nije moguće precizno identifikovati konkretne proizvode koji mogu sadržati ove supstance.</w:t>
      </w:r>
    </w:p>
    <w:p w14:paraId="78E1965E"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Shodno tome, prikazane količine PFOA i PFHxS predstavljaju teorijski izračunate vrijednosti, zasnovane na pretpostavci da cjelokupna količina uvezenih proizvoda sadrži ove supstance. U određenim slučajevima, kao što su premazani i impregnirani papir, ovaj pristup najvjerovatnije dovodi do precjenjivanja stvarnih količina ovih supstanci.</w:t>
      </w:r>
    </w:p>
    <w:p w14:paraId="570A965B" w14:textId="77777777" w:rsidR="002B20A9" w:rsidRPr="00C86111" w:rsidRDefault="002B20A9" w:rsidP="00004F34">
      <w:pPr>
        <w:pStyle w:val="Heading1"/>
        <w:numPr>
          <w:ilvl w:val="1"/>
          <w:numId w:val="238"/>
        </w:numPr>
      </w:pPr>
      <w:bookmarkStart w:id="363" w:name="_Toc210632585"/>
      <w:bookmarkStart w:id="364" w:name="_Toc220541957"/>
      <w:r w:rsidRPr="00C86111">
        <w:t>Rezultati inventara PFOA, PFHxS,</w:t>
      </w:r>
      <w:bookmarkEnd w:id="363"/>
      <w:r w:rsidRPr="00C86111">
        <w:t xml:space="preserve"> </w:t>
      </w:r>
      <w:bookmarkStart w:id="365" w:name="_Toc210632586"/>
      <w:r w:rsidRPr="00C86111">
        <w:t>njihovih soli i sličnih jedinjenja u otpadu</w:t>
      </w:r>
      <w:bookmarkEnd w:id="364"/>
      <w:bookmarkEnd w:id="365"/>
    </w:p>
    <w:p w14:paraId="4C370CF4" w14:textId="77777777" w:rsidR="002B20A9" w:rsidRPr="00C86111" w:rsidRDefault="002B20A9" w:rsidP="002B20A9">
      <w:pPr>
        <w:jc w:val="both"/>
        <w:rPr>
          <w:rFonts w:asciiTheme="minorHAnsi" w:eastAsia="SimSun" w:hAnsiTheme="minorHAnsi" w:cstheme="minorHAnsi"/>
          <w:color w:val="auto"/>
        </w:rPr>
      </w:pPr>
    </w:p>
    <w:p w14:paraId="76F8DC0E"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Podaci o količini otpada koji potencijalno može sadržati PFOA, PFHxS, njihove soli i slična jedinjenja prikupljeni su iz statističkih podataka o otpadu koje je dostavila Uprava za statistiku Crne Gore – MONSTAT. Ovi podaci su rezultat statističkih istraživanja otpada koja obuhvataju:</w:t>
      </w:r>
    </w:p>
    <w:p w14:paraId="441F091C" w14:textId="77777777" w:rsidR="002B20A9" w:rsidRPr="00C86111" w:rsidRDefault="002B20A9" w:rsidP="00004F34">
      <w:pPr>
        <w:pStyle w:val="ListParagraph"/>
        <w:numPr>
          <w:ilvl w:val="0"/>
          <w:numId w:val="159"/>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sva komunalna preduzeća sa dozvolom Sekretarijata za lokalnu samoupravu za sakupljanje i transport komunalnog otpada,</w:t>
      </w:r>
    </w:p>
    <w:p w14:paraId="75AD531B" w14:textId="77777777" w:rsidR="002B20A9" w:rsidRPr="00C86111" w:rsidRDefault="002B20A9" w:rsidP="00004F34">
      <w:pPr>
        <w:pStyle w:val="ListParagraph"/>
        <w:numPr>
          <w:ilvl w:val="0"/>
          <w:numId w:val="159"/>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preduzeća koja posjeduju dozvolu Agencije za zaštitu životne sredine za sakupljanje i obradu otpada,</w:t>
      </w:r>
    </w:p>
    <w:p w14:paraId="155A2E25" w14:textId="77777777" w:rsidR="002B20A9" w:rsidRPr="00C86111" w:rsidRDefault="002B20A9" w:rsidP="00004F34">
      <w:pPr>
        <w:pStyle w:val="ListParagraph"/>
        <w:numPr>
          <w:ilvl w:val="0"/>
          <w:numId w:val="159"/>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preduzeća koja upravljaju odlagalištima – deponijama,</w:t>
      </w:r>
    </w:p>
    <w:p w14:paraId="3FA8F451" w14:textId="77777777" w:rsidR="002B20A9" w:rsidRPr="00C86111" w:rsidRDefault="002B20A9" w:rsidP="00004F34">
      <w:pPr>
        <w:pStyle w:val="ListParagraph"/>
        <w:numPr>
          <w:ilvl w:val="0"/>
          <w:numId w:val="159"/>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preduzeća sa 10 i više zaposlenih, čija je osnovna djelatnost iz različitih sektora (poljoprivreda, šumarstvo i ribarstvo; prerađivačka industrija; snabdijevanje vodom; upravljanje otpadnim vodama; kontrola procesa uklanjanja otpada i srodne aktivnosti).</w:t>
      </w:r>
    </w:p>
    <w:p w14:paraId="4FB1AE14" w14:textId="7EC2DEBF" w:rsidR="002B20A9" w:rsidRPr="00C86111" w:rsidRDefault="002B20A9" w:rsidP="002B20A9">
      <w:pPr>
        <w:jc w:val="both"/>
        <w:rPr>
          <w:rFonts w:asciiTheme="minorHAnsi" w:hAnsiTheme="minorHAnsi" w:cstheme="minorHAnsi"/>
          <w:color w:val="auto"/>
        </w:rPr>
      </w:pPr>
      <w:r w:rsidRPr="00C86111">
        <w:rPr>
          <w:rFonts w:asciiTheme="minorHAnsi" w:eastAsia="SimSun" w:hAnsiTheme="minorHAnsi" w:cstheme="minorHAnsi"/>
          <w:color w:val="auto"/>
        </w:rPr>
        <w:t xml:space="preserve">Prikupljeni podaci o otpadu, klasifikovani su po grupama otpada, u skladu sa Pravilnikom o klasifikaciji otpada i katalogu otpada („Sl. list Crne Gore“, br. 059/13, 083/16) </w:t>
      </w:r>
      <w:bookmarkStart w:id="366" w:name="_Hlk185324851"/>
      <w:r w:rsidRPr="00C86111">
        <w:rPr>
          <w:rFonts w:asciiTheme="minorHAnsi" w:eastAsia="SimSun" w:hAnsiTheme="minorHAnsi" w:cstheme="minorHAnsi"/>
          <w:color w:val="auto"/>
        </w:rPr>
        <w:t xml:space="preserve">koji je usklađen sa evropskom legislativom o otpadu. </w:t>
      </w:r>
      <w:bookmarkEnd w:id="366"/>
      <w:r w:rsidRPr="00C86111">
        <w:rPr>
          <w:rFonts w:asciiTheme="minorHAnsi" w:hAnsiTheme="minorHAnsi" w:cstheme="minorHAnsi"/>
          <w:color w:val="auto"/>
        </w:rPr>
        <w:t xml:space="preserve">U tabeli </w:t>
      </w:r>
      <w:r w:rsidR="00626D74" w:rsidRPr="00C86111">
        <w:rPr>
          <w:rFonts w:asciiTheme="minorHAnsi" w:hAnsiTheme="minorHAnsi" w:cstheme="minorHAnsi"/>
          <w:color w:val="auto"/>
        </w:rPr>
        <w:t>94.</w:t>
      </w:r>
      <w:r w:rsidRPr="00C86111">
        <w:rPr>
          <w:rFonts w:asciiTheme="minorHAnsi" w:hAnsiTheme="minorHAnsi" w:cstheme="minorHAnsi"/>
          <w:color w:val="auto"/>
        </w:rPr>
        <w:t xml:space="preserve"> prikazane su količine generisanog otpada prema grupama kataloga otpada, koje potencijalno mogu sa sadrže PFOA, PFHxS, njihove soli i slična jedinjenja za period 2017-2022 godina</w:t>
      </w:r>
    </w:p>
    <w:p w14:paraId="6E700942" w14:textId="77777777" w:rsidR="002B20A9" w:rsidRPr="00C86111" w:rsidRDefault="002B20A9" w:rsidP="002B20A9">
      <w:pPr>
        <w:jc w:val="both"/>
        <w:rPr>
          <w:rFonts w:asciiTheme="minorHAnsi" w:hAnsiTheme="minorHAnsi" w:cstheme="minorHAnsi"/>
          <w:color w:val="auto"/>
        </w:rPr>
      </w:pPr>
    </w:p>
    <w:p w14:paraId="5B201A91" w14:textId="47EFDA7B"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lastRenderedPageBreak/>
        <w:t xml:space="preserve">Tabela </w:t>
      </w:r>
      <w:r w:rsidR="00626D74" w:rsidRPr="00C86111">
        <w:rPr>
          <w:rFonts w:asciiTheme="minorHAnsi" w:hAnsiTheme="minorHAnsi" w:cstheme="minorHAnsi"/>
          <w:b/>
          <w:bCs/>
          <w:color w:val="auto"/>
        </w:rPr>
        <w:t>94</w:t>
      </w:r>
      <w:r w:rsidRPr="00C86111">
        <w:rPr>
          <w:rFonts w:asciiTheme="minorHAnsi" w:hAnsiTheme="minorHAnsi" w:cstheme="minorHAnsi"/>
          <w:b/>
          <w:bCs/>
          <w:color w:val="auto"/>
        </w:rPr>
        <w:t>.</w:t>
      </w:r>
      <w:r w:rsidRPr="00C86111">
        <w:rPr>
          <w:rFonts w:asciiTheme="minorHAnsi" w:hAnsiTheme="minorHAnsi" w:cstheme="minorHAnsi"/>
          <w:color w:val="auto"/>
        </w:rPr>
        <w:t xml:space="preserve"> Generisane količine otpada po grupama otpada za period 2017-2022 godina</w:t>
      </w:r>
    </w:p>
    <w:tbl>
      <w:tblPr>
        <w:tblStyle w:val="GridTable5Dark-Accent6"/>
        <w:tblW w:w="9445" w:type="dxa"/>
        <w:tblLayout w:type="fixed"/>
        <w:tblLook w:val="0420" w:firstRow="1" w:lastRow="0" w:firstColumn="0" w:lastColumn="0" w:noHBand="0" w:noVBand="1"/>
      </w:tblPr>
      <w:tblGrid>
        <w:gridCol w:w="3681"/>
        <w:gridCol w:w="992"/>
        <w:gridCol w:w="992"/>
        <w:gridCol w:w="992"/>
        <w:gridCol w:w="992"/>
        <w:gridCol w:w="896"/>
        <w:gridCol w:w="900"/>
      </w:tblGrid>
      <w:tr w:rsidR="002B20A9" w:rsidRPr="00C86111" w14:paraId="061CB01A" w14:textId="77777777" w:rsidTr="002A416E">
        <w:trPr>
          <w:cnfStyle w:val="100000000000" w:firstRow="1" w:lastRow="0" w:firstColumn="0" w:lastColumn="0" w:oddVBand="0" w:evenVBand="0" w:oddHBand="0" w:evenHBand="0" w:firstRowFirstColumn="0" w:firstRowLastColumn="0" w:lastRowFirstColumn="0" w:lastRowLastColumn="0"/>
          <w:trHeight w:val="584"/>
        </w:trPr>
        <w:tc>
          <w:tcPr>
            <w:tcW w:w="3681" w:type="dxa"/>
            <w:vMerge w:val="restart"/>
            <w:hideMark/>
          </w:tcPr>
          <w:p w14:paraId="402B2F50" w14:textId="77777777" w:rsidR="002B20A9" w:rsidRPr="00C86111" w:rsidRDefault="002B20A9" w:rsidP="00BC765B">
            <w:pPr>
              <w:jc w:val="both"/>
              <w:rPr>
                <w:rFonts w:asciiTheme="minorHAnsi" w:hAnsiTheme="minorHAnsi" w:cstheme="minorHAnsi"/>
                <w:b w:val="0"/>
                <w:bCs w:val="0"/>
                <w:color w:val="auto"/>
                <w:sz w:val="20"/>
                <w:szCs w:val="20"/>
              </w:rPr>
            </w:pPr>
          </w:p>
          <w:p w14:paraId="53C2E21C" w14:textId="77777777" w:rsidR="002B20A9" w:rsidRPr="00C86111" w:rsidRDefault="002B20A9"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Grupa otpada</w:t>
            </w:r>
          </w:p>
        </w:tc>
        <w:tc>
          <w:tcPr>
            <w:tcW w:w="5764" w:type="dxa"/>
            <w:gridSpan w:val="6"/>
          </w:tcPr>
          <w:p w14:paraId="76692209" w14:textId="77777777" w:rsidR="002B20A9" w:rsidRPr="00C86111" w:rsidRDefault="002B20A9" w:rsidP="00BC765B">
            <w:pPr>
              <w:jc w:val="both"/>
              <w:rPr>
                <w:rFonts w:asciiTheme="minorHAnsi" w:hAnsiTheme="minorHAnsi" w:cstheme="minorHAnsi"/>
                <w:b w:val="0"/>
                <w:bCs w:val="0"/>
                <w:color w:val="auto"/>
                <w:sz w:val="20"/>
                <w:szCs w:val="20"/>
              </w:rPr>
            </w:pPr>
          </w:p>
          <w:p w14:paraId="3A4BB99E" w14:textId="77777777" w:rsidR="002B20A9" w:rsidRPr="00C86111" w:rsidRDefault="002B20A9" w:rsidP="00BC765B">
            <w:pPr>
              <w:jc w:val="both"/>
              <w:rPr>
                <w:rFonts w:asciiTheme="minorHAnsi" w:hAnsiTheme="minorHAnsi" w:cstheme="minorHAnsi"/>
                <w:b w:val="0"/>
                <w:bCs w:val="0"/>
                <w:color w:val="auto"/>
                <w:sz w:val="20"/>
                <w:szCs w:val="20"/>
              </w:rPr>
            </w:pPr>
            <w:r w:rsidRPr="00C86111">
              <w:rPr>
                <w:rFonts w:asciiTheme="minorHAnsi" w:hAnsiTheme="minorHAnsi" w:cstheme="minorHAnsi"/>
                <w:color w:val="auto"/>
                <w:sz w:val="20"/>
                <w:szCs w:val="20"/>
              </w:rPr>
              <w:t>Generisan</w:t>
            </w:r>
            <w:r w:rsidRPr="00C86111">
              <w:rPr>
                <w:rFonts w:asciiTheme="minorHAnsi" w:hAnsiTheme="minorHAnsi" w:cstheme="minorHAnsi"/>
                <w:color w:val="auto"/>
                <w:sz w:val="20"/>
                <w:szCs w:val="20"/>
                <w:lang w:val="sr-Latn-ME"/>
              </w:rPr>
              <w:t xml:space="preserve">e </w:t>
            </w:r>
            <w:r w:rsidRPr="00C86111">
              <w:rPr>
                <w:rFonts w:asciiTheme="minorHAnsi" w:hAnsiTheme="minorHAnsi" w:cstheme="minorHAnsi"/>
                <w:color w:val="auto"/>
                <w:sz w:val="20"/>
                <w:szCs w:val="20"/>
              </w:rPr>
              <w:t>količina otpada (t)</w:t>
            </w:r>
          </w:p>
        </w:tc>
      </w:tr>
      <w:tr w:rsidR="002B20A9" w:rsidRPr="00C86111" w14:paraId="6E5C3389" w14:textId="77777777" w:rsidTr="002A416E">
        <w:trPr>
          <w:cnfStyle w:val="000000100000" w:firstRow="0" w:lastRow="0" w:firstColumn="0" w:lastColumn="0" w:oddVBand="0" w:evenVBand="0" w:oddHBand="1" w:evenHBand="0" w:firstRowFirstColumn="0" w:firstRowLastColumn="0" w:lastRowFirstColumn="0" w:lastRowLastColumn="0"/>
          <w:trHeight w:val="377"/>
        </w:trPr>
        <w:tc>
          <w:tcPr>
            <w:tcW w:w="3681" w:type="dxa"/>
            <w:vMerge/>
            <w:hideMark/>
          </w:tcPr>
          <w:p w14:paraId="159C96C9" w14:textId="77777777" w:rsidR="002B20A9" w:rsidRPr="00C86111" w:rsidRDefault="002B20A9" w:rsidP="00BC765B">
            <w:pPr>
              <w:jc w:val="both"/>
              <w:rPr>
                <w:rFonts w:asciiTheme="minorHAnsi" w:hAnsiTheme="minorHAnsi" w:cstheme="minorHAnsi"/>
                <w:color w:val="auto"/>
                <w:sz w:val="20"/>
                <w:szCs w:val="20"/>
              </w:rPr>
            </w:pPr>
          </w:p>
        </w:tc>
        <w:tc>
          <w:tcPr>
            <w:tcW w:w="992" w:type="dxa"/>
            <w:hideMark/>
          </w:tcPr>
          <w:p w14:paraId="33515F7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2017</w:t>
            </w:r>
          </w:p>
        </w:tc>
        <w:tc>
          <w:tcPr>
            <w:tcW w:w="992" w:type="dxa"/>
            <w:hideMark/>
          </w:tcPr>
          <w:p w14:paraId="53C8CFF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2018</w:t>
            </w:r>
          </w:p>
        </w:tc>
        <w:tc>
          <w:tcPr>
            <w:tcW w:w="992" w:type="dxa"/>
          </w:tcPr>
          <w:p w14:paraId="59DE3DB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2019</w:t>
            </w:r>
          </w:p>
        </w:tc>
        <w:tc>
          <w:tcPr>
            <w:tcW w:w="992" w:type="dxa"/>
            <w:hideMark/>
          </w:tcPr>
          <w:p w14:paraId="3DF2AEA2"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2020</w:t>
            </w:r>
          </w:p>
        </w:tc>
        <w:tc>
          <w:tcPr>
            <w:tcW w:w="896" w:type="dxa"/>
            <w:hideMark/>
          </w:tcPr>
          <w:p w14:paraId="2222612F"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2021</w:t>
            </w:r>
          </w:p>
        </w:tc>
        <w:tc>
          <w:tcPr>
            <w:tcW w:w="900" w:type="dxa"/>
            <w:hideMark/>
          </w:tcPr>
          <w:p w14:paraId="1BF703DF"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2022</w:t>
            </w:r>
          </w:p>
        </w:tc>
      </w:tr>
      <w:tr w:rsidR="002B20A9" w:rsidRPr="00C86111" w14:paraId="6532692A" w14:textId="77777777" w:rsidTr="002A416E">
        <w:trPr>
          <w:trHeight w:val="584"/>
        </w:trPr>
        <w:tc>
          <w:tcPr>
            <w:tcW w:w="3681" w:type="dxa"/>
            <w:hideMark/>
          </w:tcPr>
          <w:p w14:paraId="6232117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08 Otpad od proizvodnje, pripreme, distribucije i upotrebe premaza (boje, lakovi i staklene glazure), ljepila, zaptivača i štamparskih mastila</w:t>
            </w:r>
          </w:p>
        </w:tc>
        <w:tc>
          <w:tcPr>
            <w:tcW w:w="992" w:type="dxa"/>
            <w:hideMark/>
          </w:tcPr>
          <w:p w14:paraId="35D413DD"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13.9</w:t>
            </w:r>
          </w:p>
        </w:tc>
        <w:tc>
          <w:tcPr>
            <w:tcW w:w="992" w:type="dxa"/>
            <w:hideMark/>
          </w:tcPr>
          <w:p w14:paraId="240AC9C6"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18.6</w:t>
            </w:r>
          </w:p>
        </w:tc>
        <w:tc>
          <w:tcPr>
            <w:tcW w:w="992" w:type="dxa"/>
          </w:tcPr>
          <w:p w14:paraId="4CEB6527"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8.0</w:t>
            </w:r>
          </w:p>
        </w:tc>
        <w:tc>
          <w:tcPr>
            <w:tcW w:w="992" w:type="dxa"/>
            <w:hideMark/>
          </w:tcPr>
          <w:p w14:paraId="7D947A2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13.8</w:t>
            </w:r>
          </w:p>
        </w:tc>
        <w:tc>
          <w:tcPr>
            <w:tcW w:w="896" w:type="dxa"/>
            <w:hideMark/>
          </w:tcPr>
          <w:p w14:paraId="441F4D70"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24.1</w:t>
            </w:r>
          </w:p>
        </w:tc>
        <w:tc>
          <w:tcPr>
            <w:tcW w:w="900" w:type="dxa"/>
            <w:hideMark/>
          </w:tcPr>
          <w:p w14:paraId="7FEA93B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9.0</w:t>
            </w:r>
          </w:p>
        </w:tc>
      </w:tr>
      <w:tr w:rsidR="002B20A9" w:rsidRPr="00C86111" w14:paraId="57E5B5FF" w14:textId="77777777" w:rsidTr="002A416E">
        <w:trPr>
          <w:cnfStyle w:val="000000100000" w:firstRow="0" w:lastRow="0" w:firstColumn="0" w:lastColumn="0" w:oddVBand="0" w:evenVBand="0" w:oddHBand="1" w:evenHBand="0" w:firstRowFirstColumn="0" w:firstRowLastColumn="0" w:lastRowFirstColumn="0" w:lastRowLastColumn="0"/>
          <w:trHeight w:val="584"/>
        </w:trPr>
        <w:tc>
          <w:tcPr>
            <w:tcW w:w="3681" w:type="dxa"/>
            <w:hideMark/>
          </w:tcPr>
          <w:p w14:paraId="59F95064"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15 Otpad od ambalaže; apsorbenti, krpe za brisanje, materijali za filtriranje i zaštitne tkanine, ako nije drugačije specifikovan</w:t>
            </w:r>
          </w:p>
        </w:tc>
        <w:tc>
          <w:tcPr>
            <w:tcW w:w="992" w:type="dxa"/>
            <w:hideMark/>
          </w:tcPr>
          <w:p w14:paraId="4C8DE7E4"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4293</w:t>
            </w:r>
          </w:p>
        </w:tc>
        <w:tc>
          <w:tcPr>
            <w:tcW w:w="992" w:type="dxa"/>
            <w:hideMark/>
          </w:tcPr>
          <w:p w14:paraId="7B05EE5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1905</w:t>
            </w:r>
          </w:p>
        </w:tc>
        <w:tc>
          <w:tcPr>
            <w:tcW w:w="992" w:type="dxa"/>
          </w:tcPr>
          <w:p w14:paraId="2D94871F"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2585</w:t>
            </w:r>
          </w:p>
        </w:tc>
        <w:tc>
          <w:tcPr>
            <w:tcW w:w="992" w:type="dxa"/>
            <w:hideMark/>
          </w:tcPr>
          <w:p w14:paraId="3610871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3117</w:t>
            </w:r>
          </w:p>
        </w:tc>
        <w:tc>
          <w:tcPr>
            <w:tcW w:w="896" w:type="dxa"/>
            <w:hideMark/>
          </w:tcPr>
          <w:p w14:paraId="331BDE4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3893</w:t>
            </w:r>
          </w:p>
        </w:tc>
        <w:tc>
          <w:tcPr>
            <w:tcW w:w="900" w:type="dxa"/>
            <w:hideMark/>
          </w:tcPr>
          <w:p w14:paraId="4F2BA1A9"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3521</w:t>
            </w:r>
          </w:p>
        </w:tc>
      </w:tr>
      <w:tr w:rsidR="002B20A9" w:rsidRPr="00C86111" w14:paraId="60F2626B" w14:textId="77777777" w:rsidTr="002A416E">
        <w:trPr>
          <w:trHeight w:val="584"/>
        </w:trPr>
        <w:tc>
          <w:tcPr>
            <w:tcW w:w="3681" w:type="dxa"/>
            <w:hideMark/>
          </w:tcPr>
          <w:p w14:paraId="2283DD2B"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20 Komunalni otpad (kućni otpad i slični komercijalni i industrijski otpad), uključujući odvojeno sakupljene frakcije</w:t>
            </w:r>
          </w:p>
        </w:tc>
        <w:tc>
          <w:tcPr>
            <w:tcW w:w="992" w:type="dxa"/>
            <w:hideMark/>
          </w:tcPr>
          <w:p w14:paraId="37C872D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30884</w:t>
            </w:r>
            <w:r w:rsidRPr="00C86111">
              <w:rPr>
                <w:rFonts w:asciiTheme="minorHAnsi" w:hAnsiTheme="minorHAnsi" w:cstheme="minorHAnsi"/>
                <w:color w:val="auto"/>
                <w:sz w:val="20"/>
                <w:szCs w:val="20"/>
                <w:lang w:val="sr-Latn-ME"/>
              </w:rPr>
              <w:t>2</w:t>
            </w:r>
          </w:p>
        </w:tc>
        <w:tc>
          <w:tcPr>
            <w:tcW w:w="992" w:type="dxa"/>
            <w:hideMark/>
          </w:tcPr>
          <w:p w14:paraId="1FE99E9C"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320883</w:t>
            </w:r>
          </w:p>
        </w:tc>
        <w:tc>
          <w:tcPr>
            <w:tcW w:w="992" w:type="dxa"/>
          </w:tcPr>
          <w:p w14:paraId="6076829D"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338261</w:t>
            </w:r>
          </w:p>
        </w:tc>
        <w:tc>
          <w:tcPr>
            <w:tcW w:w="992" w:type="dxa"/>
            <w:hideMark/>
          </w:tcPr>
          <w:p w14:paraId="3D7DA6DD"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300965</w:t>
            </w:r>
          </w:p>
        </w:tc>
        <w:tc>
          <w:tcPr>
            <w:tcW w:w="896" w:type="dxa"/>
            <w:hideMark/>
          </w:tcPr>
          <w:p w14:paraId="1877405C"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321849</w:t>
            </w:r>
          </w:p>
        </w:tc>
        <w:tc>
          <w:tcPr>
            <w:tcW w:w="900" w:type="dxa"/>
            <w:hideMark/>
          </w:tcPr>
          <w:p w14:paraId="31ECB542"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332307</w:t>
            </w:r>
          </w:p>
        </w:tc>
      </w:tr>
    </w:tbl>
    <w:p w14:paraId="4DB67A9D" w14:textId="77777777" w:rsidR="002B20A9" w:rsidRPr="00C86111" w:rsidRDefault="002B20A9" w:rsidP="002B20A9">
      <w:pPr>
        <w:jc w:val="both"/>
        <w:rPr>
          <w:rFonts w:asciiTheme="minorHAnsi" w:hAnsiTheme="minorHAnsi" w:cstheme="minorHAnsi"/>
          <w:color w:val="auto"/>
        </w:rPr>
      </w:pPr>
    </w:p>
    <w:p w14:paraId="6C8AA768"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Analizom prikupljenih podataka može se zaključiti da najveća količina generisanog otpada, koji potencijalno može sadržati PFOA, PFHxS, njihove soli i slična jedinjenja, potiče iz grupe 20 – komunalni otpad. S obzirom na to da ne postoji specifičan indeksni broj za otpad koji sadrži PFOA, PFHxS, njihove soli i slična jedinjenja, prikazani podaci o ukupnim količinama komunalnog otpada nisu ograničeni isključivo na ovu vrstu otpada. Zbog toga, na osnovu dostupnih podataka, nije moguće precizno utvrditi koliki je stvarni udio otpada koji potencijalno sadrži PFOA i PFHxS u ukupnoj količini generisanog otpada.</w:t>
      </w:r>
    </w:p>
    <w:p w14:paraId="1E4540D6" w14:textId="77777777" w:rsidR="002B20A9" w:rsidRPr="00C86111" w:rsidRDefault="002B20A9" w:rsidP="002B20A9">
      <w:pPr>
        <w:jc w:val="both"/>
        <w:rPr>
          <w:rFonts w:asciiTheme="minorHAnsi" w:eastAsia="SimSun" w:hAnsiTheme="minorHAnsi" w:cstheme="minorHAnsi"/>
          <w:color w:val="auto"/>
        </w:rPr>
      </w:pPr>
      <w:r w:rsidRPr="00C86111">
        <w:rPr>
          <w:rFonts w:asciiTheme="minorHAnsi" w:eastAsia="SimSun" w:hAnsiTheme="minorHAnsi" w:cstheme="minorHAnsi"/>
          <w:color w:val="auto"/>
        </w:rPr>
        <w:t>Međutim, na osnovu podataka o sastavu čvrstog komunalnog otpada, koji su predstavljeni u “Državnom planu upravljanja otpadom za period 2024-2028 godina” kao i “</w:t>
      </w:r>
      <w:r w:rsidRPr="00C86111">
        <w:rPr>
          <w:rFonts w:asciiTheme="minorHAnsi" w:hAnsiTheme="minorHAnsi" w:cstheme="minorHAnsi"/>
          <w:color w:val="auto"/>
        </w:rPr>
        <w:t>Državnom planu upravljanja otpadom za period 2015-2020 godina”,</w:t>
      </w:r>
      <w:r w:rsidRPr="00C86111">
        <w:rPr>
          <w:rFonts w:asciiTheme="minorHAnsi" w:eastAsia="SimSun" w:hAnsiTheme="minorHAnsi" w:cstheme="minorHAnsi"/>
          <w:color w:val="auto"/>
        </w:rPr>
        <w:t xml:space="preserve"> gdje su procijenjene količine generisanog otpadnog tekstila i papira/kartona za 2021 godinu, i 2013 godinu, izračunat je potencijalni sadržaj PFOA i PFHxS u njima uzimajući u obzir informaciju da je sadržaj tekstila u komunalnom otpadu oko 3% a sadržaj papira/kartona oko 15 % i pretpostavljajući da je sastav komunalnog otpada na godišnjem nivou manje više isti.</w:t>
      </w:r>
    </w:p>
    <w:p w14:paraId="61D5158D" w14:textId="42098B37" w:rsidR="002B20A9" w:rsidRPr="00C86111" w:rsidRDefault="002B20A9" w:rsidP="002B20A9">
      <w:pPr>
        <w:jc w:val="both"/>
        <w:rPr>
          <w:rFonts w:asciiTheme="minorHAnsi" w:hAnsiTheme="minorHAnsi" w:cstheme="minorHAnsi"/>
          <w:lang w:val="en-GB" w:eastAsia="en-GB"/>
        </w:rPr>
      </w:pPr>
      <w:r w:rsidRPr="00C86111">
        <w:rPr>
          <w:rFonts w:asciiTheme="minorHAnsi" w:hAnsiTheme="minorHAnsi" w:cstheme="minorHAnsi"/>
          <w:lang w:val="en-GB" w:eastAsia="en-GB"/>
        </w:rPr>
        <w:t xml:space="preserve">Na osnovu prethodno navedenih informacija, kao i podataka o godišnjoj količini generisanog komunalnog otpada, izračunat je potencijalni sadržaj PFOA i PFHxS u otpadnom papiru/kartonu i tekstilu za period 2017-2022 godina.(Tabele </w:t>
      </w:r>
      <w:r w:rsidR="00626D74" w:rsidRPr="00C86111">
        <w:rPr>
          <w:rFonts w:asciiTheme="minorHAnsi" w:hAnsiTheme="minorHAnsi" w:cstheme="minorHAnsi"/>
          <w:lang w:val="en-GB" w:eastAsia="en-GB"/>
        </w:rPr>
        <w:t>95</w:t>
      </w:r>
      <w:r w:rsidRPr="00C86111">
        <w:rPr>
          <w:rFonts w:asciiTheme="minorHAnsi" w:hAnsiTheme="minorHAnsi" w:cstheme="minorHAnsi"/>
          <w:lang w:val="en-GB" w:eastAsia="en-GB"/>
        </w:rPr>
        <w:t>-</w:t>
      </w:r>
      <w:r w:rsidR="00626D74" w:rsidRPr="00C86111">
        <w:rPr>
          <w:rFonts w:asciiTheme="minorHAnsi" w:hAnsiTheme="minorHAnsi" w:cstheme="minorHAnsi"/>
          <w:lang w:val="en-GB" w:eastAsia="en-GB"/>
        </w:rPr>
        <w:t>97</w:t>
      </w:r>
      <w:r w:rsidRPr="00C86111">
        <w:rPr>
          <w:rFonts w:asciiTheme="minorHAnsi" w:hAnsiTheme="minorHAnsi" w:cstheme="minorHAnsi"/>
          <w:lang w:val="en-GB" w:eastAsia="en-GB"/>
        </w:rPr>
        <w:t>)</w:t>
      </w:r>
    </w:p>
    <w:p w14:paraId="46A8AAD3"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Pri procjeni potencijalnog sadržaja PFOA u otpadnom papiru/kartonu, zbog nedostatka preciznih informacija o udjelu impregniranog papira/kartona u ukupnoj količini otpadnog papira/kartona, pretpostavljeno je da je taj odnos proporcionalan odnosu između ukupno uvezenih količina papira/kartona i količina uvezenog impregniranog papira/kartona, odnosno oko 5%.</w:t>
      </w:r>
    </w:p>
    <w:p w14:paraId="4FAE2A02" w14:textId="77777777" w:rsidR="002B20A9" w:rsidRPr="00C86111" w:rsidRDefault="002B20A9" w:rsidP="002B20A9">
      <w:pPr>
        <w:jc w:val="both"/>
        <w:rPr>
          <w:rFonts w:asciiTheme="minorHAnsi" w:eastAsia="Times New Roman" w:hAnsiTheme="minorHAnsi" w:cstheme="minorHAnsi"/>
          <w:color w:val="auto"/>
          <w:lang w:eastAsia="en-GB"/>
        </w:rPr>
      </w:pPr>
    </w:p>
    <w:p w14:paraId="678E61E5" w14:textId="5502AE6A"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626D74" w:rsidRPr="00C86111">
        <w:rPr>
          <w:rFonts w:asciiTheme="minorHAnsi" w:hAnsiTheme="minorHAnsi" w:cstheme="minorHAnsi"/>
          <w:b/>
          <w:bCs/>
          <w:color w:val="auto"/>
        </w:rPr>
        <w:t>95</w:t>
      </w:r>
      <w:r w:rsidRPr="00C86111">
        <w:rPr>
          <w:rFonts w:asciiTheme="minorHAnsi" w:hAnsiTheme="minorHAnsi" w:cstheme="minorHAnsi"/>
          <w:b/>
          <w:bCs/>
          <w:color w:val="auto"/>
        </w:rPr>
        <w:t>.</w:t>
      </w:r>
      <w:r w:rsidRPr="00C86111">
        <w:rPr>
          <w:rFonts w:asciiTheme="minorHAnsi" w:hAnsiTheme="minorHAnsi" w:cstheme="minorHAnsi"/>
          <w:color w:val="auto"/>
        </w:rPr>
        <w:t xml:space="preserve"> Potencijalni sadržaj PFOA u generisanom otpadnom papiru/kartonu za period 2017-2022 godina</w:t>
      </w:r>
    </w:p>
    <w:tbl>
      <w:tblPr>
        <w:tblStyle w:val="GridTable5Dark-Accent6"/>
        <w:tblW w:w="9067" w:type="dxa"/>
        <w:tblLook w:val="04A0" w:firstRow="1" w:lastRow="0" w:firstColumn="1" w:lastColumn="0" w:noHBand="0" w:noVBand="1"/>
      </w:tblPr>
      <w:tblGrid>
        <w:gridCol w:w="1559"/>
        <w:gridCol w:w="1701"/>
        <w:gridCol w:w="1727"/>
        <w:gridCol w:w="2238"/>
        <w:gridCol w:w="1842"/>
      </w:tblGrid>
      <w:tr w:rsidR="002B20A9" w:rsidRPr="00C86111" w14:paraId="38F1D13F" w14:textId="77777777" w:rsidTr="00BC76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9" w:type="dxa"/>
            <w:hideMark/>
          </w:tcPr>
          <w:p w14:paraId="4A8BE374" w14:textId="77777777" w:rsidR="002B20A9" w:rsidRPr="00C86111" w:rsidRDefault="002B20A9" w:rsidP="00BC765B">
            <w:pPr>
              <w:jc w:val="both"/>
              <w:rPr>
                <w:rFonts w:asciiTheme="minorHAnsi" w:hAnsiTheme="minorHAnsi" w:cstheme="minorHAnsi"/>
                <w:color w:val="auto"/>
                <w:sz w:val="20"/>
                <w:szCs w:val="20"/>
              </w:rPr>
            </w:pPr>
          </w:p>
          <w:p w14:paraId="73A1AC62"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Proizvod</w:t>
            </w:r>
          </w:p>
        </w:tc>
        <w:tc>
          <w:tcPr>
            <w:tcW w:w="1701" w:type="dxa"/>
            <w:hideMark/>
          </w:tcPr>
          <w:p w14:paraId="1C5F243D"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Godina</w:t>
            </w:r>
          </w:p>
        </w:tc>
        <w:tc>
          <w:tcPr>
            <w:tcW w:w="1727" w:type="dxa"/>
            <w:hideMark/>
          </w:tcPr>
          <w:p w14:paraId="08FDFCB9"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Količina (kg)</w:t>
            </w:r>
          </w:p>
        </w:tc>
        <w:tc>
          <w:tcPr>
            <w:tcW w:w="2238" w:type="dxa"/>
            <w:hideMark/>
          </w:tcPr>
          <w:p w14:paraId="12D50067"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PFOA sadržaj</w:t>
            </w:r>
          </w:p>
          <w:p w14:paraId="107D35EE"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Približna vrijednost</w:t>
            </w:r>
          </w:p>
          <w:p w14:paraId="2E8A9C04"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(mg PFOA/kg proizvoda)</w:t>
            </w:r>
          </w:p>
        </w:tc>
        <w:tc>
          <w:tcPr>
            <w:tcW w:w="1842" w:type="dxa"/>
            <w:hideMark/>
          </w:tcPr>
          <w:p w14:paraId="169013E8"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Količina PFOA (t)</w:t>
            </w:r>
          </w:p>
          <w:p w14:paraId="30586594"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najniža/</w:t>
            </w:r>
          </w:p>
          <w:p w14:paraId="4A3D9E61"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6C5305CB"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restart"/>
            <w:hideMark/>
          </w:tcPr>
          <w:p w14:paraId="2FF527D8"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Papir/karton</w:t>
            </w:r>
          </w:p>
        </w:tc>
        <w:tc>
          <w:tcPr>
            <w:tcW w:w="1701" w:type="dxa"/>
            <w:hideMark/>
          </w:tcPr>
          <w:p w14:paraId="6B0647A8"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2017</w:t>
            </w:r>
          </w:p>
        </w:tc>
        <w:tc>
          <w:tcPr>
            <w:tcW w:w="1727" w:type="dxa"/>
            <w:hideMark/>
          </w:tcPr>
          <w:p w14:paraId="6AF7EF1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2565211</w:t>
            </w:r>
          </w:p>
        </w:tc>
        <w:tc>
          <w:tcPr>
            <w:tcW w:w="2238" w:type="dxa"/>
            <w:hideMark/>
          </w:tcPr>
          <w:p w14:paraId="449C375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3000–10000</w:t>
            </w:r>
          </w:p>
        </w:tc>
        <w:tc>
          <w:tcPr>
            <w:tcW w:w="1842" w:type="dxa"/>
          </w:tcPr>
          <w:p w14:paraId="3803294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7.7-26</w:t>
            </w:r>
          </w:p>
        </w:tc>
      </w:tr>
      <w:tr w:rsidR="002B20A9" w:rsidRPr="00C86111" w14:paraId="0804F5D9"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481232C2"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7D32199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2018</w:t>
            </w:r>
          </w:p>
        </w:tc>
        <w:tc>
          <w:tcPr>
            <w:tcW w:w="1727" w:type="dxa"/>
            <w:hideMark/>
          </w:tcPr>
          <w:p w14:paraId="060D6D6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2662113</w:t>
            </w:r>
          </w:p>
        </w:tc>
        <w:tc>
          <w:tcPr>
            <w:tcW w:w="2238" w:type="dxa"/>
            <w:hideMark/>
          </w:tcPr>
          <w:p w14:paraId="4C2B12C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3000–10000</w:t>
            </w:r>
          </w:p>
        </w:tc>
        <w:tc>
          <w:tcPr>
            <w:tcW w:w="1842" w:type="dxa"/>
          </w:tcPr>
          <w:p w14:paraId="2B7D7BD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8.0-27</w:t>
            </w:r>
          </w:p>
        </w:tc>
      </w:tr>
      <w:tr w:rsidR="002B20A9" w:rsidRPr="00C86111" w14:paraId="328F40B5"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41583A48"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70C0BBB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2019</w:t>
            </w:r>
          </w:p>
        </w:tc>
        <w:tc>
          <w:tcPr>
            <w:tcW w:w="1727" w:type="dxa"/>
            <w:hideMark/>
          </w:tcPr>
          <w:p w14:paraId="2CED3F7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3066485</w:t>
            </w:r>
          </w:p>
        </w:tc>
        <w:tc>
          <w:tcPr>
            <w:tcW w:w="2238" w:type="dxa"/>
            <w:hideMark/>
          </w:tcPr>
          <w:p w14:paraId="24A924EE"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3000–10000</w:t>
            </w:r>
          </w:p>
        </w:tc>
        <w:tc>
          <w:tcPr>
            <w:tcW w:w="1842" w:type="dxa"/>
          </w:tcPr>
          <w:p w14:paraId="07FA90B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9.2-31</w:t>
            </w:r>
          </w:p>
        </w:tc>
      </w:tr>
      <w:tr w:rsidR="002B20A9" w:rsidRPr="00C86111" w14:paraId="34CF357D"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3CB23360"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1B69B8A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2020</w:t>
            </w:r>
          </w:p>
        </w:tc>
        <w:tc>
          <w:tcPr>
            <w:tcW w:w="1727" w:type="dxa"/>
            <w:hideMark/>
          </w:tcPr>
          <w:p w14:paraId="41DCA84B"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2334628</w:t>
            </w:r>
          </w:p>
        </w:tc>
        <w:tc>
          <w:tcPr>
            <w:tcW w:w="2238" w:type="dxa"/>
            <w:hideMark/>
          </w:tcPr>
          <w:p w14:paraId="49311ABD"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3000–10000</w:t>
            </w:r>
          </w:p>
        </w:tc>
        <w:tc>
          <w:tcPr>
            <w:tcW w:w="1842" w:type="dxa"/>
          </w:tcPr>
          <w:p w14:paraId="7BDBA82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7.0-23</w:t>
            </w:r>
          </w:p>
        </w:tc>
      </w:tr>
      <w:tr w:rsidR="002B20A9" w:rsidRPr="00C86111" w14:paraId="242A13E5"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0C43DB59"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22429E21"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1727" w:type="dxa"/>
            <w:hideMark/>
          </w:tcPr>
          <w:p w14:paraId="70B925B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2168231</w:t>
            </w:r>
          </w:p>
        </w:tc>
        <w:tc>
          <w:tcPr>
            <w:tcW w:w="2238" w:type="dxa"/>
            <w:hideMark/>
          </w:tcPr>
          <w:p w14:paraId="09E7B8A4"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3000–10000</w:t>
            </w:r>
          </w:p>
        </w:tc>
        <w:tc>
          <w:tcPr>
            <w:tcW w:w="1842" w:type="dxa"/>
          </w:tcPr>
          <w:p w14:paraId="19A32E0B"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6.5-22</w:t>
            </w:r>
          </w:p>
        </w:tc>
      </w:tr>
      <w:tr w:rsidR="002B20A9" w:rsidRPr="00C86111" w14:paraId="3426242D"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7D49FEFF"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1AC86F6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2022</w:t>
            </w:r>
          </w:p>
        </w:tc>
        <w:tc>
          <w:tcPr>
            <w:tcW w:w="1727" w:type="dxa"/>
            <w:hideMark/>
          </w:tcPr>
          <w:p w14:paraId="16678CE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2671714</w:t>
            </w:r>
          </w:p>
        </w:tc>
        <w:tc>
          <w:tcPr>
            <w:tcW w:w="2238" w:type="dxa"/>
            <w:hideMark/>
          </w:tcPr>
          <w:p w14:paraId="1D96424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3000–10000</w:t>
            </w:r>
          </w:p>
        </w:tc>
        <w:tc>
          <w:tcPr>
            <w:tcW w:w="1842" w:type="dxa"/>
          </w:tcPr>
          <w:p w14:paraId="28788F8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8.0-27</w:t>
            </w:r>
          </w:p>
        </w:tc>
      </w:tr>
    </w:tbl>
    <w:p w14:paraId="3646A3CC" w14:textId="77777777" w:rsidR="002B20A9" w:rsidRPr="00C86111" w:rsidRDefault="002B20A9" w:rsidP="002B20A9">
      <w:pPr>
        <w:jc w:val="both"/>
        <w:rPr>
          <w:rFonts w:asciiTheme="minorHAnsi" w:hAnsiTheme="minorHAnsi" w:cstheme="minorHAnsi"/>
          <w:color w:val="auto"/>
        </w:rPr>
      </w:pPr>
    </w:p>
    <w:p w14:paraId="1B1A89D7" w14:textId="77777777" w:rsidR="002B20A9" w:rsidRPr="00C86111" w:rsidRDefault="002B20A9" w:rsidP="002B20A9">
      <w:pPr>
        <w:jc w:val="both"/>
        <w:rPr>
          <w:rFonts w:asciiTheme="minorHAnsi" w:hAnsiTheme="minorHAnsi" w:cstheme="minorHAnsi"/>
          <w:color w:val="auto"/>
        </w:rPr>
      </w:pPr>
    </w:p>
    <w:p w14:paraId="6426B2C1" w14:textId="7AFD322D"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626D74" w:rsidRPr="00C86111">
        <w:rPr>
          <w:rFonts w:asciiTheme="minorHAnsi" w:hAnsiTheme="minorHAnsi" w:cstheme="minorHAnsi"/>
          <w:b/>
          <w:bCs/>
          <w:color w:val="auto"/>
        </w:rPr>
        <w:t>96</w:t>
      </w:r>
      <w:r w:rsidRPr="00C86111">
        <w:rPr>
          <w:rFonts w:asciiTheme="minorHAnsi" w:hAnsiTheme="minorHAnsi" w:cstheme="minorHAnsi"/>
          <w:b/>
          <w:bCs/>
          <w:color w:val="auto"/>
        </w:rPr>
        <w:t>.</w:t>
      </w:r>
      <w:r w:rsidRPr="00C86111">
        <w:rPr>
          <w:rFonts w:asciiTheme="minorHAnsi" w:hAnsiTheme="minorHAnsi" w:cstheme="minorHAnsi"/>
          <w:color w:val="auto"/>
        </w:rPr>
        <w:t xml:space="preserve"> Potencijalni sadržaj PFOA u generisanom otpadnom tekstilu za period 2017-2022 godina</w:t>
      </w:r>
    </w:p>
    <w:tbl>
      <w:tblPr>
        <w:tblStyle w:val="GridTable5Dark-Accent6"/>
        <w:tblW w:w="9067" w:type="dxa"/>
        <w:tblLook w:val="04A0" w:firstRow="1" w:lastRow="0" w:firstColumn="1" w:lastColumn="0" w:noHBand="0" w:noVBand="1"/>
      </w:tblPr>
      <w:tblGrid>
        <w:gridCol w:w="1559"/>
        <w:gridCol w:w="1701"/>
        <w:gridCol w:w="1727"/>
        <w:gridCol w:w="2238"/>
        <w:gridCol w:w="1842"/>
      </w:tblGrid>
      <w:tr w:rsidR="002B20A9" w:rsidRPr="00C86111" w14:paraId="249F606A" w14:textId="77777777" w:rsidTr="00BC76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9" w:type="dxa"/>
            <w:hideMark/>
          </w:tcPr>
          <w:p w14:paraId="2EB831B1" w14:textId="77777777" w:rsidR="002B20A9" w:rsidRPr="00C86111" w:rsidRDefault="002B20A9" w:rsidP="00BC765B">
            <w:pPr>
              <w:jc w:val="both"/>
              <w:rPr>
                <w:rFonts w:asciiTheme="minorHAnsi" w:eastAsia="Times New Roman" w:hAnsiTheme="minorHAnsi" w:cstheme="minorHAnsi"/>
                <w:b w:val="0"/>
                <w:bCs w:val="0"/>
                <w:color w:val="auto"/>
                <w:sz w:val="20"/>
                <w:szCs w:val="20"/>
                <w:lang w:val="sr-Latn-ME"/>
              </w:rPr>
            </w:pPr>
          </w:p>
          <w:p w14:paraId="6B572C63" w14:textId="77777777" w:rsidR="002B20A9" w:rsidRPr="00C86111" w:rsidRDefault="002B20A9" w:rsidP="00BC765B">
            <w:pPr>
              <w:jc w:val="both"/>
              <w:rPr>
                <w:rFonts w:asciiTheme="minorHAnsi" w:eastAsia="Times New Roman" w:hAnsiTheme="minorHAnsi" w:cstheme="minorHAnsi"/>
                <w:b w:val="0"/>
                <w:bCs w:val="0"/>
                <w:color w:val="auto"/>
                <w:sz w:val="20"/>
                <w:szCs w:val="20"/>
                <w:lang w:val="sr-Latn-ME"/>
              </w:rPr>
            </w:pPr>
          </w:p>
          <w:p w14:paraId="0A4ED10C"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val="sr-Latn-ME"/>
              </w:rPr>
              <w:t>Proizvod</w:t>
            </w:r>
          </w:p>
        </w:tc>
        <w:tc>
          <w:tcPr>
            <w:tcW w:w="1701" w:type="dxa"/>
            <w:hideMark/>
          </w:tcPr>
          <w:p w14:paraId="0CB66F3C"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val="sr-Latn-ME"/>
              </w:rPr>
              <w:t>Godina</w:t>
            </w:r>
          </w:p>
        </w:tc>
        <w:tc>
          <w:tcPr>
            <w:tcW w:w="1727" w:type="dxa"/>
            <w:hideMark/>
          </w:tcPr>
          <w:p w14:paraId="4DD61B46"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Količina (m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w:t>
            </w:r>
          </w:p>
        </w:tc>
        <w:tc>
          <w:tcPr>
            <w:tcW w:w="2238" w:type="dxa"/>
            <w:hideMark/>
          </w:tcPr>
          <w:p w14:paraId="29E13B66"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PFOA sadržaj</w:t>
            </w:r>
          </w:p>
          <w:p w14:paraId="40B09245"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rPr>
            </w:pPr>
            <w:r w:rsidRPr="00C86111">
              <w:rPr>
                <w:rFonts w:asciiTheme="minorHAnsi" w:eastAsia="Calibri" w:hAnsiTheme="minorHAnsi" w:cstheme="minorHAnsi"/>
                <w:color w:val="auto"/>
                <w:sz w:val="20"/>
                <w:szCs w:val="20"/>
              </w:rPr>
              <w:t>Približna vrijednost</w:t>
            </w:r>
          </w:p>
          <w:p w14:paraId="50E82F37"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(mg PFOA/m</w:t>
            </w:r>
            <w:r w:rsidRPr="00C86111">
              <w:rPr>
                <w:rFonts w:asciiTheme="minorHAnsi" w:eastAsia="Calibri" w:hAnsiTheme="minorHAnsi" w:cstheme="minorHAnsi"/>
                <w:color w:val="auto"/>
                <w:sz w:val="20"/>
                <w:szCs w:val="20"/>
                <w:vertAlign w:val="superscript"/>
              </w:rPr>
              <w:t>2</w:t>
            </w:r>
            <w:r w:rsidRPr="00C86111">
              <w:rPr>
                <w:rFonts w:asciiTheme="minorHAnsi" w:eastAsia="Calibri" w:hAnsiTheme="minorHAnsi" w:cstheme="minorHAnsi"/>
                <w:color w:val="auto"/>
                <w:sz w:val="20"/>
                <w:szCs w:val="20"/>
              </w:rPr>
              <w:t xml:space="preserve"> proizvoda)</w:t>
            </w:r>
          </w:p>
        </w:tc>
        <w:tc>
          <w:tcPr>
            <w:tcW w:w="1842" w:type="dxa"/>
            <w:hideMark/>
          </w:tcPr>
          <w:p w14:paraId="76683C20"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Količina PFOA (kg)</w:t>
            </w:r>
          </w:p>
          <w:p w14:paraId="17D78E17"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najniža/</w:t>
            </w:r>
          </w:p>
          <w:p w14:paraId="4372C293"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najveća vrijednost</w:t>
            </w:r>
          </w:p>
        </w:tc>
      </w:tr>
      <w:tr w:rsidR="002B20A9" w:rsidRPr="00C86111" w14:paraId="35531BF5"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restart"/>
            <w:hideMark/>
          </w:tcPr>
          <w:p w14:paraId="11428246"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Tekstil</w:t>
            </w:r>
          </w:p>
        </w:tc>
        <w:tc>
          <w:tcPr>
            <w:tcW w:w="1701" w:type="dxa"/>
            <w:hideMark/>
          </w:tcPr>
          <w:p w14:paraId="3F8C810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2017</w:t>
            </w:r>
          </w:p>
        </w:tc>
        <w:tc>
          <w:tcPr>
            <w:tcW w:w="1727" w:type="dxa"/>
          </w:tcPr>
          <w:p w14:paraId="0C3E11CE"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19457033</w:t>
            </w:r>
          </w:p>
        </w:tc>
        <w:tc>
          <w:tcPr>
            <w:tcW w:w="2238" w:type="dxa"/>
          </w:tcPr>
          <w:p w14:paraId="443DCAC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42" w:type="dxa"/>
          </w:tcPr>
          <w:p w14:paraId="1198FDF3"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0.0008-0.97</w:t>
            </w:r>
          </w:p>
        </w:tc>
      </w:tr>
      <w:tr w:rsidR="002B20A9" w:rsidRPr="00C86111" w14:paraId="34A0F84F"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5064672F"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36D7667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2018</w:t>
            </w:r>
          </w:p>
        </w:tc>
        <w:tc>
          <w:tcPr>
            <w:tcW w:w="1727" w:type="dxa"/>
          </w:tcPr>
          <w:p w14:paraId="0082CEC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20215598</w:t>
            </w:r>
          </w:p>
        </w:tc>
        <w:tc>
          <w:tcPr>
            <w:tcW w:w="2238" w:type="dxa"/>
          </w:tcPr>
          <w:p w14:paraId="35428EB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42" w:type="dxa"/>
          </w:tcPr>
          <w:p w14:paraId="5568E834"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0.0008-1.01</w:t>
            </w:r>
          </w:p>
        </w:tc>
      </w:tr>
      <w:tr w:rsidR="002B20A9" w:rsidRPr="00C86111" w14:paraId="34DECCCA"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1E62AF97"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4AF6F2D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2019</w:t>
            </w:r>
          </w:p>
        </w:tc>
        <w:tc>
          <w:tcPr>
            <w:tcW w:w="1727" w:type="dxa"/>
          </w:tcPr>
          <w:p w14:paraId="7ED025A2"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21310412</w:t>
            </w:r>
          </w:p>
        </w:tc>
        <w:tc>
          <w:tcPr>
            <w:tcW w:w="2238" w:type="dxa"/>
          </w:tcPr>
          <w:p w14:paraId="1240A2C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42" w:type="dxa"/>
          </w:tcPr>
          <w:p w14:paraId="54B1678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0.0009-1.07</w:t>
            </w:r>
          </w:p>
        </w:tc>
      </w:tr>
      <w:tr w:rsidR="002B20A9" w:rsidRPr="00C86111" w14:paraId="76E91391"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6263342D"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12D5978A"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2020</w:t>
            </w:r>
          </w:p>
        </w:tc>
        <w:tc>
          <w:tcPr>
            <w:tcW w:w="1727" w:type="dxa"/>
          </w:tcPr>
          <w:p w14:paraId="27233FE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18960795</w:t>
            </w:r>
          </w:p>
        </w:tc>
        <w:tc>
          <w:tcPr>
            <w:tcW w:w="2238" w:type="dxa"/>
          </w:tcPr>
          <w:p w14:paraId="0E5778A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42" w:type="dxa"/>
          </w:tcPr>
          <w:p w14:paraId="4CBC828C"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0.0008-0.95</w:t>
            </w:r>
          </w:p>
        </w:tc>
      </w:tr>
      <w:tr w:rsidR="002B20A9" w:rsidRPr="00C86111" w14:paraId="326B8923"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66A0924A"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39192163"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1727" w:type="dxa"/>
          </w:tcPr>
          <w:p w14:paraId="14229A26"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22589700</w:t>
            </w:r>
          </w:p>
        </w:tc>
        <w:tc>
          <w:tcPr>
            <w:tcW w:w="2238" w:type="dxa"/>
          </w:tcPr>
          <w:p w14:paraId="0E806CB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42" w:type="dxa"/>
          </w:tcPr>
          <w:p w14:paraId="6FD751D7"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0.0009-1.13</w:t>
            </w:r>
          </w:p>
        </w:tc>
      </w:tr>
      <w:tr w:rsidR="002B20A9" w:rsidRPr="00C86111" w14:paraId="669D65CA"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6278CA12"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4EED03E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2022</w:t>
            </w:r>
          </w:p>
        </w:tc>
        <w:tc>
          <w:tcPr>
            <w:tcW w:w="1727" w:type="dxa"/>
          </w:tcPr>
          <w:p w14:paraId="75BACBCA"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20935347</w:t>
            </w:r>
          </w:p>
        </w:tc>
        <w:tc>
          <w:tcPr>
            <w:tcW w:w="2238" w:type="dxa"/>
          </w:tcPr>
          <w:p w14:paraId="1A290AA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4×10</w:t>
            </w:r>
            <w:r w:rsidRPr="00C86111">
              <w:rPr>
                <w:rFonts w:asciiTheme="minorHAnsi" w:eastAsia="Calibri" w:hAnsiTheme="minorHAnsi" w:cstheme="minorHAnsi"/>
                <w:color w:val="auto"/>
                <w:sz w:val="20"/>
                <w:szCs w:val="20"/>
                <w:vertAlign w:val="superscript"/>
              </w:rPr>
              <w:t>-5</w:t>
            </w:r>
            <w:r w:rsidRPr="00C86111">
              <w:rPr>
                <w:rFonts w:asciiTheme="minorHAnsi" w:eastAsia="Calibri" w:hAnsiTheme="minorHAnsi" w:cstheme="minorHAnsi"/>
                <w:color w:val="auto"/>
                <w:sz w:val="20"/>
                <w:szCs w:val="20"/>
              </w:rPr>
              <w:t>-0.05</w:t>
            </w:r>
          </w:p>
        </w:tc>
        <w:tc>
          <w:tcPr>
            <w:tcW w:w="1842" w:type="dxa"/>
          </w:tcPr>
          <w:p w14:paraId="338A95B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0.0008-1.05</w:t>
            </w:r>
          </w:p>
        </w:tc>
      </w:tr>
    </w:tbl>
    <w:p w14:paraId="3F56E2F4" w14:textId="77777777" w:rsidR="002B20A9" w:rsidRPr="00C86111" w:rsidRDefault="002B20A9" w:rsidP="002B20A9">
      <w:pPr>
        <w:jc w:val="both"/>
        <w:rPr>
          <w:rFonts w:asciiTheme="minorHAnsi" w:hAnsiTheme="minorHAnsi" w:cstheme="minorHAnsi"/>
          <w:color w:val="auto"/>
        </w:rPr>
      </w:pPr>
    </w:p>
    <w:p w14:paraId="2BECF3A9" w14:textId="77777777" w:rsidR="002A416E" w:rsidRPr="00C86111" w:rsidRDefault="002A416E" w:rsidP="002B20A9">
      <w:pPr>
        <w:jc w:val="both"/>
        <w:rPr>
          <w:rFonts w:asciiTheme="minorHAnsi" w:hAnsiTheme="minorHAnsi" w:cstheme="minorHAnsi"/>
          <w:b/>
          <w:bCs/>
          <w:color w:val="auto"/>
        </w:rPr>
      </w:pPr>
    </w:p>
    <w:p w14:paraId="034D8C0D" w14:textId="36299B48" w:rsidR="002B20A9" w:rsidRPr="00C86111" w:rsidRDefault="002B20A9" w:rsidP="002B20A9">
      <w:pPr>
        <w:jc w:val="both"/>
        <w:rPr>
          <w:rFonts w:asciiTheme="minorHAnsi" w:hAnsiTheme="minorHAnsi" w:cstheme="minorHAnsi"/>
          <w:color w:val="auto"/>
        </w:rPr>
      </w:pPr>
      <w:r w:rsidRPr="00C86111">
        <w:rPr>
          <w:rFonts w:asciiTheme="minorHAnsi" w:hAnsiTheme="minorHAnsi" w:cstheme="minorHAnsi"/>
          <w:b/>
          <w:bCs/>
          <w:color w:val="auto"/>
        </w:rPr>
        <w:t xml:space="preserve">Tabela </w:t>
      </w:r>
      <w:r w:rsidR="00626D74" w:rsidRPr="00C86111">
        <w:rPr>
          <w:rFonts w:asciiTheme="minorHAnsi" w:hAnsiTheme="minorHAnsi" w:cstheme="minorHAnsi"/>
          <w:b/>
          <w:bCs/>
          <w:color w:val="auto"/>
        </w:rPr>
        <w:t>97</w:t>
      </w:r>
      <w:r w:rsidRPr="00C86111">
        <w:rPr>
          <w:rFonts w:asciiTheme="minorHAnsi" w:hAnsiTheme="minorHAnsi" w:cstheme="minorHAnsi"/>
          <w:b/>
          <w:bCs/>
          <w:color w:val="auto"/>
        </w:rPr>
        <w:t>.</w:t>
      </w:r>
      <w:r w:rsidRPr="00C86111">
        <w:rPr>
          <w:rFonts w:asciiTheme="minorHAnsi" w:hAnsiTheme="minorHAnsi" w:cstheme="minorHAnsi"/>
          <w:color w:val="auto"/>
        </w:rPr>
        <w:t xml:space="preserve"> Potencijalni sadržaj PFHxS u generisanom otpadnom tekstilu za period 2017-2022 godina</w:t>
      </w:r>
    </w:p>
    <w:p w14:paraId="5700FEB9" w14:textId="77777777" w:rsidR="00626D74" w:rsidRPr="00C86111" w:rsidRDefault="00626D74" w:rsidP="002B20A9">
      <w:pPr>
        <w:jc w:val="both"/>
        <w:rPr>
          <w:rFonts w:asciiTheme="minorHAnsi" w:hAnsiTheme="minorHAnsi" w:cstheme="minorHAnsi"/>
          <w:color w:val="auto"/>
        </w:rPr>
      </w:pPr>
    </w:p>
    <w:tbl>
      <w:tblPr>
        <w:tblStyle w:val="GridTable5Dark-Accent6"/>
        <w:tblW w:w="9067" w:type="dxa"/>
        <w:tblLook w:val="04A0" w:firstRow="1" w:lastRow="0" w:firstColumn="1" w:lastColumn="0" w:noHBand="0" w:noVBand="1"/>
      </w:tblPr>
      <w:tblGrid>
        <w:gridCol w:w="1559"/>
        <w:gridCol w:w="1701"/>
        <w:gridCol w:w="1727"/>
        <w:gridCol w:w="2238"/>
        <w:gridCol w:w="1842"/>
      </w:tblGrid>
      <w:tr w:rsidR="002B20A9" w:rsidRPr="00C86111" w14:paraId="225106E4" w14:textId="77777777" w:rsidTr="00BC76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9" w:type="dxa"/>
            <w:hideMark/>
          </w:tcPr>
          <w:p w14:paraId="690D2768" w14:textId="77777777" w:rsidR="002B20A9" w:rsidRPr="00C86111" w:rsidRDefault="002B20A9" w:rsidP="00BC765B">
            <w:pPr>
              <w:jc w:val="both"/>
              <w:rPr>
                <w:rFonts w:asciiTheme="minorHAnsi" w:eastAsia="Times New Roman" w:hAnsiTheme="minorHAnsi" w:cstheme="minorHAnsi"/>
                <w:b w:val="0"/>
                <w:bCs w:val="0"/>
                <w:color w:val="auto"/>
                <w:sz w:val="20"/>
                <w:szCs w:val="20"/>
                <w:lang w:val="sr-Latn-ME"/>
              </w:rPr>
            </w:pPr>
          </w:p>
          <w:p w14:paraId="38ADA57C" w14:textId="77777777" w:rsidR="002B20A9" w:rsidRPr="00C86111" w:rsidRDefault="002B20A9" w:rsidP="00BC765B">
            <w:pPr>
              <w:jc w:val="both"/>
              <w:rPr>
                <w:rFonts w:asciiTheme="minorHAnsi" w:eastAsia="Times New Roman" w:hAnsiTheme="minorHAnsi" w:cstheme="minorHAnsi"/>
                <w:b w:val="0"/>
                <w:bCs w:val="0"/>
                <w:color w:val="auto"/>
                <w:sz w:val="20"/>
                <w:szCs w:val="20"/>
                <w:lang w:val="sr-Latn-ME"/>
              </w:rPr>
            </w:pPr>
          </w:p>
          <w:p w14:paraId="78B264AE"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val="sr-Latn-ME"/>
              </w:rPr>
              <w:t>Proizvod</w:t>
            </w:r>
          </w:p>
        </w:tc>
        <w:tc>
          <w:tcPr>
            <w:tcW w:w="1701" w:type="dxa"/>
            <w:hideMark/>
          </w:tcPr>
          <w:p w14:paraId="6ECD50DB"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Times New Roman" w:hAnsiTheme="minorHAnsi" w:cstheme="minorHAnsi"/>
                <w:color w:val="auto"/>
                <w:sz w:val="20"/>
                <w:szCs w:val="20"/>
                <w:lang w:val="sr-Latn-ME"/>
              </w:rPr>
              <w:t>Godina</w:t>
            </w:r>
          </w:p>
        </w:tc>
        <w:tc>
          <w:tcPr>
            <w:tcW w:w="1727" w:type="dxa"/>
            <w:hideMark/>
          </w:tcPr>
          <w:p w14:paraId="55A3E641"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kern w:val="24"/>
                <w:sz w:val="20"/>
                <w:szCs w:val="20"/>
              </w:rPr>
              <w:t>Količina (</w:t>
            </w:r>
            <w:r w:rsidRPr="00C86111">
              <w:rPr>
                <w:rFonts w:asciiTheme="minorHAnsi" w:hAnsiTheme="minorHAnsi" w:cstheme="minorHAnsi"/>
                <w:color w:val="auto"/>
                <w:kern w:val="24"/>
                <w:sz w:val="20"/>
                <w:szCs w:val="20"/>
                <w:lang w:val="sr-Latn-ME"/>
              </w:rPr>
              <w:t>kg</w:t>
            </w:r>
            <w:r w:rsidRPr="00C86111">
              <w:rPr>
                <w:rFonts w:asciiTheme="minorHAnsi" w:hAnsiTheme="minorHAnsi" w:cstheme="minorHAnsi"/>
                <w:color w:val="auto"/>
                <w:kern w:val="24"/>
                <w:sz w:val="20"/>
                <w:szCs w:val="20"/>
              </w:rPr>
              <w:t>)</w:t>
            </w:r>
          </w:p>
        </w:tc>
        <w:tc>
          <w:tcPr>
            <w:tcW w:w="2238" w:type="dxa"/>
            <w:hideMark/>
          </w:tcPr>
          <w:p w14:paraId="0BC53FD5"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kern w:val="24"/>
                <w:sz w:val="20"/>
                <w:szCs w:val="20"/>
              </w:rPr>
              <w:t>PF</w:t>
            </w:r>
            <w:r w:rsidRPr="00C86111">
              <w:rPr>
                <w:rFonts w:asciiTheme="minorHAnsi" w:hAnsiTheme="minorHAnsi" w:cstheme="minorHAnsi"/>
                <w:kern w:val="24"/>
                <w:sz w:val="20"/>
                <w:szCs w:val="20"/>
                <w:lang w:val="sr-Latn-ME"/>
              </w:rPr>
              <w:t>Hx</w:t>
            </w:r>
            <w:r w:rsidRPr="00C86111">
              <w:rPr>
                <w:rFonts w:asciiTheme="minorHAnsi" w:hAnsiTheme="minorHAnsi" w:cstheme="minorHAnsi"/>
                <w:kern w:val="24"/>
                <w:sz w:val="20"/>
                <w:szCs w:val="20"/>
              </w:rPr>
              <w:t>S sadržaj</w:t>
            </w:r>
          </w:p>
          <w:p w14:paraId="292E774B"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kern w:val="24"/>
                <w:sz w:val="20"/>
                <w:szCs w:val="20"/>
              </w:rPr>
              <w:t>Približna vrijednost</w:t>
            </w:r>
          </w:p>
          <w:p w14:paraId="76A33276"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kern w:val="24"/>
                <w:sz w:val="20"/>
                <w:szCs w:val="20"/>
              </w:rPr>
              <w:t>(</w:t>
            </w:r>
            <w:r w:rsidRPr="00C86111">
              <w:rPr>
                <w:rFonts w:asciiTheme="minorHAnsi" w:eastAsia="DengXian" w:hAnsiTheme="minorHAnsi" w:cstheme="minorHAnsi"/>
                <w:color w:val="auto"/>
                <w:kern w:val="24"/>
                <w:sz w:val="20"/>
                <w:szCs w:val="20"/>
              </w:rPr>
              <w:t>µg</w:t>
            </w:r>
            <w:r w:rsidRPr="00C86111">
              <w:rPr>
                <w:rFonts w:asciiTheme="minorHAnsi" w:hAnsiTheme="minorHAnsi" w:cstheme="minorHAnsi"/>
                <w:color w:val="auto"/>
                <w:kern w:val="24"/>
                <w:sz w:val="20"/>
                <w:szCs w:val="20"/>
              </w:rPr>
              <w:t xml:space="preserve"> PF</w:t>
            </w:r>
            <w:r w:rsidRPr="00C86111">
              <w:rPr>
                <w:rFonts w:asciiTheme="minorHAnsi" w:hAnsiTheme="minorHAnsi" w:cstheme="minorHAnsi"/>
                <w:color w:val="auto"/>
                <w:kern w:val="24"/>
                <w:sz w:val="20"/>
                <w:szCs w:val="20"/>
                <w:lang w:val="sr-Latn-ME"/>
              </w:rPr>
              <w:t>Hx</w:t>
            </w:r>
            <w:r w:rsidRPr="00C86111">
              <w:rPr>
                <w:rFonts w:asciiTheme="minorHAnsi" w:hAnsiTheme="minorHAnsi" w:cstheme="minorHAnsi"/>
                <w:color w:val="auto"/>
                <w:kern w:val="24"/>
                <w:sz w:val="20"/>
                <w:szCs w:val="20"/>
              </w:rPr>
              <w:t>S/</w:t>
            </w:r>
            <w:r w:rsidRPr="00C86111">
              <w:rPr>
                <w:rFonts w:asciiTheme="minorHAnsi" w:hAnsiTheme="minorHAnsi" w:cstheme="minorHAnsi"/>
                <w:color w:val="auto"/>
                <w:kern w:val="24"/>
                <w:sz w:val="20"/>
                <w:szCs w:val="20"/>
                <w:lang w:val="sr-Latn-ME"/>
              </w:rPr>
              <w:t>kg</w:t>
            </w:r>
            <w:r w:rsidRPr="00C86111">
              <w:rPr>
                <w:rFonts w:asciiTheme="minorHAnsi" w:hAnsiTheme="minorHAnsi" w:cstheme="minorHAnsi"/>
                <w:color w:val="auto"/>
                <w:kern w:val="24"/>
                <w:sz w:val="20"/>
                <w:szCs w:val="20"/>
              </w:rPr>
              <w:t xml:space="preserve"> proizvoda)</w:t>
            </w:r>
          </w:p>
        </w:tc>
        <w:tc>
          <w:tcPr>
            <w:tcW w:w="1842" w:type="dxa"/>
            <w:hideMark/>
          </w:tcPr>
          <w:p w14:paraId="6DD3DE3D"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kern w:val="24"/>
                <w:sz w:val="20"/>
                <w:szCs w:val="20"/>
                <w:lang w:val="sr-Latn-ME"/>
              </w:rPr>
              <w:t>Količina PFHxS (g)</w:t>
            </w:r>
          </w:p>
          <w:p w14:paraId="7401B049"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6111">
              <w:rPr>
                <w:rFonts w:asciiTheme="minorHAnsi" w:hAnsiTheme="minorHAnsi" w:cstheme="minorHAnsi"/>
                <w:kern w:val="24"/>
                <w:sz w:val="20"/>
                <w:szCs w:val="20"/>
                <w:lang w:val="sr-Latn-ME"/>
              </w:rPr>
              <w:t>najniža/</w:t>
            </w:r>
          </w:p>
          <w:p w14:paraId="7FD4D089" w14:textId="77777777" w:rsidR="002B20A9" w:rsidRPr="00C86111" w:rsidRDefault="002B20A9" w:rsidP="00BC765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kern w:val="24"/>
                <w:sz w:val="20"/>
                <w:szCs w:val="20"/>
                <w:lang w:val="sr-Latn-ME"/>
              </w:rPr>
              <w:t>najveća vrijednost</w:t>
            </w:r>
          </w:p>
        </w:tc>
      </w:tr>
      <w:tr w:rsidR="002B20A9" w:rsidRPr="00C86111" w14:paraId="7380CF40"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val="restart"/>
            <w:hideMark/>
          </w:tcPr>
          <w:p w14:paraId="19821AB1" w14:textId="77777777" w:rsidR="002B20A9" w:rsidRPr="00C86111" w:rsidRDefault="002B20A9" w:rsidP="00BC765B">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Tekstil</w:t>
            </w:r>
          </w:p>
        </w:tc>
        <w:tc>
          <w:tcPr>
            <w:tcW w:w="1701" w:type="dxa"/>
            <w:hideMark/>
          </w:tcPr>
          <w:p w14:paraId="2F46C52E"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2017</w:t>
            </w:r>
          </w:p>
        </w:tc>
        <w:tc>
          <w:tcPr>
            <w:tcW w:w="1727" w:type="dxa"/>
          </w:tcPr>
          <w:p w14:paraId="4907372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9265254</w:t>
            </w:r>
          </w:p>
        </w:tc>
        <w:tc>
          <w:tcPr>
            <w:tcW w:w="2238" w:type="dxa"/>
          </w:tcPr>
          <w:p w14:paraId="34DA900E"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42" w:type="dxa"/>
          </w:tcPr>
          <w:p w14:paraId="3FD5433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2.0</w:t>
            </w:r>
            <w:r w:rsidRPr="00C86111">
              <w:rPr>
                <w:rFonts w:asciiTheme="minorHAnsi" w:eastAsia="DengXian" w:hAnsiTheme="minorHAnsi" w:cstheme="minorHAnsi"/>
                <w:color w:val="auto"/>
                <w:kern w:val="24"/>
                <w:sz w:val="20"/>
                <w:szCs w:val="20"/>
                <w:lang w:val="sr-Latn-ME"/>
              </w:rPr>
              <w:t>-27</w:t>
            </w:r>
          </w:p>
        </w:tc>
      </w:tr>
      <w:tr w:rsidR="002B20A9" w:rsidRPr="00C86111" w14:paraId="047558EA"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2F9BB985"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0428F31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2018</w:t>
            </w:r>
          </w:p>
        </w:tc>
        <w:tc>
          <w:tcPr>
            <w:tcW w:w="1727" w:type="dxa"/>
          </w:tcPr>
          <w:p w14:paraId="32038A89"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9626475</w:t>
            </w:r>
          </w:p>
        </w:tc>
        <w:tc>
          <w:tcPr>
            <w:tcW w:w="2238" w:type="dxa"/>
          </w:tcPr>
          <w:p w14:paraId="4CE66BE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42" w:type="dxa"/>
          </w:tcPr>
          <w:p w14:paraId="3EC77236"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2.1</w:t>
            </w:r>
            <w:r w:rsidRPr="00C86111">
              <w:rPr>
                <w:rFonts w:asciiTheme="minorHAnsi" w:eastAsia="DengXian" w:hAnsiTheme="minorHAnsi" w:cstheme="minorHAnsi"/>
                <w:color w:val="auto"/>
                <w:kern w:val="24"/>
                <w:sz w:val="20"/>
                <w:szCs w:val="20"/>
                <w:lang w:val="sr-Latn-ME"/>
              </w:rPr>
              <w:t>-28</w:t>
            </w:r>
          </w:p>
        </w:tc>
      </w:tr>
      <w:tr w:rsidR="002B20A9" w:rsidRPr="00C86111" w14:paraId="5C9F816B"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24E0AD93"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5A6FAC74"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2019</w:t>
            </w:r>
          </w:p>
        </w:tc>
        <w:tc>
          <w:tcPr>
            <w:tcW w:w="1727" w:type="dxa"/>
          </w:tcPr>
          <w:p w14:paraId="0937C5FF"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10147815</w:t>
            </w:r>
          </w:p>
        </w:tc>
        <w:tc>
          <w:tcPr>
            <w:tcW w:w="2238" w:type="dxa"/>
          </w:tcPr>
          <w:p w14:paraId="3BB371AC"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42" w:type="dxa"/>
          </w:tcPr>
          <w:p w14:paraId="6E1CA98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2.2</w:t>
            </w:r>
            <w:r w:rsidRPr="00C86111">
              <w:rPr>
                <w:rFonts w:asciiTheme="minorHAnsi" w:eastAsia="DengXian" w:hAnsiTheme="minorHAnsi" w:cstheme="minorHAnsi"/>
                <w:color w:val="auto"/>
                <w:kern w:val="24"/>
                <w:sz w:val="20"/>
                <w:szCs w:val="20"/>
                <w:lang w:val="sr-Latn-ME"/>
              </w:rPr>
              <w:t>-30</w:t>
            </w:r>
          </w:p>
        </w:tc>
      </w:tr>
      <w:tr w:rsidR="002B20A9" w:rsidRPr="00C86111" w14:paraId="796CDC56"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6E34D1B1"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7B5D5BB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2020</w:t>
            </w:r>
          </w:p>
        </w:tc>
        <w:tc>
          <w:tcPr>
            <w:tcW w:w="1727" w:type="dxa"/>
          </w:tcPr>
          <w:p w14:paraId="4795B6A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9028950</w:t>
            </w:r>
          </w:p>
        </w:tc>
        <w:tc>
          <w:tcPr>
            <w:tcW w:w="2238" w:type="dxa"/>
          </w:tcPr>
          <w:p w14:paraId="558E1AA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42" w:type="dxa"/>
          </w:tcPr>
          <w:p w14:paraId="47A0A87F"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2.0</w:t>
            </w:r>
            <w:r w:rsidRPr="00C86111">
              <w:rPr>
                <w:rFonts w:asciiTheme="minorHAnsi" w:eastAsia="DengXian" w:hAnsiTheme="minorHAnsi" w:cstheme="minorHAnsi"/>
                <w:color w:val="auto"/>
                <w:kern w:val="24"/>
                <w:sz w:val="20"/>
                <w:szCs w:val="20"/>
                <w:lang w:val="sr-Latn-ME"/>
              </w:rPr>
              <w:t>-27</w:t>
            </w:r>
          </w:p>
        </w:tc>
      </w:tr>
      <w:tr w:rsidR="002B20A9" w:rsidRPr="00C86111" w14:paraId="4BB2658C" w14:textId="77777777" w:rsidTr="00BC76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604DC507"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228C8C10"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2021</w:t>
            </w:r>
          </w:p>
        </w:tc>
        <w:tc>
          <w:tcPr>
            <w:tcW w:w="1727" w:type="dxa"/>
          </w:tcPr>
          <w:p w14:paraId="04E6189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10757000</w:t>
            </w:r>
          </w:p>
        </w:tc>
        <w:tc>
          <w:tcPr>
            <w:tcW w:w="2238" w:type="dxa"/>
          </w:tcPr>
          <w:p w14:paraId="0A49CCA5"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42" w:type="dxa"/>
          </w:tcPr>
          <w:p w14:paraId="4C3C987A" w14:textId="77777777" w:rsidR="002B20A9" w:rsidRPr="00C86111" w:rsidRDefault="002B20A9" w:rsidP="00BC765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lang w:val="sr-Latn-ME"/>
              </w:rPr>
              <w:t>2.4-32</w:t>
            </w:r>
          </w:p>
        </w:tc>
      </w:tr>
      <w:tr w:rsidR="002B20A9" w:rsidRPr="00C86111" w14:paraId="111E3DBB" w14:textId="77777777" w:rsidTr="00BC765B">
        <w:trPr>
          <w:trHeight w:hRule="exact" w:val="397"/>
        </w:trPr>
        <w:tc>
          <w:tcPr>
            <w:cnfStyle w:val="001000000000" w:firstRow="0" w:lastRow="0" w:firstColumn="1" w:lastColumn="0" w:oddVBand="0" w:evenVBand="0" w:oddHBand="0" w:evenHBand="0" w:firstRowFirstColumn="0" w:firstRowLastColumn="0" w:lastRowFirstColumn="0" w:lastRowLastColumn="0"/>
            <w:tcW w:w="1559" w:type="dxa"/>
            <w:vMerge/>
            <w:hideMark/>
          </w:tcPr>
          <w:p w14:paraId="15EE94E9" w14:textId="77777777" w:rsidR="002B20A9" w:rsidRPr="00C86111" w:rsidRDefault="002B20A9" w:rsidP="00BC765B">
            <w:pPr>
              <w:jc w:val="both"/>
              <w:rPr>
                <w:rFonts w:asciiTheme="minorHAnsi" w:hAnsiTheme="minorHAnsi" w:cstheme="minorHAnsi"/>
                <w:color w:val="auto"/>
                <w:sz w:val="20"/>
                <w:szCs w:val="20"/>
              </w:rPr>
            </w:pPr>
          </w:p>
        </w:tc>
        <w:tc>
          <w:tcPr>
            <w:tcW w:w="1701" w:type="dxa"/>
            <w:hideMark/>
          </w:tcPr>
          <w:p w14:paraId="7CD37B71"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lang w:val="sr-Latn-ME"/>
              </w:rPr>
              <w:t>2022</w:t>
            </w:r>
          </w:p>
        </w:tc>
        <w:tc>
          <w:tcPr>
            <w:tcW w:w="1727" w:type="dxa"/>
          </w:tcPr>
          <w:p w14:paraId="5833A538"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9969213</w:t>
            </w:r>
          </w:p>
        </w:tc>
        <w:tc>
          <w:tcPr>
            <w:tcW w:w="2238" w:type="dxa"/>
          </w:tcPr>
          <w:p w14:paraId="50564942"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Calibri" w:hAnsiTheme="minorHAnsi" w:cstheme="minorHAnsi"/>
                <w:color w:val="auto"/>
                <w:sz w:val="20"/>
                <w:szCs w:val="20"/>
              </w:rPr>
              <w:t xml:space="preserve">0.219 – 2.93 </w:t>
            </w:r>
          </w:p>
        </w:tc>
        <w:tc>
          <w:tcPr>
            <w:tcW w:w="1842" w:type="dxa"/>
          </w:tcPr>
          <w:p w14:paraId="194542BE" w14:textId="77777777" w:rsidR="002B20A9" w:rsidRPr="00C86111" w:rsidRDefault="002B20A9" w:rsidP="00BC765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eastAsia="DengXian" w:hAnsiTheme="minorHAnsi" w:cstheme="minorHAnsi"/>
                <w:color w:val="auto"/>
                <w:kern w:val="24"/>
                <w:sz w:val="20"/>
                <w:szCs w:val="20"/>
              </w:rPr>
              <w:t>2.2</w:t>
            </w:r>
            <w:r w:rsidRPr="00C86111">
              <w:rPr>
                <w:rFonts w:asciiTheme="minorHAnsi" w:eastAsia="DengXian" w:hAnsiTheme="minorHAnsi" w:cstheme="minorHAnsi"/>
                <w:color w:val="auto"/>
                <w:kern w:val="24"/>
                <w:sz w:val="20"/>
                <w:szCs w:val="20"/>
                <w:lang w:val="sr-Latn-ME"/>
              </w:rPr>
              <w:t>-29</w:t>
            </w:r>
          </w:p>
        </w:tc>
      </w:tr>
    </w:tbl>
    <w:p w14:paraId="5032E615" w14:textId="77777777" w:rsidR="002B20A9" w:rsidRDefault="002B20A9" w:rsidP="002B20A9">
      <w:pPr>
        <w:jc w:val="both"/>
        <w:rPr>
          <w:rFonts w:asciiTheme="minorHAnsi" w:hAnsiTheme="minorHAnsi" w:cstheme="minorHAnsi"/>
          <w:color w:val="auto"/>
        </w:rPr>
      </w:pPr>
    </w:p>
    <w:p w14:paraId="0F0DD180" w14:textId="77777777" w:rsidR="0037538F" w:rsidRDefault="0037538F" w:rsidP="002B20A9">
      <w:pPr>
        <w:jc w:val="both"/>
        <w:rPr>
          <w:rFonts w:asciiTheme="minorHAnsi" w:hAnsiTheme="minorHAnsi" w:cstheme="minorHAnsi"/>
          <w:color w:val="auto"/>
        </w:rPr>
      </w:pPr>
    </w:p>
    <w:p w14:paraId="276126D4" w14:textId="77777777" w:rsidR="0037538F" w:rsidRDefault="0037538F" w:rsidP="002B20A9">
      <w:pPr>
        <w:jc w:val="both"/>
        <w:rPr>
          <w:rFonts w:asciiTheme="minorHAnsi" w:hAnsiTheme="minorHAnsi" w:cstheme="minorHAnsi"/>
          <w:color w:val="auto"/>
        </w:rPr>
      </w:pPr>
    </w:p>
    <w:p w14:paraId="3A46FFBF" w14:textId="77777777" w:rsidR="0037538F" w:rsidRDefault="0037538F" w:rsidP="002B20A9">
      <w:pPr>
        <w:jc w:val="both"/>
        <w:rPr>
          <w:rFonts w:asciiTheme="minorHAnsi" w:hAnsiTheme="minorHAnsi" w:cstheme="minorHAnsi"/>
          <w:color w:val="auto"/>
        </w:rPr>
      </w:pPr>
    </w:p>
    <w:p w14:paraId="43A88CC8" w14:textId="77777777" w:rsidR="0037538F" w:rsidRPr="00C86111" w:rsidRDefault="0037538F" w:rsidP="002B20A9">
      <w:pPr>
        <w:jc w:val="both"/>
        <w:rPr>
          <w:rFonts w:asciiTheme="minorHAnsi" w:hAnsiTheme="minorHAnsi" w:cstheme="minorHAnsi"/>
          <w:color w:val="auto"/>
        </w:rPr>
      </w:pPr>
    </w:p>
    <w:p w14:paraId="4BB1817B" w14:textId="77777777" w:rsidR="002B20A9" w:rsidRPr="00C86111" w:rsidRDefault="002B20A9" w:rsidP="00004F34">
      <w:pPr>
        <w:pStyle w:val="Heading1"/>
        <w:numPr>
          <w:ilvl w:val="1"/>
          <w:numId w:val="238"/>
        </w:numPr>
        <w:rPr>
          <w:lang w:eastAsia="en-GB"/>
        </w:rPr>
      </w:pPr>
      <w:bookmarkStart w:id="367" w:name="_Toc220541958"/>
      <w:r w:rsidRPr="00C86111">
        <w:rPr>
          <w:lang w:eastAsia="en-GB"/>
        </w:rPr>
        <w:lastRenderedPageBreak/>
        <w:t>Zaključak – PFOA i PFHxS u otpadu</w:t>
      </w:r>
      <w:bookmarkEnd w:id="367"/>
    </w:p>
    <w:p w14:paraId="73C11AF4" w14:textId="77777777" w:rsidR="002B20A9" w:rsidRPr="00C86111" w:rsidRDefault="002B20A9" w:rsidP="002B20A9">
      <w:pPr>
        <w:jc w:val="both"/>
        <w:rPr>
          <w:rFonts w:asciiTheme="minorHAnsi" w:eastAsia="Times New Roman" w:hAnsiTheme="minorHAnsi" w:cstheme="minorHAnsi"/>
          <w:color w:val="002060"/>
          <w:lang w:eastAsia="en-GB"/>
        </w:rPr>
      </w:pPr>
    </w:p>
    <w:p w14:paraId="52340996"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Analiza prikupljenih podataka o otpadu dovela je do sljedećih zaključaka:</w:t>
      </w:r>
    </w:p>
    <w:p w14:paraId="411E774D" w14:textId="77777777" w:rsidR="00626D74" w:rsidRPr="00C86111" w:rsidRDefault="00626D74" w:rsidP="002B20A9">
      <w:pPr>
        <w:jc w:val="both"/>
        <w:rPr>
          <w:rFonts w:asciiTheme="minorHAnsi" w:eastAsia="Times New Roman" w:hAnsiTheme="minorHAnsi" w:cstheme="minorHAnsi"/>
          <w:color w:val="auto"/>
          <w:lang w:eastAsia="en-GB"/>
        </w:rPr>
      </w:pPr>
    </w:p>
    <w:p w14:paraId="31609E94" w14:textId="77777777" w:rsidR="002B20A9" w:rsidRPr="00C86111" w:rsidRDefault="002B20A9" w:rsidP="00004F34">
      <w:pPr>
        <w:pStyle w:val="ListParagraph"/>
        <w:numPr>
          <w:ilvl w:val="0"/>
          <w:numId w:val="160"/>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002060"/>
          <w:lang w:eastAsia="en-GB"/>
        </w:rPr>
        <w:t xml:space="preserve">Grupa 20 </w:t>
      </w:r>
      <w:r w:rsidRPr="00C86111">
        <w:rPr>
          <w:rFonts w:asciiTheme="minorHAnsi" w:eastAsia="Times New Roman" w:hAnsiTheme="minorHAnsi" w:cstheme="minorHAnsi"/>
          <w:color w:val="auto"/>
          <w:lang w:eastAsia="en-GB"/>
        </w:rPr>
        <w:t>– komunalni otpad čini dominantan dio otpada koji potencijalno sadrži PFOA, PFHxS, njihove soli i srodna jedinjenja. Zbog velikih količina generisanog otpada, ova grupa treba da bude prioritet u budućim aktivnostima koje se odnose na upravljanje otpadom i identifikaciju izvora ovih supstanci.</w:t>
      </w:r>
    </w:p>
    <w:p w14:paraId="62B05A7F" w14:textId="77777777" w:rsidR="002B20A9" w:rsidRPr="00C86111" w:rsidRDefault="002B20A9" w:rsidP="00004F34">
      <w:pPr>
        <w:pStyle w:val="ListParagraph"/>
        <w:numPr>
          <w:ilvl w:val="0"/>
          <w:numId w:val="160"/>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002060"/>
          <w:lang w:eastAsia="en-GB"/>
        </w:rPr>
        <w:t>Otpad od papira i kartona</w:t>
      </w:r>
      <w:r w:rsidRPr="00C86111">
        <w:rPr>
          <w:rFonts w:asciiTheme="minorHAnsi" w:eastAsia="Times New Roman" w:hAnsiTheme="minorHAnsi" w:cstheme="minorHAnsi"/>
          <w:color w:val="auto"/>
          <w:lang w:eastAsia="en-GB"/>
        </w:rPr>
        <w:t>: potencijalno sadrži između 6,5 i 31 tone PFOA godišnje, u zavisnosti od obima uvoza i udjela impregniranih materijala. Ovo čini papir i karton najznačajnijim nosiocima PFOA u tokovima otpada.</w:t>
      </w:r>
    </w:p>
    <w:p w14:paraId="228CA5F6" w14:textId="77777777" w:rsidR="002B20A9" w:rsidRPr="00C86111" w:rsidRDefault="002B20A9" w:rsidP="00004F34">
      <w:pPr>
        <w:pStyle w:val="ListParagraph"/>
        <w:numPr>
          <w:ilvl w:val="0"/>
          <w:numId w:val="160"/>
        </w:numPr>
        <w:jc w:val="both"/>
        <w:rPr>
          <w:rFonts w:asciiTheme="minorHAnsi" w:hAnsiTheme="minorHAnsi" w:cstheme="minorHAnsi"/>
          <w:b/>
          <w:bCs/>
          <w:color w:val="auto"/>
        </w:rPr>
      </w:pPr>
      <w:r w:rsidRPr="00C86111">
        <w:rPr>
          <w:rFonts w:asciiTheme="minorHAnsi" w:eastAsia="Times New Roman" w:hAnsiTheme="minorHAnsi" w:cstheme="minorHAnsi"/>
          <w:color w:val="002060"/>
          <w:lang w:eastAsia="en-GB"/>
        </w:rPr>
        <w:t>Tekstil:</w:t>
      </w:r>
      <w:r w:rsidRPr="00C86111">
        <w:rPr>
          <w:rFonts w:asciiTheme="minorHAnsi" w:eastAsia="Times New Roman" w:hAnsiTheme="minorHAnsi" w:cstheme="minorHAnsi"/>
          <w:color w:val="auto"/>
          <w:lang w:eastAsia="en-GB"/>
        </w:rPr>
        <w:t xml:space="preserve"> procijenjeni nivoi PFOA u tekstilu su veoma niski – uglavnom ispod 1 kg godišnje, što odražava njihov ograničen značaj u poređenju sa ambalažnim materijalima. Međutim, ista tekstilna frakcija može sadržati između 2 i 32 g PFHxS godišnje, što potvrđuje njegovo prisustvo, iako u malim, ali mjerljivim količinama.</w:t>
      </w:r>
    </w:p>
    <w:p w14:paraId="08C79075" w14:textId="77777777" w:rsidR="002B20A9" w:rsidRPr="00C86111" w:rsidRDefault="002B20A9" w:rsidP="00004F34">
      <w:pPr>
        <w:pStyle w:val="ListParagraph"/>
        <w:numPr>
          <w:ilvl w:val="0"/>
          <w:numId w:val="160"/>
        </w:numPr>
        <w:jc w:val="both"/>
        <w:rPr>
          <w:rFonts w:asciiTheme="minorHAnsi" w:eastAsia="Times New Roman" w:hAnsiTheme="minorHAnsi" w:cstheme="minorHAnsi"/>
          <w:color w:val="auto"/>
          <w:lang w:eastAsia="en-GB"/>
        </w:rPr>
      </w:pPr>
      <w:r w:rsidRPr="00C86111">
        <w:rPr>
          <w:rFonts w:asciiTheme="minorHAnsi" w:hAnsiTheme="minorHAnsi" w:cstheme="minorHAnsi"/>
          <w:color w:val="auto"/>
        </w:rPr>
        <w:t xml:space="preserve">Rezultati pokazuju da su </w:t>
      </w:r>
      <w:r w:rsidRPr="00C86111">
        <w:rPr>
          <w:rStyle w:val="Strong"/>
          <w:rFonts w:asciiTheme="minorHAnsi" w:hAnsiTheme="minorHAnsi" w:cstheme="minorHAnsi"/>
          <w:b w:val="0"/>
          <w:bCs w:val="0"/>
          <w:color w:val="auto"/>
          <w:szCs w:val="24"/>
        </w:rPr>
        <w:t>doprinosi PFHxS-a u otpadu relativno ograničeni</w:t>
      </w:r>
      <w:r w:rsidRPr="00C86111">
        <w:rPr>
          <w:rFonts w:asciiTheme="minorHAnsi" w:hAnsiTheme="minorHAnsi" w:cstheme="minorHAnsi"/>
          <w:b/>
          <w:bCs/>
          <w:color w:val="auto"/>
        </w:rPr>
        <w:t>,</w:t>
      </w:r>
      <w:r w:rsidRPr="00C86111">
        <w:rPr>
          <w:rFonts w:asciiTheme="minorHAnsi" w:hAnsiTheme="minorHAnsi" w:cstheme="minorHAnsi"/>
          <w:color w:val="auto"/>
        </w:rPr>
        <w:t xml:space="preserve"> dok je </w:t>
      </w:r>
      <w:r w:rsidRPr="00C86111">
        <w:rPr>
          <w:rStyle w:val="Strong"/>
          <w:rFonts w:asciiTheme="minorHAnsi" w:hAnsiTheme="minorHAnsi" w:cstheme="minorHAnsi"/>
          <w:b w:val="0"/>
          <w:bCs w:val="0"/>
          <w:color w:val="auto"/>
          <w:szCs w:val="24"/>
        </w:rPr>
        <w:t>PFOA prisutan u znatno većim količinama</w:t>
      </w:r>
      <w:r w:rsidRPr="00C86111">
        <w:rPr>
          <w:rFonts w:asciiTheme="minorHAnsi" w:hAnsiTheme="minorHAnsi" w:cstheme="minorHAnsi"/>
          <w:b/>
          <w:bCs/>
          <w:color w:val="auto"/>
        </w:rPr>
        <w:t xml:space="preserve">, </w:t>
      </w:r>
      <w:r w:rsidRPr="00C86111">
        <w:rPr>
          <w:rFonts w:asciiTheme="minorHAnsi" w:hAnsiTheme="minorHAnsi" w:cstheme="minorHAnsi"/>
          <w:color w:val="auto"/>
        </w:rPr>
        <w:t>prvenstveno putem</w:t>
      </w:r>
      <w:r w:rsidRPr="00C86111">
        <w:rPr>
          <w:rFonts w:asciiTheme="minorHAnsi" w:hAnsiTheme="minorHAnsi" w:cstheme="minorHAnsi"/>
          <w:b/>
          <w:bCs/>
          <w:color w:val="auto"/>
        </w:rPr>
        <w:t xml:space="preserve"> </w:t>
      </w:r>
      <w:r w:rsidRPr="00C86111">
        <w:rPr>
          <w:rStyle w:val="Strong"/>
          <w:rFonts w:asciiTheme="minorHAnsi" w:hAnsiTheme="minorHAnsi" w:cstheme="minorHAnsi"/>
          <w:b w:val="0"/>
          <w:bCs w:val="0"/>
          <w:color w:val="auto"/>
          <w:szCs w:val="24"/>
        </w:rPr>
        <w:t>ambalažnih materijala</w:t>
      </w:r>
      <w:r w:rsidRPr="00C86111">
        <w:rPr>
          <w:rFonts w:asciiTheme="minorHAnsi" w:hAnsiTheme="minorHAnsi" w:cstheme="minorHAnsi"/>
          <w:b/>
          <w:bCs/>
          <w:color w:val="auto"/>
        </w:rPr>
        <w:t xml:space="preserve">. </w:t>
      </w:r>
      <w:r w:rsidRPr="00C86111">
        <w:rPr>
          <w:rFonts w:asciiTheme="minorHAnsi" w:hAnsiTheme="minorHAnsi" w:cstheme="minorHAnsi"/>
          <w:color w:val="auto"/>
        </w:rPr>
        <w:t xml:space="preserve">Zbog </w:t>
      </w:r>
      <w:r w:rsidRPr="00C86111">
        <w:rPr>
          <w:rStyle w:val="Strong"/>
          <w:rFonts w:asciiTheme="minorHAnsi" w:hAnsiTheme="minorHAnsi" w:cstheme="minorHAnsi"/>
          <w:b w:val="0"/>
          <w:bCs w:val="0"/>
          <w:color w:val="auto"/>
          <w:szCs w:val="24"/>
        </w:rPr>
        <w:t>postojanosti i opasnih svojstava</w:t>
      </w:r>
      <w:r w:rsidRPr="00C86111">
        <w:rPr>
          <w:rFonts w:asciiTheme="minorHAnsi" w:hAnsiTheme="minorHAnsi" w:cstheme="minorHAnsi"/>
          <w:color w:val="auto"/>
        </w:rPr>
        <w:t xml:space="preserve"> ovih supstanci, čak i </w:t>
      </w:r>
      <w:r w:rsidRPr="00C86111">
        <w:rPr>
          <w:rStyle w:val="Strong"/>
          <w:rFonts w:asciiTheme="minorHAnsi" w:hAnsiTheme="minorHAnsi" w:cstheme="minorHAnsi"/>
          <w:b w:val="0"/>
          <w:bCs w:val="0"/>
          <w:color w:val="auto"/>
          <w:szCs w:val="24"/>
        </w:rPr>
        <w:t>niski nivoi kontaminacije u velikim tokovima otpada</w:t>
      </w:r>
      <w:r w:rsidRPr="00C86111">
        <w:rPr>
          <w:rFonts w:asciiTheme="minorHAnsi" w:hAnsiTheme="minorHAnsi" w:cstheme="minorHAnsi"/>
          <w:color w:val="auto"/>
        </w:rPr>
        <w:t xml:space="preserve"> predstavljaju </w:t>
      </w:r>
      <w:r w:rsidRPr="00C86111">
        <w:rPr>
          <w:rStyle w:val="Strong"/>
          <w:rFonts w:asciiTheme="minorHAnsi" w:hAnsiTheme="minorHAnsi" w:cstheme="minorHAnsi"/>
          <w:b w:val="0"/>
          <w:bCs w:val="0"/>
          <w:color w:val="auto"/>
          <w:szCs w:val="24"/>
        </w:rPr>
        <w:t>dugoročni rizik od ispuštanja u zemljište, podzemne vode i vazduh</w:t>
      </w:r>
      <w:r w:rsidRPr="00C86111">
        <w:rPr>
          <w:rFonts w:asciiTheme="minorHAnsi" w:hAnsiTheme="minorHAnsi" w:cstheme="minorHAnsi"/>
          <w:b/>
          <w:bCs/>
          <w:color w:val="auto"/>
        </w:rPr>
        <w:t xml:space="preserve"> </w:t>
      </w:r>
      <w:r w:rsidRPr="00C86111">
        <w:rPr>
          <w:rFonts w:asciiTheme="minorHAnsi" w:hAnsiTheme="minorHAnsi" w:cstheme="minorHAnsi"/>
          <w:color w:val="auto"/>
        </w:rPr>
        <w:t>putem</w:t>
      </w:r>
      <w:r w:rsidRPr="00C86111">
        <w:rPr>
          <w:rFonts w:asciiTheme="minorHAnsi" w:hAnsiTheme="minorHAnsi" w:cstheme="minorHAnsi"/>
          <w:b/>
          <w:bCs/>
          <w:color w:val="auto"/>
        </w:rPr>
        <w:t xml:space="preserve"> </w:t>
      </w:r>
      <w:r w:rsidRPr="00C86111">
        <w:rPr>
          <w:rStyle w:val="Strong"/>
          <w:rFonts w:asciiTheme="minorHAnsi" w:hAnsiTheme="minorHAnsi" w:cstheme="minorHAnsi"/>
          <w:b w:val="0"/>
          <w:bCs w:val="0"/>
          <w:color w:val="auto"/>
          <w:szCs w:val="24"/>
        </w:rPr>
        <w:t>deponovanja, spaljivanja i procjednih voda</w:t>
      </w:r>
      <w:r w:rsidRPr="00C86111">
        <w:rPr>
          <w:rFonts w:asciiTheme="minorHAnsi" w:hAnsiTheme="minorHAnsi" w:cstheme="minorHAnsi"/>
          <w:b/>
          <w:bCs/>
          <w:color w:val="auto"/>
        </w:rPr>
        <w:t>.</w:t>
      </w:r>
    </w:p>
    <w:p w14:paraId="6AFD93EB" w14:textId="77777777" w:rsidR="002B20A9" w:rsidRPr="00C86111" w:rsidRDefault="002B20A9" w:rsidP="00004F34">
      <w:pPr>
        <w:pStyle w:val="ListParagraph"/>
        <w:numPr>
          <w:ilvl w:val="0"/>
          <w:numId w:val="160"/>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Imajući u vidu značaj PFOA i PFHxS kao postojanih organskih zagađujućih materija (POPs), neophodno je razviti i primijeniti precizne metodologije za direktno uzorkovanje i laboratorijsku analizu otpada. Time bi se smanjila zavisnost od aproksimacija i poboljšala tačnost podataka o prisustvu ovih supstanci u različitim vrstama otpada. Dalja istraživanja i sistematsko praćenje sastava otpada ključni su za utvrđivanje stvarnog udjela otpada kontaminiranog PFOA i PFHxS.</w:t>
      </w:r>
    </w:p>
    <w:p w14:paraId="1D20A026" w14:textId="77777777" w:rsidR="002B20A9" w:rsidRPr="00C86111" w:rsidRDefault="002B20A9" w:rsidP="00004F34">
      <w:pPr>
        <w:pStyle w:val="ListParagraph"/>
        <w:numPr>
          <w:ilvl w:val="0"/>
          <w:numId w:val="160"/>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Razvijanje politika koje će ograničiti unos ovih jedinjenja u proizvode, kao i njihovu kasniju pojavu u otpadu, predstavlja važan korak ka smanjenju rizika po životnu sredinu i zdravlje ljudi.</w:t>
      </w:r>
    </w:p>
    <w:p w14:paraId="07AC9C5D"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br/>
        <w:t>PFOA u ambalažnom otpadu predstavlja glavni izazov za sistem upravljanja otpadom u Crnoj Gori, dok se PFHxS javlja u manjim količinama, ali ostaje značajan zbog svoje postojanosti i potencijala dugotrajnog zagađenja.</w:t>
      </w:r>
    </w:p>
    <w:p w14:paraId="03F74500" w14:textId="77777777" w:rsidR="002B20A9" w:rsidRPr="00C86111" w:rsidRDefault="002B20A9" w:rsidP="002B20A9">
      <w:pPr>
        <w:jc w:val="both"/>
        <w:rPr>
          <w:rFonts w:asciiTheme="minorHAnsi" w:eastAsia="Times New Roman" w:hAnsiTheme="minorHAnsi" w:cstheme="minorHAnsi"/>
          <w:color w:val="auto"/>
          <w:lang w:eastAsia="en-GB"/>
        </w:rPr>
      </w:pPr>
    </w:p>
    <w:p w14:paraId="401EC0BB"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Nedostatak preciznih mehanizama praćenja otpada otežava identifikaciju i bezbjedan tretman otpada koji sadrži PFAS supstance. Stoga je od ključnog značaja:</w:t>
      </w:r>
    </w:p>
    <w:p w14:paraId="76D49475" w14:textId="77777777" w:rsidR="002B20A9" w:rsidRPr="00C86111" w:rsidRDefault="002B20A9" w:rsidP="00004F34">
      <w:pPr>
        <w:pStyle w:val="ListParagraph"/>
        <w:numPr>
          <w:ilvl w:val="0"/>
          <w:numId w:val="16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ojačati monitoring otpada,</w:t>
      </w:r>
    </w:p>
    <w:p w14:paraId="54503421" w14:textId="77777777" w:rsidR="002B20A9" w:rsidRPr="00C86111" w:rsidRDefault="002B20A9" w:rsidP="00004F34">
      <w:pPr>
        <w:pStyle w:val="ListParagraph"/>
        <w:numPr>
          <w:ilvl w:val="0"/>
          <w:numId w:val="16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detaljnije klasifikovati opasne frakcije, i</w:t>
      </w:r>
    </w:p>
    <w:p w14:paraId="23ECB7EC" w14:textId="77777777" w:rsidR="002B20A9" w:rsidRPr="00C86111" w:rsidRDefault="002B20A9" w:rsidP="00004F34">
      <w:pPr>
        <w:pStyle w:val="ListParagraph"/>
        <w:numPr>
          <w:ilvl w:val="0"/>
          <w:numId w:val="161"/>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uspostaviti ekološki prihvatljive prakse odlaganja i tretmana otpada,</w:t>
      </w:r>
    </w:p>
    <w:p w14:paraId="4B589BB8"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kako bi se spriječile nekontrolisane emisije PFOA i PFHxS iz tokova otpada, te osiguralo dugoročno očuvanje životne sredine i zdravlja stanovništva.</w:t>
      </w:r>
    </w:p>
    <w:p w14:paraId="331820A4" w14:textId="77777777" w:rsidR="002B20A9" w:rsidRPr="00C86111" w:rsidRDefault="002B20A9" w:rsidP="00004F34">
      <w:pPr>
        <w:pStyle w:val="Heading1"/>
        <w:numPr>
          <w:ilvl w:val="1"/>
          <w:numId w:val="238"/>
        </w:numPr>
      </w:pPr>
      <w:bookmarkStart w:id="368" w:name="_Toc210632587"/>
      <w:bookmarkStart w:id="369" w:name="_Toc220541959"/>
      <w:r w:rsidRPr="00C86111">
        <w:lastRenderedPageBreak/>
        <w:t>Završni zaključci i preporuke</w:t>
      </w:r>
      <w:bookmarkEnd w:id="368"/>
      <w:bookmarkEnd w:id="369"/>
    </w:p>
    <w:p w14:paraId="3FA902A1" w14:textId="77777777" w:rsidR="002B20A9" w:rsidRPr="00C86111" w:rsidRDefault="002B20A9" w:rsidP="00EA6904">
      <w:pPr>
        <w:pStyle w:val="Heading4"/>
      </w:pPr>
      <w:r w:rsidRPr="00C86111">
        <w:t>Zaključci</w:t>
      </w:r>
    </w:p>
    <w:p w14:paraId="51D6A62A"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Procjena prisustva PFOA i PFHxS u ključnim sektorima u Crnoj Gori — protivpožarne pjene, proizvodi na potrošačkom tržištu i otpad — potvrđuje da ove supstance još uvijek nijesu u potpunosti eliminisane iz upotrebe i cirkulacije. Ovakvo stanje i dalje traje uprkos regulatornim mjerama usklađenim sa evropskim okvirom o postojanim organskim zagađujućim materijama (POPs), što ukazuje na potrebu za efikasnijim praćenjem, kontrolom i upravljačkim praksama.</w:t>
      </w:r>
    </w:p>
    <w:p w14:paraId="32B184A2"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002060"/>
          <w:lang w:eastAsia="en-GB"/>
        </w:rPr>
        <w:t xml:space="preserve">Protivpožarne pjene: </w:t>
      </w:r>
      <w:r w:rsidRPr="00C86111">
        <w:rPr>
          <w:rFonts w:asciiTheme="minorHAnsi" w:eastAsia="Times New Roman" w:hAnsiTheme="minorHAnsi" w:cstheme="minorHAnsi"/>
          <w:color w:val="auto"/>
          <w:lang w:eastAsia="en-GB"/>
        </w:rPr>
        <w:t>Od ukupno 41 testiranog uzorka, 13 je sadržavalo PFOA, a 4 PFHxS, pri čemu su u nekoliko uzoraka premašene zakonski propisane granice. Ukupne količine utvrđene u uzorcima iznosile su 5,4 g PFOA i 32 g PFHxS, raspoređenih u skoro 18.000 litara pjene. Posebno zabrinjavajuća prekoračenja registrovana su na Aerodromu Tivat, kao i u nekoliko opštinskih i dobrovoljnih vatrogasnih jedinica (Bar, Tivat, Bijelo Polje, Bijela, Perast, Krtoli). Stare i pjene kojima je istekao rok upotrebe i dalje se nalaze u skladištima i predstavljaju rizik od nekontrolisanog ispuštanja tokom upotrebe, obuke ili neadekvatnog odlaganja.</w:t>
      </w:r>
    </w:p>
    <w:p w14:paraId="5F39F97D"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002060"/>
          <w:lang w:eastAsia="en-GB"/>
        </w:rPr>
        <w:t xml:space="preserve">Proizvodi na potrošačkom tržištu: </w:t>
      </w:r>
      <w:r w:rsidRPr="00C86111">
        <w:rPr>
          <w:rFonts w:asciiTheme="minorHAnsi" w:eastAsia="Times New Roman" w:hAnsiTheme="minorHAnsi" w:cstheme="minorHAnsi"/>
          <w:color w:val="auto"/>
          <w:lang w:eastAsia="en-GB"/>
        </w:rPr>
        <w:t>Uvoz sintetičkih tepiha i premazanog/impregniranog papira predstavlja glavni vektor unosa PFOA u Crnu Goru, pri čemu maksimalno godišnje opterećenje dostiže do 138 kg (tepisi) i gotovo 1 tonu (papir). Nasuprot tome, impregnirani tekstil i odjeća doprinose samo malim količinama PFOA (nekoliko grama godišnje). PFHxS se javlja u značajno manjim količinama ukupno, iako procjene pokazuju povremene varijacije u impregniranom tekstilu i odjeći (do 61 g godišnje).</w:t>
      </w:r>
    </w:p>
    <w:p w14:paraId="4E252AEB"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002060"/>
          <w:lang w:eastAsia="en-GB"/>
        </w:rPr>
        <w:t xml:space="preserve">Tokovi otpada: </w:t>
      </w:r>
      <w:r w:rsidRPr="00C86111">
        <w:rPr>
          <w:rFonts w:asciiTheme="minorHAnsi" w:eastAsia="Times New Roman" w:hAnsiTheme="minorHAnsi" w:cstheme="minorHAnsi"/>
          <w:color w:val="auto"/>
          <w:lang w:eastAsia="en-GB"/>
        </w:rPr>
        <w:t>Komunalni otpad (grupa 20), koji premašuje 300000 tona godišnje, predstavlja dominantni sektor otpada koji može sadržati ove supstance. Papirne i kartonske frakcije su glavni nosioci, sa procijenjenih 6,5–31 tone PFOA godišnje, dok tekstil doprinosi znatno manjim količinama PFOA (ispod 1 kg), ali i do 32 g PFHxS godišnje. Iako su ove vrijednosti izračunate na osnovu pretpostavki, a ne direktnog mjerenja, one daju indikativan obim rizika od kontaminacije povezan sa ambalažnim i potrošačkim otpadom.</w:t>
      </w:r>
    </w:p>
    <w:p w14:paraId="02EC528A" w14:textId="77777777" w:rsidR="002B20A9" w:rsidRPr="00C86111" w:rsidRDefault="002B20A9" w:rsidP="002B20A9">
      <w:pPr>
        <w:jc w:val="both"/>
        <w:rPr>
          <w:rFonts w:asciiTheme="minorHAnsi" w:eastAsia="Times New Roman" w:hAnsiTheme="minorHAnsi" w:cstheme="minorHAnsi"/>
          <w:color w:val="auto"/>
          <w:lang w:eastAsia="en-GB"/>
        </w:rPr>
      </w:pPr>
    </w:p>
    <w:p w14:paraId="3F273174"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Kumulativno, rezultati pokazuju da je PFOA znatno ozbiljniji problem od PFHxS-a u Crnoj Gori, iako su obje supstance relevantne zbog svoje perzistentnosti, toksičnosti i bioakumulativnog potencijala. Njihovo trajno prisustvo u više sektora ukazuje na nedostatke u sprovođenju propisa, praćenju i bezbjednom odlaganju, što zahtijeva hitne i koordinisane mjere radi obezbjeđenja usklađenosti sa međunarodnim obavezama i zaštite zdravlja ljudi i životne sredine.</w:t>
      </w:r>
    </w:p>
    <w:p w14:paraId="05A050D6" w14:textId="77777777" w:rsidR="002B20A9" w:rsidRPr="00C86111" w:rsidRDefault="002B20A9" w:rsidP="00EA6904">
      <w:pPr>
        <w:pStyle w:val="Heading4"/>
      </w:pPr>
      <w:r w:rsidRPr="00C86111">
        <w:t>Preporuke</w:t>
      </w:r>
    </w:p>
    <w:p w14:paraId="7249DDC2"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Radi smanjenja rizika i usklađivanja nacionalne prakse sa propisima Evropske unije i Stokholmskom konvencijom, preporučuje se sprovođenje sljedećih mjera:</w:t>
      </w:r>
    </w:p>
    <w:p w14:paraId="16CD4846" w14:textId="77777777" w:rsidR="002B20A9" w:rsidRPr="00C86111" w:rsidRDefault="002B20A9" w:rsidP="00004F34">
      <w:pPr>
        <w:pStyle w:val="ListParagraph"/>
        <w:numPr>
          <w:ilvl w:val="0"/>
          <w:numId w:val="162"/>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Carina i kontrola tržišta</w:t>
      </w:r>
    </w:p>
    <w:p w14:paraId="5C5A7560" w14:textId="77777777" w:rsidR="002B20A9" w:rsidRPr="00C86111" w:rsidRDefault="002B20A9" w:rsidP="00004F34">
      <w:pPr>
        <w:pStyle w:val="ListParagraph"/>
        <w:numPr>
          <w:ilvl w:val="0"/>
          <w:numId w:val="167"/>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Pripremiti listu proizvoda sa HS kodovima koji vjerovatno sadrže PFOA i PFHxS, kroz blisku saradnju Uprave carina i Ministarstva nadležnog za zaštitu životne sredine.</w:t>
      </w:r>
    </w:p>
    <w:p w14:paraId="1555DCD0" w14:textId="77777777" w:rsidR="002B20A9" w:rsidRPr="00C86111" w:rsidRDefault="002B20A9" w:rsidP="00004F34">
      <w:pPr>
        <w:pStyle w:val="ListParagraph"/>
        <w:numPr>
          <w:ilvl w:val="0"/>
          <w:numId w:val="167"/>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lastRenderedPageBreak/>
        <w:t>Izraditi pravilnik ili drugi zvanični dokument koji će sadržati jasna uputstva za carinske organe o načinu identifikacije, kontrole i sprječavanja uvoza proizvoda koji sadrže PFAS supstance.</w:t>
      </w:r>
    </w:p>
    <w:p w14:paraId="1A04D17C" w14:textId="77777777" w:rsidR="002B20A9" w:rsidRPr="00C86111" w:rsidRDefault="002B20A9" w:rsidP="00004F34">
      <w:pPr>
        <w:pStyle w:val="ListParagraph"/>
        <w:numPr>
          <w:ilvl w:val="0"/>
          <w:numId w:val="167"/>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Prioritetno zamijeniti proizvode koji sadrže PFAS supstance alternativama bez PFAS-a, naročito u slučaju tepiha i impregniranih papirnih proizvoda.</w:t>
      </w:r>
    </w:p>
    <w:p w14:paraId="45E5452F" w14:textId="77777777" w:rsidR="002B20A9" w:rsidRPr="00C86111" w:rsidRDefault="002B20A9" w:rsidP="00004F34">
      <w:pPr>
        <w:pStyle w:val="ListParagraph"/>
        <w:numPr>
          <w:ilvl w:val="0"/>
          <w:numId w:val="162"/>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Protivpožarne pjene i oprema</w:t>
      </w:r>
    </w:p>
    <w:p w14:paraId="079BEC54" w14:textId="77777777" w:rsidR="002B20A9" w:rsidRPr="00C86111" w:rsidRDefault="002B20A9" w:rsidP="00004F34">
      <w:pPr>
        <w:pStyle w:val="ListParagraph"/>
        <w:numPr>
          <w:ilvl w:val="0"/>
          <w:numId w:val="16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Povući i propisno odložiti sve pjene kojima je istekao rok trajanja, kao i pjene koje sadrže PFAS supstance, uz ekološki prihvatljivo upravljanje u skladu sa nacionalnim propisima o otpadu i Uredbom EU o POPs supstancama.</w:t>
      </w:r>
    </w:p>
    <w:p w14:paraId="03C5F43D" w14:textId="77777777" w:rsidR="002B20A9" w:rsidRPr="00C86111" w:rsidRDefault="002B20A9" w:rsidP="00004F34">
      <w:pPr>
        <w:pStyle w:val="ListParagraph"/>
        <w:numPr>
          <w:ilvl w:val="0"/>
          <w:numId w:val="16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Zamijeniti postojeće pjene fluorine-free (bezfluoridnim) alternativama koje su već provjerene u praksi.</w:t>
      </w:r>
    </w:p>
    <w:p w14:paraId="5C377198" w14:textId="77777777" w:rsidR="002B20A9" w:rsidRPr="00C86111" w:rsidRDefault="002B20A9" w:rsidP="00004F34">
      <w:pPr>
        <w:pStyle w:val="ListParagraph"/>
        <w:numPr>
          <w:ilvl w:val="0"/>
          <w:numId w:val="16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Sprovesti dekontaminaciju vatrogasnih vozila i sistema za doziranje pjene radi uklanjanja ostataka PFAS supstanci i sprječavanja unakrsne kontaminacije.</w:t>
      </w:r>
    </w:p>
    <w:p w14:paraId="560DBF37" w14:textId="77777777" w:rsidR="002B20A9" w:rsidRPr="00C86111" w:rsidRDefault="002B20A9" w:rsidP="00004F34">
      <w:pPr>
        <w:pStyle w:val="ListParagraph"/>
        <w:numPr>
          <w:ilvl w:val="0"/>
          <w:numId w:val="166"/>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Uvesti sistematski monitoring, strožija pravila skladištenja i transparentno izvještavanje o zalihama i upotrebi protivpožarnih pjena.</w:t>
      </w:r>
    </w:p>
    <w:p w14:paraId="686D8981" w14:textId="77777777" w:rsidR="002B20A9" w:rsidRPr="00C86111" w:rsidRDefault="002B20A9" w:rsidP="00004F34">
      <w:pPr>
        <w:pStyle w:val="ListParagraph"/>
        <w:numPr>
          <w:ilvl w:val="0"/>
          <w:numId w:val="162"/>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Upravljanje otpadom</w:t>
      </w:r>
    </w:p>
    <w:p w14:paraId="4D41029D" w14:textId="77777777" w:rsidR="002B20A9" w:rsidRPr="00C86111" w:rsidRDefault="002B20A9" w:rsidP="00004F34">
      <w:pPr>
        <w:pStyle w:val="ListParagraph"/>
        <w:numPr>
          <w:ilvl w:val="0"/>
          <w:numId w:val="16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Razviti metodologije za direktno uzorkovanje i laboratorijsku analizu frakcija otpada, radi prelaska sa teorijskih procjena na stvarne podatke.</w:t>
      </w:r>
    </w:p>
    <w:p w14:paraId="520E1853" w14:textId="77777777" w:rsidR="002B20A9" w:rsidRPr="00C86111" w:rsidRDefault="002B20A9" w:rsidP="00004F34">
      <w:pPr>
        <w:pStyle w:val="ListParagraph"/>
        <w:numPr>
          <w:ilvl w:val="0"/>
          <w:numId w:val="16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Usmjeriti praćenje na frakcije papira i kartona, koje predstavljaju najveći izvor PFOA, kao i na tekstil, koji može sadržati mjerljive količine PFHxS.</w:t>
      </w:r>
    </w:p>
    <w:p w14:paraId="01C81973" w14:textId="77777777" w:rsidR="002B20A9" w:rsidRPr="00C86111" w:rsidRDefault="002B20A9" w:rsidP="00004F34">
      <w:pPr>
        <w:pStyle w:val="ListParagraph"/>
        <w:numPr>
          <w:ilvl w:val="0"/>
          <w:numId w:val="165"/>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Osigurati ekološki prihvatljivo odlaganje otpada koji sadrži ili je kontaminiran PFOA i PFHxS, uz izbjegavanje nekontrolisanog deponovanja i spaljivanja.</w:t>
      </w:r>
    </w:p>
    <w:p w14:paraId="7484F677"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Ograničiti priliv PFAS-a u tokove otpada kroz strožu kontrolu uvoza proizvoda visokog rizika.</w:t>
      </w:r>
    </w:p>
    <w:p w14:paraId="2BF01B16" w14:textId="77777777" w:rsidR="002B20A9" w:rsidRPr="00C86111" w:rsidRDefault="002B20A9" w:rsidP="00004F34">
      <w:pPr>
        <w:pStyle w:val="ListParagraph"/>
        <w:numPr>
          <w:ilvl w:val="0"/>
          <w:numId w:val="162"/>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002060"/>
          <w:lang w:eastAsia="en-GB"/>
        </w:rPr>
        <w:t>Zaštita životne sredine i zdravlja ljudi</w:t>
      </w:r>
    </w:p>
    <w:p w14:paraId="354BDC1B" w14:textId="77777777" w:rsidR="002B20A9" w:rsidRPr="00C86111" w:rsidRDefault="002B20A9" w:rsidP="00004F34">
      <w:pPr>
        <w:pStyle w:val="ListParagraph"/>
        <w:numPr>
          <w:ilvl w:val="0"/>
          <w:numId w:val="16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Ispitati kritične tačke u životnoj sredini kao što su aerodromi, luke i poligoni za obuku vatrogasaca, radi identifikacije kontaminacije PFAS supstancama.</w:t>
      </w:r>
    </w:p>
    <w:p w14:paraId="3A47CBBB" w14:textId="77777777" w:rsidR="002B20A9" w:rsidRPr="00C86111" w:rsidRDefault="002B20A9" w:rsidP="00004F34">
      <w:pPr>
        <w:pStyle w:val="ListParagraph"/>
        <w:numPr>
          <w:ilvl w:val="0"/>
          <w:numId w:val="16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Uspostaviti biomonitoring programe za zaposlene u vatrogasnim i drugim sektorima sa mogućom izloženošću PFAS jedinjenjima.</w:t>
      </w:r>
    </w:p>
    <w:p w14:paraId="6F5F8931" w14:textId="77777777" w:rsidR="002B20A9" w:rsidRPr="00C86111" w:rsidRDefault="002B20A9" w:rsidP="00004F34">
      <w:pPr>
        <w:pStyle w:val="ListParagraph"/>
        <w:numPr>
          <w:ilvl w:val="0"/>
          <w:numId w:val="164"/>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Sprovesti edukativne kampanje namijenjene vatrogasnim službama, carinskim organima i operaterima otpada, radi povećanja svijesti o rizicima PFAS-a i promocije dostupnih alternativa.</w:t>
      </w:r>
    </w:p>
    <w:p w14:paraId="3F1F08D9" w14:textId="77777777" w:rsidR="002B20A9" w:rsidRPr="00C86111" w:rsidRDefault="002B20A9" w:rsidP="00004F34">
      <w:pPr>
        <w:pStyle w:val="ListParagraph"/>
        <w:numPr>
          <w:ilvl w:val="0"/>
          <w:numId w:val="162"/>
        </w:numPr>
        <w:jc w:val="both"/>
        <w:rPr>
          <w:rFonts w:asciiTheme="minorHAnsi" w:eastAsia="Times New Roman" w:hAnsiTheme="minorHAnsi" w:cstheme="minorHAnsi"/>
          <w:color w:val="002060"/>
          <w:lang w:eastAsia="en-GB"/>
        </w:rPr>
      </w:pPr>
      <w:r w:rsidRPr="00C86111">
        <w:rPr>
          <w:rFonts w:asciiTheme="minorHAnsi" w:eastAsia="Times New Roman" w:hAnsiTheme="minorHAnsi" w:cstheme="minorHAnsi"/>
          <w:color w:val="002060"/>
          <w:lang w:eastAsia="en-GB"/>
        </w:rPr>
        <w:t>Međusektorske aktivnosti</w:t>
      </w:r>
    </w:p>
    <w:p w14:paraId="24A343FA" w14:textId="77777777" w:rsidR="002B20A9" w:rsidRPr="00C86111" w:rsidRDefault="002B20A9" w:rsidP="00004F34">
      <w:pPr>
        <w:pStyle w:val="ListParagraph"/>
        <w:numPr>
          <w:ilvl w:val="0"/>
          <w:numId w:val="163"/>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Usvojiti nacionalnu strategiju za postupno ukidanje PFOA i PFHxS, sa jasno definisanim rokovima, institucionalnim odgovornostima i mehanizmima finansiranja.</w:t>
      </w:r>
    </w:p>
    <w:p w14:paraId="26738AD0" w14:textId="77777777" w:rsidR="002B20A9" w:rsidRPr="00C86111" w:rsidRDefault="002B20A9" w:rsidP="00004F34">
      <w:pPr>
        <w:pStyle w:val="ListParagraph"/>
        <w:numPr>
          <w:ilvl w:val="0"/>
          <w:numId w:val="163"/>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Ojačati međuinstitucionalnu saradnju između carinskih službi, organa za zaštitu životne sredine, vatrogasnih službi, operatera otpada i zdravstvenih institucija.</w:t>
      </w:r>
    </w:p>
    <w:p w14:paraId="39A121DC" w14:textId="77777777" w:rsidR="002B20A9" w:rsidRPr="00C86111" w:rsidRDefault="002B20A9" w:rsidP="00004F34">
      <w:pPr>
        <w:pStyle w:val="ListParagraph"/>
        <w:numPr>
          <w:ilvl w:val="0"/>
          <w:numId w:val="163"/>
        </w:num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Osigurati sistematsko izvještavanje i usklađenost sa obavezama koje proizilaze iz propisa Evropske unije i Stokholmske konvencije.</w:t>
      </w:r>
    </w:p>
    <w:p w14:paraId="17F1EBD7" w14:textId="77777777" w:rsidR="002B20A9" w:rsidRPr="00C86111" w:rsidRDefault="002B20A9" w:rsidP="00EA6904">
      <w:pPr>
        <w:pStyle w:val="Heading4"/>
      </w:pPr>
      <w:r w:rsidRPr="00C86111">
        <w:t>Opšti zaključak</w:t>
      </w:r>
    </w:p>
    <w:p w14:paraId="61A4895A"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 xml:space="preserve">Iako su količine PFOA i PFHxS koje su trenutno otkrivene u Crnoj Gori relativno niske u poređenju sa međunarodnim nivoima, njihova postojanost u životnoj sredini i štetni efekti znače da čak i </w:t>
      </w:r>
      <w:r w:rsidRPr="00C86111">
        <w:rPr>
          <w:rFonts w:asciiTheme="minorHAnsi" w:eastAsia="Times New Roman" w:hAnsiTheme="minorHAnsi" w:cstheme="minorHAnsi"/>
          <w:color w:val="auto"/>
          <w:lang w:eastAsia="en-GB"/>
        </w:rPr>
        <w:lastRenderedPageBreak/>
        <w:t>male količine predstavljaju ozbiljan rizik po životnu sredinu i zdravlje ljudi. Budući da ove supstance ostaju u prirodi veoma dugo, od izuzetne je važnosti preduzeti preventivne mjere sada.</w:t>
      </w:r>
    </w:p>
    <w:p w14:paraId="0036262E"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Da bi se ovaj problem efikasno riješio, Crnoj Gori je potreban koordinisan pristup koji uključuje službe zaštite od požara, carinsku kontrolu uvezenih proizvoda i odgovarajuće prakse upravljanja otpadom. Samo zajedničkim djelovanjem svih ovih sektora moguće je postepeno ukloniti PFOA i PFHxS iz upotrebe i spriječiti njihovo dalje unošenje u životnu sredinu.</w:t>
      </w:r>
    </w:p>
    <w:p w14:paraId="38635614" w14:textId="77777777" w:rsidR="002B20A9" w:rsidRPr="00C86111" w:rsidRDefault="002B20A9" w:rsidP="002B20A9">
      <w:pPr>
        <w:jc w:val="both"/>
        <w:rPr>
          <w:rFonts w:asciiTheme="minorHAnsi" w:eastAsia="Times New Roman" w:hAnsiTheme="minorHAnsi" w:cstheme="minorHAnsi"/>
          <w:color w:val="auto"/>
          <w:lang w:eastAsia="en-GB"/>
        </w:rPr>
      </w:pPr>
      <w:r w:rsidRPr="00C86111">
        <w:rPr>
          <w:rFonts w:asciiTheme="minorHAnsi" w:eastAsia="Times New Roman" w:hAnsiTheme="minorHAnsi" w:cstheme="minorHAnsi"/>
          <w:color w:val="auto"/>
          <w:lang w:eastAsia="en-GB"/>
        </w:rPr>
        <w:t>Sprovođenjem ovih preporuka, Crna Gora može osigurati postepenu eliminaciju PFOA i PFHxS, zaštititi zdravlje stanovništva i ekosisteme, te potvrditi potpunu usklađenost sa obavezama Evropske unije i međunarodnim standardima u oblasti postojanih organskih zagađujućih materija (POPs).</w:t>
      </w:r>
    </w:p>
    <w:p w14:paraId="55EA0CEA" w14:textId="77777777" w:rsidR="002B20A9" w:rsidRPr="00C86111" w:rsidRDefault="002B20A9" w:rsidP="002B20A9">
      <w:pPr>
        <w:jc w:val="both"/>
      </w:pPr>
    </w:p>
    <w:p w14:paraId="71F2AA03" w14:textId="11E82DBF" w:rsidR="00201FE9" w:rsidRPr="00C86111" w:rsidRDefault="00201FE9" w:rsidP="00912C4C">
      <w:pPr>
        <w:pStyle w:val="Heading1"/>
      </w:pPr>
      <w:bookmarkStart w:id="370" w:name="_Toc220541960"/>
      <w:bookmarkStart w:id="371" w:name="_Toc185402995"/>
      <w:bookmarkStart w:id="372" w:name="_Toc185402296"/>
      <w:r w:rsidRPr="00C86111">
        <w:t>INVENTARIZACIJA HLOROVANIH PARAFINA KRATKOG LANCA (SCCPs)</w:t>
      </w:r>
      <w:bookmarkEnd w:id="370"/>
    </w:p>
    <w:p w14:paraId="63164FFE" w14:textId="77777777" w:rsidR="00201FE9" w:rsidRPr="00C86111" w:rsidRDefault="00201FE9" w:rsidP="00EA6904">
      <w:pPr>
        <w:pStyle w:val="Heading3"/>
      </w:pPr>
      <w:bookmarkStart w:id="373" w:name="_Toc210744964"/>
      <w:bookmarkStart w:id="374" w:name="_Toc220541961"/>
      <w:r w:rsidRPr="00C86111">
        <w:t>Uvod</w:t>
      </w:r>
      <w:bookmarkEnd w:id="373"/>
      <w:bookmarkEnd w:id="374"/>
    </w:p>
    <w:p w14:paraId="6A07A3A1" w14:textId="77777777" w:rsidR="00201FE9" w:rsidRPr="00C86111" w:rsidRDefault="00201FE9" w:rsidP="00201FE9">
      <w:pPr>
        <w:rPr>
          <w:rFonts w:asciiTheme="minorHAnsi" w:hAnsiTheme="minorHAnsi" w:cstheme="minorHAnsi"/>
          <w:color w:val="auto"/>
          <w:szCs w:val="24"/>
          <w:lang w:val="sr-Latn-ME"/>
        </w:rPr>
      </w:pPr>
    </w:p>
    <w:p w14:paraId="421D47F5" w14:textId="249F2814" w:rsidR="00201FE9" w:rsidRPr="00C86111" w:rsidRDefault="00201FE9" w:rsidP="00201FE9">
      <w:pPr>
        <w:spacing w:line="276" w:lineRule="auto"/>
        <w:jc w:val="both"/>
        <w:rPr>
          <w:rFonts w:asciiTheme="minorHAnsi" w:hAnsiTheme="minorHAnsi" w:cstheme="minorHAnsi"/>
          <w:noProof/>
          <w:color w:val="auto"/>
          <w:szCs w:val="24"/>
          <w:lang w:val="sr-Latn-ME"/>
        </w:rPr>
      </w:pPr>
      <w:r w:rsidRPr="00C86111">
        <w:rPr>
          <w:rFonts w:asciiTheme="minorHAnsi" w:eastAsia="SimSun" w:hAnsiTheme="minorHAnsi" w:cstheme="minorHAnsi"/>
          <w:color w:val="auto"/>
          <w:szCs w:val="24"/>
          <w:lang w:val="sr-Latn-ME"/>
        </w:rPr>
        <w:t>Hlorovani parafini kratkog lanca (SCCP) su industrijske hemikalije iz grupe hlorovanih parafina (CP), koji su složene smješe polihlorovanih n-alkana sa različitim dužinama lanca i stepenom hlorovanja</w:t>
      </w:r>
      <w:r w:rsidR="00626D74" w:rsidRPr="00C86111">
        <w:rPr>
          <w:rFonts w:asciiTheme="minorHAnsi" w:eastAsia="SimSun" w:hAnsiTheme="minorHAnsi" w:cstheme="minorHAnsi"/>
          <w:color w:val="auto"/>
          <w:szCs w:val="24"/>
          <w:lang w:val="sr-Latn-ME"/>
        </w:rPr>
        <w:t xml:space="preserve"> (Slika 3)</w:t>
      </w:r>
      <w:r w:rsidRPr="00C86111">
        <w:rPr>
          <w:rFonts w:asciiTheme="minorHAnsi" w:eastAsia="SimSun" w:hAnsiTheme="minorHAnsi" w:cstheme="minorHAnsi"/>
          <w:color w:val="auto"/>
          <w:szCs w:val="24"/>
          <w:lang w:val="sr-Latn-ME"/>
        </w:rPr>
        <w:t xml:space="preserve">. SCCP su posebno definisani dužinama svojih ugljeničnih lanaca u rasponu od C10 do C13 i sadržajem hlora koji je obično između 40% i 70% po masi </w:t>
      </w:r>
      <w:r w:rsidRPr="00C86111">
        <w:rPr>
          <w:rFonts w:asciiTheme="minorHAnsi" w:eastAsia="SimSun" w:hAnsiTheme="minorHAnsi" w:cstheme="minorHAnsi"/>
          <w:color w:val="002060"/>
          <w:szCs w:val="24"/>
          <w:lang w:val="sr-Latn-ME"/>
        </w:rPr>
        <w:t xml:space="preserve">(1). </w:t>
      </w:r>
      <w:r w:rsidRPr="00C86111">
        <w:rPr>
          <w:rFonts w:asciiTheme="minorHAnsi" w:eastAsia="SimSun" w:hAnsiTheme="minorHAnsi" w:cstheme="minorHAnsi"/>
          <w:color w:val="auto"/>
          <w:szCs w:val="24"/>
          <w:lang w:val="sr-Latn-ME"/>
        </w:rPr>
        <w:t xml:space="preserve">Ove supstance nisu prirodnog porijekla, već se proizvode hlorisanjem n-parafina, procesom koji rezultira tehničkom smješom koja sadrži stotine ili čak hiljade pojedinačnih srodnih jedinjenja </w:t>
      </w:r>
      <w:r w:rsidRPr="00C86111">
        <w:rPr>
          <w:rFonts w:asciiTheme="minorHAnsi" w:eastAsia="SimSun" w:hAnsiTheme="minorHAnsi" w:cstheme="minorHAnsi"/>
          <w:color w:val="002060"/>
          <w:szCs w:val="24"/>
          <w:lang w:val="sr-Latn-ME"/>
        </w:rPr>
        <w:t xml:space="preserve">(2). </w:t>
      </w:r>
      <w:r w:rsidRPr="00C86111">
        <w:rPr>
          <w:rFonts w:asciiTheme="minorHAnsi" w:eastAsia="SimSun" w:hAnsiTheme="minorHAnsi" w:cstheme="minorHAnsi"/>
          <w:color w:val="auto"/>
          <w:szCs w:val="24"/>
          <w:lang w:val="sr-Latn-ME"/>
        </w:rPr>
        <w:t>Zbog ove složenosti karakterizacija, praćenje i primjena propisa vezanih za SCCP predstavljaju značajne naučne i regulatorne izazove.</w:t>
      </w:r>
      <w:r w:rsidRPr="00C86111">
        <w:rPr>
          <w:rFonts w:asciiTheme="minorHAnsi" w:hAnsiTheme="minorHAnsi" w:cstheme="minorHAnsi"/>
          <w:noProof/>
          <w:color w:val="auto"/>
          <w:szCs w:val="24"/>
          <w:lang w:val="sr-Latn-ME"/>
        </w:rPr>
        <w:t xml:space="preserve">  </w:t>
      </w:r>
    </w:p>
    <w:p w14:paraId="785E4E21"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6D1E5099" wp14:editId="3F06DDA4">
            <wp:extent cx="3819525" cy="1962150"/>
            <wp:effectExtent l="0" t="0" r="9525" b="0"/>
            <wp:docPr id="1163895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5241" name=""/>
                    <pic:cNvPicPr/>
                  </pic:nvPicPr>
                  <pic:blipFill>
                    <a:blip r:embed="rId62"/>
                    <a:stretch>
                      <a:fillRect/>
                    </a:stretch>
                  </pic:blipFill>
                  <pic:spPr>
                    <a:xfrm>
                      <a:off x="0" y="0"/>
                      <a:ext cx="3819525" cy="1962150"/>
                    </a:xfrm>
                    <a:prstGeom prst="rect">
                      <a:avLst/>
                    </a:prstGeom>
                  </pic:spPr>
                </pic:pic>
              </a:graphicData>
            </a:graphic>
          </wp:inline>
        </w:drawing>
      </w:r>
    </w:p>
    <w:p w14:paraId="54E836CE" w14:textId="0684A7B4"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Slika </w:t>
      </w:r>
      <w:r w:rsidR="00626D74" w:rsidRPr="00C86111">
        <w:rPr>
          <w:rFonts w:asciiTheme="minorHAnsi" w:hAnsiTheme="minorHAnsi" w:cstheme="minorHAnsi"/>
          <w:b/>
          <w:bCs/>
          <w:color w:val="auto"/>
          <w:szCs w:val="24"/>
          <w:lang w:val="sr-Latn-ME"/>
        </w:rPr>
        <w:t>3</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Struktura dva SCCP jedinjenja (C</w:t>
      </w:r>
      <w:r w:rsidRPr="00C86111">
        <w:rPr>
          <w:rFonts w:asciiTheme="minorHAnsi" w:hAnsiTheme="minorHAnsi" w:cstheme="minorHAnsi"/>
          <w:color w:val="auto"/>
          <w:szCs w:val="24"/>
          <w:vertAlign w:val="subscript"/>
          <w:lang w:val="sr-Latn-ME"/>
        </w:rPr>
        <w:t>10</w:t>
      </w:r>
      <w:r w:rsidRPr="00C86111">
        <w:rPr>
          <w:rFonts w:asciiTheme="minorHAnsi" w:hAnsiTheme="minorHAnsi" w:cstheme="minorHAnsi"/>
          <w:color w:val="auto"/>
          <w:szCs w:val="24"/>
          <w:lang w:val="sr-Latn-ME"/>
        </w:rPr>
        <w:t>H</w:t>
      </w:r>
      <w:r w:rsidRPr="00C86111">
        <w:rPr>
          <w:rFonts w:asciiTheme="minorHAnsi" w:hAnsiTheme="minorHAnsi" w:cstheme="minorHAnsi"/>
          <w:color w:val="auto"/>
          <w:szCs w:val="24"/>
          <w:vertAlign w:val="subscript"/>
          <w:lang w:val="sr-Latn-ME"/>
        </w:rPr>
        <w:t>17</w:t>
      </w:r>
      <w:r w:rsidRPr="00C86111">
        <w:rPr>
          <w:rFonts w:asciiTheme="minorHAnsi" w:hAnsiTheme="minorHAnsi" w:cstheme="minorHAnsi"/>
          <w:color w:val="auto"/>
          <w:szCs w:val="24"/>
          <w:lang w:val="sr-Latn-ME"/>
        </w:rPr>
        <w:t>Cl</w:t>
      </w:r>
      <w:r w:rsidRPr="00C86111">
        <w:rPr>
          <w:rFonts w:asciiTheme="minorHAnsi" w:hAnsiTheme="minorHAnsi" w:cstheme="minorHAnsi"/>
          <w:color w:val="auto"/>
          <w:szCs w:val="24"/>
          <w:vertAlign w:val="subscript"/>
          <w:lang w:val="sr-Latn-ME"/>
        </w:rPr>
        <w:t>5</w:t>
      </w:r>
      <w:r w:rsidRPr="00C86111">
        <w:rPr>
          <w:rFonts w:asciiTheme="minorHAnsi" w:hAnsiTheme="minorHAnsi" w:cstheme="minorHAnsi"/>
          <w:color w:val="auto"/>
          <w:szCs w:val="24"/>
          <w:lang w:val="sr-Latn-ME"/>
        </w:rPr>
        <w:t xml:space="preserve"> and C</w:t>
      </w:r>
      <w:r w:rsidRPr="00C86111">
        <w:rPr>
          <w:rFonts w:asciiTheme="minorHAnsi" w:hAnsiTheme="minorHAnsi" w:cstheme="minorHAnsi"/>
          <w:color w:val="auto"/>
          <w:szCs w:val="24"/>
          <w:vertAlign w:val="subscript"/>
          <w:lang w:val="sr-Latn-ME"/>
        </w:rPr>
        <w:t>13</w:t>
      </w:r>
      <w:r w:rsidRPr="00C86111">
        <w:rPr>
          <w:rFonts w:asciiTheme="minorHAnsi" w:hAnsiTheme="minorHAnsi" w:cstheme="minorHAnsi"/>
          <w:color w:val="auto"/>
          <w:szCs w:val="24"/>
          <w:lang w:val="sr-Latn-ME"/>
        </w:rPr>
        <w:t>H</w:t>
      </w:r>
      <w:r w:rsidRPr="00C86111">
        <w:rPr>
          <w:rFonts w:asciiTheme="minorHAnsi" w:hAnsiTheme="minorHAnsi" w:cstheme="minorHAnsi"/>
          <w:color w:val="auto"/>
          <w:szCs w:val="24"/>
          <w:vertAlign w:val="subscript"/>
          <w:lang w:val="sr-Latn-ME"/>
        </w:rPr>
        <w:t>22</w:t>
      </w:r>
      <w:r w:rsidRPr="00C86111">
        <w:rPr>
          <w:rFonts w:asciiTheme="minorHAnsi" w:hAnsiTheme="minorHAnsi" w:cstheme="minorHAnsi"/>
          <w:color w:val="auto"/>
          <w:szCs w:val="24"/>
          <w:lang w:val="sr-Latn-ME"/>
        </w:rPr>
        <w:t>Cl</w:t>
      </w:r>
      <w:r w:rsidRPr="00C86111">
        <w:rPr>
          <w:rFonts w:asciiTheme="minorHAnsi" w:hAnsiTheme="minorHAnsi" w:cstheme="minorHAnsi"/>
          <w:color w:val="auto"/>
          <w:szCs w:val="24"/>
          <w:vertAlign w:val="subscript"/>
          <w:lang w:val="sr-Latn-ME"/>
        </w:rPr>
        <w:t>6</w:t>
      </w:r>
      <w:r w:rsidRPr="00C86111">
        <w:rPr>
          <w:rFonts w:asciiTheme="minorHAnsi" w:hAnsiTheme="minorHAnsi" w:cstheme="minorHAnsi"/>
          <w:color w:val="auto"/>
          <w:szCs w:val="24"/>
          <w:lang w:val="sr-Latn-ME"/>
        </w:rPr>
        <w:t>).</w:t>
      </w:r>
    </w:p>
    <w:p w14:paraId="6B8B6F8C"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5F435195"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349DA78F" w14:textId="77777777" w:rsidR="00201FE9" w:rsidRDefault="00201FE9" w:rsidP="00201FE9">
      <w:pPr>
        <w:rPr>
          <w:rFonts w:asciiTheme="minorHAnsi" w:hAnsiTheme="minorHAnsi" w:cstheme="minorHAnsi"/>
          <w:color w:val="auto"/>
          <w:szCs w:val="24"/>
        </w:rPr>
      </w:pPr>
    </w:p>
    <w:p w14:paraId="27263EC2" w14:textId="77777777" w:rsidR="002E5AB7" w:rsidRPr="00C86111" w:rsidRDefault="002E5AB7" w:rsidP="00201FE9">
      <w:pPr>
        <w:rPr>
          <w:rFonts w:asciiTheme="minorHAnsi" w:hAnsiTheme="minorHAnsi" w:cstheme="minorHAnsi"/>
          <w:color w:val="auto"/>
          <w:szCs w:val="24"/>
        </w:rPr>
      </w:pPr>
    </w:p>
    <w:p w14:paraId="1F31D80B" w14:textId="5F7E0F32" w:rsidR="00201FE9" w:rsidRPr="00C86111" w:rsidRDefault="00201FE9" w:rsidP="00201FE9">
      <w:pPr>
        <w:pStyle w:val="Caption"/>
        <w:keepNext/>
        <w:rPr>
          <w:rFonts w:cstheme="minorHAnsi"/>
          <w:b w:val="0"/>
          <w:bCs/>
          <w:sz w:val="24"/>
          <w:szCs w:val="24"/>
        </w:rPr>
      </w:pPr>
      <w:r w:rsidRPr="00C86111">
        <w:rPr>
          <w:rFonts w:cstheme="minorHAnsi"/>
          <w:bCs/>
          <w:sz w:val="24"/>
          <w:szCs w:val="24"/>
        </w:rPr>
        <w:lastRenderedPageBreak/>
        <w:t xml:space="preserve">Tabela </w:t>
      </w:r>
      <w:r w:rsidR="004A37AE" w:rsidRPr="00E2027B">
        <w:rPr>
          <w:rFonts w:cstheme="minorHAnsi"/>
          <w:sz w:val="24"/>
          <w:szCs w:val="24"/>
        </w:rPr>
        <w:t>98</w:t>
      </w:r>
      <w:r w:rsidRPr="00E2027B">
        <w:rPr>
          <w:rFonts w:cstheme="minorHAnsi"/>
          <w:sz w:val="24"/>
          <w:szCs w:val="24"/>
        </w:rPr>
        <w:t>.</w:t>
      </w:r>
      <w:r w:rsidRPr="00C86111">
        <w:rPr>
          <w:rFonts w:cstheme="minorHAnsi"/>
          <w:bCs/>
          <w:sz w:val="24"/>
          <w:szCs w:val="24"/>
        </w:rPr>
        <w:t xml:space="preserve"> </w:t>
      </w:r>
      <w:r w:rsidRPr="00C86111">
        <w:rPr>
          <w:rFonts w:cstheme="minorHAnsi"/>
          <w:b w:val="0"/>
          <w:bCs/>
          <w:sz w:val="24"/>
          <w:szCs w:val="24"/>
        </w:rPr>
        <w:t>Nazivi, sinonimi i CAS brojevi i odabrane karakteristike SCCP</w:t>
      </w:r>
    </w:p>
    <w:tbl>
      <w:tblPr>
        <w:tblStyle w:val="GridTable5Dark-Accent6"/>
        <w:tblW w:w="0" w:type="auto"/>
        <w:tblLook w:val="04A0" w:firstRow="1" w:lastRow="0" w:firstColumn="1" w:lastColumn="0" w:noHBand="0" w:noVBand="1"/>
      </w:tblPr>
      <w:tblGrid>
        <w:gridCol w:w="4508"/>
        <w:gridCol w:w="4508"/>
      </w:tblGrid>
      <w:tr w:rsidR="00201FE9" w:rsidRPr="00C86111" w14:paraId="20BE74E3"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2CFA483"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Uobičajeni naziv (skraćenica)</w:t>
            </w:r>
          </w:p>
        </w:tc>
        <w:tc>
          <w:tcPr>
            <w:tcW w:w="4508" w:type="dxa"/>
          </w:tcPr>
          <w:p w14:paraId="72E6F128" w14:textId="77777777" w:rsidR="00201FE9" w:rsidRPr="00C86111" w:rsidRDefault="00201FE9" w:rsidP="00BC765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Hlorovani parafini kratkog lanca (SCCP)</w:t>
            </w:r>
          </w:p>
        </w:tc>
      </w:tr>
      <w:tr w:rsidR="00201FE9" w:rsidRPr="00C86111" w14:paraId="11D0AEC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96DB7E"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IUPAC naziv</w:t>
            </w:r>
          </w:p>
        </w:tc>
        <w:tc>
          <w:tcPr>
            <w:tcW w:w="4508" w:type="dxa"/>
          </w:tcPr>
          <w:p w14:paraId="476F3F00"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Alkani, C10-13, hloro; </w:t>
            </w:r>
          </w:p>
        </w:tc>
      </w:tr>
      <w:tr w:rsidR="00201FE9" w:rsidRPr="00C86111" w14:paraId="0FF2FDAF" w14:textId="77777777" w:rsidTr="00BC765B">
        <w:tc>
          <w:tcPr>
            <w:cnfStyle w:val="001000000000" w:firstRow="0" w:lastRow="0" w:firstColumn="1" w:lastColumn="0" w:oddVBand="0" w:evenVBand="0" w:oddHBand="0" w:evenHBand="0" w:firstRowFirstColumn="0" w:firstRowLastColumn="0" w:lastRowFirstColumn="0" w:lastRowLastColumn="0"/>
            <w:tcW w:w="4508" w:type="dxa"/>
          </w:tcPr>
          <w:p w14:paraId="0DCCEE18"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Sinonimi</w:t>
            </w:r>
          </w:p>
        </w:tc>
        <w:tc>
          <w:tcPr>
            <w:tcW w:w="4508" w:type="dxa"/>
          </w:tcPr>
          <w:p w14:paraId="09D6C93E"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Alkani, hlorovani; alkani (C10-13), chloro-(50%-70%); alkani (C10-13), hloro-(60%); chlorisani alkani, hlorisani parafin; hloroalkani; hlorovani ugljovodonici; polihlorovani alkani; hlorovani parafini.</w:t>
            </w:r>
          </w:p>
        </w:tc>
      </w:tr>
      <w:tr w:rsidR="00201FE9" w:rsidRPr="00C86111" w14:paraId="0F1A0C5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FAD1DA"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Molekulska formula</w:t>
            </w:r>
          </w:p>
        </w:tc>
        <w:tc>
          <w:tcPr>
            <w:tcW w:w="4508" w:type="dxa"/>
          </w:tcPr>
          <w:p w14:paraId="6C5189A2"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CxH(2x-y+2)Cly, gdje je x=10-13 i y=1-13</w:t>
            </w:r>
          </w:p>
        </w:tc>
      </w:tr>
      <w:tr w:rsidR="00201FE9" w:rsidRPr="00C86111" w14:paraId="038315E8" w14:textId="77777777" w:rsidTr="00BC765B">
        <w:tc>
          <w:tcPr>
            <w:cnfStyle w:val="001000000000" w:firstRow="0" w:lastRow="0" w:firstColumn="1" w:lastColumn="0" w:oddVBand="0" w:evenVBand="0" w:oddHBand="0" w:evenHBand="0" w:firstRowFirstColumn="0" w:firstRowLastColumn="0" w:lastRowFirstColumn="0" w:lastRowLastColumn="0"/>
            <w:tcW w:w="4508" w:type="dxa"/>
          </w:tcPr>
          <w:p w14:paraId="7558C650"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Chemical Abstract Service (CAS) brojevi SCCPs i drugih hloriovanih parafina koji mogu da sadrže SCCP</w:t>
            </w:r>
          </w:p>
        </w:tc>
        <w:tc>
          <w:tcPr>
            <w:tcW w:w="4508" w:type="dxa"/>
          </w:tcPr>
          <w:p w14:paraId="69BCE14C"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85535-84-85 (Alkani C10-C13, hloro) </w:t>
            </w:r>
          </w:p>
          <w:p w14:paraId="0E1C12BB"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71011-12-6 (Alkani, C12-13, hloro) </w:t>
            </w:r>
          </w:p>
          <w:p w14:paraId="6607358C"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85536-22-7 (Alkani, C12-14, hloro) </w:t>
            </w:r>
          </w:p>
          <w:p w14:paraId="3D9E1CBE"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85681-73-8 (Alkani, C10-14, hloro) </w:t>
            </w:r>
          </w:p>
          <w:p w14:paraId="75C1798A"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108171-26-2 (Alkani, C10-12, hloro) </w:t>
            </w:r>
          </w:p>
          <w:p w14:paraId="1A609F24"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68920-70-7 (Alkani, C6-18, hloro) </w:t>
            </w:r>
          </w:p>
          <w:p w14:paraId="07C5F33C"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84082-38-2 (Alkani, C10-21, hloro) </w:t>
            </w:r>
          </w:p>
          <w:p w14:paraId="5010FF64"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97659-46-6 (Alkani, C10-26, hloro) </w:t>
            </w:r>
          </w:p>
          <w:p w14:paraId="37227AD1"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84776-06-7 (Alkani, C10-32, hloro) </w:t>
            </w:r>
          </w:p>
          <w:p w14:paraId="40CE7573"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CAS brojevi bez definisane dužine lanca koji mogu da sadrže SCCP</w:t>
            </w:r>
            <w:r w:rsidRPr="00C86111">
              <w:rPr>
                <w:rFonts w:asciiTheme="minorHAnsi" w:hAnsiTheme="minorHAnsi" w:cstheme="minorHAnsi"/>
                <w:color w:val="auto"/>
                <w:sz w:val="20"/>
                <w:szCs w:val="20"/>
                <w:lang w:val="sr-Latn-ME"/>
              </w:rPr>
              <w:sym w:font="Symbol" w:char="F03E"/>
            </w:r>
            <w:r w:rsidRPr="00C86111">
              <w:rPr>
                <w:rFonts w:asciiTheme="minorHAnsi" w:hAnsiTheme="minorHAnsi" w:cstheme="minorHAnsi"/>
                <w:color w:val="auto"/>
                <w:sz w:val="20"/>
                <w:szCs w:val="20"/>
                <w:lang w:val="sr-Latn-ME"/>
              </w:rPr>
              <w:t xml:space="preserve">1%: 61788-76-9 (Alkani, hloro); 63449-39-8 (Parafinski voskovi i uglovodonični voskovi, hloro); 97553-43-0 Parafini, normalni C&gt;10, hloro) </w:t>
            </w:r>
          </w:p>
          <w:p w14:paraId="4B7C883B"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xml:space="preserve">CAS brojevi MCCPs (85535-85-9) Alkani, C14-17, hloro (koji mogu da sadrže </w:t>
            </w:r>
            <w:r w:rsidRPr="00C86111">
              <w:rPr>
                <w:rFonts w:asciiTheme="minorHAnsi" w:hAnsiTheme="minorHAnsi" w:cstheme="minorHAnsi"/>
                <w:color w:val="auto"/>
                <w:sz w:val="20"/>
                <w:szCs w:val="20"/>
                <w:lang w:val="sr-Latn-ME"/>
              </w:rPr>
              <w:sym w:font="Symbol" w:char="F03C"/>
            </w:r>
            <w:r w:rsidRPr="00C86111">
              <w:rPr>
                <w:rFonts w:asciiTheme="minorHAnsi" w:hAnsiTheme="minorHAnsi" w:cstheme="minorHAnsi"/>
                <w:color w:val="auto"/>
                <w:sz w:val="20"/>
                <w:szCs w:val="20"/>
                <w:lang w:val="sr-Latn-ME"/>
              </w:rPr>
              <w:t xml:space="preserve">1% (Euro Chlor 2017) ali neki mogu potencijalno da sadrže </w:t>
            </w:r>
            <w:r w:rsidRPr="00C86111">
              <w:rPr>
                <w:rFonts w:asciiTheme="minorHAnsi" w:hAnsiTheme="minorHAnsi" w:cstheme="minorHAnsi"/>
                <w:color w:val="auto"/>
                <w:sz w:val="20"/>
                <w:szCs w:val="20"/>
                <w:lang w:val="sr-Latn-ME"/>
              </w:rPr>
              <w:sym w:font="Symbol" w:char="F03E"/>
            </w:r>
            <w:r w:rsidRPr="00C86111">
              <w:rPr>
                <w:rFonts w:asciiTheme="minorHAnsi" w:hAnsiTheme="minorHAnsi" w:cstheme="minorHAnsi"/>
                <w:color w:val="auto"/>
                <w:sz w:val="20"/>
                <w:szCs w:val="20"/>
                <w:lang w:val="sr-Latn-ME"/>
              </w:rPr>
              <w:t>1% SCCP zavisno od proizvođača.</w:t>
            </w:r>
          </w:p>
        </w:tc>
      </w:tr>
      <w:tr w:rsidR="00201FE9" w:rsidRPr="00C86111" w14:paraId="5BC350D7"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6EC09EC"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Generička trgovačka imena hlorovanih parafina (IARC, 1990 i dopune)</w:t>
            </w:r>
          </w:p>
        </w:tc>
        <w:tc>
          <w:tcPr>
            <w:tcW w:w="4508" w:type="dxa"/>
          </w:tcPr>
          <w:p w14:paraId="384575C1"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A 70; A 70 (vosak); Adekacizer E; Arubren; Cereclor; Hlorovani parafini (CPs); Chlorcosane; Chlorocosane Chlorez; Chlorofin; Chloroflo; Chlorparaffin; Chlorowax, Chlorowax 500AO; Chlorowax 45AO, Chlorowax 52AO; Cloparin; Cloparol; Clorafin; CP F; CP-52, CP-55, CP-60, CP-70, CW; Diablo; Derminolfett; Derminolöl; EDC-tar; Electrofine; Enpara; FL X; Hordaflam; Hordaflex; Hordalub; Hulz; KhP; Meflex; Monocizer; Paroil; Poliks; Tenekil; Toyoparax; Unichlor</w:t>
            </w:r>
          </w:p>
        </w:tc>
      </w:tr>
      <w:tr w:rsidR="00201FE9" w:rsidRPr="00C86111" w14:paraId="4EE19935" w14:textId="77777777" w:rsidTr="00BC765B">
        <w:tc>
          <w:tcPr>
            <w:cnfStyle w:val="001000000000" w:firstRow="0" w:lastRow="0" w:firstColumn="1" w:lastColumn="0" w:oddVBand="0" w:evenVBand="0" w:oddHBand="0" w:evenHBand="0" w:firstRowFirstColumn="0" w:firstRowLastColumn="0" w:lastRowFirstColumn="0" w:lastRowLastColumn="0"/>
            <w:tcW w:w="4508" w:type="dxa"/>
          </w:tcPr>
          <w:p w14:paraId="6F013F3D"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Temperatura prelaska u tečno stanje (bez izrazitog topljenja)</w:t>
            </w:r>
          </w:p>
        </w:tc>
        <w:tc>
          <w:tcPr>
            <w:tcW w:w="4508" w:type="dxa"/>
          </w:tcPr>
          <w:p w14:paraId="1DE40006"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-30.5 °C (49% hlora); 20.5 °C (70% hlora) (ECB, 2000)</w:t>
            </w:r>
          </w:p>
        </w:tc>
      </w:tr>
      <w:tr w:rsidR="00201FE9" w:rsidRPr="00C86111" w14:paraId="124E9AAB"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FBF547B"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Rastvorljivost u vodi</w:t>
            </w:r>
          </w:p>
        </w:tc>
        <w:tc>
          <w:tcPr>
            <w:tcW w:w="4508" w:type="dxa"/>
          </w:tcPr>
          <w:p w14:paraId="2A18BE70"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0.15 – 0.47 mg/L (ECB, 2000) 0.006 – 2.2 mg/L (BUA 1992)</w:t>
            </w:r>
          </w:p>
        </w:tc>
      </w:tr>
      <w:tr w:rsidR="00201FE9" w:rsidRPr="00C86111" w14:paraId="7E7F08B9" w14:textId="77777777" w:rsidTr="00BC765B">
        <w:tc>
          <w:tcPr>
            <w:cnfStyle w:val="001000000000" w:firstRow="0" w:lastRow="0" w:firstColumn="1" w:lastColumn="0" w:oddVBand="0" w:evenVBand="0" w:oddHBand="0" w:evenHBand="0" w:firstRowFirstColumn="0" w:firstRowLastColumn="0" w:lastRowFirstColumn="0" w:lastRowLastColumn="0"/>
            <w:tcW w:w="4508" w:type="dxa"/>
          </w:tcPr>
          <w:p w14:paraId="6C904CA3"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Toksičnost</w:t>
            </w:r>
          </w:p>
        </w:tc>
        <w:tc>
          <w:tcPr>
            <w:tcW w:w="4508" w:type="dxa"/>
          </w:tcPr>
          <w:p w14:paraId="76D90418"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SCCPs pripadaju grupi 2B by IARC - moguće kancerogeni za ljude na osnovu dovoljnih dokaza o kancerogenosti kod eksperimentalnih životinja i mehanizmima djelovanja (IARC, 1990).</w:t>
            </w:r>
          </w:p>
        </w:tc>
      </w:tr>
    </w:tbl>
    <w:p w14:paraId="6A7E92B9"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4CFA43E" w14:textId="77777777" w:rsidR="00201FE9" w:rsidRPr="00C86111" w:rsidRDefault="00201FE9" w:rsidP="00201FE9">
      <w:pPr>
        <w:spacing w:line="276" w:lineRule="auto"/>
        <w:jc w:val="both"/>
        <w:rPr>
          <w:rFonts w:asciiTheme="minorHAnsi" w:eastAsia="SimSun" w:hAnsiTheme="minorHAnsi" w:cstheme="minorHAnsi"/>
          <w:color w:val="auto"/>
          <w:szCs w:val="24"/>
          <w:lang w:val="sr-Latn-ME"/>
        </w:rPr>
      </w:pPr>
      <w:r w:rsidRPr="00C86111">
        <w:rPr>
          <w:rFonts w:asciiTheme="minorHAnsi" w:eastAsia="SimSun" w:hAnsiTheme="minorHAnsi" w:cstheme="minorHAnsi"/>
          <w:color w:val="auto"/>
          <w:szCs w:val="24"/>
          <w:lang w:val="sr-Latn-ME"/>
        </w:rPr>
        <w:lastRenderedPageBreak/>
        <w:t xml:space="preserve">Fizička i hemijska svojstva SCCP - kao što su niska rastvorljivost u vodi, visoka lipofilnost i otpornost na razgradnju - doprinose njihovoj postojanosti u životnoj sredini </w:t>
      </w:r>
      <w:r w:rsidRPr="00C86111">
        <w:rPr>
          <w:rFonts w:asciiTheme="minorHAnsi" w:eastAsia="SimSun" w:hAnsiTheme="minorHAnsi" w:cstheme="minorHAnsi"/>
          <w:color w:val="002060"/>
          <w:szCs w:val="24"/>
          <w:lang w:val="sr-Latn-ME"/>
        </w:rPr>
        <w:t xml:space="preserve">(2). </w:t>
      </w:r>
      <w:r w:rsidRPr="00C86111">
        <w:rPr>
          <w:rFonts w:asciiTheme="minorHAnsi" w:eastAsia="SimSun" w:hAnsiTheme="minorHAnsi" w:cstheme="minorHAnsi"/>
          <w:color w:val="auto"/>
          <w:szCs w:val="24"/>
          <w:lang w:val="sr-Latn-ME"/>
        </w:rPr>
        <w:t>Jednom kada se oslobode, SCCP imaju tendenciju da se akumuliraju u sedimentima, bioti, pa čak i u udaljenim regionima daleko od izvora emisije, kao što je Arktik, što ukazuje na njihov potencijal za transport na velike udaljenosti u životnoj sredini (3). Njihova lipofilna priroda dovodi do bioakumulacije u vodenim i kopnenim organizmima, a dokumentovana je i biomagnifikacija kroz lanac ishrane (3).</w:t>
      </w:r>
    </w:p>
    <w:p w14:paraId="36246CCD" w14:textId="77777777" w:rsidR="00201FE9" w:rsidRPr="00C86111" w:rsidRDefault="00201FE9" w:rsidP="00EA6904">
      <w:pPr>
        <w:pStyle w:val="Heading3"/>
      </w:pPr>
      <w:bookmarkStart w:id="375" w:name="_Toc210744965"/>
      <w:bookmarkStart w:id="376" w:name="_Toc220541962"/>
      <w:r w:rsidRPr="00C86111">
        <w:t>Proizvodnja i upotreba SCCP</w:t>
      </w:r>
      <w:bookmarkEnd w:id="375"/>
      <w:bookmarkEnd w:id="376"/>
    </w:p>
    <w:p w14:paraId="2E6EC060" w14:textId="77777777" w:rsidR="00201FE9" w:rsidRPr="00C86111" w:rsidRDefault="00201FE9" w:rsidP="00201FE9">
      <w:pPr>
        <w:rPr>
          <w:rFonts w:asciiTheme="minorHAnsi" w:hAnsiTheme="minorHAnsi" w:cstheme="minorHAnsi"/>
          <w:color w:val="auto"/>
          <w:szCs w:val="24"/>
          <w:lang w:val="sr-Latn-ME"/>
        </w:rPr>
      </w:pPr>
    </w:p>
    <w:p w14:paraId="69D6FCC9" w14:textId="77777777" w:rsidR="00201FE9" w:rsidRPr="00C86111" w:rsidRDefault="00201FE9" w:rsidP="00201FE9">
      <w:pPr>
        <w:spacing w:line="276" w:lineRule="auto"/>
        <w:jc w:val="both"/>
        <w:rPr>
          <w:rFonts w:asciiTheme="minorHAnsi" w:eastAsia="SimSun" w:hAnsiTheme="minorHAnsi" w:cstheme="minorHAnsi"/>
          <w:color w:val="auto"/>
          <w:szCs w:val="24"/>
          <w:lang w:val="sr-Latn-ME"/>
        </w:rPr>
      </w:pPr>
      <w:r w:rsidRPr="00C86111">
        <w:rPr>
          <w:rFonts w:asciiTheme="minorHAnsi" w:eastAsia="SimSun" w:hAnsiTheme="minorHAnsi" w:cstheme="minorHAnsi"/>
          <w:color w:val="auto"/>
          <w:szCs w:val="24"/>
          <w:lang w:val="sr-Latn-ME"/>
        </w:rPr>
        <w:t xml:space="preserve">SCCP se imaju široku primjenu u industriji i u proizvodima široke potrošnje. Njihova glavna upotreba uključuje funkciju plastifikatora i usporivača gorenja u polivinilhloridnoj (PVC) plastici i drugim polimernim materijalima, posebno u električnim kablovima, podnim oblogama i krovnim materijalima </w:t>
      </w:r>
      <w:r w:rsidRPr="00C86111">
        <w:rPr>
          <w:rFonts w:asciiTheme="minorHAnsi" w:eastAsia="SimSun" w:hAnsiTheme="minorHAnsi" w:cstheme="minorHAnsi"/>
          <w:color w:val="002060"/>
          <w:szCs w:val="24"/>
          <w:lang w:val="sr-Latn-ME"/>
        </w:rPr>
        <w:t xml:space="preserve">(1). </w:t>
      </w:r>
      <w:r w:rsidRPr="00C86111">
        <w:rPr>
          <w:rFonts w:asciiTheme="minorHAnsi" w:eastAsia="SimSun" w:hAnsiTheme="minorHAnsi" w:cstheme="minorHAnsi"/>
          <w:color w:val="auto"/>
          <w:szCs w:val="24"/>
          <w:lang w:val="sr-Latn-ME"/>
        </w:rPr>
        <w:t xml:space="preserve">Pored toga, koriste se kao aditivi u tečnostima za obradu metala, mazivima, ljepkovima, zaptivačima, bojama, gumi i tretmanima kože kako bi se poboljšala fleksibilnost, izdržljivost i otpornost na plamen. Pošto ove primjene uključuju i otvorene i zatvorene sisteme, SCCP se mogu ispustiti u životnu sredinu tokom faza proizvodnje, upotrebe, odlaganja i reciklaže. Nepravilno rukovanje, nedostatak kontrole emisija i prisustvo SCCP u proizvodima široke potrošnje značajno doprinose njihovom širenju u životnoj sredini </w:t>
      </w:r>
      <w:r w:rsidRPr="00C86111">
        <w:rPr>
          <w:rFonts w:asciiTheme="minorHAnsi" w:eastAsia="SimSun" w:hAnsiTheme="minorHAnsi" w:cstheme="minorHAnsi"/>
          <w:color w:val="002060"/>
          <w:szCs w:val="24"/>
          <w:lang w:val="sr-Latn-ME"/>
        </w:rPr>
        <w:t>(4).</w:t>
      </w:r>
    </w:p>
    <w:p w14:paraId="77ACAA05" w14:textId="77777777" w:rsidR="00201FE9" w:rsidRPr="00C86111" w:rsidRDefault="00201FE9" w:rsidP="00201FE9">
      <w:pPr>
        <w:spacing w:line="276" w:lineRule="auto"/>
        <w:jc w:val="both"/>
        <w:rPr>
          <w:rFonts w:asciiTheme="minorHAnsi" w:eastAsia="SimSun" w:hAnsiTheme="minorHAnsi" w:cstheme="minorHAnsi"/>
          <w:color w:val="auto"/>
          <w:szCs w:val="24"/>
          <w:lang w:val="sr-Latn-ME"/>
        </w:rPr>
      </w:pPr>
      <w:r w:rsidRPr="00C86111">
        <w:rPr>
          <w:rFonts w:asciiTheme="minorHAnsi" w:eastAsia="SimSun" w:hAnsiTheme="minorHAnsi" w:cstheme="minorHAnsi"/>
          <w:color w:val="auto"/>
          <w:szCs w:val="24"/>
          <w:lang w:val="sr-Latn-ME"/>
        </w:rPr>
        <w:t xml:space="preserve">Sa toksikološkog stanovišta, SCCP predstavljaju ozbiljan rizik i za ekosisteme i za ljudsko zdravlje. Studije su pokazale da su SCCP toksični za širok spektar vodenih organizama, uključujući ribe, beskičmenjake i alge. Izloženost je povezana sa endokrinim poremećajima, reproduktivnom i razvojnom toksičnošću, oštećenjem jetre i bubrega i mogućim kancerogenim efektima. Prema Evropskoj agenciji za hemikalije (ECHA), SCCP se koriste kao aditivi u raznim proizvodima kao što su tečnosti za obradu metala, maziva, ljepkovi, zaptivači, boje, guma i tretmani kože, sa potencijalnim oslobađanjima koja se javljaju tokom njihove proizvodnje, upotrebe i odlaganja </w:t>
      </w:r>
      <w:r w:rsidRPr="00C86111">
        <w:rPr>
          <w:rFonts w:asciiTheme="minorHAnsi" w:eastAsia="SimSun" w:hAnsiTheme="minorHAnsi" w:cstheme="minorHAnsi"/>
          <w:color w:val="002060"/>
          <w:szCs w:val="24"/>
          <w:lang w:val="sr-Latn-ME"/>
        </w:rPr>
        <w:t xml:space="preserve">(4). </w:t>
      </w:r>
      <w:r w:rsidRPr="00C86111">
        <w:rPr>
          <w:rFonts w:asciiTheme="minorHAnsi" w:eastAsia="SimSun" w:hAnsiTheme="minorHAnsi" w:cstheme="minorHAnsi"/>
          <w:color w:val="auto"/>
          <w:szCs w:val="24"/>
          <w:lang w:val="sr-Latn-ME"/>
        </w:rPr>
        <w:t xml:space="preserve">Štaviše, Međunarodni program za hemijsku bezbednost (IPCS), u “Concise International Chemical Assessment Document 55” (2012), izvještava da SCCP mogu izazvati toksičnost za jetru, razvojne efekte i da su moguće kancerogeni za ljude na osnovu studija na životinjama </w:t>
      </w:r>
      <w:r w:rsidRPr="00C86111">
        <w:rPr>
          <w:rFonts w:asciiTheme="minorHAnsi" w:eastAsia="SimSun" w:hAnsiTheme="minorHAnsi" w:cstheme="minorHAnsi"/>
          <w:color w:val="002060"/>
          <w:szCs w:val="24"/>
          <w:lang w:val="sr-Latn-ME"/>
        </w:rPr>
        <w:t xml:space="preserve">(5). </w:t>
      </w:r>
      <w:r w:rsidRPr="00C86111">
        <w:rPr>
          <w:rFonts w:asciiTheme="minorHAnsi" w:eastAsia="SimSun" w:hAnsiTheme="minorHAnsi" w:cstheme="minorHAnsi"/>
          <w:color w:val="auto"/>
          <w:szCs w:val="24"/>
          <w:lang w:val="sr-Latn-ME"/>
        </w:rPr>
        <w:t xml:space="preserve">SCCP su takođe otkriveni u majčinom mlijeku, krvi i masnom tkivu, što ukazuje na široko rasprostranjenu izloženost ljudi putem konzumiranja hrane, udisanja i dermalnog kontakta sa tretiranim proizvodima </w:t>
      </w:r>
      <w:r w:rsidRPr="00C86111">
        <w:rPr>
          <w:rFonts w:asciiTheme="minorHAnsi" w:eastAsia="SimSun" w:hAnsiTheme="minorHAnsi" w:cstheme="minorHAnsi"/>
          <w:color w:val="002060"/>
          <w:szCs w:val="24"/>
          <w:lang w:val="sr-Latn-ME"/>
        </w:rPr>
        <w:t xml:space="preserve">(5). </w:t>
      </w:r>
      <w:r w:rsidRPr="00C86111">
        <w:rPr>
          <w:rFonts w:asciiTheme="minorHAnsi" w:eastAsia="SimSun" w:hAnsiTheme="minorHAnsi" w:cstheme="minorHAnsi"/>
          <w:color w:val="auto"/>
          <w:szCs w:val="24"/>
          <w:lang w:val="sr-Latn-ME"/>
        </w:rPr>
        <w:t xml:space="preserve">Njihovo prisustvo u zatvorenom prostoru, kao što je namještaj i građevinski materijal, izaziva posebnu zabrinutost zbog dugotrajne izloženosti niskim nivoima, posebno kod djece </w:t>
      </w:r>
      <w:r w:rsidRPr="00C86111">
        <w:rPr>
          <w:rFonts w:asciiTheme="minorHAnsi" w:eastAsia="SimSun" w:hAnsiTheme="minorHAnsi" w:cstheme="minorHAnsi"/>
          <w:color w:val="002060"/>
          <w:szCs w:val="24"/>
          <w:lang w:val="sr-Latn-ME"/>
        </w:rPr>
        <w:t>(5).</w:t>
      </w:r>
    </w:p>
    <w:p w14:paraId="3EF07387" w14:textId="77777777" w:rsidR="00201FE9" w:rsidRPr="00C86111" w:rsidRDefault="00201FE9" w:rsidP="00EA6904">
      <w:pPr>
        <w:pStyle w:val="Heading3"/>
      </w:pPr>
      <w:bookmarkStart w:id="377" w:name="_Toc210744966"/>
      <w:bookmarkStart w:id="378" w:name="_Toc220541963"/>
      <w:r w:rsidRPr="00C86111">
        <w:t>Status SCCPs prema Stokholmskoj konvenciji</w:t>
      </w:r>
      <w:bookmarkEnd w:id="377"/>
      <w:bookmarkEnd w:id="378"/>
    </w:p>
    <w:p w14:paraId="298CD836" w14:textId="77777777" w:rsidR="00201FE9" w:rsidRPr="00C86111" w:rsidRDefault="00201FE9" w:rsidP="00201FE9">
      <w:pPr>
        <w:rPr>
          <w:rFonts w:asciiTheme="minorHAnsi" w:hAnsiTheme="minorHAnsi" w:cstheme="minorHAnsi"/>
          <w:color w:val="auto"/>
          <w:szCs w:val="24"/>
          <w:lang w:val="sr-Latn-ME"/>
        </w:rPr>
      </w:pPr>
    </w:p>
    <w:p w14:paraId="1B4F651D" w14:textId="0E59B5C3" w:rsidR="00201FE9" w:rsidRPr="00C86111" w:rsidRDefault="00201FE9" w:rsidP="00201FE9">
      <w:pPr>
        <w:spacing w:line="276" w:lineRule="auto"/>
        <w:jc w:val="both"/>
        <w:rPr>
          <w:rFonts w:asciiTheme="minorHAnsi" w:eastAsia="SimSun" w:hAnsiTheme="minorHAnsi" w:cstheme="minorHAnsi"/>
          <w:color w:val="auto"/>
          <w:szCs w:val="24"/>
          <w:lang w:val="sr-Latn-ME"/>
        </w:rPr>
      </w:pPr>
      <w:r w:rsidRPr="00C86111">
        <w:rPr>
          <w:rFonts w:asciiTheme="minorHAnsi" w:eastAsia="SimSun" w:hAnsiTheme="minorHAnsi" w:cstheme="minorHAnsi"/>
          <w:color w:val="auto"/>
          <w:szCs w:val="24"/>
          <w:lang w:val="sr-Latn-ME"/>
        </w:rPr>
        <w:t xml:space="preserve">S obzirom na njihovu postojanost u životnoj sredini, bioakumulativnu prirodu, toksičnost i potencijal za transport u životnoj sredini na velike udaljenosti, SCCP ispunjavaju sva četiri kriterijuma za klasifikaciju kao dugotrajni organski zagađivači (POPs) prema Stokholmskoj </w:t>
      </w:r>
      <w:r w:rsidRPr="00C86111">
        <w:rPr>
          <w:rFonts w:asciiTheme="minorHAnsi" w:eastAsia="SimSun" w:hAnsiTheme="minorHAnsi" w:cstheme="minorHAnsi"/>
          <w:color w:val="auto"/>
          <w:szCs w:val="24"/>
          <w:lang w:val="sr-Latn-ME"/>
        </w:rPr>
        <w:lastRenderedPageBreak/>
        <w:t xml:space="preserve">konvenciji </w:t>
      </w:r>
      <w:r w:rsidRPr="00C86111">
        <w:rPr>
          <w:rFonts w:asciiTheme="minorHAnsi" w:eastAsia="SimSun" w:hAnsiTheme="minorHAnsi" w:cstheme="minorHAnsi"/>
          <w:color w:val="002060"/>
          <w:szCs w:val="24"/>
          <w:lang w:val="sr-Latn-ME"/>
        </w:rPr>
        <w:t xml:space="preserve">(6). </w:t>
      </w:r>
      <w:r w:rsidRPr="00C86111">
        <w:rPr>
          <w:rFonts w:asciiTheme="minorHAnsi" w:eastAsia="SimSun" w:hAnsiTheme="minorHAnsi" w:cstheme="minorHAnsi"/>
          <w:color w:val="auto"/>
          <w:szCs w:val="24"/>
          <w:lang w:val="sr-Latn-ME"/>
        </w:rPr>
        <w:t xml:space="preserve">Kao rezultat toga, u maju 2017. godine, odlukom SC-8/11, the Conference of the Parties to the Convention je odlučila da uvrsti SCCP u Aneks A Konvencije, koji poziva na eliminaciju njihove proizvodnje i upotrebe, sa ograničenim izuzecima za specifične primjene tamo gdje održive alternative još uvijek nijesu dostupne (Tabela </w:t>
      </w:r>
      <w:r w:rsidR="004A37AE" w:rsidRPr="00C86111">
        <w:rPr>
          <w:rFonts w:asciiTheme="minorHAnsi" w:eastAsia="SimSun" w:hAnsiTheme="minorHAnsi" w:cstheme="minorHAnsi"/>
          <w:color w:val="auto"/>
          <w:szCs w:val="24"/>
          <w:lang w:val="sr-Latn-ME"/>
        </w:rPr>
        <w:t>99</w:t>
      </w:r>
      <w:r w:rsidRPr="00C86111">
        <w:rPr>
          <w:rFonts w:asciiTheme="minorHAnsi" w:eastAsia="SimSun" w:hAnsiTheme="minorHAnsi" w:cstheme="minorHAnsi"/>
          <w:color w:val="auto"/>
          <w:szCs w:val="24"/>
          <w:lang w:val="sr-Latn-ME"/>
        </w:rPr>
        <w:t>). Ova odluka je zasnovana na sveobuhvatnoj naučnoj procjeni Persistent Organic Pollutants Review Committee (POPRC), koji je potvrdio da SCCP predstavljaju značajan rizik po ljudsko zdravlje i životnu sredinu na globalnom nivou.</w:t>
      </w:r>
    </w:p>
    <w:p w14:paraId="4FE6C6AD" w14:textId="77777777" w:rsidR="00201FE9" w:rsidRPr="00C86111" w:rsidRDefault="00201FE9" w:rsidP="00201FE9">
      <w:pPr>
        <w:spacing w:line="276" w:lineRule="auto"/>
        <w:jc w:val="both"/>
        <w:rPr>
          <w:rFonts w:asciiTheme="minorHAnsi" w:eastAsia="SimSun" w:hAnsiTheme="minorHAnsi" w:cstheme="minorHAnsi"/>
          <w:color w:val="auto"/>
          <w:szCs w:val="24"/>
          <w:lang w:val="sr-Latn-ME"/>
        </w:rPr>
      </w:pPr>
    </w:p>
    <w:p w14:paraId="6360BD14" w14:textId="6C75CCB8" w:rsidR="00201FE9" w:rsidRPr="00C86111" w:rsidRDefault="00201FE9" w:rsidP="00201FE9">
      <w:pPr>
        <w:pStyle w:val="Caption"/>
        <w:rPr>
          <w:rFonts w:cstheme="minorHAnsi"/>
          <w:b w:val="0"/>
          <w:bCs/>
          <w:sz w:val="24"/>
          <w:szCs w:val="24"/>
          <w:lang w:val="sr-Latn-ME"/>
        </w:rPr>
      </w:pPr>
      <w:bookmarkStart w:id="379" w:name="_Toc210743910"/>
      <w:r w:rsidRPr="00C86111">
        <w:rPr>
          <w:rFonts w:cstheme="minorHAnsi"/>
          <w:bCs/>
          <w:sz w:val="24"/>
          <w:szCs w:val="24"/>
        </w:rPr>
        <w:t xml:space="preserve">Tabela </w:t>
      </w:r>
      <w:r w:rsidR="004A37AE" w:rsidRPr="00C86111">
        <w:rPr>
          <w:rFonts w:cstheme="minorHAnsi"/>
          <w:bCs/>
          <w:sz w:val="24"/>
          <w:szCs w:val="24"/>
        </w:rPr>
        <w:t>99</w:t>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Lista specifičnih izuzeća SCCP</w:t>
      </w:r>
      <w:bookmarkEnd w:id="379"/>
    </w:p>
    <w:tbl>
      <w:tblPr>
        <w:tblStyle w:val="GridTable5Dark-Accent6"/>
        <w:tblW w:w="8995" w:type="dxa"/>
        <w:tblLook w:val="04A0" w:firstRow="1" w:lastRow="0" w:firstColumn="1" w:lastColumn="0" w:noHBand="0" w:noVBand="1"/>
      </w:tblPr>
      <w:tblGrid>
        <w:gridCol w:w="2570"/>
        <w:gridCol w:w="1385"/>
        <w:gridCol w:w="5040"/>
      </w:tblGrid>
      <w:tr w:rsidR="00201FE9" w:rsidRPr="00C86111" w14:paraId="0EF1C18B"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0" w:type="dxa"/>
          </w:tcPr>
          <w:p w14:paraId="4046AED1" w14:textId="77777777" w:rsidR="00201FE9" w:rsidRPr="00C86111" w:rsidRDefault="00201FE9" w:rsidP="00BC765B">
            <w:pPr>
              <w:spacing w:line="276" w:lineRule="auto"/>
              <w:rPr>
                <w:rFonts w:asciiTheme="minorHAnsi" w:hAnsiTheme="minorHAnsi" w:cstheme="minorHAnsi"/>
                <w:b w:val="0"/>
                <w:bCs w:val="0"/>
                <w:color w:val="auto"/>
                <w:sz w:val="20"/>
                <w:szCs w:val="20"/>
                <w:lang w:val="sr-Latn-ME"/>
              </w:rPr>
            </w:pPr>
            <w:r w:rsidRPr="00C86111">
              <w:rPr>
                <w:rFonts w:asciiTheme="minorHAnsi" w:hAnsiTheme="minorHAnsi" w:cstheme="minorHAnsi"/>
                <w:i/>
                <w:iCs/>
                <w:color w:val="auto"/>
                <w:sz w:val="20"/>
                <w:szCs w:val="20"/>
                <w:lang w:val="sr-Latn-ME"/>
              </w:rPr>
              <w:t>Hemikalija</w:t>
            </w:r>
          </w:p>
        </w:tc>
        <w:tc>
          <w:tcPr>
            <w:tcW w:w="1385" w:type="dxa"/>
          </w:tcPr>
          <w:p w14:paraId="72AD59BF" w14:textId="77777777" w:rsidR="00201FE9" w:rsidRPr="00C86111" w:rsidRDefault="00201FE9" w:rsidP="00BC765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i/>
                <w:iCs/>
                <w:color w:val="auto"/>
                <w:sz w:val="20"/>
                <w:szCs w:val="20"/>
                <w:lang w:val="sr-Latn-ME"/>
              </w:rPr>
              <w:t>Uloga</w:t>
            </w:r>
          </w:p>
        </w:tc>
        <w:tc>
          <w:tcPr>
            <w:tcW w:w="5040" w:type="dxa"/>
          </w:tcPr>
          <w:p w14:paraId="7F58DBB6" w14:textId="77777777" w:rsidR="00201FE9" w:rsidRPr="00C86111" w:rsidRDefault="00201FE9" w:rsidP="00BC765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i/>
                <w:iCs/>
                <w:color w:val="auto"/>
                <w:sz w:val="20"/>
                <w:szCs w:val="20"/>
                <w:lang w:val="sr-Latn-ME"/>
              </w:rPr>
              <w:t>Specifično izuzeće</w:t>
            </w:r>
          </w:p>
        </w:tc>
      </w:tr>
      <w:tr w:rsidR="00C262FD" w:rsidRPr="00C86111" w14:paraId="2353B7C1" w14:textId="77777777" w:rsidTr="00BC765B">
        <w:trPr>
          <w:cnfStyle w:val="000000100000" w:firstRow="0" w:lastRow="0" w:firstColumn="0" w:lastColumn="0" w:oddVBand="0" w:evenVBand="0" w:oddHBand="1" w:evenHBand="0" w:firstRowFirstColumn="0" w:firstRowLastColumn="0" w:lastRowFirstColumn="0" w:lastRowLastColumn="0"/>
          <w:trHeight w:val="5054"/>
        </w:trPr>
        <w:tc>
          <w:tcPr>
            <w:cnfStyle w:val="001000000000" w:firstRow="0" w:lastRow="0" w:firstColumn="1" w:lastColumn="0" w:oddVBand="0" w:evenVBand="0" w:oddHBand="0" w:evenHBand="0" w:firstRowFirstColumn="0" w:firstRowLastColumn="0" w:lastRowFirstColumn="0" w:lastRowLastColumn="0"/>
            <w:tcW w:w="2570" w:type="dxa"/>
          </w:tcPr>
          <w:p w14:paraId="6B9A9EAD"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 xml:space="preserve">Hlorovani parafini kratkog lanca (Alkani, C10-13, </w:t>
            </w:r>
          </w:p>
          <w:p w14:paraId="25C640FF"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hloro)+: hloriovani ugljovodonici ravnog lanca</w:t>
            </w:r>
          </w:p>
          <w:p w14:paraId="41B82AB6"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sa dužinama lanca u rasponu od C10 do C13 i sadržajem hlora većim od 48 procenata po masi. Na primjer, supstance sa sledećim CAS brojevima mogu da sadrže kratkolančane hlorovane parafine.</w:t>
            </w:r>
          </w:p>
          <w:p w14:paraId="514B6B2C"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 xml:space="preserve">CAS No. 85535-84-8;  </w:t>
            </w:r>
          </w:p>
          <w:p w14:paraId="555B55C5"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 xml:space="preserve">CAS No. 68920-70-7; </w:t>
            </w:r>
          </w:p>
          <w:p w14:paraId="2BF637CA"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 xml:space="preserve">CAS No. 71011-12-6;   </w:t>
            </w:r>
          </w:p>
          <w:p w14:paraId="1FC71654"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 xml:space="preserve">CAS No. 85536-22-7;  </w:t>
            </w:r>
          </w:p>
          <w:p w14:paraId="33B0551B" w14:textId="77777777" w:rsidR="00C262FD" w:rsidRPr="00C86111" w:rsidRDefault="00C262FD" w:rsidP="00BC765B">
            <w:pPr>
              <w:pStyle w:val="Normal-pool-Table"/>
              <w:spacing w:before="0" w:after="0" w:line="276" w:lineRule="auto"/>
              <w:rPr>
                <w:rFonts w:asciiTheme="minorHAnsi" w:hAnsiTheme="minorHAnsi" w:cstheme="minorHAnsi"/>
                <w:sz w:val="20"/>
                <w:lang w:val="sr-Latn-ME"/>
              </w:rPr>
            </w:pPr>
            <w:r w:rsidRPr="00C86111">
              <w:rPr>
                <w:rFonts w:asciiTheme="minorHAnsi" w:hAnsiTheme="minorHAnsi" w:cstheme="minorHAnsi"/>
                <w:sz w:val="20"/>
                <w:lang w:val="sr-Latn-ME"/>
              </w:rPr>
              <w:t xml:space="preserve">CAS No. 85681-73-8;  </w:t>
            </w:r>
          </w:p>
        </w:tc>
        <w:tc>
          <w:tcPr>
            <w:tcW w:w="1385" w:type="dxa"/>
          </w:tcPr>
          <w:p w14:paraId="0EBDB651"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Proizvodnja</w:t>
            </w:r>
          </w:p>
          <w:p w14:paraId="1F07FC2C"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Upotreba</w:t>
            </w:r>
          </w:p>
        </w:tc>
        <w:tc>
          <w:tcPr>
            <w:tcW w:w="5040" w:type="dxa"/>
          </w:tcPr>
          <w:p w14:paraId="1061E70C"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Dozvoljeno za učesnike navedene u Registru</w:t>
            </w:r>
          </w:p>
          <w:p w14:paraId="16E980A4"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Aditivi u proizvodnji transmisionih kaiševa u industriji prirodnog i sintetičkog kaučuka</w:t>
            </w:r>
          </w:p>
          <w:p w14:paraId="16F8DFC8"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Rezervni djelovi gumenih transportnih traka u rudarskoj i šumarskoj industriji</w:t>
            </w:r>
          </w:p>
          <w:p w14:paraId="64ADCB14"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Industrija kože, posebno impregnacija kože</w:t>
            </w:r>
          </w:p>
          <w:p w14:paraId="7A54ACC8"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Aditivi za maziva, posebno za motore automobila, električne generatore i vjetroelektrane, kao i za bušenje u istraživanju nafte i gasa i rafinisanje nafte za proizvodnju dizel goriva</w:t>
            </w:r>
          </w:p>
          <w:p w14:paraId="1D7571CA"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Cijevi za sijalice za spoljašnju dekoraciju</w:t>
            </w:r>
          </w:p>
          <w:p w14:paraId="3D9B130C"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Boje za hidroizolaciju i otpornost na plamen</w:t>
            </w:r>
          </w:p>
          <w:p w14:paraId="013683D6"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Ljepkovi</w:t>
            </w:r>
          </w:p>
          <w:p w14:paraId="236C5F5E"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Obrada metala</w:t>
            </w:r>
          </w:p>
          <w:p w14:paraId="0F935C97" w14:textId="77777777" w:rsidR="00C262FD" w:rsidRPr="00C86111" w:rsidRDefault="00C262FD"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 Sekundarni plastifikatori u fleksibilnom polivinilhloridu, osim u igračkama i proizvodima za djecu</w:t>
            </w:r>
          </w:p>
        </w:tc>
      </w:tr>
    </w:tbl>
    <w:p w14:paraId="374FB7DB" w14:textId="77777777" w:rsidR="00201FE9" w:rsidRPr="00C86111" w:rsidRDefault="00201FE9" w:rsidP="00201FE9">
      <w:pPr>
        <w:spacing w:line="276" w:lineRule="auto"/>
        <w:rPr>
          <w:rFonts w:asciiTheme="minorHAnsi" w:hAnsiTheme="minorHAnsi" w:cstheme="minorHAnsi"/>
          <w:color w:val="auto"/>
          <w:szCs w:val="24"/>
          <w:lang w:val="sr-Latn-ME"/>
        </w:rPr>
      </w:pPr>
    </w:p>
    <w:p w14:paraId="084D16F7" w14:textId="77777777" w:rsidR="00201FE9" w:rsidRPr="00C86111" w:rsidRDefault="00201FE9" w:rsidP="00201FE9">
      <w:pPr>
        <w:spacing w:line="276" w:lineRule="auto"/>
        <w:jc w:val="both"/>
        <w:rPr>
          <w:rFonts w:asciiTheme="minorHAnsi" w:eastAsia="SimSun" w:hAnsiTheme="minorHAnsi" w:cstheme="minorHAnsi"/>
          <w:color w:val="auto"/>
          <w:szCs w:val="24"/>
          <w:lang w:val="sr-Latn-ME"/>
        </w:rPr>
      </w:pPr>
      <w:r w:rsidRPr="00C86111">
        <w:rPr>
          <w:rFonts w:asciiTheme="minorHAnsi" w:eastAsia="SimSun" w:hAnsiTheme="minorHAnsi" w:cstheme="minorHAnsi"/>
          <w:color w:val="auto"/>
          <w:szCs w:val="24"/>
          <w:lang w:val="sr-Latn-ME"/>
        </w:rPr>
        <w:t>Da bi se sprovele obaveze prema Stokholmskoj konvenciji, svaka strana mora da identifikuje i kvantifikuje izvore, zalihe i ispuštanja SCCP na svojoj teritoriji. Radi podrške ovome, Sekretarijat Bazelske, Roterdamske i Stokholmske konvencije razvio je „Smjernice za pripremu inventara kratkolančanih hlorisanih parafina (SCCP)“ iz 2021. godine. Ovaj dokument pruža metodologiju korak-po-korak za zemlje za razvoj nacionalnih inventara SCCP, uključujući identifikaciju ključnih sektora, potencijalnih upotreba, puteva ispuštanja i postojećih izvora podataka. Smjernice takođe opisuju strategije za prikupljanje novih podataka, procjenu emisija i procjenu zaliha u industrijskom i sektoru proizvoda široke potrošnje.</w:t>
      </w:r>
    </w:p>
    <w:p w14:paraId="1076C35F" w14:textId="77777777" w:rsidR="00201FE9" w:rsidRPr="00C86111" w:rsidRDefault="00201FE9" w:rsidP="00201FE9">
      <w:pPr>
        <w:spacing w:line="276" w:lineRule="auto"/>
        <w:jc w:val="both"/>
        <w:rPr>
          <w:rFonts w:asciiTheme="minorHAnsi" w:eastAsia="SimSun" w:hAnsiTheme="minorHAnsi" w:cstheme="minorHAnsi"/>
          <w:color w:val="auto"/>
          <w:szCs w:val="24"/>
          <w:lang w:val="sr-Latn-ME"/>
        </w:rPr>
      </w:pPr>
      <w:r w:rsidRPr="00C86111">
        <w:rPr>
          <w:rFonts w:asciiTheme="minorHAnsi" w:eastAsia="SimSun" w:hAnsiTheme="minorHAnsi" w:cstheme="minorHAnsi"/>
          <w:color w:val="auto"/>
          <w:szCs w:val="24"/>
          <w:lang w:val="sr-Latn-ME"/>
        </w:rPr>
        <w:t xml:space="preserve">Za uspostavljanje osnovnih vrijednosti, postavljanje prioriteta, dizajniranje strategija postepenog ukidanja i obezbjeđivanje usklađenosti sa Konvencijom neophodni su precizni inventari. Oni takođe pomažu u identifikaciji ranjivih populacija i ekosistema koji mogu biti izloženi većem riziku od izloženosti. Štaviše, inventari podržavaju razvoj nacionalnih planova implementacije (NIP), koji </w:t>
      </w:r>
      <w:r w:rsidRPr="00C86111">
        <w:rPr>
          <w:rFonts w:asciiTheme="minorHAnsi" w:eastAsia="SimSun" w:hAnsiTheme="minorHAnsi" w:cstheme="minorHAnsi"/>
          <w:color w:val="auto"/>
          <w:szCs w:val="24"/>
          <w:lang w:val="sr-Latn-ME"/>
        </w:rPr>
        <w:lastRenderedPageBreak/>
        <w:t>su potrebni prema članu 7 Stokholmske konvencije. Ovi planovi opisuju kako svaka strana namjerava da ispuni svoje obaveze, uključujući vremenske rokove za eliminisanje upotrebe SCCP, promociju upotrebe bezbjednijih alternativa i podizanje svijesti među zainteresovanim stranama.</w:t>
      </w:r>
    </w:p>
    <w:p w14:paraId="3731CB7C" w14:textId="77777777" w:rsidR="00201FE9" w:rsidRPr="00C86111" w:rsidRDefault="00201FE9" w:rsidP="00201FE9">
      <w:pPr>
        <w:spacing w:line="276" w:lineRule="auto"/>
        <w:jc w:val="both"/>
        <w:rPr>
          <w:rFonts w:asciiTheme="minorHAnsi" w:eastAsia="SimSun" w:hAnsiTheme="minorHAnsi" w:cstheme="minorHAnsi"/>
          <w:color w:val="auto"/>
          <w:szCs w:val="24"/>
          <w:lang w:val="sr-Latn-ME"/>
        </w:rPr>
      </w:pPr>
      <w:r w:rsidRPr="00C86111">
        <w:rPr>
          <w:rFonts w:asciiTheme="minorHAnsi" w:eastAsia="SimSun" w:hAnsiTheme="minorHAnsi" w:cstheme="minorHAnsi"/>
          <w:color w:val="auto"/>
          <w:szCs w:val="24"/>
          <w:lang w:val="sr-Latn-ME"/>
        </w:rPr>
        <w:t>Zaključuje se da su SCCP grupa široko upotrebljavanih industrijskih hemikalija sa značajnim uticajem na životnu sredinu i zdravlje. Njihovo uvrštavanje u Stokholmsku konvenciju predstavlja važan korak ka globalnoj akciji za eliminaciju štetnih postojanih zagađivača. Međutim, složena priroda SCCP, njihova široka istorijska upotreba i izazovi povezani sa njihovim praćenjem i zamjenom zahtijevaju koordinisane napore na nacionalnom i međunarodnom nivou.</w:t>
      </w:r>
    </w:p>
    <w:p w14:paraId="2C1663F6" w14:textId="77777777" w:rsidR="00201FE9" w:rsidRPr="00C86111" w:rsidRDefault="00201FE9" w:rsidP="00004F34">
      <w:pPr>
        <w:pStyle w:val="Heading1"/>
        <w:numPr>
          <w:ilvl w:val="1"/>
          <w:numId w:val="238"/>
        </w:numPr>
      </w:pPr>
      <w:bookmarkStart w:id="380" w:name="_Toc210744967"/>
      <w:bookmarkStart w:id="381" w:name="_Toc220541964"/>
      <w:bookmarkEnd w:id="371"/>
      <w:r w:rsidRPr="00C86111">
        <w:t>Proces inventarizacije</w:t>
      </w:r>
      <w:bookmarkEnd w:id="380"/>
      <w:bookmarkEnd w:id="381"/>
    </w:p>
    <w:p w14:paraId="720592B4" w14:textId="77777777" w:rsidR="00201FE9" w:rsidRPr="00C86111" w:rsidRDefault="00201FE9" w:rsidP="00201FE9">
      <w:pPr>
        <w:rPr>
          <w:rFonts w:asciiTheme="minorHAnsi" w:hAnsiTheme="minorHAnsi" w:cstheme="minorHAnsi"/>
          <w:color w:val="auto"/>
          <w:szCs w:val="24"/>
          <w:lang w:val="sr-Latn-ME"/>
        </w:rPr>
      </w:pPr>
    </w:p>
    <w:p w14:paraId="5ADA0863" w14:textId="77777777" w:rsidR="00201FE9" w:rsidRPr="00C86111" w:rsidRDefault="00201FE9" w:rsidP="00201FE9">
      <w:pPr>
        <w:spacing w:line="276" w:lineRule="auto"/>
        <w:jc w:val="both"/>
        <w:rPr>
          <w:rFonts w:asciiTheme="minorHAnsi" w:hAnsiTheme="minorHAnsi" w:cstheme="minorHAnsi"/>
          <w:color w:val="auto"/>
          <w:szCs w:val="24"/>
          <w:lang w:val="sr-Latn-ME"/>
        </w:rPr>
      </w:pPr>
      <w:bookmarkStart w:id="382" w:name="_Toc185402996"/>
      <w:r w:rsidRPr="00C86111">
        <w:rPr>
          <w:rFonts w:asciiTheme="minorHAnsi" w:hAnsiTheme="minorHAnsi" w:cstheme="minorHAnsi"/>
          <w:color w:val="auto"/>
          <w:szCs w:val="24"/>
          <w:lang w:val="sr-Latn-ME"/>
        </w:rPr>
        <w:t>Ključni cilj izrade inventara je prikupljanje neophodnih podataka koji će podržati donošenje osnovanih odluka u vezi sa upravljanjem SCCP/MCCP, kao i osiguranje poštovanja obaveza propisanih Stokholmskom konvencijom. Konkretnije, ciljevi inventara su sljedeći:</w:t>
      </w:r>
    </w:p>
    <w:p w14:paraId="7980A7AF"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(a) Uspostavljanje osnove za definisanje nacionalnih prioriteta u okviru Nacionalnog plana implementacije (NIP). To uključuje identifikovanje sektora kojima treba posvetiti prioritetnu pažnju u vezi sa inventarom SCCP/MCCP, određivanje vrsta aktivnosti potrebnih u ovim sektorima, procjenu potrebnih kapaciteta za implementaciju i određivanje prioritetnih izvora;</w:t>
      </w:r>
    </w:p>
    <w:p w14:paraId="57ADF017"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(b) Obezbjeđivanje osnove za procjenu da li su trenutne nacionalne prakse u proizvodnji, upotrebi, upravljanju hemikalijama i rukovanju otpadom u skladu sa Konvencijom i isticanje oblasti u kojima postoje praznine;</w:t>
      </w:r>
    </w:p>
    <w:p w14:paraId="46E08496"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(c) Utvrđivanje moguće potrebe za specifičnim izuzećima ili prihvatljivim svrhama u skladu sa odredbama Konvencije;</w:t>
      </w:r>
    </w:p>
    <w:p w14:paraId="2E4B4D5A"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(d) Identifikovanje glavnih zainteresovanih strana, kao što su predstavnici vladinih tijela, industrije, trgovine, upravljanja otpadom i nevladinih organizacija (NVO);</w:t>
      </w:r>
    </w:p>
    <w:p w14:paraId="19E34DE3"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(e) Identifikovanje oblasti u kojima je potrebna finansijska ili tehnička podrška kako bi se popunile praznine u informacijama u inventaru/ispunile obaveze po Konvenciji.</w:t>
      </w:r>
    </w:p>
    <w:p w14:paraId="402FCF49"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Obim informacija potrebnih za inventar obuhvata sljedeće:</w:t>
      </w:r>
    </w:p>
    <w:p w14:paraId="05300AD9"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(a) Proizvedene, uvezene i izvezene količine SCCP na nacionalnom nivou;</w:t>
      </w:r>
    </w:p>
    <w:p w14:paraId="1F1CECD1"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(b) Upotreba SCCP u zemlji;</w:t>
      </w:r>
    </w:p>
    <w:p w14:paraId="33B5DA6E"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(c) Prisustvo proizvoda/predmeta koji se sastoje od, sadrže ili su kontaminirani sa SCCP na tržištu i u upotrebi;</w:t>
      </w:r>
    </w:p>
    <w:p w14:paraId="628972E5"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(d) Uvoz proizvoda/predmeta koji se sastoje od, sadrže ili su kontaminirani sa SCCP u zemlju;</w:t>
      </w:r>
    </w:p>
    <w:p w14:paraId="4E09993A"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(e) Tokovi otpada od značaja koji se sastoji od, sadrže ili su kontaminirani SCCP-ima;</w:t>
      </w:r>
    </w:p>
    <w:p w14:paraId="61481E56"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(f) Prakse odlaganja POPs hemikalija, proizvoda/predmeta koji se sastoje od, sadrže ili su kontaminirani sa SCCP i srodnih supstanci kada postanu otpad;</w:t>
      </w:r>
    </w:p>
    <w:p w14:paraId="26C0A209"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(g) Zalihe SCCP;</w:t>
      </w:r>
    </w:p>
    <w:p w14:paraId="4714F01C"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(h) Ispuštanje SCCP u životnu sredinu iz tačkastih izvora;</w:t>
      </w:r>
    </w:p>
    <w:p w14:paraId="094C4EE6"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lastRenderedPageBreak/>
        <w:t>(i) Lokacije potencijalno kontaminirane sa SCCP;</w:t>
      </w:r>
    </w:p>
    <w:p w14:paraId="4F7B702C"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Inventar SCCP/MCCP je razvijen u skladu sa preporukama i metodologijom navedenim u „Guidance on preparing inventories of short-chain chlorinated paraffins (SCCPs“.</w:t>
      </w:r>
    </w:p>
    <w:p w14:paraId="6D24B2C1" w14:textId="77777777" w:rsidR="00201FE9" w:rsidRPr="00C86111" w:rsidRDefault="00201FE9" w:rsidP="00EA6904">
      <w:pPr>
        <w:pStyle w:val="Heading4"/>
      </w:pPr>
      <w:bookmarkStart w:id="383" w:name="_Toc210744968"/>
      <w:bookmarkEnd w:id="382"/>
      <w:r w:rsidRPr="00C86111">
        <w:t>Proces izrade inventara</w:t>
      </w:r>
      <w:bookmarkEnd w:id="383"/>
    </w:p>
    <w:p w14:paraId="46B59448" w14:textId="77777777" w:rsidR="00201FE9" w:rsidRPr="00C86111" w:rsidRDefault="00201FE9" w:rsidP="00201FE9">
      <w:pPr>
        <w:spacing w:line="276" w:lineRule="auto"/>
        <w:rPr>
          <w:rFonts w:asciiTheme="minorHAnsi" w:eastAsia="SimSun" w:hAnsiTheme="minorHAnsi" w:cstheme="minorHAnsi"/>
          <w:color w:val="auto"/>
          <w:szCs w:val="24"/>
          <w:lang w:val="sr-Latn-ME" w:eastAsia="nb-NO"/>
        </w:rPr>
      </w:pPr>
      <w:r w:rsidRPr="00C86111">
        <w:rPr>
          <w:rFonts w:asciiTheme="minorHAnsi" w:eastAsia="SimSun" w:hAnsiTheme="minorHAnsi" w:cstheme="minorHAnsi"/>
          <w:color w:val="auto"/>
          <w:szCs w:val="24"/>
          <w:lang w:val="sr-Latn-ME" w:eastAsia="nb-NO"/>
        </w:rPr>
        <w:t>Proces izrade inventara ukjljučivao je sljedeće korake:</w:t>
      </w:r>
    </w:p>
    <w:p w14:paraId="3F065B55" w14:textId="77777777" w:rsidR="00201FE9" w:rsidRPr="00C86111" w:rsidRDefault="00201FE9" w:rsidP="00201FE9">
      <w:pPr>
        <w:spacing w:line="276" w:lineRule="auto"/>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002060"/>
          <w:szCs w:val="24"/>
          <w:lang w:val="sr-Latn-ME" w:eastAsia="en-GB"/>
        </w:rPr>
        <w:t>Korak 1:</w:t>
      </w:r>
      <w:r w:rsidRPr="00C86111">
        <w:rPr>
          <w:rFonts w:asciiTheme="minorHAnsi" w:eastAsia="Times New Roman" w:hAnsiTheme="minorHAnsi" w:cstheme="minorHAnsi"/>
          <w:b/>
          <w:bCs/>
          <w:color w:val="002060"/>
          <w:szCs w:val="24"/>
          <w:lang w:val="sr-Latn-ME" w:eastAsia="en-GB"/>
        </w:rPr>
        <w:t xml:space="preserve"> </w:t>
      </w:r>
      <w:r w:rsidRPr="00C86111">
        <w:rPr>
          <w:rFonts w:asciiTheme="minorHAnsi" w:eastAsia="Times New Roman" w:hAnsiTheme="minorHAnsi" w:cstheme="minorHAnsi"/>
          <w:b/>
          <w:bCs/>
          <w:color w:val="auto"/>
          <w:szCs w:val="24"/>
          <w:lang w:val="sr-Latn-ME" w:eastAsia="en-GB"/>
        </w:rPr>
        <w:t>Pokretanje procesa razvoja inventara</w:t>
      </w:r>
    </w:p>
    <w:p w14:paraId="71EAA929" w14:textId="77777777" w:rsidR="00201FE9" w:rsidRPr="00C86111" w:rsidRDefault="00201FE9" w:rsidP="007E2AA5">
      <w:pPr>
        <w:pStyle w:val="ListParagraph"/>
        <w:numPr>
          <w:ilvl w:val="0"/>
          <w:numId w:val="23"/>
        </w:numPr>
        <w:snapToGrid w:val="0"/>
        <w:spacing w:line="276" w:lineRule="auto"/>
        <w:contextualSpacing w:val="0"/>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Osnivanje nacionalnog tima za inventar</w:t>
      </w:r>
    </w:p>
    <w:p w14:paraId="52688F91" w14:textId="77777777" w:rsidR="00201FE9" w:rsidRPr="00C86111" w:rsidRDefault="00201FE9" w:rsidP="007E2AA5">
      <w:pPr>
        <w:pStyle w:val="ListParagraph"/>
        <w:numPr>
          <w:ilvl w:val="0"/>
          <w:numId w:val="23"/>
        </w:numPr>
        <w:snapToGrid w:val="0"/>
        <w:spacing w:line="276" w:lineRule="auto"/>
        <w:contextualSpacing w:val="0"/>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Identifikacija relevantnih zainteresovanih strana</w:t>
      </w:r>
    </w:p>
    <w:p w14:paraId="10588951" w14:textId="77777777" w:rsidR="00201FE9" w:rsidRPr="00C86111" w:rsidRDefault="00201FE9" w:rsidP="007E2AA5">
      <w:pPr>
        <w:pStyle w:val="ListParagraph"/>
        <w:numPr>
          <w:ilvl w:val="0"/>
          <w:numId w:val="23"/>
        </w:numPr>
        <w:snapToGrid w:val="0"/>
        <w:spacing w:line="276" w:lineRule="auto"/>
        <w:contextualSpacing w:val="0"/>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Definisanje obima inventara</w:t>
      </w:r>
    </w:p>
    <w:p w14:paraId="2F98A186" w14:textId="77777777" w:rsidR="00201FE9" w:rsidRPr="00C86111" w:rsidRDefault="00201FE9" w:rsidP="007E2AA5">
      <w:pPr>
        <w:pStyle w:val="ListParagraph"/>
        <w:numPr>
          <w:ilvl w:val="0"/>
          <w:numId w:val="23"/>
        </w:numPr>
        <w:snapToGrid w:val="0"/>
        <w:spacing w:line="276" w:lineRule="auto"/>
        <w:contextualSpacing w:val="0"/>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Priprema plana rada</w:t>
      </w:r>
    </w:p>
    <w:p w14:paraId="0D7954E5" w14:textId="77777777" w:rsidR="00201FE9" w:rsidRPr="00C86111" w:rsidRDefault="00201FE9" w:rsidP="007E2AA5">
      <w:pPr>
        <w:pStyle w:val="ListParagraph"/>
        <w:numPr>
          <w:ilvl w:val="0"/>
          <w:numId w:val="23"/>
        </w:numPr>
        <w:snapToGrid w:val="0"/>
        <w:spacing w:line="276" w:lineRule="auto"/>
        <w:contextualSpacing w:val="0"/>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Komunikacija sa zainteresovanim stranama</w:t>
      </w:r>
    </w:p>
    <w:p w14:paraId="02BA860C" w14:textId="77777777" w:rsidR="00201FE9" w:rsidRPr="00C86111" w:rsidRDefault="00201FE9" w:rsidP="00201FE9">
      <w:pPr>
        <w:spacing w:line="276" w:lineRule="auto"/>
        <w:rPr>
          <w:rFonts w:asciiTheme="minorHAnsi" w:eastAsia="Times New Roman" w:hAnsiTheme="minorHAnsi" w:cstheme="minorHAnsi"/>
          <w:b/>
          <w:bCs/>
          <w:color w:val="auto"/>
          <w:szCs w:val="24"/>
          <w:lang w:val="sr-Latn-ME"/>
        </w:rPr>
      </w:pPr>
      <w:r w:rsidRPr="00C86111">
        <w:rPr>
          <w:rFonts w:asciiTheme="minorHAnsi" w:eastAsia="Times New Roman" w:hAnsiTheme="minorHAnsi" w:cstheme="minorHAnsi"/>
          <w:color w:val="002060"/>
          <w:szCs w:val="24"/>
          <w:lang w:val="sr-Latn-ME"/>
        </w:rPr>
        <w:t>Korak 2:</w:t>
      </w:r>
      <w:r w:rsidRPr="00C86111">
        <w:rPr>
          <w:rFonts w:asciiTheme="minorHAnsi" w:eastAsia="Times New Roman" w:hAnsiTheme="minorHAnsi" w:cstheme="minorHAnsi"/>
          <w:b/>
          <w:bCs/>
          <w:color w:val="002060"/>
          <w:szCs w:val="24"/>
          <w:lang w:val="sr-Latn-ME"/>
        </w:rPr>
        <w:t xml:space="preserve"> </w:t>
      </w:r>
      <w:r w:rsidRPr="00C86111">
        <w:rPr>
          <w:rFonts w:asciiTheme="minorHAnsi" w:eastAsia="Times New Roman" w:hAnsiTheme="minorHAnsi" w:cstheme="minorHAnsi"/>
          <w:b/>
          <w:bCs/>
          <w:color w:val="auto"/>
          <w:szCs w:val="24"/>
          <w:lang w:val="sr-Latn-ME"/>
        </w:rPr>
        <w:t>Odabir metodologije prikupljanja podataka</w:t>
      </w:r>
    </w:p>
    <w:p w14:paraId="48B53E52" w14:textId="77777777"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002060"/>
          <w:szCs w:val="24"/>
          <w:lang w:val="sr-Latn-ME"/>
        </w:rPr>
        <w:t>Korak 3:</w:t>
      </w:r>
      <w:r w:rsidRPr="00C86111">
        <w:rPr>
          <w:rFonts w:asciiTheme="minorHAnsi" w:eastAsia="Times New Roman" w:hAnsiTheme="minorHAnsi" w:cstheme="minorHAnsi"/>
          <w:b/>
          <w:bCs/>
          <w:color w:val="002060"/>
          <w:szCs w:val="24"/>
          <w:lang w:val="sr-Latn-ME"/>
        </w:rPr>
        <w:t xml:space="preserve"> </w:t>
      </w:r>
      <w:r w:rsidRPr="00C86111">
        <w:rPr>
          <w:rFonts w:asciiTheme="minorHAnsi" w:eastAsia="Times New Roman" w:hAnsiTheme="minorHAnsi" w:cstheme="minorHAnsi"/>
          <w:b/>
          <w:bCs/>
          <w:color w:val="auto"/>
          <w:szCs w:val="24"/>
          <w:lang w:val="sr-Latn-ME"/>
        </w:rPr>
        <w:t>Prikupljanje podataka</w:t>
      </w:r>
    </w:p>
    <w:p w14:paraId="6C249FF6" w14:textId="77777777" w:rsidR="00201FE9" w:rsidRPr="00C86111" w:rsidRDefault="00201FE9" w:rsidP="007E2AA5">
      <w:pPr>
        <w:pStyle w:val="ListParagraph"/>
        <w:numPr>
          <w:ilvl w:val="0"/>
          <w:numId w:val="21"/>
        </w:numPr>
        <w:snapToGrid w:val="0"/>
        <w:spacing w:line="276" w:lineRule="auto"/>
        <w:ind w:left="426"/>
        <w:contextualSpacing w:val="0"/>
        <w:rPr>
          <w:rFonts w:asciiTheme="minorHAnsi" w:eastAsia="SimSun" w:hAnsiTheme="minorHAnsi" w:cstheme="minorHAnsi"/>
          <w:color w:val="auto"/>
          <w:szCs w:val="24"/>
          <w:lang w:val="sr-Latn-ME" w:eastAsia="nb-NO"/>
        </w:rPr>
      </w:pPr>
      <w:r w:rsidRPr="00C86111">
        <w:rPr>
          <w:rFonts w:asciiTheme="minorHAnsi" w:eastAsia="SimSun" w:hAnsiTheme="minorHAnsi" w:cstheme="minorHAnsi"/>
          <w:color w:val="auto"/>
          <w:szCs w:val="24"/>
          <w:lang w:val="sr-Latn-ME" w:eastAsia="nb-NO"/>
        </w:rPr>
        <w:t>Tier 1: Inicijalna procjena</w:t>
      </w:r>
    </w:p>
    <w:p w14:paraId="54199ED8" w14:textId="77777777" w:rsidR="00201FE9" w:rsidRPr="00C86111" w:rsidRDefault="00201FE9" w:rsidP="007E2AA5">
      <w:pPr>
        <w:pStyle w:val="ListParagraph"/>
        <w:numPr>
          <w:ilvl w:val="0"/>
          <w:numId w:val="21"/>
        </w:numPr>
        <w:snapToGrid w:val="0"/>
        <w:spacing w:line="276" w:lineRule="auto"/>
        <w:ind w:left="426"/>
        <w:contextualSpacing w:val="0"/>
        <w:rPr>
          <w:rFonts w:asciiTheme="minorHAnsi" w:eastAsia="SimSun" w:hAnsiTheme="minorHAnsi" w:cstheme="minorHAnsi"/>
          <w:color w:val="auto"/>
          <w:szCs w:val="24"/>
          <w:lang w:val="sr-Latn-ME" w:eastAsia="nb-NO"/>
        </w:rPr>
      </w:pPr>
      <w:r w:rsidRPr="00C86111">
        <w:rPr>
          <w:rFonts w:asciiTheme="minorHAnsi" w:eastAsia="SimSun" w:hAnsiTheme="minorHAnsi" w:cstheme="minorHAnsi"/>
          <w:color w:val="auto"/>
          <w:szCs w:val="24"/>
          <w:lang w:val="sr-Latn-ME" w:eastAsia="nb-NO"/>
        </w:rPr>
        <w:t>Tier II: Gavni inventar</w:t>
      </w:r>
    </w:p>
    <w:p w14:paraId="75EFB5AF" w14:textId="77777777" w:rsidR="00201FE9" w:rsidRPr="00C86111" w:rsidRDefault="00201FE9" w:rsidP="007E2AA5">
      <w:pPr>
        <w:pStyle w:val="ListParagraph"/>
        <w:numPr>
          <w:ilvl w:val="0"/>
          <w:numId w:val="21"/>
        </w:numPr>
        <w:snapToGrid w:val="0"/>
        <w:spacing w:line="276" w:lineRule="auto"/>
        <w:ind w:left="426"/>
        <w:contextualSpacing w:val="0"/>
        <w:rPr>
          <w:rFonts w:asciiTheme="minorHAnsi" w:eastAsia="SimSun" w:hAnsiTheme="minorHAnsi" w:cstheme="minorHAnsi"/>
          <w:color w:val="auto"/>
          <w:szCs w:val="24"/>
          <w:lang w:val="sr-Latn-ME" w:eastAsia="nb-NO"/>
        </w:rPr>
      </w:pPr>
      <w:r w:rsidRPr="00C86111">
        <w:rPr>
          <w:rFonts w:asciiTheme="minorHAnsi" w:eastAsia="SimSun" w:hAnsiTheme="minorHAnsi" w:cstheme="minorHAnsi"/>
          <w:color w:val="auto"/>
          <w:szCs w:val="24"/>
          <w:lang w:val="sr-Latn-ME" w:eastAsia="nb-NO"/>
        </w:rPr>
        <w:t>Tier III: Detaljan inventor</w:t>
      </w:r>
    </w:p>
    <w:p w14:paraId="0819E606" w14:textId="77777777"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002060"/>
          <w:szCs w:val="24"/>
          <w:lang w:val="sr-Latn-ME"/>
        </w:rPr>
        <w:t>Korak 4:</w:t>
      </w:r>
      <w:r w:rsidRPr="00C86111">
        <w:rPr>
          <w:rFonts w:asciiTheme="minorHAnsi" w:eastAsia="Times New Roman" w:hAnsiTheme="minorHAnsi" w:cstheme="minorHAnsi"/>
          <w:b/>
          <w:bCs/>
          <w:color w:val="002060"/>
          <w:szCs w:val="24"/>
          <w:lang w:val="sr-Latn-ME"/>
        </w:rPr>
        <w:t xml:space="preserve"> </w:t>
      </w:r>
      <w:r w:rsidRPr="00C86111">
        <w:rPr>
          <w:rFonts w:asciiTheme="minorHAnsi" w:eastAsia="Times New Roman" w:hAnsiTheme="minorHAnsi" w:cstheme="minorHAnsi"/>
          <w:b/>
          <w:bCs/>
          <w:color w:val="auto"/>
          <w:szCs w:val="24"/>
          <w:lang w:val="sr-Latn-ME"/>
        </w:rPr>
        <w:t>Upravljanje i evaluacija podataka</w:t>
      </w:r>
    </w:p>
    <w:p w14:paraId="649A39F0" w14:textId="77777777" w:rsidR="00201FE9" w:rsidRPr="00C86111" w:rsidRDefault="00201FE9" w:rsidP="00201FE9">
      <w:pPr>
        <w:spacing w:line="276" w:lineRule="auto"/>
        <w:rPr>
          <w:rFonts w:asciiTheme="minorHAnsi" w:eastAsia="Times New Roman" w:hAnsiTheme="minorHAnsi" w:cstheme="minorHAnsi"/>
          <w:b/>
          <w:bCs/>
          <w:color w:val="auto"/>
          <w:szCs w:val="24"/>
          <w:lang w:val="sr-Latn-ME"/>
        </w:rPr>
      </w:pPr>
      <w:r w:rsidRPr="00C86111">
        <w:rPr>
          <w:rFonts w:asciiTheme="minorHAnsi" w:eastAsia="Times New Roman" w:hAnsiTheme="minorHAnsi" w:cstheme="minorHAnsi"/>
          <w:color w:val="002060"/>
          <w:szCs w:val="24"/>
          <w:lang w:val="sr-Latn-ME"/>
        </w:rPr>
        <w:t>Korak 5:</w:t>
      </w:r>
      <w:r w:rsidRPr="00C86111">
        <w:rPr>
          <w:rFonts w:asciiTheme="minorHAnsi" w:eastAsia="Times New Roman" w:hAnsiTheme="minorHAnsi" w:cstheme="minorHAnsi"/>
          <w:b/>
          <w:bCs/>
          <w:color w:val="002060"/>
          <w:szCs w:val="24"/>
          <w:lang w:val="sr-Latn-ME"/>
        </w:rPr>
        <w:t xml:space="preserve"> </w:t>
      </w:r>
      <w:r w:rsidRPr="00C86111">
        <w:rPr>
          <w:rFonts w:asciiTheme="minorHAnsi" w:eastAsia="Times New Roman" w:hAnsiTheme="minorHAnsi" w:cstheme="minorHAnsi"/>
          <w:b/>
          <w:bCs/>
          <w:color w:val="auto"/>
          <w:szCs w:val="24"/>
          <w:lang w:val="sr-Latn-ME"/>
        </w:rPr>
        <w:t>Priprema izvještaja</w:t>
      </w:r>
    </w:p>
    <w:p w14:paraId="705FB35B" w14:textId="36C7171C" w:rsidR="00201FE9" w:rsidRPr="00C86111" w:rsidRDefault="00201FE9" w:rsidP="00EA6904">
      <w:pPr>
        <w:pStyle w:val="Heading4"/>
        <w:rPr>
          <w:rStyle w:val="Strong"/>
          <w:b w:val="0"/>
          <w:bCs/>
        </w:rPr>
      </w:pPr>
      <w:bookmarkStart w:id="384" w:name="_Toc210744969"/>
      <w:r w:rsidRPr="00C86111">
        <w:rPr>
          <w:rStyle w:val="Strong"/>
          <w:b w:val="0"/>
        </w:rPr>
        <w:t>Planiranje inventara</w:t>
      </w:r>
      <w:bookmarkEnd w:id="384"/>
      <w:r w:rsidRPr="00C86111">
        <w:rPr>
          <w:rStyle w:val="Strong"/>
        </w:rPr>
        <w:t xml:space="preserve"> </w:t>
      </w:r>
    </w:p>
    <w:p w14:paraId="22708CE4" w14:textId="77777777" w:rsidR="00201FE9" w:rsidRPr="00C86111" w:rsidRDefault="00201FE9" w:rsidP="00201FE9">
      <w:pPr>
        <w:pStyle w:val="NormalWeb"/>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Nakon osnivanja tima za inventar SCCP/MCCP, pripremljen je sveobuhvatni plan za sprovođenje nacionalnog inventara, koji je jasno definisao njegov ukupni obim. U ovoj fazi, sazvani su sastanci sa relevantnim institucijama i organizacijama kako bi se definisale odgovarajuće uloge i odgovornosti članova tima i spoljnih zainteresovanih strana. Tokom ovih konsultacija, formalno su usvojene metodologija i radne procedure koje će se primenjivati tokom celog procesa inventara.</w:t>
      </w:r>
    </w:p>
    <w:p w14:paraId="092B6D37" w14:textId="77777777" w:rsidR="00201FE9" w:rsidRPr="00C86111" w:rsidRDefault="00201FE9" w:rsidP="00EA6904">
      <w:pPr>
        <w:pStyle w:val="Heading4"/>
      </w:pPr>
      <w:bookmarkStart w:id="385" w:name="_Toc210744970"/>
      <w:r w:rsidRPr="00C86111">
        <w:t>Izbor sektora</w:t>
      </w:r>
      <w:bookmarkEnd w:id="385"/>
      <w:r w:rsidRPr="00C86111">
        <w:t xml:space="preserve"> </w:t>
      </w:r>
    </w:p>
    <w:p w14:paraId="21B2CBF5" w14:textId="77777777" w:rsidR="00201FE9" w:rsidRPr="00C86111" w:rsidRDefault="00201FE9" w:rsidP="00201FE9">
      <w:pPr>
        <w:spacing w:line="276" w:lineRule="auto"/>
        <w:jc w:val="both"/>
        <w:rPr>
          <w:rFonts w:asciiTheme="minorHAnsi" w:eastAsia="Calibri" w:hAnsiTheme="minorHAnsi" w:cstheme="minorHAnsi"/>
          <w:color w:val="auto"/>
          <w:szCs w:val="24"/>
          <w:u w:color="000000"/>
          <w:bdr w:val="nil"/>
          <w:lang w:val="sr-Latn-ME"/>
        </w:rPr>
      </w:pPr>
      <w:r w:rsidRPr="00C86111">
        <w:rPr>
          <w:rFonts w:asciiTheme="minorHAnsi" w:eastAsia="Calibri" w:hAnsiTheme="minorHAnsi" w:cstheme="minorHAnsi"/>
          <w:color w:val="auto"/>
          <w:szCs w:val="24"/>
          <w:u w:color="000000"/>
          <w:bdr w:val="nil"/>
          <w:lang w:val="sr-Latn-ME"/>
        </w:rPr>
        <w:t>Tim za inventar je sproveo analizu sektora i procesa u kojima se prisustvo SCCP/MCCP smatralo najverovatnijim. Na osnovu rezultata ove procjene, identifikovani su prioritetni sektori za uključivanje u okvir inventara. Izbor sektora je vođen činjenicom da Crna Gora nema značajnu industrijsku bazu koja koristi SCCP/MCCP u proizvodnim procesima kao što su PVC, guma, koža, boje, ljepkovi, maziva ili tekstil. Stoga su tržište proizvoda široke potrošnje i sektor upravljanja otpadom identifikovani kao prioritetna područja za inventar.</w:t>
      </w:r>
    </w:p>
    <w:p w14:paraId="594CC833" w14:textId="77777777" w:rsidR="00201FE9" w:rsidRPr="00C86111" w:rsidRDefault="00201FE9" w:rsidP="00EA6904">
      <w:pPr>
        <w:pStyle w:val="Heading4"/>
      </w:pPr>
      <w:bookmarkStart w:id="386" w:name="_Toc210744971"/>
      <w:r w:rsidRPr="00C86111">
        <w:lastRenderedPageBreak/>
        <w:t>Prikupljanje i izvori podataka</w:t>
      </w:r>
      <w:bookmarkEnd w:id="386"/>
    </w:p>
    <w:p w14:paraId="02260AD5" w14:textId="77777777" w:rsidR="00201FE9" w:rsidRPr="00C86111" w:rsidRDefault="00201FE9" w:rsidP="00201FE9">
      <w:pPr>
        <w:pStyle w:val="Text"/>
        <w:spacing w:after="0" w:line="276" w:lineRule="auto"/>
        <w:jc w:val="both"/>
        <w:rPr>
          <w:rFonts w:asciiTheme="minorHAnsi" w:hAnsiTheme="minorHAnsi" w:cstheme="minorHAnsi"/>
          <w:color w:val="auto"/>
          <w:kern w:val="0"/>
          <w:sz w:val="24"/>
          <w:szCs w:val="24"/>
          <w:lang w:val="sr-Latn-ME"/>
        </w:rPr>
      </w:pPr>
      <w:r w:rsidRPr="00C86111">
        <w:rPr>
          <w:rFonts w:asciiTheme="minorHAnsi" w:hAnsiTheme="minorHAnsi" w:cstheme="minorHAnsi"/>
          <w:color w:val="auto"/>
          <w:kern w:val="0"/>
          <w:sz w:val="24"/>
          <w:szCs w:val="24"/>
          <w:lang w:val="sr-Latn-ME"/>
        </w:rPr>
        <w:t>Prikupljanje podataka oslanjalo se na kombinaciju komplementarnih metoda, uključujući direktne intervjue sa relevantnim zainteresovanim stranama, telefonske konsultacije, razmjenu informacija putem e-pošte, distribuciju upitnika, korišćenje nacionalnih statističkih podataka, pregled informacija sa zvaničnih web stranica javnih institucija i posjete lokacijama sa intervjuima. Ključne institucije koje su pružale podatke bile su Ministarstvo ekologije, održivog razvoja i razvoja sjevera, Uprava carina Crne Gore i Zavod za statistiku Crne Gore (MONSTAT).</w:t>
      </w:r>
    </w:p>
    <w:p w14:paraId="5447EC8B" w14:textId="77777777" w:rsidR="00201FE9" w:rsidRPr="00C86111" w:rsidRDefault="00201FE9" w:rsidP="00EA6904">
      <w:pPr>
        <w:pStyle w:val="Heading4"/>
      </w:pPr>
      <w:bookmarkStart w:id="387" w:name="_Toc210744972"/>
      <w:r w:rsidRPr="00C86111">
        <w:t>Proračun količina SCCP/MCCP</w:t>
      </w:r>
      <w:bookmarkEnd w:id="387"/>
    </w:p>
    <w:p w14:paraId="51B82590" w14:textId="77777777" w:rsidR="00201FE9" w:rsidRPr="00C86111" w:rsidRDefault="00201FE9" w:rsidP="00201FE9">
      <w:pPr>
        <w:snapToGrid w:val="0"/>
        <w:spacing w:line="276" w:lineRule="auto"/>
        <w:jc w:val="both"/>
        <w:rPr>
          <w:rFonts w:asciiTheme="minorHAnsi" w:eastAsia="SimSun" w:hAnsiTheme="minorHAnsi" w:cstheme="minorHAnsi"/>
          <w:color w:val="auto"/>
          <w:szCs w:val="24"/>
          <w:lang w:val="sr-Latn-ME" w:eastAsia="nb-NO"/>
        </w:rPr>
      </w:pPr>
      <w:r w:rsidRPr="00C86111">
        <w:rPr>
          <w:rFonts w:asciiTheme="minorHAnsi" w:eastAsia="Times New Roman" w:hAnsiTheme="minorHAnsi" w:cstheme="minorHAnsi"/>
          <w:color w:val="auto"/>
          <w:szCs w:val="24"/>
          <w:lang w:val="sr-Latn-ME"/>
        </w:rPr>
        <w:t xml:space="preserve">Izračunavanje SCCP/MCCP u proizvodima široke potrošnje i otpadu sprovedeno je u skladu sa smernicama datim u </w:t>
      </w:r>
      <w:r w:rsidRPr="00C86111">
        <w:rPr>
          <w:rFonts w:asciiTheme="minorHAnsi" w:eastAsia="SimSun" w:hAnsiTheme="minorHAnsi" w:cstheme="minorHAnsi"/>
          <w:color w:val="auto"/>
          <w:szCs w:val="24"/>
          <w:lang w:val="sr-Latn-ME" w:eastAsia="nb-NO"/>
        </w:rPr>
        <w:t xml:space="preserve">“Guidance on preparing inventories of short-chain chlorinated paraffins (SCCPs) </w:t>
      </w:r>
      <w:r w:rsidRPr="00C86111">
        <w:rPr>
          <w:rFonts w:asciiTheme="minorHAnsi" w:eastAsia="SimSun" w:hAnsiTheme="minorHAnsi" w:cstheme="minorHAnsi"/>
          <w:color w:val="002060"/>
          <w:szCs w:val="24"/>
          <w:lang w:val="sr-Latn-ME" w:eastAsia="nb-NO"/>
        </w:rPr>
        <w:t>(1)</w:t>
      </w:r>
      <w:r w:rsidRPr="00C86111">
        <w:rPr>
          <w:rFonts w:asciiTheme="minorHAnsi" w:eastAsia="SimSun" w:hAnsiTheme="minorHAnsi" w:cstheme="minorHAnsi"/>
          <w:color w:val="auto"/>
          <w:szCs w:val="24"/>
          <w:lang w:val="sr-Latn-ME" w:eastAsia="nb-NO"/>
        </w:rPr>
        <w:t>”.</w:t>
      </w:r>
    </w:p>
    <w:p w14:paraId="2085E72C" w14:textId="77777777" w:rsidR="00201FE9" w:rsidRPr="00C86111" w:rsidRDefault="00201FE9" w:rsidP="00201FE9">
      <w:pPr>
        <w:spacing w:line="276" w:lineRule="auto"/>
        <w:rPr>
          <w:rFonts w:asciiTheme="minorHAnsi" w:eastAsia="Calibri" w:hAnsiTheme="minorHAnsi" w:cstheme="minorHAnsi"/>
          <w:color w:val="auto"/>
          <w:szCs w:val="24"/>
          <w:u w:color="000000"/>
          <w:bdr w:val="nil"/>
          <w:lang w:val="sr-Latn-ME"/>
        </w:rPr>
      </w:pPr>
      <w:r w:rsidRPr="00C86111">
        <w:rPr>
          <w:rFonts w:asciiTheme="minorHAnsi" w:eastAsia="Calibri" w:hAnsiTheme="minorHAnsi" w:cstheme="minorHAnsi"/>
          <w:color w:val="auto"/>
          <w:szCs w:val="24"/>
          <w:u w:color="000000"/>
          <w:bdr w:val="nil"/>
          <w:lang w:val="sr-Latn-ME"/>
        </w:rPr>
        <w:t>Ukupne količine SCCP i MCCP u proizvodima izvedene su množenjem količina proizvoda sa faktorima koncentracije.</w:t>
      </w:r>
    </w:p>
    <w:p w14:paraId="4C023F00" w14:textId="77777777" w:rsidR="00201FE9" w:rsidRPr="00C86111" w:rsidRDefault="00201FE9" w:rsidP="00201FE9">
      <w:pPr>
        <w:spacing w:line="276" w:lineRule="auto"/>
        <w:rPr>
          <w:rFonts w:asciiTheme="minorHAnsi" w:eastAsia="SimSun" w:hAnsiTheme="minorHAnsi" w:cstheme="minorHAnsi"/>
          <w:color w:val="auto"/>
          <w:szCs w:val="24"/>
          <w:lang w:val="sr-Latn-ME" w:eastAsia="nb-NO"/>
        </w:rPr>
      </w:pPr>
    </w:p>
    <w:p w14:paraId="0D37CFCD" w14:textId="77777777" w:rsidR="00201FE9" w:rsidRPr="00C86111" w:rsidRDefault="00201FE9" w:rsidP="00201FE9">
      <w:pPr>
        <w:pStyle w:val="Default"/>
        <w:spacing w:line="276" w:lineRule="auto"/>
        <w:rPr>
          <w:rFonts w:asciiTheme="minorHAnsi" w:hAnsiTheme="minorHAnsi" w:cstheme="minorHAnsi"/>
          <w:b/>
          <w:bCs/>
          <w:color w:val="auto"/>
          <w:lang w:val="sr-Latn-ME"/>
        </w:rPr>
      </w:pPr>
      <w:r w:rsidRPr="00C86111">
        <w:rPr>
          <w:rFonts w:asciiTheme="minorHAnsi" w:hAnsiTheme="minorHAnsi" w:cstheme="minorHAnsi"/>
          <w:b/>
          <w:bCs/>
          <w:color w:val="auto"/>
          <w:lang w:val="sr-Latn-ME"/>
        </w:rPr>
        <w:t>TQSCCPs/TQMCCPs = TQ proizvoda x CSCCPs/CMCCPs</w:t>
      </w:r>
    </w:p>
    <w:p w14:paraId="70023305" w14:textId="77777777" w:rsidR="00201FE9" w:rsidRPr="00C86111" w:rsidRDefault="00201FE9" w:rsidP="00201FE9">
      <w:pPr>
        <w:pStyle w:val="Default"/>
        <w:spacing w:line="276" w:lineRule="auto"/>
        <w:rPr>
          <w:rFonts w:asciiTheme="minorHAnsi" w:hAnsiTheme="minorHAnsi" w:cstheme="minorHAnsi"/>
          <w:color w:val="auto"/>
          <w:lang w:val="sr-Latn-ME"/>
        </w:rPr>
      </w:pPr>
      <w:r w:rsidRPr="00C86111">
        <w:rPr>
          <w:rFonts w:asciiTheme="minorHAnsi" w:hAnsiTheme="minorHAnsi" w:cstheme="minorHAnsi"/>
          <w:b/>
          <w:bCs/>
          <w:color w:val="auto"/>
          <w:lang w:val="sr-Latn-ME"/>
        </w:rPr>
        <w:t>TQSCCPs</w:t>
      </w:r>
      <w:r w:rsidRPr="00C86111">
        <w:rPr>
          <w:rFonts w:asciiTheme="minorHAnsi" w:hAnsiTheme="minorHAnsi" w:cstheme="minorHAnsi"/>
          <w:color w:val="auto"/>
          <w:lang w:val="sr-Latn-ME"/>
        </w:rPr>
        <w:t xml:space="preserve"> = Ukupna količina SCCPs/MCCPs proizvodima godišnje ili za period</w:t>
      </w:r>
    </w:p>
    <w:p w14:paraId="1F6C271A" w14:textId="77777777" w:rsidR="00201FE9" w:rsidRPr="00C86111" w:rsidRDefault="00201FE9" w:rsidP="00201FE9">
      <w:pPr>
        <w:pStyle w:val="Default"/>
        <w:spacing w:line="276" w:lineRule="auto"/>
        <w:rPr>
          <w:rFonts w:asciiTheme="minorHAnsi" w:hAnsiTheme="minorHAnsi" w:cstheme="minorHAnsi"/>
          <w:color w:val="auto"/>
          <w:lang w:val="sr-Latn-ME"/>
        </w:rPr>
      </w:pPr>
      <w:r w:rsidRPr="00C86111">
        <w:rPr>
          <w:rFonts w:asciiTheme="minorHAnsi" w:hAnsiTheme="minorHAnsi" w:cstheme="minorHAnsi"/>
          <w:b/>
          <w:bCs/>
          <w:color w:val="auto"/>
          <w:lang w:val="sr-Latn-ME"/>
        </w:rPr>
        <w:t>TQproizvoda</w:t>
      </w:r>
      <w:r w:rsidRPr="00C86111">
        <w:rPr>
          <w:rFonts w:asciiTheme="minorHAnsi" w:hAnsiTheme="minorHAnsi" w:cstheme="minorHAnsi"/>
          <w:color w:val="auto"/>
          <w:lang w:val="sr-Latn-ME"/>
        </w:rPr>
        <w:t xml:space="preserve">= Ukupna količina odgovarajućeg proizvoda koji sadrži SCCP/MCCP (npr. PVC, guma, boje, lijepak koji sadrže SCCP) </w:t>
      </w:r>
    </w:p>
    <w:p w14:paraId="1324D3A9" w14:textId="77777777" w:rsidR="00201FE9" w:rsidRPr="00C86111" w:rsidRDefault="00201FE9" w:rsidP="00201FE9">
      <w:pPr>
        <w:spacing w:line="276" w:lineRule="auto"/>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CSCCPs/CMCCPs</w:t>
      </w:r>
      <w:r w:rsidRPr="00C86111">
        <w:rPr>
          <w:rFonts w:asciiTheme="minorHAnsi" w:hAnsiTheme="minorHAnsi" w:cstheme="minorHAnsi"/>
          <w:color w:val="auto"/>
          <w:szCs w:val="24"/>
          <w:lang w:val="sr-Latn-ME"/>
        </w:rPr>
        <w:t xml:space="preserve"> = SCCPs/MCCPs koncentracija ili % SCCPs/MCCPs u odgovarajućem proizvodu</w:t>
      </w:r>
    </w:p>
    <w:p w14:paraId="06D8AB40"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Ova metodologija je primenjena na proizvode široke potrošnje (PVC, guma, ljepkovi), plastiku od elektronske i električne opreme i vozila.</w:t>
      </w:r>
    </w:p>
    <w:p w14:paraId="109188D8" w14:textId="77777777" w:rsidR="00201FE9" w:rsidRPr="00C86111" w:rsidRDefault="00201FE9" w:rsidP="00004F34">
      <w:pPr>
        <w:pStyle w:val="Heading1"/>
        <w:numPr>
          <w:ilvl w:val="1"/>
          <w:numId w:val="238"/>
        </w:numPr>
      </w:pPr>
      <w:bookmarkStart w:id="388" w:name="_Toc210744973"/>
      <w:bookmarkStart w:id="389" w:name="_Toc220541965"/>
      <w:r w:rsidRPr="00C86111">
        <w:t>Rezultati inventara SCCP i MCCP</w:t>
      </w:r>
      <w:bookmarkEnd w:id="372"/>
      <w:r w:rsidRPr="00C86111">
        <w:t xml:space="preserve"> u proizvodima sa tržišta</w:t>
      </w:r>
      <w:bookmarkEnd w:id="388"/>
      <w:bookmarkEnd w:id="389"/>
    </w:p>
    <w:p w14:paraId="3A3B8ABB" w14:textId="77777777" w:rsidR="00201FE9" w:rsidRPr="00C86111" w:rsidRDefault="00201FE9" w:rsidP="00201FE9">
      <w:pPr>
        <w:rPr>
          <w:rFonts w:asciiTheme="minorHAnsi" w:hAnsiTheme="minorHAnsi" w:cstheme="minorHAnsi"/>
          <w:i/>
          <w:iCs/>
          <w:color w:val="002060"/>
          <w:szCs w:val="24"/>
          <w:lang w:val="sr-Latn-ME"/>
        </w:rPr>
      </w:pPr>
    </w:p>
    <w:p w14:paraId="1945ED9F"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Inventar SCCP/MCCP je izrađen za proizvode sa tržišta, sa fokusom na glavne industrijske sektore gdje se njihova upotreba smatra najverovatnijom, kao što su:</w:t>
      </w:r>
    </w:p>
    <w:p w14:paraId="2AB99D64" w14:textId="77777777" w:rsidR="00201FE9" w:rsidRPr="00C86111" w:rsidRDefault="00201FE9" w:rsidP="007E2AA5">
      <w:pPr>
        <w:pStyle w:val="ListParagraph"/>
        <w:numPr>
          <w:ilvl w:val="0"/>
          <w:numId w:val="24"/>
        </w:numPr>
        <w:snapToGrid w:val="0"/>
        <w:spacing w:line="276" w:lineRule="auto"/>
        <w:contextualSpacing w:val="0"/>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PVC proizvodi</w:t>
      </w:r>
    </w:p>
    <w:p w14:paraId="2DD7DABF" w14:textId="77777777" w:rsidR="00201FE9" w:rsidRPr="00C86111" w:rsidRDefault="00201FE9" w:rsidP="007E2AA5">
      <w:pPr>
        <w:pStyle w:val="ListParagraph"/>
        <w:numPr>
          <w:ilvl w:val="0"/>
          <w:numId w:val="24"/>
        </w:numPr>
        <w:snapToGrid w:val="0"/>
        <w:spacing w:line="276" w:lineRule="auto"/>
        <w:contextualSpacing w:val="0"/>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Guma i proizvodi od gume</w:t>
      </w:r>
    </w:p>
    <w:p w14:paraId="4CEFADEC" w14:textId="77777777" w:rsidR="00201FE9" w:rsidRPr="00C86111" w:rsidRDefault="00201FE9" w:rsidP="007E2AA5">
      <w:pPr>
        <w:pStyle w:val="ListParagraph"/>
        <w:numPr>
          <w:ilvl w:val="0"/>
          <w:numId w:val="24"/>
        </w:numPr>
        <w:snapToGrid w:val="0"/>
        <w:spacing w:line="276" w:lineRule="auto"/>
        <w:contextualSpacing w:val="0"/>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Ljepkovi i zaptivači</w:t>
      </w:r>
    </w:p>
    <w:p w14:paraId="21F01D17"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Inventar je izrađen za proizvode porijeklom iz Kine, uzimajući u obzir da Kina, zajedno sa Indijom, predstavlja najvećeg svjetskog proizvođača hlorisanih parafina (CP).</w:t>
      </w:r>
    </w:p>
    <w:p w14:paraId="1398B37B" w14:textId="17F1477C"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Na osnovu podataka koje je dostavila Uprava carina Crne Gore, kreiran je inventar prisustva SCCP i MCCP u PVC, gumenim i PUR pjenama uvezenim iz Kine. Uprava carina je pružila podatke o </w:t>
      </w:r>
      <w:r w:rsidRPr="00C86111">
        <w:rPr>
          <w:rFonts w:asciiTheme="minorHAnsi" w:eastAsia="Times New Roman" w:hAnsiTheme="minorHAnsi" w:cstheme="minorHAnsi"/>
          <w:color w:val="auto"/>
          <w:szCs w:val="24"/>
          <w:lang w:val="sr-Latn-ME"/>
        </w:rPr>
        <w:lastRenderedPageBreak/>
        <w:t xml:space="preserve">uvozu ovih proizvoda po tarifnim oznakama za period 2017-2023. Tabela </w:t>
      </w:r>
      <w:r w:rsidR="004A37AE" w:rsidRPr="00C86111">
        <w:rPr>
          <w:rFonts w:asciiTheme="minorHAnsi" w:eastAsia="Times New Roman" w:hAnsiTheme="minorHAnsi" w:cstheme="minorHAnsi"/>
          <w:color w:val="auto"/>
          <w:szCs w:val="24"/>
          <w:lang w:val="sr-Latn-ME"/>
        </w:rPr>
        <w:t>100.</w:t>
      </w:r>
      <w:r w:rsidRPr="00C86111">
        <w:rPr>
          <w:rFonts w:asciiTheme="minorHAnsi" w:eastAsia="Times New Roman" w:hAnsiTheme="minorHAnsi" w:cstheme="minorHAnsi"/>
          <w:color w:val="auto"/>
          <w:szCs w:val="24"/>
          <w:lang w:val="sr-Latn-ME"/>
        </w:rPr>
        <w:t xml:space="preserve"> prikazuje listu inventarisanih proizvoda na tržištu i njihove HS oznake.</w:t>
      </w:r>
    </w:p>
    <w:p w14:paraId="642A2B08"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Faktori koncentracije koji se koriste za izračunavanje količina SCPP/MCPP dati su u međunarodnim studijama sa odgovarajućim prosječnim koncentracijama ili frakcijama SCCP i MCCP.</w:t>
      </w:r>
    </w:p>
    <w:p w14:paraId="62C97A54" w14:textId="60319CAA" w:rsidR="00201FE9" w:rsidRPr="00C86111" w:rsidRDefault="00201FE9" w:rsidP="00201FE9">
      <w:pPr>
        <w:pStyle w:val="Caption"/>
        <w:keepNext/>
        <w:rPr>
          <w:rFonts w:cstheme="minorHAnsi"/>
          <w:sz w:val="24"/>
          <w:szCs w:val="24"/>
        </w:rPr>
      </w:pPr>
      <w:bookmarkStart w:id="390" w:name="_Toc210743911"/>
      <w:r w:rsidRPr="00C86111">
        <w:rPr>
          <w:rFonts w:cstheme="minorHAnsi"/>
          <w:bCs/>
          <w:sz w:val="24"/>
          <w:szCs w:val="24"/>
        </w:rPr>
        <w:t xml:space="preserve">Tabela </w:t>
      </w:r>
      <w:r w:rsidR="004A37AE" w:rsidRPr="00C86111">
        <w:rPr>
          <w:rFonts w:cstheme="minorHAnsi"/>
          <w:sz w:val="24"/>
          <w:szCs w:val="24"/>
        </w:rPr>
        <w:t>100</w:t>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Proizvodi uvezeni iz Kine i njihovi HS kodovi</w:t>
      </w:r>
      <w:bookmarkEnd w:id="390"/>
    </w:p>
    <w:tbl>
      <w:tblPr>
        <w:tblStyle w:val="GridTable5Dark-Accent6"/>
        <w:tblW w:w="9026" w:type="dxa"/>
        <w:tblLook w:val="04A0" w:firstRow="1" w:lastRow="0" w:firstColumn="1" w:lastColumn="0" w:noHBand="0" w:noVBand="1"/>
      </w:tblPr>
      <w:tblGrid>
        <w:gridCol w:w="1230"/>
        <w:gridCol w:w="7796"/>
      </w:tblGrid>
      <w:tr w:rsidR="00201FE9" w:rsidRPr="00C86111" w14:paraId="0378B4A0"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66E678"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0" w:type="auto"/>
          </w:tcPr>
          <w:p w14:paraId="14A47066"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Klasifikacija</w:t>
            </w:r>
          </w:p>
        </w:tc>
      </w:tr>
      <w:tr w:rsidR="00201FE9" w:rsidRPr="00C86111" w14:paraId="0E2117D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8B6211C"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PVC</w:t>
            </w:r>
          </w:p>
        </w:tc>
      </w:tr>
      <w:tr w:rsidR="00201FE9" w:rsidRPr="00C86111" w14:paraId="0A5BC8CF"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269CB028"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3904220000</w:t>
            </w:r>
          </w:p>
        </w:tc>
        <w:tc>
          <w:tcPr>
            <w:tcW w:w="0" w:type="auto"/>
            <w:hideMark/>
          </w:tcPr>
          <w:p w14:paraId="641EBD94"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Polimeri vinil hlorida, drugi halogenovani olefinski polimeri; plastificirani poli(vinil hlorid), u primarnim oblicima</w:t>
            </w:r>
          </w:p>
        </w:tc>
      </w:tr>
      <w:tr w:rsidR="00201FE9" w:rsidRPr="00C86111" w14:paraId="28FAF81F"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337234"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3918101000</w:t>
            </w:r>
          </w:p>
        </w:tc>
        <w:tc>
          <w:tcPr>
            <w:tcW w:w="0" w:type="auto"/>
            <w:hideMark/>
          </w:tcPr>
          <w:p w14:paraId="16B14043"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Impregnirani supstrati, presvučeni ili prekriveni poli(vinil hloridom)</w:t>
            </w:r>
          </w:p>
        </w:tc>
      </w:tr>
      <w:tr w:rsidR="00201FE9" w:rsidRPr="00C86111" w14:paraId="3DFAA946"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3F0D966D"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3920431000</w:t>
            </w:r>
          </w:p>
        </w:tc>
        <w:tc>
          <w:tcPr>
            <w:tcW w:w="0" w:type="auto"/>
            <w:hideMark/>
          </w:tcPr>
          <w:p w14:paraId="0750B349"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Plastika: polimeri vinil hlorida, koji sadrže najmanje 6% plastifikatora po masi; ploče, listovi, filmovi, folije i trake (nesamoljepljive), nećelijske i neojačane, nelaminirane, nepodržane ili na sličan način kombinovane sa drugim materijalima, debljine ne veće od 1 mm</w:t>
            </w:r>
          </w:p>
        </w:tc>
      </w:tr>
      <w:tr w:rsidR="00201FE9" w:rsidRPr="00C86111" w14:paraId="79FB95E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3CAD48"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3920439000</w:t>
            </w:r>
          </w:p>
        </w:tc>
        <w:tc>
          <w:tcPr>
            <w:tcW w:w="0" w:type="auto"/>
            <w:hideMark/>
          </w:tcPr>
          <w:p w14:paraId="36D08E9B"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Isto kao gore, ali debljine veće od 1 mm</w:t>
            </w:r>
          </w:p>
        </w:tc>
      </w:tr>
      <w:tr w:rsidR="00201FE9" w:rsidRPr="00C86111" w14:paraId="5FDAA798"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43B32865"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3920491000</w:t>
            </w:r>
          </w:p>
        </w:tc>
        <w:tc>
          <w:tcPr>
            <w:tcW w:w="0" w:type="auto"/>
            <w:hideMark/>
          </w:tcPr>
          <w:p w14:paraId="4B21843B"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Plastika: polimeri vinil hlorida, koji sadrže manje od 6% plastifikatora po masi; ploče, listovi, filmovi, folije i trake (nesamoljepljive), nećelijske i neojačane, nelaminirane, nepodržane ili na sličan način kombinovane sa drugim materijalima, debljine ne veće od 1 mm</w:t>
            </w:r>
          </w:p>
        </w:tc>
      </w:tr>
      <w:tr w:rsidR="00201FE9" w:rsidRPr="00C86111" w14:paraId="6D80DC40"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5C5C17"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3920499000</w:t>
            </w:r>
          </w:p>
        </w:tc>
        <w:tc>
          <w:tcPr>
            <w:tcW w:w="0" w:type="auto"/>
            <w:hideMark/>
          </w:tcPr>
          <w:p w14:paraId="0C45D173"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Isto kao gore, ali debljine veće od 1 mm</w:t>
            </w:r>
          </w:p>
        </w:tc>
      </w:tr>
      <w:tr w:rsidR="00201FE9" w:rsidRPr="00C86111" w14:paraId="3B5D109D"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038E7B4A"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3921120000</w:t>
            </w:r>
          </w:p>
        </w:tc>
        <w:tc>
          <w:tcPr>
            <w:tcW w:w="0" w:type="auto"/>
            <w:hideMark/>
          </w:tcPr>
          <w:p w14:paraId="0C1C7910"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Plastika: ploče, listovi, filmovi, folije i trake od ćelijastog poli(vinil hlorida)</w:t>
            </w:r>
          </w:p>
        </w:tc>
      </w:tr>
      <w:tr w:rsidR="00201FE9" w:rsidRPr="00C86111" w14:paraId="1B2E3997"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C531A8B"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Guma</w:t>
            </w:r>
          </w:p>
        </w:tc>
      </w:tr>
      <w:tr w:rsidR="00201FE9" w:rsidRPr="00C86111" w14:paraId="6DAEA19C"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57640955"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4008</w:t>
            </w:r>
          </w:p>
        </w:tc>
        <w:tc>
          <w:tcPr>
            <w:tcW w:w="0" w:type="auto"/>
            <w:hideMark/>
          </w:tcPr>
          <w:p w14:paraId="33C6D38D"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Ploče, listovi, trake, šipke i profili od vulkanizovane gume, osim tvrde gume</w:t>
            </w:r>
          </w:p>
        </w:tc>
      </w:tr>
      <w:tr w:rsidR="00201FE9" w:rsidRPr="00C86111" w14:paraId="289904B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7AD242"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4009</w:t>
            </w:r>
          </w:p>
        </w:tc>
        <w:tc>
          <w:tcPr>
            <w:tcW w:w="0" w:type="auto"/>
            <w:hideMark/>
          </w:tcPr>
          <w:p w14:paraId="05E12019"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Cijevi, crijeva i crijeva od vulkanizovane gume (osim tvrde gume), sa ili bez spojnica (npr. zglobovi, koljena, prirubnice)</w:t>
            </w:r>
          </w:p>
        </w:tc>
      </w:tr>
      <w:tr w:rsidR="00201FE9" w:rsidRPr="00C86111" w14:paraId="55615AE1"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1156018D"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4010</w:t>
            </w:r>
          </w:p>
        </w:tc>
        <w:tc>
          <w:tcPr>
            <w:tcW w:w="0" w:type="auto"/>
            <w:hideMark/>
          </w:tcPr>
          <w:p w14:paraId="2B862C61"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Transportne ili pogonske trake od vulkanizovane gume</w:t>
            </w:r>
          </w:p>
        </w:tc>
      </w:tr>
      <w:tr w:rsidR="00201FE9" w:rsidRPr="00C86111" w14:paraId="28262BA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85B2F"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4015</w:t>
            </w:r>
          </w:p>
        </w:tc>
        <w:tc>
          <w:tcPr>
            <w:tcW w:w="0" w:type="auto"/>
            <w:hideMark/>
          </w:tcPr>
          <w:p w14:paraId="76FECDB2"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Odjevni predmeti i dodaci za odjeću (uključujući rukavice, rukavice za jedrenje i sl.), za sve namjene, od vulkanizovane gume osim tvrde</w:t>
            </w:r>
          </w:p>
        </w:tc>
      </w:tr>
      <w:tr w:rsidR="00201FE9" w:rsidRPr="00C86111" w14:paraId="086F888E"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5B64DD5C"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4016</w:t>
            </w:r>
          </w:p>
        </w:tc>
        <w:tc>
          <w:tcPr>
            <w:tcW w:w="0" w:type="auto"/>
            <w:hideMark/>
          </w:tcPr>
          <w:p w14:paraId="478D07C2"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Proizvodi od vulkanizovane gume, osim tvrde gume</w:t>
            </w:r>
          </w:p>
        </w:tc>
      </w:tr>
      <w:tr w:rsidR="00201FE9" w:rsidRPr="00C86111" w14:paraId="6E222B52"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9D6525A"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Adhezivne PUR pjene</w:t>
            </w:r>
          </w:p>
        </w:tc>
      </w:tr>
      <w:tr w:rsidR="00201FE9" w:rsidRPr="00C86111" w14:paraId="3E20C337"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2FE4E6D2"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3506919000</w:t>
            </w:r>
          </w:p>
        </w:tc>
        <w:tc>
          <w:tcPr>
            <w:tcW w:w="0" w:type="auto"/>
            <w:hideMark/>
          </w:tcPr>
          <w:p w14:paraId="7B77CDD8"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Gotovi ljepkovi: na bazi polimera iz tarifnih brojeva 3901 do 3913 ili na bazi gume</w:t>
            </w:r>
          </w:p>
        </w:tc>
      </w:tr>
      <w:tr w:rsidR="00201FE9" w:rsidRPr="00C86111" w14:paraId="603F1E62"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EDF69E"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3506990000</w:t>
            </w:r>
          </w:p>
        </w:tc>
        <w:tc>
          <w:tcPr>
            <w:tcW w:w="0" w:type="auto"/>
            <w:hideMark/>
          </w:tcPr>
          <w:p w14:paraId="091AB284" w14:textId="77777777" w:rsidR="00201FE9" w:rsidRPr="00C86111" w:rsidRDefault="00201FE9" w:rsidP="00BC765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Ljepkovi i drugi gotovi adhezivi; pakovani u neto količini do 1 kg</w:t>
            </w:r>
          </w:p>
        </w:tc>
      </w:tr>
      <w:tr w:rsidR="00201FE9" w:rsidRPr="00C86111" w14:paraId="584B73C3"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707D8AC9" w14:textId="77777777" w:rsidR="00201FE9" w:rsidRPr="00C86111" w:rsidRDefault="00201FE9" w:rsidP="00BC765B">
            <w:pPr>
              <w:spacing w:line="276" w:lineRule="auto"/>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3506100000</w:t>
            </w:r>
          </w:p>
        </w:tc>
        <w:tc>
          <w:tcPr>
            <w:tcW w:w="0" w:type="auto"/>
            <w:hideMark/>
          </w:tcPr>
          <w:p w14:paraId="1B424485" w14:textId="77777777" w:rsidR="00201FE9" w:rsidRPr="00C86111" w:rsidRDefault="00201FE9" w:rsidP="00BC765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Gotovi ljepkovi: proizvodi pripremljeni za korišćenje kao ljepkovi, za maloprodaju, neto težine do 1 kg</w:t>
            </w:r>
          </w:p>
        </w:tc>
      </w:tr>
    </w:tbl>
    <w:p w14:paraId="4C3AD1AC" w14:textId="77777777" w:rsidR="00201FE9" w:rsidRPr="00C86111" w:rsidRDefault="00201FE9" w:rsidP="00EA6904">
      <w:pPr>
        <w:pStyle w:val="Heading4"/>
      </w:pPr>
      <w:bookmarkStart w:id="391" w:name="_Toc210744974"/>
      <w:r w:rsidRPr="00C86111">
        <w:t>Guma</w:t>
      </w:r>
      <w:bookmarkEnd w:id="391"/>
    </w:p>
    <w:p w14:paraId="68DE0083" w14:textId="19FF1578"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4A37AE" w:rsidRPr="00C86111">
        <w:rPr>
          <w:rFonts w:asciiTheme="minorHAnsi" w:eastAsia="Times New Roman" w:hAnsiTheme="minorHAnsi" w:cstheme="minorHAnsi"/>
          <w:color w:val="auto"/>
          <w:szCs w:val="24"/>
          <w:lang w:val="sr-Latn-ME"/>
        </w:rPr>
        <w:t>101.</w:t>
      </w:r>
      <w:r w:rsidRPr="00C86111">
        <w:rPr>
          <w:rFonts w:asciiTheme="minorHAnsi" w:eastAsia="Times New Roman" w:hAnsiTheme="minorHAnsi" w:cstheme="minorHAnsi"/>
          <w:color w:val="auto"/>
          <w:szCs w:val="24"/>
          <w:lang w:val="sr-Latn-ME"/>
        </w:rPr>
        <w:t xml:space="preserve"> i Grafik </w:t>
      </w:r>
      <w:r w:rsidR="004A37AE" w:rsidRPr="00C86111">
        <w:rPr>
          <w:rFonts w:asciiTheme="minorHAnsi" w:eastAsia="Times New Roman" w:hAnsiTheme="minorHAnsi" w:cstheme="minorHAnsi"/>
          <w:color w:val="auto"/>
          <w:szCs w:val="24"/>
          <w:lang w:val="sr-Latn-ME"/>
        </w:rPr>
        <w:t>3</w:t>
      </w:r>
      <w:r w:rsidR="00547278">
        <w:rPr>
          <w:rFonts w:asciiTheme="minorHAnsi" w:eastAsia="Times New Roman" w:hAnsiTheme="minorHAnsi" w:cstheme="minorHAnsi"/>
          <w:color w:val="auto"/>
          <w:szCs w:val="24"/>
          <w:lang w:val="sr-Latn-ME"/>
        </w:rPr>
        <w:t>6</w:t>
      </w:r>
      <w:r w:rsidRPr="00C86111">
        <w:rPr>
          <w:rFonts w:asciiTheme="minorHAnsi" w:eastAsia="Times New Roman" w:hAnsiTheme="minorHAnsi" w:cstheme="minorHAnsi"/>
          <w:color w:val="auto"/>
          <w:szCs w:val="24"/>
          <w:lang w:val="sr-Latn-ME"/>
        </w:rPr>
        <w:t xml:space="preserve"> prikazuju pregled količina uvezenih gumenih proizvoda sa HS kodom 4008 iz Kine za period 2017-2023, kao i izračunate količine SCCP i MCCP.</w:t>
      </w:r>
    </w:p>
    <w:p w14:paraId="4E80DB31" w14:textId="77777777" w:rsidR="004A37AE" w:rsidRDefault="004A37AE" w:rsidP="00201FE9">
      <w:pPr>
        <w:spacing w:line="276" w:lineRule="auto"/>
        <w:jc w:val="center"/>
        <w:rPr>
          <w:rFonts w:asciiTheme="minorHAnsi" w:eastAsia="Times New Roman" w:hAnsiTheme="minorHAnsi" w:cstheme="minorHAnsi"/>
          <w:color w:val="auto"/>
          <w:szCs w:val="24"/>
          <w:lang w:val="sr-Latn-ME"/>
        </w:rPr>
      </w:pPr>
    </w:p>
    <w:p w14:paraId="6192CB82" w14:textId="77777777" w:rsidR="002E5AB7" w:rsidRPr="00C86111" w:rsidRDefault="002E5AB7" w:rsidP="00201FE9">
      <w:pPr>
        <w:spacing w:line="276" w:lineRule="auto"/>
        <w:jc w:val="center"/>
        <w:rPr>
          <w:rFonts w:asciiTheme="minorHAnsi" w:eastAsia="Times New Roman" w:hAnsiTheme="minorHAnsi" w:cstheme="minorHAnsi"/>
          <w:color w:val="auto"/>
          <w:szCs w:val="24"/>
          <w:lang w:val="sr-Latn-ME"/>
        </w:rPr>
      </w:pPr>
    </w:p>
    <w:p w14:paraId="08960D4E" w14:textId="19D4FD40" w:rsidR="00201FE9" w:rsidRPr="00C86111" w:rsidRDefault="00201FE9" w:rsidP="00201FE9">
      <w:pPr>
        <w:pStyle w:val="Caption"/>
        <w:keepNext/>
        <w:rPr>
          <w:rFonts w:cstheme="minorHAnsi"/>
          <w:b w:val="0"/>
          <w:bCs/>
          <w:sz w:val="24"/>
          <w:szCs w:val="24"/>
        </w:rPr>
      </w:pPr>
      <w:bookmarkStart w:id="392" w:name="_Toc210743912"/>
      <w:r w:rsidRPr="00C86111">
        <w:rPr>
          <w:rFonts w:cstheme="minorHAnsi"/>
          <w:bCs/>
          <w:sz w:val="24"/>
          <w:szCs w:val="24"/>
        </w:rPr>
        <w:lastRenderedPageBreak/>
        <w:t xml:space="preserve">Tabela </w:t>
      </w:r>
      <w:r w:rsidR="004A37AE" w:rsidRPr="0042690B">
        <w:rPr>
          <w:rFonts w:cstheme="minorHAnsi"/>
          <w:sz w:val="24"/>
          <w:szCs w:val="24"/>
        </w:rPr>
        <w:t>101</w:t>
      </w:r>
      <w:r w:rsidRPr="0042690B">
        <w:rPr>
          <w:rFonts w:cstheme="minorHAnsi"/>
          <w:sz w:val="24"/>
          <w:szCs w:val="24"/>
        </w:rPr>
        <w:t>.</w:t>
      </w:r>
      <w:r w:rsidRPr="00C86111">
        <w:rPr>
          <w:rFonts w:cstheme="minorHAnsi"/>
          <w:sz w:val="24"/>
          <w:szCs w:val="24"/>
        </w:rPr>
        <w:t xml:space="preserve"> </w:t>
      </w:r>
      <w:r w:rsidRPr="00C86111">
        <w:rPr>
          <w:rFonts w:cstheme="minorHAnsi"/>
          <w:b w:val="0"/>
          <w:bCs/>
          <w:sz w:val="24"/>
          <w:szCs w:val="24"/>
        </w:rPr>
        <w:t>Količine uvezenih gumenih proizvoda sa HS kodom 4008 za period 2017-2023 i procijenjene količine SCCP i MCCP</w:t>
      </w:r>
      <w:bookmarkEnd w:id="392"/>
    </w:p>
    <w:tbl>
      <w:tblPr>
        <w:tblStyle w:val="GridTable5Dark-Accent6"/>
        <w:tblW w:w="9016" w:type="dxa"/>
        <w:tblLook w:val="04A0" w:firstRow="1" w:lastRow="0" w:firstColumn="1" w:lastColumn="0" w:noHBand="0" w:noVBand="1"/>
      </w:tblPr>
      <w:tblGrid>
        <w:gridCol w:w="967"/>
        <w:gridCol w:w="964"/>
        <w:gridCol w:w="1238"/>
        <w:gridCol w:w="1620"/>
        <w:gridCol w:w="1252"/>
        <w:gridCol w:w="1679"/>
        <w:gridCol w:w="1296"/>
      </w:tblGrid>
      <w:tr w:rsidR="00201FE9" w:rsidRPr="00C86111" w14:paraId="14C0EEB8" w14:textId="77777777" w:rsidTr="00C26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14:paraId="48403EF6"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64" w:type="dxa"/>
            <w:hideMark/>
          </w:tcPr>
          <w:p w14:paraId="63BC3EB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238" w:type="dxa"/>
            <w:hideMark/>
          </w:tcPr>
          <w:p w14:paraId="47BE695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20" w:type="dxa"/>
          </w:tcPr>
          <w:p w14:paraId="6EDC024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095119B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52" w:type="dxa"/>
          </w:tcPr>
          <w:p w14:paraId="07536D5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679" w:type="dxa"/>
          </w:tcPr>
          <w:p w14:paraId="2696C53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0118158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96" w:type="dxa"/>
          </w:tcPr>
          <w:p w14:paraId="13FE103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6C73A60B"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vMerge w:val="restart"/>
          </w:tcPr>
          <w:p w14:paraId="4892B490"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4008</w:t>
            </w:r>
          </w:p>
        </w:tc>
        <w:tc>
          <w:tcPr>
            <w:tcW w:w="964" w:type="dxa"/>
          </w:tcPr>
          <w:p w14:paraId="3F25E4D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2017</w:t>
            </w:r>
          </w:p>
        </w:tc>
        <w:tc>
          <w:tcPr>
            <w:tcW w:w="1238" w:type="dxa"/>
          </w:tcPr>
          <w:p w14:paraId="2BC9239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212</w:t>
            </w:r>
          </w:p>
        </w:tc>
        <w:tc>
          <w:tcPr>
            <w:tcW w:w="1620" w:type="dxa"/>
          </w:tcPr>
          <w:p w14:paraId="5E67FC2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16.2</w:t>
            </w:r>
          </w:p>
        </w:tc>
        <w:tc>
          <w:tcPr>
            <w:tcW w:w="1252" w:type="dxa"/>
          </w:tcPr>
          <w:p w14:paraId="56412DE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3.4</w:t>
            </w:r>
          </w:p>
        </w:tc>
        <w:tc>
          <w:tcPr>
            <w:tcW w:w="1679" w:type="dxa"/>
          </w:tcPr>
          <w:p w14:paraId="1D8AA03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60.9</w:t>
            </w:r>
          </w:p>
        </w:tc>
        <w:tc>
          <w:tcPr>
            <w:tcW w:w="1296" w:type="dxa"/>
          </w:tcPr>
          <w:p w14:paraId="6A30C7F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w:t>
            </w:r>
          </w:p>
        </w:tc>
      </w:tr>
      <w:tr w:rsidR="00201FE9" w:rsidRPr="00C86111" w14:paraId="3333732B" w14:textId="77777777" w:rsidTr="00C262FD">
        <w:tc>
          <w:tcPr>
            <w:cnfStyle w:val="001000000000" w:firstRow="0" w:lastRow="0" w:firstColumn="1" w:lastColumn="0" w:oddVBand="0" w:evenVBand="0" w:oddHBand="0" w:evenHBand="0" w:firstRowFirstColumn="0" w:firstRowLastColumn="0" w:lastRowFirstColumn="0" w:lastRowLastColumn="0"/>
            <w:tcW w:w="967" w:type="dxa"/>
            <w:vMerge/>
          </w:tcPr>
          <w:p w14:paraId="2BB5DC00"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64" w:type="dxa"/>
          </w:tcPr>
          <w:p w14:paraId="7AC5A3F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2018</w:t>
            </w:r>
          </w:p>
        </w:tc>
        <w:tc>
          <w:tcPr>
            <w:tcW w:w="1238" w:type="dxa"/>
          </w:tcPr>
          <w:p w14:paraId="0B30553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1613</w:t>
            </w:r>
          </w:p>
        </w:tc>
        <w:tc>
          <w:tcPr>
            <w:tcW w:w="1620" w:type="dxa"/>
          </w:tcPr>
          <w:p w14:paraId="5842A74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16.2</w:t>
            </w:r>
          </w:p>
        </w:tc>
        <w:tc>
          <w:tcPr>
            <w:tcW w:w="1252" w:type="dxa"/>
          </w:tcPr>
          <w:p w14:paraId="101734E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26</w:t>
            </w:r>
          </w:p>
        </w:tc>
        <w:tc>
          <w:tcPr>
            <w:tcW w:w="1679" w:type="dxa"/>
          </w:tcPr>
          <w:p w14:paraId="6554E53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60.9</w:t>
            </w:r>
          </w:p>
        </w:tc>
        <w:tc>
          <w:tcPr>
            <w:tcW w:w="1296" w:type="dxa"/>
          </w:tcPr>
          <w:p w14:paraId="04EA7FB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98</w:t>
            </w:r>
          </w:p>
        </w:tc>
      </w:tr>
      <w:tr w:rsidR="00201FE9" w:rsidRPr="00C86111" w14:paraId="5C9F0BB0"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vMerge/>
          </w:tcPr>
          <w:p w14:paraId="57D5F59D"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64" w:type="dxa"/>
          </w:tcPr>
          <w:p w14:paraId="463C5C5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2019</w:t>
            </w:r>
          </w:p>
        </w:tc>
        <w:tc>
          <w:tcPr>
            <w:tcW w:w="1238" w:type="dxa"/>
          </w:tcPr>
          <w:p w14:paraId="14AEE99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1084</w:t>
            </w:r>
          </w:p>
        </w:tc>
        <w:tc>
          <w:tcPr>
            <w:tcW w:w="1620" w:type="dxa"/>
          </w:tcPr>
          <w:p w14:paraId="154529D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16.2</w:t>
            </w:r>
          </w:p>
        </w:tc>
        <w:tc>
          <w:tcPr>
            <w:tcW w:w="1252" w:type="dxa"/>
          </w:tcPr>
          <w:p w14:paraId="1962F5F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w:t>
            </w:r>
          </w:p>
        </w:tc>
        <w:tc>
          <w:tcPr>
            <w:tcW w:w="1679" w:type="dxa"/>
          </w:tcPr>
          <w:p w14:paraId="0483154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60.9</w:t>
            </w:r>
          </w:p>
        </w:tc>
        <w:tc>
          <w:tcPr>
            <w:tcW w:w="1296" w:type="dxa"/>
          </w:tcPr>
          <w:p w14:paraId="33D3BA4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66</w:t>
            </w:r>
          </w:p>
        </w:tc>
      </w:tr>
      <w:tr w:rsidR="00201FE9" w:rsidRPr="00C86111" w14:paraId="3FFD4968" w14:textId="77777777" w:rsidTr="00C262FD">
        <w:tc>
          <w:tcPr>
            <w:cnfStyle w:val="001000000000" w:firstRow="0" w:lastRow="0" w:firstColumn="1" w:lastColumn="0" w:oddVBand="0" w:evenVBand="0" w:oddHBand="0" w:evenHBand="0" w:firstRowFirstColumn="0" w:firstRowLastColumn="0" w:lastRowFirstColumn="0" w:lastRowLastColumn="0"/>
            <w:tcW w:w="967" w:type="dxa"/>
            <w:vMerge/>
          </w:tcPr>
          <w:p w14:paraId="5C905878"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64" w:type="dxa"/>
          </w:tcPr>
          <w:p w14:paraId="289EE54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2020</w:t>
            </w:r>
          </w:p>
        </w:tc>
        <w:tc>
          <w:tcPr>
            <w:tcW w:w="1238" w:type="dxa"/>
          </w:tcPr>
          <w:p w14:paraId="72CE03D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2423</w:t>
            </w:r>
          </w:p>
        </w:tc>
        <w:tc>
          <w:tcPr>
            <w:tcW w:w="1620" w:type="dxa"/>
          </w:tcPr>
          <w:p w14:paraId="6477554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16.2</w:t>
            </w:r>
          </w:p>
        </w:tc>
        <w:tc>
          <w:tcPr>
            <w:tcW w:w="1252" w:type="dxa"/>
          </w:tcPr>
          <w:p w14:paraId="510E975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39</w:t>
            </w:r>
          </w:p>
        </w:tc>
        <w:tc>
          <w:tcPr>
            <w:tcW w:w="1679" w:type="dxa"/>
          </w:tcPr>
          <w:p w14:paraId="37D0168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60.9</w:t>
            </w:r>
          </w:p>
        </w:tc>
        <w:tc>
          <w:tcPr>
            <w:tcW w:w="1296" w:type="dxa"/>
          </w:tcPr>
          <w:p w14:paraId="44FD2EE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148</w:t>
            </w:r>
          </w:p>
        </w:tc>
      </w:tr>
      <w:tr w:rsidR="00201FE9" w:rsidRPr="00C86111" w14:paraId="669E9D1F"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vMerge/>
          </w:tcPr>
          <w:p w14:paraId="72F5ED6D"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64" w:type="dxa"/>
          </w:tcPr>
          <w:p w14:paraId="5FA255D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2021</w:t>
            </w:r>
          </w:p>
        </w:tc>
        <w:tc>
          <w:tcPr>
            <w:tcW w:w="1238" w:type="dxa"/>
          </w:tcPr>
          <w:p w14:paraId="71C44B5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4939</w:t>
            </w:r>
          </w:p>
        </w:tc>
        <w:tc>
          <w:tcPr>
            <w:tcW w:w="1620" w:type="dxa"/>
          </w:tcPr>
          <w:p w14:paraId="128BE6F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16.2</w:t>
            </w:r>
          </w:p>
        </w:tc>
        <w:tc>
          <w:tcPr>
            <w:tcW w:w="1252" w:type="dxa"/>
          </w:tcPr>
          <w:p w14:paraId="1C290E0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80</w:t>
            </w:r>
          </w:p>
        </w:tc>
        <w:tc>
          <w:tcPr>
            <w:tcW w:w="1679" w:type="dxa"/>
          </w:tcPr>
          <w:p w14:paraId="6E0B795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60.9</w:t>
            </w:r>
          </w:p>
        </w:tc>
        <w:tc>
          <w:tcPr>
            <w:tcW w:w="1296" w:type="dxa"/>
          </w:tcPr>
          <w:p w14:paraId="493A8F7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301</w:t>
            </w:r>
          </w:p>
        </w:tc>
      </w:tr>
      <w:tr w:rsidR="00201FE9" w:rsidRPr="00C86111" w14:paraId="58FAB235" w14:textId="77777777" w:rsidTr="00C262FD">
        <w:tc>
          <w:tcPr>
            <w:cnfStyle w:val="001000000000" w:firstRow="0" w:lastRow="0" w:firstColumn="1" w:lastColumn="0" w:oddVBand="0" w:evenVBand="0" w:oddHBand="0" w:evenHBand="0" w:firstRowFirstColumn="0" w:firstRowLastColumn="0" w:lastRowFirstColumn="0" w:lastRowLastColumn="0"/>
            <w:tcW w:w="967" w:type="dxa"/>
            <w:vMerge/>
          </w:tcPr>
          <w:p w14:paraId="6DFEA6BE"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64" w:type="dxa"/>
          </w:tcPr>
          <w:p w14:paraId="5D4FCA3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2022</w:t>
            </w:r>
          </w:p>
        </w:tc>
        <w:tc>
          <w:tcPr>
            <w:tcW w:w="1238" w:type="dxa"/>
          </w:tcPr>
          <w:p w14:paraId="590DC8A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2220</w:t>
            </w:r>
          </w:p>
        </w:tc>
        <w:tc>
          <w:tcPr>
            <w:tcW w:w="1620" w:type="dxa"/>
          </w:tcPr>
          <w:p w14:paraId="00D736E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16.2</w:t>
            </w:r>
          </w:p>
        </w:tc>
        <w:tc>
          <w:tcPr>
            <w:tcW w:w="1252" w:type="dxa"/>
          </w:tcPr>
          <w:p w14:paraId="5B6261B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36</w:t>
            </w:r>
          </w:p>
        </w:tc>
        <w:tc>
          <w:tcPr>
            <w:tcW w:w="1679" w:type="dxa"/>
          </w:tcPr>
          <w:p w14:paraId="684C420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60.9</w:t>
            </w:r>
          </w:p>
        </w:tc>
        <w:tc>
          <w:tcPr>
            <w:tcW w:w="1296" w:type="dxa"/>
          </w:tcPr>
          <w:p w14:paraId="508D54C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135</w:t>
            </w:r>
          </w:p>
        </w:tc>
      </w:tr>
      <w:tr w:rsidR="00201FE9" w:rsidRPr="00C86111" w14:paraId="0BC80AD7"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vMerge/>
          </w:tcPr>
          <w:p w14:paraId="24937984"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64" w:type="dxa"/>
          </w:tcPr>
          <w:p w14:paraId="48A983C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2023</w:t>
            </w:r>
          </w:p>
        </w:tc>
        <w:tc>
          <w:tcPr>
            <w:tcW w:w="1238" w:type="dxa"/>
          </w:tcPr>
          <w:p w14:paraId="2A309C4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5503</w:t>
            </w:r>
          </w:p>
        </w:tc>
        <w:tc>
          <w:tcPr>
            <w:tcW w:w="1620" w:type="dxa"/>
          </w:tcPr>
          <w:p w14:paraId="25E7C10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16.2</w:t>
            </w:r>
          </w:p>
        </w:tc>
        <w:tc>
          <w:tcPr>
            <w:tcW w:w="1252" w:type="dxa"/>
          </w:tcPr>
          <w:p w14:paraId="46E5321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89</w:t>
            </w:r>
          </w:p>
        </w:tc>
        <w:tc>
          <w:tcPr>
            <w:tcW w:w="1679" w:type="dxa"/>
          </w:tcPr>
          <w:p w14:paraId="61BE67B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60.9</w:t>
            </w:r>
          </w:p>
        </w:tc>
        <w:tc>
          <w:tcPr>
            <w:tcW w:w="1296" w:type="dxa"/>
          </w:tcPr>
          <w:p w14:paraId="609D40B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335</w:t>
            </w:r>
          </w:p>
        </w:tc>
      </w:tr>
    </w:tbl>
    <w:p w14:paraId="14549E98"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0D54E172" w14:textId="77777777" w:rsidR="00201FE9" w:rsidRPr="00C86111" w:rsidRDefault="00201FE9" w:rsidP="00201FE9">
      <w:pPr>
        <w:spacing w:line="276" w:lineRule="auto"/>
        <w:jc w:val="both"/>
        <w:rPr>
          <w:rFonts w:asciiTheme="minorHAnsi" w:hAnsiTheme="minorHAnsi" w:cstheme="minorHAnsi"/>
          <w:bCs/>
          <w:color w:val="auto"/>
          <w:szCs w:val="24"/>
          <w:lang w:val="sr-Latn-ME"/>
        </w:rPr>
      </w:pPr>
    </w:p>
    <w:p w14:paraId="64EA8589"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0571B153" wp14:editId="75AC8156">
            <wp:extent cx="4846320" cy="2105891"/>
            <wp:effectExtent l="0" t="0" r="11430" b="8890"/>
            <wp:docPr id="3" name="Chart 3">
              <a:extLst xmlns:a="http://schemas.openxmlformats.org/drawingml/2006/main">
                <a:ext uri="{FF2B5EF4-FFF2-40B4-BE49-F238E27FC236}">
                  <a16:creationId xmlns:a16="http://schemas.microsoft.com/office/drawing/2014/main" id="{5CBE97DE-6A6B-73A3-81B9-53A671F81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411D11B" w14:textId="6DA949A9"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4A37AE" w:rsidRPr="00C86111">
        <w:rPr>
          <w:rFonts w:asciiTheme="minorHAnsi" w:hAnsiTheme="minorHAnsi" w:cstheme="minorHAnsi"/>
          <w:b/>
          <w:bCs/>
          <w:color w:val="auto"/>
          <w:szCs w:val="24"/>
          <w:lang w:val="sr-Latn-ME"/>
        </w:rPr>
        <w:t>3</w:t>
      </w:r>
      <w:r w:rsidR="00547278">
        <w:rPr>
          <w:rFonts w:asciiTheme="minorHAnsi" w:hAnsiTheme="minorHAnsi" w:cstheme="minorHAnsi"/>
          <w:b/>
          <w:bCs/>
          <w:color w:val="auto"/>
          <w:szCs w:val="24"/>
          <w:lang w:val="sr-Latn-ME"/>
        </w:rPr>
        <w:t>6</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Procijenjena količina SCCP i MCCP u proizvodima sa HS kodom 4008 uvezenim u periodu 2017-2023.</w:t>
      </w:r>
    </w:p>
    <w:p w14:paraId="0A8FC7B6"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48ED4EDC" w14:textId="6B702AED"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Količina </w:t>
      </w:r>
      <w:r w:rsidR="004A37AE" w:rsidRPr="00C86111">
        <w:rPr>
          <w:rFonts w:asciiTheme="minorHAnsi" w:eastAsia="Times New Roman" w:hAnsiTheme="minorHAnsi" w:cstheme="minorHAnsi"/>
          <w:color w:val="auto"/>
          <w:szCs w:val="24"/>
          <w:lang w:val="sr-Latn-ME"/>
        </w:rPr>
        <w:t xml:space="preserve">SCCP i MCCP </w:t>
      </w:r>
      <w:r w:rsidRPr="00C86111">
        <w:rPr>
          <w:rFonts w:asciiTheme="minorHAnsi" w:eastAsia="Times New Roman" w:hAnsiTheme="minorHAnsi" w:cstheme="minorHAnsi"/>
          <w:color w:val="auto"/>
          <w:szCs w:val="24"/>
          <w:lang w:val="sr-Latn-ME"/>
        </w:rPr>
        <w:t>se vremenom povećava, pri čemu su MCCP konstantno prisutni u većim količinama. SCCP raste sa 3,4 kg u 2017. na 89 kg u 2023. godini, dok MCCP raste sa 13 kg na 335 kg. Grafik pokazuje opšti trend rasta i potrebu za praćenjem ovih hemijskih supstanci u uvozu.</w:t>
      </w:r>
    </w:p>
    <w:p w14:paraId="52F71B2C"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p>
    <w:p w14:paraId="6CDA4B3C" w14:textId="3228EED0"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4A37AE" w:rsidRPr="00C86111">
        <w:rPr>
          <w:rFonts w:asciiTheme="minorHAnsi" w:eastAsia="Times New Roman" w:hAnsiTheme="minorHAnsi" w:cstheme="minorHAnsi"/>
          <w:color w:val="auto"/>
          <w:szCs w:val="24"/>
          <w:lang w:val="sr-Latn-ME"/>
        </w:rPr>
        <w:t>102.</w:t>
      </w:r>
      <w:r w:rsidRPr="00C86111">
        <w:rPr>
          <w:rFonts w:asciiTheme="minorHAnsi" w:eastAsia="Times New Roman" w:hAnsiTheme="minorHAnsi" w:cstheme="minorHAnsi"/>
          <w:color w:val="auto"/>
          <w:szCs w:val="24"/>
          <w:lang w:val="sr-Latn-ME"/>
        </w:rPr>
        <w:t xml:space="preserve"> i Grafik </w:t>
      </w:r>
      <w:r w:rsidR="004A37AE" w:rsidRPr="00C86111">
        <w:rPr>
          <w:rFonts w:asciiTheme="minorHAnsi" w:eastAsia="Times New Roman" w:hAnsiTheme="minorHAnsi" w:cstheme="minorHAnsi"/>
          <w:color w:val="auto"/>
          <w:szCs w:val="24"/>
          <w:lang w:val="sr-Latn-ME"/>
        </w:rPr>
        <w:t>3</w:t>
      </w:r>
      <w:r w:rsidR="00547278">
        <w:rPr>
          <w:rFonts w:asciiTheme="minorHAnsi" w:eastAsia="Times New Roman" w:hAnsiTheme="minorHAnsi" w:cstheme="minorHAnsi"/>
          <w:color w:val="auto"/>
          <w:szCs w:val="24"/>
          <w:lang w:val="sr-Latn-ME"/>
        </w:rPr>
        <w:t>7</w:t>
      </w:r>
      <w:r w:rsidR="004A37AE"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prikazuju pregled količina uvezenih gumenih proizvoda sa HS kodom 4009 iz Kine za period 2017-2023, kao i izračunate količine SCCP i MCCP.</w:t>
      </w:r>
    </w:p>
    <w:p w14:paraId="0D853E5A" w14:textId="77777777" w:rsidR="00201FE9" w:rsidRDefault="00201FE9" w:rsidP="00201FE9">
      <w:pPr>
        <w:spacing w:line="276" w:lineRule="auto"/>
        <w:rPr>
          <w:rFonts w:asciiTheme="minorHAnsi" w:eastAsia="Times New Roman" w:hAnsiTheme="minorHAnsi" w:cstheme="minorHAnsi"/>
          <w:color w:val="auto"/>
          <w:szCs w:val="24"/>
          <w:lang w:val="sr-Latn-ME"/>
        </w:rPr>
      </w:pPr>
    </w:p>
    <w:p w14:paraId="6764C759" w14:textId="77777777" w:rsidR="002E5AB7" w:rsidRDefault="002E5AB7" w:rsidP="00201FE9">
      <w:pPr>
        <w:spacing w:line="276" w:lineRule="auto"/>
        <w:rPr>
          <w:rFonts w:asciiTheme="minorHAnsi" w:eastAsia="Times New Roman" w:hAnsiTheme="minorHAnsi" w:cstheme="minorHAnsi"/>
          <w:color w:val="auto"/>
          <w:szCs w:val="24"/>
          <w:lang w:val="sr-Latn-ME"/>
        </w:rPr>
      </w:pPr>
    </w:p>
    <w:p w14:paraId="66A2230F" w14:textId="77777777" w:rsidR="002E5AB7" w:rsidRDefault="002E5AB7" w:rsidP="00201FE9">
      <w:pPr>
        <w:spacing w:line="276" w:lineRule="auto"/>
        <w:rPr>
          <w:rFonts w:asciiTheme="minorHAnsi" w:eastAsia="Times New Roman" w:hAnsiTheme="minorHAnsi" w:cstheme="minorHAnsi"/>
          <w:color w:val="auto"/>
          <w:szCs w:val="24"/>
          <w:lang w:val="sr-Latn-ME"/>
        </w:rPr>
      </w:pPr>
    </w:p>
    <w:p w14:paraId="5B693F76" w14:textId="77777777" w:rsidR="002E5AB7" w:rsidRPr="00C86111" w:rsidRDefault="002E5AB7" w:rsidP="00201FE9">
      <w:pPr>
        <w:spacing w:line="276" w:lineRule="auto"/>
        <w:rPr>
          <w:rFonts w:asciiTheme="minorHAnsi" w:eastAsia="Times New Roman" w:hAnsiTheme="minorHAnsi" w:cstheme="minorHAnsi"/>
          <w:color w:val="auto"/>
          <w:szCs w:val="24"/>
          <w:lang w:val="sr-Latn-ME"/>
        </w:rPr>
      </w:pPr>
    </w:p>
    <w:p w14:paraId="4BB5B86B" w14:textId="1EBED87D" w:rsidR="00201FE9" w:rsidRPr="00C86111" w:rsidRDefault="00201FE9" w:rsidP="00201FE9">
      <w:pPr>
        <w:pStyle w:val="Caption"/>
        <w:keepNext/>
        <w:rPr>
          <w:rFonts w:cstheme="minorHAnsi"/>
          <w:b w:val="0"/>
          <w:bCs/>
          <w:sz w:val="24"/>
          <w:szCs w:val="24"/>
        </w:rPr>
      </w:pPr>
      <w:bookmarkStart w:id="393" w:name="_Toc210743913"/>
      <w:r w:rsidRPr="00C86111">
        <w:rPr>
          <w:rFonts w:cstheme="minorHAnsi"/>
          <w:bCs/>
          <w:sz w:val="24"/>
          <w:szCs w:val="24"/>
        </w:rPr>
        <w:lastRenderedPageBreak/>
        <w:t xml:space="preserve">Tabela </w:t>
      </w:r>
      <w:r w:rsidR="004A37AE" w:rsidRPr="00C86111">
        <w:rPr>
          <w:rFonts w:cstheme="minorHAnsi"/>
          <w:bCs/>
          <w:sz w:val="24"/>
          <w:szCs w:val="24"/>
        </w:rPr>
        <w:t>102</w:t>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proizvoda od gume sa HS kodom 4009 za period 2017-2023 i procijenjene količine SCCP i MCCP</w:t>
      </w:r>
      <w:bookmarkEnd w:id="393"/>
    </w:p>
    <w:tbl>
      <w:tblPr>
        <w:tblStyle w:val="GridTable5Dark-Accent6"/>
        <w:tblW w:w="9016" w:type="dxa"/>
        <w:tblLook w:val="04A0" w:firstRow="1" w:lastRow="0" w:firstColumn="1" w:lastColumn="0" w:noHBand="0" w:noVBand="1"/>
      </w:tblPr>
      <w:tblGrid>
        <w:gridCol w:w="974"/>
        <w:gridCol w:w="926"/>
        <w:gridCol w:w="1248"/>
        <w:gridCol w:w="1609"/>
        <w:gridCol w:w="1261"/>
        <w:gridCol w:w="1692"/>
        <w:gridCol w:w="1306"/>
      </w:tblGrid>
      <w:tr w:rsidR="00201FE9" w:rsidRPr="00C86111" w14:paraId="1C3B3512" w14:textId="77777777" w:rsidTr="002E5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1570C3C8"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26" w:type="dxa"/>
            <w:hideMark/>
          </w:tcPr>
          <w:p w14:paraId="22137A25"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248" w:type="dxa"/>
            <w:hideMark/>
          </w:tcPr>
          <w:p w14:paraId="6041908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09" w:type="dxa"/>
          </w:tcPr>
          <w:p w14:paraId="4E52F9B0"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6041C2E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61" w:type="dxa"/>
          </w:tcPr>
          <w:p w14:paraId="55E0172D"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692" w:type="dxa"/>
          </w:tcPr>
          <w:p w14:paraId="10E5F6B6"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6136640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306" w:type="dxa"/>
          </w:tcPr>
          <w:p w14:paraId="7EA85E6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31B3A3DE"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val="restart"/>
          </w:tcPr>
          <w:p w14:paraId="266FB34E"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4009</w:t>
            </w:r>
          </w:p>
        </w:tc>
        <w:tc>
          <w:tcPr>
            <w:tcW w:w="926" w:type="dxa"/>
          </w:tcPr>
          <w:p w14:paraId="263E80E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2017</w:t>
            </w:r>
          </w:p>
        </w:tc>
        <w:tc>
          <w:tcPr>
            <w:tcW w:w="1248" w:type="dxa"/>
          </w:tcPr>
          <w:p w14:paraId="46E4791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3690</w:t>
            </w:r>
          </w:p>
        </w:tc>
        <w:tc>
          <w:tcPr>
            <w:tcW w:w="1609" w:type="dxa"/>
          </w:tcPr>
          <w:p w14:paraId="4605FFE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6F383D7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0.74</w:t>
            </w:r>
          </w:p>
        </w:tc>
        <w:tc>
          <w:tcPr>
            <w:tcW w:w="1692" w:type="dxa"/>
          </w:tcPr>
          <w:p w14:paraId="5B9B605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72CCB11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0.37</w:t>
            </w:r>
          </w:p>
        </w:tc>
      </w:tr>
      <w:tr w:rsidR="00201FE9" w:rsidRPr="00C86111" w14:paraId="7AA520ED"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53A238B7"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11669FB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2018</w:t>
            </w:r>
          </w:p>
        </w:tc>
        <w:tc>
          <w:tcPr>
            <w:tcW w:w="1248" w:type="dxa"/>
          </w:tcPr>
          <w:p w14:paraId="290B1F0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12759</w:t>
            </w:r>
          </w:p>
        </w:tc>
        <w:tc>
          <w:tcPr>
            <w:tcW w:w="1609" w:type="dxa"/>
          </w:tcPr>
          <w:p w14:paraId="2AB1412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6D1E570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2.6</w:t>
            </w:r>
          </w:p>
        </w:tc>
        <w:tc>
          <w:tcPr>
            <w:tcW w:w="1692" w:type="dxa"/>
          </w:tcPr>
          <w:p w14:paraId="3FFE89A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22F3B64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w:t>
            </w:r>
          </w:p>
        </w:tc>
      </w:tr>
      <w:tr w:rsidR="00201FE9" w:rsidRPr="00C86111" w14:paraId="5165D394"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2BED2174"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432934A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2019</w:t>
            </w:r>
          </w:p>
        </w:tc>
        <w:tc>
          <w:tcPr>
            <w:tcW w:w="1248" w:type="dxa"/>
          </w:tcPr>
          <w:p w14:paraId="1ED50E5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14930</w:t>
            </w:r>
          </w:p>
        </w:tc>
        <w:tc>
          <w:tcPr>
            <w:tcW w:w="1609" w:type="dxa"/>
          </w:tcPr>
          <w:p w14:paraId="6E949B4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561644B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3.0</w:t>
            </w:r>
          </w:p>
        </w:tc>
        <w:tc>
          <w:tcPr>
            <w:tcW w:w="1692" w:type="dxa"/>
          </w:tcPr>
          <w:p w14:paraId="2F58055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5ED2A08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1.5</w:t>
            </w:r>
          </w:p>
        </w:tc>
      </w:tr>
      <w:tr w:rsidR="00201FE9" w:rsidRPr="00C86111" w14:paraId="57C33E8F"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4A72C1D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2F8400B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2020</w:t>
            </w:r>
          </w:p>
        </w:tc>
        <w:tc>
          <w:tcPr>
            <w:tcW w:w="1248" w:type="dxa"/>
          </w:tcPr>
          <w:p w14:paraId="761D617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13325</w:t>
            </w:r>
          </w:p>
        </w:tc>
        <w:tc>
          <w:tcPr>
            <w:tcW w:w="1609" w:type="dxa"/>
          </w:tcPr>
          <w:p w14:paraId="603140B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5C8D6E2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2.7</w:t>
            </w:r>
          </w:p>
        </w:tc>
        <w:tc>
          <w:tcPr>
            <w:tcW w:w="1692" w:type="dxa"/>
          </w:tcPr>
          <w:p w14:paraId="38C7795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578656F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w:t>
            </w:r>
          </w:p>
        </w:tc>
      </w:tr>
      <w:tr w:rsidR="00201FE9" w:rsidRPr="00C86111" w14:paraId="743B7EE7"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7843E550"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5FC1277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2021</w:t>
            </w:r>
          </w:p>
        </w:tc>
        <w:tc>
          <w:tcPr>
            <w:tcW w:w="1248" w:type="dxa"/>
          </w:tcPr>
          <w:p w14:paraId="1013242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10736</w:t>
            </w:r>
          </w:p>
        </w:tc>
        <w:tc>
          <w:tcPr>
            <w:tcW w:w="1609" w:type="dxa"/>
          </w:tcPr>
          <w:p w14:paraId="495E703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4703C07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2.2</w:t>
            </w:r>
          </w:p>
        </w:tc>
        <w:tc>
          <w:tcPr>
            <w:tcW w:w="1692" w:type="dxa"/>
          </w:tcPr>
          <w:p w14:paraId="75FBE1A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5B0BF17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1.1</w:t>
            </w:r>
          </w:p>
        </w:tc>
      </w:tr>
      <w:tr w:rsidR="00201FE9" w:rsidRPr="00C86111" w14:paraId="6C16EFB7"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29805CDB"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3C76F7A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2022</w:t>
            </w:r>
          </w:p>
        </w:tc>
        <w:tc>
          <w:tcPr>
            <w:tcW w:w="1248" w:type="dxa"/>
          </w:tcPr>
          <w:p w14:paraId="3B06AC9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12377</w:t>
            </w:r>
          </w:p>
        </w:tc>
        <w:tc>
          <w:tcPr>
            <w:tcW w:w="1609" w:type="dxa"/>
          </w:tcPr>
          <w:p w14:paraId="0A16D85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29758A9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2.5</w:t>
            </w:r>
          </w:p>
        </w:tc>
        <w:tc>
          <w:tcPr>
            <w:tcW w:w="1692" w:type="dxa"/>
          </w:tcPr>
          <w:p w14:paraId="1D53BE8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30C0B61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w:t>
            </w:r>
          </w:p>
        </w:tc>
      </w:tr>
      <w:tr w:rsidR="00201FE9" w:rsidRPr="00C86111" w14:paraId="61C75999"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46F72B61"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1347F14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2023</w:t>
            </w:r>
          </w:p>
        </w:tc>
        <w:tc>
          <w:tcPr>
            <w:tcW w:w="1248" w:type="dxa"/>
          </w:tcPr>
          <w:p w14:paraId="4A00A7E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12019</w:t>
            </w:r>
          </w:p>
        </w:tc>
        <w:tc>
          <w:tcPr>
            <w:tcW w:w="1609" w:type="dxa"/>
          </w:tcPr>
          <w:p w14:paraId="16364B1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3BEAB89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2.4</w:t>
            </w:r>
          </w:p>
        </w:tc>
        <w:tc>
          <w:tcPr>
            <w:tcW w:w="1692" w:type="dxa"/>
          </w:tcPr>
          <w:p w14:paraId="36B79A5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3CAA067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w:t>
            </w:r>
          </w:p>
        </w:tc>
      </w:tr>
    </w:tbl>
    <w:p w14:paraId="37C53646"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130C4DF4" w14:textId="77777777" w:rsidR="00201FE9" w:rsidRPr="00C86111" w:rsidRDefault="00201FE9" w:rsidP="00201FE9">
      <w:pPr>
        <w:spacing w:line="276" w:lineRule="auto"/>
        <w:rPr>
          <w:rFonts w:asciiTheme="minorHAnsi" w:hAnsiTheme="minorHAnsi" w:cstheme="minorHAnsi"/>
          <w:color w:val="auto"/>
          <w:szCs w:val="24"/>
          <w:lang w:val="sr-Latn-ME"/>
        </w:rPr>
      </w:pPr>
    </w:p>
    <w:p w14:paraId="5A173FAA" w14:textId="77777777" w:rsidR="00201FE9" w:rsidRPr="00C86111" w:rsidRDefault="00201FE9" w:rsidP="00201FE9">
      <w:pPr>
        <w:autoSpaceDE w:val="0"/>
        <w:autoSpaceDN w:val="0"/>
        <w:adjustRightInd w:val="0"/>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75EAA551" wp14:editId="45D515FA">
            <wp:extent cx="4785360" cy="2407920"/>
            <wp:effectExtent l="0" t="0" r="15240" b="11430"/>
            <wp:docPr id="4" name="Chart 4">
              <a:extLst xmlns:a="http://schemas.openxmlformats.org/drawingml/2006/main">
                <a:ext uri="{FF2B5EF4-FFF2-40B4-BE49-F238E27FC236}">
                  <a16:creationId xmlns:a16="http://schemas.microsoft.com/office/drawing/2014/main" id="{8D227E81-0EF1-544F-2700-D6FF03FCA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8F2352C" w14:textId="2D831DAC"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4A37AE" w:rsidRPr="00C86111">
        <w:rPr>
          <w:rFonts w:asciiTheme="minorHAnsi" w:hAnsiTheme="minorHAnsi" w:cstheme="minorHAnsi"/>
          <w:b/>
          <w:bCs/>
          <w:color w:val="auto"/>
          <w:szCs w:val="24"/>
          <w:lang w:val="sr-Latn-ME"/>
        </w:rPr>
        <w:t>3</w:t>
      </w:r>
      <w:r w:rsidR="00547278">
        <w:rPr>
          <w:rFonts w:asciiTheme="minorHAnsi" w:hAnsiTheme="minorHAnsi" w:cstheme="minorHAnsi"/>
          <w:b/>
          <w:bCs/>
          <w:color w:val="auto"/>
          <w:szCs w:val="24"/>
          <w:lang w:val="sr-Latn-ME"/>
        </w:rPr>
        <w:t>7</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Procijenjena količina SCCP i MCCP u proizvodima sa HS kodom 4009 uvezenim u periodu 2017-2023.</w:t>
      </w:r>
    </w:p>
    <w:p w14:paraId="0EEEBFB7"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783D8414" w14:textId="47F1DB65"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Količine </w:t>
      </w:r>
      <w:r w:rsidR="004A37AE" w:rsidRPr="00C86111">
        <w:rPr>
          <w:rFonts w:asciiTheme="minorHAnsi" w:hAnsiTheme="minorHAnsi" w:cstheme="minorHAnsi"/>
          <w:bCs/>
          <w:color w:val="auto"/>
          <w:szCs w:val="24"/>
          <w:lang w:val="sr-Latn-ME"/>
        </w:rPr>
        <w:t xml:space="preserve">SCCP i MCCP </w:t>
      </w:r>
      <w:r w:rsidRPr="00C86111">
        <w:rPr>
          <w:rFonts w:asciiTheme="minorHAnsi" w:hAnsiTheme="minorHAnsi" w:cstheme="minorHAnsi"/>
          <w:color w:val="auto"/>
          <w:szCs w:val="24"/>
          <w:lang w:val="sr-Latn-ME"/>
        </w:rPr>
        <w:t>su veoma niske tokom cijelog perioda, sa SCCP u rasponu od 0,74 kg u 2017. do 3 kg u 2019. godini, a MCCP od 0,37 kg do 1,5 kg. Podaci ukazuju na minimalno prisustvo ovih supstanci u proizvodima HS 4009 u poređenju sa HS 4008.</w:t>
      </w:r>
    </w:p>
    <w:p w14:paraId="6B00E0BC" w14:textId="18CFC136"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4A37AE" w:rsidRPr="00C86111">
        <w:rPr>
          <w:rFonts w:asciiTheme="minorHAnsi" w:eastAsia="Times New Roman" w:hAnsiTheme="minorHAnsi" w:cstheme="minorHAnsi"/>
          <w:color w:val="auto"/>
          <w:szCs w:val="24"/>
          <w:lang w:val="sr-Latn-ME"/>
        </w:rPr>
        <w:t>103.</w:t>
      </w:r>
      <w:r w:rsidRPr="00C86111">
        <w:rPr>
          <w:rFonts w:asciiTheme="minorHAnsi" w:eastAsia="Times New Roman" w:hAnsiTheme="minorHAnsi" w:cstheme="minorHAnsi"/>
          <w:color w:val="auto"/>
          <w:szCs w:val="24"/>
          <w:lang w:val="sr-Latn-ME"/>
        </w:rPr>
        <w:t xml:space="preserve"> prikazuje pregled količina uvezenih gumenih proizvoda sa HS kodom 4010 iz Kine za period 2017-2023, kao i izračunate količine SCCP i MCCP.</w:t>
      </w:r>
    </w:p>
    <w:p w14:paraId="27771053" w14:textId="77777777" w:rsidR="002E5AB7" w:rsidRDefault="002E5AB7" w:rsidP="00201FE9">
      <w:pPr>
        <w:pStyle w:val="Caption"/>
        <w:keepNext/>
        <w:rPr>
          <w:rFonts w:cstheme="minorHAnsi"/>
          <w:bCs/>
          <w:sz w:val="24"/>
          <w:szCs w:val="24"/>
        </w:rPr>
      </w:pPr>
      <w:bookmarkStart w:id="394" w:name="_Toc210743914"/>
    </w:p>
    <w:p w14:paraId="65C4E2F1" w14:textId="77777777" w:rsidR="002E5AB7" w:rsidRDefault="002E5AB7" w:rsidP="002E5AB7">
      <w:pPr>
        <w:rPr>
          <w:lang w:val="en-GB" w:eastAsia="zh-CN"/>
        </w:rPr>
      </w:pPr>
    </w:p>
    <w:p w14:paraId="23605F96" w14:textId="77777777" w:rsidR="002E5AB7" w:rsidRPr="002E5AB7" w:rsidRDefault="002E5AB7" w:rsidP="002E5AB7">
      <w:pPr>
        <w:rPr>
          <w:lang w:val="en-GB" w:eastAsia="zh-CN"/>
        </w:rPr>
      </w:pPr>
    </w:p>
    <w:p w14:paraId="0362268B" w14:textId="77777777" w:rsidR="002E5AB7" w:rsidRDefault="002E5AB7" w:rsidP="00201FE9">
      <w:pPr>
        <w:pStyle w:val="Caption"/>
        <w:keepNext/>
        <w:rPr>
          <w:rFonts w:cstheme="minorHAnsi"/>
          <w:bCs/>
          <w:sz w:val="24"/>
          <w:szCs w:val="24"/>
        </w:rPr>
      </w:pPr>
    </w:p>
    <w:p w14:paraId="5B1AC55F" w14:textId="1DB9FE6C" w:rsidR="00201FE9" w:rsidRPr="00C86111" w:rsidRDefault="00201FE9" w:rsidP="00201FE9">
      <w:pPr>
        <w:pStyle w:val="Caption"/>
        <w:keepNext/>
        <w:rPr>
          <w:rFonts w:cstheme="minorHAnsi"/>
          <w:b w:val="0"/>
          <w:bCs/>
          <w:sz w:val="24"/>
          <w:szCs w:val="24"/>
        </w:rPr>
      </w:pPr>
      <w:r w:rsidRPr="00C86111">
        <w:rPr>
          <w:rFonts w:cstheme="minorHAnsi"/>
          <w:bCs/>
          <w:sz w:val="24"/>
          <w:szCs w:val="24"/>
        </w:rPr>
        <w:t xml:space="preserve">Tabela </w:t>
      </w:r>
      <w:r w:rsidR="004A37AE" w:rsidRPr="0042690B">
        <w:rPr>
          <w:rFonts w:cstheme="minorHAnsi"/>
          <w:sz w:val="24"/>
          <w:szCs w:val="24"/>
        </w:rPr>
        <w:t>103</w:t>
      </w:r>
      <w:r w:rsidRPr="0042690B">
        <w:rPr>
          <w:rFonts w:cstheme="minorHAnsi"/>
          <w:sz w:val="24"/>
          <w:szCs w:val="24"/>
        </w:rPr>
        <w:t>.</w:t>
      </w:r>
      <w:r w:rsidRPr="00C86111">
        <w:rPr>
          <w:rFonts w:cstheme="minorHAnsi"/>
          <w:sz w:val="24"/>
          <w:szCs w:val="24"/>
        </w:rPr>
        <w:t xml:space="preserve"> </w:t>
      </w:r>
      <w:r w:rsidRPr="00C86111">
        <w:rPr>
          <w:rFonts w:cstheme="minorHAnsi"/>
          <w:b w:val="0"/>
          <w:bCs/>
          <w:sz w:val="24"/>
          <w:szCs w:val="24"/>
        </w:rPr>
        <w:t>Količine uvezenih proizvoda od gume sa HS kodom 4010 za period 2017-2023 i procijenjene količine SCCP i MCCP</w:t>
      </w:r>
      <w:bookmarkEnd w:id="394"/>
    </w:p>
    <w:tbl>
      <w:tblPr>
        <w:tblStyle w:val="GridTable5Dark-Accent6"/>
        <w:tblW w:w="9016" w:type="dxa"/>
        <w:tblLook w:val="04A0" w:firstRow="1" w:lastRow="0" w:firstColumn="1" w:lastColumn="0" w:noHBand="0" w:noVBand="1"/>
      </w:tblPr>
      <w:tblGrid>
        <w:gridCol w:w="974"/>
        <w:gridCol w:w="926"/>
        <w:gridCol w:w="1248"/>
        <w:gridCol w:w="1609"/>
        <w:gridCol w:w="1261"/>
        <w:gridCol w:w="1692"/>
        <w:gridCol w:w="1306"/>
      </w:tblGrid>
      <w:tr w:rsidR="00201FE9" w:rsidRPr="00C86111" w14:paraId="2E0F77F8" w14:textId="77777777" w:rsidTr="002E5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2D12B404"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26" w:type="dxa"/>
            <w:hideMark/>
          </w:tcPr>
          <w:p w14:paraId="4190C383"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248" w:type="dxa"/>
            <w:hideMark/>
          </w:tcPr>
          <w:p w14:paraId="69A94C0F"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09" w:type="dxa"/>
          </w:tcPr>
          <w:p w14:paraId="1ED7C2A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5652528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61" w:type="dxa"/>
          </w:tcPr>
          <w:p w14:paraId="2F35268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692" w:type="dxa"/>
          </w:tcPr>
          <w:p w14:paraId="25135A2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7275D5C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306" w:type="dxa"/>
          </w:tcPr>
          <w:p w14:paraId="2D97A7D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5FEAA033"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val="restart"/>
          </w:tcPr>
          <w:p w14:paraId="227A1ECA"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4010</w:t>
            </w:r>
          </w:p>
        </w:tc>
        <w:tc>
          <w:tcPr>
            <w:tcW w:w="926" w:type="dxa"/>
          </w:tcPr>
          <w:p w14:paraId="41FBFFF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2017</w:t>
            </w:r>
          </w:p>
        </w:tc>
        <w:tc>
          <w:tcPr>
            <w:tcW w:w="1248" w:type="dxa"/>
          </w:tcPr>
          <w:p w14:paraId="7B97F66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1949</w:t>
            </w:r>
          </w:p>
        </w:tc>
        <w:tc>
          <w:tcPr>
            <w:tcW w:w="1609" w:type="dxa"/>
          </w:tcPr>
          <w:p w14:paraId="0FD5C74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174AEF9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0.39</w:t>
            </w:r>
          </w:p>
        </w:tc>
        <w:tc>
          <w:tcPr>
            <w:tcW w:w="1692" w:type="dxa"/>
          </w:tcPr>
          <w:p w14:paraId="30D67D4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2F90C53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0.19</w:t>
            </w:r>
          </w:p>
        </w:tc>
      </w:tr>
      <w:tr w:rsidR="00201FE9" w:rsidRPr="00C86111" w14:paraId="6C56E5D1"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4710C0D5"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68C2925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2018</w:t>
            </w:r>
          </w:p>
        </w:tc>
        <w:tc>
          <w:tcPr>
            <w:tcW w:w="1248" w:type="dxa"/>
          </w:tcPr>
          <w:p w14:paraId="0B74906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3941</w:t>
            </w:r>
          </w:p>
        </w:tc>
        <w:tc>
          <w:tcPr>
            <w:tcW w:w="1609" w:type="dxa"/>
          </w:tcPr>
          <w:p w14:paraId="11D3E0B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0860692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0.79</w:t>
            </w:r>
          </w:p>
        </w:tc>
        <w:tc>
          <w:tcPr>
            <w:tcW w:w="1692" w:type="dxa"/>
          </w:tcPr>
          <w:p w14:paraId="75AFD2F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753E267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0.39</w:t>
            </w:r>
          </w:p>
        </w:tc>
      </w:tr>
      <w:tr w:rsidR="00201FE9" w:rsidRPr="00C86111" w14:paraId="04ABF331"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5CBB787D"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1F0A2D1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2019</w:t>
            </w:r>
          </w:p>
        </w:tc>
        <w:tc>
          <w:tcPr>
            <w:tcW w:w="1248" w:type="dxa"/>
          </w:tcPr>
          <w:p w14:paraId="6471022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12774</w:t>
            </w:r>
          </w:p>
        </w:tc>
        <w:tc>
          <w:tcPr>
            <w:tcW w:w="1609" w:type="dxa"/>
          </w:tcPr>
          <w:p w14:paraId="5E6D805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29E17D7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2.6</w:t>
            </w:r>
          </w:p>
        </w:tc>
        <w:tc>
          <w:tcPr>
            <w:tcW w:w="1692" w:type="dxa"/>
          </w:tcPr>
          <w:p w14:paraId="4A96513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03B6537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w:t>
            </w:r>
          </w:p>
        </w:tc>
      </w:tr>
      <w:tr w:rsidR="00201FE9" w:rsidRPr="00C86111" w14:paraId="22D081EC"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539D49CF"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54256E1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2020</w:t>
            </w:r>
          </w:p>
        </w:tc>
        <w:tc>
          <w:tcPr>
            <w:tcW w:w="1248" w:type="dxa"/>
          </w:tcPr>
          <w:p w14:paraId="3AFCD3F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6094</w:t>
            </w:r>
          </w:p>
        </w:tc>
        <w:tc>
          <w:tcPr>
            <w:tcW w:w="1609" w:type="dxa"/>
          </w:tcPr>
          <w:p w14:paraId="105CE81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573FFAF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w:t>
            </w:r>
          </w:p>
        </w:tc>
        <w:tc>
          <w:tcPr>
            <w:tcW w:w="1692" w:type="dxa"/>
          </w:tcPr>
          <w:p w14:paraId="4C8BBC4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27C3EFB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0.61</w:t>
            </w:r>
          </w:p>
        </w:tc>
      </w:tr>
      <w:tr w:rsidR="00201FE9" w:rsidRPr="00C86111" w14:paraId="5AEBD28B"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3414FBE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241167A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2021</w:t>
            </w:r>
          </w:p>
        </w:tc>
        <w:tc>
          <w:tcPr>
            <w:tcW w:w="1248" w:type="dxa"/>
          </w:tcPr>
          <w:p w14:paraId="4AC1254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5650</w:t>
            </w:r>
          </w:p>
        </w:tc>
        <w:tc>
          <w:tcPr>
            <w:tcW w:w="1609" w:type="dxa"/>
          </w:tcPr>
          <w:p w14:paraId="6EBF67C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3FFC774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1.1</w:t>
            </w:r>
          </w:p>
        </w:tc>
        <w:tc>
          <w:tcPr>
            <w:tcW w:w="1692" w:type="dxa"/>
          </w:tcPr>
          <w:p w14:paraId="5379F90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0953478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0.56</w:t>
            </w:r>
          </w:p>
        </w:tc>
      </w:tr>
      <w:tr w:rsidR="00201FE9" w:rsidRPr="00C86111" w14:paraId="6446596A"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23F909C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23F98EC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2022</w:t>
            </w:r>
          </w:p>
        </w:tc>
        <w:tc>
          <w:tcPr>
            <w:tcW w:w="1248" w:type="dxa"/>
          </w:tcPr>
          <w:p w14:paraId="37E766E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14061</w:t>
            </w:r>
          </w:p>
        </w:tc>
        <w:tc>
          <w:tcPr>
            <w:tcW w:w="1609" w:type="dxa"/>
          </w:tcPr>
          <w:p w14:paraId="4364448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78A5ABE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692" w:type="dxa"/>
          </w:tcPr>
          <w:p w14:paraId="06BFE9D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0B7A0CB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1.4</w:t>
            </w:r>
          </w:p>
        </w:tc>
      </w:tr>
      <w:tr w:rsidR="00201FE9" w:rsidRPr="00C86111" w14:paraId="5AD8A0B5"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79E1134B"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4AAE11A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2023</w:t>
            </w:r>
          </w:p>
        </w:tc>
        <w:tc>
          <w:tcPr>
            <w:tcW w:w="1248" w:type="dxa"/>
          </w:tcPr>
          <w:p w14:paraId="12E7A1E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17997</w:t>
            </w:r>
          </w:p>
        </w:tc>
        <w:tc>
          <w:tcPr>
            <w:tcW w:w="1609" w:type="dxa"/>
          </w:tcPr>
          <w:p w14:paraId="5B3B3F9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1261" w:type="dxa"/>
          </w:tcPr>
          <w:p w14:paraId="0B0426F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3.6</w:t>
            </w:r>
          </w:p>
        </w:tc>
        <w:tc>
          <w:tcPr>
            <w:tcW w:w="1692" w:type="dxa"/>
          </w:tcPr>
          <w:p w14:paraId="39572BF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306" w:type="dxa"/>
          </w:tcPr>
          <w:p w14:paraId="603E8DF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1.8</w:t>
            </w:r>
          </w:p>
        </w:tc>
      </w:tr>
    </w:tbl>
    <w:p w14:paraId="439A1C24"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0A36697F" w14:textId="77777777" w:rsidR="00201FE9" w:rsidRPr="00C86111" w:rsidRDefault="00201FE9" w:rsidP="00201FE9">
      <w:pPr>
        <w:spacing w:line="276" w:lineRule="auto"/>
        <w:jc w:val="both"/>
        <w:rPr>
          <w:rFonts w:asciiTheme="minorHAnsi" w:hAnsiTheme="minorHAnsi" w:cstheme="minorHAnsi"/>
          <w:bCs/>
          <w:color w:val="auto"/>
          <w:szCs w:val="24"/>
          <w:lang w:val="sr-Latn-ME"/>
        </w:rPr>
      </w:pPr>
    </w:p>
    <w:p w14:paraId="6479ED80" w14:textId="58F6D0A4" w:rsidR="00201FE9" w:rsidRPr="00C86111" w:rsidRDefault="00201FE9" w:rsidP="00201FE9">
      <w:pPr>
        <w:spacing w:line="276" w:lineRule="auto"/>
        <w:jc w:val="both"/>
        <w:rPr>
          <w:rFonts w:asciiTheme="minorHAnsi" w:hAnsiTheme="minorHAnsi" w:cstheme="minorHAnsi"/>
          <w:bCs/>
          <w:color w:val="auto"/>
          <w:szCs w:val="24"/>
          <w:lang w:val="sr-Latn-ME"/>
        </w:rPr>
      </w:pPr>
      <w:r w:rsidRPr="00C86111">
        <w:rPr>
          <w:rFonts w:asciiTheme="minorHAnsi" w:hAnsiTheme="minorHAnsi" w:cstheme="minorHAnsi"/>
          <w:bCs/>
          <w:color w:val="auto"/>
          <w:szCs w:val="24"/>
          <w:lang w:val="sr-Latn-ME"/>
        </w:rPr>
        <w:t xml:space="preserve">Količine </w:t>
      </w:r>
      <w:r w:rsidR="004A37AE" w:rsidRPr="00C86111">
        <w:rPr>
          <w:rFonts w:asciiTheme="minorHAnsi" w:hAnsiTheme="minorHAnsi" w:cstheme="minorHAnsi"/>
          <w:bCs/>
          <w:color w:val="auto"/>
          <w:szCs w:val="24"/>
          <w:lang w:val="sr-Latn-ME"/>
        </w:rPr>
        <w:t xml:space="preserve">SCCP i MCCP </w:t>
      </w:r>
      <w:r w:rsidRPr="00C86111">
        <w:rPr>
          <w:rFonts w:asciiTheme="minorHAnsi" w:hAnsiTheme="minorHAnsi" w:cstheme="minorHAnsi"/>
          <w:bCs/>
          <w:color w:val="auto"/>
          <w:szCs w:val="24"/>
          <w:lang w:val="sr-Latn-ME"/>
        </w:rPr>
        <w:t>su niske tokom cijelog perioda, pri čemu se SCCP kreće od 0,39 kg u 2017. do 3,6 kg u 2023. godini, a MCCP od 0,19 kg do 1,8 kg. Uprkos fluktuacijama u količinama uvoza, ukupni nivoi ovih supstanci su minimalni, što ukazuje na nizak potencijalni rizik u poređenju sa proizvodima sa višim koncentracijama, kao što je HS 4008.</w:t>
      </w:r>
    </w:p>
    <w:p w14:paraId="34992277" w14:textId="77777777" w:rsidR="00201FE9" w:rsidRPr="00C86111" w:rsidRDefault="00201FE9" w:rsidP="00201FE9">
      <w:pPr>
        <w:spacing w:line="276" w:lineRule="auto"/>
        <w:jc w:val="both"/>
        <w:rPr>
          <w:rFonts w:asciiTheme="minorHAnsi" w:hAnsiTheme="minorHAnsi" w:cstheme="minorHAnsi"/>
          <w:bCs/>
          <w:color w:val="auto"/>
          <w:szCs w:val="24"/>
          <w:lang w:val="sr-Latn-ME"/>
        </w:rPr>
      </w:pPr>
    </w:p>
    <w:p w14:paraId="71CBF656" w14:textId="5B063752"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4A37AE" w:rsidRPr="00C86111">
        <w:rPr>
          <w:rFonts w:asciiTheme="minorHAnsi" w:eastAsia="Times New Roman" w:hAnsiTheme="minorHAnsi" w:cstheme="minorHAnsi"/>
          <w:color w:val="auto"/>
          <w:szCs w:val="24"/>
          <w:lang w:val="sr-Latn-ME"/>
        </w:rPr>
        <w:t>104.</w:t>
      </w:r>
      <w:r w:rsidRPr="00C86111">
        <w:rPr>
          <w:rFonts w:asciiTheme="minorHAnsi" w:eastAsia="Times New Roman" w:hAnsiTheme="minorHAnsi" w:cstheme="minorHAnsi"/>
          <w:color w:val="auto"/>
          <w:szCs w:val="24"/>
          <w:lang w:val="sr-Latn-ME"/>
        </w:rPr>
        <w:t xml:space="preserve"> i Grafik </w:t>
      </w:r>
      <w:r w:rsidR="004A37AE" w:rsidRPr="00C86111">
        <w:rPr>
          <w:rFonts w:asciiTheme="minorHAnsi" w:eastAsia="Times New Roman" w:hAnsiTheme="minorHAnsi" w:cstheme="minorHAnsi"/>
          <w:color w:val="auto"/>
          <w:szCs w:val="24"/>
          <w:lang w:val="sr-Latn-ME"/>
        </w:rPr>
        <w:t>3</w:t>
      </w:r>
      <w:r w:rsidR="00547278">
        <w:rPr>
          <w:rFonts w:asciiTheme="minorHAnsi" w:eastAsia="Times New Roman" w:hAnsiTheme="minorHAnsi" w:cstheme="minorHAnsi"/>
          <w:color w:val="auto"/>
          <w:szCs w:val="24"/>
          <w:lang w:val="sr-Latn-ME"/>
        </w:rPr>
        <w:t>8</w:t>
      </w:r>
      <w:r w:rsidR="004A37AE"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prikazuju pregled količina uvezenih gumenih proizvoda sa HS kodom 4015 iz Kine za period 2017-2023, kao i izračunate količine SCCP i MCCP.</w:t>
      </w:r>
    </w:p>
    <w:p w14:paraId="3353198A" w14:textId="77777777" w:rsidR="004A37AE" w:rsidRPr="00C86111" w:rsidRDefault="004A37AE" w:rsidP="00201FE9">
      <w:pPr>
        <w:spacing w:line="276" w:lineRule="auto"/>
        <w:jc w:val="both"/>
        <w:rPr>
          <w:rFonts w:asciiTheme="minorHAnsi" w:eastAsia="Times New Roman" w:hAnsiTheme="minorHAnsi" w:cstheme="minorHAnsi"/>
          <w:color w:val="auto"/>
          <w:szCs w:val="24"/>
          <w:lang w:val="sr-Latn-ME"/>
        </w:rPr>
      </w:pPr>
    </w:p>
    <w:p w14:paraId="38B6298B" w14:textId="1440B255" w:rsidR="00201FE9" w:rsidRPr="00C86111" w:rsidRDefault="00201FE9" w:rsidP="00201FE9">
      <w:pPr>
        <w:pStyle w:val="Caption"/>
        <w:rPr>
          <w:rFonts w:eastAsia="Times New Roman" w:cstheme="minorHAnsi"/>
          <w:b w:val="0"/>
          <w:bCs/>
          <w:sz w:val="24"/>
          <w:szCs w:val="24"/>
          <w:lang w:val="sr-Latn-ME" w:eastAsia="en-US"/>
        </w:rPr>
      </w:pPr>
      <w:bookmarkStart w:id="395" w:name="_Toc210743915"/>
      <w:r w:rsidRPr="00C86111">
        <w:rPr>
          <w:rFonts w:cstheme="minorHAnsi"/>
          <w:bCs/>
          <w:sz w:val="24"/>
          <w:szCs w:val="24"/>
        </w:rPr>
        <w:t xml:space="preserve">Tabela </w:t>
      </w:r>
      <w:r w:rsidR="004A37AE" w:rsidRPr="0042690B">
        <w:rPr>
          <w:rFonts w:cstheme="minorHAnsi"/>
          <w:sz w:val="24"/>
          <w:szCs w:val="24"/>
        </w:rPr>
        <w:t>104</w:t>
      </w:r>
      <w:r w:rsidRPr="0042690B">
        <w:rPr>
          <w:rFonts w:cstheme="minorHAnsi"/>
          <w:sz w:val="24"/>
          <w:szCs w:val="24"/>
        </w:rPr>
        <w:t>.</w:t>
      </w:r>
      <w:r w:rsidRPr="00C86111">
        <w:rPr>
          <w:rFonts w:cstheme="minorHAnsi"/>
          <w:bCs/>
          <w:sz w:val="24"/>
          <w:szCs w:val="24"/>
        </w:rPr>
        <w:t xml:space="preserve"> </w:t>
      </w:r>
      <w:r w:rsidRPr="00C86111">
        <w:rPr>
          <w:rFonts w:cstheme="minorHAnsi"/>
          <w:b w:val="0"/>
          <w:bCs/>
          <w:sz w:val="24"/>
          <w:szCs w:val="24"/>
        </w:rPr>
        <w:t>Količine uvezenih gumenih proizvoda sa HS kodom 4015 za period 2017-2023 i procijenjene količine SCCP i MCCP</w:t>
      </w:r>
      <w:bookmarkEnd w:id="395"/>
    </w:p>
    <w:tbl>
      <w:tblPr>
        <w:tblStyle w:val="GridTable5Dark-Accent6"/>
        <w:tblW w:w="9016" w:type="dxa"/>
        <w:tblLook w:val="04A0" w:firstRow="1" w:lastRow="0" w:firstColumn="1" w:lastColumn="0" w:noHBand="0" w:noVBand="1"/>
      </w:tblPr>
      <w:tblGrid>
        <w:gridCol w:w="956"/>
        <w:gridCol w:w="926"/>
        <w:gridCol w:w="1320"/>
        <w:gridCol w:w="1599"/>
        <w:gridCol w:w="1311"/>
        <w:gridCol w:w="1613"/>
        <w:gridCol w:w="1291"/>
      </w:tblGrid>
      <w:tr w:rsidR="00201FE9" w:rsidRPr="00C86111" w14:paraId="1666061F"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F648D57"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890" w:type="dxa"/>
            <w:hideMark/>
          </w:tcPr>
          <w:p w14:paraId="0F8F2643"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268" w:type="dxa"/>
            <w:hideMark/>
          </w:tcPr>
          <w:p w14:paraId="01BBA226"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537" w:type="dxa"/>
          </w:tcPr>
          <w:p w14:paraId="16483C10"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6C34E46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60" w:type="dxa"/>
          </w:tcPr>
          <w:p w14:paraId="442AB21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550" w:type="dxa"/>
          </w:tcPr>
          <w:p w14:paraId="34FFB7A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51359FE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41" w:type="dxa"/>
          </w:tcPr>
          <w:p w14:paraId="1144C5D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62B2A7D6"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Merge w:val="restart"/>
          </w:tcPr>
          <w:p w14:paraId="63059E43"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4015</w:t>
            </w:r>
          </w:p>
        </w:tc>
        <w:tc>
          <w:tcPr>
            <w:tcW w:w="890" w:type="dxa"/>
          </w:tcPr>
          <w:p w14:paraId="699569B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2017</w:t>
            </w:r>
          </w:p>
        </w:tc>
        <w:tc>
          <w:tcPr>
            <w:tcW w:w="1268" w:type="dxa"/>
          </w:tcPr>
          <w:p w14:paraId="2405C1F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14282</w:t>
            </w:r>
          </w:p>
        </w:tc>
        <w:tc>
          <w:tcPr>
            <w:tcW w:w="1537" w:type="dxa"/>
          </w:tcPr>
          <w:p w14:paraId="0BEDE4F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10.8</w:t>
            </w:r>
          </w:p>
        </w:tc>
        <w:tc>
          <w:tcPr>
            <w:tcW w:w="1260" w:type="dxa"/>
          </w:tcPr>
          <w:p w14:paraId="407583D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154</w:t>
            </w:r>
          </w:p>
        </w:tc>
        <w:tc>
          <w:tcPr>
            <w:tcW w:w="1550" w:type="dxa"/>
          </w:tcPr>
          <w:p w14:paraId="77508E9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57.8</w:t>
            </w:r>
          </w:p>
        </w:tc>
        <w:tc>
          <w:tcPr>
            <w:tcW w:w="1241" w:type="dxa"/>
          </w:tcPr>
          <w:p w14:paraId="687B713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826</w:t>
            </w:r>
          </w:p>
        </w:tc>
      </w:tr>
      <w:tr w:rsidR="00201FE9" w:rsidRPr="00C86111" w14:paraId="6DE5189F" w14:textId="77777777" w:rsidTr="00BC765B">
        <w:tc>
          <w:tcPr>
            <w:cnfStyle w:val="001000000000" w:firstRow="0" w:lastRow="0" w:firstColumn="1" w:lastColumn="0" w:oddVBand="0" w:evenVBand="0" w:oddHBand="0" w:evenHBand="0" w:firstRowFirstColumn="0" w:firstRowLastColumn="0" w:lastRowFirstColumn="0" w:lastRowLastColumn="0"/>
            <w:tcW w:w="918" w:type="dxa"/>
            <w:vMerge/>
          </w:tcPr>
          <w:p w14:paraId="7ADDB5A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68F8E2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2018</w:t>
            </w:r>
          </w:p>
        </w:tc>
        <w:tc>
          <w:tcPr>
            <w:tcW w:w="1268" w:type="dxa"/>
          </w:tcPr>
          <w:p w14:paraId="6C4C718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37722</w:t>
            </w:r>
          </w:p>
        </w:tc>
        <w:tc>
          <w:tcPr>
            <w:tcW w:w="1537" w:type="dxa"/>
          </w:tcPr>
          <w:p w14:paraId="4BAD788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10.8</w:t>
            </w:r>
          </w:p>
        </w:tc>
        <w:tc>
          <w:tcPr>
            <w:tcW w:w="1260" w:type="dxa"/>
          </w:tcPr>
          <w:p w14:paraId="58F5BD5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407</w:t>
            </w:r>
          </w:p>
        </w:tc>
        <w:tc>
          <w:tcPr>
            <w:tcW w:w="1550" w:type="dxa"/>
          </w:tcPr>
          <w:p w14:paraId="666E8F5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57.8</w:t>
            </w:r>
          </w:p>
        </w:tc>
        <w:tc>
          <w:tcPr>
            <w:tcW w:w="1241" w:type="dxa"/>
          </w:tcPr>
          <w:p w14:paraId="3A7D244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2180</w:t>
            </w:r>
          </w:p>
        </w:tc>
      </w:tr>
      <w:tr w:rsidR="00201FE9" w:rsidRPr="00C86111" w14:paraId="46A517F8"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Merge/>
          </w:tcPr>
          <w:p w14:paraId="08EE7663"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3F4079B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2019</w:t>
            </w:r>
          </w:p>
        </w:tc>
        <w:tc>
          <w:tcPr>
            <w:tcW w:w="1268" w:type="dxa"/>
          </w:tcPr>
          <w:p w14:paraId="278A8C2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38304</w:t>
            </w:r>
          </w:p>
        </w:tc>
        <w:tc>
          <w:tcPr>
            <w:tcW w:w="1537" w:type="dxa"/>
          </w:tcPr>
          <w:p w14:paraId="09301EE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10.8</w:t>
            </w:r>
          </w:p>
        </w:tc>
        <w:tc>
          <w:tcPr>
            <w:tcW w:w="1260" w:type="dxa"/>
          </w:tcPr>
          <w:p w14:paraId="161EFA4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414</w:t>
            </w:r>
          </w:p>
        </w:tc>
        <w:tc>
          <w:tcPr>
            <w:tcW w:w="1550" w:type="dxa"/>
          </w:tcPr>
          <w:p w14:paraId="3D747EF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57.8</w:t>
            </w:r>
          </w:p>
        </w:tc>
        <w:tc>
          <w:tcPr>
            <w:tcW w:w="1241" w:type="dxa"/>
          </w:tcPr>
          <w:p w14:paraId="393879C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2214</w:t>
            </w:r>
          </w:p>
        </w:tc>
      </w:tr>
      <w:tr w:rsidR="00201FE9" w:rsidRPr="00C86111" w14:paraId="55E2762A" w14:textId="77777777" w:rsidTr="00BC765B">
        <w:tc>
          <w:tcPr>
            <w:cnfStyle w:val="001000000000" w:firstRow="0" w:lastRow="0" w:firstColumn="1" w:lastColumn="0" w:oddVBand="0" w:evenVBand="0" w:oddHBand="0" w:evenHBand="0" w:firstRowFirstColumn="0" w:firstRowLastColumn="0" w:lastRowFirstColumn="0" w:lastRowLastColumn="0"/>
            <w:tcW w:w="918" w:type="dxa"/>
            <w:vMerge/>
          </w:tcPr>
          <w:p w14:paraId="469559EA"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6AA7312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2020</w:t>
            </w:r>
          </w:p>
        </w:tc>
        <w:tc>
          <w:tcPr>
            <w:tcW w:w="1268" w:type="dxa"/>
          </w:tcPr>
          <w:p w14:paraId="2B15D2D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42174</w:t>
            </w:r>
          </w:p>
        </w:tc>
        <w:tc>
          <w:tcPr>
            <w:tcW w:w="1537" w:type="dxa"/>
          </w:tcPr>
          <w:p w14:paraId="7F46D0A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10.8</w:t>
            </w:r>
          </w:p>
        </w:tc>
        <w:tc>
          <w:tcPr>
            <w:tcW w:w="1260" w:type="dxa"/>
          </w:tcPr>
          <w:p w14:paraId="5AC09B1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456</w:t>
            </w:r>
          </w:p>
        </w:tc>
        <w:tc>
          <w:tcPr>
            <w:tcW w:w="1550" w:type="dxa"/>
          </w:tcPr>
          <w:p w14:paraId="2A0AD98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57.8</w:t>
            </w:r>
          </w:p>
        </w:tc>
        <w:tc>
          <w:tcPr>
            <w:tcW w:w="1241" w:type="dxa"/>
          </w:tcPr>
          <w:p w14:paraId="7D48333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2438</w:t>
            </w:r>
          </w:p>
        </w:tc>
      </w:tr>
      <w:tr w:rsidR="00201FE9" w:rsidRPr="00C86111" w14:paraId="4BDB81F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Merge/>
          </w:tcPr>
          <w:p w14:paraId="6BDBFC5A"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716CF36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2021</w:t>
            </w:r>
          </w:p>
        </w:tc>
        <w:tc>
          <w:tcPr>
            <w:tcW w:w="1268" w:type="dxa"/>
          </w:tcPr>
          <w:p w14:paraId="7BC2365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57085</w:t>
            </w:r>
          </w:p>
        </w:tc>
        <w:tc>
          <w:tcPr>
            <w:tcW w:w="1537" w:type="dxa"/>
          </w:tcPr>
          <w:p w14:paraId="64ABA0E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10.8</w:t>
            </w:r>
          </w:p>
        </w:tc>
        <w:tc>
          <w:tcPr>
            <w:tcW w:w="1260" w:type="dxa"/>
          </w:tcPr>
          <w:p w14:paraId="27490DD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617</w:t>
            </w:r>
          </w:p>
        </w:tc>
        <w:tc>
          <w:tcPr>
            <w:tcW w:w="1550" w:type="dxa"/>
          </w:tcPr>
          <w:p w14:paraId="38A4F35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57.8</w:t>
            </w:r>
          </w:p>
        </w:tc>
        <w:tc>
          <w:tcPr>
            <w:tcW w:w="1241" w:type="dxa"/>
          </w:tcPr>
          <w:p w14:paraId="2B17D1E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3300</w:t>
            </w:r>
          </w:p>
        </w:tc>
      </w:tr>
      <w:tr w:rsidR="00201FE9" w:rsidRPr="00C86111" w14:paraId="0BAAA469" w14:textId="77777777" w:rsidTr="00BC765B">
        <w:tc>
          <w:tcPr>
            <w:cnfStyle w:val="001000000000" w:firstRow="0" w:lastRow="0" w:firstColumn="1" w:lastColumn="0" w:oddVBand="0" w:evenVBand="0" w:oddHBand="0" w:evenHBand="0" w:firstRowFirstColumn="0" w:firstRowLastColumn="0" w:lastRowFirstColumn="0" w:lastRowLastColumn="0"/>
            <w:tcW w:w="918" w:type="dxa"/>
            <w:vMerge/>
          </w:tcPr>
          <w:p w14:paraId="3F151F9E"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86AD02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2022</w:t>
            </w:r>
          </w:p>
        </w:tc>
        <w:tc>
          <w:tcPr>
            <w:tcW w:w="1268" w:type="dxa"/>
          </w:tcPr>
          <w:p w14:paraId="24C06D9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44058</w:t>
            </w:r>
          </w:p>
        </w:tc>
        <w:tc>
          <w:tcPr>
            <w:tcW w:w="1537" w:type="dxa"/>
          </w:tcPr>
          <w:p w14:paraId="053A0D2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10.8</w:t>
            </w:r>
          </w:p>
        </w:tc>
        <w:tc>
          <w:tcPr>
            <w:tcW w:w="1260" w:type="dxa"/>
          </w:tcPr>
          <w:p w14:paraId="1F1696D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476</w:t>
            </w:r>
          </w:p>
        </w:tc>
        <w:tc>
          <w:tcPr>
            <w:tcW w:w="1550" w:type="dxa"/>
          </w:tcPr>
          <w:p w14:paraId="40A46BA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57.8</w:t>
            </w:r>
          </w:p>
        </w:tc>
        <w:tc>
          <w:tcPr>
            <w:tcW w:w="1241" w:type="dxa"/>
          </w:tcPr>
          <w:p w14:paraId="7EC2A11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2547</w:t>
            </w:r>
          </w:p>
        </w:tc>
      </w:tr>
      <w:tr w:rsidR="00201FE9" w:rsidRPr="00C86111" w14:paraId="246ABE2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Merge/>
          </w:tcPr>
          <w:p w14:paraId="2C71F456"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AB756D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2023</w:t>
            </w:r>
          </w:p>
        </w:tc>
        <w:tc>
          <w:tcPr>
            <w:tcW w:w="1268" w:type="dxa"/>
          </w:tcPr>
          <w:p w14:paraId="568A660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40007</w:t>
            </w:r>
          </w:p>
        </w:tc>
        <w:tc>
          <w:tcPr>
            <w:tcW w:w="1537" w:type="dxa"/>
          </w:tcPr>
          <w:p w14:paraId="16789C5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10.8</w:t>
            </w:r>
          </w:p>
        </w:tc>
        <w:tc>
          <w:tcPr>
            <w:tcW w:w="1260" w:type="dxa"/>
          </w:tcPr>
          <w:p w14:paraId="2C129D3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432</w:t>
            </w:r>
          </w:p>
        </w:tc>
        <w:tc>
          <w:tcPr>
            <w:tcW w:w="1550" w:type="dxa"/>
          </w:tcPr>
          <w:p w14:paraId="6126C24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57.8</w:t>
            </w:r>
          </w:p>
        </w:tc>
        <w:tc>
          <w:tcPr>
            <w:tcW w:w="1241" w:type="dxa"/>
          </w:tcPr>
          <w:p w14:paraId="26F8734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2312</w:t>
            </w:r>
          </w:p>
        </w:tc>
      </w:tr>
    </w:tbl>
    <w:p w14:paraId="2E0D14AA" w14:textId="77777777" w:rsidR="00201FE9" w:rsidRPr="00C86111" w:rsidRDefault="00201FE9" w:rsidP="00201FE9">
      <w:pPr>
        <w:spacing w:line="276" w:lineRule="auto"/>
        <w:jc w:val="both"/>
        <w:rPr>
          <w:rFonts w:asciiTheme="minorHAnsi" w:hAnsiTheme="minorHAnsi" w:cstheme="minorHAnsi"/>
          <w:bCs/>
          <w:color w:val="auto"/>
          <w:szCs w:val="24"/>
          <w:lang w:val="sr-Latn-ME"/>
        </w:rPr>
      </w:pPr>
      <w:r w:rsidRPr="00C86111">
        <w:rPr>
          <w:rFonts w:asciiTheme="minorHAnsi" w:hAnsiTheme="minorHAnsi" w:cstheme="minorHAnsi"/>
          <w:bCs/>
          <w:color w:val="auto"/>
          <w:szCs w:val="24"/>
          <w:lang w:val="sr-Latn-ME"/>
        </w:rPr>
        <w:t>*Chen et al. (2021)</w:t>
      </w:r>
    </w:p>
    <w:p w14:paraId="46DE9054" w14:textId="77777777" w:rsidR="00201FE9" w:rsidRPr="00C86111" w:rsidRDefault="00201FE9" w:rsidP="00201FE9">
      <w:pPr>
        <w:spacing w:line="276" w:lineRule="auto"/>
        <w:jc w:val="both"/>
        <w:rPr>
          <w:rFonts w:asciiTheme="minorHAnsi" w:hAnsiTheme="minorHAnsi" w:cstheme="minorHAnsi"/>
          <w:bCs/>
          <w:color w:val="auto"/>
          <w:szCs w:val="24"/>
          <w:lang w:val="sr-Latn-ME"/>
        </w:rPr>
      </w:pPr>
    </w:p>
    <w:p w14:paraId="6353C6CC"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lastRenderedPageBreak/>
        <w:drawing>
          <wp:inline distT="0" distB="0" distL="0" distR="0" wp14:anchorId="1AB8F3E9" wp14:editId="4471EE30">
            <wp:extent cx="4823460" cy="2064327"/>
            <wp:effectExtent l="0" t="0" r="15240" b="12700"/>
            <wp:docPr id="1104071354" name="Chart 1104071354">
              <a:extLst xmlns:a="http://schemas.openxmlformats.org/drawingml/2006/main">
                <a:ext uri="{FF2B5EF4-FFF2-40B4-BE49-F238E27FC236}">
                  <a16:creationId xmlns:a16="http://schemas.microsoft.com/office/drawing/2014/main" id="{C94545FD-9AB7-471A-902E-16F61A249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FE699C" w14:textId="4784662F" w:rsidR="00201FE9" w:rsidRPr="00C86111" w:rsidRDefault="00201FE9" w:rsidP="00201FE9">
      <w:pPr>
        <w:spacing w:line="276" w:lineRule="auto"/>
        <w:jc w:val="center"/>
        <w:rPr>
          <w:rFonts w:asciiTheme="minorHAnsi" w:hAnsiTheme="minorHAnsi" w:cstheme="minorHAnsi"/>
          <w:i/>
          <w:iCs/>
          <w:color w:val="auto"/>
          <w:szCs w:val="24"/>
          <w:lang w:val="sr-Latn-ME"/>
        </w:rPr>
      </w:pPr>
      <w:r w:rsidRPr="00C86111">
        <w:rPr>
          <w:rFonts w:asciiTheme="minorHAnsi" w:hAnsiTheme="minorHAnsi" w:cstheme="minorHAnsi"/>
          <w:b/>
          <w:bCs/>
          <w:color w:val="auto"/>
          <w:szCs w:val="24"/>
          <w:lang w:val="sr-Latn-ME"/>
        </w:rPr>
        <w:t>Grafik 3</w:t>
      </w:r>
      <w:r w:rsidR="00547278">
        <w:rPr>
          <w:rFonts w:asciiTheme="minorHAnsi" w:hAnsiTheme="minorHAnsi" w:cstheme="minorHAnsi"/>
          <w:b/>
          <w:bCs/>
          <w:color w:val="auto"/>
          <w:szCs w:val="24"/>
          <w:lang w:val="sr-Latn-ME"/>
        </w:rPr>
        <w:t>8</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Procijenjena količina SCCP i MCCP u proizvodima sa HS kodom 4015 uvezenim u periodu 2017-2023</w:t>
      </w:r>
      <w:r w:rsidRPr="00C86111">
        <w:rPr>
          <w:rFonts w:asciiTheme="minorHAnsi" w:hAnsiTheme="minorHAnsi" w:cstheme="minorHAnsi"/>
          <w:i/>
          <w:iCs/>
          <w:color w:val="auto"/>
          <w:szCs w:val="24"/>
          <w:lang w:val="sr-Latn-ME"/>
        </w:rPr>
        <w:t>.</w:t>
      </w:r>
    </w:p>
    <w:p w14:paraId="7E2655EB"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p>
    <w:p w14:paraId="1FBB06D1" w14:textId="4DCC0205"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Grafik 3</w:t>
      </w:r>
      <w:r w:rsidR="00056E0C" w:rsidRPr="00C86111">
        <w:rPr>
          <w:rFonts w:asciiTheme="minorHAnsi" w:eastAsia="Times New Roman" w:hAnsiTheme="minorHAnsi" w:cstheme="minorHAnsi"/>
          <w:color w:val="auto"/>
          <w:szCs w:val="24"/>
          <w:lang w:val="sr-Latn-ME"/>
        </w:rPr>
        <w:t>6.</w:t>
      </w:r>
      <w:r w:rsidRPr="00C86111">
        <w:rPr>
          <w:rFonts w:asciiTheme="minorHAnsi" w:eastAsia="Times New Roman" w:hAnsiTheme="minorHAnsi" w:cstheme="minorHAnsi"/>
          <w:color w:val="auto"/>
          <w:szCs w:val="24"/>
          <w:lang w:val="sr-Latn-ME"/>
        </w:rPr>
        <w:t xml:space="preserve"> prikazuje procijenjene količine SCCP i MCCP u uvezenim gumenim proizvodima (HS kod 4015) od 2017. do 2023. godine. Oba jedinjenja su prisutna u značajnim količinama, pri čemu se količine SCCP kreću od 154 kg u 2017. do 617 kg u 2021. godini, a MCCP od 826 kg do 3300 kg u istom periodu. Iako količine uvoza variraju, opšti trend ukazuje na konstantno visoke nivoe ovih supstanci, što ističe značajnu potencijalnu izloženost u poređenju sa proizvodima sa nižim koncentracijama, kao što su HS 4009 ili HS 4010.</w:t>
      </w:r>
    </w:p>
    <w:p w14:paraId="65014FDF" w14:textId="65D728ED"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4A37AE" w:rsidRPr="00C86111">
        <w:rPr>
          <w:rFonts w:asciiTheme="minorHAnsi" w:eastAsia="Times New Roman" w:hAnsiTheme="minorHAnsi" w:cstheme="minorHAnsi"/>
          <w:color w:val="auto"/>
          <w:szCs w:val="24"/>
          <w:lang w:val="sr-Latn-ME"/>
        </w:rPr>
        <w:t>105.</w:t>
      </w:r>
      <w:r w:rsidRPr="00C86111">
        <w:rPr>
          <w:rFonts w:asciiTheme="minorHAnsi" w:eastAsia="Times New Roman" w:hAnsiTheme="minorHAnsi" w:cstheme="minorHAnsi"/>
          <w:color w:val="auto"/>
          <w:szCs w:val="24"/>
          <w:lang w:val="sr-Latn-ME"/>
        </w:rPr>
        <w:t xml:space="preserve"> i Grafik </w:t>
      </w:r>
      <w:r w:rsidR="004A37AE" w:rsidRPr="00C86111">
        <w:rPr>
          <w:rFonts w:asciiTheme="minorHAnsi" w:eastAsia="Times New Roman" w:hAnsiTheme="minorHAnsi" w:cstheme="minorHAnsi"/>
          <w:color w:val="auto"/>
          <w:szCs w:val="24"/>
          <w:lang w:val="sr-Latn-ME"/>
        </w:rPr>
        <w:t>3</w:t>
      </w:r>
      <w:r w:rsidR="00547278">
        <w:rPr>
          <w:rFonts w:asciiTheme="minorHAnsi" w:eastAsia="Times New Roman" w:hAnsiTheme="minorHAnsi" w:cstheme="minorHAnsi"/>
          <w:color w:val="auto"/>
          <w:szCs w:val="24"/>
          <w:lang w:val="sr-Latn-ME"/>
        </w:rPr>
        <w:t>9</w:t>
      </w:r>
      <w:r w:rsidR="004A37AE"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prikazuju pregled količina uvezenih gumenih proizvoda sa HS kodom 4016 iz Kine za period 2017-2023, kao i izračunate količine SCCP i MCCP.</w:t>
      </w:r>
    </w:p>
    <w:p w14:paraId="7EB11D89" w14:textId="77777777" w:rsidR="002E5AB7" w:rsidRDefault="002E5AB7" w:rsidP="00201FE9">
      <w:pPr>
        <w:pStyle w:val="Caption"/>
        <w:keepNext/>
        <w:rPr>
          <w:rFonts w:cstheme="minorHAnsi"/>
          <w:bCs/>
          <w:sz w:val="24"/>
          <w:szCs w:val="24"/>
        </w:rPr>
      </w:pPr>
      <w:bookmarkStart w:id="396" w:name="_Toc210743916"/>
    </w:p>
    <w:p w14:paraId="7E6216F1" w14:textId="433FB936" w:rsidR="00201FE9" w:rsidRPr="00C86111" w:rsidRDefault="00201FE9" w:rsidP="00201FE9">
      <w:pPr>
        <w:pStyle w:val="Caption"/>
        <w:keepNext/>
        <w:rPr>
          <w:rFonts w:cstheme="minorHAnsi"/>
          <w:b w:val="0"/>
          <w:bCs/>
          <w:sz w:val="24"/>
          <w:szCs w:val="24"/>
        </w:rPr>
      </w:pPr>
      <w:r w:rsidRPr="00C86111">
        <w:rPr>
          <w:rFonts w:cstheme="minorHAnsi"/>
          <w:bCs/>
          <w:sz w:val="24"/>
          <w:szCs w:val="24"/>
        </w:rPr>
        <w:t xml:space="preserve">Tabela </w:t>
      </w:r>
      <w:r w:rsidR="004A37AE" w:rsidRPr="0042690B">
        <w:rPr>
          <w:rFonts w:cstheme="minorHAnsi"/>
          <w:sz w:val="24"/>
          <w:szCs w:val="24"/>
        </w:rPr>
        <w:t>105</w:t>
      </w:r>
      <w:r w:rsidRPr="0042690B">
        <w:rPr>
          <w:rFonts w:cstheme="minorHAnsi"/>
          <w:sz w:val="24"/>
          <w:szCs w:val="24"/>
        </w:rPr>
        <w:t>.</w:t>
      </w:r>
      <w:r w:rsidRPr="00C86111">
        <w:rPr>
          <w:rFonts w:cstheme="minorHAnsi"/>
          <w:sz w:val="24"/>
          <w:szCs w:val="24"/>
        </w:rPr>
        <w:t xml:space="preserve"> </w:t>
      </w:r>
      <w:r w:rsidRPr="00C86111">
        <w:rPr>
          <w:rFonts w:cstheme="minorHAnsi"/>
          <w:b w:val="0"/>
          <w:bCs/>
          <w:sz w:val="24"/>
          <w:szCs w:val="24"/>
        </w:rPr>
        <w:t>Količine uvezenih gumenih proizvoda sa HS kodom 4016 za period 2017-2023 i procijenjene količine SCCP i MCCP</w:t>
      </w:r>
      <w:bookmarkEnd w:id="396"/>
    </w:p>
    <w:tbl>
      <w:tblPr>
        <w:tblStyle w:val="GridTable5Dark-Accent6"/>
        <w:tblW w:w="9016" w:type="dxa"/>
        <w:tblLook w:val="04A0" w:firstRow="1" w:lastRow="0" w:firstColumn="1" w:lastColumn="0" w:noHBand="0" w:noVBand="1"/>
      </w:tblPr>
      <w:tblGrid>
        <w:gridCol w:w="974"/>
        <w:gridCol w:w="926"/>
        <w:gridCol w:w="1248"/>
        <w:gridCol w:w="1609"/>
        <w:gridCol w:w="1261"/>
        <w:gridCol w:w="1692"/>
        <w:gridCol w:w="1306"/>
      </w:tblGrid>
      <w:tr w:rsidR="00201FE9" w:rsidRPr="00C86111" w14:paraId="7459FEBF" w14:textId="77777777" w:rsidTr="002E5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14172233"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26" w:type="dxa"/>
            <w:hideMark/>
          </w:tcPr>
          <w:p w14:paraId="5687C1BD"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248" w:type="dxa"/>
            <w:hideMark/>
          </w:tcPr>
          <w:p w14:paraId="312046E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09" w:type="dxa"/>
          </w:tcPr>
          <w:p w14:paraId="3E4BE9B3"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0151483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61" w:type="dxa"/>
          </w:tcPr>
          <w:p w14:paraId="264BB40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692" w:type="dxa"/>
          </w:tcPr>
          <w:p w14:paraId="41455E4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1D3EE64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306" w:type="dxa"/>
          </w:tcPr>
          <w:p w14:paraId="11152C8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5AF08638"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val="restart"/>
          </w:tcPr>
          <w:p w14:paraId="3B8EDF12"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4016</w:t>
            </w:r>
          </w:p>
        </w:tc>
        <w:tc>
          <w:tcPr>
            <w:tcW w:w="926" w:type="dxa"/>
          </w:tcPr>
          <w:p w14:paraId="73108EC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2017</w:t>
            </w:r>
          </w:p>
        </w:tc>
        <w:tc>
          <w:tcPr>
            <w:tcW w:w="1248" w:type="dxa"/>
          </w:tcPr>
          <w:p w14:paraId="5D424EF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306001</w:t>
            </w:r>
          </w:p>
        </w:tc>
        <w:tc>
          <w:tcPr>
            <w:tcW w:w="1609" w:type="dxa"/>
          </w:tcPr>
          <w:p w14:paraId="53DB6E0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261" w:type="dxa"/>
          </w:tcPr>
          <w:p w14:paraId="241A0E9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857</w:t>
            </w:r>
          </w:p>
        </w:tc>
        <w:tc>
          <w:tcPr>
            <w:tcW w:w="1692" w:type="dxa"/>
          </w:tcPr>
          <w:p w14:paraId="16AF7CB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122.4</w:t>
            </w:r>
          </w:p>
        </w:tc>
        <w:tc>
          <w:tcPr>
            <w:tcW w:w="1306" w:type="dxa"/>
          </w:tcPr>
          <w:p w14:paraId="655076F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37455</w:t>
            </w:r>
          </w:p>
        </w:tc>
      </w:tr>
      <w:tr w:rsidR="00201FE9" w:rsidRPr="00C86111" w14:paraId="62631B64"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5859FDCA"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0F6A1A5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2018</w:t>
            </w:r>
          </w:p>
        </w:tc>
        <w:tc>
          <w:tcPr>
            <w:tcW w:w="1248" w:type="dxa"/>
          </w:tcPr>
          <w:p w14:paraId="7481E51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166509</w:t>
            </w:r>
          </w:p>
        </w:tc>
        <w:tc>
          <w:tcPr>
            <w:tcW w:w="1609" w:type="dxa"/>
          </w:tcPr>
          <w:p w14:paraId="363E302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261" w:type="dxa"/>
          </w:tcPr>
          <w:p w14:paraId="0ACABDD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466</w:t>
            </w:r>
          </w:p>
        </w:tc>
        <w:tc>
          <w:tcPr>
            <w:tcW w:w="1692" w:type="dxa"/>
          </w:tcPr>
          <w:p w14:paraId="1EE26B6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122.4</w:t>
            </w:r>
          </w:p>
        </w:tc>
        <w:tc>
          <w:tcPr>
            <w:tcW w:w="1306" w:type="dxa"/>
          </w:tcPr>
          <w:p w14:paraId="6F3F170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20381</w:t>
            </w:r>
          </w:p>
        </w:tc>
      </w:tr>
      <w:tr w:rsidR="00201FE9" w:rsidRPr="00C86111" w14:paraId="66B8778E"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0F1EBFD8"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29B2864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2019</w:t>
            </w:r>
          </w:p>
        </w:tc>
        <w:tc>
          <w:tcPr>
            <w:tcW w:w="1248" w:type="dxa"/>
          </w:tcPr>
          <w:p w14:paraId="40D53BB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169499</w:t>
            </w:r>
          </w:p>
        </w:tc>
        <w:tc>
          <w:tcPr>
            <w:tcW w:w="1609" w:type="dxa"/>
          </w:tcPr>
          <w:p w14:paraId="4F6095A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261" w:type="dxa"/>
          </w:tcPr>
          <w:p w14:paraId="4758F32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475</w:t>
            </w:r>
          </w:p>
        </w:tc>
        <w:tc>
          <w:tcPr>
            <w:tcW w:w="1692" w:type="dxa"/>
          </w:tcPr>
          <w:p w14:paraId="3A757C8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122.4</w:t>
            </w:r>
          </w:p>
        </w:tc>
        <w:tc>
          <w:tcPr>
            <w:tcW w:w="1306" w:type="dxa"/>
          </w:tcPr>
          <w:p w14:paraId="4836506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20747</w:t>
            </w:r>
          </w:p>
        </w:tc>
      </w:tr>
      <w:tr w:rsidR="00201FE9" w:rsidRPr="00C86111" w14:paraId="632D806F"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4DCF7C7E"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2BE7DBE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2020</w:t>
            </w:r>
          </w:p>
        </w:tc>
        <w:tc>
          <w:tcPr>
            <w:tcW w:w="1248" w:type="dxa"/>
          </w:tcPr>
          <w:p w14:paraId="78ECA0A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125489</w:t>
            </w:r>
          </w:p>
        </w:tc>
        <w:tc>
          <w:tcPr>
            <w:tcW w:w="1609" w:type="dxa"/>
          </w:tcPr>
          <w:p w14:paraId="28DC488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261" w:type="dxa"/>
          </w:tcPr>
          <w:p w14:paraId="25D6B09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351</w:t>
            </w:r>
          </w:p>
        </w:tc>
        <w:tc>
          <w:tcPr>
            <w:tcW w:w="1692" w:type="dxa"/>
          </w:tcPr>
          <w:p w14:paraId="38426DD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122.4</w:t>
            </w:r>
          </w:p>
        </w:tc>
        <w:tc>
          <w:tcPr>
            <w:tcW w:w="1306" w:type="dxa"/>
          </w:tcPr>
          <w:p w14:paraId="677DE0F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15360</w:t>
            </w:r>
          </w:p>
        </w:tc>
      </w:tr>
      <w:tr w:rsidR="00201FE9" w:rsidRPr="00C86111" w14:paraId="4A3AA417"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63A50E72"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4E28096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2021</w:t>
            </w:r>
          </w:p>
        </w:tc>
        <w:tc>
          <w:tcPr>
            <w:tcW w:w="1248" w:type="dxa"/>
          </w:tcPr>
          <w:p w14:paraId="70FC792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73546</w:t>
            </w:r>
          </w:p>
        </w:tc>
        <w:tc>
          <w:tcPr>
            <w:tcW w:w="1609" w:type="dxa"/>
          </w:tcPr>
          <w:p w14:paraId="20C169E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261" w:type="dxa"/>
          </w:tcPr>
          <w:p w14:paraId="3708590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206</w:t>
            </w:r>
          </w:p>
        </w:tc>
        <w:tc>
          <w:tcPr>
            <w:tcW w:w="1692" w:type="dxa"/>
          </w:tcPr>
          <w:p w14:paraId="564C050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122.4</w:t>
            </w:r>
          </w:p>
        </w:tc>
        <w:tc>
          <w:tcPr>
            <w:tcW w:w="1306" w:type="dxa"/>
          </w:tcPr>
          <w:p w14:paraId="3D6AEE0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9002</w:t>
            </w:r>
          </w:p>
        </w:tc>
      </w:tr>
      <w:tr w:rsidR="00201FE9" w:rsidRPr="00C86111" w14:paraId="6A0A9A94" w14:textId="77777777" w:rsidTr="002E5AB7">
        <w:tc>
          <w:tcPr>
            <w:cnfStyle w:val="001000000000" w:firstRow="0" w:lastRow="0" w:firstColumn="1" w:lastColumn="0" w:oddVBand="0" w:evenVBand="0" w:oddHBand="0" w:evenHBand="0" w:firstRowFirstColumn="0" w:firstRowLastColumn="0" w:lastRowFirstColumn="0" w:lastRowLastColumn="0"/>
            <w:tcW w:w="974" w:type="dxa"/>
            <w:vMerge/>
          </w:tcPr>
          <w:p w14:paraId="46B5D182"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4833492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2022</w:t>
            </w:r>
          </w:p>
        </w:tc>
        <w:tc>
          <w:tcPr>
            <w:tcW w:w="1248" w:type="dxa"/>
          </w:tcPr>
          <w:p w14:paraId="728B6B8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91422</w:t>
            </w:r>
          </w:p>
        </w:tc>
        <w:tc>
          <w:tcPr>
            <w:tcW w:w="1609" w:type="dxa"/>
          </w:tcPr>
          <w:p w14:paraId="69AA44D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261" w:type="dxa"/>
          </w:tcPr>
          <w:p w14:paraId="441F913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256</w:t>
            </w:r>
          </w:p>
        </w:tc>
        <w:tc>
          <w:tcPr>
            <w:tcW w:w="1692" w:type="dxa"/>
          </w:tcPr>
          <w:p w14:paraId="0A1201A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122.4</w:t>
            </w:r>
          </w:p>
        </w:tc>
        <w:tc>
          <w:tcPr>
            <w:tcW w:w="1306" w:type="dxa"/>
          </w:tcPr>
          <w:p w14:paraId="6FD56ED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11190</w:t>
            </w:r>
          </w:p>
        </w:tc>
      </w:tr>
      <w:tr w:rsidR="00201FE9" w:rsidRPr="00C86111" w14:paraId="6458A5F8"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vMerge/>
          </w:tcPr>
          <w:p w14:paraId="33D9037F"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26" w:type="dxa"/>
          </w:tcPr>
          <w:p w14:paraId="2767EFE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2023</w:t>
            </w:r>
          </w:p>
        </w:tc>
        <w:tc>
          <w:tcPr>
            <w:tcW w:w="1248" w:type="dxa"/>
          </w:tcPr>
          <w:p w14:paraId="596B902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117152</w:t>
            </w:r>
          </w:p>
        </w:tc>
        <w:tc>
          <w:tcPr>
            <w:tcW w:w="1609" w:type="dxa"/>
          </w:tcPr>
          <w:p w14:paraId="0E858E6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1261" w:type="dxa"/>
          </w:tcPr>
          <w:p w14:paraId="34B47FF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328</w:t>
            </w:r>
          </w:p>
        </w:tc>
        <w:tc>
          <w:tcPr>
            <w:tcW w:w="1692" w:type="dxa"/>
          </w:tcPr>
          <w:p w14:paraId="0B9D5D2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122.4</w:t>
            </w:r>
          </w:p>
        </w:tc>
        <w:tc>
          <w:tcPr>
            <w:tcW w:w="1306" w:type="dxa"/>
          </w:tcPr>
          <w:p w14:paraId="2F0B6CC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14339</w:t>
            </w:r>
          </w:p>
        </w:tc>
      </w:tr>
    </w:tbl>
    <w:p w14:paraId="37E40438"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4182AC1D"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4D11B139"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lastRenderedPageBreak/>
        <w:drawing>
          <wp:inline distT="0" distB="0" distL="0" distR="0" wp14:anchorId="61CB7849" wp14:editId="55D261FC">
            <wp:extent cx="4785360" cy="2316480"/>
            <wp:effectExtent l="0" t="0" r="15240" b="7620"/>
            <wp:docPr id="961637862" name="Chart 961637862">
              <a:extLst xmlns:a="http://schemas.openxmlformats.org/drawingml/2006/main">
                <a:ext uri="{FF2B5EF4-FFF2-40B4-BE49-F238E27FC236}">
                  <a16:creationId xmlns:a16="http://schemas.microsoft.com/office/drawing/2014/main" id="{4D226F18-CBFD-4A7B-8296-D1A649F85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AC8A5A2" w14:textId="550BE00D"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4A37AE" w:rsidRPr="00C86111">
        <w:rPr>
          <w:rFonts w:asciiTheme="minorHAnsi" w:hAnsiTheme="minorHAnsi" w:cstheme="minorHAnsi"/>
          <w:b/>
          <w:bCs/>
          <w:color w:val="auto"/>
          <w:szCs w:val="24"/>
          <w:lang w:val="sr-Latn-ME"/>
        </w:rPr>
        <w:t>3</w:t>
      </w:r>
      <w:r w:rsidR="00547278">
        <w:rPr>
          <w:rFonts w:asciiTheme="minorHAnsi" w:hAnsiTheme="minorHAnsi" w:cstheme="minorHAnsi"/>
          <w:b/>
          <w:bCs/>
          <w:color w:val="auto"/>
          <w:szCs w:val="24"/>
          <w:lang w:val="sr-Latn-ME"/>
        </w:rPr>
        <w:t>9</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Procijenjena količina SCCP i MCCP u proizvodima sa HS kodom 4016 uvezenim u periodu 2017-2023.</w:t>
      </w:r>
    </w:p>
    <w:p w14:paraId="3E870E18"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5E348B2E" w14:textId="6AF47F91"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Grafik </w:t>
      </w:r>
      <w:r w:rsidR="00056E0C" w:rsidRPr="00C86111">
        <w:rPr>
          <w:rFonts w:asciiTheme="minorHAnsi" w:hAnsiTheme="minorHAnsi" w:cstheme="minorHAnsi"/>
          <w:color w:val="auto"/>
          <w:szCs w:val="24"/>
          <w:lang w:val="sr-Latn-ME"/>
        </w:rPr>
        <w:t>37.</w:t>
      </w:r>
      <w:r w:rsidRPr="00C86111">
        <w:rPr>
          <w:rFonts w:asciiTheme="minorHAnsi" w:hAnsiTheme="minorHAnsi" w:cstheme="minorHAnsi"/>
          <w:color w:val="auto"/>
          <w:szCs w:val="24"/>
          <w:lang w:val="sr-Latn-ME"/>
        </w:rPr>
        <w:t xml:space="preserve"> prikazuje procijenjene količine SCCP i MCCP u uvezenim gumenim proizvodima (HS kod 4016) od 2017. do 2023. godine. MCCP je prisutan u veoma velikim količinama, u rasponu od 37454 kg u 2017. do 14339 kg u 2023. godini, dok je SCCP mnogo manji, u rasponu od 857 kg do 328 kg. Generalno, trend pokazuje pad količina uvoza i odgovarajućih količina oba jedinjenja do 2021. godine, nakon čega slijedi postepeno povećanje u periodu 2022–2023. Ovi podaci ukazuju da proizvodi iz HS koda 4016 doprinose najvećoj potencijalnoj izloženosti MCCP među proučavanim HS kodovima.</w:t>
      </w:r>
    </w:p>
    <w:p w14:paraId="20CC4319" w14:textId="77777777" w:rsidR="00201FE9" w:rsidRPr="00C86111" w:rsidRDefault="00201FE9" w:rsidP="00201FE9">
      <w:pPr>
        <w:spacing w:line="276" w:lineRule="auto"/>
        <w:jc w:val="both"/>
        <w:rPr>
          <w:rFonts w:asciiTheme="minorHAnsi" w:hAnsiTheme="minorHAnsi" w:cstheme="minorHAnsi"/>
          <w:color w:val="auto"/>
          <w:szCs w:val="24"/>
          <w:lang w:val="sr-Latn-ME"/>
        </w:rPr>
      </w:pPr>
    </w:p>
    <w:p w14:paraId="5736D253" w14:textId="0B04A594"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Na </w:t>
      </w:r>
      <w:r w:rsidR="00056E0C" w:rsidRPr="00C86111">
        <w:rPr>
          <w:rFonts w:asciiTheme="minorHAnsi" w:eastAsia="Times New Roman" w:hAnsiTheme="minorHAnsi" w:cstheme="minorHAnsi"/>
          <w:color w:val="auto"/>
          <w:szCs w:val="24"/>
          <w:lang w:val="sr-Latn-ME"/>
        </w:rPr>
        <w:t xml:space="preserve">grafiku </w:t>
      </w:r>
      <w:r w:rsidR="00547278">
        <w:rPr>
          <w:rFonts w:asciiTheme="minorHAnsi" w:eastAsia="Times New Roman" w:hAnsiTheme="minorHAnsi" w:cstheme="minorHAnsi"/>
          <w:color w:val="auto"/>
          <w:szCs w:val="24"/>
          <w:lang w:val="sr-Latn-ME"/>
        </w:rPr>
        <w:t>40</w:t>
      </w:r>
      <w:r w:rsidR="00056E0C"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prikazan je pregled procentualne raspodjele uvoza različitih gumenih proizvoda iz Kine za period 2017-2023.</w:t>
      </w:r>
    </w:p>
    <w:p w14:paraId="6D2F957D"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0305D5BF" wp14:editId="11E5A1A8">
            <wp:extent cx="4861560" cy="2499360"/>
            <wp:effectExtent l="0" t="0" r="0" b="0"/>
            <wp:docPr id="735140336" name="Chart 735140336">
              <a:extLst xmlns:a="http://schemas.openxmlformats.org/drawingml/2006/main">
                <a:ext uri="{FF2B5EF4-FFF2-40B4-BE49-F238E27FC236}">
                  <a16:creationId xmlns:a16="http://schemas.microsoft.com/office/drawing/2014/main" id="{3D0A8057-6D59-1615-0CFE-03733B3D9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586C65C" w14:textId="78540AB8" w:rsidR="00201FE9" w:rsidRPr="00C86111" w:rsidRDefault="00056E0C"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547278">
        <w:rPr>
          <w:rFonts w:asciiTheme="minorHAnsi" w:hAnsiTheme="minorHAnsi" w:cstheme="minorHAnsi"/>
          <w:b/>
          <w:bCs/>
          <w:color w:val="auto"/>
          <w:szCs w:val="24"/>
          <w:lang w:val="sr-Latn-ME"/>
        </w:rPr>
        <w:t>40</w:t>
      </w:r>
      <w:r w:rsidR="00201FE9" w:rsidRPr="00C86111">
        <w:rPr>
          <w:rFonts w:asciiTheme="minorHAnsi" w:hAnsiTheme="minorHAnsi" w:cstheme="minorHAnsi"/>
          <w:b/>
          <w:bCs/>
          <w:color w:val="auto"/>
          <w:szCs w:val="24"/>
          <w:lang w:val="sr-Latn-ME"/>
        </w:rPr>
        <w:t xml:space="preserve">. </w:t>
      </w:r>
      <w:r w:rsidR="00201FE9" w:rsidRPr="00C86111">
        <w:rPr>
          <w:rFonts w:asciiTheme="minorHAnsi" w:hAnsiTheme="minorHAnsi" w:cstheme="minorHAnsi"/>
          <w:color w:val="auto"/>
          <w:szCs w:val="24"/>
          <w:lang w:val="sr-Latn-ME"/>
        </w:rPr>
        <w:t>Procentualna raspodčela različitih kategorija gume uvezene iz Kine za period 2017-2023</w:t>
      </w:r>
    </w:p>
    <w:p w14:paraId="2E748B45"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480F935C" w14:textId="7750F8E3" w:rsidR="00201FE9" w:rsidRPr="00C86111" w:rsidRDefault="00056E0C"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Grafik 38.</w:t>
      </w:r>
      <w:r w:rsidR="00201FE9" w:rsidRPr="00C86111">
        <w:rPr>
          <w:rFonts w:asciiTheme="minorHAnsi" w:hAnsiTheme="minorHAnsi" w:cstheme="minorHAnsi"/>
          <w:color w:val="auto"/>
          <w:szCs w:val="24"/>
          <w:lang w:val="sr-Latn-ME"/>
        </w:rPr>
        <w:t xml:space="preserve"> prikazuje procentualnu raspodjelu različitih kategorija gumenih proizvoda uvezenih iz Kine tokom perioda 2017–2023. Podaci ilustruju koje HS oznake dominiraju u uvozu, ističući relativni udio svake kategorije u ukupnoj količini. Ovaj pregled pomaže u identifikaciji glavnih izvora uvezene gume i kategorija koje najviše doprinose potencijalnoj izloženosti SCCP i MCCP.</w:t>
      </w:r>
    </w:p>
    <w:p w14:paraId="17C96C24" w14:textId="77777777" w:rsidR="00201FE9" w:rsidRPr="00C86111" w:rsidRDefault="00201FE9" w:rsidP="00EA6904">
      <w:pPr>
        <w:pStyle w:val="Heading4"/>
      </w:pPr>
      <w:bookmarkStart w:id="397" w:name="_Toc210744975"/>
      <w:r w:rsidRPr="00C86111">
        <w:t>PVC</w:t>
      </w:r>
      <w:bookmarkEnd w:id="397"/>
      <w:r w:rsidRPr="00C86111">
        <w:t xml:space="preserve"> </w:t>
      </w:r>
    </w:p>
    <w:p w14:paraId="1A56CD06" w14:textId="436393C3"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056E0C" w:rsidRPr="00C86111">
        <w:rPr>
          <w:rFonts w:asciiTheme="minorHAnsi" w:eastAsia="Times New Roman" w:hAnsiTheme="minorHAnsi" w:cstheme="minorHAnsi"/>
          <w:color w:val="auto"/>
          <w:szCs w:val="24"/>
          <w:lang w:val="sr-Latn-ME"/>
        </w:rPr>
        <w:t>106.</w:t>
      </w:r>
      <w:r w:rsidRPr="00C86111">
        <w:rPr>
          <w:rFonts w:asciiTheme="minorHAnsi" w:eastAsia="Times New Roman" w:hAnsiTheme="minorHAnsi" w:cstheme="minorHAnsi"/>
          <w:color w:val="auto"/>
          <w:szCs w:val="24"/>
          <w:lang w:val="sr-Latn-ME"/>
        </w:rPr>
        <w:t xml:space="preserve"> i Grafik </w:t>
      </w:r>
      <w:r w:rsidR="00547278">
        <w:rPr>
          <w:rFonts w:asciiTheme="minorHAnsi" w:eastAsia="Times New Roman" w:hAnsiTheme="minorHAnsi" w:cstheme="minorHAnsi"/>
          <w:color w:val="auto"/>
          <w:szCs w:val="24"/>
          <w:lang w:val="sr-Latn-ME"/>
        </w:rPr>
        <w:t>41</w:t>
      </w:r>
      <w:r w:rsidR="00056E0C"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prikazuju pregled količina uvezenih PVC proizvoda sa HS kodom 3921120000 iz Kine za period 2017-2023, kao i izračunate količine SCCP i MCCP.</w:t>
      </w:r>
    </w:p>
    <w:p w14:paraId="0F040F96" w14:textId="77777777" w:rsidR="00201FE9" w:rsidRPr="00C86111" w:rsidRDefault="00201FE9" w:rsidP="00201FE9">
      <w:pPr>
        <w:spacing w:line="276" w:lineRule="auto"/>
        <w:rPr>
          <w:rFonts w:asciiTheme="minorHAnsi" w:eastAsia="Times New Roman" w:hAnsiTheme="minorHAnsi" w:cstheme="minorHAnsi"/>
          <w:color w:val="auto"/>
          <w:szCs w:val="24"/>
          <w:lang w:val="sr-Latn-ME"/>
        </w:rPr>
      </w:pPr>
    </w:p>
    <w:p w14:paraId="29D6AE02" w14:textId="2BB6BD1C" w:rsidR="00201FE9" w:rsidRPr="00C86111" w:rsidRDefault="00201FE9" w:rsidP="0042690B">
      <w:pPr>
        <w:pStyle w:val="Caption"/>
        <w:keepNext/>
        <w:rPr>
          <w:rFonts w:cstheme="minorHAnsi"/>
          <w:b w:val="0"/>
          <w:bCs/>
          <w:sz w:val="24"/>
          <w:szCs w:val="24"/>
        </w:rPr>
      </w:pPr>
      <w:bookmarkStart w:id="398" w:name="_Toc210743917"/>
      <w:r w:rsidRPr="00C86111">
        <w:rPr>
          <w:rFonts w:cstheme="minorHAnsi"/>
          <w:bCs/>
          <w:sz w:val="24"/>
          <w:szCs w:val="24"/>
        </w:rPr>
        <w:t xml:space="preserve">Tabela </w:t>
      </w:r>
      <w:r w:rsidR="00056E0C" w:rsidRPr="00C86111">
        <w:rPr>
          <w:rFonts w:cstheme="minorHAnsi"/>
          <w:sz w:val="24"/>
          <w:szCs w:val="24"/>
        </w:rPr>
        <w:t>106</w:t>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gumenih proizvoda sa HS kodom 3921120000 za period 2017-2023 i procijenjene količine SCCP i MCCP</w:t>
      </w:r>
      <w:bookmarkEnd w:id="398"/>
    </w:p>
    <w:tbl>
      <w:tblPr>
        <w:tblStyle w:val="GridTable5Dark-Accent6"/>
        <w:tblW w:w="9016" w:type="dxa"/>
        <w:tblLook w:val="04A0" w:firstRow="1" w:lastRow="0" w:firstColumn="1" w:lastColumn="0" w:noHBand="0" w:noVBand="1"/>
      </w:tblPr>
      <w:tblGrid>
        <w:gridCol w:w="1265"/>
        <w:gridCol w:w="915"/>
        <w:gridCol w:w="1093"/>
        <w:gridCol w:w="1657"/>
        <w:gridCol w:w="1215"/>
        <w:gridCol w:w="1623"/>
        <w:gridCol w:w="1248"/>
      </w:tblGrid>
      <w:tr w:rsidR="00201FE9" w:rsidRPr="00C86111" w14:paraId="409D37A0"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Pr>
          <w:p w14:paraId="2BDE4544"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890" w:type="dxa"/>
            <w:hideMark/>
          </w:tcPr>
          <w:p w14:paraId="0914009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063" w:type="dxa"/>
            <w:hideMark/>
          </w:tcPr>
          <w:p w14:paraId="5F66A3B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11" w:type="dxa"/>
          </w:tcPr>
          <w:p w14:paraId="7FA3E35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4D56945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181" w:type="dxa"/>
          </w:tcPr>
          <w:p w14:paraId="0D84DB5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578" w:type="dxa"/>
          </w:tcPr>
          <w:p w14:paraId="3CDF725F"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6333713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13" w:type="dxa"/>
          </w:tcPr>
          <w:p w14:paraId="478B287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7E16DC9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val="restart"/>
          </w:tcPr>
          <w:p w14:paraId="6A6BC466"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3921120000</w:t>
            </w:r>
          </w:p>
        </w:tc>
        <w:tc>
          <w:tcPr>
            <w:tcW w:w="890" w:type="dxa"/>
          </w:tcPr>
          <w:p w14:paraId="435A5DA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063" w:type="dxa"/>
          </w:tcPr>
          <w:p w14:paraId="7CC7153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2807</w:t>
            </w:r>
          </w:p>
        </w:tc>
        <w:tc>
          <w:tcPr>
            <w:tcW w:w="1611" w:type="dxa"/>
          </w:tcPr>
          <w:p w14:paraId="7C8611D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181" w:type="dxa"/>
          </w:tcPr>
          <w:p w14:paraId="3E67086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2.3</w:t>
            </w:r>
          </w:p>
        </w:tc>
        <w:tc>
          <w:tcPr>
            <w:tcW w:w="1578" w:type="dxa"/>
          </w:tcPr>
          <w:p w14:paraId="11B9F9D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13" w:type="dxa"/>
          </w:tcPr>
          <w:p w14:paraId="26B1625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0.28</w:t>
            </w:r>
          </w:p>
        </w:tc>
      </w:tr>
      <w:tr w:rsidR="00201FE9" w:rsidRPr="00C86111" w14:paraId="7ED22C90"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4E19EBD7"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5379868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063" w:type="dxa"/>
          </w:tcPr>
          <w:p w14:paraId="782AA05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3327</w:t>
            </w:r>
          </w:p>
        </w:tc>
        <w:tc>
          <w:tcPr>
            <w:tcW w:w="1611" w:type="dxa"/>
          </w:tcPr>
          <w:p w14:paraId="1656056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181" w:type="dxa"/>
          </w:tcPr>
          <w:p w14:paraId="7D19BAC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2.7</w:t>
            </w:r>
          </w:p>
        </w:tc>
        <w:tc>
          <w:tcPr>
            <w:tcW w:w="1578" w:type="dxa"/>
          </w:tcPr>
          <w:p w14:paraId="5F200C6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13" w:type="dxa"/>
          </w:tcPr>
          <w:p w14:paraId="6B88EBF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0.33</w:t>
            </w:r>
          </w:p>
        </w:tc>
      </w:tr>
      <w:tr w:rsidR="00201FE9" w:rsidRPr="00C86111" w14:paraId="5B0250D7"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600480A1"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7C7851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063" w:type="dxa"/>
          </w:tcPr>
          <w:p w14:paraId="2C4AA79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6431</w:t>
            </w:r>
          </w:p>
        </w:tc>
        <w:tc>
          <w:tcPr>
            <w:tcW w:w="1611" w:type="dxa"/>
          </w:tcPr>
          <w:p w14:paraId="470B2D1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181" w:type="dxa"/>
          </w:tcPr>
          <w:p w14:paraId="12CD5C7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5.1</w:t>
            </w:r>
          </w:p>
        </w:tc>
        <w:tc>
          <w:tcPr>
            <w:tcW w:w="1578" w:type="dxa"/>
          </w:tcPr>
          <w:p w14:paraId="6B601E6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13" w:type="dxa"/>
          </w:tcPr>
          <w:p w14:paraId="617B874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0.64</w:t>
            </w:r>
          </w:p>
        </w:tc>
      </w:tr>
      <w:tr w:rsidR="00201FE9" w:rsidRPr="00C86111" w14:paraId="04AAD38A"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02E426F8"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05B7A9E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063" w:type="dxa"/>
          </w:tcPr>
          <w:p w14:paraId="71FE948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8599</w:t>
            </w:r>
          </w:p>
        </w:tc>
        <w:tc>
          <w:tcPr>
            <w:tcW w:w="1611" w:type="dxa"/>
          </w:tcPr>
          <w:p w14:paraId="4E9609E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181" w:type="dxa"/>
          </w:tcPr>
          <w:p w14:paraId="6D06DD6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6.9</w:t>
            </w:r>
          </w:p>
        </w:tc>
        <w:tc>
          <w:tcPr>
            <w:tcW w:w="1578" w:type="dxa"/>
          </w:tcPr>
          <w:p w14:paraId="3B6977C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13" w:type="dxa"/>
          </w:tcPr>
          <w:p w14:paraId="582453A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0.86</w:t>
            </w:r>
          </w:p>
        </w:tc>
      </w:tr>
      <w:tr w:rsidR="00201FE9" w:rsidRPr="00C86111" w14:paraId="51A178BE"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288217BF"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1D5C03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063" w:type="dxa"/>
          </w:tcPr>
          <w:p w14:paraId="203C094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11886</w:t>
            </w:r>
          </w:p>
        </w:tc>
        <w:tc>
          <w:tcPr>
            <w:tcW w:w="1611" w:type="dxa"/>
          </w:tcPr>
          <w:p w14:paraId="3A3C8F9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181" w:type="dxa"/>
          </w:tcPr>
          <w:p w14:paraId="405E0A9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9.5</w:t>
            </w:r>
          </w:p>
        </w:tc>
        <w:tc>
          <w:tcPr>
            <w:tcW w:w="1578" w:type="dxa"/>
          </w:tcPr>
          <w:p w14:paraId="72C9488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13" w:type="dxa"/>
          </w:tcPr>
          <w:p w14:paraId="2EF03EA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1.2</w:t>
            </w:r>
          </w:p>
        </w:tc>
      </w:tr>
      <w:tr w:rsidR="00201FE9" w:rsidRPr="00C86111" w14:paraId="4F126041"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3AA20191"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7422EAC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063" w:type="dxa"/>
          </w:tcPr>
          <w:p w14:paraId="7A95724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14154</w:t>
            </w:r>
          </w:p>
        </w:tc>
        <w:tc>
          <w:tcPr>
            <w:tcW w:w="1611" w:type="dxa"/>
          </w:tcPr>
          <w:p w14:paraId="524D675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181" w:type="dxa"/>
          </w:tcPr>
          <w:p w14:paraId="7E82E10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11</w:t>
            </w:r>
          </w:p>
        </w:tc>
        <w:tc>
          <w:tcPr>
            <w:tcW w:w="1578" w:type="dxa"/>
          </w:tcPr>
          <w:p w14:paraId="7DFEC01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13" w:type="dxa"/>
          </w:tcPr>
          <w:p w14:paraId="311D60A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1.4</w:t>
            </w:r>
          </w:p>
        </w:tc>
      </w:tr>
      <w:tr w:rsidR="00201FE9" w:rsidRPr="00C86111" w14:paraId="36CA9F6E"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0F03792E"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134C8BD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063" w:type="dxa"/>
          </w:tcPr>
          <w:p w14:paraId="7A9D7E6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18681</w:t>
            </w:r>
          </w:p>
        </w:tc>
        <w:tc>
          <w:tcPr>
            <w:tcW w:w="1611" w:type="dxa"/>
          </w:tcPr>
          <w:p w14:paraId="0708658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181" w:type="dxa"/>
          </w:tcPr>
          <w:p w14:paraId="682BD9F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15</w:t>
            </w:r>
          </w:p>
        </w:tc>
        <w:tc>
          <w:tcPr>
            <w:tcW w:w="1578" w:type="dxa"/>
          </w:tcPr>
          <w:p w14:paraId="75559E1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13" w:type="dxa"/>
          </w:tcPr>
          <w:p w14:paraId="709FA00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1.9</w:t>
            </w:r>
          </w:p>
        </w:tc>
      </w:tr>
    </w:tbl>
    <w:p w14:paraId="1653210C" w14:textId="77777777" w:rsidR="00201FE9" w:rsidRPr="00C86111" w:rsidRDefault="00201FE9" w:rsidP="00201FE9">
      <w:pPr>
        <w:spacing w:line="276" w:lineRule="auto"/>
        <w:jc w:val="both"/>
        <w:rPr>
          <w:rFonts w:asciiTheme="minorHAnsi" w:hAnsiTheme="minorHAnsi" w:cstheme="minorHAnsi"/>
          <w:bCs/>
          <w:color w:val="auto"/>
          <w:szCs w:val="24"/>
          <w:lang w:val="sr-Latn-ME"/>
        </w:rPr>
      </w:pPr>
      <w:r w:rsidRPr="00C86111">
        <w:rPr>
          <w:rFonts w:asciiTheme="minorHAnsi" w:hAnsiTheme="minorHAnsi" w:cstheme="minorHAnsi"/>
          <w:bCs/>
          <w:color w:val="auto"/>
          <w:szCs w:val="24"/>
          <w:lang w:val="sr-Latn-ME"/>
        </w:rPr>
        <w:t>*Chen et al. (2021)</w:t>
      </w:r>
    </w:p>
    <w:p w14:paraId="0E2773EC"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A96DECE"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31777663" wp14:editId="4F0581F7">
            <wp:extent cx="4572000" cy="2272145"/>
            <wp:effectExtent l="0" t="0" r="0" b="13970"/>
            <wp:docPr id="1837412743" name="Chart 1">
              <a:extLst xmlns:a="http://schemas.openxmlformats.org/drawingml/2006/main">
                <a:ext uri="{FF2B5EF4-FFF2-40B4-BE49-F238E27FC236}">
                  <a16:creationId xmlns:a16="http://schemas.microsoft.com/office/drawing/2014/main" id="{1F89EA93-BE8C-B7B6-AAF6-31A27A78E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8EE55E9" w14:textId="0B18313D"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547278">
        <w:rPr>
          <w:rFonts w:asciiTheme="minorHAnsi" w:hAnsiTheme="minorHAnsi" w:cstheme="minorHAnsi"/>
          <w:b/>
          <w:bCs/>
          <w:color w:val="auto"/>
          <w:szCs w:val="24"/>
          <w:lang w:val="sr-Latn-ME"/>
        </w:rPr>
        <w:t>41</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Procijenjena količina SCCP i MCCP u proizvodu sa HS kodom 3921120000 uvezenim tokom perioda 2017-2023.</w:t>
      </w:r>
    </w:p>
    <w:p w14:paraId="5A6293A6"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2C73680" w14:textId="768106A0"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lastRenderedPageBreak/>
        <w:t xml:space="preserve">Grafik </w:t>
      </w:r>
      <w:r w:rsidR="00056E0C" w:rsidRPr="00C86111">
        <w:rPr>
          <w:rFonts w:asciiTheme="minorHAnsi" w:hAnsiTheme="minorHAnsi" w:cstheme="minorHAnsi"/>
          <w:color w:val="auto"/>
          <w:szCs w:val="24"/>
          <w:lang w:val="sr-Latn-ME"/>
        </w:rPr>
        <w:t>39.</w:t>
      </w:r>
      <w:r w:rsidRPr="00C86111">
        <w:rPr>
          <w:rFonts w:asciiTheme="minorHAnsi" w:hAnsiTheme="minorHAnsi" w:cstheme="minorHAnsi"/>
          <w:color w:val="auto"/>
          <w:szCs w:val="24"/>
          <w:lang w:val="sr-Latn-ME"/>
        </w:rPr>
        <w:t xml:space="preserve"> prikazuje procijenjene količine SCCP i MCCP u uvezenim PVC proizvodima (HS kod 3921120000) od 2017. do 2023. godine. SCCP postepeno raste sa 2,3 kg u 2017. na 15 kg u 2023. godini, dok MCCP ostaje veoma nizak, u rasponu od 0,28 kg do 1,9 kg. Podaci ukazuju na stalan rast uvezenih količina, pri čemu je SCCP dominantan hlorisani parafin u ovoj kategoriji proizvoda.</w:t>
      </w:r>
    </w:p>
    <w:p w14:paraId="7F829540" w14:textId="77777777" w:rsidR="00201FE9" w:rsidRPr="00C86111" w:rsidRDefault="00201FE9" w:rsidP="00201FE9">
      <w:pPr>
        <w:spacing w:line="276" w:lineRule="auto"/>
        <w:rPr>
          <w:rFonts w:asciiTheme="minorHAnsi" w:hAnsiTheme="minorHAnsi" w:cstheme="minorHAnsi"/>
          <w:color w:val="auto"/>
          <w:szCs w:val="24"/>
          <w:lang w:val="sr-Latn-ME"/>
        </w:rPr>
      </w:pPr>
    </w:p>
    <w:p w14:paraId="4FA4C6C3" w14:textId="4FB9E371" w:rsidR="00201FE9" w:rsidRPr="00C86111" w:rsidRDefault="00201FE9" w:rsidP="00201FE9">
      <w:pPr>
        <w:spacing w:line="276" w:lineRule="auto"/>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Tabela </w:t>
      </w:r>
      <w:r w:rsidR="00056E0C" w:rsidRPr="00C86111">
        <w:rPr>
          <w:rFonts w:asciiTheme="minorHAnsi" w:hAnsiTheme="minorHAnsi" w:cstheme="minorHAnsi"/>
          <w:color w:val="auto"/>
          <w:szCs w:val="24"/>
          <w:lang w:val="sr-Latn-ME"/>
        </w:rPr>
        <w:t>107.</w:t>
      </w:r>
      <w:r w:rsidRPr="00C86111">
        <w:rPr>
          <w:rFonts w:asciiTheme="minorHAnsi" w:hAnsiTheme="minorHAnsi" w:cstheme="minorHAnsi"/>
          <w:color w:val="auto"/>
          <w:szCs w:val="24"/>
          <w:lang w:val="sr-Latn-ME"/>
        </w:rPr>
        <w:t xml:space="preserve"> i Grafik </w:t>
      </w:r>
      <w:r w:rsidR="00056E0C" w:rsidRPr="00C86111">
        <w:rPr>
          <w:rFonts w:asciiTheme="minorHAnsi" w:hAnsiTheme="minorHAnsi" w:cstheme="minorHAnsi"/>
          <w:color w:val="auto"/>
          <w:szCs w:val="24"/>
          <w:lang w:val="sr-Latn-ME"/>
        </w:rPr>
        <w:t>4</w:t>
      </w:r>
      <w:r w:rsidR="00547278">
        <w:rPr>
          <w:rFonts w:asciiTheme="minorHAnsi" w:hAnsiTheme="minorHAnsi" w:cstheme="minorHAnsi"/>
          <w:color w:val="auto"/>
          <w:szCs w:val="24"/>
          <w:lang w:val="sr-Latn-ME"/>
        </w:rPr>
        <w:t>2</w:t>
      </w:r>
      <w:r w:rsidR="00056E0C" w:rsidRPr="00C86111">
        <w:rPr>
          <w:rFonts w:asciiTheme="minorHAnsi" w:hAnsiTheme="minorHAnsi" w:cstheme="minorHAnsi"/>
          <w:color w:val="auto"/>
          <w:szCs w:val="24"/>
          <w:lang w:val="sr-Latn-ME"/>
        </w:rPr>
        <w:t>.</w:t>
      </w:r>
      <w:r w:rsidRPr="00C86111">
        <w:rPr>
          <w:rFonts w:asciiTheme="minorHAnsi" w:hAnsiTheme="minorHAnsi" w:cstheme="minorHAnsi"/>
          <w:color w:val="auto"/>
          <w:szCs w:val="24"/>
          <w:lang w:val="sr-Latn-ME"/>
        </w:rPr>
        <w:t xml:space="preserve"> prikazuju pregled količina uvezenih PVC proizvoda sa HS kodom 3920499000 iz Kine za period 2017-2023, kao i izračunate količine SCCP i MCCP.</w:t>
      </w:r>
    </w:p>
    <w:p w14:paraId="7F6A1342" w14:textId="77777777" w:rsidR="00201FE9" w:rsidRPr="00C86111" w:rsidRDefault="00201FE9" w:rsidP="00201FE9">
      <w:pPr>
        <w:spacing w:line="276" w:lineRule="auto"/>
        <w:jc w:val="center"/>
        <w:rPr>
          <w:rFonts w:asciiTheme="minorHAnsi" w:eastAsia="Times New Roman" w:hAnsiTheme="minorHAnsi" w:cstheme="minorHAnsi"/>
          <w:color w:val="auto"/>
          <w:szCs w:val="24"/>
          <w:lang w:val="sr-Latn-ME"/>
        </w:rPr>
      </w:pPr>
    </w:p>
    <w:p w14:paraId="2371C4D0" w14:textId="6C0E83F8" w:rsidR="00201FE9" w:rsidRPr="00C86111" w:rsidRDefault="00201FE9" w:rsidP="00201FE9">
      <w:pPr>
        <w:pStyle w:val="Caption"/>
        <w:keepNext/>
        <w:rPr>
          <w:rFonts w:cstheme="minorHAnsi"/>
          <w:b w:val="0"/>
          <w:bCs/>
          <w:sz w:val="24"/>
          <w:szCs w:val="24"/>
        </w:rPr>
      </w:pPr>
      <w:bookmarkStart w:id="399" w:name="_Toc210743918"/>
      <w:r w:rsidRPr="00C86111">
        <w:rPr>
          <w:rFonts w:cstheme="minorHAnsi"/>
          <w:bCs/>
          <w:sz w:val="24"/>
          <w:szCs w:val="24"/>
        </w:rPr>
        <w:t xml:space="preserve">Tabela </w:t>
      </w:r>
      <w:r w:rsidRPr="00C86111">
        <w:rPr>
          <w:rFonts w:cstheme="minorHAnsi"/>
          <w:b w:val="0"/>
          <w:bCs/>
          <w:sz w:val="24"/>
          <w:szCs w:val="24"/>
        </w:rPr>
        <w:fldChar w:fldCharType="begin"/>
      </w:r>
      <w:r w:rsidRPr="00C86111">
        <w:rPr>
          <w:rFonts w:cstheme="minorHAnsi"/>
          <w:bCs/>
          <w:sz w:val="24"/>
          <w:szCs w:val="24"/>
        </w:rPr>
        <w:instrText xml:space="preserve"> SEQ Tabela \* ARABIC </w:instrText>
      </w:r>
      <w:r w:rsidRPr="00C86111">
        <w:rPr>
          <w:rFonts w:cstheme="minorHAnsi"/>
          <w:b w:val="0"/>
          <w:bCs/>
          <w:sz w:val="24"/>
          <w:szCs w:val="24"/>
        </w:rPr>
        <w:fldChar w:fldCharType="separate"/>
      </w:r>
      <w:r w:rsidRPr="00C86111">
        <w:rPr>
          <w:rFonts w:cstheme="minorHAnsi"/>
          <w:bCs/>
          <w:noProof/>
          <w:sz w:val="24"/>
          <w:szCs w:val="24"/>
        </w:rPr>
        <w:t>10</w:t>
      </w:r>
      <w:r w:rsidRPr="00C86111">
        <w:rPr>
          <w:rFonts w:cstheme="minorHAnsi"/>
          <w:b w:val="0"/>
          <w:bCs/>
          <w:sz w:val="24"/>
          <w:szCs w:val="24"/>
        </w:rPr>
        <w:fldChar w:fldCharType="end"/>
      </w:r>
      <w:r w:rsidR="00056E0C" w:rsidRPr="0042690B">
        <w:rPr>
          <w:rFonts w:cstheme="minorHAnsi"/>
          <w:sz w:val="24"/>
          <w:szCs w:val="24"/>
        </w:rPr>
        <w:t>7</w:t>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PVC proizvoda sa HS kodom 3920499000 za period 2017-2023 i procijenjene količine SCCP i MCCP</w:t>
      </w:r>
      <w:bookmarkEnd w:id="399"/>
    </w:p>
    <w:tbl>
      <w:tblPr>
        <w:tblStyle w:val="GridTable5Dark-Accent6"/>
        <w:tblW w:w="9016" w:type="dxa"/>
        <w:tblLook w:val="04A0" w:firstRow="1" w:lastRow="0" w:firstColumn="1" w:lastColumn="0" w:noHBand="0" w:noVBand="1"/>
      </w:tblPr>
      <w:tblGrid>
        <w:gridCol w:w="1265"/>
        <w:gridCol w:w="915"/>
        <w:gridCol w:w="1093"/>
        <w:gridCol w:w="1657"/>
        <w:gridCol w:w="1215"/>
        <w:gridCol w:w="1623"/>
        <w:gridCol w:w="1248"/>
      </w:tblGrid>
      <w:tr w:rsidR="00201FE9" w:rsidRPr="00C86111" w14:paraId="3B7FF9B7" w14:textId="77777777" w:rsidTr="002E5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E982086"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15" w:type="dxa"/>
            <w:hideMark/>
          </w:tcPr>
          <w:p w14:paraId="0D24A10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093" w:type="dxa"/>
            <w:hideMark/>
          </w:tcPr>
          <w:p w14:paraId="5142560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57" w:type="dxa"/>
          </w:tcPr>
          <w:p w14:paraId="78EBCF4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097C4E4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15" w:type="dxa"/>
          </w:tcPr>
          <w:p w14:paraId="00D3F880"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623" w:type="dxa"/>
          </w:tcPr>
          <w:p w14:paraId="5EF0FFE5"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5E95D346"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48" w:type="dxa"/>
          </w:tcPr>
          <w:p w14:paraId="34D71CF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146EC6A8"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val="restart"/>
          </w:tcPr>
          <w:p w14:paraId="379BB939"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3920499000</w:t>
            </w:r>
          </w:p>
        </w:tc>
        <w:tc>
          <w:tcPr>
            <w:tcW w:w="915" w:type="dxa"/>
          </w:tcPr>
          <w:p w14:paraId="6C1D8E1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093" w:type="dxa"/>
          </w:tcPr>
          <w:p w14:paraId="44E0955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 0.0</w:t>
            </w:r>
          </w:p>
        </w:tc>
        <w:tc>
          <w:tcPr>
            <w:tcW w:w="1657" w:type="dxa"/>
          </w:tcPr>
          <w:p w14:paraId="76CD2E9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215" w:type="dxa"/>
          </w:tcPr>
          <w:p w14:paraId="38818C2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w:t>
            </w:r>
          </w:p>
        </w:tc>
        <w:tc>
          <w:tcPr>
            <w:tcW w:w="1623" w:type="dxa"/>
          </w:tcPr>
          <w:p w14:paraId="5CEBB06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48" w:type="dxa"/>
          </w:tcPr>
          <w:p w14:paraId="58DC3F2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w:t>
            </w:r>
          </w:p>
        </w:tc>
      </w:tr>
      <w:tr w:rsidR="00201FE9" w:rsidRPr="00C86111" w14:paraId="2AA94E5F" w14:textId="77777777" w:rsidTr="002E5AB7">
        <w:tc>
          <w:tcPr>
            <w:cnfStyle w:val="001000000000" w:firstRow="0" w:lastRow="0" w:firstColumn="1" w:lastColumn="0" w:oddVBand="0" w:evenVBand="0" w:oddHBand="0" w:evenHBand="0" w:firstRowFirstColumn="0" w:firstRowLastColumn="0" w:lastRowFirstColumn="0" w:lastRowLastColumn="0"/>
            <w:tcW w:w="1265" w:type="dxa"/>
            <w:vMerge/>
          </w:tcPr>
          <w:p w14:paraId="78C7E38F"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2771DE8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093" w:type="dxa"/>
          </w:tcPr>
          <w:p w14:paraId="5673E64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7103</w:t>
            </w:r>
          </w:p>
        </w:tc>
        <w:tc>
          <w:tcPr>
            <w:tcW w:w="1657" w:type="dxa"/>
          </w:tcPr>
          <w:p w14:paraId="3756BCF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215" w:type="dxa"/>
          </w:tcPr>
          <w:p w14:paraId="159D056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1279</w:t>
            </w:r>
          </w:p>
        </w:tc>
        <w:tc>
          <w:tcPr>
            <w:tcW w:w="1623" w:type="dxa"/>
          </w:tcPr>
          <w:p w14:paraId="43E55C4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48" w:type="dxa"/>
          </w:tcPr>
          <w:p w14:paraId="511195B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729</w:t>
            </w:r>
          </w:p>
        </w:tc>
      </w:tr>
      <w:tr w:rsidR="00201FE9" w:rsidRPr="00C86111" w14:paraId="5A6D0451"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3C305187"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24B478A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093" w:type="dxa"/>
          </w:tcPr>
          <w:p w14:paraId="3A85FCA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97</w:t>
            </w:r>
          </w:p>
        </w:tc>
        <w:tc>
          <w:tcPr>
            <w:tcW w:w="1657" w:type="dxa"/>
          </w:tcPr>
          <w:p w14:paraId="413B80C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215" w:type="dxa"/>
          </w:tcPr>
          <w:p w14:paraId="22C7CC1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17</w:t>
            </w:r>
          </w:p>
        </w:tc>
        <w:tc>
          <w:tcPr>
            <w:tcW w:w="1623" w:type="dxa"/>
          </w:tcPr>
          <w:p w14:paraId="65ECCBD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48" w:type="dxa"/>
          </w:tcPr>
          <w:p w14:paraId="485405B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9.9</w:t>
            </w:r>
          </w:p>
        </w:tc>
      </w:tr>
      <w:tr w:rsidR="00201FE9" w:rsidRPr="00C86111" w14:paraId="0CFFE188" w14:textId="77777777" w:rsidTr="002E5AB7">
        <w:tc>
          <w:tcPr>
            <w:cnfStyle w:val="001000000000" w:firstRow="0" w:lastRow="0" w:firstColumn="1" w:lastColumn="0" w:oddVBand="0" w:evenVBand="0" w:oddHBand="0" w:evenHBand="0" w:firstRowFirstColumn="0" w:firstRowLastColumn="0" w:lastRowFirstColumn="0" w:lastRowLastColumn="0"/>
            <w:tcW w:w="1265" w:type="dxa"/>
            <w:vMerge/>
          </w:tcPr>
          <w:p w14:paraId="234B7D68"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2216BA6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093" w:type="dxa"/>
          </w:tcPr>
          <w:p w14:paraId="5CFAB18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76</w:t>
            </w:r>
          </w:p>
        </w:tc>
        <w:tc>
          <w:tcPr>
            <w:tcW w:w="1657" w:type="dxa"/>
          </w:tcPr>
          <w:p w14:paraId="187A52C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215" w:type="dxa"/>
          </w:tcPr>
          <w:p w14:paraId="27C66CF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w:t>
            </w:r>
          </w:p>
        </w:tc>
        <w:tc>
          <w:tcPr>
            <w:tcW w:w="1623" w:type="dxa"/>
          </w:tcPr>
          <w:p w14:paraId="025017C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48" w:type="dxa"/>
          </w:tcPr>
          <w:p w14:paraId="55ADF0E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7.8</w:t>
            </w:r>
          </w:p>
        </w:tc>
      </w:tr>
      <w:tr w:rsidR="00201FE9" w:rsidRPr="00C86111" w14:paraId="04684AE6"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4F7BE271"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5EAAE03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093" w:type="dxa"/>
          </w:tcPr>
          <w:p w14:paraId="5C679B2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685</w:t>
            </w:r>
          </w:p>
        </w:tc>
        <w:tc>
          <w:tcPr>
            <w:tcW w:w="1657" w:type="dxa"/>
          </w:tcPr>
          <w:p w14:paraId="0DB821D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215" w:type="dxa"/>
          </w:tcPr>
          <w:p w14:paraId="6BF682C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123</w:t>
            </w:r>
          </w:p>
        </w:tc>
        <w:tc>
          <w:tcPr>
            <w:tcW w:w="1623" w:type="dxa"/>
          </w:tcPr>
          <w:p w14:paraId="6B02FD8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48" w:type="dxa"/>
          </w:tcPr>
          <w:p w14:paraId="6CC6098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70</w:t>
            </w:r>
          </w:p>
        </w:tc>
      </w:tr>
      <w:tr w:rsidR="00201FE9" w:rsidRPr="00C86111" w14:paraId="1F9020EB" w14:textId="77777777" w:rsidTr="002E5AB7">
        <w:tc>
          <w:tcPr>
            <w:cnfStyle w:val="001000000000" w:firstRow="0" w:lastRow="0" w:firstColumn="1" w:lastColumn="0" w:oddVBand="0" w:evenVBand="0" w:oddHBand="0" w:evenHBand="0" w:firstRowFirstColumn="0" w:firstRowLastColumn="0" w:lastRowFirstColumn="0" w:lastRowLastColumn="0"/>
            <w:tcW w:w="1265" w:type="dxa"/>
            <w:vMerge/>
          </w:tcPr>
          <w:p w14:paraId="300E1EB7"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28BD1F0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093" w:type="dxa"/>
          </w:tcPr>
          <w:p w14:paraId="7A5D4E5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3483</w:t>
            </w:r>
          </w:p>
        </w:tc>
        <w:tc>
          <w:tcPr>
            <w:tcW w:w="1657" w:type="dxa"/>
          </w:tcPr>
          <w:p w14:paraId="6893AC9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215" w:type="dxa"/>
          </w:tcPr>
          <w:p w14:paraId="0451B55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627</w:t>
            </w:r>
          </w:p>
        </w:tc>
        <w:tc>
          <w:tcPr>
            <w:tcW w:w="1623" w:type="dxa"/>
          </w:tcPr>
          <w:p w14:paraId="4DA5935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48" w:type="dxa"/>
          </w:tcPr>
          <w:p w14:paraId="6411F27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357</w:t>
            </w:r>
          </w:p>
        </w:tc>
      </w:tr>
      <w:tr w:rsidR="00201FE9" w:rsidRPr="00C86111" w14:paraId="35194B39"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vMerge/>
          </w:tcPr>
          <w:p w14:paraId="774B8EBD"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28AFF1C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093" w:type="dxa"/>
          </w:tcPr>
          <w:p w14:paraId="00DB48B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4013</w:t>
            </w:r>
          </w:p>
        </w:tc>
        <w:tc>
          <w:tcPr>
            <w:tcW w:w="1657" w:type="dxa"/>
          </w:tcPr>
          <w:p w14:paraId="7781841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215" w:type="dxa"/>
          </w:tcPr>
          <w:p w14:paraId="3EB68BD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722</w:t>
            </w:r>
          </w:p>
        </w:tc>
        <w:tc>
          <w:tcPr>
            <w:tcW w:w="1623" w:type="dxa"/>
          </w:tcPr>
          <w:p w14:paraId="7C1F1F0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48" w:type="dxa"/>
          </w:tcPr>
          <w:p w14:paraId="50F72A2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412</w:t>
            </w:r>
          </w:p>
        </w:tc>
      </w:tr>
    </w:tbl>
    <w:p w14:paraId="2667ABDD"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7239152C"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2EE3BAA"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2157BDF2" wp14:editId="3E1E9EE4">
            <wp:extent cx="4770120" cy="2251364"/>
            <wp:effectExtent l="0" t="0" r="11430" b="15875"/>
            <wp:docPr id="679897363" name="Chart 679897363">
              <a:extLst xmlns:a="http://schemas.openxmlformats.org/drawingml/2006/main">
                <a:ext uri="{FF2B5EF4-FFF2-40B4-BE49-F238E27FC236}">
                  <a16:creationId xmlns:a16="http://schemas.microsoft.com/office/drawing/2014/main" id="{9DF10C2B-5949-4DEF-830A-C7BD90DC3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87393D7" w14:textId="11B9B0D5"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056E0C" w:rsidRPr="00C86111">
        <w:rPr>
          <w:rFonts w:asciiTheme="minorHAnsi" w:hAnsiTheme="minorHAnsi" w:cstheme="minorHAnsi"/>
          <w:b/>
          <w:bCs/>
          <w:color w:val="auto"/>
          <w:szCs w:val="24"/>
          <w:lang w:val="sr-Latn-ME"/>
        </w:rPr>
        <w:t>4</w:t>
      </w:r>
      <w:r w:rsidR="00547278">
        <w:rPr>
          <w:rFonts w:asciiTheme="minorHAnsi" w:hAnsiTheme="minorHAnsi" w:cstheme="minorHAnsi"/>
          <w:b/>
          <w:bCs/>
          <w:color w:val="auto"/>
          <w:szCs w:val="24"/>
          <w:lang w:val="sr-Latn-ME"/>
        </w:rPr>
        <w:t>2</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Procijenjena količina SCCP i MCCP u proizvodu sa HS kodom 3920499000 uvezenim tokom perioda 2017-2023.</w:t>
      </w:r>
    </w:p>
    <w:p w14:paraId="64FB89F4" w14:textId="77777777" w:rsidR="00201FE9" w:rsidRPr="00C86111" w:rsidRDefault="00201FE9" w:rsidP="00201FE9">
      <w:pPr>
        <w:spacing w:line="276" w:lineRule="auto"/>
        <w:rPr>
          <w:rFonts w:asciiTheme="minorHAnsi" w:hAnsiTheme="minorHAnsi" w:cstheme="minorHAnsi"/>
          <w:color w:val="auto"/>
          <w:szCs w:val="24"/>
          <w:lang w:val="sr-Latn-ME"/>
        </w:rPr>
      </w:pPr>
    </w:p>
    <w:p w14:paraId="20E8303B" w14:textId="2EFEF1AB"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Grafik </w:t>
      </w:r>
      <w:r w:rsidR="00056E0C" w:rsidRPr="00C86111">
        <w:rPr>
          <w:rFonts w:asciiTheme="minorHAnsi" w:hAnsiTheme="minorHAnsi" w:cstheme="minorHAnsi"/>
          <w:color w:val="auto"/>
          <w:szCs w:val="24"/>
          <w:lang w:val="sr-Latn-ME"/>
        </w:rPr>
        <w:t>40.</w:t>
      </w:r>
      <w:r w:rsidRPr="00C86111">
        <w:rPr>
          <w:rFonts w:asciiTheme="minorHAnsi" w:hAnsiTheme="minorHAnsi" w:cstheme="minorHAnsi"/>
          <w:color w:val="auto"/>
          <w:szCs w:val="24"/>
          <w:lang w:val="sr-Latn-ME"/>
        </w:rPr>
        <w:t xml:space="preserve"> prikazuje procijenjene količine SCCP i MCCP u uvezenim PVC proizvodima (HS kod 3920499000) od 2017. do 2023. godine. SCCP dominira u sastavu, u rasponu od 0 kg u 2017. do 722 kg u 2023. godini, dok se MCCP kreće od 0 kg do 412 kg. Podaci ukazuju na jake fluktuacije u </w:t>
      </w:r>
      <w:r w:rsidRPr="00C86111">
        <w:rPr>
          <w:rFonts w:asciiTheme="minorHAnsi" w:hAnsiTheme="minorHAnsi" w:cstheme="minorHAnsi"/>
          <w:color w:val="auto"/>
          <w:szCs w:val="24"/>
          <w:lang w:val="sr-Latn-ME"/>
        </w:rPr>
        <w:lastRenderedPageBreak/>
        <w:t>količinama uvoza i odgovarajućim nivoima hlorisanog parafina, sa ukupnim rastom količina oba jedinjenja prema kraju perioda.</w:t>
      </w:r>
    </w:p>
    <w:p w14:paraId="068F1211" w14:textId="77777777" w:rsidR="00201FE9" w:rsidRPr="00C86111" w:rsidRDefault="00201FE9" w:rsidP="00201FE9">
      <w:pPr>
        <w:spacing w:line="276" w:lineRule="auto"/>
        <w:jc w:val="both"/>
        <w:rPr>
          <w:rFonts w:asciiTheme="minorHAnsi" w:hAnsiTheme="minorHAnsi" w:cstheme="minorHAnsi"/>
          <w:color w:val="auto"/>
          <w:szCs w:val="24"/>
          <w:lang w:val="sr-Latn-ME"/>
        </w:rPr>
      </w:pPr>
    </w:p>
    <w:p w14:paraId="39B4C65B" w14:textId="6DC59FE1" w:rsidR="00201FE9" w:rsidRPr="00C86111" w:rsidRDefault="00201FE9" w:rsidP="00201FE9">
      <w:pPr>
        <w:spacing w:line="276" w:lineRule="auto"/>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Tabela 1</w:t>
      </w:r>
      <w:r w:rsidR="00056E0C" w:rsidRPr="00C86111">
        <w:rPr>
          <w:rFonts w:asciiTheme="minorHAnsi" w:hAnsiTheme="minorHAnsi" w:cstheme="minorHAnsi"/>
          <w:color w:val="auto"/>
          <w:szCs w:val="24"/>
          <w:lang w:val="sr-Latn-ME"/>
        </w:rPr>
        <w:t>08.</w:t>
      </w:r>
      <w:r w:rsidRPr="00C86111">
        <w:rPr>
          <w:rFonts w:asciiTheme="minorHAnsi" w:hAnsiTheme="minorHAnsi" w:cstheme="minorHAnsi"/>
          <w:color w:val="auto"/>
          <w:szCs w:val="24"/>
          <w:lang w:val="sr-Latn-ME"/>
        </w:rPr>
        <w:t xml:space="preserve"> i Grafik </w:t>
      </w:r>
      <w:r w:rsidR="00056E0C" w:rsidRPr="00C86111">
        <w:rPr>
          <w:rFonts w:asciiTheme="minorHAnsi" w:hAnsiTheme="minorHAnsi" w:cstheme="minorHAnsi"/>
          <w:color w:val="auto"/>
          <w:szCs w:val="24"/>
          <w:lang w:val="sr-Latn-ME"/>
        </w:rPr>
        <w:t>4</w:t>
      </w:r>
      <w:r w:rsidR="00547278">
        <w:rPr>
          <w:rFonts w:asciiTheme="minorHAnsi" w:hAnsiTheme="minorHAnsi" w:cstheme="minorHAnsi"/>
          <w:color w:val="auto"/>
          <w:szCs w:val="24"/>
          <w:lang w:val="sr-Latn-ME"/>
        </w:rPr>
        <w:t>3</w:t>
      </w:r>
      <w:r w:rsidR="00056E0C" w:rsidRPr="00C86111">
        <w:rPr>
          <w:rFonts w:asciiTheme="minorHAnsi" w:hAnsiTheme="minorHAnsi" w:cstheme="minorHAnsi"/>
          <w:color w:val="auto"/>
          <w:szCs w:val="24"/>
          <w:lang w:val="sr-Latn-ME"/>
        </w:rPr>
        <w:t>.</w:t>
      </w:r>
      <w:r w:rsidRPr="00C86111">
        <w:rPr>
          <w:rFonts w:asciiTheme="minorHAnsi" w:hAnsiTheme="minorHAnsi" w:cstheme="minorHAnsi"/>
          <w:color w:val="auto"/>
          <w:szCs w:val="24"/>
          <w:lang w:val="sr-Latn-ME"/>
        </w:rPr>
        <w:t xml:space="preserve"> prikazuju pregled količina uvezenih PVC proizvoda sa HS kodom 3920491000 iz Kine za period 2017-2023, kao i izračunate količine SCCP i MCCP.</w:t>
      </w:r>
    </w:p>
    <w:p w14:paraId="672A6307" w14:textId="77777777" w:rsidR="00201FE9" w:rsidRPr="00C86111" w:rsidRDefault="00201FE9" w:rsidP="00201FE9">
      <w:pPr>
        <w:spacing w:line="276" w:lineRule="auto"/>
        <w:rPr>
          <w:rFonts w:asciiTheme="minorHAnsi" w:hAnsiTheme="minorHAnsi" w:cstheme="minorHAnsi"/>
          <w:color w:val="auto"/>
          <w:szCs w:val="24"/>
          <w:lang w:val="sr-Latn-ME"/>
        </w:rPr>
      </w:pPr>
    </w:p>
    <w:p w14:paraId="6025F8CE" w14:textId="782C5BA8" w:rsidR="00201FE9" w:rsidRPr="00C86111" w:rsidRDefault="00201FE9" w:rsidP="00201FE9">
      <w:pPr>
        <w:pStyle w:val="Caption"/>
        <w:keepNext/>
        <w:rPr>
          <w:rFonts w:cstheme="minorHAnsi"/>
          <w:b w:val="0"/>
          <w:bCs/>
          <w:sz w:val="24"/>
          <w:szCs w:val="24"/>
        </w:rPr>
      </w:pPr>
      <w:bookmarkStart w:id="400" w:name="_Toc210743919"/>
      <w:r w:rsidRPr="00C86111">
        <w:rPr>
          <w:rFonts w:cstheme="minorHAnsi"/>
          <w:bCs/>
          <w:sz w:val="24"/>
          <w:szCs w:val="24"/>
        </w:rPr>
        <w:t xml:space="preserve">Tabela </w:t>
      </w:r>
      <w:r w:rsidR="00056E0C" w:rsidRPr="00C86111">
        <w:rPr>
          <w:rFonts w:cstheme="minorHAnsi"/>
          <w:bCs/>
          <w:sz w:val="24"/>
          <w:szCs w:val="24"/>
        </w:rPr>
        <w:t>108</w:t>
      </w:r>
      <w:r w:rsidRPr="00C86111">
        <w:rPr>
          <w:rFonts w:cstheme="minorHAnsi"/>
          <w:b w:val="0"/>
          <w:bCs/>
          <w:sz w:val="24"/>
          <w:szCs w:val="24"/>
        </w:rPr>
        <w:fldChar w:fldCharType="begin"/>
      </w:r>
      <w:r w:rsidRPr="00C86111">
        <w:rPr>
          <w:rFonts w:cstheme="minorHAnsi"/>
          <w:bCs/>
          <w:sz w:val="24"/>
          <w:szCs w:val="24"/>
        </w:rPr>
        <w:instrText xml:space="preserve"> SEQ Tabela \* ARABIC </w:instrText>
      </w:r>
      <w:r w:rsidRPr="00C86111">
        <w:rPr>
          <w:rFonts w:cstheme="minorHAnsi"/>
          <w:b w:val="0"/>
          <w:bCs/>
          <w:sz w:val="24"/>
          <w:szCs w:val="24"/>
        </w:rPr>
        <w:fldChar w:fldCharType="end"/>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PVC proizvoda sa HS kodom 3920491000 za period 2017-2023. i procenjene količine SCCP i MCCP</w:t>
      </w:r>
      <w:bookmarkEnd w:id="400"/>
    </w:p>
    <w:tbl>
      <w:tblPr>
        <w:tblStyle w:val="GridTable5Dark-Accent6"/>
        <w:tblW w:w="9016" w:type="dxa"/>
        <w:tblLook w:val="04A0" w:firstRow="1" w:lastRow="0" w:firstColumn="1" w:lastColumn="0" w:noHBand="0" w:noVBand="1"/>
      </w:tblPr>
      <w:tblGrid>
        <w:gridCol w:w="1433"/>
        <w:gridCol w:w="933"/>
        <w:gridCol w:w="1063"/>
        <w:gridCol w:w="1612"/>
        <w:gridCol w:w="1182"/>
        <w:gridCol w:w="1579"/>
        <w:gridCol w:w="1214"/>
      </w:tblGrid>
      <w:tr w:rsidR="00201FE9" w:rsidRPr="00C86111" w14:paraId="1575D1A4" w14:textId="77777777" w:rsidTr="00C26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06CA1CCE"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33" w:type="dxa"/>
            <w:hideMark/>
          </w:tcPr>
          <w:p w14:paraId="12BFC8B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063" w:type="dxa"/>
            <w:hideMark/>
          </w:tcPr>
          <w:p w14:paraId="628462C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12" w:type="dxa"/>
          </w:tcPr>
          <w:p w14:paraId="0BCD887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66F9FF5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182" w:type="dxa"/>
          </w:tcPr>
          <w:p w14:paraId="1FC5CE4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579" w:type="dxa"/>
          </w:tcPr>
          <w:p w14:paraId="0288391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3F01F38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14" w:type="dxa"/>
          </w:tcPr>
          <w:p w14:paraId="48E85E4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1F38852D"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val="restart"/>
          </w:tcPr>
          <w:p w14:paraId="63F8401E"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3920491000</w:t>
            </w:r>
          </w:p>
        </w:tc>
        <w:tc>
          <w:tcPr>
            <w:tcW w:w="933" w:type="dxa"/>
          </w:tcPr>
          <w:p w14:paraId="45C099F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063" w:type="dxa"/>
          </w:tcPr>
          <w:p w14:paraId="08DE5A4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8171</w:t>
            </w:r>
          </w:p>
        </w:tc>
        <w:tc>
          <w:tcPr>
            <w:tcW w:w="1612" w:type="dxa"/>
          </w:tcPr>
          <w:p w14:paraId="5539A08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82" w:type="dxa"/>
          </w:tcPr>
          <w:p w14:paraId="1ECFE28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1471</w:t>
            </w:r>
          </w:p>
        </w:tc>
        <w:tc>
          <w:tcPr>
            <w:tcW w:w="1579" w:type="dxa"/>
          </w:tcPr>
          <w:p w14:paraId="283281E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14" w:type="dxa"/>
          </w:tcPr>
          <w:p w14:paraId="34AE567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838</w:t>
            </w:r>
          </w:p>
        </w:tc>
      </w:tr>
      <w:tr w:rsidR="00201FE9" w:rsidRPr="00C86111" w14:paraId="0A264657" w14:textId="77777777" w:rsidTr="00C262FD">
        <w:tc>
          <w:tcPr>
            <w:cnfStyle w:val="001000000000" w:firstRow="0" w:lastRow="0" w:firstColumn="1" w:lastColumn="0" w:oddVBand="0" w:evenVBand="0" w:oddHBand="0" w:evenHBand="0" w:firstRowFirstColumn="0" w:firstRowLastColumn="0" w:lastRowFirstColumn="0" w:lastRowLastColumn="0"/>
            <w:tcW w:w="1433" w:type="dxa"/>
            <w:vMerge/>
          </w:tcPr>
          <w:p w14:paraId="5659D6AE"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4F8DA80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063" w:type="dxa"/>
          </w:tcPr>
          <w:p w14:paraId="0874E89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4825</w:t>
            </w:r>
          </w:p>
        </w:tc>
        <w:tc>
          <w:tcPr>
            <w:tcW w:w="1612" w:type="dxa"/>
          </w:tcPr>
          <w:p w14:paraId="080AE77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82" w:type="dxa"/>
          </w:tcPr>
          <w:p w14:paraId="255E32B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869</w:t>
            </w:r>
          </w:p>
        </w:tc>
        <w:tc>
          <w:tcPr>
            <w:tcW w:w="1579" w:type="dxa"/>
          </w:tcPr>
          <w:p w14:paraId="29CD888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14" w:type="dxa"/>
          </w:tcPr>
          <w:p w14:paraId="4CFC67C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495</w:t>
            </w:r>
          </w:p>
        </w:tc>
      </w:tr>
      <w:tr w:rsidR="00201FE9" w:rsidRPr="00C86111" w14:paraId="5959C858"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Pr>
          <w:p w14:paraId="7965338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3A7767B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063" w:type="dxa"/>
          </w:tcPr>
          <w:p w14:paraId="11D19F1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3158</w:t>
            </w:r>
          </w:p>
        </w:tc>
        <w:tc>
          <w:tcPr>
            <w:tcW w:w="1612" w:type="dxa"/>
          </w:tcPr>
          <w:p w14:paraId="31D0C1C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82" w:type="dxa"/>
          </w:tcPr>
          <w:p w14:paraId="30A7686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568</w:t>
            </w:r>
          </w:p>
        </w:tc>
        <w:tc>
          <w:tcPr>
            <w:tcW w:w="1579" w:type="dxa"/>
          </w:tcPr>
          <w:p w14:paraId="215E1C1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14" w:type="dxa"/>
          </w:tcPr>
          <w:p w14:paraId="3267F61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324</w:t>
            </w:r>
          </w:p>
        </w:tc>
      </w:tr>
      <w:tr w:rsidR="00201FE9" w:rsidRPr="00C86111" w14:paraId="2042F326" w14:textId="77777777" w:rsidTr="00C262FD">
        <w:tc>
          <w:tcPr>
            <w:cnfStyle w:val="001000000000" w:firstRow="0" w:lastRow="0" w:firstColumn="1" w:lastColumn="0" w:oddVBand="0" w:evenVBand="0" w:oddHBand="0" w:evenHBand="0" w:firstRowFirstColumn="0" w:firstRowLastColumn="0" w:lastRowFirstColumn="0" w:lastRowLastColumn="0"/>
            <w:tcW w:w="1433" w:type="dxa"/>
            <w:vMerge/>
          </w:tcPr>
          <w:p w14:paraId="6467C3F0"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7BD4C49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063" w:type="dxa"/>
          </w:tcPr>
          <w:p w14:paraId="2C8614F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38</w:t>
            </w:r>
          </w:p>
        </w:tc>
        <w:tc>
          <w:tcPr>
            <w:tcW w:w="1612" w:type="dxa"/>
          </w:tcPr>
          <w:p w14:paraId="2EDE3DC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82" w:type="dxa"/>
          </w:tcPr>
          <w:p w14:paraId="1EF538D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6.8</w:t>
            </w:r>
          </w:p>
        </w:tc>
        <w:tc>
          <w:tcPr>
            <w:tcW w:w="1579" w:type="dxa"/>
          </w:tcPr>
          <w:p w14:paraId="40933EE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14" w:type="dxa"/>
          </w:tcPr>
          <w:p w14:paraId="6BE08B0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4.0</w:t>
            </w:r>
          </w:p>
        </w:tc>
      </w:tr>
      <w:tr w:rsidR="00201FE9" w:rsidRPr="00C86111" w14:paraId="340B3D8C"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Pr>
          <w:p w14:paraId="4376BDAA"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3D56F9D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063" w:type="dxa"/>
          </w:tcPr>
          <w:p w14:paraId="4CBAF00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839</w:t>
            </w:r>
          </w:p>
        </w:tc>
        <w:tc>
          <w:tcPr>
            <w:tcW w:w="1612" w:type="dxa"/>
          </w:tcPr>
          <w:p w14:paraId="3A97880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82" w:type="dxa"/>
          </w:tcPr>
          <w:p w14:paraId="624B1B1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151</w:t>
            </w:r>
          </w:p>
        </w:tc>
        <w:tc>
          <w:tcPr>
            <w:tcW w:w="1579" w:type="dxa"/>
          </w:tcPr>
          <w:p w14:paraId="765AF5F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14" w:type="dxa"/>
          </w:tcPr>
          <w:p w14:paraId="1A9A7F1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86</w:t>
            </w:r>
          </w:p>
        </w:tc>
      </w:tr>
      <w:tr w:rsidR="00201FE9" w:rsidRPr="00C86111" w14:paraId="477B525E" w14:textId="77777777" w:rsidTr="00C262FD">
        <w:tc>
          <w:tcPr>
            <w:cnfStyle w:val="001000000000" w:firstRow="0" w:lastRow="0" w:firstColumn="1" w:lastColumn="0" w:oddVBand="0" w:evenVBand="0" w:oddHBand="0" w:evenHBand="0" w:firstRowFirstColumn="0" w:firstRowLastColumn="0" w:lastRowFirstColumn="0" w:lastRowLastColumn="0"/>
            <w:tcW w:w="1433" w:type="dxa"/>
            <w:vMerge/>
          </w:tcPr>
          <w:p w14:paraId="2E44FEAD"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27EAEC0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063" w:type="dxa"/>
          </w:tcPr>
          <w:p w14:paraId="7A6D45F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1402</w:t>
            </w:r>
          </w:p>
        </w:tc>
        <w:tc>
          <w:tcPr>
            <w:tcW w:w="1612" w:type="dxa"/>
          </w:tcPr>
          <w:p w14:paraId="4D231AB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82" w:type="dxa"/>
          </w:tcPr>
          <w:p w14:paraId="56C562B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252</w:t>
            </w:r>
          </w:p>
        </w:tc>
        <w:tc>
          <w:tcPr>
            <w:tcW w:w="1579" w:type="dxa"/>
          </w:tcPr>
          <w:p w14:paraId="6D688D5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14" w:type="dxa"/>
          </w:tcPr>
          <w:p w14:paraId="5F046AA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144</w:t>
            </w:r>
          </w:p>
        </w:tc>
      </w:tr>
      <w:tr w:rsidR="00201FE9" w:rsidRPr="00C86111" w14:paraId="2D982678" w14:textId="77777777" w:rsidTr="00C2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Pr>
          <w:p w14:paraId="6113BC9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4D378C0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063" w:type="dxa"/>
          </w:tcPr>
          <w:p w14:paraId="6704D7B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1870</w:t>
            </w:r>
          </w:p>
        </w:tc>
        <w:tc>
          <w:tcPr>
            <w:tcW w:w="1612" w:type="dxa"/>
          </w:tcPr>
          <w:p w14:paraId="3FD37CA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82" w:type="dxa"/>
          </w:tcPr>
          <w:p w14:paraId="2F61632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337</w:t>
            </w:r>
          </w:p>
        </w:tc>
        <w:tc>
          <w:tcPr>
            <w:tcW w:w="1579" w:type="dxa"/>
          </w:tcPr>
          <w:p w14:paraId="462615F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214" w:type="dxa"/>
          </w:tcPr>
          <w:p w14:paraId="3E25075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192</w:t>
            </w:r>
          </w:p>
        </w:tc>
      </w:tr>
    </w:tbl>
    <w:p w14:paraId="41089F76"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02DA51DB"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0C82E5D3"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4B78A07"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37C27096" wp14:editId="39660994">
            <wp:extent cx="4823460" cy="2189019"/>
            <wp:effectExtent l="0" t="0" r="15240" b="1905"/>
            <wp:docPr id="9" name="Chart 9">
              <a:extLst xmlns:a="http://schemas.openxmlformats.org/drawingml/2006/main">
                <a:ext uri="{FF2B5EF4-FFF2-40B4-BE49-F238E27FC236}">
                  <a16:creationId xmlns:a16="http://schemas.microsoft.com/office/drawing/2014/main" id="{7803694B-50A0-40FB-AA75-974A67676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036E5C1" w14:textId="217E85B2"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056E0C" w:rsidRPr="00C86111">
        <w:rPr>
          <w:rFonts w:asciiTheme="minorHAnsi" w:hAnsiTheme="minorHAnsi" w:cstheme="minorHAnsi"/>
          <w:b/>
          <w:bCs/>
          <w:color w:val="auto"/>
          <w:szCs w:val="24"/>
          <w:lang w:val="sr-Latn-ME"/>
        </w:rPr>
        <w:t>4</w:t>
      </w:r>
      <w:r w:rsidR="00547278">
        <w:rPr>
          <w:rFonts w:asciiTheme="minorHAnsi" w:hAnsiTheme="minorHAnsi" w:cstheme="minorHAnsi"/>
          <w:b/>
          <w:bCs/>
          <w:color w:val="auto"/>
          <w:szCs w:val="24"/>
          <w:lang w:val="sr-Latn-ME"/>
        </w:rPr>
        <w:t>3</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Procenjena količina SCCP i MCCP u proizvodu sa HS kodom 3920491000 uvezenim tokom perioda 2017-2023.</w:t>
      </w:r>
    </w:p>
    <w:p w14:paraId="3519090C"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C7CF11F" w14:textId="5B07B6AB"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Grafik </w:t>
      </w:r>
      <w:r w:rsidR="00056E0C" w:rsidRPr="00C86111">
        <w:rPr>
          <w:rFonts w:asciiTheme="minorHAnsi" w:hAnsiTheme="minorHAnsi" w:cstheme="minorHAnsi"/>
          <w:color w:val="auto"/>
          <w:szCs w:val="24"/>
          <w:lang w:val="sr-Latn-ME"/>
        </w:rPr>
        <w:t>4</w:t>
      </w:r>
      <w:r w:rsidR="00547278">
        <w:rPr>
          <w:rFonts w:asciiTheme="minorHAnsi" w:hAnsiTheme="minorHAnsi" w:cstheme="minorHAnsi"/>
          <w:color w:val="auto"/>
          <w:szCs w:val="24"/>
          <w:lang w:val="sr-Latn-ME"/>
        </w:rPr>
        <w:t>3</w:t>
      </w:r>
      <w:r w:rsidR="00056E0C" w:rsidRPr="00C86111">
        <w:rPr>
          <w:rFonts w:asciiTheme="minorHAnsi" w:hAnsiTheme="minorHAnsi" w:cstheme="minorHAnsi"/>
          <w:color w:val="auto"/>
          <w:szCs w:val="24"/>
          <w:lang w:val="sr-Latn-ME"/>
        </w:rPr>
        <w:t>.</w:t>
      </w:r>
      <w:r w:rsidRPr="00C86111">
        <w:rPr>
          <w:rFonts w:asciiTheme="minorHAnsi" w:hAnsiTheme="minorHAnsi" w:cstheme="minorHAnsi"/>
          <w:color w:val="auto"/>
          <w:szCs w:val="24"/>
          <w:lang w:val="sr-Latn-ME"/>
        </w:rPr>
        <w:t xml:space="preserve"> prikazuje procijenjene količine SCCP i MCCP u uvezenim PVC proizvodima (HS kod 3920491000) za period 2017–2023. SCCP ostaje glavno jedinjenje, smanjujući se sa 1471 kg u 2017. na 337 kg u 2023. godini, dok MCCP opada sa 838 kg na 192 kg u istom periodu. Oba jedinjenja pokazuju značajan pad do 2020. godine, nakon čega slijedi postepeni rast od 2021. godine, što odražava varijacije u obimu uvoza i hemijskom sadržaju.</w:t>
      </w:r>
    </w:p>
    <w:p w14:paraId="003AEAFD" w14:textId="77777777" w:rsidR="00201FE9" w:rsidRPr="00C86111" w:rsidRDefault="00201FE9" w:rsidP="00201FE9">
      <w:pPr>
        <w:spacing w:line="276" w:lineRule="auto"/>
        <w:jc w:val="both"/>
        <w:rPr>
          <w:rFonts w:asciiTheme="minorHAnsi" w:hAnsiTheme="minorHAnsi" w:cstheme="minorHAnsi"/>
          <w:color w:val="auto"/>
          <w:szCs w:val="24"/>
          <w:lang w:val="sr-Latn-ME"/>
        </w:rPr>
      </w:pPr>
    </w:p>
    <w:p w14:paraId="6F558C47" w14:textId="22796AF2" w:rsidR="00201FE9" w:rsidRPr="00C86111" w:rsidRDefault="00201FE9" w:rsidP="00201FE9">
      <w:pPr>
        <w:spacing w:line="276" w:lineRule="auto"/>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Tabela </w:t>
      </w:r>
      <w:r w:rsidR="00056E0C" w:rsidRPr="00C86111">
        <w:rPr>
          <w:rFonts w:asciiTheme="minorHAnsi" w:hAnsiTheme="minorHAnsi" w:cstheme="minorHAnsi"/>
          <w:color w:val="auto"/>
          <w:szCs w:val="24"/>
          <w:lang w:val="sr-Latn-ME"/>
        </w:rPr>
        <w:t>109.</w:t>
      </w:r>
      <w:r w:rsidRPr="00C86111">
        <w:rPr>
          <w:rFonts w:asciiTheme="minorHAnsi" w:hAnsiTheme="minorHAnsi" w:cstheme="minorHAnsi"/>
          <w:color w:val="auto"/>
          <w:szCs w:val="24"/>
          <w:lang w:val="sr-Latn-ME"/>
        </w:rPr>
        <w:t xml:space="preserve"> i Grafik </w:t>
      </w:r>
      <w:r w:rsidR="00056E0C" w:rsidRPr="00C86111">
        <w:rPr>
          <w:rFonts w:asciiTheme="minorHAnsi" w:hAnsiTheme="minorHAnsi" w:cstheme="minorHAnsi"/>
          <w:color w:val="auto"/>
          <w:szCs w:val="24"/>
          <w:lang w:val="sr-Latn-ME"/>
        </w:rPr>
        <w:t>4</w:t>
      </w:r>
      <w:r w:rsidR="00547278">
        <w:rPr>
          <w:rFonts w:asciiTheme="minorHAnsi" w:hAnsiTheme="minorHAnsi" w:cstheme="minorHAnsi"/>
          <w:color w:val="auto"/>
          <w:szCs w:val="24"/>
          <w:lang w:val="sr-Latn-ME"/>
        </w:rPr>
        <w:t>4</w:t>
      </w:r>
      <w:r w:rsidR="00056E0C" w:rsidRPr="00C86111">
        <w:rPr>
          <w:rFonts w:asciiTheme="minorHAnsi" w:hAnsiTheme="minorHAnsi" w:cstheme="minorHAnsi"/>
          <w:color w:val="auto"/>
          <w:szCs w:val="24"/>
          <w:lang w:val="sr-Latn-ME"/>
        </w:rPr>
        <w:t>.</w:t>
      </w:r>
      <w:r w:rsidRPr="00C86111">
        <w:rPr>
          <w:rFonts w:asciiTheme="minorHAnsi" w:hAnsiTheme="minorHAnsi" w:cstheme="minorHAnsi"/>
          <w:color w:val="auto"/>
          <w:szCs w:val="24"/>
          <w:lang w:val="sr-Latn-ME"/>
        </w:rPr>
        <w:t xml:space="preserve"> prikazuju pregled količina uvezenih PVC proizvoda sa HS kodom 920439000 iz Kine za period 2017–2023, kao i izračunate količine SCCP i MCCP.</w:t>
      </w:r>
    </w:p>
    <w:p w14:paraId="3FF36B9E" w14:textId="77777777" w:rsidR="00201FE9" w:rsidRPr="00C86111" w:rsidRDefault="00201FE9" w:rsidP="00201FE9">
      <w:pPr>
        <w:pStyle w:val="Caption"/>
        <w:keepNext/>
        <w:rPr>
          <w:rFonts w:cstheme="minorHAnsi"/>
          <w:bCs/>
          <w:sz w:val="24"/>
          <w:szCs w:val="24"/>
        </w:rPr>
      </w:pPr>
      <w:bookmarkStart w:id="401" w:name="_Toc210743920"/>
    </w:p>
    <w:p w14:paraId="78745CF1" w14:textId="10755EF5" w:rsidR="00201FE9" w:rsidRPr="00C86111" w:rsidRDefault="00201FE9" w:rsidP="00201FE9">
      <w:pPr>
        <w:pStyle w:val="Caption"/>
        <w:keepNext/>
        <w:rPr>
          <w:rFonts w:cstheme="minorHAnsi"/>
          <w:b w:val="0"/>
          <w:bCs/>
          <w:sz w:val="24"/>
          <w:szCs w:val="24"/>
        </w:rPr>
      </w:pPr>
      <w:r w:rsidRPr="00C86111">
        <w:rPr>
          <w:rFonts w:cstheme="minorHAnsi"/>
          <w:bCs/>
          <w:sz w:val="24"/>
          <w:szCs w:val="24"/>
        </w:rPr>
        <w:t xml:space="preserve">Tabela </w:t>
      </w:r>
      <w:r w:rsidR="00056E0C" w:rsidRPr="00C86111">
        <w:rPr>
          <w:rFonts w:cstheme="minorHAnsi"/>
          <w:sz w:val="24"/>
          <w:szCs w:val="24"/>
        </w:rPr>
        <w:t>109</w:t>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PVC proizvoda sa HS kodom 3920439000 za period 2017-2023 i procenjene količine SCCP i MCCP</w:t>
      </w:r>
      <w:bookmarkEnd w:id="401"/>
    </w:p>
    <w:tbl>
      <w:tblPr>
        <w:tblStyle w:val="GridTable5Dark-Accent6"/>
        <w:tblW w:w="9016" w:type="dxa"/>
        <w:tblLook w:val="04A0" w:firstRow="1" w:lastRow="0" w:firstColumn="1" w:lastColumn="0" w:noHBand="0" w:noVBand="1"/>
      </w:tblPr>
      <w:tblGrid>
        <w:gridCol w:w="1433"/>
        <w:gridCol w:w="933"/>
        <w:gridCol w:w="1233"/>
        <w:gridCol w:w="1598"/>
        <w:gridCol w:w="1100"/>
        <w:gridCol w:w="1568"/>
        <w:gridCol w:w="1151"/>
      </w:tblGrid>
      <w:tr w:rsidR="00201FE9" w:rsidRPr="00C86111" w14:paraId="764F86D9" w14:textId="77777777" w:rsidTr="00812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671B9179"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33" w:type="dxa"/>
            <w:hideMark/>
          </w:tcPr>
          <w:p w14:paraId="27A8C96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233" w:type="dxa"/>
            <w:hideMark/>
          </w:tcPr>
          <w:p w14:paraId="1142D38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598" w:type="dxa"/>
          </w:tcPr>
          <w:p w14:paraId="4BB99F7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2B282FC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100" w:type="dxa"/>
          </w:tcPr>
          <w:p w14:paraId="3FBE26C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568" w:type="dxa"/>
          </w:tcPr>
          <w:p w14:paraId="7CE1BA2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7AAFC75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151" w:type="dxa"/>
          </w:tcPr>
          <w:p w14:paraId="447FCFB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5866F787" w14:textId="77777777" w:rsidTr="00812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val="restart"/>
          </w:tcPr>
          <w:p w14:paraId="63F532F5"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3920439000</w:t>
            </w:r>
          </w:p>
        </w:tc>
        <w:tc>
          <w:tcPr>
            <w:tcW w:w="933" w:type="dxa"/>
          </w:tcPr>
          <w:p w14:paraId="50B0D23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233" w:type="dxa"/>
          </w:tcPr>
          <w:p w14:paraId="2A7D99C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2887</w:t>
            </w:r>
          </w:p>
        </w:tc>
        <w:tc>
          <w:tcPr>
            <w:tcW w:w="1598" w:type="dxa"/>
          </w:tcPr>
          <w:p w14:paraId="2F81C65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00" w:type="dxa"/>
          </w:tcPr>
          <w:p w14:paraId="20A3611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520</w:t>
            </w:r>
          </w:p>
        </w:tc>
        <w:tc>
          <w:tcPr>
            <w:tcW w:w="1568" w:type="dxa"/>
          </w:tcPr>
          <w:p w14:paraId="36D03C2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51" w:type="dxa"/>
          </w:tcPr>
          <w:p w14:paraId="6DA119C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296</w:t>
            </w:r>
          </w:p>
        </w:tc>
      </w:tr>
      <w:tr w:rsidR="00201FE9" w:rsidRPr="00C86111" w14:paraId="16C223DE" w14:textId="77777777" w:rsidTr="0081267C">
        <w:tc>
          <w:tcPr>
            <w:cnfStyle w:val="001000000000" w:firstRow="0" w:lastRow="0" w:firstColumn="1" w:lastColumn="0" w:oddVBand="0" w:evenVBand="0" w:oddHBand="0" w:evenHBand="0" w:firstRowFirstColumn="0" w:firstRowLastColumn="0" w:lastRowFirstColumn="0" w:lastRowLastColumn="0"/>
            <w:tcW w:w="1433" w:type="dxa"/>
            <w:vMerge/>
          </w:tcPr>
          <w:p w14:paraId="0132E936"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1929771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233" w:type="dxa"/>
          </w:tcPr>
          <w:p w14:paraId="66C96E5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10762</w:t>
            </w:r>
          </w:p>
        </w:tc>
        <w:tc>
          <w:tcPr>
            <w:tcW w:w="1598" w:type="dxa"/>
          </w:tcPr>
          <w:p w14:paraId="589BCB0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00" w:type="dxa"/>
          </w:tcPr>
          <w:p w14:paraId="6BC98B0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1937</w:t>
            </w:r>
          </w:p>
        </w:tc>
        <w:tc>
          <w:tcPr>
            <w:tcW w:w="1568" w:type="dxa"/>
          </w:tcPr>
          <w:p w14:paraId="2DE7C5E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51" w:type="dxa"/>
          </w:tcPr>
          <w:p w14:paraId="2F9F8BC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1104</w:t>
            </w:r>
          </w:p>
        </w:tc>
      </w:tr>
      <w:tr w:rsidR="00201FE9" w:rsidRPr="00C86111" w14:paraId="6271EC4E" w14:textId="77777777" w:rsidTr="00812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Pr>
          <w:p w14:paraId="30E6B592"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1DD0652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233" w:type="dxa"/>
          </w:tcPr>
          <w:p w14:paraId="5EC63F9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12711</w:t>
            </w:r>
          </w:p>
        </w:tc>
        <w:tc>
          <w:tcPr>
            <w:tcW w:w="1598" w:type="dxa"/>
          </w:tcPr>
          <w:p w14:paraId="768298A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00" w:type="dxa"/>
          </w:tcPr>
          <w:p w14:paraId="0B27818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2288</w:t>
            </w:r>
          </w:p>
        </w:tc>
        <w:tc>
          <w:tcPr>
            <w:tcW w:w="1568" w:type="dxa"/>
          </w:tcPr>
          <w:p w14:paraId="05A20FA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51" w:type="dxa"/>
          </w:tcPr>
          <w:p w14:paraId="353F8F8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1304</w:t>
            </w:r>
          </w:p>
        </w:tc>
      </w:tr>
      <w:tr w:rsidR="00201FE9" w:rsidRPr="00C86111" w14:paraId="00FCE7BE" w14:textId="77777777" w:rsidTr="0081267C">
        <w:tc>
          <w:tcPr>
            <w:cnfStyle w:val="001000000000" w:firstRow="0" w:lastRow="0" w:firstColumn="1" w:lastColumn="0" w:oddVBand="0" w:evenVBand="0" w:oddHBand="0" w:evenHBand="0" w:firstRowFirstColumn="0" w:firstRowLastColumn="0" w:lastRowFirstColumn="0" w:lastRowLastColumn="0"/>
            <w:tcW w:w="1433" w:type="dxa"/>
            <w:vMerge/>
          </w:tcPr>
          <w:p w14:paraId="47836A5D"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17945F8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233" w:type="dxa"/>
          </w:tcPr>
          <w:p w14:paraId="3222A86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13051</w:t>
            </w:r>
          </w:p>
        </w:tc>
        <w:tc>
          <w:tcPr>
            <w:tcW w:w="1598" w:type="dxa"/>
          </w:tcPr>
          <w:p w14:paraId="76A3146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00" w:type="dxa"/>
          </w:tcPr>
          <w:p w14:paraId="69530BA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2349</w:t>
            </w:r>
          </w:p>
        </w:tc>
        <w:tc>
          <w:tcPr>
            <w:tcW w:w="1568" w:type="dxa"/>
          </w:tcPr>
          <w:p w14:paraId="31F334A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51" w:type="dxa"/>
          </w:tcPr>
          <w:p w14:paraId="5A36BCF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1339</w:t>
            </w:r>
          </w:p>
        </w:tc>
      </w:tr>
      <w:tr w:rsidR="00201FE9" w:rsidRPr="00C86111" w14:paraId="743397AC" w14:textId="77777777" w:rsidTr="00812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Pr>
          <w:p w14:paraId="01530F7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6A85C90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233" w:type="dxa"/>
          </w:tcPr>
          <w:p w14:paraId="297D499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8219</w:t>
            </w:r>
          </w:p>
        </w:tc>
        <w:tc>
          <w:tcPr>
            <w:tcW w:w="1598" w:type="dxa"/>
          </w:tcPr>
          <w:p w14:paraId="467C509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00" w:type="dxa"/>
          </w:tcPr>
          <w:p w14:paraId="2A2C6F9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1479</w:t>
            </w:r>
          </w:p>
        </w:tc>
        <w:tc>
          <w:tcPr>
            <w:tcW w:w="1568" w:type="dxa"/>
          </w:tcPr>
          <w:p w14:paraId="05C10F2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51" w:type="dxa"/>
          </w:tcPr>
          <w:p w14:paraId="5A6F203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843</w:t>
            </w:r>
          </w:p>
        </w:tc>
      </w:tr>
      <w:tr w:rsidR="00201FE9" w:rsidRPr="00C86111" w14:paraId="6B7A7B49" w14:textId="77777777" w:rsidTr="0081267C">
        <w:tc>
          <w:tcPr>
            <w:cnfStyle w:val="001000000000" w:firstRow="0" w:lastRow="0" w:firstColumn="1" w:lastColumn="0" w:oddVBand="0" w:evenVBand="0" w:oddHBand="0" w:evenHBand="0" w:firstRowFirstColumn="0" w:firstRowLastColumn="0" w:lastRowFirstColumn="0" w:lastRowLastColumn="0"/>
            <w:tcW w:w="1433" w:type="dxa"/>
            <w:vMerge/>
          </w:tcPr>
          <w:p w14:paraId="7A4E9C70"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34D477B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233" w:type="dxa"/>
          </w:tcPr>
          <w:p w14:paraId="56025BA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5752</w:t>
            </w:r>
          </w:p>
        </w:tc>
        <w:tc>
          <w:tcPr>
            <w:tcW w:w="1598" w:type="dxa"/>
          </w:tcPr>
          <w:p w14:paraId="33833F9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00" w:type="dxa"/>
          </w:tcPr>
          <w:p w14:paraId="4D2BF5A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1035</w:t>
            </w:r>
          </w:p>
        </w:tc>
        <w:tc>
          <w:tcPr>
            <w:tcW w:w="1568" w:type="dxa"/>
          </w:tcPr>
          <w:p w14:paraId="2A7BC11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51" w:type="dxa"/>
          </w:tcPr>
          <w:p w14:paraId="68AA61E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590</w:t>
            </w:r>
          </w:p>
        </w:tc>
      </w:tr>
      <w:tr w:rsidR="00201FE9" w:rsidRPr="00C86111" w14:paraId="527F1DBF" w14:textId="77777777" w:rsidTr="00812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Merge/>
          </w:tcPr>
          <w:p w14:paraId="54D88B57"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33" w:type="dxa"/>
          </w:tcPr>
          <w:p w14:paraId="1266712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233" w:type="dxa"/>
          </w:tcPr>
          <w:p w14:paraId="7F0EE7B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1967</w:t>
            </w:r>
          </w:p>
        </w:tc>
        <w:tc>
          <w:tcPr>
            <w:tcW w:w="1598" w:type="dxa"/>
          </w:tcPr>
          <w:p w14:paraId="79DD14F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100" w:type="dxa"/>
          </w:tcPr>
          <w:p w14:paraId="31799FA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354</w:t>
            </w:r>
          </w:p>
        </w:tc>
        <w:tc>
          <w:tcPr>
            <w:tcW w:w="1568" w:type="dxa"/>
          </w:tcPr>
          <w:p w14:paraId="21EE500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51" w:type="dxa"/>
          </w:tcPr>
          <w:p w14:paraId="4E8153F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202</w:t>
            </w:r>
          </w:p>
        </w:tc>
      </w:tr>
    </w:tbl>
    <w:p w14:paraId="71A4FB41"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6147E8C5" w14:textId="77777777" w:rsidR="00201FE9" w:rsidRPr="00C86111" w:rsidRDefault="00201FE9" w:rsidP="00201FE9">
      <w:pPr>
        <w:spacing w:line="276" w:lineRule="auto"/>
        <w:jc w:val="both"/>
        <w:rPr>
          <w:rFonts w:asciiTheme="minorHAnsi" w:hAnsiTheme="minorHAnsi" w:cstheme="minorHAnsi"/>
          <w:bCs/>
          <w:color w:val="auto"/>
          <w:szCs w:val="24"/>
          <w:lang w:val="sr-Latn-ME"/>
        </w:rPr>
      </w:pPr>
    </w:p>
    <w:p w14:paraId="1EB9A6A9"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1A8A3980" wp14:editId="43CCA8F5">
            <wp:extent cx="4823460" cy="1808018"/>
            <wp:effectExtent l="0" t="0" r="15240" b="1905"/>
            <wp:docPr id="8" name="Chart 8">
              <a:extLst xmlns:a="http://schemas.openxmlformats.org/drawingml/2006/main">
                <a:ext uri="{FF2B5EF4-FFF2-40B4-BE49-F238E27FC236}">
                  <a16:creationId xmlns:a16="http://schemas.microsoft.com/office/drawing/2014/main" id="{D4F9F206-5E03-4811-9A25-6D16DA0DE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33B53BF" w14:textId="0F6731FD"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056E0C" w:rsidRPr="00C86111">
        <w:rPr>
          <w:rFonts w:asciiTheme="minorHAnsi" w:hAnsiTheme="minorHAnsi" w:cstheme="minorHAnsi"/>
          <w:b/>
          <w:bCs/>
          <w:color w:val="auto"/>
          <w:szCs w:val="24"/>
          <w:lang w:val="sr-Latn-ME"/>
        </w:rPr>
        <w:t>4</w:t>
      </w:r>
      <w:r w:rsidR="00547278">
        <w:rPr>
          <w:rFonts w:asciiTheme="minorHAnsi" w:hAnsiTheme="minorHAnsi" w:cstheme="minorHAnsi"/>
          <w:b/>
          <w:bCs/>
          <w:color w:val="auto"/>
          <w:szCs w:val="24"/>
          <w:lang w:val="sr-Latn-ME"/>
        </w:rPr>
        <w:t>4</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 xml:space="preserve">Procenjena količina SCCP i MCCP u proizvodu sa HS kodom </w:t>
      </w:r>
      <w:r w:rsidRPr="00C86111">
        <w:rPr>
          <w:rFonts w:asciiTheme="minorHAnsi" w:eastAsia="Times New Roman" w:hAnsiTheme="minorHAnsi" w:cstheme="minorHAnsi"/>
          <w:color w:val="auto"/>
          <w:szCs w:val="24"/>
          <w:lang w:val="sr-Latn-ME"/>
        </w:rPr>
        <w:t>3920439000</w:t>
      </w:r>
      <w:r w:rsidRPr="00C86111">
        <w:rPr>
          <w:rFonts w:asciiTheme="minorHAnsi" w:hAnsiTheme="minorHAnsi" w:cstheme="minorHAnsi"/>
          <w:color w:val="auto"/>
          <w:szCs w:val="24"/>
          <w:lang w:val="sr-Latn-ME"/>
        </w:rPr>
        <w:t xml:space="preserve"> uvezenim tokom perioda 2017-2023.</w:t>
      </w:r>
    </w:p>
    <w:p w14:paraId="2608A2A0"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34539E9B" w14:textId="5794776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Grafik </w:t>
      </w:r>
      <w:r w:rsidR="00056E0C" w:rsidRPr="00C86111">
        <w:rPr>
          <w:rFonts w:asciiTheme="minorHAnsi" w:eastAsia="Times New Roman" w:hAnsiTheme="minorHAnsi" w:cstheme="minorHAnsi"/>
          <w:color w:val="auto"/>
          <w:szCs w:val="24"/>
          <w:lang w:val="sr-Latn-ME"/>
        </w:rPr>
        <w:t>4</w:t>
      </w:r>
      <w:r w:rsidR="00547278">
        <w:rPr>
          <w:rFonts w:asciiTheme="minorHAnsi" w:eastAsia="Times New Roman" w:hAnsiTheme="minorHAnsi" w:cstheme="minorHAnsi"/>
          <w:color w:val="auto"/>
          <w:szCs w:val="24"/>
          <w:lang w:val="sr-Latn-ME"/>
        </w:rPr>
        <w:t>4</w:t>
      </w:r>
      <w:r w:rsidR="00056E0C"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prikazuje procijenjene količine SCCP i MCCP u uvezenim PVC proizvodima (HS kod 3920439000) od 2017. do 2023. godine. SCCP je dominantno jedinjenje, u rasponu od 520 kg u 2017. do 354 kg u 2023. godini, dok se MCCP kreće od 296 kg do 202 kg. Količine oba jedinjenja naglo rastu od 2017. do 2020. godine, nakon čega slijedi stalni pad do 2023. godine, što odražava fluktuacije u obimu uvoza i povezanom hemijskom sadržaju.</w:t>
      </w:r>
    </w:p>
    <w:p w14:paraId="06F868EB"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p>
    <w:p w14:paraId="02DDB33A" w14:textId="4EB6D420"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056E0C" w:rsidRPr="00C86111">
        <w:rPr>
          <w:rFonts w:asciiTheme="minorHAnsi" w:eastAsia="Times New Roman" w:hAnsiTheme="minorHAnsi" w:cstheme="minorHAnsi"/>
          <w:color w:val="auto"/>
          <w:szCs w:val="24"/>
          <w:lang w:val="sr-Latn-ME"/>
        </w:rPr>
        <w:t>110.</w:t>
      </w:r>
      <w:r w:rsidRPr="00C86111">
        <w:rPr>
          <w:rFonts w:asciiTheme="minorHAnsi" w:eastAsia="Times New Roman" w:hAnsiTheme="minorHAnsi" w:cstheme="minorHAnsi"/>
          <w:color w:val="auto"/>
          <w:szCs w:val="24"/>
          <w:lang w:val="sr-Latn-ME"/>
        </w:rPr>
        <w:t xml:space="preserve"> i Grafik </w:t>
      </w:r>
      <w:r w:rsidR="00056E0C" w:rsidRPr="00C86111">
        <w:rPr>
          <w:rFonts w:asciiTheme="minorHAnsi" w:eastAsia="Times New Roman" w:hAnsiTheme="minorHAnsi" w:cstheme="minorHAnsi"/>
          <w:color w:val="auto"/>
          <w:szCs w:val="24"/>
          <w:lang w:val="sr-Latn-ME"/>
        </w:rPr>
        <w:t>4</w:t>
      </w:r>
      <w:r w:rsidR="00547278">
        <w:rPr>
          <w:rFonts w:asciiTheme="minorHAnsi" w:eastAsia="Times New Roman" w:hAnsiTheme="minorHAnsi" w:cstheme="minorHAnsi"/>
          <w:color w:val="auto"/>
          <w:szCs w:val="24"/>
          <w:lang w:val="sr-Latn-ME"/>
        </w:rPr>
        <w:t>5</w:t>
      </w:r>
      <w:r w:rsidR="00056E0C"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prikazuju pregled količina uvezenih PVC proizvoda sa HS kodom 920431000 iz Kine za period 2017-2023, kao i izračunate količine SCCP i MCCP.</w:t>
      </w:r>
    </w:p>
    <w:p w14:paraId="0E315FDC" w14:textId="77777777" w:rsidR="00201FE9" w:rsidRPr="00C86111" w:rsidRDefault="00201FE9" w:rsidP="00201FE9">
      <w:pPr>
        <w:pStyle w:val="Caption"/>
        <w:keepNext/>
        <w:rPr>
          <w:rFonts w:cstheme="minorHAnsi"/>
          <w:bCs/>
          <w:sz w:val="24"/>
          <w:szCs w:val="24"/>
        </w:rPr>
      </w:pPr>
      <w:bookmarkStart w:id="402" w:name="_Toc210743921"/>
    </w:p>
    <w:p w14:paraId="17373FB6" w14:textId="5C023138" w:rsidR="00201FE9" w:rsidRPr="00C86111" w:rsidRDefault="00201FE9" w:rsidP="00201FE9">
      <w:pPr>
        <w:pStyle w:val="Caption"/>
        <w:keepNext/>
        <w:rPr>
          <w:rFonts w:cstheme="minorHAnsi"/>
          <w:b w:val="0"/>
          <w:bCs/>
          <w:sz w:val="24"/>
          <w:szCs w:val="24"/>
        </w:rPr>
      </w:pPr>
      <w:r w:rsidRPr="00C86111">
        <w:rPr>
          <w:rFonts w:cstheme="minorHAnsi"/>
          <w:bCs/>
          <w:sz w:val="24"/>
          <w:szCs w:val="24"/>
        </w:rPr>
        <w:t xml:space="preserve">Tabela </w:t>
      </w:r>
      <w:r w:rsidR="00056E0C" w:rsidRPr="00C86111">
        <w:rPr>
          <w:rFonts w:cstheme="minorHAnsi"/>
          <w:bCs/>
          <w:sz w:val="24"/>
          <w:szCs w:val="24"/>
        </w:rPr>
        <w:t>110</w:t>
      </w:r>
      <w:r w:rsidRPr="00C86111">
        <w:rPr>
          <w:rFonts w:cstheme="minorHAnsi"/>
          <w:b w:val="0"/>
          <w:bCs/>
          <w:sz w:val="24"/>
          <w:szCs w:val="24"/>
        </w:rPr>
        <w:fldChar w:fldCharType="begin"/>
      </w:r>
      <w:r w:rsidRPr="00C86111">
        <w:rPr>
          <w:rFonts w:cstheme="minorHAnsi"/>
          <w:bCs/>
          <w:sz w:val="24"/>
          <w:szCs w:val="24"/>
        </w:rPr>
        <w:instrText xml:space="preserve"> SEQ Tabela \* ARABIC </w:instrText>
      </w:r>
      <w:r w:rsidRPr="00C86111">
        <w:rPr>
          <w:rFonts w:cstheme="minorHAnsi"/>
          <w:b w:val="0"/>
          <w:bCs/>
          <w:sz w:val="24"/>
          <w:szCs w:val="24"/>
        </w:rPr>
        <w:fldChar w:fldCharType="end"/>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PVC proizvoda sa HS kodom 3920431000 za period 2017-2023. i procenjene količine SCCP i MCCP</w:t>
      </w:r>
      <w:bookmarkEnd w:id="402"/>
    </w:p>
    <w:tbl>
      <w:tblPr>
        <w:tblStyle w:val="GridTable5Dark-Accent6"/>
        <w:tblW w:w="9016" w:type="dxa"/>
        <w:tblLook w:val="04A0" w:firstRow="1" w:lastRow="0" w:firstColumn="1" w:lastColumn="0" w:noHBand="0" w:noVBand="1"/>
      </w:tblPr>
      <w:tblGrid>
        <w:gridCol w:w="1265"/>
        <w:gridCol w:w="915"/>
        <w:gridCol w:w="1371"/>
        <w:gridCol w:w="1583"/>
        <w:gridCol w:w="1104"/>
        <w:gridCol w:w="1600"/>
        <w:gridCol w:w="1178"/>
      </w:tblGrid>
      <w:tr w:rsidR="00201FE9" w:rsidRPr="00C86111" w14:paraId="0FF52B5B"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Pr>
          <w:p w14:paraId="3D93E9DB"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890" w:type="dxa"/>
            <w:hideMark/>
          </w:tcPr>
          <w:p w14:paraId="6E7F4DFF"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333" w:type="dxa"/>
            <w:hideMark/>
          </w:tcPr>
          <w:p w14:paraId="24E02ED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539" w:type="dxa"/>
          </w:tcPr>
          <w:p w14:paraId="4772BE9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180736D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073" w:type="dxa"/>
          </w:tcPr>
          <w:p w14:paraId="67CFE3F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556" w:type="dxa"/>
          </w:tcPr>
          <w:p w14:paraId="2D688ED6"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1F3C6C0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145" w:type="dxa"/>
          </w:tcPr>
          <w:p w14:paraId="6C08280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23661642"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val="restart"/>
          </w:tcPr>
          <w:p w14:paraId="4B8CF130"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3920431000</w:t>
            </w:r>
          </w:p>
        </w:tc>
        <w:tc>
          <w:tcPr>
            <w:tcW w:w="890" w:type="dxa"/>
          </w:tcPr>
          <w:p w14:paraId="790DA1F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333" w:type="dxa"/>
          </w:tcPr>
          <w:p w14:paraId="1B0A7CC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616</w:t>
            </w:r>
          </w:p>
        </w:tc>
        <w:tc>
          <w:tcPr>
            <w:tcW w:w="1539" w:type="dxa"/>
          </w:tcPr>
          <w:p w14:paraId="7C61E39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073" w:type="dxa"/>
          </w:tcPr>
          <w:p w14:paraId="5264F70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111</w:t>
            </w:r>
          </w:p>
        </w:tc>
        <w:tc>
          <w:tcPr>
            <w:tcW w:w="1556" w:type="dxa"/>
          </w:tcPr>
          <w:p w14:paraId="0665224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45" w:type="dxa"/>
          </w:tcPr>
          <w:p w14:paraId="70E1D99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63</w:t>
            </w:r>
          </w:p>
        </w:tc>
      </w:tr>
      <w:tr w:rsidR="00201FE9" w:rsidRPr="00C86111" w14:paraId="6B948489"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1E709AB3"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60EB8BC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333" w:type="dxa"/>
          </w:tcPr>
          <w:p w14:paraId="475D7D4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1711.61</w:t>
            </w:r>
          </w:p>
        </w:tc>
        <w:tc>
          <w:tcPr>
            <w:tcW w:w="1539" w:type="dxa"/>
          </w:tcPr>
          <w:p w14:paraId="689CB50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073" w:type="dxa"/>
          </w:tcPr>
          <w:p w14:paraId="5EDAE23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308</w:t>
            </w:r>
          </w:p>
        </w:tc>
        <w:tc>
          <w:tcPr>
            <w:tcW w:w="1556" w:type="dxa"/>
          </w:tcPr>
          <w:p w14:paraId="0E25CCD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45" w:type="dxa"/>
          </w:tcPr>
          <w:p w14:paraId="5B306B6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176</w:t>
            </w:r>
          </w:p>
        </w:tc>
      </w:tr>
      <w:tr w:rsidR="00201FE9" w:rsidRPr="00C86111" w14:paraId="77F229D4"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3BAD783A"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08EA17A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333" w:type="dxa"/>
          </w:tcPr>
          <w:p w14:paraId="179AE9B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1749.09</w:t>
            </w:r>
          </w:p>
        </w:tc>
        <w:tc>
          <w:tcPr>
            <w:tcW w:w="1539" w:type="dxa"/>
          </w:tcPr>
          <w:p w14:paraId="2D04EF3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073" w:type="dxa"/>
          </w:tcPr>
          <w:p w14:paraId="3159F3B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315</w:t>
            </w:r>
          </w:p>
        </w:tc>
        <w:tc>
          <w:tcPr>
            <w:tcW w:w="1556" w:type="dxa"/>
          </w:tcPr>
          <w:p w14:paraId="62E85C9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45" w:type="dxa"/>
          </w:tcPr>
          <w:p w14:paraId="07342EC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179</w:t>
            </w:r>
          </w:p>
        </w:tc>
      </w:tr>
      <w:tr w:rsidR="00201FE9" w:rsidRPr="00C86111" w14:paraId="426646C4"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203B9F0E"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A51AB7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333" w:type="dxa"/>
          </w:tcPr>
          <w:p w14:paraId="1A2AA8E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3889.15</w:t>
            </w:r>
          </w:p>
        </w:tc>
        <w:tc>
          <w:tcPr>
            <w:tcW w:w="1539" w:type="dxa"/>
          </w:tcPr>
          <w:p w14:paraId="719D744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073" w:type="dxa"/>
          </w:tcPr>
          <w:p w14:paraId="408214D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700</w:t>
            </w:r>
          </w:p>
        </w:tc>
        <w:tc>
          <w:tcPr>
            <w:tcW w:w="1556" w:type="dxa"/>
          </w:tcPr>
          <w:p w14:paraId="5966688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45" w:type="dxa"/>
          </w:tcPr>
          <w:p w14:paraId="48C4D68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399</w:t>
            </w:r>
          </w:p>
        </w:tc>
      </w:tr>
      <w:tr w:rsidR="00201FE9" w:rsidRPr="00C86111" w14:paraId="2A9F7A9E"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68B5AB9C"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1C857AC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333" w:type="dxa"/>
          </w:tcPr>
          <w:p w14:paraId="47C40ED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1354.3</w:t>
            </w:r>
          </w:p>
        </w:tc>
        <w:tc>
          <w:tcPr>
            <w:tcW w:w="1539" w:type="dxa"/>
          </w:tcPr>
          <w:p w14:paraId="477A332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073" w:type="dxa"/>
          </w:tcPr>
          <w:p w14:paraId="360A6D3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244</w:t>
            </w:r>
          </w:p>
        </w:tc>
        <w:tc>
          <w:tcPr>
            <w:tcW w:w="1556" w:type="dxa"/>
          </w:tcPr>
          <w:p w14:paraId="490B9F7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45" w:type="dxa"/>
          </w:tcPr>
          <w:p w14:paraId="5DF211B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139</w:t>
            </w:r>
          </w:p>
        </w:tc>
      </w:tr>
      <w:tr w:rsidR="00201FE9" w:rsidRPr="00C86111" w14:paraId="5DAAD090"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432FDC03"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1E18260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333" w:type="dxa"/>
          </w:tcPr>
          <w:p w14:paraId="1F7874B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306.96</w:t>
            </w:r>
          </w:p>
        </w:tc>
        <w:tc>
          <w:tcPr>
            <w:tcW w:w="1539" w:type="dxa"/>
          </w:tcPr>
          <w:p w14:paraId="6B22B94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073" w:type="dxa"/>
          </w:tcPr>
          <w:p w14:paraId="2E2B552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55</w:t>
            </w:r>
          </w:p>
        </w:tc>
        <w:tc>
          <w:tcPr>
            <w:tcW w:w="1556" w:type="dxa"/>
          </w:tcPr>
          <w:p w14:paraId="4F6E8A0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45" w:type="dxa"/>
          </w:tcPr>
          <w:p w14:paraId="5EB194E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31</w:t>
            </w:r>
          </w:p>
        </w:tc>
      </w:tr>
      <w:tr w:rsidR="00201FE9" w:rsidRPr="00C86111" w14:paraId="0CADDE3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7D10124E"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6C9B2D0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333" w:type="dxa"/>
          </w:tcPr>
          <w:p w14:paraId="181C292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761.76</w:t>
            </w:r>
          </w:p>
        </w:tc>
        <w:tc>
          <w:tcPr>
            <w:tcW w:w="1539" w:type="dxa"/>
          </w:tcPr>
          <w:p w14:paraId="0B63D0D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180</w:t>
            </w:r>
          </w:p>
        </w:tc>
        <w:tc>
          <w:tcPr>
            <w:tcW w:w="1073" w:type="dxa"/>
          </w:tcPr>
          <w:p w14:paraId="0F50159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137</w:t>
            </w:r>
          </w:p>
        </w:tc>
        <w:tc>
          <w:tcPr>
            <w:tcW w:w="1556" w:type="dxa"/>
          </w:tcPr>
          <w:p w14:paraId="0E57EB0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102.6</w:t>
            </w:r>
          </w:p>
        </w:tc>
        <w:tc>
          <w:tcPr>
            <w:tcW w:w="1145" w:type="dxa"/>
          </w:tcPr>
          <w:p w14:paraId="5DE09B2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78</w:t>
            </w:r>
          </w:p>
        </w:tc>
      </w:tr>
    </w:tbl>
    <w:p w14:paraId="0531FDA2"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69DBDEAE" w14:textId="77777777" w:rsidR="00201FE9" w:rsidRPr="00C86111" w:rsidRDefault="00201FE9" w:rsidP="00201FE9">
      <w:pPr>
        <w:spacing w:line="276" w:lineRule="auto"/>
        <w:jc w:val="both"/>
        <w:rPr>
          <w:rFonts w:asciiTheme="minorHAnsi" w:hAnsiTheme="minorHAnsi" w:cstheme="minorHAnsi"/>
          <w:bCs/>
          <w:color w:val="auto"/>
          <w:szCs w:val="24"/>
          <w:lang w:val="sr-Latn-ME"/>
        </w:rPr>
      </w:pPr>
    </w:p>
    <w:p w14:paraId="32FAA735"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54ED689B"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1D7AA775" wp14:editId="0576EEED">
            <wp:extent cx="4869180" cy="1489364"/>
            <wp:effectExtent l="0" t="0" r="7620" b="15875"/>
            <wp:docPr id="5" name="Chart 5">
              <a:extLst xmlns:a="http://schemas.openxmlformats.org/drawingml/2006/main">
                <a:ext uri="{FF2B5EF4-FFF2-40B4-BE49-F238E27FC236}">
                  <a16:creationId xmlns:a16="http://schemas.microsoft.com/office/drawing/2014/main" id="{150DB05F-5114-43AB-93A3-45772C109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2D2DFAC" w14:textId="014FE05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056E0C" w:rsidRPr="00C86111">
        <w:rPr>
          <w:rFonts w:asciiTheme="minorHAnsi" w:hAnsiTheme="minorHAnsi" w:cstheme="minorHAnsi"/>
          <w:b/>
          <w:bCs/>
          <w:color w:val="auto"/>
          <w:szCs w:val="24"/>
          <w:lang w:val="sr-Latn-ME"/>
        </w:rPr>
        <w:t>4</w:t>
      </w:r>
      <w:r w:rsidR="00547278">
        <w:rPr>
          <w:rFonts w:asciiTheme="minorHAnsi" w:hAnsiTheme="minorHAnsi" w:cstheme="minorHAnsi"/>
          <w:b/>
          <w:bCs/>
          <w:color w:val="auto"/>
          <w:szCs w:val="24"/>
          <w:lang w:val="sr-Latn-ME"/>
        </w:rPr>
        <w:t>5</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 xml:space="preserve">Procenjena količina SCCP i MCCP u proizvodu sa HS kodom </w:t>
      </w:r>
      <w:r w:rsidRPr="00C86111">
        <w:rPr>
          <w:rFonts w:asciiTheme="minorHAnsi" w:eastAsia="Times New Roman" w:hAnsiTheme="minorHAnsi" w:cstheme="minorHAnsi"/>
          <w:color w:val="auto"/>
          <w:szCs w:val="24"/>
          <w:lang w:val="sr-Latn-ME"/>
        </w:rPr>
        <w:t>3920431000</w:t>
      </w:r>
      <w:r w:rsidRPr="00C86111">
        <w:rPr>
          <w:rFonts w:asciiTheme="minorHAnsi" w:hAnsiTheme="minorHAnsi" w:cstheme="minorHAnsi"/>
          <w:color w:val="auto"/>
          <w:szCs w:val="24"/>
          <w:lang w:val="sr-Latn-ME"/>
        </w:rPr>
        <w:t xml:space="preserve"> uvezenim tokom perioda 2017-2023.</w:t>
      </w:r>
    </w:p>
    <w:p w14:paraId="5EDB8966" w14:textId="77777777" w:rsidR="00201FE9" w:rsidRPr="00C86111" w:rsidRDefault="00201FE9" w:rsidP="00201FE9">
      <w:pPr>
        <w:spacing w:line="276" w:lineRule="auto"/>
        <w:jc w:val="center"/>
        <w:rPr>
          <w:rFonts w:asciiTheme="minorHAnsi" w:hAnsiTheme="minorHAnsi" w:cstheme="minorHAnsi"/>
          <w:i/>
          <w:iCs/>
          <w:color w:val="auto"/>
          <w:szCs w:val="24"/>
          <w:lang w:val="sr-Latn-ME"/>
        </w:rPr>
      </w:pPr>
    </w:p>
    <w:p w14:paraId="2732E593" w14:textId="655502E3"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Grafik </w:t>
      </w:r>
      <w:r w:rsidR="00056E0C" w:rsidRPr="00C86111">
        <w:rPr>
          <w:rFonts w:asciiTheme="minorHAnsi" w:eastAsia="Times New Roman" w:hAnsiTheme="minorHAnsi" w:cstheme="minorHAnsi"/>
          <w:color w:val="auto"/>
          <w:szCs w:val="24"/>
          <w:lang w:val="sr-Latn-ME"/>
        </w:rPr>
        <w:t>4</w:t>
      </w:r>
      <w:r w:rsidR="00547278">
        <w:rPr>
          <w:rFonts w:asciiTheme="minorHAnsi" w:eastAsia="Times New Roman" w:hAnsiTheme="minorHAnsi" w:cstheme="minorHAnsi"/>
          <w:color w:val="auto"/>
          <w:szCs w:val="24"/>
          <w:lang w:val="sr-Latn-ME"/>
        </w:rPr>
        <w:t>5</w:t>
      </w:r>
      <w:r w:rsidR="00056E0C"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prikazuje procijenjene količine SCCP i MCCP u uvezenim PVC proizvodima (HS kod 3920431000) od 2017. do 2023. godine. SCCP je dominantno jedinjenje, u rasponu od 111 kg u 2017. do 137 kg u 2023. godini, dok se MCCP kreće od 63 kg do 78 kg. Oba jedinjenja pokazuju snažan rast do 2020. godine, nakon čega slijedi nagli pad u periodu 2021–2022. godine i blagi porast u 2023. godini, što odražava varijacije u obimu uvoza i povezanom hemijskom sadržaju.</w:t>
      </w:r>
    </w:p>
    <w:p w14:paraId="669DF1DF" w14:textId="77777777" w:rsidR="00201FE9" w:rsidRPr="00C86111" w:rsidRDefault="00201FE9" w:rsidP="00201FE9">
      <w:pPr>
        <w:spacing w:line="276" w:lineRule="auto"/>
        <w:rPr>
          <w:rFonts w:asciiTheme="minorHAnsi" w:eastAsia="Times New Roman" w:hAnsiTheme="minorHAnsi" w:cstheme="minorHAnsi"/>
          <w:color w:val="auto"/>
          <w:szCs w:val="24"/>
          <w:lang w:val="sr-Latn-ME"/>
        </w:rPr>
      </w:pPr>
    </w:p>
    <w:p w14:paraId="5454DE10" w14:textId="772EE218" w:rsidR="00201FE9"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056E0C" w:rsidRPr="00C86111">
        <w:rPr>
          <w:rFonts w:asciiTheme="minorHAnsi" w:eastAsia="Times New Roman" w:hAnsiTheme="minorHAnsi" w:cstheme="minorHAnsi"/>
          <w:color w:val="auto"/>
          <w:szCs w:val="24"/>
          <w:lang w:val="sr-Latn-ME"/>
        </w:rPr>
        <w:t>111.</w:t>
      </w:r>
      <w:r w:rsidRPr="00C86111">
        <w:rPr>
          <w:rFonts w:asciiTheme="minorHAnsi" w:eastAsia="Times New Roman" w:hAnsiTheme="minorHAnsi" w:cstheme="minorHAnsi"/>
          <w:color w:val="auto"/>
          <w:szCs w:val="24"/>
          <w:lang w:val="sr-Latn-ME"/>
        </w:rPr>
        <w:t xml:space="preserve"> prikazuje pregled količina uvezenih PVC proizvoda sa HS kodom 3904220000 iz Kine za period 2017–2023. godine, kao i izračunate količine SCCP i MCCP.</w:t>
      </w:r>
    </w:p>
    <w:p w14:paraId="4FDFE6D3" w14:textId="77777777" w:rsidR="002E5AB7" w:rsidRDefault="002E5AB7" w:rsidP="00201FE9">
      <w:pPr>
        <w:spacing w:line="276" w:lineRule="auto"/>
        <w:rPr>
          <w:rFonts w:asciiTheme="minorHAnsi" w:eastAsia="Times New Roman" w:hAnsiTheme="minorHAnsi" w:cstheme="minorHAnsi"/>
          <w:color w:val="auto"/>
          <w:szCs w:val="24"/>
          <w:lang w:val="sr-Latn-ME"/>
        </w:rPr>
      </w:pPr>
    </w:p>
    <w:p w14:paraId="3012F412" w14:textId="77777777" w:rsidR="002E5AB7" w:rsidRDefault="002E5AB7" w:rsidP="00201FE9">
      <w:pPr>
        <w:spacing w:line="276" w:lineRule="auto"/>
        <w:rPr>
          <w:rFonts w:asciiTheme="minorHAnsi" w:eastAsia="Times New Roman" w:hAnsiTheme="minorHAnsi" w:cstheme="minorHAnsi"/>
          <w:color w:val="auto"/>
          <w:szCs w:val="24"/>
          <w:lang w:val="sr-Latn-ME"/>
        </w:rPr>
      </w:pPr>
    </w:p>
    <w:p w14:paraId="046FAEDE" w14:textId="77777777" w:rsidR="002E5AB7" w:rsidRPr="00C86111" w:rsidRDefault="002E5AB7" w:rsidP="00201FE9">
      <w:pPr>
        <w:spacing w:line="276" w:lineRule="auto"/>
        <w:rPr>
          <w:rFonts w:asciiTheme="minorHAnsi" w:eastAsia="Times New Roman" w:hAnsiTheme="minorHAnsi" w:cstheme="minorHAnsi"/>
          <w:color w:val="auto"/>
          <w:szCs w:val="24"/>
          <w:lang w:val="sr-Latn-ME"/>
        </w:rPr>
      </w:pPr>
    </w:p>
    <w:p w14:paraId="56D7F4C9" w14:textId="31786306" w:rsidR="00201FE9" w:rsidRPr="00C86111" w:rsidRDefault="00201FE9" w:rsidP="00201FE9">
      <w:pPr>
        <w:spacing w:line="276" w:lineRule="auto"/>
        <w:jc w:val="center"/>
        <w:rPr>
          <w:rFonts w:asciiTheme="minorHAnsi" w:eastAsia="Times New Roman" w:hAnsiTheme="minorHAnsi" w:cstheme="minorHAnsi"/>
          <w:b/>
          <w:bCs/>
          <w:i/>
          <w:iCs/>
          <w:color w:val="auto"/>
          <w:szCs w:val="24"/>
          <w:lang w:val="sr-Latn-ME"/>
        </w:rPr>
      </w:pPr>
      <w:r w:rsidRPr="00C86111">
        <w:rPr>
          <w:rFonts w:asciiTheme="minorHAnsi" w:eastAsia="Times New Roman" w:hAnsiTheme="minorHAnsi" w:cstheme="minorHAnsi"/>
          <w:b/>
          <w:bCs/>
          <w:i/>
          <w:iCs/>
          <w:color w:val="auto"/>
          <w:szCs w:val="24"/>
          <w:lang w:val="sr-Latn-ME"/>
        </w:rPr>
        <w:t xml:space="preserve"> </w:t>
      </w:r>
      <w:bookmarkStart w:id="403" w:name="_Toc210743922"/>
    </w:p>
    <w:p w14:paraId="35D6AF38" w14:textId="06B54C56" w:rsidR="00201FE9" w:rsidRPr="00C86111" w:rsidRDefault="00201FE9" w:rsidP="00201FE9">
      <w:pPr>
        <w:spacing w:line="276" w:lineRule="auto"/>
        <w:rPr>
          <w:rFonts w:cstheme="minorHAnsi"/>
          <w:bCs/>
          <w:szCs w:val="24"/>
        </w:rPr>
      </w:pPr>
      <w:r w:rsidRPr="00C86111">
        <w:rPr>
          <w:rFonts w:cstheme="minorHAnsi"/>
          <w:b/>
          <w:szCs w:val="24"/>
        </w:rPr>
        <w:lastRenderedPageBreak/>
        <w:t xml:space="preserve">Tabela </w:t>
      </w:r>
      <w:r w:rsidRPr="00C86111">
        <w:rPr>
          <w:rFonts w:cstheme="minorHAnsi"/>
          <w:b/>
          <w:szCs w:val="24"/>
        </w:rPr>
        <w:fldChar w:fldCharType="begin"/>
      </w:r>
      <w:r w:rsidRPr="00C86111">
        <w:rPr>
          <w:rFonts w:cstheme="minorHAnsi"/>
          <w:b/>
          <w:szCs w:val="24"/>
        </w:rPr>
        <w:instrText xml:space="preserve"> SEQ Tabela \* ARABIC </w:instrText>
      </w:r>
      <w:r w:rsidRPr="00C86111">
        <w:rPr>
          <w:rFonts w:cstheme="minorHAnsi"/>
          <w:b/>
          <w:szCs w:val="24"/>
        </w:rPr>
        <w:fldChar w:fldCharType="separate"/>
      </w:r>
      <w:r w:rsidRPr="00C86111">
        <w:rPr>
          <w:rFonts w:cstheme="minorHAnsi"/>
          <w:b/>
          <w:noProof/>
          <w:szCs w:val="24"/>
        </w:rPr>
        <w:t>1</w:t>
      </w:r>
      <w:r w:rsidR="00056E0C" w:rsidRPr="00C86111">
        <w:rPr>
          <w:rFonts w:cstheme="minorHAnsi"/>
          <w:b/>
          <w:noProof/>
          <w:szCs w:val="24"/>
        </w:rPr>
        <w:t>11</w:t>
      </w:r>
      <w:r w:rsidRPr="00C86111">
        <w:rPr>
          <w:rFonts w:cstheme="minorHAnsi"/>
          <w:b/>
          <w:szCs w:val="24"/>
        </w:rPr>
        <w:fldChar w:fldCharType="end"/>
      </w:r>
      <w:r w:rsidRPr="00C86111">
        <w:rPr>
          <w:rFonts w:cstheme="minorHAnsi"/>
          <w:b/>
          <w:szCs w:val="24"/>
        </w:rPr>
        <w:t>.</w:t>
      </w:r>
      <w:r w:rsidRPr="00C86111">
        <w:rPr>
          <w:rFonts w:cstheme="minorHAnsi"/>
          <w:bCs/>
          <w:szCs w:val="24"/>
        </w:rPr>
        <w:t xml:space="preserve"> Količine uvezenih PVC proizvoda sa HS kodom 3904220000 za period 2017-2023 i procijenjene količine SCCP i MCCP</w:t>
      </w:r>
      <w:bookmarkEnd w:id="403"/>
    </w:p>
    <w:tbl>
      <w:tblPr>
        <w:tblStyle w:val="GridTable5Dark-Accent6"/>
        <w:tblW w:w="9016" w:type="dxa"/>
        <w:tblLook w:val="04A0" w:firstRow="1" w:lastRow="0" w:firstColumn="1" w:lastColumn="0" w:noHBand="0" w:noVBand="1"/>
      </w:tblPr>
      <w:tblGrid>
        <w:gridCol w:w="1266"/>
        <w:gridCol w:w="915"/>
        <w:gridCol w:w="1093"/>
        <w:gridCol w:w="1660"/>
        <w:gridCol w:w="1212"/>
        <w:gridCol w:w="1629"/>
        <w:gridCol w:w="1241"/>
      </w:tblGrid>
      <w:tr w:rsidR="00201FE9" w:rsidRPr="00C86111" w14:paraId="19F65AD1" w14:textId="77777777" w:rsidTr="002E5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080CB5EA"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915" w:type="dxa"/>
            <w:hideMark/>
          </w:tcPr>
          <w:p w14:paraId="6AAB78D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093" w:type="dxa"/>
            <w:hideMark/>
          </w:tcPr>
          <w:p w14:paraId="4F46ED93"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60" w:type="dxa"/>
          </w:tcPr>
          <w:p w14:paraId="6F14FFB5"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13A2C4C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12" w:type="dxa"/>
          </w:tcPr>
          <w:p w14:paraId="6662FFA5"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629" w:type="dxa"/>
          </w:tcPr>
          <w:p w14:paraId="7EF64D7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4A07612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41" w:type="dxa"/>
          </w:tcPr>
          <w:p w14:paraId="18268CD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1780B963"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1B06D2AE"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3904220000</w:t>
            </w:r>
          </w:p>
        </w:tc>
        <w:tc>
          <w:tcPr>
            <w:tcW w:w="915" w:type="dxa"/>
          </w:tcPr>
          <w:p w14:paraId="6FCD0D0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093" w:type="dxa"/>
          </w:tcPr>
          <w:p w14:paraId="287927F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w:t>
            </w:r>
          </w:p>
        </w:tc>
        <w:tc>
          <w:tcPr>
            <w:tcW w:w="1660" w:type="dxa"/>
          </w:tcPr>
          <w:p w14:paraId="4AFE527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212" w:type="dxa"/>
          </w:tcPr>
          <w:p w14:paraId="19AF94F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0.000</w:t>
            </w:r>
          </w:p>
        </w:tc>
        <w:tc>
          <w:tcPr>
            <w:tcW w:w="1629" w:type="dxa"/>
          </w:tcPr>
          <w:p w14:paraId="7FF2EF3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41" w:type="dxa"/>
          </w:tcPr>
          <w:p w14:paraId="25CF29B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0.000</w:t>
            </w:r>
          </w:p>
        </w:tc>
      </w:tr>
      <w:tr w:rsidR="00201FE9" w:rsidRPr="00C86111" w14:paraId="47BB23AD" w14:textId="77777777" w:rsidTr="002E5AB7">
        <w:tc>
          <w:tcPr>
            <w:cnfStyle w:val="001000000000" w:firstRow="0" w:lastRow="0" w:firstColumn="1" w:lastColumn="0" w:oddVBand="0" w:evenVBand="0" w:oddHBand="0" w:evenHBand="0" w:firstRowFirstColumn="0" w:firstRowLastColumn="0" w:lastRowFirstColumn="0" w:lastRowLastColumn="0"/>
            <w:tcW w:w="1266" w:type="dxa"/>
            <w:vMerge/>
          </w:tcPr>
          <w:p w14:paraId="4054C542"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0F205AF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093" w:type="dxa"/>
          </w:tcPr>
          <w:p w14:paraId="674E24A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61</w:t>
            </w:r>
          </w:p>
        </w:tc>
        <w:tc>
          <w:tcPr>
            <w:tcW w:w="1660" w:type="dxa"/>
          </w:tcPr>
          <w:p w14:paraId="3BE0BE4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212" w:type="dxa"/>
          </w:tcPr>
          <w:p w14:paraId="37EFCE8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0.049</w:t>
            </w:r>
          </w:p>
        </w:tc>
        <w:tc>
          <w:tcPr>
            <w:tcW w:w="1629" w:type="dxa"/>
          </w:tcPr>
          <w:p w14:paraId="05D3081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41" w:type="dxa"/>
          </w:tcPr>
          <w:p w14:paraId="0BEABF5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0.006</w:t>
            </w:r>
          </w:p>
        </w:tc>
      </w:tr>
      <w:tr w:rsidR="00201FE9" w:rsidRPr="00C86111" w14:paraId="79EA02D5"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71549117"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544F191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093" w:type="dxa"/>
          </w:tcPr>
          <w:p w14:paraId="79834DD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1.7</w:t>
            </w:r>
          </w:p>
        </w:tc>
        <w:tc>
          <w:tcPr>
            <w:tcW w:w="1660" w:type="dxa"/>
          </w:tcPr>
          <w:p w14:paraId="3D4D346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212" w:type="dxa"/>
          </w:tcPr>
          <w:p w14:paraId="55E109D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0.001</w:t>
            </w:r>
          </w:p>
        </w:tc>
        <w:tc>
          <w:tcPr>
            <w:tcW w:w="1629" w:type="dxa"/>
          </w:tcPr>
          <w:p w14:paraId="354391E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41" w:type="dxa"/>
          </w:tcPr>
          <w:p w14:paraId="7C418DC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0.000</w:t>
            </w:r>
          </w:p>
        </w:tc>
      </w:tr>
      <w:tr w:rsidR="00201FE9" w:rsidRPr="00C86111" w14:paraId="3C6BE9F4" w14:textId="77777777" w:rsidTr="002E5AB7">
        <w:tc>
          <w:tcPr>
            <w:cnfStyle w:val="001000000000" w:firstRow="0" w:lastRow="0" w:firstColumn="1" w:lastColumn="0" w:oddVBand="0" w:evenVBand="0" w:oddHBand="0" w:evenHBand="0" w:firstRowFirstColumn="0" w:firstRowLastColumn="0" w:lastRowFirstColumn="0" w:lastRowLastColumn="0"/>
            <w:tcW w:w="1266" w:type="dxa"/>
            <w:vMerge/>
          </w:tcPr>
          <w:p w14:paraId="217B8DE8"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1BFFBFB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093" w:type="dxa"/>
          </w:tcPr>
          <w:p w14:paraId="3D6BBA4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w:t>
            </w:r>
          </w:p>
        </w:tc>
        <w:tc>
          <w:tcPr>
            <w:tcW w:w="1660" w:type="dxa"/>
          </w:tcPr>
          <w:p w14:paraId="68D6495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212" w:type="dxa"/>
          </w:tcPr>
          <w:p w14:paraId="7FC7E7F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0.000</w:t>
            </w:r>
          </w:p>
        </w:tc>
        <w:tc>
          <w:tcPr>
            <w:tcW w:w="1629" w:type="dxa"/>
          </w:tcPr>
          <w:p w14:paraId="3319ECE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41" w:type="dxa"/>
          </w:tcPr>
          <w:p w14:paraId="04A155F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0.000</w:t>
            </w:r>
          </w:p>
        </w:tc>
      </w:tr>
      <w:tr w:rsidR="00201FE9" w:rsidRPr="00C86111" w14:paraId="5F768B30"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12FB0DD6"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444E763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093" w:type="dxa"/>
          </w:tcPr>
          <w:p w14:paraId="111969D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59</w:t>
            </w:r>
          </w:p>
        </w:tc>
        <w:tc>
          <w:tcPr>
            <w:tcW w:w="1660" w:type="dxa"/>
          </w:tcPr>
          <w:p w14:paraId="16FEBC8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212" w:type="dxa"/>
          </w:tcPr>
          <w:p w14:paraId="4593ECF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0.047</w:t>
            </w:r>
          </w:p>
        </w:tc>
        <w:tc>
          <w:tcPr>
            <w:tcW w:w="1629" w:type="dxa"/>
          </w:tcPr>
          <w:p w14:paraId="56F7DDE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41" w:type="dxa"/>
          </w:tcPr>
          <w:p w14:paraId="7E09F7D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0.006</w:t>
            </w:r>
          </w:p>
        </w:tc>
      </w:tr>
      <w:tr w:rsidR="00201FE9" w:rsidRPr="00C86111" w14:paraId="23B53391" w14:textId="77777777" w:rsidTr="002E5AB7">
        <w:tc>
          <w:tcPr>
            <w:cnfStyle w:val="001000000000" w:firstRow="0" w:lastRow="0" w:firstColumn="1" w:lastColumn="0" w:oddVBand="0" w:evenVBand="0" w:oddHBand="0" w:evenHBand="0" w:firstRowFirstColumn="0" w:firstRowLastColumn="0" w:lastRowFirstColumn="0" w:lastRowLastColumn="0"/>
            <w:tcW w:w="1266" w:type="dxa"/>
            <w:vMerge/>
          </w:tcPr>
          <w:p w14:paraId="61C68960"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1891190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093" w:type="dxa"/>
          </w:tcPr>
          <w:p w14:paraId="117992E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w:t>
            </w:r>
          </w:p>
        </w:tc>
        <w:tc>
          <w:tcPr>
            <w:tcW w:w="1660" w:type="dxa"/>
          </w:tcPr>
          <w:p w14:paraId="0006A48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212" w:type="dxa"/>
          </w:tcPr>
          <w:p w14:paraId="19E3AB3D"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0.000</w:t>
            </w:r>
          </w:p>
        </w:tc>
        <w:tc>
          <w:tcPr>
            <w:tcW w:w="1629" w:type="dxa"/>
          </w:tcPr>
          <w:p w14:paraId="4E2CF9D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41" w:type="dxa"/>
          </w:tcPr>
          <w:p w14:paraId="2E7A44F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0.000</w:t>
            </w:r>
          </w:p>
        </w:tc>
      </w:tr>
      <w:tr w:rsidR="00201FE9" w:rsidRPr="00C86111" w14:paraId="16C3526E" w14:textId="77777777" w:rsidTr="002E5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7988081B"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915" w:type="dxa"/>
          </w:tcPr>
          <w:p w14:paraId="72ABEA1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093" w:type="dxa"/>
          </w:tcPr>
          <w:p w14:paraId="484179E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w:t>
            </w:r>
          </w:p>
        </w:tc>
        <w:tc>
          <w:tcPr>
            <w:tcW w:w="1660" w:type="dxa"/>
          </w:tcPr>
          <w:p w14:paraId="12EEA09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0.8</w:t>
            </w:r>
          </w:p>
        </w:tc>
        <w:tc>
          <w:tcPr>
            <w:tcW w:w="1212" w:type="dxa"/>
          </w:tcPr>
          <w:p w14:paraId="679446A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0.008</w:t>
            </w:r>
          </w:p>
        </w:tc>
        <w:tc>
          <w:tcPr>
            <w:tcW w:w="1629" w:type="dxa"/>
          </w:tcPr>
          <w:p w14:paraId="3E67678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w:t>
            </w:r>
          </w:p>
        </w:tc>
        <w:tc>
          <w:tcPr>
            <w:tcW w:w="1241" w:type="dxa"/>
          </w:tcPr>
          <w:p w14:paraId="1FFBB7B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0.001</w:t>
            </w:r>
          </w:p>
        </w:tc>
      </w:tr>
    </w:tbl>
    <w:p w14:paraId="5E3DF7DD"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0A5AB214"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546E661B"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Podaci za HS kod 3904220000 pokazuju procijenjene količine SCCP i MCCP u uvezenim PVC proizvodima od 2017. do 2023. godine. Oba jedinjenja su prisutna u zanemarljivim količinama, sa SCCP u rasponu od 0 do 0,049 kg, a MCCP od 0 do 0,006 kg. Podaci ukazuju da ova kategorija proizvoda minimalno doprinosi ukupnoj izloženosti hlorovanim parafinima, što odražava veoma niske količine uvoza.</w:t>
      </w:r>
    </w:p>
    <w:p w14:paraId="2A500688"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p>
    <w:p w14:paraId="5B175863" w14:textId="42CF9D0A" w:rsidR="00201FE9" w:rsidRPr="00C86111" w:rsidRDefault="00201FE9" w:rsidP="00201FE9">
      <w:pPr>
        <w:spacing w:line="276" w:lineRule="auto"/>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Tabela 1</w:t>
      </w:r>
      <w:r w:rsidR="00056E0C" w:rsidRPr="00C86111">
        <w:rPr>
          <w:rFonts w:asciiTheme="minorHAnsi" w:eastAsia="Times New Roman" w:hAnsiTheme="minorHAnsi" w:cstheme="minorHAnsi"/>
          <w:color w:val="auto"/>
          <w:szCs w:val="24"/>
          <w:lang w:val="sr-Latn-ME"/>
        </w:rPr>
        <w:t>12.</w:t>
      </w:r>
      <w:r w:rsidRPr="00C86111">
        <w:rPr>
          <w:rFonts w:asciiTheme="minorHAnsi" w:eastAsia="Times New Roman" w:hAnsiTheme="minorHAnsi" w:cstheme="minorHAnsi"/>
          <w:color w:val="auto"/>
          <w:szCs w:val="24"/>
          <w:lang w:val="sr-Latn-ME"/>
        </w:rPr>
        <w:t xml:space="preserve"> i Grafik </w:t>
      </w:r>
      <w:r w:rsidR="00056E0C" w:rsidRPr="00C86111">
        <w:rPr>
          <w:rFonts w:asciiTheme="minorHAnsi" w:eastAsia="Times New Roman" w:hAnsiTheme="minorHAnsi" w:cstheme="minorHAnsi"/>
          <w:color w:val="auto"/>
          <w:szCs w:val="24"/>
          <w:lang w:val="sr-Latn-ME"/>
        </w:rPr>
        <w:t>4</w:t>
      </w:r>
      <w:r w:rsidR="00547278">
        <w:rPr>
          <w:rFonts w:asciiTheme="minorHAnsi" w:eastAsia="Times New Roman" w:hAnsiTheme="minorHAnsi" w:cstheme="minorHAnsi"/>
          <w:color w:val="auto"/>
          <w:szCs w:val="24"/>
          <w:lang w:val="sr-Latn-ME"/>
        </w:rPr>
        <w:t>6</w:t>
      </w:r>
      <w:r w:rsidR="00056E0C"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prikazuju pregled količina uvezenih PVC proizvoda sa HS kodom 3918101000 iz Kine za period 2017-2023, kao i izračunate količine SCCP i MCCP.</w:t>
      </w:r>
    </w:p>
    <w:p w14:paraId="45CC4A2F" w14:textId="77777777" w:rsidR="00201FE9" w:rsidRPr="00C86111" w:rsidRDefault="00201FE9" w:rsidP="00201FE9">
      <w:pPr>
        <w:rPr>
          <w:lang w:val="en-GB" w:eastAsia="zh-CN"/>
        </w:rPr>
      </w:pPr>
      <w:bookmarkStart w:id="404" w:name="_Toc210743923"/>
    </w:p>
    <w:p w14:paraId="4946BA40" w14:textId="03060DA2" w:rsidR="00201FE9" w:rsidRPr="00C86111" w:rsidRDefault="00201FE9" w:rsidP="00201FE9">
      <w:pPr>
        <w:pStyle w:val="Caption"/>
        <w:rPr>
          <w:rFonts w:eastAsia="Times New Roman" w:cstheme="minorHAnsi"/>
          <w:sz w:val="24"/>
          <w:szCs w:val="24"/>
          <w:lang w:val="sr-Latn-ME" w:eastAsia="en-US"/>
        </w:rPr>
      </w:pPr>
      <w:r w:rsidRPr="00C86111">
        <w:rPr>
          <w:rFonts w:cstheme="minorHAnsi"/>
          <w:bCs/>
          <w:sz w:val="24"/>
          <w:szCs w:val="24"/>
        </w:rPr>
        <w:t xml:space="preserve">Tabela </w:t>
      </w:r>
      <w:r w:rsidRPr="00C86111">
        <w:rPr>
          <w:rFonts w:cstheme="minorHAnsi"/>
          <w:b w:val="0"/>
          <w:bCs/>
          <w:sz w:val="24"/>
          <w:szCs w:val="24"/>
        </w:rPr>
        <w:fldChar w:fldCharType="begin"/>
      </w:r>
      <w:r w:rsidRPr="00C86111">
        <w:rPr>
          <w:rFonts w:cstheme="minorHAnsi"/>
          <w:bCs/>
          <w:sz w:val="24"/>
          <w:szCs w:val="24"/>
        </w:rPr>
        <w:instrText xml:space="preserve"> SEQ Tabela \* ARABIC </w:instrText>
      </w:r>
      <w:r w:rsidRPr="00C86111">
        <w:rPr>
          <w:rFonts w:cstheme="minorHAnsi"/>
          <w:b w:val="0"/>
          <w:bCs/>
          <w:sz w:val="24"/>
          <w:szCs w:val="24"/>
        </w:rPr>
        <w:fldChar w:fldCharType="separate"/>
      </w:r>
      <w:r w:rsidRPr="00C86111">
        <w:rPr>
          <w:rFonts w:cstheme="minorHAnsi"/>
          <w:bCs/>
          <w:noProof/>
          <w:sz w:val="24"/>
          <w:szCs w:val="24"/>
        </w:rPr>
        <w:t>1</w:t>
      </w:r>
      <w:r w:rsidRPr="00C86111">
        <w:rPr>
          <w:rFonts w:cstheme="minorHAnsi"/>
          <w:b w:val="0"/>
          <w:bCs/>
          <w:sz w:val="24"/>
          <w:szCs w:val="24"/>
        </w:rPr>
        <w:fldChar w:fldCharType="end"/>
      </w:r>
      <w:r w:rsidR="00056E0C" w:rsidRPr="00C86111">
        <w:rPr>
          <w:rFonts w:cstheme="minorHAnsi"/>
          <w:sz w:val="24"/>
          <w:szCs w:val="24"/>
        </w:rPr>
        <w:t>12</w:t>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PVC proizvoda sa HS kodom 3918101000 za period 2017-2023 i procenjene količine SCCP i MCCP</w:t>
      </w:r>
      <w:bookmarkEnd w:id="404"/>
    </w:p>
    <w:tbl>
      <w:tblPr>
        <w:tblStyle w:val="GridTable5Dark-Accent6"/>
        <w:tblW w:w="9016" w:type="dxa"/>
        <w:tblLook w:val="04A0" w:firstRow="1" w:lastRow="0" w:firstColumn="1" w:lastColumn="0" w:noHBand="0" w:noVBand="1"/>
      </w:tblPr>
      <w:tblGrid>
        <w:gridCol w:w="1265"/>
        <w:gridCol w:w="915"/>
        <w:gridCol w:w="1093"/>
        <w:gridCol w:w="1657"/>
        <w:gridCol w:w="1215"/>
        <w:gridCol w:w="1623"/>
        <w:gridCol w:w="1248"/>
      </w:tblGrid>
      <w:tr w:rsidR="00201FE9" w:rsidRPr="00C86111" w14:paraId="19853CC7"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Pr>
          <w:p w14:paraId="39640689"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890" w:type="dxa"/>
            <w:hideMark/>
          </w:tcPr>
          <w:p w14:paraId="4D5B951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063" w:type="dxa"/>
            <w:hideMark/>
          </w:tcPr>
          <w:p w14:paraId="4D72FBE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611" w:type="dxa"/>
          </w:tcPr>
          <w:p w14:paraId="4F36AC60"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7F7FC87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181" w:type="dxa"/>
          </w:tcPr>
          <w:p w14:paraId="6439BAF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578" w:type="dxa"/>
          </w:tcPr>
          <w:p w14:paraId="15C78C9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236999C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13" w:type="dxa"/>
          </w:tcPr>
          <w:p w14:paraId="253C689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2AF7D3B6"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val="restart"/>
          </w:tcPr>
          <w:p w14:paraId="2779628E"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bookmarkStart w:id="405" w:name="_Hlk208312922"/>
            <w:r w:rsidRPr="00C86111">
              <w:rPr>
                <w:rFonts w:asciiTheme="minorHAnsi" w:hAnsiTheme="minorHAnsi" w:cstheme="minorHAnsi"/>
                <w:color w:val="auto"/>
                <w:sz w:val="20"/>
                <w:szCs w:val="20"/>
                <w:lang w:val="sr-Latn-ME"/>
              </w:rPr>
              <w:t>3918101000</w:t>
            </w:r>
            <w:bookmarkEnd w:id="405"/>
          </w:p>
        </w:tc>
        <w:tc>
          <w:tcPr>
            <w:tcW w:w="890" w:type="dxa"/>
          </w:tcPr>
          <w:p w14:paraId="76C6A74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063" w:type="dxa"/>
          </w:tcPr>
          <w:p w14:paraId="3E0BD90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1054</w:t>
            </w:r>
          </w:p>
        </w:tc>
        <w:tc>
          <w:tcPr>
            <w:tcW w:w="1611" w:type="dxa"/>
          </w:tcPr>
          <w:p w14:paraId="6792E9F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6.2</w:t>
            </w:r>
          </w:p>
        </w:tc>
        <w:tc>
          <w:tcPr>
            <w:tcW w:w="1181" w:type="dxa"/>
          </w:tcPr>
          <w:p w14:paraId="0A25A60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6.5</w:t>
            </w:r>
          </w:p>
        </w:tc>
        <w:tc>
          <w:tcPr>
            <w:tcW w:w="1578" w:type="dxa"/>
          </w:tcPr>
          <w:p w14:paraId="6160495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1213" w:type="dxa"/>
          </w:tcPr>
          <w:p w14:paraId="45E9874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9.0</w:t>
            </w:r>
          </w:p>
        </w:tc>
      </w:tr>
      <w:tr w:rsidR="00201FE9" w:rsidRPr="00C86111" w14:paraId="0B3BC201"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0081BEF1"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0C86E48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063" w:type="dxa"/>
          </w:tcPr>
          <w:p w14:paraId="2DF961F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3605</w:t>
            </w:r>
          </w:p>
        </w:tc>
        <w:tc>
          <w:tcPr>
            <w:tcW w:w="1611" w:type="dxa"/>
          </w:tcPr>
          <w:p w14:paraId="532F0C3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6.2</w:t>
            </w:r>
          </w:p>
        </w:tc>
        <w:tc>
          <w:tcPr>
            <w:tcW w:w="1181" w:type="dxa"/>
          </w:tcPr>
          <w:p w14:paraId="4EF3876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22</w:t>
            </w:r>
          </w:p>
        </w:tc>
        <w:tc>
          <w:tcPr>
            <w:tcW w:w="1578" w:type="dxa"/>
          </w:tcPr>
          <w:p w14:paraId="6F9D990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1213" w:type="dxa"/>
          </w:tcPr>
          <w:p w14:paraId="0C03DCD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31</w:t>
            </w:r>
          </w:p>
        </w:tc>
      </w:tr>
      <w:tr w:rsidR="00201FE9" w:rsidRPr="00C86111" w14:paraId="11DD8B5C"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0E8E660D"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07EDB15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063" w:type="dxa"/>
          </w:tcPr>
          <w:p w14:paraId="44B99F1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4618</w:t>
            </w:r>
          </w:p>
        </w:tc>
        <w:tc>
          <w:tcPr>
            <w:tcW w:w="1611" w:type="dxa"/>
          </w:tcPr>
          <w:p w14:paraId="2019F81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6.2</w:t>
            </w:r>
          </w:p>
        </w:tc>
        <w:tc>
          <w:tcPr>
            <w:tcW w:w="1181" w:type="dxa"/>
          </w:tcPr>
          <w:p w14:paraId="1F4EB0E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29</w:t>
            </w:r>
          </w:p>
        </w:tc>
        <w:tc>
          <w:tcPr>
            <w:tcW w:w="1578" w:type="dxa"/>
          </w:tcPr>
          <w:p w14:paraId="28E4F95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1213" w:type="dxa"/>
          </w:tcPr>
          <w:p w14:paraId="733D4DC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39</w:t>
            </w:r>
          </w:p>
        </w:tc>
      </w:tr>
      <w:tr w:rsidR="00201FE9" w:rsidRPr="00C86111" w14:paraId="539DB717"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7B380795"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F87E40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063" w:type="dxa"/>
          </w:tcPr>
          <w:p w14:paraId="0B44A98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1698</w:t>
            </w:r>
          </w:p>
        </w:tc>
        <w:tc>
          <w:tcPr>
            <w:tcW w:w="1611" w:type="dxa"/>
          </w:tcPr>
          <w:p w14:paraId="6429767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6.2</w:t>
            </w:r>
          </w:p>
        </w:tc>
        <w:tc>
          <w:tcPr>
            <w:tcW w:w="1181" w:type="dxa"/>
          </w:tcPr>
          <w:p w14:paraId="25B290D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11</w:t>
            </w:r>
          </w:p>
        </w:tc>
        <w:tc>
          <w:tcPr>
            <w:tcW w:w="1578" w:type="dxa"/>
          </w:tcPr>
          <w:p w14:paraId="4E6A76B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1213" w:type="dxa"/>
          </w:tcPr>
          <w:p w14:paraId="655A488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14</w:t>
            </w:r>
          </w:p>
        </w:tc>
      </w:tr>
      <w:tr w:rsidR="00201FE9" w:rsidRPr="00C86111" w14:paraId="765BA62F"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6485C8D7"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7B76D7F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063" w:type="dxa"/>
          </w:tcPr>
          <w:p w14:paraId="1948F6B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6027</w:t>
            </w:r>
          </w:p>
        </w:tc>
        <w:tc>
          <w:tcPr>
            <w:tcW w:w="1611" w:type="dxa"/>
          </w:tcPr>
          <w:p w14:paraId="1F2E141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6.2</w:t>
            </w:r>
          </w:p>
        </w:tc>
        <w:tc>
          <w:tcPr>
            <w:tcW w:w="1181" w:type="dxa"/>
          </w:tcPr>
          <w:p w14:paraId="45C66E8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37</w:t>
            </w:r>
          </w:p>
        </w:tc>
        <w:tc>
          <w:tcPr>
            <w:tcW w:w="1578" w:type="dxa"/>
          </w:tcPr>
          <w:p w14:paraId="688A402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1213" w:type="dxa"/>
          </w:tcPr>
          <w:p w14:paraId="1ACAEFB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51</w:t>
            </w:r>
          </w:p>
        </w:tc>
      </w:tr>
      <w:tr w:rsidR="00201FE9" w:rsidRPr="00C86111" w14:paraId="5695F538" w14:textId="77777777" w:rsidTr="00BC765B">
        <w:tc>
          <w:tcPr>
            <w:cnfStyle w:val="001000000000" w:firstRow="0" w:lastRow="0" w:firstColumn="1" w:lastColumn="0" w:oddVBand="0" w:evenVBand="0" w:oddHBand="0" w:evenHBand="0" w:firstRowFirstColumn="0" w:firstRowLastColumn="0" w:lastRowFirstColumn="0" w:lastRowLastColumn="0"/>
            <w:tcW w:w="1128" w:type="dxa"/>
            <w:vMerge/>
          </w:tcPr>
          <w:p w14:paraId="35033D54"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58549AD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063" w:type="dxa"/>
          </w:tcPr>
          <w:p w14:paraId="40C5872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9242</w:t>
            </w:r>
          </w:p>
        </w:tc>
        <w:tc>
          <w:tcPr>
            <w:tcW w:w="1611" w:type="dxa"/>
          </w:tcPr>
          <w:p w14:paraId="74DE6A2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6.2</w:t>
            </w:r>
          </w:p>
        </w:tc>
        <w:tc>
          <w:tcPr>
            <w:tcW w:w="1181" w:type="dxa"/>
          </w:tcPr>
          <w:p w14:paraId="139A967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57</w:t>
            </w:r>
          </w:p>
        </w:tc>
        <w:tc>
          <w:tcPr>
            <w:tcW w:w="1578" w:type="dxa"/>
          </w:tcPr>
          <w:p w14:paraId="2C89F25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1213" w:type="dxa"/>
          </w:tcPr>
          <w:p w14:paraId="4323FC6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79</w:t>
            </w:r>
          </w:p>
        </w:tc>
      </w:tr>
      <w:tr w:rsidR="00201FE9" w:rsidRPr="00C86111" w14:paraId="3BC49B6D"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51ED5955"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1988F29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063" w:type="dxa"/>
          </w:tcPr>
          <w:p w14:paraId="35D0379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13026</w:t>
            </w:r>
          </w:p>
        </w:tc>
        <w:tc>
          <w:tcPr>
            <w:tcW w:w="1611" w:type="dxa"/>
          </w:tcPr>
          <w:p w14:paraId="0FF2864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6.2</w:t>
            </w:r>
          </w:p>
        </w:tc>
        <w:tc>
          <w:tcPr>
            <w:tcW w:w="1181" w:type="dxa"/>
          </w:tcPr>
          <w:p w14:paraId="661668D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81</w:t>
            </w:r>
          </w:p>
        </w:tc>
        <w:tc>
          <w:tcPr>
            <w:tcW w:w="1578" w:type="dxa"/>
          </w:tcPr>
          <w:p w14:paraId="04C12DD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1213" w:type="dxa"/>
          </w:tcPr>
          <w:p w14:paraId="020959B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111</w:t>
            </w:r>
          </w:p>
        </w:tc>
      </w:tr>
    </w:tbl>
    <w:p w14:paraId="008B706E" w14:textId="77777777" w:rsidR="00201FE9" w:rsidRPr="00C86111" w:rsidRDefault="00201FE9" w:rsidP="00201FE9">
      <w:pPr>
        <w:spacing w:line="276" w:lineRule="auto"/>
        <w:jc w:val="both"/>
        <w:rPr>
          <w:rFonts w:asciiTheme="minorHAnsi" w:hAnsiTheme="minorHAnsi" w:cstheme="minorHAnsi"/>
          <w:bCs/>
          <w:color w:val="002060"/>
          <w:szCs w:val="24"/>
          <w:lang w:val="sr-Latn-ME"/>
        </w:rPr>
      </w:pPr>
      <w:r w:rsidRPr="00C86111">
        <w:rPr>
          <w:rFonts w:asciiTheme="minorHAnsi" w:hAnsiTheme="minorHAnsi" w:cstheme="minorHAnsi"/>
          <w:bCs/>
          <w:color w:val="002060"/>
          <w:szCs w:val="24"/>
          <w:lang w:val="sr-Latn-ME"/>
        </w:rPr>
        <w:t>*Chen et al. (2021)</w:t>
      </w:r>
    </w:p>
    <w:p w14:paraId="0064EF8D"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3B46A18E"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FB0A5CE"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lastRenderedPageBreak/>
        <w:drawing>
          <wp:inline distT="0" distB="0" distL="0" distR="0" wp14:anchorId="3EB8AF26" wp14:editId="4E240F5C">
            <wp:extent cx="4861560" cy="2182091"/>
            <wp:effectExtent l="0" t="0" r="15240" b="8890"/>
            <wp:docPr id="1948793419" name="Chart 1948793419">
              <a:extLst xmlns:a="http://schemas.openxmlformats.org/drawingml/2006/main">
                <a:ext uri="{FF2B5EF4-FFF2-40B4-BE49-F238E27FC236}">
                  <a16:creationId xmlns:a16="http://schemas.microsoft.com/office/drawing/2014/main" id="{10B9DD5A-84BC-0AD0-D434-869D60A63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6D59C69" w14:textId="6F09528A"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 xml:space="preserve">Grafik </w:t>
      </w:r>
      <w:r w:rsidR="00056E0C" w:rsidRPr="00C86111">
        <w:rPr>
          <w:rFonts w:asciiTheme="minorHAnsi" w:hAnsiTheme="minorHAnsi" w:cstheme="minorHAnsi"/>
          <w:b/>
          <w:bCs/>
          <w:color w:val="auto"/>
          <w:szCs w:val="24"/>
          <w:lang w:val="sr-Latn-ME"/>
        </w:rPr>
        <w:t>4</w:t>
      </w:r>
      <w:r w:rsidR="00547278">
        <w:rPr>
          <w:rFonts w:asciiTheme="minorHAnsi" w:hAnsiTheme="minorHAnsi" w:cstheme="minorHAnsi"/>
          <w:b/>
          <w:bCs/>
          <w:color w:val="auto"/>
          <w:szCs w:val="24"/>
          <w:lang w:val="sr-Latn-ME"/>
        </w:rPr>
        <w:t>6</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 xml:space="preserve">Procenjena količina SCCP i MCCP u proizvodu sa HS kodom </w:t>
      </w:r>
      <w:r w:rsidRPr="00C86111">
        <w:rPr>
          <w:rFonts w:asciiTheme="minorHAnsi" w:eastAsia="Times New Roman" w:hAnsiTheme="minorHAnsi" w:cstheme="minorHAnsi"/>
          <w:color w:val="auto"/>
          <w:szCs w:val="24"/>
          <w:lang w:val="sr-Latn-ME"/>
        </w:rPr>
        <w:t>3918101000</w:t>
      </w:r>
      <w:r w:rsidRPr="00C86111">
        <w:rPr>
          <w:rFonts w:asciiTheme="minorHAnsi" w:hAnsiTheme="minorHAnsi" w:cstheme="minorHAnsi"/>
          <w:color w:val="auto"/>
          <w:szCs w:val="24"/>
          <w:lang w:val="sr-Latn-ME"/>
        </w:rPr>
        <w:t xml:space="preserve"> uvezenim tokom perioda 2017-2023.</w:t>
      </w:r>
    </w:p>
    <w:p w14:paraId="5BDE5A69" w14:textId="77777777" w:rsidR="00201FE9" w:rsidRPr="00C86111" w:rsidRDefault="00201FE9" w:rsidP="00201FE9">
      <w:pPr>
        <w:spacing w:line="276" w:lineRule="auto"/>
        <w:rPr>
          <w:rFonts w:asciiTheme="minorHAnsi" w:hAnsiTheme="minorHAnsi" w:cstheme="minorHAnsi"/>
          <w:color w:val="auto"/>
          <w:szCs w:val="24"/>
          <w:lang w:val="sr-Latn-ME"/>
        </w:rPr>
      </w:pPr>
    </w:p>
    <w:p w14:paraId="7C3F480E" w14:textId="346CC856"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Grafik </w:t>
      </w:r>
      <w:r w:rsidR="00056E0C" w:rsidRPr="00C86111">
        <w:rPr>
          <w:rFonts w:asciiTheme="minorHAnsi" w:hAnsiTheme="minorHAnsi" w:cstheme="minorHAnsi"/>
          <w:color w:val="auto"/>
          <w:szCs w:val="24"/>
          <w:lang w:val="sr-Latn-ME"/>
        </w:rPr>
        <w:t>4</w:t>
      </w:r>
      <w:r w:rsidR="00547278">
        <w:rPr>
          <w:rFonts w:asciiTheme="minorHAnsi" w:hAnsiTheme="minorHAnsi" w:cstheme="minorHAnsi"/>
          <w:color w:val="auto"/>
          <w:szCs w:val="24"/>
          <w:lang w:val="sr-Latn-ME"/>
        </w:rPr>
        <w:t>6</w:t>
      </w:r>
      <w:r w:rsidR="00056E0C" w:rsidRPr="00C86111">
        <w:rPr>
          <w:rFonts w:asciiTheme="minorHAnsi" w:hAnsiTheme="minorHAnsi" w:cstheme="minorHAnsi"/>
          <w:color w:val="auto"/>
          <w:szCs w:val="24"/>
          <w:lang w:val="sr-Latn-ME"/>
        </w:rPr>
        <w:t>.</w:t>
      </w:r>
      <w:r w:rsidRPr="00C86111">
        <w:rPr>
          <w:rFonts w:asciiTheme="minorHAnsi" w:hAnsiTheme="minorHAnsi" w:cstheme="minorHAnsi"/>
          <w:color w:val="auto"/>
          <w:szCs w:val="24"/>
          <w:lang w:val="sr-Latn-ME"/>
        </w:rPr>
        <w:t xml:space="preserve"> prikazuje procijenjene količine SCCP i MCCP u uvezenim PVC proizvodima (HS kod 3918101000) od 2017. do 2023. godine. Količine oba jedinjenja se stalno povećavaju tokom perioda, pri čemu je SCCP porastao sa 6,5 kg u 2017. na 81 kg u 2023. godini, a MCCP sa 9 kg na 111 kg. Podaci odražavaju jasan rast količina uvoza i odgovarajućih nivoa hlorisanih parafina u ovoj kategoriji proizvoda.</w:t>
      </w:r>
    </w:p>
    <w:p w14:paraId="626C9869" w14:textId="77777777" w:rsidR="00056E0C" w:rsidRPr="00C86111" w:rsidRDefault="00056E0C" w:rsidP="00201FE9">
      <w:pPr>
        <w:spacing w:line="276" w:lineRule="auto"/>
        <w:jc w:val="both"/>
        <w:rPr>
          <w:rFonts w:asciiTheme="minorHAnsi" w:hAnsiTheme="minorHAnsi" w:cstheme="minorHAnsi"/>
          <w:color w:val="auto"/>
          <w:szCs w:val="24"/>
          <w:lang w:val="sr-Latn-ME"/>
        </w:rPr>
      </w:pPr>
    </w:p>
    <w:p w14:paraId="22BC4017" w14:textId="72867678"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Na </w:t>
      </w:r>
      <w:r w:rsidR="00056E0C" w:rsidRPr="00C86111">
        <w:rPr>
          <w:rFonts w:asciiTheme="minorHAnsi" w:hAnsiTheme="minorHAnsi" w:cstheme="minorHAnsi"/>
          <w:color w:val="auto"/>
          <w:szCs w:val="24"/>
          <w:lang w:val="sr-Latn-ME"/>
        </w:rPr>
        <w:t>grafiku 4</w:t>
      </w:r>
      <w:r w:rsidR="00547278">
        <w:rPr>
          <w:rFonts w:asciiTheme="minorHAnsi" w:hAnsiTheme="minorHAnsi" w:cstheme="minorHAnsi"/>
          <w:color w:val="auto"/>
          <w:szCs w:val="24"/>
          <w:lang w:val="sr-Latn-ME"/>
        </w:rPr>
        <w:t>7</w:t>
      </w:r>
      <w:r w:rsidR="00056E0C" w:rsidRPr="00C86111">
        <w:rPr>
          <w:rFonts w:asciiTheme="minorHAnsi" w:hAnsiTheme="minorHAnsi" w:cstheme="minorHAnsi"/>
          <w:color w:val="auto"/>
          <w:szCs w:val="24"/>
          <w:lang w:val="sr-Latn-ME"/>
        </w:rPr>
        <w:t xml:space="preserve"> </w:t>
      </w:r>
      <w:r w:rsidRPr="00C86111">
        <w:rPr>
          <w:rFonts w:asciiTheme="minorHAnsi" w:hAnsiTheme="minorHAnsi" w:cstheme="minorHAnsi"/>
          <w:color w:val="auto"/>
          <w:szCs w:val="24"/>
          <w:lang w:val="sr-Latn-ME"/>
        </w:rPr>
        <w:t>prikazan je pregled procentualne raspodele uvezenih različitih PVC proizvoda iz Kine za period 2017-2023.</w:t>
      </w:r>
    </w:p>
    <w:p w14:paraId="2AF387B3"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586E0BFF" wp14:editId="29559A17">
            <wp:extent cx="5731510" cy="3022600"/>
            <wp:effectExtent l="0" t="0" r="2540" b="6350"/>
            <wp:docPr id="1717610873" name="Chart 1717610873">
              <a:extLst xmlns:a="http://schemas.openxmlformats.org/drawingml/2006/main">
                <a:ext uri="{FF2B5EF4-FFF2-40B4-BE49-F238E27FC236}">
                  <a16:creationId xmlns:a16="http://schemas.microsoft.com/office/drawing/2014/main" id="{EC08CB8F-C1A4-4591-9FD3-F5A2BF4CC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BA9B398" w14:textId="4590C49F" w:rsidR="00201FE9" w:rsidRPr="00C86111" w:rsidRDefault="00056E0C"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Grafik 4</w:t>
      </w:r>
      <w:r w:rsidR="00547278">
        <w:rPr>
          <w:rFonts w:asciiTheme="minorHAnsi" w:hAnsiTheme="minorHAnsi" w:cstheme="minorHAnsi"/>
          <w:b/>
          <w:bCs/>
          <w:color w:val="auto"/>
          <w:szCs w:val="24"/>
          <w:lang w:val="sr-Latn-ME"/>
        </w:rPr>
        <w:t>7</w:t>
      </w:r>
      <w:r w:rsidRPr="00C86111">
        <w:rPr>
          <w:rFonts w:asciiTheme="minorHAnsi" w:hAnsiTheme="minorHAnsi" w:cstheme="minorHAnsi"/>
          <w:b/>
          <w:bCs/>
          <w:color w:val="auto"/>
          <w:szCs w:val="24"/>
          <w:lang w:val="sr-Latn-ME"/>
        </w:rPr>
        <w:t>.</w:t>
      </w:r>
      <w:r w:rsidR="00201FE9" w:rsidRPr="00C86111">
        <w:rPr>
          <w:rFonts w:asciiTheme="minorHAnsi" w:hAnsiTheme="minorHAnsi" w:cstheme="minorHAnsi"/>
          <w:b/>
          <w:bCs/>
          <w:color w:val="auto"/>
          <w:szCs w:val="24"/>
          <w:lang w:val="sr-Latn-ME"/>
        </w:rPr>
        <w:t xml:space="preserve"> </w:t>
      </w:r>
      <w:r w:rsidR="00201FE9" w:rsidRPr="00C86111">
        <w:rPr>
          <w:rFonts w:asciiTheme="minorHAnsi" w:hAnsiTheme="minorHAnsi" w:cstheme="minorHAnsi"/>
          <w:color w:val="auto"/>
          <w:szCs w:val="24"/>
          <w:lang w:val="sr-Latn-ME"/>
        </w:rPr>
        <w:t>Procentualna raspodjela različitih kategorija PVC uvezenih iz Kine za period 2017-2023</w:t>
      </w:r>
    </w:p>
    <w:p w14:paraId="11C93C6A" w14:textId="77777777" w:rsidR="00201FE9" w:rsidRPr="00C86111" w:rsidRDefault="00201FE9" w:rsidP="00EA6904">
      <w:pPr>
        <w:pStyle w:val="Heading4"/>
      </w:pPr>
      <w:bookmarkStart w:id="406" w:name="_Toc210744976"/>
      <w:r w:rsidRPr="00C86111">
        <w:lastRenderedPageBreak/>
        <w:t>Adhezivne PUR pjene</w:t>
      </w:r>
      <w:bookmarkEnd w:id="406"/>
    </w:p>
    <w:p w14:paraId="7FCDC8E7" w14:textId="26D5A7D9"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r w:rsidRPr="00C86111">
        <w:rPr>
          <w:rFonts w:asciiTheme="minorHAnsi" w:eastAsia="Times New Roman" w:hAnsiTheme="minorHAnsi" w:cstheme="minorHAnsi"/>
          <w:color w:val="auto"/>
          <w:szCs w:val="24"/>
          <w:lang w:val="sr-Latn-ME"/>
        </w:rPr>
        <w:t xml:space="preserve">Tabela </w:t>
      </w:r>
      <w:r w:rsidR="00056E0C" w:rsidRPr="00C86111">
        <w:rPr>
          <w:rFonts w:asciiTheme="minorHAnsi" w:eastAsia="Times New Roman" w:hAnsiTheme="minorHAnsi" w:cstheme="minorHAnsi"/>
          <w:color w:val="auto"/>
          <w:szCs w:val="24"/>
          <w:lang w:val="sr-Latn-ME"/>
        </w:rPr>
        <w:t>113.</w:t>
      </w:r>
      <w:r w:rsidRPr="00C86111">
        <w:rPr>
          <w:rFonts w:asciiTheme="minorHAnsi" w:eastAsia="Times New Roman" w:hAnsiTheme="minorHAnsi" w:cstheme="minorHAnsi"/>
          <w:color w:val="auto"/>
          <w:szCs w:val="24"/>
          <w:lang w:val="sr-Latn-ME"/>
        </w:rPr>
        <w:t xml:space="preserve"> i Grafik </w:t>
      </w:r>
      <w:r w:rsidR="00056E0C" w:rsidRPr="00C86111">
        <w:rPr>
          <w:rFonts w:asciiTheme="minorHAnsi" w:eastAsia="Times New Roman" w:hAnsiTheme="minorHAnsi" w:cstheme="minorHAnsi"/>
          <w:color w:val="auto"/>
          <w:szCs w:val="24"/>
          <w:lang w:val="sr-Latn-ME"/>
        </w:rPr>
        <w:t>4</w:t>
      </w:r>
      <w:r w:rsidR="00547278">
        <w:rPr>
          <w:rFonts w:asciiTheme="minorHAnsi" w:eastAsia="Times New Roman" w:hAnsiTheme="minorHAnsi" w:cstheme="minorHAnsi"/>
          <w:color w:val="auto"/>
          <w:szCs w:val="24"/>
          <w:lang w:val="sr-Latn-ME"/>
        </w:rPr>
        <w:t>8</w:t>
      </w:r>
      <w:r w:rsidR="00056E0C" w:rsidRPr="00C86111">
        <w:rPr>
          <w:rFonts w:asciiTheme="minorHAnsi" w:eastAsia="Times New Roman" w:hAnsiTheme="minorHAnsi" w:cstheme="minorHAnsi"/>
          <w:color w:val="auto"/>
          <w:szCs w:val="24"/>
          <w:lang w:val="sr-Latn-ME"/>
        </w:rPr>
        <w:t>.</w:t>
      </w:r>
      <w:r w:rsidRPr="00C86111">
        <w:rPr>
          <w:rFonts w:asciiTheme="minorHAnsi" w:eastAsia="Times New Roman" w:hAnsiTheme="minorHAnsi" w:cstheme="minorHAnsi"/>
          <w:color w:val="auto"/>
          <w:szCs w:val="24"/>
          <w:lang w:val="sr-Latn-ME"/>
        </w:rPr>
        <w:t xml:space="preserve"> prikazuju pregled količina uvezenih adhezivnih PUR pjena iz Kine za period 2017-2023, kao i izračunate količine SCCP i MCCP.</w:t>
      </w:r>
    </w:p>
    <w:p w14:paraId="14A15004" w14:textId="77777777" w:rsidR="00201FE9" w:rsidRPr="00C86111" w:rsidRDefault="00201FE9" w:rsidP="00201FE9">
      <w:pPr>
        <w:spacing w:line="276" w:lineRule="auto"/>
        <w:jc w:val="both"/>
        <w:rPr>
          <w:rFonts w:asciiTheme="minorHAnsi" w:eastAsia="Times New Roman" w:hAnsiTheme="minorHAnsi" w:cstheme="minorHAnsi"/>
          <w:color w:val="auto"/>
          <w:szCs w:val="24"/>
          <w:lang w:val="sr-Latn-ME"/>
        </w:rPr>
      </w:pPr>
    </w:p>
    <w:p w14:paraId="61ABF7A6" w14:textId="4B94286E" w:rsidR="00201FE9" w:rsidRPr="00C86111" w:rsidRDefault="00201FE9" w:rsidP="002E5AB7">
      <w:pPr>
        <w:pStyle w:val="Caption"/>
        <w:rPr>
          <w:rFonts w:cstheme="minorHAnsi"/>
          <w:szCs w:val="24"/>
          <w:lang w:val="sr-Latn-ME"/>
        </w:rPr>
      </w:pPr>
      <w:bookmarkStart w:id="407" w:name="_Toc210743924"/>
      <w:r w:rsidRPr="00C86111">
        <w:rPr>
          <w:rFonts w:cstheme="minorHAnsi"/>
          <w:bCs/>
          <w:sz w:val="24"/>
          <w:szCs w:val="24"/>
        </w:rPr>
        <w:t xml:space="preserve">Tabela </w:t>
      </w:r>
      <w:r w:rsidR="00056E0C" w:rsidRPr="00C86111">
        <w:rPr>
          <w:rFonts w:cstheme="minorHAnsi"/>
          <w:bCs/>
          <w:sz w:val="24"/>
          <w:szCs w:val="24"/>
        </w:rPr>
        <w:t>113</w:t>
      </w:r>
      <w:r w:rsidRPr="00C86111">
        <w:rPr>
          <w:rFonts w:cstheme="minorHAnsi"/>
          <w:b w:val="0"/>
          <w:bCs/>
          <w:sz w:val="24"/>
          <w:szCs w:val="24"/>
        </w:rPr>
        <w:fldChar w:fldCharType="begin"/>
      </w:r>
      <w:r w:rsidRPr="00C86111">
        <w:rPr>
          <w:rFonts w:cstheme="minorHAnsi"/>
          <w:bCs/>
          <w:sz w:val="24"/>
          <w:szCs w:val="24"/>
        </w:rPr>
        <w:instrText xml:space="preserve"> SEQ Tabela \* ARABIC </w:instrText>
      </w:r>
      <w:r w:rsidRPr="00C86111">
        <w:rPr>
          <w:rFonts w:cstheme="minorHAnsi"/>
          <w:b w:val="0"/>
          <w:bCs/>
          <w:sz w:val="24"/>
          <w:szCs w:val="24"/>
        </w:rPr>
        <w:fldChar w:fldCharType="end"/>
      </w:r>
      <w:r w:rsidRPr="00C86111">
        <w:rPr>
          <w:rFonts w:cstheme="minorHAnsi"/>
          <w:bCs/>
          <w:sz w:val="24"/>
          <w:szCs w:val="24"/>
        </w:rPr>
        <w:t>.</w:t>
      </w:r>
      <w:r w:rsidRPr="00C86111">
        <w:rPr>
          <w:rFonts w:cstheme="minorHAnsi"/>
          <w:sz w:val="24"/>
          <w:szCs w:val="24"/>
        </w:rPr>
        <w:t xml:space="preserve"> </w:t>
      </w:r>
      <w:r w:rsidRPr="00C86111">
        <w:rPr>
          <w:rFonts w:cstheme="minorHAnsi"/>
          <w:b w:val="0"/>
          <w:bCs/>
          <w:sz w:val="24"/>
          <w:szCs w:val="24"/>
        </w:rPr>
        <w:t>Količine uvezenih adhezivnih PUR pjena za period 2017-2023 i procenjene količine SCCP i MCCP</w:t>
      </w:r>
      <w:bookmarkEnd w:id="407"/>
    </w:p>
    <w:tbl>
      <w:tblPr>
        <w:tblStyle w:val="GridTable5Dark-Accent6"/>
        <w:tblW w:w="9016" w:type="dxa"/>
        <w:tblLook w:val="04A0" w:firstRow="1" w:lastRow="0" w:firstColumn="1" w:lastColumn="0" w:noHBand="0" w:noVBand="1"/>
      </w:tblPr>
      <w:tblGrid>
        <w:gridCol w:w="992"/>
        <w:gridCol w:w="925"/>
        <w:gridCol w:w="1244"/>
        <w:gridCol w:w="1606"/>
        <w:gridCol w:w="1349"/>
        <w:gridCol w:w="1597"/>
        <w:gridCol w:w="1303"/>
      </w:tblGrid>
      <w:tr w:rsidR="00201FE9" w:rsidRPr="00C86111" w14:paraId="18085792"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14:paraId="1D4896DD" w14:textId="77777777" w:rsidR="00201FE9" w:rsidRPr="00C86111" w:rsidRDefault="00201FE9" w:rsidP="00BC765B">
            <w:pPr>
              <w:spacing w:line="276" w:lineRule="auto"/>
              <w:jc w:val="center"/>
              <w:rPr>
                <w:rFonts w:asciiTheme="minorHAnsi" w:eastAsia="Times New Roman"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HS kod</w:t>
            </w:r>
          </w:p>
        </w:tc>
        <w:tc>
          <w:tcPr>
            <w:tcW w:w="890" w:type="dxa"/>
            <w:hideMark/>
          </w:tcPr>
          <w:p w14:paraId="04D063E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Godina</w:t>
            </w:r>
          </w:p>
        </w:tc>
        <w:tc>
          <w:tcPr>
            <w:tcW w:w="1197" w:type="dxa"/>
            <w:hideMark/>
          </w:tcPr>
          <w:p w14:paraId="4995FAB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Calibri" w:hAnsiTheme="minorHAnsi" w:cstheme="minorHAnsi"/>
                <w:color w:val="auto"/>
                <w:sz w:val="20"/>
                <w:szCs w:val="20"/>
                <w:lang w:val="sr-Latn-ME"/>
              </w:rPr>
              <w:t>Količina (kg)</w:t>
            </w:r>
          </w:p>
        </w:tc>
        <w:tc>
          <w:tcPr>
            <w:tcW w:w="1545" w:type="dxa"/>
          </w:tcPr>
          <w:p w14:paraId="19C0689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057868F5"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SCCPs (mg/g)*</w:t>
            </w:r>
          </w:p>
        </w:tc>
        <w:tc>
          <w:tcPr>
            <w:tcW w:w="1298" w:type="dxa"/>
          </w:tcPr>
          <w:p w14:paraId="775F302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SCCPs (kg) </w:t>
            </w:r>
          </w:p>
        </w:tc>
        <w:tc>
          <w:tcPr>
            <w:tcW w:w="1537" w:type="dxa"/>
          </w:tcPr>
          <w:p w14:paraId="19C74E5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Faktor koncentracije za</w:t>
            </w:r>
          </w:p>
          <w:p w14:paraId="0E162BE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MCCPs (mg/g)*</w:t>
            </w:r>
          </w:p>
        </w:tc>
        <w:tc>
          <w:tcPr>
            <w:tcW w:w="1254" w:type="dxa"/>
          </w:tcPr>
          <w:p w14:paraId="039F7997"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 xml:space="preserve">Količina MCCPs (kg) </w:t>
            </w:r>
          </w:p>
        </w:tc>
      </w:tr>
      <w:tr w:rsidR="00201FE9" w:rsidRPr="00C86111" w14:paraId="67A0289E"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vMerge w:val="restart"/>
          </w:tcPr>
          <w:p w14:paraId="13143AFB"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bookmarkStart w:id="408" w:name="_Hlk208477059"/>
            <w:r w:rsidRPr="00C86111">
              <w:rPr>
                <w:rFonts w:asciiTheme="minorHAnsi" w:hAnsiTheme="minorHAnsi" w:cstheme="minorHAnsi"/>
                <w:color w:val="auto"/>
                <w:sz w:val="20"/>
                <w:szCs w:val="20"/>
                <w:lang w:val="sr-Latn-ME"/>
              </w:rPr>
              <w:t>PUR foam adhesive</w:t>
            </w:r>
            <w:bookmarkEnd w:id="408"/>
          </w:p>
        </w:tc>
        <w:tc>
          <w:tcPr>
            <w:tcW w:w="890" w:type="dxa"/>
          </w:tcPr>
          <w:p w14:paraId="0A2778D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2017</w:t>
            </w:r>
          </w:p>
        </w:tc>
        <w:tc>
          <w:tcPr>
            <w:tcW w:w="1197" w:type="dxa"/>
          </w:tcPr>
          <w:p w14:paraId="275398C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248</w:t>
            </w:r>
          </w:p>
        </w:tc>
        <w:tc>
          <w:tcPr>
            <w:tcW w:w="1545" w:type="dxa"/>
          </w:tcPr>
          <w:p w14:paraId="4D19383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82.4</w:t>
            </w:r>
          </w:p>
        </w:tc>
        <w:tc>
          <w:tcPr>
            <w:tcW w:w="1298" w:type="dxa"/>
          </w:tcPr>
          <w:p w14:paraId="5B8DECE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w:t>
            </w:r>
          </w:p>
        </w:tc>
        <w:tc>
          <w:tcPr>
            <w:tcW w:w="1537" w:type="dxa"/>
          </w:tcPr>
          <w:p w14:paraId="6EC6DEE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71.4</w:t>
            </w:r>
          </w:p>
        </w:tc>
        <w:tc>
          <w:tcPr>
            <w:tcW w:w="1254" w:type="dxa"/>
          </w:tcPr>
          <w:p w14:paraId="5E61C3C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18</w:t>
            </w:r>
          </w:p>
        </w:tc>
      </w:tr>
      <w:tr w:rsidR="00201FE9" w:rsidRPr="00C86111" w14:paraId="47179108" w14:textId="77777777" w:rsidTr="00BC765B">
        <w:tc>
          <w:tcPr>
            <w:cnfStyle w:val="001000000000" w:firstRow="0" w:lastRow="0" w:firstColumn="1" w:lastColumn="0" w:oddVBand="0" w:evenVBand="0" w:oddHBand="0" w:evenHBand="0" w:firstRowFirstColumn="0" w:firstRowLastColumn="0" w:lastRowFirstColumn="0" w:lastRowLastColumn="0"/>
            <w:tcW w:w="943" w:type="dxa"/>
            <w:vMerge/>
          </w:tcPr>
          <w:p w14:paraId="06431D41"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57C5F0A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2018</w:t>
            </w:r>
          </w:p>
        </w:tc>
        <w:tc>
          <w:tcPr>
            <w:tcW w:w="1197" w:type="dxa"/>
          </w:tcPr>
          <w:p w14:paraId="5FADE65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372</w:t>
            </w:r>
          </w:p>
        </w:tc>
        <w:tc>
          <w:tcPr>
            <w:tcW w:w="1545" w:type="dxa"/>
          </w:tcPr>
          <w:p w14:paraId="2D69C5B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82.4</w:t>
            </w:r>
          </w:p>
        </w:tc>
        <w:tc>
          <w:tcPr>
            <w:tcW w:w="1298" w:type="dxa"/>
          </w:tcPr>
          <w:p w14:paraId="4DD29C8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31</w:t>
            </w:r>
          </w:p>
        </w:tc>
        <w:tc>
          <w:tcPr>
            <w:tcW w:w="1537" w:type="dxa"/>
          </w:tcPr>
          <w:p w14:paraId="23CABBF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71.4</w:t>
            </w:r>
          </w:p>
        </w:tc>
        <w:tc>
          <w:tcPr>
            <w:tcW w:w="1254" w:type="dxa"/>
          </w:tcPr>
          <w:p w14:paraId="339A721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27</w:t>
            </w:r>
          </w:p>
        </w:tc>
      </w:tr>
      <w:tr w:rsidR="00201FE9" w:rsidRPr="00C86111" w14:paraId="0DBFFB19"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vMerge/>
          </w:tcPr>
          <w:p w14:paraId="6E23ADFB"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69D65A5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2019</w:t>
            </w:r>
          </w:p>
        </w:tc>
        <w:tc>
          <w:tcPr>
            <w:tcW w:w="1197" w:type="dxa"/>
          </w:tcPr>
          <w:p w14:paraId="5F55761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 /</w:t>
            </w:r>
          </w:p>
        </w:tc>
        <w:tc>
          <w:tcPr>
            <w:tcW w:w="1545" w:type="dxa"/>
          </w:tcPr>
          <w:p w14:paraId="6C9FC45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82.4</w:t>
            </w:r>
          </w:p>
        </w:tc>
        <w:tc>
          <w:tcPr>
            <w:tcW w:w="1298" w:type="dxa"/>
          </w:tcPr>
          <w:p w14:paraId="483D219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w:t>
            </w:r>
          </w:p>
        </w:tc>
        <w:tc>
          <w:tcPr>
            <w:tcW w:w="1537" w:type="dxa"/>
          </w:tcPr>
          <w:p w14:paraId="6C3E76C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71.4</w:t>
            </w:r>
          </w:p>
        </w:tc>
        <w:tc>
          <w:tcPr>
            <w:tcW w:w="1254" w:type="dxa"/>
          </w:tcPr>
          <w:p w14:paraId="33603AE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w:t>
            </w:r>
          </w:p>
        </w:tc>
      </w:tr>
      <w:tr w:rsidR="00201FE9" w:rsidRPr="00C86111" w14:paraId="37E1F85E" w14:textId="77777777" w:rsidTr="00BC765B">
        <w:tc>
          <w:tcPr>
            <w:cnfStyle w:val="001000000000" w:firstRow="0" w:lastRow="0" w:firstColumn="1" w:lastColumn="0" w:oddVBand="0" w:evenVBand="0" w:oddHBand="0" w:evenHBand="0" w:firstRowFirstColumn="0" w:firstRowLastColumn="0" w:lastRowFirstColumn="0" w:lastRowLastColumn="0"/>
            <w:tcW w:w="943" w:type="dxa"/>
            <w:vMerge/>
          </w:tcPr>
          <w:p w14:paraId="19109F63"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DBF605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2020</w:t>
            </w:r>
          </w:p>
        </w:tc>
        <w:tc>
          <w:tcPr>
            <w:tcW w:w="1197" w:type="dxa"/>
          </w:tcPr>
          <w:p w14:paraId="21E0FA5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2.2</w:t>
            </w:r>
          </w:p>
        </w:tc>
        <w:tc>
          <w:tcPr>
            <w:tcW w:w="1545" w:type="dxa"/>
          </w:tcPr>
          <w:p w14:paraId="4EF0058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82.4</w:t>
            </w:r>
          </w:p>
        </w:tc>
        <w:tc>
          <w:tcPr>
            <w:tcW w:w="1298" w:type="dxa"/>
          </w:tcPr>
          <w:p w14:paraId="691057B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0.18</w:t>
            </w:r>
          </w:p>
        </w:tc>
        <w:tc>
          <w:tcPr>
            <w:tcW w:w="1537" w:type="dxa"/>
          </w:tcPr>
          <w:p w14:paraId="3302F61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71.4</w:t>
            </w:r>
          </w:p>
        </w:tc>
        <w:tc>
          <w:tcPr>
            <w:tcW w:w="1254" w:type="dxa"/>
          </w:tcPr>
          <w:p w14:paraId="13A83AB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0.16</w:t>
            </w:r>
          </w:p>
        </w:tc>
      </w:tr>
      <w:tr w:rsidR="00201FE9" w:rsidRPr="00C86111" w14:paraId="6753E2E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vMerge/>
          </w:tcPr>
          <w:p w14:paraId="7301FF38"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2EA8F5B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2021</w:t>
            </w:r>
          </w:p>
        </w:tc>
        <w:tc>
          <w:tcPr>
            <w:tcW w:w="1197" w:type="dxa"/>
          </w:tcPr>
          <w:p w14:paraId="22E7366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 /</w:t>
            </w:r>
          </w:p>
        </w:tc>
        <w:tc>
          <w:tcPr>
            <w:tcW w:w="1545" w:type="dxa"/>
          </w:tcPr>
          <w:p w14:paraId="1B1E43B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82.4</w:t>
            </w:r>
          </w:p>
        </w:tc>
        <w:tc>
          <w:tcPr>
            <w:tcW w:w="1298" w:type="dxa"/>
          </w:tcPr>
          <w:p w14:paraId="73179AF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w:t>
            </w:r>
          </w:p>
        </w:tc>
        <w:tc>
          <w:tcPr>
            <w:tcW w:w="1537" w:type="dxa"/>
          </w:tcPr>
          <w:p w14:paraId="6BA0E26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71.4</w:t>
            </w:r>
          </w:p>
        </w:tc>
        <w:tc>
          <w:tcPr>
            <w:tcW w:w="1254" w:type="dxa"/>
          </w:tcPr>
          <w:p w14:paraId="1619656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w:t>
            </w:r>
          </w:p>
        </w:tc>
      </w:tr>
      <w:tr w:rsidR="00201FE9" w:rsidRPr="00C86111" w14:paraId="12BCC703" w14:textId="77777777" w:rsidTr="00BC765B">
        <w:tc>
          <w:tcPr>
            <w:cnfStyle w:val="001000000000" w:firstRow="0" w:lastRow="0" w:firstColumn="1" w:lastColumn="0" w:oddVBand="0" w:evenVBand="0" w:oddHBand="0" w:evenHBand="0" w:firstRowFirstColumn="0" w:firstRowLastColumn="0" w:lastRowFirstColumn="0" w:lastRowLastColumn="0"/>
            <w:tcW w:w="943" w:type="dxa"/>
            <w:vMerge/>
          </w:tcPr>
          <w:p w14:paraId="1833B000"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11F3B6C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2022</w:t>
            </w:r>
          </w:p>
        </w:tc>
        <w:tc>
          <w:tcPr>
            <w:tcW w:w="1197" w:type="dxa"/>
          </w:tcPr>
          <w:p w14:paraId="4DB8EFA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 /</w:t>
            </w:r>
          </w:p>
        </w:tc>
        <w:tc>
          <w:tcPr>
            <w:tcW w:w="1545" w:type="dxa"/>
          </w:tcPr>
          <w:p w14:paraId="4ACDB174"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82.4</w:t>
            </w:r>
          </w:p>
        </w:tc>
        <w:tc>
          <w:tcPr>
            <w:tcW w:w="1298" w:type="dxa"/>
          </w:tcPr>
          <w:p w14:paraId="501D914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w:t>
            </w:r>
          </w:p>
        </w:tc>
        <w:tc>
          <w:tcPr>
            <w:tcW w:w="1537" w:type="dxa"/>
          </w:tcPr>
          <w:p w14:paraId="195BE88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71.4</w:t>
            </w:r>
          </w:p>
        </w:tc>
        <w:tc>
          <w:tcPr>
            <w:tcW w:w="1254" w:type="dxa"/>
          </w:tcPr>
          <w:p w14:paraId="75F352C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w:t>
            </w:r>
          </w:p>
        </w:tc>
      </w:tr>
      <w:tr w:rsidR="00201FE9" w:rsidRPr="00C86111" w14:paraId="56BBED27"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vMerge/>
          </w:tcPr>
          <w:p w14:paraId="6F2B82A6" w14:textId="77777777" w:rsidR="00201FE9" w:rsidRPr="00C86111" w:rsidRDefault="00201FE9" w:rsidP="00BC765B">
            <w:pPr>
              <w:spacing w:line="276" w:lineRule="auto"/>
              <w:jc w:val="both"/>
              <w:rPr>
                <w:rFonts w:asciiTheme="minorHAnsi" w:eastAsia="Times New Roman" w:hAnsiTheme="minorHAnsi" w:cstheme="minorHAnsi"/>
                <w:color w:val="auto"/>
                <w:sz w:val="20"/>
                <w:szCs w:val="20"/>
                <w:lang w:val="sr-Latn-ME"/>
              </w:rPr>
            </w:pPr>
          </w:p>
        </w:tc>
        <w:tc>
          <w:tcPr>
            <w:tcW w:w="890" w:type="dxa"/>
          </w:tcPr>
          <w:p w14:paraId="733FFBD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hAnsiTheme="minorHAnsi" w:cstheme="minorHAnsi"/>
                <w:color w:val="auto"/>
                <w:sz w:val="20"/>
                <w:szCs w:val="20"/>
                <w:lang w:val="sr-Latn-ME"/>
              </w:rPr>
              <w:t>2023</w:t>
            </w:r>
          </w:p>
        </w:tc>
        <w:tc>
          <w:tcPr>
            <w:tcW w:w="1197" w:type="dxa"/>
          </w:tcPr>
          <w:p w14:paraId="78AE13F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3.0</w:t>
            </w:r>
          </w:p>
        </w:tc>
        <w:tc>
          <w:tcPr>
            <w:tcW w:w="1545" w:type="dxa"/>
          </w:tcPr>
          <w:p w14:paraId="493FE97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82.4</w:t>
            </w:r>
          </w:p>
        </w:tc>
        <w:tc>
          <w:tcPr>
            <w:tcW w:w="1298" w:type="dxa"/>
          </w:tcPr>
          <w:p w14:paraId="33ECE0F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0.25</w:t>
            </w:r>
          </w:p>
        </w:tc>
        <w:tc>
          <w:tcPr>
            <w:tcW w:w="1537" w:type="dxa"/>
          </w:tcPr>
          <w:p w14:paraId="217E151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71.4</w:t>
            </w:r>
          </w:p>
        </w:tc>
        <w:tc>
          <w:tcPr>
            <w:tcW w:w="1254" w:type="dxa"/>
          </w:tcPr>
          <w:p w14:paraId="7CFB7B7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sr-Latn-ME"/>
              </w:rPr>
            </w:pPr>
            <w:r w:rsidRPr="00C86111">
              <w:rPr>
                <w:rFonts w:asciiTheme="minorHAnsi" w:hAnsiTheme="minorHAnsi" w:cstheme="minorHAnsi"/>
                <w:color w:val="auto"/>
                <w:sz w:val="20"/>
                <w:szCs w:val="20"/>
                <w:lang w:val="sr-Latn-ME"/>
              </w:rPr>
              <w:t>0.21</w:t>
            </w:r>
          </w:p>
        </w:tc>
      </w:tr>
    </w:tbl>
    <w:p w14:paraId="0285CD1C" w14:textId="77777777" w:rsidR="00201FE9" w:rsidRPr="00C86111" w:rsidRDefault="00201FE9" w:rsidP="00201FE9">
      <w:pPr>
        <w:spacing w:line="276" w:lineRule="auto"/>
        <w:jc w:val="both"/>
        <w:rPr>
          <w:rFonts w:asciiTheme="minorHAnsi" w:hAnsiTheme="minorHAnsi" w:cstheme="minorHAnsi"/>
          <w:bCs/>
          <w:color w:val="auto"/>
          <w:szCs w:val="24"/>
          <w:lang w:val="sr-Latn-ME"/>
        </w:rPr>
      </w:pPr>
      <w:r w:rsidRPr="00C86111">
        <w:rPr>
          <w:rFonts w:asciiTheme="minorHAnsi" w:hAnsiTheme="minorHAnsi" w:cstheme="minorHAnsi"/>
          <w:bCs/>
          <w:color w:val="auto"/>
          <w:szCs w:val="24"/>
          <w:lang w:val="sr-Latn-ME"/>
        </w:rPr>
        <w:t>*Chen et al. (2021)</w:t>
      </w:r>
    </w:p>
    <w:p w14:paraId="621A59C7" w14:textId="77777777" w:rsidR="00201FE9" w:rsidRPr="00C86111" w:rsidRDefault="00201FE9" w:rsidP="00201FE9">
      <w:pPr>
        <w:spacing w:line="276" w:lineRule="auto"/>
        <w:rPr>
          <w:rFonts w:asciiTheme="minorHAnsi" w:hAnsiTheme="minorHAnsi" w:cstheme="minorHAnsi"/>
          <w:color w:val="auto"/>
          <w:szCs w:val="24"/>
          <w:lang w:val="sr-Latn-ME"/>
        </w:rPr>
      </w:pPr>
    </w:p>
    <w:p w14:paraId="27F30063" w14:textId="77777777" w:rsidR="00201FE9" w:rsidRPr="00C86111" w:rsidRDefault="00201FE9" w:rsidP="00201FE9">
      <w:pPr>
        <w:spacing w:line="276" w:lineRule="auto"/>
        <w:rPr>
          <w:rFonts w:asciiTheme="minorHAnsi" w:hAnsiTheme="minorHAnsi" w:cstheme="minorHAnsi"/>
          <w:color w:val="auto"/>
          <w:szCs w:val="24"/>
          <w:lang w:val="sr-Latn-ME"/>
        </w:rPr>
      </w:pPr>
    </w:p>
    <w:p w14:paraId="30629F52"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7201D375" wp14:editId="4B1A1721">
            <wp:extent cx="4762500" cy="1932709"/>
            <wp:effectExtent l="0" t="0" r="0" b="10795"/>
            <wp:docPr id="12" name="Chart 12">
              <a:extLst xmlns:a="http://schemas.openxmlformats.org/drawingml/2006/main">
                <a:ext uri="{FF2B5EF4-FFF2-40B4-BE49-F238E27FC236}">
                  <a16:creationId xmlns:a16="http://schemas.microsoft.com/office/drawing/2014/main" id="{164A27A7-69EB-E811-99E4-865391D0B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286DFF5" w14:textId="0833CD96" w:rsidR="00201FE9" w:rsidRPr="00C86111" w:rsidRDefault="00201FE9" w:rsidP="00201FE9">
      <w:pPr>
        <w:spacing w:line="276" w:lineRule="auto"/>
        <w:jc w:val="center"/>
        <w:rPr>
          <w:rFonts w:asciiTheme="minorHAnsi" w:hAnsiTheme="minorHAnsi" w:cstheme="minorHAnsi"/>
          <w:i/>
          <w:iCs/>
          <w:color w:val="auto"/>
          <w:szCs w:val="24"/>
          <w:lang w:val="sr-Latn-ME"/>
        </w:rPr>
      </w:pPr>
      <w:r w:rsidRPr="00C86111">
        <w:rPr>
          <w:rFonts w:asciiTheme="minorHAnsi" w:hAnsiTheme="minorHAnsi" w:cstheme="minorHAnsi"/>
          <w:b/>
          <w:bCs/>
          <w:i/>
          <w:iCs/>
          <w:color w:val="auto"/>
          <w:szCs w:val="24"/>
          <w:lang w:val="sr-Latn-ME"/>
        </w:rPr>
        <w:t xml:space="preserve">Grafik </w:t>
      </w:r>
      <w:r w:rsidR="00056E0C" w:rsidRPr="00C86111">
        <w:rPr>
          <w:rFonts w:asciiTheme="minorHAnsi" w:hAnsiTheme="minorHAnsi" w:cstheme="minorHAnsi"/>
          <w:b/>
          <w:bCs/>
          <w:i/>
          <w:iCs/>
          <w:color w:val="auto"/>
          <w:szCs w:val="24"/>
          <w:lang w:val="sr-Latn-ME"/>
        </w:rPr>
        <w:t>4</w:t>
      </w:r>
      <w:r w:rsidR="00547278">
        <w:rPr>
          <w:rFonts w:asciiTheme="minorHAnsi" w:hAnsiTheme="minorHAnsi" w:cstheme="minorHAnsi"/>
          <w:b/>
          <w:bCs/>
          <w:i/>
          <w:iCs/>
          <w:color w:val="auto"/>
          <w:szCs w:val="24"/>
          <w:lang w:val="sr-Latn-ME"/>
        </w:rPr>
        <w:t>8</w:t>
      </w:r>
      <w:r w:rsidRPr="00C86111">
        <w:rPr>
          <w:rFonts w:asciiTheme="minorHAnsi" w:hAnsiTheme="minorHAnsi" w:cstheme="minorHAnsi"/>
          <w:b/>
          <w:bCs/>
          <w:i/>
          <w:iCs/>
          <w:color w:val="auto"/>
          <w:szCs w:val="24"/>
          <w:lang w:val="sr-Latn-ME"/>
        </w:rPr>
        <w:t xml:space="preserve">. </w:t>
      </w:r>
      <w:r w:rsidRPr="00C86111">
        <w:rPr>
          <w:rFonts w:asciiTheme="minorHAnsi" w:hAnsiTheme="minorHAnsi" w:cstheme="minorHAnsi"/>
          <w:i/>
          <w:iCs/>
          <w:color w:val="auto"/>
          <w:szCs w:val="24"/>
          <w:lang w:val="sr-Latn-ME"/>
        </w:rPr>
        <w:t>Procijenjena količina SCCPS i MCCPS u adhezivnim PUR pjenama uvezenim tokom perioda 2017-2023.</w:t>
      </w:r>
    </w:p>
    <w:p w14:paraId="1B4AABAC"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1AA8AE04" w14:textId="4F8FE214" w:rsidR="00201FE9"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Grafik </w:t>
      </w:r>
      <w:r w:rsidR="00056E0C" w:rsidRPr="00C86111">
        <w:rPr>
          <w:rFonts w:asciiTheme="minorHAnsi" w:hAnsiTheme="minorHAnsi" w:cstheme="minorHAnsi"/>
          <w:color w:val="auto"/>
          <w:szCs w:val="24"/>
          <w:lang w:val="sr-Latn-ME"/>
        </w:rPr>
        <w:t>4</w:t>
      </w:r>
      <w:r w:rsidR="00547278">
        <w:rPr>
          <w:rFonts w:asciiTheme="minorHAnsi" w:hAnsiTheme="minorHAnsi" w:cstheme="minorHAnsi"/>
          <w:color w:val="auto"/>
          <w:szCs w:val="24"/>
          <w:lang w:val="sr-Latn-ME"/>
        </w:rPr>
        <w:t>8</w:t>
      </w:r>
      <w:r w:rsidR="00056E0C" w:rsidRPr="00C86111">
        <w:rPr>
          <w:rFonts w:asciiTheme="minorHAnsi" w:hAnsiTheme="minorHAnsi" w:cstheme="minorHAnsi"/>
          <w:color w:val="auto"/>
          <w:szCs w:val="24"/>
          <w:lang w:val="sr-Latn-ME"/>
        </w:rPr>
        <w:t>.</w:t>
      </w:r>
      <w:r w:rsidRPr="00C86111">
        <w:rPr>
          <w:rFonts w:asciiTheme="minorHAnsi" w:hAnsiTheme="minorHAnsi" w:cstheme="minorHAnsi"/>
          <w:color w:val="auto"/>
          <w:szCs w:val="24"/>
          <w:lang w:val="sr-Latn-ME"/>
        </w:rPr>
        <w:t xml:space="preserve"> prikazuje procijenjene količine SCCP i MCCP u uvezenim adhezivnim PUR pjenama iz Kine za period 2017–2023. Oba jedinjenja su prisutna u malim količinama, pri čemu se SCCP kreću od 20 kg u 2017. do 0,25 kg u 2023. godini, a MCCP od 18 kg do 0,21 kg. Podaci ukazuju na veoma nisku količinu uvoza i odgovarajući sadržaj hlorovanih parafina, pri čemu u nekim godinama nije zabilježen uvoz.</w:t>
      </w:r>
    </w:p>
    <w:p w14:paraId="6032F44F" w14:textId="77777777" w:rsidR="002E5AB7" w:rsidRPr="00C86111" w:rsidRDefault="002E5AB7" w:rsidP="00201FE9">
      <w:pPr>
        <w:spacing w:line="276" w:lineRule="auto"/>
        <w:jc w:val="both"/>
        <w:rPr>
          <w:rFonts w:asciiTheme="minorHAnsi" w:hAnsiTheme="minorHAnsi" w:cstheme="minorHAnsi"/>
          <w:color w:val="auto"/>
          <w:szCs w:val="24"/>
          <w:lang w:val="sr-Latn-ME"/>
        </w:rPr>
      </w:pPr>
    </w:p>
    <w:p w14:paraId="35F67F4D" w14:textId="77777777" w:rsidR="00201FE9" w:rsidRPr="00C86111" w:rsidRDefault="00201FE9" w:rsidP="00EA6904">
      <w:pPr>
        <w:pStyle w:val="Heading3"/>
      </w:pPr>
      <w:bookmarkStart w:id="409" w:name="_Toc210744977"/>
      <w:bookmarkStart w:id="410" w:name="_Toc220541966"/>
      <w:r w:rsidRPr="00C86111">
        <w:rPr>
          <w:rStyle w:val="Strong"/>
          <w:bCs/>
        </w:rPr>
        <w:lastRenderedPageBreak/>
        <w:t>Zaključci – SCCP/MCCP u proizvodima na tržištu</w:t>
      </w:r>
      <w:bookmarkEnd w:id="409"/>
      <w:bookmarkEnd w:id="410"/>
    </w:p>
    <w:p w14:paraId="4C7E7162" w14:textId="77777777" w:rsidR="00201FE9" w:rsidRPr="00C86111" w:rsidRDefault="00201FE9" w:rsidP="00201FE9">
      <w:pPr>
        <w:spacing w:line="276" w:lineRule="auto"/>
        <w:jc w:val="center"/>
        <w:rPr>
          <w:rFonts w:asciiTheme="minorHAnsi" w:hAnsiTheme="minorHAnsi" w:cstheme="minorHAnsi"/>
          <w:color w:val="auto"/>
          <w:szCs w:val="24"/>
          <w:lang w:val="sr-Latn-ME"/>
        </w:rPr>
      </w:pPr>
    </w:p>
    <w:p w14:paraId="29D09039" w14:textId="77777777" w:rsidR="00201FE9" w:rsidRPr="00C86111" w:rsidRDefault="00201FE9" w:rsidP="00201FE9">
      <w:pPr>
        <w:pStyle w:val="NormalWeb"/>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Na osnovu analize podataka o uvozu i procjena sadržaja SCCP i MCCP u različitim vrstama proizvoda, mogu se izvesti sljedeći zaključci:</w:t>
      </w:r>
    </w:p>
    <w:p w14:paraId="5C26C3AC" w14:textId="77777777" w:rsidR="00201FE9" w:rsidRPr="00C86111" w:rsidRDefault="00201FE9" w:rsidP="00EA6904">
      <w:pPr>
        <w:pStyle w:val="Heading4"/>
        <w:rPr>
          <w:rFonts w:eastAsia="Times New Roman"/>
          <w:b/>
          <w:lang w:val="sr-Latn-ME"/>
        </w:rPr>
      </w:pPr>
      <w:r w:rsidRPr="00C86111">
        <w:rPr>
          <w:rStyle w:val="Strong"/>
          <w:b w:val="0"/>
          <w:lang w:val="sr-Latn-ME"/>
        </w:rPr>
        <w:t>Proizvodi od gume</w:t>
      </w:r>
    </w:p>
    <w:p w14:paraId="562D72FA" w14:textId="77777777" w:rsidR="00201FE9" w:rsidRPr="00C86111" w:rsidRDefault="00201FE9" w:rsidP="00201FE9">
      <w:pPr>
        <w:pStyle w:val="NormalWeb"/>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Uvoz proizvoda od gume pod HS kodovima 4008–4016 predstavlja jedan od najvećih izvora SCCP i MCCP u Crnoj Gori:</w:t>
      </w:r>
    </w:p>
    <w:p w14:paraId="28A0C454"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HS 4016 (Gumeni proizvodi, osim tvrde gume) ima ubjedljivo najznačajniji doprinos, sa prilivom MCCP koji dostiže 9–37 tona godišnje i prilivom SCCP do 857 kg/godišnje.</w:t>
      </w:r>
    </w:p>
    <w:p w14:paraId="3A988662"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HS 4015 (Gumena odjeća, rukavice, dodaci) je još jedan veliki izvor, sa SCCP u rasponu od 154–617 kg/godišnje i MCCP u rasponu od 826–3.300 kg/godišnje.</w:t>
      </w:r>
    </w:p>
    <w:p w14:paraId="08683C77"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HS 4008 (Ploče, limovi, trake) pokazuje brz rast uvoza, sa prilivom SCCP koji je porastao sa 3,4 kg (2017) na skoro 90 kg (2023), a MCCP-a sa 13 kg na 335 kg u istom periodu.</w:t>
      </w:r>
    </w:p>
    <w:p w14:paraId="21E4530F"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HS 4009 (Cijevi, crijeva) i HS 4010 (Transportne trake) doprinose samo malom prilivu (ispod 3 kg SCCP i 2 kg MCCP godišnje), zbog nižih faktora koncentracije, uprkos značajnim količinama uvoza.</w:t>
      </w:r>
    </w:p>
    <w:p w14:paraId="4F533845" w14:textId="77777777" w:rsidR="00201FE9" w:rsidRPr="00C86111" w:rsidRDefault="00201FE9" w:rsidP="00201FE9">
      <w:pPr>
        <w:pStyle w:val="NormalWeb"/>
        <w:spacing w:before="0" w:beforeAutospacing="0" w:after="0" w:afterAutospacing="0" w:line="276" w:lineRule="auto"/>
        <w:jc w:val="both"/>
        <w:rPr>
          <w:rFonts w:asciiTheme="minorHAnsi" w:hAnsiTheme="minorHAnsi" w:cstheme="minorHAnsi"/>
        </w:rPr>
      </w:pPr>
      <w:r w:rsidRPr="00C86111">
        <w:rPr>
          <w:rFonts w:asciiTheme="minorHAnsi" w:hAnsiTheme="minorHAnsi" w:cstheme="minorHAnsi"/>
        </w:rPr>
        <w:t>Sveukupno, proizvodi od gume predstavljaju dominantan izvor MCCP u Crnoj Gori, posebno u kategorijama sa raznovrsnom potrošačkom i industrijskom upotrebom, što ih čini ključnim za izvještavanje prema Stokholmskoj konvenciji.</w:t>
      </w:r>
    </w:p>
    <w:p w14:paraId="667066AC" w14:textId="77777777" w:rsidR="00201FE9" w:rsidRPr="00C86111" w:rsidRDefault="00201FE9" w:rsidP="00EA6904">
      <w:pPr>
        <w:pStyle w:val="Heading4"/>
        <w:rPr>
          <w:b/>
          <w:lang w:val="sr-Latn-ME"/>
        </w:rPr>
      </w:pPr>
      <w:r w:rsidRPr="00C86111">
        <w:rPr>
          <w:rStyle w:val="Strong"/>
          <w:b w:val="0"/>
          <w:lang w:val="sr-Latn-ME"/>
        </w:rPr>
        <w:t>PVC proizvodi</w:t>
      </w:r>
    </w:p>
    <w:p w14:paraId="3B2F8CA1"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Godišnji uvoz PVC proizvoda pokazuje promjenljive, ali značajne količine, sa određenim kategorijama kao što su plastificirane folije, listovi i materijali za podove (HS 3920431000, HS 3920439000, HS 3920491000, HS 3920499000, HS 3918101000).</w:t>
      </w:r>
    </w:p>
    <w:p w14:paraId="2A32DA87"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Procijenjeni sadržaj SCCP u ovim proizvodima kreće se od nekoliko kilograma do nekoliko tona godišnje, posebno u plastificiranim PVC listovima i folijama gdje su faktori koncentracije visoki.</w:t>
      </w:r>
    </w:p>
    <w:p w14:paraId="7BF62A68"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MCCP su takođe bili prisutni u značajnim količinama, sa godišnjim procjenama koje dosežu stotine kilograma do preko jedne tone, u zavisnosti od HS podgrupe.</w:t>
      </w:r>
    </w:p>
    <w:p w14:paraId="2DC5CEEB"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Ovi rezultati ukazuju na to da je PVC značajan i konstantan izvor SCCP i MCCP na tržištu, sa implikacijama kako na uvezenu robu, tako i na eventualne tokove otpada (npr. podne obloge, zidne obloge i ambalažu).</w:t>
      </w:r>
    </w:p>
    <w:p w14:paraId="4861E0B4" w14:textId="77777777" w:rsidR="00201FE9" w:rsidRPr="00C86111" w:rsidRDefault="00201FE9" w:rsidP="00EA6904">
      <w:pPr>
        <w:pStyle w:val="Heading4"/>
        <w:rPr>
          <w:rStyle w:val="Strong"/>
          <w:b w:val="0"/>
          <w:i w:val="0"/>
          <w:iCs w:val="0"/>
          <w:lang w:val="sr-Latn-ME"/>
        </w:rPr>
      </w:pPr>
      <w:r w:rsidRPr="00C86111">
        <w:rPr>
          <w:rStyle w:val="Strong"/>
          <w:b w:val="0"/>
          <w:lang w:val="sr-Latn-ME"/>
        </w:rPr>
        <w:t>Adhezivne PUR pjene</w:t>
      </w:r>
    </w:p>
    <w:p w14:paraId="1AD2DC31" w14:textId="77777777" w:rsidR="00201FE9" w:rsidRPr="00C86111" w:rsidRDefault="00201FE9" w:rsidP="00201FE9">
      <w:pPr>
        <w:pStyle w:val="NormalWeb"/>
        <w:spacing w:before="0" w:beforeAutospacing="0" w:after="0" w:afterAutospacing="0" w:line="276" w:lineRule="auto"/>
        <w:ind w:firstLine="720"/>
        <w:jc w:val="both"/>
        <w:rPr>
          <w:rFonts w:asciiTheme="minorHAnsi" w:hAnsiTheme="minorHAnsi" w:cstheme="minorHAnsi"/>
          <w:lang w:val="sr-Latn-ME"/>
        </w:rPr>
      </w:pPr>
      <w:r w:rsidRPr="00C86111">
        <w:rPr>
          <w:rFonts w:asciiTheme="minorHAnsi" w:hAnsiTheme="minorHAnsi" w:cstheme="minorHAnsi"/>
          <w:lang w:val="sr-Latn-ME"/>
        </w:rPr>
        <w:t xml:space="preserve">Uvoz adhezivnih poliuretanskih pjena (HS 350691, 350610, 350699) je relativno mali po količini, rijetko prelazi nekoliko desetina kilograma godišnje. Uprkos maloj količini, faktori visoke </w:t>
      </w:r>
      <w:r w:rsidRPr="00C86111">
        <w:rPr>
          <w:rFonts w:asciiTheme="minorHAnsi" w:hAnsiTheme="minorHAnsi" w:cstheme="minorHAnsi"/>
          <w:lang w:val="sr-Latn-ME"/>
        </w:rPr>
        <w:lastRenderedPageBreak/>
        <w:t>koncentracije mogu dovesti do nezanemarljivog priliva hlorovanih parafina. SCCP je procijenjen na 20–31 kg/godišnje u godinama sa većim uvozom (2017–2018), dok je MCCP dostigao 18–27 kg/godišnje u istom periodu. U kasnijim godinama (2020. i 2023.), uvoz je bio minimalan (&lt;5 kg), a procijenjeni priliv SCCP i MCCP pao je ispod 1 kg/godišnje. Ovo sugeriše da su adhezivne PUR pjene sekundarni, ali visokorizični izvor, jer čak i male količine mogu dovesti do mjerljivog unosa SCCP i MCCP na nacionalno tržište.</w:t>
      </w:r>
    </w:p>
    <w:p w14:paraId="4D8B92FA" w14:textId="77777777" w:rsidR="00201FE9" w:rsidRPr="00C86111" w:rsidRDefault="00201FE9" w:rsidP="00004F34">
      <w:pPr>
        <w:pStyle w:val="Heading1"/>
        <w:numPr>
          <w:ilvl w:val="1"/>
          <w:numId w:val="238"/>
        </w:numPr>
        <w:rPr>
          <w:rStyle w:val="Strong"/>
          <w:b/>
          <w:bCs w:val="0"/>
        </w:rPr>
      </w:pPr>
      <w:bookmarkStart w:id="411" w:name="_Toc210744978"/>
      <w:bookmarkStart w:id="412" w:name="_Toc220541967"/>
      <w:r w:rsidRPr="00C86111">
        <w:rPr>
          <w:rStyle w:val="Strong"/>
        </w:rPr>
        <w:t>Opšti zaključci</w:t>
      </w:r>
      <w:bookmarkEnd w:id="411"/>
      <w:bookmarkEnd w:id="412"/>
    </w:p>
    <w:p w14:paraId="7E926DB0" w14:textId="77777777" w:rsidR="00201FE9" w:rsidRPr="00C86111" w:rsidRDefault="00201FE9" w:rsidP="00201FE9">
      <w:pPr>
        <w:rPr>
          <w:rFonts w:asciiTheme="minorHAnsi" w:hAnsiTheme="minorHAnsi" w:cstheme="minorHAnsi"/>
          <w:color w:val="auto"/>
          <w:szCs w:val="24"/>
          <w:lang w:val="sr-Latn-ME"/>
        </w:rPr>
      </w:pPr>
    </w:p>
    <w:p w14:paraId="5286F637"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Inventar potvrđuje da SCCP i MCCP i dalje ulaze u Crnu Goru kroz uvoz robe široke potrošnje i industrijske robe, uprkos tome što su SCCP navedeni u Aneksu A Stokholmske konvencije.</w:t>
      </w:r>
    </w:p>
    <w:p w14:paraId="1EA090CC"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Gumeni proizvodi (HS 4016 i HS 4015) imaju najveći doprinos, pri čemu MCCP dominiraju u prilivu (do nekoliko desetina tona godišnje).</w:t>
      </w:r>
    </w:p>
    <w:p w14:paraId="10DF9C68"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PVC proizvodi predstavljaju stabilan i značajan izvor SCCP i MCCP.</w:t>
      </w:r>
    </w:p>
    <w:p w14:paraId="6D800165"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Adhezivne PUR pjene, iako se uvoze u malim količinama, pokazuju da su visoke koncentracije hlorovanih parafina i dalje prisutne u specijalizovanim proizvodima.</w:t>
      </w:r>
    </w:p>
    <w:p w14:paraId="62C261B2" w14:textId="77777777" w:rsidR="00201FE9" w:rsidRPr="00C86111" w:rsidRDefault="00201FE9" w:rsidP="00833A40">
      <w:pPr>
        <w:pStyle w:val="NormalWeb"/>
        <w:numPr>
          <w:ilvl w:val="0"/>
          <w:numId w:val="115"/>
        </w:numPr>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MCCP dominiraju u svim kategorijama, često premašuju SCCP za jedan do dva reda veličine, što ističe njihov rastući značaj za regulatorne okvire.</w:t>
      </w:r>
    </w:p>
    <w:p w14:paraId="44F956BD" w14:textId="77777777" w:rsidR="00201FE9" w:rsidRPr="00C86111" w:rsidRDefault="00201FE9" w:rsidP="00004F34">
      <w:pPr>
        <w:pStyle w:val="Heading1"/>
        <w:numPr>
          <w:ilvl w:val="1"/>
          <w:numId w:val="238"/>
        </w:numPr>
      </w:pPr>
      <w:bookmarkStart w:id="413" w:name="_Toc210744979"/>
      <w:bookmarkStart w:id="414" w:name="_Toc220541968"/>
      <w:r w:rsidRPr="00C86111">
        <w:t>Rezultati inventara SCCP u otpadnoj električnoj i elektronskoj opremi (W)EEE</w:t>
      </w:r>
      <w:bookmarkEnd w:id="413"/>
      <w:bookmarkEnd w:id="414"/>
    </w:p>
    <w:p w14:paraId="2C81615C" w14:textId="77777777" w:rsidR="00201FE9" w:rsidRPr="00C86111" w:rsidRDefault="00201FE9" w:rsidP="00201FE9">
      <w:pPr>
        <w:rPr>
          <w:rFonts w:asciiTheme="minorHAnsi" w:hAnsiTheme="minorHAnsi" w:cstheme="minorHAnsi"/>
          <w:color w:val="auto"/>
          <w:szCs w:val="24"/>
          <w:lang w:val="sr-Latn-ME"/>
        </w:rPr>
      </w:pPr>
    </w:p>
    <w:p w14:paraId="7A80D1F2"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bookmarkStart w:id="415" w:name="_Hlk184585912"/>
      <w:r w:rsidRPr="00C86111">
        <w:rPr>
          <w:rFonts w:asciiTheme="minorHAnsi" w:eastAsia="Times New Roman" w:hAnsiTheme="minorHAnsi" w:cstheme="minorHAnsi"/>
          <w:color w:val="auto"/>
          <w:szCs w:val="24"/>
          <w:lang w:val="sr-Latn-ME" w:eastAsia="en-GB"/>
        </w:rPr>
        <w:t>Inventar hlorovanih parafina kratkog lanca (SCCP) u otpadnoj električnoj i elektronskoj opremi (WEEE) predstavlja važan korak u procjeni potencijalnih izvora ovih supstanci u nacionalnom kontekstu. Električna i elektronska oprema često sadrži plastične i gumene komponente, kao što su izolacija kablova, kućišta i fleksibilni polimerni djelovi, gdje su SCCP istorijski korišćeni kao usporivači gorenja i plastifikatori.</w:t>
      </w:r>
    </w:p>
    <w:p w14:paraId="3B0334B7"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Uključivanjem WEEE sektora u inventar, postaje moguće identifikovati proizvode koji mogu predstavljati izvor emisija SCCP tokom upotrebe, reciklaže ili odlaganja. Posebna pažnja se posvećuje uvezenoj opremi, jer ovi proizvodi mogu poticati iz regiona gde se SCCP i dalje proizvode i primjenjuju u velikim razmerama.</w:t>
      </w:r>
    </w:p>
    <w:p w14:paraId="050A1771"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Rezultati takvog inventara pružaju bitne informacije za procjenu rizika po ljudsko zdravlje i životnu sredinu, a istovremeno služe kao osnova za poboljšanje praksi upravljanja otpadom i obezbjeđivanje poštovanja obaveza prema Stokholmskoj konvenciji.</w:t>
      </w:r>
    </w:p>
    <w:p w14:paraId="6F31FE0C" w14:textId="77777777" w:rsidR="00201FE9" w:rsidRPr="00C86111" w:rsidRDefault="00201FE9" w:rsidP="00201FE9">
      <w:pPr>
        <w:spacing w:line="276" w:lineRule="auto"/>
        <w:ind w:firstLine="720"/>
        <w:jc w:val="both"/>
        <w:rPr>
          <w:rFonts w:asciiTheme="minorHAnsi" w:eastAsia="Times New Roman" w:hAnsiTheme="minorHAnsi" w:cstheme="minorHAnsi"/>
          <w:color w:val="auto"/>
          <w:szCs w:val="24"/>
          <w:lang w:val="sr-Latn-ME" w:eastAsia="en-GB"/>
        </w:rPr>
      </w:pPr>
      <w:r w:rsidRPr="00C86111">
        <w:rPr>
          <w:rFonts w:asciiTheme="minorHAnsi" w:eastAsia="Times New Roman" w:hAnsiTheme="minorHAnsi" w:cstheme="minorHAnsi"/>
          <w:color w:val="auto"/>
          <w:szCs w:val="24"/>
          <w:lang w:val="sr-Latn-ME" w:eastAsia="en-GB"/>
        </w:rPr>
        <w:t xml:space="preserve">Prvo praćenje različitih drobljenih plastičnih materijala iz WEEE pokazalo je nivoe SCCP između 1 mg/kg i 140 mg/kg (Norveška agencija za životnu sredinu 2021). Na osnovu postojećih </w:t>
      </w:r>
      <w:r w:rsidRPr="00C86111">
        <w:rPr>
          <w:rFonts w:asciiTheme="minorHAnsi" w:eastAsia="Times New Roman" w:hAnsiTheme="minorHAnsi" w:cstheme="minorHAnsi"/>
          <w:color w:val="auto"/>
          <w:szCs w:val="24"/>
          <w:lang w:val="sr-Latn-ME" w:eastAsia="en-GB"/>
        </w:rPr>
        <w:lastRenderedPageBreak/>
        <w:t>početnih podataka, predlaže se faktor uticaja od 25 mg/kg SCCP u WEEE plastici za izračunavanje sadržaja SCCP u inventaru</w:t>
      </w:r>
      <w:r w:rsidRPr="00C86111">
        <w:rPr>
          <w:rFonts w:asciiTheme="minorHAnsi" w:eastAsia="Times New Roman" w:hAnsiTheme="minorHAnsi" w:cstheme="minorHAnsi"/>
          <w:color w:val="002060"/>
          <w:szCs w:val="24"/>
          <w:lang w:val="sr-Latn-ME" w:eastAsia="en-GB"/>
        </w:rPr>
        <w:t>. (9)</w:t>
      </w:r>
    </w:p>
    <w:p w14:paraId="6BEC14CF" w14:textId="4CC8BE82" w:rsidR="00201FE9" w:rsidRPr="00C86111" w:rsidRDefault="00201FE9" w:rsidP="00201FE9">
      <w:pPr>
        <w:spacing w:line="276" w:lineRule="auto"/>
        <w:ind w:firstLine="720"/>
        <w:rPr>
          <w:rFonts w:asciiTheme="minorHAnsi" w:hAnsiTheme="minorHAnsi" w:cstheme="minorHAnsi"/>
          <w:b/>
          <w:bCs/>
          <w:i/>
          <w:iCs/>
          <w:color w:val="auto"/>
          <w:szCs w:val="24"/>
          <w:lang w:val="sr-Latn-ME"/>
        </w:rPr>
      </w:pPr>
      <w:r w:rsidRPr="00C86111">
        <w:rPr>
          <w:rFonts w:asciiTheme="minorHAnsi" w:eastAsia="Times New Roman" w:hAnsiTheme="minorHAnsi" w:cstheme="minorHAnsi"/>
          <w:color w:val="auto"/>
          <w:szCs w:val="24"/>
          <w:lang w:val="sr-Latn-ME" w:eastAsia="en-GB"/>
        </w:rPr>
        <w:t>Na osnovu prethodne odredbe i podataka o EE otpadu koje je dobio Zavod za statistiku Crne Gore - MONSTAT, u Tabeli 1</w:t>
      </w:r>
      <w:r w:rsidR="00056E0C" w:rsidRPr="00C86111">
        <w:rPr>
          <w:rFonts w:asciiTheme="minorHAnsi" w:eastAsia="Times New Roman" w:hAnsiTheme="minorHAnsi" w:cstheme="minorHAnsi"/>
          <w:color w:val="auto"/>
          <w:szCs w:val="24"/>
          <w:lang w:val="sr-Latn-ME" w:eastAsia="en-GB"/>
        </w:rPr>
        <w:t>14.</w:t>
      </w:r>
      <w:r w:rsidRPr="00C86111">
        <w:rPr>
          <w:rFonts w:asciiTheme="minorHAnsi" w:eastAsia="Times New Roman" w:hAnsiTheme="minorHAnsi" w:cstheme="minorHAnsi"/>
          <w:color w:val="auto"/>
          <w:szCs w:val="24"/>
          <w:lang w:val="sr-Latn-ME" w:eastAsia="en-GB"/>
        </w:rPr>
        <w:t xml:space="preserve"> date su količine SCCP-a za period 2012-2023.</w:t>
      </w:r>
      <w:r w:rsidRPr="00C86111">
        <w:rPr>
          <w:rFonts w:asciiTheme="minorHAnsi" w:hAnsiTheme="minorHAnsi" w:cstheme="minorHAnsi"/>
          <w:b/>
          <w:bCs/>
          <w:i/>
          <w:iCs/>
          <w:color w:val="auto"/>
          <w:szCs w:val="24"/>
          <w:lang w:val="sr-Latn-ME"/>
        </w:rPr>
        <w:t xml:space="preserve">    </w:t>
      </w:r>
    </w:p>
    <w:p w14:paraId="5AE72C2E" w14:textId="77777777" w:rsidR="00201FE9" w:rsidRPr="00C86111" w:rsidRDefault="00201FE9" w:rsidP="00201FE9">
      <w:pPr>
        <w:spacing w:line="276" w:lineRule="auto"/>
        <w:rPr>
          <w:rFonts w:asciiTheme="minorHAnsi" w:hAnsiTheme="minorHAnsi" w:cstheme="minorHAnsi"/>
          <w:b/>
          <w:bCs/>
          <w:i/>
          <w:iCs/>
          <w:color w:val="auto"/>
          <w:szCs w:val="24"/>
          <w:lang w:val="sr-Latn-ME"/>
        </w:rPr>
      </w:pPr>
    </w:p>
    <w:p w14:paraId="7196B899" w14:textId="44279EE8" w:rsidR="00201FE9" w:rsidRPr="00C86111" w:rsidRDefault="00201FE9" w:rsidP="00201FE9">
      <w:pPr>
        <w:spacing w:line="276" w:lineRule="auto"/>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Tabela 1</w:t>
      </w:r>
      <w:r w:rsidR="00056E0C" w:rsidRPr="00C86111">
        <w:rPr>
          <w:rFonts w:asciiTheme="minorHAnsi" w:hAnsiTheme="minorHAnsi" w:cstheme="minorHAnsi"/>
          <w:b/>
          <w:bCs/>
          <w:color w:val="auto"/>
          <w:szCs w:val="24"/>
          <w:lang w:val="sr-Latn-ME"/>
        </w:rPr>
        <w:t>14</w:t>
      </w:r>
      <w:r w:rsidRPr="00C86111">
        <w:rPr>
          <w:rFonts w:asciiTheme="minorHAnsi" w:hAnsiTheme="minorHAnsi" w:cstheme="minorHAnsi"/>
          <w:b/>
          <w:bCs/>
          <w:color w:val="auto"/>
          <w:szCs w:val="24"/>
          <w:lang w:val="sr-Latn-ME"/>
        </w:rPr>
        <w:t xml:space="preserve">. </w:t>
      </w:r>
      <w:r w:rsidRPr="00C86111">
        <w:rPr>
          <w:rFonts w:asciiTheme="minorHAnsi" w:hAnsiTheme="minorHAnsi" w:cstheme="minorHAnsi"/>
          <w:color w:val="auto"/>
          <w:szCs w:val="24"/>
          <w:lang w:val="sr-Latn-ME"/>
        </w:rPr>
        <w:t>Količine SCCP u otpadu od elektronske i električne opreme na osnovu predloženog faktora uticaja od 25 mg/kg</w:t>
      </w:r>
    </w:p>
    <w:tbl>
      <w:tblPr>
        <w:tblStyle w:val="GridTable5Dark-Accent6"/>
        <w:tblW w:w="8803" w:type="dxa"/>
        <w:tblLook w:val="04A0" w:firstRow="1" w:lastRow="0" w:firstColumn="1" w:lastColumn="0" w:noHBand="0" w:noVBand="1"/>
      </w:tblPr>
      <w:tblGrid>
        <w:gridCol w:w="1339"/>
        <w:gridCol w:w="622"/>
        <w:gridCol w:w="622"/>
        <w:gridCol w:w="622"/>
        <w:gridCol w:w="622"/>
        <w:gridCol w:w="622"/>
        <w:gridCol w:w="622"/>
        <w:gridCol w:w="622"/>
        <w:gridCol w:w="622"/>
        <w:gridCol w:w="622"/>
        <w:gridCol w:w="622"/>
        <w:gridCol w:w="622"/>
        <w:gridCol w:w="622"/>
      </w:tblGrid>
      <w:tr w:rsidR="00201FE9" w:rsidRPr="00C86111" w14:paraId="59486025" w14:textId="77777777" w:rsidTr="002E5AB7">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339" w:type="dxa"/>
          </w:tcPr>
          <w:p w14:paraId="09F35D6D" w14:textId="77777777" w:rsidR="00201FE9" w:rsidRPr="00C86111" w:rsidRDefault="00201FE9" w:rsidP="00BC765B">
            <w:pPr>
              <w:spacing w:line="276" w:lineRule="auto"/>
              <w:jc w:val="center"/>
              <w:rPr>
                <w:rFonts w:asciiTheme="minorHAnsi" w:eastAsia="Calibri" w:hAnsiTheme="minorHAnsi" w:cstheme="minorHAnsi"/>
                <w:b w:val="0"/>
                <w:bCs w:val="0"/>
                <w:color w:val="auto"/>
                <w:sz w:val="20"/>
                <w:szCs w:val="20"/>
                <w:lang w:val="sr-Latn-ME"/>
              </w:rPr>
            </w:pPr>
            <w:bookmarkStart w:id="416" w:name="_Hlk208772562"/>
            <w:bookmarkEnd w:id="415"/>
            <w:r w:rsidRPr="00C86111">
              <w:rPr>
                <w:rFonts w:asciiTheme="minorHAnsi" w:hAnsiTheme="minorHAnsi" w:cstheme="minorHAnsi"/>
                <w:color w:val="auto"/>
                <w:sz w:val="20"/>
                <w:szCs w:val="20"/>
                <w:lang w:val="sr-Latn-ME"/>
              </w:rPr>
              <w:t>Godina</w:t>
            </w:r>
          </w:p>
        </w:tc>
        <w:tc>
          <w:tcPr>
            <w:tcW w:w="622" w:type="dxa"/>
          </w:tcPr>
          <w:p w14:paraId="5853E315"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2012</w:t>
            </w:r>
          </w:p>
        </w:tc>
        <w:tc>
          <w:tcPr>
            <w:tcW w:w="622" w:type="dxa"/>
          </w:tcPr>
          <w:p w14:paraId="253B773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2013</w:t>
            </w:r>
          </w:p>
        </w:tc>
        <w:tc>
          <w:tcPr>
            <w:tcW w:w="622" w:type="dxa"/>
          </w:tcPr>
          <w:p w14:paraId="755969F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2014</w:t>
            </w:r>
          </w:p>
        </w:tc>
        <w:tc>
          <w:tcPr>
            <w:tcW w:w="622" w:type="dxa"/>
          </w:tcPr>
          <w:p w14:paraId="02434C01"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2015</w:t>
            </w:r>
          </w:p>
        </w:tc>
        <w:tc>
          <w:tcPr>
            <w:tcW w:w="622" w:type="dxa"/>
          </w:tcPr>
          <w:p w14:paraId="6AC76E0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2016</w:t>
            </w:r>
          </w:p>
        </w:tc>
        <w:tc>
          <w:tcPr>
            <w:tcW w:w="622" w:type="dxa"/>
          </w:tcPr>
          <w:p w14:paraId="7FD5983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2017</w:t>
            </w:r>
          </w:p>
        </w:tc>
        <w:tc>
          <w:tcPr>
            <w:tcW w:w="622" w:type="dxa"/>
          </w:tcPr>
          <w:p w14:paraId="403DE022"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2018</w:t>
            </w:r>
          </w:p>
        </w:tc>
        <w:tc>
          <w:tcPr>
            <w:tcW w:w="622" w:type="dxa"/>
          </w:tcPr>
          <w:p w14:paraId="20CC43F5"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2019</w:t>
            </w:r>
          </w:p>
        </w:tc>
        <w:tc>
          <w:tcPr>
            <w:tcW w:w="622" w:type="dxa"/>
          </w:tcPr>
          <w:p w14:paraId="5757CC0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2020</w:t>
            </w:r>
          </w:p>
        </w:tc>
        <w:tc>
          <w:tcPr>
            <w:tcW w:w="622" w:type="dxa"/>
          </w:tcPr>
          <w:p w14:paraId="5E3BAB1E"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2021</w:t>
            </w:r>
          </w:p>
        </w:tc>
        <w:tc>
          <w:tcPr>
            <w:tcW w:w="622" w:type="dxa"/>
          </w:tcPr>
          <w:p w14:paraId="3220980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2022</w:t>
            </w:r>
          </w:p>
        </w:tc>
        <w:tc>
          <w:tcPr>
            <w:tcW w:w="622" w:type="dxa"/>
          </w:tcPr>
          <w:p w14:paraId="2775479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2023</w:t>
            </w:r>
          </w:p>
        </w:tc>
      </w:tr>
      <w:tr w:rsidR="00201FE9" w:rsidRPr="00C86111" w14:paraId="3D49E157" w14:textId="77777777" w:rsidTr="002E5AB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339" w:type="dxa"/>
          </w:tcPr>
          <w:p w14:paraId="489D41AF" w14:textId="77777777" w:rsidR="00201FE9" w:rsidRPr="00C86111" w:rsidRDefault="00201FE9" w:rsidP="00BC765B">
            <w:pPr>
              <w:spacing w:line="276" w:lineRule="auto"/>
              <w:jc w:val="center"/>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WEEE(t)</w:t>
            </w:r>
          </w:p>
        </w:tc>
        <w:tc>
          <w:tcPr>
            <w:tcW w:w="622" w:type="dxa"/>
          </w:tcPr>
          <w:p w14:paraId="53EDB30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57</w:t>
            </w:r>
          </w:p>
        </w:tc>
        <w:tc>
          <w:tcPr>
            <w:tcW w:w="622" w:type="dxa"/>
          </w:tcPr>
          <w:p w14:paraId="60FA3FA7"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38</w:t>
            </w:r>
          </w:p>
        </w:tc>
        <w:tc>
          <w:tcPr>
            <w:tcW w:w="622" w:type="dxa"/>
          </w:tcPr>
          <w:p w14:paraId="7B68CC4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74</w:t>
            </w:r>
          </w:p>
        </w:tc>
        <w:tc>
          <w:tcPr>
            <w:tcW w:w="622" w:type="dxa"/>
          </w:tcPr>
          <w:p w14:paraId="7E7174C4"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68</w:t>
            </w:r>
          </w:p>
        </w:tc>
        <w:tc>
          <w:tcPr>
            <w:tcW w:w="622" w:type="dxa"/>
          </w:tcPr>
          <w:p w14:paraId="61996D3A"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141</w:t>
            </w:r>
          </w:p>
        </w:tc>
        <w:tc>
          <w:tcPr>
            <w:tcW w:w="622" w:type="dxa"/>
          </w:tcPr>
          <w:p w14:paraId="560024C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85</w:t>
            </w:r>
          </w:p>
        </w:tc>
        <w:tc>
          <w:tcPr>
            <w:tcW w:w="622" w:type="dxa"/>
          </w:tcPr>
          <w:p w14:paraId="5E90F1C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250</w:t>
            </w:r>
          </w:p>
        </w:tc>
        <w:tc>
          <w:tcPr>
            <w:tcW w:w="622" w:type="dxa"/>
          </w:tcPr>
          <w:p w14:paraId="7997BA80"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197</w:t>
            </w:r>
          </w:p>
        </w:tc>
        <w:tc>
          <w:tcPr>
            <w:tcW w:w="622" w:type="dxa"/>
          </w:tcPr>
          <w:p w14:paraId="4CDAB99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144</w:t>
            </w:r>
          </w:p>
        </w:tc>
        <w:tc>
          <w:tcPr>
            <w:tcW w:w="622" w:type="dxa"/>
          </w:tcPr>
          <w:p w14:paraId="7E0E775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254</w:t>
            </w:r>
          </w:p>
        </w:tc>
        <w:tc>
          <w:tcPr>
            <w:tcW w:w="622" w:type="dxa"/>
          </w:tcPr>
          <w:p w14:paraId="0C05729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97</w:t>
            </w:r>
          </w:p>
        </w:tc>
        <w:tc>
          <w:tcPr>
            <w:tcW w:w="622" w:type="dxa"/>
          </w:tcPr>
          <w:p w14:paraId="4809DC0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207</w:t>
            </w:r>
          </w:p>
        </w:tc>
      </w:tr>
      <w:tr w:rsidR="00201FE9" w:rsidRPr="00C86111" w14:paraId="44BABF29" w14:textId="77777777" w:rsidTr="002E5AB7">
        <w:tc>
          <w:tcPr>
            <w:cnfStyle w:val="001000000000" w:firstRow="0" w:lastRow="0" w:firstColumn="1" w:lastColumn="0" w:oddVBand="0" w:evenVBand="0" w:oddHBand="0" w:evenHBand="0" w:firstRowFirstColumn="0" w:firstRowLastColumn="0" w:lastRowFirstColumn="0" w:lastRowLastColumn="0"/>
            <w:tcW w:w="1339" w:type="dxa"/>
          </w:tcPr>
          <w:p w14:paraId="56568B50" w14:textId="77777777" w:rsidR="00201FE9" w:rsidRPr="00C86111" w:rsidRDefault="00201FE9" w:rsidP="00BC765B">
            <w:pPr>
              <w:spacing w:line="276" w:lineRule="auto"/>
              <w:jc w:val="center"/>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Zastupljenost plastike (t)</w:t>
            </w:r>
          </w:p>
        </w:tc>
        <w:tc>
          <w:tcPr>
            <w:tcW w:w="622" w:type="dxa"/>
          </w:tcPr>
          <w:p w14:paraId="512B6B8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12</w:t>
            </w:r>
          </w:p>
        </w:tc>
        <w:tc>
          <w:tcPr>
            <w:tcW w:w="622" w:type="dxa"/>
          </w:tcPr>
          <w:p w14:paraId="09CA0B3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7..5</w:t>
            </w:r>
          </w:p>
        </w:tc>
        <w:tc>
          <w:tcPr>
            <w:tcW w:w="622" w:type="dxa"/>
          </w:tcPr>
          <w:p w14:paraId="271D14A6"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18</w:t>
            </w:r>
          </w:p>
        </w:tc>
        <w:tc>
          <w:tcPr>
            <w:tcW w:w="622" w:type="dxa"/>
          </w:tcPr>
          <w:p w14:paraId="21ADEBB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14</w:t>
            </w:r>
          </w:p>
        </w:tc>
        <w:tc>
          <w:tcPr>
            <w:tcW w:w="622" w:type="dxa"/>
          </w:tcPr>
          <w:p w14:paraId="283882E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28</w:t>
            </w:r>
          </w:p>
        </w:tc>
        <w:tc>
          <w:tcPr>
            <w:tcW w:w="622" w:type="dxa"/>
          </w:tcPr>
          <w:p w14:paraId="1B03A7D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17</w:t>
            </w:r>
          </w:p>
        </w:tc>
        <w:tc>
          <w:tcPr>
            <w:tcW w:w="622" w:type="dxa"/>
          </w:tcPr>
          <w:p w14:paraId="764A087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50</w:t>
            </w:r>
          </w:p>
        </w:tc>
        <w:tc>
          <w:tcPr>
            <w:tcW w:w="622" w:type="dxa"/>
          </w:tcPr>
          <w:p w14:paraId="1132B923"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39</w:t>
            </w:r>
          </w:p>
        </w:tc>
        <w:tc>
          <w:tcPr>
            <w:tcW w:w="622" w:type="dxa"/>
          </w:tcPr>
          <w:p w14:paraId="61F51E5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29</w:t>
            </w:r>
          </w:p>
        </w:tc>
        <w:tc>
          <w:tcPr>
            <w:tcW w:w="622" w:type="dxa"/>
          </w:tcPr>
          <w:p w14:paraId="139A23BC"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51</w:t>
            </w:r>
          </w:p>
        </w:tc>
        <w:tc>
          <w:tcPr>
            <w:tcW w:w="622" w:type="dxa"/>
          </w:tcPr>
          <w:p w14:paraId="1B59B04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20</w:t>
            </w:r>
          </w:p>
        </w:tc>
        <w:tc>
          <w:tcPr>
            <w:tcW w:w="622" w:type="dxa"/>
          </w:tcPr>
          <w:p w14:paraId="5ACB4FA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41</w:t>
            </w:r>
          </w:p>
        </w:tc>
      </w:tr>
      <w:tr w:rsidR="00201FE9" w:rsidRPr="00C86111" w14:paraId="25B29610" w14:textId="77777777" w:rsidTr="002E5AB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339" w:type="dxa"/>
          </w:tcPr>
          <w:p w14:paraId="4B446268" w14:textId="77777777" w:rsidR="00201FE9" w:rsidRPr="00C86111" w:rsidRDefault="00201FE9" w:rsidP="00BC765B">
            <w:pPr>
              <w:spacing w:line="276" w:lineRule="auto"/>
              <w:jc w:val="center"/>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Količina SCCPs (kg)</w:t>
            </w:r>
          </w:p>
        </w:tc>
        <w:tc>
          <w:tcPr>
            <w:tcW w:w="622" w:type="dxa"/>
          </w:tcPr>
          <w:p w14:paraId="198019C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0.3</w:t>
            </w:r>
          </w:p>
        </w:tc>
        <w:tc>
          <w:tcPr>
            <w:tcW w:w="622" w:type="dxa"/>
          </w:tcPr>
          <w:p w14:paraId="626ACE7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0.2</w:t>
            </w:r>
          </w:p>
        </w:tc>
        <w:tc>
          <w:tcPr>
            <w:tcW w:w="622" w:type="dxa"/>
          </w:tcPr>
          <w:p w14:paraId="3680D61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0.4</w:t>
            </w:r>
          </w:p>
        </w:tc>
        <w:tc>
          <w:tcPr>
            <w:tcW w:w="622" w:type="dxa"/>
          </w:tcPr>
          <w:p w14:paraId="07A24F82"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0.3</w:t>
            </w:r>
          </w:p>
        </w:tc>
        <w:tc>
          <w:tcPr>
            <w:tcW w:w="622" w:type="dxa"/>
          </w:tcPr>
          <w:p w14:paraId="78D0DA3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0.7</w:t>
            </w:r>
          </w:p>
        </w:tc>
        <w:tc>
          <w:tcPr>
            <w:tcW w:w="622" w:type="dxa"/>
          </w:tcPr>
          <w:p w14:paraId="7F5014F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0.5</w:t>
            </w:r>
          </w:p>
        </w:tc>
        <w:tc>
          <w:tcPr>
            <w:tcW w:w="622" w:type="dxa"/>
          </w:tcPr>
          <w:p w14:paraId="3E424A4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1.3</w:t>
            </w:r>
          </w:p>
        </w:tc>
        <w:tc>
          <w:tcPr>
            <w:tcW w:w="622" w:type="dxa"/>
          </w:tcPr>
          <w:p w14:paraId="1028AFA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0.9</w:t>
            </w:r>
          </w:p>
        </w:tc>
        <w:tc>
          <w:tcPr>
            <w:tcW w:w="622" w:type="dxa"/>
          </w:tcPr>
          <w:p w14:paraId="03E7916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0.7</w:t>
            </w:r>
          </w:p>
        </w:tc>
        <w:tc>
          <w:tcPr>
            <w:tcW w:w="622" w:type="dxa"/>
          </w:tcPr>
          <w:p w14:paraId="65C2004C"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1.3</w:t>
            </w:r>
          </w:p>
        </w:tc>
        <w:tc>
          <w:tcPr>
            <w:tcW w:w="622" w:type="dxa"/>
          </w:tcPr>
          <w:p w14:paraId="5E92425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0.5</w:t>
            </w:r>
          </w:p>
        </w:tc>
        <w:tc>
          <w:tcPr>
            <w:tcW w:w="622" w:type="dxa"/>
          </w:tcPr>
          <w:p w14:paraId="2C070E0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1.0</w:t>
            </w:r>
          </w:p>
        </w:tc>
      </w:tr>
    </w:tbl>
    <w:p w14:paraId="4F33A407" w14:textId="77777777" w:rsidR="00201FE9" w:rsidRPr="00C86111" w:rsidRDefault="00201FE9" w:rsidP="00201FE9">
      <w:pPr>
        <w:spacing w:line="276" w:lineRule="auto"/>
        <w:rPr>
          <w:rFonts w:asciiTheme="minorHAnsi" w:hAnsiTheme="minorHAnsi" w:cstheme="minorHAnsi"/>
          <w:color w:val="auto"/>
          <w:szCs w:val="24"/>
          <w:lang w:val="sr-Latn-ME"/>
        </w:rPr>
      </w:pPr>
    </w:p>
    <w:p w14:paraId="0B286D93" w14:textId="1AE95854"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 xml:space="preserve">Količine SCCP (kg) u WEEE otpadu za period 2012-2023. godine dobijene pomenutim proračunom prikazane su na Grafiku </w:t>
      </w:r>
      <w:r w:rsidR="00056E0C" w:rsidRPr="00C86111">
        <w:rPr>
          <w:rFonts w:asciiTheme="minorHAnsi" w:hAnsiTheme="minorHAnsi" w:cstheme="minorHAnsi"/>
          <w:color w:val="auto"/>
          <w:szCs w:val="24"/>
          <w:lang w:val="sr-Latn-ME"/>
        </w:rPr>
        <w:t>4</w:t>
      </w:r>
      <w:r w:rsidR="00547278">
        <w:rPr>
          <w:rFonts w:asciiTheme="minorHAnsi" w:hAnsiTheme="minorHAnsi" w:cstheme="minorHAnsi"/>
          <w:color w:val="auto"/>
          <w:szCs w:val="24"/>
          <w:lang w:val="sr-Latn-ME"/>
        </w:rPr>
        <w:t>9</w:t>
      </w:r>
      <w:r w:rsidRPr="00C86111">
        <w:rPr>
          <w:rFonts w:asciiTheme="minorHAnsi" w:hAnsiTheme="minorHAnsi" w:cstheme="minorHAnsi"/>
          <w:color w:val="auto"/>
          <w:szCs w:val="24"/>
          <w:lang w:val="sr-Latn-ME"/>
        </w:rPr>
        <w:t>.</w:t>
      </w:r>
    </w:p>
    <w:p w14:paraId="29004964" w14:textId="77777777" w:rsidR="00201FE9" w:rsidRPr="00C86111" w:rsidRDefault="00201FE9" w:rsidP="00201FE9">
      <w:pPr>
        <w:spacing w:line="276" w:lineRule="auto"/>
        <w:jc w:val="both"/>
        <w:rPr>
          <w:rFonts w:asciiTheme="minorHAnsi" w:hAnsiTheme="minorHAnsi" w:cstheme="minorHAnsi"/>
          <w:color w:val="auto"/>
          <w:szCs w:val="24"/>
          <w:lang w:val="sr-Latn-ME"/>
        </w:rPr>
      </w:pPr>
    </w:p>
    <w:p w14:paraId="0B0C4285" w14:textId="77777777" w:rsidR="00201FE9" w:rsidRPr="00C86111" w:rsidRDefault="00201FE9" w:rsidP="00201FE9">
      <w:pPr>
        <w:spacing w:line="276" w:lineRule="auto"/>
        <w:jc w:val="both"/>
        <w:rPr>
          <w:rFonts w:asciiTheme="minorHAnsi" w:hAnsiTheme="minorHAnsi" w:cstheme="minorHAnsi"/>
          <w:color w:val="auto"/>
          <w:szCs w:val="24"/>
          <w:lang w:val="sr-Latn-ME"/>
        </w:rPr>
      </w:pPr>
    </w:p>
    <w:p w14:paraId="70609CD7" w14:textId="77777777"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noProof/>
          <w:color w:val="auto"/>
          <w:szCs w:val="24"/>
          <w:lang w:val="sr-Latn-ME"/>
        </w:rPr>
        <w:drawing>
          <wp:inline distT="0" distB="0" distL="0" distR="0" wp14:anchorId="42F62EEB" wp14:editId="7972D6B8">
            <wp:extent cx="4572000" cy="1676400"/>
            <wp:effectExtent l="0" t="0" r="0" b="0"/>
            <wp:docPr id="13" name="Chart 13">
              <a:extLst xmlns:a="http://schemas.openxmlformats.org/drawingml/2006/main">
                <a:ext uri="{FF2B5EF4-FFF2-40B4-BE49-F238E27FC236}">
                  <a16:creationId xmlns:a16="http://schemas.microsoft.com/office/drawing/2014/main" id="{673B770A-5C8F-6653-5AEB-D2B4744F1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56DCA9B" w14:textId="42C58630" w:rsidR="00201FE9" w:rsidRPr="00C86111" w:rsidRDefault="00201FE9" w:rsidP="00201FE9">
      <w:pPr>
        <w:spacing w:line="276" w:lineRule="auto"/>
        <w:jc w:val="center"/>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Grafik</w:t>
      </w:r>
      <w:r w:rsidR="00056E0C" w:rsidRPr="00C86111">
        <w:rPr>
          <w:rFonts w:asciiTheme="minorHAnsi" w:hAnsiTheme="minorHAnsi" w:cstheme="minorHAnsi"/>
          <w:b/>
          <w:bCs/>
          <w:color w:val="auto"/>
          <w:szCs w:val="24"/>
          <w:lang w:val="sr-Latn-ME"/>
        </w:rPr>
        <w:t xml:space="preserve"> 4</w:t>
      </w:r>
      <w:r w:rsidR="00547278">
        <w:rPr>
          <w:rFonts w:asciiTheme="minorHAnsi" w:hAnsiTheme="minorHAnsi" w:cstheme="minorHAnsi"/>
          <w:b/>
          <w:bCs/>
          <w:color w:val="auto"/>
          <w:szCs w:val="24"/>
          <w:lang w:val="sr-Latn-ME"/>
        </w:rPr>
        <w:t>9</w:t>
      </w:r>
      <w:r w:rsidRPr="00C86111">
        <w:rPr>
          <w:rFonts w:asciiTheme="minorHAnsi" w:hAnsiTheme="minorHAnsi" w:cstheme="minorHAnsi"/>
          <w:b/>
          <w:bCs/>
          <w:i/>
          <w:iCs/>
          <w:color w:val="auto"/>
          <w:szCs w:val="24"/>
          <w:lang w:val="sr-Latn-ME"/>
        </w:rPr>
        <w:t>.</w:t>
      </w:r>
      <w:r w:rsidRPr="00C86111">
        <w:rPr>
          <w:rFonts w:asciiTheme="minorHAnsi" w:hAnsiTheme="minorHAnsi" w:cstheme="minorHAnsi"/>
          <w:color w:val="auto"/>
          <w:szCs w:val="24"/>
          <w:lang w:val="sr-Latn-ME"/>
        </w:rPr>
        <w:t xml:space="preserve"> Količine SCCP (kg) za period 2012-2023.</w:t>
      </w:r>
    </w:p>
    <w:p w14:paraId="018DF399" w14:textId="77777777" w:rsidR="00201FE9" w:rsidRPr="002E5AB7" w:rsidRDefault="00201FE9" w:rsidP="00004F34">
      <w:pPr>
        <w:pStyle w:val="Heading1"/>
        <w:numPr>
          <w:ilvl w:val="1"/>
          <w:numId w:val="238"/>
        </w:numPr>
        <w:rPr>
          <w:b w:val="0"/>
          <w:bCs/>
        </w:rPr>
      </w:pPr>
      <w:bookmarkStart w:id="417" w:name="_Toc210744980"/>
      <w:bookmarkStart w:id="418" w:name="_Toc220541969"/>
      <w:bookmarkEnd w:id="416"/>
      <w:r w:rsidRPr="002E5AB7">
        <w:rPr>
          <w:rStyle w:val="Strong"/>
          <w:b/>
          <w:bCs w:val="0"/>
          <w:i/>
        </w:rPr>
        <w:t xml:space="preserve">Zaključci – Inventar SCCP </w:t>
      </w:r>
      <w:r w:rsidRPr="002E5AB7">
        <w:rPr>
          <w:b w:val="0"/>
          <w:bCs/>
        </w:rPr>
        <w:t>u otpadnoj električnoj i elektronskoj opremi (WEEE)</w:t>
      </w:r>
      <w:bookmarkEnd w:id="417"/>
      <w:bookmarkEnd w:id="418"/>
    </w:p>
    <w:p w14:paraId="3DC6ECA1" w14:textId="77777777" w:rsidR="00201FE9" w:rsidRPr="00C86111" w:rsidRDefault="00201FE9" w:rsidP="00201FE9">
      <w:pPr>
        <w:rPr>
          <w:rFonts w:asciiTheme="minorHAnsi" w:hAnsiTheme="minorHAnsi" w:cstheme="minorHAnsi"/>
          <w:color w:val="auto"/>
          <w:szCs w:val="24"/>
          <w:lang w:val="sr-Latn-ME"/>
        </w:rPr>
      </w:pPr>
      <w:bookmarkStart w:id="419" w:name="_Toc185247035"/>
    </w:p>
    <w:p w14:paraId="1370B13D" w14:textId="77777777" w:rsidR="00201FE9" w:rsidRPr="00C86111" w:rsidRDefault="00201FE9" w:rsidP="00833A40">
      <w:pPr>
        <w:pStyle w:val="NormalWeb"/>
        <w:numPr>
          <w:ilvl w:val="0"/>
          <w:numId w:val="116"/>
        </w:numPr>
        <w:spacing w:before="0" w:beforeAutospacing="0" w:after="0" w:afterAutospacing="0" w:line="276" w:lineRule="auto"/>
        <w:rPr>
          <w:rFonts w:asciiTheme="minorHAnsi" w:hAnsiTheme="minorHAnsi" w:cstheme="minorHAnsi"/>
          <w:b/>
          <w:color w:val="002060"/>
          <w:lang w:val="sr-Latn-ME"/>
        </w:rPr>
      </w:pPr>
      <w:r w:rsidRPr="00C86111">
        <w:rPr>
          <w:rStyle w:val="Strong"/>
          <w:rFonts w:asciiTheme="minorHAnsi" w:hAnsiTheme="minorHAnsi" w:cstheme="minorHAnsi"/>
          <w:b w:val="0"/>
          <w:color w:val="002060"/>
          <w:lang w:val="sr-Latn-ME"/>
        </w:rPr>
        <w:t>Godišnje količine SCCPs u WEEE (2012–2023)</w:t>
      </w:r>
    </w:p>
    <w:p w14:paraId="654C1A72" w14:textId="77777777" w:rsidR="00201FE9" w:rsidRPr="00C86111" w:rsidRDefault="00201FE9" w:rsidP="00833A40">
      <w:pPr>
        <w:pStyle w:val="NormalWeb"/>
        <w:numPr>
          <w:ilvl w:val="0"/>
          <w:numId w:val="119"/>
        </w:numPr>
        <w:tabs>
          <w:tab w:val="num" w:pos="126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Procijenjeni sadržaj SCCP u WEEE otpadu u Crnoj Gori kretao se između 0,2 kg (2013) i 1,3 kg (2018) godišnje.</w:t>
      </w:r>
    </w:p>
    <w:p w14:paraId="339F647A" w14:textId="77777777" w:rsidR="00201FE9" w:rsidRPr="00C86111" w:rsidRDefault="00201FE9" w:rsidP="00833A40">
      <w:pPr>
        <w:pStyle w:val="NormalWeb"/>
        <w:numPr>
          <w:ilvl w:val="0"/>
          <w:numId w:val="119"/>
        </w:numPr>
        <w:tabs>
          <w:tab w:val="num" w:pos="126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Fluktuacije vrijednosti odražavaju promjenljivu generaciju WEEE i udio plastike u ukupnom elektronskom otpadu.</w:t>
      </w:r>
    </w:p>
    <w:p w14:paraId="04DE66BA" w14:textId="77777777" w:rsidR="00201FE9" w:rsidRPr="00C86111" w:rsidRDefault="00201FE9" w:rsidP="00833A40">
      <w:pPr>
        <w:pStyle w:val="NormalWeb"/>
        <w:numPr>
          <w:ilvl w:val="0"/>
          <w:numId w:val="119"/>
        </w:numPr>
        <w:tabs>
          <w:tab w:val="num" w:pos="126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lastRenderedPageBreak/>
        <w:t>Uprkos niskim apsolutnim vrijednostima, ovi rezultati potvrđuju da SCCP ostaju prisutni u naslijeđenim materijalima u otpadu.</w:t>
      </w:r>
    </w:p>
    <w:p w14:paraId="6317AF35" w14:textId="77777777" w:rsidR="00201FE9" w:rsidRPr="00C86111" w:rsidRDefault="00201FE9" w:rsidP="00833A40">
      <w:pPr>
        <w:pStyle w:val="NormalWeb"/>
        <w:numPr>
          <w:ilvl w:val="0"/>
          <w:numId w:val="116"/>
        </w:numPr>
        <w:tabs>
          <w:tab w:val="num" w:pos="540"/>
        </w:tabs>
        <w:spacing w:before="0" w:beforeAutospacing="0" w:after="0" w:afterAutospacing="0" w:line="276" w:lineRule="auto"/>
        <w:rPr>
          <w:rFonts w:asciiTheme="minorHAnsi" w:hAnsiTheme="minorHAnsi" w:cstheme="minorHAnsi"/>
          <w:b/>
          <w:color w:val="002060"/>
          <w:lang w:val="sr-Latn-ME"/>
        </w:rPr>
      </w:pPr>
      <w:r w:rsidRPr="00C86111">
        <w:rPr>
          <w:rStyle w:val="Strong"/>
          <w:rFonts w:asciiTheme="minorHAnsi" w:hAnsiTheme="minorHAnsi" w:cstheme="minorHAnsi"/>
          <w:b w:val="0"/>
          <w:color w:val="002060"/>
          <w:lang w:val="sr-Latn-ME"/>
        </w:rPr>
        <w:t>Trendovi i rizici</w:t>
      </w:r>
    </w:p>
    <w:p w14:paraId="1EA96297" w14:textId="77777777" w:rsidR="00201FE9" w:rsidRPr="00C86111" w:rsidRDefault="00201FE9" w:rsidP="00833A40">
      <w:pPr>
        <w:pStyle w:val="NormalWeb"/>
        <w:numPr>
          <w:ilvl w:val="0"/>
          <w:numId w:val="118"/>
        </w:numPr>
        <w:tabs>
          <w:tab w:val="num" w:pos="117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Količine SCCP u WEEE su relativno male u poređenju sa drugim sektorima (npr. guma, PVC proizvodi ili vozila).</w:t>
      </w:r>
    </w:p>
    <w:p w14:paraId="633808A1" w14:textId="77777777" w:rsidR="00201FE9" w:rsidRPr="00C86111" w:rsidRDefault="00201FE9" w:rsidP="00833A40">
      <w:pPr>
        <w:pStyle w:val="NormalWeb"/>
        <w:numPr>
          <w:ilvl w:val="0"/>
          <w:numId w:val="118"/>
        </w:numPr>
        <w:tabs>
          <w:tab w:val="num" w:pos="117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Međutim, reciklaža i odlaganje WEEE plastike predstavljaju rizik od nekontrolisanog ispuštanja SCCP u životnu sredinu ako se njima ne upravlja pravilno.</w:t>
      </w:r>
    </w:p>
    <w:p w14:paraId="77AFF727" w14:textId="77777777" w:rsidR="00201FE9" w:rsidRPr="00C86111" w:rsidRDefault="00201FE9" w:rsidP="00833A40">
      <w:pPr>
        <w:pStyle w:val="NormalWeb"/>
        <w:numPr>
          <w:ilvl w:val="0"/>
          <w:numId w:val="118"/>
        </w:numPr>
        <w:tabs>
          <w:tab w:val="num" w:pos="117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Uvezena električna i elektronska oprema može poticati iz regiona gde se SCCP još uvijek koriste, što predstavlja potencijalni kontinuirani izvor.</w:t>
      </w:r>
    </w:p>
    <w:p w14:paraId="34A99E3C" w14:textId="77777777" w:rsidR="00201FE9" w:rsidRPr="00C86111" w:rsidRDefault="00201FE9" w:rsidP="00833A40">
      <w:pPr>
        <w:pStyle w:val="NormalWeb"/>
        <w:numPr>
          <w:ilvl w:val="0"/>
          <w:numId w:val="116"/>
        </w:numPr>
        <w:spacing w:before="0" w:beforeAutospacing="0" w:after="0" w:afterAutospacing="0" w:line="276" w:lineRule="auto"/>
        <w:rPr>
          <w:rFonts w:asciiTheme="minorHAnsi" w:hAnsiTheme="minorHAnsi" w:cstheme="minorHAnsi"/>
          <w:b/>
          <w:color w:val="002060"/>
          <w:lang w:val="sr-Latn-ME"/>
        </w:rPr>
      </w:pPr>
      <w:r w:rsidRPr="00C86111">
        <w:rPr>
          <w:rStyle w:val="Strong"/>
          <w:rFonts w:asciiTheme="minorHAnsi" w:hAnsiTheme="minorHAnsi" w:cstheme="minorHAnsi"/>
          <w:b w:val="0"/>
          <w:color w:val="002060"/>
          <w:lang w:val="sr-Latn-ME"/>
        </w:rPr>
        <w:t>Implikacije za upravljanje otpadom i izveštavanje prema Stokholmskoj konvenciji</w:t>
      </w:r>
    </w:p>
    <w:p w14:paraId="6A28426E" w14:textId="77777777" w:rsidR="00201FE9" w:rsidRPr="00C86111" w:rsidRDefault="00201FE9" w:rsidP="00833A40">
      <w:pPr>
        <w:pStyle w:val="NormalWeb"/>
        <w:numPr>
          <w:ilvl w:val="0"/>
          <w:numId w:val="117"/>
        </w:numPr>
        <w:tabs>
          <w:tab w:val="num" w:pos="117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Iako je procijenjeni sadržaj SCCP samo nekoliko kilograma godišnje, WEEE ostaje prioritetni izvor otpada za praćenje zbog svoje složenosti i potencijala za difuzne emisije.</w:t>
      </w:r>
    </w:p>
    <w:p w14:paraId="25895F9D" w14:textId="77777777" w:rsidR="00201FE9" w:rsidRPr="00C86111" w:rsidRDefault="00201FE9" w:rsidP="00833A40">
      <w:pPr>
        <w:pStyle w:val="NormalWeb"/>
        <w:numPr>
          <w:ilvl w:val="0"/>
          <w:numId w:val="117"/>
        </w:numPr>
        <w:tabs>
          <w:tab w:val="num" w:pos="117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Rezultati ističu potrebu za:</w:t>
      </w:r>
    </w:p>
    <w:p w14:paraId="2225C1DC" w14:textId="77777777" w:rsidR="00201FE9" w:rsidRPr="00C86111" w:rsidRDefault="00201FE9" w:rsidP="00833A40">
      <w:pPr>
        <w:pStyle w:val="NormalWeb"/>
        <w:numPr>
          <w:ilvl w:val="2"/>
          <w:numId w:val="120"/>
        </w:numPr>
        <w:tabs>
          <w:tab w:val="num" w:pos="117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Bezbjedne prakse reciklaže i odlaganja WEEE plastike;</w:t>
      </w:r>
    </w:p>
    <w:p w14:paraId="1D8AD4C3" w14:textId="77777777" w:rsidR="00201FE9" w:rsidRPr="00C86111" w:rsidRDefault="00201FE9" w:rsidP="00833A40">
      <w:pPr>
        <w:pStyle w:val="NormalWeb"/>
        <w:numPr>
          <w:ilvl w:val="2"/>
          <w:numId w:val="120"/>
        </w:numPr>
        <w:tabs>
          <w:tab w:val="num" w:pos="117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Pojačanu kontroluuvoza električne i elektronske robe;</w:t>
      </w:r>
    </w:p>
    <w:p w14:paraId="72110D63" w14:textId="77777777" w:rsidR="00201FE9" w:rsidRPr="00C86111" w:rsidRDefault="00201FE9" w:rsidP="00833A40">
      <w:pPr>
        <w:pStyle w:val="NormalWeb"/>
        <w:numPr>
          <w:ilvl w:val="2"/>
          <w:numId w:val="120"/>
        </w:numPr>
        <w:tabs>
          <w:tab w:val="num" w:pos="117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Uključivanje WEEE u Nacionalni implementacioni plan (NIP) Crne Gore kao relevantnog, mada manje važnog, izvora SCCP.</w:t>
      </w:r>
    </w:p>
    <w:p w14:paraId="133B72EC" w14:textId="77777777" w:rsidR="00201FE9" w:rsidRPr="00C86111" w:rsidRDefault="00201FE9" w:rsidP="00201FE9">
      <w:pPr>
        <w:pStyle w:val="NormalWeb"/>
        <w:tabs>
          <w:tab w:val="num" w:pos="2160"/>
        </w:tabs>
        <w:spacing w:before="0" w:beforeAutospacing="0" w:after="0" w:afterAutospacing="0" w:line="276" w:lineRule="auto"/>
        <w:rPr>
          <w:rFonts w:asciiTheme="minorHAnsi" w:hAnsiTheme="minorHAnsi" w:cstheme="minorHAnsi"/>
          <w:lang w:val="sr-Latn-ME"/>
        </w:rPr>
      </w:pPr>
    </w:p>
    <w:p w14:paraId="2AB38399" w14:textId="77777777" w:rsidR="00201FE9" w:rsidRDefault="00201FE9" w:rsidP="00004F34">
      <w:pPr>
        <w:pStyle w:val="Heading1"/>
        <w:numPr>
          <w:ilvl w:val="1"/>
          <w:numId w:val="238"/>
        </w:numPr>
      </w:pPr>
      <w:bookmarkStart w:id="420" w:name="_Toc210744981"/>
      <w:bookmarkStart w:id="421" w:name="_Toc220541970"/>
      <w:r w:rsidRPr="00C86111">
        <w:t xml:space="preserve">Rezultati inventara SCCP  </w:t>
      </w:r>
      <w:bookmarkEnd w:id="419"/>
      <w:r w:rsidRPr="00C86111">
        <w:t>u sektoru vozila i transporta</w:t>
      </w:r>
      <w:bookmarkEnd w:id="420"/>
      <w:bookmarkEnd w:id="421"/>
    </w:p>
    <w:p w14:paraId="02623486" w14:textId="77777777" w:rsidR="00855068" w:rsidRPr="00855068" w:rsidRDefault="00855068" w:rsidP="00855068"/>
    <w:p w14:paraId="1129F41A" w14:textId="77777777" w:rsidR="00201FE9" w:rsidRPr="00C86111" w:rsidRDefault="00201FE9" w:rsidP="00201FE9">
      <w:pPr>
        <w:spacing w:line="276" w:lineRule="auto"/>
        <w:jc w:val="both"/>
        <w:rPr>
          <w:rFonts w:asciiTheme="minorHAnsi" w:hAnsiTheme="minorHAnsi" w:cstheme="minorHAnsi"/>
          <w:color w:val="auto"/>
          <w:szCs w:val="24"/>
          <w:lang w:val="sr-Latn-ME"/>
        </w:rPr>
      </w:pPr>
      <w:bookmarkStart w:id="422" w:name="_Hlk184586032"/>
      <w:r w:rsidRPr="00C86111">
        <w:rPr>
          <w:rFonts w:asciiTheme="minorHAnsi" w:hAnsiTheme="minorHAnsi" w:cstheme="minorHAnsi"/>
          <w:color w:val="auto"/>
          <w:szCs w:val="24"/>
          <w:lang w:val="sr-Latn-ME"/>
        </w:rPr>
        <w:t xml:space="preserve">SCCP se u transportnom sektoru koristi kao plastifikator i sredstvo za usporavanje gorenja u kablovima i drugim PVC i gumenim djelovima u vozilima. Takođe, SCCP se koriste u završnoj obradi tekstila kao sredstvo za usporavanje gorenja i vodoodbojnost za tekstil sa zadnjim premazom, uključujući tapacir za sjedišta u transportnim primjenama i unutrašnji tekstil kao što su roletne i zavjese. CP se koriste kao aditiv u PVC. Početna mjerenja ASR u Japanu (2 do 8 mg/kg) </w:t>
      </w:r>
      <w:r w:rsidRPr="00C86111">
        <w:rPr>
          <w:rFonts w:asciiTheme="minorHAnsi" w:hAnsiTheme="minorHAnsi" w:cstheme="minorHAnsi"/>
          <w:color w:val="002060"/>
          <w:szCs w:val="24"/>
          <w:lang w:val="sr-Latn-ME"/>
        </w:rPr>
        <w:t xml:space="preserve">(10) </w:t>
      </w:r>
      <w:r w:rsidRPr="00C86111">
        <w:rPr>
          <w:rFonts w:asciiTheme="minorHAnsi" w:hAnsiTheme="minorHAnsi" w:cstheme="minorHAnsi"/>
          <w:color w:val="auto"/>
          <w:szCs w:val="24"/>
          <w:lang w:val="sr-Latn-ME"/>
        </w:rPr>
        <w:t>i Evropi (16 mg/kg) (Norveška agencija za životnu sredinu 2021) pokazuju da su nivoi niski, što odgovara prosječnoj koncentraciji od približno 2,4 g SCCP/automobil (uzimajući u obzir prosječnu količinu ASR od 300 kg po automobilu (20% ASR vozila srednje veličine od 1500 kg) (9).</w:t>
      </w:r>
    </w:p>
    <w:p w14:paraId="658B7F06" w14:textId="77777777" w:rsidR="00201FE9" w:rsidRPr="00C86111" w:rsidRDefault="00201FE9" w:rsidP="00EA6904">
      <w:pPr>
        <w:pStyle w:val="Heading4"/>
      </w:pPr>
      <w:bookmarkStart w:id="423" w:name="_Toc210744982"/>
      <w:r w:rsidRPr="00C86111">
        <w:t>Vozila u upotrebi u Crnoj Gori</w:t>
      </w:r>
      <w:bookmarkEnd w:id="423"/>
    </w:p>
    <w:bookmarkEnd w:id="422"/>
    <w:p w14:paraId="77900687" w14:textId="4A60C7A1" w:rsidR="00201FE9" w:rsidRPr="00C86111" w:rsidRDefault="00201FE9" w:rsidP="00201FE9">
      <w:pPr>
        <w:spacing w:line="276" w:lineRule="auto"/>
        <w:jc w:val="both"/>
        <w:rPr>
          <w:rFonts w:asciiTheme="minorHAnsi" w:hAnsiTheme="minorHAnsi" w:cstheme="minorHAnsi"/>
          <w:bCs/>
          <w:color w:val="auto"/>
          <w:szCs w:val="24"/>
          <w:lang w:val="sr-Latn-ME"/>
        </w:rPr>
      </w:pPr>
      <w:r w:rsidRPr="00C86111">
        <w:rPr>
          <w:rFonts w:asciiTheme="minorHAnsi" w:hAnsiTheme="minorHAnsi" w:cstheme="minorHAnsi"/>
          <w:bCs/>
          <w:color w:val="auto"/>
          <w:szCs w:val="24"/>
          <w:lang w:val="sr-Latn-ME"/>
        </w:rPr>
        <w:t>Kada je riječ o vozilima u upotrebi, inventar je zasnovan na činjenici da su svi registrovani automobili zaista u upotrebi. Podaci o broju registrovanih vozila dobijeni su od Ministarstva unutrašnjih poslova. Na osnovu prethodnog predloga za aproksimaciju količine od 2,4 g SCCP po vozilu i prikupljenih podataka o broju vozila, broj vozila kao i količina SCCP za period 2017-2023. dati su u Tabeli 1</w:t>
      </w:r>
      <w:r w:rsidR="00DE40D4" w:rsidRPr="00C86111">
        <w:rPr>
          <w:rFonts w:asciiTheme="minorHAnsi" w:hAnsiTheme="minorHAnsi" w:cstheme="minorHAnsi"/>
          <w:bCs/>
          <w:color w:val="auto"/>
          <w:szCs w:val="24"/>
          <w:lang w:val="sr-Latn-ME"/>
        </w:rPr>
        <w:t>15</w:t>
      </w:r>
      <w:r w:rsidRPr="00C86111">
        <w:rPr>
          <w:rFonts w:asciiTheme="minorHAnsi" w:hAnsiTheme="minorHAnsi" w:cstheme="minorHAnsi"/>
          <w:bCs/>
          <w:color w:val="auto"/>
          <w:szCs w:val="24"/>
          <w:lang w:val="sr-Latn-ME"/>
        </w:rPr>
        <w:t>.</w:t>
      </w:r>
    </w:p>
    <w:p w14:paraId="6B577109" w14:textId="5FE67DEB" w:rsidR="00201FE9" w:rsidRPr="00C86111" w:rsidRDefault="00201FE9" w:rsidP="00201FE9">
      <w:pPr>
        <w:spacing w:line="276" w:lineRule="auto"/>
        <w:rPr>
          <w:rFonts w:asciiTheme="minorHAnsi" w:hAnsiTheme="minorHAnsi" w:cstheme="minorHAnsi"/>
          <w:b/>
          <w:bCs/>
          <w:i/>
          <w:iCs/>
          <w:color w:val="auto"/>
          <w:szCs w:val="24"/>
          <w:lang w:val="sr-Latn-ME"/>
        </w:rPr>
      </w:pPr>
    </w:p>
    <w:p w14:paraId="14985A30" w14:textId="051D411C" w:rsidR="00201FE9" w:rsidRPr="00C86111" w:rsidRDefault="00201FE9" w:rsidP="00201FE9">
      <w:pPr>
        <w:spacing w:line="276" w:lineRule="auto"/>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Tabela 1</w:t>
      </w:r>
      <w:r w:rsidR="00DE40D4" w:rsidRPr="00C86111">
        <w:rPr>
          <w:rFonts w:asciiTheme="minorHAnsi" w:hAnsiTheme="minorHAnsi" w:cstheme="minorHAnsi"/>
          <w:b/>
          <w:bCs/>
          <w:color w:val="auto"/>
          <w:szCs w:val="24"/>
          <w:lang w:val="sr-Latn-ME"/>
        </w:rPr>
        <w:t>15</w:t>
      </w:r>
      <w:r w:rsidRPr="00C86111">
        <w:rPr>
          <w:rFonts w:asciiTheme="minorHAnsi" w:hAnsiTheme="minorHAnsi" w:cstheme="minorHAnsi"/>
          <w:color w:val="auto"/>
          <w:szCs w:val="24"/>
          <w:lang w:val="sr-Latn-ME"/>
        </w:rPr>
        <w:t>. Količina SCCP u vozilima u upotrebi bazirano na aproksimaciji od 2,4 g po vozilu</w:t>
      </w:r>
    </w:p>
    <w:tbl>
      <w:tblPr>
        <w:tblStyle w:val="GridTable5Dark-Accent6"/>
        <w:tblW w:w="9355" w:type="dxa"/>
        <w:tblLook w:val="04A0" w:firstRow="1" w:lastRow="0" w:firstColumn="1" w:lastColumn="0" w:noHBand="0" w:noVBand="1"/>
      </w:tblPr>
      <w:tblGrid>
        <w:gridCol w:w="1521"/>
        <w:gridCol w:w="825"/>
        <w:gridCol w:w="989"/>
        <w:gridCol w:w="1079"/>
        <w:gridCol w:w="989"/>
        <w:gridCol w:w="1526"/>
        <w:gridCol w:w="1347"/>
        <w:gridCol w:w="1079"/>
      </w:tblGrid>
      <w:tr w:rsidR="00201FE9" w:rsidRPr="00C86111" w14:paraId="5638F502" w14:textId="77777777" w:rsidTr="0085506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21" w:type="dxa"/>
          </w:tcPr>
          <w:p w14:paraId="315260AE" w14:textId="77777777" w:rsidR="00201FE9" w:rsidRPr="00C86111" w:rsidRDefault="00201FE9" w:rsidP="00BC765B">
            <w:pPr>
              <w:spacing w:line="276" w:lineRule="auto"/>
              <w:jc w:val="center"/>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Godina</w:t>
            </w:r>
          </w:p>
        </w:tc>
        <w:tc>
          <w:tcPr>
            <w:tcW w:w="825" w:type="dxa"/>
          </w:tcPr>
          <w:p w14:paraId="4053CC9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2017</w:t>
            </w:r>
          </w:p>
        </w:tc>
        <w:tc>
          <w:tcPr>
            <w:tcW w:w="989" w:type="dxa"/>
          </w:tcPr>
          <w:p w14:paraId="69DCFE2B"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2018</w:t>
            </w:r>
          </w:p>
        </w:tc>
        <w:tc>
          <w:tcPr>
            <w:tcW w:w="1079" w:type="dxa"/>
          </w:tcPr>
          <w:p w14:paraId="5E0FA9B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2019</w:t>
            </w:r>
          </w:p>
        </w:tc>
        <w:tc>
          <w:tcPr>
            <w:tcW w:w="989" w:type="dxa"/>
          </w:tcPr>
          <w:p w14:paraId="19EF83A4"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2020</w:t>
            </w:r>
          </w:p>
        </w:tc>
        <w:tc>
          <w:tcPr>
            <w:tcW w:w="1526" w:type="dxa"/>
          </w:tcPr>
          <w:p w14:paraId="1499E51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2021</w:t>
            </w:r>
          </w:p>
        </w:tc>
        <w:tc>
          <w:tcPr>
            <w:tcW w:w="1347" w:type="dxa"/>
          </w:tcPr>
          <w:p w14:paraId="6EF6C499"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2022</w:t>
            </w:r>
          </w:p>
        </w:tc>
        <w:tc>
          <w:tcPr>
            <w:tcW w:w="1079" w:type="dxa"/>
          </w:tcPr>
          <w:p w14:paraId="0BE11D98"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hAnsiTheme="minorHAnsi" w:cstheme="minorHAnsi"/>
                <w:color w:val="auto"/>
                <w:sz w:val="20"/>
                <w:szCs w:val="20"/>
                <w:lang w:val="sr-Latn-ME"/>
              </w:rPr>
              <w:t>2023</w:t>
            </w:r>
          </w:p>
        </w:tc>
      </w:tr>
      <w:tr w:rsidR="00201FE9" w:rsidRPr="00C86111" w14:paraId="44A7FCA6" w14:textId="77777777" w:rsidTr="0085506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521" w:type="dxa"/>
          </w:tcPr>
          <w:p w14:paraId="621C2EAF" w14:textId="77777777" w:rsidR="00201FE9" w:rsidRPr="00C86111" w:rsidRDefault="00201FE9" w:rsidP="00BC765B">
            <w:pPr>
              <w:spacing w:line="276" w:lineRule="auto"/>
              <w:jc w:val="center"/>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Broj vozila</w:t>
            </w:r>
          </w:p>
        </w:tc>
        <w:tc>
          <w:tcPr>
            <w:tcW w:w="825" w:type="dxa"/>
          </w:tcPr>
          <w:p w14:paraId="6E37CB0F"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154092</w:t>
            </w:r>
          </w:p>
        </w:tc>
        <w:tc>
          <w:tcPr>
            <w:tcW w:w="989" w:type="dxa"/>
          </w:tcPr>
          <w:p w14:paraId="6D75F65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176099</w:t>
            </w:r>
          </w:p>
        </w:tc>
        <w:tc>
          <w:tcPr>
            <w:tcW w:w="1079" w:type="dxa"/>
          </w:tcPr>
          <w:p w14:paraId="61780CB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199506</w:t>
            </w:r>
          </w:p>
        </w:tc>
        <w:tc>
          <w:tcPr>
            <w:tcW w:w="989" w:type="dxa"/>
          </w:tcPr>
          <w:p w14:paraId="558BDF3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195602</w:t>
            </w:r>
          </w:p>
        </w:tc>
        <w:tc>
          <w:tcPr>
            <w:tcW w:w="1526" w:type="dxa"/>
          </w:tcPr>
          <w:p w14:paraId="71FEC63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213966</w:t>
            </w:r>
          </w:p>
        </w:tc>
        <w:tc>
          <w:tcPr>
            <w:tcW w:w="1347" w:type="dxa"/>
          </w:tcPr>
          <w:p w14:paraId="56076DF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227934</w:t>
            </w:r>
          </w:p>
        </w:tc>
        <w:tc>
          <w:tcPr>
            <w:tcW w:w="1079" w:type="dxa"/>
          </w:tcPr>
          <w:p w14:paraId="7612A745"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252501</w:t>
            </w:r>
          </w:p>
        </w:tc>
      </w:tr>
      <w:tr w:rsidR="00201FE9" w:rsidRPr="00C86111" w14:paraId="06DE474E" w14:textId="77777777" w:rsidTr="00855068">
        <w:trPr>
          <w:trHeight w:val="445"/>
        </w:trPr>
        <w:tc>
          <w:tcPr>
            <w:cnfStyle w:val="001000000000" w:firstRow="0" w:lastRow="0" w:firstColumn="1" w:lastColumn="0" w:oddVBand="0" w:evenVBand="0" w:oddHBand="0" w:evenHBand="0" w:firstRowFirstColumn="0" w:firstRowLastColumn="0" w:lastRowFirstColumn="0" w:lastRowLastColumn="0"/>
            <w:tcW w:w="1521" w:type="dxa"/>
          </w:tcPr>
          <w:p w14:paraId="7B944C6F" w14:textId="77777777" w:rsidR="00201FE9" w:rsidRPr="00C86111" w:rsidRDefault="00201FE9" w:rsidP="00BC765B">
            <w:pPr>
              <w:spacing w:line="276" w:lineRule="auto"/>
              <w:jc w:val="center"/>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Količina SCCP (kg)</w:t>
            </w:r>
          </w:p>
        </w:tc>
        <w:tc>
          <w:tcPr>
            <w:tcW w:w="825" w:type="dxa"/>
          </w:tcPr>
          <w:p w14:paraId="0345404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370</w:t>
            </w:r>
          </w:p>
        </w:tc>
        <w:tc>
          <w:tcPr>
            <w:tcW w:w="989" w:type="dxa"/>
          </w:tcPr>
          <w:p w14:paraId="12BEAFE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423</w:t>
            </w:r>
          </w:p>
        </w:tc>
        <w:tc>
          <w:tcPr>
            <w:tcW w:w="1079" w:type="dxa"/>
          </w:tcPr>
          <w:p w14:paraId="386E931A"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467</w:t>
            </w:r>
          </w:p>
        </w:tc>
        <w:tc>
          <w:tcPr>
            <w:tcW w:w="989" w:type="dxa"/>
          </w:tcPr>
          <w:p w14:paraId="050E0BB0"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469</w:t>
            </w:r>
          </w:p>
        </w:tc>
        <w:tc>
          <w:tcPr>
            <w:tcW w:w="1526" w:type="dxa"/>
          </w:tcPr>
          <w:p w14:paraId="06E31E1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513</w:t>
            </w:r>
          </w:p>
        </w:tc>
        <w:tc>
          <w:tcPr>
            <w:tcW w:w="1347" w:type="dxa"/>
          </w:tcPr>
          <w:p w14:paraId="5206AA01"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547</w:t>
            </w:r>
          </w:p>
        </w:tc>
        <w:tc>
          <w:tcPr>
            <w:tcW w:w="1079" w:type="dxa"/>
          </w:tcPr>
          <w:p w14:paraId="64B4CB0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hAnsiTheme="minorHAnsi" w:cstheme="minorHAnsi"/>
                <w:color w:val="auto"/>
                <w:sz w:val="20"/>
                <w:szCs w:val="20"/>
                <w:lang w:val="sr-Latn-ME"/>
              </w:rPr>
              <w:t>606</w:t>
            </w:r>
          </w:p>
        </w:tc>
      </w:tr>
    </w:tbl>
    <w:p w14:paraId="18623ACE" w14:textId="77777777" w:rsidR="00201FE9" w:rsidRPr="00C86111" w:rsidRDefault="00201FE9" w:rsidP="00201FE9">
      <w:pPr>
        <w:spacing w:line="276" w:lineRule="auto"/>
        <w:rPr>
          <w:rFonts w:asciiTheme="minorHAnsi" w:hAnsiTheme="minorHAnsi" w:cstheme="minorHAnsi"/>
          <w:color w:val="auto"/>
          <w:szCs w:val="24"/>
          <w:lang w:val="sr-Latn-ME"/>
        </w:rPr>
      </w:pPr>
    </w:p>
    <w:p w14:paraId="60AD0CB1" w14:textId="77777777" w:rsidR="00201FE9" w:rsidRPr="00C86111" w:rsidRDefault="00201FE9" w:rsidP="00EA6904">
      <w:pPr>
        <w:pStyle w:val="Heading4"/>
      </w:pPr>
      <w:bookmarkStart w:id="424" w:name="_Toc210744983"/>
      <w:r w:rsidRPr="00C86111">
        <w:t>Uvezena vozila u Crnoj Gori</w:t>
      </w:r>
      <w:bookmarkEnd w:id="424"/>
    </w:p>
    <w:p w14:paraId="69CCC61A" w14:textId="77777777" w:rsidR="00201FE9" w:rsidRPr="00C86111" w:rsidRDefault="00201FE9" w:rsidP="00201FE9">
      <w:pPr>
        <w:rPr>
          <w:i/>
          <w:iCs/>
          <w:color w:val="002060"/>
          <w:lang w:val="sr-Latn-ME"/>
        </w:rPr>
      </w:pPr>
    </w:p>
    <w:p w14:paraId="6FD8D18C" w14:textId="415E7ED3" w:rsidR="00201FE9" w:rsidRPr="00C86111" w:rsidRDefault="00201FE9" w:rsidP="00201FE9">
      <w:pPr>
        <w:spacing w:line="276" w:lineRule="auto"/>
        <w:jc w:val="both"/>
        <w:rPr>
          <w:rFonts w:asciiTheme="minorHAnsi" w:eastAsia="MS Gothic" w:hAnsiTheme="minorHAnsi" w:cstheme="minorHAnsi"/>
          <w:iCs/>
          <w:color w:val="auto"/>
          <w:szCs w:val="24"/>
          <w:lang w:val="sr-Latn-ME"/>
        </w:rPr>
      </w:pPr>
      <w:r w:rsidRPr="00C86111">
        <w:rPr>
          <w:rFonts w:asciiTheme="minorHAnsi" w:eastAsia="MS Gothic" w:hAnsiTheme="minorHAnsi" w:cstheme="minorHAnsi"/>
          <w:iCs/>
          <w:color w:val="auto"/>
          <w:szCs w:val="24"/>
          <w:lang w:val="sr-Latn-ME"/>
        </w:rPr>
        <w:t>Podaci o broju uvezenih vozila dobijeni su od Mašinskog fakulteta - Centra za motore i vozila - koji, u skladu sa Zakonom o bezbednosti saobraćaja na putevima, vrši homologaciju vozila. Na osnovu prethodnog predloga za aproksimaciju količine od 2,4 g SCCP po vozilu i prikupljenih podataka o broju uvezenih vozila, količina SCCP za period 2017-2023. data je u Tabeli 1</w:t>
      </w:r>
      <w:r w:rsidR="00DE40D4" w:rsidRPr="00C86111">
        <w:rPr>
          <w:rFonts w:asciiTheme="minorHAnsi" w:eastAsia="MS Gothic" w:hAnsiTheme="minorHAnsi" w:cstheme="minorHAnsi"/>
          <w:iCs/>
          <w:color w:val="auto"/>
          <w:szCs w:val="24"/>
          <w:lang w:val="sr-Latn-ME"/>
        </w:rPr>
        <w:t>16</w:t>
      </w:r>
      <w:r w:rsidRPr="00C86111">
        <w:rPr>
          <w:rFonts w:asciiTheme="minorHAnsi" w:eastAsia="MS Gothic" w:hAnsiTheme="minorHAnsi" w:cstheme="minorHAnsi"/>
          <w:iCs/>
          <w:color w:val="auto"/>
          <w:szCs w:val="24"/>
          <w:lang w:val="sr-Latn-ME"/>
        </w:rPr>
        <w:t>.</w:t>
      </w:r>
    </w:p>
    <w:p w14:paraId="6BEBDC98" w14:textId="77777777" w:rsidR="00201FE9" w:rsidRDefault="00201FE9" w:rsidP="00201FE9">
      <w:pPr>
        <w:spacing w:line="276" w:lineRule="auto"/>
        <w:jc w:val="both"/>
        <w:rPr>
          <w:rFonts w:asciiTheme="minorHAnsi" w:eastAsia="MS Gothic" w:hAnsiTheme="minorHAnsi" w:cstheme="minorHAnsi"/>
          <w:iCs/>
          <w:color w:val="auto"/>
          <w:szCs w:val="24"/>
          <w:lang w:val="sr-Latn-ME"/>
        </w:rPr>
      </w:pPr>
    </w:p>
    <w:p w14:paraId="527AB36C" w14:textId="705C4345" w:rsidR="00201FE9" w:rsidRPr="00C86111" w:rsidRDefault="00201FE9" w:rsidP="00201FE9">
      <w:pPr>
        <w:spacing w:line="276" w:lineRule="auto"/>
        <w:rPr>
          <w:rFonts w:asciiTheme="minorHAnsi" w:hAnsiTheme="minorHAnsi" w:cstheme="minorHAnsi"/>
          <w:color w:val="auto"/>
          <w:szCs w:val="24"/>
          <w:lang w:val="sr-Latn-ME"/>
        </w:rPr>
      </w:pPr>
      <w:r w:rsidRPr="00C86111">
        <w:rPr>
          <w:rFonts w:asciiTheme="minorHAnsi" w:hAnsiTheme="minorHAnsi" w:cstheme="minorHAnsi"/>
          <w:b/>
          <w:bCs/>
          <w:color w:val="auto"/>
          <w:szCs w:val="24"/>
          <w:lang w:val="sr-Latn-ME"/>
        </w:rPr>
        <w:t>Tabela 1</w:t>
      </w:r>
      <w:r w:rsidR="00DE40D4" w:rsidRPr="00C86111">
        <w:rPr>
          <w:rFonts w:asciiTheme="minorHAnsi" w:hAnsiTheme="minorHAnsi" w:cstheme="minorHAnsi"/>
          <w:b/>
          <w:bCs/>
          <w:color w:val="auto"/>
          <w:szCs w:val="24"/>
          <w:lang w:val="sr-Latn-ME"/>
        </w:rPr>
        <w:t>16</w:t>
      </w:r>
      <w:r w:rsidRPr="00C86111">
        <w:rPr>
          <w:rFonts w:asciiTheme="minorHAnsi" w:hAnsiTheme="minorHAnsi" w:cstheme="minorHAnsi"/>
          <w:color w:val="auto"/>
          <w:szCs w:val="24"/>
          <w:lang w:val="sr-Latn-ME"/>
        </w:rPr>
        <w:t>. Količina SCCP u uvezenim vozilima bazirano na aproksimaciji od 2,4 g po vozilu</w:t>
      </w:r>
    </w:p>
    <w:tbl>
      <w:tblPr>
        <w:tblStyle w:val="GridTable5Dark-Accent6"/>
        <w:tblW w:w="8995" w:type="dxa"/>
        <w:tblLook w:val="04A0" w:firstRow="1" w:lastRow="0" w:firstColumn="1" w:lastColumn="0" w:noHBand="0" w:noVBand="1"/>
      </w:tblPr>
      <w:tblGrid>
        <w:gridCol w:w="1872"/>
        <w:gridCol w:w="2353"/>
        <w:gridCol w:w="2340"/>
        <w:gridCol w:w="2430"/>
      </w:tblGrid>
      <w:tr w:rsidR="00201FE9" w:rsidRPr="00C86111" w14:paraId="7B1890B2" w14:textId="77777777" w:rsidTr="00BC765B">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72" w:type="dxa"/>
          </w:tcPr>
          <w:p w14:paraId="2839088B" w14:textId="77777777" w:rsidR="00201FE9" w:rsidRPr="00C86111" w:rsidRDefault="00201FE9" w:rsidP="00BC765B">
            <w:pPr>
              <w:spacing w:line="276" w:lineRule="auto"/>
              <w:jc w:val="center"/>
              <w:rPr>
                <w:rFonts w:asciiTheme="minorHAnsi" w:eastAsia="Calibri"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 xml:space="preserve">Godina </w:t>
            </w:r>
          </w:p>
        </w:tc>
        <w:tc>
          <w:tcPr>
            <w:tcW w:w="2353" w:type="dxa"/>
          </w:tcPr>
          <w:p w14:paraId="2F09869A"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Broj uvezenih vozila</w:t>
            </w:r>
          </w:p>
        </w:tc>
        <w:tc>
          <w:tcPr>
            <w:tcW w:w="2340" w:type="dxa"/>
          </w:tcPr>
          <w:p w14:paraId="1B7D8E13"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Količina SCCP (g)</w:t>
            </w:r>
          </w:p>
        </w:tc>
        <w:tc>
          <w:tcPr>
            <w:tcW w:w="2430" w:type="dxa"/>
          </w:tcPr>
          <w:p w14:paraId="3AC0375C" w14:textId="77777777" w:rsidR="00201FE9" w:rsidRPr="00C86111" w:rsidRDefault="00201FE9" w:rsidP="00BC765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sr-Latn-ME"/>
              </w:rPr>
            </w:pPr>
            <w:r w:rsidRPr="00C86111">
              <w:rPr>
                <w:rFonts w:asciiTheme="minorHAnsi" w:eastAsia="Times New Roman" w:hAnsiTheme="minorHAnsi" w:cstheme="minorHAnsi"/>
                <w:color w:val="auto"/>
                <w:sz w:val="20"/>
                <w:szCs w:val="20"/>
                <w:lang w:val="sr-Latn-ME"/>
              </w:rPr>
              <w:t>Količina SCCP (kg)</w:t>
            </w:r>
          </w:p>
        </w:tc>
      </w:tr>
      <w:tr w:rsidR="00201FE9" w:rsidRPr="00C86111" w14:paraId="3D2F190F" w14:textId="77777777" w:rsidTr="00BC765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872" w:type="dxa"/>
          </w:tcPr>
          <w:p w14:paraId="7873F96B" w14:textId="77777777" w:rsidR="00201FE9" w:rsidRPr="00C86111" w:rsidRDefault="00201FE9" w:rsidP="00BC765B">
            <w:pPr>
              <w:spacing w:line="276" w:lineRule="auto"/>
              <w:jc w:val="center"/>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2017</w:t>
            </w:r>
          </w:p>
        </w:tc>
        <w:tc>
          <w:tcPr>
            <w:tcW w:w="2353" w:type="dxa"/>
          </w:tcPr>
          <w:p w14:paraId="1434685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15995</w:t>
            </w:r>
          </w:p>
        </w:tc>
        <w:tc>
          <w:tcPr>
            <w:tcW w:w="2340" w:type="dxa"/>
          </w:tcPr>
          <w:p w14:paraId="3993D62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38388</w:t>
            </w:r>
          </w:p>
        </w:tc>
        <w:tc>
          <w:tcPr>
            <w:tcW w:w="2430" w:type="dxa"/>
          </w:tcPr>
          <w:p w14:paraId="778B7C5E"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38</w:t>
            </w:r>
          </w:p>
        </w:tc>
      </w:tr>
      <w:tr w:rsidR="00201FE9" w:rsidRPr="00C86111" w14:paraId="477D494C" w14:textId="77777777" w:rsidTr="00BC765B">
        <w:trPr>
          <w:trHeight w:hRule="exact" w:val="288"/>
        </w:trPr>
        <w:tc>
          <w:tcPr>
            <w:cnfStyle w:val="001000000000" w:firstRow="0" w:lastRow="0" w:firstColumn="1" w:lastColumn="0" w:oddVBand="0" w:evenVBand="0" w:oddHBand="0" w:evenHBand="0" w:firstRowFirstColumn="0" w:firstRowLastColumn="0" w:lastRowFirstColumn="0" w:lastRowLastColumn="0"/>
            <w:tcW w:w="1872" w:type="dxa"/>
          </w:tcPr>
          <w:p w14:paraId="52E1387A" w14:textId="77777777" w:rsidR="00201FE9" w:rsidRPr="00C86111" w:rsidRDefault="00201FE9" w:rsidP="00BC765B">
            <w:pPr>
              <w:spacing w:line="276" w:lineRule="auto"/>
              <w:jc w:val="center"/>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2018</w:t>
            </w:r>
          </w:p>
        </w:tc>
        <w:tc>
          <w:tcPr>
            <w:tcW w:w="2353" w:type="dxa"/>
          </w:tcPr>
          <w:p w14:paraId="25408CF8"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17144</w:t>
            </w:r>
          </w:p>
        </w:tc>
        <w:tc>
          <w:tcPr>
            <w:tcW w:w="2340" w:type="dxa"/>
          </w:tcPr>
          <w:p w14:paraId="386CC81B"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41146</w:t>
            </w:r>
          </w:p>
        </w:tc>
        <w:tc>
          <w:tcPr>
            <w:tcW w:w="2430" w:type="dxa"/>
          </w:tcPr>
          <w:p w14:paraId="40458E9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41</w:t>
            </w:r>
          </w:p>
        </w:tc>
      </w:tr>
      <w:tr w:rsidR="00201FE9" w:rsidRPr="00C86111" w14:paraId="15007F78" w14:textId="77777777" w:rsidTr="00BC765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872" w:type="dxa"/>
          </w:tcPr>
          <w:p w14:paraId="2C71B2CA"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2019</w:t>
            </w:r>
          </w:p>
        </w:tc>
        <w:tc>
          <w:tcPr>
            <w:tcW w:w="2353" w:type="dxa"/>
          </w:tcPr>
          <w:p w14:paraId="20E4C27B"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14973</w:t>
            </w:r>
          </w:p>
        </w:tc>
        <w:tc>
          <w:tcPr>
            <w:tcW w:w="2340" w:type="dxa"/>
          </w:tcPr>
          <w:p w14:paraId="0305AD06"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35935</w:t>
            </w:r>
          </w:p>
        </w:tc>
        <w:tc>
          <w:tcPr>
            <w:tcW w:w="2430" w:type="dxa"/>
          </w:tcPr>
          <w:p w14:paraId="0BCB6579"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36</w:t>
            </w:r>
          </w:p>
        </w:tc>
      </w:tr>
      <w:tr w:rsidR="00201FE9" w:rsidRPr="00C86111" w14:paraId="1E321FE9" w14:textId="77777777" w:rsidTr="00BC765B">
        <w:trPr>
          <w:trHeight w:hRule="exact" w:val="288"/>
        </w:trPr>
        <w:tc>
          <w:tcPr>
            <w:cnfStyle w:val="001000000000" w:firstRow="0" w:lastRow="0" w:firstColumn="1" w:lastColumn="0" w:oddVBand="0" w:evenVBand="0" w:oddHBand="0" w:evenHBand="0" w:firstRowFirstColumn="0" w:firstRowLastColumn="0" w:lastRowFirstColumn="0" w:lastRowLastColumn="0"/>
            <w:tcW w:w="1872" w:type="dxa"/>
          </w:tcPr>
          <w:p w14:paraId="4F26E504"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2020</w:t>
            </w:r>
          </w:p>
        </w:tc>
        <w:tc>
          <w:tcPr>
            <w:tcW w:w="2353" w:type="dxa"/>
          </w:tcPr>
          <w:p w14:paraId="222CB185"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10336</w:t>
            </w:r>
          </w:p>
        </w:tc>
        <w:tc>
          <w:tcPr>
            <w:tcW w:w="2340" w:type="dxa"/>
          </w:tcPr>
          <w:p w14:paraId="27A2FC0E"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24806</w:t>
            </w:r>
          </w:p>
        </w:tc>
        <w:tc>
          <w:tcPr>
            <w:tcW w:w="2430" w:type="dxa"/>
          </w:tcPr>
          <w:p w14:paraId="32AC7C87"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25</w:t>
            </w:r>
          </w:p>
        </w:tc>
      </w:tr>
      <w:tr w:rsidR="00201FE9" w:rsidRPr="00C86111" w14:paraId="3054F873" w14:textId="77777777" w:rsidTr="00BC765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872" w:type="dxa"/>
          </w:tcPr>
          <w:p w14:paraId="03FEF175"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2021</w:t>
            </w:r>
          </w:p>
        </w:tc>
        <w:tc>
          <w:tcPr>
            <w:tcW w:w="2353" w:type="dxa"/>
          </w:tcPr>
          <w:p w14:paraId="6681D7BD"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11332</w:t>
            </w:r>
          </w:p>
        </w:tc>
        <w:tc>
          <w:tcPr>
            <w:tcW w:w="2340" w:type="dxa"/>
          </w:tcPr>
          <w:p w14:paraId="1E3E5D6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27197</w:t>
            </w:r>
          </w:p>
        </w:tc>
        <w:tc>
          <w:tcPr>
            <w:tcW w:w="2430" w:type="dxa"/>
          </w:tcPr>
          <w:p w14:paraId="59912568"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27</w:t>
            </w:r>
          </w:p>
        </w:tc>
      </w:tr>
      <w:tr w:rsidR="00201FE9" w:rsidRPr="00C86111" w14:paraId="6AFDC873" w14:textId="77777777" w:rsidTr="00BC765B">
        <w:trPr>
          <w:trHeight w:hRule="exact" w:val="288"/>
        </w:trPr>
        <w:tc>
          <w:tcPr>
            <w:cnfStyle w:val="001000000000" w:firstRow="0" w:lastRow="0" w:firstColumn="1" w:lastColumn="0" w:oddVBand="0" w:evenVBand="0" w:oddHBand="0" w:evenHBand="0" w:firstRowFirstColumn="0" w:firstRowLastColumn="0" w:lastRowFirstColumn="0" w:lastRowLastColumn="0"/>
            <w:tcW w:w="1872" w:type="dxa"/>
          </w:tcPr>
          <w:p w14:paraId="46CC1C4F"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2022</w:t>
            </w:r>
          </w:p>
        </w:tc>
        <w:tc>
          <w:tcPr>
            <w:tcW w:w="2353" w:type="dxa"/>
          </w:tcPr>
          <w:p w14:paraId="1F66D5F2"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14249</w:t>
            </w:r>
          </w:p>
        </w:tc>
        <w:tc>
          <w:tcPr>
            <w:tcW w:w="2340" w:type="dxa"/>
          </w:tcPr>
          <w:p w14:paraId="472A772F"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34198</w:t>
            </w:r>
          </w:p>
        </w:tc>
        <w:tc>
          <w:tcPr>
            <w:tcW w:w="2430" w:type="dxa"/>
          </w:tcPr>
          <w:p w14:paraId="432B30D9" w14:textId="77777777" w:rsidR="00201FE9" w:rsidRPr="00C86111" w:rsidRDefault="00201FE9" w:rsidP="00BC76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34</w:t>
            </w:r>
          </w:p>
        </w:tc>
      </w:tr>
      <w:tr w:rsidR="00201FE9" w:rsidRPr="00C86111" w14:paraId="7D273934" w14:textId="77777777" w:rsidTr="00BC765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872" w:type="dxa"/>
          </w:tcPr>
          <w:p w14:paraId="24FFD8E4" w14:textId="77777777" w:rsidR="00201FE9" w:rsidRPr="00C86111" w:rsidRDefault="00201FE9" w:rsidP="00BC765B">
            <w:pPr>
              <w:spacing w:line="276" w:lineRule="auto"/>
              <w:jc w:val="center"/>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2023</w:t>
            </w:r>
          </w:p>
        </w:tc>
        <w:tc>
          <w:tcPr>
            <w:tcW w:w="2353" w:type="dxa"/>
          </w:tcPr>
          <w:p w14:paraId="0630791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18619</w:t>
            </w:r>
          </w:p>
        </w:tc>
        <w:tc>
          <w:tcPr>
            <w:tcW w:w="2340" w:type="dxa"/>
          </w:tcPr>
          <w:p w14:paraId="0CA18401"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44686</w:t>
            </w:r>
          </w:p>
        </w:tc>
        <w:tc>
          <w:tcPr>
            <w:tcW w:w="2430" w:type="dxa"/>
          </w:tcPr>
          <w:p w14:paraId="2B51D363" w14:textId="77777777" w:rsidR="00201FE9" w:rsidRPr="00C86111" w:rsidRDefault="00201FE9" w:rsidP="00BC76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val="sr-Latn-ME"/>
              </w:rPr>
            </w:pPr>
            <w:r w:rsidRPr="00C86111">
              <w:rPr>
                <w:rFonts w:asciiTheme="minorHAnsi" w:eastAsia="Times New Roman" w:hAnsiTheme="minorHAnsi" w:cstheme="minorHAnsi"/>
                <w:color w:val="auto"/>
                <w:sz w:val="20"/>
                <w:szCs w:val="20"/>
                <w:lang w:val="sr-Latn-ME"/>
              </w:rPr>
              <w:t>45</w:t>
            </w:r>
          </w:p>
        </w:tc>
      </w:tr>
    </w:tbl>
    <w:p w14:paraId="64CA8197" w14:textId="77777777" w:rsidR="00201FE9" w:rsidRPr="00C86111" w:rsidRDefault="00201FE9" w:rsidP="00EA6904">
      <w:pPr>
        <w:pStyle w:val="Heading2"/>
        <w:rPr>
          <w:rStyle w:val="Strong"/>
          <w:b/>
          <w:bCs/>
          <w:lang w:eastAsia="en-GB"/>
        </w:rPr>
      </w:pPr>
    </w:p>
    <w:p w14:paraId="20CFFD67" w14:textId="77777777" w:rsidR="00201FE9" w:rsidRPr="00C86111" w:rsidRDefault="00201FE9" w:rsidP="00EA6904">
      <w:pPr>
        <w:pStyle w:val="Heading4"/>
        <w:rPr>
          <w:rStyle w:val="Strong"/>
          <w:b w:val="0"/>
          <w:i w:val="0"/>
          <w:iCs w:val="0"/>
        </w:rPr>
      </w:pPr>
      <w:bookmarkStart w:id="425" w:name="_Toc210744984"/>
      <w:r w:rsidRPr="00C86111">
        <w:rPr>
          <w:rStyle w:val="Strong"/>
          <w:b w:val="0"/>
        </w:rPr>
        <w:t>Zaključci – Inventar SCCP u transportnom sektoru (vozila)</w:t>
      </w:r>
      <w:bookmarkEnd w:id="425"/>
    </w:p>
    <w:p w14:paraId="3A0DADE0" w14:textId="77777777" w:rsidR="00201FE9" w:rsidRPr="00C86111" w:rsidRDefault="00201FE9" w:rsidP="007E2AA5">
      <w:pPr>
        <w:pStyle w:val="NormalWeb"/>
        <w:numPr>
          <w:ilvl w:val="0"/>
          <w:numId w:val="22"/>
        </w:numPr>
        <w:tabs>
          <w:tab w:val="clear" w:pos="720"/>
          <w:tab w:val="num" w:pos="540"/>
        </w:tabs>
        <w:spacing w:before="0" w:beforeAutospacing="0" w:after="0" w:afterAutospacing="0" w:line="276" w:lineRule="auto"/>
        <w:ind w:left="360"/>
        <w:rPr>
          <w:rFonts w:asciiTheme="minorHAnsi" w:hAnsiTheme="minorHAnsi" w:cstheme="minorHAnsi"/>
          <w:b/>
          <w:color w:val="002060"/>
          <w:lang w:val="sr-Latn-ME"/>
        </w:rPr>
      </w:pPr>
      <w:r w:rsidRPr="00C86111">
        <w:rPr>
          <w:rStyle w:val="Strong"/>
          <w:rFonts w:asciiTheme="minorHAnsi" w:hAnsiTheme="minorHAnsi" w:cstheme="minorHAnsi"/>
          <w:b w:val="0"/>
          <w:color w:val="002060"/>
          <w:lang w:val="sr-Latn-ME"/>
        </w:rPr>
        <w:t>Vozila u upotrebi</w:t>
      </w:r>
    </w:p>
    <w:p w14:paraId="39D43CB9" w14:textId="77777777" w:rsidR="00201FE9" w:rsidRPr="00C86111" w:rsidRDefault="00201FE9" w:rsidP="00833A40">
      <w:pPr>
        <w:pStyle w:val="NormalWeb"/>
        <w:numPr>
          <w:ilvl w:val="0"/>
          <w:numId w:val="121"/>
        </w:numPr>
        <w:tabs>
          <w:tab w:val="num" w:pos="126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Broj registrovanih vozila u Crnoj Gori pokazuje stalan porast sa 154.092 vozila u 2017. godini na 252.501 vozilo u 2023. godini.</w:t>
      </w:r>
    </w:p>
    <w:p w14:paraId="1E2A5096" w14:textId="77777777" w:rsidR="00201FE9" w:rsidRPr="00C86111" w:rsidRDefault="00201FE9" w:rsidP="00833A40">
      <w:pPr>
        <w:pStyle w:val="NormalWeb"/>
        <w:numPr>
          <w:ilvl w:val="0"/>
          <w:numId w:val="121"/>
        </w:numPr>
        <w:tabs>
          <w:tab w:val="num" w:pos="126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Na osnovu pretpostavke od 2,4 g SCCP po vozilu, procijenjeni sadržaj SCCP-a u nacionalnom voznom parku povećao se sa 370 kg u 2017. godini na 606 kg u 2023. godini.</w:t>
      </w:r>
    </w:p>
    <w:p w14:paraId="586259FD" w14:textId="77777777" w:rsidR="00201FE9" w:rsidRPr="00C86111" w:rsidRDefault="00201FE9" w:rsidP="00833A40">
      <w:pPr>
        <w:pStyle w:val="NormalWeb"/>
        <w:numPr>
          <w:ilvl w:val="0"/>
          <w:numId w:val="121"/>
        </w:numPr>
        <w:tabs>
          <w:tab w:val="num" w:pos="126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Ovo ukazuje na kontinuirano nagomilavanje SCCP unutar postojećeg voznog parka, što će na kraju postati relevantno za upravljanje otpadom od vozila na kraju životnog vijeka.</w:t>
      </w:r>
    </w:p>
    <w:p w14:paraId="50233466" w14:textId="77777777" w:rsidR="00201FE9" w:rsidRPr="00C86111" w:rsidRDefault="00201FE9" w:rsidP="007E2AA5">
      <w:pPr>
        <w:pStyle w:val="NormalWeb"/>
        <w:numPr>
          <w:ilvl w:val="0"/>
          <w:numId w:val="22"/>
        </w:numPr>
        <w:tabs>
          <w:tab w:val="clear" w:pos="720"/>
          <w:tab w:val="num" w:pos="450"/>
        </w:tabs>
        <w:spacing w:before="0" w:beforeAutospacing="0" w:after="0" w:afterAutospacing="0" w:line="276" w:lineRule="auto"/>
        <w:ind w:left="360"/>
        <w:rPr>
          <w:rFonts w:asciiTheme="minorHAnsi" w:hAnsiTheme="minorHAnsi" w:cstheme="minorHAnsi"/>
          <w:b/>
          <w:color w:val="002060"/>
          <w:lang w:val="sr-Latn-ME"/>
        </w:rPr>
      </w:pPr>
      <w:r w:rsidRPr="00C86111">
        <w:rPr>
          <w:rStyle w:val="Strong"/>
          <w:rFonts w:asciiTheme="minorHAnsi" w:hAnsiTheme="minorHAnsi" w:cstheme="minorHAnsi"/>
          <w:b w:val="0"/>
          <w:color w:val="002060"/>
          <w:lang w:val="sr-Latn-ME"/>
        </w:rPr>
        <w:t>Uvezena vozila</w:t>
      </w:r>
    </w:p>
    <w:p w14:paraId="719DFFB3" w14:textId="77777777" w:rsidR="00201FE9" w:rsidRPr="00C86111" w:rsidRDefault="00201FE9" w:rsidP="00833A40">
      <w:pPr>
        <w:pStyle w:val="NormalWeb"/>
        <w:numPr>
          <w:ilvl w:val="0"/>
          <w:numId w:val="122"/>
        </w:numPr>
        <w:tabs>
          <w:tab w:val="num" w:pos="1170"/>
        </w:tabs>
        <w:spacing w:before="0" w:beforeAutospacing="0" w:after="0" w:afterAutospacing="0" w:line="276" w:lineRule="auto"/>
        <w:rPr>
          <w:rFonts w:asciiTheme="minorHAnsi" w:hAnsiTheme="minorHAnsi" w:cstheme="minorHAnsi"/>
          <w:lang w:val="sr-Latn-ME"/>
        </w:rPr>
      </w:pPr>
      <w:r w:rsidRPr="00C86111">
        <w:rPr>
          <w:rFonts w:asciiTheme="minorHAnsi" w:hAnsiTheme="minorHAnsi" w:cstheme="minorHAnsi"/>
          <w:lang w:val="sr-Latn-ME"/>
        </w:rPr>
        <w:t>Godišnji uvoz vozila kretao se od približno 10336 vozila (2020) do 18619 vozila (2023).</w:t>
      </w:r>
    </w:p>
    <w:p w14:paraId="55675D47" w14:textId="77777777" w:rsidR="00201FE9" w:rsidRPr="00C86111" w:rsidRDefault="00201FE9" w:rsidP="00833A40">
      <w:pPr>
        <w:pStyle w:val="NormalWeb"/>
        <w:numPr>
          <w:ilvl w:val="0"/>
          <w:numId w:val="122"/>
        </w:numPr>
        <w:tabs>
          <w:tab w:val="num" w:pos="117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lastRenderedPageBreak/>
        <w:t>Procijenjeni sadržaj SCCP u uvezenim vozilima kretao se između 25 kg/godišnje (2020) i 45 kg/godišnje (2023).</w:t>
      </w:r>
    </w:p>
    <w:p w14:paraId="79725251" w14:textId="77777777" w:rsidR="00201FE9" w:rsidRPr="00C86111" w:rsidRDefault="00201FE9" w:rsidP="00833A40">
      <w:pPr>
        <w:pStyle w:val="NormalWeb"/>
        <w:numPr>
          <w:ilvl w:val="0"/>
          <w:numId w:val="122"/>
        </w:numPr>
        <w:tabs>
          <w:tab w:val="num" w:pos="117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Ovaj uvoz predstavlja stalan priliv SCCP u Crnu Goru, direktno povezan sa širenjem nacionalnog voznog parka.</w:t>
      </w:r>
    </w:p>
    <w:p w14:paraId="31CCF25A" w14:textId="77777777" w:rsidR="00201FE9" w:rsidRPr="00C86111" w:rsidRDefault="00201FE9" w:rsidP="007E2AA5">
      <w:pPr>
        <w:pStyle w:val="NormalWeb"/>
        <w:numPr>
          <w:ilvl w:val="0"/>
          <w:numId w:val="22"/>
        </w:numPr>
        <w:tabs>
          <w:tab w:val="clear" w:pos="720"/>
          <w:tab w:val="num" w:pos="540"/>
        </w:tabs>
        <w:spacing w:before="0" w:beforeAutospacing="0" w:after="0" w:afterAutospacing="0" w:line="276" w:lineRule="auto"/>
        <w:ind w:left="360"/>
        <w:rPr>
          <w:rFonts w:asciiTheme="minorHAnsi" w:hAnsiTheme="minorHAnsi" w:cstheme="minorHAnsi"/>
          <w:b/>
          <w:color w:val="002060"/>
          <w:lang w:val="sr-Latn-ME"/>
        </w:rPr>
      </w:pPr>
      <w:r w:rsidRPr="00C86111">
        <w:rPr>
          <w:rStyle w:val="Strong"/>
          <w:rFonts w:asciiTheme="minorHAnsi" w:hAnsiTheme="minorHAnsi" w:cstheme="minorHAnsi"/>
          <w:b w:val="0"/>
          <w:color w:val="002060"/>
          <w:lang w:val="sr-Latn-ME"/>
        </w:rPr>
        <w:t>Ukupan doprinos transportnog sektora</w:t>
      </w:r>
    </w:p>
    <w:p w14:paraId="1E7A232A" w14:textId="77777777" w:rsidR="00201FE9" w:rsidRPr="00C86111" w:rsidRDefault="00201FE9" w:rsidP="00833A40">
      <w:pPr>
        <w:pStyle w:val="NormalWeb"/>
        <w:numPr>
          <w:ilvl w:val="0"/>
          <w:numId w:val="123"/>
        </w:numPr>
        <w:tabs>
          <w:tab w:val="num" w:pos="126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Iako je prosječan sadržaj SCCP po vozilu relativno nizak (2,4 g/vozilo), veliki broj vozila u saobraćaju rezultira značajnim ukupnim zalihama.</w:t>
      </w:r>
    </w:p>
    <w:p w14:paraId="4EA3CC23" w14:textId="77777777" w:rsidR="00201FE9" w:rsidRPr="00C86111" w:rsidRDefault="00201FE9" w:rsidP="00833A40">
      <w:pPr>
        <w:pStyle w:val="NormalWeb"/>
        <w:numPr>
          <w:ilvl w:val="0"/>
          <w:numId w:val="123"/>
        </w:numPr>
        <w:tabs>
          <w:tab w:val="num" w:pos="126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Prilivi kroz uvezena vozila, u kombinaciji sa akumuliranim SCCP u vozilima u upotrebi, čine transportni sektor relevantnim sekundarnim izvorom SCCP u zemlji.</w:t>
      </w:r>
    </w:p>
    <w:p w14:paraId="7CDB384C" w14:textId="77777777" w:rsidR="00201FE9" w:rsidRPr="00C86111" w:rsidRDefault="00201FE9" w:rsidP="00833A40">
      <w:pPr>
        <w:pStyle w:val="NormalWeb"/>
        <w:numPr>
          <w:ilvl w:val="0"/>
          <w:numId w:val="123"/>
        </w:numPr>
        <w:tabs>
          <w:tab w:val="num" w:pos="1260"/>
        </w:tabs>
        <w:spacing w:before="0" w:beforeAutospacing="0" w:after="0" w:afterAutospacing="0" w:line="276" w:lineRule="auto"/>
        <w:jc w:val="both"/>
        <w:rPr>
          <w:rFonts w:asciiTheme="minorHAnsi" w:hAnsiTheme="minorHAnsi" w:cstheme="minorHAnsi"/>
          <w:lang w:val="sr-Latn-ME"/>
        </w:rPr>
      </w:pPr>
      <w:r w:rsidRPr="00C86111">
        <w:rPr>
          <w:rFonts w:asciiTheme="minorHAnsi" w:hAnsiTheme="minorHAnsi" w:cstheme="minorHAnsi"/>
          <w:lang w:val="sr-Latn-ME"/>
        </w:rPr>
        <w:t>Rizik po životnu sredinu je prvenstveno povezan sa odlaganjem i reciklažom istrošenih vozila, kada materijali poput PVC kablova, gumenih djelova i tekstila koji sadrže SCCP mogu ući u tokove otpada.</w:t>
      </w:r>
    </w:p>
    <w:p w14:paraId="010BB6CC" w14:textId="77777777" w:rsidR="00201FE9" w:rsidRPr="00C86111" w:rsidRDefault="00201FE9" w:rsidP="00201FE9">
      <w:pPr>
        <w:pStyle w:val="NormalWeb"/>
        <w:spacing w:before="0" w:beforeAutospacing="0" w:after="0" w:afterAutospacing="0" w:line="276" w:lineRule="auto"/>
        <w:jc w:val="both"/>
        <w:rPr>
          <w:rFonts w:asciiTheme="minorHAnsi" w:hAnsiTheme="minorHAnsi" w:cstheme="minorHAnsi"/>
          <w:lang w:val="sr-Latn-ME"/>
        </w:rPr>
      </w:pPr>
      <w:r w:rsidRPr="00C86111">
        <w:rPr>
          <w:rStyle w:val="Strong"/>
          <w:rFonts w:asciiTheme="minorHAnsi" w:hAnsiTheme="minorHAnsi" w:cstheme="minorHAnsi"/>
          <w:b w:val="0"/>
          <w:bCs w:val="0"/>
          <w:color w:val="002060"/>
          <w:lang w:val="sr-Latn-ME"/>
        </w:rPr>
        <w:t>Važna napomena:</w:t>
      </w:r>
      <w:r w:rsidRPr="00C86111">
        <w:rPr>
          <w:rFonts w:asciiTheme="minorHAnsi" w:hAnsiTheme="minorHAnsi" w:cstheme="minorHAnsi"/>
          <w:color w:val="002060"/>
          <w:lang w:val="sr-Latn-ME"/>
        </w:rPr>
        <w:t xml:space="preserve"> </w:t>
      </w:r>
      <w:r w:rsidRPr="00C86111">
        <w:rPr>
          <w:rFonts w:asciiTheme="minorHAnsi" w:hAnsiTheme="minorHAnsi" w:cstheme="minorHAnsi"/>
          <w:lang w:val="sr-Latn-ME"/>
        </w:rPr>
        <w:t>Procjene se zasnivaju na međunarodnim aproksimativnim vrijednostima i pretpostavljaju da sva vozila sadrže prosječno 2,4 g SCCP, što vjerovatno dovodi do precjenjivanja za određene tipove vozila. Međutim, ove brojke pružaju korisnu osnovu za nacionalno izvještavanje u skladu sa Stokholmskom konvencijom.</w:t>
      </w:r>
    </w:p>
    <w:p w14:paraId="397054E6" w14:textId="77777777" w:rsidR="00201FE9" w:rsidRPr="00C86111" w:rsidRDefault="00201FE9" w:rsidP="00004F34">
      <w:pPr>
        <w:pStyle w:val="Heading1"/>
        <w:numPr>
          <w:ilvl w:val="1"/>
          <w:numId w:val="238"/>
        </w:numPr>
      </w:pPr>
      <w:bookmarkStart w:id="426" w:name="_Toc210744985"/>
      <w:bookmarkStart w:id="427" w:name="_Toc220541971"/>
      <w:r w:rsidRPr="00C86111">
        <w:t>Diskusija</w:t>
      </w:r>
      <w:bookmarkEnd w:id="426"/>
      <w:bookmarkEnd w:id="427"/>
    </w:p>
    <w:p w14:paraId="3599748B" w14:textId="77777777" w:rsidR="00201FE9" w:rsidRPr="00C86111" w:rsidRDefault="00201FE9" w:rsidP="00201FE9">
      <w:pPr>
        <w:spacing w:line="276" w:lineRule="auto"/>
        <w:jc w:val="both"/>
        <w:rPr>
          <w:rFonts w:asciiTheme="minorHAnsi" w:hAnsiTheme="minorHAnsi" w:cstheme="minorHAnsi"/>
          <w:color w:val="auto"/>
          <w:szCs w:val="24"/>
          <w:lang w:val="sr-Latn-ME"/>
        </w:rPr>
      </w:pPr>
      <w:bookmarkStart w:id="428" w:name="_Toc206579708"/>
      <w:r w:rsidRPr="00C86111">
        <w:rPr>
          <w:rFonts w:asciiTheme="minorHAnsi" w:eastAsia="Calibri" w:hAnsiTheme="minorHAnsi" w:cstheme="minorHAnsi"/>
          <w:color w:val="auto"/>
          <w:kern w:val="2"/>
          <w:szCs w:val="24"/>
          <w:u w:color="000000"/>
          <w:bdr w:val="nil"/>
          <w:lang w:val="sr-Latn-ME"/>
          <w14:textOutline w14:w="0" w14:cap="flat" w14:cmpd="sng" w14:algn="ctr">
            <w14:noFill/>
            <w14:prstDash w14:val="solid"/>
            <w14:bevel/>
          </w14:textOutline>
        </w:rPr>
        <w:t>Inventar je potvrdio da SCCP i MCCP i dalje ulaze u Crnu Goru uglavnom kroz uvezene proizvode široke potrošnje i industrijske proizvode, uprkos tome što su SCCP navedeni u Aneksu A Stokholmske konvencije. Gumeni proizvodi su se pojavili kao dominantan izvor, pri čemu su MCCP prisutni u posebno velikim količinama, dok PVC proizvodi i adhezivne PUR pjene takođe predstavljaju važan izvor. Sektori otpada, kao što su WEEE i istrošena vozila, ističu sekundarne puteve kontaminacije SCCP, zbog postojanosti ovih supstanci u plastici, kablovima i tekstilu. Iako je nacionalna industrijska baza za upotrebu SCCP/MCCP ograničena, zavisnost od uvezenih proizvoda čini Crnu Goru ranjivom po pitanju ovih hemikalija. Nalazi naglašavaju potrebu za jačom kontrolom uvoza, poboljšanim upravljanjem otpadom i bližim usklađivanjem sa međunarodnim obavezama.</w:t>
      </w:r>
    </w:p>
    <w:p w14:paraId="5FD75B1B" w14:textId="77777777" w:rsidR="00201FE9" w:rsidRPr="00C86111" w:rsidRDefault="00201FE9" w:rsidP="00004F34">
      <w:pPr>
        <w:pStyle w:val="Heading1"/>
        <w:numPr>
          <w:ilvl w:val="1"/>
          <w:numId w:val="238"/>
        </w:numPr>
      </w:pPr>
      <w:bookmarkStart w:id="429" w:name="_Toc210744986"/>
      <w:bookmarkStart w:id="430" w:name="_Toc220541972"/>
      <w:bookmarkEnd w:id="428"/>
      <w:r w:rsidRPr="00C86111">
        <w:t>Manjkavosti i izazovi</w:t>
      </w:r>
      <w:bookmarkEnd w:id="429"/>
      <w:bookmarkEnd w:id="430"/>
    </w:p>
    <w:p w14:paraId="17E23B14" w14:textId="77777777" w:rsidR="00201FE9" w:rsidRPr="00C86111" w:rsidRDefault="00201FE9" w:rsidP="00201FE9">
      <w:pPr>
        <w:pStyle w:val="Text"/>
        <w:spacing w:after="0" w:line="276" w:lineRule="auto"/>
        <w:jc w:val="both"/>
        <w:rPr>
          <w:rFonts w:asciiTheme="minorHAnsi" w:hAnsiTheme="minorHAnsi" w:cstheme="minorHAnsi"/>
          <w:color w:val="auto"/>
          <w:sz w:val="24"/>
          <w:szCs w:val="24"/>
          <w:lang w:val="sr-Latn-ME"/>
        </w:rPr>
      </w:pPr>
      <w:r w:rsidRPr="00C86111">
        <w:rPr>
          <w:rFonts w:asciiTheme="minorHAnsi" w:hAnsiTheme="minorHAnsi" w:cstheme="minorHAnsi"/>
          <w:color w:val="auto"/>
          <w:sz w:val="24"/>
          <w:szCs w:val="24"/>
          <w:lang w:val="sr-Latn-ME"/>
        </w:rPr>
        <w:t>Tokom procesa inventarizacije identifikovano je nekoliko ograničenja:</w:t>
      </w:r>
    </w:p>
    <w:p w14:paraId="5D013A77" w14:textId="77777777" w:rsidR="00201FE9" w:rsidRPr="00C86111" w:rsidRDefault="00201FE9" w:rsidP="00201FE9">
      <w:pPr>
        <w:pStyle w:val="Text"/>
        <w:spacing w:after="0" w:line="276" w:lineRule="auto"/>
        <w:jc w:val="both"/>
        <w:rPr>
          <w:rFonts w:asciiTheme="minorHAnsi" w:hAnsiTheme="minorHAnsi" w:cstheme="minorHAnsi"/>
          <w:color w:val="auto"/>
          <w:sz w:val="24"/>
          <w:szCs w:val="24"/>
          <w:lang w:val="sr-Latn-ME"/>
        </w:rPr>
      </w:pPr>
      <w:r w:rsidRPr="00C86111">
        <w:rPr>
          <w:rFonts w:asciiTheme="minorHAnsi" w:hAnsiTheme="minorHAnsi" w:cstheme="minorHAnsi"/>
          <w:color w:val="auto"/>
          <w:sz w:val="24"/>
          <w:szCs w:val="24"/>
          <w:lang w:val="sr-Latn-ME"/>
        </w:rPr>
        <w:t>1. Nedostatak nacionalnih laboratorijskih kapaciteta za ispitivanje koncentracija SCCP/MCCP onemogućava verifikaciju uvezenih proizvoda i tokova otpada. Oslanjanje na vrijednosti iz međunarodne literature i generalizovane faktore koncentracije moglo je dovesti do precjenjivanja ili potcenjivanja stvarnih količina.</w:t>
      </w:r>
    </w:p>
    <w:p w14:paraId="132CDD05" w14:textId="77777777" w:rsidR="00201FE9" w:rsidRPr="00C86111" w:rsidRDefault="00201FE9" w:rsidP="00201FE9">
      <w:pPr>
        <w:pStyle w:val="Text"/>
        <w:spacing w:after="0" w:line="276" w:lineRule="auto"/>
        <w:jc w:val="both"/>
        <w:rPr>
          <w:rFonts w:asciiTheme="minorHAnsi" w:hAnsiTheme="minorHAnsi" w:cstheme="minorHAnsi"/>
          <w:color w:val="auto"/>
          <w:sz w:val="24"/>
          <w:szCs w:val="24"/>
          <w:lang w:val="sr-Latn-ME"/>
        </w:rPr>
      </w:pPr>
      <w:r w:rsidRPr="00C86111">
        <w:rPr>
          <w:rFonts w:asciiTheme="minorHAnsi" w:hAnsiTheme="minorHAnsi" w:cstheme="minorHAnsi"/>
          <w:color w:val="auto"/>
          <w:sz w:val="24"/>
          <w:szCs w:val="24"/>
          <w:lang w:val="sr-Latn-ME"/>
        </w:rPr>
        <w:t>2. Carinski podaci, iako pouzdani za praćenje količina, nisu uvijek pružali potreban nivo detalja o sastavu proizvoda.</w:t>
      </w:r>
    </w:p>
    <w:p w14:paraId="3B27D0F9" w14:textId="77777777" w:rsidR="00201FE9" w:rsidRPr="00C86111" w:rsidRDefault="00201FE9" w:rsidP="00201FE9">
      <w:pPr>
        <w:pStyle w:val="Text"/>
        <w:spacing w:after="0" w:line="276" w:lineRule="auto"/>
        <w:jc w:val="both"/>
        <w:rPr>
          <w:rFonts w:asciiTheme="minorHAnsi" w:hAnsiTheme="minorHAnsi" w:cstheme="minorHAnsi"/>
          <w:color w:val="auto"/>
          <w:sz w:val="24"/>
          <w:szCs w:val="24"/>
          <w:lang w:val="sr-Latn-ME"/>
        </w:rPr>
      </w:pPr>
      <w:r w:rsidRPr="00C86111">
        <w:rPr>
          <w:rFonts w:asciiTheme="minorHAnsi" w:hAnsiTheme="minorHAnsi" w:cstheme="minorHAnsi"/>
          <w:color w:val="auto"/>
          <w:sz w:val="24"/>
          <w:szCs w:val="24"/>
          <w:lang w:val="sr-Latn-ME"/>
        </w:rPr>
        <w:lastRenderedPageBreak/>
        <w:t>3. Procjene vezane za vozila zasnivale su se na međunarodnim aproksimacijama, koje možda ne odražavaju u potpunosti raznolikost voznog parka Crne Gore.</w:t>
      </w:r>
    </w:p>
    <w:p w14:paraId="0188B73A" w14:textId="77777777" w:rsidR="00201FE9" w:rsidRPr="00C86111" w:rsidRDefault="00201FE9" w:rsidP="00201FE9">
      <w:pPr>
        <w:pStyle w:val="Text"/>
        <w:spacing w:after="0" w:line="276" w:lineRule="auto"/>
        <w:jc w:val="both"/>
        <w:rPr>
          <w:rFonts w:asciiTheme="minorHAnsi" w:hAnsiTheme="minorHAnsi" w:cstheme="minorHAnsi"/>
          <w:color w:val="auto"/>
          <w:sz w:val="24"/>
          <w:szCs w:val="24"/>
          <w:lang w:val="sr-Latn-ME"/>
        </w:rPr>
      </w:pPr>
      <w:r w:rsidRPr="00C86111">
        <w:rPr>
          <w:rFonts w:asciiTheme="minorHAnsi" w:hAnsiTheme="minorHAnsi" w:cstheme="minorHAnsi"/>
          <w:color w:val="auto"/>
          <w:sz w:val="24"/>
          <w:szCs w:val="24"/>
          <w:lang w:val="sr-Latn-ME"/>
        </w:rPr>
        <w:t>4. Informacije o kontaminiranim lokacijama bile su ograničene, jer nije sproveden terenski monitoring zemljišta ili vode.</w:t>
      </w:r>
    </w:p>
    <w:p w14:paraId="74E9EC95" w14:textId="77777777" w:rsidR="00201FE9" w:rsidRPr="00C86111" w:rsidRDefault="00201FE9" w:rsidP="00201FE9">
      <w:pPr>
        <w:pStyle w:val="Text"/>
        <w:spacing w:after="0" w:line="276" w:lineRule="auto"/>
        <w:jc w:val="both"/>
        <w:rPr>
          <w:rFonts w:asciiTheme="minorHAnsi" w:hAnsiTheme="minorHAnsi" w:cstheme="minorHAnsi"/>
          <w:color w:val="auto"/>
          <w:sz w:val="24"/>
          <w:szCs w:val="24"/>
          <w:lang w:val="sr-Latn-ME"/>
        </w:rPr>
      </w:pPr>
      <w:r w:rsidRPr="00C86111">
        <w:rPr>
          <w:rFonts w:asciiTheme="minorHAnsi" w:hAnsiTheme="minorHAnsi" w:cstheme="minorHAnsi"/>
          <w:color w:val="auto"/>
          <w:sz w:val="24"/>
          <w:szCs w:val="24"/>
          <w:lang w:val="sr-Latn-ME"/>
        </w:rPr>
        <w:t>Ovi nedostaci ističu potrebu za tehničkom i finansijskom podrškom kako bi se ojačali kapaciteti za praćenje i kvalitet podataka.</w:t>
      </w:r>
    </w:p>
    <w:p w14:paraId="656128B3" w14:textId="77777777" w:rsidR="00201FE9" w:rsidRPr="00C86111" w:rsidRDefault="00201FE9" w:rsidP="00004F34">
      <w:pPr>
        <w:pStyle w:val="Heading1"/>
        <w:numPr>
          <w:ilvl w:val="1"/>
          <w:numId w:val="238"/>
        </w:numPr>
      </w:pPr>
      <w:bookmarkStart w:id="431" w:name="_Toc210744987"/>
      <w:bookmarkStart w:id="432" w:name="_Toc220541973"/>
      <w:r w:rsidRPr="00C86111">
        <w:t>Rezultati  inventara</w:t>
      </w:r>
      <w:bookmarkEnd w:id="431"/>
      <w:bookmarkEnd w:id="432"/>
    </w:p>
    <w:p w14:paraId="089C7290"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Rezultati pokazuju da su proizvodi od gume (HS 4016 i HS 4015) najveći pojedinačni doprinosioci MCCP, sa količinama koje dostižu desetine tona godišnje, dok se SCCP pojavljuju u manjim, ali i dalje značajnim količinama. Uvoz PVC doprinosi konstantnom i značajnom doprinosu i SCCP i MCCP, pri čemu određene kategorije sadrže visoke koncentracije. Utvrđeno je da adhezivne PUR pjene, iako uvezene u relativno malim količinama, sadrže visoke koncentracije, što ih čini izvorom ograničenog obima, ali ipak visokorizičnim. U sektoru otpada, WEEE plastika je sadržala male, ali postojane količine SCCP, dok je sektor vozila pokazao rastuću akumulaciju SCCP i u postojećem voznom parku i u uvezenim vozilima. Generalno, MCCP dominira u svim kategorijama, često premašujući SCCP za jedan do dva reda veličine, što ih čini najrelevantnijom predmetom za buduće regulatorne okvire i izveštavanje prema Stokholmskoj konvenciji.</w:t>
      </w:r>
    </w:p>
    <w:p w14:paraId="74E3C69E" w14:textId="77777777" w:rsidR="00201FE9" w:rsidRPr="00C86111" w:rsidRDefault="00201FE9" w:rsidP="00201FE9">
      <w:pPr>
        <w:spacing w:line="276" w:lineRule="auto"/>
        <w:jc w:val="both"/>
        <w:rPr>
          <w:rFonts w:asciiTheme="minorHAnsi" w:hAnsiTheme="minorHAnsi" w:cstheme="minorHAnsi"/>
          <w:color w:val="auto"/>
          <w:szCs w:val="24"/>
          <w:lang w:val="sr-Latn-ME"/>
        </w:rPr>
      </w:pPr>
    </w:p>
    <w:p w14:paraId="0F0A4415" w14:textId="12FB6327" w:rsidR="00201FE9" w:rsidRPr="00C86111" w:rsidRDefault="00201FE9" w:rsidP="00004F34">
      <w:pPr>
        <w:pStyle w:val="Heading1"/>
        <w:numPr>
          <w:ilvl w:val="1"/>
          <w:numId w:val="238"/>
        </w:numPr>
      </w:pPr>
      <w:bookmarkStart w:id="433" w:name="_Toc210744988"/>
      <w:bookmarkStart w:id="434" w:name="_Toc220541974"/>
      <w:r w:rsidRPr="00C86111">
        <w:t>Zaključci</w:t>
      </w:r>
      <w:bookmarkEnd w:id="433"/>
      <w:bookmarkEnd w:id="434"/>
    </w:p>
    <w:p w14:paraId="6BAA9B31" w14:textId="77777777" w:rsidR="00201FE9" w:rsidRPr="00C86111" w:rsidRDefault="00201FE9" w:rsidP="00201FE9">
      <w:pPr>
        <w:spacing w:line="276" w:lineRule="auto"/>
        <w:jc w:val="both"/>
        <w:rPr>
          <w:rFonts w:asciiTheme="minorHAnsi" w:eastAsia="Calibri" w:hAnsiTheme="minorHAnsi" w:cstheme="minorHAnsi"/>
          <w:color w:val="auto"/>
          <w:kern w:val="2"/>
          <w:szCs w:val="24"/>
          <w:u w:color="000000"/>
          <w:bdr w:val="nil"/>
          <w:lang w:val="sr-Latn-ME"/>
          <w14:textOutline w14:w="0" w14:cap="flat" w14:cmpd="sng" w14:algn="ctr">
            <w14:noFill/>
            <w14:prstDash w14:val="solid"/>
            <w14:bevel/>
          </w14:textOutline>
        </w:rPr>
      </w:pPr>
      <w:bookmarkStart w:id="435" w:name="_Toc206579711"/>
      <w:r w:rsidRPr="00C86111">
        <w:rPr>
          <w:rFonts w:asciiTheme="minorHAnsi" w:eastAsia="Calibri" w:hAnsiTheme="minorHAnsi" w:cstheme="minorHAnsi"/>
          <w:color w:val="auto"/>
          <w:kern w:val="2"/>
          <w:szCs w:val="24"/>
          <w:u w:color="000000"/>
          <w:bdr w:val="nil"/>
          <w:lang w:val="sr-Latn-ME"/>
          <w14:textOutline w14:w="0" w14:cap="flat" w14:cmpd="sng" w14:algn="ctr">
            <w14:noFill/>
            <w14:prstDash w14:val="solid"/>
            <w14:bevel/>
          </w14:textOutline>
        </w:rPr>
        <w:t>Inventar je potvrdio da i SCCP i MCCP ulaze u Crnu Goru prvenstveno kroz uvoz proizvoda široke potrošnje i industrijskih proizvoda. Proizvodi od gume su najznačajniji doprinosioci, pri čemu su MCCP prisutni u velikim količinama, a slijede ih PVC proizvodi i adhezivne PUR pjene. Sektori otpada, uključujući WEEE i vozila na kraju životnog vijeka, predstavljaju dodatne puteve za priliv i akumulaciju SCCP. MCCP dosljedno dominiraju u svim kategorijama, često premašujući SCCP za jedan do dva reda veličine. Iako Crna Gora nema domaću industrijsku bazu za proizvodnju ili korišćenje SCCP/MCCP, zavisnost od uvozne robe i ograničeni kapaciteti za praćenje predstavljaju regulatorne i ekološke izazove. Rezultati pružaju sveobuhvatnu osnovu za nacionalno izvještavanje u skladu sa Stokholmskom konvencijom i ističu prioritetna područja za intervenciju.</w:t>
      </w:r>
    </w:p>
    <w:p w14:paraId="7680E199" w14:textId="77777777" w:rsidR="00201FE9" w:rsidRPr="00C86111" w:rsidRDefault="00201FE9" w:rsidP="00004F34">
      <w:pPr>
        <w:pStyle w:val="Heading1"/>
        <w:numPr>
          <w:ilvl w:val="1"/>
          <w:numId w:val="238"/>
        </w:numPr>
        <w:rPr>
          <w:rStyle w:val="Strong"/>
          <w:b/>
          <w:i/>
          <w:iCs/>
        </w:rPr>
      </w:pPr>
      <w:bookmarkStart w:id="436" w:name="_Toc210744989"/>
      <w:bookmarkStart w:id="437" w:name="_Toc220541975"/>
      <w:bookmarkEnd w:id="435"/>
      <w:r w:rsidRPr="00C86111">
        <w:rPr>
          <w:rStyle w:val="Strong"/>
        </w:rPr>
        <w:t>Preporuke/Elementi Akcionog plana</w:t>
      </w:r>
      <w:bookmarkEnd w:id="436"/>
      <w:bookmarkEnd w:id="437"/>
    </w:p>
    <w:p w14:paraId="58BA208C" w14:textId="77777777" w:rsidR="00201FE9" w:rsidRPr="00C86111" w:rsidRDefault="00201FE9" w:rsidP="00201FE9">
      <w:pPr>
        <w:spacing w:line="276" w:lineRule="auto"/>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Da bi se efikasno riješili izazovi identifikovani tokom razvoja inventara SCCP/MCCP, preporučuje se skup međusobno povezanih mjera:</w:t>
      </w:r>
    </w:p>
    <w:p w14:paraId="777F7C43" w14:textId="77777777" w:rsidR="00201FE9" w:rsidRPr="00C86111" w:rsidRDefault="00201FE9" w:rsidP="00833A40">
      <w:pPr>
        <w:pStyle w:val="ListParagraph"/>
        <w:numPr>
          <w:ilvl w:val="3"/>
          <w:numId w:val="122"/>
        </w:numPr>
        <w:spacing w:line="276" w:lineRule="auto"/>
        <w:ind w:left="540"/>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Ojačati praćenje uvoza poboljšanjem carinskih kontrola za proizvode koji najvjerovatnije sadrže SCCP/MCCP, sa prioritetnom pažnjom na proizvode od gume i PVC.</w:t>
      </w:r>
    </w:p>
    <w:p w14:paraId="70CF1BA2" w14:textId="77777777" w:rsidR="00201FE9" w:rsidRPr="00C86111" w:rsidRDefault="00201FE9" w:rsidP="00833A40">
      <w:pPr>
        <w:pStyle w:val="ListParagraph"/>
        <w:numPr>
          <w:ilvl w:val="3"/>
          <w:numId w:val="122"/>
        </w:numPr>
        <w:spacing w:line="276" w:lineRule="auto"/>
        <w:ind w:left="540"/>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lastRenderedPageBreak/>
        <w:t>Razviti nacionalne laboratorijske kapacitete za analitičko ispitivanje SCCP/MCCP u proizvodima široke potrošnje i tokovima otpada radi poboljšanja pouzdanosti podataka.</w:t>
      </w:r>
    </w:p>
    <w:p w14:paraId="54641B73" w14:textId="77777777" w:rsidR="00201FE9" w:rsidRPr="00C86111" w:rsidRDefault="00201FE9" w:rsidP="00833A40">
      <w:pPr>
        <w:pStyle w:val="ListParagraph"/>
        <w:numPr>
          <w:ilvl w:val="3"/>
          <w:numId w:val="122"/>
        </w:numPr>
        <w:spacing w:line="276" w:lineRule="auto"/>
        <w:ind w:left="540"/>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Uvesti ciljano podizanje svijesti i obuku za zainteresovane strane, uključujući carinike, osobe odgovorne za upravljanje otpadom i predstavnike industrije, o rizicima SCCP/MCCP i obavezama prema Stokholmskoj konvenciji.</w:t>
      </w:r>
    </w:p>
    <w:p w14:paraId="1F7DDF86" w14:textId="77777777" w:rsidR="00201FE9" w:rsidRPr="00C86111" w:rsidRDefault="00201FE9" w:rsidP="00833A40">
      <w:pPr>
        <w:pStyle w:val="ListParagraph"/>
        <w:numPr>
          <w:ilvl w:val="3"/>
          <w:numId w:val="122"/>
        </w:numPr>
        <w:spacing w:line="276" w:lineRule="auto"/>
        <w:ind w:left="540"/>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Uspostaviti programe praćenja za tokove otpada visokog rizika, uključujući WEEE plastiku i vozila na kraju životnog vijeka, sa ciljem smanjenja nekontrolisanih ispuštanja.</w:t>
      </w:r>
    </w:p>
    <w:p w14:paraId="3AF4DBDD" w14:textId="77777777" w:rsidR="00201FE9" w:rsidRPr="00C86111" w:rsidRDefault="00201FE9" w:rsidP="00833A40">
      <w:pPr>
        <w:pStyle w:val="ListParagraph"/>
        <w:numPr>
          <w:ilvl w:val="3"/>
          <w:numId w:val="122"/>
        </w:numPr>
        <w:spacing w:line="276" w:lineRule="auto"/>
        <w:ind w:left="540"/>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Procijeniti i upravljati potencijalno kontaminiranim lokacijama, posebno u oblastima odlaganja i skladištenja otpada.</w:t>
      </w:r>
    </w:p>
    <w:p w14:paraId="5EA3925D" w14:textId="3BAA6EB1" w:rsidR="00201FE9" w:rsidRPr="00C86111" w:rsidRDefault="00201FE9" w:rsidP="00833A40">
      <w:pPr>
        <w:pStyle w:val="ListParagraph"/>
        <w:numPr>
          <w:ilvl w:val="3"/>
          <w:numId w:val="122"/>
        </w:numPr>
        <w:spacing w:line="276" w:lineRule="auto"/>
        <w:ind w:left="540"/>
        <w:jc w:val="both"/>
        <w:rPr>
          <w:rFonts w:asciiTheme="minorHAnsi" w:hAnsiTheme="minorHAnsi" w:cstheme="minorHAnsi"/>
          <w:color w:val="auto"/>
          <w:szCs w:val="24"/>
          <w:lang w:val="sr-Latn-ME"/>
        </w:rPr>
      </w:pPr>
      <w:r w:rsidRPr="00C86111">
        <w:rPr>
          <w:rFonts w:asciiTheme="minorHAnsi" w:hAnsiTheme="minorHAnsi" w:cstheme="minorHAnsi"/>
          <w:color w:val="auto"/>
          <w:szCs w:val="24"/>
          <w:lang w:val="sr-Latn-ME"/>
        </w:rPr>
        <w:t>Razmotriti zakonodavne mjere za ograničavanje ili postepeno ukidanje uvoza proizvoda sa visokim sadržajem SCCP/MCCP u skladu sa obavezama Stokholmske konvencije.</w:t>
      </w:r>
    </w:p>
    <w:p w14:paraId="42C65C94" w14:textId="77777777" w:rsidR="004F6023" w:rsidRPr="00C86111" w:rsidRDefault="004F6023" w:rsidP="00912C4C">
      <w:pPr>
        <w:pStyle w:val="Heading1"/>
      </w:pPr>
      <w:bookmarkStart w:id="438" w:name="_Toc220541976"/>
      <w:r w:rsidRPr="00C86111">
        <w:t>MONITORING POPs</w:t>
      </w:r>
      <w:bookmarkEnd w:id="438"/>
    </w:p>
    <w:p w14:paraId="4EDA6B10" w14:textId="77777777" w:rsidR="004F6023" w:rsidRPr="00C86111" w:rsidRDefault="004F6023" w:rsidP="00EA6904">
      <w:pPr>
        <w:pStyle w:val="Heading3"/>
      </w:pPr>
      <w:bookmarkStart w:id="439" w:name="_Toc220541977"/>
      <w:r w:rsidRPr="00C86111">
        <w:t>Uvod</w:t>
      </w:r>
      <w:bookmarkEnd w:id="439"/>
    </w:p>
    <w:p w14:paraId="7BB8A634" w14:textId="77777777" w:rsidR="00DE40D4" w:rsidRPr="00C86111" w:rsidRDefault="00DE40D4" w:rsidP="00DE40D4">
      <w:pPr>
        <w:rPr>
          <w:lang w:val="sr-Latn-ME"/>
        </w:rPr>
      </w:pPr>
    </w:p>
    <w:p w14:paraId="2C4A21BA" w14:textId="77777777" w:rsidR="004F6023" w:rsidRPr="00C86111" w:rsidRDefault="004F6023" w:rsidP="004F6023">
      <w:pPr>
        <w:jc w:val="both"/>
        <w:rPr>
          <w:szCs w:val="24"/>
        </w:rPr>
      </w:pPr>
      <w:r w:rsidRPr="00C86111">
        <w:rPr>
          <w:szCs w:val="24"/>
        </w:rPr>
        <w:t>Crna Gora nema poseban nacionalni program monitoringa koji se isključivo odnosi na postojane organske zagađivače (POPs). Umjesto toga, POPs hemikalije se prate u okviru šireg sistema monitoringa životne sredine. Monitoring životne sredine regulisan je Zakonom o životnoj sredini („Službeni list Crne Gore“, br. 052/16, 073/19). Programi obuhvataju praćenje kvaliteta voda, morskih ekosistema, kvaliteta vazduha, kontaminacije zemljišta i tokova upravljanja otpadom.</w:t>
      </w:r>
    </w:p>
    <w:p w14:paraId="32FC990A" w14:textId="77777777" w:rsidR="004F6023" w:rsidRPr="00C86111" w:rsidRDefault="004F6023" w:rsidP="004F6023">
      <w:pPr>
        <w:jc w:val="both"/>
        <w:rPr>
          <w:szCs w:val="24"/>
        </w:rPr>
      </w:pPr>
      <w:r w:rsidRPr="00C86111">
        <w:rPr>
          <w:szCs w:val="24"/>
        </w:rPr>
        <w:t>Godišnji program monitoringa priprema Agencija za zaštitu životne sredine i dostavlja ga Ministarstvu najkasnije do 1. novembra za narednu godinu Programe monitoringa površinskih, podzemnih priprema Monistarstvo poljoprivrede , šumarstva I vodoprivrede, dok je monitoring vode za piće u nadležnosti Ministarstva zdravlja.</w:t>
      </w:r>
    </w:p>
    <w:p w14:paraId="1F87DE84" w14:textId="77777777" w:rsidR="004F6023" w:rsidRPr="00C86111" w:rsidRDefault="004F6023" w:rsidP="004F6023">
      <w:pPr>
        <w:jc w:val="both"/>
        <w:rPr>
          <w:szCs w:val="24"/>
        </w:rPr>
      </w:pPr>
      <w:r w:rsidRPr="00C86111">
        <w:rPr>
          <w:szCs w:val="24"/>
        </w:rPr>
        <w:t>Monitoring životne sredine sprovodi Agencija, koja putem javnog poziva određuje akreditovane referentne laboratorije (MEST EN ISO/IEC 17025), obezbjeđujući kvalitet putem međulaboratorijske provjere. Centar za ekotoksikološka ispitivanja Podgorica (CETI) iz Podgorice stekao je status „referentne institucije“ za analizu kontaminenata , među njima I za POPs hemikalija,  u zemljištu i  morskom ekosistemu.</w:t>
      </w:r>
    </w:p>
    <w:p w14:paraId="3A70252D" w14:textId="77777777" w:rsidR="004F6023" w:rsidRPr="00C86111" w:rsidRDefault="004F6023" w:rsidP="004F6023">
      <w:pPr>
        <w:jc w:val="both"/>
        <w:rPr>
          <w:szCs w:val="24"/>
        </w:rPr>
      </w:pPr>
    </w:p>
    <w:p w14:paraId="7B4F042A" w14:textId="77777777" w:rsidR="004F6023" w:rsidRPr="00C86111" w:rsidRDefault="004F6023" w:rsidP="00EA6904">
      <w:pPr>
        <w:pStyle w:val="Heading3"/>
      </w:pPr>
      <w:bookmarkStart w:id="440" w:name="_Toc220541978"/>
      <w:r w:rsidRPr="00C86111">
        <w:t>Institucionalni kapaciteti</w:t>
      </w:r>
      <w:bookmarkEnd w:id="440"/>
    </w:p>
    <w:p w14:paraId="0D5308EA" w14:textId="77777777" w:rsidR="00DE40D4" w:rsidRPr="00C86111" w:rsidRDefault="00DE40D4" w:rsidP="00DE40D4">
      <w:pPr>
        <w:rPr>
          <w:lang w:val="sr-Latn-ME"/>
        </w:rPr>
      </w:pPr>
    </w:p>
    <w:p w14:paraId="215FB0C7" w14:textId="77777777" w:rsidR="004F6023" w:rsidRPr="00C86111" w:rsidRDefault="004F6023" w:rsidP="004F6023">
      <w:pPr>
        <w:jc w:val="both"/>
        <w:rPr>
          <w:szCs w:val="24"/>
        </w:rPr>
      </w:pPr>
      <w:r w:rsidRPr="00C86111">
        <w:rPr>
          <w:color w:val="002060"/>
          <w:szCs w:val="24"/>
        </w:rPr>
        <w:t xml:space="preserve">Centar za ekotoksikološka ispitivanja (CETI) </w:t>
      </w:r>
      <w:r w:rsidRPr="00C86111">
        <w:rPr>
          <w:szCs w:val="24"/>
        </w:rPr>
        <w:t>osnovan je Odlukom Vlade Crne Gore od 20. decembra 1996. godine („Službeni list Crne Gore“, br. 40/96). U skladu sa Zakonom o privrednim društvima, 2012. godine CETI je transformisan odlukom Vlade u društvo s ograničenom odgovornošću u stoprocentnom vlasništvu države Crne Gore („Službeni list Crne Gore“, br. 39/12).</w:t>
      </w:r>
    </w:p>
    <w:p w14:paraId="6F0D7CF6" w14:textId="77777777" w:rsidR="004F6023" w:rsidRPr="00C86111" w:rsidRDefault="004F6023" w:rsidP="004F6023">
      <w:pPr>
        <w:jc w:val="both"/>
        <w:rPr>
          <w:szCs w:val="24"/>
        </w:rPr>
      </w:pPr>
      <w:r w:rsidRPr="00C86111">
        <w:rPr>
          <w:szCs w:val="24"/>
        </w:rPr>
        <w:t xml:space="preserve">Od 1998. godine, kada je zvanično počeo sa radom, CETI je stekao sve potrebne sertifikate i ovlašćenja za svoj rad u skladu sa važećim zakonodavstvom. U skladu sa Zakonom o životnoj </w:t>
      </w:r>
      <w:r w:rsidRPr="00C86111">
        <w:rPr>
          <w:szCs w:val="24"/>
        </w:rPr>
        <w:lastRenderedPageBreak/>
        <w:t>sredini i Pravilnikom o kriterijumima koje mora ispunjavati referentna laboratorija za monitoring životne sredine, CETI je dobio status referentne institucije za:</w:t>
      </w:r>
    </w:p>
    <w:p w14:paraId="737FCBD2" w14:textId="77777777" w:rsidR="004F6023" w:rsidRPr="00C86111" w:rsidRDefault="004F6023" w:rsidP="00833A40">
      <w:pPr>
        <w:numPr>
          <w:ilvl w:val="0"/>
          <w:numId w:val="36"/>
        </w:numPr>
        <w:jc w:val="both"/>
        <w:rPr>
          <w:szCs w:val="24"/>
        </w:rPr>
      </w:pPr>
      <w:r w:rsidRPr="00C86111">
        <w:rPr>
          <w:szCs w:val="24"/>
        </w:rPr>
        <w:t>kontaminante u zemljištu,</w:t>
      </w:r>
    </w:p>
    <w:p w14:paraId="08BB2B35" w14:textId="77777777" w:rsidR="004F6023" w:rsidRPr="00C86111" w:rsidRDefault="004F6023" w:rsidP="00833A40">
      <w:pPr>
        <w:numPr>
          <w:ilvl w:val="0"/>
          <w:numId w:val="36"/>
        </w:numPr>
        <w:jc w:val="both"/>
        <w:rPr>
          <w:szCs w:val="24"/>
        </w:rPr>
      </w:pPr>
      <w:r w:rsidRPr="00C86111">
        <w:rPr>
          <w:szCs w:val="24"/>
        </w:rPr>
        <w:t>analizu fizičkih i hemijskih parametara u morskom ekosistemu,</w:t>
      </w:r>
    </w:p>
    <w:p w14:paraId="0F7543BC" w14:textId="77777777" w:rsidR="004F6023" w:rsidRPr="00C86111" w:rsidRDefault="004F6023" w:rsidP="00833A40">
      <w:pPr>
        <w:numPr>
          <w:ilvl w:val="0"/>
          <w:numId w:val="36"/>
        </w:numPr>
        <w:jc w:val="both"/>
        <w:rPr>
          <w:szCs w:val="24"/>
        </w:rPr>
      </w:pPr>
      <w:r w:rsidRPr="00C86111">
        <w:rPr>
          <w:szCs w:val="24"/>
        </w:rPr>
        <w:t>radionuklide u svim segmentima životne sredine,</w:t>
      </w:r>
    </w:p>
    <w:p w14:paraId="20B42E9C" w14:textId="77777777" w:rsidR="004F6023" w:rsidRPr="00C86111" w:rsidRDefault="004F6023" w:rsidP="00833A40">
      <w:pPr>
        <w:numPr>
          <w:ilvl w:val="0"/>
          <w:numId w:val="36"/>
        </w:numPr>
        <w:jc w:val="both"/>
        <w:rPr>
          <w:szCs w:val="24"/>
        </w:rPr>
      </w:pPr>
      <w:r w:rsidRPr="00C86111">
        <w:rPr>
          <w:szCs w:val="24"/>
        </w:rPr>
        <w:t>analizu buke.</w:t>
      </w:r>
    </w:p>
    <w:p w14:paraId="3B6CC9B3" w14:textId="77777777" w:rsidR="004F6023" w:rsidRPr="00C86111" w:rsidRDefault="004F6023" w:rsidP="004F6023">
      <w:pPr>
        <w:jc w:val="both"/>
        <w:rPr>
          <w:szCs w:val="24"/>
        </w:rPr>
      </w:pPr>
      <w:r w:rsidRPr="00C86111">
        <w:rPr>
          <w:szCs w:val="24"/>
        </w:rPr>
        <w:t>Na osnovu dobijenih ovlašćenja, CETI je odgovoran za sprovođenje nacionalnog monitoringa u životnoj sredini kroz sljedeće programe:</w:t>
      </w:r>
    </w:p>
    <w:p w14:paraId="5782A640" w14:textId="77777777" w:rsidR="004F6023" w:rsidRPr="00C86111" w:rsidRDefault="004F6023" w:rsidP="00833A40">
      <w:pPr>
        <w:numPr>
          <w:ilvl w:val="0"/>
          <w:numId w:val="37"/>
        </w:numPr>
        <w:jc w:val="both"/>
        <w:rPr>
          <w:szCs w:val="24"/>
        </w:rPr>
      </w:pPr>
      <w:r w:rsidRPr="00C86111">
        <w:rPr>
          <w:szCs w:val="24"/>
        </w:rPr>
        <w:t>Program monitoringa morskog ekosistema(program obuhvata ispitivanja sadržaja hemijskih elemenata, organskih zagađivača poput POPs-a, pesticida, PAH jedinjenja, organokositarnih jedinjenja i dr. u vodi, sedimentu i bioti)</w:t>
      </w:r>
    </w:p>
    <w:p w14:paraId="4A30D75E" w14:textId="77777777" w:rsidR="004F6023" w:rsidRPr="00C86111" w:rsidRDefault="004F6023" w:rsidP="00833A40">
      <w:pPr>
        <w:numPr>
          <w:ilvl w:val="0"/>
          <w:numId w:val="37"/>
        </w:numPr>
        <w:jc w:val="both"/>
        <w:rPr>
          <w:szCs w:val="24"/>
        </w:rPr>
      </w:pPr>
      <w:r w:rsidRPr="00C86111">
        <w:rPr>
          <w:szCs w:val="24"/>
        </w:rPr>
        <w:t>Program ispitivanja sadržaja radionuklida u životnoj sredini</w:t>
      </w:r>
    </w:p>
    <w:p w14:paraId="4EC2FD20" w14:textId="77777777" w:rsidR="004F6023" w:rsidRPr="00C86111" w:rsidRDefault="004F6023" w:rsidP="00833A40">
      <w:pPr>
        <w:numPr>
          <w:ilvl w:val="0"/>
          <w:numId w:val="37"/>
        </w:numPr>
        <w:jc w:val="both"/>
        <w:rPr>
          <w:szCs w:val="24"/>
        </w:rPr>
      </w:pPr>
      <w:r w:rsidRPr="00C86111">
        <w:rPr>
          <w:szCs w:val="24"/>
        </w:rPr>
        <w:t>Program monitoringa buke u životnoj sredini</w:t>
      </w:r>
    </w:p>
    <w:p w14:paraId="29759582" w14:textId="77777777" w:rsidR="004F6023" w:rsidRPr="00C86111" w:rsidRDefault="004F6023" w:rsidP="00833A40">
      <w:pPr>
        <w:numPr>
          <w:ilvl w:val="0"/>
          <w:numId w:val="37"/>
        </w:numPr>
        <w:jc w:val="both"/>
        <w:rPr>
          <w:szCs w:val="24"/>
        </w:rPr>
      </w:pPr>
      <w:r w:rsidRPr="00C86111">
        <w:rPr>
          <w:szCs w:val="24"/>
        </w:rPr>
        <w:t>Program monitoringa opasnih i štetnih supstanci u zemljištu</w:t>
      </w:r>
      <w:r w:rsidRPr="00C86111">
        <w:rPr>
          <w:szCs w:val="24"/>
        </w:rPr>
        <w:br/>
        <w:t>(program obuhvata ispitivanja sadržaja hemijskih elemenata, PCB-a, dioksina, pesticida, PAH jedinjenja i organokositarnih spojeva)</w:t>
      </w:r>
    </w:p>
    <w:p w14:paraId="1EF570BF" w14:textId="77777777" w:rsidR="004F6023" w:rsidRPr="00C86111" w:rsidRDefault="004F6023" w:rsidP="004F6023">
      <w:pPr>
        <w:jc w:val="both"/>
        <w:rPr>
          <w:szCs w:val="24"/>
        </w:rPr>
      </w:pPr>
      <w:r w:rsidRPr="00C86111">
        <w:rPr>
          <w:szCs w:val="24"/>
        </w:rPr>
        <w:t>CETI je jedina ovlašćena institucija u Crnoj Gori za mjerenje emisija iz stacionarnih izvora zagađenja. Procjena rizika i mogućeg opterećenja određenih segmenata životne sredine zagađivačima takođe predstavlja jednu od važnih aktivnosti CETI-ja.</w:t>
      </w:r>
    </w:p>
    <w:p w14:paraId="48F32508" w14:textId="16E695E0" w:rsidR="004F6023" w:rsidRPr="00C86111" w:rsidRDefault="004F6023" w:rsidP="004F6023">
      <w:pPr>
        <w:jc w:val="both"/>
        <w:rPr>
          <w:szCs w:val="24"/>
        </w:rPr>
      </w:pPr>
      <w:r w:rsidRPr="00C86111">
        <w:rPr>
          <w:szCs w:val="24"/>
        </w:rPr>
        <w:t xml:space="preserve">CETI je uspješno sproveo detaljno istraživanje o opterećenju luka u Boki Kotorskoj POPs hemikalijama i živom, te izvršio procjenu rizika (SSFA sa UNEP/MAP/GEF). Zahvaljujući velikom broju akreditovanih metoda i usklađenosti sa standardom MEST ISO/IEC 17025, CETI je ovlašćena laboratorija za analize bezbjednosti hrane (monitoring </w:t>
      </w:r>
      <w:r w:rsidR="000D1995" w:rsidRPr="00C86111">
        <w:rPr>
          <w:szCs w:val="24"/>
        </w:rPr>
        <w:t>emisije</w:t>
      </w:r>
      <w:r w:rsidRPr="00C86111">
        <w:rPr>
          <w:szCs w:val="24"/>
        </w:rPr>
        <w:t xml:space="preserve"> i zvanične kontrole). CETI samostalno realizuje veliki broj programa monitoringa u oblasti bezbjednosti hrane, među kojima su:</w:t>
      </w:r>
    </w:p>
    <w:p w14:paraId="32E06EFC" w14:textId="77777777" w:rsidR="004F6023" w:rsidRPr="00C86111" w:rsidRDefault="004F6023" w:rsidP="00833A40">
      <w:pPr>
        <w:numPr>
          <w:ilvl w:val="0"/>
          <w:numId w:val="38"/>
        </w:numPr>
        <w:jc w:val="both"/>
        <w:rPr>
          <w:szCs w:val="24"/>
        </w:rPr>
      </w:pPr>
      <w:r w:rsidRPr="00C86111">
        <w:rPr>
          <w:szCs w:val="24"/>
        </w:rPr>
        <w:t>Monitoring ostataka sredstava za zaštitu bilja (pesticida)</w:t>
      </w:r>
    </w:p>
    <w:p w14:paraId="670E9389" w14:textId="77777777" w:rsidR="004F6023" w:rsidRPr="00C86111" w:rsidRDefault="004F6023" w:rsidP="00833A40">
      <w:pPr>
        <w:numPr>
          <w:ilvl w:val="0"/>
          <w:numId w:val="38"/>
        </w:numPr>
        <w:jc w:val="both"/>
        <w:rPr>
          <w:szCs w:val="24"/>
        </w:rPr>
      </w:pPr>
      <w:r w:rsidRPr="00C86111">
        <w:rPr>
          <w:szCs w:val="24"/>
        </w:rPr>
        <w:t>Monitoring bezbjednosti školjki</w:t>
      </w:r>
    </w:p>
    <w:p w14:paraId="353ECE61" w14:textId="77777777" w:rsidR="004F6023" w:rsidRPr="00C86111" w:rsidRDefault="004F6023" w:rsidP="00833A40">
      <w:pPr>
        <w:numPr>
          <w:ilvl w:val="0"/>
          <w:numId w:val="38"/>
        </w:numPr>
        <w:jc w:val="both"/>
        <w:rPr>
          <w:szCs w:val="24"/>
        </w:rPr>
      </w:pPr>
      <w:r w:rsidRPr="00C86111">
        <w:rPr>
          <w:szCs w:val="24"/>
        </w:rPr>
        <w:t>Monitoring prisustva rezidua u živim životinjama, njihovim ekskretima, tjelesnim tečnostima, tkivima i proizvodima životinjskog porijekla, hrani za životinje i vodi za napajanje životinja, koji se djelimično sprovodi u saradnji sa Institutom za javno zdravlje Crne Gore (IPHMNE).</w:t>
      </w:r>
    </w:p>
    <w:p w14:paraId="45803063" w14:textId="77777777" w:rsidR="004F6023" w:rsidRPr="00C86111" w:rsidRDefault="004F6023" w:rsidP="004F6023">
      <w:pPr>
        <w:jc w:val="both"/>
        <w:rPr>
          <w:szCs w:val="24"/>
        </w:rPr>
      </w:pPr>
      <w:r w:rsidRPr="00C86111">
        <w:rPr>
          <w:szCs w:val="24"/>
        </w:rPr>
        <w:t>U skladu sa Zakonom o zaštiti vazduha („Službeni list Crne Gore“, br. 025/10, 040/11, 043/15, 73/19), CETI je nadležan za sprovođenje godišnjeg programa monitoringa kvaliteta vazduha na mjernim tačkama u okviru državne mreže za praćenje kvaliteta vazduha.</w:t>
      </w:r>
    </w:p>
    <w:p w14:paraId="61CD14F0" w14:textId="77777777" w:rsidR="004F6023" w:rsidRPr="00C86111" w:rsidRDefault="004F6023" w:rsidP="004F6023">
      <w:pPr>
        <w:jc w:val="both"/>
        <w:rPr>
          <w:szCs w:val="24"/>
        </w:rPr>
      </w:pPr>
    </w:p>
    <w:p w14:paraId="5B2DA178" w14:textId="77777777" w:rsidR="004F6023" w:rsidRPr="00C86111" w:rsidRDefault="004F6023" w:rsidP="004F6023">
      <w:pPr>
        <w:jc w:val="both"/>
        <w:rPr>
          <w:szCs w:val="24"/>
        </w:rPr>
      </w:pPr>
      <w:r w:rsidRPr="00C86111">
        <w:rPr>
          <w:color w:val="002060"/>
          <w:szCs w:val="24"/>
        </w:rPr>
        <w:t xml:space="preserve">Institut za javno zdravlje Crne Gore (IJZCG) </w:t>
      </w:r>
      <w:r w:rsidRPr="00C86111">
        <w:rPr>
          <w:szCs w:val="24"/>
        </w:rPr>
        <w:t>je licencirana naučno-istraživačka institucija. Institut sprovodi istraživanja radi boljeg razumijevanja zdravlja i prevencije bolesti, sa fokusom na širok spektar pitanja javnog zdravlja, uključujući epidemiološke, ekološke i HBM studije, studije promocije zdravlja i socijalne medicine.</w:t>
      </w:r>
    </w:p>
    <w:p w14:paraId="00985D3A" w14:textId="77777777" w:rsidR="004F6023" w:rsidRPr="00C86111" w:rsidRDefault="004F6023" w:rsidP="004F6023">
      <w:pPr>
        <w:jc w:val="both"/>
        <w:rPr>
          <w:szCs w:val="24"/>
        </w:rPr>
      </w:pPr>
      <w:r w:rsidRPr="00C86111">
        <w:rPr>
          <w:szCs w:val="24"/>
        </w:rPr>
        <w:t>Pored toga, Institut za javno zdravlje, kao preventivno-medicinska ustanova na tercijarnom nivou zdravstvenog sistema, između ostalog, bavi se zdravim stilovima života, kvalitetom ishrane i prehrambenih navika, analizom bezbjednosti hrane, predmeta opšte upotrebe, kozmetike, igračaka i voda (pijaća, otpadna, površinska i podzemna voda), kao i analizom ljudskih uzoraka (krv, urin, kosa).</w:t>
      </w:r>
    </w:p>
    <w:p w14:paraId="703D2B5F" w14:textId="77777777" w:rsidR="004F6023" w:rsidRPr="00C86111" w:rsidRDefault="004F6023" w:rsidP="004F6023">
      <w:pPr>
        <w:jc w:val="both"/>
        <w:rPr>
          <w:szCs w:val="24"/>
        </w:rPr>
      </w:pPr>
      <w:r w:rsidRPr="00C86111">
        <w:rPr>
          <w:szCs w:val="24"/>
        </w:rPr>
        <w:lastRenderedPageBreak/>
        <w:t>IJZCG prati, analizira i procjenjuje uticaj životne sredine (vazduh, voda, zemljište, buka) na zdravlje stanovništva. IJZCG realizuje program monitoringa vode za piće. Djelokrug rada Instituta obuhvata:</w:t>
      </w:r>
    </w:p>
    <w:p w14:paraId="75B5C948" w14:textId="77777777" w:rsidR="004F6023" w:rsidRPr="00C86111" w:rsidRDefault="004F6023" w:rsidP="00833A40">
      <w:pPr>
        <w:numPr>
          <w:ilvl w:val="0"/>
          <w:numId w:val="39"/>
        </w:numPr>
        <w:jc w:val="both"/>
        <w:rPr>
          <w:szCs w:val="24"/>
        </w:rPr>
      </w:pPr>
      <w:r w:rsidRPr="00C86111">
        <w:rPr>
          <w:szCs w:val="24"/>
        </w:rPr>
        <w:t>praćenje, istraživanje i proučavanje zdravlja i zdravstvene kulture stanovništva,</w:t>
      </w:r>
    </w:p>
    <w:p w14:paraId="59F7B894" w14:textId="77777777" w:rsidR="004F6023" w:rsidRPr="00C86111" w:rsidRDefault="004F6023" w:rsidP="00833A40">
      <w:pPr>
        <w:numPr>
          <w:ilvl w:val="0"/>
          <w:numId w:val="39"/>
        </w:numPr>
        <w:jc w:val="both"/>
        <w:rPr>
          <w:szCs w:val="24"/>
        </w:rPr>
      </w:pPr>
      <w:r w:rsidRPr="00C86111">
        <w:rPr>
          <w:szCs w:val="24"/>
        </w:rPr>
        <w:t>ispitivanje uzroka, širenja i prevencije zaraznih bolesti,</w:t>
      </w:r>
    </w:p>
    <w:p w14:paraId="0F70F57D" w14:textId="77777777" w:rsidR="004F6023" w:rsidRPr="00C86111" w:rsidRDefault="004F6023" w:rsidP="00833A40">
      <w:pPr>
        <w:numPr>
          <w:ilvl w:val="0"/>
          <w:numId w:val="39"/>
        </w:numPr>
        <w:jc w:val="both"/>
        <w:rPr>
          <w:szCs w:val="24"/>
        </w:rPr>
      </w:pPr>
      <w:r w:rsidRPr="00C86111">
        <w:rPr>
          <w:szCs w:val="24"/>
        </w:rPr>
        <w:t>analizu faktora rizika za hronične nezarazne bolesti i druge bolesti od velikog socijalno-medicinskog značaja,</w:t>
      </w:r>
    </w:p>
    <w:p w14:paraId="7B866937" w14:textId="77777777" w:rsidR="004F6023" w:rsidRPr="00C86111" w:rsidRDefault="004F6023" w:rsidP="00833A40">
      <w:pPr>
        <w:numPr>
          <w:ilvl w:val="0"/>
          <w:numId w:val="39"/>
        </w:numPr>
        <w:jc w:val="both"/>
        <w:rPr>
          <w:szCs w:val="24"/>
        </w:rPr>
      </w:pPr>
      <w:r w:rsidRPr="00C86111">
        <w:rPr>
          <w:szCs w:val="24"/>
        </w:rPr>
        <w:t>organizaciju, rad i razvoj zdravstvene službe,</w:t>
      </w:r>
    </w:p>
    <w:p w14:paraId="6E7F54A5" w14:textId="77777777" w:rsidR="004F6023" w:rsidRPr="00C86111" w:rsidRDefault="004F6023" w:rsidP="00833A40">
      <w:pPr>
        <w:numPr>
          <w:ilvl w:val="0"/>
          <w:numId w:val="39"/>
        </w:numPr>
        <w:jc w:val="both"/>
        <w:rPr>
          <w:szCs w:val="24"/>
        </w:rPr>
      </w:pPr>
      <w:r w:rsidRPr="00C86111">
        <w:rPr>
          <w:szCs w:val="24"/>
        </w:rPr>
        <w:t>predlaganje i sprovođenje odgovarajućih mjera za prevenciju i unapređenje zdravlja stanovništva.</w:t>
      </w:r>
    </w:p>
    <w:p w14:paraId="353BC164" w14:textId="77777777" w:rsidR="00DE40D4" w:rsidRPr="00C86111" w:rsidRDefault="004F6023" w:rsidP="00004F34">
      <w:pPr>
        <w:pStyle w:val="Heading1"/>
        <w:numPr>
          <w:ilvl w:val="1"/>
          <w:numId w:val="238"/>
        </w:numPr>
      </w:pPr>
      <w:bookmarkStart w:id="441" w:name="_Toc220541979"/>
      <w:r w:rsidRPr="00C86111">
        <w:t>Programi monitoringa POPs-a</w:t>
      </w:r>
      <w:bookmarkEnd w:id="441"/>
    </w:p>
    <w:p w14:paraId="7DCAC0EE" w14:textId="0317704C" w:rsidR="004F6023" w:rsidRPr="00C86111" w:rsidRDefault="004F6023" w:rsidP="00EA6904">
      <w:pPr>
        <w:pStyle w:val="Heading3"/>
      </w:pPr>
      <w:bookmarkStart w:id="442" w:name="_Toc220541980"/>
      <w:r w:rsidRPr="00C86111">
        <w:t>Monitoring zemljišta</w:t>
      </w:r>
      <w:bookmarkEnd w:id="442"/>
    </w:p>
    <w:p w14:paraId="64F764B8" w14:textId="77777777" w:rsidR="00DE40D4" w:rsidRPr="00C86111" w:rsidRDefault="00DE40D4" w:rsidP="00DE40D4">
      <w:pPr>
        <w:rPr>
          <w:lang w:val="sr-Latn-ME"/>
        </w:rPr>
      </w:pPr>
    </w:p>
    <w:p w14:paraId="665865F1" w14:textId="77777777" w:rsidR="004F6023" w:rsidRPr="00C86111" w:rsidRDefault="004F6023" w:rsidP="00DE40D4">
      <w:pPr>
        <w:jc w:val="both"/>
        <w:rPr>
          <w:szCs w:val="24"/>
        </w:rPr>
      </w:pPr>
      <w:r w:rsidRPr="00C86111">
        <w:rPr>
          <w:szCs w:val="24"/>
        </w:rPr>
        <w:t>Od 1998. godine, Crna Gora sprovodi Program ispitivanja sadržaja opasnih i štetnih materija u zemljištu. Cilj programa je praćenje prisustva opasnih i štetnih supstanci u zemljištu u blizini deponija, trafostanica, saobraćajnica, industrijskih zona, aerodroma i stambenih područja, uz posebnu pažnju posvećenu dječijim igralištima i parkovima.</w:t>
      </w:r>
    </w:p>
    <w:p w14:paraId="684BB593" w14:textId="77777777" w:rsidR="004F6023" w:rsidRPr="00C86111" w:rsidRDefault="004F6023" w:rsidP="004F6023">
      <w:pPr>
        <w:jc w:val="both"/>
        <w:rPr>
          <w:szCs w:val="24"/>
        </w:rPr>
      </w:pPr>
      <w:r w:rsidRPr="00C86111">
        <w:rPr>
          <w:szCs w:val="24"/>
        </w:rPr>
        <w:t>Monitoring zemljišta sprovodi se u skladu sa:</w:t>
      </w:r>
    </w:p>
    <w:p w14:paraId="3B81BF3D" w14:textId="77777777" w:rsidR="004F6023" w:rsidRPr="00C86111" w:rsidRDefault="004F6023" w:rsidP="00833A40">
      <w:pPr>
        <w:numPr>
          <w:ilvl w:val="0"/>
          <w:numId w:val="40"/>
        </w:numPr>
        <w:jc w:val="both"/>
        <w:rPr>
          <w:szCs w:val="24"/>
        </w:rPr>
      </w:pPr>
      <w:r w:rsidRPr="00C86111">
        <w:rPr>
          <w:szCs w:val="24"/>
        </w:rPr>
        <w:t>Zakonom o zaštiti životne sredine („Službeni list Crne Gore“, br. 052/16, 073/19, 084/24),</w:t>
      </w:r>
    </w:p>
    <w:p w14:paraId="7B926425" w14:textId="77777777" w:rsidR="004F6023" w:rsidRPr="00C86111" w:rsidRDefault="004F6023" w:rsidP="00833A40">
      <w:pPr>
        <w:numPr>
          <w:ilvl w:val="0"/>
          <w:numId w:val="40"/>
        </w:numPr>
        <w:jc w:val="both"/>
        <w:rPr>
          <w:szCs w:val="24"/>
        </w:rPr>
      </w:pPr>
      <w:r w:rsidRPr="00C86111">
        <w:rPr>
          <w:szCs w:val="24"/>
        </w:rPr>
        <w:t>Zakonom o poljoprivrednom zemljištu („Službeni list Republike Crne Gore“, br. 015/92, 059/92, 027/94; „Službeni list Crne Gore“, br. 073/10, 032/11),</w:t>
      </w:r>
    </w:p>
    <w:p w14:paraId="3A18C93E" w14:textId="77777777" w:rsidR="004F6023" w:rsidRPr="00C86111" w:rsidRDefault="004F6023" w:rsidP="00833A40">
      <w:pPr>
        <w:numPr>
          <w:ilvl w:val="0"/>
          <w:numId w:val="40"/>
        </w:numPr>
        <w:jc w:val="both"/>
        <w:rPr>
          <w:szCs w:val="24"/>
        </w:rPr>
      </w:pPr>
      <w:r w:rsidRPr="00C86111">
        <w:rPr>
          <w:szCs w:val="24"/>
        </w:rPr>
        <w:t>Pravilnikom o graničnim vrijednostima štetnih i opasnih materija u zemljištu i metodama njihovog ispitivanja („Službeni list RCG“, br. 18/97).</w:t>
      </w:r>
    </w:p>
    <w:p w14:paraId="63ED1548" w14:textId="77777777" w:rsidR="004F6023" w:rsidRPr="00C86111" w:rsidRDefault="004F6023" w:rsidP="004F6023">
      <w:pPr>
        <w:jc w:val="both"/>
        <w:rPr>
          <w:szCs w:val="24"/>
        </w:rPr>
      </w:pPr>
      <w:r w:rsidRPr="00C86111">
        <w:rPr>
          <w:szCs w:val="24"/>
        </w:rPr>
        <w:t>Program je usklađen sa zahtjevima Evropske agencije za životnu sredinu (EEA). Pravilnik definiše maksimalno dozvoljene koncentracije (MDK) za određene postojane organske zagađivače (POPs), uključujući PCB i DDT. U okviru praćenja stanja zemljišta analizira se prisustvo ključnih POPs hemikalija, kao što su: PCB, aldrin, DDT, dieldrin, endrin, heptahlor, heksahlorbenzen (HCB), mireks, α-HCH, β-HCH, PFOS (perfluorooktanska sulfatna kiselina) i PBDE (polibromovani difenil etri).</w:t>
      </w:r>
    </w:p>
    <w:p w14:paraId="1956491E" w14:textId="62AA390F" w:rsidR="004F6023" w:rsidRPr="00C86111" w:rsidRDefault="004F6023" w:rsidP="004F6023">
      <w:pPr>
        <w:jc w:val="both"/>
        <w:rPr>
          <w:szCs w:val="24"/>
        </w:rPr>
      </w:pPr>
      <w:r w:rsidRPr="00C86111">
        <w:rPr>
          <w:szCs w:val="24"/>
        </w:rPr>
        <w:t>Tokom 2022. i 2023. godine, uzorci zemljišta prikupljeni su u pet opština — Berane, Nikšić, Pljevlja, Podgorica i Žabljak — sa ukupno 7 analiziranih uzoraka</w:t>
      </w:r>
      <w:r w:rsidR="0042690B">
        <w:rPr>
          <w:szCs w:val="24"/>
        </w:rPr>
        <w:t xml:space="preserve"> </w:t>
      </w:r>
      <w:r w:rsidR="00DE40D4" w:rsidRPr="00C86111">
        <w:rPr>
          <w:szCs w:val="24"/>
        </w:rPr>
        <w:t>(Tabela 11</w:t>
      </w:r>
      <w:r w:rsidR="0042690B">
        <w:rPr>
          <w:szCs w:val="24"/>
        </w:rPr>
        <w:t>7</w:t>
      </w:r>
      <w:r w:rsidR="00DE40D4" w:rsidRPr="00C86111">
        <w:rPr>
          <w:szCs w:val="24"/>
        </w:rPr>
        <w:t>).</w:t>
      </w:r>
    </w:p>
    <w:p w14:paraId="1E3FD533" w14:textId="77777777" w:rsidR="004F6023" w:rsidRPr="00C86111" w:rsidRDefault="004F6023" w:rsidP="004F6023">
      <w:pPr>
        <w:jc w:val="both"/>
        <w:rPr>
          <w:szCs w:val="24"/>
        </w:rPr>
      </w:pPr>
    </w:p>
    <w:p w14:paraId="11E2BC14" w14:textId="38C0FFF8" w:rsidR="004F6023" w:rsidRPr="00C86111" w:rsidRDefault="004F6023" w:rsidP="004F6023">
      <w:pPr>
        <w:jc w:val="both"/>
        <w:rPr>
          <w:szCs w:val="24"/>
        </w:rPr>
      </w:pPr>
      <w:r w:rsidRPr="00C86111">
        <w:rPr>
          <w:b/>
          <w:bCs/>
          <w:szCs w:val="24"/>
        </w:rPr>
        <w:t>Tabela 1</w:t>
      </w:r>
      <w:r w:rsidR="00DE40D4" w:rsidRPr="00C86111">
        <w:rPr>
          <w:b/>
          <w:bCs/>
          <w:szCs w:val="24"/>
        </w:rPr>
        <w:t>1</w:t>
      </w:r>
      <w:r w:rsidR="0042690B">
        <w:rPr>
          <w:b/>
          <w:bCs/>
          <w:szCs w:val="24"/>
        </w:rPr>
        <w:t>7</w:t>
      </w:r>
      <w:r w:rsidRPr="00C86111">
        <w:rPr>
          <w:b/>
          <w:bCs/>
          <w:szCs w:val="24"/>
        </w:rPr>
        <w:t>.</w:t>
      </w:r>
      <w:r w:rsidRPr="00C86111">
        <w:rPr>
          <w:szCs w:val="24"/>
        </w:rPr>
        <w:t xml:space="preserve"> Sažeti rezultati za POPs – monitoring zemljišta</w:t>
      </w:r>
    </w:p>
    <w:tbl>
      <w:tblPr>
        <w:tblStyle w:val="GridTable5Dark-Accent6"/>
        <w:tblW w:w="0" w:type="auto"/>
        <w:tblLook w:val="04A0" w:firstRow="1" w:lastRow="0" w:firstColumn="1" w:lastColumn="0" w:noHBand="0" w:noVBand="1"/>
      </w:tblPr>
      <w:tblGrid>
        <w:gridCol w:w="1474"/>
        <w:gridCol w:w="3450"/>
        <w:gridCol w:w="1816"/>
        <w:gridCol w:w="2610"/>
      </w:tblGrid>
      <w:tr w:rsidR="004F6023" w:rsidRPr="00C86111" w14:paraId="042F8DF8"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5607BC" w14:textId="77777777" w:rsidR="004F6023" w:rsidRPr="00C86111" w:rsidRDefault="004F6023" w:rsidP="00BC765B">
            <w:pPr>
              <w:jc w:val="both"/>
              <w:rPr>
                <w:b w:val="0"/>
                <w:bCs w:val="0"/>
                <w:sz w:val="20"/>
                <w:szCs w:val="20"/>
              </w:rPr>
            </w:pPr>
            <w:r w:rsidRPr="00C86111">
              <w:rPr>
                <w:sz w:val="20"/>
                <w:szCs w:val="20"/>
              </w:rPr>
              <w:t>Lokacija</w:t>
            </w:r>
          </w:p>
        </w:tc>
        <w:tc>
          <w:tcPr>
            <w:tcW w:w="0" w:type="auto"/>
            <w:hideMark/>
          </w:tcPr>
          <w:p w14:paraId="7973812C"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C86111">
              <w:rPr>
                <w:sz w:val="20"/>
                <w:szCs w:val="20"/>
              </w:rPr>
              <w:t>Otkriveni POPs</w:t>
            </w:r>
          </w:p>
        </w:tc>
        <w:tc>
          <w:tcPr>
            <w:tcW w:w="0" w:type="auto"/>
            <w:hideMark/>
          </w:tcPr>
          <w:p w14:paraId="5F2F78EE"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C86111">
              <w:rPr>
                <w:sz w:val="20"/>
                <w:szCs w:val="20"/>
              </w:rPr>
              <w:t>Koncentracija / Nalaz</w:t>
            </w:r>
          </w:p>
        </w:tc>
        <w:tc>
          <w:tcPr>
            <w:tcW w:w="0" w:type="auto"/>
            <w:hideMark/>
          </w:tcPr>
          <w:p w14:paraId="3B3F3DB8"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C86111">
              <w:rPr>
                <w:sz w:val="20"/>
                <w:szCs w:val="20"/>
              </w:rPr>
              <w:t>Vjerovatni izvor</w:t>
            </w:r>
          </w:p>
        </w:tc>
      </w:tr>
      <w:tr w:rsidR="004F6023" w:rsidRPr="00C86111" w14:paraId="3A260086"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661991" w14:textId="77777777" w:rsidR="004F6023" w:rsidRPr="00C86111" w:rsidRDefault="004F6023" w:rsidP="00BC765B">
            <w:pPr>
              <w:jc w:val="both"/>
              <w:rPr>
                <w:sz w:val="20"/>
                <w:szCs w:val="20"/>
              </w:rPr>
            </w:pPr>
            <w:r w:rsidRPr="00C86111">
              <w:rPr>
                <w:sz w:val="20"/>
                <w:szCs w:val="20"/>
              </w:rPr>
              <w:t>Nikšić (Rubeža)</w:t>
            </w:r>
          </w:p>
        </w:tc>
        <w:tc>
          <w:tcPr>
            <w:tcW w:w="0" w:type="auto"/>
            <w:hideMark/>
          </w:tcPr>
          <w:p w14:paraId="7AEFAB89"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PCB kongeneri (118, 153, 138, 180), PAH jedinjenja</w:t>
            </w:r>
          </w:p>
        </w:tc>
        <w:tc>
          <w:tcPr>
            <w:tcW w:w="0" w:type="auto"/>
            <w:hideMark/>
          </w:tcPr>
          <w:p w14:paraId="57949B22"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Povišene vrijednosti</w:t>
            </w:r>
          </w:p>
        </w:tc>
        <w:tc>
          <w:tcPr>
            <w:tcW w:w="0" w:type="auto"/>
            <w:hideMark/>
          </w:tcPr>
          <w:p w14:paraId="7B1044A2"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Emisije iz Željezare</w:t>
            </w:r>
          </w:p>
        </w:tc>
      </w:tr>
      <w:tr w:rsidR="004F6023" w:rsidRPr="00C86111" w14:paraId="6D90BD22"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5EEEF051" w14:textId="77777777" w:rsidR="004F6023" w:rsidRPr="00C86111" w:rsidRDefault="004F6023" w:rsidP="00BC765B">
            <w:pPr>
              <w:jc w:val="both"/>
              <w:rPr>
                <w:sz w:val="20"/>
                <w:szCs w:val="20"/>
              </w:rPr>
            </w:pPr>
            <w:r w:rsidRPr="00C86111">
              <w:rPr>
                <w:sz w:val="20"/>
                <w:szCs w:val="20"/>
              </w:rPr>
              <w:t>Pljevlja (igralište)</w:t>
            </w:r>
          </w:p>
        </w:tc>
        <w:tc>
          <w:tcPr>
            <w:tcW w:w="0" w:type="auto"/>
            <w:hideMark/>
          </w:tcPr>
          <w:p w14:paraId="0F8632E3"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PAH jedinjenja</w:t>
            </w:r>
          </w:p>
        </w:tc>
        <w:tc>
          <w:tcPr>
            <w:tcW w:w="0" w:type="auto"/>
            <w:hideMark/>
          </w:tcPr>
          <w:p w14:paraId="2A5AF1AD"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Povišene vrijednosti</w:t>
            </w:r>
          </w:p>
        </w:tc>
        <w:tc>
          <w:tcPr>
            <w:tcW w:w="0" w:type="auto"/>
            <w:hideMark/>
          </w:tcPr>
          <w:p w14:paraId="7DF65110"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Ispuštanje izduvnih gasova, toplane</w:t>
            </w:r>
          </w:p>
        </w:tc>
      </w:tr>
      <w:tr w:rsidR="004F6023" w:rsidRPr="00C86111" w14:paraId="0D67169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B4B7F6" w14:textId="77777777" w:rsidR="004F6023" w:rsidRPr="00C86111" w:rsidRDefault="004F6023" w:rsidP="00BC765B">
            <w:pPr>
              <w:jc w:val="both"/>
              <w:rPr>
                <w:sz w:val="20"/>
                <w:szCs w:val="20"/>
              </w:rPr>
            </w:pPr>
            <w:r w:rsidRPr="00C86111">
              <w:rPr>
                <w:sz w:val="20"/>
                <w:szCs w:val="20"/>
              </w:rPr>
              <w:t>Pljevlja</w:t>
            </w:r>
          </w:p>
        </w:tc>
        <w:tc>
          <w:tcPr>
            <w:tcW w:w="0" w:type="auto"/>
            <w:hideMark/>
          </w:tcPr>
          <w:p w14:paraId="040246E4"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HCB</w:t>
            </w:r>
          </w:p>
        </w:tc>
        <w:tc>
          <w:tcPr>
            <w:tcW w:w="0" w:type="auto"/>
            <w:hideMark/>
          </w:tcPr>
          <w:p w14:paraId="6666493B"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0,0039 mg/kg</w:t>
            </w:r>
          </w:p>
        </w:tc>
        <w:tc>
          <w:tcPr>
            <w:tcW w:w="0" w:type="auto"/>
            <w:hideMark/>
          </w:tcPr>
          <w:p w14:paraId="7D14434F"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Nepotpuno sagorijevanje</w:t>
            </w:r>
          </w:p>
        </w:tc>
      </w:tr>
    </w:tbl>
    <w:p w14:paraId="46DAD0CF" w14:textId="77777777" w:rsidR="004F6023" w:rsidRPr="00C86111" w:rsidRDefault="004F6023" w:rsidP="004F6023">
      <w:pPr>
        <w:jc w:val="both"/>
        <w:rPr>
          <w:szCs w:val="24"/>
        </w:rPr>
      </w:pPr>
    </w:p>
    <w:p w14:paraId="75221F63" w14:textId="77777777" w:rsidR="008015BD" w:rsidRDefault="008015BD" w:rsidP="00EA6904">
      <w:pPr>
        <w:pStyle w:val="Heading4"/>
      </w:pPr>
    </w:p>
    <w:p w14:paraId="53897E3F" w14:textId="021B874C" w:rsidR="004F6023" w:rsidRPr="00C86111" w:rsidRDefault="004F6023" w:rsidP="00EA6904">
      <w:pPr>
        <w:pStyle w:val="Heading4"/>
      </w:pPr>
      <w:r w:rsidRPr="00C86111">
        <w:lastRenderedPageBreak/>
        <w:t>Monitoring površinskih i podzemnih voda</w:t>
      </w:r>
    </w:p>
    <w:p w14:paraId="60031587" w14:textId="77777777" w:rsidR="004F6023" w:rsidRPr="00C86111" w:rsidRDefault="004F6023" w:rsidP="004F6023">
      <w:pPr>
        <w:jc w:val="both"/>
        <w:rPr>
          <w:szCs w:val="24"/>
        </w:rPr>
      </w:pPr>
      <w:r w:rsidRPr="00C86111">
        <w:rPr>
          <w:szCs w:val="24"/>
        </w:rPr>
        <w:t>Institut za hidrometeorologiju i seizmologiju Crne Gore (IHMS) sprovodi kvalitativni i kvantitativni monitoring površinskih i podzemnih voda u skladu sa Zakonom o vodama („Službeni list Crne Gore“, br. 27/07, 32/11, 47/11, 48/15, 52/16, 55/16, 2/17, 80/17, 84/18).</w:t>
      </w:r>
    </w:p>
    <w:p w14:paraId="715DCFF4" w14:textId="77777777" w:rsidR="004F6023" w:rsidRPr="00C86111" w:rsidRDefault="004F6023" w:rsidP="004F6023">
      <w:pPr>
        <w:jc w:val="both"/>
        <w:rPr>
          <w:szCs w:val="24"/>
        </w:rPr>
      </w:pPr>
      <w:r w:rsidRPr="00C86111">
        <w:rPr>
          <w:szCs w:val="24"/>
        </w:rPr>
        <w:t>Ovim zakonom je transponovana Okvirna direktiva o vodama EU (WFD, 2000/60/EC), koja predstavlja ključni propis za upravljanje vodama. Direktiva propisuje kontinuirane programe monitoringa radi procjene stanja površinskih voda, podzemnih voda i zaštićenih područja, kroz tri vrste monitoringa:</w:t>
      </w:r>
    </w:p>
    <w:p w14:paraId="36FFC3C5" w14:textId="77777777" w:rsidR="004F6023" w:rsidRPr="00C86111" w:rsidRDefault="004F6023" w:rsidP="00833A40">
      <w:pPr>
        <w:numPr>
          <w:ilvl w:val="0"/>
          <w:numId w:val="41"/>
        </w:numPr>
        <w:jc w:val="both"/>
        <w:rPr>
          <w:szCs w:val="24"/>
        </w:rPr>
      </w:pPr>
      <w:r w:rsidRPr="00C86111">
        <w:rPr>
          <w:szCs w:val="24"/>
        </w:rPr>
        <w:t>Nadzorni (surveillance) monitoring – procjenjuje opšte stanje površinskih voda u svakom slivu.</w:t>
      </w:r>
    </w:p>
    <w:p w14:paraId="0D06276C" w14:textId="77777777" w:rsidR="004F6023" w:rsidRPr="00C86111" w:rsidRDefault="004F6023" w:rsidP="00833A40">
      <w:pPr>
        <w:numPr>
          <w:ilvl w:val="0"/>
          <w:numId w:val="41"/>
        </w:numPr>
        <w:jc w:val="both"/>
        <w:rPr>
          <w:szCs w:val="24"/>
        </w:rPr>
      </w:pPr>
      <w:r w:rsidRPr="00C86111">
        <w:rPr>
          <w:szCs w:val="24"/>
        </w:rPr>
        <w:t>Operativni (operational) monitoring – fokusira se na vodna tijela koja su u riziku da ne ispune ekološke ciljeve.</w:t>
      </w:r>
    </w:p>
    <w:p w14:paraId="40231F52" w14:textId="77777777" w:rsidR="004F6023" w:rsidRPr="00C86111" w:rsidRDefault="004F6023" w:rsidP="00833A40">
      <w:pPr>
        <w:numPr>
          <w:ilvl w:val="0"/>
          <w:numId w:val="41"/>
        </w:numPr>
        <w:jc w:val="both"/>
        <w:rPr>
          <w:szCs w:val="24"/>
        </w:rPr>
      </w:pPr>
      <w:r w:rsidRPr="00C86111">
        <w:rPr>
          <w:szCs w:val="24"/>
        </w:rPr>
        <w:t>Istraživački (investigative) monitoring – sprovodi se kada nadzorni monitoring ukaže na problem, ali operativni još nije uspostavljen.</w:t>
      </w:r>
    </w:p>
    <w:p w14:paraId="1E755266" w14:textId="77777777" w:rsidR="004F6023" w:rsidRPr="00C86111" w:rsidRDefault="004F6023" w:rsidP="004F6023">
      <w:pPr>
        <w:jc w:val="both"/>
        <w:rPr>
          <w:szCs w:val="24"/>
        </w:rPr>
      </w:pPr>
      <w:r w:rsidRPr="00C86111">
        <w:rPr>
          <w:szCs w:val="24"/>
        </w:rPr>
        <w:t>Rezultate monitoringa IHMS objedinjuje u Godišnjem izvještaju, koji se dostavlja ključnim institucijama:</w:t>
      </w:r>
      <w:r w:rsidRPr="00C86111">
        <w:rPr>
          <w:szCs w:val="24"/>
        </w:rPr>
        <w:br/>
        <w:t>Ministarstvu poljoprivrede, šumarstva i vodoprivrede, Upravi za vode, Ministarstvu ekologije, održivog razvoja i razvoja sjeverna, kao i Agenciji za zaštitu životne sredine. Ovi izvještaji čine osnovu za Izvještaj o stanju životne sredine Crne Gore, koji usvaja Vlada, i doprinose izvještavanju prema Evropskoj agenciji za životnu sredinu (EIONET).</w:t>
      </w:r>
    </w:p>
    <w:p w14:paraId="15E6E315" w14:textId="77777777" w:rsidR="004F6023" w:rsidRPr="00C86111" w:rsidRDefault="004F6023" w:rsidP="004F6023">
      <w:pPr>
        <w:jc w:val="both"/>
        <w:rPr>
          <w:szCs w:val="24"/>
        </w:rPr>
      </w:pPr>
      <w:r w:rsidRPr="00C86111">
        <w:rPr>
          <w:szCs w:val="24"/>
        </w:rPr>
        <w:t>Hemijski status (CS) površinskih vodnih tijela određuje se praćenjem prioritetnih supstanci (PS) u odnosu na standarde kvaliteta životne sredine (EQS). Među 45 prioritetnih supstanci, nekoliko pripada grupi postojanih organskih zagađivača (POPs), uključujući: aldrin, dieldrin, hlordan, endrin, heptahlor, HCB, DDT, BDE, PFOS, pentahlorfenol i dioksine, kao i kandidate za POPs, poput hlorpirifosa. Takođe se prate i specifični zagađivači poput PCB-a.</w:t>
      </w:r>
    </w:p>
    <w:p w14:paraId="55A24FCE" w14:textId="77777777" w:rsidR="004F6023" w:rsidRPr="00C86111" w:rsidRDefault="004F6023" w:rsidP="004F6023">
      <w:pPr>
        <w:jc w:val="both"/>
        <w:rPr>
          <w:szCs w:val="24"/>
        </w:rPr>
      </w:pPr>
      <w:r w:rsidRPr="00C86111">
        <w:rPr>
          <w:szCs w:val="24"/>
        </w:rPr>
        <w:t>Program monitoringa obuhvata analizu POPs hemikalija u vodi, bioti i sedimentu. Hemijski status se klasifikuje kao „dobar“ ili „nije dobar“ na osnovu prosječnih godišnjih vrijednosti (AA) i maksimalno dozvoljenih koncentracija (MAC).</w:t>
      </w:r>
    </w:p>
    <w:p w14:paraId="4EDC6DFF" w14:textId="77777777" w:rsidR="004F6023" w:rsidRPr="00C86111" w:rsidRDefault="004F6023" w:rsidP="004F6023">
      <w:pPr>
        <w:jc w:val="both"/>
        <w:rPr>
          <w:szCs w:val="24"/>
        </w:rPr>
      </w:pPr>
      <w:r w:rsidRPr="00C86111">
        <w:rPr>
          <w:szCs w:val="24"/>
        </w:rPr>
        <w:t>Iako Okvirna direktiva o vodama (WFD) preporučuje mjesečno uzorkovanje, u Crnoj Gori se monitoring sprovodi do dva puta godišnje, što ograničava pouzdanost rezultata. Ipak, u analiziranim uzorcima voda nijesu detektovani POPs zagađivači.</w:t>
      </w:r>
    </w:p>
    <w:p w14:paraId="7974B982" w14:textId="77777777" w:rsidR="004F6023" w:rsidRPr="00C86111" w:rsidRDefault="004F6023" w:rsidP="00EA6904">
      <w:pPr>
        <w:pStyle w:val="Heading4"/>
      </w:pPr>
      <w:r w:rsidRPr="00C86111">
        <w:t>Analiza sedimenata</w:t>
      </w:r>
    </w:p>
    <w:p w14:paraId="0DFDA352" w14:textId="77777777" w:rsidR="004F6023" w:rsidRPr="00C86111" w:rsidRDefault="004F6023" w:rsidP="004F6023">
      <w:pPr>
        <w:jc w:val="both"/>
        <w:rPr>
          <w:szCs w:val="24"/>
        </w:rPr>
      </w:pPr>
      <w:r w:rsidRPr="00C86111">
        <w:rPr>
          <w:szCs w:val="24"/>
        </w:rPr>
        <w:t>Tumačenje rezultata analiza sedimenata i dalje predstavlja izazov zbog nedostatka vrijednosti ekoloških standarda kvaliteta (EQS) za mnoge prioritetne supstance i specifične zagađivače riječnih slivova (RBSP).</w:t>
      </w:r>
    </w:p>
    <w:p w14:paraId="566F3444" w14:textId="77777777" w:rsidR="004F6023" w:rsidRPr="00C86111" w:rsidRDefault="004F6023" w:rsidP="004F6023">
      <w:pPr>
        <w:jc w:val="both"/>
        <w:rPr>
          <w:szCs w:val="24"/>
        </w:rPr>
      </w:pPr>
      <w:r w:rsidRPr="00C86111">
        <w:rPr>
          <w:szCs w:val="24"/>
        </w:rPr>
        <w:t>Analiza sedimenata obuhvatila je:</w:t>
      </w:r>
    </w:p>
    <w:p w14:paraId="0334E661" w14:textId="77777777" w:rsidR="004F6023" w:rsidRPr="00C86111" w:rsidRDefault="004F6023" w:rsidP="00833A40">
      <w:pPr>
        <w:numPr>
          <w:ilvl w:val="0"/>
          <w:numId w:val="42"/>
        </w:numPr>
        <w:jc w:val="both"/>
        <w:rPr>
          <w:szCs w:val="24"/>
        </w:rPr>
      </w:pPr>
      <w:r w:rsidRPr="00C86111">
        <w:rPr>
          <w:szCs w:val="24"/>
        </w:rPr>
        <w:t>17 organskih prioritetnih supstanci (PS), kao što su: antracen, BDE jedinjenja, HCB, PAH jedinjenja, tributil-kalajne (TBT) komponente, PFOS, dioksini i HBCDD;</w:t>
      </w:r>
    </w:p>
    <w:p w14:paraId="1F76CA44" w14:textId="77777777" w:rsidR="004F6023" w:rsidRPr="00C86111" w:rsidRDefault="004F6023" w:rsidP="00833A40">
      <w:pPr>
        <w:numPr>
          <w:ilvl w:val="0"/>
          <w:numId w:val="42"/>
        </w:numPr>
        <w:jc w:val="both"/>
        <w:rPr>
          <w:szCs w:val="24"/>
        </w:rPr>
      </w:pPr>
      <w:r w:rsidRPr="00C86111">
        <w:rPr>
          <w:szCs w:val="24"/>
        </w:rPr>
        <w:t>3 metala – kadmijum, olovo i živu.</w:t>
      </w:r>
    </w:p>
    <w:p w14:paraId="2B3A60EF" w14:textId="77777777" w:rsidR="004F6023" w:rsidRPr="00C86111" w:rsidRDefault="004F6023" w:rsidP="004F6023">
      <w:pPr>
        <w:jc w:val="both"/>
        <w:rPr>
          <w:szCs w:val="24"/>
        </w:rPr>
      </w:pPr>
      <w:r w:rsidRPr="00C86111">
        <w:rPr>
          <w:szCs w:val="24"/>
        </w:rPr>
        <w:t>Pored toga, sediment je testiran i na specifične zagađivače, uključujući:</w:t>
      </w:r>
    </w:p>
    <w:p w14:paraId="79A56D37" w14:textId="77777777" w:rsidR="004F6023" w:rsidRPr="00C86111" w:rsidRDefault="004F6023" w:rsidP="00833A40">
      <w:pPr>
        <w:numPr>
          <w:ilvl w:val="0"/>
          <w:numId w:val="43"/>
        </w:numPr>
        <w:jc w:val="both"/>
        <w:rPr>
          <w:szCs w:val="24"/>
        </w:rPr>
      </w:pPr>
      <w:r w:rsidRPr="00C86111">
        <w:rPr>
          <w:szCs w:val="24"/>
        </w:rPr>
        <w:t>11 sintetičkih zagađivača (npr. bisfenol-A, dibutil-ftalat, glifosat, ksilen),</w:t>
      </w:r>
    </w:p>
    <w:p w14:paraId="5A5BC041" w14:textId="77777777" w:rsidR="004F6023" w:rsidRPr="00C86111" w:rsidRDefault="004F6023" w:rsidP="00833A40">
      <w:pPr>
        <w:numPr>
          <w:ilvl w:val="0"/>
          <w:numId w:val="43"/>
        </w:numPr>
        <w:jc w:val="both"/>
        <w:rPr>
          <w:szCs w:val="24"/>
        </w:rPr>
      </w:pPr>
      <w:r w:rsidRPr="00C86111">
        <w:rPr>
          <w:szCs w:val="24"/>
        </w:rPr>
        <w:lastRenderedPageBreak/>
        <w:t>9 nesintetičkih zagađivača (npr. arsen, bakar, cink, hrom),</w:t>
      </w:r>
    </w:p>
    <w:p w14:paraId="0CEB5F66" w14:textId="77777777" w:rsidR="004F6023" w:rsidRPr="00C86111" w:rsidRDefault="004F6023" w:rsidP="00833A40">
      <w:pPr>
        <w:numPr>
          <w:ilvl w:val="0"/>
          <w:numId w:val="43"/>
        </w:numPr>
        <w:jc w:val="both"/>
        <w:rPr>
          <w:szCs w:val="24"/>
        </w:rPr>
      </w:pPr>
      <w:r w:rsidRPr="00C86111">
        <w:rPr>
          <w:szCs w:val="24"/>
        </w:rPr>
        <w:t>2 dodatna zagađivača (mineralna ulja i kongeneri PCB-a).</w:t>
      </w:r>
    </w:p>
    <w:p w14:paraId="3CB7811B" w14:textId="77777777" w:rsidR="004F6023" w:rsidRPr="00C86111" w:rsidRDefault="004F6023" w:rsidP="004F6023">
      <w:pPr>
        <w:jc w:val="both"/>
        <w:rPr>
          <w:szCs w:val="24"/>
        </w:rPr>
      </w:pPr>
      <w:r w:rsidRPr="00C86111">
        <w:rPr>
          <w:szCs w:val="24"/>
        </w:rPr>
        <w:t>Rezultati su pokazali prisustvo PCB kongenera, dok drugi POPs nisu bili detektovani u uzorcima sedimenata.</w:t>
      </w:r>
    </w:p>
    <w:p w14:paraId="554DC65C" w14:textId="77777777" w:rsidR="004F6023" w:rsidRPr="00C86111" w:rsidRDefault="004F6023" w:rsidP="00EA6904">
      <w:pPr>
        <w:pStyle w:val="Heading4"/>
      </w:pPr>
      <w:r w:rsidRPr="00C86111">
        <w:t>Analiza biote</w:t>
      </w:r>
    </w:p>
    <w:p w14:paraId="23BF8D84" w14:textId="77777777" w:rsidR="004F6023" w:rsidRPr="00C86111" w:rsidRDefault="004F6023" w:rsidP="004F6023">
      <w:pPr>
        <w:jc w:val="both"/>
        <w:rPr>
          <w:szCs w:val="24"/>
        </w:rPr>
      </w:pPr>
      <w:r w:rsidRPr="00C86111">
        <w:rPr>
          <w:szCs w:val="24"/>
        </w:rPr>
        <w:t>U okviru monitoringa biote praćeno je jedanaest prioritetnih supstanci, uključujući:</w:t>
      </w:r>
    </w:p>
    <w:p w14:paraId="06A4CF7B" w14:textId="77777777" w:rsidR="004F6023" w:rsidRPr="00C86111" w:rsidRDefault="004F6023" w:rsidP="00833A40">
      <w:pPr>
        <w:numPr>
          <w:ilvl w:val="0"/>
          <w:numId w:val="44"/>
        </w:numPr>
        <w:jc w:val="both"/>
        <w:rPr>
          <w:szCs w:val="24"/>
        </w:rPr>
      </w:pPr>
      <w:r w:rsidRPr="00C86111">
        <w:rPr>
          <w:szCs w:val="24"/>
        </w:rPr>
        <w:t>Organske komponente: BDE, heksahlorbenzen (HCB), heksahlorbutadien, PAH jedinjenja, PFOS, dioksine, HBCDD i heptahlor.</w:t>
      </w:r>
    </w:p>
    <w:p w14:paraId="7BB862F1" w14:textId="77777777" w:rsidR="004F6023" w:rsidRPr="00C86111" w:rsidRDefault="004F6023" w:rsidP="00833A40">
      <w:pPr>
        <w:numPr>
          <w:ilvl w:val="0"/>
          <w:numId w:val="44"/>
        </w:numPr>
        <w:jc w:val="both"/>
        <w:rPr>
          <w:szCs w:val="24"/>
        </w:rPr>
      </w:pPr>
      <w:r w:rsidRPr="00C86111">
        <w:rPr>
          <w:szCs w:val="24"/>
        </w:rPr>
        <w:t>Metale: živu i njena jedinjenja.</w:t>
      </w:r>
    </w:p>
    <w:p w14:paraId="6BB8BFC5" w14:textId="77777777" w:rsidR="004F6023" w:rsidRPr="00C86111" w:rsidRDefault="004F6023" w:rsidP="004F6023">
      <w:pPr>
        <w:jc w:val="both"/>
        <w:rPr>
          <w:szCs w:val="24"/>
        </w:rPr>
      </w:pPr>
      <w:r w:rsidRPr="00C86111">
        <w:rPr>
          <w:szCs w:val="24"/>
        </w:rPr>
        <w:t>Rezultati:</w:t>
      </w:r>
    </w:p>
    <w:p w14:paraId="29A1CB19" w14:textId="77777777" w:rsidR="004F6023" w:rsidRPr="00C86111" w:rsidRDefault="004F6023" w:rsidP="00833A40">
      <w:pPr>
        <w:numPr>
          <w:ilvl w:val="0"/>
          <w:numId w:val="45"/>
        </w:numPr>
        <w:jc w:val="both"/>
        <w:rPr>
          <w:szCs w:val="24"/>
        </w:rPr>
      </w:pPr>
      <w:r w:rsidRPr="00C86111">
        <w:rPr>
          <w:szCs w:val="24"/>
        </w:rPr>
        <w:t>Voda: POPs nijesu detektovani.</w:t>
      </w:r>
    </w:p>
    <w:p w14:paraId="3EF95287" w14:textId="77777777" w:rsidR="004F6023" w:rsidRPr="00C86111" w:rsidRDefault="004F6023" w:rsidP="00833A40">
      <w:pPr>
        <w:numPr>
          <w:ilvl w:val="0"/>
          <w:numId w:val="45"/>
        </w:numPr>
        <w:jc w:val="both"/>
        <w:rPr>
          <w:szCs w:val="24"/>
        </w:rPr>
      </w:pPr>
      <w:r w:rsidRPr="00C86111">
        <w:rPr>
          <w:szCs w:val="24"/>
        </w:rPr>
        <w:t>Sediment: detektovani PCB kongeneri; ostali POPs nijesu zabilježeni.</w:t>
      </w:r>
    </w:p>
    <w:p w14:paraId="7DDFD3B7" w14:textId="77777777" w:rsidR="004F6023" w:rsidRPr="00C86111" w:rsidRDefault="004F6023" w:rsidP="00833A40">
      <w:pPr>
        <w:numPr>
          <w:ilvl w:val="0"/>
          <w:numId w:val="45"/>
        </w:numPr>
        <w:jc w:val="both"/>
        <w:rPr>
          <w:szCs w:val="24"/>
        </w:rPr>
      </w:pPr>
      <w:r w:rsidRPr="00C86111">
        <w:rPr>
          <w:szCs w:val="24"/>
        </w:rPr>
        <w:t>Biota (ribe):</w:t>
      </w:r>
    </w:p>
    <w:p w14:paraId="0ECA090C" w14:textId="77777777" w:rsidR="004F6023" w:rsidRPr="00C86111" w:rsidRDefault="004F6023" w:rsidP="00004F34">
      <w:pPr>
        <w:numPr>
          <w:ilvl w:val="1"/>
          <w:numId w:val="225"/>
        </w:numPr>
        <w:jc w:val="both"/>
        <w:rPr>
          <w:szCs w:val="24"/>
        </w:rPr>
      </w:pPr>
      <w:r w:rsidRPr="00C86111">
        <w:rPr>
          <w:szCs w:val="24"/>
        </w:rPr>
        <w:t>BDEs: detektovani iznad vrijednosti EQS u pastrmci, klijenu, lipljenu i mreni u rijekama Ćehotina, Tara, Veruša i Brvenica. Maksimalna koncentracija: 0,74 µg/kg.</w:t>
      </w:r>
    </w:p>
    <w:p w14:paraId="77C9C4AF" w14:textId="77777777" w:rsidR="004F6023" w:rsidRPr="00C86111" w:rsidRDefault="004F6023" w:rsidP="00004F34">
      <w:pPr>
        <w:numPr>
          <w:ilvl w:val="1"/>
          <w:numId w:val="225"/>
        </w:numPr>
        <w:jc w:val="both"/>
        <w:rPr>
          <w:szCs w:val="24"/>
        </w:rPr>
      </w:pPr>
      <w:r w:rsidRPr="00C86111">
        <w:rPr>
          <w:szCs w:val="24"/>
        </w:rPr>
        <w:t>Živa: detektovana u svim uzorcima riba (u rasponu 21–1050 µg/kg), sa najvišom koncentracijom u klijenu iz rijeke Ćehotine.</w:t>
      </w:r>
    </w:p>
    <w:p w14:paraId="06AF431F" w14:textId="77777777" w:rsidR="004F6023" w:rsidRPr="00C86111" w:rsidRDefault="004F6023" w:rsidP="004F6023">
      <w:pPr>
        <w:jc w:val="both"/>
        <w:rPr>
          <w:szCs w:val="24"/>
        </w:rPr>
      </w:pPr>
    </w:p>
    <w:p w14:paraId="73FB2922" w14:textId="3D0BC3A2" w:rsidR="00746115" w:rsidRPr="00C86111" w:rsidRDefault="00DE40D4" w:rsidP="004F6023">
      <w:pPr>
        <w:jc w:val="both"/>
        <w:rPr>
          <w:szCs w:val="24"/>
        </w:rPr>
      </w:pPr>
      <w:r w:rsidRPr="00C86111">
        <w:rPr>
          <w:szCs w:val="24"/>
        </w:rPr>
        <w:t>Pregled rezultata monitoring POPs-a u vodi, sedimentu i bioti dat je u tabeli 11</w:t>
      </w:r>
      <w:r w:rsidR="0042690B">
        <w:rPr>
          <w:szCs w:val="24"/>
        </w:rPr>
        <w:t>8</w:t>
      </w:r>
      <w:r w:rsidRPr="00C86111">
        <w:rPr>
          <w:szCs w:val="24"/>
        </w:rPr>
        <w:t>.</w:t>
      </w:r>
    </w:p>
    <w:p w14:paraId="0AF61044" w14:textId="77777777" w:rsidR="00DE40D4" w:rsidRPr="00C86111" w:rsidRDefault="00DE40D4" w:rsidP="004F6023">
      <w:pPr>
        <w:jc w:val="both"/>
        <w:rPr>
          <w:szCs w:val="24"/>
        </w:rPr>
      </w:pPr>
    </w:p>
    <w:p w14:paraId="0C1C0331" w14:textId="13C25C8C" w:rsidR="004F6023" w:rsidRPr="00C86111" w:rsidRDefault="004F6023" w:rsidP="004F6023">
      <w:pPr>
        <w:jc w:val="both"/>
        <w:rPr>
          <w:szCs w:val="24"/>
        </w:rPr>
      </w:pPr>
      <w:r w:rsidRPr="00C86111">
        <w:rPr>
          <w:b/>
          <w:bCs/>
          <w:szCs w:val="24"/>
        </w:rPr>
        <w:t xml:space="preserve">Tabela </w:t>
      </w:r>
      <w:r w:rsidR="00DE40D4" w:rsidRPr="00C86111">
        <w:rPr>
          <w:b/>
          <w:bCs/>
          <w:szCs w:val="24"/>
        </w:rPr>
        <w:t>11</w:t>
      </w:r>
      <w:r w:rsidR="0042690B">
        <w:rPr>
          <w:b/>
          <w:bCs/>
          <w:szCs w:val="24"/>
        </w:rPr>
        <w:t>8</w:t>
      </w:r>
      <w:r w:rsidRPr="00C86111">
        <w:rPr>
          <w:szCs w:val="24"/>
        </w:rPr>
        <w:t>. Pregled – Monitoring POPs-a u vodi, sedimentu i bioti</w:t>
      </w:r>
    </w:p>
    <w:tbl>
      <w:tblPr>
        <w:tblStyle w:val="GridTable5Dark-Accent6"/>
        <w:tblW w:w="0" w:type="auto"/>
        <w:tblLook w:val="04A0" w:firstRow="1" w:lastRow="0" w:firstColumn="1" w:lastColumn="0" w:noHBand="0" w:noVBand="1"/>
      </w:tblPr>
      <w:tblGrid>
        <w:gridCol w:w="959"/>
        <w:gridCol w:w="1278"/>
        <w:gridCol w:w="2855"/>
        <w:gridCol w:w="4258"/>
      </w:tblGrid>
      <w:tr w:rsidR="004F6023" w:rsidRPr="00C86111" w14:paraId="335CD46D"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B33349" w14:textId="77777777" w:rsidR="004F6023" w:rsidRPr="00C86111" w:rsidRDefault="004F6023" w:rsidP="00BC765B">
            <w:pPr>
              <w:jc w:val="both"/>
              <w:rPr>
                <w:b w:val="0"/>
                <w:bCs w:val="0"/>
                <w:sz w:val="20"/>
                <w:szCs w:val="20"/>
              </w:rPr>
            </w:pPr>
            <w:r w:rsidRPr="00C86111">
              <w:rPr>
                <w:sz w:val="20"/>
                <w:szCs w:val="20"/>
              </w:rPr>
              <w:t>Grupa POPs</w:t>
            </w:r>
          </w:p>
        </w:tc>
        <w:tc>
          <w:tcPr>
            <w:tcW w:w="0" w:type="auto"/>
            <w:hideMark/>
          </w:tcPr>
          <w:p w14:paraId="5AC3521B"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C86111">
              <w:rPr>
                <w:sz w:val="20"/>
                <w:szCs w:val="20"/>
              </w:rPr>
              <w:t>Matrica</w:t>
            </w:r>
          </w:p>
        </w:tc>
        <w:tc>
          <w:tcPr>
            <w:tcW w:w="0" w:type="auto"/>
            <w:hideMark/>
          </w:tcPr>
          <w:p w14:paraId="1231C6CE"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C86111">
              <w:rPr>
                <w:sz w:val="20"/>
                <w:szCs w:val="20"/>
              </w:rPr>
              <w:t>Nalazi</w:t>
            </w:r>
          </w:p>
        </w:tc>
        <w:tc>
          <w:tcPr>
            <w:tcW w:w="0" w:type="auto"/>
            <w:hideMark/>
          </w:tcPr>
          <w:p w14:paraId="1AA47D04"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C86111">
              <w:rPr>
                <w:sz w:val="20"/>
                <w:szCs w:val="20"/>
              </w:rPr>
              <w:t>Napomene / Lokacije</w:t>
            </w:r>
          </w:p>
        </w:tc>
      </w:tr>
      <w:tr w:rsidR="004F6023" w:rsidRPr="00C86111" w14:paraId="30238943"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4E2880" w14:textId="77777777" w:rsidR="004F6023" w:rsidRPr="00C86111" w:rsidRDefault="004F6023" w:rsidP="00BC765B">
            <w:pPr>
              <w:jc w:val="both"/>
              <w:rPr>
                <w:sz w:val="20"/>
                <w:szCs w:val="20"/>
              </w:rPr>
            </w:pPr>
            <w:r w:rsidRPr="00C86111">
              <w:rPr>
                <w:sz w:val="20"/>
                <w:szCs w:val="20"/>
              </w:rPr>
              <w:t>BDEs</w:t>
            </w:r>
          </w:p>
        </w:tc>
        <w:tc>
          <w:tcPr>
            <w:tcW w:w="0" w:type="auto"/>
            <w:hideMark/>
          </w:tcPr>
          <w:p w14:paraId="5074743E"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Ribe</w:t>
            </w:r>
          </w:p>
        </w:tc>
        <w:tc>
          <w:tcPr>
            <w:tcW w:w="0" w:type="auto"/>
            <w:hideMark/>
          </w:tcPr>
          <w:p w14:paraId="1E9C3BC7"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Prekoračenja u 12 uzoraka (maks. 0,74 µg/kg)</w:t>
            </w:r>
          </w:p>
        </w:tc>
        <w:tc>
          <w:tcPr>
            <w:tcW w:w="0" w:type="auto"/>
            <w:hideMark/>
          </w:tcPr>
          <w:p w14:paraId="6AADFF2E"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Detektovani u pastrmci, klijenu, lipljenu i mreni (rijeke Ćehotina, Tara, Veruša, Brvenica)</w:t>
            </w:r>
          </w:p>
        </w:tc>
      </w:tr>
      <w:tr w:rsidR="004F6023" w:rsidRPr="00C86111" w14:paraId="684D54F4"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5E55AB5A" w14:textId="77777777" w:rsidR="004F6023" w:rsidRPr="00C86111" w:rsidRDefault="004F6023" w:rsidP="00BC765B">
            <w:pPr>
              <w:jc w:val="both"/>
              <w:rPr>
                <w:sz w:val="20"/>
                <w:szCs w:val="20"/>
              </w:rPr>
            </w:pPr>
            <w:r w:rsidRPr="00C86111">
              <w:rPr>
                <w:sz w:val="20"/>
                <w:szCs w:val="20"/>
              </w:rPr>
              <w:t>Živa</w:t>
            </w:r>
          </w:p>
        </w:tc>
        <w:tc>
          <w:tcPr>
            <w:tcW w:w="0" w:type="auto"/>
            <w:hideMark/>
          </w:tcPr>
          <w:p w14:paraId="179B77A3"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Ribe</w:t>
            </w:r>
          </w:p>
        </w:tc>
        <w:tc>
          <w:tcPr>
            <w:tcW w:w="0" w:type="auto"/>
            <w:hideMark/>
          </w:tcPr>
          <w:p w14:paraId="424956D2"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Prekoračenja u svih 22 uzorka (21–1050 µg/kg)</w:t>
            </w:r>
          </w:p>
        </w:tc>
        <w:tc>
          <w:tcPr>
            <w:tcW w:w="0" w:type="auto"/>
            <w:hideMark/>
          </w:tcPr>
          <w:p w14:paraId="12948F62"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Najviša koncentracija u klijenu iz rijeke Ćehotine</w:t>
            </w:r>
          </w:p>
        </w:tc>
      </w:tr>
      <w:tr w:rsidR="004F6023" w:rsidRPr="00C86111" w14:paraId="6C551DA6"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C0F0E0" w14:textId="77777777" w:rsidR="004F6023" w:rsidRPr="00C86111" w:rsidRDefault="004F6023" w:rsidP="00BC765B">
            <w:pPr>
              <w:jc w:val="both"/>
              <w:rPr>
                <w:sz w:val="20"/>
                <w:szCs w:val="20"/>
              </w:rPr>
            </w:pPr>
            <w:r w:rsidRPr="00C86111">
              <w:rPr>
                <w:sz w:val="20"/>
                <w:szCs w:val="20"/>
              </w:rPr>
              <w:t>PCB</w:t>
            </w:r>
          </w:p>
        </w:tc>
        <w:tc>
          <w:tcPr>
            <w:tcW w:w="0" w:type="auto"/>
            <w:hideMark/>
          </w:tcPr>
          <w:p w14:paraId="79E5B237"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Sediment</w:t>
            </w:r>
          </w:p>
        </w:tc>
        <w:tc>
          <w:tcPr>
            <w:tcW w:w="0" w:type="auto"/>
            <w:hideMark/>
          </w:tcPr>
          <w:p w14:paraId="7BF2D719"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Detektovani</w:t>
            </w:r>
          </w:p>
        </w:tc>
        <w:tc>
          <w:tcPr>
            <w:tcW w:w="0" w:type="auto"/>
            <w:hideMark/>
          </w:tcPr>
          <w:p w14:paraId="2E32C24F"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Nema EQS vrijednosti za sve kongenere</w:t>
            </w:r>
          </w:p>
        </w:tc>
      </w:tr>
      <w:tr w:rsidR="004F6023" w:rsidRPr="00C86111" w14:paraId="09215B44"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185F580D" w14:textId="77777777" w:rsidR="004F6023" w:rsidRPr="00C86111" w:rsidRDefault="004F6023" w:rsidP="00BC765B">
            <w:pPr>
              <w:jc w:val="both"/>
              <w:rPr>
                <w:sz w:val="20"/>
                <w:szCs w:val="20"/>
              </w:rPr>
            </w:pPr>
            <w:r w:rsidRPr="00C86111">
              <w:rPr>
                <w:sz w:val="20"/>
                <w:szCs w:val="20"/>
              </w:rPr>
              <w:t>Ostali POPs</w:t>
            </w:r>
          </w:p>
        </w:tc>
        <w:tc>
          <w:tcPr>
            <w:tcW w:w="0" w:type="auto"/>
            <w:hideMark/>
          </w:tcPr>
          <w:p w14:paraId="1CC1B02F"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Voda</w:t>
            </w:r>
          </w:p>
        </w:tc>
        <w:tc>
          <w:tcPr>
            <w:tcW w:w="0" w:type="auto"/>
            <w:hideMark/>
          </w:tcPr>
          <w:p w14:paraId="4D90BD29"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Nisu detektovani</w:t>
            </w:r>
          </w:p>
        </w:tc>
        <w:tc>
          <w:tcPr>
            <w:tcW w:w="0" w:type="auto"/>
            <w:hideMark/>
          </w:tcPr>
          <w:p w14:paraId="44B5AFAD"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 w:val="20"/>
                <w:szCs w:val="20"/>
              </w:rPr>
            </w:pPr>
            <w:r w:rsidRPr="00C86111">
              <w:rPr>
                <w:sz w:val="20"/>
                <w:szCs w:val="20"/>
              </w:rPr>
              <w:t>Frekvencija monitoringa ograničena na 1–2 puta godišnje</w:t>
            </w:r>
          </w:p>
        </w:tc>
      </w:tr>
      <w:tr w:rsidR="004F6023" w:rsidRPr="00C86111" w14:paraId="651CB9FA"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B6E3E4" w14:textId="77777777" w:rsidR="004F6023" w:rsidRPr="00C86111" w:rsidRDefault="004F6023" w:rsidP="00BC765B">
            <w:pPr>
              <w:jc w:val="both"/>
              <w:rPr>
                <w:sz w:val="20"/>
                <w:szCs w:val="20"/>
              </w:rPr>
            </w:pPr>
            <w:r w:rsidRPr="00C86111">
              <w:rPr>
                <w:sz w:val="20"/>
                <w:szCs w:val="20"/>
              </w:rPr>
              <w:t>Ostali POPs</w:t>
            </w:r>
          </w:p>
        </w:tc>
        <w:tc>
          <w:tcPr>
            <w:tcW w:w="0" w:type="auto"/>
            <w:hideMark/>
          </w:tcPr>
          <w:p w14:paraId="065197C5"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Biota / Sediment</w:t>
            </w:r>
          </w:p>
        </w:tc>
        <w:tc>
          <w:tcPr>
            <w:tcW w:w="0" w:type="auto"/>
            <w:hideMark/>
          </w:tcPr>
          <w:p w14:paraId="0338104D"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Detektovani u tragovima (vidjeti analizu sedimenata)</w:t>
            </w:r>
          </w:p>
        </w:tc>
        <w:tc>
          <w:tcPr>
            <w:tcW w:w="0" w:type="auto"/>
            <w:hideMark/>
          </w:tcPr>
          <w:p w14:paraId="18D60223"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 w:val="20"/>
                <w:szCs w:val="20"/>
              </w:rPr>
            </w:pPr>
            <w:r w:rsidRPr="00C86111">
              <w:rPr>
                <w:sz w:val="20"/>
                <w:szCs w:val="20"/>
              </w:rPr>
              <w:t>Uključuju HCB, PFOS, dioksine i HBCDD (gdje je primjenjivo)</w:t>
            </w:r>
          </w:p>
        </w:tc>
      </w:tr>
    </w:tbl>
    <w:p w14:paraId="18158087" w14:textId="77777777" w:rsidR="004F6023" w:rsidRPr="00C86111" w:rsidRDefault="004F6023" w:rsidP="00EA6904">
      <w:pPr>
        <w:pStyle w:val="Heading4"/>
      </w:pPr>
      <w:r w:rsidRPr="00C86111">
        <w:t>Monitoring morskog ekosistema</w:t>
      </w:r>
    </w:p>
    <w:p w14:paraId="24C393D9" w14:textId="77777777" w:rsidR="004F6023" w:rsidRPr="00C86111" w:rsidRDefault="004F6023" w:rsidP="004F6023">
      <w:pPr>
        <w:jc w:val="both"/>
        <w:rPr>
          <w:szCs w:val="24"/>
        </w:rPr>
      </w:pPr>
      <w:r w:rsidRPr="00C86111">
        <w:rPr>
          <w:szCs w:val="24"/>
        </w:rPr>
        <w:t>Program monitoringa crnogorskog priobalnog morskog ekosistema ima za cilj procjenu ekološkog stanja i pružanje smjernica za zaštitu, očuvanje i poboljšanje kvaliteta morskog okoliša. Program je u skladu sa nacionalnim propisima, uključujući:</w:t>
      </w:r>
    </w:p>
    <w:p w14:paraId="7E0BB76E" w14:textId="77777777" w:rsidR="004F6023" w:rsidRPr="00C86111" w:rsidRDefault="004F6023" w:rsidP="00833A40">
      <w:pPr>
        <w:numPr>
          <w:ilvl w:val="0"/>
          <w:numId w:val="46"/>
        </w:numPr>
        <w:jc w:val="both"/>
        <w:rPr>
          <w:szCs w:val="24"/>
        </w:rPr>
      </w:pPr>
      <w:r w:rsidRPr="00C86111">
        <w:rPr>
          <w:szCs w:val="24"/>
        </w:rPr>
        <w:t>Zakon o zaštiti životne sredine („Službeni list Crne Gore“, br. 52/16)</w:t>
      </w:r>
    </w:p>
    <w:p w14:paraId="228901BB" w14:textId="77777777" w:rsidR="004F6023" w:rsidRPr="00C86111" w:rsidRDefault="004F6023" w:rsidP="00833A40">
      <w:pPr>
        <w:numPr>
          <w:ilvl w:val="0"/>
          <w:numId w:val="46"/>
        </w:numPr>
        <w:jc w:val="both"/>
        <w:rPr>
          <w:szCs w:val="24"/>
        </w:rPr>
      </w:pPr>
      <w:r w:rsidRPr="00C86111">
        <w:rPr>
          <w:szCs w:val="24"/>
        </w:rPr>
        <w:t>Zakon o vodama („Službeni list Crne Gore“, br. 27/07, 32/11, 47/11, 48/15, 52/16, 84/18)</w:t>
      </w:r>
    </w:p>
    <w:p w14:paraId="7D1425B1" w14:textId="77777777" w:rsidR="004F6023" w:rsidRPr="00C86111" w:rsidRDefault="004F6023" w:rsidP="00833A40">
      <w:pPr>
        <w:numPr>
          <w:ilvl w:val="0"/>
          <w:numId w:val="46"/>
        </w:numPr>
        <w:jc w:val="both"/>
        <w:rPr>
          <w:szCs w:val="24"/>
        </w:rPr>
      </w:pPr>
      <w:r w:rsidRPr="00C86111">
        <w:rPr>
          <w:szCs w:val="24"/>
        </w:rPr>
        <w:t>Zakon o zaštiti morskog okoliša („Službeni list Crne Gore“, br. 73/19)</w:t>
      </w:r>
    </w:p>
    <w:p w14:paraId="08F6F170" w14:textId="77777777" w:rsidR="004F6023" w:rsidRPr="00C86111" w:rsidRDefault="004F6023" w:rsidP="00833A40">
      <w:pPr>
        <w:numPr>
          <w:ilvl w:val="0"/>
          <w:numId w:val="46"/>
        </w:numPr>
        <w:jc w:val="both"/>
        <w:rPr>
          <w:szCs w:val="24"/>
        </w:rPr>
      </w:pPr>
      <w:r w:rsidRPr="00C86111">
        <w:rPr>
          <w:szCs w:val="24"/>
        </w:rPr>
        <w:t>Pravilnik o stanju površinskih voda („Službeni list Crne Gore“, br. 25/19)</w:t>
      </w:r>
    </w:p>
    <w:p w14:paraId="04990C2A" w14:textId="77777777" w:rsidR="004F6023" w:rsidRPr="00C86111" w:rsidRDefault="004F6023" w:rsidP="004F6023">
      <w:pPr>
        <w:jc w:val="both"/>
        <w:rPr>
          <w:szCs w:val="24"/>
        </w:rPr>
      </w:pPr>
      <w:r w:rsidRPr="00C86111">
        <w:rPr>
          <w:szCs w:val="24"/>
        </w:rPr>
        <w:lastRenderedPageBreak/>
        <w:t>Crna Gora primjenjuje Ekosistemski pristup (EcAp) u okviru Barselonske konvencije i Direktivu o okvirnom strateškom pristupu morskoj strategiji (MSFD, 2008), koja teži postizanju dobrog ekološkog stanja (GES) kroz definisane ciljeve i ekološke indikatore.</w:t>
      </w:r>
    </w:p>
    <w:p w14:paraId="7E745CC1" w14:textId="77777777" w:rsidR="004F6023" w:rsidRPr="00C86111" w:rsidRDefault="004F6023" w:rsidP="004F6023">
      <w:pPr>
        <w:jc w:val="both"/>
        <w:rPr>
          <w:szCs w:val="24"/>
        </w:rPr>
      </w:pPr>
      <w:r w:rsidRPr="00C86111">
        <w:rPr>
          <w:szCs w:val="24"/>
        </w:rPr>
        <w:t>Kako bi se ispunile ove obaveze, Program monitoringa morskog ekosistema 2023. godine obuhvata tri podprograma:</w:t>
      </w:r>
    </w:p>
    <w:p w14:paraId="51174C7A" w14:textId="77777777" w:rsidR="004F6023" w:rsidRPr="00C86111" w:rsidRDefault="004F6023" w:rsidP="00833A40">
      <w:pPr>
        <w:numPr>
          <w:ilvl w:val="0"/>
          <w:numId w:val="47"/>
        </w:numPr>
        <w:jc w:val="both"/>
        <w:rPr>
          <w:szCs w:val="24"/>
        </w:rPr>
      </w:pPr>
      <w:r w:rsidRPr="00C86111">
        <w:rPr>
          <w:szCs w:val="24"/>
        </w:rPr>
        <w:t>Eutrofikacija</w:t>
      </w:r>
    </w:p>
    <w:p w14:paraId="05DDC19C" w14:textId="77777777" w:rsidR="004F6023" w:rsidRPr="00C86111" w:rsidRDefault="004F6023" w:rsidP="00833A40">
      <w:pPr>
        <w:numPr>
          <w:ilvl w:val="0"/>
          <w:numId w:val="47"/>
        </w:numPr>
        <w:jc w:val="both"/>
        <w:rPr>
          <w:szCs w:val="24"/>
        </w:rPr>
      </w:pPr>
      <w:r w:rsidRPr="00C86111">
        <w:rPr>
          <w:szCs w:val="24"/>
        </w:rPr>
        <w:t>Kontaminanti</w:t>
      </w:r>
    </w:p>
    <w:p w14:paraId="2759369F" w14:textId="77777777" w:rsidR="004F6023" w:rsidRPr="00C86111" w:rsidRDefault="004F6023" w:rsidP="00833A40">
      <w:pPr>
        <w:numPr>
          <w:ilvl w:val="0"/>
          <w:numId w:val="47"/>
        </w:numPr>
        <w:jc w:val="both"/>
        <w:rPr>
          <w:szCs w:val="24"/>
        </w:rPr>
      </w:pPr>
      <w:r w:rsidRPr="00C86111">
        <w:rPr>
          <w:szCs w:val="24"/>
        </w:rPr>
        <w:t>Morski otpad</w:t>
      </w:r>
    </w:p>
    <w:p w14:paraId="2491270A" w14:textId="77777777" w:rsidR="004F6023" w:rsidRPr="00C86111" w:rsidRDefault="004F6023" w:rsidP="004F6023">
      <w:pPr>
        <w:jc w:val="both"/>
        <w:rPr>
          <w:szCs w:val="24"/>
        </w:rPr>
      </w:pPr>
      <w:r w:rsidRPr="00C86111">
        <w:rPr>
          <w:szCs w:val="24"/>
        </w:rPr>
        <w:t>Ovaj pristup usklađuje monitoring sa zahtjevima MSFD i EcAp Barselonske konvencije.</w:t>
      </w:r>
    </w:p>
    <w:p w14:paraId="0465C026" w14:textId="3694E759" w:rsidR="004F6023" w:rsidRPr="00C86111" w:rsidRDefault="004F6023" w:rsidP="00EA6904">
      <w:pPr>
        <w:pStyle w:val="Heading4"/>
      </w:pPr>
      <w:r w:rsidRPr="00C86111">
        <w:t>Monitoring zagađivača</w:t>
      </w:r>
    </w:p>
    <w:p w14:paraId="7E065139" w14:textId="77777777" w:rsidR="004F6023" w:rsidRPr="00C86111" w:rsidRDefault="004F6023" w:rsidP="004F6023">
      <w:pPr>
        <w:jc w:val="both"/>
        <w:rPr>
          <w:szCs w:val="24"/>
        </w:rPr>
      </w:pPr>
      <w:r w:rsidRPr="00C86111">
        <w:rPr>
          <w:szCs w:val="24"/>
        </w:rPr>
        <w:t>Toksične supstance organskog i neorganskog porijekla, nastale ljudskim aktivnostima, monitorišu se u vodi, sedimentu i bioti kako bi se procijenili nivoi, akumulacija i uticaj na ekosistem. Ključni zagađivači uključuju:</w:t>
      </w:r>
    </w:p>
    <w:p w14:paraId="5366EA1F" w14:textId="77777777" w:rsidR="004F6023" w:rsidRPr="00C86111" w:rsidRDefault="004F6023" w:rsidP="00833A40">
      <w:pPr>
        <w:numPr>
          <w:ilvl w:val="0"/>
          <w:numId w:val="48"/>
        </w:numPr>
        <w:jc w:val="both"/>
        <w:rPr>
          <w:szCs w:val="24"/>
        </w:rPr>
      </w:pPr>
      <w:r w:rsidRPr="00C86111">
        <w:rPr>
          <w:szCs w:val="24"/>
        </w:rPr>
        <w:t>Hlorovani pesticidi (POPs): aldrin, dieldrin, hlordan, endrin, heptahlor, mireks, lindan, endosulfan, toksafen, DDT</w:t>
      </w:r>
    </w:p>
    <w:p w14:paraId="2E308F30" w14:textId="77777777" w:rsidR="004F6023" w:rsidRPr="00C86111" w:rsidRDefault="004F6023" w:rsidP="00833A40">
      <w:pPr>
        <w:numPr>
          <w:ilvl w:val="0"/>
          <w:numId w:val="48"/>
        </w:numPr>
        <w:jc w:val="both"/>
        <w:rPr>
          <w:szCs w:val="24"/>
        </w:rPr>
      </w:pPr>
      <w:r w:rsidRPr="00C86111">
        <w:rPr>
          <w:szCs w:val="24"/>
        </w:rPr>
        <w:t>Ostali POPs: heksahlorocikloheksan (α-HCH, β-HCH), heksabrombifenil, hlordecon, heksahlorbenzen (HCB), PCB</w:t>
      </w:r>
    </w:p>
    <w:p w14:paraId="17F1FBCF" w14:textId="77777777" w:rsidR="004F6023" w:rsidRPr="00C86111" w:rsidRDefault="004F6023" w:rsidP="00833A40">
      <w:pPr>
        <w:numPr>
          <w:ilvl w:val="0"/>
          <w:numId w:val="48"/>
        </w:numPr>
        <w:jc w:val="both"/>
        <w:rPr>
          <w:szCs w:val="24"/>
        </w:rPr>
      </w:pPr>
      <w:r w:rsidRPr="00C86111">
        <w:rPr>
          <w:szCs w:val="24"/>
        </w:rPr>
        <w:t>PAH jedinjenja: 16 referentnih jedinjenja po EPA US standardu</w:t>
      </w:r>
    </w:p>
    <w:p w14:paraId="3955DFBC" w14:textId="77777777" w:rsidR="004F6023" w:rsidRPr="00C86111" w:rsidRDefault="004F6023" w:rsidP="00833A40">
      <w:pPr>
        <w:numPr>
          <w:ilvl w:val="0"/>
          <w:numId w:val="48"/>
        </w:numPr>
        <w:jc w:val="both"/>
        <w:rPr>
          <w:szCs w:val="24"/>
        </w:rPr>
      </w:pPr>
      <w:r w:rsidRPr="00C86111">
        <w:rPr>
          <w:szCs w:val="24"/>
        </w:rPr>
        <w:t>Dodatni parametri: perfluorooktanski sulfonati (PFOS), ukupni organski ugljenik (TOC), mineralna ulja porijeklom iz nafte, aluminijum (Al)</w:t>
      </w:r>
    </w:p>
    <w:p w14:paraId="2E74F73B" w14:textId="77777777" w:rsidR="004F6023" w:rsidRPr="00C86111" w:rsidRDefault="004F6023" w:rsidP="004F6023">
      <w:pPr>
        <w:jc w:val="both"/>
        <w:rPr>
          <w:szCs w:val="24"/>
        </w:rPr>
      </w:pPr>
      <w:r w:rsidRPr="00C86111">
        <w:rPr>
          <w:szCs w:val="24"/>
        </w:rPr>
        <w:t>Ispituju se školjke i ribe radi utvrđivanja prisustva zagađivača i bioindikatora. POPs predstavljaju ključne indikatore za procjenu ekološkog stanja.</w:t>
      </w:r>
    </w:p>
    <w:p w14:paraId="43D7B47C" w14:textId="77777777" w:rsidR="004F6023" w:rsidRPr="00C86111" w:rsidRDefault="004F6023" w:rsidP="00EA6904">
      <w:pPr>
        <w:pStyle w:val="Heading4"/>
      </w:pPr>
      <w:r w:rsidRPr="00C86111">
        <w:t>Stanje morskog ekosistema – NEAT procjena 2022–2023</w:t>
      </w:r>
    </w:p>
    <w:p w14:paraId="7244C814" w14:textId="41BD60F2" w:rsidR="004F6023" w:rsidRPr="00C86111" w:rsidRDefault="004F6023" w:rsidP="004F6023">
      <w:pPr>
        <w:jc w:val="both"/>
        <w:rPr>
          <w:szCs w:val="24"/>
        </w:rPr>
      </w:pPr>
      <w:r w:rsidRPr="00C86111">
        <w:rPr>
          <w:szCs w:val="24"/>
        </w:rPr>
        <w:t xml:space="preserve">Metoda NEAT (Nested Environmental Assessment Tool) korišćena je za procjenu stanja sedimenata i biote. Ekološko stanje po regionima prikazano je u tabeli </w:t>
      </w:r>
      <w:r w:rsidR="00DE40D4" w:rsidRPr="00C86111">
        <w:rPr>
          <w:szCs w:val="24"/>
        </w:rPr>
        <w:t>11</w:t>
      </w:r>
      <w:r w:rsidR="0042690B">
        <w:rPr>
          <w:szCs w:val="24"/>
        </w:rPr>
        <w:t>9</w:t>
      </w:r>
      <w:r w:rsidRPr="00C86111">
        <w:rPr>
          <w:szCs w:val="24"/>
        </w:rPr>
        <w:t>.</w:t>
      </w:r>
    </w:p>
    <w:p w14:paraId="53BCA7C4" w14:textId="77777777" w:rsidR="004F6023" w:rsidRPr="00C86111" w:rsidRDefault="004F6023" w:rsidP="004F6023">
      <w:pPr>
        <w:jc w:val="both"/>
        <w:rPr>
          <w:szCs w:val="24"/>
        </w:rPr>
      </w:pPr>
    </w:p>
    <w:p w14:paraId="077CF7D4" w14:textId="51C61EF8" w:rsidR="004F6023" w:rsidRPr="00C86111" w:rsidRDefault="004F6023" w:rsidP="004F6023">
      <w:pPr>
        <w:jc w:val="both"/>
        <w:rPr>
          <w:szCs w:val="24"/>
        </w:rPr>
      </w:pPr>
      <w:r w:rsidRPr="00C86111">
        <w:rPr>
          <w:b/>
          <w:bCs/>
          <w:szCs w:val="24"/>
        </w:rPr>
        <w:t xml:space="preserve">Tabela </w:t>
      </w:r>
      <w:r w:rsidR="00DE40D4" w:rsidRPr="00C86111">
        <w:rPr>
          <w:b/>
          <w:bCs/>
          <w:szCs w:val="24"/>
        </w:rPr>
        <w:t>11</w:t>
      </w:r>
      <w:r w:rsidR="0042690B">
        <w:rPr>
          <w:b/>
          <w:bCs/>
          <w:szCs w:val="24"/>
        </w:rPr>
        <w:t>9</w:t>
      </w:r>
      <w:r w:rsidRPr="00C86111">
        <w:rPr>
          <w:b/>
          <w:bCs/>
          <w:szCs w:val="24"/>
        </w:rPr>
        <w:t xml:space="preserve">. </w:t>
      </w:r>
      <w:r w:rsidRPr="00C86111">
        <w:rPr>
          <w:szCs w:val="24"/>
        </w:rPr>
        <w:t>Pregled – Ekološko stanje po region</w:t>
      </w:r>
      <w:r w:rsidR="00DE40D4" w:rsidRPr="00C86111">
        <w:rPr>
          <w:szCs w:val="24"/>
        </w:rPr>
        <w:t>ima</w:t>
      </w:r>
    </w:p>
    <w:tbl>
      <w:tblPr>
        <w:tblStyle w:val="GridTable5Dark-Accent6"/>
        <w:tblW w:w="0" w:type="auto"/>
        <w:tblLook w:val="04A0" w:firstRow="1" w:lastRow="0" w:firstColumn="1" w:lastColumn="0" w:noHBand="0" w:noVBand="1"/>
      </w:tblPr>
      <w:tblGrid>
        <w:gridCol w:w="1750"/>
        <w:gridCol w:w="1653"/>
        <w:gridCol w:w="1598"/>
        <w:gridCol w:w="4349"/>
      </w:tblGrid>
      <w:tr w:rsidR="004F6023" w:rsidRPr="00C86111" w14:paraId="0B6E45F8" w14:textId="77777777" w:rsidTr="00BC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11EBA4" w14:textId="77777777" w:rsidR="004F6023" w:rsidRPr="00C86111" w:rsidRDefault="004F6023" w:rsidP="00BC765B">
            <w:pPr>
              <w:jc w:val="both"/>
              <w:rPr>
                <w:b w:val="0"/>
                <w:bCs w:val="0"/>
                <w:szCs w:val="24"/>
              </w:rPr>
            </w:pPr>
            <w:r w:rsidRPr="00C86111">
              <w:rPr>
                <w:szCs w:val="24"/>
              </w:rPr>
              <w:t>Region</w:t>
            </w:r>
          </w:p>
        </w:tc>
        <w:tc>
          <w:tcPr>
            <w:tcW w:w="0" w:type="auto"/>
            <w:hideMark/>
          </w:tcPr>
          <w:p w14:paraId="6D89FD58"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C86111">
              <w:rPr>
                <w:szCs w:val="24"/>
              </w:rPr>
              <w:t>Ekološko stanje</w:t>
            </w:r>
          </w:p>
        </w:tc>
        <w:tc>
          <w:tcPr>
            <w:tcW w:w="0" w:type="auto"/>
            <w:hideMark/>
          </w:tcPr>
          <w:p w14:paraId="61C90217"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C86111">
              <w:rPr>
                <w:szCs w:val="24"/>
              </w:rPr>
              <w:t>NEAT procjena</w:t>
            </w:r>
          </w:p>
        </w:tc>
        <w:tc>
          <w:tcPr>
            <w:tcW w:w="0" w:type="auto"/>
            <w:hideMark/>
          </w:tcPr>
          <w:p w14:paraId="7762268F" w14:textId="77777777" w:rsidR="004F6023" w:rsidRPr="00C86111" w:rsidRDefault="004F6023" w:rsidP="00BC765B">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C86111">
              <w:rPr>
                <w:szCs w:val="24"/>
              </w:rPr>
              <w:t>Napomene</w:t>
            </w:r>
          </w:p>
        </w:tc>
      </w:tr>
      <w:tr w:rsidR="004F6023" w:rsidRPr="00C86111" w14:paraId="49AE3497" w14:textId="77777777" w:rsidTr="0042690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hideMark/>
          </w:tcPr>
          <w:p w14:paraId="207F050D" w14:textId="77777777" w:rsidR="004F6023" w:rsidRPr="00C86111" w:rsidRDefault="004F6023" w:rsidP="00BC765B">
            <w:pPr>
              <w:jc w:val="both"/>
              <w:rPr>
                <w:szCs w:val="24"/>
              </w:rPr>
            </w:pPr>
            <w:r w:rsidRPr="00C86111">
              <w:rPr>
                <w:szCs w:val="24"/>
              </w:rPr>
              <w:t>Sjeverna obala</w:t>
            </w:r>
          </w:p>
        </w:tc>
        <w:tc>
          <w:tcPr>
            <w:tcW w:w="0" w:type="auto"/>
            <w:hideMark/>
          </w:tcPr>
          <w:p w14:paraId="43F181EA"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Dobro</w:t>
            </w:r>
          </w:p>
        </w:tc>
        <w:tc>
          <w:tcPr>
            <w:tcW w:w="0" w:type="auto"/>
            <w:hideMark/>
          </w:tcPr>
          <w:p w14:paraId="2311BEB5"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Visoko</w:t>
            </w:r>
          </w:p>
        </w:tc>
        <w:tc>
          <w:tcPr>
            <w:tcW w:w="0" w:type="auto"/>
            <w:hideMark/>
          </w:tcPr>
          <w:p w14:paraId="7ACDF147"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POPs i drugi zagađivači unutar prihvatljivih nivoa</w:t>
            </w:r>
          </w:p>
        </w:tc>
      </w:tr>
      <w:tr w:rsidR="004F6023" w:rsidRPr="00C86111" w14:paraId="25BA0658"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3B24722D" w14:textId="77777777" w:rsidR="004F6023" w:rsidRPr="00C86111" w:rsidRDefault="004F6023" w:rsidP="00BC765B">
            <w:pPr>
              <w:jc w:val="both"/>
              <w:rPr>
                <w:szCs w:val="24"/>
              </w:rPr>
            </w:pPr>
            <w:r w:rsidRPr="00C86111">
              <w:rPr>
                <w:szCs w:val="24"/>
              </w:rPr>
              <w:t>Centralna obala</w:t>
            </w:r>
          </w:p>
        </w:tc>
        <w:tc>
          <w:tcPr>
            <w:tcW w:w="0" w:type="auto"/>
            <w:hideMark/>
          </w:tcPr>
          <w:p w14:paraId="003D02B7"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Ne-GES</w:t>
            </w:r>
          </w:p>
        </w:tc>
        <w:tc>
          <w:tcPr>
            <w:tcW w:w="0" w:type="auto"/>
            <w:hideMark/>
          </w:tcPr>
          <w:p w14:paraId="3F9DDC34"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Umjereno</w:t>
            </w:r>
          </w:p>
        </w:tc>
        <w:tc>
          <w:tcPr>
            <w:tcW w:w="0" w:type="auto"/>
            <w:hideMark/>
          </w:tcPr>
          <w:p w14:paraId="261599CD"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Lokalizovana prekoračenja zagađivača</w:t>
            </w:r>
          </w:p>
        </w:tc>
      </w:tr>
      <w:tr w:rsidR="004F6023" w:rsidRPr="00C86111" w14:paraId="06748521"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9232A3" w14:textId="77777777" w:rsidR="004F6023" w:rsidRPr="00C86111" w:rsidRDefault="004F6023" w:rsidP="00BC765B">
            <w:pPr>
              <w:jc w:val="both"/>
              <w:rPr>
                <w:szCs w:val="24"/>
              </w:rPr>
            </w:pPr>
            <w:r w:rsidRPr="00C86111">
              <w:rPr>
                <w:szCs w:val="24"/>
              </w:rPr>
              <w:t>Južna obala</w:t>
            </w:r>
          </w:p>
        </w:tc>
        <w:tc>
          <w:tcPr>
            <w:tcW w:w="0" w:type="auto"/>
            <w:hideMark/>
          </w:tcPr>
          <w:p w14:paraId="3FAD7ACB"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Dobro</w:t>
            </w:r>
          </w:p>
        </w:tc>
        <w:tc>
          <w:tcPr>
            <w:tcW w:w="0" w:type="auto"/>
            <w:hideMark/>
          </w:tcPr>
          <w:p w14:paraId="7D4CA704"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Visoko</w:t>
            </w:r>
          </w:p>
        </w:tc>
        <w:tc>
          <w:tcPr>
            <w:tcW w:w="0" w:type="auto"/>
            <w:hideMark/>
          </w:tcPr>
          <w:p w14:paraId="00B04C87"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Monitoring pokazuje minimalan uticaj</w:t>
            </w:r>
          </w:p>
        </w:tc>
      </w:tr>
      <w:tr w:rsidR="004F6023" w:rsidRPr="00C86111" w14:paraId="70206025"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3F23EB4D" w14:textId="77777777" w:rsidR="004F6023" w:rsidRPr="00C86111" w:rsidRDefault="004F6023" w:rsidP="00BC765B">
            <w:pPr>
              <w:jc w:val="both"/>
              <w:rPr>
                <w:szCs w:val="24"/>
              </w:rPr>
            </w:pPr>
            <w:r w:rsidRPr="00C86111">
              <w:rPr>
                <w:szCs w:val="24"/>
              </w:rPr>
              <w:t>Boka Kotorska</w:t>
            </w:r>
          </w:p>
        </w:tc>
        <w:tc>
          <w:tcPr>
            <w:tcW w:w="0" w:type="auto"/>
            <w:hideMark/>
          </w:tcPr>
          <w:p w14:paraId="6006C3AB"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Ne-GES</w:t>
            </w:r>
          </w:p>
        </w:tc>
        <w:tc>
          <w:tcPr>
            <w:tcW w:w="0" w:type="auto"/>
            <w:hideMark/>
          </w:tcPr>
          <w:p w14:paraId="7E8D57C6"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Umjereno</w:t>
            </w:r>
          </w:p>
        </w:tc>
        <w:tc>
          <w:tcPr>
            <w:tcW w:w="0" w:type="auto"/>
            <w:hideMark/>
          </w:tcPr>
          <w:p w14:paraId="0F6D5346"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Povišeni nivoi zagađivača u sedimentima i bioti</w:t>
            </w:r>
          </w:p>
        </w:tc>
      </w:tr>
      <w:tr w:rsidR="004F6023" w:rsidRPr="00C86111" w14:paraId="2F7C767F"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1562BB" w14:textId="77777777" w:rsidR="004F6023" w:rsidRPr="00C86111" w:rsidRDefault="004F6023" w:rsidP="00BC765B">
            <w:pPr>
              <w:jc w:val="both"/>
              <w:rPr>
                <w:szCs w:val="24"/>
              </w:rPr>
            </w:pPr>
            <w:r w:rsidRPr="00C86111">
              <w:rPr>
                <w:szCs w:val="24"/>
              </w:rPr>
              <w:t>Offshore Sjever</w:t>
            </w:r>
          </w:p>
        </w:tc>
        <w:tc>
          <w:tcPr>
            <w:tcW w:w="0" w:type="auto"/>
            <w:hideMark/>
          </w:tcPr>
          <w:p w14:paraId="40795A01"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Dobro</w:t>
            </w:r>
          </w:p>
        </w:tc>
        <w:tc>
          <w:tcPr>
            <w:tcW w:w="0" w:type="auto"/>
            <w:hideMark/>
          </w:tcPr>
          <w:p w14:paraId="0A7EA970"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w:t>
            </w:r>
          </w:p>
        </w:tc>
        <w:tc>
          <w:tcPr>
            <w:tcW w:w="0" w:type="auto"/>
            <w:hideMark/>
          </w:tcPr>
          <w:p w14:paraId="3836F5B2"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Offshore vode generalno čiste</w:t>
            </w:r>
          </w:p>
        </w:tc>
      </w:tr>
      <w:tr w:rsidR="004F6023" w:rsidRPr="00C86111" w14:paraId="6F28CFAA" w14:textId="77777777" w:rsidTr="00BC765B">
        <w:tc>
          <w:tcPr>
            <w:cnfStyle w:val="001000000000" w:firstRow="0" w:lastRow="0" w:firstColumn="1" w:lastColumn="0" w:oddVBand="0" w:evenVBand="0" w:oddHBand="0" w:evenHBand="0" w:firstRowFirstColumn="0" w:firstRowLastColumn="0" w:lastRowFirstColumn="0" w:lastRowLastColumn="0"/>
            <w:tcW w:w="0" w:type="auto"/>
            <w:hideMark/>
          </w:tcPr>
          <w:p w14:paraId="54DAAEE4" w14:textId="77777777" w:rsidR="004F6023" w:rsidRPr="00C86111" w:rsidRDefault="004F6023" w:rsidP="00BC765B">
            <w:pPr>
              <w:jc w:val="both"/>
              <w:rPr>
                <w:szCs w:val="24"/>
              </w:rPr>
            </w:pPr>
            <w:r w:rsidRPr="00C86111">
              <w:rPr>
                <w:szCs w:val="24"/>
              </w:rPr>
              <w:t>Offshore Central</w:t>
            </w:r>
          </w:p>
        </w:tc>
        <w:tc>
          <w:tcPr>
            <w:tcW w:w="0" w:type="auto"/>
            <w:hideMark/>
          </w:tcPr>
          <w:p w14:paraId="647448FA"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Dobro</w:t>
            </w:r>
          </w:p>
        </w:tc>
        <w:tc>
          <w:tcPr>
            <w:tcW w:w="0" w:type="auto"/>
            <w:hideMark/>
          </w:tcPr>
          <w:p w14:paraId="5C208B17"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w:t>
            </w:r>
          </w:p>
        </w:tc>
        <w:tc>
          <w:tcPr>
            <w:tcW w:w="0" w:type="auto"/>
            <w:hideMark/>
          </w:tcPr>
          <w:p w14:paraId="6784DD40" w14:textId="77777777" w:rsidR="004F6023" w:rsidRPr="00C86111" w:rsidRDefault="004F6023" w:rsidP="00BC765B">
            <w:pPr>
              <w:jc w:val="both"/>
              <w:cnfStyle w:val="000000000000" w:firstRow="0" w:lastRow="0" w:firstColumn="0" w:lastColumn="0" w:oddVBand="0" w:evenVBand="0" w:oddHBand="0" w:evenHBand="0" w:firstRowFirstColumn="0" w:firstRowLastColumn="0" w:lastRowFirstColumn="0" w:lastRowLastColumn="0"/>
              <w:rPr>
                <w:szCs w:val="24"/>
              </w:rPr>
            </w:pPr>
            <w:r w:rsidRPr="00C86111">
              <w:rPr>
                <w:szCs w:val="24"/>
              </w:rPr>
              <w:t>Offshore vode generalno čiste</w:t>
            </w:r>
          </w:p>
        </w:tc>
      </w:tr>
      <w:tr w:rsidR="004F6023" w:rsidRPr="00C86111" w14:paraId="7AFF05D4" w14:textId="77777777" w:rsidTr="00BC7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B3B0C9" w14:textId="77777777" w:rsidR="004F6023" w:rsidRPr="00C86111" w:rsidRDefault="004F6023" w:rsidP="00BC765B">
            <w:pPr>
              <w:jc w:val="both"/>
              <w:rPr>
                <w:szCs w:val="24"/>
              </w:rPr>
            </w:pPr>
            <w:r w:rsidRPr="00C86111">
              <w:rPr>
                <w:szCs w:val="24"/>
              </w:rPr>
              <w:t>Offshore Jug</w:t>
            </w:r>
          </w:p>
        </w:tc>
        <w:tc>
          <w:tcPr>
            <w:tcW w:w="0" w:type="auto"/>
            <w:hideMark/>
          </w:tcPr>
          <w:p w14:paraId="0791C499"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Visoko</w:t>
            </w:r>
          </w:p>
        </w:tc>
        <w:tc>
          <w:tcPr>
            <w:tcW w:w="0" w:type="auto"/>
            <w:hideMark/>
          </w:tcPr>
          <w:p w14:paraId="7E2FD02F"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w:t>
            </w:r>
          </w:p>
        </w:tc>
        <w:tc>
          <w:tcPr>
            <w:tcW w:w="0" w:type="auto"/>
            <w:hideMark/>
          </w:tcPr>
          <w:p w14:paraId="0B529A88" w14:textId="77777777" w:rsidR="004F6023" w:rsidRPr="00C86111" w:rsidRDefault="004F6023" w:rsidP="00BC765B">
            <w:pPr>
              <w:jc w:val="both"/>
              <w:cnfStyle w:val="000000100000" w:firstRow="0" w:lastRow="0" w:firstColumn="0" w:lastColumn="0" w:oddVBand="0" w:evenVBand="0" w:oddHBand="1" w:evenHBand="0" w:firstRowFirstColumn="0" w:firstRowLastColumn="0" w:lastRowFirstColumn="0" w:lastRowLastColumn="0"/>
              <w:rPr>
                <w:szCs w:val="24"/>
              </w:rPr>
            </w:pPr>
            <w:r w:rsidRPr="00C86111">
              <w:rPr>
                <w:szCs w:val="24"/>
              </w:rPr>
              <w:t>Odlični ekološki uslovi</w:t>
            </w:r>
          </w:p>
        </w:tc>
      </w:tr>
    </w:tbl>
    <w:p w14:paraId="248F9F96" w14:textId="77777777" w:rsidR="004F6023" w:rsidRPr="00C86111" w:rsidRDefault="004F6023" w:rsidP="004F6023">
      <w:pPr>
        <w:jc w:val="both"/>
        <w:rPr>
          <w:b/>
          <w:bCs/>
          <w:szCs w:val="24"/>
        </w:rPr>
      </w:pPr>
    </w:p>
    <w:p w14:paraId="34EA03DA" w14:textId="77777777" w:rsidR="004F6023" w:rsidRPr="00C86111" w:rsidRDefault="004F6023" w:rsidP="00EA6904">
      <w:pPr>
        <w:pStyle w:val="Heading4"/>
      </w:pPr>
      <w:r w:rsidRPr="00C86111">
        <w:t>Pijaća voda</w:t>
      </w:r>
    </w:p>
    <w:p w14:paraId="46C2140A" w14:textId="77777777" w:rsidR="004F6023" w:rsidRPr="00C86111" w:rsidRDefault="004F6023" w:rsidP="004F6023">
      <w:pPr>
        <w:jc w:val="both"/>
        <w:rPr>
          <w:szCs w:val="24"/>
        </w:rPr>
      </w:pPr>
      <w:r w:rsidRPr="00C86111">
        <w:rPr>
          <w:szCs w:val="24"/>
        </w:rPr>
        <w:t>Program monitoringa pijaće vode sprovodi se od 2018. godine, u skladu sa Zakonom o obezbjeđivanju bezbjedne vode za piće za ljudsku upotrebu („Sl. list CG“, br. 80/2017) i Pravilnikom o parametrima, provjeri usklađenosti, metodama, načinu, obimu analize i sprovođenju monitoringa zdravstvene ispravnosti vode za ljudsku upotrebu („Sl. list CG“, br. 64/18, 101/21).</w:t>
      </w:r>
    </w:p>
    <w:p w14:paraId="1E87A38B" w14:textId="77777777" w:rsidR="004F6023" w:rsidRPr="00C86111" w:rsidRDefault="004F6023" w:rsidP="004F6023">
      <w:pPr>
        <w:jc w:val="both"/>
        <w:rPr>
          <w:szCs w:val="24"/>
        </w:rPr>
      </w:pPr>
      <w:r w:rsidRPr="00C86111">
        <w:rPr>
          <w:szCs w:val="24"/>
        </w:rPr>
        <w:t>Tokom perioda od 2018. do 2023. godine, prisustvo POPs hemikalija nije detektovano u izvorima vode koja se koristi za snabdijevanje stanovništva pijaćom vodom. Iako Crna Gora generalno ima dobar kvalitet vode u prirodnim izvorima i planinskim oblastima, industrijske zone i poljoprivredna područja mogu predstavljati rizik od kontaminacije. Monitoring programi su ključni kako bi se osiguralo da izvori pijaće vode ostanu sigurni i slobodni od kontaminacije POPs.</w:t>
      </w:r>
    </w:p>
    <w:p w14:paraId="63BA3763" w14:textId="77777777" w:rsidR="004F6023" w:rsidRPr="00C86111" w:rsidRDefault="004F6023" w:rsidP="00EA6904">
      <w:pPr>
        <w:pStyle w:val="Heading4"/>
      </w:pPr>
      <w:r w:rsidRPr="00C86111">
        <w:t>Monitoring hrane</w:t>
      </w:r>
    </w:p>
    <w:p w14:paraId="79EBB25E" w14:textId="1E122490" w:rsidR="004F6023" w:rsidRPr="00C86111" w:rsidRDefault="004F6023" w:rsidP="004F6023">
      <w:pPr>
        <w:jc w:val="both"/>
        <w:rPr>
          <w:szCs w:val="24"/>
        </w:rPr>
      </w:pPr>
      <w:r w:rsidRPr="00C86111">
        <w:rPr>
          <w:szCs w:val="24"/>
        </w:rPr>
        <w:t>Glavni faktor koji utiče na prisustvo zagađivača životne sredine u hrani – bez obzira da li je hrana organski ili konvencionalno proizvedena – jeste blizina antropogenih izvora zagađenja (npr. industrijska postrojenja, saobraćajni koridori, deponije otpada). Zbog lipofilne prirode i sposobnosti bioakumulacije u lancu ishrane, POPs se nakupljaju u masnom tkivu ljudi i životinja. Dugotrajna izloženost ovim supstancama povezana je sa širokim spektrom štetnih zdravstvenih efekata, uključujući poremećaje endokrinog sistema, reproduktivne i razvojne poremećaje, supresiju imunog sistema i kancerogenost.</w:t>
      </w:r>
    </w:p>
    <w:p w14:paraId="6226C572" w14:textId="77777777" w:rsidR="004F6023" w:rsidRPr="00C86111" w:rsidRDefault="004F6023" w:rsidP="004F6023">
      <w:pPr>
        <w:jc w:val="both"/>
        <w:rPr>
          <w:szCs w:val="24"/>
        </w:rPr>
      </w:pPr>
      <w:r w:rsidRPr="00C86111">
        <w:rPr>
          <w:szCs w:val="24"/>
        </w:rPr>
        <w:t>U Crnoj Gori, Centar za ekotoksikološka ispitivanj Podgorica (CETI), delujući pod nadležnošću Uprave za bezbjednost hrane, veterinarstvo i fitosanitarne poslove, odgovoran je za sprovođenje zvaničnih programa monitoringa bezbednosti hrane. Ovi programi se sprovode samostalno od strane CETI-a ili u saradnji sa Institutom za javno zdravlje, i trenutno obuhvataju deset različitih programa monitoringa.</w:t>
      </w:r>
    </w:p>
    <w:p w14:paraId="047185A7" w14:textId="77777777" w:rsidR="004F6023" w:rsidRPr="00C86111" w:rsidRDefault="004F6023" w:rsidP="004F6023">
      <w:pPr>
        <w:jc w:val="both"/>
        <w:rPr>
          <w:szCs w:val="24"/>
        </w:rPr>
      </w:pPr>
      <w:r w:rsidRPr="00C86111">
        <w:rPr>
          <w:szCs w:val="24"/>
        </w:rPr>
        <w:t>Programi relevantni za detekciju POPs uključuju:</w:t>
      </w:r>
    </w:p>
    <w:p w14:paraId="122105FA" w14:textId="77777777" w:rsidR="004F6023" w:rsidRPr="00C86111" w:rsidRDefault="004F6023" w:rsidP="00833A40">
      <w:pPr>
        <w:numPr>
          <w:ilvl w:val="0"/>
          <w:numId w:val="49"/>
        </w:numPr>
        <w:jc w:val="both"/>
        <w:rPr>
          <w:szCs w:val="24"/>
        </w:rPr>
      </w:pPr>
      <w:r w:rsidRPr="00C86111">
        <w:rPr>
          <w:szCs w:val="24"/>
        </w:rPr>
        <w:t>Program monitoringa pesticidnih ostataka – obuhvata hranu biljnog i životinjskog porekla koja se stavlja na tržište,</w:t>
      </w:r>
    </w:p>
    <w:p w14:paraId="17EF050A" w14:textId="77777777" w:rsidR="004F6023" w:rsidRPr="00C86111" w:rsidRDefault="004F6023" w:rsidP="00833A40">
      <w:pPr>
        <w:numPr>
          <w:ilvl w:val="0"/>
          <w:numId w:val="49"/>
        </w:numPr>
        <w:jc w:val="both"/>
        <w:rPr>
          <w:szCs w:val="24"/>
        </w:rPr>
      </w:pPr>
      <w:r w:rsidRPr="00C86111">
        <w:rPr>
          <w:szCs w:val="24"/>
        </w:rPr>
        <w:t>Program monitoringa kontaminanata u hrani – pokriva širok spektar hemijskih opasnosti, uključujući POPs.</w:t>
      </w:r>
    </w:p>
    <w:p w14:paraId="47A11378" w14:textId="77777777" w:rsidR="004F6023" w:rsidRPr="00C86111" w:rsidRDefault="004F6023" w:rsidP="004F6023">
      <w:pPr>
        <w:jc w:val="both"/>
        <w:rPr>
          <w:szCs w:val="24"/>
        </w:rPr>
      </w:pPr>
      <w:r w:rsidRPr="00C86111">
        <w:rPr>
          <w:szCs w:val="24"/>
        </w:rPr>
        <w:t>Ove aktivnosti monitoringa sprovode se skoro deceniju. Važno je napomenuti da do sada u analiziranim uzorcima hrane nisu detektovani ostaci POPs, što pokazuje da hrana na crnogorskom tržištu ostaje unutar granica hemijske sigurnosti u vezi sa ovom grupom zagađivača.</w:t>
      </w:r>
    </w:p>
    <w:p w14:paraId="5E903E71" w14:textId="6A65B6C0" w:rsidR="004F6023" w:rsidRPr="00C86111" w:rsidRDefault="004F6023" w:rsidP="00EA6904">
      <w:pPr>
        <w:pStyle w:val="Heading4"/>
      </w:pPr>
      <w:r w:rsidRPr="00C86111">
        <w:t>Humani biomonitoring POPs u Crnoj Gori – Pilot projekat</w:t>
      </w:r>
    </w:p>
    <w:p w14:paraId="5EB869B6" w14:textId="5B20D8C9" w:rsidR="004F6023" w:rsidRPr="00C86111" w:rsidRDefault="004F6023" w:rsidP="004F6023">
      <w:pPr>
        <w:jc w:val="both"/>
        <w:rPr>
          <w:szCs w:val="24"/>
        </w:rPr>
      </w:pPr>
      <w:r w:rsidRPr="00C86111">
        <w:rPr>
          <w:szCs w:val="24"/>
        </w:rPr>
        <w:t xml:space="preserve">Opšti cilj projekta “Kompleksno ekološki prihvatljivo upravljanje PCB-ovima u Crnoj Gori”, uz podršku UNDP-a, bio je smanjenje rizika po životnu sredinu i zdravlje stanovništva povezanih sa PCB otpadom, kroz uspostavljanje ekološki bezbednog upravljanja PCB-ovima. Projekat je obezbijedio tehničku i finansijsku podršku kako bi svi preostali PCB u zemlji (procena na početku </w:t>
      </w:r>
      <w:r w:rsidRPr="00C86111">
        <w:rPr>
          <w:szCs w:val="24"/>
        </w:rPr>
        <w:lastRenderedPageBreak/>
        <w:t>projekta – ne manje od 900 t kontaminirane opreme i otpada) bili identifikovani i bezbedno zbrinuti.</w:t>
      </w:r>
    </w:p>
    <w:p w14:paraId="63BC6433" w14:textId="77777777" w:rsidR="004F6023" w:rsidRPr="00C86111" w:rsidRDefault="004F6023" w:rsidP="004F6023">
      <w:pPr>
        <w:jc w:val="both"/>
        <w:rPr>
          <w:szCs w:val="24"/>
        </w:rPr>
      </w:pPr>
      <w:r w:rsidRPr="00C86111">
        <w:rPr>
          <w:szCs w:val="24"/>
        </w:rPr>
        <w:t>Jedna od preporuka sa srednjoročnog pregleda projekta bila je uspostavljanje istraživačkog projekta o uticaju PCB na zdravlje, koji je realizovao Institut za javno zdravlje Crne Gore tokom 2022. godine. Saradnja se fokusirala na praćenje uticaja PCB na zdravlje radnika koji rade sa električnom opremom i zajednice u blizini privremenih skladišta PCB.</w:t>
      </w:r>
    </w:p>
    <w:p w14:paraId="4D5CE6BF" w14:textId="77777777" w:rsidR="004F6023" w:rsidRPr="00C86111" w:rsidRDefault="004F6023" w:rsidP="004F6023">
      <w:pPr>
        <w:jc w:val="both"/>
        <w:rPr>
          <w:szCs w:val="24"/>
        </w:rPr>
      </w:pPr>
      <w:r w:rsidRPr="00C86111">
        <w:rPr>
          <w:szCs w:val="24"/>
        </w:rPr>
        <w:t>Sprovodila se aktivnost: Procjena rizika /analiza korišćenjem određivanjem koncentracije PCB u krvi, urinu I kosi (zaposleni u partnerskim institucijama).</w:t>
      </w:r>
    </w:p>
    <w:p w14:paraId="000D0EA6" w14:textId="77777777" w:rsidR="004F6023" w:rsidRPr="00C86111" w:rsidRDefault="004F6023" w:rsidP="004F6023">
      <w:pPr>
        <w:jc w:val="both"/>
        <w:rPr>
          <w:szCs w:val="24"/>
        </w:rPr>
      </w:pPr>
      <w:r w:rsidRPr="00C86111">
        <w:rPr>
          <w:szCs w:val="24"/>
        </w:rPr>
        <w:t>Glavni cilj ove aktivnosti bio je pružiti informacije menadžerima rizika, posebno donosiocima politika i regulatorima, kako bi se donosile najbolje odluke za zaštitu zdravlja stanovništva u potencijalno kontaminiranim područjima. Na osnovu analize koncentracija PCB u ljudskim uzorcima (krv, urin, kosa) sprovedena je procjena rizika po zdravlje stanovništva.</w:t>
      </w:r>
    </w:p>
    <w:p w14:paraId="0FF7A0F1" w14:textId="77777777" w:rsidR="004F6023" w:rsidRPr="00C86111" w:rsidRDefault="004F6023" w:rsidP="004F6023">
      <w:pPr>
        <w:jc w:val="both"/>
        <w:rPr>
          <w:szCs w:val="24"/>
        </w:rPr>
      </w:pPr>
      <w:r w:rsidRPr="00C86111">
        <w:rPr>
          <w:szCs w:val="24"/>
        </w:rPr>
        <w:t>Procjena rizika je sprovedena poređenjem izmjerenog ili modelovanog unosa PCB-a kod ljudi sa toksikološki utvrđenim smjernicama za dozvoljene doze zagađivača. Ova metodologija predstavlja osnovni pristup za utvrđivanje zdravstvenih rizika na određenim lokacijama, a njena glavna prednost je mogućnost procjene stepena izloženosti stanovništva. Istovremeno, epidemiološke studije se sprovode kako bi se ispitala direktna povezanost između nivoa izloženosti i zdravstvenog stanja pogođenog stanovništva.</w:t>
      </w:r>
    </w:p>
    <w:p w14:paraId="0368B7F9" w14:textId="77777777" w:rsidR="00DE40D4" w:rsidRPr="00C86111" w:rsidRDefault="00DE40D4" w:rsidP="004F6023">
      <w:pPr>
        <w:jc w:val="both"/>
        <w:rPr>
          <w:szCs w:val="24"/>
        </w:rPr>
      </w:pPr>
    </w:p>
    <w:p w14:paraId="29E5FE97" w14:textId="77777777" w:rsidR="004F6023" w:rsidRPr="00C86111" w:rsidRDefault="004F6023" w:rsidP="004F6023">
      <w:pPr>
        <w:jc w:val="both"/>
        <w:rPr>
          <w:szCs w:val="24"/>
        </w:rPr>
      </w:pPr>
      <w:r w:rsidRPr="00C86111">
        <w:rPr>
          <w:rStyle w:val="Heading4Char"/>
        </w:rPr>
        <w:t>Rezultati</w:t>
      </w:r>
      <w:r w:rsidRPr="00C86111">
        <w:rPr>
          <w:i/>
          <w:iCs/>
          <w:color w:val="002060"/>
          <w:szCs w:val="24"/>
        </w:rPr>
        <w:br/>
      </w:r>
      <w:r w:rsidRPr="00C86111">
        <w:rPr>
          <w:szCs w:val="24"/>
        </w:rPr>
        <w:t>Na osnovu podataka o zagađenju PCB i ljudskom biomonitoringu, sprovedena je procjena zdravstvenih rizika za stanovništvo koje živi u potencijalno kontaminiranim oblastima Crne Gore. U istraživanju su učestvovali zaposleni iz partnerskih institucija (CEDIS, UNIPROM KAP, HEMOSAN, Luka Bar, itd.) – ukupno 50 osoba. Analize su uključivale određivanje koncentracija PCB u krvi, urinu i kosi korišćenjem najsavremenijih tehnologija.</w:t>
      </w:r>
    </w:p>
    <w:p w14:paraId="7764C176" w14:textId="77777777" w:rsidR="004F6023" w:rsidRPr="00C86111" w:rsidRDefault="004F6023" w:rsidP="00833A40">
      <w:pPr>
        <w:numPr>
          <w:ilvl w:val="0"/>
          <w:numId w:val="50"/>
        </w:numPr>
        <w:jc w:val="both"/>
        <w:rPr>
          <w:szCs w:val="24"/>
        </w:rPr>
      </w:pPr>
      <w:r w:rsidRPr="00C86111">
        <w:rPr>
          <w:szCs w:val="24"/>
        </w:rPr>
        <w:t>PCB koncentracije u urinu su bile ispod granice kvantifikacije (LoQ), ali su u 5 uzoraka krvi iz Hemosana i 13 uzoraka krvi iz KAP detektovani ukupni PCB i kongeneri.</w:t>
      </w:r>
    </w:p>
    <w:p w14:paraId="6F5EB4FD" w14:textId="77777777" w:rsidR="004F6023" w:rsidRPr="00C86111" w:rsidRDefault="004F6023" w:rsidP="00833A40">
      <w:pPr>
        <w:numPr>
          <w:ilvl w:val="0"/>
          <w:numId w:val="50"/>
        </w:numPr>
        <w:jc w:val="both"/>
        <w:rPr>
          <w:szCs w:val="24"/>
        </w:rPr>
      </w:pPr>
      <w:r w:rsidRPr="00C86111">
        <w:rPr>
          <w:szCs w:val="24"/>
        </w:rPr>
        <w:t>Uzorci krvi radnika CEDIS-a imali su koncentracije PCB ispod LoQ.</w:t>
      </w:r>
    </w:p>
    <w:p w14:paraId="1F52481F" w14:textId="77777777" w:rsidR="004F6023" w:rsidRPr="00C86111" w:rsidRDefault="004F6023" w:rsidP="00833A40">
      <w:pPr>
        <w:numPr>
          <w:ilvl w:val="0"/>
          <w:numId w:val="50"/>
        </w:numPr>
        <w:jc w:val="both"/>
        <w:rPr>
          <w:szCs w:val="24"/>
        </w:rPr>
      </w:pPr>
      <w:r w:rsidRPr="00C86111">
        <w:rPr>
          <w:szCs w:val="24"/>
        </w:rPr>
        <w:t>Jak pozitivan korelacioni odnos utvrđen je između starosti ispitanika i koncentracije ukupnog PCB, kao i kongenera PCB 138, PCB 153 i PCB 180 u krvi.</w:t>
      </w:r>
    </w:p>
    <w:p w14:paraId="32A58AA1" w14:textId="77777777" w:rsidR="004F6023" w:rsidRPr="00C86111" w:rsidRDefault="004F6023" w:rsidP="00833A40">
      <w:pPr>
        <w:numPr>
          <w:ilvl w:val="0"/>
          <w:numId w:val="50"/>
        </w:numPr>
        <w:jc w:val="both"/>
        <w:rPr>
          <w:szCs w:val="24"/>
        </w:rPr>
      </w:pPr>
      <w:r w:rsidRPr="00C86111">
        <w:rPr>
          <w:szCs w:val="24"/>
        </w:rPr>
        <w:t>Jak pozitivan korelacioni odnos utvrđen je između dužine radnog staža i koncentracija PCB 101 i PCB 153 u krvi.</w:t>
      </w:r>
    </w:p>
    <w:p w14:paraId="13C41344" w14:textId="77777777" w:rsidR="004F6023" w:rsidRPr="00C86111" w:rsidRDefault="004F6023" w:rsidP="00833A40">
      <w:pPr>
        <w:numPr>
          <w:ilvl w:val="0"/>
          <w:numId w:val="50"/>
        </w:numPr>
        <w:jc w:val="both"/>
        <w:rPr>
          <w:szCs w:val="24"/>
        </w:rPr>
      </w:pPr>
      <w:r w:rsidRPr="00C86111">
        <w:rPr>
          <w:szCs w:val="24"/>
        </w:rPr>
        <w:t>Jak pozitivan korelacioni odnos utvrđen je između učestalosti konzumacije mesa i ukupne koncentracije PCB u krvi.</w:t>
      </w:r>
    </w:p>
    <w:p w14:paraId="6423C3D6" w14:textId="77777777" w:rsidR="004F6023" w:rsidRPr="00C86111" w:rsidRDefault="004F6023" w:rsidP="00833A40">
      <w:pPr>
        <w:numPr>
          <w:ilvl w:val="0"/>
          <w:numId w:val="50"/>
        </w:numPr>
        <w:jc w:val="both"/>
        <w:rPr>
          <w:szCs w:val="24"/>
        </w:rPr>
      </w:pPr>
      <w:r w:rsidRPr="00C86111">
        <w:rPr>
          <w:szCs w:val="24"/>
        </w:rPr>
        <w:t>Jak pozitivan korelacioni odnos utvrđen je između učestalosti konzumacije ribe i morskih plodova i ukupne koncentracije PCB u krvi.</w:t>
      </w:r>
    </w:p>
    <w:p w14:paraId="4B1CC20E" w14:textId="77777777" w:rsidR="004F6023" w:rsidRPr="00C86111" w:rsidRDefault="004F6023" w:rsidP="004F6023">
      <w:pPr>
        <w:jc w:val="both"/>
        <w:rPr>
          <w:szCs w:val="24"/>
        </w:rPr>
      </w:pPr>
      <w:r w:rsidRPr="00C86111">
        <w:rPr>
          <w:szCs w:val="24"/>
        </w:rPr>
        <w:t>PCB koncentracije su detektovane u 12 uzoraka kose (5 iz Hemosana i 7 iz KAP), dok su uzorci kose radnika CEDIS-a bili ispod LoQ. Pozitivna korelacija postoji između učestalosti konzumacije ribe i morskih plodova i ukupne koncentracije PCB u kosi.</w:t>
      </w:r>
    </w:p>
    <w:p w14:paraId="294D80B5" w14:textId="77777777" w:rsidR="004F6023" w:rsidRPr="00C86111" w:rsidRDefault="004F6023" w:rsidP="004F6023">
      <w:pPr>
        <w:jc w:val="both"/>
        <w:rPr>
          <w:szCs w:val="24"/>
        </w:rPr>
      </w:pPr>
      <w:r w:rsidRPr="00C86111">
        <w:rPr>
          <w:szCs w:val="24"/>
        </w:rPr>
        <w:t>Poliklorovani bifenili (PCBs) su grupa organskih hemikalija koje mogu izazvati različite štetne efekte. Naši rezultati pokazuju da je najveći deo opterećenja PCB-ovima u ljudskom organizmu uzrokovan tri visoko hlorisana indikatorska kongenera: PCB 138, PCB 153 i PCB 180. Ovo je prvo istraživanje PCB u ljudskim uzorcima sprovedeno u Crnoj Gori.</w:t>
      </w:r>
    </w:p>
    <w:p w14:paraId="1D4F6FA1" w14:textId="77777777" w:rsidR="004F6023" w:rsidRPr="00C86111" w:rsidRDefault="004F6023" w:rsidP="004F6023">
      <w:pPr>
        <w:jc w:val="both"/>
        <w:rPr>
          <w:szCs w:val="24"/>
        </w:rPr>
      </w:pPr>
      <w:r w:rsidRPr="00C86111">
        <w:rPr>
          <w:szCs w:val="24"/>
        </w:rPr>
        <w:lastRenderedPageBreak/>
        <w:t>S obzirom na potencijalne negativne efekte na ljudsko zdravlje, nacionalni biomonitoring je ključan za praćenje izloženosti stanovništva i evaluaciju efikasnosti regulativa o proizvodnji, uvozu i upotrebi opasnih hemikalija.</w:t>
      </w:r>
    </w:p>
    <w:p w14:paraId="0B7A3F18" w14:textId="77777777" w:rsidR="004F6023" w:rsidRPr="00C86111" w:rsidRDefault="004F6023" w:rsidP="004F6023">
      <w:pPr>
        <w:jc w:val="both"/>
        <w:rPr>
          <w:szCs w:val="24"/>
        </w:rPr>
      </w:pPr>
      <w:r w:rsidRPr="00C86111">
        <w:rPr>
          <w:color w:val="002060"/>
          <w:szCs w:val="24"/>
        </w:rPr>
        <w:t>Preporuka:</w:t>
      </w:r>
      <w:r w:rsidRPr="00C86111">
        <w:rPr>
          <w:szCs w:val="24"/>
        </w:rPr>
        <w:t xml:space="preserve"> Sprovoditi istraživanja i studije o uticaju POPs na životnu sredinu i ljude. Istraživanja bi trebalo da budu dio planova istraživanja na univerzitetima i institutima, uključujući analize krvi, mlijeka dojilja, vazduha, pijaće vode i zemljišta.</w:t>
      </w:r>
    </w:p>
    <w:p w14:paraId="6BD339C2" w14:textId="77777777" w:rsidR="004F6023" w:rsidRPr="00C86111" w:rsidRDefault="004F6023" w:rsidP="004F6023">
      <w:pPr>
        <w:jc w:val="both"/>
        <w:rPr>
          <w:szCs w:val="24"/>
        </w:rPr>
      </w:pPr>
    </w:p>
    <w:p w14:paraId="215BB09A" w14:textId="3FE3345B" w:rsidR="004F6023" w:rsidRPr="00C86111" w:rsidRDefault="004F6023" w:rsidP="00004F34">
      <w:pPr>
        <w:pStyle w:val="Heading1"/>
        <w:numPr>
          <w:ilvl w:val="1"/>
          <w:numId w:val="238"/>
        </w:numPr>
      </w:pPr>
      <w:bookmarkStart w:id="443" w:name="_Toc220541981"/>
      <w:r w:rsidRPr="00C86111">
        <w:t>Projekti praćenja i upravljanja POP-</w:t>
      </w:r>
      <w:r w:rsidR="008015BD">
        <w:t>s</w:t>
      </w:r>
      <w:r w:rsidRPr="00C86111">
        <w:t xml:space="preserve"> i drugim zagađivačima u Crnoj Gori</w:t>
      </w:r>
      <w:bookmarkEnd w:id="443"/>
    </w:p>
    <w:p w14:paraId="5592D7CA" w14:textId="77777777" w:rsidR="004F6023" w:rsidRPr="00C86111" w:rsidRDefault="004F6023" w:rsidP="004F6023">
      <w:pPr>
        <w:jc w:val="both"/>
        <w:rPr>
          <w:szCs w:val="24"/>
        </w:rPr>
      </w:pPr>
    </w:p>
    <w:p w14:paraId="7D6D4409" w14:textId="77777777" w:rsidR="004F6023" w:rsidRPr="00C86111" w:rsidRDefault="004F6023" w:rsidP="004F6023">
      <w:pPr>
        <w:jc w:val="both"/>
        <w:rPr>
          <w:b/>
          <w:bCs/>
          <w:color w:val="002060"/>
          <w:szCs w:val="24"/>
        </w:rPr>
      </w:pPr>
      <w:r w:rsidRPr="00C86111">
        <w:rPr>
          <w:b/>
          <w:bCs/>
          <w:color w:val="002060"/>
          <w:szCs w:val="24"/>
        </w:rPr>
        <w:t>1. Skadarsko jezero bez hemijskog zagađenja – SOLUTION projekat (2021–2023)</w:t>
      </w:r>
    </w:p>
    <w:p w14:paraId="63D7FD6F" w14:textId="77777777" w:rsidR="004F6023" w:rsidRPr="00C86111" w:rsidRDefault="004F6023" w:rsidP="004F6023">
      <w:pPr>
        <w:jc w:val="both"/>
        <w:rPr>
          <w:szCs w:val="24"/>
        </w:rPr>
      </w:pPr>
      <w:r w:rsidRPr="00C86111">
        <w:rPr>
          <w:szCs w:val="24"/>
        </w:rPr>
        <w:t>Projekat „Skadarsko jezero bez hemijskog zagađenja – SOLUTION“ realizovan je u okviru IPA Programa prekogranične saradnje, sa Centrom za ekotoksikološka istraživanja (CETI, Podgorica) kao vodećim partnerom, u saradnji sa Univerzitetom u Tirani i Green Centre Albania.</w:t>
      </w:r>
    </w:p>
    <w:p w14:paraId="70228860" w14:textId="77777777" w:rsidR="004F6023" w:rsidRPr="00C86111" w:rsidRDefault="004F6023" w:rsidP="004F6023">
      <w:pPr>
        <w:jc w:val="both"/>
        <w:rPr>
          <w:szCs w:val="24"/>
        </w:rPr>
      </w:pPr>
      <w:r w:rsidRPr="00C86111">
        <w:rPr>
          <w:szCs w:val="24"/>
        </w:rPr>
        <w:t>Glavni ciljevi projekta:</w:t>
      </w:r>
    </w:p>
    <w:p w14:paraId="77D6D125" w14:textId="77777777" w:rsidR="004F6023" w:rsidRPr="00C86111" w:rsidRDefault="004F6023" w:rsidP="00833A40">
      <w:pPr>
        <w:pStyle w:val="ListParagraph"/>
        <w:numPr>
          <w:ilvl w:val="0"/>
          <w:numId w:val="51"/>
        </w:numPr>
        <w:jc w:val="both"/>
        <w:rPr>
          <w:szCs w:val="24"/>
        </w:rPr>
      </w:pPr>
      <w:r w:rsidRPr="00C86111">
        <w:rPr>
          <w:szCs w:val="24"/>
        </w:rPr>
        <w:t>Ojačati bilateralnu saradnju u praćenju opasnih hemikalija u Skadarskom jezeru.</w:t>
      </w:r>
    </w:p>
    <w:p w14:paraId="07226577" w14:textId="77777777" w:rsidR="004F6023" w:rsidRPr="00C86111" w:rsidRDefault="004F6023" w:rsidP="00833A40">
      <w:pPr>
        <w:pStyle w:val="ListParagraph"/>
        <w:numPr>
          <w:ilvl w:val="0"/>
          <w:numId w:val="51"/>
        </w:numPr>
        <w:jc w:val="both"/>
        <w:rPr>
          <w:szCs w:val="24"/>
        </w:rPr>
      </w:pPr>
      <w:r w:rsidRPr="00C86111">
        <w:rPr>
          <w:szCs w:val="24"/>
        </w:rPr>
        <w:t>Poboljšati uporedivost podataka između Crne Gore i Albanije.</w:t>
      </w:r>
    </w:p>
    <w:p w14:paraId="4D9B44CC" w14:textId="77777777" w:rsidR="004F6023" w:rsidRPr="00C86111" w:rsidRDefault="004F6023" w:rsidP="00833A40">
      <w:pPr>
        <w:pStyle w:val="ListParagraph"/>
        <w:numPr>
          <w:ilvl w:val="0"/>
          <w:numId w:val="51"/>
        </w:numPr>
        <w:jc w:val="both"/>
        <w:rPr>
          <w:szCs w:val="24"/>
        </w:rPr>
      </w:pPr>
      <w:r w:rsidRPr="00C86111">
        <w:rPr>
          <w:szCs w:val="24"/>
        </w:rPr>
        <w:t>Podržati zajedničke mjere za rješavanje prekograničnog zagađenja i zaštitu zajedničkog vodenog ekosistema.</w:t>
      </w:r>
    </w:p>
    <w:p w14:paraId="58AB1349" w14:textId="77777777" w:rsidR="004F6023" w:rsidRPr="00C86111" w:rsidRDefault="004F6023" w:rsidP="004F6023">
      <w:pPr>
        <w:jc w:val="both"/>
        <w:rPr>
          <w:szCs w:val="24"/>
        </w:rPr>
      </w:pPr>
    </w:p>
    <w:p w14:paraId="360FB4CE" w14:textId="77777777" w:rsidR="004F6023" w:rsidRPr="00C86111" w:rsidRDefault="004F6023" w:rsidP="004F6023">
      <w:pPr>
        <w:jc w:val="both"/>
        <w:rPr>
          <w:color w:val="002060"/>
          <w:szCs w:val="24"/>
        </w:rPr>
      </w:pPr>
      <w:r w:rsidRPr="00C86111">
        <w:rPr>
          <w:color w:val="002060"/>
          <w:szCs w:val="24"/>
        </w:rPr>
        <w:t>Ključni nalazi:</w:t>
      </w:r>
    </w:p>
    <w:p w14:paraId="13982226" w14:textId="77777777" w:rsidR="004F6023" w:rsidRPr="00C86111" w:rsidRDefault="004F6023" w:rsidP="004F6023">
      <w:pPr>
        <w:jc w:val="both"/>
        <w:rPr>
          <w:szCs w:val="24"/>
        </w:rPr>
      </w:pPr>
    </w:p>
    <w:p w14:paraId="4E62C114" w14:textId="77777777" w:rsidR="004F6023" w:rsidRPr="00C86111" w:rsidRDefault="004F6023" w:rsidP="004F6023">
      <w:pPr>
        <w:jc w:val="both"/>
        <w:rPr>
          <w:szCs w:val="24"/>
        </w:rPr>
      </w:pPr>
      <w:r w:rsidRPr="00C86111">
        <w:rPr>
          <w:color w:val="002060"/>
          <w:szCs w:val="24"/>
        </w:rPr>
        <w:t>Hlorpirifos</w:t>
      </w:r>
      <w:r w:rsidRPr="00C86111">
        <w:rPr>
          <w:szCs w:val="24"/>
        </w:rPr>
        <w:t xml:space="preserve"> (organofosforni insekticid, kandidat POP-a): </w:t>
      </w:r>
    </w:p>
    <w:p w14:paraId="3D95FBBA" w14:textId="77777777" w:rsidR="004F6023" w:rsidRPr="00C86111" w:rsidRDefault="004F6023" w:rsidP="004F6023">
      <w:pPr>
        <w:jc w:val="both"/>
        <w:rPr>
          <w:szCs w:val="24"/>
        </w:rPr>
      </w:pPr>
      <w:r w:rsidRPr="00C86111">
        <w:rPr>
          <w:szCs w:val="24"/>
        </w:rPr>
        <w:t>Zabilježena  su prekoračenja predviđene koncentracije bez efekta (PNEC) na crnogorskoj strani. Koncentracije su bile do 4,3 puta veće od PNEC, naročito u blizini pritoka Morače.</w:t>
      </w:r>
    </w:p>
    <w:p w14:paraId="3DE6D1C8" w14:textId="77777777" w:rsidR="004F6023" w:rsidRPr="00C86111" w:rsidRDefault="004F6023" w:rsidP="004F6023">
      <w:pPr>
        <w:jc w:val="both"/>
        <w:rPr>
          <w:szCs w:val="24"/>
        </w:rPr>
      </w:pPr>
      <w:r w:rsidRPr="00C86111">
        <w:rPr>
          <w:szCs w:val="24"/>
        </w:rPr>
        <w:t>Iako su još uvijek ispod maksimalno dozvoljenih EU koncentracija, postojanost i toksičnost hlorpirifosa predstavljaju značajan ekološki problem. Rezultati sugerišu da se ovaj insekticid i dalje koristi u poljoprivredi uprkos zabrani u EU, naglašavajući potrebu za identifikacijom izvora u slivnom području.</w:t>
      </w:r>
    </w:p>
    <w:p w14:paraId="5B0ABCDF" w14:textId="77777777" w:rsidR="004F6023" w:rsidRPr="00C86111" w:rsidRDefault="004F6023" w:rsidP="004F6023">
      <w:pPr>
        <w:jc w:val="both"/>
        <w:rPr>
          <w:szCs w:val="24"/>
        </w:rPr>
      </w:pPr>
    </w:p>
    <w:p w14:paraId="45FCA156" w14:textId="77777777" w:rsidR="004F6023" w:rsidRPr="00C86111" w:rsidRDefault="004F6023" w:rsidP="004F6023">
      <w:pPr>
        <w:jc w:val="both"/>
        <w:rPr>
          <w:color w:val="002060"/>
          <w:szCs w:val="24"/>
        </w:rPr>
      </w:pPr>
      <w:r w:rsidRPr="00C86111">
        <w:rPr>
          <w:color w:val="002060"/>
          <w:szCs w:val="24"/>
        </w:rPr>
        <w:t>Policiklični aromatični ugljovodonici (PAH):</w:t>
      </w:r>
    </w:p>
    <w:p w14:paraId="07C6306B" w14:textId="77777777" w:rsidR="004F6023" w:rsidRPr="00C86111" w:rsidRDefault="004F6023" w:rsidP="004F6023">
      <w:pPr>
        <w:jc w:val="both"/>
        <w:rPr>
          <w:szCs w:val="24"/>
        </w:rPr>
      </w:pPr>
      <w:r w:rsidRPr="00C86111">
        <w:rPr>
          <w:szCs w:val="24"/>
        </w:rPr>
        <w:t>Više PAH, uključujući benzo(a)piren, prekoračilo je PNEC vrednosti u površinskim vodama i sedimentima.</w:t>
      </w:r>
    </w:p>
    <w:p w14:paraId="593C39FC" w14:textId="77777777" w:rsidR="004F6023" w:rsidRPr="00C86111" w:rsidRDefault="004F6023" w:rsidP="004F6023">
      <w:pPr>
        <w:jc w:val="both"/>
        <w:rPr>
          <w:szCs w:val="24"/>
        </w:rPr>
      </w:pPr>
      <w:r w:rsidRPr="00C86111">
        <w:rPr>
          <w:szCs w:val="24"/>
        </w:rPr>
        <w:t>Najveća prekoračenja zabilježena su na pritoci ,Morači, , gdje su koncentracije u sedimentima bile preko 40 puta veće od PNEC. Nalazi ukazuju na jaku povezanost sa industrijskim i urbanim otpadnim vodama, pri čemu je zagađenje veće na crnogorskoj nego na albanskoj strani.</w:t>
      </w:r>
    </w:p>
    <w:p w14:paraId="76894C77" w14:textId="77777777" w:rsidR="004F6023" w:rsidRPr="00C86111" w:rsidRDefault="004F6023" w:rsidP="004F6023">
      <w:pPr>
        <w:jc w:val="both"/>
        <w:rPr>
          <w:szCs w:val="24"/>
        </w:rPr>
      </w:pPr>
    </w:p>
    <w:p w14:paraId="0C475BDB" w14:textId="77777777" w:rsidR="004F6023" w:rsidRPr="00C86111" w:rsidRDefault="004F6023" w:rsidP="004F6023">
      <w:pPr>
        <w:jc w:val="both"/>
        <w:rPr>
          <w:color w:val="002060"/>
          <w:szCs w:val="24"/>
        </w:rPr>
      </w:pPr>
      <w:r w:rsidRPr="00C86111">
        <w:rPr>
          <w:color w:val="002060"/>
          <w:szCs w:val="24"/>
        </w:rPr>
        <w:t>Organohlorni pesticidi (OCP):</w:t>
      </w:r>
    </w:p>
    <w:p w14:paraId="289BA652" w14:textId="77777777" w:rsidR="004F6023" w:rsidRPr="00C86111" w:rsidRDefault="004F6023" w:rsidP="004F6023">
      <w:pPr>
        <w:jc w:val="both"/>
        <w:rPr>
          <w:szCs w:val="24"/>
        </w:rPr>
      </w:pPr>
      <w:r w:rsidRPr="00C86111">
        <w:rPr>
          <w:szCs w:val="24"/>
        </w:rPr>
        <w:t>Metaboliti DDT-a (DDD, DDE) otkriveni u sedimentima, što sugeriše nedavnu ili kontinuiranu ilegalnu upotrebu. DDE je prekoračio bezbjedne granice u bioti (jegulje), potvrđujući bioakumulaciju i dugoročni ekološki rizik.</w:t>
      </w:r>
    </w:p>
    <w:p w14:paraId="76484F62" w14:textId="77777777" w:rsidR="004F6023" w:rsidRPr="00C86111" w:rsidRDefault="004F6023" w:rsidP="004F6023">
      <w:pPr>
        <w:jc w:val="both"/>
        <w:rPr>
          <w:color w:val="002060"/>
          <w:szCs w:val="24"/>
        </w:rPr>
      </w:pPr>
    </w:p>
    <w:p w14:paraId="4F1A5A43" w14:textId="77777777" w:rsidR="004F6023" w:rsidRPr="00C86111" w:rsidRDefault="004F6023" w:rsidP="004F6023">
      <w:pPr>
        <w:jc w:val="both"/>
        <w:rPr>
          <w:color w:val="002060"/>
          <w:szCs w:val="24"/>
        </w:rPr>
      </w:pPr>
      <w:r w:rsidRPr="00C86111">
        <w:rPr>
          <w:color w:val="002060"/>
          <w:szCs w:val="24"/>
        </w:rPr>
        <w:t>Polihlorovani bifenili (PCB):</w:t>
      </w:r>
    </w:p>
    <w:p w14:paraId="41059953" w14:textId="77777777" w:rsidR="004F6023" w:rsidRPr="00C86111" w:rsidRDefault="004F6023" w:rsidP="004F6023">
      <w:pPr>
        <w:jc w:val="both"/>
        <w:rPr>
          <w:szCs w:val="24"/>
        </w:rPr>
      </w:pPr>
    </w:p>
    <w:p w14:paraId="0ED7EEF4" w14:textId="77777777" w:rsidR="004F6023" w:rsidRPr="00C86111" w:rsidRDefault="004F6023" w:rsidP="004F6023">
      <w:pPr>
        <w:jc w:val="both"/>
        <w:rPr>
          <w:szCs w:val="24"/>
        </w:rPr>
      </w:pPr>
      <w:r w:rsidRPr="00C86111">
        <w:rPr>
          <w:szCs w:val="24"/>
        </w:rPr>
        <w:t>Otkriveni u sedimentima i ribama, uglavnom ispod kritičnih granica. Potrebno kontinuirano praćenje zbog njihove postojanosti i tendencije akumulacije u višim trofičkim nivoima.</w:t>
      </w:r>
    </w:p>
    <w:p w14:paraId="0CF6CC67" w14:textId="77777777" w:rsidR="004F6023" w:rsidRPr="00C86111" w:rsidRDefault="004F6023" w:rsidP="004F6023">
      <w:pPr>
        <w:jc w:val="both"/>
        <w:rPr>
          <w:szCs w:val="24"/>
        </w:rPr>
      </w:pPr>
    </w:p>
    <w:p w14:paraId="730C4303" w14:textId="77777777" w:rsidR="004F6023" w:rsidRPr="00C86111" w:rsidRDefault="004F6023" w:rsidP="004F6023">
      <w:pPr>
        <w:jc w:val="both"/>
        <w:rPr>
          <w:b/>
          <w:bCs/>
          <w:i/>
          <w:iCs/>
          <w:color w:val="002060"/>
          <w:szCs w:val="24"/>
        </w:rPr>
      </w:pPr>
      <w:r w:rsidRPr="00C86111">
        <w:rPr>
          <w:b/>
          <w:bCs/>
          <w:i/>
          <w:iCs/>
          <w:color w:val="002060"/>
          <w:szCs w:val="24"/>
        </w:rPr>
        <w:t xml:space="preserve">Zaključci: </w:t>
      </w:r>
    </w:p>
    <w:p w14:paraId="3873C1C0" w14:textId="77777777" w:rsidR="004F6023" w:rsidRPr="00C86111" w:rsidRDefault="004F6023" w:rsidP="004F6023">
      <w:pPr>
        <w:jc w:val="both"/>
        <w:rPr>
          <w:szCs w:val="24"/>
        </w:rPr>
      </w:pPr>
      <w:r w:rsidRPr="00C86111">
        <w:rPr>
          <w:szCs w:val="24"/>
        </w:rPr>
        <w:t>Skadarsko jezero i dalje je pod značajnim pritiscima od strane postojanih zagađivača. Najkritičnija prijetnja predstavljaju hlorpirifos, PAH i DDT ostaci, posebno u blizini riječnih pritoka. Nalazi naglašavaju važnost:</w:t>
      </w:r>
    </w:p>
    <w:p w14:paraId="4BDCBFBC" w14:textId="77777777" w:rsidR="004F6023" w:rsidRPr="00C86111" w:rsidRDefault="004F6023" w:rsidP="00833A40">
      <w:pPr>
        <w:pStyle w:val="ListParagraph"/>
        <w:numPr>
          <w:ilvl w:val="0"/>
          <w:numId w:val="53"/>
        </w:numPr>
        <w:jc w:val="both"/>
        <w:rPr>
          <w:szCs w:val="24"/>
        </w:rPr>
      </w:pPr>
      <w:r w:rsidRPr="00C86111">
        <w:rPr>
          <w:szCs w:val="24"/>
        </w:rPr>
        <w:t>Koordinisanih prekograničnih programa monitoringa.</w:t>
      </w:r>
    </w:p>
    <w:p w14:paraId="6EB47918" w14:textId="77777777" w:rsidR="004F6023" w:rsidRPr="00C86111" w:rsidRDefault="004F6023" w:rsidP="00833A40">
      <w:pPr>
        <w:pStyle w:val="ListParagraph"/>
        <w:numPr>
          <w:ilvl w:val="0"/>
          <w:numId w:val="53"/>
        </w:numPr>
        <w:jc w:val="both"/>
        <w:rPr>
          <w:szCs w:val="24"/>
        </w:rPr>
      </w:pPr>
      <w:r w:rsidRPr="00C86111">
        <w:rPr>
          <w:szCs w:val="24"/>
        </w:rPr>
        <w:t>Praćenja izvora zagađenja u slivu.</w:t>
      </w:r>
    </w:p>
    <w:p w14:paraId="1C9679D8" w14:textId="77777777" w:rsidR="004F6023" w:rsidRPr="00C86111" w:rsidRDefault="004F6023" w:rsidP="00833A40">
      <w:pPr>
        <w:pStyle w:val="ListParagraph"/>
        <w:numPr>
          <w:ilvl w:val="0"/>
          <w:numId w:val="53"/>
        </w:numPr>
        <w:jc w:val="both"/>
        <w:rPr>
          <w:szCs w:val="24"/>
        </w:rPr>
      </w:pPr>
      <w:r w:rsidRPr="00C86111">
        <w:rPr>
          <w:szCs w:val="24"/>
        </w:rPr>
        <w:t>Primjene zajedničkih mjera smanjenja zagađenja u skladu sa Direktivom EU o okvirima voda i obavezama iz Stokholmske konvencije.</w:t>
      </w:r>
    </w:p>
    <w:p w14:paraId="53CD0B24" w14:textId="77777777" w:rsidR="004F6023" w:rsidRPr="00C86111" w:rsidRDefault="004F6023" w:rsidP="004F6023">
      <w:pPr>
        <w:jc w:val="both"/>
        <w:rPr>
          <w:szCs w:val="24"/>
        </w:rPr>
      </w:pPr>
    </w:p>
    <w:p w14:paraId="7C313C57" w14:textId="77777777" w:rsidR="004F6023" w:rsidRPr="00C86111" w:rsidRDefault="004F6023" w:rsidP="004F6023">
      <w:pPr>
        <w:jc w:val="both"/>
        <w:rPr>
          <w:i/>
          <w:iCs/>
          <w:color w:val="002060"/>
          <w:szCs w:val="24"/>
        </w:rPr>
      </w:pPr>
      <w:r w:rsidRPr="00C86111">
        <w:rPr>
          <w:b/>
          <w:bCs/>
          <w:szCs w:val="24"/>
        </w:rPr>
        <w:t xml:space="preserve">2. </w:t>
      </w:r>
      <w:r w:rsidRPr="00C86111">
        <w:rPr>
          <w:i/>
          <w:iCs/>
          <w:color w:val="002060"/>
          <w:szCs w:val="24"/>
        </w:rPr>
        <w:t>Podrška implementaciji i monitoringu upravljanja vodama u Crnoj Gori</w:t>
      </w:r>
    </w:p>
    <w:p w14:paraId="07E4D4C3" w14:textId="77777777" w:rsidR="004F6023" w:rsidRPr="00C86111" w:rsidRDefault="004F6023" w:rsidP="004F6023">
      <w:pPr>
        <w:jc w:val="both"/>
        <w:rPr>
          <w:b/>
          <w:bCs/>
          <w:szCs w:val="24"/>
        </w:rPr>
      </w:pPr>
    </w:p>
    <w:p w14:paraId="70C2F9C1" w14:textId="77777777" w:rsidR="004F6023" w:rsidRPr="00C86111" w:rsidRDefault="004F6023" w:rsidP="004F6023">
      <w:pPr>
        <w:jc w:val="both"/>
        <w:rPr>
          <w:szCs w:val="24"/>
        </w:rPr>
      </w:pPr>
      <w:r w:rsidRPr="00C86111">
        <w:rPr>
          <w:szCs w:val="24"/>
        </w:rPr>
        <w:t>Projekat je realizovan od strane EPTISA Southeast Europe u saradnji sa CETI i fokusirao se na jačanje kapaciteta Crne Gore za usklađenost sa EU Direktivom o okvirima voda (WFD) kroz unaprjeđenje metodologije monitoringa i sprovođenje sveobuhvatnih procena zagađenja u vodi, sedimentima i bioti.</w:t>
      </w:r>
    </w:p>
    <w:p w14:paraId="02F454CE" w14:textId="77777777" w:rsidR="004F6023" w:rsidRPr="00C86111" w:rsidRDefault="004F6023" w:rsidP="004F6023">
      <w:pPr>
        <w:jc w:val="both"/>
        <w:rPr>
          <w:b/>
          <w:bCs/>
          <w:szCs w:val="24"/>
        </w:rPr>
      </w:pPr>
      <w:r w:rsidRPr="00C86111">
        <w:rPr>
          <w:b/>
          <w:bCs/>
          <w:szCs w:val="24"/>
        </w:rPr>
        <w:t>Ključni nalazi:</w:t>
      </w:r>
    </w:p>
    <w:p w14:paraId="726627B1" w14:textId="77777777" w:rsidR="004F6023" w:rsidRPr="00C86111" w:rsidRDefault="004F6023" w:rsidP="004F6023">
      <w:pPr>
        <w:jc w:val="both"/>
        <w:rPr>
          <w:szCs w:val="24"/>
        </w:rPr>
      </w:pPr>
      <w:r w:rsidRPr="00C86111">
        <w:rPr>
          <w:b/>
          <w:bCs/>
          <w:szCs w:val="24"/>
        </w:rPr>
        <w:t xml:space="preserve">Voda i sedimenti: </w:t>
      </w:r>
      <w:r w:rsidRPr="00C86111">
        <w:rPr>
          <w:szCs w:val="24"/>
        </w:rPr>
        <w:t>Većina prioritetnih supstanci, uključujući metabolite DDT-a, bila je ispod standarda kvaliteta. Hemijski status površinskih voda i sedimenta uglavnom u skladu sa EU standardima.</w:t>
      </w:r>
    </w:p>
    <w:p w14:paraId="540DAEBB" w14:textId="77777777" w:rsidR="004F6023" w:rsidRPr="00C86111" w:rsidRDefault="004F6023" w:rsidP="004F6023">
      <w:pPr>
        <w:jc w:val="both"/>
        <w:rPr>
          <w:szCs w:val="24"/>
        </w:rPr>
      </w:pPr>
      <w:r w:rsidRPr="00C86111">
        <w:rPr>
          <w:b/>
          <w:bCs/>
          <w:szCs w:val="24"/>
        </w:rPr>
        <w:t xml:space="preserve">Biota (uzorci riba): </w:t>
      </w:r>
      <w:r w:rsidRPr="00C86111">
        <w:rPr>
          <w:szCs w:val="24"/>
        </w:rPr>
        <w:t>Zabilježena  su prekoračenja bromovanih difenil etera (BDE) i per- i polifluorisanih supstanci (PFAS) u ribama poput pastrmke, šarana, soma i brancina.</w:t>
      </w:r>
    </w:p>
    <w:p w14:paraId="2BF52F66" w14:textId="77777777" w:rsidR="004F6023" w:rsidRPr="00C86111" w:rsidRDefault="004F6023" w:rsidP="004F6023">
      <w:pPr>
        <w:jc w:val="both"/>
        <w:rPr>
          <w:szCs w:val="24"/>
        </w:rPr>
      </w:pPr>
      <w:r w:rsidRPr="00C86111">
        <w:rPr>
          <w:szCs w:val="24"/>
        </w:rPr>
        <w:t>Ove supstance su vrlo postojane i bioakumulativne, povezane sa poremećajem endokrinog sistema, supresijom imunog sistema i kancerogenim efektima.</w:t>
      </w:r>
    </w:p>
    <w:p w14:paraId="7828325E" w14:textId="77777777" w:rsidR="004F6023" w:rsidRPr="00C86111" w:rsidRDefault="004F6023" w:rsidP="004F6023">
      <w:pPr>
        <w:jc w:val="both"/>
        <w:rPr>
          <w:szCs w:val="24"/>
        </w:rPr>
      </w:pPr>
      <w:r w:rsidRPr="00C86111">
        <w:rPr>
          <w:szCs w:val="24"/>
        </w:rPr>
        <w:t>Izvori vjerovatno potiču iz industrijskih i urbanih otpadnih voda.</w:t>
      </w:r>
    </w:p>
    <w:p w14:paraId="392149F1" w14:textId="77777777" w:rsidR="004F6023" w:rsidRPr="00C86111" w:rsidRDefault="004F6023" w:rsidP="004F6023">
      <w:pPr>
        <w:jc w:val="both"/>
        <w:rPr>
          <w:szCs w:val="24"/>
        </w:rPr>
      </w:pPr>
      <w:r w:rsidRPr="00C86111">
        <w:rPr>
          <w:szCs w:val="24"/>
        </w:rPr>
        <w:t>Iako kvalitet vode i sedimenta generalno zadovoljava EU zahteve, zagađenje u ribama ukazuje na kontinuirane rizike za vodene ekosisteme i javno zdravlje. Nalazi ukazuju na potrebu za:</w:t>
      </w:r>
    </w:p>
    <w:p w14:paraId="4D1E7DE3" w14:textId="77777777" w:rsidR="004F6023" w:rsidRPr="00C86111" w:rsidRDefault="004F6023" w:rsidP="00833A40">
      <w:pPr>
        <w:pStyle w:val="ListParagraph"/>
        <w:numPr>
          <w:ilvl w:val="0"/>
          <w:numId w:val="52"/>
        </w:numPr>
        <w:jc w:val="both"/>
        <w:rPr>
          <w:szCs w:val="24"/>
        </w:rPr>
      </w:pPr>
      <w:r w:rsidRPr="00C86111">
        <w:rPr>
          <w:szCs w:val="24"/>
        </w:rPr>
        <w:t>Pojačanim regulatornim merama.</w:t>
      </w:r>
    </w:p>
    <w:p w14:paraId="25D0576A" w14:textId="77777777" w:rsidR="004F6023" w:rsidRPr="00C86111" w:rsidRDefault="004F6023" w:rsidP="00833A40">
      <w:pPr>
        <w:pStyle w:val="ListParagraph"/>
        <w:numPr>
          <w:ilvl w:val="0"/>
          <w:numId w:val="52"/>
        </w:numPr>
        <w:jc w:val="both"/>
        <w:rPr>
          <w:szCs w:val="24"/>
        </w:rPr>
      </w:pPr>
      <w:r w:rsidRPr="00C86111">
        <w:rPr>
          <w:szCs w:val="24"/>
        </w:rPr>
        <w:t>Češćim i sistematičnijim monitoringom.</w:t>
      </w:r>
    </w:p>
    <w:p w14:paraId="44B65134" w14:textId="77777777" w:rsidR="004F6023" w:rsidRPr="00C86111" w:rsidRDefault="004F6023" w:rsidP="00833A40">
      <w:pPr>
        <w:pStyle w:val="ListParagraph"/>
        <w:numPr>
          <w:ilvl w:val="0"/>
          <w:numId w:val="52"/>
        </w:numPr>
        <w:jc w:val="both"/>
        <w:rPr>
          <w:szCs w:val="24"/>
        </w:rPr>
      </w:pPr>
      <w:r w:rsidRPr="00C86111">
        <w:rPr>
          <w:szCs w:val="24"/>
        </w:rPr>
        <w:t>Jasnom komunikacijom rizika prema zainteresovanim stranama i javnosti.</w:t>
      </w:r>
    </w:p>
    <w:p w14:paraId="7D54EBB7" w14:textId="77777777" w:rsidR="004F6023" w:rsidRPr="00C86111" w:rsidRDefault="004F6023" w:rsidP="00004F34">
      <w:pPr>
        <w:pStyle w:val="Heading1"/>
        <w:numPr>
          <w:ilvl w:val="1"/>
          <w:numId w:val="238"/>
        </w:numPr>
      </w:pPr>
      <w:bookmarkStart w:id="444" w:name="_Toc220541982"/>
      <w:r w:rsidRPr="00C86111">
        <w:t>Opšti zaključci:</w:t>
      </w:r>
      <w:bookmarkEnd w:id="444"/>
    </w:p>
    <w:p w14:paraId="3DE3C7B6" w14:textId="77777777" w:rsidR="004F6023" w:rsidRPr="00C86111" w:rsidRDefault="004F6023" w:rsidP="004F6023">
      <w:pPr>
        <w:jc w:val="both"/>
        <w:rPr>
          <w:b/>
          <w:bCs/>
          <w:szCs w:val="24"/>
        </w:rPr>
      </w:pPr>
    </w:p>
    <w:p w14:paraId="66717140" w14:textId="77777777" w:rsidR="004F6023" w:rsidRPr="00C86111" w:rsidRDefault="004F6023" w:rsidP="00833A40">
      <w:pPr>
        <w:pStyle w:val="ListParagraph"/>
        <w:numPr>
          <w:ilvl w:val="0"/>
          <w:numId w:val="55"/>
        </w:numPr>
        <w:jc w:val="both"/>
        <w:rPr>
          <w:szCs w:val="24"/>
        </w:rPr>
      </w:pPr>
      <w:r w:rsidRPr="00C86111">
        <w:rPr>
          <w:szCs w:val="24"/>
        </w:rPr>
        <w:t>Kombinovani rezultati oba projekta pružaju sveobuhvatnu sliku problema hemijskog zagađenja u akvatijskom okruženju Crne Gore:</w:t>
      </w:r>
    </w:p>
    <w:p w14:paraId="29127FD0" w14:textId="77777777" w:rsidR="004F6023" w:rsidRPr="00C86111" w:rsidRDefault="004F6023" w:rsidP="00833A40">
      <w:pPr>
        <w:pStyle w:val="ListParagraph"/>
        <w:numPr>
          <w:ilvl w:val="0"/>
          <w:numId w:val="55"/>
        </w:numPr>
        <w:jc w:val="both"/>
        <w:rPr>
          <w:szCs w:val="24"/>
        </w:rPr>
      </w:pPr>
      <w:r w:rsidRPr="00C86111">
        <w:rPr>
          <w:szCs w:val="24"/>
        </w:rPr>
        <w:t>POPs ostaju veliki problem: uprkos zabranama, ostaci DDT-a, hlorpirifosa i PCB-a i dalje se detektuju u sedimentima i bioti, što ukazuje na istorijsko zagađenje ili kontinuiranu ilegalnu upotrebu.</w:t>
      </w:r>
    </w:p>
    <w:p w14:paraId="45BE270E" w14:textId="77777777" w:rsidR="004F6023" w:rsidRPr="00C86111" w:rsidRDefault="004F6023" w:rsidP="00833A40">
      <w:pPr>
        <w:pStyle w:val="ListParagraph"/>
        <w:numPr>
          <w:ilvl w:val="0"/>
          <w:numId w:val="55"/>
        </w:numPr>
        <w:jc w:val="both"/>
        <w:rPr>
          <w:szCs w:val="24"/>
        </w:rPr>
      </w:pPr>
      <w:r w:rsidRPr="00C86111">
        <w:rPr>
          <w:szCs w:val="24"/>
        </w:rPr>
        <w:lastRenderedPageBreak/>
        <w:t>Emerging pollutants su značajni: pored legacy POPs-ova, kontaminanti poput BDE i PFAS već prelaze sigurne nivoe u ribama, ugrožavajući ekosisteme i ljudsko zdravlje.</w:t>
      </w:r>
    </w:p>
    <w:p w14:paraId="2AED0B6B" w14:textId="77777777" w:rsidR="004F6023" w:rsidRPr="00C86111" w:rsidRDefault="004F6023" w:rsidP="00833A40">
      <w:pPr>
        <w:pStyle w:val="ListParagraph"/>
        <w:numPr>
          <w:ilvl w:val="0"/>
          <w:numId w:val="55"/>
        </w:numPr>
        <w:jc w:val="both"/>
        <w:rPr>
          <w:szCs w:val="24"/>
        </w:rPr>
      </w:pPr>
      <w:r w:rsidRPr="00C86111">
        <w:rPr>
          <w:szCs w:val="24"/>
        </w:rPr>
        <w:t>Sedimenti i biota su ključni indikatori: iako površinske vode često zadovoljavaju EU standarde, sediment i ribe pokazuju dugoročne akumulacije i ekološke rizike.</w:t>
      </w:r>
    </w:p>
    <w:p w14:paraId="62DBDEB6" w14:textId="77777777" w:rsidR="004F6023" w:rsidRPr="00C86111" w:rsidRDefault="004F6023" w:rsidP="00833A40">
      <w:pPr>
        <w:pStyle w:val="ListParagraph"/>
        <w:numPr>
          <w:ilvl w:val="0"/>
          <w:numId w:val="55"/>
        </w:numPr>
        <w:jc w:val="both"/>
        <w:rPr>
          <w:szCs w:val="24"/>
        </w:rPr>
      </w:pPr>
      <w:r w:rsidRPr="00C86111">
        <w:rPr>
          <w:szCs w:val="24"/>
        </w:rPr>
        <w:t>Prekogranična saradnja je neophodna: izvori zagađenja, posebno u Skadarskom jezeru, zahtevaju koordinisanu regionalnu akciju i harmonizovane monitoring aktivnosti.</w:t>
      </w:r>
    </w:p>
    <w:p w14:paraId="03E59726" w14:textId="13FAAFD5" w:rsidR="004F6023" w:rsidRPr="008015BD" w:rsidRDefault="004F6023" w:rsidP="009756DA">
      <w:pPr>
        <w:pStyle w:val="ListParagraph"/>
        <w:numPr>
          <w:ilvl w:val="0"/>
          <w:numId w:val="55"/>
        </w:numPr>
        <w:jc w:val="both"/>
        <w:rPr>
          <w:szCs w:val="24"/>
        </w:rPr>
      </w:pPr>
      <w:r w:rsidRPr="008015BD">
        <w:rPr>
          <w:szCs w:val="24"/>
        </w:rPr>
        <w:t>Frekvencija monitoringa je nedovoljna: trenutna učestalost od 1–2 uzorka godišnje nije dovoljna; EU direktive zahtijevaju mjesečni monitoring za pouzdane procjene.</w:t>
      </w:r>
    </w:p>
    <w:p w14:paraId="19E44C0C" w14:textId="77777777" w:rsidR="004F6023" w:rsidRPr="00C86111" w:rsidRDefault="004F6023" w:rsidP="00004F34">
      <w:pPr>
        <w:pStyle w:val="Heading1"/>
        <w:numPr>
          <w:ilvl w:val="1"/>
          <w:numId w:val="238"/>
        </w:numPr>
      </w:pPr>
      <w:bookmarkStart w:id="445" w:name="_Toc220541983"/>
      <w:r w:rsidRPr="00C86111">
        <w:t>Opšte preporuke:</w:t>
      </w:r>
      <w:bookmarkEnd w:id="445"/>
    </w:p>
    <w:p w14:paraId="2C671E3E" w14:textId="77777777" w:rsidR="004F6023" w:rsidRPr="00C86111" w:rsidRDefault="004F6023" w:rsidP="00833A40">
      <w:pPr>
        <w:pStyle w:val="ListParagraph"/>
        <w:numPr>
          <w:ilvl w:val="0"/>
          <w:numId w:val="54"/>
        </w:numPr>
        <w:jc w:val="both"/>
        <w:rPr>
          <w:szCs w:val="24"/>
        </w:rPr>
      </w:pPr>
      <w:r w:rsidRPr="00C86111">
        <w:rPr>
          <w:szCs w:val="24"/>
        </w:rPr>
        <w:t>Pojačati redovni monitoring: uspostaviti mjesečne programe za segmente životne sredine u skladu sa WFD zahtjevima.</w:t>
      </w:r>
    </w:p>
    <w:p w14:paraId="0AFFECD8" w14:textId="77777777" w:rsidR="004F6023" w:rsidRPr="00C86111" w:rsidRDefault="004F6023" w:rsidP="00833A40">
      <w:pPr>
        <w:pStyle w:val="ListParagraph"/>
        <w:numPr>
          <w:ilvl w:val="0"/>
          <w:numId w:val="54"/>
        </w:numPr>
        <w:jc w:val="both"/>
        <w:rPr>
          <w:szCs w:val="24"/>
        </w:rPr>
      </w:pPr>
      <w:r w:rsidRPr="00C86111">
        <w:rPr>
          <w:szCs w:val="24"/>
        </w:rPr>
        <w:t>Identifikovati i kontrolisati izvore zagađenja: pratiti i eliminisati izvore hlorpirifosa, DDT-a, BDE i PFAS, sa fokusom na sliv Morače i industrijske zone.</w:t>
      </w:r>
    </w:p>
    <w:p w14:paraId="172DD66A" w14:textId="77777777" w:rsidR="004F6023" w:rsidRPr="00C86111" w:rsidRDefault="004F6023" w:rsidP="00833A40">
      <w:pPr>
        <w:pStyle w:val="ListParagraph"/>
        <w:numPr>
          <w:ilvl w:val="0"/>
          <w:numId w:val="54"/>
        </w:numPr>
        <w:jc w:val="both"/>
        <w:rPr>
          <w:szCs w:val="24"/>
        </w:rPr>
      </w:pPr>
      <w:r w:rsidRPr="00C86111">
        <w:rPr>
          <w:szCs w:val="24"/>
        </w:rPr>
        <w:t>Proširiti obuhvat monitoringa: sistematski uključiti nove zagađivače, sa pragovima u skladu sa EU regulativama.</w:t>
      </w:r>
    </w:p>
    <w:p w14:paraId="54875FF9" w14:textId="77777777" w:rsidR="004F6023" w:rsidRPr="00C86111" w:rsidRDefault="004F6023" w:rsidP="00833A40">
      <w:pPr>
        <w:pStyle w:val="ListParagraph"/>
        <w:numPr>
          <w:ilvl w:val="0"/>
          <w:numId w:val="54"/>
        </w:numPr>
        <w:jc w:val="both"/>
        <w:rPr>
          <w:szCs w:val="24"/>
        </w:rPr>
      </w:pPr>
      <w:r w:rsidRPr="00C86111">
        <w:rPr>
          <w:szCs w:val="24"/>
        </w:rPr>
        <w:t>Izgraditi institucionalni kapacitet: povećati broj obučenog osoblja i laboratorijsku infrastrukturu za analizu POP-ova i novih zagađivača.</w:t>
      </w:r>
    </w:p>
    <w:p w14:paraId="6879A786" w14:textId="77777777" w:rsidR="004F6023" w:rsidRPr="00C86111" w:rsidRDefault="004F6023" w:rsidP="00833A40">
      <w:pPr>
        <w:pStyle w:val="ListParagraph"/>
        <w:numPr>
          <w:ilvl w:val="0"/>
          <w:numId w:val="54"/>
        </w:numPr>
        <w:jc w:val="both"/>
        <w:rPr>
          <w:szCs w:val="24"/>
        </w:rPr>
      </w:pPr>
      <w:r w:rsidRPr="00C86111">
        <w:rPr>
          <w:szCs w:val="24"/>
        </w:rPr>
        <w:t>Ojačati prekograničnu saradnju: koordinisati monitoring i zajedničke aktivnosti sanacije sa Albanijom i drugim susjednim zemljama.</w:t>
      </w:r>
    </w:p>
    <w:p w14:paraId="1E1CB83E" w14:textId="77777777" w:rsidR="004F6023" w:rsidRPr="00C86111" w:rsidRDefault="004F6023" w:rsidP="00833A40">
      <w:pPr>
        <w:pStyle w:val="ListParagraph"/>
        <w:numPr>
          <w:ilvl w:val="0"/>
          <w:numId w:val="54"/>
        </w:numPr>
        <w:jc w:val="both"/>
        <w:rPr>
          <w:szCs w:val="24"/>
        </w:rPr>
      </w:pPr>
      <w:r w:rsidRPr="00C86111">
        <w:rPr>
          <w:szCs w:val="24"/>
        </w:rPr>
        <w:t>Poboljšati komunikaciju rizika: podići svijest kod poljoprivrednika, industrija i javnosti o rizicima od korišćenja zabranjenih pesticida i zagađenja riba.</w:t>
      </w:r>
    </w:p>
    <w:p w14:paraId="4ED4DFF7" w14:textId="77777777" w:rsidR="004F6023" w:rsidRPr="00C86111" w:rsidRDefault="004F6023" w:rsidP="00833A40">
      <w:pPr>
        <w:pStyle w:val="ListParagraph"/>
        <w:numPr>
          <w:ilvl w:val="0"/>
          <w:numId w:val="54"/>
        </w:numPr>
        <w:jc w:val="both"/>
        <w:rPr>
          <w:szCs w:val="24"/>
        </w:rPr>
      </w:pPr>
      <w:r w:rsidRPr="00C86111">
        <w:rPr>
          <w:szCs w:val="24"/>
        </w:rPr>
        <w:t xml:space="preserve">Osigurati strožu primjenu zakona: potpuno sprovesti Stokholmsku konvenciju i EU obaveze, uz strožiju kontrolu emisija i otpadnih voda. </w:t>
      </w:r>
    </w:p>
    <w:p w14:paraId="57A0DE78" w14:textId="77777777" w:rsidR="004F6023" w:rsidRPr="00C86111" w:rsidRDefault="004F6023" w:rsidP="00833A40">
      <w:pPr>
        <w:pStyle w:val="ListParagraph"/>
        <w:numPr>
          <w:ilvl w:val="0"/>
          <w:numId w:val="54"/>
        </w:numPr>
        <w:jc w:val="both"/>
        <w:rPr>
          <w:szCs w:val="24"/>
        </w:rPr>
      </w:pPr>
      <w:r w:rsidRPr="00C86111">
        <w:rPr>
          <w:szCs w:val="24"/>
        </w:rPr>
        <w:t xml:space="preserve">Usvojiti buduće pristupe: uvesti bioeseje, ekotoksikološka testiranja, sisteme brzog reagovanja i </w:t>
      </w:r>
    </w:p>
    <w:p w14:paraId="51839655" w14:textId="77777777" w:rsidR="004F6023" w:rsidRPr="00C86111" w:rsidRDefault="004F6023" w:rsidP="00833A40">
      <w:pPr>
        <w:pStyle w:val="ListParagraph"/>
        <w:numPr>
          <w:ilvl w:val="0"/>
          <w:numId w:val="54"/>
        </w:numPr>
        <w:jc w:val="both"/>
        <w:rPr>
          <w:szCs w:val="24"/>
        </w:rPr>
      </w:pPr>
      <w:r w:rsidRPr="00C86111">
        <w:rPr>
          <w:szCs w:val="24"/>
        </w:rPr>
        <w:t>Učestvovati u međunarodnim inicijativama poput Joint Danube Survey (JDS).</w:t>
      </w:r>
    </w:p>
    <w:p w14:paraId="402B1492" w14:textId="77777777" w:rsidR="004F6023" w:rsidRPr="00C86111" w:rsidRDefault="004F6023" w:rsidP="00833A40">
      <w:pPr>
        <w:pStyle w:val="ListParagraph"/>
        <w:numPr>
          <w:ilvl w:val="0"/>
          <w:numId w:val="54"/>
        </w:numPr>
        <w:jc w:val="both"/>
        <w:rPr>
          <w:szCs w:val="24"/>
        </w:rPr>
      </w:pPr>
      <w:r w:rsidRPr="00C86111">
        <w:rPr>
          <w:szCs w:val="24"/>
        </w:rPr>
        <w:t>Uspostaviti humani biomonitoring</w:t>
      </w:r>
    </w:p>
    <w:p w14:paraId="4FC0E8C6" w14:textId="77777777" w:rsidR="004F6023" w:rsidRPr="00C86111" w:rsidRDefault="004F6023" w:rsidP="004F6023">
      <w:pPr>
        <w:pStyle w:val="ListParagraph"/>
        <w:jc w:val="both"/>
        <w:rPr>
          <w:color w:val="002060"/>
          <w:szCs w:val="24"/>
        </w:rPr>
      </w:pPr>
      <w:r w:rsidRPr="00C86111">
        <w:rPr>
          <w:color w:val="002060"/>
          <w:szCs w:val="24"/>
        </w:rPr>
        <w:t>Napomene:</w:t>
      </w:r>
    </w:p>
    <w:p w14:paraId="36AED590" w14:textId="77777777" w:rsidR="004F6023" w:rsidRPr="00C86111" w:rsidRDefault="004F6023" w:rsidP="00833A40">
      <w:pPr>
        <w:pStyle w:val="ListParagraph"/>
        <w:numPr>
          <w:ilvl w:val="0"/>
          <w:numId w:val="54"/>
        </w:numPr>
        <w:jc w:val="both"/>
        <w:rPr>
          <w:szCs w:val="24"/>
        </w:rPr>
      </w:pPr>
      <w:r w:rsidRPr="00C86111">
        <w:rPr>
          <w:szCs w:val="24"/>
        </w:rPr>
        <w:t>Svi izuzeci periodično se preispituju i mogu biti ukinuti od strane Konferencije strana ugovornica (COP).</w:t>
      </w:r>
    </w:p>
    <w:p w14:paraId="6C43C2C9" w14:textId="77777777" w:rsidR="004F6023" w:rsidRPr="00C86111" w:rsidRDefault="004F6023" w:rsidP="00833A40">
      <w:pPr>
        <w:pStyle w:val="ListParagraph"/>
        <w:numPr>
          <w:ilvl w:val="0"/>
          <w:numId w:val="54"/>
        </w:numPr>
        <w:jc w:val="both"/>
        <w:rPr>
          <w:szCs w:val="24"/>
        </w:rPr>
      </w:pPr>
      <w:r w:rsidRPr="00C86111">
        <w:rPr>
          <w:szCs w:val="24"/>
        </w:rPr>
        <w:t>Prihvatljive namjene zahtijevaju stalne mjere smanjenja upotrebe.</w:t>
      </w:r>
    </w:p>
    <w:p w14:paraId="7E94922D" w14:textId="77777777" w:rsidR="004F6023" w:rsidRPr="00C86111" w:rsidRDefault="004F6023" w:rsidP="00833A40">
      <w:pPr>
        <w:pStyle w:val="ListParagraph"/>
        <w:numPr>
          <w:ilvl w:val="0"/>
          <w:numId w:val="54"/>
        </w:numPr>
        <w:jc w:val="both"/>
        <w:rPr>
          <w:szCs w:val="24"/>
        </w:rPr>
      </w:pPr>
      <w:r w:rsidRPr="00C86111">
        <w:rPr>
          <w:szCs w:val="24"/>
        </w:rPr>
        <w:t>Ove mjere omogućavaju balans između fleksibilnosti i stroge kontrole POPs supstanci, čime se štiti ljudsko zdravlje i okoliš.</w:t>
      </w:r>
    </w:p>
    <w:p w14:paraId="24B8BD9D" w14:textId="77777777" w:rsidR="004F6023" w:rsidRPr="00C86111" w:rsidRDefault="004F6023" w:rsidP="004F6023">
      <w:pPr>
        <w:pStyle w:val="ListParagraph"/>
        <w:jc w:val="both"/>
        <w:rPr>
          <w:szCs w:val="24"/>
        </w:rPr>
      </w:pPr>
    </w:p>
    <w:p w14:paraId="29B29337" w14:textId="77777777" w:rsidR="004F6023" w:rsidRPr="00C86111" w:rsidRDefault="004F6023" w:rsidP="004F6023">
      <w:pPr>
        <w:spacing w:line="276" w:lineRule="auto"/>
        <w:jc w:val="both"/>
        <w:rPr>
          <w:rFonts w:asciiTheme="minorHAnsi" w:hAnsiTheme="minorHAnsi" w:cstheme="minorHAnsi"/>
          <w:color w:val="auto"/>
          <w:szCs w:val="24"/>
          <w:lang w:val="sr-Latn-ME"/>
        </w:rPr>
      </w:pPr>
    </w:p>
    <w:p w14:paraId="4432D4E6" w14:textId="77777777" w:rsidR="00201FE9" w:rsidRPr="00C86111" w:rsidRDefault="00201FE9" w:rsidP="00201FE9"/>
    <w:p w14:paraId="60621C63" w14:textId="572AB563" w:rsidR="00201FE9" w:rsidRPr="00C86111" w:rsidRDefault="00201FE9"/>
    <w:p w14:paraId="1C7D6EEF" w14:textId="131583BE" w:rsidR="004F6023" w:rsidRPr="00C86111" w:rsidRDefault="004F6023"/>
    <w:p w14:paraId="3B6BDD5A" w14:textId="34178A8E" w:rsidR="004F6023" w:rsidRPr="00C86111" w:rsidRDefault="004F6023"/>
    <w:p w14:paraId="062B40A8" w14:textId="445C230E" w:rsidR="004F6023" w:rsidRPr="00C86111" w:rsidRDefault="004F6023"/>
    <w:p w14:paraId="1DB9A881" w14:textId="76821D39" w:rsidR="004F6023" w:rsidRPr="00C86111" w:rsidRDefault="004F6023"/>
    <w:p w14:paraId="78A81508" w14:textId="633BC186" w:rsidR="004F6023" w:rsidRPr="00C86111" w:rsidRDefault="004F6023"/>
    <w:p w14:paraId="067C27FF" w14:textId="64170DD8" w:rsidR="004F6023" w:rsidRPr="00C86111" w:rsidRDefault="004F6023"/>
    <w:p w14:paraId="69783957" w14:textId="12EEE68A" w:rsidR="007A23C1" w:rsidRPr="00C86111" w:rsidRDefault="007A23C1" w:rsidP="00912C4C">
      <w:pPr>
        <w:pStyle w:val="Heading1"/>
      </w:pPr>
      <w:bookmarkStart w:id="446" w:name="_Toc220541984"/>
      <w:r w:rsidRPr="00C86111">
        <w:t>ISTRAŽIVAČKE I OBRAZOVNE AKTIVNOSTI VEZANE ZA POPs</w:t>
      </w:r>
      <w:bookmarkEnd w:id="446"/>
    </w:p>
    <w:p w14:paraId="06AEDC30" w14:textId="000721D5" w:rsidR="007A23C1" w:rsidRPr="00C86111" w:rsidRDefault="007A23C1" w:rsidP="00EA6904">
      <w:pPr>
        <w:pStyle w:val="Heading3"/>
      </w:pPr>
      <w:bookmarkStart w:id="447" w:name="_Toc220541985"/>
      <w:r w:rsidRPr="00C86111">
        <w:t>Uvod</w:t>
      </w:r>
      <w:bookmarkEnd w:id="447"/>
    </w:p>
    <w:p w14:paraId="6966A70E" w14:textId="62C2E280"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Istraživanje postojanih organskih zagađivača (POPs) od ključnog je značaja za razumijevanje njihovog prisustva, raspodjele i efekata na ljudsko zdravlje i životnu sredinu. Efikasno upravljanje POPs-om zahtijeva sistematsko prikupljanje podataka, primjenu savremenih analitičkih metoda i multidisciplinarni pristup koji povezuje hemiju, toksikologiju, ekotoksikologiju i javno zdravlje. Za efikasno rješavanje ovih izazova ključno je integrisati edukaciju i istraživanja o POPs-u na sve nivoe obrazovnog sistema Crne Gore. Podizanje svijesti, razvoj naučne pismenosti i podsticanje interdisciplinarnog istraživanja POPs-a opremiće buduće generacije znanjem i alatima potrebnim za smanjenje negativnih efekata izlaganja hemikalijama. Takva integracija ne samo da bi uskladila Crnu Goru sa međunarodnim politikama bezbjednosti hemikalija, već bi i podstakla kulturu prevencije, inovacija i održivog razvoja. Edukacijom studenata, stručnjaka i šire javnosti o rizicima i upravljanju POPs-om, Crna Gora može ojačati kapacitete za zaštitu zdravlja ljudi i životne sredine u sve složenijem hemijskom okruženju.</w:t>
      </w:r>
    </w:p>
    <w:p w14:paraId="50426729" w14:textId="77777777" w:rsidR="004F6023" w:rsidRPr="00C86111" w:rsidRDefault="004F6023" w:rsidP="00EA6904">
      <w:pPr>
        <w:pStyle w:val="Heading3"/>
      </w:pPr>
      <w:bookmarkStart w:id="448" w:name="_Toc220541986"/>
      <w:r w:rsidRPr="00C86111">
        <w:t>POPs u obrazovnim programima</w:t>
      </w:r>
      <w:bookmarkEnd w:id="448"/>
    </w:p>
    <w:p w14:paraId="24C6306C"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Informacije o POPs-u i njihovim negativnim uticajima na zdravlje i životnu sredinu i dalje su nedovoljno dostupne široj javnosti u Crnoj Gori. Ne postoji centralizovana baza podataka koja bi objedinjavala naučne i obrazovne institucije, projekte ili istraživačke inicijative posvećene POPs-u, što otežava koordinaciju i razmjenu znanja. Pored toga, tema POPs-a je slabo zastupljena u nastavnim planovima osnovnih i srednjih škola, dok univerzitetski programi pružaju samo ograničen uvid u njihov značaj i implikacije.</w:t>
      </w:r>
    </w:p>
    <w:p w14:paraId="623C58D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Iako se POPs razmatraju u naučnim i stručnim krugovima i uključuju u određene univerzitetske predmete, oni se rijetko tretiraju kao zasebno i ključno polje studija, što ograničava razvoj ekspertize u ovoj oblasti. Prevazilaženje ovih praznina zahtijeva jačanje nacionalnih kapaciteta za naučna istraživanja i razvoj, kao i posvećeniju integraciju POPs-a u relevantne akademske programe. Predmeti poput zaštite životne sredine, ekotoksikologije, toksikologije hrane i javnog zdravlja obrađuju značaj POPs-a, ali bez sistematskog pristupa i posvećene pažnje.</w:t>
      </w:r>
    </w:p>
    <w:p w14:paraId="4029972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Otvaranje Fakulteta hemije u Crnoj Gori u septembru 2025. godine predstavlja jedinstvenu priliku za unapređenje znanja i istraživanja u oblasti POPs-a kao samostalnog polja studija. Ovaj program omogućava fokusiranu edukaciju i istraživanje uticaja POPs-a na ljudsko zdravlje i životnu sredinu, generisanje novih saznanja, podizanje svijesti među studentima i šire javnosti, te osnaživanje mladih stručnjaka da svoje znanje primijene i prenesu zajednici. Time se doprinosi jačanju naučne pismenosti, promovisanja održivog razvoja i izgradnji kulture prevencije u Crnoj Gori.</w:t>
      </w:r>
    </w:p>
    <w:p w14:paraId="7A200B8A" w14:textId="6B008B40" w:rsidR="004F6023" w:rsidRPr="00C86111" w:rsidRDefault="004F6023" w:rsidP="00EA6904">
      <w:pPr>
        <w:pStyle w:val="Heading3"/>
      </w:pPr>
      <w:bookmarkStart w:id="449" w:name="_Toc220541987"/>
      <w:r w:rsidRPr="00C86111">
        <w:t>Izazovi u zdravstvenoj zaštiti i javnoj sv</w:t>
      </w:r>
      <w:r w:rsidR="007A23C1" w:rsidRPr="00C86111">
        <w:t>ij</w:t>
      </w:r>
      <w:r w:rsidRPr="00C86111">
        <w:t>esti</w:t>
      </w:r>
      <w:bookmarkEnd w:id="449"/>
    </w:p>
    <w:p w14:paraId="3A679DD3"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Jedan od ključnih izazova u Crnoj Gori je ograničen broj lekara i stručnjaka za medicinu rada koji su osposobljeni da prepoznaju zdravstvene poremećaje izazvane izlaganjem POPs-u. Trenutni zdravstveni sistem ne posjeduje organizovanu mrežu za sistematsko prikupljanje i analizu podataka o izloženosti POPs-u i njihovim efektima na zdravlje, što otežava pravovremeno </w:t>
      </w:r>
      <w:r w:rsidRPr="00C86111">
        <w:rPr>
          <w:rFonts w:asciiTheme="minorHAnsi" w:hAnsiTheme="minorHAnsi" w:cstheme="minorHAnsi"/>
          <w:szCs w:val="24"/>
        </w:rPr>
        <w:lastRenderedPageBreak/>
        <w:t>praćenje, identifikaciju i odgovarajuću reakciju na promene u zdravstvenom stanju uzrokovane ovim opasnim supstancama.</w:t>
      </w:r>
    </w:p>
    <w:p w14:paraId="341E88A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Obrazovni programi o POPs-u u Crnoj Gori su još uvek nedovoljno razvijeni, što dovodi do niskog nivoa svijesti i znanja među opštom populacijom. Čak i zdravstveni profesionalci, uključujući one koji se brinu o populaciji reproduktivnog doba, često nisu dovoljno informisani o dugoročnim i kumulativnim efektima POPs-a na zdravlje, rast i razvoj djece. Neophodno je hitno podići nivo svijesti i kompetencija unutar zdravstvenog sektora kako bi se prepoznali rizici niske, dugotrajne izloženosti POPs-u i sprovela adekvatna preventivna i terapijska strategija.</w:t>
      </w:r>
    </w:p>
    <w:p w14:paraId="126E8408"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Za poboljšanje ove situacije, zdravstveni sistem mora unaprijediti kapacitete za preciznu registraciju i praćenje bolesti i povezanih faktora rizika. To uključuje uspostavljanje sistema za dugoročne epidemiološke studije koje omogućavaju detaljniju analizu uticaja POPs-a na ljudsko zdravlje. Pored toga, ključno je podsticati interdisciplinarnu saradnju između istraživača, kliničkih stručnjaka, toksikologa, nutricionista i donosilaca politika, kao i uvođenje sistematskog biomonitoringa povezanog sa podacima o izloženosti populacije iz vazduha, vode, tla i ishrane.</w:t>
      </w:r>
    </w:p>
    <w:p w14:paraId="34CBF44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Sistemski pristup i edukacija ne samo da jačaju sposobnost zdravstvenog sektora da prepozna i reaguje na zdravstvene efekte POPs-a, već i omogućavaju razvoj preventivnih mjera, unapređenje javne politike i podizanje svijesti građana o značaju smanjenja izloženosti ovim supstancama. Integracija edukacije i istraživanja u zdravstveni sistem predstavlja osnovu za dugoročno očuvanje zdravlja ljudi i zaštitu životne sredine u Crnoj Gori.</w:t>
      </w:r>
    </w:p>
    <w:p w14:paraId="2E667BFD" w14:textId="77777777" w:rsidR="004F6023" w:rsidRPr="00C86111" w:rsidRDefault="004F6023" w:rsidP="00EA6904">
      <w:pPr>
        <w:pStyle w:val="Heading3"/>
      </w:pPr>
      <w:bookmarkStart w:id="450" w:name="_Toc220541988"/>
      <w:r w:rsidRPr="00C86111">
        <w:t>Upravljanje i istraživanje POPs-a</w:t>
      </w:r>
      <w:bookmarkEnd w:id="450"/>
    </w:p>
    <w:p w14:paraId="62421C6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Jedan od najvećih izazova u Crnoj Gori je neadekvatno upravljanje otpadom, posebno kategorijama koje mogu oslobađati POPs. Integracija edukacije o POPs-u u kurikulum mlađih generacija ključna je za podizanje svijesti o ozbiljnim posledicama nepravilnog upravljanja otpadom i njegovom uticaju na ljudsko zdravlje i životnu sredinu.</w:t>
      </w:r>
    </w:p>
    <w:p w14:paraId="1D47875D"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Sveobuhvatna istraživanja prisutnosti POPs-a u populaciji i životnoj sredini trebala bi se sprovesti u svim regionima, uzimajući u obzir životne navike, posebno ishranu. Posebna pažnja treba biti posvećena grupama koje žive u blizini poznatih zagađenih lokacija, poput dekomisionisanih industrijskih postrojenja koja sadrže PCB, kao i populacijama u blizini aktivnih izvora zagađenja, uključujući industrijska postrojenja (metalurgija, prerada metala, cementare, elektrane), deponije i lokacije za odlaganje otpada.</w:t>
      </w:r>
    </w:p>
    <w:p w14:paraId="5C20B142"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Profesionalno izložene grupe, poput vatrogasaca, radnika na transformatorima i onih koji rukuju PCB opremom, posebno su ranjive. Aktivnosti trebaju uključivati praćenje tradicionalnih POPs-a (PCB, PCDD/PCDF) i novih POPs-a analizom njihovih koncentracija u životnoj sredini (vazduh, voda, tlo, hrana) i u ljudima.</w:t>
      </w:r>
    </w:p>
    <w:p w14:paraId="6D3D0CD6"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Detaljna istraživanja o prisutnosti i ponašanju „novih POPs-a“ (nastajućih kontaminanata) u svim komponentama životne sredine i matricama treba sprovesti korišćenjem standardizovanih i uporedivih metodologija. Rezultati će pružiti naučnu osnovu za predlaganje proverenih mera i aktivnosti za smanjenje izloženosti.</w:t>
      </w:r>
    </w:p>
    <w:p w14:paraId="741A8317" w14:textId="77777777" w:rsidR="004F6023" w:rsidRPr="00C86111" w:rsidRDefault="004F6023" w:rsidP="00EA6904">
      <w:pPr>
        <w:pStyle w:val="Heading3"/>
      </w:pPr>
      <w:bookmarkStart w:id="451" w:name="_Toc220541989"/>
      <w:r w:rsidRPr="00C86111">
        <w:t>Sistematsko praćenje životne sredine i ljudi</w:t>
      </w:r>
      <w:bookmarkEnd w:id="451"/>
    </w:p>
    <w:p w14:paraId="38240F07" w14:textId="77777777" w:rsidR="004F6023" w:rsidRPr="00C86111" w:rsidRDefault="004F6023" w:rsidP="004F6023">
      <w:pPr>
        <w:jc w:val="both"/>
        <w:rPr>
          <w:rFonts w:asciiTheme="minorHAnsi" w:hAnsiTheme="minorHAnsi" w:cstheme="minorHAnsi"/>
          <w:b/>
          <w:bCs/>
          <w:szCs w:val="24"/>
        </w:rPr>
      </w:pPr>
    </w:p>
    <w:p w14:paraId="5A615B2E"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Sveobuhvatni dugoročni programi praćenja POPs-a moraju se uspostaviti u svim segmentima životne sredine — vazduh, voda, tlo i hrana — kako bi se procijenio nivo izloženosti, identifikovali </w:t>
      </w:r>
      <w:r w:rsidRPr="00C86111">
        <w:rPr>
          <w:rFonts w:asciiTheme="minorHAnsi" w:hAnsiTheme="minorHAnsi" w:cstheme="minorHAnsi"/>
          <w:szCs w:val="24"/>
        </w:rPr>
        <w:lastRenderedPageBreak/>
        <w:t>trendovi i odredila regionalna distribucija. Paralelno, programi ljudskog biomonitoringa trebaju se sprovesti kako bi se procijenila akumulacija POPs-a u ranjivim populacijama i profesionalno izloženim grupama. Posebna pažnja mora se posvetiti visokorizičnim grupama, poput vatrogasaca, radnika na održavanju transformatora, osoblja za dekontaminaciju i zaposlenih u sistemima upravljanja otpadom.</w:t>
      </w:r>
    </w:p>
    <w:p w14:paraId="63F3D32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Iako su pesticidi koji sadrže POPs zabranjeni i više se ne koriste u Crnoj Gori, određene profesionalne grupe ostaju izložene ovim supstancama. Radnici na transformatorima i oni koji popravljaju transformatore i kondenzatore napunjene PCB-om posebno su ranjivi. U slučaju nesreća sa takvom opremom može doći do lokalizovanog PCB zagađenja, što može izazvati nepredvidive nivoe zagađenja. Tokom takvih događaja vatrogasci, radnici za popravke i članovi sistema civilne zaštite izloženi su slučajnom kontaktu sa POPs-om, stavljajući ih u kategoriju visokog rizika.</w:t>
      </w:r>
    </w:p>
    <w:p w14:paraId="1BF90233"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Vatrogasci su posebno izloženi PCDD/PCDF spojevima, jer se oni oslobađaju tokom svih vrsta požara. Vatrogasci su redovno izloženi dimu i nusproizvodima sagorevanja, kako tokom gašenja požara, tako i u fazi čišćenja i dekontaminacije. Osim toga, osoblje civilne zaštite koje reaguje na nesreće, kao i radnici u upravljanju otpadom — posebno oni koji rukuju PCB kontaminiranom opremom, elektronskim otpadom (EEE) i procesima dekontaminacije — takođe su izloženi ovim opasnim supstancama.</w:t>
      </w:r>
    </w:p>
    <w:p w14:paraId="3AD60F62"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Trenutno ne postoje podaci o koncentracijama PCDD/PCDF u krvi vatrogasaca u Crnoj Gori, što odražava globalni istraživački jaz o ovoj temi. Popunjavanje ovog jaza ciljanim biomonitoring studijama ključno je za identifikaciju nivoa izloženosti i potencijalnih zdravstvenih posledica u ovim visokorizičnim grupama.</w:t>
      </w:r>
    </w:p>
    <w:p w14:paraId="7351F27C" w14:textId="77777777" w:rsidR="004F6023" w:rsidRPr="00C86111" w:rsidRDefault="004F6023" w:rsidP="00EA6904">
      <w:pPr>
        <w:pStyle w:val="Heading3"/>
      </w:pPr>
      <w:bookmarkStart w:id="452" w:name="_Toc220541990"/>
      <w:r w:rsidRPr="00C86111">
        <w:t>Globalni plan praćenja (GMP)</w:t>
      </w:r>
      <w:bookmarkEnd w:id="452"/>
    </w:p>
    <w:p w14:paraId="11261B8A" w14:textId="77777777" w:rsidR="007A23C1" w:rsidRPr="00C86111" w:rsidRDefault="007A23C1" w:rsidP="007A23C1">
      <w:pPr>
        <w:rPr>
          <w:lang w:val="sr-Latn-ME"/>
        </w:rPr>
      </w:pPr>
    </w:p>
    <w:p w14:paraId="29D06686"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Globalni plan praćenja (GMP) za postojane organske zagađivače (POPs) ključan je mehanizam za praćenje efikasnosti Stokholmske konvencije. Cilj GMP-a je sistematsko prikupljanje uporedivih podataka o prisutnosti POPs-a na svim kontinentima, praćenje promjena njihovih koncentracija tokom vremena i razumevanje regionalnog i globalnog transporta. Podaci se prikupljaju kroz regionalne organizacione grupe unutar pet UN regiona, dok globalna koordinaciona grupa nadzire sprovođenje GMP-a i pripremu međunarodnih izveštaja.</w:t>
      </w:r>
    </w:p>
    <w:p w14:paraId="3AF9F6AD" w14:textId="77777777" w:rsidR="004F6023" w:rsidRPr="00C86111" w:rsidRDefault="004F6023" w:rsidP="00EA6904">
      <w:pPr>
        <w:pStyle w:val="Heading4"/>
      </w:pPr>
      <w:r w:rsidRPr="00C86111">
        <w:t>Saradnja CETI – RECETOX i aktivnosti u Crnoj Gori</w:t>
      </w:r>
    </w:p>
    <w:p w14:paraId="2279161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Centar za ekotoksikološka ispitivanja  (CETI) potpisao je memorandum o saradnji sa RECETOX-om i službeno se pridružio globalnom programu kao predstavnik Crne Gore. U okviru svojih aktivnosti, pasivni uzprkivači vazduha postavljeni su na par lokacija u zemlji. Uzorkivači su takođe postavljeni u Bokokotorskom zalivu, gde će se vršiti uzorkovanje kako bi se procijenio uticaj kruzera na morski ekosistem. Na ovaj način, Crna Gora je, nakon dugog perioda prekida (od poslednjeg uzorkovanja u vreme državne zajednice sa Srbijom), nastavila učešće u GMP-u, doprinoseći regionalnom i međunarodnom praćenju POPs-a.</w:t>
      </w:r>
    </w:p>
    <w:p w14:paraId="1A50BED5" w14:textId="77ADB82E" w:rsidR="004F6023" w:rsidRPr="00C86111" w:rsidRDefault="004F6023" w:rsidP="00004F34">
      <w:pPr>
        <w:pStyle w:val="Heading1"/>
        <w:numPr>
          <w:ilvl w:val="1"/>
          <w:numId w:val="238"/>
        </w:numPr>
      </w:pPr>
      <w:bookmarkStart w:id="453" w:name="_Toc220541991"/>
      <w:r w:rsidRPr="00C86111">
        <w:lastRenderedPageBreak/>
        <w:t>Preporuke i strateške m</w:t>
      </w:r>
      <w:r w:rsidR="007A23C1" w:rsidRPr="00C86111">
        <w:t>j</w:t>
      </w:r>
      <w:r w:rsidRPr="00C86111">
        <w:t>ere</w:t>
      </w:r>
      <w:bookmarkEnd w:id="453"/>
    </w:p>
    <w:p w14:paraId="26B5A262"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Glavni cilj mora ostati jačanje sistematskog istraživanja, praćenja i edukacije u vezi POPs-a, istovremeno rješavajući profesionalnu i slučajnu izloženost ovim supstancama. Predlaže se sledeći skup mjera:</w:t>
      </w:r>
    </w:p>
    <w:p w14:paraId="21235B8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bCs/>
          <w:szCs w:val="24"/>
        </w:rPr>
        <w:t>Uspostava nacionalnog biomonitoring sistema</w:t>
      </w:r>
    </w:p>
    <w:p w14:paraId="647A056E" w14:textId="77777777" w:rsidR="004F6023" w:rsidRPr="00C86111" w:rsidRDefault="004F6023" w:rsidP="00833A40">
      <w:pPr>
        <w:numPr>
          <w:ilvl w:val="0"/>
          <w:numId w:val="82"/>
        </w:numPr>
        <w:jc w:val="both"/>
        <w:rPr>
          <w:rFonts w:asciiTheme="minorHAnsi" w:hAnsiTheme="minorHAnsi" w:cstheme="minorHAnsi"/>
          <w:szCs w:val="24"/>
        </w:rPr>
      </w:pPr>
      <w:r w:rsidRPr="00C86111">
        <w:rPr>
          <w:rFonts w:asciiTheme="minorHAnsi" w:hAnsiTheme="minorHAnsi" w:cstheme="minorHAnsi"/>
          <w:szCs w:val="24"/>
        </w:rPr>
        <w:t>Kreirati centralizovanu bazu podataka za prikupljanje, analizu i dijeljenje informacija o izloženosti POPs-u.</w:t>
      </w:r>
    </w:p>
    <w:p w14:paraId="382F3530" w14:textId="77777777" w:rsidR="004F6023" w:rsidRPr="00C86111" w:rsidRDefault="004F6023" w:rsidP="00833A40">
      <w:pPr>
        <w:numPr>
          <w:ilvl w:val="0"/>
          <w:numId w:val="82"/>
        </w:numPr>
        <w:jc w:val="both"/>
        <w:rPr>
          <w:rFonts w:asciiTheme="minorHAnsi" w:hAnsiTheme="minorHAnsi" w:cstheme="minorHAnsi"/>
          <w:szCs w:val="24"/>
        </w:rPr>
      </w:pPr>
      <w:r w:rsidRPr="00C86111">
        <w:rPr>
          <w:rFonts w:asciiTheme="minorHAnsi" w:hAnsiTheme="minorHAnsi" w:cstheme="minorHAnsi"/>
          <w:szCs w:val="24"/>
        </w:rPr>
        <w:t>Uspostaviti laboratorijske kapacitete za rutinsku analizu bioloških uzoraka (krv, mleko, kosa) i integrisati rezultate u nacionalne zdravstvene registre.</w:t>
      </w:r>
    </w:p>
    <w:p w14:paraId="06183F5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bCs/>
          <w:szCs w:val="24"/>
        </w:rPr>
        <w:t>Edukacija i stručna obuka</w:t>
      </w:r>
    </w:p>
    <w:p w14:paraId="6B41C7D6" w14:textId="77777777" w:rsidR="004F6023" w:rsidRPr="00C86111" w:rsidRDefault="004F6023" w:rsidP="00833A40">
      <w:pPr>
        <w:numPr>
          <w:ilvl w:val="0"/>
          <w:numId w:val="83"/>
        </w:numPr>
        <w:jc w:val="both"/>
        <w:rPr>
          <w:rFonts w:asciiTheme="minorHAnsi" w:hAnsiTheme="minorHAnsi" w:cstheme="minorHAnsi"/>
          <w:szCs w:val="24"/>
        </w:rPr>
      </w:pPr>
      <w:r w:rsidRPr="00C86111">
        <w:rPr>
          <w:rFonts w:asciiTheme="minorHAnsi" w:hAnsiTheme="minorHAnsi" w:cstheme="minorHAnsi"/>
          <w:szCs w:val="24"/>
        </w:rPr>
        <w:t>Integrisati POPs u kurikulum osnovnih, srednjih i visokih obrazovnih institucija, sa posebnim naglaskom na novi Fakultet hemije od septembra 2025.</w:t>
      </w:r>
    </w:p>
    <w:p w14:paraId="559C4C89" w14:textId="77777777" w:rsidR="004F6023" w:rsidRPr="00C86111" w:rsidRDefault="004F6023" w:rsidP="00833A40">
      <w:pPr>
        <w:numPr>
          <w:ilvl w:val="0"/>
          <w:numId w:val="83"/>
        </w:numPr>
        <w:jc w:val="both"/>
        <w:rPr>
          <w:rFonts w:asciiTheme="minorHAnsi" w:hAnsiTheme="minorHAnsi" w:cstheme="minorHAnsi"/>
          <w:szCs w:val="24"/>
        </w:rPr>
      </w:pPr>
      <w:r w:rsidRPr="00C86111">
        <w:rPr>
          <w:rFonts w:asciiTheme="minorHAnsi" w:hAnsiTheme="minorHAnsi" w:cstheme="minorHAnsi"/>
          <w:szCs w:val="24"/>
        </w:rPr>
        <w:t>Organizovati redovne obuke za zdravstvene radnike, stručnjake za medicinu rada, toksikologe i inspektore rada kako bi prepoznali simptome i posledice izloženosti POPs-u.</w:t>
      </w:r>
    </w:p>
    <w:p w14:paraId="6830FDE8"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bCs/>
          <w:szCs w:val="24"/>
        </w:rPr>
        <w:t>Zaštita profesionalno izloženih grupa</w:t>
      </w:r>
    </w:p>
    <w:p w14:paraId="3A899AD4" w14:textId="77777777" w:rsidR="004F6023" w:rsidRPr="00C86111" w:rsidRDefault="004F6023" w:rsidP="00833A40">
      <w:pPr>
        <w:numPr>
          <w:ilvl w:val="0"/>
          <w:numId w:val="84"/>
        </w:numPr>
        <w:jc w:val="both"/>
        <w:rPr>
          <w:rFonts w:asciiTheme="minorHAnsi" w:hAnsiTheme="minorHAnsi" w:cstheme="minorHAnsi"/>
          <w:szCs w:val="24"/>
        </w:rPr>
      </w:pPr>
      <w:r w:rsidRPr="00C86111">
        <w:rPr>
          <w:rFonts w:asciiTheme="minorHAnsi" w:hAnsiTheme="minorHAnsi" w:cstheme="minorHAnsi"/>
          <w:szCs w:val="24"/>
        </w:rPr>
        <w:t>Razviti protokole zaštite vatrogasaca, radnika na transformatorima i osoblja koje rukuje PCB kontaminiranom opremom.</w:t>
      </w:r>
    </w:p>
    <w:p w14:paraId="4C057FEC" w14:textId="77777777" w:rsidR="004F6023" w:rsidRPr="00C86111" w:rsidRDefault="004F6023" w:rsidP="00833A40">
      <w:pPr>
        <w:numPr>
          <w:ilvl w:val="0"/>
          <w:numId w:val="84"/>
        </w:numPr>
        <w:jc w:val="both"/>
        <w:rPr>
          <w:rFonts w:asciiTheme="minorHAnsi" w:hAnsiTheme="minorHAnsi" w:cstheme="minorHAnsi"/>
          <w:szCs w:val="24"/>
        </w:rPr>
      </w:pPr>
      <w:r w:rsidRPr="00C86111">
        <w:rPr>
          <w:rFonts w:asciiTheme="minorHAnsi" w:hAnsiTheme="minorHAnsi" w:cstheme="minorHAnsi"/>
          <w:szCs w:val="24"/>
        </w:rPr>
        <w:t>Uvesti obavezne periodične zdravstvene preglede za profesionalno izložene grupe i obezbijediti zaštitnu opremu i standardizovane procedure dekontaminacije.</w:t>
      </w:r>
    </w:p>
    <w:p w14:paraId="0A095076"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bCs/>
          <w:szCs w:val="24"/>
        </w:rPr>
        <w:t>Unapređenje sistema upravljanja otpadom</w:t>
      </w:r>
    </w:p>
    <w:p w14:paraId="22607C89" w14:textId="77777777" w:rsidR="004F6023" w:rsidRPr="00C86111" w:rsidRDefault="004F6023" w:rsidP="00833A40">
      <w:pPr>
        <w:numPr>
          <w:ilvl w:val="0"/>
          <w:numId w:val="85"/>
        </w:numPr>
        <w:jc w:val="both"/>
        <w:rPr>
          <w:rFonts w:asciiTheme="minorHAnsi" w:hAnsiTheme="minorHAnsi" w:cstheme="minorHAnsi"/>
          <w:szCs w:val="24"/>
        </w:rPr>
      </w:pPr>
      <w:r w:rsidRPr="00C86111">
        <w:rPr>
          <w:rFonts w:asciiTheme="minorHAnsi" w:hAnsiTheme="minorHAnsi" w:cstheme="minorHAnsi"/>
          <w:szCs w:val="24"/>
        </w:rPr>
        <w:t>Sprovoditi strategije za sigurno prikupljanje, transport i odlaganje opasnog otpada, posebno PCB kontaminirane opreme i elektronskog otpada.</w:t>
      </w:r>
    </w:p>
    <w:p w14:paraId="6A965A0D" w14:textId="77777777" w:rsidR="004F6023" w:rsidRPr="00C86111" w:rsidRDefault="004F6023" w:rsidP="00833A40">
      <w:pPr>
        <w:numPr>
          <w:ilvl w:val="0"/>
          <w:numId w:val="85"/>
        </w:numPr>
        <w:jc w:val="both"/>
        <w:rPr>
          <w:rFonts w:asciiTheme="minorHAnsi" w:hAnsiTheme="minorHAnsi" w:cstheme="minorHAnsi"/>
          <w:szCs w:val="24"/>
        </w:rPr>
      </w:pPr>
      <w:r w:rsidRPr="00C86111">
        <w:rPr>
          <w:rFonts w:asciiTheme="minorHAnsi" w:hAnsiTheme="minorHAnsi" w:cstheme="minorHAnsi"/>
          <w:szCs w:val="24"/>
        </w:rPr>
        <w:t>Podsticati istraživanja i inovacije u tehnologijama dekontaminacije i uništavanja POPs-a.</w:t>
      </w:r>
    </w:p>
    <w:p w14:paraId="25098D1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bCs/>
          <w:szCs w:val="24"/>
        </w:rPr>
        <w:t>Međunarodna saradnja i razmjena znanja</w:t>
      </w:r>
    </w:p>
    <w:p w14:paraId="7A76D2E4" w14:textId="77777777" w:rsidR="004F6023" w:rsidRPr="00C86111" w:rsidRDefault="004F6023" w:rsidP="00833A40">
      <w:pPr>
        <w:numPr>
          <w:ilvl w:val="0"/>
          <w:numId w:val="86"/>
        </w:numPr>
        <w:jc w:val="both"/>
        <w:rPr>
          <w:rFonts w:asciiTheme="minorHAnsi" w:hAnsiTheme="minorHAnsi" w:cstheme="minorHAnsi"/>
          <w:szCs w:val="24"/>
        </w:rPr>
      </w:pPr>
      <w:r w:rsidRPr="00C86111">
        <w:rPr>
          <w:rFonts w:asciiTheme="minorHAnsi" w:hAnsiTheme="minorHAnsi" w:cstheme="minorHAnsi"/>
          <w:szCs w:val="24"/>
        </w:rPr>
        <w:t>Aktivno učestvovati u međunarodnim mrežama za razmjenu podataka o POPs-u (Stokholmska konvencija, UNEP programi).</w:t>
      </w:r>
    </w:p>
    <w:p w14:paraId="3B857ABA" w14:textId="77777777" w:rsidR="004F6023" w:rsidRPr="00C86111" w:rsidRDefault="004F6023" w:rsidP="00833A40">
      <w:pPr>
        <w:numPr>
          <w:ilvl w:val="0"/>
          <w:numId w:val="86"/>
        </w:numPr>
        <w:jc w:val="both"/>
        <w:rPr>
          <w:rFonts w:asciiTheme="minorHAnsi" w:hAnsiTheme="minorHAnsi" w:cstheme="minorHAnsi"/>
          <w:szCs w:val="24"/>
        </w:rPr>
      </w:pPr>
      <w:r w:rsidRPr="00C86111">
        <w:rPr>
          <w:rFonts w:asciiTheme="minorHAnsi" w:hAnsiTheme="minorHAnsi" w:cstheme="minorHAnsi"/>
          <w:szCs w:val="24"/>
        </w:rPr>
        <w:t>Sarađivati sa regionalnim i globalnim istraživačkim institucijama kako bi se dijelile najbolje prakse i sprovodile zajedničke studije.</w:t>
      </w:r>
    </w:p>
    <w:p w14:paraId="0AC1FBD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Sprovođenje ovih mjera doprinijeće stvaranju održivog sistema koji omogućava pravovremeno prepoznavanje, prevenciju i ublažavanje štetnih efekata POPs-a na ljudsko zdravlje i životnu sredinu, čime se postavljaju temelji za zdraviju i bezbjedniju budućnost.</w:t>
      </w:r>
    </w:p>
    <w:p w14:paraId="4EE6A7B7" w14:textId="77777777" w:rsidR="004F6023" w:rsidRPr="00C86111" w:rsidRDefault="004F6023" w:rsidP="004F6023">
      <w:pPr>
        <w:jc w:val="both"/>
        <w:rPr>
          <w:rFonts w:asciiTheme="minorHAnsi" w:hAnsiTheme="minorHAnsi" w:cstheme="minorHAnsi"/>
          <w:szCs w:val="24"/>
        </w:rPr>
      </w:pPr>
    </w:p>
    <w:p w14:paraId="01BCFE10" w14:textId="77777777" w:rsidR="004F6023" w:rsidRPr="00C86111" w:rsidRDefault="004F6023" w:rsidP="004F6023">
      <w:pPr>
        <w:ind w:left="360"/>
        <w:jc w:val="both"/>
        <w:rPr>
          <w:rFonts w:asciiTheme="minorHAnsi" w:hAnsiTheme="minorHAnsi" w:cstheme="minorHAnsi"/>
          <w:b/>
          <w:color w:val="002060"/>
          <w:szCs w:val="24"/>
        </w:rPr>
      </w:pPr>
    </w:p>
    <w:p w14:paraId="4A6B527A" w14:textId="77777777" w:rsidR="004F6023" w:rsidRPr="00C86111" w:rsidRDefault="004F6023" w:rsidP="004F6023">
      <w:pPr>
        <w:ind w:left="360"/>
        <w:jc w:val="both"/>
        <w:rPr>
          <w:rFonts w:asciiTheme="minorHAnsi" w:hAnsiTheme="minorHAnsi" w:cstheme="minorHAnsi"/>
          <w:b/>
          <w:color w:val="002060"/>
          <w:szCs w:val="24"/>
        </w:rPr>
      </w:pPr>
    </w:p>
    <w:p w14:paraId="1247E1AD" w14:textId="77777777" w:rsidR="004F6023" w:rsidRPr="00C86111" w:rsidRDefault="004F6023" w:rsidP="004F6023">
      <w:pPr>
        <w:ind w:left="360"/>
        <w:jc w:val="both"/>
        <w:rPr>
          <w:rFonts w:asciiTheme="minorHAnsi" w:hAnsiTheme="minorHAnsi" w:cstheme="minorHAnsi"/>
          <w:b/>
          <w:color w:val="002060"/>
          <w:szCs w:val="24"/>
        </w:rPr>
      </w:pPr>
    </w:p>
    <w:p w14:paraId="6AA95BAC" w14:textId="77777777" w:rsidR="004F6023" w:rsidRPr="00C86111" w:rsidRDefault="004F6023" w:rsidP="004F6023">
      <w:pPr>
        <w:ind w:left="360"/>
        <w:jc w:val="both"/>
        <w:rPr>
          <w:rFonts w:asciiTheme="minorHAnsi" w:hAnsiTheme="minorHAnsi" w:cstheme="minorHAnsi"/>
          <w:b/>
          <w:color w:val="002060"/>
          <w:szCs w:val="24"/>
        </w:rPr>
      </w:pPr>
    </w:p>
    <w:p w14:paraId="7E2ECDAA" w14:textId="77777777" w:rsidR="004F6023" w:rsidRPr="00C86111" w:rsidRDefault="004F6023" w:rsidP="004F6023">
      <w:pPr>
        <w:ind w:left="360"/>
        <w:jc w:val="both"/>
        <w:rPr>
          <w:rFonts w:asciiTheme="minorHAnsi" w:hAnsiTheme="minorHAnsi" w:cstheme="minorHAnsi"/>
          <w:b/>
          <w:color w:val="002060"/>
          <w:szCs w:val="24"/>
        </w:rPr>
      </w:pPr>
    </w:p>
    <w:p w14:paraId="64950072" w14:textId="77777777" w:rsidR="004F6023" w:rsidRPr="00C86111" w:rsidRDefault="004F6023" w:rsidP="004F6023">
      <w:pPr>
        <w:ind w:left="360"/>
        <w:jc w:val="both"/>
        <w:rPr>
          <w:rFonts w:asciiTheme="minorHAnsi" w:hAnsiTheme="minorHAnsi" w:cstheme="minorHAnsi"/>
          <w:b/>
          <w:color w:val="002060"/>
          <w:szCs w:val="24"/>
        </w:rPr>
      </w:pPr>
    </w:p>
    <w:p w14:paraId="433F01D6" w14:textId="77777777" w:rsidR="004F6023" w:rsidRPr="00C86111" w:rsidRDefault="004F6023" w:rsidP="004F6023">
      <w:pPr>
        <w:ind w:left="360"/>
        <w:jc w:val="both"/>
        <w:rPr>
          <w:rFonts w:asciiTheme="minorHAnsi" w:hAnsiTheme="minorHAnsi" w:cstheme="minorHAnsi"/>
          <w:b/>
          <w:color w:val="002060"/>
          <w:szCs w:val="24"/>
        </w:rPr>
      </w:pPr>
    </w:p>
    <w:p w14:paraId="63364236" w14:textId="77777777" w:rsidR="004F6023" w:rsidRPr="00C86111" w:rsidRDefault="004F6023" w:rsidP="004F6023">
      <w:pPr>
        <w:ind w:left="360"/>
        <w:jc w:val="both"/>
        <w:rPr>
          <w:rFonts w:asciiTheme="minorHAnsi" w:hAnsiTheme="minorHAnsi" w:cstheme="minorHAnsi"/>
          <w:b/>
          <w:color w:val="002060"/>
          <w:szCs w:val="24"/>
        </w:rPr>
      </w:pPr>
    </w:p>
    <w:p w14:paraId="3396F8CB" w14:textId="77777777" w:rsidR="004F6023" w:rsidRPr="00C86111" w:rsidRDefault="004F6023" w:rsidP="004F6023">
      <w:pPr>
        <w:ind w:left="360"/>
        <w:jc w:val="both"/>
        <w:rPr>
          <w:rFonts w:asciiTheme="minorHAnsi" w:hAnsiTheme="minorHAnsi" w:cstheme="minorHAnsi"/>
          <w:b/>
          <w:color w:val="002060"/>
          <w:szCs w:val="24"/>
        </w:rPr>
      </w:pPr>
    </w:p>
    <w:p w14:paraId="41D36228" w14:textId="77777777" w:rsidR="004F6023" w:rsidRPr="00C86111" w:rsidRDefault="004F6023" w:rsidP="004F6023">
      <w:pPr>
        <w:ind w:left="360"/>
        <w:jc w:val="both"/>
        <w:rPr>
          <w:rFonts w:asciiTheme="minorHAnsi" w:hAnsiTheme="minorHAnsi" w:cstheme="minorHAnsi"/>
          <w:b/>
          <w:color w:val="002060"/>
          <w:szCs w:val="24"/>
        </w:rPr>
      </w:pPr>
    </w:p>
    <w:p w14:paraId="65696D46" w14:textId="77777777" w:rsidR="004F6023" w:rsidRPr="00C86111" w:rsidRDefault="004F6023" w:rsidP="004F6023">
      <w:pPr>
        <w:ind w:left="360"/>
        <w:jc w:val="both"/>
        <w:rPr>
          <w:rFonts w:asciiTheme="minorHAnsi" w:hAnsiTheme="minorHAnsi" w:cstheme="minorHAnsi"/>
          <w:b/>
          <w:color w:val="002060"/>
          <w:szCs w:val="24"/>
        </w:rPr>
      </w:pPr>
    </w:p>
    <w:p w14:paraId="270EE524" w14:textId="77777777" w:rsidR="004F6023" w:rsidRPr="00C86111" w:rsidRDefault="004F6023" w:rsidP="00912C4C">
      <w:pPr>
        <w:pStyle w:val="Heading1"/>
      </w:pPr>
      <w:bookmarkStart w:id="454" w:name="_Toc220541992"/>
      <w:r w:rsidRPr="00C86111">
        <w:lastRenderedPageBreak/>
        <w:t>PROCJENA NACIONALNIH POLITIKA I KAPACITETA ZA UPRAVLJANJE POPs</w:t>
      </w:r>
      <w:bookmarkEnd w:id="454"/>
      <w:r w:rsidRPr="00C86111">
        <w:t xml:space="preserve"> </w:t>
      </w:r>
    </w:p>
    <w:p w14:paraId="2A0F6452" w14:textId="77777777" w:rsidR="004F6023" w:rsidRPr="00C86111" w:rsidRDefault="004F6023" w:rsidP="008015BD">
      <w:pPr>
        <w:pStyle w:val="Heading1"/>
        <w:numPr>
          <w:ilvl w:val="0"/>
          <w:numId w:val="0"/>
        </w:numPr>
        <w:ind w:left="360" w:hanging="360"/>
      </w:pPr>
      <w:bookmarkStart w:id="455" w:name="_Toc209359978"/>
      <w:bookmarkStart w:id="456" w:name="_Toc220541993"/>
      <w:r w:rsidRPr="00C86111">
        <w:t>NACIONALNI OKVIR</w:t>
      </w:r>
      <w:bookmarkEnd w:id="455"/>
      <w:bookmarkEnd w:id="456"/>
    </w:p>
    <w:p w14:paraId="2B887263" w14:textId="77777777" w:rsidR="004F6023" w:rsidRPr="00C86111" w:rsidRDefault="004F6023" w:rsidP="004F6023">
      <w:pPr>
        <w:spacing w:before="100" w:beforeAutospacing="1" w:after="100" w:afterAutospacing="1"/>
        <w:jc w:val="both"/>
        <w:rPr>
          <w:rFonts w:asciiTheme="minorHAnsi" w:eastAsia="Times New Roman" w:hAnsiTheme="minorHAnsi" w:cstheme="minorHAnsi"/>
          <w:color w:val="auto"/>
          <w:szCs w:val="24"/>
        </w:rPr>
      </w:pPr>
      <w:r w:rsidRPr="00C86111">
        <w:rPr>
          <w:rFonts w:asciiTheme="minorHAnsi" w:eastAsia="Times New Roman" w:hAnsiTheme="minorHAnsi" w:cstheme="minorHAnsi"/>
          <w:color w:val="auto"/>
          <w:szCs w:val="24"/>
        </w:rPr>
        <w:t>Zaštita životne sredine u Crnoj Gori ostvaruje se kroz niz strateških dokumenata, zakona i planova. Glavni strateški pravci uključuju smanjenje emisija zagađujućih materija, bezbjedno upravljanje hemikalijama, kontrolu industrijskog zagađenja, održivo upravljanje otpadom i unapređenje sistema monitoringa:</w:t>
      </w:r>
    </w:p>
    <w:p w14:paraId="2C9901B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Nacionalna strategija održivog razvoja</w:t>
      </w:r>
      <w:r w:rsidRPr="00C86111">
        <w:rPr>
          <w:rFonts w:asciiTheme="minorHAnsi" w:hAnsiTheme="minorHAnsi" w:cstheme="minorHAnsi"/>
          <w:szCs w:val="24"/>
        </w:rPr>
        <w:t xml:space="preserve"> utvrđuje principe, strateške ciljeve i smjernice za dostizanje dugoročnog održivog razvoja društva do 2030, uzimajući u obzir preuzete međunarodne obaveze u skladu sa ciljevima održivog razvoja Ujedinjenih nacija i obavezama iz procesa pristupanja EU. Jedna od prioritetnih oblasti za djelovanje u kontekstu održivog razvoja odnosi se na zaštitu životne sredine, gdje je u fokusu „promocija održivog razvoja zasnovanog na zaštiti prirode, minimalnog zagađenja vazduha, zaštite kvaliteta voda i efikasno upravljanje čvrstim otpadom i otpadnim vodama, zaštita od buke u životnoj sredini, bezbjedno upravljanje hemikalijama i kontrola industrijskog zagađenja”.</w:t>
      </w:r>
    </w:p>
    <w:p w14:paraId="04E39F17" w14:textId="77777777" w:rsidR="004F6023" w:rsidRPr="00C86111" w:rsidRDefault="004F6023" w:rsidP="004F6023">
      <w:pPr>
        <w:jc w:val="both"/>
        <w:rPr>
          <w:rFonts w:asciiTheme="minorHAnsi" w:hAnsiTheme="minorHAnsi" w:cstheme="minorHAnsi"/>
          <w:szCs w:val="24"/>
        </w:rPr>
      </w:pPr>
    </w:p>
    <w:p w14:paraId="2B5AE9C5"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Nacionalna strategija upravljanja hemikalijama 2024-2026. godine</w:t>
      </w:r>
      <w:r w:rsidRPr="00C86111">
        <w:rPr>
          <w:rFonts w:asciiTheme="minorHAnsi" w:hAnsiTheme="minorHAnsi" w:cstheme="minorHAnsi"/>
          <w:szCs w:val="24"/>
        </w:rPr>
        <w:t xml:space="preserve"> daje opšte strateške smjernice u ovoj oblasti, koje će adresirati sva relevantna pitanja hemikalija koje su u širokoj upotrebi u Crnoj Gori, kao i proizvoda koji ih sadrže, uzimajući u obzir njihova opasna svojstva i stepen rizika koji one predstavljaju prilikom proizvodnje, uvoza/izvoza, skladištenja i korišćenja, sa ciljem smanjenja rizika koje hemikalije predstavljaju po zdravlje ljudi i životnu sredinu.</w:t>
      </w:r>
    </w:p>
    <w:p w14:paraId="59C6F36F" w14:textId="77777777" w:rsidR="004F6023" w:rsidRPr="00C86111" w:rsidRDefault="004F6023" w:rsidP="004F6023">
      <w:pPr>
        <w:jc w:val="both"/>
        <w:rPr>
          <w:rFonts w:asciiTheme="minorHAnsi" w:hAnsiTheme="minorHAnsi" w:cstheme="minorHAnsi"/>
          <w:szCs w:val="24"/>
        </w:rPr>
      </w:pPr>
    </w:p>
    <w:p w14:paraId="4075C8B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 xml:space="preserve">Strategija upravljanja otpadom Crne Gore do 2030. godine </w:t>
      </w:r>
      <w:r w:rsidRPr="00C86111">
        <w:rPr>
          <w:rFonts w:asciiTheme="minorHAnsi" w:hAnsiTheme="minorHAnsi" w:cstheme="minorHAnsi"/>
          <w:szCs w:val="24"/>
        </w:rPr>
        <w:t>definiše ciljeve kroz koje se teži uspostavljanju održivog sistema upravljanja otpadom, uključujući i otpad koji čine opasne hemikalije.</w:t>
      </w:r>
    </w:p>
    <w:p w14:paraId="01A31A43" w14:textId="77777777" w:rsidR="004F6023" w:rsidRPr="00C86111" w:rsidRDefault="004F6023" w:rsidP="004F6023">
      <w:pPr>
        <w:jc w:val="both"/>
        <w:rPr>
          <w:rFonts w:asciiTheme="minorHAnsi" w:hAnsiTheme="minorHAnsi" w:cstheme="minorHAnsi"/>
          <w:szCs w:val="24"/>
        </w:rPr>
      </w:pPr>
    </w:p>
    <w:p w14:paraId="69332BC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Nacionalna strategija cirkularne tranzicije do 2030</w:t>
      </w:r>
      <w:r w:rsidRPr="00C86111">
        <w:rPr>
          <w:rFonts w:asciiTheme="minorHAnsi" w:hAnsiTheme="minorHAnsi" w:cstheme="minorHAnsi"/>
          <w:szCs w:val="24"/>
        </w:rPr>
        <w:t>, promoviše unaprjeđenje tehnoloških procesa, potencira pitanje upravljanja otpadom, kao i podizanje svijesti javnosti o konceptu cirkularne ekonomije kao obrazcu koji karakteriše održivost.</w:t>
      </w:r>
    </w:p>
    <w:p w14:paraId="6B22FD94" w14:textId="77777777" w:rsidR="004F6023" w:rsidRPr="00C86111" w:rsidRDefault="004F6023" w:rsidP="004F6023">
      <w:pPr>
        <w:jc w:val="both"/>
        <w:rPr>
          <w:rFonts w:asciiTheme="minorHAnsi" w:hAnsiTheme="minorHAnsi" w:cstheme="minorHAnsi"/>
          <w:szCs w:val="24"/>
        </w:rPr>
      </w:pPr>
    </w:p>
    <w:p w14:paraId="38671A5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Nacionalni plan za održivu upotrebu sredstava za zaštitu bilja za period 2021-2026</w:t>
      </w:r>
      <w:r w:rsidRPr="00C86111">
        <w:rPr>
          <w:rFonts w:asciiTheme="minorHAnsi" w:hAnsiTheme="minorHAnsi" w:cstheme="minorHAnsi"/>
          <w:szCs w:val="24"/>
        </w:rPr>
        <w:t xml:space="preserve"> adresira pitanja održivog korišćenja sredstava za zaštitu bilja, prevencije štetnog djelovanja sredstava za zaštitu bilja na zdravlje ljudi, kao i mjere koje doprinose da se potencijalni negativni uticaj na životnu sredinu svede na minimalni nivo, uključujući i specifičnu edukaciju poljoprivrednika i primjenu principa integralnog suzbijanja štetnih organizama radi povećanja upotrebe alternativnih načina kontrole štetočina u poljoprivrednoj proizvodnji uz smanjenje upotrebe hemijskih sredstava za zaštitu bilja.</w:t>
      </w:r>
    </w:p>
    <w:p w14:paraId="666A53F2" w14:textId="77777777" w:rsidR="004F6023" w:rsidRPr="00C86111" w:rsidRDefault="004F6023" w:rsidP="004F6023">
      <w:pPr>
        <w:jc w:val="both"/>
        <w:rPr>
          <w:rFonts w:asciiTheme="minorHAnsi" w:hAnsiTheme="minorHAnsi" w:cstheme="minorHAnsi"/>
          <w:szCs w:val="24"/>
        </w:rPr>
      </w:pPr>
    </w:p>
    <w:p w14:paraId="18234AAD"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lastRenderedPageBreak/>
        <w:t>Državni plan upravljanja otpadom za period 2024.-2028. godine</w:t>
      </w:r>
      <w:r w:rsidRPr="00C86111">
        <w:rPr>
          <w:rFonts w:asciiTheme="minorHAnsi" w:hAnsiTheme="minorHAnsi" w:cstheme="minorHAnsi"/>
          <w:szCs w:val="24"/>
        </w:rPr>
        <w:t>, sastoji se od strateškog planiranja zemlje u  pogledu održivog upravljanje otpadom. U okviru njega obuvaćeno je i upravljanje opasnog otpadam koji uključuje PCB otpad i POPs otpad.</w:t>
      </w:r>
    </w:p>
    <w:p w14:paraId="1CF48792" w14:textId="77777777" w:rsidR="004F6023" w:rsidRPr="00C86111" w:rsidRDefault="004F6023" w:rsidP="004F6023">
      <w:pPr>
        <w:jc w:val="both"/>
        <w:rPr>
          <w:rFonts w:asciiTheme="minorHAnsi" w:hAnsiTheme="minorHAnsi" w:cstheme="minorHAnsi"/>
          <w:szCs w:val="24"/>
        </w:rPr>
      </w:pPr>
    </w:p>
    <w:p w14:paraId="6C01B2C5"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Nacionalna Strategija upravljanja kvalitetom vazduha sa Akcionim planom za period 2013-2016. godine</w:t>
      </w:r>
      <w:r w:rsidRPr="00C86111">
        <w:rPr>
          <w:rFonts w:asciiTheme="minorHAnsi" w:hAnsiTheme="minorHAnsi" w:cstheme="minorHAnsi"/>
          <w:szCs w:val="24"/>
        </w:rPr>
        <w:t xml:space="preserve"> indentifikuje mjere za smanjenje emisija zagađujućih materija i to emisije dugotrajnih zagađujućih organskih materija (POPs). Crna Gora je potvrdila I Protokol o dugotrajnim organskim zagađujućim materijama (POPs Protokol) iz  1998. Godine, koji obuhvata listu od 16 dugotrajnih organskih zagađujućih materija – 11 pesticida, 2 industrijske hemikalije i 3 štetna nusproizvoda. Cilj protokola je eliminacija  ispuštanja ovih supstanci u vazduh. Protokol obavezuje strane potpisnice da smanje emisije dioksina, furana, policikličnih aromatičnih ugljovodonika i heksahlorobenzena  (HCB). U toku je procedura izrade nove Nacionalne Strategije upravljanja kvalitetom vazduha.</w:t>
      </w:r>
    </w:p>
    <w:p w14:paraId="18341B64" w14:textId="77777777" w:rsidR="004F6023" w:rsidRPr="00C86111" w:rsidRDefault="004F6023" w:rsidP="004F6023">
      <w:pPr>
        <w:jc w:val="both"/>
        <w:rPr>
          <w:rFonts w:asciiTheme="minorHAnsi" w:hAnsiTheme="minorHAnsi" w:cstheme="minorHAnsi"/>
          <w:szCs w:val="24"/>
        </w:rPr>
      </w:pPr>
    </w:p>
    <w:p w14:paraId="220B8D7E"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Strategija razvoja poljoprivrede i ruralnih područja 2023-2028</w:t>
      </w:r>
      <w:r w:rsidRPr="00C86111">
        <w:rPr>
          <w:rFonts w:asciiTheme="minorHAnsi" w:hAnsiTheme="minorHAnsi" w:cstheme="minorHAnsi"/>
          <w:szCs w:val="24"/>
        </w:rPr>
        <w:t xml:space="preserve"> predstavlja razvojnu strategiju Crne Gore kojom se utvrđuju pravci razvoja poljoprivrede i ruralnih područja za upravljanje poljoprivrednim resursima na dugoročno održiv način, obezbjeđivanje stabilne ponude bezbjedne hrane, prihvatljive u pogledu kvaliteta i cijena, uz očuvanje životne sredine, unapređivanje životnog standarda ruralnog stanovništva i ukupnog ruralnog razvoja, uz očuvanje tradicionalnih vrijednosti, te jačanje konkurentnosti proizvođača hrane.</w:t>
      </w:r>
    </w:p>
    <w:p w14:paraId="303FDD29" w14:textId="77777777" w:rsidR="004F6023" w:rsidRPr="00C86111" w:rsidRDefault="004F6023" w:rsidP="004F6023">
      <w:pPr>
        <w:jc w:val="both"/>
        <w:rPr>
          <w:rFonts w:asciiTheme="minorHAnsi" w:hAnsiTheme="minorHAnsi" w:cstheme="minorHAnsi"/>
          <w:szCs w:val="24"/>
        </w:rPr>
      </w:pPr>
    </w:p>
    <w:p w14:paraId="1D14453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Nacionalni plan za održivu upotrebu sredstava za zaštitu bilja od 2021. do 2026. godine</w:t>
      </w:r>
      <w:r w:rsidRPr="00C86111">
        <w:rPr>
          <w:rFonts w:asciiTheme="minorHAnsi" w:hAnsiTheme="minorHAnsi" w:cstheme="minorHAnsi"/>
          <w:szCs w:val="24"/>
        </w:rPr>
        <w:t xml:space="preserve"> je plan koji unaprjeđuje plan iz 2016. godine i koji u petogodišnjem periodu treba da obezbijedi da se štetno djelovanje sredstava za zaštitu bilja na zdravlje ljudi svede na najmanju mjeru, da se negativni uticaj na životnu sredinu svede na prihvatljiv nivo i da se sredstva za zaštitu bilja koriste na održiv način. Nacionalni plan za održivu upotrebu pesticida Sl. list CG, broj  115/2021 definisao je i aktivnosti o prikupljanju statističkih podataka o upotrebi/uvozu pesticida, obzirom na činjenicu da Crna Gora nema proizvodnju pesticida i da su podaci o uvozu relevantni podaci i za uvoz i za upotrebu pesticida.</w:t>
      </w:r>
    </w:p>
    <w:p w14:paraId="2DAF0D5E" w14:textId="77777777" w:rsidR="004F6023" w:rsidRPr="00C86111" w:rsidRDefault="004F6023" w:rsidP="004F6023">
      <w:pPr>
        <w:jc w:val="both"/>
        <w:rPr>
          <w:rFonts w:asciiTheme="minorHAnsi" w:hAnsiTheme="minorHAnsi" w:cstheme="minorHAnsi"/>
          <w:szCs w:val="24"/>
        </w:rPr>
      </w:pPr>
    </w:p>
    <w:p w14:paraId="2FA09B3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Strategija upravljanja vodama Crne Gore do 2035. godine</w:t>
      </w:r>
      <w:r w:rsidRPr="00C86111">
        <w:rPr>
          <w:rFonts w:asciiTheme="minorHAnsi" w:hAnsiTheme="minorHAnsi" w:cstheme="minorHAnsi"/>
          <w:szCs w:val="24"/>
        </w:rPr>
        <w:t xml:space="preserve"> ima za cilj upravljanje vodama uz ostvarivanje jedinstvenog i potpuno usklađenog vodnog režima na području Crne Gore, na svakom od njena dva riječna sliva – Jadranskom i Dunavskom (u skladu sa </w:t>
      </w:r>
    </w:p>
    <w:p w14:paraId="3F6EDB6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članom 21 Zakona o vodama). Upravljanje POPs supstancama povezano je i sa zaštitom vodnih resursa, zbog čega je važno osloniti se na mjere definisane u nacionalnoj Strategiji upravljanja vodama. Strategija predviđa integrisani pristup zaštiti površinskih i podzemnih voda, uključujući sprječavanje i kontrolu zagađenja opasnim hemikalijama kao što su POPs.</w:t>
      </w:r>
    </w:p>
    <w:p w14:paraId="1AE2E8A4" w14:textId="77777777" w:rsidR="004F6023" w:rsidRPr="00C86111" w:rsidRDefault="004F6023" w:rsidP="004F6023">
      <w:pPr>
        <w:jc w:val="both"/>
        <w:rPr>
          <w:rFonts w:asciiTheme="minorHAnsi" w:hAnsiTheme="minorHAnsi" w:cstheme="minorHAnsi"/>
          <w:szCs w:val="24"/>
        </w:rPr>
      </w:pPr>
    </w:p>
    <w:p w14:paraId="0E038B3C" w14:textId="77777777" w:rsidR="004F6023" w:rsidRPr="00C86111" w:rsidRDefault="004F6023" w:rsidP="004F6023">
      <w:pPr>
        <w:jc w:val="both"/>
        <w:rPr>
          <w:rFonts w:asciiTheme="minorHAnsi" w:hAnsiTheme="minorHAnsi" w:cstheme="minorHAnsi"/>
          <w:b/>
          <w:bCs/>
          <w:color w:val="002060"/>
          <w:szCs w:val="24"/>
        </w:rPr>
      </w:pPr>
    </w:p>
    <w:p w14:paraId="3901445B" w14:textId="77777777" w:rsidR="004F6023" w:rsidRPr="00C86111" w:rsidRDefault="004F6023" w:rsidP="004F6023">
      <w:pPr>
        <w:jc w:val="both"/>
        <w:rPr>
          <w:rFonts w:asciiTheme="minorHAnsi" w:hAnsiTheme="minorHAnsi" w:cstheme="minorHAnsi"/>
          <w:b/>
          <w:bCs/>
          <w:color w:val="002060"/>
          <w:szCs w:val="24"/>
        </w:rPr>
      </w:pPr>
    </w:p>
    <w:p w14:paraId="00A81C72" w14:textId="77777777" w:rsidR="004F6023" w:rsidRPr="00C86111" w:rsidRDefault="004F6023" w:rsidP="004F6023">
      <w:pPr>
        <w:jc w:val="both"/>
        <w:rPr>
          <w:rFonts w:asciiTheme="minorHAnsi" w:hAnsiTheme="minorHAnsi" w:cstheme="minorHAnsi"/>
          <w:b/>
          <w:bCs/>
          <w:color w:val="002060"/>
          <w:szCs w:val="24"/>
        </w:rPr>
      </w:pPr>
    </w:p>
    <w:p w14:paraId="4C57FC88" w14:textId="77777777" w:rsidR="004F6023" w:rsidRPr="00C86111" w:rsidRDefault="004F6023" w:rsidP="004F6023">
      <w:pPr>
        <w:jc w:val="both"/>
        <w:rPr>
          <w:rFonts w:asciiTheme="minorHAnsi" w:hAnsiTheme="minorHAnsi" w:cstheme="minorHAnsi"/>
          <w:b/>
          <w:bCs/>
          <w:color w:val="002060"/>
          <w:szCs w:val="24"/>
        </w:rPr>
      </w:pPr>
    </w:p>
    <w:p w14:paraId="667FD34F" w14:textId="77777777" w:rsidR="004F6023" w:rsidRPr="00C86111" w:rsidRDefault="004F6023" w:rsidP="004F6023">
      <w:pPr>
        <w:jc w:val="both"/>
        <w:rPr>
          <w:rFonts w:asciiTheme="minorHAnsi" w:hAnsiTheme="minorHAnsi" w:cstheme="minorHAnsi"/>
          <w:b/>
          <w:bCs/>
          <w:color w:val="002060"/>
          <w:szCs w:val="24"/>
        </w:rPr>
      </w:pPr>
    </w:p>
    <w:p w14:paraId="50DA6433" w14:textId="77777777" w:rsidR="004F6023" w:rsidRPr="00C86111" w:rsidRDefault="004F6023" w:rsidP="004F6023">
      <w:pPr>
        <w:jc w:val="both"/>
        <w:rPr>
          <w:rFonts w:asciiTheme="minorHAnsi" w:hAnsiTheme="minorHAnsi" w:cstheme="minorHAnsi"/>
          <w:b/>
          <w:bCs/>
          <w:color w:val="002060"/>
          <w:szCs w:val="24"/>
        </w:rPr>
      </w:pPr>
    </w:p>
    <w:p w14:paraId="2BAA8ED4" w14:textId="1A6DF260" w:rsidR="004F6023" w:rsidRPr="008015BD" w:rsidRDefault="004F6023" w:rsidP="009756DA">
      <w:pPr>
        <w:pStyle w:val="Heading1"/>
        <w:jc w:val="both"/>
        <w:rPr>
          <w:rFonts w:asciiTheme="minorHAnsi" w:hAnsiTheme="minorHAnsi" w:cstheme="minorHAnsi"/>
          <w:szCs w:val="24"/>
        </w:rPr>
      </w:pPr>
      <w:bookmarkStart w:id="457" w:name="_Toc220541994"/>
      <w:r w:rsidRPr="00C86111">
        <w:lastRenderedPageBreak/>
        <w:t>PROCJENA KAPACITETA</w:t>
      </w:r>
      <w:bookmarkEnd w:id="457"/>
    </w:p>
    <w:p w14:paraId="493630BC" w14:textId="77777777" w:rsidR="004F6023" w:rsidRPr="00C86111" w:rsidRDefault="004F6023" w:rsidP="00004F34">
      <w:pPr>
        <w:pStyle w:val="Heading1"/>
        <w:numPr>
          <w:ilvl w:val="1"/>
          <w:numId w:val="238"/>
        </w:numPr>
      </w:pPr>
      <w:bookmarkStart w:id="458" w:name="_Toc209359980"/>
      <w:bookmarkStart w:id="459" w:name="_Toc220541995"/>
      <w:r w:rsidRPr="00C86111">
        <w:t>Nadležne institucije</w:t>
      </w:r>
      <w:bookmarkEnd w:id="458"/>
      <w:bookmarkEnd w:id="459"/>
    </w:p>
    <w:p w14:paraId="3EF86E58" w14:textId="77777777" w:rsidR="004F6023" w:rsidRPr="00C86111" w:rsidRDefault="004F6023" w:rsidP="004F6023">
      <w:pPr>
        <w:jc w:val="both"/>
        <w:rPr>
          <w:rFonts w:asciiTheme="minorHAnsi" w:hAnsiTheme="minorHAnsi" w:cstheme="minorHAnsi"/>
          <w:color w:val="auto"/>
          <w:szCs w:val="24"/>
        </w:rPr>
      </w:pPr>
    </w:p>
    <w:p w14:paraId="5BADFBD6"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Ministarstvo ekologije, održivog razvoja i razvoja sjevera</w:t>
      </w:r>
      <w:r w:rsidRPr="00C86111">
        <w:rPr>
          <w:rFonts w:asciiTheme="minorHAnsi" w:hAnsiTheme="minorHAnsi" w:cstheme="minorHAnsi"/>
          <w:color w:val="auto"/>
          <w:szCs w:val="24"/>
        </w:rPr>
        <w:t xml:space="preserve"> je organ nadležan za kreiranje politika u oblasti upravljanja POPs supstancama i vrši nadzor nad njihovoj implementaciji. U okviru Ministarstva sada se nalazi i ekološka inspekcijska služba koja vrš nadzor nad sprovođenjem zakona iz oblasti životne sredine. U prethodnom periodu je inspekcija radila kao nezavisan organ, odnosno imala je svoju Upravu za inekcijske poslove, ali izmjenama Zakona o inspekcijskom nadzoru određeno je da inspekcijski nadzor vrše organi državne uprave određeni zakonima kojima su uređene te oblasti.</w:t>
      </w:r>
    </w:p>
    <w:p w14:paraId="3CA320BA" w14:textId="77777777" w:rsidR="004F6023" w:rsidRPr="00C86111" w:rsidRDefault="004F6023" w:rsidP="004F6023">
      <w:pPr>
        <w:jc w:val="both"/>
        <w:rPr>
          <w:rFonts w:asciiTheme="minorHAnsi" w:hAnsiTheme="minorHAnsi" w:cstheme="minorHAnsi"/>
          <w:color w:val="auto"/>
          <w:szCs w:val="24"/>
        </w:rPr>
      </w:pPr>
    </w:p>
    <w:p w14:paraId="592B4D32"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Ministarstvo poljoprivrede, vodoprivrede i šumarstva</w:t>
      </w:r>
      <w:r w:rsidRPr="00C86111">
        <w:rPr>
          <w:rFonts w:asciiTheme="minorHAnsi" w:hAnsiTheme="minorHAnsi" w:cstheme="minorHAnsi"/>
          <w:color w:val="auto"/>
          <w:szCs w:val="24"/>
        </w:rPr>
        <w:t xml:space="preserve"> vrši poslove koji se odnose na: mjere tekuće i razvojne politike u poljoprivredi; zaštitu, iskorišćavanje i unaprjeđivanje poljoprivrednog zemljišta; biljnu proizvodnju (ratarstvo, voćarstvo, vinogradarstvo i zaštitu bilja); stočarstvo (proizvodnja, uzgoj, zaštita i razvoj svih vrsta stoke); primjenu savremene tehnike i tehnologije u poljoprivredi; naučno-tehnološki razvoj; kreditiranje tekuće proizvodnje i razvoja; zaštitu bilja od biljnih bolesti i štetočina; režim korišćenja voda i vodosnabdijevanja, zaštitu voda od zagađenja, korišćenje vodnih resursa; zdravstvenu zaštitu životinja, suzbijanje i otklanjanje zaraznih bolesti životinja; kao i druge poslove koji su mu određeni u nadležnost. </w:t>
      </w:r>
    </w:p>
    <w:p w14:paraId="6D3D57E5" w14:textId="77777777" w:rsidR="004F6023" w:rsidRPr="00C86111" w:rsidRDefault="004F6023" w:rsidP="004F6023">
      <w:pPr>
        <w:jc w:val="both"/>
        <w:rPr>
          <w:rFonts w:asciiTheme="minorHAnsi" w:hAnsiTheme="minorHAnsi" w:cstheme="minorHAnsi"/>
          <w:color w:val="auto"/>
          <w:szCs w:val="24"/>
        </w:rPr>
      </w:pPr>
    </w:p>
    <w:p w14:paraId="6561D923"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Ministarstvo rada i socijalnog staranja</w:t>
      </w:r>
      <w:r w:rsidRPr="00C86111">
        <w:rPr>
          <w:rFonts w:asciiTheme="minorHAnsi" w:hAnsiTheme="minorHAnsi" w:cstheme="minorHAnsi"/>
          <w:color w:val="auto"/>
          <w:szCs w:val="24"/>
        </w:rPr>
        <w:t xml:space="preserve"> vrši poslove koji se odnose, između ostalog, na zaštitu i zdravlje na radu. </w:t>
      </w:r>
    </w:p>
    <w:p w14:paraId="75D3F1BF" w14:textId="77777777" w:rsidR="004F6023" w:rsidRPr="00C86111" w:rsidRDefault="004F6023" w:rsidP="004F6023">
      <w:pPr>
        <w:jc w:val="both"/>
        <w:rPr>
          <w:rFonts w:asciiTheme="minorHAnsi" w:hAnsiTheme="minorHAnsi" w:cstheme="minorHAnsi"/>
          <w:color w:val="auto"/>
          <w:szCs w:val="24"/>
        </w:rPr>
      </w:pPr>
    </w:p>
    <w:p w14:paraId="5EEE2B04"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Ministarstvo zdravlja</w:t>
      </w:r>
      <w:r w:rsidRPr="00C86111">
        <w:rPr>
          <w:rFonts w:asciiTheme="minorHAnsi" w:hAnsiTheme="minorHAnsi" w:cstheme="minorHAnsi"/>
          <w:color w:val="auto"/>
          <w:szCs w:val="24"/>
        </w:rPr>
        <w:t xml:space="preserve"> vrši poslove koji se odnose, između ostalog, na: praćenje stanja i strateško planiranje sistema zdravstvene zaštite, mjera za obezbjeđivanje kvaliteta, bezbjednosti i efikasnosti ljekova; mjere za prevenciju i sprečavanje zloupotrebe droga, praćenje i kontrolu prometa prekursora, postupanje sa biološkim uzorcima uzetim u medicinske svrhe i naučno istraživanje; medicinski otpad, kao i druge poslove.</w:t>
      </w:r>
    </w:p>
    <w:p w14:paraId="71F51164" w14:textId="77777777" w:rsidR="004F6023" w:rsidRPr="00C86111" w:rsidRDefault="004F6023" w:rsidP="004F6023">
      <w:pPr>
        <w:jc w:val="both"/>
        <w:rPr>
          <w:rFonts w:asciiTheme="minorHAnsi" w:hAnsiTheme="minorHAnsi" w:cstheme="minorHAnsi"/>
          <w:color w:val="auto"/>
          <w:szCs w:val="24"/>
        </w:rPr>
      </w:pPr>
    </w:p>
    <w:p w14:paraId="61A91A78"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Agencija za zaštitu životne sredine</w:t>
      </w:r>
      <w:r w:rsidRPr="00C86111">
        <w:rPr>
          <w:rFonts w:asciiTheme="minorHAnsi" w:hAnsiTheme="minorHAnsi" w:cstheme="minorHAnsi"/>
          <w:color w:val="auto"/>
          <w:szCs w:val="24"/>
        </w:rPr>
        <w:t xml:space="preserve"> koja je zadužena za inventarizaciju, izvještavanje i monitoring u životnoj sredini.</w:t>
      </w:r>
    </w:p>
    <w:p w14:paraId="2F695239" w14:textId="77777777" w:rsidR="004F6023" w:rsidRPr="00C86111" w:rsidRDefault="004F6023" w:rsidP="004F6023">
      <w:pPr>
        <w:jc w:val="both"/>
        <w:rPr>
          <w:rFonts w:asciiTheme="minorHAnsi" w:hAnsiTheme="minorHAnsi" w:cstheme="minorHAnsi"/>
          <w:color w:val="auto"/>
          <w:szCs w:val="24"/>
        </w:rPr>
      </w:pPr>
    </w:p>
    <w:p w14:paraId="76842C5F"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Uprava za bezdjednost hrane, veterinu i fitosanitarne poslove</w:t>
      </w:r>
      <w:r w:rsidRPr="00C86111">
        <w:rPr>
          <w:rFonts w:asciiTheme="minorHAnsi" w:hAnsiTheme="minorHAnsi" w:cstheme="minorHAnsi"/>
          <w:color w:val="auto"/>
          <w:szCs w:val="24"/>
        </w:rPr>
        <w:t xml:space="preserve"> vrši upravne i sa njima povezane stručne poslove koji se odnose između ostalog i na: sredstva za zaštitu bilja; registraciju sredstava za zaštitu bilja; ocjenjivanje aktivnih materija i sredstava za zaštitu bilja; program monitoringa postregistracijske kontrole sredstava za zaštitu bilja; priznavanje registracije sredstava za zaštitu bilja; pripremu stručnih osnova za izradu propisa iz oblasti sredstava za zaštitu bilja; praćenje stanja u oblasti prometa sredstva za zaštitu bilja; pripremu i sprovođenje mjera zaštite; pripremu, koordinaciju i praćenje propisanih programa vezanih za mjere i pravilnu upotrebu sredstava za zaštitu bilja kao i sprovođenje programa; uvođenje načela dobre poljoprivredne prakse i integralne zaštite bilja; pripremu i koordinaciju poslova vezanih za rezidue sredstava za zaštitu </w:t>
      </w:r>
      <w:r w:rsidRPr="00C86111">
        <w:rPr>
          <w:rFonts w:asciiTheme="minorHAnsi" w:hAnsiTheme="minorHAnsi" w:cstheme="minorHAnsi"/>
          <w:color w:val="auto"/>
          <w:szCs w:val="24"/>
        </w:rPr>
        <w:lastRenderedPageBreak/>
        <w:t>bilja i sprovođenje programa praćenja (monitoringa) rezidua sredstava za zaštitu bilja u hrani, na bilju ili biljnim proizvodima, ili u bilju ili biljnim proizvodima.</w:t>
      </w:r>
    </w:p>
    <w:p w14:paraId="47A72648" w14:textId="77777777" w:rsidR="004F6023" w:rsidRPr="00C86111" w:rsidRDefault="004F6023" w:rsidP="004F6023">
      <w:pPr>
        <w:jc w:val="both"/>
        <w:rPr>
          <w:rFonts w:asciiTheme="minorHAnsi" w:hAnsiTheme="minorHAnsi" w:cstheme="minorHAnsi"/>
          <w:color w:val="auto"/>
          <w:szCs w:val="24"/>
        </w:rPr>
      </w:pPr>
    </w:p>
    <w:p w14:paraId="7274760A"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Uprava carina</w:t>
      </w:r>
      <w:r w:rsidRPr="00C86111">
        <w:rPr>
          <w:rFonts w:asciiTheme="minorHAnsi" w:hAnsiTheme="minorHAnsi" w:cstheme="minorHAnsi"/>
          <w:color w:val="auto"/>
          <w:szCs w:val="24"/>
        </w:rPr>
        <w:t xml:space="preserve"> vrši kontrolu uvoza, izvoza i tranzita hemikalija, shodno ovlašćenju iz Zakona o hemikalijama i nadležnostima iz oblasti carinskog sistema.</w:t>
      </w:r>
    </w:p>
    <w:p w14:paraId="78E14E52" w14:textId="77777777" w:rsidR="004F6023" w:rsidRPr="00C86111" w:rsidRDefault="004F6023" w:rsidP="004F6023">
      <w:pPr>
        <w:jc w:val="both"/>
        <w:rPr>
          <w:rFonts w:asciiTheme="minorHAnsi" w:hAnsiTheme="minorHAnsi" w:cstheme="minorHAnsi"/>
          <w:color w:val="auto"/>
          <w:szCs w:val="24"/>
        </w:rPr>
      </w:pPr>
    </w:p>
    <w:p w14:paraId="7686A72E"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Centar za ekotoksikološka ispitivanja</w:t>
      </w:r>
      <w:r w:rsidRPr="00C86111">
        <w:rPr>
          <w:rFonts w:asciiTheme="minorHAnsi" w:hAnsiTheme="minorHAnsi" w:cstheme="minorHAnsi"/>
          <w:color w:val="auto"/>
          <w:szCs w:val="24"/>
        </w:rPr>
        <w:t xml:space="preserve"> zadužen je za poslove laboratorijskog ispitivanja POPs u svim segmentima životne sredine. Centar za ekotoksikološka ispitivanja ovlašćen je za laboratorijska ispitivanja sredstava za zaštitu bilja i rezidua sredstava za zaštitu bilja u hrani, dok se istraživanja efekata upotrebe pesticida u veterini ne obavljaju u Crnoj Gori.</w:t>
      </w:r>
    </w:p>
    <w:p w14:paraId="26C8989B" w14:textId="77777777" w:rsidR="004F6023" w:rsidRPr="00C86111" w:rsidRDefault="004F6023" w:rsidP="004F6023">
      <w:pPr>
        <w:jc w:val="both"/>
        <w:rPr>
          <w:rFonts w:asciiTheme="minorHAnsi" w:hAnsiTheme="minorHAnsi" w:cstheme="minorHAnsi"/>
          <w:color w:val="auto"/>
          <w:szCs w:val="24"/>
        </w:rPr>
      </w:pPr>
    </w:p>
    <w:p w14:paraId="789346C0"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Biotehnički fakultet u Podgorici</w:t>
      </w:r>
      <w:r w:rsidRPr="00C86111">
        <w:rPr>
          <w:rFonts w:asciiTheme="minorHAnsi" w:hAnsiTheme="minorHAnsi" w:cstheme="minorHAnsi"/>
          <w:color w:val="auto"/>
          <w:szCs w:val="24"/>
        </w:rPr>
        <w:t xml:space="preserve"> nadležan je za ispitivanje biološke efikasnosti sredstva za zaštitu bilja koja se upotrebljavaju u području poljoprivrede. </w:t>
      </w:r>
    </w:p>
    <w:p w14:paraId="450E28CA" w14:textId="77777777" w:rsidR="004F6023" w:rsidRPr="00C86111" w:rsidRDefault="004F6023" w:rsidP="004F6023">
      <w:pPr>
        <w:jc w:val="both"/>
        <w:rPr>
          <w:rFonts w:asciiTheme="minorHAnsi" w:hAnsiTheme="minorHAnsi" w:cstheme="minorHAnsi"/>
          <w:color w:val="auto"/>
          <w:szCs w:val="24"/>
        </w:rPr>
      </w:pPr>
    </w:p>
    <w:p w14:paraId="626C997C" w14:textId="06F80959"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b/>
          <w:color w:val="auto"/>
          <w:szCs w:val="24"/>
        </w:rPr>
        <w:t>Uprava za statistiku Crne Gore - MONSTAT</w:t>
      </w:r>
      <w:r w:rsidRPr="00C86111">
        <w:rPr>
          <w:rFonts w:asciiTheme="minorHAnsi" w:hAnsiTheme="minorHAnsi" w:cstheme="minorHAnsi"/>
          <w:color w:val="auto"/>
          <w:szCs w:val="24"/>
        </w:rPr>
        <w:t xml:space="preserve"> je nadležno tijelo za proizvodnju zvanične statistike, vrši poslove koji se odnose na: organizaciju i sprovođenje statističkih istraživanja; prikupljanje, obradu, statističku analizu i objavljivanje statističkih podataka; izradu metodologija statističkih istraživanja; izdavanje publikacija; primjenu statističkih standarda; razvijanje statističkog informacionog sistema u saradnji sa organom državne uprave nadležnim za informaciono društvo i druge poslove.</w:t>
      </w:r>
    </w:p>
    <w:p w14:paraId="3B4F2B54" w14:textId="77777777" w:rsidR="004F6023" w:rsidRPr="00C86111" w:rsidRDefault="004F6023" w:rsidP="00004F34">
      <w:pPr>
        <w:pStyle w:val="Heading1"/>
        <w:numPr>
          <w:ilvl w:val="1"/>
          <w:numId w:val="238"/>
        </w:numPr>
      </w:pPr>
      <w:bookmarkStart w:id="460" w:name="_Toc209359982"/>
      <w:bookmarkStart w:id="461" w:name="_Toc220541996"/>
      <w:r w:rsidRPr="00C86111">
        <w:t>Administrativni  kapaciteti:</w:t>
      </w:r>
      <w:bookmarkEnd w:id="460"/>
      <w:bookmarkEnd w:id="461"/>
    </w:p>
    <w:p w14:paraId="673DFB92" w14:textId="77777777" w:rsidR="004F6023" w:rsidRPr="00C86111" w:rsidRDefault="004F6023" w:rsidP="004F6023">
      <w:pPr>
        <w:jc w:val="both"/>
        <w:rPr>
          <w:rFonts w:asciiTheme="minorHAnsi" w:hAnsiTheme="minorHAnsi" w:cstheme="minorHAnsi"/>
          <w:color w:val="auto"/>
          <w:szCs w:val="24"/>
        </w:rPr>
      </w:pPr>
    </w:p>
    <w:p w14:paraId="4FE909DF"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Na poslovima upravljanja hemikalijama u Ministarstvu ekologije, održivog razvoja i razvoja sjevera je zaposleno 2, a u Agenciji za zaštitu životne sredine zaposleno 3 državna službenika, odnosno službenica. Takođe, Odjeljenje za ekološku inspekciju, koja se nalazi u okviru Ministarstva ekologije, održivog razvoja i razvoja sjevera ima nedovoljan broj zaposlenih ekoloških inspektora i inspektorki, s obzirom da Odjeljenje za ekološku inspekciju broji 6 inspektora i inspektorki od čega je 5 zaduženo za kompletnu oblast zaštite životne sredine, a na radnom mjestu inspektora za hemikalije je zaposlena 1 inspektorka. Dodatno, u nadzor nad hemikalijama i biocidnim proizvodima prilikom uvoza i na unutrašnjem tržištu uključeno je i 33 sanitarnih inspektora i inspektorki, uz druge poslove iz svoje nadležnosti, a za određene inspekcijske poslove u vezi sa biocidnim proizvodima ovlašćenja ima i 17 fitosanitarnih i 16 veterinarskih inspektora i inspektorki uz druge poslove iz nadležnosti Uprave za bezbjednost hrane,  veterinu I fitosanitarne poslove.</w:t>
      </w:r>
    </w:p>
    <w:p w14:paraId="5BB0EAD9" w14:textId="025F8D29" w:rsidR="004F6023" w:rsidRPr="00C86111" w:rsidRDefault="007A23C1" w:rsidP="00EA6904">
      <w:pPr>
        <w:pStyle w:val="Heading3"/>
      </w:pPr>
      <w:bookmarkStart w:id="462" w:name="_Toc220541997"/>
      <w:r w:rsidRPr="00C86111">
        <w:t>Izazovi</w:t>
      </w:r>
      <w:bookmarkEnd w:id="462"/>
    </w:p>
    <w:p w14:paraId="2D2E5B94" w14:textId="77777777" w:rsidR="004F6023" w:rsidRPr="00C86111" w:rsidRDefault="004F6023" w:rsidP="004F6023">
      <w:pPr>
        <w:jc w:val="both"/>
        <w:rPr>
          <w:rFonts w:asciiTheme="minorHAnsi" w:hAnsiTheme="minorHAnsi" w:cstheme="minorHAnsi"/>
          <w:color w:val="auto"/>
          <w:szCs w:val="24"/>
        </w:rPr>
      </w:pPr>
    </w:p>
    <w:p w14:paraId="667C00F3"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U okviru ključnih institucija nadležnih za upravljanje POPs prisutan je značajan nedostatak administrativnog i stručnog kapaciteta. Ograničen broj zaposlenih u institucijama poput Agencije za zaštitu životne sredine (AZŽS) i Ministarstva ekologije otežava efikasnu implementaciju propisa. Iako su postojali planovi za povećanje broja zaposlenih, u praksi ti ciljevi nisu ostvareni, što dodatno opterećuje postojeći tim.</w:t>
      </w:r>
    </w:p>
    <w:p w14:paraId="3E3D4F5B"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Ograničeni budžet predstavlja dodatni izazov, jer usporava zapošljavanje novog kadra, održavanje stručnih obuka i edukaciju zaposlenih, kao i angažovanje vanjskih eksperata za specijalizovane kurseve.</w:t>
      </w:r>
    </w:p>
    <w:p w14:paraId="511A312C"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Iako su obuke i edukacije organizovane u saradnji sa Evropskom agencijom za hemikalije (ECHA), logistička koordinacija i održavanje kontinuirane podrške od međunarodnih partnera predstavljaju izazov. Postoje redovne radionice, ali je neophodno osigurati stalnu prisutnost i aktivno angažovanje stručnjaka za obuke, uz sistematsko praćenje postignutih rezultata. Evaluacija efikasnosti obuka i njihova prilagodba novim zakonodavnim i međunarodnim standardima također je ključna.</w:t>
      </w:r>
    </w:p>
    <w:p w14:paraId="74DD3A06"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Poseban problem predstavlja nedostatak obučenih inspektora za kontrolu POPs supstanci na tržištu i u upravljanju otpadom, kao i nedostatak stručnog kadra u lokalnim samoupravama, što ograničava sveobuhvatnu primjenu propisa i nadzor nad ovim supstancama.</w:t>
      </w:r>
    </w:p>
    <w:p w14:paraId="5BBF2EB0" w14:textId="77777777" w:rsidR="004F6023" w:rsidRPr="00C86111" w:rsidRDefault="004F6023" w:rsidP="00EA6904">
      <w:pPr>
        <w:pStyle w:val="Heading3"/>
      </w:pPr>
      <w:bookmarkStart w:id="463" w:name="_Toc209359984"/>
      <w:bookmarkStart w:id="464" w:name="_Toc220541998"/>
      <w:r w:rsidRPr="00C86111">
        <w:t>Tehnički kapaciteti:</w:t>
      </w:r>
      <w:bookmarkEnd w:id="463"/>
      <w:bookmarkEnd w:id="464"/>
    </w:p>
    <w:p w14:paraId="506F007C" w14:textId="77777777" w:rsidR="004F6023" w:rsidRPr="00C86111" w:rsidRDefault="004F6023" w:rsidP="004F6023">
      <w:pPr>
        <w:jc w:val="both"/>
        <w:rPr>
          <w:rFonts w:asciiTheme="minorHAnsi" w:hAnsiTheme="minorHAnsi" w:cstheme="minorHAnsi"/>
          <w:color w:val="auto"/>
          <w:szCs w:val="24"/>
        </w:rPr>
      </w:pPr>
    </w:p>
    <w:p w14:paraId="4D727A20"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U Crnoj Gori postoje dvije laboratorije koje imaju mogućnosti za ispitivanje POPs jedinjenja: d.o.o. Centar za ekotoksikološka ispitivanja - CETI i Institut za javno zdravlje. CETI je akreditovan u skladu sa standardom MEST ISO/IEC 17025 za ispitivanje POPs jedinjenja u uzorcima iz životne sredine (voda, zemljište, sediment, vazduh) i uzorcima riba, a i učesnik je u UNEP-ovoj GMN (Global Monitoring Network za POPs jedinjenja). CETI je referentna institucija u Crnoj Gori za analize kontaminanata u praktično svim segmentima životne sredine I u tom amialu odgovoran za realizaciju:</w:t>
      </w:r>
    </w:p>
    <w:p w14:paraId="3BC3F8BD" w14:textId="77777777" w:rsidR="004F6023" w:rsidRPr="00C86111" w:rsidRDefault="004F6023" w:rsidP="00833A40">
      <w:pPr>
        <w:numPr>
          <w:ilvl w:val="0"/>
          <w:numId w:val="56"/>
        </w:numPr>
        <w:spacing w:line="276" w:lineRule="auto"/>
        <w:ind w:left="1434" w:hanging="357"/>
        <w:jc w:val="both"/>
        <w:rPr>
          <w:rFonts w:asciiTheme="minorHAnsi" w:hAnsiTheme="minorHAnsi" w:cstheme="minorHAnsi"/>
          <w:i/>
          <w:color w:val="auto"/>
          <w:szCs w:val="24"/>
          <w:lang w:val="sr-Latn-CS"/>
        </w:rPr>
      </w:pPr>
      <w:r w:rsidRPr="00C86111">
        <w:rPr>
          <w:rFonts w:asciiTheme="minorHAnsi" w:hAnsiTheme="minorHAnsi" w:cstheme="minorHAnsi"/>
          <w:i/>
          <w:color w:val="auto"/>
          <w:szCs w:val="24"/>
          <w:lang w:val="sr-Latn-CS" w:eastAsia="x-none"/>
        </w:rPr>
        <w:t xml:space="preserve">Program praćenja kvaliteta vazduha </w:t>
      </w:r>
    </w:p>
    <w:p w14:paraId="682A3FB4" w14:textId="77777777" w:rsidR="004F6023" w:rsidRPr="00C86111" w:rsidRDefault="004F6023" w:rsidP="00833A40">
      <w:pPr>
        <w:pStyle w:val="NoSpacing"/>
        <w:keepLines w:val="0"/>
        <w:widowControl/>
        <w:numPr>
          <w:ilvl w:val="0"/>
          <w:numId w:val="56"/>
        </w:numPr>
        <w:tabs>
          <w:tab w:val="clear" w:pos="1134"/>
          <w:tab w:val="clear" w:pos="2268"/>
        </w:tabs>
        <w:autoSpaceDE/>
        <w:autoSpaceDN/>
        <w:spacing w:line="276" w:lineRule="auto"/>
        <w:ind w:left="1434" w:hanging="357"/>
        <w:rPr>
          <w:rFonts w:cstheme="minorHAnsi"/>
          <w:bCs/>
          <w:i/>
        </w:rPr>
      </w:pPr>
      <w:r w:rsidRPr="00C86111">
        <w:rPr>
          <w:rFonts w:cstheme="minorHAnsi"/>
          <w:bCs/>
          <w:i/>
        </w:rPr>
        <w:t xml:space="preserve">Program monitoringa opasnih i štetnih materija u zemljištu </w:t>
      </w:r>
    </w:p>
    <w:p w14:paraId="37DABC73" w14:textId="77777777" w:rsidR="004F6023" w:rsidRPr="00C86111" w:rsidRDefault="004F6023" w:rsidP="00833A40">
      <w:pPr>
        <w:pStyle w:val="NoSpacing"/>
        <w:keepLines w:val="0"/>
        <w:widowControl/>
        <w:numPr>
          <w:ilvl w:val="0"/>
          <w:numId w:val="56"/>
        </w:numPr>
        <w:tabs>
          <w:tab w:val="clear" w:pos="1134"/>
          <w:tab w:val="clear" w:pos="2268"/>
        </w:tabs>
        <w:autoSpaceDE/>
        <w:autoSpaceDN/>
        <w:spacing w:line="276" w:lineRule="auto"/>
        <w:ind w:left="1434" w:hanging="357"/>
        <w:rPr>
          <w:rFonts w:cstheme="minorHAnsi"/>
          <w:bCs/>
          <w:i/>
        </w:rPr>
      </w:pPr>
      <w:r w:rsidRPr="00C86111">
        <w:rPr>
          <w:rFonts w:cstheme="minorHAnsi"/>
          <w:bCs/>
          <w:i/>
        </w:rPr>
        <w:t xml:space="preserve">Program monitoringa morskog ekosistema </w:t>
      </w:r>
    </w:p>
    <w:p w14:paraId="5D7C5C5F"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Postojeći laboratorijski kapaciteti u Crnoj Gori mogu se smatrati zadovoljavajućim, posebno u odnosu na osposobljene stručnjake, kao i usvojenu tehnologiju rada.</w:t>
      </w:r>
    </w:p>
    <w:p w14:paraId="06F08520" w14:textId="77777777" w:rsidR="004F6023" w:rsidRPr="00C86111" w:rsidRDefault="004F6023" w:rsidP="004F6023">
      <w:pPr>
        <w:jc w:val="both"/>
        <w:rPr>
          <w:rFonts w:asciiTheme="minorHAnsi" w:hAnsiTheme="minorHAnsi" w:cstheme="minorHAnsi"/>
          <w:color w:val="auto"/>
          <w:szCs w:val="24"/>
        </w:rPr>
      </w:pPr>
    </w:p>
    <w:p w14:paraId="4C3AA57E" w14:textId="74730429"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Institut za javno zdravlje, između ostalog, obavlja analize, za čije je procedure akreditovan, vrši hemijske, fizičko-hemijske, toksikološke i druge laboratorijske analize, predlaže i sprovodi mjere za očuvanje i unaprjeđenje životne i radne sredine.</w:t>
      </w:r>
    </w:p>
    <w:p w14:paraId="00EBAEDD" w14:textId="42D4F3AA" w:rsidR="004F6023" w:rsidRPr="00C86111" w:rsidRDefault="004F6023" w:rsidP="00004F34">
      <w:pPr>
        <w:pStyle w:val="Heading1"/>
        <w:numPr>
          <w:ilvl w:val="1"/>
          <w:numId w:val="238"/>
        </w:numPr>
      </w:pPr>
      <w:bookmarkStart w:id="465" w:name="_Toc209359985"/>
      <w:bookmarkStart w:id="466" w:name="_Toc220541999"/>
      <w:r w:rsidRPr="00C86111">
        <w:t>Zaključak</w:t>
      </w:r>
      <w:bookmarkEnd w:id="465"/>
      <w:bookmarkEnd w:id="466"/>
    </w:p>
    <w:p w14:paraId="6CA010D3" w14:textId="77777777" w:rsidR="004F6023" w:rsidRPr="00C86111" w:rsidRDefault="004F6023" w:rsidP="004F6023">
      <w:pPr>
        <w:jc w:val="both"/>
        <w:rPr>
          <w:rFonts w:asciiTheme="minorHAnsi" w:hAnsiTheme="minorHAnsi" w:cstheme="minorHAnsi"/>
          <w:color w:val="auto"/>
          <w:szCs w:val="24"/>
        </w:rPr>
      </w:pPr>
    </w:p>
    <w:p w14:paraId="53B265DD"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U Crnoj Gori postoje značajni tehnički i laboratorijski kapaciteti za organizovanje sveobuhvatnog monitoringa POPs pesticida u uzorcima biljaka, biljnih proizvoda, hrane, vode, vazduha i zemljišta. Ovi kapaciteti omogućavaju adekvatno praćenje prisustva i koncentracija opasnih supstanci u različitim segmentima životne sredine, uz djelimičnu dopunu relevantne zakonske regulative i osiguranje potrebnih finansijskih sredstava.</w:t>
      </w:r>
    </w:p>
    <w:p w14:paraId="7DFAB45C"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Međutim, nedostaje ključna institucija koja bi koordinisala integrisani pristup praćenju i procjeni uticaja POPs na ljudsko zdravlje. Centar za kontrolu trovanja, koji bi mogao služiti kao centralna jedinica za uspostavljanje humanog biomonitoringa, još je u fazi uspostavljanja. Ovaj centar bi imao ključnu ulogu u koordinaciji aktivnosti vezanih za hemikalije, uključujući istraživanje efekata </w:t>
      </w:r>
      <w:r w:rsidRPr="00C86111">
        <w:rPr>
          <w:rFonts w:asciiTheme="minorHAnsi" w:hAnsiTheme="minorHAnsi" w:cstheme="minorHAnsi"/>
          <w:color w:val="auto"/>
          <w:szCs w:val="24"/>
        </w:rPr>
        <w:lastRenderedPageBreak/>
        <w:t>izloženosti POPs supstancama, procjenu rizika po zdravlje ljudi, te podršku u implementaciji nacionalnih i međunarodnih standarda i strategija.</w:t>
      </w:r>
    </w:p>
    <w:p w14:paraId="6A42732B" w14:textId="5B1874AD" w:rsidR="004F6023" w:rsidRPr="00C86111" w:rsidRDefault="004F6023" w:rsidP="004F6023">
      <w:pPr>
        <w:jc w:val="both"/>
        <w:rPr>
          <w:rFonts w:asciiTheme="minorHAnsi" w:hAnsiTheme="minorHAnsi" w:cstheme="minorHAnsi"/>
          <w:b/>
          <w:bCs/>
          <w:color w:val="auto"/>
          <w:szCs w:val="24"/>
          <w:u w:val="single"/>
        </w:rPr>
      </w:pPr>
      <w:r w:rsidRPr="00C86111">
        <w:rPr>
          <w:rFonts w:asciiTheme="minorHAnsi" w:hAnsiTheme="minorHAnsi" w:cstheme="minorHAnsi"/>
          <w:color w:val="auto"/>
          <w:szCs w:val="24"/>
        </w:rPr>
        <w:t>Uspostavljanje i operativno osposobljavanje Centra predstavlja prioritet, jer bi omogućilo sistematično povezivanje laboratorijskih analiza, monitoring programa i epidemioloških istraživanja, čime bi se značajno unaprijedila zaštita javnog zdravlja i efikasnost upravljanja hemikalijama u Crnoj Gori.</w:t>
      </w:r>
    </w:p>
    <w:p w14:paraId="12493BAC" w14:textId="77777777" w:rsidR="004F6023" w:rsidRPr="008015BD" w:rsidRDefault="004F6023" w:rsidP="004F6023">
      <w:pPr>
        <w:jc w:val="both"/>
        <w:rPr>
          <w:rFonts w:asciiTheme="minorHAnsi" w:hAnsiTheme="minorHAnsi" w:cstheme="minorHAnsi"/>
          <w:color w:val="auto"/>
          <w:szCs w:val="24"/>
        </w:rPr>
      </w:pPr>
      <w:r w:rsidRPr="008015BD">
        <w:rPr>
          <w:rFonts w:asciiTheme="minorHAnsi" w:hAnsiTheme="minorHAnsi" w:cstheme="minorHAnsi"/>
          <w:color w:val="auto"/>
          <w:szCs w:val="24"/>
        </w:rPr>
        <w:t>Upravljanje životnom sredinom u Crnoj Gori suočava se sa nizom sistemskih izazova koji ograničavaju efikasnost praćenja, izvještavanja i planiranja:</w:t>
      </w:r>
    </w:p>
    <w:p w14:paraId="1E83036A" w14:textId="77777777" w:rsidR="004F6023" w:rsidRPr="008015BD" w:rsidRDefault="004F6023" w:rsidP="00833A40">
      <w:pPr>
        <w:numPr>
          <w:ilvl w:val="0"/>
          <w:numId w:val="57"/>
        </w:numPr>
        <w:jc w:val="both"/>
        <w:rPr>
          <w:rFonts w:asciiTheme="minorHAnsi" w:hAnsiTheme="minorHAnsi" w:cstheme="minorHAnsi"/>
          <w:color w:val="auto"/>
          <w:szCs w:val="24"/>
        </w:rPr>
      </w:pPr>
      <w:r w:rsidRPr="008015BD">
        <w:rPr>
          <w:rFonts w:asciiTheme="minorHAnsi" w:hAnsiTheme="minorHAnsi" w:cstheme="minorHAnsi"/>
          <w:b/>
          <w:bCs/>
          <w:color w:val="auto"/>
          <w:szCs w:val="24"/>
        </w:rPr>
        <w:t>Nedostatak ili slab razvoj informacionih sistema</w:t>
      </w:r>
      <w:r w:rsidRPr="008015BD">
        <w:rPr>
          <w:rFonts w:asciiTheme="minorHAnsi" w:hAnsiTheme="minorHAnsi" w:cstheme="minorHAnsi"/>
          <w:color w:val="auto"/>
          <w:szCs w:val="24"/>
        </w:rPr>
        <w:t xml:space="preserve"> – Ne postoji adekvatan informacioni sistem za upravljanje i razmjenu podataka u oblasti životne sredine. Podaci, uključujući rezultate laboratorijskih analiza, ne slivaju se u centralizovanu bazu, što otežava praćenje stanja i izradu pouzdanih izvještaja. Potrebno je značajno ojačati ili razviti integrisane informacione sisteme koji bi omogućili razmjenu podataka među svim relevantnim institucijama.</w:t>
      </w:r>
    </w:p>
    <w:p w14:paraId="2326A964" w14:textId="77777777" w:rsidR="004F6023" w:rsidRPr="008015BD" w:rsidRDefault="004F6023" w:rsidP="00833A40">
      <w:pPr>
        <w:numPr>
          <w:ilvl w:val="0"/>
          <w:numId w:val="57"/>
        </w:numPr>
        <w:jc w:val="both"/>
        <w:rPr>
          <w:rFonts w:asciiTheme="minorHAnsi" w:hAnsiTheme="minorHAnsi" w:cstheme="minorHAnsi"/>
          <w:color w:val="auto"/>
          <w:szCs w:val="24"/>
        </w:rPr>
      </w:pPr>
      <w:r w:rsidRPr="008015BD">
        <w:rPr>
          <w:rFonts w:asciiTheme="minorHAnsi" w:hAnsiTheme="minorHAnsi" w:cstheme="minorHAnsi"/>
          <w:b/>
          <w:bCs/>
          <w:color w:val="auto"/>
          <w:szCs w:val="24"/>
        </w:rPr>
        <w:t>Nepotpuna baza podataka o opasnom otpadu</w:t>
      </w:r>
      <w:r w:rsidRPr="008015BD">
        <w:rPr>
          <w:rFonts w:asciiTheme="minorHAnsi" w:hAnsiTheme="minorHAnsi" w:cstheme="minorHAnsi"/>
          <w:color w:val="auto"/>
          <w:szCs w:val="24"/>
        </w:rPr>
        <w:t xml:space="preserve"> – Baza podataka o količinama, izvorima i praksama upravljanja opasnim otpadom je nedovoljno razvijena. Njeno unapređenje je ključno za planiranje tretmana, nadzor i ispunjavanje međunarodnih obaveza.</w:t>
      </w:r>
    </w:p>
    <w:p w14:paraId="1D3D176E" w14:textId="77777777" w:rsidR="004F6023" w:rsidRPr="008015BD" w:rsidRDefault="004F6023" w:rsidP="00833A40">
      <w:pPr>
        <w:numPr>
          <w:ilvl w:val="0"/>
          <w:numId w:val="57"/>
        </w:numPr>
        <w:jc w:val="both"/>
        <w:rPr>
          <w:rFonts w:asciiTheme="minorHAnsi" w:hAnsiTheme="minorHAnsi" w:cstheme="minorHAnsi"/>
          <w:color w:val="auto"/>
          <w:szCs w:val="24"/>
        </w:rPr>
      </w:pPr>
      <w:r w:rsidRPr="008015BD">
        <w:rPr>
          <w:rFonts w:asciiTheme="minorHAnsi" w:hAnsiTheme="minorHAnsi" w:cstheme="minorHAnsi"/>
          <w:b/>
          <w:bCs/>
          <w:color w:val="auto"/>
          <w:szCs w:val="24"/>
        </w:rPr>
        <w:t>Nedostatak kapaciteta za tretman i odlaganje otpada</w:t>
      </w:r>
      <w:r w:rsidRPr="008015BD">
        <w:rPr>
          <w:rFonts w:asciiTheme="minorHAnsi" w:hAnsiTheme="minorHAnsi" w:cstheme="minorHAnsi"/>
          <w:color w:val="auto"/>
          <w:szCs w:val="24"/>
        </w:rPr>
        <w:t xml:space="preserve"> – Iako Crna Gora, s obzirom na veličinu i količine otpada, nema potrebu za širokom mrežom postrojenja, neophodno je obezbijediti bar jedno funkcionalno postrojenje ili dugoročno rješenje za tretman i trajno odlaganje opasnog otpada kako bi se smanjila zavisnost od prekograničnog transporta i izvoza.</w:t>
      </w:r>
    </w:p>
    <w:p w14:paraId="4BB88FFB" w14:textId="77777777" w:rsidR="004F6023" w:rsidRPr="00C86111" w:rsidRDefault="004F6023" w:rsidP="004F6023">
      <w:pPr>
        <w:ind w:left="720"/>
        <w:jc w:val="both"/>
        <w:rPr>
          <w:rFonts w:asciiTheme="minorHAnsi" w:hAnsiTheme="minorHAnsi" w:cstheme="minorHAnsi"/>
          <w:color w:val="auto"/>
          <w:szCs w:val="24"/>
          <w:u w:val="single"/>
        </w:rPr>
      </w:pPr>
    </w:p>
    <w:p w14:paraId="027872CB" w14:textId="77777777" w:rsidR="004F6023" w:rsidRPr="00C86111" w:rsidRDefault="004F6023" w:rsidP="00912C4C">
      <w:pPr>
        <w:pStyle w:val="Heading1"/>
      </w:pPr>
      <w:bookmarkStart w:id="467" w:name="_Toc209359987"/>
      <w:bookmarkStart w:id="468" w:name="_Toc220542000"/>
      <w:r w:rsidRPr="00C86111">
        <w:t>Finansijski resursi</w:t>
      </w:r>
      <w:bookmarkEnd w:id="467"/>
      <w:bookmarkEnd w:id="468"/>
    </w:p>
    <w:p w14:paraId="61D88AB8" w14:textId="77777777" w:rsidR="004F6023" w:rsidRPr="00C86111" w:rsidRDefault="004F6023" w:rsidP="004F6023">
      <w:pPr>
        <w:jc w:val="both"/>
        <w:rPr>
          <w:rFonts w:asciiTheme="minorHAnsi" w:hAnsiTheme="minorHAnsi" w:cstheme="minorHAnsi"/>
          <w:color w:val="auto"/>
          <w:szCs w:val="24"/>
        </w:rPr>
      </w:pPr>
    </w:p>
    <w:p w14:paraId="4B4E9ECB"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Finansijska podrška za realizaciju obaveza Crne Gore iz </w:t>
      </w:r>
      <w:r w:rsidRPr="008015BD">
        <w:rPr>
          <w:rFonts w:asciiTheme="minorHAnsi" w:hAnsiTheme="minorHAnsi" w:cstheme="minorHAnsi"/>
          <w:color w:val="auto"/>
          <w:szCs w:val="24"/>
        </w:rPr>
        <w:t>Stokholmske konvencije</w:t>
      </w:r>
      <w:r w:rsidRPr="00C86111">
        <w:rPr>
          <w:rFonts w:asciiTheme="minorHAnsi" w:hAnsiTheme="minorHAnsi" w:cstheme="minorHAnsi"/>
          <w:color w:val="auto"/>
          <w:szCs w:val="24"/>
        </w:rPr>
        <w:t xml:space="preserve"> pretežno se obezbjeđuje putem međunarodnih fondova i programa, što omogućava sprovođenje ključnih aktivnosti u oblasti upravljanja POPs, remedijacije kontaminiranih lokacija, zbrinjavanja PCB otpada i jačanja institucionalnih kapaciteta. Glavni izvori finansiranja uključuju:</w:t>
      </w:r>
    </w:p>
    <w:p w14:paraId="222EBC72" w14:textId="77777777" w:rsidR="004F6023" w:rsidRPr="00C86111" w:rsidRDefault="004F6023" w:rsidP="00833A40">
      <w:pPr>
        <w:numPr>
          <w:ilvl w:val="0"/>
          <w:numId w:val="58"/>
        </w:numPr>
        <w:jc w:val="both"/>
        <w:rPr>
          <w:rFonts w:asciiTheme="minorHAnsi" w:hAnsiTheme="minorHAnsi" w:cstheme="minorHAnsi"/>
          <w:color w:val="auto"/>
          <w:szCs w:val="24"/>
        </w:rPr>
      </w:pPr>
      <w:r w:rsidRPr="00C86111">
        <w:rPr>
          <w:rFonts w:asciiTheme="minorHAnsi" w:hAnsiTheme="minorHAnsi" w:cstheme="minorHAnsi"/>
          <w:b/>
          <w:bCs/>
          <w:color w:val="auto"/>
          <w:szCs w:val="24"/>
        </w:rPr>
        <w:t>Global Environmental Facility (GEF)</w:t>
      </w:r>
      <w:r w:rsidRPr="00C86111">
        <w:rPr>
          <w:rFonts w:asciiTheme="minorHAnsi" w:hAnsiTheme="minorHAnsi" w:cstheme="minorHAnsi"/>
          <w:color w:val="auto"/>
          <w:szCs w:val="24"/>
        </w:rPr>
        <w:t xml:space="preserve"> – pruža sredstva za izvoz postojećih zaliha PCB-a, remedijaciju kontaminiranih područja, transformaciju nacionalnih projekata u projekte koji donose globalnu korist za životnu sredinu, kao i pokrivanje dodatnih troškova povezanih sa tehničkom asistencijom i implementacijom strategija. GEF je finansirao brojne ključne aktivnosti, uključujući projekat </w:t>
      </w:r>
      <w:r w:rsidRPr="00C86111">
        <w:rPr>
          <w:rFonts w:asciiTheme="minorHAnsi" w:hAnsiTheme="minorHAnsi" w:cstheme="minorHAnsi"/>
          <w:b/>
          <w:bCs/>
          <w:color w:val="auto"/>
          <w:szCs w:val="24"/>
        </w:rPr>
        <w:t>„Revizija Nacionalnog plana implementacije Stokholmske konvencije“</w:t>
      </w:r>
      <w:r w:rsidRPr="00C86111">
        <w:rPr>
          <w:rFonts w:asciiTheme="minorHAnsi" w:hAnsiTheme="minorHAnsi" w:cstheme="minorHAnsi"/>
          <w:color w:val="auto"/>
          <w:szCs w:val="24"/>
        </w:rPr>
        <w:t xml:space="preserve">, čiji je rezultat Predlog Nacionalnog plana implementacije POPs iz 2013. godine i njegovo ažuriranje iz 2019. godine. Implementaciona agencija za ovaj projekat bila je UNEP. Trenutna revizija treće verzije Nacionalnog plana takođe se sprovodi uz podršku GEF-a i UNEP-a, uz tehničku asistenciju centra </w:t>
      </w:r>
      <w:r w:rsidRPr="00C86111">
        <w:rPr>
          <w:rFonts w:asciiTheme="minorHAnsi" w:hAnsiTheme="minorHAnsi" w:cstheme="minorHAnsi"/>
          <w:b/>
          <w:bCs/>
          <w:color w:val="auto"/>
          <w:szCs w:val="24"/>
        </w:rPr>
        <w:t>RECETOX</w:t>
      </w:r>
      <w:r w:rsidRPr="00C86111">
        <w:rPr>
          <w:rFonts w:asciiTheme="minorHAnsi" w:hAnsiTheme="minorHAnsi" w:cstheme="minorHAnsi"/>
          <w:color w:val="auto"/>
          <w:szCs w:val="24"/>
        </w:rPr>
        <w:t xml:space="preserve"> i </w:t>
      </w:r>
      <w:r w:rsidRPr="00C86111">
        <w:rPr>
          <w:rFonts w:asciiTheme="minorHAnsi" w:hAnsiTheme="minorHAnsi" w:cstheme="minorHAnsi"/>
          <w:b/>
          <w:bCs/>
          <w:color w:val="auto"/>
          <w:szCs w:val="24"/>
        </w:rPr>
        <w:t>CETI-a</w:t>
      </w:r>
      <w:r w:rsidRPr="00C86111">
        <w:rPr>
          <w:rFonts w:asciiTheme="minorHAnsi" w:hAnsiTheme="minorHAnsi" w:cstheme="minorHAnsi"/>
          <w:color w:val="auto"/>
          <w:szCs w:val="24"/>
        </w:rPr>
        <w:t>, čime se dodatno osnažuju laboratorijski i istraživački kapaciteti za monitoring POPs i analiza kontaminanata u životnoj sredini.</w:t>
      </w:r>
    </w:p>
    <w:p w14:paraId="76002E10" w14:textId="77777777" w:rsidR="004F6023" w:rsidRPr="00C86111" w:rsidRDefault="004F6023" w:rsidP="00833A40">
      <w:pPr>
        <w:numPr>
          <w:ilvl w:val="0"/>
          <w:numId w:val="58"/>
        </w:numPr>
        <w:jc w:val="both"/>
        <w:rPr>
          <w:rFonts w:asciiTheme="minorHAnsi" w:hAnsiTheme="minorHAnsi" w:cstheme="minorHAnsi"/>
          <w:color w:val="auto"/>
          <w:szCs w:val="24"/>
        </w:rPr>
      </w:pPr>
      <w:r w:rsidRPr="00C86111">
        <w:rPr>
          <w:rFonts w:asciiTheme="minorHAnsi" w:hAnsiTheme="minorHAnsi" w:cstheme="minorHAnsi"/>
          <w:b/>
          <w:bCs/>
          <w:color w:val="auto"/>
          <w:szCs w:val="24"/>
        </w:rPr>
        <w:t>UNEP</w:t>
      </w:r>
      <w:r w:rsidRPr="00C86111">
        <w:rPr>
          <w:rFonts w:asciiTheme="minorHAnsi" w:hAnsiTheme="minorHAnsi" w:cstheme="minorHAnsi"/>
          <w:color w:val="auto"/>
          <w:szCs w:val="24"/>
        </w:rPr>
        <w:t xml:space="preserve"> – kao implementaciona agencija GEF-a, pruža stručnu ekspertizu u oblasti zaštite životne sredine, strateške savjete, tehničku pomoć u izradi i implementaciji strategija, te </w:t>
      </w:r>
      <w:r w:rsidRPr="00C86111">
        <w:rPr>
          <w:rFonts w:asciiTheme="minorHAnsi" w:hAnsiTheme="minorHAnsi" w:cstheme="minorHAnsi"/>
          <w:color w:val="auto"/>
          <w:szCs w:val="24"/>
        </w:rPr>
        <w:lastRenderedPageBreak/>
        <w:t>podršku u procjeni i planiranju budućih investicija. UNEP pomaže u osnaživanju kapaciteta nadležnih institucija, jačanju regulatornih okvira i usklađivanju sa međunarodnim standardima, uključujući implementaciju preporuka iz Stokholmske konvencije.</w:t>
      </w:r>
    </w:p>
    <w:p w14:paraId="7FF4150B" w14:textId="77777777" w:rsidR="004F6023" w:rsidRPr="00C86111" w:rsidRDefault="004F6023" w:rsidP="00833A40">
      <w:pPr>
        <w:numPr>
          <w:ilvl w:val="0"/>
          <w:numId w:val="58"/>
        </w:numPr>
        <w:jc w:val="both"/>
        <w:rPr>
          <w:rFonts w:asciiTheme="minorHAnsi" w:hAnsiTheme="minorHAnsi" w:cstheme="minorHAnsi"/>
          <w:color w:val="auto"/>
          <w:szCs w:val="24"/>
        </w:rPr>
      </w:pPr>
      <w:r w:rsidRPr="00C86111">
        <w:rPr>
          <w:rFonts w:asciiTheme="minorHAnsi" w:hAnsiTheme="minorHAnsi" w:cstheme="minorHAnsi"/>
          <w:b/>
          <w:bCs/>
          <w:color w:val="auto"/>
          <w:szCs w:val="24"/>
        </w:rPr>
        <w:t>Svjetska banka (WB)</w:t>
      </w:r>
      <w:r w:rsidRPr="00C86111">
        <w:rPr>
          <w:rFonts w:asciiTheme="minorHAnsi" w:hAnsiTheme="minorHAnsi" w:cstheme="minorHAnsi"/>
          <w:color w:val="auto"/>
          <w:szCs w:val="24"/>
        </w:rPr>
        <w:t xml:space="preserve"> – pruža finansijsku podršku za remedijaciju kontaminiranih područja i projekte koji doprinose sigurnom upravljanju opasnim supstancama, uključujući aktivnosti vezane za POPs. WB takođe podržava razvoj kapaciteta za planiranje i provođenje intervencija na lokalnom i nacionalnom nivou, posebno u slučajevima gdje je potrebna tehnička ekspertiza i sofisticirana oprema.</w:t>
      </w:r>
    </w:p>
    <w:p w14:paraId="51D8434D" w14:textId="77777777" w:rsidR="004F6023" w:rsidRPr="00C86111" w:rsidRDefault="004F6023" w:rsidP="00833A40">
      <w:pPr>
        <w:numPr>
          <w:ilvl w:val="0"/>
          <w:numId w:val="58"/>
        </w:numPr>
        <w:jc w:val="both"/>
        <w:rPr>
          <w:rFonts w:asciiTheme="minorHAnsi" w:hAnsiTheme="minorHAnsi" w:cstheme="minorHAnsi"/>
          <w:color w:val="auto"/>
          <w:szCs w:val="24"/>
        </w:rPr>
      </w:pPr>
      <w:r w:rsidRPr="00C86111">
        <w:rPr>
          <w:rFonts w:asciiTheme="minorHAnsi" w:hAnsiTheme="minorHAnsi" w:cstheme="minorHAnsi"/>
          <w:b/>
          <w:bCs/>
          <w:color w:val="auto"/>
          <w:szCs w:val="24"/>
        </w:rPr>
        <w:t>UNDP</w:t>
      </w:r>
      <w:r w:rsidRPr="00C86111">
        <w:rPr>
          <w:rFonts w:asciiTheme="minorHAnsi" w:hAnsiTheme="minorHAnsi" w:cstheme="minorHAnsi"/>
          <w:color w:val="auto"/>
          <w:szCs w:val="24"/>
        </w:rPr>
        <w:t xml:space="preserve"> – podržava strukturni razvoj, posebno u oblasti n-POPs i drugih persistentnih zagađujućih materija, kroz institucionalno jačanje, razvoj integrisanih politika upravljanja hemikalijama, angažovanje lokalnih zajednica i NVO sektora, kao i podršku pri planiranju i implementaciji monitoring programa. UNDP je implementaciona agencija za ključni projekat </w:t>
      </w:r>
      <w:r w:rsidRPr="00C86111">
        <w:rPr>
          <w:rFonts w:asciiTheme="minorHAnsi" w:hAnsiTheme="minorHAnsi" w:cstheme="minorHAnsi"/>
          <w:b/>
          <w:bCs/>
          <w:color w:val="auto"/>
          <w:szCs w:val="24"/>
        </w:rPr>
        <w:t>„Sveobuhvatno ekološki prihvatljivo upravljanje PCB otpadom u Crnoj Gori“</w:t>
      </w:r>
      <w:r w:rsidRPr="00C86111">
        <w:rPr>
          <w:rFonts w:asciiTheme="minorHAnsi" w:hAnsiTheme="minorHAnsi" w:cstheme="minorHAnsi"/>
          <w:color w:val="auto"/>
          <w:szCs w:val="24"/>
        </w:rPr>
        <w:t xml:space="preserve">, finansiran sredstvima GEF-a. Cilj ovog projekta je identifikacija opreme i otpada koji sadrže PCB, izrada sveobuhvatnog inventara, dekontaminacija i trajno zbrinjavanje PCB otpada. Ukupan budžet projekta iznosi </w:t>
      </w:r>
      <w:r w:rsidRPr="00C86111">
        <w:rPr>
          <w:rFonts w:asciiTheme="minorHAnsi" w:hAnsiTheme="minorHAnsi" w:cstheme="minorHAnsi"/>
          <w:b/>
          <w:bCs/>
          <w:color w:val="auto"/>
          <w:szCs w:val="24"/>
        </w:rPr>
        <w:t>23 miliona USD</w:t>
      </w:r>
      <w:r w:rsidRPr="00C86111">
        <w:rPr>
          <w:rFonts w:asciiTheme="minorHAnsi" w:hAnsiTheme="minorHAnsi" w:cstheme="minorHAnsi"/>
          <w:color w:val="auto"/>
          <w:szCs w:val="24"/>
        </w:rPr>
        <w:t xml:space="preserve">, od čega je </w:t>
      </w:r>
      <w:r w:rsidRPr="00C86111">
        <w:rPr>
          <w:rFonts w:asciiTheme="minorHAnsi" w:hAnsiTheme="minorHAnsi" w:cstheme="minorHAnsi"/>
          <w:b/>
          <w:bCs/>
          <w:color w:val="auto"/>
          <w:szCs w:val="24"/>
        </w:rPr>
        <w:t>3,5 miliona USD obezbijedio GEF</w:t>
      </w:r>
      <w:r w:rsidRPr="00C86111">
        <w:rPr>
          <w:rFonts w:asciiTheme="minorHAnsi" w:hAnsiTheme="minorHAnsi" w:cstheme="minorHAnsi"/>
          <w:color w:val="auto"/>
          <w:szCs w:val="24"/>
        </w:rPr>
        <w:t>.</w:t>
      </w:r>
    </w:p>
    <w:p w14:paraId="709AC7FF"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Prednost angažovanja UNDP-a kao implementacione agencije ogleda se u njegovoj širokoj mreži kancelarija širom zemlje, bogatom iskustvu u razvoju integrisanih politika, institucionalnom jačanju i sposobnosti za koordinaciju sa lokalnim zajednicama i NVO sektorom, što dodatno doprinosi efikasnom upravljanju POPs supstancama i PCB otpadom.</w:t>
      </w:r>
    </w:p>
    <w:p w14:paraId="7CF77878"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Crna Gora takođe učestvuje u okviru specijalnog SAICM progra</w:t>
      </w:r>
      <w:r w:rsidRPr="00C86111">
        <w:rPr>
          <w:rFonts w:asciiTheme="minorHAnsi" w:hAnsiTheme="minorHAnsi" w:cstheme="minorHAnsi"/>
          <w:b/>
          <w:bCs/>
          <w:color w:val="auto"/>
          <w:szCs w:val="24"/>
        </w:rPr>
        <w:t>ma</w:t>
      </w:r>
      <w:r w:rsidRPr="00C86111">
        <w:rPr>
          <w:rFonts w:asciiTheme="minorHAnsi" w:hAnsiTheme="minorHAnsi" w:cstheme="minorHAnsi"/>
          <w:color w:val="auto"/>
          <w:szCs w:val="24"/>
        </w:rPr>
        <w:t xml:space="preserve">, koji je osmišljen za integrisano i efikasno upravljanje hemikalijama i otpadom. Kroz projekat jačanja sinergije između </w:t>
      </w:r>
      <w:r w:rsidRPr="00C86111">
        <w:rPr>
          <w:rFonts w:asciiTheme="minorHAnsi" w:hAnsiTheme="minorHAnsi" w:cstheme="minorHAnsi"/>
          <w:b/>
          <w:bCs/>
          <w:color w:val="auto"/>
          <w:szCs w:val="24"/>
        </w:rPr>
        <w:t>BRS konvencija</w:t>
      </w:r>
      <w:r w:rsidRPr="00C86111">
        <w:rPr>
          <w:rFonts w:asciiTheme="minorHAnsi" w:hAnsiTheme="minorHAnsi" w:cstheme="minorHAnsi"/>
          <w:color w:val="auto"/>
          <w:szCs w:val="24"/>
        </w:rPr>
        <w:t xml:space="preserve"> (Bazelska, Roterdamska i Stokholmska) i </w:t>
      </w:r>
      <w:r w:rsidRPr="00C86111">
        <w:rPr>
          <w:rFonts w:asciiTheme="minorHAnsi" w:hAnsiTheme="minorHAnsi" w:cstheme="minorHAnsi"/>
          <w:b/>
          <w:bCs/>
          <w:color w:val="auto"/>
          <w:szCs w:val="24"/>
        </w:rPr>
        <w:t>Minamata konvencije o živi</w:t>
      </w:r>
      <w:r w:rsidRPr="00C86111">
        <w:rPr>
          <w:rFonts w:asciiTheme="minorHAnsi" w:hAnsiTheme="minorHAnsi" w:cstheme="minorHAnsi"/>
          <w:color w:val="auto"/>
          <w:szCs w:val="24"/>
        </w:rPr>
        <w:t>, koji se realizuje uz podršku UNEP-a, omogućeno je:</w:t>
      </w:r>
    </w:p>
    <w:p w14:paraId="3CD59718" w14:textId="77777777" w:rsidR="004F6023" w:rsidRPr="00C86111" w:rsidRDefault="004F6023" w:rsidP="00833A40">
      <w:pPr>
        <w:numPr>
          <w:ilvl w:val="0"/>
          <w:numId w:val="59"/>
        </w:numPr>
        <w:jc w:val="both"/>
        <w:rPr>
          <w:rFonts w:asciiTheme="minorHAnsi" w:hAnsiTheme="minorHAnsi" w:cstheme="minorHAnsi"/>
          <w:color w:val="auto"/>
          <w:szCs w:val="24"/>
        </w:rPr>
      </w:pPr>
      <w:r w:rsidRPr="00C86111">
        <w:rPr>
          <w:rFonts w:asciiTheme="minorHAnsi" w:hAnsiTheme="minorHAnsi" w:cstheme="minorHAnsi"/>
          <w:color w:val="auto"/>
          <w:szCs w:val="24"/>
        </w:rPr>
        <w:t>koordinisano sprovođenje obaveza iz više konvencija;</w:t>
      </w:r>
    </w:p>
    <w:p w14:paraId="6912452A" w14:textId="77777777" w:rsidR="004F6023" w:rsidRPr="00C86111" w:rsidRDefault="004F6023" w:rsidP="00833A40">
      <w:pPr>
        <w:numPr>
          <w:ilvl w:val="0"/>
          <w:numId w:val="59"/>
        </w:numPr>
        <w:jc w:val="both"/>
        <w:rPr>
          <w:rFonts w:asciiTheme="minorHAnsi" w:hAnsiTheme="minorHAnsi" w:cstheme="minorHAnsi"/>
          <w:color w:val="auto"/>
          <w:szCs w:val="24"/>
        </w:rPr>
      </w:pPr>
      <w:r w:rsidRPr="00C86111">
        <w:rPr>
          <w:rFonts w:asciiTheme="minorHAnsi" w:hAnsiTheme="minorHAnsi" w:cstheme="minorHAnsi"/>
          <w:color w:val="auto"/>
          <w:szCs w:val="24"/>
        </w:rPr>
        <w:t>racionalno i efikasno korišćenje finansijskih i tehničkih resursa;</w:t>
      </w:r>
    </w:p>
    <w:p w14:paraId="7CF4471A" w14:textId="77777777" w:rsidR="004F6023" w:rsidRPr="00C86111" w:rsidRDefault="004F6023" w:rsidP="00833A40">
      <w:pPr>
        <w:numPr>
          <w:ilvl w:val="0"/>
          <w:numId w:val="59"/>
        </w:numPr>
        <w:jc w:val="both"/>
        <w:rPr>
          <w:rFonts w:asciiTheme="minorHAnsi" w:hAnsiTheme="minorHAnsi" w:cstheme="minorHAnsi"/>
          <w:color w:val="auto"/>
          <w:szCs w:val="24"/>
        </w:rPr>
      </w:pPr>
      <w:r w:rsidRPr="00C86111">
        <w:rPr>
          <w:rFonts w:asciiTheme="minorHAnsi" w:hAnsiTheme="minorHAnsi" w:cstheme="minorHAnsi"/>
          <w:color w:val="auto"/>
          <w:szCs w:val="24"/>
        </w:rPr>
        <w:t>jačanje međusektorske saradnje između relevantnih ministarstava i agencija;</w:t>
      </w:r>
    </w:p>
    <w:p w14:paraId="4258B166" w14:textId="77777777" w:rsidR="004F6023" w:rsidRPr="00C86111" w:rsidRDefault="004F6023" w:rsidP="00833A40">
      <w:pPr>
        <w:numPr>
          <w:ilvl w:val="0"/>
          <w:numId w:val="59"/>
        </w:numPr>
        <w:jc w:val="both"/>
        <w:rPr>
          <w:rFonts w:asciiTheme="minorHAnsi" w:hAnsiTheme="minorHAnsi" w:cstheme="minorHAnsi"/>
          <w:color w:val="auto"/>
          <w:szCs w:val="24"/>
        </w:rPr>
      </w:pPr>
      <w:r w:rsidRPr="00C86111">
        <w:rPr>
          <w:rFonts w:asciiTheme="minorHAnsi" w:hAnsiTheme="minorHAnsi" w:cstheme="minorHAnsi"/>
          <w:color w:val="auto"/>
          <w:szCs w:val="24"/>
        </w:rPr>
        <w:t>bolja integracija upravljanja hemikalijama u nacionalne politike zaštite životne sredine i javnog zdravlja.</w:t>
      </w:r>
    </w:p>
    <w:p w14:paraId="5F9A60C2"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Ovaj sinergijski pristup doprinosi smanjenju preklapanja aktivnosti između različitih konvencija, povećava efikasnost sprovođenja međunarodnih obaveza, poboljšava koordinaciju nadležnih institucija i jača institucionalne i regulatorne kapacitete Crne Gore u oblasti upravljanja POPs.</w:t>
      </w:r>
    </w:p>
    <w:p w14:paraId="5BFDEAC2" w14:textId="4132A17A" w:rsidR="004F6023" w:rsidRPr="00C86111" w:rsidRDefault="007A23C1" w:rsidP="00EA6904">
      <w:pPr>
        <w:pStyle w:val="Heading3"/>
      </w:pPr>
      <w:bookmarkStart w:id="469" w:name="_Toc209359988"/>
      <w:bookmarkStart w:id="470" w:name="_Toc220542001"/>
      <w:r w:rsidRPr="00C86111">
        <w:t xml:space="preserve">Izazovi u </w:t>
      </w:r>
      <w:r w:rsidR="004F6023" w:rsidRPr="00C86111">
        <w:t xml:space="preserve"> finansiranj</w:t>
      </w:r>
      <w:bookmarkEnd w:id="469"/>
      <w:r w:rsidRPr="00C86111">
        <w:t>u</w:t>
      </w:r>
      <w:bookmarkEnd w:id="470"/>
    </w:p>
    <w:p w14:paraId="37240A1D" w14:textId="77777777" w:rsidR="004F6023" w:rsidRPr="00C86111" w:rsidRDefault="004F6023" w:rsidP="004F6023">
      <w:pPr>
        <w:jc w:val="both"/>
        <w:rPr>
          <w:rFonts w:asciiTheme="minorHAnsi" w:hAnsiTheme="minorHAnsi" w:cstheme="minorHAnsi"/>
          <w:color w:val="auto"/>
          <w:szCs w:val="24"/>
        </w:rPr>
      </w:pPr>
    </w:p>
    <w:p w14:paraId="7CA4DB1D"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Uprkos podršci međunarodnih fondova, finansiranje aktivnosti vezanih za POPs u Crnoj Gori je pretežno projektno i time nepouzdano. Nacionalni budžet rijetko predviđa specifične linije namijenjene za POPs i remedijaciju kontaminiranih lokacija, što otežava dugoročno planiranje i održivost programa. Nedostaju stabilni mehanizmi za dugoročno finansiranje ključnih komponenti upravljanja POPs, uključujući:</w:t>
      </w:r>
    </w:p>
    <w:p w14:paraId="5B76ECE8" w14:textId="77777777" w:rsidR="004F6023" w:rsidRPr="00C86111" w:rsidRDefault="004F6023" w:rsidP="00833A40">
      <w:pPr>
        <w:numPr>
          <w:ilvl w:val="0"/>
          <w:numId w:val="60"/>
        </w:numPr>
        <w:jc w:val="both"/>
        <w:rPr>
          <w:rFonts w:asciiTheme="minorHAnsi" w:hAnsiTheme="minorHAnsi" w:cstheme="minorHAnsi"/>
          <w:color w:val="auto"/>
          <w:szCs w:val="24"/>
        </w:rPr>
      </w:pPr>
      <w:r w:rsidRPr="00C86111">
        <w:rPr>
          <w:rFonts w:asciiTheme="minorHAnsi" w:hAnsiTheme="minorHAnsi" w:cstheme="minorHAnsi"/>
          <w:color w:val="auto"/>
          <w:szCs w:val="24"/>
        </w:rPr>
        <w:t>remedijaciju kontaminiranih lokacija i zbrinjavanje PCB otpada;</w:t>
      </w:r>
    </w:p>
    <w:p w14:paraId="7C6B6668" w14:textId="77777777" w:rsidR="004F6023" w:rsidRPr="00C86111" w:rsidRDefault="004F6023" w:rsidP="00833A40">
      <w:pPr>
        <w:numPr>
          <w:ilvl w:val="0"/>
          <w:numId w:val="60"/>
        </w:numPr>
        <w:jc w:val="both"/>
        <w:rPr>
          <w:rFonts w:asciiTheme="minorHAnsi" w:hAnsiTheme="minorHAnsi" w:cstheme="minorHAnsi"/>
          <w:color w:val="auto"/>
          <w:szCs w:val="24"/>
        </w:rPr>
      </w:pPr>
      <w:r w:rsidRPr="00C86111">
        <w:rPr>
          <w:rFonts w:asciiTheme="minorHAnsi" w:hAnsiTheme="minorHAnsi" w:cstheme="minorHAnsi"/>
          <w:color w:val="auto"/>
          <w:szCs w:val="24"/>
        </w:rPr>
        <w:t>razvoj i održavanje skladišnih kapaciteta za POPs;</w:t>
      </w:r>
    </w:p>
    <w:p w14:paraId="3F4493B9" w14:textId="77777777" w:rsidR="004F6023" w:rsidRPr="00C86111" w:rsidRDefault="004F6023" w:rsidP="00833A40">
      <w:pPr>
        <w:numPr>
          <w:ilvl w:val="0"/>
          <w:numId w:val="60"/>
        </w:numPr>
        <w:jc w:val="both"/>
        <w:rPr>
          <w:rFonts w:asciiTheme="minorHAnsi" w:hAnsiTheme="minorHAnsi" w:cstheme="minorHAnsi"/>
          <w:color w:val="auto"/>
          <w:szCs w:val="24"/>
        </w:rPr>
      </w:pPr>
      <w:r w:rsidRPr="00C86111">
        <w:rPr>
          <w:rFonts w:asciiTheme="minorHAnsi" w:hAnsiTheme="minorHAnsi" w:cstheme="minorHAnsi"/>
          <w:color w:val="auto"/>
          <w:szCs w:val="24"/>
        </w:rPr>
        <w:t>nabavku laboratorijske opreme i reagensa potrebnih za monitoring i analizu;</w:t>
      </w:r>
    </w:p>
    <w:p w14:paraId="44E4086F" w14:textId="77777777" w:rsidR="004F6023" w:rsidRPr="00C86111" w:rsidRDefault="004F6023" w:rsidP="00833A40">
      <w:pPr>
        <w:numPr>
          <w:ilvl w:val="0"/>
          <w:numId w:val="60"/>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kontinuiranu obuku i edukaciju stručnjaka u nadležnim institucijama i lokalnim samoupravama.</w:t>
      </w:r>
    </w:p>
    <w:p w14:paraId="7B245733"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Takođe, lokalne samouprave nisu dovoljno uključene u proces planiranja budžeta za identifikaciju i upravljanje POPs otpadom na svojoj teritoriji, što ograničava njihovu sposobnost da aktivno učestvuju u implementaciji lokalnih mjera zaštite životne sredine. Ovo dovodi do situacije u kojoj implementacija nacionalnih programa zavisi pretežno od međunarodnog finansiranja, što dugoročno može ugroziti kontinuitet aktivnosti i održivost sistema upravljanja POPs u zemlji.</w:t>
      </w:r>
    </w:p>
    <w:p w14:paraId="3C32274E"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U svjetlu navedenog, postoji jasna potreba za:</w:t>
      </w:r>
    </w:p>
    <w:p w14:paraId="6B1AA4D7" w14:textId="77777777" w:rsidR="004F6023" w:rsidRPr="00C86111" w:rsidRDefault="004F6023" w:rsidP="00833A40">
      <w:pPr>
        <w:numPr>
          <w:ilvl w:val="0"/>
          <w:numId w:val="61"/>
        </w:numPr>
        <w:jc w:val="both"/>
        <w:rPr>
          <w:rFonts w:asciiTheme="minorHAnsi" w:hAnsiTheme="minorHAnsi" w:cstheme="minorHAnsi"/>
          <w:color w:val="auto"/>
          <w:szCs w:val="24"/>
        </w:rPr>
      </w:pPr>
      <w:r w:rsidRPr="00C86111">
        <w:rPr>
          <w:rFonts w:asciiTheme="minorHAnsi" w:hAnsiTheme="minorHAnsi" w:cstheme="minorHAnsi"/>
          <w:color w:val="auto"/>
          <w:szCs w:val="24"/>
        </w:rPr>
        <w:t>predviđanje stabilnih budžetskih linija u nacionalnom budžetu za POPs i srodne aktivnosti;</w:t>
      </w:r>
    </w:p>
    <w:p w14:paraId="7832AD36" w14:textId="77777777" w:rsidR="004F6023" w:rsidRPr="00C86111" w:rsidRDefault="004F6023" w:rsidP="00833A40">
      <w:pPr>
        <w:numPr>
          <w:ilvl w:val="0"/>
          <w:numId w:val="61"/>
        </w:numPr>
        <w:jc w:val="both"/>
        <w:rPr>
          <w:rFonts w:asciiTheme="minorHAnsi" w:hAnsiTheme="minorHAnsi" w:cstheme="minorHAnsi"/>
          <w:color w:val="auto"/>
          <w:szCs w:val="24"/>
        </w:rPr>
      </w:pPr>
      <w:r w:rsidRPr="00C86111">
        <w:rPr>
          <w:rFonts w:asciiTheme="minorHAnsi" w:hAnsiTheme="minorHAnsi" w:cstheme="minorHAnsi"/>
          <w:color w:val="auto"/>
          <w:szCs w:val="24"/>
        </w:rPr>
        <w:t>jačanje uloge lokalnih samouprava u planiranju i implementaciji programa upravljanja POPs;</w:t>
      </w:r>
    </w:p>
    <w:p w14:paraId="4B2BDA0A" w14:textId="77777777" w:rsidR="004F6023" w:rsidRPr="00C86111" w:rsidRDefault="004F6023" w:rsidP="00833A40">
      <w:pPr>
        <w:numPr>
          <w:ilvl w:val="0"/>
          <w:numId w:val="61"/>
        </w:numPr>
        <w:jc w:val="both"/>
        <w:rPr>
          <w:rFonts w:asciiTheme="minorHAnsi" w:hAnsiTheme="minorHAnsi" w:cstheme="minorHAnsi"/>
          <w:color w:val="auto"/>
          <w:szCs w:val="24"/>
        </w:rPr>
      </w:pPr>
      <w:r w:rsidRPr="00C86111">
        <w:rPr>
          <w:rFonts w:asciiTheme="minorHAnsi" w:hAnsiTheme="minorHAnsi" w:cstheme="minorHAnsi"/>
          <w:color w:val="auto"/>
          <w:szCs w:val="24"/>
        </w:rPr>
        <w:t>integraciju međunarodnih i nacionalnih resursa kroz dugoročne strateške planove i partnerstva sa UN agencijama i fondovima.</w:t>
      </w:r>
    </w:p>
    <w:p w14:paraId="6C58A159" w14:textId="77777777" w:rsidR="004F6023" w:rsidRPr="00C86111" w:rsidRDefault="004F6023" w:rsidP="004F6023">
      <w:pPr>
        <w:jc w:val="both"/>
        <w:rPr>
          <w:rFonts w:asciiTheme="minorHAnsi" w:hAnsiTheme="minorHAnsi" w:cstheme="minorHAnsi"/>
          <w:color w:val="auto"/>
          <w:szCs w:val="24"/>
        </w:rPr>
      </w:pPr>
      <w:r w:rsidRPr="00C86111">
        <w:rPr>
          <w:rFonts w:asciiTheme="minorHAnsi" w:hAnsiTheme="minorHAnsi" w:cstheme="minorHAnsi"/>
          <w:color w:val="auto"/>
          <w:szCs w:val="24"/>
        </w:rPr>
        <w:t>Ovo će omogućiti Crnoj Gori da osigura održivost svojih programa u oblasti POPs, poboljša institucionalne kapacitete i postigne efikasno sprovođenje međunarodnih obaveza iz Stokholmske konvencije.</w:t>
      </w:r>
    </w:p>
    <w:p w14:paraId="1F32CCDE" w14:textId="77777777" w:rsidR="004F6023" w:rsidRPr="00C86111" w:rsidRDefault="004F6023" w:rsidP="004F6023">
      <w:pPr>
        <w:jc w:val="both"/>
        <w:rPr>
          <w:rFonts w:asciiTheme="minorHAnsi" w:hAnsiTheme="minorHAnsi" w:cstheme="minorHAnsi"/>
          <w:szCs w:val="24"/>
        </w:rPr>
      </w:pPr>
    </w:p>
    <w:p w14:paraId="04AAB7EB" w14:textId="77777777" w:rsidR="004F6023" w:rsidRPr="00C86111" w:rsidRDefault="004F6023" w:rsidP="00912C4C">
      <w:pPr>
        <w:pStyle w:val="Heading1"/>
      </w:pPr>
      <w:bookmarkStart w:id="471" w:name="_Toc209502481"/>
      <w:bookmarkStart w:id="472" w:name="_Toc220542002"/>
      <w:r w:rsidRPr="00C86111">
        <w:t>ZAKONODAVNI OKVIR</w:t>
      </w:r>
      <w:bookmarkEnd w:id="471"/>
      <w:bookmarkEnd w:id="472"/>
      <w:r w:rsidRPr="00C86111">
        <w:t xml:space="preserve"> </w:t>
      </w:r>
    </w:p>
    <w:p w14:paraId="245E572A" w14:textId="77777777" w:rsidR="004F6023" w:rsidRPr="00C86111" w:rsidRDefault="004F6023" w:rsidP="004F6023">
      <w:pPr>
        <w:jc w:val="both"/>
        <w:rPr>
          <w:rFonts w:asciiTheme="minorHAnsi" w:hAnsiTheme="minorHAnsi" w:cstheme="minorHAnsi"/>
          <w:szCs w:val="24"/>
        </w:rPr>
      </w:pPr>
    </w:p>
    <w:p w14:paraId="5242A0D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U Crnoj Gori, regulativa koja se odnosi na POPs jedinjenja uređena je kroz sljedeće zakonske i podzakonske akte:</w:t>
      </w:r>
    </w:p>
    <w:p w14:paraId="6121A6AE" w14:textId="77777777" w:rsidR="004F6023" w:rsidRPr="00C86111" w:rsidRDefault="004F6023" w:rsidP="004F6023">
      <w:pPr>
        <w:jc w:val="both"/>
        <w:rPr>
          <w:rFonts w:asciiTheme="minorHAnsi" w:hAnsiTheme="minorHAnsi" w:cstheme="minorHAnsi"/>
          <w:szCs w:val="24"/>
        </w:rPr>
      </w:pPr>
    </w:p>
    <w:p w14:paraId="63045918"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životnoj sredini</w:t>
      </w:r>
      <w:r w:rsidRPr="00C86111">
        <w:rPr>
          <w:rFonts w:asciiTheme="minorHAnsi" w:hAnsiTheme="minorHAnsi" w:cstheme="minorHAnsi"/>
          <w:szCs w:val="24"/>
        </w:rPr>
        <w:t xml:space="preserve"> ("Službeni list Crne Gore", br. 52/16, 73/19, 84/24); </w:t>
      </w:r>
    </w:p>
    <w:p w14:paraId="38DADF89"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hemikalijama</w:t>
      </w:r>
      <w:r w:rsidRPr="00C86111">
        <w:rPr>
          <w:rFonts w:asciiTheme="minorHAnsi" w:hAnsiTheme="minorHAnsi" w:cstheme="minorHAnsi"/>
          <w:szCs w:val="24"/>
        </w:rPr>
        <w:t xml:space="preserve"> ("Službeni list Crne Gore", br. 51/17, 84/24);</w:t>
      </w:r>
    </w:p>
    <w:p w14:paraId="3FBE613D"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sredstvima za zaštitu bilja</w:t>
      </w:r>
      <w:r w:rsidRPr="00C86111">
        <w:rPr>
          <w:rFonts w:asciiTheme="minorHAnsi" w:hAnsiTheme="minorHAnsi" w:cstheme="minorHAnsi"/>
          <w:szCs w:val="24"/>
        </w:rPr>
        <w:t xml:space="preserve"> ("Službeni list Crne Gore", br. 51/08, 40/11, 18/14);</w:t>
      </w:r>
    </w:p>
    <w:p w14:paraId="05A52C2B"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industrijskim emisijama</w:t>
      </w:r>
      <w:r w:rsidRPr="00C86111">
        <w:rPr>
          <w:rFonts w:asciiTheme="minorHAnsi" w:hAnsiTheme="minorHAnsi" w:cstheme="minorHAnsi"/>
          <w:szCs w:val="24"/>
        </w:rPr>
        <w:t xml:space="preserve"> ("Službeni list Crne Gore", br. 17/19, 3/23, 34/24, 84/24);</w:t>
      </w:r>
    </w:p>
    <w:p w14:paraId="2C9C1A48"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upravljanju otpadom</w:t>
      </w:r>
      <w:r w:rsidRPr="00C86111">
        <w:rPr>
          <w:rFonts w:asciiTheme="minorHAnsi" w:hAnsiTheme="minorHAnsi" w:cstheme="minorHAnsi"/>
          <w:szCs w:val="24"/>
        </w:rPr>
        <w:t xml:space="preserve">  ("Službeni list Crne Gore", br. 34/24, 92/24);</w:t>
      </w:r>
    </w:p>
    <w:p w14:paraId="7BA8F985"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zaštiti vazduha</w:t>
      </w:r>
      <w:r w:rsidRPr="00C86111">
        <w:rPr>
          <w:rFonts w:asciiTheme="minorHAnsi" w:hAnsiTheme="minorHAnsi" w:cstheme="minorHAnsi"/>
          <w:szCs w:val="24"/>
        </w:rPr>
        <w:t xml:space="preserve"> ("Službeni list Crne Gore", br. 25/10, 40/11, 43/15, 73/19, 84/24);</w:t>
      </w:r>
    </w:p>
    <w:p w14:paraId="1C795A74"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vodama</w:t>
      </w:r>
      <w:r w:rsidRPr="00C86111">
        <w:rPr>
          <w:rFonts w:asciiTheme="minorHAnsi" w:hAnsiTheme="minorHAnsi" w:cstheme="minorHAnsi"/>
          <w:szCs w:val="24"/>
        </w:rPr>
        <w:t xml:space="preserve"> („Službeni list Crne Gore”, broj: 27/07, 73/10, 32/11, 47/11, 48/15, 52/16, 55/16, 2/17, 80/17, 84/18, 84/24), </w:t>
      </w:r>
    </w:p>
    <w:p w14:paraId="768FE6C9"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Zakon o zaštiti od negativnih uticaja klimatskih promjena</w:t>
      </w:r>
      <w:r w:rsidRPr="00C86111">
        <w:rPr>
          <w:rFonts w:asciiTheme="minorHAnsi" w:hAnsiTheme="minorHAnsi" w:cstheme="minorHAnsi"/>
          <w:szCs w:val="24"/>
        </w:rPr>
        <w:t xml:space="preserve"> (“Službeni list Crne Gore”, br. 73/19, 84/24);</w:t>
      </w:r>
    </w:p>
    <w:p w14:paraId="09959446"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Uredba o graničnim vrijednostima emisija zagađujućih materija u vazduh iz stacionarnih izvora</w:t>
      </w:r>
      <w:r w:rsidRPr="00C86111">
        <w:rPr>
          <w:rFonts w:asciiTheme="minorHAnsi" w:hAnsiTheme="minorHAnsi" w:cstheme="minorHAnsi"/>
          <w:szCs w:val="24"/>
        </w:rPr>
        <w:t xml:space="preserve"> („Službeni list Crne Gore”, br. 10/11, 129/21);</w:t>
      </w:r>
    </w:p>
    <w:p w14:paraId="4A660098"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Pravilnik o klasifikaciji otpada, katalogu otpada, postupcima obrade otpada, odnosno prerade i odstranjivanja otpada</w:t>
      </w:r>
      <w:r w:rsidRPr="00C86111">
        <w:rPr>
          <w:rFonts w:asciiTheme="minorHAnsi" w:hAnsiTheme="minorHAnsi" w:cstheme="minorHAnsi"/>
          <w:szCs w:val="24"/>
        </w:rPr>
        <w:t xml:space="preserve"> ("Službeni list Crne Gore", br. 64/24);</w:t>
      </w:r>
    </w:p>
    <w:p w14:paraId="4631A5C7"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Pravilnik o listi POPs supstanci, načinu i postupku za upravljanje POPs otpadom i granične vrijednosti koncentracija POPs materija koje se odnose na preradu i odstranjivanje otpada koji sadrži ili je kontaminiran POPs supstancama</w:t>
      </w:r>
      <w:r w:rsidRPr="00C86111">
        <w:rPr>
          <w:rFonts w:asciiTheme="minorHAnsi" w:hAnsiTheme="minorHAnsi" w:cstheme="minorHAnsi"/>
          <w:szCs w:val="24"/>
        </w:rPr>
        <w:t xml:space="preserve"> ("Službeni list Crne Gore", br. 98/24);</w:t>
      </w:r>
    </w:p>
    <w:p w14:paraId="79B1A5F8"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Pravilnik o postupanju sa otpadnim uljima</w:t>
      </w:r>
      <w:r w:rsidRPr="00C86111">
        <w:rPr>
          <w:rFonts w:asciiTheme="minorHAnsi" w:hAnsiTheme="minorHAnsi" w:cstheme="minorHAnsi"/>
          <w:szCs w:val="24"/>
        </w:rPr>
        <w:t xml:space="preserve"> („Službeni list Crne Gore”, br. 48/12); </w:t>
      </w:r>
    </w:p>
    <w:p w14:paraId="2F3923C4"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lastRenderedPageBreak/>
        <w:t>Pravilnik o načinu sačinjavanja plana upravljanja i postupanju sa otpadom i opremom koja sadrži polihlorovane bifenile</w:t>
      </w:r>
      <w:r w:rsidRPr="00C86111">
        <w:rPr>
          <w:rFonts w:asciiTheme="minorHAnsi" w:hAnsiTheme="minorHAnsi" w:cstheme="minorHAnsi"/>
          <w:szCs w:val="24"/>
        </w:rPr>
        <w:t xml:space="preserve"> ("Službeni list Crne Gore", br. 36/25);</w:t>
      </w:r>
    </w:p>
    <w:p w14:paraId="3E1DD5AB"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Pravilnik o kvalitetu i sanitarno-tehničkim uslovima za ispuštanje otpadnih voda, načinu i postupku ispitivanja kvaliteta otpadnih voda i sadržaju izvještaja o utvrđenom kvalitetu otpadnih voda</w:t>
      </w:r>
      <w:r w:rsidRPr="00C86111">
        <w:rPr>
          <w:rFonts w:ascii="Cambria Math" w:hAnsi="Cambria Math" w:cs="Cambria Math"/>
          <w:b/>
          <w:szCs w:val="24"/>
        </w:rPr>
        <w:t>∗</w:t>
      </w:r>
      <w:r w:rsidRPr="00C86111">
        <w:rPr>
          <w:rFonts w:asciiTheme="minorHAnsi" w:hAnsiTheme="minorHAnsi" w:cstheme="minorHAnsi"/>
          <w:szCs w:val="24"/>
        </w:rPr>
        <w:t xml:space="preserve"> ("Službeni list Crne Gore", br. 56/19);</w:t>
      </w:r>
    </w:p>
    <w:p w14:paraId="199AD531"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Program za unaprjeđenje sistema za postupanje i upravljanje otpadom odnosno za postupanje sa ambalažom nakon upotrebe pesticida za 2024. godinu</w:t>
      </w:r>
      <w:r w:rsidRPr="00C86111">
        <w:rPr>
          <w:rFonts w:ascii="Cambria Math" w:hAnsi="Cambria Math" w:cs="Cambria Math"/>
          <w:b/>
          <w:szCs w:val="24"/>
        </w:rPr>
        <w:t>∗</w:t>
      </w:r>
      <w:r w:rsidRPr="00C86111">
        <w:rPr>
          <w:rFonts w:asciiTheme="minorHAnsi" w:hAnsiTheme="minorHAnsi" w:cstheme="minorHAnsi"/>
          <w:szCs w:val="24"/>
        </w:rPr>
        <w:t xml:space="preserve"> ("Službeni list Crne Gore", br. 41/24);</w:t>
      </w:r>
    </w:p>
    <w:p w14:paraId="63F18AFF" w14:textId="77777777" w:rsidR="004F6023" w:rsidRPr="00C86111" w:rsidRDefault="004F6023" w:rsidP="007E2AA5">
      <w:pPr>
        <w:pStyle w:val="ListParagraph"/>
        <w:numPr>
          <w:ilvl w:val="0"/>
          <w:numId w:val="5"/>
        </w:numPr>
        <w:jc w:val="both"/>
        <w:rPr>
          <w:rFonts w:asciiTheme="minorHAnsi" w:hAnsiTheme="minorHAnsi" w:cstheme="minorHAnsi"/>
          <w:szCs w:val="24"/>
        </w:rPr>
      </w:pPr>
      <w:r w:rsidRPr="00C86111">
        <w:rPr>
          <w:rFonts w:asciiTheme="minorHAnsi" w:hAnsiTheme="minorHAnsi" w:cstheme="minorHAnsi"/>
          <w:b/>
          <w:szCs w:val="24"/>
        </w:rPr>
        <w:t>Pravilnik o dozvoljenim količinama opasnih i štetnih materija u zemljištu i metodama za njihovo ispitivanje</w:t>
      </w:r>
      <w:r w:rsidRPr="00C86111">
        <w:rPr>
          <w:rFonts w:asciiTheme="minorHAnsi" w:hAnsiTheme="minorHAnsi" w:cstheme="minorHAnsi"/>
          <w:szCs w:val="24"/>
        </w:rPr>
        <w:t xml:space="preserve"> ("Službeni list RCG", br. 18/97).</w:t>
      </w:r>
    </w:p>
    <w:p w14:paraId="4CF732F3" w14:textId="77777777" w:rsidR="004F6023" w:rsidRPr="00C86111" w:rsidRDefault="004F6023" w:rsidP="004F6023">
      <w:pPr>
        <w:pStyle w:val="NormalWeb"/>
        <w:jc w:val="both"/>
        <w:rPr>
          <w:rFonts w:asciiTheme="minorHAnsi" w:hAnsiTheme="minorHAnsi" w:cstheme="minorHAnsi"/>
        </w:rPr>
      </w:pPr>
      <w:r w:rsidRPr="00C86111">
        <w:rPr>
          <w:rStyle w:val="Strong"/>
          <w:rFonts w:asciiTheme="minorHAnsi" w:eastAsiaTheme="majorEastAsia" w:hAnsiTheme="minorHAnsi" w:cstheme="minorHAnsi"/>
        </w:rPr>
        <w:t>Zakon o životnoj sredini</w:t>
      </w:r>
      <w:r w:rsidRPr="00C86111">
        <w:rPr>
          <w:rFonts w:asciiTheme="minorHAnsi" w:hAnsiTheme="minorHAnsi" w:cstheme="minorHAnsi"/>
        </w:rPr>
        <w:t xml:space="preserve"> uređuje principe zaštite životne sredine i održivog razvoja, subjekte i instrumente zaštite životne sredine, učešće javnosti u pitanjima životne sredine, te druga pitanja od značaja za očuvanje životne sredine. Zaštita životne sredine ima za cilj cjelovito očuvanje njenog kvaliteta, očuvanje biološke i pejzažne raznovrsnosti, racionalno korišćenje prirodnih dobara i energije na način koji je najpovoljniji za životnu sredinu, što predstavlja osnovni preduslov zdravog i održivog razvoja. Ovim zakonom ustanovljena je i </w:t>
      </w:r>
      <w:r w:rsidRPr="00C86111">
        <w:rPr>
          <w:rStyle w:val="Strong"/>
          <w:rFonts w:asciiTheme="minorHAnsi" w:eastAsiaTheme="majorEastAsia" w:hAnsiTheme="minorHAnsi" w:cstheme="minorHAnsi"/>
        </w:rPr>
        <w:t>Agencija za zaštitu životne sredine</w:t>
      </w:r>
      <w:r w:rsidRPr="00C86111">
        <w:rPr>
          <w:rFonts w:asciiTheme="minorHAnsi" w:hAnsiTheme="minorHAnsi" w:cstheme="minorHAnsi"/>
        </w:rPr>
        <w:t>, kao organ uprave nadležan za obavljanje stručnih i povezanih poslova u oblasti zaštite životne sredine.</w:t>
      </w:r>
    </w:p>
    <w:p w14:paraId="426A7E60" w14:textId="77777777" w:rsidR="004F6023" w:rsidRPr="00C86111" w:rsidRDefault="004F6023" w:rsidP="004F6023">
      <w:pPr>
        <w:pStyle w:val="NormalWeb"/>
        <w:jc w:val="both"/>
        <w:rPr>
          <w:rFonts w:asciiTheme="minorHAnsi" w:hAnsiTheme="minorHAnsi" w:cstheme="minorHAnsi"/>
        </w:rPr>
      </w:pPr>
      <w:r w:rsidRPr="00C86111">
        <w:rPr>
          <w:rFonts w:asciiTheme="minorHAnsi" w:hAnsiTheme="minorHAnsi" w:cstheme="minorHAnsi"/>
        </w:rPr>
        <w:t xml:space="preserve">U skladu sa Zakonom, </w:t>
      </w:r>
      <w:r w:rsidRPr="00C86111">
        <w:rPr>
          <w:rStyle w:val="Strong"/>
          <w:rFonts w:asciiTheme="minorHAnsi" w:eastAsiaTheme="majorEastAsia" w:hAnsiTheme="minorHAnsi" w:cstheme="minorHAnsi"/>
        </w:rPr>
        <w:t>dugotrajne organske zagađujuće supstance (POPs)</w:t>
      </w:r>
      <w:r w:rsidRPr="00C86111">
        <w:rPr>
          <w:rFonts w:asciiTheme="minorHAnsi" w:hAnsiTheme="minorHAnsi" w:cstheme="minorHAnsi"/>
        </w:rPr>
        <w:t xml:space="preserve"> definisane su kao supstance koje: posjeduju toksična svojstva; teško se razlažu; bioakumulativne su; prenose se kroz atmosferu i talože na velikim udaljenostima; i uzrokuju značajne negativne efekte na ljudsko zdravlje i životnu sredinu, kako u blizini, tako i daleko od izvora nastanka.</w:t>
      </w:r>
    </w:p>
    <w:p w14:paraId="0A7F0A83" w14:textId="77777777" w:rsidR="004F6023" w:rsidRPr="00C86111" w:rsidRDefault="004F6023" w:rsidP="004F6023">
      <w:pPr>
        <w:pStyle w:val="NormalWeb"/>
        <w:jc w:val="both"/>
        <w:rPr>
          <w:rFonts w:asciiTheme="minorHAnsi" w:hAnsiTheme="minorHAnsi" w:cstheme="minorHAnsi"/>
        </w:rPr>
      </w:pPr>
      <w:r w:rsidRPr="00C86111">
        <w:rPr>
          <w:rFonts w:asciiTheme="minorHAnsi" w:hAnsiTheme="minorHAnsi" w:cstheme="minorHAnsi"/>
        </w:rPr>
        <w:t>Zakonom je zabranjena proizvodnja, stavljanje u promet i upotreba dugotrajnih organskih zagađujućih supstanci, bilo u smjesama ili kao sastavni dio proizvoda. Međutim, zabrana iz člana 47, stav 1, ne primjenjuje se na POPs supstance koje se: koriste za laboratorijska ispitivanja ili kao referentni standard; te na supstance koje se javljaju u tragovima, čija je prisutnost u smjesama ili proizvodima nenamjerna.</w:t>
      </w:r>
    </w:p>
    <w:p w14:paraId="46C2EAB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Na osnovu navedenog Zakona donesen je </w:t>
      </w:r>
      <w:r w:rsidRPr="00C86111">
        <w:rPr>
          <w:rFonts w:asciiTheme="minorHAnsi" w:hAnsiTheme="minorHAnsi" w:cstheme="minorHAnsi"/>
          <w:b/>
          <w:bCs/>
          <w:szCs w:val="24"/>
        </w:rPr>
        <w:t>Pravilnik o bližem sadržaju i načinu vođenja katastra zagađivača životne sredine</w:t>
      </w:r>
      <w:r w:rsidRPr="00C86111">
        <w:rPr>
          <w:rFonts w:asciiTheme="minorHAnsi" w:hAnsiTheme="minorHAnsi" w:cstheme="minorHAnsi"/>
          <w:szCs w:val="24"/>
        </w:rPr>
        <w:t xml:space="preserve"> („Sl. list CG“, br. 45/17), kojim se propisuje detaljan sadržaj i način vođenja katastra, obveznici, te način i rokovi prikupljanja i dostavljanja podataka o emisijama i ispuštanju zagađujućih supstanci, kao i drugi podaci značajni za vođenje katastra zagađivača.</w:t>
      </w:r>
    </w:p>
    <w:p w14:paraId="3EB2CE3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Takođe, donesen je </w:t>
      </w:r>
      <w:r w:rsidRPr="00C86111">
        <w:rPr>
          <w:rFonts w:asciiTheme="minorHAnsi" w:hAnsiTheme="minorHAnsi" w:cstheme="minorHAnsi"/>
          <w:b/>
          <w:bCs/>
          <w:szCs w:val="24"/>
        </w:rPr>
        <w:t>Pravilnik o kriterijumima koje treba da ispunjava referentna laboratorija za monitoring životne sredine</w:t>
      </w:r>
      <w:r w:rsidRPr="00C86111">
        <w:rPr>
          <w:rFonts w:asciiTheme="minorHAnsi" w:hAnsiTheme="minorHAnsi" w:cstheme="minorHAnsi"/>
          <w:szCs w:val="24"/>
        </w:rPr>
        <w:t xml:space="preserve"> („Sl. list CG“, br. 11/17), kojim se utvrđuju standardi i zahtjevi za laboratorije koje obavljaju monitoring životne sredine.</w:t>
      </w:r>
    </w:p>
    <w:p w14:paraId="6C9CD642" w14:textId="77777777" w:rsidR="004F6023" w:rsidRPr="00C86111" w:rsidRDefault="004F6023" w:rsidP="004F6023">
      <w:pPr>
        <w:jc w:val="both"/>
        <w:rPr>
          <w:rFonts w:asciiTheme="minorHAnsi" w:hAnsiTheme="minorHAnsi" w:cstheme="minorHAnsi"/>
          <w:szCs w:val="24"/>
        </w:rPr>
      </w:pPr>
    </w:p>
    <w:p w14:paraId="13DD0AC5"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Zakonom o hemikalijama</w:t>
      </w:r>
      <w:r w:rsidRPr="00C86111">
        <w:rPr>
          <w:rFonts w:asciiTheme="minorHAnsi" w:hAnsiTheme="minorHAnsi" w:cstheme="minorHAnsi"/>
          <w:szCs w:val="24"/>
        </w:rPr>
        <w:t xml:space="preserve"> uređuje se klasifikacija, označavanje, pakovanje, stavljanje na tržište, izvoz i uvoz hemikalija, kao i druga pitanja od značaja za zaštitu zdravlja ljudi i životne sredine od štetnog uticaja hemikalija. Zakon o hemikalijama Crne Gore je, kroz proces harmonizacije, prenio ključne djelove tri važne EU uredbe:</w:t>
      </w:r>
    </w:p>
    <w:p w14:paraId="21F2EC0E" w14:textId="77777777" w:rsidR="004F6023" w:rsidRPr="00C86111" w:rsidRDefault="004F6023" w:rsidP="004F6023">
      <w:pPr>
        <w:jc w:val="both"/>
        <w:rPr>
          <w:rFonts w:asciiTheme="minorHAnsi" w:hAnsiTheme="minorHAnsi" w:cstheme="minorHAnsi"/>
          <w:szCs w:val="24"/>
        </w:rPr>
      </w:pPr>
    </w:p>
    <w:p w14:paraId="7F56894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lastRenderedPageBreak/>
        <w:t>•</w:t>
      </w:r>
      <w:r w:rsidRPr="00C86111">
        <w:rPr>
          <w:rFonts w:asciiTheme="minorHAnsi" w:hAnsiTheme="minorHAnsi" w:cstheme="minorHAnsi"/>
          <w:szCs w:val="24"/>
        </w:rPr>
        <w:tab/>
        <w:t>REACH (Regulativa (EZ) br. 1907/2006),</w:t>
      </w:r>
    </w:p>
    <w:p w14:paraId="35DE8CB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w:t>
      </w:r>
      <w:r w:rsidRPr="00C86111">
        <w:rPr>
          <w:rFonts w:asciiTheme="minorHAnsi" w:hAnsiTheme="minorHAnsi" w:cstheme="minorHAnsi"/>
          <w:szCs w:val="24"/>
        </w:rPr>
        <w:tab/>
        <w:t>CLP (Regulativa (EZ) br. 1272/2008), i</w:t>
      </w:r>
    </w:p>
    <w:p w14:paraId="35C838D8"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w:t>
      </w:r>
      <w:r w:rsidRPr="00C86111">
        <w:rPr>
          <w:rFonts w:asciiTheme="minorHAnsi" w:hAnsiTheme="minorHAnsi" w:cstheme="minorHAnsi"/>
          <w:szCs w:val="24"/>
        </w:rPr>
        <w:tab/>
        <w:t>PIC (Regulativa (EZ) br. 649/2012).</w:t>
      </w:r>
    </w:p>
    <w:p w14:paraId="5D398870" w14:textId="77777777" w:rsidR="004F6023" w:rsidRPr="00C86111" w:rsidRDefault="004F6023" w:rsidP="004F6023">
      <w:pPr>
        <w:jc w:val="both"/>
        <w:rPr>
          <w:rFonts w:asciiTheme="minorHAnsi" w:hAnsiTheme="minorHAnsi" w:cstheme="minorHAnsi"/>
          <w:szCs w:val="24"/>
        </w:rPr>
      </w:pPr>
    </w:p>
    <w:p w14:paraId="033425F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Iako se nijedna od ovih uredbi ne bavi isključivo POPs supstancama, sve tri su neposredno relevantne za kontrolu, ograničenje i razmjenu informacija o POPs hemikalijama. U okviru REACH regulative POPs supstance koje su identifikovane kao supstance koje izazivaju zabrinutost (SVHC – Substances of Very High Concern) mogu biti podvrgnute ograničenju ili zabrani kroz Aneks XVII, ili stavljenje na listu za odobravanje (Aneks XIV). Iako EU posebno reguliše POPs kroz Uredbu (EU) 2019/1021, mnoge POPs supstance (kao što su PFOA, PFOS, HBCDD, itd.) su prethodno prošle REACH evaluaciju, što je pomoglo u njihovoj zabrani. REACH propisuje i obavezu informisanja potrošača o prisustvu SVHC supstanci u proizvodima – što je ključni aspekt kontrole ne-namjernih POPs u prometu.</w:t>
      </w:r>
    </w:p>
    <w:p w14:paraId="02A0BF63" w14:textId="77777777" w:rsidR="004F6023" w:rsidRPr="00C86111" w:rsidRDefault="004F6023" w:rsidP="004F6023">
      <w:pPr>
        <w:jc w:val="both"/>
        <w:rPr>
          <w:rFonts w:asciiTheme="minorHAnsi" w:hAnsiTheme="minorHAnsi" w:cstheme="minorHAnsi"/>
          <w:szCs w:val="24"/>
        </w:rPr>
      </w:pPr>
    </w:p>
    <w:p w14:paraId="6BDADFD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Kroz CLP regulativu, Crna Gora je preuzela EU sistem klasifikacije, obavještavanja i pakovanja. Mnoge POPs supstance su klasifikovane kao karcinogene, perzistentne, bioakumulativne i toksične (PBT / vPvB). CLP omogućava jasno označavanje hemikalija koje posjeduju dugoročne hronične efekte – što je od suštinskog značaja za ranu detekciju POPs u prometu i zaštitu zdravlja.</w:t>
      </w:r>
    </w:p>
    <w:p w14:paraId="46CAA973" w14:textId="77777777" w:rsidR="004F6023" w:rsidRPr="00C86111" w:rsidRDefault="004F6023" w:rsidP="004F6023">
      <w:pPr>
        <w:jc w:val="both"/>
        <w:rPr>
          <w:rFonts w:asciiTheme="minorHAnsi" w:hAnsiTheme="minorHAnsi" w:cstheme="minorHAnsi"/>
          <w:szCs w:val="24"/>
        </w:rPr>
      </w:pPr>
    </w:p>
    <w:p w14:paraId="67D36B5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PIC uredba reguliše izvoz i uvoz određenih opasnih hemikalija, uključujući većinu POPs supstanci koje su: već zabranjene ili strogo ograničene u EU, ali se i dalje mogu naći u međunarodnoj trgovini, posebno prema trećim zemljama; predmet tzv. obaveznog prethodnog obavještenja i pristanka (Prior Informed Consent). Crna Gora, kao potpisnica Roterdamske konvencije (kojoj PIC uredba odgovara), ima zakonsku osnovu da reguliše uvoz/izvoz POPs supstanci u skladu s međunarodnim obavezama.</w:t>
      </w:r>
    </w:p>
    <w:p w14:paraId="34C96B74" w14:textId="77777777" w:rsidR="004F6023" w:rsidRPr="00C86111" w:rsidRDefault="004F6023" w:rsidP="004F6023">
      <w:pPr>
        <w:jc w:val="both"/>
        <w:rPr>
          <w:rFonts w:asciiTheme="minorHAnsi" w:hAnsiTheme="minorHAnsi" w:cstheme="minorHAnsi"/>
          <w:szCs w:val="24"/>
        </w:rPr>
      </w:pPr>
    </w:p>
    <w:p w14:paraId="2E2C173C" w14:textId="77777777" w:rsidR="004F6023" w:rsidRPr="00C86111" w:rsidRDefault="004F6023" w:rsidP="004F6023">
      <w:pPr>
        <w:jc w:val="both"/>
        <w:rPr>
          <w:rFonts w:asciiTheme="minorHAnsi" w:hAnsiTheme="minorHAnsi" w:cstheme="minorHAnsi"/>
          <w:bCs/>
          <w:szCs w:val="24"/>
        </w:rPr>
      </w:pPr>
      <w:r w:rsidRPr="00C86111">
        <w:rPr>
          <w:rFonts w:asciiTheme="minorHAnsi" w:hAnsiTheme="minorHAnsi" w:cstheme="minorHAnsi"/>
          <w:b/>
          <w:szCs w:val="24"/>
        </w:rPr>
        <w:t xml:space="preserve">U </w:t>
      </w:r>
      <w:r w:rsidRPr="00C86111">
        <w:rPr>
          <w:rFonts w:asciiTheme="minorHAnsi" w:hAnsiTheme="minorHAnsi" w:cstheme="minorHAnsi"/>
          <w:b/>
          <w:bCs/>
          <w:szCs w:val="24"/>
        </w:rPr>
        <w:t>Prilogu 1 Pravilnika o listi opasnih hemikalija i proizvoda čiji je izvoz zabranjen</w:t>
      </w:r>
      <w:r w:rsidRPr="00C86111">
        <w:rPr>
          <w:rFonts w:asciiTheme="minorHAnsi" w:hAnsiTheme="minorHAnsi" w:cstheme="minorHAnsi"/>
          <w:b/>
          <w:szCs w:val="24"/>
        </w:rPr>
        <w:t xml:space="preserve"> („Sl. list CG“, br. 71/18) </w:t>
      </w:r>
      <w:r w:rsidRPr="00C86111">
        <w:rPr>
          <w:rFonts w:asciiTheme="minorHAnsi" w:hAnsiTheme="minorHAnsi" w:cstheme="minorHAnsi"/>
          <w:bCs/>
          <w:szCs w:val="24"/>
        </w:rPr>
        <w:t>navedene su POPs supstance sa lista iz Aneksa A i B Stokholmske konvencije. Ovim pravilnikom obuhvaćene su sve POPs supstance koje su uvrštene 2009. i 2011. godine.</w:t>
      </w:r>
    </w:p>
    <w:p w14:paraId="6C842752" w14:textId="77777777" w:rsidR="004F6023" w:rsidRPr="00C86111" w:rsidRDefault="004F6023" w:rsidP="004F6023">
      <w:pPr>
        <w:jc w:val="both"/>
        <w:rPr>
          <w:rFonts w:asciiTheme="minorHAnsi" w:hAnsiTheme="minorHAnsi" w:cstheme="minorHAnsi"/>
          <w:szCs w:val="24"/>
        </w:rPr>
      </w:pPr>
    </w:p>
    <w:p w14:paraId="24E55C6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 o bližem sadržaju prethodnog obavještavanja za izvoz hemikalija</w:t>
      </w:r>
      <w:r w:rsidRPr="00C86111">
        <w:rPr>
          <w:rFonts w:asciiTheme="minorHAnsi" w:hAnsiTheme="minorHAnsi" w:cstheme="minorHAnsi"/>
          <w:szCs w:val="24"/>
        </w:rPr>
        <w:t xml:space="preserve"> ("Sl. list CG", br. 061/17) definiše izvoz hemikalija na osnovu obavještenja i izvoz hemikalija na osnovu davanja saglasnosti po prethodnom obavještavanju. Na primjer, endosulfan se nalazi na Listi hemikalija za postupak davanja saglasnosti na osnovu prethodnog obavještenja, dok je pentahlorofenol i njegove soli i estri (POPs koji je dodat 2015. godine) hemikalija  koja podliježe PIC postupku. </w:t>
      </w:r>
    </w:p>
    <w:p w14:paraId="0E173071" w14:textId="77777777" w:rsidR="004F6023" w:rsidRPr="00C86111" w:rsidRDefault="004F6023" w:rsidP="004F6023">
      <w:pPr>
        <w:jc w:val="both"/>
        <w:rPr>
          <w:rFonts w:asciiTheme="minorHAnsi" w:hAnsiTheme="minorHAnsi" w:cstheme="minorHAnsi"/>
          <w:szCs w:val="24"/>
        </w:rPr>
      </w:pPr>
    </w:p>
    <w:p w14:paraId="2AAA220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POPs se mogu koristiti u skladu sa </w:t>
      </w:r>
      <w:r w:rsidRPr="00C86111">
        <w:rPr>
          <w:rFonts w:asciiTheme="minorHAnsi" w:hAnsiTheme="minorHAnsi" w:cstheme="minorHAnsi"/>
          <w:b/>
          <w:szCs w:val="24"/>
        </w:rPr>
        <w:t>Uredbom o zabranjenim odnosno dozvoljenim načinima upotrebe, proizvodnje i stavljanja na tržište hemikalija koje predstavljaju neprihvatljiv rizik po zdravlje ljudi i životnu sredinu</w:t>
      </w:r>
      <w:r w:rsidRPr="00C86111">
        <w:rPr>
          <w:rFonts w:asciiTheme="minorHAnsi" w:hAnsiTheme="minorHAnsi" w:cstheme="minorHAnsi"/>
          <w:szCs w:val="24"/>
        </w:rPr>
        <w:t xml:space="preserve"> ("Sl. list CG", br. 70/18). Uredba u potpunosti prenosi Anekse I i II POPs Regulative kao i sve najnovije izmjene Aneksa XVII REACH Regulative (Regulativa 519/2012 o izmjenama Regulative br: 850/2004 Evropskog parlamenta i Savjeta o POPs u vezi Aneksa I, Regulativa 2016/293 o izmjenama Regulative br: 850/2004 Evropskog parlamenta i Savjeta o POPs u vezi Aneksa I). </w:t>
      </w:r>
    </w:p>
    <w:p w14:paraId="5BE89BF1" w14:textId="77777777" w:rsidR="004F6023" w:rsidRPr="00C86111" w:rsidRDefault="004F6023" w:rsidP="004F6023">
      <w:pPr>
        <w:jc w:val="both"/>
        <w:rPr>
          <w:rFonts w:asciiTheme="minorHAnsi" w:hAnsiTheme="minorHAnsi" w:cstheme="minorHAnsi"/>
          <w:szCs w:val="24"/>
        </w:rPr>
      </w:pPr>
    </w:p>
    <w:p w14:paraId="05B3633E"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lastRenderedPageBreak/>
        <w:t>Pravilnik o listi supstanci koje izazivaju visoku zabrinutost</w:t>
      </w:r>
      <w:r w:rsidRPr="00C86111">
        <w:rPr>
          <w:rFonts w:asciiTheme="minorHAnsi" w:hAnsiTheme="minorHAnsi" w:cstheme="minorHAnsi"/>
          <w:szCs w:val="24"/>
        </w:rPr>
        <w:t xml:space="preserve"> ("Službeni list Crne Gore", br. 065/17, 037/21, 064/22) koji sadrži listu SVHC supstanci koje su identifikovane prema kriterijumima iz člana 57 REACH regulative (npr. kancerogene, mutagene, toksične za reprodukciju, dugotrajne i bioakumulativne). Njegova svrha je da identifikuje i objavi listu supstanci koje se smatraju za supstance od visokog značaja za zdravlje ljudi i životnu sredinu (tzv. SVHC – Substances of Very High Concern), da doprinese kontroli, ograničenju ili zamjeni tih supstanci bezbjednijim alternativama. Ovaj pravilnik je donesen na osnovu Zakona o hemikalijama i predstavlja dio procesa usklađivanja sa pravnom tekovinom EU.</w:t>
      </w:r>
    </w:p>
    <w:p w14:paraId="4DF2EA35"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7B0FE54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Zakonom o sredstvima za zaštitu bilja</w:t>
      </w:r>
      <w:r w:rsidRPr="00C86111">
        <w:rPr>
          <w:rFonts w:asciiTheme="minorHAnsi" w:hAnsiTheme="minorHAnsi" w:cstheme="minorHAnsi"/>
          <w:szCs w:val="24"/>
        </w:rPr>
        <w:t xml:space="preserve"> uređuje se način klasifikacije, registracija, promet i upotreba sredstava za zaštitu bilja i aktivnih materija, maksimalno dozvoljeni nivo rezidua sredstava za zaštitu bilja, način vođenja registara i evidencija, razmjena podataka i druga pitanja od značaja za sredstva za zaštitu bilja. Zakonom se uređuje i način registracije sredstava za zaštitu bilja koja sadrže, sastoje se ili su dobijeni od genetički modifikovanih organizama, pod uslovom da je ispuštanje tih organizama u životnu sredinu dozvoljeno samo na osnovu procjene rizika za životnu sredinu, u skladu sa zakonom kojim se uređuju genetički modifikovani organizmi. Na osnovu ovog zakona objavljena je lista aktivnih materija, dozvoljenih za primjenu u poljoprivredi.</w:t>
      </w:r>
    </w:p>
    <w:p w14:paraId="2BDC599F" w14:textId="77777777" w:rsidR="004F6023" w:rsidRPr="00C86111" w:rsidRDefault="004F6023" w:rsidP="004F6023">
      <w:pPr>
        <w:jc w:val="both"/>
        <w:rPr>
          <w:rFonts w:asciiTheme="minorHAnsi" w:hAnsiTheme="minorHAnsi" w:cstheme="minorHAnsi"/>
          <w:szCs w:val="24"/>
        </w:rPr>
      </w:pPr>
    </w:p>
    <w:p w14:paraId="3F66E77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Zakonom o zaštiti vazduha</w:t>
      </w:r>
      <w:r w:rsidRPr="00C86111">
        <w:rPr>
          <w:rFonts w:asciiTheme="minorHAnsi" w:hAnsiTheme="minorHAnsi" w:cstheme="minorHAnsi"/>
          <w:szCs w:val="24"/>
        </w:rPr>
        <w:t xml:space="preserve"> uređuje se način praćenja kvaliteta vazduha, mjere zaštite, ocjenjivanje i poboljšanje kvaliteta vazduha, kao i planiranje i upravljanje kvalitetom vazduha. </w:t>
      </w:r>
      <w:r w:rsidRPr="00C86111">
        <w:rPr>
          <w:rFonts w:asciiTheme="minorHAnsi" w:hAnsiTheme="minorHAnsi" w:cstheme="minorHAnsi"/>
          <w:b/>
          <w:bCs/>
          <w:szCs w:val="24"/>
        </w:rPr>
        <w:t>Uredbom o graničnim vrijednostima emisija zagađujućih materija u vazduh iz stacionarnih izvora</w:t>
      </w:r>
      <w:r w:rsidRPr="00C86111">
        <w:rPr>
          <w:rFonts w:asciiTheme="minorHAnsi" w:hAnsiTheme="minorHAnsi" w:cstheme="minorHAnsi"/>
          <w:szCs w:val="24"/>
        </w:rPr>
        <w:t xml:space="preserve"> („Službeni list CG" br: 10/11, 129/21) koja je donešena na osnovu ovog zakona utvrđena je opšta granična vrijednost emisije polihlorovanih dibenzodioksina (PCDD) i polihlorovanih dibenzofurana (dioksini i furani). </w:t>
      </w:r>
    </w:p>
    <w:p w14:paraId="69CB0E6E" w14:textId="77777777" w:rsidR="004F6023" w:rsidRPr="00C86111" w:rsidRDefault="004F6023" w:rsidP="004F6023">
      <w:pPr>
        <w:jc w:val="both"/>
        <w:rPr>
          <w:rFonts w:asciiTheme="minorHAnsi" w:hAnsiTheme="minorHAnsi" w:cstheme="minorHAnsi"/>
          <w:szCs w:val="24"/>
        </w:rPr>
      </w:pPr>
    </w:p>
    <w:p w14:paraId="2DF58D5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Zakonom o upravljanju otpadom</w:t>
      </w:r>
      <w:r w:rsidRPr="00C86111">
        <w:rPr>
          <w:rFonts w:asciiTheme="minorHAnsi" w:hAnsiTheme="minorHAnsi" w:cstheme="minorHAnsi"/>
          <w:szCs w:val="24"/>
        </w:rPr>
        <w:t xml:space="preserve"> uređuju se vrste i klasifikacija otpada, planiranje, uslovi i način upravljanja otpadom i druga pitanja od značaja za upravljanje otpadom. Ovim zakonom su definisani polihlorovani bifenili (PCB) kao jedinjenja koja obuhvataju polihlorovane terfenile, monometil-tetrahlorodifenil metan, monometil-dihloro-difenil metan, monometil-dibromo-difenil metan, bilo koju smješu koja sadrži te supstance ukupnog masenog udjela većeg od 0,005 % i POPs otpad, kao otpad koji sadrži ili je kontaminiran dugotrajnim organskim zagađujućim supstancama u skladu sa zakonom kojim je uređena životna sredina i potvrđenim međunarodnim ugovorima. Takođe, ovim zakonom zabranjena je prerada PCB i ambalaže koja sadrži PCB i postupci odstranjivanja ili prerade koji mogu dovesti do recikliranja ili ponovne upotrebe POPs u samostalnom obliku.</w:t>
      </w:r>
    </w:p>
    <w:p w14:paraId="403D2F35" w14:textId="77777777" w:rsidR="004F6023" w:rsidRPr="00C86111" w:rsidRDefault="004F6023" w:rsidP="004F6023">
      <w:pPr>
        <w:jc w:val="both"/>
        <w:rPr>
          <w:rFonts w:asciiTheme="minorHAnsi" w:hAnsiTheme="minorHAnsi" w:cstheme="minorHAnsi"/>
          <w:szCs w:val="24"/>
        </w:rPr>
      </w:pPr>
    </w:p>
    <w:p w14:paraId="0648D8D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 o klasifikaciji otpada, katalogu otpada, postupcima obrade otpada, odnosno prerade i odstranjivanja otpada</w:t>
      </w:r>
      <w:r w:rsidRPr="00C86111">
        <w:rPr>
          <w:rFonts w:asciiTheme="minorHAnsi" w:hAnsiTheme="minorHAnsi" w:cstheme="minorHAnsi"/>
          <w:szCs w:val="24"/>
        </w:rPr>
        <w:t xml:space="preserve"> propisuje klasifikaciju otpada, katalog otpada, postupke obrade, odnosno prerade i odstranjivanja otpada, </w:t>
      </w:r>
    </w:p>
    <w:p w14:paraId="33B3D972" w14:textId="77777777" w:rsidR="004F6023" w:rsidRPr="00C86111" w:rsidRDefault="004F6023" w:rsidP="004F6023">
      <w:pPr>
        <w:jc w:val="both"/>
        <w:rPr>
          <w:rFonts w:asciiTheme="minorHAnsi" w:hAnsiTheme="minorHAnsi" w:cstheme="minorHAnsi"/>
          <w:szCs w:val="24"/>
        </w:rPr>
      </w:pPr>
    </w:p>
    <w:p w14:paraId="15A9B16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 o listi POPs supstanci, načinu i postupku za upravljanje POPs otpadom i granične vrijednosti koncentracija POPs materija koje se odnose na preradu i odstranjivanje otpada koji sadrži ili je kontaminiran POPs supstancama</w:t>
      </w:r>
      <w:r w:rsidRPr="00C86111">
        <w:rPr>
          <w:rFonts w:asciiTheme="minorHAnsi" w:hAnsiTheme="minorHAnsi" w:cstheme="minorHAnsi"/>
          <w:szCs w:val="24"/>
        </w:rPr>
        <w:t xml:space="preserve"> propisuje listu POPs supstanci, način i postupak za </w:t>
      </w:r>
      <w:r w:rsidRPr="00C86111">
        <w:rPr>
          <w:rFonts w:asciiTheme="minorHAnsi" w:hAnsiTheme="minorHAnsi" w:cstheme="minorHAnsi"/>
          <w:szCs w:val="24"/>
        </w:rPr>
        <w:lastRenderedPageBreak/>
        <w:t>upravljanje POPs otpadom i granične vrijednosti koncentracija POPs materija koje se odnose na preradu i odstranjivanje otpada koji sadrži ili je kontaminiran POPs supstancama.</w:t>
      </w:r>
    </w:p>
    <w:p w14:paraId="2A0663E0" w14:textId="77777777" w:rsidR="004F6023" w:rsidRPr="00C86111" w:rsidRDefault="004F6023" w:rsidP="004F6023">
      <w:pPr>
        <w:jc w:val="both"/>
        <w:rPr>
          <w:rFonts w:asciiTheme="minorHAnsi" w:hAnsiTheme="minorHAnsi" w:cstheme="minorHAnsi"/>
          <w:szCs w:val="24"/>
        </w:rPr>
      </w:pPr>
    </w:p>
    <w:p w14:paraId="52326476"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 o postupanju sa otpadnim uljima</w:t>
      </w:r>
      <w:r w:rsidRPr="00C86111">
        <w:rPr>
          <w:rFonts w:asciiTheme="minorHAnsi" w:hAnsiTheme="minorHAnsi" w:cstheme="minorHAnsi"/>
          <w:szCs w:val="24"/>
        </w:rPr>
        <w:t xml:space="preserve"> propisuje postupanje sa otpadnim uljima u skladu sa tehničkim i tehnološkim uslovima obrade otpadnih ulja. Sakupljač otpadnih ulja, na svakih 200 t preuzetih otpadnih ulja vrši provjeru sadržaja vode i PCB u otpadnom ulju. Provjera sadržaja PCB u otpadnim uljima vrši se u skladu sa standardima EN 12766-1 i EN 12766-2. U skladu sa zakonom, ako se utvrdi da je masa PCB u otpadnom ulju veća od 0,005% mase otpadnog ulja sakupljač otpadnih ulja može da odbije preuzimanje tog otpadnog ulja i obavijesti nadležnog inspektora.</w:t>
      </w:r>
    </w:p>
    <w:p w14:paraId="7244E5C5" w14:textId="77777777" w:rsidR="004F6023" w:rsidRPr="00C86111" w:rsidRDefault="004F6023" w:rsidP="004F6023">
      <w:pPr>
        <w:jc w:val="both"/>
        <w:rPr>
          <w:rFonts w:asciiTheme="minorHAnsi" w:hAnsiTheme="minorHAnsi" w:cstheme="minorHAnsi"/>
          <w:szCs w:val="24"/>
        </w:rPr>
      </w:pPr>
    </w:p>
    <w:p w14:paraId="582FADC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 o načinu sačinjavanja plana upravljanja i postupanju sa otpadom i opremom koja sadrži polihlorovane bifenile</w:t>
      </w:r>
      <w:r w:rsidRPr="00C86111">
        <w:rPr>
          <w:rFonts w:asciiTheme="minorHAnsi" w:hAnsiTheme="minorHAnsi" w:cstheme="minorHAnsi"/>
          <w:szCs w:val="24"/>
        </w:rPr>
        <w:t xml:space="preserve"> propisuje način sačinjavanja plana upravljanja, način i postupak vođenja evidencije o opremi i otpadnim polihlorovanim bifenilima, količinama polihlorovanih bifenila, način označavanja dekontaminirane opreme, način i postupak obrade polihlorovanih bifenila, otpada koji sadrži polihlorovane bifenile i dekontaminaciji opreme i najmanjim količinama polihlorovanih bifenila u opremi.</w:t>
      </w:r>
    </w:p>
    <w:p w14:paraId="382A84D5" w14:textId="77777777" w:rsidR="004F6023" w:rsidRPr="00C86111" w:rsidRDefault="004F6023" w:rsidP="004F6023">
      <w:pPr>
        <w:jc w:val="both"/>
        <w:rPr>
          <w:rFonts w:asciiTheme="minorHAnsi" w:hAnsiTheme="minorHAnsi" w:cstheme="minorHAnsi"/>
          <w:szCs w:val="24"/>
        </w:rPr>
      </w:pPr>
    </w:p>
    <w:p w14:paraId="5236BB8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Pravilnikom o sakupljanju i predaji otpadnih vozila čiji je imalac nepoznat</w:t>
      </w:r>
      <w:r w:rsidRPr="00C86111">
        <w:rPr>
          <w:rFonts w:asciiTheme="minorHAnsi" w:hAnsiTheme="minorHAnsi" w:cstheme="minorHAnsi"/>
          <w:szCs w:val="24"/>
        </w:rPr>
        <w:t xml:space="preserve"> ("Sl. list CG", br. 47/13) reguliše pitanje otpadnih vozila čiji je imalac nepoznat, vozila koja nijesu registrovana, nemaju registarske tablicae i o kojima se niko ne stara. Za navedena vozila, koja se nalaze na javnim površinama (javni putevi, gradske ulice i ulice u naseljima, parkovi, prostori za parkiranje, vodna zemljišta) pravna lica koja upravljaju tim površinama (komunalna preduzeća, pravna lica koja upravljaju javnim putevima, morskim dobrom, nacionalnim parkovima i vodama) obezbjeđuju sakupljanje i predaju na prijemno mjesto odnosno postrojenje za obradu. Vozila koja se nalaze na drugim nepokretnostima, a koje nijesu javne površine sakupljaju i predaju na prijemno mjesto odnosno postrojenje za obradu vlasnici tih nepokretnosti. </w:t>
      </w:r>
    </w:p>
    <w:p w14:paraId="18C58702" w14:textId="77777777" w:rsidR="004F6023" w:rsidRPr="00C86111" w:rsidRDefault="004F6023" w:rsidP="004F6023">
      <w:pPr>
        <w:jc w:val="both"/>
        <w:rPr>
          <w:rFonts w:asciiTheme="minorHAnsi" w:hAnsiTheme="minorHAnsi" w:cstheme="minorHAnsi"/>
          <w:szCs w:val="24"/>
        </w:rPr>
      </w:pPr>
    </w:p>
    <w:p w14:paraId="6CD92473"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Pravilnikom o graničnim vrijednostima prisustva opasnih materija u električnim i elektronskim proizvodima</w:t>
      </w:r>
      <w:r w:rsidRPr="00C86111">
        <w:rPr>
          <w:rFonts w:asciiTheme="minorHAnsi" w:hAnsiTheme="minorHAnsi" w:cstheme="minorHAnsi"/>
          <w:szCs w:val="24"/>
        </w:rPr>
        <w:t xml:space="preserve"> ("Sl. list CG", br. 067/18) propisane su granične vrijednosti za većinu novih POPs (c-penta BDE, c-octa BDE) u skladu sa RoHS Direktivom 2011/65/EC.</w:t>
      </w:r>
    </w:p>
    <w:p w14:paraId="61584FFA" w14:textId="77777777" w:rsidR="004F6023" w:rsidRPr="00C86111" w:rsidRDefault="004F6023" w:rsidP="004F6023">
      <w:pPr>
        <w:jc w:val="both"/>
        <w:rPr>
          <w:rFonts w:asciiTheme="minorHAnsi" w:hAnsiTheme="minorHAnsi" w:cstheme="minorHAnsi"/>
          <w:szCs w:val="24"/>
        </w:rPr>
      </w:pPr>
    </w:p>
    <w:p w14:paraId="140121EF" w14:textId="77777777" w:rsidR="004F6023" w:rsidRPr="00C86111" w:rsidRDefault="004F6023" w:rsidP="004F6023">
      <w:pPr>
        <w:jc w:val="both"/>
        <w:rPr>
          <w:rFonts w:asciiTheme="minorHAnsi" w:hAnsiTheme="minorHAnsi" w:cstheme="minorHAnsi"/>
          <w:szCs w:val="24"/>
        </w:rPr>
      </w:pPr>
    </w:p>
    <w:p w14:paraId="0A7F87D3"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 o dozvoljenim količinama opasnih i štetnih materija u zemljištu i metodama za njihovo ispitivanje</w:t>
      </w:r>
      <w:r w:rsidRPr="00C86111">
        <w:rPr>
          <w:rFonts w:asciiTheme="minorHAnsi" w:hAnsiTheme="minorHAnsi" w:cstheme="minorHAnsi"/>
          <w:szCs w:val="24"/>
        </w:rPr>
        <w:t xml:space="preserve"> propisuje maksimalno dozvoljene količine opasnih i štetnih materija u zemljištu, koje mogu da dovedu do njegovog zagađenja, a koje nastaju nepravilnom upotrebom mineralnih đubriva i sredstava za zaštitu bilja od strane pravnih i fizičkih lica kao i ispuštanjem otpadnih materija iz raznih izvora. Maksimalno dozvoljene količine sredstava za zaštitu bilja u zemljištu iznose za:organohlorne preparate DDT + DDD + DDE 0,01 mg/kg. Maksimalno dozvoljene količine toksičnih i kancerogenih materija u zemljištu iznose za polihlorovane bifenile i terfenile (PCBs i PTC) za svaki od kongenera (28, 52, 101, 118, 138, 153 i 180) 0,004 mg/kg.</w:t>
      </w:r>
    </w:p>
    <w:p w14:paraId="598A4D64" w14:textId="77777777" w:rsidR="004F6023" w:rsidRPr="00C86111" w:rsidRDefault="004F6023" w:rsidP="004F6023">
      <w:pPr>
        <w:jc w:val="both"/>
        <w:rPr>
          <w:rFonts w:asciiTheme="minorHAnsi" w:hAnsiTheme="minorHAnsi" w:cstheme="minorHAnsi"/>
          <w:szCs w:val="24"/>
        </w:rPr>
      </w:pPr>
    </w:p>
    <w:p w14:paraId="29C7E7D2" w14:textId="77777777" w:rsidR="004F6023" w:rsidRPr="00C86111" w:rsidRDefault="004F6023" w:rsidP="004F6023">
      <w:pPr>
        <w:jc w:val="both"/>
        <w:rPr>
          <w:rFonts w:asciiTheme="minorHAnsi" w:hAnsiTheme="minorHAnsi" w:cstheme="minorHAnsi"/>
          <w:b/>
          <w:szCs w:val="24"/>
        </w:rPr>
      </w:pPr>
      <w:r w:rsidRPr="00C86111">
        <w:rPr>
          <w:rFonts w:asciiTheme="minorHAnsi" w:hAnsiTheme="minorHAnsi" w:cstheme="minorHAnsi"/>
          <w:b/>
          <w:szCs w:val="24"/>
        </w:rPr>
        <w:t>Programom za unaprjeđenje sistema za postupanje i upravljanje otpadom odnosno za postupanje sa ambalažom nakon upotrebe pesticida za 2024. godinu</w:t>
      </w:r>
      <w:r w:rsidRPr="00C86111">
        <w:rPr>
          <w:rFonts w:ascii="Cambria Math" w:hAnsi="Cambria Math" w:cs="Cambria Math"/>
          <w:b/>
          <w:szCs w:val="24"/>
        </w:rPr>
        <w:t>∗</w:t>
      </w:r>
      <w:r w:rsidRPr="00C86111">
        <w:rPr>
          <w:rFonts w:asciiTheme="minorHAnsi" w:hAnsiTheme="minorHAnsi" w:cstheme="minorHAnsi"/>
          <w:b/>
          <w:szCs w:val="24"/>
        </w:rPr>
        <w:t xml:space="preserve"> </w:t>
      </w:r>
      <w:r w:rsidRPr="00C86111">
        <w:rPr>
          <w:rFonts w:asciiTheme="minorHAnsi" w:hAnsiTheme="minorHAnsi" w:cstheme="minorHAnsi"/>
          <w:szCs w:val="24"/>
        </w:rPr>
        <w:t xml:space="preserve">određeni su prioriteti u skladu sa analizom rizika, na osnovu veličine poljoprivrednih površina, radi utvrđivanja </w:t>
      </w:r>
      <w:r w:rsidRPr="00C86111">
        <w:rPr>
          <w:rFonts w:asciiTheme="minorHAnsi" w:hAnsiTheme="minorHAnsi" w:cstheme="minorHAnsi"/>
          <w:szCs w:val="24"/>
        </w:rPr>
        <w:lastRenderedPageBreak/>
        <w:t>nepravilnostima sa ciljem sistema za postupanje i upravljanje otpadom odnosno za postupanje sa ambalažom nakon upotrebe pesticida i utvrđivanja stanja na gazdinstvima na kojima se upotrebljavaju pesticidi.</w:t>
      </w:r>
      <w:r w:rsidRPr="00C86111">
        <w:rPr>
          <w:rFonts w:asciiTheme="minorHAnsi" w:hAnsiTheme="minorHAnsi" w:cstheme="minorHAnsi"/>
          <w:b/>
          <w:szCs w:val="24"/>
        </w:rPr>
        <w:t xml:space="preserve"> </w:t>
      </w:r>
      <w:r w:rsidRPr="00C86111">
        <w:rPr>
          <w:rFonts w:asciiTheme="minorHAnsi" w:hAnsiTheme="minorHAnsi" w:cstheme="minorHAnsi"/>
          <w:szCs w:val="24"/>
        </w:rPr>
        <w:t>Program ima za cilj utvrđivanje nepravilnosti radi njihovog otklanjanja i sprovođenja pravovremenih aktivnosti u cilju otklanjanja potencijalne opasnosti za ljude, bilje, životinje ili životnu sredinu.</w:t>
      </w:r>
    </w:p>
    <w:p w14:paraId="75152BBE" w14:textId="77777777" w:rsidR="004F6023" w:rsidRPr="00C86111" w:rsidRDefault="004F6023" w:rsidP="004F6023">
      <w:pPr>
        <w:jc w:val="both"/>
        <w:rPr>
          <w:rFonts w:asciiTheme="minorHAnsi" w:hAnsiTheme="minorHAnsi" w:cstheme="minorHAnsi"/>
          <w:szCs w:val="24"/>
        </w:rPr>
      </w:pPr>
    </w:p>
    <w:p w14:paraId="483C0AA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bCs/>
          <w:szCs w:val="24"/>
        </w:rPr>
        <w:t>Kontrola emisija PCDD/PCDF-a, (</w:t>
      </w:r>
      <w:r w:rsidRPr="00C86111">
        <w:rPr>
          <w:rFonts w:asciiTheme="minorHAnsi" w:hAnsiTheme="minorHAnsi" w:cstheme="minorHAnsi"/>
          <w:szCs w:val="24"/>
        </w:rPr>
        <w:t xml:space="preserve">dioksina i furana) HCB-a (heksahlorbenzena), PCB-a (polihlorovanih bifenila) i pentahlorbenzena PeCB u vrši se kroz set podzakonskih akata donešenih na osnovu </w:t>
      </w:r>
      <w:r w:rsidRPr="00C86111">
        <w:rPr>
          <w:rFonts w:asciiTheme="minorHAnsi" w:hAnsiTheme="minorHAnsi" w:cstheme="minorHAnsi"/>
          <w:b/>
          <w:bCs/>
          <w:szCs w:val="24"/>
        </w:rPr>
        <w:t xml:space="preserve">Zakona o zaštiti vazduha i Zakona o zaštiti od negativnih uticaja klimatskih promjena </w:t>
      </w:r>
      <w:r w:rsidRPr="00C86111">
        <w:rPr>
          <w:rFonts w:asciiTheme="minorHAnsi" w:hAnsiTheme="minorHAnsi" w:cstheme="minorHAnsi"/>
          <w:szCs w:val="24"/>
        </w:rPr>
        <w:t>, i to:</w:t>
      </w:r>
    </w:p>
    <w:p w14:paraId="4271F24D"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Uredba o utvrđivanju vrsta zagađujućih materija, graničnih vrijednosti i drugih standarda kvaliteta vazduha (”Sl. list CG", br. 25/12);</w:t>
      </w:r>
    </w:p>
    <w:p w14:paraId="286945F2"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Uredba o uspostavljanju mreže mjernih mjesta za praćenje kvaliteta vazduha (Sl. list CG", br.044/10, 013/11, 64/18), kojom se utvrđuju zone kvaliteta vazduha u Crnoj Gori, kriterijumi za određivanje lokacija mjernih mjesta i minimalnog broja mjernih mjesta, smanjivanje broja mjernih mjesta, broj, raspored i tačne lokacije mjernih mjesta, njihova namjena i karakteristike i vrste zagađujućih materija čije se koncentracije prate za svako mjerno mjesto pojedinačno;</w:t>
      </w:r>
    </w:p>
    <w:p w14:paraId="69AD23D0"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Uredba o graničnim vrijednostima emisija zagađujućih materija u vazduh iz stacionarnih izvora ("Sl.list CG", br. 10/11, 129/21), kojom se propisuju granične vrijednosti emisija zagađujućih materija i druge mjere zaštite vazduha od emisija iz stacionarnih izvora i aktivnosti koje uzrokuju emisije zagađujućih materija u vazduh;</w:t>
      </w:r>
    </w:p>
    <w:p w14:paraId="3243C6AB"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Uredba o graničnim vrijednostima sadržaja zagađujućih materija u tečnim gorivima naftnog porijekla (”Sl.list CG", br. 17/17);</w:t>
      </w:r>
    </w:p>
    <w:p w14:paraId="6D295B5F"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Uredba o maksimalnim nacionalnim emisijama određenih zagađujućih materija ("Sl. list CG", br. 3/12);</w:t>
      </w:r>
    </w:p>
    <w:p w14:paraId="66A32FC4"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Pravilnik o načinu i uslovima praćenja kvaliteta vazduha ("Sl. list CG", br. 21/11, 32/16);</w:t>
      </w:r>
    </w:p>
    <w:p w14:paraId="1D6C4D8B"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Pravilnik o sadržaju i načinu izrade godišnje informacije o kvalitetu vazduha ("Sl. list CG", br. 27/12);</w:t>
      </w:r>
    </w:p>
    <w:p w14:paraId="5EE79114" w14:textId="77777777" w:rsidR="004F6023" w:rsidRPr="00C86111" w:rsidRDefault="004F6023" w:rsidP="007E2AA5">
      <w:pPr>
        <w:pStyle w:val="ListParagraph"/>
        <w:numPr>
          <w:ilvl w:val="0"/>
          <w:numId w:val="6"/>
        </w:numPr>
        <w:jc w:val="both"/>
        <w:rPr>
          <w:rFonts w:asciiTheme="minorHAnsi" w:hAnsiTheme="minorHAnsi" w:cstheme="minorHAnsi"/>
          <w:szCs w:val="24"/>
        </w:rPr>
      </w:pPr>
      <w:r w:rsidRPr="00C86111">
        <w:rPr>
          <w:rFonts w:asciiTheme="minorHAnsi" w:hAnsiTheme="minorHAnsi" w:cstheme="minorHAnsi"/>
          <w:szCs w:val="24"/>
        </w:rPr>
        <w:t>Uredba o supstancama koje oštećuju ozonski omotač i alternativnim supstancama ("Sl. list CG", br. 79/21).</w:t>
      </w:r>
    </w:p>
    <w:p w14:paraId="74B5A652" w14:textId="77777777" w:rsidR="004F6023" w:rsidRPr="00C86111" w:rsidRDefault="004F6023" w:rsidP="004F6023">
      <w:pPr>
        <w:jc w:val="both"/>
        <w:rPr>
          <w:rFonts w:asciiTheme="minorHAnsi" w:hAnsiTheme="minorHAnsi" w:cstheme="minorHAnsi"/>
          <w:szCs w:val="24"/>
        </w:rPr>
      </w:pPr>
    </w:p>
    <w:p w14:paraId="77BA93DE"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Takođe, </w:t>
      </w:r>
      <w:r w:rsidRPr="00C86111">
        <w:rPr>
          <w:rFonts w:asciiTheme="minorHAnsi" w:hAnsiTheme="minorHAnsi" w:cstheme="minorHAnsi"/>
          <w:b/>
          <w:bCs/>
          <w:szCs w:val="24"/>
        </w:rPr>
        <w:t>Zakon o industrijskim emisijama</w:t>
      </w:r>
      <w:r w:rsidRPr="00C86111">
        <w:rPr>
          <w:rFonts w:asciiTheme="minorHAnsi" w:hAnsiTheme="minorHAnsi" w:cstheme="minorHAnsi"/>
          <w:szCs w:val="24"/>
        </w:rPr>
        <w:t xml:space="preserve"> daje instrumente za sprovođenje mjera koje se odnose na smanjenje ili eliminaciju ispuštanja nenamjerno proizvedenih POPs u skladu sa članom 5 Stokholmske konvencije. </w:t>
      </w:r>
      <w:r w:rsidRPr="00C86111">
        <w:rPr>
          <w:rFonts w:asciiTheme="minorHAnsi" w:hAnsiTheme="minorHAnsi" w:cstheme="minorHAnsi"/>
          <w:b/>
          <w:szCs w:val="24"/>
        </w:rPr>
        <w:t>Pravilnik o kriterijumima za određivanje najboljih dostupnih tehnika radi zaštite životne sredine i listi zagađujućih supstanci iz industrijskih postrojenja</w:t>
      </w:r>
      <w:r w:rsidRPr="00C86111">
        <w:rPr>
          <w:rFonts w:asciiTheme="minorHAnsi" w:hAnsiTheme="minorHAnsi" w:cstheme="minorHAnsi"/>
          <w:szCs w:val="24"/>
        </w:rPr>
        <w:t xml:space="preserve"> ("Službeni list Crne Gore", br. 035/19 od 24.06.2019) utvrđuje kriterijume za određivanje najboljih dostupnih tehnika, radi zaštite životne sredine i listu zagađujućih supstanci iz industrijskih postrojenja (emisija u vazduh).</w:t>
      </w:r>
    </w:p>
    <w:p w14:paraId="4BC7A40F" w14:textId="77777777" w:rsidR="004F6023" w:rsidRPr="00C86111" w:rsidRDefault="004F6023" w:rsidP="004F6023">
      <w:pPr>
        <w:jc w:val="both"/>
        <w:rPr>
          <w:rFonts w:asciiTheme="minorHAnsi" w:hAnsiTheme="minorHAnsi" w:cstheme="minorHAnsi"/>
          <w:szCs w:val="24"/>
        </w:rPr>
      </w:pPr>
    </w:p>
    <w:p w14:paraId="44EDA96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Kontrola upotrebe sredstava za zaštitu bilja (pesticida) vrši se sprovođenjem Programa monitoringa rezidua pesticida u hrani biljnog i životinjskog porijekla koji se donosi svake godine. Program monitoringa rezidua pesticida u hrani biljnog i životinjskog porijekla za 2025. godinu objavljen je u („Službenom listu CG" br. 48/25). Program se sprovodi u cilju procjene ugroženosti </w:t>
      </w:r>
      <w:r w:rsidRPr="00C86111">
        <w:rPr>
          <w:rFonts w:asciiTheme="minorHAnsi" w:hAnsiTheme="minorHAnsi" w:cstheme="minorHAnsi"/>
          <w:szCs w:val="24"/>
        </w:rPr>
        <w:lastRenderedPageBreak/>
        <w:t xml:space="preserve">zdravlja stanovništva i primjene propisa, a u skladu sa propisanim nivoima rezidua pesticida utvrđenih Pravilnikom o maksimalnom nivou rezidua sredstava za zaštitu bilja na ili u bilju, biljnim proizvodima, hrani ili hrani za životinje ("Službeni list CG", br. 21/15, 44/15, 34/19, 82/20, 92/20, 130/21, 65/23 i 86/24). </w:t>
      </w:r>
    </w:p>
    <w:p w14:paraId="6C884847" w14:textId="77777777" w:rsidR="004F6023" w:rsidRPr="00C86111" w:rsidRDefault="004F6023" w:rsidP="004F6023">
      <w:pPr>
        <w:jc w:val="both"/>
        <w:rPr>
          <w:rFonts w:asciiTheme="minorHAnsi" w:hAnsiTheme="minorHAnsi" w:cstheme="minorHAnsi"/>
          <w:szCs w:val="24"/>
        </w:rPr>
      </w:pPr>
    </w:p>
    <w:p w14:paraId="4349BBA9"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Takođe, Ministarstvo poljoprivrede, šumarstva i vodoprivrede donijelo je i Višegodišnji program monitoringa rezidua pesticida u hrani biljnog i životinjskog porijekla za 2025, 2026 i 2027. godinu</w:t>
      </w:r>
      <w:r w:rsidRPr="00C86111">
        <w:rPr>
          <w:rFonts w:ascii="Cambria Math" w:hAnsi="Cambria Math" w:cs="Cambria Math"/>
          <w:szCs w:val="24"/>
        </w:rPr>
        <w:t>∗</w:t>
      </w:r>
      <w:r w:rsidRPr="00C86111">
        <w:rPr>
          <w:rFonts w:asciiTheme="minorHAnsi" w:hAnsiTheme="minorHAnsi" w:cstheme="minorHAnsi"/>
          <w:szCs w:val="24"/>
        </w:rPr>
        <w:t xml:space="preserve"> ("Službeni list Crne Gore", br. 096/24) u cilju procjene ugroženosti zdravlja stanovništva.</w:t>
      </w:r>
    </w:p>
    <w:p w14:paraId="7EB12393" w14:textId="77777777" w:rsidR="004F6023" w:rsidRPr="00C86111" w:rsidRDefault="004F6023" w:rsidP="004F6023">
      <w:pPr>
        <w:jc w:val="both"/>
        <w:rPr>
          <w:rFonts w:asciiTheme="minorHAnsi" w:hAnsiTheme="minorHAnsi" w:cstheme="minorHAnsi"/>
          <w:szCs w:val="24"/>
        </w:rPr>
      </w:pPr>
    </w:p>
    <w:p w14:paraId="6CAEAEC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Trenutno, što se tiče pesticida, na osnovu Zakona o sredstvima za zaštitu bilja primjenjuju se i sljedeći podzakonski akti:</w:t>
      </w:r>
    </w:p>
    <w:p w14:paraId="04748D46" w14:textId="77777777" w:rsidR="004F6023" w:rsidRPr="00C86111" w:rsidRDefault="004F6023" w:rsidP="007E2AA5">
      <w:pPr>
        <w:pStyle w:val="ListParagraph"/>
        <w:numPr>
          <w:ilvl w:val="0"/>
          <w:numId w:val="7"/>
        </w:numPr>
        <w:jc w:val="both"/>
        <w:rPr>
          <w:rFonts w:asciiTheme="minorHAnsi" w:hAnsiTheme="minorHAnsi" w:cstheme="minorHAnsi"/>
          <w:szCs w:val="24"/>
        </w:rPr>
      </w:pPr>
      <w:r w:rsidRPr="00C86111">
        <w:rPr>
          <w:rFonts w:asciiTheme="minorHAnsi" w:hAnsiTheme="minorHAnsi" w:cstheme="minorHAnsi"/>
          <w:szCs w:val="24"/>
        </w:rPr>
        <w:t>Pravilnik o sadržaju liste aktivnih materija dozvoljenih za upotrebu u sredstvima za zaštitu bilja („Službeni list CG", br. 12/19);</w:t>
      </w:r>
    </w:p>
    <w:p w14:paraId="065C5CB9" w14:textId="77777777" w:rsidR="004F6023" w:rsidRPr="00C86111" w:rsidRDefault="004F6023" w:rsidP="007E2AA5">
      <w:pPr>
        <w:pStyle w:val="ListParagraph"/>
        <w:numPr>
          <w:ilvl w:val="0"/>
          <w:numId w:val="7"/>
        </w:numPr>
        <w:jc w:val="both"/>
        <w:rPr>
          <w:rFonts w:asciiTheme="minorHAnsi" w:hAnsiTheme="minorHAnsi" w:cstheme="minorHAnsi"/>
          <w:szCs w:val="24"/>
        </w:rPr>
      </w:pPr>
      <w:r w:rsidRPr="00C86111">
        <w:rPr>
          <w:rFonts w:asciiTheme="minorHAnsi" w:hAnsiTheme="minorHAnsi" w:cstheme="minorHAnsi"/>
          <w:szCs w:val="24"/>
        </w:rPr>
        <w:t>Lista aktivnih supstanci dozvoljenih za upotrebu u sredstvima za zaštitu bilja za 2025. godinu</w:t>
      </w:r>
      <w:r w:rsidRPr="00C86111">
        <w:rPr>
          <w:rFonts w:ascii="Cambria Math" w:hAnsi="Cambria Math" w:cs="Cambria Math"/>
          <w:szCs w:val="24"/>
        </w:rPr>
        <w:t>∗</w:t>
      </w:r>
      <w:r w:rsidRPr="00C86111">
        <w:rPr>
          <w:rFonts w:asciiTheme="minorHAnsi" w:hAnsiTheme="minorHAnsi" w:cstheme="minorHAnsi"/>
          <w:szCs w:val="24"/>
        </w:rPr>
        <w:t xml:space="preserve"> ("Službeni list Crne Gore", br. 013/25);</w:t>
      </w:r>
    </w:p>
    <w:p w14:paraId="205DD1B7" w14:textId="77777777" w:rsidR="004F6023" w:rsidRPr="00C86111" w:rsidRDefault="004F6023" w:rsidP="007E2AA5">
      <w:pPr>
        <w:pStyle w:val="ListParagraph"/>
        <w:numPr>
          <w:ilvl w:val="0"/>
          <w:numId w:val="7"/>
        </w:numPr>
        <w:jc w:val="both"/>
        <w:rPr>
          <w:rFonts w:asciiTheme="minorHAnsi" w:hAnsiTheme="minorHAnsi" w:cstheme="minorHAnsi"/>
          <w:szCs w:val="24"/>
        </w:rPr>
      </w:pPr>
      <w:r w:rsidRPr="00C86111">
        <w:rPr>
          <w:rFonts w:asciiTheme="minorHAnsi" w:hAnsiTheme="minorHAnsi" w:cstheme="minorHAnsi"/>
          <w:szCs w:val="24"/>
        </w:rPr>
        <w:t>Pravilnik o metodama uzorkovanja za utvrđivanje rezidua sredstava za zaštitu bilja</w:t>
      </w:r>
      <w:r w:rsidRPr="00C86111">
        <w:rPr>
          <w:rFonts w:ascii="Cambria Math" w:hAnsi="Cambria Math" w:cs="Cambria Math"/>
          <w:szCs w:val="24"/>
        </w:rPr>
        <w:t>∗</w:t>
      </w:r>
      <w:r w:rsidRPr="00C86111">
        <w:rPr>
          <w:rFonts w:asciiTheme="minorHAnsi" w:hAnsiTheme="minorHAnsi" w:cstheme="minorHAnsi"/>
          <w:szCs w:val="24"/>
        </w:rPr>
        <w:t xml:space="preserve"> ("Službeni list Crne Gore", br. 048/14);</w:t>
      </w:r>
    </w:p>
    <w:p w14:paraId="4A432F46" w14:textId="77777777" w:rsidR="004F6023" w:rsidRPr="00C86111" w:rsidRDefault="004F6023" w:rsidP="007E2AA5">
      <w:pPr>
        <w:pStyle w:val="ListParagraph"/>
        <w:numPr>
          <w:ilvl w:val="0"/>
          <w:numId w:val="7"/>
        </w:numPr>
        <w:jc w:val="both"/>
        <w:rPr>
          <w:rFonts w:asciiTheme="minorHAnsi" w:hAnsiTheme="minorHAnsi" w:cstheme="minorHAnsi"/>
          <w:szCs w:val="24"/>
        </w:rPr>
      </w:pPr>
      <w:r w:rsidRPr="00C86111">
        <w:rPr>
          <w:rFonts w:asciiTheme="minorHAnsi" w:hAnsiTheme="minorHAnsi" w:cstheme="minorHAnsi"/>
          <w:szCs w:val="24"/>
        </w:rPr>
        <w:t>Pravilnik o načinu vođenja i sadržaju registra sredstava za zaštitu bilja</w:t>
      </w:r>
      <w:r w:rsidRPr="00C86111">
        <w:rPr>
          <w:rFonts w:ascii="Cambria Math" w:hAnsi="Cambria Math" w:cs="Cambria Math"/>
          <w:szCs w:val="24"/>
        </w:rPr>
        <w:t>∗</w:t>
      </w:r>
      <w:r w:rsidRPr="00C86111">
        <w:rPr>
          <w:rFonts w:asciiTheme="minorHAnsi" w:hAnsiTheme="minorHAnsi" w:cstheme="minorHAnsi"/>
          <w:szCs w:val="24"/>
        </w:rPr>
        <w:t xml:space="preserve"> ("Službeni list Crne Gore", br. 017/14, 024/22)</w:t>
      </w:r>
    </w:p>
    <w:p w14:paraId="0E796973" w14:textId="77777777" w:rsidR="004F6023" w:rsidRPr="00C86111" w:rsidRDefault="004F6023" w:rsidP="007E2AA5">
      <w:pPr>
        <w:pStyle w:val="ListParagraph"/>
        <w:numPr>
          <w:ilvl w:val="0"/>
          <w:numId w:val="7"/>
        </w:numPr>
        <w:jc w:val="both"/>
        <w:rPr>
          <w:rFonts w:asciiTheme="minorHAnsi" w:hAnsiTheme="minorHAnsi" w:cstheme="minorHAnsi"/>
          <w:szCs w:val="24"/>
        </w:rPr>
      </w:pPr>
      <w:r w:rsidRPr="00C86111">
        <w:rPr>
          <w:rFonts w:asciiTheme="minorHAnsi" w:hAnsiTheme="minorHAnsi" w:cstheme="minorHAnsi"/>
          <w:szCs w:val="24"/>
        </w:rPr>
        <w:t>Pravilnik o mjerama predostrožnosti koje se odnose na sredstva za zaštitu bilja</w:t>
      </w:r>
      <w:r w:rsidRPr="00C86111">
        <w:rPr>
          <w:rFonts w:ascii="Cambria Math" w:hAnsi="Cambria Math" w:cs="Cambria Math"/>
          <w:szCs w:val="24"/>
        </w:rPr>
        <w:t>∗</w:t>
      </w:r>
      <w:r w:rsidRPr="00C86111">
        <w:rPr>
          <w:rFonts w:asciiTheme="minorHAnsi" w:hAnsiTheme="minorHAnsi" w:cstheme="minorHAnsi"/>
          <w:szCs w:val="24"/>
        </w:rPr>
        <w:t xml:space="preserve"> ("Službeni list Crne Gore", br. 069/16).</w:t>
      </w:r>
    </w:p>
    <w:p w14:paraId="62CF0C29" w14:textId="77777777" w:rsidR="004F6023" w:rsidRPr="00C86111" w:rsidRDefault="004F6023" w:rsidP="004F6023">
      <w:pPr>
        <w:jc w:val="both"/>
        <w:rPr>
          <w:rFonts w:asciiTheme="minorHAnsi" w:hAnsiTheme="minorHAnsi" w:cstheme="minorHAnsi"/>
          <w:szCs w:val="24"/>
        </w:rPr>
      </w:pPr>
    </w:p>
    <w:p w14:paraId="3C12614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Zaštita i zdravlje na radu obezbjeđuje se i sprovodi primjenom savremenih tehničko-tehnoloških, organizacionih, zdravstvenih, socijalnih i drugih mjera i sredstava zaštite u skladu sa </w:t>
      </w:r>
      <w:r w:rsidRPr="00C86111">
        <w:rPr>
          <w:rFonts w:asciiTheme="minorHAnsi" w:hAnsiTheme="minorHAnsi" w:cstheme="minorHAnsi"/>
          <w:b/>
          <w:szCs w:val="24"/>
        </w:rPr>
        <w:t>Zakonom o zaštiti i zdravlju na radu</w:t>
      </w:r>
      <w:r w:rsidRPr="00C86111">
        <w:rPr>
          <w:rFonts w:asciiTheme="minorHAnsi" w:hAnsiTheme="minorHAnsi" w:cstheme="minorHAnsi"/>
          <w:szCs w:val="24"/>
        </w:rPr>
        <w:t xml:space="preserve"> ("Sl. list CG", br. 34/14 , 44/18, 84/24). Na osnovu navedenog zakona, donešen je veliki broj podzakonskih akata, između ostalog i </w:t>
      </w:r>
      <w:r w:rsidRPr="00C86111">
        <w:rPr>
          <w:rFonts w:asciiTheme="minorHAnsi" w:hAnsiTheme="minorHAnsi" w:cstheme="minorHAnsi"/>
          <w:b/>
          <w:szCs w:val="24"/>
        </w:rPr>
        <w:t>Pravilnik o mjerama zaštite i zdravlja na radu od rizika izloženosti hemijskim materijama</w:t>
      </w:r>
      <w:r w:rsidRPr="00C86111">
        <w:rPr>
          <w:rFonts w:asciiTheme="minorHAnsi" w:hAnsiTheme="minorHAnsi" w:cstheme="minorHAnsi"/>
          <w:szCs w:val="24"/>
        </w:rPr>
        <w:t xml:space="preserve"> ("Sl. list CG", br. 81/16, 30/17, 40/18, 77/21), kojim su propisani minimalni zahtjevi koje poslodavac treba da ispuni u obezbjeđivanju mjera zaštite i zdravlja na radu uključujući i granične vrijednosti, radi otklanjanja ili smanjenja rizika od nastanka povreda na radu, profesionalnih bolesti i bolesti u vezi sa radom koje nastaju za vrijeme rada pri izlaganju zaposlenog hemijskim materijama. </w:t>
      </w:r>
    </w:p>
    <w:p w14:paraId="2829C4B8" w14:textId="77777777" w:rsidR="004F6023" w:rsidRPr="00C86111" w:rsidRDefault="004F6023" w:rsidP="004F6023">
      <w:pPr>
        <w:jc w:val="both"/>
        <w:rPr>
          <w:rFonts w:asciiTheme="minorHAnsi" w:hAnsiTheme="minorHAnsi" w:cstheme="minorHAnsi"/>
          <w:szCs w:val="24"/>
        </w:rPr>
      </w:pPr>
    </w:p>
    <w:p w14:paraId="656C92F8"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Pravilnik o mjerama zaštite i zdravlja na radu od rizika izloženosti kancerogenim ili mutagenim materijama</w:t>
      </w:r>
      <w:r w:rsidRPr="00C86111">
        <w:rPr>
          <w:rFonts w:asciiTheme="minorHAnsi" w:hAnsiTheme="minorHAnsi" w:cstheme="minorHAnsi"/>
          <w:szCs w:val="24"/>
        </w:rPr>
        <w:t xml:space="preserve"> ("Sl. list CG", br. 60/16, 11/17, 43/18, 20/19, 21/20), kojim su propisani minimalni zahtjevi koje poslodavac treba da ispuni u obezbjeđivanju mjera zaštite i zdravlja na radu, uključujući i granične vrijednosti, radi otklanjanja ili smanjenja rizika od nastanka povreda na radu, profesionalnih bolesti i bolesti u vezi sa radom koje nastaju za vrijeme rada pri izlaganju zaposlenog hemijskim materijama i kancerogenim ili mutagenim materijama.</w:t>
      </w:r>
    </w:p>
    <w:p w14:paraId="114F22E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23FB3749"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Zakonom o odgovornosti za štetu u životnoj sredini</w:t>
      </w:r>
      <w:r w:rsidRPr="00C86111">
        <w:rPr>
          <w:rFonts w:asciiTheme="minorHAnsi" w:hAnsiTheme="minorHAnsi" w:cstheme="minorHAnsi"/>
          <w:szCs w:val="24"/>
        </w:rPr>
        <w:t xml:space="preserve"> ("Sl. list CG", br. 27/14, 55/16, 84/24) uređuje se način i postupak utvrđivanja odgovornosti za štetu u životnoj sredini, kao i primjena preventivnih mjera i mjera remedijacije radi sprečavanja i otklanjanja štete u životnoj sredini. Pravna i fizička lica koja su obavljanjem djelatnosti, odnosno vršenjem aktivnosti prouzrokovala </w:t>
      </w:r>
      <w:r w:rsidRPr="00C86111">
        <w:rPr>
          <w:rFonts w:asciiTheme="minorHAnsi" w:hAnsiTheme="minorHAnsi" w:cstheme="minorHAnsi"/>
          <w:szCs w:val="24"/>
        </w:rPr>
        <w:lastRenderedPageBreak/>
        <w:t>štetu ili neposrednu opasnost od štete u životnoj sredini odgovorna su za štetu i dužna su da sprovedu mjere za sprečavanje i remedijaciju štete u skladu sa navedenim zakonom.</w:t>
      </w:r>
    </w:p>
    <w:p w14:paraId="7784C1E9" w14:textId="77777777" w:rsidR="004F6023" w:rsidRPr="00C86111" w:rsidRDefault="004F6023" w:rsidP="004F6023">
      <w:pPr>
        <w:jc w:val="both"/>
        <w:rPr>
          <w:rFonts w:asciiTheme="minorHAnsi" w:hAnsiTheme="minorHAnsi" w:cstheme="minorHAnsi"/>
          <w:szCs w:val="24"/>
        </w:rPr>
      </w:pPr>
    </w:p>
    <w:p w14:paraId="3B0FF20B" w14:textId="77777777" w:rsidR="004F6023" w:rsidRPr="00C86111" w:rsidRDefault="004F6023" w:rsidP="004F6023">
      <w:pPr>
        <w:jc w:val="both"/>
        <w:rPr>
          <w:rFonts w:asciiTheme="minorHAnsi" w:hAnsiTheme="minorHAnsi" w:cstheme="minorHAnsi"/>
          <w:b/>
          <w:bCs/>
          <w:szCs w:val="24"/>
        </w:rPr>
      </w:pPr>
      <w:r w:rsidRPr="00C86111">
        <w:rPr>
          <w:rFonts w:asciiTheme="minorHAnsi" w:hAnsiTheme="minorHAnsi" w:cstheme="minorHAnsi"/>
          <w:b/>
          <w:bCs/>
          <w:szCs w:val="24"/>
        </w:rPr>
        <w:t>Usklađenost sa međunarodnim obavezama</w:t>
      </w:r>
    </w:p>
    <w:p w14:paraId="6DC56723" w14:textId="77777777" w:rsidR="004F6023" w:rsidRPr="00C86111" w:rsidRDefault="004F6023" w:rsidP="004F6023">
      <w:pPr>
        <w:jc w:val="both"/>
        <w:rPr>
          <w:rFonts w:asciiTheme="minorHAnsi" w:hAnsiTheme="minorHAnsi" w:cstheme="minorHAnsi"/>
          <w:szCs w:val="24"/>
          <w:u w:val="single"/>
        </w:rPr>
      </w:pPr>
    </w:p>
    <w:p w14:paraId="49128D12"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Crna Gora je zemlja članica Stokholmske Konvencije o dugotrajnim organskim zagađujućim materijama od marta 2011. godine. Kao kandidat za članstvo u EU, država ima obavezu usklađivanja zakonodavstva sa pravnom tekovinom EU (acquis communautaire), posebno u oblasti zaštite životne sredine i upravljanja hemikalijama (poglavlje 27).</w:t>
      </w:r>
    </w:p>
    <w:p w14:paraId="67BABFFB" w14:textId="77777777" w:rsidR="004F6023" w:rsidRPr="00C86111" w:rsidRDefault="004F6023" w:rsidP="004F6023">
      <w:pPr>
        <w:jc w:val="both"/>
        <w:rPr>
          <w:rFonts w:asciiTheme="minorHAnsi" w:hAnsiTheme="minorHAnsi" w:cstheme="minorHAnsi"/>
          <w:szCs w:val="24"/>
        </w:rPr>
      </w:pPr>
    </w:p>
    <w:p w14:paraId="0263F53A"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Relevantne EU direktive i uredbe uključuju:</w:t>
      </w:r>
    </w:p>
    <w:p w14:paraId="4FC35AE8" w14:textId="77777777" w:rsidR="004F6023" w:rsidRPr="00C86111" w:rsidRDefault="004F6023" w:rsidP="004F6023">
      <w:pPr>
        <w:jc w:val="both"/>
        <w:rPr>
          <w:rFonts w:asciiTheme="minorHAnsi" w:hAnsiTheme="minorHAnsi" w:cstheme="minorHAnsi"/>
          <w:szCs w:val="24"/>
        </w:rPr>
      </w:pPr>
    </w:p>
    <w:p w14:paraId="14834FE7" w14:textId="77777777" w:rsidR="004F6023" w:rsidRPr="00C86111" w:rsidRDefault="004F6023" w:rsidP="007E2AA5">
      <w:pPr>
        <w:pStyle w:val="ListParagraph"/>
        <w:numPr>
          <w:ilvl w:val="0"/>
          <w:numId w:val="8"/>
        </w:numPr>
        <w:jc w:val="both"/>
        <w:rPr>
          <w:rFonts w:asciiTheme="minorHAnsi" w:hAnsiTheme="minorHAnsi" w:cstheme="minorHAnsi"/>
          <w:szCs w:val="24"/>
        </w:rPr>
      </w:pPr>
      <w:r w:rsidRPr="00C86111">
        <w:rPr>
          <w:rFonts w:asciiTheme="minorHAnsi" w:hAnsiTheme="minorHAnsi" w:cstheme="minorHAnsi"/>
          <w:b/>
          <w:szCs w:val="24"/>
        </w:rPr>
        <w:t>Regulativa (EU) br. 1907/2006 o registraciji, evaluaciji, autorizaciji i ograničavanju hemikalija (REACH)</w:t>
      </w:r>
    </w:p>
    <w:p w14:paraId="0C9CFE54" w14:textId="77777777" w:rsidR="004F6023" w:rsidRPr="00C86111" w:rsidRDefault="004F6023" w:rsidP="007E2AA5">
      <w:pPr>
        <w:pStyle w:val="ListParagraph"/>
        <w:numPr>
          <w:ilvl w:val="0"/>
          <w:numId w:val="8"/>
        </w:numPr>
        <w:jc w:val="both"/>
        <w:rPr>
          <w:rFonts w:asciiTheme="minorHAnsi" w:hAnsiTheme="minorHAnsi" w:cstheme="minorHAnsi"/>
          <w:b/>
          <w:szCs w:val="24"/>
        </w:rPr>
      </w:pPr>
      <w:r w:rsidRPr="00C86111">
        <w:rPr>
          <w:rFonts w:asciiTheme="minorHAnsi" w:hAnsiTheme="minorHAnsi" w:cstheme="minorHAnsi"/>
          <w:b/>
          <w:szCs w:val="24"/>
        </w:rPr>
        <w:t>Regulativa (EU) br. 2019/1021 o dugotarjnim organskim zagađujućim supstancama (POPs regulativa)</w:t>
      </w:r>
    </w:p>
    <w:p w14:paraId="7DD592D6" w14:textId="77777777" w:rsidR="004F6023" w:rsidRPr="00C86111" w:rsidRDefault="004F6023" w:rsidP="007E2AA5">
      <w:pPr>
        <w:pStyle w:val="ListParagraph"/>
        <w:numPr>
          <w:ilvl w:val="0"/>
          <w:numId w:val="8"/>
        </w:numPr>
        <w:jc w:val="both"/>
        <w:rPr>
          <w:rFonts w:asciiTheme="minorHAnsi" w:hAnsiTheme="minorHAnsi" w:cstheme="minorHAnsi"/>
          <w:b/>
          <w:szCs w:val="24"/>
        </w:rPr>
      </w:pPr>
      <w:r w:rsidRPr="00C86111">
        <w:rPr>
          <w:rFonts w:asciiTheme="minorHAnsi" w:hAnsiTheme="minorHAnsi" w:cstheme="minorHAnsi"/>
          <w:b/>
          <w:szCs w:val="24"/>
        </w:rPr>
        <w:t>Direktiva o otpadu (2008/98/EC)</w:t>
      </w:r>
    </w:p>
    <w:p w14:paraId="056F1009" w14:textId="77777777" w:rsidR="004F6023" w:rsidRPr="00C86111" w:rsidRDefault="004F6023" w:rsidP="007E2AA5">
      <w:pPr>
        <w:pStyle w:val="ListParagraph"/>
        <w:numPr>
          <w:ilvl w:val="0"/>
          <w:numId w:val="8"/>
        </w:numPr>
        <w:jc w:val="both"/>
        <w:rPr>
          <w:rFonts w:asciiTheme="minorHAnsi" w:hAnsiTheme="minorHAnsi" w:cstheme="minorHAnsi"/>
          <w:szCs w:val="24"/>
        </w:rPr>
      </w:pPr>
      <w:r w:rsidRPr="00C86111">
        <w:rPr>
          <w:rFonts w:asciiTheme="minorHAnsi" w:hAnsiTheme="minorHAnsi" w:cstheme="minorHAnsi"/>
          <w:szCs w:val="24"/>
        </w:rPr>
        <w:t>Direktiva o industrijskim emisijama (IED)</w:t>
      </w:r>
    </w:p>
    <w:p w14:paraId="10C6D927" w14:textId="77777777" w:rsidR="004F6023" w:rsidRPr="00C86111" w:rsidRDefault="004F6023" w:rsidP="004F6023">
      <w:pPr>
        <w:pStyle w:val="ListParagraph"/>
        <w:jc w:val="both"/>
        <w:rPr>
          <w:rFonts w:asciiTheme="minorHAnsi" w:hAnsiTheme="minorHAnsi" w:cstheme="minorHAnsi"/>
          <w:szCs w:val="24"/>
        </w:rPr>
      </w:pPr>
    </w:p>
    <w:p w14:paraId="3785634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Trenutno zakonodavstvo djelimično obuhvata zahtjeve ovih propisa, ali postoji prostor za dalje usklađivanje, naročito u dijelu transparentnosti, dostupnosti podataka.</w:t>
      </w:r>
    </w:p>
    <w:p w14:paraId="133E0717" w14:textId="77777777" w:rsidR="004F6023" w:rsidRPr="00C86111" w:rsidRDefault="004F6023" w:rsidP="004F6023">
      <w:pPr>
        <w:jc w:val="both"/>
        <w:rPr>
          <w:rFonts w:asciiTheme="minorHAnsi" w:hAnsiTheme="minorHAnsi" w:cstheme="minorHAnsi"/>
          <w:szCs w:val="24"/>
        </w:rPr>
      </w:pPr>
    </w:p>
    <w:p w14:paraId="4DA2B999"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Crna Gora je ratifikovala i brojne međunarodne konvencije koje direktno ili indirekno regulišu POPs hemikalije. </w:t>
      </w:r>
    </w:p>
    <w:p w14:paraId="76B6FDE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65380A5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 o potvrđivanju Stokholmske konvencije o dugotrajnim organskim zagađujućim supstancama</w:t>
      </w:r>
      <w:r w:rsidRPr="00C86111">
        <w:rPr>
          <w:rFonts w:asciiTheme="minorHAnsi" w:hAnsiTheme="minorHAnsi" w:cstheme="minorHAnsi"/>
          <w:szCs w:val="24"/>
        </w:rPr>
        <w:t xml:space="preserve"> („Sl. list CG - Međunarodni ugovori", br. 16/2010) ima za cilj eliminaciju ili smanjenje ispuštanja POPs supstanci. Glavni ciljevi Stokholmske konvencije se mogu podijeliti u 5 sljedećih oblasti: </w:t>
      </w:r>
    </w:p>
    <w:p w14:paraId="31F0BFA3" w14:textId="77777777" w:rsidR="004F6023" w:rsidRPr="00C86111" w:rsidRDefault="004F6023" w:rsidP="007E2AA5">
      <w:pPr>
        <w:pStyle w:val="ListParagraph"/>
        <w:numPr>
          <w:ilvl w:val="0"/>
          <w:numId w:val="9"/>
        </w:numPr>
        <w:jc w:val="both"/>
        <w:rPr>
          <w:rFonts w:asciiTheme="minorHAnsi" w:hAnsiTheme="minorHAnsi" w:cstheme="minorHAnsi"/>
          <w:szCs w:val="24"/>
        </w:rPr>
      </w:pPr>
      <w:r w:rsidRPr="00C86111">
        <w:rPr>
          <w:rFonts w:asciiTheme="minorHAnsi" w:hAnsiTheme="minorHAnsi" w:cstheme="minorHAnsi"/>
          <w:szCs w:val="24"/>
        </w:rPr>
        <w:t xml:space="preserve">Kontrolne mjere u koje spadaju kontrolne mjere za namjerno proizvedene POPs, zatim za nenamjerno proizvedene POPs i kontrolne mjere u vezi sa skladištenjem i otpadom koji sadrži POPs supstance; </w:t>
      </w:r>
    </w:p>
    <w:p w14:paraId="7BF48D81" w14:textId="77777777" w:rsidR="004F6023" w:rsidRPr="00C86111" w:rsidRDefault="004F6023" w:rsidP="007E2AA5">
      <w:pPr>
        <w:pStyle w:val="ListParagraph"/>
        <w:numPr>
          <w:ilvl w:val="0"/>
          <w:numId w:val="9"/>
        </w:numPr>
        <w:jc w:val="both"/>
        <w:rPr>
          <w:rFonts w:asciiTheme="minorHAnsi" w:hAnsiTheme="minorHAnsi" w:cstheme="minorHAnsi"/>
          <w:szCs w:val="24"/>
        </w:rPr>
      </w:pPr>
      <w:r w:rsidRPr="00C86111">
        <w:rPr>
          <w:rFonts w:asciiTheme="minorHAnsi" w:hAnsiTheme="minorHAnsi" w:cstheme="minorHAnsi"/>
          <w:szCs w:val="24"/>
        </w:rPr>
        <w:t xml:space="preserve">Dodavanje novih POPs na anekse Konvencije; </w:t>
      </w:r>
    </w:p>
    <w:p w14:paraId="6FE57E07" w14:textId="77777777" w:rsidR="004F6023" w:rsidRPr="00C86111" w:rsidRDefault="004F6023" w:rsidP="007E2AA5">
      <w:pPr>
        <w:pStyle w:val="ListParagraph"/>
        <w:numPr>
          <w:ilvl w:val="0"/>
          <w:numId w:val="9"/>
        </w:numPr>
        <w:jc w:val="both"/>
        <w:rPr>
          <w:rFonts w:asciiTheme="minorHAnsi" w:hAnsiTheme="minorHAnsi" w:cstheme="minorHAnsi"/>
          <w:szCs w:val="24"/>
        </w:rPr>
      </w:pPr>
      <w:r w:rsidRPr="00C86111">
        <w:rPr>
          <w:rFonts w:asciiTheme="minorHAnsi" w:hAnsiTheme="minorHAnsi" w:cstheme="minorHAnsi"/>
          <w:szCs w:val="24"/>
        </w:rPr>
        <w:t xml:space="preserve">Opšte obaveze (određivanje nacionalne kontakt tačke, razmjena informacija, podizanje svijesti javnosti) </w:t>
      </w:r>
    </w:p>
    <w:p w14:paraId="5220CF99" w14:textId="77777777" w:rsidR="004F6023" w:rsidRPr="00C86111" w:rsidRDefault="004F6023" w:rsidP="007E2AA5">
      <w:pPr>
        <w:pStyle w:val="ListParagraph"/>
        <w:numPr>
          <w:ilvl w:val="0"/>
          <w:numId w:val="9"/>
        </w:numPr>
        <w:jc w:val="both"/>
        <w:rPr>
          <w:rFonts w:asciiTheme="minorHAnsi" w:hAnsiTheme="minorHAnsi" w:cstheme="minorHAnsi"/>
          <w:szCs w:val="24"/>
        </w:rPr>
      </w:pPr>
      <w:r w:rsidRPr="00C86111">
        <w:rPr>
          <w:rFonts w:asciiTheme="minorHAnsi" w:hAnsiTheme="minorHAnsi" w:cstheme="minorHAnsi"/>
          <w:szCs w:val="24"/>
        </w:rPr>
        <w:t xml:space="preserve">Implementacioni planovi; </w:t>
      </w:r>
    </w:p>
    <w:p w14:paraId="4FC90091" w14:textId="77777777" w:rsidR="004F6023" w:rsidRPr="00C86111" w:rsidRDefault="004F6023" w:rsidP="007E2AA5">
      <w:pPr>
        <w:pStyle w:val="ListParagraph"/>
        <w:numPr>
          <w:ilvl w:val="0"/>
          <w:numId w:val="9"/>
        </w:numPr>
        <w:jc w:val="both"/>
        <w:rPr>
          <w:rFonts w:asciiTheme="minorHAnsi" w:hAnsiTheme="minorHAnsi" w:cstheme="minorHAnsi"/>
          <w:szCs w:val="24"/>
        </w:rPr>
      </w:pPr>
      <w:r w:rsidRPr="00C86111">
        <w:rPr>
          <w:rFonts w:asciiTheme="minorHAnsi" w:hAnsiTheme="minorHAnsi" w:cstheme="minorHAnsi"/>
          <w:szCs w:val="24"/>
        </w:rPr>
        <w:t xml:space="preserve">Finansijska i tehnička pomoć zemljama u razvoju i zemljama sa ekonomijama u tranziciji. </w:t>
      </w:r>
    </w:p>
    <w:p w14:paraId="6D27884D"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20A4D2B5"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 o potvrđivanju Roterdamske konvencije o postupku davanja saglasnosti na osnovu prethodnog obavještenja za određene opasne hemikalije i pesticide u međunarodnoj trgovini</w:t>
      </w:r>
      <w:r w:rsidRPr="00C86111">
        <w:rPr>
          <w:rFonts w:asciiTheme="minorHAnsi" w:hAnsiTheme="minorHAnsi" w:cstheme="minorHAnsi"/>
          <w:szCs w:val="24"/>
        </w:rPr>
        <w:t xml:space="preserve"> („Sl. list CG - Međunarodni ugovori", br. 03/11) ima za cilj promovisanje podijeljene odgovornosti i saradnje između strana ugovornica na polju međunarodne trgovine određenim opasnim hemikalijama da bi se zaštitilo ljudsko zdravlje i životna sredina od potencijalne štete i da bi se doprinijelo korišćenju hemikalija na način koji je prihvatljiv za životnu sredinu, i to lakšim </w:t>
      </w:r>
      <w:r w:rsidRPr="00C86111">
        <w:rPr>
          <w:rFonts w:asciiTheme="minorHAnsi" w:hAnsiTheme="minorHAnsi" w:cstheme="minorHAnsi"/>
          <w:szCs w:val="24"/>
        </w:rPr>
        <w:lastRenderedPageBreak/>
        <w:t xml:space="preserve">protokom informacija o njihovim karakteristikama, starajući se o procesu donošenja odluka na nacionalnom planu o uvozu i izvozu. </w:t>
      </w:r>
    </w:p>
    <w:p w14:paraId="6E343069" w14:textId="77777777" w:rsidR="004F6023" w:rsidRPr="00C86111" w:rsidRDefault="004F6023" w:rsidP="004F6023">
      <w:pPr>
        <w:jc w:val="both"/>
        <w:rPr>
          <w:rFonts w:asciiTheme="minorHAnsi" w:hAnsiTheme="minorHAnsi" w:cstheme="minorHAnsi"/>
          <w:szCs w:val="24"/>
        </w:rPr>
      </w:pPr>
    </w:p>
    <w:p w14:paraId="633210F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Roterdamska konvencija obuhvata pesticide i industrijske hemikalije koje su zabranjene ili strogo ograničene kako bi se zaštitilo ljudsko zdravlje ili životna sredina. Kada se hemikalija uvrsti na Aneks III Konvencije svim stranama ugovornicama se dostavlja Odluka sa smjernicama koja sadrži sve podatke o hemikaliji i o konačnim regulatornim mjerama kojim se zabranjuje ili strogo ograničava upotreba hemikalije. Strane ugovornice imaju rok od devet mjeseci od dostavljanja Odluke sa smjernicama da pripreme odgovor u vezi budućeg uvoza dotične hemikalije. Odgovor može biti konačan (da se dozvoli budući uvoz, da se ne dozvoli budući uvoz, ili da se dozvoli uvoz pod određenim uslovima) ili odgovor može biti privremeni. Odluke zemalja uvoznica se svakih pola godine prosljeđuju svim ugovornim stankama, putem PIC cirkulara, a strane izvoznice su obavezne po Konvenciji preduzeti odgovarajuće mjere da osiguraju da izvoznici u njihovoj nadležnosti poštuju ove odluke. Svaka strana ugovornica ima obavezu da imenuje jedno ili više državnih tijela koje će biti ovlašćeno da djeluje u izvršenju administrativnih funkcija prema zahtjevima Konvencije. AZPŽS je imenovana, kao tijelo na nivou države, za koordinaciju implementacije Roterdamske konvencije u Crnoj Gori. </w:t>
      </w:r>
    </w:p>
    <w:p w14:paraId="12C2F35C" w14:textId="77777777" w:rsidR="004F6023" w:rsidRPr="00C86111" w:rsidRDefault="004F6023" w:rsidP="004F6023">
      <w:pPr>
        <w:jc w:val="both"/>
        <w:rPr>
          <w:rFonts w:asciiTheme="minorHAnsi" w:hAnsiTheme="minorHAnsi" w:cstheme="minorHAnsi"/>
          <w:szCs w:val="24"/>
        </w:rPr>
      </w:pPr>
    </w:p>
    <w:p w14:paraId="5BFED96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 o potvrđivanju Bazelske konvencije o kontroli prekograničnog kretanja opasnih otpada i njihovom odlaganju</w:t>
      </w:r>
      <w:r w:rsidRPr="00C86111">
        <w:rPr>
          <w:rFonts w:asciiTheme="minorHAnsi" w:hAnsiTheme="minorHAnsi" w:cstheme="minorHAnsi"/>
          <w:szCs w:val="24"/>
        </w:rPr>
        <w:t xml:space="preserve"> („Sl. list SRJ" Međunarodni ugovori br. 2/99) definiše kontrolu prekograničnog ili međunarodnog kretanja otpada. Glavni cilj konvencije je zabrana trgovine opasnim otpadom i sprečavanje njegovog izvoza u nerazvijene ili manje razvijenje zemlje pod maskom “reciklaže”. Sve strane ugovornice će preduzeti mjere u cilju smanjenja količina otpada koji se proizvodi na izvoru. Bezbjedno upravljanje opasnim otpadom treba da bude osigurano i prije prekograničnog kretanja otpada tako što je neophodno dobiti saglasnosti od nadležnih organa svih zainteresovanih strana (uključujuči i tranzitne zemlje). Prilogom I konvencije definisane su kategorije otpada za kontrolu: </w:t>
      </w:r>
    </w:p>
    <w:p w14:paraId="5AE71B1C" w14:textId="77777777" w:rsidR="004F6023" w:rsidRPr="00C86111" w:rsidRDefault="004F6023" w:rsidP="007E2AA5">
      <w:pPr>
        <w:pStyle w:val="ListParagraph"/>
        <w:numPr>
          <w:ilvl w:val="0"/>
          <w:numId w:val="10"/>
        </w:numPr>
        <w:jc w:val="both"/>
        <w:rPr>
          <w:rFonts w:asciiTheme="minorHAnsi" w:hAnsiTheme="minorHAnsi" w:cstheme="minorHAnsi"/>
          <w:szCs w:val="24"/>
        </w:rPr>
      </w:pPr>
      <w:r w:rsidRPr="00C86111">
        <w:rPr>
          <w:rFonts w:asciiTheme="minorHAnsi" w:hAnsiTheme="minorHAnsi" w:cstheme="minorHAnsi"/>
          <w:szCs w:val="24"/>
        </w:rPr>
        <w:t xml:space="preserve">Y4 Otpadi iz proizvodnje, formulacija i korišćenja biocida i fitofarmaceutskih proizvoda; </w:t>
      </w:r>
    </w:p>
    <w:p w14:paraId="6F07E114" w14:textId="77777777" w:rsidR="004F6023" w:rsidRPr="00C86111" w:rsidRDefault="004F6023" w:rsidP="007E2AA5">
      <w:pPr>
        <w:pStyle w:val="ListParagraph"/>
        <w:numPr>
          <w:ilvl w:val="0"/>
          <w:numId w:val="10"/>
        </w:numPr>
        <w:jc w:val="both"/>
        <w:rPr>
          <w:rFonts w:asciiTheme="minorHAnsi" w:hAnsiTheme="minorHAnsi" w:cstheme="minorHAnsi"/>
          <w:szCs w:val="24"/>
        </w:rPr>
      </w:pPr>
      <w:r w:rsidRPr="00C86111">
        <w:rPr>
          <w:rFonts w:asciiTheme="minorHAnsi" w:hAnsiTheme="minorHAnsi" w:cstheme="minorHAnsi"/>
          <w:szCs w:val="24"/>
        </w:rPr>
        <w:t xml:space="preserve">Y5 Otpadi iz proizvodnje, formulacija i korišćenja hemikalija za zaštitu drveta; </w:t>
      </w:r>
    </w:p>
    <w:p w14:paraId="1C52A94A" w14:textId="77777777" w:rsidR="004F6023" w:rsidRPr="00C86111" w:rsidRDefault="004F6023" w:rsidP="007E2AA5">
      <w:pPr>
        <w:pStyle w:val="ListParagraph"/>
        <w:numPr>
          <w:ilvl w:val="0"/>
          <w:numId w:val="10"/>
        </w:numPr>
        <w:jc w:val="both"/>
        <w:rPr>
          <w:rFonts w:asciiTheme="minorHAnsi" w:hAnsiTheme="minorHAnsi" w:cstheme="minorHAnsi"/>
          <w:szCs w:val="24"/>
        </w:rPr>
      </w:pPr>
      <w:r w:rsidRPr="00C86111">
        <w:rPr>
          <w:rFonts w:asciiTheme="minorHAnsi" w:hAnsiTheme="minorHAnsi" w:cstheme="minorHAnsi"/>
          <w:szCs w:val="24"/>
        </w:rPr>
        <w:t xml:space="preserve">Y6 Otpadi iz proizvodnje, formulacija i korišćenja organskih rastvarača; </w:t>
      </w:r>
    </w:p>
    <w:p w14:paraId="2A353A73" w14:textId="77777777" w:rsidR="004F6023" w:rsidRPr="00C86111" w:rsidRDefault="004F6023" w:rsidP="007E2AA5">
      <w:pPr>
        <w:pStyle w:val="ListParagraph"/>
        <w:numPr>
          <w:ilvl w:val="0"/>
          <w:numId w:val="10"/>
        </w:numPr>
        <w:jc w:val="both"/>
        <w:rPr>
          <w:rFonts w:asciiTheme="minorHAnsi" w:hAnsiTheme="minorHAnsi" w:cstheme="minorHAnsi"/>
          <w:szCs w:val="24"/>
        </w:rPr>
      </w:pPr>
      <w:r w:rsidRPr="00C86111">
        <w:rPr>
          <w:rFonts w:asciiTheme="minorHAnsi" w:hAnsiTheme="minorHAnsi" w:cstheme="minorHAnsi"/>
          <w:szCs w:val="24"/>
        </w:rPr>
        <w:t xml:space="preserve">Y8 Otpadna mineralna ulja koja ne odgovaraju svojoj prvobitnoj namjeni; </w:t>
      </w:r>
    </w:p>
    <w:p w14:paraId="57101AF4" w14:textId="77777777" w:rsidR="004F6023" w:rsidRPr="00C86111" w:rsidRDefault="004F6023" w:rsidP="007E2AA5">
      <w:pPr>
        <w:pStyle w:val="ListParagraph"/>
        <w:numPr>
          <w:ilvl w:val="0"/>
          <w:numId w:val="10"/>
        </w:numPr>
        <w:jc w:val="both"/>
        <w:rPr>
          <w:rFonts w:asciiTheme="minorHAnsi" w:hAnsiTheme="minorHAnsi" w:cstheme="minorHAnsi"/>
          <w:szCs w:val="24"/>
        </w:rPr>
      </w:pPr>
      <w:r w:rsidRPr="00C86111">
        <w:rPr>
          <w:rFonts w:asciiTheme="minorHAnsi" w:hAnsiTheme="minorHAnsi" w:cstheme="minorHAnsi"/>
          <w:szCs w:val="24"/>
        </w:rPr>
        <w:t xml:space="preserve">Y10 Otpadne supstance i predmeti koji sadrže ili su zagađene polihlorovanim bifenilima (PCBs) i/ili polihlorovanim terfenilima (PCTs) i/ili polibromovanim bifenilima (CPBPs). </w:t>
      </w:r>
    </w:p>
    <w:p w14:paraId="1FE6DFEE"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7729666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 o potvrđivanju Konvencije o prekograničnom zagađenju vazduha na velikim udaljenostima iz 1979. Godine</w:t>
      </w:r>
      <w:r w:rsidRPr="00C86111">
        <w:rPr>
          <w:rFonts w:asciiTheme="minorHAnsi" w:hAnsiTheme="minorHAnsi" w:cstheme="minorHAnsi"/>
          <w:szCs w:val="24"/>
        </w:rPr>
        <w:t xml:space="preserve"> („Sl. list CG - Međunarodni ugovori", br. 11/86) ima za cilj zaštitu čoveka i životne sredine od zagađivanja vazduha kao i ograničavanje, i koliko god je to moguće, postepeno smanjivanje i sprečavanje zagađivanja vazduha, uključujući i zagađivanje vazduha na velikim udaljenostima i van granica. U okviru Konvencije, strane ugovornice treba da razmjenom informacija, konsultacijama, istraživanjima i praćenjem, razrade politiku i strategiju koje će poslužiti kao sredstvo za borbu protiv ispuštanja zagađujućih materija u vazduh, vodeći računa o naporima koji se već ulažu na nacionalnom i međunarodnom nivou. Imajući u vidu navedeno izrađen je Akcioni plan za potvrđivanje i implementaciju Protokola o teškim metalima, Protokola </w:t>
      </w:r>
      <w:r w:rsidRPr="00C86111">
        <w:rPr>
          <w:rFonts w:asciiTheme="minorHAnsi" w:hAnsiTheme="minorHAnsi" w:cstheme="minorHAnsi"/>
          <w:szCs w:val="24"/>
        </w:rPr>
        <w:lastRenderedPageBreak/>
        <w:t xml:space="preserve">o POPs i Protokola o sprečavanju zakisjeljavanja, eutrofikacije i prizemnog ozona uz Konvenciju o prekograničnom zagađivanju vazduha na velikim udaljenostima, u oktobru 2010.godine. </w:t>
      </w:r>
    </w:p>
    <w:p w14:paraId="0A4A7F6C" w14:textId="77777777" w:rsidR="004F6023" w:rsidRPr="00C86111" w:rsidRDefault="004F6023" w:rsidP="004F6023">
      <w:pPr>
        <w:jc w:val="both"/>
        <w:rPr>
          <w:rFonts w:asciiTheme="minorHAnsi" w:hAnsiTheme="minorHAnsi" w:cstheme="minorHAnsi"/>
          <w:szCs w:val="24"/>
        </w:rPr>
      </w:pPr>
    </w:p>
    <w:p w14:paraId="67070B6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b/>
          <w:szCs w:val="24"/>
        </w:rPr>
        <w:t>Zakonom o potvrđivanju protokola o POPs uz Konvenciju o prekograničnom zagađenju vazduha na velikim udaljenostima</w:t>
      </w:r>
      <w:r w:rsidRPr="00C86111">
        <w:rPr>
          <w:rFonts w:asciiTheme="minorHAnsi" w:hAnsiTheme="minorHAnsi" w:cstheme="minorHAnsi"/>
          <w:szCs w:val="24"/>
        </w:rPr>
        <w:t xml:space="preserve"> („Sl. list CG - Međunarodni ugovori", br. 8/2011) osnovne obaveze strana ugovornica definisane su na sljedeći način:  </w:t>
      </w:r>
    </w:p>
    <w:p w14:paraId="144D5EF7" w14:textId="77777777" w:rsidR="004F6023" w:rsidRPr="00C86111" w:rsidRDefault="004F6023" w:rsidP="007E2AA5">
      <w:pPr>
        <w:pStyle w:val="ListParagraph"/>
        <w:numPr>
          <w:ilvl w:val="0"/>
          <w:numId w:val="11"/>
        </w:numPr>
        <w:jc w:val="both"/>
        <w:rPr>
          <w:rFonts w:asciiTheme="minorHAnsi" w:hAnsiTheme="minorHAnsi" w:cstheme="minorHAnsi"/>
          <w:szCs w:val="24"/>
        </w:rPr>
      </w:pPr>
      <w:r w:rsidRPr="00C86111">
        <w:rPr>
          <w:rFonts w:asciiTheme="minorHAnsi" w:hAnsiTheme="minorHAnsi" w:cstheme="minorHAnsi"/>
          <w:szCs w:val="24"/>
        </w:rPr>
        <w:t xml:space="preserve">Eliminisati proizvodnju i potrošnju 11 supstanci navedenih u Prilogu I protokola; </w:t>
      </w:r>
    </w:p>
    <w:p w14:paraId="7740D676" w14:textId="77777777" w:rsidR="004F6023" w:rsidRPr="00C86111" w:rsidRDefault="004F6023" w:rsidP="007E2AA5">
      <w:pPr>
        <w:pStyle w:val="ListParagraph"/>
        <w:numPr>
          <w:ilvl w:val="0"/>
          <w:numId w:val="11"/>
        </w:numPr>
        <w:jc w:val="both"/>
        <w:rPr>
          <w:rFonts w:asciiTheme="minorHAnsi" w:hAnsiTheme="minorHAnsi" w:cstheme="minorHAnsi"/>
          <w:szCs w:val="24"/>
        </w:rPr>
      </w:pPr>
      <w:r w:rsidRPr="00C86111">
        <w:rPr>
          <w:rFonts w:asciiTheme="minorHAnsi" w:hAnsiTheme="minorHAnsi" w:cstheme="minorHAnsi"/>
          <w:szCs w:val="24"/>
        </w:rPr>
        <w:t xml:space="preserve">Ograničiti upotrebu supstanci iz Priloga II protokola (DDT, HCH i PCB) na posebne namjene i pod određenim uslovima. </w:t>
      </w:r>
    </w:p>
    <w:p w14:paraId="0D705792" w14:textId="77777777" w:rsidR="004F6023" w:rsidRPr="00C86111" w:rsidRDefault="004F6023" w:rsidP="004F6023">
      <w:pPr>
        <w:pStyle w:val="ListParagraph"/>
        <w:jc w:val="both"/>
        <w:rPr>
          <w:rFonts w:asciiTheme="minorHAnsi" w:hAnsiTheme="minorHAnsi" w:cstheme="minorHAnsi"/>
          <w:szCs w:val="24"/>
        </w:rPr>
      </w:pPr>
    </w:p>
    <w:p w14:paraId="29DC225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Crna Gora je 2009. rаtifikovаlа </w:t>
      </w:r>
      <w:r w:rsidRPr="00C86111">
        <w:rPr>
          <w:rFonts w:asciiTheme="minorHAnsi" w:hAnsiTheme="minorHAnsi" w:cstheme="minorHAnsi"/>
          <w:b/>
          <w:szCs w:val="24"/>
        </w:rPr>
        <w:t>Konvenciju o dostupnosti informаcijа, učešću jаvnosti u donošenju odlukа i prаvu nа prаvnu zаštitu u pitаnjimа životne sredine</w:t>
      </w:r>
      <w:r w:rsidRPr="00C86111">
        <w:rPr>
          <w:rFonts w:asciiTheme="minorHAnsi" w:hAnsiTheme="minorHAnsi" w:cstheme="minorHAnsi"/>
          <w:szCs w:val="24"/>
        </w:rPr>
        <w:t xml:space="preserve"> („Sl.list CG – Međunarodni ugovori“, br. 03/09). Cilj usvajanja Aarhuske konvencije je zaštita prava svakog pojedinca, sadašnjih i budućih generacija na život u životnoj sredini adekvatnoj njegovom zdravlju i blagostanju. Arhuska konvencija je međunarodno-pravni instrument za zaštitu životne sredine koja sadrži 3 grupe pravila koja se odnose na: prava građana na dostupnost informacijama, prava građana da učestvuju u donošenju odluka o životnoj sredini i pristup pravosuđu u slučaju da su prethodna dva prava narušena (pravna zaštita). </w:t>
      </w:r>
    </w:p>
    <w:p w14:paraId="7D1DC362"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79DD82C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Crna Gora je potvrdila </w:t>
      </w:r>
      <w:r w:rsidRPr="00C86111">
        <w:rPr>
          <w:rFonts w:asciiTheme="minorHAnsi" w:hAnsiTheme="minorHAnsi" w:cstheme="minorHAnsi"/>
          <w:b/>
          <w:bCs/>
          <w:szCs w:val="24"/>
        </w:rPr>
        <w:t>Protokol o registrima ispuštanja i prenosa zagađujućih materija</w:t>
      </w:r>
      <w:r w:rsidRPr="00C86111">
        <w:rPr>
          <w:rFonts w:asciiTheme="minorHAnsi" w:hAnsiTheme="minorHAnsi" w:cstheme="minorHAnsi"/>
          <w:szCs w:val="24"/>
        </w:rPr>
        <w:t xml:space="preserve"> u julu 2017. („Sl. list CG-Međunarodni ugovori“, br. 6/17). </w:t>
      </w:r>
    </w:p>
    <w:p w14:paraId="41EE2591" w14:textId="77777777" w:rsidR="004F6023" w:rsidRPr="00C86111" w:rsidRDefault="004F6023" w:rsidP="004F6023">
      <w:pPr>
        <w:jc w:val="both"/>
        <w:rPr>
          <w:rFonts w:asciiTheme="minorHAnsi" w:hAnsiTheme="minorHAnsi" w:cstheme="minorHAnsi"/>
          <w:szCs w:val="24"/>
        </w:rPr>
      </w:pPr>
    </w:p>
    <w:p w14:paraId="6824047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1976. godine, 16 zemalja Sredozemlja (među kojima i tadašnja SFR Jugoslavija) i Evropska unija potpisale su Konvenciju o zaštiti Sredozemnog mora od zagađivanja (Barselonsku konvenciju), koja je stupila na snagu 1978. godine. Barselonska konvencija i njeni protokoli, zajedno sa Akcionim planom za Sredozemlje (MAP - Mediterranean Action Plan) čine dio regionalnog morskog programa Programa za životnu sredinu (UNEP). </w:t>
      </w:r>
    </w:p>
    <w:p w14:paraId="48CC2C6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5BD18B0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Mediteranski akcioni plan (MAP) uspostavljen je 1975. godine u okviru UNEP-a kao prvi Program regionalnih mora. Glavni cilj UNEP/MAP-a bio je uspostavljanje saradnje između država u regionu radi zaštite Sredozemnog mora od zagađenja, ali i sa ciljem osiguranja kvalitetnijeg života stanovnicima zemalja koje okružuju Sredozemno more, te uspostavljanja i osnaživanja međusobne saradnje i usaglašavanja strategija upravljanja zajedničkim prirodnim resursima. U njegovom fokusu su zaštita životne sredine, promocija modela održivog upravljanja, kao i harmoniziranje odnosa među mediteranskim zemljama. </w:t>
      </w:r>
    </w:p>
    <w:p w14:paraId="10D01458"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 </w:t>
      </w:r>
    </w:p>
    <w:p w14:paraId="19A9244D"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Danas UNEP/MAP okuplja 21 zemlju Mediterana i Evropsku uniju (EU) koje su ratifikovale izmijenjenu i dopunjenu Barselonsku konvenciju iz 1995. godine pod nazivom Konvencija o zaštiti morske sredine i priobalnog područja Sredozemlja, koja je stupila na snagu 9. jula 2004. godine. Pored Barselonske konvencije, pravni okvir nazvan "Barcellona System" sačinjavaju i sedam Protokola koji se odnose na specifične aspekte zaštite morskog i obalnog ekosistema.  </w:t>
      </w:r>
    </w:p>
    <w:p w14:paraId="08E25785" w14:textId="77777777" w:rsidR="004F6023" w:rsidRPr="00C86111" w:rsidRDefault="004F6023" w:rsidP="004F6023">
      <w:pPr>
        <w:jc w:val="both"/>
        <w:rPr>
          <w:rFonts w:asciiTheme="minorHAnsi" w:hAnsiTheme="minorHAnsi" w:cstheme="minorHAnsi"/>
          <w:szCs w:val="24"/>
        </w:rPr>
      </w:pPr>
    </w:p>
    <w:p w14:paraId="6E444FF9"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Na kraju je važno ukazati i na Strateški pristup međunarodnom upravljanju hemikalijama (Strategic Approach to International Chemicals Management – SAICM) koji obavezuje države da </w:t>
      </w:r>
      <w:r w:rsidRPr="00C86111">
        <w:rPr>
          <w:rFonts w:asciiTheme="minorHAnsi" w:hAnsiTheme="minorHAnsi" w:cstheme="minorHAnsi"/>
          <w:szCs w:val="24"/>
        </w:rPr>
        <w:lastRenderedPageBreak/>
        <w:t xml:space="preserve">naprave procjenu situacije i izrade nacionalne programe bezbjednog upravljanja hemikalijama. U skladu sa navedenim programom Vlada Crne Gore donijela Nacionalnu strategiju upravljanja hemikalijama 2024-2026, ali kako  su POPs  hemikalije vrlo specifične, a imajući u vidu i zahtjeve Stokholsmke konvencije neophodno je donijeti Nacionalni plan implementacije Stokholsmke konvencije i na taj način dati širi pristup upravljanju POPs supstancama. </w:t>
      </w:r>
    </w:p>
    <w:p w14:paraId="4DBCE84F" w14:textId="77777777" w:rsidR="004F6023" w:rsidRPr="00C86111" w:rsidRDefault="004F6023" w:rsidP="004F6023">
      <w:pPr>
        <w:jc w:val="both"/>
        <w:rPr>
          <w:rFonts w:asciiTheme="minorHAnsi" w:hAnsiTheme="minorHAnsi" w:cstheme="minorHAnsi"/>
          <w:szCs w:val="24"/>
        </w:rPr>
      </w:pPr>
    </w:p>
    <w:p w14:paraId="5902D964" w14:textId="2025D9CD" w:rsidR="004F6023" w:rsidRPr="00C86111" w:rsidRDefault="007A23C1" w:rsidP="00EA6904">
      <w:pPr>
        <w:pStyle w:val="Heading1"/>
      </w:pPr>
      <w:bookmarkStart w:id="473" w:name="_Toc220542003"/>
      <w:r w:rsidRPr="00C86111">
        <w:t>TEHNIČKA I FINANSIJSKA POMOĆ</w:t>
      </w:r>
      <w:bookmarkStart w:id="474" w:name="_GoBack"/>
      <w:bookmarkEnd w:id="473"/>
      <w:bookmarkEnd w:id="474"/>
    </w:p>
    <w:p w14:paraId="5D5ABE59" w14:textId="77777777" w:rsidR="004F6023" w:rsidRPr="00C86111" w:rsidRDefault="004F6023" w:rsidP="004F6023">
      <w:pPr>
        <w:jc w:val="both"/>
        <w:rPr>
          <w:rFonts w:asciiTheme="minorHAnsi" w:hAnsiTheme="minorHAnsi" w:cstheme="minorHAnsi"/>
          <w:b/>
          <w:bCs/>
          <w:szCs w:val="24"/>
          <w:lang w:val="en-GB"/>
        </w:rPr>
      </w:pPr>
    </w:p>
    <w:p w14:paraId="7D45412F"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Upravljanje hemikalijama koje predstavljaju dugotrajne organske zagađujuće supstance (POPs) jedno je od ključnih pitanja zaštite životne sredine i javnog zdravlja u Crnoj Gori. Ove supstance su prepoznate na globalnom nivou zbog svoje visoke toksičnosti, dugotrajne postojanosti i sposobnosti bioakumulacije, što ih čini posebno opasnim i zahtijeva poseban tretman, precizno planiranje i stroge mjere kontrole. Crna Gora, kao potpisnica Stokholmske konvencije, ima obavezu da osigura njihovo bezbjedno upravljanje, kontrolisano skladištenje i postepeno uklanjanje iz upotrebe, u skladu sa međunarodnim standardima, najboljim praksama i procesom evropskih integracija.</w:t>
      </w:r>
    </w:p>
    <w:p w14:paraId="64E294A5" w14:textId="77777777" w:rsidR="004F6023" w:rsidRPr="00C86111" w:rsidRDefault="004F6023" w:rsidP="004F6023">
      <w:pPr>
        <w:jc w:val="both"/>
        <w:rPr>
          <w:rFonts w:asciiTheme="minorHAnsi" w:hAnsiTheme="minorHAnsi" w:cstheme="minorHAnsi"/>
          <w:szCs w:val="24"/>
        </w:rPr>
      </w:pPr>
    </w:p>
    <w:p w14:paraId="636D5F6C"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Ovaj izvještaj pruža sveobuhvatan pregled tehničke i finansijske pomoći koja je obezbijeđena Crnoj Gori u oblasti upravljanja POPs hemikalijama, kroz saradnju sa međunarodnim partnerima, kao i kroz nacionalne inicijative i programe. Poseban fokus stavljen je na projekte realizovane uz podršku UNDP-a, UNEP-a, GEF-a i MedWaves-a, kao i na aktivnosti sprovedene kroz državne programe i civilni sektor, koje doprinose razvoju održivog sistema upravljanja POPs supstancama.</w:t>
      </w:r>
    </w:p>
    <w:p w14:paraId="75F29822"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Cilj izvještaja je da:</w:t>
      </w:r>
    </w:p>
    <w:p w14:paraId="76C351C0" w14:textId="77777777" w:rsidR="004F6023" w:rsidRPr="00C86111" w:rsidRDefault="004F6023" w:rsidP="00833A40">
      <w:pPr>
        <w:numPr>
          <w:ilvl w:val="0"/>
          <w:numId w:val="81"/>
        </w:numPr>
        <w:jc w:val="both"/>
        <w:rPr>
          <w:rFonts w:asciiTheme="minorHAnsi" w:hAnsiTheme="minorHAnsi" w:cstheme="minorHAnsi"/>
          <w:szCs w:val="24"/>
        </w:rPr>
      </w:pPr>
      <w:r w:rsidRPr="00C86111">
        <w:rPr>
          <w:rFonts w:asciiTheme="minorHAnsi" w:hAnsiTheme="minorHAnsi" w:cstheme="minorHAnsi"/>
          <w:szCs w:val="24"/>
        </w:rPr>
        <w:t>dokumentuje ključne projekte, njihove rezultate i finansijsku vrijednost;</w:t>
      </w:r>
    </w:p>
    <w:p w14:paraId="3E242744" w14:textId="77777777" w:rsidR="004F6023" w:rsidRPr="00C86111" w:rsidRDefault="004F6023" w:rsidP="00833A40">
      <w:pPr>
        <w:numPr>
          <w:ilvl w:val="0"/>
          <w:numId w:val="81"/>
        </w:numPr>
        <w:jc w:val="both"/>
        <w:rPr>
          <w:rFonts w:asciiTheme="minorHAnsi" w:hAnsiTheme="minorHAnsi" w:cstheme="minorHAnsi"/>
          <w:szCs w:val="24"/>
        </w:rPr>
      </w:pPr>
      <w:r w:rsidRPr="00C86111">
        <w:rPr>
          <w:rFonts w:asciiTheme="minorHAnsi" w:hAnsiTheme="minorHAnsi" w:cstheme="minorHAnsi"/>
          <w:szCs w:val="24"/>
        </w:rPr>
        <w:t>identifikuje postignuća i izazove u dosadašnjoj implementaciji;</w:t>
      </w:r>
    </w:p>
    <w:p w14:paraId="0C032091" w14:textId="77777777" w:rsidR="004F6023" w:rsidRPr="00C86111" w:rsidRDefault="004F6023" w:rsidP="00833A40">
      <w:pPr>
        <w:numPr>
          <w:ilvl w:val="0"/>
          <w:numId w:val="81"/>
        </w:numPr>
        <w:jc w:val="both"/>
        <w:rPr>
          <w:rFonts w:asciiTheme="minorHAnsi" w:hAnsiTheme="minorHAnsi" w:cstheme="minorHAnsi"/>
          <w:szCs w:val="24"/>
        </w:rPr>
      </w:pPr>
      <w:r w:rsidRPr="00C86111">
        <w:rPr>
          <w:rFonts w:asciiTheme="minorHAnsi" w:hAnsiTheme="minorHAnsi" w:cstheme="minorHAnsi"/>
          <w:szCs w:val="24"/>
        </w:rPr>
        <w:t>predstavi naučene lekcije koje mogu poslužiti za unapređenje budućih inicijativa;</w:t>
      </w:r>
    </w:p>
    <w:p w14:paraId="6F050B60" w14:textId="77777777" w:rsidR="004F6023" w:rsidRPr="00C86111" w:rsidRDefault="004F6023" w:rsidP="00833A40">
      <w:pPr>
        <w:numPr>
          <w:ilvl w:val="0"/>
          <w:numId w:val="81"/>
        </w:numPr>
        <w:jc w:val="both"/>
        <w:rPr>
          <w:rFonts w:asciiTheme="minorHAnsi" w:hAnsiTheme="minorHAnsi" w:cstheme="minorHAnsi"/>
          <w:szCs w:val="24"/>
        </w:rPr>
      </w:pPr>
      <w:r w:rsidRPr="00C86111">
        <w:rPr>
          <w:rFonts w:asciiTheme="minorHAnsi" w:hAnsiTheme="minorHAnsi" w:cstheme="minorHAnsi"/>
          <w:szCs w:val="24"/>
        </w:rPr>
        <w:t>ponudi preporuke za planiranje novih projekata i obezbjeđivanje stabilnih i održivih izvora finansiranja.</w:t>
      </w:r>
    </w:p>
    <w:p w14:paraId="2F9264A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Izvještaj je pripremljen na osnovu projektnih dokumenata, izvještaja međunarodnih partnera i nacionalnih institucija, kao i iskustava stečenih kroz realizovane aktivnosti. Dokument je namijenjen kreatorima politika, međunarodnim partnerima, stručnoj javnosti i zainteresovanim građanima, sa ciljem da pruži sveobuhvatan pregled dosadašnjeg rada i da doprinese daljem jačanju i razvoju održivog sistema za upravljanje POPs hemikalijama u Crnoj Gori.</w:t>
      </w:r>
    </w:p>
    <w:p w14:paraId="1E2B269E" w14:textId="77777777" w:rsidR="004F6023" w:rsidRPr="00C86111" w:rsidRDefault="004F6023" w:rsidP="004F6023">
      <w:pPr>
        <w:jc w:val="both"/>
        <w:rPr>
          <w:rFonts w:asciiTheme="minorHAnsi" w:hAnsiTheme="minorHAnsi" w:cstheme="minorHAnsi"/>
          <w:szCs w:val="24"/>
        </w:rPr>
      </w:pPr>
    </w:p>
    <w:p w14:paraId="787542BA" w14:textId="49F74E67" w:rsidR="004F6023" w:rsidRPr="00C86111" w:rsidRDefault="004F6023" w:rsidP="00EA6904">
      <w:pPr>
        <w:pStyle w:val="Heading3"/>
      </w:pPr>
      <w:bookmarkStart w:id="475" w:name="_Toc220542005"/>
      <w:r w:rsidRPr="00C86111">
        <w:t>Realizovani projekti, projekti u toku i ostale značajne aktivnosti</w:t>
      </w:r>
      <w:bookmarkEnd w:id="475"/>
    </w:p>
    <w:p w14:paraId="6D7557D9" w14:textId="77777777" w:rsidR="004F6023" w:rsidRPr="00C86111" w:rsidRDefault="004F6023" w:rsidP="00EA6904">
      <w:pPr>
        <w:pStyle w:val="Heading4"/>
        <w:rPr>
          <w:u w:val="single"/>
        </w:rPr>
      </w:pPr>
      <w:bookmarkStart w:id="476" w:name="_Toc220542006"/>
      <w:r w:rsidRPr="00C86111">
        <w:rPr>
          <w:rStyle w:val="Heading3Char"/>
        </w:rPr>
        <w:t>Projekat „Ekološki prihvatljivo upravljanje PCB-om u Crnoj Gori“ (2017–2021)</w:t>
      </w:r>
      <w:bookmarkEnd w:id="476"/>
      <w:r w:rsidRPr="00C86111">
        <w:rPr>
          <w:rStyle w:val="FootnoteReference"/>
          <w:rFonts w:eastAsiaTheme="majorEastAsia"/>
          <w:szCs w:val="24"/>
          <w:u w:val="single"/>
        </w:rPr>
        <w:footnoteReference w:id="1"/>
      </w:r>
    </w:p>
    <w:p w14:paraId="34A10E66"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rPr>
        <w:lastRenderedPageBreak/>
        <w:t xml:space="preserve">Finansiran uz podršku GEF-a i implementiran od strane UNDP-a u saradnji sa relevantnim institucijama i industrijskim subjektima. </w:t>
      </w:r>
      <w:r w:rsidRPr="00C86111">
        <w:rPr>
          <w:rFonts w:asciiTheme="minorHAnsi" w:hAnsiTheme="minorHAnsi" w:cstheme="minorHAnsi"/>
          <w:bCs/>
          <w:szCs w:val="24"/>
          <w:lang w:val="en-GB"/>
        </w:rPr>
        <w:t>Ukupna vrijednost projekta</w:t>
      </w:r>
      <w:r w:rsidRPr="00C86111">
        <w:rPr>
          <w:rFonts w:asciiTheme="minorHAnsi" w:hAnsiTheme="minorHAnsi" w:cstheme="minorHAnsi"/>
          <w:szCs w:val="24"/>
          <w:lang w:val="en-GB"/>
        </w:rPr>
        <w:t xml:space="preserve"> iznosi </w:t>
      </w:r>
      <w:r w:rsidRPr="00C86111">
        <w:rPr>
          <w:rFonts w:asciiTheme="minorHAnsi" w:hAnsiTheme="minorHAnsi" w:cstheme="minorHAnsi"/>
          <w:b/>
          <w:bCs/>
          <w:szCs w:val="24"/>
          <w:lang w:val="en-GB"/>
        </w:rPr>
        <w:t>23.353.691 USD</w:t>
      </w:r>
      <w:r w:rsidRPr="00C86111">
        <w:rPr>
          <w:rFonts w:asciiTheme="minorHAnsi" w:hAnsiTheme="minorHAnsi" w:cstheme="minorHAnsi"/>
          <w:szCs w:val="24"/>
          <w:lang w:val="en-GB"/>
        </w:rPr>
        <w:t>, od čega je:</w:t>
      </w:r>
    </w:p>
    <w:p w14:paraId="21B22C88" w14:textId="77777777" w:rsidR="004F6023" w:rsidRPr="00C86111" w:rsidRDefault="004F6023" w:rsidP="00833A40">
      <w:pPr>
        <w:numPr>
          <w:ilvl w:val="0"/>
          <w:numId w:val="67"/>
        </w:numPr>
        <w:jc w:val="both"/>
        <w:rPr>
          <w:rFonts w:asciiTheme="minorHAnsi" w:hAnsiTheme="minorHAnsi" w:cstheme="minorHAnsi"/>
          <w:szCs w:val="24"/>
          <w:lang w:val="en-GB"/>
        </w:rPr>
      </w:pPr>
      <w:r w:rsidRPr="00C86111">
        <w:rPr>
          <w:rFonts w:asciiTheme="minorHAnsi" w:hAnsiTheme="minorHAnsi" w:cstheme="minorHAnsi"/>
          <w:b/>
          <w:bCs/>
          <w:szCs w:val="24"/>
          <w:lang w:val="en-GB"/>
        </w:rPr>
        <w:t>3.500.000 USD</w:t>
      </w:r>
      <w:r w:rsidRPr="00C86111">
        <w:rPr>
          <w:rFonts w:asciiTheme="minorHAnsi" w:hAnsiTheme="minorHAnsi" w:cstheme="minorHAnsi"/>
          <w:szCs w:val="24"/>
          <w:lang w:val="en-GB"/>
        </w:rPr>
        <w:t xml:space="preserve"> obezbijeđeno kroz grant Globalnog fonda za životnu sredinu (GEF),</w:t>
      </w:r>
    </w:p>
    <w:p w14:paraId="4B633034" w14:textId="77777777" w:rsidR="004F6023" w:rsidRPr="00C86111" w:rsidRDefault="004F6023" w:rsidP="00833A40">
      <w:pPr>
        <w:numPr>
          <w:ilvl w:val="0"/>
          <w:numId w:val="67"/>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a preostalih </w:t>
      </w:r>
      <w:r w:rsidRPr="00C86111">
        <w:rPr>
          <w:rFonts w:asciiTheme="minorHAnsi" w:hAnsiTheme="minorHAnsi" w:cstheme="minorHAnsi"/>
          <w:b/>
          <w:bCs/>
          <w:szCs w:val="24"/>
          <w:lang w:val="en-GB"/>
        </w:rPr>
        <w:t>19.853.691 USD</w:t>
      </w:r>
      <w:r w:rsidRPr="00C86111">
        <w:rPr>
          <w:rFonts w:asciiTheme="minorHAnsi" w:hAnsiTheme="minorHAnsi" w:cstheme="minorHAnsi"/>
          <w:szCs w:val="24"/>
          <w:lang w:val="en-GB"/>
        </w:rPr>
        <w:t xml:space="preserve"> osigurali su Vlada Crne Gore, UNDP, KAP (Kombinat aluminijuma Podgorica) i CEDIS (Crnogorski elektrodistributivni sistem)</w:t>
      </w:r>
    </w:p>
    <w:p w14:paraId="373D09B7" w14:textId="77777777" w:rsidR="004F6023" w:rsidRPr="00C86111" w:rsidRDefault="004F6023" w:rsidP="004F6023">
      <w:pPr>
        <w:jc w:val="both"/>
        <w:rPr>
          <w:rFonts w:asciiTheme="minorHAnsi" w:hAnsiTheme="minorHAnsi" w:cstheme="minorHAnsi"/>
          <w:szCs w:val="24"/>
        </w:rPr>
      </w:pPr>
    </w:p>
    <w:p w14:paraId="3BAA8E9E"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Kroz navedni projekat realizovane su sljedeće aktivnosti:</w:t>
      </w:r>
    </w:p>
    <w:p w14:paraId="192E14C6" w14:textId="77777777" w:rsidR="004F6023" w:rsidRPr="00C86111" w:rsidRDefault="004F6023" w:rsidP="00833A40">
      <w:pPr>
        <w:pStyle w:val="ListParagraph"/>
        <w:numPr>
          <w:ilvl w:val="0"/>
          <w:numId w:val="62"/>
        </w:numPr>
        <w:jc w:val="both"/>
        <w:rPr>
          <w:rFonts w:asciiTheme="minorHAnsi" w:hAnsiTheme="minorHAnsi" w:cstheme="minorHAnsi"/>
          <w:szCs w:val="24"/>
        </w:rPr>
      </w:pPr>
      <w:r w:rsidRPr="00C86111">
        <w:rPr>
          <w:rFonts w:asciiTheme="minorHAnsi" w:hAnsiTheme="minorHAnsi" w:cstheme="minorHAnsi"/>
          <w:szCs w:val="24"/>
        </w:rPr>
        <w:t>Uspostavljen nacionalni inventar PCB opreme i otpada (preko 4.500 jedinica analizirano i uneseno u bazu).</w:t>
      </w:r>
    </w:p>
    <w:p w14:paraId="17DFAD73" w14:textId="77777777" w:rsidR="004F6023" w:rsidRPr="00C86111" w:rsidRDefault="004F6023" w:rsidP="00833A40">
      <w:pPr>
        <w:pStyle w:val="ListParagraph"/>
        <w:numPr>
          <w:ilvl w:val="0"/>
          <w:numId w:val="62"/>
        </w:numPr>
        <w:jc w:val="both"/>
        <w:rPr>
          <w:rFonts w:asciiTheme="minorHAnsi" w:hAnsiTheme="minorHAnsi" w:cstheme="minorHAnsi"/>
          <w:szCs w:val="24"/>
        </w:rPr>
      </w:pPr>
      <w:r w:rsidRPr="00C86111">
        <w:rPr>
          <w:rFonts w:asciiTheme="minorHAnsi" w:hAnsiTheme="minorHAnsi" w:cstheme="minorHAnsi"/>
          <w:szCs w:val="24"/>
        </w:rPr>
        <w:t>Obučeno osoblje industrije, inspekcije i državnih institucija.</w:t>
      </w:r>
    </w:p>
    <w:p w14:paraId="7B0DCD1F" w14:textId="77777777" w:rsidR="004F6023" w:rsidRPr="00C86111" w:rsidRDefault="004F6023" w:rsidP="00833A40">
      <w:pPr>
        <w:pStyle w:val="ListParagraph"/>
        <w:numPr>
          <w:ilvl w:val="0"/>
          <w:numId w:val="62"/>
        </w:numPr>
        <w:jc w:val="both"/>
        <w:rPr>
          <w:rFonts w:asciiTheme="minorHAnsi" w:hAnsiTheme="minorHAnsi" w:cstheme="minorHAnsi"/>
          <w:szCs w:val="24"/>
        </w:rPr>
      </w:pPr>
      <w:r w:rsidRPr="00C86111">
        <w:rPr>
          <w:rFonts w:asciiTheme="minorHAnsi" w:hAnsiTheme="minorHAnsi" w:cstheme="minorHAnsi"/>
          <w:szCs w:val="24"/>
        </w:rPr>
        <w:t>Rekonstruisano skladište na lokaciji KAP-a.</w:t>
      </w:r>
    </w:p>
    <w:p w14:paraId="5B830EE1" w14:textId="77777777" w:rsidR="004F6023" w:rsidRPr="00C86111" w:rsidRDefault="004F6023" w:rsidP="00833A40">
      <w:pPr>
        <w:pStyle w:val="ListParagraph"/>
        <w:numPr>
          <w:ilvl w:val="0"/>
          <w:numId w:val="62"/>
        </w:numPr>
        <w:jc w:val="both"/>
        <w:rPr>
          <w:rFonts w:asciiTheme="minorHAnsi" w:hAnsiTheme="minorHAnsi" w:cstheme="minorHAnsi"/>
          <w:szCs w:val="24"/>
        </w:rPr>
      </w:pPr>
      <w:r w:rsidRPr="00C86111">
        <w:rPr>
          <w:rFonts w:asciiTheme="minorHAnsi" w:hAnsiTheme="minorHAnsi" w:cstheme="minorHAnsi"/>
          <w:szCs w:val="24"/>
        </w:rPr>
        <w:t>Deponovano 475 tona PCB opreme i otpada; 80 tona dekontaminisano.</w:t>
      </w:r>
    </w:p>
    <w:p w14:paraId="4DDEA7E0" w14:textId="77777777" w:rsidR="004F6023" w:rsidRPr="00C86111" w:rsidRDefault="004F6023" w:rsidP="00833A40">
      <w:pPr>
        <w:pStyle w:val="ListParagraph"/>
        <w:numPr>
          <w:ilvl w:val="0"/>
          <w:numId w:val="62"/>
        </w:numPr>
        <w:jc w:val="both"/>
        <w:rPr>
          <w:rFonts w:asciiTheme="minorHAnsi" w:hAnsiTheme="minorHAnsi" w:cstheme="minorHAnsi"/>
          <w:szCs w:val="24"/>
        </w:rPr>
      </w:pPr>
      <w:r w:rsidRPr="00C86111">
        <w:rPr>
          <w:rFonts w:asciiTheme="minorHAnsi" w:hAnsiTheme="minorHAnsi" w:cstheme="minorHAnsi"/>
          <w:szCs w:val="24"/>
        </w:rPr>
        <w:t>Remedijacija zemljišta na KAP-u (1.050 tona PCB kontaminisanog zemljišta je uklonjeno).</w:t>
      </w:r>
    </w:p>
    <w:p w14:paraId="71DB29E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Projekat je uspješno završen 2022. godine.</w:t>
      </w:r>
      <w:r w:rsidRPr="00C86111">
        <w:rPr>
          <w:rStyle w:val="FootnoteReference"/>
          <w:rFonts w:cstheme="minorHAnsi"/>
          <w:szCs w:val="24"/>
        </w:rPr>
        <w:footnoteReference w:id="2"/>
      </w:r>
    </w:p>
    <w:p w14:paraId="6A9F6260" w14:textId="77777777" w:rsidR="004F6023" w:rsidRPr="00C86111" w:rsidRDefault="004F6023" w:rsidP="00EA6904">
      <w:pPr>
        <w:pStyle w:val="Heading4"/>
      </w:pPr>
      <w:r w:rsidRPr="00C86111">
        <w:t>Projekat „Jačanje sinergije između Bazelske, Roterdamske, Stokholmske i Minamata konvencije“</w:t>
      </w:r>
    </w:p>
    <w:p w14:paraId="02081E69"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Vrijednost ovog projekta je </w:t>
      </w:r>
      <w:r w:rsidRPr="00C86111">
        <w:rPr>
          <w:rFonts w:asciiTheme="minorHAnsi" w:hAnsiTheme="minorHAnsi" w:cstheme="minorHAnsi"/>
          <w:b/>
          <w:szCs w:val="24"/>
        </w:rPr>
        <w:t>249.737 USD</w:t>
      </w:r>
      <w:r w:rsidRPr="00C86111">
        <w:rPr>
          <w:rFonts w:asciiTheme="minorHAnsi" w:hAnsiTheme="minorHAnsi" w:cstheme="minorHAnsi"/>
          <w:szCs w:val="24"/>
        </w:rPr>
        <w:t xml:space="preserve"> uz in-kind kofinansiranje Ministarstva ekologije, održivog razvoja i razvoja sjevera. Implementiraju ga Ministarstvo ekologije i UNDP u saradnji sa UNEP-om. Projekat ima za cilj povezivanje četiri konvencije na nacionalnom nivou, uz unapređenje saradnje između institucija, zdravstvenog sektora i organizacija civilnog društva, kao i da unaprijedi trenutna zakonodavna rješenja u oblasti upravljanja hemikalijama i otpadom.</w:t>
      </w:r>
    </w:p>
    <w:p w14:paraId="0C83606A" w14:textId="77777777" w:rsidR="004F6023" w:rsidRPr="00C86111" w:rsidRDefault="004F6023" w:rsidP="004F6023">
      <w:pPr>
        <w:jc w:val="both"/>
        <w:rPr>
          <w:rFonts w:asciiTheme="minorHAnsi" w:hAnsiTheme="minorHAnsi" w:cstheme="minorHAnsi"/>
          <w:szCs w:val="24"/>
        </w:rPr>
      </w:pPr>
    </w:p>
    <w:p w14:paraId="271673D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Navedeno će se postići kroz: </w:t>
      </w:r>
    </w:p>
    <w:p w14:paraId="2365D0F7" w14:textId="77777777" w:rsidR="004F6023" w:rsidRPr="00C86111" w:rsidRDefault="004F6023" w:rsidP="00833A40">
      <w:pPr>
        <w:pStyle w:val="ListParagraph"/>
        <w:numPr>
          <w:ilvl w:val="0"/>
          <w:numId w:val="63"/>
        </w:numPr>
        <w:jc w:val="both"/>
        <w:rPr>
          <w:rFonts w:asciiTheme="minorHAnsi" w:hAnsiTheme="minorHAnsi" w:cstheme="minorHAnsi"/>
          <w:szCs w:val="24"/>
        </w:rPr>
      </w:pPr>
      <w:r w:rsidRPr="00C86111">
        <w:rPr>
          <w:rFonts w:asciiTheme="minorHAnsi" w:hAnsiTheme="minorHAnsi" w:cstheme="minorHAnsi"/>
          <w:szCs w:val="24"/>
        </w:rPr>
        <w:t xml:space="preserve">izradu i usvajanje javnih politika i regulatornih dokumenata o hemikalijama i otpadu; </w:t>
      </w:r>
    </w:p>
    <w:p w14:paraId="140E593B" w14:textId="77777777" w:rsidR="004F6023" w:rsidRPr="00C86111" w:rsidRDefault="004F6023" w:rsidP="00833A40">
      <w:pPr>
        <w:pStyle w:val="ListParagraph"/>
        <w:numPr>
          <w:ilvl w:val="0"/>
          <w:numId w:val="63"/>
        </w:numPr>
        <w:jc w:val="both"/>
        <w:rPr>
          <w:rFonts w:asciiTheme="minorHAnsi" w:hAnsiTheme="minorHAnsi" w:cstheme="minorHAnsi"/>
          <w:szCs w:val="24"/>
        </w:rPr>
      </w:pPr>
      <w:r w:rsidRPr="00C86111">
        <w:rPr>
          <w:rFonts w:asciiTheme="minorHAnsi" w:hAnsiTheme="minorHAnsi" w:cstheme="minorHAnsi"/>
          <w:szCs w:val="24"/>
        </w:rPr>
        <w:t xml:space="preserve">izgradnju kapaciteta i podizanja svijesti u cilju obezbjeđivanja sinergijskog pristupa upravljanju hemikalijama i otpadom u Crnoj Gori; </w:t>
      </w:r>
    </w:p>
    <w:p w14:paraId="0581DED4" w14:textId="77777777" w:rsidR="004F6023" w:rsidRPr="00C86111" w:rsidRDefault="004F6023" w:rsidP="00833A40">
      <w:pPr>
        <w:pStyle w:val="ListParagraph"/>
        <w:numPr>
          <w:ilvl w:val="0"/>
          <w:numId w:val="63"/>
        </w:numPr>
        <w:jc w:val="both"/>
        <w:rPr>
          <w:rFonts w:asciiTheme="minorHAnsi" w:hAnsiTheme="minorHAnsi" w:cstheme="minorHAnsi"/>
          <w:szCs w:val="24"/>
        </w:rPr>
      </w:pPr>
      <w:r w:rsidRPr="00C86111">
        <w:rPr>
          <w:rFonts w:asciiTheme="minorHAnsi" w:hAnsiTheme="minorHAnsi" w:cstheme="minorHAnsi"/>
          <w:szCs w:val="24"/>
        </w:rPr>
        <w:t>uspostavljanje efikasnog nacionalnog mehanizma za izvještavanje prema BRS i Minamata konvencijama.</w:t>
      </w:r>
    </w:p>
    <w:p w14:paraId="624E1131" w14:textId="77777777" w:rsidR="004F6023" w:rsidRPr="00C86111" w:rsidRDefault="004F6023" w:rsidP="004F6023">
      <w:pPr>
        <w:jc w:val="both"/>
        <w:rPr>
          <w:rFonts w:asciiTheme="minorHAnsi" w:hAnsiTheme="minorHAnsi" w:cstheme="minorHAnsi"/>
          <w:szCs w:val="24"/>
        </w:rPr>
      </w:pPr>
    </w:p>
    <w:p w14:paraId="67F66066"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U okrivu projekta su u prethodnom periodu izađena značajna dokumenta, kao što su: </w:t>
      </w:r>
    </w:p>
    <w:p w14:paraId="71DD183F"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t>Analiza nedostataka i potreba za implementaciju Bazelske, Roterdamske, Stokholmske i Minamata konvencije;</w:t>
      </w:r>
    </w:p>
    <w:p w14:paraId="49F81801"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t>Podzakonski akt vezan za otpad koji sadrži živu;</w:t>
      </w:r>
    </w:p>
    <w:p w14:paraId="4DBDC697"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t>Podzakonski akt vezan za otpad koji sadrži dugotrajne organske zagađujuće supstance;</w:t>
      </w:r>
      <w:r w:rsidRPr="00C86111">
        <w:rPr>
          <w:rStyle w:val="FootnoteReference"/>
          <w:rFonts w:cstheme="minorHAnsi"/>
          <w:szCs w:val="24"/>
        </w:rPr>
        <w:footnoteReference w:id="3"/>
      </w:r>
    </w:p>
    <w:p w14:paraId="04785BBC"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t>Zajednički akcioni plan za implementaciju BRS i Minamata konvencija;</w:t>
      </w:r>
    </w:p>
    <w:p w14:paraId="1863FCB6"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t>Upustvo za implementaciju Bazelske konvencije;</w:t>
      </w:r>
    </w:p>
    <w:p w14:paraId="4EE29B8C"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t>Upustvo za upravljanje dentalnim amalgamom;</w:t>
      </w:r>
    </w:p>
    <w:p w14:paraId="667623FF"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lastRenderedPageBreak/>
        <w:t>Upustvo za dugotrajne organske supstance (POPs) u e-otpadu;</w:t>
      </w:r>
      <w:r w:rsidRPr="00C86111">
        <w:rPr>
          <w:rStyle w:val="FootnoteReference"/>
          <w:rFonts w:cstheme="minorHAnsi"/>
          <w:szCs w:val="24"/>
        </w:rPr>
        <w:footnoteReference w:id="4"/>
      </w:r>
    </w:p>
    <w:p w14:paraId="5D4FDB2E" w14:textId="77777777" w:rsidR="004F6023" w:rsidRPr="00C86111" w:rsidRDefault="004F6023" w:rsidP="00833A40">
      <w:pPr>
        <w:pStyle w:val="ListParagraph"/>
        <w:numPr>
          <w:ilvl w:val="0"/>
          <w:numId w:val="64"/>
        </w:numPr>
        <w:jc w:val="both"/>
        <w:rPr>
          <w:rFonts w:asciiTheme="minorHAnsi" w:hAnsiTheme="minorHAnsi" w:cstheme="minorHAnsi"/>
          <w:szCs w:val="24"/>
        </w:rPr>
      </w:pPr>
      <w:r w:rsidRPr="00C86111">
        <w:rPr>
          <w:rFonts w:asciiTheme="minorHAnsi" w:hAnsiTheme="minorHAnsi" w:cstheme="minorHAnsi"/>
          <w:szCs w:val="24"/>
        </w:rPr>
        <w:t>Upustvo za implementaciju Roterdamske i Minamate konvencije za carinu.</w:t>
      </w:r>
    </w:p>
    <w:p w14:paraId="5B9862FA" w14:textId="77777777" w:rsidR="004F6023" w:rsidRPr="00C86111" w:rsidRDefault="004F6023" w:rsidP="004F6023">
      <w:pPr>
        <w:jc w:val="both"/>
        <w:rPr>
          <w:rFonts w:asciiTheme="minorHAnsi" w:hAnsiTheme="minorHAnsi" w:cstheme="minorHAnsi"/>
          <w:szCs w:val="24"/>
        </w:rPr>
      </w:pPr>
    </w:p>
    <w:p w14:paraId="0187D65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Komponentom 3 ovog projekta do kraja 2025 planirano je uspostavljanje efikasnog mehanizma za izvještavanje o BRS i Minamata konvenciji. U okviru ove komponente treba realizovati nekoliko aktivnosti:</w:t>
      </w:r>
    </w:p>
    <w:p w14:paraId="53358159" w14:textId="77777777" w:rsidR="004F6023" w:rsidRPr="00C86111" w:rsidRDefault="004F6023" w:rsidP="00833A40">
      <w:pPr>
        <w:pStyle w:val="ListParagraph"/>
        <w:numPr>
          <w:ilvl w:val="0"/>
          <w:numId w:val="65"/>
        </w:numPr>
        <w:jc w:val="both"/>
        <w:rPr>
          <w:rFonts w:asciiTheme="minorHAnsi" w:hAnsiTheme="minorHAnsi" w:cstheme="minorHAnsi"/>
          <w:szCs w:val="24"/>
        </w:rPr>
      </w:pPr>
      <w:r w:rsidRPr="00C86111">
        <w:rPr>
          <w:rFonts w:asciiTheme="minorHAnsi" w:hAnsiTheme="minorHAnsi" w:cstheme="minorHAnsi"/>
          <w:szCs w:val="24"/>
        </w:rPr>
        <w:t>Aktivnost 3.1. Izrada softvera za obradu podataka i izvještavanje</w:t>
      </w:r>
    </w:p>
    <w:p w14:paraId="46B003B8" w14:textId="77777777" w:rsidR="004F6023" w:rsidRPr="00C86111" w:rsidRDefault="004F6023" w:rsidP="00833A40">
      <w:pPr>
        <w:pStyle w:val="ListParagraph"/>
        <w:numPr>
          <w:ilvl w:val="0"/>
          <w:numId w:val="65"/>
        </w:numPr>
        <w:jc w:val="both"/>
        <w:rPr>
          <w:rFonts w:asciiTheme="minorHAnsi" w:hAnsiTheme="minorHAnsi" w:cstheme="minorHAnsi"/>
          <w:szCs w:val="24"/>
        </w:rPr>
      </w:pPr>
      <w:r w:rsidRPr="00C86111">
        <w:rPr>
          <w:rFonts w:asciiTheme="minorHAnsi" w:hAnsiTheme="minorHAnsi" w:cstheme="minorHAnsi"/>
          <w:szCs w:val="24"/>
        </w:rPr>
        <w:t>Aktivnosti 3.2. Definisanje postupaka za izvještavanje u skladu sa BRS i Minamata konvencije</w:t>
      </w:r>
    </w:p>
    <w:p w14:paraId="26001C80" w14:textId="51C747CA" w:rsidR="004F6023" w:rsidRPr="008015BD" w:rsidRDefault="004F6023" w:rsidP="009756DA">
      <w:pPr>
        <w:pStyle w:val="ListParagraph"/>
        <w:numPr>
          <w:ilvl w:val="0"/>
          <w:numId w:val="65"/>
        </w:numPr>
        <w:jc w:val="both"/>
        <w:rPr>
          <w:rFonts w:asciiTheme="minorHAnsi" w:hAnsiTheme="minorHAnsi" w:cstheme="minorHAnsi"/>
          <w:szCs w:val="24"/>
        </w:rPr>
      </w:pPr>
      <w:r w:rsidRPr="008015BD">
        <w:rPr>
          <w:rFonts w:asciiTheme="minorHAnsi" w:hAnsiTheme="minorHAnsi" w:cstheme="minorHAnsi"/>
          <w:szCs w:val="24"/>
        </w:rPr>
        <w:t xml:space="preserve">Aktivnost 3.3. Organizovati i održati obuke za službenike crnogorske administracije u vezi izvještavanja u skladu sa BRS i Minamata konvencijom </w:t>
      </w:r>
    </w:p>
    <w:p w14:paraId="0480ECDC" w14:textId="77777777" w:rsidR="004F6023" w:rsidRPr="00C86111" w:rsidRDefault="004F6023" w:rsidP="00EA6904">
      <w:pPr>
        <w:pStyle w:val="Heading4"/>
      </w:pPr>
      <w:r w:rsidRPr="00C86111">
        <w:t>Projekat MED (UNEP MAP) „Smanjenje zagađenja štetnim hemikalijama i otpadom u kritičnim tačkama Mediterana“</w:t>
      </w:r>
    </w:p>
    <w:p w14:paraId="0F1733E2"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 xml:space="preserve">Projekat je strukturiran kao regionalni, fokusirajući se na više mediteranskih zemalja pod jednim okvirom </w:t>
      </w:r>
      <w:r w:rsidRPr="00C86111">
        <w:rPr>
          <w:rFonts w:asciiTheme="minorHAnsi" w:hAnsiTheme="minorHAnsi" w:cstheme="minorHAnsi"/>
          <w:szCs w:val="24"/>
          <w:lang w:val="sr-Latn-ME"/>
        </w:rPr>
        <w:t>(Albanija, Crna Gora i Bosna i Hercegovina)</w:t>
      </w:r>
      <w:r w:rsidRPr="00C86111">
        <w:rPr>
          <w:rFonts w:asciiTheme="minorHAnsi" w:hAnsiTheme="minorHAnsi" w:cstheme="minorHAnsi"/>
          <w:szCs w:val="24"/>
          <w:lang w:val="en-GB"/>
        </w:rPr>
        <w:t>.</w:t>
      </w:r>
    </w:p>
    <w:p w14:paraId="082E1EE0" w14:textId="77777777" w:rsidR="004F6023" w:rsidRPr="00C86111" w:rsidRDefault="004F6023" w:rsidP="004F6023">
      <w:pPr>
        <w:jc w:val="both"/>
        <w:rPr>
          <w:rFonts w:asciiTheme="minorHAnsi" w:hAnsiTheme="minorHAnsi" w:cstheme="minorHAnsi"/>
          <w:b/>
          <w:szCs w:val="24"/>
          <w:lang w:val="en-GB"/>
        </w:rPr>
      </w:pPr>
      <w:r w:rsidRPr="00C86111">
        <w:rPr>
          <w:rFonts w:asciiTheme="minorHAnsi" w:hAnsiTheme="minorHAnsi" w:cstheme="minorHAnsi"/>
          <w:szCs w:val="24"/>
          <w:lang w:val="en-GB"/>
        </w:rPr>
        <w:t xml:space="preserve">Ukupna vrijednost projekta (engl. </w:t>
      </w:r>
      <w:r w:rsidRPr="00C86111">
        <w:rPr>
          <w:rFonts w:asciiTheme="minorHAnsi" w:hAnsiTheme="minorHAnsi" w:cstheme="minorHAnsi"/>
          <w:i/>
          <w:iCs/>
          <w:szCs w:val="24"/>
          <w:lang w:val="en-GB"/>
        </w:rPr>
        <w:t>"Reducing Pollution from Harmful Chemicals and Wastes in Mediterranean Hot Spots and Measuring Progress to Impacts"</w:t>
      </w:r>
      <w:r w:rsidRPr="00C86111">
        <w:rPr>
          <w:rFonts w:asciiTheme="minorHAnsi" w:hAnsiTheme="minorHAnsi" w:cstheme="minorHAnsi"/>
          <w:szCs w:val="24"/>
          <w:lang w:val="en-GB"/>
        </w:rPr>
        <w:t xml:space="preserve">) iznosi otprilike </w:t>
      </w:r>
      <w:r w:rsidRPr="00C86111">
        <w:rPr>
          <w:rFonts w:asciiTheme="minorHAnsi" w:hAnsiTheme="minorHAnsi" w:cstheme="minorHAnsi"/>
          <w:b/>
          <w:bCs/>
          <w:szCs w:val="24"/>
          <w:lang w:val="en-GB"/>
        </w:rPr>
        <w:t>67.396.727 USD</w:t>
      </w:r>
      <w:r w:rsidRPr="00C86111">
        <w:rPr>
          <w:rFonts w:asciiTheme="minorHAnsi" w:hAnsiTheme="minorHAnsi" w:cstheme="minorHAnsi"/>
          <w:b/>
          <w:szCs w:val="24"/>
          <w:lang w:val="en-GB"/>
        </w:rPr>
        <w:t>.</w:t>
      </w:r>
    </w:p>
    <w:p w14:paraId="33B1DBE5"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Ta brojka uključuje:</w:t>
      </w:r>
    </w:p>
    <w:p w14:paraId="494DA799" w14:textId="77777777" w:rsidR="004F6023" w:rsidRPr="00C86111" w:rsidRDefault="004F6023" w:rsidP="00833A40">
      <w:pPr>
        <w:numPr>
          <w:ilvl w:val="0"/>
          <w:numId w:val="70"/>
        </w:numPr>
        <w:jc w:val="both"/>
        <w:rPr>
          <w:rFonts w:asciiTheme="minorHAnsi" w:hAnsiTheme="minorHAnsi" w:cstheme="minorHAnsi"/>
          <w:szCs w:val="24"/>
          <w:lang w:val="en-GB"/>
        </w:rPr>
      </w:pPr>
      <w:r w:rsidRPr="00C86111">
        <w:rPr>
          <w:rFonts w:asciiTheme="minorHAnsi" w:hAnsiTheme="minorHAnsi" w:cstheme="minorHAnsi"/>
          <w:bCs/>
          <w:szCs w:val="24"/>
          <w:lang w:val="en-GB"/>
        </w:rPr>
        <w:t>Grant GEF sredstva</w:t>
      </w:r>
      <w:r w:rsidRPr="00C86111">
        <w:rPr>
          <w:rFonts w:asciiTheme="minorHAnsi" w:hAnsiTheme="minorHAnsi" w:cstheme="minorHAnsi"/>
          <w:szCs w:val="24"/>
          <w:lang w:val="en-GB"/>
        </w:rPr>
        <w:t xml:space="preserve">: </w:t>
      </w:r>
      <w:r w:rsidRPr="00C86111">
        <w:rPr>
          <w:rFonts w:asciiTheme="minorHAnsi" w:hAnsiTheme="minorHAnsi" w:cstheme="minorHAnsi"/>
          <w:b/>
          <w:bCs/>
          <w:szCs w:val="24"/>
          <w:lang w:val="en-GB"/>
        </w:rPr>
        <w:t>14.250.000 USD</w:t>
      </w:r>
    </w:p>
    <w:p w14:paraId="43237664" w14:textId="77777777" w:rsidR="004F6023" w:rsidRPr="00C86111" w:rsidRDefault="004F6023" w:rsidP="00833A40">
      <w:pPr>
        <w:numPr>
          <w:ilvl w:val="0"/>
          <w:numId w:val="70"/>
        </w:numPr>
        <w:jc w:val="both"/>
        <w:rPr>
          <w:rFonts w:asciiTheme="minorHAnsi" w:hAnsiTheme="minorHAnsi" w:cstheme="minorHAnsi"/>
          <w:b/>
          <w:szCs w:val="24"/>
          <w:lang w:val="en-GB"/>
        </w:rPr>
      </w:pPr>
      <w:r w:rsidRPr="00C86111">
        <w:rPr>
          <w:rFonts w:asciiTheme="minorHAnsi" w:hAnsiTheme="minorHAnsi" w:cstheme="minorHAnsi"/>
          <w:bCs/>
          <w:szCs w:val="24"/>
          <w:lang w:val="en-GB"/>
        </w:rPr>
        <w:t>Ko-finansiranje</w:t>
      </w:r>
      <w:r w:rsidRPr="00C86111">
        <w:rPr>
          <w:rFonts w:asciiTheme="minorHAnsi" w:hAnsiTheme="minorHAnsi" w:cstheme="minorHAnsi"/>
          <w:szCs w:val="24"/>
          <w:lang w:val="en-GB"/>
        </w:rPr>
        <w:t xml:space="preserve"> (doprinos partnera, zemalja učesnica i drugih izvora): </w:t>
      </w:r>
      <w:r w:rsidRPr="00C86111">
        <w:rPr>
          <w:rFonts w:asciiTheme="minorHAnsi" w:hAnsiTheme="minorHAnsi" w:cstheme="minorHAnsi"/>
          <w:b/>
          <w:bCs/>
          <w:szCs w:val="24"/>
          <w:lang w:val="en-GB"/>
        </w:rPr>
        <w:t>53.146.727 USD</w:t>
      </w:r>
      <w:r w:rsidRPr="00C86111">
        <w:rPr>
          <w:rFonts w:asciiTheme="minorHAnsi" w:hAnsiTheme="minorHAnsi" w:cstheme="minorHAnsi"/>
          <w:b/>
          <w:szCs w:val="24"/>
          <w:lang w:val="en-GB"/>
        </w:rPr>
        <w:t>.</w:t>
      </w:r>
    </w:p>
    <w:p w14:paraId="4281C40D" w14:textId="77777777" w:rsidR="004F6023" w:rsidRPr="00C86111" w:rsidRDefault="004F6023" w:rsidP="004F6023">
      <w:pPr>
        <w:jc w:val="both"/>
        <w:rPr>
          <w:rFonts w:asciiTheme="minorHAnsi" w:hAnsiTheme="minorHAnsi" w:cstheme="minorHAnsi"/>
          <w:b/>
          <w:szCs w:val="24"/>
        </w:rPr>
      </w:pPr>
    </w:p>
    <w:p w14:paraId="074B0BE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Prema projektnom dokumentu, Crna Gora je uključena u dvije aktivnosti koje se odnose na hemikalije i otpad, jednu za odlaganje PCB-a i jednu koja se odnosi na procjenu zagađenosti lokacije Bokokotorskog zaliva koja razmatra opcije za sanaciju kontaminiranih morskih sedimenata (teški metali, PAH i PCB)“.</w:t>
      </w:r>
    </w:p>
    <w:p w14:paraId="65137274" w14:textId="77777777" w:rsidR="004F6023" w:rsidRPr="00C86111" w:rsidRDefault="004F6023" w:rsidP="004F6023">
      <w:pPr>
        <w:jc w:val="both"/>
        <w:rPr>
          <w:rFonts w:asciiTheme="minorHAnsi" w:hAnsiTheme="minorHAnsi" w:cstheme="minorHAnsi"/>
          <w:szCs w:val="24"/>
        </w:rPr>
      </w:pPr>
    </w:p>
    <w:p w14:paraId="361AC36D"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Tokom 2023. godine urađene su analize od strane CETI-ja na lokacijama Porto Montenegro, Brodogradilište i marina „Navar“, Aerodrom Tivat, Luka Risan. Rezultati su pokazali da u Porto Montenegru postoji visoko zagađenje Hg, PAH i PCB, u Luci Risan je prisutno zagađenje, ali ukupni ekološki rizik procijenjen kao nizak, dok je na lokacijama Navar i Aerodrom Tivat nizak ekološki rizik – hrom i nikal vjerovatno prirodnog porijekla.</w:t>
      </w:r>
    </w:p>
    <w:p w14:paraId="3BC80D08" w14:textId="77777777" w:rsidR="004F6023" w:rsidRPr="00C86111" w:rsidRDefault="004F6023" w:rsidP="004F6023">
      <w:pPr>
        <w:jc w:val="both"/>
        <w:rPr>
          <w:rFonts w:asciiTheme="minorHAnsi" w:hAnsiTheme="minorHAnsi" w:cstheme="minorHAnsi"/>
          <w:szCs w:val="24"/>
        </w:rPr>
      </w:pPr>
    </w:p>
    <w:p w14:paraId="04A8BCFC"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Druga aktivnost projekta obuhvata izvoz zaostale količine opreme koja sadrži polihlorovane bifenile (PCB-a) sa lokacija KAP-a (35t PCB opreme) i CEDIS-a (40t). Izvoz ovih količina planiran je do kraja 2025. godine. Izvoz ovog otpada će se sprovesti kroz zajednički regionalni tender za uklanjanje PCB-a iz Albanije, BiH i CG. Usluge moraju biti u skladu sa svim nacionalnim relevantnim i važećim zakonima u Albaniji, Bosni i Hercegovini i Crnoj Gori zajedno sa zahtjevima i specifikacijama procedura izvoza – uvoza otpada, predviđenih Bazelskom konvencijom. Eliminacija transformatora i kondenzatora koji sadrže PCB u Albaniji, Bosni i Hercegovini i Crnoj </w:t>
      </w:r>
      <w:r w:rsidRPr="00C86111">
        <w:rPr>
          <w:rFonts w:asciiTheme="minorHAnsi" w:hAnsiTheme="minorHAnsi" w:cstheme="minorHAnsi"/>
          <w:szCs w:val="24"/>
        </w:rPr>
        <w:lastRenderedPageBreak/>
        <w:t>Gori i</w:t>
      </w:r>
      <w:r w:rsidRPr="00C86111">
        <w:rPr>
          <w:rFonts w:asciiTheme="minorHAnsi" w:hAnsiTheme="minorHAnsi" w:cstheme="minorHAnsi"/>
          <w:szCs w:val="24"/>
          <w:lang w:val="sr-Latn-ME"/>
        </w:rPr>
        <w:t xml:space="preserve">zvršiće se </w:t>
      </w:r>
      <w:r w:rsidRPr="00C86111">
        <w:rPr>
          <w:rFonts w:asciiTheme="minorHAnsi" w:hAnsiTheme="minorHAnsi" w:cstheme="minorHAnsi"/>
          <w:szCs w:val="24"/>
        </w:rPr>
        <w:t>kroz odvodnjavanje, etiketiranje, pakovanje, transport, otpremu i zvučno odlaganje PCB otpada (za opremu koja se povlači iz upotrebe).</w:t>
      </w:r>
    </w:p>
    <w:p w14:paraId="5866B130" w14:textId="77777777" w:rsidR="004F6023" w:rsidRPr="00C86111" w:rsidRDefault="004F6023" w:rsidP="004F6023">
      <w:pPr>
        <w:jc w:val="both"/>
        <w:rPr>
          <w:rFonts w:asciiTheme="minorHAnsi" w:hAnsiTheme="minorHAnsi" w:cstheme="minorHAnsi"/>
          <w:szCs w:val="24"/>
        </w:rPr>
      </w:pPr>
    </w:p>
    <w:p w14:paraId="76A86DA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Takođe, u novembru 2023. godine Crnu Goru je posjetio producent angažovan od strane UNEP/MAP, koji je pripremio kratak video na temu ovog projekta. Video je pripremljen i može se naći na sljedećem linku: Montenegro -- </w:t>
      </w:r>
      <w:hyperlink r:id="rId77" w:history="1">
        <w:r w:rsidRPr="00C86111">
          <w:rPr>
            <w:rStyle w:val="Hyperlink"/>
            <w:rFonts w:asciiTheme="minorHAnsi" w:hAnsiTheme="minorHAnsi" w:cstheme="minorHAnsi"/>
            <w:szCs w:val="24"/>
          </w:rPr>
          <w:t>https://vimeo.com/905362400/d1dda07e42</w:t>
        </w:r>
      </w:hyperlink>
      <w:r w:rsidRPr="00C86111">
        <w:rPr>
          <w:rFonts w:asciiTheme="minorHAnsi" w:hAnsiTheme="minorHAnsi" w:cstheme="minorHAnsi"/>
          <w:szCs w:val="24"/>
        </w:rPr>
        <w:t xml:space="preserve"> </w:t>
      </w:r>
    </w:p>
    <w:p w14:paraId="3682A89C" w14:textId="77777777" w:rsidR="004F6023" w:rsidRPr="00C86111" w:rsidRDefault="004F6023" w:rsidP="004F6023">
      <w:pPr>
        <w:jc w:val="both"/>
        <w:rPr>
          <w:rFonts w:asciiTheme="minorHAnsi" w:hAnsiTheme="minorHAnsi" w:cstheme="minorHAnsi"/>
          <w:szCs w:val="24"/>
        </w:rPr>
      </w:pPr>
    </w:p>
    <w:p w14:paraId="4D8B2A89"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U okviru ovog projekta sprovedena je i edukacija ranjivih grupa (RAI populacija) u saradnji sa MED WAVES i NVO „Koračajte sa nama – Phiren Amenca“. Radionice su održane 3. juna u Beranama i 12. juna u Podgorici, uz podršku Romske organizacije mladih "Koračajte sa nama – Phiren Amenca", koja vodi terenski rad sa zajednicom, i konsultantske kuće Tauw, koja je pripremila edukativni sadržaj prilagođen potrebama ove ciljne grupe. Ove aktivnosti predstavljaju važan korak u jačanju kapaciteta lokalnih zajednica i podizanju ekološke svijesti, posebno unutar ranjivih grupa poput RAI populacije.</w:t>
      </w:r>
      <w:r w:rsidRPr="00C86111">
        <w:rPr>
          <w:rStyle w:val="FootnoteReference"/>
          <w:rFonts w:cstheme="minorHAnsi"/>
          <w:szCs w:val="24"/>
        </w:rPr>
        <w:footnoteReference w:id="5"/>
      </w:r>
    </w:p>
    <w:p w14:paraId="6EEB96A5" w14:textId="77777777" w:rsidR="004F6023" w:rsidRPr="00C86111" w:rsidRDefault="004F6023" w:rsidP="004F6023">
      <w:pPr>
        <w:jc w:val="both"/>
        <w:rPr>
          <w:rFonts w:asciiTheme="minorHAnsi" w:hAnsiTheme="minorHAnsi" w:cstheme="minorHAnsi"/>
          <w:szCs w:val="24"/>
        </w:rPr>
      </w:pPr>
    </w:p>
    <w:p w14:paraId="5EFF1FB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J</w:t>
      </w:r>
      <w:r w:rsidRPr="00C86111">
        <w:rPr>
          <w:rFonts w:asciiTheme="minorHAnsi" w:hAnsiTheme="minorHAnsi" w:cstheme="minorHAnsi"/>
          <w:szCs w:val="24"/>
          <w:lang w:val="sr-Latn-ME"/>
        </w:rPr>
        <w:t>oš jedna značajna komponenta koja je realizovana kroz navedni p</w:t>
      </w:r>
      <w:r w:rsidRPr="00C86111">
        <w:rPr>
          <w:rFonts w:asciiTheme="minorHAnsi" w:hAnsiTheme="minorHAnsi" w:cstheme="minorHAnsi"/>
          <w:szCs w:val="24"/>
        </w:rPr>
        <w:t>rojekat je i „Istraživanje prisustva PFAS u pjenama za gašenje požara u Crnoj Gori“. Cilj ove aktivnosti je bila identifikacija i procjena prisustva per- i polifluoroalkilnih supstanci (PFAS) u pjenama za gašenje požara korišćenim u Crnoj Gori, sa fokusom na zaštitu životne sredine i zdravlja ljudi. Za realizovanje ovog istraživanja angažovana je akreditovana laboratorija CETI-ja, koja je prikupila uzorke iz vatrogasnih jedinica i industrijskih objekata. Sprovedeno istraživanje ukazalo je na prisustvo per- i polifluoroalkilnih supstanci (PFAS) u određenim vrstama pjena koje se koriste u vatrogasnim jedinicama i industrijskim postrojenjima širom Crne Gore. Ovi rezultati potvrđuju da se značajne količine pjena koje sadrže PFAS još uvijek nalaze u upotrebi, čime predstavljaju potencijalni rizik po zdravlje ljudi i životnu sredinu.</w:t>
      </w:r>
    </w:p>
    <w:p w14:paraId="7C709F58" w14:textId="77777777" w:rsidR="004F6023" w:rsidRPr="00C86111" w:rsidRDefault="004F6023" w:rsidP="004F6023">
      <w:pPr>
        <w:jc w:val="both"/>
        <w:rPr>
          <w:rFonts w:asciiTheme="minorHAnsi" w:hAnsiTheme="minorHAnsi" w:cstheme="minorHAnsi"/>
          <w:szCs w:val="24"/>
        </w:rPr>
      </w:pPr>
    </w:p>
    <w:p w14:paraId="079DFA71"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Nalazi istraživanja ukazuju na potrebu hitne zamjene postojećih pjena ekološki prihvatljivijim alternativama, posebno u kritičnim sektorima gdje je njihova upotreba najintenzivnija. Istovremeno, ustanovljeno je da u zemlji ne postoji dovoljno razvijen sistem za praćenje i vođenje evidencije o zalihama, distribuciji i upotrebi ovih materijala. Ovaj nedostatak otežava planiranje adekvatnih mjera sanacije i kontrolu budućih tokova PFAS supstanci.</w:t>
      </w:r>
    </w:p>
    <w:p w14:paraId="529D841C" w14:textId="77777777" w:rsidR="004F6023" w:rsidRPr="00C86111" w:rsidRDefault="004F6023" w:rsidP="004F6023">
      <w:pPr>
        <w:jc w:val="both"/>
        <w:rPr>
          <w:rFonts w:asciiTheme="minorHAnsi" w:hAnsiTheme="minorHAnsi" w:cstheme="minorHAnsi"/>
          <w:szCs w:val="24"/>
        </w:rPr>
      </w:pPr>
    </w:p>
    <w:p w14:paraId="7FE215D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Istraživanje je takođe pokazalo da je nivo informisanosti i stručne osposobljenosti zaposlenih u vatrogasnim jedinicama, kao i predstavnika industrije, nedovoljan za efikasno i bezbjedno upravljanje ovim hemikalijama. Uočena je potreba za jačanjem regulatornog okvira kroz donošenje jasnih zabrana i ograničenja upotrebe PFAS pjena, usklađenih sa zahtjevima Evropske unije i međunarodnih konvencija, prvenstveno Stokholmske konvencije.</w:t>
      </w:r>
    </w:p>
    <w:p w14:paraId="1F6BBF21" w14:textId="77777777" w:rsidR="004F6023" w:rsidRPr="00C86111" w:rsidRDefault="004F6023" w:rsidP="007A23C1"/>
    <w:p w14:paraId="0390247E" w14:textId="77777777" w:rsidR="004F6023" w:rsidRPr="00C86111" w:rsidRDefault="004F6023" w:rsidP="007A23C1">
      <w:pPr>
        <w:rPr>
          <w:lang w:val="sr-Latn-ME"/>
        </w:rPr>
      </w:pPr>
      <w:r w:rsidRPr="00C86111">
        <w:rPr>
          <w:rStyle w:val="Heading4Char"/>
        </w:rPr>
        <w:lastRenderedPageBreak/>
        <w:t>Uputstvo namijenjeno operaterima i reciklerima otpada o rizicima koje nosi rukovanje otpadom koji sadrži PBDEs, HBB i HBCD hemikalije</w:t>
      </w:r>
      <w:r w:rsidRPr="00C86111">
        <w:rPr>
          <w:rStyle w:val="FootnoteReference"/>
          <w:rFonts w:eastAsiaTheme="majorEastAsia"/>
          <w:szCs w:val="24"/>
          <w:u w:val="single"/>
          <w:lang w:val="sr-Latn-ME"/>
        </w:rPr>
        <w:footnoteReference w:id="6"/>
      </w:r>
    </w:p>
    <w:p w14:paraId="4BD49E89" w14:textId="77777777" w:rsidR="004F6023" w:rsidRPr="00C86111" w:rsidRDefault="004F6023" w:rsidP="007A23C1">
      <w:pPr>
        <w:rPr>
          <w:rFonts w:asciiTheme="minorHAnsi" w:hAnsiTheme="minorHAnsi" w:cstheme="minorHAnsi"/>
          <w:b/>
          <w:szCs w:val="24"/>
          <w:lang w:val="sr-Latn-ME"/>
        </w:rPr>
      </w:pPr>
    </w:p>
    <w:p w14:paraId="36D2C06B" w14:textId="77777777" w:rsidR="004F6023" w:rsidRPr="00C86111" w:rsidRDefault="004F6023" w:rsidP="004F6023">
      <w:pPr>
        <w:jc w:val="both"/>
        <w:rPr>
          <w:rFonts w:asciiTheme="minorHAnsi" w:hAnsiTheme="minorHAnsi" w:cstheme="minorHAnsi"/>
          <w:szCs w:val="24"/>
          <w:lang w:val="sr-Latn-ME"/>
        </w:rPr>
      </w:pPr>
      <w:r w:rsidRPr="00C86111">
        <w:rPr>
          <w:rFonts w:asciiTheme="minorHAnsi" w:hAnsiTheme="minorHAnsi" w:cstheme="minorHAnsi"/>
          <w:szCs w:val="24"/>
          <w:lang w:val="sr-Latn-ME"/>
        </w:rPr>
        <w:t>Dokument je tadašnje Ministarstvo ekologije, prostornog planiranja i urbanizma pripremilo kao jednu od aktivnosti koja je planirana prošlim NIPom i isto je finansirano kroz nabavku male vrijednosti iz budžeta Ministarstva.</w:t>
      </w:r>
    </w:p>
    <w:p w14:paraId="4E2C89C2" w14:textId="77777777" w:rsidR="004F6023" w:rsidRPr="00C86111" w:rsidRDefault="004F6023" w:rsidP="004F6023">
      <w:pPr>
        <w:jc w:val="both"/>
        <w:rPr>
          <w:rFonts w:asciiTheme="minorHAnsi" w:hAnsiTheme="minorHAnsi" w:cstheme="minorHAnsi"/>
          <w:szCs w:val="24"/>
          <w:lang w:val="sr-Latn-ME"/>
        </w:rPr>
      </w:pPr>
    </w:p>
    <w:p w14:paraId="1DADBCDB"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Uputstvo se fokusira na bezbjedno rukovanje otpadom koji sadrži opasne bromovane usporivače sagorijevanja – prvenstveno PBDEs (polibromovani difenil etri), HBB (heksabromobifenil) i HBCD (heksabromociklododekan). Ove hemikalije su klasifikovane kao dugotrajni organski zagađivači (POPs) i zabranjene su ili ograničene prema Stokholmskoj konvenciji zbog svoje toksičnosti, bioakumulacije i dugotrajne postojanosti u životnoj sredini.</w:t>
      </w:r>
    </w:p>
    <w:p w14:paraId="2D32EE2F" w14:textId="77777777" w:rsidR="004F6023" w:rsidRPr="00C86111" w:rsidRDefault="004F6023" w:rsidP="004F6023">
      <w:pPr>
        <w:jc w:val="both"/>
        <w:rPr>
          <w:rFonts w:asciiTheme="minorHAnsi" w:hAnsiTheme="minorHAnsi" w:cstheme="minorHAnsi"/>
          <w:szCs w:val="24"/>
        </w:rPr>
      </w:pPr>
    </w:p>
    <w:p w14:paraId="15E845A3"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U cilju smanjenja izloženosti, uputstvo daje jasne preporuke za radnike:</w:t>
      </w:r>
    </w:p>
    <w:p w14:paraId="0AC43969" w14:textId="77777777" w:rsidR="004F6023" w:rsidRPr="00C86111" w:rsidRDefault="004F6023" w:rsidP="00833A40">
      <w:pPr>
        <w:pStyle w:val="ListParagraph"/>
        <w:numPr>
          <w:ilvl w:val="0"/>
          <w:numId w:val="72"/>
        </w:numPr>
        <w:jc w:val="both"/>
        <w:rPr>
          <w:rFonts w:asciiTheme="minorHAnsi" w:hAnsiTheme="minorHAnsi" w:cstheme="minorHAnsi"/>
          <w:szCs w:val="24"/>
        </w:rPr>
      </w:pPr>
      <w:r w:rsidRPr="00C86111">
        <w:rPr>
          <w:rFonts w:asciiTheme="minorHAnsi" w:hAnsiTheme="minorHAnsi" w:cstheme="minorHAnsi"/>
          <w:szCs w:val="24"/>
        </w:rPr>
        <w:t>Pri prikupljanju i istovaru kabastog otpada – koristiti ličnu zaštitnu opremu i izbjegavati kontakt s potencijalno kontaminiranim materijalima.</w:t>
      </w:r>
    </w:p>
    <w:p w14:paraId="24DB37A7" w14:textId="77777777" w:rsidR="004F6023" w:rsidRPr="00C86111" w:rsidRDefault="004F6023" w:rsidP="00833A40">
      <w:pPr>
        <w:pStyle w:val="ListParagraph"/>
        <w:numPr>
          <w:ilvl w:val="0"/>
          <w:numId w:val="72"/>
        </w:numPr>
        <w:jc w:val="both"/>
        <w:rPr>
          <w:rFonts w:asciiTheme="minorHAnsi" w:hAnsiTheme="minorHAnsi" w:cstheme="minorHAnsi"/>
          <w:szCs w:val="24"/>
        </w:rPr>
      </w:pPr>
      <w:r w:rsidRPr="00C86111">
        <w:rPr>
          <w:rFonts w:asciiTheme="minorHAnsi" w:hAnsiTheme="minorHAnsi" w:cstheme="minorHAnsi"/>
          <w:szCs w:val="24"/>
        </w:rPr>
        <w:t>U reciklažnim centrima – sprovoditi selekciju, koristiti ventilaciju i edukovati zaposlene o hemijskim rizicima.</w:t>
      </w:r>
    </w:p>
    <w:p w14:paraId="08F2D897" w14:textId="77777777" w:rsidR="004F6023" w:rsidRPr="00C86111" w:rsidRDefault="004F6023" w:rsidP="00833A40">
      <w:pPr>
        <w:pStyle w:val="ListParagraph"/>
        <w:numPr>
          <w:ilvl w:val="0"/>
          <w:numId w:val="72"/>
        </w:numPr>
        <w:jc w:val="both"/>
        <w:rPr>
          <w:rFonts w:asciiTheme="minorHAnsi" w:hAnsiTheme="minorHAnsi" w:cstheme="minorHAnsi"/>
          <w:szCs w:val="24"/>
        </w:rPr>
      </w:pPr>
      <w:r w:rsidRPr="00C86111">
        <w:rPr>
          <w:rFonts w:asciiTheme="minorHAnsi" w:hAnsiTheme="minorHAnsi" w:cstheme="minorHAnsi"/>
          <w:szCs w:val="24"/>
        </w:rPr>
        <w:t>Uvedene su i rodnosenzitivne mjere zaštite, koje uzimaju u obzir biološke i socijalne razlike u izloženosti između muškaraca i žena.</w:t>
      </w:r>
    </w:p>
    <w:p w14:paraId="676BC0F1" w14:textId="77777777" w:rsidR="004F6023" w:rsidRPr="00C86111" w:rsidRDefault="004F6023" w:rsidP="004F6023">
      <w:pPr>
        <w:jc w:val="both"/>
        <w:rPr>
          <w:rFonts w:asciiTheme="minorHAnsi" w:hAnsiTheme="minorHAnsi" w:cstheme="minorHAnsi"/>
          <w:szCs w:val="24"/>
        </w:rPr>
      </w:pPr>
    </w:p>
    <w:p w14:paraId="2BD5BE36"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Dokument predstavlja važan alat za:</w:t>
      </w:r>
    </w:p>
    <w:p w14:paraId="41EEDD3B" w14:textId="77777777" w:rsidR="004F6023" w:rsidRPr="00C86111" w:rsidRDefault="004F6023" w:rsidP="00833A40">
      <w:pPr>
        <w:numPr>
          <w:ilvl w:val="0"/>
          <w:numId w:val="68"/>
        </w:numPr>
        <w:jc w:val="both"/>
        <w:rPr>
          <w:rFonts w:asciiTheme="minorHAnsi" w:hAnsiTheme="minorHAnsi" w:cstheme="minorHAnsi"/>
          <w:szCs w:val="24"/>
          <w:lang w:val="en-GB"/>
        </w:rPr>
      </w:pPr>
      <w:r w:rsidRPr="00C86111">
        <w:rPr>
          <w:rFonts w:asciiTheme="minorHAnsi" w:hAnsiTheme="minorHAnsi" w:cstheme="minorHAnsi"/>
          <w:b/>
          <w:bCs/>
          <w:szCs w:val="24"/>
          <w:lang w:val="en-GB"/>
        </w:rPr>
        <w:t>Operatere</w:t>
      </w:r>
      <w:r w:rsidRPr="00C86111">
        <w:rPr>
          <w:rFonts w:asciiTheme="minorHAnsi" w:hAnsiTheme="minorHAnsi" w:cstheme="minorHAnsi"/>
          <w:szCs w:val="24"/>
          <w:lang w:val="en-GB"/>
        </w:rPr>
        <w:t>, koji upravljaju otpadom u ranoj fazi (prikupljanje, transport),</w:t>
      </w:r>
    </w:p>
    <w:p w14:paraId="03AA0272" w14:textId="77777777" w:rsidR="004F6023" w:rsidRPr="00C86111" w:rsidRDefault="004F6023" w:rsidP="00833A40">
      <w:pPr>
        <w:numPr>
          <w:ilvl w:val="0"/>
          <w:numId w:val="68"/>
        </w:numPr>
        <w:jc w:val="both"/>
        <w:rPr>
          <w:rFonts w:asciiTheme="minorHAnsi" w:hAnsiTheme="minorHAnsi" w:cstheme="minorHAnsi"/>
          <w:szCs w:val="24"/>
          <w:lang w:val="en-GB"/>
        </w:rPr>
      </w:pPr>
      <w:r w:rsidRPr="00C86111">
        <w:rPr>
          <w:rFonts w:asciiTheme="minorHAnsi" w:hAnsiTheme="minorHAnsi" w:cstheme="minorHAnsi"/>
          <w:b/>
          <w:bCs/>
          <w:szCs w:val="24"/>
          <w:lang w:val="en-GB"/>
        </w:rPr>
        <w:t>Reciklere</w:t>
      </w:r>
      <w:r w:rsidRPr="00C86111">
        <w:rPr>
          <w:rFonts w:asciiTheme="minorHAnsi" w:hAnsiTheme="minorHAnsi" w:cstheme="minorHAnsi"/>
          <w:szCs w:val="24"/>
          <w:lang w:val="en-GB"/>
        </w:rPr>
        <w:t>, koji rukuju i obrađuju specifične vrste otpada (elektronika, tekstil, vozila),</w:t>
      </w:r>
    </w:p>
    <w:p w14:paraId="2C2C7302" w14:textId="77777777" w:rsidR="004F6023" w:rsidRPr="00C86111" w:rsidRDefault="004F6023" w:rsidP="00833A40">
      <w:pPr>
        <w:numPr>
          <w:ilvl w:val="0"/>
          <w:numId w:val="68"/>
        </w:numPr>
        <w:jc w:val="both"/>
        <w:rPr>
          <w:rFonts w:asciiTheme="minorHAnsi" w:hAnsiTheme="minorHAnsi" w:cstheme="minorHAnsi"/>
          <w:szCs w:val="24"/>
          <w:lang w:val="en-GB"/>
        </w:rPr>
      </w:pPr>
      <w:r w:rsidRPr="00C86111">
        <w:rPr>
          <w:rFonts w:asciiTheme="minorHAnsi" w:hAnsiTheme="minorHAnsi" w:cstheme="minorHAnsi"/>
          <w:b/>
          <w:bCs/>
          <w:szCs w:val="24"/>
          <w:lang w:val="en-GB"/>
        </w:rPr>
        <w:t>Nadležne institucije</w:t>
      </w:r>
      <w:r w:rsidRPr="00C86111">
        <w:rPr>
          <w:rFonts w:asciiTheme="minorHAnsi" w:hAnsiTheme="minorHAnsi" w:cstheme="minorHAnsi"/>
          <w:szCs w:val="24"/>
          <w:lang w:val="en-GB"/>
        </w:rPr>
        <w:t>, koje planiraju i sprovode politiku zaštite životne sredine i zdravlja na radu.</w:t>
      </w:r>
    </w:p>
    <w:p w14:paraId="4044D1EB"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Uputstvo je posebno vrijedno zbog:</w:t>
      </w:r>
    </w:p>
    <w:p w14:paraId="2B35F512" w14:textId="77777777" w:rsidR="004F6023" w:rsidRPr="00C86111" w:rsidRDefault="004F6023" w:rsidP="00833A40">
      <w:pPr>
        <w:numPr>
          <w:ilvl w:val="0"/>
          <w:numId w:val="69"/>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Uključivanja </w:t>
      </w:r>
      <w:r w:rsidRPr="00C86111">
        <w:rPr>
          <w:rFonts w:asciiTheme="minorHAnsi" w:hAnsiTheme="minorHAnsi" w:cstheme="minorHAnsi"/>
          <w:b/>
          <w:bCs/>
          <w:szCs w:val="24"/>
          <w:lang w:val="en-GB"/>
        </w:rPr>
        <w:t>rodnosenzitivnog pristupa</w:t>
      </w:r>
      <w:r w:rsidRPr="00C86111">
        <w:rPr>
          <w:rFonts w:asciiTheme="minorHAnsi" w:hAnsiTheme="minorHAnsi" w:cstheme="minorHAnsi"/>
          <w:szCs w:val="24"/>
          <w:lang w:val="en-GB"/>
        </w:rPr>
        <w:t>,</w:t>
      </w:r>
    </w:p>
    <w:p w14:paraId="50077F11" w14:textId="77777777" w:rsidR="004F6023" w:rsidRPr="00C86111" w:rsidRDefault="004F6023" w:rsidP="00833A40">
      <w:pPr>
        <w:numPr>
          <w:ilvl w:val="0"/>
          <w:numId w:val="69"/>
        </w:numPr>
        <w:jc w:val="both"/>
        <w:rPr>
          <w:rFonts w:asciiTheme="minorHAnsi" w:hAnsiTheme="minorHAnsi" w:cstheme="minorHAnsi"/>
          <w:szCs w:val="24"/>
          <w:lang w:val="en-GB"/>
        </w:rPr>
      </w:pPr>
      <w:r w:rsidRPr="00C86111">
        <w:rPr>
          <w:rFonts w:asciiTheme="minorHAnsi" w:hAnsiTheme="minorHAnsi" w:cstheme="minorHAnsi"/>
          <w:szCs w:val="24"/>
          <w:lang w:val="en-GB"/>
        </w:rPr>
        <w:t>Praktičnih preporuka za zaštitu radnika,</w:t>
      </w:r>
    </w:p>
    <w:p w14:paraId="4AA28C9C" w14:textId="77777777" w:rsidR="004F6023" w:rsidRPr="00C86111" w:rsidRDefault="004F6023" w:rsidP="00833A40">
      <w:pPr>
        <w:numPr>
          <w:ilvl w:val="0"/>
          <w:numId w:val="69"/>
        </w:numPr>
        <w:jc w:val="both"/>
        <w:rPr>
          <w:rFonts w:asciiTheme="minorHAnsi" w:hAnsiTheme="minorHAnsi" w:cstheme="minorHAnsi"/>
          <w:szCs w:val="24"/>
          <w:lang w:val="en-GB"/>
        </w:rPr>
      </w:pPr>
      <w:r w:rsidRPr="00C86111">
        <w:rPr>
          <w:rFonts w:asciiTheme="minorHAnsi" w:hAnsiTheme="minorHAnsi" w:cstheme="minorHAnsi"/>
          <w:szCs w:val="24"/>
          <w:lang w:val="en-GB"/>
        </w:rPr>
        <w:t>Primjene savremenih metoda identifikacije opasnog otpada.</w:t>
      </w:r>
    </w:p>
    <w:p w14:paraId="58F929EB" w14:textId="77777777" w:rsidR="004F6023" w:rsidRPr="00C86111" w:rsidRDefault="004F6023" w:rsidP="004F6023">
      <w:pPr>
        <w:jc w:val="both"/>
        <w:rPr>
          <w:rFonts w:asciiTheme="minorHAnsi" w:hAnsiTheme="minorHAnsi" w:cstheme="minorHAnsi"/>
          <w:b/>
          <w:szCs w:val="24"/>
        </w:rPr>
      </w:pPr>
    </w:p>
    <w:p w14:paraId="0300126A" w14:textId="7FDB0F59" w:rsidR="004F6023" w:rsidRPr="00C86111" w:rsidRDefault="004F6023" w:rsidP="00EA6904">
      <w:pPr>
        <w:pStyle w:val="Heading3"/>
      </w:pPr>
      <w:bookmarkStart w:id="477" w:name="_Toc220542007"/>
      <w:r w:rsidRPr="00C86111">
        <w:t>Projekti koje su sprovele nevladine organizacije u cilju sprovođenja edukativnih kampanja o bezbjednom upravljanju dugotrajnim organskim zagađujućim supstancama (POPs) u Crnoj Gori</w:t>
      </w:r>
      <w:bookmarkEnd w:id="477"/>
    </w:p>
    <w:p w14:paraId="34CF28AD" w14:textId="77777777" w:rsidR="004F6023" w:rsidRPr="00C86111" w:rsidRDefault="004F6023" w:rsidP="004F6023">
      <w:pPr>
        <w:jc w:val="both"/>
        <w:rPr>
          <w:rFonts w:asciiTheme="minorHAnsi" w:hAnsiTheme="minorHAnsi" w:cstheme="minorHAnsi"/>
          <w:szCs w:val="24"/>
        </w:rPr>
      </w:pPr>
    </w:p>
    <w:p w14:paraId="0A584939"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Tadašnje Ministarstvo ekologije, prostornog planiranja i urbanizma je 2021. godine izvršilo raspodjelu sredstava u ukupnom iznosu od </w:t>
      </w:r>
      <w:r w:rsidRPr="00C86111">
        <w:rPr>
          <w:rFonts w:asciiTheme="minorHAnsi" w:hAnsiTheme="minorHAnsi" w:cstheme="minorHAnsi"/>
          <w:b/>
          <w:szCs w:val="24"/>
        </w:rPr>
        <w:t>50.000e</w:t>
      </w:r>
      <w:r w:rsidRPr="00C86111">
        <w:rPr>
          <w:rFonts w:asciiTheme="minorHAnsi" w:hAnsiTheme="minorHAnsi" w:cstheme="minorHAnsi"/>
          <w:szCs w:val="24"/>
        </w:rPr>
        <w:t xml:space="preserve"> za realizaciju projekata nevladinih organizacija na temu sprovođenja edukativnih kampanja o bezbjednom upravljanju dugotrajnim organskim zagađujućim supstancama (POPs) u Crnoj Gori.</w:t>
      </w:r>
    </w:p>
    <w:p w14:paraId="5DF08B5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 xml:space="preserve">Projekti koji su se realizovali su sljedeći: </w:t>
      </w:r>
    </w:p>
    <w:p w14:paraId="701E62BE" w14:textId="77777777" w:rsidR="004F6023" w:rsidRPr="00C86111" w:rsidRDefault="004F6023" w:rsidP="004F6023">
      <w:pPr>
        <w:jc w:val="both"/>
        <w:rPr>
          <w:rFonts w:asciiTheme="minorHAnsi" w:hAnsiTheme="minorHAnsi" w:cstheme="minorHAnsi"/>
          <w:szCs w:val="24"/>
        </w:rPr>
      </w:pPr>
    </w:p>
    <w:p w14:paraId="58BF0091" w14:textId="77777777" w:rsidR="004F6023" w:rsidRPr="00C86111" w:rsidRDefault="004F6023" w:rsidP="00833A40">
      <w:pPr>
        <w:pStyle w:val="ListParagraph"/>
        <w:numPr>
          <w:ilvl w:val="0"/>
          <w:numId w:val="66"/>
        </w:numPr>
        <w:jc w:val="both"/>
        <w:rPr>
          <w:rFonts w:asciiTheme="minorHAnsi" w:hAnsiTheme="minorHAnsi" w:cstheme="minorHAnsi"/>
          <w:szCs w:val="24"/>
        </w:rPr>
      </w:pPr>
      <w:r w:rsidRPr="00C86111">
        <w:rPr>
          <w:rFonts w:asciiTheme="minorHAnsi" w:hAnsiTheme="minorHAnsi" w:cstheme="minorHAnsi"/>
          <w:b/>
          <w:szCs w:val="24"/>
        </w:rPr>
        <w:lastRenderedPageBreak/>
        <w:t>„Adekvatno informisanje o POPs hemikalijama u cilju edukacije javnosti“</w:t>
      </w:r>
      <w:r w:rsidRPr="00C86111">
        <w:rPr>
          <w:rFonts w:asciiTheme="minorHAnsi" w:hAnsiTheme="minorHAnsi" w:cstheme="minorHAnsi"/>
          <w:szCs w:val="24"/>
        </w:rPr>
        <w:t xml:space="preserve"> NVO „Đakomo Adriatic“ iz Bijelog Polja.</w:t>
      </w:r>
    </w:p>
    <w:p w14:paraId="3285AA18" w14:textId="77777777" w:rsidR="004F6023" w:rsidRPr="00C86111" w:rsidRDefault="004F6023" w:rsidP="00833A40">
      <w:pPr>
        <w:pStyle w:val="ListParagraph"/>
        <w:numPr>
          <w:ilvl w:val="0"/>
          <w:numId w:val="66"/>
        </w:numPr>
        <w:jc w:val="both"/>
        <w:rPr>
          <w:rFonts w:asciiTheme="minorHAnsi" w:hAnsiTheme="minorHAnsi" w:cstheme="minorHAnsi"/>
          <w:szCs w:val="24"/>
        </w:rPr>
      </w:pPr>
      <w:r w:rsidRPr="00C86111">
        <w:rPr>
          <w:rFonts w:asciiTheme="minorHAnsi" w:hAnsiTheme="minorHAnsi" w:cstheme="minorHAnsi"/>
          <w:b/>
          <w:szCs w:val="24"/>
        </w:rPr>
        <w:t>„Upravljanje otpadom - mladi kao čuvari životne sredine“</w:t>
      </w:r>
      <w:r w:rsidRPr="00C86111">
        <w:rPr>
          <w:rFonts w:asciiTheme="minorHAnsi" w:hAnsiTheme="minorHAnsi" w:cstheme="minorHAnsi"/>
          <w:szCs w:val="24"/>
        </w:rPr>
        <w:t xml:space="preserve"> NVO „Centar kreativnih vještina“ iz Berana.</w:t>
      </w:r>
    </w:p>
    <w:p w14:paraId="4CDB3861" w14:textId="77777777" w:rsidR="004F6023" w:rsidRPr="00C86111" w:rsidRDefault="004F6023" w:rsidP="00833A40">
      <w:pPr>
        <w:pStyle w:val="ListParagraph"/>
        <w:numPr>
          <w:ilvl w:val="0"/>
          <w:numId w:val="66"/>
        </w:numPr>
        <w:jc w:val="both"/>
        <w:rPr>
          <w:rFonts w:asciiTheme="minorHAnsi" w:hAnsiTheme="minorHAnsi" w:cstheme="minorHAnsi"/>
          <w:szCs w:val="24"/>
        </w:rPr>
      </w:pPr>
      <w:r w:rsidRPr="00C86111">
        <w:rPr>
          <w:rFonts w:asciiTheme="minorHAnsi" w:hAnsiTheme="minorHAnsi" w:cstheme="minorHAnsi"/>
          <w:b/>
          <w:szCs w:val="24"/>
        </w:rPr>
        <w:t>„Ekološkom etiketom do cilja – sačuvajmo životnu sredinu i zdravlje“</w:t>
      </w:r>
      <w:r w:rsidRPr="00C86111">
        <w:rPr>
          <w:rFonts w:asciiTheme="minorHAnsi" w:hAnsiTheme="minorHAnsi" w:cstheme="minorHAnsi"/>
          <w:szCs w:val="24"/>
        </w:rPr>
        <w:t xml:space="preserve"> NVO „Centar za ruralni razvoj Crne Gore“ iz Podgorice.</w:t>
      </w:r>
    </w:p>
    <w:p w14:paraId="110EBD07" w14:textId="77777777" w:rsidR="004F6023" w:rsidRPr="00C86111" w:rsidRDefault="004F6023" w:rsidP="00833A40">
      <w:pPr>
        <w:pStyle w:val="ListParagraph"/>
        <w:numPr>
          <w:ilvl w:val="0"/>
          <w:numId w:val="66"/>
        </w:numPr>
        <w:jc w:val="both"/>
        <w:rPr>
          <w:rFonts w:asciiTheme="minorHAnsi" w:hAnsiTheme="minorHAnsi" w:cstheme="minorHAnsi"/>
          <w:szCs w:val="24"/>
        </w:rPr>
      </w:pPr>
      <w:r w:rsidRPr="00C86111">
        <w:rPr>
          <w:rFonts w:asciiTheme="minorHAnsi" w:hAnsiTheme="minorHAnsi" w:cstheme="minorHAnsi"/>
          <w:b/>
          <w:szCs w:val="24"/>
        </w:rPr>
        <w:t>„Upravljanje POPs-ovima na ekološki prihvatljiv način“</w:t>
      </w:r>
      <w:r w:rsidRPr="00C86111">
        <w:rPr>
          <w:rFonts w:asciiTheme="minorHAnsi" w:hAnsiTheme="minorHAnsi" w:cstheme="minorHAnsi"/>
          <w:szCs w:val="24"/>
        </w:rPr>
        <w:t xml:space="preserve"> NVO „Društvo mladih ekologa“ iz Nikšića.</w:t>
      </w:r>
    </w:p>
    <w:p w14:paraId="7D767C92" w14:textId="77777777" w:rsidR="004F6023" w:rsidRPr="00C86111" w:rsidRDefault="004F6023" w:rsidP="00833A40">
      <w:pPr>
        <w:pStyle w:val="ListParagraph"/>
        <w:numPr>
          <w:ilvl w:val="0"/>
          <w:numId w:val="66"/>
        </w:numPr>
        <w:jc w:val="both"/>
        <w:rPr>
          <w:rFonts w:asciiTheme="minorHAnsi" w:hAnsiTheme="minorHAnsi" w:cstheme="minorHAnsi"/>
          <w:szCs w:val="24"/>
        </w:rPr>
      </w:pPr>
      <w:r w:rsidRPr="00C86111">
        <w:rPr>
          <w:rFonts w:asciiTheme="minorHAnsi" w:hAnsiTheme="minorHAnsi" w:cstheme="minorHAnsi"/>
          <w:b/>
          <w:szCs w:val="24"/>
        </w:rPr>
        <w:t xml:space="preserve">„Upoznaj štetne hemikalije“ </w:t>
      </w:r>
      <w:r w:rsidRPr="00C86111">
        <w:rPr>
          <w:rFonts w:asciiTheme="minorHAnsi" w:hAnsiTheme="minorHAnsi" w:cstheme="minorHAnsi"/>
          <w:szCs w:val="24"/>
        </w:rPr>
        <w:t>NVO „Zeleni dom – Green home“ iz Podgorice.</w:t>
      </w:r>
    </w:p>
    <w:p w14:paraId="4595F4BC" w14:textId="77777777" w:rsidR="004F6023" w:rsidRPr="00C86111" w:rsidRDefault="004F6023" w:rsidP="00833A40">
      <w:pPr>
        <w:pStyle w:val="ListParagraph"/>
        <w:numPr>
          <w:ilvl w:val="0"/>
          <w:numId w:val="66"/>
        </w:numPr>
        <w:jc w:val="both"/>
        <w:rPr>
          <w:rFonts w:asciiTheme="minorHAnsi" w:hAnsiTheme="minorHAnsi" w:cstheme="minorHAnsi"/>
          <w:szCs w:val="24"/>
        </w:rPr>
      </w:pPr>
      <w:r w:rsidRPr="00C86111">
        <w:rPr>
          <w:rFonts w:asciiTheme="minorHAnsi" w:hAnsiTheme="minorHAnsi" w:cstheme="minorHAnsi"/>
          <w:b/>
          <w:szCs w:val="24"/>
        </w:rPr>
        <w:t>„Edukacija o POPs hemikalijama i upravljanje na održiv, efikasan i ekološki prihvatljiv način“</w:t>
      </w:r>
      <w:r w:rsidRPr="00C86111">
        <w:rPr>
          <w:rFonts w:asciiTheme="minorHAnsi" w:hAnsiTheme="minorHAnsi" w:cstheme="minorHAnsi"/>
          <w:szCs w:val="24"/>
        </w:rPr>
        <w:t xml:space="preserve"> NVO „Građanski aktivizam“ iz Podgorice.</w:t>
      </w:r>
    </w:p>
    <w:p w14:paraId="24DAA857" w14:textId="77777777" w:rsidR="004F6023" w:rsidRPr="00C86111" w:rsidRDefault="004F6023" w:rsidP="004F6023">
      <w:pPr>
        <w:jc w:val="both"/>
        <w:rPr>
          <w:rFonts w:asciiTheme="minorHAnsi" w:hAnsiTheme="minorHAnsi" w:cstheme="minorHAnsi"/>
          <w:szCs w:val="24"/>
        </w:rPr>
      </w:pPr>
    </w:p>
    <w:p w14:paraId="7378D57D"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Edukativne kampanje o bezbjednom upravljanju dugotrajnim organskim zagađujućim supstancama (POPs) imaju ključnu ulogu u zaštiti zdravlja ljudi i očuvanju životne sredine. One omogućavaju građanima, lokalnim zajednicama i institucijama da prepoznaju rizike povezane sa opasnim hemikalijama. Osim što podižu svijest i jačaju kapacitet lokalnih aktera, ovakve inicijative doprinose i usklađivanju nacionalnih praksi sa međunarodnim i EU standardima, što je od posebnog značaja za Crnu Goru u kontekstu njenog daljeg razvoja i integracije u Evropsku uniju.</w:t>
      </w:r>
    </w:p>
    <w:p w14:paraId="2429DEF0" w14:textId="77777777" w:rsidR="004F6023" w:rsidRPr="00C86111" w:rsidRDefault="004F6023" w:rsidP="00EA6904">
      <w:pPr>
        <w:pStyle w:val="Heading3"/>
        <w:rPr>
          <w:rStyle w:val="Strong"/>
          <w:b/>
          <w:bCs/>
        </w:rPr>
      </w:pPr>
      <w:bookmarkStart w:id="478" w:name="_Toc220542008"/>
      <w:r w:rsidRPr="00C86111">
        <w:rPr>
          <w:rStyle w:val="Strong"/>
          <w:bCs/>
        </w:rPr>
        <w:t>Projekti izrade i ažuriranja Nacionalnog implementacionog plana (NIP) za implementaciju Stokhoklmske konvencije u Crnoj Gori</w:t>
      </w:r>
      <w:bookmarkEnd w:id="478"/>
    </w:p>
    <w:p w14:paraId="27B25A74" w14:textId="77777777" w:rsidR="004F6023" w:rsidRPr="00C86111" w:rsidRDefault="004F6023" w:rsidP="004F6023">
      <w:pPr>
        <w:pStyle w:val="NormalWeb"/>
        <w:jc w:val="both"/>
        <w:rPr>
          <w:rFonts w:asciiTheme="minorHAnsi" w:hAnsiTheme="minorHAnsi" w:cstheme="minorHAnsi"/>
        </w:rPr>
      </w:pPr>
      <w:r w:rsidRPr="00C86111">
        <w:rPr>
          <w:rFonts w:asciiTheme="minorHAnsi" w:hAnsiTheme="minorHAnsi" w:cstheme="minorHAnsi"/>
        </w:rPr>
        <w:t>Crna Gora je u kontinuitetu radila na izradi i ažuriranju Nacionalnih implementacionih planova (NIP) u skladu sa obavezama Stokholmske konvencije. NIP predstavlja osnovni strateški dokument kojim se identifikuju izvori zagađenja, prioritetne mjere, institucionalni i finansijski mehanizmi za upravljanje POPs hemikalijama.</w:t>
      </w:r>
    </w:p>
    <w:p w14:paraId="0044DE8C" w14:textId="77777777" w:rsidR="004F6023" w:rsidRPr="00C86111" w:rsidRDefault="004F6023" w:rsidP="004F6023">
      <w:pPr>
        <w:pStyle w:val="NormalWeb"/>
        <w:jc w:val="both"/>
        <w:rPr>
          <w:rFonts w:asciiTheme="minorHAnsi" w:hAnsiTheme="minorHAnsi" w:cstheme="minorHAnsi"/>
        </w:rPr>
      </w:pPr>
      <w:r w:rsidRPr="00C86111">
        <w:rPr>
          <w:rStyle w:val="Strong"/>
          <w:rFonts w:asciiTheme="minorHAnsi" w:hAnsiTheme="minorHAnsi" w:cstheme="minorHAnsi"/>
        </w:rPr>
        <w:t>NIP iz 2013</w:t>
      </w:r>
      <w:r w:rsidRPr="00C86111">
        <w:rPr>
          <w:rFonts w:asciiTheme="minorHAnsi" w:hAnsiTheme="minorHAnsi" w:cstheme="minorHAnsi"/>
        </w:rPr>
        <w:t xml:space="preserve"> bio je prvi dokument ove vrste u Crnoj Gori, kojim su definisane početne obaveze i procijenjene količine PCB opreme i otpada.</w:t>
      </w:r>
    </w:p>
    <w:p w14:paraId="6D1A627E" w14:textId="77777777" w:rsidR="004F6023" w:rsidRPr="00C86111" w:rsidRDefault="004F6023" w:rsidP="004F6023">
      <w:pPr>
        <w:pStyle w:val="NormalWeb"/>
        <w:jc w:val="both"/>
        <w:rPr>
          <w:rFonts w:asciiTheme="minorHAnsi" w:hAnsiTheme="minorHAnsi" w:cstheme="minorHAnsi"/>
        </w:rPr>
      </w:pPr>
      <w:r w:rsidRPr="00C86111">
        <w:rPr>
          <w:rStyle w:val="Strong"/>
          <w:rFonts w:asciiTheme="minorHAnsi" w:hAnsiTheme="minorHAnsi" w:cstheme="minorHAnsi"/>
        </w:rPr>
        <w:t>Projekat ažuriranja NIP-a (2016–2018)</w:t>
      </w:r>
      <w:r w:rsidRPr="00C86111">
        <w:rPr>
          <w:rFonts w:asciiTheme="minorHAnsi" w:hAnsiTheme="minorHAnsi" w:cstheme="minorHAnsi"/>
        </w:rPr>
        <w:t xml:space="preserve"> realizovan je uz podršku UNDP-a i GEF-a, a tehnički ga je sproveo Centar za ekotoksikološka ispitivanja (CETI). Rezultat ovog projekta bio je </w:t>
      </w:r>
      <w:r w:rsidRPr="00C86111">
        <w:rPr>
          <w:rStyle w:val="Strong"/>
          <w:rFonts w:asciiTheme="minorHAnsi" w:hAnsiTheme="minorHAnsi" w:cstheme="minorHAnsi"/>
        </w:rPr>
        <w:t>ažurirani NIP usvojen 2019. godine</w:t>
      </w:r>
      <w:r w:rsidRPr="00C86111">
        <w:rPr>
          <w:rFonts w:asciiTheme="minorHAnsi" w:hAnsiTheme="minorHAnsi" w:cstheme="minorHAnsi"/>
        </w:rPr>
        <w:t xml:space="preserve"> (za period 2019–2023), kojim su u plan uvrštene nove POPs supstance sa globalne liste, uvedeni zahtjevi za harmonizaciju sa EU regulativom, te definisane mjere za monitoring i izvještavanje.</w:t>
      </w:r>
    </w:p>
    <w:p w14:paraId="73EA7E31" w14:textId="77777777" w:rsidR="004F6023" w:rsidRPr="00C86111" w:rsidRDefault="004F6023" w:rsidP="004F6023">
      <w:pPr>
        <w:pStyle w:val="NormalWeb"/>
        <w:jc w:val="both"/>
        <w:rPr>
          <w:rFonts w:asciiTheme="minorHAnsi" w:hAnsiTheme="minorHAnsi" w:cstheme="minorHAnsi"/>
        </w:rPr>
      </w:pPr>
      <w:r w:rsidRPr="00C86111">
        <w:rPr>
          <w:rStyle w:val="Strong"/>
          <w:rFonts w:asciiTheme="minorHAnsi" w:hAnsiTheme="minorHAnsi" w:cstheme="minorHAnsi"/>
        </w:rPr>
        <w:t>Novi projekat (2022-2024)</w:t>
      </w:r>
      <w:r w:rsidRPr="00C86111">
        <w:rPr>
          <w:rFonts w:asciiTheme="minorHAnsi" w:hAnsiTheme="minorHAnsi" w:cstheme="minorHAnsi"/>
        </w:rPr>
        <w:t xml:space="preserve"> pokrenut je zahvaljujući podršci UNEP-a preko centra </w:t>
      </w:r>
      <w:r w:rsidRPr="00C86111">
        <w:rPr>
          <w:rStyle w:val="Strong"/>
          <w:rFonts w:asciiTheme="minorHAnsi" w:hAnsiTheme="minorHAnsi" w:cstheme="minorHAnsi"/>
        </w:rPr>
        <w:t>RECETOX</w:t>
      </w:r>
      <w:r w:rsidRPr="00C86111">
        <w:rPr>
          <w:rFonts w:asciiTheme="minorHAnsi" w:hAnsiTheme="minorHAnsi" w:cstheme="minorHAnsi"/>
        </w:rPr>
        <w:t xml:space="preserve"> iz Češke Republike, uz neposrednu realizaciju koju vodi CETI. Ovaj projekat ima za cilj pripremu </w:t>
      </w:r>
      <w:r w:rsidRPr="00C86111">
        <w:rPr>
          <w:rStyle w:val="Strong"/>
          <w:rFonts w:asciiTheme="minorHAnsi" w:hAnsiTheme="minorHAnsi" w:cstheme="minorHAnsi"/>
        </w:rPr>
        <w:t>sljedeće verzije NIP-a za period 2026–2028</w:t>
      </w:r>
      <w:r w:rsidRPr="00C86111">
        <w:rPr>
          <w:rFonts w:asciiTheme="minorHAnsi" w:hAnsiTheme="minorHAnsi" w:cstheme="minorHAnsi"/>
        </w:rPr>
        <w:t>, koja će:</w:t>
      </w:r>
    </w:p>
    <w:p w14:paraId="05F80EA6" w14:textId="77777777" w:rsidR="004F6023" w:rsidRPr="00C86111" w:rsidRDefault="004F6023" w:rsidP="00833A40">
      <w:pPr>
        <w:pStyle w:val="NormalWeb"/>
        <w:numPr>
          <w:ilvl w:val="0"/>
          <w:numId w:val="80"/>
        </w:numPr>
        <w:jc w:val="both"/>
        <w:rPr>
          <w:rFonts w:asciiTheme="minorHAnsi" w:hAnsiTheme="minorHAnsi" w:cstheme="minorHAnsi"/>
        </w:rPr>
      </w:pPr>
      <w:r w:rsidRPr="00C86111">
        <w:rPr>
          <w:rFonts w:asciiTheme="minorHAnsi" w:hAnsiTheme="minorHAnsi" w:cstheme="minorHAnsi"/>
        </w:rPr>
        <w:t>uključiti najnovije POPs supstance (PFAS, dicofol, decaBDE i druge),</w:t>
      </w:r>
    </w:p>
    <w:p w14:paraId="185698B3" w14:textId="77777777" w:rsidR="004F6023" w:rsidRPr="00C86111" w:rsidRDefault="004F6023" w:rsidP="00833A40">
      <w:pPr>
        <w:pStyle w:val="NormalWeb"/>
        <w:numPr>
          <w:ilvl w:val="0"/>
          <w:numId w:val="80"/>
        </w:numPr>
        <w:jc w:val="both"/>
        <w:rPr>
          <w:rFonts w:asciiTheme="minorHAnsi" w:hAnsiTheme="minorHAnsi" w:cstheme="minorHAnsi"/>
        </w:rPr>
      </w:pPr>
      <w:r w:rsidRPr="00C86111">
        <w:rPr>
          <w:rFonts w:asciiTheme="minorHAnsi" w:hAnsiTheme="minorHAnsi" w:cstheme="minorHAnsi"/>
        </w:rPr>
        <w:t>reflektovati rezultate završenih i tekućih projekata (PCB, MedProgramme, edukacije i zakonodavne reforme),</w:t>
      </w:r>
    </w:p>
    <w:p w14:paraId="4D2CCCD0" w14:textId="77777777" w:rsidR="004F6023" w:rsidRPr="00C86111" w:rsidRDefault="004F6023" w:rsidP="00833A40">
      <w:pPr>
        <w:pStyle w:val="NormalWeb"/>
        <w:numPr>
          <w:ilvl w:val="0"/>
          <w:numId w:val="80"/>
        </w:numPr>
        <w:jc w:val="both"/>
        <w:rPr>
          <w:rFonts w:asciiTheme="minorHAnsi" w:hAnsiTheme="minorHAnsi" w:cstheme="minorHAnsi"/>
        </w:rPr>
      </w:pPr>
      <w:r w:rsidRPr="00C86111">
        <w:rPr>
          <w:rFonts w:asciiTheme="minorHAnsi" w:hAnsiTheme="minorHAnsi" w:cstheme="minorHAnsi"/>
        </w:rPr>
        <w:t>definisati nove prioritete za remedijaciju kontaminiranih lokacija i tretman otpada,</w:t>
      </w:r>
    </w:p>
    <w:p w14:paraId="4ABA33D5" w14:textId="77777777" w:rsidR="004F6023" w:rsidRPr="00C86111" w:rsidRDefault="004F6023" w:rsidP="00833A40">
      <w:pPr>
        <w:pStyle w:val="NormalWeb"/>
        <w:numPr>
          <w:ilvl w:val="0"/>
          <w:numId w:val="80"/>
        </w:numPr>
        <w:jc w:val="both"/>
        <w:rPr>
          <w:rFonts w:asciiTheme="minorHAnsi" w:hAnsiTheme="minorHAnsi" w:cstheme="minorHAnsi"/>
        </w:rPr>
      </w:pPr>
      <w:r w:rsidRPr="00C86111">
        <w:rPr>
          <w:rFonts w:asciiTheme="minorHAnsi" w:hAnsiTheme="minorHAnsi" w:cstheme="minorHAnsi"/>
        </w:rPr>
        <w:lastRenderedPageBreak/>
        <w:t>postaviti okvir za trajni monitoring i izvještavanje prema Stokholmskoj, BRS i Minamata konvencijama,</w:t>
      </w:r>
    </w:p>
    <w:p w14:paraId="64635E46" w14:textId="77777777" w:rsidR="004F6023" w:rsidRPr="00C86111" w:rsidRDefault="004F6023" w:rsidP="00833A40">
      <w:pPr>
        <w:pStyle w:val="NormalWeb"/>
        <w:numPr>
          <w:ilvl w:val="0"/>
          <w:numId w:val="80"/>
        </w:numPr>
        <w:jc w:val="both"/>
        <w:rPr>
          <w:rFonts w:asciiTheme="minorHAnsi" w:hAnsiTheme="minorHAnsi" w:cstheme="minorHAnsi"/>
        </w:rPr>
      </w:pPr>
      <w:r w:rsidRPr="00C86111">
        <w:rPr>
          <w:rFonts w:asciiTheme="minorHAnsi" w:hAnsiTheme="minorHAnsi" w:cstheme="minorHAnsi"/>
        </w:rPr>
        <w:t>ojačati povezanost sa EU procesom u Poglavlju 27 i implementacijom EU Uredbe o POPs (2019/1021).</w:t>
      </w:r>
    </w:p>
    <w:p w14:paraId="532492D9" w14:textId="77777777" w:rsidR="004F6023" w:rsidRPr="00C86111" w:rsidRDefault="004F6023" w:rsidP="004F6023">
      <w:pPr>
        <w:pStyle w:val="NormalWeb"/>
        <w:jc w:val="both"/>
        <w:rPr>
          <w:rFonts w:asciiTheme="minorHAnsi" w:hAnsiTheme="minorHAnsi" w:cstheme="minorHAnsi"/>
        </w:rPr>
      </w:pPr>
      <w:r w:rsidRPr="00C86111">
        <w:rPr>
          <w:rFonts w:asciiTheme="minorHAnsi" w:hAnsiTheme="minorHAnsi" w:cstheme="minorHAnsi"/>
        </w:rPr>
        <w:t>Realizacija ovog projekta obezbijediće Crnoj Gori da na sistematičan način planira mjere i projekte u narednom trogodišnjem periodu (2026–2028), čime se osigurava kontinuitet u sprovođenju međunarodnih obaveza i približavanju evropskim standardima u oblasti zaštite životne sredine.</w:t>
      </w:r>
    </w:p>
    <w:p w14:paraId="6CA8F98F" w14:textId="77777777" w:rsidR="004F6023" w:rsidRPr="00C86111" w:rsidRDefault="004F6023" w:rsidP="00EA6904">
      <w:pPr>
        <w:pStyle w:val="Heading3"/>
      </w:pPr>
      <w:bookmarkStart w:id="479" w:name="_Toc220542009"/>
      <w:r w:rsidRPr="00C86111">
        <w:t>Preporuke za planiranje budućih projekata u oblasti POPs hemikalija u Crnoj Gori</w:t>
      </w:r>
      <w:bookmarkEnd w:id="479"/>
    </w:p>
    <w:p w14:paraId="297AD059" w14:textId="77777777" w:rsidR="004F6023" w:rsidRPr="00C86111" w:rsidRDefault="004F6023" w:rsidP="004F6023">
      <w:pPr>
        <w:jc w:val="both"/>
        <w:rPr>
          <w:rFonts w:asciiTheme="minorHAnsi" w:hAnsiTheme="minorHAnsi" w:cstheme="minorHAnsi"/>
          <w:b/>
          <w:szCs w:val="24"/>
        </w:rPr>
      </w:pPr>
    </w:p>
    <w:p w14:paraId="6797A14C"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U cilju zaštite zdravlja ljudi i životne sredine, te ispunjavanja međunarodnih obaveza u skladu sa EU standardima i globalnim konvencijama, budući projekti u oblasti POPs hemikalija i otpada trebalo bi da budu planirani na način da obezbijede sistemski i održiv pristup.</w:t>
      </w:r>
    </w:p>
    <w:p w14:paraId="3F13DEF0" w14:textId="77777777" w:rsidR="004F6023" w:rsidRPr="00C86111" w:rsidRDefault="004F6023" w:rsidP="004F6023">
      <w:pPr>
        <w:jc w:val="both"/>
        <w:rPr>
          <w:rFonts w:asciiTheme="minorHAnsi" w:hAnsiTheme="minorHAnsi" w:cstheme="minorHAnsi"/>
          <w:szCs w:val="24"/>
        </w:rPr>
      </w:pPr>
    </w:p>
    <w:p w14:paraId="785C807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Za održivo i efikasno upravljanje POPs hemikalijama u Crnoj Gori preporučuje se uspostavljanje trajnog nacionalnog sistema koji bi obuhvatio institucionalno jačanje i koordinaciju nadležnih tijela. Ključni korak u tom procesu je formiranje stalne jedinice unutar Agencije za zaštitu životne sredine, koja bi bila zadužena za centralizovano planiranje, praćenje i izvještavanje. Ova jedinica bi upravljala sveobuhvatnim registrom POPs hemikalija, otpada i opreme, koji bi se redovno ažurirao i koristio kao osnova za donošenje politika i strateških odluka.</w:t>
      </w:r>
    </w:p>
    <w:p w14:paraId="0FB948EC" w14:textId="77777777" w:rsidR="004F6023" w:rsidRPr="00C86111" w:rsidRDefault="004F6023" w:rsidP="004F6023">
      <w:pPr>
        <w:jc w:val="both"/>
        <w:rPr>
          <w:rFonts w:asciiTheme="minorHAnsi" w:hAnsiTheme="minorHAnsi" w:cstheme="minorHAnsi"/>
          <w:szCs w:val="24"/>
        </w:rPr>
      </w:pPr>
    </w:p>
    <w:p w14:paraId="522F4A98"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Poseban fokus treba usmjeriti na unapređenje nacionalnih inventara i sistema monitoringa. To podrazumijeva kontinuirano ažuriranje podataka, uključivanje novih supstanci sa globalnih lista i uspostavljanje pouzdane baze podataka o zalihama, otpadu i industrijskim emisijama. Redovno izvještavanje u skladu sa zahtjevima Stokholmske konvencije i evropskim standardima trebalo bi da postane sastavni dio ovog sistema.</w:t>
      </w:r>
    </w:p>
    <w:p w14:paraId="7B4D8048" w14:textId="77777777" w:rsidR="004F6023" w:rsidRPr="00C86111" w:rsidRDefault="004F6023" w:rsidP="004F6023">
      <w:pPr>
        <w:jc w:val="both"/>
        <w:rPr>
          <w:rFonts w:asciiTheme="minorHAnsi" w:hAnsiTheme="minorHAnsi" w:cstheme="minorHAnsi"/>
          <w:szCs w:val="24"/>
        </w:rPr>
      </w:pPr>
    </w:p>
    <w:p w14:paraId="673F4CE7"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Dalji razvoj infrastrukture za tretman i skladištenje POPs otpada predstavlja još jedan prioritet, uz razmatranje mogućnosti regionalne saradnje radi smanjenja troškova i povećanja efikasnosti zbrinjavanja. Istovremeno, potrebno je kontinuirano jačati kapacitete institucija, inspekcijskih službi i laboratorija kroz obuke, nabavku moderne opreme i razvoj metodologija za identifikaciju i kontrolu POPs hemikalija.</w:t>
      </w:r>
    </w:p>
    <w:p w14:paraId="027638C7" w14:textId="77777777" w:rsidR="004F6023" w:rsidRPr="00C86111" w:rsidRDefault="004F6023" w:rsidP="004F6023">
      <w:pPr>
        <w:jc w:val="both"/>
        <w:rPr>
          <w:rFonts w:asciiTheme="minorHAnsi" w:hAnsiTheme="minorHAnsi" w:cstheme="minorHAnsi"/>
          <w:szCs w:val="24"/>
        </w:rPr>
      </w:pPr>
    </w:p>
    <w:p w14:paraId="0C6CCB44"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Podizanje svijesti javnosti i edukacija su neophodni elementi dugoročnog upravljanja. Preporučuje se proširenje edukativnih kampanja na škole, univerzitete, industriju i lokalne zajednice, kao i razvoj digitalnih platformi i e-learning programa. Uvođenje tema o POPs hemikalijama u obrazovne programe doprinijelo bi stvaranju šire društvene odgovornosti i razumijevanja ovog pitanja.</w:t>
      </w:r>
    </w:p>
    <w:p w14:paraId="44BEA02F" w14:textId="77777777" w:rsidR="004F6023" w:rsidRPr="00C86111" w:rsidRDefault="004F6023" w:rsidP="004F6023">
      <w:pPr>
        <w:jc w:val="both"/>
        <w:rPr>
          <w:rFonts w:asciiTheme="minorHAnsi" w:hAnsiTheme="minorHAnsi" w:cstheme="minorHAnsi"/>
          <w:szCs w:val="24"/>
        </w:rPr>
      </w:pPr>
    </w:p>
    <w:p w14:paraId="6014098C"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Kako bi se osiguralo usklađivanje sa međunarodnim obavezama, potrebno je dalje harmonizovati zakonodavstvo sa EU Uredbom o POPs (EU 2019/1021) i relevantnim konvencijama. Paralelno, preporučuje se pružanje tehničkih i finansijskih podsticaja privatnom sektoru za zamjenu opreme i primjenu inovativnih tehnologija dekontaminacije i reciklaže.</w:t>
      </w:r>
    </w:p>
    <w:p w14:paraId="7BBF32A5" w14:textId="77777777" w:rsidR="004F6023" w:rsidRPr="00C86111" w:rsidRDefault="004F6023" w:rsidP="004F6023">
      <w:pPr>
        <w:jc w:val="both"/>
        <w:rPr>
          <w:rFonts w:asciiTheme="minorHAnsi" w:hAnsiTheme="minorHAnsi" w:cstheme="minorHAnsi"/>
          <w:szCs w:val="24"/>
        </w:rPr>
      </w:pPr>
    </w:p>
    <w:p w14:paraId="7106EEA2"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Važan aspekt budućih aktivnosti je i jačanje saradnje sa nevladinim sektorom, međunarodnim organizacijama (UNEP, ECHA, FAO) i regionalnim mrežama, što može doprinijeti bržoj i kvalitetnijoj implementaciji mjera. Projekti u ovoj oblasti trebalo bi da budu integrisani u šire okvire zaštite životne sredine, posebno u segmentima otpada, hemikalija i održivog razvoja.</w:t>
      </w:r>
    </w:p>
    <w:p w14:paraId="31FD9F15" w14:textId="77777777" w:rsidR="004F6023" w:rsidRPr="00C86111" w:rsidRDefault="004F6023" w:rsidP="004F6023">
      <w:pPr>
        <w:jc w:val="both"/>
        <w:rPr>
          <w:rFonts w:asciiTheme="minorHAnsi" w:hAnsiTheme="minorHAnsi" w:cstheme="minorHAnsi"/>
          <w:szCs w:val="24"/>
        </w:rPr>
      </w:pPr>
    </w:p>
    <w:p w14:paraId="69CCC790"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Konačno, preporučuje se uspostavljanje sistema evaluacije i indikatora za mjerenje efekata sprovedenih projekata, kao i razvoj platformi za javno praćenje stanja POPs hemikalija. Aktivno uključivanje građana i civilnog sektora u procese donošenja odluka dodatno bi povećalo transparentnost i dugoročnu održivost svih aktivnosti.</w:t>
      </w:r>
    </w:p>
    <w:p w14:paraId="7010BE78" w14:textId="77777777" w:rsidR="004F6023" w:rsidRPr="00C86111" w:rsidRDefault="004F6023" w:rsidP="004F6023">
      <w:pPr>
        <w:jc w:val="both"/>
        <w:rPr>
          <w:rFonts w:asciiTheme="minorHAnsi" w:hAnsiTheme="minorHAnsi" w:cstheme="minorHAnsi"/>
          <w:szCs w:val="24"/>
        </w:rPr>
      </w:pPr>
    </w:p>
    <w:p w14:paraId="4D67F5A8" w14:textId="77777777" w:rsidR="004F6023" w:rsidRPr="00C86111" w:rsidRDefault="004F6023" w:rsidP="004F6023">
      <w:pPr>
        <w:jc w:val="both"/>
        <w:rPr>
          <w:rFonts w:asciiTheme="minorHAnsi" w:hAnsiTheme="minorHAnsi" w:cstheme="minorHAnsi"/>
          <w:szCs w:val="24"/>
        </w:rPr>
      </w:pPr>
      <w:r w:rsidRPr="00C86111">
        <w:rPr>
          <w:rFonts w:asciiTheme="minorHAnsi" w:hAnsiTheme="minorHAnsi" w:cstheme="minorHAnsi"/>
          <w:szCs w:val="24"/>
        </w:rPr>
        <w:t>Ove preporuke su usmjerene na sistemski i održiv pristup upravljanju POPs hemikalijama u Crnoj Gori, sa ciljem zaštite zdravlja ljudi i životne sredine u skladu sa međunarodnim standardima.</w:t>
      </w:r>
    </w:p>
    <w:p w14:paraId="7DBC4DA0" w14:textId="0465BD5A" w:rsidR="004F6023" w:rsidRPr="00C86111" w:rsidRDefault="004F6023" w:rsidP="00912C4C">
      <w:pPr>
        <w:pStyle w:val="Heading1"/>
      </w:pPr>
      <w:bookmarkStart w:id="480" w:name="_Toc220542010"/>
      <w:r w:rsidRPr="00C86111">
        <w:t>Procjena napretka u odnosu na prethodne NIP-ove i zvanične evidencije</w:t>
      </w:r>
      <w:bookmarkEnd w:id="480"/>
    </w:p>
    <w:p w14:paraId="3BFAE0BF" w14:textId="77777777" w:rsidR="004F6023" w:rsidRPr="00C86111" w:rsidRDefault="004F6023" w:rsidP="004F6023">
      <w:pPr>
        <w:jc w:val="both"/>
        <w:rPr>
          <w:rFonts w:asciiTheme="minorHAnsi" w:hAnsiTheme="minorHAnsi" w:cstheme="minorHAnsi"/>
          <w:b/>
          <w:bCs/>
          <w:szCs w:val="24"/>
          <w:lang w:val="en-GB"/>
        </w:rPr>
      </w:pPr>
    </w:p>
    <w:p w14:paraId="228CCF56"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b/>
          <w:bCs/>
          <w:szCs w:val="24"/>
          <w:lang w:val="en-GB"/>
        </w:rPr>
        <w:t>Metod:</w:t>
      </w:r>
      <w:r w:rsidRPr="00C86111">
        <w:rPr>
          <w:rFonts w:asciiTheme="minorHAnsi" w:hAnsiTheme="minorHAnsi" w:cstheme="minorHAnsi"/>
          <w:szCs w:val="24"/>
          <w:lang w:val="en-GB"/>
        </w:rPr>
        <w:t xml:space="preserve"> upoređeni su prioriteti i mjere iz važećeg NIP-a za POPs (2019–2023) i starijeg NIP-a (2012), sa realizacijom prema završnim evaluacijama projekata, izvještajima institucija i međunarodnih programa. </w:t>
      </w:r>
    </w:p>
    <w:p w14:paraId="0EFAE8D1" w14:textId="77777777" w:rsidR="004F6023" w:rsidRPr="00C86111" w:rsidRDefault="004F6023" w:rsidP="004F6023">
      <w:pPr>
        <w:jc w:val="both"/>
        <w:rPr>
          <w:rFonts w:asciiTheme="minorHAnsi" w:hAnsiTheme="minorHAnsi" w:cstheme="minorHAnsi"/>
          <w:b/>
          <w:bCs/>
          <w:szCs w:val="24"/>
          <w:lang w:val="en-GB"/>
        </w:rPr>
      </w:pPr>
    </w:p>
    <w:p w14:paraId="4AC253D8" w14:textId="77777777" w:rsidR="004F6023" w:rsidRPr="00C86111" w:rsidRDefault="004F6023" w:rsidP="004F6023">
      <w:pPr>
        <w:rPr>
          <w:b/>
          <w:bCs/>
          <w:color w:val="002060"/>
          <w:lang w:val="en-GB"/>
        </w:rPr>
      </w:pPr>
      <w:r w:rsidRPr="00C86111">
        <w:rPr>
          <w:b/>
          <w:bCs/>
          <w:color w:val="002060"/>
          <w:lang w:val="en-GB"/>
        </w:rPr>
        <w:t>Sažetak nalaza (2019–2023):</w:t>
      </w:r>
    </w:p>
    <w:p w14:paraId="1C176EF8" w14:textId="77777777" w:rsidR="004F6023" w:rsidRPr="00C86111" w:rsidRDefault="004F6023" w:rsidP="004F6023">
      <w:pPr>
        <w:rPr>
          <w:b/>
          <w:bCs/>
          <w:color w:val="002060"/>
          <w:lang w:val="en-GB"/>
        </w:rPr>
      </w:pPr>
    </w:p>
    <w:p w14:paraId="4A08F057" w14:textId="77777777" w:rsidR="004F6023" w:rsidRPr="00C86111" w:rsidRDefault="004F6023" w:rsidP="00833A40">
      <w:pPr>
        <w:numPr>
          <w:ilvl w:val="0"/>
          <w:numId w:val="74"/>
        </w:numPr>
        <w:jc w:val="both"/>
        <w:rPr>
          <w:rFonts w:asciiTheme="minorHAnsi" w:hAnsiTheme="minorHAnsi" w:cstheme="minorHAnsi"/>
          <w:szCs w:val="24"/>
          <w:lang w:val="en-GB"/>
        </w:rPr>
      </w:pPr>
      <w:r w:rsidRPr="00C86111">
        <w:rPr>
          <w:rFonts w:asciiTheme="minorHAnsi" w:hAnsiTheme="minorHAnsi" w:cstheme="minorHAnsi"/>
          <w:szCs w:val="24"/>
          <w:lang w:val="en-GB"/>
        </w:rPr>
        <w:t>U NIP ciklusu 2019–2023 evidentiran je napredak, uz otvorena pitanja u otpadu i prirodi.</w:t>
      </w:r>
      <w:r w:rsidRPr="00C86111">
        <w:rPr>
          <w:rStyle w:val="FootnoteReference"/>
          <w:rFonts w:cstheme="minorHAnsi"/>
          <w:szCs w:val="24"/>
          <w:lang w:val="en-GB"/>
        </w:rPr>
        <w:footnoteReference w:id="7"/>
      </w:r>
    </w:p>
    <w:p w14:paraId="53F9280D" w14:textId="77777777" w:rsidR="004F6023" w:rsidRPr="00C86111" w:rsidRDefault="004F6023" w:rsidP="00833A40">
      <w:pPr>
        <w:numPr>
          <w:ilvl w:val="0"/>
          <w:numId w:val="74"/>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U domenu PCB/POPs postignuti su ključni rezultati kroz UNDP/GEF projekat: uspostavljen i digitalizovan inventar (≈5.000 uzoraka/analiza), uklonjeno i zbrinuto </w:t>
      </w:r>
      <w:r w:rsidRPr="00C86111">
        <w:rPr>
          <w:rFonts w:asciiTheme="minorHAnsi" w:hAnsiTheme="minorHAnsi" w:cstheme="minorHAnsi"/>
          <w:b/>
          <w:bCs/>
          <w:szCs w:val="24"/>
          <w:lang w:val="en-GB"/>
        </w:rPr>
        <w:t>≈555 t</w:t>
      </w:r>
      <w:r w:rsidRPr="00C86111">
        <w:rPr>
          <w:rFonts w:asciiTheme="minorHAnsi" w:hAnsiTheme="minorHAnsi" w:cstheme="minorHAnsi"/>
          <w:szCs w:val="24"/>
          <w:lang w:val="en-GB"/>
        </w:rPr>
        <w:t xml:space="preserve"> čvrstog otpada/ulja/opreme sa PCB i </w:t>
      </w:r>
      <w:r w:rsidRPr="00C86111">
        <w:rPr>
          <w:rFonts w:asciiTheme="minorHAnsi" w:hAnsiTheme="minorHAnsi" w:cstheme="minorHAnsi"/>
          <w:b/>
          <w:bCs/>
          <w:szCs w:val="24"/>
          <w:lang w:val="en-GB"/>
        </w:rPr>
        <w:t>≈1.050 t</w:t>
      </w:r>
      <w:r w:rsidRPr="00C86111">
        <w:rPr>
          <w:rFonts w:asciiTheme="minorHAnsi" w:hAnsiTheme="minorHAnsi" w:cstheme="minorHAnsi"/>
          <w:szCs w:val="24"/>
          <w:lang w:val="en-GB"/>
        </w:rPr>
        <w:t xml:space="preserve"> kontaminisanog zemljišta. Ovi rezultati prevazilaze početne planove iz NIP-a i PIF procjena.</w:t>
      </w:r>
      <w:r w:rsidRPr="00C86111">
        <w:rPr>
          <w:rStyle w:val="FootnoteReference"/>
          <w:rFonts w:cstheme="minorHAnsi"/>
          <w:szCs w:val="24"/>
          <w:lang w:val="en-GB"/>
        </w:rPr>
        <w:footnoteReference w:id="8"/>
      </w:r>
    </w:p>
    <w:p w14:paraId="18824A86" w14:textId="77777777" w:rsidR="004F6023" w:rsidRPr="00C86111" w:rsidRDefault="004F6023" w:rsidP="00833A40">
      <w:pPr>
        <w:numPr>
          <w:ilvl w:val="0"/>
          <w:numId w:val="74"/>
        </w:numPr>
        <w:jc w:val="both"/>
        <w:rPr>
          <w:rFonts w:asciiTheme="minorHAnsi" w:hAnsiTheme="minorHAnsi" w:cstheme="minorHAnsi"/>
          <w:szCs w:val="24"/>
          <w:lang w:val="en-GB"/>
        </w:rPr>
      </w:pPr>
      <w:r w:rsidRPr="00C86111">
        <w:rPr>
          <w:rFonts w:asciiTheme="minorHAnsi" w:hAnsiTheme="minorHAnsi" w:cstheme="minorHAnsi"/>
          <w:szCs w:val="24"/>
          <w:lang w:val="en-GB"/>
        </w:rPr>
        <w:t>Prema državnim i međunarodnim izvorima, procijenjene početne količine PCB-opreme/otpada (≈518 t + &gt;200 t kontaminiranog zemlji</w:t>
      </w:r>
      <w:r w:rsidRPr="00C86111">
        <w:rPr>
          <w:rFonts w:asciiTheme="minorHAnsi" w:hAnsiTheme="minorHAnsi" w:cstheme="minorHAnsi"/>
          <w:szCs w:val="24"/>
          <w:lang w:val="sr-Latn-ME"/>
        </w:rPr>
        <w:t>šta</w:t>
      </w:r>
      <w:r w:rsidRPr="00C86111">
        <w:rPr>
          <w:rFonts w:asciiTheme="minorHAnsi" w:hAnsiTheme="minorHAnsi" w:cstheme="minorHAnsi"/>
          <w:szCs w:val="24"/>
          <w:lang w:val="en-GB"/>
        </w:rPr>
        <w:t>) iz ranijih NIP i PIF faza postepeno su adresirane kroz projekte i izvoz opasnog otpada.</w:t>
      </w:r>
      <w:r w:rsidRPr="00C86111">
        <w:rPr>
          <w:rStyle w:val="FootnoteReference"/>
          <w:rFonts w:cstheme="minorHAnsi"/>
          <w:szCs w:val="24"/>
          <w:lang w:val="en-GB"/>
        </w:rPr>
        <w:footnoteReference w:id="9"/>
      </w:r>
    </w:p>
    <w:p w14:paraId="5971BB50" w14:textId="77777777" w:rsidR="004F6023" w:rsidRPr="00C86111" w:rsidRDefault="004F6023" w:rsidP="00833A40">
      <w:pPr>
        <w:numPr>
          <w:ilvl w:val="0"/>
          <w:numId w:val="74"/>
        </w:numPr>
        <w:jc w:val="both"/>
        <w:rPr>
          <w:rFonts w:asciiTheme="minorHAnsi" w:hAnsiTheme="minorHAnsi" w:cstheme="minorHAnsi"/>
          <w:szCs w:val="24"/>
          <w:lang w:val="en-GB"/>
        </w:rPr>
      </w:pPr>
      <w:r w:rsidRPr="00C86111">
        <w:rPr>
          <w:rFonts w:asciiTheme="minorHAnsi" w:hAnsiTheme="minorHAnsi" w:cstheme="minorHAnsi"/>
          <w:szCs w:val="24"/>
          <w:lang w:val="en-GB"/>
        </w:rPr>
        <w:t>Trendovi izvoza opasnog otpada pokazuju kontinuirano rješavanje zaostalih tokova.</w:t>
      </w:r>
      <w:r w:rsidRPr="00C86111">
        <w:rPr>
          <w:rStyle w:val="FootnoteReference"/>
          <w:rFonts w:cstheme="minorHAnsi"/>
          <w:szCs w:val="24"/>
          <w:lang w:val="en-GB"/>
        </w:rPr>
        <w:footnoteReference w:id="10"/>
      </w:r>
    </w:p>
    <w:p w14:paraId="7B2BD496" w14:textId="77777777" w:rsidR="004F6023" w:rsidRPr="00C86111" w:rsidRDefault="004F6023" w:rsidP="00EA6904">
      <w:pPr>
        <w:pStyle w:val="Heading3"/>
      </w:pPr>
    </w:p>
    <w:p w14:paraId="5B87673E" w14:textId="77777777" w:rsidR="004F6023" w:rsidRPr="00C86111" w:rsidRDefault="004F6023" w:rsidP="004F6023">
      <w:pPr>
        <w:rPr>
          <w:b/>
          <w:bCs/>
          <w:color w:val="002060"/>
          <w:lang w:val="en-GB"/>
        </w:rPr>
      </w:pPr>
      <w:r w:rsidRPr="00C86111">
        <w:rPr>
          <w:b/>
          <w:bCs/>
          <w:color w:val="002060"/>
          <w:lang w:val="en-GB"/>
        </w:rPr>
        <w:t>Napredak po ključnim oblastima (rezime):</w:t>
      </w:r>
    </w:p>
    <w:p w14:paraId="74908CF6" w14:textId="77777777" w:rsidR="004F6023" w:rsidRPr="00C86111" w:rsidRDefault="004F6023" w:rsidP="004F6023">
      <w:pPr>
        <w:jc w:val="both"/>
        <w:rPr>
          <w:rFonts w:asciiTheme="minorHAnsi" w:hAnsiTheme="minorHAnsi" w:cstheme="minorHAnsi"/>
          <w:szCs w:val="24"/>
          <w:lang w:val="en-GB"/>
        </w:rPr>
      </w:pPr>
    </w:p>
    <w:p w14:paraId="687CB898" w14:textId="77777777" w:rsidR="004F6023" w:rsidRPr="00C86111" w:rsidRDefault="004F6023" w:rsidP="00833A40">
      <w:pPr>
        <w:numPr>
          <w:ilvl w:val="0"/>
          <w:numId w:val="75"/>
        </w:numPr>
        <w:jc w:val="both"/>
        <w:rPr>
          <w:rFonts w:asciiTheme="minorHAnsi" w:hAnsiTheme="minorHAnsi" w:cstheme="minorHAnsi"/>
          <w:szCs w:val="24"/>
          <w:lang w:val="en-GB"/>
        </w:rPr>
      </w:pPr>
      <w:r w:rsidRPr="00C86111">
        <w:rPr>
          <w:rFonts w:asciiTheme="minorHAnsi" w:hAnsiTheme="minorHAnsi" w:cstheme="minorHAnsi"/>
          <w:b/>
          <w:bCs/>
          <w:szCs w:val="24"/>
          <w:lang w:val="en-GB"/>
        </w:rPr>
        <w:lastRenderedPageBreak/>
        <w:t>Inventar i evidencije:</w:t>
      </w:r>
      <w:r w:rsidRPr="00C86111">
        <w:rPr>
          <w:rFonts w:asciiTheme="minorHAnsi" w:hAnsiTheme="minorHAnsi" w:cstheme="minorHAnsi"/>
          <w:szCs w:val="24"/>
          <w:lang w:val="en-GB"/>
        </w:rPr>
        <w:t xml:space="preserve"> Nacionalni inventar PCB je uspostavljen i nadograđen; a (on-line rješenja iz projekta).</w:t>
      </w:r>
      <w:r w:rsidRPr="00C86111">
        <w:rPr>
          <w:rStyle w:val="FootnoteReference"/>
          <w:rFonts w:cstheme="minorHAnsi"/>
          <w:szCs w:val="24"/>
          <w:lang w:val="en-GB"/>
        </w:rPr>
        <w:footnoteReference w:id="11"/>
      </w:r>
    </w:p>
    <w:p w14:paraId="13C2898C" w14:textId="77777777" w:rsidR="004F6023" w:rsidRPr="00C86111" w:rsidRDefault="004F6023" w:rsidP="00833A40">
      <w:pPr>
        <w:numPr>
          <w:ilvl w:val="0"/>
          <w:numId w:val="75"/>
        </w:numPr>
        <w:jc w:val="both"/>
        <w:rPr>
          <w:rFonts w:asciiTheme="minorHAnsi" w:hAnsiTheme="minorHAnsi" w:cstheme="minorHAnsi"/>
          <w:szCs w:val="24"/>
          <w:lang w:val="en-GB"/>
        </w:rPr>
      </w:pPr>
      <w:r w:rsidRPr="00C86111">
        <w:rPr>
          <w:rFonts w:asciiTheme="minorHAnsi" w:hAnsiTheme="minorHAnsi" w:cstheme="minorHAnsi"/>
          <w:b/>
          <w:bCs/>
          <w:szCs w:val="24"/>
          <w:lang w:val="en-GB"/>
        </w:rPr>
        <w:t>Uklanjanje/odlaganje PCB:</w:t>
      </w:r>
      <w:r w:rsidRPr="00C86111">
        <w:rPr>
          <w:rFonts w:asciiTheme="minorHAnsi" w:hAnsiTheme="minorHAnsi" w:cstheme="minorHAnsi"/>
          <w:szCs w:val="24"/>
          <w:lang w:val="en-GB"/>
        </w:rPr>
        <w:t xml:space="preserve"> Velike količine su izvezene i zbrinute; slijedi dodatnih ~60–70 t kroz regionalni MedProgramme tender do kraja 2025.</w:t>
      </w:r>
      <w:r w:rsidRPr="00C86111">
        <w:rPr>
          <w:rStyle w:val="FootnoteReference"/>
          <w:rFonts w:cstheme="minorHAnsi"/>
          <w:szCs w:val="24"/>
          <w:lang w:val="en-GB"/>
        </w:rPr>
        <w:footnoteReference w:id="12"/>
      </w:r>
    </w:p>
    <w:p w14:paraId="292369AC" w14:textId="77777777" w:rsidR="004F6023" w:rsidRPr="00C86111" w:rsidRDefault="004F6023" w:rsidP="00833A40">
      <w:pPr>
        <w:numPr>
          <w:ilvl w:val="0"/>
          <w:numId w:val="75"/>
        </w:numPr>
        <w:jc w:val="both"/>
        <w:rPr>
          <w:rFonts w:asciiTheme="minorHAnsi" w:hAnsiTheme="minorHAnsi" w:cstheme="minorHAnsi"/>
          <w:szCs w:val="24"/>
          <w:lang w:val="en-GB"/>
        </w:rPr>
      </w:pPr>
      <w:r w:rsidRPr="00C86111">
        <w:rPr>
          <w:rFonts w:asciiTheme="minorHAnsi" w:hAnsiTheme="minorHAnsi" w:cstheme="minorHAnsi"/>
          <w:b/>
          <w:bCs/>
          <w:szCs w:val="24"/>
          <w:lang w:val="en-GB"/>
        </w:rPr>
        <w:t>Jačanje kapaciteta:</w:t>
      </w:r>
      <w:r w:rsidRPr="00C86111">
        <w:rPr>
          <w:rFonts w:asciiTheme="minorHAnsi" w:hAnsiTheme="minorHAnsi" w:cstheme="minorHAnsi"/>
          <w:szCs w:val="24"/>
          <w:lang w:val="en-GB"/>
        </w:rPr>
        <w:t xml:space="preserve"> Obuke industrije/inspekcija/laboratorija sprovedene u okviru projekata; i dalje je potreban stalni program i oprema.</w:t>
      </w:r>
      <w:r w:rsidRPr="00C86111">
        <w:rPr>
          <w:rStyle w:val="FootnoteReference"/>
          <w:rFonts w:cstheme="minorHAnsi"/>
          <w:szCs w:val="24"/>
          <w:lang w:val="en-GB"/>
        </w:rPr>
        <w:footnoteReference w:id="13"/>
      </w:r>
    </w:p>
    <w:p w14:paraId="4E99AC99" w14:textId="77777777" w:rsidR="004F6023" w:rsidRPr="00C86111" w:rsidRDefault="004F6023" w:rsidP="00833A40">
      <w:pPr>
        <w:numPr>
          <w:ilvl w:val="0"/>
          <w:numId w:val="75"/>
        </w:numPr>
        <w:jc w:val="both"/>
        <w:rPr>
          <w:rFonts w:asciiTheme="minorHAnsi" w:hAnsiTheme="minorHAnsi" w:cstheme="minorHAnsi"/>
          <w:szCs w:val="24"/>
          <w:lang w:val="en-GB"/>
        </w:rPr>
      </w:pPr>
      <w:r w:rsidRPr="00C86111">
        <w:rPr>
          <w:rFonts w:asciiTheme="minorHAnsi" w:hAnsiTheme="minorHAnsi" w:cstheme="minorHAnsi"/>
          <w:b/>
          <w:bCs/>
          <w:szCs w:val="24"/>
          <w:lang w:val="en-GB"/>
        </w:rPr>
        <w:t>Monitoring i “hot-spotovi”:</w:t>
      </w:r>
      <w:r w:rsidRPr="00C86111">
        <w:rPr>
          <w:rFonts w:asciiTheme="minorHAnsi" w:hAnsiTheme="minorHAnsi" w:cstheme="minorHAnsi"/>
          <w:szCs w:val="24"/>
          <w:lang w:val="en-GB"/>
        </w:rPr>
        <w:t xml:space="preserve"> Procjene morskih sedimenata u Boki potvrđuju prisustvo Hg/PAH/PCB na više lokacija; potrebni su dalji monitorinzi, planovi remedijacije i finansiranje.</w:t>
      </w:r>
    </w:p>
    <w:p w14:paraId="787F3D80" w14:textId="77777777" w:rsidR="004F6023" w:rsidRPr="00C86111" w:rsidRDefault="004F6023" w:rsidP="00833A40">
      <w:pPr>
        <w:numPr>
          <w:ilvl w:val="0"/>
          <w:numId w:val="75"/>
        </w:numPr>
        <w:jc w:val="both"/>
        <w:rPr>
          <w:rFonts w:asciiTheme="minorHAnsi" w:hAnsiTheme="minorHAnsi" w:cstheme="minorHAnsi"/>
          <w:szCs w:val="24"/>
          <w:lang w:val="en-GB"/>
        </w:rPr>
      </w:pPr>
      <w:r w:rsidRPr="00C86111">
        <w:rPr>
          <w:rFonts w:asciiTheme="minorHAnsi" w:hAnsiTheme="minorHAnsi" w:cstheme="minorHAnsi"/>
          <w:b/>
          <w:bCs/>
          <w:szCs w:val="24"/>
          <w:lang w:val="en-GB"/>
        </w:rPr>
        <w:t>Zakonodavstvo/usklađivanje:</w:t>
      </w:r>
      <w:r w:rsidRPr="00C86111">
        <w:rPr>
          <w:rFonts w:asciiTheme="minorHAnsi" w:hAnsiTheme="minorHAnsi" w:cstheme="minorHAnsi"/>
          <w:szCs w:val="24"/>
          <w:lang w:val="en-GB"/>
        </w:rPr>
        <w:t xml:space="preserve"> Donijet novi Zakon o upravljanju otpadom (2024) sa jačom transpozicijom EU pravila (uklj. POPs), kao i podzakonski akt i operativne procedure.</w:t>
      </w:r>
    </w:p>
    <w:p w14:paraId="4467421F" w14:textId="77777777" w:rsidR="004F6023" w:rsidRPr="00C86111" w:rsidRDefault="004F6023" w:rsidP="00833A40">
      <w:pPr>
        <w:numPr>
          <w:ilvl w:val="0"/>
          <w:numId w:val="75"/>
        </w:numPr>
        <w:jc w:val="both"/>
        <w:rPr>
          <w:rFonts w:asciiTheme="minorHAnsi" w:hAnsiTheme="minorHAnsi" w:cstheme="minorHAnsi"/>
          <w:szCs w:val="24"/>
          <w:lang w:val="en-GB"/>
        </w:rPr>
      </w:pPr>
      <w:r w:rsidRPr="00C86111">
        <w:rPr>
          <w:rFonts w:asciiTheme="minorHAnsi" w:hAnsiTheme="minorHAnsi" w:cstheme="minorHAnsi"/>
          <w:b/>
          <w:bCs/>
          <w:szCs w:val="24"/>
          <w:lang w:val="en-GB"/>
        </w:rPr>
        <w:t>Izvještavanje po konvencijama:</w:t>
      </w:r>
      <w:r w:rsidRPr="00C86111">
        <w:rPr>
          <w:rFonts w:asciiTheme="minorHAnsi" w:hAnsiTheme="minorHAnsi" w:cstheme="minorHAnsi"/>
          <w:szCs w:val="24"/>
          <w:lang w:val="en-GB"/>
        </w:rPr>
        <w:t xml:space="preserve"> Pokrenute aktivnosti za softver/procedure i obuke (BRS/Minamata), ali sistem treba institucionalizovati.</w:t>
      </w:r>
      <w:r w:rsidRPr="00C86111">
        <w:rPr>
          <w:rStyle w:val="FootnoteReference"/>
          <w:rFonts w:cstheme="minorHAnsi"/>
          <w:szCs w:val="24"/>
          <w:lang w:val="en-GB"/>
        </w:rPr>
        <w:footnoteReference w:id="14"/>
      </w:r>
      <w:r w:rsidRPr="00C86111">
        <w:rPr>
          <w:rFonts w:asciiTheme="minorHAnsi" w:hAnsiTheme="minorHAnsi" w:cstheme="minorHAnsi"/>
          <w:szCs w:val="24"/>
          <w:lang w:val="en-GB"/>
        </w:rPr>
        <w:t xml:space="preserve"> </w:t>
      </w:r>
    </w:p>
    <w:p w14:paraId="48608B62" w14:textId="77777777" w:rsidR="004F6023" w:rsidRPr="00C86111" w:rsidRDefault="004F6023" w:rsidP="004F6023">
      <w:pPr>
        <w:ind w:left="720"/>
        <w:jc w:val="both"/>
        <w:rPr>
          <w:rFonts w:asciiTheme="minorHAnsi" w:hAnsiTheme="minorHAnsi" w:cstheme="minorHAnsi"/>
          <w:szCs w:val="24"/>
          <w:lang w:val="en-GB"/>
        </w:rPr>
      </w:pPr>
    </w:p>
    <w:p w14:paraId="3AD00C90"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b/>
          <w:bCs/>
          <w:szCs w:val="24"/>
          <w:lang w:val="en-GB"/>
        </w:rPr>
        <w:t>Glavne prepreke:</w:t>
      </w:r>
      <w:r w:rsidRPr="00C86111">
        <w:rPr>
          <w:rFonts w:asciiTheme="minorHAnsi" w:hAnsiTheme="minorHAnsi" w:cstheme="minorHAnsi"/>
          <w:szCs w:val="24"/>
          <w:lang w:val="en-GB"/>
        </w:rPr>
        <w:t xml:space="preserve"> finansiranje remedijacije i izvoza “istorijskog” otpada; složene prekogranične procedure (Bazelska) u slučaju uklanjanja i izvoza otpada; nedostatak trajnih kapaciteta za monitoring/izvještavanje.</w:t>
      </w:r>
    </w:p>
    <w:p w14:paraId="5A7EC19C" w14:textId="77777777" w:rsidR="004F6023" w:rsidRDefault="004F6023" w:rsidP="004F6023">
      <w:pPr>
        <w:jc w:val="both"/>
        <w:rPr>
          <w:rFonts w:asciiTheme="minorHAnsi" w:hAnsiTheme="minorHAnsi" w:cstheme="minorHAnsi"/>
          <w:b/>
          <w:bCs/>
          <w:szCs w:val="24"/>
          <w:lang w:val="en-GB"/>
        </w:rPr>
      </w:pPr>
    </w:p>
    <w:p w14:paraId="0CF5A32A" w14:textId="77777777" w:rsidR="00D611ED" w:rsidRDefault="00D611ED" w:rsidP="004F6023">
      <w:pPr>
        <w:jc w:val="both"/>
        <w:rPr>
          <w:rFonts w:asciiTheme="minorHAnsi" w:hAnsiTheme="minorHAnsi" w:cstheme="minorHAnsi"/>
          <w:b/>
          <w:bCs/>
          <w:szCs w:val="24"/>
          <w:lang w:val="en-GB"/>
        </w:rPr>
      </w:pPr>
    </w:p>
    <w:p w14:paraId="2548B22F" w14:textId="77777777" w:rsidR="00D611ED" w:rsidRDefault="00D611ED" w:rsidP="004F6023">
      <w:pPr>
        <w:jc w:val="both"/>
        <w:rPr>
          <w:rFonts w:asciiTheme="minorHAnsi" w:hAnsiTheme="minorHAnsi" w:cstheme="minorHAnsi"/>
          <w:b/>
          <w:bCs/>
          <w:szCs w:val="24"/>
          <w:lang w:val="en-GB"/>
        </w:rPr>
      </w:pPr>
    </w:p>
    <w:p w14:paraId="68E33DEE" w14:textId="77777777" w:rsidR="00D611ED" w:rsidRDefault="00D611ED" w:rsidP="004F6023">
      <w:pPr>
        <w:jc w:val="both"/>
        <w:rPr>
          <w:rFonts w:asciiTheme="minorHAnsi" w:hAnsiTheme="minorHAnsi" w:cstheme="minorHAnsi"/>
          <w:b/>
          <w:bCs/>
          <w:szCs w:val="24"/>
          <w:lang w:val="en-GB"/>
        </w:rPr>
      </w:pPr>
    </w:p>
    <w:p w14:paraId="282C0B42" w14:textId="77777777" w:rsidR="00D611ED" w:rsidRDefault="00D611ED" w:rsidP="004F6023">
      <w:pPr>
        <w:jc w:val="both"/>
        <w:rPr>
          <w:rFonts w:asciiTheme="minorHAnsi" w:hAnsiTheme="minorHAnsi" w:cstheme="minorHAnsi"/>
          <w:b/>
          <w:bCs/>
          <w:szCs w:val="24"/>
          <w:lang w:val="en-GB"/>
        </w:rPr>
      </w:pPr>
    </w:p>
    <w:p w14:paraId="6D9CEDC3" w14:textId="77777777" w:rsidR="00D611ED" w:rsidRDefault="00D611ED" w:rsidP="004F6023">
      <w:pPr>
        <w:jc w:val="both"/>
        <w:rPr>
          <w:rFonts w:asciiTheme="minorHAnsi" w:hAnsiTheme="minorHAnsi" w:cstheme="minorHAnsi"/>
          <w:b/>
          <w:bCs/>
          <w:szCs w:val="24"/>
          <w:lang w:val="en-GB"/>
        </w:rPr>
      </w:pPr>
    </w:p>
    <w:p w14:paraId="1F971FEB" w14:textId="77777777" w:rsidR="00D611ED" w:rsidRDefault="00D611ED" w:rsidP="004F6023">
      <w:pPr>
        <w:jc w:val="both"/>
        <w:rPr>
          <w:rFonts w:asciiTheme="minorHAnsi" w:hAnsiTheme="minorHAnsi" w:cstheme="minorHAnsi"/>
          <w:b/>
          <w:bCs/>
          <w:szCs w:val="24"/>
          <w:lang w:val="en-GB"/>
        </w:rPr>
      </w:pPr>
    </w:p>
    <w:p w14:paraId="4EABF2E6" w14:textId="77777777" w:rsidR="00D611ED" w:rsidRDefault="00D611ED" w:rsidP="004F6023">
      <w:pPr>
        <w:jc w:val="both"/>
        <w:rPr>
          <w:rFonts w:asciiTheme="minorHAnsi" w:hAnsiTheme="minorHAnsi" w:cstheme="minorHAnsi"/>
          <w:b/>
          <w:bCs/>
          <w:szCs w:val="24"/>
          <w:lang w:val="en-GB"/>
        </w:rPr>
      </w:pPr>
    </w:p>
    <w:p w14:paraId="1CAEBE78" w14:textId="77777777" w:rsidR="00D611ED" w:rsidRDefault="00D611ED" w:rsidP="004F6023">
      <w:pPr>
        <w:jc w:val="both"/>
        <w:rPr>
          <w:rFonts w:asciiTheme="minorHAnsi" w:hAnsiTheme="minorHAnsi" w:cstheme="minorHAnsi"/>
          <w:b/>
          <w:bCs/>
          <w:szCs w:val="24"/>
          <w:lang w:val="en-GB"/>
        </w:rPr>
      </w:pPr>
    </w:p>
    <w:p w14:paraId="48C3477E" w14:textId="77777777" w:rsidR="00D611ED" w:rsidRDefault="00D611ED" w:rsidP="004F6023">
      <w:pPr>
        <w:jc w:val="both"/>
        <w:rPr>
          <w:rFonts w:asciiTheme="minorHAnsi" w:hAnsiTheme="minorHAnsi" w:cstheme="minorHAnsi"/>
          <w:b/>
          <w:bCs/>
          <w:szCs w:val="24"/>
          <w:lang w:val="en-GB"/>
        </w:rPr>
      </w:pPr>
    </w:p>
    <w:p w14:paraId="3775AB7A" w14:textId="77777777" w:rsidR="00D611ED" w:rsidRDefault="00D611ED" w:rsidP="004F6023">
      <w:pPr>
        <w:jc w:val="both"/>
        <w:rPr>
          <w:rFonts w:asciiTheme="minorHAnsi" w:hAnsiTheme="minorHAnsi" w:cstheme="minorHAnsi"/>
          <w:b/>
          <w:bCs/>
          <w:szCs w:val="24"/>
          <w:lang w:val="en-GB"/>
        </w:rPr>
      </w:pPr>
    </w:p>
    <w:p w14:paraId="5B6F1FDF" w14:textId="77777777" w:rsidR="00D611ED" w:rsidRDefault="00D611ED" w:rsidP="004F6023">
      <w:pPr>
        <w:jc w:val="both"/>
        <w:rPr>
          <w:rFonts w:asciiTheme="minorHAnsi" w:hAnsiTheme="minorHAnsi" w:cstheme="minorHAnsi"/>
          <w:b/>
          <w:bCs/>
          <w:szCs w:val="24"/>
          <w:lang w:val="en-GB"/>
        </w:rPr>
      </w:pPr>
    </w:p>
    <w:p w14:paraId="45A2A537" w14:textId="77777777" w:rsidR="00D611ED" w:rsidRDefault="00D611ED" w:rsidP="004F6023">
      <w:pPr>
        <w:jc w:val="both"/>
        <w:rPr>
          <w:rFonts w:asciiTheme="minorHAnsi" w:hAnsiTheme="minorHAnsi" w:cstheme="minorHAnsi"/>
          <w:b/>
          <w:bCs/>
          <w:szCs w:val="24"/>
          <w:lang w:val="en-GB"/>
        </w:rPr>
      </w:pPr>
    </w:p>
    <w:p w14:paraId="6C7A0DEC" w14:textId="77777777" w:rsidR="00D611ED" w:rsidRDefault="00D611ED" w:rsidP="004F6023">
      <w:pPr>
        <w:jc w:val="both"/>
        <w:rPr>
          <w:rFonts w:asciiTheme="minorHAnsi" w:hAnsiTheme="minorHAnsi" w:cstheme="minorHAnsi"/>
          <w:b/>
          <w:bCs/>
          <w:szCs w:val="24"/>
          <w:lang w:val="en-GB"/>
        </w:rPr>
      </w:pPr>
    </w:p>
    <w:p w14:paraId="563439C1" w14:textId="77777777" w:rsidR="00D611ED" w:rsidRPr="00C86111" w:rsidRDefault="00D611ED" w:rsidP="004F6023">
      <w:pPr>
        <w:jc w:val="both"/>
        <w:rPr>
          <w:rFonts w:asciiTheme="minorHAnsi" w:hAnsiTheme="minorHAnsi" w:cstheme="minorHAnsi"/>
          <w:b/>
          <w:bCs/>
          <w:szCs w:val="24"/>
          <w:lang w:val="en-GB"/>
        </w:rPr>
      </w:pPr>
    </w:p>
    <w:p w14:paraId="22BEEF40" w14:textId="68EFB1C6" w:rsidR="004F6023" w:rsidRPr="00C86111" w:rsidRDefault="007A23C1" w:rsidP="00912C4C">
      <w:pPr>
        <w:pStyle w:val="Heading1"/>
        <w:rPr>
          <w:lang w:val="en-GB"/>
        </w:rPr>
      </w:pPr>
      <w:bookmarkStart w:id="481" w:name="_Toc220542011"/>
      <w:r w:rsidRPr="00C86111">
        <w:rPr>
          <w:lang w:val="en-GB"/>
        </w:rPr>
        <w:t>USKLAĐENOST SA MEĐUNARODNIM OBAVEZAMA I EU ACQUIS</w:t>
      </w:r>
      <w:bookmarkEnd w:id="481"/>
    </w:p>
    <w:p w14:paraId="11ED21A0" w14:textId="77777777" w:rsidR="004F6023" w:rsidRPr="00C86111" w:rsidRDefault="004F6023" w:rsidP="00EA6904">
      <w:pPr>
        <w:pStyle w:val="Heading3"/>
      </w:pPr>
      <w:bookmarkStart w:id="482" w:name="_Toc220542012"/>
      <w:r w:rsidRPr="00C86111">
        <w:t>Međunarodne obaveze:</w:t>
      </w:r>
      <w:bookmarkEnd w:id="482"/>
    </w:p>
    <w:p w14:paraId="512FB384" w14:textId="77777777" w:rsidR="004F6023" w:rsidRPr="00C86111" w:rsidRDefault="004F6023" w:rsidP="004F6023">
      <w:pPr>
        <w:jc w:val="both"/>
        <w:rPr>
          <w:rFonts w:asciiTheme="minorHAnsi" w:hAnsiTheme="minorHAnsi" w:cstheme="minorHAnsi"/>
          <w:szCs w:val="24"/>
          <w:lang w:val="en-GB"/>
        </w:rPr>
      </w:pPr>
    </w:p>
    <w:p w14:paraId="2E06B83B" w14:textId="77777777" w:rsidR="004F6023" w:rsidRPr="00C86111" w:rsidRDefault="004F6023" w:rsidP="00833A40">
      <w:pPr>
        <w:numPr>
          <w:ilvl w:val="0"/>
          <w:numId w:val="76"/>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Crna Gora kontinuirano učestvuje u sprovođenju Stokholmske konvencije (NIP 2012; ažurirani NIP 2019–2023) i regionalnih MAP/GEF inicijativa (MedProgramme 2020–2026). </w:t>
      </w:r>
      <w:r w:rsidRPr="00C86111">
        <w:rPr>
          <w:rFonts w:asciiTheme="minorHAnsi" w:hAnsiTheme="minorHAnsi" w:cstheme="minorHAnsi"/>
          <w:szCs w:val="24"/>
          <w:lang w:val="en-GB"/>
        </w:rPr>
        <w:lastRenderedPageBreak/>
        <w:t>Planirani regionalni rezultati uključuju odlaganje POPs (do ~2.000 t na nivou Programa), uz nacionalne aktivnosti za PCB i morske sedimente.</w:t>
      </w:r>
      <w:r w:rsidRPr="00C86111">
        <w:rPr>
          <w:rStyle w:val="FootnoteReference"/>
          <w:rFonts w:cstheme="minorHAnsi"/>
          <w:szCs w:val="24"/>
          <w:lang w:val="en-GB"/>
        </w:rPr>
        <w:footnoteReference w:id="15"/>
      </w:r>
    </w:p>
    <w:p w14:paraId="52D66AC7" w14:textId="77777777" w:rsidR="004F6023" w:rsidRPr="00C86111" w:rsidRDefault="004F6023" w:rsidP="00833A40">
      <w:pPr>
        <w:numPr>
          <w:ilvl w:val="0"/>
          <w:numId w:val="76"/>
        </w:numPr>
        <w:jc w:val="both"/>
        <w:rPr>
          <w:rFonts w:asciiTheme="minorHAnsi" w:hAnsiTheme="minorHAnsi" w:cstheme="minorHAnsi"/>
          <w:szCs w:val="24"/>
          <w:lang w:val="en-GB"/>
        </w:rPr>
      </w:pPr>
      <w:r w:rsidRPr="00C86111">
        <w:rPr>
          <w:rFonts w:asciiTheme="minorHAnsi" w:hAnsiTheme="minorHAnsi" w:cstheme="minorHAnsi"/>
          <w:szCs w:val="24"/>
          <w:lang w:val="en-GB"/>
        </w:rPr>
        <w:t>U toku je uspostavljanje nacionalnog mehanizma izvještavanja prema BRS/Minamata (softver, procedure, obuke) - prioritet za punu usklađenost sa obavezama izvještavanja.</w:t>
      </w:r>
      <w:r w:rsidRPr="00C86111">
        <w:rPr>
          <w:rStyle w:val="FootnoteReference"/>
          <w:rFonts w:cstheme="minorHAnsi"/>
          <w:szCs w:val="24"/>
          <w:lang w:val="en-GB"/>
        </w:rPr>
        <w:footnoteReference w:id="16"/>
      </w:r>
    </w:p>
    <w:p w14:paraId="3AE6A956" w14:textId="77777777" w:rsidR="004F6023" w:rsidRPr="00C86111" w:rsidRDefault="004F6023" w:rsidP="00EA6904">
      <w:pPr>
        <w:pStyle w:val="Heading3"/>
      </w:pPr>
      <w:bookmarkStart w:id="483" w:name="_Toc220542013"/>
      <w:r w:rsidRPr="00C86111">
        <w:t>Usklađivanje sa EU acquis (POPs i otpad):</w:t>
      </w:r>
      <w:bookmarkEnd w:id="483"/>
    </w:p>
    <w:p w14:paraId="3DFB1771" w14:textId="77777777" w:rsidR="004F6023" w:rsidRPr="00C86111" w:rsidRDefault="004F6023" w:rsidP="004F6023">
      <w:pPr>
        <w:jc w:val="both"/>
        <w:rPr>
          <w:rFonts w:asciiTheme="minorHAnsi" w:hAnsiTheme="minorHAnsi" w:cstheme="minorHAnsi"/>
          <w:szCs w:val="24"/>
          <w:lang w:val="en-GB"/>
        </w:rPr>
      </w:pPr>
    </w:p>
    <w:p w14:paraId="64BF23AA" w14:textId="77777777" w:rsidR="004F6023" w:rsidRPr="00C86111" w:rsidRDefault="004F6023" w:rsidP="00833A40">
      <w:pPr>
        <w:numPr>
          <w:ilvl w:val="0"/>
          <w:numId w:val="77"/>
        </w:numPr>
        <w:jc w:val="both"/>
        <w:rPr>
          <w:rFonts w:asciiTheme="minorHAnsi" w:hAnsiTheme="minorHAnsi" w:cstheme="minorHAnsi"/>
          <w:szCs w:val="24"/>
          <w:lang w:val="en-GB"/>
        </w:rPr>
      </w:pPr>
      <w:r w:rsidRPr="00C86111">
        <w:rPr>
          <w:rFonts w:asciiTheme="minorHAnsi" w:hAnsiTheme="minorHAnsi" w:cstheme="minorHAnsi"/>
          <w:b/>
          <w:bCs/>
          <w:szCs w:val="24"/>
          <w:lang w:val="en-GB"/>
        </w:rPr>
        <w:t>Pravni okvir:</w:t>
      </w:r>
      <w:r w:rsidRPr="00C86111">
        <w:rPr>
          <w:rFonts w:asciiTheme="minorHAnsi" w:hAnsiTheme="minorHAnsi" w:cstheme="minorHAnsi"/>
          <w:szCs w:val="24"/>
          <w:lang w:val="en-GB"/>
        </w:rPr>
        <w:t xml:space="preserve"> Novi </w:t>
      </w:r>
      <w:r w:rsidRPr="00C86111">
        <w:rPr>
          <w:rFonts w:asciiTheme="minorHAnsi" w:hAnsiTheme="minorHAnsi" w:cstheme="minorHAnsi"/>
          <w:b/>
          <w:bCs/>
          <w:szCs w:val="24"/>
          <w:lang w:val="en-GB"/>
        </w:rPr>
        <w:t>Zakon o upravljanju otpadom (2024)</w:t>
      </w:r>
      <w:r w:rsidRPr="00C86111">
        <w:rPr>
          <w:rFonts w:asciiTheme="minorHAnsi" w:hAnsiTheme="minorHAnsi" w:cstheme="minorHAnsi"/>
          <w:szCs w:val="24"/>
          <w:lang w:val="en-GB"/>
        </w:rPr>
        <w:t xml:space="preserve"> unapređuje transpoziciju EU pravila, uključujući tretman tokova koji sadrže POPs; donesen podzakonski akt (kriterijumi/granične vrijednosti za POPs u otpadu, evidencije i praćenje).</w:t>
      </w:r>
    </w:p>
    <w:p w14:paraId="13C813E4" w14:textId="77777777" w:rsidR="004F6023" w:rsidRPr="00C86111" w:rsidRDefault="004F6023" w:rsidP="00833A40">
      <w:pPr>
        <w:numPr>
          <w:ilvl w:val="0"/>
          <w:numId w:val="77"/>
        </w:numPr>
        <w:jc w:val="both"/>
        <w:rPr>
          <w:rFonts w:asciiTheme="minorHAnsi" w:hAnsiTheme="minorHAnsi" w:cstheme="minorHAnsi"/>
          <w:szCs w:val="24"/>
          <w:lang w:val="en-GB"/>
        </w:rPr>
      </w:pPr>
      <w:r w:rsidRPr="00C86111">
        <w:rPr>
          <w:rFonts w:asciiTheme="minorHAnsi" w:hAnsiTheme="minorHAnsi" w:cstheme="minorHAnsi"/>
          <w:b/>
          <w:bCs/>
          <w:szCs w:val="24"/>
          <w:lang w:val="en-GB"/>
        </w:rPr>
        <w:t>Strategijski dokumenti i učinak:</w:t>
      </w:r>
      <w:r w:rsidRPr="00C86111">
        <w:rPr>
          <w:rFonts w:asciiTheme="minorHAnsi" w:hAnsiTheme="minorHAnsi" w:cstheme="minorHAnsi"/>
          <w:szCs w:val="24"/>
          <w:lang w:val="en-GB"/>
        </w:rPr>
        <w:t xml:space="preserve"> U skladu s pregledima EPR (UNECE, 2024), transpozicija EU pravne tekovine napreduje, ali su u “Poglavlju 27” i dalje prioriteti: otpad/POPs, infrastruktura i institucionalne sposobnosti.</w:t>
      </w:r>
      <w:r w:rsidRPr="00C86111">
        <w:rPr>
          <w:rStyle w:val="FootnoteReference"/>
          <w:rFonts w:cstheme="minorHAnsi"/>
          <w:szCs w:val="24"/>
          <w:lang w:val="en-GB"/>
        </w:rPr>
        <w:footnoteReference w:id="17"/>
      </w:r>
    </w:p>
    <w:p w14:paraId="7DAFD137" w14:textId="77777777" w:rsidR="004F6023" w:rsidRPr="00C86111" w:rsidRDefault="004F6023" w:rsidP="00833A40">
      <w:pPr>
        <w:numPr>
          <w:ilvl w:val="0"/>
          <w:numId w:val="77"/>
        </w:numPr>
        <w:jc w:val="both"/>
        <w:rPr>
          <w:rFonts w:asciiTheme="minorHAnsi" w:hAnsiTheme="minorHAnsi" w:cstheme="minorHAnsi"/>
          <w:szCs w:val="24"/>
          <w:lang w:val="en-GB"/>
        </w:rPr>
      </w:pPr>
      <w:r w:rsidRPr="00C86111">
        <w:rPr>
          <w:rFonts w:asciiTheme="minorHAnsi" w:hAnsiTheme="minorHAnsi" w:cstheme="minorHAnsi"/>
          <w:b/>
          <w:bCs/>
          <w:szCs w:val="24"/>
          <w:lang w:val="en-GB"/>
        </w:rPr>
        <w:t>Operativna usklađenost:</w:t>
      </w:r>
      <w:r w:rsidRPr="00C86111">
        <w:rPr>
          <w:rFonts w:asciiTheme="minorHAnsi" w:hAnsiTheme="minorHAnsi" w:cstheme="minorHAnsi"/>
          <w:szCs w:val="24"/>
          <w:lang w:val="en-GB"/>
        </w:rPr>
        <w:t xml:space="preserve"> Kroz UNDP/GEF projekat riješen je problem PCB opreme i kontaminiranog </w:t>
      </w:r>
      <w:r w:rsidRPr="00C86111">
        <w:rPr>
          <w:rFonts w:asciiTheme="minorHAnsi" w:hAnsiTheme="minorHAnsi" w:cstheme="minorHAnsi"/>
          <w:szCs w:val="24"/>
          <w:lang w:val="sr-Latn-ME"/>
        </w:rPr>
        <w:t>zemljišta</w:t>
      </w:r>
      <w:r w:rsidRPr="00C86111">
        <w:rPr>
          <w:rFonts w:asciiTheme="minorHAnsi" w:hAnsiTheme="minorHAnsi" w:cstheme="minorHAnsi"/>
          <w:szCs w:val="24"/>
          <w:lang w:val="en-GB"/>
        </w:rPr>
        <w:t>, u skladu sa EU Uredbom (EU) 2019/1021 o POPs (cilj: eliminacija/upotreba ispod granica, sigurno odlaganje). Dodatna količina PCB opreme predviđena je za izvoz u okviru MedProgramme do 2025.</w:t>
      </w:r>
      <w:r w:rsidRPr="00C86111">
        <w:rPr>
          <w:rStyle w:val="FootnoteReference"/>
          <w:rFonts w:cstheme="minorHAnsi"/>
          <w:szCs w:val="24"/>
          <w:lang w:val="en-GB"/>
        </w:rPr>
        <w:footnoteReference w:id="18"/>
      </w:r>
      <w:r w:rsidRPr="00C86111">
        <w:rPr>
          <w:rFonts w:asciiTheme="minorHAnsi" w:hAnsiTheme="minorHAnsi" w:cstheme="minorHAnsi"/>
          <w:szCs w:val="24"/>
          <w:lang w:val="en-GB"/>
        </w:rPr>
        <w:t xml:space="preserve"> </w:t>
      </w:r>
    </w:p>
    <w:p w14:paraId="5CFA1E72" w14:textId="77777777" w:rsidR="004F6023" w:rsidRPr="00C86111" w:rsidRDefault="004F6023" w:rsidP="004F6023">
      <w:pPr>
        <w:jc w:val="both"/>
        <w:rPr>
          <w:rFonts w:asciiTheme="minorHAnsi" w:hAnsiTheme="minorHAnsi" w:cstheme="minorHAnsi"/>
          <w:szCs w:val="24"/>
          <w:lang w:val="en-GB"/>
        </w:rPr>
      </w:pPr>
    </w:p>
    <w:p w14:paraId="026ED1CF" w14:textId="77777777" w:rsidR="004F6023" w:rsidRPr="00C86111" w:rsidRDefault="004F6023" w:rsidP="00EA6904">
      <w:pPr>
        <w:pStyle w:val="Heading3"/>
      </w:pPr>
      <w:bookmarkStart w:id="484" w:name="_Toc220542014"/>
      <w:r w:rsidRPr="00C86111">
        <w:t>Preporuke u skladu sa nalazima:</w:t>
      </w:r>
      <w:bookmarkEnd w:id="484"/>
    </w:p>
    <w:p w14:paraId="7073B63B" w14:textId="77777777" w:rsidR="004F6023" w:rsidRPr="00C86111" w:rsidRDefault="004F6023" w:rsidP="004F6023">
      <w:pPr>
        <w:jc w:val="both"/>
        <w:rPr>
          <w:rFonts w:asciiTheme="minorHAnsi" w:hAnsiTheme="minorHAnsi" w:cstheme="minorHAnsi"/>
          <w:szCs w:val="24"/>
          <w:lang w:val="en-GB"/>
        </w:rPr>
      </w:pPr>
    </w:p>
    <w:p w14:paraId="2222F2F1" w14:textId="77777777" w:rsidR="004F6023" w:rsidRPr="00C86111" w:rsidRDefault="004F6023" w:rsidP="00833A40">
      <w:pPr>
        <w:numPr>
          <w:ilvl w:val="0"/>
          <w:numId w:val="78"/>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Institucionalizovati nacionalni mehanizam izvještavanja (softver + procedure + obuke) i osigurati stalno finansiranje. </w:t>
      </w:r>
    </w:p>
    <w:p w14:paraId="31CEDB8C" w14:textId="77777777" w:rsidR="004F6023" w:rsidRPr="00C86111" w:rsidRDefault="004F6023" w:rsidP="00833A40">
      <w:pPr>
        <w:numPr>
          <w:ilvl w:val="0"/>
          <w:numId w:val="78"/>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Ubrzati realizaciju MedProgramme izvoza preostalih količina PCB-opreme i pripremiti projekte remedijacije sedimenata u Boki (projekti spremni za finansiranje). </w:t>
      </w:r>
    </w:p>
    <w:p w14:paraId="637952BC" w14:textId="092818BD" w:rsidR="004F6023" w:rsidRPr="00C86111" w:rsidRDefault="004F6023" w:rsidP="00BC765B">
      <w:pPr>
        <w:numPr>
          <w:ilvl w:val="0"/>
          <w:numId w:val="78"/>
        </w:numPr>
        <w:jc w:val="both"/>
        <w:rPr>
          <w:rFonts w:asciiTheme="minorHAnsi" w:hAnsiTheme="minorHAnsi" w:cstheme="minorHAnsi"/>
          <w:szCs w:val="24"/>
        </w:rPr>
      </w:pPr>
      <w:r w:rsidRPr="00C86111">
        <w:rPr>
          <w:rFonts w:asciiTheme="minorHAnsi" w:hAnsiTheme="minorHAnsi" w:cstheme="minorHAnsi"/>
          <w:szCs w:val="24"/>
          <w:lang w:val="en-GB"/>
        </w:rPr>
        <w:t xml:space="preserve">Uvesti redovan program monitoringa POPs u otpadu, vodi/sedimentima i biomonitoring, uz javno dostupne baze (transparentnost i usklađenost sa EU pristupom). </w:t>
      </w:r>
    </w:p>
    <w:p w14:paraId="4067EE8F" w14:textId="7B52F97E" w:rsidR="004F6023" w:rsidRPr="00C86111" w:rsidRDefault="004F6023" w:rsidP="007A23C1">
      <w:pPr>
        <w:ind w:left="450" w:hanging="90"/>
        <w:jc w:val="both"/>
        <w:rPr>
          <w:rFonts w:asciiTheme="minorHAnsi" w:hAnsiTheme="minorHAnsi" w:cstheme="minorHAnsi"/>
          <w:szCs w:val="24"/>
          <w:lang w:val="en-GB"/>
        </w:rPr>
      </w:pPr>
      <w:r w:rsidRPr="00C86111">
        <w:rPr>
          <w:rFonts w:asciiTheme="minorHAnsi" w:hAnsiTheme="minorHAnsi" w:cstheme="minorHAnsi"/>
          <w:szCs w:val="24"/>
          <w:lang w:val="en-GB"/>
        </w:rPr>
        <w:t xml:space="preserve">4. </w:t>
      </w:r>
      <w:r w:rsidR="007A23C1" w:rsidRPr="00C86111">
        <w:rPr>
          <w:rFonts w:asciiTheme="minorHAnsi" w:hAnsiTheme="minorHAnsi" w:cstheme="minorHAnsi"/>
          <w:szCs w:val="24"/>
          <w:lang w:val="en-GB"/>
        </w:rPr>
        <w:t xml:space="preserve">  </w:t>
      </w:r>
      <w:r w:rsidRPr="00C86111">
        <w:rPr>
          <w:rFonts w:asciiTheme="minorHAnsi" w:hAnsiTheme="minorHAnsi" w:cstheme="minorHAnsi"/>
          <w:szCs w:val="24"/>
          <w:lang w:val="en-GB"/>
        </w:rPr>
        <w:t>Preporuke za izvore finansiranja aktivnosti upravljanja POPs hemikalijama</w:t>
      </w:r>
    </w:p>
    <w:p w14:paraId="6E37ABE1" w14:textId="77777777" w:rsidR="004F6023" w:rsidRPr="00C86111" w:rsidRDefault="004F6023" w:rsidP="004F6023">
      <w:pPr>
        <w:jc w:val="both"/>
        <w:rPr>
          <w:rFonts w:asciiTheme="minorHAnsi" w:hAnsiTheme="minorHAnsi" w:cstheme="minorHAnsi"/>
          <w:b/>
          <w:bCs/>
          <w:szCs w:val="24"/>
          <w:lang w:val="en-GB"/>
        </w:rPr>
      </w:pPr>
    </w:p>
    <w:p w14:paraId="68C9BEF6" w14:textId="77777777" w:rsidR="004F6023" w:rsidRPr="00C86111" w:rsidRDefault="004F6023" w:rsidP="004F6023">
      <w:pPr>
        <w:jc w:val="both"/>
        <w:rPr>
          <w:rFonts w:asciiTheme="minorHAnsi" w:hAnsiTheme="minorHAnsi" w:cstheme="minorHAnsi"/>
          <w:bCs/>
          <w:szCs w:val="24"/>
          <w:lang w:val="en-GB"/>
        </w:rPr>
      </w:pPr>
      <w:r w:rsidRPr="00C86111">
        <w:rPr>
          <w:rFonts w:asciiTheme="minorHAnsi" w:hAnsiTheme="minorHAnsi" w:cstheme="minorHAnsi"/>
          <w:bCs/>
          <w:szCs w:val="24"/>
          <w:lang w:val="en-GB"/>
        </w:rPr>
        <w:t>Efikasno i održivo upravljanje POPs hemikalijama zahtijeva ne samo tehničke i institucionalne kapacitete, već i stabilne izvore finansiranja. S obzirom na to da je riječ o složenim i dugoročnim procesima koji uključuju inventarizaciju, monitoring, izgradnju infrastrukture, dekontaminaciju i bezbjedno odlaganje, neophodno je planirati kombinaciju nacionalnih i međunarodnih izvora podrške. Poseban značaj imaju međunarodni fondovi i donatorski programi, budući da omogućavaju transfer znanja, tehnologija i dobre prakse, dok nacionalni budžet i privatni sektor osiguravaju kontinuitet i održivost aktivnosti.</w:t>
      </w:r>
    </w:p>
    <w:p w14:paraId="1EAFD6AF" w14:textId="77777777" w:rsidR="004F6023" w:rsidRPr="00C86111" w:rsidRDefault="004F6023" w:rsidP="004F6023">
      <w:pPr>
        <w:jc w:val="both"/>
        <w:rPr>
          <w:rFonts w:asciiTheme="minorHAnsi" w:hAnsiTheme="minorHAnsi" w:cstheme="minorHAnsi"/>
          <w:bCs/>
          <w:szCs w:val="24"/>
          <w:lang w:val="en-GB"/>
        </w:rPr>
      </w:pPr>
    </w:p>
    <w:p w14:paraId="5ACBBFF4" w14:textId="77777777" w:rsidR="004F6023" w:rsidRPr="00C86111" w:rsidRDefault="004F6023" w:rsidP="004F6023">
      <w:pPr>
        <w:jc w:val="both"/>
        <w:rPr>
          <w:rFonts w:asciiTheme="minorHAnsi" w:hAnsiTheme="minorHAnsi" w:cstheme="minorHAnsi"/>
          <w:bCs/>
          <w:szCs w:val="24"/>
          <w:lang w:val="en-GB"/>
        </w:rPr>
      </w:pPr>
      <w:r w:rsidRPr="00C86111">
        <w:rPr>
          <w:rFonts w:asciiTheme="minorHAnsi" w:hAnsiTheme="minorHAnsi" w:cstheme="minorHAnsi"/>
          <w:bCs/>
          <w:szCs w:val="24"/>
          <w:lang w:val="en-GB"/>
        </w:rPr>
        <w:t>Ove preporuke imaju za cilj da usmjere institucije u Crnoj Gori ka raznovrsnim finansijskim mehanizmima, koji će omogućiti dugoročnu i održivu realizaciju obaveza u oblasti POPs hemikalija, u skladu sa međunarodnim konvencijama i procesom evropskih integracija.</w:t>
      </w:r>
    </w:p>
    <w:p w14:paraId="558FDF50" w14:textId="77777777" w:rsidR="004F6023" w:rsidRPr="00C86111" w:rsidRDefault="004F6023" w:rsidP="004F6023">
      <w:pPr>
        <w:jc w:val="both"/>
        <w:rPr>
          <w:rFonts w:asciiTheme="minorHAnsi" w:hAnsiTheme="minorHAnsi" w:cstheme="minorHAnsi"/>
          <w:b/>
          <w:bCs/>
          <w:szCs w:val="24"/>
          <w:lang w:val="en-GB"/>
        </w:rPr>
      </w:pPr>
    </w:p>
    <w:p w14:paraId="0B76DA94" w14:textId="77777777" w:rsidR="004F6023" w:rsidRPr="00C86111" w:rsidRDefault="004F6023" w:rsidP="00833A40">
      <w:pPr>
        <w:numPr>
          <w:ilvl w:val="0"/>
          <w:numId w:val="71"/>
        </w:numPr>
        <w:jc w:val="both"/>
        <w:rPr>
          <w:rFonts w:asciiTheme="minorHAnsi" w:hAnsiTheme="minorHAnsi" w:cstheme="minorHAnsi"/>
          <w:color w:val="002060"/>
          <w:szCs w:val="24"/>
          <w:lang w:val="en-GB"/>
        </w:rPr>
      </w:pPr>
      <w:r w:rsidRPr="00C86111">
        <w:rPr>
          <w:rFonts w:asciiTheme="minorHAnsi" w:hAnsiTheme="minorHAnsi" w:cstheme="minorHAnsi"/>
          <w:b/>
          <w:bCs/>
          <w:color w:val="002060"/>
          <w:szCs w:val="24"/>
          <w:lang w:val="en-GB"/>
        </w:rPr>
        <w:t>Međunarodni fondovi i programi</w:t>
      </w:r>
    </w:p>
    <w:p w14:paraId="69AC236C" w14:textId="77777777" w:rsidR="004F6023" w:rsidRPr="00C86111" w:rsidRDefault="004F6023" w:rsidP="00004F34">
      <w:pPr>
        <w:pStyle w:val="ListParagraph"/>
        <w:numPr>
          <w:ilvl w:val="1"/>
          <w:numId w:val="226"/>
        </w:numPr>
        <w:jc w:val="both"/>
        <w:rPr>
          <w:rFonts w:asciiTheme="minorHAnsi" w:hAnsiTheme="minorHAnsi" w:cstheme="minorHAnsi"/>
          <w:szCs w:val="24"/>
          <w:lang w:val="en-GB"/>
        </w:rPr>
      </w:pPr>
      <w:r w:rsidRPr="00C86111">
        <w:rPr>
          <w:rFonts w:asciiTheme="minorHAnsi" w:hAnsiTheme="minorHAnsi" w:cstheme="minorHAnsi"/>
          <w:b/>
          <w:bCs/>
          <w:szCs w:val="24"/>
          <w:lang w:val="en-GB"/>
        </w:rPr>
        <w:t>Global Environment Facility (GEF)</w:t>
      </w:r>
      <w:r w:rsidRPr="00C86111">
        <w:rPr>
          <w:rFonts w:asciiTheme="minorHAnsi" w:hAnsiTheme="minorHAnsi" w:cstheme="minorHAnsi"/>
          <w:szCs w:val="24"/>
          <w:lang w:val="en-GB"/>
        </w:rPr>
        <w:t xml:space="preserve"> — finansira projekte u oblasti zaštite životne sredine, uključujući upravljanje POPs i opasnim hemikalijama.</w:t>
      </w:r>
    </w:p>
    <w:p w14:paraId="0BD7E744" w14:textId="77777777" w:rsidR="004F6023" w:rsidRPr="00C86111" w:rsidRDefault="004F6023" w:rsidP="00004F34">
      <w:pPr>
        <w:pStyle w:val="ListParagraph"/>
        <w:numPr>
          <w:ilvl w:val="1"/>
          <w:numId w:val="226"/>
        </w:numPr>
        <w:jc w:val="both"/>
        <w:rPr>
          <w:rFonts w:asciiTheme="minorHAnsi" w:hAnsiTheme="minorHAnsi" w:cstheme="minorHAnsi"/>
          <w:szCs w:val="24"/>
          <w:lang w:val="en-GB"/>
        </w:rPr>
      </w:pPr>
      <w:r w:rsidRPr="00C86111">
        <w:rPr>
          <w:rFonts w:asciiTheme="minorHAnsi" w:hAnsiTheme="minorHAnsi" w:cstheme="minorHAnsi"/>
          <w:b/>
          <w:bCs/>
          <w:szCs w:val="24"/>
          <w:lang w:val="en-GB"/>
        </w:rPr>
        <w:t>UNEP (United Nations Environment Programme)</w:t>
      </w:r>
      <w:r w:rsidRPr="00C86111">
        <w:rPr>
          <w:rFonts w:asciiTheme="minorHAnsi" w:hAnsiTheme="minorHAnsi" w:cstheme="minorHAnsi"/>
          <w:szCs w:val="24"/>
          <w:lang w:val="en-GB"/>
        </w:rPr>
        <w:t xml:space="preserve"> — podržava regionalne i nacionalne projekte za smanjenje zagađenja i upravljanje opasnim hemikalijama.</w:t>
      </w:r>
    </w:p>
    <w:p w14:paraId="74CFC6EF" w14:textId="77777777" w:rsidR="004F6023" w:rsidRPr="00C86111" w:rsidRDefault="004F6023" w:rsidP="00004F34">
      <w:pPr>
        <w:pStyle w:val="ListParagraph"/>
        <w:numPr>
          <w:ilvl w:val="1"/>
          <w:numId w:val="226"/>
        </w:numPr>
        <w:jc w:val="both"/>
        <w:rPr>
          <w:rFonts w:asciiTheme="minorHAnsi" w:hAnsiTheme="minorHAnsi" w:cstheme="minorHAnsi"/>
          <w:szCs w:val="24"/>
          <w:lang w:val="en-GB"/>
        </w:rPr>
      </w:pPr>
      <w:r w:rsidRPr="00C86111">
        <w:rPr>
          <w:rFonts w:asciiTheme="minorHAnsi" w:hAnsiTheme="minorHAnsi" w:cstheme="minorHAnsi"/>
          <w:b/>
          <w:bCs/>
          <w:szCs w:val="24"/>
          <w:lang w:val="en-GB"/>
        </w:rPr>
        <w:t>MedProgram (UNEP MAP)</w:t>
      </w:r>
      <w:r w:rsidRPr="00C86111">
        <w:rPr>
          <w:rFonts w:asciiTheme="minorHAnsi" w:hAnsiTheme="minorHAnsi" w:cstheme="minorHAnsi"/>
          <w:szCs w:val="24"/>
          <w:lang w:val="en-GB"/>
        </w:rPr>
        <w:t xml:space="preserve"> — posebno usmjeren na Mediteran, sa podrškom za smanjenje štetnih hemikalija i otpada u kritičnim tačkama.</w:t>
      </w:r>
    </w:p>
    <w:p w14:paraId="620FB79B" w14:textId="77777777" w:rsidR="004F6023" w:rsidRPr="00C86111" w:rsidRDefault="004F6023" w:rsidP="00004F34">
      <w:pPr>
        <w:pStyle w:val="ListParagraph"/>
        <w:numPr>
          <w:ilvl w:val="1"/>
          <w:numId w:val="226"/>
        </w:numPr>
        <w:jc w:val="both"/>
        <w:rPr>
          <w:rFonts w:asciiTheme="minorHAnsi" w:hAnsiTheme="minorHAnsi" w:cstheme="minorHAnsi"/>
          <w:szCs w:val="24"/>
          <w:lang w:val="en-GB"/>
        </w:rPr>
      </w:pPr>
      <w:r w:rsidRPr="00C86111">
        <w:rPr>
          <w:rFonts w:asciiTheme="minorHAnsi" w:hAnsiTheme="minorHAnsi" w:cstheme="minorHAnsi"/>
          <w:b/>
          <w:bCs/>
          <w:szCs w:val="24"/>
          <w:lang w:val="en-GB"/>
        </w:rPr>
        <w:t>EU fondovi (Instrument for Pre-Accession Assistance - IPA)</w:t>
      </w:r>
      <w:r w:rsidRPr="00C86111">
        <w:rPr>
          <w:rFonts w:asciiTheme="minorHAnsi" w:hAnsiTheme="minorHAnsi" w:cstheme="minorHAnsi"/>
          <w:szCs w:val="24"/>
          <w:lang w:val="en-GB"/>
        </w:rPr>
        <w:t xml:space="preserve"> — podrška zemljama kandidatima za EU u oblasti životne sredine i upravljanja hemikalijama.</w:t>
      </w:r>
    </w:p>
    <w:p w14:paraId="1003AE05" w14:textId="77777777" w:rsidR="004F6023" w:rsidRPr="00C86111" w:rsidRDefault="004F6023" w:rsidP="004F6023">
      <w:pPr>
        <w:ind w:left="720"/>
        <w:jc w:val="both"/>
        <w:rPr>
          <w:rFonts w:asciiTheme="minorHAnsi" w:hAnsiTheme="minorHAnsi" w:cstheme="minorHAnsi"/>
          <w:szCs w:val="24"/>
          <w:lang w:val="en-GB"/>
        </w:rPr>
      </w:pPr>
    </w:p>
    <w:p w14:paraId="7837C131" w14:textId="77777777" w:rsidR="004F6023" w:rsidRPr="00C86111" w:rsidRDefault="004F6023" w:rsidP="00833A40">
      <w:pPr>
        <w:numPr>
          <w:ilvl w:val="0"/>
          <w:numId w:val="71"/>
        </w:numPr>
        <w:jc w:val="both"/>
        <w:rPr>
          <w:rFonts w:asciiTheme="minorHAnsi" w:hAnsiTheme="minorHAnsi" w:cstheme="minorHAnsi"/>
          <w:color w:val="002060"/>
          <w:szCs w:val="24"/>
          <w:lang w:val="en-GB"/>
        </w:rPr>
      </w:pPr>
      <w:r w:rsidRPr="00C86111">
        <w:rPr>
          <w:rFonts w:asciiTheme="minorHAnsi" w:hAnsiTheme="minorHAnsi" w:cstheme="minorHAnsi"/>
          <w:b/>
          <w:bCs/>
          <w:color w:val="002060"/>
          <w:szCs w:val="24"/>
          <w:lang w:val="en-GB"/>
        </w:rPr>
        <w:t>Regionalni i bilateralni donatori</w:t>
      </w:r>
    </w:p>
    <w:p w14:paraId="0DFB6AAB" w14:textId="77777777" w:rsidR="004F6023" w:rsidRPr="00C86111" w:rsidRDefault="004F6023" w:rsidP="00004F34">
      <w:pPr>
        <w:pStyle w:val="ListParagraph"/>
        <w:numPr>
          <w:ilvl w:val="1"/>
          <w:numId w:val="227"/>
        </w:numPr>
        <w:jc w:val="both"/>
        <w:rPr>
          <w:rFonts w:asciiTheme="minorHAnsi" w:hAnsiTheme="minorHAnsi" w:cstheme="minorHAnsi"/>
          <w:szCs w:val="24"/>
          <w:lang w:val="en-GB"/>
        </w:rPr>
      </w:pPr>
      <w:r w:rsidRPr="00C86111">
        <w:rPr>
          <w:rFonts w:asciiTheme="minorHAnsi" w:hAnsiTheme="minorHAnsi" w:cstheme="minorHAnsi"/>
          <w:szCs w:val="24"/>
          <w:lang w:val="en-GB"/>
        </w:rPr>
        <w:t>Programi i grantovi od regionalnih razvojnih banaka (npr. EBRD, EIB, WB).</w:t>
      </w:r>
    </w:p>
    <w:p w14:paraId="0137CAF6" w14:textId="77777777" w:rsidR="004F6023" w:rsidRPr="00C86111" w:rsidRDefault="004F6023" w:rsidP="00004F34">
      <w:pPr>
        <w:pStyle w:val="ListParagraph"/>
        <w:numPr>
          <w:ilvl w:val="1"/>
          <w:numId w:val="227"/>
        </w:numPr>
        <w:jc w:val="both"/>
        <w:rPr>
          <w:rFonts w:asciiTheme="minorHAnsi" w:hAnsiTheme="minorHAnsi" w:cstheme="minorHAnsi"/>
          <w:szCs w:val="24"/>
          <w:lang w:val="en-GB"/>
        </w:rPr>
      </w:pPr>
      <w:r w:rsidRPr="00C86111">
        <w:rPr>
          <w:rFonts w:asciiTheme="minorHAnsi" w:hAnsiTheme="minorHAnsi" w:cstheme="minorHAnsi"/>
          <w:szCs w:val="24"/>
          <w:lang w:val="en-GB"/>
        </w:rPr>
        <w:t>Bilateralna saradnja sa zemljama članicama EU i međunarodnim agencijama koje pružaju tehničku i finansijsku podršku.</w:t>
      </w:r>
    </w:p>
    <w:p w14:paraId="5471F29E" w14:textId="77777777" w:rsidR="004F6023" w:rsidRPr="00C86111" w:rsidRDefault="004F6023" w:rsidP="004F6023">
      <w:pPr>
        <w:ind w:left="1440"/>
        <w:jc w:val="both"/>
        <w:rPr>
          <w:rFonts w:asciiTheme="minorHAnsi" w:hAnsiTheme="minorHAnsi" w:cstheme="minorHAnsi"/>
          <w:szCs w:val="24"/>
          <w:lang w:val="en-GB"/>
        </w:rPr>
      </w:pPr>
    </w:p>
    <w:p w14:paraId="32757A88" w14:textId="77777777" w:rsidR="004F6023" w:rsidRPr="00C86111" w:rsidRDefault="004F6023" w:rsidP="00833A40">
      <w:pPr>
        <w:numPr>
          <w:ilvl w:val="0"/>
          <w:numId w:val="71"/>
        </w:numPr>
        <w:jc w:val="both"/>
        <w:rPr>
          <w:rFonts w:asciiTheme="minorHAnsi" w:hAnsiTheme="minorHAnsi" w:cstheme="minorHAnsi"/>
          <w:szCs w:val="24"/>
          <w:lang w:val="en-GB"/>
        </w:rPr>
      </w:pPr>
      <w:r w:rsidRPr="00C86111">
        <w:rPr>
          <w:rFonts w:asciiTheme="minorHAnsi" w:hAnsiTheme="minorHAnsi" w:cstheme="minorHAnsi"/>
          <w:b/>
          <w:bCs/>
          <w:color w:val="002060"/>
          <w:szCs w:val="24"/>
          <w:lang w:val="en-GB"/>
        </w:rPr>
        <w:t>Nacionalni budžetski resursi i javno-privatna partnerstva</w:t>
      </w:r>
    </w:p>
    <w:p w14:paraId="5FEA7E42" w14:textId="77777777" w:rsidR="004F6023" w:rsidRPr="00C86111" w:rsidRDefault="004F6023" w:rsidP="00004F34">
      <w:pPr>
        <w:pStyle w:val="ListParagraph"/>
        <w:numPr>
          <w:ilvl w:val="1"/>
          <w:numId w:val="228"/>
        </w:numPr>
        <w:jc w:val="both"/>
        <w:rPr>
          <w:rFonts w:asciiTheme="minorHAnsi" w:hAnsiTheme="minorHAnsi" w:cstheme="minorHAnsi"/>
          <w:szCs w:val="24"/>
          <w:lang w:val="en-GB"/>
        </w:rPr>
      </w:pPr>
      <w:r w:rsidRPr="00C86111">
        <w:rPr>
          <w:rFonts w:asciiTheme="minorHAnsi" w:hAnsiTheme="minorHAnsi" w:cstheme="minorHAnsi"/>
          <w:szCs w:val="24"/>
          <w:lang w:val="en-GB"/>
        </w:rPr>
        <w:t>Alokacija sredstava iz državnog budžeta za strateške ekološke projekte i podršku institucijama.</w:t>
      </w:r>
    </w:p>
    <w:p w14:paraId="41FA956D" w14:textId="77777777" w:rsidR="004F6023" w:rsidRPr="00C86111" w:rsidRDefault="004F6023" w:rsidP="00004F34">
      <w:pPr>
        <w:pStyle w:val="ListParagraph"/>
        <w:numPr>
          <w:ilvl w:val="1"/>
          <w:numId w:val="228"/>
        </w:numPr>
        <w:jc w:val="both"/>
        <w:rPr>
          <w:rFonts w:asciiTheme="minorHAnsi" w:hAnsiTheme="minorHAnsi" w:cstheme="minorHAnsi"/>
          <w:szCs w:val="24"/>
          <w:lang w:val="en-GB"/>
        </w:rPr>
      </w:pPr>
      <w:r w:rsidRPr="00C86111">
        <w:rPr>
          <w:rFonts w:asciiTheme="minorHAnsi" w:hAnsiTheme="minorHAnsi" w:cstheme="minorHAnsi"/>
          <w:szCs w:val="24"/>
          <w:lang w:val="en-GB"/>
        </w:rPr>
        <w:t>Podsticanje javno-privatnih partnerstava za ulaganja u zelenu infrastrukturu i tehnologije bezbjednog upravljanja POPs otpadom.</w:t>
      </w:r>
    </w:p>
    <w:p w14:paraId="45433C35" w14:textId="77777777" w:rsidR="004F6023" w:rsidRPr="00C86111" w:rsidRDefault="004F6023" w:rsidP="007A23C1">
      <w:pPr>
        <w:ind w:left="1440"/>
        <w:jc w:val="both"/>
        <w:rPr>
          <w:rFonts w:asciiTheme="minorHAnsi" w:hAnsiTheme="minorHAnsi" w:cstheme="minorHAnsi"/>
          <w:szCs w:val="24"/>
          <w:lang w:val="en-GB"/>
        </w:rPr>
      </w:pPr>
    </w:p>
    <w:p w14:paraId="3F698D47" w14:textId="77777777" w:rsidR="004F6023" w:rsidRPr="00C86111" w:rsidRDefault="004F6023" w:rsidP="00833A40">
      <w:pPr>
        <w:numPr>
          <w:ilvl w:val="0"/>
          <w:numId w:val="71"/>
        </w:numPr>
        <w:jc w:val="both"/>
        <w:rPr>
          <w:rFonts w:asciiTheme="minorHAnsi" w:hAnsiTheme="minorHAnsi" w:cstheme="minorHAnsi"/>
          <w:color w:val="002060"/>
          <w:szCs w:val="24"/>
          <w:lang w:val="en-GB"/>
        </w:rPr>
      </w:pPr>
      <w:r w:rsidRPr="00C86111">
        <w:rPr>
          <w:rFonts w:asciiTheme="minorHAnsi" w:hAnsiTheme="minorHAnsi" w:cstheme="minorHAnsi"/>
          <w:b/>
          <w:bCs/>
          <w:color w:val="002060"/>
          <w:szCs w:val="24"/>
          <w:lang w:val="en-GB"/>
        </w:rPr>
        <w:t>Fondovi za klimatske promjene i zelenu tranziciju</w:t>
      </w:r>
    </w:p>
    <w:p w14:paraId="4F5DB655" w14:textId="77777777" w:rsidR="004F6023" w:rsidRPr="00C86111" w:rsidRDefault="004F6023" w:rsidP="00004F34">
      <w:pPr>
        <w:pStyle w:val="ListParagraph"/>
        <w:numPr>
          <w:ilvl w:val="1"/>
          <w:numId w:val="229"/>
        </w:numPr>
        <w:jc w:val="both"/>
        <w:rPr>
          <w:rFonts w:asciiTheme="minorHAnsi" w:hAnsiTheme="minorHAnsi" w:cstheme="minorHAnsi"/>
          <w:szCs w:val="24"/>
          <w:lang w:val="en-GB"/>
        </w:rPr>
      </w:pPr>
      <w:r w:rsidRPr="00C86111">
        <w:rPr>
          <w:rFonts w:asciiTheme="minorHAnsi" w:hAnsiTheme="minorHAnsi" w:cstheme="minorHAnsi"/>
          <w:szCs w:val="24"/>
          <w:lang w:val="en-GB"/>
        </w:rPr>
        <w:t>Instrumenti kao što su Zeleni klimatski fond (Green Climate Fund) i fondovi za održivi razvoj koji podržavaju projekte smanjenja zagađenja i unapređenja infrastrukture.</w:t>
      </w:r>
    </w:p>
    <w:p w14:paraId="5928B70A" w14:textId="77777777" w:rsidR="004F6023" w:rsidRPr="00C86111" w:rsidRDefault="004F6023" w:rsidP="004F6023">
      <w:pPr>
        <w:ind w:left="1440"/>
        <w:jc w:val="both"/>
        <w:rPr>
          <w:rFonts w:asciiTheme="minorHAnsi" w:hAnsiTheme="minorHAnsi" w:cstheme="minorHAnsi"/>
          <w:szCs w:val="24"/>
          <w:lang w:val="en-GB"/>
        </w:rPr>
      </w:pPr>
    </w:p>
    <w:p w14:paraId="0A02E483" w14:textId="77777777" w:rsidR="004F6023" w:rsidRPr="00C86111" w:rsidRDefault="004F6023" w:rsidP="00833A40">
      <w:pPr>
        <w:numPr>
          <w:ilvl w:val="0"/>
          <w:numId w:val="71"/>
        </w:numPr>
        <w:jc w:val="both"/>
        <w:rPr>
          <w:rFonts w:asciiTheme="minorHAnsi" w:hAnsiTheme="minorHAnsi" w:cstheme="minorHAnsi"/>
          <w:color w:val="002060"/>
          <w:szCs w:val="24"/>
          <w:lang w:val="en-GB"/>
        </w:rPr>
      </w:pPr>
      <w:r w:rsidRPr="00C86111">
        <w:rPr>
          <w:rFonts w:asciiTheme="minorHAnsi" w:hAnsiTheme="minorHAnsi" w:cstheme="minorHAnsi"/>
          <w:b/>
          <w:bCs/>
          <w:color w:val="002060"/>
          <w:szCs w:val="24"/>
          <w:lang w:val="en-GB"/>
        </w:rPr>
        <w:t>Privatni sektor i industrijski fondovi</w:t>
      </w:r>
    </w:p>
    <w:p w14:paraId="2C051BF4" w14:textId="77777777" w:rsidR="004F6023" w:rsidRPr="00C86111" w:rsidRDefault="004F6023" w:rsidP="00004F34">
      <w:pPr>
        <w:pStyle w:val="ListParagraph"/>
        <w:numPr>
          <w:ilvl w:val="1"/>
          <w:numId w:val="229"/>
        </w:numPr>
        <w:jc w:val="both"/>
        <w:rPr>
          <w:rFonts w:asciiTheme="minorHAnsi" w:hAnsiTheme="minorHAnsi" w:cstheme="minorHAnsi"/>
          <w:szCs w:val="24"/>
          <w:lang w:val="en-GB"/>
        </w:rPr>
      </w:pPr>
      <w:r w:rsidRPr="00C86111">
        <w:rPr>
          <w:rFonts w:asciiTheme="minorHAnsi" w:hAnsiTheme="minorHAnsi" w:cstheme="minorHAnsi"/>
          <w:szCs w:val="24"/>
          <w:lang w:val="en-GB"/>
        </w:rPr>
        <w:t>Investicije i samofinansiranje kompanija koje posjeduju opremu sa POPs hemikalijama, kroz pristup povoljnim kreditima i subvencijama za modernizaciju.</w:t>
      </w:r>
    </w:p>
    <w:p w14:paraId="5B0E397A" w14:textId="77777777" w:rsidR="004F6023" w:rsidRPr="00C86111" w:rsidRDefault="004F6023" w:rsidP="00004F34">
      <w:pPr>
        <w:pStyle w:val="ListParagraph"/>
        <w:numPr>
          <w:ilvl w:val="1"/>
          <w:numId w:val="229"/>
        </w:numPr>
        <w:jc w:val="both"/>
        <w:rPr>
          <w:rFonts w:asciiTheme="minorHAnsi" w:hAnsiTheme="minorHAnsi" w:cstheme="minorHAnsi"/>
          <w:szCs w:val="24"/>
          <w:lang w:val="en-GB"/>
        </w:rPr>
      </w:pPr>
      <w:r w:rsidRPr="00C86111">
        <w:rPr>
          <w:rFonts w:asciiTheme="minorHAnsi" w:hAnsiTheme="minorHAnsi" w:cstheme="minorHAnsi"/>
          <w:szCs w:val="24"/>
          <w:lang w:val="en-GB"/>
        </w:rPr>
        <w:t>Fondovi za društvenu odgovornost kompanija (CSR) usmjereni na zaštitu životne sredine.</w:t>
      </w:r>
    </w:p>
    <w:p w14:paraId="4BBFF55B" w14:textId="77777777" w:rsidR="004F6023" w:rsidRPr="00C86111" w:rsidRDefault="004F6023" w:rsidP="004F6023">
      <w:pPr>
        <w:jc w:val="both"/>
        <w:rPr>
          <w:rFonts w:asciiTheme="minorHAnsi" w:hAnsiTheme="minorHAnsi" w:cstheme="minorHAnsi"/>
          <w:szCs w:val="24"/>
          <w:lang w:val="en-GB"/>
        </w:rPr>
      </w:pPr>
    </w:p>
    <w:p w14:paraId="1E347D73"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Kombinovanjem ovih izvora moguće je obezbijediti stabilno finansiranje za razvoj i održavanje sistema upravljanja POPs hemikalijama, podizanje kapaciteta i implementaciju inovativnih tehnologija u Crnoj Gori.</w:t>
      </w:r>
    </w:p>
    <w:p w14:paraId="5EBD7300" w14:textId="77777777" w:rsidR="004F6023" w:rsidRPr="00C86111" w:rsidRDefault="004F6023" w:rsidP="004F6023">
      <w:pPr>
        <w:jc w:val="both"/>
        <w:rPr>
          <w:rFonts w:asciiTheme="minorHAnsi" w:hAnsiTheme="minorHAnsi" w:cstheme="minorHAnsi"/>
          <w:szCs w:val="24"/>
        </w:rPr>
      </w:pPr>
    </w:p>
    <w:p w14:paraId="68577FE0" w14:textId="77777777" w:rsidR="004F6023" w:rsidRPr="00C86111" w:rsidRDefault="004F6023" w:rsidP="00EA6904">
      <w:pPr>
        <w:pStyle w:val="Heading3"/>
      </w:pPr>
      <w:bookmarkStart w:id="485" w:name="_Toc220542015"/>
      <w:r w:rsidRPr="00C86111">
        <w:t>Zaključak</w:t>
      </w:r>
      <w:bookmarkEnd w:id="485"/>
    </w:p>
    <w:p w14:paraId="7FD19541" w14:textId="77777777" w:rsidR="004F6023" w:rsidRPr="00C86111" w:rsidRDefault="004F6023" w:rsidP="004F6023">
      <w:pPr>
        <w:jc w:val="both"/>
        <w:rPr>
          <w:rFonts w:asciiTheme="minorHAnsi" w:hAnsiTheme="minorHAnsi" w:cstheme="minorHAnsi"/>
          <w:szCs w:val="24"/>
          <w:lang w:val="en-GB"/>
        </w:rPr>
      </w:pPr>
    </w:p>
    <w:p w14:paraId="2657D97F"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 xml:space="preserve">Crna Gora je u proteklom periodu ostvarila značajan napredak u oblasti upravljanja POPs hemikalijama kroz realizaciju brojnih projekata uz podršku međunarodnih partnera i nacionalnih institucija. Rezultati poput uspostavljanja nacionalnih inventara, izvoza i dekontaminacije PCB opreme i zemljišta, izrade regulatornih dokumenata, podizanja kapaciteta i sprovođenja </w:t>
      </w:r>
      <w:r w:rsidRPr="00C86111">
        <w:rPr>
          <w:rFonts w:asciiTheme="minorHAnsi" w:hAnsiTheme="minorHAnsi" w:cstheme="minorHAnsi"/>
          <w:szCs w:val="24"/>
          <w:lang w:val="en-GB"/>
        </w:rPr>
        <w:lastRenderedPageBreak/>
        <w:t>edukativnih aktivnosti potvrđuju posvećenost ispunjavanju obaveza iz međunarodnih konvencija i približavanju evropskim standardima.</w:t>
      </w:r>
    </w:p>
    <w:p w14:paraId="133FB2C8"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Međutim, proces uspostavljanja trajnog i održivog sistema i dalje je u toku. Ključni izazovi odnose se na nedovoljno razvijenu infrastrukturu za tretman i skladištenje POPs otpada, potrebu za jačanjem institucionalnih kapaciteta i laboratorijskih mogućnosti, kao i na obezbjeđivanje stabilnih finansijskih izvora. Pored toga, važan zadatak ostaje kontinuirana edukacija i uključivanje lokalnih zajednica, privatnog sektora i civilnog društva.</w:t>
      </w:r>
    </w:p>
    <w:p w14:paraId="0DBA6DBD" w14:textId="77777777" w:rsidR="004F6023" w:rsidRPr="00C86111" w:rsidRDefault="004F6023" w:rsidP="004F6023">
      <w:pPr>
        <w:jc w:val="both"/>
        <w:rPr>
          <w:rFonts w:asciiTheme="minorHAnsi" w:hAnsiTheme="minorHAnsi" w:cstheme="minorHAnsi"/>
          <w:szCs w:val="24"/>
          <w:lang w:val="en-GB"/>
        </w:rPr>
      </w:pPr>
    </w:p>
    <w:p w14:paraId="44109F49"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Za naredni period prioriteti treba da budu:</w:t>
      </w:r>
    </w:p>
    <w:p w14:paraId="4CBB9321" w14:textId="77777777" w:rsidR="004F6023" w:rsidRPr="00C86111" w:rsidRDefault="004F6023" w:rsidP="00833A40">
      <w:pPr>
        <w:numPr>
          <w:ilvl w:val="0"/>
          <w:numId w:val="73"/>
        </w:numPr>
        <w:jc w:val="both"/>
        <w:rPr>
          <w:rFonts w:asciiTheme="minorHAnsi" w:hAnsiTheme="minorHAnsi" w:cstheme="minorHAnsi"/>
          <w:szCs w:val="24"/>
          <w:lang w:val="en-GB"/>
        </w:rPr>
      </w:pPr>
      <w:r w:rsidRPr="00C86111">
        <w:rPr>
          <w:rFonts w:asciiTheme="minorHAnsi" w:hAnsiTheme="minorHAnsi" w:cstheme="minorHAnsi"/>
          <w:szCs w:val="24"/>
          <w:lang w:val="en-GB"/>
        </w:rPr>
        <w:t>jačanje institucionalnih i tehničkih kapaciteta,</w:t>
      </w:r>
    </w:p>
    <w:p w14:paraId="53082A23" w14:textId="77777777" w:rsidR="004F6023" w:rsidRPr="00C86111" w:rsidRDefault="004F6023" w:rsidP="00833A40">
      <w:pPr>
        <w:numPr>
          <w:ilvl w:val="0"/>
          <w:numId w:val="73"/>
        </w:numPr>
        <w:jc w:val="both"/>
        <w:rPr>
          <w:rFonts w:asciiTheme="minorHAnsi" w:hAnsiTheme="minorHAnsi" w:cstheme="minorHAnsi"/>
          <w:szCs w:val="24"/>
          <w:lang w:val="en-GB"/>
        </w:rPr>
      </w:pPr>
      <w:r w:rsidRPr="00C86111">
        <w:rPr>
          <w:rFonts w:asciiTheme="minorHAnsi" w:hAnsiTheme="minorHAnsi" w:cstheme="minorHAnsi"/>
          <w:szCs w:val="24"/>
          <w:lang w:val="en-GB"/>
        </w:rPr>
        <w:t>unapređenje zakonodavnog okvira i harmonizacija sa EU regulativom,</w:t>
      </w:r>
    </w:p>
    <w:p w14:paraId="7B454FB0" w14:textId="77777777" w:rsidR="004F6023" w:rsidRPr="00C86111" w:rsidRDefault="004F6023" w:rsidP="00833A40">
      <w:pPr>
        <w:numPr>
          <w:ilvl w:val="0"/>
          <w:numId w:val="73"/>
        </w:numPr>
        <w:jc w:val="both"/>
        <w:rPr>
          <w:rFonts w:asciiTheme="minorHAnsi" w:hAnsiTheme="minorHAnsi" w:cstheme="minorHAnsi"/>
          <w:szCs w:val="24"/>
          <w:lang w:val="en-GB"/>
        </w:rPr>
      </w:pPr>
      <w:r w:rsidRPr="00C86111">
        <w:rPr>
          <w:rFonts w:asciiTheme="minorHAnsi" w:hAnsiTheme="minorHAnsi" w:cstheme="minorHAnsi"/>
          <w:szCs w:val="24"/>
          <w:lang w:val="en-GB"/>
        </w:rPr>
        <w:t>obezbjeđivanje održivog finansiranja kroz kombinaciju nacionalnih resursa i međunarodnih fondova,</w:t>
      </w:r>
    </w:p>
    <w:p w14:paraId="2D0EFE03" w14:textId="77777777" w:rsidR="004F6023" w:rsidRPr="00C86111" w:rsidRDefault="004F6023" w:rsidP="00833A40">
      <w:pPr>
        <w:numPr>
          <w:ilvl w:val="0"/>
          <w:numId w:val="73"/>
        </w:numPr>
        <w:jc w:val="both"/>
        <w:rPr>
          <w:rFonts w:asciiTheme="minorHAnsi" w:hAnsiTheme="minorHAnsi" w:cstheme="minorHAnsi"/>
          <w:szCs w:val="24"/>
          <w:lang w:val="en-GB"/>
        </w:rPr>
      </w:pPr>
      <w:r w:rsidRPr="00C86111">
        <w:rPr>
          <w:rFonts w:asciiTheme="minorHAnsi" w:hAnsiTheme="minorHAnsi" w:cstheme="minorHAnsi"/>
          <w:szCs w:val="24"/>
          <w:lang w:val="en-GB"/>
        </w:rPr>
        <w:t>razvoj regionalne saradnje i razmjene iskustava,</w:t>
      </w:r>
    </w:p>
    <w:p w14:paraId="3333824C" w14:textId="77777777" w:rsidR="004F6023" w:rsidRPr="00C86111" w:rsidRDefault="004F6023" w:rsidP="00833A40">
      <w:pPr>
        <w:numPr>
          <w:ilvl w:val="0"/>
          <w:numId w:val="73"/>
        </w:numPr>
        <w:jc w:val="both"/>
        <w:rPr>
          <w:rFonts w:asciiTheme="minorHAnsi" w:hAnsiTheme="minorHAnsi" w:cstheme="minorHAnsi"/>
          <w:szCs w:val="24"/>
          <w:lang w:val="en-GB"/>
        </w:rPr>
      </w:pPr>
      <w:r w:rsidRPr="00C86111">
        <w:rPr>
          <w:rFonts w:asciiTheme="minorHAnsi" w:hAnsiTheme="minorHAnsi" w:cstheme="minorHAnsi"/>
          <w:szCs w:val="24"/>
          <w:lang w:val="en-GB"/>
        </w:rPr>
        <w:t>sistemsko uključivanje javnosti i civilnog sektora.</w:t>
      </w:r>
    </w:p>
    <w:p w14:paraId="5A1A62D8" w14:textId="77777777" w:rsidR="004F6023" w:rsidRPr="00C86111" w:rsidRDefault="004F6023" w:rsidP="004F6023">
      <w:pPr>
        <w:jc w:val="both"/>
        <w:rPr>
          <w:rFonts w:asciiTheme="minorHAnsi" w:hAnsiTheme="minorHAnsi" w:cstheme="minorHAnsi"/>
          <w:szCs w:val="24"/>
          <w:lang w:val="en-GB"/>
        </w:rPr>
      </w:pPr>
      <w:r w:rsidRPr="00C86111">
        <w:rPr>
          <w:rFonts w:asciiTheme="minorHAnsi" w:hAnsiTheme="minorHAnsi" w:cstheme="minorHAnsi"/>
          <w:szCs w:val="24"/>
          <w:lang w:val="en-GB"/>
        </w:rPr>
        <w:t>Realizacija ovih koraka doprinijeće stvaranju trajnog i efikasnog sistema za upravljanje POPs hemikalijama u Crnoj Gori, čime će se značajno unaprijediti zaštita zdravlja ljudi, očuvanje životne sredine i ispunjavanje međunarodnih obaveza.</w:t>
      </w:r>
    </w:p>
    <w:p w14:paraId="414ECC04" w14:textId="77777777" w:rsidR="004F6023" w:rsidRPr="00C86111" w:rsidRDefault="004F6023" w:rsidP="004F6023">
      <w:pPr>
        <w:jc w:val="both"/>
        <w:rPr>
          <w:rFonts w:asciiTheme="minorHAnsi" w:hAnsiTheme="minorHAnsi" w:cstheme="minorHAnsi"/>
          <w:szCs w:val="24"/>
        </w:rPr>
      </w:pPr>
    </w:p>
    <w:p w14:paraId="06F57D3D" w14:textId="77777777" w:rsidR="004F6023" w:rsidRPr="00C86111" w:rsidRDefault="004F6023" w:rsidP="004F6023">
      <w:pPr>
        <w:jc w:val="both"/>
        <w:rPr>
          <w:rFonts w:asciiTheme="minorHAnsi" w:hAnsiTheme="minorHAnsi" w:cstheme="minorHAnsi"/>
          <w:bCs/>
          <w:szCs w:val="24"/>
          <w:u w:val="single"/>
          <w:lang w:val="en-GB"/>
        </w:rPr>
      </w:pPr>
      <w:r w:rsidRPr="00C86111">
        <w:rPr>
          <w:rFonts w:asciiTheme="minorHAnsi" w:hAnsiTheme="minorHAnsi" w:cstheme="minorHAnsi"/>
          <w:bCs/>
          <w:szCs w:val="24"/>
          <w:u w:val="single"/>
          <w:lang w:val="en-GB"/>
        </w:rPr>
        <w:t>Napomena o izvorima:</w:t>
      </w:r>
    </w:p>
    <w:p w14:paraId="12D24117" w14:textId="77777777" w:rsidR="004F6023" w:rsidRPr="00C86111" w:rsidRDefault="004F6023" w:rsidP="004F6023">
      <w:pPr>
        <w:jc w:val="both"/>
        <w:rPr>
          <w:rFonts w:asciiTheme="minorHAnsi" w:hAnsiTheme="minorHAnsi" w:cstheme="minorHAnsi"/>
          <w:szCs w:val="24"/>
          <w:lang w:val="en-GB"/>
        </w:rPr>
      </w:pPr>
    </w:p>
    <w:p w14:paraId="2717BE1D" w14:textId="77777777" w:rsidR="004F6023" w:rsidRPr="00C86111" w:rsidRDefault="004F6023" w:rsidP="00833A40">
      <w:pPr>
        <w:numPr>
          <w:ilvl w:val="0"/>
          <w:numId w:val="79"/>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NIP (2019–2023) – zvanična veb-stranica Vlade Crne Gore (status i finansije). </w:t>
      </w:r>
    </w:p>
    <w:p w14:paraId="54E51F33" w14:textId="77777777" w:rsidR="004F6023" w:rsidRPr="00C86111" w:rsidRDefault="004F6023" w:rsidP="00833A40">
      <w:pPr>
        <w:numPr>
          <w:ilvl w:val="0"/>
          <w:numId w:val="79"/>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UNDP/GEF PCB Crna Gora – završna evaluacija (inventar, količine zbrinutog otpada i zemljišta). </w:t>
      </w:r>
    </w:p>
    <w:p w14:paraId="74EAB7FF" w14:textId="77777777" w:rsidR="004F6023" w:rsidRPr="00C86111" w:rsidRDefault="004F6023" w:rsidP="00833A40">
      <w:pPr>
        <w:numPr>
          <w:ilvl w:val="0"/>
          <w:numId w:val="79"/>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FAOLEX NIP (2012) – polazna osnova i procjene količina PCB. </w:t>
      </w:r>
    </w:p>
    <w:p w14:paraId="6BA1B4FC" w14:textId="77777777" w:rsidR="004F6023" w:rsidRPr="00C86111" w:rsidRDefault="004F6023" w:rsidP="00833A40">
      <w:pPr>
        <w:numPr>
          <w:ilvl w:val="0"/>
          <w:numId w:val="79"/>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UNEP/MAP MedProgramme (2020–2026) – okvir, ciljevi i očekivani rezultati. </w:t>
      </w:r>
    </w:p>
    <w:p w14:paraId="35A9116C" w14:textId="77777777" w:rsidR="004F6023" w:rsidRPr="00C86111" w:rsidRDefault="004F6023" w:rsidP="00833A40">
      <w:pPr>
        <w:numPr>
          <w:ilvl w:val="0"/>
          <w:numId w:val="79"/>
        </w:numPr>
        <w:jc w:val="both"/>
        <w:rPr>
          <w:rFonts w:asciiTheme="minorHAnsi" w:hAnsiTheme="minorHAnsi" w:cstheme="minorHAnsi"/>
          <w:szCs w:val="24"/>
          <w:lang w:val="en-GB"/>
        </w:rPr>
      </w:pPr>
      <w:r w:rsidRPr="00C86111">
        <w:rPr>
          <w:rFonts w:asciiTheme="minorHAnsi" w:hAnsiTheme="minorHAnsi" w:cstheme="minorHAnsi"/>
          <w:szCs w:val="24"/>
          <w:lang w:val="en-GB"/>
        </w:rPr>
        <w:t xml:space="preserve">OSCE/izvještaj o otpadu – trendovi izvoza opasnog otpada (2021–2022). </w:t>
      </w:r>
    </w:p>
    <w:p w14:paraId="320E2909" w14:textId="77777777" w:rsidR="004F6023" w:rsidRPr="00C86111" w:rsidRDefault="004F6023" w:rsidP="00833A40">
      <w:pPr>
        <w:numPr>
          <w:ilvl w:val="0"/>
          <w:numId w:val="79"/>
        </w:numPr>
        <w:jc w:val="both"/>
        <w:rPr>
          <w:rFonts w:asciiTheme="minorHAnsi" w:hAnsiTheme="minorHAnsi" w:cstheme="minorHAnsi"/>
          <w:szCs w:val="24"/>
        </w:rPr>
      </w:pPr>
      <w:r w:rsidRPr="00C86111">
        <w:rPr>
          <w:rFonts w:asciiTheme="minorHAnsi" w:hAnsiTheme="minorHAnsi" w:cstheme="minorHAnsi"/>
          <w:szCs w:val="24"/>
          <w:lang w:val="en-GB"/>
        </w:rPr>
        <w:t xml:space="preserve">UNECE 4th EPR (2024) – sveukupna ocjena usklađivanja i potrebe po “Poglavlju 27”. </w:t>
      </w:r>
    </w:p>
    <w:p w14:paraId="64491F13" w14:textId="77777777" w:rsidR="004F6023" w:rsidRPr="00C86111" w:rsidRDefault="004F6023" w:rsidP="004F6023">
      <w:pPr>
        <w:jc w:val="both"/>
        <w:rPr>
          <w:rFonts w:asciiTheme="minorHAnsi" w:hAnsiTheme="minorHAnsi" w:cstheme="minorHAnsi"/>
          <w:szCs w:val="24"/>
        </w:rPr>
      </w:pPr>
      <w:bookmarkStart w:id="486" w:name="_Hlk215432888"/>
    </w:p>
    <w:p w14:paraId="227D9EB1" w14:textId="77777777" w:rsidR="004F6023" w:rsidRDefault="004F6023" w:rsidP="004F6023">
      <w:pPr>
        <w:jc w:val="both"/>
        <w:rPr>
          <w:rFonts w:asciiTheme="minorHAnsi" w:hAnsiTheme="minorHAnsi" w:cstheme="minorHAnsi"/>
          <w:szCs w:val="24"/>
        </w:rPr>
      </w:pPr>
    </w:p>
    <w:p w14:paraId="0BCAB1DE" w14:textId="77777777" w:rsidR="00D611ED" w:rsidRDefault="00D611ED" w:rsidP="004F6023">
      <w:pPr>
        <w:jc w:val="both"/>
        <w:rPr>
          <w:rFonts w:asciiTheme="minorHAnsi" w:hAnsiTheme="minorHAnsi" w:cstheme="minorHAnsi"/>
          <w:szCs w:val="24"/>
        </w:rPr>
      </w:pPr>
    </w:p>
    <w:p w14:paraId="784BF06D" w14:textId="77777777" w:rsidR="00D611ED" w:rsidRDefault="00D611ED" w:rsidP="004F6023">
      <w:pPr>
        <w:jc w:val="both"/>
        <w:rPr>
          <w:rFonts w:asciiTheme="minorHAnsi" w:hAnsiTheme="minorHAnsi" w:cstheme="minorHAnsi"/>
          <w:szCs w:val="24"/>
        </w:rPr>
      </w:pPr>
    </w:p>
    <w:p w14:paraId="13CD0011" w14:textId="77777777" w:rsidR="00D611ED" w:rsidRDefault="00D611ED" w:rsidP="004F6023">
      <w:pPr>
        <w:jc w:val="both"/>
        <w:rPr>
          <w:rFonts w:asciiTheme="minorHAnsi" w:hAnsiTheme="minorHAnsi" w:cstheme="minorHAnsi"/>
          <w:szCs w:val="24"/>
        </w:rPr>
      </w:pPr>
    </w:p>
    <w:p w14:paraId="6F2CDE7C" w14:textId="77777777" w:rsidR="00D611ED" w:rsidRDefault="00D611ED" w:rsidP="004F6023">
      <w:pPr>
        <w:jc w:val="both"/>
        <w:rPr>
          <w:rFonts w:asciiTheme="minorHAnsi" w:hAnsiTheme="minorHAnsi" w:cstheme="minorHAnsi"/>
          <w:szCs w:val="24"/>
        </w:rPr>
      </w:pPr>
    </w:p>
    <w:p w14:paraId="479082E2" w14:textId="77777777" w:rsidR="00D611ED" w:rsidRPr="00C86111" w:rsidRDefault="00D611ED" w:rsidP="004F6023">
      <w:pPr>
        <w:jc w:val="both"/>
        <w:rPr>
          <w:rFonts w:asciiTheme="minorHAnsi" w:hAnsiTheme="minorHAnsi" w:cstheme="minorHAnsi"/>
          <w:szCs w:val="24"/>
        </w:rPr>
      </w:pPr>
    </w:p>
    <w:p w14:paraId="483DB701" w14:textId="77777777" w:rsidR="004F6023" w:rsidRPr="00C86111" w:rsidRDefault="004F6023" w:rsidP="00912C4C">
      <w:pPr>
        <w:pStyle w:val="Heading1"/>
      </w:pPr>
      <w:bookmarkStart w:id="487" w:name="_Toc220542016"/>
      <w:r w:rsidRPr="00C86111">
        <w:t>EDUKACIJA JAVNOSTI</w:t>
      </w:r>
      <w:bookmarkEnd w:id="487"/>
    </w:p>
    <w:p w14:paraId="7111B48D" w14:textId="77777777" w:rsidR="004F6023" w:rsidRDefault="004F6023" w:rsidP="00EA6904">
      <w:pPr>
        <w:pStyle w:val="Heading3"/>
      </w:pPr>
      <w:bookmarkStart w:id="488" w:name="_Toc220542017"/>
      <w:bookmarkEnd w:id="486"/>
      <w:r w:rsidRPr="00C86111">
        <w:t>Uvod</w:t>
      </w:r>
      <w:bookmarkEnd w:id="488"/>
    </w:p>
    <w:p w14:paraId="5941D490" w14:textId="77777777" w:rsidR="00D611ED" w:rsidRPr="00D611ED" w:rsidRDefault="00D611ED" w:rsidP="00D611ED">
      <w:pPr>
        <w:rPr>
          <w:lang w:val="sr-Latn-ME"/>
        </w:rPr>
      </w:pPr>
    </w:p>
    <w:p w14:paraId="4F488187" w14:textId="77777777" w:rsidR="004F6023" w:rsidRPr="00C86111" w:rsidRDefault="004F6023" w:rsidP="004F6023">
      <w:pPr>
        <w:pStyle w:val="Text"/>
        <w:jc w:val="both"/>
        <w:outlineLvl w:val="3"/>
        <w:rPr>
          <w:rFonts w:asciiTheme="minorHAnsi" w:hAnsiTheme="minorHAnsi" w:cstheme="minorHAnsi"/>
          <w:sz w:val="24"/>
          <w:szCs w:val="24"/>
        </w:rPr>
      </w:pPr>
      <w:r w:rsidRPr="00C86111">
        <w:rPr>
          <w:rFonts w:asciiTheme="minorHAnsi" w:hAnsiTheme="minorHAnsi" w:cstheme="minorHAnsi"/>
          <w:sz w:val="24"/>
          <w:szCs w:val="24"/>
        </w:rPr>
        <w:t xml:space="preserve">Crna Gora, kao potpisnica Stokholmske konvencije od marta 2011. godine, preduzela je značajne korake ka ispunjavanju svojih obaveza kroz razvoj nacionalnih politika, aktivnu saradnju sa zainteresovanim stranama i aktivnosti uključivanja javnosti. Nacionalni implementacioni plan </w:t>
      </w:r>
      <w:r w:rsidRPr="00C86111">
        <w:rPr>
          <w:rFonts w:asciiTheme="minorHAnsi" w:hAnsiTheme="minorHAnsi" w:cstheme="minorHAnsi"/>
          <w:sz w:val="24"/>
          <w:szCs w:val="24"/>
        </w:rPr>
        <w:lastRenderedPageBreak/>
        <w:t>(NIP) iz 2019. godine predstavljao je ključni temeljni dokument u identifikovanju prioritetnih pitanja vezanih za POPs, uspostavljanju osnovnih mehanizama praćenja i definisanju institucionalnih odgovornosti. Ipak, NIP je imao ograničen fokus na član 10 Konvencije, posebno u pogledu učešća javnosti i implementacije mjera za podizanje svijesti. Mehanizmi razmjene informacija sa javnošću u tom periodu bili su nedovoljno razvijeni, dok je angažman zainteresovanih strana — posebno iz civilnog društva — bio minimalan, sporadičan i nedosljedan.</w:t>
      </w:r>
    </w:p>
    <w:p w14:paraId="2B9DFF12" w14:textId="77777777" w:rsidR="004F6023" w:rsidRPr="00C86111" w:rsidRDefault="004F6023" w:rsidP="004F6023">
      <w:pPr>
        <w:pStyle w:val="Text"/>
        <w:jc w:val="both"/>
        <w:outlineLvl w:val="3"/>
        <w:rPr>
          <w:rFonts w:asciiTheme="minorHAnsi" w:hAnsiTheme="minorHAnsi" w:cstheme="minorHAnsi"/>
          <w:sz w:val="24"/>
          <w:szCs w:val="24"/>
        </w:rPr>
      </w:pPr>
      <w:r w:rsidRPr="00C86111">
        <w:rPr>
          <w:rFonts w:asciiTheme="minorHAnsi" w:hAnsiTheme="minorHAnsi" w:cstheme="minorHAnsi"/>
          <w:sz w:val="24"/>
          <w:szCs w:val="24"/>
        </w:rPr>
        <w:t>Ovaj dio NIP-a pruža sveobuhvatan pregled aktivnosti koje su preduzete u Crnoj Gori u oblastima razmjene informacija, podizanja svijesti i angažovanja civilnog društva u vezi sa postojanim organskim zagađivačima (POPs), u okviru Stokholmske konvencije. U njemu su jasno definisane uloge i doprinosi ključnih aktera, uključujući Ministarstvo ekologije, nacionalne i lokalne vladine institucije, nevladine organizacije (NVO) i šire civilno društvo. Tekst takođe služi kao osnova za izradu pratećih akcionih planova za implementaciju koji će početi od 2026. godine i koji će biti usmjereni na postizanje efektivnog uključivanja javnosti u proces upravljanja POPs-ima.</w:t>
      </w:r>
    </w:p>
    <w:p w14:paraId="674F2603" w14:textId="77777777" w:rsidR="004F6023" w:rsidRPr="00C86111" w:rsidRDefault="004F6023" w:rsidP="004F6023">
      <w:pPr>
        <w:pStyle w:val="Text"/>
        <w:jc w:val="both"/>
        <w:outlineLvl w:val="3"/>
        <w:rPr>
          <w:rFonts w:asciiTheme="minorHAnsi" w:hAnsiTheme="minorHAnsi" w:cstheme="minorHAnsi"/>
          <w:sz w:val="24"/>
          <w:szCs w:val="24"/>
        </w:rPr>
      </w:pPr>
      <w:r w:rsidRPr="00C86111">
        <w:rPr>
          <w:rFonts w:asciiTheme="minorHAnsi" w:hAnsiTheme="minorHAnsi" w:cstheme="minorHAnsi"/>
          <w:sz w:val="24"/>
          <w:szCs w:val="24"/>
        </w:rPr>
        <w:t>Ova procjena aktivnosti se nadovezuje na temelje postavljene tokom implementacije prethodnog NIP-a (2007–2014), koji je inicijalno uveo osnovne mehanizme za širenje informacija prema javnosti i informisanje zainteresovanih strana o pitanjima vezanim za POPs. Period revizije 2017–2024. odražava dalji razvoj i sazrijevanje tih ranijih napora, obilježen poboljšanom institucionalnom koordinacijom, povećanom transparentnošću i proširenim mehanizmima za aktivno uključivanje javnosti. Značajan napredak se ogleda u povećanoj učestalosti komunikacionih kampanja, boljem pristupu podacima vezanim za POPs i sistematskom uključivanju aktera civilnog društva u inicijative za edukaciju, informisanje i podizanje svijesti.</w:t>
      </w:r>
    </w:p>
    <w:p w14:paraId="62721E13" w14:textId="77777777" w:rsidR="004F6023" w:rsidRPr="00C86111" w:rsidRDefault="004F6023" w:rsidP="004F6023">
      <w:pPr>
        <w:pStyle w:val="Text"/>
        <w:jc w:val="both"/>
        <w:outlineLvl w:val="3"/>
        <w:rPr>
          <w:rFonts w:asciiTheme="minorHAnsi" w:hAnsiTheme="minorHAnsi" w:cstheme="minorHAnsi"/>
          <w:sz w:val="24"/>
          <w:szCs w:val="24"/>
        </w:rPr>
      </w:pPr>
      <w:r w:rsidRPr="00C86111">
        <w:rPr>
          <w:rFonts w:asciiTheme="minorHAnsi" w:hAnsiTheme="minorHAnsi" w:cstheme="minorHAnsi"/>
          <w:sz w:val="24"/>
          <w:szCs w:val="24"/>
        </w:rPr>
        <w:t>Kritički su analizirani rezultati prethodnog ciklusa NIP-a, identifikovani su novi trendovi, naučene lekcije i prioritetna područja za buduće intervencije. Procjena je rezultat nacionalnih samoprocjena, konsultacija sa širokim spektrom zainteresovanih strana i participativnih procesa koji uključuju civilno društvo i lokalne zajednice, sprovedenih tokom perioda 2017–2024.</w:t>
      </w:r>
    </w:p>
    <w:p w14:paraId="4EF8A8B3" w14:textId="77777777" w:rsidR="004F6023" w:rsidRPr="00C86111" w:rsidRDefault="004F6023" w:rsidP="004F6023">
      <w:pPr>
        <w:pStyle w:val="Text"/>
        <w:jc w:val="both"/>
        <w:outlineLvl w:val="3"/>
        <w:rPr>
          <w:rFonts w:asciiTheme="minorHAnsi" w:hAnsiTheme="minorHAnsi" w:cstheme="minorHAnsi"/>
          <w:sz w:val="24"/>
          <w:szCs w:val="24"/>
        </w:rPr>
      </w:pPr>
      <w:r w:rsidRPr="00C86111">
        <w:rPr>
          <w:rFonts w:asciiTheme="minorHAnsi" w:hAnsiTheme="minorHAnsi" w:cstheme="minorHAnsi"/>
          <w:sz w:val="24"/>
          <w:szCs w:val="24"/>
        </w:rPr>
        <w:t>Poseban akcenat stavljen je na Odjeljak 2.3.14 modula za ažuriranje NIP-a, koji detaljno analizira trenutnu dostupnost informacija, nivo javne svijesti i obrazovanja o POPs među ključnim ciljanim grupama. Analiza se fokusira i na efikasnost komunikacionih strategija, prepreke koje se javljaju u aktivnostima informisanja i angažovanja, kao i razvoj institucionalnog okruženja, uključujući uloge vladinih i nevladinih aktera u sprovođenju mjera za podizanje svijesti i edukaciju.</w:t>
      </w:r>
    </w:p>
    <w:p w14:paraId="346CC726" w14:textId="77777777" w:rsidR="004F6023" w:rsidRPr="00C86111" w:rsidRDefault="004F6023" w:rsidP="004F6023">
      <w:pPr>
        <w:pStyle w:val="Text"/>
        <w:jc w:val="both"/>
        <w:outlineLvl w:val="3"/>
        <w:rPr>
          <w:rFonts w:asciiTheme="minorHAnsi" w:hAnsiTheme="minorHAnsi" w:cstheme="minorHAnsi"/>
          <w:sz w:val="24"/>
          <w:szCs w:val="24"/>
        </w:rPr>
      </w:pPr>
      <w:r w:rsidRPr="00C86111">
        <w:rPr>
          <w:rFonts w:asciiTheme="minorHAnsi" w:hAnsiTheme="minorHAnsi" w:cstheme="minorHAnsi"/>
          <w:sz w:val="24"/>
          <w:szCs w:val="24"/>
        </w:rPr>
        <w:t>Cilj ove procjene je da pruži čvrstu osnovu za strateška i na dokazima zasnovana unapređenja budućih aktivnosti u oblasti razmjene informacija i angažovanja javnosti. To će omogućiti bolju usklađenost Crne Gore sa obavezama proisteklim iz Stokholmske konvencije, istovremeno jačajući posvećenost zemlje zdravom upravljanju POPs-ima kroz inkluzivne, transparentne i participativne pristupe. Implementacija ovih mjera doprinosi formiranju održivog sistema u kojem su javnost i ključni akteri aktivno uključeni, a informacije o rizicima i prevenciji široko dostupne, što predstavlja osnov za dugoročno očuvanje zdravlja ljudi i životne sredine.</w:t>
      </w:r>
    </w:p>
    <w:p w14:paraId="23756281" w14:textId="77777777" w:rsidR="004F6023" w:rsidRPr="00C86111" w:rsidRDefault="004F6023" w:rsidP="00EA6904">
      <w:pPr>
        <w:pStyle w:val="Heading3"/>
      </w:pPr>
      <w:r w:rsidRPr="00C86111">
        <w:lastRenderedPageBreak/>
        <w:t xml:space="preserve"> </w:t>
      </w:r>
      <w:bookmarkStart w:id="489" w:name="_Toc220542018"/>
      <w:r w:rsidRPr="00C86111">
        <w:t>Pregled izazova POPs-a u Crnoj Gori</w:t>
      </w:r>
      <w:bookmarkEnd w:id="489"/>
    </w:p>
    <w:p w14:paraId="55E68FF9"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U Crnoj Gori, naslijeđe industrijskih aktivnosti, nepravilno upravljanje otpadom i nedostatak svijesti o opasnostima POPs-a doveli su do kontaminacije životne sredine, posebno zemljišta i sedimenta na određenim lokacijama. Posebno je neophodno unaprijediti prakse odlaganja otpada i spriječiti dalju akumulaciju opasnih supstanci u ekosistemima. Rješavanje ovih izazova zahtijeva koordinisanu i sveobuhvatnu akciju različitih sektora društva, uključujući državne institucije, lokalne vlasti, nevladine organizacije, akademsku zajednicu i širu javnost. Takav pristup omogućava integraciju naučnih saznanja, regulatornih mjera i obrazovnih inicijativa, čime se stvara održiv sistem zaštite životne sredine i zdravlja ljudi, a istovremeno podstiče participacija građana i jačanje njihove svijesti o rizicima POPs-a</w:t>
      </w:r>
    </w:p>
    <w:p w14:paraId="092E33B4" w14:textId="77777777" w:rsidR="004F6023" w:rsidRPr="00C86111" w:rsidRDefault="004F6023" w:rsidP="004F6023">
      <w:pPr>
        <w:jc w:val="both"/>
        <w:rPr>
          <w:rFonts w:asciiTheme="minorHAnsi" w:hAnsiTheme="minorHAnsi" w:cstheme="minorHAnsi"/>
          <w:szCs w:val="24"/>
        </w:rPr>
      </w:pPr>
    </w:p>
    <w:p w14:paraId="4C82379D" w14:textId="77777777" w:rsidR="004F6023" w:rsidRPr="00C86111" w:rsidRDefault="004F6023" w:rsidP="00EA6904">
      <w:pPr>
        <w:pStyle w:val="Heading3"/>
      </w:pPr>
      <w:bookmarkStart w:id="490" w:name="_Toc220542019"/>
      <w:r w:rsidRPr="00C86111">
        <w:t>Ključne zainteresovane strane uključene u upravljanje POPs zagađivačima u Crnoj Gori u vezi sa podizanjem svijesti</w:t>
      </w:r>
      <w:bookmarkEnd w:id="490"/>
    </w:p>
    <w:p w14:paraId="53E38AE0" w14:textId="77777777" w:rsidR="007A23C1" w:rsidRPr="00C86111" w:rsidRDefault="007A23C1" w:rsidP="007A23C1">
      <w:pPr>
        <w:rPr>
          <w:lang w:val="sr-Latn-ME"/>
        </w:rPr>
      </w:pPr>
    </w:p>
    <w:p w14:paraId="3A9C56DB" w14:textId="77777777" w:rsidR="004F6023" w:rsidRPr="00C86111" w:rsidRDefault="004F6023" w:rsidP="007A23C1">
      <w:pPr>
        <w:rPr>
          <w:rFonts w:eastAsia="Times New Roman"/>
          <w:color w:val="002060"/>
        </w:rPr>
      </w:pPr>
      <w:r w:rsidRPr="00C86111">
        <w:rPr>
          <w:color w:val="002060"/>
        </w:rPr>
        <w:t>Ministarstvo ekologije, održivog razvoja i razvoja sjevera</w:t>
      </w:r>
    </w:p>
    <w:p w14:paraId="1ABCDAB7"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Ministarstvo ekologije, održivog razvoja i razvoja sjevera vrši poslove uprave koji se odnose na: pripremu i praćenje propisa i strateško planiranje sistema u oblasti ekologije, održivog razvoja i razvoja sjevera; sistem integralne zaštite životne sredine i održivog korišćenja prirodnih resursa; oblast procjene uticaja i strateške procjene uticaja na životnu sredinu, integrisano sprečavanje i kontrolu zagađivanja kao i zaštitu prirode. Uloga ministarstva uključuje sprovođenje obaveza Crne Gore prema međunarodnim ugovorima poput Stokholmske konvencije. Takođe nadgleda nacionalno zakonodavstvo koje se odnosi na opasne hemikalije i upravljanje otpadom.</w:t>
      </w:r>
    </w:p>
    <w:p w14:paraId="5A1F5913" w14:textId="77777777" w:rsidR="004F6023" w:rsidRPr="00C86111" w:rsidRDefault="004F6023" w:rsidP="00833A40">
      <w:pPr>
        <w:pStyle w:val="Text"/>
        <w:numPr>
          <w:ilvl w:val="0"/>
          <w:numId w:val="88"/>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b/>
          <w:bCs/>
          <w:sz w:val="24"/>
          <w:szCs w:val="24"/>
        </w:rPr>
        <w:t>Razvoj Nacionalnih planova implementacije (NIP)</w:t>
      </w:r>
      <w:r w:rsidRPr="00C86111">
        <w:rPr>
          <w:rFonts w:asciiTheme="minorHAnsi" w:hAnsiTheme="minorHAnsi" w:cstheme="minorHAnsi"/>
          <w:sz w:val="24"/>
          <w:szCs w:val="24"/>
        </w:rPr>
        <w:t>: Ministarstvo ekologije, održivog razvoja i razvoja sjevera odgovorno je za ažuriranje i implementaciju Nacionalnog plana implementacije (NIP) Crne Gore u skladu sa Stokholmskom konvencijom. Ovaj dokument opisuje strategije za postepeno ukidanje i upravljanje POP-ovima, s naglaskom na sprječavanje proizvodnje, upotrebe i odlaganja ovih hemikalija.</w:t>
      </w:r>
    </w:p>
    <w:p w14:paraId="7FA90963" w14:textId="77777777" w:rsidR="004F6023" w:rsidRPr="00C86111" w:rsidRDefault="004F6023" w:rsidP="00833A40">
      <w:pPr>
        <w:pStyle w:val="Text"/>
        <w:numPr>
          <w:ilvl w:val="0"/>
          <w:numId w:val="88"/>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b/>
          <w:bCs/>
          <w:sz w:val="24"/>
          <w:szCs w:val="24"/>
        </w:rPr>
        <w:t xml:space="preserve">Razmjena informacija </w:t>
      </w:r>
      <w:r w:rsidRPr="00C86111">
        <w:rPr>
          <w:rFonts w:asciiTheme="minorHAnsi" w:hAnsiTheme="minorHAnsi" w:cstheme="minorHAnsi"/>
          <w:sz w:val="24"/>
          <w:szCs w:val="24"/>
        </w:rPr>
        <w:t>: Ministarstvo olakšava razmjenu informacija s međunarodnim organizacijama i susjednim zemljama o statusu POPs-a u Crnoj Gori. Dostavlja izvještaje o POPs-ima relevantnim tijelima UN-a i podstiče saradnju na regionalnom nivou.</w:t>
      </w:r>
    </w:p>
    <w:p w14:paraId="12DA12DA" w14:textId="3D7612F8" w:rsidR="004F6023" w:rsidRPr="00C86111" w:rsidRDefault="004F6023" w:rsidP="00833A40">
      <w:pPr>
        <w:pStyle w:val="Text"/>
        <w:numPr>
          <w:ilvl w:val="0"/>
          <w:numId w:val="88"/>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b/>
          <w:bCs/>
          <w:sz w:val="24"/>
          <w:szCs w:val="24"/>
        </w:rPr>
        <w:t xml:space="preserve">Inicijative za podizanje javne svijesti </w:t>
      </w:r>
      <w:r w:rsidRPr="00C86111">
        <w:rPr>
          <w:rFonts w:asciiTheme="minorHAnsi" w:hAnsiTheme="minorHAnsi" w:cstheme="minorHAnsi"/>
          <w:sz w:val="24"/>
          <w:szCs w:val="24"/>
        </w:rPr>
        <w:t xml:space="preserve">: Ministarstvo radi u partnerstvu sa organizacijama civilnog društva, uključujući nevladine organizacije, na podizanju svijesti javnosti o POPs zagađivačima i njihovom štetnom uticaju na zdravlje i životnu sredinu. Ministarstvo finansijski podržava nevladine organizacije putem javnih konkursa u svrhu </w:t>
      </w:r>
      <w:r w:rsidR="000D1995" w:rsidRPr="00C86111">
        <w:rPr>
          <w:rFonts w:asciiTheme="minorHAnsi" w:hAnsiTheme="minorHAnsi" w:cstheme="minorHAnsi"/>
          <w:sz w:val="24"/>
          <w:szCs w:val="24"/>
        </w:rPr>
        <w:t>emisije</w:t>
      </w:r>
      <w:r w:rsidRPr="00C86111">
        <w:rPr>
          <w:rFonts w:asciiTheme="minorHAnsi" w:hAnsiTheme="minorHAnsi" w:cstheme="minorHAnsi"/>
          <w:sz w:val="24"/>
          <w:szCs w:val="24"/>
        </w:rPr>
        <w:t xml:space="preserve"> projekata i organizacije edukativnih kampanja vezanih za sigurno upravljanje POPs zagađivačima u Crnoj Gori.</w:t>
      </w:r>
    </w:p>
    <w:p w14:paraId="4B1C9383" w14:textId="77777777" w:rsidR="007A23C1" w:rsidRPr="00C86111" w:rsidRDefault="007A23C1" w:rsidP="007A23C1">
      <w:pPr>
        <w:rPr>
          <w:rFonts w:eastAsia="Times New Roman"/>
          <w:color w:val="002060"/>
        </w:rPr>
      </w:pPr>
      <w:r w:rsidRPr="00C86111">
        <w:rPr>
          <w:color w:val="002060"/>
        </w:rPr>
        <w:t>Agencija za zaštitu životne sredine</w:t>
      </w:r>
    </w:p>
    <w:p w14:paraId="2253D684" w14:textId="77777777" w:rsidR="007A23C1" w:rsidRPr="00C86111" w:rsidRDefault="007A23C1" w:rsidP="007A23C1">
      <w:pPr>
        <w:pStyle w:val="ListParagraph"/>
        <w:numPr>
          <w:ilvl w:val="0"/>
          <w:numId w:val="92"/>
        </w:numPr>
        <w:pBdr>
          <w:top w:val="nil"/>
          <w:left w:val="nil"/>
          <w:bottom w:val="nil"/>
          <w:right w:val="nil"/>
          <w:between w:val="nil"/>
          <w:bar w:val="nil"/>
        </w:pBdr>
        <w:spacing w:before="100" w:after="100"/>
        <w:jc w:val="both"/>
        <w:rPr>
          <w:rFonts w:asciiTheme="minorHAnsi" w:hAnsiTheme="minorHAnsi" w:cstheme="minorHAnsi"/>
          <w:szCs w:val="24"/>
        </w:rPr>
      </w:pPr>
      <w:r w:rsidRPr="00C86111">
        <w:rPr>
          <w:rFonts w:asciiTheme="minorHAnsi" w:hAnsiTheme="minorHAnsi" w:cstheme="minorHAnsi"/>
          <w:szCs w:val="24"/>
        </w:rPr>
        <w:t xml:space="preserve">Agencija za zaštitu životne sredine Crne Gore je još jedan značajan akter, prvenstveno odgovoran za praćenje zagađivača životne sredine, uključujući POPs. </w:t>
      </w:r>
      <w:r w:rsidRPr="00C86111">
        <w:rPr>
          <w:rFonts w:asciiTheme="minorHAnsi" w:hAnsiTheme="minorHAnsi" w:cstheme="minorHAnsi"/>
          <w:szCs w:val="24"/>
        </w:rPr>
        <w:lastRenderedPageBreak/>
        <w:t>Agencija vodi inventar POPs-ova i procjenjuje njihovo prisustvo u različitim djelovima životne sredine.</w:t>
      </w:r>
    </w:p>
    <w:p w14:paraId="1DC4A8D6" w14:textId="77777777" w:rsidR="007A23C1" w:rsidRPr="00C86111" w:rsidRDefault="007A23C1" w:rsidP="007A23C1">
      <w:pPr>
        <w:pStyle w:val="ListParagraph"/>
        <w:pBdr>
          <w:top w:val="nil"/>
          <w:left w:val="nil"/>
          <w:bottom w:val="nil"/>
          <w:right w:val="nil"/>
          <w:between w:val="nil"/>
          <w:bar w:val="nil"/>
        </w:pBdr>
        <w:spacing w:before="100" w:after="100"/>
        <w:ind w:left="1440"/>
        <w:contextualSpacing w:val="0"/>
        <w:jc w:val="both"/>
        <w:rPr>
          <w:rFonts w:asciiTheme="minorHAnsi" w:hAnsiTheme="minorHAnsi" w:cstheme="minorHAnsi"/>
          <w:szCs w:val="24"/>
        </w:rPr>
      </w:pPr>
    </w:p>
    <w:p w14:paraId="74AFB6C5" w14:textId="77777777" w:rsidR="004F6023" w:rsidRPr="00C86111" w:rsidRDefault="004F6023" w:rsidP="004F6023">
      <w:pPr>
        <w:pStyle w:val="Text"/>
        <w:spacing w:before="100" w:after="100" w:line="240" w:lineRule="auto"/>
        <w:jc w:val="both"/>
        <w:rPr>
          <w:rFonts w:asciiTheme="minorHAnsi" w:eastAsia="Times New Roman" w:hAnsiTheme="minorHAnsi" w:cstheme="minorHAnsi"/>
          <w:color w:val="002060"/>
          <w:sz w:val="24"/>
          <w:szCs w:val="24"/>
        </w:rPr>
      </w:pPr>
      <w:r w:rsidRPr="00C86111">
        <w:rPr>
          <w:rFonts w:asciiTheme="minorHAnsi" w:hAnsiTheme="minorHAnsi" w:cstheme="minorHAnsi"/>
          <w:color w:val="002060"/>
          <w:sz w:val="24"/>
          <w:szCs w:val="24"/>
          <w:lang w:val="it-IT"/>
        </w:rPr>
        <w:t>Centar za ekotoksikološka ispitivanja Podgorica - CETI</w:t>
      </w:r>
    </w:p>
    <w:p w14:paraId="140394F0" w14:textId="77777777" w:rsidR="004F6023" w:rsidRPr="00C86111" w:rsidRDefault="004F6023" w:rsidP="00833A40">
      <w:pPr>
        <w:pStyle w:val="Text"/>
        <w:numPr>
          <w:ilvl w:val="1"/>
          <w:numId w:val="90"/>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t>Sprovodi opsežna istraživanja i analize POPs-a u životnoj sredini kao što su vazduh, voda, zermljište i biota</w:t>
      </w:r>
    </w:p>
    <w:p w14:paraId="687567EB" w14:textId="77777777" w:rsidR="004F6023" w:rsidRPr="00C86111" w:rsidRDefault="004F6023" w:rsidP="00833A40">
      <w:pPr>
        <w:pStyle w:val="Text"/>
        <w:numPr>
          <w:ilvl w:val="1"/>
          <w:numId w:val="90"/>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t>Pregleda i ažurira nacionalne planove implementacije Stokholmske konvencije o dugotrajnim organskim zagađivačima (POPs) u Crnoj Gori</w:t>
      </w:r>
    </w:p>
    <w:p w14:paraId="7B208D11" w14:textId="77777777" w:rsidR="004F6023" w:rsidRPr="00C86111" w:rsidRDefault="004F6023" w:rsidP="00833A40">
      <w:pPr>
        <w:pStyle w:val="Text"/>
        <w:numPr>
          <w:ilvl w:val="1"/>
          <w:numId w:val="90"/>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t>Sarađuje sa Ministarstvom ekologije, održivog razvoja i razvoj sjevera i svim drugim relevantnim institucijama u vezi sa prisustvom POPs supstanci u životnoj sredini, kao i na aktivnostima koje se odnose na ažuriranje Nacionalnih implementacionih planova o POPs supstancama u Crnoj Gori</w:t>
      </w:r>
    </w:p>
    <w:p w14:paraId="6D713625"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color w:val="002060"/>
          <w:sz w:val="24"/>
          <w:szCs w:val="24"/>
        </w:rPr>
        <w:t>Uprava Carina</w:t>
      </w:r>
    </w:p>
    <w:p w14:paraId="2B3724B3" w14:textId="77777777" w:rsidR="004F6023" w:rsidRPr="00C86111" w:rsidRDefault="004F6023" w:rsidP="00833A40">
      <w:pPr>
        <w:pStyle w:val="ListParagraph"/>
        <w:numPr>
          <w:ilvl w:val="0"/>
          <w:numId w:val="92"/>
        </w:numPr>
        <w:pBdr>
          <w:top w:val="nil"/>
          <w:left w:val="nil"/>
          <w:bottom w:val="nil"/>
          <w:right w:val="nil"/>
          <w:between w:val="nil"/>
          <w:bar w:val="nil"/>
        </w:pBdr>
        <w:spacing w:before="100" w:after="100"/>
        <w:contextualSpacing w:val="0"/>
        <w:jc w:val="both"/>
        <w:rPr>
          <w:rFonts w:asciiTheme="minorHAnsi" w:hAnsiTheme="minorHAnsi" w:cstheme="minorHAnsi"/>
          <w:b/>
          <w:bCs/>
          <w:szCs w:val="24"/>
        </w:rPr>
      </w:pPr>
      <w:r w:rsidRPr="00C86111">
        <w:rPr>
          <w:rFonts w:asciiTheme="minorHAnsi" w:hAnsiTheme="minorHAnsi" w:cstheme="minorHAnsi"/>
          <w:szCs w:val="24"/>
        </w:rPr>
        <w:t>Kontroliše uvoz hemikalija u Crnu Goru</w:t>
      </w:r>
    </w:p>
    <w:p w14:paraId="7D87B938" w14:textId="77777777" w:rsidR="004F6023" w:rsidRPr="00C86111" w:rsidRDefault="004F6023" w:rsidP="00833A40">
      <w:pPr>
        <w:pStyle w:val="ListParagraph"/>
        <w:numPr>
          <w:ilvl w:val="0"/>
          <w:numId w:val="92"/>
        </w:numPr>
        <w:pBdr>
          <w:top w:val="nil"/>
          <w:left w:val="nil"/>
          <w:bottom w:val="nil"/>
          <w:right w:val="nil"/>
          <w:between w:val="nil"/>
          <w:bar w:val="nil"/>
        </w:pBdr>
        <w:spacing w:before="100" w:after="100"/>
        <w:contextualSpacing w:val="0"/>
        <w:jc w:val="both"/>
        <w:rPr>
          <w:rFonts w:asciiTheme="minorHAnsi" w:hAnsiTheme="minorHAnsi" w:cstheme="minorHAnsi"/>
          <w:b/>
          <w:bCs/>
          <w:szCs w:val="24"/>
        </w:rPr>
      </w:pPr>
      <w:r w:rsidRPr="00C86111">
        <w:rPr>
          <w:rFonts w:asciiTheme="minorHAnsi" w:hAnsiTheme="minorHAnsi" w:cstheme="minorHAnsi"/>
          <w:szCs w:val="24"/>
        </w:rPr>
        <w:t>Pruža tarifne brojeve proizvoda koji se uvoze i sadrže POPs</w:t>
      </w:r>
    </w:p>
    <w:p w14:paraId="6A62B054" w14:textId="77777777" w:rsidR="004F6023" w:rsidRPr="00C86111" w:rsidRDefault="004F6023" w:rsidP="004F6023">
      <w:pPr>
        <w:pStyle w:val="Text"/>
        <w:spacing w:before="100" w:after="100" w:line="240" w:lineRule="auto"/>
        <w:jc w:val="both"/>
        <w:rPr>
          <w:rFonts w:asciiTheme="minorHAnsi" w:eastAsia="Times New Roman" w:hAnsiTheme="minorHAnsi" w:cstheme="minorHAnsi"/>
          <w:color w:val="002060"/>
          <w:sz w:val="24"/>
          <w:szCs w:val="24"/>
        </w:rPr>
      </w:pPr>
      <w:r w:rsidRPr="00C86111">
        <w:rPr>
          <w:rFonts w:asciiTheme="minorHAnsi" w:hAnsiTheme="minorHAnsi" w:cstheme="minorHAnsi"/>
          <w:color w:val="002060"/>
          <w:sz w:val="24"/>
          <w:szCs w:val="24"/>
        </w:rPr>
        <w:t>Inspekcije</w:t>
      </w:r>
    </w:p>
    <w:p w14:paraId="67137B40" w14:textId="77777777" w:rsidR="004F6023" w:rsidRPr="00C86111" w:rsidRDefault="004F6023" w:rsidP="00833A40">
      <w:pPr>
        <w:pStyle w:val="ListParagraph"/>
        <w:numPr>
          <w:ilvl w:val="0"/>
          <w:numId w:val="92"/>
        </w:numPr>
        <w:pBdr>
          <w:top w:val="nil"/>
          <w:left w:val="nil"/>
          <w:bottom w:val="nil"/>
          <w:right w:val="nil"/>
          <w:between w:val="nil"/>
          <w:bar w:val="nil"/>
        </w:pBdr>
        <w:spacing w:before="100" w:after="100"/>
        <w:contextualSpacing w:val="0"/>
        <w:jc w:val="both"/>
        <w:rPr>
          <w:rFonts w:asciiTheme="minorHAnsi" w:hAnsiTheme="minorHAnsi" w:cstheme="minorHAnsi"/>
          <w:b/>
          <w:bCs/>
          <w:szCs w:val="24"/>
        </w:rPr>
      </w:pPr>
      <w:r w:rsidRPr="00C86111">
        <w:rPr>
          <w:rFonts w:asciiTheme="minorHAnsi" w:hAnsiTheme="minorHAnsi" w:cstheme="minorHAnsi"/>
          <w:szCs w:val="24"/>
        </w:rPr>
        <w:t>Kontrolišu prisustvo opasnih hemikalija na tržištu i u životnoj sredini</w:t>
      </w:r>
    </w:p>
    <w:p w14:paraId="61D1E212" w14:textId="77777777" w:rsidR="004F6023" w:rsidRPr="00C86111" w:rsidRDefault="004F6023" w:rsidP="004F6023">
      <w:pPr>
        <w:jc w:val="both"/>
        <w:rPr>
          <w:rFonts w:asciiTheme="minorHAnsi" w:hAnsiTheme="minorHAnsi" w:cstheme="minorHAnsi"/>
          <w:color w:val="002060"/>
          <w:szCs w:val="24"/>
        </w:rPr>
      </w:pPr>
      <w:r w:rsidRPr="00C86111">
        <w:rPr>
          <w:rFonts w:asciiTheme="minorHAnsi" w:hAnsiTheme="minorHAnsi" w:cstheme="minorHAnsi"/>
          <w:color w:val="002060"/>
          <w:szCs w:val="24"/>
        </w:rPr>
        <w:t>Ministarstvo zdravlja</w:t>
      </w:r>
    </w:p>
    <w:p w14:paraId="4BDAAE2C" w14:textId="77777777" w:rsidR="004F6023" w:rsidRPr="00C86111" w:rsidRDefault="004F6023" w:rsidP="00833A40">
      <w:pPr>
        <w:pStyle w:val="ListParagraph"/>
        <w:numPr>
          <w:ilvl w:val="0"/>
          <w:numId w:val="106"/>
        </w:numPr>
        <w:pBdr>
          <w:top w:val="nil"/>
          <w:left w:val="nil"/>
          <w:bottom w:val="nil"/>
          <w:right w:val="nil"/>
          <w:between w:val="nil"/>
          <w:bar w:val="nil"/>
        </w:pBdr>
        <w:spacing w:after="160" w:line="259" w:lineRule="auto"/>
        <w:ind w:left="1418"/>
        <w:contextualSpacing w:val="0"/>
        <w:jc w:val="both"/>
        <w:rPr>
          <w:rFonts w:asciiTheme="minorHAnsi" w:hAnsiTheme="minorHAnsi" w:cstheme="minorHAnsi"/>
          <w:szCs w:val="24"/>
        </w:rPr>
      </w:pPr>
      <w:r w:rsidRPr="00C86111">
        <w:rPr>
          <w:rFonts w:asciiTheme="minorHAnsi" w:hAnsiTheme="minorHAnsi" w:cstheme="minorHAnsi"/>
          <w:szCs w:val="24"/>
        </w:rPr>
        <w:t>Procjenjuje rizike za javno zdravlje koje predstavljaju POPs-ovi i učestvuje u kampanjama usmjerenim na edukaciju medicinskih stručnjaka i javnosti o povezanim zdravstvenim rizicima. Doprinosi razvoju politika sa zdravstvenim podacima.</w:t>
      </w:r>
    </w:p>
    <w:p w14:paraId="2550D0AA" w14:textId="77777777" w:rsidR="004F6023" w:rsidRPr="00C86111" w:rsidRDefault="004F6023" w:rsidP="004F6023">
      <w:pPr>
        <w:spacing w:before="100" w:after="100"/>
        <w:jc w:val="both"/>
        <w:rPr>
          <w:rFonts w:asciiTheme="minorHAnsi" w:hAnsiTheme="minorHAnsi" w:cstheme="minorHAnsi"/>
          <w:color w:val="002060"/>
          <w:szCs w:val="24"/>
        </w:rPr>
      </w:pPr>
      <w:r w:rsidRPr="00C86111">
        <w:rPr>
          <w:rFonts w:asciiTheme="minorHAnsi" w:hAnsiTheme="minorHAnsi" w:cstheme="minorHAnsi"/>
          <w:color w:val="002060"/>
          <w:szCs w:val="24"/>
        </w:rPr>
        <w:t>Ministarstvo prosvjete, nauke i inovacija</w:t>
      </w:r>
    </w:p>
    <w:p w14:paraId="2861D896" w14:textId="77777777" w:rsidR="004F6023" w:rsidRPr="00C86111" w:rsidRDefault="004F6023" w:rsidP="00833A40">
      <w:pPr>
        <w:pStyle w:val="ListParagraph"/>
        <w:numPr>
          <w:ilvl w:val="0"/>
          <w:numId w:val="106"/>
        </w:numPr>
        <w:pBdr>
          <w:top w:val="nil"/>
          <w:left w:val="nil"/>
          <w:bottom w:val="nil"/>
          <w:right w:val="nil"/>
          <w:between w:val="nil"/>
          <w:bar w:val="nil"/>
        </w:pBdr>
        <w:spacing w:before="100" w:after="100" w:line="259" w:lineRule="auto"/>
        <w:ind w:left="1418"/>
        <w:contextualSpacing w:val="0"/>
        <w:jc w:val="both"/>
        <w:rPr>
          <w:rFonts w:asciiTheme="minorHAnsi" w:hAnsiTheme="minorHAnsi" w:cstheme="minorHAnsi"/>
          <w:szCs w:val="24"/>
        </w:rPr>
      </w:pPr>
      <w:r w:rsidRPr="00C86111">
        <w:rPr>
          <w:rFonts w:asciiTheme="minorHAnsi" w:hAnsiTheme="minorHAnsi" w:cstheme="minorHAnsi"/>
          <w:szCs w:val="24"/>
        </w:rPr>
        <w:t>Koordinira sa nevladinim organizacijama i institucijama kako bi se teme obrazovanja o životnoj sredini, uključujući i POPs, integrisale u školske nastavne planove i programe. Podržava aktivnosti podizanja svijesti u školama i olakšava učestvovanje učenika u projektima.</w:t>
      </w:r>
    </w:p>
    <w:p w14:paraId="4CBEA944" w14:textId="77777777" w:rsidR="004F6023" w:rsidRPr="00C86111" w:rsidRDefault="004F6023" w:rsidP="004F6023">
      <w:pPr>
        <w:pStyle w:val="Text"/>
        <w:spacing w:before="100" w:after="100" w:line="240" w:lineRule="auto"/>
        <w:jc w:val="both"/>
        <w:rPr>
          <w:rFonts w:asciiTheme="minorHAnsi" w:eastAsia="Times New Roman" w:hAnsiTheme="minorHAnsi" w:cstheme="minorHAnsi"/>
          <w:i/>
          <w:iCs/>
          <w:color w:val="002060"/>
          <w:sz w:val="24"/>
          <w:szCs w:val="24"/>
        </w:rPr>
      </w:pPr>
      <w:r w:rsidRPr="00C86111">
        <w:rPr>
          <w:rFonts w:asciiTheme="minorHAnsi" w:hAnsiTheme="minorHAnsi" w:cstheme="minorHAnsi"/>
          <w:i/>
          <w:iCs/>
          <w:color w:val="002060"/>
          <w:sz w:val="24"/>
          <w:szCs w:val="24"/>
        </w:rPr>
        <w:t>Univerzitet Crne Gore:</w:t>
      </w:r>
    </w:p>
    <w:p w14:paraId="49706713" w14:textId="77777777" w:rsidR="004F6023" w:rsidRPr="00C86111" w:rsidRDefault="004F6023" w:rsidP="00833A40">
      <w:pPr>
        <w:pStyle w:val="Text"/>
        <w:numPr>
          <w:ilvl w:val="0"/>
          <w:numId w:val="94"/>
        </w:numPr>
        <w:spacing w:before="100" w:after="100" w:line="240" w:lineRule="auto"/>
        <w:jc w:val="both"/>
        <w:rPr>
          <w:rFonts w:asciiTheme="minorHAnsi" w:hAnsiTheme="minorHAnsi" w:cstheme="minorHAnsi"/>
          <w:i/>
          <w:iCs/>
          <w:color w:val="002060"/>
          <w:sz w:val="24"/>
          <w:szCs w:val="24"/>
        </w:rPr>
      </w:pPr>
      <w:r w:rsidRPr="00C86111">
        <w:rPr>
          <w:rFonts w:asciiTheme="minorHAnsi" w:hAnsiTheme="minorHAnsi" w:cstheme="minorHAnsi"/>
          <w:i/>
          <w:iCs/>
          <w:color w:val="002060"/>
          <w:sz w:val="24"/>
          <w:szCs w:val="24"/>
        </w:rPr>
        <w:t>Institut za biologiju mora</w:t>
      </w:r>
    </w:p>
    <w:p w14:paraId="782F27C7" w14:textId="77777777" w:rsidR="004F6023" w:rsidRPr="00C86111" w:rsidRDefault="004F6023" w:rsidP="00833A40">
      <w:pPr>
        <w:pStyle w:val="Text"/>
        <w:numPr>
          <w:ilvl w:val="1"/>
          <w:numId w:val="94"/>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t>Fokusira se na uticaj POPs-a na morske ekosisteme, posebno u Jadranskom moru.</w:t>
      </w:r>
    </w:p>
    <w:p w14:paraId="4416025E" w14:textId="77777777" w:rsidR="004F6023" w:rsidRPr="00C86111" w:rsidRDefault="004F6023" w:rsidP="00833A40">
      <w:pPr>
        <w:pStyle w:val="Text"/>
        <w:numPr>
          <w:ilvl w:val="1"/>
          <w:numId w:val="94"/>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t>Istraživački projekti uključuju procjenu bioakumulacije POPs-a u morskim organizmima i njihovog potencijalnog uticaja na morski biodiverzitet i ljudsko zdravlje.</w:t>
      </w:r>
    </w:p>
    <w:p w14:paraId="23E13B7C" w14:textId="77777777" w:rsidR="004F6023" w:rsidRPr="00C86111" w:rsidRDefault="004F6023" w:rsidP="004F6023">
      <w:pPr>
        <w:pStyle w:val="Text"/>
        <w:spacing w:before="100" w:after="100" w:line="240" w:lineRule="auto"/>
        <w:jc w:val="both"/>
        <w:rPr>
          <w:rFonts w:asciiTheme="minorHAnsi" w:eastAsia="Times New Roman" w:hAnsiTheme="minorHAnsi" w:cstheme="minorHAnsi"/>
          <w:i/>
          <w:iCs/>
          <w:color w:val="002060"/>
          <w:sz w:val="24"/>
          <w:szCs w:val="24"/>
        </w:rPr>
      </w:pPr>
      <w:r w:rsidRPr="00C86111">
        <w:rPr>
          <w:rFonts w:asciiTheme="minorHAnsi" w:hAnsiTheme="minorHAnsi" w:cstheme="minorHAnsi"/>
          <w:i/>
          <w:iCs/>
          <w:color w:val="002060"/>
          <w:sz w:val="24"/>
          <w:szCs w:val="24"/>
        </w:rPr>
        <w:t>Institut za javno zdravlje:</w:t>
      </w:r>
    </w:p>
    <w:p w14:paraId="12B3C443" w14:textId="77777777" w:rsidR="004F6023" w:rsidRPr="00C86111" w:rsidRDefault="004F6023" w:rsidP="00833A40">
      <w:pPr>
        <w:pStyle w:val="Text"/>
        <w:numPr>
          <w:ilvl w:val="0"/>
          <w:numId w:val="96"/>
        </w:numPr>
        <w:spacing w:before="100" w:after="100" w:line="240" w:lineRule="auto"/>
        <w:jc w:val="both"/>
        <w:rPr>
          <w:rFonts w:asciiTheme="minorHAnsi" w:hAnsiTheme="minorHAnsi" w:cstheme="minorHAnsi"/>
          <w:i/>
          <w:iCs/>
          <w:color w:val="002060"/>
          <w:sz w:val="24"/>
          <w:szCs w:val="24"/>
        </w:rPr>
      </w:pPr>
      <w:r w:rsidRPr="00C86111">
        <w:rPr>
          <w:rFonts w:asciiTheme="minorHAnsi" w:hAnsiTheme="minorHAnsi" w:cstheme="minorHAnsi"/>
          <w:i/>
          <w:iCs/>
          <w:color w:val="002060"/>
          <w:sz w:val="24"/>
          <w:szCs w:val="24"/>
        </w:rPr>
        <w:t>Odsjek za toksikologiju i zdravlje životne sredine:</w:t>
      </w:r>
    </w:p>
    <w:p w14:paraId="157D0B5E" w14:textId="77777777" w:rsidR="004F6023" w:rsidRPr="00C86111" w:rsidRDefault="004F6023" w:rsidP="00833A40">
      <w:pPr>
        <w:pStyle w:val="Text"/>
        <w:numPr>
          <w:ilvl w:val="1"/>
          <w:numId w:val="96"/>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t>Istražuje uticaj izloženosti POPs supstancama na zdravlje stanovništva.</w:t>
      </w:r>
    </w:p>
    <w:p w14:paraId="7929E47F" w14:textId="77777777" w:rsidR="004F6023" w:rsidRPr="00C86111" w:rsidRDefault="004F6023" w:rsidP="00833A40">
      <w:pPr>
        <w:pStyle w:val="Text"/>
        <w:numPr>
          <w:ilvl w:val="1"/>
          <w:numId w:val="96"/>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lastRenderedPageBreak/>
        <w:t>Sprovodi epidemiološke studije kako bi utvrdio veze između izloženosti POPs-ima i zdravstvenih posljedica poput raka, endokrinih poremećaja i neuroloških poremećaja.</w:t>
      </w:r>
    </w:p>
    <w:p w14:paraId="572FC3B0" w14:textId="77777777" w:rsidR="004F6023" w:rsidRPr="00C86111" w:rsidRDefault="004F6023" w:rsidP="00833A40">
      <w:pPr>
        <w:pStyle w:val="Text"/>
        <w:numPr>
          <w:ilvl w:val="1"/>
          <w:numId w:val="96"/>
        </w:numPr>
        <w:spacing w:before="100" w:after="100" w:line="240" w:lineRule="auto"/>
        <w:jc w:val="both"/>
        <w:rPr>
          <w:rFonts w:asciiTheme="minorHAnsi" w:hAnsiTheme="minorHAnsi" w:cstheme="minorHAnsi"/>
          <w:sz w:val="24"/>
          <w:szCs w:val="24"/>
        </w:rPr>
      </w:pPr>
      <w:r w:rsidRPr="00C86111">
        <w:rPr>
          <w:rFonts w:asciiTheme="minorHAnsi" w:hAnsiTheme="minorHAnsi" w:cstheme="minorHAnsi"/>
          <w:sz w:val="24"/>
          <w:szCs w:val="24"/>
        </w:rPr>
        <w:t>Pruža podatke i preporuke kreatorima politika za razvoj intervencija i propisa u javnom zdravstvu.</w:t>
      </w:r>
    </w:p>
    <w:p w14:paraId="5E7311F9" w14:textId="77777777" w:rsidR="004F6023" w:rsidRPr="00C86111" w:rsidRDefault="004F6023" w:rsidP="004F6023">
      <w:pPr>
        <w:rPr>
          <w:color w:val="002060"/>
          <w:lang w:val="en-GB" w:eastAsia="en-GB"/>
        </w:rPr>
      </w:pPr>
      <w:r w:rsidRPr="00C86111">
        <w:rPr>
          <w:color w:val="002060"/>
          <w:lang w:val="en-GB" w:eastAsia="en-GB"/>
        </w:rPr>
        <w:t>Akademske ustanove, škole i naučne institucije</w:t>
      </w:r>
    </w:p>
    <w:p w14:paraId="7F8571E4"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Akademska i naučna tijela u Crnoj Gori igraju fundamentalnu ulogu u </w:t>
      </w:r>
      <w:r w:rsidRPr="00C86111">
        <w:rPr>
          <w:rFonts w:asciiTheme="minorHAnsi" w:eastAsia="Times New Roman" w:hAnsiTheme="minorHAnsi" w:cstheme="minorHAnsi"/>
          <w:b/>
          <w:bCs/>
          <w:szCs w:val="24"/>
          <w:lang w:val="en-GB" w:eastAsia="en-GB"/>
        </w:rPr>
        <w:t xml:space="preserve">generisanju znanja </w:t>
      </w:r>
      <w:r w:rsidRPr="00C86111">
        <w:rPr>
          <w:rFonts w:asciiTheme="minorHAnsi" w:eastAsia="Times New Roman" w:hAnsiTheme="minorHAnsi" w:cstheme="minorHAnsi"/>
          <w:szCs w:val="24"/>
          <w:lang w:val="en-GB" w:eastAsia="en-GB"/>
        </w:rPr>
        <w:t xml:space="preserve">i </w:t>
      </w:r>
      <w:r w:rsidRPr="00C86111">
        <w:rPr>
          <w:rFonts w:asciiTheme="minorHAnsi" w:eastAsia="Times New Roman" w:hAnsiTheme="minorHAnsi" w:cstheme="minorHAnsi"/>
          <w:b/>
          <w:bCs/>
          <w:szCs w:val="24"/>
          <w:lang w:val="en-GB" w:eastAsia="en-GB"/>
        </w:rPr>
        <w:t xml:space="preserve">edukaciji javnosti </w:t>
      </w:r>
      <w:r w:rsidRPr="00C86111">
        <w:rPr>
          <w:rFonts w:asciiTheme="minorHAnsi" w:eastAsia="Times New Roman" w:hAnsiTheme="minorHAnsi" w:cstheme="minorHAnsi"/>
          <w:szCs w:val="24"/>
          <w:lang w:val="en-GB" w:eastAsia="en-GB"/>
        </w:rPr>
        <w:t>o POPs-ima. Univerziteti i istraživačke institucije doprinose kroz naučna istraživanja, razvoj nastavnih planova i programa i izgradnju kapaciteta.</w:t>
      </w:r>
    </w:p>
    <w:p w14:paraId="3D6F425F" w14:textId="77777777" w:rsidR="004F6023" w:rsidRPr="00C86111" w:rsidRDefault="004F6023" w:rsidP="004F6023">
      <w:pPr>
        <w:rPr>
          <w:b/>
          <w:bCs/>
          <w:color w:val="002060"/>
          <w:lang w:val="en-GB" w:eastAsia="en-GB"/>
        </w:rPr>
      </w:pPr>
      <w:r w:rsidRPr="00C86111">
        <w:rPr>
          <w:b/>
          <w:bCs/>
          <w:color w:val="002060"/>
          <w:lang w:val="en-GB" w:eastAsia="en-GB"/>
        </w:rPr>
        <w:t>Ključni doprinosi:</w:t>
      </w:r>
    </w:p>
    <w:p w14:paraId="70520ACE" w14:textId="77777777" w:rsidR="004F6023" w:rsidRPr="00C86111" w:rsidRDefault="004F6023" w:rsidP="00833A40">
      <w:pPr>
        <w:numPr>
          <w:ilvl w:val="0"/>
          <w:numId w:val="99"/>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Integracija sadržaja vezanog za POPs u programe iz oblasti nauke o </w:t>
      </w:r>
      <w:r w:rsidRPr="00C86111">
        <w:rPr>
          <w:rFonts w:asciiTheme="minorHAnsi" w:hAnsiTheme="minorHAnsi" w:cstheme="minorHAnsi"/>
          <w:szCs w:val="24"/>
        </w:rPr>
        <w:t>životnoj sredini</w:t>
      </w:r>
      <w:r w:rsidRPr="00C86111">
        <w:rPr>
          <w:rFonts w:asciiTheme="minorHAnsi" w:eastAsia="Times New Roman" w:hAnsiTheme="minorHAnsi" w:cstheme="minorHAnsi"/>
          <w:szCs w:val="24"/>
          <w:lang w:val="en-GB" w:eastAsia="en-GB"/>
        </w:rPr>
        <w:t>, hemije i javnog zdravlja.</w:t>
      </w:r>
    </w:p>
    <w:p w14:paraId="167567F1" w14:textId="77777777" w:rsidR="004F6023" w:rsidRPr="00C86111" w:rsidRDefault="004F6023" w:rsidP="00833A40">
      <w:pPr>
        <w:numPr>
          <w:ilvl w:val="0"/>
          <w:numId w:val="99"/>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Istraživanje izvora POPs-a, puteva u </w:t>
      </w:r>
      <w:r w:rsidRPr="00C86111">
        <w:rPr>
          <w:rFonts w:asciiTheme="minorHAnsi" w:hAnsiTheme="minorHAnsi" w:cstheme="minorHAnsi"/>
          <w:szCs w:val="24"/>
        </w:rPr>
        <w:t>životnoj sredini</w:t>
      </w:r>
      <w:r w:rsidRPr="00C86111">
        <w:rPr>
          <w:rFonts w:asciiTheme="minorHAnsi" w:eastAsia="Times New Roman" w:hAnsiTheme="minorHAnsi" w:cstheme="minorHAnsi"/>
          <w:szCs w:val="24"/>
          <w:lang w:val="en-GB" w:eastAsia="en-GB"/>
        </w:rPr>
        <w:t xml:space="preserve"> i uticaja na ljudsko zdravlje.</w:t>
      </w:r>
    </w:p>
    <w:p w14:paraId="312139A1" w14:textId="77777777" w:rsidR="004F6023" w:rsidRPr="00C86111" w:rsidRDefault="004F6023" w:rsidP="00833A40">
      <w:pPr>
        <w:numPr>
          <w:ilvl w:val="0"/>
          <w:numId w:val="99"/>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Uključenost studenata u kampanje za podizanje svijesti i informiranje zajednice.</w:t>
      </w:r>
    </w:p>
    <w:p w14:paraId="62ACAE5A" w14:textId="77777777" w:rsidR="004F6023" w:rsidRPr="00C86111" w:rsidRDefault="004F6023" w:rsidP="00833A40">
      <w:pPr>
        <w:numPr>
          <w:ilvl w:val="0"/>
          <w:numId w:val="99"/>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Stručne konsultacije i publikacije koje podržavaju politiku i razumijevanje javnosti.</w:t>
      </w:r>
    </w:p>
    <w:p w14:paraId="15A99CDF" w14:textId="77777777" w:rsidR="004F6023" w:rsidRPr="00C86111" w:rsidRDefault="004F6023" w:rsidP="004F6023">
      <w:pPr>
        <w:spacing w:before="100" w:beforeAutospacing="1" w:after="100" w:afterAutospacing="1"/>
        <w:jc w:val="both"/>
        <w:rPr>
          <w:rFonts w:asciiTheme="minorHAnsi" w:eastAsia="Times New Roman" w:hAnsiTheme="minorHAnsi" w:cstheme="minorHAnsi"/>
          <w:color w:val="002060"/>
          <w:szCs w:val="24"/>
          <w:lang w:val="en-GB" w:eastAsia="en-GB"/>
        </w:rPr>
      </w:pPr>
      <w:r w:rsidRPr="00C86111">
        <w:rPr>
          <w:rFonts w:asciiTheme="minorHAnsi" w:eastAsia="Times New Roman" w:hAnsiTheme="minorHAnsi" w:cstheme="minorHAnsi"/>
          <w:b/>
          <w:bCs/>
          <w:color w:val="002060"/>
          <w:szCs w:val="24"/>
          <w:lang w:val="en-GB" w:eastAsia="en-GB"/>
        </w:rPr>
        <w:t>Ključne institucije:</w:t>
      </w:r>
    </w:p>
    <w:p w14:paraId="26F3D940" w14:textId="77777777" w:rsidR="004F6023" w:rsidRPr="00C86111" w:rsidRDefault="004F6023" w:rsidP="00833A40">
      <w:pPr>
        <w:numPr>
          <w:ilvl w:val="0"/>
          <w:numId w:val="100"/>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i/>
          <w:iCs/>
          <w:szCs w:val="24"/>
          <w:lang w:val="en-GB" w:eastAsia="en-GB"/>
        </w:rPr>
        <w:t xml:space="preserve">Univerzitet Crne Gore </w:t>
      </w:r>
    </w:p>
    <w:p w14:paraId="73E2359A" w14:textId="77777777" w:rsidR="004F6023" w:rsidRPr="00C86111" w:rsidRDefault="004F6023" w:rsidP="00833A40">
      <w:pPr>
        <w:numPr>
          <w:ilvl w:val="0"/>
          <w:numId w:val="100"/>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i/>
          <w:iCs/>
          <w:szCs w:val="24"/>
          <w:lang w:val="en-GB" w:eastAsia="en-GB"/>
        </w:rPr>
        <w:t xml:space="preserve">Crnogorska akademija nauka i umjetnosti (CANU) </w:t>
      </w:r>
      <w:r w:rsidRPr="00C86111">
        <w:rPr>
          <w:rFonts w:asciiTheme="minorHAnsi" w:eastAsia="Times New Roman" w:hAnsiTheme="minorHAnsi" w:cstheme="minorHAnsi"/>
          <w:szCs w:val="24"/>
          <w:lang w:val="en-GB" w:eastAsia="en-GB"/>
        </w:rPr>
        <w:t>– doprinos naučnim smjernicama o zagađivačima životne sredine.</w:t>
      </w:r>
    </w:p>
    <w:p w14:paraId="482F4E7B" w14:textId="77777777" w:rsidR="004F6023" w:rsidRPr="00C86111" w:rsidRDefault="004F6023" w:rsidP="004F6023">
      <w:pPr>
        <w:jc w:val="both"/>
        <w:rPr>
          <w:rFonts w:asciiTheme="minorHAnsi" w:eastAsia="Times New Roman" w:hAnsiTheme="minorHAnsi" w:cstheme="minorHAnsi"/>
          <w:i/>
          <w:iCs/>
          <w:color w:val="002060"/>
          <w:szCs w:val="24"/>
          <w:lang w:val="en-GB" w:eastAsia="en-GB"/>
        </w:rPr>
      </w:pPr>
      <w:r w:rsidRPr="00C86111">
        <w:rPr>
          <w:rFonts w:asciiTheme="minorHAnsi" w:eastAsia="Times New Roman" w:hAnsiTheme="minorHAnsi" w:cstheme="minorHAnsi"/>
          <w:b/>
          <w:bCs/>
          <w:i/>
          <w:iCs/>
          <w:color w:val="002060"/>
          <w:szCs w:val="24"/>
          <w:lang w:val="en-GB" w:eastAsia="en-GB"/>
        </w:rPr>
        <w:t>Sektor civilnog društva</w:t>
      </w:r>
    </w:p>
    <w:p w14:paraId="59E29023"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Organizacije civilnog društva su ključne za podizanje svijesti javnosti i zagovaranje poboljšanih politika zaštite</w:t>
      </w:r>
      <w:r w:rsidRPr="00C86111">
        <w:rPr>
          <w:rFonts w:asciiTheme="minorHAnsi" w:hAnsiTheme="minorHAnsi" w:cstheme="minorHAnsi"/>
          <w:szCs w:val="24"/>
        </w:rPr>
        <w:t xml:space="preserve"> </w:t>
      </w:r>
      <w:r w:rsidRPr="00C86111">
        <w:rPr>
          <w:rFonts w:asciiTheme="minorHAnsi" w:eastAsia="Times New Roman" w:hAnsiTheme="minorHAnsi" w:cstheme="minorHAnsi"/>
          <w:szCs w:val="24"/>
          <w:lang w:val="en-GB" w:eastAsia="en-GB"/>
        </w:rPr>
        <w:t>životne sredine vezanih za POPs. Njihove aktivnosti često premošćuju jaz između tehničkih informacija i lokalnih zajednica, osiguravajući širi društveni angažman.</w:t>
      </w:r>
    </w:p>
    <w:p w14:paraId="66F68713" w14:textId="77777777" w:rsidR="004F6023" w:rsidRPr="00C86111" w:rsidRDefault="004F6023" w:rsidP="007A23C1">
      <w:pPr>
        <w:rPr>
          <w:b/>
          <w:bCs/>
          <w:color w:val="002060"/>
          <w:lang w:val="en-GB" w:eastAsia="en-GB"/>
        </w:rPr>
      </w:pPr>
      <w:r w:rsidRPr="00C86111">
        <w:rPr>
          <w:b/>
          <w:bCs/>
          <w:color w:val="002060"/>
          <w:lang w:val="en-GB" w:eastAsia="en-GB"/>
        </w:rPr>
        <w:t>Ključni doprinosi:</w:t>
      </w:r>
    </w:p>
    <w:p w14:paraId="1AA8DD4A" w14:textId="77777777" w:rsidR="004F6023" w:rsidRPr="00C86111" w:rsidRDefault="004F6023" w:rsidP="00833A40">
      <w:pPr>
        <w:numPr>
          <w:ilvl w:val="0"/>
          <w:numId w:val="101"/>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Organizacija kampanja za podizanje svijesti, javnih foruma i inicijativa za edukaciju o </w:t>
      </w:r>
      <w:r w:rsidRPr="00C86111">
        <w:rPr>
          <w:rFonts w:asciiTheme="minorHAnsi" w:hAnsiTheme="minorHAnsi" w:cstheme="minorHAnsi"/>
          <w:szCs w:val="24"/>
        </w:rPr>
        <w:t>životnoj sredini</w:t>
      </w:r>
      <w:r w:rsidRPr="00C86111">
        <w:rPr>
          <w:rFonts w:asciiTheme="minorHAnsi" w:eastAsia="Times New Roman" w:hAnsiTheme="minorHAnsi" w:cstheme="minorHAnsi"/>
          <w:szCs w:val="24"/>
          <w:lang w:val="en-GB" w:eastAsia="en-GB"/>
        </w:rPr>
        <w:t>.</w:t>
      </w:r>
    </w:p>
    <w:p w14:paraId="5B3E1D3F" w14:textId="77777777" w:rsidR="004F6023" w:rsidRPr="00C86111" w:rsidRDefault="004F6023" w:rsidP="00833A40">
      <w:pPr>
        <w:numPr>
          <w:ilvl w:val="0"/>
          <w:numId w:val="101"/>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Praćenje i zagovaranje upravljanja POPs-ima, uključujući transparentnost u sprovođenju politika.</w:t>
      </w:r>
    </w:p>
    <w:p w14:paraId="78F4F105" w14:textId="77777777" w:rsidR="004F6023" w:rsidRPr="00C86111" w:rsidRDefault="004F6023" w:rsidP="00833A40">
      <w:pPr>
        <w:numPr>
          <w:ilvl w:val="0"/>
          <w:numId w:val="101"/>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Razvoj informativnih materijala (brošura, web stranica, videa) prilagođenih lokalnoj publici.</w:t>
      </w:r>
    </w:p>
    <w:p w14:paraId="67CF45AC" w14:textId="77777777" w:rsidR="004F6023" w:rsidRPr="00C86111" w:rsidRDefault="004F6023" w:rsidP="00833A40">
      <w:pPr>
        <w:numPr>
          <w:ilvl w:val="0"/>
          <w:numId w:val="101"/>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Učešće u konsultacijama o implementaciji Stokholmske konvencije u Crnoj Gori i ažuriranju Nacionalnog plana implementacije (NIP).</w:t>
      </w:r>
    </w:p>
    <w:p w14:paraId="15B0D73D" w14:textId="77777777" w:rsidR="004F6023" w:rsidRPr="00C86111" w:rsidRDefault="004F6023" w:rsidP="004F6023">
      <w:pPr>
        <w:spacing w:before="100" w:beforeAutospacing="1" w:after="100" w:afterAutospacing="1"/>
        <w:jc w:val="both"/>
        <w:rPr>
          <w:rFonts w:asciiTheme="minorHAnsi" w:eastAsia="Times New Roman" w:hAnsiTheme="minorHAnsi" w:cstheme="minorHAnsi"/>
          <w:color w:val="002060"/>
          <w:szCs w:val="24"/>
          <w:lang w:val="en-GB" w:eastAsia="en-GB"/>
        </w:rPr>
      </w:pPr>
      <w:r w:rsidRPr="00C86111">
        <w:rPr>
          <w:rFonts w:asciiTheme="minorHAnsi" w:eastAsia="Times New Roman" w:hAnsiTheme="minorHAnsi" w:cstheme="minorHAnsi"/>
          <w:b/>
          <w:bCs/>
          <w:color w:val="002060"/>
          <w:szCs w:val="24"/>
          <w:lang w:val="en-GB" w:eastAsia="en-GB"/>
        </w:rPr>
        <w:t>Aktivne nevladine organizacije i inicijative:</w:t>
      </w:r>
    </w:p>
    <w:p w14:paraId="3C3E0D63" w14:textId="77777777" w:rsidR="004F6023" w:rsidRPr="00C86111" w:rsidRDefault="004F6023" w:rsidP="00833A40">
      <w:pPr>
        <w:numPr>
          <w:ilvl w:val="0"/>
          <w:numId w:val="102"/>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i/>
          <w:iCs/>
          <w:szCs w:val="24"/>
          <w:lang w:val="en-GB" w:eastAsia="en-GB"/>
        </w:rPr>
        <w:lastRenderedPageBreak/>
        <w:t xml:space="preserve">Green home </w:t>
      </w:r>
      <w:r w:rsidRPr="00C86111">
        <w:rPr>
          <w:rFonts w:asciiTheme="minorHAnsi" w:eastAsia="Times New Roman" w:hAnsiTheme="minorHAnsi" w:cstheme="minorHAnsi"/>
          <w:szCs w:val="24"/>
          <w:lang w:val="en-GB" w:eastAsia="en-GB"/>
        </w:rPr>
        <w:t>– promocija svijesti i građanskog angažmana u zaštiti životne sredine.</w:t>
      </w:r>
    </w:p>
    <w:p w14:paraId="33945AB8" w14:textId="77777777" w:rsidR="004F6023" w:rsidRPr="00C86111" w:rsidRDefault="004F6023" w:rsidP="00833A40">
      <w:pPr>
        <w:numPr>
          <w:ilvl w:val="0"/>
          <w:numId w:val="102"/>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i/>
          <w:iCs/>
          <w:szCs w:val="24"/>
          <w:lang w:val="en-GB" w:eastAsia="en-GB"/>
        </w:rPr>
        <w:t xml:space="preserve">MANS (Mreža za afirmaciju nevladinog sektora) </w:t>
      </w:r>
      <w:r w:rsidRPr="00C86111">
        <w:rPr>
          <w:rFonts w:asciiTheme="minorHAnsi" w:eastAsia="Times New Roman" w:hAnsiTheme="minorHAnsi" w:cstheme="minorHAnsi"/>
          <w:szCs w:val="24"/>
          <w:lang w:val="en-GB" w:eastAsia="en-GB"/>
        </w:rPr>
        <w:t>– praćenje upravljanja zaštitom životne sredine i javne potrošnje na otpad i opasne materije.</w:t>
      </w:r>
    </w:p>
    <w:p w14:paraId="5D6910D2" w14:textId="77777777" w:rsidR="004F6023" w:rsidRPr="00C86111" w:rsidRDefault="004F6023" w:rsidP="00833A40">
      <w:pPr>
        <w:numPr>
          <w:ilvl w:val="0"/>
          <w:numId w:val="102"/>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i/>
          <w:iCs/>
          <w:szCs w:val="24"/>
          <w:lang w:val="en-GB" w:eastAsia="en-GB"/>
        </w:rPr>
        <w:t xml:space="preserve">Ekološke nevladine organizacije </w:t>
      </w:r>
      <w:r w:rsidRPr="00C86111">
        <w:rPr>
          <w:rFonts w:asciiTheme="minorHAnsi" w:eastAsia="Times New Roman" w:hAnsiTheme="minorHAnsi" w:cstheme="minorHAnsi"/>
          <w:szCs w:val="24"/>
          <w:lang w:val="en-GB" w:eastAsia="en-GB"/>
        </w:rPr>
        <w:t>koje učestvuju u nacionalnim i regionalnim ekološkim mrežama.</w:t>
      </w:r>
    </w:p>
    <w:p w14:paraId="22B7292C" w14:textId="77777777" w:rsidR="004F6023" w:rsidRPr="00C86111" w:rsidRDefault="004F6023" w:rsidP="004F6023">
      <w:pPr>
        <w:jc w:val="both"/>
        <w:rPr>
          <w:rFonts w:asciiTheme="minorHAnsi" w:eastAsia="Times New Roman" w:hAnsiTheme="minorHAnsi" w:cstheme="minorHAnsi"/>
          <w:color w:val="002060"/>
          <w:szCs w:val="24"/>
          <w:lang w:val="en-GB" w:eastAsia="en-GB"/>
        </w:rPr>
      </w:pPr>
      <w:r w:rsidRPr="00C86111">
        <w:rPr>
          <w:rFonts w:asciiTheme="minorHAnsi" w:eastAsia="Times New Roman" w:hAnsiTheme="minorHAnsi" w:cstheme="minorHAnsi"/>
          <w:b/>
          <w:bCs/>
          <w:color w:val="002060"/>
          <w:szCs w:val="24"/>
          <w:lang w:val="en-GB" w:eastAsia="en-GB"/>
        </w:rPr>
        <w:t>Zainteresovane strane privatnog sektora</w:t>
      </w:r>
    </w:p>
    <w:p w14:paraId="67B35180"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Privatni sektor, posebno industrije koje se bave </w:t>
      </w:r>
      <w:r w:rsidRPr="00C86111">
        <w:rPr>
          <w:rFonts w:asciiTheme="minorHAnsi" w:eastAsia="Times New Roman" w:hAnsiTheme="minorHAnsi" w:cstheme="minorHAnsi"/>
          <w:b/>
          <w:bCs/>
          <w:szCs w:val="24"/>
          <w:lang w:val="en-GB" w:eastAsia="en-GB"/>
        </w:rPr>
        <w:t>upravljanjem otpadom</w:t>
      </w:r>
      <w:r w:rsidRPr="00C86111">
        <w:rPr>
          <w:rFonts w:asciiTheme="minorHAnsi" w:eastAsia="Times New Roman" w:hAnsiTheme="minorHAnsi" w:cstheme="minorHAnsi"/>
          <w:szCs w:val="24"/>
          <w:lang w:val="en-GB" w:eastAsia="en-GB"/>
        </w:rPr>
        <w:t xml:space="preserve">, </w:t>
      </w:r>
      <w:r w:rsidRPr="00C86111">
        <w:rPr>
          <w:rFonts w:asciiTheme="minorHAnsi" w:eastAsia="Times New Roman" w:hAnsiTheme="minorHAnsi" w:cstheme="minorHAnsi"/>
          <w:b/>
          <w:bCs/>
          <w:szCs w:val="24"/>
          <w:lang w:val="en-GB" w:eastAsia="en-GB"/>
        </w:rPr>
        <w:t>građevinarstvom</w:t>
      </w:r>
      <w:r w:rsidRPr="00C86111">
        <w:rPr>
          <w:rFonts w:asciiTheme="minorHAnsi" w:eastAsia="Times New Roman" w:hAnsiTheme="minorHAnsi" w:cstheme="minorHAnsi"/>
          <w:szCs w:val="24"/>
          <w:lang w:val="en-GB" w:eastAsia="en-GB"/>
        </w:rPr>
        <w:t xml:space="preserve">, </w:t>
      </w:r>
      <w:r w:rsidRPr="00C86111">
        <w:rPr>
          <w:rFonts w:asciiTheme="minorHAnsi" w:eastAsia="Times New Roman" w:hAnsiTheme="minorHAnsi" w:cstheme="minorHAnsi"/>
          <w:b/>
          <w:bCs/>
          <w:szCs w:val="24"/>
          <w:lang w:val="en-GB" w:eastAsia="en-GB"/>
        </w:rPr>
        <w:t xml:space="preserve">upotrebom hemikalija </w:t>
      </w:r>
      <w:r w:rsidRPr="00C86111">
        <w:rPr>
          <w:rFonts w:asciiTheme="minorHAnsi" w:eastAsia="Times New Roman" w:hAnsiTheme="minorHAnsi" w:cstheme="minorHAnsi"/>
          <w:szCs w:val="24"/>
          <w:lang w:val="en-GB" w:eastAsia="en-GB"/>
        </w:rPr>
        <w:t xml:space="preserve">i </w:t>
      </w:r>
      <w:r w:rsidRPr="00C86111">
        <w:rPr>
          <w:rFonts w:asciiTheme="minorHAnsi" w:eastAsia="Times New Roman" w:hAnsiTheme="minorHAnsi" w:cstheme="minorHAnsi"/>
          <w:b/>
          <w:bCs/>
          <w:szCs w:val="24"/>
          <w:lang w:val="en-GB" w:eastAsia="en-GB"/>
        </w:rPr>
        <w:t>proizvodnjom energije</w:t>
      </w:r>
      <w:r w:rsidRPr="00C86111">
        <w:rPr>
          <w:rFonts w:asciiTheme="minorHAnsi" w:eastAsia="Times New Roman" w:hAnsiTheme="minorHAnsi" w:cstheme="minorHAnsi"/>
          <w:szCs w:val="24"/>
          <w:lang w:val="en-GB" w:eastAsia="en-GB"/>
        </w:rPr>
        <w:t>, važni su i kao potencijalni izvori POPs-ova i kao ključni partneri u smanjenju emisija i podizanju svijesti.</w:t>
      </w:r>
    </w:p>
    <w:p w14:paraId="654A9781" w14:textId="77777777" w:rsidR="004F6023" w:rsidRPr="00C86111" w:rsidRDefault="004F6023" w:rsidP="007A23C1">
      <w:pPr>
        <w:rPr>
          <w:b/>
          <w:bCs/>
          <w:color w:val="002060"/>
          <w:lang w:val="en-GB" w:eastAsia="en-GB"/>
        </w:rPr>
      </w:pPr>
      <w:r w:rsidRPr="00C86111">
        <w:rPr>
          <w:b/>
          <w:bCs/>
          <w:color w:val="002060"/>
          <w:lang w:val="en-GB" w:eastAsia="en-GB"/>
        </w:rPr>
        <w:t>Ključni doprinosi:</w:t>
      </w:r>
    </w:p>
    <w:p w14:paraId="79A3214D" w14:textId="77777777" w:rsidR="004F6023" w:rsidRPr="00C86111" w:rsidRDefault="004F6023" w:rsidP="00833A40">
      <w:pPr>
        <w:numPr>
          <w:ilvl w:val="0"/>
          <w:numId w:val="103"/>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Usvajanje ekološki prihvatljivih tehnologija i praksi upravljanja otpadom sigurnih od POPs zagađivača.</w:t>
      </w:r>
    </w:p>
    <w:p w14:paraId="02418754" w14:textId="77777777" w:rsidR="004F6023" w:rsidRPr="00C86111" w:rsidRDefault="004F6023" w:rsidP="00833A40">
      <w:pPr>
        <w:numPr>
          <w:ilvl w:val="0"/>
          <w:numId w:val="103"/>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Obuka osoblja i implementacija internih programa za podizanje ekološke svijesti.</w:t>
      </w:r>
    </w:p>
    <w:p w14:paraId="26F15AD6" w14:textId="77777777" w:rsidR="004F6023" w:rsidRPr="00C86111" w:rsidRDefault="004F6023" w:rsidP="00833A40">
      <w:pPr>
        <w:numPr>
          <w:ilvl w:val="0"/>
          <w:numId w:val="103"/>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Podrška inicijativama za javno obrazovanje i učešće u dijalozima sa više zainteresovanih strana.</w:t>
      </w:r>
    </w:p>
    <w:p w14:paraId="14369BDD" w14:textId="77777777" w:rsidR="004F6023" w:rsidRPr="00C86111" w:rsidRDefault="004F6023" w:rsidP="00833A40">
      <w:pPr>
        <w:numPr>
          <w:ilvl w:val="0"/>
          <w:numId w:val="103"/>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Saradnja s vladom i organizacijama civilnog društva u aktivnostima sanacije, praćenja i izvještavanja.</w:t>
      </w:r>
    </w:p>
    <w:p w14:paraId="0E0628C8" w14:textId="77777777" w:rsidR="004F6023" w:rsidRPr="00C86111" w:rsidRDefault="004F6023" w:rsidP="007A23C1">
      <w:pPr>
        <w:rPr>
          <w:b/>
          <w:bCs/>
          <w:color w:val="002060"/>
          <w:lang w:val="en-GB" w:eastAsia="en-GB"/>
        </w:rPr>
      </w:pPr>
      <w:r w:rsidRPr="00C86111">
        <w:rPr>
          <w:b/>
          <w:bCs/>
          <w:color w:val="002060"/>
          <w:lang w:val="en-GB" w:eastAsia="en-GB"/>
        </w:rPr>
        <w:t>Uključene zainteresovane strane:</w:t>
      </w:r>
    </w:p>
    <w:p w14:paraId="1D573CAD" w14:textId="77777777" w:rsidR="004F6023" w:rsidRPr="00C86111" w:rsidRDefault="004F6023" w:rsidP="00833A40">
      <w:pPr>
        <w:numPr>
          <w:ilvl w:val="0"/>
          <w:numId w:val="104"/>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Industrijski objekti koji podliježu propisima vezanim za POPs.</w:t>
      </w:r>
    </w:p>
    <w:p w14:paraId="36BF7F48" w14:textId="77777777" w:rsidR="004F6023" w:rsidRPr="00C86111" w:rsidRDefault="004F6023" w:rsidP="00833A40">
      <w:pPr>
        <w:numPr>
          <w:ilvl w:val="0"/>
          <w:numId w:val="104"/>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Kompanije za zaštitu </w:t>
      </w:r>
      <w:bookmarkStart w:id="491" w:name="_Hlk210652190"/>
      <w:r w:rsidRPr="00C86111">
        <w:rPr>
          <w:rFonts w:asciiTheme="minorHAnsi" w:eastAsia="Times New Roman" w:hAnsiTheme="minorHAnsi" w:cstheme="minorHAnsi"/>
          <w:szCs w:val="24"/>
          <w:lang w:val="en-GB" w:eastAsia="en-GB"/>
        </w:rPr>
        <w:t xml:space="preserve">životne sredine </w:t>
      </w:r>
      <w:bookmarkEnd w:id="491"/>
      <w:r w:rsidRPr="00C86111">
        <w:rPr>
          <w:rFonts w:asciiTheme="minorHAnsi" w:eastAsia="Times New Roman" w:hAnsiTheme="minorHAnsi" w:cstheme="minorHAnsi"/>
          <w:szCs w:val="24"/>
          <w:lang w:val="en-GB" w:eastAsia="en-GB"/>
        </w:rPr>
        <w:t>i upravljanje otpadom.</w:t>
      </w:r>
    </w:p>
    <w:p w14:paraId="6B82BD1A" w14:textId="77777777" w:rsidR="004F6023" w:rsidRPr="00C86111" w:rsidRDefault="004F6023" w:rsidP="00833A40">
      <w:pPr>
        <w:numPr>
          <w:ilvl w:val="0"/>
          <w:numId w:val="104"/>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Privatne konsultantske firme za zaštitu životne sredine koje savjetuju o strategijama usklađenosti i komunikacije.</w:t>
      </w:r>
    </w:p>
    <w:p w14:paraId="21C193D6" w14:textId="77777777" w:rsidR="004F6023" w:rsidRPr="00C86111" w:rsidRDefault="004F6023" w:rsidP="00EA6904">
      <w:pPr>
        <w:pStyle w:val="Heading3"/>
        <w:rPr>
          <w:lang w:eastAsia="en-GB"/>
        </w:rPr>
      </w:pPr>
      <w:bookmarkStart w:id="492" w:name="_Toc220542020"/>
      <w:r w:rsidRPr="00C86111">
        <w:rPr>
          <w:lang w:eastAsia="en-GB"/>
        </w:rPr>
        <w:t>Međusektorska koordinacija i međunarodna podrška</w:t>
      </w:r>
      <w:bookmarkEnd w:id="492"/>
    </w:p>
    <w:p w14:paraId="1A514180"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Učinkovitost aktivnosti podizanja svijesti pojačava se koordiniranim naporima koje podržavaju:</w:t>
      </w:r>
    </w:p>
    <w:p w14:paraId="3A4A8D4A" w14:textId="77777777" w:rsidR="004F6023" w:rsidRPr="00C86111" w:rsidRDefault="004F6023" w:rsidP="00833A40">
      <w:pPr>
        <w:numPr>
          <w:ilvl w:val="0"/>
          <w:numId w:val="105"/>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hAnsiTheme="minorHAnsi" w:cstheme="minorHAnsi"/>
          <w:b/>
          <w:bCs/>
          <w:color w:val="002060"/>
          <w:szCs w:val="24"/>
        </w:rPr>
        <w:t>Ministarstvo ekologije, održivog razvoja i razvoja sjevera</w:t>
      </w:r>
      <w:r w:rsidRPr="00C86111">
        <w:rPr>
          <w:rFonts w:asciiTheme="minorHAnsi" w:eastAsia="Times New Roman" w:hAnsiTheme="minorHAnsi" w:cstheme="minorHAnsi"/>
          <w:szCs w:val="24"/>
          <w:lang w:val="en-GB" w:eastAsia="en-GB"/>
        </w:rPr>
        <w:t>, kao vodeće tijelo za POPs.</w:t>
      </w:r>
    </w:p>
    <w:p w14:paraId="591B15CA" w14:textId="7564B3F5" w:rsidR="004F6023" w:rsidRPr="00C86111" w:rsidRDefault="004F6023" w:rsidP="00833A40">
      <w:pPr>
        <w:numPr>
          <w:ilvl w:val="0"/>
          <w:numId w:val="105"/>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Implementacija </w:t>
      </w:r>
      <w:r w:rsidRPr="00C86111">
        <w:rPr>
          <w:rFonts w:asciiTheme="minorHAnsi" w:eastAsia="Times New Roman" w:hAnsiTheme="minorHAnsi" w:cstheme="minorHAnsi"/>
          <w:b/>
          <w:bCs/>
          <w:color w:val="002060"/>
          <w:szCs w:val="24"/>
          <w:lang w:val="en-GB" w:eastAsia="en-GB"/>
        </w:rPr>
        <w:t>Nacionalnog plana implementacije Stokholmsk</w:t>
      </w:r>
      <w:r w:rsidR="00B908DB" w:rsidRPr="00C86111">
        <w:rPr>
          <w:rFonts w:asciiTheme="minorHAnsi" w:eastAsia="Times New Roman" w:hAnsiTheme="minorHAnsi" w:cstheme="minorHAnsi"/>
          <w:b/>
          <w:bCs/>
          <w:color w:val="002060"/>
          <w:szCs w:val="24"/>
          <w:lang w:val="en-GB" w:eastAsia="en-GB"/>
        </w:rPr>
        <w:t>E</w:t>
      </w:r>
      <w:r w:rsidRPr="00C86111">
        <w:rPr>
          <w:rFonts w:asciiTheme="minorHAnsi" w:eastAsia="Times New Roman" w:hAnsiTheme="minorHAnsi" w:cstheme="minorHAnsi"/>
          <w:b/>
          <w:bCs/>
          <w:color w:val="002060"/>
          <w:szCs w:val="24"/>
          <w:lang w:val="en-GB" w:eastAsia="en-GB"/>
        </w:rPr>
        <w:t>konvencij</w:t>
      </w:r>
      <w:r w:rsidR="00B908DB" w:rsidRPr="00C86111">
        <w:rPr>
          <w:rFonts w:asciiTheme="minorHAnsi" w:eastAsia="Times New Roman" w:hAnsiTheme="minorHAnsi" w:cstheme="minorHAnsi"/>
          <w:b/>
          <w:bCs/>
          <w:color w:val="002060"/>
          <w:szCs w:val="24"/>
          <w:lang w:val="en-GB" w:eastAsia="en-GB"/>
        </w:rPr>
        <w:t>e</w:t>
      </w:r>
      <w:r w:rsidRPr="00C86111">
        <w:rPr>
          <w:rFonts w:asciiTheme="minorHAnsi" w:eastAsia="Times New Roman" w:hAnsiTheme="minorHAnsi" w:cstheme="minorHAnsi"/>
          <w:b/>
          <w:bCs/>
          <w:color w:val="002060"/>
          <w:szCs w:val="24"/>
          <w:lang w:val="en-GB" w:eastAsia="en-GB"/>
        </w:rPr>
        <w:t xml:space="preserve"> </w:t>
      </w:r>
      <w:r w:rsidRPr="00C86111">
        <w:rPr>
          <w:rFonts w:asciiTheme="minorHAnsi" w:eastAsia="Times New Roman" w:hAnsiTheme="minorHAnsi" w:cstheme="minorHAnsi"/>
          <w:szCs w:val="24"/>
          <w:lang w:val="en-GB" w:eastAsia="en-GB"/>
        </w:rPr>
        <w:t>.</w:t>
      </w:r>
    </w:p>
    <w:p w14:paraId="7F1FD247" w14:textId="77777777" w:rsidR="004F6023" w:rsidRPr="00C86111" w:rsidRDefault="004F6023" w:rsidP="00833A40">
      <w:pPr>
        <w:numPr>
          <w:ilvl w:val="0"/>
          <w:numId w:val="105"/>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b/>
          <w:bCs/>
          <w:color w:val="002060"/>
          <w:szCs w:val="24"/>
          <w:lang w:val="en-GB" w:eastAsia="en-GB"/>
        </w:rPr>
        <w:t xml:space="preserve">Međunarodne organizacije </w:t>
      </w:r>
      <w:r w:rsidRPr="00C86111">
        <w:rPr>
          <w:rFonts w:asciiTheme="minorHAnsi" w:eastAsia="Times New Roman" w:hAnsiTheme="minorHAnsi" w:cstheme="minorHAnsi"/>
          <w:szCs w:val="24"/>
          <w:lang w:val="en-GB" w:eastAsia="en-GB"/>
        </w:rPr>
        <w:t>poput UNDP-a, UNEP-a i GEF-a, koje su finansirale projekte informisanja javnosti i izgradnje kapaciteta zainteresovanih strana u vezi s POP-ovima.</w:t>
      </w:r>
    </w:p>
    <w:p w14:paraId="6E7D3E5A" w14:textId="6E842384" w:rsidR="004F6023" w:rsidRPr="00C86111" w:rsidRDefault="004F6023" w:rsidP="00EA6904">
      <w:pPr>
        <w:pStyle w:val="Heading3"/>
        <w:rPr>
          <w:rFonts w:eastAsia="Times New Roman"/>
        </w:rPr>
      </w:pPr>
      <w:bookmarkStart w:id="493" w:name="_Toc220542021"/>
      <w:r w:rsidRPr="00C86111">
        <w:t>Pregled inicijativa za razmjenu informacija i podizanje svijesti koje se sprovode u Crnoj Gori u periodu 2017-2024</w:t>
      </w:r>
      <w:bookmarkEnd w:id="493"/>
    </w:p>
    <w:p w14:paraId="55CDE574" w14:textId="77777777" w:rsidR="004F6023" w:rsidRPr="00C86111" w:rsidRDefault="004F6023" w:rsidP="00B908DB">
      <w:pPr>
        <w:jc w:val="both"/>
      </w:pPr>
      <w:r w:rsidRPr="00C86111">
        <w:rPr>
          <w:iCs/>
        </w:rPr>
        <w:br/>
      </w:r>
      <w:r w:rsidRPr="00C86111">
        <w:t xml:space="preserve">Tokom perioda 2017–2024, Crna Gora je preduzela nekoliko inicijativa usmjerenih na poboljšanje svijesti javnosti i angažmana zainteresovanih strana o pitanjima vezanim za dugotrajne organske zagađivače (POPs), u skladu sa svojim obavezama prema Stokholmskoj konvenciji. Ovaj dio pruža </w:t>
      </w:r>
      <w:r w:rsidRPr="00C86111">
        <w:lastRenderedPageBreak/>
        <w:t>pregled glavnih sprovedenih aktivnosti zasnovan na zainteresovanim stranama, kao i procjenu njihovog obima, efikasnosti i integracije u nacionalne strategije. U poređenju sa ciklusom 2007–2014, došlo je do umjerenog, ali stalnog porasta informisanja javnosti i razmjene informacija, posebno na lokalnom nivou.</w:t>
      </w:r>
    </w:p>
    <w:p w14:paraId="56E86D21" w14:textId="77777777" w:rsidR="004F6023" w:rsidRPr="00C86111" w:rsidRDefault="004F6023" w:rsidP="004F6023"/>
    <w:p w14:paraId="2DAF6A99" w14:textId="77777777" w:rsidR="004F6023" w:rsidRPr="00C86111" w:rsidRDefault="004F6023" w:rsidP="004F6023">
      <w:pPr>
        <w:rPr>
          <w:b/>
          <w:bCs/>
          <w:color w:val="002060"/>
          <w:lang w:val="en-GB" w:eastAsia="en-GB"/>
        </w:rPr>
      </w:pPr>
      <w:r w:rsidRPr="00C86111">
        <w:rPr>
          <w:b/>
          <w:bCs/>
          <w:color w:val="002060"/>
          <w:lang w:val="en-GB" w:eastAsia="en-GB"/>
        </w:rPr>
        <w:t xml:space="preserve"> Vladine institucije</w:t>
      </w:r>
    </w:p>
    <w:p w14:paraId="3D9940BB" w14:textId="77777777" w:rsidR="004F6023" w:rsidRPr="00C86111" w:rsidRDefault="004F6023" w:rsidP="004F6023">
      <w:pPr>
        <w:spacing w:before="100" w:beforeAutospacing="1" w:after="100" w:afterAutospacing="1"/>
        <w:jc w:val="both"/>
        <w:rPr>
          <w:rFonts w:asciiTheme="minorHAnsi" w:hAnsiTheme="minorHAnsi" w:cstheme="minorHAnsi"/>
          <w:b/>
          <w:bCs/>
          <w:color w:val="002060"/>
          <w:szCs w:val="24"/>
        </w:rPr>
      </w:pPr>
      <w:r w:rsidRPr="00C86111">
        <w:rPr>
          <w:rFonts w:asciiTheme="minorHAnsi" w:hAnsiTheme="minorHAnsi" w:cstheme="minorHAnsi"/>
          <w:b/>
          <w:bCs/>
          <w:color w:val="002060"/>
          <w:szCs w:val="24"/>
        </w:rPr>
        <w:t>Ministarstvo ekologije, održivog razvoja i razvoja sjevera</w:t>
      </w:r>
    </w:p>
    <w:p w14:paraId="3B5514E9" w14:textId="4EC83673"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Ministarstvo služi kao nacionalna kontaktna tačka za Stokholmsku konvenciju i igra centralnu ulogu u planiranju i koordinaciji. Pruža finansijsku podršku za podizanje svijesti putem godišnjih javnih poziva za nevladine organizacije za zaštitu životne sredine i podržava razvoj edukativnih i promotivnih materijala. Međutim, Ministarstvo trenutno ne sprovodi namjenske kampanje za podizanje svijesti o POPs-ima. Koordinacija sa sektorskim ministarstvima (npr. zdravstvo, poljoprivreda i prosvjetu) u vezi sa informisanjem javnosti o POPs-ima i dalje je slaba i predstavlja područje za dalji institucionalni razvoj.</w:t>
      </w:r>
    </w:p>
    <w:p w14:paraId="4A0FF35A" w14:textId="77777777" w:rsidR="004F6023" w:rsidRPr="00C86111" w:rsidRDefault="004F6023" w:rsidP="004F6023">
      <w:pPr>
        <w:spacing w:before="100" w:beforeAutospacing="1" w:after="100" w:afterAutospacing="1"/>
        <w:jc w:val="both"/>
        <w:rPr>
          <w:rFonts w:asciiTheme="minorHAnsi" w:eastAsia="Times New Roman" w:hAnsiTheme="minorHAnsi" w:cstheme="minorHAnsi"/>
          <w:b/>
          <w:bCs/>
          <w:color w:val="002060"/>
          <w:szCs w:val="24"/>
          <w:lang w:val="en-GB" w:eastAsia="en-GB"/>
        </w:rPr>
      </w:pPr>
      <w:r w:rsidRPr="00C86111">
        <w:rPr>
          <w:rFonts w:asciiTheme="minorHAnsi" w:eastAsia="Times New Roman" w:hAnsiTheme="minorHAnsi" w:cstheme="minorHAnsi"/>
          <w:b/>
          <w:bCs/>
          <w:color w:val="002060"/>
          <w:szCs w:val="24"/>
          <w:lang w:val="en-GB" w:eastAsia="en-GB"/>
        </w:rPr>
        <w:t>Agencija za zaštitu životne sredine</w:t>
      </w:r>
    </w:p>
    <w:p w14:paraId="60F7B330" w14:textId="12C5F156" w:rsidR="004F6023"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Agencija za zaštitu životne sredine upravlja nacionalnim informacijama vezanih za hemikalije, nudeći opšte smjernice o upravljanju hemikalijama, uključujući ograničene informacije o POPs-ovima. Iako su informacije dostupne, nedostaje mu prilagođen sadržaj za nestručne korisnike ili ranjive grupe. Agencija nije razvila komunikacijsku strategiju specifičnu za POP-ove, što ograničava vidljivost problema POPs-ova među širom javnošću i profesionalnim korisnicima. Integracija modula specifičnih za POPs-ove u širu komunikacijsku platformu agencije trebala bi se razmotriti za sljedeći ciklus NIP-a.</w:t>
      </w:r>
    </w:p>
    <w:p w14:paraId="19A21D12" w14:textId="77777777" w:rsidR="004F6023" w:rsidRPr="00C86111" w:rsidRDefault="004F6023" w:rsidP="004F6023">
      <w:pPr>
        <w:rPr>
          <w:b/>
          <w:bCs/>
          <w:color w:val="002060"/>
          <w:lang w:val="en-GB" w:eastAsia="en-GB"/>
        </w:rPr>
      </w:pPr>
      <w:r w:rsidRPr="00C86111">
        <w:rPr>
          <w:b/>
          <w:bCs/>
          <w:color w:val="002060"/>
          <w:lang w:val="en-GB" w:eastAsia="en-GB"/>
        </w:rPr>
        <w:t>Akademske i istraživačke institucije</w:t>
      </w:r>
    </w:p>
    <w:p w14:paraId="7B41ECD7" w14:textId="77777777" w:rsidR="004F6023" w:rsidRPr="00D611ED" w:rsidRDefault="004F6023" w:rsidP="004F6023">
      <w:pPr>
        <w:spacing w:before="100" w:beforeAutospacing="1" w:after="100" w:afterAutospacing="1"/>
        <w:jc w:val="both"/>
        <w:rPr>
          <w:rFonts w:asciiTheme="minorHAnsi" w:eastAsia="Times New Roman" w:hAnsiTheme="minorHAnsi" w:cstheme="minorHAnsi"/>
          <w:b/>
          <w:bCs/>
          <w:color w:val="002060"/>
          <w:szCs w:val="24"/>
          <w:lang w:val="en-GB" w:eastAsia="en-GB"/>
        </w:rPr>
      </w:pPr>
      <w:r w:rsidRPr="00D611ED">
        <w:rPr>
          <w:rFonts w:asciiTheme="minorHAnsi" w:eastAsia="Times New Roman" w:hAnsiTheme="minorHAnsi" w:cstheme="minorHAnsi"/>
          <w:b/>
          <w:bCs/>
          <w:color w:val="002060"/>
          <w:szCs w:val="24"/>
          <w:lang w:val="en-GB" w:eastAsia="en-GB"/>
        </w:rPr>
        <w:t xml:space="preserve">Univerzitet Crne Gore i pridruženi instituti </w:t>
      </w:r>
    </w:p>
    <w:p w14:paraId="2B27E1E1"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Naučna istraživanja vezana za POPs – posebno u kontekstu zagađenja mora i bioakumulacije – sprovode institucije poput Instituta za biologiju mora. Međutim, prevođenje rezultata istraživanja u materijale za javnu komunikaciju ili obrazovni sadržaj ostaje minimalno. Veće učešće institucija u aktivnostima podizanja svijesti moglo bi se postići strukturiranom saradnjom s Ministarstvom prosvjete, nauke i inovacija povezivanjem nastavnih planova i programa s temama vezanim za POPs i uključivanjem studenata i akademskog osoblja u projekte informisanja javnosti.</w:t>
      </w:r>
    </w:p>
    <w:p w14:paraId="34112C43" w14:textId="77777777" w:rsidR="004F6023" w:rsidRPr="00C86111" w:rsidRDefault="004F6023" w:rsidP="004F6023">
      <w:pPr>
        <w:rPr>
          <w:b/>
          <w:bCs/>
          <w:color w:val="002060"/>
          <w:lang w:val="en-GB" w:eastAsia="en-GB"/>
        </w:rPr>
      </w:pPr>
      <w:r w:rsidRPr="00C86111">
        <w:rPr>
          <w:b/>
          <w:bCs/>
          <w:color w:val="002060"/>
          <w:lang w:val="en-GB" w:eastAsia="en-GB"/>
        </w:rPr>
        <w:t>Industrijski i privatni sektor</w:t>
      </w:r>
    </w:p>
    <w:p w14:paraId="4A8B61ED" w14:textId="77777777" w:rsidR="00D611ED" w:rsidRDefault="004F6023" w:rsidP="004F6023">
      <w:pPr>
        <w:spacing w:before="100" w:beforeAutospacing="1" w:after="100" w:afterAutospacing="1"/>
        <w:jc w:val="both"/>
        <w:rPr>
          <w:rFonts w:asciiTheme="minorHAnsi" w:eastAsia="Times New Roman" w:hAnsiTheme="minorHAnsi" w:cstheme="minorHAnsi"/>
          <w:b/>
          <w:bCs/>
          <w:szCs w:val="24"/>
          <w:lang w:val="en-GB" w:eastAsia="en-GB"/>
        </w:rPr>
      </w:pPr>
      <w:r w:rsidRPr="00C86111">
        <w:rPr>
          <w:rFonts w:asciiTheme="minorHAnsi" w:eastAsia="Times New Roman" w:hAnsiTheme="minorHAnsi" w:cstheme="minorHAnsi"/>
          <w:b/>
          <w:bCs/>
          <w:szCs w:val="24"/>
          <w:lang w:val="en-GB" w:eastAsia="en-GB"/>
        </w:rPr>
        <w:t xml:space="preserve">Zainteresovane strane u industriji (upravljanje otpadom, poljoprivreda, hemikalije) </w:t>
      </w:r>
    </w:p>
    <w:p w14:paraId="11DBD0AC" w14:textId="6AFD40D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Učešće industrije u podizanju svijesti i izgradnji kapaciteta u vezi sa POPs-ovima bilo je nedosljedno. Određeno angažovanje se odvijalo kroz učešće na okruglim stolovima, radionicama </w:t>
      </w:r>
      <w:r w:rsidRPr="00C86111">
        <w:rPr>
          <w:rFonts w:asciiTheme="minorHAnsi" w:eastAsia="Times New Roman" w:hAnsiTheme="minorHAnsi" w:cstheme="minorHAnsi"/>
          <w:szCs w:val="24"/>
          <w:lang w:val="en-GB" w:eastAsia="en-GB"/>
        </w:rPr>
        <w:lastRenderedPageBreak/>
        <w:t>i obukama - obično onima koje organizuju nevladine organizacije ili kroz projekte finansirane od strane donatora. Međutim, ne postoji strategija informisanja ili komunikacije specifična za sektor. Buduće akcije Nacionalnog implementacionog plana (NIP) trebale bi dati prioritet razvoju smjernica i materijala za podizanje svijesti usmjerenih na industrije visokog rizika (npr. spaljivanje otpada) uz podršku mehanizama za usklađenost i sprovođenje propisa.</w:t>
      </w:r>
    </w:p>
    <w:p w14:paraId="38E11127" w14:textId="77777777" w:rsidR="004F6023" w:rsidRPr="00C86111" w:rsidRDefault="004F6023" w:rsidP="004F6023">
      <w:pPr>
        <w:rPr>
          <w:b/>
          <w:bCs/>
          <w:color w:val="002060"/>
          <w:lang w:val="en-GB" w:eastAsia="en-GB"/>
        </w:rPr>
      </w:pPr>
      <w:r w:rsidRPr="00C86111">
        <w:rPr>
          <w:b/>
          <w:bCs/>
          <w:color w:val="002060"/>
          <w:lang w:val="en-GB" w:eastAsia="en-GB"/>
        </w:rPr>
        <w:t>Organizacije civilnog društva</w:t>
      </w:r>
    </w:p>
    <w:p w14:paraId="2D5BE7A0" w14:textId="77777777" w:rsidR="004F6023" w:rsidRPr="00C86111" w:rsidRDefault="004F6023" w:rsidP="004F6023">
      <w:pPr>
        <w:spacing w:before="100" w:beforeAutospacing="1" w:after="100" w:afterAutospacing="1"/>
        <w:jc w:val="both"/>
        <w:rPr>
          <w:rFonts w:asciiTheme="minorHAnsi" w:eastAsia="Times New Roman" w:hAnsiTheme="minorHAnsi" w:cstheme="minorHAnsi"/>
          <w:b/>
          <w:bCs/>
          <w:color w:val="002060"/>
          <w:szCs w:val="24"/>
          <w:lang w:val="en-GB" w:eastAsia="en-GB"/>
        </w:rPr>
      </w:pPr>
      <w:r w:rsidRPr="00C86111">
        <w:rPr>
          <w:rFonts w:asciiTheme="minorHAnsi" w:eastAsia="Times New Roman" w:hAnsiTheme="minorHAnsi" w:cstheme="minorHAnsi"/>
          <w:b/>
          <w:bCs/>
          <w:color w:val="002060"/>
          <w:szCs w:val="24"/>
          <w:lang w:val="en-GB" w:eastAsia="en-GB"/>
        </w:rPr>
        <w:t xml:space="preserve">Nevladine organizacije (NVO) </w:t>
      </w:r>
    </w:p>
    <w:p w14:paraId="39D1B287"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 xml:space="preserve">Civilno društvo je odigralo najdinamičniju i najdosljedniju ulogu u podizanju javne svijesti o POPs-ovima tokom perioda pregleda. Nevladine organizacije poput </w:t>
      </w:r>
      <w:r w:rsidRPr="00C86111">
        <w:rPr>
          <w:rFonts w:asciiTheme="minorHAnsi" w:eastAsia="Times New Roman" w:hAnsiTheme="minorHAnsi" w:cstheme="minorHAnsi"/>
          <w:i/>
          <w:iCs/>
          <w:szCs w:val="24"/>
          <w:lang w:val="en-GB" w:eastAsia="en-GB"/>
        </w:rPr>
        <w:t>Green Home</w:t>
      </w:r>
      <w:r w:rsidRPr="00C86111">
        <w:rPr>
          <w:rFonts w:asciiTheme="minorHAnsi" w:eastAsia="Times New Roman" w:hAnsiTheme="minorHAnsi" w:cstheme="minorHAnsi"/>
          <w:szCs w:val="24"/>
          <w:lang w:val="en-GB" w:eastAsia="en-GB"/>
        </w:rPr>
        <w:t xml:space="preserve">, </w:t>
      </w:r>
      <w:r w:rsidRPr="00C86111">
        <w:rPr>
          <w:rFonts w:asciiTheme="minorHAnsi" w:eastAsia="Times New Roman" w:hAnsiTheme="minorHAnsi" w:cstheme="minorHAnsi"/>
          <w:i/>
          <w:iCs/>
          <w:szCs w:val="24"/>
          <w:lang w:val="en-GB" w:eastAsia="en-GB"/>
        </w:rPr>
        <w:t>Djakomo Adriatic</w:t>
      </w:r>
      <w:r w:rsidRPr="00C86111">
        <w:rPr>
          <w:rFonts w:asciiTheme="minorHAnsi" w:eastAsia="Times New Roman" w:hAnsiTheme="minorHAnsi" w:cstheme="minorHAnsi"/>
          <w:szCs w:val="24"/>
          <w:lang w:val="en-GB" w:eastAsia="en-GB"/>
        </w:rPr>
        <w:t xml:space="preserve">, </w:t>
      </w:r>
      <w:r w:rsidRPr="00C86111">
        <w:rPr>
          <w:rFonts w:asciiTheme="minorHAnsi" w:eastAsia="Times New Roman" w:hAnsiTheme="minorHAnsi" w:cstheme="minorHAnsi"/>
          <w:i/>
          <w:iCs/>
          <w:szCs w:val="24"/>
          <w:lang w:val="en-GB" w:eastAsia="en-GB"/>
        </w:rPr>
        <w:t xml:space="preserve">Ozon </w:t>
      </w:r>
      <w:r w:rsidRPr="00C86111">
        <w:rPr>
          <w:rFonts w:asciiTheme="minorHAnsi" w:eastAsia="Times New Roman" w:hAnsiTheme="minorHAnsi" w:cstheme="minorHAnsi"/>
          <w:szCs w:val="24"/>
          <w:lang w:val="en-GB" w:eastAsia="en-GB"/>
        </w:rPr>
        <w:t>i druge su implementirale raznolik portfolio aktivnosti podizanja svijesti, često finansiranih putem javnih poziva Ministarstva ekologije, održivog razvoja i razvoja sjevera i uz podršku međunarodnih donatora. Ključne inicijative uključuju:</w:t>
      </w:r>
    </w:p>
    <w:p w14:paraId="3CBAB0DF" w14:textId="77777777" w:rsidR="004F6023" w:rsidRPr="00C86111" w:rsidRDefault="004F6023" w:rsidP="00833A40">
      <w:pPr>
        <w:numPr>
          <w:ilvl w:val="0"/>
          <w:numId w:val="107"/>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Razvoj i distribucija brošura, letaka i postera prilagođenih lokalnim kontekstima</w:t>
      </w:r>
    </w:p>
    <w:p w14:paraId="61202DF5" w14:textId="77777777" w:rsidR="004F6023" w:rsidRPr="00C86111" w:rsidRDefault="004F6023" w:rsidP="00833A40">
      <w:pPr>
        <w:numPr>
          <w:ilvl w:val="0"/>
          <w:numId w:val="107"/>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Sesije obuke i radionice za izgradnju kapaciteta u ranjivim i udaljenim zajednicama</w:t>
      </w:r>
    </w:p>
    <w:p w14:paraId="2A8FECC4" w14:textId="77777777" w:rsidR="004F6023" w:rsidRPr="00C86111" w:rsidRDefault="004F6023" w:rsidP="00833A40">
      <w:pPr>
        <w:numPr>
          <w:ilvl w:val="0"/>
          <w:numId w:val="107"/>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Okrugli stolovi sa više zainteresovanih strana olakšavaju dijalog između civilnog društva i nacionalnih vlasti</w:t>
      </w:r>
    </w:p>
    <w:p w14:paraId="6E7AF018" w14:textId="77777777" w:rsidR="004F6023" w:rsidRPr="00C86111" w:rsidRDefault="004F6023" w:rsidP="00833A40">
      <w:pPr>
        <w:numPr>
          <w:ilvl w:val="0"/>
          <w:numId w:val="107"/>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Kampanje za podizanje svijesti na društvenim mrežama i putem digitalnih platformi</w:t>
      </w:r>
    </w:p>
    <w:p w14:paraId="7D59C133" w14:textId="77777777" w:rsidR="004F6023" w:rsidRPr="00C86111" w:rsidRDefault="004F6023" w:rsidP="00833A40">
      <w:pPr>
        <w:numPr>
          <w:ilvl w:val="0"/>
          <w:numId w:val="107"/>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Obrazovni programi usmjereni na škole, poljoprivrednike, neformalne reciklere i druge prioritetne grupe</w:t>
      </w:r>
    </w:p>
    <w:p w14:paraId="7755C4B9"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Ove aktivnosti su značajno doprinijele povećanju javnog razumijevanja POPs-a, iako i dalje postoje izazovi u postizanju nacionalne pokrivenosti i dugoročnog uticaja. Većina napora bila je zasnovana na projektima i geografski ograničena.</w:t>
      </w:r>
    </w:p>
    <w:p w14:paraId="3068EF82" w14:textId="77777777" w:rsidR="004F6023" w:rsidRPr="00C86111" w:rsidRDefault="004F6023" w:rsidP="004F6023">
      <w:pPr>
        <w:pStyle w:val="Text"/>
        <w:spacing w:before="100" w:after="100" w:line="240" w:lineRule="auto"/>
        <w:jc w:val="both"/>
        <w:rPr>
          <w:rFonts w:asciiTheme="minorHAnsi" w:eastAsia="Times New Roman" w:hAnsiTheme="minorHAnsi" w:cstheme="minorHAnsi"/>
          <w:b/>
          <w:bCs/>
          <w:color w:val="002060"/>
          <w:sz w:val="24"/>
          <w:szCs w:val="24"/>
        </w:rPr>
      </w:pPr>
      <w:r w:rsidRPr="00C86111">
        <w:rPr>
          <w:rFonts w:asciiTheme="minorHAnsi" w:hAnsiTheme="minorHAnsi" w:cstheme="minorHAnsi"/>
          <w:b/>
          <w:bCs/>
          <w:color w:val="002060"/>
          <w:sz w:val="24"/>
          <w:szCs w:val="24"/>
        </w:rPr>
        <w:t>NVO Green home</w:t>
      </w:r>
    </w:p>
    <w:p w14:paraId="44B92345"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Green Home, jedna od vodećih crnogorskih nevladinih organizacija za zaštitu životne sredine, igra ključnu ulogu u rješavanju ekoloških problema, uključujući upravljanje i smanjenje POPs zagađivača. Green Home aktivno učestvuje u podizanju svijesti javnosti, zalaganju za promjene politika i saradnji s lokalnim zajednicama na očuvanju životne sredine. Organizacija je odigrala ključnu ulogu u širenju informacija o POPs zagađivačima među javnošću i osiguravanju uključenosti civilnog društva u rješavanje problema ovih zagađivača.</w:t>
      </w:r>
    </w:p>
    <w:p w14:paraId="0D8AEE21"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NVO Green home osnovali su studenti biologije 14. februara 2000. godine, kao nevladinu i neprofitnu organizaciju.</w:t>
      </w:r>
    </w:p>
    <w:p w14:paraId="25DE1639"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Organizacija je nastala iz želje za aktivnim učešćem u očuvanju i unapređenju životne sredine, kao i preuzimanjem aktivne uloge u razvoju civilnog društva kroz zaštitu biodiverziteta i realizaciju koncepta održivog razvoja Crne Gore u praksi.</w:t>
      </w:r>
    </w:p>
    <w:p w14:paraId="54073EF4"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 xml:space="preserve">Više informacija o nevladinoj organizaciji Green Home možete pronaći ovdje: </w:t>
      </w:r>
      <w:hyperlink r:id="rId78" w:history="1">
        <w:r w:rsidRPr="00C86111">
          <w:rPr>
            <w:rStyle w:val="Hyperlink0"/>
            <w:rFonts w:asciiTheme="minorHAnsi" w:eastAsia="Arial Unicode MS" w:hAnsiTheme="minorHAnsi" w:cstheme="minorHAnsi"/>
          </w:rPr>
          <w:t>https://www.greenhome.co.me/en</w:t>
        </w:r>
      </w:hyperlink>
    </w:p>
    <w:p w14:paraId="350703F6"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lastRenderedPageBreak/>
        <w:t xml:space="preserve">Green Home je posebno pokrenuo nekoliko </w:t>
      </w:r>
      <w:r w:rsidRPr="00C86111">
        <w:rPr>
          <w:rFonts w:asciiTheme="minorHAnsi" w:hAnsiTheme="minorHAnsi" w:cstheme="minorHAnsi"/>
          <w:b/>
          <w:bCs/>
          <w:sz w:val="24"/>
          <w:szCs w:val="24"/>
        </w:rPr>
        <w:t xml:space="preserve">javnih kampanja </w:t>
      </w:r>
      <w:r w:rsidRPr="00C86111">
        <w:rPr>
          <w:rFonts w:asciiTheme="minorHAnsi" w:hAnsiTheme="minorHAnsi" w:cstheme="minorHAnsi"/>
          <w:sz w:val="24"/>
          <w:szCs w:val="24"/>
        </w:rPr>
        <w:t>za podizanje svijesti o opasnostima POPs-ova, posebno u vezi s ljudskim zdravljem i održivošću zaštite životne sredine. Ove kampanje su uključivale distribuciju informativnih brošura, angažman na društvenim mrežama i radio/TV spotove.</w:t>
      </w:r>
    </w:p>
    <w:p w14:paraId="692FCEBB"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 xml:space="preserve">Specifične aktivnosti koje provodi </w:t>
      </w:r>
      <w:r w:rsidRPr="00C86111">
        <w:rPr>
          <w:rFonts w:asciiTheme="minorHAnsi" w:hAnsiTheme="minorHAnsi" w:cstheme="minorHAnsi"/>
          <w:b/>
          <w:bCs/>
          <w:sz w:val="24"/>
          <w:szCs w:val="24"/>
        </w:rPr>
        <w:t xml:space="preserve">Green Home </w:t>
      </w:r>
      <w:r w:rsidRPr="00C86111">
        <w:rPr>
          <w:rFonts w:asciiTheme="minorHAnsi" w:hAnsiTheme="minorHAnsi" w:cstheme="minorHAnsi"/>
          <w:sz w:val="24"/>
          <w:szCs w:val="24"/>
        </w:rPr>
        <w:t>uključuju:</w:t>
      </w:r>
    </w:p>
    <w:p w14:paraId="6A1AB805"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 xml:space="preserve">Projekat </w:t>
      </w:r>
      <w:r w:rsidRPr="00C86111">
        <w:rPr>
          <w:rFonts w:asciiTheme="minorHAnsi" w:hAnsiTheme="minorHAnsi" w:cstheme="minorHAnsi"/>
          <w:b/>
          <w:bCs/>
          <w:sz w:val="24"/>
          <w:szCs w:val="24"/>
        </w:rPr>
        <w:t>„Upoznajte štetne hemikalije!“</w:t>
      </w:r>
      <w:r w:rsidRPr="00C86111">
        <w:rPr>
          <w:rFonts w:asciiTheme="minorHAnsi" w:hAnsiTheme="minorHAnsi" w:cstheme="minorHAnsi"/>
          <w:sz w:val="24"/>
          <w:szCs w:val="24"/>
        </w:rPr>
        <w:t>, koji je finansijski podržalo Ministarstvo ekologije, održivog razvoja i razvoja sjevera, realizovan je u periodu januar 2022 – septembar 2022. godine.</w:t>
      </w:r>
    </w:p>
    <w:p w14:paraId="1E127AB9"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Cilj projekta bio je poboljšati svijest građana o negativnom uticaju POPs-a na životnu sredinu i ljudsko zdravlje, te pokrenuti javni dijalog o tom pitanju.</w:t>
      </w:r>
    </w:p>
    <w:p w14:paraId="45FADC0E"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 xml:space="preserve">U okviru projekta održan je okrugli sto na temu: „ </w:t>
      </w:r>
      <w:r w:rsidRPr="00C86111">
        <w:rPr>
          <w:rFonts w:asciiTheme="minorHAnsi" w:hAnsiTheme="minorHAnsi" w:cstheme="minorHAnsi"/>
          <w:b/>
          <w:bCs/>
          <w:sz w:val="24"/>
          <w:szCs w:val="24"/>
        </w:rPr>
        <w:t xml:space="preserve">POPs hemikalije – </w:t>
      </w:r>
      <w:r w:rsidRPr="00C86111">
        <w:rPr>
          <w:rFonts w:asciiTheme="minorHAnsi" w:hAnsiTheme="minorHAnsi" w:cstheme="minorHAnsi"/>
          <w:b/>
          <w:bCs/>
          <w:sz w:val="24"/>
          <w:szCs w:val="24"/>
          <w:lang w:val="it-IT"/>
        </w:rPr>
        <w:t xml:space="preserve">globalni problem </w:t>
      </w:r>
      <w:r w:rsidRPr="00C86111">
        <w:rPr>
          <w:rFonts w:asciiTheme="minorHAnsi" w:hAnsiTheme="minorHAnsi" w:cstheme="minorHAnsi"/>
          <w:sz w:val="24"/>
          <w:szCs w:val="24"/>
        </w:rPr>
        <w:t xml:space="preserve">“. Okruglom stolu su prisustvovali predstavnici Ministarstva ekologije, održivog razvoja i razvoja sjevera, Centra za ekotoksikološka ispitivanja, Agencije za zaštitu životne sredine, državnih inspekcija, kao i nevladinog sektora. Link - </w:t>
      </w:r>
      <w:hyperlink r:id="rId79" w:history="1">
        <w:r w:rsidRPr="00C86111">
          <w:rPr>
            <w:rStyle w:val="Hyperlink0"/>
            <w:rFonts w:asciiTheme="minorHAnsi" w:eastAsia="Arial Unicode MS" w:hAnsiTheme="minorHAnsi" w:cstheme="minorHAnsi"/>
          </w:rPr>
          <w:t xml:space="preserve">https://www.greenhome.co.me/en/vulnerable-groups-that-are-most-exposed-to-danger- </w:t>
        </w:r>
      </w:hyperlink>
      <w:hyperlink r:id="rId80" w:history="1">
        <w:r w:rsidRPr="00C86111">
          <w:rPr>
            <w:rStyle w:val="Hyperlink0"/>
            <w:rFonts w:asciiTheme="minorHAnsi" w:eastAsia="Arial Unicode MS" w:hAnsiTheme="minorHAnsi" w:cstheme="minorHAnsi"/>
          </w:rPr>
          <w:t>should-be-informed-andtrained-to-properly-handle-and-protect-themselves-from-pops-chemicals/</w:t>
        </w:r>
      </w:hyperlink>
    </w:p>
    <w:p w14:paraId="43D8DE8D"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Na ovom okruglom stolu razmatrane su POPs hemikalije (perzistentni zagađivači), njihov uticaj na ljudsko zdravlje i okolinu, sistem kontrole zagađenja POPs supstancama, kao i izazovi u ovoj oblasti, sa posebnim osvrtom na grupe koje su najizloženije ovoj opasnosti, kao što su poljoprivrednici, sakupljači sekundarnih sirovina, kao i službe zaštite i spašavanja.</w:t>
      </w:r>
    </w:p>
    <w:p w14:paraId="71DE9C6A"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 xml:space="preserve">Imajući u vidu izloženost sakupljača reciklabilnog materijala POPs hemikalijama, Green Home je pripremio Vodič koji uključuje osnovne informacije o POPs-ovima, njihovim negativnim efektima i rizicima koje rukovanje njima nosi, te mjerama zaštite. Vodič se može preuzeti na ovom linku </w:t>
      </w:r>
      <w:hyperlink r:id="rId81" w:history="1">
        <w:r w:rsidRPr="00C86111">
          <w:rPr>
            <w:rStyle w:val="Hyperlink0"/>
            <w:rFonts w:asciiTheme="minorHAnsi" w:eastAsia="Arial Unicode MS" w:hAnsiTheme="minorHAnsi" w:cstheme="minorHAnsi"/>
          </w:rPr>
          <w:t>https://www.greenhome.co.me/wp-content/uploads/2022/07/vodic-POPs-Green-Home.pdf</w:t>
        </w:r>
      </w:hyperlink>
    </w:p>
    <w:p w14:paraId="04237C82"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Green Home nastavlja da bude aktivan akter u nevladinom sektoru kada je u pitanju podizanje svijesti o POPs hemikalijama u Crnoj Gori, kao i generalno uključen u aktivnosti vezane za zaštitu životne sredine.</w:t>
      </w:r>
    </w:p>
    <w:p w14:paraId="606C2D37" w14:textId="77777777" w:rsidR="004F6023" w:rsidRPr="00C86111" w:rsidRDefault="004F6023" w:rsidP="004F6023">
      <w:pPr>
        <w:pStyle w:val="Text"/>
        <w:spacing w:before="100" w:after="100" w:line="240" w:lineRule="auto"/>
        <w:jc w:val="both"/>
        <w:rPr>
          <w:rFonts w:asciiTheme="minorHAnsi" w:eastAsia="Times New Roman" w:hAnsiTheme="minorHAnsi" w:cstheme="minorHAnsi"/>
          <w:b/>
          <w:bCs/>
          <w:color w:val="002060"/>
          <w:sz w:val="24"/>
          <w:szCs w:val="24"/>
        </w:rPr>
      </w:pPr>
      <w:r w:rsidRPr="00C86111">
        <w:rPr>
          <w:rFonts w:asciiTheme="minorHAnsi" w:hAnsiTheme="minorHAnsi" w:cstheme="minorHAnsi"/>
          <w:b/>
          <w:bCs/>
          <w:color w:val="002060"/>
          <w:sz w:val="24"/>
          <w:szCs w:val="24"/>
        </w:rPr>
        <w:t>Aktivnosti drugih nevladinih organizacija u Crnoj Gori</w:t>
      </w:r>
    </w:p>
    <w:p w14:paraId="310F7458" w14:textId="41C0B309"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 xml:space="preserve">Druge aktivnosti podizanja svijesti uključuju projekte različitih nevladinih organizacija. Projekte je finansiralo Ministarstvo ekologije, održivog razvoja i razvoja sjevera putem „Javnog konkursa za raspodjelu sredstava nevladinim organizacijama u cilju </w:t>
      </w:r>
      <w:r w:rsidR="000D1995" w:rsidRPr="00C86111">
        <w:rPr>
          <w:rFonts w:asciiTheme="minorHAnsi" w:hAnsiTheme="minorHAnsi" w:cstheme="minorHAnsi"/>
          <w:sz w:val="24"/>
          <w:szCs w:val="24"/>
        </w:rPr>
        <w:t>emisije</w:t>
      </w:r>
      <w:r w:rsidRPr="00C86111">
        <w:rPr>
          <w:rFonts w:asciiTheme="minorHAnsi" w:hAnsiTheme="minorHAnsi" w:cstheme="minorHAnsi"/>
          <w:sz w:val="24"/>
          <w:szCs w:val="24"/>
        </w:rPr>
        <w:t xml:space="preserve"> edukativnih kampanja o sigurnom upravljanju dugoročnim organskim zagađivačima (POP) u Crnoj Gori“.</w:t>
      </w:r>
    </w:p>
    <w:p w14:paraId="38EF13E2"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sz w:val="24"/>
          <w:szCs w:val="24"/>
        </w:rPr>
        <w:t xml:space="preserve">Spisak finansiranih projekata možete pronaći na ovom linku </w:t>
      </w:r>
      <w:hyperlink r:id="rId82" w:history="1">
        <w:r w:rsidRPr="00C86111">
          <w:rPr>
            <w:rStyle w:val="Hyperlink0"/>
            <w:rFonts w:asciiTheme="minorHAnsi" w:eastAsia="Arial Unicode MS" w:hAnsiTheme="minorHAnsi" w:cstheme="minorHAnsi"/>
          </w:rPr>
          <w:t>https://wapi.gov.me/download/cf8c7988-155a-46a2-aa54-61b41b04ece8?version=1.0</w:t>
        </w:r>
      </w:hyperlink>
    </w:p>
    <w:p w14:paraId="46DA9C9E" w14:textId="77777777" w:rsidR="004F6023" w:rsidRPr="00C86111" w:rsidRDefault="004F6023" w:rsidP="00833A40">
      <w:pPr>
        <w:pStyle w:val="ListParagraph"/>
        <w:numPr>
          <w:ilvl w:val="0"/>
          <w:numId w:val="98"/>
        </w:numPr>
        <w:pBdr>
          <w:top w:val="nil"/>
          <w:left w:val="nil"/>
          <w:bottom w:val="nil"/>
          <w:right w:val="nil"/>
          <w:between w:val="nil"/>
          <w:bar w:val="nil"/>
        </w:pBdr>
        <w:spacing w:before="100" w:after="100"/>
        <w:contextualSpacing w:val="0"/>
        <w:jc w:val="both"/>
        <w:rPr>
          <w:rFonts w:asciiTheme="minorHAnsi" w:hAnsiTheme="minorHAnsi" w:cstheme="minorHAnsi"/>
          <w:szCs w:val="24"/>
        </w:rPr>
      </w:pPr>
      <w:r w:rsidRPr="00C86111">
        <w:rPr>
          <w:rFonts w:asciiTheme="minorHAnsi" w:hAnsiTheme="minorHAnsi" w:cstheme="minorHAnsi"/>
          <w:szCs w:val="24"/>
        </w:rPr>
        <w:t>Projekat „Adekvatne informacije o hemikalijama za gazirana pića u cilju edukacije javnosti“ NVO Djakomo Adriatic iz Bijelog Polja</w:t>
      </w:r>
    </w:p>
    <w:p w14:paraId="4BB7393B" w14:textId="77777777" w:rsidR="004F6023" w:rsidRPr="00C86111" w:rsidRDefault="004F6023" w:rsidP="00833A40">
      <w:pPr>
        <w:pStyle w:val="ListParagraph"/>
        <w:numPr>
          <w:ilvl w:val="0"/>
          <w:numId w:val="98"/>
        </w:numPr>
        <w:pBdr>
          <w:top w:val="nil"/>
          <w:left w:val="nil"/>
          <w:bottom w:val="nil"/>
          <w:right w:val="nil"/>
          <w:between w:val="nil"/>
          <w:bar w:val="nil"/>
        </w:pBdr>
        <w:spacing w:before="100" w:after="100"/>
        <w:contextualSpacing w:val="0"/>
        <w:jc w:val="both"/>
        <w:rPr>
          <w:rFonts w:asciiTheme="minorHAnsi" w:hAnsiTheme="minorHAnsi" w:cstheme="minorHAnsi"/>
          <w:szCs w:val="24"/>
        </w:rPr>
      </w:pPr>
      <w:r w:rsidRPr="00C86111">
        <w:rPr>
          <w:rFonts w:asciiTheme="minorHAnsi" w:hAnsiTheme="minorHAnsi" w:cstheme="minorHAnsi"/>
          <w:szCs w:val="24"/>
        </w:rPr>
        <w:t>Projekat „Upravljanje otpadom - mladi kao čuvari životne sredine“ – NVO Centar za kreativne vještine iz Berana</w:t>
      </w:r>
    </w:p>
    <w:p w14:paraId="4F1B727C" w14:textId="77777777" w:rsidR="004F6023" w:rsidRPr="00C86111" w:rsidRDefault="004F6023" w:rsidP="00833A40">
      <w:pPr>
        <w:pStyle w:val="ListParagraph"/>
        <w:numPr>
          <w:ilvl w:val="0"/>
          <w:numId w:val="98"/>
        </w:numPr>
        <w:pBdr>
          <w:top w:val="nil"/>
          <w:left w:val="nil"/>
          <w:bottom w:val="nil"/>
          <w:right w:val="nil"/>
          <w:between w:val="nil"/>
          <w:bar w:val="nil"/>
        </w:pBdr>
        <w:spacing w:before="100" w:after="100"/>
        <w:contextualSpacing w:val="0"/>
        <w:jc w:val="both"/>
        <w:rPr>
          <w:rFonts w:asciiTheme="minorHAnsi" w:hAnsiTheme="minorHAnsi" w:cstheme="minorHAnsi"/>
          <w:szCs w:val="24"/>
        </w:rPr>
      </w:pPr>
      <w:r w:rsidRPr="00C86111">
        <w:rPr>
          <w:rFonts w:asciiTheme="minorHAnsi" w:hAnsiTheme="minorHAnsi" w:cstheme="minorHAnsi"/>
          <w:szCs w:val="24"/>
        </w:rPr>
        <w:t>Projekat „S ekološkom oznakom do cilja - sačuvajmo okolinu i zdravlje“ – NVO Centar za ruralni razvoj Crne Gore</w:t>
      </w:r>
    </w:p>
    <w:p w14:paraId="6B03E805" w14:textId="77777777" w:rsidR="004F6023" w:rsidRPr="00C86111" w:rsidRDefault="004F6023" w:rsidP="00833A40">
      <w:pPr>
        <w:pStyle w:val="ListParagraph"/>
        <w:numPr>
          <w:ilvl w:val="0"/>
          <w:numId w:val="98"/>
        </w:numPr>
        <w:pBdr>
          <w:top w:val="nil"/>
          <w:left w:val="nil"/>
          <w:bottom w:val="nil"/>
          <w:right w:val="nil"/>
          <w:between w:val="nil"/>
          <w:bar w:val="nil"/>
        </w:pBdr>
        <w:spacing w:before="100" w:after="100"/>
        <w:contextualSpacing w:val="0"/>
        <w:jc w:val="both"/>
        <w:rPr>
          <w:rFonts w:asciiTheme="minorHAnsi" w:hAnsiTheme="minorHAnsi" w:cstheme="minorHAnsi"/>
          <w:szCs w:val="24"/>
        </w:rPr>
      </w:pPr>
      <w:r w:rsidRPr="00C86111">
        <w:rPr>
          <w:rFonts w:asciiTheme="minorHAnsi" w:hAnsiTheme="minorHAnsi" w:cstheme="minorHAnsi"/>
          <w:szCs w:val="24"/>
        </w:rPr>
        <w:lastRenderedPageBreak/>
        <w:t>Projekat „Upravljanje POPs-ima na ekološki prihvatljiv način“ NVO Društvo mladih ekologa</w:t>
      </w:r>
    </w:p>
    <w:p w14:paraId="0FE8F404" w14:textId="77777777" w:rsidR="004F6023" w:rsidRPr="00C86111" w:rsidRDefault="004F6023" w:rsidP="00833A40">
      <w:pPr>
        <w:pStyle w:val="ListParagraph"/>
        <w:numPr>
          <w:ilvl w:val="0"/>
          <w:numId w:val="98"/>
        </w:numPr>
        <w:pBdr>
          <w:top w:val="nil"/>
          <w:left w:val="nil"/>
          <w:bottom w:val="nil"/>
          <w:right w:val="nil"/>
          <w:between w:val="nil"/>
          <w:bar w:val="nil"/>
        </w:pBdr>
        <w:spacing w:before="100" w:after="100"/>
        <w:contextualSpacing w:val="0"/>
        <w:jc w:val="both"/>
        <w:rPr>
          <w:rFonts w:asciiTheme="minorHAnsi" w:hAnsiTheme="minorHAnsi" w:cstheme="minorHAnsi"/>
          <w:szCs w:val="24"/>
        </w:rPr>
      </w:pPr>
      <w:r w:rsidRPr="00C86111">
        <w:rPr>
          <w:rFonts w:asciiTheme="minorHAnsi" w:hAnsiTheme="minorHAnsi" w:cstheme="minorHAnsi"/>
          <w:szCs w:val="24"/>
        </w:rPr>
        <w:t>Projekat „Edukacija o POPs hemikalijama i upravljanju na održiv, efikasan i ekološki prihvatljiv način“ NVO Građanski aktivizam</w:t>
      </w:r>
    </w:p>
    <w:p w14:paraId="76E5FC04" w14:textId="77777777" w:rsidR="004F6023" w:rsidRPr="00C86111" w:rsidRDefault="004F6023" w:rsidP="00833A40">
      <w:pPr>
        <w:pStyle w:val="ListParagraph"/>
        <w:numPr>
          <w:ilvl w:val="0"/>
          <w:numId w:val="98"/>
        </w:numPr>
        <w:pBdr>
          <w:top w:val="nil"/>
          <w:left w:val="nil"/>
          <w:bottom w:val="nil"/>
          <w:right w:val="nil"/>
          <w:between w:val="nil"/>
          <w:bar w:val="nil"/>
        </w:pBdr>
        <w:spacing w:before="100" w:after="100"/>
        <w:contextualSpacing w:val="0"/>
        <w:jc w:val="both"/>
        <w:rPr>
          <w:rFonts w:asciiTheme="minorHAnsi" w:hAnsiTheme="minorHAnsi" w:cstheme="minorHAnsi"/>
          <w:szCs w:val="24"/>
        </w:rPr>
      </w:pPr>
      <w:r w:rsidRPr="00C86111">
        <w:rPr>
          <w:rFonts w:asciiTheme="minorHAnsi" w:hAnsiTheme="minorHAnsi" w:cstheme="minorHAnsi"/>
          <w:szCs w:val="24"/>
        </w:rPr>
        <w:t>Projekat „Edukativna kampanja o porijeklu POPS jedinjenja i njihovim negativnim uticajima na ljudsko zdravlje i životnu sredinu u Bijelom Polju“ NVO Ronilački klub – Team Shark Bijelo Polje</w:t>
      </w:r>
    </w:p>
    <w:p w14:paraId="700218FD"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r w:rsidRPr="00C86111">
        <w:rPr>
          <w:rFonts w:asciiTheme="minorHAnsi" w:hAnsiTheme="minorHAnsi" w:cstheme="minorHAnsi"/>
          <w:b/>
          <w:bCs/>
          <w:sz w:val="24"/>
          <w:szCs w:val="24"/>
        </w:rPr>
        <w:t xml:space="preserve">NVO Centar za kreativne vještine </w:t>
      </w:r>
      <w:r w:rsidRPr="00C86111">
        <w:rPr>
          <w:rFonts w:asciiTheme="minorHAnsi" w:hAnsiTheme="minorHAnsi" w:cstheme="minorHAnsi"/>
          <w:sz w:val="24"/>
          <w:szCs w:val="24"/>
        </w:rPr>
        <w:t xml:space="preserve">iz Berana održala je predavanje za mlade pod nazivom „Odlaganje otpada u prirodi“ koje se odnosilo na POPs hemikalije i njihovu štetnost po okolinu sa posebnim akcentom na ljude. Cilj predavanja bio je podizanje svijesti o štetnosti ovih hemikalija koje su rasprostranjene svuda oko nas i koje imaju veliki uticaj na zdravlje ljudi, a posebno djece. Učenici nisu bili upoznati sa POPs hemikalijama, kao ni sa činjenicom gdje se mogu naći i na koji način se mogu prenijeti i širiti. Link - </w:t>
      </w:r>
      <w:hyperlink r:id="rId83" w:history="1">
        <w:r w:rsidRPr="00C86111">
          <w:rPr>
            <w:rStyle w:val="Hyperlink0"/>
            <w:rFonts w:asciiTheme="minorHAnsi" w:eastAsia="Arial Unicode MS" w:hAnsiTheme="minorHAnsi" w:cstheme="minorHAnsi"/>
          </w:rPr>
          <w:t xml:space="preserve">https://www.cekrev.me/aktuelno/645-odlaganje-otpada-u-prirodu-pops-hemikalije </w:t>
        </w:r>
      </w:hyperlink>
      <w:r w:rsidRPr="00C86111">
        <w:rPr>
          <w:rFonts w:asciiTheme="minorHAnsi" w:hAnsiTheme="minorHAnsi" w:cstheme="minorHAnsi"/>
          <w:sz w:val="24"/>
          <w:szCs w:val="24"/>
        </w:rPr>
        <w:t xml:space="preserve">. Druge aktivnosti ove NVO uključuju fokus grupe sa poljoprivrednim proizvođačima u Beranama o upoznavanju sa POPs hemikalijama i njihovim uticajem na žive organizme, kao i njihovom svakodnevnom upotrebom u životu. Link - </w:t>
      </w:r>
      <w:hyperlink r:id="rId84" w:history="1">
        <w:r w:rsidRPr="00C86111">
          <w:rPr>
            <w:rStyle w:val="Hyperlink0"/>
            <w:rFonts w:asciiTheme="minorHAnsi" w:eastAsia="Arial Unicode MS" w:hAnsiTheme="minorHAnsi" w:cstheme="minorHAnsi"/>
          </w:rPr>
          <w:t>https://www.cekrev.me/en/aktuelno/628-slaba-informisanost-u-vezi-pops-hemikalija</w:t>
        </w:r>
      </w:hyperlink>
    </w:p>
    <w:p w14:paraId="1B85A5B6" w14:textId="77777777" w:rsidR="004F6023" w:rsidRPr="00C86111" w:rsidRDefault="004F6023" w:rsidP="004F6023">
      <w:pPr>
        <w:pStyle w:val="Text"/>
        <w:spacing w:before="100" w:after="100" w:line="240" w:lineRule="auto"/>
        <w:jc w:val="both"/>
        <w:rPr>
          <w:rFonts w:asciiTheme="minorHAnsi" w:hAnsiTheme="minorHAnsi" w:cstheme="minorHAnsi"/>
          <w:sz w:val="24"/>
          <w:szCs w:val="24"/>
        </w:rPr>
      </w:pPr>
      <w:r w:rsidRPr="00C86111">
        <w:rPr>
          <w:rFonts w:asciiTheme="minorHAnsi" w:hAnsiTheme="minorHAnsi" w:cstheme="minorHAnsi"/>
          <w:b/>
          <w:bCs/>
          <w:sz w:val="24"/>
          <w:szCs w:val="24"/>
        </w:rPr>
        <w:t xml:space="preserve">NVO Društvo mladih ekologa Nikšić </w:t>
      </w:r>
      <w:r w:rsidRPr="00C86111">
        <w:rPr>
          <w:rFonts w:asciiTheme="minorHAnsi" w:hAnsiTheme="minorHAnsi" w:cstheme="minorHAnsi"/>
          <w:sz w:val="24"/>
          <w:szCs w:val="24"/>
        </w:rPr>
        <w:t xml:space="preserve">održala je predavanje o POPs - dugotrajnim organskim zagađivačima za predstavnike lokalnih i državnih institucija i nevladinog sektora. Predavanju su prisustvovali predstavnici Agencije za zaštitu životne sredine, Sekretarijata za prostorno planiranje i zaštitu životne sredine Nikšić, Sekretarijata za komunalne poslove i saobraćaj Nikšić, NVO Medijski tim, NVO Pandurica i NVO Green Home. Predavanje je organizovano u dva modula. Tokom prvog dijela, publici se obratila dr Tamara Popović na temu "Pravilna upotreba pesticida u cilju zaštite biljaka, zdravlja ljudi i životne sredine". U drugom dijelu predavanja, čiji je fokus bio na POPs supstancama u sekciji hemikalija, Goran Tripković iz Službe zaštite i spašavanja opštine Nikšić govorio je na temu "Primjeri i problemi na terenu u radu vezanom za POPs supstance". Link - </w:t>
      </w:r>
      <w:hyperlink r:id="rId85" w:history="1">
        <w:r w:rsidRPr="00C86111">
          <w:rPr>
            <w:rStyle w:val="Hyperlink0"/>
            <w:rFonts w:asciiTheme="minorHAnsi" w:eastAsia="Arial Unicode MS" w:hAnsiTheme="minorHAnsi" w:cstheme="minorHAnsi"/>
          </w:rPr>
          <w:t>https://dmen.me/2022/03/08/pops-supstancama-upravljati-na-ekoloski-prihvatljiv-nacin/</w:t>
        </w:r>
      </w:hyperlink>
    </w:p>
    <w:p w14:paraId="7132FE12" w14:textId="77777777" w:rsidR="004F6023" w:rsidRPr="00C86111" w:rsidRDefault="004F6023" w:rsidP="004F6023">
      <w:pPr>
        <w:pStyle w:val="Text"/>
        <w:spacing w:before="100" w:after="100" w:line="240" w:lineRule="auto"/>
        <w:jc w:val="both"/>
        <w:rPr>
          <w:rFonts w:asciiTheme="minorHAnsi" w:eastAsia="Times New Roman" w:hAnsiTheme="minorHAnsi" w:cstheme="minorHAnsi"/>
          <w:sz w:val="24"/>
          <w:szCs w:val="24"/>
        </w:rPr>
      </w:pPr>
    </w:p>
    <w:p w14:paraId="2B9BE659" w14:textId="77777777" w:rsidR="00B908DB" w:rsidRPr="00C86111" w:rsidRDefault="00B908DB" w:rsidP="004F6023">
      <w:pPr>
        <w:pStyle w:val="Text"/>
        <w:spacing w:before="100" w:after="100" w:line="240" w:lineRule="auto"/>
        <w:jc w:val="both"/>
        <w:rPr>
          <w:rFonts w:asciiTheme="minorHAnsi" w:eastAsia="Times New Roman" w:hAnsiTheme="minorHAnsi" w:cstheme="minorHAnsi"/>
          <w:sz w:val="24"/>
          <w:szCs w:val="24"/>
        </w:rPr>
      </w:pPr>
    </w:p>
    <w:p w14:paraId="4C49F944" w14:textId="77777777" w:rsidR="004F6023" w:rsidRPr="00C86111" w:rsidRDefault="004F6023" w:rsidP="00EA6904">
      <w:pPr>
        <w:pStyle w:val="Heading3"/>
        <w:rPr>
          <w:lang w:eastAsia="en-GB"/>
        </w:rPr>
      </w:pPr>
      <w:bookmarkStart w:id="494" w:name="_Toc220542022"/>
      <w:r w:rsidRPr="00C86111">
        <w:rPr>
          <w:lang w:eastAsia="en-GB"/>
        </w:rPr>
        <w:t>Ključni izazovi i preporuke</w:t>
      </w:r>
      <w:bookmarkEnd w:id="494"/>
    </w:p>
    <w:p w14:paraId="4CEC81F0"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Uprkos ovim naporima, Crna Gora se i dalje suočava s nekoliko izazova u potpunoj institucionalizaciji podizanja svijesti i razmjene informacija o POPs-ovima:</w:t>
      </w:r>
    </w:p>
    <w:p w14:paraId="2841C508" w14:textId="77777777" w:rsidR="004F6023" w:rsidRPr="00C86111" w:rsidRDefault="004F6023" w:rsidP="00833A40">
      <w:pPr>
        <w:numPr>
          <w:ilvl w:val="0"/>
          <w:numId w:val="108"/>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b/>
          <w:bCs/>
          <w:szCs w:val="24"/>
          <w:lang w:val="en-GB" w:eastAsia="en-GB"/>
        </w:rPr>
        <w:t xml:space="preserve">Fragmentacija odgovornosti </w:t>
      </w:r>
      <w:r w:rsidRPr="00C86111">
        <w:rPr>
          <w:rFonts w:asciiTheme="minorHAnsi" w:eastAsia="Times New Roman" w:hAnsiTheme="minorHAnsi" w:cstheme="minorHAnsi"/>
          <w:szCs w:val="24"/>
          <w:lang w:val="en-GB" w:eastAsia="en-GB"/>
        </w:rPr>
        <w:t>među institucijama ograničava stratešku koordinaciju napora u informativnoj kampanji.</w:t>
      </w:r>
    </w:p>
    <w:p w14:paraId="7E308C82" w14:textId="77777777" w:rsidR="004F6023" w:rsidRPr="00C86111" w:rsidRDefault="004F6023" w:rsidP="00833A40">
      <w:pPr>
        <w:numPr>
          <w:ilvl w:val="0"/>
          <w:numId w:val="108"/>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b/>
          <w:bCs/>
          <w:szCs w:val="24"/>
          <w:lang w:val="en-GB" w:eastAsia="en-GB"/>
        </w:rPr>
        <w:t>Ograničena integracija tema</w:t>
      </w:r>
      <w:r w:rsidRPr="00C86111">
        <w:rPr>
          <w:rFonts w:asciiTheme="minorHAnsi" w:eastAsia="Times New Roman" w:hAnsiTheme="minorHAnsi" w:cstheme="minorHAnsi"/>
          <w:szCs w:val="24"/>
          <w:lang w:val="en-GB" w:eastAsia="en-GB"/>
        </w:rPr>
        <w:t xml:space="preserve"> o POPs-ovima u nastavne planove i programe</w:t>
      </w:r>
      <w:r w:rsidRPr="00C86111">
        <w:rPr>
          <w:rFonts w:asciiTheme="minorHAnsi" w:eastAsia="Times New Roman" w:hAnsiTheme="minorHAnsi" w:cstheme="minorHAnsi"/>
          <w:b/>
          <w:bCs/>
          <w:szCs w:val="24"/>
          <w:lang w:val="en-GB" w:eastAsia="en-GB"/>
        </w:rPr>
        <w:t xml:space="preserve"> </w:t>
      </w:r>
      <w:r w:rsidRPr="00C86111">
        <w:rPr>
          <w:rFonts w:asciiTheme="minorHAnsi" w:eastAsia="Times New Roman" w:hAnsiTheme="minorHAnsi" w:cstheme="minorHAnsi"/>
          <w:szCs w:val="24"/>
          <w:lang w:val="en-GB" w:eastAsia="en-GB"/>
        </w:rPr>
        <w:t>formalnog obrazovanja smanjuje dugoročnu svijest i pripremljenost.</w:t>
      </w:r>
    </w:p>
    <w:p w14:paraId="278B57CE" w14:textId="77777777" w:rsidR="004F6023" w:rsidRPr="00C86111" w:rsidRDefault="004F6023" w:rsidP="00833A40">
      <w:pPr>
        <w:numPr>
          <w:ilvl w:val="0"/>
          <w:numId w:val="108"/>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b/>
          <w:bCs/>
          <w:szCs w:val="24"/>
          <w:lang w:val="en-GB" w:eastAsia="en-GB"/>
        </w:rPr>
        <w:t xml:space="preserve">Nedovoljna upotreba digitalnih alata i multimedija </w:t>
      </w:r>
      <w:r w:rsidRPr="00C86111">
        <w:rPr>
          <w:rFonts w:asciiTheme="minorHAnsi" w:eastAsia="Times New Roman" w:hAnsiTheme="minorHAnsi" w:cstheme="minorHAnsi"/>
          <w:szCs w:val="24"/>
          <w:lang w:val="en-GB" w:eastAsia="en-GB"/>
        </w:rPr>
        <w:t>otežava dosezanje mladih i urbanog stanovništva.</w:t>
      </w:r>
    </w:p>
    <w:p w14:paraId="27B447FD" w14:textId="77777777" w:rsidR="004F6023" w:rsidRPr="00C86111" w:rsidRDefault="004F6023" w:rsidP="00833A40">
      <w:pPr>
        <w:numPr>
          <w:ilvl w:val="0"/>
          <w:numId w:val="108"/>
        </w:num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b/>
          <w:bCs/>
          <w:szCs w:val="24"/>
          <w:lang w:val="en-GB" w:eastAsia="en-GB"/>
        </w:rPr>
        <w:lastRenderedPageBreak/>
        <w:t xml:space="preserve">Nedostatak ciljanih poruka za profesionalne korisnike </w:t>
      </w:r>
      <w:r w:rsidRPr="00C86111">
        <w:rPr>
          <w:rFonts w:asciiTheme="minorHAnsi" w:eastAsia="Times New Roman" w:hAnsiTheme="minorHAnsi" w:cstheme="minorHAnsi"/>
          <w:szCs w:val="24"/>
          <w:lang w:val="en-GB" w:eastAsia="en-GB"/>
        </w:rPr>
        <w:t>(npr. one koji primjenjuju pesticide, industrijske operatere) slabi komunikaciju o riziku na izvoru.</w:t>
      </w:r>
    </w:p>
    <w:p w14:paraId="4A3A79B2" w14:textId="77777777" w:rsidR="004F6023" w:rsidRPr="00C86111" w:rsidRDefault="004F6023" w:rsidP="004F6023">
      <w:pPr>
        <w:spacing w:before="100" w:beforeAutospacing="1" w:after="100" w:afterAutospacing="1"/>
        <w:jc w:val="both"/>
        <w:rPr>
          <w:rFonts w:asciiTheme="minorHAnsi" w:eastAsia="Times New Roman" w:hAnsiTheme="minorHAnsi" w:cstheme="minorHAnsi"/>
          <w:szCs w:val="24"/>
          <w:lang w:val="en-GB" w:eastAsia="en-GB"/>
        </w:rPr>
      </w:pPr>
      <w:r w:rsidRPr="00C86111">
        <w:rPr>
          <w:rFonts w:asciiTheme="minorHAnsi" w:eastAsia="Times New Roman" w:hAnsiTheme="minorHAnsi" w:cstheme="minorHAnsi"/>
          <w:szCs w:val="24"/>
          <w:lang w:val="en-GB" w:eastAsia="en-GB"/>
        </w:rPr>
        <w:t>Kako bi se riješili ovi nedostaci, predstojeći Nacionalni implementacioni planovi (2025–2040) trebali bi uključivati namjensku komponentu podizanja svijesti s jasnim institucionalnim ulogama, mehanizmima finansiranja i pokazateljima uspjeha. Nacionalna komunikacijska strategija o POPs-ovima, podržana međusektorskom koordinacijom i usklađena s ciljevima zaštite životne sredine i zdravlja, biće ključna za unapređenje javnog razumijevanja i promjene ponašanja u vezi s POPs-ovima.</w:t>
      </w:r>
    </w:p>
    <w:p w14:paraId="405B71C3" w14:textId="7BFBECD4" w:rsidR="004F6023" w:rsidRPr="00C86111" w:rsidRDefault="004F6023" w:rsidP="00EA6904">
      <w:pPr>
        <w:pStyle w:val="Heading3"/>
        <w:rPr>
          <w:rFonts w:eastAsia="Times New Roman"/>
          <w:lang w:val="en-GB" w:eastAsia="en-GB"/>
        </w:rPr>
      </w:pPr>
      <w:bookmarkStart w:id="495" w:name="_Toc220542023"/>
      <w:r w:rsidRPr="00C86111">
        <w:t>Diskusija o nalazima</w:t>
      </w:r>
      <w:bookmarkEnd w:id="495"/>
    </w:p>
    <w:p w14:paraId="0F28265A" w14:textId="77777777" w:rsidR="004F6023" w:rsidRPr="00C86111" w:rsidRDefault="004F6023" w:rsidP="004F6023">
      <w:pPr>
        <w:pStyle w:val="NormalWeb"/>
        <w:jc w:val="both"/>
        <w:rPr>
          <w:rFonts w:asciiTheme="minorHAnsi" w:hAnsiTheme="minorHAnsi" w:cstheme="minorHAnsi"/>
        </w:rPr>
      </w:pPr>
      <w:r w:rsidRPr="00C86111">
        <w:rPr>
          <w:rFonts w:asciiTheme="minorHAnsi" w:hAnsiTheme="minorHAnsi" w:cstheme="minorHAnsi"/>
        </w:rPr>
        <w:t>Nalazi sprovedenih aktivnosti i doprinosi prikupljeni od zainteresovanih strana ukazuju na to da se Crna Gora i dalje suočava sa značajnim izazovima u efikasnom upravljanju dugotrajnim organskim zagađivačima (POPs). Iako je postignut napredak kroz zakonodavstvo usklađeno sa Stokholmskom konvencijom i kroz napore organizacija civilnog društva, ukupna efikasnost upravljanja POPs-ovima ostaje ograničena zbog sistemskih nedostataka.</w:t>
      </w:r>
    </w:p>
    <w:p w14:paraId="3C517793" w14:textId="77777777" w:rsidR="00215B11" w:rsidRPr="00C86111" w:rsidRDefault="00215B11" w:rsidP="00215B11">
      <w:pPr>
        <w:jc w:val="both"/>
        <w:rPr>
          <w:rFonts w:asciiTheme="minorHAnsi" w:hAnsiTheme="minorHAnsi" w:cstheme="minorHAnsi"/>
          <w:b/>
          <w:bCs/>
          <w:i/>
          <w:iCs/>
          <w:szCs w:val="24"/>
        </w:rPr>
      </w:pPr>
    </w:p>
    <w:p w14:paraId="6DC86A64" w14:textId="77777777" w:rsidR="00215B11" w:rsidRPr="00C86111" w:rsidRDefault="00215B11" w:rsidP="00215B11">
      <w:pPr>
        <w:jc w:val="both"/>
        <w:rPr>
          <w:rFonts w:asciiTheme="minorHAnsi" w:hAnsiTheme="minorHAnsi" w:cstheme="minorHAnsi"/>
          <w:b/>
          <w:bCs/>
          <w:i/>
          <w:iCs/>
          <w:szCs w:val="24"/>
        </w:rPr>
      </w:pPr>
    </w:p>
    <w:p w14:paraId="2599AF8A" w14:textId="77777777" w:rsidR="00B908DB" w:rsidRPr="00C86111" w:rsidRDefault="00B908DB" w:rsidP="00215B11">
      <w:pPr>
        <w:jc w:val="both"/>
        <w:rPr>
          <w:rFonts w:asciiTheme="minorHAnsi" w:hAnsiTheme="minorHAnsi" w:cstheme="minorHAnsi"/>
          <w:b/>
          <w:bCs/>
          <w:i/>
          <w:iCs/>
          <w:szCs w:val="24"/>
        </w:rPr>
      </w:pPr>
    </w:p>
    <w:p w14:paraId="78F4E5EB" w14:textId="77777777" w:rsidR="00B908DB" w:rsidRPr="00C86111" w:rsidRDefault="00B908DB" w:rsidP="00215B11">
      <w:pPr>
        <w:jc w:val="both"/>
        <w:rPr>
          <w:rFonts w:asciiTheme="minorHAnsi" w:hAnsiTheme="minorHAnsi" w:cstheme="minorHAnsi"/>
          <w:b/>
          <w:bCs/>
          <w:i/>
          <w:iCs/>
          <w:szCs w:val="24"/>
        </w:rPr>
      </w:pPr>
    </w:p>
    <w:p w14:paraId="4066AC66" w14:textId="77777777" w:rsidR="00B908DB" w:rsidRPr="00C86111" w:rsidRDefault="00B908DB" w:rsidP="00215B11">
      <w:pPr>
        <w:jc w:val="both"/>
        <w:rPr>
          <w:rFonts w:asciiTheme="minorHAnsi" w:hAnsiTheme="minorHAnsi" w:cstheme="minorHAnsi"/>
          <w:b/>
          <w:bCs/>
          <w:i/>
          <w:iCs/>
          <w:szCs w:val="24"/>
        </w:rPr>
      </w:pPr>
    </w:p>
    <w:p w14:paraId="52E72A8B" w14:textId="77777777" w:rsidR="00B908DB" w:rsidRPr="00C86111" w:rsidRDefault="00B908DB" w:rsidP="00215B11">
      <w:pPr>
        <w:jc w:val="both"/>
        <w:rPr>
          <w:rFonts w:asciiTheme="minorHAnsi" w:hAnsiTheme="minorHAnsi" w:cstheme="minorHAnsi"/>
          <w:b/>
          <w:bCs/>
          <w:i/>
          <w:iCs/>
          <w:szCs w:val="24"/>
        </w:rPr>
      </w:pPr>
    </w:p>
    <w:p w14:paraId="0FE22B71" w14:textId="77777777" w:rsidR="00B908DB" w:rsidRPr="00C86111" w:rsidRDefault="00B908DB" w:rsidP="00215B11">
      <w:pPr>
        <w:jc w:val="both"/>
        <w:rPr>
          <w:rFonts w:asciiTheme="minorHAnsi" w:hAnsiTheme="minorHAnsi" w:cstheme="minorHAnsi"/>
          <w:b/>
          <w:bCs/>
          <w:i/>
          <w:iCs/>
          <w:szCs w:val="24"/>
        </w:rPr>
      </w:pPr>
    </w:p>
    <w:p w14:paraId="6143D539" w14:textId="77777777" w:rsidR="00B908DB" w:rsidRPr="00C86111" w:rsidRDefault="00B908DB" w:rsidP="00215B11">
      <w:pPr>
        <w:jc w:val="both"/>
        <w:rPr>
          <w:rFonts w:asciiTheme="minorHAnsi" w:hAnsiTheme="minorHAnsi" w:cstheme="minorHAnsi"/>
          <w:b/>
          <w:bCs/>
          <w:i/>
          <w:iCs/>
          <w:szCs w:val="24"/>
        </w:rPr>
      </w:pPr>
    </w:p>
    <w:p w14:paraId="7F6CF90F" w14:textId="77777777" w:rsidR="00B908DB" w:rsidRPr="00C86111" w:rsidRDefault="00B908DB" w:rsidP="00215B11">
      <w:pPr>
        <w:jc w:val="both"/>
        <w:rPr>
          <w:rFonts w:asciiTheme="minorHAnsi" w:hAnsiTheme="minorHAnsi" w:cstheme="minorHAnsi"/>
          <w:b/>
          <w:bCs/>
          <w:i/>
          <w:iCs/>
          <w:szCs w:val="24"/>
        </w:rPr>
      </w:pPr>
    </w:p>
    <w:p w14:paraId="78ADE784" w14:textId="77777777" w:rsidR="00B908DB" w:rsidRPr="00C86111" w:rsidRDefault="00B908DB" w:rsidP="00215B11">
      <w:pPr>
        <w:jc w:val="both"/>
        <w:rPr>
          <w:rFonts w:asciiTheme="minorHAnsi" w:hAnsiTheme="minorHAnsi" w:cstheme="minorHAnsi"/>
          <w:b/>
          <w:bCs/>
          <w:i/>
          <w:iCs/>
          <w:szCs w:val="24"/>
        </w:rPr>
      </w:pPr>
    </w:p>
    <w:p w14:paraId="4DEF57AA" w14:textId="77777777" w:rsidR="00B908DB" w:rsidRPr="00C86111" w:rsidRDefault="00B908DB" w:rsidP="00215B11">
      <w:pPr>
        <w:jc w:val="both"/>
        <w:rPr>
          <w:rFonts w:asciiTheme="minorHAnsi" w:hAnsiTheme="minorHAnsi" w:cstheme="minorHAnsi"/>
          <w:b/>
          <w:bCs/>
          <w:i/>
          <w:iCs/>
          <w:szCs w:val="24"/>
        </w:rPr>
      </w:pPr>
    </w:p>
    <w:p w14:paraId="7540587C" w14:textId="77777777" w:rsidR="00B908DB" w:rsidRPr="00C86111" w:rsidRDefault="00B908DB" w:rsidP="00215B11">
      <w:pPr>
        <w:jc w:val="both"/>
        <w:rPr>
          <w:rFonts w:asciiTheme="minorHAnsi" w:hAnsiTheme="minorHAnsi" w:cstheme="minorHAnsi"/>
          <w:b/>
          <w:bCs/>
          <w:i/>
          <w:iCs/>
          <w:szCs w:val="24"/>
        </w:rPr>
      </w:pPr>
    </w:p>
    <w:p w14:paraId="593FE55D" w14:textId="77777777" w:rsidR="00215B11" w:rsidRPr="00C86111" w:rsidRDefault="00215B11" w:rsidP="00215B11">
      <w:pPr>
        <w:jc w:val="both"/>
        <w:rPr>
          <w:rFonts w:asciiTheme="minorHAnsi" w:hAnsiTheme="minorHAnsi" w:cstheme="minorHAnsi"/>
          <w:b/>
          <w:bCs/>
          <w:i/>
          <w:iCs/>
          <w:szCs w:val="24"/>
        </w:rPr>
      </w:pPr>
    </w:p>
    <w:p w14:paraId="090E30FF" w14:textId="77777777" w:rsidR="00215B11" w:rsidRPr="00C86111" w:rsidRDefault="00215B11" w:rsidP="00215B11">
      <w:pPr>
        <w:jc w:val="both"/>
        <w:rPr>
          <w:rFonts w:asciiTheme="minorHAnsi" w:hAnsiTheme="minorHAnsi" w:cstheme="minorHAnsi"/>
          <w:b/>
          <w:bCs/>
          <w:i/>
          <w:iCs/>
          <w:szCs w:val="24"/>
        </w:rPr>
      </w:pPr>
    </w:p>
    <w:p w14:paraId="72E83BCA" w14:textId="77777777" w:rsidR="00215B11" w:rsidRPr="00C86111" w:rsidRDefault="00215B11" w:rsidP="00215B11">
      <w:pPr>
        <w:jc w:val="both"/>
        <w:rPr>
          <w:rFonts w:asciiTheme="minorHAnsi" w:hAnsiTheme="minorHAnsi" w:cstheme="minorHAnsi"/>
          <w:b/>
          <w:bCs/>
          <w:i/>
          <w:iCs/>
          <w:szCs w:val="24"/>
        </w:rPr>
      </w:pPr>
    </w:p>
    <w:p w14:paraId="187E1126" w14:textId="7F6833C9" w:rsidR="00215B11" w:rsidRPr="00C86111" w:rsidRDefault="00B908DB" w:rsidP="00912C4C">
      <w:pPr>
        <w:pStyle w:val="Heading1"/>
      </w:pPr>
      <w:bookmarkStart w:id="496" w:name="_Toc220542024"/>
      <w:r w:rsidRPr="00C86111">
        <w:t>PROCES PRIORITIZACIJE U CRNOJ GORI</w:t>
      </w:r>
      <w:bookmarkEnd w:id="496"/>
    </w:p>
    <w:p w14:paraId="42CA604C" w14:textId="5C2D7469" w:rsidR="00B908DB" w:rsidRPr="00C86111" w:rsidRDefault="00B908DB" w:rsidP="00EA6904">
      <w:pPr>
        <w:pStyle w:val="Heading3"/>
      </w:pPr>
      <w:bookmarkStart w:id="497" w:name="_Toc220542025"/>
      <w:r w:rsidRPr="00C86111">
        <w:t>Uvod</w:t>
      </w:r>
      <w:bookmarkEnd w:id="497"/>
    </w:p>
    <w:p w14:paraId="3764991A"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Proces prioritizacije u okviru Nacionalnog implementacionog plana (NIP) za Stokholmsku konvenciju u Crnoj Gori zasniva se na integrisanom pristupu koji povezuje rezultate inventara POPs supstanci, identifikovane izazove i praznine u upravljanju, te zahtjeve međunarodnih obaveza i nacionalnog konteksta.</w:t>
      </w:r>
    </w:p>
    <w:p w14:paraId="29523A10"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Cilj ovog procesa bio je da se na transparentan i dosljedan način utvrde ključne oblasti djelovanja koje imaju najveći potencijal da smanje rizike po zdravlje ljudi i životnu sredinu, uz istovremeno jačanje institucionalnih i tehničkih kapaciteta države.</w:t>
      </w:r>
    </w:p>
    <w:p w14:paraId="528A3374" w14:textId="77777777" w:rsidR="00215B11" w:rsidRPr="00C86111" w:rsidRDefault="00215B11" w:rsidP="00215B11">
      <w:pPr>
        <w:jc w:val="both"/>
        <w:rPr>
          <w:rFonts w:asciiTheme="minorHAnsi" w:hAnsiTheme="minorHAnsi" w:cstheme="minorHAnsi"/>
          <w:b/>
          <w:bCs/>
          <w:color w:val="2F5496" w:themeColor="accent1" w:themeShade="BF"/>
          <w:szCs w:val="24"/>
        </w:rPr>
      </w:pPr>
      <w:r w:rsidRPr="00C86111">
        <w:rPr>
          <w:rFonts w:asciiTheme="minorHAnsi" w:hAnsiTheme="minorHAnsi" w:cstheme="minorHAnsi"/>
          <w:b/>
          <w:bCs/>
          <w:szCs w:val="24"/>
        </w:rPr>
        <w:lastRenderedPageBreak/>
        <w:t>I Faza-Polazna osnova: Inventari POPs</w:t>
      </w:r>
    </w:p>
    <w:p w14:paraId="1AE4D976"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Kao prva faza, izvršen je pregled i ažuriranje nacionalnih inventara za:</w:t>
      </w:r>
    </w:p>
    <w:p w14:paraId="5877420E" w14:textId="77777777" w:rsidR="00215B11" w:rsidRPr="00C86111" w:rsidRDefault="00215B11" w:rsidP="00004F34">
      <w:pPr>
        <w:numPr>
          <w:ilvl w:val="0"/>
          <w:numId w:val="215"/>
        </w:numPr>
        <w:jc w:val="both"/>
        <w:rPr>
          <w:rFonts w:asciiTheme="minorHAnsi" w:hAnsiTheme="minorHAnsi" w:cstheme="minorHAnsi"/>
          <w:color w:val="auto"/>
          <w:szCs w:val="24"/>
        </w:rPr>
      </w:pPr>
      <w:r w:rsidRPr="00C86111">
        <w:rPr>
          <w:rFonts w:asciiTheme="minorHAnsi" w:hAnsiTheme="minorHAnsi" w:cstheme="minorHAnsi"/>
          <w:color w:val="auto"/>
          <w:szCs w:val="24"/>
        </w:rPr>
        <w:t>početnih 12 POPs iz Konvencije (POP pesticidi, PCB i nenamjerno proizvedeni POPs),</w:t>
      </w:r>
    </w:p>
    <w:p w14:paraId="722E0A25" w14:textId="77777777" w:rsidR="00215B11" w:rsidRPr="00C86111" w:rsidRDefault="00215B11" w:rsidP="00004F34">
      <w:pPr>
        <w:numPr>
          <w:ilvl w:val="0"/>
          <w:numId w:val="215"/>
        </w:numPr>
        <w:jc w:val="both"/>
        <w:rPr>
          <w:rFonts w:asciiTheme="minorHAnsi" w:hAnsiTheme="minorHAnsi" w:cstheme="minorHAnsi"/>
          <w:color w:val="auto"/>
          <w:szCs w:val="24"/>
        </w:rPr>
      </w:pPr>
      <w:r w:rsidRPr="00C86111">
        <w:rPr>
          <w:rFonts w:asciiTheme="minorHAnsi" w:hAnsiTheme="minorHAnsi" w:cstheme="minorHAnsi"/>
          <w:color w:val="auto"/>
          <w:szCs w:val="24"/>
        </w:rPr>
        <w:t>POPs supstance uvrštene u periodu 2009–2013,</w:t>
      </w:r>
    </w:p>
    <w:p w14:paraId="6B481F55" w14:textId="77777777" w:rsidR="00215B11" w:rsidRPr="00C86111" w:rsidRDefault="00215B11" w:rsidP="00004F34">
      <w:pPr>
        <w:numPr>
          <w:ilvl w:val="0"/>
          <w:numId w:val="215"/>
        </w:numPr>
        <w:jc w:val="both"/>
        <w:rPr>
          <w:rFonts w:asciiTheme="minorHAnsi" w:hAnsiTheme="minorHAnsi" w:cstheme="minorHAnsi"/>
          <w:color w:val="auto"/>
          <w:szCs w:val="24"/>
        </w:rPr>
      </w:pPr>
      <w:r w:rsidRPr="00C86111">
        <w:rPr>
          <w:rFonts w:asciiTheme="minorHAnsi" w:hAnsiTheme="minorHAnsi" w:cstheme="minorHAnsi"/>
          <w:color w:val="auto"/>
          <w:szCs w:val="24"/>
        </w:rPr>
        <w:t>nove POPs supstance identifikovane u periodu 2015–2019,</w:t>
      </w:r>
    </w:p>
    <w:p w14:paraId="48E6DD50" w14:textId="77777777" w:rsidR="00215B11" w:rsidRPr="00C86111" w:rsidRDefault="00215B11" w:rsidP="00004F34">
      <w:pPr>
        <w:numPr>
          <w:ilvl w:val="0"/>
          <w:numId w:val="215"/>
        </w:numPr>
        <w:jc w:val="both"/>
        <w:rPr>
          <w:rFonts w:asciiTheme="minorHAnsi" w:hAnsiTheme="minorHAnsi" w:cstheme="minorHAnsi"/>
          <w:color w:val="auto"/>
          <w:szCs w:val="24"/>
        </w:rPr>
      </w:pPr>
      <w:r w:rsidRPr="00C86111">
        <w:rPr>
          <w:rFonts w:asciiTheme="minorHAnsi" w:hAnsiTheme="minorHAnsi" w:cstheme="minorHAnsi"/>
          <w:color w:val="auto"/>
          <w:szCs w:val="24"/>
        </w:rPr>
        <w:t>nove POPs supstance uvrštene nakon 2020. godine.</w:t>
      </w:r>
    </w:p>
    <w:p w14:paraId="5BC53362"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Ovi inventari su dali kvantitativni i kvalitativni uvid u:</w:t>
      </w:r>
    </w:p>
    <w:p w14:paraId="375110F7" w14:textId="77777777" w:rsidR="00215B11" w:rsidRPr="00C86111" w:rsidRDefault="00215B11" w:rsidP="00004F34">
      <w:pPr>
        <w:numPr>
          <w:ilvl w:val="0"/>
          <w:numId w:val="216"/>
        </w:numPr>
        <w:jc w:val="both"/>
        <w:rPr>
          <w:rFonts w:asciiTheme="minorHAnsi" w:hAnsiTheme="minorHAnsi" w:cstheme="minorHAnsi"/>
          <w:color w:val="auto"/>
          <w:szCs w:val="24"/>
        </w:rPr>
      </w:pPr>
      <w:r w:rsidRPr="00C86111">
        <w:rPr>
          <w:rFonts w:asciiTheme="minorHAnsi" w:hAnsiTheme="minorHAnsi" w:cstheme="minorHAnsi"/>
          <w:color w:val="auto"/>
          <w:szCs w:val="24"/>
        </w:rPr>
        <w:t>postojeće zalihe i tokove otpada,</w:t>
      </w:r>
    </w:p>
    <w:p w14:paraId="3C04AFD1" w14:textId="77777777" w:rsidR="00215B11" w:rsidRPr="00C86111" w:rsidRDefault="00215B11" w:rsidP="00004F34">
      <w:pPr>
        <w:numPr>
          <w:ilvl w:val="0"/>
          <w:numId w:val="216"/>
        </w:numPr>
        <w:jc w:val="both"/>
        <w:rPr>
          <w:rFonts w:asciiTheme="minorHAnsi" w:hAnsiTheme="minorHAnsi" w:cstheme="minorHAnsi"/>
          <w:color w:val="auto"/>
          <w:szCs w:val="24"/>
        </w:rPr>
      </w:pPr>
      <w:r w:rsidRPr="00C86111">
        <w:rPr>
          <w:rFonts w:asciiTheme="minorHAnsi" w:hAnsiTheme="minorHAnsi" w:cstheme="minorHAnsi"/>
          <w:color w:val="auto"/>
          <w:szCs w:val="24"/>
        </w:rPr>
        <w:t>sektore upotrebe,</w:t>
      </w:r>
    </w:p>
    <w:p w14:paraId="1AD9C7D5" w14:textId="77777777" w:rsidR="00215B11" w:rsidRPr="00C86111" w:rsidRDefault="00215B11" w:rsidP="00004F34">
      <w:pPr>
        <w:numPr>
          <w:ilvl w:val="0"/>
          <w:numId w:val="216"/>
        </w:numPr>
        <w:jc w:val="both"/>
        <w:rPr>
          <w:rFonts w:asciiTheme="minorHAnsi" w:hAnsiTheme="minorHAnsi" w:cstheme="minorHAnsi"/>
          <w:color w:val="auto"/>
          <w:szCs w:val="24"/>
        </w:rPr>
      </w:pPr>
      <w:r w:rsidRPr="00C86111">
        <w:rPr>
          <w:rFonts w:asciiTheme="minorHAnsi" w:hAnsiTheme="minorHAnsi" w:cstheme="minorHAnsi"/>
          <w:color w:val="auto"/>
          <w:szCs w:val="24"/>
        </w:rPr>
        <w:t>potencijalne emisije,</w:t>
      </w:r>
    </w:p>
    <w:p w14:paraId="2FD4073A" w14:textId="77777777" w:rsidR="00215B11" w:rsidRPr="00C86111" w:rsidRDefault="00215B11" w:rsidP="00004F34">
      <w:pPr>
        <w:numPr>
          <w:ilvl w:val="0"/>
          <w:numId w:val="216"/>
        </w:numPr>
        <w:jc w:val="both"/>
        <w:rPr>
          <w:rFonts w:asciiTheme="minorHAnsi" w:hAnsiTheme="minorHAnsi" w:cstheme="minorHAnsi"/>
          <w:color w:val="auto"/>
          <w:szCs w:val="24"/>
        </w:rPr>
      </w:pPr>
      <w:r w:rsidRPr="00C86111">
        <w:rPr>
          <w:rFonts w:asciiTheme="minorHAnsi" w:hAnsiTheme="minorHAnsi" w:cstheme="minorHAnsi"/>
          <w:color w:val="auto"/>
          <w:szCs w:val="24"/>
        </w:rPr>
        <w:t>i rizične tačke u životnom ciklusu hemikalija.</w:t>
      </w:r>
    </w:p>
    <w:p w14:paraId="74261588"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Na ovaj način obezbijeđena je jedinstvena baza podataka za sve grupe POPs (pesticidi, industrijske hemikalije i nenamjerni POPs).</w:t>
      </w:r>
    </w:p>
    <w:p w14:paraId="7414FDF6" w14:textId="77777777" w:rsidR="00215B11" w:rsidRPr="00C86111" w:rsidRDefault="00215B11" w:rsidP="00215B11">
      <w:pPr>
        <w:jc w:val="both"/>
        <w:rPr>
          <w:rFonts w:asciiTheme="minorHAnsi" w:hAnsiTheme="minorHAnsi" w:cstheme="minorHAnsi"/>
          <w:b/>
          <w:bCs/>
          <w:color w:val="2F5496" w:themeColor="accent1" w:themeShade="BF"/>
          <w:szCs w:val="24"/>
        </w:rPr>
      </w:pPr>
      <w:r w:rsidRPr="00C86111">
        <w:rPr>
          <w:rFonts w:asciiTheme="minorHAnsi" w:hAnsiTheme="minorHAnsi" w:cstheme="minorHAnsi"/>
          <w:b/>
          <w:bCs/>
          <w:szCs w:val="24"/>
        </w:rPr>
        <w:t>II Faza- Identifikacija izazova i praznina</w:t>
      </w:r>
    </w:p>
    <w:p w14:paraId="645FB46F"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U drugoj fazi, za svaku ključnu grupu POPs identifikovani su specifični izazovi i praznine, uključujući:</w:t>
      </w:r>
    </w:p>
    <w:p w14:paraId="469A0015" w14:textId="77777777" w:rsidR="00215B11" w:rsidRPr="00C86111" w:rsidRDefault="00215B11" w:rsidP="00004F34">
      <w:pPr>
        <w:numPr>
          <w:ilvl w:val="0"/>
          <w:numId w:val="217"/>
        </w:numPr>
        <w:jc w:val="both"/>
        <w:rPr>
          <w:rFonts w:asciiTheme="minorHAnsi" w:hAnsiTheme="minorHAnsi" w:cstheme="minorHAnsi"/>
          <w:color w:val="auto"/>
          <w:szCs w:val="24"/>
        </w:rPr>
      </w:pPr>
      <w:r w:rsidRPr="00C86111">
        <w:rPr>
          <w:rFonts w:asciiTheme="minorHAnsi" w:hAnsiTheme="minorHAnsi" w:cstheme="minorHAnsi"/>
          <w:color w:val="auto"/>
          <w:szCs w:val="24"/>
        </w:rPr>
        <w:t>zaostalu kontaminaciju iz istorijske upotrebe (npr. DDT, PCB),</w:t>
      </w:r>
    </w:p>
    <w:p w14:paraId="1D0205D7" w14:textId="77777777" w:rsidR="00215B11" w:rsidRPr="00C86111" w:rsidRDefault="00215B11" w:rsidP="00004F34">
      <w:pPr>
        <w:numPr>
          <w:ilvl w:val="0"/>
          <w:numId w:val="217"/>
        </w:numPr>
        <w:jc w:val="both"/>
        <w:rPr>
          <w:rFonts w:asciiTheme="minorHAnsi" w:hAnsiTheme="minorHAnsi" w:cstheme="minorHAnsi"/>
          <w:color w:val="auto"/>
          <w:szCs w:val="24"/>
        </w:rPr>
      </w:pPr>
      <w:r w:rsidRPr="00C86111">
        <w:rPr>
          <w:rFonts w:asciiTheme="minorHAnsi" w:hAnsiTheme="minorHAnsi" w:cstheme="minorHAnsi"/>
          <w:color w:val="auto"/>
          <w:szCs w:val="24"/>
        </w:rPr>
        <w:t>prisustvo POPs u proizvodima i otpadu (PBDE, HBCD, SCCP, PFAS),</w:t>
      </w:r>
    </w:p>
    <w:p w14:paraId="71A6C545" w14:textId="77777777" w:rsidR="00215B11" w:rsidRPr="00C86111" w:rsidRDefault="00215B11" w:rsidP="00004F34">
      <w:pPr>
        <w:numPr>
          <w:ilvl w:val="0"/>
          <w:numId w:val="217"/>
        </w:numPr>
        <w:jc w:val="both"/>
        <w:rPr>
          <w:rFonts w:asciiTheme="minorHAnsi" w:hAnsiTheme="minorHAnsi" w:cstheme="minorHAnsi"/>
          <w:color w:val="auto"/>
          <w:szCs w:val="24"/>
        </w:rPr>
      </w:pPr>
      <w:r w:rsidRPr="00C86111">
        <w:rPr>
          <w:rFonts w:asciiTheme="minorHAnsi" w:hAnsiTheme="minorHAnsi" w:cstheme="minorHAnsi"/>
          <w:color w:val="auto"/>
          <w:szCs w:val="24"/>
        </w:rPr>
        <w:t>nedostatke u sistemima upravljanja otpadom,</w:t>
      </w:r>
    </w:p>
    <w:p w14:paraId="25EAE2CD" w14:textId="77777777" w:rsidR="00215B11" w:rsidRPr="00C86111" w:rsidRDefault="00215B11" w:rsidP="00004F34">
      <w:pPr>
        <w:numPr>
          <w:ilvl w:val="0"/>
          <w:numId w:val="217"/>
        </w:numPr>
        <w:jc w:val="both"/>
        <w:rPr>
          <w:rFonts w:asciiTheme="minorHAnsi" w:hAnsiTheme="minorHAnsi" w:cstheme="minorHAnsi"/>
          <w:color w:val="auto"/>
          <w:szCs w:val="24"/>
        </w:rPr>
      </w:pPr>
      <w:r w:rsidRPr="00C86111">
        <w:rPr>
          <w:rFonts w:asciiTheme="minorHAnsi" w:hAnsiTheme="minorHAnsi" w:cstheme="minorHAnsi"/>
          <w:color w:val="auto"/>
          <w:szCs w:val="24"/>
        </w:rPr>
        <w:t>ograničen monitoring životne sredine, hrane i biomarkera,</w:t>
      </w:r>
    </w:p>
    <w:p w14:paraId="3F0B9A54" w14:textId="77777777" w:rsidR="00215B11" w:rsidRPr="00C86111" w:rsidRDefault="00215B11" w:rsidP="00004F34">
      <w:pPr>
        <w:numPr>
          <w:ilvl w:val="0"/>
          <w:numId w:val="217"/>
        </w:numPr>
        <w:jc w:val="both"/>
        <w:rPr>
          <w:rFonts w:asciiTheme="minorHAnsi" w:hAnsiTheme="minorHAnsi" w:cstheme="minorHAnsi"/>
          <w:color w:val="auto"/>
          <w:szCs w:val="24"/>
        </w:rPr>
      </w:pPr>
      <w:r w:rsidRPr="00C86111">
        <w:rPr>
          <w:rFonts w:asciiTheme="minorHAnsi" w:hAnsiTheme="minorHAnsi" w:cstheme="minorHAnsi"/>
          <w:color w:val="auto"/>
          <w:szCs w:val="24"/>
        </w:rPr>
        <w:t>institucionalne i regulatorne praznine,</w:t>
      </w:r>
    </w:p>
    <w:p w14:paraId="3B2C69C6" w14:textId="77777777" w:rsidR="00215B11" w:rsidRPr="00C86111" w:rsidRDefault="00215B11" w:rsidP="00004F34">
      <w:pPr>
        <w:numPr>
          <w:ilvl w:val="0"/>
          <w:numId w:val="217"/>
        </w:numPr>
        <w:jc w:val="both"/>
        <w:rPr>
          <w:rFonts w:asciiTheme="minorHAnsi" w:hAnsiTheme="minorHAnsi" w:cstheme="minorHAnsi"/>
          <w:color w:val="auto"/>
          <w:szCs w:val="24"/>
        </w:rPr>
      </w:pPr>
      <w:r w:rsidRPr="00C86111">
        <w:rPr>
          <w:rFonts w:asciiTheme="minorHAnsi" w:hAnsiTheme="minorHAnsi" w:cstheme="minorHAnsi"/>
          <w:color w:val="auto"/>
          <w:szCs w:val="24"/>
        </w:rPr>
        <w:t>nisku svijest javnosti i industrije.</w:t>
      </w:r>
    </w:p>
    <w:p w14:paraId="31E2A1EE" w14:textId="77777777" w:rsidR="00215B11" w:rsidRPr="00C86111" w:rsidRDefault="00215B11" w:rsidP="00215B11">
      <w:pPr>
        <w:jc w:val="both"/>
        <w:rPr>
          <w:rFonts w:asciiTheme="minorHAnsi" w:hAnsiTheme="minorHAnsi" w:cstheme="minorHAnsi"/>
          <w:color w:val="2F5496" w:themeColor="accent1" w:themeShade="BF"/>
          <w:szCs w:val="24"/>
        </w:rPr>
      </w:pPr>
      <w:r w:rsidRPr="00C86111">
        <w:rPr>
          <w:rFonts w:asciiTheme="minorHAnsi" w:hAnsiTheme="minorHAnsi" w:cstheme="minorHAnsi"/>
          <w:color w:val="auto"/>
          <w:szCs w:val="24"/>
        </w:rPr>
        <w:t>Ovi nalazi su pokazali da se POPs problematika u Crnoj Gori ne odnosi samo na pojedinačne supstance, već na sistemske slabosti u kontroli proizvoda, otpada, monitoringa i informisanosti</w:t>
      </w:r>
      <w:r w:rsidRPr="00C86111">
        <w:rPr>
          <w:rFonts w:asciiTheme="minorHAnsi" w:hAnsiTheme="minorHAnsi" w:cstheme="minorHAnsi"/>
          <w:szCs w:val="24"/>
        </w:rPr>
        <w:t>.</w:t>
      </w:r>
    </w:p>
    <w:p w14:paraId="5E6AE87F" w14:textId="77777777" w:rsidR="00215B11" w:rsidRPr="00C86111" w:rsidRDefault="00215B11" w:rsidP="00215B11">
      <w:pPr>
        <w:jc w:val="both"/>
        <w:rPr>
          <w:rFonts w:asciiTheme="minorHAnsi" w:hAnsiTheme="minorHAnsi" w:cstheme="minorHAnsi"/>
          <w:szCs w:val="24"/>
        </w:rPr>
      </w:pPr>
    </w:p>
    <w:p w14:paraId="46664374" w14:textId="77777777" w:rsidR="00215B11" w:rsidRPr="00C86111" w:rsidRDefault="00215B11" w:rsidP="00215B11">
      <w:pPr>
        <w:jc w:val="both"/>
        <w:rPr>
          <w:rFonts w:asciiTheme="minorHAnsi" w:hAnsiTheme="minorHAnsi" w:cstheme="minorHAnsi"/>
          <w:b/>
          <w:bCs/>
          <w:szCs w:val="24"/>
        </w:rPr>
      </w:pPr>
      <w:r w:rsidRPr="00C86111">
        <w:rPr>
          <w:rFonts w:asciiTheme="minorHAnsi" w:hAnsiTheme="minorHAnsi" w:cstheme="minorHAnsi"/>
          <w:b/>
          <w:bCs/>
          <w:szCs w:val="24"/>
        </w:rPr>
        <w:t>III Faza- Identifikacija zajedničkih obrazaca rizika</w:t>
      </w:r>
    </w:p>
    <w:p w14:paraId="5C368185" w14:textId="77777777" w:rsidR="00215B11" w:rsidRPr="00C86111" w:rsidRDefault="00215B11" w:rsidP="00215B11">
      <w:pPr>
        <w:jc w:val="both"/>
        <w:rPr>
          <w:rFonts w:asciiTheme="minorHAnsi" w:hAnsiTheme="minorHAnsi" w:cstheme="minorHAnsi"/>
          <w:b/>
          <w:bCs/>
          <w:szCs w:val="24"/>
        </w:rPr>
      </w:pPr>
    </w:p>
    <w:p w14:paraId="3213B6FD"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Umjesto da se svaka POP supstanca tretira izolovano, izvršena je analiza zajedničkih obrazaca kroz sve inventare i sektore. Utvrđeno je da se većina rizika grupiše oko nekoliko ključnih tačaka:</w:t>
      </w:r>
    </w:p>
    <w:p w14:paraId="395FE26D" w14:textId="77777777" w:rsidR="00215B11" w:rsidRPr="00C86111" w:rsidRDefault="00215B11" w:rsidP="00004F34">
      <w:pPr>
        <w:numPr>
          <w:ilvl w:val="0"/>
          <w:numId w:val="218"/>
        </w:numPr>
        <w:jc w:val="both"/>
        <w:rPr>
          <w:rFonts w:asciiTheme="minorHAnsi" w:hAnsiTheme="minorHAnsi" w:cstheme="minorHAnsi"/>
          <w:color w:val="auto"/>
          <w:szCs w:val="24"/>
        </w:rPr>
      </w:pPr>
      <w:r w:rsidRPr="00C86111">
        <w:rPr>
          <w:rFonts w:asciiTheme="minorHAnsi" w:hAnsiTheme="minorHAnsi" w:cstheme="minorHAnsi"/>
          <w:color w:val="auto"/>
          <w:szCs w:val="24"/>
        </w:rPr>
        <w:t>ulazak POPs u sistem putem uvezenih proizvoda,</w:t>
      </w:r>
    </w:p>
    <w:p w14:paraId="2E7E3342" w14:textId="77777777" w:rsidR="00215B11" w:rsidRPr="00C86111" w:rsidRDefault="00215B11" w:rsidP="00004F34">
      <w:pPr>
        <w:numPr>
          <w:ilvl w:val="0"/>
          <w:numId w:val="218"/>
        </w:numPr>
        <w:jc w:val="both"/>
        <w:rPr>
          <w:rFonts w:asciiTheme="minorHAnsi" w:hAnsiTheme="minorHAnsi" w:cstheme="minorHAnsi"/>
          <w:color w:val="auto"/>
          <w:szCs w:val="24"/>
        </w:rPr>
      </w:pPr>
      <w:r w:rsidRPr="00C86111">
        <w:rPr>
          <w:rFonts w:asciiTheme="minorHAnsi" w:hAnsiTheme="minorHAnsi" w:cstheme="minorHAnsi"/>
          <w:color w:val="auto"/>
          <w:szCs w:val="24"/>
        </w:rPr>
        <w:t>akumulacija u otpadu (EEE otpad, građevinski otpad, pjene, ambalaža),</w:t>
      </w:r>
    </w:p>
    <w:p w14:paraId="3A8145A4" w14:textId="77777777" w:rsidR="00215B11" w:rsidRPr="00C86111" w:rsidRDefault="00215B11" w:rsidP="00004F34">
      <w:pPr>
        <w:numPr>
          <w:ilvl w:val="0"/>
          <w:numId w:val="218"/>
        </w:numPr>
        <w:jc w:val="both"/>
        <w:rPr>
          <w:rFonts w:asciiTheme="minorHAnsi" w:hAnsiTheme="minorHAnsi" w:cstheme="minorHAnsi"/>
          <w:color w:val="auto"/>
          <w:szCs w:val="24"/>
        </w:rPr>
      </w:pPr>
      <w:r w:rsidRPr="00C86111">
        <w:rPr>
          <w:rFonts w:asciiTheme="minorHAnsi" w:hAnsiTheme="minorHAnsi" w:cstheme="minorHAnsi"/>
          <w:color w:val="auto"/>
          <w:szCs w:val="24"/>
        </w:rPr>
        <w:t>nekontrolisana reciklaža i neformalne prakse,</w:t>
      </w:r>
    </w:p>
    <w:p w14:paraId="0C59762E" w14:textId="77777777" w:rsidR="00215B11" w:rsidRPr="00C86111" w:rsidRDefault="00215B11" w:rsidP="00004F34">
      <w:pPr>
        <w:numPr>
          <w:ilvl w:val="0"/>
          <w:numId w:val="218"/>
        </w:numPr>
        <w:jc w:val="both"/>
        <w:rPr>
          <w:rFonts w:asciiTheme="minorHAnsi" w:hAnsiTheme="minorHAnsi" w:cstheme="minorHAnsi"/>
          <w:color w:val="auto"/>
          <w:szCs w:val="24"/>
        </w:rPr>
      </w:pPr>
      <w:r w:rsidRPr="00C86111">
        <w:rPr>
          <w:rFonts w:asciiTheme="minorHAnsi" w:hAnsiTheme="minorHAnsi" w:cstheme="minorHAnsi"/>
          <w:color w:val="auto"/>
          <w:szCs w:val="24"/>
        </w:rPr>
        <w:t>emisije u životnu sredinu i lanac ishrane,</w:t>
      </w:r>
    </w:p>
    <w:p w14:paraId="5F176EC4" w14:textId="77777777" w:rsidR="00215B11" w:rsidRPr="00C86111" w:rsidRDefault="00215B11" w:rsidP="00004F34">
      <w:pPr>
        <w:numPr>
          <w:ilvl w:val="0"/>
          <w:numId w:val="218"/>
        </w:numPr>
        <w:jc w:val="both"/>
        <w:rPr>
          <w:rFonts w:asciiTheme="minorHAnsi" w:hAnsiTheme="minorHAnsi" w:cstheme="minorHAnsi"/>
          <w:color w:val="auto"/>
          <w:szCs w:val="24"/>
        </w:rPr>
      </w:pPr>
      <w:r w:rsidRPr="00C86111">
        <w:rPr>
          <w:rFonts w:asciiTheme="minorHAnsi" w:hAnsiTheme="minorHAnsi" w:cstheme="minorHAnsi"/>
          <w:color w:val="auto"/>
          <w:szCs w:val="24"/>
        </w:rPr>
        <w:t>nedovoljno praćenje i slaba detekcija novih zagađivača.</w:t>
      </w:r>
    </w:p>
    <w:p w14:paraId="21014DEA"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Na osnovu toga definisani su </w:t>
      </w:r>
      <w:r w:rsidRPr="00C86111">
        <w:rPr>
          <w:rFonts w:asciiTheme="minorHAnsi" w:hAnsiTheme="minorHAnsi" w:cstheme="minorHAnsi"/>
          <w:b/>
          <w:bCs/>
          <w:color w:val="auto"/>
          <w:szCs w:val="24"/>
        </w:rPr>
        <w:t>horizontalni, strateški ciljevi</w:t>
      </w:r>
      <w:r w:rsidRPr="00C86111">
        <w:rPr>
          <w:rFonts w:asciiTheme="minorHAnsi" w:hAnsiTheme="minorHAnsi" w:cstheme="minorHAnsi"/>
          <w:color w:val="auto"/>
          <w:szCs w:val="24"/>
        </w:rPr>
        <w:t xml:space="preserve"> koji adresiraju više POPs supstanci istovremeno.</w:t>
      </w:r>
    </w:p>
    <w:p w14:paraId="69050676" w14:textId="0156FC1A" w:rsidR="00215B11" w:rsidRPr="00C86111" w:rsidRDefault="00215B11" w:rsidP="00EA6904">
      <w:pPr>
        <w:pStyle w:val="Heading3"/>
      </w:pPr>
      <w:bookmarkStart w:id="498" w:name="_Toc220542026"/>
      <w:r w:rsidRPr="00C86111">
        <w:t>Operacionalizacija kroz akcione planove</w:t>
      </w:r>
      <w:r w:rsidR="00B908DB" w:rsidRPr="00C86111">
        <w:t xml:space="preserve">/ </w:t>
      </w:r>
      <w:r w:rsidRPr="00C86111">
        <w:t>Iterativni pristup i veza sa akcionim planom</w:t>
      </w:r>
      <w:bookmarkEnd w:id="498"/>
    </w:p>
    <w:p w14:paraId="1491975D" w14:textId="77777777" w:rsidR="00B908DB" w:rsidRPr="00C86111" w:rsidRDefault="00B908DB" w:rsidP="00B908DB">
      <w:pPr>
        <w:rPr>
          <w:lang w:val="sr-Latn-ME"/>
        </w:rPr>
      </w:pPr>
    </w:p>
    <w:p w14:paraId="00D5D25C"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Prioriteti nisu određeni linearnim redoslijedom „inventar → prioritet → akcioni plan“. Umjesto toga, proces je bio </w:t>
      </w:r>
      <w:r w:rsidRPr="00C86111">
        <w:rPr>
          <w:rFonts w:asciiTheme="minorHAnsi" w:hAnsiTheme="minorHAnsi" w:cstheme="minorHAnsi"/>
          <w:b/>
          <w:bCs/>
          <w:color w:val="auto"/>
          <w:szCs w:val="24"/>
        </w:rPr>
        <w:t>iterativan i obostran</w:t>
      </w:r>
      <w:r w:rsidRPr="00C86111">
        <w:rPr>
          <w:rFonts w:asciiTheme="minorHAnsi" w:hAnsiTheme="minorHAnsi" w:cstheme="minorHAnsi"/>
          <w:color w:val="auto"/>
          <w:szCs w:val="24"/>
        </w:rPr>
        <w:t>:</w:t>
      </w:r>
    </w:p>
    <w:p w14:paraId="25F3BFB5" w14:textId="77777777" w:rsidR="00215B11" w:rsidRPr="00C86111" w:rsidRDefault="00215B11" w:rsidP="00004F34">
      <w:pPr>
        <w:numPr>
          <w:ilvl w:val="0"/>
          <w:numId w:val="219"/>
        </w:numPr>
        <w:jc w:val="both"/>
        <w:rPr>
          <w:rFonts w:asciiTheme="minorHAnsi" w:hAnsiTheme="minorHAnsi" w:cstheme="minorHAnsi"/>
          <w:color w:val="auto"/>
          <w:szCs w:val="24"/>
        </w:rPr>
      </w:pPr>
      <w:r w:rsidRPr="00C86111">
        <w:rPr>
          <w:rFonts w:asciiTheme="minorHAnsi" w:hAnsiTheme="minorHAnsi" w:cstheme="minorHAnsi"/>
          <w:color w:val="auto"/>
          <w:szCs w:val="24"/>
        </w:rPr>
        <w:t>Iz akcijskog plana su se identifikovali aktivnosti koje imaju najveći potencijal za smanjenje rizika;</w:t>
      </w:r>
    </w:p>
    <w:p w14:paraId="130E43A5" w14:textId="77777777" w:rsidR="00215B11" w:rsidRPr="00C86111" w:rsidRDefault="00215B11" w:rsidP="00004F34">
      <w:pPr>
        <w:numPr>
          <w:ilvl w:val="0"/>
          <w:numId w:val="219"/>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Analiza inventara i identifikovanih izazova povratno je uticala na redefinisanje prioriteta u akcijskom planu;</w:t>
      </w:r>
    </w:p>
    <w:p w14:paraId="2545DB76" w14:textId="77777777" w:rsidR="00215B11" w:rsidRPr="00C86111" w:rsidRDefault="00215B11" w:rsidP="00004F34">
      <w:pPr>
        <w:numPr>
          <w:ilvl w:val="0"/>
          <w:numId w:val="219"/>
        </w:num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Na taj način se osigurava </w:t>
      </w:r>
      <w:r w:rsidRPr="00C86111">
        <w:rPr>
          <w:rFonts w:asciiTheme="minorHAnsi" w:hAnsiTheme="minorHAnsi" w:cstheme="minorHAnsi"/>
          <w:b/>
          <w:bCs/>
          <w:color w:val="auto"/>
          <w:szCs w:val="24"/>
        </w:rPr>
        <w:t>dosljednost između planiranih aktivnosti i stvarnih potreba upravljanja POPs supstancama</w:t>
      </w:r>
      <w:r w:rsidRPr="00C86111">
        <w:rPr>
          <w:rFonts w:asciiTheme="minorHAnsi" w:hAnsiTheme="minorHAnsi" w:cstheme="minorHAnsi"/>
          <w:color w:val="auto"/>
          <w:szCs w:val="24"/>
        </w:rPr>
        <w:t>.</w:t>
      </w:r>
    </w:p>
    <w:p w14:paraId="0400F6C7" w14:textId="7B1289F5"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Ovaj pristup omogućava da se prioriteti formiraju uzimajući u obzir i realne kapacitete implementacije i ključne izazove u upravljanju hemikalijama</w:t>
      </w:r>
      <w:r w:rsidR="00B908DB" w:rsidRPr="00C86111">
        <w:rPr>
          <w:rFonts w:asciiTheme="minorHAnsi" w:hAnsiTheme="minorHAnsi" w:cstheme="minorHAnsi"/>
          <w:color w:val="auto"/>
          <w:szCs w:val="24"/>
        </w:rPr>
        <w:t xml:space="preserve"> (Tabela 1</w:t>
      </w:r>
      <w:r w:rsidR="0042690B">
        <w:rPr>
          <w:rFonts w:asciiTheme="minorHAnsi" w:hAnsiTheme="minorHAnsi" w:cstheme="minorHAnsi"/>
          <w:color w:val="auto"/>
          <w:szCs w:val="24"/>
        </w:rPr>
        <w:t>20</w:t>
      </w:r>
      <w:r w:rsidR="00B908DB" w:rsidRPr="00C86111">
        <w:rPr>
          <w:rFonts w:asciiTheme="minorHAnsi" w:hAnsiTheme="minorHAnsi" w:cstheme="minorHAnsi"/>
          <w:color w:val="auto"/>
          <w:szCs w:val="24"/>
        </w:rPr>
        <w:t>)</w:t>
      </w:r>
      <w:r w:rsidRPr="00C86111">
        <w:rPr>
          <w:rFonts w:asciiTheme="minorHAnsi" w:hAnsiTheme="minorHAnsi" w:cstheme="minorHAnsi"/>
          <w:color w:val="auto"/>
          <w:szCs w:val="24"/>
        </w:rPr>
        <w:t>.</w:t>
      </w:r>
    </w:p>
    <w:p w14:paraId="3407F544" w14:textId="77777777" w:rsidR="00215B11" w:rsidRPr="00C86111" w:rsidRDefault="00215B11" w:rsidP="00215B11">
      <w:pPr>
        <w:jc w:val="both"/>
        <w:rPr>
          <w:rFonts w:asciiTheme="minorHAnsi" w:hAnsiTheme="minorHAnsi" w:cstheme="minorHAnsi"/>
          <w:color w:val="2F5496" w:themeColor="accent1" w:themeShade="BF"/>
          <w:szCs w:val="24"/>
        </w:rPr>
      </w:pPr>
    </w:p>
    <w:p w14:paraId="3059000B" w14:textId="205DF2CC" w:rsidR="00215B11" w:rsidRPr="00C86111" w:rsidRDefault="00B908DB" w:rsidP="00215B11">
      <w:pPr>
        <w:jc w:val="both"/>
        <w:rPr>
          <w:rFonts w:asciiTheme="minorHAnsi" w:hAnsiTheme="minorHAnsi" w:cstheme="minorHAnsi"/>
          <w:b/>
          <w:bCs/>
          <w:szCs w:val="24"/>
        </w:rPr>
      </w:pPr>
      <w:r w:rsidRPr="00C86111">
        <w:rPr>
          <w:rFonts w:asciiTheme="minorHAnsi" w:hAnsiTheme="minorHAnsi" w:cstheme="minorHAnsi"/>
          <w:b/>
          <w:bCs/>
          <w:szCs w:val="24"/>
        </w:rPr>
        <w:t>Tabela 1</w:t>
      </w:r>
      <w:r w:rsidR="0042690B">
        <w:rPr>
          <w:rFonts w:asciiTheme="minorHAnsi" w:hAnsiTheme="minorHAnsi" w:cstheme="minorHAnsi"/>
          <w:b/>
          <w:bCs/>
          <w:szCs w:val="24"/>
        </w:rPr>
        <w:t>20</w:t>
      </w:r>
      <w:r w:rsidRPr="00C86111">
        <w:rPr>
          <w:rFonts w:asciiTheme="minorHAnsi" w:hAnsiTheme="minorHAnsi" w:cstheme="minorHAnsi"/>
          <w:b/>
          <w:bCs/>
          <w:szCs w:val="24"/>
        </w:rPr>
        <w:t xml:space="preserve">. </w:t>
      </w:r>
      <w:r w:rsidRPr="00C86111">
        <w:rPr>
          <w:rFonts w:asciiTheme="minorHAnsi" w:hAnsiTheme="minorHAnsi" w:cstheme="minorHAnsi"/>
          <w:szCs w:val="24"/>
        </w:rPr>
        <w:t>Prikaz</w:t>
      </w:r>
      <w:r w:rsidR="00215B11" w:rsidRPr="00C86111">
        <w:rPr>
          <w:rFonts w:asciiTheme="minorHAnsi" w:hAnsiTheme="minorHAnsi" w:cstheme="minorHAnsi"/>
          <w:szCs w:val="24"/>
        </w:rPr>
        <w:t xml:space="preserve"> aktivnosti po supstancama i horizontalnim temama</w:t>
      </w:r>
    </w:p>
    <w:tbl>
      <w:tblPr>
        <w:tblStyle w:val="GridTable5Dark-Accent6"/>
        <w:tblW w:w="0" w:type="auto"/>
        <w:tblLook w:val="04A0" w:firstRow="1" w:lastRow="0" w:firstColumn="1" w:lastColumn="0" w:noHBand="0" w:noVBand="1"/>
      </w:tblPr>
      <w:tblGrid>
        <w:gridCol w:w="1493"/>
        <w:gridCol w:w="1092"/>
        <w:gridCol w:w="1276"/>
        <w:gridCol w:w="1119"/>
        <w:gridCol w:w="984"/>
        <w:gridCol w:w="1453"/>
        <w:gridCol w:w="1060"/>
        <w:gridCol w:w="873"/>
      </w:tblGrid>
      <w:tr w:rsidR="00215B11" w:rsidRPr="00C86111" w14:paraId="44D7047F" w14:textId="77777777" w:rsidTr="00215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hideMark/>
          </w:tcPr>
          <w:p w14:paraId="61636905"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Akcioni plan</w:t>
            </w:r>
          </w:p>
        </w:tc>
        <w:tc>
          <w:tcPr>
            <w:tcW w:w="0" w:type="auto"/>
            <w:tcBorders>
              <w:bottom w:val="single" w:sz="4" w:space="0" w:color="FFFFFF" w:themeColor="background1"/>
            </w:tcBorders>
            <w:hideMark/>
          </w:tcPr>
          <w:p w14:paraId="3DC0BDCB" w14:textId="77777777" w:rsidR="00215B11" w:rsidRPr="00C86111" w:rsidRDefault="00215B1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Edukacija / podizanje svijesti</w:t>
            </w:r>
          </w:p>
        </w:tc>
        <w:tc>
          <w:tcPr>
            <w:tcW w:w="0" w:type="auto"/>
            <w:tcBorders>
              <w:bottom w:val="single" w:sz="4" w:space="0" w:color="FFFFFF" w:themeColor="background1"/>
            </w:tcBorders>
            <w:hideMark/>
          </w:tcPr>
          <w:p w14:paraId="263DF628" w14:textId="77777777" w:rsidR="00215B11" w:rsidRPr="00C86111" w:rsidRDefault="00215B1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Upravljanje otpadom / otpadne frakcije</w:t>
            </w:r>
          </w:p>
        </w:tc>
        <w:tc>
          <w:tcPr>
            <w:tcW w:w="0" w:type="auto"/>
            <w:tcBorders>
              <w:bottom w:val="single" w:sz="4" w:space="0" w:color="FFFFFF" w:themeColor="background1"/>
            </w:tcBorders>
            <w:hideMark/>
          </w:tcPr>
          <w:p w14:paraId="3219151A" w14:textId="77777777" w:rsidR="00215B11" w:rsidRPr="00C86111" w:rsidRDefault="00215B1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Izrada akata / pravilnika / vodiča</w:t>
            </w:r>
          </w:p>
        </w:tc>
        <w:tc>
          <w:tcPr>
            <w:tcW w:w="0" w:type="auto"/>
            <w:tcBorders>
              <w:bottom w:val="single" w:sz="4" w:space="0" w:color="FFFFFF" w:themeColor="background1"/>
            </w:tcBorders>
            <w:hideMark/>
          </w:tcPr>
          <w:p w14:paraId="074B659C" w14:textId="77777777" w:rsidR="00215B11" w:rsidRPr="00C86111" w:rsidRDefault="00215B1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Saradnja sa carinom</w:t>
            </w:r>
          </w:p>
        </w:tc>
        <w:tc>
          <w:tcPr>
            <w:tcW w:w="0" w:type="auto"/>
            <w:tcBorders>
              <w:bottom w:val="single" w:sz="4" w:space="0" w:color="FFFFFF" w:themeColor="background1"/>
            </w:tcBorders>
            <w:hideMark/>
          </w:tcPr>
          <w:p w14:paraId="7285B902" w14:textId="77777777" w:rsidR="00215B11" w:rsidRPr="00C86111" w:rsidRDefault="00215B1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Monitoring / biomonitoring</w:t>
            </w:r>
          </w:p>
        </w:tc>
        <w:tc>
          <w:tcPr>
            <w:tcW w:w="0" w:type="auto"/>
            <w:tcBorders>
              <w:bottom w:val="single" w:sz="4" w:space="0" w:color="FFFFFF" w:themeColor="background1"/>
            </w:tcBorders>
            <w:hideMark/>
          </w:tcPr>
          <w:p w14:paraId="0F17696E" w14:textId="77777777" w:rsidR="00215B11" w:rsidRPr="00C86111" w:rsidRDefault="00215B1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Druge aktivnosti</w:t>
            </w:r>
          </w:p>
        </w:tc>
        <w:tc>
          <w:tcPr>
            <w:tcW w:w="835" w:type="dxa"/>
            <w:tcBorders>
              <w:bottom w:val="single" w:sz="4" w:space="0" w:color="FFFFFF" w:themeColor="background1"/>
            </w:tcBorders>
            <w:hideMark/>
          </w:tcPr>
          <w:p w14:paraId="1034636D" w14:textId="77777777" w:rsidR="00215B11" w:rsidRPr="00C86111" w:rsidRDefault="00215B1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Ukupno</w:t>
            </w:r>
          </w:p>
        </w:tc>
      </w:tr>
      <w:tr w:rsidR="00215B11" w:rsidRPr="00C86111" w14:paraId="494408E9" w14:textId="77777777" w:rsidTr="00215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07D442F3"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NIP – POPs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190A57"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AE8FEF"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D4A60E"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F345F3"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CF2D1C"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0236A1"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F6A5D1"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15</w:t>
            </w:r>
          </w:p>
        </w:tc>
      </w:tr>
      <w:tr w:rsidR="00215B11" w:rsidRPr="00C86111" w14:paraId="479BC522" w14:textId="77777777" w:rsidTr="00215B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52169F25"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PBDE, HBB, HBCDD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E439BD"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87E5B1"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83B5EE"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E74467"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37EE32"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B9D8A4"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B8FBAD"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r>
      <w:tr w:rsidR="00215B11" w:rsidRPr="00C86111" w14:paraId="03F90EEC" w14:textId="77777777" w:rsidTr="00215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3DE6866A"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PFAS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BF5AE9"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0F84A4"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608C47"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F24DA5"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998237"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255890"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C36B53"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12</w:t>
            </w:r>
          </w:p>
        </w:tc>
      </w:tr>
      <w:tr w:rsidR="00215B11" w:rsidRPr="00C86111" w14:paraId="4E049D26" w14:textId="77777777" w:rsidTr="00215B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04BE16F4"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SCCP / MCCP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3505B"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AE7200"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5833A8"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C27CB5"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37334C"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B7DB14"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5C5A65"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10</w:t>
            </w:r>
          </w:p>
        </w:tc>
      </w:tr>
      <w:tr w:rsidR="00215B11" w:rsidRPr="00C86111" w14:paraId="3CAEFECA" w14:textId="77777777" w:rsidTr="00215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220D8715"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POPs pesticidi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040705"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8E3537"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9C5620"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A0C69F"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F06FB2"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F9C067"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5706DD"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w:t>
            </w:r>
          </w:p>
        </w:tc>
      </w:tr>
      <w:tr w:rsidR="00215B11" w:rsidRPr="00C86111" w14:paraId="1FE49CB6" w14:textId="77777777" w:rsidTr="00215B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20714F32"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Nenamjerne emisije POPs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F7F367"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417FC7"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CFA219"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8A8AC0"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F9B048"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EC8D67"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F97AB1"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6</w:t>
            </w:r>
          </w:p>
        </w:tc>
      </w:tr>
      <w:tr w:rsidR="00215B11" w:rsidRPr="00C86111" w14:paraId="4B7967EF" w14:textId="77777777" w:rsidTr="00215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205CC5BD"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Monitoring POPs i novih zagađivača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1AB269"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3B3C4F"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859E8D"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20912B"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6DE188"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72001C"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3</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7B2CFA"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r>
      <w:tr w:rsidR="00215B11" w:rsidRPr="00C86111" w14:paraId="562A00F3" w14:textId="77777777" w:rsidTr="00215B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FFFFFF" w:themeColor="background1"/>
            </w:tcBorders>
            <w:hideMark/>
          </w:tcPr>
          <w:p w14:paraId="0B951212"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PCB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E2F2A2"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833699"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D26E43"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DCE2A5"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EFB9C5"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B68EA4"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2</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8AD569" w14:textId="77777777" w:rsidR="00215B11" w:rsidRPr="00C86111" w:rsidRDefault="00215B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8</w:t>
            </w:r>
          </w:p>
        </w:tc>
      </w:tr>
      <w:tr w:rsidR="00215B11" w:rsidRPr="00C86111" w14:paraId="78F375BF" w14:textId="77777777" w:rsidTr="00215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right w:val="single" w:sz="4" w:space="0" w:color="FFFFFF" w:themeColor="background1"/>
            </w:tcBorders>
            <w:hideMark/>
          </w:tcPr>
          <w:p w14:paraId="24734205" w14:textId="77777777" w:rsidR="00215B11" w:rsidRPr="00C86111" w:rsidRDefault="00215B11">
            <w:pPr>
              <w:jc w:val="both"/>
              <w:rPr>
                <w:rFonts w:asciiTheme="minorHAnsi" w:hAnsiTheme="minorHAnsi" w:cstheme="minorHAnsi"/>
                <w:color w:val="auto"/>
                <w:sz w:val="20"/>
                <w:szCs w:val="20"/>
              </w:rPr>
            </w:pPr>
            <w:r w:rsidRPr="00C86111">
              <w:rPr>
                <w:rFonts w:asciiTheme="minorHAnsi" w:hAnsiTheme="minorHAnsi" w:cstheme="minorHAnsi"/>
                <w:color w:val="auto"/>
                <w:sz w:val="20"/>
                <w:szCs w:val="20"/>
              </w:rPr>
              <w:t>Podizanje svijesti o POPs i drugim opasnim hemikalijama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B88830"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4D997D"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063A95"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024EBA"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93254A"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0A5B21"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4</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56D343" w14:textId="77777777" w:rsidR="00215B11" w:rsidRPr="00C86111" w:rsidRDefault="00215B1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86111">
              <w:rPr>
                <w:rFonts w:asciiTheme="minorHAnsi" w:hAnsiTheme="minorHAnsi" w:cstheme="minorHAnsi"/>
                <w:color w:val="auto"/>
                <w:sz w:val="20"/>
                <w:szCs w:val="20"/>
              </w:rPr>
              <w:t>11</w:t>
            </w:r>
          </w:p>
        </w:tc>
      </w:tr>
    </w:tbl>
    <w:p w14:paraId="2EF91A5F" w14:textId="77777777" w:rsidR="00215B11" w:rsidRPr="00C86111" w:rsidRDefault="00215B11" w:rsidP="00215B11">
      <w:pPr>
        <w:jc w:val="both"/>
        <w:rPr>
          <w:rFonts w:asciiTheme="minorHAnsi" w:hAnsiTheme="minorHAnsi" w:cstheme="minorHAnsi"/>
          <w:color w:val="2F5496" w:themeColor="accent1" w:themeShade="BF"/>
          <w:szCs w:val="24"/>
        </w:rPr>
      </w:pPr>
      <w:r w:rsidRPr="00C86111">
        <w:rPr>
          <w:rFonts w:asciiTheme="minorHAnsi" w:hAnsiTheme="minorHAnsi" w:cstheme="minorHAnsi"/>
          <w:b/>
          <w:bCs/>
          <w:szCs w:val="24"/>
        </w:rPr>
        <w:t>Tumačenje tabele:</w:t>
      </w:r>
    </w:p>
    <w:p w14:paraId="25757D43" w14:textId="77777777" w:rsidR="00215B11" w:rsidRPr="00C86111" w:rsidRDefault="00215B11" w:rsidP="00004F34">
      <w:pPr>
        <w:numPr>
          <w:ilvl w:val="0"/>
          <w:numId w:val="220"/>
        </w:numPr>
        <w:jc w:val="both"/>
        <w:rPr>
          <w:rFonts w:asciiTheme="minorHAnsi" w:hAnsiTheme="minorHAnsi" w:cstheme="minorHAnsi"/>
          <w:color w:val="auto"/>
          <w:szCs w:val="24"/>
        </w:rPr>
      </w:pPr>
      <w:r w:rsidRPr="00C86111">
        <w:rPr>
          <w:rFonts w:asciiTheme="minorHAnsi" w:hAnsiTheme="minorHAnsi" w:cstheme="minorHAnsi"/>
          <w:color w:val="auto"/>
          <w:szCs w:val="24"/>
        </w:rPr>
        <w:t>Iterativni pristup pokazuje da se planirane aktivnosti ne određuju samo inventarom ili rizicima, već i na osnovu postojećih kapaciteta i mjera definisanih u akcijskom planu.</w:t>
      </w:r>
    </w:p>
    <w:p w14:paraId="27534982" w14:textId="77777777" w:rsidR="00215B11" w:rsidRPr="00C86111" w:rsidRDefault="00215B11" w:rsidP="00004F34">
      <w:pPr>
        <w:numPr>
          <w:ilvl w:val="0"/>
          <w:numId w:val="220"/>
        </w:numPr>
        <w:jc w:val="both"/>
        <w:rPr>
          <w:rFonts w:asciiTheme="minorHAnsi" w:hAnsiTheme="minorHAnsi" w:cstheme="minorHAnsi"/>
          <w:color w:val="auto"/>
          <w:szCs w:val="24"/>
        </w:rPr>
      </w:pPr>
      <w:r w:rsidRPr="00C86111">
        <w:rPr>
          <w:rFonts w:asciiTheme="minorHAnsi" w:hAnsiTheme="minorHAnsi" w:cstheme="minorHAnsi"/>
          <w:color w:val="auto"/>
          <w:szCs w:val="24"/>
        </w:rPr>
        <w:t>PFAS i monitoring novih zagađivača ističu se kao ključni prioriteti zbog visokog rizika i potrebe za hitnim intervencijama.</w:t>
      </w:r>
    </w:p>
    <w:p w14:paraId="4137D5B8" w14:textId="77777777" w:rsidR="00215B11" w:rsidRPr="00C86111" w:rsidRDefault="00215B11" w:rsidP="00004F34">
      <w:pPr>
        <w:numPr>
          <w:ilvl w:val="0"/>
          <w:numId w:val="220"/>
        </w:numPr>
        <w:jc w:val="both"/>
        <w:rPr>
          <w:rFonts w:asciiTheme="minorHAnsi" w:hAnsiTheme="minorHAnsi" w:cstheme="minorHAnsi"/>
          <w:color w:val="auto"/>
          <w:szCs w:val="24"/>
        </w:rPr>
      </w:pPr>
      <w:r w:rsidRPr="00C86111">
        <w:rPr>
          <w:rFonts w:asciiTheme="minorHAnsi" w:hAnsiTheme="minorHAnsi" w:cstheme="minorHAnsi"/>
          <w:color w:val="auto"/>
          <w:szCs w:val="24"/>
        </w:rPr>
        <w:t>POPs u otpadu (PBDE, HBCD, SCCP) imaju značajan fokus u kategoriji upravljanja otpadom, što reflektuje stvarne tokove POPs u životnoj sredini.</w:t>
      </w:r>
    </w:p>
    <w:p w14:paraId="160ED75A" w14:textId="77777777" w:rsidR="00215B11" w:rsidRPr="00C86111" w:rsidRDefault="00215B11" w:rsidP="00004F34">
      <w:pPr>
        <w:numPr>
          <w:ilvl w:val="0"/>
          <w:numId w:val="220"/>
        </w:numPr>
        <w:jc w:val="both"/>
        <w:rPr>
          <w:rFonts w:asciiTheme="minorHAnsi" w:hAnsiTheme="minorHAnsi" w:cstheme="minorHAnsi"/>
          <w:color w:val="auto"/>
          <w:szCs w:val="24"/>
        </w:rPr>
      </w:pPr>
      <w:r w:rsidRPr="00C86111">
        <w:rPr>
          <w:rFonts w:asciiTheme="minorHAnsi" w:hAnsiTheme="minorHAnsi" w:cstheme="minorHAnsi"/>
          <w:color w:val="auto"/>
          <w:szCs w:val="24"/>
        </w:rPr>
        <w:t>Edukacija i podizanje svijesti primjenjuje se horizontalno za sve supstance, osiguravajući informisanu javnost i industriju.</w:t>
      </w:r>
    </w:p>
    <w:p w14:paraId="52685390" w14:textId="77777777" w:rsidR="00215B11" w:rsidRPr="00C86111" w:rsidRDefault="00215B11" w:rsidP="00004F34">
      <w:pPr>
        <w:numPr>
          <w:ilvl w:val="0"/>
          <w:numId w:val="220"/>
        </w:numPr>
        <w:jc w:val="both"/>
        <w:rPr>
          <w:rFonts w:asciiTheme="minorHAnsi" w:hAnsiTheme="minorHAnsi" w:cstheme="minorHAnsi"/>
          <w:color w:val="auto"/>
          <w:szCs w:val="24"/>
        </w:rPr>
      </w:pPr>
      <w:r w:rsidRPr="00C86111">
        <w:rPr>
          <w:rFonts w:asciiTheme="minorHAnsi" w:hAnsiTheme="minorHAnsi" w:cstheme="minorHAnsi"/>
          <w:color w:val="auto"/>
          <w:szCs w:val="24"/>
        </w:rPr>
        <w:t>Ova raspodjela omogućava transparentno praćenje implementacije, identifikaciju kritičnih supstanci i efikasnu alokaciju resursa i fokusa NKT-a i operativnog tima.</w:t>
      </w:r>
    </w:p>
    <w:p w14:paraId="39D9622D" w14:textId="77777777" w:rsidR="00215B11" w:rsidRPr="00C86111" w:rsidRDefault="00215B11" w:rsidP="00EA6904">
      <w:pPr>
        <w:pStyle w:val="Heading3"/>
      </w:pPr>
      <w:bookmarkStart w:id="499" w:name="_Toc220542027"/>
      <w:r w:rsidRPr="00C86111">
        <w:t>Definisanje strateških prioriteta</w:t>
      </w:r>
      <w:bookmarkEnd w:id="499"/>
    </w:p>
    <w:p w14:paraId="5F969AF2"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Na osnovu inventara i analize izazova, utvrđene su tri centralne prioritetne oblasti:</w:t>
      </w:r>
    </w:p>
    <w:p w14:paraId="2FC32243" w14:textId="77777777" w:rsidR="00215B11" w:rsidRPr="00C86111" w:rsidRDefault="00215B11" w:rsidP="00215B11">
      <w:pPr>
        <w:jc w:val="both"/>
        <w:rPr>
          <w:rFonts w:asciiTheme="minorHAnsi" w:hAnsiTheme="minorHAnsi" w:cstheme="minorHAnsi"/>
          <w:color w:val="2F5496" w:themeColor="accent1" w:themeShade="BF"/>
          <w:szCs w:val="24"/>
        </w:rPr>
      </w:pPr>
    </w:p>
    <w:p w14:paraId="6C0630D7"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A. Upravljanje otpadom</w:t>
      </w:r>
    </w:p>
    <w:p w14:paraId="448C9367"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jer je najveći dio POPs u Crnoj Gori danas vezan za proizvode i otpad (EEE, izolacioni materijali, pjene, plastika, građevinski otpad).</w:t>
      </w:r>
    </w:p>
    <w:p w14:paraId="5FFFB474" w14:textId="77777777" w:rsidR="00215B11" w:rsidRPr="00C86111" w:rsidRDefault="00215B11" w:rsidP="00215B11">
      <w:pPr>
        <w:rPr>
          <w:rFonts w:asciiTheme="minorHAnsi" w:hAnsiTheme="minorHAnsi" w:cstheme="minorHAnsi"/>
          <w:b/>
          <w:bCs/>
          <w:color w:val="auto"/>
          <w:szCs w:val="24"/>
        </w:rPr>
      </w:pPr>
      <w:r w:rsidRPr="00C86111">
        <w:rPr>
          <w:rFonts w:asciiTheme="minorHAnsi" w:hAnsiTheme="minorHAnsi" w:cstheme="minorHAnsi"/>
          <w:b/>
          <w:bCs/>
          <w:color w:val="auto"/>
          <w:szCs w:val="24"/>
        </w:rPr>
        <w:lastRenderedPageBreak/>
        <w:t>Strateški cilj:</w:t>
      </w:r>
    </w:p>
    <w:p w14:paraId="6FBA9E67"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color w:val="auto"/>
          <w:szCs w:val="24"/>
        </w:rPr>
        <w:t>Osigurati sigurno i trajno zbrinjavanje POPs otpada i kontaminirane opreme u skladu sa međunarodnim standardima i Stokholmskom konvencijom.</w:t>
      </w:r>
    </w:p>
    <w:p w14:paraId="655BD492" w14:textId="77777777" w:rsidR="00215B11" w:rsidRPr="00C86111" w:rsidRDefault="00215B11" w:rsidP="00215B11">
      <w:pPr>
        <w:jc w:val="both"/>
        <w:rPr>
          <w:rFonts w:asciiTheme="minorHAnsi" w:hAnsiTheme="minorHAnsi" w:cstheme="minorHAnsi"/>
          <w:color w:val="auto"/>
          <w:szCs w:val="24"/>
        </w:rPr>
      </w:pPr>
    </w:p>
    <w:p w14:paraId="0EF6C853"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B. Monitoring i biomonitoring</w:t>
      </w:r>
    </w:p>
    <w:p w14:paraId="2C6FBF1E"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jer bez pouzdanih podataka nije moguće upravljati rizicima, pratiti trendove niti ispunjavati obaveze prema EU i BRS konvencijama.</w:t>
      </w:r>
    </w:p>
    <w:p w14:paraId="5603A6C2"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Strateški cilj:</w:t>
      </w:r>
    </w:p>
    <w:p w14:paraId="6521378B"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Ojačati kapacitete i efikasnost sistema monitoringa i analize POPs i novih zagađivača u Crnoj Gori.</w:t>
      </w:r>
    </w:p>
    <w:p w14:paraId="465CABE2" w14:textId="77777777" w:rsidR="00215B11" w:rsidRPr="00C86111" w:rsidRDefault="00215B11" w:rsidP="00215B11">
      <w:pPr>
        <w:jc w:val="both"/>
        <w:rPr>
          <w:rFonts w:asciiTheme="minorHAnsi" w:hAnsiTheme="minorHAnsi" w:cstheme="minorHAnsi"/>
          <w:color w:val="auto"/>
          <w:szCs w:val="24"/>
        </w:rPr>
      </w:pPr>
    </w:p>
    <w:p w14:paraId="6C3AD584"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C. Edukacija i podizanje svijesti</w:t>
      </w:r>
    </w:p>
    <w:p w14:paraId="281E0FAE"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jer su niska svijest i nedostatak znanja ključni uzrok neadekvatnog upravljanja POPs supstancama u praksi.</w:t>
      </w:r>
    </w:p>
    <w:p w14:paraId="244C6140"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Strateški cilj:</w:t>
      </w:r>
    </w:p>
    <w:p w14:paraId="213BA254"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Jačanje javne svijesti i obrazovanja o POPs supstancama i njihovim rizicima.</w:t>
      </w:r>
    </w:p>
    <w:p w14:paraId="32314719" w14:textId="77777777" w:rsidR="00215B11" w:rsidRPr="00C86111" w:rsidRDefault="00215B11" w:rsidP="00EA6904">
      <w:pPr>
        <w:pStyle w:val="Heading4"/>
      </w:pPr>
      <w:r w:rsidRPr="00C86111">
        <w:t>Operacionalizacija kroz akcione planove</w:t>
      </w:r>
    </w:p>
    <w:p w14:paraId="2AD49B8B"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 xml:space="preserve">Prioriteti su dalje operacionalizovani kroz akcione planove po grupama supstanci (PBDE, PFAS, SCCP/MCCP, PCB, pesticidi, nenamjerne emisije) i po horizontalnim temama (monitoring, edukacija). </w:t>
      </w:r>
    </w:p>
    <w:p w14:paraId="395FFBFD"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Broj i struktura planiranih aktivnosti pokazuju da su najveći prioriteti:</w:t>
      </w:r>
    </w:p>
    <w:p w14:paraId="3252E03E" w14:textId="77777777" w:rsidR="00215B11" w:rsidRPr="00C86111" w:rsidRDefault="00215B11" w:rsidP="00004F34">
      <w:pPr>
        <w:numPr>
          <w:ilvl w:val="0"/>
          <w:numId w:val="221"/>
        </w:numPr>
        <w:jc w:val="both"/>
        <w:rPr>
          <w:rFonts w:asciiTheme="minorHAnsi" w:hAnsiTheme="minorHAnsi" w:cstheme="minorHAnsi"/>
          <w:color w:val="auto"/>
          <w:szCs w:val="24"/>
        </w:rPr>
      </w:pPr>
      <w:r w:rsidRPr="00C86111">
        <w:rPr>
          <w:rFonts w:asciiTheme="minorHAnsi" w:hAnsiTheme="minorHAnsi" w:cstheme="minorHAnsi"/>
          <w:color w:val="auto"/>
          <w:szCs w:val="24"/>
        </w:rPr>
        <w:t>PFAS,</w:t>
      </w:r>
    </w:p>
    <w:p w14:paraId="3071815E" w14:textId="77777777" w:rsidR="00215B11" w:rsidRPr="00C86111" w:rsidRDefault="00215B11" w:rsidP="00004F34">
      <w:pPr>
        <w:numPr>
          <w:ilvl w:val="0"/>
          <w:numId w:val="221"/>
        </w:numPr>
        <w:jc w:val="both"/>
        <w:rPr>
          <w:rFonts w:asciiTheme="minorHAnsi" w:hAnsiTheme="minorHAnsi" w:cstheme="minorHAnsi"/>
          <w:color w:val="auto"/>
          <w:szCs w:val="24"/>
        </w:rPr>
      </w:pPr>
      <w:r w:rsidRPr="00C86111">
        <w:rPr>
          <w:rFonts w:asciiTheme="minorHAnsi" w:hAnsiTheme="minorHAnsi" w:cstheme="minorHAnsi"/>
          <w:color w:val="auto"/>
          <w:szCs w:val="24"/>
        </w:rPr>
        <w:t>monitoring novih zagađivača,</w:t>
      </w:r>
    </w:p>
    <w:p w14:paraId="0D7CBAA2" w14:textId="77777777" w:rsidR="00215B11" w:rsidRPr="00C86111" w:rsidRDefault="00215B11" w:rsidP="00004F34">
      <w:pPr>
        <w:numPr>
          <w:ilvl w:val="0"/>
          <w:numId w:val="221"/>
        </w:numPr>
        <w:jc w:val="both"/>
        <w:rPr>
          <w:rFonts w:asciiTheme="minorHAnsi" w:hAnsiTheme="minorHAnsi" w:cstheme="minorHAnsi"/>
          <w:color w:val="auto"/>
          <w:szCs w:val="24"/>
        </w:rPr>
      </w:pPr>
      <w:r w:rsidRPr="00C86111">
        <w:rPr>
          <w:rFonts w:asciiTheme="minorHAnsi" w:hAnsiTheme="minorHAnsi" w:cstheme="minorHAnsi"/>
          <w:color w:val="auto"/>
          <w:szCs w:val="24"/>
        </w:rPr>
        <w:t>POPs u otpadu (PBDE, HBCD, SCCP),</w:t>
      </w:r>
    </w:p>
    <w:p w14:paraId="05109745" w14:textId="77777777" w:rsidR="00215B11" w:rsidRPr="00C86111" w:rsidRDefault="00215B11" w:rsidP="00004F34">
      <w:pPr>
        <w:numPr>
          <w:ilvl w:val="0"/>
          <w:numId w:val="221"/>
        </w:numPr>
        <w:jc w:val="both"/>
        <w:rPr>
          <w:rFonts w:asciiTheme="minorHAnsi" w:hAnsiTheme="minorHAnsi" w:cstheme="minorHAnsi"/>
          <w:color w:val="auto"/>
          <w:szCs w:val="24"/>
        </w:rPr>
      </w:pPr>
      <w:r w:rsidRPr="00C86111">
        <w:rPr>
          <w:rFonts w:asciiTheme="minorHAnsi" w:hAnsiTheme="minorHAnsi" w:cstheme="minorHAnsi"/>
          <w:color w:val="auto"/>
          <w:szCs w:val="24"/>
        </w:rPr>
        <w:t>jačanje institucionalnog i regulatornog okvira.</w:t>
      </w:r>
    </w:p>
    <w:p w14:paraId="6887F14E" w14:textId="77777777" w:rsidR="00215B11" w:rsidRPr="00C86111" w:rsidRDefault="00215B11" w:rsidP="00215B11">
      <w:pPr>
        <w:jc w:val="both"/>
        <w:rPr>
          <w:rFonts w:asciiTheme="minorHAnsi" w:hAnsiTheme="minorHAnsi" w:cstheme="minorHAnsi"/>
          <w:b/>
          <w:bCs/>
          <w:color w:val="2F5496" w:themeColor="accent1" w:themeShade="BF"/>
          <w:szCs w:val="24"/>
        </w:rPr>
      </w:pPr>
      <w:r w:rsidRPr="00C86111">
        <w:rPr>
          <w:rFonts w:asciiTheme="minorHAnsi" w:hAnsiTheme="minorHAnsi" w:cstheme="minorHAnsi"/>
          <w:b/>
          <w:bCs/>
          <w:szCs w:val="24"/>
        </w:rPr>
        <w:t>Institucionalna podrška prioritetima</w:t>
      </w:r>
    </w:p>
    <w:p w14:paraId="424122DD"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Da bi se osigurala održivost prioriteta, predloženo je formiranje Nacionalnog koordinacionog tijela (NKT), koje bi funkcionisalo na dva komplementarna nivoa: rukovodnom (Steering/Strategic Committee) i operativnom timu.</w:t>
      </w:r>
    </w:p>
    <w:p w14:paraId="57E356D8"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1. Rukovodni nivo (Steering/Strategic Committee)</w:t>
      </w:r>
    </w:p>
    <w:p w14:paraId="47877F26"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Odgovornosti rukovodnog nivoa uključuju:</w:t>
      </w:r>
    </w:p>
    <w:p w14:paraId="3425B71D" w14:textId="77777777" w:rsidR="00215B11" w:rsidRPr="00C86111" w:rsidRDefault="00215B11" w:rsidP="00004F34">
      <w:pPr>
        <w:numPr>
          <w:ilvl w:val="0"/>
          <w:numId w:val="222"/>
        </w:numPr>
        <w:jc w:val="both"/>
        <w:rPr>
          <w:rFonts w:asciiTheme="minorHAnsi" w:hAnsiTheme="minorHAnsi" w:cstheme="minorHAnsi"/>
          <w:color w:val="auto"/>
          <w:szCs w:val="24"/>
        </w:rPr>
      </w:pPr>
      <w:r w:rsidRPr="00C86111">
        <w:rPr>
          <w:rFonts w:asciiTheme="minorHAnsi" w:hAnsiTheme="minorHAnsi" w:cstheme="minorHAnsi"/>
          <w:color w:val="auto"/>
          <w:szCs w:val="24"/>
        </w:rPr>
        <w:t>Definisanje strateških ciljeva i prioriteta NKT-a;</w:t>
      </w:r>
    </w:p>
    <w:p w14:paraId="25EE9300" w14:textId="77777777" w:rsidR="00215B11" w:rsidRPr="00C86111" w:rsidRDefault="00215B11" w:rsidP="00004F34">
      <w:pPr>
        <w:numPr>
          <w:ilvl w:val="0"/>
          <w:numId w:val="222"/>
        </w:numPr>
        <w:jc w:val="both"/>
        <w:rPr>
          <w:rFonts w:asciiTheme="minorHAnsi" w:hAnsiTheme="minorHAnsi" w:cstheme="minorHAnsi"/>
          <w:color w:val="auto"/>
          <w:szCs w:val="24"/>
        </w:rPr>
      </w:pPr>
      <w:r w:rsidRPr="00C86111">
        <w:rPr>
          <w:rFonts w:asciiTheme="minorHAnsi" w:hAnsiTheme="minorHAnsi" w:cstheme="minorHAnsi"/>
          <w:color w:val="auto"/>
          <w:szCs w:val="24"/>
        </w:rPr>
        <w:t>Odobravanje godišnjih akcionih planova i budžeta;</w:t>
      </w:r>
    </w:p>
    <w:p w14:paraId="4C8A3B12" w14:textId="77777777" w:rsidR="00215B11" w:rsidRPr="00C86111" w:rsidRDefault="00215B11" w:rsidP="00004F34">
      <w:pPr>
        <w:numPr>
          <w:ilvl w:val="0"/>
          <w:numId w:val="222"/>
        </w:numPr>
        <w:jc w:val="both"/>
        <w:rPr>
          <w:rFonts w:asciiTheme="minorHAnsi" w:hAnsiTheme="minorHAnsi" w:cstheme="minorHAnsi"/>
          <w:color w:val="auto"/>
          <w:szCs w:val="24"/>
        </w:rPr>
      </w:pPr>
      <w:r w:rsidRPr="00C86111">
        <w:rPr>
          <w:rFonts w:asciiTheme="minorHAnsi" w:hAnsiTheme="minorHAnsi" w:cstheme="minorHAnsi"/>
          <w:color w:val="auto"/>
          <w:szCs w:val="24"/>
        </w:rPr>
        <w:t>Koordinaciju sa Vladom i parlamentom;</w:t>
      </w:r>
    </w:p>
    <w:p w14:paraId="6E08F3BC" w14:textId="77777777" w:rsidR="00215B11" w:rsidRPr="00C86111" w:rsidRDefault="00215B11" w:rsidP="00004F34">
      <w:pPr>
        <w:numPr>
          <w:ilvl w:val="0"/>
          <w:numId w:val="222"/>
        </w:numPr>
        <w:jc w:val="both"/>
        <w:rPr>
          <w:rFonts w:asciiTheme="minorHAnsi" w:hAnsiTheme="minorHAnsi" w:cstheme="minorHAnsi"/>
          <w:color w:val="auto"/>
          <w:szCs w:val="24"/>
        </w:rPr>
      </w:pPr>
      <w:r w:rsidRPr="00C86111">
        <w:rPr>
          <w:rFonts w:asciiTheme="minorHAnsi" w:hAnsiTheme="minorHAnsi" w:cstheme="minorHAnsi"/>
          <w:color w:val="auto"/>
          <w:szCs w:val="24"/>
        </w:rPr>
        <w:t>Praćenje implementacije ključnih politika i zakonske regulative u oblasti POPs i hemikalija.</w:t>
      </w:r>
    </w:p>
    <w:p w14:paraId="687B5719"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Rukovodni nivo osigurava da strateški pravci i prioriteti budu u skladu sa nacionalnim politikama i međunarodnim obavezama Crne Gore.</w:t>
      </w:r>
    </w:p>
    <w:p w14:paraId="6D48F7CF" w14:textId="77777777" w:rsidR="00215B11" w:rsidRPr="00C86111" w:rsidRDefault="00215B11" w:rsidP="00215B11">
      <w:pPr>
        <w:jc w:val="both"/>
        <w:rPr>
          <w:rFonts w:asciiTheme="minorHAnsi" w:hAnsiTheme="minorHAnsi" w:cstheme="minorHAnsi"/>
          <w:b/>
          <w:bCs/>
          <w:color w:val="auto"/>
          <w:szCs w:val="24"/>
        </w:rPr>
      </w:pPr>
      <w:r w:rsidRPr="00C86111">
        <w:rPr>
          <w:rFonts w:asciiTheme="minorHAnsi" w:hAnsiTheme="minorHAnsi" w:cstheme="minorHAnsi"/>
          <w:b/>
          <w:bCs/>
          <w:color w:val="auto"/>
          <w:szCs w:val="24"/>
        </w:rPr>
        <w:t>2. Operativni tim</w:t>
      </w:r>
    </w:p>
    <w:p w14:paraId="2357C041"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Odgovornosti operativnog tima su:</w:t>
      </w:r>
    </w:p>
    <w:p w14:paraId="7877416C" w14:textId="77777777" w:rsidR="00215B11" w:rsidRPr="00C86111" w:rsidRDefault="00215B11" w:rsidP="00004F34">
      <w:pPr>
        <w:numPr>
          <w:ilvl w:val="0"/>
          <w:numId w:val="223"/>
        </w:numPr>
        <w:jc w:val="both"/>
        <w:rPr>
          <w:rFonts w:asciiTheme="minorHAnsi" w:hAnsiTheme="minorHAnsi" w:cstheme="minorHAnsi"/>
          <w:color w:val="auto"/>
          <w:szCs w:val="24"/>
        </w:rPr>
      </w:pPr>
      <w:r w:rsidRPr="00C86111">
        <w:rPr>
          <w:rFonts w:asciiTheme="minorHAnsi" w:hAnsiTheme="minorHAnsi" w:cstheme="minorHAnsi"/>
          <w:color w:val="auto"/>
          <w:szCs w:val="24"/>
        </w:rPr>
        <w:t>Davanje stručnih mišljenja i smjernica radi poboljšanog dizajna programa monitoringa (životna sredina, otpad, hemikalijski biomonitoring);</w:t>
      </w:r>
    </w:p>
    <w:p w14:paraId="1215B4D6" w14:textId="77777777" w:rsidR="00215B11" w:rsidRPr="00C86111" w:rsidRDefault="00215B11" w:rsidP="00004F34">
      <w:pPr>
        <w:numPr>
          <w:ilvl w:val="0"/>
          <w:numId w:val="223"/>
        </w:numPr>
        <w:jc w:val="both"/>
        <w:rPr>
          <w:rFonts w:asciiTheme="minorHAnsi" w:hAnsiTheme="minorHAnsi" w:cstheme="minorHAnsi"/>
          <w:color w:val="auto"/>
          <w:szCs w:val="24"/>
        </w:rPr>
      </w:pPr>
      <w:r w:rsidRPr="00C86111">
        <w:rPr>
          <w:rFonts w:asciiTheme="minorHAnsi" w:hAnsiTheme="minorHAnsi" w:cstheme="minorHAnsi"/>
          <w:color w:val="auto"/>
          <w:szCs w:val="24"/>
        </w:rPr>
        <w:t>Priprema tehničkih izvještaja i procjena rizika;</w:t>
      </w:r>
    </w:p>
    <w:p w14:paraId="65C73F18" w14:textId="77777777" w:rsidR="00215B11" w:rsidRPr="00C86111" w:rsidRDefault="00215B11" w:rsidP="00004F34">
      <w:pPr>
        <w:numPr>
          <w:ilvl w:val="0"/>
          <w:numId w:val="223"/>
        </w:numPr>
        <w:jc w:val="both"/>
        <w:rPr>
          <w:rFonts w:asciiTheme="minorHAnsi" w:hAnsiTheme="minorHAnsi" w:cstheme="minorHAnsi"/>
          <w:color w:val="auto"/>
          <w:szCs w:val="24"/>
        </w:rPr>
      </w:pPr>
      <w:r w:rsidRPr="00C86111">
        <w:rPr>
          <w:rFonts w:asciiTheme="minorHAnsi" w:hAnsiTheme="minorHAnsi" w:cstheme="minorHAnsi"/>
          <w:color w:val="auto"/>
          <w:szCs w:val="24"/>
        </w:rPr>
        <w:t>Razvoj i implementacija operativnih smjernica i procedura;</w:t>
      </w:r>
    </w:p>
    <w:p w14:paraId="27CC7541" w14:textId="77777777" w:rsidR="00215B11" w:rsidRPr="00C86111" w:rsidRDefault="00215B11" w:rsidP="00004F34">
      <w:pPr>
        <w:numPr>
          <w:ilvl w:val="0"/>
          <w:numId w:val="223"/>
        </w:numPr>
        <w:jc w:val="both"/>
        <w:rPr>
          <w:rFonts w:asciiTheme="minorHAnsi" w:hAnsiTheme="minorHAnsi" w:cstheme="minorHAnsi"/>
          <w:color w:val="auto"/>
          <w:szCs w:val="24"/>
        </w:rPr>
      </w:pPr>
      <w:r w:rsidRPr="00C86111">
        <w:rPr>
          <w:rFonts w:asciiTheme="minorHAnsi" w:hAnsiTheme="minorHAnsi" w:cstheme="minorHAnsi"/>
          <w:color w:val="auto"/>
          <w:szCs w:val="24"/>
        </w:rPr>
        <w:lastRenderedPageBreak/>
        <w:t>Praćenje trendova i evaluacija efekata propisa, BRS obaveza, akcionih planova i preporuka u oblasti upravljanja hemikalijama;</w:t>
      </w:r>
    </w:p>
    <w:p w14:paraId="69BB09EA" w14:textId="77777777" w:rsidR="00215B11" w:rsidRPr="00C86111" w:rsidRDefault="00215B11" w:rsidP="00004F34">
      <w:pPr>
        <w:numPr>
          <w:ilvl w:val="0"/>
          <w:numId w:val="223"/>
        </w:numPr>
        <w:jc w:val="both"/>
        <w:rPr>
          <w:rFonts w:asciiTheme="minorHAnsi" w:hAnsiTheme="minorHAnsi" w:cstheme="minorHAnsi"/>
          <w:color w:val="auto"/>
          <w:szCs w:val="24"/>
        </w:rPr>
      </w:pPr>
      <w:r w:rsidRPr="00C86111">
        <w:rPr>
          <w:rFonts w:asciiTheme="minorHAnsi" w:hAnsiTheme="minorHAnsi" w:cstheme="minorHAnsi"/>
          <w:color w:val="auto"/>
          <w:szCs w:val="24"/>
        </w:rPr>
        <w:t>Podrška edukaciji i podizanju svijesti u javnosti i industriji.</w:t>
      </w:r>
    </w:p>
    <w:p w14:paraId="477844E7"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color w:val="auto"/>
          <w:szCs w:val="24"/>
        </w:rPr>
        <w:t>Operativni tim obezbjeđuje tehničku i stručnu osnovu za efikasnu implementaciju akcionih planova i praćenje statusa POPs supstanci u Crnoj Gori.</w:t>
      </w:r>
    </w:p>
    <w:p w14:paraId="6BF82529" w14:textId="77777777" w:rsidR="00215B11" w:rsidRPr="00C86111" w:rsidRDefault="00215B11" w:rsidP="00215B11">
      <w:pPr>
        <w:jc w:val="both"/>
        <w:rPr>
          <w:rFonts w:asciiTheme="minorHAnsi" w:hAnsiTheme="minorHAnsi" w:cstheme="minorHAnsi"/>
          <w:color w:val="auto"/>
          <w:szCs w:val="24"/>
        </w:rPr>
      </w:pPr>
      <w:r w:rsidRPr="00C86111">
        <w:rPr>
          <w:rFonts w:asciiTheme="minorHAnsi" w:hAnsiTheme="minorHAnsi" w:cstheme="minorHAnsi"/>
          <w:b/>
          <w:bCs/>
          <w:color w:val="auto"/>
          <w:szCs w:val="24"/>
        </w:rPr>
        <w:t xml:space="preserve"> </w:t>
      </w:r>
      <w:r w:rsidRPr="00C86111">
        <w:rPr>
          <w:rFonts w:asciiTheme="minorHAnsi" w:hAnsiTheme="minorHAnsi" w:cstheme="minorHAnsi"/>
          <w:color w:val="auto"/>
          <w:szCs w:val="24"/>
        </w:rPr>
        <w:t>Prednosti ovako predložene strukture NKT-a:</w:t>
      </w:r>
    </w:p>
    <w:p w14:paraId="29B68E88" w14:textId="77777777" w:rsidR="00215B11" w:rsidRPr="00C86111" w:rsidRDefault="00215B11" w:rsidP="00004F34">
      <w:pPr>
        <w:numPr>
          <w:ilvl w:val="0"/>
          <w:numId w:val="224"/>
        </w:numPr>
        <w:jc w:val="both"/>
        <w:rPr>
          <w:rFonts w:asciiTheme="minorHAnsi" w:hAnsiTheme="minorHAnsi" w:cstheme="minorHAnsi"/>
          <w:color w:val="auto"/>
          <w:szCs w:val="24"/>
        </w:rPr>
      </w:pPr>
      <w:r w:rsidRPr="00C86111">
        <w:rPr>
          <w:rFonts w:asciiTheme="minorHAnsi" w:hAnsiTheme="minorHAnsi" w:cstheme="minorHAnsi"/>
          <w:color w:val="auto"/>
          <w:szCs w:val="24"/>
        </w:rPr>
        <w:t>Jasna podjela odgovornosti između donošenja politika i njihove implementacije;</w:t>
      </w:r>
    </w:p>
    <w:p w14:paraId="5B86BBF7" w14:textId="77777777" w:rsidR="00215B11" w:rsidRPr="00C86111" w:rsidRDefault="00215B11" w:rsidP="00004F34">
      <w:pPr>
        <w:numPr>
          <w:ilvl w:val="0"/>
          <w:numId w:val="224"/>
        </w:numPr>
        <w:jc w:val="both"/>
        <w:rPr>
          <w:rFonts w:asciiTheme="minorHAnsi" w:hAnsiTheme="minorHAnsi" w:cstheme="minorHAnsi"/>
          <w:color w:val="auto"/>
          <w:szCs w:val="24"/>
        </w:rPr>
      </w:pPr>
      <w:r w:rsidRPr="00C86111">
        <w:rPr>
          <w:rFonts w:asciiTheme="minorHAnsi" w:hAnsiTheme="minorHAnsi" w:cstheme="minorHAnsi"/>
          <w:color w:val="auto"/>
          <w:szCs w:val="24"/>
        </w:rPr>
        <w:t>Brža i efikasnija operativna realizacija monitoringa i akcija;</w:t>
      </w:r>
    </w:p>
    <w:p w14:paraId="5AE5D449" w14:textId="77777777" w:rsidR="00215B11" w:rsidRPr="00C86111" w:rsidRDefault="00215B11" w:rsidP="00004F34">
      <w:pPr>
        <w:numPr>
          <w:ilvl w:val="0"/>
          <w:numId w:val="224"/>
        </w:numPr>
        <w:jc w:val="both"/>
        <w:rPr>
          <w:rFonts w:asciiTheme="minorHAnsi" w:hAnsiTheme="minorHAnsi" w:cstheme="minorHAnsi"/>
          <w:color w:val="auto"/>
          <w:szCs w:val="24"/>
        </w:rPr>
      </w:pPr>
      <w:r w:rsidRPr="00C86111">
        <w:rPr>
          <w:rFonts w:asciiTheme="minorHAnsi" w:hAnsiTheme="minorHAnsi" w:cstheme="minorHAnsi"/>
          <w:color w:val="auto"/>
          <w:szCs w:val="24"/>
        </w:rPr>
        <w:t>Omogućava formiranje fokusiranih radnih grupa po supstancama ili sektorima (pesticidi, HBCD, PBDE, PFAS, PCB, SCCP/MCCP, otpad);</w:t>
      </w:r>
    </w:p>
    <w:p w14:paraId="3E0DE164" w14:textId="77777777" w:rsidR="00215B11" w:rsidRPr="00C86111" w:rsidRDefault="00215B11" w:rsidP="00004F34">
      <w:pPr>
        <w:numPr>
          <w:ilvl w:val="0"/>
          <w:numId w:val="224"/>
        </w:numPr>
        <w:jc w:val="both"/>
        <w:rPr>
          <w:rFonts w:asciiTheme="minorHAnsi" w:hAnsiTheme="minorHAnsi" w:cstheme="minorHAnsi"/>
          <w:color w:val="auto"/>
          <w:szCs w:val="24"/>
        </w:rPr>
      </w:pPr>
      <w:r w:rsidRPr="00C86111">
        <w:rPr>
          <w:rFonts w:asciiTheme="minorHAnsi" w:hAnsiTheme="minorHAnsi" w:cstheme="minorHAnsi"/>
          <w:color w:val="auto"/>
          <w:szCs w:val="24"/>
        </w:rPr>
        <w:t>Olakšava izvještavanje rukovodnom nivou i Vladi, čime se poboljšava praćenje i donošenje strateških odluka.</w:t>
      </w:r>
    </w:p>
    <w:p w14:paraId="358C903F" w14:textId="77777777" w:rsidR="00215B11" w:rsidRPr="00C86111" w:rsidRDefault="00215B11" w:rsidP="00215B11">
      <w:pPr>
        <w:rPr>
          <w:color w:val="auto"/>
        </w:rPr>
      </w:pPr>
    </w:p>
    <w:p w14:paraId="6C868F56" w14:textId="77777777" w:rsidR="00215B11" w:rsidRPr="00C86111" w:rsidRDefault="00215B11" w:rsidP="00215B11">
      <w:pPr>
        <w:tabs>
          <w:tab w:val="left" w:pos="1302"/>
        </w:tabs>
        <w:rPr>
          <w:color w:val="2F5496" w:themeColor="accent1" w:themeShade="BF"/>
        </w:rPr>
      </w:pPr>
      <w:r w:rsidRPr="00C86111">
        <w:tab/>
      </w:r>
    </w:p>
    <w:p w14:paraId="0135B6E7" w14:textId="7F3175A9" w:rsidR="00215B11" w:rsidRPr="00C86111" w:rsidRDefault="00B908DB" w:rsidP="00B908DB">
      <w:pPr>
        <w:tabs>
          <w:tab w:val="left" w:pos="1302"/>
        </w:tabs>
        <w:jc w:val="center"/>
      </w:pPr>
      <w:r w:rsidRPr="00C86111">
        <w:rPr>
          <w:noProof/>
        </w:rPr>
        <w:drawing>
          <wp:inline distT="0" distB="0" distL="0" distR="0" wp14:anchorId="277BD5DF" wp14:editId="4CF6C20D">
            <wp:extent cx="4337050" cy="193357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37050" cy="1933575"/>
                    </a:xfrm>
                    <a:prstGeom prst="rect">
                      <a:avLst/>
                    </a:prstGeom>
                    <a:noFill/>
                    <a:ln>
                      <a:noFill/>
                    </a:ln>
                  </pic:spPr>
                </pic:pic>
              </a:graphicData>
            </a:graphic>
          </wp:inline>
        </w:drawing>
      </w:r>
    </w:p>
    <w:p w14:paraId="04B67BB0" w14:textId="27344427" w:rsidR="00215B11" w:rsidRPr="00C86111" w:rsidRDefault="00215B11" w:rsidP="00215B11"/>
    <w:p w14:paraId="67B3B227" w14:textId="675F64D0" w:rsidR="00215B11" w:rsidRDefault="00B908DB" w:rsidP="00B908DB">
      <w:pPr>
        <w:jc w:val="center"/>
      </w:pPr>
      <w:r w:rsidRPr="00C86111">
        <w:rPr>
          <w:b/>
          <w:bCs/>
        </w:rPr>
        <w:t xml:space="preserve">Slika 5. </w:t>
      </w:r>
      <w:r w:rsidRPr="00C86111">
        <w:t>Proces prioritizacije POPs u Crnoj Gori</w:t>
      </w:r>
    </w:p>
    <w:p w14:paraId="6843D396" w14:textId="77777777" w:rsidR="00D611ED" w:rsidRDefault="00D611ED" w:rsidP="00B908DB">
      <w:pPr>
        <w:jc w:val="center"/>
      </w:pPr>
    </w:p>
    <w:p w14:paraId="2D30AAB0" w14:textId="77777777" w:rsidR="00D611ED" w:rsidRDefault="00D611ED" w:rsidP="00B908DB">
      <w:pPr>
        <w:jc w:val="center"/>
      </w:pPr>
    </w:p>
    <w:p w14:paraId="7E01ACEA" w14:textId="77777777" w:rsidR="00D611ED" w:rsidRDefault="00D611ED" w:rsidP="00B908DB">
      <w:pPr>
        <w:jc w:val="center"/>
      </w:pPr>
    </w:p>
    <w:p w14:paraId="3D4E3CFC" w14:textId="77777777" w:rsidR="00D611ED" w:rsidRDefault="00D611ED" w:rsidP="00B908DB">
      <w:pPr>
        <w:jc w:val="center"/>
      </w:pPr>
    </w:p>
    <w:p w14:paraId="42BFC5D3" w14:textId="77777777" w:rsidR="00D611ED" w:rsidRDefault="00D611ED" w:rsidP="00B908DB">
      <w:pPr>
        <w:jc w:val="center"/>
      </w:pPr>
    </w:p>
    <w:p w14:paraId="61DB6FF7" w14:textId="77777777" w:rsidR="00D611ED" w:rsidRPr="00C86111" w:rsidRDefault="00D611ED" w:rsidP="00B908DB">
      <w:pPr>
        <w:jc w:val="center"/>
      </w:pPr>
    </w:p>
    <w:p w14:paraId="3A1200A6" w14:textId="42DE6D17" w:rsidR="00C4574D" w:rsidRPr="00C86111" w:rsidRDefault="00C4574D" w:rsidP="00912C4C">
      <w:pPr>
        <w:pStyle w:val="Heading1"/>
      </w:pPr>
      <w:bookmarkStart w:id="500" w:name="_Toc220542028"/>
      <w:r w:rsidRPr="00C86111">
        <w:t>PRAĆENJE SPROVOĐENJA NIP</w:t>
      </w:r>
      <w:r w:rsidR="00D611ED">
        <w:t>-</w:t>
      </w:r>
      <w:r w:rsidRPr="00C86111">
        <w:t>a, IZVJEŠTAVANJE I EVALUACIJA</w:t>
      </w:r>
      <w:bookmarkEnd w:id="500"/>
    </w:p>
    <w:p w14:paraId="74CF803D" w14:textId="77777777" w:rsidR="00C4574D" w:rsidRPr="00C86111" w:rsidRDefault="00C4574D" w:rsidP="00C4574D">
      <w:pPr>
        <w:jc w:val="both"/>
        <w:rPr>
          <w:color w:val="auto"/>
        </w:rPr>
      </w:pPr>
    </w:p>
    <w:p w14:paraId="041CE80D" w14:textId="5FAFC2C2" w:rsidR="00C4574D" w:rsidRPr="00C86111" w:rsidRDefault="00C4574D" w:rsidP="00C4574D">
      <w:pPr>
        <w:jc w:val="both"/>
        <w:rPr>
          <w:color w:val="auto"/>
        </w:rPr>
      </w:pPr>
      <w:r w:rsidRPr="00C86111">
        <w:rPr>
          <w:color w:val="auto"/>
        </w:rPr>
        <w:t>Ciljevi definisani u ovom Nacionalnom implementacionom planu osmišljeni su tako da obezbijede sistemsko, koordinisano i efektivno upravljanje dugotrajnim organskim zagađujućim supstancama (POPs) u Crnoj Gori, u skladu sa obavezama iz Stokholmske konvencije, drugih relevantnih međunarodnih sporazuma i standarda Evropske unije. Navedeni ciljevi su grupisani kroz strateške i operativne komponente, uz jasno definisane indikatore uspjeha koji se prate kroz period implementacije do 2027. godine.</w:t>
      </w:r>
    </w:p>
    <w:p w14:paraId="63FEFB75" w14:textId="77777777" w:rsidR="00C4574D" w:rsidRPr="00C86111" w:rsidRDefault="00C4574D" w:rsidP="00C4574D">
      <w:pPr>
        <w:jc w:val="both"/>
        <w:rPr>
          <w:color w:val="auto"/>
        </w:rPr>
      </w:pPr>
    </w:p>
    <w:p w14:paraId="4801B54F" w14:textId="77777777" w:rsidR="00C4574D" w:rsidRPr="00C86111" w:rsidRDefault="00C4574D" w:rsidP="00C4574D">
      <w:pPr>
        <w:rPr>
          <w:b/>
          <w:bCs/>
          <w:color w:val="002060"/>
        </w:rPr>
      </w:pPr>
      <w:r w:rsidRPr="00C86111">
        <w:rPr>
          <w:b/>
          <w:bCs/>
          <w:color w:val="002060"/>
        </w:rPr>
        <w:lastRenderedPageBreak/>
        <w:t>STRATEŠKI CILJ 1</w:t>
      </w:r>
    </w:p>
    <w:p w14:paraId="04957091" w14:textId="77777777" w:rsidR="00C4574D" w:rsidRPr="00C86111" w:rsidRDefault="00C4574D" w:rsidP="00C4574D">
      <w:pPr>
        <w:rPr>
          <w:b/>
          <w:bCs/>
          <w:color w:val="002060"/>
        </w:rPr>
      </w:pPr>
      <w:r w:rsidRPr="00C86111">
        <w:rPr>
          <w:b/>
          <w:bCs/>
          <w:color w:val="002060"/>
        </w:rPr>
        <w:t>Uspostavljanje održivog, efikasnog i usklađenog nacionalnog sistema za upravljanje POPs supstancama.</w:t>
      </w:r>
    </w:p>
    <w:p w14:paraId="740C2E7C" w14:textId="77777777" w:rsidR="00C4574D" w:rsidRPr="00C86111" w:rsidRDefault="00C4574D" w:rsidP="00C4574D">
      <w:pPr>
        <w:jc w:val="both"/>
        <w:rPr>
          <w:color w:val="auto"/>
        </w:rPr>
      </w:pPr>
      <w:r w:rsidRPr="00C86111">
        <w:rPr>
          <w:color w:val="auto"/>
        </w:rPr>
        <w:t>Ovaj strateški cilj obuhvata razvoj pravnog okvira, jačanje institucionalnih kapaciteta, međuresornu koordinaciju i međunarodnu saradnju, kao i unapređenje regulatornih i upravljačkih instrumenata.</w:t>
      </w:r>
    </w:p>
    <w:p w14:paraId="126033A6" w14:textId="77777777" w:rsidR="00C4574D" w:rsidRPr="00C86111" w:rsidRDefault="00C4574D" w:rsidP="00C4574D">
      <w:pPr>
        <w:rPr>
          <w:color w:val="auto"/>
        </w:rPr>
      </w:pPr>
    </w:p>
    <w:p w14:paraId="0FAA30AA" w14:textId="77777777" w:rsidR="00C4574D" w:rsidRPr="00C86111" w:rsidRDefault="00C4574D" w:rsidP="00C4574D">
      <w:pPr>
        <w:rPr>
          <w:color w:val="auto"/>
        </w:rPr>
      </w:pPr>
      <w:r w:rsidRPr="00C86111">
        <w:rPr>
          <w:b/>
          <w:bCs/>
          <w:color w:val="002060"/>
        </w:rPr>
        <w:t>Operativni cilj 1.1:</w:t>
      </w:r>
      <w:r w:rsidRPr="00C86111">
        <w:rPr>
          <w:color w:val="002060"/>
        </w:rPr>
        <w:t xml:space="preserve"> </w:t>
      </w:r>
      <w:r w:rsidRPr="00C86111">
        <w:rPr>
          <w:color w:val="auto"/>
        </w:rPr>
        <w:t>Uspostaviti pravni osnov za upravljanje POPs supstancama i remedijaciju kontaminiranih lokacija.</w:t>
      </w:r>
    </w:p>
    <w:p w14:paraId="0F199691" w14:textId="77777777" w:rsidR="00C4574D" w:rsidRPr="00C86111" w:rsidRDefault="00C4574D" w:rsidP="00C4574D">
      <w:pPr>
        <w:rPr>
          <w:color w:val="auto"/>
        </w:rPr>
      </w:pPr>
    </w:p>
    <w:tbl>
      <w:tblPr>
        <w:tblStyle w:val="GridTable4-Accent2"/>
        <w:tblW w:w="0" w:type="auto"/>
        <w:tblLook w:val="04A0" w:firstRow="1" w:lastRow="0" w:firstColumn="1" w:lastColumn="0" w:noHBand="0" w:noVBand="1"/>
      </w:tblPr>
      <w:tblGrid>
        <w:gridCol w:w="2041"/>
        <w:gridCol w:w="1419"/>
        <w:gridCol w:w="1600"/>
        <w:gridCol w:w="2037"/>
        <w:gridCol w:w="2253"/>
      </w:tblGrid>
      <w:tr w:rsidR="00C4574D" w:rsidRPr="00C86111" w14:paraId="2B09555C"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B203FA" w14:textId="77777777" w:rsidR="00C4574D" w:rsidRPr="00C86111" w:rsidRDefault="00C4574D" w:rsidP="00033AB8">
            <w:pPr>
              <w:rPr>
                <w:color w:val="auto"/>
              </w:rPr>
            </w:pPr>
            <w:r w:rsidRPr="00C86111">
              <w:rPr>
                <w:color w:val="auto"/>
              </w:rPr>
              <w:t>Indikator uspjeha</w:t>
            </w:r>
          </w:p>
        </w:tc>
        <w:tc>
          <w:tcPr>
            <w:tcW w:w="0" w:type="auto"/>
            <w:hideMark/>
          </w:tcPr>
          <w:p w14:paraId="3F4F7CB7"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67704BB9"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5A15F0D7"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16C552E2"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049556C6"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1C792C" w14:textId="77777777" w:rsidR="00C4574D" w:rsidRPr="00C86111" w:rsidRDefault="00C4574D" w:rsidP="00033AB8">
            <w:pPr>
              <w:rPr>
                <w:color w:val="auto"/>
              </w:rPr>
            </w:pPr>
            <w:r w:rsidRPr="00C86111">
              <w:rPr>
                <w:color w:val="auto"/>
              </w:rPr>
              <w:t>Postojanje zakonodavnog okvira za POPs</w:t>
            </w:r>
          </w:p>
        </w:tc>
        <w:tc>
          <w:tcPr>
            <w:tcW w:w="0" w:type="auto"/>
            <w:hideMark/>
          </w:tcPr>
          <w:p w14:paraId="7F61632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0</w:t>
            </w:r>
          </w:p>
        </w:tc>
        <w:tc>
          <w:tcPr>
            <w:tcW w:w="0" w:type="auto"/>
            <w:hideMark/>
          </w:tcPr>
          <w:p w14:paraId="5625A4A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Zakon usvojen i primjenjuje se</w:t>
            </w:r>
          </w:p>
        </w:tc>
        <w:tc>
          <w:tcPr>
            <w:tcW w:w="0" w:type="auto"/>
            <w:hideMark/>
          </w:tcPr>
          <w:p w14:paraId="7D2ACAF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Izrada zakona o zaštiti zemljišta i POPs, podzakonski akti</w:t>
            </w:r>
          </w:p>
        </w:tc>
        <w:tc>
          <w:tcPr>
            <w:tcW w:w="0" w:type="auto"/>
            <w:hideMark/>
          </w:tcPr>
          <w:p w14:paraId="6DB99BA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Redovni izvještaji MERS, izvještavanje ka Stokholmskoj konvenciji</w:t>
            </w:r>
          </w:p>
        </w:tc>
      </w:tr>
    </w:tbl>
    <w:p w14:paraId="702E9C34" w14:textId="77777777" w:rsidR="00C4574D" w:rsidRPr="00C86111" w:rsidRDefault="00C4574D" w:rsidP="00C4574D">
      <w:pPr>
        <w:rPr>
          <w:color w:val="auto"/>
        </w:rPr>
      </w:pPr>
      <w:r w:rsidRPr="00C86111">
        <w:rPr>
          <w:b/>
          <w:bCs/>
          <w:color w:val="002060"/>
        </w:rPr>
        <w:t>Operativni cilj 1.2:</w:t>
      </w:r>
      <w:r w:rsidRPr="00C86111">
        <w:rPr>
          <w:color w:val="002060"/>
        </w:rPr>
        <w:t xml:space="preserve"> </w:t>
      </w:r>
      <w:r w:rsidRPr="00C86111">
        <w:rPr>
          <w:color w:val="auto"/>
        </w:rPr>
        <w:t>Revizija zakona o hemikalijama radi usklađenosti sa EU propisima (REACH, CLP, POPs).</w:t>
      </w:r>
    </w:p>
    <w:tbl>
      <w:tblPr>
        <w:tblStyle w:val="GridTable4-Accent2"/>
        <w:tblW w:w="0" w:type="auto"/>
        <w:tblLook w:val="04A0" w:firstRow="1" w:lastRow="0" w:firstColumn="1" w:lastColumn="0" w:noHBand="0" w:noVBand="1"/>
      </w:tblPr>
      <w:tblGrid>
        <w:gridCol w:w="2112"/>
        <w:gridCol w:w="1472"/>
        <w:gridCol w:w="1432"/>
        <w:gridCol w:w="1886"/>
        <w:gridCol w:w="2448"/>
      </w:tblGrid>
      <w:tr w:rsidR="00C4574D" w:rsidRPr="00C86111" w14:paraId="034293AC"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2B7286" w14:textId="77777777" w:rsidR="00C4574D" w:rsidRPr="00C86111" w:rsidRDefault="00C4574D" w:rsidP="00033AB8">
            <w:pPr>
              <w:rPr>
                <w:color w:val="auto"/>
              </w:rPr>
            </w:pPr>
            <w:r w:rsidRPr="00C86111">
              <w:rPr>
                <w:color w:val="auto"/>
              </w:rPr>
              <w:t>Indikator uspjeha</w:t>
            </w:r>
          </w:p>
        </w:tc>
        <w:tc>
          <w:tcPr>
            <w:tcW w:w="0" w:type="auto"/>
            <w:hideMark/>
          </w:tcPr>
          <w:p w14:paraId="68D54D6D"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5A084B21"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0B37067C"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59008030"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4BFD5178"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27E5FB" w14:textId="77777777" w:rsidR="00C4574D" w:rsidRPr="00C86111" w:rsidRDefault="00C4574D" w:rsidP="00033AB8">
            <w:pPr>
              <w:rPr>
                <w:color w:val="auto"/>
              </w:rPr>
            </w:pPr>
            <w:r w:rsidRPr="00C86111">
              <w:rPr>
                <w:color w:val="auto"/>
              </w:rPr>
              <w:t>Stepen usklađenosti sa EU pravnom tekovinom</w:t>
            </w:r>
          </w:p>
        </w:tc>
        <w:tc>
          <w:tcPr>
            <w:tcW w:w="0" w:type="auto"/>
            <w:hideMark/>
          </w:tcPr>
          <w:p w14:paraId="11AEA66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80%</w:t>
            </w:r>
          </w:p>
        </w:tc>
        <w:tc>
          <w:tcPr>
            <w:tcW w:w="0" w:type="auto"/>
            <w:hideMark/>
          </w:tcPr>
          <w:p w14:paraId="743199B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100%</w:t>
            </w:r>
          </w:p>
        </w:tc>
        <w:tc>
          <w:tcPr>
            <w:tcW w:w="0" w:type="auto"/>
            <w:hideMark/>
          </w:tcPr>
          <w:p w14:paraId="2DE2464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Revizija zakona i priprema nacrta novog zakona</w:t>
            </w:r>
          </w:p>
        </w:tc>
        <w:tc>
          <w:tcPr>
            <w:tcW w:w="0" w:type="auto"/>
            <w:hideMark/>
          </w:tcPr>
          <w:p w14:paraId="5CAF4BD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Redovni izvještaji MERS, izvještavanje ka Stokholmskoj konvenciji</w:t>
            </w:r>
          </w:p>
        </w:tc>
      </w:tr>
    </w:tbl>
    <w:p w14:paraId="502B44AE" w14:textId="77777777" w:rsidR="00C4574D" w:rsidRPr="00C86111" w:rsidRDefault="00C4574D" w:rsidP="00C4574D">
      <w:pPr>
        <w:rPr>
          <w:color w:val="auto"/>
        </w:rPr>
      </w:pPr>
      <w:r w:rsidRPr="00C86111">
        <w:rPr>
          <w:b/>
          <w:bCs/>
          <w:color w:val="002060"/>
        </w:rPr>
        <w:t>Operativni cilj 1.3:</w:t>
      </w:r>
      <w:r w:rsidRPr="00C86111">
        <w:rPr>
          <w:color w:val="002060"/>
        </w:rPr>
        <w:t xml:space="preserve"> </w:t>
      </w:r>
      <w:r w:rsidRPr="00C86111">
        <w:rPr>
          <w:color w:val="auto"/>
        </w:rPr>
        <w:t>Ojačani administrativni i tehnički kapaciteti institucija.</w:t>
      </w:r>
    </w:p>
    <w:tbl>
      <w:tblPr>
        <w:tblStyle w:val="GridTable4-Accent2"/>
        <w:tblW w:w="0" w:type="auto"/>
        <w:tblLook w:val="04A0" w:firstRow="1" w:lastRow="0" w:firstColumn="1" w:lastColumn="0" w:noHBand="0" w:noVBand="1"/>
      </w:tblPr>
      <w:tblGrid>
        <w:gridCol w:w="1970"/>
        <w:gridCol w:w="1378"/>
        <w:gridCol w:w="1666"/>
        <w:gridCol w:w="2400"/>
        <w:gridCol w:w="1936"/>
      </w:tblGrid>
      <w:tr w:rsidR="00C4574D" w:rsidRPr="00C86111" w14:paraId="0A2039B9"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F6AA1E" w14:textId="77777777" w:rsidR="00C4574D" w:rsidRPr="00C86111" w:rsidRDefault="00C4574D" w:rsidP="00033AB8">
            <w:pPr>
              <w:rPr>
                <w:color w:val="auto"/>
              </w:rPr>
            </w:pPr>
            <w:r w:rsidRPr="00C86111">
              <w:rPr>
                <w:color w:val="auto"/>
              </w:rPr>
              <w:t>Indikator uspjeha</w:t>
            </w:r>
          </w:p>
        </w:tc>
        <w:tc>
          <w:tcPr>
            <w:tcW w:w="0" w:type="auto"/>
            <w:hideMark/>
          </w:tcPr>
          <w:p w14:paraId="5FE911BF"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0B5AA5DB"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2F997164"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2C9FD0F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12C6F09F"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532535" w14:textId="77777777" w:rsidR="00C4574D" w:rsidRPr="00C86111" w:rsidRDefault="00C4574D" w:rsidP="00033AB8">
            <w:pPr>
              <w:rPr>
                <w:color w:val="auto"/>
              </w:rPr>
            </w:pPr>
            <w:r w:rsidRPr="00C86111">
              <w:rPr>
                <w:color w:val="auto"/>
              </w:rPr>
              <w:t>Broj obučenih službenika</w:t>
            </w:r>
          </w:p>
        </w:tc>
        <w:tc>
          <w:tcPr>
            <w:tcW w:w="0" w:type="auto"/>
            <w:hideMark/>
          </w:tcPr>
          <w:p w14:paraId="3DC7222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0</w:t>
            </w:r>
          </w:p>
        </w:tc>
        <w:tc>
          <w:tcPr>
            <w:tcW w:w="0" w:type="auto"/>
            <w:hideMark/>
          </w:tcPr>
          <w:p w14:paraId="1B76A324"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Kontinuirani sistem obuke</w:t>
            </w:r>
          </w:p>
        </w:tc>
        <w:tc>
          <w:tcPr>
            <w:tcW w:w="0" w:type="auto"/>
            <w:hideMark/>
          </w:tcPr>
          <w:p w14:paraId="315D558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Obuke i sertifikacije, uspostavljanje Centra za kontrolu trovanja</w:t>
            </w:r>
          </w:p>
        </w:tc>
        <w:tc>
          <w:tcPr>
            <w:tcW w:w="0" w:type="auto"/>
            <w:hideMark/>
          </w:tcPr>
          <w:p w14:paraId="64A7C1E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Izvještaji MERS i institucija, Stokholmska konvencija</w:t>
            </w:r>
          </w:p>
        </w:tc>
      </w:tr>
      <w:tr w:rsidR="00C4574D" w:rsidRPr="00C86111" w14:paraId="2F8BBCC2"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7509C998" w14:textId="77777777" w:rsidR="00C4574D" w:rsidRPr="00C86111" w:rsidRDefault="00C4574D" w:rsidP="00033AB8">
            <w:pPr>
              <w:rPr>
                <w:color w:val="auto"/>
              </w:rPr>
            </w:pPr>
            <w:r w:rsidRPr="00C86111">
              <w:rPr>
                <w:color w:val="auto"/>
              </w:rPr>
              <w:t>Broj akreditovanih metoda za ispitivanje POPs</w:t>
            </w:r>
          </w:p>
        </w:tc>
        <w:tc>
          <w:tcPr>
            <w:tcW w:w="0" w:type="auto"/>
            <w:hideMark/>
          </w:tcPr>
          <w:p w14:paraId="1387B126"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w:t>
            </w:r>
          </w:p>
        </w:tc>
        <w:tc>
          <w:tcPr>
            <w:tcW w:w="0" w:type="auto"/>
            <w:hideMark/>
          </w:tcPr>
          <w:p w14:paraId="57A3CC0E"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Akreditovane metode</w:t>
            </w:r>
          </w:p>
        </w:tc>
        <w:tc>
          <w:tcPr>
            <w:tcW w:w="0" w:type="auto"/>
            <w:hideMark/>
          </w:tcPr>
          <w:p w14:paraId="41D81957"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Uvođenje standardizovanih laboratorijskih metoda</w:t>
            </w:r>
          </w:p>
        </w:tc>
        <w:tc>
          <w:tcPr>
            <w:tcW w:w="0" w:type="auto"/>
            <w:hideMark/>
          </w:tcPr>
          <w:p w14:paraId="1A50F9CC"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Izvještaji laboratorija</w:t>
            </w:r>
          </w:p>
        </w:tc>
      </w:tr>
    </w:tbl>
    <w:p w14:paraId="1ED53A6A" w14:textId="77777777" w:rsidR="00C4574D" w:rsidRPr="00C86111" w:rsidRDefault="00C4574D" w:rsidP="00C4574D">
      <w:pPr>
        <w:rPr>
          <w:color w:val="auto"/>
        </w:rPr>
      </w:pPr>
    </w:p>
    <w:p w14:paraId="752EC979" w14:textId="77777777" w:rsidR="00C4574D" w:rsidRPr="00C86111" w:rsidRDefault="00C4574D" w:rsidP="00C4574D">
      <w:pPr>
        <w:rPr>
          <w:b/>
          <w:bCs/>
          <w:color w:val="002060"/>
        </w:rPr>
      </w:pPr>
      <w:r w:rsidRPr="00C86111">
        <w:rPr>
          <w:b/>
          <w:bCs/>
          <w:color w:val="002060"/>
        </w:rPr>
        <w:t>STRATEŠKI CILJ 2</w:t>
      </w:r>
    </w:p>
    <w:p w14:paraId="1EF4266A" w14:textId="77777777" w:rsidR="00C4574D" w:rsidRPr="00C86111" w:rsidRDefault="00C4574D" w:rsidP="00C4574D">
      <w:pPr>
        <w:rPr>
          <w:b/>
          <w:bCs/>
          <w:color w:val="002060"/>
        </w:rPr>
      </w:pPr>
      <w:r w:rsidRPr="00C86111">
        <w:rPr>
          <w:b/>
          <w:bCs/>
          <w:color w:val="002060"/>
        </w:rPr>
        <w:t>Jačanje javne svijesti i obrazovanja o POPs supstancama i njihovim rizicima.</w:t>
      </w:r>
    </w:p>
    <w:p w14:paraId="177262F0" w14:textId="77777777" w:rsidR="00C4574D" w:rsidRPr="00C86111" w:rsidRDefault="00C4574D" w:rsidP="00C4574D">
      <w:pPr>
        <w:jc w:val="both"/>
        <w:rPr>
          <w:color w:val="auto"/>
        </w:rPr>
      </w:pPr>
      <w:r w:rsidRPr="00C86111">
        <w:rPr>
          <w:color w:val="auto"/>
        </w:rPr>
        <w:t>Cilj je postići povećanje nivoa informisanosti građana, ranjivih grupa i stručnjaka o rizicima i mjerama upravljanja POPs supstancama.</w:t>
      </w:r>
    </w:p>
    <w:p w14:paraId="1A4A4E08" w14:textId="77777777" w:rsidR="00C4574D" w:rsidRPr="00C86111" w:rsidRDefault="00C4574D" w:rsidP="00C4574D">
      <w:pPr>
        <w:rPr>
          <w:color w:val="auto"/>
        </w:rPr>
      </w:pPr>
    </w:p>
    <w:p w14:paraId="2FA04F44" w14:textId="77777777" w:rsidR="00C4574D" w:rsidRPr="00C86111" w:rsidRDefault="00C4574D" w:rsidP="00C4574D">
      <w:pPr>
        <w:rPr>
          <w:color w:val="auto"/>
        </w:rPr>
      </w:pPr>
      <w:r w:rsidRPr="00C86111">
        <w:rPr>
          <w:b/>
          <w:bCs/>
          <w:color w:val="002060"/>
        </w:rPr>
        <w:t>Operativni cilj 2.1:</w:t>
      </w:r>
      <w:r w:rsidRPr="00C86111">
        <w:rPr>
          <w:color w:val="002060"/>
        </w:rPr>
        <w:t xml:space="preserve"> </w:t>
      </w:r>
      <w:r w:rsidRPr="00C86111">
        <w:rPr>
          <w:color w:val="auto"/>
        </w:rPr>
        <w:t>Povećati nivo informisanosti javnosti, ranjivih grupa i profesionalaca.</w:t>
      </w:r>
    </w:p>
    <w:tbl>
      <w:tblPr>
        <w:tblStyle w:val="GridTable4-Accent2"/>
        <w:tblW w:w="0" w:type="auto"/>
        <w:tblLook w:val="04A0" w:firstRow="1" w:lastRow="0" w:firstColumn="1" w:lastColumn="0" w:noHBand="0" w:noVBand="1"/>
      </w:tblPr>
      <w:tblGrid>
        <w:gridCol w:w="1910"/>
        <w:gridCol w:w="1495"/>
        <w:gridCol w:w="1450"/>
        <w:gridCol w:w="2345"/>
        <w:gridCol w:w="2150"/>
      </w:tblGrid>
      <w:tr w:rsidR="00C4574D" w:rsidRPr="00C86111" w14:paraId="22DFB4E4"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0DACAF" w14:textId="77777777" w:rsidR="00C4574D" w:rsidRPr="00C86111" w:rsidRDefault="00C4574D" w:rsidP="00033AB8">
            <w:pPr>
              <w:rPr>
                <w:color w:val="auto"/>
              </w:rPr>
            </w:pPr>
            <w:r w:rsidRPr="00C86111">
              <w:rPr>
                <w:color w:val="auto"/>
              </w:rPr>
              <w:t>Indikator uspjeha</w:t>
            </w:r>
          </w:p>
        </w:tc>
        <w:tc>
          <w:tcPr>
            <w:tcW w:w="0" w:type="auto"/>
            <w:hideMark/>
          </w:tcPr>
          <w:p w14:paraId="0BA68C45"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0F5FEC9D"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6E0509B1"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5251B027"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360EF191"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2B57CE" w14:textId="77777777" w:rsidR="00C4574D" w:rsidRPr="00C86111" w:rsidRDefault="00C4574D" w:rsidP="00033AB8">
            <w:pPr>
              <w:rPr>
                <w:color w:val="auto"/>
              </w:rPr>
            </w:pPr>
            <w:r w:rsidRPr="00C86111">
              <w:rPr>
                <w:color w:val="auto"/>
              </w:rPr>
              <w:t>% građana informisanih o POPs</w:t>
            </w:r>
          </w:p>
        </w:tc>
        <w:tc>
          <w:tcPr>
            <w:tcW w:w="0" w:type="auto"/>
            <w:hideMark/>
          </w:tcPr>
          <w:p w14:paraId="48D476E4"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20%</w:t>
            </w:r>
          </w:p>
        </w:tc>
        <w:tc>
          <w:tcPr>
            <w:tcW w:w="0" w:type="auto"/>
            <w:hideMark/>
          </w:tcPr>
          <w:p w14:paraId="19E1E8D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80%</w:t>
            </w:r>
          </w:p>
        </w:tc>
        <w:tc>
          <w:tcPr>
            <w:tcW w:w="0" w:type="auto"/>
            <w:hideMark/>
          </w:tcPr>
          <w:p w14:paraId="0AAD413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Edukativne kampanje, multimedijalni materijali</w:t>
            </w:r>
          </w:p>
        </w:tc>
        <w:tc>
          <w:tcPr>
            <w:tcW w:w="0" w:type="auto"/>
            <w:hideMark/>
          </w:tcPr>
          <w:p w14:paraId="33AAAF2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Izvještaji AZŽS, MERS, Stokholmska konvencija</w:t>
            </w:r>
          </w:p>
        </w:tc>
      </w:tr>
      <w:tr w:rsidR="00C4574D" w:rsidRPr="00C86111" w14:paraId="3D00093B"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7656258F" w14:textId="77777777" w:rsidR="00C4574D" w:rsidRPr="00C86111" w:rsidRDefault="00C4574D" w:rsidP="00033AB8">
            <w:pPr>
              <w:rPr>
                <w:color w:val="auto"/>
              </w:rPr>
            </w:pPr>
            <w:r w:rsidRPr="00C86111">
              <w:rPr>
                <w:color w:val="auto"/>
              </w:rPr>
              <w:t>Broj edukativnih kampanja</w:t>
            </w:r>
          </w:p>
        </w:tc>
        <w:tc>
          <w:tcPr>
            <w:tcW w:w="0" w:type="auto"/>
            <w:hideMark/>
          </w:tcPr>
          <w:p w14:paraId="61EBCFA4"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2</w:t>
            </w:r>
          </w:p>
        </w:tc>
        <w:tc>
          <w:tcPr>
            <w:tcW w:w="0" w:type="auto"/>
            <w:hideMark/>
          </w:tcPr>
          <w:p w14:paraId="2E89A79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6</w:t>
            </w:r>
          </w:p>
        </w:tc>
        <w:tc>
          <w:tcPr>
            <w:tcW w:w="0" w:type="auto"/>
            <w:hideMark/>
          </w:tcPr>
          <w:p w14:paraId="71EFEE2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Organizacija kampanja</w:t>
            </w:r>
          </w:p>
        </w:tc>
        <w:tc>
          <w:tcPr>
            <w:tcW w:w="0" w:type="auto"/>
            <w:hideMark/>
          </w:tcPr>
          <w:p w14:paraId="1C8F3564"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Izvještaji institucija</w:t>
            </w:r>
          </w:p>
        </w:tc>
      </w:tr>
      <w:tr w:rsidR="00C4574D" w:rsidRPr="00C86111" w14:paraId="13EB9EB8"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6EF659" w14:textId="77777777" w:rsidR="00C4574D" w:rsidRPr="00C86111" w:rsidRDefault="00C4574D" w:rsidP="00033AB8">
            <w:pPr>
              <w:rPr>
                <w:color w:val="auto"/>
              </w:rPr>
            </w:pPr>
            <w:r w:rsidRPr="00C86111">
              <w:rPr>
                <w:color w:val="auto"/>
              </w:rPr>
              <w:t>Broj uključenih škola i univerziteta</w:t>
            </w:r>
          </w:p>
        </w:tc>
        <w:tc>
          <w:tcPr>
            <w:tcW w:w="0" w:type="auto"/>
            <w:hideMark/>
          </w:tcPr>
          <w:p w14:paraId="4CED8CF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0</w:t>
            </w:r>
          </w:p>
        </w:tc>
        <w:tc>
          <w:tcPr>
            <w:tcW w:w="0" w:type="auto"/>
            <w:hideMark/>
          </w:tcPr>
          <w:p w14:paraId="504601B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5</w:t>
            </w:r>
          </w:p>
        </w:tc>
        <w:tc>
          <w:tcPr>
            <w:tcW w:w="0" w:type="auto"/>
            <w:hideMark/>
          </w:tcPr>
          <w:p w14:paraId="28BD0B2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Implementacija obrazovnih programa</w:t>
            </w:r>
          </w:p>
        </w:tc>
        <w:tc>
          <w:tcPr>
            <w:tcW w:w="0" w:type="auto"/>
            <w:hideMark/>
          </w:tcPr>
          <w:p w14:paraId="77625F3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Redovno praćenje, izvještaji</w:t>
            </w:r>
          </w:p>
        </w:tc>
      </w:tr>
    </w:tbl>
    <w:p w14:paraId="5134B54F" w14:textId="77777777" w:rsidR="00C4574D" w:rsidRPr="00C86111" w:rsidRDefault="00C4574D" w:rsidP="00C4574D">
      <w:pPr>
        <w:rPr>
          <w:color w:val="auto"/>
        </w:rPr>
      </w:pPr>
    </w:p>
    <w:p w14:paraId="6E1C87F0" w14:textId="77777777" w:rsidR="00C4574D" w:rsidRPr="00C86111" w:rsidRDefault="00C4574D" w:rsidP="00C4574D">
      <w:pPr>
        <w:rPr>
          <w:b/>
          <w:bCs/>
          <w:color w:val="002060"/>
        </w:rPr>
      </w:pPr>
      <w:r w:rsidRPr="00C86111">
        <w:rPr>
          <w:b/>
          <w:bCs/>
          <w:color w:val="002060"/>
        </w:rPr>
        <w:t>STRATEŠKI CILJEVI ZA SPECIFIČNE POPs SUPSTANCE</w:t>
      </w:r>
    </w:p>
    <w:p w14:paraId="57980623" w14:textId="77777777" w:rsidR="00C4574D" w:rsidRPr="00C86111" w:rsidRDefault="00C4574D" w:rsidP="00C4574D">
      <w:pPr>
        <w:rPr>
          <w:b/>
          <w:bCs/>
          <w:color w:val="002060"/>
        </w:rPr>
      </w:pPr>
      <w:r w:rsidRPr="00C86111">
        <w:rPr>
          <w:b/>
          <w:bCs/>
          <w:color w:val="002060"/>
        </w:rPr>
        <w:t>1. PBDE, HBB, HBCDD</w:t>
      </w:r>
    </w:p>
    <w:p w14:paraId="7E30419B" w14:textId="77777777" w:rsidR="00C4574D" w:rsidRPr="00C86111" w:rsidRDefault="00C4574D" w:rsidP="00C4574D">
      <w:pPr>
        <w:rPr>
          <w:color w:val="auto"/>
        </w:rPr>
      </w:pPr>
      <w:r w:rsidRPr="00C86111">
        <w:rPr>
          <w:b/>
          <w:bCs/>
          <w:color w:val="002060"/>
        </w:rPr>
        <w:t>Operativni cilj 1:</w:t>
      </w:r>
      <w:r w:rsidRPr="00C86111">
        <w:rPr>
          <w:color w:val="auto"/>
        </w:rPr>
        <w:t xml:space="preserve"> Uspostaviti kontrolu proizvoda koji sadrže ove supstance.</w:t>
      </w:r>
    </w:p>
    <w:tbl>
      <w:tblPr>
        <w:tblStyle w:val="GridTable4-Accent2"/>
        <w:tblW w:w="0" w:type="auto"/>
        <w:tblLook w:val="04A0" w:firstRow="1" w:lastRow="0" w:firstColumn="1" w:lastColumn="0" w:noHBand="0" w:noVBand="1"/>
      </w:tblPr>
      <w:tblGrid>
        <w:gridCol w:w="2194"/>
        <w:gridCol w:w="1451"/>
        <w:gridCol w:w="1770"/>
        <w:gridCol w:w="1979"/>
        <w:gridCol w:w="1956"/>
      </w:tblGrid>
      <w:tr w:rsidR="00C4574D" w:rsidRPr="00C86111" w14:paraId="4C4CA1CA"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51CFCC" w14:textId="77777777" w:rsidR="00C4574D" w:rsidRPr="00C86111" w:rsidRDefault="00C4574D" w:rsidP="00033AB8">
            <w:pPr>
              <w:rPr>
                <w:color w:val="auto"/>
              </w:rPr>
            </w:pPr>
            <w:r w:rsidRPr="00C86111">
              <w:rPr>
                <w:color w:val="auto"/>
              </w:rPr>
              <w:t>Indikator uspjeha</w:t>
            </w:r>
          </w:p>
        </w:tc>
        <w:tc>
          <w:tcPr>
            <w:tcW w:w="0" w:type="auto"/>
            <w:hideMark/>
          </w:tcPr>
          <w:p w14:paraId="099D7B9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799ADEFD"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4569844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7C044EB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741C216B"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E79E05" w14:textId="77777777" w:rsidR="00C4574D" w:rsidRPr="00C86111" w:rsidRDefault="00C4574D" w:rsidP="00033AB8">
            <w:pPr>
              <w:rPr>
                <w:color w:val="auto"/>
              </w:rPr>
            </w:pPr>
            <w:r w:rsidRPr="00C86111">
              <w:rPr>
                <w:color w:val="auto"/>
              </w:rPr>
              <w:t>Broj uspostavljenih regulatornih instrumenata</w:t>
            </w:r>
          </w:p>
        </w:tc>
        <w:tc>
          <w:tcPr>
            <w:tcW w:w="0" w:type="auto"/>
            <w:hideMark/>
          </w:tcPr>
          <w:p w14:paraId="7AA6054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0</w:t>
            </w:r>
          </w:p>
        </w:tc>
        <w:tc>
          <w:tcPr>
            <w:tcW w:w="0" w:type="auto"/>
            <w:hideMark/>
          </w:tcPr>
          <w:p w14:paraId="4E25380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Funkcionalan sistem kontrole</w:t>
            </w:r>
          </w:p>
        </w:tc>
        <w:tc>
          <w:tcPr>
            <w:tcW w:w="0" w:type="auto"/>
            <w:hideMark/>
          </w:tcPr>
          <w:p w14:paraId="04E255A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Izrada akta sa HS kodovima, carinske obuke</w:t>
            </w:r>
          </w:p>
        </w:tc>
        <w:tc>
          <w:tcPr>
            <w:tcW w:w="0" w:type="auto"/>
            <w:hideMark/>
          </w:tcPr>
          <w:p w14:paraId="79FCD8F5"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MERS, carina, Stokholmska konvencija</w:t>
            </w:r>
          </w:p>
        </w:tc>
      </w:tr>
      <w:tr w:rsidR="00C4574D" w:rsidRPr="00C86111" w14:paraId="06E1027C"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763AEDCB" w14:textId="77777777" w:rsidR="00C4574D" w:rsidRPr="00C86111" w:rsidRDefault="00C4574D" w:rsidP="00033AB8">
            <w:pPr>
              <w:rPr>
                <w:color w:val="auto"/>
              </w:rPr>
            </w:pPr>
            <w:r w:rsidRPr="00C86111">
              <w:rPr>
                <w:color w:val="auto"/>
              </w:rPr>
              <w:t>Broj obučenih službenika</w:t>
            </w:r>
          </w:p>
        </w:tc>
        <w:tc>
          <w:tcPr>
            <w:tcW w:w="0" w:type="auto"/>
            <w:hideMark/>
          </w:tcPr>
          <w:p w14:paraId="4DC1828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0</w:t>
            </w:r>
          </w:p>
        </w:tc>
        <w:tc>
          <w:tcPr>
            <w:tcW w:w="0" w:type="auto"/>
            <w:hideMark/>
          </w:tcPr>
          <w:p w14:paraId="13BA342A"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Kontinuirani sistem obuke</w:t>
            </w:r>
          </w:p>
        </w:tc>
        <w:tc>
          <w:tcPr>
            <w:tcW w:w="0" w:type="auto"/>
            <w:hideMark/>
          </w:tcPr>
          <w:p w14:paraId="696FFA0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Obuke za inspektore i carinike</w:t>
            </w:r>
          </w:p>
        </w:tc>
        <w:tc>
          <w:tcPr>
            <w:tcW w:w="0" w:type="auto"/>
            <w:hideMark/>
          </w:tcPr>
          <w:p w14:paraId="07D80FC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Izvještaji obuka, Stokholmska konvencija</w:t>
            </w:r>
          </w:p>
        </w:tc>
      </w:tr>
      <w:tr w:rsidR="00C4574D" w:rsidRPr="00C86111" w14:paraId="742815EF"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28F856" w14:textId="77777777" w:rsidR="00C4574D" w:rsidRPr="00C86111" w:rsidRDefault="00C4574D" w:rsidP="00033AB8">
            <w:pPr>
              <w:rPr>
                <w:color w:val="auto"/>
              </w:rPr>
            </w:pPr>
            <w:r w:rsidRPr="00C86111">
              <w:rPr>
                <w:color w:val="auto"/>
              </w:rPr>
              <w:t>Broj kampanja podizanja svijesti</w:t>
            </w:r>
          </w:p>
        </w:tc>
        <w:tc>
          <w:tcPr>
            <w:tcW w:w="0" w:type="auto"/>
            <w:hideMark/>
          </w:tcPr>
          <w:p w14:paraId="1BCBB1F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0</w:t>
            </w:r>
          </w:p>
        </w:tc>
        <w:tc>
          <w:tcPr>
            <w:tcW w:w="0" w:type="auto"/>
            <w:hideMark/>
          </w:tcPr>
          <w:p w14:paraId="707634F4"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Redovne godišnje kampanje</w:t>
            </w:r>
          </w:p>
        </w:tc>
        <w:tc>
          <w:tcPr>
            <w:tcW w:w="0" w:type="auto"/>
            <w:hideMark/>
          </w:tcPr>
          <w:p w14:paraId="01DA682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Informativne kampanje</w:t>
            </w:r>
          </w:p>
        </w:tc>
        <w:tc>
          <w:tcPr>
            <w:tcW w:w="0" w:type="auto"/>
            <w:hideMark/>
          </w:tcPr>
          <w:p w14:paraId="32DA1A1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Izvještaji institucija</w:t>
            </w:r>
          </w:p>
        </w:tc>
      </w:tr>
    </w:tbl>
    <w:p w14:paraId="51234E38" w14:textId="77777777" w:rsidR="00C4574D" w:rsidRPr="00C86111" w:rsidRDefault="00C4574D" w:rsidP="00C4574D">
      <w:pPr>
        <w:rPr>
          <w:b/>
          <w:bCs/>
          <w:color w:val="002060"/>
        </w:rPr>
      </w:pPr>
    </w:p>
    <w:p w14:paraId="0EE930C9" w14:textId="77777777" w:rsidR="00C4574D" w:rsidRPr="00C86111" w:rsidRDefault="00C4574D" w:rsidP="00C4574D">
      <w:pPr>
        <w:rPr>
          <w:b/>
          <w:bCs/>
          <w:color w:val="002060"/>
        </w:rPr>
      </w:pPr>
    </w:p>
    <w:p w14:paraId="0426FF61" w14:textId="77777777" w:rsidR="00C4574D" w:rsidRPr="00C86111" w:rsidRDefault="00C4574D" w:rsidP="00C4574D">
      <w:pPr>
        <w:rPr>
          <w:b/>
          <w:bCs/>
          <w:color w:val="002060"/>
        </w:rPr>
      </w:pPr>
    </w:p>
    <w:p w14:paraId="4CED401E" w14:textId="77777777" w:rsidR="00C4574D" w:rsidRPr="00C86111" w:rsidRDefault="00C4574D" w:rsidP="00C4574D">
      <w:pPr>
        <w:rPr>
          <w:b/>
          <w:bCs/>
          <w:color w:val="002060"/>
        </w:rPr>
      </w:pPr>
    </w:p>
    <w:p w14:paraId="40DE7566" w14:textId="671FE050" w:rsidR="00C4574D" w:rsidRPr="00C86111" w:rsidRDefault="00C4574D" w:rsidP="00C4574D">
      <w:pPr>
        <w:rPr>
          <w:color w:val="auto"/>
        </w:rPr>
      </w:pPr>
      <w:r w:rsidRPr="00C86111">
        <w:rPr>
          <w:b/>
          <w:bCs/>
          <w:color w:val="002060"/>
        </w:rPr>
        <w:t>Operativni cilj 2:</w:t>
      </w:r>
      <w:r w:rsidRPr="00C86111">
        <w:rPr>
          <w:color w:val="002060"/>
        </w:rPr>
        <w:t xml:space="preserve"> </w:t>
      </w:r>
      <w:r w:rsidRPr="00C86111">
        <w:rPr>
          <w:color w:val="auto"/>
        </w:rPr>
        <w:t>Podstaći supstituciju alternativnim proizvodima.</w:t>
      </w:r>
    </w:p>
    <w:tbl>
      <w:tblPr>
        <w:tblStyle w:val="GridTable4-Accent2"/>
        <w:tblW w:w="0" w:type="auto"/>
        <w:tblLook w:val="04A0" w:firstRow="1" w:lastRow="0" w:firstColumn="1" w:lastColumn="0" w:noHBand="0" w:noVBand="1"/>
      </w:tblPr>
      <w:tblGrid>
        <w:gridCol w:w="1903"/>
        <w:gridCol w:w="1620"/>
        <w:gridCol w:w="1555"/>
        <w:gridCol w:w="1999"/>
        <w:gridCol w:w="2273"/>
      </w:tblGrid>
      <w:tr w:rsidR="00C4574D" w:rsidRPr="00C86111" w14:paraId="327AA1E2"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4AA265" w14:textId="77777777" w:rsidR="00C4574D" w:rsidRPr="00C86111" w:rsidRDefault="00C4574D" w:rsidP="00033AB8">
            <w:pPr>
              <w:rPr>
                <w:color w:val="auto"/>
              </w:rPr>
            </w:pPr>
            <w:r w:rsidRPr="00C86111">
              <w:rPr>
                <w:color w:val="auto"/>
              </w:rPr>
              <w:t>Indikator uspjeha</w:t>
            </w:r>
          </w:p>
        </w:tc>
        <w:tc>
          <w:tcPr>
            <w:tcW w:w="0" w:type="auto"/>
            <w:hideMark/>
          </w:tcPr>
          <w:p w14:paraId="1744DC74"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47CA06DC"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2C761305"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48C46C4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711AD81A"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A11686" w14:textId="77777777" w:rsidR="00C4574D" w:rsidRPr="00C86111" w:rsidRDefault="00C4574D" w:rsidP="00033AB8">
            <w:pPr>
              <w:rPr>
                <w:color w:val="auto"/>
              </w:rPr>
            </w:pPr>
            <w:r w:rsidRPr="00C86111">
              <w:rPr>
                <w:color w:val="auto"/>
              </w:rPr>
              <w:t>Broj obučenih korisnika</w:t>
            </w:r>
          </w:p>
        </w:tc>
        <w:tc>
          <w:tcPr>
            <w:tcW w:w="0" w:type="auto"/>
            <w:hideMark/>
          </w:tcPr>
          <w:p w14:paraId="2FE9C7B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w:t>
            </w:r>
          </w:p>
        </w:tc>
        <w:tc>
          <w:tcPr>
            <w:tcW w:w="0" w:type="auto"/>
            <w:hideMark/>
          </w:tcPr>
          <w:p w14:paraId="36A01B7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 20</w:t>
            </w:r>
          </w:p>
        </w:tc>
        <w:tc>
          <w:tcPr>
            <w:tcW w:w="0" w:type="auto"/>
            <w:hideMark/>
          </w:tcPr>
          <w:p w14:paraId="374B59F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Obuke krajnjih korisnika</w:t>
            </w:r>
          </w:p>
        </w:tc>
        <w:tc>
          <w:tcPr>
            <w:tcW w:w="0" w:type="auto"/>
            <w:hideMark/>
          </w:tcPr>
          <w:p w14:paraId="60C7EEA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Izvještaji MERS, Stokholmska konvencija</w:t>
            </w:r>
          </w:p>
        </w:tc>
      </w:tr>
      <w:tr w:rsidR="00C4574D" w:rsidRPr="00C86111" w14:paraId="6834ADBD"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2DE14513" w14:textId="77777777" w:rsidR="00C4574D" w:rsidRPr="00C86111" w:rsidRDefault="00C4574D" w:rsidP="00033AB8">
            <w:pPr>
              <w:rPr>
                <w:color w:val="auto"/>
              </w:rPr>
            </w:pPr>
            <w:r w:rsidRPr="00C86111">
              <w:rPr>
                <w:color w:val="auto"/>
              </w:rPr>
              <w:lastRenderedPageBreak/>
              <w:t>Broj promotivnih materijala</w:t>
            </w:r>
          </w:p>
        </w:tc>
        <w:tc>
          <w:tcPr>
            <w:tcW w:w="0" w:type="auto"/>
            <w:hideMark/>
          </w:tcPr>
          <w:p w14:paraId="3623A57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w:t>
            </w:r>
          </w:p>
        </w:tc>
        <w:tc>
          <w:tcPr>
            <w:tcW w:w="0" w:type="auto"/>
            <w:hideMark/>
          </w:tcPr>
          <w:p w14:paraId="108FD5F2"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 3</w:t>
            </w:r>
          </w:p>
        </w:tc>
        <w:tc>
          <w:tcPr>
            <w:tcW w:w="0" w:type="auto"/>
            <w:hideMark/>
          </w:tcPr>
          <w:p w14:paraId="790F673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Distribucija edukativnih materijala</w:t>
            </w:r>
          </w:p>
        </w:tc>
        <w:tc>
          <w:tcPr>
            <w:tcW w:w="0" w:type="auto"/>
            <w:hideMark/>
          </w:tcPr>
          <w:p w14:paraId="5EF7EC64"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Izvještaji institucija</w:t>
            </w:r>
          </w:p>
        </w:tc>
      </w:tr>
    </w:tbl>
    <w:p w14:paraId="47FA1DB3" w14:textId="77777777" w:rsidR="00C4574D" w:rsidRPr="00C86111" w:rsidRDefault="00C4574D" w:rsidP="00C4574D">
      <w:pPr>
        <w:rPr>
          <w:b/>
          <w:bCs/>
          <w:color w:val="002060"/>
        </w:rPr>
      </w:pPr>
      <w:r w:rsidRPr="00C86111">
        <w:rPr>
          <w:b/>
          <w:bCs/>
          <w:color w:val="002060"/>
        </w:rPr>
        <w:t>2. PFAS supstance</w:t>
      </w:r>
    </w:p>
    <w:p w14:paraId="61524766" w14:textId="77777777" w:rsidR="00C4574D" w:rsidRPr="00C86111" w:rsidRDefault="00C4574D" w:rsidP="00C4574D">
      <w:pPr>
        <w:rPr>
          <w:color w:val="auto"/>
        </w:rPr>
      </w:pPr>
      <w:r w:rsidRPr="00C86111">
        <w:rPr>
          <w:b/>
          <w:bCs/>
          <w:color w:val="002060"/>
        </w:rPr>
        <w:t>Operativni cilj 1:</w:t>
      </w:r>
      <w:r w:rsidRPr="00C86111">
        <w:rPr>
          <w:color w:val="002060"/>
        </w:rPr>
        <w:t xml:space="preserve"> </w:t>
      </w:r>
      <w:r w:rsidRPr="00C86111">
        <w:rPr>
          <w:color w:val="auto"/>
        </w:rPr>
        <w:t>Uspostaviti identifikaciju i kontrolu proizvoda sa PFAS.</w:t>
      </w:r>
    </w:p>
    <w:tbl>
      <w:tblPr>
        <w:tblStyle w:val="GridTable4-Accent2"/>
        <w:tblW w:w="0" w:type="auto"/>
        <w:tblLook w:val="04A0" w:firstRow="1" w:lastRow="0" w:firstColumn="1" w:lastColumn="0" w:noHBand="0" w:noVBand="1"/>
      </w:tblPr>
      <w:tblGrid>
        <w:gridCol w:w="2159"/>
        <w:gridCol w:w="1555"/>
        <w:gridCol w:w="1768"/>
        <w:gridCol w:w="1764"/>
        <w:gridCol w:w="2104"/>
      </w:tblGrid>
      <w:tr w:rsidR="00C4574D" w:rsidRPr="00C86111" w14:paraId="5DEC4F11"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89F90F" w14:textId="77777777" w:rsidR="00C4574D" w:rsidRPr="00C86111" w:rsidRDefault="00C4574D" w:rsidP="00033AB8">
            <w:pPr>
              <w:rPr>
                <w:color w:val="auto"/>
              </w:rPr>
            </w:pPr>
            <w:r w:rsidRPr="00C86111">
              <w:rPr>
                <w:color w:val="auto"/>
              </w:rPr>
              <w:t>Indikator uspjeha</w:t>
            </w:r>
          </w:p>
        </w:tc>
        <w:tc>
          <w:tcPr>
            <w:tcW w:w="0" w:type="auto"/>
            <w:hideMark/>
          </w:tcPr>
          <w:p w14:paraId="44248898"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48990862"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31E37749"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7E6403A2"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09C9BBA2"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A22AB3" w14:textId="77777777" w:rsidR="00C4574D" w:rsidRPr="00C86111" w:rsidRDefault="00C4574D" w:rsidP="00033AB8">
            <w:pPr>
              <w:rPr>
                <w:color w:val="auto"/>
              </w:rPr>
            </w:pPr>
            <w:r w:rsidRPr="00C86111">
              <w:rPr>
                <w:color w:val="auto"/>
              </w:rPr>
              <w:t>Broj usvojenih regulatornih dokumenata</w:t>
            </w:r>
          </w:p>
        </w:tc>
        <w:tc>
          <w:tcPr>
            <w:tcW w:w="0" w:type="auto"/>
            <w:hideMark/>
          </w:tcPr>
          <w:p w14:paraId="614CE19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0</w:t>
            </w:r>
          </w:p>
        </w:tc>
        <w:tc>
          <w:tcPr>
            <w:tcW w:w="0" w:type="auto"/>
            <w:hideMark/>
          </w:tcPr>
          <w:p w14:paraId="5D77C33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Funkcionalni dokumenti</w:t>
            </w:r>
          </w:p>
        </w:tc>
        <w:tc>
          <w:tcPr>
            <w:tcW w:w="0" w:type="auto"/>
            <w:hideMark/>
          </w:tcPr>
          <w:p w14:paraId="5688C888"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Izrada pravilnika sa HS kodovima</w:t>
            </w:r>
          </w:p>
        </w:tc>
        <w:tc>
          <w:tcPr>
            <w:tcW w:w="0" w:type="auto"/>
            <w:hideMark/>
          </w:tcPr>
          <w:p w14:paraId="5881E20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MERS, carina, Stokholmska konvencija</w:t>
            </w:r>
          </w:p>
        </w:tc>
      </w:tr>
      <w:tr w:rsidR="00C4574D" w:rsidRPr="00C86111" w14:paraId="373D73CE"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1B2FDE17" w14:textId="77777777" w:rsidR="00C4574D" w:rsidRPr="00C86111" w:rsidRDefault="00C4574D" w:rsidP="00033AB8">
            <w:pPr>
              <w:rPr>
                <w:color w:val="auto"/>
              </w:rPr>
            </w:pPr>
            <w:r w:rsidRPr="00C86111">
              <w:rPr>
                <w:color w:val="auto"/>
              </w:rPr>
              <w:t>Broj obučenih službenika</w:t>
            </w:r>
          </w:p>
        </w:tc>
        <w:tc>
          <w:tcPr>
            <w:tcW w:w="0" w:type="auto"/>
            <w:hideMark/>
          </w:tcPr>
          <w:p w14:paraId="1667E097"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0</w:t>
            </w:r>
          </w:p>
        </w:tc>
        <w:tc>
          <w:tcPr>
            <w:tcW w:w="0" w:type="auto"/>
            <w:hideMark/>
          </w:tcPr>
          <w:p w14:paraId="2A1FB83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Kontinuirani sistem obuke</w:t>
            </w:r>
          </w:p>
        </w:tc>
        <w:tc>
          <w:tcPr>
            <w:tcW w:w="0" w:type="auto"/>
            <w:hideMark/>
          </w:tcPr>
          <w:p w14:paraId="1DEB6BD4"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Obuke carinskih službenika</w:t>
            </w:r>
          </w:p>
        </w:tc>
        <w:tc>
          <w:tcPr>
            <w:tcW w:w="0" w:type="auto"/>
            <w:hideMark/>
          </w:tcPr>
          <w:p w14:paraId="6B9466E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Izvještaji obuka</w:t>
            </w:r>
          </w:p>
        </w:tc>
      </w:tr>
    </w:tbl>
    <w:p w14:paraId="4B907A48" w14:textId="77777777" w:rsidR="00C4574D" w:rsidRPr="00C86111" w:rsidRDefault="00C4574D" w:rsidP="00C4574D">
      <w:pPr>
        <w:rPr>
          <w:color w:val="auto"/>
        </w:rPr>
      </w:pPr>
      <w:r w:rsidRPr="00C86111">
        <w:rPr>
          <w:b/>
          <w:bCs/>
          <w:color w:val="002060"/>
        </w:rPr>
        <w:t>Operativni cilj 2:</w:t>
      </w:r>
      <w:r w:rsidRPr="00C86111">
        <w:rPr>
          <w:color w:val="002060"/>
        </w:rPr>
        <w:t xml:space="preserve"> </w:t>
      </w:r>
      <w:r w:rsidRPr="00C86111">
        <w:rPr>
          <w:color w:val="auto"/>
        </w:rPr>
        <w:t>Postepeno ukidanje PFAS pjena i bezbjedno upravljanje otpadom.</w:t>
      </w:r>
    </w:p>
    <w:tbl>
      <w:tblPr>
        <w:tblStyle w:val="GridTable4-Accent2"/>
        <w:tblW w:w="0" w:type="auto"/>
        <w:tblLook w:val="04A0" w:firstRow="1" w:lastRow="0" w:firstColumn="1" w:lastColumn="0" w:noHBand="0" w:noVBand="1"/>
      </w:tblPr>
      <w:tblGrid>
        <w:gridCol w:w="2323"/>
        <w:gridCol w:w="1439"/>
        <w:gridCol w:w="1403"/>
        <w:gridCol w:w="2072"/>
        <w:gridCol w:w="2113"/>
      </w:tblGrid>
      <w:tr w:rsidR="00C4574D" w:rsidRPr="00C86111" w14:paraId="5E12B82E"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AFEAD6" w14:textId="77777777" w:rsidR="00C4574D" w:rsidRPr="00C86111" w:rsidRDefault="00C4574D" w:rsidP="00033AB8">
            <w:pPr>
              <w:rPr>
                <w:color w:val="auto"/>
              </w:rPr>
            </w:pPr>
            <w:r w:rsidRPr="00C86111">
              <w:rPr>
                <w:color w:val="auto"/>
              </w:rPr>
              <w:t>Indikator uspjeha</w:t>
            </w:r>
          </w:p>
        </w:tc>
        <w:tc>
          <w:tcPr>
            <w:tcW w:w="0" w:type="auto"/>
            <w:hideMark/>
          </w:tcPr>
          <w:p w14:paraId="77D0BC93"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1DDF5362"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1B8E9EE9"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49730EFC"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690606CD"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30A65D" w14:textId="77777777" w:rsidR="00C4574D" w:rsidRPr="00C86111" w:rsidRDefault="00C4574D" w:rsidP="00033AB8">
            <w:pPr>
              <w:rPr>
                <w:color w:val="auto"/>
              </w:rPr>
            </w:pPr>
            <w:r w:rsidRPr="00C86111">
              <w:rPr>
                <w:color w:val="auto"/>
              </w:rPr>
              <w:t>Količina povučenih PFAS pjena</w:t>
            </w:r>
          </w:p>
        </w:tc>
        <w:tc>
          <w:tcPr>
            <w:tcW w:w="0" w:type="auto"/>
            <w:hideMark/>
          </w:tcPr>
          <w:p w14:paraId="586AF59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Nije utvrđeno</w:t>
            </w:r>
          </w:p>
        </w:tc>
        <w:tc>
          <w:tcPr>
            <w:tcW w:w="0" w:type="auto"/>
            <w:hideMark/>
          </w:tcPr>
          <w:p w14:paraId="1A5D218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100% povučeno</w:t>
            </w:r>
          </w:p>
        </w:tc>
        <w:tc>
          <w:tcPr>
            <w:tcW w:w="0" w:type="auto"/>
            <w:hideMark/>
          </w:tcPr>
          <w:p w14:paraId="01DB6F24"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Povlačenje i zbrinjavanje pjena</w:t>
            </w:r>
          </w:p>
        </w:tc>
        <w:tc>
          <w:tcPr>
            <w:tcW w:w="0" w:type="auto"/>
            <w:hideMark/>
          </w:tcPr>
          <w:p w14:paraId="5A4375A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Izvještaji vatrogasnih službi, Stokholmska konvencija</w:t>
            </w:r>
          </w:p>
        </w:tc>
      </w:tr>
      <w:tr w:rsidR="00C4574D" w:rsidRPr="00C86111" w14:paraId="7C8F3EF2"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273FC39C" w14:textId="77777777" w:rsidR="00C4574D" w:rsidRPr="00C86111" w:rsidRDefault="00C4574D" w:rsidP="00033AB8">
            <w:pPr>
              <w:rPr>
                <w:color w:val="auto"/>
              </w:rPr>
            </w:pPr>
            <w:r w:rsidRPr="00C86111">
              <w:rPr>
                <w:color w:val="auto"/>
              </w:rPr>
              <w:t>Broj dekontaminiranih vozila i sistema</w:t>
            </w:r>
          </w:p>
        </w:tc>
        <w:tc>
          <w:tcPr>
            <w:tcW w:w="0" w:type="auto"/>
            <w:hideMark/>
          </w:tcPr>
          <w:p w14:paraId="5440090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0</w:t>
            </w:r>
          </w:p>
        </w:tc>
        <w:tc>
          <w:tcPr>
            <w:tcW w:w="0" w:type="auto"/>
            <w:hideMark/>
          </w:tcPr>
          <w:p w14:paraId="37A7CEE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Svi relevantni sistemi</w:t>
            </w:r>
          </w:p>
        </w:tc>
        <w:tc>
          <w:tcPr>
            <w:tcW w:w="0" w:type="auto"/>
            <w:hideMark/>
          </w:tcPr>
          <w:p w14:paraId="3BB84616"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Dekontaminacija</w:t>
            </w:r>
          </w:p>
        </w:tc>
        <w:tc>
          <w:tcPr>
            <w:tcW w:w="0" w:type="auto"/>
            <w:hideMark/>
          </w:tcPr>
          <w:p w14:paraId="2765843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Izvještaji MERS</w:t>
            </w:r>
          </w:p>
        </w:tc>
      </w:tr>
    </w:tbl>
    <w:p w14:paraId="1E6ED6DB" w14:textId="77777777" w:rsidR="00C4574D" w:rsidRPr="00C86111" w:rsidRDefault="00C4574D" w:rsidP="00C4574D">
      <w:pPr>
        <w:rPr>
          <w:b/>
          <w:bCs/>
          <w:color w:val="002060"/>
        </w:rPr>
      </w:pPr>
      <w:r w:rsidRPr="00C86111">
        <w:rPr>
          <w:b/>
          <w:bCs/>
          <w:color w:val="002060"/>
        </w:rPr>
        <w:t>3. SCCP i MCCP, POPs pesticidi, PCB, nenamjerno emitovane POPs</w:t>
      </w:r>
    </w:p>
    <w:p w14:paraId="1D355CAA" w14:textId="77777777" w:rsidR="00C4574D" w:rsidRPr="00C86111" w:rsidRDefault="00C4574D" w:rsidP="00C4574D">
      <w:pPr>
        <w:rPr>
          <w:color w:val="auto"/>
        </w:rPr>
      </w:pPr>
      <w:r w:rsidRPr="00C86111">
        <w:rPr>
          <w:b/>
          <w:bCs/>
          <w:color w:val="002060"/>
        </w:rPr>
        <w:t>Operativni cilj 1:</w:t>
      </w:r>
      <w:r w:rsidRPr="00C86111">
        <w:rPr>
          <w:color w:val="002060"/>
        </w:rPr>
        <w:t xml:space="preserve"> </w:t>
      </w:r>
      <w:r w:rsidRPr="00C86111">
        <w:rPr>
          <w:color w:val="auto"/>
        </w:rPr>
        <w:t>Regulatorne mjere, monitoring, obuke i sanacija.</w:t>
      </w:r>
    </w:p>
    <w:tbl>
      <w:tblPr>
        <w:tblStyle w:val="GridTable4-Accent2"/>
        <w:tblW w:w="0" w:type="auto"/>
        <w:tblLook w:val="04A0" w:firstRow="1" w:lastRow="0" w:firstColumn="1" w:lastColumn="0" w:noHBand="0" w:noVBand="1"/>
      </w:tblPr>
      <w:tblGrid>
        <w:gridCol w:w="2060"/>
        <w:gridCol w:w="1487"/>
        <w:gridCol w:w="1751"/>
        <w:gridCol w:w="1964"/>
        <w:gridCol w:w="2088"/>
      </w:tblGrid>
      <w:tr w:rsidR="00C4574D" w:rsidRPr="00C86111" w14:paraId="39E398F3"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095B7" w14:textId="77777777" w:rsidR="00C4574D" w:rsidRPr="00C86111" w:rsidRDefault="00C4574D" w:rsidP="00033AB8">
            <w:pPr>
              <w:rPr>
                <w:color w:val="auto"/>
              </w:rPr>
            </w:pPr>
            <w:r w:rsidRPr="00C86111">
              <w:rPr>
                <w:color w:val="auto"/>
              </w:rPr>
              <w:t>Indikator uspjeha</w:t>
            </w:r>
          </w:p>
        </w:tc>
        <w:tc>
          <w:tcPr>
            <w:tcW w:w="0" w:type="auto"/>
            <w:hideMark/>
          </w:tcPr>
          <w:p w14:paraId="19EC4A8D"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Polazna vrijednost 2025</w:t>
            </w:r>
          </w:p>
        </w:tc>
        <w:tc>
          <w:tcPr>
            <w:tcW w:w="0" w:type="auto"/>
            <w:hideMark/>
          </w:tcPr>
          <w:p w14:paraId="18F4B820"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Ciljna vrijednost 2027</w:t>
            </w:r>
          </w:p>
        </w:tc>
        <w:tc>
          <w:tcPr>
            <w:tcW w:w="0" w:type="auto"/>
            <w:hideMark/>
          </w:tcPr>
          <w:p w14:paraId="7F48603D"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Aktivnosti</w:t>
            </w:r>
          </w:p>
        </w:tc>
        <w:tc>
          <w:tcPr>
            <w:tcW w:w="0" w:type="auto"/>
            <w:hideMark/>
          </w:tcPr>
          <w:p w14:paraId="16A10258"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color w:val="auto"/>
              </w:rPr>
            </w:pPr>
            <w:r w:rsidRPr="00C86111">
              <w:rPr>
                <w:color w:val="auto"/>
              </w:rPr>
              <w:t>Praćenje / Izvještavanje</w:t>
            </w:r>
          </w:p>
        </w:tc>
      </w:tr>
      <w:tr w:rsidR="00C4574D" w:rsidRPr="00C86111" w14:paraId="11A34F51"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6F77D8" w14:textId="77777777" w:rsidR="00C4574D" w:rsidRPr="00C86111" w:rsidRDefault="00C4574D" w:rsidP="00033AB8">
            <w:pPr>
              <w:rPr>
                <w:color w:val="auto"/>
              </w:rPr>
            </w:pPr>
            <w:r w:rsidRPr="00C86111">
              <w:rPr>
                <w:color w:val="auto"/>
              </w:rPr>
              <w:t>Broj regulatornih instrumenata i vodiča</w:t>
            </w:r>
          </w:p>
        </w:tc>
        <w:tc>
          <w:tcPr>
            <w:tcW w:w="0" w:type="auto"/>
            <w:hideMark/>
          </w:tcPr>
          <w:p w14:paraId="2E5583F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0</w:t>
            </w:r>
          </w:p>
        </w:tc>
        <w:tc>
          <w:tcPr>
            <w:tcW w:w="0" w:type="auto"/>
            <w:hideMark/>
          </w:tcPr>
          <w:p w14:paraId="21B392B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Funkcionalan sistem</w:t>
            </w:r>
          </w:p>
        </w:tc>
        <w:tc>
          <w:tcPr>
            <w:tcW w:w="0" w:type="auto"/>
            <w:hideMark/>
          </w:tcPr>
          <w:p w14:paraId="01111C8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Izrada propisa, vodiča, carinske obuke</w:t>
            </w:r>
          </w:p>
        </w:tc>
        <w:tc>
          <w:tcPr>
            <w:tcW w:w="0" w:type="auto"/>
            <w:hideMark/>
          </w:tcPr>
          <w:p w14:paraId="087F2B0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MERS, Stokholmska konvencija</w:t>
            </w:r>
          </w:p>
        </w:tc>
      </w:tr>
      <w:tr w:rsidR="00C4574D" w:rsidRPr="00C86111" w14:paraId="378BA17A"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4126A13E" w14:textId="77777777" w:rsidR="00C4574D" w:rsidRPr="00C86111" w:rsidRDefault="00C4574D" w:rsidP="00033AB8">
            <w:pPr>
              <w:rPr>
                <w:color w:val="auto"/>
              </w:rPr>
            </w:pPr>
            <w:r w:rsidRPr="00C86111">
              <w:rPr>
                <w:color w:val="auto"/>
              </w:rPr>
              <w:t>Broj obučenih službenika</w:t>
            </w:r>
          </w:p>
        </w:tc>
        <w:tc>
          <w:tcPr>
            <w:tcW w:w="0" w:type="auto"/>
            <w:hideMark/>
          </w:tcPr>
          <w:p w14:paraId="02049C4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0</w:t>
            </w:r>
          </w:p>
        </w:tc>
        <w:tc>
          <w:tcPr>
            <w:tcW w:w="0" w:type="auto"/>
            <w:hideMark/>
          </w:tcPr>
          <w:p w14:paraId="05ED3727"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Kontinuirani sistem obuke</w:t>
            </w:r>
          </w:p>
        </w:tc>
        <w:tc>
          <w:tcPr>
            <w:tcW w:w="0" w:type="auto"/>
            <w:hideMark/>
          </w:tcPr>
          <w:p w14:paraId="78698C56"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Obuke i trening</w:t>
            </w:r>
          </w:p>
        </w:tc>
        <w:tc>
          <w:tcPr>
            <w:tcW w:w="0" w:type="auto"/>
            <w:hideMark/>
          </w:tcPr>
          <w:p w14:paraId="0439C6C8"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Izvještaji institucija</w:t>
            </w:r>
          </w:p>
        </w:tc>
      </w:tr>
      <w:tr w:rsidR="00C4574D" w:rsidRPr="00C86111" w14:paraId="0DBD4124"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BE8F5B" w14:textId="77777777" w:rsidR="00C4574D" w:rsidRPr="00C86111" w:rsidRDefault="00C4574D" w:rsidP="00033AB8">
            <w:pPr>
              <w:rPr>
                <w:color w:val="auto"/>
              </w:rPr>
            </w:pPr>
            <w:r w:rsidRPr="00C86111">
              <w:rPr>
                <w:color w:val="auto"/>
              </w:rPr>
              <w:t>Broj monitoringa i sanacija</w:t>
            </w:r>
          </w:p>
        </w:tc>
        <w:tc>
          <w:tcPr>
            <w:tcW w:w="0" w:type="auto"/>
            <w:hideMark/>
          </w:tcPr>
          <w:p w14:paraId="638E34D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Delimično</w:t>
            </w:r>
          </w:p>
        </w:tc>
        <w:tc>
          <w:tcPr>
            <w:tcW w:w="0" w:type="auto"/>
            <w:hideMark/>
          </w:tcPr>
          <w:p w14:paraId="618E822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Svi prioritetni objekti</w:t>
            </w:r>
          </w:p>
        </w:tc>
        <w:tc>
          <w:tcPr>
            <w:tcW w:w="0" w:type="auto"/>
            <w:hideMark/>
          </w:tcPr>
          <w:p w14:paraId="33235B9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Monitoring, primjena BAT, sanacija lokacija</w:t>
            </w:r>
          </w:p>
        </w:tc>
        <w:tc>
          <w:tcPr>
            <w:tcW w:w="0" w:type="auto"/>
            <w:hideMark/>
          </w:tcPr>
          <w:p w14:paraId="6E7EB39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color w:val="auto"/>
              </w:rPr>
            </w:pPr>
            <w:r w:rsidRPr="00C86111">
              <w:rPr>
                <w:color w:val="auto"/>
              </w:rPr>
              <w:t>MERS, laboratorije, Stokholmska konvencija</w:t>
            </w:r>
          </w:p>
        </w:tc>
      </w:tr>
      <w:tr w:rsidR="00C4574D" w:rsidRPr="00C86111" w14:paraId="5EFCA314"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3078B10F" w14:textId="77777777" w:rsidR="00C4574D" w:rsidRPr="00C86111" w:rsidRDefault="00C4574D" w:rsidP="00033AB8">
            <w:pPr>
              <w:rPr>
                <w:color w:val="auto"/>
              </w:rPr>
            </w:pPr>
            <w:r w:rsidRPr="00C86111">
              <w:rPr>
                <w:color w:val="auto"/>
              </w:rPr>
              <w:t>Broj kampanja i edukacija</w:t>
            </w:r>
          </w:p>
        </w:tc>
        <w:tc>
          <w:tcPr>
            <w:tcW w:w="0" w:type="auto"/>
            <w:hideMark/>
          </w:tcPr>
          <w:p w14:paraId="212D6205"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0</w:t>
            </w:r>
          </w:p>
        </w:tc>
        <w:tc>
          <w:tcPr>
            <w:tcW w:w="0" w:type="auto"/>
            <w:hideMark/>
          </w:tcPr>
          <w:p w14:paraId="65161DE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Kontinuirane</w:t>
            </w:r>
          </w:p>
        </w:tc>
        <w:tc>
          <w:tcPr>
            <w:tcW w:w="0" w:type="auto"/>
            <w:hideMark/>
          </w:tcPr>
          <w:p w14:paraId="1C86EB36"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Kampanje, edukativni programi</w:t>
            </w:r>
          </w:p>
        </w:tc>
        <w:tc>
          <w:tcPr>
            <w:tcW w:w="0" w:type="auto"/>
            <w:hideMark/>
          </w:tcPr>
          <w:p w14:paraId="7EFA2F7C"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color w:val="auto"/>
              </w:rPr>
            </w:pPr>
            <w:r w:rsidRPr="00C86111">
              <w:rPr>
                <w:color w:val="auto"/>
              </w:rPr>
              <w:t>AZŽS, MERS, Stokholmska konvencija</w:t>
            </w:r>
          </w:p>
        </w:tc>
      </w:tr>
    </w:tbl>
    <w:p w14:paraId="1D0919FF" w14:textId="77777777" w:rsidR="00C4574D" w:rsidRPr="00C86111" w:rsidRDefault="00C4574D" w:rsidP="00C4574D">
      <w:pPr>
        <w:rPr>
          <w:color w:val="auto"/>
        </w:rPr>
      </w:pPr>
    </w:p>
    <w:p w14:paraId="01371C6A" w14:textId="77777777" w:rsidR="00C4574D" w:rsidRPr="00C86111" w:rsidRDefault="00C4574D" w:rsidP="00C4574D">
      <w:pPr>
        <w:jc w:val="both"/>
        <w:rPr>
          <w:b/>
          <w:bCs/>
          <w:color w:val="002060"/>
        </w:rPr>
      </w:pPr>
      <w:r w:rsidRPr="00C86111">
        <w:rPr>
          <w:b/>
          <w:bCs/>
          <w:color w:val="002060"/>
        </w:rPr>
        <w:lastRenderedPageBreak/>
        <w:t>Praćenje sprovođenja, izvještavanje i evaluacija</w:t>
      </w:r>
    </w:p>
    <w:p w14:paraId="3A49BAA4" w14:textId="77777777" w:rsidR="00C4574D" w:rsidRPr="00C86111" w:rsidRDefault="00C4574D" w:rsidP="00C4574D">
      <w:pPr>
        <w:jc w:val="both"/>
        <w:rPr>
          <w:color w:val="auto"/>
        </w:rPr>
      </w:pPr>
      <w:r w:rsidRPr="00C86111">
        <w:rPr>
          <w:color w:val="auto"/>
        </w:rPr>
        <w:t>Praćenje sprovođenja NIP</w:t>
      </w:r>
      <w:r w:rsidRPr="00C86111">
        <w:rPr>
          <w:color w:val="auto"/>
        </w:rPr>
        <w:noBreakHyphen/>
        <w:t>a realizuje se kroz:</w:t>
      </w:r>
    </w:p>
    <w:p w14:paraId="3989FEE5" w14:textId="77777777" w:rsidR="00C4574D" w:rsidRPr="00C86111" w:rsidRDefault="00C4574D" w:rsidP="00004F34">
      <w:pPr>
        <w:pStyle w:val="ListParagraph"/>
        <w:numPr>
          <w:ilvl w:val="0"/>
          <w:numId w:val="237"/>
        </w:numPr>
        <w:jc w:val="both"/>
        <w:rPr>
          <w:color w:val="auto"/>
        </w:rPr>
      </w:pPr>
      <w:r w:rsidRPr="00C86111">
        <w:rPr>
          <w:color w:val="auto"/>
        </w:rPr>
        <w:t>redovno prikupljanje podataka o indikatorima učinka;</w:t>
      </w:r>
    </w:p>
    <w:p w14:paraId="7E0469E9" w14:textId="77777777" w:rsidR="00C4574D" w:rsidRPr="00C86111" w:rsidRDefault="00C4574D" w:rsidP="00004F34">
      <w:pPr>
        <w:pStyle w:val="ListParagraph"/>
        <w:numPr>
          <w:ilvl w:val="0"/>
          <w:numId w:val="237"/>
        </w:numPr>
        <w:jc w:val="both"/>
        <w:rPr>
          <w:color w:val="auto"/>
        </w:rPr>
      </w:pPr>
      <w:r w:rsidRPr="00C86111">
        <w:rPr>
          <w:color w:val="auto"/>
        </w:rPr>
        <w:t>kvartalne i godi</w:t>
      </w:r>
      <w:r w:rsidRPr="00C86111">
        <w:rPr>
          <w:rFonts w:cs="Calibri"/>
          <w:color w:val="auto"/>
        </w:rPr>
        <w:t>š</w:t>
      </w:r>
      <w:r w:rsidRPr="00C86111">
        <w:rPr>
          <w:color w:val="auto"/>
        </w:rPr>
        <w:t>nje izvje</w:t>
      </w:r>
      <w:r w:rsidRPr="00C86111">
        <w:rPr>
          <w:rFonts w:cs="Calibri"/>
          <w:color w:val="auto"/>
        </w:rPr>
        <w:t>š</w:t>
      </w:r>
      <w:r w:rsidRPr="00C86111">
        <w:rPr>
          <w:color w:val="auto"/>
        </w:rPr>
        <w:t>taje nadle</w:t>
      </w:r>
      <w:r w:rsidRPr="00C86111">
        <w:rPr>
          <w:rFonts w:cs="Calibri"/>
          <w:color w:val="auto"/>
        </w:rPr>
        <w:t>ž</w:t>
      </w:r>
      <w:r w:rsidRPr="00C86111">
        <w:rPr>
          <w:color w:val="auto"/>
        </w:rPr>
        <w:t>nih institucija;</w:t>
      </w:r>
    </w:p>
    <w:p w14:paraId="0A5FFDDE" w14:textId="77777777" w:rsidR="00C4574D" w:rsidRPr="00C86111" w:rsidRDefault="00C4574D" w:rsidP="00004F34">
      <w:pPr>
        <w:pStyle w:val="ListParagraph"/>
        <w:numPr>
          <w:ilvl w:val="0"/>
          <w:numId w:val="237"/>
        </w:numPr>
        <w:jc w:val="both"/>
        <w:rPr>
          <w:color w:val="auto"/>
        </w:rPr>
      </w:pPr>
      <w:r w:rsidRPr="00C86111">
        <w:rPr>
          <w:color w:val="auto"/>
        </w:rPr>
        <w:t>evaluaciju rezultata u odnosu na polazne, prelazne i ciljne vrijednosti;</w:t>
      </w:r>
    </w:p>
    <w:p w14:paraId="1F9AE89F" w14:textId="77777777" w:rsidR="00C4574D" w:rsidRPr="00C86111" w:rsidRDefault="00C4574D" w:rsidP="00004F34">
      <w:pPr>
        <w:pStyle w:val="ListParagraph"/>
        <w:numPr>
          <w:ilvl w:val="0"/>
          <w:numId w:val="237"/>
        </w:numPr>
        <w:jc w:val="both"/>
        <w:rPr>
          <w:color w:val="auto"/>
        </w:rPr>
      </w:pPr>
      <w:r w:rsidRPr="00C86111">
        <w:rPr>
          <w:color w:val="auto"/>
        </w:rPr>
        <w:t>periodi</w:t>
      </w:r>
      <w:r w:rsidRPr="00C86111">
        <w:rPr>
          <w:rFonts w:cs="Calibri"/>
          <w:color w:val="auto"/>
        </w:rPr>
        <w:t>č</w:t>
      </w:r>
      <w:r w:rsidRPr="00C86111">
        <w:rPr>
          <w:color w:val="auto"/>
        </w:rPr>
        <w:t>ne revizije i prilago</w:t>
      </w:r>
      <w:r w:rsidRPr="00C86111">
        <w:rPr>
          <w:rFonts w:cs="Calibri"/>
          <w:color w:val="auto"/>
        </w:rPr>
        <w:t>đ</w:t>
      </w:r>
      <w:r w:rsidRPr="00C86111">
        <w:rPr>
          <w:color w:val="auto"/>
        </w:rPr>
        <w:t>avanje aktivnosti u skladu sa potrebama i novim saznanjima.</w:t>
      </w:r>
    </w:p>
    <w:p w14:paraId="14DACD5E" w14:textId="77777777" w:rsidR="00C4574D" w:rsidRPr="00C86111" w:rsidRDefault="00C4574D" w:rsidP="00C4574D">
      <w:pPr>
        <w:jc w:val="both"/>
        <w:rPr>
          <w:color w:val="auto"/>
        </w:rPr>
      </w:pPr>
      <w:r w:rsidRPr="00C86111">
        <w:rPr>
          <w:color w:val="auto"/>
        </w:rPr>
        <w:t>Izvještavanje o napretku realizacije dostavlja se Vladi Crne Gore i Sekretarijatu Stokholmske konvencije u skladu sa međunarodnim obavezama i dobrom međunarodnom praksom.</w:t>
      </w:r>
    </w:p>
    <w:p w14:paraId="29054C11" w14:textId="77777777" w:rsidR="00C4574D" w:rsidRPr="00C86111" w:rsidRDefault="00C4574D" w:rsidP="00C4574D">
      <w:pPr>
        <w:jc w:val="both"/>
        <w:rPr>
          <w:color w:val="auto"/>
        </w:rPr>
      </w:pPr>
      <w:r w:rsidRPr="00C86111">
        <w:rPr>
          <w:color w:val="auto"/>
        </w:rPr>
        <w:t>Sve institucije nadležne za implementaciju POPs supstanci su obavezne redovno izvještavati Stokholmskoj konvenciji o postignutim rezultatima, aktivnostima, monitoringu i primjeni BAT/BEP mjera, u skladu sa čl. 15 i 16 Konvencije.</w:t>
      </w:r>
    </w:p>
    <w:p w14:paraId="2BD31D23" w14:textId="77777777" w:rsidR="00C4574D" w:rsidRDefault="00C4574D" w:rsidP="00B908DB">
      <w:pPr>
        <w:jc w:val="center"/>
      </w:pPr>
    </w:p>
    <w:p w14:paraId="7BB6C1D4" w14:textId="77777777" w:rsidR="006830BB" w:rsidRDefault="006830BB" w:rsidP="00B908DB">
      <w:pPr>
        <w:jc w:val="center"/>
      </w:pPr>
    </w:p>
    <w:p w14:paraId="2A7513FE" w14:textId="77777777" w:rsidR="006830BB" w:rsidRDefault="006830BB" w:rsidP="00B908DB">
      <w:pPr>
        <w:jc w:val="center"/>
      </w:pPr>
    </w:p>
    <w:p w14:paraId="781D724E" w14:textId="77777777" w:rsidR="006830BB" w:rsidRDefault="006830BB" w:rsidP="00B908DB">
      <w:pPr>
        <w:jc w:val="center"/>
      </w:pPr>
    </w:p>
    <w:p w14:paraId="37F7CC81" w14:textId="77777777" w:rsidR="006830BB" w:rsidRDefault="006830BB" w:rsidP="00B908DB">
      <w:pPr>
        <w:jc w:val="center"/>
      </w:pPr>
    </w:p>
    <w:p w14:paraId="5173689C" w14:textId="77777777" w:rsidR="006830BB" w:rsidRDefault="006830BB" w:rsidP="00B908DB">
      <w:pPr>
        <w:jc w:val="center"/>
      </w:pPr>
    </w:p>
    <w:p w14:paraId="168995EE" w14:textId="77777777" w:rsidR="006830BB" w:rsidRDefault="006830BB" w:rsidP="00B908DB">
      <w:pPr>
        <w:jc w:val="center"/>
      </w:pPr>
    </w:p>
    <w:p w14:paraId="1AA8A293" w14:textId="77777777" w:rsidR="006830BB" w:rsidRDefault="006830BB" w:rsidP="00B908DB">
      <w:pPr>
        <w:jc w:val="center"/>
      </w:pPr>
    </w:p>
    <w:p w14:paraId="6EE9F98C" w14:textId="77777777" w:rsidR="006830BB" w:rsidRDefault="006830BB" w:rsidP="00B908DB">
      <w:pPr>
        <w:jc w:val="center"/>
      </w:pPr>
    </w:p>
    <w:p w14:paraId="1AB18D75" w14:textId="77777777" w:rsidR="006830BB" w:rsidRDefault="006830BB" w:rsidP="00B908DB">
      <w:pPr>
        <w:jc w:val="center"/>
      </w:pPr>
    </w:p>
    <w:p w14:paraId="3081A692" w14:textId="77777777" w:rsidR="006830BB" w:rsidRDefault="006830BB" w:rsidP="00B908DB">
      <w:pPr>
        <w:jc w:val="center"/>
      </w:pPr>
    </w:p>
    <w:p w14:paraId="44825FC4" w14:textId="77777777" w:rsidR="006830BB" w:rsidRDefault="006830BB" w:rsidP="00B908DB">
      <w:pPr>
        <w:jc w:val="center"/>
      </w:pPr>
    </w:p>
    <w:p w14:paraId="28DC495C" w14:textId="77777777" w:rsidR="006830BB" w:rsidRDefault="006830BB" w:rsidP="00B908DB">
      <w:pPr>
        <w:jc w:val="center"/>
      </w:pPr>
    </w:p>
    <w:p w14:paraId="142CB6E5" w14:textId="77777777" w:rsidR="006830BB" w:rsidRDefault="006830BB" w:rsidP="00B908DB">
      <w:pPr>
        <w:jc w:val="center"/>
      </w:pPr>
    </w:p>
    <w:p w14:paraId="1D289F4F" w14:textId="77777777" w:rsidR="006830BB" w:rsidRDefault="006830BB" w:rsidP="00B908DB">
      <w:pPr>
        <w:jc w:val="center"/>
      </w:pPr>
    </w:p>
    <w:p w14:paraId="1AF546B2" w14:textId="77777777" w:rsidR="006830BB" w:rsidRDefault="006830BB" w:rsidP="00B908DB">
      <w:pPr>
        <w:jc w:val="center"/>
      </w:pPr>
    </w:p>
    <w:p w14:paraId="4A328921" w14:textId="77777777" w:rsidR="006830BB" w:rsidRDefault="006830BB" w:rsidP="00B908DB">
      <w:pPr>
        <w:jc w:val="center"/>
      </w:pPr>
    </w:p>
    <w:p w14:paraId="5C7B27FB" w14:textId="77777777" w:rsidR="006830BB" w:rsidRDefault="006830BB" w:rsidP="00B908DB">
      <w:pPr>
        <w:jc w:val="center"/>
      </w:pPr>
    </w:p>
    <w:p w14:paraId="1BE58DB7" w14:textId="77777777" w:rsidR="006830BB" w:rsidRDefault="006830BB" w:rsidP="00B908DB">
      <w:pPr>
        <w:jc w:val="center"/>
      </w:pPr>
    </w:p>
    <w:p w14:paraId="03E3DBF4" w14:textId="77777777" w:rsidR="006830BB" w:rsidRDefault="006830BB" w:rsidP="00B908DB">
      <w:pPr>
        <w:jc w:val="center"/>
      </w:pPr>
    </w:p>
    <w:p w14:paraId="74A859F8" w14:textId="77777777" w:rsidR="006830BB" w:rsidRDefault="006830BB" w:rsidP="00B908DB">
      <w:pPr>
        <w:jc w:val="center"/>
      </w:pPr>
    </w:p>
    <w:p w14:paraId="34EC7553" w14:textId="77777777" w:rsidR="006830BB" w:rsidRDefault="006830BB" w:rsidP="00B908DB">
      <w:pPr>
        <w:jc w:val="center"/>
      </w:pPr>
    </w:p>
    <w:p w14:paraId="209A346E" w14:textId="77777777" w:rsidR="006830BB" w:rsidRDefault="006830BB" w:rsidP="00B908DB">
      <w:pPr>
        <w:jc w:val="center"/>
      </w:pPr>
    </w:p>
    <w:p w14:paraId="07BDFAA3" w14:textId="77777777" w:rsidR="006830BB" w:rsidRDefault="006830BB" w:rsidP="00B908DB">
      <w:pPr>
        <w:jc w:val="center"/>
      </w:pPr>
    </w:p>
    <w:p w14:paraId="586F6755" w14:textId="77777777" w:rsidR="006830BB" w:rsidRDefault="006830BB" w:rsidP="00B908DB">
      <w:pPr>
        <w:jc w:val="center"/>
      </w:pPr>
    </w:p>
    <w:p w14:paraId="466BCAD4" w14:textId="77777777" w:rsidR="006830BB" w:rsidRDefault="006830BB" w:rsidP="00B908DB">
      <w:pPr>
        <w:jc w:val="center"/>
      </w:pPr>
    </w:p>
    <w:p w14:paraId="2D027599" w14:textId="77777777" w:rsidR="006830BB" w:rsidRDefault="006830BB" w:rsidP="00B908DB">
      <w:pPr>
        <w:jc w:val="center"/>
      </w:pPr>
    </w:p>
    <w:p w14:paraId="3499DB16" w14:textId="77777777" w:rsidR="006830BB" w:rsidRDefault="006830BB" w:rsidP="00B908DB">
      <w:pPr>
        <w:jc w:val="center"/>
      </w:pPr>
    </w:p>
    <w:p w14:paraId="1C1B770A" w14:textId="77777777" w:rsidR="006830BB" w:rsidRDefault="006830BB" w:rsidP="00B908DB">
      <w:pPr>
        <w:jc w:val="center"/>
      </w:pPr>
    </w:p>
    <w:p w14:paraId="2DA6E94B" w14:textId="77777777" w:rsidR="006830BB" w:rsidRDefault="006830BB" w:rsidP="00B908DB">
      <w:pPr>
        <w:jc w:val="center"/>
      </w:pPr>
    </w:p>
    <w:p w14:paraId="6AEB5C19" w14:textId="77777777" w:rsidR="006830BB" w:rsidRDefault="006830BB" w:rsidP="00B908DB">
      <w:pPr>
        <w:jc w:val="center"/>
      </w:pPr>
    </w:p>
    <w:p w14:paraId="4591E907" w14:textId="77777777" w:rsidR="006830BB" w:rsidRDefault="006830BB" w:rsidP="00B908DB">
      <w:pPr>
        <w:jc w:val="center"/>
      </w:pPr>
    </w:p>
    <w:p w14:paraId="2CAAB9C1" w14:textId="77777777" w:rsidR="006830BB" w:rsidRDefault="006830BB" w:rsidP="00B908DB">
      <w:pPr>
        <w:jc w:val="center"/>
      </w:pPr>
    </w:p>
    <w:p w14:paraId="4B59CC92" w14:textId="77777777" w:rsidR="006830BB" w:rsidRDefault="006830BB" w:rsidP="00B908DB">
      <w:pPr>
        <w:jc w:val="center"/>
      </w:pPr>
    </w:p>
    <w:p w14:paraId="45E47A2A" w14:textId="77777777" w:rsidR="006830BB" w:rsidRDefault="006830BB" w:rsidP="00B908DB">
      <w:pPr>
        <w:jc w:val="center"/>
      </w:pPr>
    </w:p>
    <w:p w14:paraId="5A77C898" w14:textId="77777777" w:rsidR="006830BB" w:rsidRDefault="006830BB" w:rsidP="00B908DB">
      <w:pPr>
        <w:jc w:val="center"/>
      </w:pPr>
    </w:p>
    <w:p w14:paraId="6F4739DE" w14:textId="77777777" w:rsidR="006830BB" w:rsidRDefault="006830BB" w:rsidP="00B908DB">
      <w:pPr>
        <w:jc w:val="center"/>
      </w:pPr>
    </w:p>
    <w:p w14:paraId="54AD4B03" w14:textId="221CBF5D" w:rsidR="006830BB" w:rsidRPr="00C86111" w:rsidRDefault="006830BB" w:rsidP="006830BB">
      <w:pPr>
        <w:pStyle w:val="Title"/>
      </w:pPr>
      <w:r>
        <w:t>REZIME</w:t>
      </w:r>
    </w:p>
    <w:p w14:paraId="4FA074BE" w14:textId="77777777" w:rsidR="00C4574D" w:rsidRPr="00C86111" w:rsidRDefault="00C4574D" w:rsidP="006830BB">
      <w:pPr>
        <w:pStyle w:val="Title"/>
      </w:pPr>
    </w:p>
    <w:p w14:paraId="20947E20" w14:textId="77777777" w:rsidR="00C4574D" w:rsidRPr="00C86111" w:rsidRDefault="00C4574D" w:rsidP="00B908DB">
      <w:pPr>
        <w:jc w:val="center"/>
      </w:pPr>
    </w:p>
    <w:p w14:paraId="43470C92" w14:textId="77777777" w:rsidR="00C4574D" w:rsidRPr="00C86111" w:rsidRDefault="00C4574D" w:rsidP="00B908DB">
      <w:pPr>
        <w:jc w:val="center"/>
      </w:pPr>
    </w:p>
    <w:p w14:paraId="59AD802B" w14:textId="77777777" w:rsidR="00C4574D" w:rsidRPr="00C86111" w:rsidRDefault="00C4574D" w:rsidP="00B908DB">
      <w:pPr>
        <w:jc w:val="center"/>
      </w:pPr>
    </w:p>
    <w:p w14:paraId="4ED40159" w14:textId="77777777" w:rsidR="00C4574D" w:rsidRPr="00C86111" w:rsidRDefault="00C4574D" w:rsidP="00B908DB">
      <w:pPr>
        <w:jc w:val="center"/>
      </w:pPr>
    </w:p>
    <w:p w14:paraId="01BD0212" w14:textId="77777777" w:rsidR="00C4574D" w:rsidRPr="00C86111" w:rsidRDefault="00C4574D" w:rsidP="00B908DB">
      <w:pPr>
        <w:jc w:val="center"/>
      </w:pPr>
    </w:p>
    <w:p w14:paraId="1E315090" w14:textId="77777777" w:rsidR="00C4574D" w:rsidRPr="00C86111" w:rsidRDefault="00C4574D" w:rsidP="00B908DB">
      <w:pPr>
        <w:jc w:val="center"/>
      </w:pPr>
    </w:p>
    <w:p w14:paraId="5A834B75" w14:textId="77777777" w:rsidR="00C4574D" w:rsidRPr="00C86111" w:rsidRDefault="00C4574D" w:rsidP="00B908DB">
      <w:pPr>
        <w:jc w:val="center"/>
      </w:pPr>
    </w:p>
    <w:p w14:paraId="6F12BCE2" w14:textId="77777777" w:rsidR="00C4574D" w:rsidRPr="00C86111" w:rsidRDefault="00C4574D" w:rsidP="00B908DB">
      <w:pPr>
        <w:jc w:val="center"/>
      </w:pPr>
    </w:p>
    <w:p w14:paraId="3E4FC730" w14:textId="77777777" w:rsidR="00C4574D" w:rsidRPr="00C86111" w:rsidRDefault="00C4574D" w:rsidP="00B908DB">
      <w:pPr>
        <w:jc w:val="center"/>
      </w:pPr>
    </w:p>
    <w:p w14:paraId="351CE426" w14:textId="77777777" w:rsidR="00C4574D" w:rsidRPr="00C86111" w:rsidRDefault="00C4574D" w:rsidP="00B908DB">
      <w:pPr>
        <w:jc w:val="center"/>
      </w:pPr>
    </w:p>
    <w:p w14:paraId="54A3F8D4" w14:textId="77777777" w:rsidR="00C4574D" w:rsidRPr="00C86111" w:rsidRDefault="00C4574D" w:rsidP="00B908DB">
      <w:pPr>
        <w:jc w:val="center"/>
      </w:pPr>
    </w:p>
    <w:p w14:paraId="276741CE" w14:textId="77777777" w:rsidR="00C4574D" w:rsidRPr="00C86111" w:rsidRDefault="00C4574D" w:rsidP="00B908DB">
      <w:pPr>
        <w:jc w:val="center"/>
      </w:pPr>
    </w:p>
    <w:p w14:paraId="20BE0727" w14:textId="77777777" w:rsidR="00C4574D" w:rsidRPr="00C86111" w:rsidRDefault="00C4574D" w:rsidP="00B908DB">
      <w:pPr>
        <w:jc w:val="center"/>
      </w:pPr>
    </w:p>
    <w:p w14:paraId="6CC29403" w14:textId="77777777" w:rsidR="00C4574D" w:rsidRPr="00C86111" w:rsidRDefault="00C4574D" w:rsidP="00B908DB">
      <w:pPr>
        <w:jc w:val="center"/>
      </w:pPr>
    </w:p>
    <w:p w14:paraId="665EE6AF" w14:textId="77777777" w:rsidR="00C4574D" w:rsidRPr="00C86111" w:rsidRDefault="00C4574D" w:rsidP="00B908DB">
      <w:pPr>
        <w:jc w:val="center"/>
      </w:pPr>
    </w:p>
    <w:p w14:paraId="51319D01" w14:textId="77777777" w:rsidR="00C4574D" w:rsidRPr="00C86111" w:rsidRDefault="00C4574D" w:rsidP="00B908DB">
      <w:pPr>
        <w:jc w:val="center"/>
      </w:pPr>
    </w:p>
    <w:p w14:paraId="61FE124D" w14:textId="77777777" w:rsidR="00C4574D" w:rsidRPr="00C86111" w:rsidRDefault="00C4574D" w:rsidP="00B908DB">
      <w:pPr>
        <w:jc w:val="center"/>
      </w:pPr>
    </w:p>
    <w:p w14:paraId="054C018C" w14:textId="77777777" w:rsidR="00C4574D" w:rsidRPr="00C86111" w:rsidRDefault="00C4574D" w:rsidP="00B908DB">
      <w:pPr>
        <w:jc w:val="center"/>
      </w:pPr>
    </w:p>
    <w:p w14:paraId="797440D8" w14:textId="77777777" w:rsidR="00C4574D" w:rsidRPr="00C86111" w:rsidRDefault="00C4574D" w:rsidP="00B908DB">
      <w:pPr>
        <w:jc w:val="center"/>
      </w:pPr>
    </w:p>
    <w:p w14:paraId="248F5015" w14:textId="77777777" w:rsidR="00C4574D" w:rsidRPr="00C86111" w:rsidRDefault="00C4574D" w:rsidP="00B908DB">
      <w:pPr>
        <w:jc w:val="center"/>
      </w:pPr>
    </w:p>
    <w:p w14:paraId="7C98C2BC" w14:textId="77777777" w:rsidR="00C4574D" w:rsidRPr="00C86111" w:rsidRDefault="00C4574D" w:rsidP="00B908DB">
      <w:pPr>
        <w:jc w:val="center"/>
      </w:pPr>
    </w:p>
    <w:p w14:paraId="6FF240CB" w14:textId="77777777" w:rsidR="00C4574D" w:rsidRPr="00C86111" w:rsidRDefault="00C4574D" w:rsidP="00B908DB">
      <w:pPr>
        <w:jc w:val="center"/>
      </w:pPr>
    </w:p>
    <w:p w14:paraId="6A4A7B3A" w14:textId="77777777" w:rsidR="00C4574D" w:rsidRPr="00C86111" w:rsidRDefault="00C4574D" w:rsidP="00B908DB">
      <w:pPr>
        <w:jc w:val="center"/>
      </w:pPr>
    </w:p>
    <w:p w14:paraId="5D6BF2EC" w14:textId="77777777" w:rsidR="00C4574D" w:rsidRPr="00C86111" w:rsidRDefault="00C4574D" w:rsidP="00B908DB">
      <w:pPr>
        <w:jc w:val="center"/>
      </w:pPr>
    </w:p>
    <w:p w14:paraId="418304CD" w14:textId="77777777" w:rsidR="00C4574D" w:rsidRPr="00C86111" w:rsidRDefault="00C4574D" w:rsidP="00B908DB">
      <w:pPr>
        <w:jc w:val="center"/>
      </w:pPr>
    </w:p>
    <w:p w14:paraId="17C418BA" w14:textId="77777777" w:rsidR="00C4574D" w:rsidRPr="00C86111" w:rsidRDefault="00C4574D" w:rsidP="00B908DB">
      <w:pPr>
        <w:jc w:val="center"/>
      </w:pPr>
    </w:p>
    <w:p w14:paraId="10FF2FC1" w14:textId="3A93338A" w:rsidR="006830BB" w:rsidRDefault="006830BB" w:rsidP="00912C4C">
      <w:pPr>
        <w:pStyle w:val="Heading1"/>
        <w:rPr>
          <w:rStyle w:val="Strong"/>
          <w:rFonts w:asciiTheme="minorHAnsi" w:hAnsiTheme="minorHAnsi" w:cstheme="minorHAnsi"/>
          <w:b/>
          <w:bCs w:val="0"/>
        </w:rPr>
      </w:pPr>
      <w:bookmarkStart w:id="501" w:name="_Toc220542029"/>
      <w:r>
        <w:rPr>
          <w:rStyle w:val="Strong"/>
          <w:rFonts w:asciiTheme="minorHAnsi" w:hAnsiTheme="minorHAnsi" w:cstheme="minorHAnsi"/>
          <w:b/>
        </w:rPr>
        <w:t>KRATKA INFORMACIJA O CILJEVIMA I OČEKIVANIM REZULTATIMA NIP-a</w:t>
      </w:r>
      <w:bookmarkEnd w:id="501"/>
    </w:p>
    <w:p w14:paraId="0B2C14C8" w14:textId="0B171EA4" w:rsidR="006830BB" w:rsidRPr="000842AC" w:rsidRDefault="006830BB" w:rsidP="006830BB">
      <w:pPr>
        <w:pStyle w:val="NormalWeb"/>
        <w:jc w:val="both"/>
        <w:rPr>
          <w:rStyle w:val="relative"/>
          <w:rFonts w:asciiTheme="minorHAnsi" w:hAnsiTheme="minorHAnsi" w:cstheme="minorHAnsi"/>
        </w:rPr>
      </w:pPr>
      <w:r w:rsidRPr="000842AC">
        <w:rPr>
          <w:rStyle w:val="Strong"/>
          <w:rFonts w:asciiTheme="minorHAnsi" w:hAnsiTheme="minorHAnsi" w:cstheme="minorHAnsi"/>
          <w:b w:val="0"/>
          <w:bCs w:val="0"/>
        </w:rPr>
        <w:t xml:space="preserve">Nacionalni plan za implementaciju Stokholmske konvencije za </w:t>
      </w:r>
      <w:r w:rsidRPr="00865AD1">
        <w:rPr>
          <w:rStyle w:val="Strong"/>
          <w:rFonts w:asciiTheme="minorHAnsi" w:hAnsiTheme="minorHAnsi" w:cstheme="minorHAnsi"/>
          <w:b w:val="0"/>
          <w:bCs w:val="0"/>
        </w:rPr>
        <w:t xml:space="preserve">period 2025–2027. </w:t>
      </w:r>
      <w:r w:rsidRPr="000842AC">
        <w:rPr>
          <w:rStyle w:val="Strong"/>
          <w:rFonts w:asciiTheme="minorHAnsi" w:hAnsiTheme="minorHAnsi" w:cstheme="minorHAnsi"/>
          <w:b w:val="0"/>
          <w:bCs w:val="0"/>
        </w:rPr>
        <w:t>godine (NIP)</w:t>
      </w:r>
      <w:r w:rsidRPr="000842AC">
        <w:rPr>
          <w:rFonts w:asciiTheme="minorHAnsi" w:hAnsiTheme="minorHAnsi" w:cstheme="minorHAnsi"/>
        </w:rPr>
        <w:t xml:space="preserve"> predstavlja temeljni strateško-operativni dokument kojim se definiše okvir za sprovođenje obaveza Crne Gore u oblasti upravljanja dugotrajnim organskim zagađujućim supstancama (POPs), u cilju zaštite zdravlja ljudi i životne sredine. POPs supstance, zbog svoje postojanosti, </w:t>
      </w:r>
      <w:r w:rsidRPr="000842AC">
        <w:rPr>
          <w:rFonts w:asciiTheme="minorHAnsi" w:hAnsiTheme="minorHAnsi" w:cstheme="minorHAnsi"/>
        </w:rPr>
        <w:lastRenderedPageBreak/>
        <w:t xml:space="preserve">toksičnosti, bioakumulacije i sposobnosti prekograničnog transporta, predstavljaju globalni ekološki i zdravstveni izazov, što zahtijeva koordinisano djelovanje na međunarodnom, evropskom i nacionalnom nivou. Stokholmska konvencija, kao ključni međunarodni instrument u ovoj oblasti, obavezuje države potpisnice na eliminaciju, ograničavanje i smanjenje emisija POPs supstanci tokom cijelog njihovog životnog ciklusa, kao i na izradu i periodično ažuriranje nacionalnih planova implementacije u skladu sa članom 7 Konvencije. NIP Crne Gore izrađen je uz tehničku i finansijsku podršku Globalnog fonda za životnu sredinu (GEF) i Programa Ujedinjenih nacija za životnu sredinu (UNEP), kroz globalni projekat ažuriranja NIP-ova, uz učešće nacionalnih institucija i stručne javnosti. </w:t>
      </w:r>
    </w:p>
    <w:p w14:paraId="3525E86A" w14:textId="77777777" w:rsidR="006830BB" w:rsidRPr="000842AC" w:rsidRDefault="006830BB" w:rsidP="006830BB">
      <w:pPr>
        <w:pStyle w:val="NormalWeb"/>
        <w:jc w:val="both"/>
        <w:rPr>
          <w:rStyle w:val="relative"/>
          <w:rFonts w:asciiTheme="minorHAnsi" w:hAnsiTheme="minorHAnsi" w:cstheme="minorHAnsi"/>
        </w:rPr>
      </w:pPr>
      <w:r w:rsidRPr="000842AC">
        <w:rPr>
          <w:rFonts w:asciiTheme="minorHAnsi" w:hAnsiTheme="minorHAnsi" w:cstheme="minorHAnsi"/>
        </w:rPr>
        <w:t xml:space="preserve">U kontekstu evropskih integracija, implementacija Konvencije usklađuje se sa pravnom tekovinom EU, posebno sa Uredbom (EU) 2019/1021 o POPs supstancama, REACH i CLP regulativom, propisima o otpadu, industrijskim emisijama i kontroli opasnih supstanci u proizvodima, u okviru obaveza iz Poglavlja 27 – Životna sredina i klimatske promjene. Time se NIP pozicionira kao važan instrument harmonizacije nacionalnog sistema upravljanja hemikalijama sa EU standardima i principima održivog razvoja. </w:t>
      </w:r>
    </w:p>
    <w:p w14:paraId="0A520759" w14:textId="77777777" w:rsidR="006830BB" w:rsidRPr="000842AC" w:rsidRDefault="006830BB" w:rsidP="006830BB">
      <w:pPr>
        <w:pStyle w:val="NormalWeb"/>
        <w:jc w:val="both"/>
        <w:rPr>
          <w:rStyle w:val="relative"/>
          <w:rFonts w:asciiTheme="minorHAnsi" w:hAnsiTheme="minorHAnsi" w:cstheme="minorHAnsi"/>
        </w:rPr>
      </w:pPr>
      <w:r w:rsidRPr="000842AC">
        <w:rPr>
          <w:rFonts w:asciiTheme="minorHAnsi" w:hAnsiTheme="minorHAnsi" w:cstheme="minorHAnsi"/>
        </w:rPr>
        <w:t>Na nacionalnom nivou, Plan se zasniva na sveobuhvatnoj analizi stanja i ažuriranim inventarima POPs supstanci, uključujući POPs pesticide, polihlorovane bifenile (PCB), nenamjerno proizvedene POPs (PCDD/PCDF, HCB, PCB</w:t>
      </w:r>
      <w:r>
        <w:rPr>
          <w:rFonts w:asciiTheme="minorHAnsi" w:hAnsiTheme="minorHAnsi" w:cstheme="minorHAnsi"/>
        </w:rPr>
        <w:t>…</w:t>
      </w:r>
      <w:r w:rsidRPr="000842AC">
        <w:rPr>
          <w:rFonts w:asciiTheme="minorHAnsi" w:hAnsiTheme="minorHAnsi" w:cstheme="minorHAnsi"/>
        </w:rPr>
        <w:t xml:space="preserve">), PBDE, HBB, HBCD, PFOS, PFOA, PFHxS, SCCP/MCCP i druge supstance dodate odlukama Konferencije strana. Dokument obuhvata procjenu emisija, identifikaciju proizvoda, otpada i potencijalno kontaminiranih tokova, analizu postojećeg zakonodavnog i institucionalnog okvira, tehničkih i finansijskih kapaciteta, kao i pregled sistema monitoringa, istraživačkih i obrazovnih aktivnosti. Posebna pažnja posvećena je procjeni kapaciteta institucija, međusektorskoj koordinaciji i potrebama za daljim jačanjem sistema kontrole i nadzora. </w:t>
      </w:r>
    </w:p>
    <w:p w14:paraId="07F096D6" w14:textId="77777777" w:rsidR="006830BB" w:rsidRPr="000842AC" w:rsidRDefault="006830BB" w:rsidP="006830BB">
      <w:pPr>
        <w:pStyle w:val="NormalWeb"/>
        <w:jc w:val="both"/>
        <w:rPr>
          <w:rFonts w:asciiTheme="minorHAnsi" w:hAnsiTheme="minorHAnsi" w:cstheme="minorHAnsi"/>
        </w:rPr>
      </w:pPr>
      <w:r w:rsidRPr="000842AC">
        <w:rPr>
          <w:rFonts w:asciiTheme="minorHAnsi" w:hAnsiTheme="minorHAnsi" w:cstheme="minorHAnsi"/>
        </w:rPr>
        <w:t>Opšti cilj NIP-a jeste unapređenje nacionalnog sistema upravljanja POPs supstancama kroz njihovu postupnu eliminaciju, smanjenje emisija i uspostavljanje ekološki prihvatljivog upravljanja zalihama, proizvodima i otpadom koji ih sadrži. Ovaj cilj se operacionalizuje kroz skup strateških i operativnih pravaca koji obuhvataju: dalje usklađivanje zakonodavstva sa međunarodnim i EU propisima; razvoj regulatornih i kontrolnih mehanizama za proizvode koji sadrže PBDE, HBB, HBCDD, PFAS, SCCP/MCCP i druge POPs; jačanje administrativnih i tehničkih kapaciteta nadležnih institucija, uključujući inspekcijske službe i laboratorije; unapređenje sistema inventarizacije, baza podataka i monitoringa u životnoj sredini, hrani i otpadu; bezbjedno upravljanje POPs otpadom i kontaminiranim lokacijama; te podizanje svijesti javnosti i edukaciju stručnjaka i ranjivih grupa.</w:t>
      </w:r>
    </w:p>
    <w:p w14:paraId="33D73761" w14:textId="77777777" w:rsidR="006830BB" w:rsidRPr="000842AC" w:rsidRDefault="006830BB" w:rsidP="006830BB">
      <w:pPr>
        <w:pStyle w:val="NormalWeb"/>
        <w:jc w:val="both"/>
        <w:rPr>
          <w:rStyle w:val="relative"/>
          <w:rFonts w:asciiTheme="minorHAnsi" w:hAnsiTheme="minorHAnsi" w:cstheme="minorHAnsi"/>
        </w:rPr>
      </w:pPr>
      <w:r w:rsidRPr="000842AC">
        <w:rPr>
          <w:rFonts w:asciiTheme="minorHAnsi" w:hAnsiTheme="minorHAnsi" w:cstheme="minorHAnsi"/>
        </w:rPr>
        <w:t xml:space="preserve">Sastavni dio NIP-a čine prateći akcioni planovi, kojima se strateški ciljevi prevode u konkretne mjere, rokove, nosioce aktivnosti i indikatore učinka. Akcioni plan za implementaciju NIP-a usmjeren je na uspostavljanje održivog i usklađenog sistema upravljanja POPs, kroz jačanje pravnog okvira, razvoj institucionalnih kapaciteta, međuresornu koordinaciju i međunarodnu saradnju, kao i programe edukacije i informisanja javnosti. Specifični akcioni planovi za proizvode koji sadrže PBDE/HBB/HBCDD, PFAS i SCCP/MCCP usmjereni su na identifikaciju i kontrolu uvoza </w:t>
      </w:r>
      <w:r w:rsidRPr="000842AC">
        <w:rPr>
          <w:rFonts w:asciiTheme="minorHAnsi" w:hAnsiTheme="minorHAnsi" w:cstheme="minorHAnsi"/>
        </w:rPr>
        <w:lastRenderedPageBreak/>
        <w:t xml:space="preserve">kroz HS kodove, obuku carinskih i inspekcijskih službi, postupno ukidanje određenih upotreba (npr. PFAS u protivpožarnim pjenama), bezbjedno upravljanje otpadom, monitoring kritičnih lokacija i biomonitoring izloženih grupa. </w:t>
      </w:r>
    </w:p>
    <w:p w14:paraId="62746173" w14:textId="77777777" w:rsidR="006830BB" w:rsidRPr="000842AC" w:rsidRDefault="006830BB" w:rsidP="006830BB">
      <w:pPr>
        <w:pStyle w:val="NormalWeb"/>
        <w:jc w:val="both"/>
        <w:rPr>
          <w:rFonts w:asciiTheme="minorHAnsi" w:hAnsiTheme="minorHAnsi" w:cstheme="minorHAnsi"/>
        </w:rPr>
      </w:pPr>
      <w:r w:rsidRPr="000842AC">
        <w:rPr>
          <w:rFonts w:asciiTheme="minorHAnsi" w:hAnsiTheme="minorHAnsi" w:cstheme="minorHAnsi"/>
        </w:rPr>
        <w:t>Implementacijom NIP-a i pratećih akcionih planova očekuje se smanjenje rizika od izloženosti stanovništva i ekosistema POPs supstancama, unapređenje sistema kontrole, izvještavanja i nadzora, jačanje institucionalne i međusektorske koordinacije, kao i dalje usklađivanje sa međunarodnim obavezama i EU zahtjevima. Time se doprinosi visokom nivou zaštite zdravlja ljudi i životne sredine, jačanju nacionalnih kapaciteta za upravljanje opasnim hemikalijama i ostvarivanju ciljeva održivog razvoja Crne Gore.</w:t>
      </w:r>
    </w:p>
    <w:p w14:paraId="19DAAC7B" w14:textId="77777777" w:rsidR="00C4574D" w:rsidRDefault="00C4574D" w:rsidP="00B908DB">
      <w:pPr>
        <w:jc w:val="center"/>
      </w:pPr>
    </w:p>
    <w:p w14:paraId="6FD7CCF8" w14:textId="77777777" w:rsidR="006830BB" w:rsidRDefault="006830BB" w:rsidP="00B908DB">
      <w:pPr>
        <w:jc w:val="center"/>
      </w:pPr>
    </w:p>
    <w:p w14:paraId="407C92B1" w14:textId="77777777" w:rsidR="006830BB" w:rsidRDefault="006830BB" w:rsidP="00B908DB">
      <w:pPr>
        <w:jc w:val="center"/>
      </w:pPr>
    </w:p>
    <w:p w14:paraId="5544BAC3" w14:textId="77777777" w:rsidR="006830BB" w:rsidRDefault="006830BB" w:rsidP="00B908DB">
      <w:pPr>
        <w:jc w:val="center"/>
      </w:pPr>
    </w:p>
    <w:p w14:paraId="2FC508FA" w14:textId="77777777" w:rsidR="006830BB" w:rsidRDefault="006830BB" w:rsidP="00B908DB">
      <w:pPr>
        <w:jc w:val="center"/>
      </w:pPr>
    </w:p>
    <w:p w14:paraId="639DEBF0" w14:textId="77777777" w:rsidR="006830BB" w:rsidRDefault="006830BB" w:rsidP="00B908DB">
      <w:pPr>
        <w:jc w:val="center"/>
      </w:pPr>
    </w:p>
    <w:p w14:paraId="5F435795" w14:textId="77777777" w:rsidR="006830BB" w:rsidRDefault="006830BB" w:rsidP="00B908DB">
      <w:pPr>
        <w:jc w:val="center"/>
      </w:pPr>
    </w:p>
    <w:p w14:paraId="1CD87739" w14:textId="77777777" w:rsidR="006830BB" w:rsidRDefault="006830BB" w:rsidP="00B908DB">
      <w:pPr>
        <w:jc w:val="center"/>
      </w:pPr>
    </w:p>
    <w:p w14:paraId="5B144C1C" w14:textId="77777777" w:rsidR="006830BB" w:rsidRDefault="006830BB" w:rsidP="00B908DB">
      <w:pPr>
        <w:jc w:val="center"/>
      </w:pPr>
    </w:p>
    <w:p w14:paraId="2F427C86" w14:textId="77777777" w:rsidR="006830BB" w:rsidRDefault="006830BB" w:rsidP="00B908DB">
      <w:pPr>
        <w:jc w:val="center"/>
      </w:pPr>
    </w:p>
    <w:p w14:paraId="0DB4B74B" w14:textId="77777777" w:rsidR="006830BB" w:rsidRDefault="006830BB" w:rsidP="00B908DB">
      <w:pPr>
        <w:jc w:val="center"/>
      </w:pPr>
    </w:p>
    <w:p w14:paraId="39BB2FE3" w14:textId="77777777" w:rsidR="006830BB" w:rsidRDefault="006830BB" w:rsidP="00B908DB">
      <w:pPr>
        <w:jc w:val="center"/>
      </w:pPr>
    </w:p>
    <w:p w14:paraId="0345D6F9" w14:textId="77777777" w:rsidR="006830BB" w:rsidRDefault="006830BB" w:rsidP="00B908DB">
      <w:pPr>
        <w:jc w:val="center"/>
      </w:pPr>
    </w:p>
    <w:p w14:paraId="34AC1379" w14:textId="77777777" w:rsidR="006830BB" w:rsidRDefault="006830BB" w:rsidP="00B908DB">
      <w:pPr>
        <w:jc w:val="center"/>
      </w:pPr>
    </w:p>
    <w:p w14:paraId="1E80586D" w14:textId="77777777" w:rsidR="006830BB" w:rsidRDefault="006830BB" w:rsidP="00B908DB">
      <w:pPr>
        <w:jc w:val="center"/>
      </w:pPr>
    </w:p>
    <w:p w14:paraId="205B7FD1" w14:textId="77777777" w:rsidR="006830BB" w:rsidRDefault="006830BB" w:rsidP="00B908DB">
      <w:pPr>
        <w:jc w:val="center"/>
      </w:pPr>
    </w:p>
    <w:p w14:paraId="3B90E523" w14:textId="77777777" w:rsidR="006830BB" w:rsidRDefault="006830BB" w:rsidP="00B908DB">
      <w:pPr>
        <w:jc w:val="center"/>
      </w:pPr>
    </w:p>
    <w:p w14:paraId="39D195FB" w14:textId="77777777" w:rsidR="006830BB" w:rsidRDefault="006830BB" w:rsidP="00B908DB">
      <w:pPr>
        <w:jc w:val="center"/>
      </w:pPr>
    </w:p>
    <w:p w14:paraId="4642A85A" w14:textId="77777777" w:rsidR="006830BB" w:rsidRDefault="006830BB" w:rsidP="00B908DB">
      <w:pPr>
        <w:jc w:val="center"/>
      </w:pPr>
    </w:p>
    <w:p w14:paraId="13700F7B" w14:textId="77777777" w:rsidR="006830BB" w:rsidRDefault="006830BB" w:rsidP="00B908DB">
      <w:pPr>
        <w:jc w:val="center"/>
      </w:pPr>
    </w:p>
    <w:p w14:paraId="45434322" w14:textId="77777777" w:rsidR="006830BB" w:rsidRDefault="006830BB" w:rsidP="00B908DB">
      <w:pPr>
        <w:jc w:val="center"/>
      </w:pPr>
    </w:p>
    <w:p w14:paraId="21E2AD71" w14:textId="77777777" w:rsidR="006830BB" w:rsidRDefault="006830BB" w:rsidP="00B908DB">
      <w:pPr>
        <w:jc w:val="center"/>
      </w:pPr>
    </w:p>
    <w:p w14:paraId="6361732D" w14:textId="77777777" w:rsidR="006830BB" w:rsidRDefault="006830BB" w:rsidP="00B908DB">
      <w:pPr>
        <w:jc w:val="center"/>
      </w:pPr>
    </w:p>
    <w:p w14:paraId="2556CA9F" w14:textId="77777777" w:rsidR="006830BB" w:rsidRDefault="006830BB" w:rsidP="00B908DB">
      <w:pPr>
        <w:jc w:val="center"/>
      </w:pPr>
    </w:p>
    <w:p w14:paraId="00F8B4D0" w14:textId="77777777" w:rsidR="006830BB" w:rsidRDefault="006830BB" w:rsidP="00B908DB">
      <w:pPr>
        <w:jc w:val="center"/>
      </w:pPr>
    </w:p>
    <w:p w14:paraId="2B978D68" w14:textId="77777777" w:rsidR="006830BB" w:rsidRDefault="006830BB" w:rsidP="00B908DB">
      <w:pPr>
        <w:jc w:val="center"/>
      </w:pPr>
    </w:p>
    <w:p w14:paraId="7CB6512E" w14:textId="77777777" w:rsidR="006830BB" w:rsidRDefault="006830BB" w:rsidP="00B908DB">
      <w:pPr>
        <w:jc w:val="center"/>
      </w:pPr>
    </w:p>
    <w:p w14:paraId="59CF88C5" w14:textId="77777777" w:rsidR="006830BB" w:rsidRDefault="006830BB" w:rsidP="00B908DB">
      <w:pPr>
        <w:jc w:val="center"/>
      </w:pPr>
    </w:p>
    <w:p w14:paraId="7916D9E1" w14:textId="77777777" w:rsidR="006830BB" w:rsidRDefault="006830BB" w:rsidP="00B908DB">
      <w:pPr>
        <w:jc w:val="center"/>
      </w:pPr>
    </w:p>
    <w:p w14:paraId="400BE73B" w14:textId="77777777" w:rsidR="006830BB" w:rsidRDefault="006830BB" w:rsidP="00B908DB">
      <w:pPr>
        <w:jc w:val="center"/>
      </w:pPr>
    </w:p>
    <w:p w14:paraId="1849E246" w14:textId="77777777" w:rsidR="006830BB" w:rsidRDefault="006830BB" w:rsidP="00B908DB">
      <w:pPr>
        <w:jc w:val="center"/>
      </w:pPr>
    </w:p>
    <w:p w14:paraId="21AF1FE7" w14:textId="77777777" w:rsidR="006830BB" w:rsidRDefault="006830BB" w:rsidP="00B908DB">
      <w:pPr>
        <w:jc w:val="center"/>
      </w:pPr>
    </w:p>
    <w:p w14:paraId="5EC037D8" w14:textId="77777777" w:rsidR="006830BB" w:rsidRDefault="006830BB" w:rsidP="00B908DB">
      <w:pPr>
        <w:jc w:val="center"/>
      </w:pPr>
    </w:p>
    <w:p w14:paraId="0A924A63" w14:textId="77777777" w:rsidR="006830BB" w:rsidRDefault="006830BB" w:rsidP="00B908DB">
      <w:pPr>
        <w:jc w:val="center"/>
      </w:pPr>
    </w:p>
    <w:p w14:paraId="0F798E23" w14:textId="77777777" w:rsidR="006830BB" w:rsidRDefault="006830BB" w:rsidP="00B908DB">
      <w:pPr>
        <w:jc w:val="center"/>
      </w:pPr>
    </w:p>
    <w:p w14:paraId="72F93861" w14:textId="77777777" w:rsidR="006830BB" w:rsidRDefault="006830BB" w:rsidP="00B908DB">
      <w:pPr>
        <w:jc w:val="center"/>
      </w:pPr>
    </w:p>
    <w:p w14:paraId="1753F3F9" w14:textId="77777777" w:rsidR="006830BB" w:rsidRDefault="006830BB" w:rsidP="00B908DB">
      <w:pPr>
        <w:jc w:val="center"/>
      </w:pPr>
    </w:p>
    <w:p w14:paraId="0127241D" w14:textId="77777777" w:rsidR="006830BB" w:rsidRDefault="006830BB" w:rsidP="00B908DB">
      <w:pPr>
        <w:jc w:val="center"/>
      </w:pPr>
    </w:p>
    <w:p w14:paraId="1F6A5AE1" w14:textId="77777777" w:rsidR="006830BB" w:rsidRDefault="006830BB" w:rsidP="00B908DB">
      <w:pPr>
        <w:jc w:val="center"/>
      </w:pPr>
    </w:p>
    <w:p w14:paraId="378C6D33" w14:textId="77777777" w:rsidR="006830BB" w:rsidRDefault="006830BB" w:rsidP="00B908DB">
      <w:pPr>
        <w:jc w:val="center"/>
      </w:pPr>
    </w:p>
    <w:p w14:paraId="186009CE" w14:textId="77777777" w:rsidR="006830BB" w:rsidRDefault="006830BB" w:rsidP="00B908DB">
      <w:pPr>
        <w:jc w:val="center"/>
      </w:pPr>
    </w:p>
    <w:p w14:paraId="372E357D" w14:textId="77777777" w:rsidR="006830BB" w:rsidRDefault="006830BB" w:rsidP="00B908DB">
      <w:pPr>
        <w:jc w:val="center"/>
      </w:pPr>
    </w:p>
    <w:p w14:paraId="1EBA8215" w14:textId="77777777" w:rsidR="006830BB" w:rsidRDefault="006830BB" w:rsidP="00B908DB">
      <w:pPr>
        <w:jc w:val="center"/>
      </w:pPr>
    </w:p>
    <w:p w14:paraId="1D97B746" w14:textId="77777777" w:rsidR="006830BB" w:rsidRDefault="006830BB" w:rsidP="00B908DB">
      <w:pPr>
        <w:jc w:val="center"/>
      </w:pPr>
    </w:p>
    <w:p w14:paraId="2ED84835" w14:textId="77777777" w:rsidR="006830BB" w:rsidRDefault="006830BB" w:rsidP="00B908DB">
      <w:pPr>
        <w:jc w:val="center"/>
      </w:pPr>
    </w:p>
    <w:p w14:paraId="33B03D4A" w14:textId="77777777" w:rsidR="006830BB" w:rsidRPr="00C86111" w:rsidRDefault="006830BB" w:rsidP="00B908DB">
      <w:pPr>
        <w:jc w:val="center"/>
      </w:pPr>
    </w:p>
    <w:p w14:paraId="254F45C0" w14:textId="77777777" w:rsidR="00C4574D" w:rsidRPr="00C86111" w:rsidRDefault="00C4574D" w:rsidP="00B908DB">
      <w:pPr>
        <w:jc w:val="center"/>
      </w:pPr>
    </w:p>
    <w:p w14:paraId="70D6FBDF" w14:textId="77777777" w:rsidR="00C4574D" w:rsidRPr="00C86111" w:rsidRDefault="00C4574D" w:rsidP="00B908DB">
      <w:pPr>
        <w:jc w:val="center"/>
      </w:pPr>
    </w:p>
    <w:p w14:paraId="7432FE9F" w14:textId="77777777" w:rsidR="00C4574D" w:rsidRPr="00C86111" w:rsidRDefault="00C4574D" w:rsidP="00B908DB">
      <w:pPr>
        <w:jc w:val="center"/>
      </w:pPr>
    </w:p>
    <w:p w14:paraId="501B3C82" w14:textId="07E75E98" w:rsidR="00C4574D" w:rsidRPr="00B943CA" w:rsidRDefault="00C4574D" w:rsidP="00B943CA">
      <w:pPr>
        <w:pStyle w:val="Title"/>
      </w:pPr>
      <w:r w:rsidRPr="00B943CA">
        <w:t>AKCIONI PLAN</w:t>
      </w:r>
    </w:p>
    <w:p w14:paraId="52FB3C06" w14:textId="77777777" w:rsidR="00C4574D" w:rsidRPr="00C86111" w:rsidRDefault="00C4574D" w:rsidP="00C4574D"/>
    <w:p w14:paraId="5F7974BB" w14:textId="77777777" w:rsidR="00C4574D" w:rsidRPr="00C86111" w:rsidRDefault="00C4574D" w:rsidP="00C4574D"/>
    <w:p w14:paraId="37235458" w14:textId="77777777" w:rsidR="00C4574D" w:rsidRPr="00C86111" w:rsidRDefault="00C4574D" w:rsidP="00C4574D"/>
    <w:p w14:paraId="5B6A9EDF" w14:textId="77777777" w:rsidR="00C4574D" w:rsidRPr="00C86111" w:rsidRDefault="00C4574D" w:rsidP="00C4574D"/>
    <w:p w14:paraId="3B05611F" w14:textId="77777777" w:rsidR="00C4574D" w:rsidRPr="00C86111" w:rsidRDefault="00C4574D" w:rsidP="00C4574D"/>
    <w:p w14:paraId="39B9F07F" w14:textId="77777777" w:rsidR="00C4574D" w:rsidRPr="00C86111" w:rsidRDefault="00C4574D" w:rsidP="00C4574D"/>
    <w:p w14:paraId="5797554E" w14:textId="77777777" w:rsidR="00C4574D" w:rsidRPr="00C86111" w:rsidRDefault="00C4574D" w:rsidP="00C4574D"/>
    <w:p w14:paraId="046DD39B" w14:textId="77777777" w:rsidR="00C4574D" w:rsidRPr="00C86111" w:rsidRDefault="00C4574D" w:rsidP="00C4574D"/>
    <w:p w14:paraId="49A3E677" w14:textId="77777777" w:rsidR="00C4574D" w:rsidRPr="00C86111" w:rsidRDefault="00C4574D" w:rsidP="00C4574D"/>
    <w:p w14:paraId="70A9A1D4" w14:textId="77777777" w:rsidR="00C4574D" w:rsidRPr="00C86111" w:rsidRDefault="00C4574D" w:rsidP="00C4574D"/>
    <w:p w14:paraId="6CF70EDE" w14:textId="77777777" w:rsidR="00C4574D" w:rsidRPr="00C86111" w:rsidRDefault="00C4574D" w:rsidP="00C4574D"/>
    <w:p w14:paraId="3CE02054" w14:textId="77777777" w:rsidR="00C4574D" w:rsidRPr="00C86111" w:rsidRDefault="00C4574D" w:rsidP="00C4574D"/>
    <w:p w14:paraId="5AA3067C" w14:textId="77777777" w:rsidR="00C4574D" w:rsidRPr="00C86111" w:rsidRDefault="00C4574D" w:rsidP="00C4574D"/>
    <w:p w14:paraId="1F83C054" w14:textId="77777777" w:rsidR="00C4574D" w:rsidRPr="00C86111" w:rsidRDefault="00C4574D" w:rsidP="00C4574D"/>
    <w:p w14:paraId="7A3306DF" w14:textId="77777777" w:rsidR="00C4574D" w:rsidRPr="00C86111" w:rsidRDefault="00C4574D" w:rsidP="00C4574D"/>
    <w:p w14:paraId="4736B503" w14:textId="77777777" w:rsidR="00C4574D" w:rsidRPr="00C86111" w:rsidRDefault="00C4574D" w:rsidP="00C4574D">
      <w:pPr>
        <w:sectPr w:rsidR="00C4574D" w:rsidRPr="00C86111">
          <w:footerReference w:type="default" r:id="rId87"/>
          <w:pgSz w:w="12240" w:h="15840"/>
          <w:pgMar w:top="1440" w:right="1440" w:bottom="1440" w:left="1440" w:header="720" w:footer="720" w:gutter="0"/>
          <w:cols w:space="720"/>
          <w:docGrid w:linePitch="360"/>
        </w:sectPr>
      </w:pPr>
    </w:p>
    <w:p w14:paraId="06E03751" w14:textId="77777777" w:rsidR="002773F8" w:rsidRDefault="002773F8" w:rsidP="00912C4C">
      <w:pPr>
        <w:pStyle w:val="Heading1"/>
      </w:pPr>
      <w:bookmarkStart w:id="502" w:name="_Toc220542030"/>
      <w:r w:rsidRPr="00C86111">
        <w:lastRenderedPageBreak/>
        <w:t>AKCIONI PLAN ZA IMPLEMENTACIJU NACIONALNOG IMPLEMENTACIONOG PLANA (NIP) – POPs</w:t>
      </w:r>
      <w:bookmarkEnd w:id="502"/>
    </w:p>
    <w:p w14:paraId="1B34D5DE" w14:textId="77777777" w:rsidR="002773F8" w:rsidRPr="002773F8" w:rsidRDefault="002773F8" w:rsidP="002773F8"/>
    <w:p w14:paraId="3B27D2CB" w14:textId="1A22FE80" w:rsidR="002773F8" w:rsidRPr="002773F8" w:rsidRDefault="002773F8" w:rsidP="002773F8">
      <w:pPr>
        <w:jc w:val="both"/>
      </w:pPr>
      <w:r w:rsidRPr="002773F8">
        <w:t>Radi sprovođenja Nacionalnog implementacionog plana (NIP) za dugotrajne organske zagađujuće supstance (POPs), ovim Akcionim planom definišu se aktivnosti za period 202</w:t>
      </w:r>
      <w:r w:rsidR="009756DA">
        <w:t>6</w:t>
      </w:r>
      <w:r w:rsidRPr="002773F8">
        <w:t>–2027, koje su usmjerene na jačanje nacionalnog sistema upravljanja POPs supstancama u Crnoj Gori, u skladu sa obavezama koje proizilaze iz Stokholmske konvencije, drugih relevantnih međunarodnih instrumenata i propisa Evropske unije.</w:t>
      </w:r>
    </w:p>
    <w:p w14:paraId="01CE8733" w14:textId="77777777" w:rsidR="002773F8" w:rsidRPr="002773F8" w:rsidRDefault="002773F8" w:rsidP="002773F8">
      <w:pPr>
        <w:jc w:val="both"/>
      </w:pPr>
      <w:r w:rsidRPr="002773F8">
        <w:t>Akcioni plan obuhvata skup normativnih, institucionalnih, tehničkih i edukativnih mjera, raspoređenih po tematskim oblastima, uključujući: unapređenje pravnog okvira, jačanje administrativnih i stručnih kapaciteta, kontrolu proizvoda koji sadrže POPs supstance, upravljanje specifičnim grupama hemikalija (PFAS, PBDEs, SCCP, MCCP, PCB), monitoring stanja životne sredine i zdravlja stanovništva, kao i aktivnosti podizanja svijesti javnosti i ranjivih grupa.</w:t>
      </w:r>
    </w:p>
    <w:p w14:paraId="6B254DA5" w14:textId="77777777" w:rsidR="002773F8" w:rsidRPr="002773F8" w:rsidRDefault="002773F8" w:rsidP="002773F8">
      <w:pPr>
        <w:jc w:val="both"/>
      </w:pPr>
      <w:r w:rsidRPr="002773F8">
        <w:t>Po isteku perioda obuhvaćenog ovim Akcionim planom, biće izrađen novi Akcioni plan za naredni planski period, koji će se zasnivati na procjeni ostvarenih rezultata, identifikovanim izazovima u implementaciji, kao i eventualnim izmjenama međunarodnih obaveza i regulatornog okvira. Na ovaj način obezbjeđuje se kontinuitet u planiranju i sprovođenju mjera, uz mogućnost prilagođavanja aktivnosti stvarnim potrebama i kapacitetima institucija uključenih u sprovođenje NIP-a.</w:t>
      </w:r>
    </w:p>
    <w:p w14:paraId="1120B3E6" w14:textId="77777777" w:rsidR="002773F8" w:rsidRDefault="002773F8" w:rsidP="002773F8">
      <w:pPr>
        <w:jc w:val="both"/>
      </w:pPr>
      <w:r w:rsidRPr="002773F8">
        <w:t>Ovim pristupom omogućava se postepeno i sistematsko unapređenje upravljanja POPs supstancama u Crnoj Gori, kroz jasno definisane ciljeve, odgovornosti i rokove za realizaciju planiranih aktivnosti.</w:t>
      </w:r>
    </w:p>
    <w:p w14:paraId="18A117A9" w14:textId="77777777" w:rsidR="002773F8" w:rsidRDefault="002773F8" w:rsidP="002773F8">
      <w:pPr>
        <w:jc w:val="both"/>
      </w:pPr>
    </w:p>
    <w:p w14:paraId="09898300" w14:textId="77777777" w:rsidR="002773F8" w:rsidRDefault="002773F8" w:rsidP="002773F8">
      <w:pPr>
        <w:jc w:val="both"/>
      </w:pPr>
    </w:p>
    <w:p w14:paraId="0F6A8E1A" w14:textId="77777777" w:rsidR="002773F8" w:rsidRDefault="002773F8" w:rsidP="002773F8">
      <w:pPr>
        <w:jc w:val="both"/>
      </w:pPr>
    </w:p>
    <w:p w14:paraId="1E74E357" w14:textId="77777777" w:rsidR="002773F8" w:rsidRDefault="002773F8" w:rsidP="002773F8">
      <w:pPr>
        <w:jc w:val="both"/>
      </w:pPr>
    </w:p>
    <w:p w14:paraId="59618974" w14:textId="77777777" w:rsidR="002773F8" w:rsidRDefault="002773F8" w:rsidP="002773F8">
      <w:pPr>
        <w:jc w:val="both"/>
      </w:pPr>
    </w:p>
    <w:p w14:paraId="599AE3FE" w14:textId="77777777" w:rsidR="002773F8" w:rsidRDefault="002773F8" w:rsidP="002773F8">
      <w:pPr>
        <w:jc w:val="both"/>
      </w:pPr>
    </w:p>
    <w:p w14:paraId="1C4BA98A" w14:textId="77777777" w:rsidR="002773F8" w:rsidRDefault="002773F8" w:rsidP="002773F8">
      <w:pPr>
        <w:jc w:val="both"/>
      </w:pPr>
    </w:p>
    <w:p w14:paraId="14642585" w14:textId="77777777" w:rsidR="002773F8" w:rsidRDefault="002773F8" w:rsidP="002773F8">
      <w:pPr>
        <w:jc w:val="both"/>
      </w:pPr>
    </w:p>
    <w:p w14:paraId="5C817489" w14:textId="77777777" w:rsidR="002773F8" w:rsidRDefault="002773F8" w:rsidP="002773F8">
      <w:pPr>
        <w:jc w:val="both"/>
      </w:pPr>
    </w:p>
    <w:p w14:paraId="2CB2EF2C" w14:textId="77777777" w:rsidR="002773F8" w:rsidRDefault="002773F8" w:rsidP="002773F8">
      <w:pPr>
        <w:jc w:val="both"/>
      </w:pPr>
    </w:p>
    <w:p w14:paraId="538C5705" w14:textId="77777777" w:rsidR="002773F8" w:rsidRDefault="002773F8" w:rsidP="002773F8">
      <w:pPr>
        <w:jc w:val="both"/>
      </w:pPr>
    </w:p>
    <w:p w14:paraId="12C79C3D" w14:textId="77777777" w:rsidR="002773F8" w:rsidRDefault="002773F8" w:rsidP="002773F8">
      <w:pPr>
        <w:jc w:val="both"/>
      </w:pPr>
    </w:p>
    <w:p w14:paraId="34702D05" w14:textId="77777777" w:rsidR="002773F8" w:rsidRPr="002773F8" w:rsidRDefault="002773F8" w:rsidP="002773F8">
      <w:pPr>
        <w:jc w:val="both"/>
      </w:pPr>
    </w:p>
    <w:p w14:paraId="046E0B3F" w14:textId="77777777" w:rsidR="00C4574D" w:rsidRPr="00C86111" w:rsidRDefault="00C4574D" w:rsidP="00C4574D"/>
    <w:p w14:paraId="531AA2E1" w14:textId="77777777" w:rsidR="00C4574D" w:rsidRPr="00C86111" w:rsidRDefault="00C4574D" w:rsidP="00C4574D">
      <w:pPr>
        <w:rPr>
          <w:rFonts w:asciiTheme="minorHAnsi" w:hAnsiTheme="minorHAnsi" w:cstheme="minorHAnsi"/>
          <w:b/>
          <w:bCs/>
        </w:rPr>
      </w:pPr>
      <w:r w:rsidRPr="002773F8">
        <w:rPr>
          <w:rFonts w:asciiTheme="minorHAnsi" w:hAnsiTheme="minorHAnsi" w:cstheme="minorHAnsi"/>
          <w:b/>
          <w:bCs/>
          <w:color w:val="002060"/>
        </w:rPr>
        <w:lastRenderedPageBreak/>
        <w:t xml:space="preserve">STRATEŠKI CILJ 1: </w:t>
      </w:r>
      <w:r w:rsidRPr="00C86111">
        <w:rPr>
          <w:rFonts w:asciiTheme="minorHAnsi" w:hAnsiTheme="minorHAnsi" w:cstheme="minorHAnsi"/>
          <w:b/>
          <w:bCs/>
        </w:rPr>
        <w:t>Uspostavljanje održivog, efikasnog i usklađenog nacionalnog sistema za upravljanje dugotrajnim organskim zagađujućim supstancama (POPs) u Crnoj Gori, u skladu sa međunarodnim konvencijama i EU standardima, radi zaštite zdravlja ljudi i životne sredine.</w:t>
      </w:r>
    </w:p>
    <w:p w14:paraId="3FE765CF" w14:textId="77777777" w:rsidR="00C4574D" w:rsidRPr="00C86111" w:rsidRDefault="00C4574D" w:rsidP="00C4574D">
      <w:pPr>
        <w:rPr>
          <w:rFonts w:asciiTheme="minorHAnsi" w:hAnsiTheme="minorHAnsi" w:cstheme="minorHAnsi"/>
        </w:rPr>
      </w:pPr>
    </w:p>
    <w:p w14:paraId="2B398866" w14:textId="77777777" w:rsidR="00C4574D" w:rsidRPr="00C86111" w:rsidRDefault="00C4574D" w:rsidP="00C4574D">
      <w:pPr>
        <w:rPr>
          <w:rFonts w:asciiTheme="minorHAnsi" w:hAnsiTheme="minorHAnsi" w:cstheme="minorHAnsi"/>
        </w:rPr>
      </w:pPr>
      <w:r w:rsidRPr="00C86111">
        <w:rPr>
          <w:rFonts w:asciiTheme="minorHAnsi" w:hAnsiTheme="minorHAnsi" w:cstheme="minorHAnsi"/>
          <w:b/>
          <w:bCs/>
        </w:rPr>
        <w:t xml:space="preserve">Operativni cilj 1: </w:t>
      </w:r>
      <w:r w:rsidRPr="00C86111">
        <w:rPr>
          <w:rFonts w:asciiTheme="minorHAnsi" w:hAnsiTheme="minorHAnsi" w:cstheme="minorHAnsi"/>
        </w:rPr>
        <w:t>Uspostaviti pravni osnov za zaštitu zemljišta i remedijaciju kontaminiranih lokacija.</w:t>
      </w:r>
    </w:p>
    <w:tbl>
      <w:tblPr>
        <w:tblStyle w:val="GridTable4-Accent6"/>
        <w:tblW w:w="0" w:type="auto"/>
        <w:tblLook w:val="04A0" w:firstRow="1" w:lastRow="0" w:firstColumn="1" w:lastColumn="0" w:noHBand="0" w:noVBand="1"/>
      </w:tblPr>
      <w:tblGrid>
        <w:gridCol w:w="4121"/>
        <w:gridCol w:w="992"/>
        <w:gridCol w:w="1573"/>
        <w:gridCol w:w="584"/>
        <w:gridCol w:w="584"/>
        <w:gridCol w:w="2671"/>
        <w:gridCol w:w="2425"/>
      </w:tblGrid>
      <w:tr w:rsidR="00C4574D" w:rsidRPr="00C86111" w14:paraId="48F47D40"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EC5D5E0"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06AAE71E"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65711D5F"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hideMark/>
          </w:tcPr>
          <w:p w14:paraId="3F80BD8C"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24483648"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675CE79"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Postojanje zakona o zaštiti zemljišta koji uključuje mjere remedijacije POPs kontaminacije</w:t>
            </w:r>
          </w:p>
        </w:tc>
        <w:tc>
          <w:tcPr>
            <w:tcW w:w="0" w:type="auto"/>
            <w:gridSpan w:val="2"/>
            <w:hideMark/>
          </w:tcPr>
          <w:p w14:paraId="507EEA1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gridSpan w:val="2"/>
            <w:hideMark/>
          </w:tcPr>
          <w:p w14:paraId="2FE6A6E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Nacrt zakona izrađen</w:t>
            </w:r>
          </w:p>
        </w:tc>
        <w:tc>
          <w:tcPr>
            <w:tcW w:w="0" w:type="auto"/>
            <w:hideMark/>
          </w:tcPr>
          <w:p w14:paraId="3E9CE69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Zakon usvojen i primjenjuje se</w:t>
            </w:r>
          </w:p>
        </w:tc>
      </w:tr>
      <w:tr w:rsidR="00C4574D" w:rsidRPr="00C86111" w14:paraId="06536FAC"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0AEAAC8E"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67EA7736"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Početak</w:t>
            </w:r>
          </w:p>
        </w:tc>
        <w:tc>
          <w:tcPr>
            <w:tcW w:w="0" w:type="auto"/>
            <w:hideMark/>
          </w:tcPr>
          <w:p w14:paraId="28EC3DB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Završetak</w:t>
            </w:r>
          </w:p>
        </w:tc>
        <w:tc>
          <w:tcPr>
            <w:tcW w:w="1176" w:type="dxa"/>
            <w:gridSpan w:val="2"/>
            <w:hideMark/>
          </w:tcPr>
          <w:p w14:paraId="0A08E855"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aktivnosti</w:t>
            </w:r>
          </w:p>
        </w:tc>
        <w:tc>
          <w:tcPr>
            <w:tcW w:w="2671" w:type="dxa"/>
            <w:hideMark/>
          </w:tcPr>
          <w:p w14:paraId="12C5BD9A"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2425" w:type="dxa"/>
            <w:hideMark/>
          </w:tcPr>
          <w:p w14:paraId="470783A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47691972"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EFDB92"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1.1 Iniciranje i izrada Zakona o zaštiti zemljišta sa akcentom na prevenciju i remedijaciju POPs kontaminacije</w:t>
            </w:r>
          </w:p>
        </w:tc>
        <w:tc>
          <w:tcPr>
            <w:tcW w:w="0" w:type="auto"/>
            <w:hideMark/>
          </w:tcPr>
          <w:p w14:paraId="11C751D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0" w:type="auto"/>
            <w:hideMark/>
          </w:tcPr>
          <w:p w14:paraId="269AC0B4"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2027</w:t>
            </w:r>
          </w:p>
        </w:tc>
        <w:tc>
          <w:tcPr>
            <w:tcW w:w="1176" w:type="dxa"/>
            <w:gridSpan w:val="2"/>
            <w:hideMark/>
          </w:tcPr>
          <w:p w14:paraId="19DF83F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w:t>
            </w:r>
          </w:p>
        </w:tc>
        <w:tc>
          <w:tcPr>
            <w:tcW w:w="2671" w:type="dxa"/>
            <w:hideMark/>
          </w:tcPr>
          <w:p w14:paraId="2ED5AA7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Zakon objavljen u Službenom listu</w:t>
            </w:r>
          </w:p>
        </w:tc>
        <w:tc>
          <w:tcPr>
            <w:tcW w:w="2425" w:type="dxa"/>
            <w:hideMark/>
          </w:tcPr>
          <w:p w14:paraId="55FA538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Aktivnost pokrivena iz</w:t>
            </w:r>
          </w:p>
          <w:p w14:paraId="7F624A6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Budžeta CG - nijesu</w:t>
            </w:r>
          </w:p>
          <w:p w14:paraId="78CC9F9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potrebna dodatna</w:t>
            </w:r>
          </w:p>
          <w:p w14:paraId="5D1345C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finansijska sredstva</w:t>
            </w:r>
          </w:p>
        </w:tc>
      </w:tr>
      <w:tr w:rsidR="00C4574D" w:rsidRPr="00C86111" w14:paraId="44FF3571"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2601F3B2"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1.2 Izrada podzakonskog akta o remedijaciji kontaminiranih lokacija i upravljanju POPs u zemljištu</w:t>
            </w:r>
          </w:p>
        </w:tc>
        <w:tc>
          <w:tcPr>
            <w:tcW w:w="0" w:type="auto"/>
            <w:hideMark/>
          </w:tcPr>
          <w:p w14:paraId="33EEBFDE"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0" w:type="auto"/>
            <w:hideMark/>
          </w:tcPr>
          <w:p w14:paraId="69437712"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2027</w:t>
            </w:r>
          </w:p>
        </w:tc>
        <w:tc>
          <w:tcPr>
            <w:tcW w:w="1176" w:type="dxa"/>
            <w:gridSpan w:val="2"/>
            <w:hideMark/>
          </w:tcPr>
          <w:p w14:paraId="5C3BDC0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w:t>
            </w:r>
          </w:p>
        </w:tc>
        <w:tc>
          <w:tcPr>
            <w:tcW w:w="2671" w:type="dxa"/>
            <w:hideMark/>
          </w:tcPr>
          <w:p w14:paraId="7F760236"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Registar funkcionalan</w:t>
            </w:r>
          </w:p>
        </w:tc>
        <w:tc>
          <w:tcPr>
            <w:tcW w:w="2425" w:type="dxa"/>
            <w:hideMark/>
          </w:tcPr>
          <w:p w14:paraId="6D3FDED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Aktivnost pokrivena iz</w:t>
            </w:r>
          </w:p>
          <w:p w14:paraId="46556088"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Budžeta CG - nijesu</w:t>
            </w:r>
          </w:p>
          <w:p w14:paraId="54652DA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potrebna dodatna</w:t>
            </w:r>
          </w:p>
          <w:p w14:paraId="489631B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finansijska sredstva</w:t>
            </w:r>
          </w:p>
        </w:tc>
      </w:tr>
    </w:tbl>
    <w:p w14:paraId="02C4DAE9" w14:textId="46264BC8" w:rsidR="00C4574D" w:rsidRPr="00C86111" w:rsidRDefault="00C4574D" w:rsidP="00C4574D">
      <w:pPr>
        <w:rPr>
          <w:rFonts w:asciiTheme="minorHAnsi" w:hAnsiTheme="minorHAnsi" w:cstheme="minorHAnsi"/>
        </w:rPr>
      </w:pPr>
      <w:r w:rsidRPr="00C86111">
        <w:rPr>
          <w:rFonts w:asciiTheme="minorHAnsi" w:hAnsiTheme="minorHAnsi" w:cstheme="minorHAnsi"/>
          <w:b/>
          <w:bCs/>
        </w:rPr>
        <w:t xml:space="preserve">Operativni cilj 2: </w:t>
      </w:r>
      <w:r w:rsidRPr="00C86111">
        <w:rPr>
          <w:rFonts w:asciiTheme="minorHAnsi" w:hAnsiTheme="minorHAnsi" w:cstheme="minorHAnsi"/>
        </w:rPr>
        <w:t>Revizija Zakona o hemikalijama radi pune usklađenosti sa EU propisima (REACH, CLP, POPs).</w:t>
      </w:r>
    </w:p>
    <w:tbl>
      <w:tblPr>
        <w:tblStyle w:val="GridTable4-Accent6"/>
        <w:tblW w:w="0" w:type="auto"/>
        <w:tblLook w:val="04A0" w:firstRow="1" w:lastRow="0" w:firstColumn="1" w:lastColumn="0" w:noHBand="0" w:noVBand="1"/>
      </w:tblPr>
      <w:tblGrid>
        <w:gridCol w:w="3659"/>
        <w:gridCol w:w="992"/>
        <w:gridCol w:w="577"/>
        <w:gridCol w:w="577"/>
        <w:gridCol w:w="2594"/>
        <w:gridCol w:w="2671"/>
        <w:gridCol w:w="1880"/>
      </w:tblGrid>
      <w:tr w:rsidR="00C4574D" w:rsidRPr="00C86111" w14:paraId="493BFA70"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1818766"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51341CA9"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hideMark/>
          </w:tcPr>
          <w:p w14:paraId="573C599B"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hideMark/>
          </w:tcPr>
          <w:p w14:paraId="414683D3"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52BB63F1"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D036ACA"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Stepen usklađenosti Zakona o hemikalijama sa EU pravnom tekovinom</w:t>
            </w:r>
          </w:p>
        </w:tc>
        <w:tc>
          <w:tcPr>
            <w:tcW w:w="0" w:type="auto"/>
            <w:gridSpan w:val="2"/>
            <w:hideMark/>
          </w:tcPr>
          <w:p w14:paraId="2724818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80%</w:t>
            </w:r>
          </w:p>
        </w:tc>
        <w:tc>
          <w:tcPr>
            <w:tcW w:w="0" w:type="auto"/>
            <w:hideMark/>
          </w:tcPr>
          <w:p w14:paraId="3E89F01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90%</w:t>
            </w:r>
          </w:p>
        </w:tc>
        <w:tc>
          <w:tcPr>
            <w:tcW w:w="0" w:type="auto"/>
            <w:hideMark/>
          </w:tcPr>
          <w:p w14:paraId="4CCC3FE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100%</w:t>
            </w:r>
          </w:p>
        </w:tc>
      </w:tr>
      <w:tr w:rsidR="00C4574D" w:rsidRPr="00C86111" w14:paraId="4237C8A9"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6D708559"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10B8958E"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Početak</w:t>
            </w:r>
          </w:p>
        </w:tc>
        <w:tc>
          <w:tcPr>
            <w:tcW w:w="1154" w:type="dxa"/>
            <w:gridSpan w:val="2"/>
            <w:hideMark/>
          </w:tcPr>
          <w:p w14:paraId="144E238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Završetak</w:t>
            </w:r>
          </w:p>
        </w:tc>
        <w:tc>
          <w:tcPr>
            <w:tcW w:w="2594" w:type="dxa"/>
            <w:hideMark/>
          </w:tcPr>
          <w:p w14:paraId="14B6D68E"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aktivnosti</w:t>
            </w:r>
          </w:p>
        </w:tc>
        <w:tc>
          <w:tcPr>
            <w:tcW w:w="2671" w:type="dxa"/>
            <w:hideMark/>
          </w:tcPr>
          <w:p w14:paraId="4551C28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1880" w:type="dxa"/>
            <w:hideMark/>
          </w:tcPr>
          <w:p w14:paraId="6C9F9C3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4CEE3184"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9D289"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2.1 Revizija postojećeg Zakona o hemikalijama i priprema novog nacrta zakona</w:t>
            </w:r>
          </w:p>
        </w:tc>
        <w:tc>
          <w:tcPr>
            <w:tcW w:w="0" w:type="auto"/>
            <w:hideMark/>
          </w:tcPr>
          <w:p w14:paraId="06AEB52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2025</w:t>
            </w:r>
          </w:p>
        </w:tc>
        <w:tc>
          <w:tcPr>
            <w:tcW w:w="1154" w:type="dxa"/>
            <w:gridSpan w:val="2"/>
            <w:hideMark/>
          </w:tcPr>
          <w:p w14:paraId="7767611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2594" w:type="dxa"/>
            <w:hideMark/>
          </w:tcPr>
          <w:p w14:paraId="5403BE3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w:t>
            </w:r>
          </w:p>
        </w:tc>
        <w:tc>
          <w:tcPr>
            <w:tcW w:w="2671" w:type="dxa"/>
            <w:hideMark/>
          </w:tcPr>
          <w:p w14:paraId="2EA51355"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Revidovan Zakon objavljen u Službenom listu</w:t>
            </w:r>
          </w:p>
        </w:tc>
        <w:tc>
          <w:tcPr>
            <w:tcW w:w="1880" w:type="dxa"/>
            <w:hideMark/>
          </w:tcPr>
          <w:p w14:paraId="0DE3651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Aktivnost pokrivena iz</w:t>
            </w:r>
          </w:p>
          <w:p w14:paraId="67A9181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Budžeta CG - nijesu</w:t>
            </w:r>
          </w:p>
          <w:p w14:paraId="5D0D045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lastRenderedPageBreak/>
              <w:t>potrebna dodatna</w:t>
            </w:r>
          </w:p>
          <w:p w14:paraId="576B5D7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finansijska sredstva</w:t>
            </w:r>
          </w:p>
        </w:tc>
      </w:tr>
    </w:tbl>
    <w:p w14:paraId="0E4009CD" w14:textId="121C9095" w:rsidR="00C4574D" w:rsidRPr="00292255" w:rsidRDefault="00C4574D" w:rsidP="00C4574D">
      <w:pPr>
        <w:rPr>
          <w:rFonts w:asciiTheme="minorHAnsi" w:hAnsiTheme="minorHAnsi" w:cstheme="minorHAnsi"/>
          <w:color w:val="auto"/>
        </w:rPr>
      </w:pPr>
      <w:r w:rsidRPr="00292255">
        <w:rPr>
          <w:rFonts w:asciiTheme="minorHAnsi" w:hAnsiTheme="minorHAnsi" w:cstheme="minorHAnsi"/>
          <w:b/>
          <w:bCs/>
          <w:color w:val="auto"/>
        </w:rPr>
        <w:lastRenderedPageBreak/>
        <w:t xml:space="preserve">Operativni cilj 3: </w:t>
      </w:r>
      <w:r w:rsidRPr="00292255">
        <w:rPr>
          <w:rFonts w:asciiTheme="minorHAnsi" w:hAnsiTheme="minorHAnsi" w:cstheme="minorHAnsi"/>
          <w:color w:val="auto"/>
        </w:rPr>
        <w:t>Ojačani administrativni kapaciteti institucija nadležnih za upravljanje POPs supstancama.</w:t>
      </w:r>
    </w:p>
    <w:tbl>
      <w:tblPr>
        <w:tblStyle w:val="GridTable4-Accent6"/>
        <w:tblW w:w="0" w:type="auto"/>
        <w:tblLook w:val="04A0" w:firstRow="1" w:lastRow="0" w:firstColumn="1" w:lastColumn="0" w:noHBand="0" w:noVBand="1"/>
      </w:tblPr>
      <w:tblGrid>
        <w:gridCol w:w="3553"/>
        <w:gridCol w:w="992"/>
        <w:gridCol w:w="577"/>
        <w:gridCol w:w="577"/>
        <w:gridCol w:w="2594"/>
        <w:gridCol w:w="2671"/>
        <w:gridCol w:w="1986"/>
      </w:tblGrid>
      <w:tr w:rsidR="00C4574D" w:rsidRPr="00292255" w14:paraId="23A4821C"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C462F1D" w14:textId="77777777" w:rsidR="00C4574D" w:rsidRPr="00292255" w:rsidRDefault="00C4574D" w:rsidP="00033AB8">
            <w:pPr>
              <w:rPr>
                <w:rFonts w:asciiTheme="minorHAnsi" w:hAnsiTheme="minorHAnsi" w:cstheme="minorHAnsi"/>
                <w:color w:val="auto"/>
              </w:rPr>
            </w:pPr>
            <w:r w:rsidRPr="00292255">
              <w:rPr>
                <w:rFonts w:asciiTheme="minorHAnsi" w:hAnsiTheme="minorHAnsi" w:cstheme="minorHAnsi"/>
                <w:color w:val="auto"/>
              </w:rPr>
              <w:t>Indikator učinka</w:t>
            </w:r>
          </w:p>
        </w:tc>
        <w:tc>
          <w:tcPr>
            <w:tcW w:w="0" w:type="auto"/>
            <w:gridSpan w:val="2"/>
            <w:hideMark/>
          </w:tcPr>
          <w:p w14:paraId="4B8A2049" w14:textId="77777777" w:rsidR="00C4574D" w:rsidRPr="00292255"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Polazna vrijednost 2025</w:t>
            </w:r>
          </w:p>
        </w:tc>
        <w:tc>
          <w:tcPr>
            <w:tcW w:w="0" w:type="auto"/>
            <w:hideMark/>
          </w:tcPr>
          <w:p w14:paraId="0D056591" w14:textId="77777777" w:rsidR="00C4574D" w:rsidRPr="00292255"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Prelazna vrijednost 2026</w:t>
            </w:r>
          </w:p>
        </w:tc>
        <w:tc>
          <w:tcPr>
            <w:tcW w:w="0" w:type="auto"/>
            <w:hideMark/>
          </w:tcPr>
          <w:p w14:paraId="2316255F" w14:textId="77777777" w:rsidR="00C4574D" w:rsidRPr="00292255"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Ciljna vrijednost 2027</w:t>
            </w:r>
          </w:p>
        </w:tc>
      </w:tr>
      <w:tr w:rsidR="00C4574D" w:rsidRPr="00292255" w14:paraId="2B8F79EB"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920226B" w14:textId="77777777" w:rsidR="00C4574D" w:rsidRPr="00292255" w:rsidRDefault="00C4574D" w:rsidP="00033AB8">
            <w:pPr>
              <w:rPr>
                <w:rFonts w:asciiTheme="minorHAnsi" w:hAnsiTheme="minorHAnsi" w:cstheme="minorHAnsi"/>
                <w:color w:val="auto"/>
              </w:rPr>
            </w:pPr>
            <w:r w:rsidRPr="00292255">
              <w:rPr>
                <w:rFonts w:asciiTheme="minorHAnsi" w:hAnsiTheme="minorHAnsi" w:cstheme="minorHAnsi"/>
                <w:color w:val="auto"/>
              </w:rPr>
              <w:t>Broj zaposlenih službenika u institucijama koje se bave POPs pitanjima</w:t>
            </w:r>
          </w:p>
        </w:tc>
        <w:tc>
          <w:tcPr>
            <w:tcW w:w="0" w:type="auto"/>
            <w:gridSpan w:val="2"/>
            <w:hideMark/>
          </w:tcPr>
          <w:p w14:paraId="60D55031" w14:textId="258AB7B4" w:rsidR="00C4574D" w:rsidRPr="00292255" w:rsidRDefault="00781655"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w:t>
            </w:r>
          </w:p>
        </w:tc>
        <w:tc>
          <w:tcPr>
            <w:tcW w:w="0" w:type="auto"/>
            <w:hideMark/>
          </w:tcPr>
          <w:p w14:paraId="7272423D" w14:textId="10349655" w:rsidR="00C4574D" w:rsidRPr="00292255" w:rsidRDefault="00781655"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3</w:t>
            </w:r>
          </w:p>
        </w:tc>
        <w:tc>
          <w:tcPr>
            <w:tcW w:w="0" w:type="auto"/>
            <w:hideMark/>
          </w:tcPr>
          <w:p w14:paraId="24640138" w14:textId="2F61D1D8" w:rsidR="00C4574D" w:rsidRPr="00292255" w:rsidRDefault="00781655"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4</w:t>
            </w:r>
          </w:p>
        </w:tc>
      </w:tr>
      <w:tr w:rsidR="00C4574D" w:rsidRPr="00292255" w14:paraId="63705C5E"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12FAC795" w14:textId="77777777" w:rsidR="00C4574D" w:rsidRPr="00292255" w:rsidRDefault="00C4574D" w:rsidP="00033AB8">
            <w:pPr>
              <w:rPr>
                <w:rFonts w:asciiTheme="minorHAnsi" w:hAnsiTheme="minorHAnsi" w:cstheme="minorHAnsi"/>
                <w:color w:val="auto"/>
              </w:rPr>
            </w:pPr>
            <w:r w:rsidRPr="00292255">
              <w:rPr>
                <w:rFonts w:asciiTheme="minorHAnsi" w:hAnsiTheme="minorHAnsi" w:cstheme="minorHAnsi"/>
                <w:color w:val="auto"/>
              </w:rPr>
              <w:t>Aktivnost</w:t>
            </w:r>
          </w:p>
        </w:tc>
        <w:tc>
          <w:tcPr>
            <w:tcW w:w="0" w:type="auto"/>
            <w:hideMark/>
          </w:tcPr>
          <w:p w14:paraId="39C75B86"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Početak</w:t>
            </w:r>
          </w:p>
        </w:tc>
        <w:tc>
          <w:tcPr>
            <w:tcW w:w="1154" w:type="dxa"/>
            <w:gridSpan w:val="2"/>
            <w:hideMark/>
          </w:tcPr>
          <w:p w14:paraId="300EE698"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Završetak</w:t>
            </w:r>
          </w:p>
        </w:tc>
        <w:tc>
          <w:tcPr>
            <w:tcW w:w="2594" w:type="dxa"/>
            <w:hideMark/>
          </w:tcPr>
          <w:p w14:paraId="46B11090"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Nosioci aktivnosti</w:t>
            </w:r>
          </w:p>
        </w:tc>
        <w:tc>
          <w:tcPr>
            <w:tcW w:w="2671" w:type="dxa"/>
            <w:hideMark/>
          </w:tcPr>
          <w:p w14:paraId="11D538C3"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Indikator rezultata</w:t>
            </w:r>
          </w:p>
        </w:tc>
        <w:tc>
          <w:tcPr>
            <w:tcW w:w="1986" w:type="dxa"/>
            <w:hideMark/>
          </w:tcPr>
          <w:p w14:paraId="3BEF3927"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Izvor finansiranja</w:t>
            </w:r>
          </w:p>
        </w:tc>
      </w:tr>
      <w:tr w:rsidR="00C4574D" w:rsidRPr="00292255" w14:paraId="35D46525"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945BC3" w14:textId="77777777" w:rsidR="00C4574D" w:rsidRPr="00292255" w:rsidRDefault="00C4574D" w:rsidP="00033AB8">
            <w:pPr>
              <w:rPr>
                <w:rFonts w:asciiTheme="minorHAnsi" w:hAnsiTheme="minorHAnsi" w:cstheme="minorHAnsi"/>
                <w:color w:val="auto"/>
              </w:rPr>
            </w:pPr>
            <w:r w:rsidRPr="00292255">
              <w:rPr>
                <w:rFonts w:asciiTheme="minorHAnsi" w:hAnsiTheme="minorHAnsi" w:cstheme="minorHAnsi"/>
                <w:color w:val="auto"/>
              </w:rPr>
              <w:t>3.1 Povećati broj zaposlenih u ključnim institucijama (AZŽS, Ministarstvo ekologije)</w:t>
            </w:r>
          </w:p>
        </w:tc>
        <w:tc>
          <w:tcPr>
            <w:tcW w:w="0" w:type="auto"/>
            <w:hideMark/>
          </w:tcPr>
          <w:p w14:paraId="1E912AF9"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w:t>
            </w:r>
          </w:p>
        </w:tc>
        <w:tc>
          <w:tcPr>
            <w:tcW w:w="1154" w:type="dxa"/>
            <w:gridSpan w:val="2"/>
            <w:hideMark/>
          </w:tcPr>
          <w:p w14:paraId="422A51D9"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w:t>
            </w:r>
          </w:p>
        </w:tc>
        <w:tc>
          <w:tcPr>
            <w:tcW w:w="2594" w:type="dxa"/>
            <w:hideMark/>
          </w:tcPr>
          <w:p w14:paraId="6C92BEEE"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w:t>
            </w:r>
          </w:p>
        </w:tc>
        <w:tc>
          <w:tcPr>
            <w:tcW w:w="2671" w:type="dxa"/>
            <w:hideMark/>
          </w:tcPr>
          <w:p w14:paraId="54B3AD24"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Broj novozaposlenih stručnjaka</w:t>
            </w:r>
          </w:p>
        </w:tc>
        <w:tc>
          <w:tcPr>
            <w:tcW w:w="1986" w:type="dxa"/>
            <w:hideMark/>
          </w:tcPr>
          <w:p w14:paraId="0C062183" w14:textId="0190CE86"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 xml:space="preserve">Aktivnost </w:t>
            </w:r>
            <w:r w:rsidR="00781655" w:rsidRPr="00292255">
              <w:rPr>
                <w:rFonts w:asciiTheme="minorHAnsi" w:hAnsiTheme="minorHAnsi" w:cstheme="minorHAnsi"/>
                <w:color w:val="auto"/>
              </w:rPr>
              <w:t xml:space="preserve">planirana kroz </w:t>
            </w:r>
            <w:r w:rsidRPr="00292255">
              <w:rPr>
                <w:rFonts w:asciiTheme="minorHAnsi" w:hAnsiTheme="minorHAnsi" w:cstheme="minorHAnsi"/>
                <w:color w:val="auto"/>
              </w:rPr>
              <w:t xml:space="preserve"> Budžet CG - nijesu</w:t>
            </w:r>
          </w:p>
          <w:p w14:paraId="6240537D"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potrebna dodatna</w:t>
            </w:r>
          </w:p>
          <w:p w14:paraId="58CFC564"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finansijska sredstva</w:t>
            </w:r>
          </w:p>
        </w:tc>
      </w:tr>
      <w:tr w:rsidR="00C4574D" w:rsidRPr="00292255" w14:paraId="00D2B1EE"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303911C9" w14:textId="77777777" w:rsidR="00C4574D" w:rsidRPr="00292255" w:rsidRDefault="00C4574D" w:rsidP="00033AB8">
            <w:pPr>
              <w:rPr>
                <w:rFonts w:asciiTheme="minorHAnsi" w:hAnsiTheme="minorHAnsi" w:cstheme="minorHAnsi"/>
                <w:color w:val="auto"/>
              </w:rPr>
            </w:pPr>
            <w:r w:rsidRPr="00292255">
              <w:rPr>
                <w:rFonts w:asciiTheme="minorHAnsi" w:hAnsiTheme="minorHAnsi" w:cstheme="minorHAnsi"/>
                <w:color w:val="auto"/>
              </w:rPr>
              <w:t>3.2 Organizovanje kontinuiranih obuka i sertifikacija za inspektore i stručnjake za POPs</w:t>
            </w:r>
          </w:p>
        </w:tc>
        <w:tc>
          <w:tcPr>
            <w:tcW w:w="0" w:type="auto"/>
            <w:hideMark/>
          </w:tcPr>
          <w:p w14:paraId="186C2197"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w:t>
            </w:r>
          </w:p>
        </w:tc>
        <w:tc>
          <w:tcPr>
            <w:tcW w:w="1154" w:type="dxa"/>
            <w:gridSpan w:val="2"/>
            <w:hideMark/>
          </w:tcPr>
          <w:p w14:paraId="075161F8"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w:t>
            </w:r>
          </w:p>
        </w:tc>
        <w:tc>
          <w:tcPr>
            <w:tcW w:w="2594" w:type="dxa"/>
            <w:hideMark/>
          </w:tcPr>
          <w:p w14:paraId="58281ED7"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w:t>
            </w:r>
          </w:p>
        </w:tc>
        <w:tc>
          <w:tcPr>
            <w:tcW w:w="2671" w:type="dxa"/>
            <w:hideMark/>
          </w:tcPr>
          <w:p w14:paraId="1633FD58"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Broj sprovedenih obuka i obučenih lica</w:t>
            </w:r>
          </w:p>
        </w:tc>
        <w:tc>
          <w:tcPr>
            <w:tcW w:w="1986" w:type="dxa"/>
            <w:hideMark/>
          </w:tcPr>
          <w:p w14:paraId="638AC746"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Izvor: TAIEX, IPA-ECHA I dr</w:t>
            </w:r>
          </w:p>
          <w:p w14:paraId="5E0BAC02"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20.000 €</w:t>
            </w:r>
          </w:p>
        </w:tc>
      </w:tr>
      <w:tr w:rsidR="00C4574D" w:rsidRPr="00C86111" w14:paraId="2F13317F"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00ABD6"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3.3 Formalno uspostaviti i operativno osposobiti Centar za kontrolu trovanja</w:t>
            </w:r>
          </w:p>
        </w:tc>
        <w:tc>
          <w:tcPr>
            <w:tcW w:w="0" w:type="auto"/>
            <w:hideMark/>
          </w:tcPr>
          <w:p w14:paraId="6ACD094E"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1154" w:type="dxa"/>
            <w:gridSpan w:val="2"/>
            <w:hideMark/>
          </w:tcPr>
          <w:p w14:paraId="56EAF58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2027</w:t>
            </w:r>
          </w:p>
        </w:tc>
        <w:tc>
          <w:tcPr>
            <w:tcW w:w="2594" w:type="dxa"/>
            <w:hideMark/>
          </w:tcPr>
          <w:p w14:paraId="0ED910F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MZ, KCCG</w:t>
            </w:r>
          </w:p>
        </w:tc>
        <w:tc>
          <w:tcPr>
            <w:tcW w:w="2671" w:type="dxa"/>
            <w:hideMark/>
          </w:tcPr>
          <w:p w14:paraId="386D531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Centar operativan</w:t>
            </w:r>
          </w:p>
        </w:tc>
        <w:tc>
          <w:tcPr>
            <w:tcW w:w="1986" w:type="dxa"/>
            <w:hideMark/>
          </w:tcPr>
          <w:p w14:paraId="55194E0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Sredstva će se</w:t>
            </w:r>
          </w:p>
          <w:p w14:paraId="46D356F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obezbijediti iz budžeta</w:t>
            </w:r>
          </w:p>
          <w:p w14:paraId="34BCBF5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i/ili donatorskih fondova u skladu sa planovima</w:t>
            </w:r>
          </w:p>
          <w:p w14:paraId="4806270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MZ</w:t>
            </w:r>
          </w:p>
        </w:tc>
      </w:tr>
    </w:tbl>
    <w:p w14:paraId="0E5EB0B4" w14:textId="77777777" w:rsidR="00C4574D" w:rsidRDefault="00C4574D" w:rsidP="00C4574D">
      <w:pPr>
        <w:rPr>
          <w:rFonts w:asciiTheme="minorHAnsi" w:hAnsiTheme="minorHAnsi" w:cstheme="minorHAnsi"/>
        </w:rPr>
      </w:pPr>
    </w:p>
    <w:p w14:paraId="1E54DA93" w14:textId="77777777" w:rsidR="00F50788" w:rsidRDefault="00F50788" w:rsidP="00C4574D">
      <w:pPr>
        <w:rPr>
          <w:rFonts w:asciiTheme="minorHAnsi" w:hAnsiTheme="minorHAnsi" w:cstheme="minorHAnsi"/>
        </w:rPr>
      </w:pPr>
    </w:p>
    <w:p w14:paraId="3AEABA8C" w14:textId="77777777" w:rsidR="00F50788" w:rsidRPr="00C86111" w:rsidRDefault="00F50788" w:rsidP="00C4574D">
      <w:pPr>
        <w:rPr>
          <w:rFonts w:asciiTheme="minorHAnsi" w:hAnsiTheme="minorHAnsi" w:cstheme="minorHAnsi"/>
        </w:rPr>
      </w:pPr>
    </w:p>
    <w:p w14:paraId="61AD9B84" w14:textId="77777777" w:rsidR="00C4574D" w:rsidRPr="00C86111" w:rsidRDefault="00C4574D" w:rsidP="00C4574D">
      <w:pPr>
        <w:rPr>
          <w:rFonts w:asciiTheme="minorHAnsi" w:hAnsiTheme="minorHAnsi" w:cstheme="minorHAnsi"/>
        </w:rPr>
      </w:pPr>
      <w:r w:rsidRPr="00C86111">
        <w:rPr>
          <w:rFonts w:asciiTheme="minorHAnsi" w:hAnsiTheme="minorHAnsi" w:cstheme="minorHAnsi"/>
          <w:b/>
          <w:bCs/>
        </w:rPr>
        <w:lastRenderedPageBreak/>
        <w:t>Operativni cilj 4: Povezivanje sektorskih zakona i jačanje međuresorne saradnje u oblasti POPs.</w:t>
      </w:r>
    </w:p>
    <w:tbl>
      <w:tblPr>
        <w:tblStyle w:val="GridTable4-Accent6"/>
        <w:tblW w:w="0" w:type="auto"/>
        <w:tblLook w:val="04A0" w:firstRow="1" w:lastRow="0" w:firstColumn="1" w:lastColumn="0" w:noHBand="0" w:noVBand="1"/>
      </w:tblPr>
      <w:tblGrid>
        <w:gridCol w:w="5429"/>
        <w:gridCol w:w="992"/>
        <w:gridCol w:w="1154"/>
        <w:gridCol w:w="1366"/>
        <w:gridCol w:w="1854"/>
        <w:gridCol w:w="2155"/>
      </w:tblGrid>
      <w:tr w:rsidR="00C4574D" w:rsidRPr="00C86111" w14:paraId="051C3726"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2A32B25"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58BB1849"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hideMark/>
          </w:tcPr>
          <w:p w14:paraId="1C9F8D4D"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hideMark/>
          </w:tcPr>
          <w:p w14:paraId="2FFC8237"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2530E1BA"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67C6501"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sektorskih propisa usklađenih i međusobno povezanih (zdravlje, poljoprivreda, životna sredina)</w:t>
            </w:r>
          </w:p>
        </w:tc>
        <w:tc>
          <w:tcPr>
            <w:tcW w:w="0" w:type="auto"/>
            <w:gridSpan w:val="2"/>
            <w:hideMark/>
          </w:tcPr>
          <w:p w14:paraId="0D3B93A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hideMark/>
          </w:tcPr>
          <w:p w14:paraId="419D5C84"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c>
          <w:tcPr>
            <w:tcW w:w="0" w:type="auto"/>
            <w:hideMark/>
          </w:tcPr>
          <w:p w14:paraId="4CF319C8"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r>
      <w:tr w:rsidR="00C4574D" w:rsidRPr="00C86111" w14:paraId="1D5564F1"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2BB63902"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08B5D97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Početak</w:t>
            </w:r>
          </w:p>
        </w:tc>
        <w:tc>
          <w:tcPr>
            <w:tcW w:w="0" w:type="auto"/>
            <w:hideMark/>
          </w:tcPr>
          <w:p w14:paraId="43649EF8"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Završetak</w:t>
            </w:r>
          </w:p>
        </w:tc>
        <w:tc>
          <w:tcPr>
            <w:tcW w:w="0" w:type="auto"/>
            <w:hideMark/>
          </w:tcPr>
          <w:p w14:paraId="063369C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aktivnosti</w:t>
            </w:r>
          </w:p>
        </w:tc>
        <w:tc>
          <w:tcPr>
            <w:tcW w:w="1854" w:type="dxa"/>
            <w:hideMark/>
          </w:tcPr>
          <w:p w14:paraId="7D6E07C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2155" w:type="dxa"/>
            <w:hideMark/>
          </w:tcPr>
          <w:p w14:paraId="012C58C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6597B273"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E24F3"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4.1 Izrada prijedloga akta za međusektorsku harmonizaciju zakona iz oblasti zdravlja, poljoprivrede i životne sredine u dijelu koji se odnosi na POPs pesticide</w:t>
            </w:r>
          </w:p>
        </w:tc>
        <w:tc>
          <w:tcPr>
            <w:tcW w:w="0" w:type="auto"/>
            <w:hideMark/>
          </w:tcPr>
          <w:p w14:paraId="69AC7AD8"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0" w:type="auto"/>
            <w:hideMark/>
          </w:tcPr>
          <w:p w14:paraId="18F19CBE"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2027</w:t>
            </w:r>
          </w:p>
        </w:tc>
        <w:tc>
          <w:tcPr>
            <w:tcW w:w="0" w:type="auto"/>
            <w:hideMark/>
          </w:tcPr>
          <w:p w14:paraId="0816EA9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c>
          <w:tcPr>
            <w:tcW w:w="1854" w:type="dxa"/>
            <w:hideMark/>
          </w:tcPr>
          <w:p w14:paraId="7231390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Prijedlog akta usvojen</w:t>
            </w:r>
          </w:p>
        </w:tc>
        <w:tc>
          <w:tcPr>
            <w:tcW w:w="2155" w:type="dxa"/>
            <w:hideMark/>
          </w:tcPr>
          <w:p w14:paraId="6564B90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Aktivnost pokrivena iz</w:t>
            </w:r>
          </w:p>
          <w:p w14:paraId="641AF71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Budžeta CG - nijesu</w:t>
            </w:r>
          </w:p>
          <w:p w14:paraId="79870ED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potrebna dodatna</w:t>
            </w:r>
          </w:p>
          <w:p w14:paraId="4D5233B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finansijska sredstva</w:t>
            </w:r>
          </w:p>
        </w:tc>
      </w:tr>
      <w:tr w:rsidR="00C4574D" w:rsidRPr="00292255" w14:paraId="2B895221"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07A5C8FC" w14:textId="77777777" w:rsidR="00C4574D" w:rsidRPr="00292255" w:rsidRDefault="00C4574D" w:rsidP="00033AB8">
            <w:pPr>
              <w:rPr>
                <w:rFonts w:asciiTheme="minorHAnsi" w:hAnsiTheme="minorHAnsi" w:cstheme="minorHAnsi"/>
                <w:color w:val="auto"/>
              </w:rPr>
            </w:pPr>
            <w:r w:rsidRPr="00292255">
              <w:rPr>
                <w:rFonts w:asciiTheme="minorHAnsi" w:hAnsiTheme="minorHAnsi" w:cstheme="minorHAnsi"/>
                <w:color w:val="auto"/>
              </w:rPr>
              <w:t>4.2 Formiranje stalnog Nacionalno koordinacionog tijela za praćenje stanja u oblasti upravljanja hemikalijama i otpadom</w:t>
            </w:r>
          </w:p>
        </w:tc>
        <w:tc>
          <w:tcPr>
            <w:tcW w:w="0" w:type="auto"/>
            <w:hideMark/>
          </w:tcPr>
          <w:p w14:paraId="7E1C31E7"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2026</w:t>
            </w:r>
          </w:p>
        </w:tc>
        <w:tc>
          <w:tcPr>
            <w:tcW w:w="0" w:type="auto"/>
            <w:hideMark/>
          </w:tcPr>
          <w:p w14:paraId="1AB35A44" w14:textId="336B8E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202</w:t>
            </w:r>
            <w:r w:rsidR="00292255">
              <w:rPr>
                <w:rFonts w:asciiTheme="minorHAnsi" w:hAnsiTheme="minorHAnsi" w:cstheme="minorHAnsi"/>
                <w:color w:val="auto"/>
              </w:rPr>
              <w:t>7</w:t>
            </w:r>
          </w:p>
        </w:tc>
        <w:tc>
          <w:tcPr>
            <w:tcW w:w="0" w:type="auto"/>
            <w:hideMark/>
          </w:tcPr>
          <w:p w14:paraId="6D9A932E"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w:t>
            </w:r>
          </w:p>
        </w:tc>
        <w:tc>
          <w:tcPr>
            <w:tcW w:w="1854" w:type="dxa"/>
            <w:hideMark/>
          </w:tcPr>
          <w:p w14:paraId="5E0D398E"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Nacionalni koordinacioni mehanizam u funkciji</w:t>
            </w:r>
          </w:p>
        </w:tc>
        <w:tc>
          <w:tcPr>
            <w:tcW w:w="2155" w:type="dxa"/>
            <w:hideMark/>
          </w:tcPr>
          <w:p w14:paraId="7D04F6A2" w14:textId="5A2BC46B" w:rsidR="00781655" w:rsidRPr="00292255" w:rsidRDefault="00781655" w:rsidP="007816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Aktivnost pokrivena iz</w:t>
            </w:r>
          </w:p>
          <w:p w14:paraId="4276A91A" w14:textId="369151DD" w:rsidR="00781655" w:rsidRPr="00292255" w:rsidRDefault="00781655" w:rsidP="007816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 xml:space="preserve">Budžeta CG </w:t>
            </w:r>
          </w:p>
          <w:p w14:paraId="3C65E184" w14:textId="01936F43" w:rsidR="00C4574D" w:rsidRPr="00292255" w:rsidRDefault="00C4574D" w:rsidP="007816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bl>
    <w:p w14:paraId="4E209946" w14:textId="77777777" w:rsidR="00C4574D" w:rsidRPr="00C86111" w:rsidRDefault="00C4574D" w:rsidP="00C4574D">
      <w:pPr>
        <w:rPr>
          <w:rFonts w:asciiTheme="minorHAnsi" w:hAnsiTheme="minorHAnsi" w:cstheme="minorHAnsi"/>
          <w:b/>
          <w:bCs/>
          <w:color w:val="EE0000"/>
        </w:rPr>
      </w:pPr>
    </w:p>
    <w:p w14:paraId="4A8CC905" w14:textId="0EA26BCB" w:rsidR="00C4574D" w:rsidRPr="00C86111" w:rsidRDefault="00C4574D" w:rsidP="00C4574D">
      <w:pPr>
        <w:rPr>
          <w:rFonts w:asciiTheme="minorHAnsi" w:hAnsiTheme="minorHAnsi" w:cstheme="minorHAnsi"/>
          <w:b/>
          <w:bCs/>
        </w:rPr>
      </w:pPr>
      <w:r w:rsidRPr="006D5D17">
        <w:rPr>
          <w:rFonts w:asciiTheme="minorHAnsi" w:hAnsiTheme="minorHAnsi" w:cstheme="minorHAnsi"/>
          <w:b/>
          <w:bCs/>
          <w:color w:val="002060"/>
        </w:rPr>
        <w:t xml:space="preserve">STRATEŠKI CILJ </w:t>
      </w:r>
      <w:r w:rsidR="006D5D17" w:rsidRPr="006D5D17">
        <w:rPr>
          <w:rFonts w:asciiTheme="minorHAnsi" w:hAnsiTheme="minorHAnsi" w:cstheme="minorHAnsi"/>
          <w:b/>
          <w:bCs/>
          <w:color w:val="002060"/>
        </w:rPr>
        <w:t>2</w:t>
      </w:r>
      <w:r w:rsidRPr="006D5D17">
        <w:rPr>
          <w:rFonts w:asciiTheme="minorHAnsi" w:hAnsiTheme="minorHAnsi" w:cstheme="minorHAnsi"/>
          <w:b/>
          <w:bCs/>
          <w:color w:val="002060"/>
        </w:rPr>
        <w:t xml:space="preserve"> : </w:t>
      </w:r>
      <w:r w:rsidRPr="00C86111">
        <w:rPr>
          <w:rFonts w:asciiTheme="minorHAnsi" w:hAnsiTheme="minorHAnsi" w:cstheme="minorHAnsi"/>
          <w:b/>
          <w:bCs/>
        </w:rPr>
        <w:t>Ojačati kontrolu, upravljanje i svijest o proizvodima koji sadrže PBDEs, HBB</w:t>
      </w:r>
      <w:r w:rsidR="006D5D17">
        <w:rPr>
          <w:rFonts w:asciiTheme="minorHAnsi" w:hAnsiTheme="minorHAnsi" w:cstheme="minorHAnsi"/>
          <w:b/>
          <w:bCs/>
        </w:rPr>
        <w:t>,</w:t>
      </w:r>
      <w:r w:rsidR="006D5D17" w:rsidRPr="006D5D17">
        <w:t xml:space="preserve"> </w:t>
      </w:r>
      <w:r w:rsidR="006D5D17" w:rsidRPr="006D5D17">
        <w:rPr>
          <w:rFonts w:asciiTheme="minorHAnsi" w:hAnsiTheme="minorHAnsi" w:cstheme="minorHAnsi"/>
          <w:b/>
          <w:bCs/>
        </w:rPr>
        <w:t>SCCP/MCCP</w:t>
      </w:r>
      <w:r w:rsidR="006D5D17">
        <w:rPr>
          <w:rFonts w:asciiTheme="minorHAnsi" w:hAnsiTheme="minorHAnsi" w:cstheme="minorHAnsi"/>
          <w:b/>
          <w:bCs/>
        </w:rPr>
        <w:t>,</w:t>
      </w:r>
      <w:r w:rsidR="006D5D17" w:rsidRPr="006D5D17">
        <w:t xml:space="preserve"> </w:t>
      </w:r>
      <w:r w:rsidR="006D5D17" w:rsidRPr="006D5D17">
        <w:rPr>
          <w:rFonts w:asciiTheme="minorHAnsi" w:hAnsiTheme="minorHAnsi" w:cstheme="minorHAnsi"/>
          <w:b/>
          <w:bCs/>
        </w:rPr>
        <w:t>PFAS</w:t>
      </w:r>
      <w:r w:rsidRPr="00C86111">
        <w:rPr>
          <w:rFonts w:asciiTheme="minorHAnsi" w:hAnsiTheme="minorHAnsi" w:cstheme="minorHAnsi"/>
          <w:b/>
          <w:bCs/>
        </w:rPr>
        <w:t xml:space="preserve"> i HBCDD u Crnoj Gori, u skladu sa Stokholmskom konvencijom, radi zaštite zdravlja ljudi i životne sredine.</w:t>
      </w:r>
    </w:p>
    <w:p w14:paraId="1608A69A" w14:textId="77777777" w:rsidR="00C4574D" w:rsidRPr="00C86111" w:rsidRDefault="00C4574D" w:rsidP="00C4574D">
      <w:pPr>
        <w:rPr>
          <w:rFonts w:asciiTheme="minorHAnsi" w:hAnsiTheme="minorHAnsi" w:cstheme="minorHAnsi"/>
        </w:rPr>
      </w:pPr>
    </w:p>
    <w:p w14:paraId="64EC16FE" w14:textId="77777777" w:rsidR="00C4574D" w:rsidRPr="00C86111" w:rsidRDefault="00C4574D" w:rsidP="00C4574D">
      <w:pPr>
        <w:rPr>
          <w:rFonts w:asciiTheme="minorHAnsi" w:hAnsiTheme="minorHAnsi" w:cstheme="minorHAnsi"/>
        </w:rPr>
      </w:pPr>
      <w:r w:rsidRPr="00C86111">
        <w:rPr>
          <w:rFonts w:asciiTheme="minorHAnsi" w:hAnsiTheme="minorHAnsi" w:cstheme="minorHAnsi"/>
          <w:b/>
          <w:bCs/>
        </w:rPr>
        <w:t xml:space="preserve">Operativni cilj  1: </w:t>
      </w:r>
      <w:r w:rsidRPr="00C86111">
        <w:rPr>
          <w:rFonts w:asciiTheme="minorHAnsi" w:hAnsiTheme="minorHAnsi" w:cstheme="minorHAnsi"/>
        </w:rPr>
        <w:t>Pravilno upravljanje proizvodima koji sadrže PBDEs, HBB i HBCDD hemikalije, u skladu sa smjernicama Stokholmske konvencije.</w:t>
      </w:r>
    </w:p>
    <w:tbl>
      <w:tblPr>
        <w:tblStyle w:val="GridTable4-Accent6"/>
        <w:tblW w:w="0" w:type="auto"/>
        <w:tblLook w:val="04A0" w:firstRow="1" w:lastRow="0" w:firstColumn="1" w:lastColumn="0" w:noHBand="0" w:noVBand="1"/>
      </w:tblPr>
      <w:tblGrid>
        <w:gridCol w:w="4475"/>
        <w:gridCol w:w="2037"/>
        <w:gridCol w:w="1664"/>
        <w:gridCol w:w="716"/>
        <w:gridCol w:w="714"/>
        <w:gridCol w:w="1819"/>
        <w:gridCol w:w="1525"/>
      </w:tblGrid>
      <w:tr w:rsidR="00C4574D" w:rsidRPr="00C86111" w14:paraId="258B1B56"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25CCA61"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3CCC9AF8"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1061EAA0"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hideMark/>
          </w:tcPr>
          <w:p w14:paraId="1772AE08"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7F018B0A"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4A46F15" w14:textId="1B3ED184" w:rsidR="00C4574D" w:rsidRPr="00C86111" w:rsidRDefault="00C4574D" w:rsidP="00033AB8">
            <w:pPr>
              <w:rPr>
                <w:rFonts w:asciiTheme="minorHAnsi" w:hAnsiTheme="minorHAnsi" w:cstheme="minorHAnsi"/>
              </w:rPr>
            </w:pPr>
            <w:r w:rsidRPr="00C86111">
              <w:rPr>
                <w:rFonts w:asciiTheme="minorHAnsi" w:hAnsiTheme="minorHAnsi" w:cstheme="minorHAnsi"/>
              </w:rPr>
              <w:t>Broj uspostavljenih i primijenjenih regulatornih i tehničkih instrumenata za kontrolu proizvoda sa HBCDD/PBDEs/HBB</w:t>
            </w:r>
            <w:r w:rsidR="006D5D17">
              <w:rPr>
                <w:rFonts w:asciiTheme="minorHAnsi" w:hAnsiTheme="minorHAnsi" w:cstheme="minorHAnsi"/>
              </w:rPr>
              <w:t>/</w:t>
            </w:r>
            <w:r w:rsidR="006D5D17" w:rsidRPr="00C86111">
              <w:rPr>
                <w:rFonts w:asciiTheme="minorHAnsi" w:hAnsiTheme="minorHAnsi" w:cstheme="minorHAnsi"/>
              </w:rPr>
              <w:t xml:space="preserve"> SCCP/MCCP</w:t>
            </w:r>
            <w:r w:rsidR="006D5D17">
              <w:rPr>
                <w:rFonts w:asciiTheme="minorHAnsi" w:hAnsiTheme="minorHAnsi" w:cstheme="minorHAnsi"/>
              </w:rPr>
              <w:t>/</w:t>
            </w:r>
            <w:r w:rsidR="006D5D17" w:rsidRPr="00C86111">
              <w:rPr>
                <w:rFonts w:asciiTheme="minorHAnsi" w:hAnsiTheme="minorHAnsi" w:cstheme="minorHAnsi"/>
              </w:rPr>
              <w:t xml:space="preserve"> PFAS</w:t>
            </w:r>
          </w:p>
        </w:tc>
        <w:tc>
          <w:tcPr>
            <w:tcW w:w="0" w:type="auto"/>
            <w:gridSpan w:val="2"/>
            <w:hideMark/>
          </w:tcPr>
          <w:p w14:paraId="1346655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gridSpan w:val="2"/>
            <w:hideMark/>
          </w:tcPr>
          <w:p w14:paraId="0EAAF6AE"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2 instrumenta</w:t>
            </w:r>
          </w:p>
        </w:tc>
        <w:tc>
          <w:tcPr>
            <w:tcW w:w="0" w:type="auto"/>
            <w:hideMark/>
          </w:tcPr>
          <w:p w14:paraId="4FC6218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Potpuno funkcionalan sistem kontrole</w:t>
            </w:r>
          </w:p>
        </w:tc>
      </w:tr>
      <w:tr w:rsidR="00C4574D" w:rsidRPr="00C86111" w14:paraId="0396D10B" w14:textId="77777777" w:rsidTr="00033AB8">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93FEBA6"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obučenih službenika (carina, inspekcije, relevantne institucije)</w:t>
            </w:r>
          </w:p>
        </w:tc>
        <w:tc>
          <w:tcPr>
            <w:tcW w:w="0" w:type="auto"/>
            <w:gridSpan w:val="2"/>
            <w:hideMark/>
          </w:tcPr>
          <w:p w14:paraId="24404A9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gridSpan w:val="2"/>
            <w:hideMark/>
          </w:tcPr>
          <w:p w14:paraId="517A9CD5"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20</w:t>
            </w:r>
          </w:p>
        </w:tc>
        <w:tc>
          <w:tcPr>
            <w:tcW w:w="0" w:type="auto"/>
            <w:hideMark/>
          </w:tcPr>
          <w:p w14:paraId="67DF7BA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Kontinuiran sistem obuke</w:t>
            </w:r>
          </w:p>
        </w:tc>
      </w:tr>
      <w:tr w:rsidR="00C4574D" w:rsidRPr="00C86111" w14:paraId="22FEEC43"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BDE48A5"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lastRenderedPageBreak/>
              <w:t>Broj sprovedenih aktivnosti podizanja svijesti o POPs hemikalijama</w:t>
            </w:r>
          </w:p>
        </w:tc>
        <w:tc>
          <w:tcPr>
            <w:tcW w:w="0" w:type="auto"/>
            <w:gridSpan w:val="2"/>
            <w:hideMark/>
          </w:tcPr>
          <w:p w14:paraId="2995BDE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gridSpan w:val="2"/>
            <w:hideMark/>
          </w:tcPr>
          <w:p w14:paraId="70A235B4"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2</w:t>
            </w:r>
          </w:p>
        </w:tc>
        <w:tc>
          <w:tcPr>
            <w:tcW w:w="0" w:type="auto"/>
            <w:hideMark/>
          </w:tcPr>
          <w:p w14:paraId="19F339D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Redovne godišnje kampanje</w:t>
            </w:r>
          </w:p>
        </w:tc>
      </w:tr>
      <w:tr w:rsidR="00C4574D" w:rsidRPr="00C86111" w14:paraId="44FB19F0" w14:textId="77777777" w:rsidTr="00F50788">
        <w:tc>
          <w:tcPr>
            <w:cnfStyle w:val="001000000000" w:firstRow="0" w:lastRow="0" w:firstColumn="1" w:lastColumn="0" w:oddVBand="0" w:evenVBand="0" w:oddHBand="0" w:evenHBand="0" w:firstRowFirstColumn="0" w:firstRowLastColumn="0" w:lastRowFirstColumn="0" w:lastRowLastColumn="0"/>
            <w:tcW w:w="4853" w:type="dxa"/>
            <w:hideMark/>
          </w:tcPr>
          <w:p w14:paraId="1647686F"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1835" w:type="dxa"/>
            <w:hideMark/>
          </w:tcPr>
          <w:p w14:paraId="4C7E334E"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realizacije</w:t>
            </w:r>
          </w:p>
        </w:tc>
        <w:tc>
          <w:tcPr>
            <w:tcW w:w="1536" w:type="dxa"/>
            <w:hideMark/>
          </w:tcPr>
          <w:p w14:paraId="20830E08"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Datum početka</w:t>
            </w:r>
          </w:p>
        </w:tc>
        <w:tc>
          <w:tcPr>
            <w:tcW w:w="1431" w:type="dxa"/>
            <w:gridSpan w:val="2"/>
            <w:hideMark/>
          </w:tcPr>
          <w:p w14:paraId="5EBE0273"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1655" w:type="dxa"/>
            <w:hideMark/>
          </w:tcPr>
          <w:p w14:paraId="3A70E2CC"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Planirani završetak</w:t>
            </w:r>
          </w:p>
        </w:tc>
        <w:tc>
          <w:tcPr>
            <w:tcW w:w="1640" w:type="dxa"/>
            <w:hideMark/>
          </w:tcPr>
          <w:p w14:paraId="17B990F7"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2777D8C5"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hideMark/>
          </w:tcPr>
          <w:p w14:paraId="701EED97" w14:textId="39AD22D6" w:rsidR="00C4574D" w:rsidRPr="00C86111" w:rsidRDefault="00C4574D" w:rsidP="00033AB8">
            <w:pPr>
              <w:rPr>
                <w:rFonts w:asciiTheme="minorHAnsi" w:hAnsiTheme="minorHAnsi" w:cstheme="minorHAnsi"/>
              </w:rPr>
            </w:pPr>
            <w:r w:rsidRPr="00C86111">
              <w:rPr>
                <w:rFonts w:asciiTheme="minorHAnsi" w:hAnsiTheme="minorHAnsi" w:cstheme="minorHAnsi"/>
              </w:rPr>
              <w:t>1.1 Izrada i usvajanje akta sa definisanim HS kodovima i kriterijumima za identifikaciju proizvoda koji sadrže HBCDD</w:t>
            </w:r>
            <w:r w:rsidR="006D5D17">
              <w:rPr>
                <w:rFonts w:asciiTheme="minorHAnsi" w:hAnsiTheme="minorHAnsi" w:cstheme="minorHAnsi"/>
              </w:rPr>
              <w:t>,</w:t>
            </w:r>
            <w:r w:rsidR="006D5D17" w:rsidRPr="00C86111">
              <w:rPr>
                <w:rFonts w:asciiTheme="minorHAnsi" w:hAnsiTheme="minorHAnsi" w:cstheme="minorHAnsi"/>
              </w:rPr>
              <w:t xml:space="preserve"> SCCP/MCCP</w:t>
            </w:r>
            <w:r w:rsidRPr="00C86111">
              <w:rPr>
                <w:rFonts w:asciiTheme="minorHAnsi" w:hAnsiTheme="minorHAnsi" w:cstheme="minorHAnsi"/>
              </w:rPr>
              <w:t>,</w:t>
            </w:r>
            <w:r w:rsidR="006D5D17" w:rsidRPr="00C86111">
              <w:rPr>
                <w:rFonts w:asciiTheme="minorHAnsi" w:hAnsiTheme="minorHAnsi" w:cstheme="minorHAnsi"/>
              </w:rPr>
              <w:t xml:space="preserve"> PFAS</w:t>
            </w:r>
            <w:r w:rsidRPr="00C86111">
              <w:rPr>
                <w:rFonts w:asciiTheme="minorHAnsi" w:hAnsiTheme="minorHAnsi" w:cstheme="minorHAnsi"/>
              </w:rPr>
              <w:t xml:space="preserve"> uz sprovođenje stručne obuke</w:t>
            </w:r>
          </w:p>
        </w:tc>
        <w:tc>
          <w:tcPr>
            <w:tcW w:w="1835" w:type="dxa"/>
            <w:hideMark/>
          </w:tcPr>
          <w:p w14:paraId="6D8DBF2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 POPs eksperti</w:t>
            </w:r>
          </w:p>
        </w:tc>
        <w:tc>
          <w:tcPr>
            <w:tcW w:w="1536" w:type="dxa"/>
            <w:hideMark/>
          </w:tcPr>
          <w:p w14:paraId="71EB1A6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1431" w:type="dxa"/>
            <w:gridSpan w:val="2"/>
            <w:hideMark/>
          </w:tcPr>
          <w:p w14:paraId="6360B62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Akt izrađen, usvojen i primjenjiv u praksi</w:t>
            </w:r>
          </w:p>
        </w:tc>
        <w:tc>
          <w:tcPr>
            <w:tcW w:w="1655" w:type="dxa"/>
            <w:hideMark/>
          </w:tcPr>
          <w:p w14:paraId="10392D85" w14:textId="1DBFA593"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w:t>
            </w:r>
            <w:r w:rsidR="00781655">
              <w:rPr>
                <w:rFonts w:asciiTheme="minorHAnsi" w:hAnsiTheme="minorHAnsi" w:cstheme="minorHAnsi"/>
              </w:rPr>
              <w:t>7</w:t>
            </w:r>
          </w:p>
        </w:tc>
        <w:tc>
          <w:tcPr>
            <w:tcW w:w="1640" w:type="dxa"/>
            <w:hideMark/>
          </w:tcPr>
          <w:p w14:paraId="7C940CFF" w14:textId="6DC4C81A"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xml:space="preserve"> GEF, IPA, UNDP</w:t>
            </w:r>
          </w:p>
          <w:p w14:paraId="56C38FFE" w14:textId="04109F85" w:rsidR="00C4574D" w:rsidRPr="00C86111" w:rsidRDefault="006D5D17"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E65986">
              <w:rPr>
                <w:rFonts w:asciiTheme="minorHAnsi" w:hAnsiTheme="minorHAnsi" w:cstheme="minorHAnsi"/>
              </w:rPr>
              <w:t>5</w:t>
            </w:r>
            <w:r w:rsidR="00C4574D" w:rsidRPr="00C86111">
              <w:rPr>
                <w:rFonts w:asciiTheme="minorHAnsi" w:hAnsiTheme="minorHAnsi" w:cstheme="minorHAnsi"/>
              </w:rPr>
              <w:t>.000€</w:t>
            </w:r>
          </w:p>
        </w:tc>
      </w:tr>
      <w:tr w:rsidR="00C4574D" w:rsidRPr="00C86111" w14:paraId="7645585F" w14:textId="77777777" w:rsidTr="00F50788">
        <w:tc>
          <w:tcPr>
            <w:cnfStyle w:val="001000000000" w:firstRow="0" w:lastRow="0" w:firstColumn="1" w:lastColumn="0" w:oddVBand="0" w:evenVBand="0" w:oddHBand="0" w:evenHBand="0" w:firstRowFirstColumn="0" w:firstRowLastColumn="0" w:lastRowFirstColumn="0" w:lastRowLastColumn="0"/>
            <w:tcW w:w="4853" w:type="dxa"/>
            <w:hideMark/>
          </w:tcPr>
          <w:p w14:paraId="3BC3BAB5" w14:textId="6D8BBBB8" w:rsidR="00C4574D" w:rsidRPr="00C86111" w:rsidRDefault="00C4574D" w:rsidP="00033AB8">
            <w:pPr>
              <w:rPr>
                <w:rFonts w:asciiTheme="minorHAnsi" w:hAnsiTheme="minorHAnsi" w:cstheme="minorHAnsi"/>
              </w:rPr>
            </w:pPr>
            <w:r w:rsidRPr="00C86111">
              <w:rPr>
                <w:rFonts w:asciiTheme="minorHAnsi" w:hAnsiTheme="minorHAnsi" w:cstheme="minorHAnsi"/>
              </w:rPr>
              <w:t>1.2 Sprovođenje ciljane obuke carinskih službenika za tumačenje tehničkih specifikacija proizvoda radi pravovremenog prepoznavanja prisustva HBCDD</w:t>
            </w:r>
            <w:r w:rsidR="006D5D17">
              <w:rPr>
                <w:rFonts w:asciiTheme="minorHAnsi" w:hAnsiTheme="minorHAnsi" w:cstheme="minorHAnsi"/>
              </w:rPr>
              <w:t>,</w:t>
            </w:r>
            <w:r w:rsidR="006D5D17" w:rsidRPr="00C86111">
              <w:rPr>
                <w:rFonts w:asciiTheme="minorHAnsi" w:hAnsiTheme="minorHAnsi" w:cstheme="minorHAnsi"/>
              </w:rPr>
              <w:t xml:space="preserve"> SCCP/MCCP</w:t>
            </w:r>
            <w:r w:rsidR="006D5D17">
              <w:rPr>
                <w:rFonts w:asciiTheme="minorHAnsi" w:hAnsiTheme="minorHAnsi" w:cstheme="minorHAnsi"/>
              </w:rPr>
              <w:t>,</w:t>
            </w:r>
            <w:r w:rsidR="006D5D17" w:rsidRPr="00C86111">
              <w:rPr>
                <w:rFonts w:asciiTheme="minorHAnsi" w:hAnsiTheme="minorHAnsi" w:cstheme="minorHAnsi"/>
              </w:rPr>
              <w:t xml:space="preserve"> PFAS</w:t>
            </w:r>
            <w:r w:rsidRPr="00C86111">
              <w:rPr>
                <w:rFonts w:asciiTheme="minorHAnsi" w:hAnsiTheme="minorHAnsi" w:cstheme="minorHAnsi"/>
              </w:rPr>
              <w:t xml:space="preserve"> i zabrane uvoza neusklađenih proizvoda</w:t>
            </w:r>
          </w:p>
        </w:tc>
        <w:tc>
          <w:tcPr>
            <w:tcW w:w="1835" w:type="dxa"/>
            <w:hideMark/>
          </w:tcPr>
          <w:p w14:paraId="5EDE93FC"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 POPs eksperti</w:t>
            </w:r>
          </w:p>
        </w:tc>
        <w:tc>
          <w:tcPr>
            <w:tcW w:w="1536" w:type="dxa"/>
            <w:hideMark/>
          </w:tcPr>
          <w:p w14:paraId="1BE0096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1431" w:type="dxa"/>
            <w:gridSpan w:val="2"/>
            <w:hideMark/>
          </w:tcPr>
          <w:p w14:paraId="7CD5B2F8"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Izvještaj o sprovedenoj obuci i lista učesnika</w:t>
            </w:r>
          </w:p>
        </w:tc>
        <w:tc>
          <w:tcPr>
            <w:tcW w:w="1655" w:type="dxa"/>
            <w:hideMark/>
          </w:tcPr>
          <w:p w14:paraId="2D3FCC48"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2027</w:t>
            </w:r>
          </w:p>
        </w:tc>
        <w:tc>
          <w:tcPr>
            <w:tcW w:w="1640" w:type="dxa"/>
            <w:hideMark/>
          </w:tcPr>
          <w:p w14:paraId="038CA72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GEF, IPA, UNDP</w:t>
            </w:r>
          </w:p>
          <w:p w14:paraId="45F4163F" w14:textId="67BFD5DF" w:rsidR="00C4574D" w:rsidRPr="00C86111" w:rsidRDefault="006D5D17"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00E65986">
              <w:rPr>
                <w:rFonts w:asciiTheme="minorHAnsi" w:hAnsiTheme="minorHAnsi" w:cstheme="minorHAnsi"/>
              </w:rPr>
              <w:t>5</w:t>
            </w:r>
            <w:r w:rsidR="00C4574D" w:rsidRPr="00C86111">
              <w:rPr>
                <w:rFonts w:asciiTheme="minorHAnsi" w:hAnsiTheme="minorHAnsi" w:cstheme="minorHAnsi"/>
              </w:rPr>
              <w:t>.000€</w:t>
            </w:r>
          </w:p>
          <w:p w14:paraId="40063B64"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A213043"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11ED1B99" w14:textId="77777777" w:rsidR="00C4574D" w:rsidRPr="00C86111" w:rsidRDefault="00C4574D" w:rsidP="00C4574D">
      <w:pPr>
        <w:rPr>
          <w:rFonts w:asciiTheme="minorHAnsi" w:hAnsiTheme="minorHAnsi" w:cstheme="minorHAnsi"/>
        </w:rPr>
      </w:pPr>
      <w:r w:rsidRPr="00C86111">
        <w:rPr>
          <w:rFonts w:asciiTheme="minorHAnsi" w:hAnsiTheme="minorHAnsi" w:cstheme="minorHAnsi"/>
          <w:b/>
          <w:bCs/>
        </w:rPr>
        <w:t xml:space="preserve">Operativni cilj  2: </w:t>
      </w:r>
      <w:r w:rsidRPr="00C86111">
        <w:rPr>
          <w:rFonts w:asciiTheme="minorHAnsi" w:hAnsiTheme="minorHAnsi" w:cstheme="minorHAnsi"/>
        </w:rPr>
        <w:t>Supstitucija i alternativni proizvodi – podstaći upotrebu alternativnih proizvoda koji ne sadrže HBCDD, PBDEs i HBB kroz ciljane obuke i informisanje korisnika.</w:t>
      </w:r>
    </w:p>
    <w:tbl>
      <w:tblPr>
        <w:tblStyle w:val="GridTable4-Accent6"/>
        <w:tblW w:w="12955" w:type="dxa"/>
        <w:tblLook w:val="04A0" w:firstRow="1" w:lastRow="0" w:firstColumn="1" w:lastColumn="0" w:noHBand="0" w:noVBand="1"/>
      </w:tblPr>
      <w:tblGrid>
        <w:gridCol w:w="5025"/>
        <w:gridCol w:w="1611"/>
        <w:gridCol w:w="1198"/>
        <w:gridCol w:w="1712"/>
        <w:gridCol w:w="1330"/>
        <w:gridCol w:w="2079"/>
      </w:tblGrid>
      <w:tr w:rsidR="00C4574D" w:rsidRPr="00C86111" w14:paraId="04A1D39C" w14:textId="77777777" w:rsidTr="006D5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97EEC3"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hideMark/>
          </w:tcPr>
          <w:p w14:paraId="6AAF5820"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63D4A0AF"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3409" w:type="dxa"/>
            <w:gridSpan w:val="2"/>
            <w:hideMark/>
          </w:tcPr>
          <w:p w14:paraId="6F254A57"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0D1ADCDD" w14:textId="77777777" w:rsidTr="006D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3FBFA5"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obučenih korisnika</w:t>
            </w:r>
          </w:p>
        </w:tc>
        <w:tc>
          <w:tcPr>
            <w:tcW w:w="0" w:type="auto"/>
            <w:hideMark/>
          </w:tcPr>
          <w:p w14:paraId="5BA7EAB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c>
          <w:tcPr>
            <w:tcW w:w="0" w:type="auto"/>
            <w:gridSpan w:val="2"/>
            <w:hideMark/>
          </w:tcPr>
          <w:p w14:paraId="53E45D2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10</w:t>
            </w:r>
          </w:p>
        </w:tc>
        <w:tc>
          <w:tcPr>
            <w:tcW w:w="3409" w:type="dxa"/>
            <w:gridSpan w:val="2"/>
            <w:hideMark/>
          </w:tcPr>
          <w:p w14:paraId="7AD65F81"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20</w:t>
            </w:r>
          </w:p>
        </w:tc>
      </w:tr>
      <w:tr w:rsidR="00C4574D" w:rsidRPr="00C86111" w14:paraId="02A20A21" w14:textId="77777777" w:rsidTr="006D5D17">
        <w:tc>
          <w:tcPr>
            <w:cnfStyle w:val="001000000000" w:firstRow="0" w:lastRow="0" w:firstColumn="1" w:lastColumn="0" w:oddVBand="0" w:evenVBand="0" w:oddHBand="0" w:evenHBand="0" w:firstRowFirstColumn="0" w:firstRowLastColumn="0" w:lastRowFirstColumn="0" w:lastRowLastColumn="0"/>
            <w:tcW w:w="0" w:type="auto"/>
            <w:hideMark/>
          </w:tcPr>
          <w:p w14:paraId="5A97CDA5"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promotivnih/edukativnih materijala</w:t>
            </w:r>
          </w:p>
        </w:tc>
        <w:tc>
          <w:tcPr>
            <w:tcW w:w="0" w:type="auto"/>
            <w:hideMark/>
          </w:tcPr>
          <w:p w14:paraId="0CB91819"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c>
          <w:tcPr>
            <w:tcW w:w="0" w:type="auto"/>
            <w:gridSpan w:val="2"/>
            <w:hideMark/>
          </w:tcPr>
          <w:p w14:paraId="33DE32C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1</w:t>
            </w:r>
          </w:p>
        </w:tc>
        <w:tc>
          <w:tcPr>
            <w:tcW w:w="3409" w:type="dxa"/>
            <w:gridSpan w:val="2"/>
            <w:hideMark/>
          </w:tcPr>
          <w:p w14:paraId="6E4FB365"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3</w:t>
            </w:r>
          </w:p>
        </w:tc>
      </w:tr>
      <w:tr w:rsidR="00C4574D" w:rsidRPr="00C86111" w14:paraId="43F86D22"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B39FFE"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390DB9B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realizacije</w:t>
            </w:r>
          </w:p>
        </w:tc>
        <w:tc>
          <w:tcPr>
            <w:tcW w:w="0" w:type="auto"/>
            <w:hideMark/>
          </w:tcPr>
          <w:p w14:paraId="5E99ED7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Datum početka</w:t>
            </w:r>
          </w:p>
        </w:tc>
        <w:tc>
          <w:tcPr>
            <w:tcW w:w="0" w:type="auto"/>
            <w:hideMark/>
          </w:tcPr>
          <w:p w14:paraId="52385F4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1330" w:type="dxa"/>
            <w:hideMark/>
          </w:tcPr>
          <w:p w14:paraId="57ABE73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Planirani završetak</w:t>
            </w:r>
          </w:p>
        </w:tc>
        <w:tc>
          <w:tcPr>
            <w:tcW w:w="2079" w:type="dxa"/>
            <w:hideMark/>
          </w:tcPr>
          <w:p w14:paraId="78D2A45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669B7E02"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2C7F9A2E"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2.1 Obuka krajnjih korisnika i relevantnih sektora o upotrebi alternativnih proizvoda koji ne sadrže HBCDD</w:t>
            </w:r>
          </w:p>
        </w:tc>
        <w:tc>
          <w:tcPr>
            <w:tcW w:w="0" w:type="auto"/>
            <w:hideMark/>
          </w:tcPr>
          <w:p w14:paraId="364A8E9C"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w:t>
            </w:r>
          </w:p>
        </w:tc>
        <w:tc>
          <w:tcPr>
            <w:tcW w:w="0" w:type="auto"/>
            <w:hideMark/>
          </w:tcPr>
          <w:p w14:paraId="654DBD7A"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2027</w:t>
            </w:r>
          </w:p>
        </w:tc>
        <w:tc>
          <w:tcPr>
            <w:tcW w:w="0" w:type="auto"/>
            <w:hideMark/>
          </w:tcPr>
          <w:p w14:paraId="726AE41C"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Izvještaj o obuci i lista prisutnih</w:t>
            </w:r>
          </w:p>
        </w:tc>
        <w:tc>
          <w:tcPr>
            <w:tcW w:w="1330" w:type="dxa"/>
            <w:hideMark/>
          </w:tcPr>
          <w:p w14:paraId="09BDEA8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2028</w:t>
            </w:r>
          </w:p>
        </w:tc>
        <w:tc>
          <w:tcPr>
            <w:tcW w:w="2079" w:type="dxa"/>
            <w:hideMark/>
          </w:tcPr>
          <w:p w14:paraId="55DA12B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GEF, IPA, UNDP</w:t>
            </w:r>
          </w:p>
          <w:p w14:paraId="2A0D6EC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10.000€</w:t>
            </w:r>
          </w:p>
          <w:p w14:paraId="606039E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763DFA0D" w14:textId="77777777" w:rsidR="00C4574D" w:rsidRDefault="00C4574D" w:rsidP="00C4574D">
      <w:pPr>
        <w:rPr>
          <w:rFonts w:asciiTheme="minorHAnsi" w:hAnsiTheme="minorHAnsi" w:cstheme="minorHAnsi"/>
        </w:rPr>
      </w:pPr>
    </w:p>
    <w:p w14:paraId="4F53F507" w14:textId="77777777" w:rsidR="00F50788" w:rsidRDefault="00F50788" w:rsidP="00C4574D">
      <w:pPr>
        <w:rPr>
          <w:rFonts w:asciiTheme="minorHAnsi" w:hAnsiTheme="minorHAnsi" w:cstheme="minorHAnsi"/>
        </w:rPr>
      </w:pPr>
    </w:p>
    <w:p w14:paraId="0EA57173" w14:textId="77777777" w:rsidR="00F50788" w:rsidRPr="00C86111" w:rsidRDefault="00F50788" w:rsidP="00C4574D">
      <w:pPr>
        <w:rPr>
          <w:rFonts w:asciiTheme="minorHAnsi" w:hAnsiTheme="minorHAnsi" w:cstheme="minorHAnsi"/>
        </w:rPr>
      </w:pPr>
    </w:p>
    <w:p w14:paraId="004B87CD" w14:textId="7BFE0730" w:rsidR="00C4574D" w:rsidRPr="00C86111" w:rsidRDefault="00C4574D" w:rsidP="00C4574D">
      <w:pPr>
        <w:rPr>
          <w:rFonts w:asciiTheme="minorHAnsi" w:hAnsiTheme="minorHAnsi" w:cstheme="minorHAnsi"/>
        </w:rPr>
      </w:pPr>
      <w:r w:rsidRPr="00C86111">
        <w:rPr>
          <w:rFonts w:asciiTheme="minorHAnsi" w:hAnsiTheme="minorHAnsi" w:cstheme="minorHAnsi"/>
          <w:b/>
          <w:bCs/>
        </w:rPr>
        <w:lastRenderedPageBreak/>
        <w:t xml:space="preserve">Operativni cilj </w:t>
      </w:r>
      <w:r w:rsidR="00E65986">
        <w:rPr>
          <w:rFonts w:asciiTheme="minorHAnsi" w:hAnsiTheme="minorHAnsi" w:cstheme="minorHAnsi"/>
          <w:b/>
          <w:bCs/>
        </w:rPr>
        <w:t>3</w:t>
      </w:r>
      <w:r w:rsidRPr="00C86111">
        <w:rPr>
          <w:rFonts w:asciiTheme="minorHAnsi" w:hAnsiTheme="minorHAnsi" w:cstheme="minorHAnsi"/>
          <w:b/>
          <w:bCs/>
        </w:rPr>
        <w:t xml:space="preserve">: </w:t>
      </w:r>
      <w:r w:rsidRPr="00C86111">
        <w:rPr>
          <w:rFonts w:asciiTheme="minorHAnsi" w:hAnsiTheme="minorHAnsi" w:cstheme="minorHAnsi"/>
        </w:rPr>
        <w:t>Postepeno ukinuti upotrebu PFAS u protivpožarnim pjenama i osigurati bezbjedno upravljanje postojećim zalihama i opremom.</w:t>
      </w:r>
    </w:p>
    <w:tbl>
      <w:tblPr>
        <w:tblStyle w:val="GridTable4-Accent6"/>
        <w:tblW w:w="12955" w:type="dxa"/>
        <w:tblLook w:val="04A0" w:firstRow="1" w:lastRow="0" w:firstColumn="1" w:lastColumn="0" w:noHBand="0" w:noVBand="1"/>
      </w:tblPr>
      <w:tblGrid>
        <w:gridCol w:w="3675"/>
        <w:gridCol w:w="1841"/>
        <w:gridCol w:w="1109"/>
        <w:gridCol w:w="2192"/>
        <w:gridCol w:w="596"/>
        <w:gridCol w:w="596"/>
        <w:gridCol w:w="2946"/>
      </w:tblGrid>
      <w:tr w:rsidR="00C4574D" w:rsidRPr="00C86111" w14:paraId="3FF739E0" w14:textId="77777777" w:rsidTr="006D5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A57CCA"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23B14FDE"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6451AA8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2946" w:type="dxa"/>
            <w:gridSpan w:val="2"/>
            <w:hideMark/>
          </w:tcPr>
          <w:p w14:paraId="2C07BD55"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1FF4AFA6" w14:textId="77777777" w:rsidTr="006D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4119B"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Količina PFAS pjena povučenih iz upotrebe</w:t>
            </w:r>
          </w:p>
        </w:tc>
        <w:tc>
          <w:tcPr>
            <w:tcW w:w="0" w:type="auto"/>
            <w:gridSpan w:val="2"/>
            <w:hideMark/>
          </w:tcPr>
          <w:p w14:paraId="21D428D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Nije utvrđeno</w:t>
            </w:r>
          </w:p>
        </w:tc>
        <w:tc>
          <w:tcPr>
            <w:tcW w:w="0" w:type="auto"/>
            <w:gridSpan w:val="2"/>
            <w:hideMark/>
          </w:tcPr>
          <w:p w14:paraId="6330CA6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Evidencija uspostavljena</w:t>
            </w:r>
          </w:p>
        </w:tc>
        <w:tc>
          <w:tcPr>
            <w:tcW w:w="2946" w:type="dxa"/>
            <w:gridSpan w:val="2"/>
            <w:hideMark/>
          </w:tcPr>
          <w:p w14:paraId="61D0BD2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100% povučeno</w:t>
            </w:r>
          </w:p>
        </w:tc>
      </w:tr>
      <w:tr w:rsidR="00C4574D" w:rsidRPr="00C86111" w14:paraId="3622F6D4" w14:textId="77777777" w:rsidTr="006D5D17">
        <w:tc>
          <w:tcPr>
            <w:cnfStyle w:val="001000000000" w:firstRow="0" w:lastRow="0" w:firstColumn="1" w:lastColumn="0" w:oddVBand="0" w:evenVBand="0" w:oddHBand="0" w:evenHBand="0" w:firstRowFirstColumn="0" w:firstRowLastColumn="0" w:lastRowFirstColumn="0" w:lastRowLastColumn="0"/>
            <w:tcW w:w="0" w:type="auto"/>
            <w:hideMark/>
          </w:tcPr>
          <w:p w14:paraId="0903352C"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službi koje koriste fluorine-free pjene</w:t>
            </w:r>
          </w:p>
        </w:tc>
        <w:tc>
          <w:tcPr>
            <w:tcW w:w="0" w:type="auto"/>
            <w:gridSpan w:val="2"/>
            <w:hideMark/>
          </w:tcPr>
          <w:p w14:paraId="5B1B7F7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gridSpan w:val="2"/>
            <w:hideMark/>
          </w:tcPr>
          <w:p w14:paraId="48F712EA"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50%</w:t>
            </w:r>
          </w:p>
        </w:tc>
        <w:tc>
          <w:tcPr>
            <w:tcW w:w="2946" w:type="dxa"/>
            <w:gridSpan w:val="2"/>
            <w:hideMark/>
          </w:tcPr>
          <w:p w14:paraId="499D647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100%</w:t>
            </w:r>
          </w:p>
        </w:tc>
      </w:tr>
      <w:tr w:rsidR="00C4574D" w:rsidRPr="00C86111" w14:paraId="0F69A960" w14:textId="77777777" w:rsidTr="006D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63EA32"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dekontaminiranih vozila i sistema</w:t>
            </w:r>
          </w:p>
        </w:tc>
        <w:tc>
          <w:tcPr>
            <w:tcW w:w="0" w:type="auto"/>
            <w:gridSpan w:val="2"/>
            <w:hideMark/>
          </w:tcPr>
          <w:p w14:paraId="721C6F6E"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gridSpan w:val="2"/>
            <w:hideMark/>
          </w:tcPr>
          <w:p w14:paraId="47EBC51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Pilot dekontaminacija</w:t>
            </w:r>
          </w:p>
        </w:tc>
        <w:tc>
          <w:tcPr>
            <w:tcW w:w="2946" w:type="dxa"/>
            <w:gridSpan w:val="2"/>
            <w:hideMark/>
          </w:tcPr>
          <w:p w14:paraId="3AF62156"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Svi relevantni sistemi</w:t>
            </w:r>
          </w:p>
        </w:tc>
      </w:tr>
      <w:tr w:rsidR="00C4574D" w:rsidRPr="00C86111" w14:paraId="57EB56B7" w14:textId="77777777" w:rsidTr="006D5D17">
        <w:tc>
          <w:tcPr>
            <w:cnfStyle w:val="001000000000" w:firstRow="0" w:lastRow="0" w:firstColumn="1" w:lastColumn="0" w:oddVBand="0" w:evenVBand="0" w:oddHBand="0" w:evenHBand="0" w:firstRowFirstColumn="0" w:firstRowLastColumn="0" w:lastRowFirstColumn="0" w:lastRowLastColumn="0"/>
            <w:tcW w:w="0" w:type="auto"/>
            <w:hideMark/>
          </w:tcPr>
          <w:p w14:paraId="2D8DEABF"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387368C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realizacije</w:t>
            </w:r>
          </w:p>
        </w:tc>
        <w:tc>
          <w:tcPr>
            <w:tcW w:w="0" w:type="auto"/>
            <w:hideMark/>
          </w:tcPr>
          <w:p w14:paraId="3E88118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Datum početka</w:t>
            </w:r>
          </w:p>
        </w:tc>
        <w:tc>
          <w:tcPr>
            <w:tcW w:w="0" w:type="auto"/>
            <w:hideMark/>
          </w:tcPr>
          <w:p w14:paraId="05165E5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1488" w:type="dxa"/>
            <w:gridSpan w:val="2"/>
            <w:hideMark/>
          </w:tcPr>
          <w:p w14:paraId="462CE1DA"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Planirani završetak</w:t>
            </w:r>
          </w:p>
        </w:tc>
        <w:tc>
          <w:tcPr>
            <w:tcW w:w="1885" w:type="dxa"/>
            <w:hideMark/>
          </w:tcPr>
          <w:p w14:paraId="42E14A47"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292255" w14:paraId="5AFB96F0" w14:textId="77777777" w:rsidTr="006D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6A8AE9" w14:textId="2DA184CD" w:rsidR="00C4574D" w:rsidRPr="00292255" w:rsidRDefault="00E65986" w:rsidP="00033AB8">
            <w:pPr>
              <w:rPr>
                <w:rFonts w:asciiTheme="minorHAnsi" w:hAnsiTheme="minorHAnsi" w:cstheme="minorHAnsi"/>
                <w:color w:val="auto"/>
              </w:rPr>
            </w:pPr>
            <w:r>
              <w:rPr>
                <w:rFonts w:asciiTheme="minorHAnsi" w:hAnsiTheme="minorHAnsi" w:cstheme="minorHAnsi"/>
                <w:color w:val="auto"/>
              </w:rPr>
              <w:t>3</w:t>
            </w:r>
            <w:r w:rsidR="00C4574D" w:rsidRPr="00292255">
              <w:rPr>
                <w:rFonts w:asciiTheme="minorHAnsi" w:hAnsiTheme="minorHAnsi" w:cstheme="minorHAnsi"/>
                <w:color w:val="auto"/>
              </w:rPr>
              <w:t>.1 Identifikacija, povlačenje i ekološki prihvatljivo odlaganje PFAS pjena kojima je istekao rok ili nisu u skladu sa propisima</w:t>
            </w:r>
          </w:p>
        </w:tc>
        <w:tc>
          <w:tcPr>
            <w:tcW w:w="0" w:type="auto"/>
            <w:hideMark/>
          </w:tcPr>
          <w:p w14:paraId="64600414"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Vatrogasne službe, lokalna samouprava</w:t>
            </w:r>
          </w:p>
        </w:tc>
        <w:tc>
          <w:tcPr>
            <w:tcW w:w="0" w:type="auto"/>
            <w:hideMark/>
          </w:tcPr>
          <w:p w14:paraId="528961C9"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2026</w:t>
            </w:r>
          </w:p>
        </w:tc>
        <w:tc>
          <w:tcPr>
            <w:tcW w:w="0" w:type="auto"/>
            <w:hideMark/>
          </w:tcPr>
          <w:p w14:paraId="7B7932C8"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Evidencija povučenih i zbrinutih pjena</w:t>
            </w:r>
          </w:p>
        </w:tc>
        <w:tc>
          <w:tcPr>
            <w:tcW w:w="1488" w:type="dxa"/>
            <w:gridSpan w:val="2"/>
            <w:hideMark/>
          </w:tcPr>
          <w:p w14:paraId="739E2FE5"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2027</w:t>
            </w:r>
          </w:p>
        </w:tc>
        <w:tc>
          <w:tcPr>
            <w:tcW w:w="1885" w:type="dxa"/>
            <w:hideMark/>
          </w:tcPr>
          <w:p w14:paraId="16A04D2B" w14:textId="77777777" w:rsidR="00C4574D" w:rsidRPr="00292255"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GEF, UNEP, UNDP</w:t>
            </w:r>
          </w:p>
          <w:p w14:paraId="1EBD3088" w14:textId="42F9E044" w:rsidR="00C4574D" w:rsidRPr="00292255" w:rsidRDefault="00781655"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50.000</w:t>
            </w:r>
            <w:r w:rsidR="00C4574D" w:rsidRPr="00292255">
              <w:rPr>
                <w:rFonts w:asciiTheme="minorHAnsi" w:hAnsiTheme="minorHAnsi" w:cstheme="minorHAnsi"/>
                <w:color w:val="auto"/>
              </w:rPr>
              <w:t>€</w:t>
            </w:r>
          </w:p>
        </w:tc>
      </w:tr>
      <w:tr w:rsidR="00C4574D" w:rsidRPr="00292255" w14:paraId="424534BD" w14:textId="77777777" w:rsidTr="006D5D17">
        <w:tc>
          <w:tcPr>
            <w:cnfStyle w:val="001000000000" w:firstRow="0" w:lastRow="0" w:firstColumn="1" w:lastColumn="0" w:oddVBand="0" w:evenVBand="0" w:oddHBand="0" w:evenHBand="0" w:firstRowFirstColumn="0" w:firstRowLastColumn="0" w:lastRowFirstColumn="0" w:lastRowLastColumn="0"/>
            <w:tcW w:w="0" w:type="auto"/>
            <w:hideMark/>
          </w:tcPr>
          <w:p w14:paraId="2A13E24A" w14:textId="7C14C850" w:rsidR="00C4574D" w:rsidRPr="00292255" w:rsidRDefault="00E65986" w:rsidP="00033AB8">
            <w:pPr>
              <w:rPr>
                <w:rFonts w:asciiTheme="minorHAnsi" w:hAnsiTheme="minorHAnsi" w:cstheme="minorHAnsi"/>
                <w:color w:val="auto"/>
              </w:rPr>
            </w:pPr>
            <w:r>
              <w:rPr>
                <w:rFonts w:asciiTheme="minorHAnsi" w:hAnsiTheme="minorHAnsi" w:cstheme="minorHAnsi"/>
                <w:color w:val="auto"/>
              </w:rPr>
              <w:t>3</w:t>
            </w:r>
            <w:r w:rsidR="00C4574D" w:rsidRPr="00292255">
              <w:rPr>
                <w:rFonts w:asciiTheme="minorHAnsi" w:hAnsiTheme="minorHAnsi" w:cstheme="minorHAnsi"/>
                <w:color w:val="auto"/>
              </w:rPr>
              <w:t>.</w:t>
            </w:r>
            <w:r w:rsidR="00292255" w:rsidRPr="00292255">
              <w:rPr>
                <w:rFonts w:asciiTheme="minorHAnsi" w:hAnsiTheme="minorHAnsi" w:cstheme="minorHAnsi"/>
                <w:color w:val="auto"/>
              </w:rPr>
              <w:t>2</w:t>
            </w:r>
            <w:r w:rsidR="00C4574D" w:rsidRPr="00292255">
              <w:rPr>
                <w:rFonts w:asciiTheme="minorHAnsi" w:hAnsiTheme="minorHAnsi" w:cstheme="minorHAnsi"/>
                <w:color w:val="auto"/>
              </w:rPr>
              <w:t xml:space="preserve"> Dekontaminacija vatrogasnih vozila, sistema i opreme korišćenih sa PFAS pjenama</w:t>
            </w:r>
          </w:p>
        </w:tc>
        <w:tc>
          <w:tcPr>
            <w:tcW w:w="0" w:type="auto"/>
            <w:hideMark/>
          </w:tcPr>
          <w:p w14:paraId="57DCF3A5"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Vatrogasne službe, lokalna samouprava</w:t>
            </w:r>
          </w:p>
        </w:tc>
        <w:tc>
          <w:tcPr>
            <w:tcW w:w="0" w:type="auto"/>
            <w:hideMark/>
          </w:tcPr>
          <w:p w14:paraId="527BD4B6" w14:textId="7234D588"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202</w:t>
            </w:r>
            <w:r w:rsidR="00781655" w:rsidRPr="00292255">
              <w:rPr>
                <w:rFonts w:asciiTheme="minorHAnsi" w:hAnsiTheme="minorHAnsi" w:cstheme="minorHAnsi"/>
                <w:color w:val="auto"/>
              </w:rPr>
              <w:t>7</w:t>
            </w:r>
          </w:p>
        </w:tc>
        <w:tc>
          <w:tcPr>
            <w:tcW w:w="0" w:type="auto"/>
            <w:hideMark/>
          </w:tcPr>
          <w:p w14:paraId="739C26CD"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Izvještaj o sprovedenoj dekontaminaciji</w:t>
            </w:r>
          </w:p>
        </w:tc>
        <w:tc>
          <w:tcPr>
            <w:tcW w:w="1488" w:type="dxa"/>
            <w:gridSpan w:val="2"/>
            <w:hideMark/>
          </w:tcPr>
          <w:p w14:paraId="48897AC3"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2027</w:t>
            </w:r>
          </w:p>
        </w:tc>
        <w:tc>
          <w:tcPr>
            <w:tcW w:w="1885" w:type="dxa"/>
            <w:hideMark/>
          </w:tcPr>
          <w:p w14:paraId="5D376115" w14:textId="77777777" w:rsidR="00C4574D" w:rsidRPr="00292255"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GEF, UNEP, UNDP</w:t>
            </w:r>
          </w:p>
          <w:p w14:paraId="30943F17" w14:textId="606904C9" w:rsidR="00C4574D" w:rsidRPr="00292255" w:rsidRDefault="00781655"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2255">
              <w:rPr>
                <w:rFonts w:asciiTheme="minorHAnsi" w:hAnsiTheme="minorHAnsi" w:cstheme="minorHAnsi"/>
                <w:color w:val="auto"/>
              </w:rPr>
              <w:t>50.000</w:t>
            </w:r>
            <w:r w:rsidR="00C4574D" w:rsidRPr="00292255">
              <w:rPr>
                <w:rFonts w:asciiTheme="minorHAnsi" w:hAnsiTheme="minorHAnsi" w:cstheme="minorHAnsi"/>
                <w:color w:val="auto"/>
              </w:rPr>
              <w:t>€</w:t>
            </w:r>
          </w:p>
        </w:tc>
      </w:tr>
    </w:tbl>
    <w:p w14:paraId="6D09BFFF" w14:textId="77777777" w:rsidR="00C4574D" w:rsidRDefault="00C4574D" w:rsidP="00C4574D">
      <w:pPr>
        <w:rPr>
          <w:rFonts w:asciiTheme="minorHAnsi" w:hAnsiTheme="minorHAnsi" w:cstheme="minorHAnsi"/>
        </w:rPr>
      </w:pPr>
    </w:p>
    <w:p w14:paraId="1122FCF3" w14:textId="77777777" w:rsidR="00F50788" w:rsidRDefault="00F50788" w:rsidP="00C4574D">
      <w:pPr>
        <w:rPr>
          <w:rFonts w:asciiTheme="minorHAnsi" w:hAnsiTheme="minorHAnsi" w:cstheme="minorHAnsi"/>
        </w:rPr>
      </w:pPr>
    </w:p>
    <w:p w14:paraId="13883AA4" w14:textId="77777777" w:rsidR="00F50788" w:rsidRDefault="00F50788" w:rsidP="00C4574D">
      <w:pPr>
        <w:rPr>
          <w:rFonts w:asciiTheme="minorHAnsi" w:hAnsiTheme="minorHAnsi" w:cstheme="minorHAnsi"/>
        </w:rPr>
      </w:pPr>
    </w:p>
    <w:p w14:paraId="30301125" w14:textId="77777777" w:rsidR="00F50788" w:rsidRDefault="00F50788" w:rsidP="00C4574D">
      <w:pPr>
        <w:rPr>
          <w:rFonts w:asciiTheme="minorHAnsi" w:hAnsiTheme="minorHAnsi" w:cstheme="minorHAnsi"/>
        </w:rPr>
      </w:pPr>
    </w:p>
    <w:p w14:paraId="2C342FA9" w14:textId="77777777" w:rsidR="00F50788" w:rsidRDefault="00F50788" w:rsidP="00C4574D">
      <w:pPr>
        <w:rPr>
          <w:rFonts w:asciiTheme="minorHAnsi" w:hAnsiTheme="minorHAnsi" w:cstheme="minorHAnsi"/>
        </w:rPr>
      </w:pPr>
    </w:p>
    <w:p w14:paraId="6A6E8798" w14:textId="77777777" w:rsidR="00F50788" w:rsidRDefault="00F50788" w:rsidP="00C4574D">
      <w:pPr>
        <w:rPr>
          <w:rFonts w:asciiTheme="minorHAnsi" w:hAnsiTheme="minorHAnsi" w:cstheme="minorHAnsi"/>
        </w:rPr>
      </w:pPr>
    </w:p>
    <w:p w14:paraId="27DA64C6" w14:textId="77777777" w:rsidR="00F50788" w:rsidRDefault="00F50788" w:rsidP="00C4574D">
      <w:pPr>
        <w:rPr>
          <w:rFonts w:asciiTheme="minorHAnsi" w:hAnsiTheme="minorHAnsi" w:cstheme="minorHAnsi"/>
        </w:rPr>
      </w:pPr>
    </w:p>
    <w:p w14:paraId="689F0F27" w14:textId="77777777" w:rsidR="00F50788" w:rsidRDefault="00F50788" w:rsidP="00C4574D">
      <w:pPr>
        <w:rPr>
          <w:rFonts w:asciiTheme="minorHAnsi" w:hAnsiTheme="minorHAnsi" w:cstheme="minorHAnsi"/>
        </w:rPr>
      </w:pPr>
    </w:p>
    <w:p w14:paraId="00EDDC17" w14:textId="77777777" w:rsidR="00F50788" w:rsidRDefault="00F50788" w:rsidP="00C4574D">
      <w:pPr>
        <w:rPr>
          <w:rFonts w:asciiTheme="minorHAnsi" w:hAnsiTheme="minorHAnsi" w:cstheme="minorHAnsi"/>
        </w:rPr>
      </w:pPr>
    </w:p>
    <w:p w14:paraId="516516A7" w14:textId="77777777" w:rsidR="00F50788" w:rsidRPr="00C86111" w:rsidRDefault="00F50788" w:rsidP="00C4574D">
      <w:pPr>
        <w:rPr>
          <w:rFonts w:asciiTheme="minorHAnsi" w:hAnsiTheme="minorHAnsi" w:cstheme="minorHAnsi"/>
        </w:rPr>
      </w:pPr>
    </w:p>
    <w:p w14:paraId="3CEE30BC" w14:textId="77777777" w:rsidR="003B38C2" w:rsidRDefault="003B38C2" w:rsidP="00C4574D">
      <w:pPr>
        <w:rPr>
          <w:rFonts w:asciiTheme="minorHAnsi" w:hAnsiTheme="minorHAnsi" w:cstheme="minorHAnsi"/>
          <w:b/>
          <w:bCs/>
        </w:rPr>
      </w:pPr>
    </w:p>
    <w:p w14:paraId="65870BD6" w14:textId="5A9186C1" w:rsidR="00C4574D" w:rsidRPr="00C86111" w:rsidRDefault="00C4574D" w:rsidP="00C4574D">
      <w:pPr>
        <w:rPr>
          <w:rFonts w:asciiTheme="minorHAnsi" w:hAnsiTheme="minorHAnsi" w:cstheme="minorHAnsi"/>
          <w:b/>
          <w:bCs/>
        </w:rPr>
      </w:pPr>
      <w:r w:rsidRPr="00E65986">
        <w:rPr>
          <w:rFonts w:asciiTheme="minorHAnsi" w:hAnsiTheme="minorHAnsi" w:cstheme="minorHAnsi"/>
          <w:b/>
          <w:bCs/>
          <w:color w:val="002060"/>
        </w:rPr>
        <w:lastRenderedPageBreak/>
        <w:t xml:space="preserve">STRATEŠKI CILJ </w:t>
      </w:r>
      <w:r w:rsidR="00E65986" w:rsidRPr="00E65986">
        <w:rPr>
          <w:rFonts w:asciiTheme="minorHAnsi" w:hAnsiTheme="minorHAnsi" w:cstheme="minorHAnsi"/>
          <w:b/>
          <w:bCs/>
          <w:color w:val="002060"/>
        </w:rPr>
        <w:t>3</w:t>
      </w:r>
      <w:r w:rsidRPr="00E65986">
        <w:rPr>
          <w:rFonts w:asciiTheme="minorHAnsi" w:hAnsiTheme="minorHAnsi" w:cstheme="minorHAnsi"/>
          <w:b/>
          <w:bCs/>
          <w:color w:val="002060"/>
        </w:rPr>
        <w:t xml:space="preserve">: </w:t>
      </w:r>
      <w:r w:rsidRPr="00C86111">
        <w:rPr>
          <w:rFonts w:asciiTheme="minorHAnsi" w:hAnsiTheme="minorHAnsi" w:cstheme="minorHAnsi"/>
          <w:b/>
          <w:bCs/>
        </w:rPr>
        <w:t>Osigurati sigurno i trajno zbrinjavanje PCB otpada i kontaminirane opreme u skladu sa međunarodnim standardima i Stokholmskom konvencijom, uz očuvanje zdravlja ljudi i životne sredine.</w:t>
      </w:r>
    </w:p>
    <w:p w14:paraId="08DDEC75" w14:textId="77777777" w:rsidR="00C4574D" w:rsidRPr="00C86111" w:rsidRDefault="00C4574D" w:rsidP="00C4574D">
      <w:pPr>
        <w:rPr>
          <w:rFonts w:asciiTheme="minorHAnsi" w:hAnsiTheme="minorHAnsi" w:cstheme="minorHAnsi"/>
          <w:b/>
          <w:bCs/>
        </w:rPr>
      </w:pPr>
    </w:p>
    <w:p w14:paraId="44C50491" w14:textId="77777777" w:rsidR="00C4574D" w:rsidRPr="00C86111" w:rsidRDefault="00C4574D" w:rsidP="00C4574D">
      <w:pPr>
        <w:rPr>
          <w:rFonts w:asciiTheme="minorHAnsi" w:hAnsiTheme="minorHAnsi" w:cstheme="minorHAnsi"/>
          <w:b/>
          <w:bCs/>
        </w:rPr>
      </w:pPr>
      <w:r w:rsidRPr="00C86111">
        <w:rPr>
          <w:rFonts w:asciiTheme="minorHAnsi" w:hAnsiTheme="minorHAnsi" w:cstheme="minorHAnsi"/>
          <w:b/>
          <w:bCs/>
        </w:rPr>
        <w:t xml:space="preserve">Operativni cilj 1: </w:t>
      </w:r>
      <w:r w:rsidRPr="00C86111">
        <w:rPr>
          <w:rFonts w:asciiTheme="minorHAnsi" w:hAnsiTheme="minorHAnsi" w:cstheme="minorHAnsi"/>
        </w:rPr>
        <w:t>Finalizirati zbrinjavanje preostale PCB opreme i otpada</w:t>
      </w:r>
      <w:r w:rsidRPr="00C86111">
        <w:rPr>
          <w:rFonts w:asciiTheme="minorHAnsi" w:hAnsiTheme="minorHAnsi" w:cstheme="minorHAnsi"/>
          <w:b/>
          <w:bCs/>
        </w:rPr>
        <w:t>.</w:t>
      </w:r>
    </w:p>
    <w:tbl>
      <w:tblPr>
        <w:tblStyle w:val="GridTable4-Accent6"/>
        <w:tblW w:w="0" w:type="auto"/>
        <w:tblLook w:val="04A0" w:firstRow="1" w:lastRow="0" w:firstColumn="1" w:lastColumn="0" w:noHBand="0" w:noVBand="1"/>
      </w:tblPr>
      <w:tblGrid>
        <w:gridCol w:w="5181"/>
        <w:gridCol w:w="2594"/>
        <w:gridCol w:w="2671"/>
        <w:gridCol w:w="2371"/>
      </w:tblGrid>
      <w:tr w:rsidR="00C4574D" w:rsidRPr="00C86111" w14:paraId="7887C4A8"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D1421"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hideMark/>
          </w:tcPr>
          <w:p w14:paraId="090A0D95"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hideMark/>
          </w:tcPr>
          <w:p w14:paraId="61B7CD91"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2025</w:t>
            </w:r>
          </w:p>
        </w:tc>
        <w:tc>
          <w:tcPr>
            <w:tcW w:w="0" w:type="auto"/>
            <w:hideMark/>
          </w:tcPr>
          <w:p w14:paraId="6356159B"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2026</w:t>
            </w:r>
          </w:p>
        </w:tc>
      </w:tr>
      <w:tr w:rsidR="00C4574D" w:rsidRPr="00C86111" w14:paraId="6FD6FB18"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9049B6"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Količina preostale PCB opreme zbrinute i izvezene</w:t>
            </w:r>
          </w:p>
        </w:tc>
        <w:tc>
          <w:tcPr>
            <w:tcW w:w="0" w:type="auto"/>
            <w:hideMark/>
          </w:tcPr>
          <w:p w14:paraId="3968752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86111">
              <w:rPr>
                <w:rFonts w:asciiTheme="minorHAnsi" w:hAnsiTheme="minorHAnsi" w:cstheme="minorHAnsi"/>
                <w:b/>
                <w:bCs/>
              </w:rPr>
              <w:t>~80 t</w:t>
            </w:r>
          </w:p>
        </w:tc>
        <w:tc>
          <w:tcPr>
            <w:tcW w:w="0" w:type="auto"/>
            <w:hideMark/>
          </w:tcPr>
          <w:p w14:paraId="77632F2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0" w:type="auto"/>
            <w:hideMark/>
          </w:tcPr>
          <w:p w14:paraId="33160BF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86111">
              <w:rPr>
                <w:rFonts w:asciiTheme="minorHAnsi" w:hAnsiTheme="minorHAnsi" w:cstheme="minorHAnsi"/>
                <w:b/>
                <w:bCs/>
              </w:rPr>
              <w:t>0 t</w:t>
            </w:r>
          </w:p>
        </w:tc>
      </w:tr>
    </w:tbl>
    <w:p w14:paraId="256BB02C" w14:textId="77777777" w:rsidR="00C4574D" w:rsidRPr="00C86111" w:rsidRDefault="00C4574D" w:rsidP="00C4574D">
      <w:pPr>
        <w:rPr>
          <w:rFonts w:asciiTheme="minorHAnsi" w:hAnsiTheme="minorHAnsi" w:cstheme="minorHAnsi"/>
          <w:b/>
          <w:bCs/>
          <w:vanish/>
        </w:rPr>
      </w:pPr>
    </w:p>
    <w:tbl>
      <w:tblPr>
        <w:tblStyle w:val="GridTable4-Accent6"/>
        <w:tblW w:w="0" w:type="auto"/>
        <w:tblLook w:val="04A0" w:firstRow="1" w:lastRow="0" w:firstColumn="1" w:lastColumn="0" w:noHBand="0" w:noVBand="1"/>
      </w:tblPr>
      <w:tblGrid>
        <w:gridCol w:w="5417"/>
        <w:gridCol w:w="1011"/>
        <w:gridCol w:w="1182"/>
        <w:gridCol w:w="1443"/>
        <w:gridCol w:w="1788"/>
        <w:gridCol w:w="2109"/>
      </w:tblGrid>
      <w:tr w:rsidR="00C4574D" w:rsidRPr="00C86111" w14:paraId="38B66DF6"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F66193"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640A06B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Početak</w:t>
            </w:r>
          </w:p>
        </w:tc>
        <w:tc>
          <w:tcPr>
            <w:tcW w:w="0" w:type="auto"/>
            <w:hideMark/>
          </w:tcPr>
          <w:p w14:paraId="6FB06ACE"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Završetak</w:t>
            </w:r>
          </w:p>
        </w:tc>
        <w:tc>
          <w:tcPr>
            <w:tcW w:w="0" w:type="auto"/>
            <w:hideMark/>
          </w:tcPr>
          <w:p w14:paraId="5DFE46E3"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aktivnosti</w:t>
            </w:r>
          </w:p>
        </w:tc>
        <w:tc>
          <w:tcPr>
            <w:tcW w:w="0" w:type="auto"/>
            <w:hideMark/>
          </w:tcPr>
          <w:p w14:paraId="7EF25B96"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0" w:type="auto"/>
            <w:hideMark/>
          </w:tcPr>
          <w:p w14:paraId="32B083A0"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10DC3198"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A5523B" w14:textId="1C76BA81" w:rsidR="00C4574D" w:rsidRPr="00C86111" w:rsidRDefault="00C4574D" w:rsidP="00033AB8">
            <w:pPr>
              <w:rPr>
                <w:rFonts w:asciiTheme="minorHAnsi" w:hAnsiTheme="minorHAnsi" w:cstheme="minorHAnsi"/>
              </w:rPr>
            </w:pPr>
            <w:r w:rsidRPr="00C86111">
              <w:rPr>
                <w:rFonts w:asciiTheme="minorHAnsi" w:hAnsiTheme="minorHAnsi" w:cstheme="minorHAnsi"/>
              </w:rPr>
              <w:t>1.1 Priprema preostale PCB opreme za zbrinjavanje (odvodnjavanje, označavanje, pakovanje)</w:t>
            </w:r>
            <w:r w:rsidR="00B5295B" w:rsidRPr="00C86111">
              <w:rPr>
                <w:rFonts w:asciiTheme="minorHAnsi" w:hAnsiTheme="minorHAnsi" w:cstheme="minorHAnsi"/>
              </w:rPr>
              <w:t xml:space="preserve"> Izvoz i finalno zbrinjavanje PCB opreme</w:t>
            </w:r>
          </w:p>
        </w:tc>
        <w:tc>
          <w:tcPr>
            <w:tcW w:w="0" w:type="auto"/>
            <w:hideMark/>
          </w:tcPr>
          <w:p w14:paraId="66506F6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86111">
              <w:rPr>
                <w:rFonts w:asciiTheme="minorHAnsi" w:hAnsiTheme="minorHAnsi" w:cstheme="minorHAnsi"/>
                <w:b/>
                <w:bCs/>
              </w:rPr>
              <w:t>2024</w:t>
            </w:r>
          </w:p>
        </w:tc>
        <w:tc>
          <w:tcPr>
            <w:tcW w:w="0" w:type="auto"/>
            <w:hideMark/>
          </w:tcPr>
          <w:p w14:paraId="36CFD28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86111">
              <w:rPr>
                <w:rFonts w:asciiTheme="minorHAnsi" w:hAnsiTheme="minorHAnsi" w:cstheme="minorHAnsi"/>
                <w:b/>
                <w:bCs/>
              </w:rPr>
              <w:t>2026</w:t>
            </w:r>
          </w:p>
        </w:tc>
        <w:tc>
          <w:tcPr>
            <w:tcW w:w="0" w:type="auto"/>
            <w:hideMark/>
          </w:tcPr>
          <w:p w14:paraId="5DCCAA1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86111">
              <w:rPr>
                <w:rFonts w:asciiTheme="minorHAnsi" w:hAnsiTheme="minorHAnsi" w:cstheme="minorHAnsi"/>
                <w:b/>
                <w:bCs/>
              </w:rPr>
              <w:t>KAP, CEDIS</w:t>
            </w:r>
          </w:p>
        </w:tc>
        <w:tc>
          <w:tcPr>
            <w:tcW w:w="0" w:type="auto"/>
            <w:hideMark/>
          </w:tcPr>
          <w:p w14:paraId="0FA6D3E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86111">
              <w:rPr>
                <w:rFonts w:asciiTheme="minorHAnsi" w:hAnsiTheme="minorHAnsi" w:cstheme="minorHAnsi"/>
                <w:b/>
                <w:bCs/>
              </w:rPr>
              <w:t>Oprema spremna za transport</w:t>
            </w:r>
          </w:p>
        </w:tc>
        <w:tc>
          <w:tcPr>
            <w:tcW w:w="0" w:type="auto"/>
            <w:hideMark/>
          </w:tcPr>
          <w:p w14:paraId="736614BA" w14:textId="77777777" w:rsidR="00C4574D"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86111">
              <w:rPr>
                <w:rFonts w:asciiTheme="minorHAnsi" w:hAnsiTheme="minorHAnsi" w:cstheme="minorHAnsi"/>
                <w:b/>
                <w:bCs/>
              </w:rPr>
              <w:t>UN/GEF MedProgramme</w:t>
            </w:r>
          </w:p>
          <w:p w14:paraId="54DE0EB8" w14:textId="64DAD51D" w:rsidR="00B5295B" w:rsidRDefault="00B5295B"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120.000</w:t>
            </w:r>
          </w:p>
          <w:p w14:paraId="0E1D308C" w14:textId="28792073" w:rsidR="00B5295B" w:rsidRPr="00C86111" w:rsidRDefault="00B5295B"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bl>
    <w:p w14:paraId="073DAB1A" w14:textId="77777777" w:rsidR="00C4574D" w:rsidRDefault="00C4574D" w:rsidP="00C4574D">
      <w:pPr>
        <w:rPr>
          <w:rFonts w:asciiTheme="minorHAnsi" w:hAnsiTheme="minorHAnsi" w:cstheme="minorHAnsi"/>
          <w:b/>
          <w:bCs/>
        </w:rPr>
      </w:pPr>
    </w:p>
    <w:p w14:paraId="799D5613" w14:textId="7BAA5246" w:rsidR="00C4574D" w:rsidRPr="00C86111" w:rsidRDefault="00C4574D" w:rsidP="00C4574D">
      <w:pPr>
        <w:jc w:val="both"/>
        <w:rPr>
          <w:rFonts w:asciiTheme="minorHAnsi" w:hAnsiTheme="minorHAnsi" w:cstheme="minorHAnsi"/>
          <w:b/>
          <w:bCs/>
        </w:rPr>
      </w:pPr>
      <w:r w:rsidRPr="00E65986">
        <w:rPr>
          <w:rFonts w:asciiTheme="minorHAnsi" w:hAnsiTheme="minorHAnsi" w:cstheme="minorHAnsi"/>
          <w:b/>
          <w:bCs/>
          <w:color w:val="002060"/>
        </w:rPr>
        <w:t xml:space="preserve">STRATEŠKI CILJ </w:t>
      </w:r>
      <w:r w:rsidR="00E65986">
        <w:rPr>
          <w:rFonts w:asciiTheme="minorHAnsi" w:hAnsiTheme="minorHAnsi" w:cstheme="minorHAnsi"/>
          <w:b/>
          <w:bCs/>
          <w:color w:val="002060"/>
        </w:rPr>
        <w:t>4</w:t>
      </w:r>
      <w:r w:rsidRPr="00E65986">
        <w:rPr>
          <w:rFonts w:asciiTheme="minorHAnsi" w:hAnsiTheme="minorHAnsi" w:cstheme="minorHAnsi"/>
          <w:b/>
          <w:bCs/>
          <w:color w:val="002060"/>
        </w:rPr>
        <w:t xml:space="preserve">: </w:t>
      </w:r>
      <w:r w:rsidRPr="00C86111">
        <w:rPr>
          <w:rFonts w:asciiTheme="minorHAnsi" w:hAnsiTheme="minorHAnsi" w:cstheme="minorHAnsi"/>
          <w:b/>
          <w:bCs/>
        </w:rPr>
        <w:t>Smanjenje nenamjernih emisija POPs supstanci u životnu sredinu kroz preventivne mjere, primjenu najboljih dostupnih tehnologija (BAT), edukaciju, statističko praćenje i brzu intervenciju u slučaju požara, sa fokusom na zaštitu zdravlja ljudi i životne sredine.</w:t>
      </w:r>
    </w:p>
    <w:p w14:paraId="23FC1DED" w14:textId="77777777" w:rsidR="00C4574D" w:rsidRPr="00C86111" w:rsidRDefault="00C4574D" w:rsidP="00C4574D">
      <w:pPr>
        <w:rPr>
          <w:rFonts w:asciiTheme="minorHAnsi" w:hAnsiTheme="minorHAnsi" w:cstheme="minorHAnsi"/>
        </w:rPr>
      </w:pPr>
    </w:p>
    <w:p w14:paraId="1A14CCDD" w14:textId="77777777" w:rsidR="00C4574D" w:rsidRPr="00C86111" w:rsidRDefault="00C4574D" w:rsidP="00C4574D">
      <w:pPr>
        <w:rPr>
          <w:rFonts w:asciiTheme="minorHAnsi" w:hAnsiTheme="minorHAnsi" w:cstheme="minorHAnsi"/>
        </w:rPr>
      </w:pPr>
      <w:r w:rsidRPr="00C86111">
        <w:rPr>
          <w:rFonts w:asciiTheme="minorHAnsi" w:hAnsiTheme="minorHAnsi" w:cstheme="minorHAnsi"/>
          <w:b/>
          <w:bCs/>
        </w:rPr>
        <w:t xml:space="preserve">Operativni cilj 1: </w:t>
      </w:r>
      <w:r w:rsidRPr="00C86111">
        <w:rPr>
          <w:rFonts w:asciiTheme="minorHAnsi" w:hAnsiTheme="minorHAnsi" w:cstheme="minorHAnsi"/>
        </w:rPr>
        <w:t>Prevencija i hitno reagovanje na požare komunalnog i drugog otpada</w:t>
      </w:r>
    </w:p>
    <w:tbl>
      <w:tblPr>
        <w:tblStyle w:val="GridTable4-Accent6"/>
        <w:tblW w:w="0" w:type="auto"/>
        <w:tblLook w:val="04A0" w:firstRow="1" w:lastRow="0" w:firstColumn="1" w:lastColumn="0" w:noHBand="0" w:noVBand="1"/>
      </w:tblPr>
      <w:tblGrid>
        <w:gridCol w:w="3801"/>
        <w:gridCol w:w="976"/>
        <w:gridCol w:w="937"/>
        <w:gridCol w:w="1928"/>
        <w:gridCol w:w="1992"/>
        <w:gridCol w:w="1341"/>
        <w:gridCol w:w="1975"/>
      </w:tblGrid>
      <w:tr w:rsidR="00C4574D" w:rsidRPr="00C86111" w14:paraId="1DFB5FEF"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4151D5C"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491437BA" w14:textId="087C34E6"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w:t>
            </w:r>
            <w:r w:rsidR="009A331D">
              <w:rPr>
                <w:rFonts w:asciiTheme="minorHAnsi" w:hAnsiTheme="minorHAnsi" w:cstheme="minorHAnsi"/>
              </w:rPr>
              <w:t>6</w:t>
            </w:r>
            <w:r w:rsidRPr="00C86111">
              <w:rPr>
                <w:rFonts w:asciiTheme="minorHAnsi" w:hAnsiTheme="minorHAnsi" w:cstheme="minorHAnsi"/>
              </w:rPr>
              <w:t>)</w:t>
            </w:r>
          </w:p>
        </w:tc>
        <w:tc>
          <w:tcPr>
            <w:tcW w:w="0" w:type="auto"/>
            <w:gridSpan w:val="2"/>
            <w:hideMark/>
          </w:tcPr>
          <w:p w14:paraId="27AAA43A" w14:textId="253623AA"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w:t>
            </w:r>
            <w:r w:rsidR="009A331D">
              <w:rPr>
                <w:rFonts w:asciiTheme="minorHAnsi" w:hAnsiTheme="minorHAnsi" w:cstheme="minorHAnsi"/>
              </w:rPr>
              <w:t>7</w:t>
            </w:r>
            <w:r w:rsidRPr="00C86111">
              <w:rPr>
                <w:rFonts w:asciiTheme="minorHAnsi" w:hAnsiTheme="minorHAnsi" w:cstheme="minorHAnsi"/>
              </w:rPr>
              <w:t>)</w:t>
            </w:r>
          </w:p>
        </w:tc>
        <w:tc>
          <w:tcPr>
            <w:tcW w:w="0" w:type="auto"/>
            <w:hideMark/>
          </w:tcPr>
          <w:p w14:paraId="586B0DC0"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9A331D" w14:paraId="78E379A0"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F9C1DDA" w14:textId="77777777" w:rsidR="00C4574D" w:rsidRPr="009A331D" w:rsidRDefault="00C4574D" w:rsidP="00033AB8">
            <w:pPr>
              <w:rPr>
                <w:rFonts w:asciiTheme="minorHAnsi" w:hAnsiTheme="minorHAnsi" w:cstheme="minorHAnsi"/>
                <w:color w:val="auto"/>
              </w:rPr>
            </w:pPr>
            <w:r w:rsidRPr="009A331D">
              <w:rPr>
                <w:rFonts w:asciiTheme="minorHAnsi" w:hAnsiTheme="minorHAnsi" w:cstheme="minorHAnsi"/>
                <w:color w:val="auto"/>
              </w:rPr>
              <w:t>Broj neuređenih odlagališta sa implementiranim preventivnim mjerama</w:t>
            </w:r>
          </w:p>
        </w:tc>
        <w:tc>
          <w:tcPr>
            <w:tcW w:w="0" w:type="auto"/>
            <w:gridSpan w:val="2"/>
            <w:hideMark/>
          </w:tcPr>
          <w:p w14:paraId="33321FB8" w14:textId="77777777" w:rsidR="00C4574D" w:rsidRPr="009A331D"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Nedefinisano</w:t>
            </w:r>
          </w:p>
        </w:tc>
        <w:tc>
          <w:tcPr>
            <w:tcW w:w="0" w:type="auto"/>
            <w:gridSpan w:val="2"/>
            <w:hideMark/>
          </w:tcPr>
          <w:p w14:paraId="24F7A26C" w14:textId="57145B0E" w:rsidR="00C4574D" w:rsidRPr="009A331D"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 xml:space="preserve">Min. </w:t>
            </w:r>
            <w:r w:rsidR="009A331D" w:rsidRPr="009A331D">
              <w:rPr>
                <w:rFonts w:asciiTheme="minorHAnsi" w:hAnsiTheme="minorHAnsi" w:cstheme="minorHAnsi"/>
                <w:color w:val="auto"/>
              </w:rPr>
              <w:t>10</w:t>
            </w:r>
            <w:r w:rsidRPr="009A331D">
              <w:rPr>
                <w:rFonts w:asciiTheme="minorHAnsi" w:hAnsiTheme="minorHAnsi" w:cstheme="minorHAnsi"/>
                <w:color w:val="auto"/>
              </w:rPr>
              <w:t>% pokrivenih</w:t>
            </w:r>
          </w:p>
        </w:tc>
        <w:tc>
          <w:tcPr>
            <w:tcW w:w="0" w:type="auto"/>
            <w:hideMark/>
          </w:tcPr>
          <w:p w14:paraId="4B1ED523" w14:textId="1C27D023" w:rsidR="00C4574D" w:rsidRPr="009A331D"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Minimun 10%</w:t>
            </w:r>
            <w:r w:rsidR="00C4574D" w:rsidRPr="009A331D">
              <w:rPr>
                <w:rFonts w:asciiTheme="minorHAnsi" w:hAnsiTheme="minorHAnsi" w:cstheme="minorHAnsi"/>
                <w:color w:val="auto"/>
              </w:rPr>
              <w:t xml:space="preserve"> rizičn</w:t>
            </w:r>
            <w:r>
              <w:rPr>
                <w:rFonts w:asciiTheme="minorHAnsi" w:hAnsiTheme="minorHAnsi" w:cstheme="minorHAnsi"/>
                <w:color w:val="auto"/>
              </w:rPr>
              <w:t>ih</w:t>
            </w:r>
            <w:r w:rsidR="00C4574D" w:rsidRPr="009A331D">
              <w:rPr>
                <w:rFonts w:asciiTheme="minorHAnsi" w:hAnsiTheme="minorHAnsi" w:cstheme="minorHAnsi"/>
                <w:color w:val="auto"/>
              </w:rPr>
              <w:t xml:space="preserve"> odlagališta uređen</w:t>
            </w:r>
            <w:r>
              <w:rPr>
                <w:rFonts w:asciiTheme="minorHAnsi" w:hAnsiTheme="minorHAnsi" w:cstheme="minorHAnsi"/>
                <w:color w:val="auto"/>
              </w:rPr>
              <w:t>o</w:t>
            </w:r>
          </w:p>
        </w:tc>
      </w:tr>
      <w:tr w:rsidR="00C4574D" w:rsidRPr="009A331D" w14:paraId="555D157B"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1B7EAA6C" w14:textId="77777777" w:rsidR="00C4574D" w:rsidRPr="009A331D" w:rsidRDefault="00C4574D" w:rsidP="00033AB8">
            <w:pPr>
              <w:rPr>
                <w:rFonts w:asciiTheme="minorHAnsi" w:hAnsiTheme="minorHAnsi" w:cstheme="minorHAnsi"/>
                <w:color w:val="auto"/>
              </w:rPr>
            </w:pPr>
            <w:r w:rsidRPr="009A331D">
              <w:rPr>
                <w:rFonts w:asciiTheme="minorHAnsi" w:hAnsiTheme="minorHAnsi" w:cstheme="minorHAnsi"/>
                <w:color w:val="auto"/>
              </w:rPr>
              <w:t>Aktivnost</w:t>
            </w:r>
          </w:p>
        </w:tc>
        <w:tc>
          <w:tcPr>
            <w:tcW w:w="0" w:type="auto"/>
            <w:gridSpan w:val="2"/>
            <w:hideMark/>
          </w:tcPr>
          <w:p w14:paraId="655CC3F4" w14:textId="77777777" w:rsidR="00C4574D" w:rsidRPr="009A331D"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Nosioci realizacije</w:t>
            </w:r>
          </w:p>
        </w:tc>
        <w:tc>
          <w:tcPr>
            <w:tcW w:w="0" w:type="auto"/>
            <w:hideMark/>
          </w:tcPr>
          <w:p w14:paraId="32D655DC" w14:textId="77777777" w:rsidR="00C4574D" w:rsidRPr="009A331D"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Datum početka</w:t>
            </w:r>
          </w:p>
        </w:tc>
        <w:tc>
          <w:tcPr>
            <w:tcW w:w="0" w:type="auto"/>
            <w:hideMark/>
          </w:tcPr>
          <w:p w14:paraId="63A8BA2D" w14:textId="77777777" w:rsidR="00C4574D" w:rsidRPr="009A331D"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Indikator rezultata</w:t>
            </w:r>
          </w:p>
        </w:tc>
        <w:tc>
          <w:tcPr>
            <w:tcW w:w="1341" w:type="dxa"/>
            <w:hideMark/>
          </w:tcPr>
          <w:p w14:paraId="5AFB47B5" w14:textId="77777777" w:rsidR="00C4574D" w:rsidRPr="009A331D"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Planirani završetak</w:t>
            </w:r>
          </w:p>
        </w:tc>
        <w:tc>
          <w:tcPr>
            <w:tcW w:w="1975" w:type="dxa"/>
            <w:hideMark/>
          </w:tcPr>
          <w:p w14:paraId="74FAD227" w14:textId="77777777" w:rsidR="00C4574D" w:rsidRPr="009A331D"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Izvor finansiranja</w:t>
            </w:r>
          </w:p>
        </w:tc>
      </w:tr>
      <w:tr w:rsidR="00C4574D" w:rsidRPr="009A331D" w14:paraId="241657AF"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0DFE80" w14:textId="4264F28E" w:rsidR="00C4574D" w:rsidRPr="009A331D" w:rsidRDefault="009A331D" w:rsidP="00033AB8">
            <w:pPr>
              <w:rPr>
                <w:rFonts w:asciiTheme="minorHAnsi" w:hAnsiTheme="minorHAnsi" w:cstheme="minorHAnsi"/>
                <w:color w:val="auto"/>
              </w:rPr>
            </w:pPr>
            <w:r w:rsidRPr="009A331D">
              <w:rPr>
                <w:rFonts w:asciiTheme="minorHAnsi" w:hAnsiTheme="minorHAnsi" w:cstheme="minorHAnsi"/>
                <w:color w:val="auto"/>
              </w:rPr>
              <w:t>Zatvaranje i sanacija svih nesanitarnih deponija</w:t>
            </w:r>
          </w:p>
        </w:tc>
        <w:tc>
          <w:tcPr>
            <w:tcW w:w="0" w:type="auto"/>
            <w:gridSpan w:val="2"/>
            <w:hideMark/>
          </w:tcPr>
          <w:p w14:paraId="06E96725" w14:textId="77777777" w:rsidR="00C4574D" w:rsidRPr="009A331D"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MERS, lokalne samouprave</w:t>
            </w:r>
          </w:p>
        </w:tc>
        <w:tc>
          <w:tcPr>
            <w:tcW w:w="0" w:type="auto"/>
            <w:hideMark/>
          </w:tcPr>
          <w:p w14:paraId="4326A69F" w14:textId="77777777" w:rsidR="00C4574D" w:rsidRPr="009A331D"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2026</w:t>
            </w:r>
          </w:p>
        </w:tc>
        <w:tc>
          <w:tcPr>
            <w:tcW w:w="0" w:type="auto"/>
            <w:hideMark/>
          </w:tcPr>
          <w:p w14:paraId="3CD2F3BC" w14:textId="77777777" w:rsidR="00C4574D" w:rsidRPr="009A331D"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Evidencija sprovedenih mjera</w:t>
            </w:r>
          </w:p>
        </w:tc>
        <w:tc>
          <w:tcPr>
            <w:tcW w:w="1341" w:type="dxa"/>
            <w:hideMark/>
          </w:tcPr>
          <w:p w14:paraId="03DD4233" w14:textId="4B6B389D" w:rsidR="00C4574D" w:rsidRPr="009A331D"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20</w:t>
            </w:r>
            <w:r w:rsidR="009A331D" w:rsidRPr="009A331D">
              <w:rPr>
                <w:rFonts w:asciiTheme="minorHAnsi" w:hAnsiTheme="minorHAnsi" w:cstheme="minorHAnsi"/>
                <w:color w:val="auto"/>
              </w:rPr>
              <w:t>30</w:t>
            </w:r>
          </w:p>
        </w:tc>
        <w:tc>
          <w:tcPr>
            <w:tcW w:w="1975" w:type="dxa"/>
            <w:hideMark/>
          </w:tcPr>
          <w:p w14:paraId="187D9052" w14:textId="1F46CE99" w:rsidR="00C4574D" w:rsidRPr="009A331D" w:rsidRDefault="00D46D3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A331D">
              <w:rPr>
                <w:rFonts w:asciiTheme="minorHAnsi" w:hAnsiTheme="minorHAnsi" w:cstheme="minorHAnsi"/>
                <w:color w:val="auto"/>
              </w:rPr>
              <w:t>Aktivnost planirana kroz  Budžet CG</w:t>
            </w:r>
            <w:r w:rsidR="009A331D" w:rsidRPr="009A331D">
              <w:rPr>
                <w:rFonts w:asciiTheme="minorHAnsi" w:hAnsiTheme="minorHAnsi" w:cstheme="minorHAnsi"/>
                <w:color w:val="auto"/>
              </w:rPr>
              <w:t xml:space="preserve">, budžet lokalnih samouprava I </w:t>
            </w:r>
          </w:p>
        </w:tc>
      </w:tr>
    </w:tbl>
    <w:p w14:paraId="348CB7F2" w14:textId="77777777" w:rsidR="00C4574D" w:rsidRDefault="00C4574D" w:rsidP="00C4574D">
      <w:pPr>
        <w:rPr>
          <w:rFonts w:asciiTheme="minorHAnsi" w:hAnsiTheme="minorHAnsi" w:cstheme="minorHAnsi"/>
        </w:rPr>
      </w:pPr>
    </w:p>
    <w:p w14:paraId="7202F342" w14:textId="7141290C" w:rsidR="00C4574D" w:rsidRPr="00C86111" w:rsidRDefault="00C4574D" w:rsidP="00C4574D">
      <w:pPr>
        <w:jc w:val="both"/>
        <w:rPr>
          <w:rFonts w:asciiTheme="minorHAnsi" w:hAnsiTheme="minorHAnsi" w:cstheme="minorHAnsi"/>
          <w:b/>
          <w:bCs/>
        </w:rPr>
      </w:pPr>
      <w:r w:rsidRPr="00E65986">
        <w:rPr>
          <w:rFonts w:asciiTheme="minorHAnsi" w:hAnsiTheme="minorHAnsi" w:cstheme="minorHAnsi"/>
          <w:b/>
          <w:bCs/>
          <w:color w:val="002060"/>
        </w:rPr>
        <w:lastRenderedPageBreak/>
        <w:t xml:space="preserve">STRATEŠKI CILJ </w:t>
      </w:r>
      <w:r w:rsidR="00E65986">
        <w:rPr>
          <w:rFonts w:asciiTheme="minorHAnsi" w:hAnsiTheme="minorHAnsi" w:cstheme="minorHAnsi"/>
          <w:b/>
          <w:bCs/>
          <w:color w:val="002060"/>
        </w:rPr>
        <w:t>5</w:t>
      </w:r>
      <w:r w:rsidRPr="00C86111">
        <w:rPr>
          <w:rFonts w:asciiTheme="minorHAnsi" w:hAnsiTheme="minorHAnsi" w:cstheme="minorHAnsi"/>
          <w:b/>
          <w:bCs/>
        </w:rPr>
        <w:t>: Ojačati kapacitete i efikasnost sistema monitoringa i analize POPs i novih zagađivača u Crnoj Gori, kako bi se smanjili rizici po zdravlje ljudi i životnu sredinu, osigurala usklađenost sa EU regulativama i međunarodnim konvencijama, te unaprijedila prekogranična saradnja.</w:t>
      </w:r>
    </w:p>
    <w:p w14:paraId="763B1B5E" w14:textId="77777777" w:rsidR="00C4574D" w:rsidRPr="00C86111" w:rsidRDefault="00C4574D" w:rsidP="00C4574D">
      <w:pPr>
        <w:rPr>
          <w:rFonts w:asciiTheme="minorHAnsi" w:hAnsiTheme="minorHAnsi" w:cstheme="minorHAnsi"/>
        </w:rPr>
      </w:pPr>
    </w:p>
    <w:p w14:paraId="5495D0AB" w14:textId="77777777" w:rsidR="00C4574D" w:rsidRPr="00C86111" w:rsidRDefault="00C4574D" w:rsidP="00C4574D">
      <w:pPr>
        <w:rPr>
          <w:rFonts w:asciiTheme="minorHAnsi" w:hAnsiTheme="minorHAnsi" w:cstheme="minorHAnsi"/>
          <w:b/>
          <w:bCs/>
        </w:rPr>
      </w:pPr>
      <w:r w:rsidRPr="00C86111">
        <w:rPr>
          <w:rFonts w:asciiTheme="minorHAnsi" w:hAnsiTheme="minorHAnsi" w:cstheme="minorHAnsi"/>
          <w:b/>
          <w:bCs/>
        </w:rPr>
        <w:t xml:space="preserve">Operativni cilj 1: </w:t>
      </w:r>
      <w:r w:rsidRPr="00C86111">
        <w:rPr>
          <w:rFonts w:asciiTheme="minorHAnsi" w:hAnsiTheme="minorHAnsi" w:cstheme="minorHAnsi"/>
        </w:rPr>
        <w:t>Pojačati i proširiti monitoring POPs i novih zagađivača</w:t>
      </w:r>
    </w:p>
    <w:tbl>
      <w:tblPr>
        <w:tblStyle w:val="GridTable4-Accent6"/>
        <w:tblW w:w="0" w:type="auto"/>
        <w:tblLook w:val="04A0" w:firstRow="1" w:lastRow="0" w:firstColumn="1" w:lastColumn="0" w:noHBand="0" w:noVBand="1"/>
      </w:tblPr>
      <w:tblGrid>
        <w:gridCol w:w="2279"/>
        <w:gridCol w:w="1563"/>
        <w:gridCol w:w="1851"/>
        <w:gridCol w:w="641"/>
        <w:gridCol w:w="640"/>
        <w:gridCol w:w="2545"/>
        <w:gridCol w:w="3431"/>
      </w:tblGrid>
      <w:tr w:rsidR="00C4574D" w:rsidRPr="00C86111" w14:paraId="2E98A650"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17C895"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hideMark/>
          </w:tcPr>
          <w:p w14:paraId="3976F849"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241FE189"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gridSpan w:val="3"/>
            <w:hideMark/>
          </w:tcPr>
          <w:p w14:paraId="761C1683"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64FD6389"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311551"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Obuhvat mjesečnog monitoringa voda, tla, hrane i biote</w:t>
            </w:r>
          </w:p>
        </w:tc>
        <w:tc>
          <w:tcPr>
            <w:tcW w:w="0" w:type="auto"/>
            <w:hideMark/>
          </w:tcPr>
          <w:p w14:paraId="430B9E7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Delimično prisutan</w:t>
            </w:r>
          </w:p>
        </w:tc>
        <w:tc>
          <w:tcPr>
            <w:tcW w:w="0" w:type="auto"/>
            <w:gridSpan w:val="2"/>
            <w:hideMark/>
          </w:tcPr>
          <w:p w14:paraId="2FCC07F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Sistemski monitoring u fazi implementacije</w:t>
            </w:r>
          </w:p>
        </w:tc>
        <w:tc>
          <w:tcPr>
            <w:tcW w:w="0" w:type="auto"/>
            <w:gridSpan w:val="3"/>
            <w:hideMark/>
          </w:tcPr>
          <w:p w14:paraId="415B41F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Kontinuiran, sveobuhvatan monitoring</w:t>
            </w:r>
          </w:p>
        </w:tc>
      </w:tr>
      <w:tr w:rsidR="00C4574D" w:rsidRPr="00C86111" w14:paraId="709D5E95"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67E06651"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novih zagađivača uključeni u monitoring</w:t>
            </w:r>
          </w:p>
        </w:tc>
        <w:tc>
          <w:tcPr>
            <w:tcW w:w="0" w:type="auto"/>
            <w:hideMark/>
          </w:tcPr>
          <w:p w14:paraId="26C232AE"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Nedefinisano</w:t>
            </w:r>
          </w:p>
        </w:tc>
        <w:tc>
          <w:tcPr>
            <w:tcW w:w="0" w:type="auto"/>
            <w:gridSpan w:val="2"/>
            <w:hideMark/>
          </w:tcPr>
          <w:p w14:paraId="031EFD5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3 nova zagađivača</w:t>
            </w:r>
          </w:p>
        </w:tc>
        <w:tc>
          <w:tcPr>
            <w:tcW w:w="0" w:type="auto"/>
            <w:gridSpan w:val="3"/>
            <w:hideMark/>
          </w:tcPr>
          <w:p w14:paraId="56EA2BC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Svi relevantni POPs i novi zagađivači uključeni u monitoring</w:t>
            </w:r>
          </w:p>
        </w:tc>
      </w:tr>
      <w:tr w:rsidR="00C4574D" w:rsidRPr="00C86111" w14:paraId="300169DF"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42784E"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Implementacija bioeseja i ekotoksikoloških testiranja</w:t>
            </w:r>
          </w:p>
        </w:tc>
        <w:tc>
          <w:tcPr>
            <w:tcW w:w="0" w:type="auto"/>
            <w:hideMark/>
          </w:tcPr>
          <w:p w14:paraId="710E440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Nije primijenjeno</w:t>
            </w:r>
          </w:p>
        </w:tc>
        <w:tc>
          <w:tcPr>
            <w:tcW w:w="0" w:type="auto"/>
            <w:gridSpan w:val="2"/>
            <w:hideMark/>
          </w:tcPr>
          <w:p w14:paraId="4B552F9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Pilot program</w:t>
            </w:r>
          </w:p>
        </w:tc>
        <w:tc>
          <w:tcPr>
            <w:tcW w:w="0" w:type="auto"/>
            <w:gridSpan w:val="3"/>
            <w:hideMark/>
          </w:tcPr>
          <w:p w14:paraId="1E0E91F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Standardna praksa u svim relevantnim laboratorijama</w:t>
            </w:r>
          </w:p>
        </w:tc>
      </w:tr>
      <w:tr w:rsidR="00C4574D" w:rsidRPr="00C86111" w14:paraId="5C9ADD07"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064748DF"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77C34E94"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realizacije</w:t>
            </w:r>
          </w:p>
        </w:tc>
        <w:tc>
          <w:tcPr>
            <w:tcW w:w="0" w:type="auto"/>
            <w:hideMark/>
          </w:tcPr>
          <w:p w14:paraId="1AAA6D1E"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Datum početka</w:t>
            </w:r>
          </w:p>
        </w:tc>
        <w:tc>
          <w:tcPr>
            <w:tcW w:w="1282" w:type="dxa"/>
            <w:gridSpan w:val="2"/>
            <w:hideMark/>
          </w:tcPr>
          <w:p w14:paraId="1728DA5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2545" w:type="dxa"/>
            <w:hideMark/>
          </w:tcPr>
          <w:p w14:paraId="154DD9AF"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Planirani završetak</w:t>
            </w:r>
          </w:p>
        </w:tc>
        <w:tc>
          <w:tcPr>
            <w:tcW w:w="3431" w:type="dxa"/>
            <w:hideMark/>
          </w:tcPr>
          <w:p w14:paraId="66A4D56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0F3CB70D"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1E39DF" w14:textId="0FC1D96A" w:rsidR="00C4574D" w:rsidRPr="00C86111" w:rsidRDefault="00C4574D" w:rsidP="00033AB8">
            <w:pPr>
              <w:rPr>
                <w:rFonts w:asciiTheme="minorHAnsi" w:hAnsiTheme="minorHAnsi" w:cstheme="minorHAnsi"/>
              </w:rPr>
            </w:pPr>
            <w:r w:rsidRPr="00C86111">
              <w:rPr>
                <w:rFonts w:asciiTheme="minorHAnsi" w:hAnsiTheme="minorHAnsi" w:cstheme="minorHAnsi"/>
              </w:rPr>
              <w:t xml:space="preserve">1.1 </w:t>
            </w:r>
            <w:r w:rsidR="006D5D17">
              <w:rPr>
                <w:rFonts w:asciiTheme="minorHAnsi" w:hAnsiTheme="minorHAnsi" w:cstheme="minorHAnsi"/>
              </w:rPr>
              <w:t>Sistematski monitoring program svih segmenata životne sredine, hrane, hrane za životinje na POPs</w:t>
            </w:r>
          </w:p>
        </w:tc>
        <w:tc>
          <w:tcPr>
            <w:tcW w:w="0" w:type="auto"/>
            <w:hideMark/>
          </w:tcPr>
          <w:p w14:paraId="6E9F022A" w14:textId="58BDFAED"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xml:space="preserve">MERS, </w:t>
            </w:r>
            <w:r w:rsidR="006D5D17">
              <w:rPr>
                <w:rFonts w:asciiTheme="minorHAnsi" w:hAnsiTheme="minorHAnsi" w:cstheme="minorHAnsi"/>
              </w:rPr>
              <w:t xml:space="preserve">UBH, </w:t>
            </w:r>
            <w:r w:rsidRPr="00C86111">
              <w:rPr>
                <w:rFonts w:asciiTheme="minorHAnsi" w:hAnsiTheme="minorHAnsi" w:cstheme="minorHAnsi"/>
              </w:rPr>
              <w:t>laboratorije</w:t>
            </w:r>
          </w:p>
        </w:tc>
        <w:tc>
          <w:tcPr>
            <w:tcW w:w="0" w:type="auto"/>
            <w:hideMark/>
          </w:tcPr>
          <w:p w14:paraId="6523038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1282" w:type="dxa"/>
            <w:gridSpan w:val="2"/>
            <w:hideMark/>
          </w:tcPr>
          <w:p w14:paraId="0B4A94F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Redovni mjesečni izvještaji</w:t>
            </w:r>
          </w:p>
        </w:tc>
        <w:tc>
          <w:tcPr>
            <w:tcW w:w="2545" w:type="dxa"/>
            <w:hideMark/>
          </w:tcPr>
          <w:p w14:paraId="4742133C"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Kontinuirano</w:t>
            </w:r>
          </w:p>
        </w:tc>
        <w:tc>
          <w:tcPr>
            <w:tcW w:w="3431" w:type="dxa"/>
            <w:hideMark/>
          </w:tcPr>
          <w:p w14:paraId="19D4AEA5" w14:textId="39639ADF" w:rsidR="00C4574D" w:rsidRPr="00C86111" w:rsidRDefault="00292255"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2255">
              <w:rPr>
                <w:rFonts w:asciiTheme="minorHAnsi" w:hAnsiTheme="minorHAnsi" w:cstheme="minorHAnsi"/>
                <w:color w:val="auto"/>
              </w:rPr>
              <w:t xml:space="preserve">Aktivnost planirana kroz  Budžet CG </w:t>
            </w:r>
          </w:p>
        </w:tc>
      </w:tr>
      <w:tr w:rsidR="00C4574D" w:rsidRPr="00C86111" w14:paraId="6E97B07C"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27472FA9"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1.2 Sistematsko uključivanje novih zagađivača u monitoring</w:t>
            </w:r>
          </w:p>
        </w:tc>
        <w:tc>
          <w:tcPr>
            <w:tcW w:w="0" w:type="auto"/>
            <w:hideMark/>
          </w:tcPr>
          <w:p w14:paraId="70FC3A3D"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 UBH, laboratorije</w:t>
            </w:r>
          </w:p>
        </w:tc>
        <w:tc>
          <w:tcPr>
            <w:tcW w:w="0" w:type="auto"/>
            <w:hideMark/>
          </w:tcPr>
          <w:p w14:paraId="175319D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1282" w:type="dxa"/>
            <w:gridSpan w:val="2"/>
            <w:hideMark/>
          </w:tcPr>
          <w:p w14:paraId="6A1230E1"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Lista i evidencija novih zagađivača</w:t>
            </w:r>
          </w:p>
        </w:tc>
        <w:tc>
          <w:tcPr>
            <w:tcW w:w="2545" w:type="dxa"/>
            <w:hideMark/>
          </w:tcPr>
          <w:p w14:paraId="56EA0C4A"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Kontinuirano</w:t>
            </w:r>
          </w:p>
        </w:tc>
        <w:tc>
          <w:tcPr>
            <w:tcW w:w="3431" w:type="dxa"/>
            <w:hideMark/>
          </w:tcPr>
          <w:p w14:paraId="017B3472" w14:textId="3D3930EF" w:rsidR="00C4574D" w:rsidRPr="00C86111" w:rsidRDefault="00292255"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2255">
              <w:rPr>
                <w:rFonts w:asciiTheme="minorHAnsi" w:hAnsiTheme="minorHAnsi" w:cstheme="minorHAnsi"/>
                <w:color w:val="auto"/>
              </w:rPr>
              <w:t xml:space="preserve">Aktivnost planirana kroz  Budžet CG </w:t>
            </w:r>
          </w:p>
        </w:tc>
      </w:tr>
    </w:tbl>
    <w:p w14:paraId="0BBEC764" w14:textId="77777777" w:rsidR="00F50788" w:rsidRDefault="00F50788" w:rsidP="00C4574D">
      <w:pPr>
        <w:rPr>
          <w:rFonts w:asciiTheme="minorHAnsi" w:hAnsiTheme="minorHAnsi" w:cstheme="minorHAnsi"/>
          <w:b/>
          <w:bCs/>
        </w:rPr>
      </w:pPr>
    </w:p>
    <w:p w14:paraId="1D5F0630" w14:textId="77777777" w:rsidR="00F50788" w:rsidRDefault="00F50788" w:rsidP="00C4574D">
      <w:pPr>
        <w:rPr>
          <w:rFonts w:asciiTheme="minorHAnsi" w:hAnsiTheme="minorHAnsi" w:cstheme="minorHAnsi"/>
          <w:b/>
          <w:bCs/>
        </w:rPr>
      </w:pPr>
    </w:p>
    <w:p w14:paraId="18F4AE08" w14:textId="77777777" w:rsidR="00F50788" w:rsidRDefault="00F50788" w:rsidP="00C4574D">
      <w:pPr>
        <w:rPr>
          <w:rFonts w:asciiTheme="minorHAnsi" w:hAnsiTheme="minorHAnsi" w:cstheme="minorHAnsi"/>
          <w:b/>
          <w:bCs/>
        </w:rPr>
      </w:pPr>
    </w:p>
    <w:p w14:paraId="10E9AA3B" w14:textId="77777777" w:rsidR="00F50788" w:rsidRDefault="00F50788" w:rsidP="00C4574D">
      <w:pPr>
        <w:rPr>
          <w:rFonts w:asciiTheme="minorHAnsi" w:hAnsiTheme="minorHAnsi" w:cstheme="minorHAnsi"/>
          <w:b/>
          <w:bCs/>
        </w:rPr>
      </w:pPr>
    </w:p>
    <w:p w14:paraId="4DDB2E49" w14:textId="7DC530AF" w:rsidR="00C4574D" w:rsidRPr="00C86111" w:rsidRDefault="00C4574D" w:rsidP="00C4574D">
      <w:pPr>
        <w:rPr>
          <w:rFonts w:asciiTheme="minorHAnsi" w:hAnsiTheme="minorHAnsi" w:cstheme="minorHAnsi"/>
          <w:b/>
          <w:bCs/>
        </w:rPr>
      </w:pPr>
      <w:r w:rsidRPr="00C86111">
        <w:rPr>
          <w:rFonts w:asciiTheme="minorHAnsi" w:hAnsiTheme="minorHAnsi" w:cstheme="minorHAnsi"/>
          <w:b/>
          <w:bCs/>
        </w:rPr>
        <w:t xml:space="preserve">Operativni cilj </w:t>
      </w:r>
      <w:r w:rsidR="003B38C2">
        <w:rPr>
          <w:rFonts w:asciiTheme="minorHAnsi" w:hAnsiTheme="minorHAnsi" w:cstheme="minorHAnsi"/>
          <w:b/>
          <w:bCs/>
        </w:rPr>
        <w:t>2</w:t>
      </w:r>
      <w:r w:rsidRPr="00C86111">
        <w:rPr>
          <w:rFonts w:asciiTheme="minorHAnsi" w:hAnsiTheme="minorHAnsi" w:cstheme="minorHAnsi"/>
          <w:b/>
          <w:bCs/>
        </w:rPr>
        <w:t>: Humani biomonitoring i komunikacija rizika</w:t>
      </w:r>
    </w:p>
    <w:tbl>
      <w:tblPr>
        <w:tblStyle w:val="GridTable4-Accent6"/>
        <w:tblW w:w="0" w:type="auto"/>
        <w:tblLook w:val="04A0" w:firstRow="1" w:lastRow="0" w:firstColumn="1" w:lastColumn="0" w:noHBand="0" w:noVBand="1"/>
      </w:tblPr>
      <w:tblGrid>
        <w:gridCol w:w="3590"/>
        <w:gridCol w:w="1838"/>
        <w:gridCol w:w="498"/>
        <w:gridCol w:w="498"/>
        <w:gridCol w:w="2821"/>
        <w:gridCol w:w="1658"/>
        <w:gridCol w:w="2047"/>
      </w:tblGrid>
      <w:tr w:rsidR="00C4574D" w:rsidRPr="00C86111" w14:paraId="5333017D"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22A70F"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2F6FB89A"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6C09B0BA"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gridSpan w:val="2"/>
            <w:hideMark/>
          </w:tcPr>
          <w:p w14:paraId="4ACDC608"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3477E169"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CCF76B"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Uspostavljen program humanog biomonitoringa</w:t>
            </w:r>
          </w:p>
        </w:tc>
        <w:tc>
          <w:tcPr>
            <w:tcW w:w="0" w:type="auto"/>
            <w:gridSpan w:val="2"/>
            <w:hideMark/>
          </w:tcPr>
          <w:p w14:paraId="603CA9FF"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Ne postoji</w:t>
            </w:r>
          </w:p>
        </w:tc>
        <w:tc>
          <w:tcPr>
            <w:tcW w:w="0" w:type="auto"/>
            <w:gridSpan w:val="2"/>
            <w:hideMark/>
          </w:tcPr>
          <w:p w14:paraId="12528B95"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Pilot program</w:t>
            </w:r>
          </w:p>
        </w:tc>
        <w:tc>
          <w:tcPr>
            <w:tcW w:w="0" w:type="auto"/>
            <w:gridSpan w:val="2"/>
            <w:hideMark/>
          </w:tcPr>
          <w:p w14:paraId="03C194D8"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Redovan, sistematski biomonitoring</w:t>
            </w:r>
          </w:p>
        </w:tc>
      </w:tr>
      <w:tr w:rsidR="00C4574D" w:rsidRPr="00C86111" w14:paraId="6F918E82" w14:textId="77777777" w:rsidTr="00033AB8">
        <w:tc>
          <w:tcPr>
            <w:cnfStyle w:val="001000000000" w:firstRow="0" w:lastRow="0" w:firstColumn="1" w:lastColumn="0" w:oddVBand="0" w:evenVBand="0" w:oddHBand="0" w:evenHBand="0" w:firstRowFirstColumn="0" w:firstRowLastColumn="0" w:lastRowFirstColumn="0" w:lastRowLastColumn="0"/>
            <w:tcW w:w="0" w:type="auto"/>
            <w:hideMark/>
          </w:tcPr>
          <w:p w14:paraId="760F42CC"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kampanja i materijala za podizanje svijesti javnosti</w:t>
            </w:r>
          </w:p>
        </w:tc>
        <w:tc>
          <w:tcPr>
            <w:tcW w:w="0" w:type="auto"/>
            <w:gridSpan w:val="2"/>
            <w:hideMark/>
          </w:tcPr>
          <w:p w14:paraId="42827B27"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Ograničeno</w:t>
            </w:r>
          </w:p>
        </w:tc>
        <w:tc>
          <w:tcPr>
            <w:tcW w:w="0" w:type="auto"/>
            <w:gridSpan w:val="2"/>
            <w:hideMark/>
          </w:tcPr>
          <w:p w14:paraId="22BB688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2 kampanje</w:t>
            </w:r>
          </w:p>
        </w:tc>
        <w:tc>
          <w:tcPr>
            <w:tcW w:w="0" w:type="auto"/>
            <w:gridSpan w:val="2"/>
            <w:hideMark/>
          </w:tcPr>
          <w:p w14:paraId="0AA4CE78"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Kontinuirane aktivnosti i široka dostupnost informacija</w:t>
            </w:r>
          </w:p>
        </w:tc>
      </w:tr>
      <w:tr w:rsidR="00C4574D" w:rsidRPr="00C86111" w14:paraId="4FD1BF45" w14:textId="77777777" w:rsidTr="00F5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6A703B"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59605E80"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realizacije</w:t>
            </w:r>
          </w:p>
        </w:tc>
        <w:tc>
          <w:tcPr>
            <w:tcW w:w="875" w:type="dxa"/>
            <w:gridSpan w:val="2"/>
            <w:hideMark/>
          </w:tcPr>
          <w:p w14:paraId="611630E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Datum početka</w:t>
            </w:r>
          </w:p>
        </w:tc>
        <w:tc>
          <w:tcPr>
            <w:tcW w:w="2204" w:type="dxa"/>
            <w:hideMark/>
          </w:tcPr>
          <w:p w14:paraId="2B5E4CE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0" w:type="auto"/>
            <w:hideMark/>
          </w:tcPr>
          <w:p w14:paraId="5BB83A77"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Planirani završetak</w:t>
            </w:r>
          </w:p>
        </w:tc>
        <w:tc>
          <w:tcPr>
            <w:tcW w:w="0" w:type="auto"/>
            <w:hideMark/>
          </w:tcPr>
          <w:p w14:paraId="45A7C232"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C86111" w14:paraId="08BE781F" w14:textId="77777777" w:rsidTr="00F50788">
        <w:tc>
          <w:tcPr>
            <w:cnfStyle w:val="001000000000" w:firstRow="0" w:lastRow="0" w:firstColumn="1" w:lastColumn="0" w:oddVBand="0" w:evenVBand="0" w:oddHBand="0" w:evenHBand="0" w:firstRowFirstColumn="0" w:firstRowLastColumn="0" w:lastRowFirstColumn="0" w:lastRowLastColumn="0"/>
            <w:tcW w:w="0" w:type="auto"/>
            <w:hideMark/>
          </w:tcPr>
          <w:p w14:paraId="3CA3A25E" w14:textId="5391325C" w:rsidR="00C4574D" w:rsidRPr="00C86111" w:rsidRDefault="003B38C2" w:rsidP="00033AB8">
            <w:pPr>
              <w:rPr>
                <w:rFonts w:asciiTheme="minorHAnsi" w:hAnsiTheme="minorHAnsi" w:cstheme="minorHAnsi"/>
              </w:rPr>
            </w:pPr>
            <w:r>
              <w:rPr>
                <w:rFonts w:asciiTheme="minorHAnsi" w:hAnsiTheme="minorHAnsi" w:cstheme="minorHAnsi"/>
              </w:rPr>
              <w:t>2</w:t>
            </w:r>
            <w:r w:rsidR="00C4574D" w:rsidRPr="00C86111">
              <w:rPr>
                <w:rFonts w:asciiTheme="minorHAnsi" w:hAnsiTheme="minorHAnsi" w:cstheme="minorHAnsi"/>
              </w:rPr>
              <w:t>.1 Uspostavljanje programa humanog biomonitoringa za rizične populacije</w:t>
            </w:r>
          </w:p>
        </w:tc>
        <w:tc>
          <w:tcPr>
            <w:tcW w:w="0" w:type="auto"/>
            <w:hideMark/>
          </w:tcPr>
          <w:p w14:paraId="6C98C3FE" w14:textId="582F0813"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Ministarstvo zdravlja</w:t>
            </w:r>
          </w:p>
        </w:tc>
        <w:tc>
          <w:tcPr>
            <w:tcW w:w="875" w:type="dxa"/>
            <w:gridSpan w:val="2"/>
            <w:hideMark/>
          </w:tcPr>
          <w:p w14:paraId="3BA3CAEE" w14:textId="15764E2C"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w:t>
            </w:r>
            <w:r w:rsidR="00B5295B">
              <w:rPr>
                <w:rFonts w:asciiTheme="minorHAnsi" w:hAnsiTheme="minorHAnsi" w:cstheme="minorHAnsi"/>
              </w:rPr>
              <w:t>7</w:t>
            </w:r>
          </w:p>
        </w:tc>
        <w:tc>
          <w:tcPr>
            <w:tcW w:w="2204" w:type="dxa"/>
            <w:hideMark/>
          </w:tcPr>
          <w:p w14:paraId="15ACD66B"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Izvještaji i rezultati biomonitoringa</w:t>
            </w:r>
          </w:p>
        </w:tc>
        <w:tc>
          <w:tcPr>
            <w:tcW w:w="0" w:type="auto"/>
            <w:hideMark/>
          </w:tcPr>
          <w:p w14:paraId="22AA851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Kontinuirano</w:t>
            </w:r>
          </w:p>
        </w:tc>
        <w:tc>
          <w:tcPr>
            <w:tcW w:w="0" w:type="auto"/>
            <w:hideMark/>
          </w:tcPr>
          <w:p w14:paraId="618D22BC" w14:textId="77777777" w:rsidR="00A916C3" w:rsidRDefault="00A916C3" w:rsidP="00A916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86111">
              <w:rPr>
                <w:rFonts w:asciiTheme="minorHAnsi" w:hAnsiTheme="minorHAnsi" w:cstheme="minorHAnsi"/>
              </w:rPr>
              <w:t xml:space="preserve">Državni budžet / </w:t>
            </w:r>
            <w:r w:rsidRPr="00A916C3">
              <w:rPr>
                <w:rFonts w:asciiTheme="minorHAnsi" w:hAnsiTheme="minorHAnsi" w:cstheme="minorHAnsi"/>
                <w:color w:val="auto"/>
              </w:rPr>
              <w:t>GEF, UNEP, UNDP</w:t>
            </w:r>
          </w:p>
          <w:p w14:paraId="3B5067A6" w14:textId="2B437B75" w:rsidR="00A916C3" w:rsidRPr="00A916C3" w:rsidRDefault="00A916C3" w:rsidP="00A916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916C3">
              <w:rPr>
                <w:rFonts w:asciiTheme="minorHAnsi" w:hAnsiTheme="minorHAnsi" w:cstheme="minorHAnsi"/>
                <w:color w:val="auto"/>
              </w:rPr>
              <w:t>100.000€</w:t>
            </w:r>
          </w:p>
          <w:p w14:paraId="02BF8784" w14:textId="456F7FF8"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CC07B19" w14:textId="77777777" w:rsidR="00E65986" w:rsidRDefault="00E65986" w:rsidP="00C4574D">
      <w:pPr>
        <w:rPr>
          <w:rFonts w:asciiTheme="minorHAnsi" w:hAnsiTheme="minorHAnsi" w:cstheme="minorHAnsi"/>
          <w:b/>
          <w:bCs/>
        </w:rPr>
      </w:pPr>
    </w:p>
    <w:p w14:paraId="3EC98A36" w14:textId="771C1868" w:rsidR="00C4574D" w:rsidRPr="00C86111" w:rsidRDefault="00C4574D" w:rsidP="00C4574D">
      <w:pPr>
        <w:rPr>
          <w:rFonts w:asciiTheme="minorHAnsi" w:hAnsiTheme="minorHAnsi" w:cstheme="minorHAnsi"/>
          <w:b/>
          <w:bCs/>
        </w:rPr>
      </w:pPr>
      <w:r w:rsidRPr="00E65986">
        <w:rPr>
          <w:rFonts w:asciiTheme="minorHAnsi" w:hAnsiTheme="minorHAnsi" w:cstheme="minorHAnsi"/>
          <w:b/>
          <w:bCs/>
          <w:color w:val="002060"/>
        </w:rPr>
        <w:t xml:space="preserve">STRATEŠKI CILJ </w:t>
      </w:r>
      <w:r w:rsidR="00E65986" w:rsidRPr="00E65986">
        <w:rPr>
          <w:rFonts w:asciiTheme="minorHAnsi" w:hAnsiTheme="minorHAnsi" w:cstheme="minorHAnsi"/>
          <w:b/>
          <w:bCs/>
          <w:color w:val="002060"/>
        </w:rPr>
        <w:t>6</w:t>
      </w:r>
      <w:r w:rsidRPr="00E65986">
        <w:rPr>
          <w:rFonts w:asciiTheme="minorHAnsi" w:hAnsiTheme="minorHAnsi" w:cstheme="minorHAnsi"/>
          <w:b/>
          <w:bCs/>
          <w:color w:val="002060"/>
        </w:rPr>
        <w:t xml:space="preserve">: </w:t>
      </w:r>
      <w:r w:rsidRPr="00C86111">
        <w:rPr>
          <w:rFonts w:asciiTheme="minorHAnsi" w:hAnsiTheme="minorHAnsi" w:cstheme="minorHAnsi"/>
          <w:b/>
          <w:bCs/>
        </w:rPr>
        <w:t>Unaprijediti javno razumijevanje i svijest o opasnostima POPs i drugih opasnih hemikalija, kroz institucionalno koordinisane aktivnosti, civilni sektor i obrazovanje, radi zaštite zdravlja ljudi i životne sredine.</w:t>
      </w:r>
    </w:p>
    <w:p w14:paraId="54C8212B" w14:textId="77777777" w:rsidR="00C4574D" w:rsidRPr="00C86111" w:rsidRDefault="00C4574D" w:rsidP="00C4574D">
      <w:pPr>
        <w:rPr>
          <w:rFonts w:asciiTheme="minorHAnsi" w:hAnsiTheme="minorHAnsi" w:cstheme="minorHAnsi"/>
          <w:b/>
          <w:bCs/>
        </w:rPr>
      </w:pPr>
    </w:p>
    <w:p w14:paraId="68427F5F" w14:textId="0727DAC3" w:rsidR="00C4574D" w:rsidRPr="00C86111" w:rsidRDefault="00C4574D" w:rsidP="00C4574D">
      <w:pPr>
        <w:rPr>
          <w:rFonts w:asciiTheme="minorHAnsi" w:hAnsiTheme="minorHAnsi" w:cstheme="minorHAnsi"/>
        </w:rPr>
      </w:pPr>
      <w:r w:rsidRPr="00C86111">
        <w:rPr>
          <w:rFonts w:asciiTheme="minorHAnsi" w:hAnsiTheme="minorHAnsi" w:cstheme="minorHAnsi"/>
          <w:b/>
          <w:bCs/>
        </w:rPr>
        <w:t xml:space="preserve">Operativni cilj </w:t>
      </w:r>
      <w:r w:rsidR="003B38C2">
        <w:rPr>
          <w:rFonts w:asciiTheme="minorHAnsi" w:hAnsiTheme="minorHAnsi" w:cstheme="minorHAnsi"/>
          <w:b/>
          <w:bCs/>
        </w:rPr>
        <w:t>1</w:t>
      </w:r>
      <w:r w:rsidRPr="00C86111">
        <w:rPr>
          <w:rFonts w:asciiTheme="minorHAnsi" w:hAnsiTheme="minorHAnsi" w:cstheme="minorHAnsi"/>
          <w:b/>
          <w:bCs/>
        </w:rPr>
        <w:t xml:space="preserve">: </w:t>
      </w:r>
      <w:r w:rsidRPr="00C86111">
        <w:rPr>
          <w:rFonts w:asciiTheme="minorHAnsi" w:hAnsiTheme="minorHAnsi" w:cstheme="minorHAnsi"/>
        </w:rPr>
        <w:t>Podstaći aktivno učešće civilnog društva i NVO u podizanju svijesti i razmjeni informacija o POPs.</w:t>
      </w:r>
    </w:p>
    <w:tbl>
      <w:tblPr>
        <w:tblStyle w:val="GridTable4-Accent6"/>
        <w:tblW w:w="0" w:type="auto"/>
        <w:tblLook w:val="04A0" w:firstRow="1" w:lastRow="0" w:firstColumn="1" w:lastColumn="0" w:noHBand="0" w:noVBand="1"/>
      </w:tblPr>
      <w:tblGrid>
        <w:gridCol w:w="5064"/>
        <w:gridCol w:w="2594"/>
        <w:gridCol w:w="2671"/>
        <w:gridCol w:w="2371"/>
      </w:tblGrid>
      <w:tr w:rsidR="00C4574D" w:rsidRPr="00C86111" w14:paraId="6F7672B0"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2D29D1"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hideMark/>
          </w:tcPr>
          <w:p w14:paraId="66AA17E2" w14:textId="5CF5543E"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w:t>
            </w:r>
            <w:r w:rsidR="00E65986">
              <w:rPr>
                <w:rFonts w:asciiTheme="minorHAnsi" w:hAnsiTheme="minorHAnsi" w:cstheme="minorHAnsi"/>
              </w:rPr>
              <w:t>6</w:t>
            </w:r>
          </w:p>
        </w:tc>
        <w:tc>
          <w:tcPr>
            <w:tcW w:w="0" w:type="auto"/>
            <w:hideMark/>
          </w:tcPr>
          <w:p w14:paraId="26631497"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hideMark/>
          </w:tcPr>
          <w:p w14:paraId="4219B661"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1E5A96F7"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AC6C5"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aktivnih NVO uključenih u kampanje o POPs</w:t>
            </w:r>
          </w:p>
        </w:tc>
        <w:tc>
          <w:tcPr>
            <w:tcW w:w="0" w:type="auto"/>
            <w:hideMark/>
          </w:tcPr>
          <w:p w14:paraId="54483EB8" w14:textId="03C4A217" w:rsidR="00C4574D" w:rsidRPr="00C86111" w:rsidRDefault="00E65986"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0" w:type="auto"/>
          </w:tcPr>
          <w:p w14:paraId="729AF9CC" w14:textId="62C821A8" w:rsidR="00C4574D" w:rsidRPr="00C86111" w:rsidRDefault="00E65986"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w:t>
            </w:r>
          </w:p>
        </w:tc>
        <w:tc>
          <w:tcPr>
            <w:tcW w:w="0" w:type="auto"/>
          </w:tcPr>
          <w:p w14:paraId="3E6E08F6" w14:textId="32C004C5" w:rsidR="00C4574D" w:rsidRPr="00C86111" w:rsidRDefault="00E65986"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r>
    </w:tbl>
    <w:p w14:paraId="145E5428" w14:textId="1DDA8730" w:rsidR="00C4574D" w:rsidRPr="00E65986" w:rsidRDefault="00C4574D" w:rsidP="00C4574D">
      <w:pPr>
        <w:rPr>
          <w:rFonts w:asciiTheme="minorHAnsi" w:hAnsiTheme="minorHAnsi" w:cstheme="minorHAnsi"/>
          <w:b/>
          <w:bCs/>
          <w:vanish/>
        </w:rPr>
      </w:pPr>
    </w:p>
    <w:tbl>
      <w:tblPr>
        <w:tblStyle w:val="GridTable4-Accent6"/>
        <w:tblW w:w="0" w:type="auto"/>
        <w:tblLook w:val="04A0" w:firstRow="1" w:lastRow="0" w:firstColumn="1" w:lastColumn="0" w:noHBand="0" w:noVBand="1"/>
      </w:tblPr>
      <w:tblGrid>
        <w:gridCol w:w="3956"/>
        <w:gridCol w:w="1011"/>
        <w:gridCol w:w="1472"/>
        <w:gridCol w:w="1585"/>
        <w:gridCol w:w="2681"/>
        <w:gridCol w:w="2245"/>
      </w:tblGrid>
      <w:tr w:rsidR="00C4574D" w:rsidRPr="00E65986" w14:paraId="30E68567" w14:textId="77777777" w:rsidTr="00033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CF2E85" w14:textId="77777777" w:rsidR="00C4574D" w:rsidRPr="00E65986" w:rsidRDefault="00C4574D" w:rsidP="00033AB8">
            <w:pPr>
              <w:rPr>
                <w:rFonts w:asciiTheme="minorHAnsi" w:hAnsiTheme="minorHAnsi" w:cstheme="minorHAnsi"/>
              </w:rPr>
            </w:pPr>
            <w:r w:rsidRPr="00E65986">
              <w:rPr>
                <w:rFonts w:asciiTheme="minorHAnsi" w:hAnsiTheme="minorHAnsi" w:cstheme="minorHAnsi"/>
              </w:rPr>
              <w:t>Aktivnost</w:t>
            </w:r>
          </w:p>
        </w:tc>
        <w:tc>
          <w:tcPr>
            <w:tcW w:w="0" w:type="auto"/>
            <w:hideMark/>
          </w:tcPr>
          <w:p w14:paraId="04384956" w14:textId="77777777" w:rsidR="00C4574D" w:rsidRPr="00E65986"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5986">
              <w:rPr>
                <w:rFonts w:asciiTheme="minorHAnsi" w:hAnsiTheme="minorHAnsi" w:cstheme="minorHAnsi"/>
              </w:rPr>
              <w:t>Početak</w:t>
            </w:r>
          </w:p>
        </w:tc>
        <w:tc>
          <w:tcPr>
            <w:tcW w:w="0" w:type="auto"/>
            <w:hideMark/>
          </w:tcPr>
          <w:p w14:paraId="7E621160" w14:textId="77777777" w:rsidR="00C4574D" w:rsidRPr="00E65986"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5986">
              <w:rPr>
                <w:rFonts w:asciiTheme="minorHAnsi" w:hAnsiTheme="minorHAnsi" w:cstheme="minorHAnsi"/>
              </w:rPr>
              <w:t>Završetak</w:t>
            </w:r>
          </w:p>
        </w:tc>
        <w:tc>
          <w:tcPr>
            <w:tcW w:w="0" w:type="auto"/>
            <w:hideMark/>
          </w:tcPr>
          <w:p w14:paraId="13419C5C" w14:textId="77777777" w:rsidR="00C4574D" w:rsidRPr="00E65986"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5986">
              <w:rPr>
                <w:rFonts w:asciiTheme="minorHAnsi" w:hAnsiTheme="minorHAnsi" w:cstheme="minorHAnsi"/>
              </w:rPr>
              <w:t>Nosioci aktivnosti</w:t>
            </w:r>
          </w:p>
        </w:tc>
        <w:tc>
          <w:tcPr>
            <w:tcW w:w="2681" w:type="dxa"/>
            <w:hideMark/>
          </w:tcPr>
          <w:p w14:paraId="57182FCA" w14:textId="77777777" w:rsidR="00C4574D" w:rsidRPr="00E65986"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5986">
              <w:rPr>
                <w:rFonts w:asciiTheme="minorHAnsi" w:hAnsiTheme="minorHAnsi" w:cstheme="minorHAnsi"/>
              </w:rPr>
              <w:t>Indikator rezultata</w:t>
            </w:r>
          </w:p>
        </w:tc>
        <w:tc>
          <w:tcPr>
            <w:tcW w:w="2245" w:type="dxa"/>
            <w:hideMark/>
          </w:tcPr>
          <w:p w14:paraId="55EE4554" w14:textId="77777777" w:rsidR="00C4574D" w:rsidRPr="00E65986"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5986">
              <w:rPr>
                <w:rFonts w:asciiTheme="minorHAnsi" w:hAnsiTheme="minorHAnsi" w:cstheme="minorHAnsi"/>
              </w:rPr>
              <w:t>Izvor finansiranja</w:t>
            </w:r>
          </w:p>
        </w:tc>
      </w:tr>
      <w:tr w:rsidR="009A331D" w:rsidRPr="003B38C2" w14:paraId="5DF05EAD" w14:textId="77777777" w:rsidTr="00033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988AC0" w14:textId="63A32F12" w:rsidR="009A331D" w:rsidRPr="003B38C2" w:rsidRDefault="003B38C2" w:rsidP="00033AB8">
            <w:pPr>
              <w:rPr>
                <w:rFonts w:asciiTheme="minorHAnsi" w:hAnsiTheme="minorHAnsi" w:cstheme="minorHAnsi"/>
              </w:rPr>
            </w:pPr>
            <w:r>
              <w:rPr>
                <w:rFonts w:asciiTheme="minorHAnsi" w:hAnsiTheme="minorHAnsi" w:cstheme="minorHAnsi"/>
              </w:rPr>
              <w:t>1</w:t>
            </w:r>
            <w:r w:rsidR="009A331D" w:rsidRPr="003B38C2">
              <w:rPr>
                <w:rFonts w:asciiTheme="minorHAnsi" w:hAnsiTheme="minorHAnsi" w:cstheme="minorHAnsi"/>
              </w:rPr>
              <w:t>.1 Jačanje kapaciteta NVO za komunikaciju i edukaciju o POPs</w:t>
            </w:r>
          </w:p>
        </w:tc>
        <w:tc>
          <w:tcPr>
            <w:tcW w:w="0" w:type="auto"/>
            <w:hideMark/>
          </w:tcPr>
          <w:p w14:paraId="750FA26A" w14:textId="5B2130A6"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202</w:t>
            </w:r>
            <w:r w:rsidR="00E65986">
              <w:rPr>
                <w:rFonts w:asciiTheme="minorHAnsi" w:hAnsiTheme="minorHAnsi" w:cstheme="minorHAnsi"/>
              </w:rPr>
              <w:t>6</w:t>
            </w:r>
          </w:p>
        </w:tc>
        <w:tc>
          <w:tcPr>
            <w:tcW w:w="0" w:type="auto"/>
            <w:hideMark/>
          </w:tcPr>
          <w:p w14:paraId="73D6C553" w14:textId="7390492E"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202</w:t>
            </w:r>
            <w:r w:rsidR="00E65986">
              <w:rPr>
                <w:rFonts w:asciiTheme="minorHAnsi" w:hAnsiTheme="minorHAnsi" w:cstheme="minorHAnsi"/>
              </w:rPr>
              <w:t>7</w:t>
            </w:r>
          </w:p>
        </w:tc>
        <w:tc>
          <w:tcPr>
            <w:tcW w:w="0" w:type="auto"/>
            <w:hideMark/>
          </w:tcPr>
          <w:p w14:paraId="115CF512" w14:textId="77777777"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AZŽS, Koalicija 27</w:t>
            </w:r>
          </w:p>
        </w:tc>
        <w:tc>
          <w:tcPr>
            <w:tcW w:w="2681" w:type="dxa"/>
            <w:hideMark/>
          </w:tcPr>
          <w:p w14:paraId="36326704" w14:textId="77777777"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Broj obučenih NVO i izrađenih materijala</w:t>
            </w:r>
          </w:p>
        </w:tc>
        <w:tc>
          <w:tcPr>
            <w:tcW w:w="2245" w:type="dxa"/>
            <w:vMerge w:val="restart"/>
            <w:hideMark/>
          </w:tcPr>
          <w:p w14:paraId="46A6D620" w14:textId="77777777"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Budžet CG/GEF, UNDP, IPA</w:t>
            </w:r>
          </w:p>
          <w:p w14:paraId="09716305" w14:textId="4F9BEB93"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color w:val="auto"/>
              </w:rPr>
              <w:t>50.000€</w:t>
            </w:r>
          </w:p>
        </w:tc>
      </w:tr>
      <w:tr w:rsidR="009A331D" w:rsidRPr="00B5295B" w14:paraId="13072CD3" w14:textId="77777777" w:rsidTr="009A331D">
        <w:tc>
          <w:tcPr>
            <w:cnfStyle w:val="001000000000" w:firstRow="0" w:lastRow="0" w:firstColumn="1" w:lastColumn="0" w:oddVBand="0" w:evenVBand="0" w:oddHBand="0" w:evenHBand="0" w:firstRowFirstColumn="0" w:firstRowLastColumn="0" w:lastRowFirstColumn="0" w:lastRowLastColumn="0"/>
            <w:tcW w:w="0" w:type="auto"/>
            <w:hideMark/>
          </w:tcPr>
          <w:p w14:paraId="696D04F6" w14:textId="04593E0B" w:rsidR="009A331D" w:rsidRPr="003B38C2" w:rsidRDefault="003B38C2" w:rsidP="00033AB8">
            <w:pPr>
              <w:rPr>
                <w:rFonts w:asciiTheme="minorHAnsi" w:hAnsiTheme="minorHAnsi" w:cstheme="minorHAnsi"/>
              </w:rPr>
            </w:pPr>
            <w:r>
              <w:rPr>
                <w:rFonts w:asciiTheme="minorHAnsi" w:hAnsiTheme="minorHAnsi" w:cstheme="minorHAnsi"/>
              </w:rPr>
              <w:t>1</w:t>
            </w:r>
            <w:r w:rsidR="009A331D" w:rsidRPr="003B38C2">
              <w:rPr>
                <w:rFonts w:asciiTheme="minorHAnsi" w:hAnsiTheme="minorHAnsi" w:cstheme="minorHAnsi"/>
              </w:rPr>
              <w:t>.2 Realizacija zajedničkih kampanja NVO i institucija</w:t>
            </w:r>
          </w:p>
        </w:tc>
        <w:tc>
          <w:tcPr>
            <w:tcW w:w="0" w:type="auto"/>
            <w:hideMark/>
          </w:tcPr>
          <w:p w14:paraId="166443B6" w14:textId="1F8C9B07" w:rsidR="009A331D" w:rsidRPr="003B38C2" w:rsidRDefault="009A331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202</w:t>
            </w:r>
            <w:r w:rsidR="00E65986">
              <w:rPr>
                <w:rFonts w:asciiTheme="minorHAnsi" w:hAnsiTheme="minorHAnsi" w:cstheme="minorHAnsi"/>
              </w:rPr>
              <w:t>6</w:t>
            </w:r>
          </w:p>
        </w:tc>
        <w:tc>
          <w:tcPr>
            <w:tcW w:w="0" w:type="auto"/>
            <w:hideMark/>
          </w:tcPr>
          <w:p w14:paraId="1F8657A3" w14:textId="77777777" w:rsidR="009A331D" w:rsidRPr="003B38C2" w:rsidRDefault="009A331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2027</w:t>
            </w:r>
          </w:p>
        </w:tc>
        <w:tc>
          <w:tcPr>
            <w:tcW w:w="0" w:type="auto"/>
            <w:hideMark/>
          </w:tcPr>
          <w:p w14:paraId="7FDCDCBB" w14:textId="77777777" w:rsidR="009A331D" w:rsidRPr="003B38C2" w:rsidRDefault="009A331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AZŽS, Koalicija 27</w:t>
            </w:r>
          </w:p>
        </w:tc>
        <w:tc>
          <w:tcPr>
            <w:tcW w:w="2681" w:type="dxa"/>
            <w:hideMark/>
          </w:tcPr>
          <w:p w14:paraId="570CEDF0" w14:textId="77777777" w:rsidR="009A331D" w:rsidRPr="003B38C2" w:rsidRDefault="009A331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Broj kampanja i dostignutih ciljnih grupa</w:t>
            </w:r>
          </w:p>
        </w:tc>
        <w:tc>
          <w:tcPr>
            <w:tcW w:w="2245" w:type="dxa"/>
            <w:vMerge/>
          </w:tcPr>
          <w:p w14:paraId="757B3758" w14:textId="3E688BDB" w:rsidR="009A331D" w:rsidRPr="003B38C2" w:rsidRDefault="009A331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A331D" w:rsidRPr="00C86111" w14:paraId="2B518E93" w14:textId="77777777" w:rsidTr="009A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F45E4" w14:textId="1FEFD04B" w:rsidR="009A331D" w:rsidRPr="003B38C2" w:rsidRDefault="003B38C2" w:rsidP="00033AB8">
            <w:pPr>
              <w:rPr>
                <w:rFonts w:asciiTheme="minorHAnsi" w:hAnsiTheme="minorHAnsi" w:cstheme="minorHAnsi"/>
              </w:rPr>
            </w:pPr>
            <w:r w:rsidRPr="003B38C2">
              <w:rPr>
                <w:rFonts w:asciiTheme="minorHAnsi" w:hAnsiTheme="minorHAnsi" w:cstheme="minorHAnsi"/>
              </w:rPr>
              <w:t>1</w:t>
            </w:r>
            <w:r w:rsidR="009A331D" w:rsidRPr="003B38C2">
              <w:rPr>
                <w:rFonts w:asciiTheme="minorHAnsi" w:hAnsiTheme="minorHAnsi" w:cstheme="minorHAnsi"/>
              </w:rPr>
              <w:t>.3 Publikacija i distribucija brošura, vodiča i online materijala</w:t>
            </w:r>
          </w:p>
        </w:tc>
        <w:tc>
          <w:tcPr>
            <w:tcW w:w="0" w:type="auto"/>
            <w:hideMark/>
          </w:tcPr>
          <w:p w14:paraId="1D38E7E3" w14:textId="29603723"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202</w:t>
            </w:r>
            <w:r w:rsidR="00E65986">
              <w:rPr>
                <w:rFonts w:asciiTheme="minorHAnsi" w:hAnsiTheme="minorHAnsi" w:cstheme="minorHAnsi"/>
              </w:rPr>
              <w:t>6</w:t>
            </w:r>
          </w:p>
        </w:tc>
        <w:tc>
          <w:tcPr>
            <w:tcW w:w="0" w:type="auto"/>
            <w:hideMark/>
          </w:tcPr>
          <w:p w14:paraId="2B24C1D0" w14:textId="77777777"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kontinuirano</w:t>
            </w:r>
          </w:p>
        </w:tc>
        <w:tc>
          <w:tcPr>
            <w:tcW w:w="0" w:type="auto"/>
            <w:hideMark/>
          </w:tcPr>
          <w:p w14:paraId="3C2C13F1" w14:textId="77777777"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AZŽS, NVO</w:t>
            </w:r>
          </w:p>
        </w:tc>
        <w:tc>
          <w:tcPr>
            <w:tcW w:w="2681" w:type="dxa"/>
            <w:hideMark/>
          </w:tcPr>
          <w:p w14:paraId="0205D40E" w14:textId="77777777" w:rsidR="009A331D" w:rsidRPr="003B38C2"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38C2">
              <w:rPr>
                <w:rFonts w:asciiTheme="minorHAnsi" w:hAnsiTheme="minorHAnsi" w:cstheme="minorHAnsi"/>
              </w:rPr>
              <w:t>Broj distribuiranih publikacija</w:t>
            </w:r>
          </w:p>
        </w:tc>
        <w:tc>
          <w:tcPr>
            <w:tcW w:w="2245" w:type="dxa"/>
            <w:vMerge/>
          </w:tcPr>
          <w:p w14:paraId="3046E87B" w14:textId="4BCA32CA" w:rsidR="009A331D" w:rsidRPr="00C86111" w:rsidRDefault="009A331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72D779B6" w14:textId="77777777" w:rsidR="00C4574D" w:rsidRPr="00C86111" w:rsidRDefault="00C4574D" w:rsidP="00C4574D">
      <w:pPr>
        <w:rPr>
          <w:rFonts w:asciiTheme="minorHAnsi" w:hAnsiTheme="minorHAnsi" w:cstheme="minorHAnsi"/>
          <w:vanish/>
        </w:rPr>
      </w:pPr>
    </w:p>
    <w:p w14:paraId="602224C8" w14:textId="54825AC5" w:rsidR="00C4574D" w:rsidRPr="00C86111" w:rsidRDefault="00C4574D" w:rsidP="00C4574D">
      <w:pPr>
        <w:rPr>
          <w:rFonts w:asciiTheme="minorHAnsi" w:hAnsiTheme="minorHAnsi" w:cstheme="minorHAnsi"/>
        </w:rPr>
      </w:pPr>
      <w:r w:rsidRPr="00C86111">
        <w:rPr>
          <w:rFonts w:asciiTheme="minorHAnsi" w:hAnsiTheme="minorHAnsi" w:cstheme="minorHAnsi"/>
          <w:b/>
          <w:bCs/>
        </w:rPr>
        <w:t xml:space="preserve">Operativni cilj  </w:t>
      </w:r>
      <w:r w:rsidR="003B38C2">
        <w:rPr>
          <w:rFonts w:asciiTheme="minorHAnsi" w:hAnsiTheme="minorHAnsi" w:cstheme="minorHAnsi"/>
          <w:b/>
          <w:bCs/>
        </w:rPr>
        <w:t>2</w:t>
      </w:r>
      <w:r w:rsidRPr="00C86111">
        <w:rPr>
          <w:rFonts w:asciiTheme="minorHAnsi" w:hAnsiTheme="minorHAnsi" w:cstheme="minorHAnsi"/>
          <w:b/>
          <w:bCs/>
        </w:rPr>
        <w:t xml:space="preserve">: </w:t>
      </w:r>
      <w:r w:rsidRPr="00C86111">
        <w:rPr>
          <w:rFonts w:asciiTheme="minorHAnsi" w:hAnsiTheme="minorHAnsi" w:cstheme="minorHAnsi"/>
        </w:rPr>
        <w:t>Podizanje svijesti i zaštita ranjivih grupa – povećati nivo svijesti javnosti i posebno ranjivih grupa o rizicima POP hemikalija, sa fokusom na neformalnu reciklažu i upravljanje otpadom.</w:t>
      </w:r>
    </w:p>
    <w:tbl>
      <w:tblPr>
        <w:tblStyle w:val="GridTable4-Accent6"/>
        <w:tblW w:w="12955" w:type="dxa"/>
        <w:tblLook w:val="04A0" w:firstRow="1" w:lastRow="0" w:firstColumn="1" w:lastColumn="0" w:noHBand="0" w:noVBand="1"/>
      </w:tblPr>
      <w:tblGrid>
        <w:gridCol w:w="4366"/>
        <w:gridCol w:w="1522"/>
        <w:gridCol w:w="1151"/>
        <w:gridCol w:w="2550"/>
        <w:gridCol w:w="1299"/>
        <w:gridCol w:w="2067"/>
      </w:tblGrid>
      <w:tr w:rsidR="00C4574D" w:rsidRPr="00C86111" w14:paraId="77E6ECEC" w14:textId="77777777" w:rsidTr="00E65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611816"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Indikator učinka</w:t>
            </w:r>
          </w:p>
        </w:tc>
        <w:tc>
          <w:tcPr>
            <w:tcW w:w="0" w:type="auto"/>
            <w:hideMark/>
          </w:tcPr>
          <w:p w14:paraId="7BE5EB3D"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3E7E8EE7"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3366" w:type="dxa"/>
            <w:gridSpan w:val="2"/>
            <w:hideMark/>
          </w:tcPr>
          <w:p w14:paraId="183D049E" w14:textId="77777777" w:rsidR="00C4574D" w:rsidRPr="00C86111" w:rsidRDefault="00C4574D" w:rsidP="00033A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C4574D" w:rsidRPr="00C86111" w14:paraId="2C702771" w14:textId="77777777" w:rsidTr="00E6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C1D88"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sprovedenih kampanja</w:t>
            </w:r>
          </w:p>
        </w:tc>
        <w:tc>
          <w:tcPr>
            <w:tcW w:w="0" w:type="auto"/>
            <w:hideMark/>
          </w:tcPr>
          <w:p w14:paraId="5EA5D7BA"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c>
          <w:tcPr>
            <w:tcW w:w="0" w:type="auto"/>
            <w:gridSpan w:val="2"/>
            <w:hideMark/>
          </w:tcPr>
          <w:p w14:paraId="1B51D503"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1</w:t>
            </w:r>
          </w:p>
        </w:tc>
        <w:tc>
          <w:tcPr>
            <w:tcW w:w="3366" w:type="dxa"/>
            <w:gridSpan w:val="2"/>
            <w:hideMark/>
          </w:tcPr>
          <w:p w14:paraId="2D6590C9"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Min. 3</w:t>
            </w:r>
          </w:p>
        </w:tc>
      </w:tr>
      <w:tr w:rsidR="00C4574D" w:rsidRPr="00C86111" w14:paraId="36306868" w14:textId="77777777" w:rsidTr="00E65986">
        <w:tc>
          <w:tcPr>
            <w:cnfStyle w:val="001000000000" w:firstRow="0" w:lastRow="0" w:firstColumn="1" w:lastColumn="0" w:oddVBand="0" w:evenVBand="0" w:oddHBand="0" w:evenHBand="0" w:firstRowFirstColumn="0" w:firstRowLastColumn="0" w:lastRowFirstColumn="0" w:lastRowLastColumn="0"/>
            <w:tcW w:w="0" w:type="auto"/>
            <w:hideMark/>
          </w:tcPr>
          <w:p w14:paraId="65A5EB45"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Broj uključenih pripadnika RAI populacije</w:t>
            </w:r>
          </w:p>
        </w:tc>
        <w:tc>
          <w:tcPr>
            <w:tcW w:w="0" w:type="auto"/>
            <w:hideMark/>
          </w:tcPr>
          <w:p w14:paraId="293FB260"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c>
          <w:tcPr>
            <w:tcW w:w="0" w:type="auto"/>
            <w:gridSpan w:val="2"/>
            <w:hideMark/>
          </w:tcPr>
          <w:p w14:paraId="0BAACD77"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c>
          <w:tcPr>
            <w:tcW w:w="3366" w:type="dxa"/>
            <w:gridSpan w:val="2"/>
            <w:hideMark/>
          </w:tcPr>
          <w:p w14:paraId="329917BC" w14:textId="77777777" w:rsidR="00C4574D" w:rsidRPr="00C86111"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w:t>
            </w:r>
          </w:p>
        </w:tc>
      </w:tr>
      <w:tr w:rsidR="00C4574D" w:rsidRPr="00C86111" w14:paraId="2297FBA4" w14:textId="77777777" w:rsidTr="00E65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52C7C1" w14:textId="77777777" w:rsidR="00C4574D" w:rsidRPr="00C86111" w:rsidRDefault="00C4574D" w:rsidP="00033AB8">
            <w:pPr>
              <w:rPr>
                <w:rFonts w:asciiTheme="minorHAnsi" w:hAnsiTheme="minorHAnsi" w:cstheme="minorHAnsi"/>
              </w:rPr>
            </w:pPr>
            <w:r w:rsidRPr="00C86111">
              <w:rPr>
                <w:rFonts w:asciiTheme="minorHAnsi" w:hAnsiTheme="minorHAnsi" w:cstheme="minorHAnsi"/>
              </w:rPr>
              <w:t>Aktivnost</w:t>
            </w:r>
          </w:p>
        </w:tc>
        <w:tc>
          <w:tcPr>
            <w:tcW w:w="0" w:type="auto"/>
            <w:hideMark/>
          </w:tcPr>
          <w:p w14:paraId="24C5DD1B"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realizacije</w:t>
            </w:r>
          </w:p>
        </w:tc>
        <w:tc>
          <w:tcPr>
            <w:tcW w:w="0" w:type="auto"/>
            <w:hideMark/>
          </w:tcPr>
          <w:p w14:paraId="55C00BCE"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Datum početka</w:t>
            </w:r>
          </w:p>
        </w:tc>
        <w:tc>
          <w:tcPr>
            <w:tcW w:w="0" w:type="auto"/>
            <w:hideMark/>
          </w:tcPr>
          <w:p w14:paraId="4391C41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1299" w:type="dxa"/>
            <w:hideMark/>
          </w:tcPr>
          <w:p w14:paraId="4A1D640D"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Planirani završetak</w:t>
            </w:r>
          </w:p>
        </w:tc>
        <w:tc>
          <w:tcPr>
            <w:tcW w:w="1615" w:type="dxa"/>
            <w:hideMark/>
          </w:tcPr>
          <w:p w14:paraId="6494268E" w14:textId="77777777" w:rsidR="00C4574D" w:rsidRPr="00C86111" w:rsidRDefault="00C4574D" w:rsidP="00033A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C4574D" w:rsidRPr="003B38C2" w14:paraId="3998BB1D" w14:textId="77777777" w:rsidTr="00E65986">
        <w:tc>
          <w:tcPr>
            <w:cnfStyle w:val="001000000000" w:firstRow="0" w:lastRow="0" w:firstColumn="1" w:lastColumn="0" w:oddVBand="0" w:evenVBand="0" w:oddHBand="0" w:evenHBand="0" w:firstRowFirstColumn="0" w:firstRowLastColumn="0" w:lastRowFirstColumn="0" w:lastRowLastColumn="0"/>
            <w:tcW w:w="0" w:type="auto"/>
            <w:hideMark/>
          </w:tcPr>
          <w:p w14:paraId="3DD92664" w14:textId="008DD2A6" w:rsidR="00C4574D" w:rsidRPr="003B38C2" w:rsidRDefault="003B38C2" w:rsidP="00033AB8">
            <w:pPr>
              <w:rPr>
                <w:rFonts w:asciiTheme="minorHAnsi" w:hAnsiTheme="minorHAnsi" w:cstheme="minorHAnsi"/>
                <w:color w:val="auto"/>
              </w:rPr>
            </w:pPr>
            <w:r>
              <w:rPr>
                <w:rFonts w:asciiTheme="minorHAnsi" w:hAnsiTheme="minorHAnsi" w:cstheme="minorHAnsi"/>
                <w:color w:val="auto"/>
              </w:rPr>
              <w:t>2</w:t>
            </w:r>
            <w:r w:rsidR="00C4574D" w:rsidRPr="003B38C2">
              <w:rPr>
                <w:rFonts w:asciiTheme="minorHAnsi" w:hAnsiTheme="minorHAnsi" w:cstheme="minorHAnsi"/>
                <w:color w:val="auto"/>
              </w:rPr>
              <w:t>.</w:t>
            </w:r>
            <w:r w:rsidRPr="003B38C2">
              <w:rPr>
                <w:rFonts w:asciiTheme="minorHAnsi" w:hAnsiTheme="minorHAnsi" w:cstheme="minorHAnsi"/>
                <w:color w:val="auto"/>
              </w:rPr>
              <w:t>1</w:t>
            </w:r>
            <w:r w:rsidR="00C4574D" w:rsidRPr="003B38C2">
              <w:rPr>
                <w:rFonts w:asciiTheme="minorHAnsi" w:hAnsiTheme="minorHAnsi" w:cstheme="minorHAnsi"/>
                <w:color w:val="auto"/>
              </w:rPr>
              <w:t xml:space="preserve"> Ciljano informisanje i obuka RAI populacije o zdravstvenim i ekološkim rizicima izloženosti POPs hemikalijama tokom neformalne reciklaže</w:t>
            </w:r>
          </w:p>
        </w:tc>
        <w:tc>
          <w:tcPr>
            <w:tcW w:w="0" w:type="auto"/>
            <w:hideMark/>
          </w:tcPr>
          <w:p w14:paraId="4EA2A18B" w14:textId="77777777" w:rsidR="00C4574D" w:rsidRPr="003B38C2"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B38C2">
              <w:rPr>
                <w:rFonts w:asciiTheme="minorHAnsi" w:hAnsiTheme="minorHAnsi" w:cstheme="minorHAnsi"/>
                <w:color w:val="auto"/>
              </w:rPr>
              <w:t>MERS, POPs eksperti</w:t>
            </w:r>
          </w:p>
        </w:tc>
        <w:tc>
          <w:tcPr>
            <w:tcW w:w="0" w:type="auto"/>
            <w:hideMark/>
          </w:tcPr>
          <w:p w14:paraId="501C3BD2" w14:textId="77777777" w:rsidR="00C4574D" w:rsidRPr="003B38C2"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B38C2">
              <w:rPr>
                <w:rFonts w:asciiTheme="minorHAnsi" w:hAnsiTheme="minorHAnsi" w:cstheme="minorHAnsi"/>
                <w:color w:val="auto"/>
              </w:rPr>
              <w:t>2026</w:t>
            </w:r>
          </w:p>
        </w:tc>
        <w:tc>
          <w:tcPr>
            <w:tcW w:w="0" w:type="auto"/>
            <w:hideMark/>
          </w:tcPr>
          <w:p w14:paraId="662FB776" w14:textId="77777777" w:rsidR="00C4574D" w:rsidRPr="003B38C2"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B38C2">
              <w:rPr>
                <w:rFonts w:asciiTheme="minorHAnsi" w:hAnsiTheme="minorHAnsi" w:cstheme="minorHAnsi"/>
                <w:color w:val="auto"/>
              </w:rPr>
              <w:t>Izvještaj o sprovedenim obukama i informativnim sesijama</w:t>
            </w:r>
          </w:p>
        </w:tc>
        <w:tc>
          <w:tcPr>
            <w:tcW w:w="1299" w:type="dxa"/>
            <w:hideMark/>
          </w:tcPr>
          <w:p w14:paraId="4F9E1158" w14:textId="77777777" w:rsidR="00C4574D" w:rsidRPr="003B38C2"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B38C2">
              <w:rPr>
                <w:rFonts w:asciiTheme="minorHAnsi" w:hAnsiTheme="minorHAnsi" w:cstheme="minorHAnsi"/>
                <w:color w:val="auto"/>
              </w:rPr>
              <w:t>2027</w:t>
            </w:r>
          </w:p>
        </w:tc>
        <w:tc>
          <w:tcPr>
            <w:tcW w:w="1615" w:type="dxa"/>
            <w:hideMark/>
          </w:tcPr>
          <w:p w14:paraId="7E0C30E3" w14:textId="77777777" w:rsidR="00C4574D" w:rsidRPr="003B38C2"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B38C2">
              <w:rPr>
                <w:rFonts w:asciiTheme="minorHAnsi" w:hAnsiTheme="minorHAnsi" w:cstheme="minorHAnsi"/>
                <w:color w:val="auto"/>
              </w:rPr>
              <w:t>GEF</w:t>
            </w:r>
          </w:p>
          <w:p w14:paraId="34BC5F17" w14:textId="1021F635" w:rsidR="00C4574D" w:rsidRPr="003B38C2" w:rsidRDefault="00C4574D" w:rsidP="00033A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B38C2">
              <w:rPr>
                <w:rFonts w:asciiTheme="minorHAnsi" w:hAnsiTheme="minorHAnsi" w:cstheme="minorHAnsi"/>
                <w:color w:val="auto"/>
              </w:rPr>
              <w:t>€</w:t>
            </w:r>
            <w:r w:rsidR="00B5295B" w:rsidRPr="003B38C2">
              <w:rPr>
                <w:rFonts w:asciiTheme="minorHAnsi" w:hAnsiTheme="minorHAnsi" w:cstheme="minorHAnsi"/>
                <w:color w:val="auto"/>
              </w:rPr>
              <w:t>30,000</w:t>
            </w:r>
          </w:p>
        </w:tc>
      </w:tr>
    </w:tbl>
    <w:p w14:paraId="187A16D5" w14:textId="2D290EBE" w:rsidR="006D5D17" w:rsidRPr="00C86111" w:rsidRDefault="006D5D17" w:rsidP="006D5D17">
      <w:pPr>
        <w:rPr>
          <w:rFonts w:asciiTheme="minorHAnsi" w:hAnsiTheme="minorHAnsi" w:cstheme="minorHAnsi"/>
        </w:rPr>
      </w:pPr>
      <w:r w:rsidRPr="00C86111">
        <w:rPr>
          <w:rFonts w:asciiTheme="minorHAnsi" w:hAnsiTheme="minorHAnsi" w:cstheme="minorHAnsi"/>
          <w:b/>
          <w:bCs/>
        </w:rPr>
        <w:t xml:space="preserve">Operativni cilj </w:t>
      </w:r>
      <w:r w:rsidR="00E65986">
        <w:rPr>
          <w:rFonts w:asciiTheme="minorHAnsi" w:hAnsiTheme="minorHAnsi" w:cstheme="minorHAnsi"/>
          <w:b/>
          <w:bCs/>
        </w:rPr>
        <w:t>3</w:t>
      </w:r>
      <w:r w:rsidRPr="00C86111">
        <w:rPr>
          <w:rFonts w:asciiTheme="minorHAnsi" w:hAnsiTheme="minorHAnsi" w:cstheme="minorHAnsi"/>
          <w:b/>
          <w:bCs/>
        </w:rPr>
        <w:t xml:space="preserve">: </w:t>
      </w:r>
      <w:r w:rsidRPr="00C86111">
        <w:rPr>
          <w:rFonts w:asciiTheme="minorHAnsi" w:hAnsiTheme="minorHAnsi" w:cstheme="minorHAnsi"/>
        </w:rPr>
        <w:t>Izgradnja kapaciteta i podizanje svijesti o održivim praksama u poljoprivredi.</w:t>
      </w:r>
    </w:p>
    <w:tbl>
      <w:tblPr>
        <w:tblStyle w:val="GridTable4-Accent6"/>
        <w:tblW w:w="0" w:type="auto"/>
        <w:tblLook w:val="04A0" w:firstRow="1" w:lastRow="0" w:firstColumn="1" w:lastColumn="0" w:noHBand="0" w:noVBand="1"/>
      </w:tblPr>
      <w:tblGrid>
        <w:gridCol w:w="4483"/>
        <w:gridCol w:w="1174"/>
        <w:gridCol w:w="1084"/>
        <w:gridCol w:w="1566"/>
        <w:gridCol w:w="1700"/>
        <w:gridCol w:w="1238"/>
        <w:gridCol w:w="1705"/>
      </w:tblGrid>
      <w:tr w:rsidR="006D5D17" w:rsidRPr="00C86111" w14:paraId="7F8EE291" w14:textId="77777777" w:rsidTr="00975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E520AD5" w14:textId="77777777" w:rsidR="006D5D17" w:rsidRPr="00C86111" w:rsidRDefault="006D5D17" w:rsidP="009756DA">
            <w:pPr>
              <w:rPr>
                <w:rFonts w:asciiTheme="minorHAnsi" w:hAnsiTheme="minorHAnsi" w:cstheme="minorHAnsi"/>
              </w:rPr>
            </w:pPr>
            <w:r w:rsidRPr="00C86111">
              <w:rPr>
                <w:rFonts w:asciiTheme="minorHAnsi" w:hAnsiTheme="minorHAnsi" w:cstheme="minorHAnsi"/>
              </w:rPr>
              <w:t>Indikator učinka</w:t>
            </w:r>
          </w:p>
        </w:tc>
        <w:tc>
          <w:tcPr>
            <w:tcW w:w="0" w:type="auto"/>
            <w:gridSpan w:val="2"/>
            <w:hideMark/>
          </w:tcPr>
          <w:p w14:paraId="0C76741C" w14:textId="77777777" w:rsidR="006D5D17" w:rsidRPr="00C86111" w:rsidRDefault="006D5D17" w:rsidP="009756D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Polazna vrijednost (2025)</w:t>
            </w:r>
          </w:p>
        </w:tc>
        <w:tc>
          <w:tcPr>
            <w:tcW w:w="0" w:type="auto"/>
            <w:gridSpan w:val="2"/>
            <w:hideMark/>
          </w:tcPr>
          <w:p w14:paraId="37510AC6" w14:textId="77777777" w:rsidR="006D5D17" w:rsidRPr="00C86111" w:rsidRDefault="006D5D17" w:rsidP="009756D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Prelazna vrijednost (2026)</w:t>
            </w:r>
          </w:p>
        </w:tc>
        <w:tc>
          <w:tcPr>
            <w:tcW w:w="0" w:type="auto"/>
            <w:hideMark/>
          </w:tcPr>
          <w:p w14:paraId="3B17150A" w14:textId="77777777" w:rsidR="006D5D17" w:rsidRPr="00C86111" w:rsidRDefault="006D5D17" w:rsidP="009756D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Ciljna vrijednost (2027)</w:t>
            </w:r>
          </w:p>
        </w:tc>
      </w:tr>
      <w:tr w:rsidR="006D5D17" w:rsidRPr="00C86111" w14:paraId="37C7A413" w14:textId="77777777" w:rsidTr="0097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796CEE3" w14:textId="77777777" w:rsidR="006D5D17" w:rsidRPr="00C86111" w:rsidRDefault="006D5D17" w:rsidP="009756DA">
            <w:pPr>
              <w:rPr>
                <w:rFonts w:asciiTheme="minorHAnsi" w:hAnsiTheme="minorHAnsi" w:cstheme="minorHAnsi"/>
              </w:rPr>
            </w:pPr>
            <w:r w:rsidRPr="00C86111">
              <w:rPr>
                <w:rFonts w:asciiTheme="minorHAnsi" w:hAnsiTheme="minorHAnsi" w:cstheme="minorHAnsi"/>
              </w:rPr>
              <w:t>Broj organizovanih obuka za poljoprivrednike i druge zainteresovane strane</w:t>
            </w:r>
          </w:p>
        </w:tc>
        <w:tc>
          <w:tcPr>
            <w:tcW w:w="0" w:type="auto"/>
            <w:gridSpan w:val="2"/>
            <w:hideMark/>
          </w:tcPr>
          <w:p w14:paraId="5F8B97D4"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0</w:t>
            </w:r>
          </w:p>
        </w:tc>
        <w:tc>
          <w:tcPr>
            <w:tcW w:w="0" w:type="auto"/>
            <w:gridSpan w:val="2"/>
            <w:hideMark/>
          </w:tcPr>
          <w:p w14:paraId="094C9728"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2</w:t>
            </w:r>
          </w:p>
        </w:tc>
        <w:tc>
          <w:tcPr>
            <w:tcW w:w="0" w:type="auto"/>
            <w:hideMark/>
          </w:tcPr>
          <w:p w14:paraId="5A4F85AA"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 3</w:t>
            </w:r>
          </w:p>
        </w:tc>
      </w:tr>
      <w:tr w:rsidR="006D5D17" w:rsidRPr="00C86111" w14:paraId="0141CF86" w14:textId="77777777" w:rsidTr="009756DA">
        <w:tc>
          <w:tcPr>
            <w:cnfStyle w:val="001000000000" w:firstRow="0" w:lastRow="0" w:firstColumn="1" w:lastColumn="0" w:oddVBand="0" w:evenVBand="0" w:oddHBand="0" w:evenHBand="0" w:firstRowFirstColumn="0" w:firstRowLastColumn="0" w:lastRowFirstColumn="0" w:lastRowLastColumn="0"/>
            <w:tcW w:w="0" w:type="auto"/>
            <w:hideMark/>
          </w:tcPr>
          <w:p w14:paraId="4D53D8C5" w14:textId="77777777" w:rsidR="006D5D17" w:rsidRPr="00C86111" w:rsidRDefault="006D5D17" w:rsidP="009756DA">
            <w:pPr>
              <w:rPr>
                <w:rFonts w:asciiTheme="minorHAnsi" w:hAnsiTheme="minorHAnsi" w:cstheme="minorHAnsi"/>
              </w:rPr>
            </w:pPr>
            <w:r w:rsidRPr="00C86111">
              <w:rPr>
                <w:rFonts w:asciiTheme="minorHAnsi" w:hAnsiTheme="minorHAnsi" w:cstheme="minorHAnsi"/>
              </w:rPr>
              <w:t>Aktivnost</w:t>
            </w:r>
          </w:p>
        </w:tc>
        <w:tc>
          <w:tcPr>
            <w:tcW w:w="0" w:type="auto"/>
            <w:gridSpan w:val="2"/>
            <w:hideMark/>
          </w:tcPr>
          <w:p w14:paraId="24AFC92C" w14:textId="77777777" w:rsidR="006D5D17" w:rsidRPr="00C86111" w:rsidRDefault="006D5D17" w:rsidP="009756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Nosioci realizacije</w:t>
            </w:r>
          </w:p>
        </w:tc>
        <w:tc>
          <w:tcPr>
            <w:tcW w:w="0" w:type="auto"/>
            <w:hideMark/>
          </w:tcPr>
          <w:p w14:paraId="06C5667E" w14:textId="77777777" w:rsidR="006D5D17" w:rsidRPr="00C86111" w:rsidRDefault="006D5D17" w:rsidP="009756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Datum početka</w:t>
            </w:r>
          </w:p>
        </w:tc>
        <w:tc>
          <w:tcPr>
            <w:tcW w:w="0" w:type="auto"/>
            <w:hideMark/>
          </w:tcPr>
          <w:p w14:paraId="5DF9AA84" w14:textId="77777777" w:rsidR="006D5D17" w:rsidRPr="00C86111" w:rsidRDefault="006D5D17" w:rsidP="009756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Indikator rezultata</w:t>
            </w:r>
          </w:p>
        </w:tc>
        <w:tc>
          <w:tcPr>
            <w:tcW w:w="1238" w:type="dxa"/>
            <w:hideMark/>
          </w:tcPr>
          <w:p w14:paraId="4E0F7360" w14:textId="77777777" w:rsidR="006D5D17" w:rsidRPr="00C86111" w:rsidRDefault="006D5D17" w:rsidP="009756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Planirani završetak</w:t>
            </w:r>
          </w:p>
        </w:tc>
        <w:tc>
          <w:tcPr>
            <w:tcW w:w="1705" w:type="dxa"/>
            <w:hideMark/>
          </w:tcPr>
          <w:p w14:paraId="41CA1985" w14:textId="77777777" w:rsidR="006D5D17" w:rsidRPr="00C86111" w:rsidRDefault="006D5D17" w:rsidP="009756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Izvor finansiranja</w:t>
            </w:r>
          </w:p>
        </w:tc>
      </w:tr>
      <w:tr w:rsidR="006D5D17" w:rsidRPr="00C86111" w14:paraId="5C955102" w14:textId="77777777" w:rsidTr="0097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C2F0BD" w14:textId="52113668" w:rsidR="006D5D17" w:rsidRPr="00C86111" w:rsidRDefault="00E65986" w:rsidP="009756DA">
            <w:pPr>
              <w:rPr>
                <w:rFonts w:asciiTheme="minorHAnsi" w:hAnsiTheme="minorHAnsi" w:cstheme="minorHAnsi"/>
              </w:rPr>
            </w:pPr>
            <w:r>
              <w:rPr>
                <w:rFonts w:asciiTheme="minorHAnsi" w:hAnsiTheme="minorHAnsi" w:cstheme="minorHAnsi"/>
              </w:rPr>
              <w:t>3</w:t>
            </w:r>
            <w:r w:rsidR="006D5D17" w:rsidRPr="00C86111">
              <w:rPr>
                <w:rFonts w:asciiTheme="minorHAnsi" w:hAnsiTheme="minorHAnsi" w:cstheme="minorHAnsi"/>
              </w:rPr>
              <w:t>.1 Organizovati obuke i radionice o integrisanom upravljanju štetočinama (IPM) i alternativnim nehemijskim metodama zaštite bilja</w:t>
            </w:r>
          </w:p>
        </w:tc>
        <w:tc>
          <w:tcPr>
            <w:tcW w:w="0" w:type="auto"/>
            <w:gridSpan w:val="2"/>
            <w:hideMark/>
          </w:tcPr>
          <w:p w14:paraId="559A712E"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MERS, Poljoprivredna savjetodavna služba</w:t>
            </w:r>
          </w:p>
        </w:tc>
        <w:tc>
          <w:tcPr>
            <w:tcW w:w="0" w:type="auto"/>
            <w:hideMark/>
          </w:tcPr>
          <w:p w14:paraId="20F4D3F2"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2026</w:t>
            </w:r>
          </w:p>
        </w:tc>
        <w:tc>
          <w:tcPr>
            <w:tcW w:w="0" w:type="auto"/>
            <w:hideMark/>
          </w:tcPr>
          <w:p w14:paraId="6B73A368"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Izvještaji o obukama i lista učesnika</w:t>
            </w:r>
          </w:p>
        </w:tc>
        <w:tc>
          <w:tcPr>
            <w:tcW w:w="1238" w:type="dxa"/>
            <w:hideMark/>
          </w:tcPr>
          <w:p w14:paraId="4E50CB56"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86111">
              <w:rPr>
                <w:rFonts w:asciiTheme="minorHAnsi" w:hAnsiTheme="minorHAnsi" w:cstheme="minorHAnsi"/>
              </w:rPr>
              <w:t>2027</w:t>
            </w:r>
          </w:p>
        </w:tc>
        <w:tc>
          <w:tcPr>
            <w:tcW w:w="1705" w:type="dxa"/>
            <w:hideMark/>
          </w:tcPr>
          <w:p w14:paraId="0C957424" w14:textId="77777777" w:rsidR="006D5D17" w:rsidRPr="00C86111" w:rsidRDefault="006D5D17" w:rsidP="009756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2255">
              <w:rPr>
                <w:rFonts w:asciiTheme="minorHAnsi" w:hAnsiTheme="minorHAnsi" w:cstheme="minorHAnsi"/>
                <w:color w:val="auto"/>
              </w:rPr>
              <w:t xml:space="preserve">Aktivnost planirana kroz  Budžet CG </w:t>
            </w:r>
          </w:p>
        </w:tc>
      </w:tr>
    </w:tbl>
    <w:p w14:paraId="0D9C8DF2" w14:textId="77777777" w:rsidR="003B38C2" w:rsidRPr="00C86111" w:rsidRDefault="003B38C2" w:rsidP="003B38C2">
      <w:pPr>
        <w:rPr>
          <w:rFonts w:asciiTheme="minorHAnsi" w:hAnsiTheme="minorHAnsi" w:cstheme="minorHAnsi"/>
          <w:b/>
          <w:bCs/>
        </w:rPr>
      </w:pPr>
    </w:p>
    <w:sectPr w:rsidR="003B38C2" w:rsidRPr="00C86111" w:rsidSect="00C4574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A896E" w14:textId="77777777" w:rsidR="00004F34" w:rsidRDefault="00004F34" w:rsidP="002330D2">
      <w:r>
        <w:separator/>
      </w:r>
    </w:p>
  </w:endnote>
  <w:endnote w:type="continuationSeparator" w:id="0">
    <w:p w14:paraId="5493733D" w14:textId="77777777" w:rsidR="00004F34" w:rsidRDefault="00004F34" w:rsidP="0023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altName w:val="Arial"/>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U45 Univers Light">
    <w:altName w:val="Arial"/>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709952"/>
      <w:docPartObj>
        <w:docPartGallery w:val="Page Numbers (Bottom of Page)"/>
        <w:docPartUnique/>
      </w:docPartObj>
    </w:sdtPr>
    <w:sdtEndPr>
      <w:rPr>
        <w:noProof/>
      </w:rPr>
    </w:sdtEndPr>
    <w:sdtContent>
      <w:p w14:paraId="501FA9D3" w14:textId="5CC82B09" w:rsidR="009756DA" w:rsidRDefault="009756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169B61" w14:textId="77777777" w:rsidR="009756DA" w:rsidRDefault="00975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D5913" w14:textId="77777777" w:rsidR="00004F34" w:rsidRDefault="00004F34" w:rsidP="002330D2">
      <w:r>
        <w:separator/>
      </w:r>
    </w:p>
  </w:footnote>
  <w:footnote w:type="continuationSeparator" w:id="0">
    <w:p w14:paraId="1AE086F4" w14:textId="77777777" w:rsidR="00004F34" w:rsidRDefault="00004F34" w:rsidP="002330D2">
      <w:r>
        <w:continuationSeparator/>
      </w:r>
    </w:p>
  </w:footnote>
  <w:footnote w:id="1">
    <w:p w14:paraId="64A7AC0B" w14:textId="77777777" w:rsidR="009756DA" w:rsidRPr="00B135DE" w:rsidRDefault="009756DA" w:rsidP="00746115">
      <w:pPr>
        <w:pStyle w:val="FootnoteText"/>
        <w:ind w:left="-90"/>
      </w:pPr>
      <w:r>
        <w:rPr>
          <w:rStyle w:val="FootnoteReference"/>
        </w:rPr>
        <w:footnoteRef/>
      </w:r>
      <w:r>
        <w:t xml:space="preserve"> </w:t>
      </w:r>
      <w:hyperlink r:id="rId1" w:history="1">
        <w:r w:rsidRPr="00B73C35">
          <w:rPr>
            <w:rStyle w:val="Hyperlink"/>
          </w:rPr>
          <w:t>https://www.undp.org/cnr/montenegro/projects/upravljanje-pcb-om</w:t>
        </w:r>
      </w:hyperlink>
      <w:r>
        <w:t xml:space="preserve"> </w:t>
      </w:r>
    </w:p>
  </w:footnote>
  <w:footnote w:id="2">
    <w:p w14:paraId="0F800D99" w14:textId="77777777" w:rsidR="009756DA" w:rsidRPr="00D87BBD" w:rsidRDefault="009756DA" w:rsidP="00746115">
      <w:pPr>
        <w:pStyle w:val="FootnoteText"/>
        <w:ind w:left="-90"/>
      </w:pPr>
      <w:r>
        <w:rPr>
          <w:rStyle w:val="FootnoteReference"/>
        </w:rPr>
        <w:footnoteRef/>
      </w:r>
      <w:r>
        <w:t xml:space="preserve"> </w:t>
      </w:r>
      <w:hyperlink r:id="rId2" w:history="1">
        <w:r w:rsidRPr="006A0AAD">
          <w:rPr>
            <w:rStyle w:val="Hyperlink"/>
          </w:rPr>
          <w:t>file:///C:/Users/User/Downloads/UNDP-GEF_PCB-Montenegro%20TE-report.pdf</w:t>
        </w:r>
      </w:hyperlink>
      <w:r>
        <w:t xml:space="preserve"> </w:t>
      </w:r>
    </w:p>
  </w:footnote>
  <w:footnote w:id="3">
    <w:p w14:paraId="3E9653C4" w14:textId="77777777" w:rsidR="009756DA" w:rsidRPr="0064490B" w:rsidRDefault="009756DA" w:rsidP="00746115">
      <w:pPr>
        <w:pStyle w:val="FootnoteText"/>
        <w:ind w:left="-90"/>
        <w:jc w:val="both"/>
      </w:pPr>
      <w:r>
        <w:rPr>
          <w:rStyle w:val="FootnoteReference"/>
        </w:rPr>
        <w:footnoteRef/>
      </w:r>
      <w:r>
        <w:t xml:space="preserve"> </w:t>
      </w:r>
      <w:r w:rsidRPr="0064490B">
        <w:t>Pravilnik o listi POPs supstanci, načinu i postupku za upravljanje POPs otpadom i granične vrijednosti koncentracija POPs materija koje se odnose na preradu i odstranjivanje otpada koji sadrži ili je kontaminiran POPs supstancama ("Službeni list Crne Gore", br. 098/24)</w:t>
      </w:r>
    </w:p>
  </w:footnote>
  <w:footnote w:id="4">
    <w:p w14:paraId="28184DFC" w14:textId="77777777" w:rsidR="009756DA" w:rsidRPr="00D73954" w:rsidRDefault="009756DA" w:rsidP="00746115">
      <w:pPr>
        <w:pStyle w:val="FootnoteText"/>
        <w:ind w:left="-90"/>
        <w:jc w:val="both"/>
        <w:rPr>
          <w:lang w:val="sr-Latn-ME"/>
        </w:rPr>
      </w:pPr>
      <w:r>
        <w:rPr>
          <w:rStyle w:val="FootnoteReference"/>
        </w:rPr>
        <w:footnoteRef/>
      </w:r>
      <w:r>
        <w:t xml:space="preserve"> </w:t>
      </w:r>
      <w:hyperlink r:id="rId3" w:history="1">
        <w:r w:rsidRPr="00B73C35">
          <w:rPr>
            <w:rStyle w:val="Hyperlink"/>
          </w:rPr>
          <w:t>https://epa.org.me/wp-content/uploads/2024/09/UNDP-Smjernice-PBDE-otpad.pdf</w:t>
        </w:r>
      </w:hyperlink>
      <w:r>
        <w:t xml:space="preserve"> </w:t>
      </w:r>
    </w:p>
  </w:footnote>
  <w:footnote w:id="5">
    <w:p w14:paraId="477496D6" w14:textId="77777777" w:rsidR="009756DA" w:rsidRPr="00925787" w:rsidRDefault="009756DA" w:rsidP="00746115">
      <w:pPr>
        <w:pStyle w:val="FootnoteText"/>
        <w:ind w:left="0"/>
      </w:pPr>
      <w:r>
        <w:rPr>
          <w:rStyle w:val="FootnoteReference"/>
        </w:rPr>
        <w:footnoteRef/>
      </w:r>
      <w:r>
        <w:t xml:space="preserve"> </w:t>
      </w:r>
      <w:hyperlink r:id="rId4" w:history="1">
        <w:r w:rsidRPr="00E10F54">
          <w:rPr>
            <w:rStyle w:val="Hyperlink"/>
          </w:rPr>
          <w:t>https://www.gov.me/clanak/radionice-za-re-populaciju-znanje-protiv-zagadenja-edukacija-o-pops-hemikalijama-i-pravilnom-upravljanju-otpadom-ministarstvo-ekologije-odrzivog-razvoja-i-razvoja-sjevera-kroz-projekat</w:t>
        </w:r>
      </w:hyperlink>
      <w:r>
        <w:t xml:space="preserve"> </w:t>
      </w:r>
    </w:p>
  </w:footnote>
  <w:footnote w:id="6">
    <w:p w14:paraId="5ECB64DC" w14:textId="77777777" w:rsidR="009756DA" w:rsidRPr="00923B43" w:rsidRDefault="009756DA" w:rsidP="00746115">
      <w:pPr>
        <w:pStyle w:val="FootnoteText"/>
        <w:ind w:left="0"/>
        <w:rPr>
          <w:lang w:val="sr-Latn-ME"/>
        </w:rPr>
      </w:pPr>
      <w:r>
        <w:rPr>
          <w:rStyle w:val="FootnoteReference"/>
        </w:rPr>
        <w:footnoteRef/>
      </w:r>
      <w:r>
        <w:t xml:space="preserve"> </w:t>
      </w:r>
      <w:hyperlink r:id="rId5" w:history="1">
        <w:r w:rsidRPr="00923B43">
          <w:rPr>
            <w:rStyle w:val="Hyperlink"/>
          </w:rPr>
          <w:t>UPUTSTVO namjenjeno operaterima i reciklerima otpada o rizicima koje nosi rukovanje otpadom koji sadrži PBDEs, HBB i HBCD hemikalije</w:t>
        </w:r>
      </w:hyperlink>
    </w:p>
  </w:footnote>
  <w:footnote w:id="7">
    <w:p w14:paraId="3BE932F3" w14:textId="77777777" w:rsidR="009756DA" w:rsidRPr="00D814CC" w:rsidRDefault="009756DA" w:rsidP="00746115">
      <w:pPr>
        <w:pStyle w:val="FootnoteText"/>
        <w:ind w:left="0"/>
      </w:pPr>
      <w:r>
        <w:rPr>
          <w:rStyle w:val="FootnoteReference"/>
        </w:rPr>
        <w:footnoteRef/>
      </w:r>
      <w:r>
        <w:t xml:space="preserve"> </w:t>
      </w:r>
      <w:hyperlink r:id="rId6" w:history="1">
        <w:r w:rsidRPr="00C31B5C">
          <w:rPr>
            <w:rStyle w:val="Hyperlink"/>
          </w:rPr>
          <w:t>https://unece.org/sites/default/files/2024-10/4th_EPR_of_Montenegro_ECE.CEP_.202_ENG_0.pdf</w:t>
        </w:r>
      </w:hyperlink>
      <w:r>
        <w:t xml:space="preserve"> </w:t>
      </w:r>
    </w:p>
  </w:footnote>
  <w:footnote w:id="8">
    <w:p w14:paraId="7C5464BF" w14:textId="77777777" w:rsidR="009756DA" w:rsidRPr="00D814CC" w:rsidRDefault="009756DA" w:rsidP="00746115">
      <w:pPr>
        <w:pStyle w:val="FootnoteText"/>
        <w:ind w:left="0"/>
      </w:pPr>
      <w:r>
        <w:rPr>
          <w:rStyle w:val="FootnoteReference"/>
        </w:rPr>
        <w:footnoteRef/>
      </w:r>
      <w:r>
        <w:t xml:space="preserve"> </w:t>
      </w:r>
      <w:hyperlink r:id="rId7" w:history="1">
        <w:r w:rsidRPr="00C31B5C">
          <w:rPr>
            <w:rStyle w:val="Hyperlink"/>
          </w:rPr>
          <w:t>https://www.gefieo.org/sites/default/files/documents/projects/tes/9045-terminal-evaluation.pdf</w:t>
        </w:r>
      </w:hyperlink>
      <w:r>
        <w:t xml:space="preserve"> </w:t>
      </w:r>
    </w:p>
  </w:footnote>
  <w:footnote w:id="9">
    <w:p w14:paraId="4CA9F6BC" w14:textId="77777777" w:rsidR="009756DA" w:rsidRPr="00D814CC" w:rsidRDefault="009756DA" w:rsidP="00746115">
      <w:pPr>
        <w:pStyle w:val="FootnoteText"/>
        <w:ind w:left="0"/>
      </w:pPr>
      <w:r>
        <w:rPr>
          <w:rStyle w:val="FootnoteReference"/>
        </w:rPr>
        <w:footnoteRef/>
      </w:r>
      <w:r>
        <w:t xml:space="preserve"> </w:t>
      </w:r>
      <w:hyperlink r:id="rId8" w:history="1">
        <w:r w:rsidRPr="00C31B5C">
          <w:rPr>
            <w:rStyle w:val="Hyperlink"/>
          </w:rPr>
          <w:t>https://faolex.fao.org/docs/pdf/mne220111.pdf?utm</w:t>
        </w:r>
      </w:hyperlink>
      <w:r>
        <w:t xml:space="preserve"> </w:t>
      </w:r>
    </w:p>
  </w:footnote>
  <w:footnote w:id="10">
    <w:p w14:paraId="2F6B742C" w14:textId="77777777" w:rsidR="009756DA" w:rsidRPr="00D814CC" w:rsidRDefault="009756DA" w:rsidP="00746115">
      <w:pPr>
        <w:pStyle w:val="FootnoteText"/>
        <w:ind w:left="0"/>
        <w:rPr>
          <w:lang w:val="sr-Latn-ME"/>
        </w:rPr>
      </w:pPr>
      <w:r>
        <w:rPr>
          <w:rStyle w:val="FootnoteReference"/>
        </w:rPr>
        <w:footnoteRef/>
      </w:r>
      <w:r>
        <w:t xml:space="preserve"> </w:t>
      </w:r>
      <w:hyperlink r:id="rId9" w:history="1">
        <w:r w:rsidRPr="00C31B5C">
          <w:rPr>
            <w:rStyle w:val="Hyperlink"/>
          </w:rPr>
          <w:t>https://www.osce.org/files/f/documents/c/8/570285.pdf?utm</w:t>
        </w:r>
      </w:hyperlink>
      <w:r>
        <w:t xml:space="preserve"> </w:t>
      </w:r>
    </w:p>
  </w:footnote>
  <w:footnote w:id="11">
    <w:p w14:paraId="485488B6" w14:textId="77777777" w:rsidR="009756DA" w:rsidRPr="00D814CC" w:rsidRDefault="009756DA" w:rsidP="00746115">
      <w:pPr>
        <w:pStyle w:val="FootnoteText"/>
        <w:ind w:left="0"/>
        <w:rPr>
          <w:lang w:val="sr-Latn-ME"/>
        </w:rPr>
      </w:pPr>
      <w:r>
        <w:rPr>
          <w:rStyle w:val="FootnoteReference"/>
        </w:rPr>
        <w:footnoteRef/>
      </w:r>
      <w:r>
        <w:t xml:space="preserve"> </w:t>
      </w:r>
      <w:hyperlink r:id="rId10" w:history="1">
        <w:r w:rsidRPr="00C31B5C">
          <w:rPr>
            <w:rStyle w:val="Hyperlink"/>
          </w:rPr>
          <w:t>https://www.gefieo.org/sites/default/files/documents/projects/tes/9045-terminal-evaluation.pdf</w:t>
        </w:r>
      </w:hyperlink>
      <w:r>
        <w:t xml:space="preserve"> </w:t>
      </w:r>
    </w:p>
  </w:footnote>
  <w:footnote w:id="12">
    <w:p w14:paraId="6E0D87F4" w14:textId="77777777" w:rsidR="009756DA" w:rsidRPr="00D814CC" w:rsidRDefault="009756DA" w:rsidP="00746115">
      <w:pPr>
        <w:pStyle w:val="FootnoteText"/>
        <w:ind w:left="0"/>
        <w:rPr>
          <w:lang w:val="sr-Latn-ME"/>
        </w:rPr>
      </w:pPr>
      <w:r>
        <w:rPr>
          <w:rStyle w:val="FootnoteReference"/>
        </w:rPr>
        <w:footnoteRef/>
      </w:r>
      <w:r>
        <w:t xml:space="preserve"> </w:t>
      </w:r>
      <w:hyperlink r:id="rId11" w:history="1">
        <w:r w:rsidRPr="00C31B5C">
          <w:rPr>
            <w:rStyle w:val="Hyperlink"/>
          </w:rPr>
          <w:t>https://www.unep.org/unepmap/what-we-do/projects/MedProgramme</w:t>
        </w:r>
      </w:hyperlink>
      <w:r>
        <w:t xml:space="preserve"> </w:t>
      </w:r>
    </w:p>
  </w:footnote>
  <w:footnote w:id="13">
    <w:p w14:paraId="182593AE" w14:textId="77777777" w:rsidR="009756DA" w:rsidRPr="00D814CC" w:rsidRDefault="009756DA" w:rsidP="00746115">
      <w:pPr>
        <w:pStyle w:val="FootnoteText"/>
        <w:ind w:left="0"/>
        <w:rPr>
          <w:lang w:val="sr-Latn-ME"/>
        </w:rPr>
      </w:pPr>
      <w:r>
        <w:rPr>
          <w:rStyle w:val="FootnoteReference"/>
        </w:rPr>
        <w:footnoteRef/>
      </w:r>
      <w:r>
        <w:t xml:space="preserve"> </w:t>
      </w:r>
      <w:hyperlink r:id="rId12" w:history="1">
        <w:r w:rsidRPr="00D814CC">
          <w:rPr>
            <w:rStyle w:val="Hyperlink"/>
          </w:rPr>
          <w:t>https://www.gefieo.org/sites/default/files/documents/projects/tes/9045-terminal-evaluation.pdf</w:t>
        </w:r>
      </w:hyperlink>
      <w:r w:rsidRPr="00D814CC">
        <w:t xml:space="preserve"> </w:t>
      </w:r>
    </w:p>
  </w:footnote>
  <w:footnote w:id="14">
    <w:p w14:paraId="749F2D62" w14:textId="77777777" w:rsidR="009756DA" w:rsidRPr="005717DB" w:rsidRDefault="009756DA" w:rsidP="00746115">
      <w:pPr>
        <w:pStyle w:val="FootnoteText"/>
        <w:ind w:left="0"/>
        <w:rPr>
          <w:lang w:val="sr-Latn-ME"/>
        </w:rPr>
      </w:pPr>
      <w:r>
        <w:rPr>
          <w:rStyle w:val="FootnoteReference"/>
        </w:rPr>
        <w:footnoteRef/>
      </w:r>
      <w:r>
        <w:t xml:space="preserve"> </w:t>
      </w:r>
      <w:hyperlink r:id="rId13" w:history="1">
        <w:r w:rsidRPr="00C31B5C">
          <w:rPr>
            <w:rStyle w:val="Hyperlink"/>
          </w:rPr>
          <w:t>https://wapi.gov.me/download/113f9714-2521-4455-b752-fc9afa6e140e?version=1.0</w:t>
        </w:r>
      </w:hyperlink>
      <w:r>
        <w:t xml:space="preserve"> </w:t>
      </w:r>
    </w:p>
  </w:footnote>
  <w:footnote w:id="15">
    <w:p w14:paraId="199D0B21" w14:textId="77777777" w:rsidR="009756DA" w:rsidRPr="005717DB" w:rsidRDefault="009756DA" w:rsidP="00746115">
      <w:pPr>
        <w:pStyle w:val="FootnoteText"/>
        <w:ind w:left="0"/>
        <w:rPr>
          <w:lang w:val="sr-Latn-ME"/>
        </w:rPr>
      </w:pPr>
      <w:r>
        <w:rPr>
          <w:rStyle w:val="FootnoteReference"/>
        </w:rPr>
        <w:footnoteRef/>
      </w:r>
      <w:r>
        <w:t xml:space="preserve"> </w:t>
      </w:r>
      <w:hyperlink r:id="rId14" w:history="1">
        <w:r w:rsidRPr="00C31B5C">
          <w:rPr>
            <w:rStyle w:val="Hyperlink"/>
          </w:rPr>
          <w:t>https://www.unep.org/unepmap/what-we-do/projects/MedProgramme</w:t>
        </w:r>
      </w:hyperlink>
      <w:r>
        <w:t xml:space="preserve"> </w:t>
      </w:r>
    </w:p>
  </w:footnote>
  <w:footnote w:id="16">
    <w:p w14:paraId="38C0B4A6" w14:textId="77777777" w:rsidR="009756DA" w:rsidRPr="005717DB" w:rsidRDefault="009756DA" w:rsidP="00746115">
      <w:pPr>
        <w:pStyle w:val="FootnoteText"/>
        <w:ind w:left="0"/>
        <w:rPr>
          <w:lang w:val="sr-Latn-ME"/>
        </w:rPr>
      </w:pPr>
      <w:r>
        <w:rPr>
          <w:rStyle w:val="FootnoteReference"/>
        </w:rPr>
        <w:footnoteRef/>
      </w:r>
      <w:r>
        <w:t xml:space="preserve"> </w:t>
      </w:r>
      <w:hyperlink r:id="rId15" w:history="1">
        <w:r w:rsidRPr="00C31B5C">
          <w:rPr>
            <w:rStyle w:val="Hyperlink"/>
          </w:rPr>
          <w:t>https://wapi.gov.me/download/113f9714-2521-4455-b752-fc9afa6e140e?version=1.0</w:t>
        </w:r>
      </w:hyperlink>
      <w:r>
        <w:t xml:space="preserve"> </w:t>
      </w:r>
    </w:p>
  </w:footnote>
  <w:footnote w:id="17">
    <w:p w14:paraId="53DF1EF8" w14:textId="77777777" w:rsidR="009756DA" w:rsidRPr="005717DB" w:rsidRDefault="009756DA" w:rsidP="00746115">
      <w:pPr>
        <w:pStyle w:val="FootnoteText"/>
        <w:ind w:left="0"/>
        <w:rPr>
          <w:lang w:val="sr-Latn-ME"/>
        </w:rPr>
      </w:pPr>
      <w:r>
        <w:rPr>
          <w:rStyle w:val="FootnoteReference"/>
        </w:rPr>
        <w:footnoteRef/>
      </w:r>
      <w:r>
        <w:t xml:space="preserve"> </w:t>
      </w:r>
      <w:hyperlink r:id="rId16" w:history="1">
        <w:r w:rsidRPr="00C31B5C">
          <w:rPr>
            <w:rStyle w:val="Hyperlink"/>
          </w:rPr>
          <w:t>https://unece.org/sites/default/files/2024-10/4th_EPR_of_Montenegro_ECE.CEP_.202_ENG_0.pdf</w:t>
        </w:r>
      </w:hyperlink>
      <w:r>
        <w:t xml:space="preserve"> </w:t>
      </w:r>
    </w:p>
  </w:footnote>
  <w:footnote w:id="18">
    <w:p w14:paraId="31B3E1B1" w14:textId="77777777" w:rsidR="009756DA" w:rsidRPr="005717DB" w:rsidRDefault="009756DA" w:rsidP="00746115">
      <w:pPr>
        <w:pStyle w:val="FootnoteText"/>
        <w:ind w:left="0"/>
        <w:rPr>
          <w:lang w:val="sr-Latn-ME"/>
        </w:rPr>
      </w:pPr>
      <w:r>
        <w:rPr>
          <w:rStyle w:val="FootnoteReference"/>
        </w:rPr>
        <w:footnoteRef/>
      </w:r>
      <w:r>
        <w:t xml:space="preserve"> </w:t>
      </w:r>
      <w:hyperlink r:id="rId17" w:history="1">
        <w:r w:rsidRPr="00C31B5C">
          <w:rPr>
            <w:rStyle w:val="Hyperlink"/>
          </w:rPr>
          <w:t>https://www.unep.org/unepmap/what-we-do/projects/MedProgramme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E9F"/>
    <w:multiLevelType w:val="multilevel"/>
    <w:tmpl w:val="B6B6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355CB"/>
    <w:multiLevelType w:val="multilevel"/>
    <w:tmpl w:val="482A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D6112"/>
    <w:multiLevelType w:val="hybridMultilevel"/>
    <w:tmpl w:val="772C64AC"/>
    <w:styleLink w:val="Importovanstyl6"/>
    <w:lvl w:ilvl="0" w:tplc="88D4B0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61406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67612E8">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1D85ED6">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C1C8484">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4B0C5EA">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FA81B9C">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3B829D0">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D34A46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3AE5B29"/>
    <w:multiLevelType w:val="multilevel"/>
    <w:tmpl w:val="5FC6C6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6561A"/>
    <w:multiLevelType w:val="hybridMultilevel"/>
    <w:tmpl w:val="CBFE7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73456"/>
    <w:multiLevelType w:val="multilevel"/>
    <w:tmpl w:val="04B8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023C"/>
    <w:multiLevelType w:val="multilevel"/>
    <w:tmpl w:val="BFA2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B16FF"/>
    <w:multiLevelType w:val="hybridMultilevel"/>
    <w:tmpl w:val="BB54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6B664D"/>
    <w:multiLevelType w:val="multilevel"/>
    <w:tmpl w:val="B6C8C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893238"/>
    <w:multiLevelType w:val="multilevel"/>
    <w:tmpl w:val="60B67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280DE3"/>
    <w:multiLevelType w:val="hybridMultilevel"/>
    <w:tmpl w:val="29B424B8"/>
    <w:lvl w:ilvl="0" w:tplc="E4FC1F06">
      <w:start w:val="1"/>
      <w:numFmt w:val="decimal"/>
      <w:lvlText w:val="%1."/>
      <w:lvlJc w:val="left"/>
      <w:pPr>
        <w:tabs>
          <w:tab w:val="num" w:pos="4851"/>
        </w:tabs>
        <w:ind w:left="4851" w:hanging="360"/>
      </w:pPr>
      <w:rPr>
        <w:rFonts w:ascii="Times New Roman" w:hAnsi="Times New Roman" w:hint="default"/>
        <w:b w:val="0"/>
        <w:i w:val="0"/>
        <w:color w:val="auto"/>
        <w:sz w:val="20"/>
        <w:szCs w:val="20"/>
      </w:rPr>
    </w:lvl>
    <w:lvl w:ilvl="1" w:tplc="0E1EEDD8">
      <w:start w:val="1"/>
      <w:numFmt w:val="decimal"/>
      <w:pStyle w:val="Paralevel1"/>
      <w:lvlText w:val="%2."/>
      <w:lvlJc w:val="left"/>
      <w:pPr>
        <w:tabs>
          <w:tab w:val="num" w:pos="2687"/>
        </w:tabs>
        <w:ind w:left="2687" w:hanging="360"/>
      </w:pPr>
      <w:rPr>
        <w:rFonts w:ascii="Times New Roman" w:hAnsi="Times New Roman" w:hint="default"/>
        <w:b w:val="0"/>
        <w:i w:val="0"/>
        <w:color w:val="auto"/>
        <w:sz w:val="20"/>
        <w:szCs w:val="20"/>
      </w:rPr>
    </w:lvl>
    <w:lvl w:ilvl="2" w:tplc="0409001B" w:tentative="1">
      <w:start w:val="1"/>
      <w:numFmt w:val="lowerRoman"/>
      <w:lvlText w:val="%3."/>
      <w:lvlJc w:val="right"/>
      <w:pPr>
        <w:tabs>
          <w:tab w:val="num" w:pos="3407"/>
        </w:tabs>
        <w:ind w:left="3407" w:hanging="180"/>
      </w:pPr>
    </w:lvl>
    <w:lvl w:ilvl="3" w:tplc="0409000F" w:tentative="1">
      <w:start w:val="1"/>
      <w:numFmt w:val="decimal"/>
      <w:lvlText w:val="%4."/>
      <w:lvlJc w:val="left"/>
      <w:pPr>
        <w:tabs>
          <w:tab w:val="num" w:pos="4127"/>
        </w:tabs>
        <w:ind w:left="4127" w:hanging="360"/>
      </w:pPr>
    </w:lvl>
    <w:lvl w:ilvl="4" w:tplc="04090019" w:tentative="1">
      <w:start w:val="1"/>
      <w:numFmt w:val="lowerLetter"/>
      <w:lvlText w:val="%5."/>
      <w:lvlJc w:val="left"/>
      <w:pPr>
        <w:tabs>
          <w:tab w:val="num" w:pos="4847"/>
        </w:tabs>
        <w:ind w:left="4847" w:hanging="360"/>
      </w:pPr>
    </w:lvl>
    <w:lvl w:ilvl="5" w:tplc="0409001B" w:tentative="1">
      <w:start w:val="1"/>
      <w:numFmt w:val="lowerRoman"/>
      <w:lvlText w:val="%6."/>
      <w:lvlJc w:val="right"/>
      <w:pPr>
        <w:tabs>
          <w:tab w:val="num" w:pos="5567"/>
        </w:tabs>
        <w:ind w:left="5567" w:hanging="180"/>
      </w:pPr>
    </w:lvl>
    <w:lvl w:ilvl="6" w:tplc="0409000F" w:tentative="1">
      <w:start w:val="1"/>
      <w:numFmt w:val="decimal"/>
      <w:lvlText w:val="%7."/>
      <w:lvlJc w:val="left"/>
      <w:pPr>
        <w:tabs>
          <w:tab w:val="num" w:pos="6287"/>
        </w:tabs>
        <w:ind w:left="6287" w:hanging="360"/>
      </w:pPr>
    </w:lvl>
    <w:lvl w:ilvl="7" w:tplc="04090019" w:tentative="1">
      <w:start w:val="1"/>
      <w:numFmt w:val="lowerLetter"/>
      <w:lvlText w:val="%8."/>
      <w:lvlJc w:val="left"/>
      <w:pPr>
        <w:tabs>
          <w:tab w:val="num" w:pos="7007"/>
        </w:tabs>
        <w:ind w:left="7007" w:hanging="360"/>
      </w:pPr>
    </w:lvl>
    <w:lvl w:ilvl="8" w:tplc="0409001B" w:tentative="1">
      <w:start w:val="1"/>
      <w:numFmt w:val="lowerRoman"/>
      <w:lvlText w:val="%9."/>
      <w:lvlJc w:val="right"/>
      <w:pPr>
        <w:tabs>
          <w:tab w:val="num" w:pos="7727"/>
        </w:tabs>
        <w:ind w:left="7727" w:hanging="180"/>
      </w:pPr>
    </w:lvl>
  </w:abstractNum>
  <w:abstractNum w:abstractNumId="11" w15:restartNumberingAfterBreak="0">
    <w:nsid w:val="089B4A2F"/>
    <w:multiLevelType w:val="multilevel"/>
    <w:tmpl w:val="7D1C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BE1462"/>
    <w:multiLevelType w:val="hybridMultilevel"/>
    <w:tmpl w:val="47F8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DC12C6"/>
    <w:multiLevelType w:val="multilevel"/>
    <w:tmpl w:val="EBF0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437B0B"/>
    <w:multiLevelType w:val="multilevel"/>
    <w:tmpl w:val="4C90A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E1DC2"/>
    <w:multiLevelType w:val="hybridMultilevel"/>
    <w:tmpl w:val="80747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CB6DC7"/>
    <w:multiLevelType w:val="hybridMultilevel"/>
    <w:tmpl w:val="7DBC0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686AA4"/>
    <w:multiLevelType w:val="multilevel"/>
    <w:tmpl w:val="60B67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8D7489"/>
    <w:multiLevelType w:val="multilevel"/>
    <w:tmpl w:val="0A2489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B74114"/>
    <w:multiLevelType w:val="multilevel"/>
    <w:tmpl w:val="C54EB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A90FCC"/>
    <w:multiLevelType w:val="multilevel"/>
    <w:tmpl w:val="60B67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B722D6"/>
    <w:multiLevelType w:val="multilevel"/>
    <w:tmpl w:val="4DEE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843723"/>
    <w:multiLevelType w:val="multilevel"/>
    <w:tmpl w:val="D1C8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867D25"/>
    <w:multiLevelType w:val="hybridMultilevel"/>
    <w:tmpl w:val="6830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867E2D"/>
    <w:multiLevelType w:val="hybridMultilevel"/>
    <w:tmpl w:val="AC20D8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5910E8"/>
    <w:multiLevelType w:val="multilevel"/>
    <w:tmpl w:val="B518D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D34E20"/>
    <w:multiLevelType w:val="hybridMultilevel"/>
    <w:tmpl w:val="8E2E027E"/>
    <w:lvl w:ilvl="0" w:tplc="4EC44230">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97791C"/>
    <w:multiLevelType w:val="hybridMultilevel"/>
    <w:tmpl w:val="E434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327077"/>
    <w:multiLevelType w:val="hybridMultilevel"/>
    <w:tmpl w:val="AF560F62"/>
    <w:lvl w:ilvl="0" w:tplc="67CC677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5906724"/>
    <w:multiLevelType w:val="multilevel"/>
    <w:tmpl w:val="5FFA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1113A7"/>
    <w:multiLevelType w:val="multilevel"/>
    <w:tmpl w:val="48241D10"/>
    <w:numStyleLink w:val="Normallist"/>
  </w:abstractNum>
  <w:abstractNum w:abstractNumId="31" w15:restartNumberingAfterBreak="0">
    <w:nsid w:val="173C0618"/>
    <w:multiLevelType w:val="hybridMultilevel"/>
    <w:tmpl w:val="0330A942"/>
    <w:lvl w:ilvl="0" w:tplc="67CC677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7943123"/>
    <w:multiLevelType w:val="hybridMultilevel"/>
    <w:tmpl w:val="708C1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C054F4"/>
    <w:multiLevelType w:val="multilevel"/>
    <w:tmpl w:val="B4F6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7FF3624"/>
    <w:multiLevelType w:val="hybridMultilevel"/>
    <w:tmpl w:val="7D825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C4409F"/>
    <w:multiLevelType w:val="hybridMultilevel"/>
    <w:tmpl w:val="BEEA9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602200"/>
    <w:multiLevelType w:val="hybridMultilevel"/>
    <w:tmpl w:val="772C64AC"/>
    <w:numStyleLink w:val="Importovanstyl6"/>
  </w:abstractNum>
  <w:abstractNum w:abstractNumId="37" w15:restartNumberingAfterBreak="0">
    <w:nsid w:val="196D3060"/>
    <w:multiLevelType w:val="multilevel"/>
    <w:tmpl w:val="06623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9E87E57"/>
    <w:multiLevelType w:val="multilevel"/>
    <w:tmpl w:val="2E9C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D62906"/>
    <w:multiLevelType w:val="multilevel"/>
    <w:tmpl w:val="F218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AEE51CD"/>
    <w:multiLevelType w:val="hybridMultilevel"/>
    <w:tmpl w:val="BEBCC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B315FD1"/>
    <w:multiLevelType w:val="multilevel"/>
    <w:tmpl w:val="30CE9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EF490D"/>
    <w:multiLevelType w:val="multilevel"/>
    <w:tmpl w:val="7948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59490F"/>
    <w:multiLevelType w:val="hybridMultilevel"/>
    <w:tmpl w:val="2E24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7F6B0E"/>
    <w:multiLevelType w:val="multilevel"/>
    <w:tmpl w:val="8924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9D4009"/>
    <w:multiLevelType w:val="multilevel"/>
    <w:tmpl w:val="9C82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BB3C30"/>
    <w:multiLevelType w:val="hybridMultilevel"/>
    <w:tmpl w:val="6368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C3716D"/>
    <w:multiLevelType w:val="multilevel"/>
    <w:tmpl w:val="53BE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DFE5114"/>
    <w:multiLevelType w:val="multilevel"/>
    <w:tmpl w:val="7D42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E196B92"/>
    <w:multiLevelType w:val="hybridMultilevel"/>
    <w:tmpl w:val="37960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9C7738"/>
    <w:multiLevelType w:val="hybridMultilevel"/>
    <w:tmpl w:val="43AED22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F0A0657"/>
    <w:multiLevelType w:val="multilevel"/>
    <w:tmpl w:val="AB94B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9F3C63"/>
    <w:multiLevelType w:val="multilevel"/>
    <w:tmpl w:val="A8F2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BF2578"/>
    <w:multiLevelType w:val="multilevel"/>
    <w:tmpl w:val="5BE4A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A04E88"/>
    <w:multiLevelType w:val="hybridMultilevel"/>
    <w:tmpl w:val="62DE5DFC"/>
    <w:lvl w:ilvl="0" w:tplc="427E28F0">
      <w:start w:val="1"/>
      <w:numFmt w:val="decimal"/>
      <w:pStyle w:val="Tabele"/>
      <w:lvlText w:val="Tabela %1."/>
      <w:lvlJc w:val="left"/>
      <w:pPr>
        <w:ind w:left="1920" w:hanging="360"/>
      </w:pPr>
      <w:rPr>
        <w:rFonts w:ascii="Cambria" w:hAnsi="Cambria" w:cs="Times New Roman" w:hint="default"/>
        <w:b/>
        <w:i/>
        <w:color w:val="auto"/>
        <w:sz w:val="20"/>
        <w:szCs w:val="2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20F80E63"/>
    <w:multiLevelType w:val="hybridMultilevel"/>
    <w:tmpl w:val="217E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14D2D3C"/>
    <w:multiLevelType w:val="multilevel"/>
    <w:tmpl w:val="229C0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1C94617"/>
    <w:multiLevelType w:val="hybridMultilevel"/>
    <w:tmpl w:val="260015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21D10B74"/>
    <w:multiLevelType w:val="multilevel"/>
    <w:tmpl w:val="1654F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35C2DEB"/>
    <w:multiLevelType w:val="hybridMultilevel"/>
    <w:tmpl w:val="A682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D30AA9"/>
    <w:multiLevelType w:val="multilevel"/>
    <w:tmpl w:val="4B22D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4367134"/>
    <w:multiLevelType w:val="multilevel"/>
    <w:tmpl w:val="69264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47B4262"/>
    <w:multiLevelType w:val="multilevel"/>
    <w:tmpl w:val="E6A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922059"/>
    <w:multiLevelType w:val="multilevel"/>
    <w:tmpl w:val="4A147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55C0001"/>
    <w:multiLevelType w:val="hybridMultilevel"/>
    <w:tmpl w:val="C3DA3F8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55C7E92"/>
    <w:multiLevelType w:val="multilevel"/>
    <w:tmpl w:val="D9CE6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5CD749D"/>
    <w:multiLevelType w:val="multilevel"/>
    <w:tmpl w:val="17C8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5E74AD4"/>
    <w:multiLevelType w:val="multilevel"/>
    <w:tmpl w:val="C1B60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6F132F0"/>
    <w:multiLevelType w:val="hybridMultilevel"/>
    <w:tmpl w:val="D0F61C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7F636DA"/>
    <w:multiLevelType w:val="multilevel"/>
    <w:tmpl w:val="ECF4C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197439"/>
    <w:multiLevelType w:val="multilevel"/>
    <w:tmpl w:val="21D44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BC614C"/>
    <w:multiLevelType w:val="multilevel"/>
    <w:tmpl w:val="F1620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94F7DE1"/>
    <w:multiLevelType w:val="hybridMultilevel"/>
    <w:tmpl w:val="FC32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9504CB"/>
    <w:multiLevelType w:val="hybridMultilevel"/>
    <w:tmpl w:val="D4EE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BF42F0"/>
    <w:multiLevelType w:val="multilevel"/>
    <w:tmpl w:val="7786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9EB4AFF"/>
    <w:multiLevelType w:val="hybridMultilevel"/>
    <w:tmpl w:val="DB0045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ACC0AD1"/>
    <w:multiLevelType w:val="multilevel"/>
    <w:tmpl w:val="4DB8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BE4458"/>
    <w:multiLevelType w:val="multilevel"/>
    <w:tmpl w:val="42DA2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BFA4631"/>
    <w:multiLevelType w:val="hybridMultilevel"/>
    <w:tmpl w:val="2842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794A7E"/>
    <w:multiLevelType w:val="multilevel"/>
    <w:tmpl w:val="2362E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D0C6AF6"/>
    <w:multiLevelType w:val="multilevel"/>
    <w:tmpl w:val="74684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D2D6580"/>
    <w:multiLevelType w:val="multilevel"/>
    <w:tmpl w:val="7CCC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C64DC3"/>
    <w:multiLevelType w:val="multilevel"/>
    <w:tmpl w:val="0728E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E5E036E"/>
    <w:multiLevelType w:val="hybridMultilevel"/>
    <w:tmpl w:val="834A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AE0152"/>
    <w:multiLevelType w:val="multilevel"/>
    <w:tmpl w:val="8CD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F405BC9"/>
    <w:multiLevelType w:val="hybridMultilevel"/>
    <w:tmpl w:val="CBDC71C4"/>
    <w:numStyleLink w:val="Importovanstyl2"/>
  </w:abstractNum>
  <w:abstractNum w:abstractNumId="86" w15:restartNumberingAfterBreak="0">
    <w:nsid w:val="2F755CD8"/>
    <w:multiLevelType w:val="hybridMultilevel"/>
    <w:tmpl w:val="811693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F77124B"/>
    <w:multiLevelType w:val="multilevel"/>
    <w:tmpl w:val="098C8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FC7111D"/>
    <w:multiLevelType w:val="hybridMultilevel"/>
    <w:tmpl w:val="78F4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25261B"/>
    <w:multiLevelType w:val="multilevel"/>
    <w:tmpl w:val="4A76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04D2F5C"/>
    <w:multiLevelType w:val="multilevel"/>
    <w:tmpl w:val="1878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0630101"/>
    <w:multiLevelType w:val="hybridMultilevel"/>
    <w:tmpl w:val="7A0CA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9601E0"/>
    <w:multiLevelType w:val="multilevel"/>
    <w:tmpl w:val="3C60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2DD0125"/>
    <w:multiLevelType w:val="multilevel"/>
    <w:tmpl w:val="3E5A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B60931"/>
    <w:multiLevelType w:val="multilevel"/>
    <w:tmpl w:val="926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D2832"/>
    <w:multiLevelType w:val="hybridMultilevel"/>
    <w:tmpl w:val="89FE6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C307AB"/>
    <w:multiLevelType w:val="multilevel"/>
    <w:tmpl w:val="A75A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3D76FE9"/>
    <w:multiLevelType w:val="hybridMultilevel"/>
    <w:tmpl w:val="1D36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416207"/>
    <w:multiLevelType w:val="hybridMultilevel"/>
    <w:tmpl w:val="FD42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51A6963"/>
    <w:multiLevelType w:val="multilevel"/>
    <w:tmpl w:val="B1C68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5DC675B"/>
    <w:multiLevelType w:val="hybridMultilevel"/>
    <w:tmpl w:val="C3BE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6213E28"/>
    <w:multiLevelType w:val="hybridMultilevel"/>
    <w:tmpl w:val="A55E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2E2EB6"/>
    <w:multiLevelType w:val="multilevel"/>
    <w:tmpl w:val="5ABE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69A6C62"/>
    <w:multiLevelType w:val="multilevel"/>
    <w:tmpl w:val="58E26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6F81796"/>
    <w:multiLevelType w:val="hybridMultilevel"/>
    <w:tmpl w:val="32D8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FD354D"/>
    <w:multiLevelType w:val="multilevel"/>
    <w:tmpl w:val="345AE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72D7A19"/>
    <w:multiLevelType w:val="hybridMultilevel"/>
    <w:tmpl w:val="CC9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CD6887"/>
    <w:multiLevelType w:val="hybridMultilevel"/>
    <w:tmpl w:val="7CEE1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387D5290"/>
    <w:multiLevelType w:val="hybridMultilevel"/>
    <w:tmpl w:val="5F14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9787588"/>
    <w:multiLevelType w:val="hybridMultilevel"/>
    <w:tmpl w:val="3FF28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A526AA"/>
    <w:multiLevelType w:val="hybridMultilevel"/>
    <w:tmpl w:val="0176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EB2651"/>
    <w:multiLevelType w:val="multilevel"/>
    <w:tmpl w:val="B20E6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A410DDB"/>
    <w:multiLevelType w:val="hybridMultilevel"/>
    <w:tmpl w:val="073E190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3AD36834"/>
    <w:multiLevelType w:val="hybridMultilevel"/>
    <w:tmpl w:val="E3A85C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C375005"/>
    <w:multiLevelType w:val="multilevel"/>
    <w:tmpl w:val="3C16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C45682B"/>
    <w:multiLevelType w:val="hybridMultilevel"/>
    <w:tmpl w:val="2A44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2034BF"/>
    <w:multiLevelType w:val="multilevel"/>
    <w:tmpl w:val="7A1E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D2C75E7"/>
    <w:multiLevelType w:val="hybridMultilevel"/>
    <w:tmpl w:val="EAA4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E132F6C"/>
    <w:multiLevelType w:val="multilevel"/>
    <w:tmpl w:val="FFC6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E613D6A"/>
    <w:multiLevelType w:val="multilevel"/>
    <w:tmpl w:val="BB90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F293E2D"/>
    <w:multiLevelType w:val="multilevel"/>
    <w:tmpl w:val="FC0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F6F43AF"/>
    <w:multiLevelType w:val="hybridMultilevel"/>
    <w:tmpl w:val="04C09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FA1476A"/>
    <w:multiLevelType w:val="hybridMultilevel"/>
    <w:tmpl w:val="F23A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FA67EB7"/>
    <w:multiLevelType w:val="multilevel"/>
    <w:tmpl w:val="48DEE870"/>
    <w:lvl w:ilvl="0">
      <w:numFmt w:val="bullet"/>
      <w:lvlText w:val="•"/>
      <w:lvlJc w:val="left"/>
      <w:pPr>
        <w:tabs>
          <w:tab w:val="num" w:pos="720"/>
        </w:tabs>
        <w:ind w:left="720" w:hanging="360"/>
      </w:pPr>
      <w:rPr>
        <w:rFonts w:ascii="Calibri" w:eastAsia="Times New Roman" w:hAnsi="Calibri" w:cs="Calibri"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0901F3B"/>
    <w:multiLevelType w:val="hybridMultilevel"/>
    <w:tmpl w:val="F5A67C20"/>
    <w:lvl w:ilvl="0" w:tplc="67CC677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11A3C02"/>
    <w:multiLevelType w:val="multilevel"/>
    <w:tmpl w:val="9980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13C6599"/>
    <w:multiLevelType w:val="hybridMultilevel"/>
    <w:tmpl w:val="BEE4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32360FB"/>
    <w:multiLevelType w:val="multilevel"/>
    <w:tmpl w:val="B0EE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4745128"/>
    <w:multiLevelType w:val="multilevel"/>
    <w:tmpl w:val="82D4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51E6542"/>
    <w:multiLevelType w:val="multilevel"/>
    <w:tmpl w:val="AA6EC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52E4924"/>
    <w:multiLevelType w:val="hybridMultilevel"/>
    <w:tmpl w:val="6BFAF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45936974"/>
    <w:multiLevelType w:val="multilevel"/>
    <w:tmpl w:val="BAC6F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5CE3819"/>
    <w:multiLevelType w:val="multilevel"/>
    <w:tmpl w:val="C804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63D44D6"/>
    <w:multiLevelType w:val="multilevel"/>
    <w:tmpl w:val="05F6E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71362C3"/>
    <w:multiLevelType w:val="hybridMultilevel"/>
    <w:tmpl w:val="3C421586"/>
    <w:styleLink w:val="Importovanstyl5"/>
    <w:lvl w:ilvl="0" w:tplc="23BC40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6F050F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F0E9EF4">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1CB998">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8B4FAE4">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6641CC0">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0822300">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783562">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FCCA2E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5" w15:restartNumberingAfterBreak="0">
    <w:nsid w:val="47403697"/>
    <w:multiLevelType w:val="multilevel"/>
    <w:tmpl w:val="1312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7AA7DD4"/>
    <w:multiLevelType w:val="hybridMultilevel"/>
    <w:tmpl w:val="A540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7B701AF"/>
    <w:multiLevelType w:val="hybridMultilevel"/>
    <w:tmpl w:val="D4A8CF4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8" w15:restartNumberingAfterBreak="0">
    <w:nsid w:val="48632F7B"/>
    <w:multiLevelType w:val="multilevel"/>
    <w:tmpl w:val="7680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9E5255B"/>
    <w:multiLevelType w:val="multilevel"/>
    <w:tmpl w:val="993C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A7F1C94"/>
    <w:multiLevelType w:val="multilevel"/>
    <w:tmpl w:val="F0069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AB4330D"/>
    <w:multiLevelType w:val="hybridMultilevel"/>
    <w:tmpl w:val="699A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AF30D92"/>
    <w:multiLevelType w:val="multilevel"/>
    <w:tmpl w:val="55FE5B40"/>
    <w:lvl w:ilvl="0">
      <w:numFmt w:val="bullet"/>
      <w:lvlText w:val="•"/>
      <w:lvlJc w:val="left"/>
      <w:pPr>
        <w:tabs>
          <w:tab w:val="num" w:pos="720"/>
        </w:tabs>
        <w:ind w:left="720" w:hanging="360"/>
      </w:pPr>
      <w:rPr>
        <w:rFonts w:ascii="Calibri" w:eastAsia="Times New Roman" w:hAnsi="Calibri" w:cs="Calibri"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B7A56F2"/>
    <w:multiLevelType w:val="multilevel"/>
    <w:tmpl w:val="B178F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BA36A6D"/>
    <w:multiLevelType w:val="multilevel"/>
    <w:tmpl w:val="686A2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C5219CD"/>
    <w:multiLevelType w:val="hybridMultilevel"/>
    <w:tmpl w:val="0BD2E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3E0245"/>
    <w:multiLevelType w:val="multilevel"/>
    <w:tmpl w:val="E3F6E4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E7B0038"/>
    <w:multiLevelType w:val="multilevel"/>
    <w:tmpl w:val="187A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F221755"/>
    <w:multiLevelType w:val="multilevel"/>
    <w:tmpl w:val="AC6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F6B0390"/>
    <w:multiLevelType w:val="hybridMultilevel"/>
    <w:tmpl w:val="982C3A5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0550984"/>
    <w:multiLevelType w:val="hybridMultilevel"/>
    <w:tmpl w:val="74FC647A"/>
    <w:styleLink w:val="Importovanstyl8"/>
    <w:lvl w:ilvl="0" w:tplc="0CA0AD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7295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AAD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36D4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525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38C4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CF2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04D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D662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51EA532F"/>
    <w:multiLevelType w:val="multilevel"/>
    <w:tmpl w:val="EAA09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2235247"/>
    <w:multiLevelType w:val="hybridMultilevel"/>
    <w:tmpl w:val="694AD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2315FEF"/>
    <w:multiLevelType w:val="hybridMultilevel"/>
    <w:tmpl w:val="BAD4E4E8"/>
    <w:lvl w:ilvl="0" w:tplc="C90A1BFE">
      <w:start w:val="1"/>
      <w:numFmt w:val="bullet"/>
      <w:lvlText w:val="o"/>
      <w:lvlJc w:val="left"/>
      <w:pPr>
        <w:ind w:left="720" w:hanging="360"/>
      </w:pPr>
      <w:rPr>
        <w:rFonts w:ascii="Courier New" w:eastAsia="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55" w15:restartNumberingAfterBreak="0">
    <w:nsid w:val="52CD5111"/>
    <w:multiLevelType w:val="multilevel"/>
    <w:tmpl w:val="A3023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40D31C6"/>
    <w:multiLevelType w:val="multilevel"/>
    <w:tmpl w:val="5CDAA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4132BB5"/>
    <w:multiLevelType w:val="multilevel"/>
    <w:tmpl w:val="03EEF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429794C"/>
    <w:multiLevelType w:val="hybridMultilevel"/>
    <w:tmpl w:val="6D74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073EEE"/>
    <w:multiLevelType w:val="hybridMultilevel"/>
    <w:tmpl w:val="19C85440"/>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55D62CF5"/>
    <w:multiLevelType w:val="multilevel"/>
    <w:tmpl w:val="E9BC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5F31103"/>
    <w:multiLevelType w:val="multilevel"/>
    <w:tmpl w:val="AD6EE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5F72A59"/>
    <w:multiLevelType w:val="multilevel"/>
    <w:tmpl w:val="AB44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65D7360"/>
    <w:multiLevelType w:val="hybridMultilevel"/>
    <w:tmpl w:val="F3AE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641565"/>
    <w:multiLevelType w:val="multilevel"/>
    <w:tmpl w:val="029C5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7825CF6"/>
    <w:multiLevelType w:val="hybridMultilevel"/>
    <w:tmpl w:val="1946F3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93E6917"/>
    <w:multiLevelType w:val="multilevel"/>
    <w:tmpl w:val="E3CA6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94A3013"/>
    <w:multiLevelType w:val="hybridMultilevel"/>
    <w:tmpl w:val="E6F8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9B074C9"/>
    <w:multiLevelType w:val="multilevel"/>
    <w:tmpl w:val="6466F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59E43BCB"/>
    <w:multiLevelType w:val="hybridMultilevel"/>
    <w:tmpl w:val="38E4D6A6"/>
    <w:styleLink w:val="Importovanstyl3"/>
    <w:lvl w:ilvl="0" w:tplc="39CA8864">
      <w:start w:val="1"/>
      <w:numFmt w:val="bullet"/>
      <w:lvlText w:val="o"/>
      <w:lvlJc w:val="left"/>
      <w:pPr>
        <w:ind w:left="75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F04498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08E672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A729A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7C4ECB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42AD50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2087BE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332C81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AACABC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59FA20DC"/>
    <w:multiLevelType w:val="multilevel"/>
    <w:tmpl w:val="7452E2D2"/>
    <w:lvl w:ilvl="0">
      <w:start w:val="1"/>
      <w:numFmt w:val="decimal"/>
      <w:pStyle w:val="Pedja1"/>
      <w:lvlText w:val="%1."/>
      <w:lvlJc w:val="left"/>
      <w:pPr>
        <w:ind w:left="2520" w:hanging="360"/>
      </w:pPr>
      <w:rPr>
        <w:rFonts w:cs="Times New Roman" w:hint="default"/>
        <w:b/>
      </w:rPr>
    </w:lvl>
    <w:lvl w:ilvl="1">
      <w:start w:val="1"/>
      <w:numFmt w:val="decimal"/>
      <w:pStyle w:val="Pedja2"/>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1" w15:restartNumberingAfterBreak="0">
    <w:nsid w:val="5A0C3C4B"/>
    <w:multiLevelType w:val="multilevel"/>
    <w:tmpl w:val="60B67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A274547"/>
    <w:multiLevelType w:val="hybridMultilevel"/>
    <w:tmpl w:val="BD6A25B0"/>
    <w:lvl w:ilvl="0" w:tplc="04090001">
      <w:start w:val="1"/>
      <w:numFmt w:val="bullet"/>
      <w:lvlText w:val=""/>
      <w:lvlJc w:val="left"/>
      <w:pPr>
        <w:ind w:left="720" w:hanging="360"/>
      </w:pPr>
      <w:rPr>
        <w:rFonts w:ascii="Symbol" w:hAnsi="Symbol" w:hint="default"/>
      </w:rPr>
    </w:lvl>
    <w:lvl w:ilvl="1" w:tplc="36DA9EEC">
      <w:start w:val="5"/>
      <w:numFmt w:val="bullet"/>
      <w:lvlText w:val="•"/>
      <w:lvlJc w:val="left"/>
      <w:pPr>
        <w:ind w:left="1440" w:hanging="360"/>
      </w:pPr>
      <w:rPr>
        <w:rFonts w:ascii="Calibri" w:eastAsiaTheme="minorHAnsi" w:hAnsi="Calibri" w:cs="Calibr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290361"/>
    <w:multiLevelType w:val="multilevel"/>
    <w:tmpl w:val="80024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B2C0098"/>
    <w:multiLevelType w:val="hybridMultilevel"/>
    <w:tmpl w:val="E078E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3E7A97"/>
    <w:multiLevelType w:val="multilevel"/>
    <w:tmpl w:val="245EB660"/>
    <w:lvl w:ilvl="0">
      <w:start w:val="1"/>
      <w:numFmt w:val="decimal"/>
      <w:pStyle w:val="Heading1"/>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5C707374"/>
    <w:multiLevelType w:val="multilevel"/>
    <w:tmpl w:val="EB94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CAD32D2"/>
    <w:multiLevelType w:val="hybridMultilevel"/>
    <w:tmpl w:val="3062AEC2"/>
    <w:lvl w:ilvl="0" w:tplc="846EE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5D106AE7"/>
    <w:multiLevelType w:val="multilevel"/>
    <w:tmpl w:val="F8D46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D8C0D16"/>
    <w:multiLevelType w:val="multilevel"/>
    <w:tmpl w:val="5F8A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E45596B"/>
    <w:multiLevelType w:val="multilevel"/>
    <w:tmpl w:val="3ADC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EA94D95"/>
    <w:multiLevelType w:val="hybridMultilevel"/>
    <w:tmpl w:val="2FF089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F6453E0"/>
    <w:multiLevelType w:val="multilevel"/>
    <w:tmpl w:val="11E25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F824AE9"/>
    <w:multiLevelType w:val="multilevel"/>
    <w:tmpl w:val="2FE0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10A0B35"/>
    <w:multiLevelType w:val="hybridMultilevel"/>
    <w:tmpl w:val="4DBCB1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5" w15:restartNumberingAfterBreak="0">
    <w:nsid w:val="621A3C05"/>
    <w:multiLevelType w:val="multilevel"/>
    <w:tmpl w:val="B0F4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25A5653"/>
    <w:multiLevelType w:val="multilevel"/>
    <w:tmpl w:val="E2EE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2785A2E"/>
    <w:multiLevelType w:val="multilevel"/>
    <w:tmpl w:val="9D52F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27B4C39"/>
    <w:multiLevelType w:val="multilevel"/>
    <w:tmpl w:val="EAFC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27E4E34"/>
    <w:multiLevelType w:val="hybridMultilevel"/>
    <w:tmpl w:val="A7888174"/>
    <w:lvl w:ilvl="0" w:tplc="0409000F">
      <w:start w:val="1"/>
      <w:numFmt w:val="decimal"/>
      <w:lvlText w:val="%1."/>
      <w:lvlJc w:val="left"/>
      <w:pPr>
        <w:ind w:left="1440" w:hanging="360"/>
      </w:pPr>
    </w:lvl>
    <w:lvl w:ilvl="1" w:tplc="1166CE1A">
      <w:numFmt w:val="bullet"/>
      <w:lvlText w:val="•"/>
      <w:lvlJc w:val="left"/>
      <w:pPr>
        <w:ind w:left="2520" w:hanging="720"/>
      </w:pPr>
      <w:rPr>
        <w:rFonts w:ascii="Times New Roman" w:eastAsia="Times New Roman" w:hAnsi="Times New Roman" w:cs="Times New Roman" w:hint="default"/>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62E6633D"/>
    <w:multiLevelType w:val="multilevel"/>
    <w:tmpl w:val="B9BC0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38C2BDE"/>
    <w:multiLevelType w:val="hybridMultilevel"/>
    <w:tmpl w:val="204445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41410BC"/>
    <w:multiLevelType w:val="hybridMultilevel"/>
    <w:tmpl w:val="7F4A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4821FF3"/>
    <w:multiLevelType w:val="hybridMultilevel"/>
    <w:tmpl w:val="CBDC71C4"/>
    <w:styleLink w:val="Importovanstyl2"/>
    <w:lvl w:ilvl="0" w:tplc="DE76EA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7EE972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0DA0C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840F69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6703A8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23C90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C5A86D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468C2C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ED256F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4" w15:restartNumberingAfterBreak="0">
    <w:nsid w:val="65FC452C"/>
    <w:multiLevelType w:val="hybridMultilevel"/>
    <w:tmpl w:val="4DAC2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63D6E19"/>
    <w:multiLevelType w:val="hybridMultilevel"/>
    <w:tmpl w:val="25E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75D340F"/>
    <w:multiLevelType w:val="hybridMultilevel"/>
    <w:tmpl w:val="FF6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7FD166D"/>
    <w:multiLevelType w:val="hybridMultilevel"/>
    <w:tmpl w:val="3C421586"/>
    <w:numStyleLink w:val="Importovanstyl5"/>
  </w:abstractNum>
  <w:abstractNum w:abstractNumId="198" w15:restartNumberingAfterBreak="0">
    <w:nsid w:val="69CB6E32"/>
    <w:multiLevelType w:val="multilevel"/>
    <w:tmpl w:val="A36A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A423358"/>
    <w:multiLevelType w:val="multilevel"/>
    <w:tmpl w:val="ED906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B16688E"/>
    <w:multiLevelType w:val="hybridMultilevel"/>
    <w:tmpl w:val="90E07A4A"/>
    <w:lvl w:ilvl="0" w:tplc="AD68EC0E">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CC8163E"/>
    <w:multiLevelType w:val="multilevel"/>
    <w:tmpl w:val="F55C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CF6583C"/>
    <w:multiLevelType w:val="hybridMultilevel"/>
    <w:tmpl w:val="653286D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D0352F5"/>
    <w:multiLevelType w:val="hybridMultilevel"/>
    <w:tmpl w:val="74FC647A"/>
    <w:numStyleLink w:val="Importovanstyl8"/>
  </w:abstractNum>
  <w:abstractNum w:abstractNumId="204" w15:restartNumberingAfterBreak="0">
    <w:nsid w:val="6D202E6A"/>
    <w:multiLevelType w:val="multilevel"/>
    <w:tmpl w:val="BC36D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D2B67BE"/>
    <w:multiLevelType w:val="multilevel"/>
    <w:tmpl w:val="48DEE870"/>
    <w:lvl w:ilvl="0">
      <w:numFmt w:val="bullet"/>
      <w:lvlText w:val="•"/>
      <w:lvlJc w:val="left"/>
      <w:pPr>
        <w:tabs>
          <w:tab w:val="num" w:pos="720"/>
        </w:tabs>
        <w:ind w:left="720" w:hanging="360"/>
      </w:pPr>
      <w:rPr>
        <w:rFonts w:ascii="Calibri" w:eastAsia="Times New Roman" w:hAnsi="Calibri" w:cs="Calibri"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D41332C"/>
    <w:multiLevelType w:val="hybridMultilevel"/>
    <w:tmpl w:val="A3CE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D7620EE"/>
    <w:multiLevelType w:val="hybridMultilevel"/>
    <w:tmpl w:val="0AA4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DF470D5"/>
    <w:multiLevelType w:val="hybridMultilevel"/>
    <w:tmpl w:val="765E8DDA"/>
    <w:lvl w:ilvl="0" w:tplc="4FDADB94">
      <w:start w:val="1"/>
      <w:numFmt w:val="decimal"/>
      <w:pStyle w:val="Aneksi"/>
      <w:lvlText w:val="Aneks %1"/>
      <w:lvlJc w:val="left"/>
      <w:pPr>
        <w:tabs>
          <w:tab w:val="num" w:pos="1985"/>
        </w:tabs>
        <w:ind w:left="1985" w:hanging="1985"/>
      </w:pPr>
      <w:rPr>
        <w:rFonts w:ascii="Verdana" w:hAnsi="Verdana" w:cs="Times New Roman" w:hint="default"/>
        <w:b/>
        <w:i w:val="0"/>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6FBD6377"/>
    <w:multiLevelType w:val="hybridMultilevel"/>
    <w:tmpl w:val="51C69CAC"/>
    <w:styleLink w:val="Importovanstyl4"/>
    <w:lvl w:ilvl="0" w:tplc="1D92BFF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0CA24FE">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DE61E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ADC368A">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C04CCC8">
      <w:start w:val="1"/>
      <w:numFmt w:val="bullet"/>
      <w:lvlText w:val="o"/>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DE8EE1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3820F8C">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C61CCA">
      <w:start w:val="1"/>
      <w:numFmt w:val="bullet"/>
      <w:lvlText w:val="o"/>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7FEE466">
      <w:start w:val="1"/>
      <w:numFmt w:val="bullet"/>
      <w:lvlText w:val="▪"/>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70123142"/>
    <w:multiLevelType w:val="hybridMultilevel"/>
    <w:tmpl w:val="BA0607D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1E538DE"/>
    <w:multiLevelType w:val="hybridMultilevel"/>
    <w:tmpl w:val="51C69CAC"/>
    <w:numStyleLink w:val="Importovanstyl4"/>
  </w:abstractNum>
  <w:abstractNum w:abstractNumId="212" w15:restartNumberingAfterBreak="0">
    <w:nsid w:val="755E6A36"/>
    <w:multiLevelType w:val="multilevel"/>
    <w:tmpl w:val="60B67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5DC46B4"/>
    <w:multiLevelType w:val="hybridMultilevel"/>
    <w:tmpl w:val="38E4D6A6"/>
    <w:numStyleLink w:val="Importovanstyl3"/>
  </w:abstractNum>
  <w:abstractNum w:abstractNumId="214" w15:restartNumberingAfterBreak="0">
    <w:nsid w:val="75EF34E9"/>
    <w:multiLevelType w:val="hybridMultilevel"/>
    <w:tmpl w:val="811693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6590869"/>
    <w:multiLevelType w:val="multilevel"/>
    <w:tmpl w:val="CFB4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6AA2D7C"/>
    <w:multiLevelType w:val="multilevel"/>
    <w:tmpl w:val="528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6F27457"/>
    <w:multiLevelType w:val="multilevel"/>
    <w:tmpl w:val="D78CD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752626E"/>
    <w:multiLevelType w:val="multilevel"/>
    <w:tmpl w:val="AD8C7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8A06AD9"/>
    <w:multiLevelType w:val="multilevel"/>
    <w:tmpl w:val="85E2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9B44741"/>
    <w:multiLevelType w:val="multilevel"/>
    <w:tmpl w:val="A9B2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9E34AEA"/>
    <w:multiLevelType w:val="multilevel"/>
    <w:tmpl w:val="6CB03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9EE6D2D"/>
    <w:multiLevelType w:val="multilevel"/>
    <w:tmpl w:val="FCA61A94"/>
    <w:lvl w:ilvl="0">
      <w:start w:val="2"/>
      <w:numFmt w:val="decimal"/>
      <w:lvlText w:val="%1"/>
      <w:lvlJc w:val="left"/>
      <w:pPr>
        <w:tabs>
          <w:tab w:val="num" w:pos="360"/>
        </w:tabs>
        <w:ind w:left="360" w:hanging="360"/>
      </w:pPr>
      <w:rPr>
        <w:rFonts w:cs="Times New Roman" w:hint="default"/>
      </w:rPr>
    </w:lvl>
    <w:lvl w:ilvl="1">
      <w:start w:val="1"/>
      <w:numFmt w:val="decimal"/>
      <w:pStyle w:val="Stil1"/>
      <w:lvlText w:val="%1.%2"/>
      <w:lvlJc w:val="left"/>
      <w:pPr>
        <w:tabs>
          <w:tab w:val="num" w:pos="720"/>
        </w:tabs>
        <w:ind w:left="720" w:hanging="720"/>
      </w:pPr>
      <w:rPr>
        <w:rFonts w:ascii="Lucida Sans" w:hAnsi="Lucida Sans"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3" w15:restartNumberingAfterBreak="0">
    <w:nsid w:val="79F44B41"/>
    <w:multiLevelType w:val="hybridMultilevel"/>
    <w:tmpl w:val="A754E6A2"/>
    <w:lvl w:ilvl="0" w:tplc="26D62A1A">
      <w:start w:val="3"/>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9FA47CE"/>
    <w:multiLevelType w:val="hybridMultilevel"/>
    <w:tmpl w:val="DAEC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A573497"/>
    <w:multiLevelType w:val="multilevel"/>
    <w:tmpl w:val="692C5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A9E61FE"/>
    <w:multiLevelType w:val="multilevel"/>
    <w:tmpl w:val="2D2C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ACA6F77"/>
    <w:multiLevelType w:val="hybridMultilevel"/>
    <w:tmpl w:val="FF58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7ACB1A70"/>
    <w:multiLevelType w:val="multilevel"/>
    <w:tmpl w:val="FE5E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BD72B3F"/>
    <w:multiLevelType w:val="hybridMultilevel"/>
    <w:tmpl w:val="19066842"/>
    <w:lvl w:ilvl="0" w:tplc="5AA6FD60">
      <w:start w:val="1"/>
      <w:numFmt w:val="decimal"/>
      <w:pStyle w:val="Grafikon"/>
      <w:lvlText w:val="Grafikon %1."/>
      <w:lvlJc w:val="left"/>
      <w:pPr>
        <w:ind w:left="360" w:hanging="360"/>
      </w:pPr>
      <w:rPr>
        <w:rFonts w:ascii="Calibri" w:hAnsi="Calibri" w:cs="Times New Roman" w:hint="default"/>
        <w:b/>
        <w:i/>
        <w:color w:val="000000" w:themeColor="text1"/>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15:restartNumberingAfterBreak="0">
    <w:nsid w:val="7C3A135A"/>
    <w:multiLevelType w:val="hybridMultilevel"/>
    <w:tmpl w:val="19D8C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CF51BBA"/>
    <w:multiLevelType w:val="hybridMultilevel"/>
    <w:tmpl w:val="D344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DC42C73"/>
    <w:multiLevelType w:val="multilevel"/>
    <w:tmpl w:val="FF14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E4145A6"/>
    <w:multiLevelType w:val="hybridMultilevel"/>
    <w:tmpl w:val="3FF288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7E901D50"/>
    <w:multiLevelType w:val="hybridMultilevel"/>
    <w:tmpl w:val="59A45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C3522A"/>
    <w:multiLevelType w:val="hybridMultilevel"/>
    <w:tmpl w:val="B3DC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F8739D8"/>
    <w:multiLevelType w:val="multilevel"/>
    <w:tmpl w:val="AB08D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FC759B7"/>
    <w:multiLevelType w:val="hybridMultilevel"/>
    <w:tmpl w:val="0144E9AA"/>
    <w:lvl w:ilvl="0" w:tplc="67CC677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7"/>
  </w:num>
  <w:num w:numId="2">
    <w:abstractNumId w:val="176"/>
  </w:num>
  <w:num w:numId="3">
    <w:abstractNumId w:val="11"/>
  </w:num>
  <w:num w:numId="4">
    <w:abstractNumId w:val="120"/>
  </w:num>
  <w:num w:numId="5">
    <w:abstractNumId w:val="152"/>
  </w:num>
  <w:num w:numId="6">
    <w:abstractNumId w:val="15"/>
  </w:num>
  <w:num w:numId="7">
    <w:abstractNumId w:val="234"/>
  </w:num>
  <w:num w:numId="8">
    <w:abstractNumId w:val="32"/>
  </w:num>
  <w:num w:numId="9">
    <w:abstractNumId w:val="191"/>
  </w:num>
  <w:num w:numId="10">
    <w:abstractNumId w:val="49"/>
  </w:num>
  <w:num w:numId="11">
    <w:abstractNumId w:val="34"/>
  </w:num>
  <w:num w:numId="12">
    <w:abstractNumId w:val="21"/>
  </w:num>
  <w:num w:numId="13">
    <w:abstractNumId w:val="93"/>
  </w:num>
  <w:num w:numId="14">
    <w:abstractNumId w:val="198"/>
  </w:num>
  <w:num w:numId="15">
    <w:abstractNumId w:val="42"/>
  </w:num>
  <w:num w:numId="16">
    <w:abstractNumId w:val="154"/>
  </w:num>
  <w:num w:numId="17">
    <w:abstractNumId w:val="30"/>
  </w:num>
  <w:num w:numId="18">
    <w:abstractNumId w:val="10"/>
  </w:num>
  <w:num w:numId="19">
    <w:abstractNumId w:val="222"/>
  </w:num>
  <w:num w:numId="20">
    <w:abstractNumId w:val="231"/>
  </w:num>
  <w:num w:numId="21">
    <w:abstractNumId w:val="101"/>
  </w:num>
  <w:num w:numId="22">
    <w:abstractNumId w:val="61"/>
  </w:num>
  <w:num w:numId="23">
    <w:abstractNumId w:val="73"/>
  </w:num>
  <w:num w:numId="24">
    <w:abstractNumId w:val="4"/>
  </w:num>
  <w:num w:numId="25">
    <w:abstractNumId w:val="208"/>
  </w:num>
  <w:num w:numId="26">
    <w:abstractNumId w:val="54"/>
  </w:num>
  <w:num w:numId="27">
    <w:abstractNumId w:val="229"/>
  </w:num>
  <w:num w:numId="28">
    <w:abstractNumId w:val="194"/>
  </w:num>
  <w:num w:numId="29">
    <w:abstractNumId w:val="210"/>
  </w:num>
  <w:num w:numId="30">
    <w:abstractNumId w:val="136"/>
  </w:num>
  <w:num w:numId="31">
    <w:abstractNumId w:val="163"/>
  </w:num>
  <w:num w:numId="32">
    <w:abstractNumId w:val="200"/>
  </w:num>
  <w:num w:numId="33">
    <w:abstractNumId w:val="223"/>
  </w:num>
  <w:num w:numId="34">
    <w:abstractNumId w:val="177"/>
  </w:num>
  <w:num w:numId="35">
    <w:abstractNumId w:val="170"/>
  </w:num>
  <w:num w:numId="36">
    <w:abstractNumId w:val="81"/>
  </w:num>
  <w:num w:numId="37">
    <w:abstractNumId w:val="131"/>
  </w:num>
  <w:num w:numId="38">
    <w:abstractNumId w:val="82"/>
  </w:num>
  <w:num w:numId="39">
    <w:abstractNumId w:val="5"/>
  </w:num>
  <w:num w:numId="40">
    <w:abstractNumId w:val="186"/>
  </w:num>
  <w:num w:numId="41">
    <w:abstractNumId w:val="96"/>
  </w:num>
  <w:num w:numId="42">
    <w:abstractNumId w:val="48"/>
  </w:num>
  <w:num w:numId="43">
    <w:abstractNumId w:val="139"/>
  </w:num>
  <w:num w:numId="44">
    <w:abstractNumId w:val="89"/>
  </w:num>
  <w:num w:numId="45">
    <w:abstractNumId w:val="69"/>
  </w:num>
  <w:num w:numId="46">
    <w:abstractNumId w:val="138"/>
  </w:num>
  <w:num w:numId="47">
    <w:abstractNumId w:val="157"/>
  </w:num>
  <w:num w:numId="48">
    <w:abstractNumId w:val="114"/>
  </w:num>
  <w:num w:numId="49">
    <w:abstractNumId w:val="94"/>
  </w:num>
  <w:num w:numId="50">
    <w:abstractNumId w:val="132"/>
  </w:num>
  <w:num w:numId="51">
    <w:abstractNumId w:val="206"/>
  </w:num>
  <w:num w:numId="52">
    <w:abstractNumId w:val="27"/>
  </w:num>
  <w:num w:numId="53">
    <w:abstractNumId w:val="7"/>
  </w:num>
  <w:num w:numId="54">
    <w:abstractNumId w:val="43"/>
  </w:num>
  <w:num w:numId="55">
    <w:abstractNumId w:val="126"/>
  </w:num>
  <w:num w:numId="56">
    <w:abstractNumId w:val="189"/>
  </w:num>
  <w:num w:numId="57">
    <w:abstractNumId w:val="228"/>
  </w:num>
  <w:num w:numId="58">
    <w:abstractNumId w:val="0"/>
  </w:num>
  <w:num w:numId="59">
    <w:abstractNumId w:val="74"/>
  </w:num>
  <w:num w:numId="60">
    <w:abstractNumId w:val="188"/>
  </w:num>
  <w:num w:numId="61">
    <w:abstractNumId w:val="29"/>
  </w:num>
  <w:num w:numId="62">
    <w:abstractNumId w:val="149"/>
  </w:num>
  <w:num w:numId="63">
    <w:abstractNumId w:val="35"/>
  </w:num>
  <w:num w:numId="64">
    <w:abstractNumId w:val="40"/>
  </w:num>
  <w:num w:numId="65">
    <w:abstractNumId w:val="68"/>
  </w:num>
  <w:num w:numId="66">
    <w:abstractNumId w:val="107"/>
  </w:num>
  <w:num w:numId="67">
    <w:abstractNumId w:val="180"/>
  </w:num>
  <w:num w:numId="68">
    <w:abstractNumId w:val="84"/>
  </w:num>
  <w:num w:numId="69">
    <w:abstractNumId w:val="1"/>
  </w:num>
  <w:num w:numId="70">
    <w:abstractNumId w:val="220"/>
  </w:num>
  <w:num w:numId="71">
    <w:abstractNumId w:val="18"/>
  </w:num>
  <w:num w:numId="72">
    <w:abstractNumId w:val="64"/>
  </w:num>
  <w:num w:numId="73">
    <w:abstractNumId w:val="90"/>
  </w:num>
  <w:num w:numId="74">
    <w:abstractNumId w:val="62"/>
  </w:num>
  <w:num w:numId="75">
    <w:abstractNumId w:val="232"/>
  </w:num>
  <w:num w:numId="76">
    <w:abstractNumId w:val="44"/>
  </w:num>
  <w:num w:numId="77">
    <w:abstractNumId w:val="38"/>
  </w:num>
  <w:num w:numId="78">
    <w:abstractNumId w:val="80"/>
  </w:num>
  <w:num w:numId="79">
    <w:abstractNumId w:val="116"/>
  </w:num>
  <w:num w:numId="80">
    <w:abstractNumId w:val="179"/>
  </w:num>
  <w:num w:numId="81">
    <w:abstractNumId w:val="125"/>
  </w:num>
  <w:num w:numId="82">
    <w:abstractNumId w:val="135"/>
  </w:num>
  <w:num w:numId="83">
    <w:abstractNumId w:val="6"/>
  </w:num>
  <w:num w:numId="84">
    <w:abstractNumId w:val="119"/>
  </w:num>
  <w:num w:numId="85">
    <w:abstractNumId w:val="92"/>
  </w:num>
  <w:num w:numId="86">
    <w:abstractNumId w:val="102"/>
  </w:num>
  <w:num w:numId="87">
    <w:abstractNumId w:val="193"/>
  </w:num>
  <w:num w:numId="88">
    <w:abstractNumId w:val="85"/>
  </w:num>
  <w:num w:numId="89">
    <w:abstractNumId w:val="169"/>
  </w:num>
  <w:num w:numId="90">
    <w:abstractNumId w:val="213"/>
  </w:num>
  <w:num w:numId="91">
    <w:abstractNumId w:val="209"/>
  </w:num>
  <w:num w:numId="92">
    <w:abstractNumId w:val="211"/>
  </w:num>
  <w:num w:numId="93">
    <w:abstractNumId w:val="134"/>
  </w:num>
  <w:num w:numId="94">
    <w:abstractNumId w:val="197"/>
  </w:num>
  <w:num w:numId="95">
    <w:abstractNumId w:val="2"/>
  </w:num>
  <w:num w:numId="96">
    <w:abstractNumId w:val="36"/>
  </w:num>
  <w:num w:numId="97">
    <w:abstractNumId w:val="150"/>
  </w:num>
  <w:num w:numId="98">
    <w:abstractNumId w:val="203"/>
  </w:num>
  <w:num w:numId="99">
    <w:abstractNumId w:val="52"/>
  </w:num>
  <w:num w:numId="100">
    <w:abstractNumId w:val="47"/>
  </w:num>
  <w:num w:numId="101">
    <w:abstractNumId w:val="33"/>
  </w:num>
  <w:num w:numId="102">
    <w:abstractNumId w:val="118"/>
  </w:num>
  <w:num w:numId="103">
    <w:abstractNumId w:val="127"/>
  </w:num>
  <w:num w:numId="104">
    <w:abstractNumId w:val="148"/>
  </w:num>
  <w:num w:numId="105">
    <w:abstractNumId w:val="22"/>
  </w:num>
  <w:num w:numId="106">
    <w:abstractNumId w:val="153"/>
  </w:num>
  <w:num w:numId="107">
    <w:abstractNumId w:val="219"/>
  </w:num>
  <w:num w:numId="108">
    <w:abstractNumId w:val="39"/>
  </w:num>
  <w:num w:numId="109">
    <w:abstractNumId w:val="145"/>
  </w:num>
  <w:num w:numId="110">
    <w:abstractNumId w:val="91"/>
  </w:num>
  <w:num w:numId="111">
    <w:abstractNumId w:val="75"/>
  </w:num>
  <w:num w:numId="112">
    <w:abstractNumId w:val="113"/>
  </w:num>
  <w:num w:numId="113">
    <w:abstractNumId w:val="230"/>
  </w:num>
  <w:num w:numId="114">
    <w:abstractNumId w:val="3"/>
  </w:num>
  <w:num w:numId="115">
    <w:abstractNumId w:val="124"/>
  </w:num>
  <w:num w:numId="116">
    <w:abstractNumId w:val="121"/>
  </w:num>
  <w:num w:numId="117">
    <w:abstractNumId w:val="237"/>
  </w:num>
  <w:num w:numId="118">
    <w:abstractNumId w:val="28"/>
  </w:num>
  <w:num w:numId="119">
    <w:abstractNumId w:val="31"/>
  </w:num>
  <w:num w:numId="120">
    <w:abstractNumId w:val="111"/>
  </w:num>
  <w:num w:numId="121">
    <w:abstractNumId w:val="205"/>
  </w:num>
  <w:num w:numId="122">
    <w:abstractNumId w:val="142"/>
  </w:num>
  <w:num w:numId="123">
    <w:abstractNumId w:val="123"/>
  </w:num>
  <w:num w:numId="124">
    <w:abstractNumId w:val="26"/>
  </w:num>
  <w:num w:numId="125">
    <w:abstractNumId w:val="50"/>
  </w:num>
  <w:num w:numId="126">
    <w:abstractNumId w:val="16"/>
  </w:num>
  <w:num w:numId="127">
    <w:abstractNumId w:val="207"/>
  </w:num>
  <w:num w:numId="128">
    <w:abstractNumId w:val="196"/>
  </w:num>
  <w:num w:numId="129">
    <w:abstractNumId w:val="95"/>
  </w:num>
  <w:num w:numId="130">
    <w:abstractNumId w:val="159"/>
  </w:num>
  <w:num w:numId="131">
    <w:abstractNumId w:val="172"/>
  </w:num>
  <w:num w:numId="132">
    <w:abstractNumId w:val="167"/>
  </w:num>
  <w:num w:numId="133">
    <w:abstractNumId w:val="192"/>
  </w:num>
  <w:num w:numId="134">
    <w:abstractNumId w:val="112"/>
  </w:num>
  <w:num w:numId="135">
    <w:abstractNumId w:val="183"/>
  </w:num>
  <w:num w:numId="136">
    <w:abstractNumId w:val="158"/>
  </w:num>
  <w:num w:numId="137">
    <w:abstractNumId w:val="165"/>
  </w:num>
  <w:num w:numId="138">
    <w:abstractNumId w:val="83"/>
  </w:num>
  <w:num w:numId="139">
    <w:abstractNumId w:val="108"/>
  </w:num>
  <w:num w:numId="140">
    <w:abstractNumId w:val="174"/>
  </w:num>
  <w:num w:numId="141">
    <w:abstractNumId w:val="23"/>
  </w:num>
  <w:num w:numId="142">
    <w:abstractNumId w:val="117"/>
  </w:num>
  <w:num w:numId="143">
    <w:abstractNumId w:val="115"/>
  </w:num>
  <w:num w:numId="144">
    <w:abstractNumId w:val="181"/>
  </w:num>
  <w:num w:numId="145">
    <w:abstractNumId w:val="106"/>
  </w:num>
  <w:num w:numId="146">
    <w:abstractNumId w:val="100"/>
  </w:num>
  <w:num w:numId="147">
    <w:abstractNumId w:val="72"/>
  </w:num>
  <w:num w:numId="148">
    <w:abstractNumId w:val="88"/>
  </w:num>
  <w:num w:numId="149">
    <w:abstractNumId w:val="141"/>
  </w:num>
  <w:num w:numId="150">
    <w:abstractNumId w:val="202"/>
  </w:num>
  <w:num w:numId="151">
    <w:abstractNumId w:val="78"/>
  </w:num>
  <w:num w:numId="152">
    <w:abstractNumId w:val="109"/>
  </w:num>
  <w:num w:numId="153">
    <w:abstractNumId w:val="235"/>
  </w:num>
  <w:num w:numId="154">
    <w:abstractNumId w:val="233"/>
  </w:num>
  <w:num w:numId="155">
    <w:abstractNumId w:val="86"/>
  </w:num>
  <w:num w:numId="156">
    <w:abstractNumId w:val="195"/>
  </w:num>
  <w:num w:numId="157">
    <w:abstractNumId w:val="55"/>
  </w:num>
  <w:num w:numId="158">
    <w:abstractNumId w:val="97"/>
  </w:num>
  <w:num w:numId="159">
    <w:abstractNumId w:val="59"/>
  </w:num>
  <w:num w:numId="160">
    <w:abstractNumId w:val="214"/>
  </w:num>
  <w:num w:numId="161">
    <w:abstractNumId w:val="46"/>
  </w:num>
  <w:num w:numId="162">
    <w:abstractNumId w:val="24"/>
  </w:num>
  <w:num w:numId="163">
    <w:abstractNumId w:val="104"/>
  </w:num>
  <w:num w:numId="164">
    <w:abstractNumId w:val="224"/>
  </w:num>
  <w:num w:numId="165">
    <w:abstractNumId w:val="98"/>
  </w:num>
  <w:num w:numId="166">
    <w:abstractNumId w:val="122"/>
  </w:num>
  <w:num w:numId="167">
    <w:abstractNumId w:val="110"/>
  </w:num>
  <w:num w:numId="168">
    <w:abstractNumId w:val="130"/>
  </w:num>
  <w:num w:numId="169">
    <w:abstractNumId w:val="184"/>
  </w:num>
  <w:num w:numId="170">
    <w:abstractNumId w:val="137"/>
  </w:num>
  <w:num w:numId="171">
    <w:abstractNumId w:val="45"/>
  </w:num>
  <w:num w:numId="172">
    <w:abstractNumId w:val="216"/>
  </w:num>
  <w:num w:numId="173">
    <w:abstractNumId w:val="160"/>
  </w:num>
  <w:num w:numId="174">
    <w:abstractNumId w:val="13"/>
  </w:num>
  <w:num w:numId="175">
    <w:abstractNumId w:val="226"/>
  </w:num>
  <w:num w:numId="176">
    <w:abstractNumId w:val="215"/>
  </w:num>
  <w:num w:numId="177">
    <w:abstractNumId w:val="76"/>
  </w:num>
  <w:num w:numId="178">
    <w:abstractNumId w:val="201"/>
  </w:num>
  <w:num w:numId="179">
    <w:abstractNumId w:val="236"/>
  </w:num>
  <w:num w:numId="180">
    <w:abstractNumId w:val="199"/>
  </w:num>
  <w:num w:numId="181">
    <w:abstractNumId w:val="144"/>
  </w:num>
  <w:num w:numId="182">
    <w:abstractNumId w:val="71"/>
  </w:num>
  <w:num w:numId="183">
    <w:abstractNumId w:val="129"/>
  </w:num>
  <w:num w:numId="184">
    <w:abstractNumId w:val="8"/>
  </w:num>
  <w:num w:numId="185">
    <w:abstractNumId w:val="51"/>
  </w:num>
  <w:num w:numId="186">
    <w:abstractNumId w:val="41"/>
  </w:num>
  <w:num w:numId="187">
    <w:abstractNumId w:val="173"/>
  </w:num>
  <w:num w:numId="18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0"/>
  </w:num>
  <w:num w:numId="190">
    <w:abstractNumId w:val="70"/>
  </w:num>
  <w:num w:numId="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4"/>
  </w:num>
  <w:num w:numId="193">
    <w:abstractNumId w:val="151"/>
  </w:num>
  <w:num w:numId="194">
    <w:abstractNumId w:val="133"/>
  </w:num>
  <w:num w:numId="195">
    <w:abstractNumId w:val="161"/>
  </w:num>
  <w:num w:numId="196">
    <w:abstractNumId w:val="19"/>
  </w:num>
  <w:num w:numId="197">
    <w:abstractNumId w:val="99"/>
  </w:num>
  <w:num w:numId="198">
    <w:abstractNumId w:val="164"/>
  </w:num>
  <w:num w:numId="199">
    <w:abstractNumId w:val="140"/>
  </w:num>
  <w:num w:numId="200">
    <w:abstractNumId w:val="218"/>
  </w:num>
  <w:num w:numId="201">
    <w:abstractNumId w:val="217"/>
  </w:num>
  <w:num w:numId="202">
    <w:abstractNumId w:val="155"/>
  </w:num>
  <w:num w:numId="203">
    <w:abstractNumId w:val="225"/>
  </w:num>
  <w:num w:numId="204">
    <w:abstractNumId w:val="166"/>
  </w:num>
  <w:num w:numId="205">
    <w:abstractNumId w:val="67"/>
  </w:num>
  <w:num w:numId="206">
    <w:abstractNumId w:val="14"/>
  </w:num>
  <w:num w:numId="207">
    <w:abstractNumId w:val="221"/>
  </w:num>
  <w:num w:numId="208">
    <w:abstractNumId w:val="182"/>
  </w:num>
  <w:num w:numId="209">
    <w:abstractNumId w:val="53"/>
  </w:num>
  <w:num w:numId="210">
    <w:abstractNumId w:val="79"/>
  </w:num>
  <w:num w:numId="211">
    <w:abstractNumId w:val="227"/>
  </w:num>
  <w:num w:numId="212">
    <w:abstractNumId w:val="77"/>
  </w:num>
  <w:num w:numId="213">
    <w:abstractNumId w:val="143"/>
  </w:num>
  <w:num w:numId="214">
    <w:abstractNumId w:val="60"/>
  </w:num>
  <w:num w:numId="215">
    <w:abstractNumId w:val="65"/>
  </w:num>
  <w:num w:numId="216">
    <w:abstractNumId w:val="103"/>
  </w:num>
  <w:num w:numId="217">
    <w:abstractNumId w:val="56"/>
  </w:num>
  <w:num w:numId="218">
    <w:abstractNumId w:val="178"/>
  </w:num>
  <w:num w:numId="219">
    <w:abstractNumId w:val="187"/>
  </w:num>
  <w:num w:numId="220">
    <w:abstractNumId w:val="156"/>
  </w:num>
  <w:num w:numId="221">
    <w:abstractNumId w:val="25"/>
  </w:num>
  <w:num w:numId="222">
    <w:abstractNumId w:val="63"/>
  </w:num>
  <w:num w:numId="223">
    <w:abstractNumId w:val="87"/>
  </w:num>
  <w:num w:numId="224">
    <w:abstractNumId w:val="105"/>
  </w:num>
  <w:num w:numId="225">
    <w:abstractNumId w:val="9"/>
  </w:num>
  <w:num w:numId="226">
    <w:abstractNumId w:val="171"/>
  </w:num>
  <w:num w:numId="227">
    <w:abstractNumId w:val="17"/>
  </w:num>
  <w:num w:numId="228">
    <w:abstractNumId w:val="212"/>
  </w:num>
  <w:num w:numId="229">
    <w:abstractNumId w:val="20"/>
  </w:num>
  <w:num w:numId="230">
    <w:abstractNumId w:val="66"/>
  </w:num>
  <w:num w:numId="231">
    <w:abstractNumId w:val="185"/>
  </w:num>
  <w:num w:numId="232">
    <w:abstractNumId w:val="162"/>
  </w:num>
  <w:num w:numId="233">
    <w:abstractNumId w:val="128"/>
  </w:num>
  <w:num w:numId="234">
    <w:abstractNumId w:val="58"/>
  </w:num>
  <w:num w:numId="235">
    <w:abstractNumId w:val="146"/>
  </w:num>
  <w:num w:numId="236">
    <w:abstractNumId w:val="57"/>
  </w:num>
  <w:num w:numId="237">
    <w:abstractNumId w:val="12"/>
  </w:num>
  <w:num w:numId="238">
    <w:abstractNumId w:val="175"/>
  </w:num>
  <w:num w:numId="23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9B1"/>
    <w:rsid w:val="00004F34"/>
    <w:rsid w:val="00033AB8"/>
    <w:rsid w:val="00056E0C"/>
    <w:rsid w:val="000707F6"/>
    <w:rsid w:val="000D1995"/>
    <w:rsid w:val="000E102A"/>
    <w:rsid w:val="001433E9"/>
    <w:rsid w:val="001600F4"/>
    <w:rsid w:val="00161DDA"/>
    <w:rsid w:val="001636B5"/>
    <w:rsid w:val="00180BB0"/>
    <w:rsid w:val="001D13C8"/>
    <w:rsid w:val="001E0396"/>
    <w:rsid w:val="00201FE9"/>
    <w:rsid w:val="002030D4"/>
    <w:rsid w:val="00215B11"/>
    <w:rsid w:val="002307C2"/>
    <w:rsid w:val="00232723"/>
    <w:rsid w:val="002330D2"/>
    <w:rsid w:val="00260C62"/>
    <w:rsid w:val="002773F8"/>
    <w:rsid w:val="00287359"/>
    <w:rsid w:val="00292255"/>
    <w:rsid w:val="00294C52"/>
    <w:rsid w:val="002A416E"/>
    <w:rsid w:val="002B19B1"/>
    <w:rsid w:val="002B20A9"/>
    <w:rsid w:val="002C17A7"/>
    <w:rsid w:val="002C477F"/>
    <w:rsid w:val="002D171D"/>
    <w:rsid w:val="002E5AB7"/>
    <w:rsid w:val="00301CC2"/>
    <w:rsid w:val="00341131"/>
    <w:rsid w:val="0037538F"/>
    <w:rsid w:val="00375D24"/>
    <w:rsid w:val="003B38C2"/>
    <w:rsid w:val="003B5212"/>
    <w:rsid w:val="003E0663"/>
    <w:rsid w:val="003F2793"/>
    <w:rsid w:val="0042690B"/>
    <w:rsid w:val="004313BC"/>
    <w:rsid w:val="00450A19"/>
    <w:rsid w:val="004748D1"/>
    <w:rsid w:val="004A37AE"/>
    <w:rsid w:val="004B3F97"/>
    <w:rsid w:val="004C4490"/>
    <w:rsid w:val="004D1159"/>
    <w:rsid w:val="004D1F54"/>
    <w:rsid w:val="004F6023"/>
    <w:rsid w:val="00517A49"/>
    <w:rsid w:val="00527FCF"/>
    <w:rsid w:val="00546BBA"/>
    <w:rsid w:val="00547278"/>
    <w:rsid w:val="00585516"/>
    <w:rsid w:val="005B7BBD"/>
    <w:rsid w:val="005C49B8"/>
    <w:rsid w:val="005F6AB6"/>
    <w:rsid w:val="00605352"/>
    <w:rsid w:val="006128C8"/>
    <w:rsid w:val="00626D74"/>
    <w:rsid w:val="00627937"/>
    <w:rsid w:val="00630BD2"/>
    <w:rsid w:val="00632BFA"/>
    <w:rsid w:val="00641C52"/>
    <w:rsid w:val="00660305"/>
    <w:rsid w:val="00664035"/>
    <w:rsid w:val="006705AC"/>
    <w:rsid w:val="00676A94"/>
    <w:rsid w:val="00682D20"/>
    <w:rsid w:val="006830BB"/>
    <w:rsid w:val="006D5D17"/>
    <w:rsid w:val="006E5F06"/>
    <w:rsid w:val="006F5A10"/>
    <w:rsid w:val="007271C9"/>
    <w:rsid w:val="00746115"/>
    <w:rsid w:val="00781655"/>
    <w:rsid w:val="007A23C1"/>
    <w:rsid w:val="007A344F"/>
    <w:rsid w:val="007C0CAC"/>
    <w:rsid w:val="007D1895"/>
    <w:rsid w:val="007E2AA5"/>
    <w:rsid w:val="007E4F27"/>
    <w:rsid w:val="007E6885"/>
    <w:rsid w:val="007F77A3"/>
    <w:rsid w:val="008015BD"/>
    <w:rsid w:val="0081146A"/>
    <w:rsid w:val="0081267C"/>
    <w:rsid w:val="00833A40"/>
    <w:rsid w:val="00855068"/>
    <w:rsid w:val="00862B9D"/>
    <w:rsid w:val="00873864"/>
    <w:rsid w:val="00876F1D"/>
    <w:rsid w:val="00880E62"/>
    <w:rsid w:val="008A4EEC"/>
    <w:rsid w:val="008C6146"/>
    <w:rsid w:val="008D701E"/>
    <w:rsid w:val="008F0594"/>
    <w:rsid w:val="00912C4C"/>
    <w:rsid w:val="0092561C"/>
    <w:rsid w:val="00974D2C"/>
    <w:rsid w:val="009756DA"/>
    <w:rsid w:val="00980FDF"/>
    <w:rsid w:val="00986418"/>
    <w:rsid w:val="009A331D"/>
    <w:rsid w:val="00A0529E"/>
    <w:rsid w:val="00A12257"/>
    <w:rsid w:val="00A225C0"/>
    <w:rsid w:val="00A370B8"/>
    <w:rsid w:val="00A4236D"/>
    <w:rsid w:val="00A46C29"/>
    <w:rsid w:val="00A83A7D"/>
    <w:rsid w:val="00A84005"/>
    <w:rsid w:val="00A916C3"/>
    <w:rsid w:val="00AA7D50"/>
    <w:rsid w:val="00AC407B"/>
    <w:rsid w:val="00AE0746"/>
    <w:rsid w:val="00B103DD"/>
    <w:rsid w:val="00B3420B"/>
    <w:rsid w:val="00B5295B"/>
    <w:rsid w:val="00B728FE"/>
    <w:rsid w:val="00B908DB"/>
    <w:rsid w:val="00B943CA"/>
    <w:rsid w:val="00BA2796"/>
    <w:rsid w:val="00BC765B"/>
    <w:rsid w:val="00BE6866"/>
    <w:rsid w:val="00C13F69"/>
    <w:rsid w:val="00C23D65"/>
    <w:rsid w:val="00C262FD"/>
    <w:rsid w:val="00C323EA"/>
    <w:rsid w:val="00C32CF1"/>
    <w:rsid w:val="00C4574D"/>
    <w:rsid w:val="00C86111"/>
    <w:rsid w:val="00C97FE5"/>
    <w:rsid w:val="00CB2BBA"/>
    <w:rsid w:val="00CC3651"/>
    <w:rsid w:val="00CC4EBF"/>
    <w:rsid w:val="00CD48E4"/>
    <w:rsid w:val="00D22FA2"/>
    <w:rsid w:val="00D4157B"/>
    <w:rsid w:val="00D46D3D"/>
    <w:rsid w:val="00D53DC7"/>
    <w:rsid w:val="00D611ED"/>
    <w:rsid w:val="00D95B9C"/>
    <w:rsid w:val="00D966EC"/>
    <w:rsid w:val="00DA1E30"/>
    <w:rsid w:val="00DB6429"/>
    <w:rsid w:val="00DE40D4"/>
    <w:rsid w:val="00E001F7"/>
    <w:rsid w:val="00E00B36"/>
    <w:rsid w:val="00E14B32"/>
    <w:rsid w:val="00E2027B"/>
    <w:rsid w:val="00E60765"/>
    <w:rsid w:val="00E65986"/>
    <w:rsid w:val="00E71878"/>
    <w:rsid w:val="00E90B7F"/>
    <w:rsid w:val="00E97913"/>
    <w:rsid w:val="00EA4C9D"/>
    <w:rsid w:val="00EA6904"/>
    <w:rsid w:val="00EC44A9"/>
    <w:rsid w:val="00F20120"/>
    <w:rsid w:val="00F47757"/>
    <w:rsid w:val="00F50788"/>
    <w:rsid w:val="00F562F0"/>
    <w:rsid w:val="00F57E42"/>
    <w:rsid w:val="00F603AA"/>
    <w:rsid w:val="00F75D97"/>
    <w:rsid w:val="00F85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118D"/>
  <w15:chartTrackingRefBased/>
  <w15:docId w15:val="{3E1F8D92-0F69-4A53-BCEC-94FC60504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19B1"/>
    <w:rPr>
      <w:rFonts w:ascii="Calibri" w:hAnsi="Calibri" w:cstheme="minorBidi"/>
      <w:color w:val="000000" w:themeColor="text1"/>
      <w:sz w:val="24"/>
      <w:szCs w:val="22"/>
    </w:rPr>
  </w:style>
  <w:style w:type="paragraph" w:styleId="Heading1">
    <w:name w:val="heading 1"/>
    <w:basedOn w:val="Normal"/>
    <w:next w:val="Normal"/>
    <w:link w:val="Heading1Char"/>
    <w:autoRedefine/>
    <w:uiPriority w:val="9"/>
    <w:qFormat/>
    <w:rsid w:val="00912C4C"/>
    <w:pPr>
      <w:keepNext/>
      <w:keepLines/>
      <w:numPr>
        <w:numId w:val="238"/>
      </w:numPr>
      <w:spacing w:before="360" w:after="80"/>
      <w:ind w:left="360"/>
      <w:outlineLvl w:val="0"/>
    </w:pPr>
    <w:rPr>
      <w:rFonts w:asciiTheme="majorHAnsi" w:eastAsiaTheme="majorEastAsia" w:hAnsiTheme="majorHAnsi" w:cstheme="majorBidi"/>
      <w:b/>
      <w:color w:val="002060"/>
      <w:sz w:val="32"/>
      <w:szCs w:val="40"/>
    </w:rPr>
  </w:style>
  <w:style w:type="paragraph" w:styleId="Heading2">
    <w:name w:val="heading 2"/>
    <w:basedOn w:val="Normal"/>
    <w:next w:val="Normal"/>
    <w:link w:val="Heading2Char"/>
    <w:autoRedefine/>
    <w:uiPriority w:val="9"/>
    <w:qFormat/>
    <w:rsid w:val="00EA6904"/>
    <w:pPr>
      <w:keepNext/>
      <w:outlineLvl w:val="1"/>
    </w:pPr>
    <w:rPr>
      <w:b/>
      <w:bCs/>
      <w:color w:val="002060"/>
      <w:kern w:val="2"/>
      <w:sz w:val="28"/>
      <w14:ligatures w14:val="standardContextual"/>
    </w:rPr>
  </w:style>
  <w:style w:type="paragraph" w:styleId="Heading3">
    <w:name w:val="heading 3"/>
    <w:basedOn w:val="Normal"/>
    <w:next w:val="Normal"/>
    <w:link w:val="Heading3Char"/>
    <w:autoRedefine/>
    <w:uiPriority w:val="9"/>
    <w:qFormat/>
    <w:rsid w:val="00EA6904"/>
    <w:pPr>
      <w:keepNext/>
      <w:keepLines/>
      <w:spacing w:before="200"/>
      <w:jc w:val="both"/>
      <w:outlineLvl w:val="2"/>
    </w:pPr>
    <w:rPr>
      <w:rFonts w:asciiTheme="minorHAnsi" w:hAnsiTheme="minorHAnsi" w:cstheme="minorHAnsi"/>
      <w:b/>
      <w:bCs/>
      <w:iCs/>
      <w:color w:val="002060"/>
      <w:szCs w:val="24"/>
      <w:lang w:val="sr-Latn-ME"/>
    </w:rPr>
  </w:style>
  <w:style w:type="paragraph" w:styleId="Heading4">
    <w:name w:val="heading 4"/>
    <w:basedOn w:val="Normal"/>
    <w:link w:val="Heading4Char"/>
    <w:autoRedefine/>
    <w:uiPriority w:val="9"/>
    <w:qFormat/>
    <w:rsid w:val="00EA6904"/>
    <w:pPr>
      <w:spacing w:before="100" w:beforeAutospacing="1" w:after="100" w:afterAutospacing="1"/>
      <w:outlineLvl w:val="3"/>
    </w:pPr>
    <w:rPr>
      <w:rFonts w:asciiTheme="minorHAnsi" w:hAnsiTheme="minorHAnsi" w:cstheme="minorHAnsi"/>
      <w:bCs/>
      <w:i/>
      <w:iCs/>
      <w:color w:val="002060"/>
      <w:szCs w:val="24"/>
      <w:lang w:eastAsia="en-GB"/>
    </w:rPr>
  </w:style>
  <w:style w:type="paragraph" w:styleId="Heading5">
    <w:name w:val="heading 5"/>
    <w:basedOn w:val="Normal"/>
    <w:next w:val="Normal"/>
    <w:link w:val="Heading5Char"/>
    <w:uiPriority w:val="9"/>
    <w:unhideWhenUsed/>
    <w:qFormat/>
    <w:rsid w:val="002B19B1"/>
    <w:pPr>
      <w:keepNext/>
      <w:keepLines/>
      <w:spacing w:before="80" w:after="40"/>
      <w:outlineLvl w:val="4"/>
    </w:pPr>
    <w:rPr>
      <w:rFonts w:asciiTheme="minorHAnsi" w:eastAsiaTheme="majorEastAsia" w:hAnsiTheme="minorHAnsi" w:cstheme="majorBidi"/>
    </w:rPr>
  </w:style>
  <w:style w:type="paragraph" w:styleId="Heading6">
    <w:name w:val="heading 6"/>
    <w:basedOn w:val="Normal"/>
    <w:next w:val="Normal"/>
    <w:link w:val="Heading6Char"/>
    <w:uiPriority w:val="9"/>
    <w:unhideWhenUsed/>
    <w:qFormat/>
    <w:rsid w:val="002B19B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2B19B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2B19B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2B19B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6904"/>
    <w:rPr>
      <w:rFonts w:ascii="Calibri" w:hAnsi="Calibri" w:cstheme="minorBidi"/>
      <w:b/>
      <w:bCs/>
      <w:color w:val="002060"/>
      <w:kern w:val="2"/>
      <w:sz w:val="28"/>
      <w:szCs w:val="22"/>
      <w14:ligatures w14:val="standardContextual"/>
    </w:rPr>
  </w:style>
  <w:style w:type="character" w:customStyle="1" w:styleId="Heading3Char">
    <w:name w:val="Heading 3 Char"/>
    <w:basedOn w:val="DefaultParagraphFont"/>
    <w:link w:val="Heading3"/>
    <w:uiPriority w:val="9"/>
    <w:rsid w:val="00EA6904"/>
    <w:rPr>
      <w:rFonts w:asciiTheme="minorHAnsi" w:hAnsiTheme="minorHAnsi" w:cstheme="minorHAnsi"/>
      <w:b/>
      <w:bCs/>
      <w:iCs/>
      <w:color w:val="002060"/>
      <w:sz w:val="24"/>
      <w:szCs w:val="24"/>
      <w:lang w:val="sr-Latn-ME"/>
    </w:rPr>
  </w:style>
  <w:style w:type="character" w:customStyle="1" w:styleId="Heading4Char">
    <w:name w:val="Heading 4 Char"/>
    <w:basedOn w:val="DefaultParagraphFont"/>
    <w:link w:val="Heading4"/>
    <w:uiPriority w:val="9"/>
    <w:rsid w:val="00EA6904"/>
    <w:rPr>
      <w:rFonts w:asciiTheme="minorHAnsi" w:hAnsiTheme="minorHAnsi" w:cstheme="minorHAnsi"/>
      <w:bCs/>
      <w:i/>
      <w:iCs/>
      <w:color w:val="002060"/>
      <w:sz w:val="24"/>
      <w:szCs w:val="24"/>
      <w:lang w:eastAsia="en-GB"/>
    </w:rPr>
  </w:style>
  <w:style w:type="paragraph" w:customStyle="1" w:styleId="Heading">
    <w:name w:val="Heading"/>
    <w:next w:val="Normal"/>
    <w:qFormat/>
    <w:rsid w:val="00CC4EBF"/>
    <w:pPr>
      <w:keepNext/>
      <w:outlineLvl w:val="0"/>
    </w:pPr>
    <w:rPr>
      <w:rFonts w:asciiTheme="minorHAnsi" w:eastAsia="Arial Unicode MS" w:hAnsiTheme="minorHAnsi" w:cs="Arial Unicode MS"/>
      <w:bCs/>
      <w:i/>
      <w:sz w:val="24"/>
      <w:szCs w:val="36"/>
    </w:rPr>
  </w:style>
  <w:style w:type="paragraph" w:styleId="NoSpacing">
    <w:name w:val="No Spacing"/>
    <w:link w:val="NoSpacingChar"/>
    <w:uiPriority w:val="1"/>
    <w:qFormat/>
    <w:rsid w:val="00D22FA2"/>
    <w:pPr>
      <w:keepLines/>
      <w:widowControl w:val="0"/>
      <w:tabs>
        <w:tab w:val="left" w:pos="1134"/>
        <w:tab w:val="left" w:pos="2268"/>
      </w:tabs>
      <w:autoSpaceDE w:val="0"/>
      <w:autoSpaceDN w:val="0"/>
      <w:jc w:val="both"/>
    </w:pPr>
    <w:rPr>
      <w:rFonts w:ascii="Calibri" w:hAnsi="Calibri" w:cs="Arial"/>
      <w:sz w:val="24"/>
      <w:szCs w:val="24"/>
      <w:lang w:val="sr-Latn-CS"/>
    </w:rPr>
  </w:style>
  <w:style w:type="character" w:customStyle="1" w:styleId="Heading1Char">
    <w:name w:val="Heading 1 Char"/>
    <w:basedOn w:val="DefaultParagraphFont"/>
    <w:link w:val="Heading1"/>
    <w:uiPriority w:val="9"/>
    <w:rsid w:val="00912C4C"/>
    <w:rPr>
      <w:rFonts w:asciiTheme="majorHAnsi" w:eastAsiaTheme="majorEastAsia" w:hAnsiTheme="majorHAnsi" w:cstheme="majorBidi"/>
      <w:b/>
      <w:color w:val="002060"/>
      <w:sz w:val="32"/>
      <w:szCs w:val="40"/>
    </w:rPr>
  </w:style>
  <w:style w:type="character" w:customStyle="1" w:styleId="Heading5Char">
    <w:name w:val="Heading 5 Char"/>
    <w:basedOn w:val="DefaultParagraphFont"/>
    <w:link w:val="Heading5"/>
    <w:uiPriority w:val="9"/>
    <w:rsid w:val="002B19B1"/>
    <w:rPr>
      <w:rFonts w:asciiTheme="minorHAnsi" w:eastAsiaTheme="majorEastAsia" w:hAnsiTheme="minorHAnsi" w:cstheme="majorBidi"/>
      <w:color w:val="2F5496" w:themeColor="accent1" w:themeShade="BF"/>
      <w:sz w:val="24"/>
      <w:szCs w:val="22"/>
    </w:rPr>
  </w:style>
  <w:style w:type="character" w:customStyle="1" w:styleId="Heading6Char">
    <w:name w:val="Heading 6 Char"/>
    <w:basedOn w:val="DefaultParagraphFont"/>
    <w:link w:val="Heading6"/>
    <w:uiPriority w:val="9"/>
    <w:rsid w:val="002B19B1"/>
    <w:rPr>
      <w:rFonts w:asciiTheme="minorHAnsi" w:eastAsiaTheme="majorEastAsia" w:hAnsiTheme="minorHAnsi" w:cstheme="majorBidi"/>
      <w:i/>
      <w:iCs/>
      <w:color w:val="595959" w:themeColor="text1" w:themeTint="A6"/>
      <w:sz w:val="24"/>
      <w:szCs w:val="22"/>
    </w:rPr>
  </w:style>
  <w:style w:type="character" w:customStyle="1" w:styleId="Heading7Char">
    <w:name w:val="Heading 7 Char"/>
    <w:basedOn w:val="DefaultParagraphFont"/>
    <w:link w:val="Heading7"/>
    <w:uiPriority w:val="9"/>
    <w:rsid w:val="002B19B1"/>
    <w:rPr>
      <w:rFonts w:asciiTheme="minorHAnsi" w:eastAsiaTheme="majorEastAsia" w:hAnsiTheme="minorHAnsi" w:cstheme="majorBidi"/>
      <w:color w:val="595959" w:themeColor="text1" w:themeTint="A6"/>
      <w:sz w:val="24"/>
      <w:szCs w:val="22"/>
    </w:rPr>
  </w:style>
  <w:style w:type="character" w:customStyle="1" w:styleId="Heading8Char">
    <w:name w:val="Heading 8 Char"/>
    <w:basedOn w:val="DefaultParagraphFont"/>
    <w:link w:val="Heading8"/>
    <w:uiPriority w:val="9"/>
    <w:rsid w:val="002B19B1"/>
    <w:rPr>
      <w:rFonts w:asciiTheme="minorHAnsi" w:eastAsiaTheme="majorEastAsia" w:hAnsiTheme="minorHAnsi" w:cstheme="majorBidi"/>
      <w:i/>
      <w:iCs/>
      <w:color w:val="272727" w:themeColor="text1" w:themeTint="D8"/>
      <w:sz w:val="24"/>
      <w:szCs w:val="22"/>
    </w:rPr>
  </w:style>
  <w:style w:type="character" w:customStyle="1" w:styleId="Heading9Char">
    <w:name w:val="Heading 9 Char"/>
    <w:basedOn w:val="DefaultParagraphFont"/>
    <w:link w:val="Heading9"/>
    <w:uiPriority w:val="9"/>
    <w:rsid w:val="002B19B1"/>
    <w:rPr>
      <w:rFonts w:asciiTheme="minorHAnsi" w:eastAsiaTheme="majorEastAsia" w:hAnsiTheme="minorHAnsi" w:cstheme="majorBidi"/>
      <w:color w:val="272727" w:themeColor="text1" w:themeTint="D8"/>
      <w:sz w:val="24"/>
      <w:szCs w:val="22"/>
    </w:rPr>
  </w:style>
  <w:style w:type="paragraph" w:styleId="Title">
    <w:name w:val="Title"/>
    <w:aliases w:val="Title 1"/>
    <w:basedOn w:val="Normal"/>
    <w:next w:val="Normal"/>
    <w:link w:val="TitleChar"/>
    <w:autoRedefine/>
    <w:uiPriority w:val="10"/>
    <w:qFormat/>
    <w:rsid w:val="006830BB"/>
    <w:pPr>
      <w:spacing w:after="80"/>
      <w:contextualSpacing/>
      <w:jc w:val="center"/>
    </w:pPr>
    <w:rPr>
      <w:rFonts w:asciiTheme="majorHAnsi" w:eastAsiaTheme="majorEastAsia" w:hAnsiTheme="majorHAnsi" w:cstheme="majorBidi"/>
      <w:b/>
      <w:color w:val="002060"/>
      <w:spacing w:val="-10"/>
      <w:kern w:val="28"/>
      <w:sz w:val="52"/>
      <w:szCs w:val="56"/>
    </w:rPr>
  </w:style>
  <w:style w:type="character" w:customStyle="1" w:styleId="TitleChar">
    <w:name w:val="Title Char"/>
    <w:aliases w:val="Title 1 Char"/>
    <w:basedOn w:val="DefaultParagraphFont"/>
    <w:link w:val="Title"/>
    <w:uiPriority w:val="10"/>
    <w:rsid w:val="006830BB"/>
    <w:rPr>
      <w:rFonts w:asciiTheme="majorHAnsi" w:eastAsiaTheme="majorEastAsia" w:hAnsiTheme="majorHAnsi" w:cstheme="majorBidi"/>
      <w:b/>
      <w:color w:val="002060"/>
      <w:spacing w:val="-10"/>
      <w:kern w:val="28"/>
      <w:sz w:val="52"/>
      <w:szCs w:val="56"/>
    </w:rPr>
  </w:style>
  <w:style w:type="paragraph" w:styleId="Subtitle">
    <w:name w:val="Subtitle"/>
    <w:basedOn w:val="Normal"/>
    <w:next w:val="Normal"/>
    <w:link w:val="SubtitleChar"/>
    <w:uiPriority w:val="11"/>
    <w:qFormat/>
    <w:rsid w:val="002B19B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9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B19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19B1"/>
    <w:rPr>
      <w:rFonts w:ascii="Calibri" w:hAnsi="Calibri" w:cstheme="minorBidi"/>
      <w:i/>
      <w:iCs/>
      <w:color w:val="404040" w:themeColor="text1" w:themeTint="BF"/>
      <w:sz w:val="24"/>
      <w:szCs w:val="22"/>
    </w:rPr>
  </w:style>
  <w:style w:type="paragraph" w:styleId="ListParagraph">
    <w:name w:val="List Paragraph"/>
    <w:aliases w:val="List1,List Paragraph (numbered (a)),References,Heading 2_sj,Dot pt,Bullets,Numbered paragraph,Desmond 2,Liste 1,Medium Grid 1 - Accent 21,List Paragraph nowy,Numbered List Paragraph,Liste couleur - Accent 11"/>
    <w:basedOn w:val="Normal"/>
    <w:link w:val="ListParagraphChar"/>
    <w:uiPriority w:val="34"/>
    <w:qFormat/>
    <w:rsid w:val="002B19B1"/>
    <w:pPr>
      <w:ind w:left="720"/>
      <w:contextualSpacing/>
    </w:pPr>
  </w:style>
  <w:style w:type="character" w:styleId="IntenseEmphasis">
    <w:name w:val="Intense Emphasis"/>
    <w:basedOn w:val="DefaultParagraphFont"/>
    <w:uiPriority w:val="21"/>
    <w:qFormat/>
    <w:rsid w:val="002B19B1"/>
    <w:rPr>
      <w:i/>
      <w:iCs/>
      <w:color w:val="2F5496" w:themeColor="accent1" w:themeShade="BF"/>
    </w:rPr>
  </w:style>
  <w:style w:type="paragraph" w:styleId="IntenseQuote">
    <w:name w:val="Intense Quote"/>
    <w:basedOn w:val="Normal"/>
    <w:next w:val="Normal"/>
    <w:link w:val="IntenseQuoteChar"/>
    <w:uiPriority w:val="30"/>
    <w:qFormat/>
    <w:rsid w:val="002B19B1"/>
    <w:pPr>
      <w:pBdr>
        <w:top w:val="single" w:sz="4" w:space="10" w:color="2F5496" w:themeColor="accent1" w:themeShade="BF"/>
        <w:bottom w:val="single" w:sz="4" w:space="10" w:color="2F5496" w:themeColor="accent1" w:themeShade="B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2B19B1"/>
    <w:rPr>
      <w:rFonts w:ascii="Calibri" w:hAnsi="Calibri" w:cstheme="minorBidi"/>
      <w:i/>
      <w:iCs/>
      <w:color w:val="2F5496" w:themeColor="accent1" w:themeShade="BF"/>
      <w:sz w:val="24"/>
      <w:szCs w:val="22"/>
    </w:rPr>
  </w:style>
  <w:style w:type="character" w:styleId="IntenseReference">
    <w:name w:val="Intense Reference"/>
    <w:basedOn w:val="DefaultParagraphFont"/>
    <w:uiPriority w:val="32"/>
    <w:qFormat/>
    <w:rsid w:val="002B19B1"/>
    <w:rPr>
      <w:b/>
      <w:bCs/>
      <w:smallCaps/>
      <w:color w:val="2F5496" w:themeColor="accent1" w:themeShade="BF"/>
      <w:spacing w:val="5"/>
    </w:rPr>
  </w:style>
  <w:style w:type="character" w:styleId="CommentReference">
    <w:name w:val="annotation reference"/>
    <w:basedOn w:val="DefaultParagraphFont"/>
    <w:uiPriority w:val="99"/>
    <w:unhideWhenUsed/>
    <w:rsid w:val="002B19B1"/>
    <w:rPr>
      <w:sz w:val="16"/>
      <w:szCs w:val="16"/>
    </w:rPr>
  </w:style>
  <w:style w:type="paragraph" w:styleId="CommentText">
    <w:name w:val="annotation text"/>
    <w:aliases w:val="Char,Char Char,Char Char Char Char Char Char Char Char,Char Char Char Char Char Char Char Char Char,Kommentartext1,Char Char Char Char Char Char Char Char1,Char3 Char Char Char Char Ch Char,Char1,Char Char1,Kommentartext11 Char Char"/>
    <w:basedOn w:val="Normal"/>
    <w:link w:val="CommentTextChar"/>
    <w:uiPriority w:val="99"/>
    <w:unhideWhenUsed/>
    <w:rsid w:val="002B19B1"/>
    <w:rPr>
      <w:sz w:val="20"/>
      <w:szCs w:val="20"/>
    </w:rPr>
  </w:style>
  <w:style w:type="character" w:customStyle="1" w:styleId="CommentTextChar">
    <w:name w:val="Comment Text Char"/>
    <w:aliases w:val="Char Char3,Char Char Char,Char Char Char Char Char Char Char Char Char3,Char Char Char Char Char Char Char Char Char Char1,Kommentartext1 Char1,Char Char Char Char Char Char Char Char1 Char1,Char3 Char Char Char Char Ch Char Char"/>
    <w:basedOn w:val="DefaultParagraphFont"/>
    <w:link w:val="CommentText"/>
    <w:uiPriority w:val="99"/>
    <w:rsid w:val="002B19B1"/>
    <w:rPr>
      <w:rFonts w:ascii="Calibri" w:hAnsi="Calibri" w:cstheme="minorBidi"/>
      <w:color w:val="000000" w:themeColor="text1"/>
    </w:rPr>
  </w:style>
  <w:style w:type="paragraph" w:styleId="CommentSubject">
    <w:name w:val="annotation subject"/>
    <w:basedOn w:val="CommentText"/>
    <w:next w:val="CommentText"/>
    <w:link w:val="CommentSubjectChar"/>
    <w:uiPriority w:val="99"/>
    <w:unhideWhenUsed/>
    <w:rsid w:val="002B19B1"/>
    <w:rPr>
      <w:b/>
      <w:bCs/>
    </w:rPr>
  </w:style>
  <w:style w:type="character" w:customStyle="1" w:styleId="CommentSubjectChar">
    <w:name w:val="Comment Subject Char"/>
    <w:basedOn w:val="CommentTextChar"/>
    <w:link w:val="CommentSubject"/>
    <w:uiPriority w:val="99"/>
    <w:rsid w:val="002B19B1"/>
    <w:rPr>
      <w:rFonts w:ascii="Calibri" w:hAnsi="Calibri" w:cstheme="minorBidi"/>
      <w:b/>
      <w:bCs/>
      <w:color w:val="000000" w:themeColor="text1"/>
    </w:rPr>
  </w:style>
  <w:style w:type="paragraph" w:styleId="Header">
    <w:name w:val="header"/>
    <w:basedOn w:val="Normal"/>
    <w:link w:val="HeaderChar"/>
    <w:uiPriority w:val="99"/>
    <w:unhideWhenUsed/>
    <w:rsid w:val="002B19B1"/>
    <w:pPr>
      <w:tabs>
        <w:tab w:val="center" w:pos="4680"/>
        <w:tab w:val="right" w:pos="9360"/>
      </w:tabs>
    </w:pPr>
  </w:style>
  <w:style w:type="character" w:customStyle="1" w:styleId="HeaderChar">
    <w:name w:val="Header Char"/>
    <w:basedOn w:val="DefaultParagraphFont"/>
    <w:link w:val="Header"/>
    <w:uiPriority w:val="99"/>
    <w:rsid w:val="002B19B1"/>
    <w:rPr>
      <w:rFonts w:ascii="Calibri" w:hAnsi="Calibri" w:cstheme="minorBidi"/>
      <w:color w:val="000000" w:themeColor="text1"/>
      <w:sz w:val="24"/>
      <w:szCs w:val="22"/>
    </w:rPr>
  </w:style>
  <w:style w:type="paragraph" w:styleId="Footer">
    <w:name w:val="footer"/>
    <w:basedOn w:val="Normal"/>
    <w:link w:val="FooterChar"/>
    <w:uiPriority w:val="99"/>
    <w:unhideWhenUsed/>
    <w:rsid w:val="002B19B1"/>
    <w:pPr>
      <w:tabs>
        <w:tab w:val="center" w:pos="4680"/>
        <w:tab w:val="right" w:pos="9360"/>
      </w:tabs>
    </w:pPr>
  </w:style>
  <w:style w:type="character" w:customStyle="1" w:styleId="FooterChar">
    <w:name w:val="Footer Char"/>
    <w:basedOn w:val="DefaultParagraphFont"/>
    <w:link w:val="Footer"/>
    <w:uiPriority w:val="99"/>
    <w:rsid w:val="002B19B1"/>
    <w:rPr>
      <w:rFonts w:ascii="Calibri" w:hAnsi="Calibri" w:cstheme="minorBidi"/>
      <w:color w:val="000000" w:themeColor="text1"/>
      <w:sz w:val="24"/>
      <w:szCs w:val="22"/>
    </w:rPr>
  </w:style>
  <w:style w:type="paragraph" w:styleId="NormalWeb">
    <w:name w:val="Normal (Web)"/>
    <w:basedOn w:val="Normal"/>
    <w:uiPriority w:val="99"/>
    <w:unhideWhenUsed/>
    <w:rsid w:val="002B19B1"/>
    <w:pPr>
      <w:spacing w:before="100" w:beforeAutospacing="1" w:after="100" w:afterAutospacing="1"/>
    </w:pPr>
    <w:rPr>
      <w:rFonts w:ascii="Times New Roman" w:eastAsia="Times New Roman" w:hAnsi="Times New Roman" w:cs="Times New Roman"/>
      <w:color w:val="auto"/>
      <w:szCs w:val="24"/>
    </w:rPr>
  </w:style>
  <w:style w:type="character" w:styleId="Hyperlink">
    <w:name w:val="Hyperlink"/>
    <w:basedOn w:val="DefaultParagraphFont"/>
    <w:uiPriority w:val="99"/>
    <w:unhideWhenUsed/>
    <w:rsid w:val="002B19B1"/>
    <w:rPr>
      <w:color w:val="0563C1" w:themeColor="hyperlink"/>
      <w:u w:val="single"/>
    </w:rPr>
  </w:style>
  <w:style w:type="character" w:styleId="UnresolvedMention">
    <w:name w:val="Unresolved Mention"/>
    <w:basedOn w:val="DefaultParagraphFont"/>
    <w:uiPriority w:val="99"/>
    <w:semiHidden/>
    <w:unhideWhenUsed/>
    <w:rsid w:val="002B19B1"/>
    <w:rPr>
      <w:color w:val="605E5C"/>
      <w:shd w:val="clear" w:color="auto" w:fill="E1DFDD"/>
    </w:rPr>
  </w:style>
  <w:style w:type="character" w:styleId="Strong">
    <w:name w:val="Strong"/>
    <w:basedOn w:val="DefaultParagraphFont"/>
    <w:uiPriority w:val="22"/>
    <w:qFormat/>
    <w:rsid w:val="002B19B1"/>
    <w:rPr>
      <w:b/>
      <w:bCs/>
    </w:rPr>
  </w:style>
  <w:style w:type="table" w:styleId="TableGrid">
    <w:name w:val="Table Grid"/>
    <w:basedOn w:val="TableNormal"/>
    <w:uiPriority w:val="39"/>
    <w:rsid w:val="002B19B1"/>
    <w:rPr>
      <w:rFonts w:cstheme="minorBidi"/>
      <w:color w:val="2F5496" w:themeColor="accent1" w:themeShade="BF"/>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uiPriority w:val="99"/>
    <w:rsid w:val="002B19B1"/>
    <w:pPr>
      <w:pBdr>
        <w:top w:val="nil"/>
        <w:left w:val="nil"/>
        <w:bottom w:val="nil"/>
        <w:right w:val="nil"/>
        <w:between w:val="nil"/>
        <w:bar w:val="nil"/>
      </w:pBdr>
      <w:spacing w:after="160" w:line="259" w:lineRule="auto"/>
    </w:pPr>
    <w:rPr>
      <w:rFonts w:ascii="Calibri" w:eastAsia="Calibri" w:hAnsi="Calibri" w:cs="Calibri"/>
      <w:color w:val="000000"/>
      <w:kern w:val="2"/>
      <w:sz w:val="22"/>
      <w:szCs w:val="22"/>
      <w:u w:color="000000"/>
      <w:bdr w:val="nil"/>
      <w14:textOutline w14:w="0" w14:cap="flat" w14:cmpd="sng" w14:algn="ctr">
        <w14:noFill/>
        <w14:prstDash w14:val="solid"/>
        <w14:bevel/>
      </w14:textOutline>
    </w:rPr>
  </w:style>
  <w:style w:type="character" w:customStyle="1" w:styleId="Hyperlink1">
    <w:name w:val="Hyperlink.1"/>
    <w:basedOn w:val="DefaultParagraphFont"/>
    <w:rsid w:val="002B19B1"/>
    <w:rPr>
      <w:rFonts w:ascii="Calibri" w:eastAsia="Calibri" w:hAnsi="Calibri" w:cs="Calibri"/>
      <w:outline w:val="0"/>
      <w:color w:val="0563C1"/>
      <w:u w:val="single" w:color="0563C1"/>
    </w:rPr>
  </w:style>
  <w:style w:type="table" w:styleId="GridTable1Light-Accent1">
    <w:name w:val="Grid Table 1 Light Accent 1"/>
    <w:basedOn w:val="TableNormal"/>
    <w:uiPriority w:val="46"/>
    <w:rsid w:val="002B19B1"/>
    <w:pPr>
      <w:pBdr>
        <w:top w:val="nil"/>
        <w:left w:val="nil"/>
        <w:bottom w:val="nil"/>
        <w:right w:val="nil"/>
        <w:between w:val="nil"/>
        <w:bar w:val="nil"/>
      </w:pBdr>
    </w:pPr>
    <w:rPr>
      <w:rFonts w:eastAsia="Arial Unicode MS"/>
      <w:bdr w:val="ni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2B19B1"/>
    <w:rPr>
      <w:i/>
      <w:iCs/>
    </w:rPr>
  </w:style>
  <w:style w:type="table" w:styleId="GridTable1Light-Accent6">
    <w:name w:val="Grid Table 1 Light Accent 6"/>
    <w:basedOn w:val="TableNormal"/>
    <w:uiPriority w:val="46"/>
    <w:rsid w:val="002B19B1"/>
    <w:rPr>
      <w:rFonts w:cstheme="minorBidi"/>
      <w:color w:val="2F5496" w:themeColor="accent1" w:themeShade="BF"/>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2B19B1"/>
    <w:rPr>
      <w:rFonts w:cstheme="minorBidi"/>
      <w:color w:val="2F5496" w:themeColor="accent1"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2B19B1"/>
    <w:rPr>
      <w:rFonts w:cstheme="minorBidi"/>
      <w:color w:val="2F5496" w:themeColor="accent1" w:themeShade="BF"/>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PageNumber">
    <w:name w:val="page number"/>
    <w:uiPriority w:val="99"/>
    <w:rsid w:val="002B19B1"/>
    <w:rPr>
      <w:rFonts w:ascii="Times New Roman" w:hAnsi="Times New Roman"/>
      <w:b/>
      <w:sz w:val="18"/>
    </w:rPr>
  </w:style>
  <w:style w:type="table" w:customStyle="1" w:styleId="Tabledocright">
    <w:name w:val="Table_doc_right"/>
    <w:basedOn w:val="TableNormal"/>
    <w:rsid w:val="002B19B1"/>
    <w:pPr>
      <w:spacing w:before="40" w:after="40" w:line="259" w:lineRule="auto"/>
    </w:pPr>
    <w:rPr>
      <w:rFonts w:asciiTheme="minorHAnsi" w:eastAsiaTheme="minorEastAsia" w:hAnsiTheme="minorHAnsi" w:cstheme="minorBidi"/>
      <w:sz w:val="18"/>
      <w:szCs w:val="18"/>
      <w:lang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2B19B1"/>
    <w:pPr>
      <w:ind w:left="1000"/>
    </w:pPr>
    <w:rPr>
      <w:rFonts w:asciiTheme="minorHAnsi" w:eastAsiaTheme="minorEastAsia" w:hAnsiTheme="minorHAnsi"/>
      <w:color w:val="auto"/>
      <w:sz w:val="18"/>
      <w:szCs w:val="18"/>
      <w:lang w:val="en-GB" w:eastAsia="zh-CN"/>
    </w:rPr>
  </w:style>
  <w:style w:type="paragraph" w:styleId="TOC7">
    <w:name w:val="toc 7"/>
    <w:basedOn w:val="Normal"/>
    <w:next w:val="Normal"/>
    <w:autoRedefine/>
    <w:uiPriority w:val="39"/>
    <w:rsid w:val="002B19B1"/>
    <w:pPr>
      <w:ind w:left="1200"/>
    </w:pPr>
    <w:rPr>
      <w:rFonts w:asciiTheme="minorHAnsi" w:eastAsiaTheme="minorEastAsia" w:hAnsiTheme="minorHAnsi"/>
      <w:color w:val="auto"/>
      <w:sz w:val="18"/>
      <w:szCs w:val="18"/>
      <w:lang w:val="en-GB" w:eastAsia="zh-CN"/>
    </w:rPr>
  </w:style>
  <w:style w:type="paragraph" w:styleId="TOC8">
    <w:name w:val="toc 8"/>
    <w:basedOn w:val="Normal"/>
    <w:next w:val="Normal"/>
    <w:autoRedefine/>
    <w:uiPriority w:val="39"/>
    <w:rsid w:val="002B19B1"/>
    <w:pPr>
      <w:ind w:left="1400"/>
    </w:pPr>
    <w:rPr>
      <w:rFonts w:asciiTheme="minorHAnsi" w:eastAsiaTheme="minorEastAsia" w:hAnsiTheme="minorHAnsi"/>
      <w:color w:val="auto"/>
      <w:sz w:val="18"/>
      <w:szCs w:val="18"/>
      <w:lang w:val="en-GB" w:eastAsia="zh-CN"/>
    </w:rPr>
  </w:style>
  <w:style w:type="paragraph" w:styleId="TOC9">
    <w:name w:val="toc 9"/>
    <w:basedOn w:val="Normal"/>
    <w:next w:val="Normal"/>
    <w:autoRedefine/>
    <w:uiPriority w:val="39"/>
    <w:rsid w:val="002B19B1"/>
    <w:pPr>
      <w:ind w:left="1600"/>
    </w:pPr>
    <w:rPr>
      <w:rFonts w:asciiTheme="minorHAnsi" w:eastAsiaTheme="minorEastAsia" w:hAnsiTheme="minorHAnsi"/>
      <w:color w:val="auto"/>
      <w:sz w:val="18"/>
      <w:szCs w:val="18"/>
      <w:lang w:val="en-GB" w:eastAsia="zh-CN"/>
    </w:rPr>
  </w:style>
  <w:style w:type="paragraph" w:customStyle="1" w:styleId="Titlefigure">
    <w:name w:val="Title_figure"/>
    <w:basedOn w:val="Titletable"/>
    <w:next w:val="NormalNonumber"/>
    <w:rsid w:val="002B19B1"/>
    <w:rPr>
      <w:bCs w:val="0"/>
    </w:rPr>
  </w:style>
  <w:style w:type="paragraph" w:styleId="TableofFigures">
    <w:name w:val="table of figures"/>
    <w:basedOn w:val="Normal"/>
    <w:next w:val="Normal"/>
    <w:autoRedefine/>
    <w:uiPriority w:val="99"/>
    <w:rsid w:val="002B19B1"/>
    <w:pPr>
      <w:ind w:left="400" w:hanging="400"/>
    </w:pPr>
    <w:rPr>
      <w:rFonts w:asciiTheme="minorHAnsi" w:eastAsiaTheme="minorEastAsia" w:hAnsiTheme="minorHAnsi"/>
      <w:smallCaps/>
      <w:color w:val="auto"/>
      <w:sz w:val="20"/>
      <w:szCs w:val="20"/>
      <w:lang w:val="en-GB" w:eastAsia="zh-CN"/>
    </w:rPr>
  </w:style>
  <w:style w:type="paragraph" w:customStyle="1" w:styleId="CH1">
    <w:name w:val="CH1"/>
    <w:basedOn w:val="Normal"/>
    <w:next w:val="CH2"/>
    <w:uiPriority w:val="99"/>
    <w:rsid w:val="002B19B1"/>
    <w:pPr>
      <w:keepNext/>
      <w:keepLines/>
      <w:tabs>
        <w:tab w:val="right" w:pos="851"/>
        <w:tab w:val="left" w:pos="1247"/>
      </w:tabs>
      <w:suppressAutoHyphens/>
      <w:spacing w:before="240" w:after="120"/>
      <w:ind w:left="1247" w:right="284" w:hanging="1247"/>
    </w:pPr>
    <w:rPr>
      <w:rFonts w:asciiTheme="minorHAnsi" w:eastAsiaTheme="minorEastAsia" w:hAnsiTheme="minorHAnsi"/>
      <w:b/>
      <w:color w:val="auto"/>
      <w:sz w:val="28"/>
      <w:szCs w:val="28"/>
      <w:lang w:val="en-GB" w:eastAsia="zh-CN"/>
    </w:rPr>
  </w:style>
  <w:style w:type="paragraph" w:customStyle="1" w:styleId="CH2">
    <w:name w:val="CH2"/>
    <w:basedOn w:val="Normal"/>
    <w:next w:val="Normalnumber"/>
    <w:uiPriority w:val="99"/>
    <w:rsid w:val="002B19B1"/>
    <w:pPr>
      <w:keepNext/>
      <w:keepLines/>
      <w:tabs>
        <w:tab w:val="right" w:pos="851"/>
        <w:tab w:val="left" w:pos="1247"/>
      </w:tabs>
      <w:suppressAutoHyphens/>
      <w:spacing w:before="80" w:after="120"/>
      <w:ind w:left="1247" w:right="284" w:hanging="1247"/>
    </w:pPr>
    <w:rPr>
      <w:rFonts w:asciiTheme="minorHAnsi" w:eastAsiaTheme="minorEastAsia" w:hAnsiTheme="minorHAnsi"/>
      <w:b/>
      <w:color w:val="auto"/>
      <w:sz w:val="20"/>
      <w:szCs w:val="24"/>
      <w:lang w:val="en-GB" w:eastAsia="zh-CN"/>
    </w:rPr>
  </w:style>
  <w:style w:type="paragraph" w:customStyle="1" w:styleId="CH3">
    <w:name w:val="CH3"/>
    <w:basedOn w:val="Normal"/>
    <w:next w:val="Normalnumber"/>
    <w:uiPriority w:val="99"/>
    <w:rsid w:val="002B19B1"/>
    <w:pPr>
      <w:keepNext/>
      <w:keepLines/>
      <w:tabs>
        <w:tab w:val="right" w:pos="851"/>
        <w:tab w:val="left" w:pos="1247"/>
      </w:tabs>
      <w:suppressAutoHyphens/>
      <w:spacing w:after="120"/>
      <w:ind w:left="1247" w:right="284" w:hanging="1247"/>
    </w:pPr>
    <w:rPr>
      <w:rFonts w:asciiTheme="minorHAnsi" w:eastAsiaTheme="minorEastAsia" w:hAnsiTheme="minorHAnsi"/>
      <w:b/>
      <w:color w:val="auto"/>
      <w:sz w:val="20"/>
      <w:lang w:val="en-GB" w:eastAsia="zh-CN"/>
    </w:rPr>
  </w:style>
  <w:style w:type="paragraph" w:customStyle="1" w:styleId="CH4">
    <w:name w:val="CH4"/>
    <w:basedOn w:val="Normal"/>
    <w:next w:val="Normalnumber"/>
    <w:uiPriority w:val="99"/>
    <w:rsid w:val="002B19B1"/>
    <w:pPr>
      <w:keepNext/>
      <w:keepLines/>
      <w:tabs>
        <w:tab w:val="right" w:pos="851"/>
        <w:tab w:val="left" w:pos="1247"/>
      </w:tabs>
      <w:suppressAutoHyphens/>
      <w:spacing w:after="120"/>
      <w:ind w:left="1247" w:right="284" w:hanging="1247"/>
    </w:pPr>
    <w:rPr>
      <w:rFonts w:asciiTheme="minorHAnsi" w:eastAsiaTheme="minorEastAsia" w:hAnsiTheme="minorHAnsi"/>
      <w:b/>
      <w:color w:val="auto"/>
      <w:sz w:val="20"/>
      <w:lang w:val="en-GB" w:eastAsia="zh-CN"/>
    </w:rPr>
  </w:style>
  <w:style w:type="table" w:customStyle="1" w:styleId="Footertable">
    <w:name w:val="Footer_table"/>
    <w:basedOn w:val="TableNormal"/>
    <w:semiHidden/>
    <w:rsid w:val="002B19B1"/>
    <w:pPr>
      <w:spacing w:after="160" w:line="259" w:lineRule="auto"/>
    </w:pPr>
    <w:rPr>
      <w:rFonts w:ascii="Arial" w:eastAsiaTheme="minorEastAsia" w:hAnsi="Arial" w:cstheme="minorBidi"/>
      <w:sz w:val="16"/>
      <w:szCs w:val="22"/>
      <w:lang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iPriority w:val="99"/>
    <w:semiHidden/>
    <w:rsid w:val="002B19B1"/>
    <w:pPr>
      <w:keepNext/>
      <w:keepLines/>
      <w:tabs>
        <w:tab w:val="right" w:pos="851"/>
        <w:tab w:val="left" w:pos="1247"/>
      </w:tabs>
      <w:suppressAutoHyphens/>
      <w:spacing w:after="120"/>
      <w:ind w:left="1247" w:right="284" w:hanging="1247"/>
    </w:pPr>
    <w:rPr>
      <w:rFonts w:asciiTheme="minorHAnsi" w:eastAsiaTheme="minorEastAsia" w:hAnsiTheme="minorHAnsi"/>
      <w:b/>
      <w:color w:val="auto"/>
      <w:sz w:val="20"/>
      <w:lang w:val="en-GB" w:eastAsia="zh-CN"/>
    </w:rPr>
  </w:style>
  <w:style w:type="paragraph" w:styleId="Caption">
    <w:name w:val="caption"/>
    <w:aliases w:val="Table"/>
    <w:basedOn w:val="Normal"/>
    <w:next w:val="Normal"/>
    <w:link w:val="CaptionChar"/>
    <w:uiPriority w:val="35"/>
    <w:unhideWhenUsed/>
    <w:qFormat/>
    <w:rsid w:val="002B19B1"/>
    <w:pPr>
      <w:snapToGrid w:val="0"/>
      <w:spacing w:after="120"/>
    </w:pPr>
    <w:rPr>
      <w:rFonts w:asciiTheme="minorHAnsi" w:eastAsiaTheme="minorEastAsia" w:hAnsiTheme="minorHAnsi"/>
      <w:b/>
      <w:iCs/>
      <w:color w:val="auto"/>
      <w:sz w:val="20"/>
      <w:szCs w:val="18"/>
      <w:lang w:val="en-GB" w:eastAsia="zh-CN"/>
    </w:rPr>
  </w:style>
  <w:style w:type="paragraph" w:customStyle="1" w:styleId="main">
    <w:name w:val="main"/>
    <w:basedOn w:val="Normal"/>
    <w:autoRedefine/>
    <w:uiPriority w:val="99"/>
    <w:rsid w:val="002B19B1"/>
    <w:pPr>
      <w:spacing w:after="120"/>
    </w:pPr>
    <w:rPr>
      <w:rFonts w:asciiTheme="minorHAnsi" w:eastAsiaTheme="minorEastAsia" w:hAnsiTheme="minorHAnsi"/>
      <w:b/>
      <w:color w:val="auto"/>
      <w:sz w:val="20"/>
      <w:lang w:val="en-GB" w:eastAsia="zh-CN"/>
    </w:rPr>
  </w:style>
  <w:style w:type="paragraph" w:customStyle="1" w:styleId="Paralevel1">
    <w:name w:val="Para level1"/>
    <w:basedOn w:val="Normal"/>
    <w:link w:val="Paralevel1Char"/>
    <w:autoRedefine/>
    <w:uiPriority w:val="99"/>
    <w:rsid w:val="002B19B1"/>
    <w:pPr>
      <w:numPr>
        <w:ilvl w:val="1"/>
        <w:numId w:val="18"/>
      </w:numPr>
      <w:tabs>
        <w:tab w:val="clear" w:pos="2687"/>
        <w:tab w:val="left" w:pos="624"/>
      </w:tabs>
      <w:suppressAutoHyphens/>
      <w:spacing w:after="120"/>
      <w:ind w:left="0" w:firstLine="0"/>
    </w:pPr>
    <w:rPr>
      <w:rFonts w:asciiTheme="minorHAnsi" w:eastAsiaTheme="minorEastAsia" w:hAnsiTheme="minorHAnsi"/>
      <w:color w:val="auto"/>
      <w:sz w:val="20"/>
      <w:lang w:val="x-none" w:eastAsia="zh-CN"/>
    </w:rPr>
  </w:style>
  <w:style w:type="character" w:customStyle="1" w:styleId="Paralevel1Char">
    <w:name w:val="Para level1 Char"/>
    <w:link w:val="Paralevel1"/>
    <w:uiPriority w:val="99"/>
    <w:rsid w:val="002B19B1"/>
    <w:rPr>
      <w:rFonts w:asciiTheme="minorHAnsi" w:eastAsiaTheme="minorEastAsia" w:hAnsiTheme="minorHAnsi" w:cstheme="minorBidi"/>
      <w:szCs w:val="22"/>
      <w:lang w:val="x-none" w:eastAsia="zh-CN"/>
    </w:rPr>
  </w:style>
  <w:style w:type="paragraph" w:customStyle="1" w:styleId="Paralevel2">
    <w:name w:val="Para level2"/>
    <w:basedOn w:val="Paralevel1"/>
    <w:link w:val="Paralevel2Char"/>
    <w:autoRedefine/>
    <w:rsid w:val="002B19B1"/>
    <w:pPr>
      <w:numPr>
        <w:ilvl w:val="0"/>
        <w:numId w:val="0"/>
      </w:numPr>
      <w:ind w:left="1253"/>
    </w:p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Footnote number,IOEW,E FNZ,-E Fußnotenzeic"/>
    <w:link w:val="BVIfnrCharCharCharChar"/>
    <w:uiPriority w:val="99"/>
    <w:qFormat/>
    <w:rsid w:val="002B19B1"/>
    <w:rPr>
      <w:rFonts w:asciiTheme="minorHAnsi" w:hAnsiTheme="minorHAnsi"/>
      <w:sz w:val="18"/>
      <w:szCs w:val="18"/>
      <w:vertAlign w:val="superscript"/>
    </w:rPr>
  </w:style>
  <w:style w:type="paragraph" w:styleId="FootnoteText">
    <w:name w:val="footnote text"/>
    <w:aliases w:val="Geneva 9,Font: Geneva 9,Boston 10,f,Footnote Text1,93,single space,Footnote Text Rail EIS,ft,footnote3,Footnotes,Footnote ak,fn cafc,Footnotes Char Char,Footnote Text Char Char,fn Char Char,Footnote Text Char Char Char Char,footnote text,C"/>
    <w:basedOn w:val="Normal"/>
    <w:link w:val="FootnoteTextChar"/>
    <w:uiPriority w:val="99"/>
    <w:qFormat/>
    <w:rsid w:val="002B19B1"/>
    <w:pPr>
      <w:snapToGrid w:val="0"/>
      <w:spacing w:before="20" w:after="40"/>
      <w:ind w:left="1253"/>
    </w:pPr>
    <w:rPr>
      <w:rFonts w:asciiTheme="minorHAnsi" w:eastAsiaTheme="minorEastAsia" w:hAnsiTheme="minorHAnsi"/>
      <w:color w:val="auto"/>
      <w:sz w:val="18"/>
      <w:lang w:val="en-GB" w:eastAsia="zh-CN"/>
    </w:rPr>
  </w:style>
  <w:style w:type="character" w:customStyle="1" w:styleId="FootnoteTextChar">
    <w:name w:val="Footnote Text Char"/>
    <w:aliases w:val="Geneva 9 Char,Font: Geneva 9 Char,Boston 10 Char,f Char,Footnote Text1 Char,93 Char,single space Char,Footnote Text Rail EIS Char,ft Char,footnote3 Char,Footnotes Char,Footnote ak Char,fn cafc Char,Footnotes Char Char Char,C Char"/>
    <w:basedOn w:val="DefaultParagraphFont"/>
    <w:link w:val="FootnoteText"/>
    <w:uiPriority w:val="99"/>
    <w:rsid w:val="002B19B1"/>
    <w:rPr>
      <w:rFonts w:asciiTheme="minorHAnsi" w:eastAsiaTheme="minorEastAsia" w:hAnsiTheme="minorHAnsi" w:cstheme="minorBidi"/>
      <w:sz w:val="18"/>
      <w:szCs w:val="22"/>
      <w:lang w:val="en-GB" w:eastAsia="zh-CN"/>
    </w:rPr>
  </w:style>
  <w:style w:type="character" w:customStyle="1" w:styleId="Paralevel2Char">
    <w:name w:val="Para level2 Char"/>
    <w:basedOn w:val="Paralevel1Char"/>
    <w:link w:val="Paralevel2"/>
    <w:rsid w:val="002B19B1"/>
    <w:rPr>
      <w:rFonts w:asciiTheme="minorHAnsi" w:eastAsiaTheme="minorEastAsia" w:hAnsiTheme="minorHAnsi" w:cstheme="minorBidi"/>
      <w:szCs w:val="22"/>
      <w:lang w:val="x-none" w:eastAsia="zh-CN"/>
    </w:rPr>
  </w:style>
  <w:style w:type="paragraph" w:customStyle="1" w:styleId="Subtitle0">
    <w:name w:val="Sub title"/>
    <w:basedOn w:val="Heading2"/>
    <w:uiPriority w:val="99"/>
    <w:rsid w:val="002B19B1"/>
    <w:pPr>
      <w:numPr>
        <w:ilvl w:val="1"/>
      </w:numPr>
      <w:tabs>
        <w:tab w:val="num" w:pos="0"/>
      </w:tabs>
      <w:snapToGrid w:val="0"/>
      <w:spacing w:after="120" w:line="271" w:lineRule="auto"/>
      <w:ind w:left="720" w:hanging="720"/>
      <w:jc w:val="both"/>
    </w:pPr>
    <w:rPr>
      <w:rFonts w:asciiTheme="minorHAnsi" w:eastAsia="Times New Roman" w:hAnsiTheme="minorHAnsi" w:cstheme="minorHAnsi"/>
      <w:b w:val="0"/>
      <w:bCs w:val="0"/>
      <w:i/>
      <w:color w:val="4F81BD"/>
      <w:kern w:val="0"/>
      <w:szCs w:val="28"/>
      <w:lang w:val="en-GB"/>
      <w14:ligatures w14:val="none"/>
    </w:rPr>
  </w:style>
  <w:style w:type="paragraph" w:customStyle="1" w:styleId="Anxhead">
    <w:name w:val="Anx head"/>
    <w:basedOn w:val="Normal"/>
    <w:uiPriority w:val="99"/>
    <w:rsid w:val="002B19B1"/>
    <w:pPr>
      <w:spacing w:after="120"/>
    </w:pPr>
    <w:rPr>
      <w:rFonts w:asciiTheme="minorHAnsi" w:eastAsiaTheme="minorEastAsia" w:hAnsiTheme="minorHAnsi"/>
      <w:b/>
      <w:bCs/>
      <w:color w:val="auto"/>
      <w:sz w:val="28"/>
      <w:lang w:val="en-GB" w:eastAsia="zh-CN"/>
    </w:rPr>
  </w:style>
  <w:style w:type="character" w:customStyle="1" w:styleId="Paralevel1Char1">
    <w:name w:val="Para level1 Char1"/>
    <w:rsid w:val="002B19B1"/>
    <w:rPr>
      <w:lang w:val="en-GB" w:eastAsia="en-US" w:bidi="ar-SA"/>
    </w:rPr>
  </w:style>
  <w:style w:type="paragraph" w:styleId="BalloonText">
    <w:name w:val="Balloon Text"/>
    <w:basedOn w:val="Normal"/>
    <w:link w:val="BalloonTextChar"/>
    <w:uiPriority w:val="99"/>
    <w:semiHidden/>
    <w:rsid w:val="002B19B1"/>
    <w:pPr>
      <w:spacing w:after="120"/>
    </w:pPr>
    <w:rPr>
      <w:rFonts w:ascii="Tahoma" w:eastAsiaTheme="minorEastAsia" w:hAnsi="Tahoma"/>
      <w:color w:val="auto"/>
      <w:sz w:val="16"/>
      <w:szCs w:val="16"/>
      <w:lang w:val="x-none" w:eastAsia="zh-CN"/>
    </w:rPr>
  </w:style>
  <w:style w:type="character" w:customStyle="1" w:styleId="BalloonTextChar">
    <w:name w:val="Balloon Text Char"/>
    <w:basedOn w:val="DefaultParagraphFont"/>
    <w:link w:val="BalloonText"/>
    <w:uiPriority w:val="99"/>
    <w:semiHidden/>
    <w:rsid w:val="002B19B1"/>
    <w:rPr>
      <w:rFonts w:ascii="Tahoma" w:eastAsiaTheme="minorEastAsia" w:hAnsi="Tahoma" w:cstheme="minorBidi"/>
      <w:sz w:val="16"/>
      <w:szCs w:val="16"/>
      <w:lang w:val="x-none" w:eastAsia="zh-CN"/>
    </w:rPr>
  </w:style>
  <w:style w:type="paragraph" w:customStyle="1" w:styleId="Anxtitle">
    <w:name w:val="Anx title"/>
    <w:basedOn w:val="Normal"/>
    <w:link w:val="AnxtitleChar"/>
    <w:rsid w:val="002B19B1"/>
    <w:pPr>
      <w:spacing w:after="120"/>
      <w:ind w:left="1247"/>
    </w:pPr>
    <w:rPr>
      <w:rFonts w:asciiTheme="minorHAnsi" w:eastAsiaTheme="minorEastAsia" w:hAnsiTheme="minorHAnsi"/>
      <w:b/>
      <w:bCs/>
      <w:color w:val="auto"/>
      <w:sz w:val="28"/>
      <w:szCs w:val="26"/>
      <w:lang w:val="en-GB" w:eastAsia="zh-CN"/>
    </w:rPr>
  </w:style>
  <w:style w:type="character" w:customStyle="1" w:styleId="AnxtitleChar">
    <w:name w:val="Anx title Char"/>
    <w:link w:val="Anxtitle"/>
    <w:rsid w:val="002B19B1"/>
    <w:rPr>
      <w:rFonts w:asciiTheme="minorHAnsi" w:eastAsiaTheme="minorEastAsia" w:hAnsiTheme="minorHAnsi" w:cstheme="minorBidi"/>
      <w:b/>
      <w:bCs/>
      <w:sz w:val="28"/>
      <w:szCs w:val="26"/>
      <w:lang w:val="en-GB" w:eastAsia="zh-CN"/>
    </w:rPr>
  </w:style>
  <w:style w:type="paragraph" w:customStyle="1" w:styleId="Normal-pool">
    <w:name w:val="Normal-pool"/>
    <w:link w:val="Normal-poolChar"/>
    <w:qFormat/>
    <w:rsid w:val="002B19B1"/>
    <w:pPr>
      <w:tabs>
        <w:tab w:val="left" w:pos="1247"/>
        <w:tab w:val="left" w:pos="1814"/>
        <w:tab w:val="left" w:pos="2381"/>
        <w:tab w:val="left" w:pos="2948"/>
        <w:tab w:val="left" w:pos="3515"/>
      </w:tabs>
      <w:spacing w:after="160" w:line="259" w:lineRule="auto"/>
    </w:pPr>
    <w:rPr>
      <w:rFonts w:asciiTheme="minorHAnsi" w:eastAsiaTheme="minorEastAsia" w:hAnsiTheme="minorHAnsi" w:cstheme="minorBidi"/>
      <w:sz w:val="22"/>
      <w:szCs w:val="22"/>
      <w:lang w:val="en-GB"/>
    </w:rPr>
  </w:style>
  <w:style w:type="paragraph" w:customStyle="1" w:styleId="Rvision1">
    <w:name w:val="Révision1"/>
    <w:hidden/>
    <w:uiPriority w:val="99"/>
    <w:semiHidden/>
    <w:rsid w:val="002B19B1"/>
    <w:pPr>
      <w:spacing w:after="160" w:line="259" w:lineRule="auto"/>
    </w:pPr>
    <w:rPr>
      <w:rFonts w:asciiTheme="minorHAnsi" w:eastAsiaTheme="minorEastAsia" w:hAnsiTheme="minorHAnsi" w:cstheme="minorBidi"/>
      <w:sz w:val="24"/>
      <w:szCs w:val="22"/>
      <w:lang w:val="en-GB"/>
    </w:rPr>
  </w:style>
  <w:style w:type="character" w:customStyle="1" w:styleId="NormalnumberChar">
    <w:name w:val="Normal_number Char"/>
    <w:link w:val="Normalnumber"/>
    <w:uiPriority w:val="99"/>
    <w:rsid w:val="002B19B1"/>
    <w:rPr>
      <w:color w:val="000000" w:themeColor="text1"/>
      <w:lang w:val="x-none"/>
    </w:rPr>
  </w:style>
  <w:style w:type="table" w:customStyle="1" w:styleId="AATable">
    <w:name w:val="AA_Table"/>
    <w:basedOn w:val="TableNormal"/>
    <w:rsid w:val="002B19B1"/>
    <w:pPr>
      <w:spacing w:after="160" w:line="259" w:lineRule="auto"/>
    </w:pPr>
    <w:rPr>
      <w:rFonts w:asciiTheme="minorHAnsi" w:eastAsiaTheme="minorEastAsia" w:hAnsiTheme="minorHAnsi" w:cstheme="minorBidi"/>
      <w:sz w:val="22"/>
      <w:szCs w:val="22"/>
      <w:lang w:eastAsia="zh-CN"/>
    </w:rPr>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Courier New" w:hAnsi="Courier New"/>
        <w:b/>
        <w:i w:val="0"/>
        <w:caps/>
        <w:smallCaps w:val="0"/>
        <w:color w:val="auto"/>
        <w:sz w:val="27"/>
        <w:szCs w:val="27"/>
      </w:rPr>
    </w:tblStylePr>
    <w:tblStylePr w:type="lastRow">
      <w:pPr>
        <w:wordWrap/>
        <w:ind w:rightChars="0" w:right="567"/>
      </w:pPr>
      <w:rPr>
        <w:rFonts w:ascii="Courier New" w:hAnsi="Courier New"/>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Courier New" w:hAnsi="Courier New"/>
        <w:b/>
        <w:i w:val="0"/>
        <w:color w:val="auto"/>
        <w:sz w:val="64"/>
        <w:szCs w:val="64"/>
      </w:rPr>
    </w:tblStylePr>
    <w:tblStylePr w:type="nwCell">
      <w:rPr>
        <w:rFonts w:ascii="Courier New" w:hAnsi="Courier New"/>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
    <w:uiPriority w:val="99"/>
    <w:rsid w:val="002B19B1"/>
    <w:pPr>
      <w:keepNext/>
      <w:keepLines/>
      <w:suppressAutoHyphens/>
      <w:spacing w:after="120"/>
      <w:ind w:right="3402"/>
    </w:pPr>
    <w:rPr>
      <w:rFonts w:asciiTheme="minorHAnsi" w:eastAsiaTheme="minorEastAsia" w:hAnsiTheme="minorHAnsi"/>
      <w:b/>
      <w:color w:val="auto"/>
      <w:sz w:val="20"/>
      <w:lang w:val="en-GB" w:eastAsia="zh-CN"/>
    </w:rPr>
  </w:style>
  <w:style w:type="paragraph" w:customStyle="1" w:styleId="AATitle2">
    <w:name w:val="AA_Title2"/>
    <w:basedOn w:val="AATitle"/>
    <w:uiPriority w:val="99"/>
    <w:rsid w:val="002B19B1"/>
    <w:pPr>
      <w:spacing w:before="120"/>
      <w:ind w:right="1701"/>
    </w:pPr>
  </w:style>
  <w:style w:type="paragraph" w:customStyle="1" w:styleId="BBTitle">
    <w:name w:val="BB_Title"/>
    <w:basedOn w:val="Normal"/>
    <w:link w:val="BBTitleChar"/>
    <w:rsid w:val="002B19B1"/>
    <w:pPr>
      <w:keepNext/>
      <w:keepLines/>
      <w:suppressAutoHyphens/>
      <w:spacing w:before="320" w:after="240"/>
      <w:ind w:left="1247" w:right="567"/>
    </w:pPr>
    <w:rPr>
      <w:rFonts w:asciiTheme="minorHAnsi" w:eastAsiaTheme="minorEastAsia" w:hAnsiTheme="minorHAnsi"/>
      <w:b/>
      <w:color w:val="auto"/>
      <w:sz w:val="28"/>
      <w:szCs w:val="28"/>
      <w:lang w:val="en-GB" w:eastAsia="zh-CN"/>
    </w:rPr>
  </w:style>
  <w:style w:type="numbering" w:customStyle="1" w:styleId="Normallist">
    <w:name w:val="Normal_list"/>
    <w:basedOn w:val="NoList"/>
    <w:rsid w:val="002B19B1"/>
    <w:pPr>
      <w:numPr>
        <w:numId w:val="16"/>
      </w:numPr>
    </w:pPr>
  </w:style>
  <w:style w:type="paragraph" w:customStyle="1" w:styleId="NormalNonumber">
    <w:name w:val="Normal_No_number"/>
    <w:basedOn w:val="Normal"/>
    <w:uiPriority w:val="99"/>
    <w:rsid w:val="002B19B1"/>
    <w:pPr>
      <w:spacing w:after="120"/>
      <w:ind w:left="1247"/>
    </w:pPr>
    <w:rPr>
      <w:rFonts w:asciiTheme="minorHAnsi" w:eastAsiaTheme="minorEastAsia" w:hAnsiTheme="minorHAnsi"/>
      <w:color w:val="auto"/>
      <w:sz w:val="20"/>
      <w:lang w:val="en-GB" w:eastAsia="zh-CN"/>
    </w:rPr>
  </w:style>
  <w:style w:type="paragraph" w:customStyle="1" w:styleId="Normalnumber">
    <w:name w:val="Normal_number"/>
    <w:basedOn w:val="Normal"/>
    <w:link w:val="NormalnumberChar"/>
    <w:uiPriority w:val="99"/>
    <w:rsid w:val="002B19B1"/>
    <w:pPr>
      <w:numPr>
        <w:numId w:val="17"/>
      </w:numPr>
      <w:tabs>
        <w:tab w:val="clear" w:pos="567"/>
      </w:tabs>
      <w:spacing w:after="120"/>
      <w:ind w:left="0"/>
    </w:pPr>
    <w:rPr>
      <w:rFonts w:ascii="Times New Roman" w:hAnsi="Times New Roman" w:cs="Times New Roman"/>
      <w:sz w:val="20"/>
      <w:szCs w:val="20"/>
      <w:lang w:val="x-none"/>
    </w:rPr>
  </w:style>
  <w:style w:type="paragraph" w:customStyle="1" w:styleId="Titletable">
    <w:name w:val="Title_table"/>
    <w:basedOn w:val="Normal"/>
    <w:uiPriority w:val="99"/>
    <w:rsid w:val="002B19B1"/>
    <w:pPr>
      <w:keepNext/>
      <w:keepLines/>
      <w:suppressAutoHyphens/>
      <w:spacing w:after="60"/>
      <w:ind w:left="1247"/>
    </w:pPr>
    <w:rPr>
      <w:rFonts w:asciiTheme="minorHAnsi" w:eastAsiaTheme="minorEastAsia" w:hAnsiTheme="minorHAnsi"/>
      <w:b/>
      <w:bCs/>
      <w:color w:val="auto"/>
      <w:sz w:val="20"/>
      <w:lang w:val="en-GB" w:eastAsia="zh-CN"/>
    </w:rPr>
  </w:style>
  <w:style w:type="paragraph" w:styleId="TOC1">
    <w:name w:val="toc 1"/>
    <w:basedOn w:val="Normal"/>
    <w:next w:val="Normal"/>
    <w:uiPriority w:val="39"/>
    <w:rsid w:val="002B19B1"/>
    <w:pPr>
      <w:spacing w:before="120" w:after="120"/>
    </w:pPr>
    <w:rPr>
      <w:rFonts w:asciiTheme="minorHAnsi" w:eastAsiaTheme="minorEastAsia" w:hAnsiTheme="minorHAnsi"/>
      <w:b/>
      <w:bCs/>
      <w:caps/>
      <w:color w:val="auto"/>
      <w:sz w:val="20"/>
      <w:szCs w:val="20"/>
      <w:lang w:val="en-GB" w:eastAsia="zh-CN"/>
    </w:rPr>
  </w:style>
  <w:style w:type="paragraph" w:styleId="TOC2">
    <w:name w:val="toc 2"/>
    <w:basedOn w:val="Normal"/>
    <w:next w:val="Normal"/>
    <w:uiPriority w:val="39"/>
    <w:rsid w:val="002B19B1"/>
    <w:pPr>
      <w:ind w:left="200"/>
    </w:pPr>
    <w:rPr>
      <w:rFonts w:asciiTheme="minorHAnsi" w:eastAsiaTheme="minorEastAsia" w:hAnsiTheme="minorHAnsi"/>
      <w:smallCaps/>
      <w:color w:val="auto"/>
      <w:sz w:val="20"/>
      <w:szCs w:val="20"/>
      <w:lang w:val="en-GB" w:eastAsia="zh-CN"/>
    </w:rPr>
  </w:style>
  <w:style w:type="paragraph" w:styleId="TOC3">
    <w:name w:val="toc 3"/>
    <w:basedOn w:val="Normal"/>
    <w:next w:val="Normal"/>
    <w:uiPriority w:val="39"/>
    <w:rsid w:val="002B19B1"/>
    <w:pPr>
      <w:ind w:left="400"/>
    </w:pPr>
    <w:rPr>
      <w:rFonts w:asciiTheme="minorHAnsi" w:eastAsiaTheme="minorEastAsia" w:hAnsiTheme="minorHAnsi"/>
      <w:i/>
      <w:iCs/>
      <w:color w:val="auto"/>
      <w:sz w:val="20"/>
      <w:szCs w:val="20"/>
      <w:lang w:val="en-GB" w:eastAsia="zh-CN"/>
    </w:rPr>
  </w:style>
  <w:style w:type="paragraph" w:styleId="TOC4">
    <w:name w:val="toc 4"/>
    <w:basedOn w:val="Normal"/>
    <w:next w:val="Normal"/>
    <w:uiPriority w:val="39"/>
    <w:rsid w:val="002B19B1"/>
    <w:pPr>
      <w:ind w:left="600"/>
    </w:pPr>
    <w:rPr>
      <w:rFonts w:asciiTheme="minorHAnsi" w:eastAsiaTheme="minorEastAsia" w:hAnsiTheme="minorHAnsi"/>
      <w:color w:val="auto"/>
      <w:sz w:val="18"/>
      <w:szCs w:val="18"/>
      <w:lang w:val="en-GB" w:eastAsia="zh-CN"/>
    </w:rPr>
  </w:style>
  <w:style w:type="paragraph" w:styleId="TOC5">
    <w:name w:val="toc 5"/>
    <w:basedOn w:val="Normal"/>
    <w:next w:val="Normal"/>
    <w:autoRedefine/>
    <w:uiPriority w:val="39"/>
    <w:rsid w:val="002B19B1"/>
    <w:pPr>
      <w:ind w:left="800"/>
    </w:pPr>
    <w:rPr>
      <w:rFonts w:asciiTheme="minorHAnsi" w:eastAsiaTheme="minorEastAsia" w:hAnsiTheme="minorHAnsi"/>
      <w:color w:val="auto"/>
      <w:sz w:val="18"/>
      <w:szCs w:val="18"/>
      <w:lang w:val="en-GB" w:eastAsia="zh-CN"/>
    </w:rPr>
  </w:style>
  <w:style w:type="paragraph" w:customStyle="1" w:styleId="ZZAnxheader">
    <w:name w:val="ZZ_Anx_header"/>
    <w:basedOn w:val="Normal"/>
    <w:uiPriority w:val="99"/>
    <w:rsid w:val="002B19B1"/>
    <w:pPr>
      <w:spacing w:after="120"/>
    </w:pPr>
    <w:rPr>
      <w:rFonts w:asciiTheme="minorHAnsi" w:eastAsiaTheme="minorEastAsia" w:hAnsiTheme="minorHAnsi"/>
      <w:b/>
      <w:bCs/>
      <w:color w:val="auto"/>
      <w:sz w:val="28"/>
      <w:lang w:val="en-GB" w:eastAsia="zh-CN"/>
    </w:rPr>
  </w:style>
  <w:style w:type="paragraph" w:customStyle="1" w:styleId="ZZAnxtitle">
    <w:name w:val="ZZ_Anx_title"/>
    <w:basedOn w:val="Normal"/>
    <w:link w:val="ZZAnxtitleChar"/>
    <w:rsid w:val="002B19B1"/>
    <w:pPr>
      <w:spacing w:before="360" w:after="120"/>
      <w:ind w:left="1247"/>
    </w:pPr>
    <w:rPr>
      <w:rFonts w:asciiTheme="minorHAnsi" w:eastAsiaTheme="minorEastAsia" w:hAnsiTheme="minorHAnsi"/>
      <w:b/>
      <w:bCs/>
      <w:color w:val="auto"/>
      <w:sz w:val="28"/>
      <w:szCs w:val="26"/>
      <w:lang w:val="en-GB" w:eastAsia="zh-CN"/>
    </w:rPr>
  </w:style>
  <w:style w:type="character" w:customStyle="1" w:styleId="overflow-hidden">
    <w:name w:val="overflow-hidden"/>
    <w:basedOn w:val="DefaultParagraphFont"/>
    <w:rsid w:val="002B19B1"/>
  </w:style>
  <w:style w:type="paragraph" w:customStyle="1" w:styleId="ListParagraph3">
    <w:name w:val="List Paragraph3"/>
    <w:aliases w:val="Listeavsnitt1,List Paragraph 2"/>
    <w:basedOn w:val="Normal"/>
    <w:uiPriority w:val="99"/>
    <w:rsid w:val="002B19B1"/>
    <w:pPr>
      <w:spacing w:after="120"/>
      <w:ind w:left="720"/>
      <w:contextualSpacing/>
    </w:pPr>
    <w:rPr>
      <w:rFonts w:asciiTheme="minorHAnsi" w:eastAsia="SimSun" w:hAnsiTheme="minorHAnsi"/>
      <w:color w:val="auto"/>
      <w:sz w:val="20"/>
      <w:lang w:val="nb-NO" w:eastAsia="nb-NO"/>
    </w:rPr>
  </w:style>
  <w:style w:type="paragraph" w:customStyle="1" w:styleId="ListParagraph1">
    <w:name w:val="List Paragraph1"/>
    <w:aliases w:val="List Paragraph31"/>
    <w:basedOn w:val="Normal"/>
    <w:autoRedefine/>
    <w:uiPriority w:val="99"/>
    <w:qFormat/>
    <w:rsid w:val="002B19B1"/>
    <w:pPr>
      <w:spacing w:after="120"/>
      <w:ind w:left="720"/>
    </w:pPr>
    <w:rPr>
      <w:rFonts w:eastAsia="SimSun" w:cs="Calibri"/>
      <w:color w:val="auto"/>
      <w:sz w:val="20"/>
      <w:lang w:val="nb-NO" w:eastAsia="zh-CN"/>
    </w:rPr>
  </w:style>
  <w:style w:type="character" w:customStyle="1" w:styleId="CaptionChar">
    <w:name w:val="Caption Char"/>
    <w:aliases w:val="Table Char"/>
    <w:link w:val="Caption"/>
    <w:uiPriority w:val="35"/>
    <w:locked/>
    <w:rsid w:val="002B19B1"/>
    <w:rPr>
      <w:rFonts w:asciiTheme="minorHAnsi" w:eastAsiaTheme="minorEastAsia" w:hAnsiTheme="minorHAnsi" w:cstheme="minorBidi"/>
      <w:b/>
      <w:iCs/>
      <w:szCs w:val="18"/>
      <w:lang w:val="en-GB" w:eastAsia="zh-CN"/>
    </w:rPr>
  </w:style>
  <w:style w:type="paragraph" w:styleId="BodyText">
    <w:name w:val="Body Text"/>
    <w:basedOn w:val="Normal"/>
    <w:link w:val="BodyTextChar"/>
    <w:uiPriority w:val="99"/>
    <w:rsid w:val="002B19B1"/>
    <w:pPr>
      <w:spacing w:after="120" w:line="276" w:lineRule="auto"/>
    </w:pPr>
    <w:rPr>
      <w:rFonts w:eastAsia="SimSun"/>
      <w:color w:val="auto"/>
      <w:sz w:val="20"/>
      <w:lang w:val="nb-NO" w:eastAsia="zh-CN"/>
    </w:rPr>
  </w:style>
  <w:style w:type="character" w:customStyle="1" w:styleId="BodyTextChar">
    <w:name w:val="Body Text Char"/>
    <w:basedOn w:val="DefaultParagraphFont"/>
    <w:link w:val="BodyText"/>
    <w:uiPriority w:val="99"/>
    <w:rsid w:val="002B19B1"/>
    <w:rPr>
      <w:rFonts w:ascii="Calibri" w:eastAsia="SimSun" w:hAnsi="Calibri" w:cstheme="minorBidi"/>
      <w:szCs w:val="22"/>
      <w:lang w:val="nb-NO" w:eastAsia="zh-CN"/>
    </w:rPr>
  </w:style>
  <w:style w:type="paragraph" w:customStyle="1" w:styleId="yiv272510692msonormal">
    <w:name w:val="yiv272510692msonormal"/>
    <w:basedOn w:val="Normal"/>
    <w:uiPriority w:val="99"/>
    <w:rsid w:val="002B19B1"/>
    <w:pPr>
      <w:spacing w:before="100" w:beforeAutospacing="1" w:after="100" w:afterAutospacing="1"/>
    </w:pPr>
    <w:rPr>
      <w:rFonts w:asciiTheme="minorHAnsi" w:eastAsia="SimSun" w:hAnsiTheme="minorHAnsi"/>
      <w:color w:val="auto"/>
      <w:sz w:val="20"/>
      <w:szCs w:val="24"/>
      <w:lang w:val="nb-NO" w:eastAsia="nb-NO"/>
    </w:rPr>
  </w:style>
  <w:style w:type="paragraph" w:customStyle="1" w:styleId="Stil1">
    <w:name w:val="Stil1"/>
    <w:basedOn w:val="Heading2"/>
    <w:link w:val="Stil1Tegn"/>
    <w:uiPriority w:val="99"/>
    <w:rsid w:val="002B19B1"/>
    <w:pPr>
      <w:numPr>
        <w:ilvl w:val="1"/>
        <w:numId w:val="19"/>
      </w:numPr>
      <w:tabs>
        <w:tab w:val="clear" w:pos="720"/>
      </w:tabs>
      <w:snapToGrid w:val="0"/>
      <w:spacing w:after="60" w:line="271" w:lineRule="auto"/>
      <w:ind w:left="0" w:firstLine="0"/>
      <w:jc w:val="both"/>
    </w:pPr>
    <w:rPr>
      <w:rFonts w:ascii="Lucida Sans" w:eastAsia="MS Gothic" w:hAnsi="Lucida Sans" w:cstheme="minorHAnsi"/>
      <w:bCs w:val="0"/>
      <w:i/>
      <w:color w:val="4F81BD"/>
      <w:kern w:val="0"/>
      <w:szCs w:val="28"/>
      <w:lang w:val="en-CA" w:eastAsia="nb-NO"/>
      <w14:ligatures w14:val="none"/>
    </w:rPr>
  </w:style>
  <w:style w:type="character" w:customStyle="1" w:styleId="Stil1Tegn">
    <w:name w:val="Stil1 Tegn"/>
    <w:link w:val="Stil1"/>
    <w:uiPriority w:val="99"/>
    <w:locked/>
    <w:rsid w:val="002B19B1"/>
    <w:rPr>
      <w:rFonts w:ascii="Lucida Sans" w:eastAsia="MS Gothic" w:hAnsi="Lucida Sans" w:cstheme="minorHAnsi"/>
      <w:b/>
      <w:i/>
      <w:color w:val="4F81BD"/>
      <w:sz w:val="28"/>
      <w:szCs w:val="28"/>
      <w:lang w:val="en-CA" w:eastAsia="nb-NO"/>
    </w:rPr>
  </w:style>
  <w:style w:type="paragraph" w:customStyle="1" w:styleId="Listeavsnitt11">
    <w:name w:val="Listeavsnitt11"/>
    <w:basedOn w:val="Normal"/>
    <w:uiPriority w:val="99"/>
    <w:rsid w:val="002B19B1"/>
    <w:pPr>
      <w:spacing w:after="200" w:line="276" w:lineRule="auto"/>
      <w:ind w:left="720"/>
    </w:pPr>
    <w:rPr>
      <w:rFonts w:eastAsia="SimSun" w:cs="Calibri"/>
      <w:color w:val="auto"/>
      <w:sz w:val="20"/>
      <w:lang w:val="nb-NO" w:eastAsia="zh-CN"/>
    </w:rPr>
  </w:style>
  <w:style w:type="paragraph" w:styleId="ListBullet2">
    <w:name w:val="List Bullet 2"/>
    <w:basedOn w:val="Normal"/>
    <w:uiPriority w:val="99"/>
    <w:rsid w:val="002B19B1"/>
    <w:pPr>
      <w:tabs>
        <w:tab w:val="num" w:pos="643"/>
      </w:tabs>
      <w:spacing w:after="200" w:line="276" w:lineRule="auto"/>
      <w:ind w:left="643" w:hanging="360"/>
      <w:contextualSpacing/>
    </w:pPr>
    <w:rPr>
      <w:rFonts w:eastAsia="SimSun"/>
      <w:color w:val="auto"/>
      <w:sz w:val="20"/>
      <w:lang w:val="nb-NO" w:eastAsia="zh-CN"/>
    </w:rPr>
  </w:style>
  <w:style w:type="character" w:customStyle="1" w:styleId="yshortcuts1">
    <w:name w:val="yshortcuts1"/>
    <w:uiPriority w:val="99"/>
    <w:rsid w:val="002B19B1"/>
    <w:rPr>
      <w:color w:val="366388"/>
    </w:rPr>
  </w:style>
  <w:style w:type="paragraph" w:styleId="PlainText">
    <w:name w:val="Plain Text"/>
    <w:basedOn w:val="Normal"/>
    <w:link w:val="PlainTextChar"/>
    <w:uiPriority w:val="99"/>
    <w:rsid w:val="002B19B1"/>
    <w:pPr>
      <w:spacing w:after="120"/>
    </w:pPr>
    <w:rPr>
      <w:rFonts w:ascii="Consolas" w:eastAsia="SimSun" w:hAnsi="Consolas"/>
      <w:color w:val="auto"/>
      <w:sz w:val="21"/>
      <w:szCs w:val="21"/>
      <w:lang w:val="nb-NO" w:eastAsia="zh-CN"/>
    </w:rPr>
  </w:style>
  <w:style w:type="character" w:customStyle="1" w:styleId="PlainTextChar">
    <w:name w:val="Plain Text Char"/>
    <w:basedOn w:val="DefaultParagraphFont"/>
    <w:link w:val="PlainText"/>
    <w:uiPriority w:val="99"/>
    <w:rsid w:val="002B19B1"/>
    <w:rPr>
      <w:rFonts w:ascii="Consolas" w:eastAsia="SimSun" w:hAnsi="Consolas" w:cstheme="minorBidi"/>
      <w:sz w:val="21"/>
      <w:szCs w:val="21"/>
      <w:lang w:val="nb-NO" w:eastAsia="zh-CN"/>
    </w:rPr>
  </w:style>
  <w:style w:type="paragraph" w:styleId="List3">
    <w:name w:val="List 3"/>
    <w:basedOn w:val="Normal"/>
    <w:uiPriority w:val="99"/>
    <w:rsid w:val="002B19B1"/>
    <w:pPr>
      <w:spacing w:after="120"/>
      <w:ind w:left="1080" w:hanging="360"/>
    </w:pPr>
    <w:rPr>
      <w:rFonts w:asciiTheme="minorHAnsi" w:eastAsia="SimSun" w:hAnsiTheme="minorHAnsi"/>
      <w:color w:val="auto"/>
      <w:sz w:val="20"/>
      <w:lang w:val="nb-NO" w:eastAsia="nb-NO"/>
    </w:rPr>
  </w:style>
  <w:style w:type="paragraph" w:customStyle="1" w:styleId="Default">
    <w:name w:val="Default"/>
    <w:uiPriority w:val="99"/>
    <w:rsid w:val="002B19B1"/>
    <w:pPr>
      <w:autoSpaceDE w:val="0"/>
      <w:autoSpaceDN w:val="0"/>
      <w:adjustRightInd w:val="0"/>
      <w:spacing w:after="160" w:line="259" w:lineRule="auto"/>
    </w:pPr>
    <w:rPr>
      <w:rFonts w:ascii="U45 Univers Light" w:eastAsia="SimSun" w:hAnsi="U45 Univers Light" w:cs="U45 Univers Light"/>
      <w:color w:val="000000"/>
      <w:sz w:val="24"/>
      <w:szCs w:val="24"/>
      <w:lang w:val="nb-NO"/>
    </w:rPr>
  </w:style>
  <w:style w:type="paragraph" w:customStyle="1" w:styleId="yiv148691247msonormal">
    <w:name w:val="yiv148691247msonormal"/>
    <w:basedOn w:val="Normal"/>
    <w:uiPriority w:val="99"/>
    <w:rsid w:val="002B19B1"/>
    <w:pPr>
      <w:spacing w:before="100" w:beforeAutospacing="1" w:after="100" w:afterAutospacing="1"/>
    </w:pPr>
    <w:rPr>
      <w:rFonts w:asciiTheme="minorHAnsi" w:eastAsia="SimSun" w:hAnsiTheme="minorHAnsi"/>
      <w:color w:val="auto"/>
      <w:sz w:val="20"/>
      <w:szCs w:val="24"/>
      <w:lang w:val="nb-NO" w:eastAsia="nb-NO"/>
    </w:rPr>
  </w:style>
  <w:style w:type="paragraph" w:customStyle="1" w:styleId="yiv1589261709normalnumber">
    <w:name w:val="yiv1589261709normalnumber"/>
    <w:basedOn w:val="Normal"/>
    <w:uiPriority w:val="99"/>
    <w:rsid w:val="002B19B1"/>
    <w:pPr>
      <w:spacing w:before="100" w:beforeAutospacing="1" w:after="100" w:afterAutospacing="1"/>
    </w:pPr>
    <w:rPr>
      <w:rFonts w:asciiTheme="minorHAnsi" w:eastAsia="SimSun" w:hAnsiTheme="minorHAnsi"/>
      <w:color w:val="auto"/>
      <w:sz w:val="20"/>
      <w:szCs w:val="24"/>
      <w:lang w:val="nb-NO" w:eastAsia="nb-NO"/>
    </w:rPr>
  </w:style>
  <w:style w:type="paragraph" w:customStyle="1" w:styleId="ListParagraph2">
    <w:name w:val="List Paragraph2"/>
    <w:basedOn w:val="Normal"/>
    <w:uiPriority w:val="99"/>
    <w:rsid w:val="002B19B1"/>
    <w:pPr>
      <w:spacing w:after="120"/>
      <w:ind w:left="720"/>
      <w:contextualSpacing/>
    </w:pPr>
    <w:rPr>
      <w:rFonts w:asciiTheme="minorHAnsi" w:eastAsia="SimSun" w:hAnsiTheme="minorHAnsi"/>
      <w:color w:val="auto"/>
      <w:sz w:val="20"/>
      <w:lang w:val="nb-NO" w:eastAsia="nb-NO"/>
    </w:rPr>
  </w:style>
  <w:style w:type="paragraph" w:customStyle="1" w:styleId="CM21">
    <w:name w:val="CM21"/>
    <w:basedOn w:val="Default"/>
    <w:next w:val="Default"/>
    <w:uiPriority w:val="99"/>
    <w:rsid w:val="002B19B1"/>
    <w:rPr>
      <w:rFonts w:ascii="Times New Roman" w:hAnsi="Times New Roman" w:cs="Times New Roman"/>
      <w:color w:val="auto"/>
      <w:lang w:eastAsia="nb-NO"/>
    </w:rPr>
  </w:style>
  <w:style w:type="paragraph" w:styleId="Date">
    <w:name w:val="Date"/>
    <w:basedOn w:val="Normal"/>
    <w:next w:val="Normal"/>
    <w:link w:val="DateChar"/>
    <w:uiPriority w:val="99"/>
    <w:rsid w:val="002B19B1"/>
    <w:pPr>
      <w:spacing w:after="120"/>
    </w:pPr>
    <w:rPr>
      <w:rFonts w:asciiTheme="minorHAnsi" w:eastAsia="SimSun" w:hAnsiTheme="minorHAnsi"/>
      <w:color w:val="auto"/>
      <w:sz w:val="20"/>
      <w:szCs w:val="24"/>
      <w:lang w:val="en-GB" w:eastAsia="zh-CN"/>
    </w:rPr>
  </w:style>
  <w:style w:type="character" w:customStyle="1" w:styleId="DateChar">
    <w:name w:val="Date Char"/>
    <w:basedOn w:val="DefaultParagraphFont"/>
    <w:link w:val="Date"/>
    <w:uiPriority w:val="99"/>
    <w:rsid w:val="002B19B1"/>
    <w:rPr>
      <w:rFonts w:asciiTheme="minorHAnsi" w:eastAsia="SimSun" w:hAnsiTheme="minorHAnsi" w:cstheme="minorBidi"/>
      <w:szCs w:val="24"/>
      <w:lang w:val="en-GB" w:eastAsia="zh-CN"/>
    </w:rPr>
  </w:style>
  <w:style w:type="paragraph" w:styleId="List2">
    <w:name w:val="List 2"/>
    <w:basedOn w:val="Normal"/>
    <w:uiPriority w:val="99"/>
    <w:rsid w:val="002B19B1"/>
    <w:pPr>
      <w:spacing w:after="120"/>
      <w:ind w:left="566" w:hanging="283"/>
      <w:contextualSpacing/>
    </w:pPr>
    <w:rPr>
      <w:rFonts w:asciiTheme="minorHAnsi" w:eastAsia="SimSun" w:hAnsiTheme="minorHAnsi"/>
      <w:color w:val="auto"/>
      <w:sz w:val="20"/>
      <w:lang w:val="nb-NO" w:eastAsia="nb-NO"/>
    </w:rPr>
  </w:style>
  <w:style w:type="paragraph" w:customStyle="1" w:styleId="Overskriftforinnholdsfortegnelse1">
    <w:name w:val="Overskrift for innholdsfortegnelse1"/>
    <w:basedOn w:val="Heading1"/>
    <w:next w:val="Normal"/>
    <w:uiPriority w:val="99"/>
    <w:rsid w:val="002B19B1"/>
    <w:pPr>
      <w:snapToGrid w:val="0"/>
      <w:spacing w:before="480" w:after="240"/>
      <w:outlineLvl w:val="9"/>
    </w:pPr>
    <w:rPr>
      <w:rFonts w:ascii="Lucida Sans" w:eastAsia="MS Gothic" w:hAnsi="Lucida Sans" w:cstheme="minorHAnsi"/>
      <w:b w:val="0"/>
      <w:bCs/>
      <w:color w:val="365F91"/>
      <w:sz w:val="28"/>
      <w:szCs w:val="28"/>
      <w:lang w:val="en-GB" w:eastAsia="zh-CN"/>
    </w:rPr>
  </w:style>
  <w:style w:type="paragraph" w:styleId="List">
    <w:name w:val="List"/>
    <w:basedOn w:val="Normal"/>
    <w:uiPriority w:val="99"/>
    <w:rsid w:val="002B19B1"/>
    <w:pPr>
      <w:spacing w:after="120"/>
      <w:ind w:left="360" w:hanging="360"/>
    </w:pPr>
    <w:rPr>
      <w:rFonts w:asciiTheme="minorHAnsi" w:eastAsia="SimSun" w:hAnsiTheme="minorHAnsi"/>
      <w:color w:val="auto"/>
      <w:sz w:val="20"/>
      <w:lang w:val="nb-NO" w:eastAsia="nb-NO"/>
    </w:rPr>
  </w:style>
  <w:style w:type="paragraph" w:customStyle="1" w:styleId="paragraphnumbered">
    <w:name w:val="paragraphnumbered"/>
    <w:basedOn w:val="Normal"/>
    <w:uiPriority w:val="99"/>
    <w:rsid w:val="002B19B1"/>
    <w:pPr>
      <w:tabs>
        <w:tab w:val="num" w:pos="720"/>
      </w:tabs>
      <w:spacing w:after="120"/>
      <w:ind w:left="360"/>
    </w:pPr>
    <w:rPr>
      <w:rFonts w:asciiTheme="minorHAnsi" w:eastAsia="SimSun" w:hAnsiTheme="minorHAnsi"/>
      <w:color w:val="auto"/>
      <w:sz w:val="20"/>
      <w:lang w:val="en-GB" w:eastAsia="zh-CN"/>
    </w:rPr>
  </w:style>
  <w:style w:type="paragraph" w:styleId="ListBullet">
    <w:name w:val="List Bullet"/>
    <w:basedOn w:val="Normal"/>
    <w:uiPriority w:val="99"/>
    <w:rsid w:val="002B19B1"/>
    <w:pPr>
      <w:tabs>
        <w:tab w:val="num" w:pos="360"/>
      </w:tabs>
      <w:spacing w:after="120"/>
      <w:ind w:left="360" w:hanging="360"/>
      <w:contextualSpacing/>
    </w:pPr>
    <w:rPr>
      <w:rFonts w:asciiTheme="minorHAnsi" w:eastAsia="SimSun" w:hAnsiTheme="minorHAnsi"/>
      <w:color w:val="auto"/>
      <w:sz w:val="20"/>
      <w:lang w:val="nb-NO" w:eastAsia="nb-NO"/>
    </w:rPr>
  </w:style>
  <w:style w:type="paragraph" w:styleId="BodyTextFirstIndent">
    <w:name w:val="Body Text First Indent"/>
    <w:basedOn w:val="BodyText"/>
    <w:link w:val="BodyTextFirstIndentChar"/>
    <w:uiPriority w:val="99"/>
    <w:rsid w:val="002B19B1"/>
    <w:pPr>
      <w:spacing w:after="0" w:line="240" w:lineRule="auto"/>
      <w:ind w:firstLine="360"/>
    </w:pPr>
    <w:rPr>
      <w:sz w:val="24"/>
      <w:lang w:eastAsia="nb-NO"/>
    </w:rPr>
  </w:style>
  <w:style w:type="character" w:customStyle="1" w:styleId="BodyTextFirstIndentChar">
    <w:name w:val="Body Text First Indent Char"/>
    <w:basedOn w:val="BodyTextChar"/>
    <w:link w:val="BodyTextFirstIndent"/>
    <w:uiPriority w:val="99"/>
    <w:rsid w:val="002B19B1"/>
    <w:rPr>
      <w:rFonts w:ascii="Calibri" w:eastAsia="SimSun" w:hAnsi="Calibri" w:cstheme="minorBidi"/>
      <w:sz w:val="24"/>
      <w:szCs w:val="22"/>
      <w:lang w:val="nb-NO" w:eastAsia="nb-NO"/>
    </w:rPr>
  </w:style>
  <w:style w:type="paragraph" w:styleId="BodyTextIndent">
    <w:name w:val="Body Text Indent"/>
    <w:basedOn w:val="Normal"/>
    <w:link w:val="BodyTextIndentChar"/>
    <w:uiPriority w:val="99"/>
    <w:rsid w:val="002B19B1"/>
    <w:pPr>
      <w:spacing w:after="120"/>
      <w:ind w:left="283"/>
    </w:pPr>
    <w:rPr>
      <w:rFonts w:asciiTheme="minorHAnsi" w:eastAsia="SimSun" w:hAnsiTheme="minorHAnsi"/>
      <w:color w:val="auto"/>
      <w:sz w:val="20"/>
      <w:lang w:val="nb-NO" w:eastAsia="nb-NO"/>
    </w:rPr>
  </w:style>
  <w:style w:type="character" w:customStyle="1" w:styleId="BodyTextIndentChar">
    <w:name w:val="Body Text Indent Char"/>
    <w:basedOn w:val="DefaultParagraphFont"/>
    <w:link w:val="BodyTextIndent"/>
    <w:uiPriority w:val="99"/>
    <w:rsid w:val="002B19B1"/>
    <w:rPr>
      <w:rFonts w:asciiTheme="minorHAnsi" w:eastAsia="SimSun" w:hAnsiTheme="minorHAnsi" w:cstheme="minorBidi"/>
      <w:szCs w:val="22"/>
      <w:lang w:val="nb-NO" w:eastAsia="nb-NO"/>
    </w:rPr>
  </w:style>
  <w:style w:type="paragraph" w:styleId="BodyTextFirstIndent2">
    <w:name w:val="Body Text First Indent 2"/>
    <w:aliases w:val=" Char2"/>
    <w:basedOn w:val="BodyTextIndent"/>
    <w:link w:val="BodyTextFirstIndent2Char"/>
    <w:uiPriority w:val="99"/>
    <w:rsid w:val="002B19B1"/>
    <w:pPr>
      <w:spacing w:after="0"/>
      <w:ind w:left="360" w:firstLine="360"/>
    </w:pPr>
  </w:style>
  <w:style w:type="character" w:customStyle="1" w:styleId="BodyTextFirstIndent2Char">
    <w:name w:val="Body Text First Indent 2 Char"/>
    <w:aliases w:val=" Char2 Char"/>
    <w:basedOn w:val="BodyTextIndentChar"/>
    <w:link w:val="BodyTextFirstIndent2"/>
    <w:uiPriority w:val="99"/>
    <w:rsid w:val="002B19B1"/>
    <w:rPr>
      <w:rFonts w:asciiTheme="minorHAnsi" w:eastAsia="SimSun" w:hAnsiTheme="minorHAnsi" w:cstheme="minorBidi"/>
      <w:szCs w:val="22"/>
      <w:lang w:val="nb-NO" w:eastAsia="nb-NO"/>
    </w:rPr>
  </w:style>
  <w:style w:type="paragraph" w:customStyle="1" w:styleId="Listeavsnitt2">
    <w:name w:val="Listeavsnitt2"/>
    <w:basedOn w:val="Normal"/>
    <w:uiPriority w:val="99"/>
    <w:rsid w:val="002B19B1"/>
    <w:pPr>
      <w:spacing w:after="120"/>
      <w:ind w:left="720"/>
      <w:contextualSpacing/>
    </w:pPr>
    <w:rPr>
      <w:rFonts w:asciiTheme="minorHAnsi" w:eastAsia="SimSun" w:hAnsiTheme="minorHAnsi"/>
      <w:color w:val="auto"/>
      <w:sz w:val="20"/>
      <w:lang w:val="nb-NO" w:eastAsia="nb-NO"/>
    </w:rPr>
  </w:style>
  <w:style w:type="paragraph" w:customStyle="1" w:styleId="Ingenmellomrom1">
    <w:name w:val="Ingen mellomrom1"/>
    <w:uiPriority w:val="99"/>
    <w:rsid w:val="002B19B1"/>
    <w:pPr>
      <w:spacing w:after="160" w:line="259" w:lineRule="auto"/>
    </w:pPr>
    <w:rPr>
      <w:rFonts w:asciiTheme="minorHAnsi" w:eastAsia="SimSun" w:hAnsiTheme="minorHAnsi" w:cstheme="minorBidi"/>
      <w:sz w:val="24"/>
      <w:szCs w:val="22"/>
      <w:lang w:val="nb-NO" w:eastAsia="nb-NO"/>
    </w:rPr>
  </w:style>
  <w:style w:type="character" w:customStyle="1" w:styleId="Svakutheving1">
    <w:name w:val="Svak utheving1"/>
    <w:uiPriority w:val="99"/>
    <w:rsid w:val="002B19B1"/>
    <w:rPr>
      <w:i/>
      <w:color w:val="808080"/>
    </w:rPr>
  </w:style>
  <w:style w:type="character" w:customStyle="1" w:styleId="Sterkutheving1">
    <w:name w:val="Sterk utheving1"/>
    <w:uiPriority w:val="99"/>
    <w:rsid w:val="002B19B1"/>
    <w:rPr>
      <w:b/>
      <w:i/>
      <w:color w:val="4F81BD"/>
    </w:rPr>
  </w:style>
  <w:style w:type="character" w:customStyle="1" w:styleId="yiv148691247msofootnotereference">
    <w:name w:val="yiv148691247msofootnotereference"/>
    <w:uiPriority w:val="99"/>
    <w:rsid w:val="002B19B1"/>
  </w:style>
  <w:style w:type="paragraph" w:customStyle="1" w:styleId="yiv1589261709msonormal">
    <w:name w:val="yiv1589261709msonormal"/>
    <w:basedOn w:val="Normal"/>
    <w:uiPriority w:val="99"/>
    <w:rsid w:val="002B19B1"/>
    <w:pPr>
      <w:spacing w:before="100" w:beforeAutospacing="1" w:after="100" w:afterAutospacing="1"/>
    </w:pPr>
    <w:rPr>
      <w:rFonts w:asciiTheme="minorHAnsi" w:eastAsia="SimSun" w:hAnsiTheme="minorHAnsi"/>
      <w:color w:val="auto"/>
      <w:sz w:val="20"/>
      <w:szCs w:val="24"/>
      <w:lang w:val="nb-NO" w:eastAsia="nb-NO"/>
    </w:rPr>
  </w:style>
  <w:style w:type="character" w:customStyle="1" w:styleId="citation-abbreviation">
    <w:name w:val="citation-abbreviation"/>
    <w:uiPriority w:val="99"/>
    <w:rsid w:val="002B19B1"/>
    <w:rPr>
      <w:rFonts w:cs="Times New Roman"/>
    </w:rPr>
  </w:style>
  <w:style w:type="character" w:customStyle="1" w:styleId="citation-publication-date">
    <w:name w:val="citation-publication-date"/>
    <w:uiPriority w:val="99"/>
    <w:rsid w:val="002B19B1"/>
    <w:rPr>
      <w:rFonts w:cs="Times New Roman"/>
    </w:rPr>
  </w:style>
  <w:style w:type="character" w:customStyle="1" w:styleId="citation-volume">
    <w:name w:val="citation-volume"/>
    <w:uiPriority w:val="99"/>
    <w:rsid w:val="002B19B1"/>
    <w:rPr>
      <w:rFonts w:cs="Times New Roman"/>
    </w:rPr>
  </w:style>
  <w:style w:type="character" w:customStyle="1" w:styleId="citation-flpages">
    <w:name w:val="citation-flpages"/>
    <w:uiPriority w:val="99"/>
    <w:rsid w:val="002B19B1"/>
    <w:rPr>
      <w:rFonts w:cs="Times New Roman"/>
    </w:rPr>
  </w:style>
  <w:style w:type="character" w:customStyle="1" w:styleId="fm-vol-iss-date">
    <w:name w:val="fm-vol-iss-date"/>
    <w:uiPriority w:val="99"/>
    <w:rsid w:val="002B19B1"/>
    <w:rPr>
      <w:rFonts w:cs="Times New Roman"/>
    </w:rPr>
  </w:style>
  <w:style w:type="character" w:customStyle="1" w:styleId="pages">
    <w:name w:val="pages"/>
    <w:uiPriority w:val="99"/>
    <w:rsid w:val="002B19B1"/>
    <w:rPr>
      <w:rFonts w:cs="Times New Roman"/>
    </w:rPr>
  </w:style>
  <w:style w:type="paragraph" w:customStyle="1" w:styleId="ColorfulShading-Accent11">
    <w:name w:val="Colorful Shading - Accent 11"/>
    <w:hidden/>
    <w:uiPriority w:val="99"/>
    <w:semiHidden/>
    <w:rsid w:val="002B19B1"/>
    <w:pPr>
      <w:spacing w:after="160" w:line="259" w:lineRule="auto"/>
    </w:pPr>
    <w:rPr>
      <w:rFonts w:asciiTheme="minorHAnsi" w:eastAsia="SimSun" w:hAnsiTheme="minorHAnsi" w:cstheme="minorBidi"/>
      <w:sz w:val="24"/>
      <w:szCs w:val="24"/>
      <w:lang w:val="en-GB" w:eastAsia="zh-CN"/>
    </w:rPr>
  </w:style>
  <w:style w:type="paragraph" w:customStyle="1" w:styleId="ColorfulList-Accent11">
    <w:name w:val="Colorful List - Accent 11"/>
    <w:basedOn w:val="Normal"/>
    <w:uiPriority w:val="99"/>
    <w:rsid w:val="002B19B1"/>
    <w:pPr>
      <w:spacing w:after="120"/>
      <w:ind w:left="720"/>
      <w:contextualSpacing/>
    </w:pPr>
    <w:rPr>
      <w:rFonts w:asciiTheme="minorHAnsi" w:eastAsia="SimSun" w:hAnsiTheme="minorHAnsi"/>
      <w:color w:val="auto"/>
      <w:sz w:val="20"/>
      <w:szCs w:val="24"/>
      <w:lang w:val="en-GB" w:eastAsia="zh-CN"/>
    </w:rPr>
  </w:style>
  <w:style w:type="character" w:styleId="FollowedHyperlink">
    <w:name w:val="FollowedHyperlink"/>
    <w:uiPriority w:val="99"/>
    <w:rsid w:val="002B19B1"/>
    <w:rPr>
      <w:rFonts w:cs="Times New Roman"/>
      <w:color w:val="800080"/>
      <w:u w:val="single"/>
    </w:rPr>
  </w:style>
  <w:style w:type="character" w:customStyle="1" w:styleId="CommentTextChar1">
    <w:name w:val="Comment Text Char1"/>
    <w:aliases w:val="Comment Text Char Char,Char Char Char Char Char Char Char Char Char1,Char Char Char Char Char Char Char Char Char Char,Kommentartext1 Char,Char Char Char Char Char Char Char Char1 Char,Char3 Char Char Char Char Ch Char1"/>
    <w:locked/>
    <w:rsid w:val="002B19B1"/>
    <w:rPr>
      <w:rFonts w:ascii="Calibri" w:hAnsi="Calibri"/>
      <w:lang w:val="en-CA" w:eastAsia="en-US" w:bidi="ar-SA"/>
    </w:rPr>
  </w:style>
  <w:style w:type="character" w:customStyle="1" w:styleId="Kommentartext2">
    <w:name w:val="Kommentartext2"/>
    <w:aliases w:val="Char2,Char Char2,Char Char Char Char Char Char Char Char2,Char Char Char Char Char Char Char Char Char2,Kommentartext11,Char Char Char Char Char Char Char Char11,Char3 Char Char Char Char Ch Char2,Char11,Char Char11"/>
    <w:locked/>
    <w:rsid w:val="002B19B1"/>
    <w:rPr>
      <w:rFonts w:eastAsia="SimSun"/>
      <w:sz w:val="24"/>
      <w:szCs w:val="24"/>
      <w:lang w:val="nb-NO" w:eastAsia="nb-NO" w:bidi="ar-SA"/>
    </w:rPr>
  </w:style>
  <w:style w:type="paragraph" w:styleId="DocumentMap">
    <w:name w:val="Document Map"/>
    <w:basedOn w:val="Normal"/>
    <w:link w:val="DocumentMapChar"/>
    <w:uiPriority w:val="99"/>
    <w:rsid w:val="002B19B1"/>
    <w:pPr>
      <w:spacing w:after="120"/>
    </w:pPr>
    <w:rPr>
      <w:rFonts w:ascii="Lucida Grande" w:eastAsiaTheme="minorEastAsia" w:hAnsi="Lucida Grande" w:cs="Lucida Grande"/>
      <w:color w:val="auto"/>
      <w:sz w:val="20"/>
      <w:szCs w:val="24"/>
      <w:lang w:val="en-GB" w:eastAsia="zh-CN"/>
    </w:rPr>
  </w:style>
  <w:style w:type="character" w:customStyle="1" w:styleId="DocumentMapChar">
    <w:name w:val="Document Map Char"/>
    <w:basedOn w:val="DefaultParagraphFont"/>
    <w:link w:val="DocumentMap"/>
    <w:uiPriority w:val="99"/>
    <w:rsid w:val="002B19B1"/>
    <w:rPr>
      <w:rFonts w:ascii="Lucida Grande" w:eastAsiaTheme="minorEastAsia" w:hAnsi="Lucida Grande" w:cs="Lucida Grande"/>
      <w:szCs w:val="24"/>
      <w:lang w:val="en-GB" w:eastAsia="zh-CN"/>
    </w:rPr>
  </w:style>
  <w:style w:type="character" w:customStyle="1" w:styleId="Ratkaisematonmaininta1">
    <w:name w:val="Ratkaisematon maininta1"/>
    <w:basedOn w:val="DefaultParagraphFont"/>
    <w:uiPriority w:val="99"/>
    <w:semiHidden/>
    <w:unhideWhenUsed/>
    <w:rsid w:val="002B19B1"/>
    <w:rPr>
      <w:color w:val="605E5C"/>
      <w:shd w:val="clear" w:color="auto" w:fill="E1DFDD"/>
    </w:rPr>
  </w:style>
  <w:style w:type="character" w:customStyle="1" w:styleId="BBTitleChar">
    <w:name w:val="BB_Title Char"/>
    <w:link w:val="BBTitle"/>
    <w:rsid w:val="002B19B1"/>
    <w:rPr>
      <w:rFonts w:asciiTheme="minorHAnsi" w:eastAsiaTheme="minorEastAsia" w:hAnsiTheme="minorHAnsi" w:cstheme="minorBidi"/>
      <w:b/>
      <w:sz w:val="28"/>
      <w:szCs w:val="28"/>
      <w:lang w:val="en-GB" w:eastAsia="zh-CN"/>
    </w:rPr>
  </w:style>
  <w:style w:type="character" w:customStyle="1" w:styleId="UnresolvedMention1">
    <w:name w:val="Unresolved Mention1"/>
    <w:basedOn w:val="DefaultParagraphFont"/>
    <w:uiPriority w:val="99"/>
    <w:semiHidden/>
    <w:unhideWhenUsed/>
    <w:rsid w:val="002B19B1"/>
    <w:rPr>
      <w:color w:val="605E5C"/>
      <w:shd w:val="clear" w:color="auto" w:fill="E1DFDD"/>
    </w:rPr>
  </w:style>
  <w:style w:type="paragraph" w:styleId="Revision">
    <w:name w:val="Revision"/>
    <w:hidden/>
    <w:uiPriority w:val="99"/>
    <w:semiHidden/>
    <w:rsid w:val="002B19B1"/>
    <w:pPr>
      <w:spacing w:after="160" w:line="259" w:lineRule="auto"/>
    </w:pPr>
    <w:rPr>
      <w:rFonts w:asciiTheme="minorHAnsi" w:eastAsiaTheme="minorEastAsia" w:hAnsiTheme="minorHAnsi" w:cstheme="minorBidi"/>
      <w:sz w:val="24"/>
      <w:szCs w:val="22"/>
      <w:lang w:val="en-GB"/>
    </w:rPr>
  </w:style>
  <w:style w:type="paragraph" w:customStyle="1" w:styleId="paralevel10">
    <w:name w:val="para level1"/>
    <w:basedOn w:val="Normal"/>
    <w:uiPriority w:val="99"/>
    <w:rsid w:val="002B19B1"/>
    <w:pPr>
      <w:suppressAutoHyphens/>
      <w:spacing w:after="120"/>
      <w:ind w:left="1247"/>
    </w:pPr>
    <w:rPr>
      <w:rFonts w:ascii="Arial" w:eastAsia="MS Mincho" w:hAnsi="Arial" w:cs="Arial"/>
      <w:color w:val="auto"/>
      <w:sz w:val="20"/>
      <w:lang w:val="en-GB" w:eastAsia="zh-CN"/>
    </w:rPr>
  </w:style>
  <w:style w:type="character" w:customStyle="1" w:styleId="containertitle4">
    <w:name w:val="containertitle4"/>
    <w:basedOn w:val="DefaultParagraphFont"/>
    <w:rsid w:val="002B19B1"/>
    <w:rPr>
      <w:rFonts w:ascii="inherit" w:hAnsi="inherit" w:hint="default"/>
      <w:b/>
      <w:bCs/>
      <w:color w:val="4D4D4D"/>
    </w:rPr>
  </w:style>
  <w:style w:type="character" w:customStyle="1" w:styleId="Ratkaisematonmaininta2">
    <w:name w:val="Ratkaisematon maininta2"/>
    <w:basedOn w:val="DefaultParagraphFont"/>
    <w:uiPriority w:val="99"/>
    <w:semiHidden/>
    <w:unhideWhenUsed/>
    <w:rsid w:val="002B19B1"/>
    <w:rPr>
      <w:color w:val="808080"/>
      <w:shd w:val="clear" w:color="auto" w:fill="E6E6E6"/>
    </w:rPr>
  </w:style>
  <w:style w:type="paragraph" w:styleId="TOCHeading">
    <w:name w:val="TOC Heading"/>
    <w:basedOn w:val="Heading1"/>
    <w:next w:val="Normal"/>
    <w:uiPriority w:val="39"/>
    <w:unhideWhenUsed/>
    <w:qFormat/>
    <w:rsid w:val="002B19B1"/>
    <w:pPr>
      <w:spacing w:before="240" w:after="120"/>
      <w:outlineLvl w:val="9"/>
    </w:pPr>
    <w:rPr>
      <w:rFonts w:ascii="Cambria" w:hAnsi="Cambria" w:cstheme="minorHAnsi"/>
      <w:b w:val="0"/>
      <w:color w:val="auto"/>
      <w:sz w:val="28"/>
      <w:szCs w:val="28"/>
      <w:lang w:val="en-GB" w:eastAsia="zh-CN"/>
    </w:rPr>
  </w:style>
  <w:style w:type="character" w:styleId="SubtleEmphasis">
    <w:name w:val="Subtle Emphasis"/>
    <w:basedOn w:val="DefaultParagraphFont"/>
    <w:uiPriority w:val="19"/>
    <w:qFormat/>
    <w:rsid w:val="002B19B1"/>
    <w:rPr>
      <w:i/>
      <w:iCs/>
      <w:color w:val="404040" w:themeColor="text1" w:themeTint="BF"/>
    </w:rPr>
  </w:style>
  <w:style w:type="character" w:styleId="SubtleReference">
    <w:name w:val="Subtle Reference"/>
    <w:basedOn w:val="DefaultParagraphFont"/>
    <w:uiPriority w:val="31"/>
    <w:qFormat/>
    <w:rsid w:val="002B19B1"/>
    <w:rPr>
      <w:smallCaps/>
      <w:color w:val="5A5A5A" w:themeColor="text1" w:themeTint="A5"/>
    </w:rPr>
  </w:style>
  <w:style w:type="character" w:styleId="BookTitle">
    <w:name w:val="Book Title"/>
    <w:basedOn w:val="DefaultParagraphFont"/>
    <w:uiPriority w:val="33"/>
    <w:qFormat/>
    <w:rsid w:val="002B19B1"/>
    <w:rPr>
      <w:b/>
      <w:bCs/>
      <w:i/>
      <w:iCs/>
      <w:spacing w:val="5"/>
    </w:rPr>
  </w:style>
  <w:style w:type="paragraph" w:customStyle="1" w:styleId="Formatvorlage3">
    <w:name w:val="Formatvorlage3"/>
    <w:basedOn w:val="Heading2"/>
    <w:uiPriority w:val="99"/>
    <w:qFormat/>
    <w:rsid w:val="002B19B1"/>
    <w:pPr>
      <w:numPr>
        <w:ilvl w:val="1"/>
      </w:numPr>
      <w:tabs>
        <w:tab w:val="num" w:pos="0"/>
        <w:tab w:val="num" w:pos="567"/>
      </w:tabs>
      <w:snapToGrid w:val="0"/>
      <w:spacing w:after="60" w:line="276" w:lineRule="auto"/>
      <w:ind w:left="1247" w:firstLine="567"/>
      <w:jc w:val="both"/>
    </w:pPr>
    <w:rPr>
      <w:rFonts w:eastAsia="SimSun" w:cstheme="minorHAnsi"/>
      <w:bCs w:val="0"/>
      <w:i/>
      <w:color w:val="auto"/>
      <w:kern w:val="0"/>
      <w:szCs w:val="24"/>
      <w:lang w:val="en-GB" w:eastAsia="de-DE"/>
      <w14:ligatures w14:val="none"/>
    </w:rPr>
  </w:style>
  <w:style w:type="table" w:customStyle="1" w:styleId="TableGrid0">
    <w:name w:val="TableGrid"/>
    <w:rsid w:val="002B19B1"/>
    <w:rPr>
      <w:rFonts w:ascii="Calibri" w:eastAsia="MS Mincho" w:hAnsi="Calibri"/>
      <w:sz w:val="22"/>
      <w:szCs w:val="22"/>
    </w:rPr>
    <w:tblPr>
      <w:tblCellMar>
        <w:top w:w="0" w:type="dxa"/>
        <w:left w:w="0" w:type="dxa"/>
        <w:bottom w:w="0" w:type="dxa"/>
        <w:right w:w="0" w:type="dxa"/>
      </w:tblCellMar>
    </w:tblPr>
  </w:style>
  <w:style w:type="character" w:customStyle="1" w:styleId="NichtaufgelsteErwhnung1">
    <w:name w:val="Nicht aufgelöste Erwähnung1"/>
    <w:basedOn w:val="DefaultParagraphFont"/>
    <w:uiPriority w:val="99"/>
    <w:semiHidden/>
    <w:unhideWhenUsed/>
    <w:rsid w:val="002B19B1"/>
    <w:rPr>
      <w:color w:val="605E5C"/>
      <w:shd w:val="clear" w:color="auto" w:fill="E1DFDD"/>
    </w:rPr>
  </w:style>
  <w:style w:type="character" w:customStyle="1" w:styleId="ls5">
    <w:name w:val="ls5"/>
    <w:basedOn w:val="DefaultParagraphFont"/>
    <w:rsid w:val="002B19B1"/>
  </w:style>
  <w:style w:type="character" w:customStyle="1" w:styleId="ls6">
    <w:name w:val="ls6"/>
    <w:basedOn w:val="DefaultParagraphFont"/>
    <w:rsid w:val="002B19B1"/>
  </w:style>
  <w:style w:type="character" w:customStyle="1" w:styleId="viiyi">
    <w:name w:val="viiyi"/>
    <w:basedOn w:val="DefaultParagraphFont"/>
    <w:rsid w:val="002B19B1"/>
  </w:style>
  <w:style w:type="character" w:customStyle="1" w:styleId="jlqj4b">
    <w:name w:val="jlqj4b"/>
    <w:basedOn w:val="DefaultParagraphFont"/>
    <w:rsid w:val="002B19B1"/>
  </w:style>
  <w:style w:type="character" w:customStyle="1" w:styleId="acopre">
    <w:name w:val="acopre"/>
    <w:basedOn w:val="DefaultParagraphFont"/>
    <w:rsid w:val="002B19B1"/>
  </w:style>
  <w:style w:type="character" w:customStyle="1" w:styleId="hscoswrapper">
    <w:name w:val="hs_cos_wrapper"/>
    <w:basedOn w:val="DefaultParagraphFont"/>
    <w:rsid w:val="002B19B1"/>
  </w:style>
  <w:style w:type="paragraph" w:customStyle="1" w:styleId="AFWBody">
    <w:name w:val="AFW Body"/>
    <w:aliases w:val="Body,Normal Arial,AFW Mins,AFW Memo Body"/>
    <w:uiPriority w:val="99"/>
    <w:qFormat/>
    <w:rsid w:val="002B19B1"/>
    <w:pPr>
      <w:spacing w:after="160" w:line="240" w:lineRule="atLeast"/>
    </w:pPr>
    <w:rPr>
      <w:rFonts w:ascii="Arial" w:hAnsi="Arial" w:cstheme="minorBidi"/>
      <w:color w:val="000000"/>
      <w:szCs w:val="22"/>
      <w:lang w:val="en-GB"/>
    </w:rPr>
  </w:style>
  <w:style w:type="paragraph" w:customStyle="1" w:styleId="AFWBullets">
    <w:name w:val="AFW Bullets"/>
    <w:aliases w:val="Bullets 1"/>
    <w:basedOn w:val="AFWBody"/>
    <w:uiPriority w:val="99"/>
    <w:qFormat/>
    <w:rsid w:val="002B19B1"/>
  </w:style>
  <w:style w:type="character" w:customStyle="1" w:styleId="ZZAnxtitleChar">
    <w:name w:val="ZZ_Anx_title Char"/>
    <w:link w:val="ZZAnxtitle"/>
    <w:rsid w:val="002B19B1"/>
    <w:rPr>
      <w:rFonts w:asciiTheme="minorHAnsi" w:eastAsiaTheme="minorEastAsia" w:hAnsiTheme="minorHAnsi" w:cstheme="minorBidi"/>
      <w:b/>
      <w:bCs/>
      <w:sz w:val="28"/>
      <w:szCs w:val="26"/>
      <w:lang w:val="en-GB" w:eastAsia="zh-CN"/>
    </w:rPr>
  </w:style>
  <w:style w:type="character" w:customStyle="1" w:styleId="Normal-poolChar">
    <w:name w:val="Normal-pool Char"/>
    <w:link w:val="Normal-pool"/>
    <w:locked/>
    <w:rsid w:val="002B19B1"/>
    <w:rPr>
      <w:rFonts w:asciiTheme="minorHAnsi" w:eastAsiaTheme="minorEastAsia" w:hAnsiTheme="minorHAnsi" w:cstheme="minorBidi"/>
      <w:sz w:val="22"/>
      <w:szCs w:val="22"/>
      <w:lang w:val="en-GB"/>
    </w:rPr>
  </w:style>
  <w:style w:type="paragraph" w:customStyle="1" w:styleId="BVIfnrCharCharCharChar">
    <w:name w:val="BVI fnr Char Char Char Char"/>
    <w:aliases w:val="BVI fnr Car Car Char Char Char Char,BVI fnr Car Char Char Char Char,BVI fnr Car Car Car Car Char Char Char Char,BVI fnr Car Car Car Car Char Char Char1 Char Char"/>
    <w:basedOn w:val="Normal"/>
    <w:link w:val="FootnoteReference"/>
    <w:uiPriority w:val="99"/>
    <w:semiHidden/>
    <w:rsid w:val="002B19B1"/>
    <w:pPr>
      <w:spacing w:before="120" w:after="160" w:line="240" w:lineRule="exact"/>
    </w:pPr>
    <w:rPr>
      <w:rFonts w:asciiTheme="minorHAnsi" w:hAnsiTheme="minorHAnsi" w:cs="Times New Roman"/>
      <w:color w:val="auto"/>
      <w:sz w:val="18"/>
      <w:szCs w:val="18"/>
      <w:vertAlign w:val="superscript"/>
    </w:rPr>
  </w:style>
  <w:style w:type="character" w:customStyle="1" w:styleId="ListParagraphChar">
    <w:name w:val="List Paragraph Char"/>
    <w:aliases w:val="List1 Char,List Paragraph (numbered (a)) Char,References Char,Heading 2_sj Char,Dot pt Char,Bullets Char,Numbered paragraph Char,Desmond 2 Char,Liste 1 Char,Medium Grid 1 - Accent 21 Char,List Paragraph nowy Char"/>
    <w:link w:val="ListParagraph"/>
    <w:qFormat/>
    <w:locked/>
    <w:rsid w:val="002B19B1"/>
    <w:rPr>
      <w:rFonts w:ascii="Calibri" w:hAnsi="Calibri" w:cstheme="minorBidi"/>
      <w:color w:val="2F5496" w:themeColor="accent1" w:themeShade="BF"/>
      <w:sz w:val="24"/>
      <w:szCs w:val="22"/>
    </w:rPr>
  </w:style>
  <w:style w:type="character" w:customStyle="1" w:styleId="markedcontent">
    <w:name w:val="markedcontent"/>
    <w:basedOn w:val="DefaultParagraphFont"/>
    <w:rsid w:val="002B19B1"/>
  </w:style>
  <w:style w:type="character" w:customStyle="1" w:styleId="hgkelc">
    <w:name w:val="hgkelc"/>
    <w:basedOn w:val="DefaultParagraphFont"/>
    <w:rsid w:val="002B19B1"/>
  </w:style>
  <w:style w:type="table" w:customStyle="1" w:styleId="Tabellenraster1">
    <w:name w:val="Tabellenraster1"/>
    <w:basedOn w:val="TableNormal"/>
    <w:next w:val="TableGrid"/>
    <w:uiPriority w:val="59"/>
    <w:rsid w:val="002B19B1"/>
    <w:pPr>
      <w:spacing w:after="160" w:line="259" w:lineRule="auto"/>
    </w:pPr>
    <w:rPr>
      <w:rFonts w:asciiTheme="minorHAnsi" w:eastAsia="SimSun"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2B19B1"/>
    <w:pPr>
      <w:spacing w:after="160" w:line="259" w:lineRule="auto"/>
    </w:pPr>
    <w:rPr>
      <w:rFonts w:asciiTheme="minorHAnsi" w:eastAsia="SimSun"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2B19B1"/>
    <w:rPr>
      <w:vertAlign w:val="superscript"/>
    </w:rPr>
  </w:style>
  <w:style w:type="paragraph" w:styleId="z-TopofForm">
    <w:name w:val="HTML Top of Form"/>
    <w:basedOn w:val="Normal"/>
    <w:next w:val="Normal"/>
    <w:link w:val="z-TopofFormChar"/>
    <w:hidden/>
    <w:uiPriority w:val="99"/>
    <w:semiHidden/>
    <w:unhideWhenUsed/>
    <w:rsid w:val="002B19B1"/>
    <w:pPr>
      <w:pBdr>
        <w:bottom w:val="single" w:sz="6" w:space="1" w:color="auto"/>
      </w:pBdr>
      <w:jc w:val="center"/>
    </w:pPr>
    <w:rPr>
      <w:rFonts w:ascii="Arial" w:eastAsia="Times New Roman" w:hAnsi="Arial" w:cs="Arial"/>
      <w:vanish/>
      <w:color w:val="auto"/>
      <w:sz w:val="16"/>
      <w:szCs w:val="16"/>
      <w:lang w:val="en-GB" w:eastAsia="en-GB"/>
    </w:rPr>
  </w:style>
  <w:style w:type="character" w:customStyle="1" w:styleId="z-TopofFormChar">
    <w:name w:val="z-Top of Form Char"/>
    <w:basedOn w:val="DefaultParagraphFont"/>
    <w:link w:val="z-TopofForm"/>
    <w:uiPriority w:val="99"/>
    <w:semiHidden/>
    <w:rsid w:val="002B19B1"/>
    <w:rPr>
      <w:rFonts w:ascii="Arial" w:eastAsia="Times New Roman" w:hAnsi="Arial" w:cs="Arial"/>
      <w:vanish/>
      <w:sz w:val="16"/>
      <w:szCs w:val="16"/>
      <w:lang w:val="en-GB" w:eastAsia="en-GB"/>
    </w:rPr>
  </w:style>
  <w:style w:type="paragraph" w:customStyle="1" w:styleId="placeholder">
    <w:name w:val="placeholder"/>
    <w:basedOn w:val="Normal"/>
    <w:uiPriority w:val="99"/>
    <w:rsid w:val="002B19B1"/>
    <w:pPr>
      <w:spacing w:before="100" w:beforeAutospacing="1" w:after="100" w:afterAutospacing="1"/>
    </w:pPr>
    <w:rPr>
      <w:rFonts w:ascii="Times New Roman" w:eastAsia="Times New Roman" w:hAnsi="Times New Roman" w:cs="Times New Roman"/>
      <w:color w:val="auto"/>
      <w:szCs w:val="24"/>
      <w:lang w:val="en-GB" w:eastAsia="en-GB"/>
    </w:rPr>
  </w:style>
  <w:style w:type="paragraph" w:styleId="z-BottomofForm">
    <w:name w:val="HTML Bottom of Form"/>
    <w:basedOn w:val="Normal"/>
    <w:next w:val="Normal"/>
    <w:link w:val="z-BottomofFormChar"/>
    <w:hidden/>
    <w:uiPriority w:val="99"/>
    <w:semiHidden/>
    <w:unhideWhenUsed/>
    <w:rsid w:val="002B19B1"/>
    <w:pPr>
      <w:pBdr>
        <w:top w:val="single" w:sz="6" w:space="1" w:color="auto"/>
      </w:pBdr>
      <w:jc w:val="center"/>
    </w:pPr>
    <w:rPr>
      <w:rFonts w:ascii="Arial" w:eastAsia="Times New Roman" w:hAnsi="Arial" w:cs="Arial"/>
      <w:vanish/>
      <w:color w:val="auto"/>
      <w:sz w:val="16"/>
      <w:szCs w:val="16"/>
      <w:lang w:val="en-GB" w:eastAsia="en-GB"/>
    </w:rPr>
  </w:style>
  <w:style w:type="character" w:customStyle="1" w:styleId="z-BottomofFormChar">
    <w:name w:val="z-Bottom of Form Char"/>
    <w:basedOn w:val="DefaultParagraphFont"/>
    <w:link w:val="z-BottomofForm"/>
    <w:uiPriority w:val="99"/>
    <w:semiHidden/>
    <w:rsid w:val="002B19B1"/>
    <w:rPr>
      <w:rFonts w:ascii="Arial" w:eastAsia="Times New Roman" w:hAnsi="Arial" w:cs="Arial"/>
      <w:vanish/>
      <w:sz w:val="16"/>
      <w:szCs w:val="16"/>
      <w:lang w:val="en-GB" w:eastAsia="en-GB"/>
    </w:rPr>
  </w:style>
  <w:style w:type="paragraph" w:customStyle="1" w:styleId="Normal-pool-Table">
    <w:name w:val="Normal-pool-Table"/>
    <w:basedOn w:val="Normal"/>
    <w:uiPriority w:val="99"/>
    <w:rsid w:val="002B19B1"/>
    <w:pPr>
      <w:tabs>
        <w:tab w:val="left" w:pos="624"/>
        <w:tab w:val="left" w:pos="1247"/>
        <w:tab w:val="left" w:pos="1871"/>
        <w:tab w:val="left" w:pos="2495"/>
        <w:tab w:val="left" w:pos="3119"/>
        <w:tab w:val="left" w:pos="3742"/>
        <w:tab w:val="left" w:pos="4366"/>
      </w:tabs>
      <w:spacing w:before="40" w:after="40"/>
    </w:pPr>
    <w:rPr>
      <w:rFonts w:ascii="Times New Roman" w:eastAsia="Times New Roman" w:hAnsi="Times New Roman" w:cs="Times New Roman"/>
      <w:color w:val="auto"/>
      <w:sz w:val="18"/>
      <w:szCs w:val="20"/>
      <w:lang w:val="en-GB"/>
    </w:rPr>
  </w:style>
  <w:style w:type="table" w:styleId="MediumGrid3-Accent1">
    <w:name w:val="Medium Grid 3 Accent 1"/>
    <w:basedOn w:val="TableNormal"/>
    <w:uiPriority w:val="69"/>
    <w:rsid w:val="002B19B1"/>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Shading1-Accent2">
    <w:name w:val="Medium Shading 1 Accent 2"/>
    <w:basedOn w:val="TableNormal"/>
    <w:uiPriority w:val="63"/>
    <w:rsid w:val="002B19B1"/>
    <w:rPr>
      <w:rFonts w:eastAsia="Times New Roma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Aneksi">
    <w:name w:val="Aneksi"/>
    <w:basedOn w:val="Heading1"/>
    <w:uiPriority w:val="99"/>
    <w:rsid w:val="002B19B1"/>
    <w:pPr>
      <w:keepLines w:val="0"/>
      <w:pageBreakBefore/>
      <w:numPr>
        <w:numId w:val="25"/>
      </w:numPr>
      <w:shd w:val="clear" w:color="auto" w:fill="9CC2E5" w:themeFill="accent5" w:themeFillTint="99"/>
      <w:tabs>
        <w:tab w:val="clear" w:pos="1985"/>
        <w:tab w:val="left" w:pos="851"/>
      </w:tabs>
      <w:spacing w:before="600" w:after="360"/>
      <w:ind w:left="0" w:firstLine="0"/>
    </w:pPr>
    <w:rPr>
      <w:rFonts w:ascii="Myriad Pro" w:eastAsia="Times New Roman" w:hAnsi="Myriad Pro" w:cs="Arial"/>
      <w:bCs/>
      <w:noProof/>
      <w:kern w:val="32"/>
      <w:sz w:val="24"/>
      <w:szCs w:val="32"/>
      <w:lang w:val="sr-Latn-CS"/>
    </w:rPr>
  </w:style>
  <w:style w:type="table" w:styleId="TableColumns5">
    <w:name w:val="Table Columns 5"/>
    <w:basedOn w:val="TableNormal"/>
    <w:uiPriority w:val="99"/>
    <w:rsid w:val="002B19B1"/>
    <w:pPr>
      <w:spacing w:before="120" w:after="120"/>
      <w:jc w:val="both"/>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lassic1">
    <w:name w:val="Table Classic 1"/>
    <w:basedOn w:val="TableNormal"/>
    <w:uiPriority w:val="99"/>
    <w:rsid w:val="002B19B1"/>
    <w:pPr>
      <w:spacing w:before="120" w:after="120"/>
      <w:jc w:val="both"/>
    </w:pPr>
    <w:rPr>
      <w:rFonts w:eastAsia="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ele">
    <w:name w:val="Tabele"/>
    <w:basedOn w:val="Normal"/>
    <w:uiPriority w:val="99"/>
    <w:qFormat/>
    <w:rsid w:val="002B19B1"/>
    <w:pPr>
      <w:numPr>
        <w:numId w:val="26"/>
      </w:numPr>
      <w:spacing w:before="120" w:after="360"/>
      <w:ind w:left="0" w:firstLine="0"/>
    </w:pPr>
    <w:rPr>
      <w:rFonts w:ascii="Myriad Pro" w:eastAsia="Times New Roman" w:hAnsi="Myriad Pro" w:cs="Times New Roman"/>
      <w:i/>
      <w:noProof/>
      <w:color w:val="auto"/>
      <w:sz w:val="20"/>
      <w:szCs w:val="24"/>
      <w:lang w:val="sr-Latn-CS"/>
    </w:rPr>
  </w:style>
  <w:style w:type="table" w:styleId="Table3Deffects3">
    <w:name w:val="Table 3D effects 3"/>
    <w:basedOn w:val="TableNormal"/>
    <w:uiPriority w:val="99"/>
    <w:rsid w:val="002B19B1"/>
    <w:pPr>
      <w:spacing w:before="120" w:after="120"/>
      <w:jc w:val="both"/>
    </w:pPr>
    <w:rPr>
      <w:rFonts w:eastAsia="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2B19B1"/>
    <w:pPr>
      <w:spacing w:before="120" w:after="120"/>
      <w:jc w:val="both"/>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Grafikon">
    <w:name w:val="Grafikon"/>
    <w:basedOn w:val="Normal"/>
    <w:uiPriority w:val="99"/>
    <w:qFormat/>
    <w:rsid w:val="002B19B1"/>
    <w:pPr>
      <w:numPr>
        <w:numId w:val="27"/>
      </w:numPr>
      <w:spacing w:after="120"/>
      <w:ind w:left="0" w:firstLine="0"/>
      <w:jc w:val="center"/>
    </w:pPr>
    <w:rPr>
      <w:rFonts w:ascii="Myriad Pro" w:eastAsia="Times New Roman" w:hAnsi="Myriad Pro" w:cs="Times New Roman"/>
      <w:i/>
      <w:noProof/>
      <w:color w:val="auto"/>
      <w:sz w:val="20"/>
      <w:szCs w:val="24"/>
      <w:lang w:val="sr-Latn-CS"/>
    </w:rPr>
  </w:style>
  <w:style w:type="character" w:customStyle="1" w:styleId="NoSpacingChar">
    <w:name w:val="No Spacing Char"/>
    <w:basedOn w:val="DefaultParagraphFont"/>
    <w:link w:val="NoSpacing"/>
    <w:uiPriority w:val="1"/>
    <w:rsid w:val="002B19B1"/>
    <w:rPr>
      <w:rFonts w:ascii="Calibri" w:hAnsi="Calibri" w:cs="Arial"/>
      <w:sz w:val="24"/>
      <w:szCs w:val="24"/>
      <w:lang w:val="sr-Latn-CS"/>
    </w:rPr>
  </w:style>
  <w:style w:type="table" w:styleId="LightShading-Accent3">
    <w:name w:val="Light Shading Accent 3"/>
    <w:basedOn w:val="TableNormal"/>
    <w:uiPriority w:val="60"/>
    <w:rsid w:val="002B19B1"/>
    <w:rPr>
      <w:rFonts w:eastAsia="Times New Roman"/>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2B19B1"/>
    <w:rPr>
      <w:rFonts w:eastAsia="Times New Roman"/>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MediumShading2-Accent3">
    <w:name w:val="Medium Shading 2 Accent 3"/>
    <w:basedOn w:val="TableNormal"/>
    <w:uiPriority w:val="64"/>
    <w:rsid w:val="002B19B1"/>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2B19B1"/>
    <w:rPr>
      <w:rFonts w:eastAsia="Times New Roman"/>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Grid3-Accent5">
    <w:name w:val="Medium Grid 3 Accent 5"/>
    <w:basedOn w:val="TableNormal"/>
    <w:uiPriority w:val="69"/>
    <w:rsid w:val="002B19B1"/>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2-Accent2">
    <w:name w:val="Medium Grid 2 Accent 2"/>
    <w:basedOn w:val="TableNormal"/>
    <w:uiPriority w:val="68"/>
    <w:rsid w:val="002B19B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List-Accent4">
    <w:name w:val="Light List Accent 4"/>
    <w:basedOn w:val="TableNormal"/>
    <w:uiPriority w:val="61"/>
    <w:rsid w:val="002B19B1"/>
    <w:rPr>
      <w:rFonts w:eastAsia="Times New Roma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Shading2-Accent1">
    <w:name w:val="Medium Shading 2 Accent 1"/>
    <w:basedOn w:val="TableNormal"/>
    <w:uiPriority w:val="64"/>
    <w:rsid w:val="002B19B1"/>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B19B1"/>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edja1">
    <w:name w:val="Pedja1"/>
    <w:basedOn w:val="ListParagraph"/>
    <w:uiPriority w:val="99"/>
    <w:rsid w:val="002B19B1"/>
    <w:pPr>
      <w:numPr>
        <w:numId w:val="35"/>
      </w:numPr>
      <w:ind w:left="0" w:firstLine="0"/>
    </w:pPr>
    <w:rPr>
      <w:rFonts w:ascii="Times New Roman" w:eastAsia="Times New Roman" w:hAnsi="Times New Roman" w:cs="Times New Roman"/>
      <w:noProof/>
      <w:color w:val="auto"/>
      <w:szCs w:val="20"/>
      <w:lang w:val="sr-Latn-RS" w:eastAsia="hr-HR"/>
    </w:rPr>
  </w:style>
  <w:style w:type="paragraph" w:customStyle="1" w:styleId="Pedja2">
    <w:name w:val="Pedja2"/>
    <w:basedOn w:val="ListParagraph"/>
    <w:uiPriority w:val="99"/>
    <w:rsid w:val="002B19B1"/>
    <w:pPr>
      <w:numPr>
        <w:ilvl w:val="1"/>
        <w:numId w:val="35"/>
      </w:numPr>
      <w:ind w:left="0" w:firstLine="0"/>
      <w:jc w:val="both"/>
    </w:pPr>
    <w:rPr>
      <w:rFonts w:ascii="Times New Roman" w:eastAsia="Times New Roman" w:hAnsi="Times New Roman" w:cs="Times New Roman"/>
      <w:noProof/>
      <w:color w:val="auto"/>
      <w:szCs w:val="20"/>
      <w:lang w:val="sr-Latn-RS" w:eastAsia="hr-HR"/>
    </w:rPr>
  </w:style>
  <w:style w:type="numbering" w:customStyle="1" w:styleId="Importovanstyl2">
    <w:name w:val="Importovaný styl 2"/>
    <w:rsid w:val="002B19B1"/>
    <w:pPr>
      <w:numPr>
        <w:numId w:val="87"/>
      </w:numPr>
    </w:pPr>
  </w:style>
  <w:style w:type="numbering" w:customStyle="1" w:styleId="Importovanstyl3">
    <w:name w:val="Importovaný styl 3"/>
    <w:rsid w:val="002B19B1"/>
    <w:pPr>
      <w:numPr>
        <w:numId w:val="89"/>
      </w:numPr>
    </w:pPr>
  </w:style>
  <w:style w:type="numbering" w:customStyle="1" w:styleId="Importovanstyl4">
    <w:name w:val="Importovaný styl 4"/>
    <w:rsid w:val="002B19B1"/>
    <w:pPr>
      <w:numPr>
        <w:numId w:val="91"/>
      </w:numPr>
    </w:pPr>
  </w:style>
  <w:style w:type="numbering" w:customStyle="1" w:styleId="Importovanstyl5">
    <w:name w:val="Importovaný styl 5"/>
    <w:rsid w:val="002B19B1"/>
    <w:pPr>
      <w:numPr>
        <w:numId w:val="93"/>
      </w:numPr>
    </w:pPr>
  </w:style>
  <w:style w:type="numbering" w:customStyle="1" w:styleId="Importovanstyl6">
    <w:name w:val="Importovaný styl 6"/>
    <w:rsid w:val="002B19B1"/>
    <w:pPr>
      <w:numPr>
        <w:numId w:val="95"/>
      </w:numPr>
    </w:pPr>
  </w:style>
  <w:style w:type="character" w:customStyle="1" w:styleId="Hyperlink0">
    <w:name w:val="Hyperlink.0"/>
    <w:basedOn w:val="DefaultParagraphFont"/>
    <w:rsid w:val="002B19B1"/>
    <w:rPr>
      <w:rFonts w:ascii="Times New Roman" w:eastAsia="Times New Roman" w:hAnsi="Times New Roman" w:cs="Times New Roman"/>
      <w:outline w:val="0"/>
      <w:color w:val="0563C1"/>
      <w:sz w:val="24"/>
      <w:szCs w:val="24"/>
      <w:u w:val="single" w:color="0563C1"/>
    </w:rPr>
  </w:style>
  <w:style w:type="numbering" w:customStyle="1" w:styleId="Importovanstyl8">
    <w:name w:val="Importovaný styl 8"/>
    <w:rsid w:val="002B19B1"/>
    <w:pPr>
      <w:numPr>
        <w:numId w:val="97"/>
      </w:numPr>
    </w:pPr>
  </w:style>
  <w:style w:type="table" w:styleId="GridTable2-Accent6">
    <w:name w:val="Grid Table 2 Accent 6"/>
    <w:basedOn w:val="TableNormal"/>
    <w:uiPriority w:val="47"/>
    <w:rsid w:val="002B20A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sonormal0">
    <w:name w:val="msonormal"/>
    <w:basedOn w:val="Normal"/>
    <w:uiPriority w:val="99"/>
    <w:rsid w:val="00C23D65"/>
    <w:pPr>
      <w:spacing w:before="100" w:beforeAutospacing="1" w:after="100" w:afterAutospacing="1"/>
    </w:pPr>
    <w:rPr>
      <w:rFonts w:ascii="Times New Roman" w:eastAsia="Times New Roman" w:hAnsi="Times New Roman" w:cs="Times New Roman"/>
      <w:color w:val="auto"/>
      <w:szCs w:val="24"/>
    </w:rPr>
  </w:style>
  <w:style w:type="character" w:customStyle="1" w:styleId="FootnoteTextChar1">
    <w:name w:val="Footnote Text Char1"/>
    <w:aliases w:val="Geneva 9 Char1,Font: Geneva 9 Char1,Boston 10 Char1,f Char1,Footnote Text1 Char1,93 Char1,single space Char1,Footnote Text Rail EIS Char1,ft Char1,footnote3 Char1,Footnotes Char1,Footnote ak Char1,fn cafc Char1,fn Char Char Char"/>
    <w:basedOn w:val="DefaultParagraphFont"/>
    <w:uiPriority w:val="99"/>
    <w:semiHidden/>
    <w:rsid w:val="00C23D65"/>
    <w:rPr>
      <w:rFonts w:ascii="Calibri" w:hAnsi="Calibri" w:cstheme="minorBidi"/>
      <w:color w:val="000000" w:themeColor="text1"/>
    </w:rPr>
  </w:style>
  <w:style w:type="character" w:customStyle="1" w:styleId="TitleChar1">
    <w:name w:val="Title Char1"/>
    <w:aliases w:val="Title 1 Char1"/>
    <w:basedOn w:val="DefaultParagraphFont"/>
    <w:uiPriority w:val="10"/>
    <w:rsid w:val="00C23D65"/>
    <w:rPr>
      <w:rFonts w:asciiTheme="majorHAnsi" w:eastAsiaTheme="majorEastAsia" w:hAnsiTheme="majorHAnsi" w:cstheme="majorBidi"/>
      <w:spacing w:val="-10"/>
      <w:kern w:val="28"/>
      <w:sz w:val="56"/>
      <w:szCs w:val="56"/>
    </w:rPr>
  </w:style>
  <w:style w:type="character" w:customStyle="1" w:styleId="BodyTextFirstIndent2Char1">
    <w:name w:val="Body Text First Indent 2 Char1"/>
    <w:aliases w:val="Char2 Char1"/>
    <w:basedOn w:val="BodyTextIndentChar"/>
    <w:uiPriority w:val="99"/>
    <w:semiHidden/>
    <w:rsid w:val="00C23D65"/>
    <w:rPr>
      <w:rFonts w:asciiTheme="minorHAnsi" w:eastAsia="SimSun" w:hAnsiTheme="minorHAnsi" w:cstheme="minorBidi"/>
      <w:szCs w:val="22"/>
      <w:lang w:val="nb-NO" w:eastAsia="nb-NO"/>
    </w:rPr>
  </w:style>
  <w:style w:type="table" w:styleId="GridTable4-Accent2">
    <w:name w:val="Grid Table 4 Accent 2"/>
    <w:basedOn w:val="TableNormal"/>
    <w:uiPriority w:val="49"/>
    <w:rsid w:val="00C4574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relative">
    <w:name w:val="relative"/>
    <w:basedOn w:val="DefaultParagraphFont"/>
    <w:rsid w:val="00683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780965">
      <w:bodyDiv w:val="1"/>
      <w:marLeft w:val="0"/>
      <w:marRight w:val="0"/>
      <w:marTop w:val="0"/>
      <w:marBottom w:val="0"/>
      <w:divBdr>
        <w:top w:val="none" w:sz="0" w:space="0" w:color="auto"/>
        <w:left w:val="none" w:sz="0" w:space="0" w:color="auto"/>
        <w:bottom w:val="none" w:sz="0" w:space="0" w:color="auto"/>
        <w:right w:val="none" w:sz="0" w:space="0" w:color="auto"/>
      </w:divBdr>
    </w:div>
    <w:div w:id="707292206">
      <w:bodyDiv w:val="1"/>
      <w:marLeft w:val="0"/>
      <w:marRight w:val="0"/>
      <w:marTop w:val="0"/>
      <w:marBottom w:val="0"/>
      <w:divBdr>
        <w:top w:val="none" w:sz="0" w:space="0" w:color="auto"/>
        <w:left w:val="none" w:sz="0" w:space="0" w:color="auto"/>
        <w:bottom w:val="none" w:sz="0" w:space="0" w:color="auto"/>
        <w:right w:val="none" w:sz="0" w:space="0" w:color="auto"/>
      </w:divBdr>
    </w:div>
    <w:div w:id="1028871809">
      <w:bodyDiv w:val="1"/>
      <w:marLeft w:val="0"/>
      <w:marRight w:val="0"/>
      <w:marTop w:val="0"/>
      <w:marBottom w:val="0"/>
      <w:divBdr>
        <w:top w:val="none" w:sz="0" w:space="0" w:color="auto"/>
        <w:left w:val="none" w:sz="0" w:space="0" w:color="auto"/>
        <w:bottom w:val="none" w:sz="0" w:space="0" w:color="auto"/>
        <w:right w:val="none" w:sz="0" w:space="0" w:color="auto"/>
      </w:divBdr>
    </w:div>
    <w:div w:id="205202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s://jkpkotor.com/me/usluge/kompostana/%20"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6.xml"/><Relationship Id="rId68" Type="http://schemas.openxmlformats.org/officeDocument/2006/relationships/chart" Target="charts/chart41.xml"/><Relationship Id="rId84" Type="http://schemas.openxmlformats.org/officeDocument/2006/relationships/hyperlink" Target="https://www.cekrev.me/en/aktuelno/628-slaba-informisanost-u-vezi-pops-hemikalija" TargetMode="Externa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4.jpeg"/><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chart" Target="charts/chart47.xml"/><Relationship Id="rId79" Type="http://schemas.openxmlformats.org/officeDocument/2006/relationships/hyperlink" Target="https://www.greenhome.co.me/en/vulnerable-groups-that-are-most-exposed-to-danger-should-be-informed-andtrained-to-properly-handle-and-protect-themselves-from-pops-chemicals/" TargetMode="External"/><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hyperlink" Target="https://pops.int/" TargetMode="External"/><Relationship Id="rId27" Type="http://schemas.openxmlformats.org/officeDocument/2006/relationships/chart" Target="charts/chart5.xml"/><Relationship Id="rId30" Type="http://schemas.openxmlformats.org/officeDocument/2006/relationships/image" Target="media/image12.jpeg"/><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7.xml"/><Relationship Id="rId69" Type="http://schemas.openxmlformats.org/officeDocument/2006/relationships/chart" Target="charts/chart42.xml"/><Relationship Id="rId77" Type="http://schemas.openxmlformats.org/officeDocument/2006/relationships/hyperlink" Target="https://vimeo.com/905362400/d1dda07e42" TargetMode="External"/><Relationship Id="rId8" Type="http://schemas.openxmlformats.org/officeDocument/2006/relationships/hyperlink" Target="https://monstat.org/uploads/files/BDP/2021/Annual%20GDP%202021_eng.pdf?utm_source=chatgpt.com" TargetMode="External"/><Relationship Id="rId51" Type="http://schemas.openxmlformats.org/officeDocument/2006/relationships/chart" Target="charts/chart25.xml"/><Relationship Id="rId72" Type="http://schemas.openxmlformats.org/officeDocument/2006/relationships/chart" Target="charts/chart45.xml"/><Relationship Id="rId80" Type="http://schemas.openxmlformats.org/officeDocument/2006/relationships/hyperlink" Target="https://www.greenhome.co.me/en/vulnerable-groups-that-are-most-exposed-to-danger-should-be-informed-andtrained-to-properly-handle-and-protect-themselves-from-pops-chemicals/" TargetMode="External"/><Relationship Id="rId85" Type="http://schemas.openxmlformats.org/officeDocument/2006/relationships/hyperlink" Target="https://dmen.me/2022/03/08/pops-supstancama-upravljati-na-ekoloski-prihvatljiv-naci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image" Target="media/image15.jpeg"/><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0.xml"/><Relationship Id="rId20" Type="http://schemas.openxmlformats.org/officeDocument/2006/relationships/chart" Target="charts/chart2.xm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image" Target="media/image16.png"/><Relationship Id="rId70" Type="http://schemas.openxmlformats.org/officeDocument/2006/relationships/chart" Target="charts/chart43.xml"/><Relationship Id="rId75" Type="http://schemas.openxmlformats.org/officeDocument/2006/relationships/chart" Target="charts/chart48.xml"/><Relationship Id="rId83" Type="http://schemas.openxmlformats.org/officeDocument/2006/relationships/hyperlink" Target="https://www.cekrev.me/aktuelno/645-odlaganje-otpada-u-prirodu-pops-hemikalij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8.xml"/><Relationship Id="rId73" Type="http://schemas.openxmlformats.org/officeDocument/2006/relationships/chart" Target="charts/chart46.xml"/><Relationship Id="rId78" Type="http://schemas.openxmlformats.org/officeDocument/2006/relationships/hyperlink" Target="https://www.greenhome.co.me/en" TargetMode="External"/><Relationship Id="rId81" Type="http://schemas.openxmlformats.org/officeDocument/2006/relationships/hyperlink" Target="https://www.greenhome.co.me/wp-content/uploads/2022/07/vodic-POPs-Green-Home.pdf" TargetMode="External"/><Relationship Id="rId86"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hm.pops.int/Implementation/Alternatives/AlternativestoPOPs/ChemicalslistedinAnnexA/Dicofol/tabid/8291/Default.aspx" TargetMode="Externa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49.xml"/><Relationship Id="rId7" Type="http://schemas.openxmlformats.org/officeDocument/2006/relationships/endnotes" Target="endnotes.xml"/><Relationship Id="rId71" Type="http://schemas.openxmlformats.org/officeDocument/2006/relationships/chart" Target="charts/chart44.xm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image" Target="media/image11.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39.xml"/><Relationship Id="rId87" Type="http://schemas.openxmlformats.org/officeDocument/2006/relationships/footer" Target="footer1.xml"/><Relationship Id="rId61" Type="http://schemas.openxmlformats.org/officeDocument/2006/relationships/chart" Target="charts/chart35.xml"/><Relationship Id="rId82" Type="http://schemas.openxmlformats.org/officeDocument/2006/relationships/hyperlink" Target="https://wapi.gov.me/download/cf8c7988-155a-46a2-aa54-61b41b04ece8?version=1.0" TargetMode="External"/><Relationship Id="rId19"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s://faolex.fao.org/docs/pdf/mne220111.pdf?utm" TargetMode="External"/><Relationship Id="rId13" Type="http://schemas.openxmlformats.org/officeDocument/2006/relationships/hyperlink" Target="https://wapi.gov.me/download/113f9714-2521-4455-b752-fc9afa6e140e?version=1.0" TargetMode="External"/><Relationship Id="rId3" Type="http://schemas.openxmlformats.org/officeDocument/2006/relationships/hyperlink" Target="https://epa.org.me/wp-content/uploads/2024/09/UNDP-Smjernice-PBDE-otpad.pdf" TargetMode="External"/><Relationship Id="rId7" Type="http://schemas.openxmlformats.org/officeDocument/2006/relationships/hyperlink" Target="https://www.gefieo.org/sites/default/files/documents/projects/tes/9045-terminal-evaluation.pdf" TargetMode="External"/><Relationship Id="rId12" Type="http://schemas.openxmlformats.org/officeDocument/2006/relationships/hyperlink" Target="https://www.gefieo.org/sites/default/files/documents/projects/tes/9045-terminal-evaluation.pdf" TargetMode="External"/><Relationship Id="rId17" Type="http://schemas.openxmlformats.org/officeDocument/2006/relationships/hyperlink" Target="https://www.unep.org/unepmap/what-we-do/projects/MedProgramme" TargetMode="External"/><Relationship Id="rId2" Type="http://schemas.openxmlformats.org/officeDocument/2006/relationships/hyperlink" Target="file:///C:/Users/User/Downloads/UNDP-GEF_PCB-Montenegro%20TE-report.pdf" TargetMode="External"/><Relationship Id="rId16" Type="http://schemas.openxmlformats.org/officeDocument/2006/relationships/hyperlink" Target="https://unece.org/sites/default/files/2024-10/4th_EPR_of_Montenegro_ECE.CEP_.202_ENG_0.pdf" TargetMode="External"/><Relationship Id="rId1" Type="http://schemas.openxmlformats.org/officeDocument/2006/relationships/hyperlink" Target="https://www.undp.org/cnr/montenegro/projects/upravljanje-pcb-om" TargetMode="External"/><Relationship Id="rId6" Type="http://schemas.openxmlformats.org/officeDocument/2006/relationships/hyperlink" Target="https://unece.org/sites/default/files/2024-10/4th_EPR_of_Montenegro_ECE.CEP_.202_ENG_0.pdf" TargetMode="External"/><Relationship Id="rId11" Type="http://schemas.openxmlformats.org/officeDocument/2006/relationships/hyperlink" Target="https://www.unep.org/unepmap/what-we-do/projects/MedProgramme" TargetMode="External"/><Relationship Id="rId5" Type="http://schemas.openxmlformats.org/officeDocument/2006/relationships/hyperlink" Target="https://epa.org.me/wp-content/uploads/2023/12/UPUTSTVO-namijenjeno-operaterima-i-reciklerima-otpada-PBDEs.pdf" TargetMode="External"/><Relationship Id="rId15" Type="http://schemas.openxmlformats.org/officeDocument/2006/relationships/hyperlink" Target="https://wapi.gov.me/download/113f9714-2521-4455-b752-fc9afa6e140e?version=1.0" TargetMode="External"/><Relationship Id="rId10" Type="http://schemas.openxmlformats.org/officeDocument/2006/relationships/hyperlink" Target="https://www.gefieo.org/sites/default/files/documents/projects/tes/9045-terminal-evaluation.pdf" TargetMode="External"/><Relationship Id="rId4" Type="http://schemas.openxmlformats.org/officeDocument/2006/relationships/hyperlink" Target="https://www.gov.me/clanak/radionice-za-re-populaciju-znanje-protiv-zagadenja-edukacija-o-pops-hemikalijama-i-pravilnom-upravljanju-otpadom-ministarstvo-ekologije-odrzivog-razvoja-i-razvoja-sjevera-kroz-projekat" TargetMode="External"/><Relationship Id="rId9" Type="http://schemas.openxmlformats.org/officeDocument/2006/relationships/hyperlink" Target="https://www.osce.org/files/f/documents/c/8/570285.pdf?utm" TargetMode="External"/><Relationship Id="rId14" Type="http://schemas.openxmlformats.org/officeDocument/2006/relationships/hyperlink" Target="https://www.unep.org/unepmap/what-we-do/projects/MedProgramm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Documents\emisija-izv\Izvje&#353;taji%202023\POP%20nenamjerni%202023-2025\POP%20project%202023\Prezentacija\Za%20dijagram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oleObject" Target="file:///C:\Users\Danijela%20Sukovic\Desktop\NIP%20CRNA%20GORA\Book1.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anijela%20Sukovic\Desktop\baza%20projekata\NIP%20STOCKHOLM\POPs%202025\registrovani%20i%20uvezeni.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Danijela%20Sukovic\Desktop\NIP%20CRNA%20GORA\Book1.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oleObject" Target="file:///C:\Documents\emisija-izv\Izvje&#353;taji%202023\POP%20nenamjerni%202023-2025\POP%20project%202023\Prezentacija\Za%20dijagram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1.xml.rels><?xml version="1.0" encoding="UTF-8" standalone="yes"?>
<Relationships xmlns="http://schemas.openxmlformats.org/package/2006/relationships"><Relationship Id="rId3" Type="http://schemas.openxmlformats.org/officeDocument/2006/relationships/oleObject" Target="file:///I:\PROJEKTI\NIP%20POPs\NIP%20POPs%202023\Copy%20of%20CETI%20SUMA%20PO%20TAR%20OZN.xlsx" TargetMode="External"/><Relationship Id="rId2" Type="http://schemas.microsoft.com/office/2011/relationships/chartColorStyle" Target="colors11.xml"/><Relationship Id="rId1" Type="http://schemas.microsoft.com/office/2011/relationships/chartStyle" Target="style11.xml"/></Relationships>
</file>

<file path=word/charts/_rels/chart2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2.xml"/><Relationship Id="rId1" Type="http://schemas.microsoft.com/office/2011/relationships/chartStyle" Target="style12.xml"/></Relationships>
</file>

<file path=word/charts/_rels/chart23.xml.rels><?xml version="1.0" encoding="UTF-8" standalone="yes"?>
<Relationships xmlns="http://schemas.openxmlformats.org/package/2006/relationships"><Relationship Id="rId3" Type="http://schemas.openxmlformats.org/officeDocument/2006/relationships/oleObject" Target="file:///H:\PROJEKTI\NIP%20POPs\NIP%20POPs%202023\221124.xlsx" TargetMode="External"/><Relationship Id="rId2" Type="http://schemas.microsoft.com/office/2011/relationships/chartColorStyle" Target="colors13.xml"/><Relationship Id="rId1" Type="http://schemas.microsoft.com/office/2011/relationships/chartStyle" Target="style13.xml"/></Relationships>
</file>

<file path=word/charts/_rels/chart24.xml.rels><?xml version="1.0" encoding="UTF-8" standalone="yes"?>
<Relationships xmlns="http://schemas.openxmlformats.org/package/2006/relationships"><Relationship Id="rId3" Type="http://schemas.openxmlformats.org/officeDocument/2006/relationships/oleObject" Target="file:///I:\PROJEKTI\NIP%20POPs\NIP%20POPs%202023\221124.xlsx" TargetMode="External"/><Relationship Id="rId2" Type="http://schemas.microsoft.com/office/2011/relationships/chartColorStyle" Target="colors14.xml"/><Relationship Id="rId1" Type="http://schemas.microsoft.com/office/2011/relationships/chartStyle" Target="style14.xml"/></Relationships>
</file>

<file path=word/charts/_rels/chart25.xml.rels><?xml version="1.0" encoding="UTF-8" standalone="yes"?>
<Relationships xmlns="http://schemas.openxmlformats.org/package/2006/relationships"><Relationship Id="rId3" Type="http://schemas.openxmlformats.org/officeDocument/2006/relationships/oleObject" Target="file:///I:\PROJEKTI\NIP%20POPs\NIP%20POPs%202023\221124.xlsx" TargetMode="External"/><Relationship Id="rId2" Type="http://schemas.microsoft.com/office/2011/relationships/chartColorStyle" Target="colors15.xml"/><Relationship Id="rId1" Type="http://schemas.microsoft.com/office/2011/relationships/chartStyle" Target="style15.xml"/></Relationships>
</file>

<file path=word/charts/_rels/chart26.xml.rels><?xml version="1.0" encoding="UTF-8" standalone="yes"?>
<Relationships xmlns="http://schemas.openxmlformats.org/package/2006/relationships"><Relationship Id="rId3" Type="http://schemas.openxmlformats.org/officeDocument/2006/relationships/oleObject" Target="file:///I:\PROJEKTI\NIP%20POPs\NIP%20POPs%202023\221124.xlsx" TargetMode="External"/><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3" Type="http://schemas.openxmlformats.org/officeDocument/2006/relationships/oleObject" Target="file:///I:\PROJEKTI\NIP%20POPs\NIP%20POPs%202023\221124.xlsx" TargetMode="External"/><Relationship Id="rId2" Type="http://schemas.microsoft.com/office/2011/relationships/chartColorStyle" Target="colors17.xml"/><Relationship Id="rId1" Type="http://schemas.microsoft.com/office/2011/relationships/chartStyle" Target="style17.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PROJEKTI\NIP%20POPs\NIP%20POPs%202023\221124.xlsx" TargetMode="External"/><Relationship Id="rId2" Type="http://schemas.microsoft.com/office/2011/relationships/chartColorStyle" Target="colors18.xml"/><Relationship Id="rId1" Type="http://schemas.microsoft.com/office/2011/relationships/chartStyle" Target="style18.xml"/></Relationships>
</file>

<file path=word/charts/_rels/chart31.xml.rels><?xml version="1.0" encoding="UTF-8" standalone="yes"?>
<Relationships xmlns="http://schemas.openxmlformats.org/package/2006/relationships"><Relationship Id="rId3" Type="http://schemas.openxmlformats.org/officeDocument/2006/relationships/oleObject" Target="file:///H:\PROJEKTI\NIP%20POPs\NIP%20POPs%202023\221124.xlsx" TargetMode="External"/><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Vladimir%20Zivkovic\Desktop\NIP-2024\Carine\PFOS-PFOA-PFHxS-Uvoz%20proizvoda%202017-202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Vladimir%20Zivkovic\Desktop\NIP-2024\Carine\PFOS-PFOA-PFHxS-Uvoz%20proizvoda%202017-2023.xls"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C:\Users\Vladimir%20Zivkovic\Desktop\NIP-2024\Carine\PFOS-PFOA-PFHxS-Uvoz%20proizvoda%202017-2023.xls" TargetMode="External"/><Relationship Id="rId2" Type="http://schemas.microsoft.com/office/2011/relationships/chartColorStyle" Target="colors20.xml"/><Relationship Id="rId1" Type="http://schemas.microsoft.com/office/2011/relationships/chartStyle" Target="style20.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Vladimir%20Zivkovic\Desktop\NIP-2024\Carine\PFOS-PFOA-PFHxS-Uvoz%20proizvoda%202017-2023.xls" TargetMode="External"/><Relationship Id="rId2" Type="http://schemas.microsoft.com/office/2011/relationships/chartColorStyle" Target="colors21.xml"/><Relationship Id="rId1" Type="http://schemas.microsoft.com/office/2011/relationships/chartStyle" Target="style21.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22.xml"/><Relationship Id="rId1" Type="http://schemas.microsoft.com/office/2011/relationships/chartStyle" Target="style22.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23.xml"/><Relationship Id="rId1" Type="http://schemas.microsoft.com/office/2011/relationships/chartStyle" Target="style23.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26.xml"/><Relationship Id="rId1" Type="http://schemas.microsoft.com/office/2011/relationships/chartStyle" Target="style26.xml"/></Relationships>
</file>

<file path=word/charts/_rels/chart4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7.xml"/><Relationship Id="rId1" Type="http://schemas.microsoft.com/office/2011/relationships/chartStyle" Target="style27.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28.xml"/><Relationship Id="rId1" Type="http://schemas.microsoft.com/office/2011/relationships/chartStyle" Target="style28.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29.xml"/><Relationship Id="rId1" Type="http://schemas.microsoft.com/office/2011/relationships/chartStyle" Target="style29.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30.xml"/><Relationship Id="rId1" Type="http://schemas.microsoft.com/office/2011/relationships/chartStyle" Target="style30.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31.xml"/><Relationship Id="rId1" Type="http://schemas.microsoft.com/office/2011/relationships/chartStyle" Target="style31.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32.xml"/><Relationship Id="rId1" Type="http://schemas.microsoft.com/office/2011/relationships/chartStyle" Target="style32.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33.xml"/><Relationship Id="rId1" Type="http://schemas.microsoft.com/office/2011/relationships/chartStyle" Target="style33.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Vladimir%20Zivkovic\Desktop\NIP-2024\SCCP\CETI\SCCP-Carine%20-082025.xlsx" TargetMode="External"/><Relationship Id="rId2" Type="http://schemas.microsoft.com/office/2011/relationships/chartColorStyle" Target="colors34.xml"/><Relationship Id="rId1" Type="http://schemas.microsoft.com/office/2011/relationships/chartStyle" Target="style34.xml"/></Relationships>
</file>

<file path=word/charts/_rels/chart4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5.xml"/><Relationship Id="rId1" Type="http://schemas.microsoft.com/office/2011/relationships/chartStyle" Target="style35.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ijela%20Sukovic\Desktop\NIP%20CRNA%20GORA\Book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g TEQ/</a:t>
            </a:r>
            <a:r>
              <a:rPr lang="sr-Latn-RS" sz="1000" b="1"/>
              <a:t>god</a:t>
            </a:r>
            <a:endParaRPr lang="en-US" sz="1000" b="1"/>
          </a:p>
        </c:rich>
      </c:tx>
      <c:layout>
        <c:manualLayout>
          <c:xMode val="edge"/>
          <c:yMode val="edge"/>
          <c:x val="1.1951224846894112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Sheet2!$F$5</c:f>
              <c:strCache>
                <c:ptCount val="1"/>
                <c:pt idx="0">
                  <c:v>g TEQ/god</c:v>
                </c:pt>
              </c:strCache>
            </c:strRef>
          </c:tx>
          <c:spPr>
            <a:solidFill>
              <a:schemeClr val="accent1"/>
            </a:solidFill>
            <a:ln>
              <a:noFill/>
            </a:ln>
            <a:effectLst/>
          </c:spPr>
          <c:invertIfNegative val="0"/>
          <c:cat>
            <c:numRef>
              <c:f>Sheet2!$G$4:$W$4</c:f>
              <c:numCache>
                <c:formatCode>0</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Sheet2!$G$5:$W$5</c:f>
              <c:numCache>
                <c:formatCode>0</c:formatCode>
                <c:ptCount val="17"/>
                <c:pt idx="0">
                  <c:v>54</c:v>
                </c:pt>
                <c:pt idx="1">
                  <c:v>56</c:v>
                </c:pt>
                <c:pt idx="2">
                  <c:v>47</c:v>
                </c:pt>
                <c:pt idx="3">
                  <c:v>46</c:v>
                </c:pt>
                <c:pt idx="4">
                  <c:v>43</c:v>
                </c:pt>
                <c:pt idx="5">
                  <c:v>42</c:v>
                </c:pt>
                <c:pt idx="6">
                  <c:v>30</c:v>
                </c:pt>
                <c:pt idx="7">
                  <c:v>23</c:v>
                </c:pt>
                <c:pt idx="8">
                  <c:v>28</c:v>
                </c:pt>
                <c:pt idx="9">
                  <c:v>30</c:v>
                </c:pt>
                <c:pt idx="10">
                  <c:v>29</c:v>
                </c:pt>
                <c:pt idx="11">
                  <c:v>28</c:v>
                </c:pt>
                <c:pt idx="12">
                  <c:v>28</c:v>
                </c:pt>
                <c:pt idx="13">
                  <c:v>29</c:v>
                </c:pt>
                <c:pt idx="14">
                  <c:v>29</c:v>
                </c:pt>
                <c:pt idx="15">
                  <c:v>28</c:v>
                </c:pt>
                <c:pt idx="16">
                  <c:v>29</c:v>
                </c:pt>
              </c:numCache>
            </c:numRef>
          </c:val>
          <c:extLst>
            <c:ext xmlns:c16="http://schemas.microsoft.com/office/drawing/2014/chart" uri="{C3380CC4-5D6E-409C-BE32-E72D297353CC}">
              <c16:uniqueId val="{00000000-9B9A-4039-9007-9D98F359E35F}"/>
            </c:ext>
          </c:extLst>
        </c:ser>
        <c:dLbls>
          <c:showLegendKey val="0"/>
          <c:showVal val="0"/>
          <c:showCatName val="0"/>
          <c:showSerName val="0"/>
          <c:showPercent val="0"/>
          <c:showBubbleSize val="0"/>
        </c:dLbls>
        <c:gapWidth val="219"/>
        <c:overlap val="-27"/>
        <c:axId val="624211855"/>
        <c:axId val="624212335"/>
      </c:barChart>
      <c:dateAx>
        <c:axId val="624211855"/>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Godina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12335"/>
        <c:crosses val="autoZero"/>
        <c:auto val="0"/>
        <c:lblOffset val="100"/>
        <c:baseTimeUnit val="days"/>
      </c:dateAx>
      <c:valAx>
        <c:axId val="624212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11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a:solidFill>
                  <a:srgbClr val="595959"/>
                </a:solidFill>
                <a:latin typeface="Calibri"/>
              </a:rPr>
              <a:t>PBDE </a:t>
            </a:r>
            <a:r>
              <a:rPr lang="sr-Latn-RS" sz="1400" b="0" i="0" u="none" strike="noStrike">
                <a:solidFill>
                  <a:srgbClr val="595959"/>
                </a:solidFill>
                <a:latin typeface="Calibri"/>
              </a:rPr>
              <a:t>sadržaj u kamionima</a:t>
            </a:r>
            <a:r>
              <a:rPr lang="en-US" sz="1400" b="0" i="0" u="none" strike="noStrike">
                <a:solidFill>
                  <a:srgbClr val="595959"/>
                </a:solidFill>
                <a:latin typeface="Calibri"/>
              </a:rPr>
              <a:t>(kg)</a:t>
            </a:r>
          </a:p>
        </c:rich>
      </c:tx>
      <c:layout>
        <c:manualLayout>
          <c:xMode val="edge"/>
          <c:yMode val="edge"/>
          <c:x val="0.30119200000000002"/>
          <c:y val="0"/>
          <c:w val="0.39761600000000002"/>
          <c:h val="0.241394"/>
        </c:manualLayout>
      </c:layout>
      <c:overlay val="1"/>
      <c:spPr>
        <a:noFill/>
        <a:effectLst/>
      </c:spPr>
    </c:title>
    <c:autoTitleDeleted val="0"/>
    <c:plotArea>
      <c:layout>
        <c:manualLayout>
          <c:layoutTarget val="inner"/>
          <c:xMode val="edge"/>
          <c:yMode val="edge"/>
          <c:x val="7.6777499999999999E-2"/>
          <c:y val="0.241394"/>
          <c:w val="0.91822199999999998"/>
          <c:h val="0.61684700000000003"/>
        </c:manualLayout>
      </c:layout>
      <c:barChart>
        <c:barDir val="col"/>
        <c:grouping val="clustered"/>
        <c:varyColors val="0"/>
        <c:ser>
          <c:idx val="0"/>
          <c:order val="0"/>
          <c:tx>
            <c:strRef>
              <c:f>Sheet1!$A$2</c:f>
              <c:strCache>
                <c:ptCount val="1"/>
                <c:pt idx="0">
                  <c:v>Kolicina PBDE u teretnim vozilima (kg)</c:v>
                </c:pt>
              </c:strCache>
            </c:strRef>
          </c:tx>
          <c:spPr>
            <a:solidFill>
              <a:schemeClr val="accent1"/>
            </a:solidFill>
            <a:ln w="12700" cap="flat">
              <a:noFill/>
              <a:miter lim="400000"/>
            </a:ln>
            <a:effectLst/>
          </c:spPr>
          <c:invertIfNegative val="0"/>
          <c:cat>
            <c:strRef>
              <c:f>Sheet1!$B$1:$H$1</c:f>
              <c:strCache>
                <c:ptCount val="7"/>
                <c:pt idx="0">
                  <c:v>2017g</c:v>
                </c:pt>
                <c:pt idx="1">
                  <c:v>2018g</c:v>
                </c:pt>
                <c:pt idx="2">
                  <c:v>2019g</c:v>
                </c:pt>
                <c:pt idx="3">
                  <c:v>2020g</c:v>
                </c:pt>
                <c:pt idx="4">
                  <c:v>2021g</c:v>
                </c:pt>
                <c:pt idx="5">
                  <c:v>2022g</c:v>
                </c:pt>
                <c:pt idx="6">
                  <c:v>2023g</c:v>
                </c:pt>
              </c:strCache>
            </c:strRef>
          </c:cat>
          <c:val>
            <c:numRef>
              <c:f>Sheet1!$B$2:$H$2</c:f>
              <c:numCache>
                <c:formatCode>General</c:formatCode>
                <c:ptCount val="7"/>
                <c:pt idx="0">
                  <c:v>7277</c:v>
                </c:pt>
                <c:pt idx="1">
                  <c:v>7564.6</c:v>
                </c:pt>
                <c:pt idx="2">
                  <c:v>7573.6</c:v>
                </c:pt>
                <c:pt idx="3">
                  <c:v>7207</c:v>
                </c:pt>
                <c:pt idx="4">
                  <c:v>7463.6</c:v>
                </c:pt>
                <c:pt idx="5">
                  <c:v>7156.4</c:v>
                </c:pt>
                <c:pt idx="6">
                  <c:v>7083.8</c:v>
                </c:pt>
              </c:numCache>
            </c:numRef>
          </c:val>
          <c:extLst>
            <c:ext xmlns:c16="http://schemas.microsoft.com/office/drawing/2014/chart" uri="{C3380CC4-5D6E-409C-BE32-E72D297353CC}">
              <c16:uniqueId val="{00000000-95C8-4467-B997-AAD32DFCA8A1}"/>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150"/>
        <c:minorUnit val="7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a:solidFill>
                  <a:srgbClr val="595959"/>
                </a:solidFill>
                <a:latin typeface="Calibri"/>
              </a:rPr>
              <a:t> PBDE </a:t>
            </a:r>
            <a:r>
              <a:rPr lang="sr-Latn-RS" sz="1400" b="0" i="0" u="none" strike="noStrike">
                <a:solidFill>
                  <a:srgbClr val="595959"/>
                </a:solidFill>
                <a:latin typeface="Calibri"/>
              </a:rPr>
              <a:t>sadržaj </a:t>
            </a:r>
            <a:r>
              <a:rPr lang="en-US" sz="1400" b="0" i="0" u="none" strike="noStrike">
                <a:solidFill>
                  <a:srgbClr val="595959"/>
                </a:solidFill>
                <a:latin typeface="Calibri"/>
              </a:rPr>
              <a:t> (g) </a:t>
            </a:r>
            <a:r>
              <a:rPr lang="sr-Latn-RS" sz="1400" b="0" i="0" u="none" strike="noStrike">
                <a:solidFill>
                  <a:srgbClr val="595959"/>
                </a:solidFill>
                <a:latin typeface="Calibri"/>
              </a:rPr>
              <a:t>u kamionima u upotrebi u periodu </a:t>
            </a:r>
            <a:r>
              <a:rPr lang="en-US" sz="1400" b="0" i="0" u="none" strike="noStrike">
                <a:solidFill>
                  <a:srgbClr val="595959"/>
                </a:solidFill>
                <a:latin typeface="Calibri"/>
              </a:rPr>
              <a:t>2006-2023</a:t>
            </a:r>
          </a:p>
        </c:rich>
      </c:tx>
      <c:layout>
        <c:manualLayout>
          <c:xMode val="edge"/>
          <c:yMode val="edge"/>
          <c:x val="8.4877900000000006E-2"/>
          <c:y val="0"/>
          <c:w val="0.83024399999999998"/>
          <c:h val="0.24649399999999999"/>
        </c:manualLayout>
      </c:layout>
      <c:overlay val="1"/>
      <c:spPr>
        <a:noFill/>
        <a:effectLst/>
      </c:spPr>
    </c:title>
    <c:autoTitleDeleted val="0"/>
    <c:plotArea>
      <c:layout>
        <c:manualLayout>
          <c:layoutTarget val="inner"/>
          <c:xMode val="edge"/>
          <c:yMode val="edge"/>
          <c:x val="0.11790399999999999"/>
          <c:y val="0.24649399999999999"/>
          <c:w val="0.87709599999999999"/>
          <c:h val="0.609016"/>
        </c:manualLayout>
      </c:layout>
      <c:barChart>
        <c:barDir val="col"/>
        <c:grouping val="clustered"/>
        <c:varyColors val="0"/>
        <c:ser>
          <c:idx val="0"/>
          <c:order val="0"/>
          <c:tx>
            <c:strRef>
              <c:f>Sheet1!$A$2</c:f>
              <c:strCache>
                <c:ptCount val="1"/>
                <c:pt idx="0">
                  <c:v>Sadrzaj PBDE (g) u teretnim vozilima u upotrebi</c:v>
                </c:pt>
              </c:strCache>
            </c:strRef>
          </c:tx>
          <c:spPr>
            <a:solidFill>
              <a:schemeClr val="accent1"/>
            </a:solidFill>
            <a:ln w="12700" cap="flat">
              <a:noFill/>
              <a:miter lim="400000"/>
            </a:ln>
            <a:effectLst/>
          </c:spPr>
          <c:invertIfNegative val="0"/>
          <c:trendline>
            <c:spPr>
              <a:ln w="19050" cap="rnd">
                <a:solidFill>
                  <a:schemeClr val="accent1"/>
                </a:solidFill>
                <a:prstDash val="sysDot"/>
                <a:miter lim="800000"/>
              </a:ln>
              <a:effectLst>
                <a:outerShdw blurRad="12700" dist="25400" dir="7320000" algn="tl">
                  <a:srgbClr val="000000">
                    <a:alpha val="25000"/>
                  </a:srgbClr>
                </a:outerShdw>
              </a:effectLst>
            </c:spPr>
            <c:trendlineType val="linear"/>
            <c:dispRSqr val="0"/>
            <c:dispEq val="0"/>
          </c:trendline>
          <c:cat>
            <c:strRef>
              <c:f>Sheet1!$B$1:$S$1</c:f>
              <c:strCache>
                <c:ptCount val="18"/>
                <c:pt idx="0">
                  <c:v>2006g</c:v>
                </c:pt>
                <c:pt idx="1">
                  <c:v>2007g</c:v>
                </c:pt>
                <c:pt idx="2">
                  <c:v>2008g</c:v>
                </c:pt>
                <c:pt idx="3">
                  <c:v>2009g</c:v>
                </c:pt>
                <c:pt idx="4">
                  <c:v>2010g</c:v>
                </c:pt>
                <c:pt idx="5">
                  <c:v>2011g</c:v>
                </c:pt>
                <c:pt idx="6">
                  <c:v>2012g</c:v>
                </c:pt>
                <c:pt idx="7">
                  <c:v>2013g</c:v>
                </c:pt>
                <c:pt idx="8">
                  <c:v>2014g</c:v>
                </c:pt>
                <c:pt idx="9">
                  <c:v>2015g</c:v>
                </c:pt>
                <c:pt idx="10">
                  <c:v>2016g</c:v>
                </c:pt>
                <c:pt idx="11">
                  <c:v>2017g</c:v>
                </c:pt>
                <c:pt idx="12">
                  <c:v>2018g</c:v>
                </c:pt>
                <c:pt idx="13">
                  <c:v>2019g</c:v>
                </c:pt>
                <c:pt idx="14">
                  <c:v>2020g</c:v>
                </c:pt>
                <c:pt idx="15">
                  <c:v>2021g</c:v>
                </c:pt>
                <c:pt idx="16">
                  <c:v>2022g</c:v>
                </c:pt>
                <c:pt idx="17">
                  <c:v>2023g</c:v>
                </c:pt>
              </c:strCache>
            </c:strRef>
          </c:cat>
          <c:val>
            <c:numRef>
              <c:f>Sheet1!$B$2:$S$2</c:f>
              <c:numCache>
                <c:formatCode>General</c:formatCode>
                <c:ptCount val="18"/>
                <c:pt idx="0">
                  <c:v>940000</c:v>
                </c:pt>
                <c:pt idx="1">
                  <c:v>1030400</c:v>
                </c:pt>
                <c:pt idx="2">
                  <c:v>1025760</c:v>
                </c:pt>
                <c:pt idx="3">
                  <c:v>909600</c:v>
                </c:pt>
                <c:pt idx="4">
                  <c:v>839440</c:v>
                </c:pt>
                <c:pt idx="5">
                  <c:v>798640</c:v>
                </c:pt>
                <c:pt idx="6">
                  <c:v>783920</c:v>
                </c:pt>
                <c:pt idx="7">
                  <c:v>778560</c:v>
                </c:pt>
                <c:pt idx="8">
                  <c:v>676880</c:v>
                </c:pt>
                <c:pt idx="9">
                  <c:v>651920</c:v>
                </c:pt>
                <c:pt idx="10">
                  <c:v>651040</c:v>
                </c:pt>
                <c:pt idx="11">
                  <c:v>727700</c:v>
                </c:pt>
                <c:pt idx="12">
                  <c:v>756460</c:v>
                </c:pt>
                <c:pt idx="13">
                  <c:v>757360</c:v>
                </c:pt>
                <c:pt idx="14">
                  <c:v>720700</c:v>
                </c:pt>
                <c:pt idx="15">
                  <c:v>746360</c:v>
                </c:pt>
                <c:pt idx="16">
                  <c:v>715640</c:v>
                </c:pt>
                <c:pt idx="17">
                  <c:v>708380</c:v>
                </c:pt>
              </c:numCache>
            </c:numRef>
          </c:val>
          <c:extLst>
            <c:ext xmlns:c16="http://schemas.microsoft.com/office/drawing/2014/chart" uri="{C3380CC4-5D6E-409C-BE32-E72D297353CC}">
              <c16:uniqueId val="{00000001-AB8E-4950-A12C-49504725E029}"/>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275000"/>
        <c:minorUnit val="137500"/>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a:solidFill>
                  <a:srgbClr val="595959"/>
                </a:solidFill>
                <a:latin typeface="Calibri"/>
              </a:rPr>
              <a:t>PBDE </a:t>
            </a:r>
            <a:r>
              <a:rPr lang="sr-Latn-RS" sz="1400" b="0" i="0" u="none" strike="noStrike">
                <a:solidFill>
                  <a:srgbClr val="595959"/>
                </a:solidFill>
                <a:latin typeface="Calibri"/>
              </a:rPr>
              <a:t>sadržaj (g)u autobusima</a:t>
            </a:r>
            <a:r>
              <a:rPr lang="sr-Latn-RS" sz="1400" b="0" i="0" u="none" strike="noStrike" baseline="0">
                <a:solidFill>
                  <a:srgbClr val="595959"/>
                </a:solidFill>
                <a:latin typeface="Calibri"/>
              </a:rPr>
              <a:t> u periodu </a:t>
            </a:r>
            <a:r>
              <a:rPr lang="en-US" sz="1400" b="0" i="0" u="none" strike="noStrike">
                <a:solidFill>
                  <a:srgbClr val="595959"/>
                </a:solidFill>
                <a:latin typeface="Calibri"/>
              </a:rPr>
              <a:t>2017-2023 (kg)</a:t>
            </a:r>
          </a:p>
        </c:rich>
      </c:tx>
      <c:layout>
        <c:manualLayout>
          <c:xMode val="edge"/>
          <c:yMode val="edge"/>
          <c:x val="4.4736600000000001E-2"/>
          <c:y val="0"/>
          <c:w val="0.91052699999999998"/>
          <c:h val="0.19788900000000001"/>
        </c:manualLayout>
      </c:layout>
      <c:overlay val="1"/>
      <c:spPr>
        <a:noFill/>
        <a:effectLst/>
      </c:spPr>
    </c:title>
    <c:autoTitleDeleted val="0"/>
    <c:plotArea>
      <c:layout>
        <c:manualLayout>
          <c:layoutTarget val="inner"/>
          <c:xMode val="edge"/>
          <c:yMode val="edge"/>
          <c:x val="6.0089299999999998E-2"/>
          <c:y val="0.19788900000000001"/>
          <c:w val="0.93491100000000005"/>
          <c:h val="0.683647"/>
        </c:manualLayout>
      </c:layout>
      <c:barChart>
        <c:barDir val="col"/>
        <c:grouping val="clustered"/>
        <c:varyColors val="0"/>
        <c:ser>
          <c:idx val="0"/>
          <c:order val="0"/>
          <c:tx>
            <c:strRef>
              <c:f>Sheet1!$A$2</c:f>
              <c:strCache>
                <c:ptCount val="1"/>
                <c:pt idx="0">
                  <c:v>Kolicina PBDE u autobusima u kg</c:v>
                </c:pt>
              </c:strCache>
            </c:strRef>
          </c:tx>
          <c:spPr>
            <a:solidFill>
              <a:schemeClr val="accent1"/>
            </a:solidFill>
            <a:ln w="12700" cap="flat">
              <a:noFill/>
              <a:miter lim="400000"/>
            </a:ln>
            <a:effectLst/>
          </c:spPr>
          <c:invertIfNegative val="0"/>
          <c:cat>
            <c:strRef>
              <c:f>Sheet1!$B$1:$H$1</c:f>
              <c:strCache>
                <c:ptCount val="7"/>
                <c:pt idx="0">
                  <c:v>2017g</c:v>
                </c:pt>
                <c:pt idx="1">
                  <c:v>2018g</c:v>
                </c:pt>
                <c:pt idx="2">
                  <c:v>2019g</c:v>
                </c:pt>
                <c:pt idx="3">
                  <c:v>2020g</c:v>
                </c:pt>
                <c:pt idx="4">
                  <c:v>2021g</c:v>
                </c:pt>
                <c:pt idx="5">
                  <c:v>2022g</c:v>
                </c:pt>
                <c:pt idx="6">
                  <c:v>2023g</c:v>
                </c:pt>
              </c:strCache>
            </c:strRef>
          </c:cat>
          <c:val>
            <c:numRef>
              <c:f>Sheet1!$B$2:$H$2</c:f>
              <c:numCache>
                <c:formatCode>General</c:formatCode>
                <c:ptCount val="7"/>
                <c:pt idx="0">
                  <c:v>76.400000000000006</c:v>
                </c:pt>
                <c:pt idx="1">
                  <c:v>77.98</c:v>
                </c:pt>
                <c:pt idx="2">
                  <c:v>72.12</c:v>
                </c:pt>
                <c:pt idx="3">
                  <c:v>43.34</c:v>
                </c:pt>
                <c:pt idx="4">
                  <c:v>50.9</c:v>
                </c:pt>
                <c:pt idx="5">
                  <c:v>54.56</c:v>
                </c:pt>
                <c:pt idx="6">
                  <c:v>51.78</c:v>
                </c:pt>
              </c:numCache>
            </c:numRef>
          </c:val>
          <c:extLst>
            <c:ext xmlns:c16="http://schemas.microsoft.com/office/drawing/2014/chart" uri="{C3380CC4-5D6E-409C-BE32-E72D297353CC}">
              <c16:uniqueId val="{00000000-80E5-4109-9B1C-4731B9F79B74}"/>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20"/>
        <c:minorUnit val="10"/>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a:solidFill>
                  <a:srgbClr val="595959"/>
                </a:solidFill>
                <a:latin typeface="Calibri"/>
              </a:rPr>
              <a:t> PBDE </a:t>
            </a:r>
            <a:r>
              <a:rPr lang="sr-Latn-RS" sz="1400" b="0" i="0" u="none" strike="noStrike">
                <a:solidFill>
                  <a:srgbClr val="595959"/>
                </a:solidFill>
                <a:latin typeface="Calibri"/>
              </a:rPr>
              <a:t>sadržaj </a:t>
            </a:r>
            <a:r>
              <a:rPr lang="en-US" sz="1400" b="0" i="0" u="none" strike="noStrike">
                <a:solidFill>
                  <a:srgbClr val="595959"/>
                </a:solidFill>
                <a:latin typeface="Calibri"/>
              </a:rPr>
              <a:t> (g) </a:t>
            </a:r>
            <a:r>
              <a:rPr lang="sr-Latn-RS" sz="1400" b="0" i="0" u="none" strike="noStrike">
                <a:solidFill>
                  <a:srgbClr val="595959"/>
                </a:solidFill>
                <a:latin typeface="Calibri"/>
              </a:rPr>
              <a:t>u autobusima</a:t>
            </a:r>
            <a:r>
              <a:rPr lang="sr-Latn-RS" sz="1400" b="0" i="0" u="none" strike="noStrike" baseline="0">
                <a:solidFill>
                  <a:srgbClr val="595959"/>
                </a:solidFill>
                <a:latin typeface="Calibri"/>
              </a:rPr>
              <a:t> </a:t>
            </a:r>
            <a:r>
              <a:rPr lang="sr-Latn-RS" sz="1400" b="0" i="0" u="none" strike="noStrike">
                <a:solidFill>
                  <a:srgbClr val="595959"/>
                </a:solidFill>
                <a:latin typeface="Calibri"/>
              </a:rPr>
              <a:t>u periodu </a:t>
            </a:r>
            <a:r>
              <a:rPr lang="en-US" sz="1400" b="0" i="0" u="none" strike="noStrike">
                <a:solidFill>
                  <a:srgbClr val="595959"/>
                </a:solidFill>
                <a:latin typeface="Calibri"/>
              </a:rPr>
              <a:t>2006-2023</a:t>
            </a:r>
            <a:r>
              <a:rPr lang="sr-Latn-RS" sz="1400" b="0" i="0" u="none" strike="noStrike">
                <a:solidFill>
                  <a:srgbClr val="595959"/>
                </a:solidFill>
                <a:latin typeface="Calibri"/>
              </a:rPr>
              <a:t>.</a:t>
            </a:r>
            <a:endParaRPr lang="en-US" sz="1400" b="0" i="0" u="none" strike="noStrike">
              <a:solidFill>
                <a:srgbClr val="595959"/>
              </a:solidFill>
              <a:latin typeface="Calibri"/>
            </a:endParaRPr>
          </a:p>
        </c:rich>
      </c:tx>
      <c:layout>
        <c:manualLayout>
          <c:xMode val="edge"/>
          <c:yMode val="edge"/>
          <c:x val="0.157281"/>
          <c:y val="0"/>
          <c:w val="0.68543799999999999"/>
          <c:h val="0.22232299999999999"/>
        </c:manualLayout>
      </c:layout>
      <c:overlay val="1"/>
      <c:spPr>
        <a:noFill/>
        <a:effectLst/>
      </c:spPr>
    </c:title>
    <c:autoTitleDeleted val="0"/>
    <c:plotArea>
      <c:layout>
        <c:manualLayout>
          <c:layoutTarget val="inner"/>
          <c:xMode val="edge"/>
          <c:yMode val="edge"/>
          <c:x val="7.6039200000000001E-2"/>
          <c:y val="0.22232299999999999"/>
          <c:w val="0.91896100000000003"/>
          <c:h val="0.64612999999999998"/>
        </c:manualLayout>
      </c:layout>
      <c:barChart>
        <c:barDir val="col"/>
        <c:grouping val="clustered"/>
        <c:varyColors val="0"/>
        <c:ser>
          <c:idx val="0"/>
          <c:order val="0"/>
          <c:tx>
            <c:strRef>
              <c:f>Sheet1!$A$2</c:f>
              <c:strCache>
                <c:ptCount val="1"/>
                <c:pt idx="0">
                  <c:v>Sadrzaj PBDE (g) u autobusima u upotrebi</c:v>
                </c:pt>
              </c:strCache>
            </c:strRef>
          </c:tx>
          <c:spPr>
            <a:solidFill>
              <a:schemeClr val="accent1"/>
            </a:solidFill>
            <a:ln w="12700" cap="flat">
              <a:noFill/>
              <a:miter lim="400000"/>
            </a:ln>
            <a:effectLst/>
          </c:spPr>
          <c:invertIfNegative val="0"/>
          <c:trendline>
            <c:spPr>
              <a:ln w="19050" cap="rnd">
                <a:solidFill>
                  <a:schemeClr val="accent1"/>
                </a:solidFill>
                <a:prstDash val="sysDot"/>
                <a:miter lim="800000"/>
              </a:ln>
              <a:effectLst>
                <a:outerShdw blurRad="12700" dist="25400" dir="7320000" algn="tl">
                  <a:srgbClr val="000000">
                    <a:alpha val="25000"/>
                  </a:srgbClr>
                </a:outerShdw>
              </a:effectLst>
            </c:spPr>
            <c:trendlineType val="linear"/>
            <c:dispRSqr val="0"/>
            <c:dispEq val="0"/>
          </c:trendline>
          <c:cat>
            <c:strRef>
              <c:f>Sheet1!$B$1:$S$1</c:f>
              <c:strCache>
                <c:ptCount val="18"/>
                <c:pt idx="0">
                  <c:v>2006g</c:v>
                </c:pt>
                <c:pt idx="1">
                  <c:v>2007g</c:v>
                </c:pt>
                <c:pt idx="2">
                  <c:v>2008g</c:v>
                </c:pt>
                <c:pt idx="3">
                  <c:v>2009g</c:v>
                </c:pt>
                <c:pt idx="4">
                  <c:v>2010g</c:v>
                </c:pt>
                <c:pt idx="5">
                  <c:v>2011g</c:v>
                </c:pt>
                <c:pt idx="6">
                  <c:v>2012g</c:v>
                </c:pt>
                <c:pt idx="7">
                  <c:v>2013g</c:v>
                </c:pt>
                <c:pt idx="8">
                  <c:v>2014g</c:v>
                </c:pt>
                <c:pt idx="9">
                  <c:v>2015g</c:v>
                </c:pt>
                <c:pt idx="10">
                  <c:v>2016g</c:v>
                </c:pt>
                <c:pt idx="11">
                  <c:v>2017g</c:v>
                </c:pt>
                <c:pt idx="12">
                  <c:v>2018g</c:v>
                </c:pt>
                <c:pt idx="13">
                  <c:v>2019g</c:v>
                </c:pt>
                <c:pt idx="14">
                  <c:v>2020g</c:v>
                </c:pt>
                <c:pt idx="15">
                  <c:v>2021g</c:v>
                </c:pt>
                <c:pt idx="16">
                  <c:v>2022g</c:v>
                </c:pt>
                <c:pt idx="17">
                  <c:v>2023g</c:v>
                </c:pt>
              </c:strCache>
            </c:strRef>
          </c:cat>
          <c:val>
            <c:numRef>
              <c:f>Sheet1!$B$2:$S$2</c:f>
              <c:numCache>
                <c:formatCode>General</c:formatCode>
                <c:ptCount val="18"/>
                <c:pt idx="0">
                  <c:v>68040</c:v>
                </c:pt>
                <c:pt idx="1">
                  <c:v>88280</c:v>
                </c:pt>
                <c:pt idx="2">
                  <c:v>89000</c:v>
                </c:pt>
                <c:pt idx="3">
                  <c:v>83560</c:v>
                </c:pt>
                <c:pt idx="4">
                  <c:v>79400</c:v>
                </c:pt>
                <c:pt idx="5">
                  <c:v>75720</c:v>
                </c:pt>
                <c:pt idx="6">
                  <c:v>72760</c:v>
                </c:pt>
                <c:pt idx="7">
                  <c:v>73480</c:v>
                </c:pt>
                <c:pt idx="8">
                  <c:v>68440</c:v>
                </c:pt>
                <c:pt idx="9">
                  <c:v>63960</c:v>
                </c:pt>
                <c:pt idx="10">
                  <c:v>65960</c:v>
                </c:pt>
                <c:pt idx="11">
                  <c:v>76400</c:v>
                </c:pt>
                <c:pt idx="12">
                  <c:v>77980</c:v>
                </c:pt>
                <c:pt idx="13">
                  <c:v>72120</c:v>
                </c:pt>
                <c:pt idx="14">
                  <c:v>43340</c:v>
                </c:pt>
                <c:pt idx="15">
                  <c:v>50900</c:v>
                </c:pt>
                <c:pt idx="16">
                  <c:v>54560</c:v>
                </c:pt>
                <c:pt idx="17">
                  <c:v>51780</c:v>
                </c:pt>
              </c:numCache>
            </c:numRef>
          </c:val>
          <c:extLst>
            <c:ext xmlns:c16="http://schemas.microsoft.com/office/drawing/2014/chart" uri="{C3380CC4-5D6E-409C-BE32-E72D297353CC}">
              <c16:uniqueId val="{00000001-4333-4DE6-B915-4FCC1AC91F6E}"/>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22500"/>
        <c:minorUnit val="11250"/>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Poređenje sadržaja PBDA u putničkim automobilima, autobusima i kamionima u upotrebi u periodu 2017-2023.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Sheet6!$B$1</c:f>
              <c:strCache>
                <c:ptCount val="1"/>
                <c:pt idx="0">
                  <c:v>PBDE sadržaj u putničkim automobilima (kg)</c:v>
                </c:pt>
              </c:strCache>
            </c:strRef>
          </c:tx>
          <c:spPr>
            <a:solidFill>
              <a:schemeClr val="accent1"/>
            </a:solidFill>
            <a:ln>
              <a:noFill/>
            </a:ln>
            <a:effectLst/>
          </c:spPr>
          <c:invertIfNegative val="0"/>
          <c:cat>
            <c:strRef>
              <c:f>Sheet6!$A$2:$A$8</c:f>
              <c:strCache>
                <c:ptCount val="7"/>
                <c:pt idx="0">
                  <c:v>2017g</c:v>
                </c:pt>
                <c:pt idx="1">
                  <c:v>2018g</c:v>
                </c:pt>
                <c:pt idx="2">
                  <c:v>2019g</c:v>
                </c:pt>
                <c:pt idx="3">
                  <c:v>2020g</c:v>
                </c:pt>
                <c:pt idx="4">
                  <c:v>2021g</c:v>
                </c:pt>
                <c:pt idx="5">
                  <c:v>2022g</c:v>
                </c:pt>
                <c:pt idx="6">
                  <c:v>2023g</c:v>
                </c:pt>
              </c:strCache>
            </c:strRef>
          </c:cat>
          <c:val>
            <c:numRef>
              <c:f>Sheet6!$B$2:$B$8</c:f>
              <c:numCache>
                <c:formatCode>General</c:formatCode>
                <c:ptCount val="7"/>
                <c:pt idx="0">
                  <c:v>10.893000000000001</c:v>
                </c:pt>
                <c:pt idx="1">
                  <c:v>11.026999999999999</c:v>
                </c:pt>
                <c:pt idx="2">
                  <c:v>10.776</c:v>
                </c:pt>
                <c:pt idx="3">
                  <c:v>9.9960000000000004</c:v>
                </c:pt>
                <c:pt idx="4">
                  <c:v>9.8960000000000008</c:v>
                </c:pt>
                <c:pt idx="5">
                  <c:v>9.4930000000000003</c:v>
                </c:pt>
                <c:pt idx="6">
                  <c:v>9.2460000000000004</c:v>
                </c:pt>
              </c:numCache>
            </c:numRef>
          </c:val>
          <c:extLst>
            <c:ext xmlns:c16="http://schemas.microsoft.com/office/drawing/2014/chart" uri="{C3380CC4-5D6E-409C-BE32-E72D297353CC}">
              <c16:uniqueId val="{00000000-1913-4841-B422-50859E6CF9AC}"/>
            </c:ext>
          </c:extLst>
        </c:ser>
        <c:ser>
          <c:idx val="1"/>
          <c:order val="1"/>
          <c:tx>
            <c:strRef>
              <c:f>Sheet6!$C$1</c:f>
              <c:strCache>
                <c:ptCount val="1"/>
                <c:pt idx="0">
                  <c:v>PBDE sadržaj u autobusima (kg)</c:v>
                </c:pt>
              </c:strCache>
            </c:strRef>
          </c:tx>
          <c:spPr>
            <a:solidFill>
              <a:schemeClr val="accent2"/>
            </a:solidFill>
            <a:ln>
              <a:noFill/>
            </a:ln>
            <a:effectLst/>
          </c:spPr>
          <c:invertIfNegative val="0"/>
          <c:cat>
            <c:strRef>
              <c:f>Sheet6!$A$2:$A$8</c:f>
              <c:strCache>
                <c:ptCount val="7"/>
                <c:pt idx="0">
                  <c:v>2017g</c:v>
                </c:pt>
                <c:pt idx="1">
                  <c:v>2018g</c:v>
                </c:pt>
                <c:pt idx="2">
                  <c:v>2019g</c:v>
                </c:pt>
                <c:pt idx="3">
                  <c:v>2020g</c:v>
                </c:pt>
                <c:pt idx="4">
                  <c:v>2021g</c:v>
                </c:pt>
                <c:pt idx="5">
                  <c:v>2022g</c:v>
                </c:pt>
                <c:pt idx="6">
                  <c:v>2023g</c:v>
                </c:pt>
              </c:strCache>
            </c:strRef>
          </c:cat>
          <c:val>
            <c:numRef>
              <c:f>Sheet6!$C$2:$C$8</c:f>
              <c:numCache>
                <c:formatCode>General</c:formatCode>
                <c:ptCount val="7"/>
                <c:pt idx="0">
                  <c:v>76</c:v>
                </c:pt>
                <c:pt idx="1">
                  <c:v>78</c:v>
                </c:pt>
                <c:pt idx="2">
                  <c:v>72</c:v>
                </c:pt>
                <c:pt idx="3">
                  <c:v>43</c:v>
                </c:pt>
                <c:pt idx="4">
                  <c:v>51</c:v>
                </c:pt>
                <c:pt idx="5">
                  <c:v>55</c:v>
                </c:pt>
                <c:pt idx="6">
                  <c:v>52</c:v>
                </c:pt>
              </c:numCache>
            </c:numRef>
          </c:val>
          <c:extLst>
            <c:ext xmlns:c16="http://schemas.microsoft.com/office/drawing/2014/chart" uri="{C3380CC4-5D6E-409C-BE32-E72D297353CC}">
              <c16:uniqueId val="{00000001-1913-4841-B422-50859E6CF9AC}"/>
            </c:ext>
          </c:extLst>
        </c:ser>
        <c:ser>
          <c:idx val="2"/>
          <c:order val="2"/>
          <c:tx>
            <c:strRef>
              <c:f>Sheet6!$D$1</c:f>
              <c:strCache>
                <c:ptCount val="1"/>
                <c:pt idx="0">
                  <c:v>PBDE sadržaj u registrovanim kamionima (kg)</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strRef>
              <c:f>Sheet6!$A$2:$A$8</c:f>
              <c:strCache>
                <c:ptCount val="7"/>
                <c:pt idx="0">
                  <c:v>2017g</c:v>
                </c:pt>
                <c:pt idx="1">
                  <c:v>2018g</c:v>
                </c:pt>
                <c:pt idx="2">
                  <c:v>2019g</c:v>
                </c:pt>
                <c:pt idx="3">
                  <c:v>2020g</c:v>
                </c:pt>
                <c:pt idx="4">
                  <c:v>2021g</c:v>
                </c:pt>
                <c:pt idx="5">
                  <c:v>2022g</c:v>
                </c:pt>
                <c:pt idx="6">
                  <c:v>2023g</c:v>
                </c:pt>
              </c:strCache>
            </c:strRef>
          </c:cat>
          <c:val>
            <c:numRef>
              <c:f>Sheet6!$D$2:$D$8</c:f>
              <c:numCache>
                <c:formatCode>General</c:formatCode>
                <c:ptCount val="7"/>
                <c:pt idx="0">
                  <c:v>728</c:v>
                </c:pt>
                <c:pt idx="1">
                  <c:v>756</c:v>
                </c:pt>
                <c:pt idx="2">
                  <c:v>757</c:v>
                </c:pt>
                <c:pt idx="3">
                  <c:v>721</c:v>
                </c:pt>
                <c:pt idx="4">
                  <c:v>746</c:v>
                </c:pt>
                <c:pt idx="5">
                  <c:v>716</c:v>
                </c:pt>
                <c:pt idx="6">
                  <c:v>708</c:v>
                </c:pt>
              </c:numCache>
            </c:numRef>
          </c:val>
          <c:extLst>
            <c:ext xmlns:c16="http://schemas.microsoft.com/office/drawing/2014/chart" uri="{C3380CC4-5D6E-409C-BE32-E72D297353CC}">
              <c16:uniqueId val="{00000003-1913-4841-B422-50859E6CF9AC}"/>
            </c:ext>
          </c:extLst>
        </c:ser>
        <c:dLbls>
          <c:showLegendKey val="0"/>
          <c:showVal val="0"/>
          <c:showCatName val="0"/>
          <c:showSerName val="0"/>
          <c:showPercent val="0"/>
          <c:showBubbleSize val="0"/>
        </c:dLbls>
        <c:gapWidth val="219"/>
        <c:overlap val="-27"/>
        <c:axId val="319223887"/>
        <c:axId val="319224367"/>
      </c:barChart>
      <c:catAx>
        <c:axId val="31922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224367"/>
        <c:crosses val="autoZero"/>
        <c:auto val="1"/>
        <c:lblAlgn val="ctr"/>
        <c:lblOffset val="100"/>
        <c:noMultiLvlLbl val="0"/>
      </c:catAx>
      <c:valAx>
        <c:axId val="319224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22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r-Latn-RS" sz="1400" b="0" i="0" u="none" strike="noStrike" kern="1200" spc="0" baseline="0">
                <a:solidFill>
                  <a:sysClr val="windowText" lastClr="000000">
                    <a:lumMod val="65000"/>
                    <a:lumOff val="35000"/>
                  </a:sysClr>
                </a:solidFill>
              </a:rPr>
              <a:t>PBDE sadržaj u uvezenim automobilima2017-2023 (kg)</a:t>
            </a:r>
            <a:endParaRPr lang="en-US" sz="1400" b="0" i="0" u="none" strike="noStrike" kern="1200" spc="0" baseline="0">
              <a:solidFill>
                <a:sysClr val="windowText" lastClr="000000">
                  <a:lumMod val="65000"/>
                  <a:lumOff val="35000"/>
                </a:sysClr>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uporedo!$AE$7</c:f>
              <c:strCache>
                <c:ptCount val="1"/>
                <c:pt idx="0">
                  <c:v>PBDE content (kg)</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uporedo!$AF$6:$AL$6</c:f>
              <c:strCache>
                <c:ptCount val="7"/>
                <c:pt idx="0">
                  <c:v>2017g</c:v>
                </c:pt>
                <c:pt idx="1">
                  <c:v>2018g</c:v>
                </c:pt>
                <c:pt idx="2">
                  <c:v>2019g</c:v>
                </c:pt>
                <c:pt idx="3">
                  <c:v>2020g</c:v>
                </c:pt>
                <c:pt idx="4">
                  <c:v>2021g</c:v>
                </c:pt>
                <c:pt idx="5">
                  <c:v>2022g</c:v>
                </c:pt>
                <c:pt idx="6">
                  <c:v>2023g</c:v>
                </c:pt>
              </c:strCache>
            </c:strRef>
          </c:cat>
          <c:val>
            <c:numRef>
              <c:f>uporedo!$AF$7:$AL$7</c:f>
              <c:numCache>
                <c:formatCode>General</c:formatCode>
                <c:ptCount val="7"/>
                <c:pt idx="0">
                  <c:v>748.3</c:v>
                </c:pt>
                <c:pt idx="1">
                  <c:v>724.56</c:v>
                </c:pt>
                <c:pt idx="2">
                  <c:v>362.96</c:v>
                </c:pt>
                <c:pt idx="3">
                  <c:v>247.78</c:v>
                </c:pt>
                <c:pt idx="4">
                  <c:v>264.72000000000003</c:v>
                </c:pt>
                <c:pt idx="5">
                  <c:v>317.44</c:v>
                </c:pt>
                <c:pt idx="6">
                  <c:v>400.5</c:v>
                </c:pt>
              </c:numCache>
            </c:numRef>
          </c:val>
          <c:extLst>
            <c:ext xmlns:c16="http://schemas.microsoft.com/office/drawing/2014/chart" uri="{C3380CC4-5D6E-409C-BE32-E72D297353CC}">
              <c16:uniqueId val="{00000001-D684-4AB8-9BA9-6C644A0A6818}"/>
            </c:ext>
          </c:extLst>
        </c:ser>
        <c:dLbls>
          <c:showLegendKey val="0"/>
          <c:showVal val="0"/>
          <c:showCatName val="0"/>
          <c:showSerName val="0"/>
          <c:showPercent val="0"/>
          <c:showBubbleSize val="0"/>
        </c:dLbls>
        <c:gapWidth val="219"/>
        <c:overlap val="-27"/>
        <c:axId val="1332468160"/>
        <c:axId val="1332484960"/>
      </c:barChart>
      <c:catAx>
        <c:axId val="133246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484960"/>
        <c:crosses val="autoZero"/>
        <c:auto val="1"/>
        <c:lblAlgn val="ctr"/>
        <c:lblOffset val="100"/>
        <c:noMultiLvlLbl val="0"/>
      </c:catAx>
      <c:valAx>
        <c:axId val="133248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46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a:solidFill>
                  <a:srgbClr val="595959"/>
                </a:solidFill>
                <a:latin typeface="Calibri"/>
              </a:rPr>
              <a:t>PBDE </a:t>
            </a:r>
            <a:r>
              <a:rPr lang="sr-Latn-RS" sz="1400" b="0" i="0" u="none" strike="noStrike">
                <a:solidFill>
                  <a:srgbClr val="595959"/>
                </a:solidFill>
                <a:latin typeface="Calibri"/>
              </a:rPr>
              <a:t>sadržaj u uvezenim autobusima u</a:t>
            </a:r>
            <a:r>
              <a:rPr lang="en-US" sz="1400" b="0" i="0" u="none" strike="noStrike">
                <a:solidFill>
                  <a:srgbClr val="595959"/>
                </a:solidFill>
                <a:latin typeface="Calibri"/>
              </a:rPr>
              <a:t> period</a:t>
            </a:r>
            <a:r>
              <a:rPr lang="sr-Latn-RS" sz="1400" b="0" i="0" u="none" strike="noStrike">
                <a:solidFill>
                  <a:srgbClr val="595959"/>
                </a:solidFill>
                <a:latin typeface="Calibri"/>
              </a:rPr>
              <a:t>u</a:t>
            </a:r>
            <a:r>
              <a:rPr lang="en-US" sz="1400" b="0" i="0" u="none" strike="noStrike">
                <a:solidFill>
                  <a:srgbClr val="595959"/>
                </a:solidFill>
                <a:latin typeface="Calibri"/>
              </a:rPr>
              <a:t> 2017-2023 (kg)</a:t>
            </a:r>
          </a:p>
        </c:rich>
      </c:tx>
      <c:layout>
        <c:manualLayout>
          <c:xMode val="edge"/>
          <c:yMode val="edge"/>
          <c:x val="7.3733199999999999E-2"/>
          <c:y val="0"/>
          <c:w val="0.85253400000000001"/>
          <c:h val="0.217219"/>
        </c:manualLayout>
      </c:layout>
      <c:overlay val="1"/>
      <c:spPr>
        <a:noFill/>
        <a:effectLst/>
      </c:spPr>
    </c:title>
    <c:autoTitleDeleted val="0"/>
    <c:plotArea>
      <c:layout>
        <c:manualLayout>
          <c:layoutTarget val="inner"/>
          <c:xMode val="edge"/>
          <c:yMode val="edge"/>
          <c:x val="5.8725399999999997E-2"/>
          <c:y val="0.217219"/>
          <c:w val="0.93627499999999997"/>
          <c:h val="0.65396699999999996"/>
        </c:manualLayout>
      </c:layout>
      <c:barChart>
        <c:barDir val="col"/>
        <c:grouping val="clustered"/>
        <c:varyColors val="0"/>
        <c:ser>
          <c:idx val="0"/>
          <c:order val="0"/>
          <c:tx>
            <c:strRef>
              <c:f>Sheet1!$B$1</c:f>
              <c:strCache>
                <c:ptCount val="1"/>
                <c:pt idx="0">
                  <c:v>PBDE u uvezenim autobusima (kg)</c:v>
                </c:pt>
              </c:strCache>
            </c:strRef>
          </c:tx>
          <c:spPr>
            <a:solidFill>
              <a:schemeClr val="accent1"/>
            </a:solidFill>
            <a:ln w="12700" cap="flat">
              <a:noFill/>
              <a:miter lim="400000"/>
            </a:ln>
            <a:effectLst/>
          </c:spPr>
          <c:invertIfNegative val="0"/>
          <c:cat>
            <c:strRef>
              <c:f>Sheet1!$A$2:$A$8</c:f>
              <c:strCache>
                <c:ptCount val="7"/>
                <c:pt idx="0">
                  <c:v>2017g</c:v>
                </c:pt>
                <c:pt idx="1">
                  <c:v>2018g</c:v>
                </c:pt>
                <c:pt idx="2">
                  <c:v>2019g</c:v>
                </c:pt>
                <c:pt idx="3">
                  <c:v>2020g</c:v>
                </c:pt>
                <c:pt idx="4">
                  <c:v>2021g</c:v>
                </c:pt>
                <c:pt idx="5">
                  <c:v>2022g</c:v>
                </c:pt>
                <c:pt idx="6">
                  <c:v>2023g</c:v>
                </c:pt>
              </c:strCache>
            </c:strRef>
          </c:cat>
          <c:val>
            <c:numRef>
              <c:f>Sheet1!$B$2:$B$8</c:f>
              <c:numCache>
                <c:formatCode>General</c:formatCode>
                <c:ptCount val="7"/>
                <c:pt idx="0">
                  <c:v>4.68</c:v>
                </c:pt>
                <c:pt idx="1">
                  <c:v>5.48</c:v>
                </c:pt>
                <c:pt idx="2">
                  <c:v>1.28</c:v>
                </c:pt>
                <c:pt idx="3">
                  <c:v>0.68</c:v>
                </c:pt>
                <c:pt idx="4">
                  <c:v>0.52</c:v>
                </c:pt>
                <c:pt idx="5">
                  <c:v>0.24</c:v>
                </c:pt>
                <c:pt idx="6">
                  <c:v>0.4</c:v>
                </c:pt>
              </c:numCache>
            </c:numRef>
          </c:val>
          <c:extLst>
            <c:ext xmlns:c16="http://schemas.microsoft.com/office/drawing/2014/chart" uri="{C3380CC4-5D6E-409C-BE32-E72D297353CC}">
              <c16:uniqueId val="{00000000-5C05-47A3-98B2-5AF638BB21E4}"/>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1.5"/>
        <c:minorUnit val="0.7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a:solidFill>
                  <a:srgbClr val="595959"/>
                </a:solidFill>
                <a:latin typeface="Calibri"/>
              </a:rPr>
              <a:t>PBDE </a:t>
            </a:r>
            <a:r>
              <a:rPr lang="sr-Latn-RS" sz="1400" b="0" i="0" u="none" strike="noStrike">
                <a:solidFill>
                  <a:srgbClr val="595959"/>
                </a:solidFill>
                <a:latin typeface="Calibri"/>
              </a:rPr>
              <a:t>sadržaj</a:t>
            </a:r>
            <a:r>
              <a:rPr lang="sr-Latn-RS" sz="1400" b="0" i="0" u="none" strike="noStrike" baseline="0">
                <a:solidFill>
                  <a:srgbClr val="595959"/>
                </a:solidFill>
                <a:latin typeface="Calibri"/>
              </a:rPr>
              <a:t> u uvezenim kamionima u periodu </a:t>
            </a:r>
            <a:r>
              <a:rPr lang="en-US" sz="1400" b="0" i="0" u="none" strike="noStrike">
                <a:solidFill>
                  <a:srgbClr val="595959"/>
                </a:solidFill>
                <a:latin typeface="Calibri"/>
              </a:rPr>
              <a:t>2017-2023 (kg)</a:t>
            </a:r>
          </a:p>
        </c:rich>
      </c:tx>
      <c:layout>
        <c:manualLayout>
          <c:xMode val="edge"/>
          <c:yMode val="edge"/>
          <c:x val="0.104337"/>
          <c:y val="0"/>
          <c:w val="0.79132499999999995"/>
          <c:h val="0.281555"/>
        </c:manualLayout>
      </c:layout>
      <c:overlay val="1"/>
      <c:spPr>
        <a:noFill/>
        <a:effectLst/>
      </c:spPr>
    </c:title>
    <c:autoTitleDeleted val="0"/>
    <c:plotArea>
      <c:layout>
        <c:manualLayout>
          <c:layoutTarget val="inner"/>
          <c:xMode val="edge"/>
          <c:yMode val="edge"/>
          <c:x val="6.0655599999999997E-2"/>
          <c:y val="0.281555"/>
          <c:w val="0.93434399999999995"/>
          <c:h val="0.55518100000000004"/>
        </c:manualLayout>
      </c:layout>
      <c:barChart>
        <c:barDir val="col"/>
        <c:grouping val="clustered"/>
        <c:varyColors val="0"/>
        <c:ser>
          <c:idx val="0"/>
          <c:order val="0"/>
          <c:tx>
            <c:strRef>
              <c:f>Sheet1!$A$2</c:f>
              <c:strCache>
                <c:ptCount val="1"/>
                <c:pt idx="0">
                  <c:v>Kolicina PBDE u teretnim vozilima u kg</c:v>
                </c:pt>
              </c:strCache>
            </c:strRef>
          </c:tx>
          <c:spPr>
            <a:solidFill>
              <a:schemeClr val="accent1"/>
            </a:solidFill>
            <a:ln w="12700" cap="flat">
              <a:noFill/>
              <a:miter lim="400000"/>
            </a:ln>
            <a:effectLst/>
          </c:spPr>
          <c:invertIfNegative val="0"/>
          <c:cat>
            <c:strRef>
              <c:f>Sheet1!$B$1:$H$1</c:f>
              <c:strCache>
                <c:ptCount val="7"/>
                <c:pt idx="0">
                  <c:v>2017g</c:v>
                </c:pt>
                <c:pt idx="1">
                  <c:v>2018g</c:v>
                </c:pt>
                <c:pt idx="2">
                  <c:v>2019g</c:v>
                </c:pt>
                <c:pt idx="3">
                  <c:v>2020g</c:v>
                </c:pt>
                <c:pt idx="4">
                  <c:v>2021g</c:v>
                </c:pt>
                <c:pt idx="5">
                  <c:v>2022g</c:v>
                </c:pt>
                <c:pt idx="6">
                  <c:v>2023g</c:v>
                </c:pt>
              </c:strCache>
            </c:strRef>
          </c:cat>
          <c:val>
            <c:numRef>
              <c:f>Sheet1!$B$2:$H$2</c:f>
              <c:numCache>
                <c:formatCode>General</c:formatCode>
                <c:ptCount val="7"/>
                <c:pt idx="0">
                  <c:v>101</c:v>
                </c:pt>
                <c:pt idx="1">
                  <c:v>96</c:v>
                </c:pt>
                <c:pt idx="2">
                  <c:v>49</c:v>
                </c:pt>
                <c:pt idx="3">
                  <c:v>30</c:v>
                </c:pt>
                <c:pt idx="4">
                  <c:v>32</c:v>
                </c:pt>
                <c:pt idx="5">
                  <c:v>36</c:v>
                </c:pt>
                <c:pt idx="6">
                  <c:v>48</c:v>
                </c:pt>
              </c:numCache>
            </c:numRef>
          </c:val>
          <c:extLst>
            <c:ext xmlns:c16="http://schemas.microsoft.com/office/drawing/2014/chart" uri="{C3380CC4-5D6E-409C-BE32-E72D297353CC}">
              <c16:uniqueId val="{00000000-6EA4-49A1-AE2D-D1753DACACD7}"/>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27.5"/>
        <c:minorUnit val="13.7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100" b="0" i="0" u="none" strike="noStrike" kern="1200" spc="0" baseline="0">
                <a:solidFill>
                  <a:sysClr val="windowText" lastClr="000000">
                    <a:lumMod val="65000"/>
                    <a:lumOff val="35000"/>
                  </a:sysClr>
                </a:solidFill>
              </a:rPr>
              <a:t>Komparativni prikaz sadržaja PBDE u različitim tipovima vozila u periodu 2017-2023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Sheet7!$A$24</c:f>
              <c:strCache>
                <c:ptCount val="1"/>
                <c:pt idx="0">
                  <c:v>Sadržaj PBDE u putničkim vozilima (kg)</c:v>
                </c:pt>
              </c:strCache>
            </c:strRef>
          </c:tx>
          <c:spPr>
            <a:solidFill>
              <a:schemeClr val="accent1"/>
            </a:solidFill>
            <a:ln>
              <a:noFill/>
            </a:ln>
            <a:effectLst/>
          </c:spPr>
          <c:invertIfNegative val="0"/>
          <c:cat>
            <c:strRef>
              <c:f>Sheet7!$B$23:$H$23</c:f>
              <c:strCache>
                <c:ptCount val="7"/>
                <c:pt idx="0">
                  <c:v>2017g</c:v>
                </c:pt>
                <c:pt idx="1">
                  <c:v>2018g</c:v>
                </c:pt>
                <c:pt idx="2">
                  <c:v>2019g</c:v>
                </c:pt>
                <c:pt idx="3">
                  <c:v>2020g</c:v>
                </c:pt>
                <c:pt idx="4">
                  <c:v>2021g</c:v>
                </c:pt>
                <c:pt idx="5">
                  <c:v>2022g</c:v>
                </c:pt>
                <c:pt idx="6">
                  <c:v>2023g</c:v>
                </c:pt>
              </c:strCache>
            </c:strRef>
          </c:cat>
          <c:val>
            <c:numRef>
              <c:f>Sheet7!$B$24:$H$24</c:f>
              <c:numCache>
                <c:formatCode>General</c:formatCode>
                <c:ptCount val="7"/>
                <c:pt idx="0">
                  <c:v>748.3</c:v>
                </c:pt>
                <c:pt idx="1">
                  <c:v>724.56</c:v>
                </c:pt>
                <c:pt idx="2">
                  <c:v>362.96</c:v>
                </c:pt>
                <c:pt idx="3">
                  <c:v>247.78</c:v>
                </c:pt>
                <c:pt idx="4">
                  <c:v>264.72000000000003</c:v>
                </c:pt>
                <c:pt idx="5">
                  <c:v>317.44</c:v>
                </c:pt>
                <c:pt idx="6">
                  <c:v>400.5</c:v>
                </c:pt>
              </c:numCache>
            </c:numRef>
          </c:val>
          <c:extLst>
            <c:ext xmlns:c16="http://schemas.microsoft.com/office/drawing/2014/chart" uri="{C3380CC4-5D6E-409C-BE32-E72D297353CC}">
              <c16:uniqueId val="{00000000-8DCF-4235-908D-BFEDEC125265}"/>
            </c:ext>
          </c:extLst>
        </c:ser>
        <c:ser>
          <c:idx val="1"/>
          <c:order val="1"/>
          <c:tx>
            <c:strRef>
              <c:f>Sheet7!$A$25</c:f>
              <c:strCache>
                <c:ptCount val="1"/>
                <c:pt idx="0">
                  <c:v>Sadržaj PBDE u autobusima (kg)</c:v>
                </c:pt>
              </c:strCache>
            </c:strRef>
          </c:tx>
          <c:spPr>
            <a:solidFill>
              <a:schemeClr val="accent2"/>
            </a:solidFill>
            <a:ln>
              <a:noFill/>
            </a:ln>
            <a:effectLst/>
          </c:spPr>
          <c:invertIfNegative val="0"/>
          <c:cat>
            <c:strRef>
              <c:f>Sheet7!$B$23:$H$23</c:f>
              <c:strCache>
                <c:ptCount val="7"/>
                <c:pt idx="0">
                  <c:v>2017g</c:v>
                </c:pt>
                <c:pt idx="1">
                  <c:v>2018g</c:v>
                </c:pt>
                <c:pt idx="2">
                  <c:v>2019g</c:v>
                </c:pt>
                <c:pt idx="3">
                  <c:v>2020g</c:v>
                </c:pt>
                <c:pt idx="4">
                  <c:v>2021g</c:v>
                </c:pt>
                <c:pt idx="5">
                  <c:v>2022g</c:v>
                </c:pt>
                <c:pt idx="6">
                  <c:v>2023g</c:v>
                </c:pt>
              </c:strCache>
            </c:strRef>
          </c:cat>
          <c:val>
            <c:numRef>
              <c:f>Sheet7!$B$25:$H$25</c:f>
              <c:numCache>
                <c:formatCode>General</c:formatCode>
                <c:ptCount val="7"/>
                <c:pt idx="0">
                  <c:v>4.68</c:v>
                </c:pt>
                <c:pt idx="1">
                  <c:v>5.48</c:v>
                </c:pt>
                <c:pt idx="2">
                  <c:v>1.28</c:v>
                </c:pt>
                <c:pt idx="3">
                  <c:v>0.68</c:v>
                </c:pt>
                <c:pt idx="4">
                  <c:v>0.52</c:v>
                </c:pt>
                <c:pt idx="5">
                  <c:v>0.24</c:v>
                </c:pt>
                <c:pt idx="6">
                  <c:v>0.4</c:v>
                </c:pt>
              </c:numCache>
            </c:numRef>
          </c:val>
          <c:extLst>
            <c:ext xmlns:c16="http://schemas.microsoft.com/office/drawing/2014/chart" uri="{C3380CC4-5D6E-409C-BE32-E72D297353CC}">
              <c16:uniqueId val="{00000001-8DCF-4235-908D-BFEDEC125265}"/>
            </c:ext>
          </c:extLst>
        </c:ser>
        <c:ser>
          <c:idx val="2"/>
          <c:order val="2"/>
          <c:tx>
            <c:strRef>
              <c:f>Sheet7!$A$26</c:f>
              <c:strCache>
                <c:ptCount val="1"/>
                <c:pt idx="0">
                  <c:v>Sadržaj PBDE u kamionima (kg)</c:v>
                </c:pt>
              </c:strCache>
            </c:strRef>
          </c:tx>
          <c:spPr>
            <a:solidFill>
              <a:schemeClr val="accent3"/>
            </a:solidFill>
            <a:ln>
              <a:noFill/>
            </a:ln>
            <a:effectLst/>
          </c:spPr>
          <c:invertIfNegative val="0"/>
          <c:cat>
            <c:strRef>
              <c:f>Sheet7!$B$23:$H$23</c:f>
              <c:strCache>
                <c:ptCount val="7"/>
                <c:pt idx="0">
                  <c:v>2017g</c:v>
                </c:pt>
                <c:pt idx="1">
                  <c:v>2018g</c:v>
                </c:pt>
                <c:pt idx="2">
                  <c:v>2019g</c:v>
                </c:pt>
                <c:pt idx="3">
                  <c:v>2020g</c:v>
                </c:pt>
                <c:pt idx="4">
                  <c:v>2021g</c:v>
                </c:pt>
                <c:pt idx="5">
                  <c:v>2022g</c:v>
                </c:pt>
                <c:pt idx="6">
                  <c:v>2023g</c:v>
                </c:pt>
              </c:strCache>
            </c:strRef>
          </c:cat>
          <c:val>
            <c:numRef>
              <c:f>Sheet7!$B$26:$H$26</c:f>
              <c:numCache>
                <c:formatCode>General</c:formatCode>
                <c:ptCount val="7"/>
                <c:pt idx="0">
                  <c:v>4.68</c:v>
                </c:pt>
                <c:pt idx="1">
                  <c:v>5.48</c:v>
                </c:pt>
                <c:pt idx="2">
                  <c:v>1.28</c:v>
                </c:pt>
                <c:pt idx="3">
                  <c:v>0.68</c:v>
                </c:pt>
                <c:pt idx="4">
                  <c:v>0.52</c:v>
                </c:pt>
                <c:pt idx="5">
                  <c:v>0.24</c:v>
                </c:pt>
                <c:pt idx="6">
                  <c:v>0.4</c:v>
                </c:pt>
              </c:numCache>
            </c:numRef>
          </c:val>
          <c:extLst>
            <c:ext xmlns:c16="http://schemas.microsoft.com/office/drawing/2014/chart" uri="{C3380CC4-5D6E-409C-BE32-E72D297353CC}">
              <c16:uniqueId val="{00000002-8DCF-4235-908D-BFEDEC125265}"/>
            </c:ext>
          </c:extLst>
        </c:ser>
        <c:dLbls>
          <c:showLegendKey val="0"/>
          <c:showVal val="0"/>
          <c:showCatName val="0"/>
          <c:showSerName val="0"/>
          <c:showPercent val="0"/>
          <c:showBubbleSize val="0"/>
        </c:dLbls>
        <c:gapWidth val="219"/>
        <c:overlap val="-27"/>
        <c:axId val="309345663"/>
        <c:axId val="309346143"/>
      </c:barChart>
      <c:catAx>
        <c:axId val="30934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46143"/>
        <c:crosses val="autoZero"/>
        <c:auto val="1"/>
        <c:lblAlgn val="ctr"/>
        <c:lblOffset val="100"/>
        <c:noMultiLvlLbl val="0"/>
      </c:catAx>
      <c:valAx>
        <c:axId val="309346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4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a:solidFill>
                  <a:srgbClr val="595959"/>
                </a:solidFill>
                <a:latin typeface="Calibri"/>
              </a:rPr>
              <a:t>PBDE  </a:t>
            </a:r>
            <a:r>
              <a:rPr lang="sr-Latn-RS" sz="1400" b="0" i="0" u="none" strike="noStrike">
                <a:solidFill>
                  <a:srgbClr val="595959"/>
                </a:solidFill>
                <a:latin typeface="Calibri"/>
              </a:rPr>
              <a:t>sadržaj</a:t>
            </a:r>
            <a:r>
              <a:rPr lang="en-US" sz="1400" b="0" i="0" u="none" strike="noStrike">
                <a:solidFill>
                  <a:srgbClr val="595959"/>
                </a:solidFill>
                <a:latin typeface="Calibri"/>
              </a:rPr>
              <a:t> (g) </a:t>
            </a:r>
            <a:r>
              <a:rPr lang="sr-Latn-RS" sz="1400" b="0" i="0" u="none" strike="noStrike">
                <a:solidFill>
                  <a:srgbClr val="595959"/>
                </a:solidFill>
                <a:latin typeface="Calibri"/>
              </a:rPr>
              <a:t>u uvezenim vozilima u </a:t>
            </a:r>
            <a:r>
              <a:rPr lang="en-US" sz="1400" b="0" i="0" u="none" strike="noStrike">
                <a:solidFill>
                  <a:srgbClr val="595959"/>
                </a:solidFill>
                <a:latin typeface="Calibri"/>
              </a:rPr>
              <a:t>period</a:t>
            </a:r>
            <a:r>
              <a:rPr lang="sr-Latn-RS" sz="1400" b="0" i="0" u="none" strike="noStrike">
                <a:solidFill>
                  <a:srgbClr val="595959"/>
                </a:solidFill>
                <a:latin typeface="Calibri"/>
              </a:rPr>
              <a:t>u</a:t>
            </a:r>
            <a:r>
              <a:rPr lang="en-US" sz="1400" b="0" i="0" u="none" strike="noStrike">
                <a:solidFill>
                  <a:srgbClr val="595959"/>
                </a:solidFill>
                <a:latin typeface="Calibri"/>
              </a:rPr>
              <a:t> 2008-2023</a:t>
            </a:r>
          </a:p>
        </c:rich>
      </c:tx>
      <c:layout>
        <c:manualLayout>
          <c:xMode val="edge"/>
          <c:yMode val="edge"/>
          <c:x val="0.127549"/>
          <c:y val="0"/>
          <c:w val="0.74490299999999998"/>
          <c:h val="0.22232299999999999"/>
        </c:manualLayout>
      </c:layout>
      <c:overlay val="1"/>
      <c:spPr>
        <a:noFill/>
        <a:effectLst/>
      </c:spPr>
    </c:title>
    <c:autoTitleDeleted val="0"/>
    <c:plotArea>
      <c:layout>
        <c:manualLayout>
          <c:layoutTarget val="inner"/>
          <c:xMode val="edge"/>
          <c:yMode val="edge"/>
          <c:x val="5.5814900000000001E-2"/>
          <c:y val="0.22232299999999999"/>
          <c:w val="0.93918500000000005"/>
          <c:h val="0.64612999999999998"/>
        </c:manualLayout>
      </c:layout>
      <c:barChart>
        <c:barDir val="col"/>
        <c:grouping val="clustered"/>
        <c:varyColors val="0"/>
        <c:ser>
          <c:idx val="0"/>
          <c:order val="0"/>
          <c:tx>
            <c:strRef>
              <c:f>Sheet1!$A$2</c:f>
              <c:strCache>
                <c:ptCount val="1"/>
                <c:pt idx="0">
                  <c:v>Sadrzaj PBDE (g) u uvezenim vozilima u periodu 2008-2023</c:v>
                </c:pt>
              </c:strCache>
            </c:strRef>
          </c:tx>
          <c:spPr>
            <a:solidFill>
              <a:schemeClr val="accent1"/>
            </a:solidFill>
            <a:ln w="12700" cap="flat">
              <a:noFill/>
              <a:miter lim="400000"/>
            </a:ln>
            <a:effectLst/>
          </c:spPr>
          <c:invertIfNegative val="0"/>
          <c:trendline>
            <c:spPr>
              <a:ln w="19050" cap="rnd">
                <a:solidFill>
                  <a:schemeClr val="accent1"/>
                </a:solidFill>
                <a:prstDash val="sysDot"/>
                <a:miter lim="800000"/>
              </a:ln>
              <a:effectLst>
                <a:outerShdw blurRad="12700" dist="25400" dir="7320000" algn="tl">
                  <a:srgbClr val="000000">
                    <a:alpha val="25000"/>
                  </a:srgbClr>
                </a:outerShdw>
              </a:effectLst>
            </c:spPr>
            <c:trendlineType val="linear"/>
            <c:dispRSqr val="0"/>
            <c:dispEq val="0"/>
          </c:trendline>
          <c:cat>
            <c:strRef>
              <c:f>Sheet1!$B$1:$Q$1</c:f>
              <c:strCache>
                <c:ptCount val="16"/>
                <c:pt idx="0">
                  <c:v>2008g</c:v>
                </c:pt>
                <c:pt idx="1">
                  <c:v>2009g</c:v>
                </c:pt>
                <c:pt idx="2">
                  <c:v>2010g</c:v>
                </c:pt>
                <c:pt idx="3">
                  <c:v>2011g</c:v>
                </c:pt>
                <c:pt idx="4">
                  <c:v>2012g</c:v>
                </c:pt>
                <c:pt idx="5">
                  <c:v>2013g</c:v>
                </c:pt>
                <c:pt idx="6">
                  <c:v>2014g</c:v>
                </c:pt>
                <c:pt idx="7">
                  <c:v>2015g</c:v>
                </c:pt>
                <c:pt idx="8">
                  <c:v>2016g</c:v>
                </c:pt>
                <c:pt idx="9">
                  <c:v>2017g</c:v>
                </c:pt>
                <c:pt idx="10">
                  <c:v>2018g</c:v>
                </c:pt>
                <c:pt idx="11">
                  <c:v>2019g</c:v>
                </c:pt>
                <c:pt idx="12">
                  <c:v>2020g</c:v>
                </c:pt>
                <c:pt idx="13">
                  <c:v>2021g</c:v>
                </c:pt>
                <c:pt idx="14">
                  <c:v>2022g</c:v>
                </c:pt>
                <c:pt idx="15">
                  <c:v>2023g</c:v>
                </c:pt>
              </c:strCache>
            </c:strRef>
          </c:cat>
          <c:val>
            <c:numRef>
              <c:f>Sheet1!$B$2:$Q$2</c:f>
              <c:numCache>
                <c:formatCode>General</c:formatCode>
                <c:ptCount val="16"/>
                <c:pt idx="0">
                  <c:v>657.2</c:v>
                </c:pt>
                <c:pt idx="1">
                  <c:v>365.52</c:v>
                </c:pt>
                <c:pt idx="2">
                  <c:v>442.48</c:v>
                </c:pt>
                <c:pt idx="3">
                  <c:v>510.8</c:v>
                </c:pt>
                <c:pt idx="4">
                  <c:v>560.96</c:v>
                </c:pt>
                <c:pt idx="5">
                  <c:v>614.32000000000005</c:v>
                </c:pt>
                <c:pt idx="6">
                  <c:v>634.64</c:v>
                </c:pt>
                <c:pt idx="7">
                  <c:v>626.79999999999995</c:v>
                </c:pt>
                <c:pt idx="8">
                  <c:v>721.92</c:v>
                </c:pt>
                <c:pt idx="9">
                  <c:v>757.66</c:v>
                </c:pt>
                <c:pt idx="10">
                  <c:v>735.52</c:v>
                </c:pt>
                <c:pt idx="11">
                  <c:v>365.52</c:v>
                </c:pt>
                <c:pt idx="12">
                  <c:v>249.14</c:v>
                </c:pt>
                <c:pt idx="13">
                  <c:v>265.76</c:v>
                </c:pt>
                <c:pt idx="14">
                  <c:v>317.92</c:v>
                </c:pt>
                <c:pt idx="15">
                  <c:v>401.3</c:v>
                </c:pt>
              </c:numCache>
            </c:numRef>
          </c:val>
          <c:extLst>
            <c:ext xmlns:c16="http://schemas.microsoft.com/office/drawing/2014/chart" uri="{C3380CC4-5D6E-409C-BE32-E72D297353CC}">
              <c16:uniqueId val="{00000001-5EA6-4906-9892-215049A87657}"/>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200"/>
        <c:minorUnit val="100"/>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Sheet2!$F$32</c:f>
              <c:strCache>
                <c:ptCount val="1"/>
                <c:pt idx="0">
                  <c:v>Vazduh</c:v>
                </c:pt>
              </c:strCache>
            </c:strRef>
          </c:tx>
          <c:spPr>
            <a:ln w="28575" cap="rnd">
              <a:solidFill>
                <a:srgbClr val="FF0000"/>
              </a:solidFill>
              <a:round/>
            </a:ln>
            <a:effectLst/>
          </c:spPr>
          <c:marker>
            <c:symbol val="none"/>
          </c:marker>
          <c:cat>
            <c:numRef>
              <c:f>Sheet2!$G$31:$W$31</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Sheet2!$G$32:$W$32</c:f>
              <c:numCache>
                <c:formatCode>#,#00</c:formatCode>
                <c:ptCount val="17"/>
                <c:pt idx="0">
                  <c:v>36.208895838890001</c:v>
                </c:pt>
                <c:pt idx="1">
                  <c:v>36.117443203329998</c:v>
                </c:pt>
                <c:pt idx="2">
                  <c:v>28.009740385850002</c:v>
                </c:pt>
                <c:pt idx="3">
                  <c:v>28.817400224630003</c:v>
                </c:pt>
                <c:pt idx="4">
                  <c:v>27.577498974689998</c:v>
                </c:pt>
                <c:pt idx="5">
                  <c:v>26.912207333111198</c:v>
                </c:pt>
                <c:pt idx="6">
                  <c:v>16.014923972400002</c:v>
                </c:pt>
                <c:pt idx="7">
                  <c:v>9.6887443690000001</c:v>
                </c:pt>
                <c:pt idx="8">
                  <c:v>12.644407567000002</c:v>
                </c:pt>
                <c:pt idx="9">
                  <c:v>13.734809070999999</c:v>
                </c:pt>
                <c:pt idx="10">
                  <c:v>13.154837742000002</c:v>
                </c:pt>
                <c:pt idx="11">
                  <c:v>13.171655453</c:v>
                </c:pt>
                <c:pt idx="12">
                  <c:v>13.044507043000001</c:v>
                </c:pt>
                <c:pt idx="13">
                  <c:v>13.002287455999998</c:v>
                </c:pt>
                <c:pt idx="14">
                  <c:v>12.980710004000001</c:v>
                </c:pt>
                <c:pt idx="15">
                  <c:v>12.977374182000002</c:v>
                </c:pt>
                <c:pt idx="16">
                  <c:v>12.907115307999998</c:v>
                </c:pt>
              </c:numCache>
            </c:numRef>
          </c:val>
          <c:smooth val="0"/>
          <c:extLst>
            <c:ext xmlns:c16="http://schemas.microsoft.com/office/drawing/2014/chart" uri="{C3380CC4-5D6E-409C-BE32-E72D297353CC}">
              <c16:uniqueId val="{00000000-61BF-4646-A6C6-A07858FC30C4}"/>
            </c:ext>
          </c:extLst>
        </c:ser>
        <c:ser>
          <c:idx val="1"/>
          <c:order val="1"/>
          <c:tx>
            <c:strRef>
              <c:f>Sheet2!$F$33</c:f>
              <c:strCache>
                <c:ptCount val="1"/>
                <c:pt idx="0">
                  <c:v>Voda</c:v>
                </c:pt>
              </c:strCache>
            </c:strRef>
          </c:tx>
          <c:spPr>
            <a:ln w="28575" cap="rnd">
              <a:solidFill>
                <a:schemeClr val="accent2"/>
              </a:solidFill>
              <a:round/>
            </a:ln>
            <a:effectLst/>
          </c:spPr>
          <c:marker>
            <c:symbol val="none"/>
          </c:marker>
          <c:cat>
            <c:numRef>
              <c:f>Sheet2!$G$31:$W$31</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Sheet2!$G$33:$W$33</c:f>
              <c:numCache>
                <c:formatCode>#,#00</c:formatCode>
                <c:ptCount val="17"/>
                <c:pt idx="0">
                  <c:v>0.13773006599999998</c:v>
                </c:pt>
                <c:pt idx="1">
                  <c:v>0.15193629479999998</c:v>
                </c:pt>
                <c:pt idx="2">
                  <c:v>0.14186388239999997</c:v>
                </c:pt>
                <c:pt idx="3">
                  <c:v>0.14524423879999998</c:v>
                </c:pt>
                <c:pt idx="4">
                  <c:v>0.13643297837343998</c:v>
                </c:pt>
                <c:pt idx="5">
                  <c:v>0.13016985157344002</c:v>
                </c:pt>
                <c:pt idx="6">
                  <c:v>0.12814047837344</c:v>
                </c:pt>
                <c:pt idx="7">
                  <c:v>0.12775747837344001</c:v>
                </c:pt>
                <c:pt idx="8">
                  <c:v>0.14230079999999998</c:v>
                </c:pt>
                <c:pt idx="9">
                  <c:v>0.14780996256159998</c:v>
                </c:pt>
                <c:pt idx="10">
                  <c:v>0.1425255</c:v>
                </c:pt>
                <c:pt idx="11">
                  <c:v>0.13810540000000002</c:v>
                </c:pt>
                <c:pt idx="12">
                  <c:v>0.13515579999999999</c:v>
                </c:pt>
                <c:pt idx="13">
                  <c:v>0.14605140000000003</c:v>
                </c:pt>
                <c:pt idx="14">
                  <c:v>0.14643920000000002</c:v>
                </c:pt>
                <c:pt idx="15">
                  <c:v>0.145232</c:v>
                </c:pt>
                <c:pt idx="16">
                  <c:v>0.15475749999999999</c:v>
                </c:pt>
              </c:numCache>
            </c:numRef>
          </c:val>
          <c:smooth val="0"/>
          <c:extLst>
            <c:ext xmlns:c16="http://schemas.microsoft.com/office/drawing/2014/chart" uri="{C3380CC4-5D6E-409C-BE32-E72D297353CC}">
              <c16:uniqueId val="{00000001-61BF-4646-A6C6-A07858FC30C4}"/>
            </c:ext>
          </c:extLst>
        </c:ser>
        <c:ser>
          <c:idx val="2"/>
          <c:order val="2"/>
          <c:tx>
            <c:strRef>
              <c:f>Sheet2!$F$34</c:f>
              <c:strCache>
                <c:ptCount val="1"/>
                <c:pt idx="0">
                  <c:v>Zemljište</c:v>
                </c:pt>
              </c:strCache>
            </c:strRef>
          </c:tx>
          <c:spPr>
            <a:ln w="28575" cap="rnd">
              <a:solidFill>
                <a:schemeClr val="accent3"/>
              </a:solidFill>
              <a:round/>
            </a:ln>
            <a:effectLst/>
          </c:spPr>
          <c:marker>
            <c:symbol val="none"/>
          </c:marker>
          <c:cat>
            <c:numRef>
              <c:f>Sheet2!$G$31:$W$31</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Sheet2!$G$34:$W$34</c:f>
              <c:numCache>
                <c:formatCode>#,#00</c:formatCode>
                <c:ptCount val="17"/>
                <c:pt idx="0">
                  <c:v>1.2299429500000001</c:v>
                </c:pt>
                <c:pt idx="1">
                  <c:v>1.2423805000000001</c:v>
                </c:pt>
                <c:pt idx="2">
                  <c:v>0.94030899999999995</c:v>
                </c:pt>
                <c:pt idx="3">
                  <c:v>1.0053540999999999</c:v>
                </c:pt>
                <c:pt idx="4">
                  <c:v>0.99538970000000004</c:v>
                </c:pt>
                <c:pt idx="5">
                  <c:v>0.95999524150000004</c:v>
                </c:pt>
                <c:pt idx="6">
                  <c:v>0.66606904999999994</c:v>
                </c:pt>
                <c:pt idx="7">
                  <c:v>0.39734750000000008</c:v>
                </c:pt>
                <c:pt idx="8">
                  <c:v>0.49360360000000003</c:v>
                </c:pt>
                <c:pt idx="9">
                  <c:v>0.55410229999999994</c:v>
                </c:pt>
                <c:pt idx="10">
                  <c:v>0.52871710000000005</c:v>
                </c:pt>
                <c:pt idx="11">
                  <c:v>0.51363639999999988</c:v>
                </c:pt>
                <c:pt idx="12">
                  <c:v>0.51536755000000001</c:v>
                </c:pt>
                <c:pt idx="13">
                  <c:v>0.53516550000000007</c:v>
                </c:pt>
                <c:pt idx="14">
                  <c:v>0.52058359999999992</c:v>
                </c:pt>
                <c:pt idx="15">
                  <c:v>0.51999729999999988</c:v>
                </c:pt>
                <c:pt idx="16">
                  <c:v>0.50335979999999991</c:v>
                </c:pt>
              </c:numCache>
            </c:numRef>
          </c:val>
          <c:smooth val="0"/>
          <c:extLst>
            <c:ext xmlns:c16="http://schemas.microsoft.com/office/drawing/2014/chart" uri="{C3380CC4-5D6E-409C-BE32-E72D297353CC}">
              <c16:uniqueId val="{00000002-61BF-4646-A6C6-A07858FC30C4}"/>
            </c:ext>
          </c:extLst>
        </c:ser>
        <c:ser>
          <c:idx val="3"/>
          <c:order val="3"/>
          <c:tx>
            <c:strRef>
              <c:f>Sheet2!$F$35</c:f>
              <c:strCache>
                <c:ptCount val="1"/>
                <c:pt idx="0">
                  <c:v>Proizvodi</c:v>
                </c:pt>
              </c:strCache>
            </c:strRef>
          </c:tx>
          <c:spPr>
            <a:ln w="28575" cap="rnd">
              <a:solidFill>
                <a:schemeClr val="accent4"/>
              </a:solidFill>
              <a:round/>
            </a:ln>
            <a:effectLst/>
          </c:spPr>
          <c:marker>
            <c:symbol val="none"/>
          </c:marker>
          <c:cat>
            <c:numRef>
              <c:f>Sheet2!$G$31:$W$31</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Sheet2!$G$35:$W$35</c:f>
              <c:numCache>
                <c:formatCode>#,#00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3-61BF-4646-A6C6-A07858FC30C4}"/>
            </c:ext>
          </c:extLst>
        </c:ser>
        <c:ser>
          <c:idx val="4"/>
          <c:order val="4"/>
          <c:tx>
            <c:strRef>
              <c:f>Sheet2!$F$36</c:f>
              <c:strCache>
                <c:ptCount val="1"/>
                <c:pt idx="0">
                  <c:v>Ostaci iz procesa </c:v>
                </c:pt>
              </c:strCache>
            </c:strRef>
          </c:tx>
          <c:spPr>
            <a:ln w="28575" cap="rnd">
              <a:solidFill>
                <a:schemeClr val="tx1">
                  <a:lumMod val="85000"/>
                  <a:lumOff val="15000"/>
                </a:schemeClr>
              </a:solidFill>
              <a:round/>
            </a:ln>
            <a:effectLst/>
          </c:spPr>
          <c:marker>
            <c:symbol val="none"/>
          </c:marker>
          <c:cat>
            <c:numRef>
              <c:f>Sheet2!$G$31:$W$31</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Sheet2!$G$36:$W$36</c:f>
              <c:numCache>
                <c:formatCode>#,#00</c:formatCode>
                <c:ptCount val="17"/>
                <c:pt idx="0">
                  <c:v>16.445109287323998</c:v>
                </c:pt>
                <c:pt idx="1">
                  <c:v>18.200742404</c:v>
                </c:pt>
                <c:pt idx="2">
                  <c:v>17.564971257539998</c:v>
                </c:pt>
                <c:pt idx="3">
                  <c:v>16.200516074799999</c:v>
                </c:pt>
                <c:pt idx="4">
                  <c:v>14.599202689895998</c:v>
                </c:pt>
                <c:pt idx="5">
                  <c:v>14.22250632598</c:v>
                </c:pt>
                <c:pt idx="6">
                  <c:v>13.425268932932001</c:v>
                </c:pt>
                <c:pt idx="7">
                  <c:v>13.099847895000002</c:v>
                </c:pt>
                <c:pt idx="8">
                  <c:v>14.657882360000002</c:v>
                </c:pt>
                <c:pt idx="9">
                  <c:v>15.460373190666667</c:v>
                </c:pt>
                <c:pt idx="10">
                  <c:v>14.707038859999999</c:v>
                </c:pt>
                <c:pt idx="11">
                  <c:v>14.47786974195</c:v>
                </c:pt>
                <c:pt idx="12">
                  <c:v>13.94650794</c:v>
                </c:pt>
                <c:pt idx="13">
                  <c:v>14.928902238500003</c:v>
                </c:pt>
                <c:pt idx="14">
                  <c:v>14.852684200000002</c:v>
                </c:pt>
                <c:pt idx="15">
                  <c:v>14.50536052</c:v>
                </c:pt>
                <c:pt idx="16">
                  <c:v>15.444357160000001</c:v>
                </c:pt>
              </c:numCache>
            </c:numRef>
          </c:val>
          <c:smooth val="0"/>
          <c:extLst>
            <c:ext xmlns:c16="http://schemas.microsoft.com/office/drawing/2014/chart" uri="{C3380CC4-5D6E-409C-BE32-E72D297353CC}">
              <c16:uniqueId val="{00000004-61BF-4646-A6C6-A07858FC30C4}"/>
            </c:ext>
          </c:extLst>
        </c:ser>
        <c:dLbls>
          <c:showLegendKey val="0"/>
          <c:showVal val="0"/>
          <c:showCatName val="0"/>
          <c:showSerName val="0"/>
          <c:showPercent val="0"/>
          <c:showBubbleSize val="0"/>
        </c:dLbls>
        <c:smooth val="0"/>
        <c:axId val="1028927871"/>
        <c:axId val="1028929311"/>
      </c:lineChart>
      <c:catAx>
        <c:axId val="102892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929311"/>
        <c:crosses val="autoZero"/>
        <c:auto val="1"/>
        <c:lblAlgn val="ctr"/>
        <c:lblOffset val="100"/>
        <c:noMultiLvlLbl val="0"/>
      </c:catAx>
      <c:valAx>
        <c:axId val="1028929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sr-Latn-RS"/>
                  <a:t>gTEQ/god</a:t>
                </a:r>
                <a:endParaRPr lang="en-US"/>
              </a:p>
            </c:rich>
          </c:tx>
          <c:layout>
            <c:manualLayout>
              <c:xMode val="edge"/>
              <c:yMode val="edge"/>
              <c:x val="3.0555555555555555E-2"/>
              <c:y val="6.2875473899095778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92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sr-Latn-RS" sz="1400" b="0" i="0" u="none" strike="noStrike">
                <a:solidFill>
                  <a:srgbClr val="595959"/>
                </a:solidFill>
                <a:latin typeface="Calibri"/>
              </a:rPr>
              <a:t>Procijenjena količina </a:t>
            </a:r>
            <a:r>
              <a:rPr lang="en-US" sz="1400" b="0" i="0" u="none" strike="noStrike">
                <a:solidFill>
                  <a:srgbClr val="595959"/>
                </a:solidFill>
                <a:latin typeface="Calibri"/>
              </a:rPr>
              <a:t>decaBDE </a:t>
            </a:r>
            <a:r>
              <a:rPr lang="sr-Latn-RS" sz="1400" b="0" i="0" u="none" strike="noStrike">
                <a:solidFill>
                  <a:srgbClr val="595959"/>
                </a:solidFill>
                <a:latin typeface="Calibri"/>
              </a:rPr>
              <a:t>u otpadu od automobila u</a:t>
            </a:r>
            <a:r>
              <a:rPr lang="sr-Latn-RS" sz="1400" b="0" i="0" u="none" strike="noStrike" baseline="0">
                <a:solidFill>
                  <a:srgbClr val="595959"/>
                </a:solidFill>
                <a:latin typeface="Calibri"/>
              </a:rPr>
              <a:t> </a:t>
            </a:r>
            <a:r>
              <a:rPr lang="en-US" sz="1400" b="0" i="0" u="none" strike="noStrike">
                <a:solidFill>
                  <a:srgbClr val="595959"/>
                </a:solidFill>
                <a:latin typeface="Calibri"/>
              </a:rPr>
              <a:t>period</a:t>
            </a:r>
            <a:r>
              <a:rPr lang="sr-Latn-RS" sz="1400" b="0" i="0" u="none" strike="noStrike">
                <a:solidFill>
                  <a:srgbClr val="595959"/>
                </a:solidFill>
                <a:latin typeface="Calibri"/>
              </a:rPr>
              <a:t>u</a:t>
            </a:r>
            <a:r>
              <a:rPr lang="sr-Latn-RS" sz="1400" b="0" i="0" u="none" strike="noStrike" baseline="0">
                <a:solidFill>
                  <a:srgbClr val="595959"/>
                </a:solidFill>
                <a:latin typeface="Calibri"/>
              </a:rPr>
              <a:t> </a:t>
            </a:r>
            <a:r>
              <a:rPr lang="en-US" sz="1400" b="0" i="0" u="none" strike="noStrike">
                <a:solidFill>
                  <a:srgbClr val="595959"/>
                </a:solidFill>
                <a:latin typeface="Calibri"/>
              </a:rPr>
              <a:t>2017-2023</a:t>
            </a:r>
          </a:p>
        </c:rich>
      </c:tx>
      <c:layout>
        <c:manualLayout>
          <c:xMode val="edge"/>
          <c:yMode val="edge"/>
          <c:x val="0"/>
          <c:y val="0"/>
          <c:w val="1"/>
          <c:h val="0.226771"/>
        </c:manualLayout>
      </c:layout>
      <c:overlay val="1"/>
      <c:spPr>
        <a:noFill/>
        <a:effectLst/>
      </c:spPr>
    </c:title>
    <c:autoTitleDeleted val="0"/>
    <c:plotArea>
      <c:layout>
        <c:manualLayout>
          <c:layoutTarget val="inner"/>
          <c:xMode val="edge"/>
          <c:yMode val="edge"/>
          <c:x val="7.8626199999999993E-2"/>
          <c:y val="0.226771"/>
          <c:w val="0.91637400000000002"/>
          <c:h val="0.54101299999999997"/>
        </c:manualLayout>
      </c:layout>
      <c:barChart>
        <c:barDir val="col"/>
        <c:grouping val="stacked"/>
        <c:varyColors val="0"/>
        <c:ser>
          <c:idx val="0"/>
          <c:order val="0"/>
          <c:tx>
            <c:strRef>
              <c:f>Sheet1!$A$2</c:f>
              <c:strCache>
                <c:ptCount val="1"/>
                <c:pt idx="0">
                  <c:v>Sadržaj decaBDE (bolji scenario) (g)</c:v>
                </c:pt>
              </c:strCache>
            </c:strRef>
          </c:tx>
          <c:spPr>
            <a:solidFill>
              <a:schemeClr val="accent1"/>
            </a:solidFill>
            <a:ln w="12700" cap="flat">
              <a:noFill/>
              <a:miter lim="400000"/>
            </a:ln>
            <a:effectLst/>
          </c:spPr>
          <c:invertIfNegative val="0"/>
          <c:cat>
            <c:strRef>
              <c:f>Sheet1!$B$1:$H$1</c:f>
              <c:strCache>
                <c:ptCount val="7"/>
                <c:pt idx="0">
                  <c:v>2017g</c:v>
                </c:pt>
                <c:pt idx="1">
                  <c:v>2018g</c:v>
                </c:pt>
                <c:pt idx="2">
                  <c:v>2019g</c:v>
                </c:pt>
                <c:pt idx="3">
                  <c:v>2020g</c:v>
                </c:pt>
                <c:pt idx="4">
                  <c:v>2021g</c:v>
                </c:pt>
                <c:pt idx="5">
                  <c:v>2022g</c:v>
                </c:pt>
                <c:pt idx="6">
                  <c:v>2023g</c:v>
                </c:pt>
              </c:strCache>
            </c:strRef>
          </c:cat>
          <c:val>
            <c:numRef>
              <c:f>Sheet1!$B$2:$H$2</c:f>
              <c:numCache>
                <c:formatCode>General</c:formatCode>
                <c:ptCount val="7"/>
                <c:pt idx="0">
                  <c:v>507.47618</c:v>
                </c:pt>
                <c:pt idx="1">
                  <c:v>532.85699999999997</c:v>
                </c:pt>
                <c:pt idx="2">
                  <c:v>565.94766000000004</c:v>
                </c:pt>
                <c:pt idx="3">
                  <c:v>525.73098000000005</c:v>
                </c:pt>
                <c:pt idx="4">
                  <c:v>562.83864000000005</c:v>
                </c:pt>
                <c:pt idx="5">
                  <c:v>579.35028</c:v>
                </c:pt>
                <c:pt idx="6">
                  <c:v>618.70008000000007</c:v>
                </c:pt>
              </c:numCache>
            </c:numRef>
          </c:val>
          <c:extLst>
            <c:ext xmlns:c16="http://schemas.microsoft.com/office/drawing/2014/chart" uri="{C3380CC4-5D6E-409C-BE32-E72D297353CC}">
              <c16:uniqueId val="{00000000-F9CF-474F-9596-80654977511C}"/>
            </c:ext>
          </c:extLst>
        </c:ser>
        <c:ser>
          <c:idx val="1"/>
          <c:order val="1"/>
          <c:tx>
            <c:strRef>
              <c:f>Sheet1!$A$3</c:f>
              <c:strCache>
                <c:ptCount val="1"/>
                <c:pt idx="0">
                  <c:v>Sadržaj decaBDE (gori scenario) (g)</c:v>
                </c:pt>
              </c:strCache>
            </c:strRef>
          </c:tx>
          <c:spPr>
            <a:solidFill>
              <a:schemeClr val="accent2"/>
            </a:solidFill>
            <a:ln w="12700" cap="flat">
              <a:noFill/>
              <a:miter lim="400000"/>
            </a:ln>
            <a:effectLst/>
          </c:spPr>
          <c:invertIfNegative val="0"/>
          <c:cat>
            <c:strRef>
              <c:f>Sheet1!$B$1:$H$1</c:f>
              <c:strCache>
                <c:ptCount val="7"/>
                <c:pt idx="0">
                  <c:v>2017g</c:v>
                </c:pt>
                <c:pt idx="1">
                  <c:v>2018g</c:v>
                </c:pt>
                <c:pt idx="2">
                  <c:v>2019g</c:v>
                </c:pt>
                <c:pt idx="3">
                  <c:v>2020g</c:v>
                </c:pt>
                <c:pt idx="4">
                  <c:v>2021g</c:v>
                </c:pt>
                <c:pt idx="5">
                  <c:v>2022g</c:v>
                </c:pt>
                <c:pt idx="6">
                  <c:v>2023g</c:v>
                </c:pt>
              </c:strCache>
            </c:strRef>
          </c:cat>
          <c:val>
            <c:numRef>
              <c:f>Sheet1!$B$3:$H$3</c:f>
              <c:numCache>
                <c:formatCode>General</c:formatCode>
                <c:ptCount val="7"/>
                <c:pt idx="0">
                  <c:v>2733.1418484000001</c:v>
                </c:pt>
                <c:pt idx="1">
                  <c:v>2866.7706600000001</c:v>
                </c:pt>
                <c:pt idx="2">
                  <c:v>3044.7984108000001</c:v>
                </c:pt>
                <c:pt idx="3">
                  <c:v>2828.4326723999998</c:v>
                </c:pt>
                <c:pt idx="4">
                  <c:v>3028.0718831999998</c:v>
                </c:pt>
                <c:pt idx="5">
                  <c:v>3116.9045064000002</c:v>
                </c:pt>
                <c:pt idx="6">
                  <c:v>3328.6064304000001</c:v>
                </c:pt>
              </c:numCache>
            </c:numRef>
          </c:val>
          <c:extLst>
            <c:ext xmlns:c16="http://schemas.microsoft.com/office/drawing/2014/chart" uri="{C3380CC4-5D6E-409C-BE32-E72D297353CC}">
              <c16:uniqueId val="{00000001-F9CF-474F-9596-80654977511C}"/>
            </c:ext>
          </c:extLst>
        </c:ser>
        <c:dLbls>
          <c:showLegendKey val="0"/>
          <c:showVal val="0"/>
          <c:showCatName val="0"/>
          <c:showSerName val="0"/>
          <c:showPercent val="0"/>
          <c:showBubbleSize val="0"/>
        </c:dLbls>
        <c:gapWidth val="150"/>
        <c:overlap val="10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1000"/>
        <c:minorUnit val="500"/>
      </c:valAx>
      <c:spPr>
        <a:noFill/>
        <a:ln w="12700" cap="flat">
          <a:noFill/>
          <a:miter lim="400000"/>
        </a:ln>
        <a:effectLst/>
      </c:spPr>
    </c:plotArea>
    <c:legend>
      <c:legendPos val="b"/>
      <c:layout>
        <c:manualLayout>
          <c:xMode val="edge"/>
          <c:yMode val="edge"/>
          <c:x val="0.27616600000000002"/>
          <c:y val="0.87663400000000002"/>
          <c:w val="0.48911300000000002"/>
          <c:h val="0.123366"/>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1C6-4270-ADAC-11506231D12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1C6-4270-ADAC-11506231D12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1C6-4270-ADAC-11506231D12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1C6-4270-ADAC-11506231D12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1C6-4270-ADAC-11506231D120}"/>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21C6-4270-ADAC-11506231D120}"/>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21C6-4270-ADAC-11506231D12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21C6-4270-ADAC-11506231D1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Sheet3!$A$1:$A$7</c:f>
              <c:numCache>
                <c:formatCode>General</c:formatCode>
                <c:ptCount val="7"/>
                <c:pt idx="0">
                  <c:v>2017</c:v>
                </c:pt>
                <c:pt idx="1">
                  <c:v>2018</c:v>
                </c:pt>
                <c:pt idx="2">
                  <c:v>2019</c:v>
                </c:pt>
                <c:pt idx="3">
                  <c:v>2020</c:v>
                </c:pt>
                <c:pt idx="4">
                  <c:v>2021</c:v>
                </c:pt>
                <c:pt idx="5">
                  <c:v>2022</c:v>
                </c:pt>
                <c:pt idx="6">
                  <c:v>2023</c:v>
                </c:pt>
              </c:numCache>
            </c:numRef>
          </c:cat>
          <c:val>
            <c:numRef>
              <c:f>Sheet3!$B$1:$B$7</c:f>
              <c:numCache>
                <c:formatCode>0.0</c:formatCode>
                <c:ptCount val="7"/>
                <c:pt idx="0">
                  <c:v>6.4</c:v>
                </c:pt>
                <c:pt idx="1">
                  <c:v>23.8</c:v>
                </c:pt>
                <c:pt idx="2">
                  <c:v>24.6</c:v>
                </c:pt>
                <c:pt idx="3">
                  <c:v>76</c:v>
                </c:pt>
                <c:pt idx="4">
                  <c:v>186.8</c:v>
                </c:pt>
                <c:pt idx="5">
                  <c:v>54.3</c:v>
                </c:pt>
                <c:pt idx="6">
                  <c:v>35.700000000000003</c:v>
                </c:pt>
              </c:numCache>
            </c:numRef>
          </c:val>
          <c:extLst>
            <c:ext xmlns:c16="http://schemas.microsoft.com/office/drawing/2014/chart" uri="{C3380CC4-5D6E-409C-BE32-E72D297353CC}">
              <c16:uniqueId val="{0000000E-21C6-4270-ADAC-11506231D1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B26-44BF-A7EB-62AEEBA745D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B26-44BF-A7EB-62AEEBA745D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B26-44BF-A7EB-62AEEBA745D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B26-44BF-A7EB-62AEEBA745D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B26-44BF-A7EB-62AEEBA745D0}"/>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B26-44BF-A7EB-62AEEBA745D0}"/>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DB26-44BF-A7EB-62AEEBA745D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Sheet1!$J$2:$J$8</c:f>
              <c:numCache>
                <c:formatCode>General</c:formatCode>
                <c:ptCount val="7"/>
                <c:pt idx="0">
                  <c:v>2017</c:v>
                </c:pt>
                <c:pt idx="1">
                  <c:v>2018</c:v>
                </c:pt>
                <c:pt idx="2">
                  <c:v>2019</c:v>
                </c:pt>
                <c:pt idx="3">
                  <c:v>2020</c:v>
                </c:pt>
                <c:pt idx="4">
                  <c:v>2021</c:v>
                </c:pt>
                <c:pt idx="5">
                  <c:v>2022</c:v>
                </c:pt>
                <c:pt idx="6">
                  <c:v>2023</c:v>
                </c:pt>
              </c:numCache>
            </c:numRef>
          </c:cat>
          <c:val>
            <c:numRef>
              <c:f>Sheet1!$K$2:$K$8</c:f>
              <c:numCache>
                <c:formatCode>0.000</c:formatCode>
                <c:ptCount val="7"/>
                <c:pt idx="0">
                  <c:v>3.581</c:v>
                </c:pt>
                <c:pt idx="1">
                  <c:v>3.85</c:v>
                </c:pt>
                <c:pt idx="2">
                  <c:v>3.665</c:v>
                </c:pt>
                <c:pt idx="3">
                  <c:v>3.403</c:v>
                </c:pt>
                <c:pt idx="4">
                  <c:v>3.0249999999999999</c:v>
                </c:pt>
                <c:pt idx="5">
                  <c:v>3.1230000000000002</c:v>
                </c:pt>
                <c:pt idx="6">
                  <c:v>3.5339999999999998</c:v>
                </c:pt>
              </c:numCache>
            </c:numRef>
          </c:val>
          <c:extLst>
            <c:ext xmlns:c16="http://schemas.microsoft.com/office/drawing/2014/chart" uri="{C3380CC4-5D6E-409C-BE32-E72D297353CC}">
              <c16:uniqueId val="{0000000E-DB26-44BF-A7EB-62AEEBA745D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8739506490663"/>
          <c:y val="0.11524595240201717"/>
          <c:w val="0.84792674590986161"/>
          <c:h val="0.76458683535344596"/>
        </c:manualLayout>
      </c:layout>
      <c:barChart>
        <c:barDir val="col"/>
        <c:grouping val="clustered"/>
        <c:varyColors val="0"/>
        <c:ser>
          <c:idx val="0"/>
          <c:order val="0"/>
          <c:tx>
            <c:v>Proizvodnja/Production</c:v>
          </c:tx>
          <c:spPr>
            <a:solidFill>
              <a:schemeClr val="accent1"/>
            </a:solidFill>
            <a:ln>
              <a:noFill/>
            </a:ln>
            <a:effectLst/>
          </c:spPr>
          <c:invertIfNegative val="0"/>
          <c:cat>
            <c:numRef>
              <c:f>Sheet1!$B$92:$B$108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Sheet1!$C$92:$C$108</c:f>
              <c:numCache>
                <c:formatCode>General</c:formatCode>
                <c:ptCount val="17"/>
                <c:pt idx="0">
                  <c:v>9.4</c:v>
                </c:pt>
                <c:pt idx="1">
                  <c:v>33.1</c:v>
                </c:pt>
                <c:pt idx="2">
                  <c:v>18.600000000000001</c:v>
                </c:pt>
                <c:pt idx="3">
                  <c:v>11.9</c:v>
                </c:pt>
                <c:pt idx="4">
                  <c:v>22</c:v>
                </c:pt>
                <c:pt idx="5">
                  <c:v>21.9</c:v>
                </c:pt>
                <c:pt idx="6">
                  <c:v>87</c:v>
                </c:pt>
                <c:pt idx="7">
                  <c:v>92.4</c:v>
                </c:pt>
                <c:pt idx="8">
                  <c:v>115.5</c:v>
                </c:pt>
                <c:pt idx="9">
                  <c:v>23.1</c:v>
                </c:pt>
                <c:pt idx="10">
                  <c:v>6.4</c:v>
                </c:pt>
                <c:pt idx="11">
                  <c:v>23.8</c:v>
                </c:pt>
                <c:pt idx="12">
                  <c:v>24.6</c:v>
                </c:pt>
                <c:pt idx="13">
                  <c:v>76</c:v>
                </c:pt>
                <c:pt idx="14">
                  <c:v>186.8</c:v>
                </c:pt>
                <c:pt idx="15">
                  <c:v>54.3</c:v>
                </c:pt>
                <c:pt idx="16">
                  <c:v>35.700000000000003</c:v>
                </c:pt>
              </c:numCache>
            </c:numRef>
          </c:val>
          <c:extLst>
            <c:ext xmlns:c16="http://schemas.microsoft.com/office/drawing/2014/chart" uri="{C3380CC4-5D6E-409C-BE32-E72D297353CC}">
              <c16:uniqueId val="{00000000-0531-44A8-8B6A-3A4EEED20B72}"/>
            </c:ext>
          </c:extLst>
        </c:ser>
        <c:ser>
          <c:idx val="1"/>
          <c:order val="1"/>
          <c:tx>
            <c:v>Uvoz/Import</c:v>
          </c:tx>
          <c:spPr>
            <a:solidFill>
              <a:schemeClr val="accent2"/>
            </a:solidFill>
            <a:ln>
              <a:noFill/>
            </a:ln>
            <a:effectLst/>
          </c:spPr>
          <c:invertIfNegative val="0"/>
          <c:cat>
            <c:numRef>
              <c:f>Sheet1!$B$92:$B$108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Sheet1!$D$92:$D$108</c:f>
              <c:numCache>
                <c:formatCode>General</c:formatCode>
                <c:ptCount val="17"/>
                <c:pt idx="0">
                  <c:v>1812</c:v>
                </c:pt>
                <c:pt idx="1">
                  <c:v>2816</c:v>
                </c:pt>
                <c:pt idx="2">
                  <c:v>2049</c:v>
                </c:pt>
                <c:pt idx="3">
                  <c:v>1531</c:v>
                </c:pt>
                <c:pt idx="4">
                  <c:v>1845</c:v>
                </c:pt>
                <c:pt idx="5">
                  <c:v>1710</c:v>
                </c:pt>
                <c:pt idx="6">
                  <c:v>2057</c:v>
                </c:pt>
                <c:pt idx="7">
                  <c:v>2054</c:v>
                </c:pt>
                <c:pt idx="8">
                  <c:v>1662</c:v>
                </c:pt>
                <c:pt idx="9">
                  <c:v>2230</c:v>
                </c:pt>
                <c:pt idx="10">
                  <c:v>3581</c:v>
                </c:pt>
                <c:pt idx="11">
                  <c:v>3850</c:v>
                </c:pt>
                <c:pt idx="12">
                  <c:v>3665</c:v>
                </c:pt>
                <c:pt idx="13">
                  <c:v>3403</c:v>
                </c:pt>
                <c:pt idx="14">
                  <c:v>3025</c:v>
                </c:pt>
                <c:pt idx="15">
                  <c:v>3123</c:v>
                </c:pt>
                <c:pt idx="16">
                  <c:v>3534</c:v>
                </c:pt>
              </c:numCache>
            </c:numRef>
          </c:val>
          <c:extLst>
            <c:ext xmlns:c16="http://schemas.microsoft.com/office/drawing/2014/chart" uri="{C3380CC4-5D6E-409C-BE32-E72D297353CC}">
              <c16:uniqueId val="{00000001-0531-44A8-8B6A-3A4EEED20B72}"/>
            </c:ext>
          </c:extLst>
        </c:ser>
        <c:dLbls>
          <c:showLegendKey val="0"/>
          <c:showVal val="0"/>
          <c:showCatName val="0"/>
          <c:showSerName val="0"/>
          <c:showPercent val="0"/>
          <c:showBubbleSize val="0"/>
        </c:dLbls>
        <c:gapWidth val="219"/>
        <c:overlap val="-27"/>
        <c:axId val="1832918288"/>
        <c:axId val="1574254224"/>
      </c:barChart>
      <c:catAx>
        <c:axId val="1832918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574254224"/>
        <c:crosses val="autoZero"/>
        <c:auto val="1"/>
        <c:lblAlgn val="ctr"/>
        <c:lblOffset val="100"/>
        <c:noMultiLvlLbl val="0"/>
      </c:catAx>
      <c:valAx>
        <c:axId val="157425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RS">
                    <a:latin typeface="Cambria" panose="02040503050406030204" pitchFamily="18" charset="0"/>
                    <a:ea typeface="Cambria" panose="02040503050406030204" pitchFamily="18" charset="0"/>
                  </a:rPr>
                  <a:t>tone/tons</a:t>
                </a:r>
                <a:endParaRPr lang="en-US">
                  <a:latin typeface="Cambria" panose="02040503050406030204" pitchFamily="18" charset="0"/>
                  <a:ea typeface="Cambria" panose="02040503050406030204" pitchFamily="18" charset="0"/>
                </a:endParaRPr>
              </a:p>
            </c:rich>
          </c:tx>
          <c:layout>
            <c:manualLayout>
              <c:xMode val="edge"/>
              <c:yMode val="edge"/>
              <c:x val="1.2767682506428523E-2"/>
              <c:y val="0.434041941511874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83291828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Entry>
      <c:layout>
        <c:manualLayout>
          <c:xMode val="edge"/>
          <c:yMode val="edge"/>
          <c:x val="0.14831526837048412"/>
          <c:y val="1.4345328544458259E-2"/>
          <c:w val="0.58298875267423589"/>
          <c:h val="9.41163604549431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FF4-42F5-A363-03459522A7C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FF4-42F5-A363-03459522A7C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FF4-42F5-A363-03459522A7C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FF4-42F5-A363-03459522A7C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FF4-42F5-A363-03459522A7C2}"/>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FF4-42F5-A363-03459522A7C2}"/>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DFF4-42F5-A363-03459522A7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numRef>
              <c:f>Sheet1!$A$78:$A$84</c:f>
              <c:numCache>
                <c:formatCode>General</c:formatCode>
                <c:ptCount val="7"/>
                <c:pt idx="0">
                  <c:v>2017</c:v>
                </c:pt>
                <c:pt idx="1">
                  <c:v>2018</c:v>
                </c:pt>
                <c:pt idx="2">
                  <c:v>2019</c:v>
                </c:pt>
                <c:pt idx="3">
                  <c:v>2020</c:v>
                </c:pt>
                <c:pt idx="4">
                  <c:v>2021</c:v>
                </c:pt>
                <c:pt idx="5">
                  <c:v>2022</c:v>
                </c:pt>
                <c:pt idx="6">
                  <c:v>2023</c:v>
                </c:pt>
              </c:numCache>
            </c:numRef>
          </c:cat>
          <c:val>
            <c:numRef>
              <c:f>Sheet1!$B$78:$B$84</c:f>
              <c:numCache>
                <c:formatCode>0.00</c:formatCode>
                <c:ptCount val="7"/>
                <c:pt idx="0">
                  <c:v>5.83</c:v>
                </c:pt>
                <c:pt idx="1">
                  <c:v>6.3</c:v>
                </c:pt>
                <c:pt idx="2">
                  <c:v>6</c:v>
                </c:pt>
                <c:pt idx="3">
                  <c:v>5.65</c:v>
                </c:pt>
                <c:pt idx="4">
                  <c:v>5.22</c:v>
                </c:pt>
                <c:pt idx="5">
                  <c:v>5.16</c:v>
                </c:pt>
                <c:pt idx="6">
                  <c:v>5.8</c:v>
                </c:pt>
              </c:numCache>
            </c:numRef>
          </c:val>
          <c:extLst>
            <c:ext xmlns:c16="http://schemas.microsoft.com/office/drawing/2014/chart" uri="{C3380CC4-5D6E-409C-BE32-E72D297353CC}">
              <c16:uniqueId val="{0000000E-DFF4-42F5-A363-03459522A7C2}"/>
            </c:ext>
          </c:extLst>
        </c:ser>
        <c:dLbls>
          <c:dLblPos val="inEnd"/>
          <c:showLegendKey val="0"/>
          <c:showVal val="0"/>
          <c:showCatName val="0"/>
          <c:showSerName val="0"/>
          <c:showPercent val="1"/>
          <c:showBubbleSize val="0"/>
          <c:showLeaderLines val="0"/>
        </c:dLbls>
        <c:firstSliceAng val="0"/>
        <c:extLst>
          <c:ext xmlns:c15="http://schemas.microsoft.com/office/drawing/2012/chart" uri="{02D57815-91ED-43cb-92C2-25804820EDAC}">
            <c15:filteredPieSeries>
              <c15: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DFF4-42F5-A363-03459522A7C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DFF4-42F5-A363-03459522A7C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DFF4-42F5-A363-03459522A7C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6-DFF4-42F5-A363-03459522A7C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8-DFF4-42F5-A363-03459522A7C2}"/>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A-DFF4-42F5-A363-03459522A7C2}"/>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C-DFF4-42F5-A363-03459522A7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extLst>
                </c:dLbls>
                <c:cat>
                  <c:numRef>
                    <c:extLst>
                      <c:ext uri="{02D57815-91ED-43cb-92C2-25804820EDAC}">
                        <c15:formulaRef>
                          <c15:sqref>Sheet1!$A$78:$A$84</c15:sqref>
                        </c15:formulaRef>
                      </c:ext>
                    </c:extLst>
                    <c:numCache>
                      <c:formatCode>General</c:formatCode>
                      <c:ptCount val="7"/>
                      <c:pt idx="0">
                        <c:v>2017</c:v>
                      </c:pt>
                      <c:pt idx="1">
                        <c:v>2018</c:v>
                      </c:pt>
                      <c:pt idx="2">
                        <c:v>2019</c:v>
                      </c:pt>
                      <c:pt idx="3">
                        <c:v>2020</c:v>
                      </c:pt>
                      <c:pt idx="4">
                        <c:v>2021</c:v>
                      </c:pt>
                      <c:pt idx="5">
                        <c:v>2022</c:v>
                      </c:pt>
                      <c:pt idx="6">
                        <c:v>2023</c:v>
                      </c:pt>
                    </c:numCache>
                  </c:numRef>
                </c:cat>
                <c:val>
                  <c:numRef>
                    <c:extLst>
                      <c:ext uri="{02D57815-91ED-43cb-92C2-25804820EDAC}">
                        <c15:formulaRef>
                          <c15:sqref>Sheet1!$A$78:$A$84</c15:sqref>
                        </c15:formulaRef>
                      </c:ext>
                    </c:extLst>
                    <c:numCache>
                      <c:formatCode>General</c:formatCode>
                      <c:ptCount val="7"/>
                      <c:pt idx="0">
                        <c:v>2017</c:v>
                      </c:pt>
                      <c:pt idx="1">
                        <c:v>2018</c:v>
                      </c:pt>
                      <c:pt idx="2">
                        <c:v>2019</c:v>
                      </c:pt>
                      <c:pt idx="3">
                        <c:v>2020</c:v>
                      </c:pt>
                      <c:pt idx="4">
                        <c:v>2021</c:v>
                      </c:pt>
                      <c:pt idx="5">
                        <c:v>2022</c:v>
                      </c:pt>
                      <c:pt idx="6">
                        <c:v>2023</c:v>
                      </c:pt>
                    </c:numCache>
                  </c:numRef>
                </c:val>
                <c:extLst>
                  <c:ext xmlns:c16="http://schemas.microsoft.com/office/drawing/2014/chart" uri="{C3380CC4-5D6E-409C-BE32-E72D297353CC}">
                    <c16:uniqueId val="{0000001D-DFF4-42F5-A363-03459522A7C2}"/>
                  </c:ext>
                </c:extLst>
              </c15:ser>
            </c15:filteredPieSeries>
          </c:ext>
        </c:extLst>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746C-49C9-9673-7652BAB82E29}"/>
              </c:ext>
            </c:extLst>
          </c:dPt>
          <c:cat>
            <c:strRef>
              <c:f>Sheet1!$B$28:$C$28</c:f>
              <c:strCache>
                <c:ptCount val="2"/>
                <c:pt idx="0">
                  <c:v>2007-2016</c:v>
                </c:pt>
                <c:pt idx="1">
                  <c:v>2017-2023</c:v>
                </c:pt>
              </c:strCache>
            </c:strRef>
          </c:cat>
          <c:val>
            <c:numRef>
              <c:f>Sheet1!$B$29:$C$29</c:f>
              <c:numCache>
                <c:formatCode>General</c:formatCode>
                <c:ptCount val="2"/>
                <c:pt idx="0">
                  <c:v>39.5</c:v>
                </c:pt>
                <c:pt idx="1">
                  <c:v>58.2</c:v>
                </c:pt>
              </c:numCache>
            </c:numRef>
          </c:val>
          <c:extLst>
            <c:ext xmlns:c16="http://schemas.microsoft.com/office/drawing/2014/chart" uri="{C3380CC4-5D6E-409C-BE32-E72D297353CC}">
              <c16:uniqueId val="{00000002-746C-49C9-9673-7652BAB82E29}"/>
            </c:ext>
          </c:extLst>
        </c:ser>
        <c:dLbls>
          <c:showLegendKey val="0"/>
          <c:showVal val="0"/>
          <c:showCatName val="0"/>
          <c:showSerName val="0"/>
          <c:showPercent val="0"/>
          <c:showBubbleSize val="0"/>
        </c:dLbls>
        <c:gapWidth val="219"/>
        <c:overlap val="-27"/>
        <c:axId val="1209990032"/>
        <c:axId val="1210000112"/>
      </c:barChart>
      <c:catAx>
        <c:axId val="120999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rPr>
                  <a:t>period</a:t>
                </a:r>
                <a:endParaRPr lang="en-US"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10000112"/>
        <c:crosses val="autoZero"/>
        <c:auto val="1"/>
        <c:lblAlgn val="ctr"/>
        <c:lblOffset val="100"/>
        <c:noMultiLvlLbl val="0"/>
      </c:catAx>
      <c:valAx>
        <c:axId val="12100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rPr>
                  <a:t>tone/tons</a:t>
                </a:r>
                <a:endParaRPr lang="en-US"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0999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F8D-4789-85F8-3777848B7D1E}"/>
              </c:ext>
            </c:extLst>
          </c:dPt>
          <c:cat>
            <c:strRef>
              <c:f>Sheet1!$B$28:$C$28</c:f>
              <c:strCache>
                <c:ptCount val="2"/>
                <c:pt idx="0">
                  <c:v>2007-2016</c:v>
                </c:pt>
                <c:pt idx="1">
                  <c:v>2017-2023</c:v>
                </c:pt>
              </c:strCache>
            </c:strRef>
          </c:cat>
          <c:val>
            <c:numRef>
              <c:f>Sheet1!$B$30:$C$30</c:f>
              <c:numCache>
                <c:formatCode>#,##0</c:formatCode>
                <c:ptCount val="2"/>
                <c:pt idx="0">
                  <c:v>1882</c:v>
                </c:pt>
                <c:pt idx="1">
                  <c:v>3454</c:v>
                </c:pt>
              </c:numCache>
            </c:numRef>
          </c:val>
          <c:extLst>
            <c:ext xmlns:c16="http://schemas.microsoft.com/office/drawing/2014/chart" uri="{C3380CC4-5D6E-409C-BE32-E72D297353CC}">
              <c16:uniqueId val="{00000002-EF8D-4789-85F8-3777848B7D1E}"/>
            </c:ext>
          </c:extLst>
        </c:ser>
        <c:dLbls>
          <c:showLegendKey val="0"/>
          <c:showVal val="0"/>
          <c:showCatName val="0"/>
          <c:showSerName val="0"/>
          <c:showPercent val="0"/>
          <c:showBubbleSize val="0"/>
        </c:dLbls>
        <c:gapWidth val="219"/>
        <c:overlap val="-27"/>
        <c:axId val="1209990032"/>
        <c:axId val="1210000112"/>
      </c:barChart>
      <c:catAx>
        <c:axId val="120999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rPr>
                  <a:t>period</a:t>
                </a:r>
                <a:endParaRPr lang="en-US"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10000112"/>
        <c:crosses val="autoZero"/>
        <c:auto val="1"/>
        <c:lblAlgn val="ctr"/>
        <c:lblOffset val="100"/>
        <c:noMultiLvlLbl val="0"/>
      </c:catAx>
      <c:valAx>
        <c:axId val="12100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rPr>
                  <a:t>tone/tons</a:t>
                </a:r>
                <a:endParaRPr lang="en-US" sz="1000" b="0" i="1" u="none" strike="noStrike" kern="1200" baseline="0">
                  <a:solidFill>
                    <a:sysClr val="windowText" lastClr="000000">
                      <a:lumMod val="65000"/>
                      <a:lumOff val="35000"/>
                    </a:sysClr>
                  </a:solidFill>
                  <a:latin typeface="Cambria" panose="02040503050406030204" pitchFamily="18" charset="0"/>
                  <a:ea typeface="Cambria" panose="0204050305040603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0999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D37E-4CD9-A826-130FD89D99A0}"/>
              </c:ext>
            </c:extLst>
          </c:dPt>
          <c:cat>
            <c:strRef>
              <c:f>Sheet1!$B$28:$C$28</c:f>
              <c:strCache>
                <c:ptCount val="2"/>
                <c:pt idx="0">
                  <c:v>2007-2016</c:v>
                </c:pt>
                <c:pt idx="1">
                  <c:v>2017-2023</c:v>
                </c:pt>
              </c:strCache>
            </c:strRef>
          </c:cat>
          <c:val>
            <c:numRef>
              <c:f>Sheet1!$B$31:$C$31</c:f>
              <c:numCache>
                <c:formatCode>General</c:formatCode>
                <c:ptCount val="2"/>
                <c:pt idx="0">
                  <c:v>3.12</c:v>
                </c:pt>
                <c:pt idx="1">
                  <c:v>5.71</c:v>
                </c:pt>
              </c:numCache>
            </c:numRef>
          </c:val>
          <c:extLst>
            <c:ext xmlns:c16="http://schemas.microsoft.com/office/drawing/2014/chart" uri="{C3380CC4-5D6E-409C-BE32-E72D297353CC}">
              <c16:uniqueId val="{00000002-D37E-4CD9-A826-130FD89D99A0}"/>
            </c:ext>
          </c:extLst>
        </c:ser>
        <c:dLbls>
          <c:showLegendKey val="0"/>
          <c:showVal val="0"/>
          <c:showCatName val="0"/>
          <c:showSerName val="0"/>
          <c:showPercent val="0"/>
          <c:showBubbleSize val="0"/>
        </c:dLbls>
        <c:gapWidth val="219"/>
        <c:overlap val="-27"/>
        <c:axId val="1209990032"/>
        <c:axId val="1210000112"/>
      </c:barChart>
      <c:catAx>
        <c:axId val="120999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i="1">
                    <a:latin typeface="Cambria" panose="02040503050406030204" pitchFamily="18" charset="0"/>
                    <a:ea typeface="Cambria" panose="02040503050406030204" pitchFamily="18" charset="0"/>
                  </a:rPr>
                  <a:t>period</a:t>
                </a:r>
                <a:endParaRPr lang="en-US" i="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10000112"/>
        <c:crosses val="autoZero"/>
        <c:auto val="1"/>
        <c:lblAlgn val="ctr"/>
        <c:lblOffset val="100"/>
        <c:noMultiLvlLbl val="0"/>
      </c:catAx>
      <c:valAx>
        <c:axId val="12100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i="1">
                    <a:latin typeface="Cambria" panose="02040503050406030204" pitchFamily="18" charset="0"/>
                    <a:ea typeface="Cambria" panose="02040503050406030204" pitchFamily="18" charset="0"/>
                  </a:rPr>
                  <a:t>tone/tons</a:t>
                </a:r>
                <a:endParaRPr lang="en-US" i="1">
                  <a:latin typeface="Cambria" panose="02040503050406030204" pitchFamily="18" charset="0"/>
                  <a:ea typeface="Cambria" panose="0204050305040603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0999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04300000000001"/>
          <c:y val="0.25549100000000002"/>
          <c:w val="0.84395699999999996"/>
          <c:h val="0.66487700000000005"/>
        </c:manualLayout>
      </c:layout>
      <c:barChart>
        <c:barDir val="col"/>
        <c:grouping val="clustered"/>
        <c:varyColors val="0"/>
        <c:ser>
          <c:idx val="0"/>
          <c:order val="0"/>
          <c:tx>
            <c:strRef>
              <c:f>Sheet1!$A$2</c:f>
              <c:strCache>
                <c:ptCount val="1"/>
                <c:pt idx="0">
                  <c:v>HBCD iz građevinskog otpada/HBCD from construction waste</c:v>
                </c:pt>
              </c:strCache>
            </c:strRef>
          </c:tx>
          <c:spPr>
            <a:solidFill>
              <a:schemeClr val="accent1"/>
            </a:solidFill>
            <a:ln w="12700" cap="flat">
              <a:noFill/>
              <a:miter lim="400000"/>
            </a:ln>
            <a:effectLst/>
          </c:spPr>
          <c:invertIfNegative val="0"/>
          <c:cat>
            <c:strRef>
              <c:f>Sheet1!$B$1:$N$1</c:f>
              <c:strCach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strCache>
            </c:strRef>
          </c:cat>
          <c:val>
            <c:numRef>
              <c:f>Sheet1!$B$2:$N$2</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val>
          <c:extLst>
            <c:ext xmlns:c16="http://schemas.microsoft.com/office/drawing/2014/chart" uri="{C3380CC4-5D6E-409C-BE32-E72D297353CC}">
              <c16:uniqueId val="{00000000-4DFE-4817-BED8-ABA70BC029AA}"/>
            </c:ext>
          </c:extLst>
        </c:ser>
        <c:ser>
          <c:idx val="1"/>
          <c:order val="1"/>
          <c:tx>
            <c:strRef>
              <c:f>Sheet1!$A$3</c:f>
              <c:strCache>
                <c:ptCount val="1"/>
                <c:pt idx="0">
                  <c:v>Količina građevinskog otpada/Quantity of construction waste</c:v>
                </c:pt>
              </c:strCache>
            </c:strRef>
          </c:tx>
          <c:spPr>
            <a:solidFill>
              <a:schemeClr val="accent2"/>
            </a:solidFill>
            <a:ln w="12700" cap="flat">
              <a:noFill/>
              <a:miter lim="400000"/>
            </a:ln>
            <a:effectLst/>
          </c:spPr>
          <c:invertIfNegative val="0"/>
          <c:cat>
            <c:strRef>
              <c:f>Sheet1!$B$1:$N$1</c:f>
              <c:strCach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strCache>
            </c:strRef>
          </c:cat>
          <c:val>
            <c:numRef>
              <c:f>Sheet1!$B$3:$N$3</c:f>
              <c:numCache>
                <c:formatCode>General</c:formatCode>
                <c:ptCount val="13"/>
                <c:pt idx="0">
                  <c:v>95762.2</c:v>
                </c:pt>
                <c:pt idx="1">
                  <c:v>106069.3</c:v>
                </c:pt>
                <c:pt idx="2">
                  <c:v>122577</c:v>
                </c:pt>
                <c:pt idx="3">
                  <c:v>115371</c:v>
                </c:pt>
                <c:pt idx="4">
                  <c:v>108024.8</c:v>
                </c:pt>
                <c:pt idx="5">
                  <c:v>146258.70000000001</c:v>
                </c:pt>
                <c:pt idx="6">
                  <c:v>156221.5</c:v>
                </c:pt>
                <c:pt idx="7">
                  <c:v>160238.70000000001</c:v>
                </c:pt>
                <c:pt idx="8">
                  <c:v>197191</c:v>
                </c:pt>
                <c:pt idx="9">
                  <c:v>250466.8</c:v>
                </c:pt>
                <c:pt idx="10">
                  <c:v>456843.5</c:v>
                </c:pt>
                <c:pt idx="11">
                  <c:v>418124</c:v>
                </c:pt>
                <c:pt idx="12">
                  <c:v>220786.5</c:v>
                </c:pt>
              </c:numCache>
            </c:numRef>
          </c:val>
          <c:extLst>
            <c:ext xmlns:c16="http://schemas.microsoft.com/office/drawing/2014/chart" uri="{C3380CC4-5D6E-409C-BE32-E72D297353CC}">
              <c16:uniqueId val="{00000001-4DFE-4817-BED8-ABA70BC029AA}"/>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mbria"/>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sz="1000" b="0" i="0" u="none" strike="noStrike">
                    <a:solidFill>
                      <a:srgbClr val="595959"/>
                    </a:solidFill>
                    <a:latin typeface="Cambria"/>
                  </a:defRPr>
                </a:pPr>
                <a:r>
                  <a:rPr lang="en-US" sz="1000" b="0" i="0" u="none" strike="noStrike">
                    <a:solidFill>
                      <a:srgbClr val="595959"/>
                    </a:solidFill>
                    <a:latin typeface="Cambria"/>
                  </a:rPr>
                  <a:t>tone/tons</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mbria"/>
              </a:defRPr>
            </a:pPr>
            <a:endParaRPr lang="en-US"/>
          </a:p>
        </c:txPr>
        <c:crossAx val="2094734552"/>
        <c:crosses val="autoZero"/>
        <c:crossBetween val="between"/>
        <c:majorUnit val="125000"/>
        <c:minorUnit val="62500"/>
      </c:valAx>
      <c:spPr>
        <a:noFill/>
        <a:ln w="12700" cap="flat">
          <a:noFill/>
          <a:miter lim="400000"/>
        </a:ln>
        <a:effectLst/>
      </c:spPr>
    </c:plotArea>
    <c:legend>
      <c:legendPos val="t"/>
      <c:layout>
        <c:manualLayout>
          <c:xMode val="edge"/>
          <c:yMode val="edge"/>
          <c:x val="0.17852899999999999"/>
          <c:y val="0"/>
          <c:w val="0.67186100000000004"/>
          <c:h val="0.124955"/>
        </c:manualLayout>
      </c:layout>
      <c:overlay val="1"/>
      <c:spPr>
        <a:noFill/>
        <a:ln w="12700" cap="flat">
          <a:noFill/>
          <a:miter lim="400000"/>
        </a:ln>
        <a:effectLst/>
      </c:spPr>
      <c:txPr>
        <a:bodyPr rot="0"/>
        <a:lstStyle/>
        <a:p>
          <a:pPr>
            <a:defRPr sz="900" b="0" i="0" u="none" strike="noStrike">
              <a:solidFill>
                <a:srgbClr val="595959"/>
              </a:solidFill>
              <a:latin typeface="Cambria"/>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7799999999999"/>
          <c:y val="0.17876900000000001"/>
          <c:w val="0.84192199999999995"/>
          <c:h val="0.73804099999999995"/>
        </c:manualLayout>
      </c:layout>
      <c:barChart>
        <c:barDir val="col"/>
        <c:grouping val="clustered"/>
        <c:varyColors val="0"/>
        <c:ser>
          <c:idx val="0"/>
          <c:order val="0"/>
          <c:tx>
            <c:strRef>
              <c:f>Sheet1!$A$2</c:f>
              <c:strCache>
                <c:ptCount val="1"/>
                <c:pt idx="0">
                  <c:v>Količina građevinskog otpada/Quantity of construction waste</c:v>
                </c:pt>
              </c:strCache>
            </c:strRef>
          </c:tx>
          <c:spPr>
            <a:solidFill>
              <a:schemeClr val="accent2"/>
            </a:solidFill>
            <a:ln w="12700" cap="flat">
              <a:noFill/>
              <a:miter lim="400000"/>
            </a:ln>
            <a:effectLst/>
          </c:spPr>
          <c:invertIfNegative val="0"/>
          <c:cat>
            <c:strRef>
              <c:f>Sheet1!$B$1:$N$1</c:f>
              <c:strCach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strCache>
            </c:strRef>
          </c:cat>
          <c:val>
            <c:numRef>
              <c:f>Sheet1!$B$2:$N$2</c:f>
              <c:numCache>
                <c:formatCode>General</c:formatCode>
                <c:ptCount val="13"/>
                <c:pt idx="0">
                  <c:v>95762.2</c:v>
                </c:pt>
                <c:pt idx="1">
                  <c:v>106069.3</c:v>
                </c:pt>
                <c:pt idx="2">
                  <c:v>122577</c:v>
                </c:pt>
                <c:pt idx="3">
                  <c:v>115371</c:v>
                </c:pt>
                <c:pt idx="4">
                  <c:v>108024.8</c:v>
                </c:pt>
                <c:pt idx="5">
                  <c:v>146258.70000000001</c:v>
                </c:pt>
                <c:pt idx="6">
                  <c:v>156221.5</c:v>
                </c:pt>
                <c:pt idx="7">
                  <c:v>160238.70000000001</c:v>
                </c:pt>
                <c:pt idx="8">
                  <c:v>197191</c:v>
                </c:pt>
                <c:pt idx="9">
                  <c:v>250466.8</c:v>
                </c:pt>
                <c:pt idx="10">
                  <c:v>456843.5</c:v>
                </c:pt>
                <c:pt idx="11">
                  <c:v>418124</c:v>
                </c:pt>
                <c:pt idx="12">
                  <c:v>220786.5</c:v>
                </c:pt>
              </c:numCache>
            </c:numRef>
          </c:val>
          <c:extLst>
            <c:ext xmlns:c16="http://schemas.microsoft.com/office/drawing/2014/chart" uri="{C3380CC4-5D6E-409C-BE32-E72D297353CC}">
              <c16:uniqueId val="{00000000-70BA-4287-A8DD-A4C22B942A61}"/>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mbria"/>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sz="1000" b="0" i="0" u="none" strike="noStrike">
                    <a:solidFill>
                      <a:srgbClr val="595959"/>
                    </a:solidFill>
                    <a:latin typeface="Cambria"/>
                  </a:defRPr>
                </a:pPr>
                <a:r>
                  <a:rPr lang="en-US" sz="1000" b="0" i="0" u="none" strike="noStrike">
                    <a:solidFill>
                      <a:srgbClr val="595959"/>
                    </a:solidFill>
                    <a:latin typeface="Cambria"/>
                  </a:rPr>
                  <a:t>tone/tons</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mbria"/>
              </a:defRPr>
            </a:pPr>
            <a:endParaRPr lang="en-US"/>
          </a:p>
        </c:txPr>
        <c:crossAx val="2094734552"/>
        <c:crosses val="autoZero"/>
        <c:crossBetween val="between"/>
        <c:majorUnit val="125000"/>
        <c:minorUnit val="62500"/>
      </c:valAx>
      <c:spPr>
        <a:noFill/>
        <a:ln w="12700" cap="flat">
          <a:noFill/>
          <a:miter lim="400000"/>
        </a:ln>
        <a:effectLst/>
      </c:spPr>
    </c:plotArea>
    <c:legend>
      <c:legendPos val="t"/>
      <c:layout>
        <c:manualLayout>
          <c:xMode val="edge"/>
          <c:yMode val="edge"/>
          <c:x val="0.17943700000000001"/>
          <c:y val="0"/>
          <c:w val="0.65866599999999997"/>
          <c:h val="7.7626100000000003E-2"/>
        </c:manualLayout>
      </c:layout>
      <c:overlay val="1"/>
      <c:spPr>
        <a:noFill/>
        <a:ln w="12700" cap="flat">
          <a:noFill/>
          <a:miter lim="400000"/>
        </a:ln>
        <a:effectLst/>
      </c:spPr>
      <c:txPr>
        <a:bodyPr rot="0"/>
        <a:lstStyle/>
        <a:p>
          <a:pPr>
            <a:defRPr sz="900" b="0" i="0" u="none" strike="noStrike">
              <a:solidFill>
                <a:srgbClr val="595959"/>
              </a:solidFill>
              <a:latin typeface="Cambria"/>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Rezultati ankete :„Da li vaše domaćinstvo ima CRT televizor (televizor sa katodnom cijevi) i da li je u upotrebi?“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Sheet1!$H$2</c:f>
              <c:strCache>
                <c:ptCount val="1"/>
                <c:pt idx="0">
                  <c:v>%</c:v>
                </c:pt>
              </c:strCache>
            </c:strRef>
          </c:tx>
          <c:spPr>
            <a:solidFill>
              <a:schemeClr val="accent1"/>
            </a:solidFill>
            <a:ln>
              <a:noFill/>
            </a:ln>
            <a:effectLst/>
          </c:spPr>
          <c:invertIfNegative val="0"/>
          <c:cat>
            <c:strRef>
              <c:f>Sheet1!$G$3:$G$5</c:f>
              <c:strCache>
                <c:ptCount val="3"/>
                <c:pt idx="0">
                  <c:v> „Da, i u upotrebi je.“</c:v>
                </c:pt>
                <c:pt idx="1">
                  <c:v>„Da, ali nije u upotrebi.“</c:v>
                </c:pt>
                <c:pt idx="2">
                  <c:v>„Ne.“</c:v>
                </c:pt>
              </c:strCache>
            </c:strRef>
          </c:cat>
          <c:val>
            <c:numRef>
              <c:f>Sheet1!$H$3:$H$5</c:f>
              <c:numCache>
                <c:formatCode>General</c:formatCode>
                <c:ptCount val="3"/>
                <c:pt idx="0">
                  <c:v>11</c:v>
                </c:pt>
                <c:pt idx="1">
                  <c:v>14.4</c:v>
                </c:pt>
                <c:pt idx="2">
                  <c:v>74.599999999999994</c:v>
                </c:pt>
              </c:numCache>
            </c:numRef>
          </c:val>
          <c:extLst>
            <c:ext xmlns:c16="http://schemas.microsoft.com/office/drawing/2014/chart" uri="{C3380CC4-5D6E-409C-BE32-E72D297353CC}">
              <c16:uniqueId val="{00000000-B283-4C5B-8D81-912200F27269}"/>
            </c:ext>
          </c:extLst>
        </c:ser>
        <c:dLbls>
          <c:showLegendKey val="0"/>
          <c:showVal val="0"/>
          <c:showCatName val="0"/>
          <c:showSerName val="0"/>
          <c:showPercent val="0"/>
          <c:showBubbleSize val="0"/>
        </c:dLbls>
        <c:gapWidth val="182"/>
        <c:axId val="1146638287"/>
        <c:axId val="1146621967"/>
      </c:barChart>
      <c:catAx>
        <c:axId val="1146638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621967"/>
        <c:crosses val="autoZero"/>
        <c:auto val="1"/>
        <c:lblAlgn val="ctr"/>
        <c:lblOffset val="100"/>
        <c:noMultiLvlLbl val="0"/>
      </c:catAx>
      <c:valAx>
        <c:axId val="11466219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6382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HBCD iz građevinskog otpada/HBCD from construction waste</c:v>
          </c:tx>
          <c:spPr>
            <a:solidFill>
              <a:schemeClr val="accent1"/>
            </a:solidFill>
            <a:ln>
              <a:noFill/>
            </a:ln>
            <a:effectLst/>
          </c:spPr>
          <c:invertIfNegative val="0"/>
          <c:cat>
            <c:numRef>
              <c:f>Sheet3!$C$33:$O$33</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Sheet3!$C$39:$O$39</c:f>
              <c:numCache>
                <c:formatCode>General</c:formatCode>
                <c:ptCount val="13"/>
                <c:pt idx="0">
                  <c:v>1.1970274999999999</c:v>
                </c:pt>
                <c:pt idx="1">
                  <c:v>1.32586625</c:v>
                </c:pt>
                <c:pt idx="2">
                  <c:v>1.5322125</c:v>
                </c:pt>
                <c:pt idx="3">
                  <c:v>1.4421375000000001</c:v>
                </c:pt>
                <c:pt idx="4">
                  <c:v>1.3503100000000001</c:v>
                </c:pt>
                <c:pt idx="5">
                  <c:v>1.8282337500000003</c:v>
                </c:pt>
                <c:pt idx="6">
                  <c:v>1.9527687500000004</c:v>
                </c:pt>
                <c:pt idx="7">
                  <c:v>2.0029837499999998</c:v>
                </c:pt>
                <c:pt idx="8">
                  <c:v>2.4648874999999997</c:v>
                </c:pt>
                <c:pt idx="9">
                  <c:v>3.1308350000000003</c:v>
                </c:pt>
                <c:pt idx="10">
                  <c:v>5.7105437500000011</c:v>
                </c:pt>
                <c:pt idx="11">
                  <c:v>5.2265500000000005</c:v>
                </c:pt>
                <c:pt idx="12">
                  <c:v>2.7598312500000004</c:v>
                </c:pt>
              </c:numCache>
            </c:numRef>
          </c:val>
          <c:extLst>
            <c:ext xmlns:c16="http://schemas.microsoft.com/office/drawing/2014/chart" uri="{C3380CC4-5D6E-409C-BE32-E72D297353CC}">
              <c16:uniqueId val="{00000000-817E-40F7-80B3-A008CB099D11}"/>
            </c:ext>
          </c:extLst>
        </c:ser>
        <c:dLbls>
          <c:showLegendKey val="0"/>
          <c:showVal val="0"/>
          <c:showCatName val="0"/>
          <c:showSerName val="0"/>
          <c:showPercent val="0"/>
          <c:showBubbleSize val="0"/>
        </c:dLbls>
        <c:gapWidth val="219"/>
        <c:overlap val="-27"/>
        <c:axId val="1578851872"/>
        <c:axId val="2076062704"/>
      </c:barChart>
      <c:catAx>
        <c:axId val="157885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62704"/>
        <c:crosses val="autoZero"/>
        <c:auto val="1"/>
        <c:lblAlgn val="ctr"/>
        <c:lblOffset val="100"/>
        <c:noMultiLvlLbl val="0"/>
      </c:catAx>
      <c:valAx>
        <c:axId val="207606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RS"/>
                  <a:t>tone/tons</a:t>
                </a:r>
                <a:endParaRPr lang="en-US"/>
              </a:p>
            </c:rich>
          </c:tx>
          <c:layout>
            <c:manualLayout>
              <c:xMode val="edge"/>
              <c:yMode val="edge"/>
              <c:x val="1.1111111111111112E-2"/>
              <c:y val="0.375420676582093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851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D3B-48D4-BE97-CB404EF9BE8D}"/>
              </c:ext>
            </c:extLst>
          </c:dPt>
          <c:cat>
            <c:strRef>
              <c:f>Sheet1!$B$28:$C$28</c:f>
              <c:strCache>
                <c:ptCount val="2"/>
                <c:pt idx="0">
                  <c:v>2009-2016</c:v>
                </c:pt>
                <c:pt idx="1">
                  <c:v>2017-2023</c:v>
                </c:pt>
              </c:strCache>
            </c:strRef>
          </c:cat>
          <c:val>
            <c:numRef>
              <c:f>Sheet1!$B$31:$C$31</c:f>
              <c:numCache>
                <c:formatCode>General</c:formatCode>
                <c:ptCount val="2"/>
                <c:pt idx="0">
                  <c:v>3.12</c:v>
                </c:pt>
                <c:pt idx="1">
                  <c:v>5.71</c:v>
                </c:pt>
              </c:numCache>
            </c:numRef>
          </c:val>
          <c:extLst>
            <c:ext xmlns:c16="http://schemas.microsoft.com/office/drawing/2014/chart" uri="{C3380CC4-5D6E-409C-BE32-E72D297353CC}">
              <c16:uniqueId val="{00000002-ED3B-48D4-BE97-CB404EF9BE8D}"/>
            </c:ext>
          </c:extLst>
        </c:ser>
        <c:dLbls>
          <c:showLegendKey val="0"/>
          <c:showVal val="0"/>
          <c:showCatName val="0"/>
          <c:showSerName val="0"/>
          <c:showPercent val="0"/>
          <c:showBubbleSize val="0"/>
        </c:dLbls>
        <c:gapWidth val="219"/>
        <c:overlap val="-27"/>
        <c:axId val="1209990032"/>
        <c:axId val="1210000112"/>
      </c:barChart>
      <c:catAx>
        <c:axId val="120999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RS">
                    <a:latin typeface="Cambria" panose="02040503050406030204" pitchFamily="18" charset="0"/>
                    <a:ea typeface="Cambria" panose="02040503050406030204" pitchFamily="18" charset="0"/>
                  </a:rPr>
                  <a:t>period</a:t>
                </a:r>
                <a:endParaRPr lang="en-US">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10000112"/>
        <c:crosses val="autoZero"/>
        <c:auto val="1"/>
        <c:lblAlgn val="ctr"/>
        <c:lblOffset val="100"/>
        <c:noMultiLvlLbl val="0"/>
      </c:catAx>
      <c:valAx>
        <c:axId val="12100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RS">
                    <a:latin typeface="Cambria" panose="02040503050406030204" pitchFamily="18" charset="0"/>
                    <a:ea typeface="Cambria" panose="02040503050406030204" pitchFamily="18" charset="0"/>
                  </a:rPr>
                  <a:t>tone/tones</a:t>
                </a:r>
                <a:endParaRPr lang="en-US">
                  <a:latin typeface="Cambria" panose="02040503050406030204" pitchFamily="18" charset="0"/>
                  <a:ea typeface="Cambria" panose="0204050305040603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20999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PFOS (</a:t>
            </a:r>
            <a:r>
              <a:rPr lang="sr-Latn-ME"/>
              <a:t>t</a:t>
            </a:r>
            <a:r>
              <a:rPr lang="en-GB"/>
              <a:t>)</a:t>
            </a:r>
          </a:p>
        </c:rich>
      </c:tx>
      <c:overlay val="0"/>
      <c:spPr>
        <a:noFill/>
        <a:ln w="25400">
          <a:noFill/>
        </a:ln>
      </c:spPr>
    </c:title>
    <c:autoTitleDeleted val="0"/>
    <c:plotArea>
      <c:layout/>
      <c:barChart>
        <c:barDir val="col"/>
        <c:grouping val="clustered"/>
        <c:varyColors val="0"/>
        <c:ser>
          <c:idx val="0"/>
          <c:order val="0"/>
          <c:tx>
            <c:strRef>
              <c:f>'Sintetički tepisi'!$C$160</c:f>
              <c:strCache>
                <c:ptCount val="1"/>
                <c:pt idx="0">
                  <c:v>PFOS (kg)</c:v>
                </c:pt>
              </c:strCache>
            </c:strRef>
          </c:tx>
          <c:spPr>
            <a:solidFill>
              <a:srgbClr val="0070C0"/>
            </a:solidFill>
            <a:ln w="25400">
              <a:noFill/>
            </a:ln>
          </c:spPr>
          <c:invertIfNegative val="0"/>
          <c:trendline>
            <c:trendlineType val="linear"/>
            <c:dispRSqr val="0"/>
            <c:dispEq val="0"/>
          </c:trendline>
          <c:trendline>
            <c:spPr>
              <a:ln w="25400">
                <a:solidFill>
                  <a:srgbClr val="FFC000"/>
                </a:solidFill>
              </a:ln>
            </c:spPr>
            <c:trendlineType val="linear"/>
            <c:dispRSqr val="0"/>
            <c:dispEq val="0"/>
          </c:trendline>
          <c:cat>
            <c:numRef>
              <c:f>'Sintetički tepisi'!$B$164:$B$170</c:f>
              <c:numCache>
                <c:formatCode>General</c:formatCode>
                <c:ptCount val="7"/>
                <c:pt idx="0">
                  <c:v>2017</c:v>
                </c:pt>
                <c:pt idx="1">
                  <c:v>2018</c:v>
                </c:pt>
                <c:pt idx="2">
                  <c:v>2019</c:v>
                </c:pt>
                <c:pt idx="3">
                  <c:v>2020</c:v>
                </c:pt>
                <c:pt idx="4">
                  <c:v>2021</c:v>
                </c:pt>
                <c:pt idx="5">
                  <c:v>2022</c:v>
                </c:pt>
                <c:pt idx="6">
                  <c:v>2023</c:v>
                </c:pt>
              </c:numCache>
            </c:numRef>
          </c:cat>
          <c:val>
            <c:numRef>
              <c:f>'Sintetički tepisi'!$C$164:$C$170</c:f>
              <c:numCache>
                <c:formatCode>General</c:formatCode>
                <c:ptCount val="7"/>
                <c:pt idx="0">
                  <c:v>7.4</c:v>
                </c:pt>
                <c:pt idx="1">
                  <c:v>6.7</c:v>
                </c:pt>
                <c:pt idx="2">
                  <c:v>8.6999999999999993</c:v>
                </c:pt>
                <c:pt idx="3">
                  <c:v>7.9</c:v>
                </c:pt>
                <c:pt idx="4">
                  <c:v>8</c:v>
                </c:pt>
                <c:pt idx="5">
                  <c:v>12.2</c:v>
                </c:pt>
                <c:pt idx="6">
                  <c:v>11.1</c:v>
                </c:pt>
              </c:numCache>
            </c:numRef>
          </c:val>
          <c:extLst>
            <c:ext xmlns:c16="http://schemas.microsoft.com/office/drawing/2014/chart" uri="{C3380CC4-5D6E-409C-BE32-E72D297353CC}">
              <c16:uniqueId val="{00000002-78EE-45FB-89B9-49B0F60E0574}"/>
            </c:ext>
          </c:extLst>
        </c:ser>
        <c:dLbls>
          <c:showLegendKey val="0"/>
          <c:showVal val="0"/>
          <c:showCatName val="0"/>
          <c:showSerName val="0"/>
          <c:showPercent val="0"/>
          <c:showBubbleSize val="0"/>
        </c:dLbls>
        <c:gapWidth val="219"/>
        <c:overlap val="-27"/>
        <c:axId val="727695135"/>
        <c:axId val="1"/>
      </c:barChart>
      <c:catAx>
        <c:axId val="72769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sr-Latn-ME"/>
                  <a:t>t/godini</a:t>
                </a:r>
                <a:endParaRPr lang="en-GB"/>
              </a:p>
            </c:rich>
          </c:tx>
          <c:overlay val="0"/>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695135"/>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Papir!$C$142</c:f>
              <c:strCache>
                <c:ptCount val="1"/>
                <c:pt idx="0">
                  <c:v>PFOS (kg)</c:v>
                </c:pt>
              </c:strCache>
            </c:strRef>
          </c:tx>
          <c:spPr>
            <a:solidFill>
              <a:srgbClr val="4F81BD"/>
            </a:solidFill>
            <a:ln w="25400">
              <a:noFill/>
            </a:ln>
          </c:spPr>
          <c:invertIfNegative val="0"/>
          <c:trendline>
            <c:spPr>
              <a:ln w="25400">
                <a:solidFill>
                  <a:srgbClr val="FFC000"/>
                </a:solidFill>
              </a:ln>
            </c:spPr>
            <c:trendlineType val="linear"/>
            <c:dispRSqr val="0"/>
            <c:dispEq val="0"/>
          </c:trendline>
          <c:cat>
            <c:numRef>
              <c:f>Papir!$B$146:$B$152</c:f>
              <c:numCache>
                <c:formatCode>General</c:formatCode>
                <c:ptCount val="7"/>
                <c:pt idx="0">
                  <c:v>2017</c:v>
                </c:pt>
                <c:pt idx="1">
                  <c:v>2018</c:v>
                </c:pt>
                <c:pt idx="2">
                  <c:v>2019</c:v>
                </c:pt>
                <c:pt idx="3">
                  <c:v>2020</c:v>
                </c:pt>
                <c:pt idx="4">
                  <c:v>2021</c:v>
                </c:pt>
                <c:pt idx="5">
                  <c:v>2022</c:v>
                </c:pt>
                <c:pt idx="6">
                  <c:v>2023</c:v>
                </c:pt>
              </c:numCache>
            </c:numRef>
          </c:cat>
          <c:val>
            <c:numRef>
              <c:f>Papir!$C$146:$C$152</c:f>
              <c:numCache>
                <c:formatCode>General</c:formatCode>
                <c:ptCount val="7"/>
                <c:pt idx="0">
                  <c:v>457.22149999999999</c:v>
                </c:pt>
                <c:pt idx="1">
                  <c:v>306.55590000000001</c:v>
                </c:pt>
                <c:pt idx="2">
                  <c:v>412.51189999999997</c:v>
                </c:pt>
                <c:pt idx="3">
                  <c:v>364.5206</c:v>
                </c:pt>
                <c:pt idx="4">
                  <c:v>654.78189999999995</c:v>
                </c:pt>
                <c:pt idx="5">
                  <c:v>658.19470000000001</c:v>
                </c:pt>
                <c:pt idx="6">
                  <c:v>946.06349999999998</c:v>
                </c:pt>
              </c:numCache>
            </c:numRef>
          </c:val>
          <c:extLst>
            <c:ext xmlns:c16="http://schemas.microsoft.com/office/drawing/2014/chart" uri="{C3380CC4-5D6E-409C-BE32-E72D297353CC}">
              <c16:uniqueId val="{00000001-744D-4228-AC38-A58EEBCB2838}"/>
            </c:ext>
          </c:extLst>
        </c:ser>
        <c:dLbls>
          <c:showLegendKey val="0"/>
          <c:showVal val="0"/>
          <c:showCatName val="0"/>
          <c:showSerName val="0"/>
          <c:showPercent val="0"/>
          <c:showBubbleSize val="0"/>
        </c:dLbls>
        <c:gapWidth val="219"/>
        <c:overlap val="-27"/>
        <c:axId val="727704287"/>
        <c:axId val="1"/>
      </c:barChart>
      <c:catAx>
        <c:axId val="72770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sr-Latn-ME"/>
                  <a:t>kg/godini</a:t>
                </a:r>
                <a:endParaRPr lang="en-GB"/>
              </a:p>
            </c:rich>
          </c:tx>
          <c:overlay val="0"/>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70428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'Sintetički tepisi'!$L$98</c:f>
              <c:strCache>
                <c:ptCount val="1"/>
                <c:pt idx="0">
                  <c:v>PFOA (kg)</c:v>
                </c:pt>
              </c:strCache>
            </c:strRef>
          </c:tx>
          <c:spPr>
            <a:solidFill>
              <a:schemeClr val="accent1"/>
            </a:solidFill>
            <a:ln>
              <a:noFill/>
            </a:ln>
            <a:effectLst/>
          </c:spPr>
          <c:invertIfNegative val="0"/>
          <c:trendline>
            <c:spPr>
              <a:ln w="31750" cap="rnd">
                <a:solidFill>
                  <a:srgbClr val="FFC000"/>
                </a:solidFill>
                <a:prstDash val="solid"/>
              </a:ln>
              <a:effectLst/>
            </c:spPr>
            <c:trendlineType val="linear"/>
            <c:dispRSqr val="0"/>
            <c:dispEq val="0"/>
          </c:trendline>
          <c:cat>
            <c:numRef>
              <c:f>'Sintetički tepisi'!$K$99:$K$105</c:f>
              <c:numCache>
                <c:formatCode>General</c:formatCode>
                <c:ptCount val="7"/>
                <c:pt idx="0">
                  <c:v>2017</c:v>
                </c:pt>
                <c:pt idx="1">
                  <c:v>2018</c:v>
                </c:pt>
                <c:pt idx="2">
                  <c:v>2019</c:v>
                </c:pt>
                <c:pt idx="3">
                  <c:v>2020</c:v>
                </c:pt>
                <c:pt idx="4">
                  <c:v>2021</c:v>
                </c:pt>
                <c:pt idx="5">
                  <c:v>2022</c:v>
                </c:pt>
                <c:pt idx="6">
                  <c:v>2023</c:v>
                </c:pt>
              </c:numCache>
            </c:numRef>
          </c:cat>
          <c:val>
            <c:numRef>
              <c:f>'Sintetički tepisi'!$L$99:$L$105</c:f>
              <c:numCache>
                <c:formatCode>0</c:formatCode>
                <c:ptCount val="7"/>
                <c:pt idx="0">
                  <c:v>86.774853780000001</c:v>
                </c:pt>
                <c:pt idx="1">
                  <c:v>77.840533640000004</c:v>
                </c:pt>
                <c:pt idx="2">
                  <c:v>100.9238256</c:v>
                </c:pt>
                <c:pt idx="3">
                  <c:v>89.634680379999992</c:v>
                </c:pt>
                <c:pt idx="4">
                  <c:v>94.092853560000023</c:v>
                </c:pt>
                <c:pt idx="5">
                  <c:v>150.10239966</c:v>
                </c:pt>
                <c:pt idx="6">
                  <c:v>135.55232529999998</c:v>
                </c:pt>
              </c:numCache>
            </c:numRef>
          </c:val>
          <c:extLst>
            <c:ext xmlns:c16="http://schemas.microsoft.com/office/drawing/2014/chart" uri="{C3380CC4-5D6E-409C-BE32-E72D297353CC}">
              <c16:uniqueId val="{00000001-4E62-4C7F-A1C1-FC631FA2BB96}"/>
            </c:ext>
          </c:extLst>
        </c:ser>
        <c:dLbls>
          <c:showLegendKey val="0"/>
          <c:showVal val="0"/>
          <c:showCatName val="0"/>
          <c:showSerName val="0"/>
          <c:showPercent val="0"/>
          <c:showBubbleSize val="0"/>
        </c:dLbls>
        <c:gapWidth val="219"/>
        <c:overlap val="-27"/>
        <c:axId val="1209754255"/>
        <c:axId val="1209775471"/>
      </c:barChart>
      <c:catAx>
        <c:axId val="120975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775471"/>
        <c:crosses val="autoZero"/>
        <c:auto val="1"/>
        <c:lblAlgn val="ctr"/>
        <c:lblOffset val="100"/>
        <c:noMultiLvlLbl val="0"/>
      </c:catAx>
      <c:valAx>
        <c:axId val="1209775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r-Latn-ME" b="1" i="0"/>
                  <a:t>kg/godini</a:t>
                </a:r>
                <a:endParaRPr lang="en-GB" b="1" i="0"/>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754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Papir!$K$87</c:f>
              <c:strCache>
                <c:ptCount val="1"/>
                <c:pt idx="0">
                  <c:v>PFOA (kg)</c:v>
                </c:pt>
              </c:strCache>
            </c:strRef>
          </c:tx>
          <c:spPr>
            <a:solidFill>
              <a:schemeClr val="accent1"/>
            </a:solidFill>
            <a:ln>
              <a:noFill/>
            </a:ln>
            <a:effectLst/>
          </c:spPr>
          <c:invertIfNegative val="0"/>
          <c:trendline>
            <c:spPr>
              <a:ln w="31750" cap="rnd">
                <a:solidFill>
                  <a:srgbClr val="FFC000"/>
                </a:solidFill>
                <a:prstDash val="solid"/>
              </a:ln>
              <a:effectLst/>
            </c:spPr>
            <c:trendlineType val="linear"/>
            <c:dispRSqr val="0"/>
            <c:dispEq val="0"/>
          </c:trendline>
          <c:cat>
            <c:numRef>
              <c:f>Papir!$J$88:$J$94</c:f>
              <c:numCache>
                <c:formatCode>General</c:formatCode>
                <c:ptCount val="7"/>
                <c:pt idx="0">
                  <c:v>2017</c:v>
                </c:pt>
                <c:pt idx="1">
                  <c:v>2018</c:v>
                </c:pt>
                <c:pt idx="2">
                  <c:v>2019</c:v>
                </c:pt>
                <c:pt idx="3">
                  <c:v>2020</c:v>
                </c:pt>
                <c:pt idx="4">
                  <c:v>2021</c:v>
                </c:pt>
                <c:pt idx="5">
                  <c:v>2022</c:v>
                </c:pt>
                <c:pt idx="6">
                  <c:v>2023</c:v>
                </c:pt>
              </c:numCache>
            </c:numRef>
          </c:cat>
          <c:val>
            <c:numRef>
              <c:f>Papir!$K$88:$K$94</c:f>
              <c:numCache>
                <c:formatCode>0</c:formatCode>
                <c:ptCount val="7"/>
                <c:pt idx="0">
                  <c:v>457.22149999999999</c:v>
                </c:pt>
                <c:pt idx="1">
                  <c:v>306.55590000000001</c:v>
                </c:pt>
                <c:pt idx="2">
                  <c:v>412.51189999999997</c:v>
                </c:pt>
                <c:pt idx="3">
                  <c:v>364.5206</c:v>
                </c:pt>
                <c:pt idx="4">
                  <c:v>654.78189999999995</c:v>
                </c:pt>
                <c:pt idx="5">
                  <c:v>658.19470000000001</c:v>
                </c:pt>
                <c:pt idx="6">
                  <c:v>946.06349999999998</c:v>
                </c:pt>
              </c:numCache>
            </c:numRef>
          </c:val>
          <c:extLst>
            <c:ext xmlns:c16="http://schemas.microsoft.com/office/drawing/2014/chart" uri="{C3380CC4-5D6E-409C-BE32-E72D297353CC}">
              <c16:uniqueId val="{00000001-8F11-44E6-A362-2B1119DDEBEE}"/>
            </c:ext>
          </c:extLst>
        </c:ser>
        <c:dLbls>
          <c:showLegendKey val="0"/>
          <c:showVal val="0"/>
          <c:showCatName val="0"/>
          <c:showSerName val="0"/>
          <c:showPercent val="0"/>
          <c:showBubbleSize val="0"/>
        </c:dLbls>
        <c:gapWidth val="219"/>
        <c:overlap val="-27"/>
        <c:axId val="730126655"/>
        <c:axId val="730114175"/>
      </c:barChart>
      <c:catAx>
        <c:axId val="73012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114175"/>
        <c:crosses val="autoZero"/>
        <c:auto val="1"/>
        <c:lblAlgn val="ctr"/>
        <c:lblOffset val="100"/>
        <c:noMultiLvlLbl val="0"/>
      </c:catAx>
      <c:valAx>
        <c:axId val="730114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r-Latn-ME" b="1"/>
                  <a:t>kg/godini</a:t>
                </a:r>
                <a:endParaRPr lang="en-GB"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12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 4008</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'Rubber-grafici'!$J$14</c:f>
              <c:strCache>
                <c:ptCount val="1"/>
                <c:pt idx="0">
                  <c:v>SCCP</c:v>
                </c:pt>
              </c:strCache>
            </c:strRef>
          </c:tx>
          <c:spPr>
            <a:solidFill>
              <a:schemeClr val="accent1"/>
            </a:solidFill>
            <a:ln>
              <a:noFill/>
            </a:ln>
            <a:effectLst/>
          </c:spPr>
          <c:invertIfNegative val="0"/>
          <c:cat>
            <c:numRef>
              <c:f>'Rubber-grafici'!$K$13:$Q$13</c:f>
              <c:numCache>
                <c:formatCode>General</c:formatCode>
                <c:ptCount val="7"/>
                <c:pt idx="0">
                  <c:v>2017</c:v>
                </c:pt>
                <c:pt idx="1">
                  <c:v>2018</c:v>
                </c:pt>
                <c:pt idx="2">
                  <c:v>2019</c:v>
                </c:pt>
                <c:pt idx="3">
                  <c:v>2020</c:v>
                </c:pt>
                <c:pt idx="4">
                  <c:v>2021</c:v>
                </c:pt>
                <c:pt idx="5">
                  <c:v>2022</c:v>
                </c:pt>
                <c:pt idx="6">
                  <c:v>2023</c:v>
                </c:pt>
              </c:numCache>
            </c:numRef>
          </c:cat>
          <c:val>
            <c:numRef>
              <c:f>'Rubber-grafici'!$K$14:$Q$14</c:f>
              <c:numCache>
                <c:formatCode>0.0</c:formatCode>
                <c:ptCount val="7"/>
                <c:pt idx="0">
                  <c:v>3.4275959999999999</c:v>
                </c:pt>
                <c:pt idx="1">
                  <c:v>26.12444399999999</c:v>
                </c:pt>
                <c:pt idx="2">
                  <c:v>17.553995999999998</c:v>
                </c:pt>
                <c:pt idx="3">
                  <c:v>39.252761999999997</c:v>
                </c:pt>
                <c:pt idx="4">
                  <c:v>80.007425999999995</c:v>
                </c:pt>
                <c:pt idx="5">
                  <c:v>35.959788000000003</c:v>
                </c:pt>
                <c:pt idx="6">
                  <c:v>89.143091999999996</c:v>
                </c:pt>
              </c:numCache>
            </c:numRef>
          </c:val>
          <c:extLst>
            <c:ext xmlns:c16="http://schemas.microsoft.com/office/drawing/2014/chart" uri="{C3380CC4-5D6E-409C-BE32-E72D297353CC}">
              <c16:uniqueId val="{00000000-9980-4252-9DC7-AD9555579B73}"/>
            </c:ext>
          </c:extLst>
        </c:ser>
        <c:ser>
          <c:idx val="1"/>
          <c:order val="1"/>
          <c:tx>
            <c:strRef>
              <c:f>'Rubber-grafici'!$J$15</c:f>
              <c:strCache>
                <c:ptCount val="1"/>
                <c:pt idx="0">
                  <c:v>MCCP</c:v>
                </c:pt>
              </c:strCache>
            </c:strRef>
          </c:tx>
          <c:spPr>
            <a:solidFill>
              <a:schemeClr val="accent2"/>
            </a:solidFill>
            <a:ln>
              <a:noFill/>
            </a:ln>
            <a:effectLst/>
          </c:spPr>
          <c:invertIfNegative val="0"/>
          <c:cat>
            <c:numRef>
              <c:f>'Rubber-grafici'!$K$13:$Q$13</c:f>
              <c:numCache>
                <c:formatCode>General</c:formatCode>
                <c:ptCount val="7"/>
                <c:pt idx="0">
                  <c:v>2017</c:v>
                </c:pt>
                <c:pt idx="1">
                  <c:v>2018</c:v>
                </c:pt>
                <c:pt idx="2">
                  <c:v>2019</c:v>
                </c:pt>
                <c:pt idx="3">
                  <c:v>2020</c:v>
                </c:pt>
                <c:pt idx="4">
                  <c:v>2021</c:v>
                </c:pt>
                <c:pt idx="5">
                  <c:v>2022</c:v>
                </c:pt>
                <c:pt idx="6">
                  <c:v>2023</c:v>
                </c:pt>
              </c:numCache>
            </c:numRef>
          </c:cat>
          <c:val>
            <c:numRef>
              <c:f>'Rubber-grafici'!$K$15:$Q$15</c:f>
              <c:numCache>
                <c:formatCode>0.0</c:formatCode>
                <c:ptCount val="7"/>
                <c:pt idx="0">
                  <c:v>12.885222000000001</c:v>
                </c:pt>
                <c:pt idx="1">
                  <c:v>98.208557999999954</c:v>
                </c:pt>
                <c:pt idx="2">
                  <c:v>65.990021999999996</c:v>
                </c:pt>
                <c:pt idx="3">
                  <c:v>147.56130899999997</c:v>
                </c:pt>
                <c:pt idx="4">
                  <c:v>300.76865699999996</c:v>
                </c:pt>
                <c:pt idx="5">
                  <c:v>135.182166</c:v>
                </c:pt>
                <c:pt idx="6">
                  <c:v>335.11199399999998</c:v>
                </c:pt>
              </c:numCache>
            </c:numRef>
          </c:val>
          <c:extLst>
            <c:ext xmlns:c16="http://schemas.microsoft.com/office/drawing/2014/chart" uri="{C3380CC4-5D6E-409C-BE32-E72D297353CC}">
              <c16:uniqueId val="{00000001-9980-4252-9DC7-AD9555579B73}"/>
            </c:ext>
          </c:extLst>
        </c:ser>
        <c:dLbls>
          <c:showLegendKey val="0"/>
          <c:showVal val="0"/>
          <c:showCatName val="0"/>
          <c:showSerName val="0"/>
          <c:showPercent val="0"/>
          <c:showBubbleSize val="0"/>
        </c:dLbls>
        <c:gapWidth val="219"/>
        <c:overlap val="-27"/>
        <c:axId val="256740223"/>
        <c:axId val="256738559"/>
      </c:barChart>
      <c:catAx>
        <c:axId val="25674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738559"/>
        <c:crosses val="autoZero"/>
        <c:auto val="1"/>
        <c:lblAlgn val="ctr"/>
        <c:lblOffset val="100"/>
        <c:noMultiLvlLbl val="0"/>
      </c:catAx>
      <c:valAx>
        <c:axId val="256738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74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a:t>
            </a:r>
            <a:r>
              <a:rPr lang="sr-Latn-ME" sz="1000" b="1" baseline="0">
                <a:latin typeface="Cambria" panose="02040503050406030204" pitchFamily="18" charset="0"/>
                <a:ea typeface="Cambria" panose="02040503050406030204" pitchFamily="18" charset="0"/>
              </a:rPr>
              <a:t> 4009</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'Rubber-grafici'!$J$24</c:f>
              <c:strCache>
                <c:ptCount val="1"/>
                <c:pt idx="0">
                  <c:v>SCCP</c:v>
                </c:pt>
              </c:strCache>
            </c:strRef>
          </c:tx>
          <c:spPr>
            <a:solidFill>
              <a:schemeClr val="accent1"/>
            </a:solidFill>
            <a:ln>
              <a:noFill/>
            </a:ln>
            <a:effectLst/>
          </c:spPr>
          <c:invertIfNegative val="0"/>
          <c:cat>
            <c:numRef>
              <c:f>'Rubber-grafici'!$K$23:$Q$23</c:f>
              <c:numCache>
                <c:formatCode>General</c:formatCode>
                <c:ptCount val="7"/>
                <c:pt idx="0">
                  <c:v>2017</c:v>
                </c:pt>
                <c:pt idx="1">
                  <c:v>2018</c:v>
                </c:pt>
                <c:pt idx="2">
                  <c:v>2019</c:v>
                </c:pt>
                <c:pt idx="3">
                  <c:v>2020</c:v>
                </c:pt>
                <c:pt idx="4">
                  <c:v>2021</c:v>
                </c:pt>
                <c:pt idx="5">
                  <c:v>2022</c:v>
                </c:pt>
                <c:pt idx="6">
                  <c:v>2023</c:v>
                </c:pt>
              </c:numCache>
            </c:numRef>
          </c:cat>
          <c:val>
            <c:numRef>
              <c:f>'Rubber-grafici'!$K$24:$Q$24</c:f>
              <c:numCache>
                <c:formatCode>0.00</c:formatCode>
                <c:ptCount val="7"/>
                <c:pt idx="0">
                  <c:v>0.73792599999999997</c:v>
                </c:pt>
                <c:pt idx="1">
                  <c:v>2.5518240000000003</c:v>
                </c:pt>
                <c:pt idx="2">
                  <c:v>2.9859340000000003</c:v>
                </c:pt>
                <c:pt idx="3">
                  <c:v>2.6650480000000014</c:v>
                </c:pt>
                <c:pt idx="4">
                  <c:v>2.1470979999999993</c:v>
                </c:pt>
                <c:pt idx="5">
                  <c:v>2.4754880000000021</c:v>
                </c:pt>
                <c:pt idx="6">
                  <c:v>2.4038100000000022</c:v>
                </c:pt>
              </c:numCache>
            </c:numRef>
          </c:val>
          <c:extLst>
            <c:ext xmlns:c16="http://schemas.microsoft.com/office/drawing/2014/chart" uri="{C3380CC4-5D6E-409C-BE32-E72D297353CC}">
              <c16:uniqueId val="{00000000-0111-4075-8B6E-4C0C33082196}"/>
            </c:ext>
          </c:extLst>
        </c:ser>
        <c:ser>
          <c:idx val="1"/>
          <c:order val="1"/>
          <c:tx>
            <c:strRef>
              <c:f>'Rubber-grafici'!$J$25</c:f>
              <c:strCache>
                <c:ptCount val="1"/>
                <c:pt idx="0">
                  <c:v>MCCP</c:v>
                </c:pt>
              </c:strCache>
            </c:strRef>
          </c:tx>
          <c:spPr>
            <a:solidFill>
              <a:schemeClr val="accent2"/>
            </a:solidFill>
            <a:ln>
              <a:noFill/>
            </a:ln>
            <a:effectLst/>
          </c:spPr>
          <c:invertIfNegative val="0"/>
          <c:cat>
            <c:numRef>
              <c:f>'Rubber-grafici'!$K$23:$Q$23</c:f>
              <c:numCache>
                <c:formatCode>General</c:formatCode>
                <c:ptCount val="7"/>
                <c:pt idx="0">
                  <c:v>2017</c:v>
                </c:pt>
                <c:pt idx="1">
                  <c:v>2018</c:v>
                </c:pt>
                <c:pt idx="2">
                  <c:v>2019</c:v>
                </c:pt>
                <c:pt idx="3">
                  <c:v>2020</c:v>
                </c:pt>
                <c:pt idx="4">
                  <c:v>2021</c:v>
                </c:pt>
                <c:pt idx="5">
                  <c:v>2022</c:v>
                </c:pt>
                <c:pt idx="6">
                  <c:v>2023</c:v>
                </c:pt>
              </c:numCache>
            </c:numRef>
          </c:cat>
          <c:val>
            <c:numRef>
              <c:f>'Rubber-grafici'!$K$25:$Q$25</c:f>
              <c:numCache>
                <c:formatCode>0.00</c:formatCode>
                <c:ptCount val="7"/>
                <c:pt idx="0">
                  <c:v>0.36896299999999999</c:v>
                </c:pt>
                <c:pt idx="1">
                  <c:v>1.2759120000000002</c:v>
                </c:pt>
                <c:pt idx="2">
                  <c:v>1.4929670000000002</c:v>
                </c:pt>
                <c:pt idx="3">
                  <c:v>1.3325240000000007</c:v>
                </c:pt>
                <c:pt idx="4">
                  <c:v>1.0735489999999996</c:v>
                </c:pt>
                <c:pt idx="5">
                  <c:v>1.2377440000000011</c:v>
                </c:pt>
                <c:pt idx="6">
                  <c:v>1.2019050000000011</c:v>
                </c:pt>
              </c:numCache>
            </c:numRef>
          </c:val>
          <c:extLst>
            <c:ext xmlns:c16="http://schemas.microsoft.com/office/drawing/2014/chart" uri="{C3380CC4-5D6E-409C-BE32-E72D297353CC}">
              <c16:uniqueId val="{00000001-0111-4075-8B6E-4C0C33082196}"/>
            </c:ext>
          </c:extLst>
        </c:ser>
        <c:dLbls>
          <c:showLegendKey val="0"/>
          <c:showVal val="0"/>
          <c:showCatName val="0"/>
          <c:showSerName val="0"/>
          <c:showPercent val="0"/>
          <c:showBubbleSize val="0"/>
        </c:dLbls>
        <c:gapWidth val="219"/>
        <c:overlap val="-27"/>
        <c:axId val="258219599"/>
        <c:axId val="258204207"/>
      </c:barChart>
      <c:catAx>
        <c:axId val="25821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04207"/>
        <c:crosses val="autoZero"/>
        <c:auto val="1"/>
        <c:lblAlgn val="ctr"/>
        <c:lblOffset val="100"/>
        <c:noMultiLvlLbl val="0"/>
      </c:catAx>
      <c:valAx>
        <c:axId val="258204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1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a:t>
            </a:r>
            <a:r>
              <a:rPr lang="sr-Latn-ME" sz="1000" b="1" baseline="0">
                <a:latin typeface="Cambria" panose="02040503050406030204" pitchFamily="18" charset="0"/>
                <a:ea typeface="Cambria" panose="02040503050406030204" pitchFamily="18" charset="0"/>
              </a:rPr>
              <a:t> 4015</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'Rubber-grafici'!$I$52</c:f>
              <c:strCache>
                <c:ptCount val="1"/>
                <c:pt idx="0">
                  <c:v>SCCP</c:v>
                </c:pt>
              </c:strCache>
            </c:strRef>
          </c:tx>
          <c:spPr>
            <a:solidFill>
              <a:schemeClr val="accent1"/>
            </a:solidFill>
            <a:ln>
              <a:noFill/>
            </a:ln>
            <a:effectLst/>
          </c:spPr>
          <c:invertIfNegative val="0"/>
          <c:cat>
            <c:numRef>
              <c:f>'Rubber-grafici'!$J$51:$P$51</c:f>
              <c:numCache>
                <c:formatCode>General</c:formatCode>
                <c:ptCount val="7"/>
                <c:pt idx="0">
                  <c:v>2017</c:v>
                </c:pt>
                <c:pt idx="1">
                  <c:v>2018</c:v>
                </c:pt>
                <c:pt idx="2">
                  <c:v>2019</c:v>
                </c:pt>
                <c:pt idx="3">
                  <c:v>2020</c:v>
                </c:pt>
                <c:pt idx="4">
                  <c:v>2021</c:v>
                </c:pt>
                <c:pt idx="5">
                  <c:v>2022</c:v>
                </c:pt>
                <c:pt idx="6">
                  <c:v>2023</c:v>
                </c:pt>
              </c:numCache>
            </c:numRef>
          </c:cat>
          <c:val>
            <c:numRef>
              <c:f>'Rubber-grafici'!$J$52:$P$52</c:f>
              <c:numCache>
                <c:formatCode>0.0</c:formatCode>
                <c:ptCount val="7"/>
                <c:pt idx="0">
                  <c:v>154.24754400000006</c:v>
                </c:pt>
                <c:pt idx="1">
                  <c:v>407.39543999999984</c:v>
                </c:pt>
                <c:pt idx="2">
                  <c:v>413.67887999999994</c:v>
                </c:pt>
                <c:pt idx="3">
                  <c:v>455.4765000000001</c:v>
                </c:pt>
                <c:pt idx="4">
                  <c:v>616.52145600000028</c:v>
                </c:pt>
                <c:pt idx="5">
                  <c:v>475.82229599999982</c:v>
                </c:pt>
                <c:pt idx="6">
                  <c:v>432.07343999999983</c:v>
                </c:pt>
              </c:numCache>
            </c:numRef>
          </c:val>
          <c:extLst>
            <c:ext xmlns:c16="http://schemas.microsoft.com/office/drawing/2014/chart" uri="{C3380CC4-5D6E-409C-BE32-E72D297353CC}">
              <c16:uniqueId val="{00000000-779B-4B6E-A38A-7D0996CE6DE5}"/>
            </c:ext>
          </c:extLst>
        </c:ser>
        <c:ser>
          <c:idx val="1"/>
          <c:order val="1"/>
          <c:tx>
            <c:strRef>
              <c:f>'Rubber-grafici'!$I$53</c:f>
              <c:strCache>
                <c:ptCount val="1"/>
                <c:pt idx="0">
                  <c:v>MCCP</c:v>
                </c:pt>
              </c:strCache>
            </c:strRef>
          </c:tx>
          <c:spPr>
            <a:solidFill>
              <a:schemeClr val="accent2"/>
            </a:solidFill>
            <a:ln>
              <a:noFill/>
            </a:ln>
            <a:effectLst/>
          </c:spPr>
          <c:invertIfNegative val="0"/>
          <c:cat>
            <c:numRef>
              <c:f>'Rubber-grafici'!$J$51:$P$51</c:f>
              <c:numCache>
                <c:formatCode>General</c:formatCode>
                <c:ptCount val="7"/>
                <c:pt idx="0">
                  <c:v>2017</c:v>
                </c:pt>
                <c:pt idx="1">
                  <c:v>2018</c:v>
                </c:pt>
                <c:pt idx="2">
                  <c:v>2019</c:v>
                </c:pt>
                <c:pt idx="3">
                  <c:v>2020</c:v>
                </c:pt>
                <c:pt idx="4">
                  <c:v>2021</c:v>
                </c:pt>
                <c:pt idx="5">
                  <c:v>2022</c:v>
                </c:pt>
                <c:pt idx="6">
                  <c:v>2023</c:v>
                </c:pt>
              </c:numCache>
            </c:numRef>
          </c:cat>
          <c:val>
            <c:numRef>
              <c:f>'Rubber-grafici'!$J$53:$P$53</c:f>
              <c:numCache>
                <c:formatCode>0.0</c:formatCode>
                <c:ptCount val="7"/>
                <c:pt idx="0">
                  <c:v>825.51000400000021</c:v>
                </c:pt>
                <c:pt idx="1">
                  <c:v>2180.3200399999987</c:v>
                </c:pt>
                <c:pt idx="2">
                  <c:v>2213.9480799999997</c:v>
                </c:pt>
                <c:pt idx="3">
                  <c:v>2437.6427500000004</c:v>
                </c:pt>
                <c:pt idx="4">
                  <c:v>3299.5314960000014</c:v>
                </c:pt>
                <c:pt idx="5">
                  <c:v>2546.5304359999986</c:v>
                </c:pt>
                <c:pt idx="6">
                  <c:v>2312.3930399999986</c:v>
                </c:pt>
              </c:numCache>
            </c:numRef>
          </c:val>
          <c:extLst>
            <c:ext xmlns:c16="http://schemas.microsoft.com/office/drawing/2014/chart" uri="{C3380CC4-5D6E-409C-BE32-E72D297353CC}">
              <c16:uniqueId val="{00000001-779B-4B6E-A38A-7D0996CE6DE5}"/>
            </c:ext>
          </c:extLst>
        </c:ser>
        <c:dLbls>
          <c:showLegendKey val="0"/>
          <c:showVal val="0"/>
          <c:showCatName val="0"/>
          <c:showSerName val="0"/>
          <c:showPercent val="0"/>
          <c:showBubbleSize val="0"/>
        </c:dLbls>
        <c:gapWidth val="219"/>
        <c:overlap val="-27"/>
        <c:axId val="73680207"/>
        <c:axId val="73689775"/>
      </c:barChart>
      <c:catAx>
        <c:axId val="7368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89775"/>
        <c:crosses val="autoZero"/>
        <c:auto val="1"/>
        <c:lblAlgn val="ctr"/>
        <c:lblOffset val="100"/>
        <c:noMultiLvlLbl val="0"/>
      </c:catAx>
      <c:valAx>
        <c:axId val="73689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8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a:t>
            </a:r>
            <a:r>
              <a:rPr lang="sr-Latn-ME" sz="1000" b="1" baseline="0">
                <a:latin typeface="Cambria" panose="02040503050406030204" pitchFamily="18" charset="0"/>
                <a:ea typeface="Cambria" panose="02040503050406030204" pitchFamily="18" charset="0"/>
              </a:rPr>
              <a:t> 4016</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'Rubber-grafici'!$I$62</c:f>
              <c:strCache>
                <c:ptCount val="1"/>
                <c:pt idx="0">
                  <c:v>SCCP</c:v>
                </c:pt>
              </c:strCache>
            </c:strRef>
          </c:tx>
          <c:spPr>
            <a:solidFill>
              <a:schemeClr val="accent1"/>
            </a:solidFill>
            <a:ln>
              <a:noFill/>
            </a:ln>
            <a:effectLst/>
          </c:spPr>
          <c:invertIfNegative val="0"/>
          <c:cat>
            <c:numRef>
              <c:f>'Rubber-grafici'!$J$61:$P$61</c:f>
              <c:numCache>
                <c:formatCode>General</c:formatCode>
                <c:ptCount val="7"/>
                <c:pt idx="0">
                  <c:v>2017</c:v>
                </c:pt>
                <c:pt idx="1">
                  <c:v>2018</c:v>
                </c:pt>
                <c:pt idx="2">
                  <c:v>2019</c:v>
                </c:pt>
                <c:pt idx="3">
                  <c:v>2020</c:v>
                </c:pt>
                <c:pt idx="4">
                  <c:v>2021</c:v>
                </c:pt>
                <c:pt idx="5">
                  <c:v>2022</c:v>
                </c:pt>
                <c:pt idx="6">
                  <c:v>2023</c:v>
                </c:pt>
              </c:numCache>
            </c:numRef>
          </c:cat>
          <c:val>
            <c:numRef>
              <c:f>'Rubber-grafici'!$J$62:$P$62</c:f>
              <c:numCache>
                <c:formatCode>0.0</c:formatCode>
                <c:ptCount val="7"/>
                <c:pt idx="0">
                  <c:v>856.80151199999955</c:v>
                </c:pt>
                <c:pt idx="1">
                  <c:v>466.22573199999971</c:v>
                </c:pt>
                <c:pt idx="2">
                  <c:v>474.59731199999942</c:v>
                </c:pt>
                <c:pt idx="3">
                  <c:v>351.36855599999939</c:v>
                </c:pt>
                <c:pt idx="4">
                  <c:v>205.92767999999953</c:v>
                </c:pt>
                <c:pt idx="5">
                  <c:v>255.98101200000008</c:v>
                </c:pt>
                <c:pt idx="6">
                  <c:v>328.02621599999947</c:v>
                </c:pt>
              </c:numCache>
            </c:numRef>
          </c:val>
          <c:extLst>
            <c:ext xmlns:c16="http://schemas.microsoft.com/office/drawing/2014/chart" uri="{C3380CC4-5D6E-409C-BE32-E72D297353CC}">
              <c16:uniqueId val="{00000000-FDBA-4424-9B16-53DCEBC7B218}"/>
            </c:ext>
          </c:extLst>
        </c:ser>
        <c:ser>
          <c:idx val="1"/>
          <c:order val="1"/>
          <c:tx>
            <c:strRef>
              <c:f>'Rubber-grafici'!$I$63</c:f>
              <c:strCache>
                <c:ptCount val="1"/>
                <c:pt idx="0">
                  <c:v>MCCP</c:v>
                </c:pt>
              </c:strCache>
            </c:strRef>
          </c:tx>
          <c:spPr>
            <a:solidFill>
              <a:schemeClr val="accent2"/>
            </a:solidFill>
            <a:ln>
              <a:noFill/>
            </a:ln>
            <a:effectLst/>
          </c:spPr>
          <c:invertIfNegative val="0"/>
          <c:cat>
            <c:numRef>
              <c:f>'Rubber-grafici'!$J$61:$P$61</c:f>
              <c:numCache>
                <c:formatCode>General</c:formatCode>
                <c:ptCount val="7"/>
                <c:pt idx="0">
                  <c:v>2017</c:v>
                </c:pt>
                <c:pt idx="1">
                  <c:v>2018</c:v>
                </c:pt>
                <c:pt idx="2">
                  <c:v>2019</c:v>
                </c:pt>
                <c:pt idx="3">
                  <c:v>2020</c:v>
                </c:pt>
                <c:pt idx="4">
                  <c:v>2021</c:v>
                </c:pt>
                <c:pt idx="5">
                  <c:v>2022</c:v>
                </c:pt>
                <c:pt idx="6">
                  <c:v>2023</c:v>
                </c:pt>
              </c:numCache>
            </c:numRef>
          </c:cat>
          <c:val>
            <c:numRef>
              <c:f>'Rubber-grafici'!$J$63:$P$63</c:f>
              <c:numCache>
                <c:formatCode>0.0</c:formatCode>
                <c:ptCount val="7"/>
                <c:pt idx="0">
                  <c:v>37454.466095999989</c:v>
                </c:pt>
                <c:pt idx="1">
                  <c:v>20380.72485599999</c:v>
                </c:pt>
                <c:pt idx="2">
                  <c:v>20746.682495999976</c:v>
                </c:pt>
                <c:pt idx="3">
                  <c:v>15359.825447999974</c:v>
                </c:pt>
                <c:pt idx="4">
                  <c:v>9001.9814399999796</c:v>
                </c:pt>
                <c:pt idx="5">
                  <c:v>11190.027096000005</c:v>
                </c:pt>
                <c:pt idx="6">
                  <c:v>14339.43172799998</c:v>
                </c:pt>
              </c:numCache>
            </c:numRef>
          </c:val>
          <c:extLst>
            <c:ext xmlns:c16="http://schemas.microsoft.com/office/drawing/2014/chart" uri="{C3380CC4-5D6E-409C-BE32-E72D297353CC}">
              <c16:uniqueId val="{00000001-FDBA-4424-9B16-53DCEBC7B218}"/>
            </c:ext>
          </c:extLst>
        </c:ser>
        <c:dLbls>
          <c:showLegendKey val="0"/>
          <c:showVal val="0"/>
          <c:showCatName val="0"/>
          <c:showSerName val="0"/>
          <c:showPercent val="0"/>
          <c:showBubbleSize val="0"/>
        </c:dLbls>
        <c:gapWidth val="219"/>
        <c:overlap val="-27"/>
        <c:axId val="2029692175"/>
        <c:axId val="2029688847"/>
      </c:barChart>
      <c:catAx>
        <c:axId val="202969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88847"/>
        <c:crosses val="autoZero"/>
        <c:auto val="1"/>
        <c:lblAlgn val="ctr"/>
        <c:lblOffset val="100"/>
        <c:noMultiLvlLbl val="0"/>
      </c:catAx>
      <c:valAx>
        <c:axId val="2029688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92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Rezultati ankete:„Da li vaše domaćinstvo ima CRT računar­ski monitor?“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Sheet1!$E$8</c:f>
              <c:strCache>
                <c:ptCount val="1"/>
                <c:pt idx="0">
                  <c:v>%</c:v>
                </c:pt>
              </c:strCache>
            </c:strRef>
          </c:tx>
          <c:spPr>
            <a:solidFill>
              <a:schemeClr val="accent1"/>
            </a:solidFill>
            <a:ln>
              <a:noFill/>
            </a:ln>
            <a:effectLst/>
          </c:spPr>
          <c:invertIfNegative val="0"/>
          <c:cat>
            <c:strRef>
              <c:f>Sheet1!$D$9:$D$11</c:f>
              <c:strCache>
                <c:ptCount val="3"/>
                <c:pt idx="0">
                  <c:v>Da ali nije u upotrebi</c:v>
                </c:pt>
                <c:pt idx="1">
                  <c:v>Ne</c:v>
                </c:pt>
                <c:pt idx="2">
                  <c:v>Da i u upotrebi je </c:v>
                </c:pt>
              </c:strCache>
            </c:strRef>
          </c:cat>
          <c:val>
            <c:numRef>
              <c:f>Sheet1!$E$9:$E$11</c:f>
              <c:numCache>
                <c:formatCode>General</c:formatCode>
                <c:ptCount val="3"/>
                <c:pt idx="0">
                  <c:v>12</c:v>
                </c:pt>
                <c:pt idx="1">
                  <c:v>86.4</c:v>
                </c:pt>
                <c:pt idx="2">
                  <c:v>1.6</c:v>
                </c:pt>
              </c:numCache>
            </c:numRef>
          </c:val>
          <c:extLst>
            <c:ext xmlns:c16="http://schemas.microsoft.com/office/drawing/2014/chart" uri="{C3380CC4-5D6E-409C-BE32-E72D297353CC}">
              <c16:uniqueId val="{00000000-F8B9-408B-B784-32625D1E11B0}"/>
            </c:ext>
          </c:extLst>
        </c:ser>
        <c:dLbls>
          <c:showLegendKey val="0"/>
          <c:showVal val="0"/>
          <c:showCatName val="0"/>
          <c:showSerName val="0"/>
          <c:showPercent val="0"/>
          <c:showBubbleSize val="0"/>
        </c:dLbls>
        <c:gapWidth val="182"/>
        <c:axId val="1072110895"/>
        <c:axId val="1072111855"/>
      </c:barChart>
      <c:catAx>
        <c:axId val="10721108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111855"/>
        <c:crosses val="autoZero"/>
        <c:auto val="1"/>
        <c:lblAlgn val="ctr"/>
        <c:lblOffset val="100"/>
        <c:noMultiLvlLbl val="0"/>
      </c:catAx>
      <c:valAx>
        <c:axId val="1072111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1108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4776969587823119"/>
          <c:w val="0.81388888888888888"/>
          <c:h val="0.6093944578401651"/>
        </c:manualLayout>
      </c:layout>
      <c:pie3DChart>
        <c:varyColors val="1"/>
        <c:ser>
          <c:idx val="0"/>
          <c:order val="0"/>
          <c:tx>
            <c:strRef>
              <c:f>'Rubber (2)'!$D$76</c:f>
              <c:strCache>
                <c:ptCount val="1"/>
                <c:pt idx="0">
                  <c:v>Rubber</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73-4DFC-B021-F8C387D0726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73-4DFC-B021-F8C387D0726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73-4DFC-B021-F8C387D0726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E73-4DFC-B021-F8C387D0726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E73-4DFC-B021-F8C387D0726F}"/>
              </c:ext>
            </c:extLst>
          </c:dPt>
          <c:dLbls>
            <c:dLbl>
              <c:idx val="2"/>
              <c:layout>
                <c:manualLayout>
                  <c:x val="1.3888888888888888E-2"/>
                  <c:y val="3.38839474798814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73-4DFC-B021-F8C387D072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'Rubber (2)'!$E$75:$I$75</c:f>
              <c:strCache>
                <c:ptCount val="5"/>
                <c:pt idx="0">
                  <c:v>HS 4008</c:v>
                </c:pt>
                <c:pt idx="1">
                  <c:v>HS 4009</c:v>
                </c:pt>
                <c:pt idx="2">
                  <c:v>HS 4010</c:v>
                </c:pt>
                <c:pt idx="3">
                  <c:v>HS 4015</c:v>
                </c:pt>
                <c:pt idx="4">
                  <c:v>HS 4016</c:v>
                </c:pt>
              </c:strCache>
            </c:strRef>
          </c:cat>
          <c:val>
            <c:numRef>
              <c:f>'Rubber (2)'!$E$76:$I$76</c:f>
              <c:numCache>
                <c:formatCode>General</c:formatCode>
                <c:ptCount val="5"/>
                <c:pt idx="0">
                  <c:v>17991.919999999998</c:v>
                </c:pt>
                <c:pt idx="1">
                  <c:v>79835.640000000014</c:v>
                </c:pt>
                <c:pt idx="2">
                  <c:v>62465.520000000026</c:v>
                </c:pt>
                <c:pt idx="3">
                  <c:v>273631.07</c:v>
                </c:pt>
                <c:pt idx="4">
                  <c:v>1049617.149999999</c:v>
                </c:pt>
              </c:numCache>
            </c:numRef>
          </c:val>
          <c:extLst>
            <c:ext xmlns:c16="http://schemas.microsoft.com/office/drawing/2014/chart" uri="{C3380CC4-5D6E-409C-BE32-E72D297353CC}">
              <c16:uniqueId val="{0000000A-1E73-4DFC-B021-F8C387D0726F}"/>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7804024496938"/>
          <c:y val="0.11711711711711711"/>
          <c:w val="0.82498862642169724"/>
          <c:h val="0.64739448109526854"/>
        </c:manualLayout>
      </c:layout>
      <c:barChart>
        <c:barDir val="col"/>
        <c:grouping val="clustered"/>
        <c:varyColors val="0"/>
        <c:ser>
          <c:idx val="1"/>
          <c:order val="1"/>
          <c:tx>
            <c:strRef>
              <c:f>Sheet1!$E$1</c:f>
              <c:strCache>
                <c:ptCount val="1"/>
                <c:pt idx="0">
                  <c:v> SCCP </c:v>
                </c:pt>
              </c:strCache>
            </c:strRef>
          </c:tx>
          <c:spPr>
            <a:solidFill>
              <a:srgbClr val="0066CC"/>
            </a:solidFill>
            <a:ln>
              <a:noFill/>
            </a:ln>
            <a:effectLst/>
          </c:spPr>
          <c:invertIfNegative val="0"/>
          <c:cat>
            <c:numRef>
              <c:f>Sheet1!$B$2:$B$8</c:f>
              <c:numCache>
                <c:formatCode>General</c:formatCode>
                <c:ptCount val="7"/>
                <c:pt idx="0">
                  <c:v>2017</c:v>
                </c:pt>
                <c:pt idx="1">
                  <c:v>2018</c:v>
                </c:pt>
                <c:pt idx="2">
                  <c:v>2019</c:v>
                </c:pt>
                <c:pt idx="3">
                  <c:v>2020</c:v>
                </c:pt>
                <c:pt idx="4">
                  <c:v>2021</c:v>
                </c:pt>
                <c:pt idx="5">
                  <c:v>2022</c:v>
                </c:pt>
                <c:pt idx="6">
                  <c:v>2023</c:v>
                </c:pt>
              </c:numCache>
            </c:numRef>
          </c:cat>
          <c:val>
            <c:numRef>
              <c:f>Sheet1!$E$2:$E$8</c:f>
              <c:numCache>
                <c:formatCode>General</c:formatCode>
                <c:ptCount val="7"/>
                <c:pt idx="0">
                  <c:v>2.25</c:v>
                </c:pt>
                <c:pt idx="1">
                  <c:v>2.66</c:v>
                </c:pt>
                <c:pt idx="2">
                  <c:v>5.14</c:v>
                </c:pt>
                <c:pt idx="3">
                  <c:v>6.88</c:v>
                </c:pt>
                <c:pt idx="4">
                  <c:v>9.51</c:v>
                </c:pt>
                <c:pt idx="5">
                  <c:v>11.32</c:v>
                </c:pt>
                <c:pt idx="6">
                  <c:v>14.94</c:v>
                </c:pt>
              </c:numCache>
            </c:numRef>
          </c:val>
          <c:extLst>
            <c:ext xmlns:c16="http://schemas.microsoft.com/office/drawing/2014/chart" uri="{C3380CC4-5D6E-409C-BE32-E72D297353CC}">
              <c16:uniqueId val="{00000000-CB93-4FCD-8742-8130071B4120}"/>
            </c:ext>
          </c:extLst>
        </c:ser>
        <c:ser>
          <c:idx val="2"/>
          <c:order val="2"/>
          <c:tx>
            <c:strRef>
              <c:f>Sheet1!$G$1</c:f>
              <c:strCache>
                <c:ptCount val="1"/>
                <c:pt idx="0">
                  <c:v>MCCP</c:v>
                </c:pt>
              </c:strCache>
            </c:strRef>
          </c:tx>
          <c:spPr>
            <a:solidFill>
              <a:schemeClr val="accent2"/>
            </a:solidFill>
            <a:ln>
              <a:noFill/>
            </a:ln>
            <a:effectLst/>
          </c:spPr>
          <c:invertIfNegative val="0"/>
          <c:cat>
            <c:numRef>
              <c:f>Sheet1!$B$2:$B$8</c:f>
              <c:numCache>
                <c:formatCode>General</c:formatCode>
                <c:ptCount val="7"/>
                <c:pt idx="0">
                  <c:v>2017</c:v>
                </c:pt>
                <c:pt idx="1">
                  <c:v>2018</c:v>
                </c:pt>
                <c:pt idx="2">
                  <c:v>2019</c:v>
                </c:pt>
                <c:pt idx="3">
                  <c:v>2020</c:v>
                </c:pt>
                <c:pt idx="4">
                  <c:v>2021</c:v>
                </c:pt>
                <c:pt idx="5">
                  <c:v>2022</c:v>
                </c:pt>
                <c:pt idx="6">
                  <c:v>2023</c:v>
                </c:pt>
              </c:numCache>
            </c:numRef>
          </c:cat>
          <c:val>
            <c:numRef>
              <c:f>Sheet1!$G$2:$G$8</c:f>
              <c:numCache>
                <c:formatCode>General</c:formatCode>
                <c:ptCount val="7"/>
                <c:pt idx="0">
                  <c:v>0.28000000000000003</c:v>
                </c:pt>
                <c:pt idx="1">
                  <c:v>0.33</c:v>
                </c:pt>
                <c:pt idx="2">
                  <c:v>0.64</c:v>
                </c:pt>
                <c:pt idx="3">
                  <c:v>0.86</c:v>
                </c:pt>
                <c:pt idx="4">
                  <c:v>1.19</c:v>
                </c:pt>
                <c:pt idx="5">
                  <c:v>1.42</c:v>
                </c:pt>
                <c:pt idx="6">
                  <c:v>1.87</c:v>
                </c:pt>
              </c:numCache>
            </c:numRef>
          </c:val>
          <c:extLst>
            <c:ext xmlns:c16="http://schemas.microsoft.com/office/drawing/2014/chart" uri="{C3380CC4-5D6E-409C-BE32-E72D297353CC}">
              <c16:uniqueId val="{00000001-CB93-4FCD-8742-8130071B4120}"/>
            </c:ext>
          </c:extLst>
        </c:ser>
        <c:dLbls>
          <c:showLegendKey val="0"/>
          <c:showVal val="0"/>
          <c:showCatName val="0"/>
          <c:showSerName val="0"/>
          <c:showPercent val="0"/>
          <c:showBubbleSize val="0"/>
        </c:dLbls>
        <c:gapWidth val="219"/>
        <c:overlap val="-27"/>
        <c:axId val="672670031"/>
        <c:axId val="672671471"/>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Year</c:v>
                      </c:pt>
                    </c:strCache>
                  </c:strRef>
                </c:tx>
                <c:spPr>
                  <a:solidFill>
                    <a:schemeClr val="accent1"/>
                  </a:solidFill>
                  <a:ln>
                    <a:noFill/>
                  </a:ln>
                  <a:effectLst/>
                </c:spPr>
                <c:invertIfNegative val="0"/>
                <c:cat>
                  <c:numRef>
                    <c:extLst>
                      <c:ext uri="{02D57815-91ED-43cb-92C2-25804820EDAC}">
                        <c15:formulaRef>
                          <c15:sqref>Sheet1!$B$2:$B$8</c15:sqref>
                        </c15:formulaRef>
                      </c:ext>
                    </c:extLst>
                    <c:numCache>
                      <c:formatCode>General</c:formatCode>
                      <c:ptCount val="7"/>
                      <c:pt idx="0">
                        <c:v>2017</c:v>
                      </c:pt>
                      <c:pt idx="1">
                        <c:v>2018</c:v>
                      </c:pt>
                      <c:pt idx="2">
                        <c:v>2019</c:v>
                      </c:pt>
                      <c:pt idx="3">
                        <c:v>2020</c:v>
                      </c:pt>
                      <c:pt idx="4">
                        <c:v>2021</c:v>
                      </c:pt>
                      <c:pt idx="5">
                        <c:v>2022</c:v>
                      </c:pt>
                      <c:pt idx="6">
                        <c:v>2023</c:v>
                      </c:pt>
                    </c:numCache>
                  </c:numRef>
                </c:cat>
                <c:val>
                  <c:numRef>
                    <c:extLst>
                      <c:ext uri="{02D57815-91ED-43cb-92C2-25804820EDAC}">
                        <c15:formulaRef>
                          <c15:sqref>Sheet1!$B$2:$B$8</c15:sqref>
                        </c15:formulaRef>
                      </c:ext>
                    </c:extLst>
                    <c:numCache>
                      <c:formatCode>General</c:formatCode>
                      <c:ptCount val="7"/>
                      <c:pt idx="0">
                        <c:v>2017</c:v>
                      </c:pt>
                      <c:pt idx="1">
                        <c:v>2018</c:v>
                      </c:pt>
                      <c:pt idx="2">
                        <c:v>2019</c:v>
                      </c:pt>
                      <c:pt idx="3">
                        <c:v>2020</c:v>
                      </c:pt>
                      <c:pt idx="4">
                        <c:v>2021</c:v>
                      </c:pt>
                      <c:pt idx="5">
                        <c:v>2022</c:v>
                      </c:pt>
                      <c:pt idx="6">
                        <c:v>2023</c:v>
                      </c:pt>
                    </c:numCache>
                  </c:numRef>
                </c:val>
                <c:extLst>
                  <c:ext xmlns:c16="http://schemas.microsoft.com/office/drawing/2014/chart" uri="{C3380CC4-5D6E-409C-BE32-E72D297353CC}">
                    <c16:uniqueId val="{00000002-CB93-4FCD-8742-8130071B4120}"/>
                  </c:ext>
                </c:extLst>
              </c15:ser>
            </c15:filteredBarSeries>
          </c:ext>
        </c:extLst>
      </c:barChart>
      <c:catAx>
        <c:axId val="67267003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1000" b="1" i="0" u="none" strike="noStrike" baseline="0">
                    <a:effectLst/>
                    <a:latin typeface="Cambria" panose="02040503050406030204" pitchFamily="18" charset="0"/>
                    <a:ea typeface="Cambria" panose="02040503050406030204" pitchFamily="18" charset="0"/>
                  </a:rPr>
                  <a:t>HS 3921120000 </a:t>
                </a:r>
                <a:endParaRPr lang="en-US" sz="1000" b="1">
                  <a:latin typeface="Cambria" panose="02040503050406030204" pitchFamily="18" charset="0"/>
                  <a:ea typeface="Cambria" panose="02040503050406030204" pitchFamily="18" charset="0"/>
                </a:endParaRPr>
              </a:p>
            </c:rich>
          </c:tx>
          <c:layout>
            <c:manualLayout>
              <c:xMode val="edge"/>
              <c:yMode val="edge"/>
              <c:x val="0.44254724409448826"/>
              <c:y val="2.216145279137402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1471"/>
        <c:crosses val="autoZero"/>
        <c:auto val="1"/>
        <c:lblAlgn val="ctr"/>
        <c:lblOffset val="100"/>
        <c:noMultiLvlLbl val="0"/>
      </c:catAx>
      <c:valAx>
        <c:axId val="672671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7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 3920499000</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'PVC-grafici '!$J$36</c:f>
              <c:strCache>
                <c:ptCount val="1"/>
                <c:pt idx="0">
                  <c:v>SCCP</c:v>
                </c:pt>
              </c:strCache>
            </c:strRef>
          </c:tx>
          <c:spPr>
            <a:solidFill>
              <a:schemeClr val="accent1"/>
            </a:solidFill>
            <a:ln>
              <a:noFill/>
            </a:ln>
            <a:effectLst/>
          </c:spPr>
          <c:invertIfNegative val="0"/>
          <c:cat>
            <c:numRef>
              <c:f>'PVC-grafici '!$K$35:$Q$35</c:f>
              <c:numCache>
                <c:formatCode>General</c:formatCode>
                <c:ptCount val="7"/>
                <c:pt idx="0">
                  <c:v>2017</c:v>
                </c:pt>
                <c:pt idx="1">
                  <c:v>2018</c:v>
                </c:pt>
                <c:pt idx="2">
                  <c:v>2019</c:v>
                </c:pt>
                <c:pt idx="3">
                  <c:v>2020</c:v>
                </c:pt>
                <c:pt idx="4">
                  <c:v>2021</c:v>
                </c:pt>
                <c:pt idx="5">
                  <c:v>2022</c:v>
                </c:pt>
                <c:pt idx="6">
                  <c:v>2023</c:v>
                </c:pt>
              </c:numCache>
            </c:numRef>
          </c:cat>
          <c:val>
            <c:numRef>
              <c:f>'PVC-grafici '!$K$36:$Q$36</c:f>
              <c:numCache>
                <c:formatCode>0.0</c:formatCode>
                <c:ptCount val="7"/>
                <c:pt idx="0">
                  <c:v>0</c:v>
                </c:pt>
                <c:pt idx="1">
                  <c:v>1278.5940000000001</c:v>
                </c:pt>
                <c:pt idx="2">
                  <c:v>17.447400000000002</c:v>
                </c:pt>
                <c:pt idx="3">
                  <c:v>13.617000000000003</c:v>
                </c:pt>
                <c:pt idx="4">
                  <c:v>123.21899999999998</c:v>
                </c:pt>
                <c:pt idx="5">
                  <c:v>626.86079999999993</c:v>
                </c:pt>
                <c:pt idx="6">
                  <c:v>722.37599999999998</c:v>
                </c:pt>
              </c:numCache>
            </c:numRef>
          </c:val>
          <c:extLst>
            <c:ext xmlns:c16="http://schemas.microsoft.com/office/drawing/2014/chart" uri="{C3380CC4-5D6E-409C-BE32-E72D297353CC}">
              <c16:uniqueId val="{00000000-2C0C-4878-B622-B4BE44BB42E1}"/>
            </c:ext>
          </c:extLst>
        </c:ser>
        <c:ser>
          <c:idx val="1"/>
          <c:order val="1"/>
          <c:tx>
            <c:strRef>
              <c:f>'PVC-grafici '!$J$37</c:f>
              <c:strCache>
                <c:ptCount val="1"/>
                <c:pt idx="0">
                  <c:v>MCCP</c:v>
                </c:pt>
              </c:strCache>
            </c:strRef>
          </c:tx>
          <c:spPr>
            <a:solidFill>
              <a:schemeClr val="accent2"/>
            </a:solidFill>
            <a:ln>
              <a:noFill/>
            </a:ln>
            <a:effectLst/>
          </c:spPr>
          <c:invertIfNegative val="0"/>
          <c:cat>
            <c:numRef>
              <c:f>'PVC-grafici '!$K$35:$Q$35</c:f>
              <c:numCache>
                <c:formatCode>General</c:formatCode>
                <c:ptCount val="7"/>
                <c:pt idx="0">
                  <c:v>2017</c:v>
                </c:pt>
                <c:pt idx="1">
                  <c:v>2018</c:v>
                </c:pt>
                <c:pt idx="2">
                  <c:v>2019</c:v>
                </c:pt>
                <c:pt idx="3">
                  <c:v>2020</c:v>
                </c:pt>
                <c:pt idx="4">
                  <c:v>2021</c:v>
                </c:pt>
                <c:pt idx="5">
                  <c:v>2022</c:v>
                </c:pt>
                <c:pt idx="6">
                  <c:v>2023</c:v>
                </c:pt>
              </c:numCache>
            </c:numRef>
          </c:cat>
          <c:val>
            <c:numRef>
              <c:f>'PVC-grafici '!$K$37:$Q$37</c:f>
              <c:numCache>
                <c:formatCode>0.0</c:formatCode>
                <c:ptCount val="7"/>
                <c:pt idx="0">
                  <c:v>0</c:v>
                </c:pt>
                <c:pt idx="1">
                  <c:v>728.7985799999999</c:v>
                </c:pt>
                <c:pt idx="2">
                  <c:v>9.9450179999999992</c:v>
                </c:pt>
                <c:pt idx="3">
                  <c:v>7.7616900000000006</c:v>
                </c:pt>
                <c:pt idx="4">
                  <c:v>70.234829999999988</c:v>
                </c:pt>
                <c:pt idx="5">
                  <c:v>357.31065599999988</c:v>
                </c:pt>
                <c:pt idx="6">
                  <c:v>411.75431999999995</c:v>
                </c:pt>
              </c:numCache>
            </c:numRef>
          </c:val>
          <c:extLst>
            <c:ext xmlns:c16="http://schemas.microsoft.com/office/drawing/2014/chart" uri="{C3380CC4-5D6E-409C-BE32-E72D297353CC}">
              <c16:uniqueId val="{00000001-2C0C-4878-B622-B4BE44BB42E1}"/>
            </c:ext>
          </c:extLst>
        </c:ser>
        <c:dLbls>
          <c:showLegendKey val="0"/>
          <c:showVal val="0"/>
          <c:showCatName val="0"/>
          <c:showSerName val="0"/>
          <c:showPercent val="0"/>
          <c:showBubbleSize val="0"/>
        </c:dLbls>
        <c:gapWidth val="219"/>
        <c:overlap val="-27"/>
        <c:axId val="256740223"/>
        <c:axId val="256738559"/>
      </c:barChart>
      <c:catAx>
        <c:axId val="25674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738559"/>
        <c:crosses val="autoZero"/>
        <c:auto val="1"/>
        <c:lblAlgn val="ctr"/>
        <c:lblOffset val="100"/>
        <c:noMultiLvlLbl val="0"/>
      </c:catAx>
      <c:valAx>
        <c:axId val="256738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74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a:t>
            </a:r>
            <a:r>
              <a:rPr lang="sr-Latn-ME" sz="1000" b="1" baseline="0">
                <a:latin typeface="Cambria" panose="02040503050406030204" pitchFamily="18" charset="0"/>
                <a:ea typeface="Cambria" panose="02040503050406030204" pitchFamily="18" charset="0"/>
              </a:rPr>
              <a:t> 3920491000</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'PVC-grafici '!$J$46</c:f>
              <c:strCache>
                <c:ptCount val="1"/>
                <c:pt idx="0">
                  <c:v>SCCP</c:v>
                </c:pt>
              </c:strCache>
            </c:strRef>
          </c:tx>
          <c:spPr>
            <a:solidFill>
              <a:schemeClr val="accent1"/>
            </a:solidFill>
            <a:ln>
              <a:noFill/>
            </a:ln>
            <a:effectLst/>
          </c:spPr>
          <c:invertIfNegative val="0"/>
          <c:cat>
            <c:numRef>
              <c:f>'PVC-grafici '!$K$45:$Q$45</c:f>
              <c:numCache>
                <c:formatCode>General</c:formatCode>
                <c:ptCount val="7"/>
                <c:pt idx="0">
                  <c:v>2017</c:v>
                </c:pt>
                <c:pt idx="1">
                  <c:v>2018</c:v>
                </c:pt>
                <c:pt idx="2">
                  <c:v>2019</c:v>
                </c:pt>
                <c:pt idx="3">
                  <c:v>2020</c:v>
                </c:pt>
                <c:pt idx="4">
                  <c:v>2021</c:v>
                </c:pt>
                <c:pt idx="5">
                  <c:v>2022</c:v>
                </c:pt>
                <c:pt idx="6">
                  <c:v>2023</c:v>
                </c:pt>
              </c:numCache>
            </c:numRef>
          </c:cat>
          <c:val>
            <c:numRef>
              <c:f>'PVC-grafici '!$K$46:$Q$46</c:f>
              <c:numCache>
                <c:formatCode>0.00</c:formatCode>
                <c:ptCount val="7"/>
                <c:pt idx="0">
                  <c:v>1470.78</c:v>
                </c:pt>
                <c:pt idx="1">
                  <c:v>868.57199999999989</c:v>
                </c:pt>
                <c:pt idx="2">
                  <c:v>568.38240000000008</c:v>
                </c:pt>
                <c:pt idx="3">
                  <c:v>6.7715999999999994</c:v>
                </c:pt>
                <c:pt idx="4">
                  <c:v>151.05600000000001</c:v>
                </c:pt>
                <c:pt idx="5">
                  <c:v>252.33300000000003</c:v>
                </c:pt>
                <c:pt idx="6">
                  <c:v>336.5532</c:v>
                </c:pt>
              </c:numCache>
            </c:numRef>
          </c:val>
          <c:extLst>
            <c:ext xmlns:c16="http://schemas.microsoft.com/office/drawing/2014/chart" uri="{C3380CC4-5D6E-409C-BE32-E72D297353CC}">
              <c16:uniqueId val="{00000000-ACA2-46A9-BBDB-00C30F3181DF}"/>
            </c:ext>
          </c:extLst>
        </c:ser>
        <c:ser>
          <c:idx val="1"/>
          <c:order val="1"/>
          <c:tx>
            <c:strRef>
              <c:f>'PVC-grafici '!$J$47</c:f>
              <c:strCache>
                <c:ptCount val="1"/>
                <c:pt idx="0">
                  <c:v>MCCP</c:v>
                </c:pt>
              </c:strCache>
            </c:strRef>
          </c:tx>
          <c:spPr>
            <a:solidFill>
              <a:schemeClr val="accent2"/>
            </a:solidFill>
            <a:ln>
              <a:noFill/>
            </a:ln>
            <a:effectLst/>
          </c:spPr>
          <c:invertIfNegative val="0"/>
          <c:cat>
            <c:numRef>
              <c:f>'PVC-grafici '!$K$45:$Q$45</c:f>
              <c:numCache>
                <c:formatCode>General</c:formatCode>
                <c:ptCount val="7"/>
                <c:pt idx="0">
                  <c:v>2017</c:v>
                </c:pt>
                <c:pt idx="1">
                  <c:v>2018</c:v>
                </c:pt>
                <c:pt idx="2">
                  <c:v>2019</c:v>
                </c:pt>
                <c:pt idx="3">
                  <c:v>2020</c:v>
                </c:pt>
                <c:pt idx="4">
                  <c:v>2021</c:v>
                </c:pt>
                <c:pt idx="5">
                  <c:v>2022</c:v>
                </c:pt>
                <c:pt idx="6">
                  <c:v>2023</c:v>
                </c:pt>
              </c:numCache>
            </c:numRef>
          </c:cat>
          <c:val>
            <c:numRef>
              <c:f>'PVC-grafici '!$K$47:$Q$47</c:f>
              <c:numCache>
                <c:formatCode>0.00</c:formatCode>
                <c:ptCount val="7"/>
                <c:pt idx="0">
                  <c:v>838.34460000000001</c:v>
                </c:pt>
                <c:pt idx="1">
                  <c:v>495.08603999999991</c:v>
                </c:pt>
                <c:pt idx="2">
                  <c:v>323.97796799999998</c:v>
                </c:pt>
                <c:pt idx="3">
                  <c:v>3.8598119999999994</c:v>
                </c:pt>
                <c:pt idx="4">
                  <c:v>86.101919999999993</c:v>
                </c:pt>
                <c:pt idx="5">
                  <c:v>143.82981000000001</c:v>
                </c:pt>
                <c:pt idx="6">
                  <c:v>191.83532399999999</c:v>
                </c:pt>
              </c:numCache>
            </c:numRef>
          </c:val>
          <c:extLst>
            <c:ext xmlns:c16="http://schemas.microsoft.com/office/drawing/2014/chart" uri="{C3380CC4-5D6E-409C-BE32-E72D297353CC}">
              <c16:uniqueId val="{00000001-ACA2-46A9-BBDB-00C30F3181DF}"/>
            </c:ext>
          </c:extLst>
        </c:ser>
        <c:dLbls>
          <c:showLegendKey val="0"/>
          <c:showVal val="0"/>
          <c:showCatName val="0"/>
          <c:showSerName val="0"/>
          <c:showPercent val="0"/>
          <c:showBubbleSize val="0"/>
        </c:dLbls>
        <c:gapWidth val="219"/>
        <c:overlap val="-27"/>
        <c:axId val="258219599"/>
        <c:axId val="258204207"/>
      </c:barChart>
      <c:catAx>
        <c:axId val="25821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04207"/>
        <c:crosses val="autoZero"/>
        <c:auto val="1"/>
        <c:lblAlgn val="ctr"/>
        <c:lblOffset val="100"/>
        <c:noMultiLvlLbl val="0"/>
      </c:catAx>
      <c:valAx>
        <c:axId val="258204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1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 3920439000</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'PVC-grafici '!$I$64</c:f>
              <c:strCache>
                <c:ptCount val="1"/>
                <c:pt idx="0">
                  <c:v>SCCP</c:v>
                </c:pt>
              </c:strCache>
            </c:strRef>
          </c:tx>
          <c:spPr>
            <a:solidFill>
              <a:schemeClr val="accent1"/>
            </a:solidFill>
            <a:ln>
              <a:noFill/>
            </a:ln>
            <a:effectLst/>
          </c:spPr>
          <c:invertIfNegative val="0"/>
          <c:cat>
            <c:numRef>
              <c:f>'PVC-grafici '!$J$63:$P$63</c:f>
              <c:numCache>
                <c:formatCode>General</c:formatCode>
                <c:ptCount val="7"/>
                <c:pt idx="0">
                  <c:v>2017</c:v>
                </c:pt>
                <c:pt idx="1">
                  <c:v>2018</c:v>
                </c:pt>
                <c:pt idx="2">
                  <c:v>2019</c:v>
                </c:pt>
                <c:pt idx="3">
                  <c:v>2020</c:v>
                </c:pt>
                <c:pt idx="4">
                  <c:v>2021</c:v>
                </c:pt>
                <c:pt idx="5">
                  <c:v>2022</c:v>
                </c:pt>
                <c:pt idx="6">
                  <c:v>2023</c:v>
                </c:pt>
              </c:numCache>
            </c:numRef>
          </c:cat>
          <c:val>
            <c:numRef>
              <c:f>'PVC-grafici '!$J$64:$P$64</c:f>
              <c:numCache>
                <c:formatCode>0.00</c:formatCode>
                <c:ptCount val="7"/>
                <c:pt idx="0">
                  <c:v>519.71400000000006</c:v>
                </c:pt>
                <c:pt idx="1">
                  <c:v>1937.2266000000002</c:v>
                </c:pt>
                <c:pt idx="2">
                  <c:v>2288.0573999999997</c:v>
                </c:pt>
                <c:pt idx="3">
                  <c:v>2349.2574</c:v>
                </c:pt>
                <c:pt idx="4">
                  <c:v>1479.4325999999999</c:v>
                </c:pt>
                <c:pt idx="5">
                  <c:v>1035.3024</c:v>
                </c:pt>
                <c:pt idx="6">
                  <c:v>354.024</c:v>
                </c:pt>
              </c:numCache>
            </c:numRef>
          </c:val>
          <c:extLst>
            <c:ext xmlns:c16="http://schemas.microsoft.com/office/drawing/2014/chart" uri="{C3380CC4-5D6E-409C-BE32-E72D297353CC}">
              <c16:uniqueId val="{00000000-9FCC-43D1-862F-FA509BAA2BAE}"/>
            </c:ext>
          </c:extLst>
        </c:ser>
        <c:ser>
          <c:idx val="1"/>
          <c:order val="1"/>
          <c:tx>
            <c:strRef>
              <c:f>'PVC-grafici '!$I$65</c:f>
              <c:strCache>
                <c:ptCount val="1"/>
                <c:pt idx="0">
                  <c:v>MCCP</c:v>
                </c:pt>
              </c:strCache>
            </c:strRef>
          </c:tx>
          <c:spPr>
            <a:solidFill>
              <a:schemeClr val="accent2"/>
            </a:solidFill>
            <a:ln>
              <a:noFill/>
            </a:ln>
            <a:effectLst/>
          </c:spPr>
          <c:invertIfNegative val="0"/>
          <c:cat>
            <c:numRef>
              <c:f>'PVC-grafici '!$J$63:$P$63</c:f>
              <c:numCache>
                <c:formatCode>General</c:formatCode>
                <c:ptCount val="7"/>
                <c:pt idx="0">
                  <c:v>2017</c:v>
                </c:pt>
                <c:pt idx="1">
                  <c:v>2018</c:v>
                </c:pt>
                <c:pt idx="2">
                  <c:v>2019</c:v>
                </c:pt>
                <c:pt idx="3">
                  <c:v>2020</c:v>
                </c:pt>
                <c:pt idx="4">
                  <c:v>2021</c:v>
                </c:pt>
                <c:pt idx="5">
                  <c:v>2022</c:v>
                </c:pt>
                <c:pt idx="6">
                  <c:v>2023</c:v>
                </c:pt>
              </c:numCache>
            </c:numRef>
          </c:cat>
          <c:val>
            <c:numRef>
              <c:f>'PVC-grafici '!$J$65:$P$65</c:f>
              <c:numCache>
                <c:formatCode>0.00</c:formatCode>
                <c:ptCount val="7"/>
                <c:pt idx="0">
                  <c:v>296.23697999999996</c:v>
                </c:pt>
                <c:pt idx="1">
                  <c:v>1104.2191620000001</c:v>
                </c:pt>
                <c:pt idx="2">
                  <c:v>1304.1927179999998</c:v>
                </c:pt>
                <c:pt idx="3">
                  <c:v>1339.0767179999998</c:v>
                </c:pt>
                <c:pt idx="4">
                  <c:v>843.27658199999996</c:v>
                </c:pt>
                <c:pt idx="5">
                  <c:v>590.12236800000005</c:v>
                </c:pt>
                <c:pt idx="6">
                  <c:v>201.79367999999999</c:v>
                </c:pt>
              </c:numCache>
            </c:numRef>
          </c:val>
          <c:extLst>
            <c:ext xmlns:c16="http://schemas.microsoft.com/office/drawing/2014/chart" uri="{C3380CC4-5D6E-409C-BE32-E72D297353CC}">
              <c16:uniqueId val="{00000001-9FCC-43D1-862F-FA509BAA2BAE}"/>
            </c:ext>
          </c:extLst>
        </c:ser>
        <c:dLbls>
          <c:showLegendKey val="0"/>
          <c:showVal val="0"/>
          <c:showCatName val="0"/>
          <c:showSerName val="0"/>
          <c:showPercent val="0"/>
          <c:showBubbleSize val="0"/>
        </c:dLbls>
        <c:gapWidth val="219"/>
        <c:overlap val="-27"/>
        <c:axId val="258207951"/>
        <c:axId val="258222511"/>
      </c:barChart>
      <c:catAx>
        <c:axId val="25820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22511"/>
        <c:crosses val="autoZero"/>
        <c:auto val="1"/>
        <c:lblAlgn val="ctr"/>
        <c:lblOffset val="100"/>
        <c:noMultiLvlLbl val="0"/>
      </c:catAx>
      <c:valAx>
        <c:axId val="258222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0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a:latin typeface="Cambria" panose="02040503050406030204" pitchFamily="18" charset="0"/>
                <a:ea typeface="Cambria" panose="02040503050406030204" pitchFamily="18" charset="0"/>
              </a:rPr>
              <a:t>HS</a:t>
            </a:r>
            <a:r>
              <a:rPr lang="sr-Latn-ME" sz="1000" b="1" baseline="0">
                <a:latin typeface="Cambria" panose="02040503050406030204" pitchFamily="18" charset="0"/>
                <a:ea typeface="Cambria" panose="02040503050406030204" pitchFamily="18" charset="0"/>
              </a:rPr>
              <a:t> 3920431000</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'PVC-grafici '!$I$74</c:f>
              <c:strCache>
                <c:ptCount val="1"/>
                <c:pt idx="0">
                  <c:v>SCCP</c:v>
                </c:pt>
              </c:strCache>
            </c:strRef>
          </c:tx>
          <c:spPr>
            <a:solidFill>
              <a:schemeClr val="accent1"/>
            </a:solidFill>
            <a:ln>
              <a:noFill/>
            </a:ln>
            <a:effectLst/>
          </c:spPr>
          <c:invertIfNegative val="0"/>
          <c:cat>
            <c:numRef>
              <c:f>'PVC-grafici '!$J$73:$P$73</c:f>
              <c:numCache>
                <c:formatCode>General</c:formatCode>
                <c:ptCount val="7"/>
                <c:pt idx="0">
                  <c:v>2017</c:v>
                </c:pt>
                <c:pt idx="1">
                  <c:v>2018</c:v>
                </c:pt>
                <c:pt idx="2">
                  <c:v>2019</c:v>
                </c:pt>
                <c:pt idx="3">
                  <c:v>2020</c:v>
                </c:pt>
                <c:pt idx="4">
                  <c:v>2021</c:v>
                </c:pt>
                <c:pt idx="5">
                  <c:v>2022</c:v>
                </c:pt>
                <c:pt idx="6">
                  <c:v>2023</c:v>
                </c:pt>
              </c:numCache>
            </c:numRef>
          </c:cat>
          <c:val>
            <c:numRef>
              <c:f>'PVC-grafici '!$J$74:$P$74</c:f>
              <c:numCache>
                <c:formatCode>0.0</c:formatCode>
                <c:ptCount val="7"/>
                <c:pt idx="0">
                  <c:v>110.88</c:v>
                </c:pt>
                <c:pt idx="1">
                  <c:v>308.08979999999997</c:v>
                </c:pt>
                <c:pt idx="2">
                  <c:v>314.83620000000002</c:v>
                </c:pt>
                <c:pt idx="3">
                  <c:v>700.04699999999991</c:v>
                </c:pt>
                <c:pt idx="4">
                  <c:v>243.774</c:v>
                </c:pt>
                <c:pt idx="5">
                  <c:v>55.252799999999993</c:v>
                </c:pt>
                <c:pt idx="6">
                  <c:v>137.11679999999998</c:v>
                </c:pt>
              </c:numCache>
            </c:numRef>
          </c:val>
          <c:extLst>
            <c:ext xmlns:c16="http://schemas.microsoft.com/office/drawing/2014/chart" uri="{C3380CC4-5D6E-409C-BE32-E72D297353CC}">
              <c16:uniqueId val="{00000000-9DC0-4AB9-A7CF-0073B5E765E0}"/>
            </c:ext>
          </c:extLst>
        </c:ser>
        <c:ser>
          <c:idx val="1"/>
          <c:order val="1"/>
          <c:tx>
            <c:strRef>
              <c:f>'PVC-grafici '!$I$75</c:f>
              <c:strCache>
                <c:ptCount val="1"/>
                <c:pt idx="0">
                  <c:v>MCCP</c:v>
                </c:pt>
              </c:strCache>
            </c:strRef>
          </c:tx>
          <c:spPr>
            <a:solidFill>
              <a:schemeClr val="accent2"/>
            </a:solidFill>
            <a:ln>
              <a:noFill/>
            </a:ln>
            <a:effectLst/>
          </c:spPr>
          <c:invertIfNegative val="0"/>
          <c:cat>
            <c:numRef>
              <c:f>'PVC-grafici '!$J$73:$P$73</c:f>
              <c:numCache>
                <c:formatCode>General</c:formatCode>
                <c:ptCount val="7"/>
                <c:pt idx="0">
                  <c:v>2017</c:v>
                </c:pt>
                <c:pt idx="1">
                  <c:v>2018</c:v>
                </c:pt>
                <c:pt idx="2">
                  <c:v>2019</c:v>
                </c:pt>
                <c:pt idx="3">
                  <c:v>2020</c:v>
                </c:pt>
                <c:pt idx="4">
                  <c:v>2021</c:v>
                </c:pt>
                <c:pt idx="5">
                  <c:v>2022</c:v>
                </c:pt>
                <c:pt idx="6">
                  <c:v>2023</c:v>
                </c:pt>
              </c:numCache>
            </c:numRef>
          </c:cat>
          <c:val>
            <c:numRef>
              <c:f>'PVC-grafici '!$J$75:$P$75</c:f>
              <c:numCache>
                <c:formatCode>0.0</c:formatCode>
                <c:ptCount val="7"/>
                <c:pt idx="0">
                  <c:v>63.201599999999999</c:v>
                </c:pt>
                <c:pt idx="1">
                  <c:v>175.61118599999998</c:v>
                </c:pt>
                <c:pt idx="2">
                  <c:v>179.45663399999998</c:v>
                </c:pt>
                <c:pt idx="3">
                  <c:v>399.02678999999995</c:v>
                </c:pt>
                <c:pt idx="4">
                  <c:v>138.95117999999999</c:v>
                </c:pt>
                <c:pt idx="5">
                  <c:v>31.494095999999999</c:v>
                </c:pt>
                <c:pt idx="6">
                  <c:v>78.156576000000001</c:v>
                </c:pt>
              </c:numCache>
            </c:numRef>
          </c:val>
          <c:extLst>
            <c:ext xmlns:c16="http://schemas.microsoft.com/office/drawing/2014/chart" uri="{C3380CC4-5D6E-409C-BE32-E72D297353CC}">
              <c16:uniqueId val="{00000001-9DC0-4AB9-A7CF-0073B5E765E0}"/>
            </c:ext>
          </c:extLst>
        </c:ser>
        <c:dLbls>
          <c:showLegendKey val="0"/>
          <c:showVal val="0"/>
          <c:showCatName val="0"/>
          <c:showSerName val="0"/>
          <c:showPercent val="0"/>
          <c:showBubbleSize val="0"/>
        </c:dLbls>
        <c:gapWidth val="219"/>
        <c:overlap val="-27"/>
        <c:axId val="73680207"/>
        <c:axId val="73689775"/>
      </c:barChart>
      <c:catAx>
        <c:axId val="7368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89775"/>
        <c:crosses val="autoZero"/>
        <c:auto val="1"/>
        <c:lblAlgn val="ctr"/>
        <c:lblOffset val="100"/>
        <c:noMultiLvlLbl val="0"/>
      </c:catAx>
      <c:valAx>
        <c:axId val="73689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8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sr-Latn-ME" sz="1000" b="1" i="0" baseline="0">
                <a:effectLst/>
                <a:latin typeface="Cambria" panose="02040503050406030204" pitchFamily="18" charset="0"/>
                <a:ea typeface="Cambria" panose="02040503050406030204" pitchFamily="18" charset="0"/>
              </a:rPr>
              <a:t>HS 3918101000</a:t>
            </a:r>
            <a:endParaRPr lang="en-GB" sz="1000" b="1">
              <a:effectLst/>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'PVC-grafici '!$L$130</c:f>
              <c:strCache>
                <c:ptCount val="1"/>
                <c:pt idx="0">
                  <c:v>SCCP</c:v>
                </c:pt>
              </c:strCache>
            </c:strRef>
          </c:tx>
          <c:spPr>
            <a:solidFill>
              <a:schemeClr val="accent1"/>
            </a:solidFill>
            <a:ln>
              <a:noFill/>
            </a:ln>
            <a:effectLst/>
          </c:spPr>
          <c:invertIfNegative val="0"/>
          <c:cat>
            <c:numRef>
              <c:f>'PVC-grafici '!$M$129:$S$129</c:f>
              <c:numCache>
                <c:formatCode>General</c:formatCode>
                <c:ptCount val="7"/>
                <c:pt idx="0">
                  <c:v>2017</c:v>
                </c:pt>
                <c:pt idx="1">
                  <c:v>2018</c:v>
                </c:pt>
                <c:pt idx="2">
                  <c:v>2019</c:v>
                </c:pt>
                <c:pt idx="3">
                  <c:v>2020</c:v>
                </c:pt>
                <c:pt idx="4">
                  <c:v>2021</c:v>
                </c:pt>
                <c:pt idx="5">
                  <c:v>2022</c:v>
                </c:pt>
                <c:pt idx="6">
                  <c:v>2023</c:v>
                </c:pt>
              </c:numCache>
            </c:numRef>
          </c:cat>
          <c:val>
            <c:numRef>
              <c:f>'PVC-grafici '!$M$130:$S$130</c:f>
              <c:numCache>
                <c:formatCode>0.0</c:formatCode>
                <c:ptCount val="7"/>
                <c:pt idx="0">
                  <c:v>6.5369079999999995</c:v>
                </c:pt>
                <c:pt idx="1">
                  <c:v>22.351496000000008</c:v>
                </c:pt>
                <c:pt idx="2">
                  <c:v>28.632840000000002</c:v>
                </c:pt>
                <c:pt idx="3">
                  <c:v>10.529956</c:v>
                </c:pt>
                <c:pt idx="4">
                  <c:v>37.36957000000001</c:v>
                </c:pt>
                <c:pt idx="5">
                  <c:v>57.298105999999997</c:v>
                </c:pt>
                <c:pt idx="6">
                  <c:v>80.763618000000008</c:v>
                </c:pt>
              </c:numCache>
            </c:numRef>
          </c:val>
          <c:extLst>
            <c:ext xmlns:c16="http://schemas.microsoft.com/office/drawing/2014/chart" uri="{C3380CC4-5D6E-409C-BE32-E72D297353CC}">
              <c16:uniqueId val="{00000000-4B32-4AF2-B4A0-ABA19DD27F35}"/>
            </c:ext>
          </c:extLst>
        </c:ser>
        <c:ser>
          <c:idx val="1"/>
          <c:order val="1"/>
          <c:tx>
            <c:strRef>
              <c:f>'PVC-grafici '!$L$131</c:f>
              <c:strCache>
                <c:ptCount val="1"/>
                <c:pt idx="0">
                  <c:v>MCCP</c:v>
                </c:pt>
              </c:strCache>
            </c:strRef>
          </c:tx>
          <c:spPr>
            <a:solidFill>
              <a:schemeClr val="accent2"/>
            </a:solidFill>
            <a:ln>
              <a:noFill/>
            </a:ln>
            <a:effectLst/>
          </c:spPr>
          <c:invertIfNegative val="0"/>
          <c:cat>
            <c:numRef>
              <c:f>'PVC-grafici '!$M$129:$S$129</c:f>
              <c:numCache>
                <c:formatCode>General</c:formatCode>
                <c:ptCount val="7"/>
                <c:pt idx="0">
                  <c:v>2017</c:v>
                </c:pt>
                <c:pt idx="1">
                  <c:v>2018</c:v>
                </c:pt>
                <c:pt idx="2">
                  <c:v>2019</c:v>
                </c:pt>
                <c:pt idx="3">
                  <c:v>2020</c:v>
                </c:pt>
                <c:pt idx="4">
                  <c:v>2021</c:v>
                </c:pt>
                <c:pt idx="5">
                  <c:v>2022</c:v>
                </c:pt>
                <c:pt idx="6">
                  <c:v>2023</c:v>
                </c:pt>
              </c:numCache>
            </c:numRef>
          </c:cat>
          <c:val>
            <c:numRef>
              <c:f>'PVC-grafici '!$M$131:$S$131</c:f>
              <c:numCache>
                <c:formatCode>0.0</c:formatCode>
                <c:ptCount val="7"/>
                <c:pt idx="0">
                  <c:v>8.9618899999999986</c:v>
                </c:pt>
                <c:pt idx="1">
                  <c:v>30.643180000000008</c:v>
                </c:pt>
                <c:pt idx="2">
                  <c:v>39.2547</c:v>
                </c:pt>
                <c:pt idx="3">
                  <c:v>14.43623</c:v>
                </c:pt>
                <c:pt idx="4">
                  <c:v>51.232475000000015</c:v>
                </c:pt>
                <c:pt idx="5">
                  <c:v>78.553854999999999</c:v>
                </c:pt>
                <c:pt idx="6">
                  <c:v>110.724315</c:v>
                </c:pt>
              </c:numCache>
            </c:numRef>
          </c:val>
          <c:extLst>
            <c:ext xmlns:c16="http://schemas.microsoft.com/office/drawing/2014/chart" uri="{C3380CC4-5D6E-409C-BE32-E72D297353CC}">
              <c16:uniqueId val="{00000001-4B32-4AF2-B4A0-ABA19DD27F35}"/>
            </c:ext>
          </c:extLst>
        </c:ser>
        <c:dLbls>
          <c:showLegendKey val="0"/>
          <c:showVal val="0"/>
          <c:showCatName val="0"/>
          <c:showSerName val="0"/>
          <c:showPercent val="0"/>
          <c:showBubbleSize val="0"/>
        </c:dLbls>
        <c:gapWidth val="219"/>
        <c:overlap val="-27"/>
        <c:axId val="258218767"/>
        <c:axId val="258208367"/>
      </c:barChart>
      <c:catAx>
        <c:axId val="25821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08367"/>
        <c:crosses val="autoZero"/>
        <c:auto val="1"/>
        <c:lblAlgn val="ctr"/>
        <c:lblOffset val="100"/>
        <c:noMultiLvlLbl val="0"/>
      </c:catAx>
      <c:valAx>
        <c:axId val="258208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21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4776969587823119"/>
          <c:w val="0.81388888888888888"/>
          <c:h val="0.6093944578401651"/>
        </c:manualLayout>
      </c:layout>
      <c:pie3DChart>
        <c:varyColors val="1"/>
        <c:ser>
          <c:idx val="0"/>
          <c:order val="0"/>
          <c:tx>
            <c:strRef>
              <c:f>'PVC-grafici '!$D$98</c:f>
              <c:strCache>
                <c:ptCount val="1"/>
                <c:pt idx="0">
                  <c:v>PVC</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E6-4C32-B5DD-C8A7FC8898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E6-4C32-B5DD-C8A7FC8898F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E6-4C32-B5DD-C8A7FC8898F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E6-4C32-B5DD-C8A7FC8898F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2E6-4C32-B5DD-C8A7FC8898F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2E6-4C32-B5DD-C8A7FC8898F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2E6-4C32-B5DD-C8A7FC8898F2}"/>
              </c:ext>
            </c:extLst>
          </c:dPt>
          <c:dLbls>
            <c:dLbl>
              <c:idx val="2"/>
              <c:layout>
                <c:manualLayout>
                  <c:x val="-3.9215686274509727E-2"/>
                  <c:y val="-6.41711229946524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E6-4C32-B5DD-C8A7FC8898F2}"/>
                </c:ext>
              </c:extLst>
            </c:dLbl>
            <c:dLbl>
              <c:idx val="4"/>
              <c:layout>
                <c:manualLayout>
                  <c:x val="-4.3572984749455342E-3"/>
                  <c:y val="5.34759358288770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2E6-4C32-B5DD-C8A7FC8898F2}"/>
                </c:ext>
              </c:extLst>
            </c:dLbl>
            <c:dLbl>
              <c:idx val="5"/>
              <c:layout>
                <c:manualLayout>
                  <c:x val="2.1786492374727671E-3"/>
                  <c:y val="-2.49554367201426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2E6-4C32-B5DD-C8A7FC8898F2}"/>
                </c:ext>
              </c:extLst>
            </c:dLbl>
            <c:dLbl>
              <c:idx val="6"/>
              <c:layout>
                <c:manualLayout>
                  <c:x val="3.9215686274509762E-2"/>
                  <c:y val="-2.85204991087344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2E6-4C32-B5DD-C8A7FC8898F2}"/>
                </c:ext>
              </c:extLst>
            </c:dLbl>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'PVC-grafici '!$E$97:$K$97</c:f>
              <c:strCache>
                <c:ptCount val="7"/>
                <c:pt idx="0">
                  <c:v>HS 3921120000</c:v>
                </c:pt>
                <c:pt idx="1">
                  <c:v>HS 3920499000</c:v>
                </c:pt>
                <c:pt idx="2">
                  <c:v>HS 3920491000</c:v>
                </c:pt>
                <c:pt idx="3">
                  <c:v>HS 3920439000</c:v>
                </c:pt>
                <c:pt idx="4">
                  <c:v>HS 3920431000</c:v>
                </c:pt>
                <c:pt idx="5">
                  <c:v>HS 3904220000</c:v>
                </c:pt>
                <c:pt idx="6">
                  <c:v>HS 3918101000</c:v>
                </c:pt>
              </c:strCache>
            </c:strRef>
          </c:cat>
          <c:val>
            <c:numRef>
              <c:f>'PVC-grafici '!$E$98:$K$98</c:f>
              <c:numCache>
                <c:formatCode>General</c:formatCode>
                <c:ptCount val="7"/>
                <c:pt idx="0">
                  <c:v>65883.97</c:v>
                </c:pt>
                <c:pt idx="1">
                  <c:v>15456.189999999999</c:v>
                </c:pt>
                <c:pt idx="2">
                  <c:v>20302.490000000002</c:v>
                </c:pt>
                <c:pt idx="3">
                  <c:v>55350.080000000002</c:v>
                </c:pt>
                <c:pt idx="4">
                  <c:v>10388.869999999999</c:v>
                </c:pt>
                <c:pt idx="5">
                  <c:v>131.75</c:v>
                </c:pt>
                <c:pt idx="6">
                  <c:v>39271.370000000003</c:v>
                </c:pt>
              </c:numCache>
            </c:numRef>
          </c:val>
          <c:extLst>
            <c:ext xmlns:c16="http://schemas.microsoft.com/office/drawing/2014/chart" uri="{C3380CC4-5D6E-409C-BE32-E72D297353CC}">
              <c16:uniqueId val="{0000000E-A2E6-4C32-B5DD-C8A7FC8898F2}"/>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1000" b="1" i="0" u="none" strike="noStrike" baseline="0">
                <a:effectLst/>
                <a:latin typeface="Cambria" panose="02040503050406030204" pitchFamily="18" charset="0"/>
                <a:ea typeface="Cambria" panose="02040503050406030204" pitchFamily="18" charset="0"/>
              </a:rPr>
              <a:t>PUR foam </a:t>
            </a:r>
            <a:endParaRPr lang="en-GB" sz="10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'pur pjena'!$B$38</c:f>
              <c:strCache>
                <c:ptCount val="1"/>
                <c:pt idx="0">
                  <c:v>SCCP</c:v>
                </c:pt>
              </c:strCache>
            </c:strRef>
          </c:tx>
          <c:spPr>
            <a:solidFill>
              <a:schemeClr val="accent1"/>
            </a:solidFill>
            <a:ln>
              <a:noFill/>
            </a:ln>
            <a:effectLst/>
          </c:spPr>
          <c:invertIfNegative val="0"/>
          <c:cat>
            <c:numRef>
              <c:f>'pur pjena'!$C$37:$I$37</c:f>
              <c:numCache>
                <c:formatCode>General</c:formatCode>
                <c:ptCount val="7"/>
                <c:pt idx="0">
                  <c:v>2017</c:v>
                </c:pt>
                <c:pt idx="1">
                  <c:v>2018</c:v>
                </c:pt>
                <c:pt idx="2">
                  <c:v>2019</c:v>
                </c:pt>
                <c:pt idx="3">
                  <c:v>2020</c:v>
                </c:pt>
                <c:pt idx="4">
                  <c:v>2021</c:v>
                </c:pt>
                <c:pt idx="5">
                  <c:v>2022</c:v>
                </c:pt>
                <c:pt idx="6">
                  <c:v>2023</c:v>
                </c:pt>
              </c:numCache>
            </c:numRef>
          </c:cat>
          <c:val>
            <c:numRef>
              <c:f>'pur pjena'!$C$38:$I$38</c:f>
              <c:numCache>
                <c:formatCode>0.0</c:formatCode>
                <c:ptCount val="7"/>
                <c:pt idx="0">
                  <c:v>20.435200000000002</c:v>
                </c:pt>
                <c:pt idx="1">
                  <c:v>30.652800000000003</c:v>
                </c:pt>
                <c:pt idx="3" formatCode="0.00">
                  <c:v>0.18128000000000002</c:v>
                </c:pt>
                <c:pt idx="6" formatCode="0.00">
                  <c:v>0.24720000000000003</c:v>
                </c:pt>
              </c:numCache>
            </c:numRef>
          </c:val>
          <c:extLst>
            <c:ext xmlns:c16="http://schemas.microsoft.com/office/drawing/2014/chart" uri="{C3380CC4-5D6E-409C-BE32-E72D297353CC}">
              <c16:uniqueId val="{00000000-2FC3-400C-996D-40612DB7AE58}"/>
            </c:ext>
          </c:extLst>
        </c:ser>
        <c:ser>
          <c:idx val="1"/>
          <c:order val="1"/>
          <c:tx>
            <c:strRef>
              <c:f>'pur pjena'!$B$39</c:f>
              <c:strCache>
                <c:ptCount val="1"/>
                <c:pt idx="0">
                  <c:v>MCCP</c:v>
                </c:pt>
              </c:strCache>
            </c:strRef>
          </c:tx>
          <c:spPr>
            <a:solidFill>
              <a:schemeClr val="accent2"/>
            </a:solidFill>
            <a:ln>
              <a:noFill/>
            </a:ln>
            <a:effectLst/>
          </c:spPr>
          <c:invertIfNegative val="0"/>
          <c:cat>
            <c:numRef>
              <c:f>'pur pjena'!$C$37:$I$37</c:f>
              <c:numCache>
                <c:formatCode>General</c:formatCode>
                <c:ptCount val="7"/>
                <c:pt idx="0">
                  <c:v>2017</c:v>
                </c:pt>
                <c:pt idx="1">
                  <c:v>2018</c:v>
                </c:pt>
                <c:pt idx="2">
                  <c:v>2019</c:v>
                </c:pt>
                <c:pt idx="3">
                  <c:v>2020</c:v>
                </c:pt>
                <c:pt idx="4">
                  <c:v>2021</c:v>
                </c:pt>
                <c:pt idx="5">
                  <c:v>2022</c:v>
                </c:pt>
                <c:pt idx="6">
                  <c:v>2023</c:v>
                </c:pt>
              </c:numCache>
            </c:numRef>
          </c:cat>
          <c:val>
            <c:numRef>
              <c:f>'pur pjena'!$C$39:$I$39</c:f>
              <c:numCache>
                <c:formatCode>0.0</c:formatCode>
                <c:ptCount val="7"/>
                <c:pt idx="0">
                  <c:v>17.7072</c:v>
                </c:pt>
                <c:pt idx="1">
                  <c:v>26.560800000000004</c:v>
                </c:pt>
                <c:pt idx="3" formatCode="0.00">
                  <c:v>0.15708000000000003</c:v>
                </c:pt>
                <c:pt idx="6" formatCode="0.00">
                  <c:v>0.21420000000000003</c:v>
                </c:pt>
              </c:numCache>
            </c:numRef>
          </c:val>
          <c:extLst>
            <c:ext xmlns:c16="http://schemas.microsoft.com/office/drawing/2014/chart" uri="{C3380CC4-5D6E-409C-BE32-E72D297353CC}">
              <c16:uniqueId val="{00000001-2FC3-400C-996D-40612DB7AE58}"/>
            </c:ext>
          </c:extLst>
        </c:ser>
        <c:dLbls>
          <c:showLegendKey val="0"/>
          <c:showVal val="0"/>
          <c:showCatName val="0"/>
          <c:showSerName val="0"/>
          <c:showPercent val="0"/>
          <c:showBubbleSize val="0"/>
        </c:dLbls>
        <c:gapWidth val="219"/>
        <c:overlap val="-27"/>
        <c:axId val="1740243648"/>
        <c:axId val="1977099264"/>
      </c:barChart>
      <c:catAx>
        <c:axId val="174024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099264"/>
        <c:crosses val="autoZero"/>
        <c:auto val="1"/>
        <c:lblAlgn val="ctr"/>
        <c:lblOffset val="100"/>
        <c:noMultiLvlLbl val="0"/>
      </c:catAx>
      <c:valAx>
        <c:axId val="197709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4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Cambria" panose="02040503050406030204" pitchFamily="18" charset="0"/>
                <a:ea typeface="Cambria" panose="02040503050406030204" pitchFamily="18" charset="0"/>
                <a:cs typeface="+mn-cs"/>
              </a:defRPr>
            </a:pPr>
            <a:r>
              <a:rPr lang="en-GB" sz="1000" b="1">
                <a:latin typeface="Cambria" panose="02040503050406030204" pitchFamily="18" charset="0"/>
                <a:ea typeface="Cambria" panose="02040503050406030204" pitchFamily="18" charset="0"/>
              </a:rPr>
              <a:t>SCCP</a:t>
            </a:r>
            <a:r>
              <a:rPr lang="sr-Latn-ME" sz="1000" b="1">
                <a:latin typeface="Cambria" panose="02040503050406030204" pitchFamily="18" charset="0"/>
                <a:ea typeface="Cambria" panose="02040503050406030204" pitchFamily="18" charset="0"/>
              </a:rPr>
              <a:t>s</a:t>
            </a:r>
            <a:r>
              <a:rPr lang="en-GB" sz="1000" b="1">
                <a:latin typeface="Cambria" panose="02040503050406030204" pitchFamily="18" charset="0"/>
                <a:ea typeface="Cambria" panose="02040503050406030204" pitchFamily="18" charset="0"/>
              </a:rPr>
              <a:t> in WEEE </a:t>
            </a:r>
          </a:p>
        </c:rich>
      </c:tx>
      <c:layout>
        <c:manualLayout>
          <c:xMode val="edge"/>
          <c:yMode val="edge"/>
          <c:x val="0.39574999999999999"/>
          <c:y val="3.862625847142241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Sheet1!$B$4</c:f>
              <c:strCache>
                <c:ptCount val="1"/>
                <c:pt idx="0">
                  <c:v>SCCP content(kg)</c:v>
                </c:pt>
              </c:strCache>
            </c:strRef>
          </c:tx>
          <c:spPr>
            <a:solidFill>
              <a:schemeClr val="accent1"/>
            </a:solidFill>
            <a:ln>
              <a:noFill/>
            </a:ln>
            <a:effectLst/>
          </c:spPr>
          <c:invertIfNegative val="0"/>
          <c:cat>
            <c:numRef>
              <c:f>Sheet1!$C$3:$N$3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Sheet1!$C$4:$N$4</c:f>
              <c:numCache>
                <c:formatCode>General</c:formatCode>
                <c:ptCount val="12"/>
                <c:pt idx="0">
                  <c:v>0.3</c:v>
                </c:pt>
                <c:pt idx="1">
                  <c:v>0.2</c:v>
                </c:pt>
                <c:pt idx="2">
                  <c:v>0.4</c:v>
                </c:pt>
                <c:pt idx="3">
                  <c:v>0.3</c:v>
                </c:pt>
                <c:pt idx="4">
                  <c:v>0.7</c:v>
                </c:pt>
                <c:pt idx="5">
                  <c:v>0.5</c:v>
                </c:pt>
                <c:pt idx="6">
                  <c:v>1.3</c:v>
                </c:pt>
                <c:pt idx="7">
                  <c:v>0.9</c:v>
                </c:pt>
                <c:pt idx="8">
                  <c:v>0.7</c:v>
                </c:pt>
                <c:pt idx="9">
                  <c:v>1.3</c:v>
                </c:pt>
                <c:pt idx="10">
                  <c:v>0.5</c:v>
                </c:pt>
                <c:pt idx="11">
                  <c:v>1</c:v>
                </c:pt>
              </c:numCache>
            </c:numRef>
          </c:val>
          <c:extLst>
            <c:ext xmlns:c16="http://schemas.microsoft.com/office/drawing/2014/chart" uri="{C3380CC4-5D6E-409C-BE32-E72D297353CC}">
              <c16:uniqueId val="{00000000-369A-4950-B299-C24CAE04C049}"/>
            </c:ext>
          </c:extLst>
        </c:ser>
        <c:dLbls>
          <c:showLegendKey val="0"/>
          <c:showVal val="0"/>
          <c:showCatName val="0"/>
          <c:showSerName val="0"/>
          <c:showPercent val="0"/>
          <c:showBubbleSize val="0"/>
        </c:dLbls>
        <c:gapWidth val="219"/>
        <c:overlap val="-27"/>
        <c:axId val="2109799423"/>
        <c:axId val="2109796927"/>
      </c:barChart>
      <c:catAx>
        <c:axId val="210979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796927"/>
        <c:crosses val="autoZero"/>
        <c:auto val="1"/>
        <c:lblAlgn val="ctr"/>
        <c:lblOffset val="100"/>
        <c:noMultiLvlLbl val="0"/>
      </c:catAx>
      <c:valAx>
        <c:axId val="210979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ME"/>
                  <a:t>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799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Sadržaj PBDE u CRT televizorima u upotrebi, na zalihama i u CRT monitorima</a:t>
            </a:r>
            <a:r>
              <a:rPr lang="sr-Latn-RS" sz="1400" b="0" i="0" u="none" strike="noStrike" baseline="0">
                <a:effectLst/>
              </a:rPr>
              <a:t> u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Sheet1!$C$23</c:f>
              <c:strCache>
                <c:ptCount val="1"/>
                <c:pt idx="0">
                  <c:v>Količina heksa/heptaBDE (kg)</c:v>
                </c:pt>
              </c:strCache>
            </c:strRef>
          </c:tx>
          <c:spPr>
            <a:solidFill>
              <a:schemeClr val="accent1"/>
            </a:solidFill>
            <a:ln>
              <a:noFill/>
            </a:ln>
            <a:effectLst/>
          </c:spPr>
          <c:invertIfNegative val="0"/>
          <c:cat>
            <c:strRef>
              <c:f>Sheet1!$B$24:$B$27</c:f>
              <c:strCache>
                <c:ptCount val="4"/>
                <c:pt idx="0">
                  <c:v>CRT monitor</c:v>
                </c:pt>
                <c:pt idx="1">
                  <c:v>CRT TV (na zalihama)</c:v>
                </c:pt>
                <c:pt idx="2">
                  <c:v>CRT TV (u upotrebi)</c:v>
                </c:pt>
                <c:pt idx="3">
                  <c:v>Ukupno</c:v>
                </c:pt>
              </c:strCache>
            </c:strRef>
          </c:cat>
          <c:val>
            <c:numRef>
              <c:f>Sheet1!$C$24:$C$27</c:f>
              <c:numCache>
                <c:formatCode>General</c:formatCode>
                <c:ptCount val="4"/>
                <c:pt idx="0">
                  <c:v>303</c:v>
                </c:pt>
                <c:pt idx="1">
                  <c:v>110</c:v>
                </c:pt>
                <c:pt idx="2">
                  <c:v>84</c:v>
                </c:pt>
                <c:pt idx="3">
                  <c:v>497</c:v>
                </c:pt>
              </c:numCache>
            </c:numRef>
          </c:val>
          <c:extLst>
            <c:ext xmlns:c16="http://schemas.microsoft.com/office/drawing/2014/chart" uri="{C3380CC4-5D6E-409C-BE32-E72D297353CC}">
              <c16:uniqueId val="{00000000-2D88-498F-A412-AEF22B474166}"/>
            </c:ext>
          </c:extLst>
        </c:ser>
        <c:ser>
          <c:idx val="1"/>
          <c:order val="1"/>
          <c:tx>
            <c:strRef>
              <c:f>Sheet1!$D$23</c:f>
              <c:strCache>
                <c:ptCount val="1"/>
                <c:pt idx="0">
                  <c:v>Količina dekaBDE (kg)</c:v>
                </c:pt>
              </c:strCache>
            </c:strRef>
          </c:tx>
          <c:spPr>
            <a:solidFill>
              <a:schemeClr val="accent2"/>
            </a:solidFill>
            <a:ln>
              <a:noFill/>
            </a:ln>
            <a:effectLst/>
          </c:spPr>
          <c:invertIfNegative val="0"/>
          <c:cat>
            <c:strRef>
              <c:f>Sheet1!$B$24:$B$27</c:f>
              <c:strCache>
                <c:ptCount val="4"/>
                <c:pt idx="0">
                  <c:v>CRT monitor</c:v>
                </c:pt>
                <c:pt idx="1">
                  <c:v>CRT TV (na zalihama)</c:v>
                </c:pt>
                <c:pt idx="2">
                  <c:v>CRT TV (u upotrebi)</c:v>
                </c:pt>
                <c:pt idx="3">
                  <c:v>Ukupno</c:v>
                </c:pt>
              </c:strCache>
            </c:strRef>
          </c:cat>
          <c:val>
            <c:numRef>
              <c:f>Sheet1!$D$24:$D$27</c:f>
              <c:numCache>
                <c:formatCode>General</c:formatCode>
                <c:ptCount val="4"/>
                <c:pt idx="0">
                  <c:v>976</c:v>
                </c:pt>
                <c:pt idx="1">
                  <c:v>1033</c:v>
                </c:pt>
                <c:pt idx="2">
                  <c:v>788</c:v>
                </c:pt>
                <c:pt idx="3">
                  <c:v>2797</c:v>
                </c:pt>
              </c:numCache>
            </c:numRef>
          </c:val>
          <c:extLst>
            <c:ext xmlns:c16="http://schemas.microsoft.com/office/drawing/2014/chart" uri="{C3380CC4-5D6E-409C-BE32-E72D297353CC}">
              <c16:uniqueId val="{00000001-2D88-498F-A412-AEF22B474166}"/>
            </c:ext>
          </c:extLst>
        </c:ser>
        <c:dLbls>
          <c:showLegendKey val="0"/>
          <c:showVal val="0"/>
          <c:showCatName val="0"/>
          <c:showSerName val="0"/>
          <c:showPercent val="0"/>
          <c:showBubbleSize val="0"/>
        </c:dLbls>
        <c:gapWidth val="219"/>
        <c:overlap val="-27"/>
        <c:axId val="1072099855"/>
        <c:axId val="1072094095"/>
      </c:barChart>
      <c:catAx>
        <c:axId val="107209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094095"/>
        <c:crosses val="autoZero"/>
        <c:auto val="1"/>
        <c:lblAlgn val="ctr"/>
        <c:lblOffset val="100"/>
        <c:noMultiLvlLbl val="0"/>
      </c:catAx>
      <c:valAx>
        <c:axId val="1072094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099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Količina PBDE u kg u uvezenim uređajima</a:t>
            </a:r>
            <a:r>
              <a:rPr lang="sr-Latn-RS" baseline="0"/>
              <a:t> izuzimajući CRT uređaje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Sheet2!$M$3:$V$3</c:f>
              <c:strCache>
                <c:ptCount val="10"/>
                <c:pt idx="0">
                  <c:v>Količina heksa/heptaBDE (kg) u uvezenim telefonima</c:v>
                </c:pt>
                <c:pt idx="1">
                  <c:v>Količina dekaBDE (kg) u uvezenim telefonima</c:v>
                </c:pt>
                <c:pt idx="2">
                  <c:v>Količina heksa/heptaBDE (kg) u uvezenim veš mašinama</c:v>
                </c:pt>
                <c:pt idx="3">
                  <c:v>Količina dekaBDE (kg) u uvezenim veš mašinama</c:v>
                </c:pt>
                <c:pt idx="4">
                  <c:v>Količina heksa/heptaBDE (kg) u opremi za grijanje i ventilaciju</c:v>
                </c:pt>
                <c:pt idx="5">
                  <c:v>Količina dekaBDE (kg) u opremi za grijanje i ventilaciju</c:v>
                </c:pt>
                <c:pt idx="6">
                  <c:v>Količina heksa/heptaBDE (kg) u uvezenim frižiderima</c:v>
                </c:pt>
                <c:pt idx="7">
                  <c:v>Količina dekaBDE (kg) u uvezenim frižiderima</c:v>
                </c:pt>
                <c:pt idx="8">
                  <c:v>Količina heksa/heptaBDE (kg) u uvezenim klima uređajima</c:v>
                </c:pt>
                <c:pt idx="9">
                  <c:v>Količina dekaBDE (kg) u uvezenim klima uređajima</c:v>
                </c:pt>
              </c:strCache>
            </c:strRef>
          </c:cat>
          <c:val>
            <c:numRef>
              <c:f>Sheet2!$M$4:$V$4</c:f>
              <c:numCache>
                <c:formatCode>General</c:formatCode>
                <c:ptCount val="10"/>
                <c:pt idx="0">
                  <c:v>3.46</c:v>
                </c:pt>
                <c:pt idx="1">
                  <c:v>34.57</c:v>
                </c:pt>
                <c:pt idx="2">
                  <c:v>6.2E-2</c:v>
                </c:pt>
                <c:pt idx="3">
                  <c:v>6.2E-2</c:v>
                </c:pt>
                <c:pt idx="4">
                  <c:v>0.55000000000000004</c:v>
                </c:pt>
                <c:pt idx="5">
                  <c:v>8.7200000000000006</c:v>
                </c:pt>
                <c:pt idx="6">
                  <c:v>0.13</c:v>
                </c:pt>
                <c:pt idx="7">
                  <c:v>0.13</c:v>
                </c:pt>
                <c:pt idx="8">
                  <c:v>0.8</c:v>
                </c:pt>
                <c:pt idx="9">
                  <c:v>0.8</c:v>
                </c:pt>
              </c:numCache>
            </c:numRef>
          </c:val>
          <c:extLst>
            <c:ext xmlns:c16="http://schemas.microsoft.com/office/drawing/2014/chart" uri="{C3380CC4-5D6E-409C-BE32-E72D297353CC}">
              <c16:uniqueId val="{00000000-19A5-4980-9FBE-DA565E862310}"/>
            </c:ext>
          </c:extLst>
        </c:ser>
        <c:ser>
          <c:idx val="1"/>
          <c:order val="1"/>
          <c:spPr>
            <a:solidFill>
              <a:schemeClr val="accent2"/>
            </a:solidFill>
            <a:ln>
              <a:noFill/>
            </a:ln>
            <a:effectLst/>
          </c:spPr>
          <c:invertIfNegative val="0"/>
          <c:cat>
            <c:strRef>
              <c:f>Sheet2!$M$3:$V$3</c:f>
              <c:strCache>
                <c:ptCount val="10"/>
                <c:pt idx="0">
                  <c:v>Količina heksa/heptaBDE (kg) u uvezenim telefonima</c:v>
                </c:pt>
                <c:pt idx="1">
                  <c:v>Količina dekaBDE (kg) u uvezenim telefonima</c:v>
                </c:pt>
                <c:pt idx="2">
                  <c:v>Količina heksa/heptaBDE (kg) u uvezenim veš mašinama</c:v>
                </c:pt>
                <c:pt idx="3">
                  <c:v>Količina dekaBDE (kg) u uvezenim veš mašinama</c:v>
                </c:pt>
                <c:pt idx="4">
                  <c:v>Količina heksa/heptaBDE (kg) u opremi za grijanje i ventilaciju</c:v>
                </c:pt>
                <c:pt idx="5">
                  <c:v>Količina dekaBDE (kg) u opremi za grijanje i ventilaciju</c:v>
                </c:pt>
                <c:pt idx="6">
                  <c:v>Količina heksa/heptaBDE (kg) u uvezenim frižiderima</c:v>
                </c:pt>
                <c:pt idx="7">
                  <c:v>Količina dekaBDE (kg) u uvezenim frižiderima</c:v>
                </c:pt>
                <c:pt idx="8">
                  <c:v>Količina heksa/heptaBDE (kg) u uvezenim klima uređajima</c:v>
                </c:pt>
                <c:pt idx="9">
                  <c:v>Količina dekaBDE (kg) u uvezenim klima uređajima</c:v>
                </c:pt>
              </c:strCache>
            </c:strRef>
          </c:cat>
          <c:val>
            <c:numRef>
              <c:f>Sheet2!$M$5:$V$5</c:f>
              <c:numCache>
                <c:formatCode>General</c:formatCode>
                <c:ptCount val="10"/>
                <c:pt idx="0">
                  <c:v>0.12</c:v>
                </c:pt>
                <c:pt idx="1">
                  <c:v>1.2</c:v>
                </c:pt>
                <c:pt idx="2">
                  <c:v>4.2000000000000003E-2</c:v>
                </c:pt>
                <c:pt idx="3">
                  <c:v>4.2000000000000003E-2</c:v>
                </c:pt>
                <c:pt idx="4">
                  <c:v>0.26</c:v>
                </c:pt>
                <c:pt idx="5">
                  <c:v>4.21</c:v>
                </c:pt>
                <c:pt idx="6">
                  <c:v>0.28000000000000003</c:v>
                </c:pt>
                <c:pt idx="7">
                  <c:v>0.28000000000000003</c:v>
                </c:pt>
                <c:pt idx="8">
                  <c:v>2.2599999999999998</c:v>
                </c:pt>
                <c:pt idx="9">
                  <c:v>2.2599999999999998</c:v>
                </c:pt>
              </c:numCache>
            </c:numRef>
          </c:val>
          <c:extLst>
            <c:ext xmlns:c16="http://schemas.microsoft.com/office/drawing/2014/chart" uri="{C3380CC4-5D6E-409C-BE32-E72D297353CC}">
              <c16:uniqueId val="{00000001-19A5-4980-9FBE-DA565E862310}"/>
            </c:ext>
          </c:extLst>
        </c:ser>
        <c:ser>
          <c:idx val="2"/>
          <c:order val="2"/>
          <c:spPr>
            <a:solidFill>
              <a:schemeClr val="accent3"/>
            </a:solidFill>
            <a:ln>
              <a:noFill/>
            </a:ln>
            <a:effectLst/>
          </c:spPr>
          <c:invertIfNegative val="0"/>
          <c:cat>
            <c:strRef>
              <c:f>Sheet2!$M$3:$V$3</c:f>
              <c:strCache>
                <c:ptCount val="10"/>
                <c:pt idx="0">
                  <c:v>Količina heksa/heptaBDE (kg) u uvezenim telefonima</c:v>
                </c:pt>
                <c:pt idx="1">
                  <c:v>Količina dekaBDE (kg) u uvezenim telefonima</c:v>
                </c:pt>
                <c:pt idx="2">
                  <c:v>Količina heksa/heptaBDE (kg) u uvezenim veš mašinama</c:v>
                </c:pt>
                <c:pt idx="3">
                  <c:v>Količina dekaBDE (kg) u uvezenim veš mašinama</c:v>
                </c:pt>
                <c:pt idx="4">
                  <c:v>Količina heksa/heptaBDE (kg) u opremi za grijanje i ventilaciju</c:v>
                </c:pt>
                <c:pt idx="5">
                  <c:v>Količina dekaBDE (kg) u opremi za grijanje i ventilaciju</c:v>
                </c:pt>
                <c:pt idx="6">
                  <c:v>Količina heksa/heptaBDE (kg) u uvezenim frižiderima</c:v>
                </c:pt>
                <c:pt idx="7">
                  <c:v>Količina dekaBDE (kg) u uvezenim frižiderima</c:v>
                </c:pt>
                <c:pt idx="8">
                  <c:v>Količina heksa/heptaBDE (kg) u uvezenim klima uređajima</c:v>
                </c:pt>
                <c:pt idx="9">
                  <c:v>Količina dekaBDE (kg) u uvezenim klima uređajima</c:v>
                </c:pt>
              </c:strCache>
            </c:strRef>
          </c:cat>
          <c:val>
            <c:numRef>
              <c:f>Sheet2!$M$6:$V$6</c:f>
              <c:numCache>
                <c:formatCode>General</c:formatCode>
                <c:ptCount val="10"/>
                <c:pt idx="0">
                  <c:v>0.47</c:v>
                </c:pt>
                <c:pt idx="1">
                  <c:v>4.72</c:v>
                </c:pt>
                <c:pt idx="2">
                  <c:v>0.17299999999999999</c:v>
                </c:pt>
                <c:pt idx="3">
                  <c:v>0.17299999999999999</c:v>
                </c:pt>
                <c:pt idx="4">
                  <c:v>0.5</c:v>
                </c:pt>
                <c:pt idx="5">
                  <c:v>8.0500000000000007</c:v>
                </c:pt>
                <c:pt idx="6">
                  <c:v>0.18</c:v>
                </c:pt>
                <c:pt idx="7">
                  <c:v>0.18</c:v>
                </c:pt>
                <c:pt idx="8">
                  <c:v>0.93</c:v>
                </c:pt>
                <c:pt idx="9">
                  <c:v>0.93</c:v>
                </c:pt>
              </c:numCache>
            </c:numRef>
          </c:val>
          <c:extLst>
            <c:ext xmlns:c16="http://schemas.microsoft.com/office/drawing/2014/chart" uri="{C3380CC4-5D6E-409C-BE32-E72D297353CC}">
              <c16:uniqueId val="{00000002-19A5-4980-9FBE-DA565E862310}"/>
            </c:ext>
          </c:extLst>
        </c:ser>
        <c:ser>
          <c:idx val="3"/>
          <c:order val="3"/>
          <c:spPr>
            <a:solidFill>
              <a:schemeClr val="accent4"/>
            </a:solidFill>
            <a:ln>
              <a:noFill/>
            </a:ln>
            <a:effectLst/>
          </c:spPr>
          <c:invertIfNegative val="0"/>
          <c:cat>
            <c:strRef>
              <c:f>Sheet2!$M$3:$V$3</c:f>
              <c:strCache>
                <c:ptCount val="10"/>
                <c:pt idx="0">
                  <c:v>Količina heksa/heptaBDE (kg) u uvezenim telefonima</c:v>
                </c:pt>
                <c:pt idx="1">
                  <c:v>Količina dekaBDE (kg) u uvezenim telefonima</c:v>
                </c:pt>
                <c:pt idx="2">
                  <c:v>Količina heksa/heptaBDE (kg) u uvezenim veš mašinama</c:v>
                </c:pt>
                <c:pt idx="3">
                  <c:v>Količina dekaBDE (kg) u uvezenim veš mašinama</c:v>
                </c:pt>
                <c:pt idx="4">
                  <c:v>Količina heksa/heptaBDE (kg) u opremi za grijanje i ventilaciju</c:v>
                </c:pt>
                <c:pt idx="5">
                  <c:v>Količina dekaBDE (kg) u opremi za grijanje i ventilaciju</c:v>
                </c:pt>
                <c:pt idx="6">
                  <c:v>Količina heksa/heptaBDE (kg) u uvezenim frižiderima</c:v>
                </c:pt>
                <c:pt idx="7">
                  <c:v>Količina dekaBDE (kg) u uvezenim frižiderima</c:v>
                </c:pt>
                <c:pt idx="8">
                  <c:v>Količina heksa/heptaBDE (kg) u uvezenim klima uređajima</c:v>
                </c:pt>
                <c:pt idx="9">
                  <c:v>Količina dekaBDE (kg) u uvezenim klima uređajima</c:v>
                </c:pt>
              </c:strCache>
            </c:strRef>
          </c:cat>
          <c:val>
            <c:numRef>
              <c:f>Sheet2!$M$7:$V$7</c:f>
              <c:numCache>
                <c:formatCode>General</c:formatCode>
                <c:ptCount val="10"/>
                <c:pt idx="0">
                  <c:v>0.25</c:v>
                </c:pt>
                <c:pt idx="1">
                  <c:v>2.5299999999999998</c:v>
                </c:pt>
                <c:pt idx="2">
                  <c:v>8.1000000000000003E-2</c:v>
                </c:pt>
                <c:pt idx="3">
                  <c:v>8.1000000000000003E-2</c:v>
                </c:pt>
                <c:pt idx="4">
                  <c:v>0.22</c:v>
                </c:pt>
                <c:pt idx="5">
                  <c:v>3.48</c:v>
                </c:pt>
                <c:pt idx="6">
                  <c:v>0.3</c:v>
                </c:pt>
                <c:pt idx="7">
                  <c:v>0.3</c:v>
                </c:pt>
                <c:pt idx="8">
                  <c:v>1.01</c:v>
                </c:pt>
                <c:pt idx="9">
                  <c:v>1.01</c:v>
                </c:pt>
              </c:numCache>
            </c:numRef>
          </c:val>
          <c:extLst>
            <c:ext xmlns:c16="http://schemas.microsoft.com/office/drawing/2014/chart" uri="{C3380CC4-5D6E-409C-BE32-E72D297353CC}">
              <c16:uniqueId val="{00000003-19A5-4980-9FBE-DA565E862310}"/>
            </c:ext>
          </c:extLst>
        </c:ser>
        <c:ser>
          <c:idx val="4"/>
          <c:order val="4"/>
          <c:spPr>
            <a:solidFill>
              <a:schemeClr val="accent5"/>
            </a:solidFill>
            <a:ln>
              <a:noFill/>
            </a:ln>
            <a:effectLst/>
          </c:spPr>
          <c:invertIfNegative val="0"/>
          <c:cat>
            <c:strRef>
              <c:f>Sheet2!$M$3:$V$3</c:f>
              <c:strCache>
                <c:ptCount val="10"/>
                <c:pt idx="0">
                  <c:v>Količina heksa/heptaBDE (kg) u uvezenim telefonima</c:v>
                </c:pt>
                <c:pt idx="1">
                  <c:v>Količina dekaBDE (kg) u uvezenim telefonima</c:v>
                </c:pt>
                <c:pt idx="2">
                  <c:v>Količina heksa/heptaBDE (kg) u uvezenim veš mašinama</c:v>
                </c:pt>
                <c:pt idx="3">
                  <c:v>Količina dekaBDE (kg) u uvezenim veš mašinama</c:v>
                </c:pt>
                <c:pt idx="4">
                  <c:v>Količina heksa/heptaBDE (kg) u opremi za grijanje i ventilaciju</c:v>
                </c:pt>
                <c:pt idx="5">
                  <c:v>Količina dekaBDE (kg) u opremi za grijanje i ventilaciju</c:v>
                </c:pt>
                <c:pt idx="6">
                  <c:v>Količina heksa/heptaBDE (kg) u uvezenim frižiderima</c:v>
                </c:pt>
                <c:pt idx="7">
                  <c:v>Količina dekaBDE (kg) u uvezenim frižiderima</c:v>
                </c:pt>
                <c:pt idx="8">
                  <c:v>Količina heksa/heptaBDE (kg) u uvezenim klima uređajima</c:v>
                </c:pt>
                <c:pt idx="9">
                  <c:v>Količina dekaBDE (kg) u uvezenim klima uređajima</c:v>
                </c:pt>
              </c:strCache>
            </c:strRef>
          </c:cat>
          <c:val>
            <c:numRef>
              <c:f>Sheet2!$M$8:$V$8</c:f>
              <c:numCache>
                <c:formatCode>General</c:formatCode>
                <c:ptCount val="10"/>
                <c:pt idx="0">
                  <c:v>0.01</c:v>
                </c:pt>
                <c:pt idx="1">
                  <c:v>0.13</c:v>
                </c:pt>
                <c:pt idx="2">
                  <c:v>0.157</c:v>
                </c:pt>
                <c:pt idx="3">
                  <c:v>0.157</c:v>
                </c:pt>
                <c:pt idx="4">
                  <c:v>0.13</c:v>
                </c:pt>
                <c:pt idx="5">
                  <c:v>2.02</c:v>
                </c:pt>
                <c:pt idx="6">
                  <c:v>0.37</c:v>
                </c:pt>
                <c:pt idx="7">
                  <c:v>0.37</c:v>
                </c:pt>
                <c:pt idx="8">
                  <c:v>1.05</c:v>
                </c:pt>
                <c:pt idx="9">
                  <c:v>1.05</c:v>
                </c:pt>
              </c:numCache>
            </c:numRef>
          </c:val>
          <c:extLst>
            <c:ext xmlns:c16="http://schemas.microsoft.com/office/drawing/2014/chart" uri="{C3380CC4-5D6E-409C-BE32-E72D297353CC}">
              <c16:uniqueId val="{00000004-19A5-4980-9FBE-DA565E862310}"/>
            </c:ext>
          </c:extLst>
        </c:ser>
        <c:ser>
          <c:idx val="5"/>
          <c:order val="5"/>
          <c:spPr>
            <a:solidFill>
              <a:schemeClr val="accent6"/>
            </a:solidFill>
            <a:ln>
              <a:noFill/>
            </a:ln>
            <a:effectLst/>
          </c:spPr>
          <c:invertIfNegative val="0"/>
          <c:cat>
            <c:strRef>
              <c:f>Sheet2!$M$3:$V$3</c:f>
              <c:strCache>
                <c:ptCount val="10"/>
                <c:pt idx="0">
                  <c:v>Količina heksa/heptaBDE (kg) u uvezenim telefonima</c:v>
                </c:pt>
                <c:pt idx="1">
                  <c:v>Količina dekaBDE (kg) u uvezenim telefonima</c:v>
                </c:pt>
                <c:pt idx="2">
                  <c:v>Količina heksa/heptaBDE (kg) u uvezenim veš mašinama</c:v>
                </c:pt>
                <c:pt idx="3">
                  <c:v>Količina dekaBDE (kg) u uvezenim veš mašinama</c:v>
                </c:pt>
                <c:pt idx="4">
                  <c:v>Količina heksa/heptaBDE (kg) u opremi za grijanje i ventilaciju</c:v>
                </c:pt>
                <c:pt idx="5">
                  <c:v>Količina dekaBDE (kg) u opremi za grijanje i ventilaciju</c:v>
                </c:pt>
                <c:pt idx="6">
                  <c:v>Količina heksa/heptaBDE (kg) u uvezenim frižiderima</c:v>
                </c:pt>
                <c:pt idx="7">
                  <c:v>Količina dekaBDE (kg) u uvezenim frižiderima</c:v>
                </c:pt>
                <c:pt idx="8">
                  <c:v>Količina heksa/heptaBDE (kg) u uvezenim klima uređajima</c:v>
                </c:pt>
                <c:pt idx="9">
                  <c:v>Količina dekaBDE (kg) u uvezenim klima uređajima</c:v>
                </c:pt>
              </c:strCache>
            </c:strRef>
          </c:cat>
          <c:val>
            <c:numRef>
              <c:f>Sheet2!$M$9:$V$9</c:f>
              <c:numCache>
                <c:formatCode>General</c:formatCode>
                <c:ptCount val="10"/>
                <c:pt idx="0">
                  <c:v>7.0000000000000007E-2</c:v>
                </c:pt>
                <c:pt idx="1">
                  <c:v>0.73</c:v>
                </c:pt>
                <c:pt idx="2">
                  <c:v>6.6000000000000003E-2</c:v>
                </c:pt>
                <c:pt idx="3">
                  <c:v>6.6000000000000003E-2</c:v>
                </c:pt>
                <c:pt idx="4">
                  <c:v>0.39</c:v>
                </c:pt>
                <c:pt idx="5">
                  <c:v>6.3</c:v>
                </c:pt>
                <c:pt idx="6">
                  <c:v>0.39</c:v>
                </c:pt>
                <c:pt idx="7">
                  <c:v>0.39</c:v>
                </c:pt>
                <c:pt idx="8">
                  <c:v>1.28</c:v>
                </c:pt>
                <c:pt idx="9">
                  <c:v>1.28</c:v>
                </c:pt>
              </c:numCache>
            </c:numRef>
          </c:val>
          <c:extLst>
            <c:ext xmlns:c16="http://schemas.microsoft.com/office/drawing/2014/chart" uri="{C3380CC4-5D6E-409C-BE32-E72D297353CC}">
              <c16:uniqueId val="{00000005-19A5-4980-9FBE-DA565E862310}"/>
            </c:ext>
          </c:extLst>
        </c:ser>
        <c:ser>
          <c:idx val="6"/>
          <c:order val="6"/>
          <c:spPr>
            <a:solidFill>
              <a:schemeClr val="accent1">
                <a:lumMod val="60000"/>
              </a:schemeClr>
            </a:solidFill>
            <a:ln>
              <a:noFill/>
            </a:ln>
            <a:effectLst/>
          </c:spPr>
          <c:invertIfNegative val="0"/>
          <c:cat>
            <c:strRef>
              <c:f>Sheet2!$M$3:$V$3</c:f>
              <c:strCache>
                <c:ptCount val="10"/>
                <c:pt idx="0">
                  <c:v>Količina heksa/heptaBDE (kg) u uvezenim telefonima</c:v>
                </c:pt>
                <c:pt idx="1">
                  <c:v>Količina dekaBDE (kg) u uvezenim telefonima</c:v>
                </c:pt>
                <c:pt idx="2">
                  <c:v>Količina heksa/heptaBDE (kg) u uvezenim veš mašinama</c:v>
                </c:pt>
                <c:pt idx="3">
                  <c:v>Količina dekaBDE (kg) u uvezenim veš mašinama</c:v>
                </c:pt>
                <c:pt idx="4">
                  <c:v>Količina heksa/heptaBDE (kg) u opremi za grijanje i ventilaciju</c:v>
                </c:pt>
                <c:pt idx="5">
                  <c:v>Količina dekaBDE (kg) u opremi za grijanje i ventilaciju</c:v>
                </c:pt>
                <c:pt idx="6">
                  <c:v>Količina heksa/heptaBDE (kg) u uvezenim frižiderima</c:v>
                </c:pt>
                <c:pt idx="7">
                  <c:v>Količina dekaBDE (kg) u uvezenim frižiderima</c:v>
                </c:pt>
                <c:pt idx="8">
                  <c:v>Količina heksa/heptaBDE (kg) u uvezenim klima uređajima</c:v>
                </c:pt>
                <c:pt idx="9">
                  <c:v>Količina dekaBDE (kg) u uvezenim klima uređajima</c:v>
                </c:pt>
              </c:strCache>
            </c:strRef>
          </c:cat>
          <c:val>
            <c:numRef>
              <c:f>Sheet2!$M$10:$V$10</c:f>
              <c:numCache>
                <c:formatCode>General</c:formatCode>
                <c:ptCount val="10"/>
                <c:pt idx="0">
                  <c:v>0.09</c:v>
                </c:pt>
                <c:pt idx="1">
                  <c:v>0.92</c:v>
                </c:pt>
                <c:pt idx="2">
                  <c:v>0.38600000000000001</c:v>
                </c:pt>
                <c:pt idx="3">
                  <c:v>0.38600000000000001</c:v>
                </c:pt>
                <c:pt idx="4">
                  <c:v>0.53</c:v>
                </c:pt>
                <c:pt idx="5">
                  <c:v>8.4499999999999993</c:v>
                </c:pt>
                <c:pt idx="6">
                  <c:v>0.53</c:v>
                </c:pt>
                <c:pt idx="7">
                  <c:v>0.53</c:v>
                </c:pt>
                <c:pt idx="8">
                  <c:v>1.88</c:v>
                </c:pt>
                <c:pt idx="9">
                  <c:v>1.88</c:v>
                </c:pt>
              </c:numCache>
            </c:numRef>
          </c:val>
          <c:extLst>
            <c:ext xmlns:c16="http://schemas.microsoft.com/office/drawing/2014/chart" uri="{C3380CC4-5D6E-409C-BE32-E72D297353CC}">
              <c16:uniqueId val="{00000006-19A5-4980-9FBE-DA565E862310}"/>
            </c:ext>
          </c:extLst>
        </c:ser>
        <c:dLbls>
          <c:showLegendKey val="0"/>
          <c:showVal val="0"/>
          <c:showCatName val="0"/>
          <c:showSerName val="0"/>
          <c:showPercent val="0"/>
          <c:showBubbleSize val="0"/>
        </c:dLbls>
        <c:gapWidth val="219"/>
        <c:overlap val="-27"/>
        <c:axId val="1385968879"/>
        <c:axId val="1385969359"/>
      </c:barChart>
      <c:catAx>
        <c:axId val="1385968879"/>
        <c:scaling>
          <c:orientation val="minMax"/>
        </c:scaling>
        <c:delete val="0"/>
        <c:axPos val="b"/>
        <c:numFmt formatCode="General" sourceLinked="1"/>
        <c:majorTickMark val="none"/>
        <c:minorTickMark val="none"/>
        <c:tickLblPos val="nextTo"/>
        <c:spPr>
          <a:noFill/>
          <a:ln w="12700" cap="sq" cmpd="sng" algn="ctr">
            <a:solidFill>
              <a:schemeClr val="tx1">
                <a:lumMod val="15000"/>
                <a:lumOff val="85000"/>
              </a:schemeClr>
            </a:solidFill>
            <a:round/>
          </a:ln>
          <a:effectLst/>
        </c:spPr>
        <c:txPr>
          <a:bodyPr rot="5400000" spcFirstLastPara="1" vertOverflow="ellipsis" wrap="square" anchor="b"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385969359"/>
        <c:crosses val="autoZero"/>
        <c:auto val="1"/>
        <c:lblAlgn val="ctr"/>
        <c:lblOffset val="100"/>
        <c:noMultiLvlLbl val="0"/>
      </c:catAx>
      <c:valAx>
        <c:axId val="138596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96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Sadržaj dekaBDE (kg)</a:t>
            </a:r>
            <a:r>
              <a:rPr lang="sr-Latn-RS"/>
              <a:t> u otpadu EEE generisanom u periodu 2011-2023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Sheet5!$A$8</c:f>
              <c:strCache>
                <c:ptCount val="1"/>
                <c:pt idx="0">
                  <c:v>Sadržaj dekaBDE (kg)</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Sheet5!$B$7:$N$7</c:f>
              <c:strCache>
                <c:ptCount val="13"/>
                <c:pt idx="0">
                  <c:v>2011g</c:v>
                </c:pt>
                <c:pt idx="1">
                  <c:v>2012g</c:v>
                </c:pt>
                <c:pt idx="2">
                  <c:v>2013g</c:v>
                </c:pt>
                <c:pt idx="3">
                  <c:v>2014g</c:v>
                </c:pt>
                <c:pt idx="4">
                  <c:v>2015g</c:v>
                </c:pt>
                <c:pt idx="5">
                  <c:v>2016g</c:v>
                </c:pt>
                <c:pt idx="6">
                  <c:v>2017g</c:v>
                </c:pt>
                <c:pt idx="7">
                  <c:v>2018g</c:v>
                </c:pt>
                <c:pt idx="8">
                  <c:v>2019g</c:v>
                </c:pt>
                <c:pt idx="9">
                  <c:v>2020g</c:v>
                </c:pt>
                <c:pt idx="10">
                  <c:v>2021g</c:v>
                </c:pt>
                <c:pt idx="11">
                  <c:v>2022g</c:v>
                </c:pt>
                <c:pt idx="12">
                  <c:v>2023g</c:v>
                </c:pt>
              </c:strCache>
            </c:strRef>
          </c:cat>
          <c:val>
            <c:numRef>
              <c:f>Sheet5!$B$8:$N$8</c:f>
              <c:numCache>
                <c:formatCode>General</c:formatCode>
                <c:ptCount val="13"/>
                <c:pt idx="0">
                  <c:v>41</c:v>
                </c:pt>
                <c:pt idx="1">
                  <c:v>4.5</c:v>
                </c:pt>
                <c:pt idx="2">
                  <c:v>2.9</c:v>
                </c:pt>
                <c:pt idx="3">
                  <c:v>5.7</c:v>
                </c:pt>
                <c:pt idx="4">
                  <c:v>5.3</c:v>
                </c:pt>
                <c:pt idx="5">
                  <c:v>11</c:v>
                </c:pt>
                <c:pt idx="6">
                  <c:v>6.6</c:v>
                </c:pt>
                <c:pt idx="7">
                  <c:v>19</c:v>
                </c:pt>
                <c:pt idx="8">
                  <c:v>15</c:v>
                </c:pt>
                <c:pt idx="9">
                  <c:v>11</c:v>
                </c:pt>
                <c:pt idx="10">
                  <c:v>19</c:v>
                </c:pt>
                <c:pt idx="11">
                  <c:v>7.6</c:v>
                </c:pt>
                <c:pt idx="12">
                  <c:v>16</c:v>
                </c:pt>
              </c:numCache>
            </c:numRef>
          </c:val>
          <c:extLst>
            <c:ext xmlns:c16="http://schemas.microsoft.com/office/drawing/2014/chart" uri="{C3380CC4-5D6E-409C-BE32-E72D297353CC}">
              <c16:uniqueId val="{00000001-C611-4F9E-B726-29806765C552}"/>
            </c:ext>
          </c:extLst>
        </c:ser>
        <c:dLbls>
          <c:showLegendKey val="0"/>
          <c:showVal val="0"/>
          <c:showCatName val="0"/>
          <c:showSerName val="0"/>
          <c:showPercent val="0"/>
          <c:showBubbleSize val="0"/>
        </c:dLbls>
        <c:gapWidth val="219"/>
        <c:overlap val="-27"/>
        <c:axId val="142306655"/>
        <c:axId val="142298975"/>
      </c:barChart>
      <c:catAx>
        <c:axId val="14230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98975"/>
        <c:crosses val="autoZero"/>
        <c:auto val="1"/>
        <c:lblAlgn val="ctr"/>
        <c:lblOffset val="100"/>
        <c:noMultiLvlLbl val="0"/>
      </c:catAx>
      <c:valAx>
        <c:axId val="142298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0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a:defRPr sz="1400" b="0" i="0" u="none" strike="noStrike">
                <a:solidFill>
                  <a:srgbClr val="595959"/>
                </a:solidFill>
                <a:latin typeface="Calibri"/>
              </a:defRPr>
            </a:pPr>
            <a:r>
              <a:rPr lang="en-US" sz="1400" b="0" i="0" u="none" strike="noStrike" baseline="0"/>
              <a:t>Sadržaj PBDE-a u putničkim automobilima (t) u upotrebi u periodu 2017–2023.</a:t>
            </a:r>
            <a:endParaRPr lang="en-US" sz="1400" b="0" i="0" u="none" strike="noStrike">
              <a:solidFill>
                <a:srgbClr val="595959"/>
              </a:solidFill>
              <a:latin typeface="Calibri"/>
            </a:endParaRPr>
          </a:p>
        </c:rich>
      </c:tx>
      <c:layout>
        <c:manualLayout>
          <c:xMode val="edge"/>
          <c:yMode val="edge"/>
          <c:x val="0"/>
          <c:y val="0"/>
          <c:w val="1"/>
          <c:h val="0.25211"/>
        </c:manualLayout>
      </c:layout>
      <c:overlay val="1"/>
      <c:spPr>
        <a:noFill/>
        <a:effectLst/>
      </c:spPr>
    </c:title>
    <c:autoTitleDeleted val="0"/>
    <c:plotArea>
      <c:layout>
        <c:manualLayout>
          <c:layoutTarget val="inner"/>
          <c:xMode val="edge"/>
          <c:yMode val="edge"/>
          <c:x val="7.9935900000000004E-2"/>
          <c:y val="0.25211"/>
          <c:w val="0.91506399999999999"/>
          <c:h val="0.65139100000000005"/>
        </c:manualLayout>
      </c:layout>
      <c:barChart>
        <c:barDir val="col"/>
        <c:grouping val="clustered"/>
        <c:varyColors val="0"/>
        <c:ser>
          <c:idx val="0"/>
          <c:order val="0"/>
          <c:tx>
            <c:strRef>
              <c:f>Sheet1!$A$2</c:f>
              <c:strCache>
                <c:ptCount val="1"/>
                <c:pt idx="0">
                  <c:v>Kolicina PBDE (t)</c:v>
                </c:pt>
              </c:strCache>
            </c:strRef>
          </c:tx>
          <c:spPr>
            <a:solidFill>
              <a:schemeClr val="accent1"/>
            </a:solidFill>
            <a:ln w="12700" cap="flat">
              <a:noFill/>
              <a:miter lim="400000"/>
            </a:ln>
            <a:effectLst/>
          </c:spPr>
          <c:invertIfNegative val="0"/>
          <c:cat>
            <c:strRef>
              <c:f>Sheet1!$B$1:$H$1</c:f>
              <c:strCache>
                <c:ptCount val="7"/>
                <c:pt idx="0">
                  <c:v>2017g</c:v>
                </c:pt>
                <c:pt idx="1">
                  <c:v>2018g</c:v>
                </c:pt>
                <c:pt idx="2">
                  <c:v>2019g</c:v>
                </c:pt>
                <c:pt idx="3">
                  <c:v>2020g</c:v>
                </c:pt>
                <c:pt idx="4">
                  <c:v>2021g</c:v>
                </c:pt>
                <c:pt idx="5">
                  <c:v>2022g</c:v>
                </c:pt>
                <c:pt idx="6">
                  <c:v>2023g</c:v>
                </c:pt>
              </c:strCache>
            </c:strRef>
          </c:cat>
          <c:val>
            <c:numRef>
              <c:f>Sheet1!$B$2:$H$2</c:f>
              <c:numCache>
                <c:formatCode>General</c:formatCode>
                <c:ptCount val="7"/>
                <c:pt idx="0">
                  <c:v>10.89306</c:v>
                </c:pt>
                <c:pt idx="1">
                  <c:v>11.027200000000001</c:v>
                </c:pt>
                <c:pt idx="2">
                  <c:v>10.77642</c:v>
                </c:pt>
                <c:pt idx="3">
                  <c:v>9.9956800000000001</c:v>
                </c:pt>
                <c:pt idx="4">
                  <c:v>9.8966200000000004</c:v>
                </c:pt>
                <c:pt idx="5">
                  <c:v>9.4936000000000007</c:v>
                </c:pt>
                <c:pt idx="6">
                  <c:v>9.2461800000000007</c:v>
                </c:pt>
              </c:numCache>
            </c:numRef>
          </c:val>
          <c:extLst>
            <c:ext xmlns:c16="http://schemas.microsoft.com/office/drawing/2014/chart" uri="{C3380CC4-5D6E-409C-BE32-E72D297353CC}">
              <c16:uniqueId val="{00000000-CBB6-40FA-A37E-C397B42F0E15}"/>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0.75"/>
        <c:minorUnit val="0.37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en-US" sz="1400" b="0" i="0" u="none" strike="noStrike" baseline="0"/>
              <a:t>Sadržaj PBDE-a (t) u putničkim automobilima u periodu 2006–2023.</a:t>
            </a:r>
            <a:endParaRPr lang="en-US" sz="1400" b="0" i="0" u="none" strike="noStrike">
              <a:solidFill>
                <a:srgbClr val="595959"/>
              </a:solidFill>
              <a:latin typeface="Calibri"/>
            </a:endParaRPr>
          </a:p>
        </c:rich>
      </c:tx>
      <c:layout>
        <c:manualLayout>
          <c:xMode val="edge"/>
          <c:yMode val="edge"/>
          <c:x val="0.14595900000000001"/>
          <c:y val="0"/>
          <c:w val="0.70808300000000002"/>
          <c:h val="0.21029999999999999"/>
        </c:manualLayout>
      </c:layout>
      <c:overlay val="1"/>
      <c:spPr>
        <a:noFill/>
        <a:effectLst/>
      </c:spPr>
    </c:title>
    <c:autoTitleDeleted val="0"/>
    <c:plotArea>
      <c:layout>
        <c:manualLayout>
          <c:layoutTarget val="inner"/>
          <c:xMode val="edge"/>
          <c:yMode val="edge"/>
          <c:x val="7.1576600000000004E-2"/>
          <c:y val="0.21029999999999999"/>
          <c:w val="0.92342299999999999"/>
          <c:h val="0.66459100000000004"/>
        </c:manualLayout>
      </c:layout>
      <c:barChart>
        <c:barDir val="col"/>
        <c:grouping val="clustered"/>
        <c:varyColors val="0"/>
        <c:ser>
          <c:idx val="0"/>
          <c:order val="0"/>
          <c:tx>
            <c:strRef>
              <c:f>Sheet1!$A$2</c:f>
              <c:strCache>
                <c:ptCount val="1"/>
                <c:pt idx="0">
                  <c:v>Sadrzaj PBDE (t) u putnickim automobilima registrovanim u periodu 2006-2023</c:v>
                </c:pt>
              </c:strCache>
            </c:strRef>
          </c:tx>
          <c:spPr>
            <a:solidFill>
              <a:schemeClr val="accent1"/>
            </a:solidFill>
            <a:ln w="12700" cap="flat">
              <a:noFill/>
              <a:miter lim="400000"/>
            </a:ln>
            <a:effectLst/>
          </c:spPr>
          <c:invertIfNegative val="0"/>
          <c:trendline>
            <c:spPr>
              <a:ln w="19050" cap="rnd">
                <a:solidFill>
                  <a:schemeClr val="accent1"/>
                </a:solidFill>
                <a:prstDash val="sysDot"/>
                <a:miter lim="800000"/>
              </a:ln>
              <a:effectLst>
                <a:outerShdw blurRad="12700" dist="25400" dir="7320000" algn="tl">
                  <a:srgbClr val="000000">
                    <a:alpha val="25000"/>
                  </a:srgbClr>
                </a:outerShdw>
              </a:effectLst>
            </c:spPr>
            <c:trendlineType val="linear"/>
            <c:dispRSqr val="0"/>
            <c:dispEq val="0"/>
          </c:trendline>
          <c:cat>
            <c:strRef>
              <c:f>Sheet1!$B$1:$S$1</c:f>
              <c:strCache>
                <c:ptCount val="18"/>
                <c:pt idx="0">
                  <c:v>2006g</c:v>
                </c:pt>
                <c:pt idx="1">
                  <c:v>2007g</c:v>
                </c:pt>
                <c:pt idx="2">
                  <c:v>2008g</c:v>
                </c:pt>
                <c:pt idx="3">
                  <c:v>2009g</c:v>
                </c:pt>
                <c:pt idx="4">
                  <c:v>2010g</c:v>
                </c:pt>
                <c:pt idx="5">
                  <c:v>2011g</c:v>
                </c:pt>
                <c:pt idx="6">
                  <c:v>2012g</c:v>
                </c:pt>
                <c:pt idx="7">
                  <c:v>2013g</c:v>
                </c:pt>
                <c:pt idx="8">
                  <c:v>2014g</c:v>
                </c:pt>
                <c:pt idx="9">
                  <c:v>2015g</c:v>
                </c:pt>
                <c:pt idx="10">
                  <c:v>2016g</c:v>
                </c:pt>
                <c:pt idx="11">
                  <c:v>2017g</c:v>
                </c:pt>
                <c:pt idx="12">
                  <c:v>2018g</c:v>
                </c:pt>
                <c:pt idx="13">
                  <c:v>2019g</c:v>
                </c:pt>
                <c:pt idx="14">
                  <c:v>2020g</c:v>
                </c:pt>
                <c:pt idx="15">
                  <c:v>2021g</c:v>
                </c:pt>
                <c:pt idx="16">
                  <c:v>2022g</c:v>
                </c:pt>
                <c:pt idx="17">
                  <c:v>2023g</c:v>
                </c:pt>
              </c:strCache>
            </c:strRef>
          </c:cat>
          <c:val>
            <c:numRef>
              <c:f>Sheet1!$B$2:$S$2</c:f>
              <c:numCache>
                <c:formatCode>General</c:formatCode>
                <c:ptCount val="18"/>
                <c:pt idx="0">
                  <c:v>14.385439999999999</c:v>
                </c:pt>
                <c:pt idx="1">
                  <c:v>14.70776</c:v>
                </c:pt>
                <c:pt idx="2">
                  <c:v>14.6104</c:v>
                </c:pt>
                <c:pt idx="3">
                  <c:v>13.496320000000001</c:v>
                </c:pt>
                <c:pt idx="4">
                  <c:v>12.022080000000001</c:v>
                </c:pt>
                <c:pt idx="5">
                  <c:v>11.804880000000001</c:v>
                </c:pt>
                <c:pt idx="6">
                  <c:v>11.56528</c:v>
                </c:pt>
                <c:pt idx="7">
                  <c:v>11.650399999999999</c:v>
                </c:pt>
                <c:pt idx="8">
                  <c:v>10.6228</c:v>
                </c:pt>
                <c:pt idx="9">
                  <c:v>10.230399999999999</c:v>
                </c:pt>
                <c:pt idx="10">
                  <c:v>10.754799999999999</c:v>
                </c:pt>
                <c:pt idx="11">
                  <c:v>10.89306</c:v>
                </c:pt>
                <c:pt idx="12">
                  <c:v>11.027200000000001</c:v>
                </c:pt>
                <c:pt idx="13">
                  <c:v>10.77642</c:v>
                </c:pt>
                <c:pt idx="14">
                  <c:v>9.9956800000000001</c:v>
                </c:pt>
                <c:pt idx="15">
                  <c:v>9.8966200000000004</c:v>
                </c:pt>
                <c:pt idx="16">
                  <c:v>9.4936000000000007</c:v>
                </c:pt>
                <c:pt idx="17">
                  <c:v>9.2461800000000007</c:v>
                </c:pt>
              </c:numCache>
            </c:numRef>
          </c:val>
          <c:extLst>
            <c:ext xmlns:c16="http://schemas.microsoft.com/office/drawing/2014/chart" uri="{C3380CC4-5D6E-409C-BE32-E72D297353CC}">
              <c16:uniqueId val="{00000001-47EA-4271-A083-5ED780358100}"/>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en-U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en-US"/>
          </a:p>
        </c:txPr>
        <c:crossAx val="2094734552"/>
        <c:crosses val="autoZero"/>
        <c:crossBetween val="between"/>
        <c:majorUnit val="3.75"/>
        <c:minorUnit val="1.87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A4207-A865-4742-B325-D6559125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270</Pages>
  <Words>91086</Words>
  <Characters>519192</Characters>
  <Application>Microsoft Office Word</Application>
  <DocSecurity>0</DocSecurity>
  <Lines>4326</Lines>
  <Paragraphs>1218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Sukovic</dc:creator>
  <cp:keywords/>
  <dc:description/>
  <cp:lastModifiedBy>Suzana Otasevic</cp:lastModifiedBy>
  <cp:revision>7</cp:revision>
  <dcterms:created xsi:type="dcterms:W3CDTF">2026-01-29T00:18:00Z</dcterms:created>
  <dcterms:modified xsi:type="dcterms:W3CDTF">2026-01-30T11:33:00Z</dcterms:modified>
</cp:coreProperties>
</file>